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34925CAC">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5490068E" w14:textId="47A71709" w:rsidR="00AD784C" w:rsidRDefault="00F61D3E" w:rsidP="00547F7B">
            <w:pPr>
              <w:pStyle w:val="Heading1"/>
            </w:pPr>
            <w:r>
              <w:br/>
            </w:r>
            <w:r w:rsidR="003F63EC">
              <w:t xml:space="preserve">Meeting </w:t>
            </w:r>
            <w:r w:rsidR="003E0407">
              <w:t>obligation</w:t>
            </w:r>
            <w:r w:rsidR="003F63EC">
              <w:t>s</w:t>
            </w:r>
          </w:p>
          <w:p w14:paraId="1B06FE4C" w14:textId="5DEF3401" w:rsidR="005E2CDA" w:rsidRPr="00720472" w:rsidRDefault="00720472" w:rsidP="00547F7B">
            <w:pPr>
              <w:pStyle w:val="Heading1"/>
              <w:rPr>
                <w:b/>
                <w:sz w:val="32"/>
                <w:szCs w:val="32"/>
              </w:rPr>
            </w:pPr>
            <w:r>
              <w:rPr>
                <w:sz w:val="32"/>
                <w:szCs w:val="32"/>
              </w:rPr>
              <w:t>Understanding requirements under the</w:t>
            </w:r>
            <w:r>
              <w:rPr>
                <w:sz w:val="32"/>
                <w:szCs w:val="32"/>
              </w:rPr>
              <w:br/>
              <w:t>Child Safe Standards</w:t>
            </w:r>
          </w:p>
        </w:tc>
      </w:tr>
      <w:tr w:rsidR="000B2117" w14:paraId="5DF317EC" w14:textId="77777777" w:rsidTr="009C1CB1">
        <w:trPr>
          <w:trHeight w:val="1247"/>
        </w:trPr>
        <w:tc>
          <w:tcPr>
            <w:tcW w:w="7825" w:type="dxa"/>
          </w:tcPr>
          <w:p w14:paraId="69C24C39" w14:textId="70AEF876" w:rsidR="000B2117" w:rsidRPr="0016037B" w:rsidRDefault="000B2117" w:rsidP="0016037B">
            <w:pPr>
              <w:pStyle w:val="Documentsubtitle"/>
            </w:pP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9BA2649" w14:textId="77777777" w:rsidR="00720472" w:rsidRDefault="00AD784C" w:rsidP="00547F7B">
      <w:pPr>
        <w:pStyle w:val="Heading2"/>
        <w:rPr>
          <w:noProof/>
        </w:rPr>
      </w:pPr>
      <w:r w:rsidRPr="00B57329">
        <w:t>Contents</w:t>
      </w:r>
      <w:r>
        <w:rPr>
          <w:noProof/>
          <w:sz w:val="29"/>
        </w:rPr>
        <w:fldChar w:fldCharType="begin"/>
      </w:r>
      <w:r>
        <w:instrText xml:space="preserve"> TOC \h \z \t "Heading 1,1,Heading 2,2" </w:instrText>
      </w:r>
      <w:r>
        <w:rPr>
          <w:noProof/>
          <w:sz w:val="29"/>
        </w:rPr>
        <w:fldChar w:fldCharType="separate"/>
      </w:r>
    </w:p>
    <w:p w14:paraId="255BC039" w14:textId="25B359FE" w:rsidR="00720472" w:rsidRDefault="00720472">
      <w:pPr>
        <w:pStyle w:val="TOC1"/>
        <w:rPr>
          <w:rFonts w:asciiTheme="minorHAnsi" w:eastAsiaTheme="minorEastAsia" w:hAnsiTheme="minorHAnsi" w:cstheme="minorBidi"/>
          <w:b w:val="0"/>
          <w:kern w:val="2"/>
          <w:sz w:val="24"/>
          <w:szCs w:val="24"/>
          <w:lang w:eastAsia="en-AU"/>
          <w14:ligatures w14:val="standardContextual"/>
        </w:rPr>
      </w:pPr>
      <w:hyperlink w:anchor="_Toc178945949" w:history="1">
        <w:r w:rsidRPr="000F5A75">
          <w:rPr>
            <w:rStyle w:val="Hyperlink"/>
          </w:rPr>
          <w:t>About the Social Services Regulator</w:t>
        </w:r>
        <w:r>
          <w:rPr>
            <w:webHidden/>
          </w:rPr>
          <w:tab/>
        </w:r>
        <w:r>
          <w:rPr>
            <w:webHidden/>
          </w:rPr>
          <w:fldChar w:fldCharType="begin"/>
        </w:r>
        <w:r>
          <w:rPr>
            <w:webHidden/>
          </w:rPr>
          <w:instrText xml:space="preserve"> PAGEREF _Toc178945949 \h </w:instrText>
        </w:r>
        <w:r>
          <w:rPr>
            <w:webHidden/>
          </w:rPr>
        </w:r>
        <w:r>
          <w:rPr>
            <w:webHidden/>
          </w:rPr>
          <w:fldChar w:fldCharType="separate"/>
        </w:r>
        <w:r>
          <w:rPr>
            <w:webHidden/>
          </w:rPr>
          <w:t>1</w:t>
        </w:r>
        <w:r>
          <w:rPr>
            <w:webHidden/>
          </w:rPr>
          <w:fldChar w:fldCharType="end"/>
        </w:r>
      </w:hyperlink>
    </w:p>
    <w:p w14:paraId="4BEA0E4B" w14:textId="7C6A1419" w:rsidR="00720472" w:rsidRDefault="00720472">
      <w:pPr>
        <w:pStyle w:val="TOC1"/>
        <w:rPr>
          <w:rFonts w:asciiTheme="minorHAnsi" w:eastAsiaTheme="minorEastAsia" w:hAnsiTheme="minorHAnsi" w:cstheme="minorBidi"/>
          <w:b w:val="0"/>
          <w:kern w:val="2"/>
          <w:sz w:val="24"/>
          <w:szCs w:val="24"/>
          <w:lang w:eastAsia="en-AU"/>
          <w14:ligatures w14:val="standardContextual"/>
        </w:rPr>
      </w:pPr>
      <w:hyperlink w:anchor="_Toc178945950" w:history="1">
        <w:r w:rsidRPr="000F5A75">
          <w:rPr>
            <w:rStyle w:val="Hyperlink"/>
          </w:rPr>
          <w:t>Understanding your obligations</w:t>
        </w:r>
        <w:r>
          <w:rPr>
            <w:webHidden/>
          </w:rPr>
          <w:tab/>
        </w:r>
        <w:r>
          <w:rPr>
            <w:webHidden/>
          </w:rPr>
          <w:fldChar w:fldCharType="begin"/>
        </w:r>
        <w:r>
          <w:rPr>
            <w:webHidden/>
          </w:rPr>
          <w:instrText xml:space="preserve"> PAGEREF _Toc178945950 \h </w:instrText>
        </w:r>
        <w:r>
          <w:rPr>
            <w:webHidden/>
          </w:rPr>
        </w:r>
        <w:r>
          <w:rPr>
            <w:webHidden/>
          </w:rPr>
          <w:fldChar w:fldCharType="separate"/>
        </w:r>
        <w:r>
          <w:rPr>
            <w:webHidden/>
          </w:rPr>
          <w:t>2</w:t>
        </w:r>
        <w:r>
          <w:rPr>
            <w:webHidden/>
          </w:rPr>
          <w:fldChar w:fldCharType="end"/>
        </w:r>
      </w:hyperlink>
    </w:p>
    <w:p w14:paraId="6D3326F0" w14:textId="067BBC22"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1" w:history="1">
        <w:r w:rsidRPr="000F5A75">
          <w:rPr>
            <w:rStyle w:val="Hyperlink"/>
          </w:rPr>
          <w:t>What are the Child Safe Standards?</w:t>
        </w:r>
        <w:r>
          <w:rPr>
            <w:webHidden/>
          </w:rPr>
          <w:tab/>
        </w:r>
        <w:r>
          <w:rPr>
            <w:webHidden/>
          </w:rPr>
          <w:fldChar w:fldCharType="begin"/>
        </w:r>
        <w:r>
          <w:rPr>
            <w:webHidden/>
          </w:rPr>
          <w:instrText xml:space="preserve"> PAGEREF _Toc178945951 \h </w:instrText>
        </w:r>
        <w:r>
          <w:rPr>
            <w:webHidden/>
          </w:rPr>
        </w:r>
        <w:r>
          <w:rPr>
            <w:webHidden/>
          </w:rPr>
          <w:fldChar w:fldCharType="separate"/>
        </w:r>
        <w:r>
          <w:rPr>
            <w:webHidden/>
          </w:rPr>
          <w:t>2</w:t>
        </w:r>
        <w:r>
          <w:rPr>
            <w:webHidden/>
          </w:rPr>
          <w:fldChar w:fldCharType="end"/>
        </w:r>
      </w:hyperlink>
    </w:p>
    <w:p w14:paraId="5E69C144" w14:textId="67B44F9C"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2" w:history="1">
        <w:r w:rsidRPr="000F5A75">
          <w:rPr>
            <w:rStyle w:val="Hyperlink"/>
          </w:rPr>
          <w:t>Who must meet the Child Safe Standards?</w:t>
        </w:r>
        <w:r>
          <w:rPr>
            <w:webHidden/>
          </w:rPr>
          <w:tab/>
        </w:r>
        <w:r>
          <w:rPr>
            <w:webHidden/>
          </w:rPr>
          <w:fldChar w:fldCharType="begin"/>
        </w:r>
        <w:r>
          <w:rPr>
            <w:webHidden/>
          </w:rPr>
          <w:instrText xml:space="preserve"> PAGEREF _Toc178945952 \h </w:instrText>
        </w:r>
        <w:r>
          <w:rPr>
            <w:webHidden/>
          </w:rPr>
        </w:r>
        <w:r>
          <w:rPr>
            <w:webHidden/>
          </w:rPr>
          <w:fldChar w:fldCharType="separate"/>
        </w:r>
        <w:r>
          <w:rPr>
            <w:webHidden/>
          </w:rPr>
          <w:t>3</w:t>
        </w:r>
        <w:r>
          <w:rPr>
            <w:webHidden/>
          </w:rPr>
          <w:fldChar w:fldCharType="end"/>
        </w:r>
      </w:hyperlink>
    </w:p>
    <w:p w14:paraId="1A28461E" w14:textId="6A985119"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3" w:history="1">
        <w:r w:rsidRPr="000F5A75">
          <w:rPr>
            <w:rStyle w:val="Hyperlink"/>
          </w:rPr>
          <w:t>What steps do providers need to take?</w:t>
        </w:r>
        <w:r>
          <w:rPr>
            <w:webHidden/>
          </w:rPr>
          <w:tab/>
        </w:r>
        <w:r>
          <w:rPr>
            <w:webHidden/>
          </w:rPr>
          <w:fldChar w:fldCharType="begin"/>
        </w:r>
        <w:r>
          <w:rPr>
            <w:webHidden/>
          </w:rPr>
          <w:instrText xml:space="preserve"> PAGEREF _Toc178945953 \h </w:instrText>
        </w:r>
        <w:r>
          <w:rPr>
            <w:webHidden/>
          </w:rPr>
        </w:r>
        <w:r>
          <w:rPr>
            <w:webHidden/>
          </w:rPr>
          <w:fldChar w:fldCharType="separate"/>
        </w:r>
        <w:r>
          <w:rPr>
            <w:webHidden/>
          </w:rPr>
          <w:t>3</w:t>
        </w:r>
        <w:r>
          <w:rPr>
            <w:webHidden/>
          </w:rPr>
          <w:fldChar w:fldCharType="end"/>
        </w:r>
      </w:hyperlink>
    </w:p>
    <w:p w14:paraId="16169C68" w14:textId="0A859918" w:rsidR="00720472" w:rsidRDefault="00720472">
      <w:pPr>
        <w:pStyle w:val="TOC1"/>
        <w:rPr>
          <w:rFonts w:asciiTheme="minorHAnsi" w:eastAsiaTheme="minorEastAsia" w:hAnsiTheme="minorHAnsi" w:cstheme="minorBidi"/>
          <w:b w:val="0"/>
          <w:kern w:val="2"/>
          <w:sz w:val="24"/>
          <w:szCs w:val="24"/>
          <w:lang w:eastAsia="en-AU"/>
          <w14:ligatures w14:val="standardContextual"/>
        </w:rPr>
      </w:pPr>
      <w:hyperlink w:anchor="_Toc178945954" w:history="1">
        <w:r w:rsidRPr="000F5A75">
          <w:rPr>
            <w:rStyle w:val="Hyperlink"/>
          </w:rPr>
          <w:t>Monitoring the Child Safe Standards</w:t>
        </w:r>
        <w:r>
          <w:rPr>
            <w:webHidden/>
          </w:rPr>
          <w:tab/>
        </w:r>
        <w:r>
          <w:rPr>
            <w:webHidden/>
          </w:rPr>
          <w:fldChar w:fldCharType="begin"/>
        </w:r>
        <w:r>
          <w:rPr>
            <w:webHidden/>
          </w:rPr>
          <w:instrText xml:space="preserve"> PAGEREF _Toc178945954 \h </w:instrText>
        </w:r>
        <w:r>
          <w:rPr>
            <w:webHidden/>
          </w:rPr>
        </w:r>
        <w:r>
          <w:rPr>
            <w:webHidden/>
          </w:rPr>
          <w:fldChar w:fldCharType="separate"/>
        </w:r>
        <w:r>
          <w:rPr>
            <w:webHidden/>
          </w:rPr>
          <w:t>3</w:t>
        </w:r>
        <w:r>
          <w:rPr>
            <w:webHidden/>
          </w:rPr>
          <w:fldChar w:fldCharType="end"/>
        </w:r>
      </w:hyperlink>
    </w:p>
    <w:p w14:paraId="7C7AFB66" w14:textId="06923EAE"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5" w:history="1">
        <w:r w:rsidRPr="000F5A75">
          <w:rPr>
            <w:rStyle w:val="Hyperlink"/>
          </w:rPr>
          <w:t>How we monitor Child Safe Standards</w:t>
        </w:r>
        <w:r>
          <w:rPr>
            <w:webHidden/>
          </w:rPr>
          <w:tab/>
        </w:r>
        <w:r>
          <w:rPr>
            <w:webHidden/>
          </w:rPr>
          <w:fldChar w:fldCharType="begin"/>
        </w:r>
        <w:r>
          <w:rPr>
            <w:webHidden/>
          </w:rPr>
          <w:instrText xml:space="preserve"> PAGEREF _Toc178945955 \h </w:instrText>
        </w:r>
        <w:r>
          <w:rPr>
            <w:webHidden/>
          </w:rPr>
        </w:r>
        <w:r>
          <w:rPr>
            <w:webHidden/>
          </w:rPr>
          <w:fldChar w:fldCharType="separate"/>
        </w:r>
        <w:r>
          <w:rPr>
            <w:webHidden/>
          </w:rPr>
          <w:t>4</w:t>
        </w:r>
        <w:r>
          <w:rPr>
            <w:webHidden/>
          </w:rPr>
          <w:fldChar w:fldCharType="end"/>
        </w:r>
      </w:hyperlink>
    </w:p>
    <w:p w14:paraId="150B6C0C" w14:textId="4F43A51F"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6" w:history="1">
        <w:r w:rsidRPr="000F5A75">
          <w:rPr>
            <w:rStyle w:val="Hyperlink"/>
            <w:lang w:val="en-US"/>
          </w:rPr>
          <w:t>Our regulatory</w:t>
        </w:r>
        <w:r w:rsidRPr="000F5A75">
          <w:rPr>
            <w:rStyle w:val="Hyperlink"/>
          </w:rPr>
          <w:t xml:space="preserve"> approach</w:t>
        </w:r>
        <w:r>
          <w:rPr>
            <w:webHidden/>
          </w:rPr>
          <w:tab/>
        </w:r>
        <w:r>
          <w:rPr>
            <w:webHidden/>
          </w:rPr>
          <w:fldChar w:fldCharType="begin"/>
        </w:r>
        <w:r>
          <w:rPr>
            <w:webHidden/>
          </w:rPr>
          <w:instrText xml:space="preserve"> PAGEREF _Toc178945956 \h </w:instrText>
        </w:r>
        <w:r>
          <w:rPr>
            <w:webHidden/>
          </w:rPr>
        </w:r>
        <w:r>
          <w:rPr>
            <w:webHidden/>
          </w:rPr>
          <w:fldChar w:fldCharType="separate"/>
        </w:r>
        <w:r>
          <w:rPr>
            <w:webHidden/>
          </w:rPr>
          <w:t>4</w:t>
        </w:r>
        <w:r>
          <w:rPr>
            <w:webHidden/>
          </w:rPr>
          <w:fldChar w:fldCharType="end"/>
        </w:r>
      </w:hyperlink>
    </w:p>
    <w:p w14:paraId="723CC2BA" w14:textId="5DB3289F"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7" w:history="1">
        <w:r w:rsidRPr="000F5A75">
          <w:rPr>
            <w:rStyle w:val="Hyperlink"/>
          </w:rPr>
          <w:t>How co-regulation works</w:t>
        </w:r>
        <w:r>
          <w:rPr>
            <w:webHidden/>
          </w:rPr>
          <w:tab/>
        </w:r>
        <w:r>
          <w:rPr>
            <w:webHidden/>
          </w:rPr>
          <w:fldChar w:fldCharType="begin"/>
        </w:r>
        <w:r>
          <w:rPr>
            <w:webHidden/>
          </w:rPr>
          <w:instrText xml:space="preserve"> PAGEREF _Toc178945957 \h </w:instrText>
        </w:r>
        <w:r>
          <w:rPr>
            <w:webHidden/>
          </w:rPr>
        </w:r>
        <w:r>
          <w:rPr>
            <w:webHidden/>
          </w:rPr>
          <w:fldChar w:fldCharType="separate"/>
        </w:r>
        <w:r>
          <w:rPr>
            <w:webHidden/>
          </w:rPr>
          <w:t>4</w:t>
        </w:r>
        <w:r>
          <w:rPr>
            <w:webHidden/>
          </w:rPr>
          <w:fldChar w:fldCharType="end"/>
        </w:r>
      </w:hyperlink>
    </w:p>
    <w:p w14:paraId="20074685" w14:textId="126439EB" w:rsidR="00720472" w:rsidRDefault="00720472">
      <w:pPr>
        <w:pStyle w:val="TOC1"/>
        <w:rPr>
          <w:rFonts w:asciiTheme="minorHAnsi" w:eastAsiaTheme="minorEastAsia" w:hAnsiTheme="minorHAnsi" w:cstheme="minorBidi"/>
          <w:b w:val="0"/>
          <w:kern w:val="2"/>
          <w:sz w:val="24"/>
          <w:szCs w:val="24"/>
          <w:lang w:eastAsia="en-AU"/>
          <w14:ligatures w14:val="standardContextual"/>
        </w:rPr>
      </w:pPr>
      <w:hyperlink w:anchor="_Toc178945958" w:history="1">
        <w:r w:rsidRPr="000F5A75">
          <w:rPr>
            <w:rStyle w:val="Hyperlink"/>
          </w:rPr>
          <w:t>Useful resources and contacts</w:t>
        </w:r>
        <w:r>
          <w:rPr>
            <w:webHidden/>
          </w:rPr>
          <w:tab/>
        </w:r>
        <w:r>
          <w:rPr>
            <w:webHidden/>
          </w:rPr>
          <w:fldChar w:fldCharType="begin"/>
        </w:r>
        <w:r>
          <w:rPr>
            <w:webHidden/>
          </w:rPr>
          <w:instrText xml:space="preserve"> PAGEREF _Toc178945958 \h </w:instrText>
        </w:r>
        <w:r>
          <w:rPr>
            <w:webHidden/>
          </w:rPr>
        </w:r>
        <w:r>
          <w:rPr>
            <w:webHidden/>
          </w:rPr>
          <w:fldChar w:fldCharType="separate"/>
        </w:r>
        <w:r>
          <w:rPr>
            <w:webHidden/>
          </w:rPr>
          <w:t>5</w:t>
        </w:r>
        <w:r>
          <w:rPr>
            <w:webHidden/>
          </w:rPr>
          <w:fldChar w:fldCharType="end"/>
        </w:r>
      </w:hyperlink>
    </w:p>
    <w:p w14:paraId="522913FD" w14:textId="70077FC0"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59" w:history="1">
        <w:r w:rsidRPr="000F5A75">
          <w:rPr>
            <w:rStyle w:val="Hyperlink"/>
          </w:rPr>
          <w:t>Resources</w:t>
        </w:r>
        <w:r>
          <w:rPr>
            <w:webHidden/>
          </w:rPr>
          <w:tab/>
        </w:r>
        <w:r>
          <w:rPr>
            <w:webHidden/>
          </w:rPr>
          <w:fldChar w:fldCharType="begin"/>
        </w:r>
        <w:r>
          <w:rPr>
            <w:webHidden/>
          </w:rPr>
          <w:instrText xml:space="preserve"> PAGEREF _Toc178945959 \h </w:instrText>
        </w:r>
        <w:r>
          <w:rPr>
            <w:webHidden/>
          </w:rPr>
        </w:r>
        <w:r>
          <w:rPr>
            <w:webHidden/>
          </w:rPr>
          <w:fldChar w:fldCharType="separate"/>
        </w:r>
        <w:r>
          <w:rPr>
            <w:webHidden/>
          </w:rPr>
          <w:t>5</w:t>
        </w:r>
        <w:r>
          <w:rPr>
            <w:webHidden/>
          </w:rPr>
          <w:fldChar w:fldCharType="end"/>
        </w:r>
      </w:hyperlink>
    </w:p>
    <w:p w14:paraId="0CF0A92E" w14:textId="558FA9E7" w:rsidR="00720472" w:rsidRDefault="00720472">
      <w:pPr>
        <w:pStyle w:val="TOC2"/>
        <w:rPr>
          <w:rFonts w:asciiTheme="minorHAnsi" w:eastAsiaTheme="minorEastAsia" w:hAnsiTheme="minorHAnsi" w:cstheme="minorBidi"/>
          <w:kern w:val="2"/>
          <w:sz w:val="24"/>
          <w:szCs w:val="24"/>
          <w:lang w:eastAsia="en-AU"/>
          <w14:ligatures w14:val="standardContextual"/>
        </w:rPr>
      </w:pPr>
      <w:hyperlink w:anchor="_Toc178945960" w:history="1">
        <w:r w:rsidRPr="000F5A75">
          <w:rPr>
            <w:rStyle w:val="Hyperlink"/>
          </w:rPr>
          <w:t>Contact us</w:t>
        </w:r>
        <w:r>
          <w:rPr>
            <w:webHidden/>
          </w:rPr>
          <w:tab/>
        </w:r>
        <w:r>
          <w:rPr>
            <w:webHidden/>
          </w:rPr>
          <w:fldChar w:fldCharType="begin"/>
        </w:r>
        <w:r>
          <w:rPr>
            <w:webHidden/>
          </w:rPr>
          <w:instrText xml:space="preserve"> PAGEREF _Toc178945960 \h </w:instrText>
        </w:r>
        <w:r>
          <w:rPr>
            <w:webHidden/>
          </w:rPr>
        </w:r>
        <w:r>
          <w:rPr>
            <w:webHidden/>
          </w:rPr>
          <w:fldChar w:fldCharType="separate"/>
        </w:r>
        <w:r>
          <w:rPr>
            <w:webHidden/>
          </w:rPr>
          <w:t>6</w:t>
        </w:r>
        <w:r>
          <w:rPr>
            <w:webHidden/>
          </w:rPr>
          <w:fldChar w:fldCharType="end"/>
        </w:r>
      </w:hyperlink>
    </w:p>
    <w:p w14:paraId="623B2D43" w14:textId="3FD4C41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126C5C55" w14:textId="4D201CDD" w:rsidR="00C804A2" w:rsidRDefault="00C804A2" w:rsidP="00547F7B">
      <w:pPr>
        <w:pStyle w:val="Heading2"/>
      </w:pPr>
      <w:bookmarkStart w:id="0" w:name="_Toc178945949"/>
      <w:bookmarkStart w:id="1" w:name="_Toc66794859"/>
      <w:r>
        <w:t>About the Social Services Regulator</w:t>
      </w:r>
      <w:bookmarkEnd w:id="0"/>
    </w:p>
    <w:p w14:paraId="0F445814" w14:textId="3DF9DAAF" w:rsidR="00AD27A1" w:rsidRPr="00AD27A1" w:rsidRDefault="00AD27A1" w:rsidP="00AD27A1">
      <w:pPr>
        <w:pStyle w:val="Body"/>
        <w:rPr>
          <w:rStyle w:val="BodyChar"/>
          <w:rFonts w:cs="Arial"/>
          <w:szCs w:val="21"/>
        </w:rPr>
      </w:pPr>
      <w:r w:rsidRPr="00AD27A1">
        <w:rPr>
          <w:rFonts w:cs="Arial"/>
          <w:szCs w:val="21"/>
        </w:rPr>
        <w:t xml:space="preserve">The </w:t>
      </w:r>
      <w:hyperlink r:id="rId16" w:history="1">
        <w:r w:rsidRPr="00821115">
          <w:rPr>
            <w:rStyle w:val="Hyperlink"/>
            <w:rFonts w:cs="Arial"/>
            <w:i/>
            <w:iCs/>
            <w:szCs w:val="21"/>
          </w:rPr>
          <w:t>Social Services Regulation Act 2021</w:t>
        </w:r>
        <w:r w:rsidRPr="00821115">
          <w:rPr>
            <w:rStyle w:val="Hyperlink"/>
            <w:rFonts w:cs="Arial"/>
            <w:szCs w:val="21"/>
          </w:rPr>
          <w:t xml:space="preserve"> (Vic)</w:t>
        </w:r>
      </w:hyperlink>
      <w:r w:rsidRPr="00AD27A1">
        <w:rPr>
          <w:rFonts w:cs="Arial"/>
          <w:szCs w:val="21"/>
        </w:rPr>
        <w:t xml:space="preserve"> </w:t>
      </w:r>
      <w:r w:rsidR="00A750BA">
        <w:rPr>
          <w:rFonts w:cs="Arial"/>
          <w:szCs w:val="21"/>
        </w:rPr>
        <w:t>(the Act),</w:t>
      </w:r>
      <w:r w:rsidRPr="00AD27A1">
        <w:rPr>
          <w:rFonts w:cs="Arial"/>
          <w:szCs w:val="21"/>
        </w:rPr>
        <w:t xml:space="preserve"> the </w:t>
      </w:r>
      <w:hyperlink r:id="rId17" w:history="1">
        <w:r w:rsidRPr="00821115">
          <w:rPr>
            <w:rStyle w:val="Hyperlink"/>
            <w:rFonts w:cs="Arial"/>
            <w:i/>
            <w:iCs/>
            <w:szCs w:val="21"/>
          </w:rPr>
          <w:t xml:space="preserve">Social Services Regulations 2023 </w:t>
        </w:r>
        <w:r w:rsidRPr="00821115">
          <w:rPr>
            <w:rStyle w:val="Hyperlink"/>
            <w:rFonts w:cs="Arial"/>
            <w:szCs w:val="21"/>
          </w:rPr>
          <w:t>(Vic)</w:t>
        </w:r>
      </w:hyperlink>
      <w:r w:rsidRPr="00AD27A1">
        <w:rPr>
          <w:rFonts w:cs="Arial"/>
          <w:szCs w:val="21"/>
        </w:rPr>
        <w:t xml:space="preserve"> </w:t>
      </w:r>
      <w:r w:rsidR="00A750BA">
        <w:rPr>
          <w:rFonts w:cs="Arial"/>
          <w:szCs w:val="21"/>
        </w:rPr>
        <w:t xml:space="preserve">(the Regulations) and </w:t>
      </w:r>
      <w:r w:rsidR="00402211">
        <w:t>the</w:t>
      </w:r>
      <w:r w:rsidR="00402211" w:rsidRPr="00910306">
        <w:t xml:space="preserve"> </w:t>
      </w:r>
      <w:hyperlink r:id="rId18" w:history="1">
        <w:r w:rsidR="00402211" w:rsidRPr="00C043A6">
          <w:rPr>
            <w:rStyle w:val="Hyperlink"/>
            <w:i/>
            <w:iCs/>
          </w:rPr>
          <w:t>Social Services (Supported Residential Services) Regulations 2024</w:t>
        </w:r>
      </w:hyperlink>
      <w:r w:rsidR="00402211" w:rsidRPr="00910306">
        <w:t xml:space="preserve"> (the SRS Regulations) </w:t>
      </w:r>
      <w:r w:rsidRPr="00AD27A1">
        <w:rPr>
          <w:rFonts w:cs="Arial"/>
          <w:szCs w:val="21"/>
        </w:rPr>
        <w:t>create</w:t>
      </w:r>
      <w:r w:rsidR="003D6A74">
        <w:rPr>
          <w:rFonts w:cs="Arial"/>
          <w:szCs w:val="21"/>
        </w:rPr>
        <w:t>d</w:t>
      </w:r>
      <w:r w:rsidRPr="00AD27A1">
        <w:rPr>
          <w:rFonts w:cs="Arial"/>
          <w:szCs w:val="21"/>
        </w:rPr>
        <w:t xml:space="preserve"> a new regulatory framework for social services in Victoria</w:t>
      </w:r>
      <w:r w:rsidR="00590940">
        <w:rPr>
          <w:rFonts w:cs="Arial"/>
          <w:szCs w:val="21"/>
        </w:rPr>
        <w:t xml:space="preserve"> </w:t>
      </w:r>
      <w:r w:rsidR="00590940" w:rsidRPr="002E3205">
        <w:rPr>
          <w:rFonts w:cs="Arial"/>
          <w:szCs w:val="21"/>
        </w:rPr>
        <w:t>from 1 July 2024</w:t>
      </w:r>
      <w:r w:rsidRPr="002E3205">
        <w:rPr>
          <w:rFonts w:cs="Arial"/>
          <w:szCs w:val="21"/>
        </w:rPr>
        <w:t>. T</w:t>
      </w:r>
      <w:r w:rsidRPr="00AD27A1">
        <w:rPr>
          <w:rFonts w:cs="Arial"/>
          <w:szCs w:val="21"/>
        </w:rPr>
        <w:t xml:space="preserve">his framework puts the protection and safety of social services users at the centre </w:t>
      </w:r>
      <w:r w:rsidRPr="00AD27A1">
        <w:rPr>
          <w:rStyle w:val="BodyChar"/>
          <w:rFonts w:cs="Arial"/>
          <w:szCs w:val="21"/>
        </w:rPr>
        <w:t>of social services delivery.</w:t>
      </w:r>
    </w:p>
    <w:p w14:paraId="4BF3B90D" w14:textId="7D45D893" w:rsidR="00AD27A1" w:rsidRPr="00AD27A1" w:rsidRDefault="00AD27A1" w:rsidP="73E3227D">
      <w:pPr>
        <w:pStyle w:val="Body"/>
        <w:rPr>
          <w:rFonts w:cs="Arial"/>
        </w:rPr>
      </w:pPr>
      <w:r w:rsidRPr="73E3227D">
        <w:rPr>
          <w:rStyle w:val="BodyChar"/>
          <w:rFonts w:cs="Arial"/>
        </w:rPr>
        <w:t>The Social Services Regulator replace</w:t>
      </w:r>
      <w:r w:rsidR="00104EFD" w:rsidRPr="73E3227D">
        <w:rPr>
          <w:rStyle w:val="BodyChar"/>
          <w:rFonts w:cs="Arial"/>
        </w:rPr>
        <w:t>d</w:t>
      </w:r>
      <w:r w:rsidRPr="73E3227D">
        <w:rPr>
          <w:rStyle w:val="BodyChar"/>
          <w:rFonts w:cs="Arial"/>
        </w:rPr>
        <w:t xml:space="preserve"> the current Human Services Regulator</w:t>
      </w:r>
      <w:r w:rsidR="009C1449" w:rsidRPr="73E3227D">
        <w:rPr>
          <w:rStyle w:val="BodyChar"/>
          <w:rFonts w:cs="Arial"/>
        </w:rPr>
        <w:t xml:space="preserve"> from 1 July</w:t>
      </w:r>
      <w:r w:rsidR="00104EFD" w:rsidRPr="73E3227D">
        <w:rPr>
          <w:rStyle w:val="BodyChar"/>
          <w:rFonts w:cs="Arial"/>
        </w:rPr>
        <w:t xml:space="preserve"> </w:t>
      </w:r>
      <w:r w:rsidR="13C5CFE5" w:rsidRPr="73E3227D">
        <w:rPr>
          <w:rStyle w:val="BodyChar"/>
          <w:rFonts w:cs="Arial"/>
        </w:rPr>
        <w:t xml:space="preserve">2024 </w:t>
      </w:r>
      <w:r w:rsidR="00104EFD" w:rsidRPr="73E3227D">
        <w:rPr>
          <w:rStyle w:val="BodyChar"/>
          <w:rFonts w:cs="Arial"/>
        </w:rPr>
        <w:t xml:space="preserve">and is responsible for regulating social services against both the Child Safe and Social Services </w:t>
      </w:r>
      <w:r w:rsidR="00B80FBF" w:rsidRPr="73E3227D">
        <w:rPr>
          <w:rStyle w:val="BodyChar"/>
          <w:rFonts w:cs="Arial"/>
        </w:rPr>
        <w:t>S</w:t>
      </w:r>
      <w:r w:rsidR="00104EFD" w:rsidRPr="73E3227D">
        <w:rPr>
          <w:rStyle w:val="BodyChar"/>
          <w:rFonts w:cs="Arial"/>
        </w:rPr>
        <w:t>tandards</w:t>
      </w:r>
      <w:r w:rsidRPr="73E3227D">
        <w:rPr>
          <w:rStyle w:val="BodyChar"/>
          <w:rFonts w:cs="Arial"/>
        </w:rPr>
        <w:t xml:space="preserve">. </w:t>
      </w:r>
    </w:p>
    <w:p w14:paraId="4E4A46C7" w14:textId="77777777" w:rsidR="00AC67FD" w:rsidRDefault="00DB4350" w:rsidP="00AD27A1">
      <w:pPr>
        <w:pStyle w:val="Body"/>
        <w:rPr>
          <w:rFonts w:cs="Arial"/>
          <w:szCs w:val="21"/>
        </w:rPr>
      </w:pPr>
      <w:r>
        <w:rPr>
          <w:rFonts w:cs="Arial"/>
          <w:szCs w:val="21"/>
        </w:rPr>
        <w:t xml:space="preserve">We </w:t>
      </w:r>
      <w:r w:rsidR="00AD27A1" w:rsidRPr="00AD27A1">
        <w:rPr>
          <w:rFonts w:cs="Arial"/>
          <w:szCs w:val="21"/>
        </w:rPr>
        <w:t xml:space="preserve">aim to strengthen </w:t>
      </w:r>
      <w:r w:rsidR="00AD27A1" w:rsidRPr="008E0BA1">
        <w:rPr>
          <w:rStyle w:val="cf01"/>
          <w:rFonts w:ascii="Arial" w:hAnsi="Arial" w:cs="Arial"/>
          <w:sz w:val="21"/>
          <w:szCs w:val="21"/>
        </w:rPr>
        <w:t>protections for social services users to safeguard people from harm, abuse and neglect</w:t>
      </w:r>
      <w:r w:rsidR="00AD27A1" w:rsidRPr="00AD27A1">
        <w:rPr>
          <w:rFonts w:cs="Arial"/>
          <w:szCs w:val="21"/>
        </w:rPr>
        <w:t xml:space="preserve">. </w:t>
      </w:r>
    </w:p>
    <w:p w14:paraId="600F13FE" w14:textId="701926B8" w:rsidR="00AD27A1" w:rsidRPr="00AD27A1" w:rsidRDefault="391B7711" w:rsidP="00AD27A1">
      <w:pPr>
        <w:pStyle w:val="Body"/>
        <w:rPr>
          <w:rStyle w:val="BodyChar"/>
          <w:rFonts w:cs="Arial"/>
        </w:rPr>
      </w:pPr>
      <w:r w:rsidRPr="61106297">
        <w:rPr>
          <w:rStyle w:val="BodyChar"/>
          <w:rFonts w:cs="Arial"/>
        </w:rPr>
        <w:t>O</w:t>
      </w:r>
      <w:r w:rsidR="00AC67FD" w:rsidRPr="61106297">
        <w:rPr>
          <w:rStyle w:val="BodyChar"/>
          <w:rFonts w:cs="Arial"/>
        </w:rPr>
        <w:t>ur c</w:t>
      </w:r>
      <w:r w:rsidR="00AD27A1" w:rsidRPr="61106297">
        <w:rPr>
          <w:rStyle w:val="BodyChar"/>
          <w:rFonts w:cs="Arial"/>
        </w:rPr>
        <w:t>ore objectives include to:</w:t>
      </w:r>
    </w:p>
    <w:p w14:paraId="3D7EE32C" w14:textId="77777777" w:rsidR="00AD27A1" w:rsidRPr="00AD27A1" w:rsidRDefault="00AD27A1" w:rsidP="00AD27A1">
      <w:pPr>
        <w:pStyle w:val="Bullet1"/>
        <w:ind w:left="284"/>
        <w:rPr>
          <w:rFonts w:cs="Arial"/>
          <w:szCs w:val="21"/>
        </w:rPr>
      </w:pPr>
      <w:r w:rsidRPr="00AD27A1">
        <w:rPr>
          <w:rFonts w:cs="Arial"/>
          <w:szCs w:val="21"/>
        </w:rPr>
        <w:t>protect the rights of service users</w:t>
      </w:r>
    </w:p>
    <w:p w14:paraId="47DDD80A" w14:textId="77777777" w:rsidR="00AD27A1" w:rsidRPr="00AD27A1" w:rsidRDefault="00AD27A1" w:rsidP="00AD27A1">
      <w:pPr>
        <w:pStyle w:val="Bullet1"/>
        <w:ind w:left="284"/>
        <w:rPr>
          <w:rFonts w:cs="Arial"/>
          <w:szCs w:val="21"/>
        </w:rPr>
      </w:pPr>
      <w:r w:rsidRPr="00AD27A1">
        <w:rPr>
          <w:rFonts w:cs="Arial"/>
          <w:szCs w:val="21"/>
        </w:rPr>
        <w:t>support safe and effective social services delivery</w:t>
      </w:r>
    </w:p>
    <w:p w14:paraId="43BA68C2" w14:textId="2A021F16" w:rsidR="001A7080" w:rsidRDefault="00AD27A1" w:rsidP="008E0BA1">
      <w:pPr>
        <w:pStyle w:val="Bullet1"/>
        <w:ind w:left="284"/>
        <w:rPr>
          <w:rFonts w:cs="Arial"/>
          <w:szCs w:val="21"/>
        </w:rPr>
      </w:pPr>
      <w:r w:rsidRPr="00AD27A1">
        <w:rPr>
          <w:rFonts w:cs="Arial"/>
          <w:szCs w:val="21"/>
        </w:rPr>
        <w:t>minimise the risk of avoidable harm in service delivery.</w:t>
      </w:r>
    </w:p>
    <w:p w14:paraId="46593BB3" w14:textId="525C6797" w:rsidR="00A42BD3" w:rsidRDefault="00AD27A1" w:rsidP="00547F7B">
      <w:pPr>
        <w:pStyle w:val="Heading2"/>
      </w:pPr>
      <w:bookmarkStart w:id="2" w:name="_Toc178945950"/>
      <w:r>
        <w:lastRenderedPageBreak/>
        <w:t xml:space="preserve">Understanding </w:t>
      </w:r>
      <w:r w:rsidR="00BF5B9E">
        <w:t xml:space="preserve">your </w:t>
      </w:r>
      <w:r>
        <w:t>obligations</w:t>
      </w:r>
      <w:bookmarkEnd w:id="2"/>
    </w:p>
    <w:p w14:paraId="0825E06D" w14:textId="77777777" w:rsidR="00CC1AD8" w:rsidRDefault="00CC1AD8" w:rsidP="00547F7B">
      <w:pPr>
        <w:pStyle w:val="Heading3"/>
      </w:pPr>
      <w:bookmarkStart w:id="3" w:name="_Toc178945951"/>
      <w:r>
        <w:t xml:space="preserve">What </w:t>
      </w:r>
      <w:proofErr w:type="gramStart"/>
      <w:r>
        <w:t>are</w:t>
      </w:r>
      <w:proofErr w:type="gramEnd"/>
      <w:r>
        <w:t xml:space="preserve"> the Child Safe Standards?</w:t>
      </w:r>
      <w:bookmarkEnd w:id="3"/>
    </w:p>
    <w:p w14:paraId="19A4A74C" w14:textId="77777777" w:rsidR="00B80FBF" w:rsidRDefault="00350DD9" w:rsidP="22B3CC38">
      <w:pPr>
        <w:pStyle w:val="Body"/>
        <w:rPr>
          <w:rFonts w:asciiTheme="minorBidi" w:hAnsiTheme="minorBidi" w:cstheme="minorBidi"/>
        </w:rPr>
      </w:pPr>
      <w:r>
        <w:rPr>
          <w:rFonts w:asciiTheme="minorBidi" w:hAnsiTheme="minorBidi" w:cstheme="minorBidi"/>
        </w:rPr>
        <w:t xml:space="preserve">The </w:t>
      </w:r>
      <w:r w:rsidR="004D7CED">
        <w:rPr>
          <w:rFonts w:asciiTheme="minorBidi" w:hAnsiTheme="minorBidi" w:cstheme="minorBidi"/>
        </w:rPr>
        <w:t xml:space="preserve">11 </w:t>
      </w:r>
      <w:r w:rsidR="00C01ED9">
        <w:rPr>
          <w:rFonts w:asciiTheme="minorBidi" w:hAnsiTheme="minorBidi" w:cstheme="minorBidi"/>
        </w:rPr>
        <w:t xml:space="preserve">Child Safe Standards </w:t>
      </w:r>
      <w:r>
        <w:rPr>
          <w:rFonts w:asciiTheme="minorBidi" w:hAnsiTheme="minorBidi" w:cstheme="minorBidi"/>
        </w:rPr>
        <w:t xml:space="preserve">set out </w:t>
      </w:r>
      <w:r w:rsidRPr="009152D8">
        <w:rPr>
          <w:rFonts w:asciiTheme="minorBidi" w:hAnsiTheme="minorBidi" w:cstheme="minorBidi"/>
        </w:rPr>
        <w:t xml:space="preserve">the </w:t>
      </w:r>
      <w:r w:rsidRPr="00C01ED9">
        <w:rPr>
          <w:rFonts w:asciiTheme="minorBidi" w:hAnsiTheme="minorBidi" w:cstheme="minorBidi"/>
          <w:b/>
          <w:bCs/>
        </w:rPr>
        <w:t>minimum requirements</w:t>
      </w:r>
      <w:r>
        <w:rPr>
          <w:rFonts w:asciiTheme="minorBidi" w:hAnsiTheme="minorBidi" w:cstheme="minorBidi"/>
        </w:rPr>
        <w:t xml:space="preserve"> that o</w:t>
      </w:r>
      <w:r w:rsidR="00CC1AD8" w:rsidRPr="22B3CC38">
        <w:rPr>
          <w:rFonts w:asciiTheme="minorBidi" w:hAnsiTheme="minorBidi" w:cstheme="minorBidi"/>
        </w:rPr>
        <w:t xml:space="preserve">rganisations and businesses </w:t>
      </w:r>
      <w:r w:rsidR="005810EF" w:rsidRPr="22B3CC38">
        <w:rPr>
          <w:rFonts w:asciiTheme="minorBidi" w:hAnsiTheme="minorBidi" w:cstheme="minorBidi"/>
        </w:rPr>
        <w:t xml:space="preserve">in scope of the </w:t>
      </w:r>
      <w:hyperlink r:id="rId19" w:history="1">
        <w:r w:rsidR="005810EF" w:rsidRPr="00821115">
          <w:rPr>
            <w:rStyle w:val="Hyperlink"/>
            <w:rFonts w:cs="Arial"/>
          </w:rPr>
          <w:t>Child Wellbeing and Safety Act 2005</w:t>
        </w:r>
      </w:hyperlink>
      <w:r w:rsidR="005810EF" w:rsidRPr="22B3CC38">
        <w:rPr>
          <w:rFonts w:cs="Arial"/>
        </w:rPr>
        <w:t xml:space="preserve"> </w:t>
      </w:r>
      <w:r w:rsidR="00CC1AD8" w:rsidRPr="22B3CC38">
        <w:rPr>
          <w:rFonts w:asciiTheme="minorBidi" w:hAnsiTheme="minorBidi" w:cstheme="minorBidi"/>
        </w:rPr>
        <w:t xml:space="preserve">must meet </w:t>
      </w:r>
      <w:r>
        <w:rPr>
          <w:rFonts w:asciiTheme="minorBidi" w:hAnsiTheme="minorBidi" w:cstheme="minorBidi"/>
        </w:rPr>
        <w:t>to keep children and young people safe.</w:t>
      </w:r>
      <w:r w:rsidR="004D7CED">
        <w:rPr>
          <w:rFonts w:asciiTheme="minorBidi" w:hAnsiTheme="minorBidi" w:cstheme="minorBidi"/>
        </w:rPr>
        <w:t xml:space="preserve"> </w:t>
      </w:r>
    </w:p>
    <w:p w14:paraId="152848C2" w14:textId="191A1BAE" w:rsidR="00C01ED9" w:rsidRDefault="004D7CED" w:rsidP="22B3CC38">
      <w:pPr>
        <w:pStyle w:val="Body"/>
        <w:rPr>
          <w:rFonts w:asciiTheme="minorBidi" w:hAnsiTheme="minorBidi" w:cstheme="minorBidi"/>
        </w:rPr>
      </w:pPr>
      <w:r>
        <w:rPr>
          <w:rFonts w:asciiTheme="minorBidi" w:hAnsiTheme="minorBidi" w:cstheme="minorBidi"/>
        </w:rPr>
        <w:t xml:space="preserve">See </w:t>
      </w:r>
      <w:r w:rsidR="00821115" w:rsidRPr="00821115">
        <w:rPr>
          <w:rFonts w:asciiTheme="minorBidi" w:hAnsiTheme="minorBidi" w:cstheme="minorBidi"/>
          <w:i/>
          <w:iCs/>
        </w:rPr>
        <w:fldChar w:fldCharType="begin"/>
      </w:r>
      <w:r w:rsidR="00821115" w:rsidRPr="00821115">
        <w:rPr>
          <w:rFonts w:asciiTheme="minorBidi" w:hAnsiTheme="minorBidi" w:cstheme="minorBidi"/>
          <w:i/>
          <w:iCs/>
        </w:rPr>
        <w:instrText xml:space="preserve"> REF _Ref178152992 \h </w:instrText>
      </w:r>
      <w:r w:rsidR="00821115">
        <w:rPr>
          <w:rFonts w:asciiTheme="minorBidi" w:hAnsiTheme="minorBidi" w:cstheme="minorBidi"/>
          <w:i/>
          <w:iCs/>
        </w:rPr>
        <w:instrText xml:space="preserve"> \* MERGEFORMAT </w:instrText>
      </w:r>
      <w:r w:rsidR="00821115" w:rsidRPr="00821115">
        <w:rPr>
          <w:rFonts w:asciiTheme="minorBidi" w:hAnsiTheme="minorBidi" w:cstheme="minorBidi"/>
          <w:i/>
          <w:iCs/>
        </w:rPr>
      </w:r>
      <w:r w:rsidR="00821115" w:rsidRPr="00821115">
        <w:rPr>
          <w:rFonts w:asciiTheme="minorBidi" w:hAnsiTheme="minorBidi" w:cstheme="minorBidi"/>
          <w:i/>
          <w:iCs/>
        </w:rPr>
        <w:fldChar w:fldCharType="separate"/>
      </w:r>
      <w:r w:rsidR="00821115" w:rsidRPr="00821115">
        <w:rPr>
          <w:i/>
          <w:iCs/>
        </w:rPr>
        <w:t xml:space="preserve">Table </w:t>
      </w:r>
      <w:r w:rsidR="00821115" w:rsidRPr="00821115">
        <w:rPr>
          <w:i/>
          <w:iCs/>
          <w:noProof/>
        </w:rPr>
        <w:t>1</w:t>
      </w:r>
      <w:r w:rsidR="00821115" w:rsidRPr="00821115">
        <w:rPr>
          <w:i/>
          <w:iCs/>
        </w:rPr>
        <w:t>: Child Safe Standards</w:t>
      </w:r>
      <w:r w:rsidR="00821115" w:rsidRPr="00821115">
        <w:rPr>
          <w:rFonts w:asciiTheme="minorBidi" w:hAnsiTheme="minorBidi" w:cstheme="minorBidi"/>
          <w:i/>
          <w:iCs/>
        </w:rPr>
        <w:fldChar w:fldCharType="end"/>
      </w:r>
      <w:r>
        <w:rPr>
          <w:rFonts w:asciiTheme="minorBidi" w:hAnsiTheme="minorBidi" w:cstheme="minorBidi"/>
        </w:rPr>
        <w:t xml:space="preserve"> for an overview.</w:t>
      </w:r>
    </w:p>
    <w:p w14:paraId="4F981152" w14:textId="6DC2AABB" w:rsidR="00821115" w:rsidRDefault="00821115" w:rsidP="00821115">
      <w:pPr>
        <w:pStyle w:val="Tablecaption"/>
        <w:rPr>
          <w:rFonts w:asciiTheme="minorBidi" w:hAnsiTheme="minorBidi" w:cstheme="minorBidi"/>
        </w:rPr>
      </w:pPr>
      <w:bookmarkStart w:id="4" w:name="_Ref178152992"/>
      <w:r>
        <w:t xml:space="preserve">Table </w:t>
      </w:r>
      <w:r>
        <w:fldChar w:fldCharType="begin"/>
      </w:r>
      <w:r>
        <w:instrText xml:space="preserve"> SEQ Table \* ARABIC </w:instrText>
      </w:r>
      <w:r>
        <w:fldChar w:fldCharType="separate"/>
      </w:r>
      <w:r w:rsidR="00A903A7">
        <w:rPr>
          <w:noProof/>
        </w:rPr>
        <w:t>1</w:t>
      </w:r>
      <w:r>
        <w:fldChar w:fldCharType="end"/>
      </w:r>
      <w:r>
        <w:t>: Child Safe Standards</w:t>
      </w:r>
      <w:bookmarkEnd w:id="4"/>
    </w:p>
    <w:tbl>
      <w:tblPr>
        <w:tblStyle w:val="Purpletable"/>
        <w:tblW w:w="4995" w:type="pct"/>
        <w:tblInd w:w="5" w:type="dxa"/>
        <w:tblLook w:val="06A0" w:firstRow="1" w:lastRow="0" w:firstColumn="1" w:lastColumn="0" w:noHBand="1" w:noVBand="1"/>
      </w:tblPr>
      <w:tblGrid>
        <w:gridCol w:w="2406"/>
        <w:gridCol w:w="7788"/>
      </w:tblGrid>
      <w:tr w:rsidR="007F5004" w:rsidRPr="00143BCA" w14:paraId="4A31ABF7" w14:textId="77777777" w:rsidTr="004D7CED">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180" w:type="pct"/>
          </w:tcPr>
          <w:p w14:paraId="642CC0F5" w14:textId="5E4AECA1" w:rsidR="00217336" w:rsidRPr="00143BCA" w:rsidRDefault="00217336" w:rsidP="00196009">
            <w:pPr>
              <w:pStyle w:val="Tablecolhead"/>
              <w:rPr>
                <w:lang w:val="en-AU"/>
              </w:rPr>
            </w:pPr>
            <w:r>
              <w:rPr>
                <w:lang w:val="en-AU"/>
              </w:rPr>
              <w:t>Child Safe Standards</w:t>
            </w:r>
          </w:p>
        </w:tc>
        <w:tc>
          <w:tcPr>
            <w:tcW w:w="3820" w:type="pct"/>
          </w:tcPr>
          <w:p w14:paraId="23F35C89" w14:textId="48BF6B56" w:rsidR="00217336" w:rsidRPr="00143BCA" w:rsidRDefault="00217336" w:rsidP="00196009">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Description</w:t>
            </w:r>
            <w:r w:rsidR="007F5004">
              <w:rPr>
                <w:lang w:val="en-AU"/>
              </w:rPr>
              <w:t xml:space="preserve"> of Child Safe Standard</w:t>
            </w:r>
          </w:p>
        </w:tc>
      </w:tr>
      <w:tr w:rsidR="00217336" w:rsidRPr="00143BCA" w14:paraId="3083749B"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6E9F0569" w14:textId="6B033905" w:rsidR="00217336" w:rsidRPr="000A3920" w:rsidRDefault="00217336" w:rsidP="007F5004">
            <w:pPr>
              <w:pStyle w:val="Tabletext"/>
              <w:jc w:val="center"/>
              <w:rPr>
                <w:b/>
                <w:bCs/>
                <w:szCs w:val="21"/>
                <w:lang w:val="en-AU"/>
              </w:rPr>
            </w:pPr>
            <w:hyperlink r:id="rId20" w:history="1">
              <w:r w:rsidRPr="008815E4">
                <w:rPr>
                  <w:rStyle w:val="Hyperlink"/>
                  <w:b/>
                  <w:bCs/>
                  <w:szCs w:val="21"/>
                  <w:lang w:val="en-AU"/>
                </w:rPr>
                <w:t>Standard 1</w:t>
              </w:r>
            </w:hyperlink>
          </w:p>
        </w:tc>
        <w:tc>
          <w:tcPr>
            <w:tcW w:w="3820" w:type="pct"/>
          </w:tcPr>
          <w:p w14:paraId="659F6F73" w14:textId="070D9990" w:rsidR="00217336" w:rsidRPr="00143BCA" w:rsidRDefault="00217336" w:rsidP="00196009">
            <w:pPr>
              <w:pStyle w:val="Tabletext"/>
              <w:cnfStyle w:val="000000000000" w:firstRow="0" w:lastRow="0" w:firstColumn="0" w:lastColumn="0" w:oddVBand="0" w:evenVBand="0" w:oddHBand="0" w:evenHBand="0" w:firstRowFirstColumn="0" w:firstRowLastColumn="0" w:lastRowFirstColumn="0" w:lastRowLastColumn="0"/>
              <w:rPr>
                <w:lang w:val="en-AU"/>
              </w:rPr>
            </w:pPr>
            <w:proofErr w:type="spellStart"/>
            <w:r w:rsidRPr="007C7B9C">
              <w:t>Organisations</w:t>
            </w:r>
            <w:proofErr w:type="spellEnd"/>
            <w:r w:rsidRPr="007C7B9C">
              <w:t xml:space="preserve"> establish a culturally safe environment in which the diverse and unique identities and experiences of Aboriginal children and young people are respected and valued</w:t>
            </w:r>
          </w:p>
        </w:tc>
      </w:tr>
      <w:tr w:rsidR="00217336" w:rsidRPr="00143BCA" w14:paraId="2465D721"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3E1D3261" w14:textId="2B9A1567" w:rsidR="00217336" w:rsidRPr="000A3920" w:rsidRDefault="00217336" w:rsidP="007F5004">
            <w:pPr>
              <w:pStyle w:val="Tabletext"/>
              <w:jc w:val="center"/>
              <w:rPr>
                <w:b/>
                <w:bCs/>
                <w:szCs w:val="21"/>
                <w:lang w:val="en-AU"/>
              </w:rPr>
            </w:pPr>
            <w:hyperlink r:id="rId21" w:history="1">
              <w:r w:rsidRPr="008815E4">
                <w:rPr>
                  <w:rStyle w:val="Hyperlink"/>
                  <w:b/>
                  <w:bCs/>
                  <w:szCs w:val="21"/>
                </w:rPr>
                <w:t>Standard 2</w:t>
              </w:r>
            </w:hyperlink>
          </w:p>
        </w:tc>
        <w:tc>
          <w:tcPr>
            <w:tcW w:w="3820" w:type="pct"/>
          </w:tcPr>
          <w:p w14:paraId="01228570" w14:textId="5E1DA861" w:rsidR="00217336" w:rsidRPr="00143BCA" w:rsidRDefault="00217336" w:rsidP="00196009">
            <w:pPr>
              <w:pStyle w:val="Tabletext"/>
              <w:cnfStyle w:val="000000000000" w:firstRow="0" w:lastRow="0" w:firstColumn="0" w:lastColumn="0" w:oddVBand="0" w:evenVBand="0" w:oddHBand="0" w:evenHBand="0" w:firstRowFirstColumn="0" w:firstRowLastColumn="0" w:lastRowFirstColumn="0" w:lastRowLastColumn="0"/>
              <w:rPr>
                <w:lang w:val="en-AU"/>
              </w:rPr>
            </w:pPr>
            <w:r w:rsidRPr="007C7B9C">
              <w:t xml:space="preserve">Child safety and wellbeing is embedded in </w:t>
            </w:r>
            <w:proofErr w:type="spellStart"/>
            <w:r w:rsidRPr="007C7B9C">
              <w:t>organisational</w:t>
            </w:r>
            <w:proofErr w:type="spellEnd"/>
            <w:r w:rsidRPr="007C7B9C">
              <w:t xml:space="preserve"> leadership, governance and culture</w:t>
            </w:r>
          </w:p>
        </w:tc>
      </w:tr>
      <w:tr w:rsidR="00217336" w:rsidRPr="00143BCA" w14:paraId="5E6FF493"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71FAE4BA" w14:textId="3BF17BC7" w:rsidR="00217336" w:rsidRPr="000A3920" w:rsidRDefault="007F5004" w:rsidP="007F5004">
            <w:pPr>
              <w:pStyle w:val="Tabletext"/>
              <w:jc w:val="center"/>
              <w:rPr>
                <w:b/>
                <w:bCs/>
                <w:szCs w:val="21"/>
                <w:lang w:val="en-AU"/>
              </w:rPr>
            </w:pPr>
            <w:hyperlink r:id="rId22" w:history="1">
              <w:r w:rsidRPr="008815E4">
                <w:rPr>
                  <w:rStyle w:val="Hyperlink"/>
                  <w:b/>
                  <w:bCs/>
                  <w:szCs w:val="21"/>
                </w:rPr>
                <w:t>Standard 3</w:t>
              </w:r>
            </w:hyperlink>
          </w:p>
        </w:tc>
        <w:tc>
          <w:tcPr>
            <w:tcW w:w="3820" w:type="pct"/>
          </w:tcPr>
          <w:p w14:paraId="4125B3CF" w14:textId="53668B8E" w:rsidR="00217336" w:rsidRPr="00143BCA" w:rsidRDefault="007F5004" w:rsidP="00196009">
            <w:pPr>
              <w:pStyle w:val="Tabletext"/>
              <w:cnfStyle w:val="000000000000" w:firstRow="0" w:lastRow="0" w:firstColumn="0" w:lastColumn="0" w:oddVBand="0" w:evenVBand="0" w:oddHBand="0" w:evenHBand="0" w:firstRowFirstColumn="0" w:firstRowLastColumn="0" w:lastRowFirstColumn="0" w:lastRowLastColumn="0"/>
              <w:rPr>
                <w:lang w:val="en-AU"/>
              </w:rPr>
            </w:pPr>
            <w:r w:rsidRPr="007C7B9C">
              <w:t>Children and young people are empowered about their rights, participate in decisions affecting them and are taken seriously</w:t>
            </w:r>
          </w:p>
        </w:tc>
      </w:tr>
      <w:tr w:rsidR="00217336" w:rsidRPr="00143BCA" w14:paraId="2C275122"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08068638" w14:textId="47724C2E" w:rsidR="00217336" w:rsidRPr="000A3920" w:rsidRDefault="007F5004" w:rsidP="007F5004">
            <w:pPr>
              <w:pStyle w:val="Tabletext"/>
              <w:jc w:val="center"/>
              <w:rPr>
                <w:b/>
                <w:bCs/>
                <w:szCs w:val="21"/>
                <w:lang w:val="en-AU"/>
              </w:rPr>
            </w:pPr>
            <w:hyperlink r:id="rId23" w:history="1">
              <w:r w:rsidRPr="008815E4">
                <w:rPr>
                  <w:rStyle w:val="Hyperlink"/>
                  <w:b/>
                  <w:bCs/>
                  <w:szCs w:val="21"/>
                </w:rPr>
                <w:t>Standard 4</w:t>
              </w:r>
            </w:hyperlink>
          </w:p>
        </w:tc>
        <w:tc>
          <w:tcPr>
            <w:tcW w:w="3820" w:type="pct"/>
          </w:tcPr>
          <w:p w14:paraId="7D57CB83" w14:textId="1EDADE6E" w:rsidR="00217336" w:rsidRPr="00143BCA" w:rsidRDefault="007F5004" w:rsidP="00196009">
            <w:pPr>
              <w:pStyle w:val="Tabletext"/>
              <w:cnfStyle w:val="000000000000" w:firstRow="0" w:lastRow="0" w:firstColumn="0" w:lastColumn="0" w:oddVBand="0" w:evenVBand="0" w:oddHBand="0" w:evenHBand="0" w:firstRowFirstColumn="0" w:firstRowLastColumn="0" w:lastRowFirstColumn="0" w:lastRowLastColumn="0"/>
              <w:rPr>
                <w:lang w:val="en-AU"/>
              </w:rPr>
            </w:pPr>
            <w:r w:rsidRPr="007C7B9C">
              <w:t>Families and communities are informed and involved in promoting child safety and wellbeing</w:t>
            </w:r>
          </w:p>
        </w:tc>
      </w:tr>
      <w:tr w:rsidR="00217336" w:rsidRPr="00143BCA" w14:paraId="6D21111E"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7B605898" w14:textId="7F3D8981" w:rsidR="00217336" w:rsidRPr="000A3920" w:rsidRDefault="007F5004" w:rsidP="007F5004">
            <w:pPr>
              <w:pStyle w:val="Tabletext"/>
              <w:jc w:val="center"/>
              <w:rPr>
                <w:b/>
                <w:bCs/>
                <w:szCs w:val="21"/>
                <w:lang w:val="en-AU"/>
              </w:rPr>
            </w:pPr>
            <w:hyperlink r:id="rId24" w:history="1">
              <w:r w:rsidRPr="008815E4">
                <w:rPr>
                  <w:rStyle w:val="Hyperlink"/>
                  <w:b/>
                  <w:bCs/>
                  <w:szCs w:val="21"/>
                </w:rPr>
                <w:t>Standard 5</w:t>
              </w:r>
            </w:hyperlink>
          </w:p>
        </w:tc>
        <w:tc>
          <w:tcPr>
            <w:tcW w:w="3820" w:type="pct"/>
          </w:tcPr>
          <w:p w14:paraId="3A33B7DB" w14:textId="4D93E59F" w:rsidR="00217336" w:rsidRPr="00143BCA" w:rsidRDefault="007F5004" w:rsidP="00196009">
            <w:pPr>
              <w:pStyle w:val="Tabletext"/>
              <w:cnfStyle w:val="000000000000" w:firstRow="0" w:lastRow="0" w:firstColumn="0" w:lastColumn="0" w:oddVBand="0" w:evenVBand="0" w:oddHBand="0" w:evenHBand="0" w:firstRowFirstColumn="0" w:firstRowLastColumn="0" w:lastRowFirstColumn="0" w:lastRowLastColumn="0"/>
              <w:rPr>
                <w:lang w:val="en-AU"/>
              </w:rPr>
            </w:pPr>
            <w:r w:rsidRPr="007C7B9C">
              <w:t>Equity is upheld and diverse needs respected in policy and practice</w:t>
            </w:r>
          </w:p>
        </w:tc>
      </w:tr>
      <w:tr w:rsidR="007F5004" w:rsidRPr="00143BCA" w14:paraId="7C611E12"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22CDFF85" w14:textId="39E6DDF8" w:rsidR="007F5004" w:rsidRPr="000A3920" w:rsidRDefault="007F5004" w:rsidP="007F5004">
            <w:pPr>
              <w:pStyle w:val="Tabletext"/>
              <w:jc w:val="center"/>
              <w:rPr>
                <w:b/>
                <w:bCs/>
                <w:szCs w:val="21"/>
              </w:rPr>
            </w:pPr>
            <w:hyperlink r:id="rId25" w:history="1">
              <w:r w:rsidRPr="008815E4">
                <w:rPr>
                  <w:rStyle w:val="Hyperlink"/>
                  <w:b/>
                  <w:bCs/>
                  <w:szCs w:val="21"/>
                </w:rPr>
                <w:t>Standard 6</w:t>
              </w:r>
            </w:hyperlink>
          </w:p>
        </w:tc>
        <w:tc>
          <w:tcPr>
            <w:tcW w:w="3820" w:type="pct"/>
          </w:tcPr>
          <w:p w14:paraId="53D0628A" w14:textId="3DDCDF6D" w:rsidR="007F5004" w:rsidRPr="00143BCA" w:rsidRDefault="000A3920" w:rsidP="00196009">
            <w:pPr>
              <w:pStyle w:val="Tabletext"/>
              <w:cnfStyle w:val="000000000000" w:firstRow="0" w:lastRow="0" w:firstColumn="0" w:lastColumn="0" w:oddVBand="0" w:evenVBand="0" w:oddHBand="0" w:evenHBand="0" w:firstRowFirstColumn="0" w:firstRowLastColumn="0" w:lastRowFirstColumn="0" w:lastRowLastColumn="0"/>
            </w:pPr>
            <w:r w:rsidRPr="007C7B9C">
              <w:t>People working with children and young people are suitable and supported to reflect child safety and wellbeing values in practice</w:t>
            </w:r>
          </w:p>
        </w:tc>
      </w:tr>
      <w:tr w:rsidR="007F5004" w:rsidRPr="00143BCA" w14:paraId="7A4C4DCB"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275DE2AA" w14:textId="60DCBB91" w:rsidR="007F5004" w:rsidRPr="000A3920" w:rsidRDefault="000A3920" w:rsidP="007F5004">
            <w:pPr>
              <w:pStyle w:val="Tabletext"/>
              <w:jc w:val="center"/>
              <w:rPr>
                <w:b/>
                <w:bCs/>
                <w:szCs w:val="21"/>
              </w:rPr>
            </w:pPr>
            <w:hyperlink r:id="rId26" w:history="1">
              <w:r w:rsidRPr="008815E4">
                <w:rPr>
                  <w:rStyle w:val="Hyperlink"/>
                  <w:b/>
                  <w:bCs/>
                </w:rPr>
                <w:t>Standard 7</w:t>
              </w:r>
            </w:hyperlink>
          </w:p>
        </w:tc>
        <w:tc>
          <w:tcPr>
            <w:tcW w:w="3820" w:type="pct"/>
          </w:tcPr>
          <w:p w14:paraId="57CD4E93" w14:textId="5D742A31" w:rsidR="007F5004" w:rsidRPr="00143BCA" w:rsidRDefault="000A3920" w:rsidP="00196009">
            <w:pPr>
              <w:pStyle w:val="Tabletext"/>
              <w:cnfStyle w:val="000000000000" w:firstRow="0" w:lastRow="0" w:firstColumn="0" w:lastColumn="0" w:oddVBand="0" w:evenVBand="0" w:oddHBand="0" w:evenHBand="0" w:firstRowFirstColumn="0" w:firstRowLastColumn="0" w:lastRowFirstColumn="0" w:lastRowLastColumn="0"/>
            </w:pPr>
            <w:r w:rsidRPr="007C7B9C">
              <w:t>Processes for complaints and concerns are child-focused</w:t>
            </w:r>
          </w:p>
        </w:tc>
      </w:tr>
      <w:tr w:rsidR="007F5004" w:rsidRPr="00143BCA" w14:paraId="7C299C71"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15A9ECB8" w14:textId="7FCBBF23" w:rsidR="007F5004" w:rsidRPr="000A3920" w:rsidRDefault="000A3920" w:rsidP="007F5004">
            <w:pPr>
              <w:pStyle w:val="Tabletext"/>
              <w:jc w:val="center"/>
              <w:rPr>
                <w:b/>
                <w:bCs/>
                <w:szCs w:val="21"/>
              </w:rPr>
            </w:pPr>
            <w:hyperlink r:id="rId27" w:history="1">
              <w:r w:rsidRPr="008815E4">
                <w:rPr>
                  <w:rStyle w:val="Hyperlink"/>
                  <w:b/>
                  <w:bCs/>
                </w:rPr>
                <w:t>Standard 8</w:t>
              </w:r>
            </w:hyperlink>
          </w:p>
        </w:tc>
        <w:tc>
          <w:tcPr>
            <w:tcW w:w="3820" w:type="pct"/>
          </w:tcPr>
          <w:p w14:paraId="32EAFE46" w14:textId="4C839296" w:rsidR="007F5004" w:rsidRPr="00143BCA" w:rsidRDefault="00BA3CF0" w:rsidP="00196009">
            <w:pPr>
              <w:pStyle w:val="Tabletext"/>
              <w:cnfStyle w:val="000000000000" w:firstRow="0" w:lastRow="0" w:firstColumn="0" w:lastColumn="0" w:oddVBand="0" w:evenVBand="0" w:oddHBand="0" w:evenHBand="0" w:firstRowFirstColumn="0" w:firstRowLastColumn="0" w:lastRowFirstColumn="0" w:lastRowLastColumn="0"/>
            </w:pPr>
            <w:r w:rsidRPr="007C7B9C">
              <w:t>Staff and volunteers are equipped with the knowledge, skills and awareness to keep children and young people safe through ongoing education and training</w:t>
            </w:r>
          </w:p>
        </w:tc>
      </w:tr>
      <w:tr w:rsidR="007F5004" w:rsidRPr="00143BCA" w14:paraId="303469EF"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7D75A396" w14:textId="1F71D824" w:rsidR="007F5004" w:rsidRPr="000A3920" w:rsidRDefault="000A3920" w:rsidP="007F5004">
            <w:pPr>
              <w:pStyle w:val="Tabletext"/>
              <w:jc w:val="center"/>
              <w:rPr>
                <w:b/>
                <w:bCs/>
                <w:szCs w:val="21"/>
              </w:rPr>
            </w:pPr>
            <w:hyperlink r:id="rId28" w:history="1">
              <w:r w:rsidRPr="008815E4">
                <w:rPr>
                  <w:rStyle w:val="Hyperlink"/>
                  <w:b/>
                  <w:bCs/>
                </w:rPr>
                <w:t>Standard 9</w:t>
              </w:r>
            </w:hyperlink>
          </w:p>
        </w:tc>
        <w:tc>
          <w:tcPr>
            <w:tcW w:w="3820" w:type="pct"/>
          </w:tcPr>
          <w:p w14:paraId="2511A003" w14:textId="6E9B56D6" w:rsidR="007F5004" w:rsidRPr="00143BCA" w:rsidRDefault="00BA3CF0" w:rsidP="00196009">
            <w:pPr>
              <w:pStyle w:val="Tabletext"/>
              <w:cnfStyle w:val="000000000000" w:firstRow="0" w:lastRow="0" w:firstColumn="0" w:lastColumn="0" w:oddVBand="0" w:evenVBand="0" w:oddHBand="0" w:evenHBand="0" w:firstRowFirstColumn="0" w:firstRowLastColumn="0" w:lastRowFirstColumn="0" w:lastRowLastColumn="0"/>
            </w:pPr>
            <w:r w:rsidRPr="007C7B9C">
              <w:t xml:space="preserve">Physical and online environments promote safety and wellbeing while </w:t>
            </w:r>
            <w:proofErr w:type="spellStart"/>
            <w:r w:rsidRPr="007C7B9C">
              <w:t>minimising</w:t>
            </w:r>
            <w:proofErr w:type="spellEnd"/>
            <w:r w:rsidRPr="007C7B9C">
              <w:t xml:space="preserve"> the opportunity for children and young people to be harmed</w:t>
            </w:r>
          </w:p>
        </w:tc>
      </w:tr>
      <w:tr w:rsidR="00217336" w:rsidRPr="00143BCA" w14:paraId="234171C0"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289A8D75" w14:textId="7AE9006B" w:rsidR="00217336" w:rsidRPr="000A3920" w:rsidRDefault="000A3920" w:rsidP="007F5004">
            <w:pPr>
              <w:pStyle w:val="Tabletext"/>
              <w:jc w:val="center"/>
              <w:rPr>
                <w:b/>
                <w:bCs/>
                <w:szCs w:val="21"/>
                <w:lang w:val="en-AU"/>
              </w:rPr>
            </w:pPr>
            <w:hyperlink r:id="rId29" w:history="1">
              <w:r w:rsidRPr="008815E4">
                <w:rPr>
                  <w:rStyle w:val="Hyperlink"/>
                  <w:b/>
                  <w:bCs/>
                </w:rPr>
                <w:t>Standard 10</w:t>
              </w:r>
            </w:hyperlink>
          </w:p>
        </w:tc>
        <w:tc>
          <w:tcPr>
            <w:tcW w:w="3820" w:type="pct"/>
          </w:tcPr>
          <w:p w14:paraId="4C318829" w14:textId="585F417B" w:rsidR="00217336" w:rsidRPr="00143BCA" w:rsidRDefault="00BA3CF0" w:rsidP="00196009">
            <w:pPr>
              <w:pStyle w:val="Tabletext"/>
              <w:cnfStyle w:val="000000000000" w:firstRow="0" w:lastRow="0" w:firstColumn="0" w:lastColumn="0" w:oddVBand="0" w:evenVBand="0" w:oddHBand="0" w:evenHBand="0" w:firstRowFirstColumn="0" w:firstRowLastColumn="0" w:lastRowFirstColumn="0" w:lastRowLastColumn="0"/>
              <w:rPr>
                <w:lang w:val="en-AU"/>
              </w:rPr>
            </w:pPr>
            <w:r w:rsidRPr="007C7B9C">
              <w:t>Implementation of the Child Safe Standards is regularly reviewed and improved</w:t>
            </w:r>
          </w:p>
        </w:tc>
      </w:tr>
      <w:tr w:rsidR="000A3920" w:rsidRPr="00143BCA" w14:paraId="33E161D0" w14:textId="77777777" w:rsidTr="004D7CED">
        <w:tc>
          <w:tcPr>
            <w:cnfStyle w:val="001000000000" w:firstRow="0" w:lastRow="0" w:firstColumn="1" w:lastColumn="0" w:oddVBand="0" w:evenVBand="0" w:oddHBand="0" w:evenHBand="0" w:firstRowFirstColumn="0" w:firstRowLastColumn="0" w:lastRowFirstColumn="0" w:lastRowLastColumn="0"/>
            <w:tcW w:w="1180" w:type="pct"/>
          </w:tcPr>
          <w:p w14:paraId="74B02973" w14:textId="65B89DE4" w:rsidR="000A3920" w:rsidRPr="000A3920" w:rsidRDefault="000A3920" w:rsidP="007F5004">
            <w:pPr>
              <w:pStyle w:val="Tabletext"/>
              <w:jc w:val="center"/>
              <w:rPr>
                <w:b/>
                <w:bCs/>
              </w:rPr>
            </w:pPr>
            <w:hyperlink r:id="rId30" w:history="1">
              <w:r w:rsidRPr="008815E4">
                <w:rPr>
                  <w:rStyle w:val="Hyperlink"/>
                  <w:b/>
                  <w:bCs/>
                </w:rPr>
                <w:t>Standard 11</w:t>
              </w:r>
            </w:hyperlink>
          </w:p>
        </w:tc>
        <w:tc>
          <w:tcPr>
            <w:tcW w:w="3820" w:type="pct"/>
          </w:tcPr>
          <w:p w14:paraId="2533160B" w14:textId="596001B2" w:rsidR="000A3920" w:rsidRPr="00BA3CF0" w:rsidRDefault="00BA3CF0" w:rsidP="00BA3CF0">
            <w:pPr>
              <w:pStyle w:val="Body"/>
              <w:cnfStyle w:val="000000000000" w:firstRow="0" w:lastRow="0" w:firstColumn="0" w:lastColumn="0" w:oddVBand="0" w:evenVBand="0" w:oddHBand="0" w:evenHBand="0" w:firstRowFirstColumn="0" w:firstRowLastColumn="0" w:lastRowFirstColumn="0" w:lastRowLastColumn="0"/>
            </w:pPr>
            <w:r w:rsidRPr="007C7B9C">
              <w:t xml:space="preserve">Policies and procedures document how the </w:t>
            </w:r>
            <w:proofErr w:type="spellStart"/>
            <w:r w:rsidRPr="007C7B9C">
              <w:t>organisation</w:t>
            </w:r>
            <w:proofErr w:type="spellEnd"/>
            <w:r w:rsidRPr="007C7B9C">
              <w:t xml:space="preserve"> is safe for children and young people</w:t>
            </w:r>
          </w:p>
        </w:tc>
      </w:tr>
    </w:tbl>
    <w:p w14:paraId="20B598F6" w14:textId="77777777" w:rsidR="00217336" w:rsidRDefault="00217336" w:rsidP="00217336"/>
    <w:p w14:paraId="653CECBD" w14:textId="10E424A4" w:rsidR="002F0CB0" w:rsidRDefault="008815E4" w:rsidP="002F0CB0">
      <w:pPr>
        <w:pStyle w:val="Body"/>
        <w:rPr>
          <w:rFonts w:asciiTheme="minorBidi" w:hAnsiTheme="minorBidi" w:cstheme="minorBidi"/>
          <w:color w:val="0B1F32"/>
        </w:rPr>
      </w:pPr>
      <w:r>
        <w:t>M</w:t>
      </w:r>
      <w:r w:rsidR="00CC1AD8">
        <w:t>ore information</w:t>
      </w:r>
      <w:r w:rsidR="00CC1AD8" w:rsidRPr="007C7B9C">
        <w:rPr>
          <w:rFonts w:asciiTheme="minorBidi" w:hAnsiTheme="minorBidi" w:cstheme="minorBidi"/>
        </w:rPr>
        <w:t xml:space="preserve"> about the </w:t>
      </w:r>
      <w:r w:rsidR="00672122">
        <w:rPr>
          <w:rFonts w:asciiTheme="minorBidi" w:hAnsiTheme="minorBidi" w:cstheme="minorBidi"/>
        </w:rPr>
        <w:t>Child Safe Standards</w:t>
      </w:r>
      <w:r>
        <w:rPr>
          <w:rFonts w:asciiTheme="minorBidi" w:hAnsiTheme="minorBidi" w:cstheme="minorBidi"/>
        </w:rPr>
        <w:t xml:space="preserve"> is available </w:t>
      </w:r>
      <w:r w:rsidR="00880392">
        <w:rPr>
          <w:rFonts w:asciiTheme="minorBidi" w:hAnsiTheme="minorBidi" w:cstheme="minorBidi"/>
        </w:rPr>
        <w:t xml:space="preserve">online </w:t>
      </w:r>
      <w:r>
        <w:rPr>
          <w:rFonts w:asciiTheme="minorBidi" w:hAnsiTheme="minorBidi" w:cstheme="minorBidi"/>
        </w:rPr>
        <w:t xml:space="preserve">at </w:t>
      </w:r>
      <w:r w:rsidR="00CC1AD8" w:rsidRPr="007C7B9C">
        <w:rPr>
          <w:rFonts w:asciiTheme="minorBidi" w:hAnsiTheme="minorBidi" w:cstheme="minorBidi"/>
        </w:rPr>
        <w:t xml:space="preserve">the </w:t>
      </w:r>
      <w:hyperlink r:id="rId31" w:history="1">
        <w:r w:rsidR="00CC1AD8" w:rsidRPr="00880392">
          <w:rPr>
            <w:rStyle w:val="Hyperlink"/>
            <w:rFonts w:asciiTheme="minorBidi" w:hAnsiTheme="minorBidi" w:cstheme="minorBidi"/>
          </w:rPr>
          <w:t xml:space="preserve">Commission for Children and Young People’s </w:t>
        </w:r>
        <w:bookmarkStart w:id="5" w:name="_Hlk178153025"/>
        <w:r w:rsidR="00F51799" w:rsidRPr="00880392">
          <w:rPr>
            <w:rStyle w:val="Hyperlink"/>
            <w:rFonts w:asciiTheme="minorBidi" w:hAnsiTheme="minorBidi" w:cstheme="minorBidi"/>
          </w:rPr>
          <w:t xml:space="preserve">(CCYP’s) </w:t>
        </w:r>
        <w:bookmarkEnd w:id="5"/>
        <w:r w:rsidR="00880392" w:rsidRPr="00880392">
          <w:rPr>
            <w:rStyle w:val="Hyperlink"/>
            <w:rFonts w:asciiTheme="minorBidi" w:hAnsiTheme="minorBidi" w:cstheme="minorBidi"/>
          </w:rPr>
          <w:t>webpage</w:t>
        </w:r>
      </w:hyperlink>
      <w:r w:rsidR="00880392">
        <w:rPr>
          <w:rFonts w:asciiTheme="minorBidi" w:hAnsiTheme="minorBidi" w:cstheme="minorBidi"/>
        </w:rPr>
        <w:t>.</w:t>
      </w:r>
    </w:p>
    <w:p w14:paraId="49FB776E" w14:textId="4F219B70" w:rsidR="00C82A38" w:rsidRDefault="00C82A38">
      <w:pPr>
        <w:spacing w:after="0" w:line="240" w:lineRule="auto"/>
        <w:rPr>
          <w:rFonts w:asciiTheme="minorBidi" w:eastAsia="Times" w:hAnsiTheme="minorBidi" w:cstheme="minorBidi"/>
          <w:color w:val="0B1F32"/>
        </w:rPr>
      </w:pPr>
      <w:r>
        <w:rPr>
          <w:rFonts w:asciiTheme="minorBidi" w:hAnsiTheme="minorBidi" w:cstheme="minorBidi"/>
          <w:color w:val="0B1F32"/>
        </w:rPr>
        <w:br w:type="page"/>
      </w:r>
    </w:p>
    <w:p w14:paraId="451F4B50" w14:textId="0479293C" w:rsidR="001A7080" w:rsidRDefault="00490BEA" w:rsidP="00547F7B">
      <w:pPr>
        <w:pStyle w:val="Heading3"/>
      </w:pPr>
      <w:bookmarkStart w:id="6" w:name="_Toc178945952"/>
      <w:r>
        <w:lastRenderedPageBreak/>
        <w:t>Who must meet</w:t>
      </w:r>
      <w:r w:rsidR="007D7AC5">
        <w:t xml:space="preserve"> the Child Safe Standards?</w:t>
      </w:r>
      <w:bookmarkEnd w:id="6"/>
    </w:p>
    <w:p w14:paraId="7DA5F64E" w14:textId="0C7B7F73" w:rsidR="00F23BDA" w:rsidRDefault="007D7AC5" w:rsidP="004D7CED">
      <w:pPr>
        <w:pStyle w:val="Body"/>
      </w:pPr>
      <w:r>
        <w:t xml:space="preserve">Organisations that provide </w:t>
      </w:r>
      <w:r w:rsidR="00A208A9">
        <w:t>or facilit</w:t>
      </w:r>
      <w:r w:rsidR="000727E1">
        <w:t>ate</w:t>
      </w:r>
      <w:r w:rsidR="00A208A9">
        <w:t xml:space="preserve"> </w:t>
      </w:r>
      <w:r>
        <w:t>services for</w:t>
      </w:r>
      <w:r w:rsidR="008C7025">
        <w:t xml:space="preserve"> </w:t>
      </w:r>
      <w:r w:rsidR="003E0E47">
        <w:t xml:space="preserve">children, </w:t>
      </w:r>
      <w:r w:rsidR="008C7025">
        <w:t>or employ</w:t>
      </w:r>
      <w:r>
        <w:t xml:space="preserve"> </w:t>
      </w:r>
      <w:r w:rsidRPr="00590940">
        <w:t>children</w:t>
      </w:r>
      <w:r w:rsidR="003E0E47">
        <w:t>,</w:t>
      </w:r>
      <w:r>
        <w:t xml:space="preserve"> must </w:t>
      </w:r>
      <w:r w:rsidR="00214F39">
        <w:t>meet</w:t>
      </w:r>
      <w:r>
        <w:t xml:space="preserve"> the Child Safe Standards.</w:t>
      </w:r>
      <w:r w:rsidR="00F25D08">
        <w:t xml:space="preserve"> </w:t>
      </w:r>
    </w:p>
    <w:p w14:paraId="69133A9A" w14:textId="4043E43A" w:rsidR="00F952C3" w:rsidRDefault="00F23BDA" w:rsidP="004D7CED">
      <w:pPr>
        <w:pStyle w:val="Body"/>
      </w:pPr>
      <w:r>
        <w:t>This includes service providers registered with the Social Services Regulator, who must meet the Child Safe Standards if they provide or facilitate services for</w:t>
      </w:r>
      <w:r w:rsidR="003E0E47">
        <w:t xml:space="preserve"> (</w:t>
      </w:r>
      <w:r w:rsidR="00231E05">
        <w:t>or employ</w:t>
      </w:r>
      <w:r w:rsidR="003E0E47">
        <w:t>)</w:t>
      </w:r>
      <w:r>
        <w:t xml:space="preserve"> children.</w:t>
      </w:r>
      <w:r w:rsidR="003E0E47">
        <w:t xml:space="preserve"> </w:t>
      </w:r>
      <w:r w:rsidR="00214F39">
        <w:t>Th</w:t>
      </w:r>
      <w:r w:rsidR="00F179B2">
        <w:t xml:space="preserve">is </w:t>
      </w:r>
      <w:r>
        <w:t>definition includes</w:t>
      </w:r>
      <w:r w:rsidR="00214F39">
        <w:t xml:space="preserve"> organisations </w:t>
      </w:r>
      <w:r w:rsidR="00F179B2">
        <w:t xml:space="preserve">that provide </w:t>
      </w:r>
      <w:r w:rsidR="00F179B2" w:rsidRPr="002732DC">
        <w:t>some</w:t>
      </w:r>
      <w:r w:rsidR="00F179B2">
        <w:t xml:space="preserve"> or </w:t>
      </w:r>
      <w:proofErr w:type="gramStart"/>
      <w:r w:rsidR="00F179B2">
        <w:t>all of</w:t>
      </w:r>
      <w:proofErr w:type="gramEnd"/>
      <w:r w:rsidR="00F179B2">
        <w:t xml:space="preserve"> their services or programs directed towards children</w:t>
      </w:r>
      <w:r>
        <w:t>, as the definition</w:t>
      </w:r>
      <w:r w:rsidR="00F952C3">
        <w:t>:</w:t>
      </w:r>
    </w:p>
    <w:p w14:paraId="1F65CCF8" w14:textId="52F3E291" w:rsidR="00F952C3" w:rsidRDefault="00F179B2" w:rsidP="00821115">
      <w:pPr>
        <w:pStyle w:val="Bullet1"/>
      </w:pPr>
      <w:r>
        <w:t>goes beyond providing services solely for children</w:t>
      </w:r>
    </w:p>
    <w:p w14:paraId="3197B21E" w14:textId="1E84C4F4" w:rsidR="00214F39" w:rsidRDefault="00F179B2" w:rsidP="00821115">
      <w:pPr>
        <w:pStyle w:val="Bullet1"/>
      </w:pPr>
      <w:r>
        <w:t>includes services that have a special application to children in the way the</w:t>
      </w:r>
      <w:r w:rsidR="00954457">
        <w:t>se services</w:t>
      </w:r>
      <w:r>
        <w:t xml:space="preserve"> are provided</w:t>
      </w:r>
    </w:p>
    <w:p w14:paraId="525111C3" w14:textId="235A3549" w:rsidR="00F23BDA" w:rsidRDefault="001D2897" w:rsidP="00821115">
      <w:pPr>
        <w:pStyle w:val="Bullet1"/>
      </w:pPr>
      <w:r>
        <w:t>refers to ‘c</w:t>
      </w:r>
      <w:r w:rsidR="00954457">
        <w:t xml:space="preserve">hild’ </w:t>
      </w:r>
      <w:r>
        <w:t>as</w:t>
      </w:r>
      <w:r w:rsidR="00954457">
        <w:t xml:space="preserve"> anyone under 18 years of age.</w:t>
      </w:r>
    </w:p>
    <w:p w14:paraId="6E1DD3B0" w14:textId="46FA8E17" w:rsidR="00954457" w:rsidRDefault="00954457" w:rsidP="00821115">
      <w:pPr>
        <w:pStyle w:val="Bodyafterbullets"/>
      </w:pPr>
      <w:r>
        <w:t xml:space="preserve">If organisations </w:t>
      </w:r>
      <w:r w:rsidR="00CC1AD8">
        <w:t xml:space="preserve">have </w:t>
      </w:r>
      <w:r>
        <w:t xml:space="preserve">met these criteria for </w:t>
      </w:r>
      <w:r w:rsidRPr="002732DC">
        <w:t>any</w:t>
      </w:r>
      <w:r>
        <w:t xml:space="preserve"> of the services they deliver, they must meet the Child Safe Standards if they are:</w:t>
      </w:r>
    </w:p>
    <w:p w14:paraId="42C2A7B6" w14:textId="4982A0B6" w:rsidR="00954457" w:rsidRDefault="000B43D8" w:rsidP="00821115">
      <w:pPr>
        <w:pStyle w:val="Bullet1"/>
      </w:pPr>
      <w:r>
        <w:t>a</w:t>
      </w:r>
      <w:r w:rsidR="00954457">
        <w:t>n incorporated body</w:t>
      </w:r>
    </w:p>
    <w:p w14:paraId="349E9EE9" w14:textId="732001EB" w:rsidR="00954457" w:rsidRDefault="000B43D8" w:rsidP="00821115">
      <w:pPr>
        <w:pStyle w:val="Bullet1"/>
      </w:pPr>
      <w:r>
        <w:t>a</w:t>
      </w:r>
      <w:r w:rsidR="00954457">
        <w:t>n unincorporated body</w:t>
      </w:r>
    </w:p>
    <w:p w14:paraId="51518E65" w14:textId="649B0095" w:rsidR="00954457" w:rsidRDefault="000B43D8" w:rsidP="00821115">
      <w:pPr>
        <w:pStyle w:val="Bullet1"/>
      </w:pPr>
      <w:r>
        <w:t>a</w:t>
      </w:r>
      <w:r w:rsidR="00954457">
        <w:t>n association</w:t>
      </w:r>
      <w:r w:rsidR="00590940">
        <w:t>.</w:t>
      </w:r>
    </w:p>
    <w:p w14:paraId="69A98B04" w14:textId="26F45FEB" w:rsidR="00954457" w:rsidRDefault="00954457" w:rsidP="00821115">
      <w:pPr>
        <w:pStyle w:val="Bodyafterbullets"/>
      </w:pPr>
      <w:r>
        <w:t>Sole traders also need to meet the Child Safe Standards if they have engaged a contractor, employee or volunteer (of all ages) to:</w:t>
      </w:r>
    </w:p>
    <w:p w14:paraId="09C5EB27" w14:textId="1FD28CCE" w:rsidR="00954457" w:rsidRDefault="000B43D8" w:rsidP="00821115">
      <w:pPr>
        <w:pStyle w:val="Bullet1"/>
      </w:pPr>
      <w:r>
        <w:t>p</w:t>
      </w:r>
      <w:r w:rsidR="00954457">
        <w:t>rovide their services or facilities, or</w:t>
      </w:r>
    </w:p>
    <w:p w14:paraId="120B23D3" w14:textId="57D6B019" w:rsidR="00240CC4" w:rsidRDefault="000B43D8" w:rsidP="00821115">
      <w:pPr>
        <w:pStyle w:val="Bullet1"/>
      </w:pPr>
      <w:r>
        <w:t>p</w:t>
      </w:r>
      <w:r w:rsidR="00954457">
        <w:t>roduce goods.</w:t>
      </w:r>
    </w:p>
    <w:p w14:paraId="0D75AFDD" w14:textId="5372BF25" w:rsidR="004D7CED" w:rsidRDefault="004D7CED" w:rsidP="00A903A7">
      <w:pPr>
        <w:pStyle w:val="Bodyafterbullets"/>
        <w:rPr>
          <w:rStyle w:val="normaltextrun"/>
        </w:rPr>
      </w:pPr>
      <w:r w:rsidRPr="00A903A7">
        <w:rPr>
          <w:rStyle w:val="normaltextrun"/>
        </w:rPr>
        <w:t xml:space="preserve">A list of organisations and businesses covered by the Child Safe Standards is available </w:t>
      </w:r>
      <w:r w:rsidR="00A903A7" w:rsidRPr="00A903A7">
        <w:rPr>
          <w:rStyle w:val="normaltextrun"/>
        </w:rPr>
        <w:t xml:space="preserve">on </w:t>
      </w:r>
      <w:r w:rsidR="00A903A7" w:rsidRPr="00A903A7">
        <w:t xml:space="preserve">the </w:t>
      </w:r>
      <w:hyperlink r:id="rId32" w:history="1">
        <w:r w:rsidR="00A903A7" w:rsidRPr="00A903A7">
          <w:rPr>
            <w:rStyle w:val="Hyperlink"/>
          </w:rPr>
          <w:t>Commission for Children and Young People’s website</w:t>
        </w:r>
      </w:hyperlink>
      <w:r w:rsidR="002732DC">
        <w:rPr>
          <w:rStyle w:val="Hyperlink"/>
        </w:rPr>
        <w:t>.</w:t>
      </w:r>
    </w:p>
    <w:p w14:paraId="24BFD90D" w14:textId="77777777" w:rsidR="00540098" w:rsidRDefault="00540098" w:rsidP="00547F7B">
      <w:pPr>
        <w:pStyle w:val="Heading3"/>
      </w:pPr>
      <w:bookmarkStart w:id="7" w:name="_Toc178945953"/>
      <w:r>
        <w:t>What steps do providers need to take?</w:t>
      </w:r>
      <w:bookmarkEnd w:id="7"/>
      <w:r>
        <w:t xml:space="preserve"> </w:t>
      </w:r>
    </w:p>
    <w:p w14:paraId="6EF68DEE" w14:textId="77777777" w:rsidR="00540098" w:rsidRDefault="00540098" w:rsidP="00540098">
      <w:pPr>
        <w:pStyle w:val="Body"/>
      </w:pPr>
      <w:r>
        <w:t xml:space="preserve">There are likely no significant operational changes for service providers to meet the Child Safe Standards. </w:t>
      </w:r>
    </w:p>
    <w:p w14:paraId="03AFC4DF" w14:textId="77777777" w:rsidR="00540098" w:rsidRDefault="00540098" w:rsidP="00540098">
      <w:pPr>
        <w:pStyle w:val="Body"/>
      </w:pPr>
      <w:r>
        <w:t xml:space="preserve">If a service provider was already providing social services involving children, they were already in scope of the Child Safe Standards and expected to comply prior to the establishment of the Social Services Regulator. </w:t>
      </w:r>
    </w:p>
    <w:p w14:paraId="589CF35F" w14:textId="5365DAC2" w:rsidR="00540098" w:rsidRDefault="00540098" w:rsidP="003E0E47">
      <w:pPr>
        <w:pStyle w:val="Body"/>
        <w:rPr>
          <w:rFonts w:cstheme="minorBidi"/>
        </w:rPr>
      </w:pPr>
      <w:r w:rsidRPr="07783754">
        <w:rPr>
          <w:rFonts w:cstheme="minorBidi"/>
        </w:rPr>
        <w:t xml:space="preserve">Providers can also undertake a self-assessment to check understanding and compliance with the Child Safe Standards </w:t>
      </w:r>
      <w:r>
        <w:rPr>
          <w:rFonts w:cstheme="minorBidi"/>
        </w:rPr>
        <w:t>and identify any gaps that require action</w:t>
      </w:r>
      <w:r w:rsidR="002732DC">
        <w:rPr>
          <w:rFonts w:cstheme="minorBidi"/>
        </w:rPr>
        <w:t xml:space="preserve">. The tool can be found under the Resources section of the </w:t>
      </w:r>
      <w:hyperlink r:id="rId33" w:history="1">
        <w:r w:rsidR="002732DC" w:rsidRPr="002732DC">
          <w:rPr>
            <w:rStyle w:val="Hyperlink"/>
            <w:rFonts w:cstheme="minorBidi"/>
          </w:rPr>
          <w:t>Changes to the regulation of the Child Safe Standards webpage</w:t>
        </w:r>
      </w:hyperlink>
      <w:r w:rsidRPr="07783754">
        <w:rPr>
          <w:rFonts w:cstheme="minorBidi"/>
        </w:rPr>
        <w:t>.</w:t>
      </w:r>
    </w:p>
    <w:p w14:paraId="1FA0876A" w14:textId="44ADF740" w:rsidR="003E0E47" w:rsidRPr="005077F2" w:rsidRDefault="003E0E47" w:rsidP="005077F2">
      <w:pPr>
        <w:pStyle w:val="Heading3"/>
      </w:pPr>
      <w:r w:rsidRPr="005077F2">
        <w:t>Other compliance requirements</w:t>
      </w:r>
    </w:p>
    <w:p w14:paraId="3F1E0F8F" w14:textId="78BAB9C5" w:rsidR="005077F2" w:rsidRDefault="005077F2" w:rsidP="005077F2">
      <w:pPr>
        <w:pStyle w:val="Bodyafterbullets"/>
        <w:rPr>
          <w:rStyle w:val="BodyChar"/>
          <w:rFonts w:cs="Arial"/>
          <w:szCs w:val="21"/>
        </w:rPr>
      </w:pPr>
      <w:r>
        <w:rPr>
          <w:rStyle w:val="BodyChar"/>
          <w:rFonts w:cs="Arial"/>
          <w:szCs w:val="21"/>
        </w:rPr>
        <w:t>A</w:t>
      </w:r>
      <w:r w:rsidRPr="004D7CED">
        <w:rPr>
          <w:rStyle w:val="BodyChar"/>
          <w:rFonts w:cs="Arial"/>
          <w:szCs w:val="21"/>
        </w:rPr>
        <w:t xml:space="preserve">ll registered social services providers in Victoria in scope of the new regulatory scheme must </w:t>
      </w:r>
      <w:r>
        <w:rPr>
          <w:rStyle w:val="BodyChar"/>
          <w:rFonts w:cs="Arial"/>
          <w:szCs w:val="21"/>
        </w:rPr>
        <w:t xml:space="preserve">also </w:t>
      </w:r>
      <w:r w:rsidRPr="004D7CED">
        <w:rPr>
          <w:rStyle w:val="BodyChar"/>
          <w:rFonts w:cs="Arial"/>
          <w:szCs w:val="21"/>
        </w:rPr>
        <w:t>meet</w:t>
      </w:r>
      <w:r>
        <w:rPr>
          <w:rStyle w:val="BodyChar"/>
          <w:rFonts w:cs="Arial"/>
          <w:szCs w:val="21"/>
        </w:rPr>
        <w:t xml:space="preserve"> </w:t>
      </w:r>
      <w:r w:rsidR="00547F7B">
        <w:rPr>
          <w:rStyle w:val="BodyChar"/>
          <w:rFonts w:cs="Arial"/>
          <w:szCs w:val="21"/>
        </w:rPr>
        <w:t>6</w:t>
      </w:r>
      <w:r w:rsidRPr="004D7CED">
        <w:rPr>
          <w:rStyle w:val="BodyChar"/>
          <w:rFonts w:cs="Arial"/>
          <w:szCs w:val="21"/>
        </w:rPr>
        <w:t xml:space="preserve"> Social Services Standards.</w:t>
      </w:r>
    </w:p>
    <w:p w14:paraId="69967B0E" w14:textId="19CFB3E6" w:rsidR="003E0E47" w:rsidRPr="005077F2" w:rsidRDefault="005077F2" w:rsidP="005077F2">
      <w:pPr>
        <w:pStyle w:val="Body"/>
        <w:rPr>
          <w:rStyle w:val="normaltextrun"/>
          <w:rFonts w:cstheme="minorBidi"/>
        </w:rPr>
      </w:pPr>
      <w:r w:rsidRPr="004D7CED">
        <w:rPr>
          <w:rFonts w:cs="Arial"/>
          <w:szCs w:val="21"/>
        </w:rPr>
        <w:t xml:space="preserve">Each of the Social Services Standards are equally important and providers must meet </w:t>
      </w:r>
      <w:r w:rsidRPr="005077F2">
        <w:rPr>
          <w:rFonts w:cs="Arial"/>
          <w:szCs w:val="21"/>
        </w:rPr>
        <w:t>all six</w:t>
      </w:r>
      <w:r w:rsidR="00C00A45">
        <w:rPr>
          <w:rFonts w:cs="Arial"/>
          <w:szCs w:val="21"/>
        </w:rPr>
        <w:t xml:space="preserve"> Standards</w:t>
      </w:r>
      <w:r w:rsidRPr="005077F2">
        <w:rPr>
          <w:rFonts w:cs="Arial"/>
          <w:szCs w:val="21"/>
        </w:rPr>
        <w:t xml:space="preserve">. </w:t>
      </w:r>
      <w:r>
        <w:rPr>
          <w:rFonts w:cs="Arial"/>
          <w:szCs w:val="21"/>
        </w:rPr>
        <w:t xml:space="preserve">Further information is available </w:t>
      </w:r>
      <w:r w:rsidR="00547F7B">
        <w:rPr>
          <w:rFonts w:cs="Arial"/>
          <w:szCs w:val="21"/>
        </w:rPr>
        <w:t xml:space="preserve">on the </w:t>
      </w:r>
      <w:hyperlink r:id="rId34" w:history="1">
        <w:r w:rsidR="00547F7B" w:rsidRPr="00547F7B">
          <w:rPr>
            <w:rStyle w:val="Hyperlink"/>
            <w:rFonts w:cs="Arial"/>
            <w:szCs w:val="21"/>
          </w:rPr>
          <w:t>About the Social Services webpage</w:t>
        </w:r>
      </w:hyperlink>
      <w:r w:rsidR="00547F7B">
        <w:rPr>
          <w:rFonts w:cs="Arial"/>
          <w:szCs w:val="21"/>
        </w:rPr>
        <w:t>.</w:t>
      </w:r>
      <w:r w:rsidR="00940B75">
        <w:rPr>
          <w:rFonts w:cs="Arial"/>
          <w:szCs w:val="21"/>
        </w:rPr>
        <w:t xml:space="preserve"> </w:t>
      </w:r>
    </w:p>
    <w:p w14:paraId="53F81AA5" w14:textId="4ABAB4D7" w:rsidR="00C56142" w:rsidRDefault="003125B0" w:rsidP="00547F7B">
      <w:pPr>
        <w:pStyle w:val="Heading2"/>
      </w:pPr>
      <w:bookmarkStart w:id="8" w:name="_Toc178945954"/>
      <w:r>
        <w:t xml:space="preserve">Monitoring the </w:t>
      </w:r>
      <w:r w:rsidR="00C56142">
        <w:t>Child Safe</w:t>
      </w:r>
      <w:r w:rsidR="007C7B9C">
        <w:t xml:space="preserve"> Standards</w:t>
      </w:r>
      <w:bookmarkEnd w:id="8"/>
    </w:p>
    <w:p w14:paraId="1472D79C" w14:textId="23C76ED7" w:rsidR="007C7B9C" w:rsidRDefault="00C00A45" w:rsidP="00C00A45">
      <w:pPr>
        <w:pStyle w:val="Body"/>
      </w:pPr>
      <w:r>
        <w:t>As t</w:t>
      </w:r>
      <w:r w:rsidR="00946BD6">
        <w:t xml:space="preserve">he </w:t>
      </w:r>
      <w:r w:rsidR="00DB4350">
        <w:t xml:space="preserve">Social Services </w:t>
      </w:r>
      <w:r w:rsidR="00946BD6">
        <w:t xml:space="preserve">Regulator </w:t>
      </w:r>
      <w:r w:rsidR="007C7B9C">
        <w:t>regulate</w:t>
      </w:r>
      <w:r w:rsidR="0088105B">
        <w:t>s</w:t>
      </w:r>
      <w:r w:rsidR="007C7B9C">
        <w:t xml:space="preserve"> the Child Safe Standards</w:t>
      </w:r>
      <w:r w:rsidR="003E0E47">
        <w:t xml:space="preserve"> as well as monitoring compliance with the Social Services Standards</w:t>
      </w:r>
      <w:r w:rsidR="00547F7B">
        <w:t>,</w:t>
      </w:r>
      <w:r w:rsidR="00B20176">
        <w:t xml:space="preserve"> </w:t>
      </w:r>
      <w:r w:rsidR="00DB4350">
        <w:t>we have</w:t>
      </w:r>
      <w:r w:rsidR="00ED4FA1">
        <w:t xml:space="preserve"> a unique role</w:t>
      </w:r>
      <w:r w:rsidR="00B77030">
        <w:t xml:space="preserve"> </w:t>
      </w:r>
      <w:r w:rsidR="007C7B9C">
        <w:t xml:space="preserve">as an </w:t>
      </w:r>
      <w:r w:rsidR="007C7B9C" w:rsidRPr="00901125">
        <w:rPr>
          <w:b/>
          <w:bCs/>
        </w:rPr>
        <w:t>integrated sector regulator</w:t>
      </w:r>
      <w:r w:rsidR="007C7B9C">
        <w:t xml:space="preserve"> for the social services sector. </w:t>
      </w:r>
      <w:r w:rsidR="00CC1AD8">
        <w:t>For the Child Safe Standards, t</w:t>
      </w:r>
      <w:r w:rsidR="00ED4FA1">
        <w:t>his means that:</w:t>
      </w:r>
    </w:p>
    <w:p w14:paraId="6B90FE2F" w14:textId="5B047BB2" w:rsidR="007C7B9C" w:rsidRDefault="007C7B9C" w:rsidP="004D7CED">
      <w:pPr>
        <w:pStyle w:val="Bullet1"/>
        <w:numPr>
          <w:ilvl w:val="0"/>
          <w:numId w:val="11"/>
        </w:numPr>
        <w:spacing w:after="120"/>
        <w:rPr>
          <w:lang w:val="en-US"/>
        </w:rPr>
      </w:pPr>
      <w:r w:rsidRPr="007C7B9C">
        <w:rPr>
          <w:lang w:val="en-US"/>
        </w:rPr>
        <w:t xml:space="preserve">Regulation </w:t>
      </w:r>
      <w:r w:rsidR="00260305">
        <w:rPr>
          <w:lang w:val="en-US"/>
        </w:rPr>
        <w:t xml:space="preserve">of </w:t>
      </w:r>
      <w:proofErr w:type="spellStart"/>
      <w:r w:rsidR="00FA1E5F">
        <w:rPr>
          <w:lang w:val="en-US"/>
        </w:rPr>
        <w:t>o</w:t>
      </w:r>
      <w:r w:rsidR="00F174D0">
        <w:rPr>
          <w:lang w:val="en-US"/>
        </w:rPr>
        <w:t>rganisations</w:t>
      </w:r>
      <w:proofErr w:type="spellEnd"/>
      <w:r w:rsidR="00F174D0">
        <w:rPr>
          <w:lang w:val="en-US"/>
        </w:rPr>
        <w:t xml:space="preserve"> in scope of the </w:t>
      </w:r>
      <w:r w:rsidRPr="007C7B9C">
        <w:rPr>
          <w:lang w:val="en-US"/>
        </w:rPr>
        <w:t>Child Safe Standards for social services transfer</w:t>
      </w:r>
      <w:r w:rsidR="003F089B">
        <w:rPr>
          <w:lang w:val="en-US"/>
        </w:rPr>
        <w:t>red</w:t>
      </w:r>
      <w:r w:rsidRPr="007C7B9C">
        <w:rPr>
          <w:lang w:val="en-US"/>
        </w:rPr>
        <w:t xml:space="preserve"> from the Human Services Regulator to the</w:t>
      </w:r>
      <w:r>
        <w:rPr>
          <w:lang w:val="en-US"/>
        </w:rPr>
        <w:t xml:space="preserve"> </w:t>
      </w:r>
      <w:r w:rsidRPr="007C7B9C">
        <w:rPr>
          <w:lang w:val="en-US"/>
        </w:rPr>
        <w:t>Social Services Regulator from 1 July 2024.</w:t>
      </w:r>
      <w:r w:rsidR="00ED4FA1">
        <w:rPr>
          <w:lang w:val="en-US"/>
        </w:rPr>
        <w:t xml:space="preserve"> </w:t>
      </w:r>
    </w:p>
    <w:p w14:paraId="1B53A83C" w14:textId="6801A2C4" w:rsidR="003F089B" w:rsidRDefault="00ED4FA1" w:rsidP="004D7CED">
      <w:pPr>
        <w:pStyle w:val="Bullet1"/>
        <w:numPr>
          <w:ilvl w:val="0"/>
          <w:numId w:val="11"/>
        </w:numPr>
        <w:spacing w:after="120"/>
      </w:pPr>
      <w:r>
        <w:t>Under the</w:t>
      </w:r>
      <w:r w:rsidR="00A422EF" w:rsidRPr="00D6064E">
        <w:t xml:space="preserve"> </w:t>
      </w:r>
      <w:r w:rsidR="00A422EF" w:rsidRPr="007C7B9C">
        <w:rPr>
          <w:i/>
          <w:iCs/>
        </w:rPr>
        <w:t>Child Wellbeing and Safety Act 2005</w:t>
      </w:r>
      <w:r>
        <w:rPr>
          <w:i/>
          <w:iCs/>
        </w:rPr>
        <w:t xml:space="preserve">, </w:t>
      </w:r>
      <w:r w:rsidR="00B93D10" w:rsidRPr="00901125">
        <w:rPr>
          <w:b/>
          <w:bCs/>
        </w:rPr>
        <w:t xml:space="preserve">all </w:t>
      </w:r>
      <w:r>
        <w:t xml:space="preserve">regulators of </w:t>
      </w:r>
      <w:r w:rsidR="00A422EF">
        <w:t>C</w:t>
      </w:r>
      <w:r w:rsidR="00185E13">
        <w:t xml:space="preserve">hild Safe Standards </w:t>
      </w:r>
      <w:r w:rsidR="00A422EF" w:rsidRPr="00D6064E">
        <w:t xml:space="preserve">are responsible </w:t>
      </w:r>
      <w:r w:rsidR="00A422EF">
        <w:t>for</w:t>
      </w:r>
      <w:r w:rsidR="00A422EF" w:rsidRPr="00D6064E">
        <w:t xml:space="preserve"> </w:t>
      </w:r>
      <w:r w:rsidR="00A422EF" w:rsidRPr="00901125">
        <w:rPr>
          <w:b/>
          <w:bCs/>
        </w:rPr>
        <w:t>promoting, monitoring and enforcing compliance</w:t>
      </w:r>
      <w:r w:rsidR="00A422EF" w:rsidRPr="00D6064E">
        <w:t xml:space="preserve"> with </w:t>
      </w:r>
      <w:r w:rsidR="00185E13">
        <w:t xml:space="preserve">the </w:t>
      </w:r>
      <w:r w:rsidR="00A422EF">
        <w:t>C</w:t>
      </w:r>
      <w:r w:rsidR="00981FF7">
        <w:t>hild Safe Standards</w:t>
      </w:r>
      <w:r w:rsidR="00A422EF" w:rsidRPr="00D6064E">
        <w:t xml:space="preserve"> to </w:t>
      </w:r>
      <w:r w:rsidR="00A422EF" w:rsidRPr="00D6064E">
        <w:lastRenderedPageBreak/>
        <w:t>ensure relevant entities promote</w:t>
      </w:r>
      <w:r w:rsidR="00A422EF">
        <w:t xml:space="preserve"> </w:t>
      </w:r>
      <w:r w:rsidR="00A422EF" w:rsidRPr="00D6064E">
        <w:t>children’s safety and prevent and respond to allegations of child abuse.</w:t>
      </w:r>
    </w:p>
    <w:p w14:paraId="2AE21089" w14:textId="77777777" w:rsidR="00CD52F3" w:rsidRDefault="00CD52F3" w:rsidP="00547F7B">
      <w:pPr>
        <w:pStyle w:val="Heading3"/>
      </w:pPr>
      <w:bookmarkStart w:id="9" w:name="_Toc178945955"/>
      <w:r>
        <w:t>How we monitor Child Safe Standards</w:t>
      </w:r>
      <w:bookmarkEnd w:id="9"/>
    </w:p>
    <w:p w14:paraId="3DA130DC" w14:textId="5134F6E8" w:rsidR="00CD52F3" w:rsidRDefault="00CD52F3" w:rsidP="00CD52F3">
      <w:pPr>
        <w:pStyle w:val="Body"/>
      </w:pPr>
      <w:r>
        <w:t xml:space="preserve">In monitoring </w:t>
      </w:r>
      <w:r w:rsidR="00A53855">
        <w:t xml:space="preserve">the </w:t>
      </w:r>
      <w:r>
        <w:t>Child Safe Standards, the Social Services Regulator:</w:t>
      </w:r>
    </w:p>
    <w:p w14:paraId="6BDC40A2" w14:textId="77777777" w:rsidR="00CD52F3" w:rsidRDefault="00CD52F3" w:rsidP="00CD52F3">
      <w:pPr>
        <w:pStyle w:val="Bullet1"/>
      </w:pPr>
      <w:r>
        <w:t>provides education, information, resources and advice on the Child Safe Standards to promote consistency in child safety outcomes</w:t>
      </w:r>
    </w:p>
    <w:p w14:paraId="7BA88973" w14:textId="77777777" w:rsidR="00CD52F3" w:rsidRDefault="00CD52F3" w:rsidP="00CD52F3">
      <w:pPr>
        <w:pStyle w:val="Bullet1"/>
      </w:pPr>
      <w:r>
        <w:t>investigates, monitors and enforces compliance with the Child Safe Standards</w:t>
      </w:r>
    </w:p>
    <w:p w14:paraId="0BADF1B3" w14:textId="77F0F73F" w:rsidR="00CD52F3" w:rsidRDefault="00CD52F3" w:rsidP="00CD52F3">
      <w:pPr>
        <w:pStyle w:val="Bullet1"/>
      </w:pPr>
      <w:r>
        <w:t>collects, analyses and publishes information and data regarding compliance with the Child Safe Standards and shares this information with the CCYP</w:t>
      </w:r>
      <w:r w:rsidR="00A53855">
        <w:t>.</w:t>
      </w:r>
    </w:p>
    <w:p w14:paraId="2B1E0950" w14:textId="77777777" w:rsidR="00CD52F3" w:rsidRDefault="00CD52F3" w:rsidP="00CD52F3">
      <w:pPr>
        <w:pStyle w:val="Bodyafterbullets"/>
      </w:pPr>
      <w:r>
        <w:t>We promote continuous improvement in relation to the safety of children, the prevention of child abuse and the proper response to allegations of child abuse. This means:</w:t>
      </w:r>
    </w:p>
    <w:p w14:paraId="3A581F20" w14:textId="77777777" w:rsidR="00CD52F3" w:rsidRDefault="00CD52F3" w:rsidP="00CD52F3">
      <w:pPr>
        <w:pStyle w:val="Bullet1"/>
      </w:pPr>
      <w:r>
        <w:t>we may exchange information and collaborate with relevant parties on the safety of children and compliance with the Child Safe Standards</w:t>
      </w:r>
    </w:p>
    <w:p w14:paraId="61AED907" w14:textId="77777777" w:rsidR="00CD52F3" w:rsidDel="00272563" w:rsidRDefault="00CD52F3" w:rsidP="00CD52F3">
      <w:pPr>
        <w:pStyle w:val="Bullet1"/>
      </w:pPr>
      <w:r>
        <w:rPr>
          <w:szCs w:val="21"/>
        </w:rPr>
        <w:t>w</w:t>
      </w:r>
      <w:r w:rsidRPr="00A65FDC">
        <w:rPr>
          <w:szCs w:val="21"/>
        </w:rPr>
        <w:t xml:space="preserve">hen needed, we protect service users by using </w:t>
      </w:r>
      <w:r>
        <w:rPr>
          <w:szCs w:val="21"/>
        </w:rPr>
        <w:t>the</w:t>
      </w:r>
      <w:r w:rsidRPr="00A65FDC">
        <w:rPr>
          <w:szCs w:val="21"/>
        </w:rPr>
        <w:t xml:space="preserve"> compliance and enforcement tools</w:t>
      </w:r>
      <w:r>
        <w:rPr>
          <w:szCs w:val="21"/>
        </w:rPr>
        <w:t xml:space="preserve"> available</w:t>
      </w:r>
      <w:r w:rsidRPr="00A65FDC">
        <w:rPr>
          <w:szCs w:val="21"/>
        </w:rPr>
        <w:t xml:space="preserve"> to </w:t>
      </w:r>
      <w:r>
        <w:rPr>
          <w:szCs w:val="21"/>
        </w:rPr>
        <w:t xml:space="preserve">us as an integrated sector regulator to </w:t>
      </w:r>
      <w:r w:rsidRPr="00A65FDC">
        <w:rPr>
          <w:szCs w:val="21"/>
        </w:rPr>
        <w:t>reduce and remove risks of harm to service users.</w:t>
      </w:r>
    </w:p>
    <w:p w14:paraId="0BC8C98C" w14:textId="77777777" w:rsidR="00CD52F3" w:rsidRDefault="00CD52F3" w:rsidP="00547F7B">
      <w:pPr>
        <w:pStyle w:val="Heading3"/>
      </w:pPr>
      <w:bookmarkStart w:id="10" w:name="_Toc178945956"/>
      <w:r>
        <w:rPr>
          <w:lang w:val="en-US"/>
        </w:rPr>
        <w:t>Our regulatory</w:t>
      </w:r>
      <w:r>
        <w:t xml:space="preserve"> approach</w:t>
      </w:r>
      <w:bookmarkEnd w:id="10"/>
    </w:p>
    <w:p w14:paraId="30E8B7D5" w14:textId="201142EC" w:rsidR="00CD52F3" w:rsidRDefault="00CD52F3" w:rsidP="00CD52F3">
      <w:pPr>
        <w:pStyle w:val="Body"/>
        <w:rPr>
          <w:lang w:val="en-US"/>
        </w:rPr>
      </w:pPr>
      <w:r w:rsidRPr="007C7B9C">
        <w:rPr>
          <w:lang w:val="en-US"/>
        </w:rPr>
        <w:t xml:space="preserve">The </w:t>
      </w:r>
      <w:r>
        <w:rPr>
          <w:lang w:val="en-US"/>
        </w:rPr>
        <w:t xml:space="preserve">Social Services </w:t>
      </w:r>
      <w:r w:rsidRPr="007C7B9C">
        <w:rPr>
          <w:lang w:val="en-US"/>
        </w:rPr>
        <w:t>Regulator take</w:t>
      </w:r>
      <w:r>
        <w:rPr>
          <w:lang w:val="en-US"/>
        </w:rPr>
        <w:t>s</w:t>
      </w:r>
      <w:r w:rsidRPr="007C7B9C">
        <w:rPr>
          <w:lang w:val="en-US"/>
        </w:rPr>
        <w:t xml:space="preserve"> a graduated approach to regulating the Child Safe Standards.</w:t>
      </w:r>
    </w:p>
    <w:p w14:paraId="6AE13427" w14:textId="77777777" w:rsidR="00CD52F3" w:rsidRDefault="00CD52F3" w:rsidP="00CD52F3">
      <w:pPr>
        <w:pStyle w:val="Body"/>
        <w:rPr>
          <w:lang w:val="en-US"/>
        </w:rPr>
      </w:pPr>
      <w:r>
        <w:rPr>
          <w:lang w:val="en-US"/>
        </w:rPr>
        <w:t xml:space="preserve">While our initial </w:t>
      </w:r>
      <w:r w:rsidRPr="007C7B9C">
        <w:rPr>
          <w:lang w:val="en-US"/>
        </w:rPr>
        <w:t>focus</w:t>
      </w:r>
      <w:r>
        <w:rPr>
          <w:lang w:val="en-US"/>
        </w:rPr>
        <w:t xml:space="preserve"> is</w:t>
      </w:r>
      <w:r w:rsidRPr="007C7B9C">
        <w:rPr>
          <w:lang w:val="en-US"/>
        </w:rPr>
        <w:t xml:space="preserve"> </w:t>
      </w:r>
      <w:r>
        <w:rPr>
          <w:lang w:val="en-US"/>
        </w:rPr>
        <w:t>to inform</w:t>
      </w:r>
      <w:r w:rsidRPr="007C7B9C">
        <w:rPr>
          <w:lang w:val="en-US"/>
        </w:rPr>
        <w:t xml:space="preserve"> and educat</w:t>
      </w:r>
      <w:r>
        <w:rPr>
          <w:lang w:val="en-US"/>
        </w:rPr>
        <w:t>e</w:t>
      </w:r>
      <w:r w:rsidRPr="007C7B9C">
        <w:rPr>
          <w:lang w:val="en-US"/>
        </w:rPr>
        <w:t xml:space="preserve"> </w:t>
      </w:r>
      <w:proofErr w:type="spellStart"/>
      <w:r w:rsidRPr="007C7B9C">
        <w:rPr>
          <w:lang w:val="en-US"/>
        </w:rPr>
        <w:t>organisations</w:t>
      </w:r>
      <w:proofErr w:type="spellEnd"/>
      <w:r w:rsidRPr="007C7B9C">
        <w:rPr>
          <w:lang w:val="en-US"/>
        </w:rPr>
        <w:t xml:space="preserve"> about </w:t>
      </w:r>
      <w:r>
        <w:rPr>
          <w:lang w:val="en-US"/>
        </w:rPr>
        <w:t xml:space="preserve">meeting </w:t>
      </w:r>
      <w:r w:rsidRPr="007C7B9C">
        <w:rPr>
          <w:lang w:val="en-US"/>
        </w:rPr>
        <w:t>their obligations</w:t>
      </w:r>
      <w:r>
        <w:rPr>
          <w:lang w:val="en-US"/>
        </w:rPr>
        <w:t xml:space="preserve">, </w:t>
      </w:r>
      <w:r>
        <w:t>t</w:t>
      </w:r>
      <w:r w:rsidRPr="007C7B9C">
        <w:rPr>
          <w:lang w:val="en-US"/>
        </w:rPr>
        <w:t xml:space="preserve">he </w:t>
      </w:r>
      <w:r>
        <w:rPr>
          <w:lang w:val="en-US"/>
        </w:rPr>
        <w:t xml:space="preserve">Social Services </w:t>
      </w:r>
      <w:r w:rsidRPr="007C7B9C">
        <w:rPr>
          <w:lang w:val="en-US"/>
        </w:rPr>
        <w:t xml:space="preserve">Regulator </w:t>
      </w:r>
      <w:r>
        <w:rPr>
          <w:lang w:val="en-US"/>
        </w:rPr>
        <w:t xml:space="preserve">can </w:t>
      </w:r>
      <w:r w:rsidRPr="007C7B9C">
        <w:rPr>
          <w:lang w:val="en-US"/>
        </w:rPr>
        <w:t xml:space="preserve">take </w:t>
      </w:r>
      <w:r w:rsidRPr="007C7B9C">
        <w:t>regulatory</w:t>
      </w:r>
      <w:r>
        <w:t xml:space="preserve"> </w:t>
      </w:r>
      <w:r w:rsidRPr="007C7B9C">
        <w:rPr>
          <w:lang w:val="en-US"/>
        </w:rPr>
        <w:t xml:space="preserve">action to ensure an </w:t>
      </w:r>
      <w:proofErr w:type="spellStart"/>
      <w:r>
        <w:rPr>
          <w:lang w:val="en-US"/>
        </w:rPr>
        <w:t>organisation</w:t>
      </w:r>
      <w:proofErr w:type="spellEnd"/>
      <w:r>
        <w:rPr>
          <w:lang w:val="en-US"/>
        </w:rPr>
        <w:t xml:space="preserve"> meets their</w:t>
      </w:r>
      <w:r w:rsidRPr="007C7B9C">
        <w:rPr>
          <w:lang w:val="en-US"/>
        </w:rPr>
        <w:t xml:space="preserve"> compliance </w:t>
      </w:r>
      <w:r>
        <w:rPr>
          <w:lang w:val="en-US"/>
        </w:rPr>
        <w:t xml:space="preserve">obligations </w:t>
      </w:r>
      <w:r w:rsidRPr="007C7B9C">
        <w:rPr>
          <w:lang w:val="en-US"/>
        </w:rPr>
        <w:t>and to address serious risks to the safety of children and young people.</w:t>
      </w:r>
      <w:r>
        <w:rPr>
          <w:lang w:val="en-US"/>
        </w:rPr>
        <w:t xml:space="preserve"> </w:t>
      </w:r>
    </w:p>
    <w:p w14:paraId="5C9AAAD6" w14:textId="724A2B56" w:rsidR="00CD52F3" w:rsidRDefault="00CD52F3" w:rsidP="00CD52F3">
      <w:pPr>
        <w:pStyle w:val="Body"/>
      </w:pPr>
      <w:r>
        <w:t>We use a range of enforcement powers where providers fail to meet their obligations under the Child Safe Standards and the Social Service</w:t>
      </w:r>
      <w:r w:rsidR="00A53855">
        <w:t>s</w:t>
      </w:r>
      <w:r>
        <w:t xml:space="preserve"> Standards. To promote compliance with the Child Safe Standards, the Social Services Regulator:</w:t>
      </w:r>
    </w:p>
    <w:p w14:paraId="3498B886" w14:textId="77777777" w:rsidR="00CD52F3" w:rsidRDefault="00CD52F3" w:rsidP="00CD52F3">
      <w:pPr>
        <w:pStyle w:val="Bullet1"/>
      </w:pPr>
      <w:r>
        <w:t>appoints authorised officers to act on behalf of the Social Services Regulator</w:t>
      </w:r>
    </w:p>
    <w:p w14:paraId="61EBABEB" w14:textId="77777777" w:rsidR="00CD52F3" w:rsidRDefault="00CD52F3" w:rsidP="00CD52F3">
      <w:pPr>
        <w:pStyle w:val="Bullet1"/>
      </w:pPr>
      <w:r>
        <w:t>obtains information, documents and evidence and issue notices to obtain such information</w:t>
      </w:r>
    </w:p>
    <w:p w14:paraId="292F3BE7" w14:textId="77777777" w:rsidR="00CD52F3" w:rsidRDefault="00CD52F3" w:rsidP="00CD52F3">
      <w:pPr>
        <w:pStyle w:val="Bullet1"/>
      </w:pPr>
      <w:r>
        <w:t>enters premises in limited circumstances</w:t>
      </w:r>
      <w:r>
        <w:rPr>
          <w:rStyle w:val="FootnoteReference"/>
        </w:rPr>
        <w:footnoteReference w:id="2"/>
      </w:r>
      <w:r>
        <w:t xml:space="preserve"> </w:t>
      </w:r>
    </w:p>
    <w:p w14:paraId="1419C51E" w14:textId="5E09E2F8" w:rsidR="00CD52F3" w:rsidRDefault="00CD52F3" w:rsidP="00CD52F3">
      <w:pPr>
        <w:pStyle w:val="Bullet1"/>
      </w:pPr>
      <w:r>
        <w:t>issues improvement notices, infringement notices, enforceable undertakings and adverse publicity order</w:t>
      </w:r>
      <w:r w:rsidR="00A53855">
        <w:t>s.</w:t>
      </w:r>
    </w:p>
    <w:p w14:paraId="75C53DD5" w14:textId="7803A258" w:rsidR="00CD52F3" w:rsidRDefault="00CD52F3" w:rsidP="00CD52F3">
      <w:pPr>
        <w:pStyle w:val="Bodyafterbullets"/>
      </w:pPr>
      <w:r>
        <w:t>We</w:t>
      </w:r>
      <w:r w:rsidRPr="00901125">
        <w:t xml:space="preserve"> also collect, use and disclose information </w:t>
      </w:r>
      <w:r w:rsidRPr="00A8529E">
        <w:t>to identify</w:t>
      </w:r>
      <w:r w:rsidRPr="00901125">
        <w:t xml:space="preserve"> sector trends and make sure our decisions are fair, data-driven and focused on reducing regulatory burden.</w:t>
      </w:r>
    </w:p>
    <w:p w14:paraId="304EA99C" w14:textId="7BC2A873" w:rsidR="00E72A2C" w:rsidRDefault="00CC1AD8" w:rsidP="00547F7B">
      <w:pPr>
        <w:pStyle w:val="Heading3"/>
      </w:pPr>
      <w:bookmarkStart w:id="11" w:name="_Toc178945957"/>
      <w:r w:rsidRPr="005810EF">
        <w:t xml:space="preserve">How </w:t>
      </w:r>
      <w:r w:rsidR="005810EF">
        <w:t>co-</w:t>
      </w:r>
      <w:r w:rsidRPr="005810EF">
        <w:t>regulat</w:t>
      </w:r>
      <w:r w:rsidR="005810EF">
        <w:t>ion</w:t>
      </w:r>
      <w:r w:rsidRPr="005810EF">
        <w:t xml:space="preserve"> work</w:t>
      </w:r>
      <w:r w:rsidR="005810EF">
        <w:t>s</w:t>
      </w:r>
      <w:bookmarkEnd w:id="11"/>
    </w:p>
    <w:bookmarkEnd w:id="1"/>
    <w:p w14:paraId="26F3BE01" w14:textId="67010ACE" w:rsidR="0020711D" w:rsidRPr="00A53855" w:rsidRDefault="00A15A4E" w:rsidP="0015742A">
      <w:pPr>
        <w:pStyle w:val="Body"/>
      </w:pPr>
      <w:r>
        <w:t xml:space="preserve">There are </w:t>
      </w:r>
      <w:proofErr w:type="gramStart"/>
      <w:r>
        <w:t>a number of</w:t>
      </w:r>
      <w:proofErr w:type="gramEnd"/>
      <w:r>
        <w:t xml:space="preserve"> r</w:t>
      </w:r>
      <w:r w:rsidR="001C0A8F">
        <w:t>egulators monitor</w:t>
      </w:r>
      <w:r>
        <w:t>ing</w:t>
      </w:r>
      <w:r w:rsidR="001C0A8F">
        <w:t xml:space="preserve"> and enforc</w:t>
      </w:r>
      <w:r>
        <w:t>ing</w:t>
      </w:r>
      <w:r w:rsidR="003A17E5">
        <w:t xml:space="preserve"> the Child Safe Standards using power</w:t>
      </w:r>
      <w:r w:rsidR="00492984">
        <w:t>s</w:t>
      </w:r>
      <w:r w:rsidR="003A17E5">
        <w:t xml:space="preserve"> in their primary legislation</w:t>
      </w:r>
      <w:r w:rsidR="009D37A8">
        <w:t>.</w:t>
      </w:r>
      <w:r w:rsidR="0015742A">
        <w:t xml:space="preserve"> </w:t>
      </w:r>
      <w:r w:rsidR="00231254" w:rsidRPr="00D6064E">
        <w:t xml:space="preserve">Each regulator is responsible for regulating organisations </w:t>
      </w:r>
      <w:r w:rsidR="00231254" w:rsidRPr="00A53855">
        <w:t>within defined sectors.</w:t>
      </w:r>
    </w:p>
    <w:p w14:paraId="101B861C" w14:textId="6AC98991" w:rsidR="000300B5" w:rsidRDefault="0020711D" w:rsidP="004D7CED">
      <w:pPr>
        <w:pStyle w:val="Bullet1"/>
        <w:numPr>
          <w:ilvl w:val="0"/>
          <w:numId w:val="0"/>
        </w:numPr>
        <w:spacing w:after="120"/>
        <w:rPr>
          <w:rFonts w:ascii="Segoe UI" w:hAnsi="Segoe UI" w:cs="Segoe UI"/>
          <w:sz w:val="18"/>
          <w:szCs w:val="18"/>
          <w:lang w:eastAsia="en-AU"/>
        </w:rPr>
      </w:pPr>
      <w:r>
        <w:t>The Social Services Regulator is responsible for regulating the Child Safe Standards in social services that involve children</w:t>
      </w:r>
      <w:r w:rsidR="000B43D8">
        <w:t>,</w:t>
      </w:r>
      <w:r w:rsidR="00234294" w:rsidRPr="73E3227D">
        <w:rPr>
          <w:rStyle w:val="normaltextrun"/>
          <w:rFonts w:cs="Arial"/>
        </w:rPr>
        <w:t xml:space="preserve"> including </w:t>
      </w:r>
      <w:r w:rsidR="00B80FBF" w:rsidRPr="73E3227D">
        <w:rPr>
          <w:rStyle w:val="normaltextrun"/>
          <w:rFonts w:cs="Arial"/>
        </w:rPr>
        <w:t xml:space="preserve">in-scope services directly delivered by the Department of Families, Fairness and Housing (DFFH) such as </w:t>
      </w:r>
      <w:r w:rsidR="00234294" w:rsidRPr="73E3227D">
        <w:rPr>
          <w:rStyle w:val="normaltextrun"/>
          <w:rFonts w:cs="Arial"/>
        </w:rPr>
        <w:t xml:space="preserve">out-of-home care services, support services for parents and families, homelessness services, family violence and sexual assault </w:t>
      </w:r>
      <w:r w:rsidR="00B80FBF" w:rsidRPr="73E3227D">
        <w:rPr>
          <w:rStyle w:val="normaltextrun"/>
          <w:rFonts w:cs="Arial"/>
        </w:rPr>
        <w:t xml:space="preserve">support </w:t>
      </w:r>
      <w:r w:rsidR="00234294" w:rsidRPr="73E3227D">
        <w:rPr>
          <w:rStyle w:val="normaltextrun"/>
          <w:rFonts w:cs="Arial"/>
        </w:rPr>
        <w:t>services</w:t>
      </w:r>
      <w:r w:rsidR="00B80FBF" w:rsidRPr="73E3227D">
        <w:rPr>
          <w:rStyle w:val="normaltextrun"/>
          <w:rFonts w:cs="Arial"/>
        </w:rPr>
        <w:t xml:space="preserve">. We also regulate disability services </w:t>
      </w:r>
      <w:r w:rsidR="008F3FE7">
        <w:rPr>
          <w:rStyle w:val="normaltextrun"/>
          <w:rFonts w:cs="Arial"/>
        </w:rPr>
        <w:t xml:space="preserve">that service </w:t>
      </w:r>
      <w:r w:rsidR="00B80FBF" w:rsidRPr="73E3227D">
        <w:rPr>
          <w:rStyle w:val="normaltextrun"/>
          <w:rFonts w:cs="Arial"/>
        </w:rPr>
        <w:lastRenderedPageBreak/>
        <w:t>children</w:t>
      </w:r>
      <w:r w:rsidR="008F3FE7">
        <w:rPr>
          <w:rStyle w:val="normaltextrun"/>
          <w:rFonts w:cs="Arial"/>
        </w:rPr>
        <w:t xml:space="preserve"> in Victoria</w:t>
      </w:r>
      <w:r w:rsidR="00B80FBF" w:rsidRPr="73E3227D">
        <w:rPr>
          <w:rStyle w:val="normaltextrun"/>
          <w:rFonts w:cs="Arial"/>
        </w:rPr>
        <w:t>, that are funded by DFFH, the Transport Accident Commission (TAC), WorkSafe or the</w:t>
      </w:r>
      <w:r w:rsidR="004F219A">
        <w:rPr>
          <w:rStyle w:val="normaltextrun"/>
          <w:rFonts w:cs="Arial"/>
        </w:rPr>
        <w:t xml:space="preserve"> </w:t>
      </w:r>
      <w:r w:rsidR="004C3DB2">
        <w:rPr>
          <w:rStyle w:val="normaltextrun"/>
          <w:rFonts w:cs="Arial"/>
        </w:rPr>
        <w:t>National Disability Insurance Scheme</w:t>
      </w:r>
      <w:r w:rsidR="00B80FBF" w:rsidRPr="73E3227D">
        <w:rPr>
          <w:rStyle w:val="normaltextrun"/>
          <w:rFonts w:cs="Arial"/>
        </w:rPr>
        <w:t xml:space="preserve"> </w:t>
      </w:r>
      <w:r w:rsidR="004C3DB2">
        <w:rPr>
          <w:rStyle w:val="normaltextrun"/>
          <w:rFonts w:cs="Arial"/>
        </w:rPr>
        <w:t>(</w:t>
      </w:r>
      <w:r w:rsidR="00B80FBF" w:rsidRPr="73E3227D">
        <w:rPr>
          <w:rStyle w:val="normaltextrun"/>
          <w:rFonts w:cs="Arial"/>
        </w:rPr>
        <w:t>NDIS.</w:t>
      </w:r>
      <w:r w:rsidR="004C3DB2">
        <w:rPr>
          <w:rStyle w:val="normaltextrun"/>
          <w:rFonts w:cs="Arial"/>
        </w:rPr>
        <w:t>)</w:t>
      </w:r>
    </w:p>
    <w:p w14:paraId="53F6FB9A" w14:textId="765FE5BD" w:rsidR="00016F33" w:rsidRPr="000300B5" w:rsidRDefault="00234294" w:rsidP="004D7CED">
      <w:pPr>
        <w:pStyle w:val="Bullet1"/>
        <w:numPr>
          <w:ilvl w:val="0"/>
          <w:numId w:val="0"/>
        </w:numPr>
        <w:spacing w:after="120"/>
        <w:rPr>
          <w:rFonts w:ascii="Segoe UI" w:hAnsi="Segoe UI" w:cs="Segoe UI"/>
          <w:sz w:val="18"/>
          <w:szCs w:val="18"/>
          <w:lang w:eastAsia="en-AU"/>
        </w:rPr>
      </w:pPr>
      <w:r>
        <w:t xml:space="preserve">Some </w:t>
      </w:r>
      <w:r w:rsidR="00231254" w:rsidRPr="00D6064E">
        <w:t xml:space="preserve">organisations deliver services </w:t>
      </w:r>
      <w:r w:rsidR="00231254">
        <w:t>across</w:t>
      </w:r>
      <w:r w:rsidR="00231254" w:rsidRPr="00D6064E">
        <w:t xml:space="preserve"> multiple sectors</w:t>
      </w:r>
      <w:r w:rsidR="00D4171D">
        <w:t xml:space="preserve">, which means they are </w:t>
      </w:r>
      <w:r w:rsidR="00231254">
        <w:t xml:space="preserve">within the remit </w:t>
      </w:r>
      <w:r w:rsidR="00231254" w:rsidRPr="00B94BD8">
        <w:t>of multiple</w:t>
      </w:r>
      <w:r w:rsidR="00231254" w:rsidRPr="00A15A4E">
        <w:t xml:space="preserve"> regulators</w:t>
      </w:r>
      <w:r w:rsidR="00231254">
        <w:t xml:space="preserve"> </w:t>
      </w:r>
      <w:r w:rsidR="00D4171D">
        <w:t>of</w:t>
      </w:r>
      <w:r w:rsidR="00231254">
        <w:t xml:space="preserve"> the </w:t>
      </w:r>
      <w:r w:rsidR="00E2552C">
        <w:t>Child Safe Standards</w:t>
      </w:r>
      <w:r w:rsidR="00231254" w:rsidRPr="00D6064E">
        <w:t>.</w:t>
      </w:r>
      <w:r w:rsidR="00231254">
        <w:t xml:space="preserve"> </w:t>
      </w:r>
      <w:r w:rsidR="000300B5">
        <w:t>More broadly, t</w:t>
      </w:r>
      <w:r w:rsidR="00371883">
        <w:t>he CCYP</w:t>
      </w:r>
      <w:r w:rsidR="00FF71FB">
        <w:t xml:space="preserve"> overse</w:t>
      </w:r>
      <w:r w:rsidR="00016F33">
        <w:t>e</w:t>
      </w:r>
      <w:r w:rsidR="004D7CED">
        <w:t>s</w:t>
      </w:r>
      <w:r w:rsidR="00FF71FB">
        <w:t xml:space="preserve"> the whole system for regulating the Child Safe Standards</w:t>
      </w:r>
      <w:r w:rsidR="00CC1AD8">
        <w:t xml:space="preserve">, </w:t>
      </w:r>
      <w:r w:rsidR="00B94BD8">
        <w:t xml:space="preserve">and provides </w:t>
      </w:r>
      <w:r w:rsidR="00B94BD8" w:rsidRPr="00A903A7">
        <w:t>general guidance for all organisations about complying with the Child Safe Standards</w:t>
      </w:r>
      <w:r w:rsidR="00B94BD8">
        <w:rPr>
          <w:rStyle w:val="FootnoteReference"/>
        </w:rPr>
        <w:footnoteReference w:id="3"/>
      </w:r>
      <w:r w:rsidR="00B94BD8" w:rsidRPr="00A903A7">
        <w:t xml:space="preserve"> </w:t>
      </w:r>
      <w:r w:rsidR="00B94BD8">
        <w:t xml:space="preserve">, </w:t>
      </w:r>
      <w:r w:rsidR="00CC1AD8">
        <w:t>as:</w:t>
      </w:r>
    </w:p>
    <w:p w14:paraId="3062A8CB" w14:textId="6E242BDB" w:rsidR="002215C2" w:rsidRPr="00A903A7" w:rsidRDefault="002215C2" w:rsidP="00A903A7">
      <w:pPr>
        <w:pStyle w:val="Bullet1"/>
      </w:pPr>
      <w:r>
        <w:t xml:space="preserve">the </w:t>
      </w:r>
      <w:r w:rsidR="00383CB0">
        <w:t xml:space="preserve">independent statutory body that </w:t>
      </w:r>
      <w:r w:rsidR="00383CB0" w:rsidRPr="00A903A7">
        <w:t>promotes improvement in policies and practices affecting the safety and wellbeing of Victorian child</w:t>
      </w:r>
      <w:r w:rsidR="007147A7" w:rsidRPr="00A903A7">
        <w:t>ren</w:t>
      </w:r>
      <w:r w:rsidR="00383CB0" w:rsidRPr="00A903A7">
        <w:t xml:space="preserve"> and young </w:t>
      </w:r>
      <w:r w:rsidR="007147A7" w:rsidRPr="00A903A7">
        <w:t>people</w:t>
      </w:r>
      <w:r w:rsidRPr="00A903A7">
        <w:t>, w</w:t>
      </w:r>
      <w:r w:rsidR="002622D7" w:rsidRPr="00A903A7">
        <w:t>ith a particular focus on vulnerable and young people</w:t>
      </w:r>
    </w:p>
    <w:p w14:paraId="32693C26" w14:textId="41037783" w:rsidR="00371883" w:rsidRDefault="002215C2" w:rsidP="00A903A7">
      <w:pPr>
        <w:pStyle w:val="Bullet1"/>
      </w:pPr>
      <w:r w:rsidRPr="00A903A7">
        <w:t>t</w:t>
      </w:r>
      <w:r w:rsidR="003C49C7" w:rsidRPr="00A903A7">
        <w:t>he sole regulator of the Reportable</w:t>
      </w:r>
      <w:r w:rsidR="003C49C7">
        <w:t xml:space="preserve"> Conduct Scheme.</w:t>
      </w:r>
    </w:p>
    <w:p w14:paraId="31896E2D" w14:textId="0F319708" w:rsidR="00BB60F4" w:rsidRDefault="00D4171D" w:rsidP="00821115">
      <w:pPr>
        <w:pStyle w:val="Bodyafterbullets"/>
      </w:pPr>
      <w:r>
        <w:t xml:space="preserve">The Social Services Regulator is committed to reducing regulatory burden where </w:t>
      </w:r>
      <w:r w:rsidR="05DCD881">
        <w:t>possible and</w:t>
      </w:r>
      <w:r>
        <w:t xml:space="preserve"> works with </w:t>
      </w:r>
      <w:r w:rsidR="00233A00">
        <w:t>other regulators to improve information sharing and to better identify and respond to risks of harm</w:t>
      </w:r>
      <w:r w:rsidR="00272563">
        <w:t>.</w:t>
      </w:r>
    </w:p>
    <w:p w14:paraId="01B836CB" w14:textId="77777777" w:rsidR="00DA6232" w:rsidRDefault="00DA6232" w:rsidP="00547F7B">
      <w:pPr>
        <w:pStyle w:val="Heading4"/>
      </w:pPr>
      <w:r>
        <w:t>Other regulators of the Child Safe Standards</w:t>
      </w:r>
    </w:p>
    <w:p w14:paraId="131AB7C1" w14:textId="0D0DA609" w:rsidR="00DA6232" w:rsidRDefault="00DA6232" w:rsidP="004D7CED">
      <w:pPr>
        <w:pStyle w:val="Bullet1"/>
        <w:numPr>
          <w:ilvl w:val="0"/>
          <w:numId w:val="0"/>
        </w:numPr>
        <w:spacing w:after="120"/>
      </w:pPr>
      <w:r>
        <w:t>The Child Safe Standards are also monitored by:</w:t>
      </w:r>
    </w:p>
    <w:p w14:paraId="03082ED3" w14:textId="2A65C93A" w:rsidR="00DA6232" w:rsidRDefault="00DA6232" w:rsidP="00821115">
      <w:pPr>
        <w:pStyle w:val="Bullet1"/>
      </w:pPr>
      <w:r>
        <w:t>Department of Health</w:t>
      </w:r>
      <w:r w:rsidR="0012140E">
        <w:t xml:space="preserve"> </w:t>
      </w:r>
      <w:r w:rsidR="00B94BD8">
        <w:t>–</w:t>
      </w:r>
      <w:r w:rsidR="007272A7">
        <w:t xml:space="preserve"> </w:t>
      </w:r>
      <w:r w:rsidR="00082CB0">
        <w:t>applied</w:t>
      </w:r>
      <w:r w:rsidR="007272A7" w:rsidRPr="007272A7">
        <w:t xml:space="preserve"> to health organisations that provide any services or facilities to children</w:t>
      </w:r>
    </w:p>
    <w:p w14:paraId="6BF9189C" w14:textId="6325888A" w:rsidR="00DA6232" w:rsidRDefault="00DA6232" w:rsidP="00821115">
      <w:pPr>
        <w:pStyle w:val="Bullet1"/>
      </w:pPr>
      <w:r>
        <w:t>Victorian Registration and Qualifications Authority</w:t>
      </w:r>
      <w:r w:rsidR="009C0CF2">
        <w:rPr>
          <w:rStyle w:val="FootnoteReference"/>
        </w:rPr>
        <w:footnoteReference w:id="4"/>
      </w:r>
    </w:p>
    <w:p w14:paraId="098D4685" w14:textId="7ADCEC15" w:rsidR="00DA6232" w:rsidRDefault="00DA6232" w:rsidP="00821115">
      <w:pPr>
        <w:pStyle w:val="Bullet1"/>
      </w:pPr>
      <w:r>
        <w:t>Department of Education</w:t>
      </w:r>
      <w:r w:rsidR="002734D7">
        <w:t xml:space="preserve"> </w:t>
      </w:r>
      <w:r w:rsidR="00B94BD8">
        <w:t>–</w:t>
      </w:r>
      <w:r w:rsidR="002734D7">
        <w:t xml:space="preserve"> applied to all Victorian schools</w:t>
      </w:r>
    </w:p>
    <w:p w14:paraId="4E320F36" w14:textId="4B4CCDE9" w:rsidR="00DA6232" w:rsidRDefault="34A2B6D7" w:rsidP="00821115">
      <w:pPr>
        <w:pStyle w:val="Bullet1"/>
      </w:pPr>
      <w:r>
        <w:t>Commission for Children and Young People</w:t>
      </w:r>
      <w:r w:rsidR="0025354F">
        <w:rPr>
          <w:rStyle w:val="FootnoteReference"/>
        </w:rPr>
        <w:footnoteReference w:id="5"/>
      </w:r>
    </w:p>
    <w:p w14:paraId="0A1E4C48" w14:textId="30BCE4A5" w:rsidR="00DA6232" w:rsidRDefault="00DA6232" w:rsidP="006E1685">
      <w:pPr>
        <w:pStyle w:val="Bullet1"/>
      </w:pPr>
      <w:r>
        <w:t>Wage Inspectorate Victoria</w:t>
      </w:r>
      <w:r w:rsidR="006E1685">
        <w:t xml:space="preserve"> </w:t>
      </w:r>
      <w:r w:rsidR="00B94BD8">
        <w:t>–</w:t>
      </w:r>
      <w:r w:rsidR="006E1685">
        <w:t xml:space="preserve"> applied to organisations </w:t>
      </w:r>
      <w:r w:rsidR="006E1685" w:rsidRPr="00F54229">
        <w:t>that require a child employment licence</w:t>
      </w:r>
      <w:r>
        <w:t xml:space="preserve">. </w:t>
      </w:r>
    </w:p>
    <w:p w14:paraId="55992108" w14:textId="77777777" w:rsidR="00EF56B5" w:rsidRDefault="00EF56B5" w:rsidP="00547F7B">
      <w:pPr>
        <w:pStyle w:val="Heading2"/>
      </w:pPr>
      <w:bookmarkStart w:id="12" w:name="_Ref165033081"/>
      <w:bookmarkStart w:id="13" w:name="_Toc178945958"/>
      <w:r>
        <w:t>Useful resources and contacts</w:t>
      </w:r>
      <w:bookmarkEnd w:id="12"/>
      <w:bookmarkEnd w:id="13"/>
    </w:p>
    <w:p w14:paraId="6E9523F8" w14:textId="77777777" w:rsidR="00EF56B5" w:rsidRPr="00153B22" w:rsidRDefault="00EF56B5" w:rsidP="00547F7B">
      <w:pPr>
        <w:pStyle w:val="Heading3"/>
      </w:pPr>
      <w:bookmarkStart w:id="14" w:name="_Toc178945959"/>
      <w:r>
        <w:t>Resources</w:t>
      </w:r>
      <w:bookmarkEnd w:id="14"/>
    </w:p>
    <w:p w14:paraId="4FAD60D2" w14:textId="2AADD155" w:rsidR="00F359FD" w:rsidRDefault="00F359FD" w:rsidP="00981FF7">
      <w:pPr>
        <w:pStyle w:val="Bullet1"/>
        <w:numPr>
          <w:ilvl w:val="0"/>
          <w:numId w:val="19"/>
        </w:numPr>
      </w:pPr>
      <w:r>
        <w:t xml:space="preserve">Further resources and information on changes to the regulation of the Child Safe Standards </w:t>
      </w:r>
      <w:r w:rsidR="0079601D">
        <w:t xml:space="preserve">are </w:t>
      </w:r>
      <w:r>
        <w:t xml:space="preserve">available </w:t>
      </w:r>
      <w:r w:rsidR="00A903A7">
        <w:t xml:space="preserve">on the Social Services Regulator’s </w:t>
      </w:r>
      <w:hyperlink r:id="rId35" w:history="1">
        <w:r w:rsidR="00A903A7" w:rsidRPr="00A903A7">
          <w:rPr>
            <w:rStyle w:val="Hyperlink"/>
          </w:rPr>
          <w:t>Changes to the regulation of Child Safe Standards webpage</w:t>
        </w:r>
      </w:hyperlink>
      <w:r w:rsidR="0079601D">
        <w:t>.</w:t>
      </w:r>
    </w:p>
    <w:p w14:paraId="15F1C31B" w14:textId="58C95538" w:rsidR="0079601D" w:rsidRDefault="00F359FD" w:rsidP="0079601D">
      <w:pPr>
        <w:pStyle w:val="Bullet1"/>
        <w:numPr>
          <w:ilvl w:val="0"/>
          <w:numId w:val="19"/>
        </w:numPr>
      </w:pPr>
      <w:r>
        <w:t xml:space="preserve">Detailed information and useful resources on the Child Safe Standards </w:t>
      </w:r>
      <w:r w:rsidR="00981FF7">
        <w:t xml:space="preserve">– </w:t>
      </w:r>
      <w:r>
        <w:t xml:space="preserve">available </w:t>
      </w:r>
      <w:r w:rsidR="00294851">
        <w:t xml:space="preserve">on the CCYP’s </w:t>
      </w:r>
      <w:hyperlink r:id="rId36" w:history="1">
        <w:r w:rsidR="00294851" w:rsidRPr="00294851">
          <w:rPr>
            <w:rStyle w:val="Hyperlink"/>
          </w:rPr>
          <w:t>Resources and support for the Child Safe Standards webpage</w:t>
        </w:r>
      </w:hyperlink>
      <w:r w:rsidR="00294851">
        <w:t xml:space="preserve"> </w:t>
      </w:r>
    </w:p>
    <w:p w14:paraId="71ABBC96" w14:textId="76E04CDD" w:rsidR="00F359FD" w:rsidRPr="00547F7B" w:rsidRDefault="00F359FD" w:rsidP="0079601D">
      <w:pPr>
        <w:pStyle w:val="Heading3"/>
      </w:pPr>
      <w:r w:rsidRPr="00547F7B">
        <w:t>Other useful links</w:t>
      </w:r>
    </w:p>
    <w:p w14:paraId="6A91C8CB" w14:textId="606FE1AA" w:rsidR="00EF56B5" w:rsidRPr="00DD1CD3" w:rsidRDefault="00EF56B5" w:rsidP="00EF56B5">
      <w:pPr>
        <w:pStyle w:val="Bullet1"/>
        <w:ind w:left="284"/>
      </w:pPr>
      <w:r w:rsidRPr="00635E82">
        <w:t xml:space="preserve">Information sheets </w:t>
      </w:r>
      <w:r>
        <w:t xml:space="preserve">on each Social Service Standard </w:t>
      </w:r>
      <w:r w:rsidR="0079601D">
        <w:t>are</w:t>
      </w:r>
      <w:r w:rsidRPr="00635E82">
        <w:t xml:space="preserve"> </w:t>
      </w:r>
      <w:r w:rsidRPr="00DD1CD3">
        <w:t xml:space="preserve">available on </w:t>
      </w:r>
      <w:r w:rsidRPr="00DD1CD3">
        <w:rPr>
          <w:lang w:eastAsia="en-AU"/>
        </w:rPr>
        <w:t xml:space="preserve">the </w:t>
      </w:r>
      <w:hyperlink r:id="rId37" w:history="1">
        <w:r w:rsidRPr="00F73CB6">
          <w:rPr>
            <w:rStyle w:val="Hyperlink"/>
            <w:lang w:eastAsia="en-AU"/>
          </w:rPr>
          <w:t>Social Services Regulator’s Guidance material webpage</w:t>
        </w:r>
      </w:hyperlink>
      <w:r w:rsidRPr="00DD1CD3">
        <w:rPr>
          <w:lang w:eastAsia="en-AU"/>
        </w:rPr>
        <w:t xml:space="preserve"> </w:t>
      </w:r>
    </w:p>
    <w:p w14:paraId="75D0FC91" w14:textId="39F87FC0" w:rsidR="00EF56B5" w:rsidRPr="00635E82" w:rsidRDefault="0079601D" w:rsidP="00EF56B5">
      <w:pPr>
        <w:pStyle w:val="Bullet1"/>
        <w:ind w:left="284"/>
      </w:pPr>
      <w:r>
        <w:t>An o</w:t>
      </w:r>
      <w:r w:rsidR="00EF56B5" w:rsidRPr="00635E82">
        <w:t xml:space="preserve">verview of the Standards </w:t>
      </w:r>
      <w:r>
        <w:t>is</w:t>
      </w:r>
      <w:r w:rsidR="00EF56B5" w:rsidRPr="00635E82">
        <w:t xml:space="preserve"> available on the </w:t>
      </w:r>
      <w:hyperlink r:id="rId38" w:history="1">
        <w:r w:rsidR="00EF56B5" w:rsidRPr="008079A3">
          <w:rPr>
            <w:rStyle w:val="Hyperlink"/>
          </w:rPr>
          <w:t>Social Services Regulator’s Guidance material webpage</w:t>
        </w:r>
      </w:hyperlink>
      <w:r w:rsidR="00EF56B5">
        <w:t xml:space="preserve"> </w:t>
      </w:r>
    </w:p>
    <w:p w14:paraId="710A74F4" w14:textId="598413F1" w:rsidR="00746DB0" w:rsidRDefault="00746DB0" w:rsidP="00746DB0">
      <w:pPr>
        <w:pStyle w:val="Bullet1"/>
        <w:ind w:left="284"/>
      </w:pPr>
      <w:r>
        <w:t xml:space="preserve">Information about the Social Services Regulator </w:t>
      </w:r>
      <w:r w:rsidR="0079601D">
        <w:t>is</w:t>
      </w:r>
      <w:r>
        <w:t xml:space="preserve"> available </w:t>
      </w:r>
      <w:r w:rsidR="00294851">
        <w:t xml:space="preserve">on the </w:t>
      </w:r>
      <w:hyperlink r:id="rId39" w:history="1">
        <w:r w:rsidR="00294851" w:rsidRPr="00294851">
          <w:rPr>
            <w:rStyle w:val="Hyperlink"/>
          </w:rPr>
          <w:t>Social Services Regulator’s website</w:t>
        </w:r>
      </w:hyperlink>
      <w:r>
        <w:t xml:space="preserve"> </w:t>
      </w:r>
    </w:p>
    <w:p w14:paraId="7CE12830" w14:textId="128547D2" w:rsidR="00940B75" w:rsidRDefault="00940B75" w:rsidP="00746DB0">
      <w:pPr>
        <w:pStyle w:val="Bullet1"/>
        <w:ind w:left="284"/>
      </w:pPr>
      <w:r>
        <w:t xml:space="preserve">Information on services in scope of the regulatory scheme </w:t>
      </w:r>
      <w:r w:rsidR="0079601D">
        <w:t>is</w:t>
      </w:r>
      <w:r>
        <w:t xml:space="preserve"> available on </w:t>
      </w:r>
      <w:r>
        <w:rPr>
          <w:lang w:eastAsia="en-AU"/>
        </w:rPr>
        <w:t xml:space="preserve">the </w:t>
      </w:r>
      <w:hyperlink r:id="rId40" w:history="1">
        <w:r w:rsidRPr="00A903A7">
          <w:rPr>
            <w:rStyle w:val="Hyperlink"/>
            <w:lang w:eastAsia="en-AU"/>
          </w:rPr>
          <w:t>Social Services Regulator’s website</w:t>
        </w:r>
      </w:hyperlink>
      <w:r w:rsidR="0079601D">
        <w:rPr>
          <w:lang w:eastAsia="en-AU"/>
        </w:rPr>
        <w:t>.</w:t>
      </w:r>
    </w:p>
    <w:p w14:paraId="7CB0CFC6" w14:textId="77777777" w:rsidR="008E75EF" w:rsidRPr="00635E82" w:rsidRDefault="008E75EF" w:rsidP="008E75EF">
      <w:pPr>
        <w:pStyle w:val="Bullet1"/>
        <w:numPr>
          <w:ilvl w:val="0"/>
          <w:numId w:val="0"/>
        </w:numPr>
      </w:pPr>
    </w:p>
    <w:p w14:paraId="4B2577E6" w14:textId="77777777" w:rsidR="00EF56B5" w:rsidRPr="00547F7B" w:rsidRDefault="00EF56B5" w:rsidP="00547F7B">
      <w:pPr>
        <w:pStyle w:val="Heading2"/>
      </w:pPr>
      <w:bookmarkStart w:id="15" w:name="_Toc165031764"/>
      <w:bookmarkStart w:id="16" w:name="_Toc178945960"/>
      <w:r w:rsidRPr="00547F7B">
        <w:lastRenderedPageBreak/>
        <w:t>Contact us</w:t>
      </w:r>
      <w:bookmarkEnd w:id="15"/>
      <w:bookmarkEnd w:id="16"/>
    </w:p>
    <w:p w14:paraId="777595AF" w14:textId="686DC188" w:rsidR="00EF56B5" w:rsidRDefault="00EF56B5" w:rsidP="00EF56B5">
      <w:pPr>
        <w:pStyle w:val="Body"/>
      </w:pPr>
      <w:r>
        <w:t xml:space="preserve">For further information </w:t>
      </w:r>
      <w:r w:rsidR="00C07AA5">
        <w:t xml:space="preserve">not covered in this information sheet, </w:t>
      </w:r>
      <w:r>
        <w:t>you can contact the Social Services Regulator:</w:t>
      </w:r>
    </w:p>
    <w:p w14:paraId="27EC22A1" w14:textId="51094628" w:rsidR="00EF56B5" w:rsidRPr="0015742A" w:rsidRDefault="00EF56B5" w:rsidP="0015742A">
      <w:pPr>
        <w:pStyle w:val="Bullet1"/>
        <w:ind w:left="284"/>
      </w:pPr>
      <w:hyperlink r:id="rId41" w:history="1">
        <w:r w:rsidRPr="00BF1F39">
          <w:rPr>
            <w:rStyle w:val="Hyperlink"/>
          </w:rPr>
          <w:t>email the Social Services Regulator</w:t>
        </w:r>
      </w:hyperlink>
      <w:r>
        <w:t xml:space="preserve"> &lt;enquiries@ssr.vic.gov.au&gt;.</w:t>
      </w:r>
      <w:r w:rsidRPr="0015742A">
        <w:br w:type="page"/>
      </w:r>
    </w:p>
    <w:p w14:paraId="28B738FC" w14:textId="77777777" w:rsid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2CFC4C6" w:rsidR="0055119B" w:rsidRPr="0055119B" w:rsidRDefault="0055119B" w:rsidP="0055119B">
            <w:pPr>
              <w:pStyle w:val="Accessibilitypara"/>
            </w:pPr>
            <w:bookmarkStart w:id="17" w:name="_Hlk37240926"/>
            <w:r w:rsidRPr="0055119B">
              <w:t>To receive this document in another format</w:t>
            </w:r>
            <w:r w:rsidR="0015742A">
              <w:t xml:space="preserve"> </w:t>
            </w:r>
            <w:r w:rsidRPr="0055119B">
              <w:t>email</w:t>
            </w:r>
            <w:r w:rsidR="00AB4F5A">
              <w:t>:</w:t>
            </w:r>
            <w:r w:rsidRPr="0055119B">
              <w:t xml:space="preserve"> </w:t>
            </w:r>
            <w:hyperlink r:id="rId42" w:history="1">
              <w:r w:rsidR="0079601D" w:rsidRPr="0079601D">
                <w:rPr>
                  <w:rStyle w:val="Hyperlink"/>
                </w:rPr>
                <w:t>mailto:enquiries@ssr.vic.gov.au</w:t>
              </w:r>
            </w:hyperlink>
            <w:r w:rsidR="00AB4F5A">
              <w:t xml:space="preserve"> </w:t>
            </w:r>
            <w:r w:rsidRPr="0055119B">
              <w:t>&lt;</w:t>
            </w:r>
            <w:r w:rsidR="00AB4F5A">
              <w:t>enquiries@ssr.vic.gov.au</w:t>
            </w:r>
            <w:r w:rsidR="00AB4F5A" w:rsidRPr="0055119B">
              <w:t xml:space="preserve"> </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6A9C972"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C01ED9">
              <w:t>October</w:t>
            </w:r>
            <w:r w:rsidR="00C01ED9" w:rsidRPr="002215C2">
              <w:t xml:space="preserve"> </w:t>
            </w:r>
            <w:r w:rsidR="002215C2" w:rsidRPr="002215C2">
              <w:t>2024</w:t>
            </w:r>
            <w:r w:rsidRPr="0055119B">
              <w:t>.</w:t>
            </w:r>
          </w:p>
          <w:p w14:paraId="1DE414C1" w14:textId="77777777" w:rsidR="0055119B" w:rsidRPr="00AB4F5A" w:rsidRDefault="0055119B" w:rsidP="00E33237">
            <w:pPr>
              <w:pStyle w:val="Imprint"/>
            </w:pPr>
            <w:bookmarkStart w:id="18" w:name="_Hlk62746129"/>
            <w:r w:rsidRPr="00AB4F5A">
              <w:t>In this document, ‘Aboriginal’ refers to both Aboriginal and Torres Strait Islander people. ‘Indigenous’ or ‘Koori/Koorie’ is retained when part of the title of a report, program or quotation.</w:t>
            </w:r>
          </w:p>
          <w:p w14:paraId="51FCE217" w14:textId="27256F49" w:rsidR="0055119B" w:rsidRPr="0055119B" w:rsidRDefault="0055119B" w:rsidP="00E33237">
            <w:pPr>
              <w:pStyle w:val="Imprint"/>
            </w:pPr>
            <w:r w:rsidRPr="0055119B">
              <w:t>ISBN</w:t>
            </w:r>
            <w:r w:rsidR="00AB4F5A">
              <w:t xml:space="preserve"> </w:t>
            </w:r>
            <w:r w:rsidR="00AB4F5A" w:rsidRPr="00AB4F5A">
              <w:t xml:space="preserve">978-1-76130-753-9 </w:t>
            </w:r>
            <w:r w:rsidRPr="0055119B">
              <w:t>(online)</w:t>
            </w:r>
          </w:p>
          <w:p w14:paraId="0C92739F" w14:textId="2935ACEB" w:rsidR="0055119B" w:rsidRDefault="0055119B" w:rsidP="00E33237">
            <w:pPr>
              <w:pStyle w:val="Imprint"/>
            </w:pPr>
            <w:r w:rsidRPr="00AB4F5A">
              <w:t xml:space="preserve">Available at </w:t>
            </w:r>
            <w:hyperlink r:id="rId43" w:history="1">
              <w:r w:rsidR="00AB4F5A" w:rsidRPr="00AB4F5A">
                <w:rPr>
                  <w:rStyle w:val="Hyperlink"/>
                </w:rPr>
                <w:t>http://www.vic.gov.au/social-services-regulator</w:t>
              </w:r>
            </w:hyperlink>
            <w:r w:rsidRPr="00AB4F5A">
              <w:t>&lt;</w:t>
            </w:r>
            <w:r w:rsidR="00AB4F5A" w:rsidRPr="00AB4F5A">
              <w:t>https://www.vic.gov.au/social-services-regulator</w:t>
            </w:r>
            <w:r w:rsidRPr="00AB4F5A">
              <w:t>&gt;</w:t>
            </w:r>
            <w:bookmarkEnd w:id="18"/>
          </w:p>
        </w:tc>
      </w:tr>
      <w:bookmarkEnd w:id="17"/>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DCE4" w14:textId="77777777" w:rsidR="00E24976" w:rsidRDefault="00E24976">
      <w:r>
        <w:separator/>
      </w:r>
    </w:p>
    <w:p w14:paraId="3B8BDA30" w14:textId="77777777" w:rsidR="00E24976" w:rsidRDefault="00E24976"/>
  </w:endnote>
  <w:endnote w:type="continuationSeparator" w:id="0">
    <w:p w14:paraId="1373AAF1" w14:textId="77777777" w:rsidR="00E24976" w:rsidRDefault="00E24976">
      <w:r>
        <w:continuationSeparator/>
      </w:r>
    </w:p>
    <w:p w14:paraId="57718A2F" w14:textId="77777777" w:rsidR="00E24976" w:rsidRDefault="00E24976"/>
  </w:endnote>
  <w:endnote w:type="continuationNotice" w:id="1">
    <w:p w14:paraId="58515945" w14:textId="77777777" w:rsidR="00E24976" w:rsidRDefault="00E24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FB916" w14:textId="77777777" w:rsidR="00E24976" w:rsidRDefault="00E24976" w:rsidP="00207717">
      <w:pPr>
        <w:spacing w:before="120"/>
      </w:pPr>
      <w:r>
        <w:separator/>
      </w:r>
    </w:p>
  </w:footnote>
  <w:footnote w:type="continuationSeparator" w:id="0">
    <w:p w14:paraId="6555AF5D" w14:textId="77777777" w:rsidR="00E24976" w:rsidRDefault="00E24976">
      <w:r>
        <w:continuationSeparator/>
      </w:r>
    </w:p>
    <w:p w14:paraId="23357654" w14:textId="77777777" w:rsidR="00E24976" w:rsidRDefault="00E24976"/>
  </w:footnote>
  <w:footnote w:type="continuationNotice" w:id="1">
    <w:p w14:paraId="5BD446FF" w14:textId="77777777" w:rsidR="00E24976" w:rsidRDefault="00E24976">
      <w:pPr>
        <w:spacing w:after="0" w:line="240" w:lineRule="auto"/>
      </w:pPr>
    </w:p>
  </w:footnote>
  <w:footnote w:id="2">
    <w:p w14:paraId="48C63C49" w14:textId="77777777" w:rsidR="00CD52F3" w:rsidRDefault="00CD52F3" w:rsidP="00CD52F3">
      <w:pPr>
        <w:pStyle w:val="FootnoteText"/>
      </w:pPr>
      <w:r>
        <w:rPr>
          <w:rStyle w:val="FootnoteReference"/>
        </w:rPr>
        <w:footnoteRef/>
      </w:r>
      <w:r>
        <w:t xml:space="preserve"> Only if the authorised officer believes on reasonable grounds that entry is necessary to eliminate or reduce an imminent risk of harm to a service user, Section 112(2)(b) </w:t>
      </w:r>
      <w:r w:rsidRPr="00370BE1">
        <w:rPr>
          <w:i/>
          <w:iCs/>
        </w:rPr>
        <w:t>Social Services Regulation Act 2021</w:t>
      </w:r>
    </w:p>
  </w:footnote>
  <w:footnote w:id="3">
    <w:p w14:paraId="0DFD91DE" w14:textId="77777777" w:rsidR="00B94BD8" w:rsidRDefault="00B94BD8" w:rsidP="00B94BD8">
      <w:pPr>
        <w:pStyle w:val="FootnoteText"/>
      </w:pPr>
      <w:r>
        <w:rPr>
          <w:rStyle w:val="FootnoteReference"/>
        </w:rPr>
        <w:footnoteRef/>
      </w:r>
      <w:r>
        <w:t xml:space="preserve"> Functions and powers of the CCYP are found in </w:t>
      </w:r>
      <w:r w:rsidRPr="009D37A8">
        <w:rPr>
          <w:i/>
          <w:iCs/>
        </w:rPr>
        <w:t>C</w:t>
      </w:r>
      <w:r w:rsidRPr="001204B6">
        <w:rPr>
          <w:i/>
          <w:iCs/>
        </w:rPr>
        <w:t>ommission for Children and Young People Act 2012</w:t>
      </w:r>
      <w:r w:rsidRPr="001204B6">
        <w:t xml:space="preserve"> and </w:t>
      </w:r>
      <w:r w:rsidRPr="009D37A8">
        <w:rPr>
          <w:i/>
          <w:iCs/>
        </w:rPr>
        <w:t>Ch</w:t>
      </w:r>
      <w:r w:rsidRPr="001204B6">
        <w:rPr>
          <w:i/>
          <w:iCs/>
        </w:rPr>
        <w:t>ild Wellbeing and Safety Act 2005</w:t>
      </w:r>
      <w:r w:rsidRPr="001204B6">
        <w:t>.</w:t>
      </w:r>
    </w:p>
  </w:footnote>
  <w:footnote w:id="4">
    <w:p w14:paraId="31F3F01F" w14:textId="58952CEC" w:rsidR="009C0CF2" w:rsidRPr="00AC0C2B" w:rsidRDefault="009C0CF2" w:rsidP="00A91056">
      <w:pPr>
        <w:spacing w:before="60" w:after="60" w:line="220" w:lineRule="atLeast"/>
        <w:rPr>
          <w:rFonts w:cs="Arial"/>
          <w:sz w:val="18"/>
          <w:szCs w:val="18"/>
        </w:rPr>
      </w:pPr>
      <w:r w:rsidRPr="003E207A">
        <w:rPr>
          <w:rStyle w:val="FootnoteReference"/>
          <w:rFonts w:cs="Arial"/>
          <w:sz w:val="18"/>
          <w:szCs w:val="18"/>
        </w:rPr>
        <w:footnoteRef/>
      </w:r>
      <w:r w:rsidRPr="003E207A">
        <w:rPr>
          <w:rFonts w:cs="Arial"/>
          <w:sz w:val="18"/>
          <w:szCs w:val="18"/>
        </w:rPr>
        <w:t xml:space="preserve"> Including early childhood services, </w:t>
      </w:r>
      <w:r w:rsidRPr="003E207A">
        <w:rPr>
          <w:rFonts w:eastAsiaTheme="minorHAnsi" w:cs="Arial"/>
          <w:sz w:val="18"/>
          <w:szCs w:val="18"/>
        </w:rPr>
        <w:t>schools and school boarding premises</w:t>
      </w:r>
      <w:r w:rsidRPr="003E207A">
        <w:rPr>
          <w:rFonts w:cs="Arial"/>
          <w:sz w:val="18"/>
          <w:szCs w:val="18"/>
        </w:rPr>
        <w:t>, non-school providers registered to deliver senior secondary or foundation secondary courses, registered training organisations (RTOs) that deliver training to anyone under 18 years of age, international education organisations that are registered on the Commonwealth Department of Education's Commonwealth Register of Institutions and Courses for Overseas Students (CRICOS) or approved as student exchange organisations.</w:t>
      </w:r>
    </w:p>
  </w:footnote>
  <w:footnote w:id="5">
    <w:p w14:paraId="5C8451F0" w14:textId="3B21DFEF" w:rsidR="0025354F" w:rsidRPr="00AC0C2B" w:rsidRDefault="0025354F">
      <w:pPr>
        <w:pStyle w:val="FootnoteText"/>
        <w:rPr>
          <w:szCs w:val="18"/>
        </w:rPr>
      </w:pPr>
      <w:r w:rsidRPr="00AC0C2B">
        <w:rPr>
          <w:rStyle w:val="FootnoteReference"/>
          <w:szCs w:val="18"/>
        </w:rPr>
        <w:footnoteRef/>
      </w:r>
      <w:r w:rsidRPr="00AC0C2B">
        <w:rPr>
          <w:szCs w:val="18"/>
        </w:rPr>
        <w:t xml:space="preserve"> See: </w:t>
      </w:r>
      <w:hyperlink r:id="rId1" w:history="1">
        <w:r w:rsidR="00FF75A8" w:rsidRPr="00E36982">
          <w:rPr>
            <w:rStyle w:val="Hyperlink"/>
            <w:szCs w:val="18"/>
          </w:rPr>
          <w:t>https://ccyp.vic.gov.au/child-safe-standards/who-do-the-standards-apply-to-page/</w:t>
        </w:r>
      </w:hyperlink>
      <w:r w:rsidR="00FF75A8">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FC345" w14:textId="0FA08911" w:rsidR="00494236" w:rsidRDefault="000300B5" w:rsidP="0017674D">
    <w:pPr>
      <w:pStyle w:val="Header"/>
    </w:pPr>
    <w:r>
      <w:t>Understand</w:t>
    </w:r>
    <w:r w:rsidR="00E41BEE">
      <w:t>ing requirements u</w:t>
    </w:r>
    <w:r w:rsidR="00234C3C">
      <w:t>nder the Child Safe Standards</w:t>
    </w:r>
  </w:p>
  <w:p w14:paraId="01FD96D1" w14:textId="14BA6B36"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1EB"/>
    <w:multiLevelType w:val="hybridMultilevel"/>
    <w:tmpl w:val="8ABE1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FF317E"/>
    <w:multiLevelType w:val="hybridMultilevel"/>
    <w:tmpl w:val="8A24F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B3D07"/>
    <w:multiLevelType w:val="hybridMultilevel"/>
    <w:tmpl w:val="E5FE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5055F"/>
    <w:multiLevelType w:val="hybridMultilevel"/>
    <w:tmpl w:val="854C34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763BA5"/>
    <w:multiLevelType w:val="hybridMultilevel"/>
    <w:tmpl w:val="C346C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A1BEB"/>
    <w:multiLevelType w:val="hybridMultilevel"/>
    <w:tmpl w:val="C384495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06D46"/>
    <w:multiLevelType w:val="hybridMultilevel"/>
    <w:tmpl w:val="B7F4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622BD"/>
    <w:multiLevelType w:val="hybridMultilevel"/>
    <w:tmpl w:val="B09E4600"/>
    <w:lvl w:ilvl="0" w:tplc="C366A0AC">
      <w:start w:val="1"/>
      <w:numFmt w:val="bullet"/>
      <w:lvlText w:val=""/>
      <w:lvlJc w:val="left"/>
      <w:pPr>
        <w:ind w:left="1020" w:hanging="360"/>
      </w:pPr>
      <w:rPr>
        <w:rFonts w:ascii="Symbol" w:hAnsi="Symbol"/>
      </w:rPr>
    </w:lvl>
    <w:lvl w:ilvl="1" w:tplc="8DAEF754">
      <w:start w:val="1"/>
      <w:numFmt w:val="bullet"/>
      <w:lvlText w:val=""/>
      <w:lvlJc w:val="left"/>
      <w:pPr>
        <w:ind w:left="1020" w:hanging="360"/>
      </w:pPr>
      <w:rPr>
        <w:rFonts w:ascii="Symbol" w:hAnsi="Symbol"/>
      </w:rPr>
    </w:lvl>
    <w:lvl w:ilvl="2" w:tplc="DBCA7E70">
      <w:start w:val="1"/>
      <w:numFmt w:val="bullet"/>
      <w:lvlText w:val=""/>
      <w:lvlJc w:val="left"/>
      <w:pPr>
        <w:ind w:left="1020" w:hanging="360"/>
      </w:pPr>
      <w:rPr>
        <w:rFonts w:ascii="Symbol" w:hAnsi="Symbol"/>
      </w:rPr>
    </w:lvl>
    <w:lvl w:ilvl="3" w:tplc="EB98AA64">
      <w:start w:val="1"/>
      <w:numFmt w:val="bullet"/>
      <w:lvlText w:val=""/>
      <w:lvlJc w:val="left"/>
      <w:pPr>
        <w:ind w:left="1020" w:hanging="360"/>
      </w:pPr>
      <w:rPr>
        <w:rFonts w:ascii="Symbol" w:hAnsi="Symbol"/>
      </w:rPr>
    </w:lvl>
    <w:lvl w:ilvl="4" w:tplc="34B45A2C">
      <w:start w:val="1"/>
      <w:numFmt w:val="bullet"/>
      <w:lvlText w:val=""/>
      <w:lvlJc w:val="left"/>
      <w:pPr>
        <w:ind w:left="1020" w:hanging="360"/>
      </w:pPr>
      <w:rPr>
        <w:rFonts w:ascii="Symbol" w:hAnsi="Symbol"/>
      </w:rPr>
    </w:lvl>
    <w:lvl w:ilvl="5" w:tplc="BA5612BE">
      <w:start w:val="1"/>
      <w:numFmt w:val="bullet"/>
      <w:lvlText w:val=""/>
      <w:lvlJc w:val="left"/>
      <w:pPr>
        <w:ind w:left="1020" w:hanging="360"/>
      </w:pPr>
      <w:rPr>
        <w:rFonts w:ascii="Symbol" w:hAnsi="Symbol"/>
      </w:rPr>
    </w:lvl>
    <w:lvl w:ilvl="6" w:tplc="60B0C692">
      <w:start w:val="1"/>
      <w:numFmt w:val="bullet"/>
      <w:lvlText w:val=""/>
      <w:lvlJc w:val="left"/>
      <w:pPr>
        <w:ind w:left="1020" w:hanging="360"/>
      </w:pPr>
      <w:rPr>
        <w:rFonts w:ascii="Symbol" w:hAnsi="Symbol"/>
      </w:rPr>
    </w:lvl>
    <w:lvl w:ilvl="7" w:tplc="6D8AE33A">
      <w:start w:val="1"/>
      <w:numFmt w:val="bullet"/>
      <w:lvlText w:val=""/>
      <w:lvlJc w:val="left"/>
      <w:pPr>
        <w:ind w:left="1020" w:hanging="360"/>
      </w:pPr>
      <w:rPr>
        <w:rFonts w:ascii="Symbol" w:hAnsi="Symbol"/>
      </w:rPr>
    </w:lvl>
    <w:lvl w:ilvl="8" w:tplc="D8607A12">
      <w:start w:val="1"/>
      <w:numFmt w:val="bullet"/>
      <w:lvlText w:val=""/>
      <w:lvlJc w:val="left"/>
      <w:pPr>
        <w:ind w:left="1020" w:hanging="360"/>
      </w:pPr>
      <w:rPr>
        <w:rFonts w:ascii="Symbol" w:hAnsi="Symbol"/>
      </w:rPr>
    </w:lvl>
  </w:abstractNum>
  <w:abstractNum w:abstractNumId="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153AA5"/>
    <w:multiLevelType w:val="hybridMultilevel"/>
    <w:tmpl w:val="8B5A9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E6342E"/>
    <w:multiLevelType w:val="hybridMultilevel"/>
    <w:tmpl w:val="081456B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566F29FD"/>
    <w:multiLevelType w:val="hybridMultilevel"/>
    <w:tmpl w:val="F9D0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441AA5"/>
    <w:multiLevelType w:val="hybridMultilevel"/>
    <w:tmpl w:val="AD1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311C0"/>
    <w:multiLevelType w:val="multilevel"/>
    <w:tmpl w:val="6890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A821EA"/>
    <w:multiLevelType w:val="hybridMultilevel"/>
    <w:tmpl w:val="8E98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5841AE5"/>
    <w:multiLevelType w:val="hybridMultilevel"/>
    <w:tmpl w:val="ECEEE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BE190E"/>
    <w:multiLevelType w:val="hybridMultilevel"/>
    <w:tmpl w:val="EC6C9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499732">
    <w:abstractNumId w:val="9"/>
  </w:num>
  <w:num w:numId="2" w16cid:durableId="620889137">
    <w:abstractNumId w:val="14"/>
  </w:num>
  <w:num w:numId="3" w16cid:durableId="1586377817">
    <w:abstractNumId w:val="13"/>
  </w:num>
  <w:num w:numId="4" w16cid:durableId="496849498">
    <w:abstractNumId w:val="19"/>
  </w:num>
  <w:num w:numId="5" w16cid:durableId="767576029">
    <w:abstractNumId w:val="10"/>
  </w:num>
  <w:num w:numId="6" w16cid:durableId="1279681164">
    <w:abstractNumId w:val="1"/>
  </w:num>
  <w:num w:numId="7" w16cid:durableId="1748527775">
    <w:abstractNumId w:val="3"/>
  </w:num>
  <w:num w:numId="8" w16cid:durableId="43723876">
    <w:abstractNumId w:val="7"/>
  </w:num>
  <w:num w:numId="9" w16cid:durableId="1693263511">
    <w:abstractNumId w:val="5"/>
  </w:num>
  <w:num w:numId="10" w16cid:durableId="1923492125">
    <w:abstractNumId w:val="21"/>
  </w:num>
  <w:num w:numId="11" w16cid:durableId="573588832">
    <w:abstractNumId w:val="4"/>
  </w:num>
  <w:num w:numId="12" w16cid:durableId="1603030987">
    <w:abstractNumId w:val="15"/>
  </w:num>
  <w:num w:numId="13" w16cid:durableId="626550666">
    <w:abstractNumId w:val="16"/>
  </w:num>
  <w:num w:numId="14" w16cid:durableId="387193969">
    <w:abstractNumId w:val="18"/>
  </w:num>
  <w:num w:numId="15" w16cid:durableId="1768847459">
    <w:abstractNumId w:val="2"/>
  </w:num>
  <w:num w:numId="16" w16cid:durableId="1705860313">
    <w:abstractNumId w:val="12"/>
  </w:num>
  <w:num w:numId="17" w16cid:durableId="312877918">
    <w:abstractNumId w:val="0"/>
  </w:num>
  <w:num w:numId="18" w16cid:durableId="1269964350">
    <w:abstractNumId w:val="20"/>
  </w:num>
  <w:num w:numId="19" w16cid:durableId="1284000814">
    <w:abstractNumId w:val="11"/>
  </w:num>
  <w:num w:numId="20" w16cid:durableId="167524504">
    <w:abstractNumId w:val="17"/>
  </w:num>
  <w:num w:numId="21" w16cid:durableId="1305038154">
    <w:abstractNumId w:val="6"/>
  </w:num>
  <w:num w:numId="22" w16cid:durableId="9618122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1B9"/>
    <w:rsid w:val="00002D68"/>
    <w:rsid w:val="00003403"/>
    <w:rsid w:val="00004475"/>
    <w:rsid w:val="00005347"/>
    <w:rsid w:val="000072B6"/>
    <w:rsid w:val="0001021B"/>
    <w:rsid w:val="00011D89"/>
    <w:rsid w:val="00012AC4"/>
    <w:rsid w:val="000154FD"/>
    <w:rsid w:val="00016F33"/>
    <w:rsid w:val="000215DF"/>
    <w:rsid w:val="00022271"/>
    <w:rsid w:val="000235E8"/>
    <w:rsid w:val="00024D89"/>
    <w:rsid w:val="000250B6"/>
    <w:rsid w:val="000300B5"/>
    <w:rsid w:val="000301B7"/>
    <w:rsid w:val="00033D81"/>
    <w:rsid w:val="00033F5D"/>
    <w:rsid w:val="0003477C"/>
    <w:rsid w:val="00037366"/>
    <w:rsid w:val="00041BF0"/>
    <w:rsid w:val="00041D99"/>
    <w:rsid w:val="00042C8A"/>
    <w:rsid w:val="0004536B"/>
    <w:rsid w:val="00046B68"/>
    <w:rsid w:val="00050EC0"/>
    <w:rsid w:val="000527DD"/>
    <w:rsid w:val="000578B2"/>
    <w:rsid w:val="00060959"/>
    <w:rsid w:val="00060C8F"/>
    <w:rsid w:val="0006298A"/>
    <w:rsid w:val="000643BD"/>
    <w:rsid w:val="000663CD"/>
    <w:rsid w:val="000727E1"/>
    <w:rsid w:val="000733FE"/>
    <w:rsid w:val="00074219"/>
    <w:rsid w:val="000744D7"/>
    <w:rsid w:val="00074ED5"/>
    <w:rsid w:val="000760E6"/>
    <w:rsid w:val="00082CB0"/>
    <w:rsid w:val="000844A1"/>
    <w:rsid w:val="0008508E"/>
    <w:rsid w:val="00086557"/>
    <w:rsid w:val="00087701"/>
    <w:rsid w:val="00087951"/>
    <w:rsid w:val="0009050A"/>
    <w:rsid w:val="0009113B"/>
    <w:rsid w:val="00093402"/>
    <w:rsid w:val="00094DA3"/>
    <w:rsid w:val="00096CD1"/>
    <w:rsid w:val="000A0091"/>
    <w:rsid w:val="000A012C"/>
    <w:rsid w:val="000A0EB9"/>
    <w:rsid w:val="000A186C"/>
    <w:rsid w:val="000A1EA4"/>
    <w:rsid w:val="000A2476"/>
    <w:rsid w:val="000A3920"/>
    <w:rsid w:val="000A53BE"/>
    <w:rsid w:val="000A641A"/>
    <w:rsid w:val="000B2117"/>
    <w:rsid w:val="000B3EDB"/>
    <w:rsid w:val="000B43D8"/>
    <w:rsid w:val="000B543D"/>
    <w:rsid w:val="000B55F9"/>
    <w:rsid w:val="000B5BF7"/>
    <w:rsid w:val="000B659D"/>
    <w:rsid w:val="000B6BC8"/>
    <w:rsid w:val="000C0303"/>
    <w:rsid w:val="000C3DA6"/>
    <w:rsid w:val="000C42EA"/>
    <w:rsid w:val="000C4546"/>
    <w:rsid w:val="000C7352"/>
    <w:rsid w:val="000D0306"/>
    <w:rsid w:val="000D1242"/>
    <w:rsid w:val="000E0970"/>
    <w:rsid w:val="000E3CC7"/>
    <w:rsid w:val="000E6339"/>
    <w:rsid w:val="000E69E7"/>
    <w:rsid w:val="000E6BD4"/>
    <w:rsid w:val="000E6D6D"/>
    <w:rsid w:val="000F1F1E"/>
    <w:rsid w:val="000F2259"/>
    <w:rsid w:val="000F2DDA"/>
    <w:rsid w:val="000F2EA0"/>
    <w:rsid w:val="000F5213"/>
    <w:rsid w:val="00101001"/>
    <w:rsid w:val="00103276"/>
    <w:rsid w:val="0010392D"/>
    <w:rsid w:val="0010447F"/>
    <w:rsid w:val="00104EFD"/>
    <w:rsid w:val="00104FE3"/>
    <w:rsid w:val="00105291"/>
    <w:rsid w:val="00105BB6"/>
    <w:rsid w:val="0010714F"/>
    <w:rsid w:val="00107586"/>
    <w:rsid w:val="00111A4A"/>
    <w:rsid w:val="001120C5"/>
    <w:rsid w:val="001204B6"/>
    <w:rsid w:val="00120BD3"/>
    <w:rsid w:val="0012140E"/>
    <w:rsid w:val="00122FEA"/>
    <w:rsid w:val="001232BD"/>
    <w:rsid w:val="00124A8D"/>
    <w:rsid w:val="00124ED5"/>
    <w:rsid w:val="001276FA"/>
    <w:rsid w:val="00133584"/>
    <w:rsid w:val="00134252"/>
    <w:rsid w:val="00143CBE"/>
    <w:rsid w:val="001447B3"/>
    <w:rsid w:val="00144BEB"/>
    <w:rsid w:val="001515C2"/>
    <w:rsid w:val="00152073"/>
    <w:rsid w:val="0015564C"/>
    <w:rsid w:val="00156598"/>
    <w:rsid w:val="00156D97"/>
    <w:rsid w:val="0015742A"/>
    <w:rsid w:val="00157524"/>
    <w:rsid w:val="0016037B"/>
    <w:rsid w:val="00161939"/>
    <w:rsid w:val="00161AA0"/>
    <w:rsid w:val="00161D2E"/>
    <w:rsid w:val="00161F3E"/>
    <w:rsid w:val="00162093"/>
    <w:rsid w:val="00162CA9"/>
    <w:rsid w:val="00164A3B"/>
    <w:rsid w:val="00165459"/>
    <w:rsid w:val="00165A57"/>
    <w:rsid w:val="0016652F"/>
    <w:rsid w:val="00170BF8"/>
    <w:rsid w:val="001712C2"/>
    <w:rsid w:val="00172BAF"/>
    <w:rsid w:val="00173414"/>
    <w:rsid w:val="0017674D"/>
    <w:rsid w:val="001771DD"/>
    <w:rsid w:val="00177995"/>
    <w:rsid w:val="00177A8C"/>
    <w:rsid w:val="00177C1A"/>
    <w:rsid w:val="00180D16"/>
    <w:rsid w:val="00185E13"/>
    <w:rsid w:val="00186B33"/>
    <w:rsid w:val="00190DFC"/>
    <w:rsid w:val="00192F9D"/>
    <w:rsid w:val="00196009"/>
    <w:rsid w:val="00196EB8"/>
    <w:rsid w:val="00196EFB"/>
    <w:rsid w:val="001979FF"/>
    <w:rsid w:val="00197B17"/>
    <w:rsid w:val="001A0D96"/>
    <w:rsid w:val="001A1950"/>
    <w:rsid w:val="001A1C54"/>
    <w:rsid w:val="001A202A"/>
    <w:rsid w:val="001A3ACE"/>
    <w:rsid w:val="001A7080"/>
    <w:rsid w:val="001B058F"/>
    <w:rsid w:val="001B1DF4"/>
    <w:rsid w:val="001B5684"/>
    <w:rsid w:val="001B6B96"/>
    <w:rsid w:val="001B7228"/>
    <w:rsid w:val="001B738B"/>
    <w:rsid w:val="001C09DB"/>
    <w:rsid w:val="001C0A8F"/>
    <w:rsid w:val="001C277E"/>
    <w:rsid w:val="001C2A72"/>
    <w:rsid w:val="001C30B9"/>
    <w:rsid w:val="001C31B7"/>
    <w:rsid w:val="001D0B75"/>
    <w:rsid w:val="001D1A3F"/>
    <w:rsid w:val="001D2897"/>
    <w:rsid w:val="001D39A5"/>
    <w:rsid w:val="001D3C09"/>
    <w:rsid w:val="001D44E8"/>
    <w:rsid w:val="001D60EC"/>
    <w:rsid w:val="001D6F59"/>
    <w:rsid w:val="001D70EA"/>
    <w:rsid w:val="001E44DF"/>
    <w:rsid w:val="001E68A5"/>
    <w:rsid w:val="001E6BB0"/>
    <w:rsid w:val="001E7282"/>
    <w:rsid w:val="001F045D"/>
    <w:rsid w:val="001F0525"/>
    <w:rsid w:val="001F3826"/>
    <w:rsid w:val="001F38CF"/>
    <w:rsid w:val="001F6E46"/>
    <w:rsid w:val="001F7889"/>
    <w:rsid w:val="001F7C91"/>
    <w:rsid w:val="002033B7"/>
    <w:rsid w:val="0020497D"/>
    <w:rsid w:val="00206463"/>
    <w:rsid w:val="00206D13"/>
    <w:rsid w:val="00206F2F"/>
    <w:rsid w:val="0020711D"/>
    <w:rsid w:val="00207717"/>
    <w:rsid w:val="0021053D"/>
    <w:rsid w:val="00210A92"/>
    <w:rsid w:val="002123EE"/>
    <w:rsid w:val="00212911"/>
    <w:rsid w:val="00212C07"/>
    <w:rsid w:val="00214EB9"/>
    <w:rsid w:val="00214F39"/>
    <w:rsid w:val="00216C03"/>
    <w:rsid w:val="002170BC"/>
    <w:rsid w:val="00217336"/>
    <w:rsid w:val="00220C04"/>
    <w:rsid w:val="002215C2"/>
    <w:rsid w:val="0022278D"/>
    <w:rsid w:val="00224269"/>
    <w:rsid w:val="0022701F"/>
    <w:rsid w:val="00227C68"/>
    <w:rsid w:val="00231254"/>
    <w:rsid w:val="00231E05"/>
    <w:rsid w:val="00233311"/>
    <w:rsid w:val="002333F5"/>
    <w:rsid w:val="00233724"/>
    <w:rsid w:val="00233A00"/>
    <w:rsid w:val="00234294"/>
    <w:rsid w:val="00234C3C"/>
    <w:rsid w:val="002365B4"/>
    <w:rsid w:val="00236CAB"/>
    <w:rsid w:val="0023724F"/>
    <w:rsid w:val="00240CC4"/>
    <w:rsid w:val="00242378"/>
    <w:rsid w:val="002432E1"/>
    <w:rsid w:val="00246207"/>
    <w:rsid w:val="00246C5E"/>
    <w:rsid w:val="00246EDE"/>
    <w:rsid w:val="00250960"/>
    <w:rsid w:val="00250DC4"/>
    <w:rsid w:val="00251343"/>
    <w:rsid w:val="00252014"/>
    <w:rsid w:val="0025354F"/>
    <w:rsid w:val="002536A4"/>
    <w:rsid w:val="00254F58"/>
    <w:rsid w:val="00255814"/>
    <w:rsid w:val="00255D1E"/>
    <w:rsid w:val="00256147"/>
    <w:rsid w:val="00260305"/>
    <w:rsid w:val="002620BC"/>
    <w:rsid w:val="002622D7"/>
    <w:rsid w:val="00262802"/>
    <w:rsid w:val="00263A90"/>
    <w:rsid w:val="0026408B"/>
    <w:rsid w:val="00267C3E"/>
    <w:rsid w:val="00267E65"/>
    <w:rsid w:val="002709BB"/>
    <w:rsid w:val="0027131C"/>
    <w:rsid w:val="002722DD"/>
    <w:rsid w:val="00272563"/>
    <w:rsid w:val="002732DC"/>
    <w:rsid w:val="002734D7"/>
    <w:rsid w:val="00273BAC"/>
    <w:rsid w:val="002744BF"/>
    <w:rsid w:val="002763B3"/>
    <w:rsid w:val="002802E3"/>
    <w:rsid w:val="00280A99"/>
    <w:rsid w:val="00280B92"/>
    <w:rsid w:val="00280C4B"/>
    <w:rsid w:val="0028213D"/>
    <w:rsid w:val="002862F1"/>
    <w:rsid w:val="00291373"/>
    <w:rsid w:val="00294851"/>
    <w:rsid w:val="0029597D"/>
    <w:rsid w:val="002962C3"/>
    <w:rsid w:val="0029752B"/>
    <w:rsid w:val="002A0A9C"/>
    <w:rsid w:val="002A1644"/>
    <w:rsid w:val="002A20CA"/>
    <w:rsid w:val="002A483C"/>
    <w:rsid w:val="002B0C7C"/>
    <w:rsid w:val="002B1729"/>
    <w:rsid w:val="002B36C7"/>
    <w:rsid w:val="002B4CF5"/>
    <w:rsid w:val="002B4DD4"/>
    <w:rsid w:val="002B5277"/>
    <w:rsid w:val="002B5375"/>
    <w:rsid w:val="002B77C1"/>
    <w:rsid w:val="002C0123"/>
    <w:rsid w:val="002C0ED7"/>
    <w:rsid w:val="002C0F0A"/>
    <w:rsid w:val="002C2728"/>
    <w:rsid w:val="002C5017"/>
    <w:rsid w:val="002C67B6"/>
    <w:rsid w:val="002D1E0D"/>
    <w:rsid w:val="002D5006"/>
    <w:rsid w:val="002E01D0"/>
    <w:rsid w:val="002E06A3"/>
    <w:rsid w:val="002E12F6"/>
    <w:rsid w:val="002E161D"/>
    <w:rsid w:val="002E2E94"/>
    <w:rsid w:val="002E3100"/>
    <w:rsid w:val="002E3205"/>
    <w:rsid w:val="002E6C95"/>
    <w:rsid w:val="002E7C36"/>
    <w:rsid w:val="002F0CB0"/>
    <w:rsid w:val="002F0F31"/>
    <w:rsid w:val="002F1F36"/>
    <w:rsid w:val="002F3ADF"/>
    <w:rsid w:val="002F3D32"/>
    <w:rsid w:val="002F5F31"/>
    <w:rsid w:val="002F5F46"/>
    <w:rsid w:val="002F7E92"/>
    <w:rsid w:val="00302216"/>
    <w:rsid w:val="003033E7"/>
    <w:rsid w:val="00303E53"/>
    <w:rsid w:val="00303EE0"/>
    <w:rsid w:val="00305CC1"/>
    <w:rsid w:val="00306E5F"/>
    <w:rsid w:val="00307E14"/>
    <w:rsid w:val="003125B0"/>
    <w:rsid w:val="00313023"/>
    <w:rsid w:val="00314054"/>
    <w:rsid w:val="003150C1"/>
    <w:rsid w:val="00316F27"/>
    <w:rsid w:val="003214F1"/>
    <w:rsid w:val="00322E4B"/>
    <w:rsid w:val="003252EE"/>
    <w:rsid w:val="00325511"/>
    <w:rsid w:val="00327870"/>
    <w:rsid w:val="00327AC3"/>
    <w:rsid w:val="0033259D"/>
    <w:rsid w:val="003333D2"/>
    <w:rsid w:val="00337339"/>
    <w:rsid w:val="003406C6"/>
    <w:rsid w:val="0034071E"/>
    <w:rsid w:val="003418CC"/>
    <w:rsid w:val="003459BD"/>
    <w:rsid w:val="003470EF"/>
    <w:rsid w:val="00350D38"/>
    <w:rsid w:val="00350DD9"/>
    <w:rsid w:val="00351405"/>
    <w:rsid w:val="00351B36"/>
    <w:rsid w:val="00352ADA"/>
    <w:rsid w:val="00355041"/>
    <w:rsid w:val="00357967"/>
    <w:rsid w:val="00357B4E"/>
    <w:rsid w:val="00361770"/>
    <w:rsid w:val="00363B81"/>
    <w:rsid w:val="00365590"/>
    <w:rsid w:val="00366930"/>
    <w:rsid w:val="003701E5"/>
    <w:rsid w:val="00370681"/>
    <w:rsid w:val="00370BE1"/>
    <w:rsid w:val="003716FD"/>
    <w:rsid w:val="00371883"/>
    <w:rsid w:val="0037204B"/>
    <w:rsid w:val="00372A41"/>
    <w:rsid w:val="00372DF3"/>
    <w:rsid w:val="003734BF"/>
    <w:rsid w:val="003744CF"/>
    <w:rsid w:val="00374717"/>
    <w:rsid w:val="00375757"/>
    <w:rsid w:val="0037676C"/>
    <w:rsid w:val="00377975"/>
    <w:rsid w:val="00377A1A"/>
    <w:rsid w:val="003800C5"/>
    <w:rsid w:val="00381043"/>
    <w:rsid w:val="003829E5"/>
    <w:rsid w:val="00382C39"/>
    <w:rsid w:val="00383CB0"/>
    <w:rsid w:val="00386109"/>
    <w:rsid w:val="00386944"/>
    <w:rsid w:val="00386AFC"/>
    <w:rsid w:val="0038742E"/>
    <w:rsid w:val="003956CC"/>
    <w:rsid w:val="00395C9A"/>
    <w:rsid w:val="003A04E1"/>
    <w:rsid w:val="003A0853"/>
    <w:rsid w:val="003A17E5"/>
    <w:rsid w:val="003A46DA"/>
    <w:rsid w:val="003A5141"/>
    <w:rsid w:val="003A6B67"/>
    <w:rsid w:val="003B0349"/>
    <w:rsid w:val="003B13B6"/>
    <w:rsid w:val="003B14C3"/>
    <w:rsid w:val="003B15E6"/>
    <w:rsid w:val="003B1BDC"/>
    <w:rsid w:val="003B408A"/>
    <w:rsid w:val="003B771F"/>
    <w:rsid w:val="003C08A2"/>
    <w:rsid w:val="003C2045"/>
    <w:rsid w:val="003C43A1"/>
    <w:rsid w:val="003C49C7"/>
    <w:rsid w:val="003C4FC0"/>
    <w:rsid w:val="003C55F4"/>
    <w:rsid w:val="003C7897"/>
    <w:rsid w:val="003C7A3F"/>
    <w:rsid w:val="003D19B3"/>
    <w:rsid w:val="003D1FBE"/>
    <w:rsid w:val="003D2766"/>
    <w:rsid w:val="003D2A74"/>
    <w:rsid w:val="003D3E8F"/>
    <w:rsid w:val="003D5E37"/>
    <w:rsid w:val="003D6475"/>
    <w:rsid w:val="003D6A74"/>
    <w:rsid w:val="003D6EE6"/>
    <w:rsid w:val="003D7000"/>
    <w:rsid w:val="003D7E30"/>
    <w:rsid w:val="003E0407"/>
    <w:rsid w:val="003E0E47"/>
    <w:rsid w:val="003E207A"/>
    <w:rsid w:val="003E375C"/>
    <w:rsid w:val="003E39D7"/>
    <w:rsid w:val="003E4086"/>
    <w:rsid w:val="003E639E"/>
    <w:rsid w:val="003E71E5"/>
    <w:rsid w:val="003F0445"/>
    <w:rsid w:val="003F089B"/>
    <w:rsid w:val="003F0CF0"/>
    <w:rsid w:val="003F14B1"/>
    <w:rsid w:val="003F27C8"/>
    <w:rsid w:val="003F2B20"/>
    <w:rsid w:val="003F2DEF"/>
    <w:rsid w:val="003F3289"/>
    <w:rsid w:val="003F32C8"/>
    <w:rsid w:val="003F3C62"/>
    <w:rsid w:val="003F477E"/>
    <w:rsid w:val="003F5CB9"/>
    <w:rsid w:val="003F63EC"/>
    <w:rsid w:val="004013C7"/>
    <w:rsid w:val="0040149D"/>
    <w:rsid w:val="00401FCF"/>
    <w:rsid w:val="00402211"/>
    <w:rsid w:val="00406157"/>
    <w:rsid w:val="00406285"/>
    <w:rsid w:val="00410B13"/>
    <w:rsid w:val="00411F64"/>
    <w:rsid w:val="00414238"/>
    <w:rsid w:val="004148F9"/>
    <w:rsid w:val="004149B0"/>
    <w:rsid w:val="004174AA"/>
    <w:rsid w:val="00420703"/>
    <w:rsid w:val="0042084E"/>
    <w:rsid w:val="00421EEF"/>
    <w:rsid w:val="00424D65"/>
    <w:rsid w:val="00424F0C"/>
    <w:rsid w:val="004260E7"/>
    <w:rsid w:val="00430393"/>
    <w:rsid w:val="00431806"/>
    <w:rsid w:val="004350F9"/>
    <w:rsid w:val="00435457"/>
    <w:rsid w:val="00437AC5"/>
    <w:rsid w:val="00442C6C"/>
    <w:rsid w:val="00443CBE"/>
    <w:rsid w:val="00443E8A"/>
    <w:rsid w:val="004441BC"/>
    <w:rsid w:val="004449D8"/>
    <w:rsid w:val="004468B4"/>
    <w:rsid w:val="00450F42"/>
    <w:rsid w:val="0045230A"/>
    <w:rsid w:val="00454AD0"/>
    <w:rsid w:val="00455420"/>
    <w:rsid w:val="00457337"/>
    <w:rsid w:val="00457B70"/>
    <w:rsid w:val="00462E3D"/>
    <w:rsid w:val="00464015"/>
    <w:rsid w:val="00464331"/>
    <w:rsid w:val="0046440A"/>
    <w:rsid w:val="00464C34"/>
    <w:rsid w:val="00466E79"/>
    <w:rsid w:val="00470D7D"/>
    <w:rsid w:val="0047372D"/>
    <w:rsid w:val="00473BA3"/>
    <w:rsid w:val="004743DD"/>
    <w:rsid w:val="00474CEA"/>
    <w:rsid w:val="00482CDD"/>
    <w:rsid w:val="00483968"/>
    <w:rsid w:val="004841BE"/>
    <w:rsid w:val="00484F86"/>
    <w:rsid w:val="0048677D"/>
    <w:rsid w:val="0049030F"/>
    <w:rsid w:val="00490746"/>
    <w:rsid w:val="00490852"/>
    <w:rsid w:val="00490BEA"/>
    <w:rsid w:val="00491130"/>
    <w:rsid w:val="00491C9C"/>
    <w:rsid w:val="00492984"/>
    <w:rsid w:val="00492F30"/>
    <w:rsid w:val="00493006"/>
    <w:rsid w:val="00494236"/>
    <w:rsid w:val="004946F4"/>
    <w:rsid w:val="0049487E"/>
    <w:rsid w:val="004A160D"/>
    <w:rsid w:val="004A3E81"/>
    <w:rsid w:val="004A4195"/>
    <w:rsid w:val="004A5C62"/>
    <w:rsid w:val="004A5CAB"/>
    <w:rsid w:val="004A5CE5"/>
    <w:rsid w:val="004A707D"/>
    <w:rsid w:val="004A70D9"/>
    <w:rsid w:val="004A7ECB"/>
    <w:rsid w:val="004B08FE"/>
    <w:rsid w:val="004B129D"/>
    <w:rsid w:val="004B4185"/>
    <w:rsid w:val="004C3DB2"/>
    <w:rsid w:val="004C5541"/>
    <w:rsid w:val="004C5B65"/>
    <w:rsid w:val="004C6EEE"/>
    <w:rsid w:val="004C702B"/>
    <w:rsid w:val="004C7EBF"/>
    <w:rsid w:val="004D0033"/>
    <w:rsid w:val="004D016B"/>
    <w:rsid w:val="004D1B22"/>
    <w:rsid w:val="004D23CC"/>
    <w:rsid w:val="004D36F2"/>
    <w:rsid w:val="004D4519"/>
    <w:rsid w:val="004D7CED"/>
    <w:rsid w:val="004E1106"/>
    <w:rsid w:val="004E138F"/>
    <w:rsid w:val="004E4649"/>
    <w:rsid w:val="004E5C2B"/>
    <w:rsid w:val="004F00DD"/>
    <w:rsid w:val="004F2133"/>
    <w:rsid w:val="004F219A"/>
    <w:rsid w:val="004F5398"/>
    <w:rsid w:val="004F55F1"/>
    <w:rsid w:val="004F6936"/>
    <w:rsid w:val="004F7B35"/>
    <w:rsid w:val="00501FFA"/>
    <w:rsid w:val="00503DC6"/>
    <w:rsid w:val="005044A8"/>
    <w:rsid w:val="005047C8"/>
    <w:rsid w:val="00506F5D"/>
    <w:rsid w:val="005077F2"/>
    <w:rsid w:val="0051035B"/>
    <w:rsid w:val="00510866"/>
    <w:rsid w:val="00510C37"/>
    <w:rsid w:val="00510E94"/>
    <w:rsid w:val="00510E97"/>
    <w:rsid w:val="00510F6A"/>
    <w:rsid w:val="005126D0"/>
    <w:rsid w:val="00513109"/>
    <w:rsid w:val="00514667"/>
    <w:rsid w:val="0051568D"/>
    <w:rsid w:val="005203F6"/>
    <w:rsid w:val="00523043"/>
    <w:rsid w:val="00524F90"/>
    <w:rsid w:val="00525709"/>
    <w:rsid w:val="00526AC7"/>
    <w:rsid w:val="00526C15"/>
    <w:rsid w:val="00536499"/>
    <w:rsid w:val="00537AE5"/>
    <w:rsid w:val="00540098"/>
    <w:rsid w:val="00542A03"/>
    <w:rsid w:val="00543903"/>
    <w:rsid w:val="00543F11"/>
    <w:rsid w:val="00546305"/>
    <w:rsid w:val="00547A95"/>
    <w:rsid w:val="00547F7B"/>
    <w:rsid w:val="0055119B"/>
    <w:rsid w:val="00552E60"/>
    <w:rsid w:val="00561202"/>
    <w:rsid w:val="00572031"/>
    <w:rsid w:val="00572282"/>
    <w:rsid w:val="00572F60"/>
    <w:rsid w:val="00573CE3"/>
    <w:rsid w:val="005743A5"/>
    <w:rsid w:val="00576E84"/>
    <w:rsid w:val="00580394"/>
    <w:rsid w:val="005809CD"/>
    <w:rsid w:val="005810EF"/>
    <w:rsid w:val="0058122F"/>
    <w:rsid w:val="00582657"/>
    <w:rsid w:val="00582B8C"/>
    <w:rsid w:val="0058757E"/>
    <w:rsid w:val="00590940"/>
    <w:rsid w:val="005920EB"/>
    <w:rsid w:val="00593A99"/>
    <w:rsid w:val="00595B88"/>
    <w:rsid w:val="00596A4B"/>
    <w:rsid w:val="00597507"/>
    <w:rsid w:val="00597E62"/>
    <w:rsid w:val="005A2AF8"/>
    <w:rsid w:val="005A479D"/>
    <w:rsid w:val="005B0C7E"/>
    <w:rsid w:val="005B1C6D"/>
    <w:rsid w:val="005B218A"/>
    <w:rsid w:val="005B21B6"/>
    <w:rsid w:val="005B25A9"/>
    <w:rsid w:val="005B3A08"/>
    <w:rsid w:val="005B7A63"/>
    <w:rsid w:val="005C0955"/>
    <w:rsid w:val="005C49DA"/>
    <w:rsid w:val="005C50F3"/>
    <w:rsid w:val="005C54B5"/>
    <w:rsid w:val="005C5D80"/>
    <w:rsid w:val="005C5D91"/>
    <w:rsid w:val="005D07B8"/>
    <w:rsid w:val="005D1125"/>
    <w:rsid w:val="005D38C8"/>
    <w:rsid w:val="005D6597"/>
    <w:rsid w:val="005E14E7"/>
    <w:rsid w:val="005E26A3"/>
    <w:rsid w:val="005E2CDA"/>
    <w:rsid w:val="005E2ECB"/>
    <w:rsid w:val="005E447E"/>
    <w:rsid w:val="005E4FD1"/>
    <w:rsid w:val="005F035D"/>
    <w:rsid w:val="005F0775"/>
    <w:rsid w:val="005F0CF5"/>
    <w:rsid w:val="005F21EB"/>
    <w:rsid w:val="005F64CF"/>
    <w:rsid w:val="006041AD"/>
    <w:rsid w:val="00604352"/>
    <w:rsid w:val="00605908"/>
    <w:rsid w:val="00607850"/>
    <w:rsid w:val="00607A9A"/>
    <w:rsid w:val="00610D7C"/>
    <w:rsid w:val="006112FA"/>
    <w:rsid w:val="00612524"/>
    <w:rsid w:val="00613414"/>
    <w:rsid w:val="006159E7"/>
    <w:rsid w:val="00617EE2"/>
    <w:rsid w:val="00620154"/>
    <w:rsid w:val="0062408D"/>
    <w:rsid w:val="006240CC"/>
    <w:rsid w:val="00624940"/>
    <w:rsid w:val="006254F8"/>
    <w:rsid w:val="00625A1E"/>
    <w:rsid w:val="0062609E"/>
    <w:rsid w:val="00627DA7"/>
    <w:rsid w:val="006309DF"/>
    <w:rsid w:val="00630DA4"/>
    <w:rsid w:val="00631CD4"/>
    <w:rsid w:val="00632597"/>
    <w:rsid w:val="00632BD5"/>
    <w:rsid w:val="00633D0D"/>
    <w:rsid w:val="00634D13"/>
    <w:rsid w:val="006358B4"/>
    <w:rsid w:val="00641724"/>
    <w:rsid w:val="006419AA"/>
    <w:rsid w:val="00644B1F"/>
    <w:rsid w:val="00644B7E"/>
    <w:rsid w:val="006454E6"/>
    <w:rsid w:val="00646235"/>
    <w:rsid w:val="00646A68"/>
    <w:rsid w:val="006479D2"/>
    <w:rsid w:val="006505BD"/>
    <w:rsid w:val="006508EA"/>
    <w:rsid w:val="0065092E"/>
    <w:rsid w:val="00651849"/>
    <w:rsid w:val="00654FDF"/>
    <w:rsid w:val="006557A7"/>
    <w:rsid w:val="00656290"/>
    <w:rsid w:val="006601C9"/>
    <w:rsid w:val="006608D8"/>
    <w:rsid w:val="006621D7"/>
    <w:rsid w:val="0066302A"/>
    <w:rsid w:val="006642EA"/>
    <w:rsid w:val="006660D9"/>
    <w:rsid w:val="00667770"/>
    <w:rsid w:val="00670597"/>
    <w:rsid w:val="006706D0"/>
    <w:rsid w:val="00671C81"/>
    <w:rsid w:val="00672122"/>
    <w:rsid w:val="00673BE9"/>
    <w:rsid w:val="00673EB5"/>
    <w:rsid w:val="0067436D"/>
    <w:rsid w:val="0067481D"/>
    <w:rsid w:val="00677574"/>
    <w:rsid w:val="00682BE8"/>
    <w:rsid w:val="00683878"/>
    <w:rsid w:val="0068454C"/>
    <w:rsid w:val="0068788C"/>
    <w:rsid w:val="00691B62"/>
    <w:rsid w:val="006933B5"/>
    <w:rsid w:val="00693D14"/>
    <w:rsid w:val="00695A93"/>
    <w:rsid w:val="0069670C"/>
    <w:rsid w:val="00696F27"/>
    <w:rsid w:val="006A18C2"/>
    <w:rsid w:val="006A1DE8"/>
    <w:rsid w:val="006A3383"/>
    <w:rsid w:val="006A6551"/>
    <w:rsid w:val="006B077C"/>
    <w:rsid w:val="006B16AF"/>
    <w:rsid w:val="006B4146"/>
    <w:rsid w:val="006B6803"/>
    <w:rsid w:val="006C5E62"/>
    <w:rsid w:val="006C6659"/>
    <w:rsid w:val="006C7D10"/>
    <w:rsid w:val="006D0F16"/>
    <w:rsid w:val="006D2A3F"/>
    <w:rsid w:val="006D2FBC"/>
    <w:rsid w:val="006E138B"/>
    <w:rsid w:val="006E1685"/>
    <w:rsid w:val="006E1867"/>
    <w:rsid w:val="006E5724"/>
    <w:rsid w:val="006E6592"/>
    <w:rsid w:val="006F0330"/>
    <w:rsid w:val="006F1FDC"/>
    <w:rsid w:val="006F58D2"/>
    <w:rsid w:val="006F63B5"/>
    <w:rsid w:val="006F6B8C"/>
    <w:rsid w:val="007013EF"/>
    <w:rsid w:val="007055BD"/>
    <w:rsid w:val="00711107"/>
    <w:rsid w:val="00712256"/>
    <w:rsid w:val="0071338B"/>
    <w:rsid w:val="007147A7"/>
    <w:rsid w:val="007173CA"/>
    <w:rsid w:val="00720472"/>
    <w:rsid w:val="007216AA"/>
    <w:rsid w:val="00721AB5"/>
    <w:rsid w:val="00721CFB"/>
    <w:rsid w:val="00721DEF"/>
    <w:rsid w:val="00724A43"/>
    <w:rsid w:val="007272A7"/>
    <w:rsid w:val="007273AC"/>
    <w:rsid w:val="007279DF"/>
    <w:rsid w:val="00731AD4"/>
    <w:rsid w:val="007346E4"/>
    <w:rsid w:val="00740F22"/>
    <w:rsid w:val="00741977"/>
    <w:rsid w:val="00741CF0"/>
    <w:rsid w:val="00741F1A"/>
    <w:rsid w:val="00743A2C"/>
    <w:rsid w:val="007447DA"/>
    <w:rsid w:val="007450F8"/>
    <w:rsid w:val="00746752"/>
    <w:rsid w:val="0074696E"/>
    <w:rsid w:val="00746DB0"/>
    <w:rsid w:val="00747BFF"/>
    <w:rsid w:val="00750135"/>
    <w:rsid w:val="00750EC2"/>
    <w:rsid w:val="00752859"/>
    <w:rsid w:val="00752B28"/>
    <w:rsid w:val="007541A9"/>
    <w:rsid w:val="00754E36"/>
    <w:rsid w:val="007564C6"/>
    <w:rsid w:val="00757F88"/>
    <w:rsid w:val="00760FF3"/>
    <w:rsid w:val="00763139"/>
    <w:rsid w:val="00764542"/>
    <w:rsid w:val="00766F80"/>
    <w:rsid w:val="00770F37"/>
    <w:rsid w:val="007711A0"/>
    <w:rsid w:val="00772D5E"/>
    <w:rsid w:val="00773249"/>
    <w:rsid w:val="0077463E"/>
    <w:rsid w:val="00776928"/>
    <w:rsid w:val="00776E0F"/>
    <w:rsid w:val="007774B1"/>
    <w:rsid w:val="00777BE1"/>
    <w:rsid w:val="007833D8"/>
    <w:rsid w:val="00785677"/>
    <w:rsid w:val="00786F16"/>
    <w:rsid w:val="00791BD7"/>
    <w:rsid w:val="007933F7"/>
    <w:rsid w:val="0079601D"/>
    <w:rsid w:val="00796E20"/>
    <w:rsid w:val="00797C32"/>
    <w:rsid w:val="007A11E8"/>
    <w:rsid w:val="007A1580"/>
    <w:rsid w:val="007A7A15"/>
    <w:rsid w:val="007B0914"/>
    <w:rsid w:val="007B1374"/>
    <w:rsid w:val="007B146E"/>
    <w:rsid w:val="007B32E5"/>
    <w:rsid w:val="007B3DB9"/>
    <w:rsid w:val="007B589F"/>
    <w:rsid w:val="007B6186"/>
    <w:rsid w:val="007B73BC"/>
    <w:rsid w:val="007C1838"/>
    <w:rsid w:val="007C1A4F"/>
    <w:rsid w:val="007C20B9"/>
    <w:rsid w:val="007C7301"/>
    <w:rsid w:val="007C7859"/>
    <w:rsid w:val="007C7B9C"/>
    <w:rsid w:val="007C7F28"/>
    <w:rsid w:val="007D1466"/>
    <w:rsid w:val="007D2BDE"/>
    <w:rsid w:val="007D2FB6"/>
    <w:rsid w:val="007D49EB"/>
    <w:rsid w:val="007D5E1C"/>
    <w:rsid w:val="007D7AC5"/>
    <w:rsid w:val="007E0DE2"/>
    <w:rsid w:val="007E280F"/>
    <w:rsid w:val="007E3B98"/>
    <w:rsid w:val="007E417A"/>
    <w:rsid w:val="007F0EB9"/>
    <w:rsid w:val="007F31B6"/>
    <w:rsid w:val="007F5004"/>
    <w:rsid w:val="007F546C"/>
    <w:rsid w:val="007F625F"/>
    <w:rsid w:val="007F665E"/>
    <w:rsid w:val="00800412"/>
    <w:rsid w:val="0080090D"/>
    <w:rsid w:val="008017F2"/>
    <w:rsid w:val="0080587B"/>
    <w:rsid w:val="00806468"/>
    <w:rsid w:val="00810121"/>
    <w:rsid w:val="008119CA"/>
    <w:rsid w:val="00811BBF"/>
    <w:rsid w:val="008130C4"/>
    <w:rsid w:val="00813416"/>
    <w:rsid w:val="008155F0"/>
    <w:rsid w:val="00816735"/>
    <w:rsid w:val="00820141"/>
    <w:rsid w:val="00820E0C"/>
    <w:rsid w:val="00821115"/>
    <w:rsid w:val="00823275"/>
    <w:rsid w:val="0082366F"/>
    <w:rsid w:val="008338A2"/>
    <w:rsid w:val="00833C17"/>
    <w:rsid w:val="00841AA9"/>
    <w:rsid w:val="0084340E"/>
    <w:rsid w:val="008474FE"/>
    <w:rsid w:val="0085232E"/>
    <w:rsid w:val="00853EE4"/>
    <w:rsid w:val="00855535"/>
    <w:rsid w:val="00857C5A"/>
    <w:rsid w:val="0086255E"/>
    <w:rsid w:val="008633F0"/>
    <w:rsid w:val="008671AE"/>
    <w:rsid w:val="00867D9D"/>
    <w:rsid w:val="008716A1"/>
    <w:rsid w:val="00872472"/>
    <w:rsid w:val="00872C54"/>
    <w:rsid w:val="00872E0A"/>
    <w:rsid w:val="00873594"/>
    <w:rsid w:val="00873BF2"/>
    <w:rsid w:val="00875285"/>
    <w:rsid w:val="008759AC"/>
    <w:rsid w:val="00880392"/>
    <w:rsid w:val="00880E94"/>
    <w:rsid w:val="0088105B"/>
    <w:rsid w:val="008815E4"/>
    <w:rsid w:val="00884B62"/>
    <w:rsid w:val="0088529C"/>
    <w:rsid w:val="00887903"/>
    <w:rsid w:val="0089270A"/>
    <w:rsid w:val="00893AF6"/>
    <w:rsid w:val="00894BC4"/>
    <w:rsid w:val="00897601"/>
    <w:rsid w:val="008A0A5F"/>
    <w:rsid w:val="008A28A8"/>
    <w:rsid w:val="008A5B32"/>
    <w:rsid w:val="008A5D60"/>
    <w:rsid w:val="008A6B8C"/>
    <w:rsid w:val="008B2029"/>
    <w:rsid w:val="008B2EE4"/>
    <w:rsid w:val="008B3821"/>
    <w:rsid w:val="008B4D3D"/>
    <w:rsid w:val="008B57C7"/>
    <w:rsid w:val="008B6246"/>
    <w:rsid w:val="008C172E"/>
    <w:rsid w:val="008C2F92"/>
    <w:rsid w:val="008C589D"/>
    <w:rsid w:val="008C6804"/>
    <w:rsid w:val="008C6D51"/>
    <w:rsid w:val="008C7025"/>
    <w:rsid w:val="008D2846"/>
    <w:rsid w:val="008D4236"/>
    <w:rsid w:val="008D462F"/>
    <w:rsid w:val="008D4C5F"/>
    <w:rsid w:val="008D5C45"/>
    <w:rsid w:val="008D6DCF"/>
    <w:rsid w:val="008E07C5"/>
    <w:rsid w:val="008E0BA1"/>
    <w:rsid w:val="008E33F0"/>
    <w:rsid w:val="008E4376"/>
    <w:rsid w:val="008E72D5"/>
    <w:rsid w:val="008E75EF"/>
    <w:rsid w:val="008E7A0A"/>
    <w:rsid w:val="008E7B49"/>
    <w:rsid w:val="008F0F91"/>
    <w:rsid w:val="008F1D8E"/>
    <w:rsid w:val="008F3FE7"/>
    <w:rsid w:val="008F59F6"/>
    <w:rsid w:val="008F75B3"/>
    <w:rsid w:val="008F7BB7"/>
    <w:rsid w:val="00900719"/>
    <w:rsid w:val="00901125"/>
    <w:rsid w:val="009017AC"/>
    <w:rsid w:val="00902A9A"/>
    <w:rsid w:val="00904A1C"/>
    <w:rsid w:val="00905030"/>
    <w:rsid w:val="00906490"/>
    <w:rsid w:val="009111B2"/>
    <w:rsid w:val="009151F5"/>
    <w:rsid w:val="009152D8"/>
    <w:rsid w:val="00924AE1"/>
    <w:rsid w:val="00924C37"/>
    <w:rsid w:val="009257ED"/>
    <w:rsid w:val="009269B1"/>
    <w:rsid w:val="0092724D"/>
    <w:rsid w:val="009272B3"/>
    <w:rsid w:val="009315BE"/>
    <w:rsid w:val="00931FBD"/>
    <w:rsid w:val="0093338F"/>
    <w:rsid w:val="00937BD9"/>
    <w:rsid w:val="00940B75"/>
    <w:rsid w:val="00942438"/>
    <w:rsid w:val="00946BD6"/>
    <w:rsid w:val="009471FD"/>
    <w:rsid w:val="00947952"/>
    <w:rsid w:val="00950E2C"/>
    <w:rsid w:val="00951D50"/>
    <w:rsid w:val="009525EB"/>
    <w:rsid w:val="00954457"/>
    <w:rsid w:val="0095470B"/>
    <w:rsid w:val="00954874"/>
    <w:rsid w:val="00954D01"/>
    <w:rsid w:val="0095615A"/>
    <w:rsid w:val="009604EB"/>
    <w:rsid w:val="00961400"/>
    <w:rsid w:val="00963646"/>
    <w:rsid w:val="00964C7D"/>
    <w:rsid w:val="0096632D"/>
    <w:rsid w:val="00967124"/>
    <w:rsid w:val="00967335"/>
    <w:rsid w:val="009718C7"/>
    <w:rsid w:val="0097559F"/>
    <w:rsid w:val="0097580F"/>
    <w:rsid w:val="009761EA"/>
    <w:rsid w:val="00976A8B"/>
    <w:rsid w:val="0097761E"/>
    <w:rsid w:val="00981FF7"/>
    <w:rsid w:val="00982454"/>
    <w:rsid w:val="00982CF0"/>
    <w:rsid w:val="009853E1"/>
    <w:rsid w:val="00986E6B"/>
    <w:rsid w:val="00990032"/>
    <w:rsid w:val="00990B19"/>
    <w:rsid w:val="0099153B"/>
    <w:rsid w:val="00991769"/>
    <w:rsid w:val="0099232C"/>
    <w:rsid w:val="00992823"/>
    <w:rsid w:val="00994386"/>
    <w:rsid w:val="00994791"/>
    <w:rsid w:val="00994929"/>
    <w:rsid w:val="009952DA"/>
    <w:rsid w:val="009960F6"/>
    <w:rsid w:val="009A13D8"/>
    <w:rsid w:val="009A279E"/>
    <w:rsid w:val="009A3015"/>
    <w:rsid w:val="009A3490"/>
    <w:rsid w:val="009B0A6F"/>
    <w:rsid w:val="009B0A94"/>
    <w:rsid w:val="009B2AE8"/>
    <w:rsid w:val="009B5622"/>
    <w:rsid w:val="009B59E9"/>
    <w:rsid w:val="009B6B86"/>
    <w:rsid w:val="009B70AA"/>
    <w:rsid w:val="009C0CF2"/>
    <w:rsid w:val="009C1449"/>
    <w:rsid w:val="009C1A3D"/>
    <w:rsid w:val="009C1CB1"/>
    <w:rsid w:val="009C5E77"/>
    <w:rsid w:val="009C70E7"/>
    <w:rsid w:val="009C7A7E"/>
    <w:rsid w:val="009D02E8"/>
    <w:rsid w:val="009D28AE"/>
    <w:rsid w:val="009D2D5F"/>
    <w:rsid w:val="009D2E5C"/>
    <w:rsid w:val="009D37A8"/>
    <w:rsid w:val="009D51D0"/>
    <w:rsid w:val="009D6BB8"/>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DA8"/>
    <w:rsid w:val="00A02FA1"/>
    <w:rsid w:val="00A04CCE"/>
    <w:rsid w:val="00A06C88"/>
    <w:rsid w:val="00A07421"/>
    <w:rsid w:val="00A0776B"/>
    <w:rsid w:val="00A10FB9"/>
    <w:rsid w:val="00A111F9"/>
    <w:rsid w:val="00A11421"/>
    <w:rsid w:val="00A11E6A"/>
    <w:rsid w:val="00A11FD8"/>
    <w:rsid w:val="00A12E3E"/>
    <w:rsid w:val="00A1389F"/>
    <w:rsid w:val="00A14996"/>
    <w:rsid w:val="00A157B1"/>
    <w:rsid w:val="00A158BF"/>
    <w:rsid w:val="00A15A4E"/>
    <w:rsid w:val="00A208A9"/>
    <w:rsid w:val="00A21C06"/>
    <w:rsid w:val="00A22229"/>
    <w:rsid w:val="00A24442"/>
    <w:rsid w:val="00A252B9"/>
    <w:rsid w:val="00A263A2"/>
    <w:rsid w:val="00A32577"/>
    <w:rsid w:val="00A330BB"/>
    <w:rsid w:val="00A34ACD"/>
    <w:rsid w:val="00A36762"/>
    <w:rsid w:val="00A422EF"/>
    <w:rsid w:val="00A42BD3"/>
    <w:rsid w:val="00A44882"/>
    <w:rsid w:val="00A45125"/>
    <w:rsid w:val="00A513A9"/>
    <w:rsid w:val="00A53855"/>
    <w:rsid w:val="00A54715"/>
    <w:rsid w:val="00A57FAC"/>
    <w:rsid w:val="00A6061C"/>
    <w:rsid w:val="00A61B49"/>
    <w:rsid w:val="00A62D44"/>
    <w:rsid w:val="00A64564"/>
    <w:rsid w:val="00A64C9C"/>
    <w:rsid w:val="00A65FDC"/>
    <w:rsid w:val="00A67263"/>
    <w:rsid w:val="00A7161C"/>
    <w:rsid w:val="00A749FA"/>
    <w:rsid w:val="00A750BA"/>
    <w:rsid w:val="00A77AA3"/>
    <w:rsid w:val="00A8236D"/>
    <w:rsid w:val="00A8529E"/>
    <w:rsid w:val="00A854EB"/>
    <w:rsid w:val="00A872E5"/>
    <w:rsid w:val="00A90266"/>
    <w:rsid w:val="00A903A7"/>
    <w:rsid w:val="00A91056"/>
    <w:rsid w:val="00A91406"/>
    <w:rsid w:val="00A95D04"/>
    <w:rsid w:val="00A96E12"/>
    <w:rsid w:val="00A96E65"/>
    <w:rsid w:val="00A96ECE"/>
    <w:rsid w:val="00A9710C"/>
    <w:rsid w:val="00A97C72"/>
    <w:rsid w:val="00AA1AB6"/>
    <w:rsid w:val="00AA2802"/>
    <w:rsid w:val="00AA310B"/>
    <w:rsid w:val="00AA4C5D"/>
    <w:rsid w:val="00AA63D4"/>
    <w:rsid w:val="00AB06E8"/>
    <w:rsid w:val="00AB1A4F"/>
    <w:rsid w:val="00AB1CD3"/>
    <w:rsid w:val="00AB352F"/>
    <w:rsid w:val="00AB4F5A"/>
    <w:rsid w:val="00AC0C2B"/>
    <w:rsid w:val="00AC274B"/>
    <w:rsid w:val="00AC4764"/>
    <w:rsid w:val="00AC67FD"/>
    <w:rsid w:val="00AC6D36"/>
    <w:rsid w:val="00AD0CBA"/>
    <w:rsid w:val="00AD26E2"/>
    <w:rsid w:val="00AD27A1"/>
    <w:rsid w:val="00AD784C"/>
    <w:rsid w:val="00AE126A"/>
    <w:rsid w:val="00AE19F5"/>
    <w:rsid w:val="00AE1BAE"/>
    <w:rsid w:val="00AE2CC8"/>
    <w:rsid w:val="00AE3005"/>
    <w:rsid w:val="00AE3BD5"/>
    <w:rsid w:val="00AE55F8"/>
    <w:rsid w:val="00AE59A0"/>
    <w:rsid w:val="00AE7145"/>
    <w:rsid w:val="00AE7F06"/>
    <w:rsid w:val="00AF0C57"/>
    <w:rsid w:val="00AF26F3"/>
    <w:rsid w:val="00AF5F04"/>
    <w:rsid w:val="00B00672"/>
    <w:rsid w:val="00B01B4D"/>
    <w:rsid w:val="00B0290E"/>
    <w:rsid w:val="00B04489"/>
    <w:rsid w:val="00B06571"/>
    <w:rsid w:val="00B068BA"/>
    <w:rsid w:val="00B07217"/>
    <w:rsid w:val="00B1082E"/>
    <w:rsid w:val="00B13851"/>
    <w:rsid w:val="00B13B1C"/>
    <w:rsid w:val="00B13FFA"/>
    <w:rsid w:val="00B14B5F"/>
    <w:rsid w:val="00B163D9"/>
    <w:rsid w:val="00B20176"/>
    <w:rsid w:val="00B21F90"/>
    <w:rsid w:val="00B22291"/>
    <w:rsid w:val="00B23F7D"/>
    <w:rsid w:val="00B23F9A"/>
    <w:rsid w:val="00B2417B"/>
    <w:rsid w:val="00B24E6F"/>
    <w:rsid w:val="00B26CB5"/>
    <w:rsid w:val="00B2752E"/>
    <w:rsid w:val="00B307CC"/>
    <w:rsid w:val="00B326B7"/>
    <w:rsid w:val="00B3588E"/>
    <w:rsid w:val="00B35B3E"/>
    <w:rsid w:val="00B4198F"/>
    <w:rsid w:val="00B41F3D"/>
    <w:rsid w:val="00B431E8"/>
    <w:rsid w:val="00B45141"/>
    <w:rsid w:val="00B45400"/>
    <w:rsid w:val="00B519CD"/>
    <w:rsid w:val="00B5273A"/>
    <w:rsid w:val="00B53AC6"/>
    <w:rsid w:val="00B55C28"/>
    <w:rsid w:val="00B57329"/>
    <w:rsid w:val="00B60E61"/>
    <w:rsid w:val="00B611B8"/>
    <w:rsid w:val="00B62B50"/>
    <w:rsid w:val="00B635B7"/>
    <w:rsid w:val="00B63AE8"/>
    <w:rsid w:val="00B65950"/>
    <w:rsid w:val="00B667F0"/>
    <w:rsid w:val="00B66D83"/>
    <w:rsid w:val="00B66F8E"/>
    <w:rsid w:val="00B672C0"/>
    <w:rsid w:val="00B676FD"/>
    <w:rsid w:val="00B678B6"/>
    <w:rsid w:val="00B70068"/>
    <w:rsid w:val="00B706E8"/>
    <w:rsid w:val="00B70DED"/>
    <w:rsid w:val="00B743D8"/>
    <w:rsid w:val="00B74EE8"/>
    <w:rsid w:val="00B75216"/>
    <w:rsid w:val="00B75646"/>
    <w:rsid w:val="00B7629E"/>
    <w:rsid w:val="00B77030"/>
    <w:rsid w:val="00B77F6B"/>
    <w:rsid w:val="00B80FBF"/>
    <w:rsid w:val="00B833ED"/>
    <w:rsid w:val="00B90729"/>
    <w:rsid w:val="00B907DA"/>
    <w:rsid w:val="00B90ADC"/>
    <w:rsid w:val="00B91FFE"/>
    <w:rsid w:val="00B93D10"/>
    <w:rsid w:val="00B94BD8"/>
    <w:rsid w:val="00B950BC"/>
    <w:rsid w:val="00B95AB9"/>
    <w:rsid w:val="00B96880"/>
    <w:rsid w:val="00B9714C"/>
    <w:rsid w:val="00BA29AD"/>
    <w:rsid w:val="00BA33CF"/>
    <w:rsid w:val="00BA3CF0"/>
    <w:rsid w:val="00BA3F8D"/>
    <w:rsid w:val="00BB60F4"/>
    <w:rsid w:val="00BB7A10"/>
    <w:rsid w:val="00BC60BE"/>
    <w:rsid w:val="00BC659D"/>
    <w:rsid w:val="00BC7468"/>
    <w:rsid w:val="00BC797E"/>
    <w:rsid w:val="00BC7D4F"/>
    <w:rsid w:val="00BC7ED7"/>
    <w:rsid w:val="00BD2850"/>
    <w:rsid w:val="00BD4533"/>
    <w:rsid w:val="00BD6049"/>
    <w:rsid w:val="00BE049D"/>
    <w:rsid w:val="00BE28D2"/>
    <w:rsid w:val="00BE4A64"/>
    <w:rsid w:val="00BE5392"/>
    <w:rsid w:val="00BE5E43"/>
    <w:rsid w:val="00BF36B3"/>
    <w:rsid w:val="00BF557D"/>
    <w:rsid w:val="00BF5A9F"/>
    <w:rsid w:val="00BF5B9E"/>
    <w:rsid w:val="00BF73A0"/>
    <w:rsid w:val="00BF7F58"/>
    <w:rsid w:val="00C00A45"/>
    <w:rsid w:val="00C01381"/>
    <w:rsid w:val="00C01AB1"/>
    <w:rsid w:val="00C01ED9"/>
    <w:rsid w:val="00C026A0"/>
    <w:rsid w:val="00C03EA4"/>
    <w:rsid w:val="00C04F42"/>
    <w:rsid w:val="00C06137"/>
    <w:rsid w:val="00C06929"/>
    <w:rsid w:val="00C07851"/>
    <w:rsid w:val="00C079B8"/>
    <w:rsid w:val="00C07AA5"/>
    <w:rsid w:val="00C10037"/>
    <w:rsid w:val="00C123EA"/>
    <w:rsid w:val="00C12A49"/>
    <w:rsid w:val="00C133EE"/>
    <w:rsid w:val="00C13632"/>
    <w:rsid w:val="00C13C34"/>
    <w:rsid w:val="00C14519"/>
    <w:rsid w:val="00C149D0"/>
    <w:rsid w:val="00C231A0"/>
    <w:rsid w:val="00C24C34"/>
    <w:rsid w:val="00C25957"/>
    <w:rsid w:val="00C26588"/>
    <w:rsid w:val="00C27DE9"/>
    <w:rsid w:val="00C32989"/>
    <w:rsid w:val="00C32D8C"/>
    <w:rsid w:val="00C33303"/>
    <w:rsid w:val="00C33388"/>
    <w:rsid w:val="00C34570"/>
    <w:rsid w:val="00C35484"/>
    <w:rsid w:val="00C3689B"/>
    <w:rsid w:val="00C41415"/>
    <w:rsid w:val="00C4173A"/>
    <w:rsid w:val="00C441A7"/>
    <w:rsid w:val="00C50DED"/>
    <w:rsid w:val="00C52217"/>
    <w:rsid w:val="00C56142"/>
    <w:rsid w:val="00C602FF"/>
    <w:rsid w:val="00C61174"/>
    <w:rsid w:val="00C6148F"/>
    <w:rsid w:val="00C621B1"/>
    <w:rsid w:val="00C62F7A"/>
    <w:rsid w:val="00C63B9C"/>
    <w:rsid w:val="00C6584D"/>
    <w:rsid w:val="00C66176"/>
    <w:rsid w:val="00C6682F"/>
    <w:rsid w:val="00C67BF4"/>
    <w:rsid w:val="00C7275E"/>
    <w:rsid w:val="00C74C5D"/>
    <w:rsid w:val="00C804A2"/>
    <w:rsid w:val="00C820BE"/>
    <w:rsid w:val="00C82A38"/>
    <w:rsid w:val="00C8366E"/>
    <w:rsid w:val="00C863C4"/>
    <w:rsid w:val="00C920EA"/>
    <w:rsid w:val="00C93C3E"/>
    <w:rsid w:val="00C94F73"/>
    <w:rsid w:val="00CA12E3"/>
    <w:rsid w:val="00CA1476"/>
    <w:rsid w:val="00CA6611"/>
    <w:rsid w:val="00CA6AE6"/>
    <w:rsid w:val="00CA782F"/>
    <w:rsid w:val="00CB187B"/>
    <w:rsid w:val="00CB19FE"/>
    <w:rsid w:val="00CB2835"/>
    <w:rsid w:val="00CB3285"/>
    <w:rsid w:val="00CB4500"/>
    <w:rsid w:val="00CC0C72"/>
    <w:rsid w:val="00CC1AD8"/>
    <w:rsid w:val="00CC2BFD"/>
    <w:rsid w:val="00CC5627"/>
    <w:rsid w:val="00CD1A9A"/>
    <w:rsid w:val="00CD3476"/>
    <w:rsid w:val="00CD4311"/>
    <w:rsid w:val="00CD510E"/>
    <w:rsid w:val="00CD52F3"/>
    <w:rsid w:val="00CD64DF"/>
    <w:rsid w:val="00CD702B"/>
    <w:rsid w:val="00CE068C"/>
    <w:rsid w:val="00CE0878"/>
    <w:rsid w:val="00CE225F"/>
    <w:rsid w:val="00CF2F50"/>
    <w:rsid w:val="00CF4148"/>
    <w:rsid w:val="00CF6198"/>
    <w:rsid w:val="00CF6FE5"/>
    <w:rsid w:val="00D02919"/>
    <w:rsid w:val="00D02AA3"/>
    <w:rsid w:val="00D04C61"/>
    <w:rsid w:val="00D04E4B"/>
    <w:rsid w:val="00D05B8D"/>
    <w:rsid w:val="00D05B9B"/>
    <w:rsid w:val="00D05E73"/>
    <w:rsid w:val="00D065A2"/>
    <w:rsid w:val="00D079AA"/>
    <w:rsid w:val="00D07F00"/>
    <w:rsid w:val="00D1130F"/>
    <w:rsid w:val="00D136D5"/>
    <w:rsid w:val="00D17B72"/>
    <w:rsid w:val="00D21D82"/>
    <w:rsid w:val="00D267AD"/>
    <w:rsid w:val="00D274E8"/>
    <w:rsid w:val="00D3185C"/>
    <w:rsid w:val="00D3205F"/>
    <w:rsid w:val="00D32DE0"/>
    <w:rsid w:val="00D3318E"/>
    <w:rsid w:val="00D33E72"/>
    <w:rsid w:val="00D35BD6"/>
    <w:rsid w:val="00D361B5"/>
    <w:rsid w:val="00D3769C"/>
    <w:rsid w:val="00D402DB"/>
    <w:rsid w:val="00D411A2"/>
    <w:rsid w:val="00D4171D"/>
    <w:rsid w:val="00D4606D"/>
    <w:rsid w:val="00D501E2"/>
    <w:rsid w:val="00D50B9C"/>
    <w:rsid w:val="00D52D73"/>
    <w:rsid w:val="00D52E58"/>
    <w:rsid w:val="00D56B20"/>
    <w:rsid w:val="00D578B3"/>
    <w:rsid w:val="00D618F4"/>
    <w:rsid w:val="00D61AF2"/>
    <w:rsid w:val="00D6607C"/>
    <w:rsid w:val="00D714CC"/>
    <w:rsid w:val="00D73863"/>
    <w:rsid w:val="00D74AE9"/>
    <w:rsid w:val="00D75EA7"/>
    <w:rsid w:val="00D77274"/>
    <w:rsid w:val="00D81ADF"/>
    <w:rsid w:val="00D81B55"/>
    <w:rsid w:val="00D81F21"/>
    <w:rsid w:val="00D8423D"/>
    <w:rsid w:val="00D84658"/>
    <w:rsid w:val="00D864F2"/>
    <w:rsid w:val="00D91143"/>
    <w:rsid w:val="00D943F8"/>
    <w:rsid w:val="00D95470"/>
    <w:rsid w:val="00D95BB1"/>
    <w:rsid w:val="00D96989"/>
    <w:rsid w:val="00D96B55"/>
    <w:rsid w:val="00DA0AB1"/>
    <w:rsid w:val="00DA1938"/>
    <w:rsid w:val="00DA2619"/>
    <w:rsid w:val="00DA2E57"/>
    <w:rsid w:val="00DA4239"/>
    <w:rsid w:val="00DA48A4"/>
    <w:rsid w:val="00DA6232"/>
    <w:rsid w:val="00DA65DE"/>
    <w:rsid w:val="00DB0B61"/>
    <w:rsid w:val="00DB1474"/>
    <w:rsid w:val="00DB2962"/>
    <w:rsid w:val="00DB4350"/>
    <w:rsid w:val="00DB52FB"/>
    <w:rsid w:val="00DB55C7"/>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6A4"/>
    <w:rsid w:val="00DE2D04"/>
    <w:rsid w:val="00DE3250"/>
    <w:rsid w:val="00DE6028"/>
    <w:rsid w:val="00DE6C85"/>
    <w:rsid w:val="00DE78A3"/>
    <w:rsid w:val="00DF1292"/>
    <w:rsid w:val="00DF1A71"/>
    <w:rsid w:val="00DF2205"/>
    <w:rsid w:val="00DF28B9"/>
    <w:rsid w:val="00DF50FC"/>
    <w:rsid w:val="00DF68C7"/>
    <w:rsid w:val="00DF731A"/>
    <w:rsid w:val="00E068CC"/>
    <w:rsid w:val="00E06B75"/>
    <w:rsid w:val="00E11332"/>
    <w:rsid w:val="00E11352"/>
    <w:rsid w:val="00E113B2"/>
    <w:rsid w:val="00E13B60"/>
    <w:rsid w:val="00E170DC"/>
    <w:rsid w:val="00E17546"/>
    <w:rsid w:val="00E205D6"/>
    <w:rsid w:val="00E210B5"/>
    <w:rsid w:val="00E21BA1"/>
    <w:rsid w:val="00E235C3"/>
    <w:rsid w:val="00E24976"/>
    <w:rsid w:val="00E2552C"/>
    <w:rsid w:val="00E261B3"/>
    <w:rsid w:val="00E26818"/>
    <w:rsid w:val="00E27FFC"/>
    <w:rsid w:val="00E306E3"/>
    <w:rsid w:val="00E30B15"/>
    <w:rsid w:val="00E33237"/>
    <w:rsid w:val="00E369B8"/>
    <w:rsid w:val="00E40181"/>
    <w:rsid w:val="00E414C0"/>
    <w:rsid w:val="00E41BEE"/>
    <w:rsid w:val="00E47923"/>
    <w:rsid w:val="00E51D1B"/>
    <w:rsid w:val="00E526BF"/>
    <w:rsid w:val="00E54950"/>
    <w:rsid w:val="00E54B82"/>
    <w:rsid w:val="00E55FB3"/>
    <w:rsid w:val="00E56A01"/>
    <w:rsid w:val="00E629A1"/>
    <w:rsid w:val="00E63716"/>
    <w:rsid w:val="00E66019"/>
    <w:rsid w:val="00E6794C"/>
    <w:rsid w:val="00E71591"/>
    <w:rsid w:val="00E71CEB"/>
    <w:rsid w:val="00E72A2C"/>
    <w:rsid w:val="00E7474F"/>
    <w:rsid w:val="00E77901"/>
    <w:rsid w:val="00E80DE3"/>
    <w:rsid w:val="00E82C55"/>
    <w:rsid w:val="00E85204"/>
    <w:rsid w:val="00E8787E"/>
    <w:rsid w:val="00E929E5"/>
    <w:rsid w:val="00E92AC3"/>
    <w:rsid w:val="00EA2F6A"/>
    <w:rsid w:val="00EA7EF4"/>
    <w:rsid w:val="00EB00E0"/>
    <w:rsid w:val="00EB05D5"/>
    <w:rsid w:val="00EB1931"/>
    <w:rsid w:val="00EC059F"/>
    <w:rsid w:val="00EC1F24"/>
    <w:rsid w:val="00EC20FF"/>
    <w:rsid w:val="00EC22F6"/>
    <w:rsid w:val="00ED1043"/>
    <w:rsid w:val="00ED12FC"/>
    <w:rsid w:val="00ED195F"/>
    <w:rsid w:val="00ED3A65"/>
    <w:rsid w:val="00ED4FA1"/>
    <w:rsid w:val="00ED5B9B"/>
    <w:rsid w:val="00ED6BAD"/>
    <w:rsid w:val="00ED7447"/>
    <w:rsid w:val="00ED7B4D"/>
    <w:rsid w:val="00EE00D6"/>
    <w:rsid w:val="00EE11E7"/>
    <w:rsid w:val="00EE1488"/>
    <w:rsid w:val="00EE1730"/>
    <w:rsid w:val="00EE29AD"/>
    <w:rsid w:val="00EE3E24"/>
    <w:rsid w:val="00EE4D5D"/>
    <w:rsid w:val="00EE5131"/>
    <w:rsid w:val="00EE600C"/>
    <w:rsid w:val="00EE6D48"/>
    <w:rsid w:val="00EF109B"/>
    <w:rsid w:val="00EF201C"/>
    <w:rsid w:val="00EF2C72"/>
    <w:rsid w:val="00EF36AF"/>
    <w:rsid w:val="00EF56B5"/>
    <w:rsid w:val="00EF59A3"/>
    <w:rsid w:val="00EF6675"/>
    <w:rsid w:val="00F0063D"/>
    <w:rsid w:val="00F00DC4"/>
    <w:rsid w:val="00F00F9C"/>
    <w:rsid w:val="00F01E5F"/>
    <w:rsid w:val="00F024F3"/>
    <w:rsid w:val="00F029DC"/>
    <w:rsid w:val="00F02ABA"/>
    <w:rsid w:val="00F03701"/>
    <w:rsid w:val="00F0437A"/>
    <w:rsid w:val="00F101B8"/>
    <w:rsid w:val="00F10C7D"/>
    <w:rsid w:val="00F11037"/>
    <w:rsid w:val="00F11C5D"/>
    <w:rsid w:val="00F16F1B"/>
    <w:rsid w:val="00F174D0"/>
    <w:rsid w:val="00F175FC"/>
    <w:rsid w:val="00F179B2"/>
    <w:rsid w:val="00F23BDA"/>
    <w:rsid w:val="00F250A9"/>
    <w:rsid w:val="00F25D08"/>
    <w:rsid w:val="00F267AF"/>
    <w:rsid w:val="00F30FF4"/>
    <w:rsid w:val="00F3122E"/>
    <w:rsid w:val="00F32368"/>
    <w:rsid w:val="00F331AD"/>
    <w:rsid w:val="00F34DCE"/>
    <w:rsid w:val="00F35287"/>
    <w:rsid w:val="00F359E2"/>
    <w:rsid w:val="00F359FD"/>
    <w:rsid w:val="00F40A70"/>
    <w:rsid w:val="00F43A37"/>
    <w:rsid w:val="00F4641B"/>
    <w:rsid w:val="00F46EB8"/>
    <w:rsid w:val="00F476B8"/>
    <w:rsid w:val="00F50CD1"/>
    <w:rsid w:val="00F511E4"/>
    <w:rsid w:val="00F51799"/>
    <w:rsid w:val="00F52D09"/>
    <w:rsid w:val="00F52E08"/>
    <w:rsid w:val="00F53A66"/>
    <w:rsid w:val="00F5462D"/>
    <w:rsid w:val="00F55B21"/>
    <w:rsid w:val="00F56EF6"/>
    <w:rsid w:val="00F571E2"/>
    <w:rsid w:val="00F60082"/>
    <w:rsid w:val="00F61A9F"/>
    <w:rsid w:val="00F61B5F"/>
    <w:rsid w:val="00F61D3E"/>
    <w:rsid w:val="00F64696"/>
    <w:rsid w:val="00F65AA9"/>
    <w:rsid w:val="00F65BA9"/>
    <w:rsid w:val="00F6768F"/>
    <w:rsid w:val="00F72115"/>
    <w:rsid w:val="00F72C2C"/>
    <w:rsid w:val="00F741F2"/>
    <w:rsid w:val="00F76CAB"/>
    <w:rsid w:val="00F772C6"/>
    <w:rsid w:val="00F815B5"/>
    <w:rsid w:val="00F85195"/>
    <w:rsid w:val="00F868E3"/>
    <w:rsid w:val="00F9035F"/>
    <w:rsid w:val="00F91324"/>
    <w:rsid w:val="00F938BA"/>
    <w:rsid w:val="00F93A9C"/>
    <w:rsid w:val="00F952C3"/>
    <w:rsid w:val="00F972B1"/>
    <w:rsid w:val="00F97919"/>
    <w:rsid w:val="00FA1E5F"/>
    <w:rsid w:val="00FA2C46"/>
    <w:rsid w:val="00FA3525"/>
    <w:rsid w:val="00FA5A53"/>
    <w:rsid w:val="00FB0D10"/>
    <w:rsid w:val="00FB2D03"/>
    <w:rsid w:val="00FB3501"/>
    <w:rsid w:val="00FB4769"/>
    <w:rsid w:val="00FB4CDA"/>
    <w:rsid w:val="00FB5B4E"/>
    <w:rsid w:val="00FB6481"/>
    <w:rsid w:val="00FB6D36"/>
    <w:rsid w:val="00FC0965"/>
    <w:rsid w:val="00FC0F81"/>
    <w:rsid w:val="00FC252F"/>
    <w:rsid w:val="00FC395C"/>
    <w:rsid w:val="00FC5E8E"/>
    <w:rsid w:val="00FC6165"/>
    <w:rsid w:val="00FC6383"/>
    <w:rsid w:val="00FC6B89"/>
    <w:rsid w:val="00FD190A"/>
    <w:rsid w:val="00FD3766"/>
    <w:rsid w:val="00FD4784"/>
    <w:rsid w:val="00FD47C4"/>
    <w:rsid w:val="00FE2DCF"/>
    <w:rsid w:val="00FE3FA7"/>
    <w:rsid w:val="00FF2A4E"/>
    <w:rsid w:val="00FF2FCE"/>
    <w:rsid w:val="00FF4F7D"/>
    <w:rsid w:val="00FF57FA"/>
    <w:rsid w:val="00FF6D9D"/>
    <w:rsid w:val="00FF71FB"/>
    <w:rsid w:val="00FF75A8"/>
    <w:rsid w:val="00FF7DD5"/>
    <w:rsid w:val="05DCD881"/>
    <w:rsid w:val="07783754"/>
    <w:rsid w:val="13C5CFE5"/>
    <w:rsid w:val="22B3CC38"/>
    <w:rsid w:val="26AD9B40"/>
    <w:rsid w:val="28C2D6A1"/>
    <w:rsid w:val="2C3B9E53"/>
    <w:rsid w:val="34A2B6D7"/>
    <w:rsid w:val="391B7711"/>
    <w:rsid w:val="470F8AC7"/>
    <w:rsid w:val="4A3DFCC2"/>
    <w:rsid w:val="4DDFA43D"/>
    <w:rsid w:val="58EE04AA"/>
    <w:rsid w:val="596186D9"/>
    <w:rsid w:val="61106297"/>
    <w:rsid w:val="6FD6CC43"/>
    <w:rsid w:val="73E322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99758DD-1540-4571-8399-4144E738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5E2CDA"/>
  </w:style>
  <w:style w:type="paragraph" w:styleId="NormalWeb">
    <w:name w:val="Normal (Web)"/>
    <w:basedOn w:val="Normal"/>
    <w:uiPriority w:val="99"/>
    <w:semiHidden/>
    <w:unhideWhenUsed/>
    <w:rsid w:val="005E2CDA"/>
    <w:pPr>
      <w:spacing w:before="100" w:beforeAutospacing="1" w:after="100" w:afterAutospacing="1" w:line="240" w:lineRule="auto"/>
    </w:pPr>
    <w:rPr>
      <w:rFonts w:ascii="Times New Roman" w:hAnsi="Times New Roman"/>
      <w:sz w:val="24"/>
      <w:szCs w:val="24"/>
      <w:lang w:eastAsia="en-AU" w:bidi="he-IL"/>
    </w:rPr>
  </w:style>
  <w:style w:type="paragraph" w:customStyle="1" w:styleId="Default">
    <w:name w:val="Default"/>
    <w:rsid w:val="00B53AC6"/>
    <w:pPr>
      <w:autoSpaceDE w:val="0"/>
      <w:autoSpaceDN w:val="0"/>
      <w:adjustRightInd w:val="0"/>
    </w:pPr>
    <w:rPr>
      <w:rFonts w:ascii="Calibri" w:hAnsi="Calibri" w:cs="Calibri"/>
      <w:color w:val="000000"/>
      <w:sz w:val="24"/>
      <w:szCs w:val="24"/>
      <w:lang w:bidi="he-IL"/>
    </w:rPr>
  </w:style>
  <w:style w:type="paragraph" w:customStyle="1" w:styleId="Bullet3">
    <w:name w:val="Bullet 3"/>
    <w:basedOn w:val="Bullet2"/>
    <w:link w:val="Bullet3Char"/>
    <w:uiPriority w:val="11"/>
    <w:qFormat/>
    <w:rsid w:val="00946BD6"/>
    <w:pPr>
      <w:numPr>
        <w:ilvl w:val="0"/>
        <w:numId w:val="0"/>
      </w:numPr>
      <w:spacing w:after="120"/>
      <w:ind w:left="851" w:hanging="284"/>
    </w:pPr>
  </w:style>
  <w:style w:type="character" w:customStyle="1" w:styleId="Bullet3Char">
    <w:name w:val="Bullet 3 Char"/>
    <w:basedOn w:val="DefaultParagraphFont"/>
    <w:link w:val="Bullet3"/>
    <w:uiPriority w:val="11"/>
    <w:rsid w:val="00A422EF"/>
    <w:rPr>
      <w:rFonts w:ascii="Arial" w:eastAsia="Times" w:hAnsi="Arial"/>
      <w:sz w:val="21"/>
      <w:lang w:eastAsia="en-US"/>
    </w:rPr>
  </w:style>
  <w:style w:type="character" w:customStyle="1" w:styleId="cf01">
    <w:name w:val="cf01"/>
    <w:basedOn w:val="DefaultParagraphFont"/>
    <w:rsid w:val="0062609E"/>
    <w:rPr>
      <w:rFonts w:ascii="Segoe UI" w:hAnsi="Segoe UI" w:cs="Segoe UI" w:hint="default"/>
      <w:color w:val="1A1A1A"/>
      <w:sz w:val="18"/>
      <w:szCs w:val="18"/>
      <w:shd w:val="clear" w:color="auto" w:fill="FFFFFF"/>
    </w:rPr>
  </w:style>
  <w:style w:type="paragraph" w:styleId="ListParagraph">
    <w:name w:val="List Paragraph"/>
    <w:basedOn w:val="Normal"/>
    <w:uiPriority w:val="72"/>
    <w:semiHidden/>
    <w:qFormat/>
    <w:rsid w:val="00ED4FA1"/>
    <w:pPr>
      <w:ind w:left="720"/>
      <w:contextualSpacing/>
    </w:pPr>
  </w:style>
  <w:style w:type="character" w:styleId="Emphasis">
    <w:name w:val="Emphasis"/>
    <w:basedOn w:val="DefaultParagraphFont"/>
    <w:uiPriority w:val="20"/>
    <w:qFormat/>
    <w:rsid w:val="005810EF"/>
    <w:rPr>
      <w:i/>
      <w:iCs/>
    </w:rPr>
  </w:style>
  <w:style w:type="table" w:customStyle="1" w:styleId="Purpletable">
    <w:name w:val="Purple table"/>
    <w:basedOn w:val="TableNormal"/>
    <w:next w:val="TableGrid"/>
    <w:uiPriority w:val="39"/>
    <w:rsid w:val="00217336"/>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217336"/>
    <w:rPr>
      <w:rFonts w:ascii="Arial" w:hAnsi="Arial"/>
      <w:sz w:val="21"/>
      <w:lang w:eastAsia="en-US"/>
    </w:rPr>
  </w:style>
  <w:style w:type="character" w:customStyle="1" w:styleId="normaltextrun">
    <w:name w:val="normaltextrun"/>
    <w:basedOn w:val="DefaultParagraphFont"/>
    <w:rsid w:val="00234294"/>
  </w:style>
  <w:style w:type="character" w:customStyle="1" w:styleId="eop">
    <w:name w:val="eop"/>
    <w:basedOn w:val="DefaultParagraphFont"/>
    <w:rsid w:val="00234294"/>
  </w:style>
  <w:style w:type="paragraph" w:styleId="Caption">
    <w:name w:val="caption"/>
    <w:basedOn w:val="Normal"/>
    <w:next w:val="Normal"/>
    <w:uiPriority w:val="35"/>
    <w:unhideWhenUsed/>
    <w:qFormat/>
    <w:rsid w:val="0082111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9136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76488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80831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7286670">
      <w:bodyDiv w:val="1"/>
      <w:marLeft w:val="0"/>
      <w:marRight w:val="0"/>
      <w:marTop w:val="0"/>
      <w:marBottom w:val="0"/>
      <w:divBdr>
        <w:top w:val="none" w:sz="0" w:space="0" w:color="auto"/>
        <w:left w:val="none" w:sz="0" w:space="0" w:color="auto"/>
        <w:bottom w:val="none" w:sz="0" w:space="0" w:color="auto"/>
        <w:right w:val="none" w:sz="0" w:space="0" w:color="auto"/>
      </w:divBdr>
      <w:divsChild>
        <w:div w:id="930889942">
          <w:marLeft w:val="0"/>
          <w:marRight w:val="0"/>
          <w:marTop w:val="0"/>
          <w:marBottom w:val="0"/>
          <w:divBdr>
            <w:top w:val="none" w:sz="0" w:space="0" w:color="auto"/>
            <w:left w:val="none" w:sz="0" w:space="0" w:color="auto"/>
            <w:bottom w:val="none" w:sz="0" w:space="0" w:color="auto"/>
            <w:right w:val="none" w:sz="0" w:space="0" w:color="auto"/>
          </w:divBdr>
        </w:div>
      </w:divsChild>
    </w:div>
    <w:div w:id="1831556507">
      <w:bodyDiv w:val="1"/>
      <w:marLeft w:val="0"/>
      <w:marRight w:val="0"/>
      <w:marTop w:val="0"/>
      <w:marBottom w:val="0"/>
      <w:divBdr>
        <w:top w:val="none" w:sz="0" w:space="0" w:color="auto"/>
        <w:left w:val="none" w:sz="0" w:space="0" w:color="auto"/>
        <w:bottom w:val="none" w:sz="0" w:space="0" w:color="auto"/>
        <w:right w:val="none" w:sz="0" w:space="0" w:color="auto"/>
      </w:divBdr>
      <w:divsChild>
        <w:div w:id="1014653191">
          <w:marLeft w:val="0"/>
          <w:marRight w:val="0"/>
          <w:marTop w:val="0"/>
          <w:marBottom w:val="0"/>
          <w:divBdr>
            <w:top w:val="none" w:sz="0" w:space="0" w:color="auto"/>
            <w:left w:val="none" w:sz="0" w:space="0" w:color="auto"/>
            <w:bottom w:val="none" w:sz="0" w:space="0" w:color="auto"/>
            <w:right w:val="none" w:sz="0" w:space="0" w:color="auto"/>
          </w:divBdr>
        </w:div>
      </w:divsChild>
    </w:div>
    <w:div w:id="1879271108">
      <w:bodyDiv w:val="1"/>
      <w:marLeft w:val="0"/>
      <w:marRight w:val="0"/>
      <w:marTop w:val="0"/>
      <w:marBottom w:val="0"/>
      <w:divBdr>
        <w:top w:val="none" w:sz="0" w:space="0" w:color="auto"/>
        <w:left w:val="none" w:sz="0" w:space="0" w:color="auto"/>
        <w:bottom w:val="none" w:sz="0" w:space="0" w:color="auto"/>
        <w:right w:val="none" w:sz="0" w:space="0" w:color="auto"/>
      </w:divBdr>
    </w:div>
    <w:div w:id="189079605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098244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gislation.vic.gov.au/in-force/statutory-rules/social-services-supported-residential-services-regulations-2024/001" TargetMode="External"/><Relationship Id="rId26" Type="http://schemas.openxmlformats.org/officeDocument/2006/relationships/hyperlink" Target="https://ccyp.vic.gov.au/child-safe-standards/the-11-child-safe-standards/standard-7/" TargetMode="External"/><Relationship Id="rId39" Type="http://schemas.openxmlformats.org/officeDocument/2006/relationships/hyperlink" Target="https://www.vic.gov.au/about-social-services-regulator" TargetMode="External"/><Relationship Id="rId3" Type="http://schemas.openxmlformats.org/officeDocument/2006/relationships/customXml" Target="../customXml/item3.xml"/><Relationship Id="rId21" Type="http://schemas.openxmlformats.org/officeDocument/2006/relationships/hyperlink" Target="https://ccyp.vic.gov.au/child-safe-standards/the-11-child-safe-standards/standard-2/" TargetMode="External"/><Relationship Id="rId34" Type="http://schemas.openxmlformats.org/officeDocument/2006/relationships/hyperlink" Target="https://www.vic.gov.au/social-services-regulator-social-services-standards" TargetMode="External"/><Relationship Id="rId42" Type="http://schemas.openxmlformats.org/officeDocument/2006/relationships/hyperlink" Target="mailto:enquiries@ssr.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vic.gov.au/in-force/statutory-rules/social-services-regulations-2023/002" TargetMode="External"/><Relationship Id="rId25" Type="http://schemas.openxmlformats.org/officeDocument/2006/relationships/hyperlink" Target="https://ccyp.vic.gov.au/child-safe-standards/the-11-child-safe-standards/standard-6/" TargetMode="External"/><Relationship Id="rId33" Type="http://schemas.openxmlformats.org/officeDocument/2006/relationships/hyperlink" Target="https://www.vic.gov.au/changes-regulation-child-safe-standards" TargetMode="External"/><Relationship Id="rId38" Type="http://schemas.openxmlformats.org/officeDocument/2006/relationships/hyperlink" Target="https://www.vic.gov.au/social-services-regulator-guidance-material" TargetMode="External"/><Relationship Id="rId2" Type="http://schemas.openxmlformats.org/officeDocument/2006/relationships/customXml" Target="../customXml/item2.xml"/><Relationship Id="rId16" Type="http://schemas.openxmlformats.org/officeDocument/2006/relationships/hyperlink" Target="https://www.legislation.vic.gov.au/in-force/acts/social-services-regulation-act-2021/001" TargetMode="External"/><Relationship Id="rId20" Type="http://schemas.openxmlformats.org/officeDocument/2006/relationships/hyperlink" Target="https://ccyp.vic.gov.au/child-safe-standards/the-11-child-safe-standards/standard-1/" TargetMode="External"/><Relationship Id="rId29" Type="http://schemas.openxmlformats.org/officeDocument/2006/relationships/hyperlink" Target="https://ccyp.vic.gov.au/child-safe-standards/the-11-child-safe-standards/standard-10/" TargetMode="External"/><Relationship Id="rId41" Type="http://schemas.openxmlformats.org/officeDocument/2006/relationships/hyperlink" Target="mailto:Email%20the%20Social%20Services%20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cyp.vic.gov.au/child-safe-standards/the-11-child-safe-standards/standard-5/" TargetMode="External"/><Relationship Id="rId32" Type="http://schemas.openxmlformats.org/officeDocument/2006/relationships/hyperlink" Target="https://ccyp.vic.gov.au/child-safe-standards/who-do-the-standards-apply-to-page/" TargetMode="External"/><Relationship Id="rId37" Type="http://schemas.openxmlformats.org/officeDocument/2006/relationships/hyperlink" Target="https://www.vic.gov.au/social-services-regulator-guidance-material" TargetMode="External"/><Relationship Id="rId40" Type="http://schemas.openxmlformats.org/officeDocument/2006/relationships/hyperlink" Target="https://www.vic.gov.au/services-scope-new-schem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cyp.vic.gov.au/child-safe-standards/the-11-child-safe-standards/standard-4/" TargetMode="External"/><Relationship Id="rId28" Type="http://schemas.openxmlformats.org/officeDocument/2006/relationships/hyperlink" Target="https://ccyp.vic.gov.au/child-safe-standards/the-11-child-safe-standards/standard-9/" TargetMode="External"/><Relationship Id="rId36" Type="http://schemas.openxmlformats.org/officeDocument/2006/relationships/hyperlink" Target="https://ccyp.vic.gov.au/resources/child-safe-standards/" TargetMode="External"/><Relationship Id="rId10" Type="http://schemas.openxmlformats.org/officeDocument/2006/relationships/endnotes" Target="endnotes.xml"/><Relationship Id="rId19" Type="http://schemas.openxmlformats.org/officeDocument/2006/relationships/hyperlink" Target="https://www.legislation.vic.gov.au/in-force/acts/child-wellbeing-and-safety-act-2005/044" TargetMode="External"/><Relationship Id="rId31" Type="http://schemas.openxmlformats.org/officeDocument/2006/relationships/hyperlink" Target="https://ccyp.vic.gov.au/child-safe-standard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cyp.vic.gov.au/child-safe-standards/the-11-child-safe-standards/standard-3/" TargetMode="External"/><Relationship Id="rId27" Type="http://schemas.openxmlformats.org/officeDocument/2006/relationships/hyperlink" Target="https://ccyp.vic.gov.au/child-safe-standards/the-11-child-safe-standards/standard-8/" TargetMode="External"/><Relationship Id="rId30" Type="http://schemas.openxmlformats.org/officeDocument/2006/relationships/hyperlink" Target="https://ccyp.vic.gov.au/child-safe-standards/the-11-child-safe-standards/standard-11/" TargetMode="External"/><Relationship Id="rId35" Type="http://schemas.openxmlformats.org/officeDocument/2006/relationships/hyperlink" Target="https://www.vic.gov.au/changes-regulation-child-safe-standards" TargetMode="External"/><Relationship Id="rId43" Type="http://schemas.openxmlformats.org/officeDocument/2006/relationships/hyperlink" Target="http://www.vic.gov.au/social-services-regul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cyp.vic.gov.au/child-safe-standards/who-do-the-standards-apply-to-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metadata/properties"/>
    <ds:schemaRef ds:uri="http://purl.org/dc/elements/1.1/"/>
    <ds:schemaRef ds:uri="5dc74ea8-e552-4672-9e93-7e886a7af213"/>
    <ds:schemaRef ds:uri="http://schemas.openxmlformats.org/package/2006/metadata/core-properties"/>
    <ds:schemaRef ds:uri="http://purl.org/dc/dcmitype/"/>
    <ds:schemaRef ds:uri="c520fbed-e792-47a6-88e7-e35740b06176"/>
    <ds:schemaRef ds:uri="5ce0f2b5-5be5-4508-bce9-d7011ece0659"/>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B87400B-1EC8-49BC-B942-54A3F7D0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1775</Words>
  <Characters>13784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15528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4</cp:revision>
  <cp:lastPrinted>2024-06-05T10:21:00Z</cp:lastPrinted>
  <dcterms:created xsi:type="dcterms:W3CDTF">2025-01-07T23:21:00Z</dcterms:created>
  <dcterms:modified xsi:type="dcterms:W3CDTF">2025-01-08T02:14:00Z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