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pPr w:leftFromText="180" w:rightFromText="180" w:vertAnchor="text" w:tblpY="1"/>
        <w:tblOverlap w:val="never"/>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946"/>
      </w:tblGrid>
      <w:tr w:rsidR="004C70CF" w14:paraId="765659DC" w14:textId="77777777" w:rsidTr="00D13362">
        <w:trPr>
          <w:trHeight w:val="1418"/>
        </w:trPr>
        <w:tc>
          <w:tcPr>
            <w:tcW w:w="6946" w:type="dxa"/>
            <w:vAlign w:val="bottom"/>
          </w:tcPr>
          <w:p w14:paraId="1B06FE4C" w14:textId="4E2E13BF" w:rsidR="004C70CF" w:rsidRPr="0009050A" w:rsidRDefault="00D13362" w:rsidP="00713291">
            <w:pPr>
              <w:pStyle w:val="Heading1"/>
            </w:pPr>
            <w:bookmarkStart w:id="0" w:name="_Hlk179970355"/>
            <w:r>
              <w:t xml:space="preserve">Fees, charges and security deposits </w:t>
            </w:r>
            <w:r w:rsidRPr="001D244A">
              <w:rPr>
                <w:sz w:val="36"/>
                <w:szCs w:val="36"/>
              </w:rPr>
              <w:t>in supported residential services</w:t>
            </w:r>
            <w:bookmarkEnd w:id="0"/>
          </w:p>
        </w:tc>
      </w:tr>
      <w:tr w:rsidR="004C70CF" w14:paraId="5DF317EC" w14:textId="77777777" w:rsidTr="00D13362">
        <w:trPr>
          <w:trHeight w:val="1247"/>
        </w:trPr>
        <w:tc>
          <w:tcPr>
            <w:tcW w:w="6946" w:type="dxa"/>
          </w:tcPr>
          <w:p w14:paraId="69C24C39" w14:textId="17931D80" w:rsidR="004C70CF" w:rsidRPr="0016037B" w:rsidRDefault="004C70CF" w:rsidP="004C70CF">
            <w:pPr>
              <w:pStyle w:val="Documentsubtitle"/>
            </w:pPr>
          </w:p>
        </w:tc>
      </w:tr>
      <w:tr w:rsidR="004C70CF" w14:paraId="5F5E6105" w14:textId="77777777" w:rsidTr="00D13362">
        <w:trPr>
          <w:trHeight w:val="284"/>
        </w:trPr>
        <w:tc>
          <w:tcPr>
            <w:tcW w:w="6946" w:type="dxa"/>
          </w:tcPr>
          <w:p w14:paraId="45D389E8" w14:textId="74334762" w:rsidR="004C70CF" w:rsidRPr="00250DC4" w:rsidRDefault="004C70CF" w:rsidP="004C70CF">
            <w:pPr>
              <w:pStyle w:val="Bannermarking"/>
            </w:pPr>
            <w:fldSimple w:instr="FILLIN  &quot;Type the protective marking&quot; \d OFFICIAL \o  \* MERGEFORMAT">
              <w:r>
                <w:t>OFFICIAL</w:t>
              </w:r>
            </w:fldSimple>
          </w:p>
        </w:tc>
      </w:tr>
    </w:tbl>
    <w:p w14:paraId="0CBF5D9A" w14:textId="503F27EC" w:rsidR="00AD784C" w:rsidRPr="00B57329" w:rsidRDefault="003D452E" w:rsidP="00713291">
      <w:pPr>
        <w:pStyle w:val="Heading2"/>
      </w:pPr>
      <w:r>
        <w:br w:type="textWrapping" w:clear="all"/>
      </w:r>
      <w:r w:rsidR="00AD784C" w:rsidRPr="00B57329">
        <w:t>Contents</w:t>
      </w:r>
    </w:p>
    <w:p w14:paraId="4B3E9C43" w14:textId="6259E461" w:rsidR="00D21B3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2577614" w:history="1">
        <w:r w:rsidR="00D21B36" w:rsidRPr="008429E4">
          <w:rPr>
            <w:rStyle w:val="Hyperlink"/>
          </w:rPr>
          <w:t>About the Social Services Regulator</w:t>
        </w:r>
        <w:r w:rsidR="00D21B36">
          <w:rPr>
            <w:webHidden/>
          </w:rPr>
          <w:tab/>
        </w:r>
        <w:r w:rsidR="00D21B36">
          <w:rPr>
            <w:webHidden/>
          </w:rPr>
          <w:fldChar w:fldCharType="begin"/>
        </w:r>
        <w:r w:rsidR="00D21B36">
          <w:rPr>
            <w:webHidden/>
          </w:rPr>
          <w:instrText xml:space="preserve"> PAGEREF _Toc182577614 \h </w:instrText>
        </w:r>
        <w:r w:rsidR="00D21B36">
          <w:rPr>
            <w:webHidden/>
          </w:rPr>
        </w:r>
        <w:r w:rsidR="00D21B36">
          <w:rPr>
            <w:webHidden/>
          </w:rPr>
          <w:fldChar w:fldCharType="separate"/>
        </w:r>
        <w:r w:rsidR="00E841D7">
          <w:rPr>
            <w:webHidden/>
          </w:rPr>
          <w:t>1</w:t>
        </w:r>
        <w:r w:rsidR="00D21B36">
          <w:rPr>
            <w:webHidden/>
          </w:rPr>
          <w:fldChar w:fldCharType="end"/>
        </w:r>
      </w:hyperlink>
    </w:p>
    <w:p w14:paraId="3BFD8145" w14:textId="1AB9204B" w:rsidR="00D21B36" w:rsidRDefault="00D21B36">
      <w:pPr>
        <w:pStyle w:val="TOC1"/>
        <w:rPr>
          <w:rFonts w:asciiTheme="minorHAnsi" w:eastAsiaTheme="minorEastAsia" w:hAnsiTheme="minorHAnsi" w:cstheme="minorBidi"/>
          <w:b w:val="0"/>
          <w:kern w:val="2"/>
          <w:sz w:val="24"/>
          <w:szCs w:val="24"/>
          <w:lang w:eastAsia="en-AU"/>
          <w14:ligatures w14:val="standardContextual"/>
        </w:rPr>
      </w:pPr>
      <w:hyperlink w:anchor="_Toc182577615" w:history="1">
        <w:r w:rsidRPr="008429E4">
          <w:rPr>
            <w:rStyle w:val="Hyperlink"/>
          </w:rPr>
          <w:t>Fees, charges, and security deposits</w:t>
        </w:r>
        <w:r>
          <w:rPr>
            <w:webHidden/>
          </w:rPr>
          <w:tab/>
        </w:r>
        <w:r>
          <w:rPr>
            <w:webHidden/>
          </w:rPr>
          <w:fldChar w:fldCharType="begin"/>
        </w:r>
        <w:r>
          <w:rPr>
            <w:webHidden/>
          </w:rPr>
          <w:instrText xml:space="preserve"> PAGEREF _Toc182577615 \h </w:instrText>
        </w:r>
        <w:r>
          <w:rPr>
            <w:webHidden/>
          </w:rPr>
        </w:r>
        <w:r>
          <w:rPr>
            <w:webHidden/>
          </w:rPr>
          <w:fldChar w:fldCharType="separate"/>
        </w:r>
        <w:r w:rsidR="00E841D7">
          <w:rPr>
            <w:webHidden/>
          </w:rPr>
          <w:t>2</w:t>
        </w:r>
        <w:r>
          <w:rPr>
            <w:webHidden/>
          </w:rPr>
          <w:fldChar w:fldCharType="end"/>
        </w:r>
      </w:hyperlink>
    </w:p>
    <w:p w14:paraId="0755001F" w14:textId="09CDCB5D"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16" w:history="1">
        <w:r w:rsidRPr="008429E4">
          <w:rPr>
            <w:rStyle w:val="Hyperlink"/>
          </w:rPr>
          <w:t>Types of fees</w:t>
        </w:r>
        <w:r>
          <w:rPr>
            <w:webHidden/>
          </w:rPr>
          <w:tab/>
        </w:r>
        <w:r>
          <w:rPr>
            <w:webHidden/>
          </w:rPr>
          <w:fldChar w:fldCharType="begin"/>
        </w:r>
        <w:r>
          <w:rPr>
            <w:webHidden/>
          </w:rPr>
          <w:instrText xml:space="preserve"> PAGEREF _Toc182577616 \h </w:instrText>
        </w:r>
        <w:r>
          <w:rPr>
            <w:webHidden/>
          </w:rPr>
        </w:r>
        <w:r>
          <w:rPr>
            <w:webHidden/>
          </w:rPr>
          <w:fldChar w:fldCharType="separate"/>
        </w:r>
        <w:r w:rsidR="00E841D7">
          <w:rPr>
            <w:webHidden/>
          </w:rPr>
          <w:t>2</w:t>
        </w:r>
        <w:r>
          <w:rPr>
            <w:webHidden/>
          </w:rPr>
          <w:fldChar w:fldCharType="end"/>
        </w:r>
      </w:hyperlink>
    </w:p>
    <w:p w14:paraId="62F266BF" w14:textId="7EF92F8B"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17" w:history="1">
        <w:r w:rsidRPr="008429E4">
          <w:rPr>
            <w:rStyle w:val="Hyperlink"/>
          </w:rPr>
          <w:t>Security deposits</w:t>
        </w:r>
        <w:r>
          <w:rPr>
            <w:webHidden/>
          </w:rPr>
          <w:tab/>
        </w:r>
        <w:r>
          <w:rPr>
            <w:webHidden/>
          </w:rPr>
          <w:fldChar w:fldCharType="begin"/>
        </w:r>
        <w:r>
          <w:rPr>
            <w:webHidden/>
          </w:rPr>
          <w:instrText xml:space="preserve"> PAGEREF _Toc182577617 \h </w:instrText>
        </w:r>
        <w:r>
          <w:rPr>
            <w:webHidden/>
          </w:rPr>
        </w:r>
        <w:r>
          <w:rPr>
            <w:webHidden/>
          </w:rPr>
          <w:fldChar w:fldCharType="separate"/>
        </w:r>
        <w:r w:rsidR="00E841D7">
          <w:rPr>
            <w:webHidden/>
          </w:rPr>
          <w:t>2</w:t>
        </w:r>
        <w:r>
          <w:rPr>
            <w:webHidden/>
          </w:rPr>
          <w:fldChar w:fldCharType="end"/>
        </w:r>
      </w:hyperlink>
    </w:p>
    <w:p w14:paraId="085CA427" w14:textId="340F291F"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18" w:history="1">
        <w:r w:rsidRPr="008429E4">
          <w:rPr>
            <w:rStyle w:val="Hyperlink"/>
          </w:rPr>
          <w:t>Requirements when charging fees</w:t>
        </w:r>
        <w:r>
          <w:rPr>
            <w:webHidden/>
          </w:rPr>
          <w:tab/>
        </w:r>
        <w:r>
          <w:rPr>
            <w:webHidden/>
          </w:rPr>
          <w:fldChar w:fldCharType="begin"/>
        </w:r>
        <w:r>
          <w:rPr>
            <w:webHidden/>
          </w:rPr>
          <w:instrText xml:space="preserve"> PAGEREF _Toc182577618 \h </w:instrText>
        </w:r>
        <w:r>
          <w:rPr>
            <w:webHidden/>
          </w:rPr>
        </w:r>
        <w:r>
          <w:rPr>
            <w:webHidden/>
          </w:rPr>
          <w:fldChar w:fldCharType="separate"/>
        </w:r>
        <w:r w:rsidR="00E841D7">
          <w:rPr>
            <w:webHidden/>
          </w:rPr>
          <w:t>3</w:t>
        </w:r>
        <w:r>
          <w:rPr>
            <w:webHidden/>
          </w:rPr>
          <w:fldChar w:fldCharType="end"/>
        </w:r>
      </w:hyperlink>
    </w:p>
    <w:p w14:paraId="65121BD2" w14:textId="32BC9C3F"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19" w:history="1">
        <w:r w:rsidRPr="008429E4">
          <w:rPr>
            <w:rStyle w:val="Hyperlink"/>
          </w:rPr>
          <w:t>Requirements when refunding fees</w:t>
        </w:r>
        <w:r>
          <w:rPr>
            <w:webHidden/>
          </w:rPr>
          <w:tab/>
        </w:r>
        <w:r>
          <w:rPr>
            <w:webHidden/>
          </w:rPr>
          <w:fldChar w:fldCharType="begin"/>
        </w:r>
        <w:r>
          <w:rPr>
            <w:webHidden/>
          </w:rPr>
          <w:instrText xml:space="preserve"> PAGEREF _Toc182577619 \h </w:instrText>
        </w:r>
        <w:r>
          <w:rPr>
            <w:webHidden/>
          </w:rPr>
        </w:r>
        <w:r>
          <w:rPr>
            <w:webHidden/>
          </w:rPr>
          <w:fldChar w:fldCharType="separate"/>
        </w:r>
        <w:r w:rsidR="00E841D7">
          <w:rPr>
            <w:webHidden/>
          </w:rPr>
          <w:t>4</w:t>
        </w:r>
        <w:r>
          <w:rPr>
            <w:webHidden/>
          </w:rPr>
          <w:fldChar w:fldCharType="end"/>
        </w:r>
      </w:hyperlink>
    </w:p>
    <w:p w14:paraId="02C23537" w14:textId="3866876D"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20" w:history="1">
        <w:r w:rsidRPr="008429E4">
          <w:rPr>
            <w:rStyle w:val="Hyperlink"/>
          </w:rPr>
          <w:t>Other charges</w:t>
        </w:r>
        <w:r>
          <w:rPr>
            <w:webHidden/>
          </w:rPr>
          <w:tab/>
        </w:r>
        <w:r>
          <w:rPr>
            <w:webHidden/>
          </w:rPr>
          <w:fldChar w:fldCharType="begin"/>
        </w:r>
        <w:r>
          <w:rPr>
            <w:webHidden/>
          </w:rPr>
          <w:instrText xml:space="preserve"> PAGEREF _Toc182577620 \h </w:instrText>
        </w:r>
        <w:r>
          <w:rPr>
            <w:webHidden/>
          </w:rPr>
        </w:r>
        <w:r>
          <w:rPr>
            <w:webHidden/>
          </w:rPr>
          <w:fldChar w:fldCharType="separate"/>
        </w:r>
        <w:r w:rsidR="00E841D7">
          <w:rPr>
            <w:webHidden/>
          </w:rPr>
          <w:t>4</w:t>
        </w:r>
        <w:r>
          <w:rPr>
            <w:webHidden/>
          </w:rPr>
          <w:fldChar w:fldCharType="end"/>
        </w:r>
      </w:hyperlink>
    </w:p>
    <w:p w14:paraId="6F801E00" w14:textId="7D4CC750" w:rsidR="00D21B36" w:rsidRDefault="00D21B36">
      <w:pPr>
        <w:pStyle w:val="TOC1"/>
        <w:rPr>
          <w:rFonts w:asciiTheme="minorHAnsi" w:eastAsiaTheme="minorEastAsia" w:hAnsiTheme="minorHAnsi" w:cstheme="minorBidi"/>
          <w:b w:val="0"/>
          <w:kern w:val="2"/>
          <w:sz w:val="24"/>
          <w:szCs w:val="24"/>
          <w:lang w:eastAsia="en-AU"/>
          <w14:ligatures w14:val="standardContextual"/>
        </w:rPr>
      </w:pPr>
      <w:hyperlink w:anchor="_Toc182577621" w:history="1">
        <w:r w:rsidRPr="008429E4">
          <w:rPr>
            <w:rStyle w:val="Hyperlink"/>
          </w:rPr>
          <w:t>Trust accounts</w:t>
        </w:r>
        <w:r>
          <w:rPr>
            <w:webHidden/>
          </w:rPr>
          <w:tab/>
        </w:r>
        <w:r>
          <w:rPr>
            <w:webHidden/>
          </w:rPr>
          <w:fldChar w:fldCharType="begin"/>
        </w:r>
        <w:r>
          <w:rPr>
            <w:webHidden/>
          </w:rPr>
          <w:instrText xml:space="preserve"> PAGEREF _Toc182577621 \h </w:instrText>
        </w:r>
        <w:r>
          <w:rPr>
            <w:webHidden/>
          </w:rPr>
        </w:r>
        <w:r>
          <w:rPr>
            <w:webHidden/>
          </w:rPr>
          <w:fldChar w:fldCharType="separate"/>
        </w:r>
        <w:r w:rsidR="00E841D7">
          <w:rPr>
            <w:webHidden/>
          </w:rPr>
          <w:t>4</w:t>
        </w:r>
        <w:r>
          <w:rPr>
            <w:webHidden/>
          </w:rPr>
          <w:fldChar w:fldCharType="end"/>
        </w:r>
      </w:hyperlink>
    </w:p>
    <w:p w14:paraId="210BC77C" w14:textId="30C417B2"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22" w:history="1">
        <w:r w:rsidRPr="008429E4">
          <w:rPr>
            <w:rStyle w:val="Hyperlink"/>
          </w:rPr>
          <w:t>Keeping records of trust deposits</w:t>
        </w:r>
        <w:r>
          <w:rPr>
            <w:webHidden/>
          </w:rPr>
          <w:tab/>
        </w:r>
        <w:r>
          <w:rPr>
            <w:webHidden/>
          </w:rPr>
          <w:fldChar w:fldCharType="begin"/>
        </w:r>
        <w:r>
          <w:rPr>
            <w:webHidden/>
          </w:rPr>
          <w:instrText xml:space="preserve"> PAGEREF _Toc182577622 \h </w:instrText>
        </w:r>
        <w:r>
          <w:rPr>
            <w:webHidden/>
          </w:rPr>
        </w:r>
        <w:r>
          <w:rPr>
            <w:webHidden/>
          </w:rPr>
          <w:fldChar w:fldCharType="separate"/>
        </w:r>
        <w:r w:rsidR="00E841D7">
          <w:rPr>
            <w:webHidden/>
          </w:rPr>
          <w:t>5</w:t>
        </w:r>
        <w:r>
          <w:rPr>
            <w:webHidden/>
          </w:rPr>
          <w:fldChar w:fldCharType="end"/>
        </w:r>
      </w:hyperlink>
    </w:p>
    <w:p w14:paraId="5BF0B696" w14:textId="0E9E800C" w:rsidR="00D21B36" w:rsidRDefault="00D21B36">
      <w:pPr>
        <w:pStyle w:val="TOC1"/>
        <w:rPr>
          <w:rFonts w:asciiTheme="minorHAnsi" w:eastAsiaTheme="minorEastAsia" w:hAnsiTheme="minorHAnsi" w:cstheme="minorBidi"/>
          <w:b w:val="0"/>
          <w:kern w:val="2"/>
          <w:sz w:val="24"/>
          <w:szCs w:val="24"/>
          <w:lang w:eastAsia="en-AU"/>
          <w14:ligatures w14:val="standardContextual"/>
        </w:rPr>
      </w:pPr>
      <w:hyperlink w:anchor="_Toc182577623" w:history="1">
        <w:r w:rsidRPr="008429E4">
          <w:rPr>
            <w:rStyle w:val="Hyperlink"/>
          </w:rPr>
          <w:t>What written information is necessary?</w:t>
        </w:r>
        <w:r>
          <w:rPr>
            <w:webHidden/>
          </w:rPr>
          <w:tab/>
        </w:r>
        <w:r>
          <w:rPr>
            <w:webHidden/>
          </w:rPr>
          <w:fldChar w:fldCharType="begin"/>
        </w:r>
        <w:r>
          <w:rPr>
            <w:webHidden/>
          </w:rPr>
          <w:instrText xml:space="preserve"> PAGEREF _Toc182577623 \h </w:instrText>
        </w:r>
        <w:r>
          <w:rPr>
            <w:webHidden/>
          </w:rPr>
        </w:r>
        <w:r>
          <w:rPr>
            <w:webHidden/>
          </w:rPr>
          <w:fldChar w:fldCharType="separate"/>
        </w:r>
        <w:r w:rsidR="00E841D7">
          <w:rPr>
            <w:webHidden/>
          </w:rPr>
          <w:t>5</w:t>
        </w:r>
        <w:r>
          <w:rPr>
            <w:webHidden/>
          </w:rPr>
          <w:fldChar w:fldCharType="end"/>
        </w:r>
      </w:hyperlink>
    </w:p>
    <w:p w14:paraId="3C9990D4" w14:textId="15C1C078"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24" w:history="1">
        <w:r w:rsidRPr="008429E4">
          <w:rPr>
            <w:rStyle w:val="Hyperlink"/>
          </w:rPr>
          <w:t>Written receipts for fees</w:t>
        </w:r>
        <w:r>
          <w:rPr>
            <w:webHidden/>
          </w:rPr>
          <w:tab/>
        </w:r>
        <w:r>
          <w:rPr>
            <w:webHidden/>
          </w:rPr>
          <w:fldChar w:fldCharType="begin"/>
        </w:r>
        <w:r>
          <w:rPr>
            <w:webHidden/>
          </w:rPr>
          <w:instrText xml:space="preserve"> PAGEREF _Toc182577624 \h </w:instrText>
        </w:r>
        <w:r>
          <w:rPr>
            <w:webHidden/>
          </w:rPr>
        </w:r>
        <w:r>
          <w:rPr>
            <w:webHidden/>
          </w:rPr>
          <w:fldChar w:fldCharType="separate"/>
        </w:r>
        <w:r w:rsidR="00E841D7">
          <w:rPr>
            <w:webHidden/>
          </w:rPr>
          <w:t>5</w:t>
        </w:r>
        <w:r>
          <w:rPr>
            <w:webHidden/>
          </w:rPr>
          <w:fldChar w:fldCharType="end"/>
        </w:r>
      </w:hyperlink>
    </w:p>
    <w:p w14:paraId="6A55E3EA" w14:textId="6353D41B" w:rsidR="00D21B36" w:rsidRDefault="00D21B36">
      <w:pPr>
        <w:pStyle w:val="TOC1"/>
        <w:rPr>
          <w:rFonts w:asciiTheme="minorHAnsi" w:eastAsiaTheme="minorEastAsia" w:hAnsiTheme="minorHAnsi" w:cstheme="minorBidi"/>
          <w:b w:val="0"/>
          <w:kern w:val="2"/>
          <w:sz w:val="24"/>
          <w:szCs w:val="24"/>
          <w:lang w:eastAsia="en-AU"/>
          <w14:ligatures w14:val="standardContextual"/>
        </w:rPr>
      </w:pPr>
      <w:hyperlink w:anchor="_Toc182577625" w:history="1">
        <w:r w:rsidRPr="008429E4">
          <w:rPr>
            <w:rStyle w:val="Hyperlink"/>
          </w:rPr>
          <w:t>What is the role of the Regulator?</w:t>
        </w:r>
        <w:r>
          <w:rPr>
            <w:webHidden/>
          </w:rPr>
          <w:tab/>
        </w:r>
        <w:r>
          <w:rPr>
            <w:webHidden/>
          </w:rPr>
          <w:fldChar w:fldCharType="begin"/>
        </w:r>
        <w:r>
          <w:rPr>
            <w:webHidden/>
          </w:rPr>
          <w:instrText xml:space="preserve"> PAGEREF _Toc182577625 \h </w:instrText>
        </w:r>
        <w:r>
          <w:rPr>
            <w:webHidden/>
          </w:rPr>
        </w:r>
        <w:r>
          <w:rPr>
            <w:webHidden/>
          </w:rPr>
          <w:fldChar w:fldCharType="separate"/>
        </w:r>
        <w:r w:rsidR="00E841D7">
          <w:rPr>
            <w:webHidden/>
          </w:rPr>
          <w:t>6</w:t>
        </w:r>
        <w:r>
          <w:rPr>
            <w:webHidden/>
          </w:rPr>
          <w:fldChar w:fldCharType="end"/>
        </w:r>
      </w:hyperlink>
    </w:p>
    <w:p w14:paraId="7C156C1C" w14:textId="00F7FBD3" w:rsidR="00D21B36" w:rsidRDefault="00D21B36">
      <w:pPr>
        <w:pStyle w:val="TOC1"/>
        <w:rPr>
          <w:rFonts w:asciiTheme="minorHAnsi" w:eastAsiaTheme="minorEastAsia" w:hAnsiTheme="minorHAnsi" w:cstheme="minorBidi"/>
          <w:b w:val="0"/>
          <w:kern w:val="2"/>
          <w:sz w:val="24"/>
          <w:szCs w:val="24"/>
          <w:lang w:eastAsia="en-AU"/>
          <w14:ligatures w14:val="standardContextual"/>
        </w:rPr>
      </w:pPr>
      <w:hyperlink w:anchor="_Toc182577626" w:history="1">
        <w:r w:rsidRPr="008429E4">
          <w:rPr>
            <w:rStyle w:val="Hyperlink"/>
          </w:rPr>
          <w:t>Useful resources and contacts</w:t>
        </w:r>
        <w:r>
          <w:rPr>
            <w:webHidden/>
          </w:rPr>
          <w:tab/>
        </w:r>
        <w:r>
          <w:rPr>
            <w:webHidden/>
          </w:rPr>
          <w:fldChar w:fldCharType="begin"/>
        </w:r>
        <w:r>
          <w:rPr>
            <w:webHidden/>
          </w:rPr>
          <w:instrText xml:space="preserve"> PAGEREF _Toc182577626 \h </w:instrText>
        </w:r>
        <w:r>
          <w:rPr>
            <w:webHidden/>
          </w:rPr>
        </w:r>
        <w:r>
          <w:rPr>
            <w:webHidden/>
          </w:rPr>
          <w:fldChar w:fldCharType="separate"/>
        </w:r>
        <w:r w:rsidR="00E841D7">
          <w:rPr>
            <w:webHidden/>
          </w:rPr>
          <w:t>6</w:t>
        </w:r>
        <w:r>
          <w:rPr>
            <w:webHidden/>
          </w:rPr>
          <w:fldChar w:fldCharType="end"/>
        </w:r>
      </w:hyperlink>
    </w:p>
    <w:p w14:paraId="5CE161C9" w14:textId="2713466D"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27" w:history="1">
        <w:r w:rsidRPr="008429E4">
          <w:rPr>
            <w:rStyle w:val="Hyperlink"/>
          </w:rPr>
          <w:t>Resources</w:t>
        </w:r>
        <w:r>
          <w:rPr>
            <w:webHidden/>
          </w:rPr>
          <w:tab/>
        </w:r>
        <w:r>
          <w:rPr>
            <w:webHidden/>
          </w:rPr>
          <w:fldChar w:fldCharType="begin"/>
        </w:r>
        <w:r>
          <w:rPr>
            <w:webHidden/>
          </w:rPr>
          <w:instrText xml:space="preserve"> PAGEREF _Toc182577627 \h </w:instrText>
        </w:r>
        <w:r>
          <w:rPr>
            <w:webHidden/>
          </w:rPr>
        </w:r>
        <w:r>
          <w:rPr>
            <w:webHidden/>
          </w:rPr>
          <w:fldChar w:fldCharType="separate"/>
        </w:r>
        <w:r w:rsidR="00E841D7">
          <w:rPr>
            <w:webHidden/>
          </w:rPr>
          <w:t>6</w:t>
        </w:r>
        <w:r>
          <w:rPr>
            <w:webHidden/>
          </w:rPr>
          <w:fldChar w:fldCharType="end"/>
        </w:r>
      </w:hyperlink>
    </w:p>
    <w:p w14:paraId="4D714059" w14:textId="6A84DA3F" w:rsidR="00D21B36" w:rsidRDefault="00D21B36">
      <w:pPr>
        <w:pStyle w:val="TOC2"/>
        <w:rPr>
          <w:rFonts w:asciiTheme="minorHAnsi" w:eastAsiaTheme="minorEastAsia" w:hAnsiTheme="minorHAnsi" w:cstheme="minorBidi"/>
          <w:kern w:val="2"/>
          <w:sz w:val="24"/>
          <w:szCs w:val="24"/>
          <w:lang w:eastAsia="en-AU"/>
          <w14:ligatures w14:val="standardContextual"/>
        </w:rPr>
      </w:pPr>
      <w:hyperlink w:anchor="_Toc182577628" w:history="1">
        <w:r w:rsidRPr="008429E4">
          <w:rPr>
            <w:rStyle w:val="Hyperlink"/>
          </w:rPr>
          <w:t>Contact us</w:t>
        </w:r>
        <w:r>
          <w:rPr>
            <w:webHidden/>
          </w:rPr>
          <w:tab/>
        </w:r>
        <w:r>
          <w:rPr>
            <w:webHidden/>
          </w:rPr>
          <w:fldChar w:fldCharType="begin"/>
        </w:r>
        <w:r>
          <w:rPr>
            <w:webHidden/>
          </w:rPr>
          <w:instrText xml:space="preserve"> PAGEREF _Toc182577628 \h </w:instrText>
        </w:r>
        <w:r>
          <w:rPr>
            <w:webHidden/>
          </w:rPr>
        </w:r>
        <w:r>
          <w:rPr>
            <w:webHidden/>
          </w:rPr>
          <w:fldChar w:fldCharType="separate"/>
        </w:r>
        <w:r w:rsidR="00E841D7">
          <w:rPr>
            <w:webHidden/>
          </w:rPr>
          <w:t>6</w:t>
        </w:r>
        <w:r>
          <w:rPr>
            <w:webHidden/>
          </w:rPr>
          <w:fldChar w:fldCharType="end"/>
        </w:r>
      </w:hyperlink>
    </w:p>
    <w:p w14:paraId="623B2D43" w14:textId="0CBE787E" w:rsidR="007173CA" w:rsidRDefault="00AD784C" w:rsidP="00D079AA">
      <w:pPr>
        <w:pStyle w:val="Body"/>
      </w:pPr>
      <w:r>
        <w:fldChar w:fldCharType="end"/>
      </w:r>
    </w:p>
    <w:p w14:paraId="25C6DCF8" w14:textId="77777777" w:rsidR="00D13362" w:rsidRDefault="00D13362" w:rsidP="00713291">
      <w:pPr>
        <w:pStyle w:val="Heading2"/>
      </w:pPr>
      <w:bookmarkStart w:id="1" w:name="_Toc182577614"/>
      <w:r>
        <w:t>About the Social Services Regulator</w:t>
      </w:r>
      <w:bookmarkEnd w:id="1"/>
    </w:p>
    <w:p w14:paraId="5917ED9C" w14:textId="56D7B616" w:rsidR="00D13362" w:rsidRDefault="00D13362" w:rsidP="00D13362">
      <w:pPr>
        <w:pStyle w:val="Body"/>
      </w:pPr>
      <w:r>
        <w:t xml:space="preserve">The </w:t>
      </w:r>
      <w:hyperlink r:id="rId18" w:tgtFrame="_blank" w:history="1">
        <w:r w:rsidR="001926D8" w:rsidRPr="0013511D">
          <w:rPr>
            <w:rStyle w:val="Hyperlink"/>
            <w:i/>
            <w:iCs/>
          </w:rPr>
          <w:t>Social Services Regulation Act 2021</w:t>
        </w:r>
      </w:hyperlink>
      <w:r w:rsidR="001926D8" w:rsidRPr="0013511D">
        <w:t xml:space="preserve"> (the Act), the </w:t>
      </w:r>
      <w:hyperlink r:id="rId19" w:tgtFrame="_blank" w:history="1">
        <w:r w:rsidR="001926D8" w:rsidRPr="0013511D">
          <w:rPr>
            <w:rStyle w:val="Hyperlink"/>
            <w:i/>
            <w:iCs/>
          </w:rPr>
          <w:t>Social Services Regulations 2023</w:t>
        </w:r>
      </w:hyperlink>
      <w:r w:rsidR="001926D8" w:rsidRPr="0013511D">
        <w:t xml:space="preserve"> (the Regulations)</w:t>
      </w:r>
      <w:r w:rsidR="001926D8">
        <w:t>,</w:t>
      </w:r>
      <w:r w:rsidR="001926D8" w:rsidRPr="0013511D">
        <w:t xml:space="preserve"> and the </w:t>
      </w:r>
      <w:hyperlink r:id="rId20" w:tgtFrame="_blank" w:history="1">
        <w:r w:rsidR="001926D8" w:rsidRPr="0013511D">
          <w:rPr>
            <w:rStyle w:val="Hyperlink"/>
            <w:i/>
            <w:iCs/>
          </w:rPr>
          <w:t>Social Services (Supported Residential Services) Regulations 2024</w:t>
        </w:r>
      </w:hyperlink>
      <w:r w:rsidR="001926D8" w:rsidRPr="0013511D">
        <w:rPr>
          <w:i/>
          <w:iCs/>
        </w:rPr>
        <w:t xml:space="preserve"> </w:t>
      </w:r>
      <w:r w:rsidR="001926D8" w:rsidRPr="0013511D">
        <w:t xml:space="preserve">(the SRS Regulations) </w:t>
      </w:r>
      <w:r>
        <w:t xml:space="preserve">create a new regulatory framework for social services in Victoria. This framework puts the protection and safety of social service users at the centre of social services delivery. </w:t>
      </w:r>
    </w:p>
    <w:p w14:paraId="06037083" w14:textId="6258E1BF" w:rsidR="00D13362" w:rsidRDefault="00D13362" w:rsidP="00D13362">
      <w:pPr>
        <w:pStyle w:val="Body"/>
      </w:pPr>
      <w:r>
        <w:t xml:space="preserve">The Social Services Regulator </w:t>
      </w:r>
      <w:r w:rsidR="001926D8">
        <w:t xml:space="preserve">(Regulator) </w:t>
      </w:r>
      <w:r>
        <w:t xml:space="preserve">aims to strengthen protections for social services users to safeguard people from harm, abuse and neglect.  </w:t>
      </w:r>
    </w:p>
    <w:p w14:paraId="4D000836" w14:textId="77777777" w:rsidR="00D13362" w:rsidRDefault="00D13362" w:rsidP="00D13362">
      <w:pPr>
        <w:pStyle w:val="Body"/>
      </w:pPr>
      <w:r>
        <w:t xml:space="preserve">Core objectives include: </w:t>
      </w:r>
    </w:p>
    <w:p w14:paraId="1547E96B" w14:textId="551DE0A7" w:rsidR="00D13362" w:rsidRDefault="00D13362" w:rsidP="00D13362">
      <w:pPr>
        <w:pStyle w:val="Bullet1"/>
      </w:pPr>
      <w:r>
        <w:t xml:space="preserve">protecting the rights of service users </w:t>
      </w:r>
    </w:p>
    <w:p w14:paraId="02D273A2" w14:textId="1D2AC80B" w:rsidR="00D13362" w:rsidRDefault="00D13362" w:rsidP="00D13362">
      <w:pPr>
        <w:pStyle w:val="Bullet1"/>
      </w:pPr>
      <w:r>
        <w:t xml:space="preserve">supporting safe and effective social services delivery </w:t>
      </w:r>
    </w:p>
    <w:p w14:paraId="5EAAC572" w14:textId="46F237CC" w:rsidR="00D13362" w:rsidRDefault="00D13362" w:rsidP="00D13362">
      <w:pPr>
        <w:pStyle w:val="Bullet1"/>
      </w:pPr>
      <w:r>
        <w:t xml:space="preserve">minimising the risk of avoidable harm in service delivery. </w:t>
      </w:r>
    </w:p>
    <w:p w14:paraId="5884D105" w14:textId="3F3CE7B2" w:rsidR="00D13362" w:rsidRPr="00D13362" w:rsidRDefault="00D13362" w:rsidP="001926D8">
      <w:pPr>
        <w:pStyle w:val="Bodyafterbullets"/>
      </w:pPr>
      <w:r>
        <w:t xml:space="preserve">All service providers, including supported residential services (SRS) providers, must </w:t>
      </w:r>
      <w:r w:rsidR="00E23DF3">
        <w:t>meet requirements in</w:t>
      </w:r>
      <w:r>
        <w:t xml:space="preserve"> the Act and the Regulations. SRS providers must also </w:t>
      </w:r>
      <w:r w:rsidR="007D20C1">
        <w:t xml:space="preserve">meet </w:t>
      </w:r>
      <w:r>
        <w:t>specific requirements in the SRS Regulations.</w:t>
      </w:r>
    </w:p>
    <w:p w14:paraId="14890976" w14:textId="77777777" w:rsidR="00E32A4E" w:rsidRDefault="00E32A4E" w:rsidP="00713291">
      <w:pPr>
        <w:pStyle w:val="Heading2"/>
      </w:pPr>
      <w:bookmarkStart w:id="2" w:name="_Toc172548897"/>
      <w:bookmarkStart w:id="3" w:name="_Toc182577615"/>
      <w:r>
        <w:lastRenderedPageBreak/>
        <w:t>Fees, charges, and security deposits</w:t>
      </w:r>
      <w:bookmarkEnd w:id="2"/>
      <w:bookmarkEnd w:id="3"/>
    </w:p>
    <w:p w14:paraId="683CB7D3" w14:textId="73CF3192" w:rsidR="00E32A4E" w:rsidRDefault="00E32A4E" w:rsidP="00E32A4E">
      <w:pPr>
        <w:pStyle w:val="Body"/>
      </w:pPr>
      <w:bookmarkStart w:id="4" w:name="_Hlk41913885"/>
      <w:r>
        <w:t xml:space="preserve">SRS providers </w:t>
      </w:r>
      <w:r w:rsidR="00B55FB8">
        <w:t xml:space="preserve">need </w:t>
      </w:r>
      <w:r>
        <w:t>t</w:t>
      </w:r>
      <w:r w:rsidR="00B55FB8">
        <w:t>o</w:t>
      </w:r>
      <w:r>
        <w:t xml:space="preserve"> comply with the Act when asking residents to pay fees and </w:t>
      </w:r>
      <w:r w:rsidR="1092BAE6">
        <w:t>charges</w:t>
      </w:r>
      <w:r w:rsidR="00B55FB8">
        <w:t>,</w:t>
      </w:r>
      <w:r w:rsidR="1092BAE6">
        <w:t xml:space="preserve"> and</w:t>
      </w:r>
      <w:r>
        <w:t xml:space="preserve"> </w:t>
      </w:r>
      <w:r w:rsidR="0083704A">
        <w:t xml:space="preserve">to make sure </w:t>
      </w:r>
      <w:r>
        <w:t xml:space="preserve">these meet </w:t>
      </w:r>
      <w:r w:rsidR="008E1CC3">
        <w:t>key requirements</w:t>
      </w:r>
      <w:r>
        <w:t xml:space="preserve">. </w:t>
      </w:r>
    </w:p>
    <w:p w14:paraId="0DF40FA9" w14:textId="05AFCEE7" w:rsidR="004A2043" w:rsidRDefault="004A2043" w:rsidP="00713291">
      <w:pPr>
        <w:pStyle w:val="Heading3"/>
      </w:pPr>
      <w:bookmarkStart w:id="5" w:name="_Toc182577616"/>
      <w:r>
        <w:t>Types of fees</w:t>
      </w:r>
      <w:bookmarkEnd w:id="5"/>
    </w:p>
    <w:p w14:paraId="7C65102F" w14:textId="6930BDF3" w:rsidR="00E32A4E" w:rsidRDefault="00253C27" w:rsidP="00E32A4E">
      <w:pPr>
        <w:pStyle w:val="Body"/>
      </w:pPr>
      <w:r>
        <w:t>Y</w:t>
      </w:r>
      <w:r w:rsidR="00894741">
        <w:t>ou can only charge a resident t</w:t>
      </w:r>
      <w:r w:rsidR="00E32A4E">
        <w:t xml:space="preserve">he </w:t>
      </w:r>
      <w:r w:rsidR="00894741">
        <w:t xml:space="preserve">following </w:t>
      </w:r>
      <w:r w:rsidR="00E32A4E">
        <w:t>fees</w:t>
      </w:r>
      <w:r w:rsidR="00894741">
        <w:rPr>
          <w:rStyle w:val="FootnoteReference"/>
        </w:rPr>
        <w:footnoteReference w:id="2"/>
      </w:r>
      <w:r w:rsidR="00E32A4E">
        <w:t>:</w:t>
      </w:r>
    </w:p>
    <w:p w14:paraId="4C2AE8EA" w14:textId="094C3EBF" w:rsidR="00E32A4E" w:rsidRPr="001926D8" w:rsidRDefault="00E32A4E" w:rsidP="001926D8">
      <w:pPr>
        <w:pStyle w:val="Bullet1"/>
      </w:pPr>
      <w:r w:rsidRPr="001E48D2">
        <w:t xml:space="preserve">a </w:t>
      </w:r>
      <w:r w:rsidRPr="001926D8">
        <w:t>security deposit</w:t>
      </w:r>
    </w:p>
    <w:p w14:paraId="25362D01" w14:textId="57CC968F" w:rsidR="00E32A4E" w:rsidRPr="001926D8" w:rsidRDefault="00E32A4E" w:rsidP="001926D8">
      <w:pPr>
        <w:pStyle w:val="Bullet1"/>
      </w:pPr>
      <w:r w:rsidRPr="001926D8">
        <w:t xml:space="preserve">a fee paid in advance </w:t>
      </w:r>
      <w:r w:rsidR="00D86965">
        <w:t>(</w:t>
      </w:r>
      <w:r w:rsidRPr="001926D8">
        <w:t xml:space="preserve">in </w:t>
      </w:r>
      <w:r w:rsidR="00D86965">
        <w:t>line</w:t>
      </w:r>
      <w:r w:rsidR="00D86965" w:rsidRPr="001926D8">
        <w:t xml:space="preserve"> </w:t>
      </w:r>
      <w:r w:rsidRPr="001926D8">
        <w:t>with the Act</w:t>
      </w:r>
      <w:r w:rsidR="00D86965">
        <w:t>)</w:t>
      </w:r>
    </w:p>
    <w:p w14:paraId="2A694A98" w14:textId="77777777" w:rsidR="00E32A4E" w:rsidRPr="001926D8" w:rsidRDefault="00E32A4E" w:rsidP="001926D8">
      <w:pPr>
        <w:pStyle w:val="Bullet1"/>
      </w:pPr>
      <w:r w:rsidRPr="001926D8">
        <w:t>a reservation fee</w:t>
      </w:r>
    </w:p>
    <w:p w14:paraId="245F6AC8" w14:textId="77777777" w:rsidR="00E32A4E" w:rsidRPr="001926D8" w:rsidRDefault="00E32A4E" w:rsidP="001926D8">
      <w:pPr>
        <w:pStyle w:val="Bullet1"/>
      </w:pPr>
      <w:r w:rsidRPr="001926D8">
        <w:t>an establishment fee</w:t>
      </w:r>
    </w:p>
    <w:p w14:paraId="7B905205" w14:textId="77777777" w:rsidR="00E32A4E" w:rsidRPr="001926D8" w:rsidRDefault="00E32A4E" w:rsidP="001926D8">
      <w:pPr>
        <w:pStyle w:val="Bullet1"/>
      </w:pPr>
      <w:r w:rsidRPr="001926D8">
        <w:t>a fee for the resident’s accommodation and personal support</w:t>
      </w:r>
    </w:p>
    <w:p w14:paraId="6AA78213" w14:textId="143E5F77" w:rsidR="00E32A4E" w:rsidRDefault="00E32A4E" w:rsidP="001926D8">
      <w:pPr>
        <w:pStyle w:val="Bullet1"/>
      </w:pPr>
      <w:r w:rsidRPr="001926D8">
        <w:t>an</w:t>
      </w:r>
      <w:r w:rsidRPr="001E48D2">
        <w:t xml:space="preserve"> amount for an item or service purchased at the SRS.</w:t>
      </w:r>
    </w:p>
    <w:p w14:paraId="54D9B27A" w14:textId="77777777" w:rsidR="003D1C8C" w:rsidRDefault="003D1C8C" w:rsidP="00924FDB">
      <w:pPr>
        <w:pStyle w:val="Bullet1"/>
        <w:numPr>
          <w:ilvl w:val="0"/>
          <w:numId w:val="0"/>
        </w:numPr>
      </w:pPr>
    </w:p>
    <w:p w14:paraId="34BD8F2A" w14:textId="40D20A16" w:rsidR="00924FDB" w:rsidRDefault="00A96AB8" w:rsidP="00924FDB">
      <w:pPr>
        <w:pStyle w:val="Bullet1"/>
        <w:numPr>
          <w:ilvl w:val="0"/>
          <w:numId w:val="0"/>
        </w:numPr>
      </w:pPr>
      <w:r>
        <w:t>Specific r</w:t>
      </w:r>
      <w:r w:rsidR="00924FDB">
        <w:t xml:space="preserve">equirements </w:t>
      </w:r>
      <w:r w:rsidR="008D57A6">
        <w:t xml:space="preserve">to manage these types </w:t>
      </w:r>
      <w:r>
        <w:t>of</w:t>
      </w:r>
      <w:r w:rsidR="008D57A6">
        <w:t xml:space="preserve"> fees are outlined in further detail below.</w:t>
      </w:r>
    </w:p>
    <w:p w14:paraId="57C8C98A" w14:textId="7DA277CE" w:rsidR="007D4BA4" w:rsidRDefault="007D4BA4" w:rsidP="00713291">
      <w:pPr>
        <w:pStyle w:val="Heading3"/>
      </w:pPr>
      <w:bookmarkStart w:id="6" w:name="_Toc182577617"/>
      <w:r>
        <w:t>Security deposits</w:t>
      </w:r>
      <w:bookmarkEnd w:id="6"/>
    </w:p>
    <w:bookmarkEnd w:id="4"/>
    <w:p w14:paraId="3D4592DB" w14:textId="111C9810" w:rsidR="00894741" w:rsidRDefault="007D4BA4" w:rsidP="00E32A4E">
      <w:pPr>
        <w:pStyle w:val="Body"/>
      </w:pPr>
      <w:r>
        <w:t>A</w:t>
      </w:r>
      <w:r w:rsidR="00E32A4E" w:rsidRPr="001E48D2">
        <w:t xml:space="preserve"> security deposit </w:t>
      </w:r>
      <w:r w:rsidR="00BA5D6C">
        <w:t>i</w:t>
      </w:r>
      <w:r w:rsidR="00E32A4E">
        <w:t>s</w:t>
      </w:r>
      <w:r w:rsidR="00E32A4E" w:rsidRPr="001E48D2">
        <w:t xml:space="preserve"> </w:t>
      </w:r>
      <w:r w:rsidR="003D1C8C">
        <w:t>the</w:t>
      </w:r>
      <w:r w:rsidR="00E32A4E" w:rsidRPr="001E48D2">
        <w:t xml:space="preserve"> amount of money </w:t>
      </w:r>
      <w:r w:rsidR="00894741">
        <w:t>an SRS resident pays in</w:t>
      </w:r>
      <w:r w:rsidR="00E32A4E" w:rsidRPr="001E48D2">
        <w:t xml:space="preserve"> advance to cover </w:t>
      </w:r>
      <w:r w:rsidR="00256F28">
        <w:t xml:space="preserve">a </w:t>
      </w:r>
      <w:r w:rsidR="00253C27">
        <w:t>provider’s</w:t>
      </w:r>
      <w:r w:rsidR="00253C27" w:rsidRPr="001E48D2">
        <w:t xml:space="preserve"> </w:t>
      </w:r>
      <w:r w:rsidR="00E32A4E" w:rsidRPr="001E48D2">
        <w:t xml:space="preserve">potential losses </w:t>
      </w:r>
      <w:r w:rsidR="00E32A4E">
        <w:t>due to</w:t>
      </w:r>
      <w:r w:rsidR="00253C27">
        <w:t>:</w:t>
      </w:r>
    </w:p>
    <w:p w14:paraId="29FA4AA8" w14:textId="125B8DE1" w:rsidR="00894741" w:rsidRDefault="00E32A4E" w:rsidP="00894741">
      <w:pPr>
        <w:pStyle w:val="Bullet1"/>
      </w:pPr>
      <w:r w:rsidRPr="001E48D2">
        <w:t xml:space="preserve">the resident </w:t>
      </w:r>
      <w:r w:rsidR="00256F28">
        <w:t>(</w:t>
      </w:r>
      <w:r w:rsidRPr="001E48D2">
        <w:t>or resident’s visitor</w:t>
      </w:r>
      <w:r w:rsidR="00256F28">
        <w:t>)</w:t>
      </w:r>
      <w:r w:rsidRPr="001E48D2">
        <w:t xml:space="preserve"> causing damage to the SRS, or </w:t>
      </w:r>
    </w:p>
    <w:p w14:paraId="2DDBA343" w14:textId="311FBF4A" w:rsidR="00E32A4E" w:rsidRPr="001E48D2" w:rsidRDefault="00E32A4E" w:rsidP="00894741">
      <w:pPr>
        <w:pStyle w:val="Bullet1"/>
      </w:pPr>
      <w:r w:rsidRPr="001E48D2">
        <w:t xml:space="preserve">a failure to pay fees. </w:t>
      </w:r>
    </w:p>
    <w:p w14:paraId="5E130A18" w14:textId="42ACBBF9" w:rsidR="00E32A4E" w:rsidRDefault="00E32A4E" w:rsidP="00713291">
      <w:pPr>
        <w:pStyle w:val="Heading4"/>
      </w:pPr>
      <w:bookmarkStart w:id="7" w:name="_Toc172548899"/>
      <w:r w:rsidRPr="008E565D">
        <w:rPr>
          <w:rStyle w:val="Heading3Char"/>
        </w:rPr>
        <w:t xml:space="preserve">What </w:t>
      </w:r>
      <w:r w:rsidR="007D4BA4">
        <w:rPr>
          <w:rStyle w:val="Heading3Char"/>
        </w:rPr>
        <w:t>am I required to do</w:t>
      </w:r>
      <w:r w:rsidRPr="008E565D">
        <w:rPr>
          <w:rStyle w:val="Heading3Char"/>
        </w:rPr>
        <w:t>?</w:t>
      </w:r>
      <w:bookmarkEnd w:id="7"/>
    </w:p>
    <w:p w14:paraId="1B7722DF" w14:textId="77B41240" w:rsidR="00E32A4E" w:rsidRDefault="007D4BA4" w:rsidP="00E32A4E">
      <w:pPr>
        <w:pStyle w:val="Body"/>
      </w:pPr>
      <w:r>
        <w:t>You</w:t>
      </w:r>
      <w:r w:rsidR="00E32A4E">
        <w:t xml:space="preserve"> must not request or accept a security deposit that exceeds one month’s fees</w:t>
      </w:r>
      <w:r w:rsidR="00253C27">
        <w:rPr>
          <w:rStyle w:val="FootnoteReference"/>
        </w:rPr>
        <w:footnoteReference w:id="3"/>
      </w:r>
      <w:r w:rsidR="00E32A4E">
        <w:t>.</w:t>
      </w:r>
    </w:p>
    <w:p w14:paraId="44818AEB" w14:textId="7E111CE2" w:rsidR="00E32A4E" w:rsidRPr="001E48D2" w:rsidRDefault="00E32A4E" w:rsidP="00E32A4E">
      <w:pPr>
        <w:pStyle w:val="Body"/>
      </w:pPr>
      <w:r w:rsidRPr="001E48D2">
        <w:t xml:space="preserve">If a resident or a prospective resident pays a security deposit, </w:t>
      </w:r>
      <w:r w:rsidR="007D4BA4">
        <w:t>you</w:t>
      </w:r>
      <w:r>
        <w:t xml:space="preserve"> </w:t>
      </w:r>
      <w:r w:rsidRPr="001E48D2">
        <w:t>must</w:t>
      </w:r>
      <w:r>
        <w:t xml:space="preserve"> </w:t>
      </w:r>
      <w:r w:rsidRPr="001E48D2">
        <w:t>give</w:t>
      </w:r>
      <w:r w:rsidR="007D4BA4">
        <w:t xml:space="preserve"> them</w:t>
      </w:r>
      <w:r w:rsidRPr="001E48D2">
        <w:t xml:space="preserve"> </w:t>
      </w:r>
      <w:r w:rsidR="00C146A2">
        <w:t>2</w:t>
      </w:r>
      <w:r w:rsidR="00C146A2" w:rsidRPr="001E48D2">
        <w:t xml:space="preserve"> </w:t>
      </w:r>
      <w:r w:rsidRPr="001E48D2">
        <w:t>copies of a condition report</w:t>
      </w:r>
      <w:r w:rsidR="007D4BA4">
        <w:t>. This condition report should</w:t>
      </w:r>
      <w:r w:rsidRPr="001E48D2">
        <w:t xml:space="preserve"> specify the state of repair of:</w:t>
      </w:r>
    </w:p>
    <w:p w14:paraId="38BB4545" w14:textId="77777777" w:rsidR="00E32A4E" w:rsidRPr="001926D8" w:rsidRDefault="00E32A4E" w:rsidP="001926D8">
      <w:pPr>
        <w:pStyle w:val="Bullet1"/>
      </w:pPr>
      <w:r w:rsidRPr="001926D8">
        <w:t>the resident’s room</w:t>
      </w:r>
    </w:p>
    <w:p w14:paraId="035D3120" w14:textId="77777777" w:rsidR="00E32A4E" w:rsidRDefault="00E32A4E" w:rsidP="001926D8">
      <w:pPr>
        <w:pStyle w:val="Bullet1"/>
      </w:pPr>
      <w:r w:rsidRPr="001926D8">
        <w:t>t</w:t>
      </w:r>
      <w:r>
        <w:t>he common areas</w:t>
      </w:r>
    </w:p>
    <w:p w14:paraId="501CF105" w14:textId="1C97104D" w:rsidR="00E32A4E" w:rsidRDefault="00E32A4E" w:rsidP="00E32A4E">
      <w:pPr>
        <w:pStyle w:val="Bullet1"/>
      </w:pPr>
      <w:r>
        <w:t>the furniture in the resident’s room and the common areas</w:t>
      </w:r>
      <w:r w:rsidR="2DF66492">
        <w:t>.</w:t>
      </w:r>
    </w:p>
    <w:p w14:paraId="2D9C0943" w14:textId="6F469FB9" w:rsidR="00E32A4E" w:rsidRDefault="00E32A4E" w:rsidP="00D646C0">
      <w:pPr>
        <w:pStyle w:val="Bodyafterbullets"/>
      </w:pPr>
      <w:r>
        <w:t>The condition report must</w:t>
      </w:r>
      <w:r w:rsidR="00C5052F">
        <w:t xml:space="preserve"> be</w:t>
      </w:r>
      <w:r w:rsidR="00D646C0">
        <w:t>:</w:t>
      </w:r>
    </w:p>
    <w:p w14:paraId="561C267B" w14:textId="522D1670" w:rsidR="00E32A4E" w:rsidRDefault="00E32A4E" w:rsidP="001926D8">
      <w:pPr>
        <w:pStyle w:val="Bullet1"/>
      </w:pPr>
      <w:r>
        <w:t xml:space="preserve">signed by you or on your behalf </w:t>
      </w:r>
    </w:p>
    <w:p w14:paraId="10FD200B" w14:textId="2ED23B2D" w:rsidR="00E32A4E" w:rsidRDefault="00E32A4E" w:rsidP="001926D8">
      <w:pPr>
        <w:pStyle w:val="Bullet1"/>
      </w:pPr>
      <w:r>
        <w:t xml:space="preserve">provided to the resident before they move into the SRS </w:t>
      </w:r>
    </w:p>
    <w:p w14:paraId="59C2F3ED" w14:textId="73618ABB" w:rsidR="00E32A4E" w:rsidRDefault="00C5052F" w:rsidP="001926D8">
      <w:pPr>
        <w:pStyle w:val="Bullet1"/>
      </w:pPr>
      <w:r>
        <w:t xml:space="preserve">signed and </w:t>
      </w:r>
      <w:r w:rsidR="00E32A4E">
        <w:t>returned by the resident</w:t>
      </w:r>
      <w:r>
        <w:t>,</w:t>
      </w:r>
      <w:r w:rsidR="00E32A4E">
        <w:t xml:space="preserve"> endorsing the</w:t>
      </w:r>
      <w:r w:rsidR="00695933">
        <w:t>ir</w:t>
      </w:r>
      <w:r w:rsidR="00E32A4E">
        <w:t xml:space="preserve"> agree</w:t>
      </w:r>
      <w:r w:rsidR="00695933">
        <w:t>ment</w:t>
      </w:r>
      <w:r w:rsidR="00E32A4E">
        <w:t xml:space="preserve"> with the contents of the report or notifying any issues within </w:t>
      </w:r>
      <w:r w:rsidR="00340C90">
        <w:t xml:space="preserve">3 </w:t>
      </w:r>
      <w:r w:rsidR="00E32A4E">
        <w:t xml:space="preserve">days. </w:t>
      </w:r>
    </w:p>
    <w:p w14:paraId="79818294" w14:textId="2ECFEDC0" w:rsidR="00E32A4E" w:rsidRDefault="00E32A4E" w:rsidP="00D646C0">
      <w:pPr>
        <w:pStyle w:val="Bodyafterbullets"/>
      </w:pPr>
      <w:r>
        <w:t xml:space="preserve">The condition report </w:t>
      </w:r>
      <w:r w:rsidRPr="00D646C0">
        <w:t>provides</w:t>
      </w:r>
      <w:r>
        <w:t xml:space="preserve"> </w:t>
      </w:r>
      <w:r w:rsidR="00A423F6">
        <w:t xml:space="preserve">important </w:t>
      </w:r>
      <w:r>
        <w:t>evidence if a dispute arises when the resident leave</w:t>
      </w:r>
      <w:r w:rsidR="00A423F6">
        <w:t>s</w:t>
      </w:r>
      <w:r>
        <w:t>.</w:t>
      </w:r>
    </w:p>
    <w:p w14:paraId="3D59FD22" w14:textId="5605C5E6" w:rsidR="00E32A4E" w:rsidRDefault="00E32A4E" w:rsidP="00713291">
      <w:pPr>
        <w:pStyle w:val="Heading4"/>
      </w:pPr>
      <w:bookmarkStart w:id="8" w:name="_Toc172548900"/>
      <w:r>
        <w:t xml:space="preserve">What happens to the security deposit when </w:t>
      </w:r>
      <w:r w:rsidR="00467A60">
        <w:t xml:space="preserve">a </w:t>
      </w:r>
      <w:r>
        <w:t>resident leaves?</w:t>
      </w:r>
      <w:bookmarkEnd w:id="8"/>
    </w:p>
    <w:p w14:paraId="4050E767" w14:textId="16DC3671" w:rsidR="00E32A4E" w:rsidRPr="001E48D2" w:rsidRDefault="00E32A4E" w:rsidP="00E32A4E">
      <w:pPr>
        <w:pStyle w:val="Body"/>
      </w:pPr>
      <w:r w:rsidRPr="001E48D2">
        <w:t xml:space="preserve">When a resident leaves your SRS, </w:t>
      </w:r>
      <w:r w:rsidR="007D4BA4">
        <w:t xml:space="preserve">you must refund </w:t>
      </w:r>
      <w:r w:rsidRPr="001E48D2">
        <w:t>their security deposit within 14 days of departure, minus any part of the deposit you are entitled to keep.</w:t>
      </w:r>
    </w:p>
    <w:p w14:paraId="7ACA4364" w14:textId="77777777" w:rsidR="00E32A4E" w:rsidRPr="001E48D2" w:rsidRDefault="00E32A4E" w:rsidP="00E32A4E">
      <w:pPr>
        <w:pStyle w:val="Body"/>
      </w:pPr>
      <w:r>
        <w:t>SRS providers</w:t>
      </w:r>
      <w:r w:rsidRPr="001E48D2">
        <w:t xml:space="preserve"> are only entitled to </w:t>
      </w:r>
      <w:r>
        <w:t>keep</w:t>
      </w:r>
      <w:r w:rsidRPr="001E48D2">
        <w:t xml:space="preserve"> some or </w:t>
      </w:r>
      <w:proofErr w:type="gramStart"/>
      <w:r w:rsidRPr="001E48D2">
        <w:t xml:space="preserve">all </w:t>
      </w:r>
      <w:r>
        <w:t>of</w:t>
      </w:r>
      <w:proofErr w:type="gramEnd"/>
      <w:r>
        <w:t xml:space="preserve"> the</w:t>
      </w:r>
      <w:r w:rsidRPr="001E48D2">
        <w:t xml:space="preserve"> security deposit if:</w:t>
      </w:r>
    </w:p>
    <w:p w14:paraId="7AEAEB2D" w14:textId="3685DDD3" w:rsidR="00E32A4E" w:rsidRDefault="00E32A4E" w:rsidP="001926D8">
      <w:pPr>
        <w:pStyle w:val="Bullet1"/>
      </w:pPr>
      <w:r>
        <w:lastRenderedPageBreak/>
        <w:t>a resident has left the SRS and owes fees</w:t>
      </w:r>
    </w:p>
    <w:p w14:paraId="214D27BE" w14:textId="18ABA3D9" w:rsidR="00E32A4E" w:rsidRDefault="00E32A4E" w:rsidP="001926D8">
      <w:pPr>
        <w:pStyle w:val="Bullet1"/>
      </w:pPr>
      <w:r>
        <w:t xml:space="preserve">a resident </w:t>
      </w:r>
      <w:r w:rsidR="00E472B7">
        <w:t>(</w:t>
      </w:r>
      <w:r>
        <w:t>or a resident’s visitor</w:t>
      </w:r>
      <w:r w:rsidR="00E472B7">
        <w:t>)</w:t>
      </w:r>
      <w:r>
        <w:t xml:space="preserve"> has caused damage to the SRS</w:t>
      </w:r>
    </w:p>
    <w:p w14:paraId="27FA6A62" w14:textId="444D6D37" w:rsidR="00E32A4E" w:rsidRDefault="00E32A4E" w:rsidP="001926D8">
      <w:pPr>
        <w:pStyle w:val="Bullet1"/>
      </w:pPr>
      <w:r>
        <w:t xml:space="preserve">a resident </w:t>
      </w:r>
      <w:r w:rsidR="00D65EF1">
        <w:t>(</w:t>
      </w:r>
      <w:r>
        <w:t>or a resident’s visitor</w:t>
      </w:r>
      <w:r w:rsidR="00D65EF1">
        <w:t>)</w:t>
      </w:r>
      <w:r>
        <w:t xml:space="preserve"> has taken goods belonging to the SRS</w:t>
      </w:r>
    </w:p>
    <w:p w14:paraId="1D53BF04" w14:textId="0D5F6AB1" w:rsidR="00E32A4E" w:rsidRDefault="00E32A4E" w:rsidP="001926D8">
      <w:pPr>
        <w:pStyle w:val="Bullet1"/>
      </w:pPr>
      <w:r>
        <w:t xml:space="preserve">the resident consented to other deductions, and only after you have given the resident a statement setting out the </w:t>
      </w:r>
      <w:r w:rsidR="00316511">
        <w:t xml:space="preserve">detail and purpose of the </w:t>
      </w:r>
      <w:r>
        <w:t>deductions and the remaining balance of the security deposit.</w:t>
      </w:r>
    </w:p>
    <w:p w14:paraId="40A09353" w14:textId="4D5916C4" w:rsidR="00E32A4E" w:rsidRDefault="00716AA9" w:rsidP="00713291">
      <w:pPr>
        <w:pStyle w:val="Heading3"/>
      </w:pPr>
      <w:bookmarkStart w:id="9" w:name="_Toc182577618"/>
      <w:r>
        <w:t>R</w:t>
      </w:r>
      <w:r w:rsidR="007D4BA4">
        <w:t>equirement</w:t>
      </w:r>
      <w:r w:rsidR="00E32A4E">
        <w:t xml:space="preserve">s </w:t>
      </w:r>
      <w:r>
        <w:t xml:space="preserve">when </w:t>
      </w:r>
      <w:r w:rsidR="00E32A4E">
        <w:t>charging fees</w:t>
      </w:r>
      <w:bookmarkEnd w:id="9"/>
    </w:p>
    <w:p w14:paraId="0F582296" w14:textId="70E18355" w:rsidR="00EF0747" w:rsidRDefault="00EF0747" w:rsidP="00EF0747">
      <w:pPr>
        <w:pStyle w:val="Tablecaption"/>
      </w:pPr>
      <w:bookmarkStart w:id="10" w:name="_Ref164783755"/>
      <w:r>
        <w:t xml:space="preserve">Table </w:t>
      </w:r>
      <w:r>
        <w:fldChar w:fldCharType="begin"/>
      </w:r>
      <w:r>
        <w:instrText xml:space="preserve"> SEQ Table \* ARABIC </w:instrText>
      </w:r>
      <w:r>
        <w:fldChar w:fldCharType="separate"/>
      </w:r>
      <w:r w:rsidR="00E841D7">
        <w:rPr>
          <w:noProof/>
        </w:rPr>
        <w:t>1</w:t>
      </w:r>
      <w:r>
        <w:rPr>
          <w:noProof/>
        </w:rPr>
        <w:fldChar w:fldCharType="end"/>
      </w:r>
      <w:bookmarkEnd w:id="10"/>
      <w:r>
        <w:t xml:space="preserve">: </w:t>
      </w:r>
      <w:r w:rsidR="00C847E8">
        <w:t xml:space="preserve">Meeting </w:t>
      </w:r>
      <w:r w:rsidR="00EC35E0">
        <w:t xml:space="preserve">fee </w:t>
      </w:r>
      <w:r w:rsidR="00C847E8">
        <w:t>requirements for reservation</w:t>
      </w:r>
      <w:r w:rsidR="00C75C38">
        <w:t>, establishment and advance</w:t>
      </w:r>
      <w:r w:rsidR="00191A1F">
        <w:t xml:space="preserve"> payment</w:t>
      </w:r>
    </w:p>
    <w:tbl>
      <w:tblPr>
        <w:tblStyle w:val="Purpletable"/>
        <w:tblW w:w="4995" w:type="pct"/>
        <w:tblInd w:w="5" w:type="dxa"/>
        <w:tblLook w:val="06A0" w:firstRow="1" w:lastRow="0" w:firstColumn="1" w:lastColumn="0" w:noHBand="1" w:noVBand="1"/>
      </w:tblPr>
      <w:tblGrid>
        <w:gridCol w:w="1980"/>
        <w:gridCol w:w="2693"/>
        <w:gridCol w:w="5521"/>
      </w:tblGrid>
      <w:tr w:rsidR="00EF0747" w:rsidRPr="00143BCA" w14:paraId="0DB499CA" w14:textId="77777777" w:rsidTr="541D5AD2">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971" w:type="pct"/>
          </w:tcPr>
          <w:p w14:paraId="43339C0D" w14:textId="0CCB074A" w:rsidR="00EF0747" w:rsidRPr="00143BCA" w:rsidRDefault="00EF0747" w:rsidP="006A53FA">
            <w:pPr>
              <w:pStyle w:val="Tablecolhead"/>
              <w:rPr>
                <w:lang w:val="en-AU"/>
              </w:rPr>
            </w:pPr>
            <w:r>
              <w:rPr>
                <w:lang w:val="en-AU"/>
              </w:rPr>
              <w:t>Type</w:t>
            </w:r>
          </w:p>
        </w:tc>
        <w:tc>
          <w:tcPr>
            <w:tcW w:w="1321" w:type="pct"/>
          </w:tcPr>
          <w:p w14:paraId="2DF6641C" w14:textId="5CE7D0B4" w:rsidR="00EF0747" w:rsidRPr="00143BCA" w:rsidRDefault="00EF0747" w:rsidP="006A53FA">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Description</w:t>
            </w:r>
          </w:p>
        </w:tc>
        <w:tc>
          <w:tcPr>
            <w:tcW w:w="2708" w:type="pct"/>
          </w:tcPr>
          <w:p w14:paraId="606B414A" w14:textId="66E4EDB3" w:rsidR="00EF0747" w:rsidRPr="00143BCA" w:rsidRDefault="00EF0747" w:rsidP="006A53FA">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Your requirements</w:t>
            </w:r>
          </w:p>
        </w:tc>
      </w:tr>
      <w:tr w:rsidR="00EF0747" w:rsidRPr="00143BCA" w14:paraId="0C88E425" w14:textId="77777777" w:rsidTr="541D5AD2">
        <w:tc>
          <w:tcPr>
            <w:cnfStyle w:val="001000000000" w:firstRow="0" w:lastRow="0" w:firstColumn="1" w:lastColumn="0" w:oddVBand="0" w:evenVBand="0" w:oddHBand="0" w:evenHBand="0" w:firstRowFirstColumn="0" w:firstRowLastColumn="0" w:lastRowFirstColumn="0" w:lastRowLastColumn="0"/>
            <w:tcW w:w="971" w:type="pct"/>
          </w:tcPr>
          <w:p w14:paraId="647C8F0E" w14:textId="057A834F" w:rsidR="00EF0747" w:rsidRPr="00EF0747" w:rsidRDefault="00EF0747" w:rsidP="00EF0747">
            <w:pPr>
              <w:pStyle w:val="Tabletext"/>
              <w:rPr>
                <w:b/>
                <w:bCs/>
                <w:lang w:val="en-AU"/>
              </w:rPr>
            </w:pPr>
            <w:r w:rsidRPr="00EF0747">
              <w:rPr>
                <w:b/>
                <w:bCs/>
              </w:rPr>
              <w:t>Reservation fee</w:t>
            </w:r>
          </w:p>
        </w:tc>
        <w:tc>
          <w:tcPr>
            <w:tcW w:w="1321" w:type="pct"/>
          </w:tcPr>
          <w:p w14:paraId="19890087" w14:textId="3F290F74" w:rsidR="00EF0747" w:rsidRPr="00143BCA" w:rsidRDefault="00EF0747" w:rsidP="006A53FA">
            <w:pPr>
              <w:pStyle w:val="Tabletext"/>
              <w:cnfStyle w:val="000000000000" w:firstRow="0" w:lastRow="0" w:firstColumn="0" w:lastColumn="0" w:oddVBand="0" w:evenVBand="0" w:oddHBand="0" w:evenHBand="0" w:firstRowFirstColumn="0" w:firstRowLastColumn="0" w:lastRowFirstColumn="0" w:lastRowLastColumn="0"/>
              <w:rPr>
                <w:lang w:val="en-AU"/>
              </w:rPr>
            </w:pPr>
            <w:r>
              <w:t>A</w:t>
            </w:r>
            <w:r w:rsidRPr="004A220E">
              <w:t xml:space="preserve"> fee to reserve a place at the SRS</w:t>
            </w:r>
          </w:p>
        </w:tc>
        <w:tc>
          <w:tcPr>
            <w:tcW w:w="2708" w:type="pct"/>
          </w:tcPr>
          <w:p w14:paraId="43097DDB" w14:textId="4DEA8302" w:rsidR="00B52D96" w:rsidRPr="00253C27" w:rsidRDefault="00B52D96" w:rsidP="00B52D96">
            <w:pPr>
              <w:pStyle w:val="Tablebullet1"/>
              <w:cnfStyle w:val="000000000000" w:firstRow="0" w:lastRow="0" w:firstColumn="0" w:lastColumn="0" w:oddVBand="0" w:evenVBand="0" w:oddHBand="0" w:evenHBand="0" w:firstRowFirstColumn="0" w:firstRowLastColumn="0" w:lastRowFirstColumn="0" w:lastRowLastColumn="0"/>
            </w:pPr>
            <w:r w:rsidRPr="00253C27">
              <w:t>You must not accept or request a reservation that exceeds two weeks fees</w:t>
            </w:r>
            <w:r>
              <w:rPr>
                <w:rStyle w:val="FootnoteReference"/>
              </w:rPr>
              <w:footnoteReference w:id="4"/>
            </w:r>
            <w:r w:rsidRPr="00253C27">
              <w:t>.</w:t>
            </w:r>
          </w:p>
          <w:p w14:paraId="5E2E1EA9" w14:textId="77777777" w:rsidR="00B52D96" w:rsidRPr="00253C27" w:rsidRDefault="00B52D96" w:rsidP="00B52D96">
            <w:pPr>
              <w:pStyle w:val="Tablebullet1"/>
              <w:cnfStyle w:val="000000000000" w:firstRow="0" w:lastRow="0" w:firstColumn="0" w:lastColumn="0" w:oddVBand="0" w:evenVBand="0" w:oddHBand="0" w:evenHBand="0" w:firstRowFirstColumn="0" w:firstRowLastColumn="0" w:lastRowFirstColumn="0" w:lastRowLastColumn="0"/>
            </w:pPr>
            <w:r w:rsidRPr="00253C27">
              <w:t>You must provide written information to a prospective resident or a person acting on their behalf, stating how you will use the reservation fee and the circumstances in which the fee, or part of the fee, may be forfeited.</w:t>
            </w:r>
          </w:p>
          <w:p w14:paraId="2A5B2D03" w14:textId="77777777" w:rsidR="00B52D96" w:rsidRPr="00253C27" w:rsidRDefault="00B52D96" w:rsidP="00B52D96">
            <w:pPr>
              <w:pStyle w:val="Tablebullet1"/>
              <w:cnfStyle w:val="000000000000" w:firstRow="0" w:lastRow="0" w:firstColumn="0" w:lastColumn="0" w:oddVBand="0" w:evenVBand="0" w:oddHBand="0" w:evenHBand="0" w:firstRowFirstColumn="0" w:firstRowLastColumn="0" w:lastRowFirstColumn="0" w:lastRowLastColumn="0"/>
            </w:pPr>
            <w:r w:rsidRPr="00253C27">
              <w:t>When a resident who has paid a reservation fee first moves into your SRS, you must deduct that reservation fee from the fees under the residential and services agreement.</w:t>
            </w:r>
          </w:p>
          <w:p w14:paraId="37E5F8DC" w14:textId="06DA89FC" w:rsidR="00EF0747" w:rsidRPr="00143BCA" w:rsidRDefault="00B52D96" w:rsidP="00B52D9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53C27">
              <w:t>If a prospective resident does not move into your SRS, you must refund the reservation fee in accordance with the terms and conditions you specified in the information for prospective residents.</w:t>
            </w:r>
          </w:p>
        </w:tc>
      </w:tr>
      <w:tr w:rsidR="00EF0747" w:rsidRPr="00143BCA" w14:paraId="62EF42F6" w14:textId="77777777" w:rsidTr="541D5AD2">
        <w:tc>
          <w:tcPr>
            <w:cnfStyle w:val="001000000000" w:firstRow="0" w:lastRow="0" w:firstColumn="1" w:lastColumn="0" w:oddVBand="0" w:evenVBand="0" w:oddHBand="0" w:evenHBand="0" w:firstRowFirstColumn="0" w:firstRowLastColumn="0" w:lastRowFirstColumn="0" w:lastRowLastColumn="0"/>
            <w:tcW w:w="971" w:type="pct"/>
          </w:tcPr>
          <w:p w14:paraId="7AA51935" w14:textId="109444E7" w:rsidR="00EF0747" w:rsidRPr="00EF0747" w:rsidRDefault="00EF0747" w:rsidP="00EF0747">
            <w:pPr>
              <w:pStyle w:val="Tabletext"/>
              <w:rPr>
                <w:b/>
                <w:bCs/>
                <w:lang w:val="en-AU"/>
              </w:rPr>
            </w:pPr>
            <w:r w:rsidRPr="00EF0747">
              <w:rPr>
                <w:b/>
                <w:bCs/>
              </w:rPr>
              <w:t>Establishment fee</w:t>
            </w:r>
          </w:p>
        </w:tc>
        <w:tc>
          <w:tcPr>
            <w:tcW w:w="1321" w:type="pct"/>
          </w:tcPr>
          <w:p w14:paraId="4A48E5EB" w14:textId="77777777" w:rsidR="00765E94" w:rsidRDefault="00EF0747" w:rsidP="00765E94">
            <w:pPr>
              <w:pStyle w:val="Tabletext"/>
              <w:cnfStyle w:val="000000000000" w:firstRow="0" w:lastRow="0" w:firstColumn="0" w:lastColumn="0" w:oddVBand="0" w:evenVBand="0" w:oddHBand="0" w:evenHBand="0" w:firstRowFirstColumn="0" w:firstRowLastColumn="0" w:lastRowFirstColumn="0" w:lastRowLastColumn="0"/>
            </w:pPr>
            <w:r>
              <w:t>A</w:t>
            </w:r>
            <w:r w:rsidRPr="004A220E">
              <w:t xml:space="preserve"> fee to cover</w:t>
            </w:r>
            <w:r w:rsidR="00765E94">
              <w:t xml:space="preserve"> </w:t>
            </w:r>
            <w:r w:rsidRPr="004A220E">
              <w:t>the costs of</w:t>
            </w:r>
            <w:r w:rsidR="00765E94">
              <w:t>:</w:t>
            </w:r>
          </w:p>
          <w:p w14:paraId="2601EB6B" w14:textId="77777777" w:rsidR="00765E94" w:rsidRDefault="00EF0747" w:rsidP="00765E94">
            <w:pPr>
              <w:pStyle w:val="Bullet1"/>
              <w:cnfStyle w:val="000000000000" w:firstRow="0" w:lastRow="0" w:firstColumn="0" w:lastColumn="0" w:oddVBand="0" w:evenVBand="0" w:oddHBand="0" w:evenHBand="0" w:firstRowFirstColumn="0" w:firstRowLastColumn="0" w:lastRowFirstColumn="0" w:lastRowLastColumn="0"/>
            </w:pPr>
            <w:r w:rsidRPr="004A220E">
              <w:t xml:space="preserve">assessing a resident’s needs and </w:t>
            </w:r>
          </w:p>
          <w:p w14:paraId="2AC5082E" w14:textId="06026C50" w:rsidR="00EF0747" w:rsidRPr="00765E94" w:rsidRDefault="00EF0747" w:rsidP="00765E94">
            <w:pPr>
              <w:pStyle w:val="Bullet1"/>
              <w:cnfStyle w:val="000000000000" w:firstRow="0" w:lastRow="0" w:firstColumn="0" w:lastColumn="0" w:oddVBand="0" w:evenVBand="0" w:oddHBand="0" w:evenHBand="0" w:firstRowFirstColumn="0" w:firstRowLastColumn="0" w:lastRowFirstColumn="0" w:lastRowLastColumn="0"/>
            </w:pPr>
            <w:r w:rsidRPr="004A220E">
              <w:t>preparing a support plan when they first move into the SRS</w:t>
            </w:r>
          </w:p>
        </w:tc>
        <w:tc>
          <w:tcPr>
            <w:tcW w:w="2708" w:type="pct"/>
          </w:tcPr>
          <w:p w14:paraId="30C6DB9D" w14:textId="2AA25C1A" w:rsidR="004A1FA3" w:rsidRPr="00253C27" w:rsidRDefault="004A1FA3" w:rsidP="004A1FA3">
            <w:pPr>
              <w:pStyle w:val="Bullet1"/>
              <w:cnfStyle w:val="000000000000" w:firstRow="0" w:lastRow="0" w:firstColumn="0" w:lastColumn="0" w:oddVBand="0" w:evenVBand="0" w:oddHBand="0" w:evenHBand="0" w:firstRowFirstColumn="0" w:firstRowLastColumn="0" w:lastRowFirstColumn="0" w:lastRowLastColumn="0"/>
            </w:pPr>
            <w:r w:rsidRPr="00253C27">
              <w:t>You must not request or accept an establishment fee that exceeds two weeks fees</w:t>
            </w:r>
            <w:r w:rsidR="00C77791">
              <w:rPr>
                <w:rStyle w:val="FootnoteReference"/>
              </w:rPr>
              <w:footnoteReference w:id="5"/>
            </w:r>
            <w:r w:rsidRPr="00253C27">
              <w:t>.</w:t>
            </w:r>
          </w:p>
          <w:p w14:paraId="63D7A559" w14:textId="57E3F2A5" w:rsidR="00EF0747" w:rsidRPr="00143BCA" w:rsidRDefault="004A1FA3" w:rsidP="004A1FA3">
            <w:pPr>
              <w:pStyle w:val="Bullet1"/>
              <w:cnfStyle w:val="000000000000" w:firstRow="0" w:lastRow="0" w:firstColumn="0" w:lastColumn="0" w:oddVBand="0" w:evenVBand="0" w:oddHBand="0" w:evenHBand="0" w:firstRowFirstColumn="0" w:firstRowLastColumn="0" w:lastRowFirstColumn="0" w:lastRowLastColumn="0"/>
              <w:rPr>
                <w:lang w:val="en-AU"/>
              </w:rPr>
            </w:pPr>
            <w:r w:rsidRPr="00253C27">
              <w:t>Where a prospective resident pays an establishment fee but does not move in, you must refund the fee in accordance with the terms and conditions you specified in the information for prospective residents.</w:t>
            </w:r>
          </w:p>
        </w:tc>
      </w:tr>
      <w:tr w:rsidR="00EF0747" w:rsidRPr="00143BCA" w14:paraId="24C2831D" w14:textId="77777777" w:rsidTr="541D5AD2">
        <w:tc>
          <w:tcPr>
            <w:cnfStyle w:val="001000000000" w:firstRow="0" w:lastRow="0" w:firstColumn="1" w:lastColumn="0" w:oddVBand="0" w:evenVBand="0" w:oddHBand="0" w:evenHBand="0" w:firstRowFirstColumn="0" w:firstRowLastColumn="0" w:lastRowFirstColumn="0" w:lastRowLastColumn="0"/>
            <w:tcW w:w="971" w:type="pct"/>
          </w:tcPr>
          <w:p w14:paraId="0FE8CC55" w14:textId="4BBBBF02" w:rsidR="00EF0747" w:rsidRPr="00EF0747" w:rsidRDefault="00EF0747" w:rsidP="00EF0747">
            <w:pPr>
              <w:pStyle w:val="Tabletext"/>
              <w:rPr>
                <w:b/>
                <w:bCs/>
                <w:lang w:val="en-AU"/>
              </w:rPr>
            </w:pPr>
            <w:r w:rsidRPr="00EF0747">
              <w:rPr>
                <w:b/>
                <w:bCs/>
              </w:rPr>
              <w:t>Fees paid in advance</w:t>
            </w:r>
          </w:p>
        </w:tc>
        <w:tc>
          <w:tcPr>
            <w:tcW w:w="1321" w:type="pct"/>
          </w:tcPr>
          <w:p w14:paraId="70F3A11B" w14:textId="37492E95" w:rsidR="00EF0747" w:rsidRPr="00143BCA" w:rsidRDefault="00765E94" w:rsidP="006A53FA">
            <w:pPr>
              <w:pStyle w:val="Tabletext"/>
              <w:cnfStyle w:val="000000000000" w:firstRow="0" w:lastRow="0" w:firstColumn="0" w:lastColumn="0" w:oddVBand="0" w:evenVBand="0" w:oddHBand="0" w:evenHBand="0" w:firstRowFirstColumn="0" w:firstRowLastColumn="0" w:lastRowFirstColumn="0" w:lastRowLastColumn="0"/>
              <w:rPr>
                <w:lang w:val="en-AU"/>
              </w:rPr>
            </w:pPr>
            <w:r>
              <w:t xml:space="preserve">The Regulator interprets </w:t>
            </w:r>
            <w:r w:rsidR="00B52D96">
              <w:t>this</w:t>
            </w:r>
            <w:r>
              <w:t xml:space="preserve"> to mean fees paid or requested </w:t>
            </w:r>
            <w:r w:rsidR="00F37762">
              <w:t xml:space="preserve">for </w:t>
            </w:r>
            <w:r w:rsidR="55382363">
              <w:t>a period</w:t>
            </w:r>
            <w:r>
              <w:t xml:space="preserve"> beyond the current billing period</w:t>
            </w:r>
          </w:p>
        </w:tc>
        <w:tc>
          <w:tcPr>
            <w:tcW w:w="2708" w:type="pct"/>
          </w:tcPr>
          <w:p w14:paraId="6D5477F1" w14:textId="1A0421D3" w:rsidR="00C77791" w:rsidRPr="00253C27" w:rsidRDefault="00C77791" w:rsidP="00C77791">
            <w:pPr>
              <w:pStyle w:val="Tablebullet1"/>
              <w:cnfStyle w:val="000000000000" w:firstRow="0" w:lastRow="0" w:firstColumn="0" w:lastColumn="0" w:oddVBand="0" w:evenVBand="0" w:oddHBand="0" w:evenHBand="0" w:firstRowFirstColumn="0" w:firstRowLastColumn="0" w:lastRowFirstColumn="0" w:lastRowLastColumn="0"/>
            </w:pPr>
            <w:r w:rsidRPr="00253C27">
              <w:t>You cannot request more than one month’s fees paid in advance</w:t>
            </w:r>
            <w:r>
              <w:rPr>
                <w:rStyle w:val="FootnoteReference"/>
              </w:rPr>
              <w:footnoteReference w:id="6"/>
            </w:r>
            <w:r w:rsidRPr="00253C27">
              <w:t>.</w:t>
            </w:r>
          </w:p>
          <w:p w14:paraId="5C8A5874" w14:textId="77777777" w:rsidR="00C77791" w:rsidRPr="00253C27" w:rsidRDefault="00C77791" w:rsidP="00C77791">
            <w:pPr>
              <w:pStyle w:val="Tablebullet1"/>
              <w:cnfStyle w:val="000000000000" w:firstRow="0" w:lastRow="0" w:firstColumn="0" w:lastColumn="0" w:oddVBand="0" w:evenVBand="0" w:oddHBand="0" w:evenHBand="0" w:firstRowFirstColumn="0" w:firstRowLastColumn="0" w:lastRowFirstColumn="0" w:lastRowLastColumn="0"/>
            </w:pPr>
            <w:r w:rsidRPr="00253C27">
              <w:t>You do not need to place fees paid for the current billing period (which may be up to one month) in a trust account.</w:t>
            </w:r>
          </w:p>
          <w:p w14:paraId="4D788CE8" w14:textId="5D5C5EC8" w:rsidR="00EF0747" w:rsidRPr="00143BCA" w:rsidRDefault="00C77791" w:rsidP="00C77791">
            <w:pPr>
              <w:pStyle w:val="Tablebullet1"/>
              <w:cnfStyle w:val="000000000000" w:firstRow="0" w:lastRow="0" w:firstColumn="0" w:lastColumn="0" w:oddVBand="0" w:evenVBand="0" w:oddHBand="0" w:evenHBand="0" w:firstRowFirstColumn="0" w:firstRowLastColumn="0" w:lastRowFirstColumn="0" w:lastRowLastColumn="0"/>
              <w:rPr>
                <w:lang w:val="en-AU"/>
              </w:rPr>
            </w:pPr>
            <w:r w:rsidRPr="00253C27">
              <w:t>You must place fees paid for a period beyond the current billing period in a trust account and give a receipt containing the prescribed information to the resident (and their financial administrator).</w:t>
            </w:r>
          </w:p>
        </w:tc>
      </w:tr>
    </w:tbl>
    <w:p w14:paraId="2C0F57F8" w14:textId="77777777" w:rsidR="00EF0747" w:rsidRPr="00EF0747" w:rsidRDefault="00EF0747" w:rsidP="00EF0747">
      <w:pPr>
        <w:pStyle w:val="Body"/>
      </w:pPr>
    </w:p>
    <w:p w14:paraId="34F94FF6" w14:textId="166C484B" w:rsidR="00EF6101" w:rsidRDefault="00EF6101" w:rsidP="00713291">
      <w:pPr>
        <w:pStyle w:val="Heading3"/>
      </w:pPr>
      <w:bookmarkStart w:id="11" w:name="_Toc182577619"/>
      <w:bookmarkStart w:id="12" w:name="_Toc172548902"/>
      <w:r>
        <w:lastRenderedPageBreak/>
        <w:t>Requirements when refunding fees</w:t>
      </w:r>
      <w:bookmarkEnd w:id="11"/>
    </w:p>
    <w:p w14:paraId="47B864EE" w14:textId="6662C5F6" w:rsidR="00EF6101" w:rsidRDefault="00EF6101" w:rsidP="00EF6101">
      <w:pPr>
        <w:pStyle w:val="Body"/>
      </w:pPr>
      <w:r>
        <w:t xml:space="preserve">You must return to </w:t>
      </w:r>
      <w:r w:rsidR="008730A3">
        <w:t xml:space="preserve">a </w:t>
      </w:r>
      <w:r>
        <w:t>resident any part of a security deposit, fees in advance, or other fee that you are not entitled to retain</w:t>
      </w:r>
      <w:r w:rsidR="003E1DA8">
        <w:t>,</w:t>
      </w:r>
      <w:r>
        <w:t xml:space="preserve"> within 14 days of the resident leaving the SRS. </w:t>
      </w:r>
    </w:p>
    <w:p w14:paraId="0804E20B" w14:textId="77777777" w:rsidR="00EF6101" w:rsidRPr="00F518AE" w:rsidRDefault="00EF6101" w:rsidP="00EF6101">
      <w:pPr>
        <w:pStyle w:val="Heading3"/>
      </w:pPr>
      <w:r>
        <w:t>When can a resident apply</w:t>
      </w:r>
      <w:r w:rsidRPr="00F518AE">
        <w:t xml:space="preserve"> to </w:t>
      </w:r>
      <w:r>
        <w:t>VCAT</w:t>
      </w:r>
      <w:r w:rsidRPr="00F518AE">
        <w:t xml:space="preserve"> for a refund of fees</w:t>
      </w:r>
      <w:r>
        <w:t>?</w:t>
      </w:r>
      <w:r w:rsidRPr="00F518AE">
        <w:t xml:space="preserve"> </w:t>
      </w:r>
    </w:p>
    <w:p w14:paraId="3E6082D5" w14:textId="258B2075" w:rsidR="00EF6101" w:rsidRDefault="00EF6101" w:rsidP="00EF6101">
      <w:pPr>
        <w:pStyle w:val="Body"/>
      </w:pPr>
      <w:r>
        <w:t xml:space="preserve">If a </w:t>
      </w:r>
      <w:r w:rsidRPr="001E48D2">
        <w:t>security</w:t>
      </w:r>
      <w:r>
        <w:t xml:space="preserve"> deposit, fees in advance, establishment fee or reservation fee is not refunded to the resident, the resident </w:t>
      </w:r>
      <w:r w:rsidR="003E1DA8">
        <w:t>(</w:t>
      </w:r>
      <w:r>
        <w:t>or their representative</w:t>
      </w:r>
      <w:r w:rsidR="003E1DA8">
        <w:t>)</w:t>
      </w:r>
      <w:r>
        <w:t xml:space="preserve"> may apply to VCAT for an order directing those fees to be refunded.</w:t>
      </w:r>
    </w:p>
    <w:p w14:paraId="1788001F" w14:textId="077ACB72" w:rsidR="00EF6101" w:rsidRDefault="00EF6101" w:rsidP="00EF6101">
      <w:pPr>
        <w:pStyle w:val="Body"/>
      </w:pPr>
      <w:r>
        <w:t>VCAT will assess the application and take one of the following actions:</w:t>
      </w:r>
    </w:p>
    <w:p w14:paraId="57795776" w14:textId="77777777" w:rsidR="00EF6101" w:rsidRPr="001926D8" w:rsidRDefault="00EF6101" w:rsidP="00EF6101">
      <w:pPr>
        <w:pStyle w:val="Bullet1"/>
      </w:pPr>
      <w:r w:rsidRPr="001926D8">
        <w:t>make an order allowing you to keep all the money, an amount specified, or an amount to which you are entitled</w:t>
      </w:r>
    </w:p>
    <w:p w14:paraId="651D3E87" w14:textId="77777777" w:rsidR="00EF6101" w:rsidRPr="001926D8" w:rsidRDefault="00EF6101" w:rsidP="00EF6101">
      <w:pPr>
        <w:pStyle w:val="Bullet1"/>
      </w:pPr>
      <w:r w:rsidRPr="001926D8">
        <w:t>make an order that you must refund the money</w:t>
      </w:r>
    </w:p>
    <w:p w14:paraId="0354D020" w14:textId="2DF4BA21" w:rsidR="00EF6101" w:rsidRPr="00EF6101" w:rsidRDefault="00EF6101" w:rsidP="00164327">
      <w:pPr>
        <w:pStyle w:val="Bullet1"/>
      </w:pPr>
      <w:r w:rsidRPr="001926D8">
        <w:t>dismiss</w:t>
      </w:r>
      <w:r>
        <w:t xml:space="preserve"> the </w:t>
      </w:r>
      <w:r w:rsidRPr="001E48D2">
        <w:t>application</w:t>
      </w:r>
      <w:r>
        <w:t>.</w:t>
      </w:r>
    </w:p>
    <w:p w14:paraId="4D54363E" w14:textId="20DF6383" w:rsidR="00E32A4E" w:rsidRDefault="007D4BA4" w:rsidP="00713291">
      <w:pPr>
        <w:pStyle w:val="Heading3"/>
      </w:pPr>
      <w:bookmarkStart w:id="13" w:name="_Toc182577620"/>
      <w:r>
        <w:t>Other charges</w:t>
      </w:r>
      <w:bookmarkEnd w:id="13"/>
    </w:p>
    <w:p w14:paraId="7FCC704C" w14:textId="77777777" w:rsidR="007C24C7" w:rsidRDefault="007D4BA4" w:rsidP="007D4BA4">
      <w:pPr>
        <w:pStyle w:val="Body"/>
      </w:pPr>
      <w:r>
        <w:t xml:space="preserve">Charges for items or services purchased at the SRS </w:t>
      </w:r>
      <w:r w:rsidRPr="004A220E">
        <w:t xml:space="preserve">are </w:t>
      </w:r>
      <w:r w:rsidR="00BD25CB">
        <w:t xml:space="preserve">known as </w:t>
      </w:r>
      <w:r w:rsidRPr="004A220E">
        <w:t>day-to-day expenses</w:t>
      </w:r>
      <w:r w:rsidR="00BD25CB">
        <w:t xml:space="preserve">. </w:t>
      </w:r>
    </w:p>
    <w:p w14:paraId="43962914" w14:textId="11C4C738" w:rsidR="004A50F1" w:rsidRDefault="00BD25CB" w:rsidP="007D4BA4">
      <w:pPr>
        <w:pStyle w:val="Body"/>
      </w:pPr>
      <w:r>
        <w:t>These are</w:t>
      </w:r>
      <w:r w:rsidR="007D4BA4" w:rsidRPr="004A220E">
        <w:t xml:space="preserve"> not included in accommodation and personal support fees</w:t>
      </w:r>
      <w:r>
        <w:t xml:space="preserve"> and </w:t>
      </w:r>
      <w:r w:rsidR="007D4BA4" w:rsidRPr="004A220E">
        <w:t>might include</w:t>
      </w:r>
      <w:r w:rsidR="004A50F1">
        <w:t>:</w:t>
      </w:r>
      <w:r w:rsidR="007D4BA4" w:rsidRPr="004A220E">
        <w:t xml:space="preserve"> </w:t>
      </w:r>
    </w:p>
    <w:p w14:paraId="0E54E169" w14:textId="77777777" w:rsidR="004A50F1" w:rsidRDefault="007D4BA4" w:rsidP="004A50F1">
      <w:pPr>
        <w:pStyle w:val="Body"/>
        <w:numPr>
          <w:ilvl w:val="0"/>
          <w:numId w:val="54"/>
        </w:numPr>
      </w:pPr>
      <w:r w:rsidRPr="004A220E">
        <w:t xml:space="preserve">services that come to the SRS, </w:t>
      </w:r>
    </w:p>
    <w:p w14:paraId="42812AE3" w14:textId="77777777" w:rsidR="004A50F1" w:rsidRDefault="007D4BA4" w:rsidP="004A50F1">
      <w:pPr>
        <w:pStyle w:val="Body"/>
        <w:numPr>
          <w:ilvl w:val="0"/>
          <w:numId w:val="54"/>
        </w:numPr>
      </w:pPr>
      <w:r w:rsidRPr="004A220E">
        <w:t xml:space="preserve">excursions outside the SRS, or </w:t>
      </w:r>
    </w:p>
    <w:p w14:paraId="6D21166D" w14:textId="22B2DAD0" w:rsidR="007D4BA4" w:rsidRDefault="007D4BA4" w:rsidP="00164327">
      <w:pPr>
        <w:pStyle w:val="Body"/>
        <w:numPr>
          <w:ilvl w:val="0"/>
          <w:numId w:val="54"/>
        </w:numPr>
      </w:pPr>
      <w:r w:rsidRPr="004A220E">
        <w:t>incidental items such as non-essential toiletries (such as perfume or aftershave).</w:t>
      </w:r>
    </w:p>
    <w:p w14:paraId="32B1D685" w14:textId="500BE34C" w:rsidR="00E32A4E" w:rsidRDefault="007D4BA4" w:rsidP="007D4BA4">
      <w:pPr>
        <w:pStyle w:val="Body"/>
        <w:rPr>
          <w:b/>
          <w:color w:val="201547"/>
          <w:sz w:val="32"/>
          <w:szCs w:val="28"/>
        </w:rPr>
      </w:pPr>
      <w:r>
        <w:t>You must individually itemise and explain these charges to the resident.</w:t>
      </w:r>
      <w:r w:rsidR="00253C27">
        <w:t xml:space="preserve"> </w:t>
      </w:r>
    </w:p>
    <w:p w14:paraId="6B7F78AA" w14:textId="77777777" w:rsidR="00E32A4E" w:rsidRDefault="00E32A4E" w:rsidP="00713291">
      <w:pPr>
        <w:pStyle w:val="Heading2"/>
      </w:pPr>
      <w:bookmarkStart w:id="14" w:name="_Toc182577621"/>
      <w:r>
        <w:t>Trust accounts</w:t>
      </w:r>
      <w:bookmarkEnd w:id="12"/>
      <w:bookmarkEnd w:id="14"/>
    </w:p>
    <w:p w14:paraId="1445157C" w14:textId="0230A39F" w:rsidR="00E32A4E" w:rsidRDefault="007D1A12" w:rsidP="00E32A4E">
      <w:pPr>
        <w:pStyle w:val="Body"/>
      </w:pPr>
      <w:r>
        <w:t xml:space="preserve">You must </w:t>
      </w:r>
      <w:r w:rsidR="00E32A4E">
        <w:t>establish a trust account for your SRS to deposit certain fees charged to residents.</w:t>
      </w:r>
    </w:p>
    <w:p w14:paraId="3955F61C" w14:textId="77777777" w:rsidR="00E32A4E" w:rsidRDefault="00E32A4E" w:rsidP="00E32A4E">
      <w:pPr>
        <w:pStyle w:val="Body"/>
      </w:pPr>
      <w:r>
        <w:t>SRS providers must:</w:t>
      </w:r>
    </w:p>
    <w:p w14:paraId="31CF75A0" w14:textId="77777777" w:rsidR="00E32A4E" w:rsidRPr="001926D8" w:rsidRDefault="00E32A4E" w:rsidP="001926D8">
      <w:pPr>
        <w:pStyle w:val="Bullet1"/>
      </w:pPr>
      <w:r w:rsidRPr="001E48D2">
        <w:t xml:space="preserve">deposit all security </w:t>
      </w:r>
      <w:r w:rsidRPr="001926D8">
        <w:t>deposits, establishment fees and reservation fees into your trust account</w:t>
      </w:r>
    </w:p>
    <w:p w14:paraId="7EE052B6" w14:textId="77777777" w:rsidR="00E32A4E" w:rsidRPr="001926D8" w:rsidRDefault="00E32A4E" w:rsidP="001926D8">
      <w:pPr>
        <w:pStyle w:val="Bullet1"/>
      </w:pPr>
      <w:r w:rsidRPr="001926D8">
        <w:t xml:space="preserve">record transactions relating to each resident individually </w:t>
      </w:r>
    </w:p>
    <w:p w14:paraId="7ED21D47" w14:textId="77777777" w:rsidR="00E32A4E" w:rsidRPr="001926D8" w:rsidRDefault="00E32A4E" w:rsidP="001926D8">
      <w:pPr>
        <w:pStyle w:val="Bullet1"/>
      </w:pPr>
      <w:r w:rsidRPr="001926D8">
        <w:t>maintain separate records for each resident</w:t>
      </w:r>
    </w:p>
    <w:p w14:paraId="5DBA3516" w14:textId="1F01B553" w:rsidR="00E32A4E" w:rsidRPr="001E48D2" w:rsidRDefault="00134734" w:rsidP="001926D8">
      <w:pPr>
        <w:pStyle w:val="Bullet1"/>
      </w:pPr>
      <w:r>
        <w:t xml:space="preserve">place fees in a trust account </w:t>
      </w:r>
      <w:r w:rsidR="00E32A4E" w:rsidRPr="001926D8">
        <w:t>where a resident has requested</w:t>
      </w:r>
      <w:r w:rsidR="00E32A4E" w:rsidRPr="001E48D2">
        <w:t>, in writing, to pay fees in advance for a period beyond the current billing period.</w:t>
      </w:r>
    </w:p>
    <w:p w14:paraId="6BD2CE46" w14:textId="556DD1C8" w:rsidR="00E32A4E" w:rsidRPr="001E48D2" w:rsidRDefault="00134734" w:rsidP="00E32A4E">
      <w:pPr>
        <w:pStyle w:val="Body"/>
      </w:pPr>
      <w:r>
        <w:rPr>
          <w:noProof/>
        </w:rPr>
        <mc:AlternateContent>
          <mc:Choice Requires="wps">
            <w:drawing>
              <wp:anchor distT="45720" distB="45720" distL="114300" distR="114300" simplePos="0" relativeHeight="251658241" behindDoc="0" locked="0" layoutInCell="1" allowOverlap="1" wp14:anchorId="3715F7FB" wp14:editId="25D86289">
                <wp:simplePos x="0" y="0"/>
                <wp:positionH relativeFrom="margin">
                  <wp:align>right</wp:align>
                </wp:positionH>
                <wp:positionV relativeFrom="paragraph">
                  <wp:posOffset>638810</wp:posOffset>
                </wp:positionV>
                <wp:extent cx="6440170" cy="78930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789305"/>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A2A3C3D" w14:textId="42C674A5" w:rsidR="00E32A4E" w:rsidRPr="007F7E57" w:rsidRDefault="00E32A4E" w:rsidP="00E32A4E">
                            <w:pPr>
                              <w:rPr>
                                <w:sz w:val="28"/>
                                <w:szCs w:val="28"/>
                              </w:rPr>
                            </w:pPr>
                            <w:r w:rsidRPr="007F7E57">
                              <w:rPr>
                                <w:sz w:val="28"/>
                                <w:szCs w:val="28"/>
                              </w:rPr>
                              <w:t>When establishing a trust fund to hold security deposits, establishment fees and reservation fees</w:t>
                            </w:r>
                            <w:r w:rsidR="00927433" w:rsidRPr="00164327">
                              <w:rPr>
                                <w:sz w:val="28"/>
                                <w:szCs w:val="28"/>
                              </w:rPr>
                              <w:t>,</w:t>
                            </w:r>
                            <w:r w:rsidRPr="00164327">
                              <w:rPr>
                                <w:sz w:val="28"/>
                                <w:szCs w:val="28"/>
                              </w:rPr>
                              <w:t xml:space="preserve"> th</w:t>
                            </w:r>
                            <w:r w:rsidRPr="007F7E57">
                              <w:rPr>
                                <w:sz w:val="28"/>
                                <w:szCs w:val="28"/>
                              </w:rPr>
                              <w:t>e account should be in your name as ‘trustee for the residents of (insert name of your SRS)’.</w:t>
                            </w:r>
                          </w:p>
                          <w:p w14:paraId="70EEC3B8" w14:textId="6780FB01" w:rsidR="00E32A4E" w:rsidRDefault="00E32A4E" w:rsidP="00E32A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5F7FB" id="_x0000_t202" coordsize="21600,21600" o:spt="202" path="m,l,21600r21600,l21600,xe">
                <v:stroke joinstyle="miter"/>
                <v:path gradientshapeok="t" o:connecttype="rect"/>
              </v:shapetype>
              <v:shape id="Text Box 2" o:spid="_x0000_s1026" type="#_x0000_t202" style="position:absolute;margin-left:455.9pt;margin-top:50.3pt;width:507.1pt;height:62.1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" fillcolor="#dbe5f1 [660]" strokecolor="black [3200]" strokeweight="2pt">
                <v:textbox>
                  <w:txbxContent>
                    <w:p w14:paraId="5A2A3C3D" w14:textId="42C674A5" w:rsidR="00E32A4E" w:rsidRPr="007F7E57" w:rsidRDefault="00E32A4E" w:rsidP="00E32A4E">
                      <w:pPr>
                        <w:rPr>
                          <w:sz w:val="28"/>
                          <w:szCs w:val="28"/>
                        </w:rPr>
                      </w:pPr>
                      <w:r w:rsidRPr="007F7E57">
                        <w:rPr>
                          <w:sz w:val="28"/>
                          <w:szCs w:val="28"/>
                        </w:rPr>
                        <w:t>When establishing a trust fund to hold security deposits, establishment fees and reservation fees</w:t>
                      </w:r>
                      <w:r w:rsidR="00927433" w:rsidRPr="00164327">
                        <w:rPr>
                          <w:sz w:val="28"/>
                          <w:szCs w:val="28"/>
                        </w:rPr>
                        <w:t>,</w:t>
                      </w:r>
                      <w:r w:rsidRPr="00164327">
                        <w:rPr>
                          <w:sz w:val="28"/>
                          <w:szCs w:val="28"/>
                        </w:rPr>
                        <w:t xml:space="preserve"> th</w:t>
                      </w:r>
                      <w:r w:rsidRPr="007F7E57">
                        <w:rPr>
                          <w:sz w:val="28"/>
                          <w:szCs w:val="28"/>
                        </w:rPr>
                        <w:t>e account should be in your name as ‘trustee for the residents of (insert name of your SRS)’.</w:t>
                      </w:r>
                    </w:p>
                    <w:p w14:paraId="70EEC3B8" w14:textId="6780FB01" w:rsidR="00E32A4E" w:rsidRDefault="00E32A4E" w:rsidP="00E32A4E"/>
                  </w:txbxContent>
                </v:textbox>
                <w10:wrap type="square" anchorx="margin"/>
              </v:shape>
            </w:pict>
          </mc:Fallback>
        </mc:AlternateContent>
      </w:r>
      <w:r w:rsidR="00E32A4E">
        <w:t>SRS providers must</w:t>
      </w:r>
      <w:r w:rsidR="00E32A4E" w:rsidRPr="001E48D2">
        <w:t xml:space="preserve"> not withdraw any amount from the trust account</w:t>
      </w:r>
      <w:r>
        <w:t>,</w:t>
      </w:r>
      <w:r w:rsidR="00E32A4E" w:rsidRPr="001E48D2">
        <w:t xml:space="preserve"> unless it </w:t>
      </w:r>
      <w:r w:rsidR="00E32A4E">
        <w:t xml:space="preserve">is </w:t>
      </w:r>
      <w:r w:rsidR="00E32A4E" w:rsidRPr="001E48D2">
        <w:t>to return it to the resident</w:t>
      </w:r>
      <w:r>
        <w:t xml:space="preserve"> (</w:t>
      </w:r>
      <w:r w:rsidR="00E32A4E" w:rsidRPr="001E48D2">
        <w:t>or the person who made the payment on behalf of the resident</w:t>
      </w:r>
      <w:r>
        <w:t>)</w:t>
      </w:r>
      <w:r w:rsidR="00E32A4E" w:rsidRPr="001E48D2">
        <w:t>, or if you are entitled to retain it.</w:t>
      </w:r>
    </w:p>
    <w:p w14:paraId="6FAF3084" w14:textId="1A1CF4E6" w:rsidR="001D244A" w:rsidRPr="001D244A" w:rsidRDefault="001D244A" w:rsidP="001D244A">
      <w:pPr>
        <w:spacing w:after="0" w:line="240" w:lineRule="auto"/>
        <w:rPr>
          <w:rFonts w:eastAsia="Times"/>
        </w:rPr>
      </w:pPr>
      <w:bookmarkStart w:id="15" w:name="_Toc172548903"/>
      <w:r>
        <w:br w:type="page"/>
      </w:r>
    </w:p>
    <w:p w14:paraId="114055F5" w14:textId="52FF6DA1" w:rsidR="00E32A4E" w:rsidRDefault="00E32A4E" w:rsidP="00713291">
      <w:pPr>
        <w:pStyle w:val="Heading3"/>
      </w:pPr>
      <w:bookmarkStart w:id="16" w:name="_Toc182577622"/>
      <w:r>
        <w:lastRenderedPageBreak/>
        <w:t>Keeping records of trust deposits</w:t>
      </w:r>
      <w:bookmarkEnd w:id="15"/>
      <w:bookmarkEnd w:id="16"/>
    </w:p>
    <w:p w14:paraId="6C2E5BA9" w14:textId="193FB81D" w:rsidR="00E32A4E" w:rsidRDefault="007D4BA4" w:rsidP="00E32A4E">
      <w:pPr>
        <w:pStyle w:val="Body"/>
      </w:pPr>
      <w:r>
        <w:t xml:space="preserve">You must maintain </w:t>
      </w:r>
      <w:r w:rsidR="00E32A4E">
        <w:t>a</w:t>
      </w:r>
      <w:r w:rsidR="00E32A4E" w:rsidRPr="001E48D2">
        <w:t xml:space="preserve"> separate record of money held in a trust account</w:t>
      </w:r>
      <w:r w:rsidR="00E32A4E">
        <w:t xml:space="preserve"> </w:t>
      </w:r>
      <w:r>
        <w:t>for each resident</w:t>
      </w:r>
      <w:r w:rsidR="00E32A4E">
        <w:t>.</w:t>
      </w:r>
    </w:p>
    <w:p w14:paraId="497F636C" w14:textId="77777777" w:rsidR="00E32A4E" w:rsidRDefault="00E32A4E" w:rsidP="00E32A4E">
      <w:pPr>
        <w:pStyle w:val="Body"/>
        <w:rPr>
          <w:b/>
          <w:bCs/>
        </w:rPr>
      </w:pPr>
      <w:r w:rsidRPr="00E54A1A">
        <w:rPr>
          <w:b/>
          <w:bCs/>
        </w:rPr>
        <w:t>The record must contain:</w:t>
      </w:r>
    </w:p>
    <w:p w14:paraId="173833C7" w14:textId="0124B5FA" w:rsidR="00E32A4E" w:rsidRDefault="00E32A4E" w:rsidP="001926D8">
      <w:pPr>
        <w:pStyle w:val="Bullet1"/>
      </w:pPr>
      <w:r>
        <w:t>the name of the resident and the name of the person from whom the money is received</w:t>
      </w:r>
    </w:p>
    <w:p w14:paraId="62271C80" w14:textId="7A3FA5ED" w:rsidR="00E32A4E" w:rsidRDefault="00E32A4E" w:rsidP="001926D8">
      <w:pPr>
        <w:pStyle w:val="Bullet1"/>
      </w:pPr>
      <w:r>
        <w:t>the name of the SRS</w:t>
      </w:r>
    </w:p>
    <w:p w14:paraId="117D5815" w14:textId="3F76869F" w:rsidR="00E32A4E" w:rsidRDefault="00E32A4E" w:rsidP="001926D8">
      <w:pPr>
        <w:pStyle w:val="Bullet1"/>
      </w:pPr>
      <w:r>
        <w:t>the date of payment</w:t>
      </w:r>
    </w:p>
    <w:p w14:paraId="10A8E198" w14:textId="37FF762B" w:rsidR="00E32A4E" w:rsidRDefault="00E32A4E" w:rsidP="001926D8">
      <w:pPr>
        <w:pStyle w:val="Bullet1"/>
      </w:pPr>
      <w:r>
        <w:t>the amount paid</w:t>
      </w:r>
    </w:p>
    <w:p w14:paraId="39E32E08" w14:textId="6B8C932C" w:rsidR="00E32A4E" w:rsidRDefault="00E32A4E" w:rsidP="001926D8">
      <w:pPr>
        <w:pStyle w:val="Bullet1"/>
      </w:pPr>
      <w:r>
        <w:t>the purpose of the payment</w:t>
      </w:r>
    </w:p>
    <w:p w14:paraId="5B69AA05" w14:textId="3F21B7C6" w:rsidR="00E32A4E" w:rsidRDefault="00E32A4E" w:rsidP="001926D8">
      <w:pPr>
        <w:pStyle w:val="Bullet1"/>
      </w:pPr>
      <w:r>
        <w:t>any terms and conditions for refunding the money</w:t>
      </w:r>
    </w:p>
    <w:p w14:paraId="3A1B33D7" w14:textId="174DB656" w:rsidR="00E32A4E" w:rsidRDefault="00E32A4E" w:rsidP="001926D8">
      <w:pPr>
        <w:pStyle w:val="Bullet1"/>
      </w:pPr>
      <w:r>
        <w:t xml:space="preserve">the name, account number, branch and </w:t>
      </w:r>
      <w:r w:rsidR="00164327">
        <w:t>financial institution</w:t>
      </w:r>
      <w:r w:rsidR="00164327">
        <w:rPr>
          <w:rStyle w:val="FootnoteReference"/>
        </w:rPr>
        <w:footnoteReference w:id="7"/>
      </w:r>
      <w:r w:rsidR="00164327">
        <w:t xml:space="preserve"> </w:t>
      </w:r>
      <w:r>
        <w:t>where the money has or will be deposited.</w:t>
      </w:r>
    </w:p>
    <w:p w14:paraId="428991CB" w14:textId="78F89B87" w:rsidR="00E32A4E" w:rsidRDefault="00E32A4E" w:rsidP="00713291">
      <w:pPr>
        <w:pStyle w:val="Heading2"/>
      </w:pPr>
      <w:bookmarkStart w:id="17" w:name="_Toc172548904"/>
      <w:bookmarkStart w:id="18" w:name="_Toc182577623"/>
      <w:r>
        <w:t>What written information</w:t>
      </w:r>
      <w:r w:rsidR="00DB2619">
        <w:t xml:space="preserve"> is necessary</w:t>
      </w:r>
      <w:r>
        <w:t>?</w:t>
      </w:r>
      <w:bookmarkEnd w:id="17"/>
      <w:bookmarkEnd w:id="18"/>
    </w:p>
    <w:p w14:paraId="32AAE9D2" w14:textId="4E5C5EA3" w:rsidR="00E32A4E" w:rsidRDefault="002A5C80" w:rsidP="00E32A4E">
      <w:pPr>
        <w:pStyle w:val="Body"/>
      </w:pPr>
      <w:r>
        <w:t>You must provide</w:t>
      </w:r>
      <w:r w:rsidR="00E32A4E">
        <w:t xml:space="preserve"> </w:t>
      </w:r>
      <w:r w:rsidR="00E32A4E" w:rsidRPr="00AF475F">
        <w:t xml:space="preserve">prospective residents and each resident </w:t>
      </w:r>
      <w:r w:rsidR="00E32A4E">
        <w:t>with</w:t>
      </w:r>
      <w:r w:rsidR="00E32A4E" w:rsidRPr="00AF475F">
        <w:t xml:space="preserve"> written information on </w:t>
      </w:r>
      <w:r w:rsidR="00E32A4E" w:rsidRPr="00164327">
        <w:rPr>
          <w:b/>
          <w:bCs/>
        </w:rPr>
        <w:t>all fees, charges, and security deposits</w:t>
      </w:r>
      <w:r w:rsidR="00E32A4E" w:rsidRPr="00AF475F">
        <w:t xml:space="preserve"> in their residential and services agreement</w:t>
      </w:r>
      <w:r w:rsidR="00E32A4E">
        <w:t xml:space="preserve">. </w:t>
      </w:r>
    </w:p>
    <w:p w14:paraId="61D8E54B" w14:textId="77777777" w:rsidR="00E32A4E" w:rsidRDefault="00E32A4E" w:rsidP="00E32A4E">
      <w:pPr>
        <w:pStyle w:val="Body"/>
      </w:pPr>
      <w:r>
        <w:t>The written information must include:</w:t>
      </w:r>
    </w:p>
    <w:p w14:paraId="747D7671" w14:textId="5F5C03F4" w:rsidR="00E32A4E" w:rsidRDefault="00E32A4E" w:rsidP="001926D8">
      <w:pPr>
        <w:pStyle w:val="Bullet1"/>
      </w:pPr>
      <w:r>
        <w:t>how often fees, charges or other amounts are payable</w:t>
      </w:r>
    </w:p>
    <w:p w14:paraId="0C35C863" w14:textId="5EA861CF" w:rsidR="00E32A4E" w:rsidRDefault="00E32A4E" w:rsidP="001926D8">
      <w:pPr>
        <w:pStyle w:val="Bullet1"/>
      </w:pPr>
      <w:r>
        <w:t>how to pay the fees</w:t>
      </w:r>
    </w:p>
    <w:p w14:paraId="065530D8" w14:textId="7E879630" w:rsidR="00E32A4E" w:rsidRDefault="00E32A4E" w:rsidP="001926D8">
      <w:pPr>
        <w:pStyle w:val="Bullet1"/>
      </w:pPr>
      <w:r>
        <w:t>how you will inform residents of any changes to items or services, and any changes to fees</w:t>
      </w:r>
    </w:p>
    <w:p w14:paraId="0D3F8EC3" w14:textId="4D6CB2E5" w:rsidR="00E32A4E" w:rsidRDefault="00E32A4E" w:rsidP="001926D8">
      <w:pPr>
        <w:pStyle w:val="Bullet1"/>
      </w:pPr>
      <w:r>
        <w:t>terms and conditions for refunding security deposits, establishment fees and reservation fees</w:t>
      </w:r>
    </w:p>
    <w:p w14:paraId="5A547C78" w14:textId="63BDF322" w:rsidR="00E32A4E" w:rsidRDefault="00E32A4E" w:rsidP="001926D8">
      <w:pPr>
        <w:pStyle w:val="Bullet1"/>
      </w:pPr>
      <w:r>
        <w:t>a statement that a resident can apply to VCAT if the proprietor does not refund a security deposit, establishment fee or a reservation fee</w:t>
      </w:r>
    </w:p>
    <w:p w14:paraId="4FF3A8A7" w14:textId="1CE4E53F" w:rsidR="00E32A4E" w:rsidRDefault="372ED507" w:rsidP="001926D8">
      <w:pPr>
        <w:pStyle w:val="Bullet1"/>
      </w:pPr>
      <w:r>
        <w:t>t</w:t>
      </w:r>
      <w:r w:rsidR="00E32A4E">
        <w:t>he services and items that will be provided to the resident for those fees.</w:t>
      </w:r>
    </w:p>
    <w:p w14:paraId="408E79E3" w14:textId="77777777" w:rsidR="00E32A4E" w:rsidRDefault="00E32A4E" w:rsidP="00713291">
      <w:pPr>
        <w:pStyle w:val="Heading3"/>
      </w:pPr>
      <w:bookmarkStart w:id="19" w:name="_Toc172548905"/>
      <w:bookmarkStart w:id="20" w:name="_Toc182577624"/>
      <w:r>
        <w:t>Written receipts for fees</w:t>
      </w:r>
      <w:bookmarkEnd w:id="19"/>
      <w:bookmarkEnd w:id="20"/>
    </w:p>
    <w:p w14:paraId="34E6C09C" w14:textId="0AE1EA47" w:rsidR="00E32A4E" w:rsidRPr="001E48D2" w:rsidRDefault="00E32A4E" w:rsidP="00E32A4E">
      <w:pPr>
        <w:pStyle w:val="Body"/>
      </w:pPr>
      <w:r>
        <w:t xml:space="preserve">SRS providers must provide a written receipt to the resident (and </w:t>
      </w:r>
      <w:r w:rsidR="004745C7">
        <w:t xml:space="preserve">if there is a </w:t>
      </w:r>
      <w:r>
        <w:t>person nominated or financial administrator</w:t>
      </w:r>
      <w:r w:rsidRPr="001E48D2">
        <w:t xml:space="preserve">) within </w:t>
      </w:r>
      <w:r w:rsidR="0033780D">
        <w:t>7</w:t>
      </w:r>
      <w:r w:rsidR="0033780D" w:rsidRPr="001E48D2">
        <w:t xml:space="preserve"> </w:t>
      </w:r>
      <w:r w:rsidRPr="001E48D2">
        <w:t>days of receiving payment of a security deposit, a fee paid in advance, an establishment fee, or a reservation fee held in trust.</w:t>
      </w:r>
    </w:p>
    <w:p w14:paraId="1377F93D" w14:textId="77777777" w:rsidR="00E32A4E" w:rsidRDefault="00E32A4E" w:rsidP="00713291">
      <w:pPr>
        <w:pStyle w:val="Heading4"/>
      </w:pPr>
      <w:r w:rsidRPr="001815E2">
        <w:t>The written receipt must include:</w:t>
      </w:r>
    </w:p>
    <w:p w14:paraId="3043DE30" w14:textId="220D1F27" w:rsidR="00E32A4E" w:rsidRDefault="00E32A4E" w:rsidP="001926D8">
      <w:pPr>
        <w:pStyle w:val="Bullet1"/>
      </w:pPr>
      <w:r>
        <w:t>the name of the resident and the name of the person from whom the money is received</w:t>
      </w:r>
    </w:p>
    <w:p w14:paraId="36AFB64C" w14:textId="409A2BC2" w:rsidR="00E32A4E" w:rsidRDefault="00E32A4E" w:rsidP="001926D8">
      <w:pPr>
        <w:pStyle w:val="Bullet1"/>
      </w:pPr>
      <w:r>
        <w:t>the name of the SRS</w:t>
      </w:r>
    </w:p>
    <w:p w14:paraId="0DF159CE" w14:textId="5134FEF6" w:rsidR="00E32A4E" w:rsidRDefault="00E32A4E" w:rsidP="001926D8">
      <w:pPr>
        <w:pStyle w:val="Bullet1"/>
      </w:pPr>
      <w:r>
        <w:t>the date of payment</w:t>
      </w:r>
    </w:p>
    <w:p w14:paraId="7F0EDF4A" w14:textId="4186AAE4" w:rsidR="00E32A4E" w:rsidRDefault="00E32A4E" w:rsidP="001926D8">
      <w:pPr>
        <w:pStyle w:val="Bullet1"/>
      </w:pPr>
      <w:r>
        <w:t>the amount paid</w:t>
      </w:r>
    </w:p>
    <w:p w14:paraId="78992792" w14:textId="2AD3D700" w:rsidR="00E32A4E" w:rsidRDefault="00E32A4E" w:rsidP="001926D8">
      <w:pPr>
        <w:pStyle w:val="Bullet1"/>
      </w:pPr>
      <w:r>
        <w:t>the purpose of the payment</w:t>
      </w:r>
    </w:p>
    <w:p w14:paraId="268FF876" w14:textId="444B02BA" w:rsidR="00E32A4E" w:rsidRDefault="00E32A4E" w:rsidP="001926D8">
      <w:pPr>
        <w:pStyle w:val="Bullet1"/>
      </w:pPr>
      <w:r>
        <w:t>any terms and conditions for refunding the money</w:t>
      </w:r>
    </w:p>
    <w:p w14:paraId="4B03359A" w14:textId="5270F130" w:rsidR="00E32A4E" w:rsidRDefault="00E32A4E" w:rsidP="001926D8">
      <w:pPr>
        <w:pStyle w:val="Bullet1"/>
      </w:pPr>
      <w:r>
        <w:t>the name, account number,</w:t>
      </w:r>
      <w:r w:rsidR="007F7E57" w:rsidRPr="007F7E57">
        <w:t xml:space="preserve"> </w:t>
      </w:r>
      <w:r w:rsidR="007F7E57">
        <w:t>and financial institution</w:t>
      </w:r>
      <w:r w:rsidR="007F7E57">
        <w:rPr>
          <w:rStyle w:val="FootnoteReference"/>
        </w:rPr>
        <w:footnoteReference w:id="8"/>
      </w:r>
      <w:r>
        <w:t>, and branch at which the money is deposited the printed name and signature of the proprietor.</w:t>
      </w:r>
    </w:p>
    <w:p w14:paraId="45489290" w14:textId="77777777" w:rsidR="00E32A4E" w:rsidRDefault="00E32A4E" w:rsidP="00713291">
      <w:pPr>
        <w:pStyle w:val="Heading2"/>
      </w:pPr>
      <w:bookmarkStart w:id="21" w:name="_Toc171596668"/>
      <w:bookmarkStart w:id="22" w:name="_Toc172548907"/>
      <w:bookmarkStart w:id="23" w:name="_Toc182577625"/>
      <w:r>
        <w:lastRenderedPageBreak/>
        <w:t>What is the role of the Regulator?</w:t>
      </w:r>
      <w:bookmarkEnd w:id="21"/>
      <w:bookmarkEnd w:id="22"/>
      <w:bookmarkEnd w:id="23"/>
    </w:p>
    <w:p w14:paraId="0C2B8112" w14:textId="24CB40E5" w:rsidR="00E32A4E" w:rsidRDefault="00BA5D6C" w:rsidP="00E32A4E">
      <w:pPr>
        <w:pStyle w:val="Body"/>
      </w:pPr>
      <w:r>
        <w:rPr>
          <w:szCs w:val="21"/>
        </w:rPr>
        <w:t>We are</w:t>
      </w:r>
      <w:r w:rsidR="00E32A4E">
        <w:rPr>
          <w:szCs w:val="21"/>
        </w:rPr>
        <w:t xml:space="preserve"> committed to our duty to protect service users and will not hesitate to act to protect service users from harm, abuse, and neglect. This includes taking enforcement action.</w:t>
      </w:r>
    </w:p>
    <w:p w14:paraId="267EE77C" w14:textId="30DCD443" w:rsidR="00E32A4E" w:rsidRPr="00E865FA" w:rsidRDefault="00860822" w:rsidP="007F7E57">
      <w:pPr>
        <w:pStyle w:val="Body"/>
        <w:rPr>
          <w:i/>
          <w:iCs/>
        </w:rPr>
      </w:pPr>
      <w:r>
        <w:t xml:space="preserve">You can be penalised if you don’t meet </w:t>
      </w:r>
      <w:r w:rsidR="00006462">
        <w:t>your</w:t>
      </w:r>
      <w:r w:rsidR="00E32A4E">
        <w:t xml:space="preserve"> obligations in the Act and regulations</w:t>
      </w:r>
      <w:r w:rsidR="008275E0">
        <w:t>.</w:t>
      </w:r>
      <w:r w:rsidR="007F7E57">
        <w:t xml:space="preserve"> </w:t>
      </w:r>
      <w:r w:rsidR="006F6C80">
        <w:t>This includes if you don’t adequately manage fees and charges.</w:t>
      </w:r>
      <w:r w:rsidR="00E32A4E">
        <w:t xml:space="preserve"> </w:t>
      </w:r>
      <w:r w:rsidR="008275E0">
        <w:t>P</w:t>
      </w:r>
      <w:r w:rsidR="00E32A4E">
        <w:t>enalties can include fines and prosecution.</w:t>
      </w:r>
      <w:r w:rsidR="00225DE3">
        <w:t xml:space="preserve"> </w:t>
      </w:r>
      <w:r w:rsidR="00E32A4E">
        <w:rPr>
          <w:i/>
          <w:iCs/>
        </w:rPr>
        <w:t xml:space="preserve"> </w:t>
      </w:r>
    </w:p>
    <w:p w14:paraId="6D83547D" w14:textId="77777777" w:rsidR="00E32A4E" w:rsidRDefault="00E32A4E" w:rsidP="00713291">
      <w:pPr>
        <w:pStyle w:val="Heading2"/>
      </w:pPr>
      <w:bookmarkStart w:id="24" w:name="_Ref165033081"/>
      <w:bookmarkStart w:id="25" w:name="_Toc171692152"/>
      <w:bookmarkStart w:id="26" w:name="_Toc172548908"/>
      <w:bookmarkStart w:id="27" w:name="_Toc182577626"/>
      <w:r>
        <w:t>Useful resources and contacts</w:t>
      </w:r>
      <w:bookmarkEnd w:id="24"/>
      <w:bookmarkEnd w:id="25"/>
      <w:bookmarkEnd w:id="26"/>
      <w:bookmarkEnd w:id="27"/>
    </w:p>
    <w:p w14:paraId="624D3472" w14:textId="77777777" w:rsidR="00E32A4E" w:rsidRDefault="00E32A4E" w:rsidP="00713291">
      <w:pPr>
        <w:pStyle w:val="Heading3"/>
      </w:pPr>
      <w:bookmarkStart w:id="28" w:name="_Toc171692153"/>
      <w:bookmarkStart w:id="29" w:name="_Toc172548909"/>
      <w:bookmarkStart w:id="30" w:name="_Toc182577627"/>
      <w:r>
        <w:t>Resources</w:t>
      </w:r>
      <w:bookmarkEnd w:id="28"/>
      <w:bookmarkEnd w:id="29"/>
      <w:bookmarkEnd w:id="30"/>
    </w:p>
    <w:p w14:paraId="2105B7D7" w14:textId="66068550" w:rsidR="007D4BA4" w:rsidRPr="007D4BA4" w:rsidRDefault="007D4BA4" w:rsidP="007D4BA4">
      <w:pPr>
        <w:pStyle w:val="Body"/>
        <w:rPr>
          <w:szCs w:val="21"/>
        </w:rPr>
      </w:pPr>
      <w:r>
        <w:rPr>
          <w:szCs w:val="21"/>
        </w:rPr>
        <w:t>You can find further information on the Regulator’s website about:</w:t>
      </w:r>
    </w:p>
    <w:p w14:paraId="3B962FD7" w14:textId="7E5C82A4" w:rsidR="00EB40E5" w:rsidRDefault="00FC170C" w:rsidP="007D4BA4">
      <w:pPr>
        <w:pStyle w:val="Bullet1"/>
        <w:numPr>
          <w:ilvl w:val="0"/>
          <w:numId w:val="52"/>
        </w:numPr>
        <w:rPr>
          <w:rStyle w:val="Hyperlink"/>
          <w:color w:val="auto"/>
          <w:u w:val="none"/>
        </w:rPr>
      </w:pPr>
      <w:r>
        <w:t>Meeting</w:t>
      </w:r>
      <w:r w:rsidR="007D4BA4">
        <w:t xml:space="preserve"> the </w:t>
      </w:r>
      <w:hyperlink r:id="rId21" w:history="1">
        <w:r w:rsidR="007D4BA4" w:rsidRPr="003772F5">
          <w:rPr>
            <w:rStyle w:val="Hyperlink"/>
          </w:rPr>
          <w:t>Social Services Standards</w:t>
        </w:r>
      </w:hyperlink>
      <w:r w:rsidR="007D4BA4">
        <w:t xml:space="preserve">, including </w:t>
      </w:r>
      <w:hyperlink r:id="rId22" w:history="1">
        <w:r w:rsidR="007D4BA4" w:rsidRPr="0020667C">
          <w:rPr>
            <w:rStyle w:val="Hyperlink"/>
          </w:rPr>
          <w:t>Standard 6</w:t>
        </w:r>
      </w:hyperlink>
      <w:r w:rsidR="00EB40E5">
        <w:t>:</w:t>
      </w:r>
      <w:r w:rsidR="007D4BA4">
        <w:t xml:space="preserve"> </w:t>
      </w:r>
      <w:r w:rsidR="007D4BA4">
        <w:rPr>
          <w:rStyle w:val="Hyperlink"/>
          <w:color w:val="auto"/>
          <w:u w:val="none"/>
        </w:rPr>
        <w:t xml:space="preserve"> </w:t>
      </w:r>
    </w:p>
    <w:p w14:paraId="60F8FD0E" w14:textId="77777777" w:rsidR="00FC170C" w:rsidRDefault="00FC170C" w:rsidP="00EB40E5">
      <w:pPr>
        <w:pStyle w:val="Bullet1"/>
        <w:numPr>
          <w:ilvl w:val="0"/>
          <w:numId w:val="0"/>
        </w:numPr>
        <w:ind w:left="397"/>
        <w:rPr>
          <w:rStyle w:val="Hyperlink"/>
          <w:color w:val="auto"/>
          <w:u w:val="none"/>
        </w:rPr>
      </w:pPr>
    </w:p>
    <w:p w14:paraId="1B18AF4D" w14:textId="17332210" w:rsidR="00E32A4E" w:rsidRDefault="00E32A4E" w:rsidP="001926D8">
      <w:pPr>
        <w:pStyle w:val="Bullet1"/>
        <w:numPr>
          <w:ilvl w:val="0"/>
          <w:numId w:val="52"/>
        </w:numPr>
      </w:pPr>
      <w:r>
        <w:rPr>
          <w:lang w:eastAsia="en-AU"/>
        </w:rPr>
        <w:t xml:space="preserve">Information on </w:t>
      </w:r>
      <w:hyperlink r:id="rId23" w:history="1">
        <w:r w:rsidRPr="0020667C">
          <w:rPr>
            <w:rStyle w:val="Hyperlink"/>
            <w:lang w:eastAsia="en-AU"/>
          </w:rPr>
          <w:t xml:space="preserve">notification requirements </w:t>
        </w:r>
        <w:r w:rsidR="00566799" w:rsidRPr="0020667C">
          <w:rPr>
            <w:rStyle w:val="Hyperlink"/>
            <w:lang w:eastAsia="en-AU"/>
          </w:rPr>
          <w:t>when you change some</w:t>
        </w:r>
        <w:r w:rsidRPr="0020667C">
          <w:rPr>
            <w:rStyle w:val="Hyperlink"/>
            <w:lang w:eastAsia="en-AU"/>
          </w:rPr>
          <w:t xml:space="preserve"> key personnel</w:t>
        </w:r>
      </w:hyperlink>
      <w:r>
        <w:rPr>
          <w:lang w:eastAsia="en-AU"/>
        </w:rPr>
        <w:t>:</w:t>
      </w:r>
    </w:p>
    <w:p w14:paraId="09682AF7" w14:textId="77777777" w:rsidR="00566799" w:rsidRPr="00635E82" w:rsidRDefault="00566799" w:rsidP="00566799">
      <w:pPr>
        <w:pStyle w:val="Bullet1"/>
        <w:numPr>
          <w:ilvl w:val="0"/>
          <w:numId w:val="0"/>
        </w:numPr>
        <w:ind w:left="284" w:hanging="284"/>
      </w:pPr>
    </w:p>
    <w:p w14:paraId="1D09E308" w14:textId="55C90F43" w:rsidR="00E32A4E" w:rsidRPr="003A600D" w:rsidRDefault="00E32A4E" w:rsidP="00E32A4E">
      <w:pPr>
        <w:pStyle w:val="Default"/>
        <w:numPr>
          <w:ilvl w:val="0"/>
          <w:numId w:val="52"/>
        </w:numPr>
        <w:spacing w:after="40" w:line="280" w:lineRule="atLeast"/>
        <w:rPr>
          <w:rFonts w:ascii="Arial" w:hAnsi="Arial" w:cs="Arial"/>
          <w:sz w:val="21"/>
          <w:szCs w:val="21"/>
        </w:rPr>
      </w:pPr>
      <w:hyperlink r:id="rId24" w:history="1">
        <w:r w:rsidRPr="0020667C">
          <w:rPr>
            <w:rStyle w:val="Hyperlink"/>
            <w:rFonts w:ascii="Arial" w:hAnsi="Arial" w:cs="Arial"/>
            <w:sz w:val="21"/>
            <w:szCs w:val="21"/>
          </w:rPr>
          <w:t>Fact sheets on requirements for Supported Residential Services</w:t>
        </w:r>
      </w:hyperlink>
      <w:r w:rsidRPr="003A600D">
        <w:rPr>
          <w:rFonts w:ascii="Arial" w:hAnsi="Arial" w:cs="Arial"/>
          <w:sz w:val="21"/>
          <w:szCs w:val="21"/>
        </w:rPr>
        <w:t xml:space="preserve"> (SRS) providers are at: </w:t>
      </w:r>
    </w:p>
    <w:p w14:paraId="1F577D61" w14:textId="77777777" w:rsidR="00E32A4E" w:rsidRPr="003A600D" w:rsidRDefault="00E32A4E" w:rsidP="00E32A4E">
      <w:pPr>
        <w:pStyle w:val="Default"/>
        <w:spacing w:after="40" w:line="280" w:lineRule="atLeast"/>
        <w:rPr>
          <w:rFonts w:ascii="Arial" w:hAnsi="Arial" w:cs="Arial"/>
          <w:sz w:val="21"/>
          <w:szCs w:val="21"/>
        </w:rPr>
      </w:pPr>
    </w:p>
    <w:p w14:paraId="7A71B30C" w14:textId="77777777" w:rsidR="00E32A4E" w:rsidRPr="003A600D" w:rsidRDefault="00E32A4E" w:rsidP="00E32A4E">
      <w:pPr>
        <w:pStyle w:val="Default"/>
        <w:spacing w:after="40" w:line="280" w:lineRule="atLeast"/>
        <w:rPr>
          <w:rFonts w:ascii="Arial" w:hAnsi="Arial" w:cs="Arial"/>
          <w:sz w:val="21"/>
          <w:szCs w:val="21"/>
        </w:rPr>
      </w:pPr>
      <w:r w:rsidRPr="003A600D">
        <w:rPr>
          <w:rFonts w:ascii="Arial" w:hAnsi="Arial" w:cs="Arial"/>
          <w:sz w:val="21"/>
          <w:szCs w:val="21"/>
        </w:rPr>
        <w:t>The suite of fact sheets on requirements for SRS providers under the Regulations includes:</w:t>
      </w:r>
    </w:p>
    <w:p w14:paraId="76EED821" w14:textId="77777777" w:rsidR="00E32A4E" w:rsidRPr="003A600D" w:rsidRDefault="00E32A4E" w:rsidP="001926D8">
      <w:pPr>
        <w:pStyle w:val="Tablebullet1"/>
      </w:pPr>
      <w:r w:rsidRPr="003A600D">
        <w:t>Managing residents’ medication</w:t>
      </w:r>
    </w:p>
    <w:p w14:paraId="43E66518" w14:textId="77777777" w:rsidR="00E32A4E" w:rsidRPr="003A600D" w:rsidRDefault="00E32A4E" w:rsidP="001926D8">
      <w:pPr>
        <w:pStyle w:val="Tablebullet1"/>
      </w:pPr>
      <w:r w:rsidRPr="003A600D">
        <w:t>Managing residents’ money</w:t>
      </w:r>
    </w:p>
    <w:p w14:paraId="78C13457" w14:textId="77777777" w:rsidR="00E32A4E" w:rsidRPr="003A600D" w:rsidRDefault="00E32A4E" w:rsidP="001926D8">
      <w:pPr>
        <w:pStyle w:val="Tablebullet1"/>
      </w:pPr>
      <w:r w:rsidRPr="003A600D">
        <w:t>Managing support plans</w:t>
      </w:r>
    </w:p>
    <w:p w14:paraId="2701D9A7" w14:textId="77777777" w:rsidR="00E32A4E" w:rsidRPr="003A600D" w:rsidRDefault="00E32A4E" w:rsidP="001926D8">
      <w:pPr>
        <w:pStyle w:val="Tablebullet1"/>
      </w:pPr>
      <w:r w:rsidRPr="003A600D">
        <w:t>Staffing requirements</w:t>
      </w:r>
    </w:p>
    <w:p w14:paraId="4CC50570" w14:textId="77777777" w:rsidR="004D1209" w:rsidRDefault="00E32A4E" w:rsidP="001926D8">
      <w:pPr>
        <w:pStyle w:val="Tablebullet1"/>
      </w:pPr>
      <w:r w:rsidRPr="003A600D">
        <w:t>Using a residential service agreement (RSA)</w:t>
      </w:r>
    </w:p>
    <w:p w14:paraId="21160DE6" w14:textId="77777777" w:rsidR="00A92A92" w:rsidRDefault="004D1209" w:rsidP="001926D8">
      <w:pPr>
        <w:pStyle w:val="Tablebullet1"/>
      </w:pPr>
      <w:r>
        <w:t>Notices to vacate</w:t>
      </w:r>
    </w:p>
    <w:p w14:paraId="0D07B2D0" w14:textId="6366F450" w:rsidR="00E32A4E" w:rsidRPr="00613401" w:rsidRDefault="00A92A92" w:rsidP="001926D8">
      <w:pPr>
        <w:pStyle w:val="Tablebullet1"/>
      </w:pPr>
      <w:r>
        <w:t>Fees, charges and security deposits in supported residential services</w:t>
      </w:r>
      <w:r w:rsidR="00E32A4E">
        <w:t>.</w:t>
      </w:r>
    </w:p>
    <w:p w14:paraId="7B63928D" w14:textId="77777777" w:rsidR="00E32A4E" w:rsidRDefault="00E32A4E" w:rsidP="00713291">
      <w:pPr>
        <w:pStyle w:val="Heading3"/>
      </w:pPr>
      <w:bookmarkStart w:id="31" w:name="_Toc165031764"/>
      <w:bookmarkStart w:id="32" w:name="_Toc171692154"/>
      <w:bookmarkStart w:id="33" w:name="_Toc172548910"/>
      <w:bookmarkStart w:id="34" w:name="_Toc182577628"/>
      <w:r>
        <w:t>Contact us</w:t>
      </w:r>
      <w:bookmarkEnd w:id="31"/>
      <w:bookmarkEnd w:id="32"/>
      <w:bookmarkEnd w:id="33"/>
      <w:bookmarkEnd w:id="34"/>
    </w:p>
    <w:p w14:paraId="35FA25E2" w14:textId="63C0C1C9" w:rsidR="00E32A4E" w:rsidRPr="00635E82" w:rsidRDefault="00E32A4E" w:rsidP="00E32A4E">
      <w:pPr>
        <w:pStyle w:val="Body"/>
      </w:pPr>
      <w:r>
        <w:t xml:space="preserve">For further information about fees </w:t>
      </w:r>
      <w:r w:rsidR="007D4BA4">
        <w:t xml:space="preserve">and security deposits </w:t>
      </w:r>
      <w:r>
        <w:t xml:space="preserve">not covered by this fact sheet, you can contact the Social Services Regulator: </w:t>
      </w:r>
      <w:hyperlink r:id="rId25" w:history="1">
        <w:r w:rsidRPr="008C7DEC">
          <w:rPr>
            <w:rStyle w:val="Hyperlink"/>
          </w:rPr>
          <w:t>email the Social Services Regulator</w:t>
        </w:r>
      </w:hyperlink>
      <w:r>
        <w:t xml:space="preserve"> &lt;enquiries@ssr.vic.gov.au&gt;.</w:t>
      </w:r>
    </w:p>
    <w:p w14:paraId="329DD7D7" w14:textId="0413D041" w:rsidR="00E32A4E" w:rsidRPr="001D244A" w:rsidRDefault="001D244A" w:rsidP="001D244A">
      <w:pPr>
        <w:spacing w:after="0" w:line="240" w:lineRule="auto"/>
        <w:rPr>
          <w:rFonts w:eastAsia="Times"/>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5D82E6A3" w:rsidR="0055119B" w:rsidRPr="0055119B" w:rsidRDefault="0055119B" w:rsidP="0055119B">
            <w:pPr>
              <w:pStyle w:val="Accessibilitypara"/>
            </w:pPr>
            <w:bookmarkStart w:id="35" w:name="_Hlk37240926"/>
            <w:r w:rsidRPr="0055119B">
              <w:lastRenderedPageBreak/>
              <w:t>To receive this document in another format</w:t>
            </w:r>
            <w:r>
              <w:t>,</w:t>
            </w:r>
            <w:r w:rsidRPr="0055119B">
              <w:t xml:space="preserve"> email </w:t>
            </w:r>
            <w:r w:rsidR="007D4BA4">
              <w:t>the Social Services Regulator</w:t>
            </w:r>
            <w:r w:rsidR="007D4BA4">
              <w:rPr>
                <w:color w:val="004C97"/>
              </w:rPr>
              <w:t xml:space="preserve"> </w:t>
            </w:r>
            <w:r w:rsidRPr="0055119B">
              <w:t>&lt;</w:t>
            </w:r>
            <w:r w:rsidR="007D4BA4">
              <w:t>enquiries@ssr.vic.gov.au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1EB2905" w:rsidR="0055119B" w:rsidRPr="00FC43E7"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7D3207" w:rsidRPr="00FC43E7">
              <w:t>December</w:t>
            </w:r>
            <w:r w:rsidRPr="00FC43E7">
              <w:t xml:space="preserve"> </w:t>
            </w:r>
            <w:r w:rsidR="00D646C0" w:rsidRPr="00FC43E7">
              <w:t>2024</w:t>
            </w:r>
            <w:r w:rsidRPr="00FC43E7">
              <w:t>.</w:t>
            </w:r>
          </w:p>
          <w:p w14:paraId="1DE414C1" w14:textId="77777777" w:rsidR="0055119B" w:rsidRPr="00FC43E7" w:rsidRDefault="0055119B" w:rsidP="00E33237">
            <w:pPr>
              <w:pStyle w:val="Imprint"/>
            </w:pPr>
            <w:bookmarkStart w:id="36" w:name="_Hlk62746129"/>
            <w:r w:rsidRPr="00FC43E7">
              <w:t>In this document, ‘Aboriginal’ refers to both Aboriginal and Torres Strait Islander people. ‘Indigenous’ or ‘Koori/Koorie’ is retained when part of the title of a report, program or quotation.</w:t>
            </w:r>
          </w:p>
          <w:p w14:paraId="7838E35D" w14:textId="5F32854A" w:rsidR="00DA237E" w:rsidRDefault="0055119B" w:rsidP="00E33237">
            <w:pPr>
              <w:pStyle w:val="Imprint"/>
            </w:pPr>
            <w:r w:rsidRPr="0055119B">
              <w:t>ISBN</w:t>
            </w:r>
            <w:r w:rsidR="00A80D82" w:rsidRPr="00A80D82">
              <w:rPr>
                <w:rFonts w:eastAsia="Times New Roman" w:cs="Arial"/>
                <w:b/>
                <w:bCs/>
                <w:color w:val="000000"/>
                <w:sz w:val="21"/>
              </w:rPr>
              <w:t xml:space="preserve"> </w:t>
            </w:r>
            <w:r w:rsidR="00A80D82" w:rsidRPr="00A80D82">
              <w:t>978-1-76130-750-8</w:t>
            </w:r>
            <w:r w:rsidR="00A80D82" w:rsidRPr="00A80D82">
              <w:rPr>
                <w:b/>
                <w:bCs/>
              </w:rPr>
              <w:t xml:space="preserve"> </w:t>
            </w:r>
            <w:r w:rsidRPr="0055119B">
              <w:t xml:space="preserve">(online/PDF/Word) </w:t>
            </w:r>
          </w:p>
          <w:p w14:paraId="68CC5660" w14:textId="77777777" w:rsidR="00DA237E" w:rsidRPr="004E37FB" w:rsidRDefault="00DA237E" w:rsidP="00DA237E">
            <w:pPr>
              <w:pStyle w:val="Imprint"/>
            </w:pPr>
            <w:r w:rsidRPr="0055119B">
              <w:t xml:space="preserve">Available at </w:t>
            </w:r>
            <w:hyperlink r:id="rId26" w:history="1">
              <w:r w:rsidRPr="004E37FB">
                <w:rPr>
                  <w:rStyle w:val="Hyperlink"/>
                  <w:color w:val="auto"/>
                </w:rPr>
                <w:t>Social Services Regulator registration | vic.gov.au</w:t>
              </w:r>
            </w:hyperlink>
            <w:r w:rsidRPr="004E37FB">
              <w:t xml:space="preserve"> &lt;</w:t>
            </w:r>
            <w:hyperlink r:id="rId27" w:history="1">
              <w:r w:rsidRPr="004E37FB">
                <w:rPr>
                  <w:rStyle w:val="Hyperlink"/>
                  <w:color w:val="auto"/>
                </w:rPr>
                <w:t>Social Services Regulator registration | vic.gov.au</w:t>
              </w:r>
            </w:hyperlink>
            <w:r w:rsidRPr="004E37FB">
              <w:t>&gt;</w:t>
            </w:r>
          </w:p>
          <w:bookmarkEnd w:id="36"/>
          <w:p w14:paraId="0C92739F" w14:textId="0BDE4366" w:rsidR="0055119B" w:rsidRDefault="0055119B" w:rsidP="00E33237">
            <w:pPr>
              <w:pStyle w:val="Imprint"/>
            </w:pPr>
          </w:p>
        </w:tc>
      </w:tr>
      <w:bookmarkEnd w:id="35"/>
    </w:tbl>
    <w:p w14:paraId="312DEA78" w14:textId="77777777" w:rsidR="00162CA9" w:rsidRDefault="00162CA9" w:rsidP="00162CA9">
      <w:pPr>
        <w:pStyle w:val="Body"/>
      </w:pPr>
    </w:p>
    <w:sectPr w:rsidR="00162CA9" w:rsidSect="00A9710C">
      <w:headerReference w:type="even" r:id="rId28"/>
      <w:headerReference w:type="default" r:id="rId29"/>
      <w:footerReference w:type="default" r:id="rId30"/>
      <w:headerReference w:type="first" r:id="rId3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7596D" w14:textId="77777777" w:rsidR="00364D50" w:rsidRDefault="00364D50">
      <w:r>
        <w:separator/>
      </w:r>
    </w:p>
    <w:p w14:paraId="228E76CD" w14:textId="77777777" w:rsidR="00364D50" w:rsidRDefault="00364D50"/>
  </w:endnote>
  <w:endnote w:type="continuationSeparator" w:id="0">
    <w:p w14:paraId="4901F0B6" w14:textId="77777777" w:rsidR="00364D50" w:rsidRDefault="00364D50">
      <w:r>
        <w:continuationSeparator/>
      </w:r>
    </w:p>
    <w:p w14:paraId="6A7C4CE2" w14:textId="77777777" w:rsidR="00364D50" w:rsidRDefault="00364D50"/>
  </w:endnote>
  <w:endnote w:type="continuationNotice" w:id="1">
    <w:p w14:paraId="7FFB3FB7" w14:textId="77777777" w:rsidR="00364D50" w:rsidRDefault="00364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C311" w14:textId="77777777" w:rsidR="007803DC" w:rsidRDefault="0078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F411312">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9E7D057">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25CDB83">
            <v:shapetype id="_x0000_t202" coordsize="21600,21600" o:spt="202" path="m,l,21600r21600,l21600,xe" w14:anchorId="005089CE">
              <v:stroke joinstyle="miter"/>
              <v:path gradientshapeok="t" o:connecttype="rect"/>
            </v:shapetype>
            <v:shape id="_x0000_s1029"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C5AA" w14:textId="77777777" w:rsidR="00364D50" w:rsidRDefault="00364D50" w:rsidP="00207717">
      <w:pPr>
        <w:spacing w:before="120"/>
      </w:pPr>
      <w:r>
        <w:separator/>
      </w:r>
    </w:p>
  </w:footnote>
  <w:footnote w:type="continuationSeparator" w:id="0">
    <w:p w14:paraId="22470221" w14:textId="77777777" w:rsidR="00364D50" w:rsidRDefault="00364D50">
      <w:r>
        <w:continuationSeparator/>
      </w:r>
    </w:p>
    <w:p w14:paraId="19296C94" w14:textId="77777777" w:rsidR="00364D50" w:rsidRDefault="00364D50"/>
  </w:footnote>
  <w:footnote w:type="continuationNotice" w:id="1">
    <w:p w14:paraId="11B6BF2D" w14:textId="77777777" w:rsidR="00364D50" w:rsidRDefault="00364D50">
      <w:pPr>
        <w:spacing w:after="0" w:line="240" w:lineRule="auto"/>
      </w:pPr>
    </w:p>
  </w:footnote>
  <w:footnote w:id="2">
    <w:p w14:paraId="5A841A60" w14:textId="2938167F" w:rsidR="00894741" w:rsidRDefault="00894741">
      <w:pPr>
        <w:pStyle w:val="FootnoteText"/>
      </w:pPr>
      <w:r>
        <w:rPr>
          <w:rStyle w:val="FootnoteReference"/>
        </w:rPr>
        <w:footnoteRef/>
      </w:r>
      <w:r>
        <w:t xml:space="preserve"> Section 240 of the Act</w:t>
      </w:r>
      <w:r w:rsidR="00485A1F">
        <w:t>.</w:t>
      </w:r>
    </w:p>
  </w:footnote>
  <w:footnote w:id="3">
    <w:p w14:paraId="1A203AB4" w14:textId="67C3DF00" w:rsidR="00253C27" w:rsidRDefault="00253C27">
      <w:pPr>
        <w:pStyle w:val="FootnoteText"/>
      </w:pPr>
      <w:r>
        <w:rPr>
          <w:rStyle w:val="FootnoteReference"/>
        </w:rPr>
        <w:footnoteRef/>
      </w:r>
      <w:r>
        <w:t xml:space="preserve"> Section 241 of the Act</w:t>
      </w:r>
      <w:r w:rsidR="00485A1F">
        <w:t>.</w:t>
      </w:r>
    </w:p>
  </w:footnote>
  <w:footnote w:id="4">
    <w:p w14:paraId="38B0CF8D" w14:textId="604EED2C" w:rsidR="00B52D96" w:rsidRDefault="00B52D96">
      <w:pPr>
        <w:pStyle w:val="FootnoteText"/>
      </w:pPr>
      <w:r>
        <w:rPr>
          <w:rStyle w:val="FootnoteReference"/>
        </w:rPr>
        <w:footnoteRef/>
      </w:r>
      <w:r>
        <w:t xml:space="preserve"> Section 243 of the Act</w:t>
      </w:r>
      <w:r w:rsidR="00485A1F">
        <w:t>.</w:t>
      </w:r>
    </w:p>
  </w:footnote>
  <w:footnote w:id="5">
    <w:p w14:paraId="31B40D04" w14:textId="4EED9995" w:rsidR="00C77791" w:rsidRDefault="00C77791">
      <w:pPr>
        <w:pStyle w:val="FootnoteText"/>
      </w:pPr>
      <w:r>
        <w:rPr>
          <w:rStyle w:val="FootnoteReference"/>
        </w:rPr>
        <w:footnoteRef/>
      </w:r>
      <w:r>
        <w:t xml:space="preserve"> Section 244 of the Act</w:t>
      </w:r>
      <w:r w:rsidR="00485A1F">
        <w:t>.</w:t>
      </w:r>
    </w:p>
  </w:footnote>
  <w:footnote w:id="6">
    <w:p w14:paraId="2B92507A" w14:textId="0C29D8DA" w:rsidR="00C77791" w:rsidRDefault="00C77791">
      <w:pPr>
        <w:pStyle w:val="FootnoteText"/>
      </w:pPr>
      <w:r>
        <w:rPr>
          <w:rStyle w:val="FootnoteReference"/>
        </w:rPr>
        <w:footnoteRef/>
      </w:r>
      <w:r>
        <w:t xml:space="preserve"> Section 242 of the Act</w:t>
      </w:r>
      <w:r w:rsidR="00485A1F">
        <w:t>.</w:t>
      </w:r>
    </w:p>
  </w:footnote>
  <w:footnote w:id="7">
    <w:p w14:paraId="62F5395B" w14:textId="75A92813" w:rsidR="00164327" w:rsidRDefault="00164327">
      <w:pPr>
        <w:pStyle w:val="FootnoteText"/>
      </w:pPr>
      <w:r>
        <w:rPr>
          <w:rStyle w:val="FootnoteReference"/>
        </w:rPr>
        <w:footnoteRef/>
      </w:r>
      <w:r>
        <w:t xml:space="preserve"> Also known as an authorised deposit-taking institution (ADI)</w:t>
      </w:r>
      <w:r w:rsidR="007D464F">
        <w:t>.</w:t>
      </w:r>
    </w:p>
  </w:footnote>
  <w:footnote w:id="8">
    <w:p w14:paraId="24D03472" w14:textId="75735D48" w:rsidR="007F7E57" w:rsidRDefault="007F7E57" w:rsidP="007F7E57">
      <w:pPr>
        <w:pStyle w:val="FootnoteText"/>
      </w:pPr>
      <w:r>
        <w:rPr>
          <w:rStyle w:val="FootnoteReference"/>
        </w:rPr>
        <w:footnoteRef/>
      </w:r>
      <w:r>
        <w:t xml:space="preserve"> Also known as an ADI</w:t>
      </w:r>
      <w:r w:rsidR="007D46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E0CB" w14:textId="48548F97" w:rsidR="007803DC" w:rsidRDefault="0078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003" w14:textId="6F157E07" w:rsidR="007803DC" w:rsidRDefault="0078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68C0" w14:textId="25DA7202" w:rsidR="007803DC" w:rsidRDefault="00780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D46B" w14:textId="196843CD" w:rsidR="007803DC" w:rsidRDefault="00780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FFDBC47" w:rsidR="00E261B3" w:rsidRPr="0051568D" w:rsidRDefault="00D646C0" w:rsidP="0017674D">
    <w:pPr>
      <w:pStyle w:val="Header"/>
    </w:pPr>
    <w:r w:rsidRPr="00D646C0">
      <w:t>Fees, charges and security deposits in supported residential services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9E44" w14:textId="2690BB25" w:rsidR="007803DC" w:rsidRDefault="0078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7563B2"/>
    <w:multiLevelType w:val="multilevel"/>
    <w:tmpl w:val="6CDE148C"/>
    <w:lvl w:ilvl="0">
      <w:start w:val="1"/>
      <w:numFmt w:val="bullet"/>
      <w:lvlText w:val=""/>
      <w:lvlJc w:val="left"/>
      <w:pPr>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6FE669A"/>
    <w:multiLevelType w:val="hybridMultilevel"/>
    <w:tmpl w:val="E3829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B4525A8A"/>
    <w:numStyleLink w:val="ZZNumbersdigit"/>
  </w:abstractNum>
  <w:abstractNum w:abstractNumId="16"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3B9618F"/>
    <w:multiLevelType w:val="hybridMultilevel"/>
    <w:tmpl w:val="0584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040E5F"/>
    <w:multiLevelType w:val="hybridMultilevel"/>
    <w:tmpl w:val="E6B6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AC213E"/>
    <w:multiLevelType w:val="hybridMultilevel"/>
    <w:tmpl w:val="0ED6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C1B40CF"/>
    <w:multiLevelType w:val="multilevel"/>
    <w:tmpl w:val="D6C857EE"/>
    <w:lvl w:ilvl="0">
      <w:start w:val="1"/>
      <w:numFmt w:val="bullet"/>
      <w:lvlText w:val=""/>
      <w:lvlJc w:val="left"/>
      <w:pPr>
        <w:ind w:left="227" w:hanging="227"/>
      </w:pPr>
      <w:rPr>
        <w:rFonts w:ascii="Wingdings" w:hAnsi="Wingding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F0E67FC"/>
    <w:multiLevelType w:val="hybridMultilevel"/>
    <w:tmpl w:val="D3723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C5D00DE"/>
    <w:multiLevelType w:val="hybridMultilevel"/>
    <w:tmpl w:val="5BD427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A75705"/>
    <w:multiLevelType w:val="hybridMultilevel"/>
    <w:tmpl w:val="34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605CC5"/>
    <w:multiLevelType w:val="hybridMultilevel"/>
    <w:tmpl w:val="5682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A4865BB"/>
    <w:multiLevelType w:val="multilevel"/>
    <w:tmpl w:val="F83E2D00"/>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429862043">
    <w:abstractNumId w:val="10"/>
  </w:num>
  <w:num w:numId="2" w16cid:durableId="606499732">
    <w:abstractNumId w:val="21"/>
  </w:num>
  <w:num w:numId="3" w16cid:durableId="766997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6"/>
  </w:num>
  <w:num w:numId="8" w16cid:durableId="1971086778">
    <w:abstractNumId w:val="20"/>
  </w:num>
  <w:num w:numId="9" w16cid:durableId="1586377817">
    <w:abstractNumId w:val="24"/>
  </w:num>
  <w:num w:numId="10" w16cid:durableId="182086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9"/>
  </w:num>
  <w:num w:numId="12" w16cid:durableId="2577567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22"/>
  </w:num>
  <w:num w:numId="14" w16cid:durableId="516430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31"/>
  </w:num>
  <w:num w:numId="19" w16cid:durableId="1467897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6"/>
  </w:num>
  <w:num w:numId="21" w16cid:durableId="541482176">
    <w:abstractNumId w:val="13"/>
  </w:num>
  <w:num w:numId="22" w16cid:durableId="77551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8"/>
  </w:num>
  <w:num w:numId="24" w16cid:durableId="1094790342">
    <w:abstractNumId w:val="34"/>
  </w:num>
  <w:num w:numId="25" w16cid:durableId="895168954">
    <w:abstractNumId w:val="30"/>
  </w:num>
  <w:num w:numId="26" w16cid:durableId="123157883">
    <w:abstractNumId w:val="23"/>
  </w:num>
  <w:num w:numId="27" w16cid:durableId="1937714732">
    <w:abstractNumId w:val="12"/>
  </w:num>
  <w:num w:numId="28" w16cid:durableId="1108085816">
    <w:abstractNumId w:val="3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6"/>
  </w:num>
  <w:num w:numId="41" w16cid:durableId="562331335">
    <w:abstractNumId w:val="26"/>
  </w:num>
  <w:num w:numId="42" w16cid:durableId="1953442103">
    <w:abstractNumId w:val="26"/>
  </w:num>
  <w:num w:numId="43" w16cid:durableId="15237370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4671946">
    <w:abstractNumId w:val="33"/>
  </w:num>
  <w:num w:numId="45" w16cid:durableId="961034373">
    <w:abstractNumId w:val="17"/>
  </w:num>
  <w:num w:numId="46" w16cid:durableId="1395354107">
    <w:abstractNumId w:val="14"/>
  </w:num>
  <w:num w:numId="47" w16cid:durableId="305936920">
    <w:abstractNumId w:val="27"/>
  </w:num>
  <w:num w:numId="48" w16cid:durableId="1727801224">
    <w:abstractNumId w:val="11"/>
  </w:num>
  <w:num w:numId="49" w16cid:durableId="2054114314">
    <w:abstractNumId w:val="25"/>
  </w:num>
  <w:num w:numId="50" w16cid:durableId="632175463">
    <w:abstractNumId w:val="19"/>
  </w:num>
  <w:num w:numId="51" w16cid:durableId="1856192180">
    <w:abstractNumId w:val="32"/>
  </w:num>
  <w:num w:numId="52" w16cid:durableId="336151382">
    <w:abstractNumId w:val="37"/>
  </w:num>
  <w:num w:numId="53" w16cid:durableId="713119368">
    <w:abstractNumId w:val="35"/>
  </w:num>
  <w:num w:numId="54" w16cid:durableId="875432842">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462"/>
    <w:rsid w:val="000072B6"/>
    <w:rsid w:val="000100B6"/>
    <w:rsid w:val="0001021B"/>
    <w:rsid w:val="00011D89"/>
    <w:rsid w:val="000154FD"/>
    <w:rsid w:val="00022271"/>
    <w:rsid w:val="000235E8"/>
    <w:rsid w:val="00024D89"/>
    <w:rsid w:val="000250B6"/>
    <w:rsid w:val="000301B7"/>
    <w:rsid w:val="00033D81"/>
    <w:rsid w:val="000366E8"/>
    <w:rsid w:val="00037366"/>
    <w:rsid w:val="00041BF0"/>
    <w:rsid w:val="00042C8A"/>
    <w:rsid w:val="0004536B"/>
    <w:rsid w:val="00046B68"/>
    <w:rsid w:val="00050EE3"/>
    <w:rsid w:val="000527DD"/>
    <w:rsid w:val="00052C9F"/>
    <w:rsid w:val="000578B2"/>
    <w:rsid w:val="000606A7"/>
    <w:rsid w:val="00060959"/>
    <w:rsid w:val="00060C8F"/>
    <w:rsid w:val="0006298A"/>
    <w:rsid w:val="000643BD"/>
    <w:rsid w:val="000663CD"/>
    <w:rsid w:val="00070E2A"/>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1D85"/>
    <w:rsid w:val="000E3CC7"/>
    <w:rsid w:val="000E6BD4"/>
    <w:rsid w:val="000E6D6D"/>
    <w:rsid w:val="000F0F07"/>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1388"/>
    <w:rsid w:val="00134252"/>
    <w:rsid w:val="00134734"/>
    <w:rsid w:val="001447B3"/>
    <w:rsid w:val="00144BEB"/>
    <w:rsid w:val="00152073"/>
    <w:rsid w:val="00154752"/>
    <w:rsid w:val="00156598"/>
    <w:rsid w:val="0016037B"/>
    <w:rsid w:val="00161939"/>
    <w:rsid w:val="00161AA0"/>
    <w:rsid w:val="00161D2E"/>
    <w:rsid w:val="00161F3E"/>
    <w:rsid w:val="00162093"/>
    <w:rsid w:val="00162CA9"/>
    <w:rsid w:val="00164327"/>
    <w:rsid w:val="00165459"/>
    <w:rsid w:val="00165A57"/>
    <w:rsid w:val="001712C2"/>
    <w:rsid w:val="00172BAF"/>
    <w:rsid w:val="0017674D"/>
    <w:rsid w:val="001771DD"/>
    <w:rsid w:val="00177995"/>
    <w:rsid w:val="00177A8C"/>
    <w:rsid w:val="00177C1A"/>
    <w:rsid w:val="001804E9"/>
    <w:rsid w:val="00186B33"/>
    <w:rsid w:val="00191A1F"/>
    <w:rsid w:val="001924E9"/>
    <w:rsid w:val="001926D8"/>
    <w:rsid w:val="00192DE3"/>
    <w:rsid w:val="00192F9D"/>
    <w:rsid w:val="00196EB8"/>
    <w:rsid w:val="00196EFB"/>
    <w:rsid w:val="001979FF"/>
    <w:rsid w:val="00197B17"/>
    <w:rsid w:val="001A0D96"/>
    <w:rsid w:val="001A1950"/>
    <w:rsid w:val="001A1C54"/>
    <w:rsid w:val="001A202A"/>
    <w:rsid w:val="001A3ACE"/>
    <w:rsid w:val="001A7167"/>
    <w:rsid w:val="001B058F"/>
    <w:rsid w:val="001B52A8"/>
    <w:rsid w:val="001B6B96"/>
    <w:rsid w:val="001B7228"/>
    <w:rsid w:val="001B738B"/>
    <w:rsid w:val="001C09DB"/>
    <w:rsid w:val="001C277E"/>
    <w:rsid w:val="001C2A72"/>
    <w:rsid w:val="001C31B7"/>
    <w:rsid w:val="001D0B75"/>
    <w:rsid w:val="001D244A"/>
    <w:rsid w:val="001D39A5"/>
    <w:rsid w:val="001D3C09"/>
    <w:rsid w:val="001D44E8"/>
    <w:rsid w:val="001D5EDE"/>
    <w:rsid w:val="001D60EC"/>
    <w:rsid w:val="001D6F59"/>
    <w:rsid w:val="001E44DF"/>
    <w:rsid w:val="001E68A5"/>
    <w:rsid w:val="001E6BB0"/>
    <w:rsid w:val="001E7282"/>
    <w:rsid w:val="001F3826"/>
    <w:rsid w:val="001F514A"/>
    <w:rsid w:val="001F6E46"/>
    <w:rsid w:val="001F7C91"/>
    <w:rsid w:val="002033B7"/>
    <w:rsid w:val="00206463"/>
    <w:rsid w:val="0020667C"/>
    <w:rsid w:val="00206F2F"/>
    <w:rsid w:val="00207717"/>
    <w:rsid w:val="0021053D"/>
    <w:rsid w:val="00210A92"/>
    <w:rsid w:val="00211112"/>
    <w:rsid w:val="002151A1"/>
    <w:rsid w:val="00216C03"/>
    <w:rsid w:val="00220C04"/>
    <w:rsid w:val="0022278D"/>
    <w:rsid w:val="00225DE3"/>
    <w:rsid w:val="0022701F"/>
    <w:rsid w:val="00227C68"/>
    <w:rsid w:val="00233311"/>
    <w:rsid w:val="002333F5"/>
    <w:rsid w:val="00233724"/>
    <w:rsid w:val="00236531"/>
    <w:rsid w:val="002365B4"/>
    <w:rsid w:val="0023724F"/>
    <w:rsid w:val="00242378"/>
    <w:rsid w:val="002429B4"/>
    <w:rsid w:val="002432E1"/>
    <w:rsid w:val="00246207"/>
    <w:rsid w:val="00246C5E"/>
    <w:rsid w:val="00250960"/>
    <w:rsid w:val="00250DC4"/>
    <w:rsid w:val="00251343"/>
    <w:rsid w:val="002536A4"/>
    <w:rsid w:val="00253C27"/>
    <w:rsid w:val="00254F58"/>
    <w:rsid w:val="00256F28"/>
    <w:rsid w:val="002620BC"/>
    <w:rsid w:val="00262802"/>
    <w:rsid w:val="00263A90"/>
    <w:rsid w:val="00263FF5"/>
    <w:rsid w:val="0026408B"/>
    <w:rsid w:val="00267C3E"/>
    <w:rsid w:val="002709BB"/>
    <w:rsid w:val="0027131C"/>
    <w:rsid w:val="00273BAC"/>
    <w:rsid w:val="002763B3"/>
    <w:rsid w:val="0027705B"/>
    <w:rsid w:val="002802E3"/>
    <w:rsid w:val="00280C4B"/>
    <w:rsid w:val="0028213D"/>
    <w:rsid w:val="002862F1"/>
    <w:rsid w:val="00291373"/>
    <w:rsid w:val="0029597D"/>
    <w:rsid w:val="002962C3"/>
    <w:rsid w:val="0029752B"/>
    <w:rsid w:val="002A06DA"/>
    <w:rsid w:val="002A0A9C"/>
    <w:rsid w:val="002A483C"/>
    <w:rsid w:val="002A5C80"/>
    <w:rsid w:val="002A5D67"/>
    <w:rsid w:val="002B0C7C"/>
    <w:rsid w:val="002B1729"/>
    <w:rsid w:val="002B36C7"/>
    <w:rsid w:val="002B4DD4"/>
    <w:rsid w:val="002B5277"/>
    <w:rsid w:val="002B5375"/>
    <w:rsid w:val="002B5EDA"/>
    <w:rsid w:val="002B77C1"/>
    <w:rsid w:val="002C0ED7"/>
    <w:rsid w:val="002C2728"/>
    <w:rsid w:val="002D1E0D"/>
    <w:rsid w:val="002D5006"/>
    <w:rsid w:val="002E01D0"/>
    <w:rsid w:val="002E161D"/>
    <w:rsid w:val="002E18CB"/>
    <w:rsid w:val="002E2008"/>
    <w:rsid w:val="002E3100"/>
    <w:rsid w:val="002E6C95"/>
    <w:rsid w:val="002E7C36"/>
    <w:rsid w:val="002F3ADF"/>
    <w:rsid w:val="002F3D32"/>
    <w:rsid w:val="002F5F31"/>
    <w:rsid w:val="002F5F46"/>
    <w:rsid w:val="00302216"/>
    <w:rsid w:val="00302C56"/>
    <w:rsid w:val="00303E53"/>
    <w:rsid w:val="00305CC1"/>
    <w:rsid w:val="00306E5F"/>
    <w:rsid w:val="00307E14"/>
    <w:rsid w:val="00314054"/>
    <w:rsid w:val="0031618D"/>
    <w:rsid w:val="00316511"/>
    <w:rsid w:val="00316F27"/>
    <w:rsid w:val="003214F1"/>
    <w:rsid w:val="00322E4B"/>
    <w:rsid w:val="003252EE"/>
    <w:rsid w:val="00327870"/>
    <w:rsid w:val="0033080A"/>
    <w:rsid w:val="0033259D"/>
    <w:rsid w:val="003333D2"/>
    <w:rsid w:val="00337339"/>
    <w:rsid w:val="0033780D"/>
    <w:rsid w:val="003406C6"/>
    <w:rsid w:val="00340C90"/>
    <w:rsid w:val="003418CC"/>
    <w:rsid w:val="0034249F"/>
    <w:rsid w:val="003459BD"/>
    <w:rsid w:val="00350D38"/>
    <w:rsid w:val="00351405"/>
    <w:rsid w:val="00351B36"/>
    <w:rsid w:val="00357B4E"/>
    <w:rsid w:val="00363B81"/>
    <w:rsid w:val="00364D50"/>
    <w:rsid w:val="003716FD"/>
    <w:rsid w:val="0037204B"/>
    <w:rsid w:val="00372C88"/>
    <w:rsid w:val="003744CF"/>
    <w:rsid w:val="00374717"/>
    <w:rsid w:val="0037676C"/>
    <w:rsid w:val="00377A1A"/>
    <w:rsid w:val="003800C5"/>
    <w:rsid w:val="00381043"/>
    <w:rsid w:val="003829E5"/>
    <w:rsid w:val="00386109"/>
    <w:rsid w:val="00386944"/>
    <w:rsid w:val="00391041"/>
    <w:rsid w:val="003956CC"/>
    <w:rsid w:val="00395C9A"/>
    <w:rsid w:val="00397170"/>
    <w:rsid w:val="00397E9E"/>
    <w:rsid w:val="003A04E1"/>
    <w:rsid w:val="003A0853"/>
    <w:rsid w:val="003A6B67"/>
    <w:rsid w:val="003B13B6"/>
    <w:rsid w:val="003B14C3"/>
    <w:rsid w:val="003B15E6"/>
    <w:rsid w:val="003B1BDC"/>
    <w:rsid w:val="003B3282"/>
    <w:rsid w:val="003B408A"/>
    <w:rsid w:val="003C08A2"/>
    <w:rsid w:val="003C2045"/>
    <w:rsid w:val="003C43A1"/>
    <w:rsid w:val="003C4FC0"/>
    <w:rsid w:val="003C55F4"/>
    <w:rsid w:val="003C7897"/>
    <w:rsid w:val="003C7A3F"/>
    <w:rsid w:val="003D108B"/>
    <w:rsid w:val="003D1C8C"/>
    <w:rsid w:val="003D2766"/>
    <w:rsid w:val="003D2A74"/>
    <w:rsid w:val="003D3E8F"/>
    <w:rsid w:val="003D452E"/>
    <w:rsid w:val="003D6475"/>
    <w:rsid w:val="003D6EE6"/>
    <w:rsid w:val="003D7000"/>
    <w:rsid w:val="003D7E30"/>
    <w:rsid w:val="003E1DA8"/>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6F"/>
    <w:rsid w:val="00406285"/>
    <w:rsid w:val="004148F9"/>
    <w:rsid w:val="00417E86"/>
    <w:rsid w:val="0042084E"/>
    <w:rsid w:val="00421EEF"/>
    <w:rsid w:val="00424D65"/>
    <w:rsid w:val="00430393"/>
    <w:rsid w:val="00431806"/>
    <w:rsid w:val="004350F9"/>
    <w:rsid w:val="00435457"/>
    <w:rsid w:val="00437AC5"/>
    <w:rsid w:val="00441735"/>
    <w:rsid w:val="00442C6C"/>
    <w:rsid w:val="00443CBE"/>
    <w:rsid w:val="00443E8A"/>
    <w:rsid w:val="004441BC"/>
    <w:rsid w:val="004468B4"/>
    <w:rsid w:val="00451B6C"/>
    <w:rsid w:val="0045230A"/>
    <w:rsid w:val="00454AD0"/>
    <w:rsid w:val="00457337"/>
    <w:rsid w:val="00462E3D"/>
    <w:rsid w:val="00464015"/>
    <w:rsid w:val="0046440A"/>
    <w:rsid w:val="00466E79"/>
    <w:rsid w:val="00467A60"/>
    <w:rsid w:val="00470D7D"/>
    <w:rsid w:val="0047372D"/>
    <w:rsid w:val="00473BA3"/>
    <w:rsid w:val="004743DD"/>
    <w:rsid w:val="004745C7"/>
    <w:rsid w:val="00474CEA"/>
    <w:rsid w:val="00483968"/>
    <w:rsid w:val="004841BE"/>
    <w:rsid w:val="00484F86"/>
    <w:rsid w:val="00485A1F"/>
    <w:rsid w:val="00490746"/>
    <w:rsid w:val="00490852"/>
    <w:rsid w:val="00491C9C"/>
    <w:rsid w:val="00492F30"/>
    <w:rsid w:val="004946F4"/>
    <w:rsid w:val="0049487E"/>
    <w:rsid w:val="004A160D"/>
    <w:rsid w:val="004A1FA3"/>
    <w:rsid w:val="004A2043"/>
    <w:rsid w:val="004A3E81"/>
    <w:rsid w:val="004A4195"/>
    <w:rsid w:val="004A50F1"/>
    <w:rsid w:val="004A5C62"/>
    <w:rsid w:val="004A5CE5"/>
    <w:rsid w:val="004A707D"/>
    <w:rsid w:val="004B4185"/>
    <w:rsid w:val="004C3436"/>
    <w:rsid w:val="004C5541"/>
    <w:rsid w:val="004C6EEE"/>
    <w:rsid w:val="004C702B"/>
    <w:rsid w:val="004C70CF"/>
    <w:rsid w:val="004D0033"/>
    <w:rsid w:val="004D016B"/>
    <w:rsid w:val="004D1209"/>
    <w:rsid w:val="004D1B22"/>
    <w:rsid w:val="004D23CC"/>
    <w:rsid w:val="004D36F2"/>
    <w:rsid w:val="004E1106"/>
    <w:rsid w:val="004E138F"/>
    <w:rsid w:val="004E31C1"/>
    <w:rsid w:val="004E4649"/>
    <w:rsid w:val="004E5C2B"/>
    <w:rsid w:val="004F00DD"/>
    <w:rsid w:val="004F2133"/>
    <w:rsid w:val="004F5398"/>
    <w:rsid w:val="004F55F1"/>
    <w:rsid w:val="004F6936"/>
    <w:rsid w:val="004F7B35"/>
    <w:rsid w:val="00503DC6"/>
    <w:rsid w:val="00506F5D"/>
    <w:rsid w:val="00510C37"/>
    <w:rsid w:val="00510E94"/>
    <w:rsid w:val="00512330"/>
    <w:rsid w:val="005126D0"/>
    <w:rsid w:val="00513109"/>
    <w:rsid w:val="00514667"/>
    <w:rsid w:val="00514CCE"/>
    <w:rsid w:val="0051568D"/>
    <w:rsid w:val="00526AC7"/>
    <w:rsid w:val="00526C15"/>
    <w:rsid w:val="005359DD"/>
    <w:rsid w:val="00536499"/>
    <w:rsid w:val="00542A03"/>
    <w:rsid w:val="00543903"/>
    <w:rsid w:val="00543F11"/>
    <w:rsid w:val="00546305"/>
    <w:rsid w:val="0054785D"/>
    <w:rsid w:val="00547A95"/>
    <w:rsid w:val="0055119B"/>
    <w:rsid w:val="00553A3B"/>
    <w:rsid w:val="00556CE4"/>
    <w:rsid w:val="00561202"/>
    <w:rsid w:val="00566799"/>
    <w:rsid w:val="00570556"/>
    <w:rsid w:val="00572031"/>
    <w:rsid w:val="00572282"/>
    <w:rsid w:val="00573CE3"/>
    <w:rsid w:val="00576E84"/>
    <w:rsid w:val="00577C1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7673"/>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4C35"/>
    <w:rsid w:val="006164CE"/>
    <w:rsid w:val="00620154"/>
    <w:rsid w:val="0062408D"/>
    <w:rsid w:val="006240CC"/>
    <w:rsid w:val="00624940"/>
    <w:rsid w:val="006254F8"/>
    <w:rsid w:val="00627DA7"/>
    <w:rsid w:val="00630DA4"/>
    <w:rsid w:val="00631CD4"/>
    <w:rsid w:val="00632597"/>
    <w:rsid w:val="00632BD5"/>
    <w:rsid w:val="00633DD7"/>
    <w:rsid w:val="00634D13"/>
    <w:rsid w:val="006358B4"/>
    <w:rsid w:val="00636189"/>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933"/>
    <w:rsid w:val="00695A93"/>
    <w:rsid w:val="00696F27"/>
    <w:rsid w:val="006A028D"/>
    <w:rsid w:val="006A18C2"/>
    <w:rsid w:val="006A3383"/>
    <w:rsid w:val="006B077C"/>
    <w:rsid w:val="006B16AF"/>
    <w:rsid w:val="006B6803"/>
    <w:rsid w:val="006C1B20"/>
    <w:rsid w:val="006C1D4B"/>
    <w:rsid w:val="006D0F16"/>
    <w:rsid w:val="006D2A3F"/>
    <w:rsid w:val="006D2FBC"/>
    <w:rsid w:val="006E138B"/>
    <w:rsid w:val="006E1867"/>
    <w:rsid w:val="006F0330"/>
    <w:rsid w:val="006F1FDC"/>
    <w:rsid w:val="006F58D2"/>
    <w:rsid w:val="006F6B8C"/>
    <w:rsid w:val="006F6C80"/>
    <w:rsid w:val="007013EF"/>
    <w:rsid w:val="007055BD"/>
    <w:rsid w:val="00713291"/>
    <w:rsid w:val="00716AA9"/>
    <w:rsid w:val="007173CA"/>
    <w:rsid w:val="00721610"/>
    <w:rsid w:val="007216AA"/>
    <w:rsid w:val="00721AB5"/>
    <w:rsid w:val="00721CFB"/>
    <w:rsid w:val="00721DEF"/>
    <w:rsid w:val="00724A43"/>
    <w:rsid w:val="007273AC"/>
    <w:rsid w:val="00731AD4"/>
    <w:rsid w:val="007346E4"/>
    <w:rsid w:val="00740F22"/>
    <w:rsid w:val="00741977"/>
    <w:rsid w:val="00741CF0"/>
    <w:rsid w:val="00741F1A"/>
    <w:rsid w:val="00741F40"/>
    <w:rsid w:val="00743A2C"/>
    <w:rsid w:val="007447DA"/>
    <w:rsid w:val="007450F8"/>
    <w:rsid w:val="0074696E"/>
    <w:rsid w:val="00750135"/>
    <w:rsid w:val="00750EC2"/>
    <w:rsid w:val="00752B28"/>
    <w:rsid w:val="007541A9"/>
    <w:rsid w:val="00754E36"/>
    <w:rsid w:val="007570AD"/>
    <w:rsid w:val="00763139"/>
    <w:rsid w:val="00765E94"/>
    <w:rsid w:val="00766F80"/>
    <w:rsid w:val="00770F37"/>
    <w:rsid w:val="007711A0"/>
    <w:rsid w:val="00772D5E"/>
    <w:rsid w:val="0077463E"/>
    <w:rsid w:val="00776928"/>
    <w:rsid w:val="00776E0F"/>
    <w:rsid w:val="007774B1"/>
    <w:rsid w:val="00777BE1"/>
    <w:rsid w:val="007803DC"/>
    <w:rsid w:val="007833D8"/>
    <w:rsid w:val="00785677"/>
    <w:rsid w:val="00786F16"/>
    <w:rsid w:val="00791BD7"/>
    <w:rsid w:val="007933F7"/>
    <w:rsid w:val="00796E20"/>
    <w:rsid w:val="00797C32"/>
    <w:rsid w:val="007A11E8"/>
    <w:rsid w:val="007A6D64"/>
    <w:rsid w:val="007B0914"/>
    <w:rsid w:val="007B1374"/>
    <w:rsid w:val="007B32E5"/>
    <w:rsid w:val="007B3DB9"/>
    <w:rsid w:val="007B589F"/>
    <w:rsid w:val="007B6186"/>
    <w:rsid w:val="007B73BC"/>
    <w:rsid w:val="007B7FD5"/>
    <w:rsid w:val="007C1838"/>
    <w:rsid w:val="007C20B9"/>
    <w:rsid w:val="007C24C7"/>
    <w:rsid w:val="007C7301"/>
    <w:rsid w:val="007C7859"/>
    <w:rsid w:val="007C7F28"/>
    <w:rsid w:val="007D1466"/>
    <w:rsid w:val="007D1A12"/>
    <w:rsid w:val="007D20C1"/>
    <w:rsid w:val="007D2BDE"/>
    <w:rsid w:val="007D2FB6"/>
    <w:rsid w:val="007D3207"/>
    <w:rsid w:val="007D464F"/>
    <w:rsid w:val="007D49EB"/>
    <w:rsid w:val="007D4BA4"/>
    <w:rsid w:val="007D5B26"/>
    <w:rsid w:val="007D5E1C"/>
    <w:rsid w:val="007D666E"/>
    <w:rsid w:val="007D7F27"/>
    <w:rsid w:val="007E0DE2"/>
    <w:rsid w:val="007E3B98"/>
    <w:rsid w:val="007E417A"/>
    <w:rsid w:val="007F19E7"/>
    <w:rsid w:val="007F31B6"/>
    <w:rsid w:val="007F546C"/>
    <w:rsid w:val="007F625F"/>
    <w:rsid w:val="007F665E"/>
    <w:rsid w:val="007F7E57"/>
    <w:rsid w:val="00800412"/>
    <w:rsid w:val="0080587B"/>
    <w:rsid w:val="00806468"/>
    <w:rsid w:val="008119CA"/>
    <w:rsid w:val="00811BBF"/>
    <w:rsid w:val="008130C4"/>
    <w:rsid w:val="008155F0"/>
    <w:rsid w:val="00816735"/>
    <w:rsid w:val="00820141"/>
    <w:rsid w:val="00820E0C"/>
    <w:rsid w:val="00823275"/>
    <w:rsid w:val="0082366F"/>
    <w:rsid w:val="008275E0"/>
    <w:rsid w:val="008338A2"/>
    <w:rsid w:val="0083704A"/>
    <w:rsid w:val="00840E64"/>
    <w:rsid w:val="00841223"/>
    <w:rsid w:val="00841AA9"/>
    <w:rsid w:val="008474FE"/>
    <w:rsid w:val="0085232E"/>
    <w:rsid w:val="00853EE4"/>
    <w:rsid w:val="00855535"/>
    <w:rsid w:val="00857C5A"/>
    <w:rsid w:val="00860822"/>
    <w:rsid w:val="00861221"/>
    <w:rsid w:val="0086255E"/>
    <w:rsid w:val="008633F0"/>
    <w:rsid w:val="00867D9D"/>
    <w:rsid w:val="00872C54"/>
    <w:rsid w:val="00872E0A"/>
    <w:rsid w:val="008730A3"/>
    <w:rsid w:val="00873594"/>
    <w:rsid w:val="00875285"/>
    <w:rsid w:val="0088367C"/>
    <w:rsid w:val="00884B62"/>
    <w:rsid w:val="0088529C"/>
    <w:rsid w:val="00887903"/>
    <w:rsid w:val="0089270A"/>
    <w:rsid w:val="00893AF6"/>
    <w:rsid w:val="00894741"/>
    <w:rsid w:val="00894BC4"/>
    <w:rsid w:val="008A0A5F"/>
    <w:rsid w:val="008A28A8"/>
    <w:rsid w:val="008A5B32"/>
    <w:rsid w:val="008A5D60"/>
    <w:rsid w:val="008A6CFB"/>
    <w:rsid w:val="008B2029"/>
    <w:rsid w:val="008B2EE4"/>
    <w:rsid w:val="008B3821"/>
    <w:rsid w:val="008B4D3D"/>
    <w:rsid w:val="008B57C7"/>
    <w:rsid w:val="008C2F92"/>
    <w:rsid w:val="008C589D"/>
    <w:rsid w:val="008C6804"/>
    <w:rsid w:val="008C6D51"/>
    <w:rsid w:val="008D2846"/>
    <w:rsid w:val="008D4236"/>
    <w:rsid w:val="008D462F"/>
    <w:rsid w:val="008D57A6"/>
    <w:rsid w:val="008D5C45"/>
    <w:rsid w:val="008D6DCF"/>
    <w:rsid w:val="008E1CC3"/>
    <w:rsid w:val="008E4376"/>
    <w:rsid w:val="008E7123"/>
    <w:rsid w:val="008E7A0A"/>
    <w:rsid w:val="008E7B49"/>
    <w:rsid w:val="008F59F6"/>
    <w:rsid w:val="00900719"/>
    <w:rsid w:val="009017AC"/>
    <w:rsid w:val="00902A9A"/>
    <w:rsid w:val="00903866"/>
    <w:rsid w:val="00904A1C"/>
    <w:rsid w:val="00905030"/>
    <w:rsid w:val="00906490"/>
    <w:rsid w:val="009111B2"/>
    <w:rsid w:val="00911FED"/>
    <w:rsid w:val="009151F5"/>
    <w:rsid w:val="0091740C"/>
    <w:rsid w:val="00924AE1"/>
    <w:rsid w:val="00924FDB"/>
    <w:rsid w:val="009257ED"/>
    <w:rsid w:val="009269B1"/>
    <w:rsid w:val="0092724D"/>
    <w:rsid w:val="009272B3"/>
    <w:rsid w:val="00927433"/>
    <w:rsid w:val="009315BE"/>
    <w:rsid w:val="0093338F"/>
    <w:rsid w:val="00937BD9"/>
    <w:rsid w:val="00950E2C"/>
    <w:rsid w:val="00951D50"/>
    <w:rsid w:val="009525EB"/>
    <w:rsid w:val="0095470B"/>
    <w:rsid w:val="00954874"/>
    <w:rsid w:val="00954D01"/>
    <w:rsid w:val="0095615A"/>
    <w:rsid w:val="00956F9E"/>
    <w:rsid w:val="00961400"/>
    <w:rsid w:val="00963646"/>
    <w:rsid w:val="0096632D"/>
    <w:rsid w:val="00967124"/>
    <w:rsid w:val="00967335"/>
    <w:rsid w:val="009713CE"/>
    <w:rsid w:val="009718C7"/>
    <w:rsid w:val="0097559F"/>
    <w:rsid w:val="009761EA"/>
    <w:rsid w:val="0097761E"/>
    <w:rsid w:val="00980015"/>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48EE"/>
    <w:rsid w:val="009B5622"/>
    <w:rsid w:val="009B59E9"/>
    <w:rsid w:val="009B70AA"/>
    <w:rsid w:val="009C1A3D"/>
    <w:rsid w:val="009C1CB1"/>
    <w:rsid w:val="009C5E77"/>
    <w:rsid w:val="009C7A7E"/>
    <w:rsid w:val="009D02E8"/>
    <w:rsid w:val="009D51D0"/>
    <w:rsid w:val="009D70A4"/>
    <w:rsid w:val="009D7A52"/>
    <w:rsid w:val="009D7B14"/>
    <w:rsid w:val="009E03C0"/>
    <w:rsid w:val="009E08D1"/>
    <w:rsid w:val="009E1B95"/>
    <w:rsid w:val="009E496F"/>
    <w:rsid w:val="009E4B0D"/>
    <w:rsid w:val="009E5250"/>
    <w:rsid w:val="009E7A69"/>
    <w:rsid w:val="009E7CC6"/>
    <w:rsid w:val="009E7F92"/>
    <w:rsid w:val="009F02A3"/>
    <w:rsid w:val="009F0396"/>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163F1"/>
    <w:rsid w:val="00A22229"/>
    <w:rsid w:val="00A24442"/>
    <w:rsid w:val="00A252B9"/>
    <w:rsid w:val="00A30AF0"/>
    <w:rsid w:val="00A32577"/>
    <w:rsid w:val="00A330BB"/>
    <w:rsid w:val="00A34ACD"/>
    <w:rsid w:val="00A423F6"/>
    <w:rsid w:val="00A44882"/>
    <w:rsid w:val="00A44A02"/>
    <w:rsid w:val="00A45125"/>
    <w:rsid w:val="00A47FAA"/>
    <w:rsid w:val="00A513A9"/>
    <w:rsid w:val="00A54715"/>
    <w:rsid w:val="00A6061C"/>
    <w:rsid w:val="00A62D44"/>
    <w:rsid w:val="00A67263"/>
    <w:rsid w:val="00A7161C"/>
    <w:rsid w:val="00A77AA3"/>
    <w:rsid w:val="00A80D82"/>
    <w:rsid w:val="00A8236D"/>
    <w:rsid w:val="00A84A16"/>
    <w:rsid w:val="00A854EB"/>
    <w:rsid w:val="00A872E5"/>
    <w:rsid w:val="00A91406"/>
    <w:rsid w:val="00A92A92"/>
    <w:rsid w:val="00A92EFB"/>
    <w:rsid w:val="00A96AB8"/>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6927"/>
    <w:rsid w:val="00B07217"/>
    <w:rsid w:val="00B13851"/>
    <w:rsid w:val="00B13B1C"/>
    <w:rsid w:val="00B14B5F"/>
    <w:rsid w:val="00B21F90"/>
    <w:rsid w:val="00B22291"/>
    <w:rsid w:val="00B23F9A"/>
    <w:rsid w:val="00B2417B"/>
    <w:rsid w:val="00B24E6F"/>
    <w:rsid w:val="00B26CB5"/>
    <w:rsid w:val="00B2752E"/>
    <w:rsid w:val="00B307CC"/>
    <w:rsid w:val="00B326B7"/>
    <w:rsid w:val="00B33391"/>
    <w:rsid w:val="00B3588E"/>
    <w:rsid w:val="00B4198F"/>
    <w:rsid w:val="00B41F3D"/>
    <w:rsid w:val="00B431E8"/>
    <w:rsid w:val="00B45141"/>
    <w:rsid w:val="00B47F9F"/>
    <w:rsid w:val="00B519CD"/>
    <w:rsid w:val="00B5273A"/>
    <w:rsid w:val="00B52D96"/>
    <w:rsid w:val="00B55FB8"/>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A5D6C"/>
    <w:rsid w:val="00BB1C5C"/>
    <w:rsid w:val="00BB7A10"/>
    <w:rsid w:val="00BC5A6C"/>
    <w:rsid w:val="00BC60BE"/>
    <w:rsid w:val="00BC7468"/>
    <w:rsid w:val="00BC7D4F"/>
    <w:rsid w:val="00BC7ED7"/>
    <w:rsid w:val="00BD25CB"/>
    <w:rsid w:val="00BD2850"/>
    <w:rsid w:val="00BD6049"/>
    <w:rsid w:val="00BE28D2"/>
    <w:rsid w:val="00BE4A64"/>
    <w:rsid w:val="00BE5E43"/>
    <w:rsid w:val="00BF557D"/>
    <w:rsid w:val="00BF73A0"/>
    <w:rsid w:val="00BF7F58"/>
    <w:rsid w:val="00C00EA7"/>
    <w:rsid w:val="00C01381"/>
    <w:rsid w:val="00C01AB1"/>
    <w:rsid w:val="00C026A0"/>
    <w:rsid w:val="00C03EA4"/>
    <w:rsid w:val="00C04F42"/>
    <w:rsid w:val="00C06094"/>
    <w:rsid w:val="00C06137"/>
    <w:rsid w:val="00C06929"/>
    <w:rsid w:val="00C07851"/>
    <w:rsid w:val="00C079B8"/>
    <w:rsid w:val="00C10037"/>
    <w:rsid w:val="00C123EA"/>
    <w:rsid w:val="00C12A49"/>
    <w:rsid w:val="00C133EE"/>
    <w:rsid w:val="00C146A2"/>
    <w:rsid w:val="00C149D0"/>
    <w:rsid w:val="00C21F91"/>
    <w:rsid w:val="00C231A0"/>
    <w:rsid w:val="00C26588"/>
    <w:rsid w:val="00C27DE9"/>
    <w:rsid w:val="00C30940"/>
    <w:rsid w:val="00C31B2C"/>
    <w:rsid w:val="00C3286A"/>
    <w:rsid w:val="00C32989"/>
    <w:rsid w:val="00C33388"/>
    <w:rsid w:val="00C35484"/>
    <w:rsid w:val="00C4173A"/>
    <w:rsid w:val="00C5052F"/>
    <w:rsid w:val="00C50DED"/>
    <w:rsid w:val="00C52217"/>
    <w:rsid w:val="00C535C8"/>
    <w:rsid w:val="00C602FF"/>
    <w:rsid w:val="00C61174"/>
    <w:rsid w:val="00C6148F"/>
    <w:rsid w:val="00C61490"/>
    <w:rsid w:val="00C621B1"/>
    <w:rsid w:val="00C62F7A"/>
    <w:rsid w:val="00C63B9C"/>
    <w:rsid w:val="00C6682F"/>
    <w:rsid w:val="00C67BF4"/>
    <w:rsid w:val="00C7275E"/>
    <w:rsid w:val="00C74C5D"/>
    <w:rsid w:val="00C75C38"/>
    <w:rsid w:val="00C75E2D"/>
    <w:rsid w:val="00C77791"/>
    <w:rsid w:val="00C847E8"/>
    <w:rsid w:val="00C863C4"/>
    <w:rsid w:val="00C920EA"/>
    <w:rsid w:val="00C93C3E"/>
    <w:rsid w:val="00CA12E3"/>
    <w:rsid w:val="00CA1476"/>
    <w:rsid w:val="00CA2BCE"/>
    <w:rsid w:val="00CA6611"/>
    <w:rsid w:val="00CA6AE6"/>
    <w:rsid w:val="00CA782F"/>
    <w:rsid w:val="00CB187B"/>
    <w:rsid w:val="00CB2835"/>
    <w:rsid w:val="00CB3285"/>
    <w:rsid w:val="00CB4500"/>
    <w:rsid w:val="00CC0C72"/>
    <w:rsid w:val="00CC2BFD"/>
    <w:rsid w:val="00CC7772"/>
    <w:rsid w:val="00CD1A9A"/>
    <w:rsid w:val="00CD3476"/>
    <w:rsid w:val="00CD64DF"/>
    <w:rsid w:val="00CE225F"/>
    <w:rsid w:val="00CF2F50"/>
    <w:rsid w:val="00CF4148"/>
    <w:rsid w:val="00CF6198"/>
    <w:rsid w:val="00CF6FE5"/>
    <w:rsid w:val="00D02919"/>
    <w:rsid w:val="00D048C6"/>
    <w:rsid w:val="00D04C61"/>
    <w:rsid w:val="00D05B8D"/>
    <w:rsid w:val="00D05B9B"/>
    <w:rsid w:val="00D065A2"/>
    <w:rsid w:val="00D079AA"/>
    <w:rsid w:val="00D07F00"/>
    <w:rsid w:val="00D105C5"/>
    <w:rsid w:val="00D1130F"/>
    <w:rsid w:val="00D13362"/>
    <w:rsid w:val="00D17B72"/>
    <w:rsid w:val="00D21B36"/>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46C0"/>
    <w:rsid w:val="00D65EF1"/>
    <w:rsid w:val="00D714CC"/>
    <w:rsid w:val="00D75EA7"/>
    <w:rsid w:val="00D80C92"/>
    <w:rsid w:val="00D81ADF"/>
    <w:rsid w:val="00D81B55"/>
    <w:rsid w:val="00D81F21"/>
    <w:rsid w:val="00D8423D"/>
    <w:rsid w:val="00D84658"/>
    <w:rsid w:val="00D8506B"/>
    <w:rsid w:val="00D864F2"/>
    <w:rsid w:val="00D86965"/>
    <w:rsid w:val="00D943F8"/>
    <w:rsid w:val="00D95470"/>
    <w:rsid w:val="00D9573C"/>
    <w:rsid w:val="00D96B55"/>
    <w:rsid w:val="00DA237E"/>
    <w:rsid w:val="00DA2619"/>
    <w:rsid w:val="00DA2E57"/>
    <w:rsid w:val="00DA4239"/>
    <w:rsid w:val="00DA65DE"/>
    <w:rsid w:val="00DB0B61"/>
    <w:rsid w:val="00DB1474"/>
    <w:rsid w:val="00DB2619"/>
    <w:rsid w:val="00DB2962"/>
    <w:rsid w:val="00DB52FB"/>
    <w:rsid w:val="00DC013B"/>
    <w:rsid w:val="00DC090B"/>
    <w:rsid w:val="00DC1679"/>
    <w:rsid w:val="00DC219B"/>
    <w:rsid w:val="00DC2CF1"/>
    <w:rsid w:val="00DC2DEC"/>
    <w:rsid w:val="00DC39D5"/>
    <w:rsid w:val="00DC3A7C"/>
    <w:rsid w:val="00DC4FCF"/>
    <w:rsid w:val="00DC50E0"/>
    <w:rsid w:val="00DC6386"/>
    <w:rsid w:val="00DC65A1"/>
    <w:rsid w:val="00DC7366"/>
    <w:rsid w:val="00DD1130"/>
    <w:rsid w:val="00DD1951"/>
    <w:rsid w:val="00DD2CC5"/>
    <w:rsid w:val="00DD428A"/>
    <w:rsid w:val="00DD487D"/>
    <w:rsid w:val="00DD4E83"/>
    <w:rsid w:val="00DD6628"/>
    <w:rsid w:val="00DD6945"/>
    <w:rsid w:val="00DE2D04"/>
    <w:rsid w:val="00DE3250"/>
    <w:rsid w:val="00DE6028"/>
    <w:rsid w:val="00DE6C85"/>
    <w:rsid w:val="00DE78A3"/>
    <w:rsid w:val="00DF1A71"/>
    <w:rsid w:val="00DF35E5"/>
    <w:rsid w:val="00DF50FC"/>
    <w:rsid w:val="00DF68C7"/>
    <w:rsid w:val="00DF731A"/>
    <w:rsid w:val="00E06B75"/>
    <w:rsid w:val="00E11332"/>
    <w:rsid w:val="00E11352"/>
    <w:rsid w:val="00E13B60"/>
    <w:rsid w:val="00E170DC"/>
    <w:rsid w:val="00E17546"/>
    <w:rsid w:val="00E204A1"/>
    <w:rsid w:val="00E210B5"/>
    <w:rsid w:val="00E23DF3"/>
    <w:rsid w:val="00E261B3"/>
    <w:rsid w:val="00E26818"/>
    <w:rsid w:val="00E27FFC"/>
    <w:rsid w:val="00E30B15"/>
    <w:rsid w:val="00E32A4E"/>
    <w:rsid w:val="00E33237"/>
    <w:rsid w:val="00E40181"/>
    <w:rsid w:val="00E414C0"/>
    <w:rsid w:val="00E472B7"/>
    <w:rsid w:val="00E54950"/>
    <w:rsid w:val="00E54D01"/>
    <w:rsid w:val="00E55FB3"/>
    <w:rsid w:val="00E56A01"/>
    <w:rsid w:val="00E629A1"/>
    <w:rsid w:val="00E6794C"/>
    <w:rsid w:val="00E71591"/>
    <w:rsid w:val="00E71CEB"/>
    <w:rsid w:val="00E7474F"/>
    <w:rsid w:val="00E77901"/>
    <w:rsid w:val="00E80DE3"/>
    <w:rsid w:val="00E82C55"/>
    <w:rsid w:val="00E841D7"/>
    <w:rsid w:val="00E84D7C"/>
    <w:rsid w:val="00E8787E"/>
    <w:rsid w:val="00E91F38"/>
    <w:rsid w:val="00E92AC3"/>
    <w:rsid w:val="00EA0DBB"/>
    <w:rsid w:val="00EA2F6A"/>
    <w:rsid w:val="00EA713F"/>
    <w:rsid w:val="00EB00E0"/>
    <w:rsid w:val="00EB05D5"/>
    <w:rsid w:val="00EB0A9B"/>
    <w:rsid w:val="00EB1931"/>
    <w:rsid w:val="00EB40E5"/>
    <w:rsid w:val="00EC059F"/>
    <w:rsid w:val="00EC1F24"/>
    <w:rsid w:val="00EC20FF"/>
    <w:rsid w:val="00EC22F6"/>
    <w:rsid w:val="00EC35E0"/>
    <w:rsid w:val="00EC7E6E"/>
    <w:rsid w:val="00ED195F"/>
    <w:rsid w:val="00ED5B9B"/>
    <w:rsid w:val="00ED6BAD"/>
    <w:rsid w:val="00ED7447"/>
    <w:rsid w:val="00EE00D6"/>
    <w:rsid w:val="00EE11E7"/>
    <w:rsid w:val="00EE1488"/>
    <w:rsid w:val="00EE1730"/>
    <w:rsid w:val="00EE2299"/>
    <w:rsid w:val="00EE29AD"/>
    <w:rsid w:val="00EE3E24"/>
    <w:rsid w:val="00EE4D5D"/>
    <w:rsid w:val="00EE5131"/>
    <w:rsid w:val="00EF0747"/>
    <w:rsid w:val="00EF109B"/>
    <w:rsid w:val="00EF201C"/>
    <w:rsid w:val="00EF2C72"/>
    <w:rsid w:val="00EF36AF"/>
    <w:rsid w:val="00EF4A2A"/>
    <w:rsid w:val="00EF59A3"/>
    <w:rsid w:val="00EF6101"/>
    <w:rsid w:val="00EF6675"/>
    <w:rsid w:val="00F0063D"/>
    <w:rsid w:val="00F00DC4"/>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4CD5"/>
    <w:rsid w:val="00F35287"/>
    <w:rsid w:val="00F37762"/>
    <w:rsid w:val="00F40A70"/>
    <w:rsid w:val="00F418FD"/>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9C6"/>
    <w:rsid w:val="00F72115"/>
    <w:rsid w:val="00F72C2C"/>
    <w:rsid w:val="00F741F2"/>
    <w:rsid w:val="00F755E4"/>
    <w:rsid w:val="00F76CAB"/>
    <w:rsid w:val="00F772C6"/>
    <w:rsid w:val="00F815B5"/>
    <w:rsid w:val="00F85195"/>
    <w:rsid w:val="00F868E3"/>
    <w:rsid w:val="00F87D35"/>
    <w:rsid w:val="00F938BA"/>
    <w:rsid w:val="00F972B1"/>
    <w:rsid w:val="00F97919"/>
    <w:rsid w:val="00FA2C46"/>
    <w:rsid w:val="00FA3525"/>
    <w:rsid w:val="00FA5A53"/>
    <w:rsid w:val="00FB2D03"/>
    <w:rsid w:val="00FB3501"/>
    <w:rsid w:val="00FB4769"/>
    <w:rsid w:val="00FB4CDA"/>
    <w:rsid w:val="00FB5B4E"/>
    <w:rsid w:val="00FB6481"/>
    <w:rsid w:val="00FB6D36"/>
    <w:rsid w:val="00FC0965"/>
    <w:rsid w:val="00FC0F81"/>
    <w:rsid w:val="00FC170C"/>
    <w:rsid w:val="00FC252F"/>
    <w:rsid w:val="00FC395C"/>
    <w:rsid w:val="00FC43E7"/>
    <w:rsid w:val="00FC4A42"/>
    <w:rsid w:val="00FC5E8E"/>
    <w:rsid w:val="00FD3766"/>
    <w:rsid w:val="00FD47C4"/>
    <w:rsid w:val="00FE2DCF"/>
    <w:rsid w:val="00FE3FA7"/>
    <w:rsid w:val="00FF2A4E"/>
    <w:rsid w:val="00FF2FCE"/>
    <w:rsid w:val="00FF4F7D"/>
    <w:rsid w:val="00FF57FA"/>
    <w:rsid w:val="00FF6D9D"/>
    <w:rsid w:val="00FF7DD5"/>
    <w:rsid w:val="1092BAE6"/>
    <w:rsid w:val="2DF66492"/>
    <w:rsid w:val="372ED507"/>
    <w:rsid w:val="4DAEC683"/>
    <w:rsid w:val="541D5AD2"/>
    <w:rsid w:val="55382363"/>
    <w:rsid w:val="6BDE4292"/>
    <w:rsid w:val="7EB2A6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2C0B95F-CD4C-4E1A-B075-F7B9125D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E32A4E"/>
  </w:style>
  <w:style w:type="table" w:styleId="PlainTable1">
    <w:name w:val="Plain Table 1"/>
    <w:basedOn w:val="TableNormal"/>
    <w:uiPriority w:val="41"/>
    <w:rsid w:val="00E32A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32A4E"/>
    <w:pPr>
      <w:autoSpaceDE w:val="0"/>
      <w:autoSpaceDN w:val="0"/>
      <w:adjustRightInd w:val="0"/>
    </w:pPr>
    <w:rPr>
      <w:color w:val="000000"/>
      <w:sz w:val="24"/>
      <w:szCs w:val="24"/>
    </w:rPr>
  </w:style>
  <w:style w:type="table" w:customStyle="1" w:styleId="Purpletable">
    <w:name w:val="Purple table"/>
    <w:basedOn w:val="TableNormal"/>
    <w:next w:val="TableGrid"/>
    <w:uiPriority w:val="39"/>
    <w:rsid w:val="00EF0747"/>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EF0747"/>
    <w:rPr>
      <w:rFonts w:ascii="Arial" w:hAnsi="Arial"/>
      <w:sz w:val="21"/>
      <w:lang w:eastAsia="en-US"/>
    </w:rPr>
  </w:style>
  <w:style w:type="character" w:styleId="Mention">
    <w:name w:val="Mention"/>
    <w:basedOn w:val="DefaultParagraphFont"/>
    <w:uiPriority w:val="99"/>
    <w:unhideWhenUsed/>
    <w:rsid w:val="007B7F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vic.gov.au/in-force/acts/social-services-regulation-act-2021/001" TargetMode="External"/><Relationship Id="rId26" Type="http://schemas.openxmlformats.org/officeDocument/2006/relationships/hyperlink" Target="https://www.vic.gov.au/social-services-regulator-registration" TargetMode="External"/><Relationship Id="rId3" Type="http://schemas.openxmlformats.org/officeDocument/2006/relationships/customXml" Target="../customXml/item3.xml"/><Relationship Id="rId21" Type="http://schemas.openxmlformats.org/officeDocument/2006/relationships/hyperlink" Target="https://dhhsvicgovau.sharepoint.com/sites/HumanServicesRegulator-DHHS-GRP/Shared%20Documents/Guidance%20and%20engagement/Supported%20Residential%20Services/202410%20Oct%20tranche/Social%20Services%20Standard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email%20the%20Social%20Services%20Regulat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vic.gov.au/in-force/statutory-rules/social-services-supported-residential-services-regulations-2024/00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upported-residential-servi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reporting-changes-your-organisation"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vic.gov.au/in-force/statutory-rules/social-services-regulations-2023/001"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social-services-regulator-social-services-standards" TargetMode="External"/><Relationship Id="rId27" Type="http://schemas.openxmlformats.org/officeDocument/2006/relationships/hyperlink" Target="https://www.vic.gov.au/social-services-regulator-registration"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SharingLinks.5fa55cd0-0f9f-4eb8-ac3e-47dbd5ef9542.Flexible.764f9d80-4269-46a8-98bf-5377528c2c7c</DisplayName>
        <AccountId>58</AccountId>
        <AccountType/>
      </UserInfo>
      <UserInfo>
        <DisplayName>Anthony Kolmus (ODSC)</DisplayName>
        <AccountId>102</AccountId>
        <AccountType/>
      </UserInfo>
      <UserInfo>
        <DisplayName>Mary X Kishenevsky (DFFH)</DisplayName>
        <AccountId>835</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0C3B4A8-A3A3-4C2A-A532-6A53D430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dc74ea8-e552-4672-9e93-7e886a7af213"/>
    <ds:schemaRef ds:uri="c520fbed-e792-47a6-88e7-e35740b06176"/>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13223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Miriam Kauppi (SSR)</cp:lastModifiedBy>
  <cp:revision>14</cp:revision>
  <cp:lastPrinted>2024-12-18T22:25:00Z</cp:lastPrinted>
  <dcterms:created xsi:type="dcterms:W3CDTF">2024-12-18T03:05:00Z</dcterms:created>
  <dcterms:modified xsi:type="dcterms:W3CDTF">2024-12-18T22:25:00Z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