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6AE44419">
        <w:trPr>
          <w:trHeight w:val="1418"/>
        </w:trPr>
        <w:tc>
          <w:tcPr>
            <w:tcW w:w="7825" w:type="dxa"/>
            <w:vAlign w:val="bottom"/>
          </w:tcPr>
          <w:p w14:paraId="1B06FE4C" w14:textId="635AD8B4" w:rsidR="00AD784C" w:rsidRPr="00035BCB" w:rsidRDefault="424ED30A" w:rsidP="00035BCB">
            <w:pPr>
              <w:pStyle w:val="Heading1"/>
            </w:pPr>
            <w:bookmarkStart w:id="0" w:name="_Toc180054020"/>
            <w:bookmarkStart w:id="1" w:name="_Toc180055172"/>
            <w:r w:rsidRPr="00035BCB">
              <w:t>Guide to r</w:t>
            </w:r>
            <w:r w:rsidR="5AF333B0" w:rsidRPr="00035BCB">
              <w:t>eporting a notifiable incident</w:t>
            </w:r>
            <w:r w:rsidR="67C222D8" w:rsidRPr="00035BCB">
              <w:t xml:space="preserve"> </w:t>
            </w:r>
            <w:bookmarkEnd w:id="0"/>
            <w:bookmarkEnd w:id="1"/>
          </w:p>
        </w:tc>
      </w:tr>
      <w:tr w:rsidR="000B2117" w14:paraId="5DF317EC" w14:textId="77777777" w:rsidTr="6AE44419">
        <w:trPr>
          <w:trHeight w:val="1247"/>
        </w:trPr>
        <w:tc>
          <w:tcPr>
            <w:tcW w:w="7825" w:type="dxa"/>
          </w:tcPr>
          <w:p w14:paraId="69C24C39" w14:textId="4A21B598" w:rsidR="000B2117" w:rsidRPr="0016037B" w:rsidRDefault="00A4173E" w:rsidP="6AE44419">
            <w:pPr>
              <w:pStyle w:val="Documentsubtitle"/>
              <w:jc w:val="both"/>
            </w:pPr>
            <w:r>
              <w:t xml:space="preserve">For incidents </w:t>
            </w:r>
            <w:r w:rsidR="009A0284">
              <w:t xml:space="preserve">that happen during </w:t>
            </w:r>
            <w:r w:rsidR="005620A3">
              <w:t>service delivery</w:t>
            </w:r>
          </w:p>
        </w:tc>
      </w:tr>
      <w:tr w:rsidR="00CF4148" w14:paraId="5F5E6105" w14:textId="77777777" w:rsidTr="6AE44419">
        <w:trPr>
          <w:trHeight w:val="284"/>
        </w:trPr>
        <w:tc>
          <w:tcPr>
            <w:tcW w:w="7825" w:type="dxa"/>
          </w:tcPr>
          <w:p w14:paraId="45D389E8" w14:textId="74334762" w:rsidR="00CF4148" w:rsidRPr="00250DC4" w:rsidRDefault="00F10A8A"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82480F" w:rsidRDefault="00AD784C" w:rsidP="0082480F">
      <w:pPr>
        <w:pStyle w:val="Heading2"/>
      </w:pPr>
      <w:r w:rsidRPr="0082480F">
        <w:t>Contents</w:t>
      </w:r>
    </w:p>
    <w:p w14:paraId="6C7FC7CC" w14:textId="1ABC2F7C" w:rsidR="0064360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0055173" w:history="1">
        <w:r w:rsidR="00643606" w:rsidRPr="007738F2">
          <w:rPr>
            <w:rStyle w:val="Hyperlink"/>
          </w:rPr>
          <w:t>Introduction</w:t>
        </w:r>
        <w:r w:rsidR="00643606">
          <w:rPr>
            <w:webHidden/>
          </w:rPr>
          <w:tab/>
        </w:r>
        <w:r w:rsidR="00643606">
          <w:rPr>
            <w:webHidden/>
          </w:rPr>
          <w:fldChar w:fldCharType="begin"/>
        </w:r>
        <w:r w:rsidR="00643606">
          <w:rPr>
            <w:webHidden/>
          </w:rPr>
          <w:instrText xml:space="preserve"> PAGEREF _Toc180055173 \h </w:instrText>
        </w:r>
        <w:r w:rsidR="00643606">
          <w:rPr>
            <w:webHidden/>
          </w:rPr>
        </w:r>
        <w:r w:rsidR="00643606">
          <w:rPr>
            <w:webHidden/>
          </w:rPr>
          <w:fldChar w:fldCharType="separate"/>
        </w:r>
        <w:r w:rsidR="00643606">
          <w:rPr>
            <w:webHidden/>
          </w:rPr>
          <w:t>1</w:t>
        </w:r>
        <w:r w:rsidR="00643606">
          <w:rPr>
            <w:webHidden/>
          </w:rPr>
          <w:fldChar w:fldCharType="end"/>
        </w:r>
      </w:hyperlink>
    </w:p>
    <w:p w14:paraId="7D20E148" w14:textId="03451979" w:rsidR="00643606" w:rsidRDefault="00F10A8A">
      <w:pPr>
        <w:pStyle w:val="TOC1"/>
        <w:rPr>
          <w:rFonts w:asciiTheme="minorHAnsi" w:eastAsiaTheme="minorEastAsia" w:hAnsiTheme="minorHAnsi" w:cstheme="minorBidi"/>
          <w:b w:val="0"/>
          <w:kern w:val="2"/>
          <w:sz w:val="24"/>
          <w:szCs w:val="24"/>
          <w:lang w:eastAsia="en-AU"/>
          <w14:ligatures w14:val="standardContextual"/>
        </w:rPr>
      </w:pPr>
      <w:hyperlink w:anchor="_Toc180055174" w:history="1">
        <w:r w:rsidR="00643606" w:rsidRPr="007738F2">
          <w:rPr>
            <w:rStyle w:val="Hyperlink"/>
          </w:rPr>
          <w:t>What is a notifiable incident?</w:t>
        </w:r>
        <w:r w:rsidR="00643606">
          <w:rPr>
            <w:webHidden/>
          </w:rPr>
          <w:tab/>
        </w:r>
        <w:r w:rsidR="00643606">
          <w:rPr>
            <w:webHidden/>
          </w:rPr>
          <w:fldChar w:fldCharType="begin"/>
        </w:r>
        <w:r w:rsidR="00643606">
          <w:rPr>
            <w:webHidden/>
          </w:rPr>
          <w:instrText xml:space="preserve"> PAGEREF _Toc180055174 \h </w:instrText>
        </w:r>
        <w:r w:rsidR="00643606">
          <w:rPr>
            <w:webHidden/>
          </w:rPr>
        </w:r>
        <w:r w:rsidR="00643606">
          <w:rPr>
            <w:webHidden/>
          </w:rPr>
          <w:fldChar w:fldCharType="separate"/>
        </w:r>
        <w:r w:rsidR="00643606">
          <w:rPr>
            <w:webHidden/>
          </w:rPr>
          <w:t>1</w:t>
        </w:r>
        <w:r w:rsidR="00643606">
          <w:rPr>
            <w:webHidden/>
          </w:rPr>
          <w:fldChar w:fldCharType="end"/>
        </w:r>
      </w:hyperlink>
    </w:p>
    <w:p w14:paraId="716F70E1" w14:textId="70A0FCFF" w:rsidR="00643606" w:rsidRDefault="00F10A8A">
      <w:pPr>
        <w:pStyle w:val="TOC2"/>
        <w:rPr>
          <w:rFonts w:asciiTheme="minorHAnsi" w:eastAsiaTheme="minorEastAsia" w:hAnsiTheme="minorHAnsi" w:cstheme="minorBidi"/>
          <w:kern w:val="2"/>
          <w:sz w:val="24"/>
          <w:szCs w:val="24"/>
          <w:lang w:eastAsia="en-AU"/>
          <w14:ligatures w14:val="standardContextual"/>
        </w:rPr>
      </w:pPr>
      <w:hyperlink w:anchor="_Toc180055175" w:history="1">
        <w:r w:rsidR="00643606" w:rsidRPr="007738F2">
          <w:rPr>
            <w:rStyle w:val="Hyperlink"/>
          </w:rPr>
          <w:t>What incidents must be reported?</w:t>
        </w:r>
        <w:r w:rsidR="00643606">
          <w:rPr>
            <w:webHidden/>
          </w:rPr>
          <w:tab/>
        </w:r>
        <w:r w:rsidR="00643606">
          <w:rPr>
            <w:webHidden/>
          </w:rPr>
          <w:fldChar w:fldCharType="begin"/>
        </w:r>
        <w:r w:rsidR="00643606">
          <w:rPr>
            <w:webHidden/>
          </w:rPr>
          <w:instrText xml:space="preserve"> PAGEREF _Toc180055175 \h </w:instrText>
        </w:r>
        <w:r w:rsidR="00643606">
          <w:rPr>
            <w:webHidden/>
          </w:rPr>
        </w:r>
        <w:r w:rsidR="00643606">
          <w:rPr>
            <w:webHidden/>
          </w:rPr>
          <w:fldChar w:fldCharType="separate"/>
        </w:r>
        <w:r w:rsidR="00643606">
          <w:rPr>
            <w:webHidden/>
          </w:rPr>
          <w:t>2</w:t>
        </w:r>
        <w:r w:rsidR="00643606">
          <w:rPr>
            <w:webHidden/>
          </w:rPr>
          <w:fldChar w:fldCharType="end"/>
        </w:r>
      </w:hyperlink>
    </w:p>
    <w:p w14:paraId="5B4A4CF7" w14:textId="0D32AFEB" w:rsidR="00643606" w:rsidRDefault="00F10A8A">
      <w:pPr>
        <w:pStyle w:val="TOC1"/>
        <w:rPr>
          <w:rFonts w:asciiTheme="minorHAnsi" w:eastAsiaTheme="minorEastAsia" w:hAnsiTheme="minorHAnsi" w:cstheme="minorBidi"/>
          <w:b w:val="0"/>
          <w:kern w:val="2"/>
          <w:sz w:val="24"/>
          <w:szCs w:val="24"/>
          <w:lang w:eastAsia="en-AU"/>
          <w14:ligatures w14:val="standardContextual"/>
        </w:rPr>
      </w:pPr>
      <w:hyperlink w:anchor="_Toc180055176" w:history="1">
        <w:r w:rsidR="00643606" w:rsidRPr="007738F2">
          <w:rPr>
            <w:rStyle w:val="Hyperlink"/>
          </w:rPr>
          <w:t>Reporting requirements</w:t>
        </w:r>
        <w:r w:rsidR="00643606">
          <w:rPr>
            <w:webHidden/>
          </w:rPr>
          <w:tab/>
        </w:r>
        <w:r w:rsidR="00643606">
          <w:rPr>
            <w:webHidden/>
          </w:rPr>
          <w:fldChar w:fldCharType="begin"/>
        </w:r>
        <w:r w:rsidR="00643606">
          <w:rPr>
            <w:webHidden/>
          </w:rPr>
          <w:instrText xml:space="preserve"> PAGEREF _Toc180055176 \h </w:instrText>
        </w:r>
        <w:r w:rsidR="00643606">
          <w:rPr>
            <w:webHidden/>
          </w:rPr>
        </w:r>
        <w:r w:rsidR="00643606">
          <w:rPr>
            <w:webHidden/>
          </w:rPr>
          <w:fldChar w:fldCharType="separate"/>
        </w:r>
        <w:r w:rsidR="00643606">
          <w:rPr>
            <w:webHidden/>
          </w:rPr>
          <w:t>2</w:t>
        </w:r>
        <w:r w:rsidR="00643606">
          <w:rPr>
            <w:webHidden/>
          </w:rPr>
          <w:fldChar w:fldCharType="end"/>
        </w:r>
      </w:hyperlink>
    </w:p>
    <w:p w14:paraId="4C7788DB" w14:textId="6DE15F41" w:rsidR="00643606" w:rsidRDefault="00F10A8A">
      <w:pPr>
        <w:pStyle w:val="TOC2"/>
        <w:rPr>
          <w:rFonts w:asciiTheme="minorHAnsi" w:eastAsiaTheme="minorEastAsia" w:hAnsiTheme="minorHAnsi" w:cstheme="minorBidi"/>
          <w:kern w:val="2"/>
          <w:sz w:val="24"/>
          <w:szCs w:val="24"/>
          <w:lang w:eastAsia="en-AU"/>
          <w14:ligatures w14:val="standardContextual"/>
        </w:rPr>
      </w:pPr>
      <w:hyperlink w:anchor="_Toc180055177" w:history="1">
        <w:r w:rsidR="00643606" w:rsidRPr="007738F2">
          <w:rPr>
            <w:rStyle w:val="Hyperlink"/>
          </w:rPr>
          <w:t>Reporting serious risk and serious harm</w:t>
        </w:r>
        <w:r w:rsidR="00643606">
          <w:rPr>
            <w:webHidden/>
          </w:rPr>
          <w:tab/>
        </w:r>
        <w:r w:rsidR="00643606">
          <w:rPr>
            <w:webHidden/>
          </w:rPr>
          <w:fldChar w:fldCharType="begin"/>
        </w:r>
        <w:r w:rsidR="00643606">
          <w:rPr>
            <w:webHidden/>
          </w:rPr>
          <w:instrText xml:space="preserve"> PAGEREF _Toc180055177 \h </w:instrText>
        </w:r>
        <w:r w:rsidR="00643606">
          <w:rPr>
            <w:webHidden/>
          </w:rPr>
        </w:r>
        <w:r w:rsidR="00643606">
          <w:rPr>
            <w:webHidden/>
          </w:rPr>
          <w:fldChar w:fldCharType="separate"/>
        </w:r>
        <w:r w:rsidR="00643606">
          <w:rPr>
            <w:webHidden/>
          </w:rPr>
          <w:t>2</w:t>
        </w:r>
        <w:r w:rsidR="00643606">
          <w:rPr>
            <w:webHidden/>
          </w:rPr>
          <w:fldChar w:fldCharType="end"/>
        </w:r>
      </w:hyperlink>
    </w:p>
    <w:p w14:paraId="20CA0D55" w14:textId="591ED82F" w:rsidR="00643606" w:rsidRDefault="00F10A8A">
      <w:pPr>
        <w:pStyle w:val="TOC2"/>
        <w:rPr>
          <w:rFonts w:asciiTheme="minorHAnsi" w:eastAsiaTheme="minorEastAsia" w:hAnsiTheme="minorHAnsi" w:cstheme="minorBidi"/>
          <w:kern w:val="2"/>
          <w:sz w:val="24"/>
          <w:szCs w:val="24"/>
          <w:lang w:eastAsia="en-AU"/>
          <w14:ligatures w14:val="standardContextual"/>
        </w:rPr>
      </w:pPr>
      <w:hyperlink w:anchor="_Toc180055178" w:history="1">
        <w:r w:rsidR="00643606" w:rsidRPr="007738F2">
          <w:rPr>
            <w:rStyle w:val="Hyperlink"/>
          </w:rPr>
          <w:t xml:space="preserve">Extra reporting step for </w:t>
        </w:r>
        <w:r w:rsidR="00643606" w:rsidRPr="007738F2">
          <w:rPr>
            <w:rStyle w:val="Hyperlink"/>
            <w:iCs/>
          </w:rPr>
          <w:t xml:space="preserve">critical </w:t>
        </w:r>
        <w:r w:rsidR="00643606" w:rsidRPr="007738F2">
          <w:rPr>
            <w:rStyle w:val="Hyperlink"/>
          </w:rPr>
          <w:t>notifiable incidents</w:t>
        </w:r>
        <w:r w:rsidR="00643606">
          <w:rPr>
            <w:webHidden/>
          </w:rPr>
          <w:tab/>
        </w:r>
        <w:r w:rsidR="00643606">
          <w:rPr>
            <w:webHidden/>
          </w:rPr>
          <w:fldChar w:fldCharType="begin"/>
        </w:r>
        <w:r w:rsidR="00643606">
          <w:rPr>
            <w:webHidden/>
          </w:rPr>
          <w:instrText xml:space="preserve"> PAGEREF _Toc180055178 \h </w:instrText>
        </w:r>
        <w:r w:rsidR="00643606">
          <w:rPr>
            <w:webHidden/>
          </w:rPr>
        </w:r>
        <w:r w:rsidR="00643606">
          <w:rPr>
            <w:webHidden/>
          </w:rPr>
          <w:fldChar w:fldCharType="separate"/>
        </w:r>
        <w:r w:rsidR="00643606">
          <w:rPr>
            <w:webHidden/>
          </w:rPr>
          <w:t>4</w:t>
        </w:r>
        <w:r w:rsidR="00643606">
          <w:rPr>
            <w:webHidden/>
          </w:rPr>
          <w:fldChar w:fldCharType="end"/>
        </w:r>
      </w:hyperlink>
    </w:p>
    <w:p w14:paraId="026E2C35" w14:textId="7B2D20CF" w:rsidR="00643606" w:rsidRDefault="00F10A8A">
      <w:pPr>
        <w:pStyle w:val="TOC2"/>
        <w:rPr>
          <w:rFonts w:asciiTheme="minorHAnsi" w:eastAsiaTheme="minorEastAsia" w:hAnsiTheme="minorHAnsi" w:cstheme="minorBidi"/>
          <w:kern w:val="2"/>
          <w:sz w:val="24"/>
          <w:szCs w:val="24"/>
          <w:lang w:eastAsia="en-AU"/>
          <w14:ligatures w14:val="standardContextual"/>
        </w:rPr>
      </w:pPr>
      <w:hyperlink w:anchor="_Toc180055179" w:history="1">
        <w:r w:rsidR="00643606" w:rsidRPr="007738F2">
          <w:rPr>
            <w:rStyle w:val="Hyperlink"/>
          </w:rPr>
          <w:t>Further reporting requirements for supported residential services</w:t>
        </w:r>
        <w:r w:rsidR="00643606">
          <w:rPr>
            <w:webHidden/>
          </w:rPr>
          <w:tab/>
        </w:r>
        <w:r w:rsidR="00643606">
          <w:rPr>
            <w:webHidden/>
          </w:rPr>
          <w:fldChar w:fldCharType="begin"/>
        </w:r>
        <w:r w:rsidR="00643606">
          <w:rPr>
            <w:webHidden/>
          </w:rPr>
          <w:instrText xml:space="preserve"> PAGEREF _Toc180055179 \h </w:instrText>
        </w:r>
        <w:r w:rsidR="00643606">
          <w:rPr>
            <w:webHidden/>
          </w:rPr>
        </w:r>
        <w:r w:rsidR="00643606">
          <w:rPr>
            <w:webHidden/>
          </w:rPr>
          <w:fldChar w:fldCharType="separate"/>
        </w:r>
        <w:r w:rsidR="00643606">
          <w:rPr>
            <w:webHidden/>
          </w:rPr>
          <w:t>6</w:t>
        </w:r>
        <w:r w:rsidR="00643606">
          <w:rPr>
            <w:webHidden/>
          </w:rPr>
          <w:fldChar w:fldCharType="end"/>
        </w:r>
      </w:hyperlink>
    </w:p>
    <w:p w14:paraId="57A294D1" w14:textId="37C1FF93" w:rsidR="00643606" w:rsidRPr="00CC60E6" w:rsidRDefault="00F10A8A">
      <w:pPr>
        <w:pStyle w:val="TOC2"/>
        <w:rPr>
          <w:rFonts w:asciiTheme="minorHAnsi" w:eastAsiaTheme="minorEastAsia" w:hAnsiTheme="minorHAnsi" w:cstheme="minorBidi"/>
          <w:b/>
          <w:bCs/>
          <w:kern w:val="2"/>
          <w:sz w:val="24"/>
          <w:szCs w:val="24"/>
          <w:lang w:eastAsia="en-AU"/>
          <w14:ligatures w14:val="standardContextual"/>
        </w:rPr>
      </w:pPr>
      <w:hyperlink w:anchor="_Toc180055180" w:history="1">
        <w:r w:rsidR="00643606" w:rsidRPr="00CC60E6">
          <w:rPr>
            <w:rStyle w:val="Hyperlink"/>
            <w:b/>
            <w:bCs/>
          </w:rPr>
          <w:t>How to report</w:t>
        </w:r>
        <w:r w:rsidR="00643606" w:rsidRPr="00CC60E6">
          <w:rPr>
            <w:b/>
            <w:bCs/>
            <w:webHidden/>
          </w:rPr>
          <w:tab/>
        </w:r>
        <w:r w:rsidR="00643606" w:rsidRPr="00CC60E6">
          <w:rPr>
            <w:b/>
            <w:bCs/>
            <w:webHidden/>
          </w:rPr>
          <w:fldChar w:fldCharType="begin"/>
        </w:r>
        <w:r w:rsidR="00643606" w:rsidRPr="00CC60E6">
          <w:rPr>
            <w:b/>
            <w:bCs/>
            <w:webHidden/>
          </w:rPr>
          <w:instrText xml:space="preserve"> PAGEREF _Toc180055180 \h </w:instrText>
        </w:r>
        <w:r w:rsidR="00643606" w:rsidRPr="00CC60E6">
          <w:rPr>
            <w:b/>
            <w:bCs/>
            <w:webHidden/>
          </w:rPr>
        </w:r>
        <w:r w:rsidR="00643606" w:rsidRPr="00CC60E6">
          <w:rPr>
            <w:b/>
            <w:bCs/>
            <w:webHidden/>
          </w:rPr>
          <w:fldChar w:fldCharType="separate"/>
        </w:r>
        <w:r w:rsidR="00643606" w:rsidRPr="00CC60E6">
          <w:rPr>
            <w:b/>
            <w:bCs/>
            <w:webHidden/>
          </w:rPr>
          <w:t>7</w:t>
        </w:r>
        <w:r w:rsidR="00643606" w:rsidRPr="00CC60E6">
          <w:rPr>
            <w:b/>
            <w:bCs/>
            <w:webHidden/>
          </w:rPr>
          <w:fldChar w:fldCharType="end"/>
        </w:r>
      </w:hyperlink>
    </w:p>
    <w:p w14:paraId="623B2D43" w14:textId="1333EC2C"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2C66E564" w:rsidR="00F32368" w:rsidRPr="00292C84" w:rsidRDefault="006523D1" w:rsidP="0082480F">
      <w:pPr>
        <w:pStyle w:val="Heading2"/>
      </w:pPr>
      <w:bookmarkStart w:id="2" w:name="_Toc180055173"/>
      <w:bookmarkStart w:id="3" w:name="_Hlk41913885"/>
      <w:r w:rsidRPr="00292C84">
        <w:t>Introduction</w:t>
      </w:r>
      <w:bookmarkEnd w:id="2"/>
    </w:p>
    <w:p w14:paraId="2D86F75C" w14:textId="2F601593" w:rsidR="00292C84" w:rsidRDefault="006523D1" w:rsidP="00292C84">
      <w:pPr>
        <w:pStyle w:val="Body"/>
      </w:pPr>
      <w:r>
        <w:t>Service providers</w:t>
      </w:r>
      <w:r w:rsidR="00292C84">
        <w:t xml:space="preserve"> registered with the Social Services Regulator </w:t>
      </w:r>
      <w:r w:rsidR="00197968">
        <w:t>must</w:t>
      </w:r>
      <w:r w:rsidR="00473CD8">
        <w:t xml:space="preserve"> report</w:t>
      </w:r>
      <w:r w:rsidR="00292C84">
        <w:t xml:space="preserve"> notifiable incidents that </w:t>
      </w:r>
      <w:r w:rsidR="00DB1DE9">
        <w:t xml:space="preserve">happen </w:t>
      </w:r>
      <w:r w:rsidR="00292C84">
        <w:t>during the delivery of a registered social service.</w:t>
      </w:r>
    </w:p>
    <w:p w14:paraId="2DCC5C04" w14:textId="246E9589" w:rsidR="00292C84" w:rsidRDefault="00292C84" w:rsidP="00292C84">
      <w:pPr>
        <w:pStyle w:val="Body"/>
      </w:pPr>
      <w:r>
        <w:t xml:space="preserve">The requirement to report starts once a provider is registered. This means some providers </w:t>
      </w:r>
      <w:r w:rsidR="00473CD8">
        <w:t>won’t</w:t>
      </w:r>
      <w:r>
        <w:t xml:space="preserve"> be required to report until later in 2024 or into 2025. </w:t>
      </w:r>
    </w:p>
    <w:p w14:paraId="380DD634" w14:textId="424C2FD8" w:rsidR="006523D1" w:rsidRDefault="00292C84" w:rsidP="00F32368">
      <w:pPr>
        <w:pStyle w:val="Body"/>
      </w:pPr>
      <w:r w:rsidRPr="009B2E89">
        <w:t xml:space="preserve">This </w:t>
      </w:r>
      <w:r>
        <w:t>information</w:t>
      </w:r>
      <w:r w:rsidRPr="009B2E89">
        <w:t xml:space="preserve"> does not cover Worker Carer Exclusion Scheme (WCES) notifications.</w:t>
      </w:r>
      <w:r>
        <w:t xml:space="preserve"> More information on WCES notifications can be found at </w:t>
      </w:r>
      <w:hyperlink r:id="rId16" w:history="1">
        <w:r w:rsidRPr="000D7620">
          <w:rPr>
            <w:rStyle w:val="Hyperlink"/>
          </w:rPr>
          <w:t>The Worker and Carer Exclusion Scheme</w:t>
        </w:r>
      </w:hyperlink>
      <w:r w:rsidR="000D7620" w:rsidRPr="000D7620">
        <w:t>.</w:t>
      </w:r>
    </w:p>
    <w:p w14:paraId="24F6DA23" w14:textId="19CACFCD" w:rsidR="006D0CFC" w:rsidRDefault="00270A70" w:rsidP="00F32368">
      <w:pPr>
        <w:pStyle w:val="Body"/>
      </w:pPr>
      <w:r>
        <w:t xml:space="preserve">This guide is a downloadable </w:t>
      </w:r>
      <w:r w:rsidR="00BD35B9">
        <w:t xml:space="preserve">version of </w:t>
      </w:r>
      <w:hyperlink r:id="rId17" w:history="1">
        <w:r w:rsidR="008A3868" w:rsidRPr="00B64922">
          <w:rPr>
            <w:rStyle w:val="Hyperlink"/>
          </w:rPr>
          <w:t xml:space="preserve">this </w:t>
        </w:r>
        <w:r w:rsidR="00D36296" w:rsidRPr="00B64922">
          <w:rPr>
            <w:rStyle w:val="Hyperlink"/>
          </w:rPr>
          <w:t>webpage</w:t>
        </w:r>
      </w:hyperlink>
      <w:r w:rsidR="008A3868">
        <w:t>.</w:t>
      </w:r>
    </w:p>
    <w:p w14:paraId="14366B36" w14:textId="6FA364F1" w:rsidR="002F3B7F" w:rsidRPr="00F32368" w:rsidRDefault="00B60CBA" w:rsidP="00F32368">
      <w:pPr>
        <w:pStyle w:val="Body"/>
      </w:pPr>
      <w:r>
        <w:t xml:space="preserve">Here are some </w:t>
      </w:r>
      <w:hyperlink r:id="rId18" w:history="1">
        <w:r>
          <w:rPr>
            <w:rStyle w:val="Hyperlink"/>
          </w:rPr>
          <w:t>f</w:t>
        </w:r>
        <w:r w:rsidR="002F3B7F" w:rsidRPr="00B64922">
          <w:rPr>
            <w:rStyle w:val="Hyperlink"/>
          </w:rPr>
          <w:t>urther information on terms and definitions</w:t>
        </w:r>
      </w:hyperlink>
      <w:r w:rsidR="008A3868" w:rsidRPr="00B64922">
        <w:t>.</w:t>
      </w:r>
      <w:r w:rsidR="008A3868" w:rsidRPr="00736608">
        <w:rPr>
          <w:highlight w:val="yellow"/>
        </w:rPr>
        <w:t xml:space="preserve"> </w:t>
      </w:r>
    </w:p>
    <w:p w14:paraId="69602047" w14:textId="77777777" w:rsidR="00D44376" w:rsidRPr="00292C84" w:rsidRDefault="00D44376" w:rsidP="00D011D8">
      <w:pPr>
        <w:pStyle w:val="Heading2"/>
      </w:pPr>
      <w:bookmarkStart w:id="4" w:name="_Toc180055174"/>
      <w:bookmarkStart w:id="5" w:name="_Hlk66275438"/>
      <w:bookmarkStart w:id="6" w:name="_Toc66794859"/>
      <w:bookmarkEnd w:id="3"/>
      <w:r w:rsidRPr="00292C84">
        <w:t>What is a notifiable incident?</w:t>
      </w:r>
      <w:bookmarkEnd w:id="4"/>
    </w:p>
    <w:p w14:paraId="27C340A0" w14:textId="77777777" w:rsidR="00D44376" w:rsidRDefault="00D44376" w:rsidP="00D44376">
      <w:pPr>
        <w:pStyle w:val="Body"/>
      </w:pPr>
      <w:r>
        <w:t xml:space="preserve">There are two types of </w:t>
      </w:r>
      <w:r w:rsidRPr="00CB0F06">
        <w:t>notifiable incidents</w:t>
      </w:r>
      <w:r>
        <w:t>:</w:t>
      </w:r>
    </w:p>
    <w:p w14:paraId="08930522" w14:textId="649BA008" w:rsidR="00D44376" w:rsidRDefault="00BD3469" w:rsidP="00AB2F10">
      <w:pPr>
        <w:pStyle w:val="Body"/>
        <w:numPr>
          <w:ilvl w:val="0"/>
          <w:numId w:val="7"/>
        </w:numPr>
      </w:pPr>
      <w:r>
        <w:rPr>
          <w:b/>
        </w:rPr>
        <w:t>s</w:t>
      </w:r>
      <w:r w:rsidRPr="00362895">
        <w:rPr>
          <w:b/>
        </w:rPr>
        <w:t xml:space="preserve">erious </w:t>
      </w:r>
      <w:r w:rsidR="00D44376" w:rsidRPr="00362895">
        <w:rPr>
          <w:b/>
        </w:rPr>
        <w:t>risk</w:t>
      </w:r>
      <w:r w:rsidR="00D44376">
        <w:t xml:space="preserve"> – a serious incident that is </w:t>
      </w:r>
      <w:r w:rsidR="00D44376" w:rsidRPr="00AB6728">
        <w:rPr>
          <w:b/>
        </w:rPr>
        <w:t>reasonably likely</w:t>
      </w:r>
      <w:r w:rsidR="00D44376">
        <w:t xml:space="preserve"> to cause serious harm to a service user</w:t>
      </w:r>
    </w:p>
    <w:p w14:paraId="0B389603" w14:textId="41574386" w:rsidR="00D44376" w:rsidRPr="008A4FEF" w:rsidRDefault="00BD3469" w:rsidP="00AB2F10">
      <w:pPr>
        <w:pStyle w:val="Body"/>
        <w:numPr>
          <w:ilvl w:val="0"/>
          <w:numId w:val="7"/>
        </w:numPr>
      </w:pPr>
      <w:r>
        <w:rPr>
          <w:b/>
        </w:rPr>
        <w:t>s</w:t>
      </w:r>
      <w:r w:rsidRPr="00362895">
        <w:rPr>
          <w:b/>
        </w:rPr>
        <w:t xml:space="preserve">erious </w:t>
      </w:r>
      <w:r w:rsidR="00D44376" w:rsidRPr="00362895">
        <w:rPr>
          <w:b/>
        </w:rPr>
        <w:t>harm</w:t>
      </w:r>
      <w:r w:rsidR="00D44376">
        <w:t xml:space="preserve"> – a serious incident that </w:t>
      </w:r>
      <w:r w:rsidR="00D44376" w:rsidRPr="00AB6728">
        <w:rPr>
          <w:b/>
        </w:rPr>
        <w:t>has resulted</w:t>
      </w:r>
      <w:r w:rsidR="00D44376">
        <w:t xml:space="preserve"> in serious harm or serious injury to a service user.</w:t>
      </w:r>
    </w:p>
    <w:p w14:paraId="14DFAE76" w14:textId="04D8F3F2" w:rsidR="00D44376" w:rsidRPr="00D011D8" w:rsidRDefault="00DE30F5" w:rsidP="00D011D8">
      <w:pPr>
        <w:pStyle w:val="Heading2"/>
      </w:pPr>
      <w:bookmarkStart w:id="7" w:name="_Toc180055175"/>
      <w:r w:rsidRPr="00D011D8">
        <w:t>I</w:t>
      </w:r>
      <w:r w:rsidR="00D44376" w:rsidRPr="00D011D8">
        <w:t xml:space="preserve">ncidents </w:t>
      </w:r>
      <w:r w:rsidRPr="00D011D8">
        <w:t xml:space="preserve">that </w:t>
      </w:r>
      <w:r w:rsidR="00D44376" w:rsidRPr="00D011D8">
        <w:t>must be reported</w:t>
      </w:r>
      <w:bookmarkEnd w:id="7"/>
    </w:p>
    <w:p w14:paraId="64348F46" w14:textId="6C3764D1" w:rsidR="00D44376" w:rsidRDefault="00D44376" w:rsidP="00D44376">
      <w:pPr>
        <w:pStyle w:val="Body"/>
      </w:pPr>
      <w:r w:rsidRPr="00AB6728">
        <w:rPr>
          <w:b/>
        </w:rPr>
        <w:t>All</w:t>
      </w:r>
      <w:r>
        <w:t xml:space="preserve"> notifiable incidents must be reported to the </w:t>
      </w:r>
      <w:hyperlink r:id="rId19" w:history="1">
        <w:r w:rsidRPr="002F386D">
          <w:rPr>
            <w:rStyle w:val="Hyperlink"/>
          </w:rPr>
          <w:t>Social Services Regulator</w:t>
        </w:r>
      </w:hyperlink>
      <w:r>
        <w:t>. The definitions of notifiable incidents are in Table 1.</w:t>
      </w:r>
    </w:p>
    <w:p w14:paraId="4F69694A" w14:textId="77777777" w:rsidR="00D44376" w:rsidRDefault="00D44376" w:rsidP="00D44376">
      <w:pPr>
        <w:pStyle w:val="Body"/>
      </w:pPr>
      <w:r>
        <w:t xml:space="preserve">These requirements come from section 48 of the </w:t>
      </w:r>
      <w:r w:rsidRPr="00F119EF">
        <w:rPr>
          <w:i/>
          <w:iCs/>
        </w:rPr>
        <w:t>Social Services Regulation Act</w:t>
      </w:r>
      <w:r>
        <w:t xml:space="preserve"> </w:t>
      </w:r>
      <w:r w:rsidRPr="00F119EF">
        <w:rPr>
          <w:i/>
          <w:iCs/>
        </w:rPr>
        <w:t>2021</w:t>
      </w:r>
      <w:r>
        <w:rPr>
          <w:i/>
          <w:iCs/>
        </w:rPr>
        <w:t xml:space="preserve"> </w:t>
      </w:r>
      <w:r>
        <w:t>(the Act).</w:t>
      </w:r>
    </w:p>
    <w:p w14:paraId="19F91533" w14:textId="1986B304" w:rsidR="00D44376" w:rsidRDefault="00D44376" w:rsidP="00D44376">
      <w:pPr>
        <w:pStyle w:val="Body"/>
      </w:pPr>
      <w:r>
        <w:t>Your reporting help</w:t>
      </w:r>
      <w:r w:rsidR="00DF3982">
        <w:t>s to</w:t>
      </w:r>
      <w:r>
        <w:t xml:space="preserve"> safeguard social service users. </w:t>
      </w:r>
    </w:p>
    <w:p w14:paraId="03AF0CCA" w14:textId="5E3C7B51" w:rsidR="00D44376" w:rsidRDefault="002D7006" w:rsidP="00D44376">
      <w:pPr>
        <w:pStyle w:val="Body"/>
      </w:pPr>
      <w:r>
        <w:lastRenderedPageBreak/>
        <w:t>When you report a notifiable incident to the Regulator</w:t>
      </w:r>
      <w:r w:rsidR="00736608">
        <w:t>, this informs us</w:t>
      </w:r>
      <w:r>
        <w:t xml:space="preserve"> of </w:t>
      </w:r>
      <w:r w:rsidR="00D44376">
        <w:t>serious harm and risks of harm to service users during social service delivery</w:t>
      </w:r>
      <w:r>
        <w:t xml:space="preserve">. </w:t>
      </w:r>
      <w:r w:rsidR="00736608">
        <w:t>Reporting</w:t>
      </w:r>
      <w:r>
        <w:t xml:space="preserve"> also informs the Regulator </w:t>
      </w:r>
      <w:r w:rsidR="001D0B1A">
        <w:t xml:space="preserve">of what actions have been </w:t>
      </w:r>
      <w:r w:rsidR="00D44376">
        <w:t xml:space="preserve">taken by service providers to address the immediate </w:t>
      </w:r>
      <w:r w:rsidR="00F1549A">
        <w:t xml:space="preserve">risks to the </w:t>
      </w:r>
      <w:r w:rsidR="00D44376">
        <w:t>health and safety of their service users.</w:t>
      </w:r>
    </w:p>
    <w:p w14:paraId="6D67FECB" w14:textId="77777777" w:rsidR="00D44376" w:rsidRDefault="00D44376" w:rsidP="00D44376">
      <w:pPr>
        <w:pStyle w:val="Bullet1"/>
        <w:numPr>
          <w:ilvl w:val="0"/>
          <w:numId w:val="0"/>
        </w:numPr>
      </w:pPr>
      <w:r>
        <w:t>The Regulator makes decisions using an integrated, intelligence-led approach. We identify sector trends and needs</w:t>
      </w:r>
      <w:r w:rsidRPr="004B6EA6">
        <w:t xml:space="preserve"> </w:t>
      </w:r>
      <w:r>
        <w:t xml:space="preserve">by collecting and </w:t>
      </w:r>
      <w:r w:rsidRPr="004B6EA6">
        <w:t>analys</w:t>
      </w:r>
      <w:r>
        <w:t>ing information, including through notifiable incident reporting.</w:t>
      </w:r>
    </w:p>
    <w:p w14:paraId="74C1B0B1" w14:textId="77777777" w:rsidR="00A90FA0" w:rsidRDefault="00A90FA0" w:rsidP="00A0339E">
      <w:pPr>
        <w:pStyle w:val="Heading2"/>
      </w:pPr>
      <w:bookmarkStart w:id="8" w:name="_Toc180055176"/>
      <w:r>
        <w:t>Reporting requirements</w:t>
      </w:r>
      <w:bookmarkEnd w:id="8"/>
    </w:p>
    <w:p w14:paraId="2FEAD6EF" w14:textId="2D76B675" w:rsidR="00F102BC" w:rsidRDefault="00F102BC" w:rsidP="00A0339E">
      <w:pPr>
        <w:pStyle w:val="Heading3"/>
      </w:pPr>
      <w:bookmarkStart w:id="9" w:name="_Toc180055177"/>
      <w:r>
        <w:t>Reporting serious risk and serious harm</w:t>
      </w:r>
      <w:bookmarkEnd w:id="9"/>
    </w:p>
    <w:p w14:paraId="7500DA99" w14:textId="4BFFD067" w:rsidR="00AC0107" w:rsidRPr="00AC0107" w:rsidRDefault="000F43FE" w:rsidP="00736608">
      <w:pPr>
        <w:pStyle w:val="Body"/>
      </w:pPr>
      <w:r>
        <w:t>To report an incident</w:t>
      </w:r>
      <w:r w:rsidR="00384527">
        <w:t>,</w:t>
      </w:r>
      <w:r>
        <w:t xml:space="preserve"> you must first identify </w:t>
      </w:r>
      <w:r w:rsidR="008616A8">
        <w:t>if it is</w:t>
      </w:r>
      <w:r w:rsidR="002F3DD6">
        <w:t xml:space="preserve"> a </w:t>
      </w:r>
      <w:r w:rsidR="002F3DD6" w:rsidRPr="00384527">
        <w:rPr>
          <w:b/>
          <w:bCs/>
        </w:rPr>
        <w:t>serious</w:t>
      </w:r>
      <w:r w:rsidR="00384527" w:rsidRPr="00384527">
        <w:rPr>
          <w:b/>
          <w:bCs/>
        </w:rPr>
        <w:t xml:space="preserve"> </w:t>
      </w:r>
      <w:r w:rsidR="002F3DD6" w:rsidRPr="00384527">
        <w:rPr>
          <w:b/>
          <w:bCs/>
        </w:rPr>
        <w:t>risk</w:t>
      </w:r>
      <w:r w:rsidR="002F3DD6">
        <w:t xml:space="preserve"> or a </w:t>
      </w:r>
      <w:r w:rsidR="002F3DD6" w:rsidRPr="00384527">
        <w:rPr>
          <w:b/>
          <w:bCs/>
        </w:rPr>
        <w:t>serious</w:t>
      </w:r>
      <w:r w:rsidR="00384527" w:rsidRPr="00384527">
        <w:rPr>
          <w:b/>
          <w:bCs/>
        </w:rPr>
        <w:t xml:space="preserve"> </w:t>
      </w:r>
      <w:r w:rsidR="002F3DD6" w:rsidRPr="00384527">
        <w:rPr>
          <w:b/>
          <w:bCs/>
        </w:rPr>
        <w:t>harm</w:t>
      </w:r>
      <w:r w:rsidR="002F3DD6">
        <w:t xml:space="preserve"> notifiable incident</w:t>
      </w:r>
      <w:r w:rsidR="008616A8">
        <w:t>.</w:t>
      </w:r>
    </w:p>
    <w:p w14:paraId="0BF38366" w14:textId="46DBC498" w:rsidR="00A90FA0" w:rsidRDefault="00A90FA0" w:rsidP="00A90FA0">
      <w:pPr>
        <w:rPr>
          <w:b/>
          <w:bCs/>
        </w:rPr>
      </w:pPr>
      <w:r>
        <w:rPr>
          <w:b/>
          <w:bCs/>
        </w:rPr>
        <w:t xml:space="preserve">All </w:t>
      </w:r>
      <w:r w:rsidRPr="00A90969">
        <w:t>serious</w:t>
      </w:r>
      <w:r w:rsidR="0021176D">
        <w:t xml:space="preserve"> </w:t>
      </w:r>
      <w:r w:rsidRPr="00A90969">
        <w:t>risk and serious</w:t>
      </w:r>
      <w:r w:rsidR="0021176D">
        <w:t xml:space="preserve"> </w:t>
      </w:r>
      <w:r w:rsidRPr="00A90969">
        <w:t>harm</w:t>
      </w:r>
      <w:r>
        <w:t xml:space="preserve"> notifiable incidents must be reported to the Regulator </w:t>
      </w:r>
      <w:r w:rsidRPr="00372546">
        <w:rPr>
          <w:b/>
        </w:rPr>
        <w:t xml:space="preserve">within </w:t>
      </w:r>
      <w:r w:rsidR="00863F67">
        <w:rPr>
          <w:b/>
        </w:rPr>
        <w:t>3</w:t>
      </w:r>
      <w:r w:rsidR="00A226F9" w:rsidRPr="00372546">
        <w:rPr>
          <w:b/>
        </w:rPr>
        <w:t xml:space="preserve"> </w:t>
      </w:r>
      <w:r w:rsidRPr="00372546">
        <w:rPr>
          <w:b/>
        </w:rPr>
        <w:t>business days</w:t>
      </w:r>
      <w:r>
        <w:t xml:space="preserve">. See Table 1 for descriptions </w:t>
      </w:r>
      <w:r w:rsidRPr="00605F34">
        <w:t>and requirements</w:t>
      </w:r>
      <w:r>
        <w:t>.</w:t>
      </w:r>
    </w:p>
    <w:p w14:paraId="2FC2D771" w14:textId="491B4BB4" w:rsidR="0048348D" w:rsidRPr="00AD0AA5" w:rsidRDefault="00A90FA0" w:rsidP="00AD0AA5">
      <w:pPr>
        <w:rPr>
          <w:b/>
        </w:rPr>
      </w:pPr>
      <w:r w:rsidRPr="00AD0AA5">
        <w:rPr>
          <w:b/>
        </w:rPr>
        <w:t>Table 1: Reporting notifiable incidents</w:t>
      </w:r>
    </w:p>
    <w:tbl>
      <w:tblPr>
        <w:tblStyle w:val="Purpletable"/>
        <w:tblW w:w="4925" w:type="pct"/>
        <w:tblInd w:w="15" w:type="dxa"/>
        <w:tblLook w:val="06A0" w:firstRow="1" w:lastRow="0" w:firstColumn="1" w:lastColumn="0" w:noHBand="1" w:noVBand="1"/>
      </w:tblPr>
      <w:tblGrid>
        <w:gridCol w:w="411"/>
        <w:gridCol w:w="2409"/>
        <w:gridCol w:w="3687"/>
        <w:gridCol w:w="1274"/>
        <w:gridCol w:w="2270"/>
      </w:tblGrid>
      <w:tr w:rsidR="0065448C" w:rsidRPr="00143BCA" w14:paraId="370447C6" w14:textId="4E4187EA" w:rsidTr="00F772BD">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204" w:type="pct"/>
          </w:tcPr>
          <w:p w14:paraId="60CFE71C" w14:textId="77777777" w:rsidR="00C37A1C" w:rsidRPr="00143BCA" w:rsidRDefault="00C37A1C" w:rsidP="00D876E2">
            <w:pPr>
              <w:pStyle w:val="Tablecolhead"/>
              <w:rPr>
                <w:lang w:val="en-AU"/>
              </w:rPr>
            </w:pPr>
          </w:p>
        </w:tc>
        <w:tc>
          <w:tcPr>
            <w:tcW w:w="1198" w:type="pct"/>
          </w:tcPr>
          <w:p w14:paraId="22E20DF1" w14:textId="4ED2C865" w:rsidR="00C37A1C" w:rsidRPr="00143BCA" w:rsidRDefault="00C37A1C" w:rsidP="00D876E2">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Type</w:t>
            </w:r>
          </w:p>
        </w:tc>
        <w:tc>
          <w:tcPr>
            <w:tcW w:w="1834" w:type="pct"/>
          </w:tcPr>
          <w:p w14:paraId="553D9830" w14:textId="57C00637" w:rsidR="00C37A1C" w:rsidRPr="00143BCA" w:rsidRDefault="00C37A1C" w:rsidP="00D876E2">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Description</w:t>
            </w:r>
          </w:p>
        </w:tc>
        <w:tc>
          <w:tcPr>
            <w:tcW w:w="634" w:type="pct"/>
          </w:tcPr>
          <w:p w14:paraId="4307EDC1" w14:textId="2FCE5CE7" w:rsidR="00C37A1C" w:rsidRPr="00143BCA" w:rsidRDefault="00C37A1C" w:rsidP="00D876E2">
            <w:pPr>
              <w:pStyle w:val="Tablecolhead"/>
              <w:cnfStyle w:val="100000000000" w:firstRow="1" w:lastRow="0" w:firstColumn="0" w:lastColumn="0" w:oddVBand="0" w:evenVBand="0" w:oddHBand="0" w:evenHBand="0" w:firstRowFirstColumn="0" w:firstRowLastColumn="0" w:lastRowFirstColumn="0" w:lastRowLastColumn="0"/>
            </w:pPr>
            <w:r>
              <w:t>Reporting timeframe</w:t>
            </w:r>
          </w:p>
        </w:tc>
        <w:tc>
          <w:tcPr>
            <w:tcW w:w="1129" w:type="pct"/>
          </w:tcPr>
          <w:p w14:paraId="2238E579" w14:textId="409100E9" w:rsidR="00C37A1C" w:rsidRPr="00143BCA" w:rsidRDefault="00C37A1C" w:rsidP="00D876E2">
            <w:pPr>
              <w:pStyle w:val="Tablecolhead"/>
              <w:cnfStyle w:val="100000000000" w:firstRow="1" w:lastRow="0" w:firstColumn="0" w:lastColumn="0" w:oddVBand="0" w:evenVBand="0" w:oddHBand="0" w:evenHBand="0" w:firstRowFirstColumn="0" w:firstRowLastColumn="0" w:lastRowFirstColumn="0" w:lastRowLastColumn="0"/>
            </w:pPr>
            <w:r>
              <w:t>Reporting requirements</w:t>
            </w:r>
          </w:p>
        </w:tc>
      </w:tr>
      <w:tr w:rsidR="0065448C" w:rsidRPr="00143BCA" w14:paraId="03F346CE" w14:textId="6B9FB100" w:rsidTr="00F772BD">
        <w:tc>
          <w:tcPr>
            <w:cnfStyle w:val="001000000000" w:firstRow="0" w:lastRow="0" w:firstColumn="1" w:lastColumn="0" w:oddVBand="0" w:evenVBand="0" w:oddHBand="0" w:evenHBand="0" w:firstRowFirstColumn="0" w:firstRowLastColumn="0" w:lastRowFirstColumn="0" w:lastRowLastColumn="0"/>
            <w:tcW w:w="204" w:type="pct"/>
          </w:tcPr>
          <w:p w14:paraId="3A4244B5" w14:textId="77777777" w:rsidR="00C37A1C" w:rsidRPr="00143BCA" w:rsidRDefault="00C37A1C" w:rsidP="00D876E2">
            <w:pPr>
              <w:pStyle w:val="Tabletext"/>
              <w:jc w:val="center"/>
              <w:rPr>
                <w:lang w:val="en-AU"/>
              </w:rPr>
            </w:pPr>
            <w:r w:rsidRPr="001C7824">
              <w:rPr>
                <w:lang w:val="en-AU"/>
              </w:rPr>
              <w:t>1</w:t>
            </w:r>
          </w:p>
        </w:tc>
        <w:tc>
          <w:tcPr>
            <w:tcW w:w="1198" w:type="pct"/>
          </w:tcPr>
          <w:p w14:paraId="1B529C10" w14:textId="6A28FC7C" w:rsidR="00C37A1C" w:rsidRPr="0065448C" w:rsidRDefault="003130B6" w:rsidP="00D876E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65448C">
              <w:rPr>
                <w:b/>
                <w:bCs/>
                <w:lang w:val="en-AU"/>
              </w:rPr>
              <w:t>Severe harm or injury</w:t>
            </w:r>
          </w:p>
        </w:tc>
        <w:tc>
          <w:tcPr>
            <w:tcW w:w="1834" w:type="pct"/>
          </w:tcPr>
          <w:p w14:paraId="036F7F14" w14:textId="77777777" w:rsidR="007F1AAF" w:rsidRPr="004377EE" w:rsidRDefault="007F1AAF" w:rsidP="00AB2F10">
            <w:pPr>
              <w:pStyle w:val="DHHStabletext"/>
              <w:numPr>
                <w:ilvl w:val="0"/>
                <w:numId w:val="12"/>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Severe physical, emotional or psychological injury or suffering</w:t>
            </w:r>
          </w:p>
          <w:p w14:paraId="4B39D027" w14:textId="58CE751B" w:rsidR="00C37A1C" w:rsidRPr="004377EE" w:rsidRDefault="007F1AAF" w:rsidP="00AB2F10">
            <w:pPr>
              <w:pStyle w:val="DHHStabletext"/>
              <w:numPr>
                <w:ilvl w:val="0"/>
                <w:numId w:val="12"/>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which is likely to cause ongoing trauma</w:t>
            </w:r>
          </w:p>
        </w:tc>
        <w:tc>
          <w:tcPr>
            <w:tcW w:w="634" w:type="pct"/>
          </w:tcPr>
          <w:p w14:paraId="685649C1" w14:textId="16676823" w:rsidR="00C37A1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t>3 business days</w:t>
            </w:r>
          </w:p>
        </w:tc>
        <w:tc>
          <w:tcPr>
            <w:tcW w:w="1129" w:type="pct"/>
          </w:tcPr>
          <w:p w14:paraId="49B264E1"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51585B96" w14:textId="77777777" w:rsidR="00C37A1C" w:rsidRPr="00F570E2" w:rsidRDefault="00C37A1C" w:rsidP="00D876E2">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r w:rsidR="0065448C" w:rsidRPr="00143BCA" w14:paraId="52F1D7F2" w14:textId="078C6FD2" w:rsidTr="00F772BD">
        <w:tc>
          <w:tcPr>
            <w:cnfStyle w:val="001000000000" w:firstRow="0" w:lastRow="0" w:firstColumn="1" w:lastColumn="0" w:oddVBand="0" w:evenVBand="0" w:oddHBand="0" w:evenHBand="0" w:firstRowFirstColumn="0" w:firstRowLastColumn="0" w:lastRowFirstColumn="0" w:lastRowLastColumn="0"/>
            <w:tcW w:w="204" w:type="pct"/>
          </w:tcPr>
          <w:p w14:paraId="26F01020" w14:textId="77777777" w:rsidR="0065448C" w:rsidRPr="00143BCA" w:rsidRDefault="0065448C" w:rsidP="0065448C">
            <w:pPr>
              <w:pStyle w:val="Tabletext"/>
              <w:jc w:val="center"/>
              <w:rPr>
                <w:lang w:val="en-AU"/>
              </w:rPr>
            </w:pPr>
            <w:r w:rsidRPr="001C7824">
              <w:rPr>
                <w:lang w:val="en-AU"/>
              </w:rPr>
              <w:t>2</w:t>
            </w:r>
          </w:p>
        </w:tc>
        <w:tc>
          <w:tcPr>
            <w:tcW w:w="1198" w:type="pct"/>
          </w:tcPr>
          <w:p w14:paraId="62A75372" w14:textId="579ECB8C" w:rsidR="0065448C" w:rsidRPr="0065448C"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65448C">
              <w:rPr>
                <w:b/>
                <w:bCs/>
                <w:lang w:val="en-AU"/>
              </w:rPr>
              <w:t>Pattern of incidents causing harm</w:t>
            </w:r>
          </w:p>
        </w:tc>
        <w:tc>
          <w:tcPr>
            <w:tcW w:w="1834" w:type="pct"/>
          </w:tcPr>
          <w:p w14:paraId="38145003" w14:textId="77777777" w:rsidR="00294A7D" w:rsidRPr="004377EE" w:rsidRDefault="00294A7D" w:rsidP="00294A7D">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A pattern of incidents related to one service user which:</w:t>
            </w:r>
          </w:p>
          <w:p w14:paraId="4839229E" w14:textId="7E4E59A1" w:rsidR="0065448C" w:rsidRPr="004377EE" w:rsidRDefault="00294A7D" w:rsidP="00AB2F10">
            <w:pPr>
              <w:pStyle w:val="Tabletext"/>
              <w:numPr>
                <w:ilvl w:val="0"/>
                <w:numId w:val="13"/>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4377EE">
              <w:rPr>
                <w:rFonts w:cs="Arial"/>
                <w:sz w:val="20"/>
                <w:szCs w:val="20"/>
              </w:rPr>
              <w:t>when taken together has a cumulative effect that causes serious harm or creates a risk of serious harm even if each individual incident is not a notifiable incident)</w:t>
            </w:r>
          </w:p>
        </w:tc>
        <w:tc>
          <w:tcPr>
            <w:tcW w:w="634" w:type="pct"/>
          </w:tcPr>
          <w:p w14:paraId="31AA8E34" w14:textId="55389D8E" w:rsidR="0065448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t>3 business days</w:t>
            </w:r>
          </w:p>
        </w:tc>
        <w:tc>
          <w:tcPr>
            <w:tcW w:w="1129" w:type="pct"/>
          </w:tcPr>
          <w:p w14:paraId="4640CD97"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771E1C3B" w14:textId="77777777" w:rsidR="0065448C" w:rsidRPr="00F570E2" w:rsidRDefault="0065448C"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r w:rsidR="0065448C" w:rsidRPr="00143BCA" w14:paraId="71A46ABE" w14:textId="2B138114" w:rsidTr="00F772BD">
        <w:tc>
          <w:tcPr>
            <w:cnfStyle w:val="001000000000" w:firstRow="0" w:lastRow="0" w:firstColumn="1" w:lastColumn="0" w:oddVBand="0" w:evenVBand="0" w:oddHBand="0" w:evenHBand="0" w:firstRowFirstColumn="0" w:firstRowLastColumn="0" w:lastRowFirstColumn="0" w:lastRowLastColumn="0"/>
            <w:tcW w:w="204" w:type="pct"/>
          </w:tcPr>
          <w:p w14:paraId="22F642DF" w14:textId="77777777" w:rsidR="0065448C" w:rsidRPr="00143BCA" w:rsidRDefault="0065448C" w:rsidP="0065448C">
            <w:pPr>
              <w:pStyle w:val="Tabletext"/>
              <w:jc w:val="center"/>
              <w:rPr>
                <w:lang w:val="en-AU"/>
              </w:rPr>
            </w:pPr>
            <w:r w:rsidRPr="001C7824">
              <w:rPr>
                <w:lang w:val="en-AU"/>
              </w:rPr>
              <w:t>3</w:t>
            </w:r>
          </w:p>
        </w:tc>
        <w:tc>
          <w:tcPr>
            <w:tcW w:w="1198" w:type="pct"/>
          </w:tcPr>
          <w:p w14:paraId="31B70D4B" w14:textId="672A41AF" w:rsidR="005A3CDA"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65448C">
              <w:rPr>
                <w:b/>
                <w:bCs/>
                <w:lang w:val="en-AU"/>
              </w:rPr>
              <w:t>Emotional/</w:t>
            </w:r>
          </w:p>
          <w:p w14:paraId="5C702453" w14:textId="5B26D773" w:rsidR="0065448C" w:rsidRPr="0065448C"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65448C">
              <w:rPr>
                <w:b/>
                <w:bCs/>
                <w:lang w:val="en-AU"/>
              </w:rPr>
              <w:t>psychological abuse</w:t>
            </w:r>
          </w:p>
        </w:tc>
        <w:tc>
          <w:tcPr>
            <w:tcW w:w="1834" w:type="pct"/>
          </w:tcPr>
          <w:p w14:paraId="3F8A06B3" w14:textId="77777777" w:rsidR="00E4221D" w:rsidRPr="004377EE" w:rsidRDefault="00E4221D" w:rsidP="00AB2F10">
            <w:pPr>
              <w:pStyle w:val="DHHStabletext"/>
              <w:numPr>
                <w:ilvl w:val="0"/>
                <w:numId w:val="14"/>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Actions or behaviours that reject, isolate, intimidate, or frighten by threats, or</w:t>
            </w:r>
          </w:p>
          <w:p w14:paraId="2D2FD6BF" w14:textId="77777777" w:rsidR="00E4221D" w:rsidRPr="004377EE" w:rsidRDefault="00E4221D" w:rsidP="00AB2F10">
            <w:pPr>
              <w:pStyle w:val="DHHStabletext"/>
              <w:numPr>
                <w:ilvl w:val="0"/>
                <w:numId w:val="14"/>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witnessing of family violence</w:t>
            </w:r>
          </w:p>
          <w:p w14:paraId="1F4E2F6F" w14:textId="7C2440CC" w:rsidR="00E4221D" w:rsidRPr="004377EE" w:rsidRDefault="00E4221D" w:rsidP="00AB2F10">
            <w:pPr>
              <w:pStyle w:val="DHHStabletext"/>
              <w:numPr>
                <w:ilvl w:val="0"/>
                <w:numId w:val="14"/>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to the extent that the service user’s behaviour is disturbed or their emotional/psychological wellbeing is (or is at risk of being) seriously impaired. This includes:</w:t>
            </w:r>
          </w:p>
          <w:p w14:paraId="06C6FA1C" w14:textId="77777777" w:rsidR="00F772BD" w:rsidRPr="004377EE" w:rsidRDefault="00F772BD" w:rsidP="00CF4801">
            <w:pPr>
              <w:pStyle w:val="DHHStablebullet1"/>
              <w:numPr>
                <w:ilvl w:val="0"/>
                <w:numId w:val="27"/>
              </w:numPr>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rejecting, isolating, terrorising and ignoring behaviours</w:t>
            </w:r>
          </w:p>
          <w:p w14:paraId="1A75B9C0" w14:textId="77777777" w:rsidR="00F772BD" w:rsidRPr="004377EE" w:rsidRDefault="00F772BD" w:rsidP="00CF4801">
            <w:pPr>
              <w:pStyle w:val="DHHStablebullet1"/>
              <w:numPr>
                <w:ilvl w:val="0"/>
                <w:numId w:val="27"/>
              </w:numPr>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denying cultural or religious needs and preferences</w:t>
            </w:r>
          </w:p>
          <w:p w14:paraId="3163B7BC" w14:textId="77777777" w:rsidR="00F772BD" w:rsidRPr="004377EE" w:rsidRDefault="00F772BD" w:rsidP="00CF4801">
            <w:pPr>
              <w:pStyle w:val="DHHStablebullet1"/>
              <w:numPr>
                <w:ilvl w:val="0"/>
                <w:numId w:val="27"/>
              </w:numPr>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emotional abuse perpetrated by other clients</w:t>
            </w:r>
          </w:p>
          <w:p w14:paraId="598C6C58" w14:textId="77777777" w:rsidR="00F772BD" w:rsidRPr="004377EE" w:rsidRDefault="00F772BD" w:rsidP="00CF4801">
            <w:pPr>
              <w:pStyle w:val="DHHStablebullet1"/>
              <w:numPr>
                <w:ilvl w:val="0"/>
                <w:numId w:val="27"/>
              </w:numPr>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staff on service user assault (see the frequently asked questions for more information)</w:t>
            </w:r>
          </w:p>
          <w:p w14:paraId="552E70A6" w14:textId="4382EF75" w:rsidR="0065448C" w:rsidRPr="004377EE" w:rsidRDefault="00412336" w:rsidP="00412336">
            <w:pPr>
              <w:pStyle w:val="DHHS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 xml:space="preserve">Service providers should consider any potential power imbalance between the </w:t>
            </w:r>
            <w:r w:rsidRPr="004377EE">
              <w:rPr>
                <w:rFonts w:cs="Arial"/>
                <w:sz w:val="20"/>
                <w:szCs w:val="20"/>
              </w:rPr>
              <w:lastRenderedPageBreak/>
              <w:t>service user and the person engaging in the behaviour</w:t>
            </w:r>
          </w:p>
        </w:tc>
        <w:tc>
          <w:tcPr>
            <w:tcW w:w="634" w:type="pct"/>
          </w:tcPr>
          <w:p w14:paraId="264B9969" w14:textId="02144EAE" w:rsidR="0065448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lastRenderedPageBreak/>
              <w:t>3 business days</w:t>
            </w:r>
          </w:p>
        </w:tc>
        <w:tc>
          <w:tcPr>
            <w:tcW w:w="1129" w:type="pct"/>
          </w:tcPr>
          <w:p w14:paraId="5C0243C9"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3D490D03" w14:textId="77777777" w:rsidR="0065448C" w:rsidRPr="00F570E2" w:rsidRDefault="0065448C"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r w:rsidR="0065448C" w:rsidRPr="00143BCA" w14:paraId="6EF768A3" w14:textId="3B8B46D6" w:rsidTr="00F772BD">
        <w:tc>
          <w:tcPr>
            <w:cnfStyle w:val="001000000000" w:firstRow="0" w:lastRow="0" w:firstColumn="1" w:lastColumn="0" w:oddVBand="0" w:evenVBand="0" w:oddHBand="0" w:evenHBand="0" w:firstRowFirstColumn="0" w:firstRowLastColumn="0" w:lastRowFirstColumn="0" w:lastRowLastColumn="0"/>
            <w:tcW w:w="204" w:type="pct"/>
          </w:tcPr>
          <w:p w14:paraId="4B9FDE14" w14:textId="77777777" w:rsidR="0065448C" w:rsidRPr="00143BCA" w:rsidRDefault="0065448C" w:rsidP="0065448C">
            <w:pPr>
              <w:pStyle w:val="Tabletext"/>
              <w:jc w:val="center"/>
              <w:rPr>
                <w:lang w:val="en-AU"/>
              </w:rPr>
            </w:pPr>
            <w:r w:rsidRPr="001C7824">
              <w:rPr>
                <w:lang w:val="en-AU"/>
              </w:rPr>
              <w:t>4</w:t>
            </w:r>
          </w:p>
        </w:tc>
        <w:tc>
          <w:tcPr>
            <w:tcW w:w="1198" w:type="pct"/>
          </w:tcPr>
          <w:p w14:paraId="4F178433" w14:textId="5CD2DEA6" w:rsidR="0065448C" w:rsidRPr="0065448C"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65448C">
              <w:rPr>
                <w:b/>
                <w:bCs/>
                <w:lang w:val="en-AU"/>
              </w:rPr>
              <w:t>Financial abuse</w:t>
            </w:r>
          </w:p>
        </w:tc>
        <w:tc>
          <w:tcPr>
            <w:tcW w:w="1834" w:type="pct"/>
          </w:tcPr>
          <w:p w14:paraId="5884EB24" w14:textId="77777777" w:rsidR="005E2F30" w:rsidRPr="004377EE" w:rsidRDefault="005E2F30" w:rsidP="005E2F30">
            <w:pPr>
              <w:pStyle w:val="DHHS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The misuse of a service user’s assets, property, possessions and finances without their consent, including:</w:t>
            </w:r>
          </w:p>
          <w:p w14:paraId="7E3DA0E9" w14:textId="77777777" w:rsidR="005E2F30" w:rsidRPr="004377EE" w:rsidRDefault="005E2F30" w:rsidP="00AB2F10">
            <w:pPr>
              <w:pStyle w:val="DHHStablebullet1"/>
              <w:numPr>
                <w:ilvl w:val="0"/>
                <w:numId w:val="16"/>
              </w:numPr>
              <w:tabs>
                <w:tab w:val="clear" w:pos="397"/>
              </w:tabs>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denying a service user the use of their own assets, property, possessions and finances</w:t>
            </w:r>
          </w:p>
          <w:p w14:paraId="1D530CDF" w14:textId="77777777" w:rsidR="005E2F30" w:rsidRPr="004377EE" w:rsidRDefault="005E2F30" w:rsidP="00AB2F10">
            <w:pPr>
              <w:pStyle w:val="DHHStablebullet1"/>
              <w:numPr>
                <w:ilvl w:val="0"/>
                <w:numId w:val="16"/>
              </w:numPr>
              <w:tabs>
                <w:tab w:val="clear" w:pos="397"/>
              </w:tabs>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theft, fraud, exploitation and pressure in relation to assets, property, possessions and finances</w:t>
            </w:r>
          </w:p>
          <w:p w14:paraId="1621952A" w14:textId="77777777" w:rsidR="005E2F30" w:rsidRPr="004377EE" w:rsidRDefault="005E2F30" w:rsidP="00AB2F10">
            <w:pPr>
              <w:pStyle w:val="DHHStablebullet1"/>
              <w:numPr>
                <w:ilvl w:val="0"/>
                <w:numId w:val="16"/>
              </w:numPr>
              <w:tabs>
                <w:tab w:val="clear" w:pos="397"/>
              </w:tabs>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obtaining assets through deception.</w:t>
            </w:r>
          </w:p>
          <w:p w14:paraId="543777AF" w14:textId="2164310B" w:rsidR="0065448C" w:rsidRPr="004377EE" w:rsidRDefault="005E2F30" w:rsidP="005E2F30">
            <w:pPr>
              <w:pStyle w:val="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4377EE">
              <w:rPr>
                <w:rFonts w:cs="Arial"/>
                <w:sz w:val="20"/>
                <w:szCs w:val="20"/>
              </w:rPr>
              <w:t>This also includes financial abuse perpetrated by other service users</w:t>
            </w:r>
          </w:p>
        </w:tc>
        <w:tc>
          <w:tcPr>
            <w:tcW w:w="634" w:type="pct"/>
          </w:tcPr>
          <w:p w14:paraId="692945B9" w14:textId="61ADE1D3" w:rsidR="0065448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t>3 business days</w:t>
            </w:r>
          </w:p>
        </w:tc>
        <w:tc>
          <w:tcPr>
            <w:tcW w:w="1129" w:type="pct"/>
          </w:tcPr>
          <w:p w14:paraId="0D2637A8"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6F64BD12" w14:textId="77777777" w:rsidR="0065448C" w:rsidRPr="00F570E2" w:rsidRDefault="0065448C"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r w:rsidR="0065448C" w:rsidRPr="00143BCA" w14:paraId="3AEE6C63" w14:textId="5CD80DBD" w:rsidTr="00F772BD">
        <w:tc>
          <w:tcPr>
            <w:cnfStyle w:val="001000000000" w:firstRow="0" w:lastRow="0" w:firstColumn="1" w:lastColumn="0" w:oddVBand="0" w:evenVBand="0" w:oddHBand="0" w:evenHBand="0" w:firstRowFirstColumn="0" w:firstRowLastColumn="0" w:lastRowFirstColumn="0" w:lastRowLastColumn="0"/>
            <w:tcW w:w="204" w:type="pct"/>
          </w:tcPr>
          <w:p w14:paraId="24761CEB" w14:textId="77777777" w:rsidR="0065448C" w:rsidRPr="00143BCA" w:rsidRDefault="0065448C" w:rsidP="0065448C">
            <w:pPr>
              <w:pStyle w:val="Tabletext"/>
              <w:jc w:val="center"/>
              <w:rPr>
                <w:lang w:val="en-AU"/>
              </w:rPr>
            </w:pPr>
            <w:r w:rsidRPr="001C7824">
              <w:rPr>
                <w:lang w:val="en-AU"/>
              </w:rPr>
              <w:t>5</w:t>
            </w:r>
          </w:p>
        </w:tc>
        <w:tc>
          <w:tcPr>
            <w:tcW w:w="1198" w:type="pct"/>
          </w:tcPr>
          <w:p w14:paraId="624025D5" w14:textId="05C3FC9D" w:rsidR="0065448C" w:rsidRPr="0065448C"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65448C">
              <w:rPr>
                <w:b/>
                <w:bCs/>
                <w:lang w:val="en-AU"/>
              </w:rPr>
              <w:t>Self-harm/attempted suicide</w:t>
            </w:r>
          </w:p>
        </w:tc>
        <w:tc>
          <w:tcPr>
            <w:tcW w:w="1834" w:type="pct"/>
          </w:tcPr>
          <w:p w14:paraId="5F5336CE" w14:textId="77777777" w:rsidR="0013638F" w:rsidRPr="004377EE" w:rsidRDefault="0013638F" w:rsidP="00AB2F10">
            <w:pPr>
              <w:pStyle w:val="Tabletext"/>
              <w:numPr>
                <w:ilvl w:val="0"/>
                <w:numId w:val="1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 xml:space="preserve">Actions that intentionally cause harm or injury to self, or </w:t>
            </w:r>
          </w:p>
          <w:p w14:paraId="51F83AA3" w14:textId="166A6F54" w:rsidR="0065448C" w:rsidRPr="004377EE" w:rsidRDefault="0013638F" w:rsidP="00AB2F10">
            <w:pPr>
              <w:pStyle w:val="Tabletext"/>
              <w:numPr>
                <w:ilvl w:val="0"/>
                <w:numId w:val="1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4377EE">
              <w:rPr>
                <w:rFonts w:cs="Arial"/>
                <w:sz w:val="20"/>
                <w:szCs w:val="20"/>
              </w:rPr>
              <w:t>actions to attempt suicide (the intention to end one’s own life).</w:t>
            </w:r>
          </w:p>
        </w:tc>
        <w:tc>
          <w:tcPr>
            <w:tcW w:w="634" w:type="pct"/>
          </w:tcPr>
          <w:p w14:paraId="6793EEDD" w14:textId="7190AE3D" w:rsidR="0065448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t>3 business days</w:t>
            </w:r>
          </w:p>
        </w:tc>
        <w:tc>
          <w:tcPr>
            <w:tcW w:w="1129" w:type="pct"/>
          </w:tcPr>
          <w:p w14:paraId="6E41386A"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313F8102" w14:textId="77777777" w:rsidR="0065448C" w:rsidRPr="00F570E2" w:rsidRDefault="0065448C"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r w:rsidR="0065448C" w:rsidRPr="00143BCA" w14:paraId="3E6DD162" w14:textId="77777777" w:rsidTr="00F772BD">
        <w:tc>
          <w:tcPr>
            <w:cnfStyle w:val="001000000000" w:firstRow="0" w:lastRow="0" w:firstColumn="1" w:lastColumn="0" w:oddVBand="0" w:evenVBand="0" w:oddHBand="0" w:evenHBand="0" w:firstRowFirstColumn="0" w:firstRowLastColumn="0" w:lastRowFirstColumn="0" w:lastRowLastColumn="0"/>
            <w:tcW w:w="204" w:type="pct"/>
          </w:tcPr>
          <w:p w14:paraId="3765AD35" w14:textId="7DD65E3B" w:rsidR="0065448C" w:rsidRPr="001C7824" w:rsidRDefault="0065448C" w:rsidP="0065448C">
            <w:pPr>
              <w:pStyle w:val="Tabletext"/>
              <w:jc w:val="center"/>
            </w:pPr>
            <w:r>
              <w:t>6</w:t>
            </w:r>
          </w:p>
        </w:tc>
        <w:tc>
          <w:tcPr>
            <w:tcW w:w="1198" w:type="pct"/>
          </w:tcPr>
          <w:p w14:paraId="52B29B2D" w14:textId="683C2411" w:rsidR="0065448C" w:rsidRPr="0065448C"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rPr>
            </w:pPr>
            <w:r w:rsidRPr="0065448C">
              <w:rPr>
                <w:b/>
                <w:bCs/>
              </w:rPr>
              <w:t>Sexual exploitation</w:t>
            </w:r>
          </w:p>
        </w:tc>
        <w:tc>
          <w:tcPr>
            <w:tcW w:w="1834" w:type="pct"/>
          </w:tcPr>
          <w:p w14:paraId="54CC4505" w14:textId="77777777" w:rsidR="000E075A" w:rsidRPr="004377EE" w:rsidRDefault="000E075A" w:rsidP="000E075A">
            <w:pPr>
              <w:pStyle w:val="DHHS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4377EE">
              <w:rPr>
                <w:rFonts w:cs="Arial"/>
                <w:sz w:val="20"/>
                <w:szCs w:val="20"/>
              </w:rPr>
              <w:t>Sexual exploitation is defined as the abuse of a person under 18 or a person with a cognitive disability, which may include:</w:t>
            </w:r>
          </w:p>
          <w:p w14:paraId="3B80B9CB" w14:textId="77777777" w:rsidR="000E075A" w:rsidRPr="004377EE" w:rsidRDefault="000E075A" w:rsidP="00AB2F10">
            <w:pPr>
              <w:pStyle w:val="DHHStablebullet1"/>
              <w:numPr>
                <w:ilvl w:val="0"/>
                <w:numId w:val="17"/>
              </w:numPr>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the exchange of sex or sexual acts for money, goods, substance or favours</w:t>
            </w:r>
          </w:p>
          <w:p w14:paraId="54646694" w14:textId="77777777" w:rsidR="000E075A" w:rsidRPr="004377EE" w:rsidRDefault="000E075A" w:rsidP="00AB2F10">
            <w:pPr>
              <w:pStyle w:val="DHHStablebullet1"/>
              <w:numPr>
                <w:ilvl w:val="0"/>
                <w:numId w:val="17"/>
              </w:numPr>
              <w:cnfStyle w:val="000000000000" w:firstRow="0" w:lastRow="0" w:firstColumn="0" w:lastColumn="0" w:oddVBand="0" w:evenVBand="0" w:oddHBand="0" w:evenHBand="0" w:firstRowFirstColumn="0" w:firstRowLastColumn="0" w:lastRowFirstColumn="0" w:lastRowLastColumn="0"/>
              <w:rPr>
                <w:rFonts w:cs="Arial"/>
                <w:szCs w:val="20"/>
              </w:rPr>
            </w:pPr>
            <w:r w:rsidRPr="004377EE">
              <w:rPr>
                <w:rFonts w:cs="Arial"/>
                <w:szCs w:val="20"/>
              </w:rPr>
              <w:t>involving a child in creating pornography</w:t>
            </w:r>
          </w:p>
          <w:p w14:paraId="28F7EDC8" w14:textId="2AC020B2" w:rsidR="0065448C" w:rsidRPr="004377EE" w:rsidRDefault="000E075A" w:rsidP="00AB2F10">
            <w:pPr>
              <w:pStyle w:val="Tabletext"/>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4377EE">
              <w:rPr>
                <w:rFonts w:cs="Arial"/>
                <w:sz w:val="20"/>
                <w:szCs w:val="20"/>
              </w:rPr>
              <w:t>contact with a known sex offender.</w:t>
            </w:r>
          </w:p>
        </w:tc>
        <w:tc>
          <w:tcPr>
            <w:tcW w:w="634" w:type="pct"/>
          </w:tcPr>
          <w:p w14:paraId="4A69E2BA" w14:textId="098EBDF8" w:rsidR="0065448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t>3 business days</w:t>
            </w:r>
          </w:p>
        </w:tc>
        <w:tc>
          <w:tcPr>
            <w:tcW w:w="1129" w:type="pct"/>
          </w:tcPr>
          <w:p w14:paraId="1E45A42B"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5B2BE7F0" w14:textId="77777777" w:rsidR="0065448C" w:rsidRPr="00F570E2" w:rsidRDefault="0065448C"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r w:rsidR="0065448C" w:rsidRPr="00143BCA" w14:paraId="45558B86" w14:textId="77777777" w:rsidTr="00F772BD">
        <w:tc>
          <w:tcPr>
            <w:cnfStyle w:val="001000000000" w:firstRow="0" w:lastRow="0" w:firstColumn="1" w:lastColumn="0" w:oddVBand="0" w:evenVBand="0" w:oddHBand="0" w:evenHBand="0" w:firstRowFirstColumn="0" w:firstRowLastColumn="0" w:lastRowFirstColumn="0" w:lastRowLastColumn="0"/>
            <w:tcW w:w="204" w:type="pct"/>
          </w:tcPr>
          <w:p w14:paraId="370D00F3" w14:textId="740DE6D1" w:rsidR="0065448C" w:rsidRPr="001C7824" w:rsidRDefault="0065448C" w:rsidP="0065448C">
            <w:pPr>
              <w:pStyle w:val="Tabletext"/>
              <w:jc w:val="center"/>
            </w:pPr>
            <w:r>
              <w:t>7</w:t>
            </w:r>
          </w:p>
        </w:tc>
        <w:tc>
          <w:tcPr>
            <w:tcW w:w="1198" w:type="pct"/>
          </w:tcPr>
          <w:p w14:paraId="08EA4638" w14:textId="15A9CC0E" w:rsidR="0065448C" w:rsidRPr="0065448C" w:rsidRDefault="0065448C" w:rsidP="0065448C">
            <w:pPr>
              <w:pStyle w:val="Tabletext"/>
              <w:cnfStyle w:val="000000000000" w:firstRow="0" w:lastRow="0" w:firstColumn="0" w:lastColumn="0" w:oddVBand="0" w:evenVBand="0" w:oddHBand="0" w:evenHBand="0" w:firstRowFirstColumn="0" w:firstRowLastColumn="0" w:lastRowFirstColumn="0" w:lastRowLastColumn="0"/>
              <w:rPr>
                <w:b/>
                <w:bCs/>
              </w:rPr>
            </w:pPr>
            <w:r w:rsidRPr="0065448C">
              <w:rPr>
                <w:b/>
                <w:bCs/>
              </w:rPr>
              <w:t>Poor quality of care/neglect</w:t>
            </w:r>
          </w:p>
        </w:tc>
        <w:tc>
          <w:tcPr>
            <w:tcW w:w="1834" w:type="pct"/>
          </w:tcPr>
          <w:p w14:paraId="1E9480F4" w14:textId="6399A4BB" w:rsidR="0065448C" w:rsidRPr="004377EE" w:rsidRDefault="004377EE"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377EE">
              <w:rPr>
                <w:rFonts w:cs="Arial"/>
                <w:sz w:val="20"/>
                <w:szCs w:val="20"/>
              </w:rPr>
              <w:t>Inappropriate or inadequate care by caregivers or staff to the extent that the health, wellbeing and development of the service user is significantly impaired or at risk.</w:t>
            </w:r>
          </w:p>
        </w:tc>
        <w:tc>
          <w:tcPr>
            <w:tcW w:w="634" w:type="pct"/>
          </w:tcPr>
          <w:p w14:paraId="4223C35E" w14:textId="2B0CB275" w:rsidR="0065448C" w:rsidRPr="00F570E2" w:rsidRDefault="0065448C" w:rsidP="0065448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F570E2">
              <w:rPr>
                <w:sz w:val="20"/>
                <w:szCs w:val="20"/>
              </w:rPr>
              <w:t>3 business days</w:t>
            </w:r>
          </w:p>
        </w:tc>
        <w:tc>
          <w:tcPr>
            <w:tcW w:w="1129" w:type="pct"/>
          </w:tcPr>
          <w:p w14:paraId="3A1EB1D7" w14:textId="77777777" w:rsidR="00FF26B1" w:rsidRPr="005C3C87" w:rsidRDefault="00FF26B1" w:rsidP="00FF26B1">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710AC5DC" w14:textId="77777777" w:rsidR="0065448C" w:rsidRPr="00F570E2" w:rsidRDefault="0065448C" w:rsidP="0065448C">
            <w:pPr>
              <w:pStyle w:val="Tabletext"/>
              <w:cnfStyle w:val="000000000000" w:firstRow="0" w:lastRow="0" w:firstColumn="0" w:lastColumn="0" w:oddVBand="0" w:evenVBand="0" w:oddHBand="0" w:evenHBand="0" w:firstRowFirstColumn="0" w:firstRowLastColumn="0" w:lastRowFirstColumn="0" w:lastRowLastColumn="0"/>
              <w:rPr>
                <w:sz w:val="20"/>
                <w:szCs w:val="20"/>
              </w:rPr>
            </w:pPr>
          </w:p>
        </w:tc>
      </w:tr>
    </w:tbl>
    <w:p w14:paraId="0203DC93" w14:textId="5DC1F5BC" w:rsidR="00F102BC" w:rsidRDefault="00F102BC" w:rsidP="0048348D">
      <w:pPr>
        <w:spacing w:after="0" w:line="240" w:lineRule="auto"/>
        <w:textAlignment w:val="baseline"/>
        <w:rPr>
          <w:rFonts w:cs="Arial"/>
          <w:szCs w:val="21"/>
          <w:highlight w:val="yellow"/>
          <w:lang w:eastAsia="en-AU"/>
        </w:rPr>
      </w:pPr>
    </w:p>
    <w:p w14:paraId="74FD0C4E" w14:textId="77777777" w:rsidR="00F102BC" w:rsidRDefault="00F102BC">
      <w:pPr>
        <w:spacing w:after="0" w:line="240" w:lineRule="auto"/>
        <w:rPr>
          <w:rFonts w:cs="Arial"/>
          <w:szCs w:val="21"/>
          <w:highlight w:val="yellow"/>
          <w:lang w:eastAsia="en-AU"/>
        </w:rPr>
      </w:pPr>
      <w:r>
        <w:rPr>
          <w:rFonts w:cs="Arial"/>
          <w:szCs w:val="21"/>
          <w:highlight w:val="yellow"/>
          <w:lang w:eastAsia="en-AU"/>
        </w:rPr>
        <w:br w:type="page"/>
      </w:r>
    </w:p>
    <w:p w14:paraId="5353DFF0" w14:textId="77777777" w:rsidR="001B4F8C" w:rsidRDefault="001B4F8C" w:rsidP="00A0339E">
      <w:pPr>
        <w:pStyle w:val="Heading3"/>
      </w:pPr>
      <w:bookmarkStart w:id="10" w:name="_Toc180055178"/>
      <w:r>
        <w:lastRenderedPageBreak/>
        <w:t xml:space="preserve">Extra reporting step for </w:t>
      </w:r>
      <w:r w:rsidRPr="00CC60E6">
        <w:rPr>
          <w:i/>
        </w:rPr>
        <w:t>critical</w:t>
      </w:r>
      <w:r w:rsidRPr="004B3F9F">
        <w:rPr>
          <w:iCs/>
        </w:rPr>
        <w:t xml:space="preserve"> </w:t>
      </w:r>
      <w:r>
        <w:t>notifiable incidents</w:t>
      </w:r>
      <w:bookmarkEnd w:id="10"/>
    </w:p>
    <w:p w14:paraId="72014655" w14:textId="3D663EAE" w:rsidR="001B4F8C" w:rsidRPr="00886AA7" w:rsidRDefault="004F12C3" w:rsidP="001B4F8C">
      <w:pPr>
        <w:pStyle w:val="Body"/>
      </w:pPr>
      <w:r>
        <w:t xml:space="preserve">After you have identified the </w:t>
      </w:r>
      <w:r w:rsidR="00AF6830">
        <w:t>type of notifiable incident you are reporting</w:t>
      </w:r>
      <w:r w:rsidR="005D37F8">
        <w:t xml:space="preserve"> (serious risk or serious harm)</w:t>
      </w:r>
      <w:r w:rsidR="00136C39">
        <w:t>,</w:t>
      </w:r>
      <w:r w:rsidR="00AF6830">
        <w:t xml:space="preserve"> you must determine if you have an extra</w:t>
      </w:r>
      <w:r w:rsidR="00FC2580">
        <w:t>,</w:t>
      </w:r>
      <w:r w:rsidR="00AF6830">
        <w:t xml:space="preserve"> </w:t>
      </w:r>
      <w:r w:rsidR="00352441">
        <w:t xml:space="preserve">urgent reporting step to take for a critical </w:t>
      </w:r>
      <w:r w:rsidR="006A149B">
        <w:t xml:space="preserve">notifiable </w:t>
      </w:r>
      <w:r w:rsidR="00352441">
        <w:t>incident.</w:t>
      </w:r>
      <w:r w:rsidR="00136C39">
        <w:t xml:space="preserve"> </w:t>
      </w:r>
    </w:p>
    <w:p w14:paraId="72901D19" w14:textId="23B599B0" w:rsidR="001B4F8C" w:rsidRDefault="001B4F8C" w:rsidP="001B4F8C">
      <w:pPr>
        <w:pStyle w:val="Tablecaption"/>
        <w:rPr>
          <w:rFonts w:cs="Arial"/>
          <w:b w:val="0"/>
        </w:rPr>
      </w:pPr>
      <w:r w:rsidRPr="1C9B1778">
        <w:rPr>
          <w:rFonts w:cs="Arial"/>
          <w:b w:val="0"/>
        </w:rPr>
        <w:t xml:space="preserve">Critical notifiable incidents are </w:t>
      </w:r>
      <w:r w:rsidRPr="1C9B1778">
        <w:rPr>
          <w:rFonts w:cs="Arial"/>
        </w:rPr>
        <w:t>a small group</w:t>
      </w:r>
      <w:r w:rsidRPr="1C9B1778">
        <w:rPr>
          <w:rFonts w:cs="Arial"/>
          <w:b w:val="0"/>
        </w:rPr>
        <w:t xml:space="preserve"> of notifiable incidents that require an additional and more immediate reporting step </w:t>
      </w:r>
      <w:r w:rsidR="0080733D">
        <w:rPr>
          <w:rFonts w:cs="Arial"/>
          <w:b w:val="0"/>
        </w:rPr>
        <w:t xml:space="preserve">because </w:t>
      </w:r>
      <w:r w:rsidR="009616F2">
        <w:rPr>
          <w:rFonts w:cs="Arial"/>
          <w:b w:val="0"/>
        </w:rPr>
        <w:t xml:space="preserve">the harm or risk of harm is </w:t>
      </w:r>
      <w:r w:rsidR="009616F2" w:rsidRPr="00736608">
        <w:rPr>
          <w:rFonts w:cs="Arial"/>
          <w:bCs/>
        </w:rPr>
        <w:t>critical</w:t>
      </w:r>
      <w:r w:rsidR="009616F2">
        <w:rPr>
          <w:rFonts w:cs="Arial"/>
          <w:b w:val="0"/>
        </w:rPr>
        <w:t>.</w:t>
      </w:r>
    </w:p>
    <w:p w14:paraId="1DB93EEC" w14:textId="54FA5AD5" w:rsidR="001B4F8C" w:rsidRPr="00AB6728" w:rsidRDefault="008B00BF" w:rsidP="001B4F8C">
      <w:pPr>
        <w:pStyle w:val="Tablecaption"/>
        <w:rPr>
          <w:rFonts w:cs="Arial"/>
          <w:b w:val="0"/>
        </w:rPr>
      </w:pPr>
      <w:r>
        <w:rPr>
          <w:rFonts w:cs="Arial"/>
          <w:b w:val="0"/>
        </w:rPr>
        <w:t xml:space="preserve">For this </w:t>
      </w:r>
      <w:r w:rsidR="001B4F8C">
        <w:rPr>
          <w:rFonts w:cs="Arial"/>
          <w:b w:val="0"/>
        </w:rPr>
        <w:t>extra reporting step</w:t>
      </w:r>
      <w:r w:rsidR="00736608">
        <w:rPr>
          <w:rFonts w:cs="Arial"/>
          <w:b w:val="0"/>
        </w:rPr>
        <w:t>,</w:t>
      </w:r>
      <w:r w:rsidR="001B4F8C">
        <w:rPr>
          <w:rFonts w:cs="Arial"/>
          <w:b w:val="0"/>
        </w:rPr>
        <w:t xml:space="preserve"> providers alert the Regulator</w:t>
      </w:r>
      <w:r w:rsidR="001B4F8C" w:rsidRPr="7D82A480">
        <w:rPr>
          <w:rFonts w:cs="Arial"/>
          <w:b w:val="0"/>
        </w:rPr>
        <w:t xml:space="preserve"> </w:t>
      </w:r>
      <w:r w:rsidR="001B4F8C">
        <w:rPr>
          <w:rFonts w:cs="Arial"/>
          <w:b w:val="0"/>
        </w:rPr>
        <w:t xml:space="preserve">that a critical notifiable incident has </w:t>
      </w:r>
      <w:r>
        <w:rPr>
          <w:rFonts w:cs="Arial"/>
          <w:b w:val="0"/>
        </w:rPr>
        <w:t>happened</w:t>
      </w:r>
      <w:r w:rsidRPr="7D82A480">
        <w:rPr>
          <w:rFonts w:cs="Arial"/>
          <w:b w:val="0"/>
        </w:rPr>
        <w:t xml:space="preserve"> </w:t>
      </w:r>
      <w:r w:rsidR="001B4F8C" w:rsidRPr="7D82A480">
        <w:rPr>
          <w:rFonts w:cs="Arial"/>
          <w:b w:val="0"/>
        </w:rPr>
        <w:t>by</w:t>
      </w:r>
      <w:r w:rsidR="001B4F8C">
        <w:rPr>
          <w:rFonts w:cs="Arial"/>
          <w:b w:val="0"/>
        </w:rPr>
        <w:t xml:space="preserve"> completing a critical notifiable incident short form (referred to as ‘</w:t>
      </w:r>
      <w:r w:rsidR="007C3E22">
        <w:rPr>
          <w:rFonts w:cs="Arial"/>
          <w:b w:val="0"/>
        </w:rPr>
        <w:t xml:space="preserve">short </w:t>
      </w:r>
      <w:r w:rsidR="001B4F8C">
        <w:rPr>
          <w:rFonts w:cs="Arial"/>
          <w:b w:val="0"/>
        </w:rPr>
        <w:t>form’ in Table 2 below) by</w:t>
      </w:r>
      <w:r w:rsidR="001B4F8C" w:rsidRPr="7D82A480">
        <w:rPr>
          <w:rFonts w:cs="Arial"/>
          <w:b w:val="0"/>
        </w:rPr>
        <w:t xml:space="preserve"> </w:t>
      </w:r>
      <w:r w:rsidR="001B4F8C" w:rsidRPr="004C53E8">
        <w:rPr>
          <w:rFonts w:cs="Arial"/>
        </w:rPr>
        <w:t>close of business the next business day</w:t>
      </w:r>
      <w:r w:rsidR="001B4F8C" w:rsidRPr="004C53E8">
        <w:rPr>
          <w:rFonts w:cs="Arial"/>
          <w:b w:val="0"/>
        </w:rPr>
        <w:t>.</w:t>
      </w:r>
      <w:r w:rsidR="001B4F8C" w:rsidRPr="7D82A480">
        <w:rPr>
          <w:rFonts w:cs="Arial"/>
          <w:b w:val="0"/>
        </w:rPr>
        <w:t xml:space="preserve"> </w:t>
      </w:r>
    </w:p>
    <w:p w14:paraId="66AF9A81" w14:textId="54B2F8D5" w:rsidR="001B4F8C" w:rsidRPr="00CB1B7F" w:rsidRDefault="001B4F8C" w:rsidP="001B4F8C">
      <w:pPr>
        <w:pStyle w:val="Body"/>
      </w:pPr>
      <w:r>
        <w:t xml:space="preserve">If the incident </w:t>
      </w:r>
      <w:r w:rsidR="008B00BF">
        <w:t xml:space="preserve">happens </w:t>
      </w:r>
      <w:r>
        <w:t xml:space="preserve">on a Friday or on the weekend, </w:t>
      </w:r>
      <w:r w:rsidR="002923EE">
        <w:t>you must report it</w:t>
      </w:r>
      <w:r>
        <w:t xml:space="preserve"> by close of business the following Monday. </w:t>
      </w:r>
    </w:p>
    <w:p w14:paraId="79C73E98" w14:textId="48A0E59C" w:rsidR="001B4F8C" w:rsidRDefault="002923EE" w:rsidP="001B4F8C">
      <w:pPr>
        <w:pStyle w:val="Body"/>
      </w:pPr>
      <w:r w:rsidRPr="00736608">
        <w:rPr>
          <w:b/>
          <w:bCs/>
        </w:rPr>
        <w:t>C</w:t>
      </w:r>
      <w:r w:rsidR="001B4F8C" w:rsidRPr="004C53E8">
        <w:rPr>
          <w:b/>
          <w:bCs/>
        </w:rPr>
        <w:t xml:space="preserve">ritical </w:t>
      </w:r>
      <w:r w:rsidR="001B4F8C">
        <w:rPr>
          <w:b/>
          <w:bCs/>
        </w:rPr>
        <w:t xml:space="preserve">notifiable </w:t>
      </w:r>
      <w:r w:rsidR="001B4F8C" w:rsidRPr="004C53E8">
        <w:rPr>
          <w:b/>
          <w:bCs/>
        </w:rPr>
        <w:t>incident</w:t>
      </w:r>
      <w:r w:rsidR="001B4F8C">
        <w:rPr>
          <w:b/>
          <w:bCs/>
        </w:rPr>
        <w:t>s</w:t>
      </w:r>
      <w:r w:rsidR="001B4F8C">
        <w:t xml:space="preserve"> are</w:t>
      </w:r>
      <w:r>
        <w:t xml:space="preserve"> defined</w:t>
      </w:r>
      <w:r w:rsidR="001B4F8C">
        <w:t xml:space="preserve"> in Table 2.</w:t>
      </w:r>
    </w:p>
    <w:p w14:paraId="6BB95776" w14:textId="2F373167" w:rsidR="001B4F8C" w:rsidRDefault="001B4F8C" w:rsidP="001B4F8C">
      <w:pPr>
        <w:pStyle w:val="Body"/>
      </w:pPr>
      <w:r w:rsidRPr="00657DF0">
        <w:t>As</w:t>
      </w:r>
      <w:r>
        <w:t xml:space="preserve"> critical notifiable incidents are also notifiable incidents</w:t>
      </w:r>
      <w:r w:rsidR="00384527">
        <w:t>,</w:t>
      </w:r>
      <w:r>
        <w:t xml:space="preserve"> providers must still complete a full incident report within </w:t>
      </w:r>
      <w:r w:rsidR="00C3248A">
        <w:t xml:space="preserve">3 </w:t>
      </w:r>
      <w:r>
        <w:t>business days.</w:t>
      </w:r>
    </w:p>
    <w:p w14:paraId="405D28A7" w14:textId="080ECFA5" w:rsidR="001B4F8C" w:rsidRPr="00431809" w:rsidRDefault="001B4F8C" w:rsidP="001B4F8C">
      <w:pPr>
        <w:pStyle w:val="Body"/>
      </w:pPr>
      <w:r>
        <w:t xml:space="preserve">This means that service providers have a </w:t>
      </w:r>
      <w:r w:rsidR="00C3248A">
        <w:t>2</w:t>
      </w:r>
      <w:r w:rsidRPr="00736608">
        <w:t xml:space="preserve">-step </w:t>
      </w:r>
      <w:r w:rsidRPr="00384527">
        <w:rPr>
          <w:b/>
          <w:bCs/>
        </w:rPr>
        <w:t>reporting requirement for critical notifiable incidents</w:t>
      </w:r>
      <w:r>
        <w:t xml:space="preserve">. </w:t>
      </w:r>
    </w:p>
    <w:p w14:paraId="50ED5FF7" w14:textId="77777777" w:rsidR="001B4F8C" w:rsidRDefault="001B4F8C" w:rsidP="001B4F8C">
      <w:pPr>
        <w:pStyle w:val="Tablecaption"/>
        <w:rPr>
          <w:rFonts w:cs="Arial"/>
          <w:sz w:val="20"/>
        </w:rPr>
      </w:pPr>
      <w:r w:rsidRPr="280DEEB8">
        <w:rPr>
          <w:rFonts w:cs="Arial"/>
          <w:sz w:val="20"/>
        </w:rPr>
        <w:t>Table 2: Reporting critical notifiable incidents</w:t>
      </w:r>
    </w:p>
    <w:tbl>
      <w:tblPr>
        <w:tblStyle w:val="Purpletable"/>
        <w:tblW w:w="5000" w:type="pct"/>
        <w:tblInd w:w="15" w:type="dxa"/>
        <w:tblLook w:val="06A0" w:firstRow="1" w:lastRow="0" w:firstColumn="1" w:lastColumn="0" w:noHBand="1" w:noVBand="1"/>
      </w:tblPr>
      <w:tblGrid>
        <w:gridCol w:w="287"/>
        <w:gridCol w:w="1660"/>
        <w:gridCol w:w="3700"/>
        <w:gridCol w:w="2007"/>
        <w:gridCol w:w="2550"/>
      </w:tblGrid>
      <w:tr w:rsidR="00630438" w:rsidRPr="00143BCA" w14:paraId="0603DAFC" w14:textId="77777777" w:rsidTr="00DB04E4">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97" w:type="pct"/>
          </w:tcPr>
          <w:p w14:paraId="573D5BC2" w14:textId="77777777" w:rsidR="004D7FCC" w:rsidRPr="00143BCA" w:rsidRDefault="004D7FCC" w:rsidP="001C44F5">
            <w:pPr>
              <w:pStyle w:val="Tablecolhead"/>
              <w:rPr>
                <w:lang w:val="en-AU"/>
              </w:rPr>
            </w:pPr>
          </w:p>
        </w:tc>
        <w:tc>
          <w:tcPr>
            <w:tcW w:w="899" w:type="pct"/>
          </w:tcPr>
          <w:p w14:paraId="67F60F3F" w14:textId="77777777" w:rsidR="004D7FCC" w:rsidRPr="00143BCA" w:rsidRDefault="004D7FCC" w:rsidP="001C44F5">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Type</w:t>
            </w:r>
          </w:p>
        </w:tc>
        <w:tc>
          <w:tcPr>
            <w:tcW w:w="1884" w:type="pct"/>
          </w:tcPr>
          <w:p w14:paraId="65B3C1B2" w14:textId="77777777" w:rsidR="004D7FCC" w:rsidRPr="00143BCA" w:rsidRDefault="004D7FCC" w:rsidP="001C44F5">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Description</w:t>
            </w:r>
          </w:p>
        </w:tc>
        <w:tc>
          <w:tcPr>
            <w:tcW w:w="1054" w:type="pct"/>
          </w:tcPr>
          <w:p w14:paraId="3C1AB363" w14:textId="08752A08" w:rsidR="004D7FCC" w:rsidRPr="00143BCA" w:rsidRDefault="004D7FCC" w:rsidP="001C44F5">
            <w:pPr>
              <w:pStyle w:val="Tablecolhead"/>
              <w:cnfStyle w:val="100000000000" w:firstRow="1" w:lastRow="0" w:firstColumn="0" w:lastColumn="0" w:oddVBand="0" w:evenVBand="0" w:oddHBand="0" w:evenHBand="0" w:firstRowFirstColumn="0" w:firstRowLastColumn="0" w:lastRowFirstColumn="0" w:lastRowLastColumn="0"/>
            </w:pPr>
            <w:r>
              <w:t>Reporting timeframe</w:t>
            </w:r>
            <w:r w:rsidR="00E9501F">
              <w:t>s</w:t>
            </w:r>
          </w:p>
        </w:tc>
        <w:tc>
          <w:tcPr>
            <w:tcW w:w="967" w:type="pct"/>
          </w:tcPr>
          <w:p w14:paraId="6760C21E" w14:textId="77777777" w:rsidR="004D7FCC" w:rsidRPr="00143BCA" w:rsidRDefault="004D7FCC" w:rsidP="001C44F5">
            <w:pPr>
              <w:pStyle w:val="Tablecolhead"/>
              <w:cnfStyle w:val="100000000000" w:firstRow="1" w:lastRow="0" w:firstColumn="0" w:lastColumn="0" w:oddVBand="0" w:evenVBand="0" w:oddHBand="0" w:evenHBand="0" w:firstRowFirstColumn="0" w:firstRowLastColumn="0" w:lastRowFirstColumn="0" w:lastRowLastColumn="0"/>
            </w:pPr>
            <w:r>
              <w:t>Reporting requirements</w:t>
            </w:r>
          </w:p>
        </w:tc>
      </w:tr>
      <w:tr w:rsidR="00630438" w:rsidRPr="00143BCA" w14:paraId="0EE1830D" w14:textId="77777777" w:rsidTr="00DB04E4">
        <w:tc>
          <w:tcPr>
            <w:cnfStyle w:val="001000000000" w:firstRow="0" w:lastRow="0" w:firstColumn="1" w:lastColumn="0" w:oddVBand="0" w:evenVBand="0" w:oddHBand="0" w:evenHBand="0" w:firstRowFirstColumn="0" w:firstRowLastColumn="0" w:lastRowFirstColumn="0" w:lastRowLastColumn="0"/>
            <w:tcW w:w="197" w:type="pct"/>
          </w:tcPr>
          <w:p w14:paraId="5CF4A01B" w14:textId="77777777" w:rsidR="004D7FCC" w:rsidRPr="00143BCA" w:rsidRDefault="004D7FCC" w:rsidP="001C44F5">
            <w:pPr>
              <w:pStyle w:val="Tabletext"/>
              <w:jc w:val="center"/>
              <w:rPr>
                <w:lang w:val="en-AU"/>
              </w:rPr>
            </w:pPr>
            <w:r w:rsidRPr="001C7824">
              <w:rPr>
                <w:lang w:val="en-AU"/>
              </w:rPr>
              <w:t>1</w:t>
            </w:r>
          </w:p>
        </w:tc>
        <w:tc>
          <w:tcPr>
            <w:tcW w:w="899" w:type="pct"/>
          </w:tcPr>
          <w:p w14:paraId="3A5ADDC7" w14:textId="77777777" w:rsidR="00D239B0" w:rsidRPr="007B52F5" w:rsidRDefault="00D239B0" w:rsidP="00D239B0">
            <w:pPr>
              <w:pStyle w:val="Tabletext"/>
              <w:cnfStyle w:val="000000000000" w:firstRow="0" w:lastRow="0" w:firstColumn="0" w:lastColumn="0" w:oddVBand="0" w:evenVBand="0" w:oddHBand="0" w:evenHBand="0" w:firstRowFirstColumn="0" w:firstRowLastColumn="0" w:lastRowFirstColumn="0" w:lastRowLastColumn="0"/>
              <w:rPr>
                <w:rFonts w:cs="Arial"/>
                <w:b/>
                <w:sz w:val="20"/>
              </w:rPr>
            </w:pPr>
            <w:r w:rsidRPr="007B52F5">
              <w:rPr>
                <w:rFonts w:cs="Arial"/>
                <w:b/>
                <w:sz w:val="20"/>
              </w:rPr>
              <w:t>Unexpected death</w:t>
            </w:r>
          </w:p>
          <w:p w14:paraId="2FAF0C3E" w14:textId="09CA8B9E" w:rsidR="004D7FCC" w:rsidRPr="0065448C" w:rsidRDefault="004D7FCC" w:rsidP="001C44F5">
            <w:pPr>
              <w:pStyle w:val="Tabletext"/>
              <w:cnfStyle w:val="000000000000" w:firstRow="0" w:lastRow="0" w:firstColumn="0" w:lastColumn="0" w:oddVBand="0" w:evenVBand="0" w:oddHBand="0" w:evenHBand="0" w:firstRowFirstColumn="0" w:firstRowLastColumn="0" w:lastRowFirstColumn="0" w:lastRowLastColumn="0"/>
              <w:rPr>
                <w:b/>
                <w:bCs/>
                <w:lang w:val="en-AU"/>
              </w:rPr>
            </w:pPr>
          </w:p>
        </w:tc>
        <w:tc>
          <w:tcPr>
            <w:tcW w:w="1884" w:type="pct"/>
          </w:tcPr>
          <w:p w14:paraId="5A79F096" w14:textId="2818457B" w:rsidR="004D7FCC" w:rsidRPr="0028749A" w:rsidRDefault="00E42C42" w:rsidP="001C44F5">
            <w:pPr>
              <w:pStyle w:val="DHHStabletext"/>
              <w:numPr>
                <w:ilvl w:val="0"/>
                <w:numId w:val="12"/>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Death of a service user during service delivery where the death is unexpected.</w:t>
            </w:r>
          </w:p>
        </w:tc>
        <w:tc>
          <w:tcPr>
            <w:tcW w:w="1054" w:type="pct"/>
          </w:tcPr>
          <w:p w14:paraId="14E84E31" w14:textId="77777777" w:rsidR="001C16B9"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8749A">
              <w:rPr>
                <w:rFonts w:cs="Arial"/>
                <w:b/>
                <w:sz w:val="20"/>
                <w:szCs w:val="20"/>
              </w:rPr>
              <w:t xml:space="preserve">Short form </w:t>
            </w:r>
            <w:r w:rsidRPr="0028749A">
              <w:rPr>
                <w:rFonts w:cs="Arial"/>
                <w:bCs/>
                <w:sz w:val="20"/>
                <w:szCs w:val="20"/>
              </w:rPr>
              <w:t>by c</w:t>
            </w:r>
            <w:r w:rsidRPr="0028749A">
              <w:rPr>
                <w:rFonts w:cs="Arial"/>
                <w:sz w:val="20"/>
                <w:szCs w:val="20"/>
              </w:rPr>
              <w:t>lose of business n</w:t>
            </w:r>
            <w:r w:rsidRPr="0028749A">
              <w:rPr>
                <w:sz w:val="20"/>
                <w:szCs w:val="20"/>
              </w:rPr>
              <w:t>ext business day</w:t>
            </w:r>
          </w:p>
          <w:p w14:paraId="130F99B0" w14:textId="085E3FC7" w:rsidR="004D7FCC"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8749A">
              <w:rPr>
                <w:b/>
                <w:sz w:val="20"/>
                <w:szCs w:val="20"/>
              </w:rPr>
              <w:t xml:space="preserve">Full incident report </w:t>
            </w:r>
            <w:r w:rsidRPr="0028749A">
              <w:rPr>
                <w:bCs/>
                <w:sz w:val="20"/>
                <w:szCs w:val="20"/>
              </w:rPr>
              <w:t xml:space="preserve">within </w:t>
            </w:r>
            <w:r w:rsidR="00277087">
              <w:rPr>
                <w:bCs/>
                <w:sz w:val="20"/>
                <w:szCs w:val="20"/>
              </w:rPr>
              <w:t>3</w:t>
            </w:r>
            <w:r w:rsidRPr="0028749A">
              <w:rPr>
                <w:bCs/>
                <w:sz w:val="20"/>
                <w:szCs w:val="20"/>
              </w:rPr>
              <w:t xml:space="preserve"> business days</w:t>
            </w:r>
          </w:p>
        </w:tc>
        <w:tc>
          <w:tcPr>
            <w:tcW w:w="967" w:type="pct"/>
          </w:tcPr>
          <w:p w14:paraId="1FF21358" w14:textId="77777777" w:rsidR="00630438" w:rsidRPr="0028749A" w:rsidRDefault="004D7FCC" w:rsidP="00630438">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Clear summary of the incident and</w:t>
            </w:r>
            <w:r w:rsidR="0012609A" w:rsidRPr="0028749A">
              <w:rPr>
                <w:rFonts w:cs="Arial"/>
                <w:sz w:val="20"/>
                <w:szCs w:val="20"/>
              </w:rPr>
              <w:t xml:space="preserve"> immediate </w:t>
            </w:r>
            <w:r w:rsidRPr="0028749A">
              <w:rPr>
                <w:rFonts w:cs="Arial"/>
                <w:sz w:val="20"/>
                <w:szCs w:val="20"/>
              </w:rPr>
              <w:t>actions taken</w:t>
            </w:r>
          </w:p>
          <w:p w14:paraId="6A851773" w14:textId="49404E92" w:rsidR="004D7FCC" w:rsidRPr="0028749A" w:rsidRDefault="00630438" w:rsidP="001C44F5">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Other organisations/stakeholders contacted</w:t>
            </w:r>
            <w:r w:rsidR="004D7FCC" w:rsidRPr="0028749A">
              <w:rPr>
                <w:rFonts w:cs="Arial"/>
                <w:sz w:val="20"/>
                <w:szCs w:val="20"/>
              </w:rPr>
              <w:t xml:space="preserve"> </w:t>
            </w:r>
          </w:p>
        </w:tc>
      </w:tr>
      <w:tr w:rsidR="005C341C" w:rsidRPr="00143BCA" w14:paraId="64D68DFA" w14:textId="77777777" w:rsidTr="00DB04E4">
        <w:tc>
          <w:tcPr>
            <w:cnfStyle w:val="001000000000" w:firstRow="0" w:lastRow="0" w:firstColumn="1" w:lastColumn="0" w:oddVBand="0" w:evenVBand="0" w:oddHBand="0" w:evenHBand="0" w:firstRowFirstColumn="0" w:firstRowLastColumn="0" w:lastRowFirstColumn="0" w:lastRowLastColumn="0"/>
            <w:tcW w:w="197" w:type="pct"/>
          </w:tcPr>
          <w:p w14:paraId="7EAA5DDF" w14:textId="25B6887E" w:rsidR="00D372EB" w:rsidRPr="001C7824" w:rsidRDefault="002C4EE2" w:rsidP="00D372EB">
            <w:pPr>
              <w:pStyle w:val="Tabletext"/>
              <w:jc w:val="center"/>
            </w:pPr>
            <w:r>
              <w:t>2</w:t>
            </w:r>
          </w:p>
        </w:tc>
        <w:tc>
          <w:tcPr>
            <w:tcW w:w="899" w:type="pct"/>
          </w:tcPr>
          <w:p w14:paraId="68E02ED1" w14:textId="77767AB3" w:rsidR="00D372EB" w:rsidRPr="0065448C" w:rsidRDefault="00D372EB" w:rsidP="00D372EB">
            <w:pPr>
              <w:pStyle w:val="Tabletext"/>
              <w:cnfStyle w:val="000000000000" w:firstRow="0" w:lastRow="0" w:firstColumn="0" w:lastColumn="0" w:oddVBand="0" w:evenVBand="0" w:oddHBand="0" w:evenHBand="0" w:firstRowFirstColumn="0" w:firstRowLastColumn="0" w:lastRowFirstColumn="0" w:lastRowLastColumn="0"/>
              <w:rPr>
                <w:b/>
                <w:bCs/>
              </w:rPr>
            </w:pPr>
            <w:r w:rsidRPr="007B52F5">
              <w:rPr>
                <w:rFonts w:cs="Arial"/>
                <w:b/>
                <w:sz w:val="20"/>
              </w:rPr>
              <w:t>Escape from a secure facility</w:t>
            </w:r>
          </w:p>
        </w:tc>
        <w:tc>
          <w:tcPr>
            <w:tcW w:w="1884" w:type="pct"/>
          </w:tcPr>
          <w:p w14:paraId="609C1E9E" w14:textId="77777777" w:rsidR="006E0EF5" w:rsidRPr="0028749A" w:rsidRDefault="006E0EF5" w:rsidP="006E0EF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Only applies to service users in:</w:t>
            </w:r>
          </w:p>
          <w:p w14:paraId="604F8A62" w14:textId="627129C2" w:rsidR="006E0EF5" w:rsidRPr="0028749A" w:rsidRDefault="006E0EF5" w:rsidP="006E0EF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 xml:space="preserve">Secure </w:t>
            </w:r>
            <w:r w:rsidR="000C25B2">
              <w:rPr>
                <w:rFonts w:cs="Arial"/>
                <w:sz w:val="20"/>
                <w:szCs w:val="20"/>
              </w:rPr>
              <w:t>c</w:t>
            </w:r>
            <w:r w:rsidRPr="0028749A">
              <w:rPr>
                <w:rFonts w:cs="Arial"/>
                <w:sz w:val="20"/>
                <w:szCs w:val="20"/>
              </w:rPr>
              <w:t>are</w:t>
            </w:r>
          </w:p>
          <w:p w14:paraId="667CBC86" w14:textId="77777777" w:rsidR="006E0EF5" w:rsidRPr="0028749A" w:rsidRDefault="006E0EF5" w:rsidP="006E0EF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Custodial care</w:t>
            </w:r>
          </w:p>
          <w:p w14:paraId="5A59423C" w14:textId="5162EC0F" w:rsidR="006E0EF5" w:rsidRPr="0028749A" w:rsidRDefault="006E0EF5" w:rsidP="006E0EF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Disability services where the relevant service user is subject to compulsory treatment or judicial orders.</w:t>
            </w:r>
          </w:p>
          <w:p w14:paraId="7B70FD09" w14:textId="46A74B0A" w:rsidR="00D372EB" w:rsidRPr="0028749A" w:rsidRDefault="006E0EF5" w:rsidP="006E0EF5">
            <w:pPr>
              <w:pStyle w:val="DHHS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Scope includes where a service user fails to return from temporary leave</w:t>
            </w:r>
          </w:p>
        </w:tc>
        <w:tc>
          <w:tcPr>
            <w:tcW w:w="1054" w:type="pct"/>
          </w:tcPr>
          <w:p w14:paraId="02C53210" w14:textId="77777777" w:rsidR="001C16B9"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8749A">
              <w:rPr>
                <w:rFonts w:cs="Arial"/>
                <w:b/>
                <w:sz w:val="20"/>
                <w:szCs w:val="20"/>
              </w:rPr>
              <w:t xml:space="preserve">Short form </w:t>
            </w:r>
            <w:r w:rsidRPr="0028749A">
              <w:rPr>
                <w:rFonts w:cs="Arial"/>
                <w:bCs/>
                <w:sz w:val="20"/>
                <w:szCs w:val="20"/>
              </w:rPr>
              <w:t>by c</w:t>
            </w:r>
            <w:r w:rsidRPr="0028749A">
              <w:rPr>
                <w:rFonts w:cs="Arial"/>
                <w:sz w:val="20"/>
                <w:szCs w:val="20"/>
              </w:rPr>
              <w:t>lose of business n</w:t>
            </w:r>
            <w:r w:rsidRPr="0028749A">
              <w:rPr>
                <w:sz w:val="20"/>
                <w:szCs w:val="20"/>
              </w:rPr>
              <w:t>ext business day</w:t>
            </w:r>
          </w:p>
          <w:p w14:paraId="38A83ECD" w14:textId="70CEBFE2" w:rsidR="00D372EB"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8749A">
              <w:rPr>
                <w:b/>
                <w:sz w:val="20"/>
                <w:szCs w:val="20"/>
              </w:rPr>
              <w:t xml:space="preserve">Full incident report </w:t>
            </w:r>
            <w:r w:rsidRPr="0028749A">
              <w:rPr>
                <w:bCs/>
                <w:sz w:val="20"/>
                <w:szCs w:val="20"/>
              </w:rPr>
              <w:t xml:space="preserve">within </w:t>
            </w:r>
            <w:r w:rsidR="00277087">
              <w:rPr>
                <w:bCs/>
                <w:sz w:val="20"/>
                <w:szCs w:val="20"/>
              </w:rPr>
              <w:t>3</w:t>
            </w:r>
            <w:r w:rsidRPr="0028749A">
              <w:rPr>
                <w:bCs/>
                <w:sz w:val="20"/>
                <w:szCs w:val="20"/>
              </w:rPr>
              <w:t xml:space="preserve"> business days</w:t>
            </w:r>
          </w:p>
        </w:tc>
        <w:tc>
          <w:tcPr>
            <w:tcW w:w="967" w:type="pct"/>
          </w:tcPr>
          <w:p w14:paraId="1B2975F3" w14:textId="77777777" w:rsidR="002C4EE2" w:rsidRPr="0028749A" w:rsidRDefault="002C4EE2" w:rsidP="002C4EE2">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Clear summary of the incident and immediate actions taken</w:t>
            </w:r>
          </w:p>
          <w:p w14:paraId="297E141E" w14:textId="36507FB7" w:rsidR="00D372EB" w:rsidRPr="0028749A" w:rsidRDefault="002C4EE2" w:rsidP="002C4EE2">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 xml:space="preserve">Other organisations/stakeholders contacted </w:t>
            </w:r>
          </w:p>
        </w:tc>
      </w:tr>
      <w:tr w:rsidR="005C341C" w:rsidRPr="00143BCA" w14:paraId="5F685E79" w14:textId="77777777" w:rsidTr="00DB04E4">
        <w:tc>
          <w:tcPr>
            <w:cnfStyle w:val="001000000000" w:firstRow="0" w:lastRow="0" w:firstColumn="1" w:lastColumn="0" w:oddVBand="0" w:evenVBand="0" w:oddHBand="0" w:evenHBand="0" w:firstRowFirstColumn="0" w:firstRowLastColumn="0" w:lastRowFirstColumn="0" w:lastRowLastColumn="0"/>
            <w:tcW w:w="197" w:type="pct"/>
          </w:tcPr>
          <w:p w14:paraId="3760C804" w14:textId="669F172C" w:rsidR="006A39C8" w:rsidRPr="001C7824" w:rsidRDefault="002C4EE2" w:rsidP="006A39C8">
            <w:pPr>
              <w:pStyle w:val="Tabletext"/>
              <w:jc w:val="center"/>
            </w:pPr>
            <w:r>
              <w:t>3</w:t>
            </w:r>
          </w:p>
        </w:tc>
        <w:tc>
          <w:tcPr>
            <w:tcW w:w="899" w:type="pct"/>
          </w:tcPr>
          <w:p w14:paraId="16E61DD8" w14:textId="05B535F9" w:rsidR="006A39C8" w:rsidRPr="0065448C" w:rsidRDefault="006A39C8" w:rsidP="006A39C8">
            <w:pPr>
              <w:pStyle w:val="Tabletext"/>
              <w:cnfStyle w:val="000000000000" w:firstRow="0" w:lastRow="0" w:firstColumn="0" w:lastColumn="0" w:oddVBand="0" w:evenVBand="0" w:oddHBand="0" w:evenHBand="0" w:firstRowFirstColumn="0" w:firstRowLastColumn="0" w:lastRowFirstColumn="0" w:lastRowLastColumn="0"/>
              <w:rPr>
                <w:b/>
                <w:bCs/>
              </w:rPr>
            </w:pPr>
            <w:r w:rsidRPr="007B52F5">
              <w:rPr>
                <w:rFonts w:cs="Arial"/>
                <w:b/>
                <w:sz w:val="20"/>
              </w:rPr>
              <w:t>Medication error</w:t>
            </w:r>
          </w:p>
        </w:tc>
        <w:tc>
          <w:tcPr>
            <w:tcW w:w="1884" w:type="pct"/>
          </w:tcPr>
          <w:p w14:paraId="2AFC03CC" w14:textId="075A52F2" w:rsidR="006A39C8" w:rsidRPr="00F26AFA" w:rsidRDefault="00CA7A83" w:rsidP="00CA7A83">
            <w:pPr>
              <w:pStyle w:val="DHHS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F26AFA">
              <w:rPr>
                <w:rFonts w:cs="Arial"/>
                <w:sz w:val="20"/>
                <w:szCs w:val="20"/>
              </w:rPr>
              <w:t xml:space="preserve">The incident results in the service user requiring medical treatment at a hospital. </w:t>
            </w:r>
          </w:p>
          <w:p w14:paraId="6AEF0E8C" w14:textId="77777777" w:rsidR="007A3AED" w:rsidRPr="00F051B3" w:rsidRDefault="007A3AED" w:rsidP="007A3AED">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F051B3">
              <w:rPr>
                <w:rFonts w:cs="Arial"/>
                <w:sz w:val="18"/>
                <w:szCs w:val="18"/>
              </w:rPr>
              <w:t>Key definitions:</w:t>
            </w:r>
          </w:p>
          <w:p w14:paraId="700DF58F" w14:textId="77777777" w:rsidR="007A3AED" w:rsidRPr="00F051B3" w:rsidRDefault="007A3AED" w:rsidP="007A3AED">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051B3">
              <w:rPr>
                <w:rFonts w:cs="Arial"/>
                <w:sz w:val="18"/>
                <w:szCs w:val="18"/>
              </w:rPr>
              <w:t xml:space="preserve">Medical treatment means medical interventions undertaken to treat the physical impact of the medication error. </w:t>
            </w:r>
          </w:p>
          <w:p w14:paraId="629273F2" w14:textId="77777777" w:rsidR="007A3AED" w:rsidRPr="00F051B3" w:rsidRDefault="007A3AED" w:rsidP="007A3AE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 w:val="18"/>
                <w:szCs w:val="18"/>
              </w:rPr>
            </w:pPr>
          </w:p>
          <w:p w14:paraId="2776F4A4" w14:textId="6EBBB7E0" w:rsidR="007A3AED" w:rsidRPr="00F051B3" w:rsidRDefault="007A3AED" w:rsidP="007A3AED">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051B3">
              <w:rPr>
                <w:rFonts w:cs="Arial"/>
                <w:sz w:val="18"/>
                <w:szCs w:val="18"/>
              </w:rPr>
              <w:t>Examples of medication errors may include (and are not</w:t>
            </w:r>
            <w:r w:rsidRPr="00F051B3" w:rsidDel="007B3184">
              <w:rPr>
                <w:rFonts w:cs="Arial"/>
                <w:sz w:val="18"/>
                <w:szCs w:val="18"/>
              </w:rPr>
              <w:t xml:space="preserve"> </w:t>
            </w:r>
            <w:r w:rsidRPr="00F051B3">
              <w:rPr>
                <w:rFonts w:cs="Arial"/>
                <w:sz w:val="18"/>
                <w:szCs w:val="18"/>
              </w:rPr>
              <w:t>limited to) when a service user:</w:t>
            </w:r>
          </w:p>
          <w:p w14:paraId="1993F65F" w14:textId="4FECC4EE" w:rsidR="007A3AED" w:rsidRPr="00F051B3" w:rsidRDefault="00DD74DC" w:rsidP="007A3AED">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is </w:t>
            </w:r>
            <w:r w:rsidR="007A3AED" w:rsidRPr="00F051B3">
              <w:rPr>
                <w:rFonts w:cs="Arial"/>
                <w:sz w:val="18"/>
                <w:szCs w:val="18"/>
              </w:rPr>
              <w:t>not administered their required medication</w:t>
            </w:r>
          </w:p>
          <w:p w14:paraId="5C5F563A" w14:textId="44308A13" w:rsidR="007A3AED" w:rsidRPr="00F051B3" w:rsidRDefault="00DD74DC" w:rsidP="007A3AED">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rFonts w:cs="Arial"/>
                <w:sz w:val="18"/>
                <w:szCs w:val="18"/>
              </w:rPr>
              <w:t>is</w:t>
            </w:r>
            <w:r w:rsidRPr="00F051B3">
              <w:rPr>
                <w:rFonts w:cs="Arial"/>
                <w:sz w:val="18"/>
                <w:szCs w:val="18"/>
              </w:rPr>
              <w:t xml:space="preserve"> </w:t>
            </w:r>
            <w:r w:rsidR="007A3AED" w:rsidRPr="00F051B3">
              <w:rPr>
                <w:rFonts w:cs="Arial"/>
                <w:sz w:val="18"/>
                <w:szCs w:val="18"/>
              </w:rPr>
              <w:t>given the wrong medication</w:t>
            </w:r>
          </w:p>
          <w:p w14:paraId="507BE65B" w14:textId="1BF67B4D" w:rsidR="007A3AED" w:rsidRPr="00F051B3" w:rsidRDefault="00DD74DC" w:rsidP="007A3AED">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rFonts w:cs="Arial"/>
                <w:sz w:val="18"/>
                <w:szCs w:val="18"/>
              </w:rPr>
              <w:lastRenderedPageBreak/>
              <w:t>is</w:t>
            </w:r>
            <w:r w:rsidRPr="00F051B3">
              <w:rPr>
                <w:rFonts w:cs="Arial"/>
                <w:sz w:val="18"/>
                <w:szCs w:val="18"/>
              </w:rPr>
              <w:t xml:space="preserve"> </w:t>
            </w:r>
            <w:r w:rsidR="007A3AED" w:rsidRPr="00F051B3">
              <w:rPr>
                <w:rFonts w:cs="Arial"/>
                <w:sz w:val="18"/>
                <w:szCs w:val="18"/>
              </w:rPr>
              <w:t>given a double dose of medication</w:t>
            </w:r>
          </w:p>
          <w:p w14:paraId="3C41117E" w14:textId="0D5D42C7" w:rsidR="007A3AED" w:rsidRPr="00F051B3" w:rsidRDefault="007A3AED" w:rsidP="00F051B3">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051B3">
              <w:rPr>
                <w:rFonts w:cs="Arial"/>
                <w:sz w:val="18"/>
                <w:szCs w:val="18"/>
              </w:rPr>
              <w:t>access</w:t>
            </w:r>
            <w:r w:rsidR="00DD74DC">
              <w:rPr>
                <w:rFonts w:cs="Arial"/>
                <w:sz w:val="18"/>
                <w:szCs w:val="18"/>
              </w:rPr>
              <w:t xml:space="preserve">es </w:t>
            </w:r>
            <w:r w:rsidR="00A34F3E">
              <w:rPr>
                <w:rFonts w:cs="Arial"/>
                <w:sz w:val="18"/>
                <w:szCs w:val="18"/>
              </w:rPr>
              <w:t>and</w:t>
            </w:r>
            <w:r w:rsidRPr="00F051B3">
              <w:rPr>
                <w:rFonts w:cs="Arial"/>
                <w:sz w:val="18"/>
                <w:szCs w:val="18"/>
              </w:rPr>
              <w:t xml:space="preserve"> tak</w:t>
            </w:r>
            <w:r w:rsidR="00A34F3E">
              <w:rPr>
                <w:rFonts w:cs="Arial"/>
                <w:sz w:val="18"/>
                <w:szCs w:val="18"/>
              </w:rPr>
              <w:t>es</w:t>
            </w:r>
            <w:r w:rsidRPr="00F051B3">
              <w:rPr>
                <w:rFonts w:cs="Arial"/>
                <w:sz w:val="18"/>
                <w:szCs w:val="18"/>
              </w:rPr>
              <w:t xml:space="preserve"> secured medications (or medications </w:t>
            </w:r>
            <w:r w:rsidR="00A34F3E">
              <w:rPr>
                <w:rFonts w:cs="Arial"/>
                <w:sz w:val="18"/>
                <w:szCs w:val="18"/>
              </w:rPr>
              <w:t xml:space="preserve">are </w:t>
            </w:r>
            <w:r w:rsidRPr="00F051B3">
              <w:rPr>
                <w:rFonts w:cs="Arial"/>
                <w:sz w:val="18"/>
                <w:szCs w:val="18"/>
              </w:rPr>
              <w:t>not adequately secured).</w:t>
            </w:r>
          </w:p>
          <w:p w14:paraId="15139986" w14:textId="39E2FBC5" w:rsidR="00CA7A83" w:rsidRPr="00001FFC" w:rsidRDefault="00001FFC" w:rsidP="00001FFC">
            <w:pPr>
              <w:pStyle w:val="DHHStabletext"/>
              <w:cnfStyle w:val="000000000000" w:firstRow="0" w:lastRow="0" w:firstColumn="0" w:lastColumn="0" w:oddVBand="0" w:evenVBand="0" w:oddHBand="0" w:evenHBand="0" w:firstRowFirstColumn="0" w:firstRowLastColumn="0" w:lastRowFirstColumn="0" w:lastRowLastColumn="0"/>
              <w:rPr>
                <w:rFonts w:cs="Arial"/>
                <w:szCs w:val="17"/>
              </w:rPr>
            </w:pPr>
            <w:r w:rsidRPr="00F051B3">
              <w:rPr>
                <w:rFonts w:cs="Arial"/>
                <w:sz w:val="18"/>
                <w:szCs w:val="18"/>
              </w:rPr>
              <w:t xml:space="preserve">Examples of medication errors would </w:t>
            </w:r>
            <w:r w:rsidRPr="00736608">
              <w:rPr>
                <w:rFonts w:cs="Arial"/>
                <w:i/>
                <w:sz w:val="18"/>
                <w:szCs w:val="18"/>
              </w:rPr>
              <w:t>not</w:t>
            </w:r>
            <w:r w:rsidRPr="00F051B3">
              <w:rPr>
                <w:rFonts w:cs="Arial"/>
                <w:i/>
                <w:sz w:val="18"/>
                <w:szCs w:val="18"/>
              </w:rPr>
              <w:t xml:space="preserve"> </w:t>
            </w:r>
            <w:r w:rsidRPr="00F051B3">
              <w:rPr>
                <w:rFonts w:cs="Arial"/>
                <w:sz w:val="18"/>
                <w:szCs w:val="18"/>
              </w:rPr>
              <w:t>typically include incidents of substance abuse where the substance is obtained outside of the facility/care situation.</w:t>
            </w:r>
          </w:p>
        </w:tc>
        <w:tc>
          <w:tcPr>
            <w:tcW w:w="1054" w:type="pct"/>
          </w:tcPr>
          <w:p w14:paraId="2DF2A218" w14:textId="77777777" w:rsidR="001C16B9" w:rsidRPr="0038376A" w:rsidRDefault="001C16B9" w:rsidP="001C16B9">
            <w:pPr>
              <w:pStyle w:val="Tabletex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38376A">
              <w:rPr>
                <w:rFonts w:cs="Arial"/>
                <w:b/>
                <w:sz w:val="20"/>
                <w:szCs w:val="20"/>
              </w:rPr>
              <w:lastRenderedPageBreak/>
              <w:t xml:space="preserve">Short form </w:t>
            </w:r>
            <w:r w:rsidRPr="0038376A">
              <w:rPr>
                <w:rFonts w:cs="Arial"/>
                <w:bCs/>
                <w:sz w:val="20"/>
                <w:szCs w:val="20"/>
              </w:rPr>
              <w:t>by c</w:t>
            </w:r>
            <w:r w:rsidRPr="0038376A">
              <w:rPr>
                <w:rFonts w:cs="Arial"/>
                <w:sz w:val="20"/>
                <w:szCs w:val="20"/>
              </w:rPr>
              <w:t>lose of business n</w:t>
            </w:r>
            <w:r w:rsidRPr="0038376A">
              <w:rPr>
                <w:sz w:val="20"/>
                <w:szCs w:val="20"/>
              </w:rPr>
              <w:t>ext business day</w:t>
            </w:r>
          </w:p>
          <w:p w14:paraId="2BF56A0B" w14:textId="1F7FA1D7" w:rsidR="006A39C8" w:rsidRPr="0038376A" w:rsidRDefault="001C16B9" w:rsidP="001C16B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38376A">
              <w:rPr>
                <w:b/>
                <w:sz w:val="20"/>
                <w:szCs w:val="20"/>
              </w:rPr>
              <w:t xml:space="preserve">Full incident report </w:t>
            </w:r>
            <w:r w:rsidRPr="0038376A">
              <w:rPr>
                <w:bCs/>
                <w:sz w:val="20"/>
                <w:szCs w:val="20"/>
              </w:rPr>
              <w:t xml:space="preserve">within </w:t>
            </w:r>
            <w:r w:rsidR="000C25B2">
              <w:rPr>
                <w:bCs/>
                <w:sz w:val="20"/>
                <w:szCs w:val="20"/>
              </w:rPr>
              <w:t>3</w:t>
            </w:r>
            <w:r w:rsidRPr="0038376A">
              <w:rPr>
                <w:bCs/>
                <w:sz w:val="20"/>
                <w:szCs w:val="20"/>
              </w:rPr>
              <w:t xml:space="preserve"> business days</w:t>
            </w:r>
          </w:p>
        </w:tc>
        <w:tc>
          <w:tcPr>
            <w:tcW w:w="967" w:type="pct"/>
          </w:tcPr>
          <w:p w14:paraId="2200EA5F" w14:textId="77777777" w:rsidR="002C4EE2" w:rsidRPr="0038376A" w:rsidRDefault="002C4EE2" w:rsidP="002C4EE2">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38376A">
              <w:rPr>
                <w:rFonts w:cs="Arial"/>
                <w:sz w:val="20"/>
                <w:szCs w:val="20"/>
              </w:rPr>
              <w:t>Clear summary of the incident and immediate actions taken</w:t>
            </w:r>
          </w:p>
          <w:p w14:paraId="00F202F7" w14:textId="572EB7DD" w:rsidR="006A39C8" w:rsidRPr="0038376A" w:rsidRDefault="002C4EE2" w:rsidP="002C4EE2">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38376A">
              <w:rPr>
                <w:rFonts w:cs="Arial"/>
                <w:sz w:val="20"/>
                <w:szCs w:val="20"/>
              </w:rPr>
              <w:t>Other organisations/stakeholders contacted</w:t>
            </w:r>
          </w:p>
        </w:tc>
      </w:tr>
      <w:tr w:rsidR="005C341C" w:rsidRPr="00143BCA" w14:paraId="724AEE36" w14:textId="77777777" w:rsidTr="00DB04E4">
        <w:tc>
          <w:tcPr>
            <w:cnfStyle w:val="001000000000" w:firstRow="0" w:lastRow="0" w:firstColumn="1" w:lastColumn="0" w:oddVBand="0" w:evenVBand="0" w:oddHBand="0" w:evenHBand="0" w:firstRowFirstColumn="0" w:firstRowLastColumn="0" w:lastRowFirstColumn="0" w:lastRowLastColumn="0"/>
            <w:tcW w:w="197" w:type="pct"/>
          </w:tcPr>
          <w:p w14:paraId="29673744" w14:textId="0048F0AE" w:rsidR="006A39C8" w:rsidRPr="001C7824" w:rsidRDefault="002C4EE2" w:rsidP="006A39C8">
            <w:pPr>
              <w:pStyle w:val="Tabletext"/>
              <w:jc w:val="center"/>
            </w:pPr>
            <w:r>
              <w:t>4</w:t>
            </w:r>
          </w:p>
        </w:tc>
        <w:tc>
          <w:tcPr>
            <w:tcW w:w="899" w:type="pct"/>
          </w:tcPr>
          <w:p w14:paraId="77BFEFA9" w14:textId="207CC277" w:rsidR="006A39C8" w:rsidRPr="0065448C" w:rsidRDefault="005C341C" w:rsidP="006A39C8">
            <w:pPr>
              <w:pStyle w:val="Tabletext"/>
              <w:cnfStyle w:val="000000000000" w:firstRow="0" w:lastRow="0" w:firstColumn="0" w:lastColumn="0" w:oddVBand="0" w:evenVBand="0" w:oddHBand="0" w:evenHBand="0" w:firstRowFirstColumn="0" w:firstRowLastColumn="0" w:lastRowFirstColumn="0" w:lastRowLastColumn="0"/>
              <w:rPr>
                <w:b/>
                <w:bCs/>
              </w:rPr>
            </w:pPr>
            <w:r>
              <w:rPr>
                <w:b/>
                <w:bCs/>
              </w:rPr>
              <w:t>Physical abuse</w:t>
            </w:r>
          </w:p>
        </w:tc>
        <w:tc>
          <w:tcPr>
            <w:tcW w:w="1884" w:type="pct"/>
          </w:tcPr>
          <w:p w14:paraId="6CB4F8C4" w14:textId="64BB6F32" w:rsidR="005C341C" w:rsidRPr="0028749A" w:rsidRDefault="005C341C" w:rsidP="005C341C">
            <w:pPr>
              <w:pStyle w:val="DHHStablebullet1"/>
              <w:ind w:left="0" w:firstLine="0"/>
              <w:cnfStyle w:val="000000000000" w:firstRow="0" w:lastRow="0" w:firstColumn="0" w:lastColumn="0" w:oddVBand="0" w:evenVBand="0" w:oddHBand="0" w:evenHBand="0" w:firstRowFirstColumn="0" w:firstRowLastColumn="0" w:lastRowFirstColumn="0" w:lastRowLastColumn="0"/>
              <w:rPr>
                <w:szCs w:val="20"/>
              </w:rPr>
            </w:pPr>
            <w:r w:rsidRPr="0028749A">
              <w:rPr>
                <w:szCs w:val="20"/>
              </w:rPr>
              <w:t>An incident results in the service user requiring medical treatment at a hospital.</w:t>
            </w:r>
          </w:p>
          <w:p w14:paraId="75B87022" w14:textId="77777777" w:rsidR="005C341C" w:rsidRPr="0028749A" w:rsidRDefault="005C341C" w:rsidP="005C341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Additional guidance:</w:t>
            </w:r>
          </w:p>
          <w:p w14:paraId="749F8863" w14:textId="77777777" w:rsidR="00AD48F1" w:rsidRDefault="005C341C" w:rsidP="00AD48F1">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D48F1">
              <w:rPr>
                <w:rFonts w:cs="Arial"/>
                <w:sz w:val="18"/>
                <w:szCs w:val="18"/>
              </w:rPr>
              <w:t>Medical treatment means medical interventions undertaken to treat an injury</w:t>
            </w:r>
          </w:p>
          <w:p w14:paraId="63C3AA37" w14:textId="77777777" w:rsidR="00AD48F1" w:rsidRDefault="00AD48F1" w:rsidP="00AD48F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 w:val="18"/>
                <w:szCs w:val="18"/>
              </w:rPr>
            </w:pPr>
          </w:p>
          <w:p w14:paraId="195A1CEF" w14:textId="6D125DA6" w:rsidR="006A39C8" w:rsidRPr="00AD48F1" w:rsidRDefault="005C341C" w:rsidP="00AD48F1">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D48F1">
              <w:rPr>
                <w:rFonts w:cs="Arial"/>
                <w:sz w:val="18"/>
                <w:szCs w:val="18"/>
              </w:rPr>
              <w:t>This does not include interventions to identify the existence of an injury.</w:t>
            </w:r>
          </w:p>
        </w:tc>
        <w:tc>
          <w:tcPr>
            <w:tcW w:w="1054" w:type="pct"/>
          </w:tcPr>
          <w:p w14:paraId="2B4EF9D3" w14:textId="77777777" w:rsidR="001C16B9"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8749A">
              <w:rPr>
                <w:rFonts w:cs="Arial"/>
                <w:b/>
                <w:sz w:val="20"/>
                <w:szCs w:val="20"/>
              </w:rPr>
              <w:t xml:space="preserve">Short form </w:t>
            </w:r>
            <w:r w:rsidRPr="0028749A">
              <w:rPr>
                <w:rFonts w:cs="Arial"/>
                <w:bCs/>
                <w:sz w:val="20"/>
                <w:szCs w:val="20"/>
              </w:rPr>
              <w:t>by c</w:t>
            </w:r>
            <w:r w:rsidRPr="0028749A">
              <w:rPr>
                <w:rFonts w:cs="Arial"/>
                <w:sz w:val="20"/>
                <w:szCs w:val="20"/>
              </w:rPr>
              <w:t>lose of business n</w:t>
            </w:r>
            <w:r w:rsidRPr="0028749A">
              <w:rPr>
                <w:sz w:val="20"/>
                <w:szCs w:val="20"/>
              </w:rPr>
              <w:t>ext business day</w:t>
            </w:r>
          </w:p>
          <w:p w14:paraId="3114BE17" w14:textId="3DDB3A97" w:rsidR="006A39C8"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8749A">
              <w:rPr>
                <w:b/>
                <w:sz w:val="20"/>
                <w:szCs w:val="20"/>
              </w:rPr>
              <w:t xml:space="preserve">Full incident report </w:t>
            </w:r>
            <w:r w:rsidRPr="0028749A">
              <w:rPr>
                <w:bCs/>
                <w:sz w:val="20"/>
                <w:szCs w:val="20"/>
              </w:rPr>
              <w:t xml:space="preserve">within </w:t>
            </w:r>
            <w:r w:rsidR="000C25B2">
              <w:rPr>
                <w:bCs/>
                <w:sz w:val="20"/>
                <w:szCs w:val="20"/>
              </w:rPr>
              <w:t>3</w:t>
            </w:r>
            <w:r w:rsidRPr="0028749A">
              <w:rPr>
                <w:bCs/>
                <w:sz w:val="20"/>
                <w:szCs w:val="20"/>
              </w:rPr>
              <w:t xml:space="preserve"> business days</w:t>
            </w:r>
          </w:p>
        </w:tc>
        <w:tc>
          <w:tcPr>
            <w:tcW w:w="967" w:type="pct"/>
          </w:tcPr>
          <w:p w14:paraId="08CA35BE" w14:textId="77777777" w:rsidR="00773F68"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38376A">
              <w:rPr>
                <w:rFonts w:cs="Arial"/>
                <w:sz w:val="20"/>
                <w:szCs w:val="20"/>
              </w:rPr>
              <w:t>Clear summary of the incident and immediate actions taken</w:t>
            </w:r>
          </w:p>
          <w:p w14:paraId="2D51912F" w14:textId="337C1990" w:rsidR="00773F68" w:rsidRPr="0038376A"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Supports provided to the alleged victim</w:t>
            </w:r>
          </w:p>
          <w:p w14:paraId="03CD33DA" w14:textId="1DC53485" w:rsidR="006A39C8" w:rsidRPr="09DEFD8D"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szCs w:val="20"/>
              </w:rPr>
              <w:t>Other organisations/stakeholders contacted</w:t>
            </w:r>
          </w:p>
        </w:tc>
      </w:tr>
      <w:tr w:rsidR="005C341C" w:rsidRPr="00143BCA" w14:paraId="7941BF60" w14:textId="77777777" w:rsidTr="00DB04E4">
        <w:tc>
          <w:tcPr>
            <w:cnfStyle w:val="001000000000" w:firstRow="0" w:lastRow="0" w:firstColumn="1" w:lastColumn="0" w:oddVBand="0" w:evenVBand="0" w:oddHBand="0" w:evenHBand="0" w:firstRowFirstColumn="0" w:firstRowLastColumn="0" w:lastRowFirstColumn="0" w:lastRowLastColumn="0"/>
            <w:tcW w:w="197" w:type="pct"/>
          </w:tcPr>
          <w:p w14:paraId="6158C7A6" w14:textId="0945FE68" w:rsidR="006A39C8" w:rsidRPr="001C7824" w:rsidRDefault="002C4EE2" w:rsidP="006A39C8">
            <w:pPr>
              <w:pStyle w:val="Tabletext"/>
              <w:jc w:val="center"/>
            </w:pPr>
            <w:r>
              <w:t>5</w:t>
            </w:r>
          </w:p>
        </w:tc>
        <w:tc>
          <w:tcPr>
            <w:tcW w:w="899" w:type="pct"/>
          </w:tcPr>
          <w:p w14:paraId="25F019C0" w14:textId="706DF5D0" w:rsidR="006A39C8" w:rsidRPr="0065448C" w:rsidRDefault="002827B4" w:rsidP="006A39C8">
            <w:pPr>
              <w:pStyle w:val="Tabletext"/>
              <w:cnfStyle w:val="000000000000" w:firstRow="0" w:lastRow="0" w:firstColumn="0" w:lastColumn="0" w:oddVBand="0" w:evenVBand="0" w:oddHBand="0" w:evenHBand="0" w:firstRowFirstColumn="0" w:firstRowLastColumn="0" w:lastRowFirstColumn="0" w:lastRowLastColumn="0"/>
              <w:rPr>
                <w:b/>
                <w:bCs/>
              </w:rPr>
            </w:pPr>
            <w:r>
              <w:rPr>
                <w:b/>
                <w:bCs/>
              </w:rPr>
              <w:t>Sexual abuse</w:t>
            </w:r>
          </w:p>
        </w:tc>
        <w:tc>
          <w:tcPr>
            <w:tcW w:w="1884" w:type="pct"/>
          </w:tcPr>
          <w:p w14:paraId="1A70E7F1" w14:textId="2F2FA1B9" w:rsidR="006A39C8" w:rsidRPr="0028749A" w:rsidRDefault="002827B4" w:rsidP="002827B4">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28749A">
              <w:rPr>
                <w:sz w:val="20"/>
                <w:szCs w:val="20"/>
              </w:rPr>
              <w:t>An incident required police involvement and the service user required medical treatment at a hospital.</w:t>
            </w:r>
          </w:p>
          <w:p w14:paraId="4E533CB6" w14:textId="77777777" w:rsidR="00401FD1" w:rsidRDefault="00401FD1" w:rsidP="00401FD1">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Additional guidance:</w:t>
            </w:r>
          </w:p>
          <w:p w14:paraId="7CBC4888" w14:textId="77777777" w:rsidR="00401FD1" w:rsidRPr="00401FD1" w:rsidRDefault="00401FD1" w:rsidP="00401FD1">
            <w:pPr>
              <w:pStyle w:val="DHHStabletext"/>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401FD1">
              <w:rPr>
                <w:sz w:val="18"/>
                <w:szCs w:val="18"/>
              </w:rPr>
              <w:t>Medical treatment means medical interventions undertaken to treat an injury arising from the sexual abuse and/or a forensic medical examination.</w:t>
            </w:r>
          </w:p>
          <w:p w14:paraId="0C2A59E9" w14:textId="2CFC0771" w:rsidR="00401FD1" w:rsidRPr="00401FD1" w:rsidRDefault="00401FD1" w:rsidP="00401FD1">
            <w:pPr>
              <w:pStyle w:val="DHHStabletext"/>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401FD1">
              <w:rPr>
                <w:sz w:val="18"/>
                <w:szCs w:val="18"/>
              </w:rPr>
              <w:t>Medical treatment at a hospital includes a forensic examination at an alternative facility.</w:t>
            </w:r>
          </w:p>
          <w:p w14:paraId="0718AA8D" w14:textId="1AF5AF10" w:rsidR="002827B4" w:rsidRPr="00401FD1" w:rsidRDefault="00401FD1" w:rsidP="002827B4">
            <w:pPr>
              <w:pStyle w:val="DHHStabletext"/>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401FD1">
              <w:rPr>
                <w:sz w:val="18"/>
                <w:szCs w:val="18"/>
              </w:rPr>
              <w:t xml:space="preserve">Police involvement means that the nature of the allegations and presentation of the alleged victim has warranted a notification to the police. This does </w:t>
            </w:r>
            <w:r w:rsidRPr="00736608">
              <w:rPr>
                <w:i/>
                <w:sz w:val="18"/>
                <w:szCs w:val="18"/>
              </w:rPr>
              <w:t>not</w:t>
            </w:r>
            <w:r w:rsidRPr="00401FD1">
              <w:rPr>
                <w:i/>
                <w:sz w:val="18"/>
                <w:szCs w:val="18"/>
              </w:rPr>
              <w:t xml:space="preserve"> </w:t>
            </w:r>
            <w:r w:rsidRPr="00401FD1">
              <w:rPr>
                <w:sz w:val="18"/>
                <w:szCs w:val="18"/>
              </w:rPr>
              <w:t>include any subsequent determination by the police on their pursuit of the matter.</w:t>
            </w:r>
          </w:p>
        </w:tc>
        <w:tc>
          <w:tcPr>
            <w:tcW w:w="1054" w:type="pct"/>
          </w:tcPr>
          <w:p w14:paraId="39578962" w14:textId="77777777" w:rsidR="001C16B9"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8749A">
              <w:rPr>
                <w:rFonts w:cs="Arial"/>
                <w:b/>
                <w:sz w:val="20"/>
                <w:szCs w:val="20"/>
              </w:rPr>
              <w:t xml:space="preserve">Short form </w:t>
            </w:r>
            <w:r w:rsidRPr="0028749A">
              <w:rPr>
                <w:rFonts w:cs="Arial"/>
                <w:bCs/>
                <w:sz w:val="20"/>
                <w:szCs w:val="20"/>
              </w:rPr>
              <w:t>by c</w:t>
            </w:r>
            <w:r w:rsidRPr="0028749A">
              <w:rPr>
                <w:rFonts w:cs="Arial"/>
                <w:sz w:val="20"/>
                <w:szCs w:val="20"/>
              </w:rPr>
              <w:t>lose of business n</w:t>
            </w:r>
            <w:r w:rsidRPr="0028749A">
              <w:rPr>
                <w:sz w:val="20"/>
                <w:szCs w:val="20"/>
              </w:rPr>
              <w:t>ext business day</w:t>
            </w:r>
          </w:p>
          <w:p w14:paraId="5853A7DB" w14:textId="68F47E8C" w:rsidR="006A39C8"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8749A">
              <w:rPr>
                <w:b/>
                <w:sz w:val="20"/>
                <w:szCs w:val="20"/>
              </w:rPr>
              <w:t xml:space="preserve">Full incident report </w:t>
            </w:r>
            <w:r w:rsidRPr="0028749A">
              <w:rPr>
                <w:bCs/>
                <w:sz w:val="20"/>
                <w:szCs w:val="20"/>
              </w:rPr>
              <w:t xml:space="preserve">within </w:t>
            </w:r>
            <w:r w:rsidR="000C25B2">
              <w:rPr>
                <w:bCs/>
                <w:sz w:val="20"/>
                <w:szCs w:val="20"/>
              </w:rPr>
              <w:t>3</w:t>
            </w:r>
            <w:r w:rsidRPr="0028749A">
              <w:rPr>
                <w:bCs/>
                <w:sz w:val="20"/>
                <w:szCs w:val="20"/>
              </w:rPr>
              <w:t xml:space="preserve"> business days</w:t>
            </w:r>
          </w:p>
        </w:tc>
        <w:tc>
          <w:tcPr>
            <w:tcW w:w="967" w:type="pct"/>
          </w:tcPr>
          <w:p w14:paraId="20FE43E1" w14:textId="77777777" w:rsidR="00773F68"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38376A">
              <w:rPr>
                <w:rFonts w:cs="Arial"/>
                <w:sz w:val="20"/>
                <w:szCs w:val="20"/>
              </w:rPr>
              <w:t>Clear summary of the incident and immediate actions taken</w:t>
            </w:r>
          </w:p>
          <w:p w14:paraId="557ED29F" w14:textId="66327679" w:rsidR="00773F68" w:rsidRPr="0038376A"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Supports provided to the alleged victim</w:t>
            </w:r>
          </w:p>
          <w:p w14:paraId="1C5B6516" w14:textId="118D09C4" w:rsidR="006A39C8" w:rsidRPr="09DEFD8D"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szCs w:val="20"/>
              </w:rPr>
              <w:t>Other organisations/stakeholders contacted</w:t>
            </w:r>
          </w:p>
        </w:tc>
      </w:tr>
      <w:tr w:rsidR="005C341C" w:rsidRPr="00143BCA" w14:paraId="22927F4F" w14:textId="77777777" w:rsidTr="00DB04E4">
        <w:tc>
          <w:tcPr>
            <w:cnfStyle w:val="001000000000" w:firstRow="0" w:lastRow="0" w:firstColumn="1" w:lastColumn="0" w:oddVBand="0" w:evenVBand="0" w:oddHBand="0" w:evenHBand="0" w:firstRowFirstColumn="0" w:firstRowLastColumn="0" w:lastRowFirstColumn="0" w:lastRowLastColumn="0"/>
            <w:tcW w:w="197" w:type="pct"/>
          </w:tcPr>
          <w:p w14:paraId="64B8FA11" w14:textId="5D3DA24A" w:rsidR="006A39C8" w:rsidRPr="001C7824" w:rsidRDefault="002C4EE2" w:rsidP="006A39C8">
            <w:pPr>
              <w:pStyle w:val="Tabletext"/>
              <w:jc w:val="center"/>
            </w:pPr>
            <w:r>
              <w:t>6</w:t>
            </w:r>
          </w:p>
        </w:tc>
        <w:tc>
          <w:tcPr>
            <w:tcW w:w="899" w:type="pct"/>
          </w:tcPr>
          <w:p w14:paraId="275E5DDB" w14:textId="40445FD8" w:rsidR="006A39C8" w:rsidRPr="0065448C" w:rsidRDefault="00DB04E4" w:rsidP="006A39C8">
            <w:pPr>
              <w:pStyle w:val="Tabletext"/>
              <w:cnfStyle w:val="000000000000" w:firstRow="0" w:lastRow="0" w:firstColumn="0" w:lastColumn="0" w:oddVBand="0" w:evenVBand="0" w:oddHBand="0" w:evenHBand="0" w:firstRowFirstColumn="0" w:firstRowLastColumn="0" w:lastRowFirstColumn="0" w:lastRowLastColumn="0"/>
              <w:rPr>
                <w:b/>
                <w:bCs/>
              </w:rPr>
            </w:pPr>
            <w:r w:rsidRPr="007B52F5">
              <w:rPr>
                <w:rFonts w:cs="Arial"/>
                <w:b/>
                <w:sz w:val="20"/>
              </w:rPr>
              <w:t>Fire, flood or other</w:t>
            </w:r>
            <w:r w:rsidRPr="007B52F5">
              <w:rPr>
                <w:rFonts w:cs="Arial"/>
                <w:sz w:val="20"/>
              </w:rPr>
              <w:t xml:space="preserve"> </w:t>
            </w:r>
            <w:r w:rsidRPr="007B52F5">
              <w:rPr>
                <w:rFonts w:cs="Arial"/>
                <w:b/>
                <w:sz w:val="20"/>
              </w:rPr>
              <w:t>emergency event</w:t>
            </w:r>
          </w:p>
        </w:tc>
        <w:tc>
          <w:tcPr>
            <w:tcW w:w="1884" w:type="pct"/>
          </w:tcPr>
          <w:p w14:paraId="7DB7B3EB" w14:textId="77777777" w:rsidR="00066E36" w:rsidRPr="0028749A" w:rsidRDefault="00066E36" w:rsidP="00066E36">
            <w:pPr>
              <w:pStyle w:val="DHHS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 xml:space="preserve">Fire, flood or other emergency event that: </w:t>
            </w:r>
          </w:p>
          <w:p w14:paraId="346F4007" w14:textId="77777777" w:rsidR="00DB04E4" w:rsidRPr="0028749A" w:rsidRDefault="00066E36" w:rsidP="00DB04E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results in a service user requiring medical treatment at a hospital; and/or</w:t>
            </w:r>
          </w:p>
          <w:p w14:paraId="6A4361D0" w14:textId="5F347C91" w:rsidR="006A39C8" w:rsidRPr="0028749A" w:rsidRDefault="00066E36" w:rsidP="00DB04E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8749A">
              <w:rPr>
                <w:rFonts w:cs="Arial"/>
                <w:sz w:val="20"/>
                <w:szCs w:val="20"/>
              </w:rPr>
              <w:t>the relocation of service users.</w:t>
            </w:r>
          </w:p>
        </w:tc>
        <w:tc>
          <w:tcPr>
            <w:tcW w:w="1054" w:type="pct"/>
          </w:tcPr>
          <w:p w14:paraId="74D660A2" w14:textId="77777777" w:rsidR="001C16B9"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8749A">
              <w:rPr>
                <w:rFonts w:cs="Arial"/>
                <w:b/>
                <w:sz w:val="20"/>
                <w:szCs w:val="20"/>
              </w:rPr>
              <w:t xml:space="preserve">Short form </w:t>
            </w:r>
            <w:r w:rsidRPr="0028749A">
              <w:rPr>
                <w:rFonts w:cs="Arial"/>
                <w:bCs/>
                <w:sz w:val="20"/>
                <w:szCs w:val="20"/>
              </w:rPr>
              <w:t>by c</w:t>
            </w:r>
            <w:r w:rsidRPr="0028749A">
              <w:rPr>
                <w:rFonts w:cs="Arial"/>
                <w:sz w:val="20"/>
                <w:szCs w:val="20"/>
              </w:rPr>
              <w:t>lose of business n</w:t>
            </w:r>
            <w:r w:rsidRPr="0028749A">
              <w:rPr>
                <w:sz w:val="20"/>
                <w:szCs w:val="20"/>
              </w:rPr>
              <w:t>ext business day</w:t>
            </w:r>
          </w:p>
          <w:p w14:paraId="360C5ECD" w14:textId="6748524D" w:rsidR="006A39C8" w:rsidRPr="0028749A" w:rsidRDefault="001C16B9" w:rsidP="001C16B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8749A">
              <w:rPr>
                <w:b/>
                <w:sz w:val="20"/>
                <w:szCs w:val="20"/>
              </w:rPr>
              <w:t xml:space="preserve">Full incident report </w:t>
            </w:r>
            <w:r w:rsidRPr="0028749A">
              <w:rPr>
                <w:bCs/>
                <w:sz w:val="20"/>
                <w:szCs w:val="20"/>
              </w:rPr>
              <w:t xml:space="preserve">within </w:t>
            </w:r>
            <w:r w:rsidR="000C25B2">
              <w:rPr>
                <w:bCs/>
                <w:sz w:val="20"/>
                <w:szCs w:val="20"/>
              </w:rPr>
              <w:t>3</w:t>
            </w:r>
            <w:r w:rsidRPr="0028749A">
              <w:rPr>
                <w:bCs/>
                <w:sz w:val="20"/>
                <w:szCs w:val="20"/>
              </w:rPr>
              <w:t xml:space="preserve"> business days</w:t>
            </w:r>
          </w:p>
        </w:tc>
        <w:tc>
          <w:tcPr>
            <w:tcW w:w="967" w:type="pct"/>
          </w:tcPr>
          <w:p w14:paraId="08542873" w14:textId="77777777" w:rsidR="00773F68"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szCs w:val="20"/>
              </w:rPr>
            </w:pPr>
            <w:r w:rsidRPr="0038376A">
              <w:rPr>
                <w:rFonts w:cs="Arial"/>
                <w:sz w:val="20"/>
                <w:szCs w:val="20"/>
              </w:rPr>
              <w:t>Clear summary of the incident and immediate actions taken</w:t>
            </w:r>
          </w:p>
          <w:p w14:paraId="139DAA14" w14:textId="6BA83C2C" w:rsidR="006A39C8" w:rsidRPr="09DEFD8D" w:rsidRDefault="00773F68" w:rsidP="00773F68">
            <w:pPr>
              <w:pStyle w:val="Tabletext"/>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szCs w:val="20"/>
              </w:rPr>
              <w:t>Other organisations / stakeholders contacted</w:t>
            </w:r>
          </w:p>
        </w:tc>
      </w:tr>
    </w:tbl>
    <w:p w14:paraId="757BC36E" w14:textId="77777777" w:rsidR="006241A7" w:rsidRDefault="006241A7">
      <w:pPr>
        <w:spacing w:after="0" w:line="240" w:lineRule="auto"/>
        <w:rPr>
          <w:sz w:val="20"/>
        </w:rPr>
      </w:pPr>
      <w:r>
        <w:rPr>
          <w:sz w:val="20"/>
        </w:rPr>
        <w:br w:type="page"/>
      </w:r>
    </w:p>
    <w:p w14:paraId="58CE72FF" w14:textId="1A5B395D" w:rsidR="00645BCA" w:rsidRPr="00645BCA" w:rsidRDefault="007D6308" w:rsidP="00A0339E">
      <w:pPr>
        <w:pStyle w:val="Heading3"/>
      </w:pPr>
      <w:bookmarkStart w:id="11" w:name="_Toc180055179"/>
      <w:r>
        <w:lastRenderedPageBreak/>
        <w:t>Further reporting requirements for supported residential services</w:t>
      </w:r>
      <w:bookmarkEnd w:id="11"/>
    </w:p>
    <w:p w14:paraId="1609A2E3" w14:textId="48A149E5" w:rsidR="007D6308" w:rsidRDefault="007D6308" w:rsidP="00736608">
      <w:pPr>
        <w:pStyle w:val="Body"/>
      </w:pPr>
      <w:r>
        <w:t>Supported residential services (SRS) have further reporting requirements for notifiable incidents. These requirements only apply to providers of supported residential services.</w:t>
      </w:r>
    </w:p>
    <w:p w14:paraId="0ABAA9EC" w14:textId="648A0A8B" w:rsidR="007D6308" w:rsidRDefault="007D6308" w:rsidP="007D6308">
      <w:pPr>
        <w:pStyle w:val="Body"/>
      </w:pPr>
      <w:r>
        <w:t>The following notifiable incidents must be reported to a resident’s guardian or person nominated:</w:t>
      </w:r>
    </w:p>
    <w:p w14:paraId="361572D7" w14:textId="77777777" w:rsidR="007D6308" w:rsidRPr="0009249D" w:rsidRDefault="007D6308" w:rsidP="00B75F3D">
      <w:pPr>
        <w:pStyle w:val="Bullet1"/>
        <w:numPr>
          <w:ilvl w:val="0"/>
          <w:numId w:val="37"/>
        </w:numPr>
        <w:spacing w:after="120"/>
      </w:pPr>
      <w:r>
        <w:t>d</w:t>
      </w:r>
      <w:r w:rsidRPr="0009249D">
        <w:t>eterioration in health</w:t>
      </w:r>
    </w:p>
    <w:p w14:paraId="6FE36D1B" w14:textId="77777777" w:rsidR="007D6308" w:rsidRPr="0009249D" w:rsidRDefault="007D6308" w:rsidP="00B75F3D">
      <w:pPr>
        <w:pStyle w:val="Bullet1"/>
        <w:numPr>
          <w:ilvl w:val="0"/>
          <w:numId w:val="37"/>
        </w:numPr>
        <w:spacing w:after="120"/>
      </w:pPr>
      <w:r>
        <w:t>i</w:t>
      </w:r>
      <w:r w:rsidRPr="0009249D">
        <w:t>njury</w:t>
      </w:r>
    </w:p>
    <w:p w14:paraId="02DD9E32" w14:textId="77777777" w:rsidR="007D6308" w:rsidRPr="0009249D" w:rsidRDefault="007D6308" w:rsidP="00B75F3D">
      <w:pPr>
        <w:pStyle w:val="Bullet1"/>
        <w:numPr>
          <w:ilvl w:val="0"/>
          <w:numId w:val="37"/>
        </w:numPr>
        <w:spacing w:after="120"/>
      </w:pPr>
      <w:r>
        <w:t>m</w:t>
      </w:r>
      <w:r w:rsidRPr="0009249D">
        <w:t>edication error</w:t>
      </w:r>
    </w:p>
    <w:p w14:paraId="0B0AA189" w14:textId="77777777" w:rsidR="007D6308" w:rsidRPr="0009249D" w:rsidRDefault="007D6308" w:rsidP="00B75F3D">
      <w:pPr>
        <w:pStyle w:val="Bullet1"/>
        <w:numPr>
          <w:ilvl w:val="0"/>
          <w:numId w:val="37"/>
        </w:numPr>
        <w:spacing w:after="120"/>
      </w:pPr>
      <w:r>
        <w:t>d</w:t>
      </w:r>
      <w:r w:rsidRPr="0009249D">
        <w:t>eath</w:t>
      </w:r>
    </w:p>
    <w:p w14:paraId="31E3AF2F" w14:textId="77777777" w:rsidR="007D6308" w:rsidRPr="0009249D" w:rsidRDefault="007D6308" w:rsidP="00B75F3D">
      <w:pPr>
        <w:pStyle w:val="Bullet1"/>
        <w:numPr>
          <w:ilvl w:val="0"/>
          <w:numId w:val="37"/>
        </w:numPr>
        <w:spacing w:after="120"/>
      </w:pPr>
      <w:r>
        <w:t>b</w:t>
      </w:r>
      <w:r w:rsidRPr="0009249D">
        <w:t>ehaviour that may pose a serious risk to safety</w:t>
      </w:r>
    </w:p>
    <w:p w14:paraId="06C46134" w14:textId="77777777" w:rsidR="007D6308" w:rsidRDefault="007D6308" w:rsidP="00B75F3D">
      <w:pPr>
        <w:pStyle w:val="Bullet1"/>
        <w:numPr>
          <w:ilvl w:val="0"/>
          <w:numId w:val="37"/>
        </w:numPr>
        <w:spacing w:after="120"/>
      </w:pPr>
      <w:r w:rsidRPr="0009249D">
        <w:t>relocation of resident</w:t>
      </w:r>
    </w:p>
    <w:p w14:paraId="36D1C8E4" w14:textId="77777777" w:rsidR="007D6308" w:rsidRDefault="007D6308" w:rsidP="00B75F3D">
      <w:pPr>
        <w:pStyle w:val="Bullet1"/>
        <w:numPr>
          <w:ilvl w:val="0"/>
          <w:numId w:val="37"/>
        </w:numPr>
        <w:spacing w:after="120"/>
      </w:pPr>
      <w:r w:rsidRPr="0009249D">
        <w:t>termination of residential and services agreement.</w:t>
      </w:r>
    </w:p>
    <w:p w14:paraId="2914AF7B" w14:textId="77777777" w:rsidR="007D6308" w:rsidRDefault="007D6308" w:rsidP="007D6308">
      <w:pPr>
        <w:spacing w:after="0" w:line="240" w:lineRule="auto"/>
      </w:pPr>
    </w:p>
    <w:p w14:paraId="6CB0FF57" w14:textId="51A45B14" w:rsidR="00AD2B03" w:rsidRDefault="007D6308" w:rsidP="00B75F3D">
      <w:pPr>
        <w:spacing w:after="0" w:line="240" w:lineRule="auto"/>
        <w:jc w:val="both"/>
      </w:pPr>
      <w:r>
        <w:t xml:space="preserve">These incidents must be reported to the resident’s guardian (or person nominated) </w:t>
      </w:r>
      <w:r w:rsidRPr="000E4523">
        <w:rPr>
          <w:b/>
          <w:bCs/>
        </w:rPr>
        <w:t xml:space="preserve">within </w:t>
      </w:r>
      <w:r w:rsidR="00105742">
        <w:rPr>
          <w:b/>
          <w:bCs/>
        </w:rPr>
        <w:t>3</w:t>
      </w:r>
      <w:r w:rsidRPr="000E4523">
        <w:rPr>
          <w:b/>
          <w:bCs/>
        </w:rPr>
        <w:t xml:space="preserve"> business days</w:t>
      </w:r>
      <w:r>
        <w:t>.</w:t>
      </w:r>
    </w:p>
    <w:p w14:paraId="655C5099" w14:textId="0CA860E0" w:rsidR="00E038DC" w:rsidRDefault="007D6308" w:rsidP="00AD2B03">
      <w:pPr>
        <w:jc w:val="both"/>
      </w:pPr>
      <w:r w:rsidRPr="00AD2B03">
        <w:t>These</w:t>
      </w:r>
      <w:r w:rsidRPr="00AD2B03" w:rsidDel="00407D71">
        <w:t xml:space="preserve"> </w:t>
      </w:r>
      <w:r w:rsidRPr="00AD2B03">
        <w:t xml:space="preserve">reporting requirements apply </w:t>
      </w:r>
      <w:r w:rsidRPr="00BE6841">
        <w:rPr>
          <w:b/>
          <w:bCs/>
        </w:rPr>
        <w:t>in addition to</w:t>
      </w:r>
      <w:r w:rsidRPr="00AD2B03">
        <w:t xml:space="preserve"> the requirements for reporting serious risk, serious harm and critical notifiable incidents.</w:t>
      </w:r>
    </w:p>
    <w:p w14:paraId="123C277E" w14:textId="220CEFE8" w:rsidR="007D6308" w:rsidRPr="00AD2B03" w:rsidRDefault="007D6308" w:rsidP="00B75F3D">
      <w:pPr>
        <w:jc w:val="both"/>
      </w:pPr>
      <w:r w:rsidRPr="00AD2B03">
        <w:t>Supported residential services providers may also need to provide further evidence to the Regulator about responding to medication errors and changes in health and support needs.</w:t>
      </w:r>
    </w:p>
    <w:p w14:paraId="28C3C7BE" w14:textId="77777777" w:rsidR="007D6308" w:rsidRPr="0009249D" w:rsidRDefault="007D6308" w:rsidP="00AC133A">
      <w:pPr>
        <w:pStyle w:val="Heading3"/>
      </w:pPr>
      <w:r>
        <w:t>Responding to medication errors</w:t>
      </w:r>
    </w:p>
    <w:p w14:paraId="79D29BFC" w14:textId="77777777" w:rsidR="007D6308" w:rsidRDefault="007D6308" w:rsidP="007D6308">
      <w:pPr>
        <w:pStyle w:val="Bullet1"/>
        <w:numPr>
          <w:ilvl w:val="0"/>
          <w:numId w:val="0"/>
        </w:numPr>
        <w:spacing w:after="120"/>
        <w:ind w:left="284" w:hanging="284"/>
      </w:pPr>
      <w:r>
        <w:t>For medication errors, providers of supported residential services must:</w:t>
      </w:r>
    </w:p>
    <w:p w14:paraId="1FB71C31" w14:textId="64BE62CC" w:rsidR="007D6308" w:rsidRDefault="007D6308" w:rsidP="00AB2F10">
      <w:pPr>
        <w:pStyle w:val="Body"/>
        <w:numPr>
          <w:ilvl w:val="0"/>
          <w:numId w:val="8"/>
        </w:numPr>
        <w:spacing w:before="240"/>
      </w:pPr>
      <w:r>
        <w:t>seek medical advice (for example, the treating doctor, local chemist or Nurse-On-Call) about the potential risks and recommended follow up action</w:t>
      </w:r>
    </w:p>
    <w:p w14:paraId="4EC15133" w14:textId="77777777" w:rsidR="007D6308" w:rsidRDefault="007D6308" w:rsidP="00AB2F10">
      <w:pPr>
        <w:pStyle w:val="Body"/>
        <w:numPr>
          <w:ilvl w:val="0"/>
          <w:numId w:val="8"/>
        </w:numPr>
        <w:spacing w:before="240"/>
      </w:pPr>
      <w:r>
        <w:t>immediately make records after any medication errors, including:</w:t>
      </w:r>
    </w:p>
    <w:p w14:paraId="695503B7" w14:textId="77777777" w:rsidR="007D6308" w:rsidRDefault="007D6308" w:rsidP="00AB2F10">
      <w:pPr>
        <w:pStyle w:val="Body"/>
        <w:numPr>
          <w:ilvl w:val="1"/>
          <w:numId w:val="8"/>
        </w:numPr>
        <w:spacing w:before="120"/>
        <w:ind w:left="1434" w:hanging="357"/>
      </w:pPr>
      <w:r>
        <w:t>the date and time</w:t>
      </w:r>
    </w:p>
    <w:p w14:paraId="7D7C7CC9" w14:textId="77777777" w:rsidR="007D6308" w:rsidRDefault="007D6308" w:rsidP="00AB2F10">
      <w:pPr>
        <w:pStyle w:val="Body"/>
        <w:numPr>
          <w:ilvl w:val="1"/>
          <w:numId w:val="8"/>
        </w:numPr>
        <w:spacing w:before="120"/>
        <w:ind w:left="1434" w:hanging="357"/>
      </w:pPr>
      <w:r>
        <w:t>what occurred</w:t>
      </w:r>
    </w:p>
    <w:p w14:paraId="2BCC2E25" w14:textId="77777777" w:rsidR="007D6308" w:rsidRDefault="007D6308" w:rsidP="00AB2F10">
      <w:pPr>
        <w:pStyle w:val="Body"/>
        <w:numPr>
          <w:ilvl w:val="1"/>
          <w:numId w:val="8"/>
        </w:numPr>
        <w:spacing w:before="120"/>
        <w:ind w:left="1434" w:hanging="357"/>
      </w:pPr>
      <w:r>
        <w:t>what was administered</w:t>
      </w:r>
    </w:p>
    <w:p w14:paraId="5313167C" w14:textId="77777777" w:rsidR="007D6308" w:rsidRPr="0009249D" w:rsidRDefault="007D6308" w:rsidP="00AB2F10">
      <w:pPr>
        <w:pStyle w:val="Body"/>
        <w:numPr>
          <w:ilvl w:val="1"/>
          <w:numId w:val="8"/>
        </w:numPr>
        <w:spacing w:before="120"/>
        <w:ind w:left="1434" w:hanging="357"/>
      </w:pPr>
      <w:r>
        <w:t>the name and signature of the staff member who administered or supervised the administration of the medication.</w:t>
      </w:r>
    </w:p>
    <w:p w14:paraId="1E52731B" w14:textId="77777777" w:rsidR="007D6308" w:rsidRDefault="007D6308" w:rsidP="00E1203A">
      <w:pPr>
        <w:pStyle w:val="Heading3"/>
      </w:pPr>
      <w:r>
        <w:t>Change in health and personal support needs</w:t>
      </w:r>
    </w:p>
    <w:p w14:paraId="5C16A767" w14:textId="77777777" w:rsidR="007D6308" w:rsidRDefault="007D6308" w:rsidP="007D6308">
      <w:pPr>
        <w:pStyle w:val="Body"/>
        <w:spacing w:before="240"/>
      </w:pPr>
      <w:r>
        <w:t>If a resident’s health and personal support needs change:</w:t>
      </w:r>
    </w:p>
    <w:p w14:paraId="6C20F707" w14:textId="1133F8FB" w:rsidR="007D6308" w:rsidRDefault="007D6308" w:rsidP="00AB2F10">
      <w:pPr>
        <w:pStyle w:val="Body"/>
        <w:numPr>
          <w:ilvl w:val="0"/>
          <w:numId w:val="10"/>
        </w:numPr>
        <w:spacing w:before="240"/>
      </w:pPr>
      <w:r>
        <w:t xml:space="preserve">the service provider must ensure that the resident’s ongoing support plan is reviewed and </w:t>
      </w:r>
      <w:r w:rsidR="003665A0">
        <w:t xml:space="preserve">changed </w:t>
      </w:r>
      <w:r>
        <w:t>as necessary to meet the changed needs of the resident</w:t>
      </w:r>
    </w:p>
    <w:p w14:paraId="216FA095" w14:textId="7F9EA689" w:rsidR="00F560D9" w:rsidRDefault="007D6308" w:rsidP="00F560D9">
      <w:pPr>
        <w:pStyle w:val="Body"/>
        <w:numPr>
          <w:ilvl w:val="0"/>
          <w:numId w:val="10"/>
        </w:numPr>
        <w:spacing w:before="240"/>
      </w:pPr>
      <w:r>
        <w:t>ongoing support plans must set out the ongoing health and personal support requirements of the resident</w:t>
      </w:r>
      <w:r w:rsidR="00A75400">
        <w:t xml:space="preserve">. </w:t>
      </w:r>
      <w:r w:rsidR="00386482">
        <w:t xml:space="preserve">There must also be </w:t>
      </w:r>
      <w:r>
        <w:t xml:space="preserve">agreements </w:t>
      </w:r>
      <w:r w:rsidR="000C27BE">
        <w:t xml:space="preserve">as to </w:t>
      </w:r>
      <w:r>
        <w:t xml:space="preserve">how a service provider </w:t>
      </w:r>
      <w:r w:rsidR="000C27BE">
        <w:t xml:space="preserve">can </w:t>
      </w:r>
      <w:r w:rsidR="00CE1A70">
        <w:t>help</w:t>
      </w:r>
      <w:r>
        <w:t xml:space="preserve"> with the resident</w:t>
      </w:r>
      <w:r w:rsidR="000C27BE">
        <w:t>’s</w:t>
      </w:r>
      <w:r>
        <w:t xml:space="preserve"> ongoing health and support needs.</w:t>
      </w:r>
    </w:p>
    <w:p w14:paraId="16160844" w14:textId="6FE951C0" w:rsidR="007D6308" w:rsidRDefault="007D6308" w:rsidP="1C67460B">
      <w:pPr>
        <w:pStyle w:val="Heading2"/>
        <w:spacing w:after="0" w:line="240" w:lineRule="auto"/>
        <w:rPr>
          <w:rFonts w:eastAsia="Times"/>
        </w:rPr>
      </w:pPr>
      <w:bookmarkStart w:id="12" w:name="_Toc180055180"/>
      <w:r>
        <w:lastRenderedPageBreak/>
        <w:t>How to report</w:t>
      </w:r>
      <w:bookmarkEnd w:id="12"/>
    </w:p>
    <w:p w14:paraId="2652E87B" w14:textId="77777777" w:rsidR="007D6308" w:rsidRDefault="007D6308" w:rsidP="00643606">
      <w:pPr>
        <w:pStyle w:val="Heading3"/>
      </w:pPr>
      <w:r>
        <w:t xml:space="preserve">Reporting notifiable incidents </w:t>
      </w:r>
    </w:p>
    <w:p w14:paraId="55AD6D4E" w14:textId="3DFABFFE" w:rsidR="007D6308" w:rsidRDefault="007D6308" w:rsidP="007D6308">
      <w:pPr>
        <w:pStyle w:val="Body"/>
      </w:pPr>
      <w:r w:rsidRPr="002035DC">
        <w:rPr>
          <w:b/>
          <w:bCs/>
        </w:rPr>
        <w:t>All</w:t>
      </w:r>
      <w:r>
        <w:t xml:space="preserve"> notifiable incidents need to be reported to the Regulator in </w:t>
      </w:r>
      <w:r w:rsidR="000C25B2">
        <w:t>3</w:t>
      </w:r>
      <w:r>
        <w:t xml:space="preserve"> business days.</w:t>
      </w:r>
    </w:p>
    <w:p w14:paraId="79473322" w14:textId="77777777" w:rsidR="007D6308" w:rsidRDefault="007D6308" w:rsidP="007D6308">
      <w:pPr>
        <w:pStyle w:val="Body"/>
      </w:pPr>
      <w:r>
        <w:t>Service providers do this by completing a full incident report. There are different ways to complete the incident report.</w:t>
      </w:r>
    </w:p>
    <w:p w14:paraId="3B818B79" w14:textId="5260838A" w:rsidR="007D6308" w:rsidRDefault="007D6308" w:rsidP="007D6308">
      <w:pPr>
        <w:pStyle w:val="Body"/>
      </w:pPr>
      <w:r>
        <w:t xml:space="preserve">There is no exception to the requirement to report notifiable incidents to the Regulator in </w:t>
      </w:r>
      <w:r w:rsidR="000C25B2">
        <w:t>3</w:t>
      </w:r>
      <w:r>
        <w:t xml:space="preserve"> business days.</w:t>
      </w:r>
    </w:p>
    <w:p w14:paraId="73D07EFD" w14:textId="3C1B1DB2" w:rsidR="007D6308" w:rsidRDefault="007D6308" w:rsidP="00E1203A">
      <w:pPr>
        <w:pStyle w:val="Heading3"/>
      </w:pPr>
      <w:r>
        <w:t>Reporting using C</w:t>
      </w:r>
      <w:r w:rsidR="00007B98">
        <w:t xml:space="preserve">lient Incident </w:t>
      </w:r>
      <w:r>
        <w:t>M</w:t>
      </w:r>
      <w:r w:rsidR="00007B98">
        <w:t xml:space="preserve">anagement </w:t>
      </w:r>
      <w:r>
        <w:t>S</w:t>
      </w:r>
      <w:r w:rsidR="00007B98">
        <w:t>ystem</w:t>
      </w:r>
      <w:r w:rsidR="00716FE6">
        <w:t xml:space="preserve"> (CIMS)</w:t>
      </w:r>
    </w:p>
    <w:p w14:paraId="390EC64B" w14:textId="361F3525" w:rsidR="00716FE6" w:rsidRDefault="00716FE6" w:rsidP="00716FE6">
      <w:pPr>
        <w:pStyle w:val="Body"/>
      </w:pPr>
      <w:r>
        <w:t>CIMS is an e</w:t>
      </w:r>
      <w:r w:rsidR="00F102BC">
        <w:t>-</w:t>
      </w:r>
      <w:r>
        <w:t>system</w:t>
      </w:r>
      <w:r w:rsidR="000526F7">
        <w:t xml:space="preserve"> for incident reporting for providers </w:t>
      </w:r>
      <w:r w:rsidR="00C51962">
        <w:t>funded the Department of Families, Fairness and Housing (DFFH).</w:t>
      </w:r>
      <w:r w:rsidR="004E1EA2">
        <w:t xml:space="preserve"> Relevant reports made in CIMS will be sent to DFFH and the Social Services Regulator</w:t>
      </w:r>
      <w:r w:rsidR="00FF1C16">
        <w:t>. This means service providers report once.</w:t>
      </w:r>
      <w:r w:rsidR="00484451">
        <w:t xml:space="preserve"> </w:t>
      </w:r>
    </w:p>
    <w:p w14:paraId="20A4AE8B" w14:textId="77777777" w:rsidR="007D6308" w:rsidRPr="00952795" w:rsidRDefault="007D6308" w:rsidP="007D6308">
      <w:pPr>
        <w:pStyle w:val="Body"/>
      </w:pPr>
      <w:r>
        <w:t>If you use CIMS, you can complete the full incident report using CIMS.</w:t>
      </w:r>
    </w:p>
    <w:p w14:paraId="68C8BD12" w14:textId="77777777" w:rsidR="007D6308" w:rsidRDefault="007D6308" w:rsidP="007D6308">
      <w:pPr>
        <w:pStyle w:val="Body"/>
      </w:pPr>
      <w:r w:rsidRPr="003A68D0">
        <w:rPr>
          <w:b/>
          <w:bCs/>
        </w:rPr>
        <w:t>Step 1</w:t>
      </w:r>
      <w:r>
        <w:t xml:space="preserve"> Ensure the immediate safety and wellbeing of service users directly and indirectly impacted.</w:t>
      </w:r>
    </w:p>
    <w:p w14:paraId="780A4CAD" w14:textId="299F6D65" w:rsidR="007D6308" w:rsidRDefault="007D6308" w:rsidP="007D6308">
      <w:pPr>
        <w:pStyle w:val="Body"/>
      </w:pPr>
      <w:r w:rsidRPr="003A68D0">
        <w:rPr>
          <w:b/>
          <w:bCs/>
        </w:rPr>
        <w:t>Step 2</w:t>
      </w:r>
      <w:r>
        <w:t xml:space="preserve"> Within 3 business days report using </w:t>
      </w:r>
      <w:hyperlink r:id="rId20" w:history="1">
        <w:r w:rsidRPr="0090204D">
          <w:rPr>
            <w:rStyle w:val="Hyperlink"/>
          </w:rPr>
          <w:t>CIMS</w:t>
        </w:r>
      </w:hyperlink>
      <w:r w:rsidRPr="0090204D">
        <w:t>.</w:t>
      </w:r>
    </w:p>
    <w:p w14:paraId="3E2C93B1" w14:textId="6A111A17" w:rsidR="007D6308" w:rsidRPr="00421793" w:rsidRDefault="00F60C74" w:rsidP="007D6308">
      <w:pPr>
        <w:pStyle w:val="Body"/>
      </w:pPr>
      <w:r>
        <w:t xml:space="preserve">Find further information about reporting </w:t>
      </w:r>
      <w:r w:rsidR="00484451">
        <w:t>at</w:t>
      </w:r>
      <w:r w:rsidR="007D6308">
        <w:t xml:space="preserve"> </w:t>
      </w:r>
      <w:hyperlink r:id="rId21" w:history="1">
        <w:r w:rsidR="007D6308" w:rsidRPr="00FC0D2F">
          <w:rPr>
            <w:rStyle w:val="Hyperlink"/>
          </w:rPr>
          <w:t>CIMS guidance and resources</w:t>
        </w:r>
        <w:r w:rsidR="00484451" w:rsidRPr="00FC0D2F">
          <w:rPr>
            <w:rStyle w:val="Hyperlink"/>
          </w:rPr>
          <w:t xml:space="preserve"> – </w:t>
        </w:r>
        <w:r w:rsidR="007D6308" w:rsidRPr="00FC0D2F">
          <w:rPr>
            <w:rStyle w:val="Hyperlink"/>
          </w:rPr>
          <w:t>DFFH Service Providers</w:t>
        </w:r>
      </w:hyperlink>
      <w:r w:rsidR="007D6308" w:rsidRPr="0090204D">
        <w:t>.</w:t>
      </w:r>
      <w:r w:rsidR="007D6308">
        <w:t xml:space="preserve"> </w:t>
      </w:r>
    </w:p>
    <w:p w14:paraId="4F2AB71B" w14:textId="77777777" w:rsidR="007D6308" w:rsidRPr="00DC5EFC" w:rsidRDefault="007D6308" w:rsidP="00DC5EFC">
      <w:pPr>
        <w:pStyle w:val="Heading4"/>
      </w:pPr>
      <w:r w:rsidRPr="00DC5EFC">
        <w:t>For all non-CIMS users</w:t>
      </w:r>
    </w:p>
    <w:p w14:paraId="23ED8C29" w14:textId="2BD378BD" w:rsidR="00FF1C16" w:rsidRDefault="007D6308" w:rsidP="007D6308">
      <w:pPr>
        <w:pStyle w:val="Body"/>
      </w:pPr>
      <w:r>
        <w:t xml:space="preserve">Some service providers do not use CIMS. </w:t>
      </w:r>
      <w:r w:rsidR="00FF1C16" w:rsidRPr="00701298">
        <w:t>Non-CIMS users include</w:t>
      </w:r>
      <w:r w:rsidR="00701298" w:rsidRPr="00701298">
        <w:t xml:space="preserve"> supported residential services, </w:t>
      </w:r>
      <w:r w:rsidR="00701298" w:rsidRPr="00701298">
        <w:br/>
        <w:t>providers funded by the Transport Accident Commission (TAC), and providers funded by WorkSafe.</w:t>
      </w:r>
    </w:p>
    <w:p w14:paraId="34BF5D6D" w14:textId="0ACA7586" w:rsidR="007D6308" w:rsidRPr="00934430" w:rsidRDefault="007D6308" w:rsidP="007D6308">
      <w:pPr>
        <w:pStyle w:val="Body"/>
      </w:pPr>
      <w:r>
        <w:t>This means you can complete the full incident report using a form on our website.</w:t>
      </w:r>
    </w:p>
    <w:p w14:paraId="2C6FF78A" w14:textId="169FD073" w:rsidR="007D6308" w:rsidRDefault="007D6308" w:rsidP="007D6308">
      <w:pPr>
        <w:pStyle w:val="Body"/>
      </w:pPr>
      <w:r w:rsidRPr="003A68D0">
        <w:rPr>
          <w:b/>
          <w:bCs/>
        </w:rPr>
        <w:t>Step 1</w:t>
      </w:r>
      <w:r w:rsidR="00AF5560">
        <w:rPr>
          <w:b/>
          <w:bCs/>
        </w:rPr>
        <w:t>.</w:t>
      </w:r>
      <w:r>
        <w:t xml:space="preserve"> Ensure the immediate safety and wellbeing of service users directly and indirectly impacted.</w:t>
      </w:r>
    </w:p>
    <w:p w14:paraId="5E7833E9" w14:textId="6D7E6DE6" w:rsidR="007D6308" w:rsidRPr="00560D95" w:rsidRDefault="007D6308" w:rsidP="007D6308">
      <w:pPr>
        <w:pStyle w:val="Body"/>
      </w:pPr>
      <w:r w:rsidRPr="003A68D0">
        <w:rPr>
          <w:b/>
          <w:bCs/>
        </w:rPr>
        <w:t>Step 2</w:t>
      </w:r>
      <w:r w:rsidR="00AF5560">
        <w:rPr>
          <w:b/>
          <w:bCs/>
        </w:rPr>
        <w:t>.</w:t>
      </w:r>
      <w:r>
        <w:t xml:space="preserve"> </w:t>
      </w:r>
      <w:r w:rsidR="007019B0">
        <w:t>Report w</w:t>
      </w:r>
      <w:r>
        <w:t xml:space="preserve">ithin 3 business days using the </w:t>
      </w:r>
      <w:hyperlink r:id="rId22" w:history="1">
        <w:r w:rsidRPr="00285B06">
          <w:rPr>
            <w:rStyle w:val="Hyperlink"/>
          </w:rPr>
          <w:t>Social Services Regulator incident report form</w:t>
        </w:r>
      </w:hyperlink>
      <w:r w:rsidRPr="00285B06">
        <w:t>.</w:t>
      </w:r>
    </w:p>
    <w:p w14:paraId="609FA29D" w14:textId="77777777" w:rsidR="00C43071" w:rsidRDefault="00C43071" w:rsidP="007D6308">
      <w:pPr>
        <w:pStyle w:val="Body"/>
      </w:pPr>
    </w:p>
    <w:p w14:paraId="01369113" w14:textId="1D805DEA" w:rsidR="007D6308" w:rsidRDefault="00606EB2" w:rsidP="007D6308">
      <w:pPr>
        <w:pStyle w:val="Body"/>
      </w:pPr>
      <w:r>
        <w:t>S</w:t>
      </w:r>
      <w:r w:rsidR="007D6308">
        <w:t xml:space="preserve">upported residential services </w:t>
      </w:r>
      <w:r>
        <w:t xml:space="preserve">providers </w:t>
      </w:r>
      <w:r w:rsidR="007D6308">
        <w:t xml:space="preserve">should also use this form to make a full incident report. </w:t>
      </w:r>
    </w:p>
    <w:p w14:paraId="28BC0371" w14:textId="77777777" w:rsidR="007D6308" w:rsidRPr="00FE7E5B" w:rsidRDefault="007D6308" w:rsidP="00FE7E5B">
      <w:pPr>
        <w:pStyle w:val="Heading3"/>
      </w:pPr>
      <w:r w:rsidRPr="00FE7E5B">
        <w:t>Reporting a critical notifiable incident</w:t>
      </w:r>
    </w:p>
    <w:p w14:paraId="082FCA5A" w14:textId="021C998B" w:rsidR="007D6308" w:rsidRPr="00D00C1D" w:rsidRDefault="007D6308" w:rsidP="007D6308">
      <w:pPr>
        <w:pStyle w:val="Body"/>
        <w:rPr>
          <w:bCs/>
        </w:rPr>
      </w:pPr>
      <w:r>
        <w:rPr>
          <w:bCs/>
        </w:rPr>
        <w:t>Determine if the incident meets the definition of a critical notifiable incident (see Table 2).</w:t>
      </w:r>
    </w:p>
    <w:p w14:paraId="2C72A667" w14:textId="672E3B3F" w:rsidR="007D6308" w:rsidRDefault="007D6308" w:rsidP="007D6308">
      <w:pPr>
        <w:pStyle w:val="Body"/>
      </w:pPr>
      <w:r w:rsidRPr="00AB6728">
        <w:rPr>
          <w:b/>
        </w:rPr>
        <w:t>Step 1</w:t>
      </w:r>
      <w:r w:rsidR="00C43071">
        <w:rPr>
          <w:b/>
        </w:rPr>
        <w:t>.</w:t>
      </w:r>
      <w:r>
        <w:t xml:space="preserve"> Ensure the immediate safety and wellbeing of service users directly and indirectly impacted.</w:t>
      </w:r>
    </w:p>
    <w:p w14:paraId="456690BD" w14:textId="73A3D466" w:rsidR="007D6308" w:rsidRPr="00384527" w:rsidRDefault="007D6308" w:rsidP="007D6308">
      <w:pPr>
        <w:pStyle w:val="Body"/>
        <w:spacing w:before="240"/>
      </w:pPr>
      <w:r w:rsidRPr="00AB6728">
        <w:rPr>
          <w:b/>
        </w:rPr>
        <w:t>Step 2</w:t>
      </w:r>
      <w:r w:rsidR="00C43071">
        <w:rPr>
          <w:b/>
        </w:rPr>
        <w:t>.</w:t>
      </w:r>
      <w:r>
        <w:t xml:space="preserve"> </w:t>
      </w:r>
      <w:r w:rsidR="002A05CF">
        <w:t>Report b</w:t>
      </w:r>
      <w:r>
        <w:t xml:space="preserve">y close of business the next business day using the </w:t>
      </w:r>
      <w:hyperlink r:id="rId23" w:history="1">
        <w:r w:rsidRPr="00285B06">
          <w:rPr>
            <w:rStyle w:val="Hyperlink"/>
          </w:rPr>
          <w:t>Social Services Regulator critical notifiable incident short form</w:t>
        </w:r>
      </w:hyperlink>
      <w:r w:rsidRPr="00285B06">
        <w:t>.</w:t>
      </w:r>
    </w:p>
    <w:p w14:paraId="0ACB7BE7" w14:textId="77777777" w:rsidR="007D6308" w:rsidRDefault="007D6308" w:rsidP="007D6308">
      <w:pPr>
        <w:pStyle w:val="Body"/>
        <w:spacing w:before="240"/>
      </w:pPr>
      <w:r>
        <w:t>This short form asks you to provide a brief description of the incident and actions taken.</w:t>
      </w:r>
    </w:p>
    <w:p w14:paraId="3B5D0D35" w14:textId="09994548" w:rsidR="007D6308" w:rsidRDefault="007D6308" w:rsidP="007D6308">
      <w:pPr>
        <w:pStyle w:val="Body"/>
        <w:spacing w:before="240"/>
      </w:pPr>
      <w:r>
        <w:t>If the incident occurred on a Friday or the weekend</w:t>
      </w:r>
      <w:r w:rsidR="008A3868">
        <w:t>,</w:t>
      </w:r>
      <w:r>
        <w:t xml:space="preserve"> you must submit the form by close of business the next business day.</w:t>
      </w:r>
    </w:p>
    <w:p w14:paraId="7BD07E3F" w14:textId="25C3ED61" w:rsidR="007D6308" w:rsidRPr="00F05525" w:rsidRDefault="007D6308" w:rsidP="007D6308">
      <w:pPr>
        <w:pStyle w:val="Body"/>
        <w:spacing w:before="240"/>
        <w:rPr>
          <w:b/>
          <w:bCs/>
        </w:rPr>
      </w:pPr>
      <w:r w:rsidRPr="280DEEB8">
        <w:rPr>
          <w:b/>
          <w:bCs/>
        </w:rPr>
        <w:t>Step 3</w:t>
      </w:r>
      <w:r w:rsidR="0098100B">
        <w:rPr>
          <w:b/>
          <w:bCs/>
        </w:rPr>
        <w:t>.</w:t>
      </w:r>
      <w:r>
        <w:t xml:space="preserve"> </w:t>
      </w:r>
      <w:r w:rsidR="00F34D00">
        <w:t xml:space="preserve">Complete and submit </w:t>
      </w:r>
      <w:r w:rsidR="00F34D00" w:rsidRPr="280DEEB8">
        <w:rPr>
          <w:b/>
          <w:bCs/>
        </w:rPr>
        <w:t>a full incident report</w:t>
      </w:r>
      <w:r w:rsidR="00F34D00">
        <w:t xml:space="preserve"> within </w:t>
      </w:r>
      <w:r w:rsidR="003E33D1">
        <w:t xml:space="preserve">3 </w:t>
      </w:r>
      <w:r>
        <w:t>business days</w:t>
      </w:r>
      <w:r w:rsidRPr="00384527">
        <w:t>.</w:t>
      </w:r>
    </w:p>
    <w:p w14:paraId="0888287B" w14:textId="3656B8E0" w:rsidR="007D6308" w:rsidRDefault="007D6308" w:rsidP="00384527">
      <w:pPr>
        <w:pStyle w:val="Body"/>
        <w:spacing w:before="240"/>
      </w:pPr>
      <w:r>
        <w:t xml:space="preserve">CIMS users submit the full incident report via </w:t>
      </w:r>
      <w:hyperlink r:id="rId24" w:history="1">
        <w:r w:rsidRPr="0038475F">
          <w:rPr>
            <w:rStyle w:val="Hyperlink"/>
          </w:rPr>
          <w:t>CIMS</w:t>
        </w:r>
      </w:hyperlink>
      <w:r w:rsidR="008A3868">
        <w:t>.</w:t>
      </w:r>
      <w:r>
        <w:t xml:space="preserve">  </w:t>
      </w:r>
    </w:p>
    <w:p w14:paraId="6A85B83E" w14:textId="77777777" w:rsidR="007D6308" w:rsidRDefault="007D6308" w:rsidP="00384527">
      <w:pPr>
        <w:pStyle w:val="Body"/>
        <w:spacing w:before="240"/>
      </w:pPr>
      <w:r>
        <w:t xml:space="preserve">Non-CIMS users submit the full incident report using the </w:t>
      </w:r>
      <w:hyperlink r:id="rId25" w:history="1">
        <w:r w:rsidRPr="0038475F">
          <w:rPr>
            <w:rStyle w:val="Hyperlink"/>
          </w:rPr>
          <w:t>Social Services Regulator incident report form</w:t>
        </w:r>
      </w:hyperlink>
      <w:r w:rsidRPr="0038475F">
        <w:t>.</w:t>
      </w:r>
      <w:r>
        <w:rPr>
          <w:rStyle w:val="CommentReference"/>
          <w:rFonts w:eastAsia="Times New Roman"/>
        </w:rPr>
        <w:t xml:space="preserve"> </w:t>
      </w:r>
    </w:p>
    <w:p w14:paraId="64B42F82" w14:textId="26FA9792" w:rsidR="007D6308" w:rsidRPr="002B27A9" w:rsidRDefault="007D6308" w:rsidP="00692267">
      <w:pPr>
        <w:pStyle w:val="Body"/>
        <w:spacing w:before="240"/>
      </w:pPr>
      <w:r w:rsidRPr="00475260">
        <w:lastRenderedPageBreak/>
        <w:t xml:space="preserve">Health services providers complete the </w:t>
      </w:r>
      <w:r>
        <w:t xml:space="preserve">non-CIMS users’ full </w:t>
      </w:r>
      <w:r w:rsidRPr="00475260">
        <w:t>incident report</w:t>
      </w:r>
      <w:r>
        <w:t xml:space="preserve"> </w:t>
      </w:r>
      <w:r w:rsidRPr="00475260">
        <w:t xml:space="preserve">form. </w:t>
      </w:r>
      <w:r>
        <w:t xml:space="preserve">It is not possible to report notifiable </w:t>
      </w:r>
      <w:r w:rsidRPr="00475260">
        <w:t>incident</w:t>
      </w:r>
      <w:r>
        <w:t xml:space="preserve">s </w:t>
      </w:r>
      <w:r w:rsidRPr="00475260">
        <w:t>through VHIMS.</w:t>
      </w:r>
    </w:p>
    <w:p w14:paraId="6F8F7C85" w14:textId="77777777" w:rsidR="007D6308" w:rsidRDefault="007D6308" w:rsidP="00384527">
      <w:pPr>
        <w:pStyle w:val="Heading3"/>
      </w:pPr>
      <w:r>
        <w:t>What happens after I report a notifiable incident?</w:t>
      </w:r>
    </w:p>
    <w:p w14:paraId="6EA8E28A" w14:textId="77777777" w:rsidR="007D6308" w:rsidRDefault="007D6308" w:rsidP="00384527">
      <w:pPr>
        <w:pStyle w:val="Heading4"/>
      </w:pPr>
      <w:r>
        <w:t>Response to a full incident report</w:t>
      </w:r>
    </w:p>
    <w:p w14:paraId="6007BB72" w14:textId="3B544E5F" w:rsidR="007D6308" w:rsidRDefault="007D6308" w:rsidP="007D6308">
      <w:pPr>
        <w:pStyle w:val="Body"/>
      </w:pPr>
      <w:r w:rsidRPr="00B47E8E">
        <w:t xml:space="preserve">Shortly after submitting </w:t>
      </w:r>
      <w:r>
        <w:t>a full incident</w:t>
      </w:r>
      <w:r w:rsidRPr="00B47E8E">
        <w:t xml:space="preserve"> report, you will receive a confirmation email</w:t>
      </w:r>
      <w:r w:rsidR="000F12BC">
        <w:t xml:space="preserve">. This </w:t>
      </w:r>
      <w:r w:rsidRPr="00B47E8E">
        <w:t xml:space="preserve">will include a reference number. You may need to check </w:t>
      </w:r>
      <w:r>
        <w:t>your</w:t>
      </w:r>
      <w:r w:rsidRPr="00B47E8E">
        <w:t xml:space="preserve"> junk email</w:t>
      </w:r>
      <w:r>
        <w:t xml:space="preserve"> (or trash)</w:t>
      </w:r>
      <w:r w:rsidRPr="00B47E8E">
        <w:t xml:space="preserve"> folder.</w:t>
      </w:r>
    </w:p>
    <w:p w14:paraId="23AEF33C" w14:textId="77777777" w:rsidR="007D6308" w:rsidRDefault="007D6308" w:rsidP="007D6308">
      <w:pPr>
        <w:pStyle w:val="Body"/>
      </w:pPr>
      <w:r>
        <w:t xml:space="preserve">After receiving the full incident report on a notifiable incident, the Regulator will: </w:t>
      </w:r>
    </w:p>
    <w:p w14:paraId="09B61114" w14:textId="43FA3337" w:rsidR="007D6308" w:rsidRDefault="007D6308" w:rsidP="00FE5C88">
      <w:pPr>
        <w:pStyle w:val="Body"/>
        <w:numPr>
          <w:ilvl w:val="0"/>
          <w:numId w:val="31"/>
        </w:numPr>
      </w:pPr>
      <w:r>
        <w:t>review the information</w:t>
      </w:r>
    </w:p>
    <w:p w14:paraId="28B9DC4C" w14:textId="50645799" w:rsidR="007D6308" w:rsidRDefault="007D6308" w:rsidP="00FE5C88">
      <w:pPr>
        <w:pStyle w:val="Body"/>
        <w:numPr>
          <w:ilvl w:val="0"/>
          <w:numId w:val="31"/>
        </w:numPr>
      </w:pPr>
      <w:r>
        <w:t xml:space="preserve">confirm the report is in scope </w:t>
      </w:r>
    </w:p>
    <w:p w14:paraId="7D4513A4" w14:textId="34816904" w:rsidR="007D6308" w:rsidRDefault="007D6308" w:rsidP="00FE5C88">
      <w:pPr>
        <w:pStyle w:val="Body"/>
        <w:numPr>
          <w:ilvl w:val="0"/>
          <w:numId w:val="31"/>
        </w:numPr>
      </w:pPr>
      <w:r>
        <w:t>assess the risk of the incident and determine a response.</w:t>
      </w:r>
    </w:p>
    <w:p w14:paraId="127EA110" w14:textId="5ECDD053" w:rsidR="007D6308" w:rsidRDefault="007D6308" w:rsidP="004A62B9">
      <w:pPr>
        <w:spacing w:after="240"/>
        <w:jc w:val="both"/>
      </w:pPr>
      <w:r>
        <w:t xml:space="preserve">The Regulator takes all reports seriously and is committed to </w:t>
      </w:r>
      <w:r w:rsidRPr="00FD53F4">
        <w:rPr>
          <w:rFonts w:eastAsia="MS PMincho" w:cs="Arial"/>
          <w:szCs w:val="21"/>
        </w:rPr>
        <w:t>preventing and responding to significant harm or risk of harm to service users.</w:t>
      </w:r>
      <w:r>
        <w:rPr>
          <w:rFonts w:eastAsia="MS PMincho" w:cs="Arial"/>
          <w:sz w:val="20"/>
        </w:rPr>
        <w:t xml:space="preserve"> </w:t>
      </w:r>
      <w:r>
        <w:t xml:space="preserve">The Regulator may: </w:t>
      </w:r>
    </w:p>
    <w:p w14:paraId="24346066" w14:textId="77777777" w:rsidR="00FE5C88" w:rsidRPr="00FE5C88" w:rsidRDefault="007D6308" w:rsidP="007D6308">
      <w:pPr>
        <w:pStyle w:val="ListParagraph"/>
        <w:numPr>
          <w:ilvl w:val="0"/>
          <w:numId w:val="32"/>
        </w:numPr>
        <w:spacing w:after="240"/>
        <w:jc w:val="both"/>
        <w:rPr>
          <w:rFonts w:eastAsia="MS PMincho" w:cs="Arial"/>
          <w:sz w:val="20"/>
        </w:rPr>
      </w:pPr>
      <w:r>
        <w:t>ask you for further information</w:t>
      </w:r>
    </w:p>
    <w:p w14:paraId="1AF6ED1E" w14:textId="77777777" w:rsidR="00FE5C88" w:rsidRPr="00FE5C88" w:rsidRDefault="007D6308" w:rsidP="007D6308">
      <w:pPr>
        <w:pStyle w:val="ListParagraph"/>
        <w:numPr>
          <w:ilvl w:val="0"/>
          <w:numId w:val="32"/>
        </w:numPr>
        <w:spacing w:after="240"/>
        <w:jc w:val="both"/>
        <w:rPr>
          <w:rFonts w:eastAsia="MS PMincho" w:cs="Arial"/>
          <w:sz w:val="20"/>
        </w:rPr>
      </w:pPr>
      <w:r>
        <w:t xml:space="preserve">monitor the response to the notifiable incident </w:t>
      </w:r>
    </w:p>
    <w:p w14:paraId="3E0DD1B4" w14:textId="77777777" w:rsidR="00FE5C88" w:rsidRPr="00FE5C88" w:rsidRDefault="007D6308" w:rsidP="00FE5C88">
      <w:pPr>
        <w:pStyle w:val="ListParagraph"/>
        <w:numPr>
          <w:ilvl w:val="0"/>
          <w:numId w:val="32"/>
        </w:numPr>
        <w:spacing w:after="240"/>
        <w:jc w:val="both"/>
        <w:rPr>
          <w:rFonts w:eastAsia="MS PMincho" w:cs="Arial"/>
          <w:sz w:val="20"/>
        </w:rPr>
      </w:pPr>
      <w:r>
        <w:t>investigate the notifiable incident</w:t>
      </w:r>
    </w:p>
    <w:p w14:paraId="7DC34B25" w14:textId="77777777" w:rsidR="00FE5C88" w:rsidRPr="00FE5C88" w:rsidRDefault="007D6308" w:rsidP="007D6308">
      <w:pPr>
        <w:pStyle w:val="ListParagraph"/>
        <w:numPr>
          <w:ilvl w:val="0"/>
          <w:numId w:val="32"/>
        </w:numPr>
        <w:spacing w:after="240"/>
        <w:jc w:val="both"/>
        <w:rPr>
          <w:rFonts w:eastAsia="MS PMincho" w:cs="Arial"/>
          <w:sz w:val="20"/>
        </w:rPr>
      </w:pPr>
      <w:r>
        <w:t xml:space="preserve">take action for non-compliance against the Social Services Standards (Standards), or breaches of the Act or the Social Services Regulations 2023 (the Regulations) </w:t>
      </w:r>
    </w:p>
    <w:p w14:paraId="127BC320" w14:textId="0B9567FF" w:rsidR="007D6308" w:rsidRPr="00FE5C88" w:rsidRDefault="007D6308" w:rsidP="007D6308">
      <w:pPr>
        <w:pStyle w:val="ListParagraph"/>
        <w:numPr>
          <w:ilvl w:val="0"/>
          <w:numId w:val="32"/>
        </w:numPr>
        <w:spacing w:after="240"/>
        <w:jc w:val="both"/>
        <w:rPr>
          <w:rFonts w:eastAsia="MS PMincho" w:cs="Arial"/>
          <w:sz w:val="20"/>
        </w:rPr>
      </w:pPr>
      <w:r>
        <w:t>close the report with no further action.</w:t>
      </w:r>
    </w:p>
    <w:p w14:paraId="30F966BC" w14:textId="77777777" w:rsidR="007D6308" w:rsidRDefault="007D6308" w:rsidP="007D6308">
      <w:pPr>
        <w:spacing w:after="240"/>
        <w:jc w:val="both"/>
      </w:pPr>
      <w:r>
        <w:t>The Regulator records all notifiable incidents for intelligence purposes and identifying trends.</w:t>
      </w:r>
    </w:p>
    <w:p w14:paraId="6AE71868" w14:textId="77777777" w:rsidR="007D6308" w:rsidRPr="00394125" w:rsidRDefault="007D6308" w:rsidP="00384527">
      <w:pPr>
        <w:pStyle w:val="Heading4"/>
      </w:pPr>
      <w:r>
        <w:t>Response to critical notifiable incidents</w:t>
      </w:r>
    </w:p>
    <w:p w14:paraId="06D21DCE" w14:textId="64B1C06D" w:rsidR="000B55B6" w:rsidRDefault="007D6308" w:rsidP="00692267">
      <w:pPr>
        <w:spacing w:after="240"/>
        <w:jc w:val="both"/>
        <w:rPr>
          <w:rFonts w:eastAsia="MS PMincho" w:cs="Arial"/>
          <w:szCs w:val="21"/>
        </w:rPr>
      </w:pPr>
      <w:r w:rsidRPr="00394125">
        <w:rPr>
          <w:rFonts w:eastAsia="MS PMincho" w:cs="Arial"/>
          <w:szCs w:val="21"/>
        </w:rPr>
        <w:t xml:space="preserve">In most cases, </w:t>
      </w:r>
      <w:r>
        <w:rPr>
          <w:rFonts w:eastAsia="MS PMincho" w:cs="Arial"/>
          <w:szCs w:val="21"/>
        </w:rPr>
        <w:t xml:space="preserve">if the critical notifiable incident short form is completed correctly, </w:t>
      </w:r>
      <w:r w:rsidRPr="00394125">
        <w:rPr>
          <w:rFonts w:eastAsia="MS PMincho" w:cs="Arial"/>
          <w:szCs w:val="21"/>
        </w:rPr>
        <w:t xml:space="preserve">the Regulator will wait to review the full incident report before contacting the service provider. The information provided in the </w:t>
      </w:r>
      <w:r>
        <w:rPr>
          <w:rFonts w:eastAsia="MS PMincho" w:cs="Arial"/>
          <w:szCs w:val="21"/>
        </w:rPr>
        <w:t>short</w:t>
      </w:r>
      <w:r w:rsidRPr="00D23837">
        <w:rPr>
          <w:rFonts w:eastAsia="MS PMincho" w:cs="Arial"/>
          <w:szCs w:val="21"/>
        </w:rPr>
        <w:t xml:space="preserve"> form helps to inform the Regulator’s decision.</w:t>
      </w:r>
      <w:bookmarkEnd w:id="5"/>
      <w:bookmarkEnd w:id="6"/>
    </w:p>
    <w:p w14:paraId="6B65FB4C" w14:textId="7A5646AF" w:rsidR="00E77A77" w:rsidRPr="00384527" w:rsidRDefault="00E77A77" w:rsidP="00E77A77">
      <w:pPr>
        <w:rPr>
          <w:rStyle w:val="normaltextrun"/>
          <w:rFonts w:eastAsia="MS Gothic"/>
          <w:b/>
          <w:bCs/>
          <w:color w:val="000000"/>
          <w:szCs w:val="21"/>
          <w:shd w:val="clear" w:color="auto" w:fill="FFFFFF"/>
        </w:rPr>
      </w:pPr>
      <w:r w:rsidRPr="00C36049">
        <w:rPr>
          <w:rStyle w:val="normaltextrun"/>
          <w:rFonts w:eastAsia="MS Gothic"/>
          <w:b/>
          <w:bCs/>
          <w:color w:val="000000"/>
          <w:szCs w:val="21"/>
          <w:shd w:val="clear" w:color="auto" w:fill="FFFFFF"/>
        </w:rPr>
        <w:t>Table 3</w:t>
      </w:r>
      <w:r w:rsidRPr="00384527">
        <w:rPr>
          <w:rStyle w:val="normaltextrun"/>
          <w:rFonts w:eastAsia="MS Gothic"/>
          <w:b/>
          <w:bCs/>
          <w:color w:val="000000"/>
          <w:szCs w:val="21"/>
          <w:shd w:val="clear" w:color="auto" w:fill="FFFFFF"/>
        </w:rPr>
        <w:t>: The Regulator’s approach to reviewing information submitted by short form or report</w:t>
      </w:r>
    </w:p>
    <w:tbl>
      <w:tblPr>
        <w:tblStyle w:val="Purpletable"/>
        <w:tblW w:w="4995" w:type="pct"/>
        <w:tblInd w:w="5" w:type="dxa"/>
        <w:tblLook w:val="06A0" w:firstRow="1" w:lastRow="0" w:firstColumn="1" w:lastColumn="0" w:noHBand="1" w:noVBand="1"/>
      </w:tblPr>
      <w:tblGrid>
        <w:gridCol w:w="562"/>
        <w:gridCol w:w="3970"/>
        <w:gridCol w:w="5662"/>
      </w:tblGrid>
      <w:tr w:rsidR="00E77A77" w:rsidRPr="00143BCA" w14:paraId="3BE57859" w14:textId="77777777" w:rsidTr="001C44F5">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276" w:type="pct"/>
          </w:tcPr>
          <w:p w14:paraId="42668E9E" w14:textId="77777777" w:rsidR="00E77A77" w:rsidRPr="00143BCA" w:rsidRDefault="00E77A77" w:rsidP="001C44F5">
            <w:pPr>
              <w:pStyle w:val="Tablecolhead"/>
              <w:rPr>
                <w:lang w:val="en-AU"/>
              </w:rPr>
            </w:pPr>
          </w:p>
        </w:tc>
        <w:tc>
          <w:tcPr>
            <w:tcW w:w="1947" w:type="pct"/>
          </w:tcPr>
          <w:p w14:paraId="737A0E8C" w14:textId="77777777" w:rsidR="00E77A77" w:rsidRPr="00143BCA" w:rsidRDefault="00E77A77" w:rsidP="001C44F5">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Information submitted</w:t>
            </w:r>
          </w:p>
        </w:tc>
        <w:tc>
          <w:tcPr>
            <w:tcW w:w="2777" w:type="pct"/>
          </w:tcPr>
          <w:p w14:paraId="2C8D182E" w14:textId="77777777" w:rsidR="00E77A77" w:rsidRPr="00143BCA" w:rsidRDefault="00E77A77" w:rsidP="001C44F5">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The Regulator’s approach</w:t>
            </w:r>
          </w:p>
        </w:tc>
      </w:tr>
      <w:tr w:rsidR="00E77A77" w:rsidRPr="00143BCA" w14:paraId="6C8CF12F"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6D46CDCA" w14:textId="77777777" w:rsidR="00E77A77" w:rsidRPr="002E5A3E" w:rsidRDefault="00E77A77" w:rsidP="001C44F5">
            <w:pPr>
              <w:pStyle w:val="Tabletext"/>
              <w:jc w:val="center"/>
              <w:rPr>
                <w:b/>
                <w:bCs/>
              </w:rPr>
            </w:pPr>
            <w:r w:rsidRPr="002E5A3E">
              <w:rPr>
                <w:b/>
                <w:bCs/>
              </w:rPr>
              <w:t>1.</w:t>
            </w:r>
          </w:p>
        </w:tc>
        <w:tc>
          <w:tcPr>
            <w:tcW w:w="1947" w:type="pct"/>
          </w:tcPr>
          <w:p w14:paraId="5051A7F5" w14:textId="77777777" w:rsidR="00E77A77" w:rsidRPr="00E75D8C"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The full incident report has been completed correctly</w:t>
            </w:r>
          </w:p>
        </w:tc>
        <w:tc>
          <w:tcPr>
            <w:tcW w:w="2777" w:type="pct"/>
          </w:tcPr>
          <w:p w14:paraId="67A5394B" w14:textId="4048550B" w:rsidR="00E77A77" w:rsidRDefault="00E77A77" w:rsidP="001C44F5">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Pr>
                <w:rFonts w:cs="Arial"/>
                <w:szCs w:val="21"/>
              </w:rPr>
              <w:t>The Regulator will review and make a decision for follow-up based on the information in the incident report.</w:t>
            </w:r>
          </w:p>
          <w:p w14:paraId="4893E38A" w14:textId="207FD47D" w:rsidR="00E77A77" w:rsidRPr="008F48FC" w:rsidRDefault="00E77A77" w:rsidP="001C44F5">
            <w:pPr>
              <w:pStyle w:val="Default"/>
              <w:cnfStyle w:val="000000000000" w:firstRow="0" w:lastRow="0" w:firstColumn="0" w:lastColumn="0" w:oddVBand="0" w:evenVBand="0" w:oddHBand="0" w:evenHBand="0" w:firstRowFirstColumn="0" w:firstRowLastColumn="0" w:lastRowFirstColumn="0" w:lastRowLastColumn="0"/>
              <w:rPr>
                <w:szCs w:val="21"/>
              </w:rPr>
            </w:pPr>
            <w:r w:rsidRPr="00DD2470">
              <w:rPr>
                <w:sz w:val="21"/>
                <w:szCs w:val="21"/>
              </w:rPr>
              <w:t xml:space="preserve">The Regulator </w:t>
            </w:r>
            <w:r w:rsidR="00CF331C">
              <w:rPr>
                <w:sz w:val="21"/>
                <w:szCs w:val="21"/>
              </w:rPr>
              <w:t>will make</w:t>
            </w:r>
            <w:r w:rsidRPr="00DD2470">
              <w:rPr>
                <w:sz w:val="21"/>
                <w:szCs w:val="21"/>
              </w:rPr>
              <w:t xml:space="preserve"> decisions using an intelligence-led approach proportionate to risk that minimises regulatory burden</w:t>
            </w:r>
            <w:r>
              <w:rPr>
                <w:sz w:val="21"/>
                <w:szCs w:val="21"/>
              </w:rPr>
              <w:t>.</w:t>
            </w:r>
          </w:p>
        </w:tc>
      </w:tr>
      <w:tr w:rsidR="00E77A77" w:rsidRPr="00143BCA" w14:paraId="40098AF9"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760D7FEC" w14:textId="77777777" w:rsidR="00E77A77" w:rsidRPr="002E5A3E" w:rsidRDefault="00E77A77" w:rsidP="001C44F5">
            <w:pPr>
              <w:pStyle w:val="Tabletext"/>
              <w:jc w:val="center"/>
              <w:rPr>
                <w:b/>
                <w:bCs/>
              </w:rPr>
            </w:pPr>
            <w:r w:rsidRPr="002E5A3E">
              <w:rPr>
                <w:b/>
                <w:bCs/>
              </w:rPr>
              <w:t>2.</w:t>
            </w:r>
          </w:p>
        </w:tc>
        <w:tc>
          <w:tcPr>
            <w:tcW w:w="1947" w:type="pct"/>
            <w:shd w:val="clear" w:color="auto" w:fill="F2F2F2" w:themeFill="background1" w:themeFillShade="F2"/>
          </w:tcPr>
          <w:p w14:paraId="7EF177A4" w14:textId="77777777" w:rsidR="00E77A77" w:rsidRPr="00E75D8C"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sidRPr="002F012F">
              <w:rPr>
                <w:szCs w:val="21"/>
              </w:rPr>
              <w:t>T</w:t>
            </w:r>
            <w:r w:rsidRPr="002F012F">
              <w:t xml:space="preserve">here is </w:t>
            </w:r>
            <w:r w:rsidRPr="00424E96">
              <w:rPr>
                <w:b/>
                <w:bCs/>
              </w:rPr>
              <w:t>i</w:t>
            </w:r>
            <w:r w:rsidRPr="00424E96">
              <w:rPr>
                <w:b/>
                <w:bCs/>
                <w:szCs w:val="21"/>
              </w:rPr>
              <w:t xml:space="preserve">nsufficient </w:t>
            </w:r>
            <w:r w:rsidRPr="00952410">
              <w:rPr>
                <w:szCs w:val="21"/>
              </w:rPr>
              <w:t>information</w:t>
            </w:r>
            <w:r w:rsidRPr="002F012F">
              <w:rPr>
                <w:szCs w:val="21"/>
              </w:rPr>
              <w:t xml:space="preserve"> in </w:t>
            </w:r>
            <w:r>
              <w:rPr>
                <w:szCs w:val="21"/>
              </w:rPr>
              <w:t>the</w:t>
            </w:r>
            <w:r w:rsidRPr="002F012F">
              <w:rPr>
                <w:szCs w:val="21"/>
              </w:rPr>
              <w:t xml:space="preserve"> </w:t>
            </w:r>
            <w:r>
              <w:rPr>
                <w:szCs w:val="21"/>
              </w:rPr>
              <w:t xml:space="preserve">full </w:t>
            </w:r>
            <w:r w:rsidRPr="002F012F">
              <w:rPr>
                <w:szCs w:val="21"/>
              </w:rPr>
              <w:t xml:space="preserve">incident </w:t>
            </w:r>
            <w:r>
              <w:rPr>
                <w:szCs w:val="21"/>
              </w:rPr>
              <w:t>report a</w:t>
            </w:r>
            <w:r>
              <w:t>bout</w:t>
            </w:r>
            <w:r w:rsidRPr="002F012F">
              <w:rPr>
                <w:szCs w:val="21"/>
              </w:rPr>
              <w:t xml:space="preserve"> a notifiable incident</w:t>
            </w:r>
            <w:r>
              <w:rPr>
                <w:szCs w:val="21"/>
              </w:rPr>
              <w:t xml:space="preserve"> </w:t>
            </w:r>
          </w:p>
        </w:tc>
        <w:tc>
          <w:tcPr>
            <w:tcW w:w="2777" w:type="pct"/>
            <w:shd w:val="clear" w:color="auto" w:fill="F2F2F2" w:themeFill="background1" w:themeFillShade="F2"/>
          </w:tcPr>
          <w:p w14:paraId="1087D8F9" w14:textId="77777777"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sidRPr="002F012F">
              <w:rPr>
                <w:szCs w:val="21"/>
              </w:rPr>
              <w:t>The Regulator may:</w:t>
            </w:r>
          </w:p>
          <w:p w14:paraId="469B8ED1" w14:textId="18449A1F" w:rsidR="00E77A77" w:rsidRPr="002F012F" w:rsidRDefault="00E77A77" w:rsidP="00E77A77">
            <w:pPr>
              <w:pStyle w:val="Tabletext"/>
              <w:numPr>
                <w:ilvl w:val="0"/>
                <w:numId w:val="35"/>
              </w:numPr>
              <w:cnfStyle w:val="000000000000" w:firstRow="0" w:lastRow="0" w:firstColumn="0" w:lastColumn="0" w:oddVBand="0" w:evenVBand="0" w:oddHBand="0" w:evenHBand="0" w:firstRowFirstColumn="0" w:firstRowLastColumn="0" w:lastRowFirstColumn="0" w:lastRowLastColumn="0"/>
              <w:rPr>
                <w:szCs w:val="21"/>
              </w:rPr>
            </w:pPr>
            <w:r w:rsidRPr="002F012F">
              <w:rPr>
                <w:szCs w:val="21"/>
                <w:lang w:val="en-AU"/>
              </w:rPr>
              <w:t xml:space="preserve">contact the service provider to </w:t>
            </w:r>
            <w:r w:rsidRPr="002F012F">
              <w:rPr>
                <w:szCs w:val="21"/>
              </w:rPr>
              <w:t>urgently</w:t>
            </w:r>
            <w:r>
              <w:rPr>
                <w:szCs w:val="21"/>
              </w:rPr>
              <w:t xml:space="preserve"> </w:t>
            </w:r>
            <w:r w:rsidRPr="002F012F">
              <w:rPr>
                <w:szCs w:val="21"/>
                <w:lang w:val="en-AU"/>
              </w:rPr>
              <w:t>provide the necessary information</w:t>
            </w:r>
          </w:p>
          <w:p w14:paraId="58C2B0E8" w14:textId="21B25E24" w:rsidR="00E77A77" w:rsidRPr="00E75D8C" w:rsidRDefault="00C6371D" w:rsidP="00E77A77">
            <w:pPr>
              <w:pStyle w:val="Tabletext"/>
              <w:numPr>
                <w:ilvl w:val="0"/>
                <w:numId w:val="35"/>
              </w:numPr>
              <w:cnfStyle w:val="000000000000" w:firstRow="0" w:lastRow="0" w:firstColumn="0" w:lastColumn="0" w:oddVBand="0" w:evenVBand="0" w:oddHBand="0" w:evenHBand="0" w:firstRowFirstColumn="0" w:firstRowLastColumn="0" w:lastRowFirstColumn="0" w:lastRowLastColumn="0"/>
              <w:rPr>
                <w:rFonts w:cs="Arial"/>
                <w:szCs w:val="21"/>
              </w:rPr>
            </w:pPr>
            <w:r>
              <w:rPr>
                <w:szCs w:val="21"/>
              </w:rPr>
              <w:t>give</w:t>
            </w:r>
            <w:r w:rsidR="00E77A77" w:rsidRPr="002F012F">
              <w:rPr>
                <w:szCs w:val="21"/>
              </w:rPr>
              <w:t xml:space="preserve"> the service provider </w:t>
            </w:r>
            <w:r>
              <w:rPr>
                <w:szCs w:val="21"/>
              </w:rPr>
              <w:t xml:space="preserve">more guidance </w:t>
            </w:r>
            <w:r w:rsidR="00E77A77" w:rsidRPr="002F012F">
              <w:rPr>
                <w:szCs w:val="21"/>
              </w:rPr>
              <w:t>on a</w:t>
            </w:r>
            <w:r w:rsidR="00E77A77" w:rsidRPr="002F012F">
              <w:t>ppropriate reporting</w:t>
            </w:r>
            <w:r w:rsidR="00E77A77" w:rsidRPr="002F012F">
              <w:rPr>
                <w:szCs w:val="21"/>
              </w:rPr>
              <w:t>.</w:t>
            </w:r>
          </w:p>
        </w:tc>
      </w:tr>
      <w:tr w:rsidR="00E77A77" w:rsidRPr="00143BCA" w14:paraId="654C7982"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4925525D" w14:textId="77777777" w:rsidR="00E77A77" w:rsidRPr="002E5A3E" w:rsidRDefault="00E77A77" w:rsidP="001C44F5">
            <w:pPr>
              <w:pStyle w:val="Tabletext"/>
              <w:jc w:val="center"/>
              <w:rPr>
                <w:b/>
                <w:bCs/>
              </w:rPr>
            </w:pPr>
            <w:r w:rsidRPr="002E5A3E">
              <w:rPr>
                <w:b/>
                <w:bCs/>
              </w:rPr>
              <w:t>3.</w:t>
            </w:r>
          </w:p>
        </w:tc>
        <w:tc>
          <w:tcPr>
            <w:tcW w:w="1947" w:type="pct"/>
          </w:tcPr>
          <w:p w14:paraId="37D5A6CF" w14:textId="1B02127A"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 xml:space="preserve">The full incident report has been submitted </w:t>
            </w:r>
            <w:r w:rsidRPr="00725842">
              <w:rPr>
                <w:b/>
                <w:szCs w:val="21"/>
              </w:rPr>
              <w:t>after</w:t>
            </w:r>
            <w:r>
              <w:rPr>
                <w:szCs w:val="21"/>
              </w:rPr>
              <w:t xml:space="preserve"> </w:t>
            </w:r>
            <w:r w:rsidR="000C25B2">
              <w:rPr>
                <w:szCs w:val="21"/>
              </w:rPr>
              <w:t>3</w:t>
            </w:r>
            <w:r>
              <w:rPr>
                <w:szCs w:val="21"/>
              </w:rPr>
              <w:t xml:space="preserve"> business days</w:t>
            </w:r>
          </w:p>
        </w:tc>
        <w:tc>
          <w:tcPr>
            <w:tcW w:w="2777" w:type="pct"/>
          </w:tcPr>
          <w:p w14:paraId="1A6D11B1" w14:textId="77777777"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From 1 December 2024 the Regulator will likely contact the service provider and initiate a follow-up.</w:t>
            </w:r>
          </w:p>
        </w:tc>
      </w:tr>
      <w:tr w:rsidR="00E77A77" w:rsidRPr="00143BCA" w14:paraId="56B095D8"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41DE51A2" w14:textId="77777777" w:rsidR="00E77A77" w:rsidRPr="002E5A3E" w:rsidRDefault="00E77A77" w:rsidP="001C44F5">
            <w:pPr>
              <w:pStyle w:val="Tabletext"/>
              <w:jc w:val="center"/>
              <w:rPr>
                <w:b/>
                <w:bCs/>
              </w:rPr>
            </w:pPr>
            <w:r w:rsidRPr="002E5A3E">
              <w:rPr>
                <w:b/>
                <w:bCs/>
              </w:rPr>
              <w:t xml:space="preserve">4. </w:t>
            </w:r>
          </w:p>
        </w:tc>
        <w:tc>
          <w:tcPr>
            <w:tcW w:w="1947" w:type="pct"/>
            <w:shd w:val="clear" w:color="auto" w:fill="F2F2F2" w:themeFill="background1" w:themeFillShade="F2"/>
          </w:tcPr>
          <w:p w14:paraId="08EE92CA" w14:textId="77777777"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sidRPr="00E75D8C">
              <w:rPr>
                <w:szCs w:val="21"/>
                <w:lang w:val="en-AU"/>
              </w:rPr>
              <w:t>The</w:t>
            </w:r>
            <w:r w:rsidRPr="00E75D8C">
              <w:rPr>
                <w:szCs w:val="21"/>
              </w:rPr>
              <w:t xml:space="preserve"> information in the </w:t>
            </w:r>
            <w:r w:rsidRPr="00384527">
              <w:rPr>
                <w:bCs/>
                <w:i/>
                <w:iCs/>
                <w:szCs w:val="21"/>
              </w:rPr>
              <w:t>critical</w:t>
            </w:r>
            <w:r w:rsidRPr="007C0EB6">
              <w:rPr>
                <w:bCs/>
                <w:i/>
                <w:iCs/>
                <w:szCs w:val="21"/>
              </w:rPr>
              <w:t xml:space="preserve"> </w:t>
            </w:r>
            <w:r w:rsidRPr="00E75D8C">
              <w:rPr>
                <w:szCs w:val="21"/>
              </w:rPr>
              <w:t>notifiable incident</w:t>
            </w:r>
            <w:r>
              <w:rPr>
                <w:szCs w:val="21"/>
              </w:rPr>
              <w:t xml:space="preserve"> </w:t>
            </w:r>
            <w:r>
              <w:t>short</w:t>
            </w:r>
            <w:r w:rsidRPr="00E75D8C">
              <w:rPr>
                <w:szCs w:val="21"/>
              </w:rPr>
              <w:t xml:space="preserve"> form </w:t>
            </w:r>
            <w:r w:rsidRPr="00725842">
              <w:rPr>
                <w:b/>
                <w:bCs/>
                <w:szCs w:val="21"/>
              </w:rPr>
              <w:t>meets requirements</w:t>
            </w:r>
            <w:r>
              <w:rPr>
                <w:szCs w:val="21"/>
              </w:rPr>
              <w:t xml:space="preserve"> </w:t>
            </w:r>
          </w:p>
        </w:tc>
        <w:tc>
          <w:tcPr>
            <w:tcW w:w="2777" w:type="pct"/>
            <w:shd w:val="clear" w:color="auto" w:fill="F2F2F2" w:themeFill="background1" w:themeFillShade="F2"/>
          </w:tcPr>
          <w:p w14:paraId="4382082E" w14:textId="20DAA793" w:rsidR="00E77A77" w:rsidRDefault="00E77A77" w:rsidP="001C44F5">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sidRPr="00E75D8C">
              <w:rPr>
                <w:rFonts w:cs="Arial"/>
                <w:szCs w:val="21"/>
              </w:rPr>
              <w:t xml:space="preserve">In most cases, the Regulator will </w:t>
            </w:r>
            <w:r>
              <w:rPr>
                <w:rFonts w:cs="Arial"/>
                <w:szCs w:val="21"/>
              </w:rPr>
              <w:t>first review</w:t>
            </w:r>
            <w:r w:rsidRPr="00E75D8C">
              <w:rPr>
                <w:rFonts w:cs="Arial"/>
                <w:szCs w:val="21"/>
              </w:rPr>
              <w:t xml:space="preserve"> the </w:t>
            </w:r>
            <w:r w:rsidRPr="00AB6728">
              <w:rPr>
                <w:rFonts w:cs="Arial"/>
                <w:b/>
                <w:szCs w:val="21"/>
              </w:rPr>
              <w:t>full incident report</w:t>
            </w:r>
            <w:r w:rsidRPr="00E75D8C">
              <w:rPr>
                <w:rFonts w:cs="Arial"/>
                <w:szCs w:val="21"/>
              </w:rPr>
              <w:t xml:space="preserve"> before initiating a follow</w:t>
            </w:r>
            <w:r w:rsidR="00FE0459">
              <w:rPr>
                <w:rFonts w:cs="Arial"/>
                <w:szCs w:val="21"/>
              </w:rPr>
              <w:t>-</w:t>
            </w:r>
            <w:r w:rsidRPr="00E75D8C">
              <w:rPr>
                <w:rFonts w:cs="Arial"/>
                <w:szCs w:val="21"/>
              </w:rPr>
              <w:t>up.</w:t>
            </w:r>
          </w:p>
          <w:p w14:paraId="6E809A69" w14:textId="3BF14E3E"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sidRPr="007641E2">
              <w:rPr>
                <w:szCs w:val="21"/>
              </w:rPr>
              <w:lastRenderedPageBreak/>
              <w:t xml:space="preserve">This means that in most cases, the Regulator will follow up </w:t>
            </w:r>
            <w:r>
              <w:rPr>
                <w:szCs w:val="21"/>
              </w:rPr>
              <w:t>after</w:t>
            </w:r>
            <w:r w:rsidRPr="007641E2">
              <w:rPr>
                <w:szCs w:val="21"/>
              </w:rPr>
              <w:t xml:space="preserve"> </w:t>
            </w:r>
            <w:r w:rsidR="000C25B2">
              <w:rPr>
                <w:szCs w:val="21"/>
              </w:rPr>
              <w:t>3</w:t>
            </w:r>
            <w:r w:rsidRPr="007641E2">
              <w:rPr>
                <w:szCs w:val="21"/>
              </w:rPr>
              <w:t xml:space="preserve"> business days.</w:t>
            </w:r>
          </w:p>
        </w:tc>
      </w:tr>
      <w:tr w:rsidR="00E77A77" w:rsidRPr="00143BCA" w14:paraId="7977EC6D"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4F71684B" w14:textId="77777777" w:rsidR="00E77A77" w:rsidRPr="002E5A3E" w:rsidRDefault="00E77A77" w:rsidP="001C44F5">
            <w:pPr>
              <w:pStyle w:val="Tabletext"/>
              <w:jc w:val="center"/>
              <w:rPr>
                <w:b/>
                <w:lang w:val="en-AU"/>
              </w:rPr>
            </w:pPr>
            <w:r w:rsidRPr="002E5A3E">
              <w:rPr>
                <w:b/>
                <w:bCs/>
                <w:lang w:val="en-AU"/>
              </w:rPr>
              <w:lastRenderedPageBreak/>
              <w:t>5.</w:t>
            </w:r>
          </w:p>
        </w:tc>
        <w:tc>
          <w:tcPr>
            <w:tcW w:w="1947" w:type="pct"/>
          </w:tcPr>
          <w:p w14:paraId="4CBAE381" w14:textId="77777777" w:rsidR="00E77A77" w:rsidRPr="00E75D8C"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 xml:space="preserve">The information in the </w:t>
            </w:r>
            <w:r w:rsidRPr="00384527">
              <w:rPr>
                <w:i/>
                <w:szCs w:val="21"/>
              </w:rPr>
              <w:t>critical</w:t>
            </w:r>
            <w:r w:rsidRPr="00FE0459">
              <w:rPr>
                <w:iCs/>
                <w:szCs w:val="21"/>
                <w:lang w:val="en-AU"/>
              </w:rPr>
              <w:t xml:space="preserve"> </w:t>
            </w:r>
            <w:r w:rsidRPr="00E75D8C">
              <w:rPr>
                <w:szCs w:val="21"/>
                <w:lang w:val="en-AU"/>
              </w:rPr>
              <w:t xml:space="preserve">notifiable incident </w:t>
            </w:r>
            <w:r>
              <w:rPr>
                <w:szCs w:val="21"/>
                <w:lang w:val="en-AU"/>
              </w:rPr>
              <w:t xml:space="preserve">short </w:t>
            </w:r>
            <w:r w:rsidRPr="00E75D8C">
              <w:rPr>
                <w:szCs w:val="21"/>
                <w:lang w:val="en-AU"/>
              </w:rPr>
              <w:t xml:space="preserve">form </w:t>
            </w:r>
            <w:r w:rsidRPr="00F43BE4">
              <w:rPr>
                <w:b/>
                <w:szCs w:val="21"/>
              </w:rPr>
              <w:t>does not meet</w:t>
            </w:r>
            <w:r w:rsidRPr="00E75D8C">
              <w:rPr>
                <w:szCs w:val="21"/>
                <w:lang w:val="en-AU"/>
              </w:rPr>
              <w:t xml:space="preserve"> requirements</w:t>
            </w:r>
          </w:p>
        </w:tc>
        <w:tc>
          <w:tcPr>
            <w:tcW w:w="2777" w:type="pct"/>
          </w:tcPr>
          <w:p w14:paraId="38B6B909" w14:textId="77777777" w:rsidR="00E77A77" w:rsidRPr="00E75D8C"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The Regulator may:</w:t>
            </w:r>
          </w:p>
          <w:p w14:paraId="54E55AB2" w14:textId="4076B9A3" w:rsidR="00E77A77" w:rsidRPr="00E75D8C" w:rsidRDefault="00E77A77" w:rsidP="00E77A77">
            <w:pPr>
              <w:pStyle w:val="Tabletext"/>
              <w:numPr>
                <w:ilvl w:val="0"/>
                <w:numId w:val="33"/>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 xml:space="preserve">contact the service provider to </w:t>
            </w:r>
            <w:r w:rsidRPr="00287144">
              <w:rPr>
                <w:szCs w:val="21"/>
              </w:rPr>
              <w:t xml:space="preserve">urgently </w:t>
            </w:r>
            <w:r w:rsidRPr="00E75D8C">
              <w:rPr>
                <w:szCs w:val="21"/>
                <w:lang w:val="en-AU"/>
              </w:rPr>
              <w:t>provide the necessary information</w:t>
            </w:r>
          </w:p>
          <w:p w14:paraId="7DD542FD" w14:textId="77777777" w:rsidR="00E77A77" w:rsidRPr="00E75D8C" w:rsidRDefault="00E77A77" w:rsidP="00E77A77">
            <w:pPr>
              <w:pStyle w:val="Tabletext"/>
              <w:numPr>
                <w:ilvl w:val="0"/>
                <w:numId w:val="33"/>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arrange an onsite visit by authorised officers f</w:t>
            </w:r>
            <w:r w:rsidRPr="00E75D8C">
              <w:rPr>
                <w:szCs w:val="21"/>
              </w:rPr>
              <w:t>or situations assessed as urgent or critical</w:t>
            </w:r>
            <w:r>
              <w:rPr>
                <w:szCs w:val="21"/>
              </w:rPr>
              <w:t>.</w:t>
            </w:r>
            <w:r w:rsidRPr="00E75D8C">
              <w:rPr>
                <w:szCs w:val="21"/>
              </w:rPr>
              <w:t xml:space="preserve"> </w:t>
            </w:r>
          </w:p>
        </w:tc>
      </w:tr>
      <w:tr w:rsidR="00E77A77" w:rsidRPr="00143BCA" w14:paraId="26B9A1A1"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08B61001" w14:textId="77777777" w:rsidR="00E77A77" w:rsidRPr="002E5A3E" w:rsidRDefault="00E77A77" w:rsidP="001C44F5">
            <w:pPr>
              <w:pStyle w:val="Tabletext"/>
              <w:jc w:val="center"/>
              <w:rPr>
                <w:b/>
                <w:bCs/>
              </w:rPr>
            </w:pPr>
            <w:r w:rsidRPr="002E5A3E">
              <w:rPr>
                <w:b/>
                <w:bCs/>
              </w:rPr>
              <w:t>6.</w:t>
            </w:r>
          </w:p>
        </w:tc>
        <w:tc>
          <w:tcPr>
            <w:tcW w:w="1947" w:type="pct"/>
            <w:shd w:val="clear" w:color="auto" w:fill="F2F2F2" w:themeFill="background1" w:themeFillShade="F2"/>
          </w:tcPr>
          <w:p w14:paraId="4B90BA53" w14:textId="77777777"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 xml:space="preserve">The </w:t>
            </w:r>
            <w:r w:rsidRPr="00384527">
              <w:rPr>
                <w:i/>
                <w:iCs/>
                <w:szCs w:val="21"/>
              </w:rPr>
              <w:t>critical</w:t>
            </w:r>
            <w:r w:rsidRPr="00D34A4E">
              <w:rPr>
                <w:szCs w:val="21"/>
              </w:rPr>
              <w:t xml:space="preserve"> </w:t>
            </w:r>
            <w:r>
              <w:rPr>
                <w:szCs w:val="21"/>
              </w:rPr>
              <w:t>notifiable incident form has been submitted outside the next business day reporting requirements.</w:t>
            </w:r>
          </w:p>
        </w:tc>
        <w:tc>
          <w:tcPr>
            <w:tcW w:w="2777" w:type="pct"/>
            <w:shd w:val="clear" w:color="auto" w:fill="F2F2F2" w:themeFill="background1" w:themeFillShade="F2"/>
          </w:tcPr>
          <w:p w14:paraId="0A48D254" w14:textId="77777777" w:rsidR="00E77A77" w:rsidRPr="002F012F"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rPr>
            </w:pPr>
            <w:r>
              <w:rPr>
                <w:szCs w:val="21"/>
              </w:rPr>
              <w:t>From 1 December 2024 the Regulator will initiate follow-up with the service provider.</w:t>
            </w:r>
          </w:p>
        </w:tc>
      </w:tr>
      <w:tr w:rsidR="00E77A77" w:rsidRPr="00143BCA" w14:paraId="07E7782A" w14:textId="77777777" w:rsidTr="001C44F5">
        <w:tc>
          <w:tcPr>
            <w:cnfStyle w:val="001000000000" w:firstRow="0" w:lastRow="0" w:firstColumn="1" w:lastColumn="0" w:oddVBand="0" w:evenVBand="0" w:oddHBand="0" w:evenHBand="0" w:firstRowFirstColumn="0" w:firstRowLastColumn="0" w:lastRowFirstColumn="0" w:lastRowLastColumn="0"/>
            <w:tcW w:w="276" w:type="pct"/>
          </w:tcPr>
          <w:p w14:paraId="3A7A7169" w14:textId="77777777" w:rsidR="00E77A77" w:rsidRPr="002E5A3E" w:rsidRDefault="00E77A77" w:rsidP="001C44F5">
            <w:pPr>
              <w:pStyle w:val="Tabletext"/>
              <w:jc w:val="center"/>
              <w:rPr>
                <w:b/>
                <w:lang w:val="en-AU"/>
              </w:rPr>
            </w:pPr>
            <w:r w:rsidRPr="002E5A3E">
              <w:rPr>
                <w:b/>
                <w:bCs/>
                <w:lang w:val="en-AU"/>
              </w:rPr>
              <w:t>7</w:t>
            </w:r>
            <w:r w:rsidRPr="002E5A3E">
              <w:rPr>
                <w:b/>
                <w:lang w:val="en-AU"/>
              </w:rPr>
              <w:t>.</w:t>
            </w:r>
          </w:p>
        </w:tc>
        <w:tc>
          <w:tcPr>
            <w:tcW w:w="1947" w:type="pct"/>
          </w:tcPr>
          <w:p w14:paraId="065D8D68" w14:textId="77777777" w:rsidR="00E77A77" w:rsidRPr="00E75D8C" w:rsidRDefault="00E77A77" w:rsidP="001C44F5">
            <w:pPr>
              <w:pStyle w:val="Tabletext"/>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A one-off misclassification of an incident</w:t>
            </w:r>
          </w:p>
        </w:tc>
        <w:tc>
          <w:tcPr>
            <w:tcW w:w="2777" w:type="pct"/>
          </w:tcPr>
          <w:p w14:paraId="4E069477" w14:textId="77777777" w:rsidR="00E77A77" w:rsidRPr="00E75D8C" w:rsidRDefault="00E77A77" w:rsidP="001C44F5">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sidRPr="00E75D8C">
              <w:rPr>
                <w:rFonts w:cs="Arial"/>
                <w:szCs w:val="21"/>
              </w:rPr>
              <w:t>The Regulator:</w:t>
            </w:r>
          </w:p>
          <w:p w14:paraId="6D7A7038" w14:textId="4C601BBA" w:rsidR="00E77A77" w:rsidRPr="002F012F" w:rsidRDefault="00E77A77" w:rsidP="00E77A77">
            <w:pPr>
              <w:pStyle w:val="Tabletext"/>
              <w:numPr>
                <w:ilvl w:val="0"/>
                <w:numId w:val="34"/>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rFonts w:cs="Arial"/>
                <w:szCs w:val="21"/>
              </w:rPr>
              <w:t xml:space="preserve">will </w:t>
            </w:r>
            <w:r>
              <w:rPr>
                <w:rFonts w:cs="Arial"/>
                <w:szCs w:val="21"/>
              </w:rPr>
              <w:t>not</w:t>
            </w:r>
            <w:r w:rsidRPr="00E75D8C">
              <w:rPr>
                <w:rFonts w:cs="Arial"/>
                <w:szCs w:val="21"/>
              </w:rPr>
              <w:t xml:space="preserve"> usually </w:t>
            </w:r>
            <w:r w:rsidR="007F2592">
              <w:rPr>
                <w:rFonts w:cs="Arial"/>
                <w:szCs w:val="21"/>
              </w:rPr>
              <w:t>take action for a</w:t>
            </w:r>
            <w:r w:rsidRPr="00E75D8C">
              <w:rPr>
                <w:rFonts w:cs="Arial"/>
                <w:szCs w:val="21"/>
              </w:rPr>
              <w:t xml:space="preserve"> one-off misclassification of an incident by a service provider</w:t>
            </w:r>
          </w:p>
          <w:p w14:paraId="0D301021" w14:textId="77777777" w:rsidR="00E77A77" w:rsidRPr="00E75D8C" w:rsidRDefault="00E77A77" w:rsidP="00E77A77">
            <w:pPr>
              <w:pStyle w:val="Tabletext"/>
              <w:numPr>
                <w:ilvl w:val="0"/>
                <w:numId w:val="34"/>
              </w:numPr>
              <w:cnfStyle w:val="000000000000" w:firstRow="0" w:lastRow="0" w:firstColumn="0" w:lastColumn="0" w:oddVBand="0" w:evenVBand="0" w:oddHBand="0" w:evenHBand="0" w:firstRowFirstColumn="0" w:firstRowLastColumn="0" w:lastRowFirstColumn="0" w:lastRowLastColumn="0"/>
              <w:rPr>
                <w:szCs w:val="21"/>
                <w:lang w:val="en-AU"/>
              </w:rPr>
            </w:pPr>
            <w:r w:rsidRPr="00E75D8C">
              <w:rPr>
                <w:szCs w:val="21"/>
                <w:lang w:val="en-AU"/>
              </w:rPr>
              <w:t>may contact the service provider for further details.</w:t>
            </w:r>
          </w:p>
        </w:tc>
      </w:tr>
    </w:tbl>
    <w:p w14:paraId="55F9A33F" w14:textId="77777777" w:rsidR="00E77A77" w:rsidRPr="00932DD0" w:rsidRDefault="00E77A77" w:rsidP="00E77A77">
      <w:pPr>
        <w:spacing w:after="0" w:line="240" w:lineRule="auto"/>
        <w:textAlignment w:val="baseline"/>
        <w:rPr>
          <w:rFonts w:cs="Arial"/>
          <w:szCs w:val="21"/>
          <w:highlight w:val="yellow"/>
          <w:lang w:eastAsia="en-AU"/>
        </w:rPr>
      </w:pPr>
    </w:p>
    <w:p w14:paraId="312DEA78" w14:textId="05897B83" w:rsidR="00162CA9" w:rsidRPr="00636162" w:rsidRDefault="00E77A77" w:rsidP="00636162">
      <w:pPr>
        <w:rPr>
          <w:rFonts w:cs="Arial"/>
          <w:szCs w:val="21"/>
        </w:rPr>
      </w:pPr>
      <w:r w:rsidRPr="00A41008">
        <w:rPr>
          <w:rFonts w:cs="Arial"/>
          <w:szCs w:val="21"/>
        </w:rPr>
        <w:t>If a service provider continues to provide insufficient information when reporting any notifiable incident</w:t>
      </w:r>
      <w:r w:rsidR="00DA7BC8">
        <w:rPr>
          <w:rFonts w:cs="Arial"/>
          <w:szCs w:val="21"/>
        </w:rPr>
        <w:t>,</w:t>
      </w:r>
      <w:r w:rsidRPr="00A41008">
        <w:rPr>
          <w:rFonts w:cs="Arial"/>
          <w:szCs w:val="21"/>
        </w:rPr>
        <w:t xml:space="preserve"> or demonstrates ongoing failure to meet other reporting requirements, the Regulator will likely escalate the regulatory action taken. This may include issuing an improvement notice</w:t>
      </w:r>
      <w:r w:rsidRPr="008B611A">
        <w:rPr>
          <w:rStyle w:val="FootnoteReference"/>
          <w:rFonts w:cs="Arial"/>
          <w:iCs/>
          <w:szCs w:val="21"/>
        </w:rPr>
        <w:footnoteReference w:id="2"/>
      </w:r>
      <w:r w:rsidRPr="00A41008">
        <w:rPr>
          <w:rFonts w:cs="Arial"/>
          <w:szCs w:val="21"/>
        </w:rPr>
        <w:t>.</w:t>
      </w:r>
      <w:r w:rsidR="000B55B6">
        <w:br w:type="page"/>
      </w:r>
    </w:p>
    <w:p w14:paraId="1834ECB8" w14:textId="77777777" w:rsidR="00636162" w:rsidRDefault="00636162" w:rsidP="00162CA9">
      <w:pPr>
        <w:pStyle w:val="Body"/>
      </w:pPr>
    </w:p>
    <w:tbl>
      <w:tblPr>
        <w:tblStyle w:val="TableGrid"/>
        <w:tblW w:w="10199" w:type="dxa"/>
        <w:tblCellMar>
          <w:bottom w:w="108" w:type="dxa"/>
        </w:tblCellMar>
        <w:tblLook w:val="0620" w:firstRow="1" w:lastRow="0" w:firstColumn="0" w:lastColumn="0" w:noHBand="1" w:noVBand="1"/>
      </w:tblPr>
      <w:tblGrid>
        <w:gridCol w:w="10199"/>
      </w:tblGrid>
      <w:tr w:rsidR="00636162" w14:paraId="57B8A69A" w14:textId="77777777" w:rsidTr="001C44F5">
        <w:tc>
          <w:tcPr>
            <w:tcW w:w="10199" w:type="dxa"/>
          </w:tcPr>
          <w:p w14:paraId="7DC8D070" w14:textId="77E27C63" w:rsidR="00636162" w:rsidRPr="0055119B" w:rsidRDefault="00636162" w:rsidP="001C44F5">
            <w:pPr>
              <w:pStyle w:val="Accessibilitypara"/>
            </w:pPr>
            <w:r w:rsidRPr="0055119B">
              <w:t>To receive this document in another format</w:t>
            </w:r>
            <w:r>
              <w:t>,</w:t>
            </w:r>
            <w:r w:rsidRPr="0055119B">
              <w:t xml:space="preserve"> email </w:t>
            </w:r>
            <w:hyperlink r:id="rId26" w:history="1">
              <w:r w:rsidRPr="00381615">
                <w:rPr>
                  <w:rStyle w:val="Hyperlink"/>
                </w:rPr>
                <w:t>Social Services Regulator</w:t>
              </w:r>
            </w:hyperlink>
            <w:r w:rsidRPr="00381615">
              <w:t xml:space="preserve"> </w:t>
            </w:r>
          </w:p>
          <w:p w14:paraId="1BF1512D" w14:textId="77777777" w:rsidR="00636162" w:rsidRPr="0055119B" w:rsidRDefault="00636162" w:rsidP="001C44F5">
            <w:pPr>
              <w:pStyle w:val="Imprint"/>
            </w:pPr>
            <w:r w:rsidRPr="0055119B">
              <w:t>Authorised and published by the Victorian Government, 1 Treasury Place, Melbourne.</w:t>
            </w:r>
          </w:p>
          <w:p w14:paraId="13C3E1D3" w14:textId="77777777" w:rsidR="00636162" w:rsidRPr="0055119B" w:rsidRDefault="00636162" w:rsidP="001C44F5">
            <w:pPr>
              <w:pStyle w:val="Imprint"/>
            </w:pPr>
            <w:r w:rsidRPr="0055119B">
              <w:t xml:space="preserve">© State of Victoria, Australia, Department </w:t>
            </w:r>
            <w:r w:rsidRPr="001B058F">
              <w:t xml:space="preserve">of </w:t>
            </w:r>
            <w:r>
              <w:t>Families, Fairness and Housing</w:t>
            </w:r>
            <w:r w:rsidRPr="0055119B">
              <w:t xml:space="preserve">, </w:t>
            </w:r>
            <w:r>
              <w:t>August</w:t>
            </w:r>
            <w:r w:rsidRPr="00347297">
              <w:t xml:space="preserve"> 2024</w:t>
            </w:r>
            <w:r w:rsidRPr="0055119B">
              <w:t>.</w:t>
            </w:r>
          </w:p>
          <w:p w14:paraId="5CBB1126" w14:textId="77777777" w:rsidR="00636162" w:rsidRPr="00E33237" w:rsidRDefault="00636162" w:rsidP="001C44F5">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F8DD32C" w14:textId="77777777" w:rsidR="00636162" w:rsidRPr="00E33237" w:rsidRDefault="00636162" w:rsidP="001C44F5">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4EEAF5D5" w14:textId="4645D7CB" w:rsidR="00636162" w:rsidRDefault="00636162" w:rsidP="001C44F5">
            <w:pPr>
              <w:pStyle w:val="Imprint"/>
            </w:pPr>
            <w:r w:rsidRPr="0055119B">
              <w:t>ISBN</w:t>
            </w:r>
            <w:r>
              <w:rPr>
                <w:rFonts w:cs="Arial"/>
                <w:color w:val="000000"/>
              </w:rPr>
              <w:t xml:space="preserve"> </w:t>
            </w:r>
            <w:r w:rsidRPr="00A8223C">
              <w:t>978-1-76130-699-0</w:t>
            </w:r>
            <w:r>
              <w:rPr>
                <w:rFonts w:cs="Arial"/>
                <w:color w:val="000000"/>
              </w:rPr>
              <w:t xml:space="preserve"> </w:t>
            </w:r>
            <w:r>
              <w:rPr>
                <w:rFonts w:cs="Arial"/>
                <w:b/>
                <w:bCs/>
                <w:color w:val="000000"/>
              </w:rPr>
              <w:t>(pdf/online/MS word)</w:t>
            </w:r>
          </w:p>
          <w:p w14:paraId="26E5C4B9" w14:textId="3C220FC7" w:rsidR="00636162" w:rsidRDefault="00636162" w:rsidP="001C44F5">
            <w:pPr>
              <w:pStyle w:val="Imprint"/>
            </w:pPr>
            <w:r w:rsidRPr="0055119B">
              <w:t xml:space="preserve">Available at </w:t>
            </w:r>
            <w:hyperlink r:id="rId27" w:history="1">
              <w:r w:rsidRPr="005273A5">
                <w:rPr>
                  <w:rStyle w:val="Hyperlink"/>
                </w:rPr>
                <w:t>vic.gov.au/ssr-reporting-notifiable-incident</w:t>
              </w:r>
            </w:hyperlink>
            <w:r>
              <w:t xml:space="preserve"> </w:t>
            </w:r>
          </w:p>
        </w:tc>
      </w:tr>
    </w:tbl>
    <w:p w14:paraId="1C2CA6D9" w14:textId="77777777" w:rsidR="00636162" w:rsidRDefault="00636162" w:rsidP="00162CA9">
      <w:pPr>
        <w:pStyle w:val="Body"/>
      </w:pPr>
    </w:p>
    <w:sectPr w:rsidR="00636162"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F6AE" w14:textId="77777777" w:rsidR="00F51642" w:rsidRDefault="00F51642">
      <w:r>
        <w:separator/>
      </w:r>
    </w:p>
    <w:p w14:paraId="4FB646A1" w14:textId="77777777" w:rsidR="00F51642" w:rsidRDefault="00F51642"/>
  </w:endnote>
  <w:endnote w:type="continuationSeparator" w:id="0">
    <w:p w14:paraId="56D6AB88" w14:textId="77777777" w:rsidR="00F51642" w:rsidRDefault="00F51642">
      <w:r>
        <w:continuationSeparator/>
      </w:r>
    </w:p>
    <w:p w14:paraId="047F5EE5" w14:textId="77777777" w:rsidR="00F51642" w:rsidRDefault="00F51642"/>
  </w:endnote>
  <w:endnote w:type="continuationNotice" w:id="1">
    <w:p w14:paraId="28819090" w14:textId="77777777" w:rsidR="0012283B" w:rsidRDefault="00122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E41E1" w14:textId="77777777" w:rsidR="00F51642" w:rsidRDefault="00F51642" w:rsidP="00207717">
      <w:pPr>
        <w:spacing w:before="120"/>
      </w:pPr>
      <w:r>
        <w:separator/>
      </w:r>
    </w:p>
  </w:footnote>
  <w:footnote w:type="continuationSeparator" w:id="0">
    <w:p w14:paraId="40FA18FC" w14:textId="77777777" w:rsidR="00F51642" w:rsidRDefault="00F51642">
      <w:r>
        <w:continuationSeparator/>
      </w:r>
    </w:p>
    <w:p w14:paraId="559D6306" w14:textId="77777777" w:rsidR="00F51642" w:rsidRDefault="00F51642"/>
  </w:footnote>
  <w:footnote w:type="continuationNotice" w:id="1">
    <w:p w14:paraId="4052F6B5" w14:textId="77777777" w:rsidR="0012283B" w:rsidRDefault="0012283B">
      <w:pPr>
        <w:spacing w:after="0" w:line="240" w:lineRule="auto"/>
      </w:pPr>
    </w:p>
  </w:footnote>
  <w:footnote w:id="2">
    <w:p w14:paraId="358C5F23" w14:textId="77777777" w:rsidR="00E77A77" w:rsidRPr="008B611A" w:rsidRDefault="00E77A77" w:rsidP="00E77A77">
      <w:pPr>
        <w:pStyle w:val="FootnoteText"/>
        <w:rPr>
          <w:sz w:val="16"/>
        </w:rPr>
      </w:pPr>
      <w:r w:rsidRPr="008B611A">
        <w:rPr>
          <w:rStyle w:val="FootnoteReference"/>
          <w:sz w:val="16"/>
        </w:rPr>
        <w:footnoteRef/>
      </w:r>
      <w:r w:rsidRPr="008B611A">
        <w:rPr>
          <w:sz w:val="16"/>
        </w:rPr>
        <w:t xml:space="preserve"> See s137 – s141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8B73B72" w:rsidR="00E261B3" w:rsidRPr="0051568D" w:rsidRDefault="007D6308" w:rsidP="0017674D">
    <w:pPr>
      <w:pStyle w:val="Header"/>
    </w:pPr>
    <w:r>
      <w:t>Reporting notifiable incidents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64D"/>
    <w:multiLevelType w:val="hybridMultilevel"/>
    <w:tmpl w:val="7A06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8707F"/>
    <w:multiLevelType w:val="hybridMultilevel"/>
    <w:tmpl w:val="344E0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627FFC"/>
    <w:multiLevelType w:val="hybridMultilevel"/>
    <w:tmpl w:val="365E1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66FFC"/>
    <w:multiLevelType w:val="hybridMultilevel"/>
    <w:tmpl w:val="B3241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A6FF7"/>
    <w:multiLevelType w:val="hybridMultilevel"/>
    <w:tmpl w:val="F39A0E72"/>
    <w:lvl w:ilvl="0" w:tplc="A71EDE4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ED0EEB"/>
    <w:multiLevelType w:val="multilevel"/>
    <w:tmpl w:val="672A3116"/>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9FA6552"/>
    <w:multiLevelType w:val="hybridMultilevel"/>
    <w:tmpl w:val="B06EE3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BCA068B"/>
    <w:multiLevelType w:val="hybridMultilevel"/>
    <w:tmpl w:val="BE3CA1C8"/>
    <w:lvl w:ilvl="0" w:tplc="A71EDE48">
      <w:start w:val="8"/>
      <w:numFmt w:val="bullet"/>
      <w:lvlText w:val="-"/>
      <w:lvlJc w:val="left"/>
      <w:pPr>
        <w:ind w:left="720" w:hanging="360"/>
      </w:pPr>
      <w:rPr>
        <w:rFonts w:ascii="Arial" w:eastAsia="Times New Roman" w:hAnsi="Arial" w:cs="Arial" w:hint="default"/>
      </w:rPr>
    </w:lvl>
    <w:lvl w:ilvl="1" w:tplc="FFFFFFFF">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FD5509"/>
    <w:multiLevelType w:val="hybridMultilevel"/>
    <w:tmpl w:val="90F4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90354"/>
    <w:multiLevelType w:val="hybridMultilevel"/>
    <w:tmpl w:val="50B4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516D0"/>
    <w:multiLevelType w:val="hybridMultilevel"/>
    <w:tmpl w:val="E17CDBD2"/>
    <w:lvl w:ilvl="0" w:tplc="1E3C2C3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D05D2"/>
    <w:multiLevelType w:val="hybridMultilevel"/>
    <w:tmpl w:val="EF5AEEF4"/>
    <w:lvl w:ilvl="0" w:tplc="A71EDE4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B52E4"/>
    <w:multiLevelType w:val="hybridMultilevel"/>
    <w:tmpl w:val="68EA4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892350"/>
    <w:multiLevelType w:val="hybridMultilevel"/>
    <w:tmpl w:val="E13A13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74381E"/>
    <w:multiLevelType w:val="hybridMultilevel"/>
    <w:tmpl w:val="4DF65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260C70"/>
    <w:multiLevelType w:val="hybridMultilevel"/>
    <w:tmpl w:val="BC4A0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7305E6"/>
    <w:multiLevelType w:val="hybridMultilevel"/>
    <w:tmpl w:val="EDA0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90DE8"/>
    <w:multiLevelType w:val="hybridMultilevel"/>
    <w:tmpl w:val="A724A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441BE7"/>
    <w:multiLevelType w:val="hybridMultilevel"/>
    <w:tmpl w:val="5D3AF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9B74E4"/>
    <w:multiLevelType w:val="hybridMultilevel"/>
    <w:tmpl w:val="5BF8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B26606"/>
    <w:multiLevelType w:val="hybridMultilevel"/>
    <w:tmpl w:val="04C8E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23A65B7"/>
    <w:multiLevelType w:val="hybridMultilevel"/>
    <w:tmpl w:val="C59EEF7C"/>
    <w:lvl w:ilvl="0" w:tplc="A71EDE4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7048B"/>
    <w:multiLevelType w:val="hybridMultilevel"/>
    <w:tmpl w:val="863C1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383C99"/>
    <w:multiLevelType w:val="hybridMultilevel"/>
    <w:tmpl w:val="112AD024"/>
    <w:lvl w:ilvl="0" w:tplc="1E3C2C38">
      <w:numFmt w:val="bullet"/>
      <w:lvlText w:val="•"/>
      <w:lvlJc w:val="left"/>
      <w:pPr>
        <w:ind w:left="1440" w:hanging="72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743814"/>
    <w:multiLevelType w:val="hybridMultilevel"/>
    <w:tmpl w:val="47921C92"/>
    <w:lvl w:ilvl="0" w:tplc="FFFFFFFF">
      <w:start w:val="1"/>
      <w:numFmt w:val="bullet"/>
      <w:lvlText w:val=""/>
      <w:lvlJc w:val="left"/>
      <w:pPr>
        <w:ind w:left="720" w:hanging="360"/>
      </w:pPr>
      <w:rPr>
        <w:rFonts w:ascii="Symbol" w:hAnsi="Symbol" w:hint="default"/>
      </w:rPr>
    </w:lvl>
    <w:lvl w:ilvl="1" w:tplc="A71EDE4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660A5D"/>
    <w:multiLevelType w:val="multilevel"/>
    <w:tmpl w:val="9EE06B42"/>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468257C"/>
    <w:multiLevelType w:val="hybridMultilevel"/>
    <w:tmpl w:val="F4F02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8D1575"/>
    <w:multiLevelType w:val="hybridMultilevel"/>
    <w:tmpl w:val="ADF06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3A4EC8"/>
    <w:multiLevelType w:val="hybridMultilevel"/>
    <w:tmpl w:val="06B82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77459A"/>
    <w:multiLevelType w:val="hybridMultilevel"/>
    <w:tmpl w:val="F36E7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EB5678"/>
    <w:multiLevelType w:val="hybridMultilevel"/>
    <w:tmpl w:val="148A5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6499732">
    <w:abstractNumId w:val="20"/>
  </w:num>
  <w:num w:numId="2" w16cid:durableId="620889137">
    <w:abstractNumId w:val="29"/>
  </w:num>
  <w:num w:numId="3" w16cid:durableId="1586377817">
    <w:abstractNumId w:val="27"/>
  </w:num>
  <w:num w:numId="4" w16cid:durableId="496849498">
    <w:abstractNumId w:val="30"/>
  </w:num>
  <w:num w:numId="5" w16cid:durableId="767576029">
    <w:abstractNumId w:val="23"/>
  </w:num>
  <w:num w:numId="6" w16cid:durableId="1279681164">
    <w:abstractNumId w:val="7"/>
  </w:num>
  <w:num w:numId="7" w16cid:durableId="1639265705">
    <w:abstractNumId w:val="6"/>
  </w:num>
  <w:num w:numId="8" w16cid:durableId="1707219888">
    <w:abstractNumId w:val="35"/>
  </w:num>
  <w:num w:numId="9" w16cid:durableId="312416304">
    <w:abstractNumId w:val="10"/>
  </w:num>
  <w:num w:numId="10" w16cid:durableId="1955669898">
    <w:abstractNumId w:val="0"/>
  </w:num>
  <w:num w:numId="11" w16cid:durableId="1469585802">
    <w:abstractNumId w:val="3"/>
  </w:num>
  <w:num w:numId="12" w16cid:durableId="1664120724">
    <w:abstractNumId w:val="18"/>
  </w:num>
  <w:num w:numId="13" w16cid:durableId="1613434149">
    <w:abstractNumId w:val="36"/>
  </w:num>
  <w:num w:numId="14" w16cid:durableId="607542709">
    <w:abstractNumId w:val="14"/>
  </w:num>
  <w:num w:numId="15" w16cid:durableId="349260196">
    <w:abstractNumId w:val="25"/>
  </w:num>
  <w:num w:numId="16" w16cid:durableId="2010211088">
    <w:abstractNumId w:val="5"/>
  </w:num>
  <w:num w:numId="17" w16cid:durableId="417361783">
    <w:abstractNumId w:val="33"/>
  </w:num>
  <w:num w:numId="18" w16cid:durableId="2092386917">
    <w:abstractNumId w:val="16"/>
  </w:num>
  <w:num w:numId="19" w16cid:durableId="901133365">
    <w:abstractNumId w:val="1"/>
  </w:num>
  <w:num w:numId="20" w16cid:durableId="594555585">
    <w:abstractNumId w:val="4"/>
  </w:num>
  <w:num w:numId="21" w16cid:durableId="779836009">
    <w:abstractNumId w:val="22"/>
  </w:num>
  <w:num w:numId="22" w16cid:durableId="364066602">
    <w:abstractNumId w:val="2"/>
  </w:num>
  <w:num w:numId="23" w16cid:durableId="860626194">
    <w:abstractNumId w:val="32"/>
  </w:num>
  <w:num w:numId="24" w16cid:durableId="1452934939">
    <w:abstractNumId w:val="24"/>
  </w:num>
  <w:num w:numId="25" w16cid:durableId="1401634006">
    <w:abstractNumId w:val="13"/>
  </w:num>
  <w:num w:numId="26" w16cid:durableId="511915859">
    <w:abstractNumId w:val="28"/>
  </w:num>
  <w:num w:numId="27" w16cid:durableId="792207831">
    <w:abstractNumId w:val="8"/>
  </w:num>
  <w:num w:numId="28" w16cid:durableId="279340303">
    <w:abstractNumId w:val="12"/>
  </w:num>
  <w:num w:numId="29" w16cid:durableId="1237473072">
    <w:abstractNumId w:val="11"/>
  </w:num>
  <w:num w:numId="30" w16cid:durableId="2082167318">
    <w:abstractNumId w:val="26"/>
  </w:num>
  <w:num w:numId="31" w16cid:durableId="1307472236">
    <w:abstractNumId w:val="9"/>
  </w:num>
  <w:num w:numId="32" w16cid:durableId="852691856">
    <w:abstractNumId w:val="21"/>
  </w:num>
  <w:num w:numId="33" w16cid:durableId="1883203742">
    <w:abstractNumId w:val="15"/>
  </w:num>
  <w:num w:numId="34" w16cid:durableId="346950601">
    <w:abstractNumId w:val="19"/>
  </w:num>
  <w:num w:numId="35" w16cid:durableId="516041226">
    <w:abstractNumId w:val="34"/>
  </w:num>
  <w:num w:numId="36" w16cid:durableId="1055354888">
    <w:abstractNumId w:val="17"/>
  </w:num>
  <w:num w:numId="37" w16cid:durableId="116898456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FFC"/>
    <w:rsid w:val="00002D68"/>
    <w:rsid w:val="00003403"/>
    <w:rsid w:val="00004475"/>
    <w:rsid w:val="00005347"/>
    <w:rsid w:val="000072B6"/>
    <w:rsid w:val="00007B98"/>
    <w:rsid w:val="0001021B"/>
    <w:rsid w:val="00011D89"/>
    <w:rsid w:val="00011FEA"/>
    <w:rsid w:val="000154FD"/>
    <w:rsid w:val="00022271"/>
    <w:rsid w:val="000235E8"/>
    <w:rsid w:val="00024D89"/>
    <w:rsid w:val="000250B6"/>
    <w:rsid w:val="000271D8"/>
    <w:rsid w:val="000301B7"/>
    <w:rsid w:val="000316FD"/>
    <w:rsid w:val="00033D81"/>
    <w:rsid w:val="00035BCB"/>
    <w:rsid w:val="00037366"/>
    <w:rsid w:val="00041BF0"/>
    <w:rsid w:val="00042C8A"/>
    <w:rsid w:val="0004536B"/>
    <w:rsid w:val="00046B68"/>
    <w:rsid w:val="000526F7"/>
    <w:rsid w:val="000527DD"/>
    <w:rsid w:val="000578B2"/>
    <w:rsid w:val="00060959"/>
    <w:rsid w:val="00060C8F"/>
    <w:rsid w:val="0006298A"/>
    <w:rsid w:val="000643BD"/>
    <w:rsid w:val="000663CD"/>
    <w:rsid w:val="00066E36"/>
    <w:rsid w:val="000733FE"/>
    <w:rsid w:val="00074219"/>
    <w:rsid w:val="00074ED5"/>
    <w:rsid w:val="0008508E"/>
    <w:rsid w:val="00086557"/>
    <w:rsid w:val="00087951"/>
    <w:rsid w:val="0009050A"/>
    <w:rsid w:val="0009113B"/>
    <w:rsid w:val="000916E0"/>
    <w:rsid w:val="00093402"/>
    <w:rsid w:val="00094DA3"/>
    <w:rsid w:val="00096CD1"/>
    <w:rsid w:val="00097F67"/>
    <w:rsid w:val="000A012C"/>
    <w:rsid w:val="000A0EB9"/>
    <w:rsid w:val="000A186C"/>
    <w:rsid w:val="000A1EA4"/>
    <w:rsid w:val="000A2476"/>
    <w:rsid w:val="000A641A"/>
    <w:rsid w:val="000B1038"/>
    <w:rsid w:val="000B2117"/>
    <w:rsid w:val="000B3EDB"/>
    <w:rsid w:val="000B543D"/>
    <w:rsid w:val="000B55B6"/>
    <w:rsid w:val="000B55F9"/>
    <w:rsid w:val="000B5BF7"/>
    <w:rsid w:val="000B6BC8"/>
    <w:rsid w:val="000C0303"/>
    <w:rsid w:val="000C25B2"/>
    <w:rsid w:val="000C27BE"/>
    <w:rsid w:val="000C42EA"/>
    <w:rsid w:val="000C4546"/>
    <w:rsid w:val="000D1242"/>
    <w:rsid w:val="000D7620"/>
    <w:rsid w:val="000E075A"/>
    <w:rsid w:val="000E0970"/>
    <w:rsid w:val="000E18B0"/>
    <w:rsid w:val="000E3CC7"/>
    <w:rsid w:val="000E5AFA"/>
    <w:rsid w:val="000E6BD4"/>
    <w:rsid w:val="000E6D6D"/>
    <w:rsid w:val="000F12BC"/>
    <w:rsid w:val="000F1F1E"/>
    <w:rsid w:val="000F2259"/>
    <w:rsid w:val="000F2DDA"/>
    <w:rsid w:val="000F2EA0"/>
    <w:rsid w:val="000F43FE"/>
    <w:rsid w:val="000F5213"/>
    <w:rsid w:val="000F6895"/>
    <w:rsid w:val="00101001"/>
    <w:rsid w:val="00103276"/>
    <w:rsid w:val="0010392D"/>
    <w:rsid w:val="0010447F"/>
    <w:rsid w:val="00104FE3"/>
    <w:rsid w:val="00105291"/>
    <w:rsid w:val="00105742"/>
    <w:rsid w:val="0010714F"/>
    <w:rsid w:val="001120C5"/>
    <w:rsid w:val="00116FBD"/>
    <w:rsid w:val="00120BD3"/>
    <w:rsid w:val="0012283B"/>
    <w:rsid w:val="00122C6F"/>
    <w:rsid w:val="00122FEA"/>
    <w:rsid w:val="001232BD"/>
    <w:rsid w:val="00124ED5"/>
    <w:rsid w:val="0012609A"/>
    <w:rsid w:val="001276FA"/>
    <w:rsid w:val="0013638F"/>
    <w:rsid w:val="00136C39"/>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0BC"/>
    <w:rsid w:val="00197968"/>
    <w:rsid w:val="001979FF"/>
    <w:rsid w:val="00197B17"/>
    <w:rsid w:val="001A1950"/>
    <w:rsid w:val="001A1C54"/>
    <w:rsid w:val="001A1E95"/>
    <w:rsid w:val="001A1F2E"/>
    <w:rsid w:val="001A202A"/>
    <w:rsid w:val="001A3ACE"/>
    <w:rsid w:val="001B058F"/>
    <w:rsid w:val="001B4F8C"/>
    <w:rsid w:val="001B66F5"/>
    <w:rsid w:val="001B6B96"/>
    <w:rsid w:val="001B7228"/>
    <w:rsid w:val="001B738B"/>
    <w:rsid w:val="001C09DB"/>
    <w:rsid w:val="001C16B9"/>
    <w:rsid w:val="001C20B7"/>
    <w:rsid w:val="001C277E"/>
    <w:rsid w:val="001C2A72"/>
    <w:rsid w:val="001C31B7"/>
    <w:rsid w:val="001C44F5"/>
    <w:rsid w:val="001D0B1A"/>
    <w:rsid w:val="001D0B75"/>
    <w:rsid w:val="001D39A5"/>
    <w:rsid w:val="001D3C09"/>
    <w:rsid w:val="001D44E8"/>
    <w:rsid w:val="001D60EC"/>
    <w:rsid w:val="001D6F59"/>
    <w:rsid w:val="001E44DF"/>
    <w:rsid w:val="001E5C3D"/>
    <w:rsid w:val="001E68A5"/>
    <w:rsid w:val="001E6BB0"/>
    <w:rsid w:val="001E7282"/>
    <w:rsid w:val="001F3826"/>
    <w:rsid w:val="001F6E46"/>
    <w:rsid w:val="001F7C91"/>
    <w:rsid w:val="00201D49"/>
    <w:rsid w:val="002033B7"/>
    <w:rsid w:val="00206463"/>
    <w:rsid w:val="00206F2F"/>
    <w:rsid w:val="00207717"/>
    <w:rsid w:val="0021053D"/>
    <w:rsid w:val="00210A92"/>
    <w:rsid w:val="0021176D"/>
    <w:rsid w:val="00216C03"/>
    <w:rsid w:val="00220C04"/>
    <w:rsid w:val="0022278D"/>
    <w:rsid w:val="00226762"/>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0A70"/>
    <w:rsid w:val="0027131C"/>
    <w:rsid w:val="00273BAC"/>
    <w:rsid w:val="002763B3"/>
    <w:rsid w:val="00277087"/>
    <w:rsid w:val="002802E3"/>
    <w:rsid w:val="00280C4B"/>
    <w:rsid w:val="0028213D"/>
    <w:rsid w:val="002827B4"/>
    <w:rsid w:val="00285B06"/>
    <w:rsid w:val="002862F1"/>
    <w:rsid w:val="0028749A"/>
    <w:rsid w:val="00291373"/>
    <w:rsid w:val="002923EE"/>
    <w:rsid w:val="00292C84"/>
    <w:rsid w:val="00294A7D"/>
    <w:rsid w:val="0029597D"/>
    <w:rsid w:val="002962C3"/>
    <w:rsid w:val="0029752B"/>
    <w:rsid w:val="002A05CF"/>
    <w:rsid w:val="002A0A9C"/>
    <w:rsid w:val="002A483C"/>
    <w:rsid w:val="002A689B"/>
    <w:rsid w:val="002B0C7C"/>
    <w:rsid w:val="002B1729"/>
    <w:rsid w:val="002B36C7"/>
    <w:rsid w:val="002B4DD4"/>
    <w:rsid w:val="002B5277"/>
    <w:rsid w:val="002B5375"/>
    <w:rsid w:val="002B77C1"/>
    <w:rsid w:val="002C0094"/>
    <w:rsid w:val="002C0ED7"/>
    <w:rsid w:val="002C2728"/>
    <w:rsid w:val="002C4EE2"/>
    <w:rsid w:val="002C7FC1"/>
    <w:rsid w:val="002D1D57"/>
    <w:rsid w:val="002D1E0D"/>
    <w:rsid w:val="002D5006"/>
    <w:rsid w:val="002D7006"/>
    <w:rsid w:val="002E01D0"/>
    <w:rsid w:val="002E161D"/>
    <w:rsid w:val="002E3100"/>
    <w:rsid w:val="002E6C95"/>
    <w:rsid w:val="002E7C36"/>
    <w:rsid w:val="002F386D"/>
    <w:rsid w:val="002F3ADF"/>
    <w:rsid w:val="002F3B7F"/>
    <w:rsid w:val="002F3D32"/>
    <w:rsid w:val="002F3DD6"/>
    <w:rsid w:val="002F5F31"/>
    <w:rsid w:val="002F5F46"/>
    <w:rsid w:val="00302216"/>
    <w:rsid w:val="00303E53"/>
    <w:rsid w:val="003052B0"/>
    <w:rsid w:val="00305CC1"/>
    <w:rsid w:val="003069D3"/>
    <w:rsid w:val="00306E5F"/>
    <w:rsid w:val="00307E14"/>
    <w:rsid w:val="003130B6"/>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8E3"/>
    <w:rsid w:val="00351B36"/>
    <w:rsid w:val="00352441"/>
    <w:rsid w:val="00357226"/>
    <w:rsid w:val="00357B4E"/>
    <w:rsid w:val="00362B65"/>
    <w:rsid w:val="003665A0"/>
    <w:rsid w:val="003716FD"/>
    <w:rsid w:val="0037204B"/>
    <w:rsid w:val="003744CF"/>
    <w:rsid w:val="00374717"/>
    <w:rsid w:val="0037676C"/>
    <w:rsid w:val="00377A1A"/>
    <w:rsid w:val="00381043"/>
    <w:rsid w:val="00381615"/>
    <w:rsid w:val="003829E5"/>
    <w:rsid w:val="0038376A"/>
    <w:rsid w:val="00384527"/>
    <w:rsid w:val="0038475F"/>
    <w:rsid w:val="00386109"/>
    <w:rsid w:val="00386482"/>
    <w:rsid w:val="00386944"/>
    <w:rsid w:val="0039409D"/>
    <w:rsid w:val="003956CC"/>
    <w:rsid w:val="00395C9A"/>
    <w:rsid w:val="003A04E1"/>
    <w:rsid w:val="003A0853"/>
    <w:rsid w:val="003A525F"/>
    <w:rsid w:val="003A6B67"/>
    <w:rsid w:val="003A6BEF"/>
    <w:rsid w:val="003B13B6"/>
    <w:rsid w:val="003B14C3"/>
    <w:rsid w:val="003B15E6"/>
    <w:rsid w:val="003B1BDC"/>
    <w:rsid w:val="003B408A"/>
    <w:rsid w:val="003C08A2"/>
    <w:rsid w:val="003C2045"/>
    <w:rsid w:val="003C30BB"/>
    <w:rsid w:val="003C43A1"/>
    <w:rsid w:val="003C4FC0"/>
    <w:rsid w:val="003C55F4"/>
    <w:rsid w:val="003C7897"/>
    <w:rsid w:val="003C7A3F"/>
    <w:rsid w:val="003D2766"/>
    <w:rsid w:val="003D2A74"/>
    <w:rsid w:val="003D3E8F"/>
    <w:rsid w:val="003D6475"/>
    <w:rsid w:val="003D6EE6"/>
    <w:rsid w:val="003D7000"/>
    <w:rsid w:val="003D7E30"/>
    <w:rsid w:val="003E33D1"/>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1FD1"/>
    <w:rsid w:val="00406157"/>
    <w:rsid w:val="00406285"/>
    <w:rsid w:val="00412336"/>
    <w:rsid w:val="004148F9"/>
    <w:rsid w:val="0042084E"/>
    <w:rsid w:val="00421EEF"/>
    <w:rsid w:val="00424D65"/>
    <w:rsid w:val="00430393"/>
    <w:rsid w:val="00431806"/>
    <w:rsid w:val="004350F9"/>
    <w:rsid w:val="004377EE"/>
    <w:rsid w:val="00437AC5"/>
    <w:rsid w:val="00442C6C"/>
    <w:rsid w:val="00443CBE"/>
    <w:rsid w:val="00443E8A"/>
    <w:rsid w:val="004441BC"/>
    <w:rsid w:val="004468B4"/>
    <w:rsid w:val="0045230A"/>
    <w:rsid w:val="00454AD0"/>
    <w:rsid w:val="00457337"/>
    <w:rsid w:val="00462E3D"/>
    <w:rsid w:val="0046440A"/>
    <w:rsid w:val="00466E79"/>
    <w:rsid w:val="00470D7D"/>
    <w:rsid w:val="00473464"/>
    <w:rsid w:val="0047372D"/>
    <w:rsid w:val="00473BA3"/>
    <w:rsid w:val="00473CD8"/>
    <w:rsid w:val="004743DD"/>
    <w:rsid w:val="00474CEA"/>
    <w:rsid w:val="00480103"/>
    <w:rsid w:val="0048348D"/>
    <w:rsid w:val="00483968"/>
    <w:rsid w:val="004841BE"/>
    <w:rsid w:val="00484451"/>
    <w:rsid w:val="00484F86"/>
    <w:rsid w:val="00490746"/>
    <w:rsid w:val="00490852"/>
    <w:rsid w:val="00491C9C"/>
    <w:rsid w:val="00492F30"/>
    <w:rsid w:val="004946F4"/>
    <w:rsid w:val="0049487E"/>
    <w:rsid w:val="00495DC9"/>
    <w:rsid w:val="004A160D"/>
    <w:rsid w:val="004A3E81"/>
    <w:rsid w:val="004A4195"/>
    <w:rsid w:val="004A5C62"/>
    <w:rsid w:val="004A5CE5"/>
    <w:rsid w:val="004A62B9"/>
    <w:rsid w:val="004A707D"/>
    <w:rsid w:val="004B2353"/>
    <w:rsid w:val="004B3F9F"/>
    <w:rsid w:val="004B4185"/>
    <w:rsid w:val="004C19E8"/>
    <w:rsid w:val="004C5541"/>
    <w:rsid w:val="004C6EEE"/>
    <w:rsid w:val="004C702B"/>
    <w:rsid w:val="004D0033"/>
    <w:rsid w:val="004D016B"/>
    <w:rsid w:val="004D1B22"/>
    <w:rsid w:val="004D23CC"/>
    <w:rsid w:val="004D36F2"/>
    <w:rsid w:val="004D7FCC"/>
    <w:rsid w:val="004E1106"/>
    <w:rsid w:val="004E138F"/>
    <w:rsid w:val="004E1EA2"/>
    <w:rsid w:val="004E24EB"/>
    <w:rsid w:val="004E4649"/>
    <w:rsid w:val="004E5C2B"/>
    <w:rsid w:val="004F00DD"/>
    <w:rsid w:val="004F12C3"/>
    <w:rsid w:val="004F2133"/>
    <w:rsid w:val="004F5398"/>
    <w:rsid w:val="004F55F1"/>
    <w:rsid w:val="004F6936"/>
    <w:rsid w:val="004F7B35"/>
    <w:rsid w:val="0050108D"/>
    <w:rsid w:val="00503DC6"/>
    <w:rsid w:val="00506F5D"/>
    <w:rsid w:val="00510C37"/>
    <w:rsid w:val="005126D0"/>
    <w:rsid w:val="00513078"/>
    <w:rsid w:val="00513109"/>
    <w:rsid w:val="00514667"/>
    <w:rsid w:val="0051568D"/>
    <w:rsid w:val="00515CE6"/>
    <w:rsid w:val="00526AC7"/>
    <w:rsid w:val="00526C15"/>
    <w:rsid w:val="00536499"/>
    <w:rsid w:val="00542A03"/>
    <w:rsid w:val="00543903"/>
    <w:rsid w:val="00543F11"/>
    <w:rsid w:val="00546305"/>
    <w:rsid w:val="00547A95"/>
    <w:rsid w:val="0055119B"/>
    <w:rsid w:val="00561202"/>
    <w:rsid w:val="005620A3"/>
    <w:rsid w:val="00564B41"/>
    <w:rsid w:val="00572031"/>
    <w:rsid w:val="00572282"/>
    <w:rsid w:val="005724EE"/>
    <w:rsid w:val="00573CE3"/>
    <w:rsid w:val="00576E84"/>
    <w:rsid w:val="00580394"/>
    <w:rsid w:val="005809CD"/>
    <w:rsid w:val="00582B8C"/>
    <w:rsid w:val="0058757E"/>
    <w:rsid w:val="00587B69"/>
    <w:rsid w:val="00593A99"/>
    <w:rsid w:val="00594AD3"/>
    <w:rsid w:val="005952D2"/>
    <w:rsid w:val="00596A4B"/>
    <w:rsid w:val="00597507"/>
    <w:rsid w:val="005A2AF8"/>
    <w:rsid w:val="005A3CDA"/>
    <w:rsid w:val="005A479D"/>
    <w:rsid w:val="005B1C6D"/>
    <w:rsid w:val="005B21B6"/>
    <w:rsid w:val="005B3A08"/>
    <w:rsid w:val="005B7A63"/>
    <w:rsid w:val="005C0955"/>
    <w:rsid w:val="005C341C"/>
    <w:rsid w:val="005C3EDD"/>
    <w:rsid w:val="005C49DA"/>
    <w:rsid w:val="005C50F3"/>
    <w:rsid w:val="005C54B5"/>
    <w:rsid w:val="005C5D80"/>
    <w:rsid w:val="005C5D91"/>
    <w:rsid w:val="005C656D"/>
    <w:rsid w:val="005D07B8"/>
    <w:rsid w:val="005D1125"/>
    <w:rsid w:val="005D2C3C"/>
    <w:rsid w:val="005D37F8"/>
    <w:rsid w:val="005D6597"/>
    <w:rsid w:val="005E14E7"/>
    <w:rsid w:val="005E26A3"/>
    <w:rsid w:val="005E2ECB"/>
    <w:rsid w:val="005E2F30"/>
    <w:rsid w:val="005E447E"/>
    <w:rsid w:val="005E4FD1"/>
    <w:rsid w:val="005F0775"/>
    <w:rsid w:val="005F0CF5"/>
    <w:rsid w:val="005F21EB"/>
    <w:rsid w:val="005F64CF"/>
    <w:rsid w:val="005F6C7D"/>
    <w:rsid w:val="006041AD"/>
    <w:rsid w:val="00605908"/>
    <w:rsid w:val="00606EB2"/>
    <w:rsid w:val="00607850"/>
    <w:rsid w:val="00610D7C"/>
    <w:rsid w:val="00613414"/>
    <w:rsid w:val="00620154"/>
    <w:rsid w:val="00623D7A"/>
    <w:rsid w:val="0062408D"/>
    <w:rsid w:val="006240CC"/>
    <w:rsid w:val="006241A7"/>
    <w:rsid w:val="00624940"/>
    <w:rsid w:val="006254F8"/>
    <w:rsid w:val="00625887"/>
    <w:rsid w:val="006269FB"/>
    <w:rsid w:val="00627DA7"/>
    <w:rsid w:val="00630438"/>
    <w:rsid w:val="00630DA4"/>
    <w:rsid w:val="00631CD4"/>
    <w:rsid w:val="00632597"/>
    <w:rsid w:val="00632BD5"/>
    <w:rsid w:val="00634D13"/>
    <w:rsid w:val="006358B4"/>
    <w:rsid w:val="00636162"/>
    <w:rsid w:val="00640B6C"/>
    <w:rsid w:val="00641724"/>
    <w:rsid w:val="006419AA"/>
    <w:rsid w:val="00643606"/>
    <w:rsid w:val="00644B1F"/>
    <w:rsid w:val="00644B7E"/>
    <w:rsid w:val="006454E6"/>
    <w:rsid w:val="00645BCA"/>
    <w:rsid w:val="00646235"/>
    <w:rsid w:val="00646A68"/>
    <w:rsid w:val="006475B6"/>
    <w:rsid w:val="006505BD"/>
    <w:rsid w:val="006508EA"/>
    <w:rsid w:val="0065092E"/>
    <w:rsid w:val="006523D1"/>
    <w:rsid w:val="0065448C"/>
    <w:rsid w:val="006557A7"/>
    <w:rsid w:val="00656290"/>
    <w:rsid w:val="006601C9"/>
    <w:rsid w:val="006608D8"/>
    <w:rsid w:val="006621D7"/>
    <w:rsid w:val="0066302A"/>
    <w:rsid w:val="00667770"/>
    <w:rsid w:val="00670597"/>
    <w:rsid w:val="006706D0"/>
    <w:rsid w:val="00677574"/>
    <w:rsid w:val="00680CB7"/>
    <w:rsid w:val="00681794"/>
    <w:rsid w:val="00683878"/>
    <w:rsid w:val="0068454C"/>
    <w:rsid w:val="00691B62"/>
    <w:rsid w:val="00692267"/>
    <w:rsid w:val="006933B5"/>
    <w:rsid w:val="00693D14"/>
    <w:rsid w:val="00695A93"/>
    <w:rsid w:val="0069668A"/>
    <w:rsid w:val="00696EA5"/>
    <w:rsid w:val="00696F27"/>
    <w:rsid w:val="006A149B"/>
    <w:rsid w:val="006A18C2"/>
    <w:rsid w:val="006A2FA1"/>
    <w:rsid w:val="006A3383"/>
    <w:rsid w:val="006A39C8"/>
    <w:rsid w:val="006A7288"/>
    <w:rsid w:val="006A79F4"/>
    <w:rsid w:val="006B077C"/>
    <w:rsid w:val="006B16AF"/>
    <w:rsid w:val="006B437C"/>
    <w:rsid w:val="006B6803"/>
    <w:rsid w:val="006D0CFC"/>
    <w:rsid w:val="006D0F16"/>
    <w:rsid w:val="006D2A3F"/>
    <w:rsid w:val="006D2FBC"/>
    <w:rsid w:val="006E0EF5"/>
    <w:rsid w:val="006E138B"/>
    <w:rsid w:val="006E1867"/>
    <w:rsid w:val="006E3466"/>
    <w:rsid w:val="006F0330"/>
    <w:rsid w:val="006F1FDC"/>
    <w:rsid w:val="006F58D2"/>
    <w:rsid w:val="006F6B8C"/>
    <w:rsid w:val="00700677"/>
    <w:rsid w:val="00701298"/>
    <w:rsid w:val="007013EF"/>
    <w:rsid w:val="007019B0"/>
    <w:rsid w:val="007055BD"/>
    <w:rsid w:val="00705A97"/>
    <w:rsid w:val="007110AC"/>
    <w:rsid w:val="00714C9E"/>
    <w:rsid w:val="007158AE"/>
    <w:rsid w:val="00716FE6"/>
    <w:rsid w:val="007173CA"/>
    <w:rsid w:val="00717816"/>
    <w:rsid w:val="007216AA"/>
    <w:rsid w:val="00721AB5"/>
    <w:rsid w:val="00721CFB"/>
    <w:rsid w:val="00721DEF"/>
    <w:rsid w:val="00724A43"/>
    <w:rsid w:val="007273AC"/>
    <w:rsid w:val="00731AD4"/>
    <w:rsid w:val="0073428A"/>
    <w:rsid w:val="007346E4"/>
    <w:rsid w:val="007361BB"/>
    <w:rsid w:val="007363AE"/>
    <w:rsid w:val="00736608"/>
    <w:rsid w:val="00740BF9"/>
    <w:rsid w:val="00740F22"/>
    <w:rsid w:val="00741977"/>
    <w:rsid w:val="00741CF0"/>
    <w:rsid w:val="00741F1A"/>
    <w:rsid w:val="00743A2C"/>
    <w:rsid w:val="007447DA"/>
    <w:rsid w:val="007450F8"/>
    <w:rsid w:val="0074696E"/>
    <w:rsid w:val="00750135"/>
    <w:rsid w:val="00750EC2"/>
    <w:rsid w:val="00752B28"/>
    <w:rsid w:val="007541A9"/>
    <w:rsid w:val="00754E36"/>
    <w:rsid w:val="00760744"/>
    <w:rsid w:val="00763139"/>
    <w:rsid w:val="00766F80"/>
    <w:rsid w:val="00770F37"/>
    <w:rsid w:val="007711A0"/>
    <w:rsid w:val="00771D54"/>
    <w:rsid w:val="00772D5E"/>
    <w:rsid w:val="00773F68"/>
    <w:rsid w:val="0077463E"/>
    <w:rsid w:val="00776928"/>
    <w:rsid w:val="00776E0F"/>
    <w:rsid w:val="007774B1"/>
    <w:rsid w:val="00777BE1"/>
    <w:rsid w:val="007833D8"/>
    <w:rsid w:val="00785677"/>
    <w:rsid w:val="00786F16"/>
    <w:rsid w:val="00791BD7"/>
    <w:rsid w:val="007933F7"/>
    <w:rsid w:val="00793626"/>
    <w:rsid w:val="00796E20"/>
    <w:rsid w:val="00797C32"/>
    <w:rsid w:val="007A11E8"/>
    <w:rsid w:val="007A3AED"/>
    <w:rsid w:val="007B0914"/>
    <w:rsid w:val="007B1374"/>
    <w:rsid w:val="007B32E5"/>
    <w:rsid w:val="007B3DB9"/>
    <w:rsid w:val="007B589F"/>
    <w:rsid w:val="007B6186"/>
    <w:rsid w:val="007B73BC"/>
    <w:rsid w:val="007C1838"/>
    <w:rsid w:val="007C20B9"/>
    <w:rsid w:val="007C3E22"/>
    <w:rsid w:val="007C598A"/>
    <w:rsid w:val="007C7301"/>
    <w:rsid w:val="007C7859"/>
    <w:rsid w:val="007C7F28"/>
    <w:rsid w:val="007D1466"/>
    <w:rsid w:val="007D2BDE"/>
    <w:rsid w:val="007D2FB6"/>
    <w:rsid w:val="007D49EB"/>
    <w:rsid w:val="007D5E1C"/>
    <w:rsid w:val="007D6308"/>
    <w:rsid w:val="007E0DE2"/>
    <w:rsid w:val="007E3B98"/>
    <w:rsid w:val="007E417A"/>
    <w:rsid w:val="007F1AAF"/>
    <w:rsid w:val="007F2592"/>
    <w:rsid w:val="007F31B6"/>
    <w:rsid w:val="007F546C"/>
    <w:rsid w:val="007F625F"/>
    <w:rsid w:val="007F665E"/>
    <w:rsid w:val="00800412"/>
    <w:rsid w:val="0080587B"/>
    <w:rsid w:val="00806468"/>
    <w:rsid w:val="0080733D"/>
    <w:rsid w:val="00811396"/>
    <w:rsid w:val="008119CA"/>
    <w:rsid w:val="00811BBF"/>
    <w:rsid w:val="008130C4"/>
    <w:rsid w:val="008155F0"/>
    <w:rsid w:val="00816735"/>
    <w:rsid w:val="00820141"/>
    <w:rsid w:val="00820E0C"/>
    <w:rsid w:val="00823275"/>
    <w:rsid w:val="0082366F"/>
    <w:rsid w:val="0082480F"/>
    <w:rsid w:val="00831A5A"/>
    <w:rsid w:val="008338A2"/>
    <w:rsid w:val="00841AA9"/>
    <w:rsid w:val="008474FE"/>
    <w:rsid w:val="0085232E"/>
    <w:rsid w:val="00853EE4"/>
    <w:rsid w:val="00855535"/>
    <w:rsid w:val="00857C5A"/>
    <w:rsid w:val="0086127C"/>
    <w:rsid w:val="008616A8"/>
    <w:rsid w:val="0086255E"/>
    <w:rsid w:val="008633F0"/>
    <w:rsid w:val="00863F67"/>
    <w:rsid w:val="008668E4"/>
    <w:rsid w:val="00867D9D"/>
    <w:rsid w:val="00872C54"/>
    <w:rsid w:val="00872E0A"/>
    <w:rsid w:val="00873594"/>
    <w:rsid w:val="00875285"/>
    <w:rsid w:val="00884B62"/>
    <w:rsid w:val="0088529C"/>
    <w:rsid w:val="00887903"/>
    <w:rsid w:val="008905FF"/>
    <w:rsid w:val="0089270A"/>
    <w:rsid w:val="00893AF6"/>
    <w:rsid w:val="00894BC4"/>
    <w:rsid w:val="008A07AC"/>
    <w:rsid w:val="008A0A5F"/>
    <w:rsid w:val="008A28A8"/>
    <w:rsid w:val="008A3868"/>
    <w:rsid w:val="008A5B32"/>
    <w:rsid w:val="008A5D60"/>
    <w:rsid w:val="008B00BF"/>
    <w:rsid w:val="008B2029"/>
    <w:rsid w:val="008B2EE4"/>
    <w:rsid w:val="008B3821"/>
    <w:rsid w:val="008B4D3D"/>
    <w:rsid w:val="008B57C7"/>
    <w:rsid w:val="008C2F92"/>
    <w:rsid w:val="008C4C92"/>
    <w:rsid w:val="008C589D"/>
    <w:rsid w:val="008C6804"/>
    <w:rsid w:val="008C6D51"/>
    <w:rsid w:val="008D2846"/>
    <w:rsid w:val="008D31C3"/>
    <w:rsid w:val="008D4236"/>
    <w:rsid w:val="008D462F"/>
    <w:rsid w:val="008D5C45"/>
    <w:rsid w:val="008D6DCF"/>
    <w:rsid w:val="008E4376"/>
    <w:rsid w:val="008E7A0A"/>
    <w:rsid w:val="008E7B49"/>
    <w:rsid w:val="008F59F6"/>
    <w:rsid w:val="00900719"/>
    <w:rsid w:val="00901461"/>
    <w:rsid w:val="009017AC"/>
    <w:rsid w:val="0090204D"/>
    <w:rsid w:val="00902A9A"/>
    <w:rsid w:val="00904A1C"/>
    <w:rsid w:val="00905030"/>
    <w:rsid w:val="00906490"/>
    <w:rsid w:val="009111B2"/>
    <w:rsid w:val="009151F5"/>
    <w:rsid w:val="00922EC4"/>
    <w:rsid w:val="00924AE1"/>
    <w:rsid w:val="009257ED"/>
    <w:rsid w:val="009269B1"/>
    <w:rsid w:val="0092724D"/>
    <w:rsid w:val="009272B3"/>
    <w:rsid w:val="00927CDF"/>
    <w:rsid w:val="009315BE"/>
    <w:rsid w:val="0093338F"/>
    <w:rsid w:val="00937BD9"/>
    <w:rsid w:val="00943C50"/>
    <w:rsid w:val="009469F7"/>
    <w:rsid w:val="00950E2C"/>
    <w:rsid w:val="00951D50"/>
    <w:rsid w:val="009525EB"/>
    <w:rsid w:val="0095470B"/>
    <w:rsid w:val="00954874"/>
    <w:rsid w:val="00954D01"/>
    <w:rsid w:val="0095615A"/>
    <w:rsid w:val="00961400"/>
    <w:rsid w:val="009616F2"/>
    <w:rsid w:val="00963646"/>
    <w:rsid w:val="0096632D"/>
    <w:rsid w:val="00967124"/>
    <w:rsid w:val="00967335"/>
    <w:rsid w:val="009718C7"/>
    <w:rsid w:val="0097559F"/>
    <w:rsid w:val="009761EA"/>
    <w:rsid w:val="0097761E"/>
    <w:rsid w:val="0098100B"/>
    <w:rsid w:val="00982454"/>
    <w:rsid w:val="00982CF0"/>
    <w:rsid w:val="009853E1"/>
    <w:rsid w:val="00986E6B"/>
    <w:rsid w:val="00990032"/>
    <w:rsid w:val="00990B19"/>
    <w:rsid w:val="0099153B"/>
    <w:rsid w:val="00991769"/>
    <w:rsid w:val="0099232C"/>
    <w:rsid w:val="00994386"/>
    <w:rsid w:val="00994791"/>
    <w:rsid w:val="009A0284"/>
    <w:rsid w:val="009A13D8"/>
    <w:rsid w:val="009A279E"/>
    <w:rsid w:val="009A3015"/>
    <w:rsid w:val="009A3490"/>
    <w:rsid w:val="009B0A6F"/>
    <w:rsid w:val="009B0A94"/>
    <w:rsid w:val="009B2AE8"/>
    <w:rsid w:val="009B5622"/>
    <w:rsid w:val="009B59E9"/>
    <w:rsid w:val="009B70AA"/>
    <w:rsid w:val="009C1A3D"/>
    <w:rsid w:val="009C1CB1"/>
    <w:rsid w:val="009C5E77"/>
    <w:rsid w:val="009C6394"/>
    <w:rsid w:val="009C7A7E"/>
    <w:rsid w:val="009D02E8"/>
    <w:rsid w:val="009D51D0"/>
    <w:rsid w:val="009D70A4"/>
    <w:rsid w:val="009D740D"/>
    <w:rsid w:val="009D7A52"/>
    <w:rsid w:val="009D7B14"/>
    <w:rsid w:val="009E08D1"/>
    <w:rsid w:val="009E177D"/>
    <w:rsid w:val="009E1B95"/>
    <w:rsid w:val="009E496F"/>
    <w:rsid w:val="009E4B0D"/>
    <w:rsid w:val="009E5250"/>
    <w:rsid w:val="009E56F2"/>
    <w:rsid w:val="009E7A69"/>
    <w:rsid w:val="009E7F92"/>
    <w:rsid w:val="009F02A3"/>
    <w:rsid w:val="009F2F27"/>
    <w:rsid w:val="009F34AA"/>
    <w:rsid w:val="009F5ABE"/>
    <w:rsid w:val="009F5BBA"/>
    <w:rsid w:val="009F6BCB"/>
    <w:rsid w:val="009F7B78"/>
    <w:rsid w:val="00A0057A"/>
    <w:rsid w:val="00A011A9"/>
    <w:rsid w:val="00A02FA1"/>
    <w:rsid w:val="00A0339E"/>
    <w:rsid w:val="00A04CCE"/>
    <w:rsid w:val="00A07421"/>
    <w:rsid w:val="00A0776B"/>
    <w:rsid w:val="00A10FB9"/>
    <w:rsid w:val="00A11421"/>
    <w:rsid w:val="00A11FD8"/>
    <w:rsid w:val="00A1389F"/>
    <w:rsid w:val="00A14996"/>
    <w:rsid w:val="00A157B1"/>
    <w:rsid w:val="00A22229"/>
    <w:rsid w:val="00A226F9"/>
    <w:rsid w:val="00A24442"/>
    <w:rsid w:val="00A252B9"/>
    <w:rsid w:val="00A32577"/>
    <w:rsid w:val="00A330BB"/>
    <w:rsid w:val="00A34ACD"/>
    <w:rsid w:val="00A34F3E"/>
    <w:rsid w:val="00A379E7"/>
    <w:rsid w:val="00A4173E"/>
    <w:rsid w:val="00A428A8"/>
    <w:rsid w:val="00A44882"/>
    <w:rsid w:val="00A45125"/>
    <w:rsid w:val="00A513A9"/>
    <w:rsid w:val="00A54715"/>
    <w:rsid w:val="00A56FDD"/>
    <w:rsid w:val="00A6061C"/>
    <w:rsid w:val="00A62D44"/>
    <w:rsid w:val="00A67263"/>
    <w:rsid w:val="00A7161C"/>
    <w:rsid w:val="00A75400"/>
    <w:rsid w:val="00A77AA3"/>
    <w:rsid w:val="00A8223C"/>
    <w:rsid w:val="00A8236D"/>
    <w:rsid w:val="00A854EB"/>
    <w:rsid w:val="00A872E5"/>
    <w:rsid w:val="00A904C0"/>
    <w:rsid w:val="00A90FA0"/>
    <w:rsid w:val="00A91406"/>
    <w:rsid w:val="00A96670"/>
    <w:rsid w:val="00A96E65"/>
    <w:rsid w:val="00A96ECE"/>
    <w:rsid w:val="00A9710C"/>
    <w:rsid w:val="00A97C72"/>
    <w:rsid w:val="00AA276C"/>
    <w:rsid w:val="00AA310B"/>
    <w:rsid w:val="00AA63D4"/>
    <w:rsid w:val="00AB06E8"/>
    <w:rsid w:val="00AB1A4F"/>
    <w:rsid w:val="00AB1CD3"/>
    <w:rsid w:val="00AB2F10"/>
    <w:rsid w:val="00AB352F"/>
    <w:rsid w:val="00AB786C"/>
    <w:rsid w:val="00AC0107"/>
    <w:rsid w:val="00AC133A"/>
    <w:rsid w:val="00AC21E9"/>
    <w:rsid w:val="00AC274B"/>
    <w:rsid w:val="00AC2A52"/>
    <w:rsid w:val="00AC4764"/>
    <w:rsid w:val="00AC6D36"/>
    <w:rsid w:val="00AD0AA5"/>
    <w:rsid w:val="00AD0CBA"/>
    <w:rsid w:val="00AD26E2"/>
    <w:rsid w:val="00AD2B03"/>
    <w:rsid w:val="00AD48F1"/>
    <w:rsid w:val="00AD784C"/>
    <w:rsid w:val="00AE126A"/>
    <w:rsid w:val="00AE1413"/>
    <w:rsid w:val="00AE1BAE"/>
    <w:rsid w:val="00AE3005"/>
    <w:rsid w:val="00AE3BD5"/>
    <w:rsid w:val="00AE59A0"/>
    <w:rsid w:val="00AE7145"/>
    <w:rsid w:val="00AF0C57"/>
    <w:rsid w:val="00AF26F3"/>
    <w:rsid w:val="00AF5560"/>
    <w:rsid w:val="00AF5F04"/>
    <w:rsid w:val="00AF6830"/>
    <w:rsid w:val="00B00672"/>
    <w:rsid w:val="00B01B4D"/>
    <w:rsid w:val="00B04489"/>
    <w:rsid w:val="00B06571"/>
    <w:rsid w:val="00B068BA"/>
    <w:rsid w:val="00B07217"/>
    <w:rsid w:val="00B10C5A"/>
    <w:rsid w:val="00B11FC2"/>
    <w:rsid w:val="00B13851"/>
    <w:rsid w:val="00B13B1C"/>
    <w:rsid w:val="00B14B5F"/>
    <w:rsid w:val="00B216B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5A7"/>
    <w:rsid w:val="00B57329"/>
    <w:rsid w:val="00B60CBA"/>
    <w:rsid w:val="00B60E61"/>
    <w:rsid w:val="00B61B51"/>
    <w:rsid w:val="00B62B50"/>
    <w:rsid w:val="00B62D2A"/>
    <w:rsid w:val="00B635B7"/>
    <w:rsid w:val="00B63AE8"/>
    <w:rsid w:val="00B64922"/>
    <w:rsid w:val="00B65950"/>
    <w:rsid w:val="00B66D83"/>
    <w:rsid w:val="00B672C0"/>
    <w:rsid w:val="00B676FD"/>
    <w:rsid w:val="00B678B6"/>
    <w:rsid w:val="00B706E8"/>
    <w:rsid w:val="00B75646"/>
    <w:rsid w:val="00B75F3D"/>
    <w:rsid w:val="00B7629E"/>
    <w:rsid w:val="00B90729"/>
    <w:rsid w:val="00B907DA"/>
    <w:rsid w:val="00B91FFE"/>
    <w:rsid w:val="00B9350E"/>
    <w:rsid w:val="00B950BC"/>
    <w:rsid w:val="00B95AB9"/>
    <w:rsid w:val="00B9714C"/>
    <w:rsid w:val="00BA0768"/>
    <w:rsid w:val="00BA29AD"/>
    <w:rsid w:val="00BA33CF"/>
    <w:rsid w:val="00BA3F8D"/>
    <w:rsid w:val="00BA77BA"/>
    <w:rsid w:val="00BB2041"/>
    <w:rsid w:val="00BB7A10"/>
    <w:rsid w:val="00BC60BE"/>
    <w:rsid w:val="00BC7468"/>
    <w:rsid w:val="00BC7D4F"/>
    <w:rsid w:val="00BC7ED7"/>
    <w:rsid w:val="00BD2850"/>
    <w:rsid w:val="00BD3469"/>
    <w:rsid w:val="00BD35B9"/>
    <w:rsid w:val="00BD6049"/>
    <w:rsid w:val="00BE18F7"/>
    <w:rsid w:val="00BE28D2"/>
    <w:rsid w:val="00BE4A64"/>
    <w:rsid w:val="00BE5E43"/>
    <w:rsid w:val="00BE6841"/>
    <w:rsid w:val="00BF0C69"/>
    <w:rsid w:val="00BF557D"/>
    <w:rsid w:val="00BF7F58"/>
    <w:rsid w:val="00C01381"/>
    <w:rsid w:val="00C01AB1"/>
    <w:rsid w:val="00C026A0"/>
    <w:rsid w:val="00C03EA4"/>
    <w:rsid w:val="00C04387"/>
    <w:rsid w:val="00C04F42"/>
    <w:rsid w:val="00C06137"/>
    <w:rsid w:val="00C06929"/>
    <w:rsid w:val="00C079B8"/>
    <w:rsid w:val="00C10037"/>
    <w:rsid w:val="00C123EA"/>
    <w:rsid w:val="00C12A49"/>
    <w:rsid w:val="00C133EE"/>
    <w:rsid w:val="00C149D0"/>
    <w:rsid w:val="00C231A0"/>
    <w:rsid w:val="00C26588"/>
    <w:rsid w:val="00C27DE9"/>
    <w:rsid w:val="00C3248A"/>
    <w:rsid w:val="00C32989"/>
    <w:rsid w:val="00C33388"/>
    <w:rsid w:val="00C35484"/>
    <w:rsid w:val="00C36049"/>
    <w:rsid w:val="00C37A1C"/>
    <w:rsid w:val="00C4173A"/>
    <w:rsid w:val="00C43071"/>
    <w:rsid w:val="00C45187"/>
    <w:rsid w:val="00C50DED"/>
    <w:rsid w:val="00C51962"/>
    <w:rsid w:val="00C52217"/>
    <w:rsid w:val="00C602FF"/>
    <w:rsid w:val="00C61174"/>
    <w:rsid w:val="00C6148F"/>
    <w:rsid w:val="00C621B1"/>
    <w:rsid w:val="00C62F7A"/>
    <w:rsid w:val="00C63152"/>
    <w:rsid w:val="00C6371D"/>
    <w:rsid w:val="00C63B9C"/>
    <w:rsid w:val="00C6682F"/>
    <w:rsid w:val="00C67BF4"/>
    <w:rsid w:val="00C7275E"/>
    <w:rsid w:val="00C74C5D"/>
    <w:rsid w:val="00C810C5"/>
    <w:rsid w:val="00C863C4"/>
    <w:rsid w:val="00C920EA"/>
    <w:rsid w:val="00C93C3E"/>
    <w:rsid w:val="00CA12E3"/>
    <w:rsid w:val="00CA1476"/>
    <w:rsid w:val="00CA27FD"/>
    <w:rsid w:val="00CA3583"/>
    <w:rsid w:val="00CA6611"/>
    <w:rsid w:val="00CA6AE6"/>
    <w:rsid w:val="00CA782F"/>
    <w:rsid w:val="00CA7A83"/>
    <w:rsid w:val="00CB187B"/>
    <w:rsid w:val="00CB19C1"/>
    <w:rsid w:val="00CB2835"/>
    <w:rsid w:val="00CB3285"/>
    <w:rsid w:val="00CB4500"/>
    <w:rsid w:val="00CC0C72"/>
    <w:rsid w:val="00CC2BFD"/>
    <w:rsid w:val="00CC3F65"/>
    <w:rsid w:val="00CC60E6"/>
    <w:rsid w:val="00CD1A9A"/>
    <w:rsid w:val="00CD3476"/>
    <w:rsid w:val="00CD64DF"/>
    <w:rsid w:val="00CE1A70"/>
    <w:rsid w:val="00CE225F"/>
    <w:rsid w:val="00CF2F50"/>
    <w:rsid w:val="00CF331C"/>
    <w:rsid w:val="00CF4148"/>
    <w:rsid w:val="00CF4801"/>
    <w:rsid w:val="00CF5120"/>
    <w:rsid w:val="00CF5DA8"/>
    <w:rsid w:val="00CF6198"/>
    <w:rsid w:val="00CF6FE5"/>
    <w:rsid w:val="00D011D8"/>
    <w:rsid w:val="00D02919"/>
    <w:rsid w:val="00D04C61"/>
    <w:rsid w:val="00D04F99"/>
    <w:rsid w:val="00D05B8D"/>
    <w:rsid w:val="00D05B9B"/>
    <w:rsid w:val="00D065A2"/>
    <w:rsid w:val="00D079AA"/>
    <w:rsid w:val="00D07F00"/>
    <w:rsid w:val="00D1130F"/>
    <w:rsid w:val="00D15D07"/>
    <w:rsid w:val="00D17B72"/>
    <w:rsid w:val="00D239B0"/>
    <w:rsid w:val="00D3185C"/>
    <w:rsid w:val="00D3205F"/>
    <w:rsid w:val="00D3318E"/>
    <w:rsid w:val="00D33E72"/>
    <w:rsid w:val="00D343FE"/>
    <w:rsid w:val="00D34A4E"/>
    <w:rsid w:val="00D35BD6"/>
    <w:rsid w:val="00D361B5"/>
    <w:rsid w:val="00D36296"/>
    <w:rsid w:val="00D372EB"/>
    <w:rsid w:val="00D402DB"/>
    <w:rsid w:val="00D411A2"/>
    <w:rsid w:val="00D44376"/>
    <w:rsid w:val="00D4606D"/>
    <w:rsid w:val="00D47838"/>
    <w:rsid w:val="00D50B9C"/>
    <w:rsid w:val="00D523EC"/>
    <w:rsid w:val="00D52D73"/>
    <w:rsid w:val="00D52E58"/>
    <w:rsid w:val="00D56B20"/>
    <w:rsid w:val="00D578B3"/>
    <w:rsid w:val="00D618F4"/>
    <w:rsid w:val="00D714CC"/>
    <w:rsid w:val="00D75801"/>
    <w:rsid w:val="00D75EA7"/>
    <w:rsid w:val="00D764DD"/>
    <w:rsid w:val="00D76686"/>
    <w:rsid w:val="00D81ADF"/>
    <w:rsid w:val="00D81F21"/>
    <w:rsid w:val="00D8423D"/>
    <w:rsid w:val="00D84658"/>
    <w:rsid w:val="00D864F2"/>
    <w:rsid w:val="00D876E2"/>
    <w:rsid w:val="00D91355"/>
    <w:rsid w:val="00D943F8"/>
    <w:rsid w:val="00D95470"/>
    <w:rsid w:val="00D96B55"/>
    <w:rsid w:val="00DA2619"/>
    <w:rsid w:val="00DA2E57"/>
    <w:rsid w:val="00DA4239"/>
    <w:rsid w:val="00DA4FEF"/>
    <w:rsid w:val="00DA5511"/>
    <w:rsid w:val="00DA65DE"/>
    <w:rsid w:val="00DA7BC8"/>
    <w:rsid w:val="00DB04E4"/>
    <w:rsid w:val="00DB0B61"/>
    <w:rsid w:val="00DB1474"/>
    <w:rsid w:val="00DB1DE9"/>
    <w:rsid w:val="00DB2962"/>
    <w:rsid w:val="00DB52FB"/>
    <w:rsid w:val="00DC013B"/>
    <w:rsid w:val="00DC06DF"/>
    <w:rsid w:val="00DC090B"/>
    <w:rsid w:val="00DC139A"/>
    <w:rsid w:val="00DC13A7"/>
    <w:rsid w:val="00DC1679"/>
    <w:rsid w:val="00DC1CDD"/>
    <w:rsid w:val="00DC219B"/>
    <w:rsid w:val="00DC2CF1"/>
    <w:rsid w:val="00DC3A7C"/>
    <w:rsid w:val="00DC4FCF"/>
    <w:rsid w:val="00DC50E0"/>
    <w:rsid w:val="00DC5EFC"/>
    <w:rsid w:val="00DC6386"/>
    <w:rsid w:val="00DD1130"/>
    <w:rsid w:val="00DD1951"/>
    <w:rsid w:val="00DD487D"/>
    <w:rsid w:val="00DD4E83"/>
    <w:rsid w:val="00DD6628"/>
    <w:rsid w:val="00DD6945"/>
    <w:rsid w:val="00DD74DC"/>
    <w:rsid w:val="00DD7FBE"/>
    <w:rsid w:val="00DE2D04"/>
    <w:rsid w:val="00DE30F5"/>
    <w:rsid w:val="00DE3250"/>
    <w:rsid w:val="00DE6028"/>
    <w:rsid w:val="00DE6C85"/>
    <w:rsid w:val="00DE78A3"/>
    <w:rsid w:val="00DF1A71"/>
    <w:rsid w:val="00DF3982"/>
    <w:rsid w:val="00DF50FC"/>
    <w:rsid w:val="00DF68C7"/>
    <w:rsid w:val="00DF731A"/>
    <w:rsid w:val="00E038DC"/>
    <w:rsid w:val="00E06B75"/>
    <w:rsid w:val="00E0706F"/>
    <w:rsid w:val="00E11332"/>
    <w:rsid w:val="00E11352"/>
    <w:rsid w:val="00E1203A"/>
    <w:rsid w:val="00E13B60"/>
    <w:rsid w:val="00E170DC"/>
    <w:rsid w:val="00E17546"/>
    <w:rsid w:val="00E210B5"/>
    <w:rsid w:val="00E242F6"/>
    <w:rsid w:val="00E261B3"/>
    <w:rsid w:val="00E26818"/>
    <w:rsid w:val="00E27FFC"/>
    <w:rsid w:val="00E30B15"/>
    <w:rsid w:val="00E33237"/>
    <w:rsid w:val="00E40181"/>
    <w:rsid w:val="00E4221D"/>
    <w:rsid w:val="00E42C42"/>
    <w:rsid w:val="00E53FCA"/>
    <w:rsid w:val="00E54950"/>
    <w:rsid w:val="00E55FB3"/>
    <w:rsid w:val="00E56A01"/>
    <w:rsid w:val="00E629A1"/>
    <w:rsid w:val="00E6794C"/>
    <w:rsid w:val="00E71591"/>
    <w:rsid w:val="00E71807"/>
    <w:rsid w:val="00E71CEB"/>
    <w:rsid w:val="00E7474F"/>
    <w:rsid w:val="00E77901"/>
    <w:rsid w:val="00E77A77"/>
    <w:rsid w:val="00E80DE3"/>
    <w:rsid w:val="00E82C55"/>
    <w:rsid w:val="00E847A7"/>
    <w:rsid w:val="00E8761A"/>
    <w:rsid w:val="00E8787E"/>
    <w:rsid w:val="00E9292A"/>
    <w:rsid w:val="00E92AC3"/>
    <w:rsid w:val="00E9501F"/>
    <w:rsid w:val="00EA2F6A"/>
    <w:rsid w:val="00EA5106"/>
    <w:rsid w:val="00EB00E0"/>
    <w:rsid w:val="00EB05D5"/>
    <w:rsid w:val="00EB1931"/>
    <w:rsid w:val="00EC059F"/>
    <w:rsid w:val="00EC1F24"/>
    <w:rsid w:val="00EC1FDE"/>
    <w:rsid w:val="00EC20FF"/>
    <w:rsid w:val="00EC22F6"/>
    <w:rsid w:val="00ED195F"/>
    <w:rsid w:val="00ED4DF7"/>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BC5"/>
    <w:rsid w:val="00F01E5F"/>
    <w:rsid w:val="00F024F3"/>
    <w:rsid w:val="00F029DC"/>
    <w:rsid w:val="00F02ABA"/>
    <w:rsid w:val="00F03701"/>
    <w:rsid w:val="00F0437A"/>
    <w:rsid w:val="00F051B3"/>
    <w:rsid w:val="00F101B8"/>
    <w:rsid w:val="00F102BC"/>
    <w:rsid w:val="00F10A8A"/>
    <w:rsid w:val="00F10C7D"/>
    <w:rsid w:val="00F11037"/>
    <w:rsid w:val="00F11296"/>
    <w:rsid w:val="00F13DC9"/>
    <w:rsid w:val="00F1549A"/>
    <w:rsid w:val="00F16F1B"/>
    <w:rsid w:val="00F250A9"/>
    <w:rsid w:val="00F267AF"/>
    <w:rsid w:val="00F26AFA"/>
    <w:rsid w:val="00F30FF4"/>
    <w:rsid w:val="00F3122E"/>
    <w:rsid w:val="00F32368"/>
    <w:rsid w:val="00F331AD"/>
    <w:rsid w:val="00F34D00"/>
    <w:rsid w:val="00F34DCE"/>
    <w:rsid w:val="00F35287"/>
    <w:rsid w:val="00F40A70"/>
    <w:rsid w:val="00F43A37"/>
    <w:rsid w:val="00F449D9"/>
    <w:rsid w:val="00F4641B"/>
    <w:rsid w:val="00F46EB8"/>
    <w:rsid w:val="00F476B8"/>
    <w:rsid w:val="00F50CD1"/>
    <w:rsid w:val="00F511E4"/>
    <w:rsid w:val="00F51642"/>
    <w:rsid w:val="00F52D09"/>
    <w:rsid w:val="00F52E08"/>
    <w:rsid w:val="00F53625"/>
    <w:rsid w:val="00F53A66"/>
    <w:rsid w:val="00F5462D"/>
    <w:rsid w:val="00F55B21"/>
    <w:rsid w:val="00F560D9"/>
    <w:rsid w:val="00F56EF6"/>
    <w:rsid w:val="00F570E2"/>
    <w:rsid w:val="00F60082"/>
    <w:rsid w:val="00F60C74"/>
    <w:rsid w:val="00F61A9F"/>
    <w:rsid w:val="00F61B5F"/>
    <w:rsid w:val="00F64696"/>
    <w:rsid w:val="00F65AA9"/>
    <w:rsid w:val="00F6768F"/>
    <w:rsid w:val="00F72115"/>
    <w:rsid w:val="00F72C2C"/>
    <w:rsid w:val="00F741F2"/>
    <w:rsid w:val="00F76CAB"/>
    <w:rsid w:val="00F772BD"/>
    <w:rsid w:val="00F772C6"/>
    <w:rsid w:val="00F813DD"/>
    <w:rsid w:val="00F813EA"/>
    <w:rsid w:val="00F815B5"/>
    <w:rsid w:val="00F85195"/>
    <w:rsid w:val="00F868E3"/>
    <w:rsid w:val="00F938BA"/>
    <w:rsid w:val="00F972B1"/>
    <w:rsid w:val="00F97919"/>
    <w:rsid w:val="00FA2C46"/>
    <w:rsid w:val="00FA3525"/>
    <w:rsid w:val="00FA5A53"/>
    <w:rsid w:val="00FB0E5A"/>
    <w:rsid w:val="00FB3501"/>
    <w:rsid w:val="00FB4769"/>
    <w:rsid w:val="00FB4CDA"/>
    <w:rsid w:val="00FB5B4E"/>
    <w:rsid w:val="00FB6481"/>
    <w:rsid w:val="00FB6D36"/>
    <w:rsid w:val="00FC0965"/>
    <w:rsid w:val="00FC0D2F"/>
    <w:rsid w:val="00FC0F81"/>
    <w:rsid w:val="00FC252F"/>
    <w:rsid w:val="00FC2580"/>
    <w:rsid w:val="00FC395C"/>
    <w:rsid w:val="00FC5E8E"/>
    <w:rsid w:val="00FD1096"/>
    <w:rsid w:val="00FD3766"/>
    <w:rsid w:val="00FD47C4"/>
    <w:rsid w:val="00FE0459"/>
    <w:rsid w:val="00FE2DCF"/>
    <w:rsid w:val="00FE3FA7"/>
    <w:rsid w:val="00FE5C88"/>
    <w:rsid w:val="00FE7E5B"/>
    <w:rsid w:val="00FF1C16"/>
    <w:rsid w:val="00FF26B1"/>
    <w:rsid w:val="00FF2A4E"/>
    <w:rsid w:val="00FF2FCE"/>
    <w:rsid w:val="00FF4F7D"/>
    <w:rsid w:val="00FF4FAE"/>
    <w:rsid w:val="00FF6D9D"/>
    <w:rsid w:val="00FF7DD5"/>
    <w:rsid w:val="1C67460B"/>
    <w:rsid w:val="424ED30A"/>
    <w:rsid w:val="533AD2BD"/>
    <w:rsid w:val="5AF333B0"/>
    <w:rsid w:val="67C222D8"/>
    <w:rsid w:val="6AE444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A62F925-BEC8-4ECB-A7F4-B57FE615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8">
    <w:name w:val="heading 8"/>
    <w:basedOn w:val="Normal"/>
    <w:next w:val="Normal"/>
    <w:link w:val="Heading8Char"/>
    <w:uiPriority w:val="9"/>
    <w:semiHidden/>
    <w:unhideWhenUsed/>
    <w:qFormat/>
    <w:rsid w:val="006E0EF5"/>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Purpletable">
    <w:name w:val="Purple table"/>
    <w:basedOn w:val="TableNormal"/>
    <w:next w:val="TableGrid"/>
    <w:uiPriority w:val="39"/>
    <w:rsid w:val="0048348D"/>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48348D"/>
    <w:rPr>
      <w:rFonts w:ascii="Arial" w:hAnsi="Arial"/>
      <w:sz w:val="21"/>
      <w:lang w:eastAsia="en-US"/>
    </w:rPr>
  </w:style>
  <w:style w:type="paragraph" w:customStyle="1" w:styleId="DHHStabletext">
    <w:name w:val="DHHS table text"/>
    <w:uiPriority w:val="3"/>
    <w:qFormat/>
    <w:rsid w:val="007F1AAF"/>
    <w:pPr>
      <w:spacing w:before="80" w:after="60"/>
    </w:pPr>
    <w:rPr>
      <w:rFonts w:ascii="Arial" w:hAnsi="Arial"/>
      <w:lang w:eastAsia="en-US"/>
    </w:rPr>
  </w:style>
  <w:style w:type="paragraph" w:customStyle="1" w:styleId="DHHStablebullet1">
    <w:name w:val="DHHS table bullet 1"/>
    <w:basedOn w:val="Normal"/>
    <w:uiPriority w:val="3"/>
    <w:qFormat/>
    <w:rsid w:val="00F772BD"/>
    <w:pPr>
      <w:spacing w:before="80" w:after="60" w:line="240" w:lineRule="auto"/>
      <w:ind w:left="227" w:hanging="227"/>
    </w:pPr>
    <w:rPr>
      <w:sz w:val="20"/>
    </w:rPr>
  </w:style>
  <w:style w:type="character" w:customStyle="1" w:styleId="Heading8Char">
    <w:name w:val="Heading 8 Char"/>
    <w:basedOn w:val="DefaultParagraphFont"/>
    <w:link w:val="Heading8"/>
    <w:uiPriority w:val="9"/>
    <w:semiHidden/>
    <w:rsid w:val="006E0EF5"/>
    <w:rPr>
      <w:rFonts w:asciiTheme="majorHAnsi" w:eastAsiaTheme="majorEastAsia" w:hAnsiTheme="majorHAnsi" w:cstheme="majorBidi"/>
      <w:color w:val="272727" w:themeColor="text1" w:themeTint="D8"/>
      <w:sz w:val="21"/>
      <w:szCs w:val="21"/>
      <w:lang w:eastAsia="en-US"/>
    </w:rPr>
  </w:style>
  <w:style w:type="paragraph" w:styleId="ListParagraph">
    <w:name w:val="List Paragraph"/>
    <w:basedOn w:val="Normal"/>
    <w:uiPriority w:val="34"/>
    <w:qFormat/>
    <w:rsid w:val="006E0EF5"/>
    <w:pPr>
      <w:ind w:left="720"/>
      <w:contextualSpacing/>
    </w:pPr>
  </w:style>
  <w:style w:type="character" w:customStyle="1" w:styleId="normaltextrun">
    <w:name w:val="normaltextrun"/>
    <w:basedOn w:val="DefaultParagraphFont"/>
    <w:rsid w:val="00E77A77"/>
  </w:style>
  <w:style w:type="paragraph" w:customStyle="1" w:styleId="Default">
    <w:name w:val="Default"/>
    <w:rsid w:val="00E77A77"/>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sr-terms-and-definitions" TargetMode="External"/><Relationship Id="rId26" Type="http://schemas.openxmlformats.org/officeDocument/2006/relationships/hyperlink" Target="mailto:enquiries@ssr.vic.gov.au" TargetMode="External"/><Relationship Id="rId3" Type="http://schemas.openxmlformats.org/officeDocument/2006/relationships/customXml" Target="../customXml/item3.xml"/><Relationship Id="rId21" Type="http://schemas.openxmlformats.org/officeDocument/2006/relationships/hyperlink" Target="https://providers.dffh.vic.gov.au/cims-guidance-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sr-reporting-notifiable-incident" TargetMode="External"/><Relationship Id="rId25" Type="http://schemas.openxmlformats.org/officeDocument/2006/relationships/hyperlink" Target="https://dhhschange.syd1.qualtrics.com/jfe/form/SV_erGLolVeBRFsQdw" TargetMode="External"/><Relationship Id="rId2" Type="http://schemas.openxmlformats.org/officeDocument/2006/relationships/customXml" Target="../customXml/item2.xml"/><Relationship Id="rId16" Type="http://schemas.openxmlformats.org/officeDocument/2006/relationships/hyperlink" Target="https://www.vic.gov.au/worker-and-carer-exclusion-scheme" TargetMode="External"/><Relationship Id="rId20" Type="http://schemas.openxmlformats.org/officeDocument/2006/relationships/hyperlink" Target="https://providers.dffh.vic.gov.au/ci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cim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dhhschange.syd1.qualtrics.com/jfe/form/SV_6lmYzG7K4DBP8H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c.gov.au/social-services-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hhschange.syd1.qualtrics.com/jfe/form/SV_erGLolVeBRFsQdw" TargetMode="External"/><Relationship Id="rId27" Type="http://schemas.openxmlformats.org/officeDocument/2006/relationships/hyperlink" Target="https://www.vic.gov.au/ssr-reporting-notifiable-incid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43</AccountId>
        <AccountType/>
      </UserInfo>
      <UserInfo>
        <DisplayName>Braden Hegedus (DFFH)</DisplayName>
        <AccountId>873</AccountId>
        <AccountType/>
      </UserInfo>
    </SharedWithUsers>
    <Comment xmlns="5dc74ea8-e552-4672-9e93-7e886a7af213" xsi:nil="true"/>
    <TaxCatchAll xmlns="5ce0f2b5-5be5-4508-bce9-d7011ece0659" xsi:nil="true"/>
    <Comments xmlns="5dc74ea8-e552-4672-9e93-7e886a7af213" xsi:nil="true"/>
    <MediaLengthInSeconds xmlns="5dc74ea8-e552-4672-9e93-7e886a7af213" xsi:nil="true"/>
    <Status xmlns="5dc74ea8-e552-4672-9e93-7e886a7af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c520fbed-e792-47a6-88e7-e35740b06176"/>
    <ds:schemaRef ds:uri="5ce0f2b5-5be5-4508-bce9-d7011ece0659"/>
    <ds:schemaRef ds:uri="http://purl.org/dc/elements/1.1/"/>
    <ds:schemaRef ds:uri="http://schemas.microsoft.com/office/2006/metadata/properties"/>
    <ds:schemaRef ds:uri="http://schemas.microsoft.com/office/infopath/2007/PartnerControls"/>
    <ds:schemaRef ds:uri="5dc74ea8-e552-4672-9e93-7e886a7af21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ABDA1A7-5EDB-47C7-9134-59F8E431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2794</Words>
  <Characters>17254</Characters>
  <Application>Microsoft Office Word</Application>
  <DocSecurity>0</DocSecurity>
  <Lines>143</Lines>
  <Paragraphs>40</Paragraphs>
  <ScaleCrop>false</ScaleCrop>
  <Manager/>
  <Company>Victoria State Government, Social Services Regulator</Company>
  <LinksUpToDate>false</LinksUpToDate>
  <CharactersWithSpaces>20008</CharactersWithSpaces>
  <SharedDoc>false</SharedDoc>
  <HyperlinkBase/>
  <HLinks>
    <vt:vector size="114" baseType="variant">
      <vt:variant>
        <vt:i4>917505</vt:i4>
      </vt:variant>
      <vt:variant>
        <vt:i4>84</vt:i4>
      </vt:variant>
      <vt:variant>
        <vt:i4>0</vt:i4>
      </vt:variant>
      <vt:variant>
        <vt:i4>5</vt:i4>
      </vt:variant>
      <vt:variant>
        <vt:lpwstr>https://www.vic.gov.au/ssr-reporting-notifiable-incident</vt:lpwstr>
      </vt:variant>
      <vt:variant>
        <vt:lpwstr/>
      </vt:variant>
      <vt:variant>
        <vt:i4>6357085</vt:i4>
      </vt:variant>
      <vt:variant>
        <vt:i4>81</vt:i4>
      </vt:variant>
      <vt:variant>
        <vt:i4>0</vt:i4>
      </vt:variant>
      <vt:variant>
        <vt:i4>5</vt:i4>
      </vt:variant>
      <vt:variant>
        <vt:lpwstr>mailto:enquiries@ssr.vic.gov.au</vt:lpwstr>
      </vt:variant>
      <vt:variant>
        <vt:lpwstr/>
      </vt:variant>
      <vt:variant>
        <vt:i4>2293779</vt:i4>
      </vt:variant>
      <vt:variant>
        <vt:i4>78</vt:i4>
      </vt:variant>
      <vt:variant>
        <vt:i4>0</vt:i4>
      </vt:variant>
      <vt:variant>
        <vt:i4>5</vt:i4>
      </vt:variant>
      <vt:variant>
        <vt:lpwstr>https://dhhschange.syd1.qualtrics.com/jfe/form/SV_erGLolVeBRFsQdw</vt:lpwstr>
      </vt:variant>
      <vt:variant>
        <vt:lpwstr/>
      </vt:variant>
      <vt:variant>
        <vt:i4>7536753</vt:i4>
      </vt:variant>
      <vt:variant>
        <vt:i4>75</vt:i4>
      </vt:variant>
      <vt:variant>
        <vt:i4>0</vt:i4>
      </vt:variant>
      <vt:variant>
        <vt:i4>5</vt:i4>
      </vt:variant>
      <vt:variant>
        <vt:lpwstr>https://providers.dffh.vic.gov.au/cims</vt:lpwstr>
      </vt:variant>
      <vt:variant>
        <vt:lpwstr/>
      </vt:variant>
      <vt:variant>
        <vt:i4>3407877</vt:i4>
      </vt:variant>
      <vt:variant>
        <vt:i4>72</vt:i4>
      </vt:variant>
      <vt:variant>
        <vt:i4>0</vt:i4>
      </vt:variant>
      <vt:variant>
        <vt:i4>5</vt:i4>
      </vt:variant>
      <vt:variant>
        <vt:lpwstr>https://dhhschange.syd1.qualtrics.com/jfe/form/SV_6lmYzG7K4DBP8H4</vt:lpwstr>
      </vt:variant>
      <vt:variant>
        <vt:lpwstr/>
      </vt:variant>
      <vt:variant>
        <vt:i4>2293779</vt:i4>
      </vt:variant>
      <vt:variant>
        <vt:i4>69</vt:i4>
      </vt:variant>
      <vt:variant>
        <vt:i4>0</vt:i4>
      </vt:variant>
      <vt:variant>
        <vt:i4>5</vt:i4>
      </vt:variant>
      <vt:variant>
        <vt:lpwstr>https://dhhschange.syd1.qualtrics.com/jfe/form/SV_erGLolVeBRFsQdw</vt:lpwstr>
      </vt:variant>
      <vt:variant>
        <vt:lpwstr/>
      </vt:variant>
      <vt:variant>
        <vt:i4>5177425</vt:i4>
      </vt:variant>
      <vt:variant>
        <vt:i4>66</vt:i4>
      </vt:variant>
      <vt:variant>
        <vt:i4>0</vt:i4>
      </vt:variant>
      <vt:variant>
        <vt:i4>5</vt:i4>
      </vt:variant>
      <vt:variant>
        <vt:lpwstr>https://providers.dffh.vic.gov.au/cims-guidance-resources</vt:lpwstr>
      </vt:variant>
      <vt:variant>
        <vt:lpwstr/>
      </vt:variant>
      <vt:variant>
        <vt:i4>7536753</vt:i4>
      </vt:variant>
      <vt:variant>
        <vt:i4>63</vt:i4>
      </vt:variant>
      <vt:variant>
        <vt:i4>0</vt:i4>
      </vt:variant>
      <vt:variant>
        <vt:i4>5</vt:i4>
      </vt:variant>
      <vt:variant>
        <vt:lpwstr>https://providers.dffh.vic.gov.au/cims</vt:lpwstr>
      </vt:variant>
      <vt:variant>
        <vt:lpwstr/>
      </vt:variant>
      <vt:variant>
        <vt:i4>5111888</vt:i4>
      </vt:variant>
      <vt:variant>
        <vt:i4>60</vt:i4>
      </vt:variant>
      <vt:variant>
        <vt:i4>0</vt:i4>
      </vt:variant>
      <vt:variant>
        <vt:i4>5</vt:i4>
      </vt:variant>
      <vt:variant>
        <vt:lpwstr>https://www.vic.gov.au/ssr-terms-and-definitions</vt:lpwstr>
      </vt:variant>
      <vt:variant>
        <vt:lpwstr/>
      </vt:variant>
      <vt:variant>
        <vt:i4>917505</vt:i4>
      </vt:variant>
      <vt:variant>
        <vt:i4>57</vt:i4>
      </vt:variant>
      <vt:variant>
        <vt:i4>0</vt:i4>
      </vt:variant>
      <vt:variant>
        <vt:i4>5</vt:i4>
      </vt:variant>
      <vt:variant>
        <vt:lpwstr>https://www.vic.gov.au/ssr-reporting-notifiable-incident</vt:lpwstr>
      </vt:variant>
      <vt:variant>
        <vt:lpwstr/>
      </vt:variant>
      <vt:variant>
        <vt:i4>5898264</vt:i4>
      </vt:variant>
      <vt:variant>
        <vt:i4>54</vt:i4>
      </vt:variant>
      <vt:variant>
        <vt:i4>0</vt:i4>
      </vt:variant>
      <vt:variant>
        <vt:i4>5</vt:i4>
      </vt:variant>
      <vt:variant>
        <vt:lpwstr>https://www.vic.gov.au/worker-and-carer-exclusion-scheme</vt:lpwstr>
      </vt:variant>
      <vt:variant>
        <vt:lpwstr/>
      </vt:variant>
      <vt:variant>
        <vt:i4>1179701</vt:i4>
      </vt:variant>
      <vt:variant>
        <vt:i4>47</vt:i4>
      </vt:variant>
      <vt:variant>
        <vt:i4>0</vt:i4>
      </vt:variant>
      <vt:variant>
        <vt:i4>5</vt:i4>
      </vt:variant>
      <vt:variant>
        <vt:lpwstr/>
      </vt:variant>
      <vt:variant>
        <vt:lpwstr>_Toc180055180</vt:lpwstr>
      </vt:variant>
      <vt:variant>
        <vt:i4>1900597</vt:i4>
      </vt:variant>
      <vt:variant>
        <vt:i4>41</vt:i4>
      </vt:variant>
      <vt:variant>
        <vt:i4>0</vt:i4>
      </vt:variant>
      <vt:variant>
        <vt:i4>5</vt:i4>
      </vt:variant>
      <vt:variant>
        <vt:lpwstr/>
      </vt:variant>
      <vt:variant>
        <vt:lpwstr>_Toc180055179</vt:lpwstr>
      </vt:variant>
      <vt:variant>
        <vt:i4>1900597</vt:i4>
      </vt:variant>
      <vt:variant>
        <vt:i4>35</vt:i4>
      </vt:variant>
      <vt:variant>
        <vt:i4>0</vt:i4>
      </vt:variant>
      <vt:variant>
        <vt:i4>5</vt:i4>
      </vt:variant>
      <vt:variant>
        <vt:lpwstr/>
      </vt:variant>
      <vt:variant>
        <vt:lpwstr>_Toc180055178</vt:lpwstr>
      </vt:variant>
      <vt:variant>
        <vt:i4>1900597</vt:i4>
      </vt:variant>
      <vt:variant>
        <vt:i4>29</vt:i4>
      </vt:variant>
      <vt:variant>
        <vt:i4>0</vt:i4>
      </vt:variant>
      <vt:variant>
        <vt:i4>5</vt:i4>
      </vt:variant>
      <vt:variant>
        <vt:lpwstr/>
      </vt:variant>
      <vt:variant>
        <vt:lpwstr>_Toc180055177</vt:lpwstr>
      </vt:variant>
      <vt:variant>
        <vt:i4>1900597</vt:i4>
      </vt:variant>
      <vt:variant>
        <vt:i4>23</vt:i4>
      </vt:variant>
      <vt:variant>
        <vt:i4>0</vt:i4>
      </vt:variant>
      <vt:variant>
        <vt:i4>5</vt:i4>
      </vt:variant>
      <vt:variant>
        <vt:lpwstr/>
      </vt:variant>
      <vt:variant>
        <vt:lpwstr>_Toc180055176</vt:lpwstr>
      </vt:variant>
      <vt:variant>
        <vt:i4>1900597</vt:i4>
      </vt:variant>
      <vt:variant>
        <vt:i4>17</vt:i4>
      </vt:variant>
      <vt:variant>
        <vt:i4>0</vt:i4>
      </vt:variant>
      <vt:variant>
        <vt:i4>5</vt:i4>
      </vt:variant>
      <vt:variant>
        <vt:lpwstr/>
      </vt:variant>
      <vt:variant>
        <vt:lpwstr>_Toc180055175</vt:lpwstr>
      </vt:variant>
      <vt:variant>
        <vt:i4>1900597</vt:i4>
      </vt:variant>
      <vt:variant>
        <vt:i4>11</vt:i4>
      </vt:variant>
      <vt:variant>
        <vt:i4>0</vt:i4>
      </vt:variant>
      <vt:variant>
        <vt:i4>5</vt:i4>
      </vt:variant>
      <vt:variant>
        <vt:lpwstr/>
      </vt:variant>
      <vt:variant>
        <vt:lpwstr>_Toc180055174</vt:lpwstr>
      </vt:variant>
      <vt:variant>
        <vt:i4>1900597</vt:i4>
      </vt:variant>
      <vt:variant>
        <vt:i4>5</vt:i4>
      </vt:variant>
      <vt:variant>
        <vt:i4>0</vt:i4>
      </vt:variant>
      <vt:variant>
        <vt:i4>5</vt:i4>
      </vt:variant>
      <vt:variant>
        <vt:lpwstr/>
      </vt:variant>
      <vt:variant>
        <vt:lpwstr>_Toc180055173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4</cp:revision>
  <cp:lastPrinted>2021-01-28T10:27:00Z</cp:lastPrinted>
  <dcterms:created xsi:type="dcterms:W3CDTF">2024-10-21T01:09:00Z</dcterms:created>
  <dcterms:modified xsi:type="dcterms:W3CDTF">2024-10-23T04:59:00Z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