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17805D18" w:rsidR="00AD784C" w:rsidRPr="0009050A" w:rsidRDefault="00E804D1" w:rsidP="0016037B">
            <w:pPr>
              <w:pStyle w:val="Documenttitle"/>
            </w:pPr>
            <w:r w:rsidRPr="00E804D1">
              <w:t>Support plans for NDIS participants</w:t>
            </w:r>
          </w:p>
        </w:tc>
      </w:tr>
      <w:tr w:rsidR="000B2117" w14:paraId="5DF317EC" w14:textId="77777777" w:rsidTr="009C1CB1">
        <w:trPr>
          <w:trHeight w:val="1247"/>
        </w:trPr>
        <w:tc>
          <w:tcPr>
            <w:tcW w:w="7825" w:type="dxa"/>
          </w:tcPr>
          <w:p w14:paraId="69C24C39" w14:textId="472CEB44" w:rsidR="000B2117" w:rsidRPr="0016037B" w:rsidRDefault="0043198C" w:rsidP="0016037B">
            <w:pPr>
              <w:pStyle w:val="Documentsubtitle"/>
            </w:pPr>
            <w:r w:rsidRPr="0043198C">
              <w:t>Guidance for supported residential services</w:t>
            </w:r>
          </w:p>
        </w:tc>
      </w:tr>
      <w:tr w:rsidR="00CF4148" w14:paraId="5F5E6105" w14:textId="77777777" w:rsidTr="00CF4148">
        <w:trPr>
          <w:trHeight w:val="284"/>
        </w:trPr>
        <w:tc>
          <w:tcPr>
            <w:tcW w:w="7825" w:type="dxa"/>
          </w:tcPr>
          <w:p w14:paraId="45D389E8" w14:textId="74334762" w:rsidR="00CF4148" w:rsidRPr="00250DC4" w:rsidRDefault="00FD4F47"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0CBF5D9A" w14:textId="153295C1" w:rsidR="00AD784C" w:rsidRPr="00B57329" w:rsidRDefault="00AD784C" w:rsidP="002365B4">
      <w:pPr>
        <w:pStyle w:val="TOCheadingfactsheet"/>
      </w:pPr>
      <w:r w:rsidRPr="00B57329">
        <w:t>Contents</w:t>
      </w:r>
    </w:p>
    <w:p w14:paraId="04746B35" w14:textId="7285164F" w:rsidR="0049794A"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69002841" w:history="1">
        <w:r w:rsidR="0049794A" w:rsidRPr="00340092">
          <w:rPr>
            <w:rStyle w:val="Hyperlink"/>
          </w:rPr>
          <w:t>Requirements for support plans</w:t>
        </w:r>
        <w:r w:rsidR="0049794A">
          <w:rPr>
            <w:webHidden/>
          </w:rPr>
          <w:tab/>
        </w:r>
        <w:r w:rsidR="0049794A">
          <w:rPr>
            <w:webHidden/>
          </w:rPr>
          <w:fldChar w:fldCharType="begin"/>
        </w:r>
        <w:r w:rsidR="0049794A">
          <w:rPr>
            <w:webHidden/>
          </w:rPr>
          <w:instrText xml:space="preserve"> PAGEREF _Toc169002841 \h </w:instrText>
        </w:r>
        <w:r w:rsidR="0049794A">
          <w:rPr>
            <w:webHidden/>
          </w:rPr>
        </w:r>
        <w:r w:rsidR="0049794A">
          <w:rPr>
            <w:webHidden/>
          </w:rPr>
          <w:fldChar w:fldCharType="separate"/>
        </w:r>
        <w:r w:rsidR="0049794A">
          <w:rPr>
            <w:webHidden/>
          </w:rPr>
          <w:t>1</w:t>
        </w:r>
        <w:r w:rsidR="0049794A">
          <w:rPr>
            <w:webHidden/>
          </w:rPr>
          <w:fldChar w:fldCharType="end"/>
        </w:r>
      </w:hyperlink>
    </w:p>
    <w:p w14:paraId="014174F9" w14:textId="3BEEBAD0" w:rsidR="0049794A" w:rsidRDefault="00FD4F47">
      <w:pPr>
        <w:pStyle w:val="TOC1"/>
        <w:rPr>
          <w:rFonts w:asciiTheme="minorHAnsi" w:eastAsiaTheme="minorEastAsia" w:hAnsiTheme="minorHAnsi" w:cstheme="minorBidi"/>
          <w:b w:val="0"/>
          <w:kern w:val="2"/>
          <w:sz w:val="24"/>
          <w:szCs w:val="24"/>
          <w:lang w:eastAsia="en-AU"/>
          <w14:ligatures w14:val="standardContextual"/>
        </w:rPr>
      </w:pPr>
      <w:hyperlink w:anchor="_Toc169002842" w:history="1">
        <w:r w:rsidR="0049794A" w:rsidRPr="00340092">
          <w:rPr>
            <w:rStyle w:val="Hyperlink"/>
          </w:rPr>
          <w:t>Ongoing support plans</w:t>
        </w:r>
        <w:r w:rsidR="0049794A">
          <w:rPr>
            <w:webHidden/>
          </w:rPr>
          <w:tab/>
        </w:r>
        <w:r w:rsidR="0049794A">
          <w:rPr>
            <w:webHidden/>
          </w:rPr>
          <w:fldChar w:fldCharType="begin"/>
        </w:r>
        <w:r w:rsidR="0049794A">
          <w:rPr>
            <w:webHidden/>
          </w:rPr>
          <w:instrText xml:space="preserve"> PAGEREF _Toc169002842 \h </w:instrText>
        </w:r>
        <w:r w:rsidR="0049794A">
          <w:rPr>
            <w:webHidden/>
          </w:rPr>
        </w:r>
        <w:r w:rsidR="0049794A">
          <w:rPr>
            <w:webHidden/>
          </w:rPr>
          <w:fldChar w:fldCharType="separate"/>
        </w:r>
        <w:r w:rsidR="0049794A">
          <w:rPr>
            <w:webHidden/>
          </w:rPr>
          <w:t>2</w:t>
        </w:r>
        <w:r w:rsidR="0049794A">
          <w:rPr>
            <w:webHidden/>
          </w:rPr>
          <w:fldChar w:fldCharType="end"/>
        </w:r>
      </w:hyperlink>
    </w:p>
    <w:p w14:paraId="47312815" w14:textId="4ED3DAAA" w:rsidR="0049794A" w:rsidRDefault="00FD4F47">
      <w:pPr>
        <w:pStyle w:val="TOC1"/>
        <w:rPr>
          <w:rFonts w:asciiTheme="minorHAnsi" w:eastAsiaTheme="minorEastAsia" w:hAnsiTheme="minorHAnsi" w:cstheme="minorBidi"/>
          <w:b w:val="0"/>
          <w:kern w:val="2"/>
          <w:sz w:val="24"/>
          <w:szCs w:val="24"/>
          <w:lang w:eastAsia="en-AU"/>
          <w14:ligatures w14:val="standardContextual"/>
        </w:rPr>
      </w:pPr>
      <w:hyperlink w:anchor="_Toc169002843" w:history="1">
        <w:r w:rsidR="0049794A" w:rsidRPr="00340092">
          <w:rPr>
            <w:rStyle w:val="Hyperlink"/>
          </w:rPr>
          <w:t>Compliance and enforcement</w:t>
        </w:r>
        <w:r w:rsidR="0049794A">
          <w:rPr>
            <w:webHidden/>
          </w:rPr>
          <w:tab/>
        </w:r>
        <w:r w:rsidR="0049794A">
          <w:rPr>
            <w:webHidden/>
          </w:rPr>
          <w:fldChar w:fldCharType="begin"/>
        </w:r>
        <w:r w:rsidR="0049794A">
          <w:rPr>
            <w:webHidden/>
          </w:rPr>
          <w:instrText xml:space="preserve"> PAGEREF _Toc169002843 \h </w:instrText>
        </w:r>
        <w:r w:rsidR="0049794A">
          <w:rPr>
            <w:webHidden/>
          </w:rPr>
        </w:r>
        <w:r w:rsidR="0049794A">
          <w:rPr>
            <w:webHidden/>
          </w:rPr>
          <w:fldChar w:fldCharType="separate"/>
        </w:r>
        <w:r w:rsidR="0049794A">
          <w:rPr>
            <w:webHidden/>
          </w:rPr>
          <w:t>2</w:t>
        </w:r>
        <w:r w:rsidR="0049794A">
          <w:rPr>
            <w:webHidden/>
          </w:rPr>
          <w:fldChar w:fldCharType="end"/>
        </w:r>
      </w:hyperlink>
    </w:p>
    <w:p w14:paraId="623B2D43" w14:textId="43DB8D3D"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A9710C">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3FD43261" w14:textId="17358E4A" w:rsidR="00F32368" w:rsidRPr="00694DB4" w:rsidRDefault="009C269D" w:rsidP="00635330">
      <w:pPr>
        <w:pStyle w:val="Body"/>
        <w:rPr>
          <w:color w:val="001132"/>
          <w:sz w:val="24"/>
          <w:szCs w:val="24"/>
        </w:rPr>
      </w:pPr>
      <w:bookmarkStart w:id="0" w:name="_Toc74929898"/>
      <w:bookmarkStart w:id="1" w:name="_Hlk41913885"/>
      <w:r w:rsidRPr="00694DB4">
        <w:rPr>
          <w:color w:val="001132"/>
          <w:sz w:val="24"/>
          <w:szCs w:val="24"/>
        </w:rPr>
        <w:t>Proprietors of supported residential services (SRS) must include information about the services to be provided to assist residents with their health and personal support needs in the resident’s support plan. This guidance sets out compliance expectations for SRS proprietors in relation to the support plans of residents who access services from other providers, including National Disability Insurance Scheme (NDIS) funded services.</w:t>
      </w:r>
      <w:bookmarkEnd w:id="0"/>
    </w:p>
    <w:p w14:paraId="00BE757F" w14:textId="30FCB53B" w:rsidR="004642D4" w:rsidRDefault="004642D4" w:rsidP="004642D4">
      <w:pPr>
        <w:pStyle w:val="Heading1"/>
      </w:pPr>
      <w:bookmarkStart w:id="2" w:name="_Toc168660940"/>
      <w:bookmarkEnd w:id="1"/>
      <w:r>
        <w:t xml:space="preserve">Requirements for support plans </w:t>
      </w:r>
    </w:p>
    <w:p w14:paraId="4FC1A237" w14:textId="4CD89CC4" w:rsidR="0049794A" w:rsidRDefault="0049794A" w:rsidP="00635330">
      <w:pPr>
        <w:pStyle w:val="Body"/>
      </w:pPr>
      <w:r>
        <w:t xml:space="preserve">Under the </w:t>
      </w:r>
      <w:r w:rsidR="00114664" w:rsidRPr="00127262">
        <w:rPr>
          <w:i/>
          <w:iCs/>
        </w:rPr>
        <w:t>Social Services Regulation Act 2021</w:t>
      </w:r>
      <w:r w:rsidR="00114664" w:rsidRPr="00127262">
        <w:t xml:space="preserve">, the </w:t>
      </w:r>
      <w:r w:rsidR="00114664" w:rsidRPr="00127262">
        <w:rPr>
          <w:i/>
          <w:iCs/>
        </w:rPr>
        <w:t>Social Services Regulations 2023</w:t>
      </w:r>
      <w:r w:rsidR="00114664" w:rsidRPr="00127262">
        <w:t xml:space="preserve"> and the </w:t>
      </w:r>
      <w:r w:rsidR="00114664" w:rsidRPr="00127262">
        <w:rPr>
          <w:i/>
          <w:iCs/>
        </w:rPr>
        <w:t>Social Services (Supported Residential Services) Regulations 2024</w:t>
      </w:r>
      <w:r w:rsidR="00114664" w:rsidRPr="00127262">
        <w:t>,</w:t>
      </w:r>
      <w:r w:rsidR="00114664" w:rsidRPr="00AC267B">
        <w:t xml:space="preserve"> </w:t>
      </w:r>
      <w:r>
        <w:t>there are several key requirements relating to support plans that proprietors must comply with. These are set out in the table below.</w:t>
      </w:r>
    </w:p>
    <w:p w14:paraId="52790AFF" w14:textId="77777777" w:rsidR="0049794A" w:rsidRDefault="0049794A" w:rsidP="00635330">
      <w:pPr>
        <w:pStyle w:val="Body"/>
      </w:pPr>
      <w:r>
        <w:t xml:space="preserve"> Requirements relating to support plans</w:t>
      </w:r>
    </w:p>
    <w:tbl>
      <w:tblPr>
        <w:tblStyle w:val="TableGrid"/>
        <w:tblW w:w="10201" w:type="dxa"/>
        <w:tblLook w:val="06A0" w:firstRow="1" w:lastRow="0" w:firstColumn="1" w:lastColumn="0" w:noHBand="1" w:noVBand="1"/>
      </w:tblPr>
      <w:tblGrid>
        <w:gridCol w:w="2405"/>
        <w:gridCol w:w="7796"/>
      </w:tblGrid>
      <w:tr w:rsidR="0049794A" w14:paraId="6BB548D4" w14:textId="77777777" w:rsidTr="00930D96">
        <w:trPr>
          <w:tblHeader/>
        </w:trPr>
        <w:tc>
          <w:tcPr>
            <w:tcW w:w="2405" w:type="dxa"/>
          </w:tcPr>
          <w:p w14:paraId="08A7AB83" w14:textId="77777777" w:rsidR="0049794A" w:rsidRDefault="0049794A" w:rsidP="00930D96">
            <w:pPr>
              <w:pStyle w:val="Tablecolhead"/>
            </w:pPr>
            <w:r>
              <w:t>Provision</w:t>
            </w:r>
          </w:p>
        </w:tc>
        <w:tc>
          <w:tcPr>
            <w:tcW w:w="7796" w:type="dxa"/>
          </w:tcPr>
          <w:p w14:paraId="236B7006" w14:textId="77777777" w:rsidR="0049794A" w:rsidRDefault="0049794A" w:rsidP="00930D96">
            <w:pPr>
              <w:pStyle w:val="Tablecolhead"/>
            </w:pPr>
            <w:r>
              <w:t>Requirement</w:t>
            </w:r>
          </w:p>
        </w:tc>
      </w:tr>
      <w:tr w:rsidR="0049794A" w14:paraId="6E5531AF" w14:textId="77777777" w:rsidTr="00930D96">
        <w:tc>
          <w:tcPr>
            <w:tcW w:w="2405" w:type="dxa"/>
          </w:tcPr>
          <w:p w14:paraId="24B7E521" w14:textId="21A45447" w:rsidR="0049794A" w:rsidRPr="00127262" w:rsidRDefault="0011299A" w:rsidP="00930D96">
            <w:pPr>
              <w:pStyle w:val="Tabletext"/>
            </w:pPr>
            <w:r w:rsidRPr="00127262">
              <w:t>Regulation</w:t>
            </w:r>
            <w:r w:rsidR="007A3965" w:rsidRPr="00127262">
              <w:t>s</w:t>
            </w:r>
            <w:r w:rsidRPr="00127262">
              <w:t xml:space="preserve"> 9</w:t>
            </w:r>
            <w:r w:rsidR="007A3965" w:rsidRPr="00127262">
              <w:t xml:space="preserve"> </w:t>
            </w:r>
            <w:r w:rsidR="003733C8">
              <w:t>and</w:t>
            </w:r>
            <w:r w:rsidR="007A3965" w:rsidRPr="00127262">
              <w:t xml:space="preserve"> 10</w:t>
            </w:r>
            <w:r w:rsidRPr="00127262">
              <w:t xml:space="preserve"> of the </w:t>
            </w:r>
            <w:r w:rsidR="00F52933" w:rsidRPr="00127262">
              <w:t xml:space="preserve">Social Services </w:t>
            </w:r>
            <w:r w:rsidR="00F52933" w:rsidRPr="00127262">
              <w:rPr>
                <w:i/>
                <w:iCs/>
              </w:rPr>
              <w:t>(Supported Residential Services) Regulations 2024</w:t>
            </w:r>
          </w:p>
        </w:tc>
        <w:tc>
          <w:tcPr>
            <w:tcW w:w="7796" w:type="dxa"/>
          </w:tcPr>
          <w:p w14:paraId="3DDDDD0F" w14:textId="77777777" w:rsidR="0049794A" w:rsidRDefault="0049794A" w:rsidP="003E3C3C">
            <w:pPr>
              <w:pStyle w:val="Bullet1"/>
              <w:numPr>
                <w:ilvl w:val="0"/>
                <w:numId w:val="0"/>
              </w:numPr>
            </w:pPr>
            <w:r>
              <w:t xml:space="preserve">The proprietor must ensure that an interim support plan is prepared </w:t>
            </w:r>
            <w:r w:rsidRPr="00667DE1">
              <w:rPr>
                <w:b/>
                <w:bCs/>
              </w:rPr>
              <w:t>within 48 hours</w:t>
            </w:r>
            <w:r>
              <w:t xml:space="preserve"> of a person becoming a resident of the SRS.</w:t>
            </w:r>
          </w:p>
          <w:p w14:paraId="03765987" w14:textId="77777777" w:rsidR="0049794A" w:rsidRDefault="0049794A" w:rsidP="003E3C3C">
            <w:pPr>
              <w:pStyle w:val="Bullet1"/>
              <w:numPr>
                <w:ilvl w:val="0"/>
                <w:numId w:val="0"/>
              </w:numPr>
            </w:pPr>
            <w:r>
              <w:t>The proprietor must ensure that a resident’s interim support plan is carried out in accordance with the plan as prepared.</w:t>
            </w:r>
          </w:p>
        </w:tc>
      </w:tr>
      <w:tr w:rsidR="0049794A" w14:paraId="5BD3EB58" w14:textId="77777777" w:rsidTr="00930D96">
        <w:tc>
          <w:tcPr>
            <w:tcW w:w="2405" w:type="dxa"/>
          </w:tcPr>
          <w:p w14:paraId="5D644F52" w14:textId="17ED97B6" w:rsidR="0049794A" w:rsidRPr="00127262" w:rsidRDefault="005D1AB1" w:rsidP="00930D96">
            <w:pPr>
              <w:pStyle w:val="Tabletext"/>
            </w:pPr>
            <w:r w:rsidRPr="00127262">
              <w:t xml:space="preserve">Regulations 12, 13 </w:t>
            </w:r>
            <w:r w:rsidR="003733C8">
              <w:t>and</w:t>
            </w:r>
            <w:r w:rsidRPr="00127262">
              <w:t xml:space="preserve"> 14</w:t>
            </w:r>
            <w:r w:rsidR="005B32C7" w:rsidRPr="00127262">
              <w:t xml:space="preserve"> of the</w:t>
            </w:r>
            <w:r w:rsidR="005B32C7" w:rsidRPr="00127262">
              <w:rPr>
                <w:i/>
                <w:iCs/>
              </w:rPr>
              <w:t xml:space="preserve"> Social Services (Supported Residential Services) Regulations 2024</w:t>
            </w:r>
          </w:p>
        </w:tc>
        <w:tc>
          <w:tcPr>
            <w:tcW w:w="7796" w:type="dxa"/>
          </w:tcPr>
          <w:p w14:paraId="6C43E4F0" w14:textId="77777777" w:rsidR="0049794A" w:rsidRDefault="0049794A" w:rsidP="003E3C3C">
            <w:pPr>
              <w:pStyle w:val="Bullet1"/>
              <w:numPr>
                <w:ilvl w:val="0"/>
                <w:numId w:val="0"/>
              </w:numPr>
            </w:pPr>
            <w:r>
              <w:t xml:space="preserve">The proprietor must ensure that a resident’s interim support plan is reviewed and expanded into an ongoing support plan </w:t>
            </w:r>
            <w:r w:rsidRPr="00667DE1">
              <w:rPr>
                <w:b/>
                <w:bCs/>
              </w:rPr>
              <w:t>within 28 days</w:t>
            </w:r>
            <w:r>
              <w:t xml:space="preserve"> of the person becoming a resident of the SRS.</w:t>
            </w:r>
          </w:p>
          <w:p w14:paraId="03B2B777" w14:textId="77777777" w:rsidR="0049794A" w:rsidRDefault="0049794A" w:rsidP="003E3C3C">
            <w:pPr>
              <w:pStyle w:val="Bullet1"/>
              <w:numPr>
                <w:ilvl w:val="0"/>
                <w:numId w:val="0"/>
              </w:numPr>
            </w:pPr>
            <w:r>
              <w:t xml:space="preserve">The proprietor must ensure that the ongoing support plan is reviewed and updated at least once </w:t>
            </w:r>
            <w:r w:rsidRPr="00667DE1">
              <w:rPr>
                <w:b/>
                <w:bCs/>
              </w:rPr>
              <w:t>every 6 months</w:t>
            </w:r>
            <w:r w:rsidRPr="00910918">
              <w:t>.</w:t>
            </w:r>
          </w:p>
          <w:p w14:paraId="7A34EF79" w14:textId="77777777" w:rsidR="0049794A" w:rsidRDefault="0049794A" w:rsidP="003E3C3C">
            <w:pPr>
              <w:pStyle w:val="Bullet1"/>
              <w:numPr>
                <w:ilvl w:val="0"/>
                <w:numId w:val="0"/>
              </w:numPr>
            </w:pPr>
            <w:r>
              <w:t>The proprietor must ensure that a resident’s ongoing support plan is carried out in accordance with that plan as prepared.</w:t>
            </w:r>
          </w:p>
        </w:tc>
      </w:tr>
      <w:tr w:rsidR="0049794A" w14:paraId="0D5A7E94" w14:textId="77777777" w:rsidTr="00930D96">
        <w:tc>
          <w:tcPr>
            <w:tcW w:w="2405" w:type="dxa"/>
          </w:tcPr>
          <w:p w14:paraId="6BF86881" w14:textId="73518AEF" w:rsidR="0049794A" w:rsidRPr="005442E7" w:rsidRDefault="004D659B" w:rsidP="00930D96">
            <w:pPr>
              <w:pStyle w:val="Tabletext"/>
            </w:pPr>
            <w:r w:rsidRPr="005442E7">
              <w:t xml:space="preserve">Regulation 8 of Schedule 1 of the </w:t>
            </w:r>
            <w:r w:rsidRPr="005442E7">
              <w:rPr>
                <w:i/>
                <w:iCs/>
              </w:rPr>
              <w:t>Social Services Regulations 2023</w:t>
            </w:r>
          </w:p>
        </w:tc>
        <w:tc>
          <w:tcPr>
            <w:tcW w:w="7796" w:type="dxa"/>
          </w:tcPr>
          <w:p w14:paraId="059702FE" w14:textId="0377EAA1" w:rsidR="0049794A" w:rsidRPr="005442E7" w:rsidRDefault="00783EFE" w:rsidP="003E3C3C">
            <w:pPr>
              <w:pStyle w:val="Bullet1"/>
              <w:numPr>
                <w:ilvl w:val="0"/>
                <w:numId w:val="0"/>
              </w:numPr>
            </w:pPr>
            <w:r w:rsidRPr="005442E7">
              <w:t>The p</w:t>
            </w:r>
            <w:r w:rsidR="0049794A" w:rsidRPr="005442E7">
              <w:t>roprietor must</w:t>
            </w:r>
            <w:r w:rsidR="007E5FC7" w:rsidRPr="005442E7">
              <w:t xml:space="preserve"> have regard to</w:t>
            </w:r>
            <w:r w:rsidR="003A3C14" w:rsidRPr="005442E7">
              <w:t xml:space="preserve"> the resident’s preferences when planning and coordinating the provision of social services for the </w:t>
            </w:r>
            <w:r w:rsidR="00E629A8" w:rsidRPr="005442E7">
              <w:t>resident</w:t>
            </w:r>
            <w:r w:rsidR="003A3C14" w:rsidRPr="005442E7">
              <w:t>.</w:t>
            </w:r>
            <w:r w:rsidR="0049794A" w:rsidRPr="005442E7">
              <w:t xml:space="preserve"> </w:t>
            </w:r>
          </w:p>
        </w:tc>
      </w:tr>
      <w:tr w:rsidR="005E1440" w14:paraId="11E3B665" w14:textId="77777777" w:rsidTr="00930D96">
        <w:tc>
          <w:tcPr>
            <w:tcW w:w="2405" w:type="dxa"/>
          </w:tcPr>
          <w:p w14:paraId="3102EA17" w14:textId="7B0EA29A" w:rsidR="005E1440" w:rsidRPr="004D659B" w:rsidRDefault="009342AE" w:rsidP="00930D96">
            <w:pPr>
              <w:pStyle w:val="Tabletext"/>
              <w:rPr>
                <w:highlight w:val="yellow"/>
              </w:rPr>
            </w:pPr>
            <w:r w:rsidRPr="005442E7">
              <w:t>Regulations 9</w:t>
            </w:r>
            <w:r w:rsidR="00545FA8" w:rsidRPr="005442E7">
              <w:t xml:space="preserve"> </w:t>
            </w:r>
            <w:r w:rsidR="003733C8">
              <w:t>and</w:t>
            </w:r>
            <w:r w:rsidRPr="005442E7">
              <w:t xml:space="preserve"> 12 of the Social Services </w:t>
            </w:r>
            <w:r w:rsidRPr="005442E7">
              <w:rPr>
                <w:i/>
                <w:iCs/>
              </w:rPr>
              <w:lastRenderedPageBreak/>
              <w:t>(Supported Residential Services) Regulations 2024</w:t>
            </w:r>
          </w:p>
        </w:tc>
        <w:tc>
          <w:tcPr>
            <w:tcW w:w="7796" w:type="dxa"/>
          </w:tcPr>
          <w:p w14:paraId="57DB449A" w14:textId="416CB266" w:rsidR="005E1440" w:rsidRPr="002B3A86" w:rsidRDefault="00760175" w:rsidP="003E3C3C">
            <w:pPr>
              <w:pStyle w:val="Bullet1"/>
              <w:numPr>
                <w:ilvl w:val="0"/>
                <w:numId w:val="0"/>
              </w:numPr>
              <w:rPr>
                <w:highlight w:val="yellow"/>
              </w:rPr>
            </w:pPr>
            <w:r w:rsidRPr="005442E7">
              <w:lastRenderedPageBreak/>
              <w:t>The proprietor must ensure that resident</w:t>
            </w:r>
            <w:r w:rsidR="00A93E03">
              <w:t>’</w:t>
            </w:r>
            <w:r w:rsidRPr="005442E7">
              <w:t xml:space="preserve">s support plan set out </w:t>
            </w:r>
            <w:r w:rsidR="00545FA8" w:rsidRPr="005442E7">
              <w:t xml:space="preserve">the health and personal support needs of the resident, and the services to be provided to the </w:t>
            </w:r>
            <w:r w:rsidR="00545FA8" w:rsidRPr="005442E7">
              <w:lastRenderedPageBreak/>
              <w:t>resident under the residential and services agreement to assist with those needs</w:t>
            </w:r>
            <w:r w:rsidR="00A35DF1" w:rsidRPr="005442E7">
              <w:t>.</w:t>
            </w:r>
            <w:r w:rsidR="003A7066">
              <w:t xml:space="preserve"> (including those not provided by the SRS proprietor)</w:t>
            </w:r>
          </w:p>
        </w:tc>
      </w:tr>
    </w:tbl>
    <w:p w14:paraId="63B69EFF" w14:textId="77777777" w:rsidR="0049794A" w:rsidRDefault="0049794A" w:rsidP="0049794A">
      <w:pPr>
        <w:pStyle w:val="Body"/>
        <w:spacing w:before="240"/>
      </w:pPr>
      <w:r>
        <w:lastRenderedPageBreak/>
        <w:t xml:space="preserve">Importantly, the proprietor must consult the resident, person nominated (if any) and the resident’s health service providers when developing or changing the support plan. The proprietor must also ensure the support plan is made available to the resident, person nominated (if any) and the resident’s health service providers when requested. </w:t>
      </w:r>
    </w:p>
    <w:p w14:paraId="6FFE956B" w14:textId="77777777" w:rsidR="0049794A" w:rsidRDefault="0049794A" w:rsidP="0049794A">
      <w:pPr>
        <w:pStyle w:val="Heading1"/>
      </w:pPr>
      <w:bookmarkStart w:id="3" w:name="_Toc169002842"/>
      <w:r>
        <w:t>Ongoing support plans</w:t>
      </w:r>
      <w:bookmarkEnd w:id="3"/>
    </w:p>
    <w:p w14:paraId="14B72295" w14:textId="77777777" w:rsidR="0049794A" w:rsidRPr="00391517" w:rsidRDefault="0049794A" w:rsidP="0049794A">
      <w:pPr>
        <w:pStyle w:val="Body"/>
      </w:pPr>
      <w:r w:rsidRPr="00391517">
        <w:t xml:space="preserve">While the interim support plan addresses a resident’s immediate support needs, the ongoing support plan considers a resident’s longer-term support needs in a more holistic way. </w:t>
      </w:r>
    </w:p>
    <w:p w14:paraId="50B67995" w14:textId="2AD2A07C" w:rsidR="0049794A" w:rsidRPr="00391517" w:rsidRDefault="0049794A" w:rsidP="0049794A">
      <w:pPr>
        <w:pStyle w:val="Body"/>
      </w:pPr>
      <w:r w:rsidRPr="00391517">
        <w:t xml:space="preserve">Residents have the right to make decisions about what services they wish to receive and who provides them. Proprietors must ensure that information about a resident’s preferred health care provider is captured in the resident’s ongoing support plan. For more information, refer </w:t>
      </w:r>
      <w:r w:rsidR="000475D1" w:rsidRPr="00391517">
        <w:t>to</w:t>
      </w:r>
      <w:r w:rsidR="000475D1">
        <w:t xml:space="preserve"> </w:t>
      </w:r>
      <w:r w:rsidR="00393CF0">
        <w:t xml:space="preserve">guidance </w:t>
      </w:r>
      <w:r w:rsidR="009E2751">
        <w:t>on</w:t>
      </w:r>
      <w:r w:rsidR="00393CF0">
        <w:t xml:space="preserve"> </w:t>
      </w:r>
      <w:r w:rsidR="000475D1">
        <w:t>‘</w:t>
      </w:r>
      <w:r w:rsidR="000475D1" w:rsidRPr="000475D1">
        <w:t>Choice</w:t>
      </w:r>
      <w:r w:rsidRPr="000475D1">
        <w:t xml:space="preserve"> and access to NDIS providers</w:t>
      </w:r>
      <w:r w:rsidR="000475D1">
        <w:t>’</w:t>
      </w:r>
      <w:r w:rsidR="00754B52">
        <w:t xml:space="preserve">. </w:t>
      </w:r>
    </w:p>
    <w:p w14:paraId="03631F9A" w14:textId="77777777" w:rsidR="0049794A" w:rsidRPr="00391517" w:rsidRDefault="0049794A" w:rsidP="0049794A">
      <w:pPr>
        <w:pStyle w:val="Body"/>
      </w:pPr>
      <w:r w:rsidRPr="00391517">
        <w:t xml:space="preserve">An ongoing support plan must include details about all services to be provided to the resident to assist with their health and personal support needs. This includes services delivered by the SRS and those delivered by external service providers, such as NDIS funded services. </w:t>
      </w:r>
    </w:p>
    <w:p w14:paraId="0CBFFB97" w14:textId="3BC958DC" w:rsidR="0049794A" w:rsidRPr="00391517" w:rsidRDefault="0049794A" w:rsidP="0049794A">
      <w:pPr>
        <w:pStyle w:val="Body"/>
      </w:pPr>
      <w:r>
        <w:t>The support plan of a resident who is also a NDIS participant</w:t>
      </w:r>
      <w:r w:rsidRPr="00391517">
        <w:t xml:space="preserve"> should include </w:t>
      </w:r>
      <w:r>
        <w:t xml:space="preserve">details such as the </w:t>
      </w:r>
      <w:r w:rsidRPr="00391517">
        <w:t xml:space="preserve">type, frequency and timing of the NDIS funded services provided. </w:t>
      </w:r>
      <w:r>
        <w:t>It may be helpful</w:t>
      </w:r>
      <w:r w:rsidRPr="00391517">
        <w:t xml:space="preserve"> to include a copy of the NDIS Services Agreement as an attachment to the ongoing support plan. </w:t>
      </w:r>
      <w:r>
        <w:t xml:space="preserve">The support plan should also document any other services provided to the resident by a provider external to the SRS. </w:t>
      </w:r>
    </w:p>
    <w:p w14:paraId="386C9152" w14:textId="6F413911" w:rsidR="0049794A" w:rsidRPr="00391517" w:rsidRDefault="0049794A" w:rsidP="0049794A">
      <w:pPr>
        <w:pStyle w:val="Body"/>
      </w:pPr>
      <w:r w:rsidRPr="00391517">
        <w:t xml:space="preserve">Proprietors must all take reasonable steps to ensure that appropriate health care is provided to residents. If a resident’s health and personal support needs change, the proprietor must ensure that the ongoing support plan is reviewed and changed as necessary to meet those changed needs of the resident. Proprietors also have an obligation to notify the </w:t>
      </w:r>
      <w:r w:rsidR="006D2C3D" w:rsidRPr="0060541C">
        <w:t>Social Services Regulator</w:t>
      </w:r>
      <w:r w:rsidRPr="00391517">
        <w:t xml:space="preserve"> </w:t>
      </w:r>
      <w:r w:rsidR="0060541C">
        <w:t xml:space="preserve">(the </w:t>
      </w:r>
      <w:r w:rsidR="00B45128">
        <w:t xml:space="preserve">Regulator) </w:t>
      </w:r>
      <w:r w:rsidRPr="00391517">
        <w:t xml:space="preserve">without delay if they cannot obtain appropriate health care and personal support for </w:t>
      </w:r>
      <w:r>
        <w:t>a</w:t>
      </w:r>
      <w:r w:rsidRPr="00391517">
        <w:t xml:space="preserve"> resident. </w:t>
      </w:r>
    </w:p>
    <w:p w14:paraId="6A5ABBF2" w14:textId="77777777" w:rsidR="00030857" w:rsidRPr="00AC267B" w:rsidRDefault="00030857" w:rsidP="00030857">
      <w:pPr>
        <w:pStyle w:val="Heading1"/>
      </w:pPr>
      <w:bookmarkStart w:id="4" w:name="_Toc169002843"/>
      <w:r w:rsidRPr="00AC267B">
        <w:t>Compliance and enforcement</w:t>
      </w:r>
      <w:bookmarkEnd w:id="2"/>
      <w:bookmarkEnd w:id="4"/>
    </w:p>
    <w:p w14:paraId="35E923AF" w14:textId="34372821" w:rsidR="00030857" w:rsidRPr="00B45128" w:rsidRDefault="00030857" w:rsidP="00030857">
      <w:pPr>
        <w:pStyle w:val="Body"/>
      </w:pPr>
      <w:bookmarkStart w:id="5" w:name="_Toc66794861"/>
      <w:r w:rsidRPr="00B45128">
        <w:t xml:space="preserve">The Regulator administers the Act and the Regulations, and monitors compliance by SRS proprietors to ensure they meet their obligations. </w:t>
      </w:r>
    </w:p>
    <w:p w14:paraId="4C0AB236" w14:textId="430B43A5" w:rsidR="00030857" w:rsidRDefault="00030857" w:rsidP="00030857">
      <w:pPr>
        <w:pStyle w:val="Body"/>
      </w:pPr>
      <w:r w:rsidRPr="00B45128">
        <w:t xml:space="preserve">The Regulator </w:t>
      </w:r>
      <w:r>
        <w:t>may take regulatory action where an SRS does not have adequate processes in place to separate its SRS and NDIS supports.</w:t>
      </w:r>
    </w:p>
    <w:p w14:paraId="36E62CDB" w14:textId="4F7097BC" w:rsidR="004203B1" w:rsidRPr="004203B1" w:rsidRDefault="004203B1" w:rsidP="00030857">
      <w:pPr>
        <w:pStyle w:val="Body"/>
      </w:pPr>
      <w:r w:rsidRPr="004203B1">
        <w:t>Where relevant, the Social Services Regulator will notify NDIS of non-compliance matters so that they may consider regulatory action.</w:t>
      </w:r>
    </w:p>
    <w:p w14:paraId="51639FF3" w14:textId="1E2683D6" w:rsidR="00030857" w:rsidRDefault="00030857" w:rsidP="00030857">
      <w:pPr>
        <w:pStyle w:val="Body"/>
      </w:pPr>
      <w:r>
        <w:t xml:space="preserve">For more information about the </w:t>
      </w:r>
      <w:r w:rsidRPr="00B45128">
        <w:t xml:space="preserve">Social Services Regulator and its regulatory approach, visit the Social Services Regulator’s webpage </w:t>
      </w:r>
      <w:hyperlink r:id="rId16" w:history="1">
        <w:r w:rsidR="00754B52" w:rsidRPr="00FD4F47">
          <w:rPr>
            <w:rStyle w:val="Hyperlink"/>
          </w:rPr>
          <w:t>https://www.vic.gov.au/social-services-regulator</w:t>
        </w:r>
      </w:hyperlink>
      <w:r w:rsidR="00754B52">
        <w:t xml:space="preserve"> </w:t>
      </w:r>
    </w:p>
    <w:bookmarkEnd w:id="5"/>
    <w:p w14:paraId="75FC216A" w14:textId="77777777" w:rsidR="00030857" w:rsidRPr="003B1BDC" w:rsidRDefault="00030857" w:rsidP="00030857">
      <w:pPr>
        <w:pStyle w:val="Body"/>
      </w:pPr>
    </w:p>
    <w:tbl>
      <w:tblPr>
        <w:tblStyle w:val="TableGrid"/>
        <w:tblW w:w="0" w:type="auto"/>
        <w:tblCellMar>
          <w:bottom w:w="108" w:type="dxa"/>
        </w:tblCellMar>
        <w:tblLook w:val="0600" w:firstRow="0" w:lastRow="0" w:firstColumn="0" w:lastColumn="0" w:noHBand="1" w:noVBand="1"/>
      </w:tblPr>
      <w:tblGrid>
        <w:gridCol w:w="10194"/>
      </w:tblGrid>
      <w:tr w:rsidR="00C80492" w14:paraId="29BC4249" w14:textId="77777777" w:rsidTr="00BB53F2">
        <w:tc>
          <w:tcPr>
            <w:tcW w:w="10194" w:type="dxa"/>
          </w:tcPr>
          <w:p w14:paraId="5DC57B87" w14:textId="77777777" w:rsidR="00C80492" w:rsidRPr="0055119B" w:rsidRDefault="00C80492" w:rsidP="00BB53F2">
            <w:pPr>
              <w:pStyle w:val="Accessibilitypara"/>
            </w:pPr>
            <w:r w:rsidRPr="0055119B">
              <w:t>To receive this document in another format</w:t>
            </w:r>
            <w:r>
              <w:t>,</w:t>
            </w:r>
            <w:r w:rsidRPr="0055119B">
              <w:t xml:space="preserve"> email</w:t>
            </w:r>
            <w:r>
              <w:t xml:space="preserve"> the</w:t>
            </w:r>
            <w:r w:rsidRPr="0055119B">
              <w:t xml:space="preserve"> </w:t>
            </w:r>
            <w:hyperlink r:id="rId17" w:history="1">
              <w:r w:rsidRPr="00401926">
                <w:rPr>
                  <w:rStyle w:val="Hyperlink"/>
                </w:rPr>
                <w:t>Social Services Regulator</w:t>
              </w:r>
            </w:hyperlink>
            <w:r>
              <w:t xml:space="preserve"> &lt;</w:t>
            </w:r>
            <w:hyperlink r:id="rId18" w:history="1">
              <w:r w:rsidRPr="00403874">
                <w:rPr>
                  <w:rStyle w:val="Hyperlink"/>
                </w:rPr>
                <w:t>enquiries@ssr.vic.gov.au</w:t>
              </w:r>
            </w:hyperlink>
            <w:r>
              <w:rPr>
                <w:rStyle w:val="Hyperlink"/>
              </w:rPr>
              <w:t>&gt;</w:t>
            </w:r>
            <w:r w:rsidRPr="0055119B">
              <w:t>.</w:t>
            </w:r>
          </w:p>
          <w:p w14:paraId="7C20D004" w14:textId="77777777" w:rsidR="00C80492" w:rsidRPr="0055119B" w:rsidRDefault="00C80492" w:rsidP="00BB53F2">
            <w:pPr>
              <w:pStyle w:val="Imprint"/>
            </w:pPr>
            <w:r w:rsidRPr="0055119B">
              <w:t>Authorised and published by the Victorian Government, 1 Treasury Place, Melbourne.</w:t>
            </w:r>
          </w:p>
          <w:p w14:paraId="11D931D3" w14:textId="77777777" w:rsidR="00C80492" w:rsidRPr="005527DC" w:rsidRDefault="00C80492" w:rsidP="00BB53F2">
            <w:pPr>
              <w:pStyle w:val="Imprint"/>
            </w:pPr>
            <w:r w:rsidRPr="0055119B">
              <w:lastRenderedPageBreak/>
              <w:t xml:space="preserve">© State of Victoria, Australia, </w:t>
            </w:r>
            <w:r>
              <w:t>Social Services Regulator</w:t>
            </w:r>
            <w:r w:rsidRPr="005527DC">
              <w:t xml:space="preserve">, </w:t>
            </w:r>
            <w:r>
              <w:t>August</w:t>
            </w:r>
            <w:r w:rsidRPr="005527DC">
              <w:t xml:space="preserve"> 2024.</w:t>
            </w:r>
          </w:p>
          <w:p w14:paraId="5459359B" w14:textId="77777777" w:rsidR="00C80492" w:rsidRPr="00E33237" w:rsidRDefault="00C80492" w:rsidP="00BB53F2">
            <w:pPr>
              <w:pStyle w:val="Imprint"/>
              <w:rPr>
                <w:color w:val="004C97"/>
              </w:rPr>
            </w:pPr>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7D6A5FDC" w14:textId="77777777" w:rsidR="00C80492" w:rsidRPr="00E33237" w:rsidRDefault="00C80492" w:rsidP="00BB53F2">
            <w:pPr>
              <w:pStyle w:val="Imprint"/>
              <w:rPr>
                <w:color w:val="004C97"/>
              </w:rPr>
            </w:pPr>
            <w:r w:rsidRPr="00E33237">
              <w:rPr>
                <w:color w:val="004C97"/>
              </w:rPr>
              <w:t>In this document, ‘Aboriginal’ refers to both Aboriginal and Torres Strait Islander people. ‘Indigenous’ or ‘Koori/Koorie’ is retained when part of the title of a report, program or quotation.</w:t>
            </w:r>
          </w:p>
          <w:p w14:paraId="74EC71FB" w14:textId="11C694D7" w:rsidR="00C80492" w:rsidRPr="0055119B" w:rsidRDefault="00C80492" w:rsidP="00BB53F2">
            <w:pPr>
              <w:pStyle w:val="Imprint"/>
            </w:pPr>
            <w:r w:rsidRPr="0055119B">
              <w:t>ISBN</w:t>
            </w:r>
            <w:r>
              <w:t xml:space="preserve"> </w:t>
            </w:r>
            <w:r w:rsidR="00990BA9">
              <w:rPr>
                <w:rFonts w:cs="Arial"/>
                <w:color w:val="000000"/>
              </w:rPr>
              <w:t>978-1-76130-649-5</w:t>
            </w:r>
            <w:r w:rsidRPr="0079730B">
              <w:rPr>
                <w:rFonts w:cs="Arial"/>
                <w:color w:val="000000" w:themeColor="text1"/>
              </w:rPr>
              <w:t xml:space="preserve"> </w:t>
            </w:r>
            <w:r w:rsidRPr="0055119B">
              <w:t xml:space="preserve">(online/PDF/Word) </w:t>
            </w:r>
          </w:p>
          <w:p w14:paraId="2DDD9C27" w14:textId="2569BE5D" w:rsidR="00C80492" w:rsidRPr="00FD4F47" w:rsidRDefault="00C80492" w:rsidP="00FD4F47">
            <w:pPr>
              <w:rPr>
                <w:rFonts w:asciiTheme="minorHAnsi" w:hAnsiTheme="minorHAnsi"/>
                <w:sz w:val="22"/>
              </w:rPr>
            </w:pPr>
            <w:r w:rsidRPr="0055119B">
              <w:t xml:space="preserve">Available at </w:t>
            </w:r>
            <w:r>
              <w:t xml:space="preserve">Social Services Regulator </w:t>
            </w:r>
            <w:r w:rsidR="00FD4F47">
              <w:t xml:space="preserve">&lt; </w:t>
            </w:r>
            <w:r w:rsidR="00FD4F47">
              <w:t>https://vic.gov.au/ndis-supports-supported-residential-services</w:t>
            </w:r>
            <w:r w:rsidR="00FD4F47">
              <w:t>&gt;</w:t>
            </w:r>
          </w:p>
        </w:tc>
      </w:tr>
    </w:tbl>
    <w:p w14:paraId="30CB90B3" w14:textId="77777777" w:rsidR="009C269D" w:rsidRPr="002365B4" w:rsidRDefault="009C269D" w:rsidP="008A5D60">
      <w:pPr>
        <w:pStyle w:val="Body"/>
      </w:pPr>
    </w:p>
    <w:sectPr w:rsidR="009C269D" w:rsidRPr="002365B4" w:rsidSect="00A9710C">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2DF99" w14:textId="77777777" w:rsidR="001369E1" w:rsidRDefault="001369E1">
      <w:r>
        <w:separator/>
      </w:r>
    </w:p>
    <w:p w14:paraId="3308B1D8" w14:textId="77777777" w:rsidR="001369E1" w:rsidRDefault="001369E1"/>
  </w:endnote>
  <w:endnote w:type="continuationSeparator" w:id="0">
    <w:p w14:paraId="3D898B89" w14:textId="77777777" w:rsidR="001369E1" w:rsidRDefault="001369E1">
      <w:r>
        <w:continuationSeparator/>
      </w:r>
    </w:p>
    <w:p w14:paraId="60BACD46" w14:textId="77777777" w:rsidR="001369E1" w:rsidRDefault="001369E1"/>
  </w:endnote>
  <w:endnote w:type="continuationNotice" w:id="1">
    <w:p w14:paraId="3DCF5B91" w14:textId="77777777" w:rsidR="001369E1" w:rsidRDefault="001369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C1F7C" w14:textId="77777777" w:rsidR="001369E1" w:rsidRDefault="001369E1" w:rsidP="00207717">
      <w:pPr>
        <w:spacing w:before="120"/>
      </w:pPr>
      <w:r>
        <w:separator/>
      </w:r>
    </w:p>
  </w:footnote>
  <w:footnote w:type="continuationSeparator" w:id="0">
    <w:p w14:paraId="0E3A9C6A" w14:textId="77777777" w:rsidR="001369E1" w:rsidRDefault="001369E1">
      <w:r>
        <w:continuationSeparator/>
      </w:r>
    </w:p>
    <w:p w14:paraId="798F516A" w14:textId="77777777" w:rsidR="001369E1" w:rsidRDefault="001369E1"/>
  </w:footnote>
  <w:footnote w:type="continuationNotice" w:id="1">
    <w:p w14:paraId="6EB39D35" w14:textId="77777777" w:rsidR="001369E1" w:rsidRDefault="001369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57B22F56" w:rsidR="00E261B3" w:rsidRPr="0051568D" w:rsidRDefault="00B14B5F" w:rsidP="0017674D">
    <w:pPr>
      <w:pStyle w:val="Header"/>
    </w:pPr>
    <w:r>
      <w:t>Document title</w:t>
    </w:r>
    <w:r w:rsidR="00872C54">
      <w:t xml:space="preserv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9862043">
    <w:abstractNumId w:val="10"/>
  </w:num>
  <w:num w:numId="2" w16cid:durableId="606499732">
    <w:abstractNumId w:val="17"/>
  </w:num>
  <w:num w:numId="3" w16cid:durableId="7669970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21"/>
  </w:num>
  <w:num w:numId="8" w16cid:durableId="1971086778">
    <w:abstractNumId w:val="16"/>
  </w:num>
  <w:num w:numId="9" w16cid:durableId="1586377817">
    <w:abstractNumId w:val="20"/>
  </w:num>
  <w:num w:numId="10" w16cid:durableId="1820865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22"/>
  </w:num>
  <w:num w:numId="12" w16cid:durableId="2577567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18"/>
  </w:num>
  <w:num w:numId="14" w16cid:durableId="516430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24"/>
  </w:num>
  <w:num w:numId="19" w16cid:durableId="14678975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4"/>
  </w:num>
  <w:num w:numId="21" w16cid:durableId="541482176">
    <w:abstractNumId w:val="12"/>
  </w:num>
  <w:num w:numId="22" w16cid:durableId="775515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15"/>
  </w:num>
  <w:num w:numId="24" w16cid:durableId="1094790342">
    <w:abstractNumId w:val="25"/>
  </w:num>
  <w:num w:numId="25" w16cid:durableId="895168954">
    <w:abstractNumId w:val="23"/>
  </w:num>
  <w:num w:numId="26" w16cid:durableId="123157883">
    <w:abstractNumId w:val="19"/>
  </w:num>
  <w:num w:numId="27" w16cid:durableId="1937714732">
    <w:abstractNumId w:val="11"/>
  </w:num>
  <w:num w:numId="28" w16cid:durableId="1108085816">
    <w:abstractNumId w:val="26"/>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21"/>
  </w:num>
  <w:num w:numId="41" w16cid:durableId="562331335">
    <w:abstractNumId w:val="21"/>
  </w:num>
  <w:num w:numId="42" w16cid:durableId="1953442103">
    <w:abstractNumId w:val="21"/>
  </w:num>
  <w:num w:numId="43" w16cid:durableId="1523737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10B4"/>
    <w:rsid w:val="00022271"/>
    <w:rsid w:val="000235E8"/>
    <w:rsid w:val="00024D89"/>
    <w:rsid w:val="000250B6"/>
    <w:rsid w:val="000301B7"/>
    <w:rsid w:val="00030857"/>
    <w:rsid w:val="00033D81"/>
    <w:rsid w:val="00037366"/>
    <w:rsid w:val="00041BF0"/>
    <w:rsid w:val="00042C8A"/>
    <w:rsid w:val="0004536B"/>
    <w:rsid w:val="00046B68"/>
    <w:rsid w:val="00046EAE"/>
    <w:rsid w:val="000475D1"/>
    <w:rsid w:val="000527DD"/>
    <w:rsid w:val="000578B2"/>
    <w:rsid w:val="00060959"/>
    <w:rsid w:val="00060C8F"/>
    <w:rsid w:val="0006298A"/>
    <w:rsid w:val="000643BD"/>
    <w:rsid w:val="000663CD"/>
    <w:rsid w:val="000733FE"/>
    <w:rsid w:val="00074219"/>
    <w:rsid w:val="00074ED5"/>
    <w:rsid w:val="00083EA3"/>
    <w:rsid w:val="0008508E"/>
    <w:rsid w:val="00086557"/>
    <w:rsid w:val="00087951"/>
    <w:rsid w:val="0009050A"/>
    <w:rsid w:val="0009113B"/>
    <w:rsid w:val="00092540"/>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5AE"/>
    <w:rsid w:val="0010392D"/>
    <w:rsid w:val="0010447F"/>
    <w:rsid w:val="00104DBB"/>
    <w:rsid w:val="00104FE3"/>
    <w:rsid w:val="00105291"/>
    <w:rsid w:val="0010714F"/>
    <w:rsid w:val="001120C5"/>
    <w:rsid w:val="0011299A"/>
    <w:rsid w:val="00114664"/>
    <w:rsid w:val="00120BD3"/>
    <w:rsid w:val="00122FEA"/>
    <w:rsid w:val="001232BD"/>
    <w:rsid w:val="00124ED5"/>
    <w:rsid w:val="00127262"/>
    <w:rsid w:val="001276FA"/>
    <w:rsid w:val="001369E1"/>
    <w:rsid w:val="001447B3"/>
    <w:rsid w:val="00144BEB"/>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E7FB6"/>
    <w:rsid w:val="001F3826"/>
    <w:rsid w:val="001F6E46"/>
    <w:rsid w:val="001F7C91"/>
    <w:rsid w:val="002033B7"/>
    <w:rsid w:val="00206463"/>
    <w:rsid w:val="00206F2F"/>
    <w:rsid w:val="00207717"/>
    <w:rsid w:val="0021053D"/>
    <w:rsid w:val="00210A92"/>
    <w:rsid w:val="00216C03"/>
    <w:rsid w:val="00217CCF"/>
    <w:rsid w:val="00220C04"/>
    <w:rsid w:val="0022278D"/>
    <w:rsid w:val="0022701F"/>
    <w:rsid w:val="00227C68"/>
    <w:rsid w:val="00233311"/>
    <w:rsid w:val="002333F5"/>
    <w:rsid w:val="00233724"/>
    <w:rsid w:val="002365B4"/>
    <w:rsid w:val="0023724F"/>
    <w:rsid w:val="00242378"/>
    <w:rsid w:val="002432E1"/>
    <w:rsid w:val="00246207"/>
    <w:rsid w:val="00246C5E"/>
    <w:rsid w:val="00250960"/>
    <w:rsid w:val="00250DC4"/>
    <w:rsid w:val="00250F2A"/>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3A86"/>
    <w:rsid w:val="002B4DD4"/>
    <w:rsid w:val="002B5277"/>
    <w:rsid w:val="002B5375"/>
    <w:rsid w:val="002B77C1"/>
    <w:rsid w:val="002C0ED7"/>
    <w:rsid w:val="002C2728"/>
    <w:rsid w:val="002D146C"/>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33C8"/>
    <w:rsid w:val="003744CF"/>
    <w:rsid w:val="00374717"/>
    <w:rsid w:val="0037676C"/>
    <w:rsid w:val="00377A1A"/>
    <w:rsid w:val="00381043"/>
    <w:rsid w:val="003829E5"/>
    <w:rsid w:val="00386109"/>
    <w:rsid w:val="00386944"/>
    <w:rsid w:val="00393CF0"/>
    <w:rsid w:val="003956CC"/>
    <w:rsid w:val="00395C9A"/>
    <w:rsid w:val="003A04E1"/>
    <w:rsid w:val="003A0853"/>
    <w:rsid w:val="003A3C14"/>
    <w:rsid w:val="003A6B67"/>
    <w:rsid w:val="003A7066"/>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39D7"/>
    <w:rsid w:val="003E3C3C"/>
    <w:rsid w:val="003E4086"/>
    <w:rsid w:val="003E639E"/>
    <w:rsid w:val="003E71E5"/>
    <w:rsid w:val="003F0445"/>
    <w:rsid w:val="003F0CF0"/>
    <w:rsid w:val="003F14B1"/>
    <w:rsid w:val="003F2B20"/>
    <w:rsid w:val="003F3289"/>
    <w:rsid w:val="003F3C62"/>
    <w:rsid w:val="003F5CB9"/>
    <w:rsid w:val="004013C7"/>
    <w:rsid w:val="00401FCF"/>
    <w:rsid w:val="0040263B"/>
    <w:rsid w:val="00406157"/>
    <w:rsid w:val="00406285"/>
    <w:rsid w:val="004148F9"/>
    <w:rsid w:val="004203B1"/>
    <w:rsid w:val="0042084E"/>
    <w:rsid w:val="00421EEF"/>
    <w:rsid w:val="00424D65"/>
    <w:rsid w:val="00430393"/>
    <w:rsid w:val="00431806"/>
    <w:rsid w:val="0043198C"/>
    <w:rsid w:val="004350F9"/>
    <w:rsid w:val="00437AC5"/>
    <w:rsid w:val="00442C6C"/>
    <w:rsid w:val="00443CBE"/>
    <w:rsid w:val="00443E8A"/>
    <w:rsid w:val="004441BC"/>
    <w:rsid w:val="004468B4"/>
    <w:rsid w:val="00447F1A"/>
    <w:rsid w:val="0045230A"/>
    <w:rsid w:val="00454AD0"/>
    <w:rsid w:val="00457337"/>
    <w:rsid w:val="00462E3D"/>
    <w:rsid w:val="004642D4"/>
    <w:rsid w:val="0046440A"/>
    <w:rsid w:val="00465806"/>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794A"/>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D659B"/>
    <w:rsid w:val="004E1106"/>
    <w:rsid w:val="004E138F"/>
    <w:rsid w:val="004E4649"/>
    <w:rsid w:val="004E5C2B"/>
    <w:rsid w:val="004F00DD"/>
    <w:rsid w:val="004F2133"/>
    <w:rsid w:val="004F5398"/>
    <w:rsid w:val="004F55F1"/>
    <w:rsid w:val="004F6936"/>
    <w:rsid w:val="004F7B35"/>
    <w:rsid w:val="00503DC6"/>
    <w:rsid w:val="00504988"/>
    <w:rsid w:val="00506F5D"/>
    <w:rsid w:val="00510C37"/>
    <w:rsid w:val="005126D0"/>
    <w:rsid w:val="00513109"/>
    <w:rsid w:val="00514667"/>
    <w:rsid w:val="0051568D"/>
    <w:rsid w:val="00526AC7"/>
    <w:rsid w:val="00526C15"/>
    <w:rsid w:val="00535357"/>
    <w:rsid w:val="00536499"/>
    <w:rsid w:val="00542A03"/>
    <w:rsid w:val="00543903"/>
    <w:rsid w:val="00543F11"/>
    <w:rsid w:val="005442E7"/>
    <w:rsid w:val="00545FA8"/>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2C7"/>
    <w:rsid w:val="005B3A08"/>
    <w:rsid w:val="005B7A63"/>
    <w:rsid w:val="005C0955"/>
    <w:rsid w:val="005C49DA"/>
    <w:rsid w:val="005C50F3"/>
    <w:rsid w:val="005C54B5"/>
    <w:rsid w:val="005C5D80"/>
    <w:rsid w:val="005C5D91"/>
    <w:rsid w:val="005D07B8"/>
    <w:rsid w:val="005D1125"/>
    <w:rsid w:val="005D1AB1"/>
    <w:rsid w:val="005D6597"/>
    <w:rsid w:val="005E1440"/>
    <w:rsid w:val="005E14E7"/>
    <w:rsid w:val="005E26A3"/>
    <w:rsid w:val="005E2ECB"/>
    <w:rsid w:val="005E447E"/>
    <w:rsid w:val="005E4FD1"/>
    <w:rsid w:val="005F0775"/>
    <w:rsid w:val="005F0CF5"/>
    <w:rsid w:val="005F21EB"/>
    <w:rsid w:val="005F64CF"/>
    <w:rsid w:val="006041AD"/>
    <w:rsid w:val="0060541C"/>
    <w:rsid w:val="00605908"/>
    <w:rsid w:val="00607850"/>
    <w:rsid w:val="00610D7C"/>
    <w:rsid w:val="00613414"/>
    <w:rsid w:val="00620154"/>
    <w:rsid w:val="0062408D"/>
    <w:rsid w:val="006240CC"/>
    <w:rsid w:val="00624940"/>
    <w:rsid w:val="006254F8"/>
    <w:rsid w:val="00625E28"/>
    <w:rsid w:val="00627DA7"/>
    <w:rsid w:val="00630DA4"/>
    <w:rsid w:val="00631CD4"/>
    <w:rsid w:val="00632597"/>
    <w:rsid w:val="00632BD5"/>
    <w:rsid w:val="00634D13"/>
    <w:rsid w:val="00635330"/>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4DB4"/>
    <w:rsid w:val="00695A93"/>
    <w:rsid w:val="00696F27"/>
    <w:rsid w:val="006A18C2"/>
    <w:rsid w:val="006A3383"/>
    <w:rsid w:val="006B077C"/>
    <w:rsid w:val="006B16AF"/>
    <w:rsid w:val="006B6803"/>
    <w:rsid w:val="006D0F16"/>
    <w:rsid w:val="006D2A3F"/>
    <w:rsid w:val="006D2C3D"/>
    <w:rsid w:val="006D2FBC"/>
    <w:rsid w:val="006E138B"/>
    <w:rsid w:val="006E1867"/>
    <w:rsid w:val="006F0330"/>
    <w:rsid w:val="006F1FDC"/>
    <w:rsid w:val="006F58D2"/>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B52"/>
    <w:rsid w:val="00754E36"/>
    <w:rsid w:val="00760175"/>
    <w:rsid w:val="00763139"/>
    <w:rsid w:val="00766F80"/>
    <w:rsid w:val="00770F37"/>
    <w:rsid w:val="007711A0"/>
    <w:rsid w:val="00772D5E"/>
    <w:rsid w:val="0077463E"/>
    <w:rsid w:val="00776928"/>
    <w:rsid w:val="00776E0F"/>
    <w:rsid w:val="007774B1"/>
    <w:rsid w:val="00777BE1"/>
    <w:rsid w:val="00780BF2"/>
    <w:rsid w:val="007833D8"/>
    <w:rsid w:val="00783EFE"/>
    <w:rsid w:val="00785677"/>
    <w:rsid w:val="00786F16"/>
    <w:rsid w:val="00791BD7"/>
    <w:rsid w:val="007933F7"/>
    <w:rsid w:val="00796E20"/>
    <w:rsid w:val="00797C32"/>
    <w:rsid w:val="007A11E8"/>
    <w:rsid w:val="007A3965"/>
    <w:rsid w:val="007B0914"/>
    <w:rsid w:val="007B1374"/>
    <w:rsid w:val="007B1953"/>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24"/>
    <w:rsid w:val="007D5E1C"/>
    <w:rsid w:val="007E0DE2"/>
    <w:rsid w:val="007E3B98"/>
    <w:rsid w:val="007E417A"/>
    <w:rsid w:val="007E5FC7"/>
    <w:rsid w:val="007F31B6"/>
    <w:rsid w:val="007F4E0F"/>
    <w:rsid w:val="007F546C"/>
    <w:rsid w:val="007F625F"/>
    <w:rsid w:val="007F665E"/>
    <w:rsid w:val="00800412"/>
    <w:rsid w:val="0080150E"/>
    <w:rsid w:val="0080587B"/>
    <w:rsid w:val="00806468"/>
    <w:rsid w:val="008100F4"/>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4F92"/>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29F"/>
    <w:rsid w:val="00902A9A"/>
    <w:rsid w:val="00904A1C"/>
    <w:rsid w:val="00905030"/>
    <w:rsid w:val="00906490"/>
    <w:rsid w:val="009111B2"/>
    <w:rsid w:val="009151F5"/>
    <w:rsid w:val="00924AE1"/>
    <w:rsid w:val="009257ED"/>
    <w:rsid w:val="009269B1"/>
    <w:rsid w:val="0092724D"/>
    <w:rsid w:val="009272B3"/>
    <w:rsid w:val="009315BE"/>
    <w:rsid w:val="0093338F"/>
    <w:rsid w:val="009342AE"/>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45B0"/>
    <w:rsid w:val="0097559F"/>
    <w:rsid w:val="009761EA"/>
    <w:rsid w:val="0097761E"/>
    <w:rsid w:val="00982454"/>
    <w:rsid w:val="00982CF0"/>
    <w:rsid w:val="009853E1"/>
    <w:rsid w:val="00986E6B"/>
    <w:rsid w:val="00990032"/>
    <w:rsid w:val="00990B19"/>
    <w:rsid w:val="00990BA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25A3"/>
    <w:rsid w:val="009C269D"/>
    <w:rsid w:val="009C5E77"/>
    <w:rsid w:val="009C7A7E"/>
    <w:rsid w:val="009D02E8"/>
    <w:rsid w:val="009D2F06"/>
    <w:rsid w:val="009D51D0"/>
    <w:rsid w:val="009D70A4"/>
    <w:rsid w:val="009D7A52"/>
    <w:rsid w:val="009D7B14"/>
    <w:rsid w:val="009E08D1"/>
    <w:rsid w:val="009E1B95"/>
    <w:rsid w:val="009E2751"/>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4A26"/>
    <w:rsid w:val="00A157B1"/>
    <w:rsid w:val="00A22229"/>
    <w:rsid w:val="00A24442"/>
    <w:rsid w:val="00A252B9"/>
    <w:rsid w:val="00A32577"/>
    <w:rsid w:val="00A330BB"/>
    <w:rsid w:val="00A34ACD"/>
    <w:rsid w:val="00A35DF1"/>
    <w:rsid w:val="00A44882"/>
    <w:rsid w:val="00A45125"/>
    <w:rsid w:val="00A513A9"/>
    <w:rsid w:val="00A54715"/>
    <w:rsid w:val="00A6061C"/>
    <w:rsid w:val="00A62D44"/>
    <w:rsid w:val="00A67263"/>
    <w:rsid w:val="00A7161C"/>
    <w:rsid w:val="00A77AA3"/>
    <w:rsid w:val="00A8236D"/>
    <w:rsid w:val="00A854EB"/>
    <w:rsid w:val="00A872E5"/>
    <w:rsid w:val="00A91406"/>
    <w:rsid w:val="00A93E03"/>
    <w:rsid w:val="00A96E65"/>
    <w:rsid w:val="00A96ECE"/>
    <w:rsid w:val="00A9710C"/>
    <w:rsid w:val="00A97C72"/>
    <w:rsid w:val="00AA310B"/>
    <w:rsid w:val="00AA63D4"/>
    <w:rsid w:val="00AB06E8"/>
    <w:rsid w:val="00AB15DD"/>
    <w:rsid w:val="00AB1A4F"/>
    <w:rsid w:val="00AB1CD3"/>
    <w:rsid w:val="00AB352F"/>
    <w:rsid w:val="00AC16A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016"/>
    <w:rsid w:val="00AF5F04"/>
    <w:rsid w:val="00B00672"/>
    <w:rsid w:val="00B01B4D"/>
    <w:rsid w:val="00B04489"/>
    <w:rsid w:val="00B06571"/>
    <w:rsid w:val="00B068BA"/>
    <w:rsid w:val="00B07217"/>
    <w:rsid w:val="00B13851"/>
    <w:rsid w:val="00B13B1C"/>
    <w:rsid w:val="00B14B5F"/>
    <w:rsid w:val="00B15AFE"/>
    <w:rsid w:val="00B21F90"/>
    <w:rsid w:val="00B22291"/>
    <w:rsid w:val="00B23F9A"/>
    <w:rsid w:val="00B2417B"/>
    <w:rsid w:val="00B24E6F"/>
    <w:rsid w:val="00B26CB5"/>
    <w:rsid w:val="00B2752E"/>
    <w:rsid w:val="00B307CC"/>
    <w:rsid w:val="00B326B7"/>
    <w:rsid w:val="00B3588E"/>
    <w:rsid w:val="00B4198F"/>
    <w:rsid w:val="00B41F3D"/>
    <w:rsid w:val="00B431E8"/>
    <w:rsid w:val="00B45128"/>
    <w:rsid w:val="00B45141"/>
    <w:rsid w:val="00B519CD"/>
    <w:rsid w:val="00B5273A"/>
    <w:rsid w:val="00B57329"/>
    <w:rsid w:val="00B60CB7"/>
    <w:rsid w:val="00B60E61"/>
    <w:rsid w:val="00B62B50"/>
    <w:rsid w:val="00B635B7"/>
    <w:rsid w:val="00B63AE8"/>
    <w:rsid w:val="00B65950"/>
    <w:rsid w:val="00B66D83"/>
    <w:rsid w:val="00B672C0"/>
    <w:rsid w:val="00B676FD"/>
    <w:rsid w:val="00B678B6"/>
    <w:rsid w:val="00B706E8"/>
    <w:rsid w:val="00B75646"/>
    <w:rsid w:val="00B7629E"/>
    <w:rsid w:val="00B841BC"/>
    <w:rsid w:val="00B90729"/>
    <w:rsid w:val="00B907DA"/>
    <w:rsid w:val="00B91FFE"/>
    <w:rsid w:val="00B950BC"/>
    <w:rsid w:val="00B95AB9"/>
    <w:rsid w:val="00B9714C"/>
    <w:rsid w:val="00B97242"/>
    <w:rsid w:val="00BA29AD"/>
    <w:rsid w:val="00BA33CF"/>
    <w:rsid w:val="00BA3F8D"/>
    <w:rsid w:val="00BB7A10"/>
    <w:rsid w:val="00BC2518"/>
    <w:rsid w:val="00BC60BE"/>
    <w:rsid w:val="00BC7468"/>
    <w:rsid w:val="00BC7D4F"/>
    <w:rsid w:val="00BC7ED7"/>
    <w:rsid w:val="00BD2850"/>
    <w:rsid w:val="00BD6049"/>
    <w:rsid w:val="00BE28D2"/>
    <w:rsid w:val="00BE4A64"/>
    <w:rsid w:val="00BE5E43"/>
    <w:rsid w:val="00BE6222"/>
    <w:rsid w:val="00BF557D"/>
    <w:rsid w:val="00BF7F58"/>
    <w:rsid w:val="00C01381"/>
    <w:rsid w:val="00C01AB1"/>
    <w:rsid w:val="00C026A0"/>
    <w:rsid w:val="00C03EA4"/>
    <w:rsid w:val="00C04F42"/>
    <w:rsid w:val="00C06137"/>
    <w:rsid w:val="00C067A9"/>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0492"/>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1FEB"/>
    <w:rsid w:val="00D4606D"/>
    <w:rsid w:val="00D46E57"/>
    <w:rsid w:val="00D50B9C"/>
    <w:rsid w:val="00D52D73"/>
    <w:rsid w:val="00D52E58"/>
    <w:rsid w:val="00D5393B"/>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3B60"/>
    <w:rsid w:val="00E170DC"/>
    <w:rsid w:val="00E17546"/>
    <w:rsid w:val="00E210B5"/>
    <w:rsid w:val="00E261B3"/>
    <w:rsid w:val="00E26818"/>
    <w:rsid w:val="00E27FFC"/>
    <w:rsid w:val="00E30B15"/>
    <w:rsid w:val="00E33237"/>
    <w:rsid w:val="00E40181"/>
    <w:rsid w:val="00E412F5"/>
    <w:rsid w:val="00E54950"/>
    <w:rsid w:val="00E55FB3"/>
    <w:rsid w:val="00E56A01"/>
    <w:rsid w:val="00E629A1"/>
    <w:rsid w:val="00E629A8"/>
    <w:rsid w:val="00E6794C"/>
    <w:rsid w:val="00E71591"/>
    <w:rsid w:val="00E71CEB"/>
    <w:rsid w:val="00E7474F"/>
    <w:rsid w:val="00E77901"/>
    <w:rsid w:val="00E804D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933"/>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D4F47"/>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aliases w:val="Nous Table,Table,NOUS,NOUS Side Header"/>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styleId="Emphasis">
    <w:name w:val="Emphasis"/>
    <w:basedOn w:val="DefaultParagraphFont"/>
    <w:uiPriority w:val="20"/>
    <w:qFormat/>
    <w:rsid w:val="004979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9643723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enquiries@ssr.vi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nquiries@ssr.vic.gov.au" TargetMode="External"/><Relationship Id="rId2" Type="http://schemas.openxmlformats.org/officeDocument/2006/relationships/customXml" Target="../customXml/item2.xml"/><Relationship Id="rId16" Type="http://schemas.openxmlformats.org/officeDocument/2006/relationships/hyperlink" Target="https://www.vic.gov.au/social-services-regulato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520fbed-e792-47a6-88e7-e35740b06176">
      <UserInfo>
        <DisplayName/>
        <AccountId xsi:nil="true"/>
        <AccountType/>
      </UserInfo>
    </SharedWithUsers>
    <Comment xmlns="5dc74ea8-e552-4672-9e93-7e886a7af213" xsi:nil="true"/>
    <TaxCatchAll xmlns="5ce0f2b5-5be5-4508-bce9-d7011ece0659" xsi:nil="true"/>
    <lcf76f155ced4ddcb4097134ff3c332f xmlns="5dc74ea8-e552-4672-9e93-7e886a7af213">
      <Terms xmlns="http://schemas.microsoft.com/office/infopath/2007/PartnerControls"/>
    </lcf76f155ced4ddcb4097134ff3c332f>
    <Comments xmlns="5dc74ea8-e552-4672-9e93-7e886a7af213" xsi:nil="true"/>
    <Status xmlns="5dc74ea8-e552-4672-9e93-7e886a7af213" xsi:nil="true"/>
  </documentManagement>
</p:properties>
</file>

<file path=customXml/itemProps1.xml><?xml version="1.0" encoding="utf-8"?>
<ds:datastoreItem xmlns:ds="http://schemas.openxmlformats.org/officeDocument/2006/customXml" ds:itemID="{04DB16DB-D961-4DD9-A2FA-C0133BF90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520fbed-e792-47a6-88e7-e35740b06176"/>
    <ds:schemaRef ds:uri="5dc74ea8-e552-4672-9e93-7e886a7af21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888</Words>
  <Characters>5593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Social Services Regulator factsheet</vt:lpstr>
    </vt:vector>
  </TitlesOfParts>
  <Manager/>
  <Company>Victoria State Government, Social Services Regulator</Company>
  <LinksUpToDate>false</LinksUpToDate>
  <CharactersWithSpaces>6469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Regulator factsheet</dc:title>
  <dc:subject/>
  <dc:creator>Alex Kirby (DFFH)</dc:creator>
  <cp:keywords/>
  <dc:description/>
  <cp:lastModifiedBy>Alex Kirby (SSR)</cp:lastModifiedBy>
  <cp:revision>3</cp:revision>
  <cp:lastPrinted>2021-01-29T05:27:00Z</cp:lastPrinted>
  <dcterms:created xsi:type="dcterms:W3CDTF">2024-09-03T02:39:00Z</dcterms:created>
  <dcterms:modified xsi:type="dcterms:W3CDTF">2024-09-03T02:41:00Z</dcterms:modified>
  <cp:category>Social Services Regulator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1800</vt:r8>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y fmtid="{D5CDD505-2E9C-101B-9397-08002B2CF9AE}" pid="24" name="TriggerFlowInfo">
    <vt:lpwstr/>
  </property>
</Properties>
</file>