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54E6D997"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0C8EC5D" w:rsidR="00AD784C" w:rsidRPr="0009050A" w:rsidRDefault="00923086" w:rsidP="0016037B">
            <w:pPr>
              <w:pStyle w:val="Documenttitle"/>
            </w:pPr>
            <w:r>
              <w:t>Frequently asked questions</w:t>
            </w:r>
          </w:p>
        </w:tc>
      </w:tr>
      <w:tr w:rsidR="000B2117" w14:paraId="5DF317EC" w14:textId="77777777" w:rsidTr="009C1CB1">
        <w:trPr>
          <w:trHeight w:val="1247"/>
        </w:trPr>
        <w:tc>
          <w:tcPr>
            <w:tcW w:w="7825" w:type="dxa"/>
          </w:tcPr>
          <w:p w14:paraId="69C24C39" w14:textId="49C6255D" w:rsidR="000B2117" w:rsidRPr="0016037B" w:rsidRDefault="00972F38" w:rsidP="0016037B">
            <w:pPr>
              <w:pStyle w:val="Documentsubtitle"/>
            </w:pPr>
            <w:r>
              <w:t>Reporting a notifia</w:t>
            </w:r>
            <w:r w:rsidR="00923086">
              <w:t>ble</w:t>
            </w:r>
            <w:r>
              <w:t xml:space="preserve"> </w:t>
            </w:r>
            <w:r w:rsidR="00923086">
              <w:t>incident</w:t>
            </w:r>
          </w:p>
        </w:tc>
      </w:tr>
      <w:tr w:rsidR="00CF4148" w14:paraId="5F5E6105" w14:textId="77777777" w:rsidTr="00CF4148">
        <w:trPr>
          <w:trHeight w:val="284"/>
        </w:trPr>
        <w:tc>
          <w:tcPr>
            <w:tcW w:w="7825" w:type="dxa"/>
          </w:tcPr>
          <w:p w14:paraId="45D389E8" w14:textId="74334762" w:rsidR="00CF4148" w:rsidRPr="00250DC4" w:rsidRDefault="00345A1A" w:rsidP="00CF4148">
            <w:pPr>
              <w:pStyle w:val="Bannermarking"/>
            </w:pPr>
            <w:fldSimple w:instr="FILLIN  &quot;Type the protective marking&quot; \d OFFICIAL \o  \* MERGEFORMAT">
              <w:r w:rsidR="00CF4148">
                <w:t>OFFICIAL</w:t>
              </w:r>
            </w:fldSimple>
          </w:p>
        </w:tc>
      </w:tr>
    </w:tbl>
    <w:p w14:paraId="623B2D43" w14:textId="2384B0DA" w:rsidR="007173CA" w:rsidRDefault="007173CA" w:rsidP="00D079AA">
      <w:pPr>
        <w:pStyle w:val="Body"/>
      </w:pP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72776D26" w:rsidR="008A5D60" w:rsidRPr="00F72115" w:rsidRDefault="00A03260" w:rsidP="003D7E30">
      <w:pPr>
        <w:pStyle w:val="Heading1"/>
      </w:pPr>
      <w:r>
        <w:t>Your obligations to report notifiable incidents</w:t>
      </w:r>
    </w:p>
    <w:p w14:paraId="34816274" w14:textId="77777777" w:rsidR="00A03260" w:rsidRDefault="00A03260" w:rsidP="00A03260">
      <w:pPr>
        <w:pStyle w:val="Body"/>
      </w:pPr>
      <w:r>
        <w:t>Service providers registered with the Social Services Regulator are responsible for reporting notifiable incidents that occur during the delivery of a registered social service.</w:t>
      </w:r>
    </w:p>
    <w:p w14:paraId="62AACC03" w14:textId="77777777" w:rsidR="00A03260" w:rsidRDefault="00A03260" w:rsidP="00A03260">
      <w:pPr>
        <w:pStyle w:val="Body"/>
      </w:pPr>
      <w:r>
        <w:t xml:space="preserve">The requirement to report starts once a provider is registered. This means some providers will not be required to report until later in 2024 or into 2025. </w:t>
      </w:r>
    </w:p>
    <w:p w14:paraId="6524857A" w14:textId="6A4CB78F" w:rsidR="00923086" w:rsidRDefault="00A03260" w:rsidP="008A5D60">
      <w:pPr>
        <w:pStyle w:val="Body"/>
      </w:pPr>
      <w:r>
        <w:t xml:space="preserve">This fact sheet should be read in conjunction with information about obligations to report notifiable incidents, available at </w:t>
      </w:r>
      <w:hyperlink r:id="rId16" w:history="1">
        <w:r w:rsidRPr="002C5C91">
          <w:rPr>
            <w:rStyle w:val="Hyperlink"/>
          </w:rPr>
          <w:t>https://www.vic.gov.au/ssr-reporting-notifiable-incident</w:t>
        </w:r>
      </w:hyperlink>
    </w:p>
    <w:p w14:paraId="68DFC84A" w14:textId="77777777" w:rsidR="00A03260" w:rsidRDefault="00A03260" w:rsidP="008A5D60">
      <w:pPr>
        <w:pStyle w:val="Body"/>
      </w:pPr>
    </w:p>
    <w:p w14:paraId="66DDB763" w14:textId="77777777" w:rsidR="00923086" w:rsidRPr="00485206" w:rsidRDefault="00923086" w:rsidP="00923086">
      <w:pPr>
        <w:pStyle w:val="Heading2"/>
      </w:pPr>
      <w:r>
        <w:t>What has changed about reporting a notifiable incident?</w:t>
      </w:r>
    </w:p>
    <w:p w14:paraId="62D14780" w14:textId="6068BACB" w:rsidR="00923086" w:rsidRPr="006452EA" w:rsidRDefault="00923086" w:rsidP="00923086">
      <w:pPr>
        <w:rPr>
          <w:szCs w:val="21"/>
        </w:rPr>
      </w:pPr>
      <w:r>
        <w:rPr>
          <w:szCs w:val="21"/>
        </w:rPr>
        <w:t>Since 1 July 2024</w:t>
      </w:r>
      <w:r w:rsidR="73AE3495">
        <w:t>,</w:t>
      </w:r>
      <w:r>
        <w:rPr>
          <w:szCs w:val="21"/>
        </w:rPr>
        <w:t xml:space="preserve"> t</w:t>
      </w:r>
      <w:r w:rsidRPr="006452EA">
        <w:rPr>
          <w:szCs w:val="21"/>
        </w:rPr>
        <w:t>he definitions o</w:t>
      </w:r>
      <w:r>
        <w:rPr>
          <w:szCs w:val="21"/>
        </w:rPr>
        <w:t>f</w:t>
      </w:r>
      <w:r w:rsidRPr="006452EA">
        <w:rPr>
          <w:szCs w:val="21"/>
        </w:rPr>
        <w:t xml:space="preserve"> </w:t>
      </w:r>
      <w:r w:rsidRPr="006452EA">
        <w:rPr>
          <w:i/>
          <w:iCs/>
          <w:szCs w:val="21"/>
        </w:rPr>
        <w:t>critical</w:t>
      </w:r>
      <w:r w:rsidRPr="006452EA">
        <w:rPr>
          <w:szCs w:val="21"/>
        </w:rPr>
        <w:t xml:space="preserve"> notifiable incident have been updated.</w:t>
      </w:r>
      <w:r>
        <w:rPr>
          <w:szCs w:val="21"/>
        </w:rPr>
        <w:t xml:space="preserve"> Absent service user </w:t>
      </w:r>
      <w:r w:rsidR="0021566D">
        <w:rPr>
          <w:szCs w:val="21"/>
        </w:rPr>
        <w:t xml:space="preserve">is </w:t>
      </w:r>
      <w:r>
        <w:rPr>
          <w:szCs w:val="21"/>
        </w:rPr>
        <w:t xml:space="preserve">no longer </w:t>
      </w:r>
      <w:r w:rsidR="006C77B4">
        <w:rPr>
          <w:szCs w:val="21"/>
        </w:rPr>
        <w:t xml:space="preserve">a </w:t>
      </w:r>
      <w:r>
        <w:rPr>
          <w:szCs w:val="21"/>
        </w:rPr>
        <w:t>critical notifiable incident.</w:t>
      </w:r>
      <w:r w:rsidR="003D5429" w:rsidRPr="003D5429">
        <w:rPr>
          <w:rFonts w:cs="Arial"/>
          <w:szCs w:val="21"/>
        </w:rPr>
        <w:t xml:space="preserve"> </w:t>
      </w:r>
      <w:r w:rsidR="003D5429">
        <w:rPr>
          <w:rFonts w:cs="Arial"/>
          <w:szCs w:val="21"/>
        </w:rPr>
        <w:t>S</w:t>
      </w:r>
      <w:r w:rsidR="003D5429" w:rsidRPr="00E62E92">
        <w:rPr>
          <w:rFonts w:cs="Arial"/>
          <w:szCs w:val="21"/>
        </w:rPr>
        <w:t>taff on service user assault or sexual assault is only a critical notifiable incident if the service user required medical treatment</w:t>
      </w:r>
      <w:r w:rsidR="006C77B4">
        <w:rPr>
          <w:rFonts w:cs="Arial"/>
          <w:szCs w:val="21"/>
        </w:rPr>
        <w:t>.</w:t>
      </w:r>
    </w:p>
    <w:p w14:paraId="11B0E0FB" w14:textId="71E2C43E" w:rsidR="00923086" w:rsidRDefault="00923086" w:rsidP="00923086">
      <w:pPr>
        <w:rPr>
          <w:szCs w:val="21"/>
        </w:rPr>
      </w:pPr>
      <w:r w:rsidRPr="006452EA">
        <w:rPr>
          <w:szCs w:val="21"/>
        </w:rPr>
        <w:t>A snapshot of the updated definitions</w:t>
      </w:r>
      <w:r w:rsidR="008B611A">
        <w:rPr>
          <w:szCs w:val="21"/>
        </w:rPr>
        <w:t xml:space="preserve"> is outlined in Table 1</w:t>
      </w:r>
      <w:r w:rsidRPr="006452EA">
        <w:rPr>
          <w:szCs w:val="21"/>
        </w:rPr>
        <w:t>:</w:t>
      </w:r>
    </w:p>
    <w:p w14:paraId="6A602938" w14:textId="0875B78D" w:rsidR="008B611A" w:rsidRPr="008B611A" w:rsidRDefault="008B611A" w:rsidP="00923086">
      <w:pPr>
        <w:rPr>
          <w:b/>
          <w:bCs/>
          <w:szCs w:val="21"/>
        </w:rPr>
      </w:pPr>
      <w:r w:rsidRPr="008B611A">
        <w:rPr>
          <w:b/>
          <w:bCs/>
          <w:szCs w:val="21"/>
        </w:rPr>
        <w:t>Table 1</w:t>
      </w:r>
    </w:p>
    <w:tbl>
      <w:tblPr>
        <w:tblStyle w:val="TableGrid"/>
        <w:tblW w:w="0" w:type="auto"/>
        <w:tblLook w:val="04A0" w:firstRow="1" w:lastRow="0" w:firstColumn="1" w:lastColumn="0" w:noHBand="0" w:noVBand="1"/>
      </w:tblPr>
      <w:tblGrid>
        <w:gridCol w:w="2547"/>
        <w:gridCol w:w="5250"/>
      </w:tblGrid>
      <w:tr w:rsidR="00923086" w:rsidRPr="00A03260" w14:paraId="70B35933" w14:textId="77777777" w:rsidTr="00A03260">
        <w:tc>
          <w:tcPr>
            <w:tcW w:w="2547" w:type="dxa"/>
            <w:tcBorders>
              <w:top w:val="nil"/>
              <w:left w:val="nil"/>
            </w:tcBorders>
          </w:tcPr>
          <w:p w14:paraId="49B3AABD" w14:textId="77777777" w:rsidR="00923086" w:rsidRPr="00A03260" w:rsidRDefault="00923086" w:rsidP="00414A50">
            <w:pPr>
              <w:rPr>
                <w:rFonts w:cs="Arial"/>
                <w:b/>
                <w:bCs/>
                <w:color w:val="002060"/>
                <w:szCs w:val="21"/>
              </w:rPr>
            </w:pPr>
            <w:r w:rsidRPr="00A03260">
              <w:rPr>
                <w:rFonts w:cs="Arial"/>
                <w:b/>
                <w:bCs/>
                <w:szCs w:val="21"/>
              </w:rPr>
              <w:t>Type of critical incident</w:t>
            </w:r>
          </w:p>
        </w:tc>
        <w:tc>
          <w:tcPr>
            <w:tcW w:w="5250" w:type="dxa"/>
            <w:tcBorders>
              <w:top w:val="nil"/>
              <w:right w:val="nil"/>
            </w:tcBorders>
          </w:tcPr>
          <w:p w14:paraId="0CA9FF49" w14:textId="77777777" w:rsidR="00923086" w:rsidRPr="00A03260" w:rsidRDefault="00923086" w:rsidP="00414A50">
            <w:pPr>
              <w:rPr>
                <w:rFonts w:cs="Arial"/>
                <w:b/>
                <w:bCs/>
                <w:szCs w:val="21"/>
              </w:rPr>
            </w:pPr>
            <w:r w:rsidRPr="00A03260">
              <w:rPr>
                <w:rFonts w:cs="Arial"/>
                <w:b/>
                <w:bCs/>
                <w:szCs w:val="21"/>
              </w:rPr>
              <w:t>Description</w:t>
            </w:r>
          </w:p>
        </w:tc>
      </w:tr>
      <w:tr w:rsidR="00923086" w:rsidRPr="00B56367" w14:paraId="32C4D7BA" w14:textId="77777777" w:rsidTr="00A03260">
        <w:tc>
          <w:tcPr>
            <w:tcW w:w="2547" w:type="dxa"/>
            <w:tcBorders>
              <w:left w:val="nil"/>
            </w:tcBorders>
          </w:tcPr>
          <w:p w14:paraId="2B71F6E2" w14:textId="77777777" w:rsidR="00923086" w:rsidRPr="00A03260" w:rsidRDefault="00923086" w:rsidP="00414A50">
            <w:pPr>
              <w:rPr>
                <w:rFonts w:cs="Arial"/>
                <w:b/>
                <w:bCs/>
                <w:color w:val="002060"/>
                <w:sz w:val="20"/>
              </w:rPr>
            </w:pPr>
            <w:r w:rsidRPr="00A03260">
              <w:rPr>
                <w:rFonts w:cs="Arial"/>
                <w:b/>
                <w:bCs/>
                <w:color w:val="002060"/>
                <w:sz w:val="20"/>
              </w:rPr>
              <w:t>Unexpected death</w:t>
            </w:r>
          </w:p>
        </w:tc>
        <w:tc>
          <w:tcPr>
            <w:tcW w:w="5250" w:type="dxa"/>
            <w:tcBorders>
              <w:right w:val="nil"/>
            </w:tcBorders>
          </w:tcPr>
          <w:p w14:paraId="4E191198" w14:textId="77777777" w:rsidR="00923086" w:rsidRPr="00A03260" w:rsidRDefault="00923086" w:rsidP="00414A50">
            <w:pPr>
              <w:rPr>
                <w:sz w:val="20"/>
              </w:rPr>
            </w:pPr>
            <w:r w:rsidRPr="00A03260">
              <w:rPr>
                <w:sz w:val="20"/>
              </w:rPr>
              <w:t>Death of a service user during service delivery where the death is unexpected</w:t>
            </w:r>
          </w:p>
        </w:tc>
      </w:tr>
      <w:tr w:rsidR="00923086" w:rsidRPr="00514803" w14:paraId="48D2640D" w14:textId="77777777" w:rsidTr="00A03260">
        <w:tc>
          <w:tcPr>
            <w:tcW w:w="2547" w:type="dxa"/>
            <w:tcBorders>
              <w:left w:val="nil"/>
            </w:tcBorders>
          </w:tcPr>
          <w:p w14:paraId="4494B670" w14:textId="77777777" w:rsidR="00923086" w:rsidRPr="00A03260" w:rsidRDefault="00923086" w:rsidP="00414A50">
            <w:pPr>
              <w:rPr>
                <w:rFonts w:cs="Arial"/>
                <w:color w:val="002060"/>
                <w:sz w:val="20"/>
              </w:rPr>
            </w:pPr>
            <w:r w:rsidRPr="00A03260">
              <w:rPr>
                <w:rFonts w:cs="Arial"/>
                <w:b/>
                <w:color w:val="002060"/>
                <w:sz w:val="20"/>
              </w:rPr>
              <w:t>Escape from a secure facility</w:t>
            </w:r>
          </w:p>
        </w:tc>
        <w:tc>
          <w:tcPr>
            <w:tcW w:w="5250" w:type="dxa"/>
            <w:tcBorders>
              <w:right w:val="nil"/>
            </w:tcBorders>
          </w:tcPr>
          <w:p w14:paraId="1827C58D" w14:textId="77777777" w:rsidR="00923086" w:rsidRPr="00A03260" w:rsidRDefault="00923086" w:rsidP="00414A50">
            <w:pPr>
              <w:rPr>
                <w:sz w:val="20"/>
              </w:rPr>
            </w:pPr>
            <w:r w:rsidRPr="00A03260">
              <w:rPr>
                <w:sz w:val="20"/>
              </w:rPr>
              <w:t>Applies only to service users in Secure Care, Custodial care and Disability services (where the relevant service user is subject to compulsory treatment or judicial orders).</w:t>
            </w:r>
          </w:p>
        </w:tc>
      </w:tr>
      <w:tr w:rsidR="00923086" w:rsidRPr="00B56367" w14:paraId="0FB72BA3" w14:textId="77777777" w:rsidTr="00A03260">
        <w:tc>
          <w:tcPr>
            <w:tcW w:w="2547" w:type="dxa"/>
            <w:tcBorders>
              <w:left w:val="nil"/>
            </w:tcBorders>
          </w:tcPr>
          <w:p w14:paraId="4A55188B" w14:textId="77777777" w:rsidR="00923086" w:rsidRPr="00A03260" w:rsidRDefault="00923086" w:rsidP="00414A50">
            <w:pPr>
              <w:rPr>
                <w:rFonts w:cs="Arial"/>
                <w:color w:val="002060"/>
                <w:sz w:val="20"/>
              </w:rPr>
            </w:pPr>
            <w:r w:rsidRPr="00A03260">
              <w:rPr>
                <w:rFonts w:cs="Arial"/>
                <w:b/>
                <w:color w:val="002060"/>
                <w:sz w:val="20"/>
              </w:rPr>
              <w:t>Medication error</w:t>
            </w:r>
          </w:p>
        </w:tc>
        <w:tc>
          <w:tcPr>
            <w:tcW w:w="5250" w:type="dxa"/>
            <w:tcBorders>
              <w:right w:val="nil"/>
            </w:tcBorders>
          </w:tcPr>
          <w:p w14:paraId="3D9B73D3" w14:textId="77777777" w:rsidR="00923086" w:rsidRPr="00A03260" w:rsidRDefault="00923086" w:rsidP="00414A50">
            <w:pPr>
              <w:rPr>
                <w:sz w:val="20"/>
              </w:rPr>
            </w:pPr>
            <w:r w:rsidRPr="00A03260">
              <w:rPr>
                <w:sz w:val="20"/>
              </w:rPr>
              <w:t>The incident results in the service user requiring medical treatment at a hospital.</w:t>
            </w:r>
          </w:p>
        </w:tc>
      </w:tr>
      <w:tr w:rsidR="00923086" w:rsidRPr="00B56367" w14:paraId="2136E355" w14:textId="77777777" w:rsidTr="00A03260">
        <w:tc>
          <w:tcPr>
            <w:tcW w:w="2547" w:type="dxa"/>
            <w:tcBorders>
              <w:left w:val="nil"/>
            </w:tcBorders>
          </w:tcPr>
          <w:p w14:paraId="0111D8B9" w14:textId="77777777" w:rsidR="00923086" w:rsidRPr="00A03260" w:rsidRDefault="00923086" w:rsidP="00414A50">
            <w:pPr>
              <w:rPr>
                <w:rFonts w:cs="Arial"/>
                <w:color w:val="002060"/>
                <w:sz w:val="20"/>
              </w:rPr>
            </w:pPr>
            <w:r w:rsidRPr="00A03260">
              <w:rPr>
                <w:rFonts w:cs="Arial"/>
                <w:b/>
                <w:color w:val="002060"/>
                <w:sz w:val="20"/>
              </w:rPr>
              <w:t>Physical abuse</w:t>
            </w:r>
          </w:p>
        </w:tc>
        <w:tc>
          <w:tcPr>
            <w:tcW w:w="5250" w:type="dxa"/>
            <w:tcBorders>
              <w:right w:val="nil"/>
            </w:tcBorders>
          </w:tcPr>
          <w:p w14:paraId="24B3CFC8" w14:textId="77777777" w:rsidR="00923086" w:rsidRPr="00A03260" w:rsidRDefault="00923086" w:rsidP="00414A50">
            <w:pPr>
              <w:rPr>
                <w:sz w:val="20"/>
              </w:rPr>
            </w:pPr>
            <w:r w:rsidRPr="00A03260">
              <w:rPr>
                <w:sz w:val="20"/>
              </w:rPr>
              <w:t>The incident results in the service user requiring medical treatment at a hospital</w:t>
            </w:r>
          </w:p>
        </w:tc>
      </w:tr>
      <w:tr w:rsidR="00923086" w:rsidRPr="00B56367" w14:paraId="338230E0" w14:textId="77777777" w:rsidTr="00A03260">
        <w:tc>
          <w:tcPr>
            <w:tcW w:w="2547" w:type="dxa"/>
            <w:tcBorders>
              <w:left w:val="nil"/>
            </w:tcBorders>
          </w:tcPr>
          <w:p w14:paraId="51BBF148" w14:textId="77777777" w:rsidR="00923086" w:rsidRPr="00A03260" w:rsidRDefault="00923086" w:rsidP="00414A50">
            <w:pPr>
              <w:rPr>
                <w:rFonts w:cs="Arial"/>
                <w:color w:val="002060"/>
                <w:sz w:val="20"/>
              </w:rPr>
            </w:pPr>
            <w:r w:rsidRPr="00A03260">
              <w:rPr>
                <w:rFonts w:cs="Arial"/>
                <w:b/>
                <w:color w:val="002060"/>
                <w:sz w:val="20"/>
              </w:rPr>
              <w:t>Sexual abuse</w:t>
            </w:r>
          </w:p>
        </w:tc>
        <w:tc>
          <w:tcPr>
            <w:tcW w:w="5250" w:type="dxa"/>
            <w:tcBorders>
              <w:right w:val="nil"/>
            </w:tcBorders>
          </w:tcPr>
          <w:p w14:paraId="32243E99" w14:textId="77777777" w:rsidR="00923086" w:rsidRPr="00A03260" w:rsidRDefault="00923086" w:rsidP="00414A50">
            <w:pPr>
              <w:rPr>
                <w:sz w:val="20"/>
              </w:rPr>
            </w:pPr>
            <w:r w:rsidRPr="00A03260">
              <w:rPr>
                <w:sz w:val="20"/>
              </w:rPr>
              <w:t>The incident required police involvement and the service user required medical treatment at a hospital.</w:t>
            </w:r>
          </w:p>
        </w:tc>
      </w:tr>
      <w:tr w:rsidR="00923086" w:rsidRPr="00B56367" w14:paraId="1BA5C175" w14:textId="77777777" w:rsidTr="00A03260">
        <w:tc>
          <w:tcPr>
            <w:tcW w:w="2547" w:type="dxa"/>
            <w:tcBorders>
              <w:left w:val="nil"/>
            </w:tcBorders>
          </w:tcPr>
          <w:p w14:paraId="2499CB2E" w14:textId="77777777" w:rsidR="00923086" w:rsidRPr="00A03260" w:rsidRDefault="00923086" w:rsidP="00414A50">
            <w:pPr>
              <w:pStyle w:val="Tabletext"/>
              <w:rPr>
                <w:rFonts w:cs="Arial"/>
                <w:b/>
                <w:color w:val="002060"/>
                <w:sz w:val="20"/>
              </w:rPr>
            </w:pPr>
            <w:r w:rsidRPr="00A03260">
              <w:rPr>
                <w:rFonts w:cs="Arial"/>
                <w:b/>
                <w:bCs/>
                <w:color w:val="002060"/>
                <w:sz w:val="20"/>
              </w:rPr>
              <w:t xml:space="preserve">Fire, flood or </w:t>
            </w:r>
            <w:proofErr w:type="gramStart"/>
            <w:r w:rsidRPr="00A03260">
              <w:rPr>
                <w:rFonts w:cs="Arial"/>
                <w:b/>
                <w:bCs/>
                <w:color w:val="002060"/>
                <w:sz w:val="20"/>
              </w:rPr>
              <w:t>other</w:t>
            </w:r>
            <w:proofErr w:type="gramEnd"/>
            <w:r w:rsidRPr="00A03260">
              <w:rPr>
                <w:rFonts w:cs="Arial"/>
                <w:color w:val="002060"/>
                <w:sz w:val="20"/>
              </w:rPr>
              <w:t xml:space="preserve"> </w:t>
            </w:r>
            <w:r w:rsidRPr="00A03260">
              <w:rPr>
                <w:rFonts w:cs="Arial"/>
                <w:b/>
                <w:color w:val="002060"/>
                <w:sz w:val="20"/>
              </w:rPr>
              <w:t>emergency event</w:t>
            </w:r>
          </w:p>
        </w:tc>
        <w:tc>
          <w:tcPr>
            <w:tcW w:w="5250" w:type="dxa"/>
            <w:tcBorders>
              <w:right w:val="nil"/>
            </w:tcBorders>
          </w:tcPr>
          <w:p w14:paraId="3B147A54" w14:textId="77777777" w:rsidR="00923086" w:rsidRPr="00A03260" w:rsidRDefault="00923086" w:rsidP="00414A50">
            <w:pPr>
              <w:rPr>
                <w:sz w:val="20"/>
              </w:rPr>
            </w:pPr>
            <w:r w:rsidRPr="00A03260">
              <w:rPr>
                <w:sz w:val="20"/>
              </w:rPr>
              <w:t>Results in a service user requiring medical treatment at a hospital; and/or the relocation of service users.</w:t>
            </w:r>
          </w:p>
        </w:tc>
      </w:tr>
    </w:tbl>
    <w:p w14:paraId="40FB7048" w14:textId="77777777" w:rsidR="00923086" w:rsidRDefault="00923086" w:rsidP="00923086"/>
    <w:p w14:paraId="090F5EA4" w14:textId="77777777" w:rsidR="00923086" w:rsidRDefault="00923086" w:rsidP="00923086">
      <w:pPr>
        <w:pStyle w:val="Heading2"/>
      </w:pPr>
      <w:r>
        <w:lastRenderedPageBreak/>
        <w:t>Have the notification requirements changed?</w:t>
      </w:r>
    </w:p>
    <w:p w14:paraId="2DAE5CF2" w14:textId="77777777" w:rsidR="00923086" w:rsidRPr="00923086" w:rsidRDefault="00923086" w:rsidP="00923086">
      <w:pPr>
        <w:rPr>
          <w:rFonts w:cs="Arial"/>
          <w:szCs w:val="21"/>
        </w:rPr>
      </w:pPr>
      <w:r w:rsidRPr="00923086">
        <w:rPr>
          <w:rFonts w:cs="Arial"/>
          <w:szCs w:val="21"/>
        </w:rPr>
        <w:t>No. There is still a two-step process for notifying the Regulator of critical notifiable incidents. This means that service providers must:</w:t>
      </w:r>
    </w:p>
    <w:p w14:paraId="15307F91" w14:textId="77777777" w:rsidR="00923086" w:rsidRPr="00923086" w:rsidRDefault="00923086" w:rsidP="00CC2B3E">
      <w:pPr>
        <w:pStyle w:val="ListParagraph"/>
        <w:numPr>
          <w:ilvl w:val="0"/>
          <w:numId w:val="7"/>
        </w:numPr>
        <w:spacing w:after="240" w:line="240" w:lineRule="auto"/>
        <w:jc w:val="both"/>
        <w:rPr>
          <w:rFonts w:ascii="Arial" w:eastAsia="MS PMincho" w:hAnsi="Arial" w:cs="Arial"/>
          <w:sz w:val="21"/>
          <w:szCs w:val="21"/>
        </w:rPr>
      </w:pPr>
      <w:r w:rsidRPr="00923086">
        <w:rPr>
          <w:rFonts w:ascii="Arial" w:eastAsia="MS PMincho" w:hAnsi="Arial" w:cs="Arial"/>
          <w:sz w:val="21"/>
          <w:szCs w:val="21"/>
        </w:rPr>
        <w:t>Report the critical notifiable incident by close of business on the next business day</w:t>
      </w:r>
    </w:p>
    <w:p w14:paraId="009A9461" w14:textId="77777777" w:rsidR="00923086" w:rsidRPr="00923086" w:rsidRDefault="00923086" w:rsidP="00923086">
      <w:pPr>
        <w:pStyle w:val="ListParagraph"/>
        <w:spacing w:after="240"/>
        <w:jc w:val="both"/>
        <w:rPr>
          <w:rFonts w:ascii="Arial" w:eastAsia="MS PMincho" w:hAnsi="Arial" w:cs="Arial"/>
          <w:sz w:val="21"/>
          <w:szCs w:val="21"/>
        </w:rPr>
      </w:pPr>
    </w:p>
    <w:p w14:paraId="453AF147" w14:textId="77777777" w:rsidR="00923086" w:rsidRPr="00923086" w:rsidRDefault="00923086" w:rsidP="00CC2B3E">
      <w:pPr>
        <w:pStyle w:val="ListParagraph"/>
        <w:numPr>
          <w:ilvl w:val="0"/>
          <w:numId w:val="7"/>
        </w:numPr>
        <w:spacing w:after="240" w:line="240" w:lineRule="auto"/>
        <w:jc w:val="both"/>
        <w:rPr>
          <w:rFonts w:ascii="Arial" w:eastAsia="MS PMincho" w:hAnsi="Arial" w:cs="Arial"/>
          <w:sz w:val="21"/>
          <w:szCs w:val="21"/>
        </w:rPr>
      </w:pPr>
      <w:r w:rsidRPr="00923086">
        <w:rPr>
          <w:rFonts w:ascii="Arial" w:eastAsia="MS PMincho" w:hAnsi="Arial" w:cs="Arial"/>
          <w:sz w:val="21"/>
          <w:szCs w:val="21"/>
        </w:rPr>
        <w:t xml:space="preserve">Complete </w:t>
      </w:r>
      <w:r w:rsidRPr="00923086">
        <w:rPr>
          <w:rFonts w:ascii="Arial" w:eastAsia="MS PMincho" w:hAnsi="Arial" w:cs="Arial"/>
          <w:b/>
          <w:bCs/>
          <w:sz w:val="21"/>
          <w:szCs w:val="21"/>
        </w:rPr>
        <w:t>a full incident report within three business days</w:t>
      </w:r>
      <w:r w:rsidRPr="00923086">
        <w:rPr>
          <w:rFonts w:ascii="Arial" w:eastAsia="MS PMincho" w:hAnsi="Arial" w:cs="Arial"/>
          <w:sz w:val="21"/>
          <w:szCs w:val="21"/>
        </w:rPr>
        <w:t>.</w:t>
      </w:r>
    </w:p>
    <w:p w14:paraId="1F8F0D8C" w14:textId="77777777" w:rsidR="00923086" w:rsidRPr="00923086" w:rsidRDefault="00923086" w:rsidP="00923086">
      <w:pPr>
        <w:rPr>
          <w:rFonts w:cs="Arial"/>
          <w:szCs w:val="21"/>
        </w:rPr>
      </w:pPr>
      <w:r w:rsidRPr="00923086">
        <w:rPr>
          <w:rFonts w:cs="Arial"/>
          <w:szCs w:val="21"/>
        </w:rPr>
        <w:t xml:space="preserve">This webpage steps you through how to complete each of these reports </w:t>
      </w:r>
      <w:hyperlink r:id="rId17" w:history="1">
        <w:r w:rsidRPr="00923086">
          <w:rPr>
            <w:rStyle w:val="Hyperlink"/>
            <w:rFonts w:cs="Arial"/>
            <w:szCs w:val="21"/>
          </w:rPr>
          <w:t>Reporting a notifiable incident | vic.gov.au (www.vic.gov.au)</w:t>
        </w:r>
      </w:hyperlink>
      <w:r w:rsidRPr="00923086">
        <w:rPr>
          <w:rFonts w:cs="Arial"/>
          <w:szCs w:val="21"/>
        </w:rPr>
        <w:t>.</w:t>
      </w:r>
    </w:p>
    <w:p w14:paraId="4E07799E" w14:textId="77777777" w:rsidR="00923086" w:rsidRPr="00923086" w:rsidRDefault="00923086" w:rsidP="00923086">
      <w:pPr>
        <w:rPr>
          <w:rFonts w:cs="Arial"/>
          <w:szCs w:val="21"/>
        </w:rPr>
      </w:pPr>
      <w:r w:rsidRPr="00923086">
        <w:rPr>
          <w:rFonts w:cs="Arial"/>
          <w:szCs w:val="21"/>
        </w:rPr>
        <w:t>For other notifiable incidents that do meet the definition of a critical notifiable incident, you still need to complete a full incident report about the incident within three business days.</w:t>
      </w:r>
    </w:p>
    <w:p w14:paraId="0FD18BDD" w14:textId="77777777" w:rsidR="00923086" w:rsidRDefault="00923086" w:rsidP="00923086"/>
    <w:p w14:paraId="74EF56D4" w14:textId="77777777" w:rsidR="00923086" w:rsidRDefault="00923086" w:rsidP="00923086">
      <w:pPr>
        <w:pStyle w:val="Heading2"/>
      </w:pPr>
      <w:r>
        <w:t>Why do I need to fill out an incident report, if I have already alerted the Regulator to a critical notifiable incident?</w:t>
      </w:r>
    </w:p>
    <w:p w14:paraId="1CE2F00A" w14:textId="77777777" w:rsidR="00923086" w:rsidRDefault="00923086" w:rsidP="00923086">
      <w:pPr>
        <w:spacing w:after="240"/>
        <w:rPr>
          <w:rFonts w:cs="Arial"/>
          <w:szCs w:val="21"/>
        </w:rPr>
      </w:pPr>
      <w:r w:rsidRPr="00590A54">
        <w:rPr>
          <w:szCs w:val="21"/>
        </w:rPr>
        <w:t xml:space="preserve">The full incident report, to be submitted within three business days, provides further detail to help inform the Regulator’s response. </w:t>
      </w:r>
      <w:r w:rsidRPr="00590A54">
        <w:rPr>
          <w:rFonts w:cs="Arial"/>
          <w:szCs w:val="21"/>
        </w:rPr>
        <w:t xml:space="preserve">In most cases, if the critical notifiable incident </w:t>
      </w:r>
      <w:r>
        <w:rPr>
          <w:rFonts w:cs="Arial"/>
          <w:szCs w:val="21"/>
        </w:rPr>
        <w:t>short form</w:t>
      </w:r>
      <w:r w:rsidRPr="00590A54">
        <w:rPr>
          <w:rFonts w:cs="Arial"/>
          <w:szCs w:val="21"/>
        </w:rPr>
        <w:t xml:space="preserve"> is completed correctly, the Regulator will first review the </w:t>
      </w:r>
      <w:r w:rsidRPr="00590A54">
        <w:rPr>
          <w:rFonts w:cs="Arial"/>
          <w:b/>
          <w:szCs w:val="21"/>
        </w:rPr>
        <w:t>full incident report</w:t>
      </w:r>
      <w:r w:rsidRPr="00590A54">
        <w:rPr>
          <w:rFonts w:cs="Arial"/>
          <w:szCs w:val="21"/>
        </w:rPr>
        <w:t xml:space="preserve"> before initiating a follow up with a service provider.</w:t>
      </w:r>
    </w:p>
    <w:p w14:paraId="491F6E33" w14:textId="77777777" w:rsidR="00923086" w:rsidRPr="007A4107" w:rsidRDefault="00923086" w:rsidP="00923086">
      <w:pPr>
        <w:rPr>
          <w:szCs w:val="21"/>
        </w:rPr>
      </w:pPr>
      <w:r w:rsidRPr="00750BF6">
        <w:rPr>
          <w:szCs w:val="21"/>
        </w:rPr>
        <w:t xml:space="preserve">The </w:t>
      </w:r>
      <w:r>
        <w:rPr>
          <w:szCs w:val="21"/>
        </w:rPr>
        <w:t xml:space="preserve">full </w:t>
      </w:r>
      <w:r w:rsidRPr="00750BF6">
        <w:rPr>
          <w:szCs w:val="21"/>
        </w:rPr>
        <w:t xml:space="preserve">incident report provides important information that helps the Regulator to identify in further detail important sector trends and needs. This information helps to inform </w:t>
      </w:r>
      <w:r>
        <w:rPr>
          <w:szCs w:val="21"/>
        </w:rPr>
        <w:t>the Regulator’s</w:t>
      </w:r>
      <w:r w:rsidRPr="00750BF6">
        <w:rPr>
          <w:szCs w:val="21"/>
        </w:rPr>
        <w:t xml:space="preserve"> proportionate, risk-based approach to regulation including minimising regulatory burden where possible.</w:t>
      </w:r>
    </w:p>
    <w:p w14:paraId="55D367B4" w14:textId="77777777" w:rsidR="00923086" w:rsidRDefault="00923086" w:rsidP="00923086">
      <w:pPr>
        <w:spacing w:after="240"/>
      </w:pPr>
    </w:p>
    <w:p w14:paraId="2A3E41AE" w14:textId="77777777" w:rsidR="00923086" w:rsidRDefault="00923086" w:rsidP="00923086">
      <w:pPr>
        <w:pStyle w:val="Heading2"/>
      </w:pPr>
      <w:r>
        <w:t>What if I haven’t yet found out all the details of a critical notifiable incident?</w:t>
      </w:r>
    </w:p>
    <w:p w14:paraId="316A6928" w14:textId="77777777" w:rsidR="00923086" w:rsidRPr="00E20949" w:rsidRDefault="00923086" w:rsidP="00923086">
      <w:pPr>
        <w:rPr>
          <w:szCs w:val="21"/>
        </w:rPr>
      </w:pPr>
      <w:r>
        <w:rPr>
          <w:szCs w:val="21"/>
        </w:rPr>
        <w:t>Service providers still need</w:t>
      </w:r>
      <w:r w:rsidRPr="00E20949">
        <w:rPr>
          <w:szCs w:val="21"/>
        </w:rPr>
        <w:t xml:space="preserve"> to report what </w:t>
      </w:r>
      <w:r>
        <w:rPr>
          <w:szCs w:val="21"/>
        </w:rPr>
        <w:t xml:space="preserve">they </w:t>
      </w:r>
      <w:r w:rsidRPr="00E20949">
        <w:rPr>
          <w:szCs w:val="21"/>
        </w:rPr>
        <w:t xml:space="preserve">know about a critical notifiable incident to the Regulator </w:t>
      </w:r>
      <w:r>
        <w:rPr>
          <w:szCs w:val="21"/>
        </w:rPr>
        <w:t>by close of business the next business day.</w:t>
      </w:r>
    </w:p>
    <w:p w14:paraId="5A50FF2B" w14:textId="77777777" w:rsidR="00923086" w:rsidRPr="00E20949" w:rsidRDefault="00923086" w:rsidP="00923086">
      <w:pPr>
        <w:rPr>
          <w:szCs w:val="21"/>
        </w:rPr>
      </w:pPr>
      <w:r w:rsidRPr="00E20949">
        <w:rPr>
          <w:szCs w:val="21"/>
        </w:rPr>
        <w:t xml:space="preserve">The critical incident notification </w:t>
      </w:r>
      <w:r>
        <w:rPr>
          <w:szCs w:val="21"/>
        </w:rPr>
        <w:t xml:space="preserve">short </w:t>
      </w:r>
      <w:r w:rsidRPr="00E20949">
        <w:rPr>
          <w:szCs w:val="21"/>
        </w:rPr>
        <w:t>form is designed for you to provide a concise summary of what you know about the incident and to outline the actions you’ve taken.</w:t>
      </w:r>
    </w:p>
    <w:p w14:paraId="7059F414" w14:textId="68585FD3" w:rsidR="00923086" w:rsidRPr="00E20949" w:rsidRDefault="00923086" w:rsidP="00923086">
      <w:r>
        <w:t>Ensuring social service users are safe is a core objective of the Social Services Regulator. It is important that the Regulator can take action to minimise the possibilit</w:t>
      </w:r>
      <w:r w:rsidR="62EF9ADB">
        <w:t>y</w:t>
      </w:r>
      <w:r>
        <w:t xml:space="preserve"> of serious harm occurring wherever possible.</w:t>
      </w:r>
    </w:p>
    <w:p w14:paraId="45F58CD7" w14:textId="77777777" w:rsidR="00923086" w:rsidRPr="009C26AD" w:rsidRDefault="00923086" w:rsidP="00923086">
      <w:pPr>
        <w:rPr>
          <w:szCs w:val="21"/>
        </w:rPr>
      </w:pPr>
      <w:r w:rsidRPr="00E20949">
        <w:rPr>
          <w:szCs w:val="21"/>
        </w:rPr>
        <w:t xml:space="preserve">The specific definitions of critical notifiable incidents have been </w:t>
      </w:r>
      <w:r w:rsidRPr="0088486F">
        <w:rPr>
          <w:szCs w:val="21"/>
        </w:rPr>
        <w:t xml:space="preserve">carefully reviewed to be as focused as possible, rather than to create broad urgent </w:t>
      </w:r>
      <w:r>
        <w:rPr>
          <w:szCs w:val="21"/>
        </w:rPr>
        <w:t>reporting</w:t>
      </w:r>
      <w:r w:rsidRPr="0088486F">
        <w:rPr>
          <w:szCs w:val="21"/>
        </w:rPr>
        <w:t xml:space="preserve"> requirements.</w:t>
      </w:r>
    </w:p>
    <w:p w14:paraId="7828EB65" w14:textId="77777777" w:rsidR="00923086" w:rsidRDefault="00923086" w:rsidP="00923086"/>
    <w:p w14:paraId="54DB72FB" w14:textId="77777777" w:rsidR="00923086" w:rsidRDefault="00923086" w:rsidP="00923086">
      <w:pPr>
        <w:pStyle w:val="Heading2"/>
      </w:pPr>
      <w:r>
        <w:t>We have investigation processes to confirm allegations of certain incidents. Do I still need to alert the Regulator during this process?</w:t>
      </w:r>
    </w:p>
    <w:p w14:paraId="01D6F99A" w14:textId="160D0794" w:rsidR="00923086" w:rsidRPr="00E20949" w:rsidRDefault="00923086" w:rsidP="00923086">
      <w:pPr>
        <w:rPr>
          <w:szCs w:val="21"/>
        </w:rPr>
      </w:pPr>
      <w:r w:rsidRPr="00E20949">
        <w:rPr>
          <w:szCs w:val="21"/>
        </w:rPr>
        <w:t xml:space="preserve">If </w:t>
      </w:r>
      <w:r>
        <w:rPr>
          <w:szCs w:val="21"/>
        </w:rPr>
        <w:t xml:space="preserve">an incident meets the definition of </w:t>
      </w:r>
      <w:r w:rsidRPr="00E20949">
        <w:rPr>
          <w:szCs w:val="21"/>
        </w:rPr>
        <w:t>a critical notifiable incident, this incident must be reported to the Regulator by the close of the next business day, by completing the critical notifiable incident form.</w:t>
      </w:r>
    </w:p>
    <w:p w14:paraId="2F324A6F" w14:textId="77777777" w:rsidR="00923086" w:rsidRPr="00E20949" w:rsidRDefault="00923086" w:rsidP="00923086">
      <w:pPr>
        <w:rPr>
          <w:szCs w:val="21"/>
        </w:rPr>
      </w:pPr>
      <w:r w:rsidRPr="00E20949">
        <w:rPr>
          <w:szCs w:val="21"/>
        </w:rPr>
        <w:t xml:space="preserve">The Regulator </w:t>
      </w:r>
      <w:r>
        <w:rPr>
          <w:szCs w:val="21"/>
        </w:rPr>
        <w:t>understands</w:t>
      </w:r>
      <w:r w:rsidRPr="00E20949">
        <w:rPr>
          <w:szCs w:val="21"/>
        </w:rPr>
        <w:t xml:space="preserve"> that within this initial urgent reporting period, </w:t>
      </w:r>
      <w:r>
        <w:rPr>
          <w:szCs w:val="21"/>
        </w:rPr>
        <w:t>service providers</w:t>
      </w:r>
      <w:r w:rsidRPr="00E20949">
        <w:rPr>
          <w:szCs w:val="21"/>
        </w:rPr>
        <w:t xml:space="preserve"> may not yet have all the details confirmed about the incident.</w:t>
      </w:r>
    </w:p>
    <w:p w14:paraId="375E54BA" w14:textId="77777777" w:rsidR="00923086" w:rsidRPr="00E20949" w:rsidRDefault="00923086" w:rsidP="00923086">
      <w:pPr>
        <w:rPr>
          <w:szCs w:val="21"/>
        </w:rPr>
      </w:pPr>
      <w:r w:rsidRPr="00E20949">
        <w:rPr>
          <w:szCs w:val="21"/>
        </w:rPr>
        <w:lastRenderedPageBreak/>
        <w:t xml:space="preserve">By providing an initial summary of the incident </w:t>
      </w:r>
      <w:r>
        <w:rPr>
          <w:szCs w:val="21"/>
        </w:rPr>
        <w:t xml:space="preserve">by close of business </w:t>
      </w:r>
      <w:r w:rsidRPr="00675AC5">
        <w:rPr>
          <w:szCs w:val="21"/>
        </w:rPr>
        <w:t>the following business day</w:t>
      </w:r>
      <w:r w:rsidRPr="00E20949">
        <w:rPr>
          <w:szCs w:val="21"/>
        </w:rPr>
        <w:t xml:space="preserve">, you are helping the Regulator to achieve </w:t>
      </w:r>
      <w:r>
        <w:rPr>
          <w:szCs w:val="21"/>
        </w:rPr>
        <w:t>its</w:t>
      </w:r>
      <w:r w:rsidRPr="00E20949">
        <w:rPr>
          <w:szCs w:val="21"/>
        </w:rPr>
        <w:t xml:space="preserve"> core objective of minimising harm to </w:t>
      </w:r>
      <w:r>
        <w:rPr>
          <w:szCs w:val="21"/>
        </w:rPr>
        <w:t xml:space="preserve">social </w:t>
      </w:r>
      <w:r w:rsidRPr="00E20949">
        <w:rPr>
          <w:szCs w:val="21"/>
        </w:rPr>
        <w:t>service users where possible.</w:t>
      </w:r>
    </w:p>
    <w:p w14:paraId="38E52A3A" w14:textId="77777777" w:rsidR="00923086" w:rsidRDefault="00923086" w:rsidP="00923086"/>
    <w:p w14:paraId="57E9DEE1" w14:textId="77777777" w:rsidR="006E6FCC" w:rsidRDefault="006E6FCC" w:rsidP="006E6FCC">
      <w:pPr>
        <w:pStyle w:val="Heading2"/>
      </w:pPr>
      <w:r>
        <w:t>Absent service user and staff on service user assault can be something that happens regularly. Is this still considered a critical notifiable incident to be reported within 24 hours?</w:t>
      </w:r>
    </w:p>
    <w:p w14:paraId="45567BFA" w14:textId="77777777" w:rsidR="00F94961" w:rsidRPr="00E62E92" w:rsidRDefault="006E6FCC" w:rsidP="006E6FCC">
      <w:pPr>
        <w:rPr>
          <w:rFonts w:cs="Arial"/>
          <w:szCs w:val="21"/>
        </w:rPr>
      </w:pPr>
      <w:r w:rsidRPr="006E6FCC">
        <w:rPr>
          <w:rFonts w:cs="Arial"/>
          <w:szCs w:val="21"/>
        </w:rPr>
        <w:t>Following review of the critical notifiable incident definitions</w:t>
      </w:r>
      <w:r w:rsidR="00F94961" w:rsidRPr="00E62E92">
        <w:rPr>
          <w:rFonts w:cs="Arial"/>
          <w:szCs w:val="21"/>
        </w:rPr>
        <w:t>:</w:t>
      </w:r>
    </w:p>
    <w:p w14:paraId="416EE2DE" w14:textId="5C8BFCB8" w:rsidR="00FA49F6" w:rsidRPr="00E62E92" w:rsidRDefault="00DF7B67" w:rsidP="00CC2B3E">
      <w:pPr>
        <w:pStyle w:val="ListParagraph"/>
        <w:numPr>
          <w:ilvl w:val="0"/>
          <w:numId w:val="13"/>
        </w:numPr>
        <w:rPr>
          <w:rFonts w:ascii="Arial" w:hAnsi="Arial" w:cs="Arial"/>
          <w:sz w:val="21"/>
          <w:szCs w:val="21"/>
        </w:rPr>
      </w:pPr>
      <w:r>
        <w:rPr>
          <w:rFonts w:ascii="Arial" w:hAnsi="Arial" w:cs="Arial"/>
          <w:sz w:val="21"/>
          <w:szCs w:val="21"/>
        </w:rPr>
        <w:t>a</w:t>
      </w:r>
      <w:r w:rsidR="00317906" w:rsidRPr="00E62E92">
        <w:rPr>
          <w:rFonts w:ascii="Arial" w:hAnsi="Arial" w:cs="Arial"/>
          <w:sz w:val="21"/>
          <w:szCs w:val="21"/>
        </w:rPr>
        <w:t>bsent service use</w:t>
      </w:r>
      <w:r w:rsidR="00E04EC2" w:rsidRPr="00E62E92">
        <w:rPr>
          <w:rFonts w:ascii="Arial" w:hAnsi="Arial" w:cs="Arial"/>
          <w:sz w:val="21"/>
          <w:szCs w:val="21"/>
        </w:rPr>
        <w:t>r is no longer a critical notifiable incident</w:t>
      </w:r>
    </w:p>
    <w:p w14:paraId="34AAEE5F" w14:textId="6CB8DCF7" w:rsidR="006E6FCC" w:rsidRPr="00E62E92" w:rsidRDefault="006E6FCC" w:rsidP="00CC2B3E">
      <w:pPr>
        <w:pStyle w:val="ListParagraph"/>
        <w:numPr>
          <w:ilvl w:val="0"/>
          <w:numId w:val="13"/>
        </w:numPr>
        <w:rPr>
          <w:rFonts w:ascii="Arial" w:hAnsi="Arial" w:cs="Arial"/>
          <w:sz w:val="21"/>
          <w:szCs w:val="21"/>
        </w:rPr>
      </w:pPr>
      <w:r w:rsidRPr="00E62E92">
        <w:rPr>
          <w:rFonts w:ascii="Arial" w:hAnsi="Arial" w:cs="Arial"/>
          <w:sz w:val="21"/>
          <w:szCs w:val="21"/>
        </w:rPr>
        <w:t xml:space="preserve">staff on service user assault or sexual assault </w:t>
      </w:r>
      <w:r w:rsidR="00C9499B" w:rsidRPr="00E62E92">
        <w:rPr>
          <w:rFonts w:ascii="Arial" w:hAnsi="Arial" w:cs="Arial"/>
          <w:sz w:val="21"/>
          <w:szCs w:val="21"/>
        </w:rPr>
        <w:t>is only a critical notifiable incident if</w:t>
      </w:r>
      <w:r w:rsidRPr="00E62E92">
        <w:rPr>
          <w:rFonts w:ascii="Arial" w:hAnsi="Arial" w:cs="Arial"/>
          <w:sz w:val="21"/>
          <w:szCs w:val="21"/>
        </w:rPr>
        <w:t xml:space="preserve"> the service user requir</w:t>
      </w:r>
      <w:r w:rsidR="00E27393" w:rsidRPr="00E62E92">
        <w:rPr>
          <w:rFonts w:ascii="Arial" w:hAnsi="Arial" w:cs="Arial"/>
          <w:sz w:val="21"/>
          <w:szCs w:val="21"/>
        </w:rPr>
        <w:t>ed</w:t>
      </w:r>
      <w:r w:rsidRPr="00E62E92">
        <w:rPr>
          <w:rFonts w:ascii="Arial" w:hAnsi="Arial" w:cs="Arial"/>
          <w:sz w:val="21"/>
          <w:szCs w:val="21"/>
        </w:rPr>
        <w:t xml:space="preserve"> medical treatment.</w:t>
      </w:r>
    </w:p>
    <w:p w14:paraId="1F2D3F25" w14:textId="77777777" w:rsidR="00A15198" w:rsidRPr="00E62E92" w:rsidRDefault="00A15198" w:rsidP="00A15198">
      <w:pPr>
        <w:rPr>
          <w:rFonts w:cs="Arial"/>
          <w:szCs w:val="21"/>
        </w:rPr>
      </w:pPr>
      <w:r w:rsidRPr="00E62E92">
        <w:rPr>
          <w:rFonts w:cs="Arial"/>
          <w:szCs w:val="21"/>
        </w:rPr>
        <w:t>This means it’s not necessary to complete the critical notifiable incident short form by close of business the next business day.</w:t>
      </w:r>
    </w:p>
    <w:p w14:paraId="5172E6F8" w14:textId="69F50B0F" w:rsidR="004C079A" w:rsidRPr="00964440" w:rsidRDefault="00A15198" w:rsidP="00A15198">
      <w:pPr>
        <w:rPr>
          <w:rFonts w:cs="Arial"/>
          <w:szCs w:val="21"/>
        </w:rPr>
      </w:pPr>
      <w:r w:rsidRPr="00964440">
        <w:rPr>
          <w:rFonts w:cs="Arial"/>
          <w:szCs w:val="21"/>
        </w:rPr>
        <w:t xml:space="preserve">It is necessary to submit a full incident report </w:t>
      </w:r>
      <w:r w:rsidR="00F95886" w:rsidRPr="00964440">
        <w:rPr>
          <w:rFonts w:cs="Arial"/>
          <w:szCs w:val="21"/>
        </w:rPr>
        <w:t xml:space="preserve">within three business days </w:t>
      </w:r>
      <w:r w:rsidR="00943A64" w:rsidRPr="006E6FCC">
        <w:rPr>
          <w:rFonts w:cs="Arial"/>
          <w:szCs w:val="21"/>
        </w:rPr>
        <w:t>for</w:t>
      </w:r>
      <w:r w:rsidR="004C079A" w:rsidRPr="00964440">
        <w:rPr>
          <w:rFonts w:cs="Arial"/>
          <w:szCs w:val="21"/>
        </w:rPr>
        <w:t>:</w:t>
      </w:r>
    </w:p>
    <w:p w14:paraId="00D0D264" w14:textId="498A6383" w:rsidR="00F95886" w:rsidRPr="00964440" w:rsidRDefault="00943A64" w:rsidP="00CC2B3E">
      <w:pPr>
        <w:pStyle w:val="ListParagraph"/>
        <w:numPr>
          <w:ilvl w:val="0"/>
          <w:numId w:val="14"/>
        </w:numPr>
        <w:rPr>
          <w:rFonts w:ascii="Arial" w:hAnsi="Arial" w:cs="Arial"/>
          <w:sz w:val="21"/>
          <w:szCs w:val="21"/>
        </w:rPr>
      </w:pPr>
      <w:r w:rsidRPr="00964440">
        <w:rPr>
          <w:rFonts w:ascii="Arial" w:hAnsi="Arial" w:cs="Arial"/>
          <w:sz w:val="21"/>
          <w:szCs w:val="21"/>
        </w:rPr>
        <w:t>absent service user</w:t>
      </w:r>
    </w:p>
    <w:p w14:paraId="25DC3301" w14:textId="1705C7E8" w:rsidR="00A15198" w:rsidRPr="00964440" w:rsidRDefault="00943A64" w:rsidP="00CC2B3E">
      <w:pPr>
        <w:pStyle w:val="ListParagraph"/>
        <w:numPr>
          <w:ilvl w:val="0"/>
          <w:numId w:val="14"/>
        </w:numPr>
        <w:rPr>
          <w:rFonts w:ascii="Arial" w:hAnsi="Arial" w:cs="Arial"/>
          <w:sz w:val="21"/>
          <w:szCs w:val="21"/>
        </w:rPr>
      </w:pPr>
      <w:r w:rsidRPr="00964440">
        <w:rPr>
          <w:rFonts w:ascii="Arial" w:hAnsi="Arial" w:cs="Arial"/>
          <w:sz w:val="21"/>
          <w:szCs w:val="21"/>
        </w:rPr>
        <w:t>staff on service user</w:t>
      </w:r>
      <w:r w:rsidR="00F95886" w:rsidRPr="00964440">
        <w:rPr>
          <w:rFonts w:ascii="Arial" w:hAnsi="Arial" w:cs="Arial"/>
          <w:sz w:val="21"/>
          <w:szCs w:val="21"/>
        </w:rPr>
        <w:t xml:space="preserve"> </w:t>
      </w:r>
      <w:r w:rsidRPr="00964440">
        <w:rPr>
          <w:rFonts w:ascii="Arial" w:hAnsi="Arial" w:cs="Arial"/>
          <w:sz w:val="21"/>
          <w:szCs w:val="21"/>
        </w:rPr>
        <w:t>assault or sexual assault that d</w:t>
      </w:r>
      <w:r w:rsidR="00390CBE">
        <w:rPr>
          <w:rFonts w:ascii="Arial" w:hAnsi="Arial" w:cs="Arial"/>
          <w:sz w:val="21"/>
          <w:szCs w:val="21"/>
        </w:rPr>
        <w:t>id</w:t>
      </w:r>
      <w:r w:rsidRPr="00964440">
        <w:rPr>
          <w:rFonts w:ascii="Arial" w:hAnsi="Arial" w:cs="Arial"/>
          <w:sz w:val="21"/>
          <w:szCs w:val="21"/>
        </w:rPr>
        <w:t xml:space="preserve"> not result in the service user requiring medical treatment</w:t>
      </w:r>
      <w:r w:rsidR="00A15198" w:rsidRPr="00964440">
        <w:rPr>
          <w:rFonts w:ascii="Arial" w:hAnsi="Arial" w:cs="Arial"/>
          <w:sz w:val="21"/>
          <w:szCs w:val="21"/>
        </w:rPr>
        <w:t>.</w:t>
      </w:r>
    </w:p>
    <w:p w14:paraId="019BFA9C" w14:textId="77777777" w:rsidR="006E6FCC" w:rsidRDefault="006E6FCC" w:rsidP="00923086"/>
    <w:p w14:paraId="4A91D7EC" w14:textId="77777777" w:rsidR="00923086" w:rsidRDefault="00923086" w:rsidP="00923086">
      <w:pPr>
        <w:pStyle w:val="Heading2"/>
      </w:pPr>
      <w:r>
        <w:t>An incident occurred on the weekend. When do I notify the Regulator?</w:t>
      </w:r>
    </w:p>
    <w:p w14:paraId="5815654E" w14:textId="77777777" w:rsidR="00923086" w:rsidRDefault="00923086" w:rsidP="00923086">
      <w:pPr>
        <w:rPr>
          <w:szCs w:val="21"/>
        </w:rPr>
      </w:pPr>
      <w:r>
        <w:rPr>
          <w:szCs w:val="21"/>
        </w:rPr>
        <w:t>First check if the incident meets the definition of critical notifiable incident.</w:t>
      </w:r>
    </w:p>
    <w:p w14:paraId="47DC42BE" w14:textId="77777777" w:rsidR="00923086" w:rsidRDefault="00923086" w:rsidP="00923086">
      <w:pPr>
        <w:rPr>
          <w:szCs w:val="21"/>
        </w:rPr>
      </w:pPr>
      <w:r>
        <w:rPr>
          <w:szCs w:val="21"/>
        </w:rPr>
        <w:t>If the incident meets the definition, you must complete the critical notifiable incident form by close of business on the next business day. For critical notifiable incidents which occur on either Friday or the weekend, this means you must alert the Regulator by close of business on the Monday following.</w:t>
      </w:r>
    </w:p>
    <w:p w14:paraId="67F951F5" w14:textId="77777777" w:rsidR="00923086" w:rsidRPr="00AD46ED" w:rsidRDefault="00923086" w:rsidP="00923086">
      <w:pPr>
        <w:rPr>
          <w:szCs w:val="21"/>
        </w:rPr>
      </w:pPr>
      <w:r>
        <w:rPr>
          <w:szCs w:val="21"/>
        </w:rPr>
        <w:t xml:space="preserve">If the incident does </w:t>
      </w:r>
      <w:r w:rsidRPr="001B5F06">
        <w:rPr>
          <w:i/>
          <w:iCs/>
          <w:szCs w:val="21"/>
        </w:rPr>
        <w:t>not</w:t>
      </w:r>
      <w:r>
        <w:rPr>
          <w:szCs w:val="21"/>
        </w:rPr>
        <w:t xml:space="preserve"> meet the definition to be a critical notifiable incident, this means you have three business days to complete a full incident report.</w:t>
      </w:r>
    </w:p>
    <w:p w14:paraId="62CA0329" w14:textId="77777777" w:rsidR="00923086" w:rsidRPr="00AD46ED" w:rsidRDefault="00923086" w:rsidP="00923086">
      <w:pPr>
        <w:rPr>
          <w:szCs w:val="21"/>
        </w:rPr>
      </w:pPr>
    </w:p>
    <w:p w14:paraId="7AE82FF5" w14:textId="77777777" w:rsidR="00923086" w:rsidRPr="0068042D" w:rsidRDefault="00923086" w:rsidP="00923086">
      <w:pPr>
        <w:pStyle w:val="Heading2"/>
      </w:pPr>
      <w:r>
        <w:t>I am already reporting incidents to other Regulators. Why do I also need to notify the Social Services Regulator within 24 hours?</w:t>
      </w:r>
    </w:p>
    <w:p w14:paraId="3884B1B5" w14:textId="77777777" w:rsidR="00923086" w:rsidRPr="00C916CE" w:rsidRDefault="00923086" w:rsidP="00923086">
      <w:pPr>
        <w:spacing w:after="240"/>
        <w:rPr>
          <w:rFonts w:eastAsia="MS PMincho" w:cs="Arial"/>
          <w:szCs w:val="21"/>
        </w:rPr>
      </w:pPr>
      <w:r w:rsidRPr="00C916CE">
        <w:rPr>
          <w:rFonts w:eastAsia="MS PMincho" w:cs="Arial"/>
          <w:szCs w:val="21"/>
        </w:rPr>
        <w:t xml:space="preserve">Notifying the Regulator of critical notifiable incidents is an important requirement that directly links to </w:t>
      </w:r>
      <w:r>
        <w:rPr>
          <w:rFonts w:eastAsia="MS PMincho" w:cs="Arial"/>
          <w:szCs w:val="21"/>
        </w:rPr>
        <w:t>the Regulator’s</w:t>
      </w:r>
      <w:r w:rsidRPr="00C916CE">
        <w:rPr>
          <w:rFonts w:eastAsia="MS PMincho" w:cs="Arial"/>
          <w:szCs w:val="21"/>
        </w:rPr>
        <w:t xml:space="preserve"> role protecting the rights and safety of service users. The timely provision of crucial information is vital to assist in preventing and responding to significant harm or risk of harm to service users.</w:t>
      </w:r>
    </w:p>
    <w:p w14:paraId="55A22F37" w14:textId="77777777" w:rsidR="00923086" w:rsidRPr="007A4107" w:rsidRDefault="00923086" w:rsidP="00923086">
      <w:pPr>
        <w:rPr>
          <w:szCs w:val="21"/>
        </w:rPr>
      </w:pPr>
      <w:r>
        <w:rPr>
          <w:szCs w:val="21"/>
        </w:rPr>
        <w:t>The Social Services Regulator will continue to</w:t>
      </w:r>
      <w:r w:rsidRPr="00F625D4">
        <w:rPr>
          <w:szCs w:val="21"/>
        </w:rPr>
        <w:t xml:space="preserve"> work with other regulators to improve information sharing and</w:t>
      </w:r>
      <w:r>
        <w:rPr>
          <w:szCs w:val="21"/>
        </w:rPr>
        <w:t xml:space="preserve">, where possible, </w:t>
      </w:r>
      <w:r w:rsidRPr="00F625D4">
        <w:rPr>
          <w:szCs w:val="21"/>
        </w:rPr>
        <w:t>better identify and respond to risks of harm</w:t>
      </w:r>
      <w:r>
        <w:rPr>
          <w:szCs w:val="21"/>
        </w:rPr>
        <w:t xml:space="preserve"> using intelligence provided to other Regulators</w:t>
      </w:r>
      <w:r w:rsidRPr="00F625D4">
        <w:rPr>
          <w:szCs w:val="21"/>
        </w:rPr>
        <w:t>.</w:t>
      </w:r>
    </w:p>
    <w:p w14:paraId="49FA2F3D" w14:textId="77777777" w:rsidR="00923086" w:rsidRPr="007A4107" w:rsidRDefault="00923086" w:rsidP="00923086">
      <w:pPr>
        <w:rPr>
          <w:szCs w:val="21"/>
        </w:rPr>
      </w:pPr>
    </w:p>
    <w:p w14:paraId="1DF32455" w14:textId="77777777" w:rsidR="00923086" w:rsidRDefault="00923086" w:rsidP="00923086">
      <w:pPr>
        <w:pStyle w:val="Heading2"/>
      </w:pPr>
      <w:r w:rsidRPr="009057B4">
        <w:rPr>
          <w:bdr w:val="none" w:sz="0" w:space="0" w:color="auto" w:frame="1"/>
          <w:lang w:eastAsia="en-AU"/>
        </w:rPr>
        <w:lastRenderedPageBreak/>
        <w:t xml:space="preserve">We are </w:t>
      </w:r>
      <w:r>
        <w:rPr>
          <w:bdr w:val="none" w:sz="0" w:space="0" w:color="auto" w:frame="1"/>
          <w:lang w:eastAsia="en-AU"/>
        </w:rPr>
        <w:t xml:space="preserve">already </w:t>
      </w:r>
      <w:r w:rsidRPr="009057B4">
        <w:rPr>
          <w:bdr w:val="none" w:sz="0" w:space="0" w:color="auto" w:frame="1"/>
          <w:lang w:eastAsia="en-AU"/>
        </w:rPr>
        <w:t>required to report all allegations of sexual assault to police – is this notification considered police involvement?</w:t>
      </w:r>
    </w:p>
    <w:p w14:paraId="13C59D4F" w14:textId="77777777" w:rsidR="00923086" w:rsidRDefault="00923086" w:rsidP="00923086">
      <w:pPr>
        <w:rPr>
          <w:szCs w:val="21"/>
        </w:rPr>
      </w:pPr>
      <w:r>
        <w:rPr>
          <w:szCs w:val="21"/>
        </w:rPr>
        <w:t xml:space="preserve">If an incident of sexual abuse </w:t>
      </w:r>
      <w:r w:rsidRPr="00353643">
        <w:rPr>
          <w:szCs w:val="21"/>
        </w:rPr>
        <w:t>required police involvement and</w:t>
      </w:r>
      <w:r>
        <w:rPr>
          <w:szCs w:val="21"/>
        </w:rPr>
        <w:t xml:space="preserve"> the service user required medical treatment at a hospital, the incident is a critical notifiable incident.</w:t>
      </w:r>
    </w:p>
    <w:p w14:paraId="1F309DAB" w14:textId="77777777" w:rsidR="00923086" w:rsidRDefault="00923086" w:rsidP="00923086">
      <w:pPr>
        <w:rPr>
          <w:szCs w:val="21"/>
        </w:rPr>
      </w:pPr>
      <w:r>
        <w:rPr>
          <w:szCs w:val="21"/>
        </w:rPr>
        <w:t>This means that a service provider needs to complete the critical incident notification short form by close of business the next business day.</w:t>
      </w:r>
    </w:p>
    <w:p w14:paraId="271D64EA" w14:textId="77777777" w:rsidR="00923086" w:rsidRDefault="00923086" w:rsidP="00923086">
      <w:pPr>
        <w:rPr>
          <w:szCs w:val="21"/>
        </w:rPr>
      </w:pPr>
    </w:p>
    <w:p w14:paraId="2DB53CE6" w14:textId="77777777" w:rsidR="00923086" w:rsidRDefault="00923086" w:rsidP="00923086">
      <w:pPr>
        <w:pStyle w:val="Heading2"/>
      </w:pPr>
      <w:r>
        <w:t>What does the Regulator do after receiving a notification?</w:t>
      </w:r>
    </w:p>
    <w:p w14:paraId="1CEE1FDE" w14:textId="77777777" w:rsidR="00923086" w:rsidRPr="00923086" w:rsidRDefault="00923086" w:rsidP="00923086">
      <w:pPr>
        <w:rPr>
          <w:rFonts w:cs="Arial"/>
          <w:szCs w:val="21"/>
        </w:rPr>
      </w:pPr>
      <w:r w:rsidRPr="00923086">
        <w:rPr>
          <w:rFonts w:cs="Arial"/>
          <w:szCs w:val="21"/>
        </w:rPr>
        <w:t xml:space="preserve">After receiving a notifiable incident, the Regulator will: </w:t>
      </w:r>
    </w:p>
    <w:p w14:paraId="76495918" w14:textId="3982592B" w:rsidR="00923086" w:rsidRPr="00923086" w:rsidRDefault="00923086" w:rsidP="00CC2B3E">
      <w:pPr>
        <w:pStyle w:val="ListParagraph"/>
        <w:numPr>
          <w:ilvl w:val="0"/>
          <w:numId w:val="11"/>
        </w:numPr>
        <w:rPr>
          <w:rFonts w:ascii="Arial" w:hAnsi="Arial" w:cs="Arial"/>
          <w:sz w:val="21"/>
          <w:szCs w:val="21"/>
        </w:rPr>
      </w:pPr>
      <w:r w:rsidRPr="00923086">
        <w:rPr>
          <w:rFonts w:ascii="Arial" w:hAnsi="Arial" w:cs="Arial"/>
          <w:sz w:val="21"/>
          <w:szCs w:val="21"/>
        </w:rPr>
        <w:t>review the information</w:t>
      </w:r>
    </w:p>
    <w:p w14:paraId="76EBD890" w14:textId="17E82533" w:rsidR="00923086" w:rsidRPr="00923086" w:rsidRDefault="00923086" w:rsidP="00CC2B3E">
      <w:pPr>
        <w:pStyle w:val="ListParagraph"/>
        <w:numPr>
          <w:ilvl w:val="0"/>
          <w:numId w:val="11"/>
        </w:numPr>
        <w:rPr>
          <w:rFonts w:ascii="Arial" w:hAnsi="Arial" w:cs="Arial"/>
          <w:sz w:val="21"/>
          <w:szCs w:val="21"/>
        </w:rPr>
      </w:pPr>
      <w:r w:rsidRPr="00923086">
        <w:rPr>
          <w:rFonts w:ascii="Arial" w:hAnsi="Arial" w:cs="Arial"/>
          <w:sz w:val="21"/>
          <w:szCs w:val="21"/>
        </w:rPr>
        <w:t>confirm the report is in scope and which category it falls into</w:t>
      </w:r>
    </w:p>
    <w:p w14:paraId="50E00D6A" w14:textId="3942469B" w:rsidR="00923086" w:rsidRPr="00923086" w:rsidRDefault="00923086" w:rsidP="00CC2B3E">
      <w:pPr>
        <w:pStyle w:val="ListParagraph"/>
        <w:numPr>
          <w:ilvl w:val="0"/>
          <w:numId w:val="11"/>
        </w:numPr>
        <w:rPr>
          <w:rFonts w:ascii="Arial" w:hAnsi="Arial" w:cs="Arial"/>
          <w:sz w:val="21"/>
          <w:szCs w:val="21"/>
        </w:rPr>
      </w:pPr>
      <w:r w:rsidRPr="00923086">
        <w:rPr>
          <w:rFonts w:ascii="Arial" w:hAnsi="Arial" w:cs="Arial"/>
          <w:sz w:val="21"/>
          <w:szCs w:val="21"/>
        </w:rPr>
        <w:t>assess the risk of the incident and determine a response.</w:t>
      </w:r>
    </w:p>
    <w:p w14:paraId="3E6F7426" w14:textId="77777777" w:rsidR="00923086" w:rsidRPr="00923086" w:rsidRDefault="00923086" w:rsidP="00923086">
      <w:pPr>
        <w:rPr>
          <w:rFonts w:cs="Arial"/>
          <w:szCs w:val="21"/>
        </w:rPr>
      </w:pPr>
      <w:r w:rsidRPr="00923086">
        <w:rPr>
          <w:rFonts w:cs="Arial"/>
          <w:szCs w:val="21"/>
        </w:rPr>
        <w:t xml:space="preserve">The Regulator may: </w:t>
      </w:r>
    </w:p>
    <w:p w14:paraId="54C7AB12" w14:textId="1674A9A6" w:rsidR="00923086" w:rsidRPr="00923086" w:rsidRDefault="00923086" w:rsidP="00CC2B3E">
      <w:pPr>
        <w:pStyle w:val="ListParagraph"/>
        <w:numPr>
          <w:ilvl w:val="0"/>
          <w:numId w:val="12"/>
        </w:numPr>
        <w:rPr>
          <w:rFonts w:ascii="Arial" w:hAnsi="Arial" w:cs="Arial"/>
          <w:sz w:val="21"/>
          <w:szCs w:val="21"/>
        </w:rPr>
      </w:pPr>
      <w:r w:rsidRPr="00923086">
        <w:rPr>
          <w:rFonts w:ascii="Arial" w:hAnsi="Arial" w:cs="Arial"/>
          <w:sz w:val="21"/>
          <w:szCs w:val="21"/>
        </w:rPr>
        <w:t>ask for further information</w:t>
      </w:r>
    </w:p>
    <w:p w14:paraId="0AFAC681" w14:textId="6490C75F" w:rsidR="00923086" w:rsidRPr="00923086" w:rsidRDefault="00923086" w:rsidP="00CC2B3E">
      <w:pPr>
        <w:pStyle w:val="ListParagraph"/>
        <w:numPr>
          <w:ilvl w:val="0"/>
          <w:numId w:val="12"/>
        </w:numPr>
        <w:rPr>
          <w:rFonts w:ascii="Arial" w:hAnsi="Arial" w:cs="Arial"/>
          <w:sz w:val="21"/>
          <w:szCs w:val="21"/>
        </w:rPr>
      </w:pPr>
      <w:r w:rsidRPr="00923086">
        <w:rPr>
          <w:rFonts w:ascii="Arial" w:hAnsi="Arial" w:cs="Arial"/>
          <w:sz w:val="21"/>
          <w:szCs w:val="21"/>
        </w:rPr>
        <w:t>record the notifiable incident for intelligence purposes and identifying trends</w:t>
      </w:r>
    </w:p>
    <w:p w14:paraId="519E0B18" w14:textId="4BD21F99" w:rsidR="00923086" w:rsidRPr="00923086" w:rsidRDefault="00923086" w:rsidP="00CC2B3E">
      <w:pPr>
        <w:pStyle w:val="ListParagraph"/>
        <w:numPr>
          <w:ilvl w:val="0"/>
          <w:numId w:val="12"/>
        </w:numPr>
        <w:rPr>
          <w:rFonts w:ascii="Arial" w:hAnsi="Arial" w:cs="Arial"/>
          <w:sz w:val="21"/>
          <w:szCs w:val="21"/>
        </w:rPr>
      </w:pPr>
      <w:r w:rsidRPr="00923086">
        <w:rPr>
          <w:rFonts w:ascii="Arial" w:hAnsi="Arial" w:cs="Arial"/>
          <w:sz w:val="21"/>
          <w:szCs w:val="21"/>
        </w:rPr>
        <w:t xml:space="preserve">monitor the response to the notifiable incident </w:t>
      </w:r>
    </w:p>
    <w:p w14:paraId="371C7574" w14:textId="11BCF4D0" w:rsidR="00923086" w:rsidRPr="00923086" w:rsidRDefault="00923086" w:rsidP="00CC2B3E">
      <w:pPr>
        <w:pStyle w:val="ListParagraph"/>
        <w:numPr>
          <w:ilvl w:val="0"/>
          <w:numId w:val="12"/>
        </w:numPr>
        <w:rPr>
          <w:rFonts w:ascii="Arial" w:hAnsi="Arial" w:cs="Arial"/>
          <w:sz w:val="21"/>
          <w:szCs w:val="21"/>
        </w:rPr>
      </w:pPr>
      <w:r w:rsidRPr="00923086">
        <w:rPr>
          <w:rFonts w:ascii="Arial" w:hAnsi="Arial" w:cs="Arial"/>
          <w:sz w:val="21"/>
          <w:szCs w:val="21"/>
        </w:rPr>
        <w:t>investigate the notifiable incident</w:t>
      </w:r>
    </w:p>
    <w:p w14:paraId="59D2C5E5" w14:textId="4A9667CA" w:rsidR="00923086" w:rsidRPr="00923086" w:rsidRDefault="00923086" w:rsidP="00CC2B3E">
      <w:pPr>
        <w:pStyle w:val="ListParagraph"/>
        <w:numPr>
          <w:ilvl w:val="0"/>
          <w:numId w:val="12"/>
        </w:numPr>
        <w:rPr>
          <w:rFonts w:ascii="Arial" w:hAnsi="Arial" w:cs="Arial"/>
          <w:sz w:val="21"/>
          <w:szCs w:val="21"/>
        </w:rPr>
      </w:pPr>
      <w:proofErr w:type="gramStart"/>
      <w:r w:rsidRPr="00923086">
        <w:rPr>
          <w:rFonts w:ascii="Arial" w:hAnsi="Arial" w:cs="Arial"/>
          <w:sz w:val="21"/>
          <w:szCs w:val="21"/>
        </w:rPr>
        <w:t>take action</w:t>
      </w:r>
      <w:proofErr w:type="gramEnd"/>
      <w:r w:rsidRPr="00923086">
        <w:rPr>
          <w:rFonts w:ascii="Arial" w:hAnsi="Arial" w:cs="Arial"/>
          <w:sz w:val="21"/>
          <w:szCs w:val="21"/>
        </w:rPr>
        <w:t xml:space="preserve"> for non-compliance against the Social Services Standards (Standards), or breaches of the Act or the Social Services Regulations 2023 (the Regulations) </w:t>
      </w:r>
    </w:p>
    <w:p w14:paraId="05FECB78" w14:textId="1FC9788B" w:rsidR="00923086" w:rsidRPr="00923086" w:rsidRDefault="00923086" w:rsidP="00CC2B3E">
      <w:pPr>
        <w:pStyle w:val="ListParagraph"/>
        <w:numPr>
          <w:ilvl w:val="0"/>
          <w:numId w:val="12"/>
        </w:numPr>
        <w:rPr>
          <w:rFonts w:ascii="Arial" w:hAnsi="Arial" w:cs="Arial"/>
          <w:sz w:val="21"/>
          <w:szCs w:val="21"/>
        </w:rPr>
      </w:pPr>
      <w:r w:rsidRPr="00923086">
        <w:rPr>
          <w:rFonts w:ascii="Arial" w:hAnsi="Arial" w:cs="Arial"/>
          <w:sz w:val="21"/>
          <w:szCs w:val="21"/>
        </w:rPr>
        <w:t>close the report with no further action.</w:t>
      </w:r>
    </w:p>
    <w:p w14:paraId="555764B7" w14:textId="77777777" w:rsidR="00923086" w:rsidRDefault="00923086" w:rsidP="00923086">
      <w:pPr>
        <w:rPr>
          <w:szCs w:val="21"/>
        </w:rPr>
      </w:pPr>
    </w:p>
    <w:p w14:paraId="14BFA21D" w14:textId="77777777" w:rsidR="00923086" w:rsidRDefault="00923086" w:rsidP="00923086">
      <w:pPr>
        <w:pStyle w:val="Heading2"/>
      </w:pPr>
      <w:r>
        <w:t>I’m a health services provider. Can I report incidents through VHIMS?</w:t>
      </w:r>
    </w:p>
    <w:p w14:paraId="16BB0004" w14:textId="77777777" w:rsidR="00923086" w:rsidRDefault="00923086" w:rsidP="00923086">
      <w:pPr>
        <w:rPr>
          <w:szCs w:val="21"/>
        </w:rPr>
      </w:pPr>
      <w:r>
        <w:rPr>
          <w:szCs w:val="21"/>
        </w:rPr>
        <w:t xml:space="preserve">No. The Social Services Regulator does not have access to </w:t>
      </w:r>
      <w:proofErr w:type="gramStart"/>
      <w:r>
        <w:rPr>
          <w:szCs w:val="21"/>
        </w:rPr>
        <w:t>VHIMS</w:t>
      </w:r>
      <w:proofErr w:type="gramEnd"/>
      <w:r>
        <w:rPr>
          <w:szCs w:val="21"/>
        </w:rPr>
        <w:t xml:space="preserve"> and these providers need to report directly to the Regulator using the forms on the webpage. </w:t>
      </w:r>
    </w:p>
    <w:p w14:paraId="1EFC45E3" w14:textId="77777777" w:rsidR="00923086" w:rsidRDefault="00923086" w:rsidP="00923086">
      <w:pPr>
        <w:rPr>
          <w:szCs w:val="21"/>
        </w:rPr>
      </w:pPr>
    </w:p>
    <w:p w14:paraId="4F11E44A" w14:textId="1BA2A357" w:rsidR="00923086" w:rsidRDefault="00923086" w:rsidP="00923086">
      <w:pPr>
        <w:pStyle w:val="Heading2"/>
      </w:pPr>
      <w:r>
        <w:t>I’m a service provider that uses CIMS to report incidents to the Department of Families</w:t>
      </w:r>
      <w:r w:rsidR="770E1940">
        <w:t>,</w:t>
      </w:r>
      <w:r>
        <w:t xml:space="preserve"> Fairness and Housing. Can I report incidents through CIMS?</w:t>
      </w:r>
    </w:p>
    <w:p w14:paraId="5C131D06" w14:textId="77777777" w:rsidR="00A03260" w:rsidRDefault="00923086" w:rsidP="00923086">
      <w:pPr>
        <w:rPr>
          <w:szCs w:val="21"/>
        </w:rPr>
      </w:pPr>
      <w:r>
        <w:rPr>
          <w:szCs w:val="21"/>
        </w:rPr>
        <w:t xml:space="preserve">Step 1 of reporting for critical notifiable incidents can’t be reported through CIMS. You must use the Regulator’s critical notifiable incident form. All other incidents can be reported through CIMS. </w:t>
      </w:r>
    </w:p>
    <w:p w14:paraId="7C6FC804" w14:textId="4FA3DAF1" w:rsidR="00923086" w:rsidRDefault="00923086" w:rsidP="00923086">
      <w:pPr>
        <w:rPr>
          <w:szCs w:val="21"/>
        </w:rPr>
      </w:pPr>
      <w:r>
        <w:rPr>
          <w:szCs w:val="21"/>
        </w:rPr>
        <w:t xml:space="preserve">This means </w:t>
      </w:r>
      <w:r w:rsidRPr="00D80976">
        <w:rPr>
          <w:b/>
          <w:bCs/>
          <w:szCs w:val="21"/>
        </w:rPr>
        <w:t>serious risk</w:t>
      </w:r>
      <w:r>
        <w:rPr>
          <w:szCs w:val="21"/>
        </w:rPr>
        <w:t xml:space="preserve"> and </w:t>
      </w:r>
      <w:r w:rsidRPr="00D80976">
        <w:rPr>
          <w:b/>
          <w:bCs/>
          <w:szCs w:val="21"/>
        </w:rPr>
        <w:t>serious harm</w:t>
      </w:r>
      <w:r>
        <w:rPr>
          <w:szCs w:val="21"/>
        </w:rPr>
        <w:t xml:space="preserve"> incidents </w:t>
      </w:r>
      <w:r w:rsidRPr="00D80976">
        <w:rPr>
          <w:i/>
          <w:iCs/>
          <w:szCs w:val="21"/>
        </w:rPr>
        <w:t>and</w:t>
      </w:r>
      <w:r>
        <w:rPr>
          <w:szCs w:val="21"/>
        </w:rPr>
        <w:t xml:space="preserve"> step 2 which is the full incident report for a critical notifiable incident.</w:t>
      </w:r>
    </w:p>
    <w:p w14:paraId="67593930" w14:textId="77777777" w:rsidR="00923086" w:rsidRDefault="00923086" w:rsidP="00923086">
      <w:pPr>
        <w:rPr>
          <w:szCs w:val="21"/>
        </w:rPr>
      </w:pPr>
    </w:p>
    <w:p w14:paraId="64F3CA77" w14:textId="77777777" w:rsidR="00923086" w:rsidRPr="0035148D" w:rsidRDefault="00923086" w:rsidP="00923086">
      <w:pPr>
        <w:pStyle w:val="Heading2"/>
      </w:pPr>
      <w:r w:rsidRPr="0035148D">
        <w:t>What if I’m not sure if it is a notifiable incident?</w:t>
      </w:r>
    </w:p>
    <w:p w14:paraId="08A8A06F" w14:textId="77777777" w:rsidR="00A03260" w:rsidRDefault="00923086" w:rsidP="00923086">
      <w:pPr>
        <w:rPr>
          <w:szCs w:val="21"/>
        </w:rPr>
      </w:pPr>
      <w:r>
        <w:rPr>
          <w:szCs w:val="21"/>
        </w:rPr>
        <w:t xml:space="preserve">If you are not sure it’s a notifiable incident, you should still report it. </w:t>
      </w:r>
    </w:p>
    <w:p w14:paraId="7A758573" w14:textId="77777777" w:rsidR="00A03260" w:rsidRDefault="00923086" w:rsidP="00923086">
      <w:pPr>
        <w:rPr>
          <w:szCs w:val="21"/>
        </w:rPr>
      </w:pPr>
      <w:r>
        <w:rPr>
          <w:szCs w:val="21"/>
        </w:rPr>
        <w:t xml:space="preserve">In most cases the Regulator will then contact you to explain why it is or isn’t a notifiable incident and what you should do in future. </w:t>
      </w:r>
    </w:p>
    <w:p w14:paraId="77AB23E0" w14:textId="481F7919" w:rsidR="00923086" w:rsidRDefault="00923086" w:rsidP="00923086">
      <w:pPr>
        <w:rPr>
          <w:szCs w:val="21"/>
        </w:rPr>
      </w:pPr>
      <w:r>
        <w:rPr>
          <w:szCs w:val="21"/>
        </w:rPr>
        <w:lastRenderedPageBreak/>
        <w:t>The Regulator is committed to educating providers about their requirements to report notifiable incidents.</w:t>
      </w:r>
    </w:p>
    <w:p w14:paraId="7B8C30BF" w14:textId="77777777" w:rsidR="00923086" w:rsidRDefault="00923086" w:rsidP="00923086">
      <w:pPr>
        <w:rPr>
          <w:szCs w:val="21"/>
        </w:rPr>
      </w:pPr>
    </w:p>
    <w:p w14:paraId="4C3710A3" w14:textId="77777777" w:rsidR="00923086" w:rsidRDefault="00923086" w:rsidP="00923086">
      <w:pPr>
        <w:pStyle w:val="Heading2"/>
      </w:pPr>
      <w:r>
        <w:t>What happens if I don’t provide enough information?</w:t>
      </w:r>
    </w:p>
    <w:p w14:paraId="778623CA" w14:textId="77777777" w:rsidR="00923086" w:rsidRPr="0035148D" w:rsidRDefault="00923086" w:rsidP="00923086">
      <w:pPr>
        <w:rPr>
          <w:rStyle w:val="normaltextrun"/>
          <w:rFonts w:eastAsia="MS Gothic"/>
          <w:color w:val="000000"/>
          <w:szCs w:val="21"/>
          <w:shd w:val="clear" w:color="auto" w:fill="FFFFFF"/>
        </w:rPr>
      </w:pPr>
      <w:r w:rsidRPr="0035148D">
        <w:rPr>
          <w:rStyle w:val="normaltextrun"/>
          <w:rFonts w:eastAsia="MS Gothic"/>
          <w:color w:val="000000"/>
          <w:szCs w:val="21"/>
          <w:shd w:val="clear" w:color="auto" w:fill="FFFFFF"/>
        </w:rPr>
        <w:t xml:space="preserve">It is important to provide sufficient detail of incidents you report to the Regulator, to demonstrate you have met reporting requirements. </w:t>
      </w:r>
    </w:p>
    <w:p w14:paraId="7017EFC5" w14:textId="77777777" w:rsidR="00923086" w:rsidRPr="0035148D" w:rsidRDefault="00923086" w:rsidP="00923086">
      <w:pPr>
        <w:rPr>
          <w:rStyle w:val="normaltextrun"/>
          <w:szCs w:val="21"/>
        </w:rPr>
      </w:pPr>
      <w:r w:rsidRPr="0035148D">
        <w:rPr>
          <w:szCs w:val="21"/>
        </w:rPr>
        <w:t xml:space="preserve">The Regulator will not hesitate to act to protect service users from harm, abuse and neglect. </w:t>
      </w:r>
    </w:p>
    <w:p w14:paraId="61564E47" w14:textId="0BA13FE0" w:rsidR="00923086" w:rsidRPr="0035148D" w:rsidRDefault="00923086" w:rsidP="00923086">
      <w:pPr>
        <w:rPr>
          <w:rStyle w:val="normaltextrun"/>
          <w:rFonts w:eastAsia="MS Gothic"/>
          <w:color w:val="000000"/>
          <w:szCs w:val="21"/>
          <w:shd w:val="clear" w:color="auto" w:fill="FFFFFF"/>
        </w:rPr>
      </w:pPr>
      <w:r w:rsidRPr="0035148D">
        <w:rPr>
          <w:rStyle w:val="normaltextrun"/>
          <w:rFonts w:eastAsia="MS Gothic"/>
          <w:color w:val="000000"/>
          <w:szCs w:val="21"/>
          <w:shd w:val="clear" w:color="auto" w:fill="FFFFFF"/>
        </w:rPr>
        <w:t xml:space="preserve">Table </w:t>
      </w:r>
      <w:r w:rsidR="008B611A">
        <w:rPr>
          <w:rStyle w:val="normaltextrun"/>
          <w:rFonts w:eastAsia="MS Gothic"/>
          <w:color w:val="000000"/>
          <w:szCs w:val="21"/>
          <w:shd w:val="clear" w:color="auto" w:fill="FFFFFF"/>
        </w:rPr>
        <w:t>2</w:t>
      </w:r>
      <w:r w:rsidRPr="0035148D">
        <w:rPr>
          <w:rStyle w:val="normaltextrun"/>
          <w:rFonts w:eastAsia="MS Gothic"/>
          <w:color w:val="000000"/>
          <w:szCs w:val="21"/>
          <w:shd w:val="clear" w:color="auto" w:fill="FFFFFF"/>
        </w:rPr>
        <w:t xml:space="preserve"> has more information on how the Regulator reviews notifiable incidents.</w:t>
      </w:r>
    </w:p>
    <w:p w14:paraId="4705E16B" w14:textId="30D3608E" w:rsidR="00923086" w:rsidRPr="00AB6728" w:rsidRDefault="00923086" w:rsidP="00923086">
      <w:pPr>
        <w:rPr>
          <w:rStyle w:val="normaltextrun"/>
          <w:rFonts w:eastAsia="MS Gothic"/>
          <w:color w:val="000000"/>
          <w:szCs w:val="21"/>
          <w:shd w:val="clear" w:color="auto" w:fill="FFFFFF"/>
        </w:rPr>
      </w:pPr>
      <w:r w:rsidRPr="00AB6728">
        <w:rPr>
          <w:rStyle w:val="normaltextrun"/>
          <w:rFonts w:eastAsia="MS Gothic"/>
          <w:color w:val="000000"/>
          <w:szCs w:val="21"/>
          <w:shd w:val="clear" w:color="auto" w:fill="FFFFFF"/>
        </w:rPr>
        <w:t xml:space="preserve">Table </w:t>
      </w:r>
      <w:r w:rsidR="008B611A">
        <w:rPr>
          <w:rStyle w:val="normaltextrun"/>
          <w:rFonts w:eastAsia="MS Gothic"/>
          <w:color w:val="000000"/>
          <w:szCs w:val="21"/>
          <w:shd w:val="clear" w:color="auto" w:fill="FFFFFF"/>
        </w:rPr>
        <w:t>2</w:t>
      </w:r>
      <w:r>
        <w:rPr>
          <w:rStyle w:val="normaltextrun"/>
          <w:rFonts w:eastAsia="MS Gothic"/>
          <w:color w:val="000000"/>
          <w:szCs w:val="21"/>
          <w:shd w:val="clear" w:color="auto" w:fill="FFFFFF"/>
        </w:rPr>
        <w:t>: The Regulator’s approach to reviewing information submitted by short form or report</w:t>
      </w:r>
    </w:p>
    <w:tbl>
      <w:tblPr>
        <w:tblStyle w:val="Purpletable"/>
        <w:tblW w:w="4995" w:type="pct"/>
        <w:tblInd w:w="5" w:type="dxa"/>
        <w:tblLook w:val="06A0" w:firstRow="1" w:lastRow="0" w:firstColumn="1" w:lastColumn="0" w:noHBand="1" w:noVBand="1"/>
      </w:tblPr>
      <w:tblGrid>
        <w:gridCol w:w="562"/>
        <w:gridCol w:w="3970"/>
        <w:gridCol w:w="5662"/>
      </w:tblGrid>
      <w:tr w:rsidR="00923086" w:rsidRPr="00143BCA" w14:paraId="2D170FDA" w14:textId="77777777" w:rsidTr="00414A50">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276" w:type="pct"/>
          </w:tcPr>
          <w:p w14:paraId="47A5A7BA" w14:textId="77777777" w:rsidR="00923086" w:rsidRPr="00143BCA" w:rsidRDefault="00923086" w:rsidP="00414A50">
            <w:pPr>
              <w:pStyle w:val="Tablecolhead"/>
              <w:rPr>
                <w:lang w:val="en-AU"/>
              </w:rPr>
            </w:pPr>
          </w:p>
        </w:tc>
        <w:tc>
          <w:tcPr>
            <w:tcW w:w="1947" w:type="pct"/>
          </w:tcPr>
          <w:p w14:paraId="39206CF4" w14:textId="77777777" w:rsidR="00923086" w:rsidRPr="00143BCA" w:rsidRDefault="00923086" w:rsidP="00414A50">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Information submitted</w:t>
            </w:r>
          </w:p>
        </w:tc>
        <w:tc>
          <w:tcPr>
            <w:tcW w:w="2777" w:type="pct"/>
          </w:tcPr>
          <w:p w14:paraId="2C009313" w14:textId="77777777" w:rsidR="00923086" w:rsidRPr="00143BCA" w:rsidRDefault="00923086" w:rsidP="00414A50">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The Regulator’s approach</w:t>
            </w:r>
          </w:p>
        </w:tc>
      </w:tr>
      <w:tr w:rsidR="00923086" w:rsidRPr="00143BCA" w14:paraId="7B0FD240"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68C7F0C4" w14:textId="77777777" w:rsidR="00923086" w:rsidRPr="002E5A3E" w:rsidRDefault="00923086" w:rsidP="00414A50">
            <w:pPr>
              <w:pStyle w:val="Tabletext"/>
              <w:jc w:val="center"/>
              <w:rPr>
                <w:b/>
                <w:bCs/>
              </w:rPr>
            </w:pPr>
            <w:r w:rsidRPr="002E5A3E">
              <w:rPr>
                <w:b/>
                <w:bCs/>
              </w:rPr>
              <w:t>1.</w:t>
            </w:r>
          </w:p>
        </w:tc>
        <w:tc>
          <w:tcPr>
            <w:tcW w:w="1947" w:type="pct"/>
          </w:tcPr>
          <w:p w14:paraId="596C6F7C" w14:textId="77777777" w:rsidR="00923086" w:rsidRPr="00E75D8C"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The full incident report has been completed correctly</w:t>
            </w:r>
          </w:p>
        </w:tc>
        <w:tc>
          <w:tcPr>
            <w:tcW w:w="2777" w:type="pct"/>
          </w:tcPr>
          <w:p w14:paraId="2FFDD18C" w14:textId="77777777" w:rsidR="00923086" w:rsidRDefault="00923086" w:rsidP="00414A50">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Pr>
                <w:rFonts w:cs="Arial"/>
                <w:szCs w:val="21"/>
              </w:rPr>
              <w:t xml:space="preserve">The Regulator will review and </w:t>
            </w:r>
            <w:proofErr w:type="gramStart"/>
            <w:r>
              <w:rPr>
                <w:rFonts w:cs="Arial"/>
                <w:szCs w:val="21"/>
              </w:rPr>
              <w:t>make a decision</w:t>
            </w:r>
            <w:proofErr w:type="gramEnd"/>
            <w:r>
              <w:rPr>
                <w:rFonts w:cs="Arial"/>
                <w:szCs w:val="21"/>
              </w:rPr>
              <w:t xml:space="preserve"> for follow-up based on the information provided in the incident report.</w:t>
            </w:r>
          </w:p>
          <w:p w14:paraId="375CB81C" w14:textId="77777777" w:rsidR="00923086" w:rsidRPr="008F48FC" w:rsidRDefault="00923086" w:rsidP="00414A50">
            <w:pPr>
              <w:pStyle w:val="Default"/>
              <w:cnfStyle w:val="000000000000" w:firstRow="0" w:lastRow="0" w:firstColumn="0" w:lastColumn="0" w:oddVBand="0" w:evenVBand="0" w:oddHBand="0" w:evenHBand="0" w:firstRowFirstColumn="0" w:firstRowLastColumn="0" w:lastRowFirstColumn="0" w:lastRowLastColumn="0"/>
              <w:rPr>
                <w:szCs w:val="21"/>
              </w:rPr>
            </w:pPr>
            <w:r w:rsidRPr="00DD2470">
              <w:rPr>
                <w:sz w:val="21"/>
                <w:szCs w:val="21"/>
              </w:rPr>
              <w:t xml:space="preserve">The Regulator is committed to making decisions using an intelligence-led approach proportionate to risk that </w:t>
            </w:r>
            <w:proofErr w:type="spellStart"/>
            <w:r w:rsidRPr="00DD2470">
              <w:rPr>
                <w:sz w:val="21"/>
                <w:szCs w:val="21"/>
              </w:rPr>
              <w:t>minimises</w:t>
            </w:r>
            <w:proofErr w:type="spellEnd"/>
            <w:r w:rsidRPr="00DD2470">
              <w:rPr>
                <w:sz w:val="21"/>
                <w:szCs w:val="21"/>
              </w:rPr>
              <w:t xml:space="preserve"> regulatory burden</w:t>
            </w:r>
            <w:r>
              <w:rPr>
                <w:sz w:val="21"/>
                <w:szCs w:val="21"/>
              </w:rPr>
              <w:t>.</w:t>
            </w:r>
          </w:p>
        </w:tc>
      </w:tr>
      <w:tr w:rsidR="00923086" w:rsidRPr="00143BCA" w14:paraId="079CAF4E"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2901D76A" w14:textId="77777777" w:rsidR="00923086" w:rsidRPr="002E5A3E" w:rsidRDefault="00923086" w:rsidP="00414A50">
            <w:pPr>
              <w:pStyle w:val="Tabletext"/>
              <w:jc w:val="center"/>
              <w:rPr>
                <w:b/>
                <w:bCs/>
              </w:rPr>
            </w:pPr>
            <w:r w:rsidRPr="002E5A3E">
              <w:rPr>
                <w:b/>
                <w:bCs/>
              </w:rPr>
              <w:t>2.</w:t>
            </w:r>
          </w:p>
        </w:tc>
        <w:tc>
          <w:tcPr>
            <w:tcW w:w="1947" w:type="pct"/>
            <w:shd w:val="clear" w:color="auto" w:fill="F2F2F2" w:themeFill="background1" w:themeFillShade="F2"/>
          </w:tcPr>
          <w:p w14:paraId="46B1C238" w14:textId="77777777" w:rsidR="00923086" w:rsidRPr="00E75D8C"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sidRPr="002F012F">
              <w:rPr>
                <w:szCs w:val="21"/>
              </w:rPr>
              <w:t>T</w:t>
            </w:r>
            <w:r w:rsidRPr="002F012F">
              <w:t xml:space="preserve">here is </w:t>
            </w:r>
            <w:r w:rsidRPr="00424E96">
              <w:rPr>
                <w:b/>
                <w:bCs/>
              </w:rPr>
              <w:t>i</w:t>
            </w:r>
            <w:r w:rsidRPr="00424E96">
              <w:rPr>
                <w:b/>
                <w:bCs/>
                <w:szCs w:val="21"/>
              </w:rPr>
              <w:t xml:space="preserve">nsufficient </w:t>
            </w:r>
            <w:r w:rsidRPr="00952410">
              <w:rPr>
                <w:szCs w:val="21"/>
              </w:rPr>
              <w:t>information</w:t>
            </w:r>
            <w:r w:rsidRPr="002F012F">
              <w:rPr>
                <w:szCs w:val="21"/>
              </w:rPr>
              <w:t xml:space="preserve"> in </w:t>
            </w:r>
            <w:r>
              <w:rPr>
                <w:szCs w:val="21"/>
              </w:rPr>
              <w:t>the</w:t>
            </w:r>
            <w:r w:rsidRPr="002F012F">
              <w:rPr>
                <w:szCs w:val="21"/>
              </w:rPr>
              <w:t xml:space="preserve"> </w:t>
            </w:r>
            <w:r>
              <w:rPr>
                <w:szCs w:val="21"/>
              </w:rPr>
              <w:t xml:space="preserve">full </w:t>
            </w:r>
            <w:r w:rsidRPr="002F012F">
              <w:rPr>
                <w:szCs w:val="21"/>
              </w:rPr>
              <w:t xml:space="preserve">incident </w:t>
            </w:r>
            <w:r>
              <w:rPr>
                <w:szCs w:val="21"/>
              </w:rPr>
              <w:t>report a</w:t>
            </w:r>
            <w:r>
              <w:t>bout</w:t>
            </w:r>
            <w:r w:rsidRPr="002F012F">
              <w:rPr>
                <w:szCs w:val="21"/>
              </w:rPr>
              <w:t xml:space="preserve"> a notifiable incident</w:t>
            </w:r>
            <w:r>
              <w:rPr>
                <w:szCs w:val="21"/>
              </w:rPr>
              <w:t xml:space="preserve"> </w:t>
            </w:r>
          </w:p>
        </w:tc>
        <w:tc>
          <w:tcPr>
            <w:tcW w:w="2777" w:type="pct"/>
            <w:shd w:val="clear" w:color="auto" w:fill="F2F2F2" w:themeFill="background1" w:themeFillShade="F2"/>
          </w:tcPr>
          <w:p w14:paraId="2C74A77A"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sidRPr="002F012F">
              <w:rPr>
                <w:szCs w:val="21"/>
              </w:rPr>
              <w:t>The Regulator may:</w:t>
            </w:r>
          </w:p>
          <w:p w14:paraId="1249B197" w14:textId="77777777" w:rsidR="00923086" w:rsidRPr="002F012F" w:rsidRDefault="00923086" w:rsidP="00CC2B3E">
            <w:pPr>
              <w:pStyle w:val="Tabletext"/>
              <w:numPr>
                <w:ilvl w:val="0"/>
                <w:numId w:val="10"/>
              </w:numPr>
              <w:cnfStyle w:val="000000000000" w:firstRow="0" w:lastRow="0" w:firstColumn="0" w:lastColumn="0" w:oddVBand="0" w:evenVBand="0" w:oddHBand="0" w:evenHBand="0" w:firstRowFirstColumn="0" w:firstRowLastColumn="0" w:lastRowFirstColumn="0" w:lastRowLastColumn="0"/>
              <w:rPr>
                <w:szCs w:val="21"/>
              </w:rPr>
            </w:pPr>
            <w:r w:rsidRPr="002F012F">
              <w:rPr>
                <w:szCs w:val="21"/>
                <w:lang w:val="en-AU"/>
              </w:rPr>
              <w:t xml:space="preserve">contact the service provider to </w:t>
            </w:r>
            <w:r w:rsidRPr="002F012F">
              <w:rPr>
                <w:szCs w:val="21"/>
              </w:rPr>
              <w:t>urgently</w:t>
            </w:r>
            <w:r>
              <w:rPr>
                <w:szCs w:val="21"/>
              </w:rPr>
              <w:t xml:space="preserve"> </w:t>
            </w:r>
            <w:r w:rsidRPr="002F012F">
              <w:rPr>
                <w:szCs w:val="21"/>
                <w:lang w:val="en-AU"/>
              </w:rPr>
              <w:t>provide the necessary information</w:t>
            </w:r>
          </w:p>
          <w:p w14:paraId="302E9F29" w14:textId="77777777" w:rsidR="00923086" w:rsidRPr="00E75D8C" w:rsidRDefault="00923086" w:rsidP="00CC2B3E">
            <w:pPr>
              <w:pStyle w:val="Tabletext"/>
              <w:numPr>
                <w:ilvl w:val="0"/>
                <w:numId w:val="10"/>
              </w:numPr>
              <w:cnfStyle w:val="000000000000" w:firstRow="0" w:lastRow="0" w:firstColumn="0" w:lastColumn="0" w:oddVBand="0" w:evenVBand="0" w:oddHBand="0" w:evenHBand="0" w:firstRowFirstColumn="0" w:firstRowLastColumn="0" w:lastRowFirstColumn="0" w:lastRowLastColumn="0"/>
              <w:rPr>
                <w:rFonts w:cs="Arial"/>
                <w:szCs w:val="21"/>
              </w:rPr>
            </w:pPr>
            <w:r w:rsidRPr="002F012F">
              <w:rPr>
                <w:szCs w:val="21"/>
              </w:rPr>
              <w:t>provide further guidance to the service provider on a</w:t>
            </w:r>
            <w:r w:rsidRPr="002F012F">
              <w:t>ppropriate reporting</w:t>
            </w:r>
            <w:r w:rsidRPr="002F012F">
              <w:rPr>
                <w:szCs w:val="21"/>
              </w:rPr>
              <w:t>.</w:t>
            </w:r>
          </w:p>
        </w:tc>
      </w:tr>
      <w:tr w:rsidR="00923086" w:rsidRPr="00143BCA" w14:paraId="40322869"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20FDFAC9" w14:textId="77777777" w:rsidR="00923086" w:rsidRPr="002E5A3E" w:rsidRDefault="00923086" w:rsidP="00414A50">
            <w:pPr>
              <w:pStyle w:val="Tabletext"/>
              <w:jc w:val="center"/>
              <w:rPr>
                <w:b/>
                <w:bCs/>
              </w:rPr>
            </w:pPr>
            <w:r w:rsidRPr="002E5A3E">
              <w:rPr>
                <w:b/>
                <w:bCs/>
              </w:rPr>
              <w:t>3.</w:t>
            </w:r>
          </w:p>
        </w:tc>
        <w:tc>
          <w:tcPr>
            <w:tcW w:w="1947" w:type="pct"/>
          </w:tcPr>
          <w:p w14:paraId="4A8AB461"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 xml:space="preserve">The full incident report has been submitted </w:t>
            </w:r>
            <w:r w:rsidRPr="00725842">
              <w:rPr>
                <w:b/>
                <w:szCs w:val="21"/>
              </w:rPr>
              <w:t>after</w:t>
            </w:r>
            <w:r>
              <w:rPr>
                <w:szCs w:val="21"/>
              </w:rPr>
              <w:t xml:space="preserve"> three business days</w:t>
            </w:r>
          </w:p>
        </w:tc>
        <w:tc>
          <w:tcPr>
            <w:tcW w:w="2777" w:type="pct"/>
          </w:tcPr>
          <w:p w14:paraId="4636D264"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From 1 December 2024 the Regulator will likely contact the service provider and initiate a follow-up.</w:t>
            </w:r>
          </w:p>
        </w:tc>
      </w:tr>
      <w:tr w:rsidR="00923086" w:rsidRPr="00143BCA" w14:paraId="7F93D042"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5F451511" w14:textId="77777777" w:rsidR="00923086" w:rsidRPr="002E5A3E" w:rsidRDefault="00923086" w:rsidP="00414A50">
            <w:pPr>
              <w:pStyle w:val="Tabletext"/>
              <w:jc w:val="center"/>
              <w:rPr>
                <w:b/>
                <w:bCs/>
              </w:rPr>
            </w:pPr>
            <w:r w:rsidRPr="002E5A3E">
              <w:rPr>
                <w:b/>
                <w:bCs/>
              </w:rPr>
              <w:t xml:space="preserve">4. </w:t>
            </w:r>
          </w:p>
        </w:tc>
        <w:tc>
          <w:tcPr>
            <w:tcW w:w="1947" w:type="pct"/>
            <w:shd w:val="clear" w:color="auto" w:fill="F2F2F2" w:themeFill="background1" w:themeFillShade="F2"/>
          </w:tcPr>
          <w:p w14:paraId="78460D9B"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sidRPr="00E75D8C">
              <w:rPr>
                <w:szCs w:val="21"/>
                <w:lang w:val="en-AU"/>
              </w:rPr>
              <w:t>The</w:t>
            </w:r>
            <w:r w:rsidRPr="00E75D8C">
              <w:rPr>
                <w:szCs w:val="21"/>
              </w:rPr>
              <w:t xml:space="preserve"> information in the </w:t>
            </w:r>
            <w:r w:rsidRPr="007C0EB6">
              <w:rPr>
                <w:bCs/>
                <w:i/>
                <w:iCs/>
                <w:szCs w:val="21"/>
              </w:rPr>
              <w:t xml:space="preserve">critical </w:t>
            </w:r>
            <w:r w:rsidRPr="00E75D8C">
              <w:rPr>
                <w:szCs w:val="21"/>
              </w:rPr>
              <w:t>notifiable incident</w:t>
            </w:r>
            <w:r>
              <w:rPr>
                <w:szCs w:val="21"/>
              </w:rPr>
              <w:t xml:space="preserve"> </w:t>
            </w:r>
            <w:r>
              <w:t>short</w:t>
            </w:r>
            <w:r w:rsidRPr="00E75D8C">
              <w:rPr>
                <w:szCs w:val="21"/>
              </w:rPr>
              <w:t xml:space="preserve"> form </w:t>
            </w:r>
            <w:r w:rsidRPr="00725842">
              <w:rPr>
                <w:b/>
                <w:bCs/>
                <w:szCs w:val="21"/>
              </w:rPr>
              <w:t>meets requirements</w:t>
            </w:r>
            <w:r>
              <w:rPr>
                <w:szCs w:val="21"/>
              </w:rPr>
              <w:t xml:space="preserve"> </w:t>
            </w:r>
          </w:p>
        </w:tc>
        <w:tc>
          <w:tcPr>
            <w:tcW w:w="2777" w:type="pct"/>
            <w:shd w:val="clear" w:color="auto" w:fill="F2F2F2" w:themeFill="background1" w:themeFillShade="F2"/>
          </w:tcPr>
          <w:p w14:paraId="3284EABF" w14:textId="77777777" w:rsidR="00923086" w:rsidRDefault="00923086" w:rsidP="00414A50">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sidRPr="00E75D8C">
              <w:rPr>
                <w:rFonts w:cs="Arial"/>
                <w:szCs w:val="21"/>
              </w:rPr>
              <w:t xml:space="preserve">In most cases, the Regulator will </w:t>
            </w:r>
            <w:r>
              <w:rPr>
                <w:rFonts w:cs="Arial"/>
                <w:szCs w:val="21"/>
              </w:rPr>
              <w:t>first review</w:t>
            </w:r>
            <w:r w:rsidRPr="00E75D8C">
              <w:rPr>
                <w:rFonts w:cs="Arial"/>
                <w:szCs w:val="21"/>
              </w:rPr>
              <w:t xml:space="preserve"> the </w:t>
            </w:r>
            <w:r w:rsidRPr="00AB6728">
              <w:rPr>
                <w:rFonts w:cs="Arial"/>
                <w:b/>
                <w:szCs w:val="21"/>
              </w:rPr>
              <w:t>full incident report</w:t>
            </w:r>
            <w:r w:rsidRPr="00E75D8C">
              <w:rPr>
                <w:rFonts w:cs="Arial"/>
                <w:szCs w:val="21"/>
              </w:rPr>
              <w:t xml:space="preserve"> before initiating a follow up.</w:t>
            </w:r>
          </w:p>
          <w:p w14:paraId="302E698B"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sidRPr="007641E2">
              <w:rPr>
                <w:szCs w:val="21"/>
              </w:rPr>
              <w:t xml:space="preserve">This means that in most cases, the Regulator will follow up </w:t>
            </w:r>
            <w:r>
              <w:rPr>
                <w:szCs w:val="21"/>
              </w:rPr>
              <w:t>after</w:t>
            </w:r>
            <w:r w:rsidRPr="007641E2">
              <w:rPr>
                <w:szCs w:val="21"/>
              </w:rPr>
              <w:t xml:space="preserve"> three business days.</w:t>
            </w:r>
          </w:p>
        </w:tc>
      </w:tr>
      <w:tr w:rsidR="00923086" w:rsidRPr="00143BCA" w14:paraId="60F4B3AE"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64A98137" w14:textId="77777777" w:rsidR="00923086" w:rsidRPr="002E5A3E" w:rsidRDefault="00923086" w:rsidP="00414A50">
            <w:pPr>
              <w:pStyle w:val="Tabletext"/>
              <w:jc w:val="center"/>
              <w:rPr>
                <w:b/>
                <w:lang w:val="en-AU"/>
              </w:rPr>
            </w:pPr>
            <w:r w:rsidRPr="002E5A3E">
              <w:rPr>
                <w:b/>
                <w:bCs/>
                <w:lang w:val="en-AU"/>
              </w:rPr>
              <w:t>5.</w:t>
            </w:r>
          </w:p>
        </w:tc>
        <w:tc>
          <w:tcPr>
            <w:tcW w:w="1947" w:type="pct"/>
          </w:tcPr>
          <w:p w14:paraId="55CF03F4" w14:textId="77777777" w:rsidR="00923086" w:rsidRPr="00E75D8C"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 xml:space="preserve">The information in the </w:t>
            </w:r>
            <w:r w:rsidRPr="007C0EB6">
              <w:rPr>
                <w:i/>
                <w:szCs w:val="21"/>
              </w:rPr>
              <w:t>critical</w:t>
            </w:r>
            <w:r w:rsidRPr="00E75D8C">
              <w:rPr>
                <w:szCs w:val="21"/>
                <w:lang w:val="en-AU"/>
              </w:rPr>
              <w:t xml:space="preserve"> notifiable incident </w:t>
            </w:r>
            <w:r>
              <w:rPr>
                <w:szCs w:val="21"/>
                <w:lang w:val="en-AU"/>
              </w:rPr>
              <w:t xml:space="preserve">short </w:t>
            </w:r>
            <w:r w:rsidRPr="00E75D8C">
              <w:rPr>
                <w:szCs w:val="21"/>
                <w:lang w:val="en-AU"/>
              </w:rPr>
              <w:t xml:space="preserve">form </w:t>
            </w:r>
            <w:r w:rsidRPr="00F43BE4">
              <w:rPr>
                <w:b/>
                <w:szCs w:val="21"/>
              </w:rPr>
              <w:t>does not meet</w:t>
            </w:r>
            <w:r w:rsidRPr="00E75D8C">
              <w:rPr>
                <w:szCs w:val="21"/>
                <w:lang w:val="en-AU"/>
              </w:rPr>
              <w:t xml:space="preserve"> requirements</w:t>
            </w:r>
          </w:p>
        </w:tc>
        <w:tc>
          <w:tcPr>
            <w:tcW w:w="2777" w:type="pct"/>
          </w:tcPr>
          <w:p w14:paraId="01D793D7" w14:textId="77777777" w:rsidR="00923086" w:rsidRPr="00E75D8C"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The Regulator may:</w:t>
            </w:r>
          </w:p>
          <w:p w14:paraId="464F5DAC" w14:textId="77777777" w:rsidR="00923086" w:rsidRPr="00E75D8C" w:rsidRDefault="00923086" w:rsidP="00CC2B3E">
            <w:pPr>
              <w:pStyle w:val="Tabletext"/>
              <w:numPr>
                <w:ilvl w:val="0"/>
                <w:numId w:val="8"/>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 xml:space="preserve">contact the service provider to </w:t>
            </w:r>
            <w:r w:rsidRPr="00287144">
              <w:rPr>
                <w:szCs w:val="21"/>
              </w:rPr>
              <w:t xml:space="preserve">urgently </w:t>
            </w:r>
            <w:r w:rsidRPr="00E75D8C">
              <w:rPr>
                <w:szCs w:val="21"/>
                <w:lang w:val="en-AU"/>
              </w:rPr>
              <w:t>provide the necessary information</w:t>
            </w:r>
          </w:p>
          <w:p w14:paraId="6DC95CA9" w14:textId="77777777" w:rsidR="00923086" w:rsidRPr="00E75D8C" w:rsidRDefault="00923086" w:rsidP="00CC2B3E">
            <w:pPr>
              <w:pStyle w:val="Tabletext"/>
              <w:numPr>
                <w:ilvl w:val="0"/>
                <w:numId w:val="8"/>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arrange an onsite visit by authorised officers f</w:t>
            </w:r>
            <w:r w:rsidRPr="00E75D8C">
              <w:rPr>
                <w:szCs w:val="21"/>
              </w:rPr>
              <w:t>or situations assessed as urgent or critical</w:t>
            </w:r>
            <w:r>
              <w:rPr>
                <w:szCs w:val="21"/>
              </w:rPr>
              <w:t>.</w:t>
            </w:r>
            <w:r w:rsidRPr="00E75D8C">
              <w:rPr>
                <w:szCs w:val="21"/>
              </w:rPr>
              <w:t xml:space="preserve"> </w:t>
            </w:r>
          </w:p>
        </w:tc>
      </w:tr>
      <w:tr w:rsidR="00923086" w:rsidRPr="00143BCA" w14:paraId="3AF585F0"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269E16D2" w14:textId="77777777" w:rsidR="00923086" w:rsidRPr="002E5A3E" w:rsidRDefault="00923086" w:rsidP="00414A50">
            <w:pPr>
              <w:pStyle w:val="Tabletext"/>
              <w:jc w:val="center"/>
              <w:rPr>
                <w:b/>
                <w:bCs/>
              </w:rPr>
            </w:pPr>
            <w:r w:rsidRPr="002E5A3E">
              <w:rPr>
                <w:b/>
                <w:bCs/>
              </w:rPr>
              <w:t>6.</w:t>
            </w:r>
          </w:p>
        </w:tc>
        <w:tc>
          <w:tcPr>
            <w:tcW w:w="1947" w:type="pct"/>
            <w:shd w:val="clear" w:color="auto" w:fill="F2F2F2" w:themeFill="background1" w:themeFillShade="F2"/>
          </w:tcPr>
          <w:p w14:paraId="19DE2C64"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 xml:space="preserve">The </w:t>
            </w:r>
            <w:r w:rsidRPr="00A41008">
              <w:rPr>
                <w:i/>
                <w:iCs/>
                <w:szCs w:val="21"/>
              </w:rPr>
              <w:t>critical</w:t>
            </w:r>
            <w:r>
              <w:rPr>
                <w:szCs w:val="21"/>
              </w:rPr>
              <w:t xml:space="preserve"> notifiable incident form has been submitted outside the next business day reporting requirements.</w:t>
            </w:r>
          </w:p>
        </w:tc>
        <w:tc>
          <w:tcPr>
            <w:tcW w:w="2777" w:type="pct"/>
            <w:shd w:val="clear" w:color="auto" w:fill="F2F2F2" w:themeFill="background1" w:themeFillShade="F2"/>
          </w:tcPr>
          <w:p w14:paraId="7B59B158" w14:textId="77777777" w:rsidR="00923086" w:rsidRPr="002F012F"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From 1 December 2024 the Regulator will initiate follow-up with the service provider.</w:t>
            </w:r>
          </w:p>
        </w:tc>
      </w:tr>
      <w:tr w:rsidR="00923086" w:rsidRPr="00143BCA" w14:paraId="42707418" w14:textId="77777777" w:rsidTr="00414A50">
        <w:tc>
          <w:tcPr>
            <w:cnfStyle w:val="001000000000" w:firstRow="0" w:lastRow="0" w:firstColumn="1" w:lastColumn="0" w:oddVBand="0" w:evenVBand="0" w:oddHBand="0" w:evenHBand="0" w:firstRowFirstColumn="0" w:firstRowLastColumn="0" w:lastRowFirstColumn="0" w:lastRowLastColumn="0"/>
            <w:tcW w:w="276" w:type="pct"/>
          </w:tcPr>
          <w:p w14:paraId="78202386" w14:textId="77777777" w:rsidR="00923086" w:rsidRPr="002E5A3E" w:rsidRDefault="00923086" w:rsidP="00414A50">
            <w:pPr>
              <w:pStyle w:val="Tabletext"/>
              <w:jc w:val="center"/>
              <w:rPr>
                <w:b/>
                <w:lang w:val="en-AU"/>
              </w:rPr>
            </w:pPr>
            <w:r w:rsidRPr="002E5A3E">
              <w:rPr>
                <w:b/>
                <w:bCs/>
                <w:lang w:val="en-AU"/>
              </w:rPr>
              <w:t>7</w:t>
            </w:r>
            <w:r w:rsidRPr="002E5A3E">
              <w:rPr>
                <w:b/>
                <w:lang w:val="en-AU"/>
              </w:rPr>
              <w:t>.</w:t>
            </w:r>
          </w:p>
        </w:tc>
        <w:tc>
          <w:tcPr>
            <w:tcW w:w="1947" w:type="pct"/>
          </w:tcPr>
          <w:p w14:paraId="03FFB5A2" w14:textId="77777777" w:rsidR="00923086" w:rsidRPr="00E75D8C" w:rsidRDefault="00923086" w:rsidP="00414A50">
            <w:pPr>
              <w:pStyle w:val="Tabletext"/>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A one-off misclassification of an incident</w:t>
            </w:r>
          </w:p>
        </w:tc>
        <w:tc>
          <w:tcPr>
            <w:tcW w:w="2777" w:type="pct"/>
          </w:tcPr>
          <w:p w14:paraId="03E7B556" w14:textId="77777777" w:rsidR="00923086" w:rsidRPr="00E75D8C" w:rsidRDefault="00923086" w:rsidP="00414A50">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sidRPr="00E75D8C">
              <w:rPr>
                <w:rFonts w:cs="Arial"/>
                <w:szCs w:val="21"/>
              </w:rPr>
              <w:t>The Regulator:</w:t>
            </w:r>
          </w:p>
          <w:p w14:paraId="6B246188" w14:textId="77777777" w:rsidR="00923086" w:rsidRPr="002F012F" w:rsidRDefault="00923086" w:rsidP="00CC2B3E">
            <w:pPr>
              <w:pStyle w:val="Tabletext"/>
              <w:numPr>
                <w:ilvl w:val="0"/>
                <w:numId w:val="9"/>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rFonts w:cs="Arial"/>
                <w:szCs w:val="21"/>
              </w:rPr>
              <w:t xml:space="preserve">will </w:t>
            </w:r>
            <w:r>
              <w:rPr>
                <w:rFonts w:cs="Arial"/>
                <w:szCs w:val="21"/>
              </w:rPr>
              <w:t>not</w:t>
            </w:r>
            <w:r w:rsidRPr="00E75D8C">
              <w:rPr>
                <w:rFonts w:cs="Arial"/>
                <w:szCs w:val="21"/>
              </w:rPr>
              <w:t xml:space="preserve"> usually action a one-off misclassification of an incident by a service provider</w:t>
            </w:r>
          </w:p>
          <w:p w14:paraId="6DBE8E92" w14:textId="77777777" w:rsidR="00923086" w:rsidRPr="00E75D8C" w:rsidRDefault="00923086" w:rsidP="00CC2B3E">
            <w:pPr>
              <w:pStyle w:val="Tabletext"/>
              <w:numPr>
                <w:ilvl w:val="0"/>
                <w:numId w:val="9"/>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may contact the service provider for further details.</w:t>
            </w:r>
          </w:p>
        </w:tc>
      </w:tr>
    </w:tbl>
    <w:p w14:paraId="6F229CB3" w14:textId="77777777" w:rsidR="00923086" w:rsidRPr="00932DD0" w:rsidRDefault="00923086" w:rsidP="00923086">
      <w:pPr>
        <w:spacing w:after="0" w:line="240" w:lineRule="auto"/>
        <w:textAlignment w:val="baseline"/>
        <w:rPr>
          <w:rFonts w:cs="Arial"/>
          <w:szCs w:val="21"/>
          <w:highlight w:val="yellow"/>
          <w:lang w:eastAsia="en-AU"/>
        </w:rPr>
      </w:pPr>
    </w:p>
    <w:p w14:paraId="1DE27305" w14:textId="77777777" w:rsidR="00923086" w:rsidRPr="00A41008" w:rsidRDefault="00923086" w:rsidP="00923086">
      <w:pPr>
        <w:rPr>
          <w:rFonts w:cs="Arial"/>
          <w:szCs w:val="21"/>
        </w:rPr>
      </w:pPr>
      <w:r w:rsidRPr="00A41008">
        <w:rPr>
          <w:rFonts w:cs="Arial"/>
          <w:szCs w:val="21"/>
        </w:rPr>
        <w:lastRenderedPageBreak/>
        <w:t>If a service provider continues to provide insufficient information when reporting any notifiable incident or demonstrates ongoing failure to meet other reporting requirements, the Regulator will likely escalate the regulatory action taken. This may include issuing an improvement notice</w:t>
      </w:r>
      <w:r w:rsidRPr="008B611A">
        <w:rPr>
          <w:rStyle w:val="FootnoteReference"/>
          <w:rFonts w:cs="Arial"/>
          <w:iCs/>
          <w:szCs w:val="21"/>
        </w:rPr>
        <w:footnoteReference w:id="2"/>
      </w:r>
      <w:r w:rsidRPr="00A41008">
        <w:rPr>
          <w:rFonts w:cs="Arial"/>
          <w:szCs w:val="21"/>
        </w:rPr>
        <w:t>.</w:t>
      </w:r>
      <w:bookmarkStart w:id="0" w:name="_Toc163833455"/>
    </w:p>
    <w:p w14:paraId="13634130" w14:textId="77777777" w:rsidR="00923086" w:rsidRDefault="00923086" w:rsidP="00923086">
      <w:pPr>
        <w:rPr>
          <w:rFonts w:cs="Arial"/>
          <w:szCs w:val="21"/>
        </w:rPr>
      </w:pPr>
      <w:r w:rsidRPr="00A41008">
        <w:rPr>
          <w:rFonts w:cs="Arial"/>
          <w:szCs w:val="21"/>
        </w:rPr>
        <w:t xml:space="preserve">The Regulator acknowledges the challenges involved in providing safe and high-quality social </w:t>
      </w:r>
      <w:proofErr w:type="gramStart"/>
      <w:r w:rsidRPr="00A41008">
        <w:rPr>
          <w:rFonts w:cs="Arial"/>
          <w:szCs w:val="21"/>
        </w:rPr>
        <w:t>services, and</w:t>
      </w:r>
      <w:proofErr w:type="gramEnd"/>
      <w:r w:rsidRPr="00A41008">
        <w:rPr>
          <w:rFonts w:cs="Arial"/>
          <w:szCs w:val="21"/>
        </w:rPr>
        <w:t xml:space="preserve"> highlights the important role of the new regulatory scheme in the social services sector’s ability to achieve its aims and help people through safe and high-quality services.</w:t>
      </w:r>
    </w:p>
    <w:p w14:paraId="70EF518B" w14:textId="6C13A8E7" w:rsidR="00A03260" w:rsidRDefault="00A03260">
      <w:pPr>
        <w:spacing w:after="0" w:line="240" w:lineRule="auto"/>
        <w:rPr>
          <w:rFonts w:cs="Arial"/>
          <w:szCs w:val="21"/>
        </w:rPr>
      </w:pPr>
      <w:r>
        <w:rPr>
          <w:rFonts w:cs="Arial"/>
          <w:szCs w:val="21"/>
        </w:rPr>
        <w:br w:type="page"/>
      </w:r>
    </w:p>
    <w:p w14:paraId="4943A6F2" w14:textId="77777777" w:rsidR="00923086" w:rsidRPr="00A41008" w:rsidRDefault="00923086" w:rsidP="00923086">
      <w:pPr>
        <w:rPr>
          <w:rFonts w:cs="Arial"/>
          <w:szCs w:val="21"/>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374142A" w:rsidR="0055119B" w:rsidRPr="0055119B" w:rsidRDefault="0055119B" w:rsidP="0055119B">
            <w:pPr>
              <w:pStyle w:val="Accessibilitypara"/>
            </w:pPr>
            <w:bookmarkStart w:id="1" w:name="_Hlk37240926"/>
            <w:bookmarkEnd w:id="0"/>
            <w:r w:rsidRPr="0055119B">
              <w:t>To receive this document in another format</w:t>
            </w:r>
            <w:r>
              <w:t>,</w:t>
            </w:r>
            <w:r w:rsidR="00017BEC" w:rsidRPr="0055119B">
              <w:t xml:space="preserve"> email</w:t>
            </w:r>
            <w:r w:rsidR="00017BEC">
              <w:t xml:space="preserve"> the</w:t>
            </w:r>
            <w:r w:rsidR="00017BEC" w:rsidRPr="0055119B">
              <w:t xml:space="preserve"> </w:t>
            </w:r>
            <w:hyperlink r:id="rId18" w:history="1">
              <w:r w:rsidR="00017BEC" w:rsidRPr="00401926">
                <w:rPr>
                  <w:rStyle w:val="Hyperlink"/>
                </w:rPr>
                <w:t>Social Services Regulator</w:t>
              </w:r>
            </w:hyperlink>
            <w:r w:rsidR="00017BEC">
              <w:t xml:space="preserve"> &lt;</w:t>
            </w:r>
            <w:hyperlink r:id="rId19" w:history="1">
              <w:r w:rsidR="00017BEC" w:rsidRPr="00403874">
                <w:rPr>
                  <w:rStyle w:val="Hyperlink"/>
                </w:rPr>
                <w:t>enquiries@ssr.vic.gov.au</w:t>
              </w:r>
            </w:hyperlink>
            <w:r w:rsidR="00017BEC">
              <w:rPr>
                <w:rStyle w:val="Hyperlink"/>
              </w:rPr>
              <w:t>&gt;</w:t>
            </w:r>
            <w:r w:rsidR="00017BEC"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195CCEA" w:rsidR="0055119B" w:rsidRPr="0055119B" w:rsidRDefault="0055119B" w:rsidP="00E33237">
            <w:pPr>
              <w:pStyle w:val="Imprint"/>
            </w:pPr>
            <w:r w:rsidRPr="0055119B">
              <w:t xml:space="preserve">© State of Victoria, Australia, </w:t>
            </w:r>
            <w:r w:rsidR="00E601DC">
              <w:t>Social Services Regulator</w:t>
            </w:r>
            <w:r w:rsidRPr="00A03260">
              <w:t xml:space="preserve">, </w:t>
            </w:r>
            <w:r w:rsidR="00A03260" w:rsidRPr="00A03260">
              <w:t>September 2024</w:t>
            </w:r>
            <w:r w:rsidRPr="00A03260">
              <w:t>.</w:t>
            </w:r>
          </w:p>
          <w:p w14:paraId="6E0A5822" w14:textId="77777777" w:rsidR="0055119B" w:rsidRPr="00017BEC" w:rsidRDefault="0055119B" w:rsidP="00E33237">
            <w:pPr>
              <w:pStyle w:val="Imprint"/>
            </w:pPr>
            <w:bookmarkStart w:id="2" w:name="_Hlk62746129"/>
            <w:r w:rsidRPr="00017BEC">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Default="0055119B" w:rsidP="00E33237">
            <w:pPr>
              <w:pStyle w:val="Imprint"/>
            </w:pPr>
            <w:r w:rsidRPr="00017BEC">
              <w:t>In this document, ‘Aboriginal’ refers to both Aboriginal and Torres Strait Islander people. ‘Indigenous’ or ‘Koori/Koorie’ is retained when part of the title of a report, program or quotation.</w:t>
            </w:r>
          </w:p>
          <w:p w14:paraId="0621453F" w14:textId="43B2ECB9" w:rsidR="00345A1A" w:rsidRPr="00017BEC" w:rsidRDefault="00345A1A" w:rsidP="00E33237">
            <w:pPr>
              <w:pStyle w:val="Imprint"/>
            </w:pPr>
            <w:r>
              <w:rPr>
                <w:rFonts w:cs="Arial"/>
                <w:b/>
                <w:bCs/>
                <w:color w:val="000000"/>
              </w:rPr>
              <w:t xml:space="preserve">ISBN </w:t>
            </w:r>
            <w:r>
              <w:rPr>
                <w:rFonts w:cs="Arial"/>
                <w:color w:val="000000"/>
              </w:rPr>
              <w:t xml:space="preserve">978-1-76130-673-0 </w:t>
            </w:r>
            <w:r>
              <w:rPr>
                <w:rFonts w:cs="Arial"/>
                <w:b/>
                <w:bCs/>
                <w:color w:val="000000"/>
              </w:rPr>
              <w:t>(pdf/online/MS word)</w:t>
            </w:r>
          </w:p>
          <w:p w14:paraId="0C92739F" w14:textId="0E42E262" w:rsidR="0055119B" w:rsidRDefault="0055119B" w:rsidP="00E33237">
            <w:pPr>
              <w:pStyle w:val="Imprint"/>
            </w:pPr>
            <w:r w:rsidRPr="0055119B">
              <w:t>Available at</w:t>
            </w:r>
            <w:r w:rsidRPr="00017BEC">
              <w:t xml:space="preserve"> </w:t>
            </w:r>
            <w:bookmarkEnd w:id="2"/>
            <w:r w:rsidR="00017BEC" w:rsidRPr="00017BEC">
              <w:rPr>
                <w:rFonts w:eastAsia="Times New Roman"/>
              </w:rPr>
              <w:fldChar w:fldCharType="begin"/>
            </w:r>
            <w:r w:rsidR="00017BEC" w:rsidRPr="00017BEC">
              <w:rPr>
                <w:rFonts w:eastAsia="Times New Roman"/>
              </w:rPr>
              <w:instrText>HYPERLINK "https://www.vic.gov.au/ssr-reporting-notifiable-incident"</w:instrText>
            </w:r>
            <w:r w:rsidR="00017BEC" w:rsidRPr="00017BEC">
              <w:rPr>
                <w:rFonts w:eastAsia="Times New Roman"/>
              </w:rPr>
            </w:r>
            <w:r w:rsidR="00017BEC" w:rsidRPr="00017BEC">
              <w:rPr>
                <w:rFonts w:eastAsia="Times New Roman"/>
              </w:rPr>
              <w:fldChar w:fldCharType="separate"/>
            </w:r>
            <w:r w:rsidR="00017BEC" w:rsidRPr="00017BEC">
              <w:rPr>
                <w:rFonts w:eastAsia="Times New Roman"/>
                <w:color w:val="0000FF"/>
                <w:u w:val="single"/>
              </w:rPr>
              <w:t>Reporting a notifiable incident | vic.gov.au (www.vic.gov.au)</w:t>
            </w:r>
            <w:r w:rsidR="00017BEC" w:rsidRPr="00017BEC">
              <w:rPr>
                <w:rFonts w:eastAsia="Times New Roman"/>
              </w:rPr>
              <w:fldChar w:fldCharType="end"/>
            </w:r>
            <w:r w:rsidR="00017BEC">
              <w:rPr>
                <w:rFonts w:eastAsia="Times New Roman"/>
              </w:rPr>
              <w:t xml:space="preserve"> https://www.vic.gov.au/ssr-reporting-notifiable-incident</w:t>
            </w:r>
          </w:p>
        </w:tc>
      </w:tr>
      <w:bookmarkEnd w:id="1"/>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6EEA" w14:textId="77777777" w:rsidR="00FC51D5" w:rsidRDefault="00FC51D5">
      <w:r>
        <w:separator/>
      </w:r>
    </w:p>
    <w:p w14:paraId="6D1B0A34" w14:textId="77777777" w:rsidR="00FC51D5" w:rsidRDefault="00FC51D5"/>
  </w:endnote>
  <w:endnote w:type="continuationSeparator" w:id="0">
    <w:p w14:paraId="1EAD7FD9" w14:textId="77777777" w:rsidR="00FC51D5" w:rsidRDefault="00FC51D5">
      <w:r>
        <w:continuationSeparator/>
      </w:r>
    </w:p>
    <w:p w14:paraId="010E6188" w14:textId="77777777" w:rsidR="00FC51D5" w:rsidRDefault="00FC51D5"/>
  </w:endnote>
  <w:endnote w:type="continuationNotice" w:id="1">
    <w:p w14:paraId="2F48E5D4" w14:textId="77777777" w:rsidR="00CC2B3E" w:rsidRDefault="00CC2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B486" w14:textId="77777777" w:rsidR="00FC51D5" w:rsidRDefault="00FC51D5" w:rsidP="00207717">
      <w:pPr>
        <w:spacing w:before="120"/>
      </w:pPr>
      <w:r>
        <w:separator/>
      </w:r>
    </w:p>
  </w:footnote>
  <w:footnote w:type="continuationSeparator" w:id="0">
    <w:p w14:paraId="02127270" w14:textId="77777777" w:rsidR="00FC51D5" w:rsidRDefault="00FC51D5">
      <w:r>
        <w:continuationSeparator/>
      </w:r>
    </w:p>
    <w:p w14:paraId="18BCE950" w14:textId="77777777" w:rsidR="00FC51D5" w:rsidRDefault="00FC51D5"/>
  </w:footnote>
  <w:footnote w:type="continuationNotice" w:id="1">
    <w:p w14:paraId="5AF5BC43" w14:textId="77777777" w:rsidR="00CC2B3E" w:rsidRDefault="00CC2B3E">
      <w:pPr>
        <w:spacing w:after="0" w:line="240" w:lineRule="auto"/>
      </w:pPr>
    </w:p>
  </w:footnote>
  <w:footnote w:id="2">
    <w:p w14:paraId="7BE5C9B7" w14:textId="77777777" w:rsidR="00923086" w:rsidRPr="008B611A" w:rsidRDefault="00923086" w:rsidP="00923086">
      <w:pPr>
        <w:pStyle w:val="FootnoteText"/>
        <w:rPr>
          <w:sz w:val="16"/>
        </w:rPr>
      </w:pPr>
      <w:r w:rsidRPr="008B611A">
        <w:rPr>
          <w:rStyle w:val="FootnoteReference"/>
          <w:sz w:val="16"/>
        </w:rPr>
        <w:footnoteRef/>
      </w:r>
      <w:r w:rsidRPr="008B611A">
        <w:rPr>
          <w:sz w:val="16"/>
        </w:rPr>
        <w:t xml:space="preserve"> See s137 – s141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08347A5" w:rsidR="00E261B3" w:rsidRPr="00923086" w:rsidRDefault="00923086" w:rsidP="0017674D">
    <w:pPr>
      <w:pStyle w:val="Header"/>
    </w:pPr>
    <w:r w:rsidRPr="00923086">
      <w:t>Frequently asked questions</w:t>
    </w:r>
    <w:r w:rsidR="00B14B5F" w:rsidRPr="00923086">
      <w:ptab w:relativeTo="margin" w:alignment="right" w:leader="none"/>
    </w:r>
    <w:r w:rsidR="00B14B5F" w:rsidRPr="00923086">
      <w:rPr>
        <w:b w:val="0"/>
        <w:bCs/>
      </w:rPr>
      <w:fldChar w:fldCharType="begin"/>
    </w:r>
    <w:r w:rsidR="00B14B5F" w:rsidRPr="00923086">
      <w:rPr>
        <w:bCs/>
      </w:rPr>
      <w:instrText xml:space="preserve"> PAGE </w:instrText>
    </w:r>
    <w:r w:rsidR="00B14B5F" w:rsidRPr="00923086">
      <w:rPr>
        <w:b w:val="0"/>
        <w:bCs/>
      </w:rPr>
      <w:fldChar w:fldCharType="separate"/>
    </w:r>
    <w:r w:rsidR="00B14B5F" w:rsidRPr="00923086">
      <w:rPr>
        <w:bCs/>
      </w:rPr>
      <w:t>2</w:t>
    </w:r>
    <w:r w:rsidR="00B14B5F" w:rsidRPr="00923086">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FE17060"/>
    <w:multiLevelType w:val="hybridMultilevel"/>
    <w:tmpl w:val="A876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26145"/>
    <w:multiLevelType w:val="hybridMultilevel"/>
    <w:tmpl w:val="A968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D2E31"/>
    <w:multiLevelType w:val="hybridMultilevel"/>
    <w:tmpl w:val="855A2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74381E"/>
    <w:multiLevelType w:val="hybridMultilevel"/>
    <w:tmpl w:val="4DF65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07409B"/>
    <w:multiLevelType w:val="hybridMultilevel"/>
    <w:tmpl w:val="5FA6D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441BE7"/>
    <w:multiLevelType w:val="hybridMultilevel"/>
    <w:tmpl w:val="5D3AF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46B7ADA"/>
    <w:multiLevelType w:val="hybridMultilevel"/>
    <w:tmpl w:val="03CAC55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F3A4EC8"/>
    <w:multiLevelType w:val="hybridMultilevel"/>
    <w:tmpl w:val="06B82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6499732">
    <w:abstractNumId w:val="7"/>
  </w:num>
  <w:num w:numId="2" w16cid:durableId="620889137">
    <w:abstractNumId w:val="11"/>
  </w:num>
  <w:num w:numId="3" w16cid:durableId="1586377817">
    <w:abstractNumId w:val="10"/>
  </w:num>
  <w:num w:numId="4" w16cid:durableId="496849498">
    <w:abstractNumId w:val="12"/>
  </w:num>
  <w:num w:numId="5" w16cid:durableId="767576029">
    <w:abstractNumId w:val="8"/>
  </w:num>
  <w:num w:numId="6" w16cid:durableId="1279681164">
    <w:abstractNumId w:val="0"/>
  </w:num>
  <w:num w:numId="7" w16cid:durableId="1321882419">
    <w:abstractNumId w:val="9"/>
  </w:num>
  <w:num w:numId="8" w16cid:durableId="1883203742">
    <w:abstractNumId w:val="4"/>
  </w:num>
  <w:num w:numId="9" w16cid:durableId="346950601">
    <w:abstractNumId w:val="6"/>
  </w:num>
  <w:num w:numId="10" w16cid:durableId="516041226">
    <w:abstractNumId w:val="13"/>
  </w:num>
  <w:num w:numId="11" w16cid:durableId="851991177">
    <w:abstractNumId w:val="1"/>
  </w:num>
  <w:num w:numId="12" w16cid:durableId="1175610648">
    <w:abstractNumId w:val="2"/>
  </w:num>
  <w:num w:numId="13" w16cid:durableId="48306381">
    <w:abstractNumId w:val="3"/>
  </w:num>
  <w:num w:numId="14" w16cid:durableId="209289553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17BEC"/>
    <w:rsid w:val="00022271"/>
    <w:rsid w:val="000235E8"/>
    <w:rsid w:val="00024B22"/>
    <w:rsid w:val="00024D89"/>
    <w:rsid w:val="000250B6"/>
    <w:rsid w:val="000301B7"/>
    <w:rsid w:val="00033D81"/>
    <w:rsid w:val="00037366"/>
    <w:rsid w:val="00041BF0"/>
    <w:rsid w:val="00042C8A"/>
    <w:rsid w:val="00044C07"/>
    <w:rsid w:val="0004536B"/>
    <w:rsid w:val="00046B68"/>
    <w:rsid w:val="000527DD"/>
    <w:rsid w:val="000578B2"/>
    <w:rsid w:val="00060959"/>
    <w:rsid w:val="00060C8F"/>
    <w:rsid w:val="0006298A"/>
    <w:rsid w:val="000643BD"/>
    <w:rsid w:val="000663CD"/>
    <w:rsid w:val="000722E6"/>
    <w:rsid w:val="000733FE"/>
    <w:rsid w:val="00074219"/>
    <w:rsid w:val="00074ED5"/>
    <w:rsid w:val="0008067C"/>
    <w:rsid w:val="0008508E"/>
    <w:rsid w:val="00086557"/>
    <w:rsid w:val="00087951"/>
    <w:rsid w:val="0009050A"/>
    <w:rsid w:val="0009113B"/>
    <w:rsid w:val="00093402"/>
    <w:rsid w:val="00094DA3"/>
    <w:rsid w:val="0009631B"/>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0B6F"/>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8B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566D"/>
    <w:rsid w:val="00216C03"/>
    <w:rsid w:val="00220C04"/>
    <w:rsid w:val="0022278D"/>
    <w:rsid w:val="0022423C"/>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7EE0"/>
    <w:rsid w:val="00291373"/>
    <w:rsid w:val="0029597D"/>
    <w:rsid w:val="002962C3"/>
    <w:rsid w:val="0029752B"/>
    <w:rsid w:val="002A0A9C"/>
    <w:rsid w:val="002A483C"/>
    <w:rsid w:val="002B0C7C"/>
    <w:rsid w:val="002B1729"/>
    <w:rsid w:val="002B36C7"/>
    <w:rsid w:val="002B4DD4"/>
    <w:rsid w:val="002B5277"/>
    <w:rsid w:val="002B5375"/>
    <w:rsid w:val="002B5EF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906"/>
    <w:rsid w:val="003214F1"/>
    <w:rsid w:val="00322E4B"/>
    <w:rsid w:val="003252EE"/>
    <w:rsid w:val="00327870"/>
    <w:rsid w:val="0033259D"/>
    <w:rsid w:val="003333D2"/>
    <w:rsid w:val="00337339"/>
    <w:rsid w:val="003406C6"/>
    <w:rsid w:val="003418CC"/>
    <w:rsid w:val="003459BD"/>
    <w:rsid w:val="00345A1A"/>
    <w:rsid w:val="00350D38"/>
    <w:rsid w:val="00351405"/>
    <w:rsid w:val="00351B36"/>
    <w:rsid w:val="00357B4E"/>
    <w:rsid w:val="003716FD"/>
    <w:rsid w:val="0037204B"/>
    <w:rsid w:val="003743F4"/>
    <w:rsid w:val="003744CF"/>
    <w:rsid w:val="00374717"/>
    <w:rsid w:val="0037676C"/>
    <w:rsid w:val="00377A1A"/>
    <w:rsid w:val="00381043"/>
    <w:rsid w:val="003829E5"/>
    <w:rsid w:val="00386109"/>
    <w:rsid w:val="00386944"/>
    <w:rsid w:val="00390CBE"/>
    <w:rsid w:val="003956CC"/>
    <w:rsid w:val="00395C9A"/>
    <w:rsid w:val="003A04E1"/>
    <w:rsid w:val="003A0853"/>
    <w:rsid w:val="003A6B67"/>
    <w:rsid w:val="003B13B6"/>
    <w:rsid w:val="003B14C3"/>
    <w:rsid w:val="003B15E6"/>
    <w:rsid w:val="003B1BDC"/>
    <w:rsid w:val="003B408A"/>
    <w:rsid w:val="003B6C3B"/>
    <w:rsid w:val="003C08A2"/>
    <w:rsid w:val="003C2045"/>
    <w:rsid w:val="003C43A1"/>
    <w:rsid w:val="003C4FC0"/>
    <w:rsid w:val="003C55F4"/>
    <w:rsid w:val="003C7897"/>
    <w:rsid w:val="003C7A3F"/>
    <w:rsid w:val="003D2766"/>
    <w:rsid w:val="003D2A74"/>
    <w:rsid w:val="003D3E8F"/>
    <w:rsid w:val="003D5429"/>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14A50"/>
    <w:rsid w:val="0042084E"/>
    <w:rsid w:val="00421EEF"/>
    <w:rsid w:val="00424D65"/>
    <w:rsid w:val="00430393"/>
    <w:rsid w:val="00430D1C"/>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37E"/>
    <w:rsid w:val="004B2535"/>
    <w:rsid w:val="004B4185"/>
    <w:rsid w:val="004C079A"/>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19B"/>
    <w:rsid w:val="005126D0"/>
    <w:rsid w:val="00513109"/>
    <w:rsid w:val="00514667"/>
    <w:rsid w:val="0051568D"/>
    <w:rsid w:val="005260C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A4B04"/>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0264"/>
    <w:rsid w:val="006C77B4"/>
    <w:rsid w:val="006D0F16"/>
    <w:rsid w:val="006D2A3F"/>
    <w:rsid w:val="006D2FBC"/>
    <w:rsid w:val="006E138B"/>
    <w:rsid w:val="006E1867"/>
    <w:rsid w:val="006E6FCC"/>
    <w:rsid w:val="006F0330"/>
    <w:rsid w:val="006F1FDC"/>
    <w:rsid w:val="006F58D2"/>
    <w:rsid w:val="006F6B8C"/>
    <w:rsid w:val="007013EF"/>
    <w:rsid w:val="007055BD"/>
    <w:rsid w:val="007173CA"/>
    <w:rsid w:val="00721064"/>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E51"/>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040"/>
    <w:rsid w:val="007B1374"/>
    <w:rsid w:val="007B32E5"/>
    <w:rsid w:val="007B3DB9"/>
    <w:rsid w:val="007B589F"/>
    <w:rsid w:val="007B6186"/>
    <w:rsid w:val="007B73BC"/>
    <w:rsid w:val="007C1838"/>
    <w:rsid w:val="007C1FB6"/>
    <w:rsid w:val="007C20B9"/>
    <w:rsid w:val="007C7301"/>
    <w:rsid w:val="007C7859"/>
    <w:rsid w:val="007C7F28"/>
    <w:rsid w:val="007D1466"/>
    <w:rsid w:val="007D2BDE"/>
    <w:rsid w:val="007D2FB6"/>
    <w:rsid w:val="007D3479"/>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B611A"/>
    <w:rsid w:val="008C0B3A"/>
    <w:rsid w:val="008C2F92"/>
    <w:rsid w:val="008C589D"/>
    <w:rsid w:val="008C6804"/>
    <w:rsid w:val="008C6D51"/>
    <w:rsid w:val="008D121F"/>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0B66"/>
    <w:rsid w:val="009111B2"/>
    <w:rsid w:val="009151F5"/>
    <w:rsid w:val="00923086"/>
    <w:rsid w:val="00924AE1"/>
    <w:rsid w:val="009257ED"/>
    <w:rsid w:val="009269B1"/>
    <w:rsid w:val="0092724D"/>
    <w:rsid w:val="009272B3"/>
    <w:rsid w:val="009315BE"/>
    <w:rsid w:val="0093338F"/>
    <w:rsid w:val="00937BD9"/>
    <w:rsid w:val="00940C64"/>
    <w:rsid w:val="00943A64"/>
    <w:rsid w:val="00950E2C"/>
    <w:rsid w:val="00951D50"/>
    <w:rsid w:val="009525EB"/>
    <w:rsid w:val="0095470B"/>
    <w:rsid w:val="00954874"/>
    <w:rsid w:val="00954D01"/>
    <w:rsid w:val="0095615A"/>
    <w:rsid w:val="00961400"/>
    <w:rsid w:val="00963646"/>
    <w:rsid w:val="00964440"/>
    <w:rsid w:val="0096632D"/>
    <w:rsid w:val="00967124"/>
    <w:rsid w:val="00967335"/>
    <w:rsid w:val="009718C7"/>
    <w:rsid w:val="00972F38"/>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0552"/>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7A2"/>
    <w:rsid w:val="009F6BCB"/>
    <w:rsid w:val="009F7B78"/>
    <w:rsid w:val="00A0057A"/>
    <w:rsid w:val="00A01D19"/>
    <w:rsid w:val="00A02FA1"/>
    <w:rsid w:val="00A03260"/>
    <w:rsid w:val="00A04CCE"/>
    <w:rsid w:val="00A07421"/>
    <w:rsid w:val="00A0776B"/>
    <w:rsid w:val="00A10FB9"/>
    <w:rsid w:val="00A11421"/>
    <w:rsid w:val="00A11FD8"/>
    <w:rsid w:val="00A1389F"/>
    <w:rsid w:val="00A14996"/>
    <w:rsid w:val="00A15198"/>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1F76"/>
    <w:rsid w:val="00BE28D2"/>
    <w:rsid w:val="00BE4A64"/>
    <w:rsid w:val="00BE5E43"/>
    <w:rsid w:val="00BF557D"/>
    <w:rsid w:val="00BF7F58"/>
    <w:rsid w:val="00C01381"/>
    <w:rsid w:val="00C01AB1"/>
    <w:rsid w:val="00C026A0"/>
    <w:rsid w:val="00C03EA4"/>
    <w:rsid w:val="00C04F42"/>
    <w:rsid w:val="00C052FD"/>
    <w:rsid w:val="00C06137"/>
    <w:rsid w:val="00C06929"/>
    <w:rsid w:val="00C079B8"/>
    <w:rsid w:val="00C07AD9"/>
    <w:rsid w:val="00C10037"/>
    <w:rsid w:val="00C123EA"/>
    <w:rsid w:val="00C12A49"/>
    <w:rsid w:val="00C133EE"/>
    <w:rsid w:val="00C149D0"/>
    <w:rsid w:val="00C231A0"/>
    <w:rsid w:val="00C26588"/>
    <w:rsid w:val="00C27DE9"/>
    <w:rsid w:val="00C32989"/>
    <w:rsid w:val="00C33388"/>
    <w:rsid w:val="00C35484"/>
    <w:rsid w:val="00C4173A"/>
    <w:rsid w:val="00C45907"/>
    <w:rsid w:val="00C50DED"/>
    <w:rsid w:val="00C52217"/>
    <w:rsid w:val="00C602FF"/>
    <w:rsid w:val="00C61174"/>
    <w:rsid w:val="00C6148F"/>
    <w:rsid w:val="00C621B1"/>
    <w:rsid w:val="00C62B80"/>
    <w:rsid w:val="00C62F7A"/>
    <w:rsid w:val="00C63B9C"/>
    <w:rsid w:val="00C6682F"/>
    <w:rsid w:val="00C67BF4"/>
    <w:rsid w:val="00C7033D"/>
    <w:rsid w:val="00C7275E"/>
    <w:rsid w:val="00C74C5D"/>
    <w:rsid w:val="00C805C0"/>
    <w:rsid w:val="00C863C4"/>
    <w:rsid w:val="00C920EA"/>
    <w:rsid w:val="00C93C3E"/>
    <w:rsid w:val="00C9499B"/>
    <w:rsid w:val="00CA12E3"/>
    <w:rsid w:val="00CA1476"/>
    <w:rsid w:val="00CA6611"/>
    <w:rsid w:val="00CA6AE6"/>
    <w:rsid w:val="00CA782F"/>
    <w:rsid w:val="00CB187B"/>
    <w:rsid w:val="00CB2835"/>
    <w:rsid w:val="00CB3285"/>
    <w:rsid w:val="00CB4500"/>
    <w:rsid w:val="00CC0C72"/>
    <w:rsid w:val="00CC2B3E"/>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86EEF"/>
    <w:rsid w:val="00D943F8"/>
    <w:rsid w:val="00D95470"/>
    <w:rsid w:val="00D96B55"/>
    <w:rsid w:val="00DA2619"/>
    <w:rsid w:val="00DA2E57"/>
    <w:rsid w:val="00DA4239"/>
    <w:rsid w:val="00DA5511"/>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DF7B67"/>
    <w:rsid w:val="00E04EC2"/>
    <w:rsid w:val="00E06B75"/>
    <w:rsid w:val="00E11332"/>
    <w:rsid w:val="00E11352"/>
    <w:rsid w:val="00E13B60"/>
    <w:rsid w:val="00E170DC"/>
    <w:rsid w:val="00E17546"/>
    <w:rsid w:val="00E210B5"/>
    <w:rsid w:val="00E261B3"/>
    <w:rsid w:val="00E26818"/>
    <w:rsid w:val="00E27393"/>
    <w:rsid w:val="00E27FFC"/>
    <w:rsid w:val="00E30B15"/>
    <w:rsid w:val="00E33237"/>
    <w:rsid w:val="00E40181"/>
    <w:rsid w:val="00E54950"/>
    <w:rsid w:val="00E55FB3"/>
    <w:rsid w:val="00E56A01"/>
    <w:rsid w:val="00E601DC"/>
    <w:rsid w:val="00E629A1"/>
    <w:rsid w:val="00E62E92"/>
    <w:rsid w:val="00E6794C"/>
    <w:rsid w:val="00E71591"/>
    <w:rsid w:val="00E71CEB"/>
    <w:rsid w:val="00E7474F"/>
    <w:rsid w:val="00E77901"/>
    <w:rsid w:val="00E80DE3"/>
    <w:rsid w:val="00E82C55"/>
    <w:rsid w:val="00E847A7"/>
    <w:rsid w:val="00E8787E"/>
    <w:rsid w:val="00E92073"/>
    <w:rsid w:val="00E92AC3"/>
    <w:rsid w:val="00E96E22"/>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6AE"/>
    <w:rsid w:val="00EF59A3"/>
    <w:rsid w:val="00EF6675"/>
    <w:rsid w:val="00F0063D"/>
    <w:rsid w:val="00F00F9C"/>
    <w:rsid w:val="00F01E5F"/>
    <w:rsid w:val="00F024F3"/>
    <w:rsid w:val="00F029DC"/>
    <w:rsid w:val="00F02ABA"/>
    <w:rsid w:val="00F03701"/>
    <w:rsid w:val="00F0437A"/>
    <w:rsid w:val="00F0740D"/>
    <w:rsid w:val="00F101B8"/>
    <w:rsid w:val="00F10C7D"/>
    <w:rsid w:val="00F11037"/>
    <w:rsid w:val="00F16F1B"/>
    <w:rsid w:val="00F250A9"/>
    <w:rsid w:val="00F267AF"/>
    <w:rsid w:val="00F30FF4"/>
    <w:rsid w:val="00F3122E"/>
    <w:rsid w:val="00F32368"/>
    <w:rsid w:val="00F331AD"/>
    <w:rsid w:val="00F35287"/>
    <w:rsid w:val="00F369AB"/>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4961"/>
    <w:rsid w:val="00F95886"/>
    <w:rsid w:val="00F972B1"/>
    <w:rsid w:val="00F97919"/>
    <w:rsid w:val="00FA2C46"/>
    <w:rsid w:val="00FA3525"/>
    <w:rsid w:val="00FA49F6"/>
    <w:rsid w:val="00FA5A53"/>
    <w:rsid w:val="00FB3501"/>
    <w:rsid w:val="00FB4769"/>
    <w:rsid w:val="00FB4CDA"/>
    <w:rsid w:val="00FB5B4E"/>
    <w:rsid w:val="00FB6481"/>
    <w:rsid w:val="00FB6D36"/>
    <w:rsid w:val="00FC0965"/>
    <w:rsid w:val="00FC0F81"/>
    <w:rsid w:val="00FC252F"/>
    <w:rsid w:val="00FC395C"/>
    <w:rsid w:val="00FC51D5"/>
    <w:rsid w:val="00FC5E8E"/>
    <w:rsid w:val="00FC68C0"/>
    <w:rsid w:val="00FD3766"/>
    <w:rsid w:val="00FD47C4"/>
    <w:rsid w:val="00FE2DCF"/>
    <w:rsid w:val="00FE3FA7"/>
    <w:rsid w:val="00FF2A4E"/>
    <w:rsid w:val="00FF2FCE"/>
    <w:rsid w:val="00FF4F7D"/>
    <w:rsid w:val="00FF6D9D"/>
    <w:rsid w:val="00FF7DD5"/>
    <w:rsid w:val="36B687D3"/>
    <w:rsid w:val="47D14DBB"/>
    <w:rsid w:val="62EF9ADB"/>
    <w:rsid w:val="6891E2D0"/>
    <w:rsid w:val="6B53C36C"/>
    <w:rsid w:val="73AE3495"/>
    <w:rsid w:val="75D71ED2"/>
    <w:rsid w:val="770E19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0CFB204-6A2B-400F-A680-ED1AD4F6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92308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customStyle="1" w:styleId="TabletextChar">
    <w:name w:val="Table text Char"/>
    <w:basedOn w:val="DefaultParagraphFont"/>
    <w:link w:val="Tabletext"/>
    <w:uiPriority w:val="3"/>
    <w:rsid w:val="00923086"/>
    <w:rPr>
      <w:rFonts w:ascii="Arial" w:hAnsi="Arial"/>
      <w:sz w:val="21"/>
      <w:lang w:eastAsia="en-US"/>
    </w:rPr>
  </w:style>
  <w:style w:type="character" w:customStyle="1" w:styleId="normaltextrun">
    <w:name w:val="normaltextrun"/>
    <w:basedOn w:val="DefaultParagraphFont"/>
    <w:rsid w:val="00923086"/>
  </w:style>
  <w:style w:type="table" w:customStyle="1" w:styleId="Purpletable">
    <w:name w:val="Purple table"/>
    <w:basedOn w:val="TableNormal"/>
    <w:next w:val="TableGrid"/>
    <w:uiPriority w:val="39"/>
    <w:rsid w:val="00923086"/>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customStyle="1" w:styleId="Default">
    <w:name w:val="Default"/>
    <w:rsid w:val="00923086"/>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490424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76409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sr-reporting-notifiable-incident" TargetMode="External"/><Relationship Id="rId2" Type="http://schemas.openxmlformats.org/officeDocument/2006/relationships/customXml" Target="../customXml/item2.xml"/><Relationship Id="rId16" Type="http://schemas.openxmlformats.org/officeDocument/2006/relationships/hyperlink" Target="https://www.vic.gov.au/ssr-reporting-notifiable-incid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nquiries@ss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0A90CD668C8468A9BB556965716BF" ma:contentTypeVersion="11" ma:contentTypeDescription="Create a new document." ma:contentTypeScope="" ma:versionID="eb947c4f10570d6434eb6681efe32484">
  <xsd:schema xmlns:xsd="http://www.w3.org/2001/XMLSchema" xmlns:xs="http://www.w3.org/2001/XMLSchema" xmlns:p="http://schemas.microsoft.com/office/2006/metadata/properties" xmlns:ns3="aa936dfc-ab66-44ad-b2a1-5c0c1d67b43c" targetNamespace="http://schemas.microsoft.com/office/2006/metadata/properties" ma:root="true" ma:fieldsID="a8892a2f568e6a46928b417d0089d2ce" ns3:_="">
    <xsd:import namespace="aa936dfc-ab66-44ad-b2a1-5c0c1d67b43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6dfc-ab66-44ad-b2a1-5c0c1d67b43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a936dfc-ab66-44ad-b2a1-5c0c1d67b43c" xsi:nil="true"/>
    <_activity xmlns="aa936dfc-ab66-44ad-b2a1-5c0c1d67b4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6A2AD-310C-45F0-9E62-4A6507B0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36dfc-ab66-44ad-b2a1-5c0c1d67b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a936dfc-ab66-44ad-b2a1-5c0c1d67b43c"/>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1930</Words>
  <Characters>11276</Characters>
  <Application>Microsoft Office Word</Application>
  <DocSecurity>0</DocSecurity>
  <Lines>93</Lines>
  <Paragraphs>26</Paragraphs>
  <ScaleCrop>false</ScaleCrop>
  <Manager/>
  <Company>Victoria State Government, Social Services Regulator</Company>
  <LinksUpToDate>false</LinksUpToDate>
  <CharactersWithSpaces>13180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6</cp:revision>
  <cp:lastPrinted>2021-01-29T05:27:00Z</cp:lastPrinted>
  <dcterms:created xsi:type="dcterms:W3CDTF">2024-09-13T02:23:00Z</dcterms:created>
  <dcterms:modified xsi:type="dcterms:W3CDTF">2024-09-17T03:41:00Z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0x0101005AA0A90CD668C8468A9BB556965716BF</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