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113"/>
      </w:tblGrid>
      <w:tr w:rsidR="00AD784C" w14:paraId="765659DC" w14:textId="77777777" w:rsidTr="0065033C">
        <w:trPr>
          <w:trHeight w:val="1439"/>
        </w:trPr>
        <w:tc>
          <w:tcPr>
            <w:tcW w:w="7113" w:type="dxa"/>
            <w:vAlign w:val="bottom"/>
          </w:tcPr>
          <w:p w14:paraId="1B06FE4C" w14:textId="0B29978A" w:rsidR="00AD784C" w:rsidRPr="0009050A" w:rsidRDefault="0065033C" w:rsidP="0016037B">
            <w:pPr>
              <w:pStyle w:val="Documenttitle"/>
            </w:pPr>
            <w:r w:rsidRPr="0065033C">
              <w:t>Choice and access to chosen NDIS providers</w:t>
            </w:r>
          </w:p>
        </w:tc>
      </w:tr>
      <w:tr w:rsidR="000B2117" w14:paraId="5DF317EC" w14:textId="77777777" w:rsidTr="0065033C">
        <w:trPr>
          <w:trHeight w:val="1266"/>
        </w:trPr>
        <w:tc>
          <w:tcPr>
            <w:tcW w:w="7113" w:type="dxa"/>
          </w:tcPr>
          <w:p w14:paraId="69C24C39" w14:textId="1A5B5B3B" w:rsidR="000B2117" w:rsidRPr="0016037B" w:rsidRDefault="0065033C" w:rsidP="0016037B">
            <w:pPr>
              <w:pStyle w:val="Documentsubtitle"/>
            </w:pPr>
            <w:r>
              <w:t>Guidance for supported residential services</w:t>
            </w:r>
          </w:p>
        </w:tc>
      </w:tr>
      <w:tr w:rsidR="00CF4148" w14:paraId="5F5E6105" w14:textId="77777777" w:rsidTr="0065033C">
        <w:trPr>
          <w:trHeight w:val="288"/>
        </w:trPr>
        <w:tc>
          <w:tcPr>
            <w:tcW w:w="7113" w:type="dxa"/>
          </w:tcPr>
          <w:p w14:paraId="45D389E8" w14:textId="74334762" w:rsidR="00CF4148" w:rsidRPr="00250DC4" w:rsidRDefault="00984EB4"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3C1C9489" w14:textId="3622C3E2" w:rsidR="00E7103B"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007280" w:history="1">
        <w:r w:rsidR="00E7103B" w:rsidRPr="002812BA">
          <w:rPr>
            <w:rStyle w:val="Hyperlink"/>
          </w:rPr>
          <w:t>Obligations for proprietors</w:t>
        </w:r>
        <w:r w:rsidR="00E7103B">
          <w:rPr>
            <w:webHidden/>
          </w:rPr>
          <w:tab/>
        </w:r>
        <w:r w:rsidR="00E7103B">
          <w:rPr>
            <w:webHidden/>
          </w:rPr>
          <w:fldChar w:fldCharType="begin"/>
        </w:r>
        <w:r w:rsidR="00E7103B">
          <w:rPr>
            <w:webHidden/>
          </w:rPr>
          <w:instrText xml:space="preserve"> PAGEREF _Toc169007280 \h </w:instrText>
        </w:r>
        <w:r w:rsidR="00E7103B">
          <w:rPr>
            <w:webHidden/>
          </w:rPr>
        </w:r>
        <w:r w:rsidR="00E7103B">
          <w:rPr>
            <w:webHidden/>
          </w:rPr>
          <w:fldChar w:fldCharType="separate"/>
        </w:r>
        <w:r w:rsidR="00E7103B">
          <w:rPr>
            <w:webHidden/>
          </w:rPr>
          <w:t>1</w:t>
        </w:r>
        <w:r w:rsidR="00E7103B">
          <w:rPr>
            <w:webHidden/>
          </w:rPr>
          <w:fldChar w:fldCharType="end"/>
        </w:r>
      </w:hyperlink>
    </w:p>
    <w:p w14:paraId="2F7B301A" w14:textId="5A99858C" w:rsidR="00E7103B" w:rsidRDefault="00984EB4">
      <w:pPr>
        <w:pStyle w:val="TOC1"/>
        <w:rPr>
          <w:rFonts w:asciiTheme="minorHAnsi" w:eastAsiaTheme="minorEastAsia" w:hAnsiTheme="minorHAnsi" w:cstheme="minorBidi"/>
          <w:b w:val="0"/>
          <w:kern w:val="2"/>
          <w:sz w:val="24"/>
          <w:szCs w:val="24"/>
          <w:lang w:eastAsia="en-AU"/>
          <w14:ligatures w14:val="standardContextual"/>
        </w:rPr>
      </w:pPr>
      <w:hyperlink w:anchor="_Toc169007281" w:history="1">
        <w:r w:rsidR="00E7103B" w:rsidRPr="002812BA">
          <w:rPr>
            <w:rStyle w:val="Hyperlink"/>
          </w:rPr>
          <w:t>Choosing an NDIS provider</w:t>
        </w:r>
        <w:r w:rsidR="00E7103B">
          <w:rPr>
            <w:webHidden/>
          </w:rPr>
          <w:tab/>
        </w:r>
        <w:r w:rsidR="00E7103B">
          <w:rPr>
            <w:webHidden/>
          </w:rPr>
          <w:fldChar w:fldCharType="begin"/>
        </w:r>
        <w:r w:rsidR="00E7103B">
          <w:rPr>
            <w:webHidden/>
          </w:rPr>
          <w:instrText xml:space="preserve"> PAGEREF _Toc169007281 \h </w:instrText>
        </w:r>
        <w:r w:rsidR="00E7103B">
          <w:rPr>
            <w:webHidden/>
          </w:rPr>
        </w:r>
        <w:r w:rsidR="00E7103B">
          <w:rPr>
            <w:webHidden/>
          </w:rPr>
          <w:fldChar w:fldCharType="separate"/>
        </w:r>
        <w:r w:rsidR="00E7103B">
          <w:rPr>
            <w:webHidden/>
          </w:rPr>
          <w:t>2</w:t>
        </w:r>
        <w:r w:rsidR="00E7103B">
          <w:rPr>
            <w:webHidden/>
          </w:rPr>
          <w:fldChar w:fldCharType="end"/>
        </w:r>
      </w:hyperlink>
    </w:p>
    <w:p w14:paraId="23F1113D" w14:textId="236ADA29" w:rsidR="00E7103B" w:rsidRDefault="00984EB4">
      <w:pPr>
        <w:pStyle w:val="TOC1"/>
        <w:rPr>
          <w:rFonts w:asciiTheme="minorHAnsi" w:eastAsiaTheme="minorEastAsia" w:hAnsiTheme="minorHAnsi" w:cstheme="minorBidi"/>
          <w:b w:val="0"/>
          <w:kern w:val="2"/>
          <w:sz w:val="24"/>
          <w:szCs w:val="24"/>
          <w:lang w:eastAsia="en-AU"/>
          <w14:ligatures w14:val="standardContextual"/>
        </w:rPr>
      </w:pPr>
      <w:hyperlink w:anchor="_Toc169007282" w:history="1">
        <w:r w:rsidR="00E7103B" w:rsidRPr="002812BA">
          <w:rPr>
            <w:rStyle w:val="Hyperlink"/>
          </w:rPr>
          <w:t>Demonstrating choice</w:t>
        </w:r>
        <w:r w:rsidR="00E7103B">
          <w:rPr>
            <w:webHidden/>
          </w:rPr>
          <w:tab/>
        </w:r>
        <w:r w:rsidR="00E7103B">
          <w:rPr>
            <w:webHidden/>
          </w:rPr>
          <w:fldChar w:fldCharType="begin"/>
        </w:r>
        <w:r w:rsidR="00E7103B">
          <w:rPr>
            <w:webHidden/>
          </w:rPr>
          <w:instrText xml:space="preserve"> PAGEREF _Toc169007282 \h </w:instrText>
        </w:r>
        <w:r w:rsidR="00E7103B">
          <w:rPr>
            <w:webHidden/>
          </w:rPr>
        </w:r>
        <w:r w:rsidR="00E7103B">
          <w:rPr>
            <w:webHidden/>
          </w:rPr>
          <w:fldChar w:fldCharType="separate"/>
        </w:r>
        <w:r w:rsidR="00E7103B">
          <w:rPr>
            <w:webHidden/>
          </w:rPr>
          <w:t>2</w:t>
        </w:r>
        <w:r w:rsidR="00E7103B">
          <w:rPr>
            <w:webHidden/>
          </w:rPr>
          <w:fldChar w:fldCharType="end"/>
        </w:r>
      </w:hyperlink>
    </w:p>
    <w:p w14:paraId="722F290C" w14:textId="5ADFAF1B" w:rsidR="00E7103B" w:rsidRDefault="00984EB4">
      <w:pPr>
        <w:pStyle w:val="TOC1"/>
        <w:rPr>
          <w:rFonts w:asciiTheme="minorHAnsi" w:eastAsiaTheme="minorEastAsia" w:hAnsiTheme="minorHAnsi" w:cstheme="minorBidi"/>
          <w:b w:val="0"/>
          <w:kern w:val="2"/>
          <w:sz w:val="24"/>
          <w:szCs w:val="24"/>
          <w:lang w:eastAsia="en-AU"/>
          <w14:ligatures w14:val="standardContextual"/>
        </w:rPr>
      </w:pPr>
      <w:hyperlink w:anchor="_Toc169007283" w:history="1">
        <w:r w:rsidR="00E7103B" w:rsidRPr="002812BA">
          <w:rPr>
            <w:rStyle w:val="Hyperlink"/>
          </w:rPr>
          <w:t>Compliance and enforcement</w:t>
        </w:r>
        <w:r w:rsidR="00E7103B">
          <w:rPr>
            <w:webHidden/>
          </w:rPr>
          <w:tab/>
        </w:r>
        <w:r w:rsidR="00E7103B">
          <w:rPr>
            <w:webHidden/>
          </w:rPr>
          <w:fldChar w:fldCharType="begin"/>
        </w:r>
        <w:r w:rsidR="00E7103B">
          <w:rPr>
            <w:webHidden/>
          </w:rPr>
          <w:instrText xml:space="preserve"> PAGEREF _Toc169007283 \h </w:instrText>
        </w:r>
        <w:r w:rsidR="00E7103B">
          <w:rPr>
            <w:webHidden/>
          </w:rPr>
        </w:r>
        <w:r w:rsidR="00E7103B">
          <w:rPr>
            <w:webHidden/>
          </w:rPr>
          <w:fldChar w:fldCharType="separate"/>
        </w:r>
        <w:r w:rsidR="00E7103B">
          <w:rPr>
            <w:webHidden/>
          </w:rPr>
          <w:t>3</w:t>
        </w:r>
        <w:r w:rsidR="00E7103B">
          <w:rPr>
            <w:webHidden/>
          </w:rPr>
          <w:fldChar w:fldCharType="end"/>
        </w:r>
      </w:hyperlink>
    </w:p>
    <w:p w14:paraId="13445742" w14:textId="1646B40A" w:rsidR="00580394" w:rsidRPr="00B519CD" w:rsidRDefault="00AD784C"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3FD43261" w14:textId="0D21D906" w:rsidR="00F32368" w:rsidRPr="00F32368" w:rsidRDefault="0065033C" w:rsidP="0065033C">
      <w:pPr>
        <w:pStyle w:val="Introtext"/>
      </w:pPr>
      <w:bookmarkStart w:id="0" w:name="_Toc74929898"/>
      <w:bookmarkStart w:id="1" w:name="_Hlk41913885"/>
      <w:r>
        <w:t>Proprietors of supported residential services (SRS) must ensure that residents are able to choose and have access to their preferred health care providers</w:t>
      </w:r>
      <w:r w:rsidR="00634160">
        <w:t xml:space="preserve">. </w:t>
      </w:r>
      <w:r>
        <w:t>This guidance sets out compliance expectations for SRS proprietors in relation to resident</w:t>
      </w:r>
      <w:r w:rsidR="00F13539">
        <w:t>’s</w:t>
      </w:r>
      <w:r>
        <w:t xml:space="preserve"> choice and access to chosen National Disability Insurance Scheme (NDIS) providers.</w:t>
      </w:r>
      <w:bookmarkEnd w:id="0"/>
    </w:p>
    <w:p w14:paraId="79DC0739" w14:textId="77777777" w:rsidR="0065033C" w:rsidRDefault="0065033C" w:rsidP="0065033C">
      <w:pPr>
        <w:pStyle w:val="Heading1"/>
      </w:pPr>
      <w:bookmarkStart w:id="2" w:name="_Toc169007280"/>
      <w:bookmarkEnd w:id="1"/>
      <w:r>
        <w:t>Obligations for proprietors</w:t>
      </w:r>
      <w:bookmarkEnd w:id="2"/>
    </w:p>
    <w:p w14:paraId="55B8646A" w14:textId="2CFC1B52" w:rsidR="0065033C" w:rsidRDefault="0065033C" w:rsidP="0065033C">
      <w:pPr>
        <w:pStyle w:val="Body"/>
      </w:pPr>
      <w:r>
        <w:t xml:space="preserve">Proprietors must comply with several requirements that relate to providing residents with choice of and access to their chosen health care providers, including NDIS providers. These are listed in the </w:t>
      </w:r>
      <w:r w:rsidR="00F17C7C" w:rsidRPr="00E42D92">
        <w:rPr>
          <w:i/>
          <w:iCs/>
        </w:rPr>
        <w:t>Social Services Regulation Act 2021</w:t>
      </w:r>
      <w:r w:rsidR="00F17C7C" w:rsidRPr="00E42D92">
        <w:t xml:space="preserve">, the </w:t>
      </w:r>
      <w:r w:rsidR="00F17C7C" w:rsidRPr="00E42D92">
        <w:rPr>
          <w:i/>
          <w:iCs/>
        </w:rPr>
        <w:t>Social Services Regulations 2023</w:t>
      </w:r>
      <w:r w:rsidR="00F17C7C" w:rsidRPr="00E42D92">
        <w:t xml:space="preserve"> and the </w:t>
      </w:r>
      <w:r w:rsidR="00F17C7C" w:rsidRPr="00E42D92">
        <w:rPr>
          <w:i/>
          <w:iCs/>
        </w:rPr>
        <w:t>Social Services (Supported Residential Services) Regulations 2024</w:t>
      </w:r>
      <w:r>
        <w:t>. The relevant requirements are set out in the table below.</w:t>
      </w:r>
    </w:p>
    <w:p w14:paraId="1DF10795" w14:textId="77777777" w:rsidR="0065033C" w:rsidRDefault="0065033C" w:rsidP="0065033C">
      <w:pPr>
        <w:pStyle w:val="Tablecaption"/>
      </w:pPr>
      <w:r>
        <w:t xml:space="preserve">Requirements relating to providing residents with choice </w:t>
      </w:r>
    </w:p>
    <w:tbl>
      <w:tblPr>
        <w:tblStyle w:val="TableGrid"/>
        <w:tblW w:w="10201" w:type="dxa"/>
        <w:tblLook w:val="06A0" w:firstRow="1" w:lastRow="0" w:firstColumn="1" w:lastColumn="0" w:noHBand="1" w:noVBand="1"/>
      </w:tblPr>
      <w:tblGrid>
        <w:gridCol w:w="2405"/>
        <w:gridCol w:w="7796"/>
      </w:tblGrid>
      <w:tr w:rsidR="0065033C" w14:paraId="64226D9D" w14:textId="77777777" w:rsidTr="000B1491">
        <w:trPr>
          <w:tblHeader/>
        </w:trPr>
        <w:tc>
          <w:tcPr>
            <w:tcW w:w="2405" w:type="dxa"/>
          </w:tcPr>
          <w:p w14:paraId="42BCA723" w14:textId="77777777" w:rsidR="0065033C" w:rsidRDefault="0065033C" w:rsidP="000B1491">
            <w:pPr>
              <w:pStyle w:val="Tablecolhead"/>
            </w:pPr>
            <w:r>
              <w:t>Provision</w:t>
            </w:r>
          </w:p>
        </w:tc>
        <w:tc>
          <w:tcPr>
            <w:tcW w:w="7796" w:type="dxa"/>
          </w:tcPr>
          <w:p w14:paraId="5A64B28B" w14:textId="77777777" w:rsidR="0065033C" w:rsidRDefault="0065033C" w:rsidP="000B1491">
            <w:pPr>
              <w:pStyle w:val="Tablecolhead"/>
            </w:pPr>
            <w:r>
              <w:t>Requirement</w:t>
            </w:r>
          </w:p>
        </w:tc>
      </w:tr>
      <w:tr w:rsidR="0065033C" w14:paraId="1F671EDE" w14:textId="77777777" w:rsidTr="000B1491">
        <w:tc>
          <w:tcPr>
            <w:tcW w:w="2405" w:type="dxa"/>
          </w:tcPr>
          <w:p w14:paraId="583D8C7E" w14:textId="77777777" w:rsidR="0065033C" w:rsidRDefault="006F1BAD" w:rsidP="000B1491">
            <w:pPr>
              <w:pStyle w:val="Tabletext"/>
            </w:pPr>
            <w:r>
              <w:t xml:space="preserve">Under </w:t>
            </w:r>
            <w:r w:rsidR="0065033C" w:rsidRPr="007E4CCC">
              <w:t xml:space="preserve">Section </w:t>
            </w:r>
            <w:r w:rsidR="00F14DF2" w:rsidRPr="007E4CCC">
              <w:t>40</w:t>
            </w:r>
            <w:r w:rsidR="0065033C" w:rsidRPr="007E4CCC">
              <w:t xml:space="preserve"> of the Act</w:t>
            </w:r>
          </w:p>
          <w:p w14:paraId="17D40830" w14:textId="23288942" w:rsidR="006F1BAD" w:rsidRPr="007E4CCC" w:rsidRDefault="006F1BAD" w:rsidP="006F1BAD">
            <w:pPr>
              <w:pStyle w:val="Tabletext"/>
            </w:pPr>
            <w:r>
              <w:t>Social Services Standard - service user agency and dignity</w:t>
            </w:r>
          </w:p>
        </w:tc>
        <w:tc>
          <w:tcPr>
            <w:tcW w:w="7796" w:type="dxa"/>
          </w:tcPr>
          <w:p w14:paraId="1D03B794" w14:textId="1F4E5E30" w:rsidR="0065033C" w:rsidRDefault="00F14DF2" w:rsidP="000B1491">
            <w:pPr>
              <w:pStyle w:val="Tablebullet2"/>
              <w:numPr>
                <w:ilvl w:val="0"/>
                <w:numId w:val="0"/>
              </w:numPr>
            </w:pPr>
            <w:r w:rsidRPr="007E4CCC">
              <w:t>Social services are to be person</w:t>
            </w:r>
            <w:r w:rsidRPr="007E4CCC">
              <w:rPr>
                <w:rFonts w:ascii="Cambria Math" w:hAnsi="Cambria Math" w:cs="Cambria Math"/>
              </w:rPr>
              <w:t>‐</w:t>
            </w:r>
            <w:r w:rsidRPr="007E4CCC">
              <w:t>centred</w:t>
            </w:r>
            <w:r w:rsidR="008C5D46">
              <w:t>,</w:t>
            </w:r>
            <w:r w:rsidRPr="007E4CCC">
              <w:t xml:space="preserve"> and respect and uphold </w:t>
            </w:r>
            <w:r w:rsidR="000739FD" w:rsidRPr="007E4CCC">
              <w:t>resident</w:t>
            </w:r>
            <w:r w:rsidRPr="007E4CCC">
              <w:t xml:space="preserve"> rights and agency.</w:t>
            </w:r>
          </w:p>
          <w:p w14:paraId="32A657BF" w14:textId="77777777" w:rsidR="006F1BAD" w:rsidRDefault="006F1BAD" w:rsidP="006F1BAD">
            <w:pPr>
              <w:pStyle w:val="Bullet1"/>
              <w:numPr>
                <w:ilvl w:val="0"/>
                <w:numId w:val="0"/>
              </w:numPr>
            </w:pPr>
            <w:r>
              <w:t>Outcomes of this standard include that:</w:t>
            </w:r>
          </w:p>
          <w:p w14:paraId="32810FF5" w14:textId="77777777" w:rsidR="006F1BAD" w:rsidRPr="00356AEF" w:rsidRDefault="006F1BAD" w:rsidP="00356AEF">
            <w:pPr>
              <w:pStyle w:val="Bullet1"/>
            </w:pPr>
            <w:r w:rsidRPr="00356AEF">
              <w:t>the rights of service users are promoted and upheld</w:t>
            </w:r>
          </w:p>
          <w:p w14:paraId="3C4ADF59" w14:textId="35EB986E" w:rsidR="006F1BAD" w:rsidRPr="007E4CCC" w:rsidRDefault="006F1BAD" w:rsidP="004F1B41">
            <w:pPr>
              <w:pStyle w:val="Bullet1"/>
            </w:pPr>
            <w:r w:rsidRPr="00356AEF">
              <w:t>service users can exercise their agency and take part in decisions about the social</w:t>
            </w:r>
            <w:r>
              <w:t xml:space="preserve"> services they receive</w:t>
            </w:r>
          </w:p>
        </w:tc>
      </w:tr>
      <w:tr w:rsidR="0065033C" w14:paraId="0924B0F8" w14:textId="77777777" w:rsidTr="000B1491">
        <w:tc>
          <w:tcPr>
            <w:tcW w:w="2405" w:type="dxa"/>
          </w:tcPr>
          <w:p w14:paraId="5217F3B4" w14:textId="7307FDDE" w:rsidR="0065033C" w:rsidRPr="007E4CCC" w:rsidRDefault="00F14DF2" w:rsidP="000B1491">
            <w:pPr>
              <w:pStyle w:val="Tabletext"/>
            </w:pPr>
            <w:r w:rsidRPr="007E4CCC">
              <w:t xml:space="preserve">Schedule 1 of the </w:t>
            </w:r>
            <w:r w:rsidRPr="0061763C">
              <w:rPr>
                <w:i/>
                <w:iCs/>
              </w:rPr>
              <w:t>Social Services Regulations 2023</w:t>
            </w:r>
          </w:p>
        </w:tc>
        <w:tc>
          <w:tcPr>
            <w:tcW w:w="7796" w:type="dxa"/>
          </w:tcPr>
          <w:p w14:paraId="53BE0EF5" w14:textId="629A4C1B" w:rsidR="007923AB" w:rsidRPr="00356AEF" w:rsidRDefault="00B23F33" w:rsidP="00356AEF">
            <w:pPr>
              <w:pStyle w:val="Bullet1"/>
            </w:pPr>
            <w:r w:rsidRPr="00356AEF">
              <w:t>Proprietors must comply with Service requirement</w:t>
            </w:r>
            <w:r w:rsidR="000739FD" w:rsidRPr="00356AEF">
              <w:t>s</w:t>
            </w:r>
            <w:r w:rsidRPr="00356AEF">
              <w:t xml:space="preserve"> 3</w:t>
            </w:r>
            <w:r w:rsidR="000739FD" w:rsidRPr="00356AEF">
              <w:t xml:space="preserve"> </w:t>
            </w:r>
            <w:r w:rsidR="003E1A84">
              <w:t xml:space="preserve">and </w:t>
            </w:r>
            <w:r w:rsidR="000739FD" w:rsidRPr="00356AEF">
              <w:t>19</w:t>
            </w:r>
            <w:r w:rsidRPr="00356AEF">
              <w:t xml:space="preserve"> which </w:t>
            </w:r>
            <w:r w:rsidR="00791788" w:rsidRPr="00356AEF">
              <w:t>relate to</w:t>
            </w:r>
            <w:r w:rsidRPr="00356AEF">
              <w:t xml:space="preserve"> informed consent. The purpose of this </w:t>
            </w:r>
            <w:r w:rsidR="002F420E" w:rsidRPr="00356AEF">
              <w:t xml:space="preserve">requirement </w:t>
            </w:r>
            <w:r w:rsidRPr="00356AEF">
              <w:t xml:space="preserve">is to ensure that </w:t>
            </w:r>
            <w:r w:rsidR="000739FD" w:rsidRPr="00356AEF">
              <w:t>resident</w:t>
            </w:r>
            <w:r w:rsidR="00E8326E" w:rsidRPr="00356AEF">
              <w:t>s</w:t>
            </w:r>
            <w:r w:rsidR="006B5BB6" w:rsidRPr="00356AEF">
              <w:t xml:space="preserve"> are provided with adequate information and time</w:t>
            </w:r>
            <w:r w:rsidRPr="00356AEF">
              <w:t xml:space="preserve"> </w:t>
            </w:r>
            <w:r w:rsidR="006B5BB6" w:rsidRPr="00356AEF">
              <w:t xml:space="preserve">to make an informed decision, and their consent is given freely and without undue pressure or coercion. </w:t>
            </w:r>
          </w:p>
          <w:p w14:paraId="7BED1E0C" w14:textId="410C7E8A" w:rsidR="0065033C" w:rsidRPr="00356AEF" w:rsidRDefault="0065033C" w:rsidP="00356AEF">
            <w:pPr>
              <w:pStyle w:val="Bullet1"/>
            </w:pPr>
            <w:r w:rsidRPr="00356AEF">
              <w:t xml:space="preserve">Proprietors must comply with </w:t>
            </w:r>
            <w:r w:rsidR="00110B27" w:rsidRPr="00356AEF">
              <w:t xml:space="preserve">Service requirement </w:t>
            </w:r>
            <w:r w:rsidR="00CC1ACD" w:rsidRPr="00356AEF">
              <w:t>8</w:t>
            </w:r>
            <w:r w:rsidRPr="00356AEF">
              <w:t xml:space="preserve"> which relates</w:t>
            </w:r>
            <w:r w:rsidR="008805C7" w:rsidRPr="00356AEF">
              <w:t xml:space="preserve"> to</w:t>
            </w:r>
            <w:r w:rsidRPr="00356AEF">
              <w:t xml:space="preserve"> </w:t>
            </w:r>
            <w:r w:rsidR="00754028" w:rsidRPr="00356AEF">
              <w:t xml:space="preserve">assessing the needs of </w:t>
            </w:r>
            <w:r w:rsidR="000739FD" w:rsidRPr="00356AEF">
              <w:t>resident</w:t>
            </w:r>
            <w:r w:rsidR="00E8326E" w:rsidRPr="00356AEF">
              <w:t>s</w:t>
            </w:r>
            <w:r w:rsidRPr="00356AEF">
              <w:t xml:space="preserve">. The purpose of this </w:t>
            </w:r>
            <w:r w:rsidR="002F420E" w:rsidRPr="00356AEF">
              <w:t xml:space="preserve">requirement </w:t>
            </w:r>
            <w:r w:rsidRPr="00356AEF">
              <w:t xml:space="preserve">is to ensure </w:t>
            </w:r>
            <w:r w:rsidR="000739FD" w:rsidRPr="00356AEF">
              <w:lastRenderedPageBreak/>
              <w:t>resident</w:t>
            </w:r>
            <w:r w:rsidR="00E65FD0" w:rsidRPr="00356AEF">
              <w:t>s are provided with services</w:t>
            </w:r>
            <w:r w:rsidR="00570512" w:rsidRPr="00356AEF">
              <w:t xml:space="preserve"> that </w:t>
            </w:r>
            <w:r w:rsidR="00670B00">
              <w:t>address</w:t>
            </w:r>
            <w:r w:rsidR="00570512" w:rsidRPr="00356AEF">
              <w:t xml:space="preserve"> their </w:t>
            </w:r>
            <w:r w:rsidR="00116A67" w:rsidRPr="00356AEF">
              <w:t xml:space="preserve">needs, </w:t>
            </w:r>
            <w:r w:rsidR="00570512" w:rsidRPr="00356AEF">
              <w:t>circumstances, goals and preferences.</w:t>
            </w:r>
          </w:p>
          <w:p w14:paraId="52A6B482" w14:textId="7CE01E4A" w:rsidR="0065033C" w:rsidRPr="00356AEF" w:rsidRDefault="0065033C" w:rsidP="00356AEF">
            <w:pPr>
              <w:pStyle w:val="Bullet1"/>
            </w:pPr>
            <w:r w:rsidRPr="00356AEF">
              <w:t xml:space="preserve">Proprietors must comply with </w:t>
            </w:r>
            <w:r w:rsidR="00260230" w:rsidRPr="00356AEF">
              <w:t>Service requirement 10</w:t>
            </w:r>
            <w:r w:rsidRPr="00356AEF">
              <w:t xml:space="preserve"> which relates to </w:t>
            </w:r>
            <w:r w:rsidR="00F004C0" w:rsidRPr="00356AEF">
              <w:t>cultural safety and inclusion</w:t>
            </w:r>
            <w:r w:rsidRPr="00356AEF">
              <w:t xml:space="preserve">. The purpose of this </w:t>
            </w:r>
            <w:r w:rsidR="00356AEF" w:rsidRPr="00356AEF">
              <w:t>requirement is</w:t>
            </w:r>
            <w:r w:rsidRPr="00356AEF">
              <w:t xml:space="preserve"> to ensure </w:t>
            </w:r>
            <w:r w:rsidR="00A96CEC">
              <w:t xml:space="preserve">that </w:t>
            </w:r>
            <w:r w:rsidR="00F004C0" w:rsidRPr="00356AEF">
              <w:t xml:space="preserve">social services delivered to a </w:t>
            </w:r>
            <w:r w:rsidR="000739FD" w:rsidRPr="00356AEF">
              <w:t>resident</w:t>
            </w:r>
            <w:r w:rsidR="00F004C0" w:rsidRPr="00356AEF">
              <w:t xml:space="preserve"> respect the </w:t>
            </w:r>
            <w:r w:rsidR="000739FD" w:rsidRPr="00356AEF">
              <w:t>resident</w:t>
            </w:r>
            <w:r w:rsidR="00F004C0" w:rsidRPr="00356AEF">
              <w:t>'s cultural identity and lived experience.</w:t>
            </w:r>
          </w:p>
          <w:p w14:paraId="199AF823" w14:textId="5EBCCCE6" w:rsidR="002A6639" w:rsidRPr="00356AEF" w:rsidRDefault="002A6639" w:rsidP="00356AEF">
            <w:pPr>
              <w:pStyle w:val="Bullet1"/>
            </w:pPr>
            <w:r w:rsidRPr="00356AEF">
              <w:t xml:space="preserve">Proprietors must comply with Service requirement 11 which relates to Aboriginal cultural safety and inclusion. The purpose of this </w:t>
            </w:r>
            <w:r w:rsidR="00A47935">
              <w:t>requirement</w:t>
            </w:r>
            <w:r w:rsidRPr="00356AEF">
              <w:t xml:space="preserve"> is to ensure that, with respect to Aboriginal </w:t>
            </w:r>
            <w:r w:rsidR="000739FD" w:rsidRPr="00356AEF">
              <w:t>resident</w:t>
            </w:r>
            <w:r w:rsidRPr="00356AEF">
              <w:t xml:space="preserve">s, </w:t>
            </w:r>
            <w:r w:rsidR="007368AB" w:rsidRPr="00356AEF">
              <w:t xml:space="preserve">a </w:t>
            </w:r>
            <w:r w:rsidR="000739FD" w:rsidRPr="00356AEF">
              <w:t>resident</w:t>
            </w:r>
            <w:r w:rsidR="007368AB" w:rsidRPr="00356AEF">
              <w:t xml:space="preserve">'s ability to express the </w:t>
            </w:r>
            <w:r w:rsidR="000739FD" w:rsidRPr="00356AEF">
              <w:t>resident</w:t>
            </w:r>
            <w:r w:rsidR="007368AB" w:rsidRPr="00356AEF">
              <w:t xml:space="preserve">'s culture and enjoy the </w:t>
            </w:r>
            <w:r w:rsidR="000739FD" w:rsidRPr="00356AEF">
              <w:t>resident</w:t>
            </w:r>
            <w:r w:rsidR="007368AB" w:rsidRPr="00356AEF">
              <w:t>'s cultural rights is encouraged and actively supported.</w:t>
            </w:r>
          </w:p>
          <w:p w14:paraId="39E9A7C0" w14:textId="36CB8686" w:rsidR="006962C5" w:rsidRPr="00356AEF" w:rsidRDefault="006962C5" w:rsidP="00356AEF">
            <w:pPr>
              <w:pStyle w:val="Bullet1"/>
            </w:pPr>
            <w:r w:rsidRPr="00356AEF">
              <w:t xml:space="preserve">Proprietors must comply with Service requirement 14 which relates to </w:t>
            </w:r>
            <w:r w:rsidR="00A47935" w:rsidRPr="00356AEF">
              <w:t>residents’</w:t>
            </w:r>
            <w:r w:rsidR="002F5F2D" w:rsidRPr="00356AEF">
              <w:t xml:space="preserve"> rights and responsibilities</w:t>
            </w:r>
            <w:r w:rsidRPr="00356AEF">
              <w:t xml:space="preserve">. The purpose of this </w:t>
            </w:r>
            <w:r w:rsidR="00A47935">
              <w:t>requirement</w:t>
            </w:r>
            <w:r w:rsidRPr="00356AEF">
              <w:t xml:space="preserve"> is to ensure that</w:t>
            </w:r>
            <w:r w:rsidR="00AA4D90" w:rsidRPr="00356AEF">
              <w:t xml:space="preserve"> </w:t>
            </w:r>
            <w:r w:rsidR="000739FD" w:rsidRPr="00356AEF">
              <w:t>resident</w:t>
            </w:r>
            <w:r w:rsidR="00AA4D90" w:rsidRPr="00356AEF">
              <w:t>s can freely exercise</w:t>
            </w:r>
            <w:r w:rsidR="00F41E55" w:rsidRPr="00356AEF">
              <w:t xml:space="preserve"> their rights and responsibilities.</w:t>
            </w:r>
          </w:p>
          <w:p w14:paraId="6067CCB2" w14:textId="05E4B941" w:rsidR="0065033C" w:rsidRPr="007E4CCC" w:rsidRDefault="00526CD3" w:rsidP="00356AEF">
            <w:pPr>
              <w:pStyle w:val="Bullet1"/>
            </w:pPr>
            <w:r w:rsidRPr="00356AEF">
              <w:t>Proprietors must comply with Service requirement 18 which relates to</w:t>
            </w:r>
            <w:r w:rsidR="003B3931" w:rsidRPr="00356AEF">
              <w:t xml:space="preserve"> </w:t>
            </w:r>
            <w:r w:rsidR="00100A8C" w:rsidRPr="00356AEF">
              <w:t xml:space="preserve">inclusion and participation of </w:t>
            </w:r>
            <w:r w:rsidR="000739FD" w:rsidRPr="00356AEF">
              <w:t>resident</w:t>
            </w:r>
            <w:r w:rsidR="007741D7" w:rsidRPr="00356AEF">
              <w:t>s</w:t>
            </w:r>
            <w:r w:rsidR="00100A8C" w:rsidRPr="00356AEF">
              <w:t xml:space="preserve">. The purpose of this </w:t>
            </w:r>
            <w:r w:rsidR="004E2C1C">
              <w:t>requirement</w:t>
            </w:r>
            <w:r w:rsidR="00100A8C" w:rsidRPr="00356AEF">
              <w:t xml:space="preserve"> is to ensure </w:t>
            </w:r>
            <w:r w:rsidR="00D05A9F" w:rsidRPr="00356AEF">
              <w:t>that providers implement and maintain</w:t>
            </w:r>
            <w:r w:rsidR="003B3931" w:rsidRPr="00356AEF">
              <w:t xml:space="preserve"> practices </w:t>
            </w:r>
            <w:r w:rsidR="00D05A9F" w:rsidRPr="00356AEF">
              <w:t>that</w:t>
            </w:r>
            <w:r w:rsidR="003B3931" w:rsidRPr="00356AEF">
              <w:t xml:space="preserve"> support </w:t>
            </w:r>
            <w:r w:rsidR="000739FD" w:rsidRPr="00356AEF">
              <w:t>resident</w:t>
            </w:r>
            <w:r w:rsidRPr="00356AEF">
              <w:t xml:space="preserve">s </w:t>
            </w:r>
            <w:r w:rsidR="007741D7" w:rsidRPr="00356AEF">
              <w:t>to actively participate</w:t>
            </w:r>
            <w:r w:rsidR="00261CA1" w:rsidRPr="00356AEF">
              <w:t xml:space="preserve"> in decisions </w:t>
            </w:r>
            <w:r w:rsidR="00130EDC">
              <w:t>about services provided.</w:t>
            </w:r>
          </w:p>
        </w:tc>
      </w:tr>
    </w:tbl>
    <w:p w14:paraId="659AF07E" w14:textId="77777777" w:rsidR="0065033C" w:rsidRDefault="0065033C" w:rsidP="0065033C">
      <w:pPr>
        <w:pStyle w:val="Heading1"/>
      </w:pPr>
      <w:bookmarkStart w:id="3" w:name="_Toc169007281"/>
      <w:r>
        <w:lastRenderedPageBreak/>
        <w:t>Choosing an NDIS provider</w:t>
      </w:r>
      <w:bookmarkEnd w:id="3"/>
    </w:p>
    <w:p w14:paraId="6152F32D" w14:textId="7E0F31C1" w:rsidR="0065033C" w:rsidRDefault="0065033C" w:rsidP="0065033C">
      <w:pPr>
        <w:pStyle w:val="Body"/>
      </w:pPr>
      <w:r>
        <w:t xml:space="preserve">Residents in </w:t>
      </w:r>
      <w:r w:rsidR="00F1171D">
        <w:t>SRS</w:t>
      </w:r>
      <w:r>
        <w:t xml:space="preserve"> have the right to make decisions about what services they would like to receive and who provides those services. Proprietors of </w:t>
      </w:r>
      <w:r w:rsidR="00F1171D">
        <w:t>SRS</w:t>
      </w:r>
      <w:r>
        <w:t xml:space="preserve"> who deliver or facilitate NDIS funded services must offer residents a genuine opportunity to choose their own NDIS provider. </w:t>
      </w:r>
    </w:p>
    <w:p w14:paraId="4647E03C" w14:textId="158D5A6D" w:rsidR="0065033C" w:rsidRDefault="0065033C" w:rsidP="0065033C">
      <w:pPr>
        <w:pStyle w:val="Body"/>
      </w:pPr>
      <w:r>
        <w:t xml:space="preserve">In line with </w:t>
      </w:r>
      <w:r w:rsidRPr="007E4CCC">
        <w:t xml:space="preserve">regulation </w:t>
      </w:r>
      <w:r w:rsidR="00F14DF2" w:rsidRPr="007E4CCC">
        <w:t xml:space="preserve">6 of the </w:t>
      </w:r>
      <w:r w:rsidR="00F14DF2" w:rsidRPr="007E4CCC">
        <w:rPr>
          <w:i/>
          <w:iCs/>
        </w:rPr>
        <w:t>Social Services (Supported Residential Services) Regulations 2024</w:t>
      </w:r>
      <w:r w:rsidRPr="007E4CCC">
        <w:t>,</w:t>
      </w:r>
      <w:r>
        <w:t xml:space="preserve"> proprietors must provide prospective residents with information about health and community services located in the area. This should include giving </w:t>
      </w:r>
      <w:r w:rsidR="00130EDC">
        <w:t>residents</w:t>
      </w:r>
      <w:r>
        <w:t xml:space="preserve"> multiple options to address their individual needs so they can make a more informed decision about the services they receive.</w:t>
      </w:r>
    </w:p>
    <w:p w14:paraId="4E72444C" w14:textId="77777777" w:rsidR="0065033C" w:rsidRDefault="0065033C" w:rsidP="0065033C">
      <w:pPr>
        <w:pStyle w:val="Body"/>
      </w:pPr>
      <w:r>
        <w:t xml:space="preserve">Residents may choose the NDIS business of the proprietor or their associate but to avoid uncertainty, proprietors should clearly explain to residents that they are under no obligation to sign up with a particular provider. Proprietors should also be transparent about the type and level of support they are able to offer a resident. This support must be in addition to the personal support services already included in the resident’s SRS fees and set out in their residential and services agreement. </w:t>
      </w:r>
    </w:p>
    <w:p w14:paraId="10B30409" w14:textId="580AAB05" w:rsidR="0065033C" w:rsidRDefault="0065033C" w:rsidP="0065033C">
      <w:pPr>
        <w:pStyle w:val="Body"/>
      </w:pPr>
      <w:r>
        <w:t xml:space="preserve">If a resident chooses a </w:t>
      </w:r>
      <w:r w:rsidR="002F6716">
        <w:t>third-party</w:t>
      </w:r>
      <w:r>
        <w:t xml:space="preserve"> NDIS provider, this decision must be respected. The resident should not be adversely affected by their choice and must continue to receive the accommodation and personal support services they are paying the SRS for. Proprietors cannot evict a resident if they do not sign an NDIS Service Agreement with the proprietor or their associate, nor provide a proprietor or their associate with enough NDIS funded hours. Proprietors should also allow other NDIS providers to have reasonable access to the property or the resident’s rooms.</w:t>
      </w:r>
    </w:p>
    <w:p w14:paraId="5D47A33C" w14:textId="77777777" w:rsidR="0065033C" w:rsidRDefault="0065033C" w:rsidP="0065033C">
      <w:pPr>
        <w:pStyle w:val="Heading1"/>
      </w:pPr>
      <w:bookmarkStart w:id="4" w:name="_Toc169007282"/>
      <w:r>
        <w:t>Demonstrating choice</w:t>
      </w:r>
      <w:bookmarkEnd w:id="4"/>
    </w:p>
    <w:p w14:paraId="02270C40" w14:textId="77777777" w:rsidR="0065033C" w:rsidRDefault="0065033C" w:rsidP="0065033C">
      <w:pPr>
        <w:pStyle w:val="Body"/>
      </w:pPr>
      <w:r>
        <w:t>Where a proprietor delivers or facilitates NDIS funded services, they should be able to demonstrate that they provided the resident with genuine choice. Proprietors should also be able to demonstrate that the resident was not coerced into selecting a particular NDIS provider.</w:t>
      </w:r>
    </w:p>
    <w:p w14:paraId="2F0D9857" w14:textId="77777777" w:rsidR="0065033C" w:rsidRDefault="0065033C" w:rsidP="0065033C">
      <w:pPr>
        <w:pStyle w:val="Body"/>
      </w:pPr>
      <w:r>
        <w:t xml:space="preserve">Proprietors should capture this information in a resident’s support plan, case notes or other documentation. </w:t>
      </w:r>
    </w:p>
    <w:p w14:paraId="64CD5EAC" w14:textId="49500C96" w:rsidR="0065033C" w:rsidRDefault="0065033C" w:rsidP="008A5D60">
      <w:pPr>
        <w:pStyle w:val="Body"/>
      </w:pPr>
      <w:r>
        <w:lastRenderedPageBreak/>
        <w:t xml:space="preserve">It may be helpful for proprietors to document the NDIS provider options that were explored with the resident as well as the rationale for why the resident ultimately chose their NDIS provider. This could include information about the supports offered by the NDIS provider and how they meet the needs of the resident, for example. </w:t>
      </w:r>
    </w:p>
    <w:p w14:paraId="109A1B24" w14:textId="77777777" w:rsidR="0065033C" w:rsidRPr="00AC267B" w:rsidRDefault="0065033C" w:rsidP="0065033C">
      <w:pPr>
        <w:pStyle w:val="Heading1"/>
      </w:pPr>
      <w:bookmarkStart w:id="5" w:name="_Toc168660940"/>
      <w:bookmarkStart w:id="6" w:name="_Toc169007283"/>
      <w:r w:rsidRPr="00AC267B">
        <w:t>Compliance and enforcement</w:t>
      </w:r>
      <w:bookmarkEnd w:id="5"/>
      <w:bookmarkEnd w:id="6"/>
    </w:p>
    <w:p w14:paraId="030FE83B" w14:textId="22E9E80F" w:rsidR="0065033C" w:rsidRDefault="0065033C" w:rsidP="0065033C">
      <w:pPr>
        <w:pStyle w:val="Body"/>
      </w:pPr>
      <w:bookmarkStart w:id="7" w:name="_Toc66794861"/>
      <w:r>
        <w:t xml:space="preserve">The </w:t>
      </w:r>
      <w:r w:rsidRPr="00035E7E">
        <w:t>Social Services Regulator</w:t>
      </w:r>
      <w:r>
        <w:t xml:space="preserve"> </w:t>
      </w:r>
      <w:r w:rsidR="00AF633C">
        <w:t xml:space="preserve">(the Regulator) </w:t>
      </w:r>
      <w:r>
        <w:t xml:space="preserve">administers the Act and the Regulations, and monitors compliance by SRS proprietors to ensure they meet their obligations. </w:t>
      </w:r>
    </w:p>
    <w:p w14:paraId="144CE319" w14:textId="4793C11A" w:rsidR="0065033C" w:rsidRDefault="0065033C" w:rsidP="0065033C">
      <w:pPr>
        <w:pStyle w:val="Body"/>
      </w:pPr>
      <w:r>
        <w:t xml:space="preserve">The </w:t>
      </w:r>
      <w:r w:rsidRPr="00035E7E">
        <w:t>Regulator</w:t>
      </w:r>
      <w:r>
        <w:t xml:space="preserve"> may take regulatory action where an SRS does not have adequate processes in place to separate its SRS and NDIS supports.</w:t>
      </w:r>
    </w:p>
    <w:p w14:paraId="634963A5" w14:textId="472FAB06" w:rsidR="00E3452E" w:rsidRDefault="00E3452E" w:rsidP="0065033C">
      <w:pPr>
        <w:pStyle w:val="Body"/>
      </w:pPr>
      <w:r w:rsidRPr="00BC2177">
        <w:t>Where relevant, the Social Services Regulator will notify NDIS of non-compliance matters so that they may consider regulatory action</w:t>
      </w:r>
      <w:r w:rsidR="00795A3B">
        <w:t>.</w:t>
      </w:r>
    </w:p>
    <w:p w14:paraId="3A18B0B3" w14:textId="6DC28272" w:rsidR="0065033C" w:rsidRDefault="0065033C" w:rsidP="0065033C">
      <w:pPr>
        <w:pStyle w:val="Body"/>
      </w:pPr>
      <w:r>
        <w:t xml:space="preserve">For more information about the </w:t>
      </w:r>
      <w:r w:rsidRPr="00035E7E">
        <w:t>Social Services Regulator</w:t>
      </w:r>
      <w:r>
        <w:t xml:space="preserve"> and its regulatory approach, visit the </w:t>
      </w:r>
      <w:r w:rsidRPr="00AF633C">
        <w:t xml:space="preserve">Social Services Regulator’s </w:t>
      </w:r>
      <w:r w:rsidR="007D2F38" w:rsidRPr="00AF633C">
        <w:t xml:space="preserve">webpage </w:t>
      </w:r>
      <w:hyperlink r:id="rId16" w:history="1">
        <w:r w:rsidR="0077078A" w:rsidRPr="00984EB4">
          <w:rPr>
            <w:rStyle w:val="Hyperlink"/>
          </w:rPr>
          <w:t>https://www.vic.gov.au/social-services-regulator</w:t>
        </w:r>
      </w:hyperlink>
      <w:r w:rsidR="0077078A">
        <w:t xml:space="preserve"> </w:t>
      </w:r>
      <w:bookmarkEnd w:id="7"/>
    </w:p>
    <w:p w14:paraId="2888B5C0" w14:textId="77777777" w:rsidR="0065033C" w:rsidRPr="003B1BDC" w:rsidRDefault="0065033C" w:rsidP="0065033C">
      <w:pPr>
        <w:pStyle w:val="Body"/>
      </w:pPr>
    </w:p>
    <w:tbl>
      <w:tblPr>
        <w:tblStyle w:val="TableGrid"/>
        <w:tblW w:w="0" w:type="auto"/>
        <w:tblCellMar>
          <w:bottom w:w="108" w:type="dxa"/>
        </w:tblCellMar>
        <w:tblLook w:val="0600" w:firstRow="0" w:lastRow="0" w:firstColumn="0" w:lastColumn="0" w:noHBand="1" w:noVBand="1"/>
      </w:tblPr>
      <w:tblGrid>
        <w:gridCol w:w="10194"/>
      </w:tblGrid>
      <w:tr w:rsidR="00B456B9" w14:paraId="6EA51F6C" w14:textId="77777777" w:rsidTr="00BB53F2">
        <w:tc>
          <w:tcPr>
            <w:tcW w:w="10194" w:type="dxa"/>
          </w:tcPr>
          <w:p w14:paraId="0A8F32A0" w14:textId="77777777" w:rsidR="00B456B9" w:rsidRPr="0055119B" w:rsidRDefault="00B456B9" w:rsidP="00BB53F2">
            <w:pPr>
              <w:pStyle w:val="Accessibilitypara"/>
            </w:pPr>
            <w:r w:rsidRPr="0055119B">
              <w:t>To receive this document in another format</w:t>
            </w:r>
            <w:r>
              <w:t>,</w:t>
            </w:r>
            <w:r w:rsidRPr="0055119B">
              <w:t xml:space="preserve"> email</w:t>
            </w:r>
            <w:r>
              <w:t xml:space="preserve"> the</w:t>
            </w:r>
            <w:r w:rsidRPr="0055119B">
              <w:t xml:space="preserve"> </w:t>
            </w:r>
            <w:hyperlink r:id="rId17" w:history="1">
              <w:r w:rsidRPr="00401926">
                <w:rPr>
                  <w:rStyle w:val="Hyperlink"/>
                </w:rPr>
                <w:t>Social Services Regulator</w:t>
              </w:r>
            </w:hyperlink>
            <w:r>
              <w:t xml:space="preserve"> &lt;</w:t>
            </w:r>
            <w:hyperlink r:id="rId18" w:history="1">
              <w:r w:rsidRPr="00403874">
                <w:rPr>
                  <w:rStyle w:val="Hyperlink"/>
                </w:rPr>
                <w:t>enquiries@ssr.vic.gov.au</w:t>
              </w:r>
            </w:hyperlink>
            <w:r>
              <w:rPr>
                <w:rStyle w:val="Hyperlink"/>
              </w:rPr>
              <w:t>&gt;</w:t>
            </w:r>
            <w:r w:rsidRPr="0055119B">
              <w:t>.</w:t>
            </w:r>
          </w:p>
          <w:p w14:paraId="3295CC83" w14:textId="77777777" w:rsidR="00B456B9" w:rsidRPr="0055119B" w:rsidRDefault="00B456B9" w:rsidP="00BB53F2">
            <w:pPr>
              <w:pStyle w:val="Imprint"/>
            </w:pPr>
            <w:r w:rsidRPr="0055119B">
              <w:t>Authorised and published by the Victorian Government, 1 Treasury Place, Melbourne.</w:t>
            </w:r>
          </w:p>
          <w:p w14:paraId="37D393C2" w14:textId="77777777" w:rsidR="00B456B9" w:rsidRPr="005527DC" w:rsidRDefault="00B456B9" w:rsidP="00BB53F2">
            <w:pPr>
              <w:pStyle w:val="Imprint"/>
            </w:pPr>
            <w:r w:rsidRPr="0055119B">
              <w:t xml:space="preserve">© State of Victoria, Australia, </w:t>
            </w:r>
            <w:r>
              <w:t>Social Services Regulator</w:t>
            </w:r>
            <w:r w:rsidRPr="005527DC">
              <w:t xml:space="preserve">, </w:t>
            </w:r>
            <w:r>
              <w:t>August</w:t>
            </w:r>
            <w:r w:rsidRPr="005527DC">
              <w:t xml:space="preserve"> 2024.</w:t>
            </w:r>
          </w:p>
          <w:p w14:paraId="4AD84EF8" w14:textId="77777777" w:rsidR="00B456B9" w:rsidRPr="00E33237" w:rsidRDefault="00B456B9" w:rsidP="00BB53F2">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675A6399" w14:textId="77777777" w:rsidR="00B456B9" w:rsidRPr="00E33237" w:rsidRDefault="00B456B9" w:rsidP="00BB53F2">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11ABC6D1" w14:textId="0809ADFB" w:rsidR="00B456B9" w:rsidRPr="0055119B" w:rsidRDefault="00B456B9" w:rsidP="00BB53F2">
            <w:pPr>
              <w:pStyle w:val="Imprint"/>
            </w:pPr>
            <w:r w:rsidRPr="0055119B">
              <w:t>ISBN</w:t>
            </w:r>
            <w:r>
              <w:t xml:space="preserve"> </w:t>
            </w:r>
            <w:r>
              <w:rPr>
                <w:rFonts w:cs="Arial"/>
                <w:color w:val="000000"/>
              </w:rPr>
              <w:t>978-1-76130-651-8</w:t>
            </w:r>
            <w:r w:rsidRPr="0079730B">
              <w:rPr>
                <w:rFonts w:cs="Arial"/>
                <w:color w:val="000000" w:themeColor="text1"/>
              </w:rPr>
              <w:t xml:space="preserve"> </w:t>
            </w:r>
            <w:r w:rsidRPr="0055119B">
              <w:t xml:space="preserve">(online/PDF/Word) </w:t>
            </w:r>
          </w:p>
          <w:p w14:paraId="05F6F86D" w14:textId="36BCA25E" w:rsidR="00B456B9" w:rsidRPr="00984EB4" w:rsidRDefault="00B456B9" w:rsidP="00984EB4">
            <w:pPr>
              <w:rPr>
                <w:rFonts w:asciiTheme="minorHAnsi" w:hAnsiTheme="minorHAnsi"/>
                <w:sz w:val="22"/>
              </w:rPr>
            </w:pPr>
            <w:r w:rsidRPr="0055119B">
              <w:t xml:space="preserve">Available at </w:t>
            </w:r>
            <w:r>
              <w:t xml:space="preserve">Social Services Regulator </w:t>
            </w:r>
            <w:r w:rsidR="00984EB4">
              <w:t xml:space="preserve">&lt; </w:t>
            </w:r>
            <w:r w:rsidR="00984EB4">
              <w:t>https://vic.gov.au/ndis-supports-supported-residential-services</w:t>
            </w:r>
            <w:r w:rsidR="00984EB4">
              <w:t>&gt;</w:t>
            </w:r>
          </w:p>
        </w:tc>
      </w:tr>
    </w:tbl>
    <w:p w14:paraId="507A65C3" w14:textId="77777777" w:rsidR="0065033C" w:rsidRPr="002365B4" w:rsidRDefault="0065033C" w:rsidP="008A5D60">
      <w:pPr>
        <w:pStyle w:val="Body"/>
      </w:pPr>
    </w:p>
    <w:sectPr w:rsidR="0065033C" w:rsidRPr="002365B4"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BD987" w14:textId="77777777" w:rsidR="006646D0" w:rsidRDefault="006646D0">
      <w:r>
        <w:separator/>
      </w:r>
    </w:p>
    <w:p w14:paraId="2CA4EE01" w14:textId="77777777" w:rsidR="006646D0" w:rsidRDefault="006646D0"/>
  </w:endnote>
  <w:endnote w:type="continuationSeparator" w:id="0">
    <w:p w14:paraId="3EBAC94E" w14:textId="77777777" w:rsidR="006646D0" w:rsidRDefault="006646D0">
      <w:r>
        <w:continuationSeparator/>
      </w:r>
    </w:p>
    <w:p w14:paraId="1EC9982B" w14:textId="77777777" w:rsidR="006646D0" w:rsidRDefault="006646D0"/>
  </w:endnote>
  <w:endnote w:type="continuationNotice" w:id="1">
    <w:p w14:paraId="355ED316" w14:textId="77777777" w:rsidR="006646D0" w:rsidRDefault="00664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B5A6" w14:textId="77777777" w:rsidR="006646D0" w:rsidRDefault="006646D0" w:rsidP="00207717">
      <w:pPr>
        <w:spacing w:before="120"/>
      </w:pPr>
      <w:r>
        <w:separator/>
      </w:r>
    </w:p>
  </w:footnote>
  <w:footnote w:type="continuationSeparator" w:id="0">
    <w:p w14:paraId="394870A4" w14:textId="77777777" w:rsidR="006646D0" w:rsidRDefault="006646D0">
      <w:r>
        <w:continuationSeparator/>
      </w:r>
    </w:p>
    <w:p w14:paraId="2B1613C1" w14:textId="77777777" w:rsidR="006646D0" w:rsidRDefault="006646D0"/>
  </w:footnote>
  <w:footnote w:type="continuationNotice" w:id="1">
    <w:p w14:paraId="764348FD" w14:textId="77777777" w:rsidR="006646D0" w:rsidRDefault="00664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6665" w14:textId="77777777" w:rsidR="0065033C" w:rsidRPr="0051568D" w:rsidRDefault="0065033C" w:rsidP="0065033C">
    <w:pPr>
      <w:pStyle w:val="Header"/>
    </w:pPr>
    <w:r>
      <w:t>Choice and access to chosen NDIS providers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p w14:paraId="01FD96D1" w14:textId="79693482" w:rsidR="00E261B3" w:rsidRPr="0065033C" w:rsidRDefault="00E261B3" w:rsidP="00650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6B26534"/>
    <w:multiLevelType w:val="hybridMultilevel"/>
    <w:tmpl w:val="EDA22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7"/>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1"/>
  </w:num>
  <w:num w:numId="8" w16cid:durableId="1971086778">
    <w:abstractNumId w:val="16"/>
  </w:num>
  <w:num w:numId="9" w16cid:durableId="1586377817">
    <w:abstractNumId w:val="20"/>
  </w:num>
  <w:num w:numId="10" w16cid:durableId="182086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2"/>
  </w:num>
  <w:num w:numId="12" w16cid:durableId="257756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18"/>
  </w:num>
  <w:num w:numId="14" w16cid:durableId="516430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4"/>
  </w:num>
  <w:num w:numId="19" w16cid:durableId="1467897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6"/>
  </w:num>
  <w:num w:numId="25" w16cid:durableId="895168954">
    <w:abstractNumId w:val="23"/>
  </w:num>
  <w:num w:numId="26" w16cid:durableId="123157883">
    <w:abstractNumId w:val="19"/>
  </w:num>
  <w:num w:numId="27" w16cid:durableId="1937714732">
    <w:abstractNumId w:val="11"/>
  </w:num>
  <w:num w:numId="28" w16cid:durableId="1108085816">
    <w:abstractNumId w:val="27"/>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1"/>
  </w:num>
  <w:num w:numId="41" w16cid:durableId="562331335">
    <w:abstractNumId w:val="21"/>
  </w:num>
  <w:num w:numId="42" w16cid:durableId="1953442103">
    <w:abstractNumId w:val="21"/>
  </w:num>
  <w:num w:numId="43" w16cid:durableId="1523737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131687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AFD"/>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39FD"/>
    <w:rsid w:val="00074219"/>
    <w:rsid w:val="00074ED5"/>
    <w:rsid w:val="0008508E"/>
    <w:rsid w:val="00085C51"/>
    <w:rsid w:val="00086557"/>
    <w:rsid w:val="00087951"/>
    <w:rsid w:val="0009050A"/>
    <w:rsid w:val="0009113B"/>
    <w:rsid w:val="00092540"/>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334D"/>
    <w:rsid w:val="000D3449"/>
    <w:rsid w:val="000E0970"/>
    <w:rsid w:val="000E3CC7"/>
    <w:rsid w:val="000E6BD4"/>
    <w:rsid w:val="000E6D6D"/>
    <w:rsid w:val="000F1F1E"/>
    <w:rsid w:val="000F2259"/>
    <w:rsid w:val="000F2DDA"/>
    <w:rsid w:val="000F2EA0"/>
    <w:rsid w:val="000F5213"/>
    <w:rsid w:val="00100A8C"/>
    <w:rsid w:val="00101001"/>
    <w:rsid w:val="00103276"/>
    <w:rsid w:val="0010392D"/>
    <w:rsid w:val="0010447F"/>
    <w:rsid w:val="00104FE3"/>
    <w:rsid w:val="00105291"/>
    <w:rsid w:val="0010714F"/>
    <w:rsid w:val="00110B27"/>
    <w:rsid w:val="001120C5"/>
    <w:rsid w:val="00116A67"/>
    <w:rsid w:val="00120BD3"/>
    <w:rsid w:val="00122FEA"/>
    <w:rsid w:val="001232BD"/>
    <w:rsid w:val="00124ED5"/>
    <w:rsid w:val="001276FA"/>
    <w:rsid w:val="00130EDC"/>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1CA1"/>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17CCF"/>
    <w:rsid w:val="00220C04"/>
    <w:rsid w:val="0022278D"/>
    <w:rsid w:val="002262A8"/>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0230"/>
    <w:rsid w:val="00261CA1"/>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057"/>
    <w:rsid w:val="002A0A9C"/>
    <w:rsid w:val="002A483C"/>
    <w:rsid w:val="002A6639"/>
    <w:rsid w:val="002B0C7C"/>
    <w:rsid w:val="002B1729"/>
    <w:rsid w:val="002B36C7"/>
    <w:rsid w:val="002B4DD4"/>
    <w:rsid w:val="002B5277"/>
    <w:rsid w:val="002B5375"/>
    <w:rsid w:val="002B77C1"/>
    <w:rsid w:val="002C0ED7"/>
    <w:rsid w:val="002C2728"/>
    <w:rsid w:val="002D146C"/>
    <w:rsid w:val="002D1E0D"/>
    <w:rsid w:val="002D5006"/>
    <w:rsid w:val="002E01D0"/>
    <w:rsid w:val="002E161D"/>
    <w:rsid w:val="002E3100"/>
    <w:rsid w:val="002E6C95"/>
    <w:rsid w:val="002E7C36"/>
    <w:rsid w:val="002F3ADF"/>
    <w:rsid w:val="002F3D32"/>
    <w:rsid w:val="002F420E"/>
    <w:rsid w:val="002F5F2D"/>
    <w:rsid w:val="002F5F31"/>
    <w:rsid w:val="002F5F46"/>
    <w:rsid w:val="002F671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6AEF"/>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3CA7"/>
    <w:rsid w:val="003A6B67"/>
    <w:rsid w:val="003B13B6"/>
    <w:rsid w:val="003B14C3"/>
    <w:rsid w:val="003B15E6"/>
    <w:rsid w:val="003B1BDC"/>
    <w:rsid w:val="003B3931"/>
    <w:rsid w:val="003B408A"/>
    <w:rsid w:val="003B4D95"/>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1A84"/>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2B8F"/>
    <w:rsid w:val="004148F9"/>
    <w:rsid w:val="0042084E"/>
    <w:rsid w:val="00421EEF"/>
    <w:rsid w:val="00424D65"/>
    <w:rsid w:val="004277CB"/>
    <w:rsid w:val="00430393"/>
    <w:rsid w:val="00431806"/>
    <w:rsid w:val="004350F9"/>
    <w:rsid w:val="00437AC5"/>
    <w:rsid w:val="00442C6C"/>
    <w:rsid w:val="00443CBE"/>
    <w:rsid w:val="00443E8A"/>
    <w:rsid w:val="004441BC"/>
    <w:rsid w:val="004452D8"/>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2C1C"/>
    <w:rsid w:val="004E4649"/>
    <w:rsid w:val="004E4F78"/>
    <w:rsid w:val="004E5C2B"/>
    <w:rsid w:val="004F00DD"/>
    <w:rsid w:val="004F1B41"/>
    <w:rsid w:val="004F2133"/>
    <w:rsid w:val="004F5398"/>
    <w:rsid w:val="004F55F1"/>
    <w:rsid w:val="004F6936"/>
    <w:rsid w:val="004F6D41"/>
    <w:rsid w:val="004F7B35"/>
    <w:rsid w:val="0050357C"/>
    <w:rsid w:val="00503DC6"/>
    <w:rsid w:val="00504988"/>
    <w:rsid w:val="00506F5D"/>
    <w:rsid w:val="00510C37"/>
    <w:rsid w:val="005126D0"/>
    <w:rsid w:val="00513109"/>
    <w:rsid w:val="00514667"/>
    <w:rsid w:val="0051568D"/>
    <w:rsid w:val="00526AC7"/>
    <w:rsid w:val="00526C15"/>
    <w:rsid w:val="00526CD3"/>
    <w:rsid w:val="00536499"/>
    <w:rsid w:val="0054191E"/>
    <w:rsid w:val="00542A03"/>
    <w:rsid w:val="00543903"/>
    <w:rsid w:val="00543F11"/>
    <w:rsid w:val="00546305"/>
    <w:rsid w:val="00547A95"/>
    <w:rsid w:val="00550D41"/>
    <w:rsid w:val="0055119B"/>
    <w:rsid w:val="00557CC8"/>
    <w:rsid w:val="00561202"/>
    <w:rsid w:val="0057051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763C"/>
    <w:rsid w:val="00620154"/>
    <w:rsid w:val="0062408D"/>
    <w:rsid w:val="006240CC"/>
    <w:rsid w:val="00624940"/>
    <w:rsid w:val="006254F8"/>
    <w:rsid w:val="0062701A"/>
    <w:rsid w:val="00627DA7"/>
    <w:rsid w:val="00630DA4"/>
    <w:rsid w:val="00631CD4"/>
    <w:rsid w:val="00632597"/>
    <w:rsid w:val="00632BD5"/>
    <w:rsid w:val="00634160"/>
    <w:rsid w:val="00634D13"/>
    <w:rsid w:val="006358B4"/>
    <w:rsid w:val="00641724"/>
    <w:rsid w:val="006419AA"/>
    <w:rsid w:val="00641E6A"/>
    <w:rsid w:val="006430F8"/>
    <w:rsid w:val="00644B1F"/>
    <w:rsid w:val="00644B7E"/>
    <w:rsid w:val="006454E6"/>
    <w:rsid w:val="00646235"/>
    <w:rsid w:val="00646A68"/>
    <w:rsid w:val="0065033C"/>
    <w:rsid w:val="006505BD"/>
    <w:rsid w:val="006508EA"/>
    <w:rsid w:val="0065092E"/>
    <w:rsid w:val="006557A7"/>
    <w:rsid w:val="00656290"/>
    <w:rsid w:val="006601C9"/>
    <w:rsid w:val="006608D8"/>
    <w:rsid w:val="006621D7"/>
    <w:rsid w:val="0066302A"/>
    <w:rsid w:val="006646D0"/>
    <w:rsid w:val="00667770"/>
    <w:rsid w:val="00670597"/>
    <w:rsid w:val="006706D0"/>
    <w:rsid w:val="00670B00"/>
    <w:rsid w:val="00677574"/>
    <w:rsid w:val="00682B0A"/>
    <w:rsid w:val="00683878"/>
    <w:rsid w:val="0068454C"/>
    <w:rsid w:val="006900EB"/>
    <w:rsid w:val="00691B62"/>
    <w:rsid w:val="006933B5"/>
    <w:rsid w:val="00693D14"/>
    <w:rsid w:val="00695A93"/>
    <w:rsid w:val="006962C5"/>
    <w:rsid w:val="00696F27"/>
    <w:rsid w:val="006A18C2"/>
    <w:rsid w:val="006A3383"/>
    <w:rsid w:val="006B077C"/>
    <w:rsid w:val="006B16AF"/>
    <w:rsid w:val="006B5BB6"/>
    <w:rsid w:val="006B6803"/>
    <w:rsid w:val="006D0F16"/>
    <w:rsid w:val="006D2A3F"/>
    <w:rsid w:val="006D2FBC"/>
    <w:rsid w:val="006D64AC"/>
    <w:rsid w:val="006E138B"/>
    <w:rsid w:val="006E1867"/>
    <w:rsid w:val="006F0330"/>
    <w:rsid w:val="006F1BAD"/>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368AB"/>
    <w:rsid w:val="00740F22"/>
    <w:rsid w:val="00741977"/>
    <w:rsid w:val="00741CF0"/>
    <w:rsid w:val="00741F1A"/>
    <w:rsid w:val="00743A2C"/>
    <w:rsid w:val="007447DA"/>
    <w:rsid w:val="007450F8"/>
    <w:rsid w:val="0074696E"/>
    <w:rsid w:val="00750135"/>
    <w:rsid w:val="00750EC2"/>
    <w:rsid w:val="00752B28"/>
    <w:rsid w:val="00754028"/>
    <w:rsid w:val="007541A9"/>
    <w:rsid w:val="00754E36"/>
    <w:rsid w:val="00763139"/>
    <w:rsid w:val="00766F80"/>
    <w:rsid w:val="0077078A"/>
    <w:rsid w:val="00770F37"/>
    <w:rsid w:val="007711A0"/>
    <w:rsid w:val="00772D5E"/>
    <w:rsid w:val="007741D7"/>
    <w:rsid w:val="0077463E"/>
    <w:rsid w:val="00776928"/>
    <w:rsid w:val="00776E0F"/>
    <w:rsid w:val="007774B1"/>
    <w:rsid w:val="00777BE1"/>
    <w:rsid w:val="007833D8"/>
    <w:rsid w:val="00785677"/>
    <w:rsid w:val="00786F16"/>
    <w:rsid w:val="00791788"/>
    <w:rsid w:val="00791BD7"/>
    <w:rsid w:val="007923AB"/>
    <w:rsid w:val="007933F7"/>
    <w:rsid w:val="00795A3B"/>
    <w:rsid w:val="00796E20"/>
    <w:rsid w:val="00797C32"/>
    <w:rsid w:val="007A11E8"/>
    <w:rsid w:val="007A458E"/>
    <w:rsid w:val="007B0914"/>
    <w:rsid w:val="007B1374"/>
    <w:rsid w:val="007B1953"/>
    <w:rsid w:val="007B32E5"/>
    <w:rsid w:val="007B3DB9"/>
    <w:rsid w:val="007B589F"/>
    <w:rsid w:val="007B6186"/>
    <w:rsid w:val="007B73BC"/>
    <w:rsid w:val="007C1838"/>
    <w:rsid w:val="007C20B9"/>
    <w:rsid w:val="007C7301"/>
    <w:rsid w:val="007C7859"/>
    <w:rsid w:val="007C7F28"/>
    <w:rsid w:val="007D1466"/>
    <w:rsid w:val="007D2BDE"/>
    <w:rsid w:val="007D2F38"/>
    <w:rsid w:val="007D2FB6"/>
    <w:rsid w:val="007D49EB"/>
    <w:rsid w:val="007D5E1C"/>
    <w:rsid w:val="007E0DE2"/>
    <w:rsid w:val="007E3B98"/>
    <w:rsid w:val="007E417A"/>
    <w:rsid w:val="007E4CCC"/>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0CD4"/>
    <w:rsid w:val="00841AA9"/>
    <w:rsid w:val="008474FE"/>
    <w:rsid w:val="0085232E"/>
    <w:rsid w:val="00853EE4"/>
    <w:rsid w:val="00855535"/>
    <w:rsid w:val="00857C5A"/>
    <w:rsid w:val="0086255E"/>
    <w:rsid w:val="008633F0"/>
    <w:rsid w:val="00867D9D"/>
    <w:rsid w:val="00872C54"/>
    <w:rsid w:val="00872E0A"/>
    <w:rsid w:val="00873594"/>
    <w:rsid w:val="00875285"/>
    <w:rsid w:val="008805C7"/>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2FB4"/>
    <w:rsid w:val="008C589D"/>
    <w:rsid w:val="008C5D46"/>
    <w:rsid w:val="008C6804"/>
    <w:rsid w:val="008C6D51"/>
    <w:rsid w:val="008D0E33"/>
    <w:rsid w:val="008D2846"/>
    <w:rsid w:val="008D4236"/>
    <w:rsid w:val="008D462F"/>
    <w:rsid w:val="008D5C45"/>
    <w:rsid w:val="008D6DCF"/>
    <w:rsid w:val="008E4376"/>
    <w:rsid w:val="008E7A0A"/>
    <w:rsid w:val="008E7B49"/>
    <w:rsid w:val="008F59F6"/>
    <w:rsid w:val="00900719"/>
    <w:rsid w:val="009017AC"/>
    <w:rsid w:val="0090229F"/>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4EB4"/>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1408"/>
    <w:rsid w:val="009B2AE8"/>
    <w:rsid w:val="009B5622"/>
    <w:rsid w:val="009B59E9"/>
    <w:rsid w:val="009B70AA"/>
    <w:rsid w:val="009C1A3D"/>
    <w:rsid w:val="009C1CB1"/>
    <w:rsid w:val="009C5E77"/>
    <w:rsid w:val="009C7A7E"/>
    <w:rsid w:val="009D02E8"/>
    <w:rsid w:val="009D466E"/>
    <w:rsid w:val="009D51D0"/>
    <w:rsid w:val="009D70A4"/>
    <w:rsid w:val="009D7A52"/>
    <w:rsid w:val="009D7B14"/>
    <w:rsid w:val="009E08D1"/>
    <w:rsid w:val="009E1B95"/>
    <w:rsid w:val="009E2B21"/>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26E98"/>
    <w:rsid w:val="00A32577"/>
    <w:rsid w:val="00A330BB"/>
    <w:rsid w:val="00A34ACD"/>
    <w:rsid w:val="00A44882"/>
    <w:rsid w:val="00A45125"/>
    <w:rsid w:val="00A47935"/>
    <w:rsid w:val="00A513A9"/>
    <w:rsid w:val="00A54715"/>
    <w:rsid w:val="00A6061C"/>
    <w:rsid w:val="00A62D44"/>
    <w:rsid w:val="00A67263"/>
    <w:rsid w:val="00A7161C"/>
    <w:rsid w:val="00A77AA3"/>
    <w:rsid w:val="00A8236D"/>
    <w:rsid w:val="00A854EB"/>
    <w:rsid w:val="00A872E5"/>
    <w:rsid w:val="00A91406"/>
    <w:rsid w:val="00A96CEC"/>
    <w:rsid w:val="00A96E65"/>
    <w:rsid w:val="00A96ECE"/>
    <w:rsid w:val="00A9710C"/>
    <w:rsid w:val="00A97C72"/>
    <w:rsid w:val="00AA310B"/>
    <w:rsid w:val="00AA4D90"/>
    <w:rsid w:val="00AA63D4"/>
    <w:rsid w:val="00AB06E8"/>
    <w:rsid w:val="00AB1A4F"/>
    <w:rsid w:val="00AB1CD3"/>
    <w:rsid w:val="00AB2628"/>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016"/>
    <w:rsid w:val="00AF5F04"/>
    <w:rsid w:val="00AF633C"/>
    <w:rsid w:val="00B00672"/>
    <w:rsid w:val="00B01B4D"/>
    <w:rsid w:val="00B04489"/>
    <w:rsid w:val="00B06571"/>
    <w:rsid w:val="00B068BA"/>
    <w:rsid w:val="00B07217"/>
    <w:rsid w:val="00B13851"/>
    <w:rsid w:val="00B13B1C"/>
    <w:rsid w:val="00B14B5F"/>
    <w:rsid w:val="00B15AFE"/>
    <w:rsid w:val="00B21F90"/>
    <w:rsid w:val="00B22291"/>
    <w:rsid w:val="00B23F33"/>
    <w:rsid w:val="00B23F9A"/>
    <w:rsid w:val="00B2417B"/>
    <w:rsid w:val="00B24E6F"/>
    <w:rsid w:val="00B26CB5"/>
    <w:rsid w:val="00B2752E"/>
    <w:rsid w:val="00B27E0E"/>
    <w:rsid w:val="00B307CC"/>
    <w:rsid w:val="00B326B7"/>
    <w:rsid w:val="00B3588E"/>
    <w:rsid w:val="00B4198F"/>
    <w:rsid w:val="00B41F3D"/>
    <w:rsid w:val="00B431E8"/>
    <w:rsid w:val="00B4451E"/>
    <w:rsid w:val="00B45141"/>
    <w:rsid w:val="00B456B9"/>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41BC"/>
    <w:rsid w:val="00B9021C"/>
    <w:rsid w:val="00B90729"/>
    <w:rsid w:val="00B907DA"/>
    <w:rsid w:val="00B91FFE"/>
    <w:rsid w:val="00B950BC"/>
    <w:rsid w:val="00B95AB9"/>
    <w:rsid w:val="00B9714C"/>
    <w:rsid w:val="00B97242"/>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7A38"/>
    <w:rsid w:val="00C4173A"/>
    <w:rsid w:val="00C50DED"/>
    <w:rsid w:val="00C52217"/>
    <w:rsid w:val="00C602FF"/>
    <w:rsid w:val="00C61174"/>
    <w:rsid w:val="00C6148F"/>
    <w:rsid w:val="00C621B1"/>
    <w:rsid w:val="00C62F7A"/>
    <w:rsid w:val="00C63B9C"/>
    <w:rsid w:val="00C6682F"/>
    <w:rsid w:val="00C67BF4"/>
    <w:rsid w:val="00C7275E"/>
    <w:rsid w:val="00C74C5D"/>
    <w:rsid w:val="00C75665"/>
    <w:rsid w:val="00C863C4"/>
    <w:rsid w:val="00C920EA"/>
    <w:rsid w:val="00C93C3E"/>
    <w:rsid w:val="00CA12E3"/>
    <w:rsid w:val="00CA1476"/>
    <w:rsid w:val="00CA6611"/>
    <w:rsid w:val="00CA6AE6"/>
    <w:rsid w:val="00CA782F"/>
    <w:rsid w:val="00CB187B"/>
    <w:rsid w:val="00CB2835"/>
    <w:rsid w:val="00CB3285"/>
    <w:rsid w:val="00CB4500"/>
    <w:rsid w:val="00CC0C72"/>
    <w:rsid w:val="00CC1ACD"/>
    <w:rsid w:val="00CC2BFD"/>
    <w:rsid w:val="00CC6D9D"/>
    <w:rsid w:val="00CD1A9A"/>
    <w:rsid w:val="00CD3476"/>
    <w:rsid w:val="00CD64DF"/>
    <w:rsid w:val="00CE225F"/>
    <w:rsid w:val="00CF2F50"/>
    <w:rsid w:val="00CF4148"/>
    <w:rsid w:val="00CF6198"/>
    <w:rsid w:val="00CF6FE5"/>
    <w:rsid w:val="00D02919"/>
    <w:rsid w:val="00D04C61"/>
    <w:rsid w:val="00D05A9F"/>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3B3D"/>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0146"/>
    <w:rsid w:val="00DA2619"/>
    <w:rsid w:val="00DA2E57"/>
    <w:rsid w:val="00DA4239"/>
    <w:rsid w:val="00DA65DE"/>
    <w:rsid w:val="00DB0791"/>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3452E"/>
    <w:rsid w:val="00E40181"/>
    <w:rsid w:val="00E42D92"/>
    <w:rsid w:val="00E45EBA"/>
    <w:rsid w:val="00E526FA"/>
    <w:rsid w:val="00E54950"/>
    <w:rsid w:val="00E55FB3"/>
    <w:rsid w:val="00E56A01"/>
    <w:rsid w:val="00E629A1"/>
    <w:rsid w:val="00E65FD0"/>
    <w:rsid w:val="00E6794C"/>
    <w:rsid w:val="00E7103B"/>
    <w:rsid w:val="00E71591"/>
    <w:rsid w:val="00E71CEB"/>
    <w:rsid w:val="00E7474F"/>
    <w:rsid w:val="00E77901"/>
    <w:rsid w:val="00E80DE3"/>
    <w:rsid w:val="00E82C55"/>
    <w:rsid w:val="00E8326E"/>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4C0"/>
    <w:rsid w:val="00F0063D"/>
    <w:rsid w:val="00F00F9C"/>
    <w:rsid w:val="00F01E5F"/>
    <w:rsid w:val="00F024F3"/>
    <w:rsid w:val="00F029DC"/>
    <w:rsid w:val="00F02ABA"/>
    <w:rsid w:val="00F03701"/>
    <w:rsid w:val="00F0437A"/>
    <w:rsid w:val="00F101B8"/>
    <w:rsid w:val="00F10C7D"/>
    <w:rsid w:val="00F11037"/>
    <w:rsid w:val="00F1171D"/>
    <w:rsid w:val="00F13539"/>
    <w:rsid w:val="00F14DF2"/>
    <w:rsid w:val="00F16F1B"/>
    <w:rsid w:val="00F17C7C"/>
    <w:rsid w:val="00F250A9"/>
    <w:rsid w:val="00F267AF"/>
    <w:rsid w:val="00F30FF4"/>
    <w:rsid w:val="00F3122E"/>
    <w:rsid w:val="00F32368"/>
    <w:rsid w:val="00F331AD"/>
    <w:rsid w:val="00F35287"/>
    <w:rsid w:val="00F40A70"/>
    <w:rsid w:val="00F41E55"/>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6E7C"/>
    <w:rsid w:val="00F938BA"/>
    <w:rsid w:val="00F972B1"/>
    <w:rsid w:val="00F97919"/>
    <w:rsid w:val="00FA2B53"/>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79C8"/>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Nous Table,Table,NOUS,NOUS Side Header"/>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qFormat/>
    <w:rsid w:val="006503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9291089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quiries@ssr.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ssr.vic.gov.au" TargetMode="External"/><Relationship Id="rId2" Type="http://schemas.openxmlformats.org/officeDocument/2006/relationships/customXml" Target="../customXml/item2.xml"/><Relationship Id="rId16" Type="http://schemas.openxmlformats.org/officeDocument/2006/relationships/hyperlink" Target="https://www.vic.gov.au/social-services-regul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20fbed-e792-47a6-88e7-e35740b06176">
      <UserInfo>
        <DisplayName/>
        <AccountId xsi:nil="true"/>
        <AccountType/>
      </UserInfo>
    </SharedWithUsers>
    <Comment xmlns="5dc74ea8-e552-4672-9e93-7e886a7af213" xsi:nil="true"/>
    <TaxCatchAll xmlns="5ce0f2b5-5be5-4508-bce9-d7011ece0659" xsi:nil="true"/>
    <lcf76f155ced4ddcb4097134ff3c332f xmlns="5dc74ea8-e552-4672-9e93-7e886a7af213">
      <Terms xmlns="http://schemas.microsoft.com/office/infopath/2007/PartnerControls"/>
    </lcf76f155ced4ddcb4097134ff3c332f>
    <Comments xmlns="5dc74ea8-e552-4672-9e93-7e886a7af213" xsi:nil="true"/>
    <Status xmlns="5dc74ea8-e552-4672-9e93-7e886a7af2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c520fbed-e792-47a6-88e7-e35740b0617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ce0f2b5-5be5-4508-bce9-d7011ece0659"/>
    <ds:schemaRef ds:uri="http://schemas.microsoft.com/office/2006/documentManagement/types"/>
    <ds:schemaRef ds:uri="5dc74ea8-e552-4672-9e93-7e886a7af213"/>
    <ds:schemaRef ds:uri="http://www.w3.org/XML/1998/namespace"/>
    <ds:schemaRef ds:uri="http://purl.org/dc/dcmitype/"/>
  </ds:schemaRefs>
</ds:datastoreItem>
</file>

<file path=customXml/itemProps2.xml><?xml version="1.0" encoding="utf-8"?>
<ds:datastoreItem xmlns:ds="http://schemas.openxmlformats.org/officeDocument/2006/customXml" ds:itemID="{9187D41E-451F-40CB-879E-7EB738AB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7692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Alex Kirby (SSR)</cp:lastModifiedBy>
  <cp:revision>3</cp:revision>
  <cp:lastPrinted>2021-01-29T05:27:00Z</cp:lastPrinted>
  <dcterms:created xsi:type="dcterms:W3CDTF">2024-09-03T02:38:00Z</dcterms:created>
  <dcterms:modified xsi:type="dcterms:W3CDTF">2024-09-03T02:39:00Z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