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088"/>
      </w:tblGrid>
      <w:tr w:rsidR="00AD784C" w14:paraId="765659DC" w14:textId="77777777" w:rsidTr="00834BE2">
        <w:trPr>
          <w:trHeight w:val="1418"/>
        </w:trPr>
        <w:tc>
          <w:tcPr>
            <w:tcW w:w="7088" w:type="dxa"/>
            <w:vAlign w:val="bottom"/>
          </w:tcPr>
          <w:p w14:paraId="29560536" w14:textId="77777777" w:rsidR="00367797" w:rsidRDefault="00367797" w:rsidP="0016037B">
            <w:pPr>
              <w:pStyle w:val="Documenttitle"/>
            </w:pPr>
            <w:r>
              <w:t xml:space="preserve">Policy – Compliance and </w:t>
            </w:r>
          </w:p>
          <w:p w14:paraId="1B06FE4C" w14:textId="7B8B47FF" w:rsidR="00AD784C" w:rsidRPr="0009050A" w:rsidRDefault="00367797" w:rsidP="0016037B">
            <w:pPr>
              <w:pStyle w:val="Documenttitle"/>
            </w:pPr>
            <w:r>
              <w:t xml:space="preserve">enforcement </w:t>
            </w:r>
            <w:r w:rsidR="00FB2D03">
              <w:t xml:space="preserve"> </w:t>
            </w:r>
            <w:r w:rsidR="00F00DC4">
              <w:t xml:space="preserve"> </w:t>
            </w:r>
          </w:p>
        </w:tc>
      </w:tr>
      <w:tr w:rsidR="000B2117" w14:paraId="5DF317EC" w14:textId="77777777" w:rsidTr="00834BE2">
        <w:trPr>
          <w:trHeight w:val="1247"/>
        </w:trPr>
        <w:tc>
          <w:tcPr>
            <w:tcW w:w="7088" w:type="dxa"/>
          </w:tcPr>
          <w:p w14:paraId="69C24C39" w14:textId="70AEF876" w:rsidR="000B2117" w:rsidRPr="0016037B" w:rsidRDefault="000B2117" w:rsidP="0016037B">
            <w:pPr>
              <w:pStyle w:val="Documentsubtitle"/>
            </w:pPr>
          </w:p>
        </w:tc>
      </w:tr>
      <w:tr w:rsidR="00CF4148" w14:paraId="5F5E6105" w14:textId="77777777" w:rsidTr="00834BE2">
        <w:trPr>
          <w:trHeight w:val="284"/>
        </w:trPr>
        <w:tc>
          <w:tcPr>
            <w:tcW w:w="7088" w:type="dxa"/>
          </w:tcPr>
          <w:p w14:paraId="45D389E8" w14:textId="74334762" w:rsidR="00CF4148" w:rsidRPr="00250DC4" w:rsidRDefault="00000000" w:rsidP="00CF4148">
            <w:pPr>
              <w:pStyle w:val="Bannermarking"/>
            </w:pPr>
            <w:fldSimple w:instr=" FILLIN  &quot;Type the protective marking&quot; \d OFFICIAL \o  \* MERGEFORMAT ">
              <w:r w:rsidR="00CF4148">
                <w:t>OFFICIAL</w:t>
              </w:r>
            </w:fldSimple>
          </w:p>
        </w:tc>
      </w:tr>
    </w:tbl>
    <w:p w14:paraId="0CBF5D9A" w14:textId="153295C1" w:rsidR="00AD784C" w:rsidRPr="00B57329" w:rsidRDefault="00AD784C" w:rsidP="002365B4">
      <w:pPr>
        <w:pStyle w:val="TOCheadingfactsheet"/>
      </w:pPr>
      <w:r w:rsidRPr="00B57329">
        <w:t>Contents</w:t>
      </w:r>
    </w:p>
    <w:p w14:paraId="1EEDBD47" w14:textId="4D93435D" w:rsidR="001B4B7F"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0132546" w:history="1">
        <w:r w:rsidR="001B4B7F" w:rsidRPr="0075424C">
          <w:rPr>
            <w:rStyle w:val="Hyperlink"/>
          </w:rPr>
          <w:t>About this document</w:t>
        </w:r>
        <w:r w:rsidR="001B4B7F">
          <w:rPr>
            <w:webHidden/>
          </w:rPr>
          <w:tab/>
        </w:r>
        <w:r w:rsidR="001B4B7F">
          <w:rPr>
            <w:webHidden/>
          </w:rPr>
          <w:fldChar w:fldCharType="begin"/>
        </w:r>
        <w:r w:rsidR="001B4B7F">
          <w:rPr>
            <w:webHidden/>
          </w:rPr>
          <w:instrText xml:space="preserve"> PAGEREF _Toc170132546 \h </w:instrText>
        </w:r>
        <w:r w:rsidR="001B4B7F">
          <w:rPr>
            <w:webHidden/>
          </w:rPr>
        </w:r>
        <w:r w:rsidR="001B4B7F">
          <w:rPr>
            <w:webHidden/>
          </w:rPr>
          <w:fldChar w:fldCharType="separate"/>
        </w:r>
        <w:r w:rsidR="001B4B7F">
          <w:rPr>
            <w:webHidden/>
          </w:rPr>
          <w:t>2</w:t>
        </w:r>
        <w:r w:rsidR="001B4B7F">
          <w:rPr>
            <w:webHidden/>
          </w:rPr>
          <w:fldChar w:fldCharType="end"/>
        </w:r>
      </w:hyperlink>
    </w:p>
    <w:p w14:paraId="21830B5C" w14:textId="55C48DF8" w:rsidR="001B4B7F"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132547" w:history="1">
        <w:r w:rsidR="001B4B7F" w:rsidRPr="0075424C">
          <w:rPr>
            <w:rStyle w:val="Hyperlink"/>
          </w:rPr>
          <w:t>Background</w:t>
        </w:r>
        <w:r w:rsidR="001B4B7F">
          <w:rPr>
            <w:webHidden/>
          </w:rPr>
          <w:tab/>
        </w:r>
        <w:r w:rsidR="001B4B7F">
          <w:rPr>
            <w:webHidden/>
          </w:rPr>
          <w:fldChar w:fldCharType="begin"/>
        </w:r>
        <w:r w:rsidR="001B4B7F">
          <w:rPr>
            <w:webHidden/>
          </w:rPr>
          <w:instrText xml:space="preserve"> PAGEREF _Toc170132547 \h </w:instrText>
        </w:r>
        <w:r w:rsidR="001B4B7F">
          <w:rPr>
            <w:webHidden/>
          </w:rPr>
        </w:r>
        <w:r w:rsidR="001B4B7F">
          <w:rPr>
            <w:webHidden/>
          </w:rPr>
          <w:fldChar w:fldCharType="separate"/>
        </w:r>
        <w:r w:rsidR="001B4B7F">
          <w:rPr>
            <w:webHidden/>
          </w:rPr>
          <w:t>2</w:t>
        </w:r>
        <w:r w:rsidR="001B4B7F">
          <w:rPr>
            <w:webHidden/>
          </w:rPr>
          <w:fldChar w:fldCharType="end"/>
        </w:r>
      </w:hyperlink>
    </w:p>
    <w:p w14:paraId="3B579599" w14:textId="63F40BE8" w:rsidR="001B4B7F"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132548" w:history="1">
        <w:r w:rsidR="001B4B7F" w:rsidRPr="0075424C">
          <w:rPr>
            <w:rStyle w:val="Hyperlink"/>
          </w:rPr>
          <w:t>Our role</w:t>
        </w:r>
        <w:r w:rsidR="001B4B7F">
          <w:rPr>
            <w:webHidden/>
          </w:rPr>
          <w:tab/>
        </w:r>
        <w:r w:rsidR="001B4B7F">
          <w:rPr>
            <w:webHidden/>
          </w:rPr>
          <w:fldChar w:fldCharType="begin"/>
        </w:r>
        <w:r w:rsidR="001B4B7F">
          <w:rPr>
            <w:webHidden/>
          </w:rPr>
          <w:instrText xml:space="preserve"> PAGEREF _Toc170132548 \h </w:instrText>
        </w:r>
        <w:r w:rsidR="001B4B7F">
          <w:rPr>
            <w:webHidden/>
          </w:rPr>
        </w:r>
        <w:r w:rsidR="001B4B7F">
          <w:rPr>
            <w:webHidden/>
          </w:rPr>
          <w:fldChar w:fldCharType="separate"/>
        </w:r>
        <w:r w:rsidR="001B4B7F">
          <w:rPr>
            <w:webHidden/>
          </w:rPr>
          <w:t>3</w:t>
        </w:r>
        <w:r w:rsidR="001B4B7F">
          <w:rPr>
            <w:webHidden/>
          </w:rPr>
          <w:fldChar w:fldCharType="end"/>
        </w:r>
      </w:hyperlink>
    </w:p>
    <w:p w14:paraId="2A12EBDF" w14:textId="6DEC9D7B" w:rsidR="001B4B7F" w:rsidRDefault="00000000">
      <w:pPr>
        <w:pStyle w:val="TOC2"/>
        <w:rPr>
          <w:rFonts w:asciiTheme="minorHAnsi" w:eastAsiaTheme="minorEastAsia" w:hAnsiTheme="minorHAnsi" w:cstheme="minorBidi"/>
          <w:kern w:val="2"/>
          <w:sz w:val="24"/>
          <w:szCs w:val="24"/>
          <w:lang w:eastAsia="en-AU"/>
          <w14:ligatures w14:val="standardContextual"/>
        </w:rPr>
      </w:pPr>
      <w:hyperlink w:anchor="_Toc170132549" w:history="1">
        <w:r w:rsidR="001B4B7F" w:rsidRPr="0075424C">
          <w:rPr>
            <w:rStyle w:val="Hyperlink"/>
          </w:rPr>
          <w:t>Our expectation of duty holders</w:t>
        </w:r>
        <w:r w:rsidR="001B4B7F">
          <w:rPr>
            <w:webHidden/>
          </w:rPr>
          <w:tab/>
        </w:r>
        <w:r w:rsidR="001B4B7F">
          <w:rPr>
            <w:webHidden/>
          </w:rPr>
          <w:fldChar w:fldCharType="begin"/>
        </w:r>
        <w:r w:rsidR="001B4B7F">
          <w:rPr>
            <w:webHidden/>
          </w:rPr>
          <w:instrText xml:space="preserve"> PAGEREF _Toc170132549 \h </w:instrText>
        </w:r>
        <w:r w:rsidR="001B4B7F">
          <w:rPr>
            <w:webHidden/>
          </w:rPr>
        </w:r>
        <w:r w:rsidR="001B4B7F">
          <w:rPr>
            <w:webHidden/>
          </w:rPr>
          <w:fldChar w:fldCharType="separate"/>
        </w:r>
        <w:r w:rsidR="001B4B7F">
          <w:rPr>
            <w:webHidden/>
          </w:rPr>
          <w:t>3</w:t>
        </w:r>
        <w:r w:rsidR="001B4B7F">
          <w:rPr>
            <w:webHidden/>
          </w:rPr>
          <w:fldChar w:fldCharType="end"/>
        </w:r>
      </w:hyperlink>
    </w:p>
    <w:p w14:paraId="32EF82F5" w14:textId="46F7513F" w:rsidR="001B4B7F"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132550" w:history="1">
        <w:r w:rsidR="001B4B7F" w:rsidRPr="0075424C">
          <w:rPr>
            <w:rStyle w:val="Hyperlink"/>
          </w:rPr>
          <w:t>Minimising harm</w:t>
        </w:r>
        <w:r w:rsidR="001B4B7F">
          <w:rPr>
            <w:webHidden/>
          </w:rPr>
          <w:tab/>
        </w:r>
        <w:r w:rsidR="001B4B7F">
          <w:rPr>
            <w:webHidden/>
          </w:rPr>
          <w:fldChar w:fldCharType="begin"/>
        </w:r>
        <w:r w:rsidR="001B4B7F">
          <w:rPr>
            <w:webHidden/>
          </w:rPr>
          <w:instrText xml:space="preserve"> PAGEREF _Toc170132550 \h </w:instrText>
        </w:r>
        <w:r w:rsidR="001B4B7F">
          <w:rPr>
            <w:webHidden/>
          </w:rPr>
        </w:r>
        <w:r w:rsidR="001B4B7F">
          <w:rPr>
            <w:webHidden/>
          </w:rPr>
          <w:fldChar w:fldCharType="separate"/>
        </w:r>
        <w:r w:rsidR="001B4B7F">
          <w:rPr>
            <w:webHidden/>
          </w:rPr>
          <w:t>4</w:t>
        </w:r>
        <w:r w:rsidR="001B4B7F">
          <w:rPr>
            <w:webHidden/>
          </w:rPr>
          <w:fldChar w:fldCharType="end"/>
        </w:r>
      </w:hyperlink>
    </w:p>
    <w:p w14:paraId="297FCCA5" w14:textId="5ACC784B" w:rsidR="001B4B7F"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132551" w:history="1">
        <w:r w:rsidR="001B4B7F" w:rsidRPr="0075424C">
          <w:rPr>
            <w:rStyle w:val="Hyperlink"/>
          </w:rPr>
          <w:t>Assessing risk</w:t>
        </w:r>
        <w:r w:rsidR="001B4B7F">
          <w:rPr>
            <w:webHidden/>
          </w:rPr>
          <w:tab/>
        </w:r>
        <w:r w:rsidR="001B4B7F">
          <w:rPr>
            <w:webHidden/>
          </w:rPr>
          <w:fldChar w:fldCharType="begin"/>
        </w:r>
        <w:r w:rsidR="001B4B7F">
          <w:rPr>
            <w:webHidden/>
          </w:rPr>
          <w:instrText xml:space="preserve"> PAGEREF _Toc170132551 \h </w:instrText>
        </w:r>
        <w:r w:rsidR="001B4B7F">
          <w:rPr>
            <w:webHidden/>
          </w:rPr>
        </w:r>
        <w:r w:rsidR="001B4B7F">
          <w:rPr>
            <w:webHidden/>
          </w:rPr>
          <w:fldChar w:fldCharType="separate"/>
        </w:r>
        <w:r w:rsidR="001B4B7F">
          <w:rPr>
            <w:webHidden/>
          </w:rPr>
          <w:t>4</w:t>
        </w:r>
        <w:r w:rsidR="001B4B7F">
          <w:rPr>
            <w:webHidden/>
          </w:rPr>
          <w:fldChar w:fldCharType="end"/>
        </w:r>
      </w:hyperlink>
    </w:p>
    <w:p w14:paraId="26DA8F0A" w14:textId="6142E434" w:rsidR="001B4B7F" w:rsidRDefault="00000000">
      <w:pPr>
        <w:pStyle w:val="TOC2"/>
        <w:rPr>
          <w:rFonts w:asciiTheme="minorHAnsi" w:eastAsiaTheme="minorEastAsia" w:hAnsiTheme="minorHAnsi" w:cstheme="minorBidi"/>
          <w:kern w:val="2"/>
          <w:sz w:val="24"/>
          <w:szCs w:val="24"/>
          <w:lang w:eastAsia="en-AU"/>
          <w14:ligatures w14:val="standardContextual"/>
        </w:rPr>
      </w:pPr>
      <w:hyperlink w:anchor="_Toc170132552" w:history="1">
        <w:r w:rsidR="001B4B7F" w:rsidRPr="0075424C">
          <w:rPr>
            <w:rStyle w:val="Hyperlink"/>
          </w:rPr>
          <w:t>Consequence of harm</w:t>
        </w:r>
        <w:r w:rsidR="001B4B7F">
          <w:rPr>
            <w:webHidden/>
          </w:rPr>
          <w:tab/>
        </w:r>
        <w:r w:rsidR="001B4B7F">
          <w:rPr>
            <w:webHidden/>
          </w:rPr>
          <w:fldChar w:fldCharType="begin"/>
        </w:r>
        <w:r w:rsidR="001B4B7F">
          <w:rPr>
            <w:webHidden/>
          </w:rPr>
          <w:instrText xml:space="preserve"> PAGEREF _Toc170132552 \h </w:instrText>
        </w:r>
        <w:r w:rsidR="001B4B7F">
          <w:rPr>
            <w:webHidden/>
          </w:rPr>
        </w:r>
        <w:r w:rsidR="001B4B7F">
          <w:rPr>
            <w:webHidden/>
          </w:rPr>
          <w:fldChar w:fldCharType="separate"/>
        </w:r>
        <w:r w:rsidR="001B4B7F">
          <w:rPr>
            <w:webHidden/>
          </w:rPr>
          <w:t>5</w:t>
        </w:r>
        <w:r w:rsidR="001B4B7F">
          <w:rPr>
            <w:webHidden/>
          </w:rPr>
          <w:fldChar w:fldCharType="end"/>
        </w:r>
      </w:hyperlink>
    </w:p>
    <w:p w14:paraId="29AE35D8" w14:textId="0523DC31" w:rsidR="001B4B7F" w:rsidRDefault="00000000">
      <w:pPr>
        <w:pStyle w:val="TOC2"/>
        <w:rPr>
          <w:rFonts w:asciiTheme="minorHAnsi" w:eastAsiaTheme="minorEastAsia" w:hAnsiTheme="minorHAnsi" w:cstheme="minorBidi"/>
          <w:kern w:val="2"/>
          <w:sz w:val="24"/>
          <w:szCs w:val="24"/>
          <w:lang w:eastAsia="en-AU"/>
          <w14:ligatures w14:val="standardContextual"/>
        </w:rPr>
      </w:pPr>
      <w:hyperlink w:anchor="_Toc170132553" w:history="1">
        <w:r w:rsidR="001B4B7F" w:rsidRPr="0075424C">
          <w:rPr>
            <w:rStyle w:val="Hyperlink"/>
          </w:rPr>
          <w:t>Likelihood of risk and harm</w:t>
        </w:r>
        <w:r w:rsidR="001B4B7F">
          <w:rPr>
            <w:webHidden/>
          </w:rPr>
          <w:tab/>
        </w:r>
        <w:r w:rsidR="001B4B7F">
          <w:rPr>
            <w:webHidden/>
          </w:rPr>
          <w:fldChar w:fldCharType="begin"/>
        </w:r>
        <w:r w:rsidR="001B4B7F">
          <w:rPr>
            <w:webHidden/>
          </w:rPr>
          <w:instrText xml:space="preserve"> PAGEREF _Toc170132553 \h </w:instrText>
        </w:r>
        <w:r w:rsidR="001B4B7F">
          <w:rPr>
            <w:webHidden/>
          </w:rPr>
        </w:r>
        <w:r w:rsidR="001B4B7F">
          <w:rPr>
            <w:webHidden/>
          </w:rPr>
          <w:fldChar w:fldCharType="separate"/>
        </w:r>
        <w:r w:rsidR="001B4B7F">
          <w:rPr>
            <w:webHidden/>
          </w:rPr>
          <w:t>5</w:t>
        </w:r>
        <w:r w:rsidR="001B4B7F">
          <w:rPr>
            <w:webHidden/>
          </w:rPr>
          <w:fldChar w:fldCharType="end"/>
        </w:r>
      </w:hyperlink>
    </w:p>
    <w:p w14:paraId="1B5476B0" w14:textId="0BA58500" w:rsidR="001B4B7F" w:rsidRDefault="00000000">
      <w:pPr>
        <w:pStyle w:val="TOC2"/>
        <w:rPr>
          <w:rFonts w:asciiTheme="minorHAnsi" w:eastAsiaTheme="minorEastAsia" w:hAnsiTheme="minorHAnsi" w:cstheme="minorBidi"/>
          <w:kern w:val="2"/>
          <w:sz w:val="24"/>
          <w:szCs w:val="24"/>
          <w:lang w:eastAsia="en-AU"/>
          <w14:ligatures w14:val="standardContextual"/>
        </w:rPr>
      </w:pPr>
      <w:hyperlink w:anchor="_Toc170132554" w:history="1">
        <w:r w:rsidR="001B4B7F" w:rsidRPr="0075424C">
          <w:rPr>
            <w:rStyle w:val="Hyperlink"/>
          </w:rPr>
          <w:t>Overall risk</w:t>
        </w:r>
        <w:r w:rsidR="001B4B7F">
          <w:rPr>
            <w:webHidden/>
          </w:rPr>
          <w:tab/>
        </w:r>
        <w:r w:rsidR="001B4B7F">
          <w:rPr>
            <w:webHidden/>
          </w:rPr>
          <w:fldChar w:fldCharType="begin"/>
        </w:r>
        <w:r w:rsidR="001B4B7F">
          <w:rPr>
            <w:webHidden/>
          </w:rPr>
          <w:instrText xml:space="preserve"> PAGEREF _Toc170132554 \h </w:instrText>
        </w:r>
        <w:r w:rsidR="001B4B7F">
          <w:rPr>
            <w:webHidden/>
          </w:rPr>
        </w:r>
        <w:r w:rsidR="001B4B7F">
          <w:rPr>
            <w:webHidden/>
          </w:rPr>
          <w:fldChar w:fldCharType="separate"/>
        </w:r>
        <w:r w:rsidR="001B4B7F">
          <w:rPr>
            <w:webHidden/>
          </w:rPr>
          <w:t>6</w:t>
        </w:r>
        <w:r w:rsidR="001B4B7F">
          <w:rPr>
            <w:webHidden/>
          </w:rPr>
          <w:fldChar w:fldCharType="end"/>
        </w:r>
      </w:hyperlink>
    </w:p>
    <w:p w14:paraId="125A01E7" w14:textId="2ADC0581" w:rsidR="001B4B7F" w:rsidRDefault="00000000">
      <w:pPr>
        <w:pStyle w:val="TOC2"/>
        <w:rPr>
          <w:rFonts w:asciiTheme="minorHAnsi" w:eastAsiaTheme="minorEastAsia" w:hAnsiTheme="minorHAnsi" w:cstheme="minorBidi"/>
          <w:kern w:val="2"/>
          <w:sz w:val="24"/>
          <w:szCs w:val="24"/>
          <w:lang w:eastAsia="en-AU"/>
          <w14:ligatures w14:val="standardContextual"/>
        </w:rPr>
      </w:pPr>
      <w:hyperlink w:anchor="_Toc170132555" w:history="1">
        <w:r w:rsidR="001B4B7F" w:rsidRPr="0075424C">
          <w:rPr>
            <w:rStyle w:val="Hyperlink"/>
          </w:rPr>
          <w:t>Attitude and culpability</w:t>
        </w:r>
        <w:r w:rsidR="001B4B7F">
          <w:rPr>
            <w:webHidden/>
          </w:rPr>
          <w:tab/>
        </w:r>
        <w:r w:rsidR="001B4B7F">
          <w:rPr>
            <w:webHidden/>
          </w:rPr>
          <w:fldChar w:fldCharType="begin"/>
        </w:r>
        <w:r w:rsidR="001B4B7F">
          <w:rPr>
            <w:webHidden/>
          </w:rPr>
          <w:instrText xml:space="preserve"> PAGEREF _Toc170132555 \h </w:instrText>
        </w:r>
        <w:r w:rsidR="001B4B7F">
          <w:rPr>
            <w:webHidden/>
          </w:rPr>
        </w:r>
        <w:r w:rsidR="001B4B7F">
          <w:rPr>
            <w:webHidden/>
          </w:rPr>
          <w:fldChar w:fldCharType="separate"/>
        </w:r>
        <w:r w:rsidR="001B4B7F">
          <w:rPr>
            <w:webHidden/>
          </w:rPr>
          <w:t>7</w:t>
        </w:r>
        <w:r w:rsidR="001B4B7F">
          <w:rPr>
            <w:webHidden/>
          </w:rPr>
          <w:fldChar w:fldCharType="end"/>
        </w:r>
      </w:hyperlink>
    </w:p>
    <w:p w14:paraId="2207A4BB" w14:textId="04EA2E4A" w:rsidR="001B4B7F"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132556" w:history="1">
        <w:r w:rsidR="001B4B7F" w:rsidRPr="0075424C">
          <w:rPr>
            <w:rStyle w:val="Hyperlink"/>
          </w:rPr>
          <w:t>Regulatory toolkit</w:t>
        </w:r>
        <w:r w:rsidR="001B4B7F">
          <w:rPr>
            <w:webHidden/>
          </w:rPr>
          <w:tab/>
        </w:r>
        <w:r w:rsidR="001B4B7F">
          <w:rPr>
            <w:webHidden/>
          </w:rPr>
          <w:fldChar w:fldCharType="begin"/>
        </w:r>
        <w:r w:rsidR="001B4B7F">
          <w:rPr>
            <w:webHidden/>
          </w:rPr>
          <w:instrText xml:space="preserve"> PAGEREF _Toc170132556 \h </w:instrText>
        </w:r>
        <w:r w:rsidR="001B4B7F">
          <w:rPr>
            <w:webHidden/>
          </w:rPr>
        </w:r>
        <w:r w:rsidR="001B4B7F">
          <w:rPr>
            <w:webHidden/>
          </w:rPr>
          <w:fldChar w:fldCharType="separate"/>
        </w:r>
        <w:r w:rsidR="001B4B7F">
          <w:rPr>
            <w:webHidden/>
          </w:rPr>
          <w:t>8</w:t>
        </w:r>
        <w:r w:rsidR="001B4B7F">
          <w:rPr>
            <w:webHidden/>
          </w:rPr>
          <w:fldChar w:fldCharType="end"/>
        </w:r>
      </w:hyperlink>
    </w:p>
    <w:p w14:paraId="1A475B0D" w14:textId="61165988" w:rsidR="001B4B7F" w:rsidRDefault="00000000">
      <w:pPr>
        <w:pStyle w:val="TOC2"/>
        <w:rPr>
          <w:rFonts w:asciiTheme="minorHAnsi" w:eastAsiaTheme="minorEastAsia" w:hAnsiTheme="minorHAnsi" w:cstheme="minorBidi"/>
          <w:kern w:val="2"/>
          <w:sz w:val="24"/>
          <w:szCs w:val="24"/>
          <w:lang w:eastAsia="en-AU"/>
          <w14:ligatures w14:val="standardContextual"/>
        </w:rPr>
      </w:pPr>
      <w:hyperlink w:anchor="_Toc170132557" w:history="1">
        <w:r w:rsidR="001B4B7F" w:rsidRPr="0075424C">
          <w:rPr>
            <w:rStyle w:val="Hyperlink"/>
          </w:rPr>
          <w:t>Figure 2: Graduated approach to compliance</w:t>
        </w:r>
        <w:r w:rsidR="001B4B7F">
          <w:rPr>
            <w:webHidden/>
          </w:rPr>
          <w:tab/>
        </w:r>
        <w:r w:rsidR="001B4B7F">
          <w:rPr>
            <w:webHidden/>
          </w:rPr>
          <w:fldChar w:fldCharType="begin"/>
        </w:r>
        <w:r w:rsidR="001B4B7F">
          <w:rPr>
            <w:webHidden/>
          </w:rPr>
          <w:instrText xml:space="preserve"> PAGEREF _Toc170132557 \h </w:instrText>
        </w:r>
        <w:r w:rsidR="001B4B7F">
          <w:rPr>
            <w:webHidden/>
          </w:rPr>
        </w:r>
        <w:r w:rsidR="001B4B7F">
          <w:rPr>
            <w:webHidden/>
          </w:rPr>
          <w:fldChar w:fldCharType="separate"/>
        </w:r>
        <w:r w:rsidR="001B4B7F">
          <w:rPr>
            <w:webHidden/>
          </w:rPr>
          <w:t>8</w:t>
        </w:r>
        <w:r w:rsidR="001B4B7F">
          <w:rPr>
            <w:webHidden/>
          </w:rPr>
          <w:fldChar w:fldCharType="end"/>
        </w:r>
      </w:hyperlink>
    </w:p>
    <w:p w14:paraId="3E7CAF48" w14:textId="6423AE67" w:rsidR="001B4B7F" w:rsidRDefault="00000000">
      <w:pPr>
        <w:pStyle w:val="TOC2"/>
        <w:rPr>
          <w:rFonts w:asciiTheme="minorHAnsi" w:eastAsiaTheme="minorEastAsia" w:hAnsiTheme="minorHAnsi" w:cstheme="minorBidi"/>
          <w:kern w:val="2"/>
          <w:sz w:val="24"/>
          <w:szCs w:val="24"/>
          <w:lang w:eastAsia="en-AU"/>
          <w14:ligatures w14:val="standardContextual"/>
        </w:rPr>
      </w:pPr>
      <w:hyperlink w:anchor="_Toc170132558" w:history="1">
        <w:r w:rsidR="001B4B7F" w:rsidRPr="0075424C">
          <w:rPr>
            <w:rStyle w:val="Hyperlink"/>
          </w:rPr>
          <w:t>Table 4: Regulatory tools and levers</w:t>
        </w:r>
        <w:r w:rsidR="001B4B7F">
          <w:rPr>
            <w:webHidden/>
          </w:rPr>
          <w:tab/>
        </w:r>
        <w:r w:rsidR="001B4B7F">
          <w:rPr>
            <w:webHidden/>
          </w:rPr>
          <w:fldChar w:fldCharType="begin"/>
        </w:r>
        <w:r w:rsidR="001B4B7F">
          <w:rPr>
            <w:webHidden/>
          </w:rPr>
          <w:instrText xml:space="preserve"> PAGEREF _Toc170132558 \h </w:instrText>
        </w:r>
        <w:r w:rsidR="001B4B7F">
          <w:rPr>
            <w:webHidden/>
          </w:rPr>
        </w:r>
        <w:r w:rsidR="001B4B7F">
          <w:rPr>
            <w:webHidden/>
          </w:rPr>
          <w:fldChar w:fldCharType="separate"/>
        </w:r>
        <w:r w:rsidR="001B4B7F">
          <w:rPr>
            <w:webHidden/>
          </w:rPr>
          <w:t>9</w:t>
        </w:r>
        <w:r w:rsidR="001B4B7F">
          <w:rPr>
            <w:webHidden/>
          </w:rPr>
          <w:fldChar w:fldCharType="end"/>
        </w:r>
      </w:hyperlink>
    </w:p>
    <w:p w14:paraId="505D216A" w14:textId="4EE4E5F9" w:rsidR="001B4B7F" w:rsidRDefault="00000000">
      <w:pPr>
        <w:pStyle w:val="TOC2"/>
        <w:rPr>
          <w:rFonts w:asciiTheme="minorHAnsi" w:eastAsiaTheme="minorEastAsia" w:hAnsiTheme="minorHAnsi" w:cstheme="minorBidi"/>
          <w:kern w:val="2"/>
          <w:sz w:val="24"/>
          <w:szCs w:val="24"/>
          <w:lang w:eastAsia="en-AU"/>
          <w14:ligatures w14:val="standardContextual"/>
        </w:rPr>
      </w:pPr>
      <w:hyperlink w:anchor="_Toc170132559" w:history="1">
        <w:r w:rsidR="001B4B7F" w:rsidRPr="0075424C">
          <w:rPr>
            <w:rStyle w:val="Hyperlink"/>
          </w:rPr>
          <w:t>Table 5: Compliance and enforcement actions</w:t>
        </w:r>
        <w:r w:rsidR="001B4B7F">
          <w:rPr>
            <w:webHidden/>
          </w:rPr>
          <w:tab/>
        </w:r>
        <w:r w:rsidR="001B4B7F">
          <w:rPr>
            <w:webHidden/>
          </w:rPr>
          <w:fldChar w:fldCharType="begin"/>
        </w:r>
        <w:r w:rsidR="001B4B7F">
          <w:rPr>
            <w:webHidden/>
          </w:rPr>
          <w:instrText xml:space="preserve"> PAGEREF _Toc170132559 \h </w:instrText>
        </w:r>
        <w:r w:rsidR="001B4B7F">
          <w:rPr>
            <w:webHidden/>
          </w:rPr>
        </w:r>
        <w:r w:rsidR="001B4B7F">
          <w:rPr>
            <w:webHidden/>
          </w:rPr>
          <w:fldChar w:fldCharType="separate"/>
        </w:r>
        <w:r w:rsidR="001B4B7F">
          <w:rPr>
            <w:webHidden/>
          </w:rPr>
          <w:t>9</w:t>
        </w:r>
        <w:r w:rsidR="001B4B7F">
          <w:rPr>
            <w:webHidden/>
          </w:rPr>
          <w:fldChar w:fldCharType="end"/>
        </w:r>
      </w:hyperlink>
    </w:p>
    <w:p w14:paraId="1FD7CB8F" w14:textId="626D3B9C" w:rsidR="001B4B7F"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132560" w:history="1">
        <w:r w:rsidR="001B4B7F" w:rsidRPr="0075424C">
          <w:rPr>
            <w:rStyle w:val="Hyperlink"/>
          </w:rPr>
          <w:t>Monitoring compliance</w:t>
        </w:r>
        <w:r w:rsidR="001B4B7F">
          <w:rPr>
            <w:webHidden/>
          </w:rPr>
          <w:tab/>
        </w:r>
        <w:r w:rsidR="001B4B7F">
          <w:rPr>
            <w:webHidden/>
          </w:rPr>
          <w:fldChar w:fldCharType="begin"/>
        </w:r>
        <w:r w:rsidR="001B4B7F">
          <w:rPr>
            <w:webHidden/>
          </w:rPr>
          <w:instrText xml:space="preserve"> PAGEREF _Toc170132560 \h </w:instrText>
        </w:r>
        <w:r w:rsidR="001B4B7F">
          <w:rPr>
            <w:webHidden/>
          </w:rPr>
        </w:r>
        <w:r w:rsidR="001B4B7F">
          <w:rPr>
            <w:webHidden/>
          </w:rPr>
          <w:fldChar w:fldCharType="separate"/>
        </w:r>
        <w:r w:rsidR="001B4B7F">
          <w:rPr>
            <w:webHidden/>
          </w:rPr>
          <w:t>10</w:t>
        </w:r>
        <w:r w:rsidR="001B4B7F">
          <w:rPr>
            <w:webHidden/>
          </w:rPr>
          <w:fldChar w:fldCharType="end"/>
        </w:r>
      </w:hyperlink>
    </w:p>
    <w:p w14:paraId="34A8DD94" w14:textId="4350B2FF" w:rsidR="001B4B7F" w:rsidRDefault="00000000">
      <w:pPr>
        <w:pStyle w:val="TOC2"/>
        <w:rPr>
          <w:rFonts w:asciiTheme="minorHAnsi" w:eastAsiaTheme="minorEastAsia" w:hAnsiTheme="minorHAnsi" w:cstheme="minorBidi"/>
          <w:kern w:val="2"/>
          <w:sz w:val="24"/>
          <w:szCs w:val="24"/>
          <w:lang w:eastAsia="en-AU"/>
          <w14:ligatures w14:val="standardContextual"/>
        </w:rPr>
      </w:pPr>
      <w:hyperlink w:anchor="_Toc170132561" w:history="1">
        <w:r w:rsidR="001B4B7F" w:rsidRPr="0075424C">
          <w:rPr>
            <w:rStyle w:val="Hyperlink"/>
          </w:rPr>
          <w:t>Responding to non-compliance</w:t>
        </w:r>
        <w:r w:rsidR="001B4B7F">
          <w:rPr>
            <w:webHidden/>
          </w:rPr>
          <w:tab/>
        </w:r>
        <w:r w:rsidR="001B4B7F">
          <w:rPr>
            <w:webHidden/>
          </w:rPr>
          <w:fldChar w:fldCharType="begin"/>
        </w:r>
        <w:r w:rsidR="001B4B7F">
          <w:rPr>
            <w:webHidden/>
          </w:rPr>
          <w:instrText xml:space="preserve"> PAGEREF _Toc170132561 \h </w:instrText>
        </w:r>
        <w:r w:rsidR="001B4B7F">
          <w:rPr>
            <w:webHidden/>
          </w:rPr>
        </w:r>
        <w:r w:rsidR="001B4B7F">
          <w:rPr>
            <w:webHidden/>
          </w:rPr>
          <w:fldChar w:fldCharType="separate"/>
        </w:r>
        <w:r w:rsidR="001B4B7F">
          <w:rPr>
            <w:webHidden/>
          </w:rPr>
          <w:t>10</w:t>
        </w:r>
        <w:r w:rsidR="001B4B7F">
          <w:rPr>
            <w:webHidden/>
          </w:rPr>
          <w:fldChar w:fldCharType="end"/>
        </w:r>
      </w:hyperlink>
    </w:p>
    <w:p w14:paraId="4D494C2F" w14:textId="367F9FF2" w:rsidR="001B4B7F" w:rsidRDefault="00000000">
      <w:pPr>
        <w:pStyle w:val="TOC2"/>
        <w:rPr>
          <w:rFonts w:asciiTheme="minorHAnsi" w:eastAsiaTheme="minorEastAsia" w:hAnsiTheme="minorHAnsi" w:cstheme="minorBidi"/>
          <w:kern w:val="2"/>
          <w:sz w:val="24"/>
          <w:szCs w:val="24"/>
          <w:lang w:eastAsia="en-AU"/>
          <w14:ligatures w14:val="standardContextual"/>
        </w:rPr>
      </w:pPr>
      <w:hyperlink w:anchor="_Toc170132562" w:history="1">
        <w:r w:rsidR="001B4B7F" w:rsidRPr="0075424C">
          <w:rPr>
            <w:rStyle w:val="Hyperlink"/>
          </w:rPr>
          <w:t>Reviews and appeals</w:t>
        </w:r>
        <w:r w:rsidR="001B4B7F">
          <w:rPr>
            <w:webHidden/>
          </w:rPr>
          <w:tab/>
        </w:r>
        <w:r w:rsidR="001B4B7F">
          <w:rPr>
            <w:webHidden/>
          </w:rPr>
          <w:fldChar w:fldCharType="begin"/>
        </w:r>
        <w:r w:rsidR="001B4B7F">
          <w:rPr>
            <w:webHidden/>
          </w:rPr>
          <w:instrText xml:space="preserve"> PAGEREF _Toc170132562 \h </w:instrText>
        </w:r>
        <w:r w:rsidR="001B4B7F">
          <w:rPr>
            <w:webHidden/>
          </w:rPr>
        </w:r>
        <w:r w:rsidR="001B4B7F">
          <w:rPr>
            <w:webHidden/>
          </w:rPr>
          <w:fldChar w:fldCharType="separate"/>
        </w:r>
        <w:r w:rsidR="001B4B7F">
          <w:rPr>
            <w:webHidden/>
          </w:rPr>
          <w:t>10</w:t>
        </w:r>
        <w:r w:rsidR="001B4B7F">
          <w:rPr>
            <w:webHidden/>
          </w:rPr>
          <w:fldChar w:fldCharType="end"/>
        </w:r>
      </w:hyperlink>
    </w:p>
    <w:p w14:paraId="623B2D43" w14:textId="1F2E6FD9" w:rsidR="007173CA" w:rsidRDefault="00AD784C" w:rsidP="00D079AA">
      <w:pPr>
        <w:pStyle w:val="Body"/>
      </w:pPr>
      <w:r>
        <w:fldChar w:fldCharType="end"/>
      </w:r>
    </w:p>
    <w:p w14:paraId="7257E9F9" w14:textId="77777777" w:rsidR="00DB4EB5" w:rsidRPr="00D54EB3" w:rsidRDefault="00DB4EB5" w:rsidP="00683CBA">
      <w:pPr>
        <w:pStyle w:val="Heading1"/>
      </w:pPr>
      <w:bookmarkStart w:id="0" w:name="_Toc167289972"/>
      <w:bookmarkStart w:id="1" w:name="_Toc170132546"/>
      <w:bookmarkStart w:id="2" w:name="_Toc74671598"/>
      <w:r w:rsidRPr="009650CE">
        <w:t xml:space="preserve">About this </w:t>
      </w:r>
      <w:r w:rsidRPr="00683CBA">
        <w:t>document</w:t>
      </w:r>
      <w:bookmarkEnd w:id="0"/>
      <w:bookmarkEnd w:id="1"/>
    </w:p>
    <w:p w14:paraId="31B7E208" w14:textId="77777777" w:rsidR="00DB4EB5" w:rsidRDefault="00DB4EB5" w:rsidP="00DB4EB5">
      <w:pPr>
        <w:pStyle w:val="Body"/>
      </w:pPr>
      <w:r w:rsidRPr="00C423CF">
        <w:t>T</w:t>
      </w:r>
      <w:r>
        <w:t xml:space="preserve">his document outlines the compliance and enforcement approach of the </w:t>
      </w:r>
      <w:r w:rsidRPr="00043E63">
        <w:t>Social Services Regulator (the Regulator)</w:t>
      </w:r>
      <w:r>
        <w:t xml:space="preserve"> and expectations of duty holders. </w:t>
      </w:r>
    </w:p>
    <w:p w14:paraId="76670806" w14:textId="77777777" w:rsidR="00DB4EB5" w:rsidRPr="00043E63" w:rsidRDefault="00DB4EB5" w:rsidP="00DB4EB5">
      <w:pPr>
        <w:pStyle w:val="Body"/>
      </w:pPr>
      <w:r w:rsidRPr="00043E63">
        <w:t xml:space="preserve">Through this </w:t>
      </w:r>
      <w:r>
        <w:t>document</w:t>
      </w:r>
      <w:r w:rsidRPr="00043E63">
        <w:t xml:space="preserve">, the Regulator aims to: </w:t>
      </w:r>
    </w:p>
    <w:p w14:paraId="69ABB414" w14:textId="77777777" w:rsidR="00DB4EB5" w:rsidRPr="001A3E71" w:rsidRDefault="00DB4EB5" w:rsidP="00DB4EB5">
      <w:pPr>
        <w:pStyle w:val="Bullet1"/>
      </w:pPr>
      <w:r>
        <w:t xml:space="preserve">outline the regulatory </w:t>
      </w:r>
      <w:r w:rsidRPr="001A3E71">
        <w:t>tools used by the Regulator</w:t>
      </w:r>
    </w:p>
    <w:p w14:paraId="7B2864AA" w14:textId="77777777" w:rsidR="00DB4EB5" w:rsidRPr="001A3E71" w:rsidRDefault="00DB4EB5" w:rsidP="00DB4EB5">
      <w:pPr>
        <w:pStyle w:val="Bullet1"/>
      </w:pPr>
      <w:r w:rsidRPr="001A3E71">
        <w:t xml:space="preserve">describe the Regulator’s approach to compliance and enforcement </w:t>
      </w:r>
    </w:p>
    <w:p w14:paraId="57AAC232" w14:textId="77777777" w:rsidR="00DB4EB5" w:rsidRPr="001A3E71" w:rsidRDefault="00DB4EB5" w:rsidP="00DB4EB5">
      <w:pPr>
        <w:pStyle w:val="Bullet1"/>
      </w:pPr>
      <w:r w:rsidRPr="001A3E71">
        <w:t xml:space="preserve">replace the </w:t>
      </w:r>
      <w:r w:rsidRPr="00AB34F5">
        <w:rPr>
          <w:b/>
          <w:bCs/>
          <w:iCs/>
        </w:rPr>
        <w:t>Compliance &amp; Enforcement Policy</w:t>
      </w:r>
      <w:r w:rsidRPr="001A3E71">
        <w:t xml:space="preserve"> previously published by the Human Services Regulator.</w:t>
      </w:r>
    </w:p>
    <w:p w14:paraId="4CE8DC7E" w14:textId="77777777" w:rsidR="00DB4EB5" w:rsidRDefault="00DB4EB5" w:rsidP="00DB4EB5">
      <w:pPr>
        <w:pStyle w:val="Bodyafterbullets"/>
      </w:pPr>
      <w:r>
        <w:t>This document should be considered in conjunction with the Regulator’s:</w:t>
      </w:r>
    </w:p>
    <w:p w14:paraId="1C5FAFEF" w14:textId="77777777" w:rsidR="00DB4EB5" w:rsidRPr="00AB34F5" w:rsidRDefault="00DB4EB5" w:rsidP="00DB4EB5">
      <w:pPr>
        <w:pStyle w:val="Bullet1"/>
        <w:rPr>
          <w:b/>
          <w:bCs/>
        </w:rPr>
      </w:pPr>
      <w:r w:rsidRPr="00AB34F5">
        <w:rPr>
          <w:b/>
          <w:bCs/>
        </w:rPr>
        <w:t>Regulatory Approach</w:t>
      </w:r>
    </w:p>
    <w:p w14:paraId="1DED155B" w14:textId="77777777" w:rsidR="00DB4EB5" w:rsidRPr="00AB34F5" w:rsidRDefault="00DB4EB5" w:rsidP="00DB4EB5">
      <w:pPr>
        <w:pStyle w:val="Bullet1"/>
        <w:rPr>
          <w:b/>
          <w:bCs/>
        </w:rPr>
      </w:pPr>
      <w:r w:rsidRPr="00AB34F5">
        <w:rPr>
          <w:b/>
          <w:bCs/>
        </w:rPr>
        <w:t>Annual Plan/Strategic Plan (to be developed)</w:t>
      </w:r>
    </w:p>
    <w:p w14:paraId="2B58FA02" w14:textId="77777777" w:rsidR="00DB4EB5" w:rsidRDefault="00DB4EB5" w:rsidP="00DB4EB5">
      <w:pPr>
        <w:pStyle w:val="Bodyafterbullets"/>
      </w:pPr>
      <w:r w:rsidRPr="00612288">
        <w:lastRenderedPageBreak/>
        <w:t xml:space="preserve">Key terms used in this document are </w:t>
      </w:r>
      <w:r w:rsidRPr="000A41FC">
        <w:t>defined on the Social Services Regulator’s website.</w:t>
      </w:r>
      <w:r>
        <w:t xml:space="preserve"> </w:t>
      </w:r>
    </w:p>
    <w:p w14:paraId="0F7BF02D" w14:textId="77777777" w:rsidR="00DB4EB5" w:rsidRDefault="00DB4EB5" w:rsidP="00DB4EB5">
      <w:pPr>
        <w:pStyle w:val="Heading1"/>
      </w:pPr>
      <w:bookmarkStart w:id="3" w:name="_Toc167289973"/>
      <w:bookmarkStart w:id="4" w:name="_Toc170132547"/>
      <w:r w:rsidRPr="003D7E61">
        <w:t>Background</w:t>
      </w:r>
      <w:bookmarkEnd w:id="3"/>
      <w:bookmarkEnd w:id="4"/>
    </w:p>
    <w:p w14:paraId="0B74A8EB" w14:textId="05BE8E52" w:rsidR="00DB4EB5" w:rsidRDefault="00DB4EB5" w:rsidP="002872AD">
      <w:pPr>
        <w:pStyle w:val="Body"/>
      </w:pPr>
      <w:r>
        <w:t xml:space="preserve">The </w:t>
      </w:r>
      <w:r w:rsidRPr="00C423CF">
        <w:rPr>
          <w:i/>
        </w:rPr>
        <w:t>Social Services Regulation Act 2021</w:t>
      </w:r>
      <w:r>
        <w:t xml:space="preserve"> (the Act) prescribes the regulatory functions and powers of the Regulator. This policy provides clear direction on how the Regulator intends to use its compliance and enforcement powers under the Act. </w:t>
      </w:r>
    </w:p>
    <w:p w14:paraId="1580E643" w14:textId="4A7F87C3" w:rsidR="00DB4EB5" w:rsidRDefault="00DB4EB5" w:rsidP="00DB4EB5">
      <w:pPr>
        <w:pStyle w:val="Bodyafterbullets"/>
        <w:rPr>
          <w:i/>
          <w:iCs/>
        </w:rPr>
      </w:pPr>
      <w:r>
        <w:t>We</w:t>
      </w:r>
      <w:r w:rsidRPr="00AB7D63">
        <w:t xml:space="preserve"> </w:t>
      </w:r>
      <w:r>
        <w:t>use</w:t>
      </w:r>
      <w:r w:rsidRPr="00AB7D63">
        <w:t xml:space="preserve"> a </w:t>
      </w:r>
      <w:r>
        <w:t xml:space="preserve">graduated, </w:t>
      </w:r>
      <w:r w:rsidRPr="00AB7D63">
        <w:t>risk-based approach</w:t>
      </w:r>
      <w:r>
        <w:t xml:space="preserve"> to regulation. We</w:t>
      </w:r>
      <w:r w:rsidRPr="00AB7D63">
        <w:t xml:space="preserve"> </w:t>
      </w:r>
      <w:r>
        <w:t>identify and assess risks presented by sectors and duty holders to help us make decisions, prioritise our resour</w:t>
      </w:r>
      <w:r w:rsidR="000813F2">
        <w:t>c</w:t>
      </w:r>
      <w:r w:rsidR="00490C7F">
        <w:t>es</w:t>
      </w:r>
      <w:r>
        <w:t xml:space="preserve"> and use our powers to make the greatest difference</w:t>
      </w:r>
      <w:r w:rsidRPr="00EF75D9">
        <w:t>.</w:t>
      </w:r>
      <w:r>
        <w:t xml:space="preserve"> This helps us to ensure the safety, health, and wellbeing of vulnerable Victorians. Our regulatory principles are reflected and applied at all stages of any regulatory response or action taken. The regulatory principles are outlined in </w:t>
      </w:r>
      <w:r w:rsidRPr="000A41FC">
        <w:t xml:space="preserve">our </w:t>
      </w:r>
      <w:r w:rsidRPr="00AB34F5">
        <w:rPr>
          <w:b/>
          <w:bCs/>
        </w:rPr>
        <w:t>Regulatory Approach</w:t>
      </w:r>
      <w:r w:rsidRPr="000A41FC">
        <w:rPr>
          <w:i/>
          <w:iCs/>
        </w:rPr>
        <w:t>.</w:t>
      </w:r>
    </w:p>
    <w:p w14:paraId="0D0E563C" w14:textId="77777777" w:rsidR="00DB4EB5" w:rsidRPr="00F55363" w:rsidRDefault="00DB4EB5" w:rsidP="00DB4EB5">
      <w:pPr>
        <w:pStyle w:val="Bodyafterbullets"/>
      </w:pPr>
      <w:r>
        <w:t xml:space="preserve">The key elements of the Regulatory Approach include: </w:t>
      </w:r>
    </w:p>
    <w:p w14:paraId="7A0EF09E" w14:textId="77777777" w:rsidR="00DB4EB5" w:rsidRDefault="00DB4EB5" w:rsidP="00DB4EB5">
      <w:pPr>
        <w:pStyle w:val="Bullet1"/>
      </w:pPr>
      <w:r>
        <w:t xml:space="preserve">Implementing a robust registration process that will identify risk of harm through assessing suitability, attitude, practice and adherence to organisational requirements. </w:t>
      </w:r>
    </w:p>
    <w:p w14:paraId="2A31DFC6" w14:textId="26F7B66B" w:rsidR="00DB4EB5" w:rsidRDefault="00DB4EB5" w:rsidP="00DB4EB5">
      <w:pPr>
        <w:pStyle w:val="Bullet1"/>
      </w:pPr>
      <w:r>
        <w:t>Support compliance through duty holder guidance and education</w:t>
      </w:r>
      <w:r w:rsidR="00EB5BEE">
        <w:t>.</w:t>
      </w:r>
    </w:p>
    <w:p w14:paraId="56628ADE" w14:textId="790A1B90" w:rsidR="00DB4EB5" w:rsidRDefault="00DB4EB5" w:rsidP="00DB4EB5">
      <w:pPr>
        <w:pStyle w:val="Bullet1"/>
      </w:pPr>
      <w:r>
        <w:t xml:space="preserve">Reduce risk through </w:t>
      </w:r>
      <w:r w:rsidR="003F1481">
        <w:t xml:space="preserve">proactive and planned </w:t>
      </w:r>
      <w:r>
        <w:t>monitoring and responding to incoming information about actual or alleged non-compliance.</w:t>
      </w:r>
      <w:r w:rsidDel="004172AD">
        <w:t xml:space="preserve"> </w:t>
      </w:r>
    </w:p>
    <w:p w14:paraId="5BD9F57D" w14:textId="77777777" w:rsidR="00DB4EB5" w:rsidRDefault="00DB4EB5" w:rsidP="00DB4EB5">
      <w:pPr>
        <w:pStyle w:val="Bullet1"/>
        <w:numPr>
          <w:ilvl w:val="0"/>
          <w:numId w:val="0"/>
        </w:numPr>
        <w:ind w:left="284"/>
      </w:pPr>
    </w:p>
    <w:p w14:paraId="75435A58" w14:textId="26768950" w:rsidR="007F17C2" w:rsidRDefault="004E2ECA" w:rsidP="00DB4EB5">
      <w:pPr>
        <w:pStyle w:val="Bullet1"/>
        <w:numPr>
          <w:ilvl w:val="0"/>
          <w:numId w:val="0"/>
        </w:numPr>
      </w:pPr>
      <w:r>
        <w:t>Under the Act</w:t>
      </w:r>
      <w:r w:rsidR="00605C6E">
        <w:t>,</w:t>
      </w:r>
      <w:r>
        <w:t xml:space="preserve"> service providers have a duty to provide social services that are safe and free from physical, emotional, sexual, and financial abuse, neglect, and exploitation.</w:t>
      </w:r>
      <w:r w:rsidR="003A58D1">
        <w:t xml:space="preserve"> Service providers within scope of the Regulator, depending on organisational scope, will have duties arising from legislation, Social Service Standards, Child Safe Standards, </w:t>
      </w:r>
      <w:r w:rsidR="007F17C2">
        <w:t xml:space="preserve">guidelines and compliance codes. </w:t>
      </w:r>
    </w:p>
    <w:p w14:paraId="53AB9520" w14:textId="7E01516C" w:rsidR="00DB4EB5" w:rsidRDefault="007F17C2" w:rsidP="00DB4EB5">
      <w:pPr>
        <w:pStyle w:val="Bullet1"/>
        <w:numPr>
          <w:ilvl w:val="0"/>
          <w:numId w:val="0"/>
        </w:numPr>
      </w:pPr>
      <w:r>
        <w:t>As these duties arise from a service provider being registered, t</w:t>
      </w:r>
      <w:r w:rsidR="00DB4EB5">
        <w:t>hroughout this document, we</w:t>
      </w:r>
      <w:r>
        <w:t xml:space="preserve"> will</w:t>
      </w:r>
      <w:r w:rsidR="00DB4EB5">
        <w:t xml:space="preserve"> </w:t>
      </w:r>
      <w:r w:rsidR="005B7676">
        <w:t xml:space="preserve">use </w:t>
      </w:r>
      <w:r w:rsidR="00DB4EB5">
        <w:t xml:space="preserve">the term ‘duty </w:t>
      </w:r>
      <w:proofErr w:type="gramStart"/>
      <w:r w:rsidR="00DB4EB5">
        <w:t>holders’</w:t>
      </w:r>
      <w:proofErr w:type="gramEnd"/>
      <w:r w:rsidR="00DB4EB5">
        <w:t xml:space="preserve">. </w:t>
      </w:r>
    </w:p>
    <w:p w14:paraId="569A795A" w14:textId="139D903A" w:rsidR="0018760B" w:rsidRDefault="0018760B" w:rsidP="00DB4EB5">
      <w:pPr>
        <w:pStyle w:val="Bullet1"/>
        <w:numPr>
          <w:ilvl w:val="0"/>
          <w:numId w:val="0"/>
        </w:numPr>
      </w:pPr>
      <w:r w:rsidRPr="0018760B">
        <w:t xml:space="preserve">The </w:t>
      </w:r>
      <w:r>
        <w:t>SSR</w:t>
      </w:r>
      <w:r w:rsidR="002532EF">
        <w:t xml:space="preserve"> will</w:t>
      </w:r>
      <w:r w:rsidRPr="0018760B">
        <w:t xml:space="preserve"> provide duty holders with guidance to </w:t>
      </w:r>
      <w:r w:rsidR="00AA1CBB">
        <w:t>assist them in understanding their obligations</w:t>
      </w:r>
      <w:r w:rsidRPr="0018760B">
        <w:t xml:space="preserve"> and recognises good performers in its </w:t>
      </w:r>
      <w:r w:rsidR="00961B58">
        <w:t xml:space="preserve">risk-based </w:t>
      </w:r>
      <w:r w:rsidRPr="0018760B">
        <w:t>approach to compliance monitoring.</w:t>
      </w:r>
      <w:r w:rsidR="002532EF">
        <w:t xml:space="preserve"> </w:t>
      </w:r>
      <w:r w:rsidRPr="0018760B">
        <w:t xml:space="preserve">There are, however, those </w:t>
      </w:r>
      <w:r w:rsidR="002532EF">
        <w:t xml:space="preserve">duty holders </w:t>
      </w:r>
      <w:r w:rsidRPr="0018760B">
        <w:t xml:space="preserve">who fail to comply and may be deliberately non-compliant. The </w:t>
      </w:r>
      <w:r w:rsidR="0014781B">
        <w:t>S</w:t>
      </w:r>
      <w:r w:rsidRPr="0018760B">
        <w:t>SR responds more firmly and will escalate its compliance and enforcement response if a duty holder is resistant, uncooperative, evasive or does not take responsibility.</w:t>
      </w:r>
    </w:p>
    <w:p w14:paraId="7884C8DC" w14:textId="77777777" w:rsidR="00DB4EB5" w:rsidRDefault="00DB4EB5" w:rsidP="00DB4EB5">
      <w:pPr>
        <w:pStyle w:val="Heading1"/>
      </w:pPr>
      <w:bookmarkStart w:id="5" w:name="_Toc167289974"/>
      <w:bookmarkStart w:id="6" w:name="_Toc170132548"/>
      <w:r w:rsidRPr="00B86987">
        <w:t>Our role</w:t>
      </w:r>
      <w:bookmarkEnd w:id="5"/>
      <w:bookmarkEnd w:id="6"/>
    </w:p>
    <w:p w14:paraId="082E3DD8" w14:textId="27EEE3ED" w:rsidR="005D037F" w:rsidRDefault="00DB4EB5" w:rsidP="005D037F">
      <w:pPr>
        <w:pStyle w:val="Body"/>
      </w:pPr>
      <w:r>
        <w:t xml:space="preserve">The Regulator’s role is to </w:t>
      </w:r>
      <w:r w:rsidRPr="00255C0D">
        <w:t>protect the safety and rights of service users</w:t>
      </w:r>
      <w:r>
        <w:t xml:space="preserve">. The Act and Regulations provide us with a range of powers and regulatory tools to monitor and enforce compliance with that duty. </w:t>
      </w:r>
      <w:r w:rsidR="005D037F">
        <w:t>These powers</w:t>
      </w:r>
      <w:r w:rsidR="00E46529">
        <w:rPr>
          <w:rStyle w:val="FootnoteReference"/>
        </w:rPr>
        <w:footnoteReference w:id="2"/>
      </w:r>
      <w:r w:rsidR="005D037F">
        <w:t xml:space="preserve"> allow us to: </w:t>
      </w:r>
    </w:p>
    <w:p w14:paraId="71072F8D" w14:textId="07277639" w:rsidR="005D037F" w:rsidRDefault="005D037F" w:rsidP="005D037F">
      <w:pPr>
        <w:pStyle w:val="Bullet1"/>
      </w:pPr>
      <w:r>
        <w:t>register social service providers</w:t>
      </w:r>
      <w:r w:rsidR="0059218B">
        <w:rPr>
          <w:rStyle w:val="FootnoteReference"/>
        </w:rPr>
        <w:footnoteReference w:id="3"/>
      </w:r>
    </w:p>
    <w:p w14:paraId="3BB83B3E" w14:textId="0872B3C1" w:rsidR="005D037F" w:rsidRPr="001C6023" w:rsidRDefault="005D037F" w:rsidP="005D037F">
      <w:pPr>
        <w:pStyle w:val="Bullet1"/>
      </w:pPr>
      <w:r>
        <w:t>collect, analyse, and investigate</w:t>
      </w:r>
      <w:r w:rsidR="0080714A">
        <w:rPr>
          <w:rStyle w:val="FootnoteReference"/>
        </w:rPr>
        <w:footnoteReference w:id="4"/>
      </w:r>
      <w:r>
        <w:t xml:space="preserve"> intelligence relating to confirmed or suspected non-compliance through incident reporting or compliance monitoring</w:t>
      </w:r>
    </w:p>
    <w:p w14:paraId="25C59FA7" w14:textId="0CB05A5E" w:rsidR="005D037F" w:rsidRDefault="005D037F" w:rsidP="005D037F">
      <w:pPr>
        <w:pStyle w:val="Bullet1"/>
      </w:pPr>
      <w:r>
        <w:t xml:space="preserve">engage with co-regulators or other oversight bodies in joint regulatory activities and share information </w:t>
      </w:r>
      <w:proofErr w:type="gramStart"/>
      <w:r>
        <w:t>where</w:t>
      </w:r>
      <w:proofErr w:type="gramEnd"/>
      <w:r>
        <w:t xml:space="preserve"> warranted and legally permissible</w:t>
      </w:r>
      <w:r w:rsidR="00CB12A2">
        <w:rPr>
          <w:rStyle w:val="FootnoteReference"/>
        </w:rPr>
        <w:footnoteReference w:id="5"/>
      </w:r>
    </w:p>
    <w:p w14:paraId="298A9340" w14:textId="29D1E757" w:rsidR="005D037F" w:rsidRPr="001C6023" w:rsidRDefault="005D037F" w:rsidP="005D037F">
      <w:pPr>
        <w:pStyle w:val="Bullet1"/>
      </w:pPr>
      <w:r>
        <w:lastRenderedPageBreak/>
        <w:t>investigate, monitor and enforce compliance with statutory obligations under the Social Services Standards and Child Safe Standards</w:t>
      </w:r>
      <w:r w:rsidR="002E4C9F">
        <w:rPr>
          <w:rStyle w:val="FootnoteReference"/>
        </w:rPr>
        <w:footnoteReference w:id="6"/>
      </w:r>
    </w:p>
    <w:p w14:paraId="443FBFF6" w14:textId="1C0C79F4" w:rsidR="005D037F" w:rsidRDefault="005D037F" w:rsidP="005D037F">
      <w:pPr>
        <w:pStyle w:val="Bullet1"/>
      </w:pPr>
      <w:r>
        <w:t>impose, monitor and remove conditions on service provider registration under the Act</w:t>
      </w:r>
      <w:r w:rsidR="00BE3A37">
        <w:rPr>
          <w:rStyle w:val="FootnoteReference"/>
        </w:rPr>
        <w:footnoteReference w:id="7"/>
      </w:r>
    </w:p>
    <w:p w14:paraId="5CB425AB" w14:textId="27440ADD" w:rsidR="005D037F" w:rsidRDefault="005D037F" w:rsidP="005D037F">
      <w:pPr>
        <w:pStyle w:val="Bullet1"/>
      </w:pPr>
      <w:r>
        <w:t>revoke service provider registration under the Act</w:t>
      </w:r>
      <w:r w:rsidR="005F4DB0">
        <w:rPr>
          <w:rStyle w:val="FootnoteReference"/>
        </w:rPr>
        <w:footnoteReference w:id="8"/>
      </w:r>
    </w:p>
    <w:p w14:paraId="06160125" w14:textId="29E3A212" w:rsidR="005D037F" w:rsidRDefault="005D037F" w:rsidP="005D037F">
      <w:pPr>
        <w:pStyle w:val="Bullet1"/>
      </w:pPr>
      <w:r>
        <w:t>Implement and administer the Worker Carer Exclusion Scheme under the Act</w:t>
      </w:r>
      <w:r w:rsidR="00A13436">
        <w:rPr>
          <w:rStyle w:val="FootnoteReference"/>
        </w:rPr>
        <w:footnoteReference w:id="9"/>
      </w:r>
      <w:r w:rsidR="00DA0B1F">
        <w:t>.</w:t>
      </w:r>
    </w:p>
    <w:p w14:paraId="403D3BDC" w14:textId="15368AC3" w:rsidR="005D037F" w:rsidRDefault="005D037F" w:rsidP="00DB4EB5">
      <w:pPr>
        <w:pStyle w:val="Body"/>
      </w:pPr>
    </w:p>
    <w:p w14:paraId="539BF670" w14:textId="77777777" w:rsidR="00DB4EB5" w:rsidRDefault="00DB4EB5" w:rsidP="00DB4EB5">
      <w:pPr>
        <w:pStyle w:val="Heading2"/>
      </w:pPr>
      <w:bookmarkStart w:id="7" w:name="_Toc74671603"/>
      <w:bookmarkStart w:id="8" w:name="_Toc83824872"/>
      <w:bookmarkStart w:id="9" w:name="_Toc167289975"/>
      <w:bookmarkStart w:id="10" w:name="_Toc170132549"/>
      <w:r>
        <w:t>Our expectation of duty holders</w:t>
      </w:r>
      <w:bookmarkEnd w:id="7"/>
      <w:bookmarkEnd w:id="8"/>
      <w:bookmarkEnd w:id="9"/>
      <w:bookmarkEnd w:id="10"/>
    </w:p>
    <w:p w14:paraId="214A12A9" w14:textId="77777777" w:rsidR="00DB4EB5" w:rsidRPr="00E20043" w:rsidRDefault="00DB4EB5" w:rsidP="00DB4EB5">
      <w:pPr>
        <w:pStyle w:val="Body"/>
      </w:pPr>
      <w:r w:rsidRPr="002F2641">
        <w:t xml:space="preserve">The responsibility for compliance will always rest with the duty holder. </w:t>
      </w:r>
      <w:r>
        <w:t>The Regulator</w:t>
      </w:r>
      <w:r w:rsidRPr="00A10CD9">
        <w:t xml:space="preserve"> expects </w:t>
      </w:r>
      <w:r>
        <w:t>duty holder</w:t>
      </w:r>
      <w:r w:rsidRPr="00E20043">
        <w:t xml:space="preserve">s </w:t>
      </w:r>
      <w:r w:rsidRPr="00023220">
        <w:t xml:space="preserve">to </w:t>
      </w:r>
      <w:r w:rsidRPr="00A10CD9">
        <w:t>comply</w:t>
      </w:r>
      <w:r w:rsidRPr="00E20043">
        <w:t xml:space="preserve"> with their obligations</w:t>
      </w:r>
      <w:r>
        <w:t>,</w:t>
      </w:r>
      <w:r w:rsidRPr="00E20043">
        <w:t xml:space="preserve"> and </w:t>
      </w:r>
      <w:r>
        <w:t xml:space="preserve">to </w:t>
      </w:r>
      <w:r w:rsidRPr="00E20043">
        <w:t>engage in the following practices:</w:t>
      </w:r>
    </w:p>
    <w:p w14:paraId="31BAAD6B" w14:textId="58371FB2" w:rsidR="00DB4EB5" w:rsidRPr="00E20043" w:rsidRDefault="00DB4EB5" w:rsidP="009167F4">
      <w:pPr>
        <w:pStyle w:val="ListParagraph"/>
        <w:numPr>
          <w:ilvl w:val="0"/>
          <w:numId w:val="7"/>
        </w:numPr>
        <w:rPr>
          <w:rFonts w:ascii="Arial" w:hAnsi="Arial" w:cs="Arial"/>
          <w:sz w:val="21"/>
          <w:szCs w:val="21"/>
        </w:rPr>
      </w:pPr>
      <w:r>
        <w:rPr>
          <w:rFonts w:ascii="Arial" w:hAnsi="Arial" w:cs="Arial"/>
          <w:sz w:val="21"/>
          <w:szCs w:val="21"/>
        </w:rPr>
        <w:t xml:space="preserve">review and understand guidelines, guidance and compliance codes </w:t>
      </w:r>
      <w:r w:rsidR="00961B58">
        <w:rPr>
          <w:rFonts w:ascii="Arial" w:hAnsi="Arial" w:cs="Arial"/>
          <w:sz w:val="21"/>
          <w:szCs w:val="21"/>
        </w:rPr>
        <w:t>published</w:t>
      </w:r>
      <w:r>
        <w:rPr>
          <w:rFonts w:ascii="Arial" w:hAnsi="Arial" w:cs="Arial"/>
          <w:sz w:val="21"/>
          <w:szCs w:val="21"/>
        </w:rPr>
        <w:t xml:space="preserve"> by the Regulator</w:t>
      </w:r>
    </w:p>
    <w:p w14:paraId="619BBB69" w14:textId="77777777" w:rsidR="00DB4EB5" w:rsidRPr="00E20043" w:rsidRDefault="00DB4EB5" w:rsidP="009167F4">
      <w:pPr>
        <w:pStyle w:val="ListParagraph"/>
        <w:numPr>
          <w:ilvl w:val="0"/>
          <w:numId w:val="7"/>
        </w:numPr>
        <w:rPr>
          <w:rFonts w:ascii="Arial" w:hAnsi="Arial" w:cs="Arial"/>
          <w:sz w:val="21"/>
          <w:szCs w:val="21"/>
        </w:rPr>
      </w:pPr>
      <w:r w:rsidRPr="00E20043">
        <w:rPr>
          <w:rFonts w:ascii="Arial" w:hAnsi="Arial" w:cs="Arial"/>
          <w:sz w:val="21"/>
          <w:szCs w:val="21"/>
        </w:rPr>
        <w:t xml:space="preserve">continuously work to maintain </w:t>
      </w:r>
      <w:r>
        <w:rPr>
          <w:rFonts w:ascii="Arial" w:hAnsi="Arial" w:cs="Arial"/>
          <w:sz w:val="21"/>
          <w:szCs w:val="21"/>
        </w:rPr>
        <w:t xml:space="preserve">safe </w:t>
      </w:r>
      <w:r w:rsidRPr="00E20043">
        <w:rPr>
          <w:rFonts w:ascii="Arial" w:hAnsi="Arial" w:cs="Arial"/>
          <w:sz w:val="21"/>
          <w:szCs w:val="21"/>
        </w:rPr>
        <w:t xml:space="preserve">service </w:t>
      </w:r>
      <w:r>
        <w:rPr>
          <w:rFonts w:ascii="Arial" w:hAnsi="Arial" w:cs="Arial"/>
          <w:sz w:val="21"/>
          <w:szCs w:val="21"/>
        </w:rPr>
        <w:t>delivery and</w:t>
      </w:r>
      <w:r w:rsidRPr="00E20043">
        <w:rPr>
          <w:rFonts w:ascii="Arial" w:hAnsi="Arial" w:cs="Arial"/>
          <w:sz w:val="21"/>
          <w:szCs w:val="21"/>
        </w:rPr>
        <w:t xml:space="preserve"> quality</w:t>
      </w:r>
    </w:p>
    <w:p w14:paraId="2E71874F" w14:textId="77777777" w:rsidR="00DB4EB5" w:rsidRPr="00E20043" w:rsidRDefault="00DB4EB5" w:rsidP="009167F4">
      <w:pPr>
        <w:pStyle w:val="ListParagraph"/>
        <w:numPr>
          <w:ilvl w:val="0"/>
          <w:numId w:val="7"/>
        </w:numPr>
        <w:rPr>
          <w:rFonts w:ascii="Arial" w:hAnsi="Arial" w:cs="Arial"/>
          <w:sz w:val="21"/>
          <w:szCs w:val="21"/>
        </w:rPr>
      </w:pPr>
      <w:r w:rsidRPr="00E20043">
        <w:rPr>
          <w:rFonts w:ascii="Arial" w:hAnsi="Arial" w:cs="Arial"/>
          <w:sz w:val="21"/>
          <w:szCs w:val="21"/>
        </w:rPr>
        <w:t>engag</w:t>
      </w:r>
      <w:r>
        <w:rPr>
          <w:rFonts w:ascii="Arial" w:hAnsi="Arial" w:cs="Arial"/>
          <w:sz w:val="21"/>
          <w:szCs w:val="21"/>
        </w:rPr>
        <w:t>e</w:t>
      </w:r>
      <w:r w:rsidRPr="00E20043">
        <w:rPr>
          <w:rFonts w:ascii="Arial" w:hAnsi="Arial" w:cs="Arial"/>
          <w:sz w:val="21"/>
          <w:szCs w:val="21"/>
        </w:rPr>
        <w:t xml:space="preserve"> and cooperat</w:t>
      </w:r>
      <w:r>
        <w:rPr>
          <w:rFonts w:ascii="Arial" w:hAnsi="Arial" w:cs="Arial"/>
          <w:sz w:val="21"/>
          <w:szCs w:val="21"/>
        </w:rPr>
        <w:t>e</w:t>
      </w:r>
      <w:r w:rsidRPr="00E20043">
        <w:rPr>
          <w:rFonts w:ascii="Arial" w:hAnsi="Arial" w:cs="Arial"/>
          <w:sz w:val="21"/>
          <w:szCs w:val="21"/>
        </w:rPr>
        <w:t xml:space="preserve"> with the </w:t>
      </w:r>
      <w:r>
        <w:rPr>
          <w:rFonts w:ascii="Arial" w:hAnsi="Arial" w:cs="Arial"/>
          <w:sz w:val="21"/>
          <w:szCs w:val="21"/>
        </w:rPr>
        <w:t>Regulator</w:t>
      </w:r>
    </w:p>
    <w:p w14:paraId="5460A535" w14:textId="77777777" w:rsidR="00DB4EB5" w:rsidRPr="00E20043" w:rsidRDefault="00DB4EB5" w:rsidP="009167F4">
      <w:pPr>
        <w:pStyle w:val="ListParagraph"/>
        <w:numPr>
          <w:ilvl w:val="0"/>
          <w:numId w:val="7"/>
        </w:numPr>
        <w:rPr>
          <w:rFonts w:ascii="Arial" w:hAnsi="Arial" w:cs="Arial"/>
          <w:sz w:val="21"/>
          <w:szCs w:val="21"/>
        </w:rPr>
      </w:pPr>
      <w:r w:rsidRPr="00E20043">
        <w:rPr>
          <w:rFonts w:ascii="Arial" w:hAnsi="Arial" w:cs="Arial"/>
          <w:sz w:val="21"/>
          <w:szCs w:val="21"/>
        </w:rPr>
        <w:t>hav</w:t>
      </w:r>
      <w:r>
        <w:rPr>
          <w:rFonts w:ascii="Arial" w:hAnsi="Arial" w:cs="Arial"/>
          <w:sz w:val="21"/>
          <w:szCs w:val="21"/>
        </w:rPr>
        <w:t>e</w:t>
      </w:r>
      <w:r w:rsidRPr="00E20043">
        <w:rPr>
          <w:rFonts w:ascii="Arial" w:hAnsi="Arial" w:cs="Arial"/>
          <w:sz w:val="21"/>
          <w:szCs w:val="21"/>
        </w:rPr>
        <w:t xml:space="preserve"> processes in place to identify, manage, mitigate and communicate risks</w:t>
      </w:r>
    </w:p>
    <w:p w14:paraId="1AAED559" w14:textId="77777777" w:rsidR="00DB4EB5" w:rsidRPr="00E20043" w:rsidRDefault="00DB4EB5" w:rsidP="009167F4">
      <w:pPr>
        <w:pStyle w:val="ListParagraph"/>
        <w:numPr>
          <w:ilvl w:val="0"/>
          <w:numId w:val="7"/>
        </w:numPr>
        <w:rPr>
          <w:rFonts w:ascii="Arial" w:hAnsi="Arial" w:cs="Arial"/>
          <w:sz w:val="21"/>
          <w:szCs w:val="21"/>
        </w:rPr>
      </w:pPr>
      <w:r w:rsidRPr="00E20043">
        <w:rPr>
          <w:rFonts w:ascii="Arial" w:hAnsi="Arial" w:cs="Arial"/>
          <w:sz w:val="21"/>
          <w:szCs w:val="21"/>
        </w:rPr>
        <w:t>seek feedback from and act on complaints by clients, family members, carers</w:t>
      </w:r>
      <w:r>
        <w:rPr>
          <w:rFonts w:ascii="Arial" w:hAnsi="Arial" w:cs="Arial"/>
          <w:sz w:val="21"/>
          <w:szCs w:val="21"/>
        </w:rPr>
        <w:t>, guardians</w:t>
      </w:r>
      <w:r w:rsidRPr="00E20043">
        <w:rPr>
          <w:rFonts w:ascii="Arial" w:hAnsi="Arial" w:cs="Arial"/>
          <w:sz w:val="21"/>
          <w:szCs w:val="21"/>
        </w:rPr>
        <w:t xml:space="preserve"> and community visitors</w:t>
      </w:r>
    </w:p>
    <w:p w14:paraId="403B6ACF" w14:textId="6BF9C8AA" w:rsidR="00DB4EB5" w:rsidRPr="00E20043" w:rsidRDefault="00DB4EB5" w:rsidP="009167F4">
      <w:pPr>
        <w:pStyle w:val="ListParagraph"/>
        <w:numPr>
          <w:ilvl w:val="0"/>
          <w:numId w:val="7"/>
        </w:numPr>
        <w:rPr>
          <w:rFonts w:ascii="Arial" w:hAnsi="Arial" w:cs="Arial"/>
          <w:sz w:val="21"/>
          <w:szCs w:val="21"/>
        </w:rPr>
      </w:pPr>
      <w:r w:rsidRPr="00253E3B">
        <w:rPr>
          <w:rFonts w:ascii="Arial" w:hAnsi="Arial" w:cs="Arial"/>
          <w:sz w:val="21"/>
          <w:szCs w:val="21"/>
        </w:rPr>
        <w:t>seek out relevant information and stay up to date with changing industry</w:t>
      </w:r>
      <w:r w:rsidRPr="002F2641">
        <w:t xml:space="preserve"> </w:t>
      </w:r>
      <w:r w:rsidRPr="00253E3B">
        <w:rPr>
          <w:rFonts w:ascii="Arial" w:hAnsi="Arial" w:cs="Arial"/>
          <w:sz w:val="21"/>
          <w:szCs w:val="21"/>
        </w:rPr>
        <w:t>practices</w:t>
      </w:r>
      <w:r w:rsidR="00F22580">
        <w:rPr>
          <w:rFonts w:ascii="Arial" w:hAnsi="Arial" w:cs="Arial"/>
          <w:sz w:val="21"/>
          <w:szCs w:val="21"/>
        </w:rPr>
        <w:t>.</w:t>
      </w:r>
    </w:p>
    <w:p w14:paraId="427D58DF" w14:textId="77777777" w:rsidR="00DB4EB5" w:rsidRDefault="00DB4EB5" w:rsidP="00DB4EB5">
      <w:pPr>
        <w:pStyle w:val="Bodyafterbullets"/>
      </w:pPr>
      <w:r w:rsidRPr="00023220">
        <w:t xml:space="preserve">The </w:t>
      </w:r>
      <w:r>
        <w:t>Regulator</w:t>
      </w:r>
      <w:r w:rsidRPr="00023220">
        <w:t xml:space="preserve"> understands that many </w:t>
      </w:r>
      <w:r>
        <w:t>duty holder</w:t>
      </w:r>
      <w:r w:rsidRPr="00023220">
        <w:t>s want to comply with regulatory requirements and are seeking to improve their practice as part of delivering quality services.</w:t>
      </w:r>
    </w:p>
    <w:p w14:paraId="5DC73C66" w14:textId="77777777" w:rsidR="00DB4EB5" w:rsidRPr="00E20043" w:rsidRDefault="00DB4EB5" w:rsidP="00DB4EB5">
      <w:pPr>
        <w:pStyle w:val="Bodyafterbullets"/>
        <w:rPr>
          <w:noProof/>
          <w:lang w:val="en-US"/>
        </w:rPr>
      </w:pPr>
      <w:r w:rsidRPr="00023220">
        <w:t xml:space="preserve">The </w:t>
      </w:r>
      <w:r>
        <w:t>Regulator</w:t>
      </w:r>
      <w:r w:rsidRPr="00E20043">
        <w:t xml:space="preserve"> provides </w:t>
      </w:r>
      <w:r>
        <w:t>duty holder</w:t>
      </w:r>
      <w:r w:rsidRPr="00E20043">
        <w:t xml:space="preserve">s with guidance to improve compliance and recognises good performers in its approach to compliance monitoring. </w:t>
      </w:r>
    </w:p>
    <w:p w14:paraId="3F6509A5" w14:textId="77777777" w:rsidR="00DB4EB5" w:rsidRPr="00E20043" w:rsidRDefault="00DB4EB5" w:rsidP="00DB4EB5">
      <w:pPr>
        <w:pStyle w:val="Body"/>
      </w:pPr>
      <w:r w:rsidRPr="00E20043">
        <w:t>There are</w:t>
      </w:r>
      <w:r>
        <w:t>,</w:t>
      </w:r>
      <w:r w:rsidRPr="00E20043">
        <w:t xml:space="preserve"> however, those who fail to comply and may be deliberately non-compliant. </w:t>
      </w:r>
      <w:r>
        <w:t>The Regulator</w:t>
      </w:r>
      <w:r w:rsidRPr="00E20043">
        <w:t xml:space="preserve"> responds more firmly and will escalate its compliance and enforcement response if a </w:t>
      </w:r>
      <w:r>
        <w:t>duty holder</w:t>
      </w:r>
      <w:r w:rsidRPr="00E20043">
        <w:t xml:space="preserve"> is resistant, uncooperative, evasive or does not take responsibility.</w:t>
      </w:r>
    </w:p>
    <w:p w14:paraId="222FCAB2" w14:textId="77777777" w:rsidR="00DB4EB5" w:rsidRPr="003A2EF9" w:rsidRDefault="00DB4EB5" w:rsidP="00DB4EB5">
      <w:pPr>
        <w:pStyle w:val="Bullet1"/>
        <w:numPr>
          <w:ilvl w:val="0"/>
          <w:numId w:val="0"/>
        </w:numPr>
        <w:ind w:left="284" w:hanging="284"/>
      </w:pPr>
    </w:p>
    <w:p w14:paraId="1E7FDAA5" w14:textId="77777777" w:rsidR="00DB4EB5" w:rsidRDefault="00DB4EB5" w:rsidP="00DB4EB5">
      <w:pPr>
        <w:pStyle w:val="Heading1"/>
      </w:pPr>
      <w:bookmarkStart w:id="11" w:name="_Toc167289976"/>
      <w:bookmarkStart w:id="12" w:name="_Toc170132550"/>
      <w:r w:rsidRPr="009650CE">
        <w:t>Minimising harm</w:t>
      </w:r>
      <w:bookmarkEnd w:id="11"/>
      <w:bookmarkEnd w:id="12"/>
    </w:p>
    <w:p w14:paraId="29F3A676" w14:textId="77777777" w:rsidR="00DB4EB5" w:rsidRDefault="00DB4EB5" w:rsidP="00DB4EB5">
      <w:pPr>
        <w:pStyle w:val="Bodyaftertablefigure"/>
      </w:pPr>
      <w:r>
        <w:t xml:space="preserve">One of the Regulator’s primary objectives is to minimise risks of avoidable harm caused by abuse, exploitation or neglect in connection with the delivery of social services. The types of harm we seek to prevent, minimise and where possible, eliminate include but are not limited to: </w:t>
      </w:r>
    </w:p>
    <w:p w14:paraId="0345D164" w14:textId="77777777" w:rsidR="00DB4EB5" w:rsidRDefault="00DB4EB5" w:rsidP="00DB4EB5">
      <w:pPr>
        <w:pStyle w:val="Bullet1"/>
      </w:pPr>
      <w:r>
        <w:t xml:space="preserve">physical </w:t>
      </w:r>
    </w:p>
    <w:p w14:paraId="287E989C" w14:textId="77777777" w:rsidR="00DB4EB5" w:rsidRDefault="00DB4EB5" w:rsidP="00DB4EB5">
      <w:pPr>
        <w:pStyle w:val="Bullet1"/>
      </w:pPr>
      <w:r>
        <w:t>sexual</w:t>
      </w:r>
    </w:p>
    <w:p w14:paraId="1BB163C1" w14:textId="77777777" w:rsidR="00DB4EB5" w:rsidRDefault="00DB4EB5" w:rsidP="00DB4EB5">
      <w:pPr>
        <w:pStyle w:val="Bullet1"/>
      </w:pPr>
      <w:r>
        <w:t>emotional</w:t>
      </w:r>
    </w:p>
    <w:p w14:paraId="7F4CADBD" w14:textId="77777777" w:rsidR="00DB4EB5" w:rsidRDefault="00DB4EB5" w:rsidP="00DB4EB5">
      <w:pPr>
        <w:pStyle w:val="Bullet1"/>
      </w:pPr>
      <w:r>
        <w:t>psychological</w:t>
      </w:r>
    </w:p>
    <w:p w14:paraId="3BB22891" w14:textId="77777777" w:rsidR="00DB4EB5" w:rsidRDefault="00DB4EB5" w:rsidP="00DB4EB5">
      <w:pPr>
        <w:pStyle w:val="Bullet1"/>
      </w:pPr>
      <w:r>
        <w:t>financial</w:t>
      </w:r>
    </w:p>
    <w:p w14:paraId="3CCB14B9" w14:textId="77777777" w:rsidR="00DB4EB5" w:rsidRDefault="00DB4EB5" w:rsidP="00DB4EB5">
      <w:pPr>
        <w:pStyle w:val="Bullet1"/>
      </w:pPr>
      <w:r>
        <w:t>cultural.</w:t>
      </w:r>
    </w:p>
    <w:p w14:paraId="55E6D313" w14:textId="77777777" w:rsidR="00DB4EB5" w:rsidRDefault="00DB4EB5" w:rsidP="00DB4EB5">
      <w:pPr>
        <w:pStyle w:val="Bodyafterbullets"/>
      </w:pPr>
      <w:r>
        <w:t xml:space="preserve">We also respond to harm or risks of harm caused by neglect and exploitation. </w:t>
      </w:r>
    </w:p>
    <w:p w14:paraId="133C5FE3" w14:textId="03C2B629" w:rsidR="00DB4EB5" w:rsidRDefault="00DB4EB5" w:rsidP="00DB4EB5">
      <w:pPr>
        <w:pStyle w:val="Body"/>
      </w:pPr>
      <w:r>
        <w:lastRenderedPageBreak/>
        <w:t>In directing its regulatory efforts</w:t>
      </w:r>
      <w:r w:rsidR="00702137">
        <w:t>,</w:t>
      </w:r>
      <w:r>
        <w:t xml:space="preserve"> the Regulator will prioritise </w:t>
      </w:r>
      <w:r w:rsidR="006827C2">
        <w:t>risks</w:t>
      </w:r>
      <w:r w:rsidR="007212A5">
        <w:t xml:space="preserve"> or instances</w:t>
      </w:r>
      <w:r w:rsidR="006827C2">
        <w:t xml:space="preserve"> </w:t>
      </w:r>
      <w:r>
        <w:t>of ‘Serious harm’. ‘Serious harm’ is defined under the Act as harm, whether a single instance of harm or repeated or persistent instances of harm, that results in one or more of the following:</w:t>
      </w:r>
    </w:p>
    <w:p w14:paraId="0E375518" w14:textId="77777777" w:rsidR="00DB4EB5" w:rsidRDefault="00DB4EB5" w:rsidP="00DB4EB5">
      <w:pPr>
        <w:pStyle w:val="Bullet1"/>
      </w:pPr>
      <w:r>
        <w:t>death</w:t>
      </w:r>
    </w:p>
    <w:p w14:paraId="7BC83416" w14:textId="77777777" w:rsidR="00DB4EB5" w:rsidRDefault="00DB4EB5" w:rsidP="00DB4EB5">
      <w:pPr>
        <w:pStyle w:val="Bullet1"/>
      </w:pPr>
      <w:r>
        <w:t>loss of a foetus</w:t>
      </w:r>
    </w:p>
    <w:p w14:paraId="4A831CF0" w14:textId="77777777" w:rsidR="00DB4EB5" w:rsidRDefault="00DB4EB5" w:rsidP="00DB4EB5">
      <w:pPr>
        <w:pStyle w:val="Bullet1"/>
      </w:pPr>
      <w:r>
        <w:t>permanent or long-term serious impairment</w:t>
      </w:r>
    </w:p>
    <w:p w14:paraId="22FA0139" w14:textId="77777777" w:rsidR="00DB4EB5" w:rsidRDefault="00DB4EB5" w:rsidP="00DB4EB5">
      <w:pPr>
        <w:pStyle w:val="Bullet1"/>
      </w:pPr>
      <w:r>
        <w:t xml:space="preserve">permanent or long-term serious disfigurement </w:t>
      </w:r>
    </w:p>
    <w:p w14:paraId="6C0DBFF8" w14:textId="77777777" w:rsidR="00DB4EB5" w:rsidRDefault="00DB4EB5" w:rsidP="00DB4EB5">
      <w:pPr>
        <w:pStyle w:val="Bullet1"/>
      </w:pPr>
      <w:r>
        <w:t>permanent or long-term severe psychological injury or developmental delay.</w:t>
      </w:r>
    </w:p>
    <w:p w14:paraId="668A8C3F" w14:textId="77777777" w:rsidR="00DB4EB5" w:rsidRDefault="00DB4EB5" w:rsidP="00DB4EB5">
      <w:pPr>
        <w:pStyle w:val="Bodyafterbullets"/>
      </w:pPr>
      <w:r>
        <w:t>This definition is used for various purposes under the regulatory framework and is also used by the Regulator when assessing risk before determining a compliance and enforcement response.</w:t>
      </w:r>
    </w:p>
    <w:p w14:paraId="6C33302A" w14:textId="77777777" w:rsidR="00DB4EB5" w:rsidRDefault="00DB4EB5" w:rsidP="00DB4EB5">
      <w:pPr>
        <w:pStyle w:val="Heading1"/>
      </w:pPr>
      <w:bookmarkStart w:id="13" w:name="_Toc167289977"/>
      <w:bookmarkStart w:id="14" w:name="_Toc170132551"/>
      <w:r w:rsidRPr="009650CE">
        <w:t>Assessing risk</w:t>
      </w:r>
      <w:bookmarkEnd w:id="13"/>
      <w:bookmarkEnd w:id="14"/>
    </w:p>
    <w:p w14:paraId="02CBAEF3" w14:textId="77777777" w:rsidR="00DB4EB5" w:rsidRPr="001E2E84" w:rsidRDefault="00DB4EB5" w:rsidP="00DB4EB5">
      <w:pPr>
        <w:pStyle w:val="Body"/>
      </w:pPr>
      <w:r w:rsidRPr="001E2E84">
        <w:t xml:space="preserve">Our </w:t>
      </w:r>
      <w:r>
        <w:t xml:space="preserve">graduated, </w:t>
      </w:r>
      <w:r w:rsidRPr="001E2E84">
        <w:t xml:space="preserve">risk-based approach uses </w:t>
      </w:r>
      <w:r>
        <w:t xml:space="preserve">compliance </w:t>
      </w:r>
      <w:r w:rsidRPr="001E2E84">
        <w:t xml:space="preserve">monitoring data and intelligence to analyse the likelihood of risks occurring and their </w:t>
      </w:r>
      <w:r>
        <w:t>harm</w:t>
      </w:r>
      <w:r w:rsidRPr="001E2E84">
        <w:t xml:space="preserve"> to determine effective and proportionate regulatory responses</w:t>
      </w:r>
      <w:r>
        <w:t xml:space="preserve"> to non-compliance</w:t>
      </w:r>
      <w:r w:rsidRPr="001E2E84">
        <w:t xml:space="preserve">. </w:t>
      </w:r>
    </w:p>
    <w:p w14:paraId="5B036523" w14:textId="77777777" w:rsidR="00DB4EB5" w:rsidRPr="006B5CA6" w:rsidRDefault="00DB4EB5" w:rsidP="00DB4EB5">
      <w:pPr>
        <w:pStyle w:val="Body"/>
      </w:pPr>
      <w:r w:rsidRPr="006C5E22">
        <w:t>To</w:t>
      </w:r>
      <w:r>
        <w:t xml:space="preserve"> </w:t>
      </w:r>
      <w:r w:rsidRPr="006C5E22">
        <w:t xml:space="preserve">assess </w:t>
      </w:r>
      <w:r>
        <w:t>non-compliance</w:t>
      </w:r>
      <w:r w:rsidRPr="006C5E22">
        <w:t>, we analyse the:</w:t>
      </w:r>
    </w:p>
    <w:p w14:paraId="2C4BC6C9" w14:textId="77777777" w:rsidR="00DB4EB5" w:rsidRPr="006C5E22" w:rsidRDefault="00DB4EB5" w:rsidP="00DB4EB5">
      <w:pPr>
        <w:pStyle w:val="Bullet1"/>
      </w:pPr>
      <w:r w:rsidRPr="006C5E22">
        <w:rPr>
          <w:b/>
        </w:rPr>
        <w:t>consequence of harm</w:t>
      </w:r>
      <w:r w:rsidRPr="006C5E22">
        <w:t xml:space="preserve"> – the severity of potential or actual impact of harm on </w:t>
      </w:r>
      <w:r w:rsidRPr="00C423CF">
        <w:t xml:space="preserve">service users </w:t>
      </w:r>
    </w:p>
    <w:p w14:paraId="7215DA0B" w14:textId="77777777" w:rsidR="00DB4EB5" w:rsidRDefault="00DB4EB5" w:rsidP="00DB4EB5">
      <w:pPr>
        <w:pStyle w:val="Bullet1"/>
      </w:pPr>
      <w:r w:rsidRPr="001476EA">
        <w:rPr>
          <w:b/>
        </w:rPr>
        <w:t>likelihood of harm occurring or continuing</w:t>
      </w:r>
      <w:r w:rsidRPr="001476EA">
        <w:t xml:space="preserve"> – how likely it is that the duty holder will breach their obligations, based on their compliance history, systems in place to identify and manage risk, capability to manage risk, the resources they dedicate to risk management and compliance attitude. </w:t>
      </w:r>
    </w:p>
    <w:p w14:paraId="4B5ACDB5" w14:textId="77777777" w:rsidR="00DB4EB5" w:rsidRPr="00BA6632" w:rsidRDefault="00DB4EB5" w:rsidP="00DB4EB5">
      <w:pPr>
        <w:pStyle w:val="Bodyafterbullets"/>
        <w:rPr>
          <w:b/>
          <w:bCs/>
        </w:rPr>
      </w:pPr>
      <w:r>
        <w:t xml:space="preserve">We also consider </w:t>
      </w:r>
      <w:r>
        <w:rPr>
          <w:b/>
          <w:bCs/>
        </w:rPr>
        <w:t>duty holder attitude and culpability</w:t>
      </w:r>
      <w:r>
        <w:t xml:space="preserve"> as part of assessing risk. Culpability refers to the level of responsibility and attitude a duty holder displays in relation to risk, harm, and non-compliance. </w:t>
      </w:r>
    </w:p>
    <w:p w14:paraId="75928060" w14:textId="0DF8F7CB" w:rsidR="00DB4EB5" w:rsidRPr="00285D2B" w:rsidRDefault="00DB4EB5" w:rsidP="00DB4EB5">
      <w:pPr>
        <w:pStyle w:val="Bodyafterbullets"/>
      </w:pPr>
      <w:r>
        <w:t xml:space="preserve">These three elements form the Regulator’s overall assessment of non-compliance for each matter the Regulator receives within jurisdiction. The </w:t>
      </w:r>
      <w:r w:rsidRPr="00FF669D">
        <w:rPr>
          <w:b/>
          <w:bCs/>
        </w:rPr>
        <w:t xml:space="preserve">overall risk </w:t>
      </w:r>
      <w:r w:rsidRPr="00403E1F">
        <w:t>rating</w:t>
      </w:r>
      <w:r>
        <w:t xml:space="preserve"> guides how we apply our compliance and enforcement powers in a </w:t>
      </w:r>
      <w:r w:rsidR="00A23DEF">
        <w:t xml:space="preserve">predictable and </w:t>
      </w:r>
      <w:r>
        <w:t xml:space="preserve">proportionate manner. </w:t>
      </w:r>
    </w:p>
    <w:p w14:paraId="1053EB19" w14:textId="77777777" w:rsidR="00DB4EB5" w:rsidRDefault="00DB4EB5" w:rsidP="00DB4EB5">
      <w:pPr>
        <w:pStyle w:val="Heading2"/>
      </w:pPr>
      <w:bookmarkStart w:id="15" w:name="_Toc167289978"/>
      <w:bookmarkStart w:id="16" w:name="_Toc170132552"/>
      <w:r>
        <w:t>Consequence of harm</w:t>
      </w:r>
      <w:bookmarkEnd w:id="15"/>
      <w:bookmarkEnd w:id="16"/>
    </w:p>
    <w:p w14:paraId="7E6EDA3F" w14:textId="77777777" w:rsidR="00DB4EB5" w:rsidRPr="00C423CF" w:rsidRDefault="00DB4EB5" w:rsidP="00DB4EB5">
      <w:pPr>
        <w:pStyle w:val="Bodyafterbullets"/>
      </w:pPr>
      <w:r w:rsidRPr="00C423CF">
        <w:t>There are two key components</w:t>
      </w:r>
      <w:r>
        <w:t xml:space="preserve"> the Regulator considers</w:t>
      </w:r>
      <w:r w:rsidRPr="00C423CF">
        <w:t xml:space="preserve"> in the assessment of consequences of harm:</w:t>
      </w:r>
    </w:p>
    <w:p w14:paraId="7DB79D9E" w14:textId="77777777" w:rsidR="00DB4EB5" w:rsidRPr="00C423CF" w:rsidRDefault="00DB4EB5" w:rsidP="00DB4EB5">
      <w:pPr>
        <w:pStyle w:val="Bullet1"/>
      </w:pPr>
      <w:r w:rsidRPr="00C423CF">
        <w:t>identifying and assessing risk type</w:t>
      </w:r>
    </w:p>
    <w:p w14:paraId="0826A49F" w14:textId="77777777" w:rsidR="00DB4EB5" w:rsidRPr="00C423CF" w:rsidRDefault="00DB4EB5" w:rsidP="00DB4EB5">
      <w:pPr>
        <w:pStyle w:val="Bullet1"/>
      </w:pPr>
      <w:r w:rsidRPr="00C423CF">
        <w:t>identifying and assessing harm.</w:t>
      </w:r>
    </w:p>
    <w:p w14:paraId="4D8622BB" w14:textId="77777777" w:rsidR="00DB4EB5" w:rsidRPr="00C423CF" w:rsidRDefault="00DB4EB5" w:rsidP="00DB4EB5">
      <w:pPr>
        <w:pStyle w:val="Bodyafterbullets"/>
      </w:pPr>
      <w:r w:rsidRPr="00C423CF">
        <w:t>Risk can injure people in multiple ways</w:t>
      </w:r>
      <w:r>
        <w:t xml:space="preserve">. </w:t>
      </w:r>
      <w:r w:rsidRPr="00C423CF">
        <w:t>Often, the degree of harm to a person may worsen over time or be dependent on the individual. Therefore, the Regulator’s assessment of the consequences of harm considers both actual harm and potential for harm</w:t>
      </w:r>
      <w:r>
        <w:t xml:space="preserve"> in each individual matter</w:t>
      </w:r>
      <w:r w:rsidRPr="00C423CF">
        <w:t xml:space="preserve">. </w:t>
      </w:r>
    </w:p>
    <w:p w14:paraId="2DEF37E7" w14:textId="77777777" w:rsidR="00DB4EB5" w:rsidRPr="001209AA" w:rsidRDefault="00DB4EB5" w:rsidP="00DB4EB5">
      <w:pPr>
        <w:pStyle w:val="Bodyafterbullets"/>
      </w:pPr>
      <w:r w:rsidRPr="009650CE">
        <w:t xml:space="preserve">Table </w:t>
      </w:r>
      <w:r>
        <w:t xml:space="preserve">1 provides a guide on the scale of harm or the consequences of harm the Regulator considers when it is determining the overall risk of a matter. </w:t>
      </w:r>
    </w:p>
    <w:p w14:paraId="4D4055D6" w14:textId="77777777" w:rsidR="00DB4EB5" w:rsidRPr="006E28C4" w:rsidRDefault="00DB4EB5" w:rsidP="00DB4EB5">
      <w:pPr>
        <w:pStyle w:val="Tablecaption"/>
      </w:pPr>
      <w:bookmarkStart w:id="17" w:name="_Ref84383010"/>
      <w:r w:rsidRPr="009650CE">
        <w:t xml:space="preserve">Table </w:t>
      </w:r>
      <w:bookmarkEnd w:id="17"/>
      <w:r w:rsidRPr="009650CE">
        <w:t>1: Assessing consequence</w:t>
      </w:r>
    </w:p>
    <w:tbl>
      <w:tblPr>
        <w:tblStyle w:val="HRS2table"/>
        <w:tblW w:w="0" w:type="auto"/>
        <w:tblLook w:val="04A0" w:firstRow="1" w:lastRow="0" w:firstColumn="1" w:lastColumn="0" w:noHBand="0" w:noVBand="1"/>
      </w:tblPr>
      <w:tblGrid>
        <w:gridCol w:w="870"/>
        <w:gridCol w:w="8300"/>
      </w:tblGrid>
      <w:tr w:rsidR="00834BE2" w:rsidRPr="00834BE2" w14:paraId="66EC1B1F" w14:textId="77777777" w:rsidTr="00D86D6B">
        <w:trPr>
          <w:trHeight w:val="286"/>
          <w:tblHeader/>
        </w:trPr>
        <w:tc>
          <w:tcPr>
            <w:cnfStyle w:val="001000000000" w:firstRow="0" w:lastRow="0" w:firstColumn="1" w:lastColumn="0" w:oddVBand="0" w:evenVBand="0" w:oddHBand="0" w:evenHBand="0" w:firstRowFirstColumn="0" w:firstRowLastColumn="0" w:lastRowFirstColumn="0" w:lastRowLastColumn="0"/>
            <w:tcW w:w="8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1547"/>
            <w:vAlign w:val="center"/>
          </w:tcPr>
          <w:p w14:paraId="3829C012" w14:textId="77777777" w:rsidR="00DB4EB5" w:rsidRPr="00834BE2" w:rsidRDefault="00DB4EB5" w:rsidP="00D86D6B">
            <w:pPr>
              <w:pStyle w:val="Tablecolhead"/>
              <w:rPr>
                <w:color w:val="FFFFFF" w:themeColor="background1"/>
              </w:rPr>
            </w:pPr>
            <w:r w:rsidRPr="00834BE2">
              <w:rPr>
                <w:color w:val="FFFFFF" w:themeColor="background1"/>
              </w:rPr>
              <w:t>Rating</w:t>
            </w:r>
          </w:p>
        </w:tc>
        <w:tc>
          <w:tcPr>
            <w:tcW w:w="83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1547"/>
            <w:vAlign w:val="center"/>
          </w:tcPr>
          <w:p w14:paraId="34BA3766" w14:textId="77777777" w:rsidR="00DB4EB5" w:rsidRPr="00834BE2" w:rsidRDefault="00DB4EB5" w:rsidP="00D86D6B">
            <w:pPr>
              <w:pStyle w:val="Tablecolhead"/>
              <w:cnfStyle w:val="000000000000" w:firstRow="0" w:lastRow="0" w:firstColumn="0" w:lastColumn="0" w:oddVBand="0" w:evenVBand="0" w:oddHBand="0" w:evenHBand="0" w:firstRowFirstColumn="0" w:firstRowLastColumn="0" w:lastRowFirstColumn="0" w:lastRowLastColumn="0"/>
              <w:rPr>
                <w:color w:val="FFFFFF" w:themeColor="background1"/>
              </w:rPr>
            </w:pPr>
            <w:r w:rsidRPr="00834BE2">
              <w:rPr>
                <w:color w:val="FFFFFF" w:themeColor="background1"/>
              </w:rPr>
              <w:t>Description</w:t>
            </w:r>
          </w:p>
        </w:tc>
      </w:tr>
      <w:tr w:rsidR="00DB4EB5" w14:paraId="4B253DE5" w14:textId="77777777" w:rsidTr="00D86D6B">
        <w:trPr>
          <w:trHeight w:val="1161"/>
        </w:trPr>
        <w:tc>
          <w:tcPr>
            <w:cnfStyle w:val="001000000000" w:firstRow="0" w:lastRow="0" w:firstColumn="1" w:lastColumn="0" w:oddVBand="0" w:evenVBand="0" w:oddHBand="0" w:evenHBand="0" w:firstRowFirstColumn="0" w:firstRowLastColumn="0" w:lastRowFirstColumn="0" w:lastRowLastColumn="0"/>
            <w:tcW w:w="870" w:type="dxa"/>
            <w:tcBorders>
              <w:top w:val="single" w:sz="24" w:space="0" w:color="FFFFFF" w:themeColor="background1"/>
            </w:tcBorders>
            <w:vAlign w:val="center"/>
          </w:tcPr>
          <w:p w14:paraId="0AD950A7" w14:textId="77777777" w:rsidR="00DB4EB5" w:rsidRPr="00BB401F" w:rsidRDefault="00DB4EB5" w:rsidP="00D86D6B">
            <w:pPr>
              <w:pStyle w:val="Body"/>
              <w:spacing w:after="0"/>
              <w:jc w:val="center"/>
              <w:rPr>
                <w:sz w:val="12"/>
                <w:szCs w:val="12"/>
              </w:rPr>
            </w:pPr>
            <w:r>
              <w:rPr>
                <w:noProof/>
                <w:sz w:val="12"/>
                <w:szCs w:val="12"/>
              </w:rPr>
              <w:drawing>
                <wp:inline distT="0" distB="0" distL="0" distR="0" wp14:anchorId="741CDFB3" wp14:editId="12BED363">
                  <wp:extent cx="270000" cy="900000"/>
                  <wp:effectExtent l="0" t="0" r="0" b="0"/>
                  <wp:docPr id="22" name="Picture 22" descr="Mi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or"/>
                          <pic:cNvPicPr/>
                        </pic:nvPicPr>
                        <pic:blipFill>
                          <a:blip r:embed="rId14"/>
                          <a:stretch>
                            <a:fillRect/>
                          </a:stretch>
                        </pic:blipFill>
                        <pic:spPr>
                          <a:xfrm>
                            <a:off x="0" y="0"/>
                            <a:ext cx="270000" cy="900000"/>
                          </a:xfrm>
                          <a:prstGeom prst="rect">
                            <a:avLst/>
                          </a:prstGeom>
                        </pic:spPr>
                      </pic:pic>
                    </a:graphicData>
                  </a:graphic>
                </wp:inline>
              </w:drawing>
            </w:r>
          </w:p>
        </w:tc>
        <w:tc>
          <w:tcPr>
            <w:tcW w:w="8300" w:type="dxa"/>
            <w:tcBorders>
              <w:top w:val="single" w:sz="24" w:space="0" w:color="FFFFFF" w:themeColor="background1"/>
            </w:tcBorders>
            <w:vAlign w:val="center"/>
          </w:tcPr>
          <w:p w14:paraId="4DF7C8B8"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Minor injury</w:t>
            </w:r>
          </w:p>
          <w:p w14:paraId="35DC2192"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Minor temporary impairment</w:t>
            </w:r>
          </w:p>
          <w:p w14:paraId="5900B900"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Restriction of activity and food choices</w:t>
            </w:r>
          </w:p>
          <w:p w14:paraId="0BC62279"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 xml:space="preserve">Short term loss of choice </w:t>
            </w:r>
          </w:p>
        </w:tc>
      </w:tr>
      <w:tr w:rsidR="00DB4EB5" w14:paraId="1BB8875D" w14:textId="77777777" w:rsidTr="00D86D6B">
        <w:trPr>
          <w:trHeight w:val="1097"/>
        </w:trPr>
        <w:tc>
          <w:tcPr>
            <w:cnfStyle w:val="001000000000" w:firstRow="0" w:lastRow="0" w:firstColumn="1" w:lastColumn="0" w:oddVBand="0" w:evenVBand="0" w:oddHBand="0" w:evenHBand="0" w:firstRowFirstColumn="0" w:firstRowLastColumn="0" w:lastRowFirstColumn="0" w:lastRowLastColumn="0"/>
            <w:tcW w:w="870" w:type="dxa"/>
            <w:vAlign w:val="center"/>
          </w:tcPr>
          <w:p w14:paraId="6EC44E09" w14:textId="77777777" w:rsidR="00DB4EB5" w:rsidRPr="00BB401F" w:rsidRDefault="00DB4EB5" w:rsidP="00D86D6B">
            <w:pPr>
              <w:pStyle w:val="Body"/>
              <w:spacing w:after="0"/>
              <w:jc w:val="center"/>
              <w:rPr>
                <w:sz w:val="12"/>
                <w:szCs w:val="12"/>
              </w:rPr>
            </w:pPr>
            <w:r>
              <w:rPr>
                <w:noProof/>
                <w:sz w:val="12"/>
                <w:szCs w:val="12"/>
              </w:rPr>
              <w:lastRenderedPageBreak/>
              <w:drawing>
                <wp:inline distT="0" distB="0" distL="0" distR="0" wp14:anchorId="3DC02C18" wp14:editId="1068783A">
                  <wp:extent cx="270000" cy="900000"/>
                  <wp:effectExtent l="0" t="0" r="0" b="0"/>
                  <wp:docPr id="25" name="Picture 25" descr="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edium"/>
                          <pic:cNvPicPr/>
                        </pic:nvPicPr>
                        <pic:blipFill>
                          <a:blip r:embed="rId15"/>
                          <a:stretch>
                            <a:fillRect/>
                          </a:stretch>
                        </pic:blipFill>
                        <pic:spPr>
                          <a:xfrm>
                            <a:off x="0" y="0"/>
                            <a:ext cx="270000" cy="900000"/>
                          </a:xfrm>
                          <a:prstGeom prst="rect">
                            <a:avLst/>
                          </a:prstGeom>
                        </pic:spPr>
                      </pic:pic>
                    </a:graphicData>
                  </a:graphic>
                </wp:inline>
              </w:drawing>
            </w:r>
          </w:p>
        </w:tc>
        <w:tc>
          <w:tcPr>
            <w:tcW w:w="8300" w:type="dxa"/>
            <w:vAlign w:val="center"/>
          </w:tcPr>
          <w:p w14:paraId="7BF292EC"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Moderate injury, exacerbation of existing illness or development of injury requiring regular treatment</w:t>
            </w:r>
          </w:p>
          <w:p w14:paraId="23FB580E"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Developmental issues</w:t>
            </w:r>
          </w:p>
          <w:p w14:paraId="7C6DCF59"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 xml:space="preserve">Financial harm with short-term impact </w:t>
            </w:r>
          </w:p>
        </w:tc>
      </w:tr>
      <w:tr w:rsidR="00DB4EB5" w14:paraId="29FDFF4A" w14:textId="77777777" w:rsidTr="00D86D6B">
        <w:trPr>
          <w:trHeight w:val="1189"/>
        </w:trPr>
        <w:tc>
          <w:tcPr>
            <w:cnfStyle w:val="001000000000" w:firstRow="0" w:lastRow="0" w:firstColumn="1" w:lastColumn="0" w:oddVBand="0" w:evenVBand="0" w:oddHBand="0" w:evenHBand="0" w:firstRowFirstColumn="0" w:firstRowLastColumn="0" w:lastRowFirstColumn="0" w:lastRowLastColumn="0"/>
            <w:tcW w:w="870" w:type="dxa"/>
            <w:vAlign w:val="center"/>
          </w:tcPr>
          <w:p w14:paraId="112DC258" w14:textId="77777777" w:rsidR="00DB4EB5" w:rsidRPr="00BB401F" w:rsidRDefault="00DB4EB5" w:rsidP="00D86D6B">
            <w:pPr>
              <w:pStyle w:val="Body"/>
              <w:spacing w:after="0"/>
              <w:jc w:val="center"/>
              <w:rPr>
                <w:sz w:val="12"/>
                <w:szCs w:val="12"/>
              </w:rPr>
            </w:pPr>
            <w:r>
              <w:rPr>
                <w:noProof/>
                <w:sz w:val="12"/>
                <w:szCs w:val="12"/>
              </w:rPr>
              <w:drawing>
                <wp:inline distT="0" distB="0" distL="0" distR="0" wp14:anchorId="12D904F1" wp14:editId="2A9F4A0C">
                  <wp:extent cx="270000" cy="900000"/>
                  <wp:effectExtent l="0" t="0" r="0" b="0"/>
                  <wp:docPr id="26" name="Picture 26" descr="Ma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jor"/>
                          <pic:cNvPicPr/>
                        </pic:nvPicPr>
                        <pic:blipFill>
                          <a:blip r:embed="rId16"/>
                          <a:stretch>
                            <a:fillRect/>
                          </a:stretch>
                        </pic:blipFill>
                        <pic:spPr>
                          <a:xfrm>
                            <a:off x="0" y="0"/>
                            <a:ext cx="270000" cy="900000"/>
                          </a:xfrm>
                          <a:prstGeom prst="rect">
                            <a:avLst/>
                          </a:prstGeom>
                        </pic:spPr>
                      </pic:pic>
                    </a:graphicData>
                  </a:graphic>
                </wp:inline>
              </w:drawing>
            </w:r>
          </w:p>
        </w:tc>
        <w:tc>
          <w:tcPr>
            <w:tcW w:w="8300" w:type="dxa"/>
            <w:vAlign w:val="center"/>
          </w:tcPr>
          <w:p w14:paraId="23856F5B"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Premature expected death</w:t>
            </w:r>
          </w:p>
          <w:p w14:paraId="510DB12D"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Substantial or long-lasting injury or disability</w:t>
            </w:r>
          </w:p>
          <w:p w14:paraId="1552F141"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Financial harm with long-term impact</w:t>
            </w:r>
          </w:p>
        </w:tc>
      </w:tr>
      <w:tr w:rsidR="00DB4EB5" w14:paraId="26852970" w14:textId="77777777" w:rsidTr="00D86D6B">
        <w:trPr>
          <w:trHeight w:val="1254"/>
        </w:trPr>
        <w:tc>
          <w:tcPr>
            <w:cnfStyle w:val="001000000000" w:firstRow="0" w:lastRow="0" w:firstColumn="1" w:lastColumn="0" w:oddVBand="0" w:evenVBand="0" w:oddHBand="0" w:evenHBand="0" w:firstRowFirstColumn="0" w:firstRowLastColumn="0" w:lastRowFirstColumn="0" w:lastRowLastColumn="0"/>
            <w:tcW w:w="870" w:type="dxa"/>
            <w:vAlign w:val="center"/>
          </w:tcPr>
          <w:p w14:paraId="103787F6" w14:textId="77777777" w:rsidR="00DB4EB5" w:rsidRPr="00BB401F" w:rsidRDefault="00DB4EB5" w:rsidP="00D86D6B">
            <w:pPr>
              <w:pStyle w:val="Body"/>
              <w:spacing w:after="0"/>
              <w:jc w:val="center"/>
              <w:rPr>
                <w:sz w:val="12"/>
                <w:szCs w:val="12"/>
              </w:rPr>
            </w:pPr>
            <w:r>
              <w:rPr>
                <w:noProof/>
                <w:sz w:val="12"/>
                <w:szCs w:val="12"/>
              </w:rPr>
              <w:drawing>
                <wp:inline distT="0" distB="0" distL="0" distR="0" wp14:anchorId="3BE8868D" wp14:editId="627EA10B">
                  <wp:extent cx="269875" cy="881168"/>
                  <wp:effectExtent l="0" t="0" r="0" b="0"/>
                  <wp:docPr id="27" name="Picture 27" descr="Sev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evere"/>
                          <pic:cNvPicPr/>
                        </pic:nvPicPr>
                        <pic:blipFill>
                          <a:blip r:embed="rId17">
                            <a:extLst>
                              <a:ext uri="{BEBA8EAE-BF5A-486C-A8C5-ECC9F3942E4B}">
                                <a14:imgProps xmlns:a14="http://schemas.microsoft.com/office/drawing/2010/main">
                                  <a14:imgLayer r:embed="rId18">
                                    <a14:imgEffect>
                                      <a14:colorTemperature colorTemp="10211"/>
                                    </a14:imgEffect>
                                    <a14:imgEffect>
                                      <a14:saturation sat="99000"/>
                                    </a14:imgEffect>
                                  </a14:imgLayer>
                                </a14:imgProps>
                              </a:ext>
                            </a:extLst>
                          </a:blip>
                          <a:stretch>
                            <a:fillRect/>
                          </a:stretch>
                        </pic:blipFill>
                        <pic:spPr>
                          <a:xfrm>
                            <a:off x="0" y="0"/>
                            <a:ext cx="270779" cy="884119"/>
                          </a:xfrm>
                          <a:prstGeom prst="rect">
                            <a:avLst/>
                          </a:prstGeom>
                        </pic:spPr>
                      </pic:pic>
                    </a:graphicData>
                  </a:graphic>
                </wp:inline>
              </w:drawing>
            </w:r>
          </w:p>
        </w:tc>
        <w:tc>
          <w:tcPr>
            <w:tcW w:w="8300" w:type="dxa"/>
            <w:vAlign w:val="center"/>
          </w:tcPr>
          <w:p w14:paraId="3D67A62F"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Death</w:t>
            </w:r>
          </w:p>
          <w:p w14:paraId="4C5F2D4B"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Loss of a foetus</w:t>
            </w:r>
          </w:p>
          <w:p w14:paraId="7A597660"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Permanent or long-term serious impairment</w:t>
            </w:r>
          </w:p>
          <w:p w14:paraId="551F42CD"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 xml:space="preserve">Permanent or long-term serious disfigurement </w:t>
            </w:r>
          </w:p>
          <w:p w14:paraId="2B528B1D"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Permanent or long-term severe psychological injury or developmental delay</w:t>
            </w:r>
          </w:p>
          <w:p w14:paraId="18AFACCE"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Severe, permanent or life-changing injury or disability</w:t>
            </w:r>
          </w:p>
        </w:tc>
      </w:tr>
    </w:tbl>
    <w:p w14:paraId="5D9375EB" w14:textId="77777777" w:rsidR="00DB4EB5" w:rsidRDefault="00DB4EB5" w:rsidP="00DB4EB5">
      <w:pPr>
        <w:pStyle w:val="Heading2"/>
      </w:pPr>
      <w:bookmarkStart w:id="18" w:name="_Toc167289979"/>
      <w:bookmarkStart w:id="19" w:name="_Toc170132553"/>
      <w:r>
        <w:t>Likelihood of risk and harm</w:t>
      </w:r>
      <w:bookmarkEnd w:id="18"/>
      <w:bookmarkEnd w:id="19"/>
    </w:p>
    <w:p w14:paraId="7D1F961A" w14:textId="77777777" w:rsidR="00DB4EB5" w:rsidRDefault="00DB4EB5" w:rsidP="00DB4EB5">
      <w:pPr>
        <w:pStyle w:val="Body"/>
      </w:pPr>
      <w:r>
        <w:t xml:space="preserve">The Regulator considers the likelihood of non-compliance leading to risk and harm occurring or continuing based on the duty holder’s: </w:t>
      </w:r>
    </w:p>
    <w:p w14:paraId="3FCE6C90" w14:textId="77777777" w:rsidR="00DB4EB5" w:rsidRDefault="00DB4EB5" w:rsidP="00DB4EB5">
      <w:pPr>
        <w:pStyle w:val="Bullet1"/>
      </w:pPr>
      <w:r>
        <w:t>compliance history (where applicable)</w:t>
      </w:r>
    </w:p>
    <w:p w14:paraId="6D27B9BC" w14:textId="77777777" w:rsidR="00DB4EB5" w:rsidRDefault="00DB4EB5" w:rsidP="00DB4EB5">
      <w:pPr>
        <w:pStyle w:val="Bullet1"/>
      </w:pPr>
      <w:r>
        <w:t xml:space="preserve">quality of the systems in place to manage risks and harms </w:t>
      </w:r>
    </w:p>
    <w:p w14:paraId="280D50F1" w14:textId="77777777" w:rsidR="00DB4EB5" w:rsidRDefault="00DB4EB5" w:rsidP="00DB4EB5">
      <w:pPr>
        <w:pStyle w:val="Bullet1"/>
      </w:pPr>
      <w:r>
        <w:t>quality of the systems in place to prevent future risks and harms</w:t>
      </w:r>
    </w:p>
    <w:p w14:paraId="21E6F9E8" w14:textId="77777777" w:rsidR="00DB4EB5" w:rsidRDefault="00DB4EB5" w:rsidP="00DB4EB5">
      <w:pPr>
        <w:pStyle w:val="Bullet1"/>
      </w:pPr>
      <w:r>
        <w:t xml:space="preserve">knowledge, skills and capacity </w:t>
      </w:r>
    </w:p>
    <w:p w14:paraId="350DF048" w14:textId="77777777" w:rsidR="00DB4EB5" w:rsidRDefault="00DB4EB5" w:rsidP="00DB4EB5">
      <w:pPr>
        <w:pStyle w:val="Bullet1"/>
      </w:pPr>
      <w:r>
        <w:t>willingness to co-operate and remedy non-compliance.</w:t>
      </w:r>
    </w:p>
    <w:p w14:paraId="72C7BA11" w14:textId="77777777" w:rsidR="00DB4EB5" w:rsidRPr="00235687" w:rsidRDefault="00DB4EB5" w:rsidP="00DB4EB5">
      <w:pPr>
        <w:pStyle w:val="Bodyafterbullets"/>
      </w:pPr>
      <w:r w:rsidRPr="009650CE">
        <w:t xml:space="preserve">Table </w:t>
      </w:r>
      <w:r>
        <w:t>2 lists the most common factors the Regulator considers when assessing the likelihood of non-compliance occurring or continuing leading to risk and harm</w:t>
      </w:r>
      <w:r w:rsidDel="00FE7721">
        <w:t>.</w:t>
      </w:r>
      <w:r>
        <w:t xml:space="preserve"> </w:t>
      </w:r>
    </w:p>
    <w:p w14:paraId="733A1C0D" w14:textId="77777777" w:rsidR="00DB4EB5" w:rsidRDefault="00DB4EB5" w:rsidP="00DB4EB5">
      <w:pPr>
        <w:pStyle w:val="Tablecaption"/>
      </w:pPr>
      <w:r w:rsidRPr="009650CE">
        <w:t xml:space="preserve">Table </w:t>
      </w:r>
      <w:r>
        <w:t>2: Assessing the likelihood of risk and harm</w:t>
      </w:r>
    </w:p>
    <w:tbl>
      <w:tblPr>
        <w:tblStyle w:val="HRS2table"/>
        <w:tblW w:w="9326" w:type="dxa"/>
        <w:tblLook w:val="04A0" w:firstRow="1" w:lastRow="0" w:firstColumn="1" w:lastColumn="0" w:noHBand="0" w:noVBand="1"/>
        <w:tblCaption w:val="Assessing the likelihood of risk and harm"/>
        <w:tblDescription w:val="Risk assessment based on what is unlikely, possible, likely or certain&#10;"/>
      </w:tblPr>
      <w:tblGrid>
        <w:gridCol w:w="870"/>
        <w:gridCol w:w="8456"/>
      </w:tblGrid>
      <w:tr w:rsidR="00834BE2" w:rsidRPr="00834BE2" w14:paraId="2DC3C515" w14:textId="77777777" w:rsidTr="00D86D6B">
        <w:trPr>
          <w:trHeight w:val="320"/>
          <w:tblHeader/>
        </w:trPr>
        <w:tc>
          <w:tcPr>
            <w:cnfStyle w:val="001000000000" w:firstRow="0" w:lastRow="0" w:firstColumn="1" w:lastColumn="0" w:oddVBand="0" w:evenVBand="0" w:oddHBand="0" w:evenHBand="0" w:firstRowFirstColumn="0" w:firstRowLastColumn="0" w:lastRowFirstColumn="0" w:lastRowLastColumn="0"/>
            <w:tcW w:w="8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1547"/>
            <w:vAlign w:val="center"/>
          </w:tcPr>
          <w:p w14:paraId="175324EC" w14:textId="77777777" w:rsidR="00DB4EB5" w:rsidRPr="00834BE2" w:rsidRDefault="00DB4EB5" w:rsidP="00D86D6B">
            <w:pPr>
              <w:pStyle w:val="Tablecolhead"/>
              <w:rPr>
                <w:color w:val="FFFFFF" w:themeColor="background1"/>
              </w:rPr>
            </w:pPr>
            <w:r w:rsidRPr="00834BE2">
              <w:rPr>
                <w:color w:val="FFFFFF" w:themeColor="background1"/>
              </w:rPr>
              <w:t>Rating</w:t>
            </w:r>
          </w:p>
        </w:tc>
        <w:tc>
          <w:tcPr>
            <w:tcW w:w="8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1547"/>
            <w:vAlign w:val="center"/>
          </w:tcPr>
          <w:p w14:paraId="6BBC317F" w14:textId="77777777" w:rsidR="00DB4EB5" w:rsidRPr="00834BE2" w:rsidRDefault="00DB4EB5" w:rsidP="00D86D6B">
            <w:pPr>
              <w:pStyle w:val="Tablecolhead"/>
              <w:cnfStyle w:val="000000000000" w:firstRow="0" w:lastRow="0" w:firstColumn="0" w:lastColumn="0" w:oddVBand="0" w:evenVBand="0" w:oddHBand="0" w:evenHBand="0" w:firstRowFirstColumn="0" w:firstRowLastColumn="0" w:lastRowFirstColumn="0" w:lastRowLastColumn="0"/>
              <w:rPr>
                <w:color w:val="FFFFFF" w:themeColor="background1"/>
              </w:rPr>
            </w:pPr>
            <w:r w:rsidRPr="00834BE2">
              <w:rPr>
                <w:color w:val="FFFFFF" w:themeColor="background1"/>
              </w:rPr>
              <w:t>Description</w:t>
            </w:r>
          </w:p>
        </w:tc>
      </w:tr>
      <w:tr w:rsidR="00DB4EB5" w14:paraId="53095296" w14:textId="77777777" w:rsidTr="00D86D6B">
        <w:trPr>
          <w:trHeight w:val="1411"/>
        </w:trPr>
        <w:tc>
          <w:tcPr>
            <w:cnfStyle w:val="001000000000" w:firstRow="0" w:lastRow="0" w:firstColumn="1" w:lastColumn="0" w:oddVBand="0" w:evenVBand="0" w:oddHBand="0" w:evenHBand="0" w:firstRowFirstColumn="0" w:firstRowLastColumn="0" w:lastRowFirstColumn="0" w:lastRowLastColumn="0"/>
            <w:tcW w:w="870" w:type="dxa"/>
            <w:tcBorders>
              <w:top w:val="single" w:sz="24" w:space="0" w:color="FFFFFF" w:themeColor="background1"/>
            </w:tcBorders>
            <w:vAlign w:val="center"/>
          </w:tcPr>
          <w:p w14:paraId="4A6C787E" w14:textId="77777777" w:rsidR="00DB4EB5" w:rsidRPr="00BB401F" w:rsidRDefault="00DB4EB5" w:rsidP="00D86D6B">
            <w:pPr>
              <w:pStyle w:val="Body"/>
              <w:spacing w:after="0"/>
              <w:jc w:val="center"/>
              <w:rPr>
                <w:sz w:val="12"/>
                <w:szCs w:val="12"/>
              </w:rPr>
            </w:pPr>
            <w:r>
              <w:rPr>
                <w:noProof/>
                <w:sz w:val="12"/>
                <w:szCs w:val="12"/>
              </w:rPr>
              <w:drawing>
                <wp:inline distT="0" distB="0" distL="0" distR="0" wp14:anchorId="2EF50A53" wp14:editId="0999D824">
                  <wp:extent cx="270000" cy="896400"/>
                  <wp:effectExtent l="0" t="0" r="0" b="0"/>
                  <wp:docPr id="28" name="Picture 28" descr="Unlik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Unlikely"/>
                          <pic:cNvPicPr/>
                        </pic:nvPicPr>
                        <pic:blipFill>
                          <a:blip r:embed="rId19"/>
                          <a:stretch>
                            <a:fillRect/>
                          </a:stretch>
                        </pic:blipFill>
                        <pic:spPr>
                          <a:xfrm>
                            <a:off x="0" y="0"/>
                            <a:ext cx="270000" cy="896400"/>
                          </a:xfrm>
                          <a:prstGeom prst="rect">
                            <a:avLst/>
                          </a:prstGeom>
                        </pic:spPr>
                      </pic:pic>
                    </a:graphicData>
                  </a:graphic>
                </wp:inline>
              </w:drawing>
            </w:r>
          </w:p>
        </w:tc>
        <w:tc>
          <w:tcPr>
            <w:tcW w:w="8456" w:type="dxa"/>
            <w:tcBorders>
              <w:top w:val="single" w:sz="24" w:space="0" w:color="FFFFFF" w:themeColor="background1"/>
            </w:tcBorders>
            <w:vAlign w:val="center"/>
          </w:tcPr>
          <w:p w14:paraId="3E5746A6"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rsidRPr="00BB401F">
              <w:t>Duty holders who are willing to comply</w:t>
            </w:r>
          </w:p>
          <w:p w14:paraId="353E3615"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Only</w:t>
            </w:r>
            <w:r w:rsidRPr="00BB401F">
              <w:t xml:space="preserve"> </w:t>
            </w:r>
            <w:r>
              <w:t xml:space="preserve">isolated </w:t>
            </w:r>
            <w:r w:rsidRPr="00BB401F">
              <w:t>previous incidents of non-compliance</w:t>
            </w:r>
          </w:p>
          <w:p w14:paraId="2EAD8D0F"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 xml:space="preserve">Good systems in place that identify risk and manages them efficiently </w:t>
            </w:r>
          </w:p>
        </w:tc>
      </w:tr>
      <w:tr w:rsidR="00DB4EB5" w14:paraId="6F508723" w14:textId="77777777" w:rsidTr="00D86D6B">
        <w:trPr>
          <w:trHeight w:val="1411"/>
        </w:trPr>
        <w:tc>
          <w:tcPr>
            <w:cnfStyle w:val="001000000000" w:firstRow="0" w:lastRow="0" w:firstColumn="1" w:lastColumn="0" w:oddVBand="0" w:evenVBand="0" w:oddHBand="0" w:evenHBand="0" w:firstRowFirstColumn="0" w:firstRowLastColumn="0" w:lastRowFirstColumn="0" w:lastRowLastColumn="0"/>
            <w:tcW w:w="870" w:type="dxa"/>
            <w:vAlign w:val="center"/>
          </w:tcPr>
          <w:p w14:paraId="27B2320A" w14:textId="77777777" w:rsidR="00DB4EB5" w:rsidRPr="00BB401F" w:rsidRDefault="00DB4EB5" w:rsidP="00D86D6B">
            <w:pPr>
              <w:pStyle w:val="Body"/>
              <w:spacing w:after="0"/>
              <w:jc w:val="center"/>
              <w:rPr>
                <w:sz w:val="12"/>
                <w:szCs w:val="12"/>
              </w:rPr>
            </w:pPr>
            <w:r>
              <w:rPr>
                <w:noProof/>
                <w:sz w:val="12"/>
                <w:szCs w:val="12"/>
              </w:rPr>
              <w:drawing>
                <wp:inline distT="0" distB="0" distL="0" distR="0" wp14:anchorId="6E058337" wp14:editId="6487C047">
                  <wp:extent cx="270000" cy="896400"/>
                  <wp:effectExtent l="0" t="0" r="0" b="0"/>
                  <wp:docPr id="29" name="Picture 29" descr="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ssible"/>
                          <pic:cNvPicPr/>
                        </pic:nvPicPr>
                        <pic:blipFill>
                          <a:blip r:embed="rId20"/>
                          <a:stretch>
                            <a:fillRect/>
                          </a:stretch>
                        </pic:blipFill>
                        <pic:spPr>
                          <a:xfrm>
                            <a:off x="0" y="0"/>
                            <a:ext cx="270000" cy="896400"/>
                          </a:xfrm>
                          <a:prstGeom prst="rect">
                            <a:avLst/>
                          </a:prstGeom>
                        </pic:spPr>
                      </pic:pic>
                    </a:graphicData>
                  </a:graphic>
                </wp:inline>
              </w:drawing>
            </w:r>
          </w:p>
        </w:tc>
        <w:tc>
          <w:tcPr>
            <w:tcW w:w="8456" w:type="dxa"/>
            <w:vAlign w:val="center"/>
          </w:tcPr>
          <w:p w14:paraId="7A367289"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 xml:space="preserve">Repeated non-compliance </w:t>
            </w:r>
          </w:p>
          <w:p w14:paraId="15D4E7DC"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 xml:space="preserve">Inadequate knowledge or skills </w:t>
            </w:r>
          </w:p>
          <w:p w14:paraId="23CFA097"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 xml:space="preserve">Poor risk identification and management </w:t>
            </w:r>
          </w:p>
        </w:tc>
      </w:tr>
      <w:tr w:rsidR="00DB4EB5" w14:paraId="4CA202F6" w14:textId="77777777" w:rsidTr="00D86D6B">
        <w:trPr>
          <w:trHeight w:val="1411"/>
        </w:trPr>
        <w:tc>
          <w:tcPr>
            <w:cnfStyle w:val="001000000000" w:firstRow="0" w:lastRow="0" w:firstColumn="1" w:lastColumn="0" w:oddVBand="0" w:evenVBand="0" w:oddHBand="0" w:evenHBand="0" w:firstRowFirstColumn="0" w:firstRowLastColumn="0" w:lastRowFirstColumn="0" w:lastRowLastColumn="0"/>
            <w:tcW w:w="870" w:type="dxa"/>
            <w:vAlign w:val="center"/>
          </w:tcPr>
          <w:p w14:paraId="7F5D3216" w14:textId="77777777" w:rsidR="00DB4EB5" w:rsidRPr="00BB401F" w:rsidRDefault="00DB4EB5" w:rsidP="00D86D6B">
            <w:pPr>
              <w:pStyle w:val="Body"/>
              <w:spacing w:after="0"/>
              <w:jc w:val="center"/>
              <w:rPr>
                <w:sz w:val="12"/>
                <w:szCs w:val="12"/>
              </w:rPr>
            </w:pPr>
            <w:r>
              <w:rPr>
                <w:noProof/>
                <w:sz w:val="12"/>
                <w:szCs w:val="12"/>
              </w:rPr>
              <w:lastRenderedPageBreak/>
              <w:drawing>
                <wp:inline distT="0" distB="0" distL="0" distR="0" wp14:anchorId="46E841D4" wp14:editId="57323A48">
                  <wp:extent cx="270000" cy="896400"/>
                  <wp:effectExtent l="0" t="0" r="0" b="0"/>
                  <wp:docPr id="30" name="Picture 30" descr="Lik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ikely"/>
                          <pic:cNvPicPr/>
                        </pic:nvPicPr>
                        <pic:blipFill>
                          <a:blip r:embed="rId21"/>
                          <a:stretch>
                            <a:fillRect/>
                          </a:stretch>
                        </pic:blipFill>
                        <pic:spPr>
                          <a:xfrm>
                            <a:off x="0" y="0"/>
                            <a:ext cx="270000" cy="896400"/>
                          </a:xfrm>
                          <a:prstGeom prst="rect">
                            <a:avLst/>
                          </a:prstGeom>
                        </pic:spPr>
                      </pic:pic>
                    </a:graphicData>
                  </a:graphic>
                </wp:inline>
              </w:drawing>
            </w:r>
          </w:p>
        </w:tc>
        <w:tc>
          <w:tcPr>
            <w:tcW w:w="8456" w:type="dxa"/>
            <w:vAlign w:val="center"/>
          </w:tcPr>
          <w:p w14:paraId="3557773F"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 xml:space="preserve">Repeated patterns of non-compliance </w:t>
            </w:r>
          </w:p>
          <w:p w14:paraId="77866C19"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 xml:space="preserve">Limited resources to meet regulatory requirements </w:t>
            </w:r>
          </w:p>
          <w:p w14:paraId="7AEDEE78"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 xml:space="preserve">High volume of notifiable incidents </w:t>
            </w:r>
          </w:p>
          <w:p w14:paraId="14E2674F"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Limited processes and systems in place to identify and manage risks</w:t>
            </w:r>
          </w:p>
        </w:tc>
      </w:tr>
      <w:tr w:rsidR="00DB4EB5" w14:paraId="756FF643" w14:textId="77777777" w:rsidTr="00D86D6B">
        <w:trPr>
          <w:trHeight w:val="1411"/>
        </w:trPr>
        <w:tc>
          <w:tcPr>
            <w:cnfStyle w:val="001000000000" w:firstRow="0" w:lastRow="0" w:firstColumn="1" w:lastColumn="0" w:oddVBand="0" w:evenVBand="0" w:oddHBand="0" w:evenHBand="0" w:firstRowFirstColumn="0" w:firstRowLastColumn="0" w:lastRowFirstColumn="0" w:lastRowLastColumn="0"/>
            <w:tcW w:w="870" w:type="dxa"/>
            <w:vAlign w:val="center"/>
          </w:tcPr>
          <w:p w14:paraId="7E587938" w14:textId="77777777" w:rsidR="00DB4EB5" w:rsidRPr="00BB401F" w:rsidRDefault="00DB4EB5" w:rsidP="00D86D6B">
            <w:pPr>
              <w:pStyle w:val="Body"/>
              <w:spacing w:after="0"/>
              <w:jc w:val="center"/>
              <w:rPr>
                <w:sz w:val="12"/>
                <w:szCs w:val="12"/>
              </w:rPr>
            </w:pPr>
            <w:r>
              <w:rPr>
                <w:noProof/>
                <w:sz w:val="12"/>
                <w:szCs w:val="12"/>
              </w:rPr>
              <w:drawing>
                <wp:inline distT="0" distB="0" distL="0" distR="0" wp14:anchorId="3CF2B4F2" wp14:editId="46148B1E">
                  <wp:extent cx="266700" cy="873660"/>
                  <wp:effectExtent l="0" t="0" r="0" b="3175"/>
                  <wp:docPr id="32" name="Picture 32" descr="Cer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ertain"/>
                          <pic:cNvPicPr/>
                        </pic:nvPicPr>
                        <pic:blipFill>
                          <a:blip r:embed="rId22"/>
                          <a:stretch>
                            <a:fillRect/>
                          </a:stretch>
                        </pic:blipFill>
                        <pic:spPr>
                          <a:xfrm>
                            <a:off x="0" y="0"/>
                            <a:ext cx="268835" cy="880652"/>
                          </a:xfrm>
                          <a:prstGeom prst="rect">
                            <a:avLst/>
                          </a:prstGeom>
                        </pic:spPr>
                      </pic:pic>
                    </a:graphicData>
                  </a:graphic>
                </wp:inline>
              </w:drawing>
            </w:r>
          </w:p>
        </w:tc>
        <w:tc>
          <w:tcPr>
            <w:tcW w:w="8456" w:type="dxa"/>
            <w:vAlign w:val="center"/>
          </w:tcPr>
          <w:p w14:paraId="232F6217" w14:textId="77777777" w:rsidR="00DB4EB5" w:rsidRPr="00C423CF"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rsidRPr="00C423CF">
              <w:t>H</w:t>
            </w:r>
            <w:r w:rsidRPr="00E97B02">
              <w:t xml:space="preserve">istory of repeated severe non-compliance </w:t>
            </w:r>
          </w:p>
          <w:p w14:paraId="6BD2D2DC" w14:textId="77777777" w:rsidR="00DB4EB5" w:rsidRPr="00171554"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rsidRPr="00C423CF">
              <w:t xml:space="preserve">Failure to implement processes and systems to manage and identify risks </w:t>
            </w:r>
          </w:p>
          <w:p w14:paraId="11F03F35"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 xml:space="preserve">Refusal to comply, provide information and/or cooperate </w:t>
            </w:r>
          </w:p>
          <w:p w14:paraId="48B57C57" w14:textId="77777777" w:rsidR="00DB4EB5" w:rsidRDefault="00DB4EB5" w:rsidP="00D86D6B">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p>
        </w:tc>
      </w:tr>
    </w:tbl>
    <w:p w14:paraId="63474E51" w14:textId="77777777" w:rsidR="00DB4EB5" w:rsidRDefault="00DB4EB5" w:rsidP="00DB4EB5">
      <w:pPr>
        <w:pStyle w:val="Heading2"/>
      </w:pPr>
      <w:bookmarkStart w:id="20" w:name="_Toc167289980"/>
      <w:bookmarkStart w:id="21" w:name="_Toc170132554"/>
      <w:r>
        <w:t>Overall risk</w:t>
      </w:r>
      <w:bookmarkEnd w:id="20"/>
      <w:bookmarkEnd w:id="21"/>
      <w:r>
        <w:t xml:space="preserve"> </w:t>
      </w:r>
    </w:p>
    <w:p w14:paraId="41945B82" w14:textId="77777777" w:rsidR="00DB4EB5" w:rsidRDefault="00DB4EB5" w:rsidP="00DB4EB5">
      <w:pPr>
        <w:pStyle w:val="Bodyafterbullets"/>
      </w:pPr>
      <w:r>
        <w:t xml:space="preserve">The overall risk of harm is scaled and aligned with an appropriate regulatory response. </w:t>
      </w:r>
    </w:p>
    <w:p w14:paraId="73875B25" w14:textId="77777777" w:rsidR="00DB4EB5" w:rsidRPr="00F341AF" w:rsidRDefault="00DB4EB5" w:rsidP="00DB4EB5">
      <w:pPr>
        <w:pStyle w:val="Bodyafterbullets"/>
      </w:pPr>
      <w:r>
        <w:t xml:space="preserve">For example, where the </w:t>
      </w:r>
      <w:r w:rsidRPr="00B260D1">
        <w:rPr>
          <w:b/>
          <w:bCs/>
        </w:rPr>
        <w:t>consequence</w:t>
      </w:r>
      <w:r>
        <w:t xml:space="preserve"> of risk of harm is ‘major’ and the </w:t>
      </w:r>
      <w:r w:rsidRPr="001D3EF7">
        <w:rPr>
          <w:b/>
        </w:rPr>
        <w:t>likelihood</w:t>
      </w:r>
      <w:r>
        <w:t xml:space="preserve"> of harm occurring or continuing might be ‘possible’, the regulatory response may be higher proportionate to the matter. </w:t>
      </w:r>
    </w:p>
    <w:p w14:paraId="2AC0A13D" w14:textId="77777777" w:rsidR="00DB4EB5" w:rsidRPr="001476EA" w:rsidRDefault="00DB4EB5" w:rsidP="00DB4EB5">
      <w:pPr>
        <w:pStyle w:val="Bodyafterbullets"/>
      </w:pPr>
      <w:r w:rsidRPr="009650CE">
        <w:t xml:space="preserve">Figure </w:t>
      </w:r>
      <w:r>
        <w:t xml:space="preserve">1 is the risk analysis scale the Regulator uses when determining an appropriate regulatory response. It combines the consequence of risk and likelihood of harm to determine the </w:t>
      </w:r>
      <w:r w:rsidRPr="000A4548">
        <w:rPr>
          <w:b/>
          <w:bCs/>
        </w:rPr>
        <w:t>overall risk</w:t>
      </w:r>
      <w:r>
        <w:rPr>
          <w:b/>
          <w:bCs/>
        </w:rPr>
        <w:t xml:space="preserve"> </w:t>
      </w:r>
      <w:r>
        <w:t xml:space="preserve">of a matter. </w:t>
      </w:r>
    </w:p>
    <w:p w14:paraId="3AF6724F" w14:textId="77777777" w:rsidR="00DB4EB5" w:rsidRPr="006E28C4" w:rsidRDefault="00DB4EB5" w:rsidP="00DB4EB5">
      <w:pPr>
        <w:pStyle w:val="Figurecaption"/>
      </w:pPr>
      <w:r w:rsidRPr="009650CE">
        <w:t xml:space="preserve">Figure </w:t>
      </w:r>
      <w:r>
        <w:t>1: Risk analysis matrix</w:t>
      </w:r>
    </w:p>
    <w:p w14:paraId="1B8C0FAD" w14:textId="3C79DEED" w:rsidR="00DB4EB5" w:rsidRDefault="00DB4EB5" w:rsidP="00DB4EB5">
      <w:pPr>
        <w:pStyle w:val="Body"/>
      </w:pPr>
      <w:r>
        <w:rPr>
          <w:noProof/>
        </w:rPr>
        <w:drawing>
          <wp:inline distT="0" distB="0" distL="0" distR="0" wp14:anchorId="1D29EA9F" wp14:editId="3471B0D7">
            <wp:extent cx="4900613" cy="3669709"/>
            <wp:effectExtent l="0" t="0" r="1905" b="635"/>
            <wp:docPr id="1753385599" name="Picture 1753385599" descr="Risk assessment based on consequence and likelihood. Description of likelihood and consequences in tables 3, 4 an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85599" name="Picture 1753385599" descr="Risk assessment based on consequence and likelihood. Description of likelihood and consequences in tables 3, 4 and 5"/>
                    <pic:cNvPicPr/>
                  </pic:nvPicPr>
                  <pic:blipFill>
                    <a:blip r:embed="rId23"/>
                    <a:stretch>
                      <a:fillRect/>
                    </a:stretch>
                  </pic:blipFill>
                  <pic:spPr>
                    <a:xfrm>
                      <a:off x="0" y="0"/>
                      <a:ext cx="4921579" cy="3685409"/>
                    </a:xfrm>
                    <a:prstGeom prst="rect">
                      <a:avLst/>
                    </a:prstGeom>
                  </pic:spPr>
                </pic:pic>
              </a:graphicData>
            </a:graphic>
          </wp:inline>
        </w:drawing>
      </w:r>
    </w:p>
    <w:p w14:paraId="6742248E" w14:textId="3C79DEED" w:rsidR="00DB4EB5" w:rsidRDefault="00DB4EB5" w:rsidP="00DB4EB5">
      <w:pPr>
        <w:pStyle w:val="Heading2"/>
      </w:pPr>
      <w:bookmarkStart w:id="22" w:name="_Toc167289981"/>
      <w:bookmarkStart w:id="23" w:name="_Toc170132555"/>
      <w:r>
        <w:t>Attitude and culpability</w:t>
      </w:r>
      <w:bookmarkEnd w:id="22"/>
      <w:bookmarkEnd w:id="23"/>
    </w:p>
    <w:p w14:paraId="6F814B14" w14:textId="77777777" w:rsidR="00DB4EB5" w:rsidRPr="00C423CF" w:rsidRDefault="00DB4EB5" w:rsidP="00DB4EB5">
      <w:pPr>
        <w:pStyle w:val="Body"/>
      </w:pPr>
      <w:r>
        <w:t xml:space="preserve">In addition to </w:t>
      </w:r>
      <w:r w:rsidRPr="00C423CF">
        <w:t xml:space="preserve">the </w:t>
      </w:r>
      <w:r>
        <w:rPr>
          <w:b/>
          <w:bCs/>
        </w:rPr>
        <w:t xml:space="preserve">overall </w:t>
      </w:r>
      <w:r w:rsidRPr="008959C8">
        <w:rPr>
          <w:b/>
          <w:bCs/>
        </w:rPr>
        <w:t>risk</w:t>
      </w:r>
      <w:r w:rsidRPr="00C423CF">
        <w:t>, the</w:t>
      </w:r>
      <w:r w:rsidRPr="00534B0A">
        <w:t xml:space="preserve"> Regulator</w:t>
      </w:r>
      <w:r w:rsidRPr="00C423CF">
        <w:t xml:space="preserve"> will </w:t>
      </w:r>
      <w:r>
        <w:t xml:space="preserve">also </w:t>
      </w:r>
      <w:r w:rsidRPr="00C423CF">
        <w:t>consider</w:t>
      </w:r>
      <w:r w:rsidRPr="00534B0A">
        <w:t xml:space="preserve"> the</w:t>
      </w:r>
      <w:r w:rsidRPr="00C423CF">
        <w:t xml:space="preserve"> duty holder’s</w:t>
      </w:r>
      <w:r w:rsidRPr="00534B0A">
        <w:t xml:space="preserve"> attitude, behaviour</w:t>
      </w:r>
      <w:r w:rsidRPr="00C423CF">
        <w:t>,</w:t>
      </w:r>
      <w:r w:rsidRPr="00534B0A">
        <w:t xml:space="preserve"> and degree of culpability in relation to the </w:t>
      </w:r>
      <w:r>
        <w:t>matter</w:t>
      </w:r>
      <w:r w:rsidRPr="00534B0A">
        <w:t xml:space="preserve">. </w:t>
      </w:r>
    </w:p>
    <w:p w14:paraId="4E2A22E5" w14:textId="77777777" w:rsidR="00DB4EB5" w:rsidRPr="00C423CF" w:rsidRDefault="00DB4EB5" w:rsidP="00DB4EB5">
      <w:pPr>
        <w:pStyle w:val="Body"/>
      </w:pPr>
      <w:r w:rsidRPr="00C423CF">
        <w:t xml:space="preserve">Culpability refers to the level of responsibility, fault or wrongdoing of the duty holder if </w:t>
      </w:r>
      <w:r>
        <w:t>risk or harm</w:t>
      </w:r>
      <w:r w:rsidRPr="00C423CF">
        <w:t xml:space="preserve"> occurs.</w:t>
      </w:r>
      <w:r w:rsidRPr="00C423CF" w:rsidDel="0097034F">
        <w:t xml:space="preserve"> </w:t>
      </w:r>
      <w:r w:rsidRPr="00C423CF">
        <w:t xml:space="preserve">For example, if a duty holder was aware of the risk of harm or potential for non-compliance, and wilfully chose not </w:t>
      </w:r>
      <w:r w:rsidRPr="00C423CF">
        <w:lastRenderedPageBreak/>
        <w:t>to take appropriate</w:t>
      </w:r>
      <w:r w:rsidRPr="00C423CF" w:rsidDel="007A59E4">
        <w:t xml:space="preserve"> </w:t>
      </w:r>
      <w:r w:rsidRPr="00C423CF">
        <w:t>steps to mitigate the risk of harm</w:t>
      </w:r>
      <w:r>
        <w:t xml:space="preserve"> or non-compliance</w:t>
      </w:r>
      <w:r w:rsidRPr="00C423CF">
        <w:t xml:space="preserve">, the Regulator will take this into consideration when deciding on the most appropriate </w:t>
      </w:r>
      <w:r>
        <w:t>regulatory response.</w:t>
      </w:r>
    </w:p>
    <w:p w14:paraId="418982EF" w14:textId="77777777" w:rsidR="00DB4EB5" w:rsidRPr="001209AA" w:rsidRDefault="00DB4EB5" w:rsidP="00DB4EB5">
      <w:pPr>
        <w:pStyle w:val="Body"/>
      </w:pPr>
      <w:r w:rsidRPr="009650CE">
        <w:t>Table 3 outlines some of the risk factors the Regulator takes into consideration when assessing the compliance</w:t>
      </w:r>
      <w:r>
        <w:t xml:space="preserve"> attitude of the duty holder prior to taking any compliance and enforcement action. </w:t>
      </w:r>
    </w:p>
    <w:p w14:paraId="5370D933" w14:textId="77777777" w:rsidR="00DB4EB5" w:rsidRPr="000368C0" w:rsidRDefault="00DB4EB5" w:rsidP="00DB4EB5">
      <w:pPr>
        <w:pStyle w:val="Tablecaption"/>
      </w:pPr>
      <w:r w:rsidRPr="009650CE">
        <w:t xml:space="preserve">Table </w:t>
      </w:r>
      <w:r>
        <w:t>3: A</w:t>
      </w:r>
      <w:r w:rsidRPr="007845A7">
        <w:t>ssessment of attitude and culpability</w:t>
      </w:r>
    </w:p>
    <w:tbl>
      <w:tblPr>
        <w:tblStyle w:val="HRS2table"/>
        <w:tblW w:w="0" w:type="auto"/>
        <w:tblLook w:val="04A0" w:firstRow="1" w:lastRow="0" w:firstColumn="1" w:lastColumn="0" w:noHBand="0" w:noVBand="1"/>
        <w:tblCaption w:val="Assessment of attitude and culpability"/>
        <w:tblDescription w:val="Attitude and culpability assessment based on minor, medium, major or severe"/>
      </w:tblPr>
      <w:tblGrid>
        <w:gridCol w:w="870"/>
        <w:gridCol w:w="8368"/>
      </w:tblGrid>
      <w:tr w:rsidR="00834BE2" w:rsidRPr="00834BE2" w14:paraId="218893E6" w14:textId="77777777" w:rsidTr="00D86D6B">
        <w:trPr>
          <w:trHeight w:val="320"/>
          <w:tblHeader/>
        </w:trPr>
        <w:tc>
          <w:tcPr>
            <w:cnfStyle w:val="001000000000" w:firstRow="0" w:lastRow="0" w:firstColumn="1" w:lastColumn="0" w:oddVBand="0" w:evenVBand="0" w:oddHBand="0" w:evenHBand="0" w:firstRowFirstColumn="0" w:firstRowLastColumn="0" w:lastRowFirstColumn="0" w:lastRowLastColumn="0"/>
            <w:tcW w:w="8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1547"/>
            <w:vAlign w:val="center"/>
          </w:tcPr>
          <w:p w14:paraId="2B495338" w14:textId="77777777" w:rsidR="00DB4EB5" w:rsidRPr="00834BE2" w:rsidRDefault="00DB4EB5" w:rsidP="00D86D6B">
            <w:pPr>
              <w:pStyle w:val="Tablecolhead"/>
              <w:rPr>
                <w:color w:val="FFFFFF" w:themeColor="background1"/>
              </w:rPr>
            </w:pPr>
            <w:r w:rsidRPr="00834BE2">
              <w:rPr>
                <w:color w:val="FFFFFF" w:themeColor="background1"/>
              </w:rPr>
              <w:t>Rating</w:t>
            </w:r>
          </w:p>
        </w:tc>
        <w:tc>
          <w:tcPr>
            <w:tcW w:w="83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1547"/>
            <w:vAlign w:val="center"/>
          </w:tcPr>
          <w:p w14:paraId="370A4F14" w14:textId="77777777" w:rsidR="00DB4EB5" w:rsidRPr="00834BE2" w:rsidRDefault="00DB4EB5" w:rsidP="00D86D6B">
            <w:pPr>
              <w:pStyle w:val="Tablecolhead"/>
              <w:cnfStyle w:val="000000000000" w:firstRow="0" w:lastRow="0" w:firstColumn="0" w:lastColumn="0" w:oddVBand="0" w:evenVBand="0" w:oddHBand="0" w:evenHBand="0" w:firstRowFirstColumn="0" w:firstRowLastColumn="0" w:lastRowFirstColumn="0" w:lastRowLastColumn="0"/>
              <w:rPr>
                <w:color w:val="FFFFFF" w:themeColor="background1"/>
              </w:rPr>
            </w:pPr>
            <w:r w:rsidRPr="00834BE2">
              <w:rPr>
                <w:color w:val="FFFFFF" w:themeColor="background1"/>
              </w:rPr>
              <w:t>Description</w:t>
            </w:r>
          </w:p>
        </w:tc>
      </w:tr>
      <w:tr w:rsidR="00DB4EB5" w14:paraId="3273B6F2" w14:textId="77777777" w:rsidTr="00D86D6B">
        <w:trPr>
          <w:trHeight w:val="1698"/>
        </w:trPr>
        <w:tc>
          <w:tcPr>
            <w:cnfStyle w:val="001000000000" w:firstRow="0" w:lastRow="0" w:firstColumn="1" w:lastColumn="0" w:oddVBand="0" w:evenVBand="0" w:oddHBand="0" w:evenHBand="0" w:firstRowFirstColumn="0" w:firstRowLastColumn="0" w:lastRowFirstColumn="0" w:lastRowLastColumn="0"/>
            <w:tcW w:w="870" w:type="dxa"/>
            <w:tcBorders>
              <w:top w:val="single" w:sz="24" w:space="0" w:color="FFFFFF" w:themeColor="background1"/>
            </w:tcBorders>
            <w:vAlign w:val="center"/>
          </w:tcPr>
          <w:p w14:paraId="0F9EAC09" w14:textId="77777777" w:rsidR="00DB4EB5" w:rsidRPr="00BB401F" w:rsidRDefault="00DB4EB5" w:rsidP="00D86D6B">
            <w:pPr>
              <w:pStyle w:val="Body"/>
              <w:spacing w:after="0"/>
              <w:jc w:val="center"/>
              <w:rPr>
                <w:sz w:val="12"/>
                <w:szCs w:val="12"/>
              </w:rPr>
            </w:pPr>
            <w:r>
              <w:rPr>
                <w:noProof/>
                <w:sz w:val="12"/>
                <w:szCs w:val="12"/>
              </w:rPr>
              <w:drawing>
                <wp:inline distT="0" distB="0" distL="0" distR="0" wp14:anchorId="5448B5B7" wp14:editId="04700D78">
                  <wp:extent cx="269875" cy="1067435"/>
                  <wp:effectExtent l="0" t="0" r="0" b="0"/>
                  <wp:docPr id="44" name="Picture 44" descr="Mi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inor"/>
                          <pic:cNvPicPr/>
                        </pic:nvPicPr>
                        <pic:blipFill>
                          <a:blip r:embed="rId14"/>
                          <a:stretch>
                            <a:fillRect/>
                          </a:stretch>
                        </pic:blipFill>
                        <pic:spPr>
                          <a:xfrm>
                            <a:off x="0" y="0"/>
                            <a:ext cx="270002" cy="1067937"/>
                          </a:xfrm>
                          <a:prstGeom prst="rect">
                            <a:avLst/>
                          </a:prstGeom>
                        </pic:spPr>
                      </pic:pic>
                    </a:graphicData>
                  </a:graphic>
                </wp:inline>
              </w:drawing>
            </w:r>
          </w:p>
        </w:tc>
        <w:tc>
          <w:tcPr>
            <w:tcW w:w="8368" w:type="dxa"/>
            <w:tcBorders>
              <w:top w:val="single" w:sz="24" w:space="0" w:color="FFFFFF" w:themeColor="background1"/>
            </w:tcBorders>
            <w:vAlign w:val="center"/>
          </w:tcPr>
          <w:p w14:paraId="553A81B3"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Has no intention to cause harm</w:t>
            </w:r>
          </w:p>
          <w:p w14:paraId="408EA537"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Proactively engages with regulatory process</w:t>
            </w:r>
          </w:p>
          <w:p w14:paraId="3B650C1E"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Implements changes to prevent harms from recurring</w:t>
            </w:r>
          </w:p>
          <w:p w14:paraId="2E8EAC46"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 xml:space="preserve">No history of non-compliance </w:t>
            </w:r>
          </w:p>
        </w:tc>
      </w:tr>
      <w:tr w:rsidR="00DB4EB5" w14:paraId="36FFFF9A" w14:textId="77777777" w:rsidTr="00D86D6B">
        <w:trPr>
          <w:trHeight w:val="1698"/>
        </w:trPr>
        <w:tc>
          <w:tcPr>
            <w:cnfStyle w:val="001000000000" w:firstRow="0" w:lastRow="0" w:firstColumn="1" w:lastColumn="0" w:oddVBand="0" w:evenVBand="0" w:oddHBand="0" w:evenHBand="0" w:firstRowFirstColumn="0" w:firstRowLastColumn="0" w:lastRowFirstColumn="0" w:lastRowLastColumn="0"/>
            <w:tcW w:w="870" w:type="dxa"/>
            <w:vAlign w:val="center"/>
          </w:tcPr>
          <w:p w14:paraId="1C3E40A0" w14:textId="77777777" w:rsidR="00DB4EB5" w:rsidRPr="00BB401F" w:rsidRDefault="00DB4EB5" w:rsidP="00D86D6B">
            <w:pPr>
              <w:pStyle w:val="Body"/>
              <w:spacing w:after="0"/>
              <w:jc w:val="center"/>
              <w:rPr>
                <w:sz w:val="12"/>
                <w:szCs w:val="12"/>
              </w:rPr>
            </w:pPr>
            <w:r>
              <w:rPr>
                <w:noProof/>
                <w:sz w:val="12"/>
                <w:szCs w:val="12"/>
              </w:rPr>
              <w:drawing>
                <wp:inline distT="0" distB="0" distL="0" distR="0" wp14:anchorId="59C15BDB" wp14:editId="69EDC14A">
                  <wp:extent cx="269875" cy="1032298"/>
                  <wp:effectExtent l="0" t="0" r="0" b="0"/>
                  <wp:docPr id="45" name="Picture 45" descr="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edium"/>
                          <pic:cNvPicPr/>
                        </pic:nvPicPr>
                        <pic:blipFill>
                          <a:blip r:embed="rId15"/>
                          <a:stretch>
                            <a:fillRect/>
                          </a:stretch>
                        </pic:blipFill>
                        <pic:spPr>
                          <a:xfrm>
                            <a:off x="0" y="0"/>
                            <a:ext cx="271244" cy="1037535"/>
                          </a:xfrm>
                          <a:prstGeom prst="rect">
                            <a:avLst/>
                          </a:prstGeom>
                        </pic:spPr>
                      </pic:pic>
                    </a:graphicData>
                  </a:graphic>
                </wp:inline>
              </w:drawing>
            </w:r>
          </w:p>
        </w:tc>
        <w:tc>
          <w:tcPr>
            <w:tcW w:w="8368" w:type="dxa"/>
            <w:vAlign w:val="center"/>
          </w:tcPr>
          <w:p w14:paraId="1B420462"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Acknowledges regulatory process but lacks capacity to comply</w:t>
            </w:r>
          </w:p>
          <w:p w14:paraId="4EAED74D"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Has lax attitude to compliance, requiring intervention by regulator</w:t>
            </w:r>
          </w:p>
          <w:p w14:paraId="24868B8D"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Demonstrates patterns of disregard towards compliance requirements</w:t>
            </w:r>
          </w:p>
          <w:p w14:paraId="58A46D3F"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Fails to address reoccurrence of non-compliance</w:t>
            </w:r>
          </w:p>
        </w:tc>
      </w:tr>
      <w:tr w:rsidR="00DB4EB5" w14:paraId="05C5D932" w14:textId="77777777" w:rsidTr="00D86D6B">
        <w:trPr>
          <w:trHeight w:val="1698"/>
        </w:trPr>
        <w:tc>
          <w:tcPr>
            <w:cnfStyle w:val="001000000000" w:firstRow="0" w:lastRow="0" w:firstColumn="1" w:lastColumn="0" w:oddVBand="0" w:evenVBand="0" w:oddHBand="0" w:evenHBand="0" w:firstRowFirstColumn="0" w:firstRowLastColumn="0" w:lastRowFirstColumn="0" w:lastRowLastColumn="0"/>
            <w:tcW w:w="870" w:type="dxa"/>
            <w:vAlign w:val="center"/>
          </w:tcPr>
          <w:p w14:paraId="15FD7823" w14:textId="77777777" w:rsidR="00DB4EB5" w:rsidRPr="00BB401F" w:rsidRDefault="00DB4EB5" w:rsidP="00D86D6B">
            <w:pPr>
              <w:pStyle w:val="Body"/>
              <w:spacing w:after="0"/>
              <w:jc w:val="center"/>
              <w:rPr>
                <w:sz w:val="12"/>
                <w:szCs w:val="12"/>
              </w:rPr>
            </w:pPr>
            <w:r>
              <w:rPr>
                <w:noProof/>
                <w:sz w:val="12"/>
                <w:szCs w:val="12"/>
              </w:rPr>
              <w:drawing>
                <wp:inline distT="0" distB="0" distL="0" distR="0" wp14:anchorId="611D20D4" wp14:editId="358142E7">
                  <wp:extent cx="269875" cy="1054735"/>
                  <wp:effectExtent l="0" t="0" r="0" b="0"/>
                  <wp:docPr id="46" name="Picture 46" descr="Ma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Major"/>
                          <pic:cNvPicPr/>
                        </pic:nvPicPr>
                        <pic:blipFill>
                          <a:blip r:embed="rId16"/>
                          <a:stretch>
                            <a:fillRect/>
                          </a:stretch>
                        </pic:blipFill>
                        <pic:spPr>
                          <a:xfrm>
                            <a:off x="0" y="0"/>
                            <a:ext cx="270000" cy="1055224"/>
                          </a:xfrm>
                          <a:prstGeom prst="rect">
                            <a:avLst/>
                          </a:prstGeom>
                        </pic:spPr>
                      </pic:pic>
                    </a:graphicData>
                  </a:graphic>
                </wp:inline>
              </w:drawing>
            </w:r>
          </w:p>
        </w:tc>
        <w:tc>
          <w:tcPr>
            <w:tcW w:w="8368" w:type="dxa"/>
            <w:vAlign w:val="center"/>
          </w:tcPr>
          <w:p w14:paraId="37F68B3E"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 xml:space="preserve">Reckless conduct that gives no thought to risk </w:t>
            </w:r>
          </w:p>
          <w:p w14:paraId="084889AA"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Repeated non-compliance or systemic avoidance of compliance</w:t>
            </w:r>
          </w:p>
          <w:p w14:paraId="61D604D0"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Ignorant of compliance requirements</w:t>
            </w:r>
          </w:p>
          <w:p w14:paraId="6A839965"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Exhibits behaviour that enables others' non-compliance</w:t>
            </w:r>
          </w:p>
          <w:p w14:paraId="55A09EDE"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Failing to act despite knowing of existing harms and consequences of non-compliance</w:t>
            </w:r>
          </w:p>
          <w:p w14:paraId="0DFB8910"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Non-acknowledgement or non-engagement with regulatory process</w:t>
            </w:r>
          </w:p>
        </w:tc>
      </w:tr>
      <w:tr w:rsidR="00DB4EB5" w14:paraId="43B0D2F8" w14:textId="77777777" w:rsidTr="00D86D6B">
        <w:trPr>
          <w:trHeight w:val="1698"/>
        </w:trPr>
        <w:tc>
          <w:tcPr>
            <w:cnfStyle w:val="001000000000" w:firstRow="0" w:lastRow="0" w:firstColumn="1" w:lastColumn="0" w:oddVBand="0" w:evenVBand="0" w:oddHBand="0" w:evenHBand="0" w:firstRowFirstColumn="0" w:firstRowLastColumn="0" w:lastRowFirstColumn="0" w:lastRowLastColumn="0"/>
            <w:tcW w:w="0" w:type="dxa"/>
            <w:vAlign w:val="center"/>
          </w:tcPr>
          <w:p w14:paraId="122A175A" w14:textId="77777777" w:rsidR="00DB4EB5" w:rsidRPr="00BB401F" w:rsidRDefault="00DB4EB5" w:rsidP="00D86D6B">
            <w:pPr>
              <w:pStyle w:val="Body"/>
              <w:spacing w:after="0"/>
              <w:jc w:val="center"/>
              <w:rPr>
                <w:sz w:val="12"/>
                <w:szCs w:val="12"/>
              </w:rPr>
            </w:pPr>
            <w:r>
              <w:rPr>
                <w:noProof/>
                <w:sz w:val="12"/>
                <w:szCs w:val="12"/>
              </w:rPr>
              <w:drawing>
                <wp:inline distT="0" distB="0" distL="0" distR="0" wp14:anchorId="3AF0623F" wp14:editId="32F5EBEC">
                  <wp:extent cx="269875" cy="983403"/>
                  <wp:effectExtent l="0" t="0" r="0" b="7620"/>
                  <wp:docPr id="47" name="Picture 47" descr="Sev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evere"/>
                          <pic:cNvPicPr/>
                        </pic:nvPicPr>
                        <pic:blipFill>
                          <a:blip r:embed="rId24">
                            <a:extLst>
                              <a:ext uri="{BEBA8EAE-BF5A-486C-A8C5-ECC9F3942E4B}">
                                <a14:imgProps xmlns:a14="http://schemas.microsoft.com/office/drawing/2010/main">
                                  <a14:imgLayer r:embed="rId25">
                                    <a14:imgEffect>
                                      <a14:colorTemperature colorTemp="10076"/>
                                    </a14:imgEffect>
                                  </a14:imgLayer>
                                </a14:imgProps>
                              </a:ext>
                            </a:extLst>
                          </a:blip>
                          <a:stretch>
                            <a:fillRect/>
                          </a:stretch>
                        </pic:blipFill>
                        <pic:spPr>
                          <a:xfrm>
                            <a:off x="0" y="0"/>
                            <a:ext cx="272338" cy="992377"/>
                          </a:xfrm>
                          <a:prstGeom prst="rect">
                            <a:avLst/>
                          </a:prstGeom>
                        </pic:spPr>
                      </pic:pic>
                    </a:graphicData>
                  </a:graphic>
                </wp:inline>
              </w:drawing>
            </w:r>
          </w:p>
        </w:tc>
        <w:tc>
          <w:tcPr>
            <w:tcW w:w="0" w:type="dxa"/>
            <w:vAlign w:val="center"/>
          </w:tcPr>
          <w:p w14:paraId="73CE9668"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Deliberate, wilful or misleading conduct that includes ongoing non-compliance</w:t>
            </w:r>
          </w:p>
          <w:p w14:paraId="576D1542"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 xml:space="preserve">Deliberate omissions and action driven by personal gain </w:t>
            </w:r>
          </w:p>
          <w:p w14:paraId="0ED55A06"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Deliberately inflicting harm, exploitative acts, predatory behaviour and criminal acts</w:t>
            </w:r>
          </w:p>
          <w:p w14:paraId="29EB51E0" w14:textId="77777777" w:rsidR="00DB4EB5" w:rsidRDefault="00DB4EB5" w:rsidP="00DB4EB5">
            <w:pPr>
              <w:pStyle w:val="Tablebullet1"/>
              <w:spacing w:before="60"/>
              <w:cnfStyle w:val="000000000000" w:firstRow="0" w:lastRow="0" w:firstColumn="0" w:lastColumn="0" w:oddVBand="0" w:evenVBand="0" w:oddHBand="0" w:evenHBand="0" w:firstRowFirstColumn="0" w:firstRowLastColumn="0" w:lastRowFirstColumn="0" w:lastRowLastColumn="0"/>
            </w:pPr>
            <w:r>
              <w:t>No regard to obvious harm or consequences, or actively hindering regulatory action</w:t>
            </w:r>
          </w:p>
        </w:tc>
      </w:tr>
    </w:tbl>
    <w:p w14:paraId="719A50B4" w14:textId="77777777" w:rsidR="00DB4EB5" w:rsidRDefault="00DB4EB5" w:rsidP="00DB4EB5">
      <w:pPr>
        <w:pStyle w:val="Heading1"/>
      </w:pPr>
      <w:bookmarkStart w:id="24" w:name="_Toc167289982"/>
      <w:bookmarkStart w:id="25" w:name="_Toc170132556"/>
      <w:bookmarkStart w:id="26" w:name="_Toc68684348"/>
      <w:bookmarkEnd w:id="2"/>
      <w:r w:rsidRPr="009650CE">
        <w:t>Regulatory toolkit</w:t>
      </w:r>
      <w:bookmarkEnd w:id="24"/>
      <w:bookmarkEnd w:id="25"/>
    </w:p>
    <w:p w14:paraId="4816F6B6" w14:textId="77777777" w:rsidR="00DB4EB5" w:rsidRDefault="00DB4EB5" w:rsidP="00DB4EB5">
      <w:pPr>
        <w:pStyle w:val="Body"/>
      </w:pPr>
      <w:r>
        <w:t xml:space="preserve">The Regulator has a suite of regulatory tools and levers to promote, maintain and ensure compliance with the requirements of the scheme. We achieve our regulatory outcomes by adopting a risk-based, graduated approach to compliance (refer to Figure 2 below) and combining a variety of actions where required. </w:t>
      </w:r>
    </w:p>
    <w:p w14:paraId="34037E8F" w14:textId="77777777" w:rsidR="00DB4EB5" w:rsidRDefault="00DB4EB5" w:rsidP="00DB4EB5">
      <w:pPr>
        <w:pStyle w:val="Body"/>
      </w:pPr>
      <w:r>
        <w:t xml:space="preserve">Table 4 sets out the five broad categories of regulatory tools and levers we use to facilitate our regulatory approach. The Regulator may take a range of compliance and/or enforcement actions including but not limited to those listed in Table 5. </w:t>
      </w:r>
    </w:p>
    <w:p w14:paraId="051AF0A5" w14:textId="77777777" w:rsidR="00DB4EB5" w:rsidRDefault="00DB4EB5" w:rsidP="005D542F">
      <w:pPr>
        <w:pStyle w:val="Heading2"/>
      </w:pPr>
      <w:bookmarkStart w:id="27" w:name="_Toc170132557"/>
      <w:r>
        <w:lastRenderedPageBreak/>
        <w:t>Figure 2: Graduated approach to compliance</w:t>
      </w:r>
      <w:bookmarkEnd w:id="27"/>
    </w:p>
    <w:p w14:paraId="758EA25C" w14:textId="2D855539" w:rsidR="00DB4EB5" w:rsidRDefault="00D84E83" w:rsidP="00DB4EB5">
      <w:pPr>
        <w:pStyle w:val="Body"/>
      </w:pPr>
      <w:r>
        <w:rPr>
          <w:noProof/>
        </w:rPr>
        <w:drawing>
          <wp:inline distT="0" distB="0" distL="0" distR="0" wp14:anchorId="3A28305B" wp14:editId="00B75DA4">
            <wp:extent cx="5359132" cy="4044950"/>
            <wp:effectExtent l="0" t="0" r="0" b="0"/>
            <wp:docPr id="242179255" name="Picture 3" descr="This figure shows the graduated approach to compliance with guidance and education and compliance monitoring and support for lower levels of risk and culpability and enforcement action and full force of the law for higher levels of risk and culpa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79255" name="Picture 3" descr="This figure shows the graduated approach to compliance with guidance and education and compliance monitoring and support for lower levels of risk and culpability and enforcement action and full force of the law for higher levels of risk and culpability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3226" cy="4078231"/>
                    </a:xfrm>
                    <a:prstGeom prst="rect">
                      <a:avLst/>
                    </a:prstGeom>
                    <a:noFill/>
                    <a:ln>
                      <a:noFill/>
                    </a:ln>
                  </pic:spPr>
                </pic:pic>
              </a:graphicData>
            </a:graphic>
          </wp:inline>
        </w:drawing>
      </w:r>
    </w:p>
    <w:p w14:paraId="7BF79B01" w14:textId="36C80EFF" w:rsidR="00DB4EB5" w:rsidRPr="0078457B" w:rsidRDefault="00DB4EB5" w:rsidP="005D542F">
      <w:pPr>
        <w:pStyle w:val="Heading2"/>
      </w:pPr>
      <w:bookmarkStart w:id="28" w:name="_Toc170132558"/>
      <w:r w:rsidRPr="00E17EBC">
        <w:t xml:space="preserve">Table </w:t>
      </w:r>
      <w:r>
        <w:t>4:</w:t>
      </w:r>
      <w:r w:rsidRPr="0078457B">
        <w:t xml:space="preserve"> Regulatory tools and levers</w:t>
      </w:r>
      <w:bookmarkEnd w:id="28"/>
    </w:p>
    <w:tbl>
      <w:tblPr>
        <w:tblStyle w:val="TableGrid"/>
        <w:tblW w:w="9214" w:type="dxa"/>
        <w:tblLayout w:type="fixed"/>
        <w:tblLook w:val="06A0" w:firstRow="1" w:lastRow="0" w:firstColumn="1" w:lastColumn="0" w:noHBand="1" w:noVBand="1"/>
      </w:tblPr>
      <w:tblGrid>
        <w:gridCol w:w="2571"/>
        <w:gridCol w:w="6643"/>
      </w:tblGrid>
      <w:tr w:rsidR="00DB4EB5" w:rsidRPr="00DC102C" w14:paraId="1B734648" w14:textId="77777777" w:rsidTr="00D86D6B">
        <w:trPr>
          <w:tblHeader/>
        </w:trPr>
        <w:tc>
          <w:tcPr>
            <w:tcW w:w="2571" w:type="dxa"/>
          </w:tcPr>
          <w:p w14:paraId="650271AB" w14:textId="77777777" w:rsidR="00DB4EB5" w:rsidRPr="00C423CF" w:rsidRDefault="00DB4EB5" w:rsidP="00D86D6B">
            <w:pPr>
              <w:pStyle w:val="Tablecolhead"/>
              <w:rPr>
                <w:color w:val="auto"/>
                <w:szCs w:val="21"/>
              </w:rPr>
            </w:pPr>
            <w:r w:rsidRPr="00C423CF">
              <w:rPr>
                <w:color w:val="auto"/>
              </w:rPr>
              <w:t>Tool</w:t>
            </w:r>
          </w:p>
        </w:tc>
        <w:tc>
          <w:tcPr>
            <w:tcW w:w="6643" w:type="dxa"/>
          </w:tcPr>
          <w:p w14:paraId="29CF9426" w14:textId="77777777" w:rsidR="00DB4EB5" w:rsidRPr="00C423CF" w:rsidRDefault="00DB4EB5" w:rsidP="00D86D6B">
            <w:pPr>
              <w:pStyle w:val="Tablecolhead"/>
              <w:rPr>
                <w:color w:val="auto"/>
              </w:rPr>
            </w:pPr>
            <w:r w:rsidRPr="00C423CF">
              <w:rPr>
                <w:color w:val="auto"/>
              </w:rPr>
              <w:t>Role</w:t>
            </w:r>
          </w:p>
        </w:tc>
      </w:tr>
      <w:tr w:rsidR="00DB4EB5" w:rsidRPr="006B6B93" w14:paraId="711A8E47" w14:textId="77777777" w:rsidTr="00D86D6B">
        <w:tc>
          <w:tcPr>
            <w:tcW w:w="2571" w:type="dxa"/>
          </w:tcPr>
          <w:p w14:paraId="305BEEC8" w14:textId="77777777" w:rsidR="00DB4EB5" w:rsidRPr="006B6B93" w:rsidRDefault="00DB4EB5" w:rsidP="00D86D6B">
            <w:pPr>
              <w:pStyle w:val="Tabletext"/>
              <w:rPr>
                <w:bCs/>
                <w:highlight w:val="yellow"/>
              </w:rPr>
            </w:pPr>
            <w:r w:rsidRPr="00C423CF">
              <w:t>Registration</w:t>
            </w:r>
          </w:p>
        </w:tc>
        <w:tc>
          <w:tcPr>
            <w:tcW w:w="6643" w:type="dxa"/>
          </w:tcPr>
          <w:p w14:paraId="51E43217" w14:textId="77777777" w:rsidR="00DB4EB5" w:rsidRPr="00C423CF" w:rsidRDefault="00DB4EB5" w:rsidP="00D86D6B">
            <w:pPr>
              <w:pStyle w:val="Tabletext"/>
            </w:pPr>
            <w:r w:rsidRPr="00C423CF">
              <w:t xml:space="preserve">Preventative risk management by identifying and screening applicants to ensure that they </w:t>
            </w:r>
            <w:r>
              <w:t xml:space="preserve">understand their legislative obligations and </w:t>
            </w:r>
            <w:r w:rsidRPr="00C423CF">
              <w:t xml:space="preserve">meet </w:t>
            </w:r>
            <w:r>
              <w:t xml:space="preserve">the </w:t>
            </w:r>
            <w:r w:rsidRPr="00C423CF">
              <w:t xml:space="preserve">suitability requirements. </w:t>
            </w:r>
          </w:p>
          <w:p w14:paraId="3A62887A" w14:textId="77777777" w:rsidR="00DB4EB5" w:rsidRPr="006B6B93" w:rsidRDefault="00DB4EB5" w:rsidP="00D86D6B">
            <w:pPr>
              <w:pStyle w:val="Tabletext"/>
              <w:rPr>
                <w:highlight w:val="yellow"/>
              </w:rPr>
            </w:pPr>
            <w:r>
              <w:t>I</w:t>
            </w:r>
            <w:r w:rsidRPr="00C423CF">
              <w:t>mposing interim or ongoing conditions to minimise risk or risk of harm.</w:t>
            </w:r>
          </w:p>
        </w:tc>
      </w:tr>
      <w:tr w:rsidR="00DB4EB5" w:rsidRPr="006B6B93" w14:paraId="48D5116C" w14:textId="77777777" w:rsidTr="00D86D6B">
        <w:tc>
          <w:tcPr>
            <w:tcW w:w="2571" w:type="dxa"/>
          </w:tcPr>
          <w:p w14:paraId="22D13175" w14:textId="77777777" w:rsidR="00DB4EB5" w:rsidRPr="00642996" w:rsidRDefault="00DB4EB5" w:rsidP="00D86D6B">
            <w:pPr>
              <w:pStyle w:val="Tabletext"/>
              <w:rPr>
                <w:bCs/>
              </w:rPr>
            </w:pPr>
            <w:r>
              <w:rPr>
                <w:bCs/>
              </w:rPr>
              <w:t>Guidance and support to comply</w:t>
            </w:r>
            <w:r w:rsidRPr="008C6AEA">
              <w:rPr>
                <w:bCs/>
              </w:rPr>
              <w:t xml:space="preserve"> </w:t>
            </w:r>
          </w:p>
        </w:tc>
        <w:tc>
          <w:tcPr>
            <w:tcW w:w="6643" w:type="dxa"/>
          </w:tcPr>
          <w:p w14:paraId="4E630C20" w14:textId="77777777" w:rsidR="00DB4EB5" w:rsidRPr="00642996" w:rsidRDefault="00DB4EB5" w:rsidP="00D86D6B">
            <w:pPr>
              <w:pStyle w:val="Tabletext"/>
            </w:pPr>
            <w:r>
              <w:t xml:space="preserve">Capacity building in </w:t>
            </w:r>
            <w:r w:rsidRPr="008C6AEA">
              <w:t xml:space="preserve">response to </w:t>
            </w:r>
            <w:r>
              <w:t xml:space="preserve">identified </w:t>
            </w:r>
            <w:r w:rsidRPr="008C6AEA">
              <w:t xml:space="preserve">minor non-compliances. </w:t>
            </w:r>
          </w:p>
        </w:tc>
      </w:tr>
      <w:tr w:rsidR="00DB4EB5" w:rsidRPr="006B6B93" w14:paraId="330EF61D" w14:textId="77777777" w:rsidTr="00D86D6B">
        <w:tc>
          <w:tcPr>
            <w:tcW w:w="2571" w:type="dxa"/>
          </w:tcPr>
          <w:p w14:paraId="310A485B" w14:textId="77777777" w:rsidR="00DB4EB5" w:rsidRPr="006B6B93" w:rsidRDefault="00DB4EB5" w:rsidP="00D86D6B">
            <w:pPr>
              <w:pStyle w:val="Tabletext"/>
              <w:rPr>
                <w:bCs/>
                <w:highlight w:val="yellow"/>
              </w:rPr>
            </w:pPr>
            <w:r w:rsidRPr="00C423CF">
              <w:t>Information gathering and monitoring</w:t>
            </w:r>
          </w:p>
        </w:tc>
        <w:tc>
          <w:tcPr>
            <w:tcW w:w="6643" w:type="dxa"/>
          </w:tcPr>
          <w:p w14:paraId="7286A904" w14:textId="77777777" w:rsidR="00DB4EB5" w:rsidRPr="006B6B93" w:rsidRDefault="00DB4EB5" w:rsidP="00D86D6B">
            <w:pPr>
              <w:pStyle w:val="Tabletext"/>
              <w:rPr>
                <w:highlight w:val="yellow"/>
              </w:rPr>
            </w:pPr>
            <w:r w:rsidRPr="00C423CF">
              <w:t xml:space="preserve">Proactive and responsive measures to monitor </w:t>
            </w:r>
            <w:r>
              <w:t>compliance,</w:t>
            </w:r>
            <w:r w:rsidRPr="00C423CF">
              <w:t xml:space="preserve"> identify risks</w:t>
            </w:r>
            <w:r>
              <w:t xml:space="preserve"> and guide our decision making.</w:t>
            </w:r>
            <w:r w:rsidRPr="00C423CF">
              <w:t xml:space="preserve"> </w:t>
            </w:r>
          </w:p>
        </w:tc>
      </w:tr>
      <w:tr w:rsidR="00DB4EB5" w:rsidRPr="006B6B93" w14:paraId="472E27A8" w14:textId="77777777" w:rsidTr="00D86D6B">
        <w:tc>
          <w:tcPr>
            <w:tcW w:w="2571" w:type="dxa"/>
          </w:tcPr>
          <w:p w14:paraId="60049385" w14:textId="77777777" w:rsidR="00DB4EB5" w:rsidRPr="00C423CF" w:rsidRDefault="00DB4EB5" w:rsidP="00D86D6B">
            <w:pPr>
              <w:pStyle w:val="Tabletext"/>
            </w:pPr>
            <w:r w:rsidRPr="00C423CF">
              <w:t xml:space="preserve">Referrals and co-regulation </w:t>
            </w:r>
          </w:p>
        </w:tc>
        <w:tc>
          <w:tcPr>
            <w:tcW w:w="6643" w:type="dxa"/>
          </w:tcPr>
          <w:p w14:paraId="2A9C3F1E" w14:textId="31916432" w:rsidR="00DB4EB5" w:rsidRPr="006B6B93" w:rsidRDefault="00DB4EB5" w:rsidP="00D86D6B">
            <w:pPr>
              <w:pStyle w:val="Tabletext"/>
              <w:rPr>
                <w:highlight w:val="yellow"/>
              </w:rPr>
            </w:pPr>
            <w:r w:rsidRPr="00C423CF">
              <w:t xml:space="preserve">Sharing information, joint operations and referrals </w:t>
            </w:r>
            <w:r w:rsidR="008F2991">
              <w:t xml:space="preserve">to </w:t>
            </w:r>
            <w:r w:rsidRPr="00C423CF">
              <w:t>allow better targeting and broader reach in</w:t>
            </w:r>
            <w:r>
              <w:t xml:space="preserve"> preventing non-compliances or addressing harms.  This also seeks to reduce regulatory burden. </w:t>
            </w:r>
          </w:p>
        </w:tc>
      </w:tr>
      <w:tr w:rsidR="00DB4EB5" w:rsidRPr="006B6B93" w14:paraId="7DA317F2" w14:textId="77777777" w:rsidTr="00D86D6B">
        <w:trPr>
          <w:trHeight w:val="858"/>
        </w:trPr>
        <w:tc>
          <w:tcPr>
            <w:tcW w:w="2571" w:type="dxa"/>
          </w:tcPr>
          <w:p w14:paraId="50B435FE" w14:textId="77777777" w:rsidR="00DB4EB5" w:rsidRPr="006B6B93" w:rsidRDefault="00DB4EB5" w:rsidP="00D86D6B">
            <w:pPr>
              <w:pStyle w:val="Tabletext"/>
              <w:rPr>
                <w:bCs/>
                <w:highlight w:val="yellow"/>
              </w:rPr>
            </w:pPr>
            <w:r>
              <w:rPr>
                <w:bCs/>
              </w:rPr>
              <w:t>Compliance and enforcement actions</w:t>
            </w:r>
          </w:p>
        </w:tc>
        <w:tc>
          <w:tcPr>
            <w:tcW w:w="6643" w:type="dxa"/>
          </w:tcPr>
          <w:p w14:paraId="2C882292" w14:textId="77777777" w:rsidR="00DB4EB5" w:rsidRPr="006B6B93" w:rsidRDefault="00DB4EB5" w:rsidP="00D86D6B">
            <w:pPr>
              <w:pStyle w:val="Tabletext"/>
              <w:rPr>
                <w:highlight w:val="yellow"/>
              </w:rPr>
            </w:pPr>
            <w:r>
              <w:rPr>
                <w:rFonts w:cs="Arial"/>
              </w:rPr>
              <w:t xml:space="preserve">Interventions to stop or prevent non-compliances by duty holders from occurring and to prevent or minimise harm or risk of harm to service users. </w:t>
            </w:r>
          </w:p>
        </w:tc>
      </w:tr>
    </w:tbl>
    <w:p w14:paraId="74DAA81B" w14:textId="77777777" w:rsidR="00DB4EB5" w:rsidRPr="00FB1948" w:rsidRDefault="00DB4EB5" w:rsidP="005D542F">
      <w:pPr>
        <w:pStyle w:val="Heading2"/>
      </w:pPr>
      <w:bookmarkStart w:id="29" w:name="_Toc170132559"/>
      <w:r w:rsidRPr="006A11F7">
        <w:t>Table</w:t>
      </w:r>
      <w:r>
        <w:t xml:space="preserve"> 5:</w:t>
      </w:r>
      <w:r w:rsidRPr="006A11F7">
        <w:t xml:space="preserve"> Compliance and enforcement actions</w:t>
      </w:r>
      <w:bookmarkEnd w:id="29"/>
    </w:p>
    <w:tbl>
      <w:tblPr>
        <w:tblStyle w:val="TableGrid"/>
        <w:tblW w:w="0" w:type="auto"/>
        <w:tblLook w:val="04A0" w:firstRow="1" w:lastRow="0" w:firstColumn="1" w:lastColumn="0" w:noHBand="0" w:noVBand="1"/>
      </w:tblPr>
      <w:tblGrid>
        <w:gridCol w:w="2547"/>
        <w:gridCol w:w="6741"/>
      </w:tblGrid>
      <w:tr w:rsidR="00DB4EB5" w14:paraId="728AA947" w14:textId="77777777" w:rsidTr="00D86D6B">
        <w:tc>
          <w:tcPr>
            <w:tcW w:w="2547" w:type="dxa"/>
          </w:tcPr>
          <w:p w14:paraId="03700421" w14:textId="77777777" w:rsidR="00DB4EB5" w:rsidRPr="00FC6793" w:rsidRDefault="00DB4EB5" w:rsidP="00D86D6B">
            <w:pPr>
              <w:pStyle w:val="Tablecolhead"/>
              <w:rPr>
                <w:color w:val="auto"/>
              </w:rPr>
            </w:pPr>
            <w:r w:rsidRPr="00FC6793">
              <w:rPr>
                <w:color w:val="auto"/>
              </w:rPr>
              <w:t>Type of action</w:t>
            </w:r>
          </w:p>
        </w:tc>
        <w:tc>
          <w:tcPr>
            <w:tcW w:w="6741" w:type="dxa"/>
          </w:tcPr>
          <w:p w14:paraId="7B5B2440" w14:textId="77777777" w:rsidR="00DB4EB5" w:rsidRDefault="00DB4EB5" w:rsidP="00D86D6B">
            <w:pPr>
              <w:pStyle w:val="Tablecolhead"/>
            </w:pPr>
            <w:r>
              <w:rPr>
                <w:color w:val="auto"/>
              </w:rPr>
              <w:t>Scope</w:t>
            </w:r>
          </w:p>
        </w:tc>
      </w:tr>
      <w:tr w:rsidR="00DB4EB5" w14:paraId="265BD2A4" w14:textId="77777777" w:rsidTr="00D86D6B">
        <w:tc>
          <w:tcPr>
            <w:tcW w:w="2547" w:type="dxa"/>
          </w:tcPr>
          <w:p w14:paraId="4C8CF6B6" w14:textId="77777777" w:rsidR="00DB4EB5" w:rsidRDefault="00DB4EB5" w:rsidP="00D86D6B">
            <w:pPr>
              <w:pStyle w:val="Body"/>
            </w:pPr>
            <w:r>
              <w:t>Requests for information</w:t>
            </w:r>
          </w:p>
        </w:tc>
        <w:tc>
          <w:tcPr>
            <w:tcW w:w="6741" w:type="dxa"/>
          </w:tcPr>
          <w:p w14:paraId="56E18FF0" w14:textId="77777777" w:rsidR="00DB4EB5" w:rsidRDefault="00DB4EB5" w:rsidP="00D86D6B">
            <w:pPr>
              <w:pStyle w:val="Body"/>
            </w:pPr>
            <w:r>
              <w:t>Multiple parties including service providers (including for the purposes of Child Safe Standards)</w:t>
            </w:r>
          </w:p>
        </w:tc>
      </w:tr>
      <w:tr w:rsidR="00DB4EB5" w14:paraId="30039F47" w14:textId="77777777" w:rsidTr="00D86D6B">
        <w:tc>
          <w:tcPr>
            <w:tcW w:w="2547" w:type="dxa"/>
          </w:tcPr>
          <w:p w14:paraId="2BAC98FF" w14:textId="77777777" w:rsidR="00DB4EB5" w:rsidRDefault="00DB4EB5" w:rsidP="00D86D6B">
            <w:pPr>
              <w:pStyle w:val="Body"/>
            </w:pPr>
            <w:r>
              <w:lastRenderedPageBreak/>
              <w:t>Enter premises with or without search warrant</w:t>
            </w:r>
          </w:p>
        </w:tc>
        <w:tc>
          <w:tcPr>
            <w:tcW w:w="6741" w:type="dxa"/>
          </w:tcPr>
          <w:p w14:paraId="17764A0D" w14:textId="77777777" w:rsidR="00DB4EB5" w:rsidRDefault="00DB4EB5" w:rsidP="00D86D6B">
            <w:pPr>
              <w:pStyle w:val="Body"/>
            </w:pPr>
            <w:r>
              <w:t>Service providers (including for the purposes of Child Safe Standards) and unregistered providers in some circumstances</w:t>
            </w:r>
          </w:p>
        </w:tc>
      </w:tr>
      <w:tr w:rsidR="00DB4EB5" w14:paraId="26803B0D" w14:textId="77777777" w:rsidTr="00D86D6B">
        <w:tc>
          <w:tcPr>
            <w:tcW w:w="2547" w:type="dxa"/>
          </w:tcPr>
          <w:p w14:paraId="1602365F" w14:textId="77777777" w:rsidR="00DB4EB5" w:rsidRDefault="00DB4EB5" w:rsidP="00D86D6B">
            <w:pPr>
              <w:pStyle w:val="Body"/>
            </w:pPr>
            <w:r>
              <w:t>Improvement notices</w:t>
            </w:r>
          </w:p>
        </w:tc>
        <w:tc>
          <w:tcPr>
            <w:tcW w:w="6741" w:type="dxa"/>
          </w:tcPr>
          <w:p w14:paraId="6DEC8A3D" w14:textId="77777777" w:rsidR="00DB4EB5" w:rsidRDefault="00DB4EB5" w:rsidP="00D86D6B">
            <w:pPr>
              <w:pStyle w:val="Body"/>
            </w:pPr>
            <w:r>
              <w:t>Service providers (including for the purposes of Child Safe Standards)</w:t>
            </w:r>
          </w:p>
        </w:tc>
      </w:tr>
      <w:tr w:rsidR="00DB4EB5" w14:paraId="364AF4CD" w14:textId="77777777" w:rsidTr="00D86D6B">
        <w:tc>
          <w:tcPr>
            <w:tcW w:w="2547" w:type="dxa"/>
          </w:tcPr>
          <w:p w14:paraId="206622FD" w14:textId="77777777" w:rsidR="00DB4EB5" w:rsidRDefault="00DB4EB5" w:rsidP="00D86D6B">
            <w:pPr>
              <w:pStyle w:val="Body"/>
            </w:pPr>
            <w:r>
              <w:t>Prohibition notices</w:t>
            </w:r>
          </w:p>
        </w:tc>
        <w:tc>
          <w:tcPr>
            <w:tcW w:w="6741" w:type="dxa"/>
          </w:tcPr>
          <w:p w14:paraId="0958FF68" w14:textId="77777777" w:rsidR="00DB4EB5" w:rsidRDefault="00DB4EB5" w:rsidP="00D86D6B">
            <w:pPr>
              <w:pStyle w:val="Body"/>
            </w:pPr>
            <w:r>
              <w:t xml:space="preserve">Service providers </w:t>
            </w:r>
          </w:p>
        </w:tc>
      </w:tr>
      <w:tr w:rsidR="00DB4EB5" w14:paraId="38992015" w14:textId="77777777" w:rsidTr="00D86D6B">
        <w:tc>
          <w:tcPr>
            <w:tcW w:w="2547" w:type="dxa"/>
          </w:tcPr>
          <w:p w14:paraId="749E22E7" w14:textId="77777777" w:rsidR="00DB4EB5" w:rsidRDefault="00DB4EB5" w:rsidP="00D86D6B">
            <w:pPr>
              <w:pStyle w:val="Body"/>
            </w:pPr>
            <w:r>
              <w:t xml:space="preserve">Verbal direction to cease activity </w:t>
            </w:r>
          </w:p>
        </w:tc>
        <w:tc>
          <w:tcPr>
            <w:tcW w:w="6741" w:type="dxa"/>
          </w:tcPr>
          <w:p w14:paraId="71ADEE3A" w14:textId="77777777" w:rsidR="00DB4EB5" w:rsidRDefault="00DB4EB5" w:rsidP="00D86D6B">
            <w:pPr>
              <w:pStyle w:val="Body"/>
            </w:pPr>
            <w:r>
              <w:t>Service providers</w:t>
            </w:r>
          </w:p>
        </w:tc>
      </w:tr>
      <w:tr w:rsidR="00DB4EB5" w14:paraId="70340664" w14:textId="77777777" w:rsidTr="00D86D6B">
        <w:tc>
          <w:tcPr>
            <w:tcW w:w="2547" w:type="dxa"/>
          </w:tcPr>
          <w:p w14:paraId="65708697" w14:textId="77777777" w:rsidR="00DB4EB5" w:rsidRDefault="00DB4EB5" w:rsidP="00D86D6B">
            <w:pPr>
              <w:pStyle w:val="Body"/>
            </w:pPr>
            <w:r>
              <w:t>Enforceable undertaking</w:t>
            </w:r>
          </w:p>
        </w:tc>
        <w:tc>
          <w:tcPr>
            <w:tcW w:w="6741" w:type="dxa"/>
          </w:tcPr>
          <w:p w14:paraId="28E83B34" w14:textId="77777777" w:rsidR="00DB4EB5" w:rsidRDefault="00DB4EB5" w:rsidP="00D86D6B">
            <w:pPr>
              <w:pStyle w:val="Body"/>
            </w:pPr>
            <w:r>
              <w:t>Service providers (including for the purposes of Child Safe Standards)</w:t>
            </w:r>
          </w:p>
        </w:tc>
      </w:tr>
      <w:tr w:rsidR="00DB4EB5" w14:paraId="72ACF228" w14:textId="77777777" w:rsidTr="00D86D6B">
        <w:tc>
          <w:tcPr>
            <w:tcW w:w="2547" w:type="dxa"/>
          </w:tcPr>
          <w:p w14:paraId="16E615A1" w14:textId="77777777" w:rsidR="00DB4EB5" w:rsidRDefault="00DB4EB5" w:rsidP="00D86D6B">
            <w:pPr>
              <w:pStyle w:val="Body"/>
            </w:pPr>
            <w:r>
              <w:t>Public warning notices</w:t>
            </w:r>
          </w:p>
        </w:tc>
        <w:tc>
          <w:tcPr>
            <w:tcW w:w="6741" w:type="dxa"/>
          </w:tcPr>
          <w:p w14:paraId="13D8792A" w14:textId="77777777" w:rsidR="00DB4EB5" w:rsidRDefault="00DB4EB5" w:rsidP="00D86D6B">
            <w:pPr>
              <w:pStyle w:val="Body"/>
            </w:pPr>
            <w:r>
              <w:t>Service providers (including for the purposes of Child Safe Standards)</w:t>
            </w:r>
          </w:p>
        </w:tc>
      </w:tr>
      <w:tr w:rsidR="00DB4EB5" w14:paraId="20AD29F6" w14:textId="77777777" w:rsidTr="00D86D6B">
        <w:tc>
          <w:tcPr>
            <w:tcW w:w="2547" w:type="dxa"/>
          </w:tcPr>
          <w:p w14:paraId="6FD2E7AF" w14:textId="77777777" w:rsidR="00DB4EB5" w:rsidRDefault="00DB4EB5" w:rsidP="00D86D6B">
            <w:pPr>
              <w:pStyle w:val="Body"/>
            </w:pPr>
            <w:r>
              <w:t>Adverse publicity orders</w:t>
            </w:r>
          </w:p>
        </w:tc>
        <w:tc>
          <w:tcPr>
            <w:tcW w:w="6741" w:type="dxa"/>
          </w:tcPr>
          <w:p w14:paraId="090F07DC" w14:textId="77777777" w:rsidR="00DB4EB5" w:rsidRDefault="00DB4EB5" w:rsidP="00D86D6B">
            <w:pPr>
              <w:pStyle w:val="Body"/>
            </w:pPr>
            <w:r>
              <w:t>Service providers (including for the purposes of Child Safe Standards)</w:t>
            </w:r>
          </w:p>
        </w:tc>
      </w:tr>
      <w:tr w:rsidR="00DB4EB5" w14:paraId="46A4F9EF" w14:textId="77777777" w:rsidTr="00D86D6B">
        <w:tc>
          <w:tcPr>
            <w:tcW w:w="2547" w:type="dxa"/>
          </w:tcPr>
          <w:p w14:paraId="2E2F8E32" w14:textId="77777777" w:rsidR="00DB4EB5" w:rsidRDefault="00DB4EB5" w:rsidP="00D86D6B">
            <w:pPr>
              <w:pStyle w:val="Body"/>
            </w:pPr>
            <w:r>
              <w:t>Suspension of service user intake notices</w:t>
            </w:r>
          </w:p>
        </w:tc>
        <w:tc>
          <w:tcPr>
            <w:tcW w:w="6741" w:type="dxa"/>
          </w:tcPr>
          <w:p w14:paraId="716EE71B" w14:textId="77777777" w:rsidR="00DB4EB5" w:rsidRDefault="00DB4EB5" w:rsidP="00D86D6B">
            <w:pPr>
              <w:pStyle w:val="Body"/>
            </w:pPr>
            <w:r>
              <w:t>Service providers</w:t>
            </w:r>
          </w:p>
        </w:tc>
      </w:tr>
      <w:tr w:rsidR="00DB4EB5" w14:paraId="31067259" w14:textId="77777777" w:rsidTr="00D86D6B">
        <w:tc>
          <w:tcPr>
            <w:tcW w:w="2547" w:type="dxa"/>
          </w:tcPr>
          <w:p w14:paraId="42151ADE" w14:textId="77777777" w:rsidR="00DB4EB5" w:rsidRDefault="00DB4EB5" w:rsidP="00D86D6B">
            <w:pPr>
              <w:pStyle w:val="Body"/>
            </w:pPr>
            <w:r>
              <w:t>Imposing conditions</w:t>
            </w:r>
          </w:p>
        </w:tc>
        <w:tc>
          <w:tcPr>
            <w:tcW w:w="6741" w:type="dxa"/>
          </w:tcPr>
          <w:p w14:paraId="3EB496B5" w14:textId="77777777" w:rsidR="00DB4EB5" w:rsidRDefault="00DB4EB5" w:rsidP="00D86D6B">
            <w:pPr>
              <w:pStyle w:val="Body"/>
            </w:pPr>
            <w:r>
              <w:t>Service providers and individuals</w:t>
            </w:r>
          </w:p>
        </w:tc>
      </w:tr>
      <w:tr w:rsidR="00DB4EB5" w14:paraId="24266361" w14:textId="77777777" w:rsidTr="00D86D6B">
        <w:tc>
          <w:tcPr>
            <w:tcW w:w="2547" w:type="dxa"/>
          </w:tcPr>
          <w:p w14:paraId="5F5D9CF1" w14:textId="77777777" w:rsidR="00DB4EB5" w:rsidRDefault="00DB4EB5" w:rsidP="00D86D6B">
            <w:pPr>
              <w:pStyle w:val="Body"/>
            </w:pPr>
            <w:r>
              <w:t>Variation of condition of registration by the Regulator</w:t>
            </w:r>
          </w:p>
        </w:tc>
        <w:tc>
          <w:tcPr>
            <w:tcW w:w="6741" w:type="dxa"/>
          </w:tcPr>
          <w:p w14:paraId="255AB6E0" w14:textId="77777777" w:rsidR="00DB4EB5" w:rsidRDefault="00DB4EB5" w:rsidP="00D86D6B">
            <w:pPr>
              <w:pStyle w:val="Body"/>
            </w:pPr>
            <w:r>
              <w:t>Service providers</w:t>
            </w:r>
          </w:p>
        </w:tc>
      </w:tr>
      <w:tr w:rsidR="00DB4EB5" w14:paraId="50EBAB47" w14:textId="77777777" w:rsidTr="00D86D6B">
        <w:tc>
          <w:tcPr>
            <w:tcW w:w="2547" w:type="dxa"/>
          </w:tcPr>
          <w:p w14:paraId="6FBF35F6" w14:textId="77777777" w:rsidR="00DB4EB5" w:rsidRDefault="00DB4EB5" w:rsidP="00D86D6B">
            <w:pPr>
              <w:pStyle w:val="Body"/>
            </w:pPr>
            <w:r>
              <w:t>Suspension of registration</w:t>
            </w:r>
          </w:p>
        </w:tc>
        <w:tc>
          <w:tcPr>
            <w:tcW w:w="6741" w:type="dxa"/>
          </w:tcPr>
          <w:p w14:paraId="15860147" w14:textId="77777777" w:rsidR="00DB4EB5" w:rsidRDefault="00DB4EB5" w:rsidP="00D86D6B">
            <w:pPr>
              <w:pStyle w:val="Body"/>
            </w:pPr>
            <w:r>
              <w:t>Service providers</w:t>
            </w:r>
          </w:p>
        </w:tc>
      </w:tr>
      <w:tr w:rsidR="00DB4EB5" w14:paraId="54B710B1" w14:textId="77777777" w:rsidTr="00D86D6B">
        <w:tc>
          <w:tcPr>
            <w:tcW w:w="2547" w:type="dxa"/>
          </w:tcPr>
          <w:p w14:paraId="7C169C41" w14:textId="77777777" w:rsidR="00DB4EB5" w:rsidRDefault="00DB4EB5" w:rsidP="00D86D6B">
            <w:pPr>
              <w:pStyle w:val="Body"/>
            </w:pPr>
            <w:r>
              <w:t>Revocation of registration</w:t>
            </w:r>
          </w:p>
        </w:tc>
        <w:tc>
          <w:tcPr>
            <w:tcW w:w="6741" w:type="dxa"/>
          </w:tcPr>
          <w:p w14:paraId="0A75652C" w14:textId="77777777" w:rsidR="00DB4EB5" w:rsidRDefault="00DB4EB5" w:rsidP="00D86D6B">
            <w:pPr>
              <w:pStyle w:val="Body"/>
            </w:pPr>
            <w:r>
              <w:t>Service providers</w:t>
            </w:r>
          </w:p>
        </w:tc>
      </w:tr>
      <w:tr w:rsidR="00DB4EB5" w14:paraId="0ABAF0A8" w14:textId="77777777" w:rsidTr="00D86D6B">
        <w:tc>
          <w:tcPr>
            <w:tcW w:w="2547" w:type="dxa"/>
          </w:tcPr>
          <w:p w14:paraId="0E0829A0" w14:textId="77777777" w:rsidR="00DB4EB5" w:rsidRDefault="00DB4EB5" w:rsidP="00D86D6B">
            <w:pPr>
              <w:pStyle w:val="Body"/>
            </w:pPr>
            <w:r>
              <w:t>Appointment of administrator</w:t>
            </w:r>
          </w:p>
        </w:tc>
        <w:tc>
          <w:tcPr>
            <w:tcW w:w="6741" w:type="dxa"/>
          </w:tcPr>
          <w:p w14:paraId="6A319200" w14:textId="77777777" w:rsidR="00DB4EB5" w:rsidRDefault="00DB4EB5" w:rsidP="00D86D6B">
            <w:pPr>
              <w:pStyle w:val="Body"/>
            </w:pPr>
            <w:r>
              <w:t>Service providers and unregistered providers in some circumstances</w:t>
            </w:r>
          </w:p>
        </w:tc>
      </w:tr>
      <w:tr w:rsidR="00DB4EB5" w14:paraId="2002397A" w14:textId="77777777" w:rsidTr="00D86D6B">
        <w:tc>
          <w:tcPr>
            <w:tcW w:w="2547" w:type="dxa"/>
          </w:tcPr>
          <w:p w14:paraId="40AF0AAA" w14:textId="77777777" w:rsidR="00DB4EB5" w:rsidRDefault="00DB4EB5" w:rsidP="00D86D6B">
            <w:pPr>
              <w:pStyle w:val="Body"/>
            </w:pPr>
            <w:r>
              <w:t>Infringement notices</w:t>
            </w:r>
          </w:p>
        </w:tc>
        <w:tc>
          <w:tcPr>
            <w:tcW w:w="6741" w:type="dxa"/>
          </w:tcPr>
          <w:p w14:paraId="1638E6FD" w14:textId="77777777" w:rsidR="00DB4EB5" w:rsidRDefault="00DB4EB5" w:rsidP="00D86D6B">
            <w:pPr>
              <w:pStyle w:val="Body"/>
            </w:pPr>
            <w:r>
              <w:t>Service providers (including for the purposes of Child Safe Standards)</w:t>
            </w:r>
          </w:p>
        </w:tc>
      </w:tr>
    </w:tbl>
    <w:p w14:paraId="1063AE54" w14:textId="77777777" w:rsidR="00DB4EB5" w:rsidRDefault="00DB4EB5" w:rsidP="00DB4EB5">
      <w:pPr>
        <w:pStyle w:val="Bodyaftertablefigure"/>
      </w:pPr>
      <w:r>
        <w:t xml:space="preserve">The Act also contains a range of indictable offences and civil penalties relating to the requirements of the scheme. In line with our graduated approach to regulation and where an unacceptable level of risk has been identified, the Regulator may pursue these sanctions and/or prosecution. </w:t>
      </w:r>
    </w:p>
    <w:p w14:paraId="5B23780C" w14:textId="77777777" w:rsidR="00DB4EB5" w:rsidRDefault="00DB4EB5" w:rsidP="00DB4EB5">
      <w:pPr>
        <w:pStyle w:val="Heading1"/>
      </w:pPr>
      <w:bookmarkStart w:id="30" w:name="_Toc167289983"/>
      <w:bookmarkStart w:id="31" w:name="_Toc170132560"/>
      <w:r w:rsidRPr="009650CE">
        <w:t>Monitoring compliance</w:t>
      </w:r>
      <w:bookmarkEnd w:id="30"/>
      <w:bookmarkEnd w:id="31"/>
    </w:p>
    <w:p w14:paraId="7AC152A7" w14:textId="77777777" w:rsidR="00DB4EB5" w:rsidRPr="00A00E10" w:rsidRDefault="00DB4EB5" w:rsidP="00DB4EB5">
      <w:pPr>
        <w:pStyle w:val="Body"/>
      </w:pPr>
      <w:r>
        <w:t xml:space="preserve">The Regulator takes a risk-based approach to monitoring compliance by duty holders with the Social Services Standards, Child Safe </w:t>
      </w:r>
      <w:r w:rsidRPr="00A00E10">
        <w:t>Standards (where applicable) and other requirements</w:t>
      </w:r>
      <w:r>
        <w:t xml:space="preserve"> such as those specifically for supported residential services</w:t>
      </w:r>
      <w:r w:rsidRPr="00A00E10">
        <w:t xml:space="preserve">. </w:t>
      </w:r>
    </w:p>
    <w:p w14:paraId="658CB8E4" w14:textId="77777777" w:rsidR="00DB4EB5" w:rsidRPr="00A00E10" w:rsidRDefault="00DB4EB5" w:rsidP="00DB4EB5">
      <w:pPr>
        <w:pStyle w:val="Body"/>
      </w:pPr>
      <w:r w:rsidRPr="00A00E10">
        <w:t>We use data and intelligence from</w:t>
      </w:r>
      <w:r>
        <w:t xml:space="preserve"> </w:t>
      </w:r>
      <w:r w:rsidRPr="00A00E10">
        <w:t xml:space="preserve">notifications, incident reporting and other sources to inform our risk profiling and compliance monitoring </w:t>
      </w:r>
      <w:r>
        <w:t>frequency</w:t>
      </w:r>
      <w:r w:rsidRPr="00A00E10">
        <w:t>.</w:t>
      </w:r>
    </w:p>
    <w:p w14:paraId="629DF624" w14:textId="77777777" w:rsidR="00DB4EB5" w:rsidRDefault="00DB4EB5" w:rsidP="00DB4EB5">
      <w:pPr>
        <w:pStyle w:val="Body"/>
      </w:pPr>
      <w:r w:rsidRPr="00A00E10">
        <w:t>Compliance monitoring activities vary and may include requests for information from duty holders and on-site inspections of premises where social service delivery occurs.</w:t>
      </w:r>
    </w:p>
    <w:p w14:paraId="60F8B1D2" w14:textId="77777777" w:rsidR="00DB4EB5" w:rsidRDefault="00DB4EB5" w:rsidP="005D542F">
      <w:pPr>
        <w:pStyle w:val="Heading2"/>
      </w:pPr>
      <w:bookmarkStart w:id="32" w:name="_Toc167289984"/>
      <w:bookmarkStart w:id="33" w:name="_Toc170132561"/>
      <w:r w:rsidRPr="009650CE">
        <w:t>Responding to non-compliance</w:t>
      </w:r>
      <w:bookmarkEnd w:id="32"/>
      <w:bookmarkEnd w:id="33"/>
    </w:p>
    <w:p w14:paraId="3FCAB0F6" w14:textId="564510F3" w:rsidR="00DB4EB5" w:rsidRDefault="00DB4EB5" w:rsidP="00DB4EB5">
      <w:pPr>
        <w:pStyle w:val="Body"/>
      </w:pPr>
      <w:r>
        <w:t xml:space="preserve">The Regulator’s response to identified non-compliance will be outcome focused, proportionate, </w:t>
      </w:r>
      <w:r w:rsidR="00383BE9">
        <w:t xml:space="preserve">predictable, </w:t>
      </w:r>
      <w:r>
        <w:t xml:space="preserve">fair and appropriate. The Regulator will consider </w:t>
      </w:r>
      <w:proofErr w:type="gramStart"/>
      <w:r>
        <w:t>a number of</w:t>
      </w:r>
      <w:proofErr w:type="gramEnd"/>
      <w:r>
        <w:t xml:space="preserve"> factors before taking regulatory action including but not limited to: </w:t>
      </w:r>
    </w:p>
    <w:p w14:paraId="5DF3A7E1" w14:textId="77777777" w:rsidR="00DB4EB5" w:rsidRDefault="00DB4EB5" w:rsidP="00DB4EB5">
      <w:pPr>
        <w:pStyle w:val="Bullet1"/>
      </w:pPr>
      <w:r>
        <w:t>the regulatory tools available</w:t>
      </w:r>
    </w:p>
    <w:p w14:paraId="677C4CC2" w14:textId="77777777" w:rsidR="00DB4EB5" w:rsidRDefault="00DB4EB5" w:rsidP="00DB4EB5">
      <w:pPr>
        <w:pStyle w:val="Bullet1"/>
      </w:pPr>
      <w:r>
        <w:lastRenderedPageBreak/>
        <w:t>the severity of harm or risk of harm</w:t>
      </w:r>
    </w:p>
    <w:p w14:paraId="2699AF81" w14:textId="77777777" w:rsidR="00DB4EB5" w:rsidRDefault="00DB4EB5" w:rsidP="00DB4EB5">
      <w:pPr>
        <w:pStyle w:val="Bullet1"/>
      </w:pPr>
      <w:r>
        <w:t>the impact or potential impact on service user rights</w:t>
      </w:r>
    </w:p>
    <w:p w14:paraId="70EEB975" w14:textId="77777777" w:rsidR="00DB4EB5" w:rsidRDefault="00DB4EB5" w:rsidP="00DB4EB5">
      <w:pPr>
        <w:pStyle w:val="Bullet1"/>
      </w:pPr>
      <w:r w:rsidRPr="0078457B">
        <w:t>behaviour and compliance attitude of the duty holder</w:t>
      </w:r>
    </w:p>
    <w:p w14:paraId="114DB64B" w14:textId="77777777" w:rsidR="00DB4EB5" w:rsidRPr="0078457B" w:rsidRDefault="00DB4EB5" w:rsidP="00DB4EB5">
      <w:pPr>
        <w:pStyle w:val="Bullet1"/>
      </w:pPr>
      <w:r>
        <w:t xml:space="preserve">the duty holder’s </w:t>
      </w:r>
      <w:r w:rsidRPr="0078457B">
        <w:t>compliance history</w:t>
      </w:r>
      <w:r>
        <w:t xml:space="preserve"> including </w:t>
      </w:r>
      <w:r w:rsidRPr="0078457B">
        <w:t>frequency of non-compliance</w:t>
      </w:r>
    </w:p>
    <w:p w14:paraId="6D57073A" w14:textId="77777777" w:rsidR="00DB4EB5" w:rsidRDefault="00DB4EB5" w:rsidP="00DB4EB5">
      <w:pPr>
        <w:pStyle w:val="Bullet1"/>
      </w:pPr>
      <w:r w:rsidRPr="0078457B">
        <w:t xml:space="preserve">the impact to </w:t>
      </w:r>
      <w:r>
        <w:t xml:space="preserve">any </w:t>
      </w:r>
      <w:r w:rsidRPr="0078457B">
        <w:t xml:space="preserve">service users, </w:t>
      </w:r>
      <w:r>
        <w:t xml:space="preserve">the </w:t>
      </w:r>
      <w:r w:rsidRPr="0078457B">
        <w:t xml:space="preserve">duty holder and </w:t>
      </w:r>
      <w:r>
        <w:t xml:space="preserve">the </w:t>
      </w:r>
      <w:r w:rsidRPr="0078457B">
        <w:t xml:space="preserve">community of any action we might take. </w:t>
      </w:r>
      <w:bookmarkStart w:id="34" w:name="_Toc74671607"/>
      <w:bookmarkEnd w:id="26"/>
    </w:p>
    <w:p w14:paraId="3EBD2DD0" w14:textId="77777777" w:rsidR="00DB4EB5" w:rsidRPr="0078457B" w:rsidRDefault="00DB4EB5" w:rsidP="00DB4EB5">
      <w:pPr>
        <w:pStyle w:val="Bodyafterbullets"/>
      </w:pPr>
      <w:r>
        <w:t>Considering the factors above allows the Regulator to respond to non-compliance and risk to the best of our ability and to the extent permitted under the Act and Regulations.</w:t>
      </w:r>
    </w:p>
    <w:p w14:paraId="7A935435" w14:textId="77777777" w:rsidR="00DB4EB5" w:rsidRPr="00271AEB" w:rsidRDefault="00DB4EB5" w:rsidP="005D542F">
      <w:pPr>
        <w:pStyle w:val="Heading2"/>
      </w:pPr>
      <w:bookmarkStart w:id="35" w:name="_Toc167289985"/>
      <w:bookmarkStart w:id="36" w:name="_Toc170132562"/>
      <w:r w:rsidRPr="009650CE">
        <w:t>Reviews and appeals</w:t>
      </w:r>
      <w:bookmarkEnd w:id="34"/>
      <w:bookmarkEnd w:id="35"/>
      <w:bookmarkEnd w:id="36"/>
    </w:p>
    <w:p w14:paraId="011278AF" w14:textId="77777777" w:rsidR="00DB4EB5" w:rsidRPr="00C423CF" w:rsidRDefault="00DB4EB5" w:rsidP="00DB4EB5">
      <w:pPr>
        <w:pStyle w:val="Body"/>
      </w:pPr>
      <w:r w:rsidRPr="00C423CF">
        <w:t xml:space="preserve">Where a duty holder is directly affected by a decision made by the Regulator, they can seek a review or appeal the decision. When the Regulator undertakes this review, it is called an internal review. </w:t>
      </w:r>
    </w:p>
    <w:p w14:paraId="3CAC75C4" w14:textId="77777777" w:rsidR="00DB4EB5" w:rsidRPr="00C423CF" w:rsidRDefault="00DB4EB5" w:rsidP="00DB4EB5">
      <w:pPr>
        <w:pStyle w:val="Body"/>
      </w:pPr>
      <w:r w:rsidRPr="00C423CF">
        <w:t xml:space="preserve">Where a duty holder affected by a decision is not satisfied with the outcome of an internal interview, in some circumstances the duty may apply for a review or appeal the decision through the Victorian Civil Administrative Tribunal (VCAT). </w:t>
      </w:r>
    </w:p>
    <w:p w14:paraId="3F2EAFC7" w14:textId="77777777" w:rsidR="00DB4EB5" w:rsidRDefault="00DB4EB5" w:rsidP="00DB4EB5">
      <w:pPr>
        <w:pStyle w:val="Body"/>
      </w:pPr>
      <w:r w:rsidRPr="00C423CF">
        <w:t>The Regulator</w:t>
      </w:r>
      <w:r w:rsidRPr="005A1087">
        <w:t xml:space="preserve"> does not provide legal advice to duty holders</w:t>
      </w:r>
      <w:r w:rsidRPr="00C423CF">
        <w:t xml:space="preserve">. Duty holders </w:t>
      </w:r>
      <w:r w:rsidRPr="005A1087">
        <w:t>should always seek their own legal advice regarding their ability to have a decision reviewed or appealed.</w:t>
      </w:r>
    </w:p>
    <w:p w14:paraId="7D1A46D9" w14:textId="77777777" w:rsidR="00DB4EB5" w:rsidRPr="000B4C52" w:rsidRDefault="00DB4EB5" w:rsidP="00DB4EB5">
      <w:pPr>
        <w:pStyle w:val="Body"/>
      </w:pPr>
      <w:bookmarkStart w:id="37" w:name="_Appendix_A:_Regulatory"/>
      <w:bookmarkEnd w:id="37"/>
    </w:p>
    <w:p w14:paraId="13445742" w14:textId="77777777" w:rsidR="00AC522D" w:rsidRPr="00B519CD" w:rsidRDefault="00AC522D" w:rsidP="007173CA">
      <w:pPr>
        <w:pStyle w:val="Body"/>
        <w:sectPr w:rsidR="00AC522D" w:rsidRPr="00B519CD" w:rsidSect="00A9710C">
          <w:headerReference w:type="default" r:id="rId27"/>
          <w:footerReference w:type="default" r:id="rId28"/>
          <w:type w:val="continuous"/>
          <w:pgSz w:w="11906" w:h="16838" w:code="9"/>
          <w:pgMar w:top="1418" w:right="851" w:bottom="851" w:left="851" w:header="851" w:footer="567" w:gutter="0"/>
          <w:cols w:space="340"/>
          <w:titlePg/>
          <w:docGrid w:linePitch="360"/>
        </w:sectPr>
      </w:pPr>
    </w:p>
    <w:tbl>
      <w:tblPr>
        <w:tblStyle w:val="TableGrid2"/>
        <w:tblW w:w="0" w:type="auto"/>
        <w:tblCellMar>
          <w:bottom w:w="108" w:type="dxa"/>
        </w:tblCellMar>
        <w:tblLook w:val="0600" w:firstRow="0" w:lastRow="0" w:firstColumn="0" w:lastColumn="0" w:noHBand="1" w:noVBand="1"/>
      </w:tblPr>
      <w:tblGrid>
        <w:gridCol w:w="9736"/>
      </w:tblGrid>
      <w:tr w:rsidR="00D24484" w14:paraId="5266C3BA" w14:textId="77777777">
        <w:tc>
          <w:tcPr>
            <w:tcW w:w="9736" w:type="dxa"/>
          </w:tcPr>
          <w:p w14:paraId="77A1DA37" w14:textId="1473C997" w:rsidR="00D24484" w:rsidRPr="00C5051E" w:rsidRDefault="00D24484">
            <w:pPr>
              <w:pStyle w:val="Accessibilitypara"/>
              <w:rPr>
                <w:szCs w:val="24"/>
              </w:rPr>
            </w:pPr>
            <w:bookmarkStart w:id="38" w:name="_Hlk41913885"/>
            <w:r w:rsidRPr="00B74AB1">
              <w:rPr>
                <w:szCs w:val="24"/>
              </w:rPr>
              <w:t xml:space="preserve">To receive this document in another format, phone </w:t>
            </w:r>
            <w:r>
              <w:rPr>
                <w:szCs w:val="24"/>
              </w:rPr>
              <w:t>1300 310 778</w:t>
            </w:r>
            <w:r w:rsidRPr="00B74AB1">
              <w:rPr>
                <w:szCs w:val="24"/>
              </w:rPr>
              <w:t xml:space="preserve"> using the National Relay Service 13 36 77 if required, or </w:t>
            </w:r>
            <w:r w:rsidR="000940B0">
              <w:rPr>
                <w:szCs w:val="24"/>
              </w:rPr>
              <w:t xml:space="preserve">email </w:t>
            </w:r>
            <w:r w:rsidR="000940B0" w:rsidRPr="00780A26">
              <w:rPr>
                <w:szCs w:val="24"/>
              </w:rPr>
              <w:t xml:space="preserve">Social Services Regulator </w:t>
            </w:r>
            <w:r w:rsidRPr="00780A26">
              <w:rPr>
                <w:szCs w:val="24"/>
              </w:rPr>
              <w:t>&lt;</w:t>
            </w:r>
            <w:r w:rsidR="000940B0" w:rsidRPr="00780A26">
              <w:rPr>
                <w:szCs w:val="24"/>
              </w:rPr>
              <w:t>enquiries</w:t>
            </w:r>
            <w:r w:rsidRPr="00780A26">
              <w:rPr>
                <w:szCs w:val="24"/>
              </w:rPr>
              <w:t>@ssr.vic.gov.au&gt;</w:t>
            </w:r>
          </w:p>
          <w:p w14:paraId="173D6E9D" w14:textId="77777777" w:rsidR="00D24484" w:rsidRPr="0055119B" w:rsidRDefault="00D24484">
            <w:pPr>
              <w:pStyle w:val="Imprint"/>
            </w:pPr>
            <w:r w:rsidRPr="0055119B">
              <w:t>Authorised and published by the Victorian Government, 1 Treasury Place, Melbourne.</w:t>
            </w:r>
          </w:p>
          <w:p w14:paraId="2AC92F9D" w14:textId="1B5E0C85" w:rsidR="00D24484" w:rsidRPr="0055119B" w:rsidRDefault="00D24484">
            <w:pPr>
              <w:pStyle w:val="Imprint"/>
            </w:pPr>
            <w:r w:rsidRPr="0055119B">
              <w:t xml:space="preserve">© State of Victoria, Australia, Department </w:t>
            </w:r>
            <w:r w:rsidRPr="001B058F">
              <w:t xml:space="preserve">of </w:t>
            </w:r>
            <w:r>
              <w:t>Families, Fairness and Housing</w:t>
            </w:r>
            <w:r w:rsidRPr="0055119B">
              <w:t xml:space="preserve">, </w:t>
            </w:r>
            <w:r w:rsidR="000F7EB5">
              <w:t>August</w:t>
            </w:r>
            <w:r>
              <w:t xml:space="preserve"> 2024.</w:t>
            </w:r>
          </w:p>
          <w:p w14:paraId="033464D1" w14:textId="3B56CC72" w:rsidR="00D24484" w:rsidRPr="0055119B" w:rsidRDefault="00D24484">
            <w:pPr>
              <w:pStyle w:val="Imprint"/>
            </w:pPr>
            <w:r w:rsidRPr="0055119B">
              <w:t>ISBN</w:t>
            </w:r>
            <w:r>
              <w:t xml:space="preserve"> </w:t>
            </w:r>
            <w:r w:rsidRPr="0055119B">
              <w:t xml:space="preserve"> </w:t>
            </w:r>
            <w:r w:rsidR="008B3759">
              <w:rPr>
                <w:color w:val="000000"/>
              </w:rPr>
              <w:t xml:space="preserve">978-1-76130-633-4 </w:t>
            </w:r>
            <w:r>
              <w:rPr>
                <w:b/>
                <w:bCs/>
                <w:color w:val="000000"/>
                <w:sz w:val="22"/>
                <w:bdr w:val="none" w:sz="0" w:space="0" w:color="auto" w:frame="1"/>
                <w:shd w:val="clear" w:color="auto" w:fill="FFFFFF"/>
              </w:rPr>
              <w:t>(pdf/online/MS word)</w:t>
            </w:r>
          </w:p>
          <w:p w14:paraId="0C0C640B" w14:textId="0B508483" w:rsidR="00D24484" w:rsidRPr="000D3599" w:rsidRDefault="00D24484" w:rsidP="000D3599">
            <w:pPr>
              <w:rPr>
                <w:sz w:val="20"/>
                <w:szCs w:val="20"/>
              </w:rPr>
            </w:pPr>
            <w:r w:rsidRPr="000D3599">
              <w:rPr>
                <w:sz w:val="20"/>
                <w:szCs w:val="20"/>
              </w:rPr>
              <w:t xml:space="preserve">Available at </w:t>
            </w:r>
            <w:hyperlink r:id="rId29" w:history="1">
              <w:r w:rsidR="008033B8" w:rsidRPr="008033B8">
                <w:rPr>
                  <w:rStyle w:val="Hyperlink"/>
                  <w:rFonts w:eastAsia="Times New Roman"/>
                  <w:kern w:val="0"/>
                  <w:sz w:val="20"/>
                  <w:szCs w:val="20"/>
                  <w14:ligatures w14:val="none"/>
                </w:rPr>
                <w:t>https://www.vic.gov.au/compliance-and-enforcement-policy-social-services-regulator</w:t>
              </w:r>
            </w:hyperlink>
          </w:p>
        </w:tc>
      </w:tr>
      <w:bookmarkEnd w:id="38"/>
    </w:tbl>
    <w:p w14:paraId="312DEA78" w14:textId="77777777" w:rsidR="00162CA9" w:rsidRDefault="00162CA9" w:rsidP="00162CA9">
      <w:pPr>
        <w:pStyle w:val="Body"/>
      </w:pPr>
    </w:p>
    <w:p w14:paraId="6A5E1C10" w14:textId="77777777" w:rsidR="00D81309" w:rsidRDefault="00D81309" w:rsidP="00162CA9">
      <w:pPr>
        <w:pStyle w:val="Body"/>
      </w:pPr>
    </w:p>
    <w:p w14:paraId="17A7BFAD" w14:textId="77777777" w:rsidR="00D81309" w:rsidRDefault="00D81309" w:rsidP="00162CA9">
      <w:pPr>
        <w:pStyle w:val="Body"/>
      </w:pPr>
    </w:p>
    <w:sectPr w:rsidR="00D81309"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2C265" w14:textId="77777777" w:rsidR="007710F6" w:rsidRDefault="007710F6">
      <w:r>
        <w:separator/>
      </w:r>
    </w:p>
    <w:p w14:paraId="3AD8800C" w14:textId="77777777" w:rsidR="007710F6" w:rsidRDefault="007710F6"/>
  </w:endnote>
  <w:endnote w:type="continuationSeparator" w:id="0">
    <w:p w14:paraId="276A59FC" w14:textId="77777777" w:rsidR="007710F6" w:rsidRDefault="007710F6">
      <w:r>
        <w:continuationSeparator/>
      </w:r>
    </w:p>
    <w:p w14:paraId="360ADF48" w14:textId="77777777" w:rsidR="007710F6" w:rsidRDefault="007710F6"/>
  </w:endnote>
  <w:endnote w:type="continuationNotice" w:id="1">
    <w:p w14:paraId="4819797C" w14:textId="77777777" w:rsidR="007710F6" w:rsidRDefault="00771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663EC276">
          <wp:simplePos x="0" y="0"/>
          <wp:positionH relativeFrom="page">
            <wp:posOffset>0</wp:posOffset>
          </wp:positionH>
          <wp:positionV relativeFrom="page">
            <wp:posOffset>9899015</wp:posOffset>
          </wp:positionV>
          <wp:extent cx="7559675" cy="787400"/>
          <wp:effectExtent l="0" t="0" r="0" b="0"/>
          <wp:wrapNone/>
          <wp:docPr id="7" name="Picture 7"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02FFA" w14:textId="77777777" w:rsidR="007710F6" w:rsidRDefault="007710F6" w:rsidP="00207717">
      <w:pPr>
        <w:spacing w:before="120"/>
      </w:pPr>
      <w:r>
        <w:separator/>
      </w:r>
    </w:p>
  </w:footnote>
  <w:footnote w:type="continuationSeparator" w:id="0">
    <w:p w14:paraId="0EA93503" w14:textId="77777777" w:rsidR="007710F6" w:rsidRDefault="007710F6">
      <w:r>
        <w:continuationSeparator/>
      </w:r>
    </w:p>
    <w:p w14:paraId="0C637C8D" w14:textId="77777777" w:rsidR="007710F6" w:rsidRDefault="007710F6"/>
  </w:footnote>
  <w:footnote w:type="continuationNotice" w:id="1">
    <w:p w14:paraId="2A89BC1C" w14:textId="77777777" w:rsidR="007710F6" w:rsidRDefault="007710F6">
      <w:pPr>
        <w:spacing w:after="0" w:line="240" w:lineRule="auto"/>
      </w:pPr>
    </w:p>
  </w:footnote>
  <w:footnote w:id="2">
    <w:p w14:paraId="12AABFF6" w14:textId="75D75BAC" w:rsidR="00E46529" w:rsidRDefault="00E46529">
      <w:pPr>
        <w:pStyle w:val="FootnoteText"/>
      </w:pPr>
      <w:r>
        <w:rPr>
          <w:rStyle w:val="FootnoteReference"/>
        </w:rPr>
        <w:footnoteRef/>
      </w:r>
      <w:r>
        <w:t xml:space="preserve"> Functions and powers of the Regulator</w:t>
      </w:r>
      <w:r w:rsidR="0088001F">
        <w:t xml:space="preserve"> are outlined in section 13,</w:t>
      </w:r>
      <w:r w:rsidR="00045F2D">
        <w:t xml:space="preserve"> </w:t>
      </w:r>
      <w:r w:rsidR="006155AA">
        <w:t>SSR Act</w:t>
      </w:r>
      <w:r w:rsidR="0088001F">
        <w:rPr>
          <w:i/>
          <w:iCs/>
        </w:rPr>
        <w:t xml:space="preserve">. </w:t>
      </w:r>
    </w:p>
  </w:footnote>
  <w:footnote w:id="3">
    <w:p w14:paraId="0FEF1C56" w14:textId="46201660" w:rsidR="0059218B" w:rsidRDefault="0059218B">
      <w:pPr>
        <w:pStyle w:val="FootnoteText"/>
      </w:pPr>
      <w:r>
        <w:rPr>
          <w:rStyle w:val="FootnoteReference"/>
        </w:rPr>
        <w:footnoteRef/>
      </w:r>
      <w:r>
        <w:t xml:space="preserve"> </w:t>
      </w:r>
      <w:r w:rsidR="00C52032" w:rsidRPr="00AC740C">
        <w:rPr>
          <w:szCs w:val="18"/>
        </w:rPr>
        <w:t>S</w:t>
      </w:r>
      <w:r w:rsidR="000277AF" w:rsidRPr="000628BA">
        <w:rPr>
          <w:szCs w:val="18"/>
        </w:rPr>
        <w:t>SR Act</w:t>
      </w:r>
      <w:r w:rsidR="00563B1E" w:rsidRPr="00AC740C">
        <w:rPr>
          <w:i/>
          <w:iCs/>
          <w:szCs w:val="18"/>
        </w:rPr>
        <w:t xml:space="preserve">, </w:t>
      </w:r>
      <w:r w:rsidR="00563B1E" w:rsidRPr="00AC740C">
        <w:rPr>
          <w:szCs w:val="18"/>
        </w:rPr>
        <w:t>Part 3, Division 1.</w:t>
      </w:r>
      <w:r w:rsidR="007C2679" w:rsidRPr="000628BA">
        <w:rPr>
          <w:szCs w:val="18"/>
        </w:rPr>
        <w:t xml:space="preserve"> </w:t>
      </w:r>
      <w:r w:rsidR="007C2679" w:rsidRPr="000628BA">
        <w:rPr>
          <w:i/>
          <w:iCs/>
          <w:szCs w:val="18"/>
        </w:rPr>
        <w:t>Social Services Regulations 2023</w:t>
      </w:r>
      <w:r w:rsidR="000044E4" w:rsidRPr="000628BA">
        <w:rPr>
          <w:szCs w:val="18"/>
        </w:rPr>
        <w:t xml:space="preserve"> ss 17, 19</w:t>
      </w:r>
      <w:r w:rsidR="0019125C">
        <w:rPr>
          <w:szCs w:val="18"/>
        </w:rPr>
        <w:t xml:space="preserve"> and </w:t>
      </w:r>
      <w:r w:rsidR="000044E4" w:rsidRPr="000628BA">
        <w:rPr>
          <w:szCs w:val="18"/>
        </w:rPr>
        <w:t>26</w:t>
      </w:r>
      <w:r w:rsidR="000044E4">
        <w:rPr>
          <w:szCs w:val="18"/>
        </w:rPr>
        <w:t>.</w:t>
      </w:r>
    </w:p>
  </w:footnote>
  <w:footnote w:id="4">
    <w:p w14:paraId="33669AAD" w14:textId="44A8731C" w:rsidR="0080714A" w:rsidRDefault="0080714A">
      <w:pPr>
        <w:pStyle w:val="FootnoteText"/>
      </w:pPr>
      <w:r>
        <w:rPr>
          <w:rStyle w:val="FootnoteReference"/>
        </w:rPr>
        <w:footnoteRef/>
      </w:r>
      <w:r>
        <w:t xml:space="preserve"> </w:t>
      </w:r>
      <w:r w:rsidR="00BE1284" w:rsidRPr="009507F0">
        <w:rPr>
          <w:szCs w:val="18"/>
        </w:rPr>
        <w:t>SSR Act</w:t>
      </w:r>
      <w:r w:rsidR="003847F2">
        <w:rPr>
          <w:i/>
          <w:iCs/>
        </w:rPr>
        <w:t xml:space="preserve">, </w:t>
      </w:r>
      <w:r w:rsidR="003847F2" w:rsidRPr="000628BA">
        <w:t>s</w:t>
      </w:r>
      <w:r w:rsidR="009702BB">
        <w:t xml:space="preserve">s </w:t>
      </w:r>
      <w:r w:rsidR="0019125C">
        <w:t xml:space="preserve">47, 48, </w:t>
      </w:r>
      <w:r w:rsidR="00C53C33">
        <w:t>55,</w:t>
      </w:r>
      <w:r w:rsidR="004C47F8">
        <w:t xml:space="preserve"> </w:t>
      </w:r>
      <w:r w:rsidR="00C53C33">
        <w:t>57, 60,</w:t>
      </w:r>
      <w:r w:rsidR="009702BB">
        <w:t xml:space="preserve"> </w:t>
      </w:r>
      <w:r w:rsidR="003847F2" w:rsidRPr="000628BA">
        <w:t>108</w:t>
      </w:r>
      <w:r w:rsidR="00C53C33">
        <w:t>,</w:t>
      </w:r>
      <w:r w:rsidR="0019125C">
        <w:t>109, 112, 113, 114, 119 and 122.</w:t>
      </w:r>
    </w:p>
  </w:footnote>
  <w:footnote w:id="5">
    <w:p w14:paraId="64877999" w14:textId="0203C67F" w:rsidR="00CB12A2" w:rsidRDefault="00CB12A2">
      <w:pPr>
        <w:pStyle w:val="FootnoteText"/>
      </w:pPr>
      <w:r>
        <w:rPr>
          <w:rStyle w:val="FootnoteReference"/>
        </w:rPr>
        <w:footnoteRef/>
      </w:r>
      <w:r>
        <w:t xml:space="preserve"> </w:t>
      </w:r>
      <w:r w:rsidR="00BE1284">
        <w:t>SSR Act</w:t>
      </w:r>
      <w:r>
        <w:t>, s</w:t>
      </w:r>
      <w:r w:rsidR="00FF4CFC">
        <w:t>s</w:t>
      </w:r>
      <w:r w:rsidR="00FF49E5">
        <w:t xml:space="preserve"> 14, </w:t>
      </w:r>
      <w:r>
        <w:t>193</w:t>
      </w:r>
      <w:r w:rsidR="00FF4CFC">
        <w:t xml:space="preserve">, </w:t>
      </w:r>
      <w:r w:rsidR="007676EE">
        <w:t>195, 196</w:t>
      </w:r>
      <w:r w:rsidR="00FF49E5">
        <w:t xml:space="preserve"> and </w:t>
      </w:r>
      <w:r w:rsidR="00D50C13">
        <w:t>197</w:t>
      </w:r>
      <w:r>
        <w:t xml:space="preserve">. </w:t>
      </w:r>
    </w:p>
  </w:footnote>
  <w:footnote w:id="6">
    <w:p w14:paraId="0900029B" w14:textId="55F49DDB" w:rsidR="002E4C9F" w:rsidRPr="00AC740C" w:rsidRDefault="002E4C9F" w:rsidP="000628BA">
      <w:pPr>
        <w:pStyle w:val="Bullet1"/>
        <w:numPr>
          <w:ilvl w:val="0"/>
          <w:numId w:val="0"/>
        </w:numPr>
        <w:ind w:left="284" w:hanging="284"/>
        <w:rPr>
          <w:szCs w:val="18"/>
        </w:rPr>
      </w:pPr>
      <w:r w:rsidRPr="000628BA">
        <w:rPr>
          <w:rStyle w:val="FootnoteReference"/>
          <w:sz w:val="18"/>
          <w:szCs w:val="18"/>
        </w:rPr>
        <w:footnoteRef/>
      </w:r>
      <w:r w:rsidRPr="000628BA">
        <w:rPr>
          <w:sz w:val="18"/>
          <w:szCs w:val="18"/>
        </w:rPr>
        <w:t xml:space="preserve"> </w:t>
      </w:r>
      <w:r w:rsidR="004329C8" w:rsidRPr="009507F0">
        <w:rPr>
          <w:sz w:val="18"/>
          <w:szCs w:val="18"/>
        </w:rPr>
        <w:t>S</w:t>
      </w:r>
      <w:r w:rsidR="004329C8">
        <w:rPr>
          <w:sz w:val="18"/>
          <w:szCs w:val="18"/>
        </w:rPr>
        <w:t>SR Act</w:t>
      </w:r>
      <w:r w:rsidRPr="000628BA">
        <w:rPr>
          <w:i/>
          <w:iCs/>
          <w:sz w:val="18"/>
          <w:szCs w:val="18"/>
        </w:rPr>
        <w:t xml:space="preserve">, </w:t>
      </w:r>
      <w:r w:rsidRPr="000628BA">
        <w:rPr>
          <w:sz w:val="18"/>
          <w:szCs w:val="18"/>
        </w:rPr>
        <w:t>s</w:t>
      </w:r>
      <w:r w:rsidR="00FF49E5">
        <w:rPr>
          <w:sz w:val="18"/>
          <w:szCs w:val="18"/>
        </w:rPr>
        <w:t>s</w:t>
      </w:r>
      <w:r w:rsidRPr="000628BA">
        <w:rPr>
          <w:sz w:val="18"/>
          <w:szCs w:val="18"/>
        </w:rPr>
        <w:t>14</w:t>
      </w:r>
      <w:r w:rsidR="00FF49E5">
        <w:rPr>
          <w:sz w:val="18"/>
          <w:szCs w:val="18"/>
        </w:rPr>
        <w:t>,</w:t>
      </w:r>
      <w:r w:rsidR="0093484F">
        <w:rPr>
          <w:sz w:val="18"/>
          <w:szCs w:val="18"/>
        </w:rPr>
        <w:t xml:space="preserve"> 55, 57,</w:t>
      </w:r>
      <w:r w:rsidR="00FF49E5">
        <w:rPr>
          <w:sz w:val="18"/>
          <w:szCs w:val="18"/>
        </w:rPr>
        <w:t xml:space="preserve"> Part 6 and Part 7. </w:t>
      </w:r>
    </w:p>
  </w:footnote>
  <w:footnote w:id="7">
    <w:p w14:paraId="25AF4063" w14:textId="39919A3D" w:rsidR="00BE3A37" w:rsidRPr="00B14D97" w:rsidRDefault="00BE3A37">
      <w:pPr>
        <w:pStyle w:val="FootnoteText"/>
      </w:pPr>
      <w:r>
        <w:rPr>
          <w:rStyle w:val="FootnoteReference"/>
        </w:rPr>
        <w:footnoteRef/>
      </w:r>
      <w:r>
        <w:t xml:space="preserve"> </w:t>
      </w:r>
      <w:r w:rsidR="00B14D97" w:rsidRPr="000628BA">
        <w:rPr>
          <w:szCs w:val="18"/>
        </w:rPr>
        <w:t>S</w:t>
      </w:r>
      <w:r w:rsidR="00071587" w:rsidRPr="000628BA">
        <w:rPr>
          <w:szCs w:val="18"/>
        </w:rPr>
        <w:t>SR Act</w:t>
      </w:r>
      <w:r w:rsidR="00B14D97" w:rsidRPr="000628BA">
        <w:rPr>
          <w:szCs w:val="18"/>
        </w:rPr>
        <w:t>,</w:t>
      </w:r>
      <w:r w:rsidR="00B14D97">
        <w:rPr>
          <w:i/>
          <w:iCs/>
          <w:szCs w:val="18"/>
        </w:rPr>
        <w:t xml:space="preserve"> </w:t>
      </w:r>
      <w:r w:rsidR="00B14D97" w:rsidRPr="000628BA">
        <w:rPr>
          <w:szCs w:val="18"/>
        </w:rPr>
        <w:t>ss</w:t>
      </w:r>
      <w:r w:rsidR="00B14D97">
        <w:rPr>
          <w:szCs w:val="18"/>
        </w:rPr>
        <w:t xml:space="preserve"> </w:t>
      </w:r>
      <w:r w:rsidR="00426D23">
        <w:rPr>
          <w:szCs w:val="18"/>
        </w:rPr>
        <w:t>26, 103, 138, 143, 167, 169, 170 and 172.</w:t>
      </w:r>
    </w:p>
  </w:footnote>
  <w:footnote w:id="8">
    <w:p w14:paraId="78618631" w14:textId="56F40655" w:rsidR="005F4DB0" w:rsidRPr="005F4DB0" w:rsidRDefault="005F4DB0">
      <w:pPr>
        <w:pStyle w:val="FootnoteText"/>
      </w:pPr>
      <w:r>
        <w:rPr>
          <w:rStyle w:val="FootnoteReference"/>
        </w:rPr>
        <w:footnoteRef/>
      </w:r>
      <w:r>
        <w:t xml:space="preserve"> </w:t>
      </w:r>
      <w:r w:rsidRPr="000628BA">
        <w:rPr>
          <w:szCs w:val="18"/>
        </w:rPr>
        <w:t>S</w:t>
      </w:r>
      <w:r w:rsidR="00071587" w:rsidRPr="000628BA">
        <w:rPr>
          <w:szCs w:val="18"/>
        </w:rPr>
        <w:t>SR</w:t>
      </w:r>
      <w:r w:rsidR="006F01DC" w:rsidRPr="000628BA">
        <w:rPr>
          <w:szCs w:val="18"/>
        </w:rPr>
        <w:t xml:space="preserve"> Act</w:t>
      </w:r>
      <w:r w:rsidRPr="000628BA">
        <w:rPr>
          <w:szCs w:val="18"/>
        </w:rPr>
        <w:t>,</w:t>
      </w:r>
      <w:r>
        <w:rPr>
          <w:szCs w:val="18"/>
        </w:rPr>
        <w:t xml:space="preserve"> ss 109, 171 and 172.</w:t>
      </w:r>
    </w:p>
  </w:footnote>
  <w:footnote w:id="9">
    <w:p w14:paraId="1CCD5F90" w14:textId="6A8F9AB5" w:rsidR="00A13436" w:rsidRDefault="00A13436">
      <w:pPr>
        <w:pStyle w:val="FootnoteText"/>
      </w:pPr>
      <w:r>
        <w:rPr>
          <w:rStyle w:val="FootnoteReference"/>
        </w:rPr>
        <w:footnoteRef/>
      </w:r>
      <w:r>
        <w:t xml:space="preserve"> </w:t>
      </w:r>
      <w:r w:rsidR="00A062D8" w:rsidRPr="009507F0">
        <w:rPr>
          <w:szCs w:val="18"/>
        </w:rPr>
        <w:t>SSR Act</w:t>
      </w:r>
      <w:r w:rsidR="00012EF7">
        <w:rPr>
          <w:szCs w:val="18"/>
        </w:rPr>
        <w:t>,</w:t>
      </w:r>
      <w:r w:rsidR="00A062D8" w:rsidRPr="009507F0">
        <w:rPr>
          <w:i/>
          <w:iCs/>
          <w:szCs w:val="18"/>
        </w:rPr>
        <w:t xml:space="preserve"> </w:t>
      </w:r>
      <w:r w:rsidR="00E80B2C">
        <w:rPr>
          <w:i/>
          <w:iCs/>
          <w:szCs w:val="18"/>
        </w:rPr>
        <w:t xml:space="preserve">ss </w:t>
      </w:r>
      <w:r w:rsidR="00E53FB7">
        <w:t xml:space="preserve">57, </w:t>
      </w:r>
      <w:r>
        <w:t>59</w:t>
      </w:r>
      <w:r w:rsidR="00E80B2C">
        <w:t xml:space="preserve">. </w:t>
      </w:r>
      <w:r w:rsidR="00522CAF" w:rsidRPr="009507F0">
        <w:rPr>
          <w:i/>
          <w:iCs/>
          <w:szCs w:val="18"/>
        </w:rPr>
        <w:t>Social Services Regulations 2023</w:t>
      </w:r>
      <w:r w:rsidR="00522CAF">
        <w:rPr>
          <w:i/>
          <w:iCs/>
          <w:szCs w:val="18"/>
        </w:rPr>
        <w:t>,</w:t>
      </w:r>
      <w:r w:rsidR="00522CAF" w:rsidRPr="000628BA">
        <w:rPr>
          <w:szCs w:val="18"/>
        </w:rPr>
        <w:t xml:space="preserve"> Part 5.</w:t>
      </w:r>
      <w:r w:rsidR="00522CAF">
        <w:rPr>
          <w:i/>
          <w:iCs/>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14D58058" w:rsidR="00E261B3" w:rsidRPr="0051568D" w:rsidRDefault="0059218B" w:rsidP="0017674D">
    <w:pPr>
      <w:pStyle w:val="Header"/>
    </w:pPr>
    <w:r>
      <w:t>Policy – Compliance and Enforcement</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BE9"/>
    <w:multiLevelType w:val="hybridMultilevel"/>
    <w:tmpl w:val="FAC4B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06499732">
    <w:abstractNumId w:val="2"/>
  </w:num>
  <w:num w:numId="2" w16cid:durableId="620889137">
    <w:abstractNumId w:val="5"/>
  </w:num>
  <w:num w:numId="3" w16cid:durableId="1586377817">
    <w:abstractNumId w:val="4"/>
  </w:num>
  <w:num w:numId="4" w16cid:durableId="496849498">
    <w:abstractNumId w:val="6"/>
  </w:num>
  <w:num w:numId="5" w16cid:durableId="767576029">
    <w:abstractNumId w:val="3"/>
  </w:num>
  <w:num w:numId="6" w16cid:durableId="1279681164">
    <w:abstractNumId w:val="1"/>
  </w:num>
  <w:num w:numId="7" w16cid:durableId="13981360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44E4"/>
    <w:rsid w:val="00005347"/>
    <w:rsid w:val="000072B6"/>
    <w:rsid w:val="000073A8"/>
    <w:rsid w:val="0001021B"/>
    <w:rsid w:val="00011D89"/>
    <w:rsid w:val="00012EF7"/>
    <w:rsid w:val="000154FD"/>
    <w:rsid w:val="00022271"/>
    <w:rsid w:val="000235E8"/>
    <w:rsid w:val="00024D89"/>
    <w:rsid w:val="000250B6"/>
    <w:rsid w:val="000277AF"/>
    <w:rsid w:val="000301B7"/>
    <w:rsid w:val="00033D81"/>
    <w:rsid w:val="00037366"/>
    <w:rsid w:val="00041BF0"/>
    <w:rsid w:val="00042C8A"/>
    <w:rsid w:val="0004536B"/>
    <w:rsid w:val="00045F2D"/>
    <w:rsid w:val="00046B68"/>
    <w:rsid w:val="000505F0"/>
    <w:rsid w:val="000527DD"/>
    <w:rsid w:val="00052CB6"/>
    <w:rsid w:val="000578B2"/>
    <w:rsid w:val="00060959"/>
    <w:rsid w:val="00060C8F"/>
    <w:rsid w:val="000628BA"/>
    <w:rsid w:val="0006298A"/>
    <w:rsid w:val="000643BD"/>
    <w:rsid w:val="000663CD"/>
    <w:rsid w:val="00071587"/>
    <w:rsid w:val="000733FE"/>
    <w:rsid w:val="00074219"/>
    <w:rsid w:val="00074ED5"/>
    <w:rsid w:val="000813F2"/>
    <w:rsid w:val="0008508E"/>
    <w:rsid w:val="00086557"/>
    <w:rsid w:val="00087951"/>
    <w:rsid w:val="0009050A"/>
    <w:rsid w:val="0009113B"/>
    <w:rsid w:val="00093402"/>
    <w:rsid w:val="000940B0"/>
    <w:rsid w:val="00094DA3"/>
    <w:rsid w:val="00096CD1"/>
    <w:rsid w:val="00097D4C"/>
    <w:rsid w:val="000A012C"/>
    <w:rsid w:val="000A0EB9"/>
    <w:rsid w:val="000A186C"/>
    <w:rsid w:val="000A1EA4"/>
    <w:rsid w:val="000A2476"/>
    <w:rsid w:val="000A641A"/>
    <w:rsid w:val="000B009B"/>
    <w:rsid w:val="000B2117"/>
    <w:rsid w:val="000B3EDB"/>
    <w:rsid w:val="000B543D"/>
    <w:rsid w:val="000B55F9"/>
    <w:rsid w:val="000B5BF7"/>
    <w:rsid w:val="000B6BC8"/>
    <w:rsid w:val="000C0303"/>
    <w:rsid w:val="000C42EA"/>
    <w:rsid w:val="000C4546"/>
    <w:rsid w:val="000D1242"/>
    <w:rsid w:val="000D3599"/>
    <w:rsid w:val="000E0970"/>
    <w:rsid w:val="000E3CC7"/>
    <w:rsid w:val="000E42E9"/>
    <w:rsid w:val="000E6BD4"/>
    <w:rsid w:val="000E6D6D"/>
    <w:rsid w:val="000F1F1E"/>
    <w:rsid w:val="000F2259"/>
    <w:rsid w:val="000F2DDA"/>
    <w:rsid w:val="000F2EA0"/>
    <w:rsid w:val="000F5213"/>
    <w:rsid w:val="000F7EB5"/>
    <w:rsid w:val="00101001"/>
    <w:rsid w:val="00103276"/>
    <w:rsid w:val="0010392D"/>
    <w:rsid w:val="0010447F"/>
    <w:rsid w:val="00104FE3"/>
    <w:rsid w:val="00105291"/>
    <w:rsid w:val="0010714F"/>
    <w:rsid w:val="001120C5"/>
    <w:rsid w:val="00116407"/>
    <w:rsid w:val="00120BD3"/>
    <w:rsid w:val="00122FEA"/>
    <w:rsid w:val="001232BD"/>
    <w:rsid w:val="00124ED5"/>
    <w:rsid w:val="001276FA"/>
    <w:rsid w:val="00134252"/>
    <w:rsid w:val="00140A4A"/>
    <w:rsid w:val="001447B3"/>
    <w:rsid w:val="00144BEB"/>
    <w:rsid w:val="0014781B"/>
    <w:rsid w:val="00152073"/>
    <w:rsid w:val="00156598"/>
    <w:rsid w:val="00157C38"/>
    <w:rsid w:val="0016037B"/>
    <w:rsid w:val="00161939"/>
    <w:rsid w:val="00161AA0"/>
    <w:rsid w:val="00161D2E"/>
    <w:rsid w:val="00161F3E"/>
    <w:rsid w:val="00162093"/>
    <w:rsid w:val="00162CA9"/>
    <w:rsid w:val="00165459"/>
    <w:rsid w:val="00165A57"/>
    <w:rsid w:val="00165C95"/>
    <w:rsid w:val="001712C2"/>
    <w:rsid w:val="00172BAF"/>
    <w:rsid w:val="0017674D"/>
    <w:rsid w:val="001771DD"/>
    <w:rsid w:val="00177995"/>
    <w:rsid w:val="00177A8C"/>
    <w:rsid w:val="00177C1A"/>
    <w:rsid w:val="00186B33"/>
    <w:rsid w:val="0018760B"/>
    <w:rsid w:val="0019125C"/>
    <w:rsid w:val="00192F9D"/>
    <w:rsid w:val="00196EB8"/>
    <w:rsid w:val="00196EFB"/>
    <w:rsid w:val="001979FF"/>
    <w:rsid w:val="00197B17"/>
    <w:rsid w:val="001A0D96"/>
    <w:rsid w:val="001A1950"/>
    <w:rsid w:val="001A1C54"/>
    <w:rsid w:val="001A202A"/>
    <w:rsid w:val="001A3ACE"/>
    <w:rsid w:val="001A6BF3"/>
    <w:rsid w:val="001B058F"/>
    <w:rsid w:val="001B2EA9"/>
    <w:rsid w:val="001B4B7F"/>
    <w:rsid w:val="001B6B96"/>
    <w:rsid w:val="001B7228"/>
    <w:rsid w:val="001B738B"/>
    <w:rsid w:val="001C09DB"/>
    <w:rsid w:val="001C277E"/>
    <w:rsid w:val="001C2A72"/>
    <w:rsid w:val="001C31B7"/>
    <w:rsid w:val="001C77D5"/>
    <w:rsid w:val="001D0B75"/>
    <w:rsid w:val="001D39A5"/>
    <w:rsid w:val="001D3C09"/>
    <w:rsid w:val="001D44E8"/>
    <w:rsid w:val="001D60EC"/>
    <w:rsid w:val="001D6F59"/>
    <w:rsid w:val="001E2502"/>
    <w:rsid w:val="001E44DF"/>
    <w:rsid w:val="001E68A5"/>
    <w:rsid w:val="001E6BB0"/>
    <w:rsid w:val="001E7282"/>
    <w:rsid w:val="001F3826"/>
    <w:rsid w:val="001F6E46"/>
    <w:rsid w:val="001F7AF3"/>
    <w:rsid w:val="001F7C91"/>
    <w:rsid w:val="002033B7"/>
    <w:rsid w:val="00206463"/>
    <w:rsid w:val="00206F2F"/>
    <w:rsid w:val="00207717"/>
    <w:rsid w:val="0021053D"/>
    <w:rsid w:val="00210A92"/>
    <w:rsid w:val="00216C03"/>
    <w:rsid w:val="00220C04"/>
    <w:rsid w:val="0022278D"/>
    <w:rsid w:val="002241CF"/>
    <w:rsid w:val="0022701F"/>
    <w:rsid w:val="00227C68"/>
    <w:rsid w:val="00233311"/>
    <w:rsid w:val="002333F5"/>
    <w:rsid w:val="00233724"/>
    <w:rsid w:val="002365B4"/>
    <w:rsid w:val="0023724F"/>
    <w:rsid w:val="002422E5"/>
    <w:rsid w:val="00242378"/>
    <w:rsid w:val="002432E1"/>
    <w:rsid w:val="00246207"/>
    <w:rsid w:val="00246C5E"/>
    <w:rsid w:val="00250960"/>
    <w:rsid w:val="00250DC4"/>
    <w:rsid w:val="00251343"/>
    <w:rsid w:val="002532EF"/>
    <w:rsid w:val="002536A4"/>
    <w:rsid w:val="00254F58"/>
    <w:rsid w:val="002620BC"/>
    <w:rsid w:val="00262802"/>
    <w:rsid w:val="00263A90"/>
    <w:rsid w:val="0026408B"/>
    <w:rsid w:val="00264AAF"/>
    <w:rsid w:val="00267C3E"/>
    <w:rsid w:val="002709BB"/>
    <w:rsid w:val="0027131C"/>
    <w:rsid w:val="00273BAC"/>
    <w:rsid w:val="002763B3"/>
    <w:rsid w:val="002802E3"/>
    <w:rsid w:val="00280C4B"/>
    <w:rsid w:val="0028213D"/>
    <w:rsid w:val="002862F1"/>
    <w:rsid w:val="002872AD"/>
    <w:rsid w:val="00291373"/>
    <w:rsid w:val="0029597D"/>
    <w:rsid w:val="002962C3"/>
    <w:rsid w:val="0029752B"/>
    <w:rsid w:val="002A0A9C"/>
    <w:rsid w:val="002A3FC0"/>
    <w:rsid w:val="002A483C"/>
    <w:rsid w:val="002B0C7C"/>
    <w:rsid w:val="002B1729"/>
    <w:rsid w:val="002B36C7"/>
    <w:rsid w:val="002B4DD4"/>
    <w:rsid w:val="002B5277"/>
    <w:rsid w:val="002B5375"/>
    <w:rsid w:val="002B5FDE"/>
    <w:rsid w:val="002B77C1"/>
    <w:rsid w:val="002C0ED7"/>
    <w:rsid w:val="002C2728"/>
    <w:rsid w:val="002D1E0D"/>
    <w:rsid w:val="002D5006"/>
    <w:rsid w:val="002E01D0"/>
    <w:rsid w:val="002E161D"/>
    <w:rsid w:val="002E3100"/>
    <w:rsid w:val="002E4C9F"/>
    <w:rsid w:val="002E6C95"/>
    <w:rsid w:val="002E7C36"/>
    <w:rsid w:val="002F14AB"/>
    <w:rsid w:val="002F3ADF"/>
    <w:rsid w:val="002F3D32"/>
    <w:rsid w:val="002F5F31"/>
    <w:rsid w:val="002F5F46"/>
    <w:rsid w:val="002F6674"/>
    <w:rsid w:val="00302216"/>
    <w:rsid w:val="00303E53"/>
    <w:rsid w:val="00305CC1"/>
    <w:rsid w:val="00306E5F"/>
    <w:rsid w:val="00307E14"/>
    <w:rsid w:val="00314054"/>
    <w:rsid w:val="00316F27"/>
    <w:rsid w:val="003170F9"/>
    <w:rsid w:val="003214F1"/>
    <w:rsid w:val="00322660"/>
    <w:rsid w:val="00322E4B"/>
    <w:rsid w:val="003252EE"/>
    <w:rsid w:val="00327870"/>
    <w:rsid w:val="0032798E"/>
    <w:rsid w:val="0033259D"/>
    <w:rsid w:val="003333D2"/>
    <w:rsid w:val="003350CF"/>
    <w:rsid w:val="00337339"/>
    <w:rsid w:val="003406C6"/>
    <w:rsid w:val="003418CC"/>
    <w:rsid w:val="00344D35"/>
    <w:rsid w:val="003456F5"/>
    <w:rsid w:val="003459BD"/>
    <w:rsid w:val="003505F8"/>
    <w:rsid w:val="00350D38"/>
    <w:rsid w:val="00351405"/>
    <w:rsid w:val="00351B36"/>
    <w:rsid w:val="00357B4E"/>
    <w:rsid w:val="00363B81"/>
    <w:rsid w:val="00367797"/>
    <w:rsid w:val="003716FD"/>
    <w:rsid w:val="0037204B"/>
    <w:rsid w:val="003744CF"/>
    <w:rsid w:val="00374717"/>
    <w:rsid w:val="0037676C"/>
    <w:rsid w:val="00377A1A"/>
    <w:rsid w:val="003800C5"/>
    <w:rsid w:val="00381043"/>
    <w:rsid w:val="003829E5"/>
    <w:rsid w:val="00383AB4"/>
    <w:rsid w:val="00383BE9"/>
    <w:rsid w:val="003847F2"/>
    <w:rsid w:val="00386109"/>
    <w:rsid w:val="00386944"/>
    <w:rsid w:val="00393869"/>
    <w:rsid w:val="003956CC"/>
    <w:rsid w:val="00395C9A"/>
    <w:rsid w:val="003A04E1"/>
    <w:rsid w:val="003A0853"/>
    <w:rsid w:val="003A58D1"/>
    <w:rsid w:val="003A6B67"/>
    <w:rsid w:val="003B13B6"/>
    <w:rsid w:val="003B14C3"/>
    <w:rsid w:val="003B15E6"/>
    <w:rsid w:val="003B1BDC"/>
    <w:rsid w:val="003B3866"/>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010"/>
    <w:rsid w:val="003E375C"/>
    <w:rsid w:val="003E39D7"/>
    <w:rsid w:val="003E4086"/>
    <w:rsid w:val="003E639E"/>
    <w:rsid w:val="003E6DCF"/>
    <w:rsid w:val="003E71E5"/>
    <w:rsid w:val="003F0445"/>
    <w:rsid w:val="003F0CF0"/>
    <w:rsid w:val="003F1481"/>
    <w:rsid w:val="003F14B1"/>
    <w:rsid w:val="003F2B20"/>
    <w:rsid w:val="003F3289"/>
    <w:rsid w:val="003F3C62"/>
    <w:rsid w:val="003F5CB9"/>
    <w:rsid w:val="004013C7"/>
    <w:rsid w:val="00401FCF"/>
    <w:rsid w:val="00406157"/>
    <w:rsid w:val="00406285"/>
    <w:rsid w:val="004148F9"/>
    <w:rsid w:val="00417FF2"/>
    <w:rsid w:val="0042084E"/>
    <w:rsid w:val="00421EEF"/>
    <w:rsid w:val="00424D65"/>
    <w:rsid w:val="00426D23"/>
    <w:rsid w:val="00430393"/>
    <w:rsid w:val="00431806"/>
    <w:rsid w:val="004329C8"/>
    <w:rsid w:val="00433E8B"/>
    <w:rsid w:val="004350F9"/>
    <w:rsid w:val="00435457"/>
    <w:rsid w:val="00437AC5"/>
    <w:rsid w:val="00441B9A"/>
    <w:rsid w:val="00442C6C"/>
    <w:rsid w:val="00443CBE"/>
    <w:rsid w:val="00443E8A"/>
    <w:rsid w:val="004441BC"/>
    <w:rsid w:val="004468B4"/>
    <w:rsid w:val="00447974"/>
    <w:rsid w:val="0045230A"/>
    <w:rsid w:val="00454AD0"/>
    <w:rsid w:val="00457337"/>
    <w:rsid w:val="00462E3D"/>
    <w:rsid w:val="00464015"/>
    <w:rsid w:val="0046440A"/>
    <w:rsid w:val="00466E79"/>
    <w:rsid w:val="00470D7D"/>
    <w:rsid w:val="0047372D"/>
    <w:rsid w:val="00473BA3"/>
    <w:rsid w:val="004743DD"/>
    <w:rsid w:val="00474CEA"/>
    <w:rsid w:val="00481F5D"/>
    <w:rsid w:val="00483968"/>
    <w:rsid w:val="004841BE"/>
    <w:rsid w:val="00484F86"/>
    <w:rsid w:val="00490746"/>
    <w:rsid w:val="00490852"/>
    <w:rsid w:val="00490C7F"/>
    <w:rsid w:val="00491C9C"/>
    <w:rsid w:val="00492F30"/>
    <w:rsid w:val="004946F4"/>
    <w:rsid w:val="0049487E"/>
    <w:rsid w:val="004A160D"/>
    <w:rsid w:val="004A25DB"/>
    <w:rsid w:val="004A3E81"/>
    <w:rsid w:val="004A4195"/>
    <w:rsid w:val="004A5C62"/>
    <w:rsid w:val="004A5CE5"/>
    <w:rsid w:val="004A707D"/>
    <w:rsid w:val="004B3AB7"/>
    <w:rsid w:val="004B4185"/>
    <w:rsid w:val="004C47F8"/>
    <w:rsid w:val="004C5541"/>
    <w:rsid w:val="004C6EEE"/>
    <w:rsid w:val="004C702B"/>
    <w:rsid w:val="004D0033"/>
    <w:rsid w:val="004D016B"/>
    <w:rsid w:val="004D1B22"/>
    <w:rsid w:val="004D23CC"/>
    <w:rsid w:val="004D36F2"/>
    <w:rsid w:val="004E1106"/>
    <w:rsid w:val="004E138F"/>
    <w:rsid w:val="004E2ECA"/>
    <w:rsid w:val="004E4649"/>
    <w:rsid w:val="004E5C2B"/>
    <w:rsid w:val="004F00DD"/>
    <w:rsid w:val="004F2133"/>
    <w:rsid w:val="004F28F4"/>
    <w:rsid w:val="004F5398"/>
    <w:rsid w:val="004F55F1"/>
    <w:rsid w:val="004F6388"/>
    <w:rsid w:val="004F6936"/>
    <w:rsid w:val="004F7B35"/>
    <w:rsid w:val="00500078"/>
    <w:rsid w:val="00503DC6"/>
    <w:rsid w:val="00506F5D"/>
    <w:rsid w:val="00510C37"/>
    <w:rsid w:val="00510E94"/>
    <w:rsid w:val="005126D0"/>
    <w:rsid w:val="00513109"/>
    <w:rsid w:val="00514667"/>
    <w:rsid w:val="0051568D"/>
    <w:rsid w:val="005207E4"/>
    <w:rsid w:val="00522CAF"/>
    <w:rsid w:val="00526AC7"/>
    <w:rsid w:val="00526C15"/>
    <w:rsid w:val="00536499"/>
    <w:rsid w:val="00542A03"/>
    <w:rsid w:val="00543903"/>
    <w:rsid w:val="00543F11"/>
    <w:rsid w:val="00546305"/>
    <w:rsid w:val="00547A95"/>
    <w:rsid w:val="0055119B"/>
    <w:rsid w:val="00561202"/>
    <w:rsid w:val="00562DB1"/>
    <w:rsid w:val="00563B1E"/>
    <w:rsid w:val="00572031"/>
    <w:rsid w:val="00572282"/>
    <w:rsid w:val="00573CE3"/>
    <w:rsid w:val="00576E84"/>
    <w:rsid w:val="00580394"/>
    <w:rsid w:val="005809CD"/>
    <w:rsid w:val="00582B8C"/>
    <w:rsid w:val="005845FF"/>
    <w:rsid w:val="0058757E"/>
    <w:rsid w:val="00587D02"/>
    <w:rsid w:val="0059218B"/>
    <w:rsid w:val="00593A99"/>
    <w:rsid w:val="00596A4B"/>
    <w:rsid w:val="00597507"/>
    <w:rsid w:val="005A2AF8"/>
    <w:rsid w:val="005A479D"/>
    <w:rsid w:val="005B1C6D"/>
    <w:rsid w:val="005B21B6"/>
    <w:rsid w:val="005B2572"/>
    <w:rsid w:val="005B3A08"/>
    <w:rsid w:val="005B7676"/>
    <w:rsid w:val="005B7A63"/>
    <w:rsid w:val="005C0955"/>
    <w:rsid w:val="005C49DA"/>
    <w:rsid w:val="005C50F3"/>
    <w:rsid w:val="005C54B5"/>
    <w:rsid w:val="005C5D80"/>
    <w:rsid w:val="005C5D91"/>
    <w:rsid w:val="005D037F"/>
    <w:rsid w:val="005D07B8"/>
    <w:rsid w:val="005D1125"/>
    <w:rsid w:val="005D542F"/>
    <w:rsid w:val="005D6597"/>
    <w:rsid w:val="005E14E7"/>
    <w:rsid w:val="005E26A3"/>
    <w:rsid w:val="005E2ECB"/>
    <w:rsid w:val="005E447E"/>
    <w:rsid w:val="005E4FD1"/>
    <w:rsid w:val="005F0775"/>
    <w:rsid w:val="005F0CF5"/>
    <w:rsid w:val="005F21EB"/>
    <w:rsid w:val="005F4DB0"/>
    <w:rsid w:val="005F64CF"/>
    <w:rsid w:val="005F6D48"/>
    <w:rsid w:val="0060249B"/>
    <w:rsid w:val="006041AD"/>
    <w:rsid w:val="00605908"/>
    <w:rsid w:val="00605C6E"/>
    <w:rsid w:val="00607850"/>
    <w:rsid w:val="00610D7C"/>
    <w:rsid w:val="00613414"/>
    <w:rsid w:val="00613ABD"/>
    <w:rsid w:val="006155AA"/>
    <w:rsid w:val="00620154"/>
    <w:rsid w:val="0062408D"/>
    <w:rsid w:val="006240CC"/>
    <w:rsid w:val="00624940"/>
    <w:rsid w:val="006254F8"/>
    <w:rsid w:val="00627DA7"/>
    <w:rsid w:val="00630438"/>
    <w:rsid w:val="00630DA4"/>
    <w:rsid w:val="00631CD4"/>
    <w:rsid w:val="00632597"/>
    <w:rsid w:val="00632BD5"/>
    <w:rsid w:val="0063495C"/>
    <w:rsid w:val="00634D13"/>
    <w:rsid w:val="006358B4"/>
    <w:rsid w:val="00641724"/>
    <w:rsid w:val="006419AA"/>
    <w:rsid w:val="0064218E"/>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249D"/>
    <w:rsid w:val="006827C2"/>
    <w:rsid w:val="00683878"/>
    <w:rsid w:val="00683CBA"/>
    <w:rsid w:val="0068454C"/>
    <w:rsid w:val="006856B7"/>
    <w:rsid w:val="00691B62"/>
    <w:rsid w:val="006933B5"/>
    <w:rsid w:val="00693D14"/>
    <w:rsid w:val="00695A93"/>
    <w:rsid w:val="00695F24"/>
    <w:rsid w:val="00696F27"/>
    <w:rsid w:val="006A0386"/>
    <w:rsid w:val="006A18C2"/>
    <w:rsid w:val="006A3383"/>
    <w:rsid w:val="006A3A9F"/>
    <w:rsid w:val="006A5261"/>
    <w:rsid w:val="006B077C"/>
    <w:rsid w:val="006B16AF"/>
    <w:rsid w:val="006B6803"/>
    <w:rsid w:val="006C0C62"/>
    <w:rsid w:val="006C3C59"/>
    <w:rsid w:val="006D0F16"/>
    <w:rsid w:val="006D2A3F"/>
    <w:rsid w:val="006D2FBC"/>
    <w:rsid w:val="006E138B"/>
    <w:rsid w:val="006E1867"/>
    <w:rsid w:val="006E280E"/>
    <w:rsid w:val="006F01DC"/>
    <w:rsid w:val="006F0330"/>
    <w:rsid w:val="006F1FDC"/>
    <w:rsid w:val="006F58D2"/>
    <w:rsid w:val="006F6B8C"/>
    <w:rsid w:val="007013EF"/>
    <w:rsid w:val="00702137"/>
    <w:rsid w:val="007055BD"/>
    <w:rsid w:val="00707AEB"/>
    <w:rsid w:val="00714C23"/>
    <w:rsid w:val="007173CA"/>
    <w:rsid w:val="007212A5"/>
    <w:rsid w:val="007216AA"/>
    <w:rsid w:val="00721AB5"/>
    <w:rsid w:val="00721CFB"/>
    <w:rsid w:val="00721DEF"/>
    <w:rsid w:val="00724A43"/>
    <w:rsid w:val="007273AC"/>
    <w:rsid w:val="00731AD4"/>
    <w:rsid w:val="007346E4"/>
    <w:rsid w:val="00735895"/>
    <w:rsid w:val="00740F22"/>
    <w:rsid w:val="00741977"/>
    <w:rsid w:val="00741CF0"/>
    <w:rsid w:val="00741F1A"/>
    <w:rsid w:val="00743A2C"/>
    <w:rsid w:val="007447DA"/>
    <w:rsid w:val="007450F8"/>
    <w:rsid w:val="0074696E"/>
    <w:rsid w:val="00750135"/>
    <w:rsid w:val="00750EC2"/>
    <w:rsid w:val="00752B28"/>
    <w:rsid w:val="00752F98"/>
    <w:rsid w:val="007541A9"/>
    <w:rsid w:val="00754E36"/>
    <w:rsid w:val="00763139"/>
    <w:rsid w:val="00766F80"/>
    <w:rsid w:val="007676EE"/>
    <w:rsid w:val="00770F37"/>
    <w:rsid w:val="007710F6"/>
    <w:rsid w:val="007711A0"/>
    <w:rsid w:val="00771890"/>
    <w:rsid w:val="00772D5E"/>
    <w:rsid w:val="0077463E"/>
    <w:rsid w:val="0077610F"/>
    <w:rsid w:val="00776928"/>
    <w:rsid w:val="00776E0F"/>
    <w:rsid w:val="007774B1"/>
    <w:rsid w:val="00777BE1"/>
    <w:rsid w:val="00780A26"/>
    <w:rsid w:val="007833D8"/>
    <w:rsid w:val="00785677"/>
    <w:rsid w:val="00786F16"/>
    <w:rsid w:val="00791BD7"/>
    <w:rsid w:val="00792AEB"/>
    <w:rsid w:val="007933F7"/>
    <w:rsid w:val="00796E20"/>
    <w:rsid w:val="00797C32"/>
    <w:rsid w:val="00797C46"/>
    <w:rsid w:val="007A11E8"/>
    <w:rsid w:val="007A44D6"/>
    <w:rsid w:val="007B0914"/>
    <w:rsid w:val="007B1374"/>
    <w:rsid w:val="007B32E5"/>
    <w:rsid w:val="007B3DB9"/>
    <w:rsid w:val="007B4A29"/>
    <w:rsid w:val="007B589F"/>
    <w:rsid w:val="007B6186"/>
    <w:rsid w:val="007B73BC"/>
    <w:rsid w:val="007C1838"/>
    <w:rsid w:val="007C20B9"/>
    <w:rsid w:val="007C2679"/>
    <w:rsid w:val="007C7301"/>
    <w:rsid w:val="007C7828"/>
    <w:rsid w:val="007C7859"/>
    <w:rsid w:val="007C7F28"/>
    <w:rsid w:val="007D01B9"/>
    <w:rsid w:val="007D1466"/>
    <w:rsid w:val="007D2BDE"/>
    <w:rsid w:val="007D2FB6"/>
    <w:rsid w:val="007D49EB"/>
    <w:rsid w:val="007D5E1C"/>
    <w:rsid w:val="007E0DE2"/>
    <w:rsid w:val="007E3B98"/>
    <w:rsid w:val="007E417A"/>
    <w:rsid w:val="007F1001"/>
    <w:rsid w:val="007F17C2"/>
    <w:rsid w:val="007F31B6"/>
    <w:rsid w:val="007F546C"/>
    <w:rsid w:val="007F625F"/>
    <w:rsid w:val="007F665E"/>
    <w:rsid w:val="00800412"/>
    <w:rsid w:val="00800539"/>
    <w:rsid w:val="008033B8"/>
    <w:rsid w:val="0080587B"/>
    <w:rsid w:val="00806468"/>
    <w:rsid w:val="0080714A"/>
    <w:rsid w:val="008119CA"/>
    <w:rsid w:val="00811BBF"/>
    <w:rsid w:val="008130C4"/>
    <w:rsid w:val="008131AE"/>
    <w:rsid w:val="008155F0"/>
    <w:rsid w:val="00816735"/>
    <w:rsid w:val="00820141"/>
    <w:rsid w:val="00820E0C"/>
    <w:rsid w:val="00822177"/>
    <w:rsid w:val="00823275"/>
    <w:rsid w:val="0082366F"/>
    <w:rsid w:val="008338A2"/>
    <w:rsid w:val="00834BE2"/>
    <w:rsid w:val="0084046C"/>
    <w:rsid w:val="00841AA9"/>
    <w:rsid w:val="008474FE"/>
    <w:rsid w:val="0085232E"/>
    <w:rsid w:val="00853EE4"/>
    <w:rsid w:val="00855060"/>
    <w:rsid w:val="00855535"/>
    <w:rsid w:val="00857C5A"/>
    <w:rsid w:val="0086255E"/>
    <w:rsid w:val="008633F0"/>
    <w:rsid w:val="00866903"/>
    <w:rsid w:val="00867D9D"/>
    <w:rsid w:val="008725CF"/>
    <w:rsid w:val="00872C54"/>
    <w:rsid w:val="00872E0A"/>
    <w:rsid w:val="00873594"/>
    <w:rsid w:val="00875285"/>
    <w:rsid w:val="0088001F"/>
    <w:rsid w:val="008806B6"/>
    <w:rsid w:val="00884B62"/>
    <w:rsid w:val="0088529C"/>
    <w:rsid w:val="00887903"/>
    <w:rsid w:val="0089208D"/>
    <w:rsid w:val="0089270A"/>
    <w:rsid w:val="00892C28"/>
    <w:rsid w:val="00893AF6"/>
    <w:rsid w:val="00894BC4"/>
    <w:rsid w:val="00895391"/>
    <w:rsid w:val="008A0A5F"/>
    <w:rsid w:val="008A28A8"/>
    <w:rsid w:val="008A5B32"/>
    <w:rsid w:val="008A5D60"/>
    <w:rsid w:val="008B1788"/>
    <w:rsid w:val="008B2029"/>
    <w:rsid w:val="008B2EE4"/>
    <w:rsid w:val="008B3759"/>
    <w:rsid w:val="008B3821"/>
    <w:rsid w:val="008B4D3D"/>
    <w:rsid w:val="008B57C7"/>
    <w:rsid w:val="008C2F92"/>
    <w:rsid w:val="008C3B2E"/>
    <w:rsid w:val="008C41D1"/>
    <w:rsid w:val="008C589D"/>
    <w:rsid w:val="008C6804"/>
    <w:rsid w:val="008C6D51"/>
    <w:rsid w:val="008D2846"/>
    <w:rsid w:val="008D4236"/>
    <w:rsid w:val="008D462F"/>
    <w:rsid w:val="008D5C45"/>
    <w:rsid w:val="008D63B7"/>
    <w:rsid w:val="008D6DCF"/>
    <w:rsid w:val="008E4376"/>
    <w:rsid w:val="008E7A0A"/>
    <w:rsid w:val="008E7B49"/>
    <w:rsid w:val="008F2991"/>
    <w:rsid w:val="008F59F6"/>
    <w:rsid w:val="00900719"/>
    <w:rsid w:val="00900B5D"/>
    <w:rsid w:val="009017AC"/>
    <w:rsid w:val="009021CC"/>
    <w:rsid w:val="00902A9A"/>
    <w:rsid w:val="00904A1C"/>
    <w:rsid w:val="00905030"/>
    <w:rsid w:val="00906490"/>
    <w:rsid w:val="009111B2"/>
    <w:rsid w:val="009151F5"/>
    <w:rsid w:val="009167F4"/>
    <w:rsid w:val="00924AE1"/>
    <w:rsid w:val="009257ED"/>
    <w:rsid w:val="009269B1"/>
    <w:rsid w:val="0092724D"/>
    <w:rsid w:val="009272B3"/>
    <w:rsid w:val="009315BE"/>
    <w:rsid w:val="0093338F"/>
    <w:rsid w:val="0093484F"/>
    <w:rsid w:val="00937BD9"/>
    <w:rsid w:val="00950E2C"/>
    <w:rsid w:val="00951D50"/>
    <w:rsid w:val="009525EB"/>
    <w:rsid w:val="0095470B"/>
    <w:rsid w:val="00954874"/>
    <w:rsid w:val="00954D01"/>
    <w:rsid w:val="0095615A"/>
    <w:rsid w:val="00961400"/>
    <w:rsid w:val="00961B58"/>
    <w:rsid w:val="00963646"/>
    <w:rsid w:val="0096632D"/>
    <w:rsid w:val="00967124"/>
    <w:rsid w:val="00967335"/>
    <w:rsid w:val="009702BB"/>
    <w:rsid w:val="009718C7"/>
    <w:rsid w:val="0097559F"/>
    <w:rsid w:val="009761EA"/>
    <w:rsid w:val="0097698C"/>
    <w:rsid w:val="0097761E"/>
    <w:rsid w:val="00982454"/>
    <w:rsid w:val="00982CF0"/>
    <w:rsid w:val="00983D35"/>
    <w:rsid w:val="009853E1"/>
    <w:rsid w:val="00986E6B"/>
    <w:rsid w:val="00990032"/>
    <w:rsid w:val="00990B19"/>
    <w:rsid w:val="0099153B"/>
    <w:rsid w:val="00991769"/>
    <w:rsid w:val="0099232C"/>
    <w:rsid w:val="00994386"/>
    <w:rsid w:val="00994791"/>
    <w:rsid w:val="009A0365"/>
    <w:rsid w:val="009A13D8"/>
    <w:rsid w:val="009A279E"/>
    <w:rsid w:val="009A3015"/>
    <w:rsid w:val="009A3490"/>
    <w:rsid w:val="009A627F"/>
    <w:rsid w:val="009B0A6F"/>
    <w:rsid w:val="009B0A94"/>
    <w:rsid w:val="009B2AE8"/>
    <w:rsid w:val="009B5622"/>
    <w:rsid w:val="009B59E9"/>
    <w:rsid w:val="009B5AC5"/>
    <w:rsid w:val="009B70AA"/>
    <w:rsid w:val="009C1A3D"/>
    <w:rsid w:val="009C1CB1"/>
    <w:rsid w:val="009C5E77"/>
    <w:rsid w:val="009C7A7E"/>
    <w:rsid w:val="009D02E8"/>
    <w:rsid w:val="009D51D0"/>
    <w:rsid w:val="009D70A4"/>
    <w:rsid w:val="009D7A52"/>
    <w:rsid w:val="009D7B14"/>
    <w:rsid w:val="009E08D1"/>
    <w:rsid w:val="009E1B95"/>
    <w:rsid w:val="009E30ED"/>
    <w:rsid w:val="009E496F"/>
    <w:rsid w:val="009E4A28"/>
    <w:rsid w:val="009E4B0D"/>
    <w:rsid w:val="009E5250"/>
    <w:rsid w:val="009E7A69"/>
    <w:rsid w:val="009E7F92"/>
    <w:rsid w:val="009F02A3"/>
    <w:rsid w:val="009F1FD0"/>
    <w:rsid w:val="009F2F27"/>
    <w:rsid w:val="009F34AA"/>
    <w:rsid w:val="009F6BCB"/>
    <w:rsid w:val="009F7B78"/>
    <w:rsid w:val="00A0057A"/>
    <w:rsid w:val="00A02FA1"/>
    <w:rsid w:val="00A04CCE"/>
    <w:rsid w:val="00A062D8"/>
    <w:rsid w:val="00A07421"/>
    <w:rsid w:val="00A0776B"/>
    <w:rsid w:val="00A10FB9"/>
    <w:rsid w:val="00A11421"/>
    <w:rsid w:val="00A11FD8"/>
    <w:rsid w:val="00A13436"/>
    <w:rsid w:val="00A1389F"/>
    <w:rsid w:val="00A14996"/>
    <w:rsid w:val="00A157B1"/>
    <w:rsid w:val="00A22229"/>
    <w:rsid w:val="00A23DEF"/>
    <w:rsid w:val="00A24442"/>
    <w:rsid w:val="00A252B9"/>
    <w:rsid w:val="00A32577"/>
    <w:rsid w:val="00A330BB"/>
    <w:rsid w:val="00A34ACD"/>
    <w:rsid w:val="00A44718"/>
    <w:rsid w:val="00A44882"/>
    <w:rsid w:val="00A45125"/>
    <w:rsid w:val="00A513A9"/>
    <w:rsid w:val="00A54715"/>
    <w:rsid w:val="00A6061C"/>
    <w:rsid w:val="00A62D44"/>
    <w:rsid w:val="00A67263"/>
    <w:rsid w:val="00A7161C"/>
    <w:rsid w:val="00A72A95"/>
    <w:rsid w:val="00A75C5D"/>
    <w:rsid w:val="00A75C82"/>
    <w:rsid w:val="00A77AA3"/>
    <w:rsid w:val="00A8236D"/>
    <w:rsid w:val="00A854EB"/>
    <w:rsid w:val="00A860ED"/>
    <w:rsid w:val="00A872E5"/>
    <w:rsid w:val="00A91406"/>
    <w:rsid w:val="00A96E65"/>
    <w:rsid w:val="00A96ECE"/>
    <w:rsid w:val="00A9710C"/>
    <w:rsid w:val="00A97C72"/>
    <w:rsid w:val="00AA1CBB"/>
    <w:rsid w:val="00AA310B"/>
    <w:rsid w:val="00AA63D4"/>
    <w:rsid w:val="00AB06E8"/>
    <w:rsid w:val="00AB16EE"/>
    <w:rsid w:val="00AB1A4F"/>
    <w:rsid w:val="00AB1CD3"/>
    <w:rsid w:val="00AB34F5"/>
    <w:rsid w:val="00AB352F"/>
    <w:rsid w:val="00AB67FD"/>
    <w:rsid w:val="00AB7241"/>
    <w:rsid w:val="00AC274B"/>
    <w:rsid w:val="00AC4764"/>
    <w:rsid w:val="00AC522D"/>
    <w:rsid w:val="00AC6D36"/>
    <w:rsid w:val="00AC740C"/>
    <w:rsid w:val="00AD0CBA"/>
    <w:rsid w:val="00AD26E2"/>
    <w:rsid w:val="00AD484E"/>
    <w:rsid w:val="00AD784C"/>
    <w:rsid w:val="00AE126A"/>
    <w:rsid w:val="00AE1BAE"/>
    <w:rsid w:val="00AE3005"/>
    <w:rsid w:val="00AE3BD5"/>
    <w:rsid w:val="00AE59A0"/>
    <w:rsid w:val="00AE7145"/>
    <w:rsid w:val="00AF0C57"/>
    <w:rsid w:val="00AF26F3"/>
    <w:rsid w:val="00AF5F04"/>
    <w:rsid w:val="00B00672"/>
    <w:rsid w:val="00B01B4D"/>
    <w:rsid w:val="00B04489"/>
    <w:rsid w:val="00B05BDC"/>
    <w:rsid w:val="00B06337"/>
    <w:rsid w:val="00B06571"/>
    <w:rsid w:val="00B068BA"/>
    <w:rsid w:val="00B07217"/>
    <w:rsid w:val="00B13851"/>
    <w:rsid w:val="00B13B1C"/>
    <w:rsid w:val="00B14B5F"/>
    <w:rsid w:val="00B14D97"/>
    <w:rsid w:val="00B21BA0"/>
    <w:rsid w:val="00B21F90"/>
    <w:rsid w:val="00B22291"/>
    <w:rsid w:val="00B23F9A"/>
    <w:rsid w:val="00B2417B"/>
    <w:rsid w:val="00B24E6F"/>
    <w:rsid w:val="00B26CB5"/>
    <w:rsid w:val="00B2752E"/>
    <w:rsid w:val="00B307CC"/>
    <w:rsid w:val="00B326B7"/>
    <w:rsid w:val="00B32B96"/>
    <w:rsid w:val="00B33482"/>
    <w:rsid w:val="00B3588E"/>
    <w:rsid w:val="00B4198F"/>
    <w:rsid w:val="00B41F3D"/>
    <w:rsid w:val="00B431E8"/>
    <w:rsid w:val="00B45141"/>
    <w:rsid w:val="00B50CAE"/>
    <w:rsid w:val="00B50D8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4342"/>
    <w:rsid w:val="00B843BE"/>
    <w:rsid w:val="00B90729"/>
    <w:rsid w:val="00B907DA"/>
    <w:rsid w:val="00B91FFE"/>
    <w:rsid w:val="00B950BC"/>
    <w:rsid w:val="00B95AB9"/>
    <w:rsid w:val="00B9714C"/>
    <w:rsid w:val="00BA29AD"/>
    <w:rsid w:val="00BA33CF"/>
    <w:rsid w:val="00BA3F8D"/>
    <w:rsid w:val="00BA5952"/>
    <w:rsid w:val="00BB1B79"/>
    <w:rsid w:val="00BB4F70"/>
    <w:rsid w:val="00BB7A10"/>
    <w:rsid w:val="00BC60BE"/>
    <w:rsid w:val="00BC7468"/>
    <w:rsid w:val="00BC7D4F"/>
    <w:rsid w:val="00BC7ED7"/>
    <w:rsid w:val="00BD2850"/>
    <w:rsid w:val="00BD6049"/>
    <w:rsid w:val="00BE1284"/>
    <w:rsid w:val="00BE28D2"/>
    <w:rsid w:val="00BE3A37"/>
    <w:rsid w:val="00BE4A64"/>
    <w:rsid w:val="00BE5E43"/>
    <w:rsid w:val="00BF557D"/>
    <w:rsid w:val="00BF73A0"/>
    <w:rsid w:val="00BF7F58"/>
    <w:rsid w:val="00C01381"/>
    <w:rsid w:val="00C01AB1"/>
    <w:rsid w:val="00C026A0"/>
    <w:rsid w:val="00C03EA4"/>
    <w:rsid w:val="00C04F42"/>
    <w:rsid w:val="00C06137"/>
    <w:rsid w:val="00C06929"/>
    <w:rsid w:val="00C07851"/>
    <w:rsid w:val="00C079B8"/>
    <w:rsid w:val="00C10037"/>
    <w:rsid w:val="00C123EA"/>
    <w:rsid w:val="00C12A49"/>
    <w:rsid w:val="00C133EE"/>
    <w:rsid w:val="00C149D0"/>
    <w:rsid w:val="00C21E45"/>
    <w:rsid w:val="00C231A0"/>
    <w:rsid w:val="00C26588"/>
    <w:rsid w:val="00C27DE9"/>
    <w:rsid w:val="00C32989"/>
    <w:rsid w:val="00C33388"/>
    <w:rsid w:val="00C35484"/>
    <w:rsid w:val="00C35E2A"/>
    <w:rsid w:val="00C41645"/>
    <w:rsid w:val="00C4173A"/>
    <w:rsid w:val="00C47B09"/>
    <w:rsid w:val="00C50DED"/>
    <w:rsid w:val="00C52032"/>
    <w:rsid w:val="00C52217"/>
    <w:rsid w:val="00C53C33"/>
    <w:rsid w:val="00C602FF"/>
    <w:rsid w:val="00C61174"/>
    <w:rsid w:val="00C6148F"/>
    <w:rsid w:val="00C621B1"/>
    <w:rsid w:val="00C62F7A"/>
    <w:rsid w:val="00C63B9C"/>
    <w:rsid w:val="00C64EDB"/>
    <w:rsid w:val="00C6682F"/>
    <w:rsid w:val="00C67BF4"/>
    <w:rsid w:val="00C7275E"/>
    <w:rsid w:val="00C74C5D"/>
    <w:rsid w:val="00C863C4"/>
    <w:rsid w:val="00C920EA"/>
    <w:rsid w:val="00C93C3E"/>
    <w:rsid w:val="00CA12E3"/>
    <w:rsid w:val="00CA1476"/>
    <w:rsid w:val="00CA1916"/>
    <w:rsid w:val="00CA1E4D"/>
    <w:rsid w:val="00CA64C9"/>
    <w:rsid w:val="00CA6611"/>
    <w:rsid w:val="00CA6AE6"/>
    <w:rsid w:val="00CA6C43"/>
    <w:rsid w:val="00CA782F"/>
    <w:rsid w:val="00CB12A2"/>
    <w:rsid w:val="00CB187B"/>
    <w:rsid w:val="00CB2835"/>
    <w:rsid w:val="00CB3285"/>
    <w:rsid w:val="00CB4500"/>
    <w:rsid w:val="00CC0313"/>
    <w:rsid w:val="00CC0C72"/>
    <w:rsid w:val="00CC2BFD"/>
    <w:rsid w:val="00CD1A9A"/>
    <w:rsid w:val="00CD3476"/>
    <w:rsid w:val="00CD3A6B"/>
    <w:rsid w:val="00CD64DF"/>
    <w:rsid w:val="00CE225F"/>
    <w:rsid w:val="00CF125A"/>
    <w:rsid w:val="00CF2F50"/>
    <w:rsid w:val="00CF4148"/>
    <w:rsid w:val="00CF6198"/>
    <w:rsid w:val="00CF6FE5"/>
    <w:rsid w:val="00D02919"/>
    <w:rsid w:val="00D04C61"/>
    <w:rsid w:val="00D05B8D"/>
    <w:rsid w:val="00D05B9B"/>
    <w:rsid w:val="00D065A2"/>
    <w:rsid w:val="00D079AA"/>
    <w:rsid w:val="00D07F00"/>
    <w:rsid w:val="00D1130F"/>
    <w:rsid w:val="00D17B72"/>
    <w:rsid w:val="00D24484"/>
    <w:rsid w:val="00D26A2B"/>
    <w:rsid w:val="00D26F90"/>
    <w:rsid w:val="00D3185C"/>
    <w:rsid w:val="00D3205F"/>
    <w:rsid w:val="00D3318E"/>
    <w:rsid w:val="00D33E72"/>
    <w:rsid w:val="00D35BD6"/>
    <w:rsid w:val="00D361B5"/>
    <w:rsid w:val="00D402DB"/>
    <w:rsid w:val="00D411A2"/>
    <w:rsid w:val="00D42074"/>
    <w:rsid w:val="00D44A82"/>
    <w:rsid w:val="00D4606D"/>
    <w:rsid w:val="00D50B9C"/>
    <w:rsid w:val="00D50C13"/>
    <w:rsid w:val="00D52D73"/>
    <w:rsid w:val="00D52E58"/>
    <w:rsid w:val="00D56B20"/>
    <w:rsid w:val="00D578B3"/>
    <w:rsid w:val="00D618F4"/>
    <w:rsid w:val="00D714CC"/>
    <w:rsid w:val="00D75EA7"/>
    <w:rsid w:val="00D81309"/>
    <w:rsid w:val="00D81ADF"/>
    <w:rsid w:val="00D81B55"/>
    <w:rsid w:val="00D81F21"/>
    <w:rsid w:val="00D8423D"/>
    <w:rsid w:val="00D84658"/>
    <w:rsid w:val="00D84E83"/>
    <w:rsid w:val="00D864F2"/>
    <w:rsid w:val="00D86D6B"/>
    <w:rsid w:val="00D902CA"/>
    <w:rsid w:val="00D943F8"/>
    <w:rsid w:val="00D95470"/>
    <w:rsid w:val="00D96B55"/>
    <w:rsid w:val="00DA0B1F"/>
    <w:rsid w:val="00DA2619"/>
    <w:rsid w:val="00DA2E57"/>
    <w:rsid w:val="00DA4239"/>
    <w:rsid w:val="00DA65DE"/>
    <w:rsid w:val="00DB0B61"/>
    <w:rsid w:val="00DB1474"/>
    <w:rsid w:val="00DB2962"/>
    <w:rsid w:val="00DB4EB5"/>
    <w:rsid w:val="00DB52FB"/>
    <w:rsid w:val="00DC013B"/>
    <w:rsid w:val="00DC0744"/>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745"/>
    <w:rsid w:val="00DE6C85"/>
    <w:rsid w:val="00DE78A3"/>
    <w:rsid w:val="00DE7EC8"/>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414C0"/>
    <w:rsid w:val="00E46529"/>
    <w:rsid w:val="00E53FB7"/>
    <w:rsid w:val="00E54950"/>
    <w:rsid w:val="00E54D28"/>
    <w:rsid w:val="00E55FB3"/>
    <w:rsid w:val="00E56A01"/>
    <w:rsid w:val="00E629A1"/>
    <w:rsid w:val="00E66060"/>
    <w:rsid w:val="00E6794C"/>
    <w:rsid w:val="00E71591"/>
    <w:rsid w:val="00E71CEB"/>
    <w:rsid w:val="00E7474F"/>
    <w:rsid w:val="00E748F1"/>
    <w:rsid w:val="00E77901"/>
    <w:rsid w:val="00E80B2C"/>
    <w:rsid w:val="00E80DE3"/>
    <w:rsid w:val="00E82C55"/>
    <w:rsid w:val="00E8787E"/>
    <w:rsid w:val="00E92AC3"/>
    <w:rsid w:val="00E9798F"/>
    <w:rsid w:val="00EA0F80"/>
    <w:rsid w:val="00EA2F6A"/>
    <w:rsid w:val="00EA71E7"/>
    <w:rsid w:val="00EB00E0"/>
    <w:rsid w:val="00EB05D5"/>
    <w:rsid w:val="00EB1931"/>
    <w:rsid w:val="00EB1E87"/>
    <w:rsid w:val="00EB5BEE"/>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0700"/>
    <w:rsid w:val="00EF109B"/>
    <w:rsid w:val="00EF201C"/>
    <w:rsid w:val="00EF2C72"/>
    <w:rsid w:val="00EF36AF"/>
    <w:rsid w:val="00EF59A3"/>
    <w:rsid w:val="00EF6675"/>
    <w:rsid w:val="00F0063D"/>
    <w:rsid w:val="00F00DC4"/>
    <w:rsid w:val="00F00F9C"/>
    <w:rsid w:val="00F01E5F"/>
    <w:rsid w:val="00F024F3"/>
    <w:rsid w:val="00F029DC"/>
    <w:rsid w:val="00F02ABA"/>
    <w:rsid w:val="00F02B40"/>
    <w:rsid w:val="00F03701"/>
    <w:rsid w:val="00F0437A"/>
    <w:rsid w:val="00F101B8"/>
    <w:rsid w:val="00F10C7D"/>
    <w:rsid w:val="00F11037"/>
    <w:rsid w:val="00F16F1B"/>
    <w:rsid w:val="00F22580"/>
    <w:rsid w:val="00F250A9"/>
    <w:rsid w:val="00F267AF"/>
    <w:rsid w:val="00F30FF4"/>
    <w:rsid w:val="00F3122E"/>
    <w:rsid w:val="00F32368"/>
    <w:rsid w:val="00F331AD"/>
    <w:rsid w:val="00F35287"/>
    <w:rsid w:val="00F40A70"/>
    <w:rsid w:val="00F43A37"/>
    <w:rsid w:val="00F45089"/>
    <w:rsid w:val="00F4641B"/>
    <w:rsid w:val="00F46EB8"/>
    <w:rsid w:val="00F476B8"/>
    <w:rsid w:val="00F50CD1"/>
    <w:rsid w:val="00F511E4"/>
    <w:rsid w:val="00F52D09"/>
    <w:rsid w:val="00F52E08"/>
    <w:rsid w:val="00F53460"/>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587F"/>
    <w:rsid w:val="00F972B1"/>
    <w:rsid w:val="00F97919"/>
    <w:rsid w:val="00FA2C46"/>
    <w:rsid w:val="00FA3525"/>
    <w:rsid w:val="00FA5A53"/>
    <w:rsid w:val="00FB1748"/>
    <w:rsid w:val="00FB2D03"/>
    <w:rsid w:val="00FB3501"/>
    <w:rsid w:val="00FB4769"/>
    <w:rsid w:val="00FB4CDA"/>
    <w:rsid w:val="00FB5B4E"/>
    <w:rsid w:val="00FB6481"/>
    <w:rsid w:val="00FB6D36"/>
    <w:rsid w:val="00FC0965"/>
    <w:rsid w:val="00FC0F81"/>
    <w:rsid w:val="00FC252F"/>
    <w:rsid w:val="00FC395C"/>
    <w:rsid w:val="00FC538A"/>
    <w:rsid w:val="00FC5E8E"/>
    <w:rsid w:val="00FC7EFE"/>
    <w:rsid w:val="00FD3766"/>
    <w:rsid w:val="00FD40CD"/>
    <w:rsid w:val="00FD47C4"/>
    <w:rsid w:val="00FE2DCF"/>
    <w:rsid w:val="00FE3FA7"/>
    <w:rsid w:val="00FE7E7E"/>
    <w:rsid w:val="00FF2A4E"/>
    <w:rsid w:val="00FF2FCE"/>
    <w:rsid w:val="00FF49E5"/>
    <w:rsid w:val="00FF4CFC"/>
    <w:rsid w:val="00FF4F7D"/>
    <w:rsid w:val="00FF57FA"/>
    <w:rsid w:val="00FF6D9D"/>
    <w:rsid w:val="00FF7596"/>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87F163D-FBBB-4B19-BCED-F5B609D7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TOCheadingreport">
    <w:name w:val="TOC heading report"/>
    <w:basedOn w:val="Heading1"/>
    <w:next w:val="Body"/>
    <w:link w:val="TOCheadingreportChar"/>
    <w:uiPriority w:val="4"/>
    <w:rsid w:val="00DB4EB5"/>
    <w:pPr>
      <w:pageBreakBefore/>
      <w:spacing w:before="0" w:after="240" w:line="480" w:lineRule="atLeast"/>
      <w:outlineLvl w:val="9"/>
    </w:pPr>
    <w:rPr>
      <w:sz w:val="44"/>
      <w:szCs w:val="44"/>
    </w:rPr>
  </w:style>
  <w:style w:type="character" w:customStyle="1" w:styleId="TOCheadingreportChar">
    <w:name w:val="TOC heading report Char"/>
    <w:link w:val="TOCheadingreport"/>
    <w:uiPriority w:val="4"/>
    <w:rsid w:val="00DB4EB5"/>
    <w:rPr>
      <w:rFonts w:ascii="Arial" w:eastAsia="MS Gothic" w:hAnsi="Arial" w:cs="Arial"/>
      <w:bCs/>
      <w:color w:val="201547"/>
      <w:kern w:val="32"/>
      <w:sz w:val="44"/>
      <w:szCs w:val="44"/>
      <w:lang w:eastAsia="en-US"/>
    </w:rPr>
  </w:style>
  <w:style w:type="paragraph" w:styleId="ListParagraph">
    <w:name w:val="List Paragraph"/>
    <w:basedOn w:val="Normal"/>
    <w:uiPriority w:val="34"/>
    <w:qFormat/>
    <w:rsid w:val="00DB4EB5"/>
    <w:pPr>
      <w:spacing w:after="160" w:line="259" w:lineRule="auto"/>
      <w:ind w:left="720"/>
      <w:contextualSpacing/>
    </w:pPr>
    <w:rPr>
      <w:rFonts w:asciiTheme="minorHAnsi" w:eastAsiaTheme="minorHAnsi" w:hAnsiTheme="minorHAnsi" w:cstheme="minorBidi"/>
      <w:sz w:val="22"/>
      <w:szCs w:val="22"/>
    </w:rPr>
  </w:style>
  <w:style w:type="character" w:customStyle="1" w:styleId="normaltextrun">
    <w:name w:val="normaltextrun"/>
    <w:basedOn w:val="DefaultParagraphFont"/>
    <w:rsid w:val="00DB4EB5"/>
  </w:style>
  <w:style w:type="table" w:customStyle="1" w:styleId="HRS2table">
    <w:name w:val="HRS2 table"/>
    <w:basedOn w:val="TableNormal"/>
    <w:uiPriority w:val="99"/>
    <w:rsid w:val="00DB4EB5"/>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F2F2F2" w:themeFill="background1" w:themeFillShade="F2"/>
    </w:tcPr>
    <w:tblStylePr w:type="firstCol">
      <w:tblPr/>
      <w:tcPr>
        <w:tcBorders>
          <w:top w:val="nil"/>
          <w:left w:val="nil"/>
          <w:bottom w:val="nil"/>
          <w:right w:val="nil"/>
          <w:insideH w:val="nil"/>
          <w:insideV w:val="nil"/>
          <w:tl2br w:val="nil"/>
          <w:tr2bl w:val="nil"/>
        </w:tcBorders>
        <w:shd w:val="clear" w:color="auto" w:fill="FFFFFF" w:themeFill="background1"/>
      </w:tcPr>
    </w:tblStylePr>
  </w:style>
  <w:style w:type="character" w:styleId="Mention">
    <w:name w:val="Mention"/>
    <w:basedOn w:val="DefaultParagraphFont"/>
    <w:uiPriority w:val="99"/>
    <w:unhideWhenUsed/>
    <w:rsid w:val="003F1481"/>
    <w:rPr>
      <w:color w:val="2B579A"/>
      <w:shd w:val="clear" w:color="auto" w:fill="E1DFDD"/>
    </w:rPr>
  </w:style>
  <w:style w:type="paragraph" w:customStyle="1" w:styleId="paragraph">
    <w:name w:val="paragraph"/>
    <w:basedOn w:val="Normal"/>
    <w:rsid w:val="00FE7E7E"/>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FE7E7E"/>
  </w:style>
  <w:style w:type="paragraph" w:styleId="NormalWeb">
    <w:name w:val="Normal (Web)"/>
    <w:basedOn w:val="Normal"/>
    <w:uiPriority w:val="99"/>
    <w:semiHidden/>
    <w:unhideWhenUsed/>
    <w:rsid w:val="0018760B"/>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3E3010"/>
    <w:pPr>
      <w:spacing w:after="200" w:line="240" w:lineRule="auto"/>
    </w:pPr>
    <w:rPr>
      <w:i/>
      <w:iCs/>
      <w:color w:val="1F497D" w:themeColor="text2"/>
      <w:sz w:val="18"/>
      <w:szCs w:val="18"/>
    </w:rPr>
  </w:style>
  <w:style w:type="table" w:customStyle="1" w:styleId="TableGrid2">
    <w:name w:val="Table Grid2"/>
    <w:basedOn w:val="TableNormal"/>
    <w:next w:val="TableGrid"/>
    <w:rsid w:val="00D24484"/>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755636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3837218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92424989">
      <w:bodyDiv w:val="1"/>
      <w:marLeft w:val="0"/>
      <w:marRight w:val="0"/>
      <w:marTop w:val="0"/>
      <w:marBottom w:val="0"/>
      <w:divBdr>
        <w:top w:val="none" w:sz="0" w:space="0" w:color="auto"/>
        <w:left w:val="none" w:sz="0" w:space="0" w:color="auto"/>
        <w:bottom w:val="none" w:sz="0" w:space="0" w:color="auto"/>
        <w:right w:val="none" w:sz="0" w:space="0" w:color="auto"/>
      </w:divBdr>
      <w:divsChild>
        <w:div w:id="586310687">
          <w:marLeft w:val="0"/>
          <w:marRight w:val="0"/>
          <w:marTop w:val="0"/>
          <w:marBottom w:val="0"/>
          <w:divBdr>
            <w:top w:val="none" w:sz="0" w:space="0" w:color="auto"/>
            <w:left w:val="none" w:sz="0" w:space="0" w:color="auto"/>
            <w:bottom w:val="none" w:sz="0" w:space="0" w:color="auto"/>
            <w:right w:val="none" w:sz="0" w:space="0" w:color="auto"/>
          </w:divBdr>
        </w:div>
        <w:div w:id="626818876">
          <w:marLeft w:val="0"/>
          <w:marRight w:val="0"/>
          <w:marTop w:val="0"/>
          <w:marBottom w:val="0"/>
          <w:divBdr>
            <w:top w:val="none" w:sz="0" w:space="0" w:color="auto"/>
            <w:left w:val="none" w:sz="0" w:space="0" w:color="auto"/>
            <w:bottom w:val="none" w:sz="0" w:space="0" w:color="auto"/>
            <w:right w:val="none" w:sz="0" w:space="0" w:color="auto"/>
          </w:divBdr>
        </w:div>
        <w:div w:id="748575983">
          <w:marLeft w:val="0"/>
          <w:marRight w:val="0"/>
          <w:marTop w:val="0"/>
          <w:marBottom w:val="0"/>
          <w:divBdr>
            <w:top w:val="none" w:sz="0" w:space="0" w:color="auto"/>
            <w:left w:val="none" w:sz="0" w:space="0" w:color="auto"/>
            <w:bottom w:val="none" w:sz="0" w:space="0" w:color="auto"/>
            <w:right w:val="none" w:sz="0" w:space="0" w:color="auto"/>
          </w:divBdr>
        </w:div>
        <w:div w:id="879056754">
          <w:marLeft w:val="0"/>
          <w:marRight w:val="0"/>
          <w:marTop w:val="0"/>
          <w:marBottom w:val="0"/>
          <w:divBdr>
            <w:top w:val="none" w:sz="0" w:space="0" w:color="auto"/>
            <w:left w:val="none" w:sz="0" w:space="0" w:color="auto"/>
            <w:bottom w:val="none" w:sz="0" w:space="0" w:color="auto"/>
            <w:right w:val="none" w:sz="0" w:space="0" w:color="auto"/>
          </w:divBdr>
        </w:div>
        <w:div w:id="1124806786">
          <w:marLeft w:val="0"/>
          <w:marRight w:val="0"/>
          <w:marTop w:val="0"/>
          <w:marBottom w:val="0"/>
          <w:divBdr>
            <w:top w:val="none" w:sz="0" w:space="0" w:color="auto"/>
            <w:left w:val="none" w:sz="0" w:space="0" w:color="auto"/>
            <w:bottom w:val="none" w:sz="0" w:space="0" w:color="auto"/>
            <w:right w:val="none" w:sz="0" w:space="0" w:color="auto"/>
          </w:divBdr>
        </w:div>
        <w:div w:id="1589583788">
          <w:marLeft w:val="0"/>
          <w:marRight w:val="0"/>
          <w:marTop w:val="0"/>
          <w:marBottom w:val="0"/>
          <w:divBdr>
            <w:top w:val="none" w:sz="0" w:space="0" w:color="auto"/>
            <w:left w:val="none" w:sz="0" w:space="0" w:color="auto"/>
            <w:bottom w:val="none" w:sz="0" w:space="0" w:color="auto"/>
            <w:right w:val="none" w:sz="0" w:space="0" w:color="auto"/>
          </w:divBdr>
        </w:div>
        <w:div w:id="1617785836">
          <w:marLeft w:val="0"/>
          <w:marRight w:val="0"/>
          <w:marTop w:val="0"/>
          <w:marBottom w:val="0"/>
          <w:divBdr>
            <w:top w:val="none" w:sz="0" w:space="0" w:color="auto"/>
            <w:left w:val="none" w:sz="0" w:space="0" w:color="auto"/>
            <w:bottom w:val="none" w:sz="0" w:space="0" w:color="auto"/>
            <w:right w:val="none" w:sz="0" w:space="0" w:color="auto"/>
          </w:divBdr>
        </w:div>
        <w:div w:id="1654413090">
          <w:marLeft w:val="0"/>
          <w:marRight w:val="0"/>
          <w:marTop w:val="0"/>
          <w:marBottom w:val="0"/>
          <w:divBdr>
            <w:top w:val="none" w:sz="0" w:space="0" w:color="auto"/>
            <w:left w:val="none" w:sz="0" w:space="0" w:color="auto"/>
            <w:bottom w:val="none" w:sz="0" w:space="0" w:color="auto"/>
            <w:right w:val="none" w:sz="0" w:space="0" w:color="auto"/>
          </w:divBdr>
        </w:div>
        <w:div w:id="2074348484">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07/relationships/hdphoto" Target="media/hdphoto1.wdp"/><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5"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yperlink" Target="https://www.vic.gov.au/compliance-and-enforcement-policy-social-services-regula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c74ea8-e552-4672-9e93-7e886a7af213">
      <Terms xmlns="http://schemas.microsoft.com/office/infopath/2007/PartnerControls"/>
    </lcf76f155ced4ddcb4097134ff3c332f>
    <SharedWithUsers xmlns="c520fbed-e792-47a6-88e7-e35740b06176">
      <UserInfo>
        <DisplayName>SharingLinks.5fa55cd0-0f9f-4eb8-ac3e-47dbd5ef9542.Flexible.764f9d80-4269-46a8-98bf-5377528c2c7c</DisplayName>
        <AccountId>58</AccountId>
        <AccountType/>
      </UserInfo>
      <UserInfo>
        <DisplayName>Anthony Kolmus (ODSC)</DisplayName>
        <AccountId>102</AccountId>
        <AccountType/>
      </UserInfo>
      <UserInfo>
        <DisplayName>Mary X Kishenevsky (DFFH)</DisplayName>
        <AccountId>835</AccountId>
        <AccountType/>
      </UserInfo>
    </SharedWithUsers>
    <Comment xmlns="5dc74ea8-e552-4672-9e93-7e886a7af213" xsi:nil="true"/>
    <TaxCatchAll xmlns="5ce0f2b5-5be5-4508-bce9-d7011ece0659" xsi:nil="true"/>
    <Comments xmlns="5dc74ea8-e552-4672-9e93-7e886a7af213" xsi:nil="true"/>
    <Status xmlns="5dc74ea8-e552-4672-9e93-7e886a7af2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dc74ea8-e552-4672-9e93-7e886a7af213"/>
    <ds:schemaRef ds:uri="c520fbed-e792-47a6-88e7-e35740b06176"/>
    <ds:schemaRef ds:uri="5ce0f2b5-5be5-4508-bce9-d7011ece0659"/>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479C6105-5FD7-4B81-B354-1D8462454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2945</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Compliance and Enforcement Policy</vt:lpstr>
    </vt:vector>
  </TitlesOfParts>
  <Manager/>
  <Company>Victoria State Government, Social Services Regulator</Company>
  <LinksUpToDate>false</LinksUpToDate>
  <CharactersWithSpaces>19694</CharactersWithSpaces>
  <SharedDoc>false</SharedDoc>
  <HyperlinkBase/>
  <HLinks>
    <vt:vector size="108" baseType="variant">
      <vt:variant>
        <vt:i4>1835084</vt:i4>
      </vt:variant>
      <vt:variant>
        <vt:i4>108</vt:i4>
      </vt:variant>
      <vt:variant>
        <vt:i4>0</vt:i4>
      </vt:variant>
      <vt:variant>
        <vt:i4>5</vt:i4>
      </vt:variant>
      <vt:variant>
        <vt:lpwstr>http://www.vic.gov.au/compliance-and-enforcement</vt:lpwstr>
      </vt:variant>
      <vt:variant>
        <vt:lpwstr/>
      </vt:variant>
      <vt:variant>
        <vt:i4>1376311</vt:i4>
      </vt:variant>
      <vt:variant>
        <vt:i4>101</vt:i4>
      </vt:variant>
      <vt:variant>
        <vt:i4>0</vt:i4>
      </vt:variant>
      <vt:variant>
        <vt:i4>5</vt:i4>
      </vt:variant>
      <vt:variant>
        <vt:lpwstr/>
      </vt:variant>
      <vt:variant>
        <vt:lpwstr>_Toc170132562</vt:lpwstr>
      </vt:variant>
      <vt:variant>
        <vt:i4>1376311</vt:i4>
      </vt:variant>
      <vt:variant>
        <vt:i4>95</vt:i4>
      </vt:variant>
      <vt:variant>
        <vt:i4>0</vt:i4>
      </vt:variant>
      <vt:variant>
        <vt:i4>5</vt:i4>
      </vt:variant>
      <vt:variant>
        <vt:lpwstr/>
      </vt:variant>
      <vt:variant>
        <vt:lpwstr>_Toc170132561</vt:lpwstr>
      </vt:variant>
      <vt:variant>
        <vt:i4>1376311</vt:i4>
      </vt:variant>
      <vt:variant>
        <vt:i4>89</vt:i4>
      </vt:variant>
      <vt:variant>
        <vt:i4>0</vt:i4>
      </vt:variant>
      <vt:variant>
        <vt:i4>5</vt:i4>
      </vt:variant>
      <vt:variant>
        <vt:lpwstr/>
      </vt:variant>
      <vt:variant>
        <vt:lpwstr>_Toc170132560</vt:lpwstr>
      </vt:variant>
      <vt:variant>
        <vt:i4>1441847</vt:i4>
      </vt:variant>
      <vt:variant>
        <vt:i4>83</vt:i4>
      </vt:variant>
      <vt:variant>
        <vt:i4>0</vt:i4>
      </vt:variant>
      <vt:variant>
        <vt:i4>5</vt:i4>
      </vt:variant>
      <vt:variant>
        <vt:lpwstr/>
      </vt:variant>
      <vt:variant>
        <vt:lpwstr>_Toc170132559</vt:lpwstr>
      </vt:variant>
      <vt:variant>
        <vt:i4>1441847</vt:i4>
      </vt:variant>
      <vt:variant>
        <vt:i4>77</vt:i4>
      </vt:variant>
      <vt:variant>
        <vt:i4>0</vt:i4>
      </vt:variant>
      <vt:variant>
        <vt:i4>5</vt:i4>
      </vt:variant>
      <vt:variant>
        <vt:lpwstr/>
      </vt:variant>
      <vt:variant>
        <vt:lpwstr>_Toc170132558</vt:lpwstr>
      </vt:variant>
      <vt:variant>
        <vt:i4>1441847</vt:i4>
      </vt:variant>
      <vt:variant>
        <vt:i4>71</vt:i4>
      </vt:variant>
      <vt:variant>
        <vt:i4>0</vt:i4>
      </vt:variant>
      <vt:variant>
        <vt:i4>5</vt:i4>
      </vt:variant>
      <vt:variant>
        <vt:lpwstr/>
      </vt:variant>
      <vt:variant>
        <vt:lpwstr>_Toc170132557</vt:lpwstr>
      </vt:variant>
      <vt:variant>
        <vt:i4>1441847</vt:i4>
      </vt:variant>
      <vt:variant>
        <vt:i4>65</vt:i4>
      </vt:variant>
      <vt:variant>
        <vt:i4>0</vt:i4>
      </vt:variant>
      <vt:variant>
        <vt:i4>5</vt:i4>
      </vt:variant>
      <vt:variant>
        <vt:lpwstr/>
      </vt:variant>
      <vt:variant>
        <vt:lpwstr>_Toc170132556</vt:lpwstr>
      </vt:variant>
      <vt:variant>
        <vt:i4>1441847</vt:i4>
      </vt:variant>
      <vt:variant>
        <vt:i4>59</vt:i4>
      </vt:variant>
      <vt:variant>
        <vt:i4>0</vt:i4>
      </vt:variant>
      <vt:variant>
        <vt:i4>5</vt:i4>
      </vt:variant>
      <vt:variant>
        <vt:lpwstr/>
      </vt:variant>
      <vt:variant>
        <vt:lpwstr>_Toc170132555</vt:lpwstr>
      </vt:variant>
      <vt:variant>
        <vt:i4>1441847</vt:i4>
      </vt:variant>
      <vt:variant>
        <vt:i4>53</vt:i4>
      </vt:variant>
      <vt:variant>
        <vt:i4>0</vt:i4>
      </vt:variant>
      <vt:variant>
        <vt:i4>5</vt:i4>
      </vt:variant>
      <vt:variant>
        <vt:lpwstr/>
      </vt:variant>
      <vt:variant>
        <vt:lpwstr>_Toc170132554</vt:lpwstr>
      </vt:variant>
      <vt:variant>
        <vt:i4>1441847</vt:i4>
      </vt:variant>
      <vt:variant>
        <vt:i4>47</vt:i4>
      </vt:variant>
      <vt:variant>
        <vt:i4>0</vt:i4>
      </vt:variant>
      <vt:variant>
        <vt:i4>5</vt:i4>
      </vt:variant>
      <vt:variant>
        <vt:lpwstr/>
      </vt:variant>
      <vt:variant>
        <vt:lpwstr>_Toc170132553</vt:lpwstr>
      </vt:variant>
      <vt:variant>
        <vt:i4>1441847</vt:i4>
      </vt:variant>
      <vt:variant>
        <vt:i4>41</vt:i4>
      </vt:variant>
      <vt:variant>
        <vt:i4>0</vt:i4>
      </vt:variant>
      <vt:variant>
        <vt:i4>5</vt:i4>
      </vt:variant>
      <vt:variant>
        <vt:lpwstr/>
      </vt:variant>
      <vt:variant>
        <vt:lpwstr>_Toc170132552</vt:lpwstr>
      </vt:variant>
      <vt:variant>
        <vt:i4>1441847</vt:i4>
      </vt:variant>
      <vt:variant>
        <vt:i4>35</vt:i4>
      </vt:variant>
      <vt:variant>
        <vt:i4>0</vt:i4>
      </vt:variant>
      <vt:variant>
        <vt:i4>5</vt:i4>
      </vt:variant>
      <vt:variant>
        <vt:lpwstr/>
      </vt:variant>
      <vt:variant>
        <vt:lpwstr>_Toc170132551</vt:lpwstr>
      </vt:variant>
      <vt:variant>
        <vt:i4>1441847</vt:i4>
      </vt:variant>
      <vt:variant>
        <vt:i4>29</vt:i4>
      </vt:variant>
      <vt:variant>
        <vt:i4>0</vt:i4>
      </vt:variant>
      <vt:variant>
        <vt:i4>5</vt:i4>
      </vt:variant>
      <vt:variant>
        <vt:lpwstr/>
      </vt:variant>
      <vt:variant>
        <vt:lpwstr>_Toc170132550</vt:lpwstr>
      </vt:variant>
      <vt:variant>
        <vt:i4>1507383</vt:i4>
      </vt:variant>
      <vt:variant>
        <vt:i4>23</vt:i4>
      </vt:variant>
      <vt:variant>
        <vt:i4>0</vt:i4>
      </vt:variant>
      <vt:variant>
        <vt:i4>5</vt:i4>
      </vt:variant>
      <vt:variant>
        <vt:lpwstr/>
      </vt:variant>
      <vt:variant>
        <vt:lpwstr>_Toc170132549</vt:lpwstr>
      </vt:variant>
      <vt:variant>
        <vt:i4>1507383</vt:i4>
      </vt:variant>
      <vt:variant>
        <vt:i4>17</vt:i4>
      </vt:variant>
      <vt:variant>
        <vt:i4>0</vt:i4>
      </vt:variant>
      <vt:variant>
        <vt:i4>5</vt:i4>
      </vt:variant>
      <vt:variant>
        <vt:lpwstr/>
      </vt:variant>
      <vt:variant>
        <vt:lpwstr>_Toc170132548</vt:lpwstr>
      </vt:variant>
      <vt:variant>
        <vt:i4>1507383</vt:i4>
      </vt:variant>
      <vt:variant>
        <vt:i4>11</vt:i4>
      </vt:variant>
      <vt:variant>
        <vt:i4>0</vt:i4>
      </vt:variant>
      <vt:variant>
        <vt:i4>5</vt:i4>
      </vt:variant>
      <vt:variant>
        <vt:lpwstr/>
      </vt:variant>
      <vt:variant>
        <vt:lpwstr>_Toc170132547</vt:lpwstr>
      </vt:variant>
      <vt:variant>
        <vt:i4>1507383</vt:i4>
      </vt:variant>
      <vt:variant>
        <vt:i4>5</vt:i4>
      </vt:variant>
      <vt:variant>
        <vt:i4>0</vt:i4>
      </vt:variant>
      <vt:variant>
        <vt:i4>5</vt:i4>
      </vt:variant>
      <vt:variant>
        <vt:lpwstr/>
      </vt:variant>
      <vt:variant>
        <vt:lpwstr>_Toc170132546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and Enforcement Policy</dc:title>
  <dc:subject>Compliance and Enforcement Policy of the Social Services Regulator</dc:subject>
  <dc:creator/>
  <cp:keywords/>
  <dc:description/>
  <cp:revision>11</cp:revision>
  <cp:lastPrinted>2021-01-28T10:27:00Z</cp:lastPrinted>
  <dcterms:created xsi:type="dcterms:W3CDTF">2024-08-02T00:52:00Z</dcterms:created>
  <dcterms:modified xsi:type="dcterms:W3CDTF">2024-08-07T03:38:00Z</dcterms:modified>
  <cp:category>Social Services Regulator</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ies>
</file>