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6663"/>
      </w:tblGrid>
      <w:tr w:rsidR="00AD784C" w14:paraId="765659DC" w14:textId="77777777" w:rsidTr="00363EAD">
        <w:trPr>
          <w:trHeight w:val="1418"/>
        </w:trPr>
        <w:tc>
          <w:tcPr>
            <w:tcW w:w="6663" w:type="dxa"/>
            <w:vAlign w:val="bottom"/>
          </w:tcPr>
          <w:p w14:paraId="1B06FE4C" w14:textId="0AF145C5" w:rsidR="00AD784C" w:rsidRPr="0009050A" w:rsidRDefault="00497A93" w:rsidP="0016037B">
            <w:pPr>
              <w:pStyle w:val="Documenttitle"/>
            </w:pPr>
            <w:r>
              <w:t>Suitability requirements</w:t>
            </w:r>
          </w:p>
        </w:tc>
      </w:tr>
      <w:tr w:rsidR="000B2117" w14:paraId="5DF317EC" w14:textId="77777777" w:rsidTr="00363EAD">
        <w:trPr>
          <w:trHeight w:val="1247"/>
        </w:trPr>
        <w:tc>
          <w:tcPr>
            <w:tcW w:w="6663" w:type="dxa"/>
          </w:tcPr>
          <w:p w14:paraId="69C24C39" w14:textId="3CCA41D2" w:rsidR="000B2117" w:rsidRPr="0016037B" w:rsidRDefault="00497A93" w:rsidP="0016037B">
            <w:pPr>
              <w:pStyle w:val="Documentsubtitle"/>
            </w:pPr>
            <w:r>
              <w:t>D</w:t>
            </w:r>
            <w:r w:rsidRPr="001673D2">
              <w:t>emonstrat</w:t>
            </w:r>
            <w:r>
              <w:t>ing</w:t>
            </w:r>
            <w:r w:rsidRPr="001673D2">
              <w:t xml:space="preserve"> suitability in the registration process</w:t>
            </w:r>
          </w:p>
        </w:tc>
      </w:tr>
      <w:tr w:rsidR="00CF4148" w14:paraId="5F5E6105" w14:textId="77777777" w:rsidTr="00363EAD">
        <w:trPr>
          <w:trHeight w:val="284"/>
        </w:trPr>
        <w:tc>
          <w:tcPr>
            <w:tcW w:w="6663" w:type="dxa"/>
          </w:tcPr>
          <w:p w14:paraId="45D389E8" w14:textId="74334762" w:rsidR="00CF4148" w:rsidRPr="00250DC4" w:rsidRDefault="00B21094"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1F7DE834" w14:textId="77777777" w:rsidR="00497A93" w:rsidRDefault="00497A93" w:rsidP="00497A93">
      <w:pPr>
        <w:pStyle w:val="Heading2"/>
      </w:pPr>
      <w:bookmarkStart w:id="0" w:name="_Hlk66275438"/>
      <w:bookmarkStart w:id="1" w:name="_Toc66794859"/>
      <w:bookmarkStart w:id="2" w:name="_Toc66800268"/>
      <w:r>
        <w:t>The Social Services Regulator</w:t>
      </w:r>
    </w:p>
    <w:p w14:paraId="3C41D85A" w14:textId="0CE60581" w:rsidR="00497A93" w:rsidRPr="00B1187E" w:rsidRDefault="00497A93" w:rsidP="4D5500B1">
      <w:pPr>
        <w:pStyle w:val="Body"/>
        <w:framePr w:hSpace="180" w:wrap="around" w:vAnchor="text" w:hAnchor="text" w:y="1"/>
        <w:spacing w:before="100" w:beforeAutospacing="1"/>
        <w:suppressOverlap/>
        <w:rPr>
          <w:rStyle w:val="BodyChar"/>
          <w:rFonts w:cs="Arial"/>
        </w:rPr>
      </w:pPr>
      <w:r w:rsidRPr="4D5500B1">
        <w:rPr>
          <w:rFonts w:cs="Arial"/>
        </w:rPr>
        <w:t xml:space="preserve">The </w:t>
      </w:r>
      <w:r w:rsidRPr="4D5500B1">
        <w:rPr>
          <w:rFonts w:cs="Arial"/>
          <w:i/>
          <w:iCs/>
        </w:rPr>
        <w:t xml:space="preserve">Social Services Regulation </w:t>
      </w:r>
      <w:hyperlink r:id="rId14" w:history="1">
        <w:r w:rsidRPr="005369D4">
          <w:rPr>
            <w:rStyle w:val="Hyperlink"/>
            <w:rFonts w:cs="Arial"/>
            <w:i/>
            <w:iCs/>
          </w:rPr>
          <w:t>Act</w:t>
        </w:r>
      </w:hyperlink>
      <w:r w:rsidRPr="4D5500B1">
        <w:rPr>
          <w:rFonts w:cs="Arial"/>
          <w:i/>
          <w:iCs/>
        </w:rPr>
        <w:t xml:space="preserve"> 2021</w:t>
      </w:r>
      <w:r w:rsidRPr="4D5500B1">
        <w:rPr>
          <w:rFonts w:cs="Arial"/>
        </w:rPr>
        <w:t xml:space="preserve"> (Vic) and the </w:t>
      </w:r>
      <w:r w:rsidRPr="4D5500B1">
        <w:rPr>
          <w:rFonts w:cs="Arial"/>
          <w:i/>
          <w:iCs/>
        </w:rPr>
        <w:t xml:space="preserve">Social Services </w:t>
      </w:r>
      <w:hyperlink r:id="rId15" w:history="1">
        <w:r w:rsidR="000F706D" w:rsidRPr="00B766EB">
          <w:rPr>
            <w:rStyle w:val="Hyperlink"/>
            <w:rFonts w:cs="Arial"/>
            <w:i/>
            <w:iCs/>
          </w:rPr>
          <w:t>Regulations</w:t>
        </w:r>
      </w:hyperlink>
      <w:r w:rsidR="000F706D">
        <w:rPr>
          <w:rFonts w:cs="Arial"/>
          <w:i/>
          <w:iCs/>
        </w:rPr>
        <w:t xml:space="preserve"> </w:t>
      </w:r>
      <w:r w:rsidRPr="4D5500B1">
        <w:rPr>
          <w:rFonts w:cs="Arial"/>
          <w:i/>
          <w:iCs/>
        </w:rPr>
        <w:t xml:space="preserve">2023 </w:t>
      </w:r>
      <w:r w:rsidRPr="4D5500B1">
        <w:rPr>
          <w:rFonts w:cs="Arial"/>
        </w:rPr>
        <w:t xml:space="preserve">(Vic) create a new regulatory framework for social services in Victoria. This framework puts the protection and safety of social services users at the centre </w:t>
      </w:r>
      <w:r w:rsidRPr="4D5500B1">
        <w:rPr>
          <w:rStyle w:val="BodyChar"/>
          <w:rFonts w:cs="Arial"/>
        </w:rPr>
        <w:t>of social services delivery.</w:t>
      </w:r>
    </w:p>
    <w:p w14:paraId="4515B6C8" w14:textId="77777777" w:rsidR="00497A93" w:rsidRDefault="00497A93" w:rsidP="004C6E29">
      <w:pPr>
        <w:pStyle w:val="Body"/>
        <w:rPr>
          <w:rStyle w:val="BodyChar"/>
          <w:rFonts w:cs="Arial"/>
          <w:szCs w:val="21"/>
        </w:rPr>
      </w:pPr>
      <w:r w:rsidRPr="00B1187E">
        <w:rPr>
          <w:rFonts w:cs="Arial"/>
          <w:szCs w:val="21"/>
        </w:rPr>
        <w:t>The Social Services Re</w:t>
      </w:r>
      <w:r w:rsidRPr="00E30308">
        <w:rPr>
          <w:rFonts w:cs="Arial"/>
          <w:szCs w:val="21"/>
        </w:rPr>
        <w:t>gulator aims to strengthen</w:t>
      </w:r>
      <w:r w:rsidRPr="00CD4AA2">
        <w:rPr>
          <w:rFonts w:cs="Arial"/>
          <w:szCs w:val="21"/>
        </w:rPr>
        <w:t xml:space="preserve"> </w:t>
      </w:r>
      <w:r w:rsidRPr="00CD4AA2">
        <w:rPr>
          <w:rStyle w:val="cf01"/>
          <w:rFonts w:ascii="Arial" w:hAnsi="Arial" w:cs="Arial"/>
          <w:sz w:val="21"/>
          <w:szCs w:val="21"/>
        </w:rPr>
        <w:t>protections for social services users to safeguard people from harm, abuse and neglect</w:t>
      </w:r>
      <w:r w:rsidRPr="00CD4AA2">
        <w:rPr>
          <w:rFonts w:cs="Arial"/>
          <w:szCs w:val="21"/>
        </w:rPr>
        <w:t xml:space="preserve">. </w:t>
      </w:r>
      <w:r w:rsidRPr="00E30308">
        <w:rPr>
          <w:rStyle w:val="BodyChar"/>
          <w:rFonts w:cs="Arial"/>
          <w:szCs w:val="21"/>
        </w:rPr>
        <w:t>Core o</w:t>
      </w:r>
      <w:r w:rsidRPr="00B1187E">
        <w:rPr>
          <w:rStyle w:val="BodyChar"/>
          <w:rFonts w:cs="Arial"/>
          <w:szCs w:val="21"/>
        </w:rPr>
        <w:t>bjectives include:</w:t>
      </w:r>
    </w:p>
    <w:p w14:paraId="6D11F86F" w14:textId="77777777" w:rsidR="004C6E29" w:rsidRPr="00B1187E" w:rsidRDefault="004C6E29" w:rsidP="004C6E29">
      <w:pPr>
        <w:pStyle w:val="Bullet1"/>
        <w:rPr>
          <w:rFonts w:cs="Arial"/>
          <w:szCs w:val="21"/>
        </w:rPr>
      </w:pPr>
      <w:r w:rsidRPr="00B1187E">
        <w:rPr>
          <w:rFonts w:cs="Arial"/>
          <w:szCs w:val="21"/>
        </w:rPr>
        <w:t>protect</w:t>
      </w:r>
      <w:r>
        <w:rPr>
          <w:rFonts w:cs="Arial"/>
          <w:szCs w:val="21"/>
        </w:rPr>
        <w:t>ing</w:t>
      </w:r>
      <w:r w:rsidRPr="00B1187E">
        <w:rPr>
          <w:rFonts w:cs="Arial"/>
          <w:szCs w:val="21"/>
        </w:rPr>
        <w:t xml:space="preserve"> the rights of service users</w:t>
      </w:r>
    </w:p>
    <w:p w14:paraId="6574BC19" w14:textId="77777777" w:rsidR="004C6E29" w:rsidRPr="00B1187E" w:rsidRDefault="004C6E29" w:rsidP="004C6E29">
      <w:pPr>
        <w:pStyle w:val="Bullet1"/>
        <w:rPr>
          <w:rFonts w:cs="Arial"/>
          <w:szCs w:val="21"/>
        </w:rPr>
      </w:pPr>
      <w:r w:rsidRPr="00B1187E">
        <w:rPr>
          <w:rFonts w:cs="Arial"/>
          <w:szCs w:val="21"/>
        </w:rPr>
        <w:t>support</w:t>
      </w:r>
      <w:r>
        <w:rPr>
          <w:rFonts w:cs="Arial"/>
          <w:szCs w:val="21"/>
        </w:rPr>
        <w:t>ing</w:t>
      </w:r>
      <w:r w:rsidRPr="00B1187E">
        <w:rPr>
          <w:rFonts w:cs="Arial"/>
          <w:szCs w:val="21"/>
        </w:rPr>
        <w:t xml:space="preserve"> safe and effective social services delivery</w:t>
      </w:r>
    </w:p>
    <w:p w14:paraId="4A60FC00" w14:textId="77777777" w:rsidR="004C6E29" w:rsidRPr="00D63775" w:rsidRDefault="004C6E29" w:rsidP="004C6E29">
      <w:pPr>
        <w:pStyle w:val="Bullet1"/>
      </w:pPr>
      <w:r w:rsidRPr="001D5266">
        <w:rPr>
          <w:rFonts w:cs="Arial"/>
          <w:szCs w:val="21"/>
        </w:rPr>
        <w:t>minimising the risk of avoidable harm in service delivery.</w:t>
      </w:r>
    </w:p>
    <w:p w14:paraId="05B05B94" w14:textId="77777777" w:rsidR="004C6E29" w:rsidRPr="00B1187E" w:rsidRDefault="004C6E29" w:rsidP="004C6E29">
      <w:pPr>
        <w:pStyle w:val="Body"/>
        <w:rPr>
          <w:rStyle w:val="BodyChar"/>
          <w:rFonts w:cs="Arial"/>
          <w:szCs w:val="21"/>
        </w:rPr>
      </w:pPr>
      <w:r>
        <w:t>The new social services regulatory scheme starts on 1 July 2024.</w:t>
      </w:r>
    </w:p>
    <w:p w14:paraId="59B5EC7E" w14:textId="77777777" w:rsidR="00497A93" w:rsidRDefault="00497A93" w:rsidP="004C6E29">
      <w:pPr>
        <w:pStyle w:val="Body"/>
      </w:pPr>
      <w:r w:rsidRPr="00FA7825">
        <w:t>The Social Services Regulator’s initial focus is on informing and educating service providers about their obligations under the new scheme.</w:t>
      </w:r>
    </w:p>
    <w:p w14:paraId="333E92AA" w14:textId="77777777" w:rsidR="00497A93" w:rsidRPr="005E14BB" w:rsidRDefault="00497A93" w:rsidP="00497A93">
      <w:pPr>
        <w:pStyle w:val="Heading3"/>
      </w:pPr>
      <w:r w:rsidRPr="005E14BB">
        <w:t>Registering with the Social Services Regulator</w:t>
      </w:r>
    </w:p>
    <w:p w14:paraId="028D4506" w14:textId="77777777" w:rsidR="00497A93" w:rsidRDefault="00497A93" w:rsidP="00497A93">
      <w:pPr>
        <w:spacing w:before="120"/>
        <w:rPr>
          <w:rFonts w:eastAsia="Times"/>
        </w:rPr>
      </w:pPr>
      <w:r>
        <w:rPr>
          <w:rFonts w:eastAsia="Times"/>
        </w:rPr>
        <w:t>Providers of social services in Victoria within scope of the new scheme must register.</w:t>
      </w:r>
    </w:p>
    <w:p w14:paraId="009DB2AD" w14:textId="77777777" w:rsidR="00497A93" w:rsidRDefault="00497A93" w:rsidP="00497A93">
      <w:pPr>
        <w:pStyle w:val="DHHSbody"/>
        <w:rPr>
          <w:sz w:val="21"/>
          <w:szCs w:val="21"/>
        </w:rPr>
      </w:pPr>
      <w:r>
        <w:rPr>
          <w:sz w:val="21"/>
          <w:szCs w:val="21"/>
        </w:rPr>
        <w:t xml:space="preserve">Registering with the Social Services Regulator ensures that </w:t>
      </w:r>
      <w:r w:rsidRPr="007F032F">
        <w:rPr>
          <w:sz w:val="21"/>
          <w:szCs w:val="21"/>
        </w:rPr>
        <w:t>providers</w:t>
      </w:r>
      <w:r>
        <w:rPr>
          <w:sz w:val="21"/>
          <w:szCs w:val="21"/>
        </w:rPr>
        <w:t xml:space="preserve"> of social services can demonstrate their </w:t>
      </w:r>
      <w:r w:rsidRPr="00B34586">
        <w:rPr>
          <w:b/>
          <w:bCs/>
          <w:sz w:val="21"/>
          <w:szCs w:val="21"/>
        </w:rPr>
        <w:t xml:space="preserve">suitability to provide safe </w:t>
      </w:r>
      <w:r>
        <w:rPr>
          <w:b/>
          <w:bCs/>
          <w:sz w:val="21"/>
          <w:szCs w:val="21"/>
        </w:rPr>
        <w:t xml:space="preserve">social </w:t>
      </w:r>
      <w:r w:rsidRPr="00B34586">
        <w:rPr>
          <w:b/>
          <w:bCs/>
          <w:sz w:val="21"/>
          <w:szCs w:val="21"/>
        </w:rPr>
        <w:t>services</w:t>
      </w:r>
      <w:r w:rsidRPr="00B34586">
        <w:rPr>
          <w:sz w:val="21"/>
          <w:szCs w:val="21"/>
        </w:rPr>
        <w:t xml:space="preserve"> before those services</w:t>
      </w:r>
      <w:r>
        <w:rPr>
          <w:sz w:val="21"/>
          <w:szCs w:val="21"/>
        </w:rPr>
        <w:t xml:space="preserve"> are offered</w:t>
      </w:r>
      <w:r w:rsidRPr="001245F2">
        <w:rPr>
          <w:sz w:val="21"/>
          <w:szCs w:val="21"/>
        </w:rPr>
        <w:t xml:space="preserve">, </w:t>
      </w:r>
      <w:r>
        <w:rPr>
          <w:sz w:val="21"/>
          <w:szCs w:val="21"/>
        </w:rPr>
        <w:t>supporting the key objective</w:t>
      </w:r>
      <w:r w:rsidRPr="001245F2">
        <w:rPr>
          <w:sz w:val="21"/>
          <w:szCs w:val="21"/>
        </w:rPr>
        <w:t xml:space="preserve"> of protecting service users and preventing harm</w:t>
      </w:r>
      <w:r>
        <w:rPr>
          <w:sz w:val="21"/>
          <w:szCs w:val="21"/>
        </w:rPr>
        <w:t>.</w:t>
      </w:r>
    </w:p>
    <w:p w14:paraId="3CDC52DE" w14:textId="77777777" w:rsidR="00497A93" w:rsidRDefault="00497A93" w:rsidP="009D13FD">
      <w:pPr>
        <w:pStyle w:val="Body"/>
        <w:rPr>
          <w:szCs w:val="21"/>
        </w:rPr>
      </w:pPr>
      <w:r>
        <w:t xml:space="preserve">A </w:t>
      </w:r>
      <w:r w:rsidRPr="009B66AD">
        <w:rPr>
          <w:szCs w:val="21"/>
        </w:rPr>
        <w:t>consistent set</w:t>
      </w:r>
      <w:r w:rsidRPr="00C66B03">
        <w:rPr>
          <w:szCs w:val="21"/>
        </w:rPr>
        <w:t xml:space="preserve"> of </w:t>
      </w:r>
      <w:r>
        <w:rPr>
          <w:szCs w:val="21"/>
        </w:rPr>
        <w:t xml:space="preserve">registration </w:t>
      </w:r>
      <w:r w:rsidRPr="00C66B03">
        <w:rPr>
          <w:szCs w:val="21"/>
        </w:rPr>
        <w:t>requirements</w:t>
      </w:r>
      <w:r>
        <w:rPr>
          <w:szCs w:val="21"/>
        </w:rPr>
        <w:t xml:space="preserve"> provides a streamlined approach while ensuring that safe delivery of social services remains central. Previously providers had been subject to different requirements under different laws.</w:t>
      </w:r>
    </w:p>
    <w:p w14:paraId="45727ED3" w14:textId="23D8D621" w:rsidR="00497A93" w:rsidRDefault="00497A93" w:rsidP="00497A93">
      <w:pPr>
        <w:pStyle w:val="Body"/>
      </w:pPr>
      <w:r w:rsidRPr="00E46C03">
        <w:t>To learn more about how the registration process will roll out, go to:</w:t>
      </w:r>
      <w:r w:rsidRPr="00D45E82">
        <w:t xml:space="preserve"> &lt;</w:t>
      </w:r>
      <w:hyperlink w:history="1">
        <w:r w:rsidR="00B766EB" w:rsidRPr="00211670">
          <w:rPr>
            <w:rStyle w:val="Hyperlink"/>
          </w:rPr>
          <w:t>Social Services Regulator registration | vic.gov.au (www.vic.gov.au)</w:t>
        </w:r>
      </w:hyperlink>
      <w:r w:rsidRPr="00D45E82">
        <w:t>&gt;</w:t>
      </w:r>
    </w:p>
    <w:p w14:paraId="49893B63" w14:textId="2D0FB417" w:rsidR="00C36CC0" w:rsidRPr="00C36CC0" w:rsidRDefault="00C36CC0" w:rsidP="00497A93">
      <w:pPr>
        <w:pStyle w:val="Body"/>
        <w:rPr>
          <w:szCs w:val="21"/>
        </w:rPr>
      </w:pPr>
      <w:r>
        <w:rPr>
          <w:szCs w:val="21"/>
        </w:rPr>
        <w:t xml:space="preserve">All registered service providers must meet ongoing compliance requirements of the new regulatory framework. </w:t>
      </w:r>
      <w:r w:rsidR="00435D18">
        <w:rPr>
          <w:szCs w:val="21"/>
        </w:rPr>
        <w:t>See</w:t>
      </w:r>
      <w:hyperlink w:anchor="_Ongoing_requirements" w:history="1">
        <w:r w:rsidR="00033B37" w:rsidRPr="00AC6FD8">
          <w:rPr>
            <w:rStyle w:val="Hyperlink"/>
            <w:szCs w:val="21"/>
          </w:rPr>
          <w:t xml:space="preserve"> ongoing requirement</w:t>
        </w:r>
        <w:r w:rsidR="006627B6" w:rsidRPr="00AC6FD8">
          <w:rPr>
            <w:rStyle w:val="Hyperlink"/>
            <w:szCs w:val="21"/>
          </w:rPr>
          <w:t>s</w:t>
        </w:r>
      </w:hyperlink>
      <w:r w:rsidR="00435D18">
        <w:rPr>
          <w:szCs w:val="21"/>
        </w:rPr>
        <w:t xml:space="preserve"> for more information.</w:t>
      </w:r>
    </w:p>
    <w:p w14:paraId="181FBCFE" w14:textId="77777777" w:rsidR="00497A93" w:rsidRDefault="00497A93" w:rsidP="00497A93">
      <w:pPr>
        <w:pStyle w:val="Heading2"/>
      </w:pPr>
      <w:r>
        <w:t>Meeting registration requirements</w:t>
      </w:r>
    </w:p>
    <w:p w14:paraId="14A20975" w14:textId="77777777" w:rsidR="00497A93" w:rsidRDefault="00497A93" w:rsidP="00497A93">
      <w:pPr>
        <w:pStyle w:val="Body"/>
      </w:pPr>
      <w:r>
        <w:t xml:space="preserve">To register with the Social Services Regulator, in-scope social service providers need to meet </w:t>
      </w:r>
      <w:r w:rsidRPr="00DD49D2">
        <w:rPr>
          <w:b/>
          <w:bCs/>
        </w:rPr>
        <w:t>service suitability</w:t>
      </w:r>
      <w:r>
        <w:t xml:space="preserve"> requirements. These requirements help to enact and ensure safety protections outlined in the Act and the Regulations. Suitability requirements are outlined in further detail in the Regulations.</w:t>
      </w:r>
    </w:p>
    <w:p w14:paraId="27519549" w14:textId="77777777" w:rsidR="00497A93" w:rsidRDefault="00497A93" w:rsidP="00497A93">
      <w:pPr>
        <w:pStyle w:val="Body"/>
      </w:pPr>
      <w:r>
        <w:t>Determining ‘suitability’ to deliver safe social services focuses on key requirements for:</w:t>
      </w:r>
    </w:p>
    <w:p w14:paraId="7FD8EBCE" w14:textId="77777777" w:rsidR="00497A93" w:rsidRDefault="00497A93" w:rsidP="009D13FD">
      <w:pPr>
        <w:pStyle w:val="Bullet1"/>
      </w:pPr>
      <w:r>
        <w:t>leaders and staff employed by a social service provider</w:t>
      </w:r>
    </w:p>
    <w:p w14:paraId="3FDB3951" w14:textId="77777777" w:rsidR="00497A93" w:rsidRDefault="00497A93" w:rsidP="009D13FD">
      <w:pPr>
        <w:pStyle w:val="Bullet1"/>
      </w:pPr>
      <w:r>
        <w:t>the premises used</w:t>
      </w:r>
    </w:p>
    <w:p w14:paraId="5832BF73" w14:textId="77777777" w:rsidR="00497A93" w:rsidRPr="00E51A9D" w:rsidRDefault="00497A93" w:rsidP="009D13FD">
      <w:pPr>
        <w:pStyle w:val="Bullet1"/>
      </w:pPr>
      <w:r w:rsidRPr="00E51A9D">
        <w:lastRenderedPageBreak/>
        <w:t>operational details about a service provider.</w:t>
      </w:r>
    </w:p>
    <w:p w14:paraId="2DE7959D" w14:textId="77777777" w:rsidR="00497A93" w:rsidRDefault="00497A93" w:rsidP="00497A93">
      <w:pPr>
        <w:pStyle w:val="Body"/>
      </w:pPr>
      <w:r>
        <w:t>In preparing to demonstrate suitability to safely deliver social services, providers may wish to review policies, documents and contractual information that covers their:</w:t>
      </w:r>
    </w:p>
    <w:p w14:paraId="28638506" w14:textId="77777777" w:rsidR="00497A93" w:rsidRPr="00F07D9A" w:rsidRDefault="00497A93" w:rsidP="00DF6D37">
      <w:pPr>
        <w:pStyle w:val="Bullet1"/>
        <w:numPr>
          <w:ilvl w:val="0"/>
          <w:numId w:val="9"/>
        </w:numPr>
        <w:rPr>
          <w:b/>
          <w:bCs/>
        </w:rPr>
      </w:pPr>
      <w:r w:rsidRPr="00F07D9A">
        <w:rPr>
          <w:b/>
          <w:bCs/>
        </w:rPr>
        <w:t>People</w:t>
      </w:r>
    </w:p>
    <w:p w14:paraId="0CF2FA9E" w14:textId="77777777" w:rsidR="00497A93" w:rsidRDefault="00497A93" w:rsidP="00497A93">
      <w:pPr>
        <w:pStyle w:val="Bullet1"/>
      </w:pPr>
      <w:r>
        <w:t>Qualifications, skills and experience of ‘key personnel’</w:t>
      </w:r>
    </w:p>
    <w:p w14:paraId="60854528" w14:textId="77777777" w:rsidR="00497A93" w:rsidRDefault="00497A93" w:rsidP="00497A93">
      <w:pPr>
        <w:pStyle w:val="Bullet1"/>
      </w:pPr>
      <w:r>
        <w:t>Criminal history and sanctions</w:t>
      </w:r>
    </w:p>
    <w:p w14:paraId="73BAED7D" w14:textId="77777777" w:rsidR="00497A93" w:rsidRDefault="00497A93" w:rsidP="00497A93">
      <w:pPr>
        <w:pStyle w:val="Bullet1"/>
        <w:numPr>
          <w:ilvl w:val="0"/>
          <w:numId w:val="0"/>
        </w:numPr>
        <w:ind w:left="284" w:hanging="284"/>
      </w:pPr>
    </w:p>
    <w:p w14:paraId="6535CC12" w14:textId="77777777" w:rsidR="00497A93" w:rsidRPr="00F07D9A" w:rsidRDefault="00497A93" w:rsidP="00DF6D37">
      <w:pPr>
        <w:pStyle w:val="Bullet1"/>
        <w:numPr>
          <w:ilvl w:val="0"/>
          <w:numId w:val="9"/>
        </w:numPr>
        <w:rPr>
          <w:b/>
          <w:bCs/>
        </w:rPr>
      </w:pPr>
      <w:r w:rsidRPr="00F07D9A">
        <w:rPr>
          <w:b/>
          <w:bCs/>
        </w:rPr>
        <w:t>Premises</w:t>
      </w:r>
    </w:p>
    <w:p w14:paraId="5BE2AB86" w14:textId="77777777" w:rsidR="00497A93" w:rsidRPr="003328CF" w:rsidRDefault="00497A93" w:rsidP="00DF6D37">
      <w:pPr>
        <w:pStyle w:val="Bullet1"/>
        <w:numPr>
          <w:ilvl w:val="0"/>
          <w:numId w:val="11"/>
        </w:numPr>
      </w:pPr>
      <w:r w:rsidRPr="003328CF">
        <w:t>Safety and accessibility requirements</w:t>
      </w:r>
    </w:p>
    <w:p w14:paraId="21DB1D7B" w14:textId="77777777" w:rsidR="00497A93" w:rsidRPr="003328CF" w:rsidRDefault="00497A93" w:rsidP="00DF6D37">
      <w:pPr>
        <w:pStyle w:val="Bullet1"/>
        <w:numPr>
          <w:ilvl w:val="0"/>
          <w:numId w:val="11"/>
        </w:numPr>
      </w:pPr>
      <w:r>
        <w:t>F</w:t>
      </w:r>
      <w:r w:rsidRPr="003328CF">
        <w:t>ixtures</w:t>
      </w:r>
      <w:r>
        <w:t xml:space="preserve"> and fittings</w:t>
      </w:r>
    </w:p>
    <w:p w14:paraId="6E06BD70" w14:textId="77777777" w:rsidR="00497A93" w:rsidRPr="003328CF" w:rsidRDefault="00497A93" w:rsidP="00DF6D37">
      <w:pPr>
        <w:pStyle w:val="Bullet1"/>
        <w:numPr>
          <w:ilvl w:val="0"/>
          <w:numId w:val="11"/>
        </w:numPr>
      </w:pPr>
      <w:r w:rsidRPr="003328CF">
        <w:t>Lease agreements</w:t>
      </w:r>
    </w:p>
    <w:p w14:paraId="139E7604" w14:textId="77777777" w:rsidR="00497A93" w:rsidRDefault="00497A93" w:rsidP="00497A93">
      <w:pPr>
        <w:pStyle w:val="Bullet1"/>
        <w:numPr>
          <w:ilvl w:val="0"/>
          <w:numId w:val="0"/>
        </w:numPr>
        <w:ind w:left="284" w:hanging="284"/>
      </w:pPr>
    </w:p>
    <w:p w14:paraId="4122228A" w14:textId="77777777" w:rsidR="00497A93" w:rsidRPr="00F07D9A" w:rsidRDefault="00497A93" w:rsidP="00DF6D37">
      <w:pPr>
        <w:pStyle w:val="Bullet1"/>
        <w:numPr>
          <w:ilvl w:val="0"/>
          <w:numId w:val="9"/>
        </w:numPr>
        <w:rPr>
          <w:b/>
          <w:bCs/>
        </w:rPr>
      </w:pPr>
      <w:r w:rsidRPr="00F07D9A">
        <w:rPr>
          <w:b/>
          <w:bCs/>
        </w:rPr>
        <w:t>Operations</w:t>
      </w:r>
    </w:p>
    <w:p w14:paraId="5593CC9E" w14:textId="77777777" w:rsidR="00497A93" w:rsidRDefault="00497A93" w:rsidP="00DF6D37">
      <w:pPr>
        <w:pStyle w:val="Bullet1"/>
        <w:numPr>
          <w:ilvl w:val="0"/>
          <w:numId w:val="12"/>
        </w:numPr>
      </w:pPr>
      <w:r>
        <w:t>Business structures</w:t>
      </w:r>
    </w:p>
    <w:p w14:paraId="221DA3FD" w14:textId="77777777" w:rsidR="00497A93" w:rsidRDefault="00497A93" w:rsidP="00DF6D37">
      <w:pPr>
        <w:pStyle w:val="Bullet1"/>
        <w:numPr>
          <w:ilvl w:val="0"/>
          <w:numId w:val="12"/>
        </w:numPr>
      </w:pPr>
      <w:r>
        <w:t>Governance and operational management structures</w:t>
      </w:r>
    </w:p>
    <w:p w14:paraId="6628EB89" w14:textId="77777777" w:rsidR="00497A93" w:rsidRDefault="00497A93" w:rsidP="00DF6D37">
      <w:pPr>
        <w:pStyle w:val="Bullet1"/>
        <w:numPr>
          <w:ilvl w:val="0"/>
          <w:numId w:val="12"/>
        </w:numPr>
      </w:pPr>
      <w:r>
        <w:t>Financial capacity</w:t>
      </w:r>
    </w:p>
    <w:p w14:paraId="4AE0E3AD" w14:textId="77777777" w:rsidR="00497A93" w:rsidRDefault="00497A93" w:rsidP="00497A93"/>
    <w:p w14:paraId="141B9BE1" w14:textId="1E897493" w:rsidR="00497A93" w:rsidRDefault="00497A93" w:rsidP="009D13FD">
      <w:pPr>
        <w:pStyle w:val="Body"/>
      </w:pPr>
      <w:r>
        <w:t xml:space="preserve">Some service providers will need to meet suitability criteria for providing foster care, out-of-home care and secure welfare services. Further detail is </w:t>
      </w:r>
      <w:r w:rsidR="005B2E8E">
        <w:t>in</w:t>
      </w:r>
      <w:r w:rsidR="008443AB">
        <w:t xml:space="preserve"> outlined</w:t>
      </w:r>
      <w:r w:rsidR="00BD44A1">
        <w:t xml:space="preserve"> </w:t>
      </w:r>
      <w:r>
        <w:t xml:space="preserve">on </w:t>
      </w:r>
      <w:hyperlink w:anchor="_Foster__care," w:history="1">
        <w:r w:rsidRPr="00737A43">
          <w:rPr>
            <w:rStyle w:val="Hyperlink"/>
          </w:rPr>
          <w:t xml:space="preserve">page </w:t>
        </w:r>
        <w:r w:rsidR="0063062B" w:rsidRPr="00737A43">
          <w:rPr>
            <w:rStyle w:val="Hyperlink"/>
          </w:rPr>
          <w:t>7</w:t>
        </w:r>
      </w:hyperlink>
      <w:r>
        <w:t>.</w:t>
      </w:r>
    </w:p>
    <w:bookmarkEnd w:id="0"/>
    <w:bookmarkEnd w:id="1"/>
    <w:bookmarkEnd w:id="2"/>
    <w:p w14:paraId="3FF806AA" w14:textId="77777777" w:rsidR="00497A93" w:rsidRDefault="00497A93" w:rsidP="00497A93">
      <w:pPr>
        <w:pStyle w:val="Heading2"/>
      </w:pPr>
      <w:r w:rsidRPr="0062545B">
        <w:t xml:space="preserve">How </w:t>
      </w:r>
      <w:r>
        <w:t>is</w:t>
      </w:r>
      <w:r w:rsidRPr="0062545B">
        <w:t xml:space="preserve"> suitability tested?</w:t>
      </w:r>
    </w:p>
    <w:p w14:paraId="29248B7D" w14:textId="77777777" w:rsidR="00497A93" w:rsidRPr="00497A93" w:rsidRDefault="00497A93" w:rsidP="009D13FD">
      <w:pPr>
        <w:pStyle w:val="Body"/>
        <w:rPr>
          <w:rFonts w:cs="Arial"/>
        </w:rPr>
      </w:pPr>
      <w:r w:rsidRPr="00497A93">
        <w:rPr>
          <w:rFonts w:cs="Arial"/>
        </w:rPr>
        <w:t>Demonstrating suitability to safely deliver services is an important part of the registration process.</w:t>
      </w:r>
    </w:p>
    <w:p w14:paraId="7A080B2E" w14:textId="672543B5" w:rsidR="00497A93" w:rsidRPr="00497A93" w:rsidRDefault="00497A93" w:rsidP="00497A93">
      <w:pPr>
        <w:rPr>
          <w:rFonts w:cs="Arial"/>
        </w:rPr>
      </w:pPr>
      <w:r w:rsidRPr="00497A93">
        <w:rPr>
          <w:rFonts w:cs="Arial"/>
        </w:rPr>
        <w:t xml:space="preserve">All social service providers need to complete </w:t>
      </w:r>
      <w:r w:rsidRPr="00497A93">
        <w:rPr>
          <w:rFonts w:cs="Arial"/>
          <w:b/>
          <w:bCs/>
        </w:rPr>
        <w:t>a registration form</w:t>
      </w:r>
      <w:r w:rsidR="00E41C8E">
        <w:rPr>
          <w:rFonts w:cs="Arial"/>
          <w:b/>
          <w:bCs/>
        </w:rPr>
        <w:t xml:space="preserve"> </w:t>
      </w:r>
      <w:r w:rsidR="00E41C8E" w:rsidRPr="002F55EC">
        <w:t xml:space="preserve">that completes their registration </w:t>
      </w:r>
      <w:r w:rsidR="00E41C8E" w:rsidRPr="00737A43">
        <w:t>record</w:t>
      </w:r>
      <w:r w:rsidRPr="00497A93">
        <w:rPr>
          <w:rFonts w:cs="Arial"/>
        </w:rPr>
        <w:t xml:space="preserve">. </w:t>
      </w:r>
    </w:p>
    <w:p w14:paraId="21A1DC93" w14:textId="77777777" w:rsidR="00497A93" w:rsidRPr="00497A93" w:rsidRDefault="00497A93" w:rsidP="00497A93">
      <w:pPr>
        <w:rPr>
          <w:rFonts w:cs="Arial"/>
        </w:rPr>
      </w:pPr>
      <w:r w:rsidRPr="00497A93">
        <w:rPr>
          <w:rFonts w:cs="Arial"/>
        </w:rPr>
        <w:t xml:space="preserve">The form requires service providers to provide information and some evidence to demonstrate they </w:t>
      </w:r>
      <w:r w:rsidRPr="00497A93">
        <w:rPr>
          <w:rFonts w:cs="Arial"/>
          <w:b/>
          <w:bCs/>
        </w:rPr>
        <w:t>meet suitability requirements</w:t>
      </w:r>
      <w:r w:rsidRPr="00497A93">
        <w:rPr>
          <w:rFonts w:cs="Arial"/>
        </w:rPr>
        <w:t xml:space="preserve"> for staff, premises and operational details. From 1 July 2024, this process works differently for different service providers:</w:t>
      </w:r>
    </w:p>
    <w:p w14:paraId="5997A66D" w14:textId="77777777" w:rsidR="00497A93" w:rsidRPr="00497A93" w:rsidRDefault="00497A93" w:rsidP="00DF6D37">
      <w:pPr>
        <w:pStyle w:val="ListParagraph"/>
        <w:numPr>
          <w:ilvl w:val="0"/>
          <w:numId w:val="14"/>
        </w:numPr>
        <w:rPr>
          <w:rFonts w:cs="Arial"/>
        </w:rPr>
      </w:pPr>
      <w:r w:rsidRPr="00497A93">
        <w:rPr>
          <w:rFonts w:cs="Arial"/>
        </w:rPr>
        <w:t xml:space="preserve">Group 1 is providers registered with the Human Services Regulator: </w:t>
      </w:r>
    </w:p>
    <w:p w14:paraId="29D89830" w14:textId="77777777" w:rsidR="00497A93" w:rsidRPr="00497A93" w:rsidRDefault="00497A93" w:rsidP="009D13FD">
      <w:pPr>
        <w:pStyle w:val="Bullet1"/>
        <w:ind w:left="709"/>
        <w:rPr>
          <w:rFonts w:cs="Arial"/>
        </w:rPr>
      </w:pPr>
      <w:r w:rsidRPr="00497A93">
        <w:rPr>
          <w:rFonts w:cs="Arial"/>
        </w:rPr>
        <w:t>The Regulator will have information on file</w:t>
      </w:r>
    </w:p>
    <w:p w14:paraId="75533530" w14:textId="77777777" w:rsidR="00497A93" w:rsidRPr="00497A93" w:rsidRDefault="00497A93" w:rsidP="009D13FD">
      <w:pPr>
        <w:pStyle w:val="Bullet1"/>
        <w:ind w:left="709"/>
        <w:rPr>
          <w:rFonts w:cs="Arial"/>
          <w:i/>
        </w:rPr>
      </w:pPr>
      <w:r w:rsidRPr="00497A93">
        <w:rPr>
          <w:rFonts w:cs="Arial"/>
        </w:rPr>
        <w:t>Providing suitability information builds a registration record, rather than testing suitability to deliver services, as they were previously registered with the Human Services Regulator.</w:t>
      </w:r>
    </w:p>
    <w:p w14:paraId="142C64C8" w14:textId="77777777" w:rsidR="00497A93" w:rsidRPr="00497A93" w:rsidRDefault="00497A93" w:rsidP="00497A93">
      <w:pPr>
        <w:rPr>
          <w:rFonts w:cs="Arial"/>
        </w:rPr>
      </w:pPr>
    </w:p>
    <w:p w14:paraId="06230754" w14:textId="750D9024" w:rsidR="00497A93" w:rsidRPr="00497A93" w:rsidRDefault="00497A93" w:rsidP="00DF6D37">
      <w:pPr>
        <w:pStyle w:val="ListParagraph"/>
        <w:numPr>
          <w:ilvl w:val="0"/>
          <w:numId w:val="14"/>
        </w:numPr>
        <w:rPr>
          <w:rFonts w:cs="Arial"/>
        </w:rPr>
      </w:pPr>
      <w:r w:rsidRPr="00497A93">
        <w:rPr>
          <w:rFonts w:cs="Arial"/>
        </w:rPr>
        <w:t>Group 2 is providers not registered with the Human Services Regulator and funded by the Department of Fairness, Families and Housing (DFFH)</w:t>
      </w:r>
      <w:r>
        <w:rPr>
          <w:rFonts w:cs="Arial"/>
        </w:rPr>
        <w:t>. For these providers:</w:t>
      </w:r>
    </w:p>
    <w:p w14:paraId="08DCDD9D" w14:textId="77777777" w:rsidR="00497A93" w:rsidRPr="00497A93" w:rsidRDefault="00497A93" w:rsidP="009D13FD">
      <w:pPr>
        <w:pStyle w:val="Bullet1"/>
        <w:ind w:left="709"/>
        <w:rPr>
          <w:rFonts w:cs="Arial"/>
        </w:rPr>
      </w:pPr>
      <w:r w:rsidRPr="00497A93">
        <w:rPr>
          <w:rFonts w:cs="Arial"/>
        </w:rPr>
        <w:t xml:space="preserve">They will provide information that </w:t>
      </w:r>
      <w:r w:rsidRPr="00497A93">
        <w:rPr>
          <w:rFonts w:cs="Arial"/>
          <w:b/>
        </w:rPr>
        <w:t>demonstrates their suitability</w:t>
      </w:r>
      <w:r w:rsidRPr="00497A93">
        <w:rPr>
          <w:rFonts w:cs="Arial"/>
        </w:rPr>
        <w:t xml:space="preserve"> to provide services. This includes providing information in the registration form about their key personnel and the service delivery premises.</w:t>
      </w:r>
    </w:p>
    <w:p w14:paraId="1C2E7713" w14:textId="77777777" w:rsidR="00497A93" w:rsidRPr="00497A93" w:rsidRDefault="00497A93" w:rsidP="009D13FD">
      <w:pPr>
        <w:pStyle w:val="Bullet1"/>
        <w:ind w:left="709"/>
        <w:rPr>
          <w:rFonts w:cs="Arial"/>
        </w:rPr>
      </w:pPr>
      <w:r w:rsidRPr="00497A93">
        <w:rPr>
          <w:rFonts w:cs="Arial"/>
        </w:rPr>
        <w:t>The Regulator may have some information on file that helps demonstrate suitability and streamlines the registration process.</w:t>
      </w:r>
    </w:p>
    <w:p w14:paraId="11063EB8" w14:textId="77777777" w:rsidR="00497A93" w:rsidRPr="00E41C8E" w:rsidRDefault="00497A93" w:rsidP="00497A93"/>
    <w:p w14:paraId="37A0DC0E" w14:textId="77777777" w:rsidR="00497A93" w:rsidRPr="00D57334" w:rsidRDefault="00497A93" w:rsidP="00DF6D37">
      <w:pPr>
        <w:pStyle w:val="ListParagraph"/>
        <w:numPr>
          <w:ilvl w:val="0"/>
          <w:numId w:val="14"/>
        </w:numPr>
      </w:pPr>
      <w:r>
        <w:t xml:space="preserve">Group 3 is </w:t>
      </w:r>
      <w:r w:rsidRPr="000928F0">
        <w:t>providers not registered with the Human Services Regulator and</w:t>
      </w:r>
      <w:r>
        <w:t xml:space="preserve"> funded by the Transport Accident Commission (TAC) or WorkSafe. They </w:t>
      </w:r>
      <w:r w:rsidRPr="00D57334">
        <w:t>will need to demonstrate their suitability and more detail will be provided closer to their date of registration.</w:t>
      </w:r>
    </w:p>
    <w:p w14:paraId="4712F829" w14:textId="77777777" w:rsidR="0097489F" w:rsidRDefault="00497A93" w:rsidP="009D13FD">
      <w:pPr>
        <w:pStyle w:val="Body"/>
      </w:pPr>
      <w:r>
        <w:t>Providers who do not fit into one of the above groups will need to provide a full set of information for the first time demonstrating their suitability.</w:t>
      </w:r>
    </w:p>
    <w:p w14:paraId="3126DC4E" w14:textId="5602DE32" w:rsidR="00497A93" w:rsidRDefault="00497A93" w:rsidP="00497A93">
      <w:pPr>
        <w:spacing w:after="240"/>
      </w:pPr>
      <w:r>
        <w:rPr>
          <w:noProof/>
        </w:rPr>
        <w:lastRenderedPageBreak/>
        <mc:AlternateContent>
          <mc:Choice Requires="wps">
            <w:drawing>
              <wp:inline distT="0" distB="0" distL="0" distR="0" wp14:anchorId="002113C9" wp14:editId="36497029">
                <wp:extent cx="6216650" cy="1404620"/>
                <wp:effectExtent l="0" t="0" r="1270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404620"/>
                        </a:xfrm>
                        <a:prstGeom prst="rect">
                          <a:avLst/>
                        </a:prstGeom>
                        <a:solidFill>
                          <a:srgbClr val="FFFFFF"/>
                        </a:solidFill>
                        <a:ln w="9525">
                          <a:solidFill>
                            <a:srgbClr val="000000"/>
                          </a:solidFill>
                          <a:miter lim="800000"/>
                          <a:headEnd/>
                          <a:tailEnd/>
                        </a:ln>
                      </wps:spPr>
                      <wps:txbx>
                        <w:txbxContent>
                          <w:p w14:paraId="4135F433" w14:textId="77777777" w:rsidR="00497A93" w:rsidRDefault="00497A93" w:rsidP="00497A93">
                            <w:pPr>
                              <w:jc w:val="center"/>
                            </w:pPr>
                            <w:r w:rsidRPr="007E04F3">
                              <w:t>This fact sheet outlines the full set of information for demonstrating suitability and is most useful for service providers who are providing this information to the Social Services Regulator for the first time.</w:t>
                            </w:r>
                          </w:p>
                        </w:txbxContent>
                      </wps:txbx>
                      <wps:bodyPr rot="0" vert="horz" wrap="square" lIns="91440" tIns="45720" rIns="91440" bIns="45720" anchor="t" anchorCtr="0">
                        <a:spAutoFit/>
                      </wps:bodyPr>
                    </wps:wsp>
                  </a:graphicData>
                </a:graphic>
              </wp:inline>
            </w:drawing>
          </mc:Choice>
          <mc:Fallback>
            <w:pict>
              <v:shapetype w14:anchorId="002113C9" id="_x0000_t202" coordsize="21600,21600" o:spt="202" path="m,l,21600r21600,l21600,xe">
                <v:stroke joinstyle="miter"/>
                <v:path gradientshapeok="t" o:connecttype="rect"/>
              </v:shapetype>
              <v:shape id="Text Box 2" o:spid="_x0000_s1026" type="#_x0000_t202" style="width:48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">
                <v:textbox style="mso-fit-shape-to-text:t">
                  <w:txbxContent>
                    <w:p w14:paraId="4135F433" w14:textId="77777777" w:rsidR="00497A93" w:rsidRDefault="00497A93" w:rsidP="00497A93">
                      <w:pPr>
                        <w:jc w:val="center"/>
                      </w:pPr>
                      <w:r w:rsidRPr="007E04F3">
                        <w:t>This fact sheet outlines the full set of information for demonstrating suitability and is most useful for service providers who are providing this information to the Social Services Regulator for the first time.</w:t>
                      </w:r>
                    </w:p>
                  </w:txbxContent>
                </v:textbox>
                <w10:anchorlock/>
              </v:shape>
            </w:pict>
          </mc:Fallback>
        </mc:AlternateContent>
      </w:r>
    </w:p>
    <w:p w14:paraId="36AF5830" w14:textId="68644018" w:rsidR="00497A93" w:rsidRDefault="00497A93" w:rsidP="00497A93">
      <w:pPr>
        <w:pStyle w:val="Body"/>
      </w:pPr>
      <w:r>
        <w:t>M</w:t>
      </w:r>
      <w:r w:rsidRPr="009B28F1">
        <w:t>ore information about the different groups</w:t>
      </w:r>
      <w:r>
        <w:t xml:space="preserve"> and timeframes</w:t>
      </w:r>
      <w:r w:rsidRPr="009B28F1">
        <w:t xml:space="preserve"> for registration</w:t>
      </w:r>
      <w:r>
        <w:t xml:space="preserve"> is at </w:t>
      </w:r>
      <w:r w:rsidRPr="00D45E82">
        <w:t>&lt;</w:t>
      </w:r>
      <w:hyperlink r:id="rId16" w:history="1">
        <w:r>
          <w:rPr>
            <w:rStyle w:val="Hyperlink"/>
          </w:rPr>
          <w:t>Social Services Regulator registration | vic.gov.au (www.vic.gov.au)</w:t>
        </w:r>
      </w:hyperlink>
      <w:r w:rsidRPr="00D45E82">
        <w:t>&gt;</w:t>
      </w:r>
      <w:r>
        <w:t xml:space="preserve"> </w:t>
      </w:r>
      <w:r w:rsidRPr="009B28F1">
        <w:t>.</w:t>
      </w:r>
    </w:p>
    <w:p w14:paraId="518BB95F" w14:textId="77777777" w:rsidR="00497A93" w:rsidRPr="00CA3766" w:rsidRDefault="00497A93" w:rsidP="00497A93">
      <w:pPr>
        <w:pStyle w:val="Heading2"/>
      </w:pPr>
      <w:r>
        <w:t>How does a provider demonstrate suitability to deliver social services?</w:t>
      </w:r>
    </w:p>
    <w:p w14:paraId="78534C19" w14:textId="77777777" w:rsidR="00497A93" w:rsidRDefault="00497A93" w:rsidP="009D13FD">
      <w:pPr>
        <w:pStyle w:val="Body"/>
      </w:pPr>
      <w:r>
        <w:t>The registration form asks providers to:</w:t>
      </w:r>
    </w:p>
    <w:p w14:paraId="2E9B4C13" w14:textId="77777777" w:rsidR="00497A93" w:rsidRDefault="00497A93" w:rsidP="009D13FD">
      <w:pPr>
        <w:pStyle w:val="Bullet1"/>
      </w:pPr>
      <w:r>
        <w:t>Complete information on requirements for leaders, staff, premises and operational details</w:t>
      </w:r>
    </w:p>
    <w:p w14:paraId="16C24B73" w14:textId="77777777" w:rsidR="00497A93" w:rsidRDefault="00497A93" w:rsidP="009D13FD">
      <w:pPr>
        <w:pStyle w:val="Bullet1"/>
      </w:pPr>
      <w:r>
        <w:t>Provide evidence in some areas.</w:t>
      </w:r>
    </w:p>
    <w:p w14:paraId="36D52663" w14:textId="77777777" w:rsidR="00497A93" w:rsidRPr="00EF52F7" w:rsidRDefault="00497A93" w:rsidP="009D13FD">
      <w:pPr>
        <w:pStyle w:val="Body"/>
      </w:pPr>
      <w:r w:rsidRPr="00EF52F7">
        <w:t>It is important to gather documents, evidence and information prior to beginning to complete the form, as:</w:t>
      </w:r>
    </w:p>
    <w:p w14:paraId="2A2E72DE" w14:textId="77777777" w:rsidR="00497A93" w:rsidRPr="00EF52F7" w:rsidRDefault="00497A93" w:rsidP="009D13FD">
      <w:pPr>
        <w:pStyle w:val="Bullet1"/>
      </w:pPr>
      <w:r>
        <w:t>if possible, you are encouraged to complete the registration form in one session</w:t>
      </w:r>
    </w:p>
    <w:p w14:paraId="52F96C63" w14:textId="77777777" w:rsidR="00497A93" w:rsidRPr="00EF52F7" w:rsidRDefault="00497A93" w:rsidP="009D13FD">
      <w:pPr>
        <w:pStyle w:val="Bullet1"/>
      </w:pPr>
      <w:r w:rsidRPr="00EF52F7">
        <w:t>the form saves automatically as you progress through each page</w:t>
      </w:r>
    </w:p>
    <w:p w14:paraId="45C00594" w14:textId="77777777" w:rsidR="00497A93" w:rsidRPr="00EF52F7" w:rsidRDefault="00497A93" w:rsidP="009D13FD">
      <w:pPr>
        <w:pStyle w:val="Bullet1"/>
      </w:pPr>
      <w:r w:rsidRPr="00EF52F7">
        <w:t>if you close your session, you will need to use the same device</w:t>
      </w:r>
      <w:r w:rsidRPr="00EF52F7">
        <w:rPr>
          <w:rStyle w:val="FootnoteReference"/>
        </w:rPr>
        <w:footnoteReference w:id="2"/>
      </w:r>
      <w:r w:rsidRPr="00EF52F7">
        <w:t xml:space="preserve"> to access the point where you left the form.</w:t>
      </w:r>
    </w:p>
    <w:p w14:paraId="72A2E304" w14:textId="77777777" w:rsidR="00497A93" w:rsidRPr="00EF52F7" w:rsidRDefault="00497A93" w:rsidP="009D13FD">
      <w:pPr>
        <w:pStyle w:val="Body"/>
      </w:pPr>
      <w:r w:rsidRPr="00EF52F7">
        <w:t xml:space="preserve">In most cases providers may upload up to five documents when asked to provide evidence demonstrating suitability. </w:t>
      </w:r>
    </w:p>
    <w:p w14:paraId="147B8C74" w14:textId="0106E2A7" w:rsidR="00497A93" w:rsidRDefault="00497A93" w:rsidP="009D13FD">
      <w:pPr>
        <w:pStyle w:val="Body"/>
      </w:pPr>
      <w:r w:rsidRPr="00EF52F7">
        <w:t>All sections of the form must be completed before the form can be submitted for review by the Regulator.</w:t>
      </w:r>
      <w:r>
        <w:t xml:space="preserve"> </w:t>
      </w:r>
    </w:p>
    <w:p w14:paraId="62C7FAC1" w14:textId="77777777" w:rsidR="00497A93" w:rsidRDefault="00497A93" w:rsidP="00497A93">
      <w:pPr>
        <w:pStyle w:val="Heading3"/>
      </w:pPr>
      <w:r>
        <w:t xml:space="preserve">When does the process start? </w:t>
      </w:r>
    </w:p>
    <w:p w14:paraId="36F30EB4" w14:textId="32487252" w:rsidR="00497A93" w:rsidRDefault="00497A93" w:rsidP="008E5D53">
      <w:pPr>
        <w:pStyle w:val="Body"/>
      </w:pPr>
      <w:r>
        <w:t>There is a staged approach to registration, with different groups of service providers registering at different points. M</w:t>
      </w:r>
      <w:r w:rsidRPr="009B28F1">
        <w:t xml:space="preserve">ore information about the </w:t>
      </w:r>
      <w:r>
        <w:t>timeframes</w:t>
      </w:r>
      <w:r w:rsidRPr="009B28F1">
        <w:t xml:space="preserve"> for registration</w:t>
      </w:r>
      <w:r>
        <w:t xml:space="preserve"> is at </w:t>
      </w:r>
      <w:r w:rsidRPr="00D45E82">
        <w:t>&lt;</w:t>
      </w:r>
      <w:hyperlink r:id="rId17" w:history="1">
        <w:r>
          <w:rPr>
            <w:rStyle w:val="Hyperlink"/>
          </w:rPr>
          <w:t>Social Services Regulator registration | vic.gov.au (www.vic.gov.au)</w:t>
        </w:r>
      </w:hyperlink>
      <w:r w:rsidRPr="00D45E82">
        <w:t>&gt;</w:t>
      </w:r>
      <w:r>
        <w:t xml:space="preserve"> </w:t>
      </w:r>
    </w:p>
    <w:p w14:paraId="4CA71F8C" w14:textId="77777777" w:rsidR="00E41C8E" w:rsidRDefault="00E41C8E" w:rsidP="00E41C8E">
      <w:pPr>
        <w:pStyle w:val="Heading3"/>
      </w:pPr>
      <w:r>
        <w:t>What are the key steps?</w:t>
      </w:r>
    </w:p>
    <w:p w14:paraId="42722AE1" w14:textId="18E73C92" w:rsidR="00E41C8E" w:rsidRDefault="00E41C8E" w:rsidP="00DF6D37">
      <w:pPr>
        <w:pStyle w:val="ListParagraph"/>
        <w:numPr>
          <w:ilvl w:val="0"/>
          <w:numId w:val="18"/>
        </w:numPr>
      </w:pPr>
      <w:r>
        <w:t>Group 1 and Group 2 s</w:t>
      </w:r>
      <w:r w:rsidRPr="009651E9">
        <w:t xml:space="preserve">ervice providers </w:t>
      </w:r>
      <w:r w:rsidRPr="001D5CDD">
        <w:rPr>
          <w:b/>
          <w:bCs/>
        </w:rPr>
        <w:t>receive an email</w:t>
      </w:r>
      <w:r w:rsidRPr="009651E9">
        <w:t xml:space="preserve"> to begin the process of completing their registration form</w:t>
      </w:r>
      <w:r w:rsidRPr="001061B0">
        <w:t>,</w:t>
      </w:r>
      <w:r>
        <w:t xml:space="preserve"> in line with the registration timeframes. </w:t>
      </w:r>
    </w:p>
    <w:p w14:paraId="30E3DE98" w14:textId="77777777" w:rsidR="00E41C8E" w:rsidRDefault="00E41C8E" w:rsidP="00E41C8E">
      <w:pPr>
        <w:pStyle w:val="ListParagraph"/>
        <w:ind w:left="360"/>
      </w:pPr>
    </w:p>
    <w:p w14:paraId="30DF336E" w14:textId="77777777" w:rsidR="00E41C8E" w:rsidRDefault="00E41C8E" w:rsidP="00E41C8E">
      <w:pPr>
        <w:pStyle w:val="ListParagraph"/>
        <w:ind w:left="360"/>
      </w:pPr>
      <w:r>
        <w:t>Group 3 service providers will receive more information closer to their date of registration.</w:t>
      </w:r>
    </w:p>
    <w:p w14:paraId="7DC4BE00" w14:textId="77777777" w:rsidR="00E41C8E" w:rsidRDefault="00E41C8E" w:rsidP="00E41C8E">
      <w:pPr>
        <w:pStyle w:val="ListParagraph"/>
        <w:ind w:left="360"/>
      </w:pPr>
    </w:p>
    <w:p w14:paraId="7FBA0B4B" w14:textId="5C33AE3E" w:rsidR="00E41C8E" w:rsidRDefault="00E41C8E" w:rsidP="00E41C8E">
      <w:pPr>
        <w:pStyle w:val="ListParagraph"/>
        <w:ind w:left="360"/>
      </w:pPr>
      <w:r>
        <w:t xml:space="preserve">Providers who do not fit into one of the above groups must initiate the process </w:t>
      </w:r>
      <w:r w:rsidR="009F7E16">
        <w:t xml:space="preserve">by emailing </w:t>
      </w:r>
      <w:hyperlink r:id="rId18" w:history="1">
        <w:r w:rsidR="00C8711B" w:rsidRPr="001A00B4">
          <w:rPr>
            <w:rStyle w:val="Hyperlink"/>
          </w:rPr>
          <w:t>registration@ssr.vic.gov.au</w:t>
        </w:r>
      </w:hyperlink>
      <w:r w:rsidR="00C8711B">
        <w:t>.</w:t>
      </w:r>
      <w:r>
        <w:t xml:space="preserve"> </w:t>
      </w:r>
    </w:p>
    <w:p w14:paraId="1F5041D8" w14:textId="77777777" w:rsidR="00E41C8E" w:rsidRDefault="00E41C8E" w:rsidP="00E41C8E">
      <w:pPr>
        <w:pStyle w:val="ListParagraph"/>
        <w:ind w:left="360"/>
      </w:pPr>
    </w:p>
    <w:p w14:paraId="64FAD036" w14:textId="77777777" w:rsidR="00E41C8E" w:rsidRDefault="00E41C8E" w:rsidP="00E41C8E">
      <w:pPr>
        <w:pStyle w:val="ListParagraph"/>
        <w:ind w:left="360"/>
      </w:pPr>
      <w:r>
        <w:rPr>
          <w:szCs w:val="21"/>
        </w:rPr>
        <w:t>All providers are responsible for determining if the services they offer are included in the scheme and for registering those services with the Social Services Regulator in line with the registration timeframes.</w:t>
      </w:r>
    </w:p>
    <w:p w14:paraId="0512922B" w14:textId="77777777" w:rsidR="00E41C8E" w:rsidRPr="00503250" w:rsidRDefault="00E41C8E" w:rsidP="00E41C8E">
      <w:pPr>
        <w:pStyle w:val="ListParagraph"/>
        <w:ind w:left="360"/>
      </w:pPr>
    </w:p>
    <w:p w14:paraId="347E3A56" w14:textId="77777777" w:rsidR="00E41C8E" w:rsidRDefault="00E41C8E" w:rsidP="00DF6D37">
      <w:pPr>
        <w:pStyle w:val="ListParagraph"/>
        <w:numPr>
          <w:ilvl w:val="0"/>
          <w:numId w:val="18"/>
        </w:numPr>
      </w:pPr>
      <w:r w:rsidRPr="008E3C0E">
        <w:rPr>
          <w:b/>
          <w:bCs/>
        </w:rPr>
        <w:t>Some</w:t>
      </w:r>
      <w:r w:rsidRPr="008E3C0E">
        <w:t xml:space="preserve"> providers validate information the Social Services Regulator has on file about their operations.</w:t>
      </w:r>
      <w:r w:rsidRPr="002512D3">
        <w:rPr>
          <w:highlight w:val="yellow"/>
        </w:rPr>
        <w:t xml:space="preserve"> </w:t>
      </w:r>
      <w:r>
        <w:t>(Other providers will skip this step, as they were not previously registered with the Human Services Regulator or do not receive funding from DFFH).</w:t>
      </w:r>
    </w:p>
    <w:p w14:paraId="6990D05A" w14:textId="77777777" w:rsidR="00E41C8E" w:rsidRDefault="00E41C8E" w:rsidP="00E41C8E">
      <w:pPr>
        <w:pStyle w:val="ListParagraph"/>
      </w:pPr>
    </w:p>
    <w:p w14:paraId="73960819" w14:textId="77777777" w:rsidR="00E41C8E" w:rsidRDefault="00E41C8E" w:rsidP="00DF6D37">
      <w:pPr>
        <w:pStyle w:val="ListParagraph"/>
        <w:numPr>
          <w:ilvl w:val="0"/>
          <w:numId w:val="18"/>
        </w:numPr>
      </w:pPr>
      <w:r w:rsidRPr="00503250">
        <w:rPr>
          <w:b/>
          <w:bCs/>
        </w:rPr>
        <w:t>All</w:t>
      </w:r>
      <w:r>
        <w:t xml:space="preserve"> providers </w:t>
      </w:r>
      <w:r w:rsidRPr="008E3C0E">
        <w:t>then provide information about</w:t>
      </w:r>
      <w:r>
        <w:t xml:space="preserve"> their suitability to deliver social services. Some providers will be asked more questions on suitability if the Regulator has less information about this on file.</w:t>
      </w:r>
    </w:p>
    <w:p w14:paraId="5DC1AD80" w14:textId="77777777" w:rsidR="00E41C8E" w:rsidRDefault="00E41C8E" w:rsidP="009D13FD">
      <w:pPr>
        <w:pStyle w:val="Body"/>
      </w:pPr>
      <w:r w:rsidRPr="008E3C0E">
        <w:lastRenderedPageBreak/>
        <w:t>Each group must complete their application for registration within their allocated timeframes.</w:t>
      </w:r>
    </w:p>
    <w:p w14:paraId="6A2A029B" w14:textId="77777777" w:rsidR="00E41C8E" w:rsidRDefault="00E41C8E" w:rsidP="009D13FD">
      <w:pPr>
        <w:pStyle w:val="Body"/>
      </w:pPr>
      <w:r w:rsidRPr="00562ADF">
        <w:t xml:space="preserve">If a </w:t>
      </w:r>
      <w:r>
        <w:t xml:space="preserve">service </w:t>
      </w:r>
      <w:r w:rsidRPr="00562ADF">
        <w:t xml:space="preserve">provider does not complete these steps within the nominated timeframe, </w:t>
      </w:r>
      <w:r>
        <w:t>the Social Services Regulator may compel information to be provided.</w:t>
      </w:r>
    </w:p>
    <w:p w14:paraId="68B2DEDB" w14:textId="77777777" w:rsidR="00E41C8E" w:rsidRDefault="00E41C8E" w:rsidP="009D13FD">
      <w:pPr>
        <w:pStyle w:val="Body"/>
      </w:pPr>
      <w:r w:rsidRPr="001A3EE5">
        <w:t>T</w:t>
      </w:r>
      <w:r w:rsidRPr="000A0604">
        <w:t xml:space="preserve">he </w:t>
      </w:r>
      <w:r>
        <w:t xml:space="preserve">Social Services </w:t>
      </w:r>
      <w:r w:rsidRPr="000A0604">
        <w:t>Regulator review</w:t>
      </w:r>
      <w:r>
        <w:t>s</w:t>
      </w:r>
      <w:r w:rsidRPr="000A0604">
        <w:t xml:space="preserve"> </w:t>
      </w:r>
      <w:r>
        <w:t xml:space="preserve">registration </w:t>
      </w:r>
      <w:r w:rsidRPr="000A0604">
        <w:t>application</w:t>
      </w:r>
      <w:r>
        <w:t>s</w:t>
      </w:r>
      <w:r w:rsidRPr="000A0604">
        <w:t xml:space="preserve"> within 60 days</w:t>
      </w:r>
      <w:r>
        <w:t xml:space="preserve"> and </w:t>
      </w:r>
      <w:r w:rsidRPr="000A0604">
        <w:t>may ask</w:t>
      </w:r>
      <w:r w:rsidRPr="001A3EE5">
        <w:t xml:space="preserve"> </w:t>
      </w:r>
      <w:r>
        <w:t>providers</w:t>
      </w:r>
      <w:r w:rsidRPr="000A0604">
        <w:t xml:space="preserve"> to clarify details in </w:t>
      </w:r>
      <w:r>
        <w:t>their</w:t>
      </w:r>
      <w:r w:rsidRPr="001A3EE5">
        <w:t xml:space="preserve"> </w:t>
      </w:r>
      <w:r w:rsidRPr="000A0604">
        <w:t xml:space="preserve">application or provide </w:t>
      </w:r>
      <w:r w:rsidRPr="001A3EE5">
        <w:t xml:space="preserve">more </w:t>
      </w:r>
      <w:r w:rsidRPr="000A0604">
        <w:t>information.</w:t>
      </w:r>
    </w:p>
    <w:p w14:paraId="311C5CA3" w14:textId="77777777" w:rsidR="00E41C8E" w:rsidRDefault="00E41C8E" w:rsidP="009D13FD">
      <w:pPr>
        <w:pStyle w:val="Body"/>
      </w:pPr>
      <w:r>
        <w:t xml:space="preserve">For more information on how the registration process will work for your service provider, go to: </w:t>
      </w:r>
    </w:p>
    <w:p w14:paraId="281AB454" w14:textId="77777777" w:rsidR="00E41C8E" w:rsidRDefault="00E41C8E" w:rsidP="00E41C8E">
      <w:r>
        <w:t>&lt;</w:t>
      </w:r>
      <w:r w:rsidRPr="007A62F7">
        <w:t xml:space="preserve"> </w:t>
      </w:r>
      <w:hyperlink r:id="rId19" w:history="1">
        <w:r>
          <w:rPr>
            <w:rStyle w:val="Hyperlink"/>
            <w:rFonts w:eastAsia="MS Gothic"/>
          </w:rPr>
          <w:t>Social Services Regulator registration | vic.gov.au (www.vic.gov.au)</w:t>
        </w:r>
      </w:hyperlink>
      <w:r>
        <w:t>&gt;</w:t>
      </w:r>
    </w:p>
    <w:p w14:paraId="68E9CB67" w14:textId="77777777" w:rsidR="0097489F" w:rsidRDefault="0097489F" w:rsidP="0097489F">
      <w:pPr>
        <w:pStyle w:val="Heading2"/>
      </w:pPr>
      <w:r>
        <w:t xml:space="preserve">How do I </w:t>
      </w:r>
      <w:r w:rsidRPr="007E6586">
        <w:t>prepar</w:t>
      </w:r>
      <w:r>
        <w:t>e</w:t>
      </w:r>
      <w:r w:rsidRPr="007E6586">
        <w:t>?</w:t>
      </w:r>
    </w:p>
    <w:p w14:paraId="6C2D3057" w14:textId="77777777" w:rsidR="0097489F" w:rsidRPr="00E76459" w:rsidRDefault="0097489F" w:rsidP="004C6E29">
      <w:pPr>
        <w:pStyle w:val="Body"/>
        <w:rPr>
          <w:rFonts w:cs="Arial"/>
          <w:szCs w:val="21"/>
        </w:rPr>
      </w:pPr>
      <w:r w:rsidRPr="00E76459">
        <w:rPr>
          <w:rFonts w:cs="Arial"/>
          <w:szCs w:val="21"/>
        </w:rPr>
        <w:t xml:space="preserve">There are three categories where service providers </w:t>
      </w:r>
      <w:r>
        <w:rPr>
          <w:rFonts w:cs="Arial"/>
          <w:szCs w:val="21"/>
        </w:rPr>
        <w:t>must</w:t>
      </w:r>
      <w:r w:rsidRPr="00E76459">
        <w:rPr>
          <w:rFonts w:cs="Arial"/>
          <w:szCs w:val="21"/>
        </w:rPr>
        <w:t xml:space="preserve"> demonstrate suitability. Each category has several areas of focus</w:t>
      </w:r>
      <w:r>
        <w:rPr>
          <w:rFonts w:cs="Arial"/>
          <w:szCs w:val="21"/>
        </w:rPr>
        <w:t>.</w:t>
      </w:r>
    </w:p>
    <w:p w14:paraId="1CA47876" w14:textId="77777777" w:rsidR="0097489F" w:rsidRDefault="0097489F" w:rsidP="0097489F">
      <w:pPr>
        <w:pStyle w:val="Bullet1"/>
        <w:numPr>
          <w:ilvl w:val="0"/>
          <w:numId w:val="0"/>
        </w:numPr>
      </w:pPr>
    </w:p>
    <w:p w14:paraId="6CAE0E45" w14:textId="77777777" w:rsidR="0097489F" w:rsidRDefault="0097489F" w:rsidP="0097489F">
      <w:pPr>
        <w:pStyle w:val="Bullet1"/>
        <w:numPr>
          <w:ilvl w:val="0"/>
          <w:numId w:val="0"/>
        </w:numPr>
      </w:pPr>
      <w:r>
        <w:rPr>
          <w:noProof/>
        </w:rPr>
        <mc:AlternateContent>
          <mc:Choice Requires="wps">
            <w:drawing>
              <wp:anchor distT="0" distB="0" distL="114300" distR="114300" simplePos="0" relativeHeight="251658244" behindDoc="0" locked="0" layoutInCell="1" allowOverlap="1" wp14:anchorId="5C19D075" wp14:editId="655EF231">
                <wp:simplePos x="0" y="0"/>
                <wp:positionH relativeFrom="column">
                  <wp:posOffset>4463415</wp:posOffset>
                </wp:positionH>
                <wp:positionV relativeFrom="paragraph">
                  <wp:posOffset>105410</wp:posOffset>
                </wp:positionV>
                <wp:extent cx="1644015" cy="702310"/>
                <wp:effectExtent l="19050" t="0" r="13335" b="21590"/>
                <wp:wrapNone/>
                <wp:docPr id="9" name="Arrow: Chevron 9"/>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ysClr val="windowText" lastClr="000000"/>
                          </a:solidFill>
                          <a:prstDash val="solid"/>
                        </a:ln>
                        <a:effectLst/>
                      </wps:spPr>
                      <wps:txbx>
                        <w:txbxContent>
                          <w:p w14:paraId="7E259838" w14:textId="77777777" w:rsidR="0097489F" w:rsidRPr="00807347" w:rsidRDefault="0097489F" w:rsidP="0097489F">
                            <w:pPr>
                              <w:jc w:val="center"/>
                              <w:rPr>
                                <w:sz w:val="18"/>
                                <w:szCs w:val="18"/>
                              </w:rPr>
                            </w:pPr>
                            <w:r>
                              <w:rPr>
                                <w:sz w:val="18"/>
                                <w:szCs w:val="18"/>
                              </w:rPr>
                              <w:t>Criminal history and sanctions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19D07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9" o:spid="_x0000_s1027" type="#_x0000_t55" style="position:absolute;margin-left:351.45pt;margin-top:8.3pt;width:129.45pt;height:55.3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" adj="16986" fillcolor="window" strokecolor="windowText" strokeweight="2pt">
                <v:textbox>
                  <w:txbxContent>
                    <w:p w14:paraId="7E259838" w14:textId="77777777" w:rsidR="0097489F" w:rsidRPr="00807347" w:rsidRDefault="0097489F" w:rsidP="0097489F">
                      <w:pPr>
                        <w:jc w:val="center"/>
                        <w:rPr>
                          <w:sz w:val="18"/>
                          <w:szCs w:val="18"/>
                        </w:rPr>
                      </w:pPr>
                      <w:r>
                        <w:rPr>
                          <w:sz w:val="18"/>
                          <w:szCs w:val="18"/>
                        </w:rPr>
                        <w:t>Criminal history and sanctions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67E2BE7" wp14:editId="3166F830">
                <wp:simplePos x="0" y="0"/>
                <wp:positionH relativeFrom="column">
                  <wp:posOffset>2976245</wp:posOffset>
                </wp:positionH>
                <wp:positionV relativeFrom="paragraph">
                  <wp:posOffset>102870</wp:posOffset>
                </wp:positionV>
                <wp:extent cx="1644015" cy="702310"/>
                <wp:effectExtent l="19050" t="0" r="13335" b="21590"/>
                <wp:wrapNone/>
                <wp:docPr id="63536420" name="Arrow: Chevron 63536420"/>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ysClr val="windowText" lastClr="000000"/>
                          </a:solidFill>
                          <a:prstDash val="solid"/>
                        </a:ln>
                        <a:effectLst/>
                      </wps:spPr>
                      <wps:txbx>
                        <w:txbxContent>
                          <w:p w14:paraId="541F5129" w14:textId="77777777" w:rsidR="0097489F" w:rsidRPr="002966B1" w:rsidRDefault="0097489F" w:rsidP="0097489F">
                            <w:pPr>
                              <w:jc w:val="center"/>
                              <w:rPr>
                                <w:sz w:val="18"/>
                                <w:szCs w:val="18"/>
                              </w:rPr>
                            </w:pPr>
                            <w:r w:rsidRPr="002966B1">
                              <w:rPr>
                                <w:sz w:val="18"/>
                                <w:szCs w:val="18"/>
                              </w:rPr>
                              <w:t>Qualifications, skills and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7E2BE7" id="Arrow: Chevron 63536420" o:spid="_x0000_s1028" type="#_x0000_t55" style="position:absolute;margin-left:234.35pt;margin-top:8.1pt;width:129.45pt;height:55.3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" adj="16986" fillcolor="window" strokecolor="windowText" strokeweight="2pt">
                <v:textbox>
                  <w:txbxContent>
                    <w:p w14:paraId="541F5129" w14:textId="77777777" w:rsidR="0097489F" w:rsidRPr="002966B1" w:rsidRDefault="0097489F" w:rsidP="0097489F">
                      <w:pPr>
                        <w:jc w:val="center"/>
                        <w:rPr>
                          <w:sz w:val="18"/>
                          <w:szCs w:val="18"/>
                        </w:rPr>
                      </w:pPr>
                      <w:r w:rsidRPr="002966B1">
                        <w:rPr>
                          <w:sz w:val="18"/>
                          <w:szCs w:val="18"/>
                        </w:rPr>
                        <w:t>Qualifications, skills and experience</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64C16EA" wp14:editId="4017E1CE">
                <wp:simplePos x="0" y="0"/>
                <wp:positionH relativeFrom="column">
                  <wp:posOffset>1577340</wp:posOffset>
                </wp:positionH>
                <wp:positionV relativeFrom="paragraph">
                  <wp:posOffset>99695</wp:posOffset>
                </wp:positionV>
                <wp:extent cx="1531455" cy="702310"/>
                <wp:effectExtent l="19050" t="0" r="12065" b="21590"/>
                <wp:wrapNone/>
                <wp:docPr id="801180117" name="Arrow: Chevron 801180117"/>
                <wp:cNvGraphicFramePr/>
                <a:graphic xmlns:a="http://schemas.openxmlformats.org/drawingml/2006/main">
                  <a:graphicData uri="http://schemas.microsoft.com/office/word/2010/wordprocessingShape">
                    <wps:wsp>
                      <wps:cNvSpPr/>
                      <wps:spPr>
                        <a:xfrm>
                          <a:off x="0" y="0"/>
                          <a:ext cx="1531455" cy="702310"/>
                        </a:xfrm>
                        <a:prstGeom prst="chevron">
                          <a:avLst/>
                        </a:prstGeom>
                        <a:solidFill>
                          <a:sysClr val="window" lastClr="FFFFFF"/>
                        </a:solidFill>
                        <a:ln w="25400" cap="flat" cmpd="sng" algn="ctr">
                          <a:solidFill>
                            <a:sysClr val="windowText" lastClr="000000"/>
                          </a:solidFill>
                          <a:prstDash val="solid"/>
                        </a:ln>
                        <a:effectLst/>
                      </wps:spPr>
                      <wps:txbx>
                        <w:txbxContent>
                          <w:p w14:paraId="5C609CE5" w14:textId="77777777" w:rsidR="0097489F" w:rsidRPr="002966B1" w:rsidRDefault="0097489F" w:rsidP="0097489F">
                            <w:pPr>
                              <w:jc w:val="center"/>
                              <w:rPr>
                                <w:sz w:val="18"/>
                                <w:szCs w:val="18"/>
                              </w:rPr>
                            </w:pPr>
                            <w:r w:rsidRPr="002966B1">
                              <w:rPr>
                                <w:sz w:val="18"/>
                                <w:szCs w:val="18"/>
                              </w:rPr>
                              <w:t>Name, title, 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4C16EA" id="Arrow: Chevron 801180117" o:spid="_x0000_s1029" type="#_x0000_t55" style="position:absolute;margin-left:124.2pt;margin-top:7.85pt;width:120.6pt;height:55.3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" adj="16647" fillcolor="window" strokecolor="windowText" strokeweight="2pt">
                <v:textbox>
                  <w:txbxContent>
                    <w:p w14:paraId="5C609CE5" w14:textId="77777777" w:rsidR="0097489F" w:rsidRPr="002966B1" w:rsidRDefault="0097489F" w:rsidP="0097489F">
                      <w:pPr>
                        <w:jc w:val="center"/>
                        <w:rPr>
                          <w:sz w:val="18"/>
                          <w:szCs w:val="18"/>
                        </w:rPr>
                      </w:pPr>
                      <w:r w:rsidRPr="002966B1">
                        <w:rPr>
                          <w:sz w:val="18"/>
                          <w:szCs w:val="18"/>
                        </w:rPr>
                        <w:t>Name, title, position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F3E6AA8" wp14:editId="488EB288">
                <wp:simplePos x="0" y="0"/>
                <wp:positionH relativeFrom="column">
                  <wp:posOffset>200907</wp:posOffset>
                </wp:positionH>
                <wp:positionV relativeFrom="paragraph">
                  <wp:posOffset>102373</wp:posOffset>
                </wp:positionV>
                <wp:extent cx="1531455" cy="702310"/>
                <wp:effectExtent l="19050" t="0" r="12065" b="21590"/>
                <wp:wrapNone/>
                <wp:docPr id="32" name="Arrow: Chevron 32"/>
                <wp:cNvGraphicFramePr/>
                <a:graphic xmlns:a="http://schemas.openxmlformats.org/drawingml/2006/main">
                  <a:graphicData uri="http://schemas.microsoft.com/office/word/2010/wordprocessingShape">
                    <wps:wsp>
                      <wps:cNvSpPr/>
                      <wps:spPr>
                        <a:xfrm>
                          <a:off x="0" y="0"/>
                          <a:ext cx="1531455" cy="702310"/>
                        </a:xfrm>
                        <a:prstGeom prst="chevron">
                          <a:avLst/>
                        </a:prstGeom>
                      </wps:spPr>
                      <wps:style>
                        <a:lnRef idx="2">
                          <a:schemeClr val="dk1"/>
                        </a:lnRef>
                        <a:fillRef idx="1">
                          <a:schemeClr val="lt1"/>
                        </a:fillRef>
                        <a:effectRef idx="0">
                          <a:schemeClr val="dk1"/>
                        </a:effectRef>
                        <a:fontRef idx="minor">
                          <a:schemeClr val="dk1"/>
                        </a:fontRef>
                      </wps:style>
                      <wps:txbx>
                        <w:txbxContent>
                          <w:p w14:paraId="3B8A94B7" w14:textId="77777777" w:rsidR="0097489F" w:rsidRPr="00312D17" w:rsidRDefault="0097489F" w:rsidP="0097489F">
                            <w:pPr>
                              <w:jc w:val="center"/>
                              <w:rPr>
                                <w:b/>
                                <w:bCs/>
                                <w:sz w:val="20"/>
                              </w:rPr>
                            </w:pPr>
                            <w:r w:rsidRPr="00312D17">
                              <w:rPr>
                                <w:b/>
                                <w:bCs/>
                                <w:sz w:val="20"/>
                              </w:rPr>
                              <w:t>Key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3E6AA8" id="Arrow: Chevron 32" o:spid="_x0000_s1030" type="#_x0000_t55" style="position:absolute;margin-left:15.8pt;margin-top:8.05pt;width:120.6pt;height:55.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" adj="16647" fillcolor="white [3201]" strokecolor="black [3200]" strokeweight="2pt">
                <v:textbox>
                  <w:txbxContent>
                    <w:p w14:paraId="3B8A94B7" w14:textId="77777777" w:rsidR="0097489F" w:rsidRPr="00312D17" w:rsidRDefault="0097489F" w:rsidP="0097489F">
                      <w:pPr>
                        <w:jc w:val="center"/>
                        <w:rPr>
                          <w:b/>
                          <w:bCs/>
                          <w:sz w:val="20"/>
                        </w:rPr>
                      </w:pPr>
                      <w:r w:rsidRPr="00312D17">
                        <w:rPr>
                          <w:b/>
                          <w:bCs/>
                          <w:sz w:val="20"/>
                        </w:rPr>
                        <w:t>Key personnel</w:t>
                      </w:r>
                    </w:p>
                  </w:txbxContent>
                </v:textbox>
              </v:shape>
            </w:pict>
          </mc:Fallback>
        </mc:AlternateContent>
      </w:r>
    </w:p>
    <w:p w14:paraId="6C66713D" w14:textId="77777777" w:rsidR="0097489F" w:rsidRDefault="0097489F" w:rsidP="0097489F"/>
    <w:p w14:paraId="31131AE3" w14:textId="77777777" w:rsidR="0097489F" w:rsidRDefault="0097489F" w:rsidP="0097489F"/>
    <w:p w14:paraId="44FB3554" w14:textId="77777777" w:rsidR="0097489F" w:rsidRDefault="0097489F" w:rsidP="0097489F"/>
    <w:p w14:paraId="7439C090" w14:textId="77777777" w:rsidR="0097489F" w:rsidRDefault="0097489F" w:rsidP="0097489F">
      <w:pPr>
        <w:pStyle w:val="Bullet1"/>
        <w:numPr>
          <w:ilvl w:val="0"/>
          <w:numId w:val="0"/>
        </w:numPr>
        <w:ind w:left="284" w:hanging="284"/>
      </w:pPr>
      <w:r>
        <w:rPr>
          <w:noProof/>
        </w:rPr>
        <mc:AlternateContent>
          <mc:Choice Requires="wps">
            <w:drawing>
              <wp:anchor distT="0" distB="0" distL="114300" distR="114300" simplePos="0" relativeHeight="251658248" behindDoc="0" locked="0" layoutInCell="1" allowOverlap="1" wp14:anchorId="2563DCDB" wp14:editId="031C820C">
                <wp:simplePos x="0" y="0"/>
                <wp:positionH relativeFrom="column">
                  <wp:posOffset>4463415</wp:posOffset>
                </wp:positionH>
                <wp:positionV relativeFrom="paragraph">
                  <wp:posOffset>105410</wp:posOffset>
                </wp:positionV>
                <wp:extent cx="1644015" cy="702310"/>
                <wp:effectExtent l="19050" t="0" r="13335" b="21590"/>
                <wp:wrapNone/>
                <wp:docPr id="10" name="Arrow: Chevron 10"/>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chemeClr val="tx2">
                              <a:lumMod val="75000"/>
                            </a:schemeClr>
                          </a:solidFill>
                          <a:prstDash val="solid"/>
                        </a:ln>
                        <a:effectLst/>
                      </wps:spPr>
                      <wps:txbx>
                        <w:txbxContent>
                          <w:p w14:paraId="6DFD0B40" w14:textId="77777777" w:rsidR="0097489F" w:rsidRPr="00807347" w:rsidRDefault="0097489F" w:rsidP="0097489F">
                            <w:pPr>
                              <w:jc w:val="center"/>
                              <w:rPr>
                                <w:sz w:val="18"/>
                                <w:szCs w:val="18"/>
                              </w:rPr>
                            </w:pPr>
                            <w:r>
                              <w:rPr>
                                <w:sz w:val="18"/>
                                <w:szCs w:val="18"/>
                              </w:rPr>
                              <w:t>Lease agreements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63DCDB" id="Arrow: Chevron 10" o:spid="_x0000_s1031" type="#_x0000_t55" style="position:absolute;left:0;text-align:left;margin-left:351.45pt;margin-top:8.3pt;width:129.45pt;height:55.3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" adj="16986" fillcolor="window" strokecolor="#17365d [2415]" strokeweight="2pt">
                <v:textbox>
                  <w:txbxContent>
                    <w:p w14:paraId="6DFD0B40" w14:textId="77777777" w:rsidR="0097489F" w:rsidRPr="00807347" w:rsidRDefault="0097489F" w:rsidP="0097489F">
                      <w:pPr>
                        <w:jc w:val="center"/>
                        <w:rPr>
                          <w:sz w:val="18"/>
                          <w:szCs w:val="18"/>
                        </w:rPr>
                      </w:pPr>
                      <w:r>
                        <w:rPr>
                          <w:sz w:val="18"/>
                          <w:szCs w:val="18"/>
                        </w:rPr>
                        <w:t>Lease agreements</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77B5BA95" wp14:editId="11C3D720">
                <wp:simplePos x="0" y="0"/>
                <wp:positionH relativeFrom="column">
                  <wp:posOffset>2976245</wp:posOffset>
                </wp:positionH>
                <wp:positionV relativeFrom="paragraph">
                  <wp:posOffset>102870</wp:posOffset>
                </wp:positionV>
                <wp:extent cx="1644015" cy="702310"/>
                <wp:effectExtent l="19050" t="0" r="13335" b="21590"/>
                <wp:wrapNone/>
                <wp:docPr id="11" name="Arrow: Chevron 11"/>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chemeClr val="tx2">
                              <a:lumMod val="75000"/>
                            </a:schemeClr>
                          </a:solidFill>
                          <a:prstDash val="solid"/>
                        </a:ln>
                        <a:effectLst/>
                      </wps:spPr>
                      <wps:txbx>
                        <w:txbxContent>
                          <w:p w14:paraId="2CE324D3" w14:textId="77777777" w:rsidR="0097489F" w:rsidRPr="002966B1" w:rsidRDefault="0097489F" w:rsidP="0097489F">
                            <w:pPr>
                              <w:jc w:val="center"/>
                              <w:rPr>
                                <w:sz w:val="18"/>
                                <w:szCs w:val="18"/>
                              </w:rPr>
                            </w:pPr>
                            <w:r>
                              <w:rPr>
                                <w:sz w:val="18"/>
                                <w:szCs w:val="18"/>
                              </w:rPr>
                              <w:t>Fixtures and fittings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B5BA95" id="Arrow: Chevron 11" o:spid="_x0000_s1032" type="#_x0000_t55" style="position:absolute;left:0;text-align:left;margin-left:234.35pt;margin-top:8.1pt;width:129.45pt;height:55.3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" adj="16986" fillcolor="window" strokecolor="#17365d [2415]" strokeweight="2pt">
                <v:textbox>
                  <w:txbxContent>
                    <w:p w14:paraId="2CE324D3" w14:textId="77777777" w:rsidR="0097489F" w:rsidRPr="002966B1" w:rsidRDefault="0097489F" w:rsidP="0097489F">
                      <w:pPr>
                        <w:jc w:val="center"/>
                        <w:rPr>
                          <w:sz w:val="18"/>
                          <w:szCs w:val="18"/>
                        </w:rPr>
                      </w:pPr>
                      <w:r>
                        <w:rPr>
                          <w:sz w:val="18"/>
                          <w:szCs w:val="18"/>
                        </w:rPr>
                        <w:t>Fixtures and fittings</w:t>
                      </w: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2120ADE2" wp14:editId="7DBB86F9">
                <wp:simplePos x="0" y="0"/>
                <wp:positionH relativeFrom="column">
                  <wp:posOffset>1577340</wp:posOffset>
                </wp:positionH>
                <wp:positionV relativeFrom="paragraph">
                  <wp:posOffset>99695</wp:posOffset>
                </wp:positionV>
                <wp:extent cx="1531455" cy="702310"/>
                <wp:effectExtent l="19050" t="0" r="12065" b="21590"/>
                <wp:wrapNone/>
                <wp:docPr id="12" name="Arrow: Chevron 12"/>
                <wp:cNvGraphicFramePr/>
                <a:graphic xmlns:a="http://schemas.openxmlformats.org/drawingml/2006/main">
                  <a:graphicData uri="http://schemas.microsoft.com/office/word/2010/wordprocessingShape">
                    <wps:wsp>
                      <wps:cNvSpPr/>
                      <wps:spPr>
                        <a:xfrm>
                          <a:off x="0" y="0"/>
                          <a:ext cx="1531455" cy="702310"/>
                        </a:xfrm>
                        <a:prstGeom prst="chevron">
                          <a:avLst/>
                        </a:prstGeom>
                        <a:solidFill>
                          <a:sysClr val="window" lastClr="FFFFFF"/>
                        </a:solidFill>
                        <a:ln w="25400" cap="flat" cmpd="sng" algn="ctr">
                          <a:solidFill>
                            <a:schemeClr val="tx2">
                              <a:lumMod val="75000"/>
                            </a:schemeClr>
                          </a:solidFill>
                          <a:prstDash val="solid"/>
                        </a:ln>
                        <a:effectLst/>
                      </wps:spPr>
                      <wps:txbx>
                        <w:txbxContent>
                          <w:p w14:paraId="5EBDBE0F" w14:textId="77777777" w:rsidR="0097489F" w:rsidRPr="002966B1" w:rsidRDefault="0097489F" w:rsidP="0097489F">
                            <w:pPr>
                              <w:jc w:val="center"/>
                              <w:rPr>
                                <w:sz w:val="18"/>
                                <w:szCs w:val="18"/>
                              </w:rPr>
                            </w:pPr>
                            <w:r>
                              <w:rPr>
                                <w:sz w:val="18"/>
                                <w:szCs w:val="18"/>
                              </w:rPr>
                              <w:t>User safety and accessibility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20ADE2" id="Arrow: Chevron 12" o:spid="_x0000_s1033" type="#_x0000_t55" style="position:absolute;left:0;text-align:left;margin-left:124.2pt;margin-top:7.85pt;width:120.6pt;height:55.3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" adj="16647" fillcolor="window" strokecolor="#17365d [2415]" strokeweight="2pt">
                <v:textbox>
                  <w:txbxContent>
                    <w:p w14:paraId="5EBDBE0F" w14:textId="77777777" w:rsidR="0097489F" w:rsidRPr="002966B1" w:rsidRDefault="0097489F" w:rsidP="0097489F">
                      <w:pPr>
                        <w:jc w:val="center"/>
                        <w:rPr>
                          <w:sz w:val="18"/>
                          <w:szCs w:val="18"/>
                        </w:rPr>
                      </w:pPr>
                      <w:r>
                        <w:rPr>
                          <w:sz w:val="18"/>
                          <w:szCs w:val="18"/>
                        </w:rPr>
                        <w:t>User safety and accessibility</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1E35F06D" wp14:editId="165543B7">
                <wp:simplePos x="0" y="0"/>
                <wp:positionH relativeFrom="column">
                  <wp:posOffset>200907</wp:posOffset>
                </wp:positionH>
                <wp:positionV relativeFrom="paragraph">
                  <wp:posOffset>102373</wp:posOffset>
                </wp:positionV>
                <wp:extent cx="1531455" cy="702310"/>
                <wp:effectExtent l="19050" t="0" r="12065" b="21590"/>
                <wp:wrapNone/>
                <wp:docPr id="13" name="Arrow: Chevron 13"/>
                <wp:cNvGraphicFramePr/>
                <a:graphic xmlns:a="http://schemas.openxmlformats.org/drawingml/2006/main">
                  <a:graphicData uri="http://schemas.microsoft.com/office/word/2010/wordprocessingShape">
                    <wps:wsp>
                      <wps:cNvSpPr/>
                      <wps:spPr>
                        <a:xfrm>
                          <a:off x="0" y="0"/>
                          <a:ext cx="1531455" cy="702310"/>
                        </a:xfrm>
                        <a:prstGeom prst="chevron">
                          <a:avLst/>
                        </a:prstGeom>
                        <a:ln>
                          <a:solidFill>
                            <a:schemeClr val="tx2">
                              <a:lumMod val="75000"/>
                            </a:schemeClr>
                          </a:solidFill>
                        </a:ln>
                      </wps:spPr>
                      <wps:style>
                        <a:lnRef idx="2">
                          <a:schemeClr val="dk1"/>
                        </a:lnRef>
                        <a:fillRef idx="1">
                          <a:schemeClr val="lt1"/>
                        </a:fillRef>
                        <a:effectRef idx="0">
                          <a:schemeClr val="dk1"/>
                        </a:effectRef>
                        <a:fontRef idx="minor">
                          <a:schemeClr val="dk1"/>
                        </a:fontRef>
                      </wps:style>
                      <wps:txbx>
                        <w:txbxContent>
                          <w:p w14:paraId="68450325" w14:textId="77777777" w:rsidR="0097489F" w:rsidRPr="00312D17" w:rsidRDefault="0097489F" w:rsidP="0097489F">
                            <w:pPr>
                              <w:jc w:val="center"/>
                              <w:rPr>
                                <w:b/>
                                <w:bCs/>
                                <w:sz w:val="20"/>
                              </w:rPr>
                            </w:pPr>
                            <w:r>
                              <w:rPr>
                                <w:b/>
                                <w:bCs/>
                                <w:sz w:val="20"/>
                              </w:rPr>
                              <w:t>Premises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35F06D" id="Arrow: Chevron 13" o:spid="_x0000_s1034" type="#_x0000_t55" style="position:absolute;left:0;text-align:left;margin-left:15.8pt;margin-top:8.05pt;width:120.6pt;height:55.3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" adj="16647" fillcolor="white [3201]" strokecolor="#17365d [2415]" strokeweight="2pt">
                <v:textbox>
                  <w:txbxContent>
                    <w:p w14:paraId="68450325" w14:textId="77777777" w:rsidR="0097489F" w:rsidRPr="00312D17" w:rsidRDefault="0097489F" w:rsidP="0097489F">
                      <w:pPr>
                        <w:jc w:val="center"/>
                        <w:rPr>
                          <w:b/>
                          <w:bCs/>
                          <w:sz w:val="20"/>
                        </w:rPr>
                      </w:pPr>
                      <w:r>
                        <w:rPr>
                          <w:b/>
                          <w:bCs/>
                          <w:sz w:val="20"/>
                        </w:rPr>
                        <w:t>Premises</w:t>
                      </w:r>
                    </w:p>
                  </w:txbxContent>
                </v:textbox>
              </v:shape>
            </w:pict>
          </mc:Fallback>
        </mc:AlternateContent>
      </w:r>
    </w:p>
    <w:p w14:paraId="669D477A" w14:textId="77777777" w:rsidR="0097489F" w:rsidRDefault="0097489F" w:rsidP="0097489F"/>
    <w:p w14:paraId="3ACBF434" w14:textId="77777777" w:rsidR="0097489F" w:rsidRDefault="0097489F" w:rsidP="0097489F"/>
    <w:p w14:paraId="3D644369" w14:textId="77777777" w:rsidR="0097489F" w:rsidRDefault="0097489F" w:rsidP="0097489F"/>
    <w:p w14:paraId="4A7AE8CA" w14:textId="77777777" w:rsidR="0097489F" w:rsidRDefault="0097489F" w:rsidP="0097489F">
      <w:pPr>
        <w:pStyle w:val="Bullet1"/>
        <w:numPr>
          <w:ilvl w:val="0"/>
          <w:numId w:val="0"/>
        </w:numPr>
        <w:ind w:left="284" w:hanging="284"/>
      </w:pPr>
      <w:r>
        <w:rPr>
          <w:noProof/>
        </w:rPr>
        <mc:AlternateContent>
          <mc:Choice Requires="wps">
            <w:drawing>
              <wp:anchor distT="0" distB="0" distL="114300" distR="114300" simplePos="0" relativeHeight="251658250" behindDoc="0" locked="0" layoutInCell="1" allowOverlap="1" wp14:anchorId="60138D35" wp14:editId="691D2044">
                <wp:simplePos x="0" y="0"/>
                <wp:positionH relativeFrom="column">
                  <wp:posOffset>1628775</wp:posOffset>
                </wp:positionH>
                <wp:positionV relativeFrom="paragraph">
                  <wp:posOffset>99695</wp:posOffset>
                </wp:positionV>
                <wp:extent cx="1531455" cy="702310"/>
                <wp:effectExtent l="19050" t="0" r="12065" b="21590"/>
                <wp:wrapNone/>
                <wp:docPr id="16" name="Arrow: Chevron 16"/>
                <wp:cNvGraphicFramePr/>
                <a:graphic xmlns:a="http://schemas.openxmlformats.org/drawingml/2006/main">
                  <a:graphicData uri="http://schemas.microsoft.com/office/word/2010/wordprocessingShape">
                    <wps:wsp>
                      <wps:cNvSpPr/>
                      <wps:spPr>
                        <a:xfrm>
                          <a:off x="0" y="0"/>
                          <a:ext cx="1531455" cy="702310"/>
                        </a:xfrm>
                        <a:prstGeom prst="chevron">
                          <a:avLst/>
                        </a:prstGeom>
                        <a:solidFill>
                          <a:sysClr val="window" lastClr="FFFFFF"/>
                        </a:solidFill>
                        <a:ln w="25400" cap="flat" cmpd="sng" algn="ctr">
                          <a:solidFill>
                            <a:schemeClr val="accent3">
                              <a:lumMod val="50000"/>
                            </a:schemeClr>
                          </a:solidFill>
                          <a:prstDash val="solid"/>
                        </a:ln>
                        <a:effectLst/>
                      </wps:spPr>
                      <wps:txbx>
                        <w:txbxContent>
                          <w:p w14:paraId="3FF3053A" w14:textId="77777777" w:rsidR="0097489F" w:rsidRPr="002966B1" w:rsidRDefault="0097489F" w:rsidP="0097489F">
                            <w:pPr>
                              <w:jc w:val="center"/>
                              <w:rPr>
                                <w:sz w:val="18"/>
                                <w:szCs w:val="18"/>
                              </w:rPr>
                            </w:pPr>
                            <w:r>
                              <w:rPr>
                                <w:sz w:val="18"/>
                                <w:szCs w:val="18"/>
                              </w:rPr>
                              <w:t>Business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138D35" id="Arrow: Chevron 16" o:spid="_x0000_s1035" type="#_x0000_t55" style="position:absolute;left:0;text-align:left;margin-left:128.25pt;margin-top:7.85pt;width:120.6pt;height:55.3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" adj="16647" fillcolor="window" strokecolor="#4e6128 [1606]" strokeweight="2pt">
                <v:textbox>
                  <w:txbxContent>
                    <w:p w14:paraId="3FF3053A" w14:textId="77777777" w:rsidR="0097489F" w:rsidRPr="002966B1" w:rsidRDefault="0097489F" w:rsidP="0097489F">
                      <w:pPr>
                        <w:jc w:val="center"/>
                        <w:rPr>
                          <w:sz w:val="18"/>
                          <w:szCs w:val="18"/>
                        </w:rPr>
                      </w:pPr>
                      <w:r>
                        <w:rPr>
                          <w:sz w:val="18"/>
                          <w:szCs w:val="18"/>
                        </w:rPr>
                        <w:t>Business structure</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1D6BADC4" wp14:editId="46F6029B">
                <wp:simplePos x="0" y="0"/>
                <wp:positionH relativeFrom="column">
                  <wp:posOffset>198755</wp:posOffset>
                </wp:positionH>
                <wp:positionV relativeFrom="paragraph">
                  <wp:posOffset>100965</wp:posOffset>
                </wp:positionV>
                <wp:extent cx="1581150" cy="702310"/>
                <wp:effectExtent l="19050" t="0" r="19050" b="21590"/>
                <wp:wrapNone/>
                <wp:docPr id="17" name="Arrow: Chevron 17"/>
                <wp:cNvGraphicFramePr/>
                <a:graphic xmlns:a="http://schemas.openxmlformats.org/drawingml/2006/main">
                  <a:graphicData uri="http://schemas.microsoft.com/office/word/2010/wordprocessingShape">
                    <wps:wsp>
                      <wps:cNvSpPr/>
                      <wps:spPr>
                        <a:xfrm>
                          <a:off x="0" y="0"/>
                          <a:ext cx="1581150" cy="702310"/>
                        </a:xfrm>
                        <a:prstGeom prst="chevron">
                          <a:avLst/>
                        </a:prstGeom>
                        <a:ln>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7E13416D" w14:textId="77777777" w:rsidR="0097489F" w:rsidRPr="00D50821" w:rsidRDefault="0097489F" w:rsidP="0097489F">
                            <w:pPr>
                              <w:jc w:val="center"/>
                              <w:rPr>
                                <w:b/>
                                <w:bCs/>
                                <w:sz w:val="20"/>
                              </w:rPr>
                            </w:pPr>
                            <w:r w:rsidRPr="00D50821">
                              <w:rPr>
                                <w:b/>
                                <w:bCs/>
                                <w:sz w:val="20"/>
                              </w:rPr>
                              <w:t>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6BADC4" id="Arrow: Chevron 17" o:spid="_x0000_s1036" type="#_x0000_t55" style="position:absolute;left:0;text-align:left;margin-left:15.65pt;margin-top:7.95pt;width:124.5pt;height:55.3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" adj="16803" fillcolor="white [3201]" strokecolor="#4e6128 [1606]" strokeweight="2pt">
                <v:textbox>
                  <w:txbxContent>
                    <w:p w14:paraId="7E13416D" w14:textId="77777777" w:rsidR="0097489F" w:rsidRPr="00D50821" w:rsidRDefault="0097489F" w:rsidP="0097489F">
                      <w:pPr>
                        <w:jc w:val="center"/>
                        <w:rPr>
                          <w:b/>
                          <w:bCs/>
                          <w:sz w:val="20"/>
                        </w:rPr>
                      </w:pPr>
                      <w:r w:rsidRPr="00D50821">
                        <w:rPr>
                          <w:b/>
                          <w:bCs/>
                          <w:sz w:val="20"/>
                        </w:rPr>
                        <w:t>Operations</w:t>
                      </w: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66CEDC4F" wp14:editId="28E6A109">
                <wp:simplePos x="0" y="0"/>
                <wp:positionH relativeFrom="column">
                  <wp:posOffset>4463415</wp:posOffset>
                </wp:positionH>
                <wp:positionV relativeFrom="paragraph">
                  <wp:posOffset>105410</wp:posOffset>
                </wp:positionV>
                <wp:extent cx="1644015" cy="702310"/>
                <wp:effectExtent l="19050" t="0" r="13335" b="21590"/>
                <wp:wrapNone/>
                <wp:docPr id="14" name="Arrow: Chevron 14"/>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chemeClr val="accent3">
                              <a:lumMod val="50000"/>
                            </a:schemeClr>
                          </a:solidFill>
                          <a:prstDash val="solid"/>
                        </a:ln>
                        <a:effectLst/>
                      </wps:spPr>
                      <wps:txbx>
                        <w:txbxContent>
                          <w:p w14:paraId="049A7CA2" w14:textId="77777777" w:rsidR="0097489F" w:rsidRPr="00807347" w:rsidRDefault="0097489F" w:rsidP="0097489F">
                            <w:pPr>
                              <w:jc w:val="center"/>
                              <w:rPr>
                                <w:sz w:val="18"/>
                                <w:szCs w:val="18"/>
                              </w:rPr>
                            </w:pPr>
                            <w:r>
                              <w:rPr>
                                <w:sz w:val="18"/>
                                <w:szCs w:val="18"/>
                              </w:rPr>
                              <w:t>Financial capacity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CEDC4F" id="Arrow: Chevron 14" o:spid="_x0000_s1037" type="#_x0000_t55" style="position:absolute;left:0;text-align:left;margin-left:351.45pt;margin-top:8.3pt;width:129.45pt;height:55.3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" adj="16986" fillcolor="window" strokecolor="#4e6128 [1606]" strokeweight="2pt">
                <v:textbox>
                  <w:txbxContent>
                    <w:p w14:paraId="049A7CA2" w14:textId="77777777" w:rsidR="0097489F" w:rsidRPr="00807347" w:rsidRDefault="0097489F" w:rsidP="0097489F">
                      <w:pPr>
                        <w:jc w:val="center"/>
                        <w:rPr>
                          <w:sz w:val="18"/>
                          <w:szCs w:val="18"/>
                        </w:rPr>
                      </w:pPr>
                      <w:r>
                        <w:rPr>
                          <w:sz w:val="18"/>
                          <w:szCs w:val="18"/>
                        </w:rPr>
                        <w:t>Financial capacity</w:t>
                      </w:r>
                    </w:p>
                  </w:txbxContent>
                </v:textbox>
              </v:shape>
            </w:pict>
          </mc:Fallback>
        </mc:AlternateContent>
      </w:r>
      <w:r>
        <w:rPr>
          <w:noProof/>
        </w:rPr>
        <mc:AlternateContent>
          <mc:Choice Requires="wps">
            <w:drawing>
              <wp:anchor distT="0" distB="0" distL="114300" distR="114300" simplePos="0" relativeHeight="251658251" behindDoc="0" locked="0" layoutInCell="1" allowOverlap="1" wp14:anchorId="32BCA40C" wp14:editId="09EE28AB">
                <wp:simplePos x="0" y="0"/>
                <wp:positionH relativeFrom="column">
                  <wp:posOffset>2976245</wp:posOffset>
                </wp:positionH>
                <wp:positionV relativeFrom="paragraph">
                  <wp:posOffset>102870</wp:posOffset>
                </wp:positionV>
                <wp:extent cx="1644015" cy="702310"/>
                <wp:effectExtent l="19050" t="0" r="13335" b="21590"/>
                <wp:wrapNone/>
                <wp:docPr id="15" name="Arrow: Chevron 15"/>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chemeClr val="accent3">
                              <a:lumMod val="50000"/>
                            </a:schemeClr>
                          </a:solidFill>
                          <a:prstDash val="solid"/>
                        </a:ln>
                        <a:effectLst/>
                      </wps:spPr>
                      <wps:txbx>
                        <w:txbxContent>
                          <w:p w14:paraId="21B84A7E" w14:textId="77777777" w:rsidR="0097489F" w:rsidRPr="002966B1" w:rsidRDefault="0097489F" w:rsidP="0097489F">
                            <w:pPr>
                              <w:jc w:val="center"/>
                              <w:rPr>
                                <w:sz w:val="18"/>
                                <w:szCs w:val="18"/>
                              </w:rPr>
                            </w:pPr>
                            <w:r>
                              <w:rPr>
                                <w:sz w:val="18"/>
                                <w:szCs w:val="18"/>
                              </w:rPr>
                              <w:t>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BCA40C" id="Arrow: Chevron 15" o:spid="_x0000_s1038" type="#_x0000_t55" style="position:absolute;left:0;text-align:left;margin-left:234.35pt;margin-top:8.1pt;width:129.45pt;height:55.3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" adj="16986" fillcolor="window" strokecolor="#4e6128 [1606]" strokeweight="2pt">
                <v:textbox>
                  <w:txbxContent>
                    <w:p w14:paraId="21B84A7E" w14:textId="77777777" w:rsidR="0097489F" w:rsidRPr="002966B1" w:rsidRDefault="0097489F" w:rsidP="0097489F">
                      <w:pPr>
                        <w:jc w:val="center"/>
                        <w:rPr>
                          <w:sz w:val="18"/>
                          <w:szCs w:val="18"/>
                        </w:rPr>
                      </w:pPr>
                      <w:r>
                        <w:rPr>
                          <w:sz w:val="18"/>
                          <w:szCs w:val="18"/>
                        </w:rPr>
                        <w:t>Governance</w:t>
                      </w:r>
                    </w:p>
                  </w:txbxContent>
                </v:textbox>
              </v:shape>
            </w:pict>
          </mc:Fallback>
        </mc:AlternateContent>
      </w:r>
    </w:p>
    <w:p w14:paraId="68415875" w14:textId="77777777" w:rsidR="0097489F" w:rsidRDefault="0097489F" w:rsidP="0097489F"/>
    <w:p w14:paraId="2DEB80DC" w14:textId="77777777" w:rsidR="0097489F" w:rsidRDefault="0097489F" w:rsidP="0097489F"/>
    <w:p w14:paraId="3EBB312B" w14:textId="77777777" w:rsidR="0097489F" w:rsidRDefault="0097489F" w:rsidP="0097489F"/>
    <w:p w14:paraId="2E5A0FC5" w14:textId="77777777" w:rsidR="0097489F" w:rsidRPr="00E76459" w:rsidRDefault="0097489F" w:rsidP="0097489F">
      <w:pPr>
        <w:pStyle w:val="Heading3"/>
        <w:rPr>
          <w:b/>
          <w:bCs w:val="0"/>
        </w:rPr>
      </w:pPr>
      <w:r w:rsidRPr="00E76459">
        <w:rPr>
          <w:b/>
          <w:bCs w:val="0"/>
        </w:rPr>
        <w:t>Key personnel</w:t>
      </w:r>
    </w:p>
    <w:p w14:paraId="501BC78A" w14:textId="77777777" w:rsidR="0097489F" w:rsidRDefault="0097489F" w:rsidP="004C6E29">
      <w:pPr>
        <w:pStyle w:val="Body"/>
      </w:pPr>
      <w:r>
        <w:t>S</w:t>
      </w:r>
      <w:r w:rsidRPr="00E21A98">
        <w:t>ervice provider</w:t>
      </w:r>
      <w:r>
        <w:t xml:space="preserve">s </w:t>
      </w:r>
      <w:r w:rsidRPr="00E21A98">
        <w:t>need to demonstrate</w:t>
      </w:r>
      <w:r>
        <w:t xml:space="preserve"> the suitability of those</w:t>
      </w:r>
      <w:r w:rsidRPr="00E21A98">
        <w:t xml:space="preserve"> operating and leading the</w:t>
      </w:r>
      <w:r>
        <w:t xml:space="preserve"> social service.</w:t>
      </w:r>
    </w:p>
    <w:p w14:paraId="54C2E434" w14:textId="77777777" w:rsidR="0097489F" w:rsidRDefault="0097489F" w:rsidP="004C6E29">
      <w:pPr>
        <w:pStyle w:val="Body"/>
      </w:pPr>
      <w:r>
        <w:t>T</w:t>
      </w:r>
      <w:r w:rsidRPr="003F4E9B">
        <w:t xml:space="preserve">he </w:t>
      </w:r>
      <w:r>
        <w:t xml:space="preserve">service </w:t>
      </w:r>
      <w:r w:rsidRPr="003F4E9B">
        <w:t xml:space="preserve">provider and each of their </w:t>
      </w:r>
      <w:r>
        <w:t>‘</w:t>
      </w:r>
      <w:r w:rsidRPr="003F4E9B">
        <w:t>key personnel</w:t>
      </w:r>
      <w:r>
        <w:t>’</w:t>
      </w:r>
      <w:r w:rsidRPr="003F4E9B">
        <w:t xml:space="preserve"> must be a suitable person</w:t>
      </w:r>
      <w:r>
        <w:t>, in line with the Regulations</w:t>
      </w:r>
      <w:r>
        <w:rPr>
          <w:rStyle w:val="FootnoteReference"/>
        </w:rPr>
        <w:footnoteReference w:id="3"/>
      </w:r>
      <w:r>
        <w:t>.</w:t>
      </w:r>
    </w:p>
    <w:p w14:paraId="53B98E62" w14:textId="77777777" w:rsidR="0097489F" w:rsidRDefault="0097489F" w:rsidP="004C6E29">
      <w:pPr>
        <w:pStyle w:val="Body"/>
      </w:pPr>
      <w:r w:rsidRPr="00E21A98">
        <w:t>Key personnel is defined</w:t>
      </w:r>
      <w:r>
        <w:rPr>
          <w:rStyle w:val="FootnoteReference"/>
        </w:rPr>
        <w:footnoteReference w:id="4"/>
      </w:r>
      <w:r w:rsidRPr="00E21A98">
        <w:t xml:space="preserve"> </w:t>
      </w:r>
      <w:r>
        <w:t xml:space="preserve">as </w:t>
      </w:r>
      <w:r w:rsidRPr="00E54978">
        <w:rPr>
          <w:b/>
          <w:bCs/>
        </w:rPr>
        <w:t>a member of the group of persons who is responsible for the executive decisions of the provider</w:t>
      </w:r>
      <w:r>
        <w:t xml:space="preserve">. </w:t>
      </w:r>
    </w:p>
    <w:p w14:paraId="10982A3C" w14:textId="77777777" w:rsidR="0097489F" w:rsidRDefault="0097489F" w:rsidP="004C6E29">
      <w:pPr>
        <w:pStyle w:val="Body"/>
      </w:pPr>
      <w:r>
        <w:t>Key personnel are involved in shared decision-making about the service provider’s strategic direction, finance, governance and risk. They may also be responsible for the day-to-day management or administration of social services delivered by a service provider.</w:t>
      </w:r>
    </w:p>
    <w:p w14:paraId="3898F11A" w14:textId="7EB6FB89" w:rsidR="0097489F" w:rsidRPr="000C5805" w:rsidRDefault="0097489F" w:rsidP="004C6E29">
      <w:pPr>
        <w:pStyle w:val="Body"/>
      </w:pPr>
      <w:r>
        <w:t xml:space="preserve">Further information to identify the key personnel in your organisation is in </w:t>
      </w:r>
      <w:hyperlink w:anchor="_Appendix_1" w:history="1">
        <w:r w:rsidRPr="0013115E">
          <w:rPr>
            <w:rStyle w:val="Hyperlink"/>
          </w:rPr>
          <w:t>Appendix 1</w:t>
        </w:r>
      </w:hyperlink>
      <w:r>
        <w:t>.</w:t>
      </w:r>
    </w:p>
    <w:p w14:paraId="5E6639DA" w14:textId="77777777" w:rsidR="0097489F" w:rsidRPr="00E54978" w:rsidRDefault="0097489F" w:rsidP="0097489F">
      <w:pPr>
        <w:pStyle w:val="Heading3"/>
        <w:rPr>
          <w:b/>
        </w:rPr>
      </w:pPr>
      <w:r>
        <w:t>S</w:t>
      </w:r>
      <w:r w:rsidRPr="00E54978">
        <w:t xml:space="preserve">uitability </w:t>
      </w:r>
      <w:r>
        <w:t>requirements for</w:t>
      </w:r>
      <w:r w:rsidRPr="00E54978">
        <w:t xml:space="preserve"> key personnel</w:t>
      </w:r>
    </w:p>
    <w:p w14:paraId="12C63E02" w14:textId="77777777" w:rsidR="0097489F" w:rsidRPr="004C6E29" w:rsidRDefault="0097489F" w:rsidP="004C6E29">
      <w:pPr>
        <w:pStyle w:val="Body"/>
      </w:pPr>
      <w:r>
        <w:t xml:space="preserve">The registration form asks service </w:t>
      </w:r>
      <w:r w:rsidRPr="004C6E29">
        <w:t>providers to provide core details about their key personnel.</w:t>
      </w:r>
    </w:p>
    <w:p w14:paraId="5A459616" w14:textId="77777777" w:rsidR="0097489F" w:rsidRDefault="0097489F" w:rsidP="004C6E29">
      <w:pPr>
        <w:pStyle w:val="Body"/>
      </w:pPr>
      <w:r w:rsidRPr="004C6E29">
        <w:lastRenderedPageBreak/>
        <w:t>Before completing the registration form, it will be useful to have the following details available for each of the key personnel identified by your organisation</w:t>
      </w:r>
      <w:r>
        <w:t>:</w:t>
      </w:r>
    </w:p>
    <w:p w14:paraId="1C0A621A" w14:textId="77777777" w:rsidR="00A804D8" w:rsidRDefault="00A804D8" w:rsidP="0097489F">
      <w:pPr>
        <w:pStyle w:val="Body"/>
      </w:pPr>
    </w:p>
    <w:tbl>
      <w:tblPr>
        <w:tblStyle w:val="TableGrid"/>
        <w:tblW w:w="0" w:type="auto"/>
        <w:tblLook w:val="04A0" w:firstRow="1" w:lastRow="0" w:firstColumn="1" w:lastColumn="0" w:noHBand="0" w:noVBand="1"/>
      </w:tblPr>
      <w:tblGrid>
        <w:gridCol w:w="3114"/>
        <w:gridCol w:w="7080"/>
      </w:tblGrid>
      <w:tr w:rsidR="0097489F" w:rsidRPr="00F1502F" w14:paraId="09C82562" w14:textId="77777777" w:rsidTr="004C6E29">
        <w:tc>
          <w:tcPr>
            <w:tcW w:w="3114" w:type="dxa"/>
          </w:tcPr>
          <w:p w14:paraId="3A9BAF25" w14:textId="77777777" w:rsidR="0097489F" w:rsidRPr="00B655E3" w:rsidRDefault="0097489F" w:rsidP="00DF6D37">
            <w:pPr>
              <w:pStyle w:val="Body"/>
              <w:numPr>
                <w:ilvl w:val="0"/>
                <w:numId w:val="20"/>
              </w:numPr>
              <w:rPr>
                <w:b/>
                <w:bCs/>
              </w:rPr>
            </w:pPr>
            <w:r w:rsidRPr="00B655E3">
              <w:rPr>
                <w:b/>
                <w:bCs/>
              </w:rPr>
              <w:t>Personnel details</w:t>
            </w:r>
          </w:p>
        </w:tc>
        <w:tc>
          <w:tcPr>
            <w:tcW w:w="7080" w:type="dxa"/>
          </w:tcPr>
          <w:p w14:paraId="019B0087" w14:textId="77777777" w:rsidR="0097489F" w:rsidRDefault="0097489F" w:rsidP="004C6E29">
            <w:pPr>
              <w:pStyle w:val="Tablebullet1"/>
            </w:pPr>
            <w:r>
              <w:t>title</w:t>
            </w:r>
          </w:p>
          <w:p w14:paraId="326FE59A" w14:textId="77777777" w:rsidR="0097489F" w:rsidRPr="00F1502F" w:rsidRDefault="0097489F" w:rsidP="004C6E29">
            <w:pPr>
              <w:pStyle w:val="Tablebullet1"/>
            </w:pPr>
            <w:r>
              <w:t xml:space="preserve">first name, last name and any previous names (under the </w:t>
            </w:r>
            <w:r w:rsidRPr="660FFA70">
              <w:rPr>
                <w:rFonts w:cstheme="minorBidi"/>
                <w:i/>
              </w:rPr>
              <w:t>Births Deaths and Marriages Registration Act 1996</w:t>
            </w:r>
            <w:r w:rsidRPr="660FFA70">
              <w:rPr>
                <w:rFonts w:cstheme="minorBidi"/>
              </w:rPr>
              <w:t>, or equivalent)</w:t>
            </w:r>
          </w:p>
        </w:tc>
      </w:tr>
      <w:tr w:rsidR="0097489F" w:rsidRPr="00F1502F" w14:paraId="3845DF54" w14:textId="77777777" w:rsidTr="004C6E29">
        <w:tc>
          <w:tcPr>
            <w:tcW w:w="3114" w:type="dxa"/>
          </w:tcPr>
          <w:p w14:paraId="5E4ED6D0" w14:textId="77777777" w:rsidR="0097489F" w:rsidRPr="00B655E3" w:rsidRDefault="0097489F" w:rsidP="00DF6D37">
            <w:pPr>
              <w:pStyle w:val="Body"/>
              <w:numPr>
                <w:ilvl w:val="0"/>
                <w:numId w:val="20"/>
              </w:numPr>
              <w:rPr>
                <w:b/>
                <w:bCs/>
              </w:rPr>
            </w:pPr>
            <w:r w:rsidRPr="00B655E3">
              <w:rPr>
                <w:b/>
                <w:bCs/>
              </w:rPr>
              <w:t>Details of the position they hold</w:t>
            </w:r>
          </w:p>
        </w:tc>
        <w:tc>
          <w:tcPr>
            <w:tcW w:w="7080" w:type="dxa"/>
          </w:tcPr>
          <w:p w14:paraId="1193C038" w14:textId="77777777" w:rsidR="0097489F" w:rsidRDefault="0097489F" w:rsidP="004C6E29">
            <w:pPr>
              <w:pStyle w:val="Tablebullet1"/>
            </w:pPr>
            <w:r>
              <w:t xml:space="preserve">current position </w:t>
            </w:r>
          </w:p>
          <w:p w14:paraId="6C41ED9F" w14:textId="77777777" w:rsidR="0097489F" w:rsidRDefault="0097489F" w:rsidP="004C6E29">
            <w:pPr>
              <w:pStyle w:val="Tablebullet1"/>
            </w:pPr>
            <w:r>
              <w:t>position description, including qualifications, skills and experience required for the role</w:t>
            </w:r>
          </w:p>
        </w:tc>
      </w:tr>
      <w:tr w:rsidR="0097489F" w:rsidRPr="00F1502F" w14:paraId="3328832A" w14:textId="77777777" w:rsidTr="004C6E29">
        <w:tc>
          <w:tcPr>
            <w:tcW w:w="3114" w:type="dxa"/>
          </w:tcPr>
          <w:p w14:paraId="6B956903" w14:textId="52CC82EE" w:rsidR="0097489F" w:rsidRPr="00B655E3" w:rsidRDefault="0097489F" w:rsidP="00DF6D37">
            <w:pPr>
              <w:pStyle w:val="Body"/>
              <w:numPr>
                <w:ilvl w:val="0"/>
                <w:numId w:val="20"/>
              </w:numPr>
              <w:rPr>
                <w:b/>
                <w:bCs/>
              </w:rPr>
            </w:pPr>
            <w:r w:rsidRPr="00B655E3">
              <w:rPr>
                <w:b/>
                <w:bCs/>
              </w:rPr>
              <w:t>Details on qualifications for their role</w:t>
            </w:r>
          </w:p>
        </w:tc>
        <w:tc>
          <w:tcPr>
            <w:tcW w:w="7080" w:type="dxa"/>
          </w:tcPr>
          <w:p w14:paraId="5DEA8D93" w14:textId="77777777" w:rsidR="0097489F" w:rsidRDefault="0097489F" w:rsidP="004C6E29">
            <w:pPr>
              <w:pStyle w:val="Tablebullet1"/>
            </w:pPr>
            <w:r>
              <w:t xml:space="preserve">qualifications of the individual </w:t>
            </w:r>
          </w:p>
          <w:p w14:paraId="0A46396A" w14:textId="77777777" w:rsidR="0097489F" w:rsidRDefault="0097489F" w:rsidP="004C6E29">
            <w:pPr>
              <w:pStyle w:val="Tablebullet1"/>
            </w:pPr>
            <w:r>
              <w:t>their skills</w:t>
            </w:r>
          </w:p>
          <w:p w14:paraId="43155865" w14:textId="77777777" w:rsidR="0097489F" w:rsidRDefault="0097489F" w:rsidP="004C6E29">
            <w:pPr>
              <w:pStyle w:val="Tablebullet1"/>
            </w:pPr>
            <w:r>
              <w:t>their experience</w:t>
            </w:r>
          </w:p>
          <w:p w14:paraId="24ED0012" w14:textId="77777777" w:rsidR="0097489F" w:rsidRDefault="0097489F" w:rsidP="004C6E29">
            <w:pPr>
              <w:pStyle w:val="Tablebullet1"/>
            </w:pPr>
            <w:r>
              <w:t xml:space="preserve">any professional registrations held by the individual </w:t>
            </w:r>
          </w:p>
        </w:tc>
      </w:tr>
      <w:tr w:rsidR="0097489F" w:rsidRPr="00F1502F" w14:paraId="5A427680" w14:textId="77777777" w:rsidTr="004C6E29">
        <w:tc>
          <w:tcPr>
            <w:tcW w:w="3114" w:type="dxa"/>
          </w:tcPr>
          <w:p w14:paraId="343CA6D1" w14:textId="77777777" w:rsidR="0097489F" w:rsidRPr="00B655E3" w:rsidRDefault="0097489F" w:rsidP="00DF6D37">
            <w:pPr>
              <w:pStyle w:val="Body"/>
              <w:numPr>
                <w:ilvl w:val="0"/>
                <w:numId w:val="20"/>
              </w:numPr>
              <w:rPr>
                <w:b/>
                <w:bCs/>
              </w:rPr>
            </w:pPr>
            <w:r w:rsidRPr="00B655E3">
              <w:rPr>
                <w:b/>
                <w:bCs/>
              </w:rPr>
              <w:t>Safety screening</w:t>
            </w:r>
          </w:p>
        </w:tc>
        <w:tc>
          <w:tcPr>
            <w:tcW w:w="7080" w:type="dxa"/>
          </w:tcPr>
          <w:p w14:paraId="15D8817C" w14:textId="77777777" w:rsidR="0097489F" w:rsidRDefault="0097489F" w:rsidP="004C6E29">
            <w:pPr>
              <w:pStyle w:val="Tablebullet1"/>
            </w:pPr>
            <w:r>
              <w:t xml:space="preserve">criminal history </w:t>
            </w:r>
          </w:p>
          <w:p w14:paraId="2DEC388E" w14:textId="77777777" w:rsidR="0097489F" w:rsidRDefault="0097489F" w:rsidP="004C6E29">
            <w:pPr>
              <w:pStyle w:val="Tablebullet1"/>
            </w:pPr>
            <w:r>
              <w:t xml:space="preserve">safety screening completed including Working with Children Check, National Disability Insurance Scheme (NDIS) Worker Screening Check or the Victorian Disability Worker Commission Worker Disability Registration </w:t>
            </w:r>
          </w:p>
        </w:tc>
      </w:tr>
    </w:tbl>
    <w:p w14:paraId="42C90150" w14:textId="77777777" w:rsidR="0097489F" w:rsidRDefault="0097489F" w:rsidP="0097489F"/>
    <w:p w14:paraId="34443AB9" w14:textId="77777777" w:rsidR="0097489F" w:rsidRPr="00312D17" w:rsidRDefault="0097489F" w:rsidP="0097489F">
      <w:pPr>
        <w:pStyle w:val="Heading3"/>
        <w:rPr>
          <w:b/>
        </w:rPr>
      </w:pPr>
      <w:r w:rsidRPr="00312D17">
        <w:t>Qualifications, skills and experience</w:t>
      </w:r>
    </w:p>
    <w:p w14:paraId="388D8AD2" w14:textId="2EF56375" w:rsidR="0097489F" w:rsidRPr="00BD1D0E" w:rsidRDefault="0097489F" w:rsidP="004C6E29">
      <w:pPr>
        <w:pStyle w:val="Body"/>
      </w:pPr>
      <w:r>
        <w:t>A</w:t>
      </w:r>
      <w:r w:rsidRPr="00BD1D0E">
        <w:t xml:space="preserve"> service provider and </w:t>
      </w:r>
      <w:r w:rsidR="4DA1509B" w:rsidRPr="00BD1D0E">
        <w:t xml:space="preserve">its </w:t>
      </w:r>
      <w:r w:rsidRPr="00BD1D0E">
        <w:t>key personnel must have relevant qualifications, skills, or experience</w:t>
      </w:r>
      <w:r>
        <w:rPr>
          <w:rStyle w:val="FootnoteReference"/>
        </w:rPr>
        <w:footnoteReference w:id="5"/>
      </w:r>
      <w:r w:rsidRPr="00BD1D0E">
        <w:t xml:space="preserve"> to safely deliver a social service.</w:t>
      </w:r>
    </w:p>
    <w:p w14:paraId="29137C4C" w14:textId="26765730" w:rsidR="0097489F" w:rsidRDefault="0097489F" w:rsidP="004C6E29">
      <w:pPr>
        <w:pStyle w:val="Body"/>
      </w:pPr>
      <w:r>
        <w:t xml:space="preserve">Service providers need to provide copies of documentation relating to qualifications, skills and experience when completing the registration form. </w:t>
      </w:r>
    </w:p>
    <w:p w14:paraId="6B943990" w14:textId="77777777" w:rsidR="0097489F" w:rsidRDefault="0097489F" w:rsidP="004C6E29">
      <w:pPr>
        <w:pStyle w:val="Body"/>
      </w:pPr>
      <w:r>
        <w:t>It is also useful for service providers to have the qualifications, skills and experience of their key personnel easily available if the Social Services Regulator requests this information for verification.</w:t>
      </w:r>
    </w:p>
    <w:p w14:paraId="30712DDE" w14:textId="683CFEAD" w:rsidR="0097489F" w:rsidRDefault="0097489F" w:rsidP="004C6E29">
      <w:pPr>
        <w:pStyle w:val="Body"/>
      </w:pPr>
      <w:r>
        <w:t>The registration form prompt</w:t>
      </w:r>
      <w:r w:rsidR="00A804D8">
        <w:t>s</w:t>
      </w:r>
      <w:r>
        <w:t xml:space="preserve"> service providers to: </w:t>
      </w:r>
    </w:p>
    <w:p w14:paraId="00F96E80" w14:textId="77777777" w:rsidR="0097489F" w:rsidRDefault="0097489F" w:rsidP="004C6E29">
      <w:pPr>
        <w:pStyle w:val="Bullet1"/>
      </w:pPr>
      <w:r>
        <w:t xml:space="preserve">complete a ‘qualifications, skills and experience’ </w:t>
      </w:r>
      <w:r w:rsidRPr="00577C8A">
        <w:rPr>
          <w:b/>
          <w:bCs/>
        </w:rPr>
        <w:t>spreadsheet</w:t>
      </w:r>
      <w:r>
        <w:t xml:space="preserve"> linked in the application form</w:t>
      </w:r>
    </w:p>
    <w:p w14:paraId="7C10D799" w14:textId="77777777" w:rsidR="0097489F" w:rsidRDefault="0097489F" w:rsidP="004C6E29">
      <w:pPr>
        <w:pStyle w:val="Bullet1"/>
      </w:pPr>
      <w:r>
        <w:t xml:space="preserve">provide specific details on the qualifications, skills and experience that the service provider and key personnel </w:t>
      </w:r>
      <w:r>
        <w:rPr>
          <w:b/>
          <w:bCs/>
        </w:rPr>
        <w:t>currently</w:t>
      </w:r>
      <w:r w:rsidRPr="003D4785">
        <w:rPr>
          <w:b/>
          <w:bCs/>
        </w:rPr>
        <w:t xml:space="preserve"> hold</w:t>
      </w:r>
    </w:p>
    <w:p w14:paraId="2D2C0424" w14:textId="77777777" w:rsidR="0097489F" w:rsidRPr="002B5BCA" w:rsidRDefault="0097489F" w:rsidP="004C6E29">
      <w:pPr>
        <w:pStyle w:val="Bullet1"/>
      </w:pPr>
      <w:r>
        <w:t>describe the qualifications, skills and experience the organisation has identified as a requirement to fulfill core duties of the service provider and key personnel. This information may be sourced directly from position descriptions.</w:t>
      </w:r>
    </w:p>
    <w:p w14:paraId="178ABE6D" w14:textId="41A9A820" w:rsidR="0097489F" w:rsidRDefault="0097489F" w:rsidP="004C6E29">
      <w:pPr>
        <w:pStyle w:val="Body"/>
      </w:pPr>
      <w:r>
        <w:t xml:space="preserve">Further information on the qualifications, skills and experience needed for key personnel is outlined in </w:t>
      </w:r>
      <w:hyperlink w:anchor="_Key_personnel_1" w:history="1">
        <w:r w:rsidRPr="0013115E">
          <w:rPr>
            <w:rStyle w:val="Hyperlink"/>
          </w:rPr>
          <w:t>Appendix 1.1</w:t>
        </w:r>
      </w:hyperlink>
      <w:r>
        <w:t>.</w:t>
      </w:r>
    </w:p>
    <w:p w14:paraId="40B82002" w14:textId="77777777" w:rsidR="0097489F" w:rsidRPr="00B71715" w:rsidRDefault="0097489F" w:rsidP="0097489F">
      <w:pPr>
        <w:pStyle w:val="Heading3"/>
        <w:rPr>
          <w:b/>
        </w:rPr>
      </w:pPr>
      <w:r w:rsidRPr="00B71715">
        <w:t xml:space="preserve">Criminal history and regulatory sanctions </w:t>
      </w:r>
    </w:p>
    <w:p w14:paraId="72B0C058" w14:textId="77777777" w:rsidR="0097489F" w:rsidRDefault="0097489F" w:rsidP="004C6E29">
      <w:pPr>
        <w:pStyle w:val="Body"/>
        <w:rPr>
          <w:rFonts w:cs="Arial"/>
          <w:szCs w:val="21"/>
        </w:rPr>
      </w:pPr>
      <w:r>
        <w:rPr>
          <w:rFonts w:cs="Arial"/>
          <w:szCs w:val="21"/>
        </w:rPr>
        <w:t>As part of assessing s</w:t>
      </w:r>
      <w:r w:rsidRPr="00A72FEA">
        <w:rPr>
          <w:rFonts w:cs="Arial"/>
          <w:szCs w:val="21"/>
        </w:rPr>
        <w:t xml:space="preserve">ervice providers and their key personnel as </w:t>
      </w:r>
      <w:r>
        <w:rPr>
          <w:rFonts w:cs="Arial"/>
          <w:szCs w:val="21"/>
        </w:rPr>
        <w:t>‘suitable persons</w:t>
      </w:r>
      <w:r w:rsidRPr="00A72FEA">
        <w:rPr>
          <w:rFonts w:cs="Arial"/>
          <w:szCs w:val="21"/>
        </w:rPr>
        <w:t xml:space="preserve"> to provide </w:t>
      </w:r>
      <w:r>
        <w:rPr>
          <w:rFonts w:cs="Arial"/>
          <w:szCs w:val="21"/>
        </w:rPr>
        <w:t>a</w:t>
      </w:r>
      <w:r w:rsidRPr="00A72FEA">
        <w:rPr>
          <w:rFonts w:cs="Arial"/>
          <w:szCs w:val="21"/>
        </w:rPr>
        <w:t xml:space="preserve"> service</w:t>
      </w:r>
      <w:r>
        <w:rPr>
          <w:rFonts w:cs="Arial"/>
          <w:szCs w:val="21"/>
        </w:rPr>
        <w:t xml:space="preserve">’, the Social Services Regulator may consider a range of factors such as </w:t>
      </w:r>
      <w:r w:rsidRPr="00A72FEA">
        <w:rPr>
          <w:rFonts w:cs="Arial"/>
          <w:szCs w:val="21"/>
        </w:rPr>
        <w:t xml:space="preserve">criminal history </w:t>
      </w:r>
      <w:r>
        <w:rPr>
          <w:rFonts w:cs="Arial"/>
          <w:szCs w:val="21"/>
        </w:rPr>
        <w:t xml:space="preserve">and </w:t>
      </w:r>
      <w:r w:rsidRPr="00EB1F58">
        <w:rPr>
          <w:rFonts w:cs="Arial"/>
          <w:szCs w:val="21"/>
        </w:rPr>
        <w:t>history related to regulatory sanctions</w:t>
      </w:r>
      <w:r>
        <w:rPr>
          <w:rFonts w:cs="Arial"/>
          <w:szCs w:val="21"/>
        </w:rPr>
        <w:t xml:space="preserve"> placed on the service </w:t>
      </w:r>
      <w:r w:rsidRPr="00A72FEA">
        <w:rPr>
          <w:rFonts w:cs="Arial"/>
          <w:szCs w:val="21"/>
        </w:rPr>
        <w:t xml:space="preserve">provider </w:t>
      </w:r>
      <w:r>
        <w:rPr>
          <w:rFonts w:cs="Arial"/>
          <w:szCs w:val="21"/>
        </w:rPr>
        <w:t>or</w:t>
      </w:r>
      <w:r w:rsidRPr="00A72FEA">
        <w:rPr>
          <w:rFonts w:cs="Arial"/>
          <w:szCs w:val="21"/>
        </w:rPr>
        <w:t xml:space="preserve"> key personnel</w:t>
      </w:r>
      <w:r>
        <w:rPr>
          <w:rFonts w:cs="Arial"/>
          <w:szCs w:val="21"/>
        </w:rPr>
        <w:t xml:space="preserve">. </w:t>
      </w:r>
    </w:p>
    <w:p w14:paraId="01CFE516" w14:textId="77777777" w:rsidR="0097489F" w:rsidRDefault="0097489F" w:rsidP="004C6E29">
      <w:pPr>
        <w:pStyle w:val="Body"/>
      </w:pPr>
      <w:r w:rsidRPr="00647BE5">
        <w:rPr>
          <w:rFonts w:cs="Arial"/>
          <w:szCs w:val="21"/>
        </w:rPr>
        <w:lastRenderedPageBreak/>
        <w:t xml:space="preserve">Having a criminal history would not </w:t>
      </w:r>
      <w:r>
        <w:rPr>
          <w:rFonts w:cs="Arial"/>
          <w:szCs w:val="21"/>
        </w:rPr>
        <w:t xml:space="preserve">automatically </w:t>
      </w:r>
      <w:r w:rsidRPr="00647BE5">
        <w:rPr>
          <w:rFonts w:cs="Arial"/>
          <w:szCs w:val="21"/>
        </w:rPr>
        <w:t>exclude someone from having a key role in a service provider.</w:t>
      </w:r>
    </w:p>
    <w:p w14:paraId="1F942CE0" w14:textId="77777777" w:rsidR="0097489F" w:rsidRDefault="0097489F" w:rsidP="004C6E29">
      <w:pPr>
        <w:pStyle w:val="Body"/>
      </w:pPr>
      <w:r>
        <w:t>Areas of focus include:</w:t>
      </w:r>
    </w:p>
    <w:p w14:paraId="128A437B" w14:textId="77777777" w:rsidR="0097489F" w:rsidRDefault="0097489F" w:rsidP="004C6E29">
      <w:pPr>
        <w:pStyle w:val="Bullet1"/>
      </w:pPr>
      <w:r>
        <w:t>relevant findings against key personnel in civil and criminal proceedings, such as fraud, misrepresentation and dishonesty</w:t>
      </w:r>
    </w:p>
    <w:p w14:paraId="5D4B6F58" w14:textId="77777777" w:rsidR="0097489F" w:rsidRDefault="0097489F" w:rsidP="004C6E29">
      <w:pPr>
        <w:pStyle w:val="Bullet1"/>
        <w:rPr>
          <w:rStyle w:val="eop"/>
        </w:rPr>
      </w:pPr>
      <w:r>
        <w:t xml:space="preserve">past findings </w:t>
      </w:r>
      <w:r>
        <w:rPr>
          <w:rStyle w:val="eop"/>
        </w:rPr>
        <w:t xml:space="preserve">on </w:t>
      </w:r>
      <w:r w:rsidRPr="00A72FEA">
        <w:rPr>
          <w:rStyle w:val="eop"/>
        </w:rPr>
        <w:t xml:space="preserve">misconduct </w:t>
      </w:r>
      <w:r>
        <w:rPr>
          <w:rStyle w:val="eop"/>
        </w:rPr>
        <w:t xml:space="preserve">with </w:t>
      </w:r>
      <w:r w:rsidRPr="00A72FEA">
        <w:rPr>
          <w:rStyle w:val="eop"/>
        </w:rPr>
        <w:t>providing a social service</w:t>
      </w:r>
    </w:p>
    <w:p w14:paraId="31FB5C82" w14:textId="77777777" w:rsidR="0097489F" w:rsidRDefault="0097489F" w:rsidP="004C6E29">
      <w:pPr>
        <w:pStyle w:val="Bullet1"/>
        <w:rPr>
          <w:rStyle w:val="eop"/>
        </w:rPr>
      </w:pPr>
      <w:r>
        <w:t xml:space="preserve">if registration has been </w:t>
      </w:r>
      <w:r w:rsidRPr="00A72FEA">
        <w:rPr>
          <w:rStyle w:val="eop"/>
        </w:rPr>
        <w:t>revoked to provide a social service</w:t>
      </w:r>
    </w:p>
    <w:p w14:paraId="1318C364" w14:textId="77777777" w:rsidR="0097489F" w:rsidRDefault="0097489F" w:rsidP="004C6E29">
      <w:pPr>
        <w:pStyle w:val="Bullet1"/>
      </w:pPr>
      <w:r>
        <w:rPr>
          <w:rStyle w:val="eop"/>
        </w:rPr>
        <w:t xml:space="preserve">if </w:t>
      </w:r>
      <w:r w:rsidRPr="00A72FEA">
        <w:rPr>
          <w:rStyle w:val="eop"/>
        </w:rPr>
        <w:t xml:space="preserve">any sanction, condition or restriction has been placed on </w:t>
      </w:r>
      <w:r>
        <w:rPr>
          <w:rStyle w:val="eop"/>
        </w:rPr>
        <w:t>a provider or key personnel related to owning or managing a social service</w:t>
      </w:r>
    </w:p>
    <w:p w14:paraId="560382D5" w14:textId="3EDAD545" w:rsidR="0097489F" w:rsidRDefault="0097489F" w:rsidP="0097489F">
      <w:r>
        <w:t xml:space="preserve">Further information on criminal history and relevant sanctions is available in </w:t>
      </w:r>
      <w:hyperlink w:anchor="_Appendix_1.2" w:history="1">
        <w:r w:rsidRPr="00571080">
          <w:rPr>
            <w:rStyle w:val="Hyperlink"/>
          </w:rPr>
          <w:t>Appendix 1.2</w:t>
        </w:r>
      </w:hyperlink>
      <w:r>
        <w:t>.</w:t>
      </w:r>
    </w:p>
    <w:p w14:paraId="5FBEFF37" w14:textId="77777777" w:rsidR="0097489F" w:rsidRPr="000048BE" w:rsidRDefault="0097489F" w:rsidP="0097489F">
      <w:pPr>
        <w:pStyle w:val="Heading3"/>
        <w:rPr>
          <w:b/>
          <w:bCs w:val="0"/>
        </w:rPr>
      </w:pPr>
      <w:r w:rsidRPr="000048BE">
        <w:rPr>
          <w:b/>
          <w:bCs w:val="0"/>
        </w:rPr>
        <w:t>Premises</w:t>
      </w:r>
    </w:p>
    <w:p w14:paraId="3D51D904" w14:textId="77777777" w:rsidR="0097489F" w:rsidRDefault="0097489F" w:rsidP="0097489F">
      <w:pPr>
        <w:pStyle w:val="Body"/>
      </w:pPr>
      <w:r>
        <w:t>P</w:t>
      </w:r>
      <w:r w:rsidRPr="006E62BE">
        <w:t xml:space="preserve">remises used </w:t>
      </w:r>
      <w:r>
        <w:t>to provide a</w:t>
      </w:r>
      <w:r w:rsidRPr="006E62BE">
        <w:t xml:space="preserve"> social service must be </w:t>
      </w:r>
      <w:r>
        <w:t xml:space="preserve">assessed as </w:t>
      </w:r>
      <w:r w:rsidRPr="006E62BE">
        <w:t>suitable for the safe delivery of th</w:t>
      </w:r>
      <w:r>
        <w:t>at</w:t>
      </w:r>
      <w:r w:rsidRPr="006E62BE">
        <w:t xml:space="preserve"> service</w:t>
      </w:r>
      <w:r>
        <w:rPr>
          <w:rStyle w:val="FootnoteReference"/>
        </w:rPr>
        <w:footnoteReference w:id="6"/>
      </w:r>
      <w:r>
        <w:t>. The premises must be fit for purpose, adequately maintained and presented.</w:t>
      </w:r>
    </w:p>
    <w:p w14:paraId="07FF47D9" w14:textId="77777777" w:rsidR="0097489F" w:rsidRDefault="0097489F" w:rsidP="0097489F">
      <w:pPr>
        <w:pStyle w:val="Body"/>
      </w:pPr>
      <w:r>
        <w:t xml:space="preserve">Premises used to deliver social services should: </w:t>
      </w:r>
    </w:p>
    <w:p w14:paraId="6773F7B1" w14:textId="77777777" w:rsidR="0097489F" w:rsidRDefault="0097489F" w:rsidP="0097489F">
      <w:pPr>
        <w:pStyle w:val="Bullet1"/>
      </w:pPr>
      <w:r>
        <w:t>meet the individual and collective needs of service users</w:t>
      </w:r>
    </w:p>
    <w:p w14:paraId="66F2336A" w14:textId="77777777" w:rsidR="0097489F" w:rsidRDefault="0097489F" w:rsidP="0097489F">
      <w:pPr>
        <w:pStyle w:val="Bullet1"/>
      </w:pPr>
      <w:r>
        <w:t>be suitable and accessible for its stated purposes</w:t>
      </w:r>
    </w:p>
    <w:p w14:paraId="74AB5BD8" w14:textId="77777777" w:rsidR="0097489F" w:rsidRDefault="0097489F" w:rsidP="0097489F">
      <w:pPr>
        <w:pStyle w:val="Bullet1"/>
      </w:pPr>
      <w:r>
        <w:t xml:space="preserve">offer a reasonable standard of security </w:t>
      </w:r>
    </w:p>
    <w:p w14:paraId="6CEF74B6" w14:textId="77777777" w:rsidR="0097489F" w:rsidRDefault="0097489F" w:rsidP="0097489F">
      <w:pPr>
        <w:pStyle w:val="Bullet1"/>
      </w:pPr>
      <w:r>
        <w:t xml:space="preserve">comply with relevant health and safety laws. </w:t>
      </w:r>
    </w:p>
    <w:p w14:paraId="395D6513" w14:textId="77777777" w:rsidR="0097489F" w:rsidRDefault="0097489F" w:rsidP="0097489F">
      <w:pPr>
        <w:pStyle w:val="Body"/>
      </w:pPr>
    </w:p>
    <w:p w14:paraId="4EFB6697" w14:textId="6B8B738D" w:rsidR="0097489F" w:rsidRDefault="0097489F" w:rsidP="0097489F">
      <w:pPr>
        <w:pStyle w:val="Body"/>
      </w:pPr>
      <w:r>
        <w:t>Factors the Social Services Regulator will assess when determining the suitability of a premises</w:t>
      </w:r>
      <w:r w:rsidDel="00A87F71">
        <w:t xml:space="preserve"> </w:t>
      </w:r>
      <w:r>
        <w:t xml:space="preserve">are outlined in </w:t>
      </w:r>
      <w:hyperlink w:anchor="_Appendix_2" w:history="1">
        <w:r w:rsidRPr="00571080">
          <w:rPr>
            <w:rStyle w:val="Hyperlink"/>
          </w:rPr>
          <w:t>Appendix 2</w:t>
        </w:r>
      </w:hyperlink>
      <w:r>
        <w:t>.</w:t>
      </w:r>
    </w:p>
    <w:p w14:paraId="1D9B7CC9" w14:textId="77777777" w:rsidR="0097489F" w:rsidRPr="000048BE" w:rsidRDefault="0097489F" w:rsidP="0097489F">
      <w:pPr>
        <w:pStyle w:val="Heading3"/>
        <w:rPr>
          <w:b/>
          <w:bCs w:val="0"/>
        </w:rPr>
      </w:pPr>
      <w:r w:rsidRPr="000048BE">
        <w:rPr>
          <w:b/>
          <w:bCs w:val="0"/>
        </w:rPr>
        <w:t>Operations</w:t>
      </w:r>
    </w:p>
    <w:p w14:paraId="710EDAE5" w14:textId="77777777" w:rsidR="0097489F" w:rsidRPr="00A72FEA" w:rsidRDefault="0097489F" w:rsidP="0097489F">
      <w:pPr>
        <w:pStyle w:val="Heading3"/>
      </w:pPr>
      <w:r w:rsidRPr="006C1ACF">
        <w:t xml:space="preserve">Business </w:t>
      </w:r>
      <w:r>
        <w:t>s</w:t>
      </w:r>
      <w:r w:rsidRPr="006C1ACF">
        <w:t>tructures</w:t>
      </w:r>
    </w:p>
    <w:p w14:paraId="61F08604" w14:textId="77777777" w:rsidR="0097489F" w:rsidRDefault="0097489F" w:rsidP="0097489F">
      <w:pPr>
        <w:pStyle w:val="Body"/>
      </w:pPr>
      <w:r w:rsidRPr="00BD697D">
        <w:t xml:space="preserve">Service providers </w:t>
      </w:r>
      <w:r>
        <w:t>need to</w:t>
      </w:r>
      <w:r w:rsidRPr="00BD697D">
        <w:t xml:space="preserve"> demonstrate that they have appropriate business structures in place to provide social services</w:t>
      </w:r>
      <w:r>
        <w:t>,</w:t>
      </w:r>
      <w:r w:rsidRPr="00BD697D">
        <w:t xml:space="preserve"> in </w:t>
      </w:r>
      <w:r>
        <w:t>line</w:t>
      </w:r>
      <w:r w:rsidRPr="00BD697D">
        <w:t xml:space="preserve"> with the </w:t>
      </w:r>
      <w:r>
        <w:t>Act and the Regulations</w:t>
      </w:r>
      <w:r w:rsidRPr="00BD697D">
        <w:t>.</w:t>
      </w:r>
    </w:p>
    <w:p w14:paraId="635226FC" w14:textId="54C21FE0" w:rsidR="0097489F" w:rsidRDefault="0097489F" w:rsidP="0097489F">
      <w:pPr>
        <w:pStyle w:val="Body"/>
      </w:pPr>
      <w:r>
        <w:t>When registering, service providers need to provide details o</w:t>
      </w:r>
      <w:r w:rsidR="4DECDE65">
        <w:t>f</w:t>
      </w:r>
      <w:r>
        <w:t xml:space="preserve"> trading names, business structures and other relevant details based on the operating structure of the organisation. </w:t>
      </w:r>
    </w:p>
    <w:p w14:paraId="61AE8216" w14:textId="77777777" w:rsidR="0097489F" w:rsidRDefault="0097489F" w:rsidP="0097489F">
      <w:pPr>
        <w:pStyle w:val="Body"/>
      </w:pPr>
      <w:r>
        <w:t>This may include details on being a sole trader or operating as a company or partnership.</w:t>
      </w:r>
    </w:p>
    <w:p w14:paraId="60434979" w14:textId="61489155" w:rsidR="0097489F" w:rsidRDefault="0097489F" w:rsidP="006F2DC3">
      <w:pPr>
        <w:pStyle w:val="Body"/>
      </w:pPr>
      <w:r>
        <w:t xml:space="preserve">Further details on </w:t>
      </w:r>
      <w:r w:rsidRPr="00A72FEA">
        <w:t xml:space="preserve">business </w:t>
      </w:r>
      <w:r>
        <w:t>types and descriptions</w:t>
      </w:r>
      <w:r w:rsidRPr="00A72FEA">
        <w:t xml:space="preserve"> under which service providers may operate</w:t>
      </w:r>
      <w:r>
        <w:t xml:space="preserve"> are outlined in </w:t>
      </w:r>
      <w:hyperlink w:anchor="_Appendix_3" w:history="1">
        <w:r w:rsidRPr="00571080">
          <w:rPr>
            <w:rStyle w:val="Hyperlink"/>
          </w:rPr>
          <w:t>Appendix 3</w:t>
        </w:r>
      </w:hyperlink>
      <w:r>
        <w:t>.</w:t>
      </w:r>
    </w:p>
    <w:p w14:paraId="106699FA" w14:textId="77777777" w:rsidR="0097489F" w:rsidRDefault="0097489F" w:rsidP="0097489F">
      <w:pPr>
        <w:pStyle w:val="Heading3"/>
      </w:pPr>
      <w:r w:rsidRPr="00A72FEA">
        <w:t>Governance</w:t>
      </w:r>
      <w:r>
        <w:t xml:space="preserve"> and operational management s</w:t>
      </w:r>
      <w:r w:rsidRPr="00D554EC">
        <w:t>tructure</w:t>
      </w:r>
      <w:r>
        <w:t>s</w:t>
      </w:r>
    </w:p>
    <w:p w14:paraId="4B2DB854" w14:textId="77777777" w:rsidR="0097489F" w:rsidRDefault="0097489F" w:rsidP="0097489F">
      <w:pPr>
        <w:pStyle w:val="Body"/>
      </w:pPr>
      <w:r>
        <w:t xml:space="preserve">Service providers need to demonstrate they have suitable </w:t>
      </w:r>
      <w:r w:rsidRPr="006D23AF">
        <w:t>governance and operational management structures</w:t>
      </w:r>
      <w:r>
        <w:t xml:space="preserve">. </w:t>
      </w:r>
    </w:p>
    <w:p w14:paraId="3405444F" w14:textId="77777777" w:rsidR="0097489F" w:rsidRDefault="0097489F" w:rsidP="0097489F">
      <w:pPr>
        <w:pStyle w:val="Body"/>
      </w:pPr>
      <w:r>
        <w:t>Governance and operational structures should be appropriate for an organisation, informed by:</w:t>
      </w:r>
    </w:p>
    <w:p w14:paraId="491A63B7" w14:textId="77777777" w:rsidR="0097489F" w:rsidRDefault="0097489F" w:rsidP="0097489F">
      <w:pPr>
        <w:pStyle w:val="Bullet1"/>
      </w:pPr>
      <w:r w:rsidRPr="00A72FEA">
        <w:t>size</w:t>
      </w:r>
      <w:r>
        <w:t>, number of sites, geographic spread and profile</w:t>
      </w:r>
    </w:p>
    <w:p w14:paraId="1470353B" w14:textId="77777777" w:rsidR="0097489F" w:rsidRDefault="0097489F" w:rsidP="0097489F">
      <w:pPr>
        <w:pStyle w:val="Bullet1"/>
      </w:pPr>
      <w:r>
        <w:t>specific requirements based on the service/s provided</w:t>
      </w:r>
    </w:p>
    <w:p w14:paraId="2FB6D26E" w14:textId="77777777" w:rsidR="0097489F" w:rsidRDefault="0097489F" w:rsidP="0097489F">
      <w:pPr>
        <w:pStyle w:val="Bullet1"/>
      </w:pPr>
      <w:r>
        <w:t>complexity of services provided</w:t>
      </w:r>
    </w:p>
    <w:p w14:paraId="13B39011" w14:textId="77777777" w:rsidR="0097489F" w:rsidRDefault="0097489F" w:rsidP="0097489F">
      <w:pPr>
        <w:pStyle w:val="Bullet1"/>
      </w:pPr>
      <w:r>
        <w:lastRenderedPageBreak/>
        <w:t>complexity of service users</w:t>
      </w:r>
    </w:p>
    <w:p w14:paraId="6AAAA84D" w14:textId="77777777" w:rsidR="0097489F" w:rsidRDefault="0097489F" w:rsidP="0097489F">
      <w:pPr>
        <w:pStyle w:val="Bullet1"/>
      </w:pPr>
      <w:r>
        <w:t>risks to service delivery and operations</w:t>
      </w:r>
    </w:p>
    <w:p w14:paraId="300780CB" w14:textId="77777777" w:rsidR="0097489F" w:rsidRDefault="0097489F" w:rsidP="0097489F">
      <w:pPr>
        <w:pStyle w:val="Bullet1"/>
      </w:pPr>
      <w:r>
        <w:t xml:space="preserve">the environment in which services are delivered and </w:t>
      </w:r>
    </w:p>
    <w:p w14:paraId="2AE4B806" w14:textId="77777777" w:rsidR="0097489F" w:rsidRDefault="0097489F" w:rsidP="0097489F">
      <w:pPr>
        <w:pStyle w:val="Bullet1"/>
      </w:pPr>
      <w:r>
        <w:t xml:space="preserve">other relevant circumstances. </w:t>
      </w:r>
    </w:p>
    <w:p w14:paraId="23749493" w14:textId="77777777" w:rsidR="0097489F" w:rsidRDefault="0097489F" w:rsidP="0097489F"/>
    <w:p w14:paraId="74AF92D4" w14:textId="03CF7291" w:rsidR="0097489F" w:rsidRDefault="0097489F" w:rsidP="004C6E29">
      <w:pPr>
        <w:pStyle w:val="Body"/>
      </w:pPr>
      <w:r>
        <w:t xml:space="preserve">See </w:t>
      </w:r>
      <w:hyperlink w:anchor="_Appendix_3.1" w:history="1">
        <w:r w:rsidRPr="003131D8">
          <w:rPr>
            <w:rStyle w:val="Hyperlink"/>
          </w:rPr>
          <w:t>Appendix 3.1</w:t>
        </w:r>
      </w:hyperlink>
      <w:r>
        <w:t xml:space="preserve"> for further details on factors that will be considered by the Social Services Regulator in assessing the suitability of governance arrangements.</w:t>
      </w:r>
    </w:p>
    <w:p w14:paraId="0EA0B260" w14:textId="77777777" w:rsidR="0097489F" w:rsidRDefault="0097489F" w:rsidP="0097489F">
      <w:pPr>
        <w:pStyle w:val="Heading3"/>
      </w:pPr>
      <w:r>
        <w:t>Financial capacity</w:t>
      </w:r>
    </w:p>
    <w:p w14:paraId="45E7BAF5" w14:textId="77777777" w:rsidR="0097489F" w:rsidRDefault="0097489F" w:rsidP="0097489F">
      <w:pPr>
        <w:pStyle w:val="Body"/>
      </w:pPr>
      <w:r w:rsidRPr="008B4782">
        <w:t xml:space="preserve">Service providers </w:t>
      </w:r>
      <w:r>
        <w:t xml:space="preserve">need to </w:t>
      </w:r>
      <w:r w:rsidRPr="008B4782">
        <w:t xml:space="preserve">demonstrate that they have financial capacity to provide social services in </w:t>
      </w:r>
      <w:r>
        <w:t>line</w:t>
      </w:r>
      <w:r w:rsidRPr="008B4782">
        <w:t xml:space="preserve"> with the Act</w:t>
      </w:r>
      <w:r>
        <w:t xml:space="preserve"> and Regulations.</w:t>
      </w:r>
    </w:p>
    <w:p w14:paraId="65FC17AD" w14:textId="77777777" w:rsidR="0097489F" w:rsidRDefault="0097489F" w:rsidP="0097489F">
      <w:pPr>
        <w:pStyle w:val="Body"/>
      </w:pPr>
      <w:r w:rsidRPr="00FB5A6C">
        <w:t>The information requested in the registration form will vary, as some service providers may have previously provided relevant information to the Human Services Regulator or as part of their DFFH funding arrangement. In these cases, information already provided will not be requested again.</w:t>
      </w:r>
    </w:p>
    <w:p w14:paraId="13253D6A" w14:textId="77777777" w:rsidR="0097489F" w:rsidRPr="000F721E" w:rsidRDefault="0097489F" w:rsidP="0097489F">
      <w:pPr>
        <w:pStyle w:val="Body"/>
        <w:rPr>
          <w:rFonts w:cs="Arial"/>
          <w:szCs w:val="21"/>
        </w:rPr>
      </w:pPr>
      <w:r w:rsidRPr="000F721E">
        <w:rPr>
          <w:rFonts w:cs="Arial"/>
          <w:szCs w:val="21"/>
        </w:rPr>
        <w:t>In all c</w:t>
      </w:r>
      <w:r>
        <w:rPr>
          <w:rFonts w:cs="Arial"/>
          <w:szCs w:val="21"/>
        </w:rPr>
        <w:t>ase</w:t>
      </w:r>
      <w:r w:rsidRPr="000F721E">
        <w:rPr>
          <w:rFonts w:cs="Arial"/>
          <w:szCs w:val="21"/>
        </w:rPr>
        <w:t xml:space="preserve">s, the Social Services Regulator will seek information about how the service provider is funded, and how current assets and liabilities may impact service delivery. </w:t>
      </w:r>
    </w:p>
    <w:p w14:paraId="16B1BEC3" w14:textId="77777777" w:rsidR="0097489F" w:rsidRPr="000F721E" w:rsidRDefault="0097489F" w:rsidP="0097489F">
      <w:pPr>
        <w:pStyle w:val="Body"/>
        <w:rPr>
          <w:rFonts w:cs="Arial"/>
          <w:szCs w:val="21"/>
        </w:rPr>
      </w:pPr>
      <w:r w:rsidRPr="000F721E">
        <w:rPr>
          <w:rFonts w:cs="Arial"/>
          <w:szCs w:val="21"/>
        </w:rPr>
        <w:t xml:space="preserve">Service providers </w:t>
      </w:r>
      <w:r>
        <w:rPr>
          <w:rFonts w:cs="Arial"/>
          <w:szCs w:val="21"/>
        </w:rPr>
        <w:t>not funded by DFFH may</w:t>
      </w:r>
      <w:r w:rsidRPr="000F721E">
        <w:rPr>
          <w:rFonts w:cs="Arial"/>
          <w:szCs w:val="21"/>
        </w:rPr>
        <w:t xml:space="preserve"> be requested to submit documents to demonstrate financial capacity, including:</w:t>
      </w:r>
    </w:p>
    <w:p w14:paraId="3BEFFB9B" w14:textId="77777777" w:rsidR="0097489F" w:rsidRPr="007548B3" w:rsidRDefault="0097489F" w:rsidP="00DF6D37">
      <w:pPr>
        <w:pStyle w:val="Bullet1"/>
        <w:numPr>
          <w:ilvl w:val="0"/>
          <w:numId w:val="26"/>
        </w:numPr>
      </w:pPr>
      <w:r>
        <w:t>c</w:t>
      </w:r>
      <w:r w:rsidRPr="007548B3">
        <w:t>ashflow projection</w:t>
      </w:r>
    </w:p>
    <w:p w14:paraId="00944F11" w14:textId="77777777" w:rsidR="0097489F" w:rsidRPr="007548B3" w:rsidRDefault="0097489F" w:rsidP="00DF6D37">
      <w:pPr>
        <w:pStyle w:val="Bullet1"/>
        <w:numPr>
          <w:ilvl w:val="0"/>
          <w:numId w:val="26"/>
        </w:numPr>
      </w:pPr>
      <w:r>
        <w:t>b</w:t>
      </w:r>
      <w:r w:rsidRPr="007548B3">
        <w:t>ank statements</w:t>
      </w:r>
    </w:p>
    <w:p w14:paraId="54A9E5EA" w14:textId="77777777" w:rsidR="0097489F" w:rsidRPr="007548B3" w:rsidRDefault="0097489F" w:rsidP="00DF6D37">
      <w:pPr>
        <w:pStyle w:val="Bullet1"/>
        <w:numPr>
          <w:ilvl w:val="0"/>
          <w:numId w:val="26"/>
        </w:numPr>
      </w:pPr>
      <w:r>
        <w:t>l</w:t>
      </w:r>
      <w:r w:rsidRPr="007548B3">
        <w:t>oan agreements</w:t>
      </w:r>
    </w:p>
    <w:p w14:paraId="14E61854" w14:textId="77777777" w:rsidR="0097489F" w:rsidRPr="007548B3" w:rsidRDefault="0097489F" w:rsidP="00DF6D37">
      <w:pPr>
        <w:pStyle w:val="Bullet1"/>
        <w:numPr>
          <w:ilvl w:val="0"/>
          <w:numId w:val="26"/>
        </w:numPr>
      </w:pPr>
      <w:r>
        <w:t>c</w:t>
      </w:r>
      <w:r w:rsidRPr="007548B3">
        <w:t>ontracts of sale and lease agreements</w:t>
      </w:r>
    </w:p>
    <w:p w14:paraId="5A40170C" w14:textId="77777777" w:rsidR="0097489F" w:rsidRPr="007548B3" w:rsidRDefault="0097489F" w:rsidP="00DF6D37">
      <w:pPr>
        <w:pStyle w:val="Bullet1"/>
        <w:numPr>
          <w:ilvl w:val="0"/>
          <w:numId w:val="26"/>
        </w:numPr>
      </w:pPr>
      <w:r>
        <w:t>a</w:t>
      </w:r>
      <w:r w:rsidRPr="007548B3">
        <w:t>udited financial reports</w:t>
      </w:r>
    </w:p>
    <w:p w14:paraId="67C0FA9A" w14:textId="77777777" w:rsidR="0097489F" w:rsidRPr="007548B3" w:rsidRDefault="0097489F" w:rsidP="00DF6D37">
      <w:pPr>
        <w:pStyle w:val="Bullet1"/>
        <w:numPr>
          <w:ilvl w:val="0"/>
          <w:numId w:val="26"/>
        </w:numPr>
      </w:pPr>
      <w:r>
        <w:t>b</w:t>
      </w:r>
      <w:r w:rsidRPr="007548B3">
        <w:t>alance sheets</w:t>
      </w:r>
    </w:p>
    <w:p w14:paraId="715ADE94" w14:textId="77777777" w:rsidR="0097489F" w:rsidRPr="007548B3" w:rsidRDefault="0097489F" w:rsidP="00DF6D37">
      <w:pPr>
        <w:pStyle w:val="Bullet1"/>
        <w:numPr>
          <w:ilvl w:val="0"/>
          <w:numId w:val="26"/>
        </w:numPr>
      </w:pPr>
      <w:r>
        <w:t>p</w:t>
      </w:r>
      <w:r w:rsidRPr="007548B3">
        <w:t>rofit/loss statements</w:t>
      </w:r>
    </w:p>
    <w:p w14:paraId="4619BE8A" w14:textId="77777777" w:rsidR="0097489F" w:rsidRPr="007548B3" w:rsidRDefault="0097489F" w:rsidP="00DF6D37">
      <w:pPr>
        <w:pStyle w:val="Bullet1"/>
        <w:numPr>
          <w:ilvl w:val="0"/>
          <w:numId w:val="26"/>
        </w:numPr>
      </w:pPr>
      <w:r>
        <w:t>f</w:t>
      </w:r>
      <w:r w:rsidRPr="007548B3">
        <w:t>ee structure</w:t>
      </w:r>
    </w:p>
    <w:p w14:paraId="64AF87D3" w14:textId="77777777" w:rsidR="0097489F" w:rsidRPr="00D20E6E" w:rsidRDefault="0097489F" w:rsidP="00DF6D37">
      <w:pPr>
        <w:pStyle w:val="Bullet1"/>
        <w:numPr>
          <w:ilvl w:val="0"/>
          <w:numId w:val="26"/>
        </w:numPr>
      </w:pPr>
      <w:r>
        <w:t>monthly profit and loss projections</w:t>
      </w:r>
    </w:p>
    <w:p w14:paraId="3CFAA5BC" w14:textId="77777777" w:rsidR="0097489F" w:rsidRDefault="0097489F" w:rsidP="00DF6D37">
      <w:pPr>
        <w:pStyle w:val="Bullet1"/>
        <w:numPr>
          <w:ilvl w:val="0"/>
          <w:numId w:val="26"/>
        </w:numPr>
      </w:pPr>
      <w:r>
        <w:t>f</w:t>
      </w:r>
      <w:r w:rsidRPr="007548B3">
        <w:t>inancial capacity materials and submissions made to other regulators</w:t>
      </w:r>
      <w:r>
        <w:t>.</w:t>
      </w:r>
    </w:p>
    <w:p w14:paraId="76B4EF57" w14:textId="77777777" w:rsidR="0097489F" w:rsidRDefault="0097489F" w:rsidP="0097489F"/>
    <w:p w14:paraId="69E169DF" w14:textId="4316A9CB" w:rsidR="0097489F" w:rsidRDefault="0097489F" w:rsidP="0097489F">
      <w:r>
        <w:t xml:space="preserve">For further information on providing information demonstrating suitable financial capacity, go to </w:t>
      </w:r>
      <w:hyperlink w:anchor="_Appendix_3.2" w:history="1">
        <w:r w:rsidRPr="003131D8">
          <w:rPr>
            <w:rStyle w:val="Hyperlink"/>
          </w:rPr>
          <w:t>Appendix 3.2</w:t>
        </w:r>
      </w:hyperlink>
      <w:r>
        <w:t>.</w:t>
      </w:r>
    </w:p>
    <w:p w14:paraId="07A791F1" w14:textId="77777777" w:rsidR="0097489F" w:rsidRDefault="0097489F" w:rsidP="0097489F">
      <w:pPr>
        <w:pStyle w:val="Heading2"/>
      </w:pPr>
      <w:r>
        <w:t>Are there any other suitability requirements I should know about?</w:t>
      </w:r>
    </w:p>
    <w:p w14:paraId="42967CAE" w14:textId="401AAF10" w:rsidR="0097489F" w:rsidRDefault="0097489F" w:rsidP="0097489F">
      <w:pPr>
        <w:pStyle w:val="Heading3"/>
      </w:pPr>
      <w:bookmarkStart w:id="3" w:name="_Foster__care,"/>
      <w:bookmarkEnd w:id="3"/>
      <w:r>
        <w:t>Foster care</w:t>
      </w:r>
      <w:r w:rsidR="00CA15E3">
        <w:t xml:space="preserve">, </w:t>
      </w:r>
      <w:r w:rsidR="00CA15E3" w:rsidRPr="00CA15E3">
        <w:t>out</w:t>
      </w:r>
      <w:r w:rsidR="00CA15E3">
        <w:t>-</w:t>
      </w:r>
      <w:r w:rsidR="00CA15E3" w:rsidRPr="00CA15E3">
        <w:t>of</w:t>
      </w:r>
      <w:r w:rsidR="00CA15E3">
        <w:t>-</w:t>
      </w:r>
      <w:r w:rsidR="00CA15E3" w:rsidRPr="00CA15E3">
        <w:t>home care and secure welfare</w:t>
      </w:r>
      <w:r>
        <w:t xml:space="preserve"> services</w:t>
      </w:r>
    </w:p>
    <w:p w14:paraId="2239E68B" w14:textId="77777777" w:rsidR="0097489F" w:rsidRPr="00171A35" w:rsidRDefault="0097489F" w:rsidP="004C6E29">
      <w:pPr>
        <w:pStyle w:val="Body"/>
      </w:pPr>
      <w:r w:rsidRPr="00171A35">
        <w:t xml:space="preserve">Service providers must ensure </w:t>
      </w:r>
      <w:r>
        <w:t xml:space="preserve">the suitability of </w:t>
      </w:r>
      <w:r w:rsidRPr="00171A35">
        <w:t>carers that are approved, employed or engaged to provide foster care, out</w:t>
      </w:r>
      <w:r>
        <w:t>-</w:t>
      </w:r>
      <w:r w:rsidRPr="00171A35">
        <w:t>of</w:t>
      </w:r>
      <w:r>
        <w:t>-</w:t>
      </w:r>
      <w:r w:rsidRPr="00171A35">
        <w:t xml:space="preserve">home care, or care in secure welfare to children. </w:t>
      </w:r>
    </w:p>
    <w:p w14:paraId="224E3957" w14:textId="77777777" w:rsidR="0097489F" w:rsidRPr="00171A35" w:rsidRDefault="0097489F" w:rsidP="004C6E29">
      <w:pPr>
        <w:pStyle w:val="Body"/>
      </w:pPr>
      <w:r w:rsidRPr="00171A35">
        <w:t xml:space="preserve">A provider of a foster care service must have systems and processes in place to ensure that the </w:t>
      </w:r>
      <w:r>
        <w:t xml:space="preserve">service </w:t>
      </w:r>
      <w:r w:rsidRPr="00171A35">
        <w:t>provider considers specific matters when approving a person to act as a foster carer</w:t>
      </w:r>
      <w:r>
        <w:rPr>
          <w:rStyle w:val="FootnoteReference"/>
        </w:rPr>
        <w:footnoteReference w:id="7"/>
      </w:r>
      <w:r w:rsidRPr="00171A35">
        <w:t xml:space="preserve">. </w:t>
      </w:r>
    </w:p>
    <w:p w14:paraId="2DFA8617" w14:textId="77777777" w:rsidR="0097489F" w:rsidRPr="00171A35" w:rsidRDefault="0097489F" w:rsidP="0097489F">
      <w:pPr>
        <w:pStyle w:val="Body"/>
      </w:pPr>
      <w:r>
        <w:lastRenderedPageBreak/>
        <w:t>A</w:t>
      </w:r>
      <w:r w:rsidRPr="00171A35">
        <w:t xml:space="preserve"> provider of an out</w:t>
      </w:r>
      <w:r>
        <w:t>-</w:t>
      </w:r>
      <w:r w:rsidRPr="00171A35">
        <w:t>of</w:t>
      </w:r>
      <w:r>
        <w:t>-</w:t>
      </w:r>
      <w:r w:rsidRPr="00171A35">
        <w:t xml:space="preserve">home care service or a secure welfare service must </w:t>
      </w:r>
      <w:r>
        <w:t xml:space="preserve">also </w:t>
      </w:r>
      <w:r w:rsidRPr="00171A35">
        <w:t>have systems and processes</w:t>
      </w:r>
      <w:r>
        <w:rPr>
          <w:rStyle w:val="FootnoteReference"/>
        </w:rPr>
        <w:footnoteReference w:id="8"/>
      </w:r>
      <w:r w:rsidRPr="00171A35">
        <w:t xml:space="preserve"> to ensure that the </w:t>
      </w:r>
      <w:r>
        <w:t xml:space="preserve">service </w:t>
      </w:r>
      <w:r w:rsidRPr="00171A35">
        <w:t>provider considers a range of factors when employing or engaging a person to provide:</w:t>
      </w:r>
    </w:p>
    <w:p w14:paraId="7EF6DEC4" w14:textId="77777777" w:rsidR="0097489F" w:rsidRPr="00171A35" w:rsidRDefault="0097489F" w:rsidP="004C6E29">
      <w:pPr>
        <w:pStyle w:val="Bullet1"/>
      </w:pPr>
      <w:r w:rsidRPr="00171A35">
        <w:t>a service caring for children in an out</w:t>
      </w:r>
      <w:r>
        <w:t>-</w:t>
      </w:r>
      <w:r w:rsidRPr="00171A35">
        <w:t>of</w:t>
      </w:r>
      <w:r>
        <w:t>-</w:t>
      </w:r>
      <w:r w:rsidRPr="00171A35">
        <w:t>home care residence managed by the provider</w:t>
      </w:r>
    </w:p>
    <w:p w14:paraId="5FCD112B" w14:textId="77777777" w:rsidR="0097489F" w:rsidRPr="00171A35" w:rsidRDefault="0097489F" w:rsidP="004C6E29">
      <w:pPr>
        <w:pStyle w:val="Bullet1"/>
      </w:pPr>
      <w:r w:rsidRPr="00171A35">
        <w:t>services to children at out</w:t>
      </w:r>
      <w:r>
        <w:t>-</w:t>
      </w:r>
      <w:r w:rsidRPr="00171A35">
        <w:t>of</w:t>
      </w:r>
      <w:r>
        <w:t>-</w:t>
      </w:r>
      <w:r w:rsidRPr="00171A35">
        <w:t>home care</w:t>
      </w:r>
    </w:p>
    <w:p w14:paraId="59188426" w14:textId="77777777" w:rsidR="0097489F" w:rsidRPr="00171A35" w:rsidRDefault="0097489F" w:rsidP="004C6E29">
      <w:pPr>
        <w:pStyle w:val="Bullet1"/>
      </w:pPr>
      <w:r w:rsidRPr="00171A35">
        <w:t>a service caring for children at the secure welfare service</w:t>
      </w:r>
    </w:p>
    <w:p w14:paraId="1C92845E" w14:textId="77777777" w:rsidR="0097489F" w:rsidRPr="00171A35" w:rsidRDefault="0097489F" w:rsidP="004C6E29">
      <w:pPr>
        <w:pStyle w:val="Bullet1"/>
      </w:pPr>
      <w:r w:rsidRPr="00171A35">
        <w:t xml:space="preserve">services to children at the secure welfare service. </w:t>
      </w:r>
    </w:p>
    <w:p w14:paraId="3BECC677" w14:textId="77777777" w:rsidR="0097489F" w:rsidRDefault="0097489F" w:rsidP="0097489F"/>
    <w:p w14:paraId="19895E9A" w14:textId="6A3B933A" w:rsidR="0097489F" w:rsidRDefault="0097489F" w:rsidP="0097489F">
      <w:r>
        <w:t xml:space="preserve">Further details on how to demonstrate suitability for this requirement are in </w:t>
      </w:r>
      <w:hyperlink w:anchor="_Appendix_4" w:history="1">
        <w:r w:rsidRPr="00022065">
          <w:rPr>
            <w:rStyle w:val="Hyperlink"/>
          </w:rPr>
          <w:t>Appendix 4</w:t>
        </w:r>
      </w:hyperlink>
      <w:r>
        <w:t>.</w:t>
      </w:r>
    </w:p>
    <w:p w14:paraId="45FEE7A7" w14:textId="77777777" w:rsidR="0097489F" w:rsidRDefault="0097489F" w:rsidP="0097489F">
      <w:pPr>
        <w:pStyle w:val="Heading2"/>
      </w:pPr>
      <w:r>
        <w:t>What should I do if I have questions?</w:t>
      </w:r>
    </w:p>
    <w:p w14:paraId="5F09C3DD" w14:textId="6547270D" w:rsidR="0097489F" w:rsidRDefault="006F2DC3" w:rsidP="0097489F">
      <w:pPr>
        <w:spacing w:after="0" w:line="240" w:lineRule="auto"/>
      </w:pPr>
      <w:r>
        <w:t>I</w:t>
      </w:r>
      <w:r w:rsidR="0097489F">
        <w:t xml:space="preserve">nformation </w:t>
      </w:r>
      <w:r>
        <w:t>about</w:t>
      </w:r>
      <w:r w:rsidR="0097489F">
        <w:t xml:space="preserve"> the registration process </w:t>
      </w:r>
      <w:r>
        <w:t xml:space="preserve">is </w:t>
      </w:r>
      <w:r w:rsidR="0097489F">
        <w:t>at &lt;</w:t>
      </w:r>
      <w:r w:rsidR="0097489F" w:rsidRPr="008066CE">
        <w:t xml:space="preserve"> </w:t>
      </w:r>
      <w:hyperlink r:id="rId20" w:history="1">
        <w:r w:rsidR="0097489F">
          <w:rPr>
            <w:rStyle w:val="Hyperlink"/>
            <w:rFonts w:eastAsia="MS Gothic"/>
          </w:rPr>
          <w:t>Social Services Regulator registration | vic.gov.au (www.vic.gov.au)</w:t>
        </w:r>
      </w:hyperlink>
      <w:r w:rsidR="0097489F">
        <w:t>&gt;</w:t>
      </w:r>
    </w:p>
    <w:p w14:paraId="3783205F" w14:textId="77777777" w:rsidR="006F2DC3" w:rsidRDefault="006F2DC3" w:rsidP="0097489F">
      <w:pPr>
        <w:pStyle w:val="Bullet1"/>
        <w:numPr>
          <w:ilvl w:val="0"/>
          <w:numId w:val="0"/>
        </w:numPr>
        <w:ind w:left="284" w:hanging="284"/>
      </w:pPr>
    </w:p>
    <w:p w14:paraId="14ABD918" w14:textId="2E100456" w:rsidR="0097489F" w:rsidRDefault="0097489F" w:rsidP="004C6E29">
      <w:pPr>
        <w:pStyle w:val="Body"/>
      </w:pPr>
      <w:r>
        <w:t>For further enquiries you can contact the Social Services Regulator by email:</w:t>
      </w:r>
    </w:p>
    <w:p w14:paraId="7274FD1F" w14:textId="07B624D7" w:rsidR="00905108" w:rsidRDefault="00B21094" w:rsidP="0097489F">
      <w:hyperlink r:id="rId21" w:history="1">
        <w:r w:rsidR="0097489F" w:rsidRPr="00BF1F39">
          <w:rPr>
            <w:rStyle w:val="Hyperlink"/>
          </w:rPr>
          <w:t>Email the Social Services Regulator</w:t>
        </w:r>
      </w:hyperlink>
      <w:r w:rsidR="0097489F">
        <w:t xml:space="preserve"> </w:t>
      </w:r>
      <w:hyperlink r:id="rId22" w:history="1">
        <w:r w:rsidR="00905108" w:rsidRPr="00424B05">
          <w:rPr>
            <w:rStyle w:val="Hyperlink"/>
          </w:rPr>
          <w:t>enquiries@ssr.vic.gov.au</w:t>
        </w:r>
      </w:hyperlink>
    </w:p>
    <w:p w14:paraId="1A066F65" w14:textId="77777777" w:rsidR="00905108" w:rsidRDefault="00905108" w:rsidP="0097489F"/>
    <w:p w14:paraId="192D232E" w14:textId="282311F9" w:rsidR="00905108" w:rsidRDefault="00E82285" w:rsidP="00905108">
      <w:pPr>
        <w:pStyle w:val="Heading2"/>
      </w:pPr>
      <w:bookmarkStart w:id="4" w:name="_Ongoing_requirements"/>
      <w:bookmarkEnd w:id="4"/>
      <w:r>
        <w:t>O</w:t>
      </w:r>
      <w:r w:rsidR="00905108">
        <w:t>ngoing requirements</w:t>
      </w:r>
    </w:p>
    <w:p w14:paraId="583ABD59" w14:textId="6FF59DC8" w:rsidR="00905108" w:rsidRDefault="00905108" w:rsidP="0097489F">
      <w:r>
        <w:t>Registered social service providers must meet the six Social Services Standards</w:t>
      </w:r>
      <w:r w:rsidR="0046435C">
        <w:t xml:space="preserve">. This is an ongoing requirement of the new </w:t>
      </w:r>
      <w:r w:rsidR="00033B37">
        <w:t>regulatory framework</w:t>
      </w:r>
      <w:r w:rsidR="0046435C">
        <w:t>.</w:t>
      </w:r>
    </w:p>
    <w:p w14:paraId="489A1FB4" w14:textId="4BEE2B22" w:rsidR="007724C1" w:rsidRPr="00F04407" w:rsidRDefault="007724C1" w:rsidP="007724C1">
      <w:pPr>
        <w:pStyle w:val="Bullet1"/>
      </w:pPr>
      <w:r>
        <w:t xml:space="preserve">Review the tables in the Appendix of each Social Services Standard’s information sheet. The tables suggest documents, other evidence and indicators of success that will help </w:t>
      </w:r>
      <w:r w:rsidR="00760453">
        <w:t>service providers</w:t>
      </w:r>
      <w:r>
        <w:t xml:space="preserve"> meet the service requirements.</w:t>
      </w:r>
    </w:p>
    <w:p w14:paraId="5BBF0572" w14:textId="77777777" w:rsidR="007724C1" w:rsidRPr="00DA48AB" w:rsidRDefault="007724C1" w:rsidP="007724C1">
      <w:pPr>
        <w:pStyle w:val="Bullet1"/>
      </w:pPr>
      <w:r>
        <w:t xml:space="preserve">Available on </w:t>
      </w:r>
      <w:r>
        <w:rPr>
          <w:lang w:eastAsia="en-AU"/>
        </w:rPr>
        <w:t xml:space="preserve">the </w:t>
      </w:r>
      <w:hyperlink r:id="rId23" w:history="1">
        <w:r w:rsidRPr="00380884">
          <w:rPr>
            <w:rStyle w:val="Hyperlink"/>
            <w:lang w:eastAsia="en-AU"/>
          </w:rPr>
          <w:t>Social Services Regulator’s Guidance material webpage</w:t>
        </w:r>
      </w:hyperlink>
      <w:r>
        <w:rPr>
          <w:lang w:eastAsia="en-AU"/>
        </w:rPr>
        <w:t xml:space="preserve"> &lt;</w:t>
      </w:r>
      <w:r w:rsidRPr="00380884">
        <w:rPr>
          <w:lang w:eastAsia="en-AU"/>
        </w:rPr>
        <w:t>https://www.vic.gov.au/social-services-regulator-guidance-material</w:t>
      </w:r>
      <w:r>
        <w:rPr>
          <w:lang w:eastAsia="en-AU"/>
        </w:rPr>
        <w:t>&gt;.</w:t>
      </w:r>
    </w:p>
    <w:p w14:paraId="403FABF6" w14:textId="77777777" w:rsidR="00905108" w:rsidRDefault="00905108" w:rsidP="0097489F"/>
    <w:p w14:paraId="0A4E4BC4" w14:textId="6C90C2EB" w:rsidR="00AC4320" w:rsidRDefault="00EE5BEA" w:rsidP="0097489F">
      <w:r>
        <w:t>A</w:t>
      </w:r>
      <w:r w:rsidRPr="00EE5BEA">
        <w:t>ll registered providers have requirements to notify the Regulator about certain things</w:t>
      </w:r>
      <w:r w:rsidR="00D56A5F">
        <w:t>.</w:t>
      </w:r>
      <w:r w:rsidR="00FF1333">
        <w:t xml:space="preserve"> For more information go to</w:t>
      </w:r>
      <w:r w:rsidR="006B4EA4">
        <w:t xml:space="preserve"> </w:t>
      </w:r>
      <w:r w:rsidR="00DA5F6E">
        <w:t>&lt;</w:t>
      </w:r>
      <w:hyperlink r:id="rId24" w:history="1">
        <w:r w:rsidR="00DA5F6E" w:rsidRPr="006B4EA4">
          <w:rPr>
            <w:rStyle w:val="Hyperlink"/>
          </w:rPr>
          <w:t>https://www.vic.gov.au/ssr-reporting-notifiable-incident</w:t>
        </w:r>
      </w:hyperlink>
      <w:r w:rsidR="00DA5F6E">
        <w:t>&gt;</w:t>
      </w:r>
    </w:p>
    <w:p w14:paraId="1FB41F19" w14:textId="03EC3EAD" w:rsidR="0097489F" w:rsidRDefault="0097489F" w:rsidP="0097489F">
      <w:r>
        <w:br w:type="page"/>
      </w:r>
    </w:p>
    <w:p w14:paraId="6A67A293" w14:textId="77777777" w:rsidR="00F8097E" w:rsidRPr="000E43B6" w:rsidRDefault="00F8097E" w:rsidP="00F8097E">
      <w:pPr>
        <w:pStyle w:val="Heading2"/>
      </w:pPr>
      <w:bookmarkStart w:id="5" w:name="_Appendix_1"/>
      <w:bookmarkEnd w:id="5"/>
      <w:r w:rsidRPr="000E43B6">
        <w:lastRenderedPageBreak/>
        <w:t>Appendix 1</w:t>
      </w:r>
    </w:p>
    <w:p w14:paraId="24D4D638" w14:textId="77777777" w:rsidR="00F8097E" w:rsidRPr="004635A3" w:rsidRDefault="00F8097E" w:rsidP="00F8097E">
      <w:pPr>
        <w:pStyle w:val="Heading3"/>
        <w:rPr>
          <w:b/>
          <w:bCs w:val="0"/>
        </w:rPr>
      </w:pPr>
      <w:bookmarkStart w:id="6" w:name="_Key_personnel_1"/>
      <w:bookmarkEnd w:id="6"/>
      <w:r w:rsidRPr="004635A3">
        <w:rPr>
          <w:b/>
          <w:bCs w:val="0"/>
        </w:rPr>
        <w:t>Key personnel</w:t>
      </w:r>
    </w:p>
    <w:p w14:paraId="142ADCA4" w14:textId="77777777" w:rsidR="00F8097E" w:rsidRDefault="00F8097E" w:rsidP="00F8097E">
      <w:pPr>
        <w:pStyle w:val="Body"/>
      </w:pPr>
      <w:r w:rsidRPr="00E21A98">
        <w:t xml:space="preserve">Key personnel is defined in </w:t>
      </w:r>
      <w:r>
        <w:t>Regulation</w:t>
      </w:r>
      <w:r w:rsidRPr="00E21A98">
        <w:t xml:space="preserve"> 12 </w:t>
      </w:r>
      <w:r>
        <w:t xml:space="preserve">as </w:t>
      </w:r>
      <w:r w:rsidRPr="00E21A98">
        <w:t xml:space="preserve">a member of the group of persons who is responsible for the executive decisions of the </w:t>
      </w:r>
      <w:r>
        <w:t>provider.</w:t>
      </w:r>
    </w:p>
    <w:p w14:paraId="4B5F3F31" w14:textId="77777777" w:rsidR="00F8097E" w:rsidRDefault="00F8097E" w:rsidP="00F8097E">
      <w:pPr>
        <w:pStyle w:val="Body"/>
      </w:pPr>
      <w:r>
        <w:t>Key personnel are involved in shared decision-making relating to the service provider’s strategic direction, finance, governance and risk. They may also be responsible for day-to-day management.</w:t>
      </w:r>
    </w:p>
    <w:p w14:paraId="20081CCF" w14:textId="77777777" w:rsidR="00F8097E" w:rsidRDefault="00F8097E" w:rsidP="00F8097E">
      <w:pPr>
        <w:pStyle w:val="Body"/>
      </w:pPr>
      <w:r>
        <w:t>To support a service provider to identify the key personnel in their organisation, Table 1 provides information on service provider type and key personnel.</w:t>
      </w:r>
    </w:p>
    <w:p w14:paraId="7245FB27" w14:textId="77777777" w:rsidR="00F8097E" w:rsidRPr="007354D4" w:rsidRDefault="00F8097E" w:rsidP="00F8097E">
      <w:pPr>
        <w:pStyle w:val="Heading4"/>
      </w:pPr>
      <w:r w:rsidRPr="007354D4">
        <w:t>Table 1</w:t>
      </w:r>
    </w:p>
    <w:tbl>
      <w:tblPr>
        <w:tblStyle w:val="TableGrid"/>
        <w:tblW w:w="5000" w:type="pct"/>
        <w:tblLook w:val="04A0" w:firstRow="1" w:lastRow="0" w:firstColumn="1" w:lastColumn="0" w:noHBand="0" w:noVBand="1"/>
      </w:tblPr>
      <w:tblGrid>
        <w:gridCol w:w="2881"/>
        <w:gridCol w:w="7313"/>
      </w:tblGrid>
      <w:tr w:rsidR="00F8097E" w:rsidRPr="00ED1AFE" w14:paraId="203C978E" w14:textId="77777777" w:rsidTr="004C6E29">
        <w:trPr>
          <w:trHeight w:val="300"/>
        </w:trPr>
        <w:tc>
          <w:tcPr>
            <w:tcW w:w="1413" w:type="pct"/>
            <w:hideMark/>
          </w:tcPr>
          <w:p w14:paraId="01C0EBBA" w14:textId="77777777" w:rsidR="00F8097E" w:rsidRPr="00ED1AFE" w:rsidRDefault="00F8097E">
            <w:pPr>
              <w:pStyle w:val="Tablecolhead"/>
              <w:rPr>
                <w:lang w:eastAsia="en-AU"/>
              </w:rPr>
            </w:pPr>
            <w:r w:rsidRPr="00ED1AFE">
              <w:rPr>
                <w:lang w:eastAsia="en-AU"/>
              </w:rPr>
              <w:t>Service provider type</w:t>
            </w:r>
            <w:r w:rsidRPr="00ED1AFE">
              <w:rPr>
                <w:rFonts w:ascii="Cambria" w:hAnsi="Cambria" w:cs="Cambria"/>
                <w:lang w:eastAsia="en-AU"/>
              </w:rPr>
              <w:t> </w:t>
            </w:r>
          </w:p>
        </w:tc>
        <w:tc>
          <w:tcPr>
            <w:tcW w:w="3587" w:type="pct"/>
            <w:hideMark/>
          </w:tcPr>
          <w:p w14:paraId="611FE90E" w14:textId="77777777" w:rsidR="00F8097E" w:rsidRPr="00ED1AFE" w:rsidRDefault="00F8097E">
            <w:pPr>
              <w:pStyle w:val="Tablecolhead"/>
              <w:rPr>
                <w:lang w:eastAsia="en-AU"/>
              </w:rPr>
            </w:pPr>
            <w:r w:rsidRPr="00ED1AFE">
              <w:rPr>
                <w:lang w:eastAsia="en-AU"/>
              </w:rPr>
              <w:t>Key personnel description</w:t>
            </w:r>
          </w:p>
        </w:tc>
      </w:tr>
      <w:tr w:rsidR="00F8097E" w:rsidRPr="00ED1AFE" w14:paraId="526CAB97" w14:textId="77777777" w:rsidTr="004C6E29">
        <w:trPr>
          <w:trHeight w:val="300"/>
        </w:trPr>
        <w:tc>
          <w:tcPr>
            <w:tcW w:w="1413" w:type="pct"/>
            <w:hideMark/>
          </w:tcPr>
          <w:p w14:paraId="4F8EE86B" w14:textId="77777777" w:rsidR="00F8097E" w:rsidRPr="00EF02C5" w:rsidRDefault="00F8097E">
            <w:pPr>
              <w:pStyle w:val="Tabletext"/>
              <w:rPr>
                <w:b/>
                <w:bCs/>
                <w:lang w:eastAsia="en-AU"/>
              </w:rPr>
            </w:pPr>
            <w:r w:rsidRPr="00EF02C5">
              <w:rPr>
                <w:b/>
                <w:bCs/>
                <w:lang w:eastAsia="en-AU"/>
              </w:rPr>
              <w:t>Body corporate</w:t>
            </w:r>
            <w:r w:rsidRPr="00EF02C5">
              <w:rPr>
                <w:rFonts w:ascii="Cambria" w:hAnsi="Cambria" w:cs="Cambria"/>
                <w:b/>
                <w:bCs/>
                <w:szCs w:val="21"/>
                <w:lang w:eastAsia="en-AU"/>
              </w:rPr>
              <w:t> </w:t>
            </w:r>
          </w:p>
        </w:tc>
        <w:tc>
          <w:tcPr>
            <w:tcW w:w="3587" w:type="pct"/>
            <w:hideMark/>
          </w:tcPr>
          <w:p w14:paraId="387735CD" w14:textId="77777777" w:rsidR="00F8097E" w:rsidRPr="00F11DB2" w:rsidRDefault="00F8097E" w:rsidP="004C6E29">
            <w:pPr>
              <w:pStyle w:val="Tablebullet1"/>
              <w:rPr>
                <w:lang w:eastAsia="en-AU"/>
              </w:rPr>
            </w:pPr>
            <w:r>
              <w:rPr>
                <w:lang w:eastAsia="en-AU"/>
              </w:rPr>
              <w:t>a</w:t>
            </w:r>
            <w:r w:rsidRPr="00F11DB2">
              <w:rPr>
                <w:lang w:eastAsia="en-AU"/>
              </w:rPr>
              <w:t xml:space="preserve"> director or secretary of the body corporate and each person who is empowered to exercise control over the affairs of the body corporate; or</w:t>
            </w:r>
          </w:p>
          <w:p w14:paraId="5057C6A6" w14:textId="2961D333" w:rsidR="00F8097E" w:rsidRPr="004C6E29" w:rsidRDefault="00F8097E" w:rsidP="004C6E29">
            <w:pPr>
              <w:pStyle w:val="Tablebullet1"/>
            </w:pPr>
            <w:r w:rsidRPr="4D5500B1">
              <w:rPr>
                <w:lang w:eastAsia="en-AU"/>
              </w:rPr>
              <w:t>a member of the provider’s committee of management or governing body</w:t>
            </w:r>
            <w:r w:rsidR="1679FF23" w:rsidRPr="4D5500B1">
              <w:rPr>
                <w:lang w:eastAsia="en-AU"/>
              </w:rPr>
              <w:t>.</w:t>
            </w:r>
          </w:p>
        </w:tc>
      </w:tr>
      <w:tr w:rsidR="00F8097E" w:rsidRPr="00ED1AFE" w14:paraId="62B72AE0" w14:textId="77777777" w:rsidTr="004C6E29">
        <w:trPr>
          <w:trHeight w:val="300"/>
        </w:trPr>
        <w:tc>
          <w:tcPr>
            <w:tcW w:w="1413" w:type="pct"/>
            <w:hideMark/>
          </w:tcPr>
          <w:p w14:paraId="2DFF9F2A" w14:textId="77777777" w:rsidR="00F8097E" w:rsidRPr="00EF02C5" w:rsidRDefault="00F8097E">
            <w:pPr>
              <w:pStyle w:val="Tabletext"/>
              <w:rPr>
                <w:b/>
                <w:bCs/>
                <w:lang w:eastAsia="en-AU"/>
              </w:rPr>
            </w:pPr>
            <w:r w:rsidRPr="00EF02C5">
              <w:rPr>
                <w:b/>
                <w:bCs/>
                <w:lang w:eastAsia="en-AU"/>
              </w:rPr>
              <w:t>Secretary of the Department of Families Fairness and Housing</w:t>
            </w:r>
            <w:r>
              <w:rPr>
                <w:b/>
                <w:bCs/>
                <w:lang w:eastAsia="en-AU"/>
              </w:rPr>
              <w:t xml:space="preserve"> (DFFH)</w:t>
            </w:r>
          </w:p>
        </w:tc>
        <w:tc>
          <w:tcPr>
            <w:tcW w:w="3587" w:type="pct"/>
            <w:hideMark/>
          </w:tcPr>
          <w:p w14:paraId="3FDED5A6" w14:textId="1BD72C73" w:rsidR="00F8097E" w:rsidRPr="004C6E29" w:rsidRDefault="53982692" w:rsidP="004C6E29">
            <w:pPr>
              <w:pStyle w:val="Tablebullet1"/>
            </w:pPr>
            <w:r>
              <w:rPr>
                <w:lang w:eastAsia="en-AU"/>
              </w:rPr>
              <w:t>t</w:t>
            </w:r>
            <w:r w:rsidR="00F8097E">
              <w:rPr>
                <w:lang w:eastAsia="en-AU"/>
              </w:rPr>
              <w:t>he Secretary and e</w:t>
            </w:r>
            <w:r w:rsidR="00F8097E" w:rsidRPr="00F11DB2">
              <w:rPr>
                <w:lang w:eastAsia="en-AU"/>
              </w:rPr>
              <w:t xml:space="preserve">ach </w:t>
            </w:r>
            <w:r w:rsidR="00F8097E" w:rsidRPr="00A72FEA">
              <w:rPr>
                <w:lang w:eastAsia="en-AU"/>
              </w:rPr>
              <w:t xml:space="preserve">executive (within the meaning of the </w:t>
            </w:r>
            <w:r w:rsidR="00F8097E" w:rsidRPr="004C6E29">
              <w:t>Public Administration Act 2004</w:t>
            </w:r>
            <w:r w:rsidR="00F8097E" w:rsidRPr="00A72FEA">
              <w:rPr>
                <w:lang w:eastAsia="en-AU"/>
              </w:rPr>
              <w:t xml:space="preserve"> (Victoria)) </w:t>
            </w:r>
            <w:r w:rsidR="00F8097E" w:rsidRPr="00F11DB2">
              <w:rPr>
                <w:lang w:eastAsia="en-AU"/>
              </w:rPr>
              <w:t xml:space="preserve">of </w:t>
            </w:r>
            <w:r w:rsidR="00F8097E">
              <w:rPr>
                <w:lang w:eastAsia="en-AU"/>
              </w:rPr>
              <w:t>DFFH</w:t>
            </w:r>
            <w:r w:rsidR="00F8097E" w:rsidRPr="00F11DB2">
              <w:rPr>
                <w:lang w:eastAsia="en-AU"/>
              </w:rPr>
              <w:t xml:space="preserve"> with responsibility for administering the provision of </w:t>
            </w:r>
            <w:r w:rsidR="00F8097E" w:rsidRPr="00A72FEA">
              <w:rPr>
                <w:lang w:eastAsia="en-AU"/>
              </w:rPr>
              <w:t>social service</w:t>
            </w:r>
            <w:r w:rsidR="00F8097E">
              <w:rPr>
                <w:lang w:eastAsia="en-AU"/>
              </w:rPr>
              <w:t>s</w:t>
            </w:r>
            <w:r w:rsidR="00F8097E" w:rsidRPr="004C6E29">
              <w:rPr>
                <w:rStyle w:val="FootnoteReference"/>
                <w:vertAlign w:val="baseline"/>
              </w:rPr>
              <w:footnoteReference w:id="9"/>
            </w:r>
            <w:r w:rsidR="00F8097E" w:rsidRPr="00A72FEA">
              <w:rPr>
                <w:lang w:eastAsia="en-AU"/>
              </w:rPr>
              <w:t>.</w:t>
            </w:r>
          </w:p>
        </w:tc>
      </w:tr>
      <w:tr w:rsidR="00F8097E" w:rsidRPr="00ED1AFE" w14:paraId="210E75E8" w14:textId="77777777" w:rsidTr="004C6E29">
        <w:trPr>
          <w:trHeight w:val="300"/>
        </w:trPr>
        <w:tc>
          <w:tcPr>
            <w:tcW w:w="1413" w:type="pct"/>
            <w:hideMark/>
          </w:tcPr>
          <w:p w14:paraId="27F4D0F5" w14:textId="77777777" w:rsidR="00F8097E" w:rsidRPr="00EF02C5" w:rsidRDefault="00F8097E">
            <w:pPr>
              <w:pStyle w:val="Tabletext"/>
              <w:rPr>
                <w:b/>
                <w:bCs/>
                <w:lang w:eastAsia="en-AU"/>
              </w:rPr>
            </w:pPr>
            <w:r w:rsidRPr="00EF02C5">
              <w:rPr>
                <w:b/>
                <w:bCs/>
                <w:lang w:eastAsia="en-AU"/>
              </w:rPr>
              <w:t>Accommodation services</w:t>
            </w:r>
            <w:r w:rsidRPr="00EF02C5">
              <w:rPr>
                <w:rFonts w:ascii="Cambria" w:hAnsi="Cambria" w:cs="Cambria"/>
                <w:b/>
                <w:bCs/>
                <w:szCs w:val="21"/>
                <w:lang w:eastAsia="en-AU"/>
              </w:rPr>
              <w:t> </w:t>
            </w:r>
          </w:p>
        </w:tc>
        <w:tc>
          <w:tcPr>
            <w:tcW w:w="3587" w:type="pct"/>
            <w:hideMark/>
          </w:tcPr>
          <w:p w14:paraId="76010AF6" w14:textId="77777777" w:rsidR="00F8097E" w:rsidRPr="004C6E29" w:rsidRDefault="00F8097E" w:rsidP="004C6E29">
            <w:pPr>
              <w:pStyle w:val="Tablebullet1"/>
            </w:pPr>
            <w:r>
              <w:rPr>
                <w:lang w:eastAsia="en-AU"/>
              </w:rPr>
              <w:t>t</w:t>
            </w:r>
            <w:r w:rsidRPr="00F11DB2">
              <w:rPr>
                <w:lang w:eastAsia="en-AU"/>
              </w:rPr>
              <w:t>he person responsible for the day-to-day management of the provision of that service. For example, a director, manager, or a person ordinarily on site and performing a managerial role at a supported residential service.</w:t>
            </w:r>
            <w:r w:rsidRPr="004C6E29">
              <w:t> </w:t>
            </w:r>
          </w:p>
        </w:tc>
      </w:tr>
      <w:tr w:rsidR="00F8097E" w:rsidRPr="00ED1AFE" w14:paraId="465F1927" w14:textId="77777777" w:rsidTr="004C6E29">
        <w:trPr>
          <w:trHeight w:val="300"/>
        </w:trPr>
        <w:tc>
          <w:tcPr>
            <w:tcW w:w="1413" w:type="pct"/>
            <w:hideMark/>
          </w:tcPr>
          <w:p w14:paraId="42CE068B" w14:textId="77777777" w:rsidR="00F8097E" w:rsidRPr="00EF02C5" w:rsidRDefault="00F8097E">
            <w:pPr>
              <w:pStyle w:val="Tabletext"/>
              <w:rPr>
                <w:b/>
                <w:bCs/>
                <w:lang w:eastAsia="en-AU"/>
              </w:rPr>
            </w:pPr>
            <w:r w:rsidRPr="00EF02C5">
              <w:rPr>
                <w:b/>
                <w:bCs/>
                <w:lang w:eastAsia="en-AU"/>
              </w:rPr>
              <w:t>Any other person</w:t>
            </w:r>
            <w:r w:rsidRPr="00EF02C5">
              <w:rPr>
                <w:rFonts w:ascii="Cambria" w:hAnsi="Cambria" w:cs="Cambria"/>
                <w:b/>
                <w:bCs/>
                <w:szCs w:val="21"/>
                <w:lang w:eastAsia="en-AU"/>
              </w:rPr>
              <w:t> </w:t>
            </w:r>
            <w:r w:rsidRPr="008A0F99">
              <w:rPr>
                <w:rFonts w:cs="Arial"/>
                <w:b/>
                <w:bCs/>
                <w:szCs w:val="21"/>
                <w:lang w:eastAsia="en-AU"/>
              </w:rPr>
              <w:t>or provider</w:t>
            </w:r>
          </w:p>
        </w:tc>
        <w:tc>
          <w:tcPr>
            <w:tcW w:w="3587" w:type="pct"/>
            <w:hideMark/>
          </w:tcPr>
          <w:p w14:paraId="74DDE459" w14:textId="77777777" w:rsidR="00F8097E" w:rsidRPr="00A72FEA" w:rsidRDefault="00F8097E">
            <w:pPr>
              <w:pStyle w:val="Tablebullet1"/>
              <w:rPr>
                <w:lang w:eastAsia="en-AU"/>
              </w:rPr>
            </w:pPr>
            <w:r>
              <w:rPr>
                <w:lang w:eastAsia="en-AU"/>
              </w:rPr>
              <w:t>C</w:t>
            </w:r>
            <w:r w:rsidRPr="00A72FEA">
              <w:rPr>
                <w:lang w:eastAsia="en-AU"/>
              </w:rPr>
              <w:t xml:space="preserve">hief </w:t>
            </w:r>
            <w:r>
              <w:rPr>
                <w:lang w:eastAsia="en-AU"/>
              </w:rPr>
              <w:t>E</w:t>
            </w:r>
            <w:r w:rsidRPr="00A72FEA">
              <w:rPr>
                <w:lang w:eastAsia="en-AU"/>
              </w:rPr>
              <w:t xml:space="preserve">xecutive </w:t>
            </w:r>
            <w:r>
              <w:rPr>
                <w:lang w:eastAsia="en-AU"/>
              </w:rPr>
              <w:t>O</w:t>
            </w:r>
            <w:r w:rsidRPr="00A72FEA">
              <w:rPr>
                <w:lang w:eastAsia="en-AU"/>
              </w:rPr>
              <w:t>fficer</w:t>
            </w:r>
            <w:r>
              <w:rPr>
                <w:lang w:eastAsia="en-AU"/>
              </w:rPr>
              <w:t>,</w:t>
            </w:r>
            <w:r w:rsidRPr="00A72FEA">
              <w:rPr>
                <w:lang w:eastAsia="en-AU"/>
              </w:rPr>
              <w:t xml:space="preserve"> Managing Director or Principal Officer</w:t>
            </w:r>
            <w:r>
              <w:rPr>
                <w:lang w:eastAsia="en-AU"/>
              </w:rPr>
              <w:t xml:space="preserve"> of the service provider</w:t>
            </w:r>
            <w:r w:rsidRPr="00A72FEA">
              <w:rPr>
                <w:lang w:eastAsia="en-AU"/>
              </w:rPr>
              <w:t>.</w:t>
            </w:r>
          </w:p>
          <w:p w14:paraId="7F8E3313" w14:textId="7CE7F4A3" w:rsidR="00F8097E" w:rsidRPr="00633568" w:rsidRDefault="00F8097E">
            <w:pPr>
              <w:pStyle w:val="Tablebullet1"/>
              <w:rPr>
                <w:rFonts w:ascii="VIC" w:hAnsi="VIC" w:cs="Arial"/>
                <w:szCs w:val="21"/>
                <w:lang w:eastAsia="en-AU"/>
              </w:rPr>
            </w:pPr>
            <w:r>
              <w:rPr>
                <w:lang w:eastAsia="en-AU"/>
              </w:rPr>
              <w:t>f</w:t>
            </w:r>
            <w:r w:rsidRPr="00F11DB2">
              <w:rPr>
                <w:lang w:eastAsia="en-AU"/>
              </w:rPr>
              <w:t xml:space="preserve">or those not captured </w:t>
            </w:r>
            <w:r>
              <w:rPr>
                <w:lang w:eastAsia="en-AU"/>
              </w:rPr>
              <w:t>anywhere else</w:t>
            </w:r>
            <w:r w:rsidRPr="00A72FEA">
              <w:rPr>
                <w:lang w:eastAsia="en-AU"/>
              </w:rPr>
              <w:t>,</w:t>
            </w:r>
            <w:r w:rsidRPr="00F11DB2">
              <w:rPr>
                <w:lang w:eastAsia="en-AU"/>
              </w:rPr>
              <w:t xml:space="preserve"> th</w:t>
            </w:r>
            <w:r>
              <w:rPr>
                <w:lang w:eastAsia="en-AU"/>
              </w:rPr>
              <w:t>e</w:t>
            </w:r>
            <w:r w:rsidRPr="00F11DB2">
              <w:rPr>
                <w:lang w:eastAsia="en-AU"/>
              </w:rPr>
              <w:t xml:space="preserve"> personnel who have primary responsibility for </w:t>
            </w:r>
            <w:r>
              <w:rPr>
                <w:lang w:eastAsia="en-AU"/>
              </w:rPr>
              <w:t>(</w:t>
            </w:r>
            <w:r w:rsidRPr="00F11DB2">
              <w:rPr>
                <w:lang w:eastAsia="en-AU"/>
              </w:rPr>
              <w:t>or significant influence over</w:t>
            </w:r>
            <w:r>
              <w:rPr>
                <w:lang w:eastAsia="en-AU"/>
              </w:rPr>
              <w:t>)</w:t>
            </w:r>
            <w:r w:rsidRPr="00F11DB2">
              <w:rPr>
                <w:lang w:eastAsia="en-AU"/>
              </w:rPr>
              <w:t xml:space="preserve"> the planning, directing, or controlling the provider</w:t>
            </w:r>
            <w:r>
              <w:rPr>
                <w:lang w:eastAsia="en-AU"/>
              </w:rPr>
              <w:t>’</w:t>
            </w:r>
            <w:r w:rsidRPr="00F11DB2">
              <w:rPr>
                <w:lang w:eastAsia="en-AU"/>
              </w:rPr>
              <w:t xml:space="preserve">s delivery </w:t>
            </w:r>
            <w:r w:rsidR="00922F47" w:rsidRPr="00F11DB2">
              <w:rPr>
                <w:lang w:eastAsia="en-AU"/>
              </w:rPr>
              <w:t>of social</w:t>
            </w:r>
            <w:r w:rsidRPr="00F11DB2">
              <w:rPr>
                <w:lang w:eastAsia="en-AU"/>
              </w:rPr>
              <w:t xml:space="preserve"> service</w:t>
            </w:r>
            <w:r>
              <w:rPr>
                <w:lang w:eastAsia="en-AU"/>
              </w:rPr>
              <w:t>s</w:t>
            </w:r>
            <w:r w:rsidRPr="00F11DB2">
              <w:rPr>
                <w:lang w:eastAsia="en-AU"/>
              </w:rPr>
              <w:t xml:space="preserve">. </w:t>
            </w:r>
            <w:r w:rsidRPr="00A72FEA">
              <w:rPr>
                <w:lang w:eastAsia="en-AU"/>
              </w:rPr>
              <w:t>This includes</w:t>
            </w:r>
            <w:r>
              <w:rPr>
                <w:lang w:eastAsia="en-AU"/>
              </w:rPr>
              <w:t>:</w:t>
            </w:r>
          </w:p>
          <w:p w14:paraId="0D4A4CC7" w14:textId="77777777" w:rsidR="00F8097E" w:rsidRPr="008A0F99" w:rsidRDefault="00F8097E" w:rsidP="00DF6D37">
            <w:pPr>
              <w:pStyle w:val="Tablebullet2"/>
              <w:numPr>
                <w:ilvl w:val="0"/>
                <w:numId w:val="39"/>
              </w:numPr>
              <w:rPr>
                <w:rFonts w:ascii="VIC" w:hAnsi="VIC" w:cs="Arial"/>
                <w:szCs w:val="21"/>
                <w:lang w:eastAsia="en-AU"/>
              </w:rPr>
            </w:pPr>
            <w:r w:rsidRPr="00A72FEA">
              <w:rPr>
                <w:lang w:eastAsia="en-AU"/>
              </w:rPr>
              <w:t xml:space="preserve">staff who report directly to the </w:t>
            </w:r>
            <w:r>
              <w:rPr>
                <w:lang w:eastAsia="en-AU"/>
              </w:rPr>
              <w:t>C</w:t>
            </w:r>
            <w:r w:rsidRPr="00A72FEA">
              <w:rPr>
                <w:lang w:eastAsia="en-AU"/>
              </w:rPr>
              <w:t xml:space="preserve">hief </w:t>
            </w:r>
            <w:r>
              <w:rPr>
                <w:lang w:eastAsia="en-AU"/>
              </w:rPr>
              <w:t>E</w:t>
            </w:r>
            <w:r w:rsidRPr="00A72FEA">
              <w:rPr>
                <w:lang w:eastAsia="en-AU"/>
              </w:rPr>
              <w:t xml:space="preserve">xecutive </w:t>
            </w:r>
            <w:r>
              <w:rPr>
                <w:lang w:eastAsia="en-AU"/>
              </w:rPr>
              <w:t>O</w:t>
            </w:r>
            <w:r w:rsidRPr="00A72FEA">
              <w:rPr>
                <w:lang w:eastAsia="en-AU"/>
              </w:rPr>
              <w:t>fficer</w:t>
            </w:r>
          </w:p>
          <w:p w14:paraId="76701EEB" w14:textId="1934C9F0" w:rsidR="00F8097E" w:rsidRPr="00D63EB0" w:rsidRDefault="00F8097E" w:rsidP="4D5500B1">
            <w:pPr>
              <w:pStyle w:val="Tablebullet2"/>
              <w:rPr>
                <w:rFonts w:ascii="VIC" w:hAnsi="VIC" w:cs="Arial"/>
                <w:lang w:eastAsia="en-AU"/>
              </w:rPr>
            </w:pPr>
            <w:r w:rsidRPr="4D5500B1">
              <w:rPr>
                <w:lang w:eastAsia="en-AU"/>
              </w:rPr>
              <w:t>people in leadership or senior positions who direct and/or influence staff on how services are provided to service user</w:t>
            </w:r>
            <w:r w:rsidR="68AB925D" w:rsidRPr="4D5500B1">
              <w:rPr>
                <w:lang w:eastAsia="en-AU"/>
              </w:rPr>
              <w:t>.</w:t>
            </w:r>
          </w:p>
        </w:tc>
      </w:tr>
    </w:tbl>
    <w:p w14:paraId="4954C9B4" w14:textId="77777777" w:rsidR="00F8097E" w:rsidRDefault="00F8097E" w:rsidP="00F8097E">
      <w:pPr>
        <w:pStyle w:val="Body"/>
      </w:pPr>
    </w:p>
    <w:p w14:paraId="54CAE4BE" w14:textId="77777777" w:rsidR="00F8097E" w:rsidRPr="007F46B9" w:rsidRDefault="00F8097E" w:rsidP="00F8097E">
      <w:pPr>
        <w:pStyle w:val="Heading3"/>
        <w:rPr>
          <w:b/>
          <w:bCs w:val="0"/>
        </w:rPr>
      </w:pPr>
      <w:bookmarkStart w:id="7" w:name="_Appendix_1.2"/>
      <w:bookmarkEnd w:id="7"/>
      <w:r w:rsidRPr="007F46B9">
        <w:rPr>
          <w:b/>
          <w:bCs w:val="0"/>
        </w:rPr>
        <w:t>Appendix 1.2</w:t>
      </w:r>
    </w:p>
    <w:p w14:paraId="06B62B83" w14:textId="77777777" w:rsidR="00F8097E" w:rsidRDefault="00F8097E" w:rsidP="00F8097E">
      <w:pPr>
        <w:pStyle w:val="Heading3"/>
      </w:pPr>
      <w:r w:rsidRPr="00A72FEA">
        <w:t>Qualifications</w:t>
      </w:r>
      <w:r>
        <w:t>,</w:t>
      </w:r>
      <w:r w:rsidRPr="0000470A">
        <w:t xml:space="preserve"> skills and experience</w:t>
      </w:r>
    </w:p>
    <w:p w14:paraId="15AFF5F1" w14:textId="4809E5B8" w:rsidR="00F8097E" w:rsidRPr="00BD1D0E" w:rsidRDefault="00F8097E" w:rsidP="004C6E29">
      <w:pPr>
        <w:pStyle w:val="Body"/>
      </w:pPr>
      <w:r>
        <w:t xml:space="preserve">A service provider and </w:t>
      </w:r>
      <w:r w:rsidR="771B6251">
        <w:t xml:space="preserve">its </w:t>
      </w:r>
      <w:r>
        <w:t>key personnel must have relevant qualifications, skills, or experience to safely deliver a social service, in line with Regulations 20 and 21.</w:t>
      </w:r>
    </w:p>
    <w:p w14:paraId="1A7ADE9E" w14:textId="77777777" w:rsidR="00F8097E" w:rsidRDefault="00F8097E" w:rsidP="00F8097E">
      <w:pPr>
        <w:pStyle w:val="Heading4"/>
      </w:pPr>
      <w:r>
        <w:t>Qualifications</w:t>
      </w:r>
    </w:p>
    <w:p w14:paraId="76BB127C" w14:textId="77777777" w:rsidR="00F8097E" w:rsidRDefault="00F8097E" w:rsidP="004C6E29">
      <w:pPr>
        <w:pStyle w:val="Body"/>
      </w:pPr>
      <w:r>
        <w:t>For registration with the Social Services Regulator, qualifications are a f</w:t>
      </w:r>
      <w:r w:rsidRPr="00DC0AF9">
        <w:t>ormal certification</w:t>
      </w:r>
      <w:r>
        <w:t xml:space="preserve"> that</w:t>
      </w:r>
      <w:r w:rsidRPr="00DC0AF9">
        <w:t xml:space="preserve"> recognise a person has achieved learning outcomes or competency relevant to identified individual, professional, industry or community needs.</w:t>
      </w:r>
      <w:r>
        <w:t xml:space="preserve"> This may include a degree, diploma or certificate and may address several key areas in service delivery and support. </w:t>
      </w:r>
    </w:p>
    <w:p w14:paraId="01C11D01" w14:textId="77777777" w:rsidR="00F8097E" w:rsidRPr="00BB08C3" w:rsidRDefault="00F8097E" w:rsidP="004C6E29">
      <w:pPr>
        <w:pStyle w:val="Body"/>
      </w:pPr>
      <w:r>
        <w:lastRenderedPageBreak/>
        <w:t>It is useful to note that key personnel in your</w:t>
      </w:r>
      <w:r w:rsidRPr="00BB08C3">
        <w:t xml:space="preserve"> organisation</w:t>
      </w:r>
      <w:r>
        <w:t xml:space="preserve"> are not required</w:t>
      </w:r>
      <w:r w:rsidRPr="00BB08C3">
        <w:t xml:space="preserve"> to have the same qualifications, skills</w:t>
      </w:r>
      <w:r>
        <w:t>,</w:t>
      </w:r>
      <w:r w:rsidRPr="00BB08C3">
        <w:t xml:space="preserve"> and experience</w:t>
      </w:r>
      <w:r>
        <w:t>.</w:t>
      </w:r>
      <w:r w:rsidRPr="00BB08C3">
        <w:t xml:space="preserve"> </w:t>
      </w:r>
      <w:r>
        <w:t>The intent is that t</w:t>
      </w:r>
      <w:r w:rsidRPr="00BB08C3">
        <w:t xml:space="preserve">he organisation </w:t>
      </w:r>
      <w:r>
        <w:t xml:space="preserve">as a whole </w:t>
      </w:r>
      <w:r w:rsidRPr="00BB08C3">
        <w:t xml:space="preserve">has: </w:t>
      </w:r>
    </w:p>
    <w:p w14:paraId="68826FE0" w14:textId="77777777" w:rsidR="00F8097E" w:rsidRDefault="00F8097E" w:rsidP="00DF6D37">
      <w:pPr>
        <w:pStyle w:val="Bullet1"/>
        <w:numPr>
          <w:ilvl w:val="0"/>
          <w:numId w:val="28"/>
        </w:numPr>
      </w:pPr>
      <w:r>
        <w:t>t</w:t>
      </w:r>
      <w:r w:rsidRPr="00BB08C3">
        <w:t>he right qualifications</w:t>
      </w:r>
      <w:r>
        <w:t>,</w:t>
      </w:r>
      <w:r w:rsidRPr="00BB08C3">
        <w:t xml:space="preserve"> skills and experience </w:t>
      </w:r>
      <w:r w:rsidRPr="00EF02C5">
        <w:rPr>
          <w:b/>
          <w:bCs/>
        </w:rPr>
        <w:t>to conduct the proper governance and oversight</w:t>
      </w:r>
      <w:r w:rsidRPr="00BB08C3">
        <w:t xml:space="preserve"> of the organisation</w:t>
      </w:r>
      <w:r>
        <w:t>. This may include qualifications in:</w:t>
      </w:r>
      <w:r w:rsidRPr="00BB08C3">
        <w:t xml:space="preserve"> </w:t>
      </w:r>
    </w:p>
    <w:p w14:paraId="6F0ACD46" w14:textId="77777777" w:rsidR="00F8097E" w:rsidRDefault="00F8097E" w:rsidP="00DF6D37">
      <w:pPr>
        <w:pStyle w:val="Bullet2"/>
        <w:numPr>
          <w:ilvl w:val="1"/>
          <w:numId w:val="29"/>
        </w:numPr>
      </w:pPr>
      <w:r w:rsidRPr="00BB08C3">
        <w:t xml:space="preserve">governance </w:t>
      </w:r>
    </w:p>
    <w:p w14:paraId="0C71F2AA" w14:textId="77777777" w:rsidR="00F8097E" w:rsidRDefault="00F8097E" w:rsidP="00DF6D37">
      <w:pPr>
        <w:pStyle w:val="Bullet2"/>
        <w:numPr>
          <w:ilvl w:val="1"/>
          <w:numId w:val="29"/>
        </w:numPr>
      </w:pPr>
      <w:r w:rsidRPr="00BB08C3">
        <w:t xml:space="preserve">financial management </w:t>
      </w:r>
    </w:p>
    <w:p w14:paraId="0A771D88" w14:textId="77777777" w:rsidR="00F8097E" w:rsidRDefault="00F8097E" w:rsidP="00DF6D37">
      <w:pPr>
        <w:pStyle w:val="Bullet2"/>
        <w:numPr>
          <w:ilvl w:val="1"/>
          <w:numId w:val="29"/>
        </w:numPr>
      </w:pPr>
      <w:r w:rsidRPr="00BB08C3">
        <w:t xml:space="preserve">risk management </w:t>
      </w:r>
    </w:p>
    <w:p w14:paraId="16B49F9C" w14:textId="77777777" w:rsidR="00F8097E" w:rsidRDefault="00F8097E" w:rsidP="00DF6D37">
      <w:pPr>
        <w:pStyle w:val="Bullet2"/>
        <w:numPr>
          <w:ilvl w:val="1"/>
          <w:numId w:val="29"/>
        </w:numPr>
      </w:pPr>
      <w:r w:rsidRPr="00BB08C3">
        <w:t xml:space="preserve">workforce planning </w:t>
      </w:r>
    </w:p>
    <w:p w14:paraId="70AD5D0F" w14:textId="77777777" w:rsidR="00652AD8" w:rsidRDefault="00F8097E" w:rsidP="00652AD8">
      <w:pPr>
        <w:pStyle w:val="Bullet2"/>
        <w:numPr>
          <w:ilvl w:val="1"/>
          <w:numId w:val="29"/>
        </w:numPr>
      </w:pPr>
      <w:r w:rsidRPr="00BB08C3">
        <w:t>service planning and delivery</w:t>
      </w:r>
    </w:p>
    <w:p w14:paraId="2025E0CF" w14:textId="40329C92" w:rsidR="00F8097E" w:rsidRDefault="00F8097E" w:rsidP="00652AD8">
      <w:pPr>
        <w:pStyle w:val="Bullet2"/>
        <w:numPr>
          <w:ilvl w:val="1"/>
          <w:numId w:val="29"/>
        </w:numPr>
      </w:pPr>
      <w:r>
        <w:t>continuous improvement</w:t>
      </w:r>
      <w:r w:rsidR="00652AD8">
        <w:t>.</w:t>
      </w:r>
    </w:p>
    <w:p w14:paraId="682E15AD" w14:textId="77777777" w:rsidR="00F8097E" w:rsidRPr="00BB08C3" w:rsidRDefault="00F8097E" w:rsidP="00F8097E">
      <w:pPr>
        <w:pStyle w:val="Bullet2"/>
        <w:numPr>
          <w:ilvl w:val="0"/>
          <w:numId w:val="0"/>
        </w:numPr>
        <w:ind w:left="720"/>
      </w:pPr>
    </w:p>
    <w:p w14:paraId="4B027BB1" w14:textId="77777777" w:rsidR="00F8097E" w:rsidRDefault="00F8097E" w:rsidP="00DF6D37">
      <w:pPr>
        <w:pStyle w:val="Bullet1"/>
        <w:numPr>
          <w:ilvl w:val="0"/>
          <w:numId w:val="28"/>
        </w:numPr>
      </w:pPr>
      <w:r>
        <w:t>th</w:t>
      </w:r>
      <w:r w:rsidRPr="00BB08C3">
        <w:t xml:space="preserve">e right qualifications, skills and experience to </w:t>
      </w:r>
      <w:r w:rsidRPr="00EF02C5">
        <w:rPr>
          <w:b/>
          <w:bCs/>
        </w:rPr>
        <w:t>support service users based on their needs</w:t>
      </w:r>
      <w:r w:rsidRPr="00BB08C3">
        <w:t xml:space="preserve"> and service requirements</w:t>
      </w:r>
      <w:r>
        <w:t>. This may</w:t>
      </w:r>
      <w:r w:rsidRPr="00BB08C3">
        <w:t xml:space="preserve"> include</w:t>
      </w:r>
      <w:r>
        <w:t xml:space="preserve"> qualifications in:</w:t>
      </w:r>
      <w:r w:rsidRPr="00BB08C3">
        <w:t xml:space="preserve"> </w:t>
      </w:r>
    </w:p>
    <w:p w14:paraId="39501A14" w14:textId="77777777" w:rsidR="00F8097E" w:rsidRDefault="00F8097E" w:rsidP="00DF6D37">
      <w:pPr>
        <w:pStyle w:val="Bullet2"/>
        <w:numPr>
          <w:ilvl w:val="1"/>
          <w:numId w:val="30"/>
        </w:numPr>
      </w:pPr>
      <w:r w:rsidRPr="00BB08C3">
        <w:t>behaviour</w:t>
      </w:r>
      <w:r>
        <w:t>/individual</w:t>
      </w:r>
      <w:r w:rsidRPr="00BB08C3">
        <w:t xml:space="preserve"> support </w:t>
      </w:r>
    </w:p>
    <w:p w14:paraId="510556DE" w14:textId="77777777" w:rsidR="00F8097E" w:rsidRDefault="00F8097E" w:rsidP="00DF6D37">
      <w:pPr>
        <w:pStyle w:val="Bullet2"/>
        <w:numPr>
          <w:ilvl w:val="1"/>
          <w:numId w:val="30"/>
        </w:numPr>
      </w:pPr>
      <w:r>
        <w:t>case management</w:t>
      </w:r>
      <w:r w:rsidRPr="00BB08C3">
        <w:t xml:space="preserve"> </w:t>
      </w:r>
    </w:p>
    <w:p w14:paraId="54E2682D" w14:textId="77777777" w:rsidR="00F8097E" w:rsidRDefault="00F8097E" w:rsidP="00DF6D37">
      <w:pPr>
        <w:pStyle w:val="Bullet2"/>
        <w:numPr>
          <w:ilvl w:val="1"/>
          <w:numId w:val="30"/>
        </w:numPr>
      </w:pPr>
      <w:r>
        <w:t>community/social work</w:t>
      </w:r>
      <w:r w:rsidRPr="00BB08C3">
        <w:t xml:space="preserve"> </w:t>
      </w:r>
    </w:p>
    <w:p w14:paraId="0CC364E9" w14:textId="77777777" w:rsidR="00F8097E" w:rsidRDefault="00F8097E" w:rsidP="00DF6D37">
      <w:pPr>
        <w:pStyle w:val="Bullet2"/>
        <w:numPr>
          <w:ilvl w:val="1"/>
          <w:numId w:val="30"/>
        </w:numPr>
      </w:pPr>
      <w:r w:rsidRPr="00BB08C3">
        <w:t>psychology</w:t>
      </w:r>
      <w:r>
        <w:t>/mental health</w:t>
      </w:r>
      <w:r w:rsidRPr="00BB08C3">
        <w:t xml:space="preserve"> </w:t>
      </w:r>
    </w:p>
    <w:p w14:paraId="51C22F09" w14:textId="77777777" w:rsidR="00652AD8" w:rsidRDefault="00F8097E" w:rsidP="00652AD8">
      <w:pPr>
        <w:pStyle w:val="Bullet2"/>
        <w:numPr>
          <w:ilvl w:val="1"/>
          <w:numId w:val="30"/>
        </w:numPr>
      </w:pPr>
      <w:r>
        <w:t>family violence</w:t>
      </w:r>
    </w:p>
    <w:p w14:paraId="706291AC" w14:textId="5541A0C9" w:rsidR="00F8097E" w:rsidRPr="00407629" w:rsidRDefault="00F8097E" w:rsidP="00652AD8">
      <w:pPr>
        <w:pStyle w:val="Bullet2"/>
        <w:numPr>
          <w:ilvl w:val="1"/>
          <w:numId w:val="30"/>
        </w:numPr>
      </w:pPr>
      <w:r>
        <w:t>sexual assault prevention and response</w:t>
      </w:r>
      <w:r w:rsidR="66F2FF9B">
        <w:t>.</w:t>
      </w:r>
    </w:p>
    <w:p w14:paraId="107B5951" w14:textId="5510FAB4" w:rsidR="00F8097E" w:rsidRDefault="00F8097E" w:rsidP="004C6E29">
      <w:pPr>
        <w:pStyle w:val="Body"/>
      </w:pPr>
      <w:r>
        <w:t xml:space="preserve">This is not an exhaustive list and a service provider may determine other qualifications are relevant and include these in </w:t>
      </w:r>
      <w:r w:rsidR="4A8D39B7">
        <w:t xml:space="preserve">its </w:t>
      </w:r>
      <w:r>
        <w:t xml:space="preserve">registration. </w:t>
      </w:r>
    </w:p>
    <w:p w14:paraId="671E2634" w14:textId="77777777" w:rsidR="00F8097E" w:rsidRPr="00A72FEA" w:rsidRDefault="00F8097E" w:rsidP="004C6E29">
      <w:pPr>
        <w:pStyle w:val="Body"/>
      </w:pPr>
      <w:r>
        <w:t>When determining qualifications relevant for registration with the Social Services Regulator, service providers should consider what qualifications are necessary for the safe delivery of the types of services they are applying to be registered for.</w:t>
      </w:r>
    </w:p>
    <w:p w14:paraId="0AAC986C" w14:textId="77777777" w:rsidR="00F8097E" w:rsidRDefault="00F8097E" w:rsidP="00F8097E">
      <w:pPr>
        <w:pStyle w:val="Heading4"/>
      </w:pPr>
      <w:r>
        <w:t>Skills</w:t>
      </w:r>
    </w:p>
    <w:p w14:paraId="1A60208F" w14:textId="77777777" w:rsidR="00F8097E" w:rsidRDefault="00F8097E" w:rsidP="00F8097E">
      <w:pPr>
        <w:pStyle w:val="Body"/>
      </w:pPr>
      <w:r>
        <w:t xml:space="preserve">Skills refer to what an individual can do. </w:t>
      </w:r>
    </w:p>
    <w:p w14:paraId="74CDBFB3" w14:textId="77777777" w:rsidR="00F8097E" w:rsidRDefault="00F8097E" w:rsidP="00F8097E">
      <w:pPr>
        <w:pStyle w:val="Body"/>
      </w:pPr>
      <w:r>
        <w:t>Skills can be described in terms of type, complexity and may include cognitive, technical, communication, creative, interpersonal, specialised or generic skills.</w:t>
      </w:r>
    </w:p>
    <w:p w14:paraId="1440273F" w14:textId="77777777" w:rsidR="00F8097E" w:rsidRDefault="00F8097E" w:rsidP="00F8097E">
      <w:pPr>
        <w:pStyle w:val="Body"/>
      </w:pPr>
      <w:r>
        <w:t>To establish their relevance, consider how the skills of the service provider and key personnel were attained or developed. This may include one or more of:</w:t>
      </w:r>
    </w:p>
    <w:p w14:paraId="7C2E610B" w14:textId="77777777" w:rsidR="00F8097E" w:rsidRDefault="00F8097E" w:rsidP="00DF6D37">
      <w:pPr>
        <w:pStyle w:val="Bullet1"/>
        <w:numPr>
          <w:ilvl w:val="0"/>
          <w:numId w:val="32"/>
        </w:numPr>
      </w:pPr>
      <w:r>
        <w:t>the level or amount of formal education and training</w:t>
      </w:r>
    </w:p>
    <w:p w14:paraId="1A4DD5F0" w14:textId="77777777" w:rsidR="00F8097E" w:rsidRDefault="00F8097E" w:rsidP="00DF6D37">
      <w:pPr>
        <w:pStyle w:val="Bullet1"/>
        <w:numPr>
          <w:ilvl w:val="0"/>
          <w:numId w:val="32"/>
        </w:numPr>
      </w:pPr>
      <w:r>
        <w:t>the amount of previous experience in a related occupation or field</w:t>
      </w:r>
    </w:p>
    <w:p w14:paraId="3715243E" w14:textId="77777777" w:rsidR="00F8097E" w:rsidRDefault="00F8097E" w:rsidP="00DF6D37">
      <w:pPr>
        <w:pStyle w:val="Bullet1"/>
        <w:numPr>
          <w:ilvl w:val="0"/>
          <w:numId w:val="32"/>
        </w:numPr>
      </w:pPr>
      <w:r>
        <w:t>the amount of on-the-job training.</w:t>
      </w:r>
    </w:p>
    <w:p w14:paraId="411C2003" w14:textId="77777777" w:rsidR="00F8097E" w:rsidRDefault="00F8097E" w:rsidP="00F8097E">
      <w:pPr>
        <w:pStyle w:val="Bodyafterbullets"/>
      </w:pPr>
      <w:r>
        <w:t>As with qualifications, relevant skills will vary depending on the role and type of social service provided.</w:t>
      </w:r>
    </w:p>
    <w:p w14:paraId="6F04E37C" w14:textId="77777777" w:rsidR="00F8097E" w:rsidRDefault="00F8097E" w:rsidP="00F8097E">
      <w:pPr>
        <w:pStyle w:val="Heading4"/>
      </w:pPr>
      <w:r>
        <w:t>Experience</w:t>
      </w:r>
    </w:p>
    <w:p w14:paraId="2998086E" w14:textId="77777777" w:rsidR="00F8097E" w:rsidRPr="004C6E29" w:rsidRDefault="00F8097E" w:rsidP="004C6E29">
      <w:pPr>
        <w:pStyle w:val="Body"/>
      </w:pPr>
      <w:r>
        <w:t xml:space="preserve">Experience may </w:t>
      </w:r>
      <w:r w:rsidRPr="004C6E29">
        <w:t>include general experience and/or lived experience where applicable.</w:t>
      </w:r>
    </w:p>
    <w:p w14:paraId="48882B84" w14:textId="77777777" w:rsidR="00F8097E" w:rsidRPr="004C6E29" w:rsidRDefault="00F8097E" w:rsidP="004C6E29">
      <w:pPr>
        <w:pStyle w:val="Body"/>
      </w:pPr>
      <w:r w:rsidRPr="004C6E29">
        <w:t>General experience includes time spent gaining professional experience in relevant occupations, fields or activities required to be competent in an occupation or field. General experience is measured in months or years.</w:t>
      </w:r>
    </w:p>
    <w:p w14:paraId="2AFA52B4" w14:textId="77777777" w:rsidR="00F8097E" w:rsidRDefault="00F8097E" w:rsidP="004C6E29">
      <w:pPr>
        <w:pStyle w:val="Body"/>
      </w:pPr>
      <w:r w:rsidRPr="004C6E29">
        <w:t>Lived experience may include personal experience, experience supporting someone who receives social services or other rele</w:t>
      </w:r>
      <w:r>
        <w:t>vant experience that can be aligned with the delivery of social services. For example, providing daily care to a family member with a disability.</w:t>
      </w:r>
    </w:p>
    <w:p w14:paraId="60437E82" w14:textId="77777777" w:rsidR="00F8097E" w:rsidRPr="00797887" w:rsidRDefault="00F8097E" w:rsidP="00F8097E">
      <w:pPr>
        <w:pStyle w:val="Body"/>
      </w:pPr>
      <w:r w:rsidRPr="00BD25B3">
        <w:lastRenderedPageBreak/>
        <w:t>The registration form</w:t>
      </w:r>
      <w:r>
        <w:t xml:space="preserve"> asks the applicant to provide information about how, when and where the service provider or key personnel gained the experience. It is useful to reflect on how general and/or lived experience can demonstrate the ability of the provider or key personnel to provide and deliver social services safely.</w:t>
      </w:r>
    </w:p>
    <w:p w14:paraId="18592722" w14:textId="77777777" w:rsidR="00F8097E" w:rsidRDefault="00F8097E" w:rsidP="00F8097E">
      <w:pPr>
        <w:pStyle w:val="Heading4"/>
      </w:pPr>
      <w:r>
        <w:t>Qualifications, skills and experience of staff</w:t>
      </w:r>
    </w:p>
    <w:p w14:paraId="2F3EF807" w14:textId="77777777" w:rsidR="00F8097E" w:rsidRDefault="00F8097E" w:rsidP="00F8097E">
      <w:pPr>
        <w:pStyle w:val="Body"/>
      </w:pPr>
      <w:r>
        <w:t>A service provider must have systems and processes in place to ensure that services are provided by staff and volunteers with relevant qualifications, skills or experience to safely deliver the social service, in line with Regulation 22.</w:t>
      </w:r>
    </w:p>
    <w:p w14:paraId="1DBDF29F" w14:textId="77777777" w:rsidR="00F8097E" w:rsidRDefault="00F8097E" w:rsidP="00F8097E">
      <w:pPr>
        <w:pStyle w:val="Body"/>
      </w:pPr>
      <w:r>
        <w:t>In determining if a service provider has met this suitability requirement, suggested information and supporting documents may cover:</w:t>
      </w:r>
    </w:p>
    <w:p w14:paraId="2DDC21EB" w14:textId="77777777" w:rsidR="00D73D41" w:rsidRDefault="00F8097E" w:rsidP="004C6E29">
      <w:pPr>
        <w:pStyle w:val="Bullet1"/>
      </w:pPr>
      <w:r>
        <w:t>recruitment practices, including policies, procedures and position descriptions</w:t>
      </w:r>
    </w:p>
    <w:p w14:paraId="4E289F9A" w14:textId="107D3161" w:rsidR="004A766A" w:rsidRDefault="00F8097E" w:rsidP="004C6E29">
      <w:pPr>
        <w:pStyle w:val="Bullet1"/>
      </w:pPr>
      <w:r>
        <w:t>workforce planning, including identification of qualifications, skills and experience requirements and gap assessments/opportunities</w:t>
      </w:r>
    </w:p>
    <w:p w14:paraId="169893AF" w14:textId="6C6A8978" w:rsidR="00F8097E" w:rsidRDefault="00F8097E" w:rsidP="004C6E29">
      <w:pPr>
        <w:pStyle w:val="Bullet1"/>
      </w:pPr>
      <w:r>
        <w:t>workforce training and development, including frameworks, strategies, procedures, practices to support, educate and upskill staff and volunteers</w:t>
      </w:r>
      <w:r w:rsidR="5481DC90">
        <w:t>.</w:t>
      </w:r>
    </w:p>
    <w:p w14:paraId="766655C5" w14:textId="77777777" w:rsidR="00F8097E" w:rsidRDefault="00F8097E" w:rsidP="00F8097E">
      <w:pPr>
        <w:pStyle w:val="Body"/>
      </w:pPr>
    </w:p>
    <w:p w14:paraId="4EF5656B" w14:textId="77777777" w:rsidR="00F8097E" w:rsidRPr="007F46B9" w:rsidRDefault="00F8097E" w:rsidP="00F8097E">
      <w:pPr>
        <w:pStyle w:val="Heading3"/>
        <w:rPr>
          <w:b/>
          <w:bCs w:val="0"/>
        </w:rPr>
      </w:pPr>
      <w:r w:rsidRPr="007F46B9">
        <w:rPr>
          <w:b/>
          <w:bCs w:val="0"/>
        </w:rPr>
        <w:t>Appendix 1.3</w:t>
      </w:r>
    </w:p>
    <w:p w14:paraId="3740A7A4" w14:textId="77777777" w:rsidR="00F8097E" w:rsidRDefault="00F8097E" w:rsidP="00F8097E">
      <w:pPr>
        <w:pStyle w:val="Heading3"/>
      </w:pPr>
      <w:r w:rsidRPr="00A72FEA">
        <w:t>Criminal</w:t>
      </w:r>
      <w:r w:rsidRPr="003D0547">
        <w:t xml:space="preserve"> </w:t>
      </w:r>
      <w:r>
        <w:t>h</w:t>
      </w:r>
      <w:r w:rsidRPr="003D0547">
        <w:t xml:space="preserve">istory and </w:t>
      </w:r>
      <w:r>
        <w:t>r</w:t>
      </w:r>
      <w:r w:rsidRPr="003D0547">
        <w:t>egulatory sanctions</w:t>
      </w:r>
    </w:p>
    <w:p w14:paraId="466C1C63" w14:textId="77777777" w:rsidR="00F8097E" w:rsidRDefault="00F8097E" w:rsidP="00F8097E">
      <w:pPr>
        <w:pStyle w:val="Body"/>
        <w:rPr>
          <w:rFonts w:cs="Arial"/>
          <w:szCs w:val="21"/>
        </w:rPr>
      </w:pPr>
      <w:bookmarkStart w:id="8" w:name="_Disclosable_Outcomes"/>
      <w:bookmarkEnd w:id="8"/>
      <w:r>
        <w:rPr>
          <w:rFonts w:cs="Arial"/>
          <w:szCs w:val="21"/>
        </w:rPr>
        <w:t xml:space="preserve">Table 2 outlines factors considered by the Social Services Regulator when assessing if service providers and their key personnel are ‘fit and proper’ to provide a social service. </w:t>
      </w:r>
    </w:p>
    <w:p w14:paraId="3C89EBB0" w14:textId="77777777" w:rsidR="00F8097E" w:rsidRPr="007354D4" w:rsidRDefault="00F8097E" w:rsidP="00F8097E">
      <w:pPr>
        <w:pStyle w:val="Body"/>
        <w:rPr>
          <w:b/>
          <w:bCs/>
        </w:rPr>
      </w:pPr>
      <w:r w:rsidRPr="007354D4">
        <w:rPr>
          <w:b/>
          <w:bCs/>
        </w:rPr>
        <w:t>Table 2</w:t>
      </w:r>
    </w:p>
    <w:tbl>
      <w:tblPr>
        <w:tblStyle w:val="TableGrid"/>
        <w:tblW w:w="5000" w:type="pct"/>
        <w:tblLook w:val="04A0" w:firstRow="1" w:lastRow="0" w:firstColumn="1" w:lastColumn="0" w:noHBand="0" w:noVBand="1"/>
      </w:tblPr>
      <w:tblGrid>
        <w:gridCol w:w="3680"/>
        <w:gridCol w:w="6514"/>
      </w:tblGrid>
      <w:tr w:rsidR="00F8097E" w14:paraId="4693E19C" w14:textId="77777777" w:rsidTr="41DC38ED">
        <w:tc>
          <w:tcPr>
            <w:tcW w:w="1805" w:type="pct"/>
            <w:shd w:val="clear" w:color="auto" w:fill="auto"/>
          </w:tcPr>
          <w:p w14:paraId="1223A418" w14:textId="77777777" w:rsidR="00F8097E" w:rsidRPr="00A72FEA" w:rsidRDefault="00F8097E">
            <w:pPr>
              <w:pStyle w:val="Tablecolhead"/>
              <w:rPr>
                <w:rStyle w:val="eop"/>
              </w:rPr>
            </w:pPr>
            <w:r w:rsidRPr="00A72FEA">
              <w:rPr>
                <w:rStyle w:val="eop"/>
              </w:rPr>
              <w:t>Factors</w:t>
            </w:r>
          </w:p>
        </w:tc>
        <w:tc>
          <w:tcPr>
            <w:tcW w:w="3195" w:type="pct"/>
            <w:shd w:val="clear" w:color="auto" w:fill="auto"/>
          </w:tcPr>
          <w:p w14:paraId="7C5AE86F" w14:textId="77777777" w:rsidR="00F8097E" w:rsidRPr="00A72FEA" w:rsidRDefault="00F8097E">
            <w:pPr>
              <w:pStyle w:val="Tablecolhead"/>
              <w:rPr>
                <w:rStyle w:val="eop"/>
              </w:rPr>
            </w:pPr>
            <w:r>
              <w:rPr>
                <w:rStyle w:val="eop"/>
              </w:rPr>
              <w:t>Information sought by the Regulator</w:t>
            </w:r>
          </w:p>
        </w:tc>
      </w:tr>
      <w:tr w:rsidR="00F8097E" w14:paraId="547BD3E4" w14:textId="77777777" w:rsidTr="41DC38ED">
        <w:tc>
          <w:tcPr>
            <w:tcW w:w="1805" w:type="pct"/>
          </w:tcPr>
          <w:p w14:paraId="3242FE1B" w14:textId="77777777" w:rsidR="00F8097E" w:rsidRPr="007354D4" w:rsidRDefault="00F8097E">
            <w:pPr>
              <w:pStyle w:val="Tabletext"/>
              <w:rPr>
                <w:rStyle w:val="eop"/>
                <w:b/>
                <w:bCs/>
              </w:rPr>
            </w:pPr>
            <w:r w:rsidRPr="007354D4">
              <w:rPr>
                <w:rStyle w:val="eop"/>
                <w:b/>
                <w:bCs/>
              </w:rPr>
              <w:t>Relevant criminal history</w:t>
            </w:r>
          </w:p>
        </w:tc>
        <w:tc>
          <w:tcPr>
            <w:tcW w:w="3195" w:type="pct"/>
          </w:tcPr>
          <w:p w14:paraId="4F1B22E1" w14:textId="77777777" w:rsidR="00F8097E" w:rsidRPr="00A72FEA" w:rsidRDefault="00F8097E" w:rsidP="004C6E29">
            <w:pPr>
              <w:pStyle w:val="Tabletext"/>
              <w:rPr>
                <w:rStyle w:val="eop"/>
              </w:rPr>
            </w:pPr>
            <w:r w:rsidRPr="00A72FEA">
              <w:rPr>
                <w:rStyle w:val="eop"/>
              </w:rPr>
              <w:t xml:space="preserve">Service providers will </w:t>
            </w:r>
            <w:r>
              <w:rPr>
                <w:rStyle w:val="eop"/>
              </w:rPr>
              <w:t xml:space="preserve">need </w:t>
            </w:r>
            <w:r w:rsidRPr="00A72FEA">
              <w:rPr>
                <w:rStyle w:val="eop"/>
              </w:rPr>
              <w:t xml:space="preserve">to </w:t>
            </w:r>
            <w:r w:rsidRPr="004C6E29">
              <w:rPr>
                <w:rStyle w:val="eop"/>
              </w:rPr>
              <w:t>declare</w:t>
            </w:r>
            <w:r w:rsidRPr="00A72FEA">
              <w:rPr>
                <w:rStyle w:val="eop"/>
              </w:rPr>
              <w:t xml:space="preserve"> the criminal history of key personnel. The </w:t>
            </w:r>
            <w:r>
              <w:rPr>
                <w:rStyle w:val="eop"/>
              </w:rPr>
              <w:t xml:space="preserve">Social Services </w:t>
            </w:r>
            <w:r w:rsidRPr="00A72FEA">
              <w:rPr>
                <w:rStyle w:val="eop"/>
              </w:rPr>
              <w:t>Regulator will consider:</w:t>
            </w:r>
          </w:p>
          <w:p w14:paraId="5F16001B" w14:textId="77777777" w:rsidR="00F8097E" w:rsidRPr="004C6E29" w:rsidRDefault="00F8097E" w:rsidP="004C6E29">
            <w:pPr>
              <w:pStyle w:val="Tablebullet1"/>
            </w:pPr>
            <w:r w:rsidRPr="004C6E29">
              <w:t>convictions for an offence</w:t>
            </w:r>
          </w:p>
          <w:p w14:paraId="6A0EFB00" w14:textId="77777777" w:rsidR="00F8097E" w:rsidRPr="004C6E29" w:rsidRDefault="00F8097E" w:rsidP="004C6E29">
            <w:pPr>
              <w:pStyle w:val="Tablebullet1"/>
            </w:pPr>
            <w:r w:rsidRPr="004C6E29">
              <w:t>findings of guilt by a court for an offence</w:t>
            </w:r>
          </w:p>
          <w:p w14:paraId="5BC01E1E" w14:textId="77777777" w:rsidR="00F8097E" w:rsidRPr="004C6E29" w:rsidRDefault="00F8097E" w:rsidP="004C6E29">
            <w:pPr>
              <w:pStyle w:val="Tablebullet1"/>
            </w:pPr>
            <w:r w:rsidRPr="004C6E29">
              <w:t>current criminal charges</w:t>
            </w:r>
          </w:p>
          <w:p w14:paraId="74504D0C" w14:textId="77777777" w:rsidR="00F8097E" w:rsidRPr="004C6E29" w:rsidRDefault="00F8097E" w:rsidP="004C6E29">
            <w:pPr>
              <w:pStyle w:val="Tablebullet1"/>
            </w:pPr>
            <w:r w:rsidRPr="004C6E29">
              <w:t>pending criminal proceedings.</w:t>
            </w:r>
          </w:p>
          <w:p w14:paraId="47A8B1A1" w14:textId="77777777" w:rsidR="00F8097E" w:rsidRDefault="00F8097E">
            <w:pPr>
              <w:pStyle w:val="Tabletext"/>
              <w:rPr>
                <w:rFonts w:cs="Arial"/>
              </w:rPr>
            </w:pPr>
          </w:p>
          <w:p w14:paraId="2DB35976" w14:textId="77777777" w:rsidR="00F8097E" w:rsidRPr="007354D4" w:rsidRDefault="00F8097E">
            <w:pPr>
              <w:pStyle w:val="Tabletext"/>
              <w:rPr>
                <w:rStyle w:val="eop"/>
                <w:rFonts w:cs="Arial"/>
                <w:szCs w:val="21"/>
              </w:rPr>
            </w:pPr>
            <w:r w:rsidRPr="007354D4">
              <w:rPr>
                <w:rFonts w:cs="Arial"/>
              </w:rPr>
              <w:t xml:space="preserve">Providers of a social service and their key personnel are not required to disclose information about spent convictions. Information about spent convictions is available on the Department of Justice and Community Safety’s website: </w:t>
            </w:r>
            <w:hyperlink r:id="rId25" w:history="1">
              <w:r w:rsidRPr="007354D4">
                <w:rPr>
                  <w:rStyle w:val="Hyperlink"/>
                  <w:rFonts w:cs="Arial"/>
                  <w:sz w:val="18"/>
                  <w:szCs w:val="18"/>
                </w:rPr>
                <w:t>https://www.justice.vic.gov.au/spent-convictions</w:t>
              </w:r>
            </w:hyperlink>
            <w:r w:rsidRPr="007354D4">
              <w:rPr>
                <w:rFonts w:cs="Arial"/>
              </w:rPr>
              <w:t>.</w:t>
            </w:r>
          </w:p>
        </w:tc>
      </w:tr>
      <w:tr w:rsidR="00F8097E" w14:paraId="49EFED93" w14:textId="77777777" w:rsidTr="41DC38ED">
        <w:tc>
          <w:tcPr>
            <w:tcW w:w="1805" w:type="pct"/>
          </w:tcPr>
          <w:p w14:paraId="2D7CAB5E" w14:textId="77777777" w:rsidR="00F8097E" w:rsidRPr="00A72FEA" w:rsidRDefault="00F8097E">
            <w:pPr>
              <w:pStyle w:val="Tabletext"/>
              <w:rPr>
                <w:rStyle w:val="eop"/>
              </w:rPr>
            </w:pPr>
            <w:bookmarkStart w:id="9" w:name="_Hlk164853764"/>
            <w:r w:rsidRPr="007354D4">
              <w:rPr>
                <w:rStyle w:val="eop"/>
                <w:b/>
                <w:bCs/>
              </w:rPr>
              <w:t>Relevant findings</w:t>
            </w:r>
            <w:r w:rsidRPr="00A72FEA">
              <w:rPr>
                <w:rStyle w:val="eop"/>
              </w:rPr>
              <w:t xml:space="preserve"> against key personnel in civil proceedings involving fraud, misrepresentation or dishonesty</w:t>
            </w:r>
            <w:bookmarkEnd w:id="9"/>
          </w:p>
        </w:tc>
        <w:tc>
          <w:tcPr>
            <w:tcW w:w="3195" w:type="pct"/>
          </w:tcPr>
          <w:p w14:paraId="22C71150" w14:textId="77777777" w:rsidR="00F8097E" w:rsidRPr="004C6E29" w:rsidRDefault="00F8097E" w:rsidP="004C6E29">
            <w:pPr>
              <w:pStyle w:val="Tabletext"/>
              <w:rPr>
                <w:rStyle w:val="eop"/>
              </w:rPr>
            </w:pPr>
            <w:r w:rsidRPr="004C6E29" w:rsidDel="0054406D">
              <w:rPr>
                <w:rStyle w:val="eop"/>
              </w:rPr>
              <w:t>S</w:t>
            </w:r>
            <w:r w:rsidRPr="004C6E29">
              <w:rPr>
                <w:rStyle w:val="eop"/>
              </w:rPr>
              <w:t>ervice providers will need to provide information regarding findings of fraud, misrepresentation or dishonesty that have been tried in civil proceedings within any state-based, Commonwealth or international jurisdictions.</w:t>
            </w:r>
          </w:p>
        </w:tc>
      </w:tr>
      <w:tr w:rsidR="00F8097E" w14:paraId="65B1CC14" w14:textId="77777777" w:rsidTr="41DC38ED">
        <w:tc>
          <w:tcPr>
            <w:tcW w:w="1805" w:type="pct"/>
          </w:tcPr>
          <w:p w14:paraId="1479ED22" w14:textId="18730707" w:rsidR="00F8097E" w:rsidRPr="00A72FEA" w:rsidRDefault="7E6E8F57">
            <w:pPr>
              <w:pStyle w:val="Tabletext"/>
              <w:rPr>
                <w:rStyle w:val="eop"/>
              </w:rPr>
            </w:pPr>
            <w:bookmarkStart w:id="10" w:name="_Hlk164853780"/>
            <w:r w:rsidRPr="41DC38ED">
              <w:rPr>
                <w:rStyle w:val="eop"/>
                <w:b/>
                <w:bCs/>
              </w:rPr>
              <w:t>Past findings</w:t>
            </w:r>
            <w:r w:rsidRPr="41DC38ED">
              <w:rPr>
                <w:rStyle w:val="eop"/>
              </w:rPr>
              <w:t xml:space="preserve"> by a relevant </w:t>
            </w:r>
            <w:r w:rsidR="71D9AC6F" w:rsidRPr="41DC38ED">
              <w:rPr>
                <w:rStyle w:val="eop"/>
              </w:rPr>
              <w:t>r</w:t>
            </w:r>
            <w:r w:rsidRPr="41DC38ED">
              <w:rPr>
                <w:rStyle w:val="eop"/>
              </w:rPr>
              <w:t xml:space="preserve">egulator or </w:t>
            </w:r>
            <w:r w:rsidR="66E09710" w:rsidRPr="41DC38ED">
              <w:rPr>
                <w:rStyle w:val="eop"/>
              </w:rPr>
              <w:t>court/</w:t>
            </w:r>
            <w:r w:rsidRPr="41DC38ED">
              <w:rPr>
                <w:rStyle w:val="eop"/>
              </w:rPr>
              <w:t>tribunal that the person engaged in misconduct relevant to providing a social service</w:t>
            </w:r>
            <w:bookmarkEnd w:id="10"/>
            <w:r w:rsidRPr="41DC38ED">
              <w:rPr>
                <w:rStyle w:val="eop"/>
              </w:rPr>
              <w:t>.</w:t>
            </w:r>
          </w:p>
        </w:tc>
        <w:tc>
          <w:tcPr>
            <w:tcW w:w="3195" w:type="pct"/>
          </w:tcPr>
          <w:p w14:paraId="248AE4D4" w14:textId="77777777" w:rsidR="00F8097E" w:rsidRPr="00B978F5" w:rsidRDefault="00F8097E" w:rsidP="004C6E29">
            <w:pPr>
              <w:pStyle w:val="Tabletext"/>
              <w:rPr>
                <w:rStyle w:val="eop"/>
                <w:rFonts w:cs="Arial"/>
                <w:szCs w:val="21"/>
              </w:rPr>
            </w:pPr>
            <w:r w:rsidRPr="00B978F5">
              <w:rPr>
                <w:rFonts w:cs="Arial"/>
              </w:rPr>
              <w:t>Service providers</w:t>
            </w:r>
            <w:r w:rsidRPr="00B978F5">
              <w:rPr>
                <w:rStyle w:val="eop"/>
                <w:rFonts w:cs="Arial"/>
                <w:szCs w:val="21"/>
              </w:rPr>
              <w:t xml:space="preserve"> </w:t>
            </w:r>
            <w:r w:rsidRPr="00B978F5">
              <w:rPr>
                <w:rFonts w:cs="Arial"/>
              </w:rPr>
              <w:t xml:space="preserve">will need to provide information about any findings by a relevant regulator or tribunal that the provider or their key personnel has engaged in misconduct that the Social Services Regulator considers relevant to the suitability </w:t>
            </w:r>
            <w:r w:rsidRPr="00B978F5" w:rsidDel="0054406D">
              <w:rPr>
                <w:rFonts w:cs="Arial"/>
              </w:rPr>
              <w:t xml:space="preserve">of the person </w:t>
            </w:r>
            <w:r w:rsidRPr="00B978F5">
              <w:rPr>
                <w:rFonts w:cs="Arial"/>
              </w:rPr>
              <w:t>to provide a social service.</w:t>
            </w:r>
          </w:p>
          <w:p w14:paraId="7F796AAF" w14:textId="77777777" w:rsidR="00F8097E" w:rsidRPr="00B978F5" w:rsidRDefault="00F8097E" w:rsidP="004C6E29">
            <w:pPr>
              <w:pStyle w:val="Tabletext"/>
              <w:rPr>
                <w:rFonts w:cs="Arial"/>
              </w:rPr>
            </w:pPr>
            <w:r w:rsidRPr="00B978F5">
              <w:rPr>
                <w:rFonts w:cs="Arial"/>
              </w:rPr>
              <w:t>The Social Services Regulator may consider findings by a range of relevant regulators or tribunals, including:</w:t>
            </w:r>
          </w:p>
          <w:p w14:paraId="6FFEBB53" w14:textId="77777777" w:rsidR="00F8097E" w:rsidRPr="00B978F5" w:rsidRDefault="00F8097E">
            <w:pPr>
              <w:pStyle w:val="Tablebullet1"/>
              <w:rPr>
                <w:rFonts w:cs="Arial"/>
              </w:rPr>
            </w:pPr>
            <w:r w:rsidRPr="00B978F5">
              <w:rPr>
                <w:rFonts w:cs="Arial"/>
              </w:rPr>
              <w:lastRenderedPageBreak/>
              <w:t>Aged Care Quality and Safety Commission</w:t>
            </w:r>
          </w:p>
          <w:p w14:paraId="1A6553D1" w14:textId="77777777" w:rsidR="00F8097E" w:rsidRPr="00B978F5" w:rsidRDefault="00F8097E">
            <w:pPr>
              <w:pStyle w:val="Tablebullet1"/>
              <w:rPr>
                <w:rFonts w:cs="Arial"/>
              </w:rPr>
            </w:pPr>
            <w:r w:rsidRPr="00B978F5">
              <w:rPr>
                <w:rFonts w:cs="Arial"/>
              </w:rPr>
              <w:t>Australian Health Practitioner Regulation Agency</w:t>
            </w:r>
          </w:p>
          <w:p w14:paraId="3C4D4BB9" w14:textId="77777777" w:rsidR="00F8097E" w:rsidRDefault="00F8097E">
            <w:pPr>
              <w:pStyle w:val="Tablebullet1"/>
              <w:rPr>
                <w:rFonts w:cs="Arial"/>
              </w:rPr>
            </w:pPr>
            <w:r w:rsidRPr="00B978F5">
              <w:rPr>
                <w:rFonts w:cs="Arial"/>
              </w:rPr>
              <w:t>Commission for Children and Young People</w:t>
            </w:r>
          </w:p>
          <w:p w14:paraId="7C5EC707" w14:textId="77777777" w:rsidR="00F8097E" w:rsidRPr="00B978F5" w:rsidRDefault="00F8097E">
            <w:pPr>
              <w:pStyle w:val="Tablebullet1"/>
              <w:rPr>
                <w:rFonts w:cs="Arial"/>
              </w:rPr>
            </w:pPr>
            <w:r>
              <w:rPr>
                <w:rFonts w:cs="Arial"/>
              </w:rPr>
              <w:t>Human Services Regulator</w:t>
            </w:r>
          </w:p>
          <w:p w14:paraId="5B065B0A" w14:textId="77777777" w:rsidR="00F8097E" w:rsidRDefault="00F8097E">
            <w:pPr>
              <w:pStyle w:val="Tablebullet1"/>
              <w:rPr>
                <w:rFonts w:cs="Arial"/>
              </w:rPr>
            </w:pPr>
            <w:r w:rsidRPr="00B978F5">
              <w:rPr>
                <w:rFonts w:cs="Arial"/>
              </w:rPr>
              <w:t>NDIS Quality and Safeguards Commission</w:t>
            </w:r>
          </w:p>
          <w:p w14:paraId="1DDF8672" w14:textId="77777777" w:rsidR="00F8097E" w:rsidRPr="00B978F5" w:rsidRDefault="00F8097E">
            <w:pPr>
              <w:pStyle w:val="Tablebullet1"/>
              <w:rPr>
                <w:rFonts w:cs="Arial"/>
              </w:rPr>
            </w:pPr>
            <w:r>
              <w:rPr>
                <w:rFonts w:cs="Arial"/>
              </w:rPr>
              <w:t>The Suitability Panel</w:t>
            </w:r>
          </w:p>
          <w:p w14:paraId="233587E7" w14:textId="77777777" w:rsidR="00F8097E" w:rsidRPr="00B978F5" w:rsidRDefault="00F8097E">
            <w:pPr>
              <w:pStyle w:val="Tablebullet1"/>
              <w:rPr>
                <w:rFonts w:cs="Arial"/>
              </w:rPr>
            </w:pPr>
            <w:r w:rsidRPr="00B978F5">
              <w:rPr>
                <w:rFonts w:cs="Arial"/>
              </w:rPr>
              <w:t>Working With Children Check Victoria</w:t>
            </w:r>
          </w:p>
          <w:p w14:paraId="57AB5D24" w14:textId="77777777" w:rsidR="00F8097E" w:rsidRPr="00B978F5" w:rsidRDefault="00F8097E">
            <w:pPr>
              <w:pStyle w:val="Tablebullet1"/>
              <w:rPr>
                <w:rFonts w:cs="Arial"/>
                <w:szCs w:val="21"/>
              </w:rPr>
            </w:pPr>
            <w:r w:rsidRPr="00B978F5">
              <w:rPr>
                <w:rFonts w:cs="Arial"/>
              </w:rPr>
              <w:t>Victorian Disability Worker Commission.</w:t>
            </w:r>
          </w:p>
          <w:p w14:paraId="64211F11" w14:textId="77777777" w:rsidR="00F8097E" w:rsidRPr="00B978F5" w:rsidRDefault="00F8097E" w:rsidP="004C6E29">
            <w:pPr>
              <w:pStyle w:val="Tabletext"/>
              <w:rPr>
                <w:rStyle w:val="eop"/>
                <w:rFonts w:cs="Arial"/>
                <w:szCs w:val="21"/>
              </w:rPr>
            </w:pPr>
            <w:r w:rsidRPr="00B978F5">
              <w:rPr>
                <w:rFonts w:cs="Arial"/>
              </w:rPr>
              <w:t>This is not an exhaustive list.</w:t>
            </w:r>
          </w:p>
        </w:tc>
      </w:tr>
      <w:tr w:rsidR="00F8097E" w14:paraId="247F47A6" w14:textId="77777777" w:rsidTr="41DC38ED">
        <w:tc>
          <w:tcPr>
            <w:tcW w:w="1805" w:type="pct"/>
          </w:tcPr>
          <w:p w14:paraId="70EF1399" w14:textId="77777777" w:rsidR="00F8097E" w:rsidRPr="00A72FEA" w:rsidRDefault="00F8097E">
            <w:pPr>
              <w:pStyle w:val="Tabletext"/>
              <w:rPr>
                <w:rStyle w:val="eop"/>
              </w:rPr>
            </w:pPr>
            <w:bookmarkStart w:id="11" w:name="_Hlk164853787"/>
            <w:r w:rsidRPr="00A72FEA">
              <w:rPr>
                <w:rStyle w:val="eop"/>
              </w:rPr>
              <w:lastRenderedPageBreak/>
              <w:t xml:space="preserve">If </w:t>
            </w:r>
            <w:r>
              <w:rPr>
                <w:rStyle w:val="eop"/>
              </w:rPr>
              <w:t>a</w:t>
            </w:r>
            <w:r w:rsidRPr="00A72FEA">
              <w:rPr>
                <w:rStyle w:val="eop"/>
              </w:rPr>
              <w:t xml:space="preserve"> </w:t>
            </w:r>
            <w:r w:rsidRPr="00A72FEA" w:rsidDel="0054406D">
              <w:rPr>
                <w:rStyle w:val="eop"/>
              </w:rPr>
              <w:t xml:space="preserve">person </w:t>
            </w:r>
            <w:r w:rsidRPr="00A72FEA">
              <w:rPr>
                <w:rStyle w:val="eop"/>
              </w:rPr>
              <w:t xml:space="preserve">has had </w:t>
            </w:r>
            <w:r w:rsidRPr="00586E0F">
              <w:rPr>
                <w:rStyle w:val="eop"/>
                <w:b/>
                <w:bCs/>
              </w:rPr>
              <w:t>registration revoked</w:t>
            </w:r>
            <w:r w:rsidRPr="00A72FEA">
              <w:rPr>
                <w:rStyle w:val="eop"/>
              </w:rPr>
              <w:t xml:space="preserve"> to provide a social service</w:t>
            </w:r>
            <w:bookmarkEnd w:id="11"/>
          </w:p>
        </w:tc>
        <w:tc>
          <w:tcPr>
            <w:tcW w:w="3195" w:type="pct"/>
          </w:tcPr>
          <w:p w14:paraId="1ECFC9D9" w14:textId="77777777" w:rsidR="00F8097E" w:rsidRPr="004C6E29" w:rsidRDefault="00F8097E" w:rsidP="004C6E29">
            <w:pPr>
              <w:pStyle w:val="Tabletext"/>
              <w:rPr>
                <w:rStyle w:val="eop"/>
              </w:rPr>
            </w:pPr>
            <w:r w:rsidRPr="004C6E29">
              <w:rPr>
                <w:rStyle w:val="eop"/>
              </w:rPr>
              <w:t xml:space="preserve">Service providers must notify the Social Services Regulator of any revocation of registration to provide social services that has occurred in either state, federal or internationally based schemes. </w:t>
            </w:r>
          </w:p>
        </w:tc>
      </w:tr>
      <w:tr w:rsidR="00F8097E" w14:paraId="77CF621F" w14:textId="77777777" w:rsidTr="41DC38ED">
        <w:tc>
          <w:tcPr>
            <w:tcW w:w="1805" w:type="pct"/>
          </w:tcPr>
          <w:p w14:paraId="41EC7F86" w14:textId="77777777" w:rsidR="00F8097E" w:rsidRPr="00A72FEA" w:rsidRDefault="00F8097E">
            <w:pPr>
              <w:pStyle w:val="Tabletext"/>
              <w:rPr>
                <w:rStyle w:val="eop"/>
              </w:rPr>
            </w:pPr>
            <w:bookmarkStart w:id="12" w:name="_Hlk164853793"/>
            <w:r>
              <w:rPr>
                <w:rStyle w:val="eop"/>
              </w:rPr>
              <w:t>A</w:t>
            </w:r>
            <w:r w:rsidRPr="00A72FEA">
              <w:rPr>
                <w:rStyle w:val="eop"/>
              </w:rPr>
              <w:t xml:space="preserve">ny </w:t>
            </w:r>
            <w:r w:rsidRPr="007354D4">
              <w:rPr>
                <w:rStyle w:val="eop"/>
                <w:b/>
                <w:bCs/>
              </w:rPr>
              <w:t>sanction, condition or restriction</w:t>
            </w:r>
            <w:r w:rsidRPr="00A72FEA">
              <w:rPr>
                <w:rStyle w:val="eop"/>
              </w:rPr>
              <w:t xml:space="preserve"> placed on the person in relation to a social service </w:t>
            </w:r>
            <w:bookmarkEnd w:id="12"/>
          </w:p>
        </w:tc>
        <w:tc>
          <w:tcPr>
            <w:tcW w:w="3195" w:type="pct"/>
          </w:tcPr>
          <w:p w14:paraId="28E517D0" w14:textId="77777777" w:rsidR="00F8097E" w:rsidRPr="004C6E29" w:rsidRDefault="00F8097E" w:rsidP="004C6E29">
            <w:pPr>
              <w:pStyle w:val="Tabletext"/>
              <w:rPr>
                <w:rStyle w:val="eop"/>
              </w:rPr>
            </w:pPr>
            <w:r w:rsidRPr="004C6E29">
              <w:rPr>
                <w:rStyle w:val="eop"/>
              </w:rPr>
              <w:t xml:space="preserve">Service providers must notify the Social Services Regulator of any sanctions, conditions or restrictions on a service provider, that is managed wholly or in part by the key personnel, that were issued by another Regulator. </w:t>
            </w:r>
          </w:p>
        </w:tc>
      </w:tr>
    </w:tbl>
    <w:p w14:paraId="69F43E1D" w14:textId="77777777" w:rsidR="00F8097E" w:rsidRDefault="00F8097E" w:rsidP="00F8097E">
      <w:pPr>
        <w:spacing w:after="0" w:line="240" w:lineRule="auto"/>
      </w:pPr>
      <w:r>
        <w:br w:type="page"/>
      </w:r>
    </w:p>
    <w:p w14:paraId="59FFCC4E" w14:textId="77777777" w:rsidR="00F8097E" w:rsidRPr="000E43B6" w:rsidRDefault="00F8097E" w:rsidP="00F8097E">
      <w:pPr>
        <w:pStyle w:val="Heading2"/>
      </w:pPr>
      <w:bookmarkStart w:id="13" w:name="_Appendix_2"/>
      <w:bookmarkEnd w:id="13"/>
      <w:r w:rsidRPr="000E43B6">
        <w:lastRenderedPageBreak/>
        <w:t>Appendix 2</w:t>
      </w:r>
    </w:p>
    <w:p w14:paraId="454DAA25" w14:textId="77777777" w:rsidR="00F8097E" w:rsidRPr="004635A3" w:rsidRDefault="00F8097E" w:rsidP="00F8097E">
      <w:pPr>
        <w:pStyle w:val="Heading3"/>
        <w:rPr>
          <w:b/>
          <w:bCs w:val="0"/>
        </w:rPr>
      </w:pPr>
      <w:r w:rsidRPr="004635A3">
        <w:rPr>
          <w:b/>
          <w:bCs w:val="0"/>
        </w:rPr>
        <w:t xml:space="preserve">Premises suitability </w:t>
      </w:r>
    </w:p>
    <w:p w14:paraId="4F85372A" w14:textId="77777777" w:rsidR="00F8097E" w:rsidRDefault="00F8097E" w:rsidP="00F8097E">
      <w:pPr>
        <w:pStyle w:val="Body"/>
      </w:pPr>
      <w:r>
        <w:t>P</w:t>
      </w:r>
      <w:r w:rsidRPr="006E62BE">
        <w:t xml:space="preserve">remises used </w:t>
      </w:r>
      <w:r>
        <w:t>to provide</w:t>
      </w:r>
      <w:r w:rsidRPr="006E62BE">
        <w:t xml:space="preserve"> </w:t>
      </w:r>
      <w:r>
        <w:t>a</w:t>
      </w:r>
      <w:r w:rsidRPr="006E62BE">
        <w:t xml:space="preserve"> social service must be </w:t>
      </w:r>
      <w:r>
        <w:t xml:space="preserve">assessed as </w:t>
      </w:r>
      <w:r w:rsidRPr="006E62BE">
        <w:t>suitable for the safe delivery of th</w:t>
      </w:r>
      <w:r>
        <w:t>at</w:t>
      </w:r>
      <w:r w:rsidRPr="006E62BE">
        <w:t xml:space="preserve"> service</w:t>
      </w:r>
      <w:r>
        <w:t>, in line with Regulation 25. The premises must be fit for purpose, adequately maintained and presented.</w:t>
      </w:r>
    </w:p>
    <w:p w14:paraId="44A22B69" w14:textId="77777777" w:rsidR="00F8097E" w:rsidRDefault="00F8097E" w:rsidP="00F8097E">
      <w:pPr>
        <w:pStyle w:val="Body"/>
      </w:pPr>
      <w:r>
        <w:t xml:space="preserve">Premises used to deliver social services should: </w:t>
      </w:r>
    </w:p>
    <w:p w14:paraId="1C683D3A" w14:textId="77777777" w:rsidR="00F8097E" w:rsidRDefault="00F8097E" w:rsidP="00DF6D37">
      <w:pPr>
        <w:pStyle w:val="Bullet1"/>
        <w:numPr>
          <w:ilvl w:val="0"/>
          <w:numId w:val="33"/>
        </w:numPr>
      </w:pPr>
      <w:r>
        <w:t>meet the individual and collective needs of service users</w:t>
      </w:r>
    </w:p>
    <w:p w14:paraId="6601AAFE" w14:textId="77777777" w:rsidR="00F8097E" w:rsidRDefault="00F8097E" w:rsidP="00DF6D37">
      <w:pPr>
        <w:pStyle w:val="Bullet1"/>
        <w:numPr>
          <w:ilvl w:val="0"/>
          <w:numId w:val="33"/>
        </w:numPr>
      </w:pPr>
      <w:r>
        <w:t>be suitable and accessible for its stated purposes</w:t>
      </w:r>
    </w:p>
    <w:p w14:paraId="6909B2B4" w14:textId="77777777" w:rsidR="00F8097E" w:rsidRDefault="00F8097E" w:rsidP="00DF6D37">
      <w:pPr>
        <w:pStyle w:val="Bullet1"/>
        <w:numPr>
          <w:ilvl w:val="0"/>
          <w:numId w:val="33"/>
        </w:numPr>
      </w:pPr>
      <w:r>
        <w:t>offer a reasonable standard of security</w:t>
      </w:r>
    </w:p>
    <w:p w14:paraId="34199AD4" w14:textId="77777777" w:rsidR="00F8097E" w:rsidRDefault="00F8097E" w:rsidP="00DF6D37">
      <w:pPr>
        <w:pStyle w:val="Bullet1"/>
        <w:numPr>
          <w:ilvl w:val="0"/>
          <w:numId w:val="33"/>
        </w:numPr>
      </w:pPr>
      <w:r>
        <w:t xml:space="preserve">comply with all relevant health and safety laws. </w:t>
      </w:r>
    </w:p>
    <w:p w14:paraId="55557F05" w14:textId="77777777" w:rsidR="00F8097E" w:rsidRDefault="00F8097E" w:rsidP="00F8097E">
      <w:pPr>
        <w:pStyle w:val="Body"/>
      </w:pPr>
      <w:r>
        <w:t>Factors the Regulator will assess when determining the suitability of a premises</w:t>
      </w:r>
      <w:r w:rsidDel="00A87F71">
        <w:t xml:space="preserve"> </w:t>
      </w:r>
      <w:r>
        <w:t xml:space="preserve">are outlined in </w:t>
      </w:r>
      <w:r w:rsidRPr="00F4145F">
        <w:t>Table 3</w:t>
      </w:r>
      <w:r>
        <w:t xml:space="preserve">. </w:t>
      </w:r>
    </w:p>
    <w:p w14:paraId="4BF6D202" w14:textId="77777777" w:rsidR="00F8097E" w:rsidRDefault="00F8097E" w:rsidP="00F8097E">
      <w:pPr>
        <w:pStyle w:val="Body"/>
      </w:pPr>
      <w:r>
        <w:t xml:space="preserve">The suggested documents may not be applicable to all service providers and should be used as a guide only. Service providers may also produce other documents if they determine these adequately demonstrate the suitability of their premises. </w:t>
      </w:r>
    </w:p>
    <w:p w14:paraId="56E385D8" w14:textId="77777777" w:rsidR="00F8097E" w:rsidRPr="006522FD" w:rsidRDefault="00F8097E" w:rsidP="00F8097E">
      <w:pPr>
        <w:pStyle w:val="Heading4"/>
      </w:pPr>
      <w:r w:rsidRPr="00F4145F">
        <w:t>Table 3</w:t>
      </w:r>
    </w:p>
    <w:tbl>
      <w:tblPr>
        <w:tblStyle w:val="TableGrid"/>
        <w:tblW w:w="5000" w:type="pct"/>
        <w:tblLook w:val="04A0" w:firstRow="1" w:lastRow="0" w:firstColumn="1" w:lastColumn="0" w:noHBand="0" w:noVBand="1"/>
      </w:tblPr>
      <w:tblGrid>
        <w:gridCol w:w="3113"/>
        <w:gridCol w:w="7081"/>
      </w:tblGrid>
      <w:tr w:rsidR="00F8097E" w14:paraId="74BBB017" w14:textId="77777777" w:rsidTr="004C6E29">
        <w:trPr>
          <w:tblHeader/>
        </w:trPr>
        <w:tc>
          <w:tcPr>
            <w:tcW w:w="1527" w:type="pct"/>
            <w:shd w:val="clear" w:color="auto" w:fill="FFFFFF" w:themeFill="background1"/>
          </w:tcPr>
          <w:p w14:paraId="7192979E" w14:textId="77777777" w:rsidR="00F8097E" w:rsidRPr="000B5AA6" w:rsidRDefault="00F8097E">
            <w:pPr>
              <w:pStyle w:val="Tablecolhead"/>
            </w:pPr>
            <w:r w:rsidRPr="000B5AA6">
              <w:t>Factors</w:t>
            </w:r>
          </w:p>
        </w:tc>
        <w:tc>
          <w:tcPr>
            <w:tcW w:w="3473" w:type="pct"/>
            <w:shd w:val="clear" w:color="auto" w:fill="FFFFFF" w:themeFill="background1"/>
          </w:tcPr>
          <w:p w14:paraId="1FCF74AC" w14:textId="77777777" w:rsidR="00F8097E" w:rsidRPr="000B5AA6" w:rsidRDefault="00F8097E">
            <w:pPr>
              <w:pStyle w:val="Tablecolhead"/>
            </w:pPr>
            <w:r w:rsidRPr="000B5AA6">
              <w:t xml:space="preserve">Documentation </w:t>
            </w:r>
            <w:r>
              <w:t xml:space="preserve">that may be required </w:t>
            </w:r>
            <w:r w:rsidRPr="000B5AA6">
              <w:t xml:space="preserve">to support </w:t>
            </w:r>
            <w:r>
              <w:t>application</w:t>
            </w:r>
          </w:p>
        </w:tc>
      </w:tr>
      <w:tr w:rsidR="00F8097E" w14:paraId="78B47450" w14:textId="77777777" w:rsidTr="004C6E29">
        <w:tc>
          <w:tcPr>
            <w:tcW w:w="1527" w:type="pct"/>
          </w:tcPr>
          <w:p w14:paraId="5F5F58BE" w14:textId="77777777" w:rsidR="00F8097E" w:rsidRPr="000048BE" w:rsidRDefault="00F8097E">
            <w:pPr>
              <w:pStyle w:val="Tabletext"/>
              <w:rPr>
                <w:b/>
                <w:bCs/>
              </w:rPr>
            </w:pPr>
            <w:r w:rsidRPr="000048BE">
              <w:rPr>
                <w:b/>
                <w:bCs/>
              </w:rPr>
              <w:t>Safety and accessibility requirements of service users</w:t>
            </w:r>
          </w:p>
        </w:tc>
        <w:tc>
          <w:tcPr>
            <w:tcW w:w="3473" w:type="pct"/>
          </w:tcPr>
          <w:p w14:paraId="67DC4A90" w14:textId="77777777" w:rsidR="00F8097E" w:rsidRDefault="00F8097E">
            <w:pPr>
              <w:pStyle w:val="Tablebullet1"/>
            </w:pPr>
            <w:r w:rsidRPr="0083776C">
              <w:t xml:space="preserve">site or floor plan of the premises </w:t>
            </w:r>
            <w:r>
              <w:t xml:space="preserve">used to deliver </w:t>
            </w:r>
            <w:r w:rsidRPr="0083776C">
              <w:t>social services</w:t>
            </w:r>
          </w:p>
          <w:p w14:paraId="0925527A" w14:textId="77777777" w:rsidR="00F8097E" w:rsidRPr="0001407C" w:rsidRDefault="00F8097E">
            <w:pPr>
              <w:pStyle w:val="Tablebullet1"/>
            </w:pPr>
            <w:r w:rsidRPr="0001407C">
              <w:t>the proposed profile of service users at the premises</w:t>
            </w:r>
            <w:r>
              <w:t>,</w:t>
            </w:r>
            <w:r w:rsidRPr="0001407C">
              <w:t xml:space="preserve"> including maximum occupancy</w:t>
            </w:r>
          </w:p>
          <w:p w14:paraId="77D9D5D4" w14:textId="77777777" w:rsidR="00F8097E" w:rsidRPr="0001407C" w:rsidRDefault="00F8097E">
            <w:pPr>
              <w:pStyle w:val="Tablebullet1"/>
            </w:pPr>
            <w:r w:rsidRPr="0001407C">
              <w:t>how the premises will meet service users’ accessibility requirements</w:t>
            </w:r>
          </w:p>
          <w:p w14:paraId="7AED191A" w14:textId="77777777" w:rsidR="00F8097E" w:rsidRPr="0001407C" w:rsidRDefault="00F8097E">
            <w:pPr>
              <w:pStyle w:val="Tablebullet1"/>
            </w:pPr>
            <w:r w:rsidRPr="0001407C">
              <w:t>identification and management of hazards and risks of harm to service users relating to the premises</w:t>
            </w:r>
            <w:r>
              <w:t>, facilities, equipment, furniture</w:t>
            </w:r>
            <w:r w:rsidRPr="0001407C">
              <w:t xml:space="preserve"> </w:t>
            </w:r>
            <w:r>
              <w:t>and fittings used to deliver social services</w:t>
            </w:r>
          </w:p>
          <w:p w14:paraId="74E8FAA5" w14:textId="77777777" w:rsidR="00F8097E" w:rsidRPr="0001407C" w:rsidRDefault="00F8097E">
            <w:pPr>
              <w:pStyle w:val="Tablebullet1"/>
            </w:pPr>
            <w:r w:rsidRPr="0001407C">
              <w:t>essential safety measures</w:t>
            </w:r>
            <w:r>
              <w:t xml:space="preserve">, </w:t>
            </w:r>
            <w:r w:rsidRPr="0001407C">
              <w:t>including fire safety requirements</w:t>
            </w:r>
          </w:p>
          <w:p w14:paraId="28E4840E" w14:textId="77777777" w:rsidR="00F8097E" w:rsidRPr="0001407C" w:rsidRDefault="00F8097E">
            <w:pPr>
              <w:pStyle w:val="Tablebullet1"/>
            </w:pPr>
            <w:r w:rsidRPr="0001407C">
              <w:t>emergency management</w:t>
            </w:r>
            <w:r>
              <w:t xml:space="preserve"> plans</w:t>
            </w:r>
          </w:p>
          <w:p w14:paraId="61AAC727" w14:textId="77777777" w:rsidR="00F8097E" w:rsidRDefault="00F8097E">
            <w:pPr>
              <w:pStyle w:val="Tablebullet1"/>
            </w:pPr>
            <w:r w:rsidRPr="0001407C">
              <w:t>privacy and security at the premises</w:t>
            </w:r>
          </w:p>
          <w:p w14:paraId="6FA71A9A" w14:textId="77777777" w:rsidR="00F8097E" w:rsidRPr="007C061B" w:rsidRDefault="00F8097E">
            <w:pPr>
              <w:pStyle w:val="Tablebullet1"/>
            </w:pPr>
            <w:r>
              <w:t>a register or reports demonstrating that facilities, equipment, furniture and fittings are maintained in a safe and serviceable condition.</w:t>
            </w:r>
          </w:p>
        </w:tc>
      </w:tr>
      <w:tr w:rsidR="00F8097E" w14:paraId="0B1AE1FB" w14:textId="77777777" w:rsidTr="004C6E29">
        <w:tc>
          <w:tcPr>
            <w:tcW w:w="1527" w:type="pct"/>
          </w:tcPr>
          <w:p w14:paraId="3DDF1055" w14:textId="0C5AEEE7" w:rsidR="00F8097E" w:rsidRPr="000048BE" w:rsidRDefault="7E6E8F57">
            <w:pPr>
              <w:pStyle w:val="Tabletext"/>
              <w:rPr>
                <w:b/>
                <w:bCs/>
              </w:rPr>
            </w:pPr>
            <w:r w:rsidRPr="41DC38ED">
              <w:rPr>
                <w:b/>
                <w:bCs/>
              </w:rPr>
              <w:t>Suitability of fixtures and fittings</w:t>
            </w:r>
            <w:r>
              <w:t xml:space="preserve"> to enable the safe use of the premises</w:t>
            </w:r>
            <w:r w:rsidR="00881266">
              <w:t xml:space="preserve"> (where applicable)</w:t>
            </w:r>
          </w:p>
        </w:tc>
        <w:tc>
          <w:tcPr>
            <w:tcW w:w="3473" w:type="pct"/>
          </w:tcPr>
          <w:p w14:paraId="31825CAE" w14:textId="77777777" w:rsidR="00F8097E" w:rsidRPr="001F5870" w:rsidRDefault="00F8097E">
            <w:pPr>
              <w:pStyle w:val="Tablebullet1"/>
            </w:pPr>
            <w:r w:rsidRPr="001F5870">
              <w:t>annual essential safety measures report</w:t>
            </w:r>
          </w:p>
          <w:p w14:paraId="712A43D8" w14:textId="77777777" w:rsidR="00F8097E" w:rsidRDefault="00F8097E">
            <w:pPr>
              <w:pStyle w:val="Tablebullet1"/>
            </w:pPr>
            <w:r w:rsidRPr="001F5870">
              <w:t>diagram or description of the premises for the delivery of social services (where relevant)</w:t>
            </w:r>
          </w:p>
          <w:p w14:paraId="7D799DFE" w14:textId="77777777" w:rsidR="00F8097E" w:rsidRPr="00BD1D0E" w:rsidRDefault="00F8097E">
            <w:pPr>
              <w:pStyle w:val="Tablebullet1"/>
            </w:pPr>
            <w:r>
              <w:t>photographs of the premises which show adequate and appropriate:</w:t>
            </w:r>
          </w:p>
          <w:p w14:paraId="3DAF0219" w14:textId="77777777" w:rsidR="00F8097E" w:rsidRPr="00BF00E2" w:rsidRDefault="00F8097E">
            <w:pPr>
              <w:pStyle w:val="Tablebullet2"/>
            </w:pPr>
            <w:r w:rsidRPr="00BF00E2">
              <w:t>lighting and window furnishings</w:t>
            </w:r>
          </w:p>
          <w:p w14:paraId="7DF0576A" w14:textId="77777777" w:rsidR="00F8097E" w:rsidRPr="00BF00E2" w:rsidRDefault="00F8097E">
            <w:pPr>
              <w:pStyle w:val="Tablebullet2"/>
            </w:pPr>
            <w:r w:rsidRPr="00BF00E2">
              <w:t>storage</w:t>
            </w:r>
            <w:r>
              <w:t xml:space="preserve">, </w:t>
            </w:r>
            <w:r w:rsidRPr="00BF00E2">
              <w:t>including space for personal belongings and wardrobes if applicable</w:t>
            </w:r>
          </w:p>
          <w:p w14:paraId="085671A7" w14:textId="77777777" w:rsidR="00F8097E" w:rsidRPr="00BF00E2" w:rsidRDefault="00F8097E">
            <w:pPr>
              <w:pStyle w:val="Tablebullet2"/>
            </w:pPr>
            <w:r w:rsidRPr="00BF00E2">
              <w:t>heating, cooling and ventilation</w:t>
            </w:r>
          </w:p>
          <w:p w14:paraId="7752B5C2" w14:textId="77777777" w:rsidR="00F8097E" w:rsidRPr="00BF00E2" w:rsidRDefault="00F8097E">
            <w:pPr>
              <w:pStyle w:val="Tablebullet2"/>
            </w:pPr>
            <w:r w:rsidRPr="00BF00E2">
              <w:t>electrical connections (including power outlets)</w:t>
            </w:r>
          </w:p>
          <w:p w14:paraId="3B13C61E" w14:textId="77777777" w:rsidR="00F8097E" w:rsidRPr="00BF00E2" w:rsidRDefault="00F8097E">
            <w:pPr>
              <w:pStyle w:val="Tablebullet2"/>
            </w:pPr>
            <w:r w:rsidRPr="00BF00E2">
              <w:t>kitchen, bathroom and laundry fixtures, fittings and appliances (where applicable)</w:t>
            </w:r>
          </w:p>
          <w:p w14:paraId="00A44372" w14:textId="77777777" w:rsidR="00F8097E" w:rsidRPr="00BF00E2" w:rsidRDefault="00F8097E">
            <w:pPr>
              <w:pStyle w:val="Tablebullet2"/>
            </w:pPr>
            <w:r w:rsidRPr="00BF00E2">
              <w:t>furniture</w:t>
            </w:r>
          </w:p>
          <w:p w14:paraId="38BC1806" w14:textId="77777777" w:rsidR="00F8097E" w:rsidRPr="00BF00E2" w:rsidRDefault="00F8097E">
            <w:pPr>
              <w:pStyle w:val="Tablebullet2"/>
            </w:pPr>
            <w:r w:rsidRPr="00BF00E2">
              <w:t>flooring</w:t>
            </w:r>
          </w:p>
          <w:p w14:paraId="22F26D15" w14:textId="77777777" w:rsidR="00F8097E" w:rsidRDefault="00F8097E">
            <w:pPr>
              <w:pStyle w:val="Tablebullet2"/>
            </w:pPr>
            <w:r w:rsidRPr="00BF00E2">
              <w:t>locks, alarms and other security measure</w:t>
            </w:r>
          </w:p>
          <w:p w14:paraId="494F87D5" w14:textId="77777777" w:rsidR="00F8097E" w:rsidRPr="0083776C" w:rsidRDefault="00F8097E">
            <w:pPr>
              <w:pStyle w:val="Tablebullet1"/>
            </w:pPr>
            <w:r>
              <w:t>Specific service user plans where specific fixtures, fittings and/or equipment are required to meet service users’ needs and to deliver services safely.</w:t>
            </w:r>
          </w:p>
        </w:tc>
      </w:tr>
      <w:tr w:rsidR="00F8097E" w14:paraId="1AD3C9AD" w14:textId="77777777" w:rsidTr="004C6E29">
        <w:tc>
          <w:tcPr>
            <w:tcW w:w="1527" w:type="pct"/>
          </w:tcPr>
          <w:p w14:paraId="215C075E" w14:textId="77777777" w:rsidR="00F8097E" w:rsidRPr="00BC2815" w:rsidRDefault="00F8097E">
            <w:pPr>
              <w:pStyle w:val="Tabletext"/>
            </w:pPr>
            <w:r w:rsidRPr="000048BE">
              <w:rPr>
                <w:b/>
                <w:bCs/>
              </w:rPr>
              <w:lastRenderedPageBreak/>
              <w:t>Agreements or arrangements</w:t>
            </w:r>
            <w:r w:rsidRPr="00BD1D0E">
              <w:t xml:space="preserve"> between the provider of a social service and the owner of the premises</w:t>
            </w:r>
            <w:r>
              <w:t>,</w:t>
            </w:r>
            <w:r w:rsidRPr="00BD1D0E">
              <w:t xml:space="preserve"> </w:t>
            </w:r>
            <w:r>
              <w:t>relating</w:t>
            </w:r>
            <w:r w:rsidRPr="00BD1D0E">
              <w:t xml:space="preserve"> to the safety of the premises or the safety of facilities and fixtures</w:t>
            </w:r>
          </w:p>
        </w:tc>
        <w:tc>
          <w:tcPr>
            <w:tcW w:w="3473" w:type="pct"/>
          </w:tcPr>
          <w:p w14:paraId="629368EE" w14:textId="77777777" w:rsidR="00F8097E" w:rsidRDefault="00F8097E">
            <w:pPr>
              <w:pStyle w:val="Tabletext"/>
            </w:pPr>
            <w:r>
              <w:t>This factor may not be applicable to all providers. It may include:</w:t>
            </w:r>
          </w:p>
          <w:p w14:paraId="4C2D4CC0" w14:textId="77777777" w:rsidR="00F8097E" w:rsidRDefault="00F8097E">
            <w:pPr>
              <w:pStyle w:val="Tablebullet1"/>
            </w:pPr>
            <w:r>
              <w:t>lease or rental agreements</w:t>
            </w:r>
          </w:p>
          <w:p w14:paraId="00E636DF" w14:textId="77777777" w:rsidR="00F8097E" w:rsidRPr="0083776C" w:rsidRDefault="00F8097E">
            <w:pPr>
              <w:pStyle w:val="Tablebullet1"/>
            </w:pPr>
            <w:r>
              <w:t>maintenance schedules</w:t>
            </w:r>
          </w:p>
        </w:tc>
      </w:tr>
      <w:tr w:rsidR="00F8097E" w14:paraId="2F6762B1" w14:textId="77777777" w:rsidTr="004C6E29">
        <w:tc>
          <w:tcPr>
            <w:tcW w:w="1527" w:type="pct"/>
          </w:tcPr>
          <w:p w14:paraId="49ECC252" w14:textId="77777777" w:rsidR="00F8097E" w:rsidRPr="00BC2815" w:rsidRDefault="00F8097E">
            <w:pPr>
              <w:pStyle w:val="Tabletext"/>
            </w:pPr>
            <w:r>
              <w:t>W</w:t>
            </w:r>
            <w:r w:rsidRPr="00BC2815">
              <w:t xml:space="preserve">hether the premises </w:t>
            </w:r>
            <w:r w:rsidRPr="000048BE">
              <w:rPr>
                <w:b/>
                <w:bCs/>
              </w:rPr>
              <w:t>comply with any other law</w:t>
            </w:r>
            <w:r w:rsidRPr="00BC2815">
              <w:t xml:space="preserve"> relating to the safety and use of the premises.</w:t>
            </w:r>
          </w:p>
          <w:p w14:paraId="1AE7AC47" w14:textId="77777777" w:rsidR="00F8097E" w:rsidRPr="00BC2815" w:rsidRDefault="00F8097E">
            <w:pPr>
              <w:pStyle w:val="Tabletext"/>
            </w:pPr>
          </w:p>
        </w:tc>
        <w:tc>
          <w:tcPr>
            <w:tcW w:w="3473" w:type="pct"/>
          </w:tcPr>
          <w:p w14:paraId="44C8F1EA" w14:textId="77777777" w:rsidR="00F8097E" w:rsidRPr="0083776C" w:rsidRDefault="00F8097E">
            <w:pPr>
              <w:pStyle w:val="Tablebullet1"/>
            </w:pPr>
            <w:r w:rsidRPr="0083776C">
              <w:t>planning permits (where applicable)</w:t>
            </w:r>
          </w:p>
          <w:p w14:paraId="6BF57AD7" w14:textId="77777777" w:rsidR="00F8097E" w:rsidRPr="0083776C" w:rsidRDefault="00F8097E">
            <w:pPr>
              <w:pStyle w:val="Tablebullet1"/>
            </w:pPr>
            <w:r w:rsidRPr="0083776C">
              <w:t>a report from a registered building surveyor</w:t>
            </w:r>
          </w:p>
          <w:p w14:paraId="43768C55" w14:textId="77777777" w:rsidR="00F8097E" w:rsidRDefault="00F8097E">
            <w:pPr>
              <w:pStyle w:val="Tablebullet1"/>
            </w:pPr>
            <w:r w:rsidRPr="0083776C">
              <w:t>the occupancy permit or certificate of final inspection for the premises</w:t>
            </w:r>
          </w:p>
          <w:p w14:paraId="35F26708" w14:textId="77777777" w:rsidR="00F8097E" w:rsidRPr="00A620F4" w:rsidRDefault="00F8097E">
            <w:pPr>
              <w:pStyle w:val="Tablebullet1"/>
              <w:rPr>
                <w:rFonts w:ascii="VIC" w:hAnsi="VIC"/>
              </w:rPr>
            </w:pPr>
            <w:r>
              <w:t xml:space="preserve">insurance documents relating to the premises </w:t>
            </w:r>
          </w:p>
        </w:tc>
      </w:tr>
    </w:tbl>
    <w:p w14:paraId="2C41F067" w14:textId="77777777" w:rsidR="00F8097E" w:rsidRDefault="00F8097E" w:rsidP="00F8097E"/>
    <w:p w14:paraId="78B0598F" w14:textId="77777777" w:rsidR="00F8097E" w:rsidRDefault="00F8097E" w:rsidP="00F8097E"/>
    <w:p w14:paraId="2068C15B" w14:textId="77777777" w:rsidR="00F8097E" w:rsidRDefault="00F8097E" w:rsidP="00F8097E">
      <w:pPr>
        <w:spacing w:after="0" w:line="240" w:lineRule="auto"/>
      </w:pPr>
      <w:r>
        <w:br w:type="page"/>
      </w:r>
    </w:p>
    <w:p w14:paraId="6DCE8404" w14:textId="77777777" w:rsidR="00F8097E" w:rsidRPr="00E76459" w:rsidRDefault="00F8097E" w:rsidP="00F8097E">
      <w:pPr>
        <w:pStyle w:val="Heading2"/>
      </w:pPr>
      <w:bookmarkStart w:id="14" w:name="_Appendix_3"/>
      <w:bookmarkEnd w:id="14"/>
      <w:r w:rsidRPr="000E43B6">
        <w:lastRenderedPageBreak/>
        <w:t>Appendix 3</w:t>
      </w:r>
    </w:p>
    <w:tbl>
      <w:tblPr>
        <w:tblStyle w:val="TableGrid"/>
        <w:tblpPr w:leftFromText="180" w:rightFromText="180" w:vertAnchor="text" w:tblpY="1"/>
        <w:tblOverlap w:val="never"/>
        <w:tblW w:w="10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143"/>
      </w:tblGrid>
      <w:tr w:rsidR="00F8097E" w:rsidRPr="00421442" w14:paraId="2570F0F8" w14:textId="77777777" w:rsidTr="41DC38ED">
        <w:trPr>
          <w:trHeight w:val="284"/>
        </w:trPr>
        <w:tc>
          <w:tcPr>
            <w:tcW w:w="10143" w:type="dxa"/>
          </w:tcPr>
          <w:p w14:paraId="26AB83FE" w14:textId="77777777" w:rsidR="00F8097E" w:rsidRPr="00421442" w:rsidRDefault="00F8097E">
            <w:pPr>
              <w:pStyle w:val="Heading3"/>
              <w:rPr>
                <w:b/>
                <w:bCs w:val="0"/>
              </w:rPr>
            </w:pPr>
            <w:r w:rsidRPr="00421442">
              <w:rPr>
                <w:b/>
                <w:bCs w:val="0"/>
              </w:rPr>
              <w:t>Business structures</w:t>
            </w:r>
          </w:p>
          <w:p w14:paraId="1CF3688A" w14:textId="77777777" w:rsidR="00F8097E" w:rsidRPr="00421442" w:rsidRDefault="00F8097E">
            <w:pPr>
              <w:pStyle w:val="Body"/>
            </w:pPr>
            <w:r w:rsidRPr="00421442">
              <w:t>Service providers must demonstrate that they have appropriate business structures in place to provide social services.</w:t>
            </w:r>
          </w:p>
          <w:p w14:paraId="40FE31A0" w14:textId="77777777" w:rsidR="00F8097E" w:rsidRPr="00421442" w:rsidRDefault="00F8097E">
            <w:pPr>
              <w:pStyle w:val="Body"/>
            </w:pPr>
            <w:r w:rsidRPr="00421442">
              <w:t xml:space="preserve">Relevant details on the operating structure of </w:t>
            </w:r>
            <w:r>
              <w:t>an</w:t>
            </w:r>
            <w:r w:rsidRPr="00421442">
              <w:t xml:space="preserve"> organisation are outlined in Table 4.</w:t>
            </w:r>
            <w:r>
              <w:t xml:space="preserve"> </w:t>
            </w:r>
            <w:r w:rsidRPr="006C4D44">
              <w:t>Service providers may need to provide applicable details in the registration form.</w:t>
            </w:r>
          </w:p>
          <w:p w14:paraId="72C2A981" w14:textId="77777777" w:rsidR="00F8097E" w:rsidRPr="00421442" w:rsidRDefault="00F8097E">
            <w:pPr>
              <w:pStyle w:val="Heading4"/>
            </w:pPr>
            <w:r w:rsidRPr="00421442">
              <w:t>Table 4</w:t>
            </w:r>
          </w:p>
          <w:tbl>
            <w:tblPr>
              <w:tblStyle w:val="TableGrid"/>
              <w:tblW w:w="5000" w:type="pct"/>
              <w:tblLook w:val="04A0" w:firstRow="1" w:lastRow="0" w:firstColumn="1" w:lastColumn="0" w:noHBand="0" w:noVBand="1"/>
            </w:tblPr>
            <w:tblGrid>
              <w:gridCol w:w="2703"/>
              <w:gridCol w:w="7430"/>
            </w:tblGrid>
            <w:tr w:rsidR="00F8097E" w:rsidRPr="00421442" w14:paraId="594C0F8A" w14:textId="77777777" w:rsidTr="004C6E29">
              <w:tc>
                <w:tcPr>
                  <w:tcW w:w="1334" w:type="pct"/>
                  <w:shd w:val="clear" w:color="auto" w:fill="auto"/>
                </w:tcPr>
                <w:p w14:paraId="30EDA6A9" w14:textId="77777777" w:rsidR="00F8097E" w:rsidRPr="00421442" w:rsidRDefault="00F8097E" w:rsidP="00B21094">
                  <w:pPr>
                    <w:pStyle w:val="Tablecolhead"/>
                    <w:framePr w:hSpace="180" w:wrap="around" w:vAnchor="text" w:hAnchor="text" w:y="1"/>
                    <w:suppressOverlap/>
                  </w:pPr>
                  <w:r w:rsidRPr="00421442">
                    <w:t>Business type</w:t>
                  </w:r>
                </w:p>
              </w:tc>
              <w:tc>
                <w:tcPr>
                  <w:tcW w:w="3666" w:type="pct"/>
                  <w:shd w:val="clear" w:color="auto" w:fill="auto"/>
                </w:tcPr>
                <w:p w14:paraId="281F7158" w14:textId="77777777" w:rsidR="00F8097E" w:rsidRPr="00421442" w:rsidRDefault="00F8097E" w:rsidP="00B21094">
                  <w:pPr>
                    <w:pStyle w:val="Tablecolhead"/>
                    <w:framePr w:hSpace="180" w:wrap="around" w:vAnchor="text" w:hAnchor="text" w:y="1"/>
                    <w:suppressOverlap/>
                  </w:pPr>
                  <w:r w:rsidRPr="00421442">
                    <w:t>Description</w:t>
                  </w:r>
                </w:p>
              </w:tc>
            </w:tr>
            <w:tr w:rsidR="00F8097E" w:rsidRPr="00421442" w14:paraId="0A7FBCB8" w14:textId="77777777" w:rsidTr="004C6E29">
              <w:tc>
                <w:tcPr>
                  <w:tcW w:w="1334" w:type="pct"/>
                </w:tcPr>
                <w:p w14:paraId="55FD016A" w14:textId="77777777" w:rsidR="00F8097E" w:rsidRPr="00421442" w:rsidRDefault="00F8097E" w:rsidP="00B21094">
                  <w:pPr>
                    <w:pStyle w:val="Tabletext"/>
                    <w:framePr w:hSpace="180" w:wrap="around" w:vAnchor="text" w:hAnchor="text" w:y="1"/>
                    <w:suppressOverlap/>
                    <w:rPr>
                      <w:b/>
                      <w:bCs/>
                    </w:rPr>
                  </w:pPr>
                  <w:r w:rsidRPr="00421442">
                    <w:rPr>
                      <w:b/>
                      <w:bCs/>
                    </w:rPr>
                    <w:t>Sole Trader</w:t>
                  </w:r>
                </w:p>
              </w:tc>
              <w:tc>
                <w:tcPr>
                  <w:tcW w:w="3666" w:type="pct"/>
                </w:tcPr>
                <w:p w14:paraId="662C2901" w14:textId="77777777" w:rsidR="00F8097E" w:rsidRPr="00421442" w:rsidRDefault="00F8097E" w:rsidP="00B21094">
                  <w:pPr>
                    <w:pStyle w:val="Tabletext"/>
                    <w:framePr w:hSpace="180" w:wrap="around" w:vAnchor="text" w:hAnchor="text" w:y="1"/>
                    <w:suppressOverlap/>
                  </w:pPr>
                  <w:r w:rsidRPr="00421442">
                    <w:rPr>
                      <w:rStyle w:val="BodyChar"/>
                    </w:rPr>
                    <w:t>A sole trader is an individual running a business. If you run your business as a</w:t>
                  </w:r>
                  <w:r w:rsidRPr="00421442">
                    <w:t xml:space="preserve"> sole trader, you are:</w:t>
                  </w:r>
                </w:p>
                <w:p w14:paraId="472E01FA" w14:textId="77777777" w:rsidR="00F8097E" w:rsidRPr="00421442" w:rsidRDefault="00F8097E" w:rsidP="00B21094">
                  <w:pPr>
                    <w:pStyle w:val="Tablebullet1"/>
                    <w:framePr w:hSpace="180" w:wrap="around" w:vAnchor="text" w:hAnchor="text" w:y="1"/>
                    <w:suppressOverlap/>
                    <w:rPr>
                      <w:lang w:eastAsia="en-AU"/>
                    </w:rPr>
                  </w:pPr>
                  <w:r w:rsidRPr="00421442">
                    <w:rPr>
                      <w:lang w:eastAsia="en-AU"/>
                    </w:rPr>
                    <w:t>the sole owner and controller of it</w:t>
                  </w:r>
                </w:p>
                <w:p w14:paraId="4B0E9BE7" w14:textId="77777777" w:rsidR="00F8097E" w:rsidRPr="00421442" w:rsidRDefault="00F8097E" w:rsidP="00B21094">
                  <w:pPr>
                    <w:pStyle w:val="Tablebullet1"/>
                    <w:framePr w:hSpace="180" w:wrap="around" w:vAnchor="text" w:hAnchor="text" w:y="1"/>
                    <w:suppressOverlap/>
                    <w:rPr>
                      <w:lang w:eastAsia="en-AU"/>
                    </w:rPr>
                  </w:pPr>
                  <w:r w:rsidRPr="00421442">
                    <w:rPr>
                      <w:lang w:eastAsia="en-AU"/>
                    </w:rPr>
                    <w:t>legally responsible for all aspects of the business, including debts and losses you incur in running it.</w:t>
                  </w:r>
                </w:p>
              </w:tc>
            </w:tr>
            <w:tr w:rsidR="00F8097E" w:rsidRPr="00421442" w14:paraId="6CC96347" w14:textId="77777777" w:rsidTr="004C6E29">
              <w:tc>
                <w:tcPr>
                  <w:tcW w:w="1334" w:type="pct"/>
                </w:tcPr>
                <w:p w14:paraId="6177A37A" w14:textId="77777777" w:rsidR="00F8097E" w:rsidRPr="00421442" w:rsidRDefault="00F8097E" w:rsidP="00B21094">
                  <w:pPr>
                    <w:pStyle w:val="Tabletext"/>
                    <w:framePr w:hSpace="180" w:wrap="around" w:vAnchor="text" w:hAnchor="text" w:y="1"/>
                    <w:suppressOverlap/>
                    <w:rPr>
                      <w:b/>
                      <w:bCs/>
                    </w:rPr>
                  </w:pPr>
                  <w:r w:rsidRPr="00421442">
                    <w:rPr>
                      <w:b/>
                      <w:bCs/>
                    </w:rPr>
                    <w:t>Company</w:t>
                  </w:r>
                </w:p>
              </w:tc>
              <w:tc>
                <w:tcPr>
                  <w:tcW w:w="3666" w:type="pct"/>
                </w:tcPr>
                <w:p w14:paraId="45C767D8" w14:textId="77777777" w:rsidR="00F8097E" w:rsidRPr="00421442" w:rsidRDefault="00F8097E" w:rsidP="00B21094">
                  <w:pPr>
                    <w:pStyle w:val="Tabletext"/>
                    <w:framePr w:hSpace="180" w:wrap="around" w:vAnchor="text" w:hAnchor="text" w:y="1"/>
                    <w:suppressOverlap/>
                    <w:rPr>
                      <w:lang w:eastAsia="en-AU"/>
                    </w:rPr>
                  </w:pPr>
                  <w:r w:rsidRPr="00421442">
                    <w:rPr>
                      <w:shd w:val="clear" w:color="auto" w:fill="FFFFFF"/>
                    </w:rPr>
                    <w:t>A company is a type of business structure where your business forms a separate legal entity. This means the company has the same rights as a natural person and can incur debt, sue and be sued.</w:t>
                  </w:r>
                  <w:r w:rsidRPr="00421442">
                    <w:rPr>
                      <w:lang w:eastAsia="en-AU"/>
                    </w:rPr>
                    <w:t xml:space="preserve"> A company:</w:t>
                  </w:r>
                </w:p>
                <w:p w14:paraId="0DE7B239" w14:textId="77777777" w:rsidR="00F8097E" w:rsidRPr="00D84C50" w:rsidRDefault="00F8097E" w:rsidP="00B21094">
                  <w:pPr>
                    <w:pStyle w:val="Tablebullet1"/>
                    <w:framePr w:hSpace="180" w:wrap="around" w:vAnchor="text" w:hAnchor="text" w:y="1"/>
                    <w:suppressOverlap/>
                    <w:rPr>
                      <w:rFonts w:cs="Arial"/>
                      <w:szCs w:val="21"/>
                      <w:lang w:eastAsia="en-AU"/>
                    </w:rPr>
                  </w:pPr>
                  <w:r w:rsidRPr="00D84C50">
                    <w:rPr>
                      <w:rFonts w:cs="Arial"/>
                      <w:szCs w:val="21"/>
                      <w:lang w:eastAsia="en-AU"/>
                    </w:rPr>
                    <w:t>is a separate legal entity</w:t>
                  </w:r>
                </w:p>
                <w:p w14:paraId="0CACE5A3" w14:textId="77777777" w:rsidR="00F8097E" w:rsidRPr="00D84C50" w:rsidRDefault="00F8097E" w:rsidP="00B21094">
                  <w:pPr>
                    <w:pStyle w:val="Tablebullet1"/>
                    <w:framePr w:hSpace="180" w:wrap="around" w:vAnchor="text" w:hAnchor="text" w:y="1"/>
                    <w:suppressOverlap/>
                    <w:rPr>
                      <w:rFonts w:cs="Arial"/>
                      <w:szCs w:val="21"/>
                      <w:lang w:eastAsia="en-AU"/>
                    </w:rPr>
                  </w:pPr>
                  <w:r w:rsidRPr="00D84C50">
                    <w:rPr>
                      <w:rFonts w:cs="Arial"/>
                      <w:szCs w:val="21"/>
                      <w:lang w:eastAsia="en-AU"/>
                    </w:rPr>
                    <w:t>means that business operations are controlled by directors and owned by the shareholders</w:t>
                  </w:r>
                </w:p>
                <w:p w14:paraId="5FF26924" w14:textId="77777777" w:rsidR="00F8097E" w:rsidRPr="00D84C50" w:rsidRDefault="00F8097E" w:rsidP="00B21094">
                  <w:pPr>
                    <w:pStyle w:val="Tablebullet1"/>
                    <w:framePr w:hSpace="180" w:wrap="around" w:vAnchor="text" w:hAnchor="text" w:y="1"/>
                    <w:suppressOverlap/>
                    <w:rPr>
                      <w:rFonts w:cs="Arial"/>
                      <w:szCs w:val="21"/>
                      <w:lang w:eastAsia="en-AU"/>
                    </w:rPr>
                  </w:pPr>
                  <w:r w:rsidRPr="00D84C50">
                    <w:rPr>
                      <w:rFonts w:cs="Arial"/>
                      <w:szCs w:val="21"/>
                      <w:lang w:eastAsia="en-AU"/>
                    </w:rPr>
                    <w:t>means company members have limited liability</w:t>
                  </w:r>
                </w:p>
                <w:p w14:paraId="71B87C7E" w14:textId="6917B751" w:rsidR="00F8097E" w:rsidRPr="00D84C50" w:rsidRDefault="00F8097E" w:rsidP="00B21094">
                  <w:pPr>
                    <w:pStyle w:val="Tablebullet1"/>
                    <w:framePr w:hSpace="180" w:wrap="around" w:vAnchor="text" w:hAnchor="text" w:y="1"/>
                    <w:suppressOverlap/>
                    <w:rPr>
                      <w:rFonts w:cs="Arial"/>
                      <w:szCs w:val="21"/>
                      <w:lang w:eastAsia="en-AU"/>
                    </w:rPr>
                  </w:pPr>
                  <w:r w:rsidRPr="00D84C50">
                    <w:rPr>
                      <w:rFonts w:cs="Arial"/>
                      <w:szCs w:val="21"/>
                    </w:rPr>
                    <w:t>requires you to understand and comply with all obligations under the</w:t>
                  </w:r>
                  <w:r w:rsidR="006F2DC3">
                    <w:rPr>
                      <w:rFonts w:cs="Arial"/>
                      <w:szCs w:val="21"/>
                    </w:rPr>
                    <w:t xml:space="preserve"> </w:t>
                  </w:r>
                  <w:hyperlink r:id="rId26" w:history="1">
                    <w:r w:rsidRPr="00D84C50">
                      <w:rPr>
                        <w:rStyle w:val="Hyperlink"/>
                        <w:rFonts w:eastAsia="MS Gothic" w:cs="Arial"/>
                        <w:b/>
                        <w:bCs/>
                        <w:color w:val="2157AA"/>
                        <w:szCs w:val="21"/>
                      </w:rPr>
                      <w:t>Corporations Act 2001</w:t>
                    </w:r>
                  </w:hyperlink>
                </w:p>
                <w:p w14:paraId="4D8CD5A0" w14:textId="77777777" w:rsidR="00F8097E" w:rsidRPr="00D84C50" w:rsidRDefault="00F8097E" w:rsidP="00B21094">
                  <w:pPr>
                    <w:pStyle w:val="Tablebullet1"/>
                    <w:framePr w:hSpace="180" w:wrap="around" w:vAnchor="text" w:hAnchor="text" w:y="1"/>
                    <w:suppressOverlap/>
                    <w:rPr>
                      <w:rFonts w:cs="Arial"/>
                      <w:szCs w:val="21"/>
                      <w:lang w:eastAsia="en-AU"/>
                    </w:rPr>
                  </w:pPr>
                  <w:r w:rsidRPr="00D84C50">
                    <w:rPr>
                      <w:rFonts w:cs="Arial"/>
                      <w:szCs w:val="21"/>
                      <w:lang w:eastAsia="en-AU"/>
                    </w:rPr>
                    <w:t>requires an annual company tax return to be lodged with the Australian Taxation Office (ATO)</w:t>
                  </w:r>
                </w:p>
                <w:p w14:paraId="2EEC2BAD" w14:textId="77777777" w:rsidR="00F8097E" w:rsidRPr="00D84C50" w:rsidRDefault="00F8097E" w:rsidP="00B21094">
                  <w:pPr>
                    <w:pStyle w:val="Tablebullet1"/>
                    <w:framePr w:hSpace="180" w:wrap="around" w:vAnchor="text" w:hAnchor="text" w:y="1"/>
                    <w:suppressOverlap/>
                    <w:rPr>
                      <w:rFonts w:cs="Arial"/>
                      <w:szCs w:val="21"/>
                      <w:lang w:eastAsia="en-AU"/>
                    </w:rPr>
                  </w:pPr>
                  <w:r w:rsidRPr="00D84C50">
                    <w:rPr>
                      <w:rFonts w:cs="Arial"/>
                      <w:szCs w:val="21"/>
                      <w:lang w:eastAsia="en-AU"/>
                    </w:rPr>
                    <w:t>requires you to complete an annual review and pay an annual review fee</w:t>
                  </w:r>
                </w:p>
                <w:p w14:paraId="35544971" w14:textId="77777777" w:rsidR="00F8097E" w:rsidRPr="00D84C50" w:rsidRDefault="00F8097E" w:rsidP="00B21094">
                  <w:pPr>
                    <w:pStyle w:val="Tablebullet1"/>
                    <w:framePr w:hSpace="180" w:wrap="around" w:vAnchor="text" w:hAnchor="text" w:y="1"/>
                    <w:suppressOverlap/>
                    <w:rPr>
                      <w:rFonts w:cs="Arial"/>
                      <w:szCs w:val="21"/>
                      <w:lang w:eastAsia="en-AU"/>
                    </w:rPr>
                  </w:pPr>
                  <w:r w:rsidRPr="00D84C50">
                    <w:rPr>
                      <w:rFonts w:cs="Arial"/>
                      <w:szCs w:val="21"/>
                      <w:lang w:eastAsia="en-AU"/>
                    </w:rPr>
                    <w:t>directors are required to complete a declaration of solvency each year</w:t>
                  </w:r>
                </w:p>
                <w:p w14:paraId="7D92335D" w14:textId="77777777" w:rsidR="00F8097E" w:rsidRPr="00421442" w:rsidRDefault="00F8097E" w:rsidP="00B21094">
                  <w:pPr>
                    <w:pStyle w:val="Tablebullet1"/>
                    <w:framePr w:hSpace="180" w:wrap="around" w:vAnchor="text" w:hAnchor="text" w:y="1"/>
                    <w:suppressOverlap/>
                    <w:rPr>
                      <w:lang w:eastAsia="en-AU"/>
                    </w:rPr>
                  </w:pPr>
                  <w:r w:rsidRPr="00D84C50">
                    <w:rPr>
                      <w:rFonts w:cs="Arial"/>
                      <w:szCs w:val="21"/>
                      <w:lang w:eastAsia="en-AU"/>
                    </w:rPr>
                    <w:t>directors are required to have a director ID.</w:t>
                  </w:r>
                </w:p>
              </w:tc>
            </w:tr>
            <w:tr w:rsidR="00F8097E" w:rsidRPr="00421442" w14:paraId="6635B115" w14:textId="77777777" w:rsidTr="004C6E29">
              <w:tc>
                <w:tcPr>
                  <w:tcW w:w="1334" w:type="pct"/>
                </w:tcPr>
                <w:p w14:paraId="04F29B99" w14:textId="77777777" w:rsidR="00F8097E" w:rsidRPr="00421442" w:rsidRDefault="00F8097E" w:rsidP="00B21094">
                  <w:pPr>
                    <w:pStyle w:val="Tabletext"/>
                    <w:framePr w:hSpace="180" w:wrap="around" w:vAnchor="text" w:hAnchor="text" w:y="1"/>
                    <w:suppressOverlap/>
                    <w:rPr>
                      <w:b/>
                      <w:bCs/>
                    </w:rPr>
                  </w:pPr>
                  <w:r w:rsidRPr="00421442">
                    <w:rPr>
                      <w:b/>
                      <w:bCs/>
                    </w:rPr>
                    <w:t>Company limited by guarantee</w:t>
                  </w:r>
                </w:p>
              </w:tc>
              <w:tc>
                <w:tcPr>
                  <w:tcW w:w="3666" w:type="pct"/>
                </w:tcPr>
                <w:p w14:paraId="6A47F959" w14:textId="53AF9A24" w:rsidR="00F8097E" w:rsidRPr="00421442" w:rsidRDefault="7E6E8F57" w:rsidP="00B21094">
                  <w:pPr>
                    <w:pStyle w:val="Tabletext"/>
                    <w:framePr w:hSpace="180" w:wrap="around" w:vAnchor="text" w:hAnchor="text" w:y="1"/>
                    <w:suppressOverlap/>
                    <w:rPr>
                      <w:rFonts w:cs="Arial"/>
                      <w:shd w:val="clear" w:color="auto" w:fill="FFFFFF"/>
                    </w:rPr>
                  </w:pPr>
                  <w:r w:rsidRPr="00FA5750">
                    <w:rPr>
                      <w:rFonts w:cs="Arial"/>
                      <w:shd w:val="clear" w:color="auto" w:fill="FFFFFF"/>
                    </w:rPr>
                    <w:t>A company limited by guarantee is a common company structure used for not-for-profit and charitable organisations in Australia that reinvest any surplus (profit) towards the organisation's purposes. Recreational (sports and bowling clubs), cultural and charitable organisations commonly use this type of corporate structure</w:t>
                  </w:r>
                  <w:r w:rsidR="453F9214" w:rsidRPr="00FA5750">
                    <w:rPr>
                      <w:rFonts w:cs="Arial"/>
                      <w:shd w:val="clear" w:color="auto" w:fill="FFFFFF"/>
                    </w:rPr>
                    <w:t>.</w:t>
                  </w:r>
                </w:p>
              </w:tc>
            </w:tr>
            <w:tr w:rsidR="00F8097E" w:rsidRPr="00421442" w14:paraId="0F0901D9" w14:textId="77777777" w:rsidTr="004C6E29">
              <w:tc>
                <w:tcPr>
                  <w:tcW w:w="1334" w:type="pct"/>
                </w:tcPr>
                <w:p w14:paraId="34D76618" w14:textId="77777777" w:rsidR="00F8097E" w:rsidRPr="00421442" w:rsidRDefault="00F8097E" w:rsidP="00B21094">
                  <w:pPr>
                    <w:pStyle w:val="Tabletext"/>
                    <w:framePr w:hSpace="180" w:wrap="around" w:vAnchor="text" w:hAnchor="text" w:y="1"/>
                    <w:suppressOverlap/>
                    <w:rPr>
                      <w:b/>
                      <w:bCs/>
                    </w:rPr>
                  </w:pPr>
                  <w:r w:rsidRPr="00421442">
                    <w:rPr>
                      <w:b/>
                      <w:bCs/>
                    </w:rPr>
                    <w:t>Partnership</w:t>
                  </w:r>
                </w:p>
              </w:tc>
              <w:tc>
                <w:tcPr>
                  <w:tcW w:w="3666" w:type="pct"/>
                </w:tcPr>
                <w:p w14:paraId="46747D09" w14:textId="51C2E644" w:rsidR="00F8097E" w:rsidRPr="00421442" w:rsidRDefault="7E6E8F57" w:rsidP="00B21094">
                  <w:pPr>
                    <w:pStyle w:val="Tabletext"/>
                    <w:framePr w:hSpace="180" w:wrap="around" w:vAnchor="text" w:hAnchor="text" w:y="1"/>
                    <w:suppressOverlap/>
                    <w:rPr>
                      <w:lang w:eastAsia="en-AU"/>
                    </w:rPr>
                  </w:pPr>
                  <w:r w:rsidRPr="41DC38ED">
                    <w:rPr>
                      <w:lang w:eastAsia="en-AU"/>
                    </w:rPr>
                    <w:t xml:space="preserve">A partnership is a business structure made up of </w:t>
                  </w:r>
                  <w:r w:rsidR="599C29EF" w:rsidRPr="41DC38ED">
                    <w:rPr>
                      <w:lang w:eastAsia="en-AU"/>
                    </w:rPr>
                    <w:t>two</w:t>
                  </w:r>
                  <w:r w:rsidRPr="41DC38ED">
                    <w:rPr>
                      <w:lang w:eastAsia="en-AU"/>
                    </w:rPr>
                    <w:t xml:space="preserve"> or more people who distribute income or losses between themselves. There are three main types of partnerships:</w:t>
                  </w:r>
                </w:p>
                <w:p w14:paraId="7DEDA5B2" w14:textId="0EB08F4E" w:rsidR="00F8097E" w:rsidRPr="00421442" w:rsidRDefault="7E6E8F57" w:rsidP="00B21094">
                  <w:pPr>
                    <w:pStyle w:val="Tablebullet1"/>
                    <w:framePr w:hSpace="180" w:wrap="around" w:vAnchor="text" w:hAnchor="text" w:y="1"/>
                    <w:suppressOverlap/>
                    <w:rPr>
                      <w:lang w:eastAsia="en-AU"/>
                    </w:rPr>
                  </w:pPr>
                  <w:r w:rsidRPr="41DC38ED">
                    <w:rPr>
                      <w:b/>
                      <w:bCs/>
                      <w:lang w:eastAsia="en-AU"/>
                    </w:rPr>
                    <w:t>general partnership (GP)</w:t>
                  </w:r>
                  <w:r w:rsidRPr="41DC38ED">
                    <w:rPr>
                      <w:rFonts w:ascii="Cambria" w:hAnsi="Cambria" w:cs="Cambria"/>
                      <w:lang w:eastAsia="en-AU"/>
                    </w:rPr>
                    <w:t> </w:t>
                  </w:r>
                  <w:r w:rsidRPr="41DC38ED">
                    <w:rPr>
                      <w:rFonts w:cs="VIC"/>
                      <w:lang w:eastAsia="en-AU"/>
                    </w:rPr>
                    <w:t>–</w:t>
                  </w:r>
                  <w:r w:rsidRPr="41DC38ED">
                    <w:rPr>
                      <w:lang w:eastAsia="en-AU"/>
                    </w:rPr>
                    <w:t xml:space="preserve"> is where all partners are equally responsible for the management of the business, and each has unlimited liability for the debts and obligations it may incur</w:t>
                  </w:r>
                </w:p>
                <w:p w14:paraId="20FA9F4B" w14:textId="05CE415E" w:rsidR="00F8097E" w:rsidRPr="00421442" w:rsidRDefault="7E6E8F57" w:rsidP="00B21094">
                  <w:pPr>
                    <w:pStyle w:val="Tablebullet1"/>
                    <w:framePr w:hSpace="180" w:wrap="around" w:vAnchor="text" w:hAnchor="text" w:y="1"/>
                    <w:suppressOverlap/>
                    <w:rPr>
                      <w:lang w:eastAsia="en-AU"/>
                    </w:rPr>
                  </w:pPr>
                  <w:r w:rsidRPr="41DC38ED">
                    <w:rPr>
                      <w:b/>
                      <w:bCs/>
                      <w:lang w:eastAsia="en-AU"/>
                    </w:rPr>
                    <w:t>limited partnership (LP)</w:t>
                  </w:r>
                  <w:r w:rsidRPr="41DC38ED">
                    <w:rPr>
                      <w:rFonts w:ascii="Cambria" w:hAnsi="Cambria" w:cs="Cambria"/>
                      <w:lang w:eastAsia="en-AU"/>
                    </w:rPr>
                    <w:t> </w:t>
                  </w:r>
                  <w:r w:rsidRPr="41DC38ED">
                    <w:rPr>
                      <w:rFonts w:cs="VIC"/>
                      <w:lang w:eastAsia="en-AU"/>
                    </w:rPr>
                    <w:t>–</w:t>
                  </w:r>
                  <w:r w:rsidRPr="41DC38ED">
                    <w:rPr>
                      <w:lang w:eastAsia="en-AU"/>
                    </w:rPr>
                    <w:t xml:space="preserve"> is made up of general partners whose liability is limited to the amount of money they have contributed to the partnership. Limited partners are usually passive investors who don</w:t>
                  </w:r>
                  <w:r w:rsidRPr="41DC38ED">
                    <w:rPr>
                      <w:rFonts w:cs="VIC"/>
                      <w:lang w:eastAsia="en-AU"/>
                    </w:rPr>
                    <w:t>’</w:t>
                  </w:r>
                  <w:r w:rsidRPr="41DC38ED">
                    <w:rPr>
                      <w:lang w:eastAsia="en-AU"/>
                    </w:rPr>
                    <w:t>t play any role in the day-to-day management of the business</w:t>
                  </w:r>
                </w:p>
                <w:p w14:paraId="49BDBD03" w14:textId="391087C1" w:rsidR="00F8097E" w:rsidRPr="00421442" w:rsidRDefault="00F8097E" w:rsidP="00B21094">
                  <w:pPr>
                    <w:pStyle w:val="Tablebullet1"/>
                    <w:framePr w:hSpace="180" w:wrap="around" w:vAnchor="text" w:hAnchor="text" w:y="1"/>
                    <w:suppressOverlap/>
                    <w:rPr>
                      <w:lang w:eastAsia="en-AU"/>
                    </w:rPr>
                  </w:pPr>
                  <w:r w:rsidRPr="00421442">
                    <w:rPr>
                      <w:b/>
                      <w:bCs/>
                      <w:lang w:eastAsia="en-AU"/>
                    </w:rPr>
                    <w:t>incorporated Limited Partnership (ILP)</w:t>
                  </w:r>
                  <w:r w:rsidR="006F2DC3">
                    <w:rPr>
                      <w:b/>
                      <w:bCs/>
                      <w:lang w:eastAsia="en-AU"/>
                    </w:rPr>
                    <w:t xml:space="preserve"> </w:t>
                  </w:r>
                  <w:r w:rsidRPr="00421442">
                    <w:rPr>
                      <w:lang w:eastAsia="en-AU"/>
                    </w:rPr>
                    <w:t>– is where partners in an ILP can have limited liability for the debts of the business. However, under an ILP there must be at least one general partner with unlimited liability. If the business cannot meet its obligations, the general partner (or partners) become personally liable for the shortfall.</w:t>
                  </w:r>
                </w:p>
              </w:tc>
            </w:tr>
            <w:tr w:rsidR="00F8097E" w:rsidRPr="00421442" w14:paraId="090BC97E" w14:textId="77777777" w:rsidTr="004C6E29">
              <w:tc>
                <w:tcPr>
                  <w:tcW w:w="1334" w:type="pct"/>
                </w:tcPr>
                <w:p w14:paraId="67988891" w14:textId="77777777" w:rsidR="00F8097E" w:rsidRPr="00421442" w:rsidRDefault="00F8097E" w:rsidP="00B21094">
                  <w:pPr>
                    <w:pStyle w:val="Tabletext"/>
                    <w:framePr w:hSpace="180" w:wrap="around" w:vAnchor="text" w:hAnchor="text" w:y="1"/>
                    <w:suppressOverlap/>
                    <w:rPr>
                      <w:b/>
                      <w:bCs/>
                    </w:rPr>
                  </w:pPr>
                  <w:r w:rsidRPr="00421442">
                    <w:rPr>
                      <w:b/>
                      <w:bCs/>
                    </w:rPr>
                    <w:lastRenderedPageBreak/>
                    <w:t xml:space="preserve">Unincorporated association </w:t>
                  </w:r>
                </w:p>
              </w:tc>
              <w:tc>
                <w:tcPr>
                  <w:tcW w:w="3666" w:type="pct"/>
                </w:tcPr>
                <w:p w14:paraId="61BC1F5B" w14:textId="77777777" w:rsidR="00F8097E" w:rsidRPr="00421442" w:rsidRDefault="00F8097E" w:rsidP="00B21094">
                  <w:pPr>
                    <w:pStyle w:val="Tabletext"/>
                    <w:framePr w:hSpace="180" w:wrap="around" w:vAnchor="text" w:hAnchor="text" w:y="1"/>
                    <w:suppressOverlap/>
                    <w:rPr>
                      <w:szCs w:val="21"/>
                    </w:rPr>
                  </w:pPr>
                  <w:r w:rsidRPr="00421442">
                    <w:rPr>
                      <w:rFonts w:cs="Segoe UI"/>
                      <w:color w:val="000000"/>
                      <w:szCs w:val="21"/>
                    </w:rPr>
                    <w:t>An unincorporated association is a group of people that have come together to further a common interest or purpose without forming any separate legally recognised structure. They have not gone through an incorporation process so the unincorporated group doesn’t have its own legal identity and it will not have the word ‘Incorporated’, ‘Inc.’, ‘Limited’, or ‘Ltd’ after its name.</w:t>
                  </w:r>
                </w:p>
              </w:tc>
            </w:tr>
          </w:tbl>
          <w:p w14:paraId="243D9BAD" w14:textId="77777777" w:rsidR="00F8097E" w:rsidRPr="00421442" w:rsidRDefault="00F8097E">
            <w:pPr>
              <w:pStyle w:val="Body"/>
            </w:pPr>
          </w:p>
          <w:p w14:paraId="6A89F876" w14:textId="77777777" w:rsidR="00F8097E" w:rsidRPr="00421442" w:rsidRDefault="00F8097E">
            <w:pPr>
              <w:pStyle w:val="Heading3"/>
              <w:rPr>
                <w:b/>
                <w:bCs w:val="0"/>
              </w:rPr>
            </w:pPr>
            <w:bookmarkStart w:id="15" w:name="_Appendix_3.1"/>
            <w:bookmarkEnd w:id="15"/>
            <w:r w:rsidRPr="00421442">
              <w:rPr>
                <w:b/>
                <w:bCs w:val="0"/>
              </w:rPr>
              <w:t>Appendix 3.1</w:t>
            </w:r>
          </w:p>
          <w:p w14:paraId="4A0DC50C" w14:textId="77777777" w:rsidR="00F8097E" w:rsidRPr="00421442" w:rsidRDefault="00F8097E">
            <w:pPr>
              <w:pStyle w:val="Heading3"/>
            </w:pPr>
            <w:r w:rsidRPr="00421442">
              <w:t>Governance and operational management structures</w:t>
            </w:r>
          </w:p>
          <w:p w14:paraId="0D4D32B5" w14:textId="77777777" w:rsidR="00F8097E" w:rsidRPr="00421442" w:rsidRDefault="00F8097E" w:rsidP="004C6E29">
            <w:pPr>
              <w:pStyle w:val="Body"/>
            </w:pPr>
            <w:r w:rsidRPr="00421442">
              <w:t>The Social Services Regulator will confirm suitability of governance and operational management structures in place at a service provider.</w:t>
            </w:r>
          </w:p>
          <w:p w14:paraId="659EF8F5" w14:textId="77777777" w:rsidR="00F8097E" w:rsidRPr="00421442" w:rsidRDefault="00F8097E" w:rsidP="004C6E29">
            <w:pPr>
              <w:pStyle w:val="Body"/>
            </w:pPr>
            <w:r w:rsidRPr="00B328BF">
              <w:t>Table 5</w:t>
            </w:r>
            <w:r w:rsidRPr="00421442">
              <w:t xml:space="preserve"> outlines factors considered by the Regulator. </w:t>
            </w:r>
          </w:p>
          <w:p w14:paraId="1EC1B97B" w14:textId="77777777" w:rsidR="00F8097E" w:rsidRPr="00421442" w:rsidRDefault="00F8097E" w:rsidP="004C6E29">
            <w:pPr>
              <w:pStyle w:val="Body"/>
            </w:pPr>
            <w:r w:rsidRPr="00421442">
              <w:t xml:space="preserve">The suggested documentation is not exhaustive and service providers should consider how they can </w:t>
            </w:r>
            <w:r>
              <w:t xml:space="preserve">effectively </w:t>
            </w:r>
            <w:r w:rsidRPr="00421442">
              <w:t xml:space="preserve">demonstrate </w:t>
            </w:r>
            <w:r>
              <w:t xml:space="preserve">that </w:t>
            </w:r>
            <w:r w:rsidRPr="00421442">
              <w:t xml:space="preserve">adequate governance and operational structures are in place </w:t>
            </w:r>
            <w:r>
              <w:t>to</w:t>
            </w:r>
            <w:r w:rsidRPr="00421442">
              <w:t xml:space="preserve"> meet the suitability requirements.</w:t>
            </w:r>
          </w:p>
          <w:p w14:paraId="08F55B6F" w14:textId="77777777" w:rsidR="00F8097E" w:rsidRPr="00421442" w:rsidRDefault="00F8097E">
            <w:pPr>
              <w:pStyle w:val="Heading4"/>
            </w:pPr>
            <w:r w:rsidRPr="00B328BF">
              <w:t>Table 5</w:t>
            </w:r>
          </w:p>
          <w:tbl>
            <w:tblPr>
              <w:tblStyle w:val="TableGrid"/>
              <w:tblW w:w="5000" w:type="pct"/>
              <w:tblLook w:val="04A0" w:firstRow="1" w:lastRow="0" w:firstColumn="1" w:lastColumn="0" w:noHBand="0" w:noVBand="1"/>
            </w:tblPr>
            <w:tblGrid>
              <w:gridCol w:w="3022"/>
              <w:gridCol w:w="7111"/>
            </w:tblGrid>
            <w:tr w:rsidR="00F8097E" w:rsidRPr="00421442" w14:paraId="2DD8D2F6" w14:textId="77777777" w:rsidTr="004C6E29">
              <w:trPr>
                <w:trHeight w:val="300"/>
              </w:trPr>
              <w:tc>
                <w:tcPr>
                  <w:tcW w:w="1491" w:type="pct"/>
                  <w:hideMark/>
                </w:tcPr>
                <w:p w14:paraId="47C16A32" w14:textId="4A34BE85" w:rsidR="00F8097E" w:rsidRPr="00421442" w:rsidRDefault="00F8097E" w:rsidP="00B21094">
                  <w:pPr>
                    <w:pStyle w:val="Tablecolhead"/>
                    <w:framePr w:hSpace="180" w:wrap="around" w:vAnchor="text" w:hAnchor="text" w:y="1"/>
                    <w:suppressOverlap/>
                    <w:rPr>
                      <w:rFonts w:cs="Segoe UI"/>
                      <w:sz w:val="18"/>
                      <w:szCs w:val="18"/>
                      <w:lang w:eastAsia="en-AU"/>
                    </w:rPr>
                  </w:pPr>
                  <w:r w:rsidRPr="00421442">
                    <w:rPr>
                      <w:lang w:eastAsia="en-AU"/>
                    </w:rPr>
                    <w:t>Factors</w:t>
                  </w:r>
                </w:p>
              </w:tc>
              <w:tc>
                <w:tcPr>
                  <w:tcW w:w="3509" w:type="pct"/>
                  <w:hideMark/>
                </w:tcPr>
                <w:p w14:paraId="6213D4D5" w14:textId="77777777" w:rsidR="00F8097E" w:rsidRPr="00421442" w:rsidRDefault="00F8097E" w:rsidP="00B21094">
                  <w:pPr>
                    <w:pStyle w:val="Tablecolhead"/>
                    <w:framePr w:hSpace="180" w:wrap="around" w:vAnchor="text" w:hAnchor="text" w:y="1"/>
                    <w:suppressOverlap/>
                    <w:rPr>
                      <w:rFonts w:cs="Segoe UI"/>
                      <w:sz w:val="18"/>
                      <w:szCs w:val="18"/>
                      <w:lang w:eastAsia="en-AU"/>
                    </w:rPr>
                  </w:pPr>
                  <w:r w:rsidRPr="00421442">
                    <w:rPr>
                      <w:lang w:eastAsia="en-AU"/>
                    </w:rPr>
                    <w:t>Documentation</w:t>
                  </w:r>
                  <w:r>
                    <w:rPr>
                      <w:lang w:eastAsia="en-AU"/>
                    </w:rPr>
                    <w:t xml:space="preserve"> that may be required</w:t>
                  </w:r>
                  <w:r w:rsidRPr="00421442">
                    <w:rPr>
                      <w:lang w:eastAsia="en-AU"/>
                    </w:rPr>
                    <w:t xml:space="preserve"> to support assessment</w:t>
                  </w:r>
                  <w:r w:rsidRPr="00421442">
                    <w:rPr>
                      <w:rFonts w:ascii="Cambria" w:hAnsi="Cambria" w:cs="Cambria"/>
                      <w:lang w:eastAsia="en-AU"/>
                    </w:rPr>
                    <w:t> </w:t>
                  </w:r>
                </w:p>
              </w:tc>
            </w:tr>
            <w:tr w:rsidR="00F8097E" w:rsidRPr="00421442" w14:paraId="3117C194" w14:textId="77777777" w:rsidTr="004C6E29">
              <w:trPr>
                <w:trHeight w:val="300"/>
              </w:trPr>
              <w:tc>
                <w:tcPr>
                  <w:tcW w:w="1491" w:type="pct"/>
                  <w:hideMark/>
                </w:tcPr>
                <w:p w14:paraId="7221EA33" w14:textId="77777777" w:rsidR="00F8097E" w:rsidRPr="00421442" w:rsidRDefault="00F8097E" w:rsidP="00B21094">
                  <w:pPr>
                    <w:pStyle w:val="Tabletext"/>
                    <w:framePr w:hSpace="180" w:wrap="around" w:vAnchor="text" w:hAnchor="text" w:y="1"/>
                    <w:suppressOverlap/>
                    <w:rPr>
                      <w:rFonts w:cs="Segoe UI"/>
                      <w:b/>
                      <w:bCs/>
                      <w:sz w:val="18"/>
                      <w:szCs w:val="18"/>
                      <w:lang w:eastAsia="en-AU"/>
                    </w:rPr>
                  </w:pPr>
                  <w:r w:rsidRPr="00421442">
                    <w:rPr>
                      <w:b/>
                      <w:bCs/>
                      <w:lang w:eastAsia="en-AU"/>
                    </w:rPr>
                    <w:t>Organisational profile</w:t>
                  </w:r>
                </w:p>
              </w:tc>
              <w:tc>
                <w:tcPr>
                  <w:tcW w:w="3509" w:type="pct"/>
                  <w:hideMark/>
                </w:tcPr>
                <w:p w14:paraId="1A22A7A2" w14:textId="77777777" w:rsidR="00F8097E" w:rsidRPr="002B0382" w:rsidRDefault="00F8097E" w:rsidP="00B21094">
                  <w:pPr>
                    <w:pStyle w:val="Tablebullet1"/>
                    <w:framePr w:hSpace="180" w:wrap="around" w:vAnchor="text" w:hAnchor="text" w:y="1"/>
                    <w:suppressOverlap/>
                    <w:rPr>
                      <w:szCs w:val="21"/>
                      <w:lang w:eastAsia="en-AU"/>
                    </w:rPr>
                  </w:pPr>
                  <w:r w:rsidRPr="002B0382">
                    <w:rPr>
                      <w:szCs w:val="21"/>
                      <w:lang w:eastAsia="en-AU"/>
                    </w:rPr>
                    <w:t>overview of services delivered</w:t>
                  </w:r>
                </w:p>
                <w:p w14:paraId="3E85A421" w14:textId="77777777" w:rsidR="00F8097E" w:rsidRPr="002B0382" w:rsidRDefault="00F8097E" w:rsidP="00B21094">
                  <w:pPr>
                    <w:pStyle w:val="Tablebullet1"/>
                    <w:framePr w:hSpace="180" w:wrap="around" w:vAnchor="text" w:hAnchor="text" w:y="1"/>
                    <w:suppressOverlap/>
                    <w:rPr>
                      <w:szCs w:val="21"/>
                      <w:lang w:eastAsia="en-AU"/>
                    </w:rPr>
                  </w:pPr>
                  <w:r w:rsidRPr="002B0382">
                    <w:rPr>
                      <w:szCs w:val="21"/>
                      <w:lang w:eastAsia="en-AU"/>
                    </w:rPr>
                    <w:t xml:space="preserve">overview of how many service users are supported by </w:t>
                  </w:r>
                  <w:r>
                    <w:rPr>
                      <w:szCs w:val="21"/>
                      <w:lang w:eastAsia="en-AU"/>
                    </w:rPr>
                    <w:t xml:space="preserve">the social service </w:t>
                  </w:r>
                </w:p>
                <w:p w14:paraId="27F65B42"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organisational structure</w:t>
                  </w:r>
                </w:p>
              </w:tc>
            </w:tr>
            <w:tr w:rsidR="00F8097E" w:rsidRPr="00421442" w14:paraId="5297DDC9" w14:textId="77777777" w:rsidTr="004C6E29">
              <w:trPr>
                <w:trHeight w:val="300"/>
              </w:trPr>
              <w:tc>
                <w:tcPr>
                  <w:tcW w:w="1491" w:type="pct"/>
                  <w:hideMark/>
                </w:tcPr>
                <w:p w14:paraId="776A12FE" w14:textId="77777777" w:rsidR="00F8097E" w:rsidRPr="00421442" w:rsidRDefault="00F8097E" w:rsidP="00B21094">
                  <w:pPr>
                    <w:pStyle w:val="Tabletext"/>
                    <w:framePr w:hSpace="180" w:wrap="around" w:vAnchor="text" w:hAnchor="text" w:y="1"/>
                    <w:suppressOverlap/>
                    <w:rPr>
                      <w:rFonts w:cs="Segoe UI"/>
                      <w:b/>
                      <w:bCs/>
                      <w:sz w:val="18"/>
                      <w:szCs w:val="18"/>
                      <w:lang w:eastAsia="en-AU"/>
                    </w:rPr>
                  </w:pPr>
                  <w:r w:rsidRPr="00421442">
                    <w:rPr>
                      <w:b/>
                      <w:bCs/>
                      <w:lang w:eastAsia="en-AU"/>
                    </w:rPr>
                    <w:t xml:space="preserve">Governance arrangements </w:t>
                  </w:r>
                  <w:r w:rsidRPr="00421442">
                    <w:rPr>
                      <w:lang w:eastAsia="en-AU"/>
                    </w:rPr>
                    <w:t>and structures to meet financial, legislative, regulatory and contractual responsibilities</w:t>
                  </w:r>
                </w:p>
              </w:tc>
              <w:tc>
                <w:tcPr>
                  <w:tcW w:w="3509" w:type="pct"/>
                  <w:hideMark/>
                </w:tcPr>
                <w:p w14:paraId="3B679E5F"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board of management structure, policies, and procedures</w:t>
                  </w:r>
                </w:p>
                <w:p w14:paraId="11338558"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governance policy and procedures</w:t>
                  </w:r>
                </w:p>
                <w:p w14:paraId="008F4ADA" w14:textId="77777777" w:rsidR="00F8097E" w:rsidRPr="002B0382" w:rsidRDefault="7E6E8F57" w:rsidP="00B21094">
                  <w:pPr>
                    <w:pStyle w:val="Tablebullet1"/>
                    <w:framePr w:hSpace="180" w:wrap="around" w:vAnchor="text" w:hAnchor="text" w:y="1"/>
                    <w:suppressOverlap/>
                    <w:rPr>
                      <w:rFonts w:cs="Segoe UI"/>
                      <w:lang w:eastAsia="en-AU"/>
                    </w:rPr>
                  </w:pPr>
                  <w:r w:rsidRPr="41DC38ED">
                    <w:rPr>
                      <w:lang w:eastAsia="en-AU"/>
                    </w:rPr>
                    <w:t>governance committees, terms of reference, policies and procedures</w:t>
                  </w:r>
                </w:p>
                <w:p w14:paraId="1437446C"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financial and procurement committee terms of reference, operational policies and procedures</w:t>
                  </w:r>
                </w:p>
                <w:p w14:paraId="274891B1" w14:textId="77777777" w:rsidR="00F8097E" w:rsidRPr="002B0382" w:rsidRDefault="00F8097E" w:rsidP="00B21094">
                  <w:pPr>
                    <w:pStyle w:val="Tablebullet1"/>
                    <w:framePr w:hSpace="180" w:wrap="around" w:vAnchor="text" w:hAnchor="text" w:y="1"/>
                    <w:suppressOverlap/>
                    <w:rPr>
                      <w:szCs w:val="21"/>
                      <w:lang w:eastAsia="en-AU"/>
                    </w:rPr>
                  </w:pPr>
                  <w:r w:rsidRPr="002B0382">
                    <w:rPr>
                      <w:szCs w:val="21"/>
                      <w:lang w:eastAsia="en-AU"/>
                    </w:rPr>
                    <w:t>quality and continuous improvement committees, terms of reference, policies and procedures</w:t>
                  </w:r>
                </w:p>
                <w:p w14:paraId="260A09F5"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 xml:space="preserve">relevant insurance policies required by the </w:t>
                  </w:r>
                  <w:r>
                    <w:rPr>
                      <w:szCs w:val="21"/>
                      <w:lang w:eastAsia="en-AU"/>
                    </w:rPr>
                    <w:t xml:space="preserve">service </w:t>
                  </w:r>
                  <w:r w:rsidRPr="002B0382">
                    <w:rPr>
                      <w:szCs w:val="21"/>
                      <w:lang w:eastAsia="en-AU"/>
                    </w:rPr>
                    <w:t>provider</w:t>
                  </w:r>
                </w:p>
                <w:p w14:paraId="6A2CC53E"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rFonts w:cs="Arial"/>
                      <w:szCs w:val="21"/>
                      <w:lang w:eastAsia="en-AU"/>
                    </w:rPr>
                    <w:t>relevant processes for feedback and complaints</w:t>
                  </w:r>
                </w:p>
              </w:tc>
            </w:tr>
            <w:tr w:rsidR="00F8097E" w:rsidRPr="00421442" w14:paraId="5BBE631C" w14:textId="77777777" w:rsidTr="004C6E29">
              <w:trPr>
                <w:trHeight w:val="300"/>
              </w:trPr>
              <w:tc>
                <w:tcPr>
                  <w:tcW w:w="1491" w:type="pct"/>
                  <w:hideMark/>
                </w:tcPr>
                <w:p w14:paraId="27244CBA" w14:textId="77777777" w:rsidR="00F8097E" w:rsidRPr="002B0382" w:rsidRDefault="00F8097E" w:rsidP="00B21094">
                  <w:pPr>
                    <w:pStyle w:val="Tabletext"/>
                    <w:framePr w:hSpace="180" w:wrap="around" w:vAnchor="text" w:hAnchor="text" w:y="1"/>
                    <w:suppressOverlap/>
                    <w:rPr>
                      <w:b/>
                      <w:bCs/>
                      <w:szCs w:val="21"/>
                    </w:rPr>
                  </w:pPr>
                  <w:r w:rsidRPr="002B0382">
                    <w:rPr>
                      <w:b/>
                      <w:bCs/>
                      <w:szCs w:val="21"/>
                    </w:rPr>
                    <w:t>Strategic business and operational planning</w:t>
                  </w:r>
                </w:p>
              </w:tc>
              <w:tc>
                <w:tcPr>
                  <w:tcW w:w="3509" w:type="pct"/>
                  <w:hideMark/>
                </w:tcPr>
                <w:p w14:paraId="36A033D8"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business plans</w:t>
                  </w:r>
                </w:p>
                <w:p w14:paraId="3AF1A8C1"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operational plans</w:t>
                  </w:r>
                </w:p>
                <w:p w14:paraId="63E3D24C"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strategic plans</w:t>
                  </w:r>
                </w:p>
                <w:p w14:paraId="360793D0"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annual reports</w:t>
                  </w:r>
                </w:p>
              </w:tc>
            </w:tr>
            <w:tr w:rsidR="00F8097E" w:rsidRPr="00421442" w14:paraId="20F81B06" w14:textId="77777777" w:rsidTr="004C6E29">
              <w:trPr>
                <w:trHeight w:val="300"/>
              </w:trPr>
              <w:tc>
                <w:tcPr>
                  <w:tcW w:w="1491" w:type="pct"/>
                  <w:hideMark/>
                </w:tcPr>
                <w:p w14:paraId="31ED0D21" w14:textId="77777777" w:rsidR="00F8097E" w:rsidRPr="002B0382" w:rsidRDefault="00F8097E" w:rsidP="00B21094">
                  <w:pPr>
                    <w:pStyle w:val="Tabletext"/>
                    <w:framePr w:hSpace="180" w:wrap="around" w:vAnchor="text" w:hAnchor="text" w:y="1"/>
                    <w:suppressOverlap/>
                    <w:rPr>
                      <w:b/>
                      <w:bCs/>
                      <w:szCs w:val="21"/>
                    </w:rPr>
                  </w:pPr>
                  <w:r w:rsidRPr="002B0382">
                    <w:rPr>
                      <w:b/>
                      <w:bCs/>
                      <w:szCs w:val="21"/>
                    </w:rPr>
                    <w:t>Risk management</w:t>
                  </w:r>
                </w:p>
              </w:tc>
              <w:tc>
                <w:tcPr>
                  <w:tcW w:w="3509" w:type="pct"/>
                  <w:hideMark/>
                </w:tcPr>
                <w:p w14:paraId="6E1D6A4D"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risk management framework</w:t>
                  </w:r>
                </w:p>
                <w:p w14:paraId="7983F877"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risk management policy</w:t>
                  </w:r>
                </w:p>
                <w:p w14:paraId="56DFEE08" w14:textId="77777777" w:rsidR="00F8097E" w:rsidRPr="002B0382" w:rsidRDefault="00F8097E" w:rsidP="00B21094">
                  <w:pPr>
                    <w:pStyle w:val="Tablebullet1"/>
                    <w:framePr w:hSpace="180" w:wrap="around" w:vAnchor="text" w:hAnchor="text" w:y="1"/>
                    <w:suppressOverlap/>
                    <w:rPr>
                      <w:rFonts w:ascii="Cambria" w:hAnsi="Cambria" w:cs="Cambria"/>
                      <w:szCs w:val="21"/>
                      <w:lang w:eastAsia="en-AU"/>
                    </w:rPr>
                  </w:pPr>
                  <w:r w:rsidRPr="002B0382">
                    <w:rPr>
                      <w:szCs w:val="21"/>
                      <w:lang w:eastAsia="en-AU"/>
                    </w:rPr>
                    <w:t>risk management procedure</w:t>
                  </w:r>
                </w:p>
                <w:p w14:paraId="67BB8C09"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overview of any strategic and/or operational risk committees and terms of reference</w:t>
                  </w:r>
                </w:p>
              </w:tc>
            </w:tr>
            <w:tr w:rsidR="00F8097E" w:rsidRPr="00421442" w14:paraId="0BC29A8B" w14:textId="77777777" w:rsidTr="004C6E29">
              <w:trPr>
                <w:trHeight w:val="300"/>
              </w:trPr>
              <w:tc>
                <w:tcPr>
                  <w:tcW w:w="1491" w:type="pct"/>
                  <w:hideMark/>
                </w:tcPr>
                <w:p w14:paraId="69318247" w14:textId="77777777" w:rsidR="00F8097E" w:rsidRPr="002B0382" w:rsidRDefault="00F8097E" w:rsidP="00B21094">
                  <w:pPr>
                    <w:pStyle w:val="Tabletext"/>
                    <w:framePr w:hSpace="180" w:wrap="around" w:vAnchor="text" w:hAnchor="text" w:y="1"/>
                    <w:suppressOverlap/>
                    <w:rPr>
                      <w:b/>
                      <w:bCs/>
                      <w:szCs w:val="21"/>
                    </w:rPr>
                  </w:pPr>
                  <w:r w:rsidRPr="002B0382">
                    <w:rPr>
                      <w:b/>
                      <w:bCs/>
                      <w:szCs w:val="21"/>
                    </w:rPr>
                    <w:t>Workforce planning and development</w:t>
                  </w:r>
                </w:p>
              </w:tc>
              <w:tc>
                <w:tcPr>
                  <w:tcW w:w="3509" w:type="pct"/>
                  <w:hideMark/>
                </w:tcPr>
                <w:p w14:paraId="2B5FDA7A" w14:textId="77777777" w:rsidR="00F8097E" w:rsidRPr="002B0382" w:rsidRDefault="00F8097E" w:rsidP="00B21094">
                  <w:pPr>
                    <w:pStyle w:val="Tablebullet1"/>
                    <w:framePr w:hSpace="180" w:wrap="around" w:vAnchor="text" w:hAnchor="text" w:y="1"/>
                    <w:suppressOverlap/>
                    <w:rPr>
                      <w:szCs w:val="21"/>
                    </w:rPr>
                  </w:pPr>
                  <w:r w:rsidRPr="002B0382">
                    <w:rPr>
                      <w:szCs w:val="21"/>
                    </w:rPr>
                    <w:t>strategic workforce plans</w:t>
                  </w:r>
                </w:p>
                <w:p w14:paraId="174D3764" w14:textId="77777777" w:rsidR="00F8097E" w:rsidRPr="002B0382" w:rsidRDefault="00F8097E" w:rsidP="00B21094">
                  <w:pPr>
                    <w:pStyle w:val="Tablebullet1"/>
                    <w:framePr w:hSpace="180" w:wrap="around" w:vAnchor="text" w:hAnchor="text" w:y="1"/>
                    <w:suppressOverlap/>
                    <w:rPr>
                      <w:szCs w:val="21"/>
                    </w:rPr>
                  </w:pPr>
                  <w:r w:rsidRPr="002B0382">
                    <w:rPr>
                      <w:szCs w:val="21"/>
                    </w:rPr>
                    <w:t>service plans for</w:t>
                  </w:r>
                  <w:r>
                    <w:rPr>
                      <w:szCs w:val="21"/>
                    </w:rPr>
                    <w:t xml:space="preserve"> the types of services delivered</w:t>
                  </w:r>
                  <w:r w:rsidRPr="002B0382">
                    <w:rPr>
                      <w:szCs w:val="21"/>
                    </w:rPr>
                    <w:t xml:space="preserve"> </w:t>
                  </w:r>
                </w:p>
                <w:p w14:paraId="0852AC3B" w14:textId="77777777" w:rsidR="00F8097E" w:rsidRPr="002B0382" w:rsidRDefault="00F8097E" w:rsidP="00B21094">
                  <w:pPr>
                    <w:pStyle w:val="Tablebullet1"/>
                    <w:framePr w:hSpace="180" w:wrap="around" w:vAnchor="text" w:hAnchor="text" w:y="1"/>
                    <w:suppressOverlap/>
                    <w:rPr>
                      <w:szCs w:val="21"/>
                    </w:rPr>
                  </w:pPr>
                  <w:r w:rsidRPr="002B0382">
                    <w:rPr>
                      <w:szCs w:val="21"/>
                    </w:rPr>
                    <w:t>identification of required staff, skills, training plans and training register</w:t>
                  </w:r>
                </w:p>
                <w:p w14:paraId="66A6100C" w14:textId="77777777" w:rsidR="00F8097E" w:rsidRPr="002B0382" w:rsidRDefault="00F8097E" w:rsidP="00B21094">
                  <w:pPr>
                    <w:pStyle w:val="Tablebullet1"/>
                    <w:framePr w:hSpace="180" w:wrap="around" w:vAnchor="text" w:hAnchor="text" w:y="1"/>
                    <w:suppressOverlap/>
                    <w:rPr>
                      <w:szCs w:val="21"/>
                    </w:rPr>
                  </w:pPr>
                  <w:r w:rsidRPr="002B0382">
                    <w:rPr>
                      <w:szCs w:val="21"/>
                    </w:rPr>
                    <w:t>human resources/employment policies and procedures</w:t>
                  </w:r>
                </w:p>
              </w:tc>
            </w:tr>
            <w:tr w:rsidR="00F8097E" w:rsidRPr="00421442" w14:paraId="2E3D594D" w14:textId="77777777" w:rsidTr="004C6E29">
              <w:trPr>
                <w:trHeight w:val="300"/>
              </w:trPr>
              <w:tc>
                <w:tcPr>
                  <w:tcW w:w="1491" w:type="pct"/>
                  <w:hideMark/>
                </w:tcPr>
                <w:p w14:paraId="43AF757A" w14:textId="77777777" w:rsidR="00F8097E" w:rsidRPr="002B0382" w:rsidRDefault="00F8097E" w:rsidP="00B21094">
                  <w:pPr>
                    <w:pStyle w:val="Tabletext"/>
                    <w:framePr w:hSpace="180" w:wrap="around" w:vAnchor="text" w:hAnchor="text" w:y="1"/>
                    <w:suppressOverlap/>
                    <w:rPr>
                      <w:b/>
                      <w:bCs/>
                      <w:szCs w:val="21"/>
                    </w:rPr>
                  </w:pPr>
                  <w:r w:rsidRPr="002B0382">
                    <w:rPr>
                      <w:b/>
                      <w:bCs/>
                      <w:szCs w:val="21"/>
                    </w:rPr>
                    <w:lastRenderedPageBreak/>
                    <w:t>Continuous improvement</w:t>
                  </w:r>
                </w:p>
              </w:tc>
              <w:tc>
                <w:tcPr>
                  <w:tcW w:w="3509" w:type="pct"/>
                  <w:hideMark/>
                </w:tcPr>
                <w:p w14:paraId="3D3A9EE4"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quality and continuous improvement committees</w:t>
                  </w:r>
                  <w:r>
                    <w:rPr>
                      <w:szCs w:val="21"/>
                      <w:lang w:eastAsia="en-AU"/>
                    </w:rPr>
                    <w:t>’</w:t>
                  </w:r>
                  <w:r w:rsidRPr="002B0382">
                    <w:rPr>
                      <w:szCs w:val="21"/>
                      <w:lang w:eastAsia="en-AU"/>
                    </w:rPr>
                    <w:t xml:space="preserve"> terms of reference, policies and procedures</w:t>
                  </w:r>
                </w:p>
                <w:p w14:paraId="0CEE54F1"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incident reporting policies and procedures</w:t>
                  </w:r>
                </w:p>
              </w:tc>
            </w:tr>
            <w:tr w:rsidR="00F8097E" w:rsidRPr="00421442" w14:paraId="53CC9570" w14:textId="77777777" w:rsidTr="004C6E29">
              <w:trPr>
                <w:trHeight w:val="121"/>
              </w:trPr>
              <w:tc>
                <w:tcPr>
                  <w:tcW w:w="1491" w:type="pct"/>
                  <w:hideMark/>
                </w:tcPr>
                <w:p w14:paraId="029797D9" w14:textId="77777777" w:rsidR="00F8097E" w:rsidRPr="002B0382" w:rsidRDefault="00F8097E" w:rsidP="00B21094">
                  <w:pPr>
                    <w:pStyle w:val="Tabletext"/>
                    <w:framePr w:hSpace="180" w:wrap="around" w:vAnchor="text" w:hAnchor="text" w:y="1"/>
                    <w:suppressOverlap/>
                    <w:rPr>
                      <w:b/>
                      <w:bCs/>
                      <w:szCs w:val="21"/>
                    </w:rPr>
                  </w:pPr>
                  <w:r w:rsidRPr="002B0382">
                    <w:rPr>
                      <w:b/>
                      <w:bCs/>
                      <w:szCs w:val="21"/>
                    </w:rPr>
                    <w:t>Conflicts of interest</w:t>
                  </w:r>
                </w:p>
              </w:tc>
              <w:tc>
                <w:tcPr>
                  <w:tcW w:w="3509" w:type="pct"/>
                  <w:hideMark/>
                </w:tcPr>
                <w:p w14:paraId="0CA90E24"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conflicts of interest policy and procedure</w:t>
                  </w:r>
                </w:p>
                <w:p w14:paraId="4C90384C" w14:textId="77777777" w:rsidR="00F8097E" w:rsidRPr="002B0382" w:rsidRDefault="00F8097E" w:rsidP="00B21094">
                  <w:pPr>
                    <w:pStyle w:val="Tablebullet1"/>
                    <w:framePr w:hSpace="180" w:wrap="around" w:vAnchor="text" w:hAnchor="text" w:y="1"/>
                    <w:suppressOverlap/>
                    <w:rPr>
                      <w:rFonts w:cs="Segoe UI"/>
                      <w:szCs w:val="21"/>
                      <w:lang w:eastAsia="en-AU"/>
                    </w:rPr>
                  </w:pPr>
                  <w:r w:rsidRPr="002B0382">
                    <w:rPr>
                      <w:szCs w:val="21"/>
                      <w:lang w:eastAsia="en-AU"/>
                    </w:rPr>
                    <w:t>conflict of interest register</w:t>
                  </w:r>
                </w:p>
              </w:tc>
            </w:tr>
          </w:tbl>
          <w:p w14:paraId="6A8DD26F" w14:textId="77777777" w:rsidR="00F8097E" w:rsidRPr="00421442" w:rsidRDefault="00F8097E"/>
          <w:p w14:paraId="5DCEE9FA" w14:textId="77777777" w:rsidR="00F8097E" w:rsidRPr="001D11DF" w:rsidRDefault="00F8097E">
            <w:pPr>
              <w:pStyle w:val="Heading3"/>
              <w:rPr>
                <w:b/>
                <w:bCs w:val="0"/>
              </w:rPr>
            </w:pPr>
            <w:bookmarkStart w:id="16" w:name="_Appendix_3.2"/>
            <w:bookmarkEnd w:id="16"/>
            <w:r w:rsidRPr="001D11DF">
              <w:rPr>
                <w:b/>
                <w:bCs w:val="0"/>
              </w:rPr>
              <w:t>Appendix 3.2</w:t>
            </w:r>
          </w:p>
          <w:p w14:paraId="65F30D1C" w14:textId="77777777" w:rsidR="00F8097E" w:rsidRPr="00421442" w:rsidRDefault="00F8097E">
            <w:pPr>
              <w:pStyle w:val="Heading1"/>
            </w:pPr>
            <w:r w:rsidRPr="00421442">
              <w:t>Financial capacity</w:t>
            </w:r>
          </w:p>
          <w:p w14:paraId="384ADD97" w14:textId="77777777" w:rsidR="00F8097E" w:rsidRPr="00421442" w:rsidRDefault="00F8097E">
            <w:pPr>
              <w:pStyle w:val="Body"/>
            </w:pPr>
            <w:r w:rsidRPr="00421442">
              <w:t xml:space="preserve">Service providers must demonstrate that they have financial capacity to provide social services in </w:t>
            </w:r>
            <w:r>
              <w:t>line</w:t>
            </w:r>
            <w:r w:rsidRPr="00421442">
              <w:t xml:space="preserve"> with the Act and Regulations. </w:t>
            </w:r>
          </w:p>
          <w:p w14:paraId="2B23AB58" w14:textId="77777777" w:rsidR="00F8097E" w:rsidRPr="00421442" w:rsidRDefault="00F8097E">
            <w:pPr>
              <w:pStyle w:val="Body"/>
            </w:pPr>
            <w:r w:rsidRPr="00421442">
              <w:t xml:space="preserve">The Social Services Regulator will seek information about how a service provider is funded and what current assets and liabilities may impact service delivery. </w:t>
            </w:r>
          </w:p>
          <w:p w14:paraId="12711F5F" w14:textId="77777777" w:rsidR="00F8097E" w:rsidRPr="00421442" w:rsidRDefault="00F8097E">
            <w:pPr>
              <w:pStyle w:val="Body"/>
            </w:pPr>
            <w:r w:rsidRPr="00F866ED">
              <w:rPr>
                <w:b/>
                <w:bCs/>
              </w:rPr>
              <w:t>Table 6</w:t>
            </w:r>
            <w:r w:rsidRPr="00421442">
              <w:t xml:space="preserve"> outlines the factors the Social Services Regulator may consider when determining financial capacity.</w:t>
            </w:r>
          </w:p>
          <w:p w14:paraId="18CD2F2B" w14:textId="77777777" w:rsidR="00F8097E" w:rsidRPr="00421442" w:rsidRDefault="00F8097E" w:rsidP="004C6E29">
            <w:pPr>
              <w:pStyle w:val="Tablecaption"/>
            </w:pPr>
            <w:r w:rsidRPr="00880F68">
              <w:t>Table 6</w:t>
            </w:r>
          </w:p>
          <w:tbl>
            <w:tblPr>
              <w:tblStyle w:val="TableGrid"/>
              <w:tblW w:w="5000" w:type="pct"/>
              <w:tblLook w:val="04A0" w:firstRow="1" w:lastRow="0" w:firstColumn="1" w:lastColumn="0" w:noHBand="0" w:noVBand="1"/>
            </w:tblPr>
            <w:tblGrid>
              <w:gridCol w:w="2406"/>
              <w:gridCol w:w="7727"/>
            </w:tblGrid>
            <w:tr w:rsidR="00F8097E" w:rsidRPr="00421442" w14:paraId="5C57E833" w14:textId="77777777" w:rsidTr="004C6E29">
              <w:trPr>
                <w:trHeight w:val="651"/>
              </w:trPr>
              <w:tc>
                <w:tcPr>
                  <w:tcW w:w="1187" w:type="pct"/>
                </w:tcPr>
                <w:p w14:paraId="12974C2E" w14:textId="77777777" w:rsidR="00F8097E" w:rsidRPr="00421442" w:rsidRDefault="00F8097E" w:rsidP="00B21094">
                  <w:pPr>
                    <w:pStyle w:val="Tablecolhead"/>
                    <w:framePr w:hSpace="180" w:wrap="around" w:vAnchor="text" w:hAnchor="text" w:y="1"/>
                    <w:suppressOverlap/>
                  </w:pPr>
                  <w:r w:rsidRPr="00421442">
                    <w:t xml:space="preserve">Service provider funding model </w:t>
                  </w:r>
                </w:p>
              </w:tc>
              <w:tc>
                <w:tcPr>
                  <w:tcW w:w="3813" w:type="pct"/>
                </w:tcPr>
                <w:p w14:paraId="51524618" w14:textId="77777777" w:rsidR="00F8097E" w:rsidRPr="00421442" w:rsidRDefault="00F8097E" w:rsidP="00B21094">
                  <w:pPr>
                    <w:pStyle w:val="Tablecolhead"/>
                    <w:framePr w:hSpace="180" w:wrap="around" w:vAnchor="text" w:hAnchor="text" w:y="1"/>
                    <w:suppressOverlap/>
                  </w:pPr>
                  <w:r w:rsidRPr="00421442">
                    <w:t>Evidence</w:t>
                  </w:r>
                  <w:r>
                    <w:t xml:space="preserve"> that may be</w:t>
                  </w:r>
                  <w:r w:rsidRPr="00421442">
                    <w:t xml:space="preserve"> required</w:t>
                  </w:r>
                  <w:r>
                    <w:t xml:space="preserve"> to support application</w:t>
                  </w:r>
                </w:p>
              </w:tc>
            </w:tr>
            <w:tr w:rsidR="00F8097E" w:rsidRPr="00421442" w14:paraId="2C964597" w14:textId="77777777" w:rsidTr="004C6E29">
              <w:trPr>
                <w:trHeight w:val="1860"/>
              </w:trPr>
              <w:tc>
                <w:tcPr>
                  <w:tcW w:w="1187" w:type="pct"/>
                </w:tcPr>
                <w:p w14:paraId="3373D26E" w14:textId="77777777" w:rsidR="00F8097E" w:rsidRPr="004C6E29" w:rsidRDefault="00F8097E" w:rsidP="00B21094">
                  <w:pPr>
                    <w:pStyle w:val="Tabletext"/>
                    <w:framePr w:hSpace="180" w:wrap="around" w:vAnchor="text" w:hAnchor="text" w:y="1"/>
                    <w:suppressOverlap/>
                    <w:rPr>
                      <w:b/>
                      <w:bCs/>
                    </w:rPr>
                  </w:pPr>
                  <w:r w:rsidRPr="004C6E29">
                    <w:rPr>
                      <w:b/>
                      <w:bCs/>
                    </w:rPr>
                    <w:t xml:space="preserve">Funded by DFFH </w:t>
                  </w:r>
                </w:p>
              </w:tc>
              <w:tc>
                <w:tcPr>
                  <w:tcW w:w="3813" w:type="pct"/>
                </w:tcPr>
                <w:p w14:paraId="7D5CA0FF" w14:textId="77777777" w:rsidR="00F8097E" w:rsidRPr="004C6E29" w:rsidRDefault="00F8097E" w:rsidP="00B21094">
                  <w:pPr>
                    <w:pStyle w:val="Tablebullet1"/>
                    <w:framePr w:hSpace="180" w:wrap="around" w:vAnchor="text" w:hAnchor="text" w:y="1"/>
                    <w:suppressOverlap/>
                    <w:rPr>
                      <w:rStyle w:val="normaltextrun"/>
                    </w:rPr>
                  </w:pPr>
                  <w:r w:rsidRPr="004C6E29">
                    <w:rPr>
                      <w:rStyle w:val="normaltextrun"/>
                    </w:rPr>
                    <w:t xml:space="preserve">evidence of funded provider status, for example delivering or being engaged to deliver social services </w:t>
                  </w:r>
                </w:p>
                <w:p w14:paraId="65994B13" w14:textId="7BAFCE8F" w:rsidR="00F8097E" w:rsidRPr="004C6E29" w:rsidRDefault="7E6E8F57" w:rsidP="00B21094">
                  <w:pPr>
                    <w:pStyle w:val="Tablebullet1"/>
                    <w:framePr w:hSpace="180" w:wrap="around" w:vAnchor="text" w:hAnchor="text" w:y="1"/>
                    <w:suppressOverlap/>
                    <w:rPr>
                      <w:rStyle w:val="normaltextrun"/>
                    </w:rPr>
                  </w:pPr>
                  <w:r w:rsidRPr="004C6E29">
                    <w:rPr>
                      <w:rStyle w:val="normaltextrun"/>
                    </w:rPr>
                    <w:t xml:space="preserve">a bank statement generated within one month of its application for registration, for a minimum </w:t>
                  </w:r>
                  <w:r w:rsidR="501170B3" w:rsidRPr="41DC38ED">
                    <w:rPr>
                      <w:rStyle w:val="normaltextrun"/>
                    </w:rPr>
                    <w:t>six</w:t>
                  </w:r>
                  <w:r w:rsidRPr="004C6E29">
                    <w:rPr>
                      <w:rStyle w:val="normaltextrun"/>
                    </w:rPr>
                    <w:t>-month period (or from the date the account was opened if less than six months)</w:t>
                  </w:r>
                </w:p>
                <w:p w14:paraId="44E1FC3B" w14:textId="77777777" w:rsidR="00F8097E" w:rsidRPr="004C6E29" w:rsidRDefault="00F8097E" w:rsidP="00B21094">
                  <w:pPr>
                    <w:pStyle w:val="Tablebullet1"/>
                    <w:framePr w:hSpace="180" w:wrap="around" w:vAnchor="text" w:hAnchor="text" w:y="1"/>
                    <w:suppressOverlap/>
                  </w:pPr>
                  <w:r w:rsidRPr="004C6E29">
                    <w:rPr>
                      <w:rStyle w:val="normaltextrun"/>
                    </w:rPr>
                    <w:t xml:space="preserve">a business plan or equivalent, such as an operational plan </w:t>
                  </w:r>
                </w:p>
              </w:tc>
            </w:tr>
            <w:tr w:rsidR="00F8097E" w:rsidRPr="00421442" w14:paraId="495D196D" w14:textId="77777777" w:rsidTr="004C6E29">
              <w:trPr>
                <w:trHeight w:val="2368"/>
              </w:trPr>
              <w:tc>
                <w:tcPr>
                  <w:tcW w:w="1187" w:type="pct"/>
                </w:tcPr>
                <w:p w14:paraId="1BF889C0" w14:textId="77777777" w:rsidR="00F8097E" w:rsidRPr="004C6E29" w:rsidRDefault="00F8097E" w:rsidP="00B21094">
                  <w:pPr>
                    <w:pStyle w:val="Tabletext"/>
                    <w:framePr w:hSpace="180" w:wrap="around" w:vAnchor="text" w:hAnchor="text" w:y="1"/>
                    <w:suppressOverlap/>
                    <w:rPr>
                      <w:b/>
                      <w:bCs/>
                    </w:rPr>
                  </w:pPr>
                  <w:r w:rsidRPr="004C6E29">
                    <w:rPr>
                      <w:b/>
                      <w:bCs/>
                    </w:rPr>
                    <w:t>Not funded by DFFH</w:t>
                  </w:r>
                </w:p>
              </w:tc>
              <w:tc>
                <w:tcPr>
                  <w:tcW w:w="3813" w:type="pct"/>
                </w:tcPr>
                <w:p w14:paraId="28C940B3" w14:textId="77777777" w:rsidR="00F8097E" w:rsidRPr="004C6E29" w:rsidRDefault="00F8097E" w:rsidP="00B21094">
                  <w:pPr>
                    <w:pStyle w:val="Tablebullet1"/>
                    <w:framePr w:hSpace="180" w:wrap="around" w:vAnchor="text" w:hAnchor="text" w:y="1"/>
                    <w:suppressOverlap/>
                    <w:rPr>
                      <w:rStyle w:val="normaltextrun"/>
                    </w:rPr>
                  </w:pPr>
                  <w:r w:rsidRPr="004C6E29">
                    <w:rPr>
                      <w:rStyle w:val="normaltextrun"/>
                    </w:rPr>
                    <w:t>evidence of current assets, income and liabilities for the previous two financial years and future projection prepared by an independent third party</w:t>
                  </w:r>
                </w:p>
                <w:p w14:paraId="4BC3E479" w14:textId="77777777" w:rsidR="00F8097E" w:rsidRPr="004C6E29" w:rsidRDefault="00F8097E" w:rsidP="00B21094">
                  <w:pPr>
                    <w:pStyle w:val="Tablebullet1"/>
                    <w:framePr w:hSpace="180" w:wrap="around" w:vAnchor="text" w:hAnchor="text" w:y="1"/>
                    <w:suppressOverlap/>
                    <w:rPr>
                      <w:rStyle w:val="normaltextrun"/>
                    </w:rPr>
                  </w:pPr>
                  <w:r w:rsidRPr="004C6E29">
                    <w:rPr>
                      <w:rStyle w:val="normaltextrun"/>
                    </w:rPr>
                    <w:t>a business plan or equivalent, such as an operational plan, which includes charges services users will incur for the type of service to be provided and monthly profit and loss projections</w:t>
                  </w:r>
                </w:p>
                <w:p w14:paraId="3520E0CE" w14:textId="2B20BB97" w:rsidR="00F8097E" w:rsidRPr="004C6E29" w:rsidRDefault="7E6E8F57" w:rsidP="00B21094">
                  <w:pPr>
                    <w:pStyle w:val="Tablebullet1"/>
                    <w:framePr w:hSpace="180" w:wrap="around" w:vAnchor="text" w:hAnchor="text" w:y="1"/>
                    <w:suppressOverlap/>
                  </w:pPr>
                  <w:r w:rsidRPr="004C6E29">
                    <w:rPr>
                      <w:rStyle w:val="normaltextrun"/>
                    </w:rPr>
                    <w:t xml:space="preserve">a bank statement generated within one month of its application for registration, for a minimum </w:t>
                  </w:r>
                  <w:r w:rsidR="6E4DDAB6" w:rsidRPr="41DC38ED">
                    <w:rPr>
                      <w:rStyle w:val="normaltextrun"/>
                    </w:rPr>
                    <w:t>six</w:t>
                  </w:r>
                  <w:r w:rsidRPr="004C6E29">
                    <w:rPr>
                      <w:rStyle w:val="normaltextrun"/>
                    </w:rPr>
                    <w:t>-month period (or from the date the account was opened if less than six months)</w:t>
                  </w:r>
                </w:p>
              </w:tc>
            </w:tr>
          </w:tbl>
          <w:p w14:paraId="13A5353B" w14:textId="6E34E665" w:rsidR="00F8097E" w:rsidRPr="00421442" w:rsidRDefault="00F8097E">
            <w:pPr>
              <w:pStyle w:val="Heading4"/>
            </w:pPr>
            <w:bookmarkStart w:id="17" w:name="_Appendix_4"/>
            <w:bookmarkEnd w:id="17"/>
            <w:r w:rsidRPr="00421442">
              <w:t>Appendix 4</w:t>
            </w:r>
          </w:p>
          <w:p w14:paraId="43F7C89D" w14:textId="56FCEA55" w:rsidR="00F8097E" w:rsidRPr="00421442" w:rsidRDefault="7E6E8F57">
            <w:pPr>
              <w:pStyle w:val="Heading3"/>
            </w:pPr>
            <w:bookmarkStart w:id="18" w:name="_Key_Personnel"/>
            <w:bookmarkEnd w:id="18"/>
            <w:r>
              <w:t>Foster care, out</w:t>
            </w:r>
            <w:r w:rsidR="001256CC">
              <w:t>-</w:t>
            </w:r>
            <w:r>
              <w:t>of</w:t>
            </w:r>
            <w:r w:rsidR="001256CC">
              <w:t>-</w:t>
            </w:r>
            <w:r>
              <w:t>home care and secure welfare services</w:t>
            </w:r>
          </w:p>
          <w:p w14:paraId="13D80102" w14:textId="77777777" w:rsidR="00F8097E" w:rsidRPr="00421442" w:rsidRDefault="00F8097E">
            <w:pPr>
              <w:pStyle w:val="Bodyafterbullets"/>
            </w:pPr>
            <w:r w:rsidRPr="00421442">
              <w:t xml:space="preserve">Service providers delivering services to children vary in size, structure, resources and the types of interactions that occur between staff, volunteers and children. </w:t>
            </w:r>
          </w:p>
          <w:p w14:paraId="60AB78A0" w14:textId="48C081B9" w:rsidR="00F8097E" w:rsidRPr="00421442" w:rsidRDefault="7E6E8F57">
            <w:pPr>
              <w:pStyle w:val="Bodyafterbullets"/>
            </w:pPr>
            <w:r>
              <w:t xml:space="preserve">Recruitment policies and practices should have </w:t>
            </w:r>
            <w:r w:rsidR="5794E1FF">
              <w:t xml:space="preserve">a </w:t>
            </w:r>
            <w:r>
              <w:t xml:space="preserve">strong child safe focus on safety screening, suitability, induction and people management practices that support child safety and wellbeing. </w:t>
            </w:r>
          </w:p>
          <w:p w14:paraId="2D3F763B" w14:textId="77777777" w:rsidR="00F8097E" w:rsidRPr="00421442" w:rsidRDefault="7E6E8F57">
            <w:pPr>
              <w:pStyle w:val="Bodyafterbullets"/>
            </w:pPr>
            <w:r>
              <w:t>Table 7 outlines factors for service providers to take into consideration and suggested documents that may support an application. Suggested documents act as a guide only.</w:t>
            </w:r>
          </w:p>
          <w:p w14:paraId="76A782AF" w14:textId="77777777" w:rsidR="00F8097E" w:rsidRPr="00421442" w:rsidRDefault="00F8097E" w:rsidP="004C6E29">
            <w:pPr>
              <w:pStyle w:val="Tablecaption"/>
            </w:pPr>
            <w:r w:rsidRPr="005118AB">
              <w:t>Table 7</w:t>
            </w:r>
          </w:p>
          <w:tbl>
            <w:tblPr>
              <w:tblStyle w:val="TableGrid"/>
              <w:tblW w:w="10133" w:type="dxa"/>
              <w:tblLook w:val="04A0" w:firstRow="1" w:lastRow="0" w:firstColumn="1" w:lastColumn="0" w:noHBand="0" w:noVBand="1"/>
            </w:tblPr>
            <w:tblGrid>
              <w:gridCol w:w="1413"/>
              <w:gridCol w:w="4252"/>
              <w:gridCol w:w="4468"/>
            </w:tblGrid>
            <w:tr w:rsidR="00F8097E" w:rsidRPr="00421442" w14:paraId="0884EEA4" w14:textId="77777777" w:rsidTr="41DC38ED">
              <w:trPr>
                <w:trHeight w:val="631"/>
                <w:tblHeader/>
              </w:trPr>
              <w:tc>
                <w:tcPr>
                  <w:tcW w:w="1413" w:type="dxa"/>
                </w:tcPr>
                <w:p w14:paraId="134D57D5" w14:textId="77777777" w:rsidR="00F8097E" w:rsidRPr="00421442" w:rsidRDefault="00F8097E" w:rsidP="00B21094">
                  <w:pPr>
                    <w:pStyle w:val="Tablecolhead"/>
                    <w:framePr w:hSpace="180" w:wrap="around" w:vAnchor="text" w:hAnchor="text" w:y="1"/>
                    <w:suppressOverlap/>
                  </w:pPr>
                  <w:r w:rsidRPr="00421442">
                    <w:lastRenderedPageBreak/>
                    <w:t>Services</w:t>
                  </w:r>
                </w:p>
              </w:tc>
              <w:tc>
                <w:tcPr>
                  <w:tcW w:w="4252" w:type="dxa"/>
                </w:tcPr>
                <w:p w14:paraId="192F3B5B" w14:textId="77777777" w:rsidR="00F8097E" w:rsidRPr="00421442" w:rsidRDefault="00F8097E" w:rsidP="00B21094">
                  <w:pPr>
                    <w:pStyle w:val="Tablecolhead"/>
                    <w:framePr w:hSpace="180" w:wrap="around" w:vAnchor="text" w:hAnchor="text" w:y="1"/>
                    <w:suppressOverlap/>
                  </w:pPr>
                  <w:r w:rsidRPr="00421442">
                    <w:t>Factors to be considered by the service provider</w:t>
                  </w:r>
                </w:p>
              </w:tc>
              <w:tc>
                <w:tcPr>
                  <w:tcW w:w="4468" w:type="dxa"/>
                </w:tcPr>
                <w:p w14:paraId="4404D5A5" w14:textId="77777777" w:rsidR="00F8097E" w:rsidRPr="00421442" w:rsidRDefault="00F8097E" w:rsidP="00B21094">
                  <w:pPr>
                    <w:pStyle w:val="Tablecolhead"/>
                    <w:framePr w:hSpace="180" w:wrap="around" w:vAnchor="text" w:hAnchor="text" w:y="1"/>
                    <w:suppressOverlap/>
                  </w:pPr>
                  <w:r w:rsidRPr="00421442">
                    <w:t>Documentation to support application</w:t>
                  </w:r>
                </w:p>
              </w:tc>
            </w:tr>
            <w:tr w:rsidR="00F8097E" w:rsidRPr="00421442" w14:paraId="599E531B" w14:textId="77777777" w:rsidTr="41DC38ED">
              <w:trPr>
                <w:trHeight w:val="132"/>
              </w:trPr>
              <w:tc>
                <w:tcPr>
                  <w:tcW w:w="1413" w:type="dxa"/>
                </w:tcPr>
                <w:p w14:paraId="6EC3B8EE" w14:textId="77777777" w:rsidR="00F8097E" w:rsidRPr="00421442" w:rsidRDefault="7E6E8F57" w:rsidP="00B21094">
                  <w:pPr>
                    <w:pStyle w:val="Tabletext"/>
                    <w:framePr w:hSpace="180" w:wrap="around" w:vAnchor="text" w:hAnchor="text" w:y="1"/>
                    <w:suppressOverlap/>
                    <w:rPr>
                      <w:b/>
                      <w:bCs/>
                    </w:rPr>
                  </w:pPr>
                  <w:r w:rsidRPr="41DC38ED">
                    <w:rPr>
                      <w:b/>
                      <w:bCs/>
                    </w:rPr>
                    <w:t>Foster care</w:t>
                  </w:r>
                </w:p>
              </w:tc>
              <w:tc>
                <w:tcPr>
                  <w:tcW w:w="4252" w:type="dxa"/>
                </w:tcPr>
                <w:p w14:paraId="659A7ADE" w14:textId="77777777" w:rsidR="00F8097E" w:rsidRPr="00421442" w:rsidRDefault="00F8097E" w:rsidP="00B21094">
                  <w:pPr>
                    <w:pStyle w:val="Bullet2"/>
                    <w:framePr w:hSpace="180" w:wrap="around" w:vAnchor="text" w:hAnchor="text" w:y="1"/>
                    <w:numPr>
                      <w:ilvl w:val="0"/>
                      <w:numId w:val="34"/>
                    </w:numPr>
                    <w:suppressOverlap/>
                  </w:pPr>
                  <w:r w:rsidRPr="00421442">
                    <w:t>criminal history of the person and the usual members of the person's household</w:t>
                  </w:r>
                </w:p>
                <w:p w14:paraId="726892F4" w14:textId="77777777" w:rsidR="00F8097E" w:rsidRPr="00421442" w:rsidRDefault="00F8097E" w:rsidP="00B21094">
                  <w:pPr>
                    <w:pStyle w:val="Bullet2"/>
                    <w:framePr w:hSpace="180" w:wrap="around" w:vAnchor="text" w:hAnchor="text" w:y="1"/>
                    <w:numPr>
                      <w:ilvl w:val="0"/>
                      <w:numId w:val="34"/>
                    </w:numPr>
                    <w:suppressOverlap/>
                  </w:pPr>
                  <w:r w:rsidRPr="00421442">
                    <w:t>person’s medical history (including mental health)</w:t>
                  </w:r>
                </w:p>
                <w:p w14:paraId="30DA8198" w14:textId="77777777" w:rsidR="00F8097E" w:rsidRPr="00421442" w:rsidRDefault="00F8097E" w:rsidP="00B21094">
                  <w:pPr>
                    <w:pStyle w:val="Bullet2"/>
                    <w:framePr w:hSpace="180" w:wrap="around" w:vAnchor="text" w:hAnchor="text" w:y="1"/>
                    <w:numPr>
                      <w:ilvl w:val="0"/>
                      <w:numId w:val="34"/>
                    </w:numPr>
                    <w:suppressOverlap/>
                  </w:pPr>
                  <w:r w:rsidRPr="00421442">
                    <w:t>the person's general character</w:t>
                  </w:r>
                </w:p>
                <w:p w14:paraId="49AA6DDF" w14:textId="77777777" w:rsidR="00F8097E" w:rsidRPr="00421442" w:rsidRDefault="00F8097E" w:rsidP="00B21094">
                  <w:pPr>
                    <w:pStyle w:val="Bullet2"/>
                    <w:framePr w:hSpace="180" w:wrap="around" w:vAnchor="text" w:hAnchor="text" w:y="1"/>
                    <w:numPr>
                      <w:ilvl w:val="0"/>
                      <w:numId w:val="34"/>
                    </w:numPr>
                    <w:suppressOverlap/>
                  </w:pPr>
                  <w:r w:rsidRPr="00421442">
                    <w:t>the person's relationship with the person's family members and household members</w:t>
                  </w:r>
                </w:p>
                <w:p w14:paraId="2A45F30F" w14:textId="77777777" w:rsidR="00F8097E" w:rsidRPr="00421442" w:rsidRDefault="00F8097E" w:rsidP="00B21094">
                  <w:pPr>
                    <w:pStyle w:val="Bullet2"/>
                    <w:framePr w:hSpace="180" w:wrap="around" w:vAnchor="text" w:hAnchor="text" w:y="1"/>
                    <w:numPr>
                      <w:ilvl w:val="0"/>
                      <w:numId w:val="34"/>
                    </w:numPr>
                    <w:suppressOverlap/>
                  </w:pPr>
                  <w:r w:rsidRPr="00421442">
                    <w:t>the person's capacity to provide stability</w:t>
                  </w:r>
                  <w:r>
                    <w:t xml:space="preserve">, </w:t>
                  </w:r>
                  <w:r w:rsidRPr="00421442">
                    <w:t xml:space="preserve">continuity of care and promote achievement of the permanency objective included in a child's case plan within the meaning of the </w:t>
                  </w:r>
                  <w:r w:rsidRPr="00421442">
                    <w:rPr>
                      <w:i/>
                      <w:iCs/>
                    </w:rPr>
                    <w:t>Children, Youth and Families Act 2005</w:t>
                  </w:r>
                </w:p>
                <w:p w14:paraId="588A4144" w14:textId="77777777" w:rsidR="00F8097E" w:rsidRPr="00421442" w:rsidRDefault="00F8097E" w:rsidP="00B21094">
                  <w:pPr>
                    <w:pStyle w:val="Bullet2"/>
                    <w:framePr w:hSpace="180" w:wrap="around" w:vAnchor="text" w:hAnchor="text" w:y="1"/>
                    <w:numPr>
                      <w:ilvl w:val="0"/>
                      <w:numId w:val="34"/>
                    </w:numPr>
                    <w:suppressOverlap/>
                  </w:pPr>
                  <w:r w:rsidRPr="00421442">
                    <w:t>the person's capacity to promote and protect a child's safety, wellbeing and development</w:t>
                  </w:r>
                </w:p>
                <w:p w14:paraId="4AF6BE18" w14:textId="77777777" w:rsidR="00F8097E" w:rsidRPr="00421442" w:rsidRDefault="00F8097E" w:rsidP="00B21094">
                  <w:pPr>
                    <w:pStyle w:val="Bullet2"/>
                    <w:framePr w:hSpace="180" w:wrap="around" w:vAnchor="text" w:hAnchor="text" w:y="1"/>
                    <w:numPr>
                      <w:ilvl w:val="0"/>
                      <w:numId w:val="34"/>
                    </w:numPr>
                    <w:suppressOverlap/>
                  </w:pPr>
                  <w:r w:rsidRPr="00421442">
                    <w:t>the person's capacity to provide appropriate support for the maintenance of a child's religious faith</w:t>
                  </w:r>
                </w:p>
                <w:p w14:paraId="76E78A3D" w14:textId="77777777" w:rsidR="00F8097E" w:rsidRPr="00421442" w:rsidRDefault="00F8097E" w:rsidP="00B21094">
                  <w:pPr>
                    <w:pStyle w:val="Bullet2"/>
                    <w:framePr w:hSpace="180" w:wrap="around" w:vAnchor="text" w:hAnchor="text" w:y="1"/>
                    <w:numPr>
                      <w:ilvl w:val="0"/>
                      <w:numId w:val="35"/>
                    </w:numPr>
                    <w:suppressOverlap/>
                  </w:pPr>
                  <w:r w:rsidRPr="00421442">
                    <w:t>the person's capacity to preserve a child's identity and connection to the child's culture of origin and relationships with the child's birth family</w:t>
                  </w:r>
                </w:p>
                <w:p w14:paraId="2BAF391A" w14:textId="77777777" w:rsidR="00F8097E" w:rsidRPr="00421442" w:rsidRDefault="00F8097E" w:rsidP="00B21094">
                  <w:pPr>
                    <w:pStyle w:val="Bullet2"/>
                    <w:framePr w:hSpace="180" w:wrap="around" w:vAnchor="text" w:hAnchor="text" w:y="1"/>
                    <w:numPr>
                      <w:ilvl w:val="0"/>
                      <w:numId w:val="35"/>
                    </w:numPr>
                    <w:suppressOverlap/>
                  </w:pPr>
                  <w:r w:rsidRPr="00421442">
                    <w:t>the person's appreciation of the importance of contact with a child's birth parent and family</w:t>
                  </w:r>
                </w:p>
                <w:p w14:paraId="7C2E667F" w14:textId="77777777" w:rsidR="00F8097E" w:rsidRPr="00421442" w:rsidRDefault="00F8097E" w:rsidP="00B21094">
                  <w:pPr>
                    <w:pStyle w:val="Bullet2"/>
                    <w:framePr w:hSpace="180" w:wrap="around" w:vAnchor="text" w:hAnchor="text" w:y="1"/>
                    <w:numPr>
                      <w:ilvl w:val="0"/>
                      <w:numId w:val="35"/>
                    </w:numPr>
                    <w:suppressOverlap/>
                  </w:pPr>
                  <w:r w:rsidRPr="00421442">
                    <w:t>the person's capacity to develop a positive relationship and to work collaboratively with other providers of services to children, including:</w:t>
                  </w:r>
                </w:p>
                <w:p w14:paraId="1B1EFDFD" w14:textId="77777777" w:rsidR="00F8097E" w:rsidRPr="00421442" w:rsidRDefault="00F8097E" w:rsidP="00B21094">
                  <w:pPr>
                    <w:pStyle w:val="Bullet2"/>
                    <w:framePr w:hSpace="180" w:wrap="around" w:vAnchor="text" w:hAnchor="text" w:y="1"/>
                    <w:numPr>
                      <w:ilvl w:val="1"/>
                      <w:numId w:val="28"/>
                    </w:numPr>
                    <w:ind w:left="757"/>
                    <w:suppressOverlap/>
                  </w:pPr>
                  <w:r w:rsidRPr="00421442">
                    <w:t>child protection services</w:t>
                  </w:r>
                </w:p>
                <w:p w14:paraId="0F02A376" w14:textId="77777777" w:rsidR="00F8097E" w:rsidRPr="00421442" w:rsidRDefault="00F8097E" w:rsidP="00B21094">
                  <w:pPr>
                    <w:pStyle w:val="Bullet2"/>
                    <w:framePr w:hSpace="180" w:wrap="around" w:vAnchor="text" w:hAnchor="text" w:y="1"/>
                    <w:numPr>
                      <w:ilvl w:val="1"/>
                      <w:numId w:val="28"/>
                    </w:numPr>
                    <w:ind w:left="757"/>
                    <w:suppressOverlap/>
                  </w:pPr>
                  <w:r w:rsidRPr="00421442">
                    <w:t>disability services</w:t>
                  </w:r>
                </w:p>
                <w:p w14:paraId="7345A375" w14:textId="6349B9A0" w:rsidR="00F8097E" w:rsidRPr="00421442" w:rsidRDefault="00F8097E" w:rsidP="00B21094">
                  <w:pPr>
                    <w:pStyle w:val="Bullet2"/>
                    <w:framePr w:hSpace="180" w:wrap="around" w:vAnchor="text" w:hAnchor="text" w:y="1"/>
                    <w:numPr>
                      <w:ilvl w:val="1"/>
                      <w:numId w:val="28"/>
                    </w:numPr>
                    <w:ind w:left="757"/>
                    <w:suppressOverlap/>
                  </w:pPr>
                  <w:r w:rsidRPr="00421442">
                    <w:t>registered out</w:t>
                  </w:r>
                  <w:r w:rsidR="001256CC">
                    <w:t>-</w:t>
                  </w:r>
                  <w:r w:rsidRPr="00421442">
                    <w:t>of</w:t>
                  </w:r>
                  <w:r w:rsidR="001256CC">
                    <w:t>-</w:t>
                  </w:r>
                  <w:r w:rsidRPr="00421442">
                    <w:t>home care services</w:t>
                  </w:r>
                </w:p>
                <w:p w14:paraId="519CA52E" w14:textId="77777777" w:rsidR="00F8097E" w:rsidRPr="00421442" w:rsidRDefault="00F8097E" w:rsidP="00B21094">
                  <w:pPr>
                    <w:pStyle w:val="Bullet2"/>
                    <w:framePr w:hSpace="180" w:wrap="around" w:vAnchor="text" w:hAnchor="text" w:y="1"/>
                    <w:numPr>
                      <w:ilvl w:val="1"/>
                      <w:numId w:val="28"/>
                    </w:numPr>
                    <w:ind w:left="757"/>
                    <w:suppressOverlap/>
                  </w:pPr>
                  <w:r w:rsidRPr="00421442">
                    <w:t>health services</w:t>
                  </w:r>
                </w:p>
                <w:p w14:paraId="0179C249" w14:textId="77777777" w:rsidR="00F8097E" w:rsidRPr="00421442" w:rsidRDefault="00F8097E" w:rsidP="00B21094">
                  <w:pPr>
                    <w:pStyle w:val="Bullet2"/>
                    <w:framePr w:hSpace="180" w:wrap="around" w:vAnchor="text" w:hAnchor="text" w:y="1"/>
                    <w:numPr>
                      <w:ilvl w:val="1"/>
                      <w:numId w:val="28"/>
                    </w:numPr>
                    <w:ind w:left="757"/>
                    <w:suppressOverlap/>
                  </w:pPr>
                  <w:r w:rsidRPr="00421442">
                    <w:t>educational services</w:t>
                  </w:r>
                </w:p>
                <w:p w14:paraId="371F2590" w14:textId="77777777" w:rsidR="00F8097E" w:rsidRPr="00421442" w:rsidRDefault="00F8097E" w:rsidP="00B21094">
                  <w:pPr>
                    <w:pStyle w:val="Bullet2"/>
                    <w:framePr w:hSpace="180" w:wrap="around" w:vAnchor="text" w:hAnchor="text" w:y="1"/>
                    <w:numPr>
                      <w:ilvl w:val="1"/>
                      <w:numId w:val="28"/>
                    </w:numPr>
                    <w:ind w:left="757"/>
                    <w:suppressOverlap/>
                  </w:pPr>
                  <w:r w:rsidRPr="00421442">
                    <w:t>legal and youth justice services.</w:t>
                  </w:r>
                </w:p>
              </w:tc>
              <w:tc>
                <w:tcPr>
                  <w:tcW w:w="4468" w:type="dxa"/>
                </w:tcPr>
                <w:p w14:paraId="40F0E440" w14:textId="77777777" w:rsidR="00F8097E" w:rsidRPr="00421442" w:rsidRDefault="7E6E8F57" w:rsidP="00B21094">
                  <w:pPr>
                    <w:pStyle w:val="Tablebullet1"/>
                    <w:framePr w:hSpace="180" w:wrap="around" w:vAnchor="text" w:hAnchor="text" w:y="1"/>
                    <w:suppressOverlap/>
                  </w:pPr>
                  <w:r>
                    <w:t>recruitment policy and procedures that include specifics for foster care</w:t>
                  </w:r>
                </w:p>
                <w:p w14:paraId="74712F82" w14:textId="77777777" w:rsidR="00F8097E" w:rsidRPr="00421442" w:rsidRDefault="7E6E8F57" w:rsidP="00B21094">
                  <w:pPr>
                    <w:pStyle w:val="Tablebullet1"/>
                    <w:framePr w:hSpace="180" w:wrap="around" w:vAnchor="text" w:hAnchor="text" w:y="1"/>
                    <w:suppressOverlap/>
                  </w:pPr>
                  <w:r>
                    <w:t>policies and practices on supervision and/or ongoing assessment of a person’s suitability to provide foster care</w:t>
                  </w:r>
                </w:p>
                <w:p w14:paraId="35387A46" w14:textId="77777777" w:rsidR="00F8097E" w:rsidRPr="00421442" w:rsidRDefault="00F8097E" w:rsidP="00B21094">
                  <w:pPr>
                    <w:pStyle w:val="Tablebullet1"/>
                    <w:framePr w:hSpace="180" w:wrap="around" w:vAnchor="text" w:hAnchor="text" w:y="1"/>
                    <w:suppressOverlap/>
                  </w:pPr>
                  <w:r w:rsidRPr="00421442">
                    <w:t>policies and practices for home inspections</w:t>
                  </w:r>
                </w:p>
                <w:p w14:paraId="52B7A692" w14:textId="77777777" w:rsidR="00F8097E" w:rsidRPr="00421442" w:rsidRDefault="00F8097E" w:rsidP="00B21094">
                  <w:pPr>
                    <w:pStyle w:val="Tablebullet1"/>
                    <w:framePr w:hSpace="180" w:wrap="around" w:vAnchor="text" w:hAnchor="text" w:y="1"/>
                    <w:suppressOverlap/>
                  </w:pPr>
                  <w:r w:rsidRPr="00421442">
                    <w:t>foster care training policy, procedures, or practices</w:t>
                  </w:r>
                </w:p>
                <w:p w14:paraId="6A7E1264" w14:textId="77777777" w:rsidR="00F8097E" w:rsidRPr="00421442" w:rsidRDefault="00F8097E" w:rsidP="00B21094">
                  <w:pPr>
                    <w:pStyle w:val="Tablebullet1"/>
                    <w:framePr w:hSpace="180" w:wrap="around" w:vAnchor="text" w:hAnchor="text" w:y="1"/>
                    <w:suppressOverlap/>
                  </w:pPr>
                  <w:r>
                    <w:t>framework and strategy for professional development</w:t>
                  </w:r>
                </w:p>
                <w:p w14:paraId="019480FD" w14:textId="77777777" w:rsidR="00F8097E" w:rsidRPr="00421442" w:rsidRDefault="00F8097E" w:rsidP="00B21094">
                  <w:pPr>
                    <w:pStyle w:val="Tablebullet1"/>
                    <w:framePr w:hSpace="180" w:wrap="around" w:vAnchor="text" w:hAnchor="text" w:y="1"/>
                    <w:suppressOverlap/>
                  </w:pPr>
                  <w:r w:rsidRPr="00421442">
                    <w:t xml:space="preserve">qualifications, skills and/or experience registers or matrix </w:t>
                  </w:r>
                </w:p>
                <w:p w14:paraId="39252AA6" w14:textId="77777777" w:rsidR="00F8097E" w:rsidRPr="00421442" w:rsidRDefault="7E6E8F57" w:rsidP="00B21094">
                  <w:pPr>
                    <w:pStyle w:val="Tablebullet1"/>
                    <w:framePr w:hSpace="180" w:wrap="around" w:vAnchor="text" w:hAnchor="text" w:y="1"/>
                    <w:suppressOverlap/>
                  </w:pPr>
                  <w:r>
                    <w:t>contractual agreements/position descriptions specific to foster carers</w:t>
                  </w:r>
                </w:p>
                <w:p w14:paraId="61E1F9BF" w14:textId="77777777" w:rsidR="00F8097E" w:rsidRPr="00421442" w:rsidRDefault="00F8097E" w:rsidP="00B21094">
                  <w:pPr>
                    <w:pStyle w:val="Tablebullet1"/>
                    <w:framePr w:hSpace="180" w:wrap="around" w:vAnchor="text" w:hAnchor="text" w:y="1"/>
                    <w:suppressOverlap/>
                  </w:pPr>
                  <w:r w:rsidRPr="00421442">
                    <w:t>foster care program guides</w:t>
                  </w:r>
                </w:p>
                <w:p w14:paraId="3536F8B7" w14:textId="77777777" w:rsidR="00F8097E" w:rsidRPr="00421442" w:rsidRDefault="00F8097E" w:rsidP="00B21094">
                  <w:pPr>
                    <w:pStyle w:val="Tablebullet1"/>
                    <w:framePr w:hSpace="180" w:wrap="around" w:vAnchor="text" w:hAnchor="text" w:y="1"/>
                    <w:suppressOverlap/>
                  </w:pPr>
                  <w:r w:rsidRPr="00421442">
                    <w:t xml:space="preserve">Child Safety and Wellbeing policy </w:t>
                  </w:r>
                </w:p>
                <w:p w14:paraId="18F066A4" w14:textId="77777777" w:rsidR="00F8097E" w:rsidRPr="00421442" w:rsidRDefault="00F8097E" w:rsidP="00B21094">
                  <w:pPr>
                    <w:pStyle w:val="Tablebullet1"/>
                    <w:framePr w:hSpace="180" w:wrap="around" w:vAnchor="text" w:hAnchor="text" w:y="1"/>
                    <w:numPr>
                      <w:ilvl w:val="0"/>
                      <w:numId w:val="0"/>
                    </w:numPr>
                    <w:ind w:left="227"/>
                    <w:suppressOverlap/>
                  </w:pPr>
                </w:p>
              </w:tc>
            </w:tr>
            <w:tr w:rsidR="00F8097E" w:rsidRPr="00421442" w14:paraId="60142FDA" w14:textId="77777777" w:rsidTr="41DC38ED">
              <w:trPr>
                <w:trHeight w:val="983"/>
              </w:trPr>
              <w:tc>
                <w:tcPr>
                  <w:tcW w:w="1413" w:type="dxa"/>
                </w:tcPr>
                <w:p w14:paraId="29E70F1F" w14:textId="77777777" w:rsidR="00F8097E" w:rsidRPr="00421442" w:rsidRDefault="00F8097E" w:rsidP="00B21094">
                  <w:pPr>
                    <w:pStyle w:val="Tabletext"/>
                    <w:framePr w:hSpace="180" w:wrap="around" w:vAnchor="text" w:hAnchor="text" w:y="1"/>
                    <w:suppressOverlap/>
                    <w:rPr>
                      <w:b/>
                      <w:bCs/>
                    </w:rPr>
                  </w:pPr>
                  <w:r w:rsidRPr="00421442">
                    <w:rPr>
                      <w:b/>
                      <w:bCs/>
                    </w:rPr>
                    <w:t>Out</w:t>
                  </w:r>
                  <w:r>
                    <w:rPr>
                      <w:b/>
                      <w:bCs/>
                    </w:rPr>
                    <w:t>-</w:t>
                  </w:r>
                  <w:r w:rsidRPr="00421442">
                    <w:rPr>
                      <w:b/>
                      <w:bCs/>
                    </w:rPr>
                    <w:t>of</w:t>
                  </w:r>
                  <w:r>
                    <w:rPr>
                      <w:b/>
                      <w:bCs/>
                    </w:rPr>
                    <w:t>-</w:t>
                  </w:r>
                  <w:r w:rsidRPr="00421442">
                    <w:rPr>
                      <w:b/>
                      <w:bCs/>
                    </w:rPr>
                    <w:t>home care and secure welfare services</w:t>
                  </w:r>
                </w:p>
              </w:tc>
              <w:tc>
                <w:tcPr>
                  <w:tcW w:w="4252" w:type="dxa"/>
                </w:tcPr>
                <w:p w14:paraId="203BE9B6" w14:textId="77777777" w:rsidR="00F8097E" w:rsidRPr="00421442" w:rsidRDefault="00F8097E" w:rsidP="00B21094">
                  <w:pPr>
                    <w:pStyle w:val="Bullet2"/>
                    <w:framePr w:hSpace="180" w:wrap="around" w:vAnchor="text" w:hAnchor="text" w:y="1"/>
                    <w:numPr>
                      <w:ilvl w:val="0"/>
                      <w:numId w:val="36"/>
                    </w:numPr>
                    <w:suppressOverlap/>
                  </w:pPr>
                  <w:r w:rsidRPr="00421442">
                    <w:t>criminal history and medical history (including mental health)</w:t>
                  </w:r>
                </w:p>
                <w:p w14:paraId="3581AF9A" w14:textId="77777777" w:rsidR="00F8097E" w:rsidRPr="00421442" w:rsidRDefault="00F8097E" w:rsidP="00B21094">
                  <w:pPr>
                    <w:pStyle w:val="Bullet2"/>
                    <w:framePr w:hSpace="180" w:wrap="around" w:vAnchor="text" w:hAnchor="text" w:y="1"/>
                    <w:numPr>
                      <w:ilvl w:val="0"/>
                      <w:numId w:val="36"/>
                    </w:numPr>
                    <w:suppressOverlap/>
                  </w:pPr>
                  <w:r w:rsidRPr="00421442">
                    <w:t>the person's skills, experience and qualifications</w:t>
                  </w:r>
                </w:p>
                <w:p w14:paraId="4B3A8189" w14:textId="77777777" w:rsidR="00F8097E" w:rsidRPr="00421442" w:rsidRDefault="00F8097E" w:rsidP="00B21094">
                  <w:pPr>
                    <w:pStyle w:val="Bullet2"/>
                    <w:framePr w:hSpace="180" w:wrap="around" w:vAnchor="text" w:hAnchor="text" w:y="1"/>
                    <w:numPr>
                      <w:ilvl w:val="0"/>
                      <w:numId w:val="36"/>
                    </w:numPr>
                    <w:suppressOverlap/>
                  </w:pPr>
                  <w:r w:rsidRPr="00421442">
                    <w:t>the person's general character</w:t>
                  </w:r>
                </w:p>
                <w:p w14:paraId="1E882F67" w14:textId="77777777" w:rsidR="00F8097E" w:rsidRPr="00421442" w:rsidRDefault="00F8097E" w:rsidP="00B21094">
                  <w:pPr>
                    <w:pStyle w:val="Bullet2"/>
                    <w:framePr w:hSpace="180" w:wrap="around" w:vAnchor="text" w:hAnchor="text" w:y="1"/>
                    <w:numPr>
                      <w:ilvl w:val="0"/>
                      <w:numId w:val="36"/>
                    </w:numPr>
                    <w:suppressOverlap/>
                  </w:pPr>
                  <w:r w:rsidRPr="00421442">
                    <w:t xml:space="preserve">the person's capacity to provide stability, continuity and support for the </w:t>
                  </w:r>
                  <w:r w:rsidRPr="00421442">
                    <w:lastRenderedPageBreak/>
                    <w:t xml:space="preserve">permanency objective included in a child's case plan within the meaning of the </w:t>
                  </w:r>
                  <w:r w:rsidRPr="00421442">
                    <w:rPr>
                      <w:i/>
                      <w:iCs/>
                    </w:rPr>
                    <w:t>Children, Youth and Families Act 2005</w:t>
                  </w:r>
                </w:p>
                <w:p w14:paraId="698F3298" w14:textId="77777777" w:rsidR="00F8097E" w:rsidRPr="00421442" w:rsidRDefault="00F8097E" w:rsidP="00B21094">
                  <w:pPr>
                    <w:pStyle w:val="Bullet2"/>
                    <w:framePr w:hSpace="180" w:wrap="around" w:vAnchor="text" w:hAnchor="text" w:y="1"/>
                    <w:numPr>
                      <w:ilvl w:val="0"/>
                      <w:numId w:val="36"/>
                    </w:numPr>
                    <w:suppressOverlap/>
                  </w:pPr>
                  <w:r w:rsidRPr="00421442">
                    <w:t>the person's capacity to promote and protect a child's safety, wellbeing and development</w:t>
                  </w:r>
                </w:p>
                <w:p w14:paraId="3594E98E" w14:textId="77777777" w:rsidR="00F8097E" w:rsidRPr="00421442" w:rsidRDefault="00F8097E" w:rsidP="00B21094">
                  <w:pPr>
                    <w:pStyle w:val="Bullet2"/>
                    <w:framePr w:hSpace="180" w:wrap="around" w:vAnchor="text" w:hAnchor="text" w:y="1"/>
                    <w:numPr>
                      <w:ilvl w:val="0"/>
                      <w:numId w:val="36"/>
                    </w:numPr>
                    <w:suppressOverlap/>
                  </w:pPr>
                  <w:r w:rsidRPr="00421442">
                    <w:t>the person's capacity to provide appropriate support for the maintenance of a child's religious faith</w:t>
                  </w:r>
                </w:p>
                <w:p w14:paraId="2CD0BB7D" w14:textId="77777777" w:rsidR="00F8097E" w:rsidRPr="00421442" w:rsidRDefault="00F8097E" w:rsidP="00B21094">
                  <w:pPr>
                    <w:pStyle w:val="Bullet2"/>
                    <w:framePr w:hSpace="180" w:wrap="around" w:vAnchor="text" w:hAnchor="text" w:y="1"/>
                    <w:numPr>
                      <w:ilvl w:val="0"/>
                      <w:numId w:val="36"/>
                    </w:numPr>
                    <w:suppressOverlap/>
                  </w:pPr>
                  <w:r w:rsidRPr="00421442">
                    <w:t>the person's capacity to preserve a child's identity and connection to the child's culture of origin and relationships with the child's birth family</w:t>
                  </w:r>
                </w:p>
                <w:p w14:paraId="5EB56826" w14:textId="77777777" w:rsidR="00F8097E" w:rsidRPr="00421442" w:rsidRDefault="00F8097E" w:rsidP="00B21094">
                  <w:pPr>
                    <w:pStyle w:val="Bullet2"/>
                    <w:framePr w:hSpace="180" w:wrap="around" w:vAnchor="text" w:hAnchor="text" w:y="1"/>
                    <w:numPr>
                      <w:ilvl w:val="0"/>
                      <w:numId w:val="38"/>
                    </w:numPr>
                    <w:suppressOverlap/>
                  </w:pPr>
                  <w:r w:rsidRPr="00421442">
                    <w:t>the person's appreciation of the importance of contact with a child's birth parent and family</w:t>
                  </w:r>
                </w:p>
                <w:p w14:paraId="70696D6B" w14:textId="77777777" w:rsidR="00F8097E" w:rsidRPr="00421442" w:rsidRDefault="00F8097E" w:rsidP="00B21094">
                  <w:pPr>
                    <w:pStyle w:val="Bullet2"/>
                    <w:framePr w:hSpace="180" w:wrap="around" w:vAnchor="text" w:hAnchor="text" w:y="1"/>
                    <w:numPr>
                      <w:ilvl w:val="0"/>
                      <w:numId w:val="38"/>
                    </w:numPr>
                    <w:suppressOverlap/>
                  </w:pPr>
                  <w:r w:rsidRPr="00421442">
                    <w:t>the person's capacity to develop positive relationships and work collaboratively with a child's family</w:t>
                  </w:r>
                </w:p>
                <w:p w14:paraId="17978621" w14:textId="77777777" w:rsidR="00F8097E" w:rsidRPr="00421442" w:rsidRDefault="00F8097E" w:rsidP="00B21094">
                  <w:pPr>
                    <w:pStyle w:val="Bullet2"/>
                    <w:framePr w:hSpace="180" w:wrap="around" w:vAnchor="text" w:hAnchor="text" w:y="1"/>
                    <w:numPr>
                      <w:ilvl w:val="0"/>
                      <w:numId w:val="38"/>
                    </w:numPr>
                    <w:suppressOverlap/>
                  </w:pPr>
                  <w:r w:rsidRPr="00421442">
                    <w:t>the person's capacity to develop a positive relationship and work collaboratively with providers of services to children, including but not limited to</w:t>
                  </w:r>
                </w:p>
                <w:p w14:paraId="2B0154F7" w14:textId="77777777" w:rsidR="00F8097E" w:rsidRDefault="00F8097E" w:rsidP="00B21094">
                  <w:pPr>
                    <w:pStyle w:val="Bullet2"/>
                    <w:framePr w:hSpace="180" w:wrap="around" w:vAnchor="text" w:hAnchor="text" w:y="1"/>
                    <w:numPr>
                      <w:ilvl w:val="1"/>
                      <w:numId w:val="38"/>
                    </w:numPr>
                    <w:ind w:left="741"/>
                    <w:suppressOverlap/>
                  </w:pPr>
                  <w:r w:rsidRPr="00421442">
                    <w:t>child protection services</w:t>
                  </w:r>
                </w:p>
                <w:p w14:paraId="6D254B50" w14:textId="77777777" w:rsidR="00F8097E" w:rsidRDefault="00F8097E" w:rsidP="00B21094">
                  <w:pPr>
                    <w:pStyle w:val="Bullet2"/>
                    <w:framePr w:hSpace="180" w:wrap="around" w:vAnchor="text" w:hAnchor="text" w:y="1"/>
                    <w:numPr>
                      <w:ilvl w:val="1"/>
                      <w:numId w:val="38"/>
                    </w:numPr>
                    <w:ind w:left="741"/>
                    <w:suppressOverlap/>
                  </w:pPr>
                  <w:r w:rsidRPr="00421442">
                    <w:t>disability services</w:t>
                  </w:r>
                </w:p>
                <w:p w14:paraId="4AC7361F" w14:textId="77777777" w:rsidR="00F8097E" w:rsidRDefault="00F8097E" w:rsidP="00B21094">
                  <w:pPr>
                    <w:pStyle w:val="Bullet2"/>
                    <w:framePr w:hSpace="180" w:wrap="around" w:vAnchor="text" w:hAnchor="text" w:y="1"/>
                    <w:numPr>
                      <w:ilvl w:val="1"/>
                      <w:numId w:val="38"/>
                    </w:numPr>
                    <w:ind w:left="741"/>
                    <w:suppressOverlap/>
                  </w:pPr>
                  <w:r w:rsidRPr="00421442">
                    <w:t>registered out</w:t>
                  </w:r>
                  <w:r>
                    <w:t>-</w:t>
                  </w:r>
                  <w:r w:rsidRPr="00421442">
                    <w:t>of</w:t>
                  </w:r>
                  <w:r>
                    <w:t>-</w:t>
                  </w:r>
                  <w:r w:rsidRPr="00421442">
                    <w:t>home care services</w:t>
                  </w:r>
                </w:p>
                <w:p w14:paraId="5774190E" w14:textId="77777777" w:rsidR="00F8097E" w:rsidRDefault="00F8097E" w:rsidP="00B21094">
                  <w:pPr>
                    <w:pStyle w:val="Bullet2"/>
                    <w:framePr w:hSpace="180" w:wrap="around" w:vAnchor="text" w:hAnchor="text" w:y="1"/>
                    <w:numPr>
                      <w:ilvl w:val="1"/>
                      <w:numId w:val="38"/>
                    </w:numPr>
                    <w:ind w:left="741"/>
                    <w:suppressOverlap/>
                  </w:pPr>
                  <w:r w:rsidRPr="00421442">
                    <w:t>health services</w:t>
                  </w:r>
                </w:p>
                <w:p w14:paraId="1BF2071A" w14:textId="77777777" w:rsidR="00F8097E" w:rsidRDefault="00F8097E" w:rsidP="00B21094">
                  <w:pPr>
                    <w:pStyle w:val="Bullet2"/>
                    <w:framePr w:hSpace="180" w:wrap="around" w:vAnchor="text" w:hAnchor="text" w:y="1"/>
                    <w:numPr>
                      <w:ilvl w:val="1"/>
                      <w:numId w:val="38"/>
                    </w:numPr>
                    <w:ind w:left="741"/>
                    <w:suppressOverlap/>
                  </w:pPr>
                  <w:r w:rsidRPr="00421442">
                    <w:t>educational services</w:t>
                  </w:r>
                </w:p>
                <w:p w14:paraId="2F074232" w14:textId="77777777" w:rsidR="00F8097E" w:rsidRPr="00421442" w:rsidRDefault="00F8097E" w:rsidP="00B21094">
                  <w:pPr>
                    <w:pStyle w:val="Bullet2"/>
                    <w:framePr w:hSpace="180" w:wrap="around" w:vAnchor="text" w:hAnchor="text" w:y="1"/>
                    <w:numPr>
                      <w:ilvl w:val="1"/>
                      <w:numId w:val="38"/>
                    </w:numPr>
                    <w:ind w:left="741"/>
                    <w:suppressOverlap/>
                  </w:pPr>
                  <w:r w:rsidRPr="00421442">
                    <w:t xml:space="preserve">legal and youth justice services. </w:t>
                  </w:r>
                </w:p>
              </w:tc>
              <w:tc>
                <w:tcPr>
                  <w:tcW w:w="4468" w:type="dxa"/>
                </w:tcPr>
                <w:p w14:paraId="44833229" w14:textId="77777777" w:rsidR="00F8097E" w:rsidRPr="00421442" w:rsidRDefault="00F8097E" w:rsidP="00B21094">
                  <w:pPr>
                    <w:pStyle w:val="Bullet1"/>
                    <w:framePr w:hSpace="180" w:wrap="around" w:vAnchor="text" w:hAnchor="text" w:y="1"/>
                    <w:numPr>
                      <w:ilvl w:val="0"/>
                      <w:numId w:val="37"/>
                    </w:numPr>
                    <w:suppressOverlap/>
                  </w:pPr>
                  <w:r w:rsidRPr="00421442">
                    <w:lastRenderedPageBreak/>
                    <w:t>recruitment policy and procedures specific to out</w:t>
                  </w:r>
                  <w:r>
                    <w:t>-</w:t>
                  </w:r>
                  <w:r w:rsidRPr="00421442">
                    <w:t>of</w:t>
                  </w:r>
                  <w:r>
                    <w:t>-</w:t>
                  </w:r>
                  <w:r w:rsidRPr="00421442">
                    <w:t>home care or secure welfare services</w:t>
                  </w:r>
                </w:p>
                <w:p w14:paraId="782818FF" w14:textId="77777777" w:rsidR="00F8097E" w:rsidRPr="00421442" w:rsidRDefault="00F8097E" w:rsidP="00B21094">
                  <w:pPr>
                    <w:pStyle w:val="Bullet1"/>
                    <w:framePr w:hSpace="180" w:wrap="around" w:vAnchor="text" w:hAnchor="text" w:y="1"/>
                    <w:numPr>
                      <w:ilvl w:val="0"/>
                      <w:numId w:val="37"/>
                    </w:numPr>
                    <w:suppressOverlap/>
                  </w:pPr>
                  <w:r w:rsidRPr="00421442">
                    <w:t>policies and practices that relate to supervision and/or ongoing assessment of a person’s suitability to provide care to children and young people</w:t>
                  </w:r>
                </w:p>
                <w:p w14:paraId="3553E121" w14:textId="77777777" w:rsidR="00F8097E" w:rsidRPr="00421442" w:rsidRDefault="00F8097E" w:rsidP="00B21094">
                  <w:pPr>
                    <w:pStyle w:val="Bullet1"/>
                    <w:framePr w:hSpace="180" w:wrap="around" w:vAnchor="text" w:hAnchor="text" w:y="1"/>
                    <w:numPr>
                      <w:ilvl w:val="0"/>
                      <w:numId w:val="37"/>
                    </w:numPr>
                    <w:suppressOverlap/>
                  </w:pPr>
                  <w:r w:rsidRPr="00421442">
                    <w:lastRenderedPageBreak/>
                    <w:t>training policies, procedures, or practices</w:t>
                  </w:r>
                </w:p>
                <w:p w14:paraId="6DF07771" w14:textId="77777777" w:rsidR="00F8097E" w:rsidRPr="00421442" w:rsidRDefault="00F8097E" w:rsidP="00B21094">
                  <w:pPr>
                    <w:pStyle w:val="Bullet1"/>
                    <w:framePr w:hSpace="180" w:wrap="around" w:vAnchor="text" w:hAnchor="text" w:y="1"/>
                    <w:numPr>
                      <w:ilvl w:val="0"/>
                      <w:numId w:val="37"/>
                    </w:numPr>
                    <w:suppressOverlap/>
                  </w:pPr>
                  <w:r w:rsidRPr="00421442">
                    <w:t xml:space="preserve">qualifications, skills and/or experience registers or matrix </w:t>
                  </w:r>
                </w:p>
                <w:p w14:paraId="3D231CB1" w14:textId="77777777" w:rsidR="00F8097E" w:rsidRPr="00421442" w:rsidRDefault="00F8097E" w:rsidP="00B21094">
                  <w:pPr>
                    <w:pStyle w:val="Bullet1"/>
                    <w:framePr w:hSpace="180" w:wrap="around" w:vAnchor="text" w:hAnchor="text" w:y="1"/>
                    <w:numPr>
                      <w:ilvl w:val="0"/>
                      <w:numId w:val="37"/>
                    </w:numPr>
                    <w:suppressOverlap/>
                  </w:pPr>
                  <w:r w:rsidRPr="00421442">
                    <w:t>position descriptions</w:t>
                  </w:r>
                </w:p>
                <w:p w14:paraId="071088D9" w14:textId="77777777" w:rsidR="00F8097E" w:rsidRPr="00421442" w:rsidRDefault="00F8097E" w:rsidP="00B21094">
                  <w:pPr>
                    <w:pStyle w:val="Bullet1"/>
                    <w:framePr w:hSpace="180" w:wrap="around" w:vAnchor="text" w:hAnchor="text" w:y="1"/>
                    <w:numPr>
                      <w:ilvl w:val="0"/>
                      <w:numId w:val="37"/>
                    </w:numPr>
                    <w:suppressOverlap/>
                  </w:pPr>
                  <w:r w:rsidRPr="00421442">
                    <w:t>framework and strategy for professional development</w:t>
                  </w:r>
                </w:p>
                <w:p w14:paraId="205E9871" w14:textId="77777777" w:rsidR="00F8097E" w:rsidRPr="00421442" w:rsidRDefault="00F8097E" w:rsidP="00B21094">
                  <w:pPr>
                    <w:pStyle w:val="Bullet1"/>
                    <w:framePr w:hSpace="180" w:wrap="around" w:vAnchor="text" w:hAnchor="text" w:y="1"/>
                    <w:numPr>
                      <w:ilvl w:val="0"/>
                      <w:numId w:val="37"/>
                    </w:numPr>
                    <w:suppressOverlap/>
                  </w:pPr>
                  <w:r w:rsidRPr="00421442">
                    <w:t>program guides for out</w:t>
                  </w:r>
                  <w:r>
                    <w:t>-</w:t>
                  </w:r>
                  <w:r w:rsidRPr="00421442">
                    <w:t>of</w:t>
                  </w:r>
                  <w:r>
                    <w:t>-</w:t>
                  </w:r>
                  <w:r w:rsidRPr="00421442">
                    <w:t>home care or secure welfare services</w:t>
                  </w:r>
                </w:p>
                <w:p w14:paraId="680AF5F3" w14:textId="77777777" w:rsidR="00F8097E" w:rsidRPr="00421442" w:rsidRDefault="00F8097E" w:rsidP="00B21094">
                  <w:pPr>
                    <w:pStyle w:val="Bullet1"/>
                    <w:framePr w:hSpace="180" w:wrap="around" w:vAnchor="text" w:hAnchor="text" w:y="1"/>
                    <w:numPr>
                      <w:ilvl w:val="0"/>
                      <w:numId w:val="37"/>
                    </w:numPr>
                    <w:suppressOverlap/>
                  </w:pPr>
                  <w:r w:rsidRPr="00421442">
                    <w:t xml:space="preserve">Child Safety and Wellbeing policy </w:t>
                  </w:r>
                </w:p>
                <w:p w14:paraId="078A4F63" w14:textId="77777777" w:rsidR="00F8097E" w:rsidRPr="00421442" w:rsidRDefault="00F8097E" w:rsidP="00B21094">
                  <w:pPr>
                    <w:pStyle w:val="Body"/>
                    <w:framePr w:hSpace="180" w:wrap="around" w:vAnchor="text" w:hAnchor="text" w:y="1"/>
                    <w:suppressOverlap/>
                  </w:pPr>
                </w:p>
              </w:tc>
            </w:tr>
          </w:tbl>
          <w:p w14:paraId="017CA274" w14:textId="77777777" w:rsidR="00F8097E" w:rsidRPr="00421442" w:rsidRDefault="00F8097E">
            <w:pPr>
              <w:pStyle w:val="Bannermarking"/>
            </w:pPr>
          </w:p>
        </w:tc>
      </w:tr>
    </w:tbl>
    <w:p w14:paraId="78D90FBE" w14:textId="77777777" w:rsidR="00F8097E" w:rsidRDefault="00F8097E" w:rsidP="00F8097E">
      <w:pPr>
        <w:spacing w:after="0" w:line="240" w:lineRule="auto"/>
      </w:pPr>
      <w:bookmarkStart w:id="19" w:name="_Appendix_A"/>
      <w:bookmarkEnd w:id="19"/>
    </w:p>
    <w:p w14:paraId="04ED349F" w14:textId="5ADDB819" w:rsidR="0097489F" w:rsidRDefault="005527DC">
      <w:pPr>
        <w:spacing w:after="0" w:line="240" w:lineRule="auto"/>
      </w:pPr>
      <w:bookmarkStart w:id="20" w:name="_Hlk171669759"/>
      <w:bookmarkStart w:id="21" w:name="_Hlk171669747"/>
      <w:r w:rsidRPr="00116B27">
        <w:rPr>
          <w:rFonts w:cs="Arial"/>
          <w:szCs w:val="21"/>
          <w:lang w:eastAsia="en-AU"/>
        </w:rPr>
        <w:t>This guidance is general in nature and lists of suggested documentation are not exhaustive,</w:t>
      </w:r>
      <w:bookmarkEnd w:id="20"/>
      <w:r w:rsidRPr="00116B27">
        <w:rPr>
          <w:rFonts w:cs="Arial"/>
          <w:szCs w:val="21"/>
          <w:lang w:eastAsia="en-AU"/>
        </w:rPr>
        <w:t xml:space="preserve"> and not intended as legal advice.</w:t>
      </w:r>
      <w:bookmarkEnd w:id="21"/>
    </w:p>
    <w:p w14:paraId="6B840E83" w14:textId="5DFE6ECA" w:rsidR="00497A93" w:rsidRDefault="00497A93">
      <w:pPr>
        <w:spacing w:after="0" w:line="240" w:lineRule="auto"/>
        <w:rPr>
          <w:rFonts w:eastAsia="Times"/>
          <w:szCs w:val="18"/>
        </w:rPr>
      </w:pPr>
      <w:r>
        <w:br w:type="page"/>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23351DE2">
        <w:tc>
          <w:tcPr>
            <w:tcW w:w="10194" w:type="dxa"/>
          </w:tcPr>
          <w:p w14:paraId="38F3D9B0" w14:textId="6F8EBE68" w:rsidR="0055119B" w:rsidRPr="0055119B" w:rsidRDefault="0055119B" w:rsidP="0055119B">
            <w:pPr>
              <w:pStyle w:val="Accessibilitypara"/>
            </w:pPr>
            <w:bookmarkStart w:id="22" w:name="_Hlk37240926"/>
            <w:r w:rsidRPr="0055119B">
              <w:t>To receive this document in another format</w:t>
            </w:r>
            <w:r>
              <w:t>,</w:t>
            </w:r>
            <w:r w:rsidRPr="0055119B">
              <w:t xml:space="preserve"> email</w:t>
            </w:r>
            <w:r w:rsidR="00E02E60">
              <w:t xml:space="preserve"> the</w:t>
            </w:r>
            <w:r w:rsidR="00E02E60" w:rsidRPr="0055119B">
              <w:t xml:space="preserve"> </w:t>
            </w:r>
            <w:hyperlink r:id="rId27" w:history="1">
              <w:r w:rsidR="00E02E60" w:rsidRPr="00401926">
                <w:rPr>
                  <w:rStyle w:val="Hyperlink"/>
                </w:rPr>
                <w:t>Social Services Regulator</w:t>
              </w:r>
            </w:hyperlink>
            <w:r w:rsidR="00E02E60">
              <w:t xml:space="preserve"> &lt;</w:t>
            </w:r>
            <w:hyperlink r:id="rId28" w:history="1">
              <w:r w:rsidR="00E02E60" w:rsidRPr="00403874">
                <w:rPr>
                  <w:rStyle w:val="Hyperlink"/>
                </w:rPr>
                <w:t>enquiries@ssr.vic.gov.au</w:t>
              </w:r>
            </w:hyperlink>
            <w:r w:rsidR="00E02E60">
              <w:rPr>
                <w:rStyle w:val="Hyperlink"/>
              </w:rPr>
              <w:t>&gt;</w:t>
            </w:r>
            <w:r w:rsidR="00E02E60" w:rsidRPr="0055119B">
              <w: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636E2D50" w:rsidR="0055119B" w:rsidRPr="005527DC" w:rsidRDefault="0055119B" w:rsidP="00E33237">
            <w:pPr>
              <w:pStyle w:val="Imprint"/>
            </w:pPr>
            <w:r w:rsidRPr="0055119B">
              <w:t xml:space="preserve">© State of Victoria, Australia, </w:t>
            </w:r>
            <w:r w:rsidR="00A66CD6">
              <w:t>Social Services Regulator</w:t>
            </w:r>
            <w:r w:rsidRPr="005527DC">
              <w:t>,</w:t>
            </w:r>
            <w:r w:rsidR="005527DC" w:rsidRPr="005527DC">
              <w:t xml:space="preserve"> </w:t>
            </w:r>
            <w:r w:rsidR="00C42E19">
              <w:t>August</w:t>
            </w:r>
            <w:r w:rsidR="005527DC" w:rsidRPr="005527DC">
              <w:t xml:space="preserve"> 2024</w:t>
            </w:r>
            <w:r w:rsidRPr="005527DC">
              <w:t>.</w:t>
            </w:r>
          </w:p>
          <w:p w14:paraId="6E0A5822" w14:textId="77777777" w:rsidR="0055119B" w:rsidRPr="00E33237" w:rsidRDefault="0055119B" w:rsidP="00E33237">
            <w:pPr>
              <w:pStyle w:val="Imprint"/>
              <w:rPr>
                <w:color w:val="004C97"/>
              </w:rPr>
            </w:pPr>
            <w:bookmarkStart w:id="23"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DE414C1" w14:textId="77777777" w:rsidR="0055119B" w:rsidRPr="00E33237" w:rsidRDefault="0055119B" w:rsidP="00E33237">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51FCE217" w14:textId="7493DDF6" w:rsidR="0055119B" w:rsidRPr="0055119B" w:rsidRDefault="0055119B" w:rsidP="00E33237">
            <w:pPr>
              <w:pStyle w:val="Imprint"/>
            </w:pPr>
            <w:r>
              <w:t xml:space="preserve">ISBN </w:t>
            </w:r>
            <w:r w:rsidR="00E954B6" w:rsidRPr="23351DE2">
              <w:rPr>
                <w:rFonts w:cs="Arial"/>
                <w:color w:val="000000" w:themeColor="text1"/>
              </w:rPr>
              <w:t>978-1-76130-654</w:t>
            </w:r>
            <w:r w:rsidR="27171A93" w:rsidRPr="23351DE2">
              <w:rPr>
                <w:rFonts w:cs="Arial"/>
                <w:color w:val="000000" w:themeColor="text1"/>
              </w:rPr>
              <w:t xml:space="preserve">-9 </w:t>
            </w:r>
            <w:r>
              <w:t xml:space="preserve">(online/PDF/Word) </w:t>
            </w:r>
          </w:p>
          <w:p w14:paraId="0C92739F" w14:textId="3AB6A9DE" w:rsidR="0055119B" w:rsidRDefault="0055119B" w:rsidP="00053FEA">
            <w:pPr>
              <w:pStyle w:val="Imprint"/>
            </w:pPr>
            <w:r w:rsidRPr="0055119B">
              <w:t xml:space="preserve">Available at </w:t>
            </w:r>
            <w:r w:rsidR="007E2282">
              <w:t>Social Services</w:t>
            </w:r>
            <w:r w:rsidR="00AE4C71">
              <w:t xml:space="preserve"> Regulator</w:t>
            </w:r>
            <w:r w:rsidR="007E2282">
              <w:t xml:space="preserve"> </w:t>
            </w:r>
            <w:r w:rsidR="00AE4C71">
              <w:t>r</w:t>
            </w:r>
            <w:r w:rsidR="007E2282">
              <w:t>egistration</w:t>
            </w:r>
            <w:r w:rsidR="00AE4C71">
              <w:t xml:space="preserve"> </w:t>
            </w:r>
            <w:hyperlink r:id="rId29" w:history="1">
              <w:r w:rsidR="00053FEA" w:rsidRPr="00D334FA">
                <w:rPr>
                  <w:rStyle w:val="Hyperlink"/>
                </w:rPr>
                <w:t>https://www.vic.gov.au/social-services-regulator-</w:t>
              </w:r>
            </w:hyperlink>
            <w:r w:rsidR="00053FEA">
              <w:rPr>
                <w:rStyle w:val="Hyperlink"/>
              </w:rPr>
              <w:t>registration</w:t>
            </w:r>
            <w:r w:rsidR="007E2282">
              <w:t xml:space="preserve"> </w:t>
            </w:r>
            <w:bookmarkEnd w:id="23"/>
          </w:p>
        </w:tc>
      </w:tr>
      <w:bookmarkEnd w:id="22"/>
    </w:tbl>
    <w:p w14:paraId="312DEA78" w14:textId="77777777" w:rsidR="00162CA9" w:rsidRDefault="00162CA9" w:rsidP="00162CA9">
      <w:pPr>
        <w:pStyle w:val="Body"/>
      </w:pPr>
    </w:p>
    <w:sectPr w:rsidR="00162CA9" w:rsidSect="00A9710C">
      <w:headerReference w:type="default" r:id="rId30"/>
      <w:footerReference w:type="default" r:id="rId31"/>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BA696" w14:textId="77777777" w:rsidR="0040772D" w:rsidRDefault="0040772D">
      <w:r>
        <w:separator/>
      </w:r>
    </w:p>
    <w:p w14:paraId="1FE2A81A" w14:textId="77777777" w:rsidR="0040772D" w:rsidRDefault="0040772D"/>
  </w:endnote>
  <w:endnote w:type="continuationSeparator" w:id="0">
    <w:p w14:paraId="22379C32" w14:textId="77777777" w:rsidR="0040772D" w:rsidRDefault="0040772D">
      <w:r>
        <w:continuationSeparator/>
      </w:r>
    </w:p>
    <w:p w14:paraId="4A6FEEDF" w14:textId="77777777" w:rsidR="0040772D" w:rsidRDefault="0040772D"/>
  </w:endnote>
  <w:endnote w:type="continuationNotice" w:id="1">
    <w:p w14:paraId="02EAC97F" w14:textId="77777777" w:rsidR="0040772D" w:rsidRDefault="00407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1757388298" name="Picture 175738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39"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40"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41"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58AE4" w14:textId="77777777" w:rsidR="0040772D" w:rsidRDefault="0040772D" w:rsidP="00207717">
      <w:pPr>
        <w:spacing w:before="120"/>
      </w:pPr>
      <w:r>
        <w:separator/>
      </w:r>
    </w:p>
  </w:footnote>
  <w:footnote w:type="continuationSeparator" w:id="0">
    <w:p w14:paraId="315607C1" w14:textId="77777777" w:rsidR="0040772D" w:rsidRDefault="0040772D">
      <w:r>
        <w:continuationSeparator/>
      </w:r>
    </w:p>
    <w:p w14:paraId="4C7457FF" w14:textId="77777777" w:rsidR="0040772D" w:rsidRDefault="0040772D"/>
  </w:footnote>
  <w:footnote w:type="continuationNotice" w:id="1">
    <w:p w14:paraId="64D3222C" w14:textId="77777777" w:rsidR="0040772D" w:rsidRDefault="0040772D">
      <w:pPr>
        <w:spacing w:after="0" w:line="240" w:lineRule="auto"/>
      </w:pPr>
    </w:p>
  </w:footnote>
  <w:footnote w:id="2">
    <w:p w14:paraId="6AA35E96" w14:textId="77777777" w:rsidR="00497A93" w:rsidRDefault="00497A93" w:rsidP="00497A93">
      <w:pPr>
        <w:pStyle w:val="FootnoteText"/>
      </w:pPr>
      <w:r>
        <w:rPr>
          <w:rStyle w:val="FootnoteReference"/>
        </w:rPr>
        <w:footnoteRef/>
      </w:r>
      <w:r>
        <w:t xml:space="preserve"> As well as ensure you use the same browser and have not cleared the cache on your browser.</w:t>
      </w:r>
    </w:p>
  </w:footnote>
  <w:footnote w:id="3">
    <w:p w14:paraId="1B9BC1A3" w14:textId="77777777" w:rsidR="0097489F" w:rsidRDefault="0097489F" w:rsidP="0097489F">
      <w:pPr>
        <w:pStyle w:val="FootnoteText"/>
      </w:pPr>
      <w:r>
        <w:rPr>
          <w:rStyle w:val="FootnoteReference"/>
        </w:rPr>
        <w:footnoteRef/>
      </w:r>
      <w:r>
        <w:t xml:space="preserve"> See Regulations 15 and 16.</w:t>
      </w:r>
    </w:p>
  </w:footnote>
  <w:footnote w:id="4">
    <w:p w14:paraId="41605764" w14:textId="77777777" w:rsidR="0097489F" w:rsidRDefault="0097489F" w:rsidP="0097489F">
      <w:pPr>
        <w:pStyle w:val="FootnoteText"/>
      </w:pPr>
      <w:r>
        <w:rPr>
          <w:rStyle w:val="FootnoteReference"/>
        </w:rPr>
        <w:footnoteRef/>
      </w:r>
      <w:r>
        <w:t xml:space="preserve"> See Regulation 12.</w:t>
      </w:r>
    </w:p>
  </w:footnote>
  <w:footnote w:id="5">
    <w:p w14:paraId="2805749E" w14:textId="77777777" w:rsidR="0097489F" w:rsidRDefault="0097489F" w:rsidP="0097489F">
      <w:pPr>
        <w:pStyle w:val="FootnoteText"/>
      </w:pPr>
      <w:r>
        <w:rPr>
          <w:rStyle w:val="FootnoteReference"/>
        </w:rPr>
        <w:footnoteRef/>
      </w:r>
      <w:r>
        <w:t xml:space="preserve"> See R</w:t>
      </w:r>
      <w:r w:rsidRPr="00BD1D0E">
        <w:t>egulations 20 and 2</w:t>
      </w:r>
      <w:r>
        <w:t>1.</w:t>
      </w:r>
    </w:p>
  </w:footnote>
  <w:footnote w:id="6">
    <w:p w14:paraId="74578A57" w14:textId="77777777" w:rsidR="0097489F" w:rsidRDefault="0097489F" w:rsidP="0097489F">
      <w:pPr>
        <w:pStyle w:val="FootnoteText"/>
      </w:pPr>
      <w:r>
        <w:rPr>
          <w:rStyle w:val="FootnoteReference"/>
        </w:rPr>
        <w:footnoteRef/>
      </w:r>
      <w:r>
        <w:t xml:space="preserve"> See Regulation 25.</w:t>
      </w:r>
    </w:p>
  </w:footnote>
  <w:footnote w:id="7">
    <w:p w14:paraId="5D632D9B" w14:textId="77777777" w:rsidR="0097489F" w:rsidRDefault="0097489F" w:rsidP="0097489F">
      <w:pPr>
        <w:pStyle w:val="FootnoteText"/>
      </w:pPr>
      <w:r>
        <w:rPr>
          <w:rStyle w:val="FootnoteReference"/>
        </w:rPr>
        <w:footnoteRef/>
      </w:r>
      <w:r>
        <w:t xml:space="preserve"> </w:t>
      </w:r>
      <w:r w:rsidRPr="00171A35">
        <w:t>Under Regulation 23</w:t>
      </w:r>
      <w:r>
        <w:t>.</w:t>
      </w:r>
    </w:p>
  </w:footnote>
  <w:footnote w:id="8">
    <w:p w14:paraId="40D972D8" w14:textId="77777777" w:rsidR="0097489F" w:rsidRDefault="0097489F" w:rsidP="0097489F">
      <w:pPr>
        <w:pStyle w:val="FootnoteText"/>
      </w:pPr>
      <w:r>
        <w:rPr>
          <w:rStyle w:val="FootnoteReference"/>
        </w:rPr>
        <w:footnoteRef/>
      </w:r>
      <w:r>
        <w:t xml:space="preserve"> </w:t>
      </w:r>
      <w:r w:rsidRPr="00171A35">
        <w:t xml:space="preserve">Under </w:t>
      </w:r>
      <w:r>
        <w:t>R</w:t>
      </w:r>
      <w:r w:rsidRPr="00171A35">
        <w:t>egulation 24</w:t>
      </w:r>
      <w:r>
        <w:t>.</w:t>
      </w:r>
    </w:p>
  </w:footnote>
  <w:footnote w:id="9">
    <w:p w14:paraId="70E63998" w14:textId="77777777" w:rsidR="00F8097E" w:rsidRDefault="00F8097E" w:rsidP="00F8097E">
      <w:pPr>
        <w:pStyle w:val="FootnoteText"/>
      </w:pPr>
      <w:r>
        <w:rPr>
          <w:rStyle w:val="FootnoteReference"/>
        </w:rPr>
        <w:footnoteRef/>
      </w:r>
      <w:r>
        <w:t xml:space="preserve"> In this guidance, ‘prescribed class of social service’ refers to a collective term which service providers will be registered under. Service providers can be funded for or deliver multiple types of services across several classes of prescribed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24556828" w:rsidR="00E261B3" w:rsidRPr="0051568D" w:rsidRDefault="00497A93" w:rsidP="0017674D">
    <w:pPr>
      <w:pStyle w:val="Header"/>
    </w:pPr>
    <w:r>
      <w:t xml:space="preserve">Suitability </w:t>
    </w:r>
    <w:r w:rsidR="000975B0">
      <w:t>requirements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A10A987A"/>
    <w:numStyleLink w:val="ZZNumbersloweralpha"/>
  </w:abstractNum>
  <w:abstractNum w:abstractNumId="1" w15:restartNumberingAfterBreak="0">
    <w:nsid w:val="0A517BEA"/>
    <w:multiLevelType w:val="hybridMultilevel"/>
    <w:tmpl w:val="134E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B4525A8A"/>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982B6A"/>
    <w:multiLevelType w:val="hybridMultilevel"/>
    <w:tmpl w:val="40C4150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8F2D64"/>
    <w:multiLevelType w:val="hybridMultilevel"/>
    <w:tmpl w:val="AF3E6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5D41A8"/>
    <w:multiLevelType w:val="hybridMultilevel"/>
    <w:tmpl w:val="CB0E6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5D26E6"/>
    <w:multiLevelType w:val="hybridMultilevel"/>
    <w:tmpl w:val="A35A5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307FEA"/>
    <w:multiLevelType w:val="hybridMultilevel"/>
    <w:tmpl w:val="6BC4B59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333FDE"/>
    <w:multiLevelType w:val="hybridMultilevel"/>
    <w:tmpl w:val="B6C42D5C"/>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90497E"/>
    <w:multiLevelType w:val="hybridMultilevel"/>
    <w:tmpl w:val="5838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C20CF2"/>
    <w:multiLevelType w:val="hybridMultilevel"/>
    <w:tmpl w:val="7C8223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B33799"/>
    <w:multiLevelType w:val="hybridMultilevel"/>
    <w:tmpl w:val="5FC6B024"/>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09397E"/>
    <w:multiLevelType w:val="hybridMultilevel"/>
    <w:tmpl w:val="F252E4BC"/>
    <w:lvl w:ilvl="0" w:tplc="FFFFFFFF">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2CE6DD0"/>
    <w:multiLevelType w:val="hybridMultilevel"/>
    <w:tmpl w:val="CFBA8A7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4D00746"/>
    <w:multiLevelType w:val="hybridMultilevel"/>
    <w:tmpl w:val="250E096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A7B733B"/>
    <w:multiLevelType w:val="hybridMultilevel"/>
    <w:tmpl w:val="CD7833E2"/>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7" w15:restartNumberingAfterBreak="0">
    <w:nsid w:val="2C46418E"/>
    <w:multiLevelType w:val="hybridMultilevel"/>
    <w:tmpl w:val="A658302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0C10B00"/>
    <w:multiLevelType w:val="multilevel"/>
    <w:tmpl w:val="086C92CC"/>
    <w:lvl w:ilvl="0">
      <w:start w:val="1"/>
      <w:numFmt w:val="bullet"/>
      <w:lvlText w:val="•"/>
      <w:lvlJc w:val="left"/>
      <w:pPr>
        <w:ind w:left="284" w:hanging="284"/>
      </w:pPr>
      <w:rPr>
        <w:rFonts w:ascii="Calibri" w:hAnsi="Calibri" w:hint="default"/>
      </w:rPr>
    </w:lvl>
    <w:lvl w:ilvl="1">
      <w:start w:val="1"/>
      <w:numFmt w:val="bullet"/>
      <w:lvlText w:val=""/>
      <w:lvlJc w:val="left"/>
      <w:pPr>
        <w:ind w:left="785"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9756FEE"/>
    <w:multiLevelType w:val="hybridMultilevel"/>
    <w:tmpl w:val="9D0A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2335A4"/>
    <w:multiLevelType w:val="hybridMultilevel"/>
    <w:tmpl w:val="1D52586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2557783"/>
    <w:multiLevelType w:val="hybridMultilevel"/>
    <w:tmpl w:val="77067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262221"/>
    <w:multiLevelType w:val="hybridMultilevel"/>
    <w:tmpl w:val="E848C12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691958"/>
    <w:multiLevelType w:val="hybridMultilevel"/>
    <w:tmpl w:val="86AE323E"/>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3326670"/>
    <w:multiLevelType w:val="hybridMultilevel"/>
    <w:tmpl w:val="CD48F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75D4D93"/>
    <w:multiLevelType w:val="hybridMultilevel"/>
    <w:tmpl w:val="B106D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6666C3"/>
    <w:multiLevelType w:val="hybridMultilevel"/>
    <w:tmpl w:val="026E8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87348B"/>
    <w:multiLevelType w:val="hybridMultilevel"/>
    <w:tmpl w:val="2B9EC4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B6A48B0"/>
    <w:multiLevelType w:val="hybridMultilevel"/>
    <w:tmpl w:val="82FA3978"/>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0A90689"/>
    <w:multiLevelType w:val="hybridMultilevel"/>
    <w:tmpl w:val="682A8390"/>
    <w:lvl w:ilvl="0" w:tplc="07E2A2A8">
      <w:start w:val="1"/>
      <w:numFmt w:val="decimal"/>
      <w:pStyle w:val="NumberedList-Level1"/>
      <w:lvlText w:val="%1."/>
      <w:lvlJc w:val="left"/>
      <w:pPr>
        <w:ind w:left="360" w:hanging="360"/>
      </w:pPr>
    </w:lvl>
    <w:lvl w:ilvl="1" w:tplc="5DDAE16A">
      <w:start w:val="1"/>
      <w:numFmt w:val="lowerLetter"/>
      <w:pStyle w:val="NumberedListLevel2"/>
      <w:lvlText w:val="%2."/>
      <w:lvlJc w:val="left"/>
      <w:pPr>
        <w:ind w:left="644" w:hanging="360"/>
      </w:pPr>
    </w:lvl>
    <w:lvl w:ilvl="2" w:tplc="A3EC3A32">
      <w:start w:val="1"/>
      <w:numFmt w:val="lowerRoman"/>
      <w:pStyle w:val="NumberedListlevel3"/>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6C30E7C"/>
    <w:multiLevelType w:val="hybridMultilevel"/>
    <w:tmpl w:val="DD3A99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7296B3B"/>
    <w:multiLevelType w:val="hybridMultilevel"/>
    <w:tmpl w:val="F69A326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C862CEE"/>
    <w:multiLevelType w:val="hybridMultilevel"/>
    <w:tmpl w:val="979821B8"/>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2B83E20"/>
    <w:multiLevelType w:val="hybridMultilevel"/>
    <w:tmpl w:val="D292CC88"/>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47E5C70"/>
    <w:multiLevelType w:val="hybridMultilevel"/>
    <w:tmpl w:val="2D66148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6026E39"/>
    <w:multiLevelType w:val="hybridMultilevel"/>
    <w:tmpl w:val="7E46B6C2"/>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06499732">
    <w:abstractNumId w:val="20"/>
  </w:num>
  <w:num w:numId="2" w16cid:durableId="766997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0889137">
    <w:abstractNumId w:val="28"/>
  </w:num>
  <w:num w:numId="4" w16cid:durableId="1586377817">
    <w:abstractNumId w:val="27"/>
  </w:num>
  <w:num w:numId="5" w16cid:durableId="496849498">
    <w:abstractNumId w:val="34"/>
  </w:num>
  <w:num w:numId="6" w16cid:durableId="767576029">
    <w:abstractNumId w:val="21"/>
  </w:num>
  <w:num w:numId="7" w16cid:durableId="1279681164">
    <w:abstractNumId w:val="3"/>
  </w:num>
  <w:num w:numId="8" w16cid:durableId="775515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6044746">
    <w:abstractNumId w:val="22"/>
  </w:num>
  <w:num w:numId="10" w16cid:durableId="389421339">
    <w:abstractNumId w:val="29"/>
  </w:num>
  <w:num w:numId="11" w16cid:durableId="580408465">
    <w:abstractNumId w:val="7"/>
  </w:num>
  <w:num w:numId="12" w16cid:durableId="434787968">
    <w:abstractNumId w:val="23"/>
  </w:num>
  <w:num w:numId="13" w16cid:durableId="1690599365">
    <w:abstractNumId w:val="1"/>
  </w:num>
  <w:num w:numId="14" w16cid:durableId="883560674">
    <w:abstractNumId w:val="35"/>
  </w:num>
  <w:num w:numId="15" w16cid:durableId="1180854502">
    <w:abstractNumId w:val="6"/>
  </w:num>
  <w:num w:numId="16" w16cid:durableId="178156270">
    <w:abstractNumId w:val="26"/>
  </w:num>
  <w:num w:numId="17" w16cid:durableId="1546991439">
    <w:abstractNumId w:val="33"/>
  </w:num>
  <w:num w:numId="18" w16cid:durableId="111900363">
    <w:abstractNumId w:val="31"/>
  </w:num>
  <w:num w:numId="19" w16cid:durableId="1241983918">
    <w:abstractNumId w:val="19"/>
  </w:num>
  <w:num w:numId="20" w16cid:durableId="845168315">
    <w:abstractNumId w:val="11"/>
  </w:num>
  <w:num w:numId="21" w16cid:durableId="155537091">
    <w:abstractNumId w:val="25"/>
  </w:num>
  <w:num w:numId="22" w16cid:durableId="79252158">
    <w:abstractNumId w:val="39"/>
  </w:num>
  <w:num w:numId="23" w16cid:durableId="222956690">
    <w:abstractNumId w:val="14"/>
  </w:num>
  <w:num w:numId="24" w16cid:durableId="1976570029">
    <w:abstractNumId w:val="24"/>
  </w:num>
  <w:num w:numId="25" w16cid:durableId="1838694664">
    <w:abstractNumId w:val="10"/>
  </w:num>
  <w:num w:numId="26" w16cid:durableId="1185752307">
    <w:abstractNumId w:val="40"/>
  </w:num>
  <w:num w:numId="27" w16cid:durableId="680740214">
    <w:abstractNumId w:val="15"/>
  </w:num>
  <w:num w:numId="28" w16cid:durableId="1619601461">
    <w:abstractNumId w:val="8"/>
  </w:num>
  <w:num w:numId="29" w16cid:durableId="1050544011">
    <w:abstractNumId w:val="18"/>
  </w:num>
  <w:num w:numId="30" w16cid:durableId="1264412484">
    <w:abstractNumId w:val="13"/>
  </w:num>
  <w:num w:numId="31" w16cid:durableId="450973302">
    <w:abstractNumId w:val="17"/>
  </w:num>
  <w:num w:numId="32" w16cid:durableId="1087267550">
    <w:abstractNumId w:val="4"/>
  </w:num>
  <w:num w:numId="33" w16cid:durableId="1057821067">
    <w:abstractNumId w:val="32"/>
  </w:num>
  <w:num w:numId="34" w16cid:durableId="1658798733">
    <w:abstractNumId w:val="37"/>
  </w:num>
  <w:num w:numId="35" w16cid:durableId="302542744">
    <w:abstractNumId w:val="38"/>
  </w:num>
  <w:num w:numId="36" w16cid:durableId="523590112">
    <w:abstractNumId w:val="12"/>
  </w:num>
  <w:num w:numId="37" w16cid:durableId="1457025447">
    <w:abstractNumId w:val="9"/>
  </w:num>
  <w:num w:numId="38" w16cid:durableId="1991057112">
    <w:abstractNumId w:val="36"/>
  </w:num>
  <w:num w:numId="39" w16cid:durableId="217674106">
    <w:abstractNumId w:val="16"/>
  </w:num>
  <w:num w:numId="40" w16cid:durableId="1782528277">
    <w:abstractNumId w:val="5"/>
  </w:num>
  <w:num w:numId="41" w16cid:durableId="165244412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0835"/>
    <w:rsid w:val="00022065"/>
    <w:rsid w:val="00022271"/>
    <w:rsid w:val="000235E8"/>
    <w:rsid w:val="0002495F"/>
    <w:rsid w:val="00024D89"/>
    <w:rsid w:val="000250B6"/>
    <w:rsid w:val="00025ADD"/>
    <w:rsid w:val="000301B7"/>
    <w:rsid w:val="00033B37"/>
    <w:rsid w:val="00033D81"/>
    <w:rsid w:val="00037366"/>
    <w:rsid w:val="00041BF0"/>
    <w:rsid w:val="00042C8A"/>
    <w:rsid w:val="00044E58"/>
    <w:rsid w:val="0004536B"/>
    <w:rsid w:val="00046B68"/>
    <w:rsid w:val="000527DD"/>
    <w:rsid w:val="00052E05"/>
    <w:rsid w:val="00053FEA"/>
    <w:rsid w:val="000578B2"/>
    <w:rsid w:val="00060959"/>
    <w:rsid w:val="00060C8F"/>
    <w:rsid w:val="0006298A"/>
    <w:rsid w:val="000643BD"/>
    <w:rsid w:val="000663CD"/>
    <w:rsid w:val="00071E90"/>
    <w:rsid w:val="000733FE"/>
    <w:rsid w:val="00074219"/>
    <w:rsid w:val="00074ED5"/>
    <w:rsid w:val="00083CAF"/>
    <w:rsid w:val="0008508E"/>
    <w:rsid w:val="00086557"/>
    <w:rsid w:val="00087951"/>
    <w:rsid w:val="0009050A"/>
    <w:rsid w:val="0009113B"/>
    <w:rsid w:val="00093402"/>
    <w:rsid w:val="00093E86"/>
    <w:rsid w:val="00094DA3"/>
    <w:rsid w:val="000968D8"/>
    <w:rsid w:val="00096CD1"/>
    <w:rsid w:val="000975B0"/>
    <w:rsid w:val="000A012C"/>
    <w:rsid w:val="000A0EB9"/>
    <w:rsid w:val="000A186C"/>
    <w:rsid w:val="000A1EA4"/>
    <w:rsid w:val="000A2476"/>
    <w:rsid w:val="000A641A"/>
    <w:rsid w:val="000B2117"/>
    <w:rsid w:val="000B2654"/>
    <w:rsid w:val="000B3EDB"/>
    <w:rsid w:val="000B543D"/>
    <w:rsid w:val="000B55F9"/>
    <w:rsid w:val="000B5BF7"/>
    <w:rsid w:val="000B6BC8"/>
    <w:rsid w:val="000C0303"/>
    <w:rsid w:val="000C23C6"/>
    <w:rsid w:val="000C42EA"/>
    <w:rsid w:val="000C4546"/>
    <w:rsid w:val="000D1242"/>
    <w:rsid w:val="000E0970"/>
    <w:rsid w:val="000E3CC7"/>
    <w:rsid w:val="000E6BD4"/>
    <w:rsid w:val="000E6D6D"/>
    <w:rsid w:val="000E7A4B"/>
    <w:rsid w:val="000F1F1E"/>
    <w:rsid w:val="000F2259"/>
    <w:rsid w:val="000F2DDA"/>
    <w:rsid w:val="000F2EA0"/>
    <w:rsid w:val="000F5213"/>
    <w:rsid w:val="000F706D"/>
    <w:rsid w:val="00101001"/>
    <w:rsid w:val="00103276"/>
    <w:rsid w:val="0010392D"/>
    <w:rsid w:val="0010447F"/>
    <w:rsid w:val="00104FE3"/>
    <w:rsid w:val="00105291"/>
    <w:rsid w:val="001055A4"/>
    <w:rsid w:val="0010714F"/>
    <w:rsid w:val="001120C5"/>
    <w:rsid w:val="00120BD3"/>
    <w:rsid w:val="0012153B"/>
    <w:rsid w:val="00122FEA"/>
    <w:rsid w:val="001232BD"/>
    <w:rsid w:val="00124ED5"/>
    <w:rsid w:val="001256CC"/>
    <w:rsid w:val="001276FA"/>
    <w:rsid w:val="0013066F"/>
    <w:rsid w:val="00130E6E"/>
    <w:rsid w:val="0013115E"/>
    <w:rsid w:val="00134AEA"/>
    <w:rsid w:val="00141886"/>
    <w:rsid w:val="00143E3D"/>
    <w:rsid w:val="001447B3"/>
    <w:rsid w:val="00144BEB"/>
    <w:rsid w:val="00152073"/>
    <w:rsid w:val="00156598"/>
    <w:rsid w:val="00156900"/>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81F"/>
    <w:rsid w:val="00186B33"/>
    <w:rsid w:val="00186D5A"/>
    <w:rsid w:val="00192F9D"/>
    <w:rsid w:val="00196EB8"/>
    <w:rsid w:val="00196EFB"/>
    <w:rsid w:val="00197357"/>
    <w:rsid w:val="001979FF"/>
    <w:rsid w:val="00197B17"/>
    <w:rsid w:val="001A1950"/>
    <w:rsid w:val="001A1C54"/>
    <w:rsid w:val="001A202A"/>
    <w:rsid w:val="001A3ACE"/>
    <w:rsid w:val="001B0057"/>
    <w:rsid w:val="001B058F"/>
    <w:rsid w:val="001B4AE1"/>
    <w:rsid w:val="001B6B96"/>
    <w:rsid w:val="001B6E2E"/>
    <w:rsid w:val="001B7228"/>
    <w:rsid w:val="001B738B"/>
    <w:rsid w:val="001C09DB"/>
    <w:rsid w:val="001C277E"/>
    <w:rsid w:val="001C2A72"/>
    <w:rsid w:val="001C31B7"/>
    <w:rsid w:val="001D0B75"/>
    <w:rsid w:val="001D39A5"/>
    <w:rsid w:val="001D3C09"/>
    <w:rsid w:val="001D44E8"/>
    <w:rsid w:val="001D4F27"/>
    <w:rsid w:val="001D60EC"/>
    <w:rsid w:val="001D6F59"/>
    <w:rsid w:val="001E44DF"/>
    <w:rsid w:val="001E68A5"/>
    <w:rsid w:val="001E6BB0"/>
    <w:rsid w:val="001E7282"/>
    <w:rsid w:val="001F12DC"/>
    <w:rsid w:val="001F3444"/>
    <w:rsid w:val="001F3826"/>
    <w:rsid w:val="001F6E46"/>
    <w:rsid w:val="001F7C91"/>
    <w:rsid w:val="00201525"/>
    <w:rsid w:val="002033B7"/>
    <w:rsid w:val="00206463"/>
    <w:rsid w:val="00206F2F"/>
    <w:rsid w:val="00207717"/>
    <w:rsid w:val="0021053D"/>
    <w:rsid w:val="00210A92"/>
    <w:rsid w:val="0021588B"/>
    <w:rsid w:val="00216C03"/>
    <w:rsid w:val="00220C04"/>
    <w:rsid w:val="0022278D"/>
    <w:rsid w:val="002253E8"/>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6B6"/>
    <w:rsid w:val="00254F58"/>
    <w:rsid w:val="002620BC"/>
    <w:rsid w:val="00262802"/>
    <w:rsid w:val="00263A90"/>
    <w:rsid w:val="0026408B"/>
    <w:rsid w:val="00264FA0"/>
    <w:rsid w:val="002668F4"/>
    <w:rsid w:val="00267C3E"/>
    <w:rsid w:val="002709BB"/>
    <w:rsid w:val="0027131C"/>
    <w:rsid w:val="00273BAC"/>
    <w:rsid w:val="002763B3"/>
    <w:rsid w:val="0027710F"/>
    <w:rsid w:val="002802E3"/>
    <w:rsid w:val="00280C4B"/>
    <w:rsid w:val="00282069"/>
    <w:rsid w:val="0028213D"/>
    <w:rsid w:val="002862F1"/>
    <w:rsid w:val="00291373"/>
    <w:rsid w:val="0029597D"/>
    <w:rsid w:val="002962C3"/>
    <w:rsid w:val="0029752B"/>
    <w:rsid w:val="00297902"/>
    <w:rsid w:val="002A0A9C"/>
    <w:rsid w:val="002A46C6"/>
    <w:rsid w:val="002A483C"/>
    <w:rsid w:val="002B0C7C"/>
    <w:rsid w:val="002B1729"/>
    <w:rsid w:val="002B33F0"/>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170E"/>
    <w:rsid w:val="002F3ADF"/>
    <w:rsid w:val="002F3D32"/>
    <w:rsid w:val="002F5F31"/>
    <w:rsid w:val="002F5F46"/>
    <w:rsid w:val="002F796F"/>
    <w:rsid w:val="00301DBF"/>
    <w:rsid w:val="0030203E"/>
    <w:rsid w:val="00302216"/>
    <w:rsid w:val="00302D72"/>
    <w:rsid w:val="00303E53"/>
    <w:rsid w:val="00305CC1"/>
    <w:rsid w:val="00306E5F"/>
    <w:rsid w:val="00307E14"/>
    <w:rsid w:val="00310252"/>
    <w:rsid w:val="003131D8"/>
    <w:rsid w:val="00314054"/>
    <w:rsid w:val="00316F27"/>
    <w:rsid w:val="003214F1"/>
    <w:rsid w:val="00322E4B"/>
    <w:rsid w:val="003252EE"/>
    <w:rsid w:val="00327870"/>
    <w:rsid w:val="0033259D"/>
    <w:rsid w:val="003333D2"/>
    <w:rsid w:val="00337339"/>
    <w:rsid w:val="003406C6"/>
    <w:rsid w:val="003416E8"/>
    <w:rsid w:val="003418CC"/>
    <w:rsid w:val="003444E9"/>
    <w:rsid w:val="003459BD"/>
    <w:rsid w:val="00350D38"/>
    <w:rsid w:val="00351405"/>
    <w:rsid w:val="00351B36"/>
    <w:rsid w:val="00351E1A"/>
    <w:rsid w:val="0035292B"/>
    <w:rsid w:val="0035569D"/>
    <w:rsid w:val="00357B4E"/>
    <w:rsid w:val="00363EAD"/>
    <w:rsid w:val="00370556"/>
    <w:rsid w:val="003716FD"/>
    <w:rsid w:val="0037204B"/>
    <w:rsid w:val="003744CF"/>
    <w:rsid w:val="00374717"/>
    <w:rsid w:val="0037676C"/>
    <w:rsid w:val="00376DCF"/>
    <w:rsid w:val="00377A1A"/>
    <w:rsid w:val="00381043"/>
    <w:rsid w:val="003812B2"/>
    <w:rsid w:val="003829E5"/>
    <w:rsid w:val="00386109"/>
    <w:rsid w:val="00386944"/>
    <w:rsid w:val="00393CCC"/>
    <w:rsid w:val="003956CC"/>
    <w:rsid w:val="00395C9A"/>
    <w:rsid w:val="003A04E1"/>
    <w:rsid w:val="003A0853"/>
    <w:rsid w:val="003A3A37"/>
    <w:rsid w:val="003A6B67"/>
    <w:rsid w:val="003B13B6"/>
    <w:rsid w:val="003B14C3"/>
    <w:rsid w:val="003B15E6"/>
    <w:rsid w:val="003B1BDC"/>
    <w:rsid w:val="003B2593"/>
    <w:rsid w:val="003B408A"/>
    <w:rsid w:val="003C08A2"/>
    <w:rsid w:val="003C2045"/>
    <w:rsid w:val="003C429F"/>
    <w:rsid w:val="003C43A1"/>
    <w:rsid w:val="003C4FC0"/>
    <w:rsid w:val="003C55F4"/>
    <w:rsid w:val="003C642A"/>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0772D"/>
    <w:rsid w:val="00410CA4"/>
    <w:rsid w:val="004148F9"/>
    <w:rsid w:val="004149CF"/>
    <w:rsid w:val="0041758E"/>
    <w:rsid w:val="0042084E"/>
    <w:rsid w:val="00421EEF"/>
    <w:rsid w:val="00424D65"/>
    <w:rsid w:val="00430393"/>
    <w:rsid w:val="00431806"/>
    <w:rsid w:val="00432F0B"/>
    <w:rsid w:val="004350F9"/>
    <w:rsid w:val="00435D18"/>
    <w:rsid w:val="00436863"/>
    <w:rsid w:val="00437AC5"/>
    <w:rsid w:val="00437ED0"/>
    <w:rsid w:val="00440A87"/>
    <w:rsid w:val="00442C6C"/>
    <w:rsid w:val="00443CBE"/>
    <w:rsid w:val="00443E8A"/>
    <w:rsid w:val="004441BC"/>
    <w:rsid w:val="004468B4"/>
    <w:rsid w:val="00447070"/>
    <w:rsid w:val="0045230A"/>
    <w:rsid w:val="00454AD0"/>
    <w:rsid w:val="00457337"/>
    <w:rsid w:val="00462E3D"/>
    <w:rsid w:val="0046435C"/>
    <w:rsid w:val="0046440A"/>
    <w:rsid w:val="00466E79"/>
    <w:rsid w:val="00470D7D"/>
    <w:rsid w:val="0047372D"/>
    <w:rsid w:val="00473BA3"/>
    <w:rsid w:val="004743DD"/>
    <w:rsid w:val="00474CEA"/>
    <w:rsid w:val="00475229"/>
    <w:rsid w:val="00483968"/>
    <w:rsid w:val="004841BE"/>
    <w:rsid w:val="00484F86"/>
    <w:rsid w:val="0048518C"/>
    <w:rsid w:val="00490746"/>
    <w:rsid w:val="00490852"/>
    <w:rsid w:val="00491C9C"/>
    <w:rsid w:val="00492F30"/>
    <w:rsid w:val="004946F4"/>
    <w:rsid w:val="0049487E"/>
    <w:rsid w:val="00494B4F"/>
    <w:rsid w:val="00494D4E"/>
    <w:rsid w:val="00497A93"/>
    <w:rsid w:val="004A160D"/>
    <w:rsid w:val="004A1E3B"/>
    <w:rsid w:val="004A3E81"/>
    <w:rsid w:val="004A4195"/>
    <w:rsid w:val="004A5C62"/>
    <w:rsid w:val="004A5CE5"/>
    <w:rsid w:val="004A707D"/>
    <w:rsid w:val="004A766A"/>
    <w:rsid w:val="004B4185"/>
    <w:rsid w:val="004C5541"/>
    <w:rsid w:val="004C6E29"/>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39BC"/>
    <w:rsid w:val="00536499"/>
    <w:rsid w:val="005369D4"/>
    <w:rsid w:val="0054077E"/>
    <w:rsid w:val="00542A03"/>
    <w:rsid w:val="00543903"/>
    <w:rsid w:val="00543F11"/>
    <w:rsid w:val="00546305"/>
    <w:rsid w:val="00547A95"/>
    <w:rsid w:val="0055119B"/>
    <w:rsid w:val="005527DC"/>
    <w:rsid w:val="00561202"/>
    <w:rsid w:val="00571080"/>
    <w:rsid w:val="00572031"/>
    <w:rsid w:val="00572282"/>
    <w:rsid w:val="00573A0D"/>
    <w:rsid w:val="00573CE3"/>
    <w:rsid w:val="00576E84"/>
    <w:rsid w:val="00580394"/>
    <w:rsid w:val="005809CD"/>
    <w:rsid w:val="00582B8C"/>
    <w:rsid w:val="0058322C"/>
    <w:rsid w:val="0058757E"/>
    <w:rsid w:val="00593A99"/>
    <w:rsid w:val="00596A4B"/>
    <w:rsid w:val="00597507"/>
    <w:rsid w:val="005A2AF8"/>
    <w:rsid w:val="005A479D"/>
    <w:rsid w:val="005B04DC"/>
    <w:rsid w:val="005B1C6D"/>
    <w:rsid w:val="005B21B6"/>
    <w:rsid w:val="005B2E8E"/>
    <w:rsid w:val="005B3A08"/>
    <w:rsid w:val="005B7A63"/>
    <w:rsid w:val="005C0955"/>
    <w:rsid w:val="005C49DA"/>
    <w:rsid w:val="005C50F3"/>
    <w:rsid w:val="005C54B5"/>
    <w:rsid w:val="005C5D80"/>
    <w:rsid w:val="005C5D91"/>
    <w:rsid w:val="005D07B8"/>
    <w:rsid w:val="005D1125"/>
    <w:rsid w:val="005D3082"/>
    <w:rsid w:val="005D6597"/>
    <w:rsid w:val="005E14E7"/>
    <w:rsid w:val="005E26A3"/>
    <w:rsid w:val="005E2ECB"/>
    <w:rsid w:val="005E370E"/>
    <w:rsid w:val="005E447E"/>
    <w:rsid w:val="005E4FD1"/>
    <w:rsid w:val="005F0775"/>
    <w:rsid w:val="005F0CF5"/>
    <w:rsid w:val="005F21EB"/>
    <w:rsid w:val="005F64CF"/>
    <w:rsid w:val="006041AD"/>
    <w:rsid w:val="00605908"/>
    <w:rsid w:val="00605EFB"/>
    <w:rsid w:val="00607850"/>
    <w:rsid w:val="00610D7C"/>
    <w:rsid w:val="00613414"/>
    <w:rsid w:val="00620154"/>
    <w:rsid w:val="00623D48"/>
    <w:rsid w:val="0062408D"/>
    <w:rsid w:val="006240CC"/>
    <w:rsid w:val="00624940"/>
    <w:rsid w:val="006254F8"/>
    <w:rsid w:val="00627DA7"/>
    <w:rsid w:val="00630624"/>
    <w:rsid w:val="0063062B"/>
    <w:rsid w:val="00630DA4"/>
    <w:rsid w:val="00631CD4"/>
    <w:rsid w:val="00632597"/>
    <w:rsid w:val="00632BD5"/>
    <w:rsid w:val="00634D13"/>
    <w:rsid w:val="006358B4"/>
    <w:rsid w:val="00641724"/>
    <w:rsid w:val="006419AA"/>
    <w:rsid w:val="00641CD9"/>
    <w:rsid w:val="00644B1F"/>
    <w:rsid w:val="00644B7E"/>
    <w:rsid w:val="006454E6"/>
    <w:rsid w:val="00646235"/>
    <w:rsid w:val="00646A68"/>
    <w:rsid w:val="006505BD"/>
    <w:rsid w:val="006508EA"/>
    <w:rsid w:val="0065092E"/>
    <w:rsid w:val="00652AD8"/>
    <w:rsid w:val="00652D9F"/>
    <w:rsid w:val="00653918"/>
    <w:rsid w:val="006557A7"/>
    <w:rsid w:val="00656290"/>
    <w:rsid w:val="006601C9"/>
    <w:rsid w:val="006608D8"/>
    <w:rsid w:val="006621D7"/>
    <w:rsid w:val="006627B6"/>
    <w:rsid w:val="0066302A"/>
    <w:rsid w:val="00667770"/>
    <w:rsid w:val="00670597"/>
    <w:rsid w:val="006706D0"/>
    <w:rsid w:val="00677574"/>
    <w:rsid w:val="00681A71"/>
    <w:rsid w:val="00683878"/>
    <w:rsid w:val="0068454C"/>
    <w:rsid w:val="006868F2"/>
    <w:rsid w:val="00691B62"/>
    <w:rsid w:val="0069265D"/>
    <w:rsid w:val="006933B5"/>
    <w:rsid w:val="00693D14"/>
    <w:rsid w:val="00695A93"/>
    <w:rsid w:val="00696F27"/>
    <w:rsid w:val="006A18C2"/>
    <w:rsid w:val="006A3383"/>
    <w:rsid w:val="006B077C"/>
    <w:rsid w:val="006B16AF"/>
    <w:rsid w:val="006B4EA4"/>
    <w:rsid w:val="006B6803"/>
    <w:rsid w:val="006C118F"/>
    <w:rsid w:val="006C1446"/>
    <w:rsid w:val="006C756A"/>
    <w:rsid w:val="006D0918"/>
    <w:rsid w:val="006D0F16"/>
    <w:rsid w:val="006D2A3F"/>
    <w:rsid w:val="006D2FBC"/>
    <w:rsid w:val="006D3060"/>
    <w:rsid w:val="006E0114"/>
    <w:rsid w:val="006E138B"/>
    <w:rsid w:val="006E1867"/>
    <w:rsid w:val="006F0330"/>
    <w:rsid w:val="006F1FDC"/>
    <w:rsid w:val="006F2DC3"/>
    <w:rsid w:val="006F58D2"/>
    <w:rsid w:val="006F6B8C"/>
    <w:rsid w:val="007013EF"/>
    <w:rsid w:val="00704461"/>
    <w:rsid w:val="007055BD"/>
    <w:rsid w:val="0071126F"/>
    <w:rsid w:val="007173CA"/>
    <w:rsid w:val="007216AA"/>
    <w:rsid w:val="00721AB5"/>
    <w:rsid w:val="00721C6F"/>
    <w:rsid w:val="00721CFB"/>
    <w:rsid w:val="00721DEF"/>
    <w:rsid w:val="00724A43"/>
    <w:rsid w:val="007250B5"/>
    <w:rsid w:val="007273AC"/>
    <w:rsid w:val="00731612"/>
    <w:rsid w:val="00731AD4"/>
    <w:rsid w:val="007346E4"/>
    <w:rsid w:val="00734830"/>
    <w:rsid w:val="00737A43"/>
    <w:rsid w:val="00740F22"/>
    <w:rsid w:val="00741977"/>
    <w:rsid w:val="00741CF0"/>
    <w:rsid w:val="00741F1A"/>
    <w:rsid w:val="00743A2C"/>
    <w:rsid w:val="007447DA"/>
    <w:rsid w:val="007450F8"/>
    <w:rsid w:val="0074696E"/>
    <w:rsid w:val="00750135"/>
    <w:rsid w:val="00750EC2"/>
    <w:rsid w:val="00752B28"/>
    <w:rsid w:val="007541A9"/>
    <w:rsid w:val="00754E36"/>
    <w:rsid w:val="00760453"/>
    <w:rsid w:val="00763139"/>
    <w:rsid w:val="007645C7"/>
    <w:rsid w:val="00766F80"/>
    <w:rsid w:val="00770F37"/>
    <w:rsid w:val="007711A0"/>
    <w:rsid w:val="007724C1"/>
    <w:rsid w:val="00772D5E"/>
    <w:rsid w:val="0077463E"/>
    <w:rsid w:val="007748E9"/>
    <w:rsid w:val="00776928"/>
    <w:rsid w:val="00776E0F"/>
    <w:rsid w:val="007774B1"/>
    <w:rsid w:val="00777BE1"/>
    <w:rsid w:val="00781157"/>
    <w:rsid w:val="00782E39"/>
    <w:rsid w:val="007833D8"/>
    <w:rsid w:val="00785677"/>
    <w:rsid w:val="00786F16"/>
    <w:rsid w:val="00791BD7"/>
    <w:rsid w:val="007933F7"/>
    <w:rsid w:val="00796E20"/>
    <w:rsid w:val="00797C32"/>
    <w:rsid w:val="007A11E8"/>
    <w:rsid w:val="007A6125"/>
    <w:rsid w:val="007A645A"/>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2282"/>
    <w:rsid w:val="007E3B98"/>
    <w:rsid w:val="007E417A"/>
    <w:rsid w:val="007F31B6"/>
    <w:rsid w:val="007F546C"/>
    <w:rsid w:val="007F625F"/>
    <w:rsid w:val="007F665E"/>
    <w:rsid w:val="00800412"/>
    <w:rsid w:val="0080587B"/>
    <w:rsid w:val="00806468"/>
    <w:rsid w:val="0080696F"/>
    <w:rsid w:val="008119CA"/>
    <w:rsid w:val="00811BBF"/>
    <w:rsid w:val="00812029"/>
    <w:rsid w:val="008130C4"/>
    <w:rsid w:val="008155F0"/>
    <w:rsid w:val="00816735"/>
    <w:rsid w:val="00820141"/>
    <w:rsid w:val="00820E0C"/>
    <w:rsid w:val="00823275"/>
    <w:rsid w:val="008234B5"/>
    <w:rsid w:val="0082366F"/>
    <w:rsid w:val="00826DC8"/>
    <w:rsid w:val="008315D8"/>
    <w:rsid w:val="00831725"/>
    <w:rsid w:val="008338A2"/>
    <w:rsid w:val="00833AF9"/>
    <w:rsid w:val="00841AA9"/>
    <w:rsid w:val="008443AB"/>
    <w:rsid w:val="008474FE"/>
    <w:rsid w:val="0085232E"/>
    <w:rsid w:val="00853EE4"/>
    <w:rsid w:val="00855535"/>
    <w:rsid w:val="00856C8D"/>
    <w:rsid w:val="00857C5A"/>
    <w:rsid w:val="008603CE"/>
    <w:rsid w:val="0086092B"/>
    <w:rsid w:val="0086255E"/>
    <w:rsid w:val="008633F0"/>
    <w:rsid w:val="00867D9D"/>
    <w:rsid w:val="00872C54"/>
    <w:rsid w:val="00872E0A"/>
    <w:rsid w:val="00873594"/>
    <w:rsid w:val="00875285"/>
    <w:rsid w:val="00880F68"/>
    <w:rsid w:val="00881266"/>
    <w:rsid w:val="00881362"/>
    <w:rsid w:val="00884B62"/>
    <w:rsid w:val="00884D6E"/>
    <w:rsid w:val="0088529C"/>
    <w:rsid w:val="0088784E"/>
    <w:rsid w:val="00887903"/>
    <w:rsid w:val="0089270A"/>
    <w:rsid w:val="00893936"/>
    <w:rsid w:val="00893AF6"/>
    <w:rsid w:val="00894BC4"/>
    <w:rsid w:val="008A0A5F"/>
    <w:rsid w:val="008A2423"/>
    <w:rsid w:val="008A28A8"/>
    <w:rsid w:val="008A4988"/>
    <w:rsid w:val="008A5B32"/>
    <w:rsid w:val="008A5D60"/>
    <w:rsid w:val="008A766D"/>
    <w:rsid w:val="008B0107"/>
    <w:rsid w:val="008B2029"/>
    <w:rsid w:val="008B2EE4"/>
    <w:rsid w:val="008B3821"/>
    <w:rsid w:val="008B4D3D"/>
    <w:rsid w:val="008B57C7"/>
    <w:rsid w:val="008B77BF"/>
    <w:rsid w:val="008C00A1"/>
    <w:rsid w:val="008C2F92"/>
    <w:rsid w:val="008C589D"/>
    <w:rsid w:val="008C5A18"/>
    <w:rsid w:val="008C66D7"/>
    <w:rsid w:val="008C6804"/>
    <w:rsid w:val="008C6D51"/>
    <w:rsid w:val="008D02A3"/>
    <w:rsid w:val="008D2846"/>
    <w:rsid w:val="008D4236"/>
    <w:rsid w:val="008D462F"/>
    <w:rsid w:val="008D5C45"/>
    <w:rsid w:val="008D6DCF"/>
    <w:rsid w:val="008E04CE"/>
    <w:rsid w:val="008E3DA3"/>
    <w:rsid w:val="008E4376"/>
    <w:rsid w:val="008E5D53"/>
    <w:rsid w:val="008E7A0A"/>
    <w:rsid w:val="008E7B49"/>
    <w:rsid w:val="008F59F6"/>
    <w:rsid w:val="008F75ED"/>
    <w:rsid w:val="00900719"/>
    <w:rsid w:val="009017AC"/>
    <w:rsid w:val="00902A9A"/>
    <w:rsid w:val="00904A1C"/>
    <w:rsid w:val="00905030"/>
    <w:rsid w:val="00905108"/>
    <w:rsid w:val="00906490"/>
    <w:rsid w:val="009111B2"/>
    <w:rsid w:val="009151F5"/>
    <w:rsid w:val="009172D2"/>
    <w:rsid w:val="00922F47"/>
    <w:rsid w:val="00924AE1"/>
    <w:rsid w:val="009257ED"/>
    <w:rsid w:val="009269B1"/>
    <w:rsid w:val="0092724D"/>
    <w:rsid w:val="009272B3"/>
    <w:rsid w:val="009315BE"/>
    <w:rsid w:val="0093338F"/>
    <w:rsid w:val="0093681F"/>
    <w:rsid w:val="00937BD9"/>
    <w:rsid w:val="00946A1B"/>
    <w:rsid w:val="00947A95"/>
    <w:rsid w:val="00950E2C"/>
    <w:rsid w:val="00951D50"/>
    <w:rsid w:val="009525EB"/>
    <w:rsid w:val="0095470B"/>
    <w:rsid w:val="00954874"/>
    <w:rsid w:val="00954D01"/>
    <w:rsid w:val="0095615A"/>
    <w:rsid w:val="00961400"/>
    <w:rsid w:val="00963646"/>
    <w:rsid w:val="00966068"/>
    <w:rsid w:val="0096632D"/>
    <w:rsid w:val="00966A54"/>
    <w:rsid w:val="00967124"/>
    <w:rsid w:val="00967335"/>
    <w:rsid w:val="009718C7"/>
    <w:rsid w:val="0097489F"/>
    <w:rsid w:val="00975041"/>
    <w:rsid w:val="0097559F"/>
    <w:rsid w:val="009761EA"/>
    <w:rsid w:val="009762BC"/>
    <w:rsid w:val="0097761E"/>
    <w:rsid w:val="00982454"/>
    <w:rsid w:val="00982CF0"/>
    <w:rsid w:val="00983D35"/>
    <w:rsid w:val="009853E1"/>
    <w:rsid w:val="00986E6B"/>
    <w:rsid w:val="00990032"/>
    <w:rsid w:val="00990B19"/>
    <w:rsid w:val="0099153B"/>
    <w:rsid w:val="00991769"/>
    <w:rsid w:val="0099232C"/>
    <w:rsid w:val="00994386"/>
    <w:rsid w:val="00994791"/>
    <w:rsid w:val="00995359"/>
    <w:rsid w:val="00995856"/>
    <w:rsid w:val="009A13D8"/>
    <w:rsid w:val="009A279E"/>
    <w:rsid w:val="009A3015"/>
    <w:rsid w:val="009A3490"/>
    <w:rsid w:val="009B0A6F"/>
    <w:rsid w:val="009B0A94"/>
    <w:rsid w:val="009B1CA5"/>
    <w:rsid w:val="009B2AE8"/>
    <w:rsid w:val="009B4379"/>
    <w:rsid w:val="009B5622"/>
    <w:rsid w:val="009B59E9"/>
    <w:rsid w:val="009B70AA"/>
    <w:rsid w:val="009C1A3D"/>
    <w:rsid w:val="009C1CB1"/>
    <w:rsid w:val="009C5E77"/>
    <w:rsid w:val="009C7A7E"/>
    <w:rsid w:val="009D02E8"/>
    <w:rsid w:val="009D0B20"/>
    <w:rsid w:val="009D13FD"/>
    <w:rsid w:val="009D51D0"/>
    <w:rsid w:val="009D70A4"/>
    <w:rsid w:val="009D7A52"/>
    <w:rsid w:val="009D7B14"/>
    <w:rsid w:val="009E08D1"/>
    <w:rsid w:val="009E1B95"/>
    <w:rsid w:val="009E496F"/>
    <w:rsid w:val="009E4B0D"/>
    <w:rsid w:val="009E5250"/>
    <w:rsid w:val="009E7A69"/>
    <w:rsid w:val="009E7F92"/>
    <w:rsid w:val="009F02A3"/>
    <w:rsid w:val="009F2AB0"/>
    <w:rsid w:val="009F2F27"/>
    <w:rsid w:val="009F34AA"/>
    <w:rsid w:val="009F6BCB"/>
    <w:rsid w:val="009F7B78"/>
    <w:rsid w:val="009F7E16"/>
    <w:rsid w:val="00A0057A"/>
    <w:rsid w:val="00A02FA1"/>
    <w:rsid w:val="00A04CCE"/>
    <w:rsid w:val="00A07421"/>
    <w:rsid w:val="00A0776B"/>
    <w:rsid w:val="00A10FB9"/>
    <w:rsid w:val="00A11421"/>
    <w:rsid w:val="00A11FD8"/>
    <w:rsid w:val="00A1389F"/>
    <w:rsid w:val="00A14996"/>
    <w:rsid w:val="00A157B1"/>
    <w:rsid w:val="00A15890"/>
    <w:rsid w:val="00A22229"/>
    <w:rsid w:val="00A24442"/>
    <w:rsid w:val="00A252B9"/>
    <w:rsid w:val="00A32577"/>
    <w:rsid w:val="00A330BB"/>
    <w:rsid w:val="00A34ACD"/>
    <w:rsid w:val="00A35EA4"/>
    <w:rsid w:val="00A44882"/>
    <w:rsid w:val="00A4507C"/>
    <w:rsid w:val="00A45125"/>
    <w:rsid w:val="00A45575"/>
    <w:rsid w:val="00A50338"/>
    <w:rsid w:val="00A513A9"/>
    <w:rsid w:val="00A54715"/>
    <w:rsid w:val="00A56D2A"/>
    <w:rsid w:val="00A6061C"/>
    <w:rsid w:val="00A62D44"/>
    <w:rsid w:val="00A66CD6"/>
    <w:rsid w:val="00A67263"/>
    <w:rsid w:val="00A7161C"/>
    <w:rsid w:val="00A76AB7"/>
    <w:rsid w:val="00A77AA3"/>
    <w:rsid w:val="00A804D8"/>
    <w:rsid w:val="00A80766"/>
    <w:rsid w:val="00A8236D"/>
    <w:rsid w:val="00A854EB"/>
    <w:rsid w:val="00A872E5"/>
    <w:rsid w:val="00A91406"/>
    <w:rsid w:val="00A92B2B"/>
    <w:rsid w:val="00A96E65"/>
    <w:rsid w:val="00A96ECE"/>
    <w:rsid w:val="00A9710C"/>
    <w:rsid w:val="00A97C72"/>
    <w:rsid w:val="00AA1D8A"/>
    <w:rsid w:val="00AA310B"/>
    <w:rsid w:val="00AA63D4"/>
    <w:rsid w:val="00AB06E8"/>
    <w:rsid w:val="00AB1A4F"/>
    <w:rsid w:val="00AB1CD3"/>
    <w:rsid w:val="00AB352F"/>
    <w:rsid w:val="00AC274B"/>
    <w:rsid w:val="00AC4320"/>
    <w:rsid w:val="00AC4764"/>
    <w:rsid w:val="00AC6D36"/>
    <w:rsid w:val="00AC6FD8"/>
    <w:rsid w:val="00AD0CBA"/>
    <w:rsid w:val="00AD26E2"/>
    <w:rsid w:val="00AD4279"/>
    <w:rsid w:val="00AD784C"/>
    <w:rsid w:val="00AE126A"/>
    <w:rsid w:val="00AE1BAE"/>
    <w:rsid w:val="00AE3005"/>
    <w:rsid w:val="00AE3BD5"/>
    <w:rsid w:val="00AE4C71"/>
    <w:rsid w:val="00AE59A0"/>
    <w:rsid w:val="00AE7145"/>
    <w:rsid w:val="00AF0C57"/>
    <w:rsid w:val="00AF26F3"/>
    <w:rsid w:val="00AF5F04"/>
    <w:rsid w:val="00B00672"/>
    <w:rsid w:val="00B01B4D"/>
    <w:rsid w:val="00B01F21"/>
    <w:rsid w:val="00B04489"/>
    <w:rsid w:val="00B06571"/>
    <w:rsid w:val="00B068BA"/>
    <w:rsid w:val="00B07217"/>
    <w:rsid w:val="00B13206"/>
    <w:rsid w:val="00B13851"/>
    <w:rsid w:val="00B13B1C"/>
    <w:rsid w:val="00B14ADF"/>
    <w:rsid w:val="00B14B5F"/>
    <w:rsid w:val="00B15D0C"/>
    <w:rsid w:val="00B1753E"/>
    <w:rsid w:val="00B21094"/>
    <w:rsid w:val="00B21F90"/>
    <w:rsid w:val="00B22291"/>
    <w:rsid w:val="00B23F9A"/>
    <w:rsid w:val="00B2417B"/>
    <w:rsid w:val="00B24E6F"/>
    <w:rsid w:val="00B2538D"/>
    <w:rsid w:val="00B26CB5"/>
    <w:rsid w:val="00B2752E"/>
    <w:rsid w:val="00B307CC"/>
    <w:rsid w:val="00B326B7"/>
    <w:rsid w:val="00B32D08"/>
    <w:rsid w:val="00B33400"/>
    <w:rsid w:val="00B3588E"/>
    <w:rsid w:val="00B35BC2"/>
    <w:rsid w:val="00B406FF"/>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766EB"/>
    <w:rsid w:val="00B90729"/>
    <w:rsid w:val="00B907DA"/>
    <w:rsid w:val="00B91FFE"/>
    <w:rsid w:val="00B950BC"/>
    <w:rsid w:val="00B95AB9"/>
    <w:rsid w:val="00B9714C"/>
    <w:rsid w:val="00BA29AD"/>
    <w:rsid w:val="00BA33CF"/>
    <w:rsid w:val="00BA3F8D"/>
    <w:rsid w:val="00BB7A10"/>
    <w:rsid w:val="00BC4122"/>
    <w:rsid w:val="00BC60BE"/>
    <w:rsid w:val="00BC7468"/>
    <w:rsid w:val="00BC7D4F"/>
    <w:rsid w:val="00BC7ED7"/>
    <w:rsid w:val="00BD2850"/>
    <w:rsid w:val="00BD2E1F"/>
    <w:rsid w:val="00BD44A1"/>
    <w:rsid w:val="00BD6049"/>
    <w:rsid w:val="00BE0CE7"/>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94C"/>
    <w:rsid w:val="00C231A0"/>
    <w:rsid w:val="00C26588"/>
    <w:rsid w:val="00C27DE9"/>
    <w:rsid w:val="00C30412"/>
    <w:rsid w:val="00C31338"/>
    <w:rsid w:val="00C32989"/>
    <w:rsid w:val="00C33388"/>
    <w:rsid w:val="00C35484"/>
    <w:rsid w:val="00C36CC0"/>
    <w:rsid w:val="00C4173A"/>
    <w:rsid w:val="00C42E19"/>
    <w:rsid w:val="00C50DED"/>
    <w:rsid w:val="00C52217"/>
    <w:rsid w:val="00C5698C"/>
    <w:rsid w:val="00C602FF"/>
    <w:rsid w:val="00C61174"/>
    <w:rsid w:val="00C6148F"/>
    <w:rsid w:val="00C621B1"/>
    <w:rsid w:val="00C62F7A"/>
    <w:rsid w:val="00C63B9C"/>
    <w:rsid w:val="00C6682F"/>
    <w:rsid w:val="00C67BF4"/>
    <w:rsid w:val="00C7275E"/>
    <w:rsid w:val="00C74C5D"/>
    <w:rsid w:val="00C80295"/>
    <w:rsid w:val="00C863C4"/>
    <w:rsid w:val="00C8711B"/>
    <w:rsid w:val="00C920EA"/>
    <w:rsid w:val="00C93C3E"/>
    <w:rsid w:val="00CA12E3"/>
    <w:rsid w:val="00CA1476"/>
    <w:rsid w:val="00CA15E3"/>
    <w:rsid w:val="00CA6611"/>
    <w:rsid w:val="00CA6AE6"/>
    <w:rsid w:val="00CA782F"/>
    <w:rsid w:val="00CB187B"/>
    <w:rsid w:val="00CB2046"/>
    <w:rsid w:val="00CB2835"/>
    <w:rsid w:val="00CB3285"/>
    <w:rsid w:val="00CB4500"/>
    <w:rsid w:val="00CC0C72"/>
    <w:rsid w:val="00CC2BFD"/>
    <w:rsid w:val="00CC4C90"/>
    <w:rsid w:val="00CD1A9A"/>
    <w:rsid w:val="00CD3476"/>
    <w:rsid w:val="00CD4AA2"/>
    <w:rsid w:val="00CD64DF"/>
    <w:rsid w:val="00CE225F"/>
    <w:rsid w:val="00CE4B97"/>
    <w:rsid w:val="00CE4FB1"/>
    <w:rsid w:val="00CE542F"/>
    <w:rsid w:val="00CF2F50"/>
    <w:rsid w:val="00CF4148"/>
    <w:rsid w:val="00CF6198"/>
    <w:rsid w:val="00CF6FE5"/>
    <w:rsid w:val="00D02919"/>
    <w:rsid w:val="00D04C61"/>
    <w:rsid w:val="00D05B8D"/>
    <w:rsid w:val="00D05B9B"/>
    <w:rsid w:val="00D065A2"/>
    <w:rsid w:val="00D079AA"/>
    <w:rsid w:val="00D07F00"/>
    <w:rsid w:val="00D112A4"/>
    <w:rsid w:val="00D1130F"/>
    <w:rsid w:val="00D12C2C"/>
    <w:rsid w:val="00D14BC9"/>
    <w:rsid w:val="00D17B72"/>
    <w:rsid w:val="00D3185C"/>
    <w:rsid w:val="00D3205F"/>
    <w:rsid w:val="00D3318E"/>
    <w:rsid w:val="00D33E72"/>
    <w:rsid w:val="00D35BD6"/>
    <w:rsid w:val="00D361B5"/>
    <w:rsid w:val="00D402DB"/>
    <w:rsid w:val="00D411A2"/>
    <w:rsid w:val="00D4606D"/>
    <w:rsid w:val="00D47BE0"/>
    <w:rsid w:val="00D50B9C"/>
    <w:rsid w:val="00D52D73"/>
    <w:rsid w:val="00D52E58"/>
    <w:rsid w:val="00D56A5F"/>
    <w:rsid w:val="00D56B20"/>
    <w:rsid w:val="00D578B3"/>
    <w:rsid w:val="00D618F4"/>
    <w:rsid w:val="00D714CC"/>
    <w:rsid w:val="00D73D41"/>
    <w:rsid w:val="00D75EA7"/>
    <w:rsid w:val="00D81ADF"/>
    <w:rsid w:val="00D81F21"/>
    <w:rsid w:val="00D8423D"/>
    <w:rsid w:val="00D84658"/>
    <w:rsid w:val="00D864F2"/>
    <w:rsid w:val="00D943F8"/>
    <w:rsid w:val="00D95470"/>
    <w:rsid w:val="00D96B55"/>
    <w:rsid w:val="00D977F0"/>
    <w:rsid w:val="00DA2619"/>
    <w:rsid w:val="00DA2E57"/>
    <w:rsid w:val="00DA4239"/>
    <w:rsid w:val="00DA5511"/>
    <w:rsid w:val="00DA5F6E"/>
    <w:rsid w:val="00DA65DE"/>
    <w:rsid w:val="00DB0B61"/>
    <w:rsid w:val="00DB1474"/>
    <w:rsid w:val="00DB2962"/>
    <w:rsid w:val="00DB52FB"/>
    <w:rsid w:val="00DC013B"/>
    <w:rsid w:val="00DC090B"/>
    <w:rsid w:val="00DC0C38"/>
    <w:rsid w:val="00DC1679"/>
    <w:rsid w:val="00DC219B"/>
    <w:rsid w:val="00DC2CF1"/>
    <w:rsid w:val="00DC3A7C"/>
    <w:rsid w:val="00DC4F96"/>
    <w:rsid w:val="00DC4FCF"/>
    <w:rsid w:val="00DC50E0"/>
    <w:rsid w:val="00DC6386"/>
    <w:rsid w:val="00DD1130"/>
    <w:rsid w:val="00DD1951"/>
    <w:rsid w:val="00DD487D"/>
    <w:rsid w:val="00DD4E83"/>
    <w:rsid w:val="00DD6628"/>
    <w:rsid w:val="00DD6945"/>
    <w:rsid w:val="00DE084D"/>
    <w:rsid w:val="00DE2D04"/>
    <w:rsid w:val="00DE3250"/>
    <w:rsid w:val="00DE6028"/>
    <w:rsid w:val="00DE6C85"/>
    <w:rsid w:val="00DE78A3"/>
    <w:rsid w:val="00DF1A71"/>
    <w:rsid w:val="00DF4F80"/>
    <w:rsid w:val="00DF50FC"/>
    <w:rsid w:val="00DF68C7"/>
    <w:rsid w:val="00DF6C0B"/>
    <w:rsid w:val="00DF6D37"/>
    <w:rsid w:val="00DF731A"/>
    <w:rsid w:val="00E006ED"/>
    <w:rsid w:val="00E02E60"/>
    <w:rsid w:val="00E06B75"/>
    <w:rsid w:val="00E07B4C"/>
    <w:rsid w:val="00E11332"/>
    <w:rsid w:val="00E11352"/>
    <w:rsid w:val="00E13B60"/>
    <w:rsid w:val="00E170DC"/>
    <w:rsid w:val="00E17546"/>
    <w:rsid w:val="00E210B5"/>
    <w:rsid w:val="00E261B3"/>
    <w:rsid w:val="00E26818"/>
    <w:rsid w:val="00E27FFC"/>
    <w:rsid w:val="00E30B15"/>
    <w:rsid w:val="00E33237"/>
    <w:rsid w:val="00E40181"/>
    <w:rsid w:val="00E41C8E"/>
    <w:rsid w:val="00E45F26"/>
    <w:rsid w:val="00E54950"/>
    <w:rsid w:val="00E55FB3"/>
    <w:rsid w:val="00E56A01"/>
    <w:rsid w:val="00E629A1"/>
    <w:rsid w:val="00E6794C"/>
    <w:rsid w:val="00E71591"/>
    <w:rsid w:val="00E71CEB"/>
    <w:rsid w:val="00E7474F"/>
    <w:rsid w:val="00E75678"/>
    <w:rsid w:val="00E75E5C"/>
    <w:rsid w:val="00E77901"/>
    <w:rsid w:val="00E80DE3"/>
    <w:rsid w:val="00E82285"/>
    <w:rsid w:val="00E82C55"/>
    <w:rsid w:val="00E847A7"/>
    <w:rsid w:val="00E8787E"/>
    <w:rsid w:val="00E92AC3"/>
    <w:rsid w:val="00E954B6"/>
    <w:rsid w:val="00EA2F6A"/>
    <w:rsid w:val="00EB00E0"/>
    <w:rsid w:val="00EB05D5"/>
    <w:rsid w:val="00EB1931"/>
    <w:rsid w:val="00EB2E20"/>
    <w:rsid w:val="00EB40E3"/>
    <w:rsid w:val="00EC059F"/>
    <w:rsid w:val="00EC1F24"/>
    <w:rsid w:val="00EC20FF"/>
    <w:rsid w:val="00EC22F6"/>
    <w:rsid w:val="00ED195F"/>
    <w:rsid w:val="00ED4671"/>
    <w:rsid w:val="00ED5B9B"/>
    <w:rsid w:val="00ED6BAD"/>
    <w:rsid w:val="00ED71C4"/>
    <w:rsid w:val="00ED7447"/>
    <w:rsid w:val="00EE00D6"/>
    <w:rsid w:val="00EE11E7"/>
    <w:rsid w:val="00EE1488"/>
    <w:rsid w:val="00EE1730"/>
    <w:rsid w:val="00EE1FCE"/>
    <w:rsid w:val="00EE29AD"/>
    <w:rsid w:val="00EE3E24"/>
    <w:rsid w:val="00EE4D5D"/>
    <w:rsid w:val="00EE5131"/>
    <w:rsid w:val="00EE5BEA"/>
    <w:rsid w:val="00EF02DF"/>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3832"/>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097E"/>
    <w:rsid w:val="00F815B5"/>
    <w:rsid w:val="00F85195"/>
    <w:rsid w:val="00F868E3"/>
    <w:rsid w:val="00F9071D"/>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4107"/>
    <w:rsid w:val="00FC5E8E"/>
    <w:rsid w:val="00FC62C5"/>
    <w:rsid w:val="00FD3766"/>
    <w:rsid w:val="00FD47C4"/>
    <w:rsid w:val="00FE2DCF"/>
    <w:rsid w:val="00FE3FA7"/>
    <w:rsid w:val="00FF1333"/>
    <w:rsid w:val="00FF20FB"/>
    <w:rsid w:val="00FF2A4E"/>
    <w:rsid w:val="00FF2FCE"/>
    <w:rsid w:val="00FF4F7D"/>
    <w:rsid w:val="00FF6D9D"/>
    <w:rsid w:val="00FF7DD5"/>
    <w:rsid w:val="0997FCD0"/>
    <w:rsid w:val="13666E2C"/>
    <w:rsid w:val="14F2783D"/>
    <w:rsid w:val="1679FF23"/>
    <w:rsid w:val="1BA0A148"/>
    <w:rsid w:val="1D687B89"/>
    <w:rsid w:val="23351DE2"/>
    <w:rsid w:val="250D8275"/>
    <w:rsid w:val="27171A93"/>
    <w:rsid w:val="32FBA53D"/>
    <w:rsid w:val="362B9E66"/>
    <w:rsid w:val="366ED72B"/>
    <w:rsid w:val="417E7F48"/>
    <w:rsid w:val="41DC38ED"/>
    <w:rsid w:val="453F9214"/>
    <w:rsid w:val="4A2960D2"/>
    <w:rsid w:val="4A8D39B7"/>
    <w:rsid w:val="4BB5FD9B"/>
    <w:rsid w:val="4D5500B1"/>
    <w:rsid w:val="4DA1509B"/>
    <w:rsid w:val="4DD8C4D3"/>
    <w:rsid w:val="4DECDE65"/>
    <w:rsid w:val="4E9593BA"/>
    <w:rsid w:val="501170B3"/>
    <w:rsid w:val="53982692"/>
    <w:rsid w:val="5481DC90"/>
    <w:rsid w:val="56316574"/>
    <w:rsid w:val="5794E1FF"/>
    <w:rsid w:val="58A1C67C"/>
    <w:rsid w:val="599C29EF"/>
    <w:rsid w:val="5F999B2F"/>
    <w:rsid w:val="66E09710"/>
    <w:rsid w:val="66F2FF9B"/>
    <w:rsid w:val="6788FA0B"/>
    <w:rsid w:val="68AB925D"/>
    <w:rsid w:val="6E4DDAB6"/>
    <w:rsid w:val="71D9AC6F"/>
    <w:rsid w:val="73B00235"/>
    <w:rsid w:val="771B6251"/>
    <w:rsid w:val="7D56609C"/>
    <w:rsid w:val="7E6E8F57"/>
    <w:rsid w:val="7F2A168B"/>
    <w:rsid w:val="7F6DFDF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763258E6-8332-4E29-9D4D-13089110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aliases w:val="Nous Table,Table,NOUS,NOUS Side Header"/>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DHHSbodyChar">
    <w:name w:val="DHHS body Char"/>
    <w:link w:val="DHHSbody"/>
    <w:locked/>
    <w:rsid w:val="00497A93"/>
    <w:rPr>
      <w:rFonts w:ascii="Arial" w:hAnsi="Arial" w:cs="Arial"/>
      <w:lang w:eastAsia="en-US"/>
    </w:rPr>
  </w:style>
  <w:style w:type="paragraph" w:customStyle="1" w:styleId="DHHSbody">
    <w:name w:val="DHHS body"/>
    <w:link w:val="DHHSbodyChar"/>
    <w:qFormat/>
    <w:rsid w:val="00497A93"/>
    <w:pPr>
      <w:spacing w:after="120" w:line="270" w:lineRule="atLeast"/>
    </w:pPr>
    <w:rPr>
      <w:rFonts w:ascii="Arial" w:hAnsi="Arial" w:cs="Arial"/>
      <w:lang w:eastAsia="en-US"/>
    </w:rPr>
  </w:style>
  <w:style w:type="character" w:customStyle="1" w:styleId="cf01">
    <w:name w:val="cf01"/>
    <w:basedOn w:val="DefaultParagraphFont"/>
    <w:rsid w:val="00497A93"/>
    <w:rPr>
      <w:rFonts w:ascii="Segoe UI" w:hAnsi="Segoe UI" w:cs="Segoe UI" w:hint="default"/>
      <w:color w:val="0A0A0A"/>
      <w:sz w:val="18"/>
      <w:szCs w:val="18"/>
      <w:shd w:val="clear" w:color="auto" w:fill="FFFFFF"/>
    </w:rPr>
  </w:style>
  <w:style w:type="paragraph" w:styleId="ListParagraph">
    <w:name w:val="List Paragraph"/>
    <w:basedOn w:val="Normal"/>
    <w:uiPriority w:val="34"/>
    <w:qFormat/>
    <w:rsid w:val="00497A93"/>
    <w:pPr>
      <w:ind w:left="720"/>
      <w:contextualSpacing/>
    </w:pPr>
  </w:style>
  <w:style w:type="paragraph" w:customStyle="1" w:styleId="NumberedList-Level1">
    <w:name w:val="Numbered List - Level 1"/>
    <w:basedOn w:val="Body"/>
    <w:uiPriority w:val="11"/>
    <w:qFormat/>
    <w:rsid w:val="00497A93"/>
    <w:pPr>
      <w:numPr>
        <w:numId w:val="17"/>
      </w:numPr>
    </w:pPr>
  </w:style>
  <w:style w:type="paragraph" w:customStyle="1" w:styleId="NumberedListLevel2">
    <w:name w:val="Numbered List Level 2"/>
    <w:basedOn w:val="Body"/>
    <w:uiPriority w:val="11"/>
    <w:qFormat/>
    <w:rsid w:val="00497A93"/>
    <w:pPr>
      <w:numPr>
        <w:ilvl w:val="1"/>
        <w:numId w:val="17"/>
      </w:numPr>
      <w:ind w:left="641" w:hanging="357"/>
    </w:pPr>
  </w:style>
  <w:style w:type="paragraph" w:customStyle="1" w:styleId="NumberedListlevel3">
    <w:name w:val="Numbered List level 3"/>
    <w:basedOn w:val="Body"/>
    <w:uiPriority w:val="11"/>
    <w:qFormat/>
    <w:rsid w:val="00497A93"/>
    <w:pPr>
      <w:numPr>
        <w:ilvl w:val="2"/>
        <w:numId w:val="17"/>
      </w:numPr>
      <w:ind w:left="748" w:hanging="181"/>
    </w:pPr>
  </w:style>
  <w:style w:type="table" w:customStyle="1" w:styleId="Purpletable">
    <w:name w:val="Purple table"/>
    <w:basedOn w:val="TableNormal"/>
    <w:next w:val="TableGrid"/>
    <w:uiPriority w:val="39"/>
    <w:rsid w:val="00497A93"/>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eop">
    <w:name w:val="eop"/>
    <w:basedOn w:val="DefaultParagraphFont"/>
    <w:rsid w:val="0097489F"/>
  </w:style>
  <w:style w:type="character" w:customStyle="1" w:styleId="normaltextrun">
    <w:name w:val="normaltextrun"/>
    <w:basedOn w:val="DefaultParagraphFont"/>
    <w:rsid w:val="00F8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3850495">
      <w:bodyDiv w:val="1"/>
      <w:marLeft w:val="0"/>
      <w:marRight w:val="0"/>
      <w:marTop w:val="0"/>
      <w:marBottom w:val="0"/>
      <w:divBdr>
        <w:top w:val="none" w:sz="0" w:space="0" w:color="auto"/>
        <w:left w:val="none" w:sz="0" w:space="0" w:color="auto"/>
        <w:bottom w:val="none" w:sz="0" w:space="0" w:color="auto"/>
        <w:right w:val="none" w:sz="0" w:space="0" w:color="auto"/>
      </w:divBdr>
    </w:div>
    <w:div w:id="7833109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registration@ssr.vic.gov.au" TargetMode="External"/><Relationship Id="rId26" Type="http://schemas.openxmlformats.org/officeDocument/2006/relationships/hyperlink" Target="https://asic.gov.au/for-business/running-a-company/company-officeholder-duties/" TargetMode="External"/><Relationship Id="rId3" Type="http://schemas.openxmlformats.org/officeDocument/2006/relationships/customXml" Target="../customXml/item3.xml"/><Relationship Id="rId21" Type="http://schemas.openxmlformats.org/officeDocument/2006/relationships/hyperlink" Target="mailto:Email%20the%20Social%20Services%20Regulato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social-services-regulator-registration" TargetMode="External"/><Relationship Id="rId25" Type="http://schemas.openxmlformats.org/officeDocument/2006/relationships/hyperlink" Target="https://www.justice.vic.gov.au/spent-convic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gov.au/social-services-regulator-registration" TargetMode="External"/><Relationship Id="rId20" Type="http://schemas.openxmlformats.org/officeDocument/2006/relationships/hyperlink" Target="https://www.vic.gov.au/social-services-regulator-registration" TargetMode="External"/><Relationship Id="rId29" Type="http://schemas.openxmlformats.org/officeDocument/2006/relationships/hyperlink" Target="https://www.vic.gov.au/social-services-regul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ssr-reporting-notifiable-incide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vic.gov.au/in-force/statutory-rules/social-services-regulations-2023/001" TargetMode="External"/><Relationship Id="rId23" Type="http://schemas.openxmlformats.org/officeDocument/2006/relationships/hyperlink" Target="https://www.vic.gov.au/social-services-regulator-guidance-material" TargetMode="External"/><Relationship Id="rId28" Type="http://schemas.openxmlformats.org/officeDocument/2006/relationships/hyperlink" Target="mailto:enquiries@ssr.vic.gov.au" TargetMode="External"/><Relationship Id="rId10" Type="http://schemas.openxmlformats.org/officeDocument/2006/relationships/endnotes" Target="endnotes.xml"/><Relationship Id="rId19" Type="http://schemas.openxmlformats.org/officeDocument/2006/relationships/hyperlink" Target="https://www.vic.gov.au/social-services-regulator-registratio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vic.gov.au/in-force/acts/social-services-regulation-act-2021/001" TargetMode="External"/><Relationship Id="rId22" Type="http://schemas.openxmlformats.org/officeDocument/2006/relationships/hyperlink" Target="mailto:enquiries@ssr.vic.gov.au" TargetMode="External"/><Relationship Id="rId27" Type="http://schemas.openxmlformats.org/officeDocument/2006/relationships/hyperlink" Target="mailto:enquiries@ssr.vic.gov.au"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Dil Adihetty (DFFH)</DisplayName>
        <AccountId>43</AccountId>
        <AccountType/>
      </UserInfo>
      <UserInfo>
        <DisplayName>Braden Hegedus (DFFH)</DisplayName>
        <AccountId>873</AccountId>
        <AccountType/>
      </UserInfo>
    </SharedWithUsers>
    <Comment xmlns="5dc74ea8-e552-4672-9e93-7e886a7af213" xsi:nil="true"/>
    <TaxCatchAll xmlns="5ce0f2b5-5be5-4508-bce9-d7011ece0659" xsi:nil="true"/>
    <Comments xmlns="5dc74ea8-e552-4672-9e93-7e886a7af213" xsi:nil="true"/>
    <MediaLengthInSeconds xmlns="5dc74ea8-e552-4672-9e93-7e886a7af213" xsi:nil="true"/>
    <Status xmlns="5dc74ea8-e552-4672-9e93-7e886a7af21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c520fbed-e792-47a6-88e7-e35740b06176"/>
    <ds:schemaRef ds:uri="5ce0f2b5-5be5-4508-bce9-d7011ece0659"/>
    <ds:schemaRef ds:uri="http://purl.org/dc/elements/1.1/"/>
    <ds:schemaRef ds:uri="http://schemas.microsoft.com/office/2006/metadata/properties"/>
    <ds:schemaRef ds:uri="http://schemas.microsoft.com/office/2006/documentManagement/types"/>
    <ds:schemaRef ds:uri="http://schemas.microsoft.com/office/infopath/2007/PartnerControls"/>
    <ds:schemaRef ds:uri="5dc74ea8-e552-4672-9e93-7e886a7af213"/>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138E093E-11CF-49C5-927D-5DB75A206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5751</Words>
  <Characters>35811</Characters>
  <Application>Microsoft Office Word</Application>
  <DocSecurity>0</DocSecurity>
  <Lines>873</Lines>
  <Paragraphs>561</Paragraphs>
  <ScaleCrop>false</ScaleCrop>
  <Manager/>
  <Company>Victoria State Government, Social Services Regulator</Company>
  <LinksUpToDate>false</LinksUpToDate>
  <CharactersWithSpaces>41001</CharactersWithSpaces>
  <SharedDoc>false</SharedDoc>
  <HyperlinkBase/>
  <HLinks>
    <vt:vector size="156" baseType="variant">
      <vt:variant>
        <vt:i4>1769566</vt:i4>
      </vt:variant>
      <vt:variant>
        <vt:i4>81</vt:i4>
      </vt:variant>
      <vt:variant>
        <vt:i4>0</vt:i4>
      </vt:variant>
      <vt:variant>
        <vt:i4>5</vt:i4>
      </vt:variant>
      <vt:variant>
        <vt:lpwstr>https://www.vic.gov.au/social-services-regulator-</vt:lpwstr>
      </vt:variant>
      <vt:variant>
        <vt:lpwstr/>
      </vt:variant>
      <vt:variant>
        <vt:i4>6357085</vt:i4>
      </vt:variant>
      <vt:variant>
        <vt:i4>78</vt:i4>
      </vt:variant>
      <vt:variant>
        <vt:i4>0</vt:i4>
      </vt:variant>
      <vt:variant>
        <vt:i4>5</vt:i4>
      </vt:variant>
      <vt:variant>
        <vt:lpwstr>mailto:enquiries@ssr.vic.gov.au</vt:lpwstr>
      </vt:variant>
      <vt:variant>
        <vt:lpwstr/>
      </vt:variant>
      <vt:variant>
        <vt:i4>6357085</vt:i4>
      </vt:variant>
      <vt:variant>
        <vt:i4>75</vt:i4>
      </vt:variant>
      <vt:variant>
        <vt:i4>0</vt:i4>
      </vt:variant>
      <vt:variant>
        <vt:i4>5</vt:i4>
      </vt:variant>
      <vt:variant>
        <vt:lpwstr>mailto:enquiries@ssr.vic.gov.au</vt:lpwstr>
      </vt:variant>
      <vt:variant>
        <vt:lpwstr/>
      </vt:variant>
      <vt:variant>
        <vt:i4>2883700</vt:i4>
      </vt:variant>
      <vt:variant>
        <vt:i4>72</vt:i4>
      </vt:variant>
      <vt:variant>
        <vt:i4>0</vt:i4>
      </vt:variant>
      <vt:variant>
        <vt:i4>5</vt:i4>
      </vt:variant>
      <vt:variant>
        <vt:lpwstr>https://asic.gov.au/for-business/running-a-company/company-officeholder-duties/</vt:lpwstr>
      </vt:variant>
      <vt:variant>
        <vt:lpwstr/>
      </vt:variant>
      <vt:variant>
        <vt:i4>1638481</vt:i4>
      </vt:variant>
      <vt:variant>
        <vt:i4>69</vt:i4>
      </vt:variant>
      <vt:variant>
        <vt:i4>0</vt:i4>
      </vt:variant>
      <vt:variant>
        <vt:i4>5</vt:i4>
      </vt:variant>
      <vt:variant>
        <vt:lpwstr>https://www.justice.vic.gov.au/spent-convictions</vt:lpwstr>
      </vt:variant>
      <vt:variant>
        <vt:lpwstr/>
      </vt:variant>
      <vt:variant>
        <vt:i4>917505</vt:i4>
      </vt:variant>
      <vt:variant>
        <vt:i4>66</vt:i4>
      </vt:variant>
      <vt:variant>
        <vt:i4>0</vt:i4>
      </vt:variant>
      <vt:variant>
        <vt:i4>5</vt:i4>
      </vt:variant>
      <vt:variant>
        <vt:lpwstr>https://www.vic.gov.au/ssr-reporting-notifiable-incident</vt:lpwstr>
      </vt:variant>
      <vt:variant>
        <vt:lpwstr/>
      </vt:variant>
      <vt:variant>
        <vt:i4>3866723</vt:i4>
      </vt:variant>
      <vt:variant>
        <vt:i4>63</vt:i4>
      </vt:variant>
      <vt:variant>
        <vt:i4>0</vt:i4>
      </vt:variant>
      <vt:variant>
        <vt:i4>5</vt:i4>
      </vt:variant>
      <vt:variant>
        <vt:lpwstr>https://www.vic.gov.au/social-services-regulator-guidance-material</vt:lpwstr>
      </vt:variant>
      <vt:variant>
        <vt:lpwstr/>
      </vt:variant>
      <vt:variant>
        <vt:i4>6357085</vt:i4>
      </vt:variant>
      <vt:variant>
        <vt:i4>60</vt:i4>
      </vt:variant>
      <vt:variant>
        <vt:i4>0</vt:i4>
      </vt:variant>
      <vt:variant>
        <vt:i4>5</vt:i4>
      </vt:variant>
      <vt:variant>
        <vt:lpwstr>mailto:enquiries@ssr.vic.gov.au</vt:lpwstr>
      </vt:variant>
      <vt:variant>
        <vt:lpwstr/>
      </vt:variant>
      <vt:variant>
        <vt:i4>3211384</vt:i4>
      </vt:variant>
      <vt:variant>
        <vt:i4>57</vt:i4>
      </vt:variant>
      <vt:variant>
        <vt:i4>0</vt:i4>
      </vt:variant>
      <vt:variant>
        <vt:i4>5</vt:i4>
      </vt:variant>
      <vt:variant>
        <vt:lpwstr>mailto:Email%20the%20Social%20Services%20Regulator</vt:lpwstr>
      </vt:variant>
      <vt:variant>
        <vt:lpwstr/>
      </vt:variant>
      <vt:variant>
        <vt:i4>1310723</vt:i4>
      </vt:variant>
      <vt:variant>
        <vt:i4>54</vt:i4>
      </vt:variant>
      <vt:variant>
        <vt:i4>0</vt:i4>
      </vt:variant>
      <vt:variant>
        <vt:i4>5</vt:i4>
      </vt:variant>
      <vt:variant>
        <vt:lpwstr>https://www.vic.gov.au/social-services-regulator-registration</vt:lpwstr>
      </vt:variant>
      <vt:variant>
        <vt:lpwstr/>
      </vt:variant>
      <vt:variant>
        <vt:i4>4784214</vt:i4>
      </vt:variant>
      <vt:variant>
        <vt:i4>51</vt:i4>
      </vt:variant>
      <vt:variant>
        <vt:i4>0</vt:i4>
      </vt:variant>
      <vt:variant>
        <vt:i4>5</vt:i4>
      </vt:variant>
      <vt:variant>
        <vt:lpwstr/>
      </vt:variant>
      <vt:variant>
        <vt:lpwstr>_Appendix_4</vt:lpwstr>
      </vt:variant>
      <vt:variant>
        <vt:i4>6750309</vt:i4>
      </vt:variant>
      <vt:variant>
        <vt:i4>48</vt:i4>
      </vt:variant>
      <vt:variant>
        <vt:i4>0</vt:i4>
      </vt:variant>
      <vt:variant>
        <vt:i4>5</vt:i4>
      </vt:variant>
      <vt:variant>
        <vt:lpwstr/>
      </vt:variant>
      <vt:variant>
        <vt:lpwstr>_Appendix_3.2</vt:lpwstr>
      </vt:variant>
      <vt:variant>
        <vt:i4>6750309</vt:i4>
      </vt:variant>
      <vt:variant>
        <vt:i4>45</vt:i4>
      </vt:variant>
      <vt:variant>
        <vt:i4>0</vt:i4>
      </vt:variant>
      <vt:variant>
        <vt:i4>5</vt:i4>
      </vt:variant>
      <vt:variant>
        <vt:lpwstr/>
      </vt:variant>
      <vt:variant>
        <vt:lpwstr>_Appendix_3.1</vt:lpwstr>
      </vt:variant>
      <vt:variant>
        <vt:i4>4784214</vt:i4>
      </vt:variant>
      <vt:variant>
        <vt:i4>42</vt:i4>
      </vt:variant>
      <vt:variant>
        <vt:i4>0</vt:i4>
      </vt:variant>
      <vt:variant>
        <vt:i4>5</vt:i4>
      </vt:variant>
      <vt:variant>
        <vt:lpwstr/>
      </vt:variant>
      <vt:variant>
        <vt:lpwstr>_Appendix_3</vt:lpwstr>
      </vt:variant>
      <vt:variant>
        <vt:i4>4784214</vt:i4>
      </vt:variant>
      <vt:variant>
        <vt:i4>39</vt:i4>
      </vt:variant>
      <vt:variant>
        <vt:i4>0</vt:i4>
      </vt:variant>
      <vt:variant>
        <vt:i4>5</vt:i4>
      </vt:variant>
      <vt:variant>
        <vt:lpwstr/>
      </vt:variant>
      <vt:variant>
        <vt:lpwstr>_Appendix_2</vt:lpwstr>
      </vt:variant>
      <vt:variant>
        <vt:i4>6750311</vt:i4>
      </vt:variant>
      <vt:variant>
        <vt:i4>36</vt:i4>
      </vt:variant>
      <vt:variant>
        <vt:i4>0</vt:i4>
      </vt:variant>
      <vt:variant>
        <vt:i4>5</vt:i4>
      </vt:variant>
      <vt:variant>
        <vt:lpwstr/>
      </vt:variant>
      <vt:variant>
        <vt:lpwstr>_Appendix_1.2</vt:lpwstr>
      </vt:variant>
      <vt:variant>
        <vt:i4>4980775</vt:i4>
      </vt:variant>
      <vt:variant>
        <vt:i4>33</vt:i4>
      </vt:variant>
      <vt:variant>
        <vt:i4>0</vt:i4>
      </vt:variant>
      <vt:variant>
        <vt:i4>5</vt:i4>
      </vt:variant>
      <vt:variant>
        <vt:lpwstr/>
      </vt:variant>
      <vt:variant>
        <vt:lpwstr>_Key_personnel_1</vt:lpwstr>
      </vt:variant>
      <vt:variant>
        <vt:i4>4784214</vt:i4>
      </vt:variant>
      <vt:variant>
        <vt:i4>30</vt:i4>
      </vt:variant>
      <vt:variant>
        <vt:i4>0</vt:i4>
      </vt:variant>
      <vt:variant>
        <vt:i4>5</vt:i4>
      </vt:variant>
      <vt:variant>
        <vt:lpwstr/>
      </vt:variant>
      <vt:variant>
        <vt:lpwstr>_Appendix_1</vt:lpwstr>
      </vt:variant>
      <vt:variant>
        <vt:i4>1310723</vt:i4>
      </vt:variant>
      <vt:variant>
        <vt:i4>27</vt:i4>
      </vt:variant>
      <vt:variant>
        <vt:i4>0</vt:i4>
      </vt:variant>
      <vt:variant>
        <vt:i4>5</vt:i4>
      </vt:variant>
      <vt:variant>
        <vt:lpwstr>https://www.vic.gov.au/social-services-regulator-registration</vt:lpwstr>
      </vt:variant>
      <vt:variant>
        <vt:lpwstr/>
      </vt:variant>
      <vt:variant>
        <vt:i4>196656</vt:i4>
      </vt:variant>
      <vt:variant>
        <vt:i4>24</vt:i4>
      </vt:variant>
      <vt:variant>
        <vt:i4>0</vt:i4>
      </vt:variant>
      <vt:variant>
        <vt:i4>5</vt:i4>
      </vt:variant>
      <vt:variant>
        <vt:lpwstr>mailto:registration@ssr.vic.gov.au</vt:lpwstr>
      </vt:variant>
      <vt:variant>
        <vt:lpwstr/>
      </vt:variant>
      <vt:variant>
        <vt:i4>1310723</vt:i4>
      </vt:variant>
      <vt:variant>
        <vt:i4>21</vt:i4>
      </vt:variant>
      <vt:variant>
        <vt:i4>0</vt:i4>
      </vt:variant>
      <vt:variant>
        <vt:i4>5</vt:i4>
      </vt:variant>
      <vt:variant>
        <vt:lpwstr>https://www.vic.gov.au/social-services-regulator-registration</vt:lpwstr>
      </vt:variant>
      <vt:variant>
        <vt:lpwstr/>
      </vt:variant>
      <vt:variant>
        <vt:i4>1310723</vt:i4>
      </vt:variant>
      <vt:variant>
        <vt:i4>18</vt:i4>
      </vt:variant>
      <vt:variant>
        <vt:i4>0</vt:i4>
      </vt:variant>
      <vt:variant>
        <vt:i4>5</vt:i4>
      </vt:variant>
      <vt:variant>
        <vt:lpwstr>https://www.vic.gov.au/social-services-regulator-registration</vt:lpwstr>
      </vt:variant>
      <vt:variant>
        <vt:lpwstr/>
      </vt:variant>
      <vt:variant>
        <vt:i4>1179757</vt:i4>
      </vt:variant>
      <vt:variant>
        <vt:i4>15</vt:i4>
      </vt:variant>
      <vt:variant>
        <vt:i4>0</vt:i4>
      </vt:variant>
      <vt:variant>
        <vt:i4>5</vt:i4>
      </vt:variant>
      <vt:variant>
        <vt:lpwstr/>
      </vt:variant>
      <vt:variant>
        <vt:lpwstr>_Foster__care,</vt:lpwstr>
      </vt:variant>
      <vt:variant>
        <vt:i4>1572878</vt:i4>
      </vt:variant>
      <vt:variant>
        <vt:i4>12</vt:i4>
      </vt:variant>
      <vt:variant>
        <vt:i4>0</vt:i4>
      </vt:variant>
      <vt:variant>
        <vt:i4>5</vt:i4>
      </vt:variant>
      <vt:variant>
        <vt:lpwstr/>
      </vt:variant>
      <vt:variant>
        <vt:lpwstr>_Ongoing_requirements</vt:lpwstr>
      </vt:variant>
      <vt:variant>
        <vt:i4>917574</vt:i4>
      </vt:variant>
      <vt:variant>
        <vt:i4>6</vt:i4>
      </vt:variant>
      <vt:variant>
        <vt:i4>0</vt:i4>
      </vt:variant>
      <vt:variant>
        <vt:i4>5</vt:i4>
      </vt:variant>
      <vt:variant>
        <vt:lpwstr>https://www.legislation.vic.gov.au/in-force/statutory-rules/social-services-regulations-2023/001</vt:lpwstr>
      </vt:variant>
      <vt:variant>
        <vt:lpwstr/>
      </vt:variant>
      <vt:variant>
        <vt:i4>4653063</vt:i4>
      </vt:variant>
      <vt:variant>
        <vt:i4>3</vt:i4>
      </vt:variant>
      <vt:variant>
        <vt:i4>0</vt:i4>
      </vt:variant>
      <vt:variant>
        <vt:i4>5</vt:i4>
      </vt:variant>
      <vt:variant>
        <vt:lpwstr>https://www.legislation.vic.gov.au/in-force/acts/social-services-regulation-act-2021/001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 Suitability Requirements Factsheet</dc:title>
  <dc:subject>Social Services Regulator - Suitability Requirements Factsheet</dc:subject>
  <dc:creator>Social Services Regulator</dc:creator>
  <cp:keywords/>
  <dc:description/>
  <cp:lastModifiedBy>Melissa Taylor (DFFH)</cp:lastModifiedBy>
  <cp:revision>2</cp:revision>
  <cp:lastPrinted>2021-01-30T00:27:00Z</cp:lastPrinted>
  <dcterms:created xsi:type="dcterms:W3CDTF">2024-08-16T05:10:00Z</dcterms:created>
  <dcterms:modified xsi:type="dcterms:W3CDTF">2024-08-16T05:10:00Z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y fmtid="{D5CDD505-2E9C-101B-9397-08002B2CF9AE}" pid="25" name="GrammarlyDocumentId">
    <vt:lpwstr>b57407d2743d40f5ef17560bc9f567ca4f84593b49427cadae0d8607ac68ee2e</vt:lpwstr>
  </property>
</Properties>
</file>