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4239AD" w14:textId="2073F8F1" w:rsidR="00446BEA" w:rsidRPr="000E52EE" w:rsidRDefault="2B5BC51A" w:rsidP="00AA5339">
      <w:pPr>
        <w:pStyle w:val="Title"/>
      </w:pPr>
      <w:bookmarkStart w:id="0" w:name="_Hlk168061162"/>
      <w:bookmarkStart w:id="1" w:name="_Toc153874696"/>
      <w:bookmarkStart w:id="2" w:name="_Toc153874900"/>
      <w:bookmarkStart w:id="3" w:name="_Toc156494174"/>
      <w:bookmarkStart w:id="4" w:name="_Toc1352887154"/>
      <w:bookmarkStart w:id="5" w:name="_Toc775910302"/>
      <w:bookmarkStart w:id="6" w:name="_Toc158718106"/>
      <w:bookmarkStart w:id="7" w:name="_Toc158718908"/>
      <w:bookmarkEnd w:id="0"/>
      <w:r w:rsidRPr="000E52EE">
        <w:t>Victorian Guide to Regulation:</w:t>
      </w:r>
      <w:r w:rsidR="00672404" w:rsidRPr="000E52EE">
        <w:t xml:space="preserve"> </w:t>
      </w:r>
      <w:r w:rsidR="00F31006" w:rsidRPr="000E52EE">
        <w:t xml:space="preserve">Evaluation </w:t>
      </w:r>
      <w:r w:rsidR="46A7BAC5" w:rsidRPr="000E52EE">
        <w:t>Toolkit</w:t>
      </w:r>
      <w:bookmarkEnd w:id="1"/>
      <w:bookmarkEnd w:id="2"/>
      <w:bookmarkEnd w:id="3"/>
      <w:bookmarkEnd w:id="4"/>
      <w:bookmarkEnd w:id="5"/>
      <w:r w:rsidR="6F09E6B1" w:rsidRPr="000E52EE">
        <w:t xml:space="preserve"> </w:t>
      </w:r>
      <w:bookmarkEnd w:id="6"/>
      <w:bookmarkEnd w:id="7"/>
    </w:p>
    <w:p w14:paraId="0B9BD830" w14:textId="2ABF8E0D" w:rsidR="00B339BF" w:rsidRPr="000E52EE" w:rsidRDefault="00B339BF" w:rsidP="001A5BD1">
      <w:pPr>
        <w:pStyle w:val="Highlightboxheading"/>
        <w:rPr>
          <w:color w:val="000000"/>
        </w:rPr>
      </w:pPr>
      <w:r w:rsidRPr="31FD5AD6">
        <w:t>Victorian Guide to Regulation: Evaluation Toolkit</w:t>
      </w:r>
    </w:p>
    <w:p w14:paraId="5DA6DAB1" w14:textId="4C19D8D2" w:rsidR="00B339BF" w:rsidRPr="000E52EE" w:rsidRDefault="00B339BF" w:rsidP="00E35293">
      <w:pPr>
        <w:pStyle w:val="Highlightboxtext"/>
        <w:rPr>
          <w:bCs/>
          <w:color w:val="000000"/>
        </w:rPr>
      </w:pPr>
      <w:r w:rsidRPr="31FD5AD6">
        <w:t xml:space="preserve">This toolkit complements the Victorian Guide to Regulation, available at:  </w:t>
      </w:r>
      <w:hyperlink r:id="rId12" w:history="1">
        <w:r w:rsidR="006215F7" w:rsidRPr="006215F7">
          <w:rPr>
            <w:rStyle w:val="Hyperlink"/>
          </w:rPr>
          <w:t>www.vic.gov.au/victorian-guide-regulation</w:t>
        </w:r>
      </w:hyperlink>
    </w:p>
    <w:p w14:paraId="65209C1A" w14:textId="479A4475" w:rsidR="00B339BF" w:rsidRPr="000E52EE" w:rsidRDefault="00B339BF" w:rsidP="00E35293">
      <w:pPr>
        <w:pStyle w:val="Highlightboxtext"/>
        <w:rPr>
          <w:color w:val="000000"/>
        </w:rPr>
      </w:pPr>
      <w:r w:rsidRPr="31FD5AD6">
        <w:t xml:space="preserve">You can use parts of this toolkit to help develop </w:t>
      </w:r>
      <w:r w:rsidR="6785CEBA" w:rsidRPr="31FD5AD6">
        <w:t xml:space="preserve">an evaluation strategy, and to design or improve evaluation of existing </w:t>
      </w:r>
      <w:r w:rsidR="0AD87C3A" w:rsidRPr="31FD5AD6">
        <w:t>legislation or regulation</w:t>
      </w:r>
      <w:r w:rsidR="5068DFBA" w:rsidRPr="4FA68DC5">
        <w:t>.</w:t>
      </w:r>
    </w:p>
    <w:p w14:paraId="00CDDFEF" w14:textId="5E4C6300" w:rsidR="6209CB6E" w:rsidRPr="000E52EE" w:rsidRDefault="6209CB6E" w:rsidP="00E35293">
      <w:pPr>
        <w:pStyle w:val="Highlightboxtext"/>
      </w:pPr>
      <w:r w:rsidRPr="31FD5AD6">
        <w:t>It expands on the requirements, pr</w:t>
      </w:r>
      <w:r w:rsidR="29C1873A" w:rsidRPr="31FD5AD6">
        <w:t xml:space="preserve">inciples and advice for evaluation methodology set out in the Victorian Guide to Regulation, with a focus on how to </w:t>
      </w:r>
      <w:r w:rsidR="74AF6711" w:rsidRPr="31FD5AD6">
        <w:t xml:space="preserve">design and </w:t>
      </w:r>
      <w:r w:rsidR="29C1873A" w:rsidRPr="31FD5AD6">
        <w:t>deliv</w:t>
      </w:r>
      <w:r w:rsidR="537DA788" w:rsidRPr="31FD5AD6">
        <w:t>er an evaluation</w:t>
      </w:r>
      <w:r w:rsidR="29C1873A" w:rsidRPr="31FD5AD6">
        <w:t xml:space="preserve">. </w:t>
      </w:r>
    </w:p>
    <w:p w14:paraId="7152BD40" w14:textId="120EE2B8" w:rsidR="0081645B" w:rsidRDefault="0081645B" w:rsidP="0081645B">
      <w:pPr>
        <w:pStyle w:val="TOCHeading"/>
        <w:spacing w:after="200"/>
      </w:pPr>
      <w:r>
        <w:t>Contents</w:t>
      </w:r>
    </w:p>
    <w:p w14:paraId="1637E7A3" w14:textId="4DBFD9CB" w:rsidR="20F44149" w:rsidRDefault="20F44149" w:rsidP="5C480BA0">
      <w:pPr>
        <w:pStyle w:val="TOC1"/>
        <w:rPr>
          <w:color w:val="auto"/>
        </w:rPr>
      </w:pPr>
      <w:r>
        <w:fldChar w:fldCharType="begin"/>
      </w:r>
      <w:r>
        <w:instrText>TOC \o "1-2" \h \z \u</w:instrText>
      </w:r>
      <w:r>
        <w:fldChar w:fldCharType="separate"/>
      </w:r>
      <w:hyperlink w:anchor="_Toc170403071">
        <w:r w:rsidR="00D53E9A" w:rsidRPr="5C480BA0">
          <w:rPr>
            <w:rStyle w:val="Hyperlink"/>
          </w:rPr>
          <w:t>Using this toolkit to support design and delivery</w:t>
        </w:r>
        <w:r>
          <w:tab/>
        </w:r>
        <w:r>
          <w:fldChar w:fldCharType="begin"/>
        </w:r>
        <w:r>
          <w:instrText xml:space="preserve"> PAGEREF _Toc170403071 \h </w:instrText>
        </w:r>
        <w:r>
          <w:fldChar w:fldCharType="separate"/>
        </w:r>
        <w:r w:rsidR="009645ED">
          <w:t>1</w:t>
        </w:r>
        <w:r>
          <w:fldChar w:fldCharType="end"/>
        </w:r>
      </w:hyperlink>
    </w:p>
    <w:p w14:paraId="65FBE42B" w14:textId="20F171A1" w:rsidR="00D53E9A" w:rsidRDefault="009645ED" w:rsidP="5C480BA0">
      <w:pPr>
        <w:pStyle w:val="TOC2"/>
        <w:rPr>
          <w:sz w:val="24"/>
          <w:szCs w:val="24"/>
        </w:rPr>
      </w:pPr>
      <w:hyperlink w:anchor="_Toc170403072">
        <w:r w:rsidR="00D53E9A" w:rsidRPr="5C480BA0">
          <w:rPr>
            <w:rStyle w:val="Hyperlink"/>
          </w:rPr>
          <w:t>The three steps to developing an evaluation strategy</w:t>
        </w:r>
        <w:r w:rsidR="00D53E9A">
          <w:tab/>
        </w:r>
        <w:r w:rsidR="00D53E9A">
          <w:fldChar w:fldCharType="begin"/>
        </w:r>
        <w:r w:rsidR="00D53E9A">
          <w:instrText xml:space="preserve"> PAGEREF _Toc170403072 \h </w:instrText>
        </w:r>
        <w:r w:rsidR="00D53E9A">
          <w:fldChar w:fldCharType="separate"/>
        </w:r>
        <w:r>
          <w:t>2</w:t>
        </w:r>
        <w:r w:rsidR="00D53E9A">
          <w:fldChar w:fldCharType="end"/>
        </w:r>
      </w:hyperlink>
    </w:p>
    <w:p w14:paraId="0F13F840" w14:textId="5FD14823" w:rsidR="00D53E9A" w:rsidRDefault="009645ED" w:rsidP="5C480BA0">
      <w:pPr>
        <w:pStyle w:val="TOC1"/>
        <w:rPr>
          <w:color w:val="auto"/>
        </w:rPr>
      </w:pPr>
      <w:hyperlink w:anchor="_Toc170403073">
        <w:r w:rsidR="00D53E9A" w:rsidRPr="5C480BA0">
          <w:rPr>
            <w:rStyle w:val="Hyperlink"/>
          </w:rPr>
          <w:t>Getting started: Scoping a regulatory evaluation</w:t>
        </w:r>
        <w:r w:rsidR="00D53E9A">
          <w:tab/>
        </w:r>
        <w:r w:rsidR="00D53E9A">
          <w:fldChar w:fldCharType="begin"/>
        </w:r>
        <w:r w:rsidR="00D53E9A">
          <w:instrText xml:space="preserve"> PAGEREF _Toc170403073 \h </w:instrText>
        </w:r>
        <w:r w:rsidR="00D53E9A">
          <w:fldChar w:fldCharType="separate"/>
        </w:r>
        <w:r>
          <w:t>2</w:t>
        </w:r>
        <w:r w:rsidR="00D53E9A">
          <w:fldChar w:fldCharType="end"/>
        </w:r>
      </w:hyperlink>
    </w:p>
    <w:p w14:paraId="29F5BADF" w14:textId="17FD3F65" w:rsidR="00D53E9A" w:rsidRDefault="009645ED" w:rsidP="5C480BA0">
      <w:pPr>
        <w:pStyle w:val="TOC2"/>
        <w:rPr>
          <w:sz w:val="24"/>
          <w:szCs w:val="24"/>
        </w:rPr>
      </w:pPr>
      <w:hyperlink w:anchor="_Toc170403074">
        <w:r w:rsidR="00D53E9A" w:rsidRPr="5C480BA0">
          <w:rPr>
            <w:rStyle w:val="Hyperlink"/>
          </w:rPr>
          <w:t>Questions to consider</w:t>
        </w:r>
        <w:r w:rsidR="00D53E9A">
          <w:tab/>
        </w:r>
        <w:r w:rsidR="00D53E9A">
          <w:fldChar w:fldCharType="begin"/>
        </w:r>
        <w:r w:rsidR="00D53E9A">
          <w:instrText xml:space="preserve"> PAGEREF _Toc170403074 \h </w:instrText>
        </w:r>
        <w:r w:rsidR="00D53E9A">
          <w:fldChar w:fldCharType="separate"/>
        </w:r>
        <w:r>
          <w:t>3</w:t>
        </w:r>
        <w:r w:rsidR="00D53E9A">
          <w:fldChar w:fldCharType="end"/>
        </w:r>
      </w:hyperlink>
    </w:p>
    <w:p w14:paraId="2C6D6661" w14:textId="6738D6AB" w:rsidR="00D53E9A" w:rsidRDefault="009645ED" w:rsidP="5C480BA0">
      <w:pPr>
        <w:pStyle w:val="TOC2"/>
        <w:rPr>
          <w:sz w:val="24"/>
          <w:szCs w:val="24"/>
        </w:rPr>
      </w:pPr>
      <w:hyperlink w:anchor="_Toc170403075">
        <w:r w:rsidR="00D53E9A" w:rsidRPr="5C480BA0">
          <w:rPr>
            <w:rStyle w:val="Hyperlink"/>
          </w:rPr>
          <w:t>Objectives to guide evaluation design</w:t>
        </w:r>
        <w:r w:rsidR="00D53E9A">
          <w:tab/>
        </w:r>
        <w:r w:rsidR="00D53E9A">
          <w:fldChar w:fldCharType="begin"/>
        </w:r>
        <w:r w:rsidR="00D53E9A">
          <w:instrText xml:space="preserve"> PAGEREF _Toc170403075 \h </w:instrText>
        </w:r>
        <w:r w:rsidR="00D53E9A">
          <w:fldChar w:fldCharType="separate"/>
        </w:r>
        <w:r>
          <w:t>3</w:t>
        </w:r>
        <w:r w:rsidR="00D53E9A">
          <w:fldChar w:fldCharType="end"/>
        </w:r>
      </w:hyperlink>
    </w:p>
    <w:p w14:paraId="1A36DB30" w14:textId="5A15E628" w:rsidR="00D53E9A" w:rsidRDefault="009645ED" w:rsidP="5C480BA0">
      <w:pPr>
        <w:pStyle w:val="TOC2"/>
        <w:rPr>
          <w:sz w:val="24"/>
          <w:szCs w:val="24"/>
        </w:rPr>
      </w:pPr>
      <w:hyperlink w:anchor="_Toc170403076">
        <w:r w:rsidR="00D53E9A" w:rsidRPr="5C480BA0">
          <w:rPr>
            <w:rStyle w:val="Hyperlink"/>
          </w:rPr>
          <w:t>Types of evaluations and their requirements</w:t>
        </w:r>
        <w:r w:rsidR="00D53E9A">
          <w:tab/>
        </w:r>
        <w:r w:rsidR="00D53E9A">
          <w:fldChar w:fldCharType="begin"/>
        </w:r>
        <w:r w:rsidR="00D53E9A">
          <w:instrText xml:space="preserve"> PAGEREF _Toc170403076 \h </w:instrText>
        </w:r>
        <w:r w:rsidR="00D53E9A">
          <w:fldChar w:fldCharType="separate"/>
        </w:r>
        <w:r>
          <w:t>4</w:t>
        </w:r>
        <w:r w:rsidR="00D53E9A">
          <w:fldChar w:fldCharType="end"/>
        </w:r>
      </w:hyperlink>
    </w:p>
    <w:p w14:paraId="1A5492A5" w14:textId="4169E97D" w:rsidR="00D53E9A" w:rsidRDefault="009645ED" w:rsidP="5C480BA0">
      <w:pPr>
        <w:pStyle w:val="TOC1"/>
        <w:rPr>
          <w:color w:val="auto"/>
        </w:rPr>
      </w:pPr>
      <w:hyperlink w:anchor="_Toc170403077">
        <w:r w:rsidR="00D53E9A" w:rsidRPr="5C480BA0">
          <w:rPr>
            <w:rStyle w:val="Hyperlink"/>
          </w:rPr>
          <w:t>Step 1: Developing your evaluation strategy</w:t>
        </w:r>
        <w:r w:rsidR="00D53E9A">
          <w:tab/>
        </w:r>
        <w:r w:rsidR="00D53E9A">
          <w:fldChar w:fldCharType="begin"/>
        </w:r>
        <w:r w:rsidR="00D53E9A">
          <w:instrText xml:space="preserve"> PAGEREF _Toc170403077 \h </w:instrText>
        </w:r>
        <w:r w:rsidR="00D53E9A">
          <w:fldChar w:fldCharType="separate"/>
        </w:r>
        <w:r>
          <w:t>5</w:t>
        </w:r>
        <w:r w:rsidR="00D53E9A">
          <w:fldChar w:fldCharType="end"/>
        </w:r>
      </w:hyperlink>
    </w:p>
    <w:p w14:paraId="779F8452" w14:textId="092842F2" w:rsidR="00D53E9A" w:rsidRDefault="009645ED" w:rsidP="5C480BA0">
      <w:pPr>
        <w:pStyle w:val="TOC2"/>
        <w:rPr>
          <w:sz w:val="24"/>
          <w:szCs w:val="24"/>
        </w:rPr>
      </w:pPr>
      <w:hyperlink w:anchor="_Toc170403078">
        <w:r w:rsidR="00D53E9A" w:rsidRPr="5C480BA0">
          <w:rPr>
            <w:rStyle w:val="Hyperlink"/>
          </w:rPr>
          <w:t>Using evaluation questions to develop indicators</w:t>
        </w:r>
        <w:r w:rsidR="00D53E9A">
          <w:tab/>
        </w:r>
        <w:r w:rsidR="00D53E9A">
          <w:fldChar w:fldCharType="begin"/>
        </w:r>
        <w:r w:rsidR="00D53E9A">
          <w:instrText xml:space="preserve"> PAGEREF _Toc170403078 \h </w:instrText>
        </w:r>
        <w:r w:rsidR="00D53E9A">
          <w:fldChar w:fldCharType="separate"/>
        </w:r>
        <w:r>
          <w:t>6</w:t>
        </w:r>
        <w:r w:rsidR="00D53E9A">
          <w:fldChar w:fldCharType="end"/>
        </w:r>
      </w:hyperlink>
    </w:p>
    <w:p w14:paraId="5CA2E2EB" w14:textId="65DFF247" w:rsidR="00D53E9A" w:rsidRDefault="009645ED" w:rsidP="5C480BA0">
      <w:pPr>
        <w:pStyle w:val="TOC2"/>
        <w:rPr>
          <w:sz w:val="24"/>
          <w:szCs w:val="24"/>
        </w:rPr>
      </w:pPr>
      <w:hyperlink w:anchor="_Toc170403079">
        <w:r w:rsidR="00D53E9A" w:rsidRPr="5C480BA0">
          <w:rPr>
            <w:rStyle w:val="Hyperlink"/>
          </w:rPr>
          <w:t>Developing measures for your indicators</w:t>
        </w:r>
        <w:r w:rsidR="00D53E9A">
          <w:tab/>
        </w:r>
        <w:r w:rsidR="00D53E9A">
          <w:fldChar w:fldCharType="begin"/>
        </w:r>
        <w:r w:rsidR="00D53E9A">
          <w:instrText xml:space="preserve"> PAGEREF _Toc170403079 \h </w:instrText>
        </w:r>
        <w:r w:rsidR="00D53E9A">
          <w:fldChar w:fldCharType="separate"/>
        </w:r>
        <w:r>
          <w:t>8</w:t>
        </w:r>
        <w:r w:rsidR="00D53E9A">
          <w:fldChar w:fldCharType="end"/>
        </w:r>
      </w:hyperlink>
    </w:p>
    <w:p w14:paraId="7DCC8FC1" w14:textId="5197AE0E" w:rsidR="00D53E9A" w:rsidRDefault="009645ED" w:rsidP="5C480BA0">
      <w:pPr>
        <w:pStyle w:val="TOC2"/>
        <w:rPr>
          <w:sz w:val="24"/>
          <w:szCs w:val="24"/>
        </w:rPr>
      </w:pPr>
      <w:hyperlink w:anchor="_Toc170403080">
        <w:r w:rsidR="00D53E9A" w:rsidRPr="5C480BA0">
          <w:rPr>
            <w:rStyle w:val="Hyperlink"/>
          </w:rPr>
          <w:t>Defining your baseline</w:t>
        </w:r>
        <w:r w:rsidR="00D53E9A">
          <w:tab/>
        </w:r>
        <w:r w:rsidR="00D53E9A">
          <w:fldChar w:fldCharType="begin"/>
        </w:r>
        <w:r w:rsidR="00D53E9A">
          <w:instrText xml:space="preserve"> PAGEREF _Toc170403080 \h </w:instrText>
        </w:r>
        <w:r w:rsidR="00D53E9A">
          <w:fldChar w:fldCharType="separate"/>
        </w:r>
        <w:r>
          <w:t>8</w:t>
        </w:r>
        <w:r w:rsidR="00D53E9A">
          <w:fldChar w:fldCharType="end"/>
        </w:r>
      </w:hyperlink>
    </w:p>
    <w:p w14:paraId="59FE0ABB" w14:textId="05FDD36D" w:rsidR="00D53E9A" w:rsidRDefault="009645ED" w:rsidP="5C480BA0">
      <w:pPr>
        <w:pStyle w:val="TOC2"/>
        <w:rPr>
          <w:sz w:val="24"/>
          <w:szCs w:val="24"/>
        </w:rPr>
      </w:pPr>
      <w:hyperlink w:anchor="_Toc170403081">
        <w:r w:rsidR="00D53E9A" w:rsidRPr="5C480BA0">
          <w:rPr>
            <w:rStyle w:val="Hyperlink"/>
          </w:rPr>
          <w:t>Developing proportionate measures</w:t>
        </w:r>
        <w:r w:rsidR="00D53E9A">
          <w:tab/>
        </w:r>
        <w:r w:rsidR="00D53E9A">
          <w:fldChar w:fldCharType="begin"/>
        </w:r>
        <w:r w:rsidR="00D53E9A">
          <w:instrText xml:space="preserve"> PAGEREF _Toc170403081 \h </w:instrText>
        </w:r>
        <w:r w:rsidR="00D53E9A">
          <w:fldChar w:fldCharType="separate"/>
        </w:r>
        <w:r>
          <w:t>9</w:t>
        </w:r>
        <w:r w:rsidR="00D53E9A">
          <w:fldChar w:fldCharType="end"/>
        </w:r>
      </w:hyperlink>
    </w:p>
    <w:p w14:paraId="790A1E76" w14:textId="4C484073" w:rsidR="00D53E9A" w:rsidRDefault="009645ED" w:rsidP="5C480BA0">
      <w:pPr>
        <w:pStyle w:val="TOC2"/>
        <w:rPr>
          <w:sz w:val="24"/>
          <w:szCs w:val="24"/>
        </w:rPr>
      </w:pPr>
      <w:hyperlink w:anchor="_Toc170403082">
        <w:r w:rsidR="00D53E9A" w:rsidRPr="5C480BA0">
          <w:rPr>
            <w:rStyle w:val="Hyperlink"/>
          </w:rPr>
          <w:t>Measuring regulator resource inputs</w:t>
        </w:r>
        <w:r w:rsidR="00D53E9A">
          <w:tab/>
        </w:r>
        <w:r w:rsidR="00D53E9A">
          <w:fldChar w:fldCharType="begin"/>
        </w:r>
        <w:r w:rsidR="00D53E9A">
          <w:instrText xml:space="preserve"> PAGEREF _Toc170403082 \h </w:instrText>
        </w:r>
        <w:r w:rsidR="00D53E9A">
          <w:fldChar w:fldCharType="separate"/>
        </w:r>
        <w:r>
          <w:t>9</w:t>
        </w:r>
        <w:r w:rsidR="00D53E9A">
          <w:fldChar w:fldCharType="end"/>
        </w:r>
      </w:hyperlink>
    </w:p>
    <w:p w14:paraId="2D7C0CE9" w14:textId="69D3CCEE" w:rsidR="00D53E9A" w:rsidRDefault="009645ED" w:rsidP="5C480BA0">
      <w:pPr>
        <w:pStyle w:val="TOC2"/>
        <w:rPr>
          <w:sz w:val="24"/>
          <w:szCs w:val="24"/>
        </w:rPr>
      </w:pPr>
      <w:hyperlink w:anchor="_Toc170403083">
        <w:r w:rsidR="00D53E9A" w:rsidRPr="5C480BA0">
          <w:rPr>
            <w:rStyle w:val="Hyperlink"/>
          </w:rPr>
          <w:t>Measuring regulator outputs</w:t>
        </w:r>
        <w:r w:rsidR="00D53E9A">
          <w:tab/>
        </w:r>
        <w:r w:rsidR="00D53E9A">
          <w:fldChar w:fldCharType="begin"/>
        </w:r>
        <w:r w:rsidR="00D53E9A">
          <w:instrText xml:space="preserve"> PAGEREF _Toc170403083 \h </w:instrText>
        </w:r>
        <w:r w:rsidR="00D53E9A">
          <w:fldChar w:fldCharType="separate"/>
        </w:r>
        <w:r>
          <w:t>10</w:t>
        </w:r>
        <w:r w:rsidR="00D53E9A">
          <w:fldChar w:fldCharType="end"/>
        </w:r>
      </w:hyperlink>
    </w:p>
    <w:p w14:paraId="42F15D7C" w14:textId="58BBB5B2" w:rsidR="00D53E9A" w:rsidRDefault="009645ED" w:rsidP="5C480BA0">
      <w:pPr>
        <w:pStyle w:val="TOC2"/>
        <w:rPr>
          <w:sz w:val="24"/>
          <w:szCs w:val="24"/>
        </w:rPr>
      </w:pPr>
      <w:hyperlink w:anchor="_Toc170403084">
        <w:r w:rsidR="00D53E9A" w:rsidRPr="5C480BA0">
          <w:rPr>
            <w:rStyle w:val="Hyperlink"/>
          </w:rPr>
          <w:t>Measuring behaviour change with regulator observations</w:t>
        </w:r>
        <w:r w:rsidR="00D53E9A">
          <w:tab/>
        </w:r>
        <w:r w:rsidR="00D53E9A">
          <w:fldChar w:fldCharType="begin"/>
        </w:r>
        <w:r w:rsidR="00D53E9A">
          <w:instrText xml:space="preserve"> PAGEREF _Toc170403084 \h </w:instrText>
        </w:r>
        <w:r w:rsidR="00D53E9A">
          <w:fldChar w:fldCharType="separate"/>
        </w:r>
        <w:r>
          <w:t>10</w:t>
        </w:r>
        <w:r w:rsidR="00D53E9A">
          <w:fldChar w:fldCharType="end"/>
        </w:r>
      </w:hyperlink>
    </w:p>
    <w:p w14:paraId="3E359483" w14:textId="21A6EE6F" w:rsidR="00D53E9A" w:rsidRDefault="009645ED" w:rsidP="5C480BA0">
      <w:pPr>
        <w:pStyle w:val="TOC2"/>
        <w:rPr>
          <w:sz w:val="24"/>
          <w:szCs w:val="24"/>
        </w:rPr>
      </w:pPr>
      <w:hyperlink w:anchor="_Toc170403085">
        <w:r w:rsidR="00D53E9A" w:rsidRPr="5C480BA0">
          <w:rPr>
            <w:rStyle w:val="Hyperlink"/>
          </w:rPr>
          <w:t>External measurements of behaviour change</w:t>
        </w:r>
        <w:r w:rsidR="00D53E9A">
          <w:tab/>
        </w:r>
        <w:r w:rsidR="00D53E9A">
          <w:fldChar w:fldCharType="begin"/>
        </w:r>
        <w:r w:rsidR="00D53E9A">
          <w:instrText xml:space="preserve"> PAGEREF _Toc170403085 \h </w:instrText>
        </w:r>
        <w:r w:rsidR="00D53E9A">
          <w:fldChar w:fldCharType="separate"/>
        </w:r>
        <w:r>
          <w:t>10</w:t>
        </w:r>
        <w:r w:rsidR="00D53E9A">
          <w:fldChar w:fldCharType="end"/>
        </w:r>
      </w:hyperlink>
    </w:p>
    <w:p w14:paraId="39000890" w14:textId="0D93EDFD" w:rsidR="00D53E9A" w:rsidRDefault="009645ED" w:rsidP="5C480BA0">
      <w:pPr>
        <w:pStyle w:val="TOC2"/>
        <w:rPr>
          <w:sz w:val="24"/>
          <w:szCs w:val="24"/>
        </w:rPr>
      </w:pPr>
      <w:hyperlink w:anchor="_Toc170403086">
        <w:r w:rsidR="00D53E9A" w:rsidRPr="5C480BA0">
          <w:rPr>
            <w:rStyle w:val="Hyperlink"/>
          </w:rPr>
          <w:t>Account for both routine and program activities</w:t>
        </w:r>
        <w:r w:rsidR="00D53E9A">
          <w:tab/>
        </w:r>
        <w:r w:rsidR="00D53E9A">
          <w:fldChar w:fldCharType="begin"/>
        </w:r>
        <w:r w:rsidR="00D53E9A">
          <w:instrText xml:space="preserve"> PAGEREF _Toc170403086 \h </w:instrText>
        </w:r>
        <w:r w:rsidR="00D53E9A">
          <w:fldChar w:fldCharType="separate"/>
        </w:r>
        <w:r>
          <w:t>11</w:t>
        </w:r>
        <w:r w:rsidR="00D53E9A">
          <w:fldChar w:fldCharType="end"/>
        </w:r>
      </w:hyperlink>
    </w:p>
    <w:p w14:paraId="785825ED" w14:textId="34632930" w:rsidR="00D53E9A" w:rsidRDefault="009645ED" w:rsidP="5C480BA0">
      <w:pPr>
        <w:pStyle w:val="TOC2"/>
        <w:rPr>
          <w:sz w:val="24"/>
          <w:szCs w:val="24"/>
        </w:rPr>
      </w:pPr>
      <w:hyperlink w:anchor="_Toc170403087">
        <w:r w:rsidR="00D53E9A" w:rsidRPr="5C480BA0">
          <w:rPr>
            <w:rStyle w:val="Hyperlink"/>
          </w:rPr>
          <w:t>How to undertake evaluation in specific scenarios and different types of evaluation</w:t>
        </w:r>
        <w:r w:rsidR="00D53E9A">
          <w:tab/>
        </w:r>
        <w:r w:rsidR="00D53E9A">
          <w:fldChar w:fldCharType="begin"/>
        </w:r>
        <w:r w:rsidR="00D53E9A">
          <w:instrText xml:space="preserve"> PAGEREF _Toc170403087 \h </w:instrText>
        </w:r>
        <w:r w:rsidR="00D53E9A">
          <w:fldChar w:fldCharType="separate"/>
        </w:r>
        <w:r>
          <w:t>12</w:t>
        </w:r>
        <w:r w:rsidR="00D53E9A">
          <w:fldChar w:fldCharType="end"/>
        </w:r>
      </w:hyperlink>
    </w:p>
    <w:p w14:paraId="6DE4DF29" w14:textId="77777777" w:rsidR="00D53E9A" w:rsidRDefault="00D53E9A" w:rsidP="5C480BA0">
      <w:pPr>
        <w:keepLines w:val="0"/>
        <w:spacing w:before="0" w:after="160" w:line="259" w:lineRule="auto"/>
        <w:rPr>
          <w:rStyle w:val="Hyperlink"/>
          <w:noProof/>
          <w:sz w:val="24"/>
          <w:szCs w:val="24"/>
        </w:rPr>
      </w:pPr>
      <w:r w:rsidRPr="5C480BA0">
        <w:rPr>
          <w:rStyle w:val="Hyperlink"/>
        </w:rPr>
        <w:br w:type="page"/>
      </w:r>
    </w:p>
    <w:p w14:paraId="5A55AF20" w14:textId="5572CFE2" w:rsidR="00D53E9A" w:rsidRDefault="009645ED" w:rsidP="5C480BA0">
      <w:pPr>
        <w:pStyle w:val="TOC1"/>
        <w:rPr>
          <w:color w:val="auto"/>
        </w:rPr>
      </w:pPr>
      <w:hyperlink w:anchor="_Toc170403088">
        <w:r w:rsidR="00D53E9A" w:rsidRPr="5C480BA0">
          <w:rPr>
            <w:rStyle w:val="Hyperlink"/>
          </w:rPr>
          <w:t>Step 2. Undertaking the evaluation</w:t>
        </w:r>
        <w:r w:rsidR="00D53E9A">
          <w:tab/>
        </w:r>
        <w:r w:rsidR="00D53E9A">
          <w:fldChar w:fldCharType="begin"/>
        </w:r>
        <w:r w:rsidR="00D53E9A">
          <w:instrText xml:space="preserve"> PAGEREF _Toc170403088 \h </w:instrText>
        </w:r>
        <w:r w:rsidR="00D53E9A">
          <w:fldChar w:fldCharType="separate"/>
        </w:r>
        <w:r>
          <w:t>15</w:t>
        </w:r>
        <w:r w:rsidR="00D53E9A">
          <w:fldChar w:fldCharType="end"/>
        </w:r>
      </w:hyperlink>
    </w:p>
    <w:p w14:paraId="05F05662" w14:textId="3692A27B" w:rsidR="00D53E9A" w:rsidRDefault="009645ED" w:rsidP="5C480BA0">
      <w:pPr>
        <w:pStyle w:val="TOC2"/>
        <w:rPr>
          <w:sz w:val="24"/>
          <w:szCs w:val="24"/>
        </w:rPr>
      </w:pPr>
      <w:hyperlink w:anchor="_Toc170403089">
        <w:r w:rsidR="00D53E9A" w:rsidRPr="5C480BA0">
          <w:rPr>
            <w:rStyle w:val="Hyperlink"/>
          </w:rPr>
          <w:t>Decide who will conduct the evaluation and when it will be done</w:t>
        </w:r>
        <w:r w:rsidR="00D53E9A">
          <w:tab/>
        </w:r>
        <w:r w:rsidR="00D53E9A">
          <w:fldChar w:fldCharType="begin"/>
        </w:r>
        <w:r w:rsidR="00D53E9A">
          <w:instrText xml:space="preserve"> PAGEREF _Toc170403089 \h </w:instrText>
        </w:r>
        <w:r w:rsidR="00D53E9A">
          <w:fldChar w:fldCharType="separate"/>
        </w:r>
        <w:r>
          <w:t>15</w:t>
        </w:r>
        <w:r w:rsidR="00D53E9A">
          <w:fldChar w:fldCharType="end"/>
        </w:r>
      </w:hyperlink>
    </w:p>
    <w:p w14:paraId="0AEAB19B" w14:textId="116DD16D" w:rsidR="00D53E9A" w:rsidRDefault="009645ED" w:rsidP="5C480BA0">
      <w:pPr>
        <w:pStyle w:val="TOC2"/>
        <w:rPr>
          <w:sz w:val="24"/>
          <w:szCs w:val="24"/>
        </w:rPr>
      </w:pPr>
      <w:hyperlink w:anchor="_Toc170403090">
        <w:r w:rsidR="00D53E9A" w:rsidRPr="5C480BA0">
          <w:rPr>
            <w:rStyle w:val="Hyperlink"/>
          </w:rPr>
          <w:t>Undertake proportionate analysis</w:t>
        </w:r>
        <w:r w:rsidR="00D53E9A">
          <w:tab/>
        </w:r>
        <w:r w:rsidR="00D53E9A">
          <w:fldChar w:fldCharType="begin"/>
        </w:r>
        <w:r w:rsidR="00D53E9A">
          <w:instrText xml:space="preserve"> PAGEREF _Toc170403090 \h </w:instrText>
        </w:r>
        <w:r w:rsidR="00D53E9A">
          <w:fldChar w:fldCharType="separate"/>
        </w:r>
        <w:r>
          <w:t>16</w:t>
        </w:r>
        <w:r w:rsidR="00D53E9A">
          <w:fldChar w:fldCharType="end"/>
        </w:r>
      </w:hyperlink>
    </w:p>
    <w:p w14:paraId="553FDB7B" w14:textId="766F3D73" w:rsidR="00D53E9A" w:rsidRDefault="009645ED" w:rsidP="5C480BA0">
      <w:pPr>
        <w:pStyle w:val="TOC2"/>
        <w:rPr>
          <w:sz w:val="24"/>
          <w:szCs w:val="24"/>
        </w:rPr>
      </w:pPr>
      <w:hyperlink w:anchor="_Toc170403091">
        <w:r w:rsidR="00D53E9A" w:rsidRPr="5C480BA0">
          <w:rPr>
            <w:rStyle w:val="Hyperlink"/>
          </w:rPr>
          <w:t>Ensure your evaluation is adequately resourced</w:t>
        </w:r>
        <w:r w:rsidR="00D53E9A">
          <w:tab/>
        </w:r>
        <w:r w:rsidR="00D53E9A">
          <w:fldChar w:fldCharType="begin"/>
        </w:r>
        <w:r w:rsidR="00D53E9A">
          <w:instrText xml:space="preserve"> PAGEREF _Toc170403091 \h </w:instrText>
        </w:r>
        <w:r w:rsidR="00D53E9A">
          <w:fldChar w:fldCharType="separate"/>
        </w:r>
        <w:r>
          <w:t>16</w:t>
        </w:r>
        <w:r w:rsidR="00D53E9A">
          <w:fldChar w:fldCharType="end"/>
        </w:r>
      </w:hyperlink>
    </w:p>
    <w:p w14:paraId="2D971C29" w14:textId="10DFD37D" w:rsidR="00D53E9A" w:rsidRDefault="009645ED" w:rsidP="5C480BA0">
      <w:pPr>
        <w:pStyle w:val="TOC2"/>
        <w:rPr>
          <w:sz w:val="24"/>
          <w:szCs w:val="24"/>
        </w:rPr>
      </w:pPr>
      <w:hyperlink w:anchor="_Toc170403092">
        <w:r w:rsidR="00D53E9A" w:rsidRPr="5C480BA0">
          <w:rPr>
            <w:rStyle w:val="Hyperlink"/>
          </w:rPr>
          <w:t>Recognise technical topics that may require expert support</w:t>
        </w:r>
        <w:r w:rsidR="00D53E9A">
          <w:tab/>
        </w:r>
        <w:r w:rsidR="00D53E9A">
          <w:fldChar w:fldCharType="begin"/>
        </w:r>
        <w:r w:rsidR="00D53E9A">
          <w:instrText xml:space="preserve"> PAGEREF _Toc170403092 \h </w:instrText>
        </w:r>
        <w:r w:rsidR="00D53E9A">
          <w:fldChar w:fldCharType="separate"/>
        </w:r>
        <w:r>
          <w:t>16</w:t>
        </w:r>
        <w:r w:rsidR="00D53E9A">
          <w:fldChar w:fldCharType="end"/>
        </w:r>
      </w:hyperlink>
    </w:p>
    <w:p w14:paraId="4A21CB41" w14:textId="0AFB9C71" w:rsidR="00D53E9A" w:rsidRDefault="009645ED" w:rsidP="5C480BA0">
      <w:pPr>
        <w:pStyle w:val="TOC2"/>
        <w:rPr>
          <w:sz w:val="24"/>
          <w:szCs w:val="24"/>
        </w:rPr>
      </w:pPr>
      <w:hyperlink w:anchor="_Toc170403093">
        <w:r w:rsidR="00D53E9A" w:rsidRPr="5C480BA0">
          <w:rPr>
            <w:rStyle w:val="Hyperlink"/>
          </w:rPr>
          <w:t>Remember that evaluation can involve continuous measurement</w:t>
        </w:r>
        <w:r w:rsidR="00D53E9A">
          <w:tab/>
        </w:r>
        <w:r w:rsidR="00D53E9A">
          <w:fldChar w:fldCharType="begin"/>
        </w:r>
        <w:r w:rsidR="00D53E9A">
          <w:instrText xml:space="preserve"> PAGEREF _Toc170403093 \h </w:instrText>
        </w:r>
        <w:r w:rsidR="00D53E9A">
          <w:fldChar w:fldCharType="separate"/>
        </w:r>
        <w:r>
          <w:t>16</w:t>
        </w:r>
        <w:r w:rsidR="00D53E9A">
          <w:fldChar w:fldCharType="end"/>
        </w:r>
      </w:hyperlink>
    </w:p>
    <w:p w14:paraId="678281FD" w14:textId="22EF0898" w:rsidR="00D53E9A" w:rsidRDefault="009645ED" w:rsidP="5C480BA0">
      <w:pPr>
        <w:pStyle w:val="TOC2"/>
        <w:rPr>
          <w:sz w:val="24"/>
          <w:szCs w:val="24"/>
        </w:rPr>
      </w:pPr>
      <w:hyperlink w:anchor="_Toc170403094">
        <w:r w:rsidR="00D53E9A" w:rsidRPr="5C480BA0">
          <w:rPr>
            <w:rStyle w:val="Hyperlink"/>
          </w:rPr>
          <w:t>Account for the influence of evaluation on delivery of regulations</w:t>
        </w:r>
        <w:r w:rsidR="00D53E9A">
          <w:tab/>
        </w:r>
        <w:r w:rsidR="00D53E9A">
          <w:fldChar w:fldCharType="begin"/>
        </w:r>
        <w:r w:rsidR="00D53E9A">
          <w:instrText xml:space="preserve"> PAGEREF _Toc170403094 \h </w:instrText>
        </w:r>
        <w:r w:rsidR="00D53E9A">
          <w:fldChar w:fldCharType="separate"/>
        </w:r>
        <w:r>
          <w:t>16</w:t>
        </w:r>
        <w:r w:rsidR="00D53E9A">
          <w:fldChar w:fldCharType="end"/>
        </w:r>
      </w:hyperlink>
    </w:p>
    <w:p w14:paraId="58AF4C61" w14:textId="1B658533" w:rsidR="00D53E9A" w:rsidRDefault="009645ED" w:rsidP="5C480BA0">
      <w:pPr>
        <w:pStyle w:val="TOC2"/>
        <w:rPr>
          <w:sz w:val="24"/>
          <w:szCs w:val="24"/>
        </w:rPr>
      </w:pPr>
      <w:hyperlink w:anchor="_Toc170403095">
        <w:r w:rsidR="00D53E9A" w:rsidRPr="5C480BA0">
          <w:rPr>
            <w:rStyle w:val="Hyperlink"/>
          </w:rPr>
          <w:t>Monitor and be accountable for changes in evaluation approach</w:t>
        </w:r>
        <w:r w:rsidR="00D53E9A">
          <w:tab/>
        </w:r>
        <w:r w:rsidR="00D53E9A">
          <w:fldChar w:fldCharType="begin"/>
        </w:r>
        <w:r w:rsidR="00D53E9A">
          <w:instrText xml:space="preserve"> PAGEREF _Toc170403095 \h </w:instrText>
        </w:r>
        <w:r w:rsidR="00D53E9A">
          <w:fldChar w:fldCharType="separate"/>
        </w:r>
        <w:r>
          <w:t>17</w:t>
        </w:r>
        <w:r w:rsidR="00D53E9A">
          <w:fldChar w:fldCharType="end"/>
        </w:r>
      </w:hyperlink>
    </w:p>
    <w:p w14:paraId="4A2EB6AF" w14:textId="27EB9717" w:rsidR="00D53E9A" w:rsidRDefault="009645ED" w:rsidP="5C480BA0">
      <w:pPr>
        <w:pStyle w:val="TOC2"/>
        <w:rPr>
          <w:sz w:val="24"/>
          <w:szCs w:val="24"/>
        </w:rPr>
      </w:pPr>
      <w:hyperlink w:anchor="_Toc170403096">
        <w:r w:rsidR="00D53E9A" w:rsidRPr="5C480BA0">
          <w:rPr>
            <w:rStyle w:val="Hyperlink"/>
          </w:rPr>
          <w:t>Monitor frequently enough to track data quality issues</w:t>
        </w:r>
        <w:r w:rsidR="00D53E9A">
          <w:tab/>
        </w:r>
        <w:r w:rsidR="00D53E9A">
          <w:fldChar w:fldCharType="begin"/>
        </w:r>
        <w:r w:rsidR="00D53E9A">
          <w:instrText xml:space="preserve"> PAGEREF _Toc170403096 \h </w:instrText>
        </w:r>
        <w:r w:rsidR="00D53E9A">
          <w:fldChar w:fldCharType="separate"/>
        </w:r>
        <w:r>
          <w:t>17</w:t>
        </w:r>
        <w:r w:rsidR="00D53E9A">
          <w:fldChar w:fldCharType="end"/>
        </w:r>
      </w:hyperlink>
    </w:p>
    <w:p w14:paraId="3F90AB2A" w14:textId="4541B9F2" w:rsidR="00D53E9A" w:rsidRDefault="009645ED" w:rsidP="5C480BA0">
      <w:pPr>
        <w:pStyle w:val="TOC1"/>
        <w:rPr>
          <w:color w:val="auto"/>
        </w:rPr>
      </w:pPr>
      <w:hyperlink w:anchor="_Toc170403097">
        <w:r w:rsidR="00D53E9A" w:rsidRPr="5C480BA0">
          <w:rPr>
            <w:rStyle w:val="Hyperlink"/>
          </w:rPr>
          <w:t>Step 3. Writing the evaluation report</w:t>
        </w:r>
        <w:r w:rsidR="00D53E9A">
          <w:tab/>
        </w:r>
        <w:r w:rsidR="00D53E9A">
          <w:fldChar w:fldCharType="begin"/>
        </w:r>
        <w:r w:rsidR="00D53E9A">
          <w:instrText xml:space="preserve"> PAGEREF _Toc170403097 \h </w:instrText>
        </w:r>
        <w:r w:rsidR="00D53E9A">
          <w:fldChar w:fldCharType="separate"/>
        </w:r>
        <w:r>
          <w:t>17</w:t>
        </w:r>
        <w:r w:rsidR="00D53E9A">
          <w:fldChar w:fldCharType="end"/>
        </w:r>
      </w:hyperlink>
    </w:p>
    <w:p w14:paraId="0D2D2EDC" w14:textId="35DA2CA1" w:rsidR="00D53E9A" w:rsidRDefault="009645ED" w:rsidP="5C480BA0">
      <w:pPr>
        <w:pStyle w:val="TOC2"/>
        <w:rPr>
          <w:sz w:val="24"/>
          <w:szCs w:val="24"/>
        </w:rPr>
      </w:pPr>
      <w:hyperlink w:anchor="_Toc170403098">
        <w:r w:rsidR="00D53E9A" w:rsidRPr="5C480BA0">
          <w:rPr>
            <w:rStyle w:val="Hyperlink"/>
          </w:rPr>
          <w:t>Supporting strategy with a program logic model</w:t>
        </w:r>
        <w:r w:rsidR="00D53E9A">
          <w:tab/>
        </w:r>
        <w:r w:rsidR="00D53E9A">
          <w:fldChar w:fldCharType="begin"/>
        </w:r>
        <w:r w:rsidR="00D53E9A">
          <w:instrText xml:space="preserve"> PAGEREF _Toc170403098 \h </w:instrText>
        </w:r>
        <w:r w:rsidR="00D53E9A">
          <w:fldChar w:fldCharType="separate"/>
        </w:r>
        <w:r>
          <w:t>18</w:t>
        </w:r>
        <w:r w:rsidR="00D53E9A">
          <w:fldChar w:fldCharType="end"/>
        </w:r>
      </w:hyperlink>
    </w:p>
    <w:p w14:paraId="6D404B08" w14:textId="20256BF4" w:rsidR="00D53E9A" w:rsidRDefault="009645ED" w:rsidP="5C480BA0">
      <w:pPr>
        <w:pStyle w:val="TOC2"/>
        <w:rPr>
          <w:sz w:val="24"/>
          <w:szCs w:val="24"/>
        </w:rPr>
      </w:pPr>
      <w:hyperlink w:anchor="_Toc170403099">
        <w:r w:rsidR="00D53E9A" w:rsidRPr="5C480BA0">
          <w:rPr>
            <w:rStyle w:val="Hyperlink"/>
          </w:rPr>
          <w:t>Take a proportionate approach that recognises complexity</w:t>
        </w:r>
        <w:r w:rsidR="00D53E9A">
          <w:tab/>
        </w:r>
        <w:r w:rsidR="00D53E9A">
          <w:fldChar w:fldCharType="begin"/>
        </w:r>
        <w:r w:rsidR="00D53E9A">
          <w:instrText xml:space="preserve"> PAGEREF _Toc170403099 \h </w:instrText>
        </w:r>
        <w:r w:rsidR="00D53E9A">
          <w:fldChar w:fldCharType="separate"/>
        </w:r>
        <w:r>
          <w:t>18</w:t>
        </w:r>
        <w:r w:rsidR="00D53E9A">
          <w:fldChar w:fldCharType="end"/>
        </w:r>
      </w:hyperlink>
    </w:p>
    <w:p w14:paraId="0A7F9116" w14:textId="007A300A" w:rsidR="00D53E9A" w:rsidRDefault="009645ED" w:rsidP="5C480BA0">
      <w:pPr>
        <w:pStyle w:val="TOC2"/>
        <w:rPr>
          <w:sz w:val="24"/>
          <w:szCs w:val="24"/>
        </w:rPr>
      </w:pPr>
      <w:hyperlink w:anchor="_Toc170403100">
        <w:r w:rsidR="00D53E9A" w:rsidRPr="5C480BA0">
          <w:rPr>
            <w:rStyle w:val="Hyperlink"/>
          </w:rPr>
          <w:t>Account for the different dimensions of the regulation</w:t>
        </w:r>
        <w:r w:rsidR="00D53E9A">
          <w:tab/>
        </w:r>
        <w:r w:rsidR="00D53E9A">
          <w:fldChar w:fldCharType="begin"/>
        </w:r>
        <w:r w:rsidR="00D53E9A">
          <w:instrText xml:space="preserve"> PAGEREF _Toc170403100 \h </w:instrText>
        </w:r>
        <w:r w:rsidR="00D53E9A">
          <w:fldChar w:fldCharType="separate"/>
        </w:r>
        <w:r>
          <w:t>18</w:t>
        </w:r>
        <w:r w:rsidR="00D53E9A">
          <w:fldChar w:fldCharType="end"/>
        </w:r>
      </w:hyperlink>
    </w:p>
    <w:p w14:paraId="24EAD184" w14:textId="6CEF6017" w:rsidR="00D53E9A" w:rsidRDefault="009645ED" w:rsidP="5C480BA0">
      <w:pPr>
        <w:pStyle w:val="TOC2"/>
        <w:rPr>
          <w:sz w:val="24"/>
          <w:szCs w:val="24"/>
        </w:rPr>
      </w:pPr>
      <w:hyperlink w:anchor="_Toc170403101">
        <w:r w:rsidR="00D53E9A" w:rsidRPr="5C480BA0">
          <w:rPr>
            <w:rStyle w:val="Hyperlink"/>
          </w:rPr>
          <w:t>Account for what motivates compliance, including external influences</w:t>
        </w:r>
        <w:r w:rsidR="00D53E9A">
          <w:tab/>
        </w:r>
        <w:r w:rsidR="00D53E9A">
          <w:fldChar w:fldCharType="begin"/>
        </w:r>
        <w:r w:rsidR="00D53E9A">
          <w:instrText xml:space="preserve"> PAGEREF _Toc170403101 \h </w:instrText>
        </w:r>
        <w:r w:rsidR="00D53E9A">
          <w:fldChar w:fldCharType="separate"/>
        </w:r>
        <w:r>
          <w:t>19</w:t>
        </w:r>
        <w:r w:rsidR="00D53E9A">
          <w:fldChar w:fldCharType="end"/>
        </w:r>
      </w:hyperlink>
    </w:p>
    <w:p w14:paraId="284D16BB" w14:textId="3E64DD1D" w:rsidR="00D53E9A" w:rsidRDefault="009645ED" w:rsidP="5C480BA0">
      <w:pPr>
        <w:pStyle w:val="TOC2"/>
        <w:rPr>
          <w:sz w:val="24"/>
          <w:szCs w:val="24"/>
        </w:rPr>
      </w:pPr>
      <w:hyperlink w:anchor="_Toc170403102">
        <w:r w:rsidR="00D53E9A" w:rsidRPr="5C480BA0">
          <w:rPr>
            <w:rStyle w:val="Hyperlink"/>
          </w:rPr>
          <w:t>Explain connections between regulator actions and compliance drivers</w:t>
        </w:r>
        <w:r w:rsidR="00D53E9A">
          <w:tab/>
        </w:r>
        <w:r w:rsidR="00D53E9A">
          <w:fldChar w:fldCharType="begin"/>
        </w:r>
        <w:r w:rsidR="00D53E9A">
          <w:instrText xml:space="preserve"> PAGEREF _Toc170403102 \h </w:instrText>
        </w:r>
        <w:r w:rsidR="00D53E9A">
          <w:fldChar w:fldCharType="separate"/>
        </w:r>
        <w:r>
          <w:t>19</w:t>
        </w:r>
        <w:r w:rsidR="00D53E9A">
          <w:fldChar w:fldCharType="end"/>
        </w:r>
      </w:hyperlink>
    </w:p>
    <w:p w14:paraId="21041185" w14:textId="551E03AD" w:rsidR="00D53E9A" w:rsidRDefault="009645ED" w:rsidP="5C480BA0">
      <w:pPr>
        <w:pStyle w:val="TOC2"/>
        <w:rPr>
          <w:sz w:val="24"/>
          <w:szCs w:val="24"/>
        </w:rPr>
      </w:pPr>
      <w:hyperlink w:anchor="_Toc170403103">
        <w:r w:rsidR="00D53E9A" w:rsidRPr="5C480BA0">
          <w:rPr>
            <w:rStyle w:val="Hyperlink"/>
          </w:rPr>
          <w:t>Use a program logic to explain relationships between indicators</w:t>
        </w:r>
        <w:r w:rsidR="00D53E9A">
          <w:tab/>
        </w:r>
        <w:r w:rsidR="00D53E9A">
          <w:fldChar w:fldCharType="begin"/>
        </w:r>
        <w:r w:rsidR="00D53E9A">
          <w:instrText xml:space="preserve"> PAGEREF _Toc170403103 \h </w:instrText>
        </w:r>
        <w:r w:rsidR="00D53E9A">
          <w:fldChar w:fldCharType="separate"/>
        </w:r>
        <w:r>
          <w:t>20</w:t>
        </w:r>
        <w:r w:rsidR="00D53E9A">
          <w:fldChar w:fldCharType="end"/>
        </w:r>
      </w:hyperlink>
    </w:p>
    <w:p w14:paraId="0D1791EA" w14:textId="73F55445" w:rsidR="00D53E9A" w:rsidRDefault="009645ED" w:rsidP="5C480BA0">
      <w:pPr>
        <w:pStyle w:val="TOC2"/>
        <w:rPr>
          <w:sz w:val="24"/>
          <w:szCs w:val="24"/>
        </w:rPr>
      </w:pPr>
      <w:hyperlink w:anchor="_Toc170403104">
        <w:r w:rsidR="00D53E9A" w:rsidRPr="5C480BA0">
          <w:rPr>
            <w:rStyle w:val="Hyperlink"/>
          </w:rPr>
          <w:t>Test cause and effect of activities and outcomes</w:t>
        </w:r>
        <w:r w:rsidR="00D53E9A">
          <w:tab/>
        </w:r>
        <w:r w:rsidR="00D53E9A">
          <w:fldChar w:fldCharType="begin"/>
        </w:r>
        <w:r w:rsidR="00D53E9A">
          <w:instrText xml:space="preserve"> PAGEREF _Toc170403104 \h </w:instrText>
        </w:r>
        <w:r w:rsidR="00D53E9A">
          <w:fldChar w:fldCharType="separate"/>
        </w:r>
        <w:r>
          <w:t>20</w:t>
        </w:r>
        <w:r w:rsidR="00D53E9A">
          <w:fldChar w:fldCharType="end"/>
        </w:r>
      </w:hyperlink>
    </w:p>
    <w:p w14:paraId="11EA4264" w14:textId="3E8C49EB" w:rsidR="00D53E9A" w:rsidRDefault="009645ED" w:rsidP="5C480BA0">
      <w:pPr>
        <w:pStyle w:val="TOC2"/>
        <w:rPr>
          <w:sz w:val="24"/>
          <w:szCs w:val="24"/>
        </w:rPr>
      </w:pPr>
      <w:hyperlink w:anchor="_Toc170403105">
        <w:r w:rsidR="00D53E9A" w:rsidRPr="5C480BA0">
          <w:rPr>
            <w:rStyle w:val="Hyperlink"/>
          </w:rPr>
          <w:t>Define a suite of indicators rather than narrow targets</w:t>
        </w:r>
        <w:r w:rsidR="00D53E9A">
          <w:tab/>
        </w:r>
        <w:r w:rsidR="00D53E9A">
          <w:fldChar w:fldCharType="begin"/>
        </w:r>
        <w:r w:rsidR="00D53E9A">
          <w:instrText xml:space="preserve"> PAGEREF _Toc170403105 \h </w:instrText>
        </w:r>
        <w:r w:rsidR="00D53E9A">
          <w:fldChar w:fldCharType="separate"/>
        </w:r>
        <w:r>
          <w:t>20</w:t>
        </w:r>
        <w:r w:rsidR="00D53E9A">
          <w:fldChar w:fldCharType="end"/>
        </w:r>
      </w:hyperlink>
    </w:p>
    <w:p w14:paraId="03E4B8AB" w14:textId="444EF974" w:rsidR="00D53E9A" w:rsidRDefault="009645ED" w:rsidP="5C480BA0">
      <w:pPr>
        <w:pStyle w:val="TOC1"/>
        <w:rPr>
          <w:color w:val="auto"/>
        </w:rPr>
      </w:pPr>
      <w:hyperlink w:anchor="_Toc170403106">
        <w:r w:rsidR="00D53E9A" w:rsidRPr="5C480BA0">
          <w:rPr>
            <w:rStyle w:val="Hyperlink"/>
          </w:rPr>
          <w:t>Appendix A: Using program logic models for regulator actions</w:t>
        </w:r>
        <w:r w:rsidR="00D53E9A">
          <w:tab/>
        </w:r>
        <w:r w:rsidR="00D53E9A">
          <w:fldChar w:fldCharType="begin"/>
        </w:r>
        <w:r w:rsidR="00D53E9A">
          <w:instrText xml:space="preserve"> PAGEREF _Toc170403106 \h </w:instrText>
        </w:r>
        <w:r w:rsidR="00D53E9A">
          <w:fldChar w:fldCharType="separate"/>
        </w:r>
        <w:r>
          <w:t>21</w:t>
        </w:r>
        <w:r w:rsidR="00D53E9A">
          <w:fldChar w:fldCharType="end"/>
        </w:r>
      </w:hyperlink>
    </w:p>
    <w:p w14:paraId="45A33A9F" w14:textId="25DDE05A" w:rsidR="00D53E9A" w:rsidRDefault="009645ED" w:rsidP="5C480BA0">
      <w:pPr>
        <w:pStyle w:val="TOC1"/>
        <w:rPr>
          <w:color w:val="auto"/>
        </w:rPr>
      </w:pPr>
      <w:hyperlink w:anchor="_Toc170403107">
        <w:r w:rsidR="00D53E9A" w:rsidRPr="5C480BA0">
          <w:rPr>
            <w:rStyle w:val="Hyperlink"/>
          </w:rPr>
          <w:t>Appendix B: Social research of regulated entities</w:t>
        </w:r>
        <w:r w:rsidR="00D53E9A">
          <w:tab/>
        </w:r>
        <w:r w:rsidR="00D53E9A">
          <w:fldChar w:fldCharType="begin"/>
        </w:r>
        <w:r w:rsidR="00D53E9A">
          <w:instrText xml:space="preserve"> PAGEREF _Toc170403107 \h </w:instrText>
        </w:r>
        <w:r w:rsidR="00D53E9A">
          <w:fldChar w:fldCharType="separate"/>
        </w:r>
        <w:r>
          <w:t>23</w:t>
        </w:r>
        <w:r w:rsidR="00D53E9A">
          <w:fldChar w:fldCharType="end"/>
        </w:r>
      </w:hyperlink>
    </w:p>
    <w:p w14:paraId="2D4D9250" w14:textId="04F4A3FD" w:rsidR="00D53E9A" w:rsidRDefault="009645ED" w:rsidP="5C480BA0">
      <w:pPr>
        <w:pStyle w:val="TOC1"/>
        <w:rPr>
          <w:color w:val="auto"/>
        </w:rPr>
      </w:pPr>
      <w:hyperlink w:anchor="_Toc170403108">
        <w:r w:rsidR="00D53E9A" w:rsidRPr="5C480BA0">
          <w:rPr>
            <w:rStyle w:val="Hyperlink"/>
          </w:rPr>
          <w:t>Appendix C: Linkages to the VGR</w:t>
        </w:r>
        <w:r w:rsidR="00D53E9A">
          <w:tab/>
        </w:r>
        <w:r w:rsidR="00D53E9A">
          <w:fldChar w:fldCharType="begin"/>
        </w:r>
        <w:r w:rsidR="00D53E9A">
          <w:instrText xml:space="preserve"> PAGEREF _Toc170403108 \h </w:instrText>
        </w:r>
        <w:r w:rsidR="00D53E9A">
          <w:fldChar w:fldCharType="separate"/>
        </w:r>
        <w:r>
          <w:t>26</w:t>
        </w:r>
        <w:r w:rsidR="00D53E9A">
          <w:fldChar w:fldCharType="end"/>
        </w:r>
      </w:hyperlink>
    </w:p>
    <w:p w14:paraId="2D6FEBAF" w14:textId="1F90709C" w:rsidR="00D53E9A" w:rsidRDefault="009645ED" w:rsidP="5C480BA0">
      <w:pPr>
        <w:pStyle w:val="TOC1"/>
        <w:rPr>
          <w:color w:val="auto"/>
        </w:rPr>
      </w:pPr>
      <w:hyperlink w:anchor="_Toc170403109">
        <w:r w:rsidR="00D53E9A" w:rsidRPr="5C480BA0">
          <w:rPr>
            <w:rStyle w:val="Hyperlink"/>
          </w:rPr>
          <w:t>Glossary</w:t>
        </w:r>
        <w:r w:rsidR="00D53E9A">
          <w:tab/>
        </w:r>
        <w:r w:rsidR="00D53E9A">
          <w:fldChar w:fldCharType="begin"/>
        </w:r>
        <w:r w:rsidR="00D53E9A">
          <w:instrText xml:space="preserve"> PAGEREF _Toc170403109 \h </w:instrText>
        </w:r>
        <w:r w:rsidR="00D53E9A">
          <w:fldChar w:fldCharType="separate"/>
        </w:r>
        <w:r>
          <w:t>27</w:t>
        </w:r>
        <w:r w:rsidR="00D53E9A">
          <w:fldChar w:fldCharType="end"/>
        </w:r>
      </w:hyperlink>
    </w:p>
    <w:p w14:paraId="7C95EC8B" w14:textId="26C3E907" w:rsidR="1F8DBD54" w:rsidRDefault="20F44149" w:rsidP="005B4155">
      <w:r>
        <w:fldChar w:fldCharType="end"/>
      </w:r>
      <w:bookmarkStart w:id="8" w:name="_Toc153874697"/>
      <w:bookmarkStart w:id="9" w:name="_Toc153874901"/>
      <w:bookmarkStart w:id="10" w:name="_Toc156494175"/>
    </w:p>
    <w:p w14:paraId="4FD9D719" w14:textId="77777777" w:rsidR="005B4155" w:rsidRDefault="005B4155" w:rsidP="005B4155"/>
    <w:p w14:paraId="1D1CBFC9" w14:textId="77777777" w:rsidR="00510650" w:rsidRPr="00A35FBA" w:rsidRDefault="00510650" w:rsidP="00510650">
      <w:pPr>
        <w:sectPr w:rsidR="00510650" w:rsidRPr="00A35FBA" w:rsidSect="00510650">
          <w:headerReference w:type="even" r:id="rId13"/>
          <w:footerReference w:type="even" r:id="rId14"/>
          <w:footerReference w:type="default" r:id="rId15"/>
          <w:pgSz w:w="11906" w:h="16838" w:code="9"/>
          <w:pgMar w:top="1440" w:right="1440" w:bottom="1728" w:left="1440" w:header="562" w:footer="461" w:gutter="0"/>
          <w:pgNumType w:fmt="lowerRoman" w:start="1"/>
          <w:cols w:space="708"/>
          <w:docGrid w:linePitch="360"/>
        </w:sectPr>
      </w:pPr>
      <w:bookmarkStart w:id="11" w:name="_Toc153874903"/>
      <w:bookmarkStart w:id="12" w:name="_Toc2146981438"/>
      <w:bookmarkEnd w:id="8"/>
      <w:bookmarkEnd w:id="9"/>
      <w:bookmarkEnd w:id="10"/>
    </w:p>
    <w:p w14:paraId="582C7E0C" w14:textId="4D1F2A07" w:rsidR="008C2886" w:rsidRDefault="00EB2EAF" w:rsidP="00056FCC">
      <w:pPr>
        <w:pStyle w:val="Heading1"/>
      </w:pPr>
      <w:bookmarkStart w:id="13" w:name="_Toc170403071"/>
      <w:r>
        <w:lastRenderedPageBreak/>
        <w:t>Using this toolkit</w:t>
      </w:r>
      <w:bookmarkEnd w:id="11"/>
      <w:bookmarkEnd w:id="12"/>
      <w:r w:rsidR="00197F1D">
        <w:t xml:space="preserve"> to support </w:t>
      </w:r>
      <w:r w:rsidR="003609E3">
        <w:t xml:space="preserve">design </w:t>
      </w:r>
      <w:r w:rsidR="00197F1D">
        <w:t xml:space="preserve">and </w:t>
      </w:r>
      <w:proofErr w:type="gramStart"/>
      <w:r w:rsidR="00975F37">
        <w:t>delivery</w:t>
      </w:r>
      <w:bookmarkEnd w:id="13"/>
      <w:proofErr w:type="gramEnd"/>
    </w:p>
    <w:p w14:paraId="484B3E6B" w14:textId="142B76A1" w:rsidR="00647369" w:rsidRPr="006F19FC" w:rsidRDefault="00647369" w:rsidP="00056FCC">
      <w:r w:rsidRPr="00763355">
        <w:t>Good policy development requires both early and ongoing planning</w:t>
      </w:r>
      <w:r w:rsidR="00CD2266">
        <w:t>. This i</w:t>
      </w:r>
      <w:r w:rsidRPr="00763355">
        <w:t>nclud</w:t>
      </w:r>
      <w:r w:rsidR="00CD2266">
        <w:t>es</w:t>
      </w:r>
      <w:r w:rsidRPr="00763355">
        <w:t xml:space="preserve"> the </w:t>
      </w:r>
      <w:r w:rsidRPr="006F19FC">
        <w:t>evaluation of current regulations</w:t>
      </w:r>
      <w:r w:rsidR="007F16F7" w:rsidRPr="006F19FC">
        <w:t>,</w:t>
      </w:r>
      <w:r w:rsidRPr="006F19FC">
        <w:t xml:space="preserve"> the analysis of new issues and options</w:t>
      </w:r>
      <w:r w:rsidR="007F16F7" w:rsidRPr="006F19FC">
        <w:t xml:space="preserve"> and </w:t>
      </w:r>
      <w:r w:rsidR="008C4A07">
        <w:t xml:space="preserve">the improvement of </w:t>
      </w:r>
      <w:r w:rsidR="00E50427">
        <w:t>regulation</w:t>
      </w:r>
      <w:r w:rsidR="0028526A" w:rsidRPr="006F19FC">
        <w:t xml:space="preserve"> to </w:t>
      </w:r>
      <w:r w:rsidR="007F16F7" w:rsidRPr="006F19FC">
        <w:t>achieve outcomes</w:t>
      </w:r>
      <w:r w:rsidRPr="006F19FC">
        <w:t>.</w:t>
      </w:r>
    </w:p>
    <w:p w14:paraId="2BC1B993" w14:textId="26A05481" w:rsidR="00CC7D67" w:rsidRDefault="00CC7D67" w:rsidP="00672449">
      <w:r w:rsidRPr="7B9CAF03">
        <w:t xml:space="preserve">This toolkit is designed to help you </w:t>
      </w:r>
      <w:r w:rsidR="00964512">
        <w:t>plan an</w:t>
      </w:r>
      <w:r w:rsidR="00B07488">
        <w:t>d deliver an</w:t>
      </w:r>
      <w:r w:rsidR="00964512">
        <w:t xml:space="preserve"> evaluation</w:t>
      </w:r>
      <w:r w:rsidR="00D9336B">
        <w:t xml:space="preserve"> and </w:t>
      </w:r>
      <w:r w:rsidR="00CF01C8">
        <w:t xml:space="preserve">meet the evaluation requirements </w:t>
      </w:r>
      <w:r w:rsidR="003126D7" w:rsidRPr="7B9CAF03">
        <w:rPr>
          <w:rFonts w:eastAsia="VIC" w:cs="VIC"/>
        </w:rPr>
        <w:t>set out in the Victorian Guide to Regulation (VGR)</w:t>
      </w:r>
      <w:r w:rsidR="00811651">
        <w:rPr>
          <w:rFonts w:eastAsia="VIC" w:cs="VIC"/>
        </w:rPr>
        <w:t>.</w:t>
      </w:r>
    </w:p>
    <w:p w14:paraId="4C8969B1" w14:textId="50C0C0F1" w:rsidR="00190546" w:rsidRDefault="00D53A6A" w:rsidP="00056FCC">
      <w:r w:rsidRPr="20F44149">
        <w:t>Th</w:t>
      </w:r>
      <w:r w:rsidR="006B23E1">
        <w:t>e</w:t>
      </w:r>
      <w:r w:rsidRPr="20F44149">
        <w:t xml:space="preserve"> toolkit </w:t>
      </w:r>
      <w:r w:rsidR="005B78CA">
        <w:t xml:space="preserve">steps through </w:t>
      </w:r>
      <w:r w:rsidR="005F3B6E">
        <w:t xml:space="preserve">how to consider </w:t>
      </w:r>
      <w:r w:rsidR="00C427C7">
        <w:t xml:space="preserve">how </w:t>
      </w:r>
      <w:r w:rsidRPr="20F44149">
        <w:t xml:space="preserve">the actions of regulators and other parties </w:t>
      </w:r>
      <w:r w:rsidR="00C427C7">
        <w:t xml:space="preserve">can </w:t>
      </w:r>
      <w:r w:rsidR="005B5149">
        <w:t xml:space="preserve">lead to </w:t>
      </w:r>
      <w:r w:rsidRPr="20F44149">
        <w:t>behaviour change and driv</w:t>
      </w:r>
      <w:r w:rsidR="00B901D6">
        <w:t>e</w:t>
      </w:r>
      <w:r w:rsidRPr="20F44149">
        <w:t xml:space="preserve"> compliance with regulations, </w:t>
      </w:r>
      <w:proofErr w:type="gramStart"/>
      <w:r w:rsidRPr="20F44149">
        <w:t>in order to</w:t>
      </w:r>
      <w:proofErr w:type="gramEnd"/>
      <w:r w:rsidRPr="20F44149">
        <w:t xml:space="preserve"> achieve long-term objectives (outcomes).</w:t>
      </w:r>
    </w:p>
    <w:p w14:paraId="31816DD4" w14:textId="28E8838E" w:rsidR="00190546" w:rsidRDefault="00190546" w:rsidP="00056FCC">
      <w:r>
        <w:t xml:space="preserve">You can use this toolkit </w:t>
      </w:r>
      <w:r w:rsidR="0064172A">
        <w:t>for the following</w:t>
      </w:r>
      <w:r>
        <w:t>:</w:t>
      </w:r>
    </w:p>
    <w:p w14:paraId="091CA1E0" w14:textId="77777777" w:rsidR="005B79C9" w:rsidRPr="008544BD" w:rsidRDefault="005B79C9" w:rsidP="00F8626E">
      <w:pPr>
        <w:pStyle w:val="Heading4"/>
      </w:pPr>
      <w:r w:rsidRPr="008544BD">
        <w:t xml:space="preserve">Understand and meet VGR </w:t>
      </w:r>
      <w:proofErr w:type="gramStart"/>
      <w:r w:rsidRPr="008544BD">
        <w:t>requirements</w:t>
      </w:r>
      <w:proofErr w:type="gramEnd"/>
    </w:p>
    <w:p w14:paraId="1B2F8561" w14:textId="6FE51969" w:rsidR="005B79C9" w:rsidRPr="005B79C9" w:rsidRDefault="005B79C9" w:rsidP="00F8626E">
      <w:pPr>
        <w:pStyle w:val="Bullet1"/>
        <w:spacing w:before="0"/>
      </w:pPr>
      <w:r w:rsidRPr="008544BD">
        <w:rPr>
          <w:rFonts w:eastAsiaTheme="minorEastAsia"/>
        </w:rPr>
        <w:t>The VGR sets out evaluation requirements, including when mid-term evaluations are required. It provides guidance on developing your evaluation methodology and advises on how to focus an evaluation and ensure it is proportionate. These requirements are referred to in this toolkit.</w:t>
      </w:r>
    </w:p>
    <w:p w14:paraId="50443A51" w14:textId="18A76CE9" w:rsidR="00D11431" w:rsidRPr="008544BD" w:rsidRDefault="00190546" w:rsidP="00F8626E">
      <w:pPr>
        <w:pStyle w:val="Heading4"/>
      </w:pPr>
      <w:r w:rsidRPr="008544BD">
        <w:t xml:space="preserve">Support </w:t>
      </w:r>
      <w:r w:rsidR="00FB59EE" w:rsidRPr="008544BD">
        <w:t xml:space="preserve">evaluation design and </w:t>
      </w:r>
      <w:proofErr w:type="gramStart"/>
      <w:r w:rsidR="00FB59EE" w:rsidRPr="008544BD">
        <w:t>delivery</w:t>
      </w:r>
      <w:proofErr w:type="gramEnd"/>
    </w:p>
    <w:p w14:paraId="13741EB8" w14:textId="64E9022F" w:rsidR="00917BFC" w:rsidRPr="008544BD" w:rsidRDefault="006510D2" w:rsidP="00F8626E">
      <w:pPr>
        <w:pStyle w:val="Bullet1"/>
        <w:spacing w:before="0"/>
        <w:rPr>
          <w:rFonts w:eastAsiaTheme="minorEastAsia"/>
        </w:rPr>
      </w:pPr>
      <w:r>
        <w:rPr>
          <w:rFonts w:eastAsiaTheme="minorEastAsia"/>
        </w:rPr>
        <w:t>S</w:t>
      </w:r>
      <w:r w:rsidR="00917BFC" w:rsidRPr="008544BD">
        <w:rPr>
          <w:rFonts w:eastAsiaTheme="minorEastAsia"/>
        </w:rPr>
        <w:t>tructure the evaluation strategy in your Regulatory Impact Statement (RIS) or Legislative Impact Assessment (LIA)</w:t>
      </w:r>
      <w:r w:rsidR="0088199A">
        <w:rPr>
          <w:rFonts w:eastAsiaTheme="minorEastAsia"/>
        </w:rPr>
        <w:t>.</w:t>
      </w:r>
    </w:p>
    <w:p w14:paraId="68CB4040" w14:textId="66A958F3" w:rsidR="00917BFC" w:rsidRPr="008544BD" w:rsidRDefault="006510D2" w:rsidP="00056FCC">
      <w:pPr>
        <w:pStyle w:val="Bullet1"/>
        <w:rPr>
          <w:rFonts w:eastAsiaTheme="minorEastAsia"/>
        </w:rPr>
      </w:pPr>
      <w:r>
        <w:rPr>
          <w:rFonts w:eastAsiaTheme="minorEastAsia"/>
        </w:rPr>
        <w:t>R</w:t>
      </w:r>
      <w:r w:rsidR="00917BFC" w:rsidRPr="008544BD">
        <w:rPr>
          <w:rFonts w:eastAsiaTheme="minorEastAsia"/>
        </w:rPr>
        <w:t>eview and deliver your regulatory evaluation, including mid-term evaluations or evaluations at the sunsetting of regulations</w:t>
      </w:r>
      <w:r w:rsidR="0088199A">
        <w:rPr>
          <w:rFonts w:eastAsiaTheme="minorEastAsia"/>
        </w:rPr>
        <w:t>.</w:t>
      </w:r>
    </w:p>
    <w:p w14:paraId="1E442B49" w14:textId="079E3A5B" w:rsidR="00917BFC" w:rsidRPr="008544BD" w:rsidRDefault="006510D2" w:rsidP="00056FCC">
      <w:pPr>
        <w:pStyle w:val="Bullet1"/>
        <w:rPr>
          <w:rFonts w:eastAsiaTheme="minorEastAsia"/>
        </w:rPr>
      </w:pPr>
      <w:r>
        <w:rPr>
          <w:rFonts w:eastAsiaTheme="minorEastAsia"/>
        </w:rPr>
        <w:t>D</w:t>
      </w:r>
      <w:r w:rsidR="00917BFC" w:rsidRPr="008544BD">
        <w:rPr>
          <w:rFonts w:eastAsiaTheme="minorEastAsia"/>
        </w:rPr>
        <w:t>ocument your evaluation</w:t>
      </w:r>
      <w:r w:rsidR="0088199A">
        <w:rPr>
          <w:rFonts w:eastAsiaTheme="minorEastAsia"/>
        </w:rPr>
        <w:t>.</w:t>
      </w:r>
    </w:p>
    <w:p w14:paraId="3AA2EC8F" w14:textId="285A0A7C" w:rsidR="00190546" w:rsidRDefault="006510D2" w:rsidP="00056FCC">
      <w:pPr>
        <w:pStyle w:val="Bullet1"/>
        <w:rPr>
          <w:rFonts w:eastAsiaTheme="minorEastAsia"/>
        </w:rPr>
      </w:pPr>
      <w:r>
        <w:rPr>
          <w:rFonts w:eastAsiaTheme="minorEastAsia"/>
        </w:rPr>
        <w:t>S</w:t>
      </w:r>
      <w:r w:rsidR="00917BFC" w:rsidRPr="008544BD">
        <w:rPr>
          <w:rFonts w:eastAsiaTheme="minorEastAsia"/>
        </w:rPr>
        <w:t>upport you with any other evaluation of regulatory settings that you undertake.</w:t>
      </w:r>
    </w:p>
    <w:p w14:paraId="028A8AF9" w14:textId="6A09D2B3" w:rsidR="00672EE1" w:rsidRDefault="00672EE1" w:rsidP="00F8626E">
      <w:pPr>
        <w:pStyle w:val="Heading4"/>
      </w:pPr>
      <w:r w:rsidRPr="00672EE1">
        <w:t xml:space="preserve">Account for previous </w:t>
      </w:r>
      <w:proofErr w:type="gramStart"/>
      <w:r w:rsidRPr="00672EE1">
        <w:t>commitments</w:t>
      </w:r>
      <w:proofErr w:type="gramEnd"/>
    </w:p>
    <w:p w14:paraId="38317A40" w14:textId="4CCD2B2C" w:rsidR="00EF632B" w:rsidRPr="005C7FB8" w:rsidRDefault="009A6D7E" w:rsidP="007A263F">
      <w:pPr>
        <w:pStyle w:val="Bullet1"/>
        <w:spacing w:before="0"/>
        <w:ind w:right="-154"/>
        <w:rPr>
          <w:rFonts w:eastAsiaTheme="minorEastAsia"/>
        </w:rPr>
      </w:pPr>
      <w:r>
        <w:rPr>
          <w:rFonts w:eastAsiaTheme="minorEastAsia"/>
        </w:rPr>
        <w:t>R</w:t>
      </w:r>
      <w:r w:rsidRPr="009A6D7E">
        <w:rPr>
          <w:rFonts w:eastAsiaTheme="minorEastAsia"/>
        </w:rPr>
        <w:t>eview or improve an existing evaluation, account for commitments made under the relevant RIS or LIA, or other existing program or regulator performance measurements. For example, a RIS may have committed policymakers to gather data to fill knowledge gaps. This will provide a starting point for delivering or enhancing a regulatory evaluation</w:t>
      </w:r>
      <w:r w:rsidR="00D67E2A">
        <w:rPr>
          <w:rFonts w:eastAsiaTheme="minorEastAsia"/>
        </w:rPr>
        <w:t>.</w:t>
      </w:r>
    </w:p>
    <w:p w14:paraId="1AD58E9E" w14:textId="15E515BD" w:rsidR="00EF632B" w:rsidRDefault="00EF632B" w:rsidP="00F8626E">
      <w:pPr>
        <w:pStyle w:val="Heading4"/>
      </w:pPr>
      <w:r>
        <w:t xml:space="preserve">Integrate with regulator performance </w:t>
      </w:r>
      <w:proofErr w:type="gramStart"/>
      <w:r>
        <w:t>measurement</w:t>
      </w:r>
      <w:proofErr w:type="gramEnd"/>
    </w:p>
    <w:p w14:paraId="27412DBA" w14:textId="547BE45B" w:rsidR="00672EE1" w:rsidRPr="005C7FB8" w:rsidRDefault="002D677A" w:rsidP="00F8626E">
      <w:pPr>
        <w:pStyle w:val="Bullet1"/>
        <w:spacing w:before="0"/>
        <w:rPr>
          <w:rFonts w:eastAsiaTheme="minorEastAsia"/>
        </w:rPr>
      </w:pPr>
      <w:r w:rsidRPr="002D677A">
        <w:rPr>
          <w:rFonts w:eastAsiaTheme="minorEastAsia"/>
        </w:rPr>
        <w:t xml:space="preserve">Regulatory evaluation often draws on, or influences, regulator activity or performance reporting. Commitments under an evaluation strategy may also support regulators to resource their performance reporting. These interactions are situation-specific and not accounted for in this toolkit. </w:t>
      </w:r>
      <w:r w:rsidR="00127327">
        <w:rPr>
          <w:rFonts w:eastAsiaTheme="minorEastAsia"/>
        </w:rPr>
        <w:t>R</w:t>
      </w:r>
      <w:r w:rsidRPr="002D677A">
        <w:rPr>
          <w:rFonts w:eastAsiaTheme="minorEastAsia"/>
        </w:rPr>
        <w:t xml:space="preserve">egulatory evaluations can inform but should not limit how a regulator generally measures its performance. </w:t>
      </w:r>
    </w:p>
    <w:p w14:paraId="5068EEB9" w14:textId="0F3DAD73" w:rsidR="001501EF" w:rsidRDefault="00255960" w:rsidP="00045FFD">
      <w:pPr>
        <w:spacing w:line="240" w:lineRule="auto"/>
        <w:rPr>
          <w:rFonts w:ascii="VIC" w:hAnsi="VIC"/>
        </w:rPr>
      </w:pPr>
      <w:r w:rsidRPr="00710D66">
        <w:rPr>
          <w:rFonts w:ascii="VIC" w:hAnsi="VIC"/>
        </w:rPr>
        <w:t xml:space="preserve">The advice in this toolkit is general in nature. Its focus is </w:t>
      </w:r>
      <w:r w:rsidR="002D0544">
        <w:rPr>
          <w:rFonts w:ascii="VIC" w:hAnsi="VIC"/>
        </w:rPr>
        <w:t xml:space="preserve">primarily </w:t>
      </w:r>
      <w:r w:rsidRPr="00710D66">
        <w:rPr>
          <w:rFonts w:ascii="VIC" w:hAnsi="VIC"/>
        </w:rPr>
        <w:t xml:space="preserve">on overall regulatory evaluation design, accounting for the impact of regulator activities. </w:t>
      </w:r>
      <w:r w:rsidR="004B0D02">
        <w:rPr>
          <w:rFonts w:ascii="VIC" w:hAnsi="VIC"/>
        </w:rPr>
        <w:t xml:space="preserve">It might also be useful for broader policy evaluation. </w:t>
      </w:r>
    </w:p>
    <w:p w14:paraId="0C808732" w14:textId="54AB7308" w:rsidR="00045FFD" w:rsidRPr="00710D66" w:rsidRDefault="00255960" w:rsidP="00045FFD">
      <w:pPr>
        <w:spacing w:line="240" w:lineRule="auto"/>
        <w:rPr>
          <w:rFonts w:ascii="VIC" w:hAnsi="VIC"/>
        </w:rPr>
      </w:pPr>
      <w:r w:rsidRPr="00710D66">
        <w:rPr>
          <w:rFonts w:ascii="VIC" w:hAnsi="VIC"/>
        </w:rPr>
        <w:t>In some cases, an evaluation will also need to draw on specialist expertise in evaluation design, or for specific subject matters (e.g. health, education, or environment).</w:t>
      </w:r>
    </w:p>
    <w:p w14:paraId="16765D50" w14:textId="4B013011" w:rsidR="002B2F32" w:rsidRPr="002B2F32" w:rsidRDefault="002B2F32" w:rsidP="00075CBC">
      <w:pPr>
        <w:pStyle w:val="Heading2"/>
      </w:pPr>
      <w:bookmarkStart w:id="14" w:name="_Toc170403072"/>
      <w:r w:rsidRPr="002B2F32">
        <w:lastRenderedPageBreak/>
        <w:t xml:space="preserve">The three steps to developing </w:t>
      </w:r>
      <w:r w:rsidR="004B49DD">
        <w:t xml:space="preserve">an </w:t>
      </w:r>
      <w:r w:rsidRPr="002B2F32">
        <w:t xml:space="preserve">evaluation </w:t>
      </w:r>
      <w:proofErr w:type="gramStart"/>
      <w:r w:rsidRPr="002B2F32">
        <w:t>strategy</w:t>
      </w:r>
      <w:bookmarkEnd w:id="14"/>
      <w:proofErr w:type="gramEnd"/>
    </w:p>
    <w:p w14:paraId="7ACF544A" w14:textId="167EC390" w:rsidR="00446BDA" w:rsidRDefault="009415D6" w:rsidP="00544151">
      <w:r>
        <w:t>After you have considered and scoped the evaluation strategy</w:t>
      </w:r>
      <w:r w:rsidR="0053253F">
        <w:t>, t</w:t>
      </w:r>
      <w:r w:rsidR="00446BDA" w:rsidRPr="000E52EE">
        <w:t>here are three steps for an evaluation</w:t>
      </w:r>
      <w:r w:rsidR="004A4D76">
        <w:t xml:space="preserve">. This toolkit is designed to </w:t>
      </w:r>
      <w:r w:rsidR="00446BDA">
        <w:t>support and guide you</w:t>
      </w:r>
      <w:r w:rsidR="004A4D76">
        <w:t xml:space="preserve"> </w:t>
      </w:r>
      <w:r w:rsidR="004A4D76" w:rsidRPr="00214E07">
        <w:t xml:space="preserve">through these steps. </w:t>
      </w:r>
    </w:p>
    <w:p w14:paraId="30ED6265" w14:textId="007ECC44" w:rsidR="00446BDA" w:rsidRPr="00446BDA" w:rsidRDefault="00446BDA" w:rsidP="00056FCC">
      <w:pPr>
        <w:pStyle w:val="Bullet1"/>
      </w:pPr>
      <w:r w:rsidRPr="006244CF">
        <w:rPr>
          <w:b/>
          <w:bCs/>
        </w:rPr>
        <w:t>Developing the evaluation strategy</w:t>
      </w:r>
      <w:r>
        <w:t xml:space="preserve">: </w:t>
      </w:r>
      <w:r w:rsidR="007D2A2C">
        <w:rPr>
          <w:rFonts w:eastAsia="VIC"/>
        </w:rPr>
        <w:t>T</w:t>
      </w:r>
      <w:r w:rsidR="00F2147A" w:rsidRPr="31FD5AD6">
        <w:rPr>
          <w:rFonts w:eastAsia="VIC"/>
        </w:rPr>
        <w:t>his is a requirement of both a R</w:t>
      </w:r>
      <w:r w:rsidR="006E150C">
        <w:rPr>
          <w:rFonts w:eastAsia="VIC"/>
        </w:rPr>
        <w:t xml:space="preserve">egulatory </w:t>
      </w:r>
      <w:r w:rsidR="00F2147A" w:rsidRPr="31FD5AD6">
        <w:rPr>
          <w:rFonts w:eastAsia="VIC"/>
        </w:rPr>
        <w:t>I</w:t>
      </w:r>
      <w:r w:rsidR="006E150C">
        <w:rPr>
          <w:rFonts w:eastAsia="VIC"/>
        </w:rPr>
        <w:t xml:space="preserve">mpact </w:t>
      </w:r>
      <w:r w:rsidR="00F2147A" w:rsidRPr="31FD5AD6">
        <w:rPr>
          <w:rFonts w:eastAsia="VIC"/>
        </w:rPr>
        <w:t>S</w:t>
      </w:r>
      <w:r w:rsidR="006E150C">
        <w:rPr>
          <w:rFonts w:eastAsia="VIC"/>
        </w:rPr>
        <w:t>tatement (RIS)</w:t>
      </w:r>
      <w:r w:rsidR="00F2147A" w:rsidRPr="31FD5AD6">
        <w:rPr>
          <w:rFonts w:eastAsia="VIC"/>
        </w:rPr>
        <w:t xml:space="preserve"> and </w:t>
      </w:r>
      <w:r w:rsidR="00A51C84">
        <w:rPr>
          <w:rFonts w:eastAsia="VIC"/>
        </w:rPr>
        <w:t xml:space="preserve">a </w:t>
      </w:r>
      <w:r w:rsidR="00F2147A" w:rsidRPr="31FD5AD6">
        <w:rPr>
          <w:rFonts w:eastAsia="VIC"/>
        </w:rPr>
        <w:t>L</w:t>
      </w:r>
      <w:r w:rsidR="006E150C">
        <w:rPr>
          <w:rFonts w:eastAsia="VIC"/>
        </w:rPr>
        <w:t>egislative Impact Assessment (L</w:t>
      </w:r>
      <w:r w:rsidR="00F2147A" w:rsidRPr="31FD5AD6">
        <w:rPr>
          <w:rFonts w:eastAsia="VIC"/>
        </w:rPr>
        <w:t>IA</w:t>
      </w:r>
      <w:r w:rsidR="006E150C">
        <w:rPr>
          <w:rFonts w:eastAsia="VIC"/>
        </w:rPr>
        <w:t>)</w:t>
      </w:r>
      <w:r w:rsidR="00F2147A" w:rsidRPr="31FD5AD6">
        <w:rPr>
          <w:rFonts w:eastAsia="VIC"/>
        </w:rPr>
        <w:t xml:space="preserve">. </w:t>
      </w:r>
      <w:r w:rsidR="000D0205">
        <w:rPr>
          <w:rFonts w:eastAsia="VIC"/>
        </w:rPr>
        <w:t>An e</w:t>
      </w:r>
      <w:r w:rsidR="000D0205" w:rsidRPr="31FD5AD6">
        <w:rPr>
          <w:rFonts w:eastAsia="VIC"/>
        </w:rPr>
        <w:t xml:space="preserve">valuation </w:t>
      </w:r>
      <w:r w:rsidR="00F2147A" w:rsidRPr="31FD5AD6">
        <w:rPr>
          <w:rFonts w:eastAsia="VIC"/>
        </w:rPr>
        <w:t>strateg</w:t>
      </w:r>
      <w:r w:rsidR="00CB2929">
        <w:rPr>
          <w:rFonts w:eastAsia="VIC"/>
        </w:rPr>
        <w:t>y</w:t>
      </w:r>
      <w:r w:rsidR="00F2147A" w:rsidRPr="31FD5AD6">
        <w:rPr>
          <w:rFonts w:eastAsia="VIC"/>
        </w:rPr>
        <w:t xml:space="preserve"> set</w:t>
      </w:r>
      <w:r w:rsidR="000D0205">
        <w:rPr>
          <w:rFonts w:eastAsia="VIC"/>
        </w:rPr>
        <w:t>s</w:t>
      </w:r>
      <w:r w:rsidR="00F2147A" w:rsidRPr="31FD5AD6">
        <w:rPr>
          <w:rFonts w:eastAsia="VIC"/>
        </w:rPr>
        <w:t xml:space="preserve"> out the plan for evaluation years in advance of its full implementation. As such, your approach to evaluation should always be revised at the time of undertaking the evaluation and writing </w:t>
      </w:r>
      <w:r w:rsidR="004605D2">
        <w:rPr>
          <w:rFonts w:eastAsia="VIC"/>
        </w:rPr>
        <w:t>the evaluation report</w:t>
      </w:r>
      <w:r w:rsidR="00F2147A" w:rsidRPr="31FD5AD6">
        <w:rPr>
          <w:rFonts w:eastAsia="VIC"/>
        </w:rPr>
        <w:t>.</w:t>
      </w:r>
    </w:p>
    <w:p w14:paraId="6302CD03" w14:textId="3F1DCC27" w:rsidR="00446BDA" w:rsidRPr="002C1F87" w:rsidRDefault="00446BDA" w:rsidP="00056FCC">
      <w:pPr>
        <w:pStyle w:val="Bullet1"/>
      </w:pPr>
      <w:r w:rsidRPr="006244CF">
        <w:rPr>
          <w:b/>
          <w:bCs/>
        </w:rPr>
        <w:t>Undertaking the evaluation</w:t>
      </w:r>
      <w:r w:rsidR="002C1F87">
        <w:t>: Performed</w:t>
      </w:r>
      <w:r w:rsidRPr="002C1F87">
        <w:t xml:space="preserve"> at committed milestones set out in the RIS/LIA, at mandated evaluation milestones (e.g. mid-term or sunsetting), and throughout the life of the regulation as part of ongoing evaluation. It can also be triggered by external factors </w:t>
      </w:r>
      <w:r w:rsidR="00E241AE">
        <w:t>such as</w:t>
      </w:r>
      <w:r w:rsidRPr="002C1F87">
        <w:t xml:space="preserve"> challenges to a regulation or changes in the environment.</w:t>
      </w:r>
    </w:p>
    <w:p w14:paraId="2AF2C076" w14:textId="498B9A0C" w:rsidR="00446BDA" w:rsidRPr="002C1F87" w:rsidRDefault="00446BDA" w:rsidP="00056FCC">
      <w:pPr>
        <w:pStyle w:val="Bullet1"/>
      </w:pPr>
      <w:r w:rsidRPr="006244CF">
        <w:rPr>
          <w:b/>
          <w:bCs/>
        </w:rPr>
        <w:t>Writing the evaluation</w:t>
      </w:r>
      <w:r w:rsidRPr="006244CF">
        <w:t xml:space="preserve"> </w:t>
      </w:r>
      <w:r w:rsidRPr="006244CF">
        <w:rPr>
          <w:b/>
          <w:bCs/>
        </w:rPr>
        <w:t>report</w:t>
      </w:r>
      <w:r w:rsidR="002C1F87">
        <w:t xml:space="preserve">: </w:t>
      </w:r>
      <w:r w:rsidRPr="002C1F87">
        <w:t xml:space="preserve">Undertaken at committed milestones set out in the RIS/LIA and at mandated milestones (e.g. mid-term and sunsetting). Continuous or periodic reporting will inform how an evaluation is documented. External factors </w:t>
      </w:r>
      <w:r w:rsidR="00E241AE">
        <w:t xml:space="preserve">such as </w:t>
      </w:r>
      <w:r w:rsidRPr="002C1F87">
        <w:t xml:space="preserve">changes in the environment may also instigate reviews of regulations. </w:t>
      </w:r>
    </w:p>
    <w:p w14:paraId="7C803451" w14:textId="11EA3A8D" w:rsidR="007C1398" w:rsidRDefault="00446BDA" w:rsidP="007C1398">
      <w:pPr>
        <w:spacing w:line="240" w:lineRule="auto"/>
        <w:rPr>
          <w:rFonts w:ascii="VIC" w:hAnsi="VIC"/>
        </w:rPr>
      </w:pPr>
      <w:r w:rsidRPr="006244CF">
        <w:rPr>
          <w:rFonts w:ascii="VIC" w:hAnsi="VIC"/>
        </w:rPr>
        <w:t>In most cases, the findings and recommendations from the evaluation report should be communicated to external stakeholders.</w:t>
      </w:r>
    </w:p>
    <w:p w14:paraId="66E998A7" w14:textId="7C1C4EAA" w:rsidR="00223F3D" w:rsidRDefault="00D10C47" w:rsidP="00D10C47">
      <w:pPr>
        <w:spacing w:line="240" w:lineRule="auto"/>
        <w:rPr>
          <w:rFonts w:ascii="VIC" w:eastAsia="Calibri" w:hAnsi="VIC"/>
        </w:rPr>
      </w:pPr>
      <w:r w:rsidRPr="000E52EE">
        <w:rPr>
          <w:rFonts w:ascii="VIC" w:eastAsia="Calibri" w:hAnsi="VIC"/>
        </w:rPr>
        <w:t xml:space="preserve">The contents of an evaluation will differ depending on the stage of the legislative lifecycle. </w:t>
      </w:r>
      <w:r w:rsidR="00B707BD">
        <w:rPr>
          <w:rFonts w:ascii="VIC" w:eastAsia="Calibri" w:hAnsi="VIC"/>
        </w:rPr>
        <w:t>K</w:t>
      </w:r>
      <w:r w:rsidRPr="000E52EE">
        <w:rPr>
          <w:rFonts w:ascii="VIC" w:eastAsia="Calibri" w:hAnsi="VIC"/>
        </w:rPr>
        <w:t>ey requirements and differences</w:t>
      </w:r>
      <w:r w:rsidR="00B707BD">
        <w:rPr>
          <w:rFonts w:ascii="VIC" w:eastAsia="Calibri" w:hAnsi="VIC"/>
        </w:rPr>
        <w:t xml:space="preserve"> and </w:t>
      </w:r>
      <w:r w:rsidR="00201D46">
        <w:rPr>
          <w:rFonts w:ascii="VIC" w:eastAsia="Calibri" w:hAnsi="VIC"/>
        </w:rPr>
        <w:t>summarised in the next section</w:t>
      </w:r>
      <w:r w:rsidR="000F5F97">
        <w:rPr>
          <w:rFonts w:ascii="VIC" w:eastAsia="Calibri" w:hAnsi="VIC"/>
        </w:rPr>
        <w:t xml:space="preserve"> on Getting Started</w:t>
      </w:r>
      <w:r w:rsidRPr="000E52EE">
        <w:rPr>
          <w:rFonts w:ascii="VIC" w:eastAsia="Calibri" w:hAnsi="VIC"/>
        </w:rPr>
        <w:t xml:space="preserve">. </w:t>
      </w:r>
    </w:p>
    <w:p w14:paraId="689B63B2" w14:textId="1B6F03C7" w:rsidR="00332807" w:rsidRPr="00332807" w:rsidRDefault="00503649" w:rsidP="00332807">
      <w:r w:rsidRPr="00503649">
        <w:rPr>
          <w:b/>
          <w:bCs/>
        </w:rPr>
        <w:t>Note:</w:t>
      </w:r>
      <w:r>
        <w:t xml:space="preserve"> </w:t>
      </w:r>
      <w:r w:rsidR="00223F3D" w:rsidRPr="00710D66">
        <w:t xml:space="preserve">The Commissioner </w:t>
      </w:r>
      <w:r w:rsidR="001E3A47">
        <w:t>for Better Regulation</w:t>
      </w:r>
      <w:r w:rsidR="005771B2">
        <w:t xml:space="preserve"> </w:t>
      </w:r>
      <w:r w:rsidR="00332807">
        <w:t>V</w:t>
      </w:r>
      <w:r w:rsidR="005771B2">
        <w:t>ictoria</w:t>
      </w:r>
      <w:r w:rsidR="001E3A47">
        <w:t xml:space="preserve"> </w:t>
      </w:r>
      <w:r w:rsidR="000C574B">
        <w:t xml:space="preserve">(BRV) </w:t>
      </w:r>
      <w:r w:rsidR="00223F3D">
        <w:t xml:space="preserve">monitors and </w:t>
      </w:r>
      <w:r w:rsidR="00223F3D" w:rsidRPr="00710D66">
        <w:t>notifies departments of their evaluation commitments</w:t>
      </w:r>
      <w:r w:rsidR="003F64FF">
        <w:t xml:space="preserve">, provides </w:t>
      </w:r>
      <w:r w:rsidR="00D63D2D">
        <w:t>support</w:t>
      </w:r>
      <w:r w:rsidR="00223F3D" w:rsidRPr="00710D66">
        <w:t xml:space="preserve"> </w:t>
      </w:r>
      <w:r w:rsidR="00D63D2D">
        <w:t>to departments and agencies undertaking evaluations and reviews evaluation reports.</w:t>
      </w:r>
      <w:r w:rsidR="00223F3D" w:rsidRPr="00710D66">
        <w:t xml:space="preserve"> </w:t>
      </w:r>
      <w:r w:rsidR="66997448" w:rsidRPr="45C31FF0">
        <w:t xml:space="preserve"> Early engagement with </w:t>
      </w:r>
      <w:r w:rsidR="00223F3D" w:rsidRPr="45C31FF0">
        <w:t xml:space="preserve">BRV </w:t>
      </w:r>
      <w:r w:rsidR="00223F3D" w:rsidRPr="0F78A08A">
        <w:t>support</w:t>
      </w:r>
      <w:r w:rsidR="00571291">
        <w:t>s</w:t>
      </w:r>
      <w:r w:rsidR="00223F3D" w:rsidRPr="00710D66">
        <w:t xml:space="preserve"> policy makers </w:t>
      </w:r>
      <w:r w:rsidR="00E95E73">
        <w:t>to</w:t>
      </w:r>
      <w:r w:rsidR="496EC075" w:rsidRPr="0F78A08A">
        <w:t xml:space="preserve"> </w:t>
      </w:r>
      <w:r w:rsidR="43B032FE" w:rsidRPr="6DB76224">
        <w:t>plan and undertake an evaluation.</w:t>
      </w:r>
    </w:p>
    <w:p w14:paraId="477D6137" w14:textId="6BFCF8F7" w:rsidR="00F5453E" w:rsidRPr="006244CF" w:rsidRDefault="00F5453E" w:rsidP="00544151">
      <w:pPr>
        <w:pStyle w:val="Heading1"/>
      </w:pPr>
      <w:bookmarkStart w:id="15" w:name="_Toc170403073"/>
      <w:bookmarkStart w:id="16" w:name="_Toc1700315547"/>
      <w:r w:rsidRPr="006244CF">
        <w:t xml:space="preserve">Getting started: Scoping a regulatory </w:t>
      </w:r>
      <w:proofErr w:type="gramStart"/>
      <w:r w:rsidRPr="006244CF">
        <w:t>evaluation</w:t>
      </w:r>
      <w:bookmarkEnd w:id="15"/>
      <w:proofErr w:type="gramEnd"/>
    </w:p>
    <w:p w14:paraId="1D6A9FAC" w14:textId="0CF0B02E" w:rsidR="001964B9" w:rsidRDefault="005B0EF0" w:rsidP="005B0EF0">
      <w:pPr>
        <w:spacing w:line="240" w:lineRule="auto"/>
        <w:rPr>
          <w:rFonts w:ascii="VIC" w:hAnsi="VIC"/>
        </w:rPr>
      </w:pPr>
      <w:r w:rsidRPr="31FD5AD6">
        <w:rPr>
          <w:rFonts w:ascii="VIC" w:hAnsi="VIC"/>
        </w:rPr>
        <w:t xml:space="preserve">The </w:t>
      </w:r>
      <w:r w:rsidRPr="006215F7">
        <w:rPr>
          <w:rFonts w:ascii="VIC" w:hAnsi="VIC"/>
          <w:b/>
          <w:bCs/>
        </w:rPr>
        <w:t>scope of a regulatory evaluation</w:t>
      </w:r>
      <w:r w:rsidRPr="31FD5AD6">
        <w:rPr>
          <w:rFonts w:ascii="VIC" w:hAnsi="VIC"/>
          <w:b/>
          <w:bCs/>
        </w:rPr>
        <w:t xml:space="preserve"> </w:t>
      </w:r>
      <w:r w:rsidRPr="31FD5AD6">
        <w:rPr>
          <w:rFonts w:ascii="VIC" w:hAnsi="VIC"/>
        </w:rPr>
        <w:t xml:space="preserve">focuses on the effect that a regulatory intervention has on the behaviour of regulated entities and other parties. </w:t>
      </w:r>
      <w:r w:rsidR="008F5CB0" w:rsidRPr="31FD5AD6">
        <w:rPr>
          <w:rFonts w:ascii="VIC" w:hAnsi="VIC"/>
        </w:rPr>
        <w:t>This includes how the regulations have been implemented</w:t>
      </w:r>
      <w:r w:rsidR="00D41E05">
        <w:rPr>
          <w:rFonts w:ascii="VIC" w:hAnsi="VIC"/>
        </w:rPr>
        <w:t>,</w:t>
      </w:r>
      <w:r w:rsidR="008F5CB0" w:rsidRPr="31FD5AD6">
        <w:rPr>
          <w:rFonts w:ascii="VIC" w:hAnsi="VIC"/>
        </w:rPr>
        <w:t xml:space="preserve"> the broader context of the regulatory problem and how it may have changed</w:t>
      </w:r>
      <w:r w:rsidR="00224CA4">
        <w:rPr>
          <w:rFonts w:ascii="VIC" w:hAnsi="VIC"/>
        </w:rPr>
        <w:t xml:space="preserve"> </w:t>
      </w:r>
      <w:r w:rsidR="00227F01">
        <w:rPr>
          <w:rFonts w:ascii="VIC" w:hAnsi="VIC"/>
        </w:rPr>
        <w:t>through the course of</w:t>
      </w:r>
      <w:r w:rsidR="00224CA4">
        <w:rPr>
          <w:rFonts w:ascii="VIC" w:hAnsi="VIC"/>
        </w:rPr>
        <w:t xml:space="preserve"> the </w:t>
      </w:r>
      <w:r w:rsidR="00AD40E2">
        <w:rPr>
          <w:rFonts w:ascii="VIC" w:hAnsi="VIC"/>
        </w:rPr>
        <w:t xml:space="preserve">regulatory </w:t>
      </w:r>
      <w:r w:rsidR="00224CA4">
        <w:rPr>
          <w:rFonts w:ascii="VIC" w:hAnsi="VIC"/>
        </w:rPr>
        <w:t>lifecycle</w:t>
      </w:r>
      <w:r w:rsidR="008F5CB0" w:rsidRPr="31FD5AD6">
        <w:rPr>
          <w:rFonts w:ascii="VIC" w:hAnsi="VIC"/>
        </w:rPr>
        <w:t xml:space="preserve">. </w:t>
      </w:r>
    </w:p>
    <w:p w14:paraId="4E877484" w14:textId="200AC798" w:rsidR="007A4100" w:rsidRDefault="00E12E5E" w:rsidP="00203DF3">
      <w:pPr>
        <w:spacing w:line="240" w:lineRule="auto"/>
        <w:rPr>
          <w:rFonts w:ascii="VIC" w:hAnsi="VIC"/>
        </w:rPr>
      </w:pPr>
      <w:r w:rsidRPr="5FB80507">
        <w:rPr>
          <w:rFonts w:ascii="VIC" w:hAnsi="VIC"/>
        </w:rPr>
        <w:t xml:space="preserve">The </w:t>
      </w:r>
      <w:r w:rsidRPr="5FB80507">
        <w:rPr>
          <w:rFonts w:ascii="VIC" w:hAnsi="VIC"/>
          <w:b/>
          <w:bCs/>
        </w:rPr>
        <w:t xml:space="preserve">evaluation strategy </w:t>
      </w:r>
      <w:r w:rsidRPr="5FB80507">
        <w:rPr>
          <w:rFonts w:ascii="VIC" w:hAnsi="VIC"/>
        </w:rPr>
        <w:t xml:space="preserve">you develop as part of your RIS or LIA sets </w:t>
      </w:r>
      <w:r w:rsidR="00AF707B">
        <w:rPr>
          <w:rFonts w:ascii="VIC" w:hAnsi="VIC"/>
        </w:rPr>
        <w:t xml:space="preserve">out </w:t>
      </w:r>
      <w:r w:rsidRPr="5FB80507">
        <w:rPr>
          <w:rFonts w:ascii="VIC" w:hAnsi="VIC"/>
        </w:rPr>
        <w:t xml:space="preserve">how to deliver the evaluation, but the regulatory evaluation itself may be developed or revised </w:t>
      </w:r>
      <w:r w:rsidR="00874821">
        <w:rPr>
          <w:rFonts w:ascii="VIC" w:hAnsi="VIC"/>
        </w:rPr>
        <w:t>during the life of the regulations</w:t>
      </w:r>
      <w:r w:rsidR="001B7C0D">
        <w:rPr>
          <w:rFonts w:ascii="VIC" w:hAnsi="VIC"/>
        </w:rPr>
        <w:t xml:space="preserve"> </w:t>
      </w:r>
      <w:r w:rsidR="0067757E">
        <w:rPr>
          <w:rFonts w:ascii="VIC" w:hAnsi="VIC"/>
        </w:rPr>
        <w:t>including implementation</w:t>
      </w:r>
      <w:r w:rsidR="00874821">
        <w:rPr>
          <w:rFonts w:ascii="VIC" w:hAnsi="VIC"/>
        </w:rPr>
        <w:t>.</w:t>
      </w:r>
    </w:p>
    <w:p w14:paraId="1B2A5090" w14:textId="7030BFD0" w:rsidR="008928FC" w:rsidRDefault="008928FC" w:rsidP="00373AA2">
      <w:pPr>
        <w:pStyle w:val="Bullet1"/>
      </w:pPr>
      <w:r w:rsidRPr="31FD5AD6">
        <w:t xml:space="preserve">Evaluation activities such as data gathering and developing ‘baseline’ measures should occur before a regulation is put in place. These activities should inform the ‘problem definition’ to </w:t>
      </w:r>
      <w:r w:rsidR="00573359" w:rsidRPr="31FD5AD6">
        <w:t>explain</w:t>
      </w:r>
      <w:r w:rsidRPr="31FD5AD6">
        <w:t xml:space="preserve"> the need for regulation</w:t>
      </w:r>
      <w:r w:rsidRPr="4FA68DC5">
        <w:t>, e.g. in a RIS</w:t>
      </w:r>
      <w:r w:rsidR="0088199A">
        <w:t>.</w:t>
      </w:r>
    </w:p>
    <w:p w14:paraId="41615C49" w14:textId="48A2538A" w:rsidR="008928FC" w:rsidRDefault="008928FC" w:rsidP="00373AA2">
      <w:pPr>
        <w:pStyle w:val="Bullet1"/>
      </w:pPr>
      <w:r w:rsidRPr="31FD5AD6">
        <w:t>The evaluation strategy should set out a range of up-front activities that work out the effectiveness of the regulation over its life</w:t>
      </w:r>
      <w:r w:rsidR="0088199A">
        <w:t>.</w:t>
      </w:r>
    </w:p>
    <w:p w14:paraId="4F1E2A4B" w14:textId="77777777" w:rsidR="008928FC" w:rsidRDefault="008928FC" w:rsidP="00373AA2">
      <w:pPr>
        <w:pStyle w:val="Bullet1"/>
      </w:pPr>
      <w:r w:rsidRPr="31FD5AD6">
        <w:t xml:space="preserve">The evaluation activities should be embedded in the delivery of the </w:t>
      </w:r>
      <w:proofErr w:type="gramStart"/>
      <w:r w:rsidRPr="31FD5AD6">
        <w:t>regulation</w:t>
      </w:r>
      <w:proofErr w:type="gramEnd"/>
    </w:p>
    <w:p w14:paraId="53496DEA" w14:textId="77777777" w:rsidR="008928FC" w:rsidRDefault="008928FC" w:rsidP="00373AA2">
      <w:pPr>
        <w:pStyle w:val="Bullet1"/>
      </w:pPr>
      <w:r w:rsidRPr="31FD5AD6">
        <w:t>Mid-term or other points in the evaluation lifecycle should provide for review and calibration of the evaluation approach.</w:t>
      </w:r>
    </w:p>
    <w:p w14:paraId="3D8DB20D" w14:textId="421B09B0" w:rsidR="00203DF3" w:rsidRDefault="00203DF3" w:rsidP="00203DF3">
      <w:pPr>
        <w:spacing w:line="240" w:lineRule="auto"/>
        <w:rPr>
          <w:rFonts w:ascii="VIC" w:hAnsi="VIC"/>
        </w:rPr>
      </w:pPr>
    </w:p>
    <w:p w14:paraId="6CECC675" w14:textId="0AE0EC8A" w:rsidR="001964B9" w:rsidRPr="00E27981" w:rsidRDefault="001964B9" w:rsidP="00544151">
      <w:pPr>
        <w:pStyle w:val="Heading2"/>
      </w:pPr>
      <w:bookmarkStart w:id="17" w:name="_Toc170403074"/>
      <w:r w:rsidRPr="00E27981">
        <w:lastRenderedPageBreak/>
        <w:t>Questions to</w:t>
      </w:r>
      <w:r w:rsidR="00203DF3" w:rsidRPr="00E27981">
        <w:t xml:space="preserve"> </w:t>
      </w:r>
      <w:proofErr w:type="gramStart"/>
      <w:r w:rsidR="009167A2" w:rsidRPr="00E27981">
        <w:t>consider</w:t>
      </w:r>
      <w:bookmarkEnd w:id="17"/>
      <w:proofErr w:type="gramEnd"/>
    </w:p>
    <w:p w14:paraId="3434B908" w14:textId="0B5BD773" w:rsidR="00BE0E2E" w:rsidRPr="00E27981" w:rsidRDefault="001964B9" w:rsidP="00E27981">
      <w:pPr>
        <w:pStyle w:val="Bullet1"/>
        <w:rPr>
          <w:rFonts w:ascii="VIC" w:hAnsi="VIC"/>
        </w:rPr>
      </w:pPr>
      <w:r w:rsidRPr="00E27981">
        <w:rPr>
          <w:rFonts w:ascii="VIC" w:hAnsi="VIC"/>
        </w:rPr>
        <w:t xml:space="preserve">What are the objectives </w:t>
      </w:r>
      <w:r w:rsidR="00C31D28" w:rsidRPr="00E27981">
        <w:rPr>
          <w:rFonts w:ascii="VIC" w:hAnsi="VIC"/>
        </w:rPr>
        <w:t xml:space="preserve">and intended outcomes </w:t>
      </w:r>
      <w:r w:rsidRPr="00E27981">
        <w:rPr>
          <w:rFonts w:ascii="VIC" w:hAnsi="VIC"/>
        </w:rPr>
        <w:t xml:space="preserve">of the </w:t>
      </w:r>
      <w:r w:rsidR="000762B4" w:rsidRPr="00E27981">
        <w:rPr>
          <w:rFonts w:ascii="VIC" w:hAnsi="VIC"/>
        </w:rPr>
        <w:t>program or activity?</w:t>
      </w:r>
    </w:p>
    <w:p w14:paraId="615BEE6A" w14:textId="4C5C5D90" w:rsidR="00961745" w:rsidRPr="00E27981" w:rsidRDefault="007078A4" w:rsidP="00E27981">
      <w:pPr>
        <w:pStyle w:val="Bullet1"/>
        <w:rPr>
          <w:rFonts w:ascii="VIC" w:hAnsi="VIC"/>
        </w:rPr>
      </w:pPr>
      <w:r w:rsidRPr="00E27981">
        <w:rPr>
          <w:rFonts w:ascii="VIC" w:hAnsi="VIC"/>
        </w:rPr>
        <w:t xml:space="preserve">What is the context of the </w:t>
      </w:r>
      <w:r w:rsidR="00AD40E2">
        <w:rPr>
          <w:rFonts w:ascii="VIC" w:hAnsi="VIC"/>
        </w:rPr>
        <w:t xml:space="preserve">regulatory </w:t>
      </w:r>
      <w:r w:rsidRPr="00E27981">
        <w:rPr>
          <w:rFonts w:ascii="VIC" w:hAnsi="VIC"/>
        </w:rPr>
        <w:t>lifecycle</w:t>
      </w:r>
      <w:r w:rsidR="00C31D28" w:rsidRPr="00E27981">
        <w:rPr>
          <w:rFonts w:ascii="VIC" w:hAnsi="VIC"/>
        </w:rPr>
        <w:t>? A</w:t>
      </w:r>
      <w:r w:rsidR="000F385F" w:rsidRPr="00E27981">
        <w:rPr>
          <w:rFonts w:ascii="VIC" w:hAnsi="VIC"/>
        </w:rPr>
        <w:t xml:space="preserve">t what point </w:t>
      </w:r>
      <w:r w:rsidR="00C31D28" w:rsidRPr="00E27981">
        <w:rPr>
          <w:rFonts w:ascii="VIC" w:hAnsi="VIC"/>
        </w:rPr>
        <w:t xml:space="preserve">in the lifecycle </w:t>
      </w:r>
      <w:r w:rsidR="000F385F" w:rsidRPr="00E27981">
        <w:rPr>
          <w:rFonts w:ascii="VIC" w:hAnsi="VIC"/>
        </w:rPr>
        <w:t>is the evaluation taking place?</w:t>
      </w:r>
    </w:p>
    <w:p w14:paraId="1ED63C64" w14:textId="77777777" w:rsidR="00961745" w:rsidRPr="00E27981" w:rsidRDefault="00961745" w:rsidP="00E27981">
      <w:pPr>
        <w:pStyle w:val="Bullet1"/>
        <w:rPr>
          <w:rFonts w:ascii="VIC" w:hAnsi="VIC"/>
        </w:rPr>
      </w:pPr>
      <w:r w:rsidRPr="00E27981">
        <w:rPr>
          <w:rFonts w:ascii="VIC" w:hAnsi="VIC"/>
        </w:rPr>
        <w:t>What type of evaluation is required?</w:t>
      </w:r>
    </w:p>
    <w:p w14:paraId="01F1312D" w14:textId="69A98F32" w:rsidR="006D1C1B" w:rsidRPr="00E27981" w:rsidRDefault="006D1C1B" w:rsidP="00E27981">
      <w:pPr>
        <w:pStyle w:val="Bullet1"/>
        <w:rPr>
          <w:rFonts w:ascii="VIC" w:hAnsi="VIC"/>
        </w:rPr>
      </w:pPr>
      <w:r w:rsidRPr="00E27981">
        <w:rPr>
          <w:rFonts w:ascii="VIC" w:hAnsi="VIC"/>
        </w:rPr>
        <w:t xml:space="preserve">Is there an existing </w:t>
      </w:r>
      <w:r w:rsidR="004939F0" w:rsidRPr="00E27981">
        <w:rPr>
          <w:rFonts w:ascii="VIC" w:hAnsi="VIC"/>
        </w:rPr>
        <w:t xml:space="preserve">evaluation strategy to guide </w:t>
      </w:r>
      <w:r w:rsidR="009221E9" w:rsidRPr="00E27981">
        <w:rPr>
          <w:rFonts w:ascii="VIC" w:hAnsi="VIC"/>
        </w:rPr>
        <w:t>the evaluation development?</w:t>
      </w:r>
    </w:p>
    <w:p w14:paraId="3D06D557" w14:textId="77777777" w:rsidR="00A9469D" w:rsidRPr="00E27981" w:rsidRDefault="00C828F2" w:rsidP="00E27981">
      <w:pPr>
        <w:pStyle w:val="Bullet1"/>
        <w:rPr>
          <w:rFonts w:ascii="VIC" w:hAnsi="VIC"/>
        </w:rPr>
      </w:pPr>
      <w:r w:rsidRPr="00E27981">
        <w:rPr>
          <w:rFonts w:ascii="VIC" w:hAnsi="VIC"/>
        </w:rPr>
        <w:t>How do I</w:t>
      </w:r>
      <w:r w:rsidR="00E2308E" w:rsidRPr="00E27981">
        <w:rPr>
          <w:rFonts w:ascii="VIC" w:hAnsi="VIC"/>
        </w:rPr>
        <w:t xml:space="preserve"> identify w</w:t>
      </w:r>
      <w:r w:rsidRPr="00E27981">
        <w:rPr>
          <w:rFonts w:ascii="VIC" w:hAnsi="VIC"/>
        </w:rPr>
        <w:t>hat needs to be evaluated?</w:t>
      </w:r>
    </w:p>
    <w:p w14:paraId="79AAD4E1" w14:textId="540294B7" w:rsidR="00C7736A" w:rsidRPr="00E27981" w:rsidRDefault="00C7736A" w:rsidP="00E27981">
      <w:pPr>
        <w:pStyle w:val="Bullet1"/>
        <w:rPr>
          <w:rFonts w:ascii="VIC" w:hAnsi="VIC"/>
        </w:rPr>
      </w:pPr>
      <w:r w:rsidRPr="00E27981">
        <w:rPr>
          <w:rFonts w:ascii="VIC" w:hAnsi="VIC"/>
        </w:rPr>
        <w:t xml:space="preserve">What behaviour changes and </w:t>
      </w:r>
      <w:r w:rsidR="004C2B80" w:rsidRPr="00E27981">
        <w:rPr>
          <w:rFonts w:ascii="VIC" w:hAnsi="VIC"/>
        </w:rPr>
        <w:t>supporting actions are needed to achieve objectives?</w:t>
      </w:r>
    </w:p>
    <w:p w14:paraId="4AD8E93A" w14:textId="2FAEE433" w:rsidR="00B451F1" w:rsidRPr="0084700E" w:rsidRDefault="000B79D4" w:rsidP="00E27981">
      <w:pPr>
        <w:pStyle w:val="Bullet1"/>
      </w:pPr>
      <w:r w:rsidRPr="00E27981">
        <w:rPr>
          <w:rFonts w:ascii="VIC" w:hAnsi="VIC"/>
        </w:rPr>
        <w:t xml:space="preserve">What is the best way to </w:t>
      </w:r>
      <w:r w:rsidR="00385258" w:rsidRPr="00E27981">
        <w:rPr>
          <w:rFonts w:ascii="VIC" w:hAnsi="VIC"/>
        </w:rPr>
        <w:t xml:space="preserve">measure </w:t>
      </w:r>
      <w:r w:rsidR="00726FCB" w:rsidRPr="00E27981">
        <w:rPr>
          <w:rFonts w:ascii="VIC" w:hAnsi="VIC"/>
        </w:rPr>
        <w:t>and asses</w:t>
      </w:r>
      <w:r w:rsidR="00FD5873">
        <w:rPr>
          <w:rFonts w:ascii="VIC" w:hAnsi="VIC"/>
        </w:rPr>
        <w:t>s</w:t>
      </w:r>
      <w:r w:rsidR="00726FCB" w:rsidRPr="00E27981">
        <w:rPr>
          <w:rFonts w:ascii="VIC" w:hAnsi="VIC"/>
        </w:rPr>
        <w:t xml:space="preserve"> </w:t>
      </w:r>
      <w:r w:rsidR="0012587C" w:rsidRPr="00E27981">
        <w:rPr>
          <w:rFonts w:ascii="VIC" w:hAnsi="VIC"/>
        </w:rPr>
        <w:t>the outcomes</w:t>
      </w:r>
      <w:r w:rsidR="00BF4B8F">
        <w:rPr>
          <w:rFonts w:ascii="VIC" w:hAnsi="VIC"/>
        </w:rPr>
        <w:t>?</w:t>
      </w:r>
    </w:p>
    <w:p w14:paraId="5120E857" w14:textId="02BAF2EC" w:rsidR="00511134" w:rsidRPr="00E27981" w:rsidRDefault="00511134" w:rsidP="008F20C1">
      <w:pPr>
        <w:pStyle w:val="Heading2"/>
      </w:pPr>
      <w:bookmarkStart w:id="18" w:name="_Toc170403075"/>
      <w:r w:rsidRPr="00E27981">
        <w:t xml:space="preserve">Objectives </w:t>
      </w:r>
      <w:r w:rsidR="00C86C62" w:rsidRPr="00E27981">
        <w:t xml:space="preserve">to </w:t>
      </w:r>
      <w:r w:rsidR="000B79D4" w:rsidRPr="00E27981">
        <w:t>guid</w:t>
      </w:r>
      <w:r w:rsidR="00C86C62" w:rsidRPr="00E27981">
        <w:t>e</w:t>
      </w:r>
      <w:r w:rsidRPr="00E27981">
        <w:t xml:space="preserve"> evaluation design</w:t>
      </w:r>
      <w:bookmarkEnd w:id="18"/>
    </w:p>
    <w:p w14:paraId="61AEA213" w14:textId="42B808C7" w:rsidR="00511134" w:rsidRDefault="002F263C" w:rsidP="000526B8">
      <w:r w:rsidRPr="00CE7127">
        <w:rPr>
          <w:rFonts w:ascii="VIC" w:hAnsi="VIC"/>
        </w:rPr>
        <w:t>As set out in the RIS or LIA</w:t>
      </w:r>
      <w:r>
        <w:t xml:space="preserve">, </w:t>
      </w:r>
      <w:r w:rsidR="00574D8C">
        <w:t>o</w:t>
      </w:r>
      <w:r w:rsidR="00CE7127">
        <w:t>bjectives</w:t>
      </w:r>
      <w:r w:rsidR="00511134" w:rsidRPr="00107D51">
        <w:t xml:space="preserve"> are established during the initial stages of policy development</w:t>
      </w:r>
      <w:r w:rsidR="00574D8C">
        <w:t xml:space="preserve">. These objectives </w:t>
      </w:r>
      <w:r w:rsidR="00511134" w:rsidRPr="00107D51">
        <w:t>guide the design of the evaluation strategy by outlining measures of long-term success</w:t>
      </w:r>
      <w:r w:rsidR="00574D8C">
        <w:t xml:space="preserve">, </w:t>
      </w:r>
      <w:r w:rsidR="00511134" w:rsidRPr="00107D51">
        <w:t>such as improved outcomes or reduction in harm</w:t>
      </w:r>
      <w:r w:rsidR="00BD4208">
        <w:t xml:space="preserve">. </w:t>
      </w:r>
      <w:r w:rsidR="00C658CC">
        <w:t>Intermediate indicators may be devel</w:t>
      </w:r>
      <w:r w:rsidR="00D155F9">
        <w:t xml:space="preserve">oped to </w:t>
      </w:r>
      <w:r w:rsidR="00D15342">
        <w:t xml:space="preserve">assess progress towards </w:t>
      </w:r>
      <w:r w:rsidR="007F35BD">
        <w:t>achieving long</w:t>
      </w:r>
      <w:r w:rsidR="00416F0F">
        <w:t>-term o</w:t>
      </w:r>
      <w:r w:rsidR="00D15342">
        <w:t xml:space="preserve">bjectives. </w:t>
      </w:r>
      <w:r w:rsidR="00DB7B53">
        <w:t>B</w:t>
      </w:r>
      <w:r w:rsidR="008F548B" w:rsidRPr="00107D51">
        <w:t>ehaviour change</w:t>
      </w:r>
      <w:r w:rsidR="00DB7B53">
        <w:t xml:space="preserve"> and supporting actions </w:t>
      </w:r>
      <w:r w:rsidR="00511134" w:rsidRPr="00107D51">
        <w:t>to achiev</w:t>
      </w:r>
      <w:r w:rsidR="00F2080F">
        <w:t>e</w:t>
      </w:r>
      <w:r w:rsidR="00511134" w:rsidRPr="00107D51">
        <w:t xml:space="preserve"> objectives</w:t>
      </w:r>
      <w:r w:rsidR="00160895">
        <w:t xml:space="preserve"> need to be identified</w:t>
      </w:r>
      <w:r w:rsidR="00511134" w:rsidRPr="00107D51">
        <w:t>.</w:t>
      </w:r>
      <w:r w:rsidR="007F5D0B">
        <w:t xml:space="preserve"> </w:t>
      </w:r>
      <w:r w:rsidR="00EC15F9">
        <w:t xml:space="preserve">An example of this process is provided in the figure below. </w:t>
      </w:r>
      <w:r w:rsidR="007F5D0B">
        <w:t xml:space="preserve"> </w:t>
      </w:r>
    </w:p>
    <w:p w14:paraId="793C4FD8" w14:textId="17C30E8C" w:rsidR="00511134" w:rsidRPr="00107D51" w:rsidRDefault="00A00FF7" w:rsidP="008F20C1">
      <w:pPr>
        <w:rPr>
          <w:rFonts w:ascii="VIC" w:hAnsi="VIC"/>
        </w:rPr>
      </w:pPr>
      <w:r w:rsidRPr="00F342BA">
        <w:object w:dxaOrig="9823" w:dyaOrig="5633" w14:anchorId="0B2623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7pt;height:275.5pt" o:ole="">
            <v:imagedata r:id="rId16" o:title=""/>
          </v:shape>
          <o:OLEObject Type="Embed" ProgID="Visio.Drawing.11" ShapeID="_x0000_i1025" DrawAspect="Content" ObjectID="_1781084001" r:id="rId17"/>
        </w:object>
      </w:r>
    </w:p>
    <w:p w14:paraId="381F9AD9" w14:textId="59813E51" w:rsidR="00865143" w:rsidRPr="00F342BA" w:rsidRDefault="00865143" w:rsidP="008F20C1">
      <w:r w:rsidRPr="00107D51">
        <w:t xml:space="preserve">The evaluation will need to address these elements </w:t>
      </w:r>
      <w:r w:rsidRPr="005D1C72">
        <w:rPr>
          <w:b/>
          <w:bCs/>
        </w:rPr>
        <w:t>at a minimum</w:t>
      </w:r>
      <w:r w:rsidRPr="00107D51">
        <w:t>, but also account for the effectiveness of the regulation and actions of government in creating the desired change.</w:t>
      </w:r>
    </w:p>
    <w:p w14:paraId="19D0028A" w14:textId="2FD373A0" w:rsidR="00511134" w:rsidRPr="00107D51" w:rsidRDefault="00511134" w:rsidP="00511134">
      <w:pPr>
        <w:spacing w:line="240" w:lineRule="auto"/>
        <w:rPr>
          <w:rFonts w:ascii="VIC" w:hAnsi="VIC"/>
        </w:rPr>
      </w:pPr>
      <w:r w:rsidRPr="00107D51">
        <w:rPr>
          <w:rFonts w:ascii="VIC" w:hAnsi="VIC"/>
        </w:rPr>
        <w:t>This exercise can be challenging</w:t>
      </w:r>
      <w:r w:rsidR="00AD1D82">
        <w:rPr>
          <w:rFonts w:ascii="VIC" w:hAnsi="VIC"/>
        </w:rPr>
        <w:t>,</w:t>
      </w:r>
      <w:r w:rsidRPr="00107D51">
        <w:rPr>
          <w:rFonts w:ascii="VIC" w:hAnsi="VIC"/>
        </w:rPr>
        <w:t xml:space="preserve"> as it may involve accounting for events that did not happen (e.g. harm prevented). </w:t>
      </w:r>
    </w:p>
    <w:p w14:paraId="6C7F1876" w14:textId="316E3DA9" w:rsidR="005E794C" w:rsidRDefault="00511134" w:rsidP="0088199A">
      <w:r w:rsidRPr="006215F7">
        <w:t xml:space="preserve">However, you can use a </w:t>
      </w:r>
      <w:r w:rsidRPr="006215F7">
        <w:rPr>
          <w:b/>
        </w:rPr>
        <w:t>program logic model</w:t>
      </w:r>
      <w:r w:rsidRPr="006215F7">
        <w:t xml:space="preserve"> that includes indicators, </w:t>
      </w:r>
      <w:r w:rsidR="000634D7" w:rsidRPr="006215F7">
        <w:t xml:space="preserve">explains relationships between measured activities, </w:t>
      </w:r>
      <w:r w:rsidRPr="006215F7">
        <w:t>sets out why you expect certain activities to lead to outcomes (causal assumptions)</w:t>
      </w:r>
      <w:r w:rsidR="002F300C" w:rsidRPr="006215F7">
        <w:t>,</w:t>
      </w:r>
      <w:r w:rsidRPr="006215F7">
        <w:t xml:space="preserve"> and accounts for external factors. </w:t>
      </w:r>
      <w:r w:rsidR="6B3D7EE2">
        <w:t xml:space="preserve">Find out more about how to develop a program logic model </w:t>
      </w:r>
      <w:r w:rsidR="172BC9CF">
        <w:t>in</w:t>
      </w:r>
      <w:r w:rsidR="172BC9CF" w:rsidRPr="5C480BA0">
        <w:rPr>
          <w:i/>
          <w:iCs/>
        </w:rPr>
        <w:t xml:space="preserve"> </w:t>
      </w:r>
      <w:hyperlink r:id="rId18">
        <w:r w:rsidR="172BC9CF" w:rsidRPr="5C480BA0">
          <w:rPr>
            <w:i/>
            <w:iCs/>
          </w:rPr>
          <w:t>Appendix A</w:t>
        </w:r>
      </w:hyperlink>
      <w:r w:rsidR="172BC9CF">
        <w:t>.</w:t>
      </w:r>
      <w:r w:rsidR="6B3D7EE2">
        <w:t xml:space="preserve"> </w:t>
      </w:r>
      <w:r w:rsidR="338DAB00">
        <w:t xml:space="preserve"> </w:t>
      </w:r>
    </w:p>
    <w:p w14:paraId="48B0393B" w14:textId="460FF036" w:rsidR="00270DC4" w:rsidRPr="00F86711" w:rsidRDefault="007902F7" w:rsidP="00F86711">
      <w:pPr>
        <w:pStyle w:val="Heading2"/>
        <w:rPr>
          <w:rStyle w:val="Heading1Char"/>
          <w:bCs/>
          <w:color w:val="1F2A44" w:themeColor="text2"/>
          <w:sz w:val="28"/>
          <w:szCs w:val="26"/>
        </w:rPr>
      </w:pPr>
      <w:bookmarkStart w:id="19" w:name="_Toc170403076"/>
      <w:r w:rsidRPr="00F86711">
        <w:rPr>
          <w:rStyle w:val="Heading1Char"/>
          <w:bCs/>
          <w:color w:val="1F2A44" w:themeColor="text2"/>
          <w:sz w:val="28"/>
          <w:szCs w:val="26"/>
        </w:rPr>
        <w:lastRenderedPageBreak/>
        <w:t>Types of evaluations and their requirements</w:t>
      </w:r>
      <w:bookmarkEnd w:id="19"/>
    </w:p>
    <w:p w14:paraId="24153210" w14:textId="599A7114" w:rsidR="00F617DE" w:rsidRDefault="00D40780" w:rsidP="00D4020E">
      <w:pPr>
        <w:spacing w:before="0" w:after="160" w:line="240" w:lineRule="auto"/>
        <w:rPr>
          <w:rFonts w:ascii="VIC" w:hAnsi="VIC"/>
        </w:rPr>
      </w:pPr>
      <w:r>
        <w:rPr>
          <w:rFonts w:ascii="VIC" w:hAnsi="VIC"/>
        </w:rPr>
        <w:t xml:space="preserve">Evaluation strategies are required </w:t>
      </w:r>
      <w:r w:rsidR="00AA66C1">
        <w:rPr>
          <w:rFonts w:ascii="VIC" w:hAnsi="VIC"/>
        </w:rPr>
        <w:t xml:space="preserve">in RISs and LIAs. </w:t>
      </w:r>
      <w:r w:rsidR="00CB118F" w:rsidRPr="002A34A2">
        <w:rPr>
          <w:rFonts w:ascii="VIC" w:hAnsi="VIC"/>
        </w:rPr>
        <w:t xml:space="preserve">Depending on </w:t>
      </w:r>
      <w:r w:rsidR="004B1E5E">
        <w:rPr>
          <w:rFonts w:ascii="VIC" w:hAnsi="VIC"/>
        </w:rPr>
        <w:t>the context of</w:t>
      </w:r>
      <w:r w:rsidR="00CB118F" w:rsidRPr="002A34A2">
        <w:rPr>
          <w:rFonts w:ascii="VIC" w:hAnsi="VIC"/>
        </w:rPr>
        <w:t xml:space="preserve"> the </w:t>
      </w:r>
      <w:r w:rsidR="007A0F1E">
        <w:rPr>
          <w:rFonts w:ascii="VIC" w:hAnsi="VIC"/>
        </w:rPr>
        <w:t xml:space="preserve">regulatory </w:t>
      </w:r>
      <w:r w:rsidR="00CB118F" w:rsidRPr="002A34A2">
        <w:rPr>
          <w:rFonts w:ascii="VIC" w:hAnsi="VIC"/>
        </w:rPr>
        <w:t xml:space="preserve">lifecycle, </w:t>
      </w:r>
      <w:r w:rsidR="004B1E5E">
        <w:rPr>
          <w:rFonts w:ascii="VIC" w:hAnsi="VIC"/>
        </w:rPr>
        <w:t xml:space="preserve">and </w:t>
      </w:r>
      <w:r w:rsidR="004B1E5E" w:rsidRPr="002A34A2">
        <w:rPr>
          <w:rFonts w:ascii="VIC" w:hAnsi="VIC"/>
        </w:rPr>
        <w:t xml:space="preserve">where evaluation falls </w:t>
      </w:r>
      <w:r w:rsidR="004B1E5E">
        <w:rPr>
          <w:rFonts w:ascii="VIC" w:hAnsi="VIC"/>
        </w:rPr>
        <w:t>in the lifecycle,</w:t>
      </w:r>
      <w:r w:rsidR="00CB118F" w:rsidRPr="002A34A2">
        <w:rPr>
          <w:rFonts w:ascii="VIC" w:hAnsi="VIC"/>
        </w:rPr>
        <w:t xml:space="preserve"> </w:t>
      </w:r>
      <w:r w:rsidR="00EE65B7">
        <w:rPr>
          <w:rFonts w:ascii="VIC" w:hAnsi="VIC"/>
        </w:rPr>
        <w:t xml:space="preserve">evaluations have </w:t>
      </w:r>
      <w:r w:rsidR="002A34A2" w:rsidRPr="002A34A2">
        <w:rPr>
          <w:rFonts w:ascii="VIC" w:hAnsi="VIC"/>
        </w:rPr>
        <w:t xml:space="preserve">differing requirements as set out under the VGR. </w:t>
      </w:r>
    </w:p>
    <w:p w14:paraId="21539FE3" w14:textId="6AB46600" w:rsidR="00284788" w:rsidRPr="00E83E70" w:rsidRDefault="00AA66C1" w:rsidP="00284788">
      <w:pPr>
        <w:pStyle w:val="Highlightboxheading2"/>
      </w:pPr>
      <w:r>
        <w:t>E</w:t>
      </w:r>
      <w:r w:rsidR="00284788" w:rsidRPr="0067621E">
        <w:t>valuation strateg</w:t>
      </w:r>
      <w:r w:rsidR="009A5618">
        <w:t xml:space="preserve">ies </w:t>
      </w:r>
      <w:r w:rsidR="00637CBF">
        <w:t xml:space="preserve">for new and amending </w:t>
      </w:r>
      <w:proofErr w:type="gramStart"/>
      <w:r w:rsidR="00637CBF">
        <w:t>regulations</w:t>
      </w:r>
      <w:proofErr w:type="gramEnd"/>
      <w:r w:rsidR="00284788" w:rsidRPr="00E83E70">
        <w:t xml:space="preserve"> </w:t>
      </w:r>
    </w:p>
    <w:p w14:paraId="697C010A" w14:textId="77777777" w:rsidR="00284788" w:rsidRPr="00DF1DFB" w:rsidRDefault="00284788" w:rsidP="00807CD9">
      <w:pPr>
        <w:pStyle w:val="Highlightboxtextbold"/>
      </w:pPr>
      <w:r w:rsidRPr="00DF1DFB">
        <w:t>What to do</w:t>
      </w:r>
    </w:p>
    <w:p w14:paraId="5540D6FD" w14:textId="77777777" w:rsidR="00284788" w:rsidRPr="00590EBF" w:rsidRDefault="00284788" w:rsidP="00284788">
      <w:pPr>
        <w:pStyle w:val="Highlightboxbullet2"/>
      </w:pPr>
      <w:r w:rsidRPr="00590EBF">
        <w:t>Set out a strategy to evaluate the extent of the change or new law or regulation at certain future milestones (e.g. 3, 5 and 10 years)</w:t>
      </w:r>
    </w:p>
    <w:p w14:paraId="33849981" w14:textId="77777777" w:rsidR="00284788" w:rsidRPr="00590EBF" w:rsidRDefault="00284788" w:rsidP="00284788">
      <w:pPr>
        <w:pStyle w:val="Highlightboxbullet2"/>
      </w:pPr>
      <w:r w:rsidRPr="00590EBF">
        <w:t xml:space="preserve">Set out an evaluation strategy that meets VGR </w:t>
      </w:r>
      <w:proofErr w:type="gramStart"/>
      <w:r w:rsidRPr="00590EBF">
        <w:t>requirements</w:t>
      </w:r>
      <w:proofErr w:type="gramEnd"/>
      <w:r w:rsidRPr="00590EBF">
        <w:t xml:space="preserve"> </w:t>
      </w:r>
    </w:p>
    <w:p w14:paraId="0101AB6E" w14:textId="77777777" w:rsidR="00284788" w:rsidRPr="00523AA6" w:rsidRDefault="00284788" w:rsidP="00284788">
      <w:pPr>
        <w:pStyle w:val="Highlightboxbullet2"/>
        <w:rPr>
          <w:b/>
        </w:rPr>
      </w:pPr>
      <w:r w:rsidRPr="00590EBF">
        <w:t>Capture evaluation commitments at a high level to ensure you can do further work and relevant parties are accountable.</w:t>
      </w:r>
    </w:p>
    <w:p w14:paraId="381A4BF7" w14:textId="77777777" w:rsidR="00284788" w:rsidRDefault="00284788" w:rsidP="00807CD9">
      <w:pPr>
        <w:pStyle w:val="Highlightboxtextbold"/>
      </w:pPr>
      <w:r>
        <w:t>What to document</w:t>
      </w:r>
    </w:p>
    <w:p w14:paraId="63E114A0" w14:textId="77777777" w:rsidR="00284788" w:rsidRPr="00E27981" w:rsidRDefault="00284788" w:rsidP="00284788">
      <w:pPr>
        <w:pStyle w:val="Highlightboxtext2"/>
        <w:rPr>
          <w:rFonts w:eastAsia="VIC" w:cs="VIC"/>
          <w:b/>
        </w:rPr>
      </w:pPr>
      <w:r w:rsidRPr="00E27981">
        <w:t>In the RIS/</w:t>
      </w:r>
      <w:r w:rsidRPr="00356461">
        <w:t>LIA ‘evaluation strategy’ document a clear method for evaluating the actual effects of the preferred option. The evaluation strategy will explain:</w:t>
      </w:r>
    </w:p>
    <w:p w14:paraId="4CE137E2" w14:textId="77777777" w:rsidR="00284788" w:rsidRPr="00E27981" w:rsidRDefault="00284788" w:rsidP="00284788">
      <w:pPr>
        <w:pStyle w:val="Highlightboxbullet2"/>
      </w:pPr>
      <w:r w:rsidRPr="00E27981">
        <w:t xml:space="preserve">what will be </w:t>
      </w:r>
      <w:proofErr w:type="gramStart"/>
      <w:r w:rsidRPr="00E27981">
        <w:t>evaluated</w:t>
      </w:r>
      <w:proofErr w:type="gramEnd"/>
    </w:p>
    <w:p w14:paraId="7729B94E" w14:textId="77777777" w:rsidR="00284788" w:rsidRPr="00E27981" w:rsidRDefault="00284788" w:rsidP="00284788">
      <w:pPr>
        <w:pStyle w:val="Highlightboxbullet2"/>
      </w:pPr>
      <w:r w:rsidRPr="00E27981">
        <w:t>how it will be done</w:t>
      </w:r>
    </w:p>
    <w:p w14:paraId="16B6EE3C" w14:textId="77777777" w:rsidR="00284788" w:rsidRPr="00E27981" w:rsidRDefault="00284788" w:rsidP="00284788">
      <w:pPr>
        <w:pStyle w:val="Highlightboxbullet2"/>
      </w:pPr>
      <w:r w:rsidRPr="00E27981">
        <w:t xml:space="preserve">who will do </w:t>
      </w:r>
      <w:proofErr w:type="gramStart"/>
      <w:r w:rsidRPr="00E27981">
        <w:t>it</w:t>
      </w:r>
      <w:proofErr w:type="gramEnd"/>
    </w:p>
    <w:p w14:paraId="02DE21E2" w14:textId="77777777" w:rsidR="00284788" w:rsidRPr="00356461" w:rsidRDefault="00284788" w:rsidP="00284788">
      <w:pPr>
        <w:pStyle w:val="Highlightboxbullet2"/>
      </w:pPr>
      <w:r w:rsidRPr="00E27981">
        <w:t>when it will be done</w:t>
      </w:r>
      <w:r>
        <w:t>.</w:t>
      </w:r>
    </w:p>
    <w:p w14:paraId="786360E5" w14:textId="77777777" w:rsidR="00753B4E" w:rsidRDefault="00753B4E" w:rsidP="00E92E71">
      <w:pPr>
        <w:pStyle w:val="Spacer"/>
        <w:rPr>
          <w:rFonts w:eastAsia="VIC"/>
        </w:rPr>
      </w:pPr>
    </w:p>
    <w:p w14:paraId="6F762AF2" w14:textId="77D3A6BA" w:rsidR="00284788" w:rsidRDefault="00284788" w:rsidP="00753B4E">
      <w:pPr>
        <w:pStyle w:val="Highlightboxheading2"/>
      </w:pPr>
      <w:r w:rsidRPr="0067621E">
        <w:t xml:space="preserve">Mid-term evaluation </w:t>
      </w:r>
    </w:p>
    <w:p w14:paraId="235A6E71" w14:textId="77777777" w:rsidR="00284788" w:rsidRPr="00E92E71" w:rsidRDefault="00284788" w:rsidP="00807CD9">
      <w:pPr>
        <w:pStyle w:val="Highlightboxtextbold"/>
      </w:pPr>
      <w:r w:rsidRPr="00E92E71">
        <w:t>What to do</w:t>
      </w:r>
    </w:p>
    <w:p w14:paraId="5F4BA783" w14:textId="77777777" w:rsidR="00284788" w:rsidRPr="00E46238" w:rsidRDefault="00284788" w:rsidP="00753B4E">
      <w:pPr>
        <w:pStyle w:val="Highlightboxbullet2"/>
      </w:pPr>
      <w:r w:rsidRPr="00E46238">
        <w:t xml:space="preserve">At a minimum, deliver against commitments made in the RIS/LIA </w:t>
      </w:r>
    </w:p>
    <w:p w14:paraId="74662AD9" w14:textId="77777777" w:rsidR="00284788" w:rsidRPr="00E46238" w:rsidRDefault="00284788" w:rsidP="00753B4E">
      <w:pPr>
        <w:pStyle w:val="Highlightboxbullet2"/>
      </w:pPr>
      <w:r w:rsidRPr="00E46238">
        <w:t xml:space="preserve">As required, draw on up-to-date guidance in the VGR and this toolkit, to build on the minimum </w:t>
      </w:r>
      <w:proofErr w:type="gramStart"/>
      <w:r w:rsidRPr="00E46238">
        <w:t>requirements</w:t>
      </w:r>
      <w:proofErr w:type="gramEnd"/>
      <w:r w:rsidRPr="00E46238">
        <w:t xml:space="preserve"> </w:t>
      </w:r>
    </w:p>
    <w:p w14:paraId="0E86B402" w14:textId="749A6630" w:rsidR="00284788" w:rsidRPr="00E46238" w:rsidRDefault="00284788" w:rsidP="00753B4E">
      <w:pPr>
        <w:pStyle w:val="Highlightboxbullet2"/>
      </w:pPr>
      <w:r w:rsidRPr="00E46238">
        <w:t xml:space="preserve">Analyse the effectiveness of the regulations and document the </w:t>
      </w:r>
      <w:proofErr w:type="gramStart"/>
      <w:r w:rsidRPr="00E46238">
        <w:t>results</w:t>
      </w:r>
      <w:proofErr w:type="gramEnd"/>
    </w:p>
    <w:p w14:paraId="60B456DD" w14:textId="77777777" w:rsidR="00284788" w:rsidRPr="00E46238" w:rsidRDefault="00284788" w:rsidP="00753B4E">
      <w:pPr>
        <w:pStyle w:val="Highlightboxbullet2"/>
      </w:pPr>
      <w:r w:rsidRPr="00E46238">
        <w:t>Focus on the most important attributes of the preferred option (as set out in the impact assessment)</w:t>
      </w:r>
    </w:p>
    <w:p w14:paraId="01754796" w14:textId="77777777" w:rsidR="00284788" w:rsidRPr="00E46238" w:rsidRDefault="00284788" w:rsidP="00753B4E">
      <w:pPr>
        <w:pStyle w:val="Highlightboxbullet2"/>
      </w:pPr>
      <w:r w:rsidRPr="00E46238">
        <w:t xml:space="preserve">Can involve both evaluation of data and qualitative </w:t>
      </w:r>
      <w:proofErr w:type="gramStart"/>
      <w:r w:rsidRPr="00E46238">
        <w:t>feedback</w:t>
      </w:r>
      <w:proofErr w:type="gramEnd"/>
    </w:p>
    <w:p w14:paraId="0B47FD2B" w14:textId="0DB019D8" w:rsidR="00284788" w:rsidRPr="00876709" w:rsidRDefault="00284788" w:rsidP="00753B4E">
      <w:pPr>
        <w:pStyle w:val="Highlightboxbullet2"/>
      </w:pPr>
      <w:r w:rsidRPr="00E46238">
        <w:t xml:space="preserve">May identify </w:t>
      </w:r>
      <w:r w:rsidR="007442F7">
        <w:t>how the problem has changed</w:t>
      </w:r>
      <w:r w:rsidR="007B43DA">
        <w:t xml:space="preserve"> over time and whether </w:t>
      </w:r>
      <w:r w:rsidRPr="00E46238">
        <w:t xml:space="preserve">adjustments need to be made (in regulations or in delivery) given what was learnt and what has </w:t>
      </w:r>
      <w:proofErr w:type="gramStart"/>
      <w:r w:rsidRPr="00E46238">
        <w:t>changed</w:t>
      </w:r>
      <w:proofErr w:type="gramEnd"/>
    </w:p>
    <w:p w14:paraId="63C80C86" w14:textId="77777777" w:rsidR="00284788" w:rsidRPr="00E92E71" w:rsidRDefault="00284788" w:rsidP="00807CD9">
      <w:pPr>
        <w:pStyle w:val="Highlightboxtextbold"/>
      </w:pPr>
      <w:r w:rsidRPr="00E92E71">
        <w:t>What to document</w:t>
      </w:r>
    </w:p>
    <w:p w14:paraId="0C9554FA" w14:textId="77777777" w:rsidR="00284788" w:rsidRPr="00876709" w:rsidRDefault="00284788" w:rsidP="00E92E71">
      <w:pPr>
        <w:pStyle w:val="Highlightboxtext2"/>
      </w:pPr>
      <w:r w:rsidRPr="00876709">
        <w:t>In your evaluation report, apply the strategy set out in the RIS/LIA as a starting point, and describe:</w:t>
      </w:r>
    </w:p>
    <w:p w14:paraId="57E99FFC" w14:textId="77777777" w:rsidR="00284788" w:rsidRPr="0067621E" w:rsidRDefault="00284788" w:rsidP="00753B4E">
      <w:pPr>
        <w:pStyle w:val="Highlightboxbullet2"/>
      </w:pPr>
      <w:r w:rsidRPr="0067621E">
        <w:t xml:space="preserve">the focus and scope of the evaluation </w:t>
      </w:r>
    </w:p>
    <w:p w14:paraId="38AB63FC" w14:textId="77777777" w:rsidR="00284788" w:rsidRPr="0067621E" w:rsidRDefault="00284788" w:rsidP="00753B4E">
      <w:pPr>
        <w:pStyle w:val="Highlightboxbullet2"/>
      </w:pPr>
      <w:r w:rsidRPr="0067621E">
        <w:t xml:space="preserve">the parties </w:t>
      </w:r>
      <w:proofErr w:type="gramStart"/>
      <w:r w:rsidRPr="0067621E">
        <w:t>involved</w:t>
      </w:r>
      <w:proofErr w:type="gramEnd"/>
      <w:r w:rsidRPr="0067621E">
        <w:t xml:space="preserve"> </w:t>
      </w:r>
    </w:p>
    <w:p w14:paraId="2227816E" w14:textId="77777777" w:rsidR="00284788" w:rsidRPr="0067621E" w:rsidRDefault="00284788" w:rsidP="00753B4E">
      <w:pPr>
        <w:pStyle w:val="Highlightboxbullet2"/>
      </w:pPr>
      <w:r w:rsidRPr="0067621E">
        <w:t>the findings of your evaluation, including any unintended impacts</w:t>
      </w:r>
    </w:p>
    <w:p w14:paraId="609D2C5B" w14:textId="77777777" w:rsidR="00284788" w:rsidRPr="0067621E" w:rsidRDefault="00284788" w:rsidP="00753B4E">
      <w:pPr>
        <w:pStyle w:val="Highlightboxbullet2"/>
      </w:pPr>
      <w:r w:rsidRPr="0067621E">
        <w:t>stakeholder feedback and findings (e.g. implementation issues)</w:t>
      </w:r>
    </w:p>
    <w:p w14:paraId="08BB7F45" w14:textId="77777777" w:rsidR="00284788" w:rsidRPr="0067621E" w:rsidRDefault="00284788" w:rsidP="00753B4E">
      <w:pPr>
        <w:pStyle w:val="Highlightboxbullet2"/>
      </w:pPr>
      <w:r w:rsidRPr="0067621E">
        <w:t xml:space="preserve">how well the preferred option </w:t>
      </w:r>
      <w:proofErr w:type="gramStart"/>
      <w:r w:rsidRPr="0067621E">
        <w:t>performed</w:t>
      </w:r>
      <w:proofErr w:type="gramEnd"/>
      <w:r w:rsidRPr="0067621E">
        <w:t xml:space="preserve"> </w:t>
      </w:r>
    </w:p>
    <w:p w14:paraId="1C0E363D" w14:textId="77777777" w:rsidR="00284788" w:rsidRPr="0067621E" w:rsidRDefault="00284788" w:rsidP="00753B4E">
      <w:pPr>
        <w:pStyle w:val="Highlightboxbullet2"/>
      </w:pPr>
      <w:r w:rsidRPr="0067621E">
        <w:t xml:space="preserve">external factors that influenced results </w:t>
      </w:r>
    </w:p>
    <w:p w14:paraId="6843702A" w14:textId="77777777" w:rsidR="00284788" w:rsidRPr="002F4325" w:rsidRDefault="00284788" w:rsidP="00753B4E">
      <w:pPr>
        <w:pStyle w:val="Highlightboxbullet2"/>
      </w:pPr>
      <w:r w:rsidRPr="0067621E">
        <w:t>key adjustments required to the regulations or their implementation, in response to evaluation finding</w:t>
      </w:r>
      <w:r>
        <w:t>.</w:t>
      </w:r>
    </w:p>
    <w:p w14:paraId="6876FD3B" w14:textId="77777777" w:rsidR="00807CD9" w:rsidRDefault="00807CD9" w:rsidP="00807CD9">
      <w:pPr>
        <w:pStyle w:val="Spacer"/>
      </w:pPr>
    </w:p>
    <w:p w14:paraId="2044D62E" w14:textId="665510EB" w:rsidR="00E92E71" w:rsidRPr="00807CD9" w:rsidRDefault="00E92E71" w:rsidP="00807CD9">
      <w:pPr>
        <w:pStyle w:val="Highlightboxheading2"/>
      </w:pPr>
      <w:r w:rsidRPr="00807CD9">
        <w:lastRenderedPageBreak/>
        <w:t>Ongoing evaluation</w:t>
      </w:r>
    </w:p>
    <w:p w14:paraId="2B61E5E5" w14:textId="4F36DD4F" w:rsidR="00E92E71" w:rsidRPr="002D62BD" w:rsidRDefault="00E92E71" w:rsidP="00807CD9">
      <w:pPr>
        <w:pStyle w:val="Highlightboxtextbold"/>
      </w:pPr>
      <w:r w:rsidRPr="00CE6E85">
        <w:t>What to</w:t>
      </w:r>
    </w:p>
    <w:p w14:paraId="65BD5A9B" w14:textId="77777777" w:rsidR="00E92E71" w:rsidRPr="00FE468F" w:rsidRDefault="00E92E71" w:rsidP="00753B4E">
      <w:pPr>
        <w:pStyle w:val="Highlightboxbullet2"/>
      </w:pPr>
      <w:r w:rsidRPr="00FE468F">
        <w:t xml:space="preserve">Identify and respond to issues as they </w:t>
      </w:r>
      <w:proofErr w:type="gramStart"/>
      <w:r w:rsidRPr="00FE468F">
        <w:t>occur</w:t>
      </w:r>
      <w:proofErr w:type="gramEnd"/>
    </w:p>
    <w:p w14:paraId="2C49D309" w14:textId="77777777" w:rsidR="00E92E71" w:rsidRPr="002D62BD" w:rsidRDefault="00E92E71" w:rsidP="00753B4E">
      <w:pPr>
        <w:pStyle w:val="Highlightboxbullet2"/>
      </w:pPr>
      <w:r w:rsidRPr="00FE468F">
        <w:t xml:space="preserve">Build evaluation into ongoing delivery across the regulatory </w:t>
      </w:r>
      <w:proofErr w:type="gramStart"/>
      <w:r w:rsidRPr="00FE468F">
        <w:t>lifecycle</w:t>
      </w:r>
      <w:proofErr w:type="gramEnd"/>
    </w:p>
    <w:p w14:paraId="2731DB3C" w14:textId="77777777" w:rsidR="00E92E71" w:rsidRPr="00CE6E85" w:rsidRDefault="00E92E71" w:rsidP="00807CD9">
      <w:pPr>
        <w:pStyle w:val="Highlightboxtextbold"/>
      </w:pPr>
      <w:r w:rsidRPr="00CE6E85">
        <w:t>What to document</w:t>
      </w:r>
    </w:p>
    <w:p w14:paraId="3EB453E7" w14:textId="77777777" w:rsidR="00E92E71" w:rsidRPr="00FE468F" w:rsidRDefault="00E92E71" w:rsidP="00753B4E">
      <w:pPr>
        <w:pStyle w:val="Highlightboxbullet2"/>
        <w:rPr>
          <w:b/>
        </w:rPr>
      </w:pPr>
      <w:r w:rsidRPr="00FE468F">
        <w:t>Similar material as for a mid-term evaluation. May focus on a subset of indicators or a rolling set of evaluations that look at different aspects of the preferred option and its effects.</w:t>
      </w:r>
    </w:p>
    <w:p w14:paraId="2703AD38" w14:textId="77777777" w:rsidR="00E92E71" w:rsidRPr="002F4325" w:rsidRDefault="00E92E71" w:rsidP="007A19B8">
      <w:pPr>
        <w:pStyle w:val="Spacer"/>
        <w:rPr>
          <w:rFonts w:eastAsia="VIC"/>
        </w:rPr>
      </w:pPr>
    </w:p>
    <w:p w14:paraId="53191130" w14:textId="3EBFEDA2" w:rsidR="00E92E71" w:rsidRDefault="00E92E71" w:rsidP="007A19B8">
      <w:pPr>
        <w:pStyle w:val="Highlightboxheading2"/>
      </w:pPr>
      <w:r w:rsidRPr="007A19B8">
        <w:t xml:space="preserve">RIS when regulations are sunsetting and under </w:t>
      </w:r>
      <w:proofErr w:type="gramStart"/>
      <w:r w:rsidRPr="007A19B8">
        <w:t>review</w:t>
      </w:r>
      <w:proofErr w:type="gramEnd"/>
    </w:p>
    <w:p w14:paraId="5BB55C86" w14:textId="77777777" w:rsidR="00E92E71" w:rsidRPr="009655D9" w:rsidRDefault="00E92E71" w:rsidP="007A19B8">
      <w:pPr>
        <w:pStyle w:val="Highlightboxtextbold"/>
      </w:pPr>
      <w:r>
        <w:t>What to do</w:t>
      </w:r>
    </w:p>
    <w:p w14:paraId="57AB574C" w14:textId="37DC3914" w:rsidR="00E92E71" w:rsidRPr="002D62BD" w:rsidRDefault="00E92E71" w:rsidP="00753B4E">
      <w:pPr>
        <w:pStyle w:val="Highlightboxbullet2"/>
      </w:pPr>
      <w:r w:rsidRPr="002D62BD">
        <w:t xml:space="preserve">At a minimum, evaluate existing regulations and set out a new evaluation strategy for the next cycle, in line with the requirements </w:t>
      </w:r>
      <w:r w:rsidR="00EE492F">
        <w:t xml:space="preserve">for a </w:t>
      </w:r>
      <w:r w:rsidRPr="002D62BD">
        <w:t>RIS</w:t>
      </w:r>
      <w:r w:rsidR="001228CB">
        <w:t xml:space="preserve"> about new or amending regulations</w:t>
      </w:r>
      <w:r w:rsidRPr="002D62BD">
        <w:t>.</w:t>
      </w:r>
    </w:p>
    <w:p w14:paraId="6340D78C" w14:textId="77777777" w:rsidR="00E92E71" w:rsidRPr="002D62BD" w:rsidRDefault="00E92E71" w:rsidP="00753B4E">
      <w:pPr>
        <w:pStyle w:val="Highlightboxbullet2"/>
      </w:pPr>
      <w:r w:rsidRPr="002D62BD">
        <w:t>Drive improved understanding of the problem, filling knowledge gaps and addressing issues identified when making the regulations</w:t>
      </w:r>
      <w:r>
        <w:t>.</w:t>
      </w:r>
    </w:p>
    <w:p w14:paraId="350B6F7B" w14:textId="77777777" w:rsidR="00E92E71" w:rsidRDefault="00E92E71" w:rsidP="007A19B8">
      <w:pPr>
        <w:pStyle w:val="Highlightboxtextbold"/>
      </w:pPr>
      <w:r w:rsidRPr="00CE6E85">
        <w:t>What to document</w:t>
      </w:r>
    </w:p>
    <w:p w14:paraId="7FB13127" w14:textId="77777777" w:rsidR="00E92E71" w:rsidRPr="009655D9" w:rsidRDefault="00E92E71" w:rsidP="007A19B8">
      <w:pPr>
        <w:pStyle w:val="Highlightboxtext2"/>
      </w:pPr>
      <w:r w:rsidRPr="009655D9">
        <w:t xml:space="preserve">As an input into the RIS (e.g. problems definition), validate the current regulations accounting for: </w:t>
      </w:r>
    </w:p>
    <w:p w14:paraId="4BB7A898" w14:textId="77777777" w:rsidR="00E92E71" w:rsidRPr="008A0EAF" w:rsidRDefault="00E92E71" w:rsidP="00753B4E">
      <w:pPr>
        <w:pStyle w:val="Highlightboxbullet2"/>
      </w:pPr>
      <w:r w:rsidRPr="008A0EAF">
        <w:t xml:space="preserve">commitments and plans made in the initial RIS/LIA </w:t>
      </w:r>
    </w:p>
    <w:p w14:paraId="5FCB99C5" w14:textId="77777777" w:rsidR="00E92E71" w:rsidRPr="008A0EAF" w:rsidRDefault="00E92E71" w:rsidP="00753B4E">
      <w:pPr>
        <w:pStyle w:val="Highlightboxbullet2"/>
      </w:pPr>
      <w:r w:rsidRPr="008A0EAF">
        <w:t>current guidance (e.g. this toolkit)</w:t>
      </w:r>
    </w:p>
    <w:p w14:paraId="20D71081" w14:textId="77777777" w:rsidR="00E92E71" w:rsidRPr="008A0EAF" w:rsidRDefault="00E92E71" w:rsidP="00753B4E">
      <w:pPr>
        <w:pStyle w:val="Highlightboxbullet2"/>
      </w:pPr>
      <w:r w:rsidRPr="008A0EAF">
        <w:t>other external factors.</w:t>
      </w:r>
    </w:p>
    <w:p w14:paraId="3BC85788" w14:textId="77777777" w:rsidR="00E92E71" w:rsidRPr="00B54BA2" w:rsidRDefault="00E92E71" w:rsidP="00655697">
      <w:pPr>
        <w:pStyle w:val="Highlightboxtext2"/>
        <w:rPr>
          <w:b/>
          <w:bCs/>
        </w:rPr>
      </w:pPr>
      <w:r w:rsidRPr="009655D9">
        <w:t>Document a new strategy afresh for any proposed replacement regulations.</w:t>
      </w:r>
    </w:p>
    <w:p w14:paraId="7E6CF155" w14:textId="42B59BBE" w:rsidR="002E7574" w:rsidRPr="000E52EE" w:rsidRDefault="004375A3" w:rsidP="007A19B8">
      <w:pPr>
        <w:pStyle w:val="Heading1"/>
        <w:rPr>
          <w:b/>
        </w:rPr>
      </w:pPr>
      <w:bookmarkStart w:id="20" w:name="_Toc153874912"/>
      <w:bookmarkStart w:id="21" w:name="_Toc470598851"/>
      <w:bookmarkStart w:id="22" w:name="_Toc170403077"/>
      <w:bookmarkEnd w:id="16"/>
      <w:r>
        <w:t xml:space="preserve">Step 1: </w:t>
      </w:r>
      <w:r w:rsidR="5415D158" w:rsidRPr="000E52EE">
        <w:t>Developing</w:t>
      </w:r>
      <w:r w:rsidR="002E7574" w:rsidRPr="000E52EE">
        <w:t xml:space="preserve"> </w:t>
      </w:r>
      <w:r w:rsidR="00F9682B">
        <w:t>your</w:t>
      </w:r>
      <w:r w:rsidR="002E7574" w:rsidRPr="000E52EE">
        <w:t xml:space="preserve"> evaluation</w:t>
      </w:r>
      <w:bookmarkEnd w:id="20"/>
      <w:r w:rsidR="6AD5E5FF" w:rsidRPr="000E52EE">
        <w:t xml:space="preserve"> </w:t>
      </w:r>
      <w:proofErr w:type="gramStart"/>
      <w:r w:rsidR="6AD5E5FF" w:rsidRPr="000E52EE">
        <w:t>strategy</w:t>
      </w:r>
      <w:bookmarkEnd w:id="21"/>
      <w:bookmarkEnd w:id="22"/>
      <w:proofErr w:type="gramEnd"/>
    </w:p>
    <w:p w14:paraId="610D283B" w14:textId="1835761A" w:rsidR="004C0EA2" w:rsidRDefault="0005019C" w:rsidP="0005019C">
      <w:pPr>
        <w:spacing w:line="240" w:lineRule="auto"/>
        <w:rPr>
          <w:rFonts w:ascii="VIC" w:hAnsi="VIC"/>
        </w:rPr>
      </w:pPr>
      <w:r w:rsidRPr="5FB80507">
        <w:rPr>
          <w:rFonts w:ascii="VIC" w:hAnsi="VIC"/>
        </w:rPr>
        <w:t xml:space="preserve">The </w:t>
      </w:r>
      <w:r w:rsidRPr="00C71406">
        <w:rPr>
          <w:rFonts w:ascii="VIC" w:hAnsi="VIC"/>
        </w:rPr>
        <w:t>evaluation strategy</w:t>
      </w:r>
      <w:r w:rsidRPr="5FB80507">
        <w:rPr>
          <w:rFonts w:ascii="VIC" w:hAnsi="VIC"/>
          <w:b/>
          <w:bCs/>
        </w:rPr>
        <w:t xml:space="preserve"> </w:t>
      </w:r>
      <w:r w:rsidRPr="5FB80507">
        <w:rPr>
          <w:rFonts w:ascii="VIC" w:hAnsi="VIC"/>
        </w:rPr>
        <w:t xml:space="preserve">you develop as part of your RIS or LIA </w:t>
      </w:r>
      <w:r w:rsidR="00E00F6D">
        <w:rPr>
          <w:rFonts w:ascii="VIC" w:hAnsi="VIC"/>
        </w:rPr>
        <w:t xml:space="preserve">should </w:t>
      </w:r>
      <w:r w:rsidR="00660FE0">
        <w:rPr>
          <w:rFonts w:ascii="VIC" w:hAnsi="VIC"/>
        </w:rPr>
        <w:t>outline</w:t>
      </w:r>
      <w:r w:rsidR="00382234">
        <w:rPr>
          <w:rFonts w:ascii="VIC" w:hAnsi="VIC"/>
        </w:rPr>
        <w:t xml:space="preserve"> </w:t>
      </w:r>
      <w:r w:rsidRPr="5FB80507">
        <w:rPr>
          <w:rFonts w:ascii="VIC" w:hAnsi="VIC"/>
        </w:rPr>
        <w:t>how to deliver the evaluation</w:t>
      </w:r>
      <w:r>
        <w:rPr>
          <w:rFonts w:ascii="VIC" w:hAnsi="VIC"/>
        </w:rPr>
        <w:t xml:space="preserve">. </w:t>
      </w:r>
      <w:r w:rsidR="004C0EA2" w:rsidRPr="000E52EE">
        <w:rPr>
          <w:rFonts w:ascii="VIC" w:hAnsi="VIC"/>
        </w:rPr>
        <w:t>It is typically reviewed and adapted as part of ongoing evaluation processes. The evaluation strategy set</w:t>
      </w:r>
      <w:r w:rsidR="004C0EA2">
        <w:rPr>
          <w:rFonts w:ascii="VIC" w:hAnsi="VIC"/>
        </w:rPr>
        <w:t>s</w:t>
      </w:r>
      <w:r w:rsidR="004C0EA2" w:rsidRPr="000E52EE">
        <w:rPr>
          <w:rFonts w:ascii="VIC" w:hAnsi="VIC"/>
        </w:rPr>
        <w:t xml:space="preserve"> out</w:t>
      </w:r>
      <w:r w:rsidR="00647026">
        <w:rPr>
          <w:rFonts w:ascii="VIC" w:hAnsi="VIC"/>
        </w:rPr>
        <w:t xml:space="preserve"> </w:t>
      </w:r>
      <w:r w:rsidR="004C0EA2" w:rsidRPr="000E52EE">
        <w:rPr>
          <w:rFonts w:ascii="VIC" w:hAnsi="VIC"/>
        </w:rPr>
        <w:t xml:space="preserve">what will be evaluated, how it will be done, who will do it and when. </w:t>
      </w:r>
    </w:p>
    <w:p w14:paraId="178267A1" w14:textId="11CE6CE6" w:rsidR="009A2980" w:rsidRPr="00B451F1" w:rsidRDefault="009A2980" w:rsidP="009A2980">
      <w:pPr>
        <w:spacing w:line="240" w:lineRule="auto"/>
        <w:rPr>
          <w:rFonts w:ascii="VIC" w:hAnsi="VIC"/>
        </w:rPr>
      </w:pPr>
      <w:r w:rsidRPr="00B451F1">
        <w:rPr>
          <w:rFonts w:ascii="VIC" w:hAnsi="VIC"/>
        </w:rPr>
        <w:t xml:space="preserve">Evaluation activities such as data gathering and developing ‘baseline’ measures should </w:t>
      </w:r>
      <w:r>
        <w:rPr>
          <w:rFonts w:ascii="VIC" w:hAnsi="VIC"/>
        </w:rPr>
        <w:t xml:space="preserve">also </w:t>
      </w:r>
      <w:r w:rsidRPr="00B451F1">
        <w:rPr>
          <w:rFonts w:ascii="VIC" w:hAnsi="VIC"/>
        </w:rPr>
        <w:t xml:space="preserve">occur before a regulation is put in place. These activities should inform the ‘problem definition’ to explain the need for regulation, e.g. in a </w:t>
      </w:r>
      <w:proofErr w:type="gramStart"/>
      <w:r w:rsidRPr="00B451F1">
        <w:rPr>
          <w:rFonts w:ascii="VIC" w:hAnsi="VIC"/>
        </w:rPr>
        <w:t>RIS</w:t>
      </w:r>
      <w:proofErr w:type="gramEnd"/>
    </w:p>
    <w:p w14:paraId="2F3CE10F" w14:textId="56007678" w:rsidR="00B55FDB" w:rsidRPr="00D858E0" w:rsidRDefault="008B26E6" w:rsidP="00D858E0">
      <w:pPr>
        <w:spacing w:line="240" w:lineRule="auto"/>
        <w:rPr>
          <w:rFonts w:ascii="VIC" w:hAnsi="VIC"/>
        </w:rPr>
      </w:pPr>
      <w:r>
        <w:rPr>
          <w:rFonts w:ascii="VIC" w:hAnsi="VIC"/>
        </w:rPr>
        <w:t xml:space="preserve">To </w:t>
      </w:r>
      <w:r w:rsidR="00C526AF">
        <w:rPr>
          <w:rFonts w:ascii="VIC" w:hAnsi="VIC"/>
        </w:rPr>
        <w:t>account for these and develop your evaluation stra</w:t>
      </w:r>
      <w:r w:rsidR="0004397B">
        <w:rPr>
          <w:rFonts w:ascii="VIC" w:hAnsi="VIC"/>
        </w:rPr>
        <w:t>tegy</w:t>
      </w:r>
      <w:r w:rsidR="00322283">
        <w:rPr>
          <w:rFonts w:ascii="VIC" w:hAnsi="VIC"/>
        </w:rPr>
        <w:t xml:space="preserve"> you will</w:t>
      </w:r>
      <w:r w:rsidR="005A5C19">
        <w:rPr>
          <w:rFonts w:ascii="VIC" w:hAnsi="VIC"/>
        </w:rPr>
        <w:t xml:space="preserve"> need to consider the following</w:t>
      </w:r>
      <w:r w:rsidR="00E96047">
        <w:rPr>
          <w:rFonts w:ascii="VIC" w:hAnsi="VIC"/>
        </w:rPr>
        <w:t>:</w:t>
      </w:r>
    </w:p>
    <w:p w14:paraId="66653EF5" w14:textId="61D20D11" w:rsidR="00D23967" w:rsidRPr="002258CB" w:rsidRDefault="009645ED" w:rsidP="002258CB">
      <w:pPr>
        <w:pStyle w:val="Bullet1"/>
      </w:pPr>
      <w:hyperlink w:anchor="_Using_evaluation_questions" w:history="1">
        <w:r w:rsidR="005A5C19" w:rsidRPr="002258CB">
          <w:rPr>
            <w:rStyle w:val="Hyperlink"/>
            <w:i w:val="0"/>
            <w:color w:val="000000" w:themeColor="text1"/>
          </w:rPr>
          <w:t>Using</w:t>
        </w:r>
        <w:r w:rsidR="00D23967" w:rsidRPr="002258CB">
          <w:rPr>
            <w:rStyle w:val="Hyperlink"/>
            <w:i w:val="0"/>
            <w:color w:val="000000" w:themeColor="text1"/>
          </w:rPr>
          <w:t xml:space="preserve"> key evaluation questions to develop indicators</w:t>
        </w:r>
      </w:hyperlink>
    </w:p>
    <w:p w14:paraId="41B1E186" w14:textId="3F2FF9FB" w:rsidR="00D23967" w:rsidRPr="002258CB" w:rsidRDefault="009645ED" w:rsidP="002258CB">
      <w:pPr>
        <w:pStyle w:val="Bullet1"/>
      </w:pPr>
      <w:hyperlink w:anchor="_Developing_measures_for" w:history="1">
        <w:r w:rsidR="005A5C19" w:rsidRPr="002258CB">
          <w:rPr>
            <w:rStyle w:val="Hyperlink"/>
            <w:i w:val="0"/>
            <w:color w:val="000000" w:themeColor="text1"/>
          </w:rPr>
          <w:t>D</w:t>
        </w:r>
        <w:r w:rsidR="00D23967" w:rsidRPr="002258CB">
          <w:rPr>
            <w:rStyle w:val="Hyperlink"/>
            <w:i w:val="0"/>
            <w:color w:val="000000" w:themeColor="text1"/>
          </w:rPr>
          <w:t>evelop</w:t>
        </w:r>
        <w:r w:rsidR="005A5C19" w:rsidRPr="002258CB">
          <w:rPr>
            <w:rStyle w:val="Hyperlink"/>
            <w:i w:val="0"/>
            <w:color w:val="000000" w:themeColor="text1"/>
          </w:rPr>
          <w:t>ing</w:t>
        </w:r>
        <w:r w:rsidR="00D23967" w:rsidRPr="002258CB">
          <w:rPr>
            <w:rStyle w:val="Hyperlink"/>
            <w:i w:val="0"/>
            <w:color w:val="000000" w:themeColor="text1"/>
          </w:rPr>
          <w:t xml:space="preserve"> </w:t>
        </w:r>
        <w:r w:rsidR="001E3A8C" w:rsidRPr="002258CB">
          <w:rPr>
            <w:rStyle w:val="Hyperlink"/>
            <w:i w:val="0"/>
            <w:color w:val="000000" w:themeColor="text1"/>
          </w:rPr>
          <w:t xml:space="preserve">appropriate </w:t>
        </w:r>
        <w:r w:rsidR="0036590A" w:rsidRPr="002258CB">
          <w:rPr>
            <w:rStyle w:val="Hyperlink"/>
            <w:i w:val="0"/>
            <w:color w:val="000000" w:themeColor="text1"/>
          </w:rPr>
          <w:t xml:space="preserve">indicator </w:t>
        </w:r>
        <w:r w:rsidR="00D23967" w:rsidRPr="002258CB">
          <w:rPr>
            <w:rStyle w:val="Hyperlink"/>
            <w:i w:val="0"/>
            <w:color w:val="000000" w:themeColor="text1"/>
          </w:rPr>
          <w:t>measures</w:t>
        </w:r>
        <w:r w:rsidR="00322283" w:rsidRPr="002258CB">
          <w:rPr>
            <w:rStyle w:val="Hyperlink"/>
            <w:i w:val="0"/>
            <w:color w:val="000000" w:themeColor="text1"/>
          </w:rPr>
          <w:t xml:space="preserve"> </w:t>
        </w:r>
        <w:r w:rsidR="00D23967" w:rsidRPr="002258CB">
          <w:rPr>
            <w:rStyle w:val="Hyperlink"/>
            <w:i w:val="0"/>
            <w:color w:val="000000" w:themeColor="text1"/>
          </w:rPr>
          <w:t>and establis</w:t>
        </w:r>
        <w:r w:rsidR="0036590A" w:rsidRPr="002258CB">
          <w:rPr>
            <w:rStyle w:val="Hyperlink"/>
            <w:i w:val="0"/>
            <w:color w:val="000000" w:themeColor="text1"/>
          </w:rPr>
          <w:t>h</w:t>
        </w:r>
        <w:r w:rsidR="001173CB">
          <w:rPr>
            <w:rStyle w:val="Hyperlink"/>
            <w:i w:val="0"/>
            <w:color w:val="000000" w:themeColor="text1"/>
          </w:rPr>
          <w:t>ing</w:t>
        </w:r>
        <w:r w:rsidR="00D23967" w:rsidRPr="002258CB">
          <w:rPr>
            <w:rStyle w:val="Hyperlink"/>
            <w:i w:val="0"/>
            <w:color w:val="000000" w:themeColor="text1"/>
          </w:rPr>
          <w:t xml:space="preserve"> a baseline</w:t>
        </w:r>
      </w:hyperlink>
    </w:p>
    <w:p w14:paraId="6025A8BF" w14:textId="339AFDF9" w:rsidR="00D23967" w:rsidRPr="002258CB" w:rsidRDefault="00002FF0" w:rsidP="002258CB">
      <w:pPr>
        <w:pStyle w:val="Bullet1"/>
      </w:pPr>
      <w:r>
        <w:t xml:space="preserve">Undertaking </w:t>
      </w:r>
      <w:r w:rsidR="00A22356">
        <w:t xml:space="preserve">evaluation </w:t>
      </w:r>
      <w:r w:rsidR="00C70294">
        <w:t xml:space="preserve">in </w:t>
      </w:r>
      <w:hyperlink w:anchor="_How_to_address_1" w:history="1">
        <w:r w:rsidR="00146AAA" w:rsidRPr="002258CB">
          <w:rPr>
            <w:rStyle w:val="Hyperlink"/>
            <w:i w:val="0"/>
            <w:color w:val="000000" w:themeColor="text1"/>
          </w:rPr>
          <w:t xml:space="preserve">specific scenarios </w:t>
        </w:r>
        <w:r w:rsidR="006A58EE" w:rsidRPr="002258CB">
          <w:rPr>
            <w:rStyle w:val="Hyperlink"/>
            <w:i w:val="0"/>
            <w:color w:val="000000" w:themeColor="text1"/>
          </w:rPr>
          <w:t>and</w:t>
        </w:r>
        <w:r w:rsidR="00146AAA" w:rsidRPr="002258CB">
          <w:rPr>
            <w:rStyle w:val="Hyperlink"/>
            <w:i w:val="0"/>
            <w:color w:val="000000" w:themeColor="text1"/>
          </w:rPr>
          <w:t xml:space="preserve"> </w:t>
        </w:r>
        <w:r w:rsidR="00C70294">
          <w:rPr>
            <w:rStyle w:val="Hyperlink"/>
            <w:i w:val="0"/>
            <w:color w:val="000000" w:themeColor="text1"/>
          </w:rPr>
          <w:t xml:space="preserve">different </w:t>
        </w:r>
        <w:r w:rsidR="00146AAA" w:rsidRPr="002258CB">
          <w:rPr>
            <w:rStyle w:val="Hyperlink"/>
            <w:i w:val="0"/>
            <w:color w:val="000000" w:themeColor="text1"/>
          </w:rPr>
          <w:t>kinds of evaluation</w:t>
        </w:r>
      </w:hyperlink>
    </w:p>
    <w:p w14:paraId="2FF6C18C" w14:textId="5A309E75" w:rsidR="00D95775" w:rsidRPr="002258CB" w:rsidRDefault="009645ED" w:rsidP="002258CB">
      <w:pPr>
        <w:pStyle w:val="Bullet1"/>
      </w:pPr>
      <w:hyperlink w:anchor="_Use_a_program" w:history="1">
        <w:r w:rsidR="00C04C78" w:rsidRPr="002258CB">
          <w:rPr>
            <w:rStyle w:val="Hyperlink"/>
            <w:i w:val="0"/>
            <w:color w:val="000000" w:themeColor="text1"/>
          </w:rPr>
          <w:t>D</w:t>
        </w:r>
        <w:r w:rsidR="00D95775" w:rsidRPr="002258CB">
          <w:rPr>
            <w:rStyle w:val="Hyperlink"/>
            <w:i w:val="0"/>
            <w:color w:val="000000" w:themeColor="text1"/>
          </w:rPr>
          <w:t>evelop</w:t>
        </w:r>
        <w:r w:rsidR="00C04C78" w:rsidRPr="002258CB">
          <w:rPr>
            <w:rStyle w:val="Hyperlink"/>
            <w:i w:val="0"/>
            <w:color w:val="000000" w:themeColor="text1"/>
          </w:rPr>
          <w:t>ing</w:t>
        </w:r>
        <w:r w:rsidR="00D95775" w:rsidRPr="002258CB">
          <w:rPr>
            <w:rStyle w:val="Hyperlink"/>
            <w:i w:val="0"/>
            <w:color w:val="000000" w:themeColor="text1"/>
          </w:rPr>
          <w:t xml:space="preserve"> a program logic model</w:t>
        </w:r>
        <w:r w:rsidR="006A58EE" w:rsidRPr="002258CB">
          <w:rPr>
            <w:rStyle w:val="Hyperlink"/>
            <w:i w:val="0"/>
            <w:color w:val="000000" w:themeColor="text1"/>
          </w:rPr>
          <w:t xml:space="preserve"> that </w:t>
        </w:r>
        <w:r w:rsidR="00D95775" w:rsidRPr="002258CB">
          <w:rPr>
            <w:rStyle w:val="Hyperlink"/>
            <w:i w:val="0"/>
            <w:color w:val="000000" w:themeColor="text1"/>
          </w:rPr>
          <w:t xml:space="preserve">links regulator actions </w:t>
        </w:r>
        <w:r w:rsidR="00741D9C" w:rsidRPr="002258CB">
          <w:rPr>
            <w:rStyle w:val="Hyperlink"/>
            <w:i w:val="0"/>
            <w:color w:val="000000" w:themeColor="text1"/>
          </w:rPr>
          <w:t>with</w:t>
        </w:r>
        <w:r w:rsidR="00D95775" w:rsidRPr="002258CB">
          <w:rPr>
            <w:rStyle w:val="Hyperlink"/>
            <w:i w:val="0"/>
            <w:color w:val="000000" w:themeColor="text1"/>
          </w:rPr>
          <w:t xml:space="preserve"> behaviour change</w:t>
        </w:r>
      </w:hyperlink>
    </w:p>
    <w:p w14:paraId="73B4741A" w14:textId="5C0E0B34" w:rsidR="0003046E" w:rsidRPr="00034DB4" w:rsidRDefault="009645ED" w:rsidP="002258CB">
      <w:pPr>
        <w:pStyle w:val="Bullet1"/>
      </w:pPr>
      <w:hyperlink w:anchor="_External_measurements_of" w:history="1">
        <w:r w:rsidR="00C04C78" w:rsidRPr="002258CB">
          <w:rPr>
            <w:rStyle w:val="Hyperlink"/>
            <w:i w:val="0"/>
            <w:color w:val="000000" w:themeColor="text1"/>
          </w:rPr>
          <w:t>A</w:t>
        </w:r>
        <w:r w:rsidR="00E97BC0" w:rsidRPr="002258CB">
          <w:rPr>
            <w:rStyle w:val="Hyperlink"/>
            <w:i w:val="0"/>
            <w:color w:val="000000" w:themeColor="text1"/>
          </w:rPr>
          <w:t>ccount</w:t>
        </w:r>
        <w:r w:rsidR="00C04C78" w:rsidRPr="002258CB">
          <w:rPr>
            <w:rStyle w:val="Hyperlink"/>
            <w:i w:val="0"/>
            <w:color w:val="000000" w:themeColor="text1"/>
          </w:rPr>
          <w:t>ing</w:t>
        </w:r>
        <w:r w:rsidR="00E97BC0" w:rsidRPr="002258CB">
          <w:rPr>
            <w:rStyle w:val="Hyperlink"/>
            <w:i w:val="0"/>
            <w:color w:val="000000" w:themeColor="text1"/>
          </w:rPr>
          <w:t xml:space="preserve"> for external factors</w:t>
        </w:r>
        <w:r w:rsidR="00741D9C" w:rsidRPr="002258CB">
          <w:rPr>
            <w:rStyle w:val="Hyperlink"/>
            <w:i w:val="0"/>
            <w:color w:val="000000" w:themeColor="text1"/>
          </w:rPr>
          <w:t xml:space="preserve"> </w:t>
        </w:r>
        <w:r w:rsidR="00E97BC0" w:rsidRPr="002258CB">
          <w:rPr>
            <w:rStyle w:val="Hyperlink"/>
            <w:i w:val="0"/>
            <w:color w:val="000000" w:themeColor="text1"/>
          </w:rPr>
          <w:t>that will influence outcomes</w:t>
        </w:r>
      </w:hyperlink>
      <w:r w:rsidR="00741D9C">
        <w:t>.</w:t>
      </w:r>
      <w:bookmarkStart w:id="23" w:name="_Toc933527107"/>
      <w:bookmarkStart w:id="24" w:name="_Use_key_evaluation"/>
    </w:p>
    <w:p w14:paraId="3CFD416C" w14:textId="11926656" w:rsidR="3C2E2ED0" w:rsidRPr="003B581A" w:rsidRDefault="00232FBE" w:rsidP="006411D4">
      <w:pPr>
        <w:pStyle w:val="Heading2"/>
      </w:pPr>
      <w:bookmarkStart w:id="25" w:name="_Using_evaluation_questions"/>
      <w:bookmarkStart w:id="26" w:name="_Toc170403078"/>
      <w:bookmarkEnd w:id="25"/>
      <w:r w:rsidRPr="003B581A">
        <w:lastRenderedPageBreak/>
        <w:t>Us</w:t>
      </w:r>
      <w:r w:rsidR="009A184B">
        <w:t>ing</w:t>
      </w:r>
      <w:r w:rsidRPr="003B581A">
        <w:t xml:space="preserve"> evaluation questions to </w:t>
      </w:r>
      <w:r w:rsidR="009A516F" w:rsidRPr="003B581A">
        <w:t xml:space="preserve">develop </w:t>
      </w:r>
      <w:proofErr w:type="gramStart"/>
      <w:r w:rsidRPr="003B581A">
        <w:t>indicators</w:t>
      </w:r>
      <w:bookmarkEnd w:id="23"/>
      <w:bookmarkEnd w:id="24"/>
      <w:bookmarkEnd w:id="26"/>
      <w:proofErr w:type="gramEnd"/>
    </w:p>
    <w:p w14:paraId="5AA8A564" w14:textId="386CBE1F" w:rsidR="00886506" w:rsidRDefault="0020384C" w:rsidP="000520E5">
      <w:pPr>
        <w:keepNext/>
        <w:spacing w:before="60" w:after="60"/>
        <w:rPr>
          <w:rFonts w:ascii="VIC" w:eastAsia="VIC" w:hAnsi="VIC" w:cs="VIC"/>
        </w:rPr>
      </w:pPr>
      <w:r>
        <w:rPr>
          <w:rFonts w:ascii="VIC" w:eastAsia="VIC" w:hAnsi="VIC" w:cs="VIC"/>
        </w:rPr>
        <w:t xml:space="preserve">Once objectives or outcomes are </w:t>
      </w:r>
      <w:r w:rsidR="00280B25">
        <w:rPr>
          <w:rFonts w:ascii="VIC" w:eastAsia="VIC" w:hAnsi="VIC" w:cs="VIC"/>
        </w:rPr>
        <w:t>established</w:t>
      </w:r>
      <w:r>
        <w:rPr>
          <w:rFonts w:ascii="VIC" w:eastAsia="VIC" w:hAnsi="VIC" w:cs="VIC"/>
        </w:rPr>
        <w:t>, an</w:t>
      </w:r>
      <w:r w:rsidRPr="006244CF">
        <w:rPr>
          <w:rFonts w:ascii="VIC" w:eastAsia="VIC" w:hAnsi="VIC" w:cs="VIC"/>
        </w:rPr>
        <w:t xml:space="preserve"> </w:t>
      </w:r>
      <w:r w:rsidR="5962C422" w:rsidRPr="006244CF">
        <w:rPr>
          <w:rFonts w:ascii="VIC" w:eastAsia="VIC" w:hAnsi="VIC" w:cs="VIC"/>
        </w:rPr>
        <w:t xml:space="preserve">evaluation strategy </w:t>
      </w:r>
      <w:r w:rsidR="00BC663E">
        <w:rPr>
          <w:rFonts w:ascii="VIC" w:eastAsia="VIC" w:hAnsi="VIC" w:cs="VIC"/>
        </w:rPr>
        <w:t>can be</w:t>
      </w:r>
      <w:r w:rsidR="00061847" w:rsidRPr="006244CF">
        <w:rPr>
          <w:rFonts w:ascii="VIC" w:eastAsia="VIC" w:hAnsi="VIC" w:cs="VIC"/>
        </w:rPr>
        <w:t xml:space="preserve"> designed </w:t>
      </w:r>
      <w:r w:rsidR="5962C422" w:rsidRPr="006244CF">
        <w:rPr>
          <w:rFonts w:ascii="VIC" w:eastAsia="VIC" w:hAnsi="VIC" w:cs="VIC"/>
        </w:rPr>
        <w:t>around key evaluation questions</w:t>
      </w:r>
      <w:r w:rsidR="00F365D0">
        <w:rPr>
          <w:rFonts w:ascii="VIC" w:eastAsia="VIC" w:hAnsi="VIC" w:cs="VIC"/>
        </w:rPr>
        <w:t xml:space="preserve"> that help define indicators</w:t>
      </w:r>
      <w:r w:rsidR="5962C422" w:rsidRPr="006244CF">
        <w:rPr>
          <w:rFonts w:ascii="VIC" w:eastAsia="VIC" w:hAnsi="VIC" w:cs="VIC"/>
        </w:rPr>
        <w:t xml:space="preserve">. </w:t>
      </w:r>
    </w:p>
    <w:p w14:paraId="57B1D5B9" w14:textId="77777777" w:rsidR="00CF5901" w:rsidRDefault="5962C422" w:rsidP="000520E5">
      <w:pPr>
        <w:spacing w:before="60" w:after="60"/>
        <w:rPr>
          <w:rFonts w:ascii="VIC" w:eastAsia="VIC" w:hAnsi="VIC" w:cs="VIC"/>
        </w:rPr>
      </w:pPr>
      <w:r w:rsidRPr="006244CF">
        <w:rPr>
          <w:rFonts w:ascii="VIC" w:eastAsia="VIC" w:hAnsi="VIC" w:cs="VIC"/>
        </w:rPr>
        <w:t xml:space="preserve">These address important gaps in knowledge, areas of uncertainty </w:t>
      </w:r>
      <w:r w:rsidR="00E6760F">
        <w:rPr>
          <w:rFonts w:ascii="VIC" w:eastAsia="VIC" w:hAnsi="VIC" w:cs="VIC"/>
        </w:rPr>
        <w:t>and</w:t>
      </w:r>
      <w:r w:rsidRPr="006244CF">
        <w:rPr>
          <w:rFonts w:ascii="VIC" w:eastAsia="VIC" w:hAnsi="VIC" w:cs="VIC"/>
        </w:rPr>
        <w:t xml:space="preserve"> change, attributes of the problem, regulation provisions, and resourcing commitments. </w:t>
      </w:r>
    </w:p>
    <w:p w14:paraId="1F7601F3" w14:textId="3A9F9ED5" w:rsidR="00EF3A4F" w:rsidRDefault="00B859FC" w:rsidP="000520E5">
      <w:pPr>
        <w:spacing w:before="60" w:after="60" w:line="240" w:lineRule="auto"/>
        <w:rPr>
          <w:rFonts w:ascii="VIC" w:hAnsi="VIC"/>
        </w:rPr>
      </w:pPr>
      <w:proofErr w:type="gramStart"/>
      <w:r>
        <w:rPr>
          <w:rFonts w:ascii="VIC" w:hAnsi="VIC"/>
        </w:rPr>
        <w:t xml:space="preserve">In order </w:t>
      </w:r>
      <w:r w:rsidR="00BC663E">
        <w:rPr>
          <w:rFonts w:ascii="VIC" w:hAnsi="VIC"/>
        </w:rPr>
        <w:t>to</w:t>
      </w:r>
      <w:proofErr w:type="gramEnd"/>
      <w:r w:rsidR="00BC663E">
        <w:rPr>
          <w:rFonts w:ascii="VIC" w:hAnsi="VIC"/>
        </w:rPr>
        <w:t xml:space="preserve"> </w:t>
      </w:r>
      <w:r>
        <w:rPr>
          <w:rFonts w:ascii="VIC" w:hAnsi="VIC"/>
        </w:rPr>
        <w:t>establish indicators, e</w:t>
      </w:r>
      <w:r w:rsidR="00704CC7" w:rsidRPr="006244CF">
        <w:rPr>
          <w:rFonts w:ascii="VIC" w:hAnsi="VIC"/>
        </w:rPr>
        <w:t xml:space="preserve">valuation </w:t>
      </w:r>
      <w:r w:rsidR="00C84189">
        <w:rPr>
          <w:rFonts w:ascii="VIC" w:hAnsi="VIC"/>
        </w:rPr>
        <w:t xml:space="preserve">questions </w:t>
      </w:r>
      <w:r w:rsidR="0059449C">
        <w:rPr>
          <w:rFonts w:ascii="VIC" w:hAnsi="VIC"/>
        </w:rPr>
        <w:t xml:space="preserve">should </w:t>
      </w:r>
      <w:r w:rsidR="00704CC7" w:rsidRPr="006244CF">
        <w:rPr>
          <w:rFonts w:ascii="VIC" w:hAnsi="VIC"/>
        </w:rPr>
        <w:t xml:space="preserve">seek to </w:t>
      </w:r>
      <w:r w:rsidR="00C84189">
        <w:rPr>
          <w:rFonts w:ascii="VIC" w:hAnsi="VIC"/>
        </w:rPr>
        <w:t xml:space="preserve">establish and </w:t>
      </w:r>
      <w:r w:rsidR="00704CC7" w:rsidRPr="006244CF">
        <w:rPr>
          <w:rFonts w:ascii="VIC" w:hAnsi="VIC"/>
        </w:rPr>
        <w:t xml:space="preserve">measure </w:t>
      </w:r>
      <w:r w:rsidR="002B0EFC" w:rsidRPr="006244CF">
        <w:rPr>
          <w:rFonts w:ascii="VIC" w:hAnsi="VIC"/>
        </w:rPr>
        <w:t>three components</w:t>
      </w:r>
      <w:r w:rsidR="007B12FB">
        <w:rPr>
          <w:rFonts w:ascii="VIC" w:hAnsi="VIC"/>
        </w:rPr>
        <w:t xml:space="preserve"> (shown below)</w:t>
      </w:r>
      <w:r w:rsidR="00283681">
        <w:rPr>
          <w:rFonts w:ascii="VIC" w:hAnsi="VIC"/>
        </w:rPr>
        <w:t xml:space="preserve"> which form the basis of </w:t>
      </w:r>
      <w:r w:rsidR="00C36F11">
        <w:rPr>
          <w:rFonts w:ascii="VIC" w:hAnsi="VIC"/>
        </w:rPr>
        <w:t>the</w:t>
      </w:r>
      <w:r w:rsidR="00283681">
        <w:rPr>
          <w:rFonts w:ascii="VIC" w:hAnsi="VIC"/>
        </w:rPr>
        <w:t xml:space="preserve"> </w:t>
      </w:r>
      <w:r w:rsidR="007873EB">
        <w:rPr>
          <w:rFonts w:ascii="VIC" w:hAnsi="VIC"/>
        </w:rPr>
        <w:t>evaluation process</w:t>
      </w:r>
      <w:r w:rsidR="00600DE5">
        <w:rPr>
          <w:rFonts w:ascii="VIC" w:hAnsi="VIC"/>
        </w:rPr>
        <w:t xml:space="preserve"> and show </w:t>
      </w:r>
      <w:r w:rsidR="00600DE5" w:rsidRPr="00107D51">
        <w:rPr>
          <w:rFonts w:ascii="VIC" w:hAnsi="VIC"/>
        </w:rPr>
        <w:t>if objectives have been achieved</w:t>
      </w:r>
      <w:r w:rsidR="00EF3A4F">
        <w:rPr>
          <w:rFonts w:ascii="VIC" w:hAnsi="VIC"/>
        </w:rPr>
        <w:t>.</w:t>
      </w:r>
    </w:p>
    <w:p w14:paraId="1D36C6FA" w14:textId="21D0AA40" w:rsidR="0050785D" w:rsidRDefault="00576519" w:rsidP="000520E5">
      <w:pPr>
        <w:spacing w:before="60" w:after="60" w:line="240" w:lineRule="auto"/>
        <w:rPr>
          <w:rFonts w:ascii="VIC" w:hAnsi="VIC"/>
        </w:rPr>
      </w:pPr>
      <w:r>
        <w:rPr>
          <w:rFonts w:ascii="VIC" w:hAnsi="VIC"/>
        </w:rPr>
        <w:t>The three</w:t>
      </w:r>
      <w:r w:rsidR="00DD520E">
        <w:rPr>
          <w:rFonts w:ascii="VIC" w:hAnsi="VIC"/>
        </w:rPr>
        <w:t xml:space="preserve"> components are:</w:t>
      </w:r>
    </w:p>
    <w:p w14:paraId="2E1417CE" w14:textId="4FF3B6B9" w:rsidR="00C41FE0" w:rsidRPr="00C41FE0" w:rsidRDefault="0006722F" w:rsidP="006132FB">
      <w:pPr>
        <w:pStyle w:val="Bullet1"/>
        <w:rPr>
          <w:rFonts w:ascii="VIC" w:hAnsi="VIC"/>
        </w:rPr>
      </w:pPr>
      <w:r w:rsidRPr="006132FB">
        <w:rPr>
          <w:rFonts w:ascii="VIC" w:hAnsi="VIC"/>
          <w:b/>
          <w:bCs/>
        </w:rPr>
        <w:t>Effectiveness</w:t>
      </w:r>
      <w:r w:rsidR="00FF22B2" w:rsidRPr="006132FB">
        <w:rPr>
          <w:rFonts w:ascii="VIC" w:hAnsi="VIC"/>
        </w:rPr>
        <w:t>: the extent to which the regulation achieves its intended objectives. It</w:t>
      </w:r>
      <w:r w:rsidR="00733AA4">
        <w:rPr>
          <w:rFonts w:ascii="Calibri" w:hAnsi="Calibri"/>
        </w:rPr>
        <w:t> </w:t>
      </w:r>
      <w:r w:rsidR="00FF22B2" w:rsidRPr="006132FB">
        <w:rPr>
          <w:rFonts w:ascii="VIC" w:hAnsi="VIC"/>
        </w:rPr>
        <w:t xml:space="preserve">includes the extent to which there are adverse or unintended </w:t>
      </w:r>
      <w:r w:rsidR="00FF22B2" w:rsidRPr="00C41FE0">
        <w:rPr>
          <w:rFonts w:ascii="VIC" w:hAnsi="VIC"/>
        </w:rPr>
        <w:t>consequences.</w:t>
      </w:r>
    </w:p>
    <w:p w14:paraId="4E54A79E" w14:textId="77777777" w:rsidR="00B915D8" w:rsidRPr="00B915D8" w:rsidRDefault="00B915D8" w:rsidP="00B915D8">
      <w:pPr>
        <w:pStyle w:val="Bullet1"/>
        <w:numPr>
          <w:ilvl w:val="0"/>
          <w:numId w:val="0"/>
        </w:numPr>
        <w:ind w:left="360"/>
        <w:rPr>
          <w:rFonts w:ascii="VIC" w:hAnsi="VIC"/>
        </w:rPr>
      </w:pPr>
      <w:r w:rsidRPr="00B915D8">
        <w:rPr>
          <w:rFonts w:ascii="VIC" w:hAnsi="VIC"/>
        </w:rPr>
        <w:t>Evaluations involving regulator actions should often seek to measure the following aspects of regulator delivery:</w:t>
      </w:r>
    </w:p>
    <w:p w14:paraId="4F765F76" w14:textId="6133B3FD" w:rsidR="009D34A8" w:rsidRPr="0003046E" w:rsidRDefault="009F5BEC" w:rsidP="00733AA4">
      <w:pPr>
        <w:pStyle w:val="Bullet2"/>
        <w:spacing w:line="240" w:lineRule="auto"/>
        <w:ind w:left="714" w:hanging="357"/>
      </w:pPr>
      <w:r>
        <w:t>e</w:t>
      </w:r>
      <w:r w:rsidRPr="0003046E">
        <w:t>fforts</w:t>
      </w:r>
      <w:r w:rsidR="009D34A8" w:rsidRPr="0003046E">
        <w:t xml:space="preserve"> to monitor non-compliance were well-targeted, detected issues, and created a deterrent (including through related communications)</w:t>
      </w:r>
    </w:p>
    <w:p w14:paraId="0B3914B3" w14:textId="0217C135" w:rsidR="009D34A8" w:rsidRPr="0003046E" w:rsidRDefault="009F5BEC" w:rsidP="00733AA4">
      <w:pPr>
        <w:pStyle w:val="Bullet2"/>
        <w:spacing w:line="240" w:lineRule="auto"/>
        <w:ind w:left="714" w:hanging="357"/>
      </w:pPr>
      <w:r>
        <w:t>a</w:t>
      </w:r>
      <w:r w:rsidRPr="0003046E">
        <w:t>ctions</w:t>
      </w:r>
      <w:r w:rsidR="009D34A8" w:rsidRPr="0003046E">
        <w:t xml:space="preserve"> to respond to non-compliance created specific or general </w:t>
      </w:r>
      <w:proofErr w:type="gramStart"/>
      <w:r w:rsidR="009D34A8" w:rsidRPr="0003046E">
        <w:t>deterrence</w:t>
      </w:r>
      <w:proofErr w:type="gramEnd"/>
    </w:p>
    <w:p w14:paraId="5ED83CFA" w14:textId="641E8955" w:rsidR="0090428E" w:rsidRPr="0090428E" w:rsidRDefault="009F5BEC" w:rsidP="00733AA4">
      <w:pPr>
        <w:pStyle w:val="Bullet2"/>
        <w:spacing w:line="240" w:lineRule="auto"/>
        <w:ind w:left="714" w:hanging="357"/>
      </w:pPr>
      <w:r>
        <w:t>o</w:t>
      </w:r>
      <w:r w:rsidRPr="0003046E">
        <w:t>ther</w:t>
      </w:r>
      <w:r w:rsidR="009D34A8" w:rsidRPr="0003046E">
        <w:t xml:space="preserve"> enabling activity (e.g. disseminating guidance) helped to increase industry understanding and performance</w:t>
      </w:r>
      <w:r w:rsidR="00A25715">
        <w:t>.</w:t>
      </w:r>
    </w:p>
    <w:p w14:paraId="40C6D712" w14:textId="697DE6C1" w:rsidR="0003046E" w:rsidRDefault="0006722F" w:rsidP="006132FB">
      <w:pPr>
        <w:pStyle w:val="Bullet1"/>
        <w:rPr>
          <w:rFonts w:ascii="VIC" w:hAnsi="VIC"/>
        </w:rPr>
      </w:pPr>
      <w:r w:rsidRPr="006132FB">
        <w:rPr>
          <w:rFonts w:ascii="VIC" w:hAnsi="VIC"/>
          <w:b/>
          <w:bCs/>
        </w:rPr>
        <w:t>Efficiency</w:t>
      </w:r>
      <w:r w:rsidR="003333F5" w:rsidRPr="006132FB">
        <w:rPr>
          <w:rFonts w:ascii="VIC" w:hAnsi="VIC"/>
        </w:rPr>
        <w:t xml:space="preserve">: this refers to the relationship between resources and outcomes. An efficient outcome is one that produces the desired benefit (outcome) at the least </w:t>
      </w:r>
      <w:proofErr w:type="gramStart"/>
      <w:r w:rsidR="003333F5" w:rsidRPr="006132FB">
        <w:rPr>
          <w:rFonts w:ascii="VIC" w:hAnsi="VIC"/>
        </w:rPr>
        <w:t>cost, or</w:t>
      </w:r>
      <w:proofErr w:type="gramEnd"/>
      <w:r w:rsidR="000520E5">
        <w:rPr>
          <w:rFonts w:ascii="Calibri" w:hAnsi="Calibri"/>
        </w:rPr>
        <w:t> </w:t>
      </w:r>
      <w:r w:rsidR="003333F5" w:rsidRPr="006132FB">
        <w:rPr>
          <w:rFonts w:ascii="VIC" w:hAnsi="VIC"/>
        </w:rPr>
        <w:t xml:space="preserve">maximises benefits for a given level of cost. </w:t>
      </w:r>
    </w:p>
    <w:p w14:paraId="6623DF5C" w14:textId="02CD4077" w:rsidR="009E08E0" w:rsidRPr="00861080" w:rsidRDefault="009E08E0" w:rsidP="000520E5">
      <w:pPr>
        <w:pStyle w:val="NormalIndent"/>
        <w:spacing w:before="60" w:after="60"/>
      </w:pPr>
      <w:r w:rsidRPr="00861080">
        <w:t xml:space="preserve">Efficiency involves looking at the relationship between inputs and outputs (e.g. the ratio of effort/resources applied to a given result). Common inputs include use of regulator or service agency resources (e.g. inspection efforts). </w:t>
      </w:r>
    </w:p>
    <w:p w14:paraId="093CCB21" w14:textId="77A02764" w:rsidR="009E08E0" w:rsidRPr="00861080" w:rsidRDefault="009E08E0" w:rsidP="000520E5">
      <w:pPr>
        <w:pStyle w:val="NormalIndent"/>
        <w:spacing w:before="60" w:after="60"/>
      </w:pPr>
      <w:r w:rsidRPr="00861080">
        <w:t xml:space="preserve">It is important to consider how those inputs were deployed or aligned (e.g. if inspections were deployed to problem areas) as well as resource efficiency (e.g. the costs of inputs to deliver a quantity of outputs). </w:t>
      </w:r>
    </w:p>
    <w:p w14:paraId="537A3722" w14:textId="56142ECC" w:rsidR="0003046E" w:rsidRPr="0003046E" w:rsidRDefault="00B915D8" w:rsidP="000520E5">
      <w:pPr>
        <w:pStyle w:val="NormalIndent"/>
        <w:spacing w:before="60" w:after="60"/>
      </w:pPr>
      <w:r w:rsidRPr="00B915D8">
        <w:t>Evaluations involving regulator actions should often seek to measure the following aspects of regulator delivery:</w:t>
      </w:r>
    </w:p>
    <w:p w14:paraId="2735AEF3" w14:textId="77777777" w:rsidR="0003046E" w:rsidRPr="00D34187" w:rsidRDefault="0003046E" w:rsidP="00733AA4">
      <w:pPr>
        <w:pStyle w:val="Bullet2"/>
        <w:spacing w:line="240" w:lineRule="auto"/>
        <w:ind w:left="714" w:hanging="357"/>
      </w:pPr>
      <w:r w:rsidRPr="00D34187">
        <w:t>resources were deployed to the right focus areas (e.g. monitoring higher-risk industry more than good performers)</w:t>
      </w:r>
    </w:p>
    <w:p w14:paraId="518558D9" w14:textId="77777777" w:rsidR="0003046E" w:rsidRPr="00D34187" w:rsidRDefault="0003046E" w:rsidP="00733AA4">
      <w:pPr>
        <w:pStyle w:val="Bullet2"/>
        <w:spacing w:line="240" w:lineRule="auto"/>
        <w:ind w:left="714" w:hanging="357"/>
      </w:pPr>
      <w:r w:rsidRPr="00D34187">
        <w:t>resources were productive, including the time and budget involved (this may account for costs to industry)</w:t>
      </w:r>
    </w:p>
    <w:p w14:paraId="69A7D1A7" w14:textId="508E71E6" w:rsidR="00F65B51" w:rsidRPr="0003046E" w:rsidRDefault="0003046E" w:rsidP="00733AA4">
      <w:pPr>
        <w:pStyle w:val="Bullet2"/>
        <w:spacing w:line="240" w:lineRule="auto"/>
        <w:ind w:left="714" w:hanging="357"/>
      </w:pPr>
      <w:r w:rsidRPr="00D34187">
        <w:t>overheads were well managed and efficient rework was minimised, for example if complaints were managed efficiently without having to be reopened</w:t>
      </w:r>
      <w:r w:rsidR="008B0B44">
        <w:t>.</w:t>
      </w:r>
    </w:p>
    <w:p w14:paraId="642C0B9E" w14:textId="1F407941" w:rsidR="00061A9A" w:rsidRPr="00A666A4" w:rsidRDefault="002B0EFC" w:rsidP="00595336">
      <w:pPr>
        <w:pStyle w:val="Bullet1"/>
        <w:keepNext/>
        <w:rPr>
          <w:rFonts w:ascii="VIC" w:hAnsi="VIC"/>
        </w:rPr>
      </w:pPr>
      <w:r w:rsidRPr="006132FB">
        <w:rPr>
          <w:rFonts w:ascii="VIC" w:hAnsi="VIC"/>
          <w:b/>
          <w:bCs/>
        </w:rPr>
        <w:t>Intrinsic Value</w:t>
      </w:r>
      <w:r w:rsidR="00196101" w:rsidRPr="006132FB">
        <w:rPr>
          <w:rFonts w:ascii="VIC" w:hAnsi="VIC"/>
        </w:rPr>
        <w:t xml:space="preserve">: </w:t>
      </w:r>
      <w:r w:rsidR="00061A9A" w:rsidRPr="00A666A4">
        <w:rPr>
          <w:rFonts w:ascii="VIC" w:hAnsi="VIC"/>
        </w:rPr>
        <w:t xml:space="preserve">Intrinsic values are not directly part of delivering the intended objectives but are important to measure (and possibly to maintain or promote). </w:t>
      </w:r>
    </w:p>
    <w:p w14:paraId="08C68F15" w14:textId="77777777" w:rsidR="00061A9A" w:rsidRPr="0066048F" w:rsidRDefault="00061A9A" w:rsidP="000520E5">
      <w:pPr>
        <w:pStyle w:val="NormalIndent"/>
        <w:spacing w:before="60" w:after="60"/>
      </w:pPr>
      <w:r w:rsidRPr="0066048F">
        <w:t>They may reflect procedural fairness and transparency in decision-making, effective engagement with industry, and efficient compliance processes and requirements.</w:t>
      </w:r>
    </w:p>
    <w:p w14:paraId="446BD492" w14:textId="666F42F1" w:rsidR="00061A9A" w:rsidRDefault="00061A9A" w:rsidP="000520E5">
      <w:pPr>
        <w:pStyle w:val="NormalIndent"/>
        <w:spacing w:before="60" w:after="60"/>
      </w:pPr>
      <w:r w:rsidRPr="007B3069">
        <w:t xml:space="preserve">Consider what values are intrinsically important to </w:t>
      </w:r>
      <w:r w:rsidR="009D2BD6">
        <w:t xml:space="preserve">government </w:t>
      </w:r>
      <w:r w:rsidRPr="007B3069">
        <w:t>polic</w:t>
      </w:r>
      <w:r w:rsidR="009D2BD6">
        <w:t>ies and activities more generally</w:t>
      </w:r>
      <w:r w:rsidRPr="007B3069">
        <w:t xml:space="preserve"> (e.g. equity in decision-making). </w:t>
      </w:r>
    </w:p>
    <w:p w14:paraId="5B6DEE09" w14:textId="171D2E99" w:rsidR="007706DA" w:rsidRDefault="00061A9A" w:rsidP="000520E5">
      <w:pPr>
        <w:pStyle w:val="NormalIndent"/>
        <w:spacing w:before="60" w:after="60"/>
      </w:pPr>
      <w:r w:rsidRPr="007B3069">
        <w:t>This may be difficult to measure and may involve qualitative evidence-gathering</w:t>
      </w:r>
      <w:r w:rsidR="00A666A4">
        <w:t xml:space="preserve"> </w:t>
      </w:r>
      <w:r w:rsidRPr="007B3069">
        <w:t>techniques. Consider whether other objectives (e.g. efficiency) could have a negative impact on intrinsic values and account for this in your strategy.</w:t>
      </w:r>
    </w:p>
    <w:p w14:paraId="0E330ECD" w14:textId="3BFD1E0D" w:rsidR="00DA65B1" w:rsidRPr="006132FB" w:rsidRDefault="00654B7C" w:rsidP="00251BB9">
      <w:r w:rsidRPr="00654B7C">
        <w:rPr>
          <w:b/>
          <w:bCs/>
        </w:rPr>
        <w:lastRenderedPageBreak/>
        <w:t>Note:</w:t>
      </w:r>
      <w:r w:rsidR="0065549C">
        <w:t xml:space="preserve"> </w:t>
      </w:r>
      <w:r>
        <w:t>K</w:t>
      </w:r>
      <w:r w:rsidR="00DA65B1" w:rsidRPr="006132FB">
        <w:t xml:space="preserve">ey evaluation questions should </w:t>
      </w:r>
      <w:r w:rsidR="008922A5" w:rsidRPr="006132FB">
        <w:t>be:</w:t>
      </w:r>
    </w:p>
    <w:p w14:paraId="57CB7955" w14:textId="2385BC45" w:rsidR="00DA65B1" w:rsidRPr="006132FB" w:rsidRDefault="00DA65B1" w:rsidP="00251BB9">
      <w:pPr>
        <w:pStyle w:val="Bullet1"/>
      </w:pPr>
      <w:r w:rsidRPr="006132FB">
        <w:rPr>
          <w:b/>
          <w:bCs/>
        </w:rPr>
        <w:t xml:space="preserve">Specific and </w:t>
      </w:r>
      <w:r w:rsidR="000F5BB5" w:rsidRPr="006132FB">
        <w:rPr>
          <w:b/>
          <w:bCs/>
        </w:rPr>
        <w:t>observable</w:t>
      </w:r>
      <w:r w:rsidRPr="006132FB">
        <w:rPr>
          <w:b/>
          <w:bCs/>
        </w:rPr>
        <w:t>:</w:t>
      </w:r>
      <w:r w:rsidRPr="006132FB">
        <w:t xml:space="preserve"> Indicators should provide a clear description of what you want to measure along with a focus on the desired action or </w:t>
      </w:r>
      <w:proofErr w:type="gramStart"/>
      <w:r w:rsidRPr="006132FB">
        <w:t>change</w:t>
      </w:r>
      <w:proofErr w:type="gramEnd"/>
      <w:r w:rsidRPr="006132FB">
        <w:t xml:space="preserve"> </w:t>
      </w:r>
    </w:p>
    <w:p w14:paraId="1AEE7C28" w14:textId="7E352F8C" w:rsidR="005D1C72" w:rsidRPr="002C7DA3" w:rsidRDefault="00DA65B1" w:rsidP="00251BB9">
      <w:pPr>
        <w:pStyle w:val="Bullet1"/>
      </w:pPr>
      <w:r w:rsidRPr="006132FB">
        <w:rPr>
          <w:b/>
          <w:bCs/>
        </w:rPr>
        <w:t>Measurable:</w:t>
      </w:r>
      <w:r w:rsidRPr="006132FB">
        <w:t xml:space="preserve"> Quantify the change and is generally reported in numerical terms using relevant data sources</w:t>
      </w:r>
    </w:p>
    <w:p w14:paraId="7F4D3756" w14:textId="77777777" w:rsidR="00EC3177" w:rsidRDefault="00EC3177" w:rsidP="002A46EB">
      <w:pPr>
        <w:pStyle w:val="Highlightboxheading2"/>
      </w:pPr>
      <w:r w:rsidRPr="006132FB">
        <w:t>Effectiveness</w:t>
      </w:r>
      <w:r>
        <w:t xml:space="preserve"> example</w:t>
      </w:r>
    </w:p>
    <w:p w14:paraId="5050D8AD" w14:textId="14FC9D72" w:rsidR="00EC3177" w:rsidRPr="008E64D4" w:rsidRDefault="00EC3177" w:rsidP="2D7E795A">
      <w:pPr>
        <w:pStyle w:val="Highlightboxbullet2"/>
        <w:numPr>
          <w:ilvl w:val="0"/>
          <w:numId w:val="0"/>
        </w:numPr>
        <w:rPr>
          <w:sz w:val="24"/>
          <w:szCs w:val="24"/>
        </w:rPr>
      </w:pPr>
      <w:r w:rsidRPr="008A0EAF">
        <w:t xml:space="preserve">These sample evaluation questions were part of an evaluation of community-based interventions </w:t>
      </w:r>
      <w:r w:rsidR="003D7739">
        <w:t>for perpe</w:t>
      </w:r>
      <w:r w:rsidR="00015FE2">
        <w:t xml:space="preserve">trators of family violence </w:t>
      </w:r>
      <w:r w:rsidRPr="008A0EAF">
        <w:t xml:space="preserve">in 2018. </w:t>
      </w:r>
      <w:r w:rsidR="00EE4431">
        <w:t>These interventions were in respons</w:t>
      </w:r>
      <w:r w:rsidR="007743AB">
        <w:t xml:space="preserve">e to the Royal </w:t>
      </w:r>
      <w:r w:rsidR="009B5AF9">
        <w:t>Commission</w:t>
      </w:r>
      <w:r w:rsidR="007743AB">
        <w:t xml:space="preserve"> into Family Violence. </w:t>
      </w:r>
      <w:r w:rsidR="00EE4431">
        <w:t xml:space="preserve"> </w:t>
      </w:r>
      <w:r w:rsidRPr="008A0EAF">
        <w:t>They incorporate the Department of Treasury and Finance’s Lapsing Program Evaluation questions.</w:t>
      </w:r>
    </w:p>
    <w:p w14:paraId="48953732" w14:textId="77777777" w:rsidR="00EC3177" w:rsidRPr="008C0D8C" w:rsidRDefault="00EC3177" w:rsidP="002A46EB">
      <w:pPr>
        <w:pStyle w:val="Highlightboxtextbold"/>
        <w:rPr>
          <w:bCs/>
        </w:rPr>
      </w:pPr>
      <w:r w:rsidRPr="002A46EB">
        <w:t>Sample question 1</w:t>
      </w:r>
    </w:p>
    <w:p w14:paraId="1F73448B" w14:textId="77777777" w:rsidR="00EC3177" w:rsidRPr="008C0D8C" w:rsidRDefault="00EC3177" w:rsidP="00594B3F">
      <w:pPr>
        <w:pStyle w:val="Highlightboxbullet2"/>
      </w:pPr>
      <w:r w:rsidRPr="008C0D8C">
        <w:t>Are there early positive signs of change that might be attributable to the initiatives?</w:t>
      </w:r>
    </w:p>
    <w:p w14:paraId="241957FF" w14:textId="77777777" w:rsidR="00EC3177" w:rsidRDefault="00EC3177" w:rsidP="00F079FE">
      <w:pPr>
        <w:pStyle w:val="Highlightboxtextbold"/>
        <w:rPr>
          <w:bCs/>
        </w:rPr>
      </w:pPr>
      <w:r w:rsidRPr="008C0D8C">
        <w:t>Indicators</w:t>
      </w:r>
      <w:r w:rsidRPr="008C0D8C">
        <w:rPr>
          <w:bCs/>
        </w:rPr>
        <w:t xml:space="preserve"> </w:t>
      </w:r>
    </w:p>
    <w:p w14:paraId="76724A75" w14:textId="77777777" w:rsidR="002A46EB" w:rsidRDefault="00F079FE" w:rsidP="002A46EB">
      <w:pPr>
        <w:pStyle w:val="Highlightboxbullet2"/>
      </w:pPr>
      <w:r w:rsidRPr="008C0D8C">
        <w:t xml:space="preserve">Increase in people who experience violence feeling safe and </w:t>
      </w:r>
      <w:proofErr w:type="gramStart"/>
      <w:r w:rsidRPr="008C0D8C">
        <w:t>suppor</w:t>
      </w:r>
      <w:r>
        <w:t>ted</w:t>
      </w:r>
      <w:proofErr w:type="gramEnd"/>
    </w:p>
    <w:p w14:paraId="05912B7D" w14:textId="4B8CDFCB" w:rsidR="00EC3177" w:rsidRPr="008C0D8C" w:rsidRDefault="00EC3177" w:rsidP="002A46EB">
      <w:pPr>
        <w:pStyle w:val="Highlightboxbullet2"/>
      </w:pPr>
      <w:r w:rsidRPr="008C0D8C">
        <w:t>People who use violence report to understand the factors contributing to their behaviour, and how it impacts others.</w:t>
      </w:r>
    </w:p>
    <w:p w14:paraId="2D3E1B60" w14:textId="36E6DB8B" w:rsidR="00EC3177" w:rsidRPr="008C0D8C" w:rsidRDefault="00EC3177" w:rsidP="002A46EB">
      <w:pPr>
        <w:pStyle w:val="Highlightboxtextbold"/>
      </w:pPr>
      <w:r w:rsidRPr="008C0D8C">
        <w:t xml:space="preserve">Effectiveness measurements </w:t>
      </w:r>
    </w:p>
    <w:p w14:paraId="3093B38E" w14:textId="2460C7E6" w:rsidR="007E1608" w:rsidRPr="008C0D8C" w:rsidRDefault="00C66BDD" w:rsidP="00CF6BE8">
      <w:pPr>
        <w:pStyle w:val="Highlightboxbullet2"/>
      </w:pPr>
      <w:r>
        <w:t xml:space="preserve">Changes in perception of safety and support </w:t>
      </w:r>
      <w:r w:rsidR="005A0903">
        <w:t xml:space="preserve">of people experiencing </w:t>
      </w:r>
      <w:proofErr w:type="gramStart"/>
      <w:r w:rsidR="005A0903">
        <w:t>violence</w:t>
      </w:r>
      <w:proofErr w:type="gramEnd"/>
    </w:p>
    <w:p w14:paraId="00AD7F6E" w14:textId="2FE18C49" w:rsidR="00EC3177" w:rsidRPr="00DD520E" w:rsidRDefault="00EC3177" w:rsidP="006215F7">
      <w:pPr>
        <w:pStyle w:val="Highlightboxbullet2"/>
      </w:pPr>
      <w:r w:rsidRPr="00DD520E">
        <w:t>Changes in participants</w:t>
      </w:r>
      <w:r w:rsidR="005D09E0">
        <w:t>’</w:t>
      </w:r>
      <w:r w:rsidRPr="00DD520E">
        <w:t xml:space="preserve"> views on their responsibility </w:t>
      </w:r>
      <w:r w:rsidR="00BE7F84">
        <w:t>for</w:t>
      </w:r>
      <w:r w:rsidRPr="00DD520E">
        <w:t xml:space="preserve"> perpetrating violence or using </w:t>
      </w:r>
      <w:proofErr w:type="gramStart"/>
      <w:r w:rsidRPr="00DD520E">
        <w:t>force</w:t>
      </w:r>
      <w:proofErr w:type="gramEnd"/>
    </w:p>
    <w:p w14:paraId="1AFE3D89" w14:textId="77777777" w:rsidR="00EC3177" w:rsidRPr="002C7DA3" w:rsidRDefault="00EC3177" w:rsidP="00F079FE">
      <w:pPr>
        <w:pStyle w:val="Highlightboxtextbold"/>
      </w:pPr>
      <w:r w:rsidRPr="002C7DA3">
        <w:t>Data sources</w:t>
      </w:r>
    </w:p>
    <w:p w14:paraId="268B6872" w14:textId="77777777" w:rsidR="00EC3177" w:rsidRPr="009E63DA" w:rsidRDefault="00EC3177" w:rsidP="00CF6BE8">
      <w:pPr>
        <w:pStyle w:val="Highlightboxbullet2"/>
      </w:pPr>
      <w:r w:rsidRPr="009E63DA">
        <w:t>Royal Commission into Family Violence</w:t>
      </w:r>
    </w:p>
    <w:p w14:paraId="4D329AD1" w14:textId="77777777" w:rsidR="00EC3177" w:rsidRPr="009E63DA" w:rsidRDefault="00EC3177" w:rsidP="00CF6BE8">
      <w:pPr>
        <w:pStyle w:val="Highlightboxbullet2"/>
      </w:pPr>
      <w:r>
        <w:t>L</w:t>
      </w:r>
      <w:r w:rsidRPr="009E63DA">
        <w:t>iterature review</w:t>
      </w:r>
    </w:p>
    <w:p w14:paraId="296A2B5E" w14:textId="77777777" w:rsidR="00EC3177" w:rsidRPr="008E64D4" w:rsidRDefault="00EC3177" w:rsidP="00CF6BE8">
      <w:pPr>
        <w:pStyle w:val="Highlightboxbullet2"/>
      </w:pPr>
      <w:r w:rsidRPr="009E63DA">
        <w:t>Victorian crime statistics data</w:t>
      </w:r>
    </w:p>
    <w:p w14:paraId="118BA89B" w14:textId="77777777" w:rsidR="00A30FFB" w:rsidRPr="006215F7" w:rsidRDefault="00A30FFB" w:rsidP="00A30FFB">
      <w:pPr>
        <w:pStyle w:val="Highlightboxbullet2"/>
        <w:numPr>
          <w:ilvl w:val="0"/>
          <w:numId w:val="0"/>
        </w:numPr>
        <w:ind w:left="360" w:hanging="360"/>
        <w:rPr>
          <w:b/>
          <w:bCs/>
        </w:rPr>
      </w:pPr>
    </w:p>
    <w:p w14:paraId="4D04F51C" w14:textId="77777777" w:rsidR="00A30FFB" w:rsidRPr="006215F7" w:rsidRDefault="00A30FFB" w:rsidP="00A30FFB">
      <w:pPr>
        <w:pStyle w:val="Highlightboxheading2"/>
        <w:rPr>
          <w:rFonts w:ascii="VIC" w:hAnsi="VIC"/>
          <w:b/>
          <w:sz w:val="19"/>
          <w:szCs w:val="19"/>
        </w:rPr>
      </w:pPr>
      <w:r w:rsidRPr="006215F7">
        <w:rPr>
          <w:rFonts w:ascii="VIC" w:hAnsi="VIC"/>
          <w:b/>
          <w:sz w:val="19"/>
          <w:szCs w:val="19"/>
        </w:rPr>
        <w:t>Sample question 2</w:t>
      </w:r>
    </w:p>
    <w:p w14:paraId="523C073E" w14:textId="77777777" w:rsidR="00A30FFB" w:rsidRPr="00F66783" w:rsidRDefault="00A30FFB" w:rsidP="00A30FFB">
      <w:pPr>
        <w:pStyle w:val="Highlightboxbullet2"/>
      </w:pPr>
      <w:r w:rsidRPr="00F66783">
        <w:t>To what extent are the outputs being realised?</w:t>
      </w:r>
    </w:p>
    <w:p w14:paraId="63EEA7B8" w14:textId="77777777" w:rsidR="00A30FFB" w:rsidRPr="008C0D8C" w:rsidRDefault="00A30FFB" w:rsidP="00A30FFB">
      <w:pPr>
        <w:pStyle w:val="Highlightboxtextbold"/>
        <w:rPr>
          <w:bCs/>
        </w:rPr>
      </w:pPr>
      <w:r w:rsidRPr="008C0D8C">
        <w:t>Indicators</w:t>
      </w:r>
      <w:r w:rsidRPr="008C0D8C">
        <w:rPr>
          <w:bCs/>
        </w:rPr>
        <w:t xml:space="preserve"> </w:t>
      </w:r>
    </w:p>
    <w:p w14:paraId="55A521A6" w14:textId="77777777" w:rsidR="00A30FFB" w:rsidRPr="00261BE8" w:rsidRDefault="00A30FFB" w:rsidP="00A30FFB">
      <w:pPr>
        <w:pStyle w:val="Highlightboxbullet2"/>
      </w:pPr>
      <w:r w:rsidRPr="00261BE8">
        <w:t xml:space="preserve">Uptake of programs among people who use violence and people who experience </w:t>
      </w:r>
      <w:proofErr w:type="gramStart"/>
      <w:r w:rsidRPr="00261BE8">
        <w:t>violence</w:t>
      </w:r>
      <w:proofErr w:type="gramEnd"/>
    </w:p>
    <w:p w14:paraId="3B08B50C" w14:textId="5ECA53E7" w:rsidR="00A30FFB" w:rsidRPr="00261BE8" w:rsidRDefault="00C05B53" w:rsidP="00A30FFB">
      <w:pPr>
        <w:pStyle w:val="Highlightboxbullet2"/>
      </w:pPr>
      <w:r>
        <w:t>N</w:t>
      </w:r>
      <w:r w:rsidR="00A30FFB" w:rsidRPr="00261BE8">
        <w:t xml:space="preserve">umber of people who use violence attending </w:t>
      </w:r>
      <w:proofErr w:type="gramStart"/>
      <w:r w:rsidR="00A30FFB" w:rsidRPr="00261BE8">
        <w:t>interventions</w:t>
      </w:r>
      <w:proofErr w:type="gramEnd"/>
    </w:p>
    <w:p w14:paraId="58165BBC" w14:textId="2F590C01" w:rsidR="00A30FFB" w:rsidRPr="00261BE8" w:rsidRDefault="00C05B53" w:rsidP="00A30FFB">
      <w:pPr>
        <w:pStyle w:val="Highlightboxbullet2"/>
      </w:pPr>
      <w:r>
        <w:t>N</w:t>
      </w:r>
      <w:r w:rsidR="00A30FFB" w:rsidRPr="00261BE8">
        <w:t xml:space="preserve">umber of families involved in Aboriginal-based </w:t>
      </w:r>
      <w:proofErr w:type="gramStart"/>
      <w:r w:rsidR="00A30FFB" w:rsidRPr="00261BE8">
        <w:t>programs</w:t>
      </w:r>
      <w:proofErr w:type="gramEnd"/>
    </w:p>
    <w:p w14:paraId="6CCA14FC" w14:textId="4F4966F2" w:rsidR="00A30FFB" w:rsidRPr="00261BE8" w:rsidRDefault="00C05B53" w:rsidP="00A30FFB">
      <w:pPr>
        <w:pStyle w:val="Highlightboxbullet2"/>
      </w:pPr>
      <w:r>
        <w:t>E</w:t>
      </w:r>
      <w:r w:rsidR="00A30FFB" w:rsidRPr="00261BE8">
        <w:t xml:space="preserve">xtent to which the participant numbers are as </w:t>
      </w:r>
      <w:proofErr w:type="gramStart"/>
      <w:r w:rsidR="00A30FFB" w:rsidRPr="00261BE8">
        <w:t>expected</w:t>
      </w:r>
      <w:proofErr w:type="gramEnd"/>
    </w:p>
    <w:p w14:paraId="1F93F1A6" w14:textId="310E4989" w:rsidR="00A30FFB" w:rsidRPr="002C7DA3" w:rsidRDefault="00A30FFB" w:rsidP="00A30FFB">
      <w:pPr>
        <w:pStyle w:val="Highlightboxtextbold"/>
      </w:pPr>
      <w:r w:rsidRPr="002C7DA3">
        <w:t>Data sources</w:t>
      </w:r>
    </w:p>
    <w:p w14:paraId="03CD1356" w14:textId="01D9BB8A" w:rsidR="00A30FFB" w:rsidRPr="008E64D4" w:rsidRDefault="00A30FFB" w:rsidP="000520E5">
      <w:pPr>
        <w:pStyle w:val="Highlightboxtext2"/>
      </w:pPr>
      <w:r>
        <w:t>D</w:t>
      </w:r>
      <w:r w:rsidRPr="00AC04CD">
        <w:t>ocument review and program administrative data</w:t>
      </w:r>
      <w:r w:rsidR="000520E5">
        <w:t>.</w:t>
      </w:r>
    </w:p>
    <w:p w14:paraId="7BAD2716" w14:textId="55BE3ABC" w:rsidR="004019F5" w:rsidRDefault="004019F5" w:rsidP="00704CC7">
      <w:pPr>
        <w:spacing w:line="240" w:lineRule="auto"/>
        <w:rPr>
          <w:rFonts w:ascii="VIC" w:hAnsi="VIC"/>
        </w:rPr>
      </w:pPr>
    </w:p>
    <w:p w14:paraId="6E2454BC" w14:textId="111920CD" w:rsidR="000D5F14" w:rsidRDefault="000D5F14">
      <w:pPr>
        <w:keepLines w:val="0"/>
        <w:spacing w:before="0" w:after="160" w:line="259" w:lineRule="auto"/>
        <w:rPr>
          <w:rFonts w:asciiTheme="majorHAnsi" w:hAnsiTheme="majorHAnsi"/>
          <w:sz w:val="22"/>
          <w:szCs w:val="22"/>
        </w:rPr>
      </w:pPr>
      <w:r>
        <w:br w:type="page"/>
      </w:r>
    </w:p>
    <w:p w14:paraId="261539B6" w14:textId="3F16F0E5" w:rsidR="00261BE8" w:rsidRPr="004A07F9" w:rsidRDefault="00261BE8" w:rsidP="00261BE8">
      <w:pPr>
        <w:pStyle w:val="Highlightboxheading2"/>
      </w:pPr>
      <w:r w:rsidRPr="004A07F9">
        <w:lastRenderedPageBreak/>
        <w:t>Efficiency example</w:t>
      </w:r>
    </w:p>
    <w:p w14:paraId="1753BA96" w14:textId="66AAE297" w:rsidR="00261BE8" w:rsidRPr="004A07F9" w:rsidRDefault="00261BE8" w:rsidP="005D3F70">
      <w:pPr>
        <w:pStyle w:val="Highlightboxtextbold"/>
        <w:keepNext/>
      </w:pPr>
      <w:r w:rsidRPr="004A07F9">
        <w:t xml:space="preserve">Sample </w:t>
      </w:r>
      <w:proofErr w:type="gramStart"/>
      <w:r w:rsidRPr="004A07F9">
        <w:t>question</w:t>
      </w:r>
      <w:proofErr w:type="gramEnd"/>
    </w:p>
    <w:p w14:paraId="0229BA34" w14:textId="4E19D9AD" w:rsidR="00261BE8" w:rsidRPr="00261BE8" w:rsidRDefault="00261BE8" w:rsidP="000D5F14">
      <w:pPr>
        <w:pStyle w:val="Highlightboxbullet2"/>
        <w:spacing w:line="240" w:lineRule="auto"/>
        <w:ind w:left="357" w:hanging="357"/>
      </w:pPr>
      <w:r w:rsidRPr="00261BE8">
        <w:t>Has the department demonstrated efficiency in relation to establish</w:t>
      </w:r>
      <w:r w:rsidR="008C2A7A">
        <w:t>ing</w:t>
      </w:r>
      <w:r w:rsidRPr="00261BE8">
        <w:t xml:space="preserve"> and implementi</w:t>
      </w:r>
      <w:r w:rsidR="008C2A7A">
        <w:t>ng</w:t>
      </w:r>
      <w:r w:rsidRPr="00261BE8">
        <w:t xml:space="preserve"> the program?</w:t>
      </w:r>
    </w:p>
    <w:p w14:paraId="15D908BA" w14:textId="77777777" w:rsidR="00261BE8" w:rsidRPr="004A07F9" w:rsidRDefault="00261BE8" w:rsidP="00261BE8">
      <w:pPr>
        <w:pStyle w:val="Highlightboxtextbold"/>
        <w:rPr>
          <w:rStyle w:val="Bullet1Char"/>
          <w:rFonts w:ascii="VIC" w:eastAsiaTheme="minorHAnsi" w:hAnsi="VIC"/>
          <w:sz w:val="16"/>
          <w:szCs w:val="16"/>
        </w:rPr>
      </w:pPr>
      <w:r w:rsidRPr="004A07F9">
        <w:t>Indicators</w:t>
      </w:r>
    </w:p>
    <w:p w14:paraId="42308504" w14:textId="06975062" w:rsidR="00261BE8" w:rsidRPr="005D3F70" w:rsidRDefault="000705F5" w:rsidP="5A5E9DD5">
      <w:pPr>
        <w:pStyle w:val="Highlightboxbullet2"/>
        <w:numPr>
          <w:ilvl w:val="0"/>
          <w:numId w:val="0"/>
        </w:numPr>
      </w:pPr>
      <w:r>
        <w:rPr>
          <w:rStyle w:val="Bullet1Char"/>
          <w:rFonts w:eastAsiaTheme="minorEastAsia" w:cstheme="minorBidi"/>
          <w:sz w:val="19"/>
          <w:szCs w:val="19"/>
        </w:rPr>
        <w:t>Government</w:t>
      </w:r>
      <w:r w:rsidR="006A04B7">
        <w:rPr>
          <w:rStyle w:val="Bullet1Char"/>
          <w:rFonts w:eastAsiaTheme="minorEastAsia" w:cstheme="minorBidi"/>
          <w:sz w:val="19"/>
          <w:szCs w:val="19"/>
        </w:rPr>
        <w:t xml:space="preserve"> </w:t>
      </w:r>
      <w:r w:rsidR="00261BE8" w:rsidRPr="5A5E9DD5">
        <w:rPr>
          <w:rStyle w:val="Bullet1Char"/>
          <w:rFonts w:eastAsiaTheme="minorEastAsia" w:cstheme="minorBidi"/>
          <w:sz w:val="19"/>
          <w:szCs w:val="19"/>
        </w:rPr>
        <w:t xml:space="preserve">resources used to implement the program have not been </w:t>
      </w:r>
      <w:proofErr w:type="gramStart"/>
      <w:r w:rsidR="00261BE8" w:rsidRPr="5A5E9DD5">
        <w:rPr>
          <w:rStyle w:val="Bullet1Char"/>
          <w:rFonts w:eastAsiaTheme="minorEastAsia" w:cstheme="minorBidi"/>
          <w:sz w:val="19"/>
          <w:szCs w:val="19"/>
        </w:rPr>
        <w:t>wasted</w:t>
      </w:r>
      <w:proofErr w:type="gramEnd"/>
    </w:p>
    <w:p w14:paraId="5A6BB2D5" w14:textId="1CC15572" w:rsidR="00261BE8" w:rsidRPr="004A07F9" w:rsidRDefault="00261BE8" w:rsidP="00261BE8">
      <w:pPr>
        <w:pStyle w:val="Highlightboxtextbold"/>
      </w:pPr>
      <w:r w:rsidRPr="004A07F9">
        <w:t>Efficiency measurements</w:t>
      </w:r>
    </w:p>
    <w:p w14:paraId="70B8810C" w14:textId="67989F9B" w:rsidR="00261BE8" w:rsidRPr="004A07F9" w:rsidRDefault="00E849D7" w:rsidP="000D5F14">
      <w:pPr>
        <w:pStyle w:val="Highlightboxbullet2"/>
        <w:spacing w:line="240" w:lineRule="auto"/>
        <w:ind w:left="357" w:hanging="357"/>
      </w:pPr>
      <w:r>
        <w:t>B</w:t>
      </w:r>
      <w:r w:rsidRPr="004A07F9">
        <w:t xml:space="preserve">udget </w:t>
      </w:r>
      <w:r w:rsidR="00261BE8" w:rsidRPr="004A07F9">
        <w:t xml:space="preserve">and FTE used to support program </w:t>
      </w:r>
      <w:proofErr w:type="gramStart"/>
      <w:r w:rsidR="00261BE8" w:rsidRPr="004A07F9">
        <w:t>delivery</w:t>
      </w:r>
      <w:proofErr w:type="gramEnd"/>
    </w:p>
    <w:p w14:paraId="713BAA3C" w14:textId="652FF378" w:rsidR="00261BE8" w:rsidRPr="002C7DA3" w:rsidRDefault="00E849D7" w:rsidP="000D5F14">
      <w:pPr>
        <w:pStyle w:val="Highlightboxbullet2"/>
        <w:spacing w:line="240" w:lineRule="auto"/>
        <w:ind w:left="357" w:hanging="357"/>
      </w:pPr>
      <w:r>
        <w:t>P</w:t>
      </w:r>
      <w:r w:rsidRPr="004A07F9">
        <w:t xml:space="preserve">rogram </w:t>
      </w:r>
      <w:r w:rsidR="00261BE8" w:rsidRPr="004A07F9">
        <w:t xml:space="preserve">implementation staff’s views on the resources required to effectively implement and monitor the </w:t>
      </w:r>
      <w:proofErr w:type="gramStart"/>
      <w:r w:rsidR="00261BE8" w:rsidRPr="004A07F9">
        <w:t>programs</w:t>
      </w:r>
      <w:proofErr w:type="gramEnd"/>
    </w:p>
    <w:p w14:paraId="18FEA9D3" w14:textId="77777777" w:rsidR="00261BE8" w:rsidRDefault="00261BE8" w:rsidP="00261BE8">
      <w:pPr>
        <w:pStyle w:val="Highlightboxtextbold"/>
      </w:pPr>
      <w:r w:rsidRPr="002C7DA3">
        <w:t>Data sources</w:t>
      </w:r>
    </w:p>
    <w:p w14:paraId="7CC5B806" w14:textId="77777777" w:rsidR="00261BE8" w:rsidRPr="00AD476C" w:rsidRDefault="00261BE8" w:rsidP="000D5F14">
      <w:pPr>
        <w:pStyle w:val="Highlightboxbullet2"/>
        <w:spacing w:line="240" w:lineRule="auto"/>
        <w:ind w:left="357" w:hanging="357"/>
      </w:pPr>
      <w:r>
        <w:t>P</w:t>
      </w:r>
      <w:r w:rsidRPr="00AD476C">
        <w:t xml:space="preserve">rogram </w:t>
      </w:r>
      <w:proofErr w:type="gramStart"/>
      <w:r w:rsidRPr="00AD476C">
        <w:t>documentation</w:t>
      </w:r>
      <w:proofErr w:type="gramEnd"/>
    </w:p>
    <w:p w14:paraId="4831BD1C" w14:textId="77777777" w:rsidR="00261BE8" w:rsidRPr="002C7DA3" w:rsidRDefault="00261BE8" w:rsidP="000D5F14">
      <w:pPr>
        <w:pStyle w:val="Highlightboxbullet2"/>
        <w:spacing w:line="240" w:lineRule="auto"/>
        <w:ind w:left="357" w:hanging="357"/>
        <w:rPr>
          <w:b/>
          <w:bCs/>
        </w:rPr>
      </w:pPr>
      <w:r>
        <w:t>S</w:t>
      </w:r>
      <w:r w:rsidRPr="00AD476C">
        <w:t>takeholder consultations – service providers</w:t>
      </w:r>
    </w:p>
    <w:p w14:paraId="6218743C" w14:textId="2A3358C4" w:rsidR="00965DC6" w:rsidRPr="00D85A31" w:rsidRDefault="005057A0" w:rsidP="006A04B7">
      <w:pPr>
        <w:pStyle w:val="Heading2"/>
        <w:spacing w:before="160" w:after="80"/>
      </w:pPr>
      <w:bookmarkStart w:id="27" w:name="_Developing_measures_for"/>
      <w:bookmarkStart w:id="28" w:name="_Develop_measures_"/>
      <w:bookmarkStart w:id="29" w:name="_Toc170403079"/>
      <w:bookmarkEnd w:id="27"/>
      <w:r w:rsidRPr="00D85A31">
        <w:t>Develop</w:t>
      </w:r>
      <w:r w:rsidR="00386A31" w:rsidRPr="00D85A31">
        <w:t>ing</w:t>
      </w:r>
      <w:r w:rsidRPr="00D85A31">
        <w:t xml:space="preserve"> measures</w:t>
      </w:r>
      <w:bookmarkEnd w:id="28"/>
      <w:r w:rsidRPr="00D85A31">
        <w:t xml:space="preserve"> </w:t>
      </w:r>
      <w:r w:rsidR="00E75E09" w:rsidRPr="00D85A31">
        <w:t>for your indicators</w:t>
      </w:r>
      <w:bookmarkEnd w:id="29"/>
    </w:p>
    <w:p w14:paraId="1A52C0AA" w14:textId="6EB19272" w:rsidR="00AD01CD" w:rsidRDefault="00386A31" w:rsidP="006A04B7">
      <w:pPr>
        <w:spacing w:after="60"/>
        <w:rPr>
          <w:rFonts w:ascii="VIC" w:eastAsia="Times New Roman" w:hAnsi="VIC" w:cs="Times New Roman"/>
        </w:rPr>
      </w:pPr>
      <w:r w:rsidRPr="31FD5AD6">
        <w:rPr>
          <w:rFonts w:ascii="VIC" w:eastAsia="Times New Roman" w:hAnsi="VIC" w:cs="Times New Roman"/>
        </w:rPr>
        <w:t>With an understanding of the indicators that you intend to measure, and the way that you will organise results</w:t>
      </w:r>
      <w:r w:rsidR="00D70B3A">
        <w:rPr>
          <w:rFonts w:ascii="VIC" w:eastAsia="Times New Roman" w:hAnsi="VIC" w:cs="Times New Roman"/>
        </w:rPr>
        <w:t xml:space="preserve"> (through a </w:t>
      </w:r>
      <w:r w:rsidR="00D70B3A" w:rsidRPr="002C7DA3">
        <w:rPr>
          <w:rFonts w:ascii="VIC" w:eastAsia="Times New Roman" w:hAnsi="VIC" w:cs="Times New Roman"/>
          <w:b/>
          <w:bCs/>
        </w:rPr>
        <w:t>logic model</w:t>
      </w:r>
      <w:r w:rsidR="00D70B3A">
        <w:rPr>
          <w:rFonts w:ascii="VIC" w:eastAsia="Times New Roman" w:hAnsi="VIC" w:cs="Times New Roman"/>
        </w:rPr>
        <w:t>)</w:t>
      </w:r>
      <w:r w:rsidRPr="31FD5AD6">
        <w:rPr>
          <w:rFonts w:ascii="VIC" w:eastAsia="Times New Roman" w:hAnsi="VIC" w:cs="Times New Roman"/>
        </w:rPr>
        <w:t xml:space="preserve">, you need to plan for what and how you will measure and report. </w:t>
      </w:r>
      <w:r w:rsidR="001002CD">
        <w:rPr>
          <w:rFonts w:ascii="VIC" w:eastAsia="Times New Roman" w:hAnsi="VIC" w:cs="Times New Roman"/>
        </w:rPr>
        <w:t>This section takes a closer look at the measures you choose to develop</w:t>
      </w:r>
      <w:r w:rsidR="00673544">
        <w:rPr>
          <w:rFonts w:ascii="VIC" w:eastAsia="Times New Roman" w:hAnsi="VIC" w:cs="Times New Roman"/>
        </w:rPr>
        <w:t>. This section includes:</w:t>
      </w:r>
    </w:p>
    <w:p w14:paraId="4D8A7D9B" w14:textId="730AB96C" w:rsidR="00372A44" w:rsidRPr="00F66783" w:rsidRDefault="009645ED" w:rsidP="006A04B7">
      <w:pPr>
        <w:pStyle w:val="Bullet1"/>
        <w:spacing w:before="60"/>
        <w:ind w:left="357" w:hanging="357"/>
      </w:pPr>
      <w:hyperlink w:anchor="_Defining_your_baseline" w:history="1">
        <w:r w:rsidR="00673544" w:rsidRPr="00F66783">
          <w:rPr>
            <w:rStyle w:val="Hyperlink"/>
            <w:i w:val="0"/>
            <w:color w:val="000000" w:themeColor="text1"/>
          </w:rPr>
          <w:t>Defining your baseline</w:t>
        </w:r>
      </w:hyperlink>
    </w:p>
    <w:p w14:paraId="4E03FE0C" w14:textId="23B64A4D" w:rsidR="00372A44" w:rsidRPr="00F66783" w:rsidRDefault="009645ED" w:rsidP="00F66783">
      <w:pPr>
        <w:pStyle w:val="Bullet1"/>
      </w:pPr>
      <w:hyperlink w:anchor="_Developing_proportionate_measures" w:history="1">
        <w:r w:rsidR="00673544" w:rsidRPr="00F66783">
          <w:rPr>
            <w:rStyle w:val="Hyperlink"/>
            <w:i w:val="0"/>
            <w:color w:val="000000" w:themeColor="text1"/>
          </w:rPr>
          <w:t>Developing proporti</w:t>
        </w:r>
        <w:r w:rsidR="00B75599" w:rsidRPr="00F66783">
          <w:rPr>
            <w:rStyle w:val="Hyperlink"/>
            <w:i w:val="0"/>
            <w:color w:val="000000" w:themeColor="text1"/>
          </w:rPr>
          <w:t>onate measurements</w:t>
        </w:r>
      </w:hyperlink>
    </w:p>
    <w:p w14:paraId="4889D2E9" w14:textId="635B84C5" w:rsidR="00372A44" w:rsidRPr="00F66783" w:rsidRDefault="009645ED" w:rsidP="00F66783">
      <w:pPr>
        <w:pStyle w:val="Bullet1"/>
      </w:pPr>
      <w:hyperlink w:anchor="_Measuring_regulator_resource" w:history="1">
        <w:r w:rsidR="00B75599" w:rsidRPr="00F66783">
          <w:rPr>
            <w:rStyle w:val="Hyperlink"/>
            <w:i w:val="0"/>
            <w:color w:val="000000" w:themeColor="text1"/>
          </w:rPr>
          <w:t xml:space="preserve">Measuring regulator </w:t>
        </w:r>
        <w:r w:rsidR="00372A44" w:rsidRPr="00F66783">
          <w:rPr>
            <w:rStyle w:val="Hyperlink"/>
            <w:i w:val="0"/>
            <w:color w:val="000000" w:themeColor="text1"/>
          </w:rPr>
          <w:t xml:space="preserve">resource </w:t>
        </w:r>
        <w:r w:rsidR="00B75599" w:rsidRPr="00F66783">
          <w:rPr>
            <w:rStyle w:val="Hyperlink"/>
            <w:i w:val="0"/>
            <w:color w:val="000000" w:themeColor="text1"/>
          </w:rPr>
          <w:t>inputs</w:t>
        </w:r>
      </w:hyperlink>
    </w:p>
    <w:p w14:paraId="4311A21C" w14:textId="64F0BCAA" w:rsidR="00372A44" w:rsidRPr="00F66783" w:rsidRDefault="009645ED" w:rsidP="00F66783">
      <w:pPr>
        <w:pStyle w:val="Bullet1"/>
      </w:pPr>
      <w:hyperlink w:anchor="_Measure_regulator_outputs" w:history="1">
        <w:r w:rsidR="00372A44" w:rsidRPr="00F66783">
          <w:rPr>
            <w:rStyle w:val="Hyperlink"/>
            <w:i w:val="0"/>
            <w:color w:val="000000" w:themeColor="text1"/>
          </w:rPr>
          <w:t>Measuring regulator outputs</w:t>
        </w:r>
      </w:hyperlink>
    </w:p>
    <w:p w14:paraId="2A5BA5BE" w14:textId="24E09755" w:rsidR="003B581A" w:rsidRPr="00F66783" w:rsidRDefault="009645ED" w:rsidP="00F66783">
      <w:pPr>
        <w:pStyle w:val="Bullet1"/>
      </w:pPr>
      <w:hyperlink w:anchor="_Measure_behaviour_change" w:history="1">
        <w:r w:rsidR="00372A44" w:rsidRPr="00F66783">
          <w:rPr>
            <w:rStyle w:val="Hyperlink"/>
            <w:i w:val="0"/>
            <w:color w:val="000000" w:themeColor="text1"/>
          </w:rPr>
          <w:t>Measuring behaviour change</w:t>
        </w:r>
      </w:hyperlink>
    </w:p>
    <w:p w14:paraId="264390E6" w14:textId="7E4A62AD" w:rsidR="001631BB" w:rsidRPr="00F66783" w:rsidRDefault="009645ED" w:rsidP="00F66783">
      <w:pPr>
        <w:pStyle w:val="Bullet1"/>
      </w:pPr>
      <w:hyperlink w:anchor="_External_measurements_of" w:history="1">
        <w:r w:rsidR="001631BB" w:rsidRPr="00F66783">
          <w:rPr>
            <w:rStyle w:val="Hyperlink"/>
            <w:i w:val="0"/>
            <w:color w:val="000000" w:themeColor="text1"/>
          </w:rPr>
          <w:t>External measurements of be</w:t>
        </w:r>
        <w:r w:rsidR="00573E03" w:rsidRPr="00F66783">
          <w:rPr>
            <w:rStyle w:val="Hyperlink"/>
            <w:i w:val="0"/>
            <w:color w:val="000000" w:themeColor="text1"/>
          </w:rPr>
          <w:t>haviour change</w:t>
        </w:r>
      </w:hyperlink>
    </w:p>
    <w:p w14:paraId="76E1E3D5" w14:textId="580D7FA3" w:rsidR="00673544" w:rsidRPr="00176119" w:rsidRDefault="009645ED" w:rsidP="00F66783">
      <w:pPr>
        <w:pStyle w:val="Bullet1"/>
        <w:rPr>
          <w:rFonts w:ascii="VIC" w:hAnsi="VIC"/>
          <w:b/>
          <w:bCs/>
        </w:rPr>
      </w:pPr>
      <w:hyperlink w:anchor="_Account_for_both" w:history="1">
        <w:r w:rsidR="003B581A" w:rsidRPr="00F66783">
          <w:rPr>
            <w:rStyle w:val="Hyperlink"/>
            <w:i w:val="0"/>
            <w:color w:val="000000" w:themeColor="text1"/>
          </w:rPr>
          <w:t>Accounting for routine and program activities</w:t>
        </w:r>
      </w:hyperlink>
    </w:p>
    <w:p w14:paraId="44CE8CA9" w14:textId="41282832" w:rsidR="005E5188" w:rsidRPr="00D85A31" w:rsidRDefault="005E5188" w:rsidP="006A04B7">
      <w:pPr>
        <w:pStyle w:val="Heading2"/>
        <w:spacing w:before="120" w:after="80"/>
      </w:pPr>
      <w:bookmarkStart w:id="30" w:name="_Defining_your_baseline"/>
      <w:bookmarkStart w:id="31" w:name="_Toc170403080"/>
      <w:bookmarkEnd w:id="30"/>
      <w:r w:rsidRPr="00D85A31">
        <w:t>Defin</w:t>
      </w:r>
      <w:r w:rsidR="000F1A3D" w:rsidRPr="00D85A31">
        <w:t xml:space="preserve">ing your </w:t>
      </w:r>
      <w:r w:rsidRPr="00D85A31">
        <w:t>baseline</w:t>
      </w:r>
      <w:bookmarkEnd w:id="31"/>
      <w:r w:rsidRPr="00D85A31">
        <w:t xml:space="preserve"> </w:t>
      </w:r>
    </w:p>
    <w:p w14:paraId="52349612" w14:textId="47537F68" w:rsidR="005E5188" w:rsidRPr="006D5B0A" w:rsidRDefault="005E5188" w:rsidP="005E5188">
      <w:pPr>
        <w:spacing w:line="240" w:lineRule="auto"/>
        <w:rPr>
          <w:rFonts w:ascii="VIC" w:hAnsi="VIC"/>
        </w:rPr>
      </w:pPr>
      <w:r w:rsidRPr="006D5B0A">
        <w:rPr>
          <w:rFonts w:ascii="VIC" w:hAnsi="VIC"/>
        </w:rPr>
        <w:t>Determine what baseline (or reference point) you will use for evaluation measurement. The approach to this will be shaped by your approach to impact assessment</w:t>
      </w:r>
      <w:r w:rsidRPr="006D5B0A">
        <w:rPr>
          <w:rFonts w:ascii="VIC" w:hAnsi="VIC"/>
          <w:i/>
          <w:iCs/>
        </w:rPr>
        <w:t xml:space="preserve">, </w:t>
      </w:r>
      <w:r w:rsidRPr="006D5B0A">
        <w:rPr>
          <w:rFonts w:ascii="VIC" w:hAnsi="VIC"/>
        </w:rPr>
        <w:t>as explained in the VGR. As appropriate, account for</w:t>
      </w:r>
      <w:r w:rsidR="00781114">
        <w:rPr>
          <w:rFonts w:ascii="VIC" w:hAnsi="VIC"/>
        </w:rPr>
        <w:t xml:space="preserve"> the following</w:t>
      </w:r>
      <w:r w:rsidRPr="006D5B0A">
        <w:rPr>
          <w:rFonts w:ascii="VIC" w:hAnsi="VIC"/>
        </w:rPr>
        <w:t>:</w:t>
      </w:r>
    </w:p>
    <w:p w14:paraId="466E153E" w14:textId="6E315E06" w:rsidR="005E5188" w:rsidRPr="00D85A31" w:rsidRDefault="00781114" w:rsidP="000D5F14">
      <w:pPr>
        <w:pStyle w:val="Bullet1"/>
        <w:spacing w:line="240" w:lineRule="auto"/>
        <w:ind w:left="357" w:hanging="357"/>
        <w:rPr>
          <w:rFonts w:ascii="VIC" w:hAnsi="VIC"/>
        </w:rPr>
      </w:pPr>
      <w:r w:rsidRPr="00D85A31">
        <w:rPr>
          <w:rFonts w:ascii="VIC" w:hAnsi="VIC"/>
          <w:b/>
          <w:bCs/>
        </w:rPr>
        <w:t>T</w:t>
      </w:r>
      <w:r w:rsidR="005E5188" w:rsidRPr="00D85A31">
        <w:rPr>
          <w:rFonts w:ascii="VIC" w:hAnsi="VIC"/>
          <w:b/>
          <w:bCs/>
        </w:rPr>
        <w:t>he base case</w:t>
      </w:r>
      <w:r w:rsidRPr="00D85A31">
        <w:rPr>
          <w:rFonts w:ascii="VIC" w:hAnsi="VIC"/>
          <w:b/>
          <w:bCs/>
        </w:rPr>
        <w:t xml:space="preserve">: </w:t>
      </w:r>
      <w:r w:rsidRPr="00D85A31">
        <w:rPr>
          <w:rFonts w:ascii="VIC" w:hAnsi="VIC"/>
        </w:rPr>
        <w:t>W</w:t>
      </w:r>
      <w:r w:rsidR="005E5188" w:rsidRPr="00D85A31">
        <w:rPr>
          <w:rFonts w:ascii="VIC" w:hAnsi="VIC"/>
        </w:rPr>
        <w:t>hat would be the outcome if there were no policy in place, as set out in your problem definition in a RIS or LIA.</w:t>
      </w:r>
    </w:p>
    <w:p w14:paraId="0831CA29" w14:textId="68FAE9C9" w:rsidR="005E5188" w:rsidRPr="00D85A31" w:rsidRDefault="00781114" w:rsidP="000D5F14">
      <w:pPr>
        <w:pStyle w:val="Bullet1"/>
        <w:spacing w:line="240" w:lineRule="auto"/>
        <w:ind w:left="357" w:hanging="357"/>
        <w:rPr>
          <w:rFonts w:ascii="VIC" w:hAnsi="VIC"/>
        </w:rPr>
      </w:pPr>
      <w:r w:rsidRPr="00D85A31">
        <w:rPr>
          <w:rFonts w:ascii="VIC" w:hAnsi="VIC"/>
          <w:b/>
          <w:bCs/>
        </w:rPr>
        <w:t>A</w:t>
      </w:r>
      <w:r w:rsidR="005E5188" w:rsidRPr="00D85A31">
        <w:rPr>
          <w:rFonts w:ascii="VIC" w:hAnsi="VIC"/>
          <w:b/>
          <w:bCs/>
        </w:rPr>
        <w:t xml:space="preserve"> reference case</w:t>
      </w:r>
      <w:r w:rsidRPr="00D85A31">
        <w:rPr>
          <w:rFonts w:ascii="VIC" w:hAnsi="VIC"/>
          <w:b/>
          <w:bCs/>
        </w:rPr>
        <w:t xml:space="preserve">: </w:t>
      </w:r>
      <w:r w:rsidRPr="00214E07">
        <w:rPr>
          <w:rFonts w:ascii="VIC" w:hAnsi="VIC"/>
        </w:rPr>
        <w:t>I</w:t>
      </w:r>
      <w:r w:rsidR="005E5188" w:rsidRPr="00D85A31">
        <w:rPr>
          <w:rFonts w:ascii="VIC" w:hAnsi="VIC"/>
        </w:rPr>
        <w:t>n some situations, the point of reference for impact analysis is a modified form of the base case, accounting for anticipated changes or interventions beyond the regulation, other commitments, or minimum necessary elements of the regulation.</w:t>
      </w:r>
    </w:p>
    <w:p w14:paraId="5E70DAD6" w14:textId="5CB73FAB" w:rsidR="005E5188" w:rsidRPr="00D85A31" w:rsidRDefault="00781114" w:rsidP="000D5F14">
      <w:pPr>
        <w:pStyle w:val="Bullet1"/>
        <w:spacing w:line="240" w:lineRule="auto"/>
        <w:ind w:left="357" w:hanging="357"/>
        <w:rPr>
          <w:rFonts w:ascii="VIC" w:hAnsi="VIC"/>
        </w:rPr>
      </w:pPr>
      <w:r w:rsidRPr="00D85A31">
        <w:rPr>
          <w:rFonts w:ascii="VIC" w:hAnsi="VIC"/>
          <w:b/>
          <w:bCs/>
        </w:rPr>
        <w:t>P</w:t>
      </w:r>
      <w:r w:rsidR="005E5188" w:rsidRPr="00D85A31">
        <w:rPr>
          <w:rFonts w:ascii="VIC" w:hAnsi="VIC"/>
          <w:b/>
          <w:bCs/>
        </w:rPr>
        <w:t>rojections</w:t>
      </w:r>
      <w:r w:rsidRPr="00D85A31">
        <w:rPr>
          <w:rFonts w:ascii="VIC" w:hAnsi="VIC"/>
        </w:rPr>
        <w:t>: W</w:t>
      </w:r>
      <w:r w:rsidR="005E5188" w:rsidRPr="00D85A31">
        <w:rPr>
          <w:rFonts w:ascii="VIC" w:hAnsi="VIC"/>
        </w:rPr>
        <w:t>hat is the expected future state once the regulations are introduced, including population, environmental or industry trends. These should generally be incorporated into the base case but may be important to specifically call out in the evaluation strategy.</w:t>
      </w:r>
    </w:p>
    <w:p w14:paraId="7F366160" w14:textId="34820173" w:rsidR="008578F1" w:rsidRPr="00D85A31" w:rsidRDefault="00781114" w:rsidP="000D5F14">
      <w:pPr>
        <w:pStyle w:val="Bullet1"/>
        <w:spacing w:line="240" w:lineRule="auto"/>
        <w:ind w:left="357" w:hanging="357"/>
        <w:rPr>
          <w:rFonts w:ascii="VIC" w:hAnsi="VIC"/>
        </w:rPr>
      </w:pPr>
      <w:r w:rsidRPr="00D85A31">
        <w:rPr>
          <w:rFonts w:ascii="VIC" w:hAnsi="VIC"/>
          <w:b/>
          <w:bCs/>
        </w:rPr>
        <w:t>J</w:t>
      </w:r>
      <w:r w:rsidR="005E5188" w:rsidRPr="00D85A31">
        <w:rPr>
          <w:rFonts w:ascii="VIC" w:hAnsi="VIC"/>
          <w:b/>
          <w:bCs/>
        </w:rPr>
        <w:t>urisdictional analysis</w:t>
      </w:r>
      <w:r w:rsidRPr="00D85A31">
        <w:rPr>
          <w:rFonts w:ascii="VIC" w:hAnsi="VIC"/>
          <w:b/>
          <w:bCs/>
        </w:rPr>
        <w:t xml:space="preserve">: </w:t>
      </w:r>
      <w:r w:rsidRPr="00D85A31">
        <w:rPr>
          <w:rFonts w:ascii="VIC" w:hAnsi="VIC"/>
        </w:rPr>
        <w:t>W</w:t>
      </w:r>
      <w:r w:rsidR="005E5188" w:rsidRPr="00D85A31">
        <w:rPr>
          <w:rFonts w:ascii="VIC" w:hAnsi="VIC"/>
        </w:rPr>
        <w:t xml:space="preserve">hat the case </w:t>
      </w:r>
      <w:r w:rsidRPr="00D85A31">
        <w:rPr>
          <w:rFonts w:ascii="VIC" w:hAnsi="VIC"/>
        </w:rPr>
        <w:t xml:space="preserve">may be </w:t>
      </w:r>
      <w:r w:rsidR="005E5188" w:rsidRPr="00D85A31">
        <w:rPr>
          <w:rFonts w:ascii="VIC" w:hAnsi="VIC"/>
        </w:rPr>
        <w:t>in other states that have or have not introduced the same or a similar policy. This may be an important additional factor to build into evaluation, that may not be fully built into your problem definition or impact analysis.</w:t>
      </w:r>
    </w:p>
    <w:p w14:paraId="2B85B59F" w14:textId="57523C2E" w:rsidR="008578F1" w:rsidRPr="00781114" w:rsidRDefault="008578F1" w:rsidP="006411D4">
      <w:pPr>
        <w:pStyle w:val="Heading2"/>
      </w:pPr>
      <w:bookmarkStart w:id="32" w:name="_Developing_proportionate_measures"/>
      <w:bookmarkStart w:id="33" w:name="_Toc170403081"/>
      <w:bookmarkEnd w:id="32"/>
      <w:r w:rsidRPr="00781114">
        <w:lastRenderedPageBreak/>
        <w:t>Develop</w:t>
      </w:r>
      <w:r w:rsidR="00D85A31">
        <w:t>ing</w:t>
      </w:r>
      <w:r w:rsidRPr="00781114">
        <w:t xml:space="preserve"> proportionate measures</w:t>
      </w:r>
      <w:bookmarkEnd w:id="33"/>
      <w:r w:rsidRPr="00781114">
        <w:t xml:space="preserve"> </w:t>
      </w:r>
    </w:p>
    <w:p w14:paraId="3EE9FB1D" w14:textId="65D7A268" w:rsidR="008578F1" w:rsidRPr="00937E65" w:rsidRDefault="008578F1" w:rsidP="008578F1">
      <w:pPr>
        <w:rPr>
          <w:rFonts w:ascii="VIC" w:eastAsia="Times New Roman" w:hAnsi="VIC" w:cs="Times New Roman"/>
        </w:rPr>
      </w:pPr>
      <w:r w:rsidRPr="00937E65">
        <w:rPr>
          <w:rFonts w:ascii="VIC" w:eastAsia="Times New Roman" w:hAnsi="VIC" w:cs="Times New Roman"/>
        </w:rPr>
        <w:t xml:space="preserve">The evaluation strategy should drive quantitative data collection that enables policy makers to explain interactions and effects. This may include investment in data-gathering activities and systems. </w:t>
      </w:r>
    </w:p>
    <w:p w14:paraId="31536B0B" w14:textId="24A46FED" w:rsidR="008578F1" w:rsidRPr="00937E65" w:rsidRDefault="00FD43E9" w:rsidP="008578F1">
      <w:pPr>
        <w:rPr>
          <w:rFonts w:ascii="VIC" w:eastAsia="Times New Roman" w:hAnsi="VIC" w:cs="Times New Roman"/>
        </w:rPr>
      </w:pPr>
      <w:r w:rsidRPr="00937E65">
        <w:rPr>
          <w:rFonts w:ascii="VIC" w:eastAsia="Times New Roman" w:hAnsi="VIC" w:cs="Times New Roman"/>
        </w:rPr>
        <w:t>U</w:t>
      </w:r>
      <w:r w:rsidR="008578F1" w:rsidRPr="00937E65">
        <w:rPr>
          <w:rFonts w:ascii="VIC" w:eastAsia="Times New Roman" w:hAnsi="VIC" w:cs="Times New Roman"/>
        </w:rPr>
        <w:t xml:space="preserve">se a suite of quantitative measures. </w:t>
      </w:r>
      <w:r w:rsidRPr="00937E65">
        <w:rPr>
          <w:rFonts w:ascii="VIC" w:eastAsia="Times New Roman" w:hAnsi="VIC" w:cs="Times New Roman"/>
        </w:rPr>
        <w:t>T</w:t>
      </w:r>
      <w:r w:rsidR="008578F1" w:rsidRPr="00937E65">
        <w:rPr>
          <w:rFonts w:ascii="VIC" w:eastAsia="Times New Roman" w:hAnsi="VIC" w:cs="Times New Roman"/>
        </w:rPr>
        <w:t xml:space="preserve">hese can </w:t>
      </w:r>
      <w:r w:rsidRPr="00937E65">
        <w:rPr>
          <w:rFonts w:ascii="VIC" w:eastAsia="Times New Roman" w:hAnsi="VIC" w:cs="Times New Roman"/>
        </w:rPr>
        <w:t>include</w:t>
      </w:r>
      <w:r w:rsidR="008578F1" w:rsidRPr="00937E65">
        <w:rPr>
          <w:rFonts w:ascii="VIC" w:eastAsia="Times New Roman" w:hAnsi="VIC" w:cs="Times New Roman"/>
        </w:rPr>
        <w:t xml:space="preserve">: </w:t>
      </w:r>
    </w:p>
    <w:p w14:paraId="683E40DD" w14:textId="77777777" w:rsidR="008578F1" w:rsidRPr="00D85A31" w:rsidRDefault="008578F1" w:rsidP="00781114">
      <w:pPr>
        <w:pStyle w:val="Bullet1"/>
        <w:rPr>
          <w:rFonts w:ascii="VIC" w:hAnsi="VIC"/>
        </w:rPr>
      </w:pPr>
      <w:r w:rsidRPr="00D85A31">
        <w:rPr>
          <w:rFonts w:ascii="VIC" w:hAnsi="VIC"/>
        </w:rPr>
        <w:t>measurement of industry uptake of regulations</w:t>
      </w:r>
    </w:p>
    <w:p w14:paraId="374B3D25" w14:textId="7426270A" w:rsidR="008578F1" w:rsidRPr="00D85A31" w:rsidRDefault="008578F1" w:rsidP="00781114">
      <w:pPr>
        <w:pStyle w:val="Bullet1"/>
        <w:rPr>
          <w:rFonts w:ascii="VIC" w:hAnsi="VIC"/>
        </w:rPr>
      </w:pPr>
      <w:r w:rsidRPr="00D85A31">
        <w:rPr>
          <w:rFonts w:ascii="VIC" w:hAnsi="VIC"/>
        </w:rPr>
        <w:t xml:space="preserve">government or regulator activity to embed </w:t>
      </w:r>
      <w:r w:rsidR="00FD0C6A">
        <w:rPr>
          <w:rFonts w:ascii="VIC" w:hAnsi="VIC"/>
        </w:rPr>
        <w:t>(implementation and compliance)</w:t>
      </w:r>
      <w:r w:rsidRPr="00D85A31">
        <w:rPr>
          <w:rFonts w:ascii="VIC" w:hAnsi="VIC"/>
        </w:rPr>
        <w:t xml:space="preserve"> </w:t>
      </w:r>
      <w:proofErr w:type="gramStart"/>
      <w:r w:rsidRPr="00D85A31">
        <w:rPr>
          <w:rFonts w:ascii="VIC" w:hAnsi="VIC"/>
        </w:rPr>
        <w:t>regulations</w:t>
      </w:r>
      <w:proofErr w:type="gramEnd"/>
    </w:p>
    <w:p w14:paraId="5C758CA1" w14:textId="77777777" w:rsidR="008578F1" w:rsidRPr="00D85A31" w:rsidRDefault="008578F1" w:rsidP="00781114">
      <w:pPr>
        <w:pStyle w:val="Bullet1"/>
        <w:rPr>
          <w:rFonts w:ascii="VIC" w:hAnsi="VIC"/>
        </w:rPr>
      </w:pPr>
      <w:r w:rsidRPr="00D85A31">
        <w:rPr>
          <w:rFonts w:ascii="VIC" w:hAnsi="VIC"/>
        </w:rPr>
        <w:t xml:space="preserve">the effects of this on awareness, </w:t>
      </w:r>
      <w:proofErr w:type="gramStart"/>
      <w:r w:rsidRPr="00D85A31">
        <w:rPr>
          <w:rFonts w:ascii="VIC" w:hAnsi="VIC"/>
        </w:rPr>
        <w:t>attitude</w:t>
      </w:r>
      <w:proofErr w:type="gramEnd"/>
      <w:r w:rsidRPr="00D85A31">
        <w:rPr>
          <w:rFonts w:ascii="VIC" w:hAnsi="VIC"/>
        </w:rPr>
        <w:t xml:space="preserve"> and compliance behaviour </w:t>
      </w:r>
    </w:p>
    <w:p w14:paraId="24A0F4AD" w14:textId="77777777" w:rsidR="008578F1" w:rsidRPr="00D85A31" w:rsidRDefault="008578F1" w:rsidP="00781114">
      <w:pPr>
        <w:pStyle w:val="Bullet1"/>
        <w:rPr>
          <w:rFonts w:ascii="VIC" w:hAnsi="VIC"/>
        </w:rPr>
      </w:pPr>
      <w:r w:rsidRPr="00D85A31">
        <w:rPr>
          <w:rFonts w:ascii="VIC" w:hAnsi="VIC"/>
        </w:rPr>
        <w:t xml:space="preserve">the effect of compliance on intermediate and long-term outcomes. </w:t>
      </w:r>
    </w:p>
    <w:p w14:paraId="430E79A7" w14:textId="77777777" w:rsidR="00BB2616" w:rsidRPr="00937E65" w:rsidRDefault="008578F1" w:rsidP="008578F1">
      <w:pPr>
        <w:rPr>
          <w:rFonts w:ascii="VIC" w:eastAsia="Times New Roman" w:hAnsi="VIC" w:cs="Times New Roman"/>
        </w:rPr>
      </w:pPr>
      <w:r w:rsidRPr="00937E65">
        <w:rPr>
          <w:rFonts w:ascii="VIC" w:eastAsia="Times New Roman" w:hAnsi="VIC" w:cs="Times New Roman"/>
        </w:rPr>
        <w:t xml:space="preserve">However, policy makers can encounter legitimate barriers that make a fully quantitative approach to evaluation not practicable. </w:t>
      </w:r>
    </w:p>
    <w:p w14:paraId="4DD751CF" w14:textId="1D20A594" w:rsidR="008578F1" w:rsidRPr="00D70B3A" w:rsidRDefault="008578F1" w:rsidP="008578F1">
      <w:pPr>
        <w:rPr>
          <w:rFonts w:ascii="VIC" w:eastAsia="Times New Roman" w:hAnsi="VIC" w:cs="Times New Roman"/>
        </w:rPr>
      </w:pPr>
      <w:r w:rsidRPr="00D70B3A">
        <w:rPr>
          <w:rFonts w:ascii="VIC" w:eastAsia="Times New Roman" w:hAnsi="VIC" w:cs="Times New Roman"/>
        </w:rPr>
        <w:t>In many cases, qualitative or mixed</w:t>
      </w:r>
      <w:r w:rsidR="008B06E2">
        <w:rPr>
          <w:rFonts w:ascii="VIC" w:eastAsia="Times New Roman" w:hAnsi="VIC" w:cs="Times New Roman"/>
        </w:rPr>
        <w:t xml:space="preserve"> </w:t>
      </w:r>
      <w:r w:rsidRPr="00D70B3A">
        <w:rPr>
          <w:rFonts w:ascii="VIC" w:eastAsia="Times New Roman" w:hAnsi="VIC" w:cs="Times New Roman"/>
        </w:rPr>
        <w:t xml:space="preserve">methods of evidence gathering are preferable, to give a full view of the regulation or the changing policy problem. </w:t>
      </w:r>
    </w:p>
    <w:p w14:paraId="586A5E8B" w14:textId="77777777" w:rsidR="008578F1" w:rsidRPr="00D70B3A" w:rsidRDefault="008578F1" w:rsidP="008578F1">
      <w:pPr>
        <w:rPr>
          <w:rFonts w:ascii="VIC" w:eastAsia="Times New Roman" w:hAnsi="VIC" w:cs="Times New Roman"/>
        </w:rPr>
      </w:pPr>
      <w:r w:rsidRPr="00D70B3A">
        <w:rPr>
          <w:rFonts w:ascii="VIC" w:eastAsia="Times New Roman" w:hAnsi="VIC" w:cs="Times New Roman"/>
        </w:rPr>
        <w:t xml:space="preserve">When developing the evaluation strategy or delivering a mid-term evaluation, you should account for a full range of methods. For example, the role of focus groups, industry consultation, expert opinion, or reviews of specific programs or activities. </w:t>
      </w:r>
    </w:p>
    <w:p w14:paraId="7F9FB538" w14:textId="59D531CC" w:rsidR="006D601B" w:rsidRPr="00D70B3A" w:rsidRDefault="008578F1" w:rsidP="008578F1">
      <w:pPr>
        <w:spacing w:line="240" w:lineRule="auto"/>
        <w:rPr>
          <w:rFonts w:ascii="VIC" w:eastAsia="Times New Roman" w:hAnsi="VIC" w:cs="Times New Roman"/>
        </w:rPr>
      </w:pPr>
      <w:r w:rsidRPr="00D70B3A">
        <w:rPr>
          <w:rFonts w:ascii="VIC" w:eastAsia="Times New Roman" w:hAnsi="VIC" w:cs="Times New Roman"/>
        </w:rPr>
        <w:t xml:space="preserve">Consider what methods are feasible, </w:t>
      </w:r>
      <w:proofErr w:type="gramStart"/>
      <w:r w:rsidRPr="00D70B3A">
        <w:rPr>
          <w:rFonts w:ascii="VIC" w:eastAsia="Times New Roman" w:hAnsi="VIC" w:cs="Times New Roman"/>
        </w:rPr>
        <w:t>proportionate</w:t>
      </w:r>
      <w:proofErr w:type="gramEnd"/>
      <w:r w:rsidRPr="00D70B3A">
        <w:rPr>
          <w:rFonts w:ascii="VIC" w:eastAsia="Times New Roman" w:hAnsi="VIC" w:cs="Times New Roman"/>
        </w:rPr>
        <w:t xml:space="preserve"> and most likely to produce useful insights in line with your key evaluation questions.</w:t>
      </w:r>
    </w:p>
    <w:p w14:paraId="46917FEF" w14:textId="25712CA4" w:rsidR="006D601B" w:rsidRPr="00D85A31" w:rsidRDefault="00781114" w:rsidP="006411D4">
      <w:pPr>
        <w:pStyle w:val="Heading2"/>
      </w:pPr>
      <w:bookmarkStart w:id="34" w:name="_Measuring_regulator_resource"/>
      <w:bookmarkStart w:id="35" w:name="_Toc170403082"/>
      <w:bookmarkEnd w:id="34"/>
      <w:r w:rsidRPr="00D85A31">
        <w:t>M</w:t>
      </w:r>
      <w:r w:rsidR="006D601B" w:rsidRPr="00D85A31">
        <w:t>easur</w:t>
      </w:r>
      <w:r w:rsidR="00D85A31" w:rsidRPr="00D85A31">
        <w:t>ing</w:t>
      </w:r>
      <w:r w:rsidR="006D601B" w:rsidRPr="00D85A31">
        <w:t xml:space="preserve"> regulator resource inputs</w:t>
      </w:r>
      <w:bookmarkEnd w:id="35"/>
      <w:r w:rsidR="00D85A31" w:rsidRPr="00D85A31">
        <w:t xml:space="preserve"> </w:t>
      </w:r>
    </w:p>
    <w:p w14:paraId="50033FA5" w14:textId="6522858C" w:rsidR="006D601B" w:rsidRPr="00937E65" w:rsidRDefault="007B431C" w:rsidP="006D601B">
      <w:pPr>
        <w:rPr>
          <w:rFonts w:ascii="VIC" w:eastAsia="Times New Roman" w:hAnsi="VIC" w:cs="Times New Roman"/>
          <w:color w:val="000000"/>
        </w:rPr>
      </w:pPr>
      <w:r w:rsidRPr="00937E65">
        <w:rPr>
          <w:rFonts w:ascii="VIC" w:eastAsia="Times New Roman" w:hAnsi="VIC" w:cs="Times New Roman"/>
          <w:bCs/>
        </w:rPr>
        <w:t xml:space="preserve">To measure regulator resource inputs, </w:t>
      </w:r>
      <w:r w:rsidR="00986A65">
        <w:rPr>
          <w:rFonts w:ascii="VIC" w:eastAsia="Times New Roman" w:hAnsi="VIC" w:cs="Times New Roman"/>
          <w:bCs/>
        </w:rPr>
        <w:t xml:space="preserve">regulators will need to </w:t>
      </w:r>
      <w:r w:rsidRPr="00937E65">
        <w:rPr>
          <w:rFonts w:ascii="VIC" w:eastAsia="Times New Roman" w:hAnsi="VIC" w:cs="Times New Roman"/>
          <w:bCs/>
        </w:rPr>
        <w:t>account for process design.</w:t>
      </w:r>
      <w:r w:rsidRPr="00937E65">
        <w:rPr>
          <w:rFonts w:ascii="VIC" w:eastAsia="Times New Roman" w:hAnsi="VIC" w:cs="Times New Roman"/>
        </w:rPr>
        <w:t xml:space="preserve"> </w:t>
      </w:r>
      <w:r w:rsidR="006D601B" w:rsidRPr="00937E65">
        <w:rPr>
          <w:rFonts w:ascii="VIC" w:eastAsia="Times New Roman" w:hAnsi="VIC" w:cs="Times New Roman"/>
        </w:rPr>
        <w:t xml:space="preserve">Consider whether the following indicators could help to evaluate regulator resource inputs and whether these inputs are efficiently utilised. </w:t>
      </w:r>
    </w:p>
    <w:p w14:paraId="27AD8279" w14:textId="2DFA5681" w:rsidR="006D601B" w:rsidRPr="00D85A31" w:rsidRDefault="006D601B" w:rsidP="00F66783">
      <w:pPr>
        <w:pStyle w:val="Heading4"/>
        <w:rPr>
          <w:color w:val="000000"/>
        </w:rPr>
      </w:pPr>
      <w:r w:rsidRPr="00D85A31">
        <w:t>Potential inputs</w:t>
      </w:r>
    </w:p>
    <w:p w14:paraId="46731427" w14:textId="77777777" w:rsidR="006D601B" w:rsidRPr="00D85A31" w:rsidRDefault="006D601B" w:rsidP="00D85A31">
      <w:pPr>
        <w:pStyle w:val="Bullet1"/>
        <w:rPr>
          <w:rFonts w:ascii="VIC" w:hAnsi="VIC"/>
          <w:color w:val="000000"/>
        </w:rPr>
      </w:pPr>
      <w:r w:rsidRPr="00D85A31">
        <w:rPr>
          <w:rFonts w:ascii="VIC" w:hAnsi="VIC"/>
        </w:rPr>
        <w:t xml:space="preserve">Number or staff, or hours, allocated or budgeted to a program </w:t>
      </w:r>
      <w:proofErr w:type="gramStart"/>
      <w:r w:rsidRPr="00D85A31">
        <w:rPr>
          <w:rFonts w:ascii="VIC" w:hAnsi="VIC"/>
        </w:rPr>
        <w:t>area</w:t>
      </w:r>
      <w:proofErr w:type="gramEnd"/>
    </w:p>
    <w:p w14:paraId="47D8FED9" w14:textId="77777777" w:rsidR="006D601B" w:rsidRPr="00D85A31" w:rsidRDefault="006D601B" w:rsidP="00D85A31">
      <w:pPr>
        <w:pStyle w:val="Bullet1"/>
        <w:rPr>
          <w:rFonts w:ascii="VIC" w:hAnsi="VIC"/>
          <w:color w:val="000000"/>
        </w:rPr>
      </w:pPr>
      <w:r w:rsidRPr="00D85A31">
        <w:rPr>
          <w:rFonts w:ascii="VIC" w:hAnsi="VIC"/>
        </w:rPr>
        <w:t xml:space="preserve">Capital or operational expenditure, and assets </w:t>
      </w:r>
      <w:proofErr w:type="gramStart"/>
      <w:r w:rsidRPr="00D85A31">
        <w:rPr>
          <w:rFonts w:ascii="VIC" w:hAnsi="VIC"/>
        </w:rPr>
        <w:t>assigned</w:t>
      </w:r>
      <w:proofErr w:type="gramEnd"/>
    </w:p>
    <w:p w14:paraId="6AB5AD23" w14:textId="77777777" w:rsidR="006D601B" w:rsidRPr="00D85A31" w:rsidRDefault="006D601B" w:rsidP="00D85A31">
      <w:pPr>
        <w:pStyle w:val="Bullet1"/>
        <w:rPr>
          <w:rFonts w:ascii="VIC" w:hAnsi="VIC"/>
          <w:color w:val="000000"/>
        </w:rPr>
      </w:pPr>
      <w:r w:rsidRPr="00D85A31">
        <w:rPr>
          <w:rFonts w:ascii="VIC" w:hAnsi="VIC"/>
        </w:rPr>
        <w:t>Functions that enable ‘frontline’ activity – including overheads, regulatory support services, staff training and quality assurance.</w:t>
      </w:r>
    </w:p>
    <w:p w14:paraId="56BFFD8B" w14:textId="2EFF1794" w:rsidR="006D601B" w:rsidRPr="00D85A31" w:rsidRDefault="006D601B" w:rsidP="00F66783">
      <w:pPr>
        <w:pStyle w:val="Heading4"/>
        <w:rPr>
          <w:color w:val="000000"/>
        </w:rPr>
      </w:pPr>
      <w:r w:rsidRPr="00D85A31">
        <w:t>Potential resource efficiency considerations</w:t>
      </w:r>
    </w:p>
    <w:p w14:paraId="1E6E9191" w14:textId="77777777" w:rsidR="006D601B" w:rsidRPr="00D85A31" w:rsidRDefault="006D601B" w:rsidP="00F66783">
      <w:pPr>
        <w:pStyle w:val="Bullet1"/>
        <w:keepNext/>
        <w:rPr>
          <w:rFonts w:ascii="VIC" w:hAnsi="VIC"/>
          <w:color w:val="000000"/>
        </w:rPr>
      </w:pPr>
      <w:r w:rsidRPr="00D85A31">
        <w:rPr>
          <w:rFonts w:ascii="VIC" w:hAnsi="VIC"/>
        </w:rPr>
        <w:t xml:space="preserve">How processes are designed, e.g. if licence applications are ‘streamed’ into different risk or complexity categories </w:t>
      </w:r>
    </w:p>
    <w:p w14:paraId="497218CA" w14:textId="77777777" w:rsidR="00937E65" w:rsidRPr="00D85A31" w:rsidRDefault="006D601B" w:rsidP="00D85A31">
      <w:pPr>
        <w:pStyle w:val="Bullet1"/>
        <w:rPr>
          <w:rFonts w:ascii="VIC" w:hAnsi="VIC"/>
          <w:color w:val="000000"/>
        </w:rPr>
      </w:pPr>
      <w:r w:rsidRPr="00D85A31">
        <w:rPr>
          <w:rFonts w:ascii="VIC" w:hAnsi="VIC"/>
        </w:rPr>
        <w:t>Timeframes for activities to be done, and flow rates (e.g. number of applications received vs concluded, by category)</w:t>
      </w:r>
    </w:p>
    <w:p w14:paraId="157CB773" w14:textId="700D4DE4" w:rsidR="006D601B" w:rsidRPr="00D85A31" w:rsidRDefault="006D601B" w:rsidP="00D85A31">
      <w:pPr>
        <w:pStyle w:val="Bullet1"/>
        <w:rPr>
          <w:rFonts w:ascii="VIC" w:hAnsi="VIC"/>
          <w:color w:val="000000"/>
        </w:rPr>
      </w:pPr>
      <w:r w:rsidRPr="00D85A31">
        <w:rPr>
          <w:rFonts w:ascii="VIC" w:hAnsi="VIC"/>
        </w:rPr>
        <w:t>How outliers or complex cases are managed and if processes minimise unnecessary variation and manual work.</w:t>
      </w:r>
    </w:p>
    <w:p w14:paraId="366243C0" w14:textId="6D9C09E3" w:rsidR="006D601B" w:rsidRDefault="00D6170B" w:rsidP="006411D4">
      <w:pPr>
        <w:pStyle w:val="Heading2"/>
      </w:pPr>
      <w:bookmarkStart w:id="36" w:name="_Measure_regulator_outputs"/>
      <w:bookmarkStart w:id="37" w:name="_Toc170403083"/>
      <w:bookmarkEnd w:id="36"/>
      <w:r>
        <w:lastRenderedPageBreak/>
        <w:t>M</w:t>
      </w:r>
      <w:r w:rsidR="006D601B" w:rsidRPr="31FD5AD6">
        <w:t>easur</w:t>
      </w:r>
      <w:r w:rsidR="000C05DA">
        <w:t>ing</w:t>
      </w:r>
      <w:r w:rsidR="006D601B" w:rsidRPr="31FD5AD6">
        <w:t xml:space="preserve"> regulator outputs</w:t>
      </w:r>
      <w:bookmarkEnd w:id="37"/>
      <w:r>
        <w:t xml:space="preserve"> </w:t>
      </w:r>
    </w:p>
    <w:p w14:paraId="3B4AA1A6" w14:textId="77777777" w:rsidR="006D601B" w:rsidRPr="00D85A31" w:rsidRDefault="006D601B" w:rsidP="006D601B">
      <w:pPr>
        <w:rPr>
          <w:rFonts w:ascii="VIC" w:eastAsia="Times New Roman" w:hAnsi="VIC" w:cs="Times New Roman"/>
          <w:color w:val="000000"/>
        </w:rPr>
      </w:pPr>
      <w:r w:rsidRPr="00D85A31">
        <w:rPr>
          <w:rFonts w:ascii="VIC" w:eastAsia="Times New Roman" w:hAnsi="VIC" w:cs="Times New Roman"/>
        </w:rPr>
        <w:t>An evaluation can seek to understand whether regulator activities were effective and appropriately targeted, by looking at ‘rates’ (e.g. in percentages) and results such as the following:</w:t>
      </w:r>
    </w:p>
    <w:p w14:paraId="39283559" w14:textId="1A712965" w:rsidR="006D601B" w:rsidRPr="00D85A31" w:rsidRDefault="006D601B" w:rsidP="00D85A31">
      <w:pPr>
        <w:pStyle w:val="Bullet1"/>
        <w:rPr>
          <w:rFonts w:ascii="VIC" w:hAnsi="VIC"/>
          <w:color w:val="000000"/>
        </w:rPr>
      </w:pPr>
      <w:r w:rsidRPr="00D85A31">
        <w:rPr>
          <w:rFonts w:ascii="VIC" w:hAnsi="VIC"/>
          <w:b/>
        </w:rPr>
        <w:t>Detection rates:</w:t>
      </w:r>
      <w:r w:rsidRPr="00D85A31">
        <w:rPr>
          <w:rFonts w:ascii="VIC" w:hAnsi="VIC"/>
        </w:rPr>
        <w:t xml:space="preserve"> </w:t>
      </w:r>
      <w:r w:rsidR="008F4D52">
        <w:rPr>
          <w:rFonts w:ascii="VIC" w:hAnsi="VIC"/>
        </w:rPr>
        <w:t>H</w:t>
      </w:r>
      <w:r w:rsidRPr="00D85A31">
        <w:rPr>
          <w:rFonts w:ascii="VIC" w:hAnsi="VIC"/>
        </w:rPr>
        <w:t xml:space="preserve">ow often inspections or compliance monitoring observed minor or significant issues, and </w:t>
      </w:r>
      <w:proofErr w:type="gramStart"/>
      <w:r w:rsidRPr="00D85A31">
        <w:rPr>
          <w:rFonts w:ascii="VIC" w:hAnsi="VIC"/>
        </w:rPr>
        <w:t>recidivism</w:t>
      </w:r>
      <w:proofErr w:type="gramEnd"/>
    </w:p>
    <w:p w14:paraId="56935B37" w14:textId="7B310BC6" w:rsidR="006D601B" w:rsidRPr="00D85A31" w:rsidRDefault="006D601B" w:rsidP="00D85A31">
      <w:pPr>
        <w:pStyle w:val="Bullet1"/>
        <w:rPr>
          <w:rFonts w:ascii="VIC" w:hAnsi="VIC"/>
          <w:color w:val="000000"/>
        </w:rPr>
      </w:pPr>
      <w:r w:rsidRPr="00D85A31">
        <w:rPr>
          <w:rFonts w:ascii="VIC" w:hAnsi="VIC"/>
          <w:b/>
        </w:rPr>
        <w:t>Escalation rates:</w:t>
      </w:r>
      <w:r w:rsidRPr="00D85A31">
        <w:rPr>
          <w:rFonts w:ascii="VIC" w:hAnsi="VIC"/>
        </w:rPr>
        <w:t xml:space="preserve"> </w:t>
      </w:r>
      <w:r w:rsidR="008F4D52">
        <w:rPr>
          <w:rFonts w:ascii="VIC" w:hAnsi="VIC"/>
        </w:rPr>
        <w:t>H</w:t>
      </w:r>
      <w:r w:rsidRPr="00D85A31">
        <w:rPr>
          <w:rFonts w:ascii="VIC" w:hAnsi="VIC"/>
        </w:rPr>
        <w:t xml:space="preserve">ow often non-compliances were acted </w:t>
      </w:r>
      <w:proofErr w:type="gramStart"/>
      <w:r w:rsidRPr="00D85A31">
        <w:rPr>
          <w:rFonts w:ascii="VIC" w:hAnsi="VIC"/>
        </w:rPr>
        <w:t>on</w:t>
      </w:r>
      <w:proofErr w:type="gramEnd"/>
      <w:r w:rsidRPr="00D85A31">
        <w:rPr>
          <w:rFonts w:ascii="VIC" w:hAnsi="VIC"/>
        </w:rPr>
        <w:t xml:space="preserve"> </w:t>
      </w:r>
    </w:p>
    <w:p w14:paraId="6E1F3C8C" w14:textId="73406925" w:rsidR="006D601B" w:rsidRPr="00D85A31" w:rsidRDefault="006D601B" w:rsidP="00D85A31">
      <w:pPr>
        <w:pStyle w:val="Bullet1"/>
        <w:rPr>
          <w:rFonts w:ascii="VIC" w:hAnsi="VIC"/>
          <w:color w:val="000000"/>
        </w:rPr>
      </w:pPr>
      <w:r w:rsidRPr="00D85A31">
        <w:rPr>
          <w:rFonts w:ascii="VIC" w:hAnsi="VIC"/>
          <w:b/>
        </w:rPr>
        <w:t>Results of partnerships or programs</w:t>
      </w:r>
      <w:r w:rsidR="008F4D52">
        <w:rPr>
          <w:rFonts w:ascii="VIC" w:hAnsi="VIC"/>
          <w:b/>
        </w:rPr>
        <w:t>:</w:t>
      </w:r>
      <w:r w:rsidRPr="00D85A31">
        <w:rPr>
          <w:rFonts w:ascii="VIC" w:hAnsi="VIC"/>
        </w:rPr>
        <w:t xml:space="preserve"> </w:t>
      </w:r>
      <w:r w:rsidR="008F4D52">
        <w:rPr>
          <w:rFonts w:ascii="VIC" w:hAnsi="VIC"/>
        </w:rPr>
        <w:t>Activities such as</w:t>
      </w:r>
      <w:r w:rsidRPr="00D85A31">
        <w:rPr>
          <w:rFonts w:ascii="VIC" w:hAnsi="VIC"/>
        </w:rPr>
        <w:t xml:space="preserve"> delivery </w:t>
      </w:r>
      <w:proofErr w:type="gramStart"/>
      <w:r w:rsidRPr="00D85A31">
        <w:rPr>
          <w:rFonts w:ascii="VIC" w:hAnsi="VIC"/>
        </w:rPr>
        <w:t>concluded</w:t>
      </w:r>
      <w:proofErr w:type="gramEnd"/>
    </w:p>
    <w:p w14:paraId="3F62B275" w14:textId="3C1A45FA" w:rsidR="006D601B" w:rsidRPr="00D85A31" w:rsidRDefault="006D601B" w:rsidP="00D85A31">
      <w:pPr>
        <w:pStyle w:val="Bullet1"/>
        <w:rPr>
          <w:rFonts w:ascii="VIC" w:hAnsi="VIC"/>
          <w:color w:val="000000"/>
        </w:rPr>
      </w:pPr>
      <w:r w:rsidRPr="00D85A31">
        <w:rPr>
          <w:rFonts w:ascii="VIC" w:hAnsi="VIC"/>
          <w:b/>
        </w:rPr>
        <w:t xml:space="preserve">Results of trials, </w:t>
      </w:r>
      <w:proofErr w:type="gramStart"/>
      <w:r w:rsidRPr="00D85A31">
        <w:rPr>
          <w:rFonts w:ascii="VIC" w:hAnsi="VIC"/>
          <w:b/>
        </w:rPr>
        <w:t>experiments</w:t>
      </w:r>
      <w:proofErr w:type="gramEnd"/>
      <w:r w:rsidRPr="00D85A31">
        <w:rPr>
          <w:rFonts w:ascii="VIC" w:hAnsi="VIC"/>
          <w:b/>
        </w:rPr>
        <w:t xml:space="preserve"> or campaigns</w:t>
      </w:r>
      <w:r w:rsidR="008F4D52">
        <w:rPr>
          <w:rFonts w:ascii="VIC" w:hAnsi="VIC"/>
        </w:rPr>
        <w:t>:</w:t>
      </w:r>
      <w:r w:rsidRPr="00D85A31">
        <w:rPr>
          <w:rFonts w:ascii="VIC" w:hAnsi="VIC"/>
        </w:rPr>
        <w:t xml:space="preserve"> </w:t>
      </w:r>
      <w:r w:rsidR="008F4D52">
        <w:rPr>
          <w:rFonts w:ascii="VIC" w:hAnsi="VIC"/>
        </w:rPr>
        <w:t>F</w:t>
      </w:r>
      <w:r w:rsidRPr="00D85A31">
        <w:rPr>
          <w:rFonts w:ascii="VIC" w:hAnsi="VIC"/>
        </w:rPr>
        <w:t>indings.</w:t>
      </w:r>
    </w:p>
    <w:p w14:paraId="5EFECA5E" w14:textId="087CD445" w:rsidR="002F2EF5" w:rsidRPr="00D85A31" w:rsidRDefault="006D601B" w:rsidP="006D601B">
      <w:pPr>
        <w:spacing w:line="240" w:lineRule="auto"/>
        <w:rPr>
          <w:rFonts w:ascii="VIC" w:eastAsia="Times New Roman" w:hAnsi="VIC" w:cs="Times New Roman"/>
        </w:rPr>
      </w:pPr>
      <w:r w:rsidRPr="00D85A31">
        <w:rPr>
          <w:rFonts w:ascii="VIC" w:eastAsia="Times New Roman" w:hAnsi="VIC" w:cs="Times New Roman"/>
        </w:rPr>
        <w:t xml:space="preserve">In most evaluations, these rates and results will be a key indicator to track. However, reporting may need to account </w:t>
      </w:r>
      <w:r w:rsidRPr="002F2EF5">
        <w:rPr>
          <w:rFonts w:ascii="VIC" w:eastAsia="Times New Roman" w:hAnsi="VIC" w:cs="Times New Roman"/>
        </w:rPr>
        <w:t>for sample bias,</w:t>
      </w:r>
      <w:r w:rsidRPr="00D85A31">
        <w:rPr>
          <w:rFonts w:ascii="VIC" w:eastAsia="Times New Roman" w:hAnsi="VIC" w:cs="Times New Roman"/>
        </w:rPr>
        <w:t xml:space="preserve"> e.g. whether inspections were representative of the regulated population.</w:t>
      </w:r>
    </w:p>
    <w:p w14:paraId="284CF023" w14:textId="65C0F4CB" w:rsidR="006D601B" w:rsidRPr="00D85A31" w:rsidRDefault="00983944" w:rsidP="006411D4">
      <w:pPr>
        <w:pStyle w:val="Heading2"/>
      </w:pPr>
      <w:bookmarkStart w:id="38" w:name="_Measure_behaviour_change"/>
      <w:bookmarkStart w:id="39" w:name="_Measuring_behaviour_change"/>
      <w:bookmarkStart w:id="40" w:name="_Toc170403084"/>
      <w:bookmarkEnd w:id="38"/>
      <w:bookmarkEnd w:id="39"/>
      <w:r w:rsidRPr="00D85A31">
        <w:t>M</w:t>
      </w:r>
      <w:r w:rsidR="006D601B" w:rsidRPr="00D85A31">
        <w:t>easur</w:t>
      </w:r>
      <w:r w:rsidR="00F3464E">
        <w:t>ing</w:t>
      </w:r>
      <w:r w:rsidR="006D601B" w:rsidRPr="00D85A31">
        <w:t xml:space="preserve"> behaviour change </w:t>
      </w:r>
      <w:r w:rsidR="002F2EF5">
        <w:t>with</w:t>
      </w:r>
      <w:r w:rsidR="006D601B" w:rsidRPr="00D85A31">
        <w:t xml:space="preserve"> regulator </w:t>
      </w:r>
      <w:proofErr w:type="gramStart"/>
      <w:r w:rsidR="006D601B" w:rsidRPr="00D85A31">
        <w:t>observations</w:t>
      </w:r>
      <w:bookmarkEnd w:id="40"/>
      <w:proofErr w:type="gramEnd"/>
    </w:p>
    <w:p w14:paraId="5E663E6F" w14:textId="37E802B4" w:rsidR="006D601B" w:rsidRPr="00D85A31" w:rsidRDefault="006D601B" w:rsidP="006D601B">
      <w:pPr>
        <w:rPr>
          <w:rFonts w:ascii="VIC" w:eastAsia="Times New Roman" w:hAnsi="VIC" w:cs="Times New Roman"/>
          <w:color w:val="000000"/>
        </w:rPr>
      </w:pPr>
      <w:r w:rsidRPr="00D85A31">
        <w:rPr>
          <w:rFonts w:ascii="VIC" w:eastAsia="Times New Roman" w:hAnsi="VIC" w:cs="Times New Roman"/>
        </w:rPr>
        <w:t>To measure behaviour change, consider the following regulator</w:t>
      </w:r>
      <w:r w:rsidR="00E529F2">
        <w:rPr>
          <w:rFonts w:ascii="VIC" w:eastAsia="Times New Roman" w:hAnsi="VIC" w:cs="Times New Roman"/>
        </w:rPr>
        <w:t xml:space="preserve"> </w:t>
      </w:r>
      <w:r w:rsidRPr="00D85A31">
        <w:rPr>
          <w:rFonts w:ascii="VIC" w:eastAsia="Times New Roman" w:hAnsi="VIC" w:cs="Times New Roman"/>
        </w:rPr>
        <w:t>internal measurement methods:</w:t>
      </w:r>
    </w:p>
    <w:p w14:paraId="137609CF" w14:textId="77777777" w:rsidR="006D601B" w:rsidRPr="00D85A31" w:rsidRDefault="006D601B" w:rsidP="00D85A31">
      <w:pPr>
        <w:pStyle w:val="Bullet1"/>
        <w:rPr>
          <w:rFonts w:ascii="VIC" w:hAnsi="VIC"/>
          <w:color w:val="000000"/>
        </w:rPr>
      </w:pPr>
      <w:r w:rsidRPr="00D85A31">
        <w:rPr>
          <w:rFonts w:ascii="VIC" w:hAnsi="VIC"/>
        </w:rPr>
        <w:t xml:space="preserve">Recording field or inspection observations, which can involve: </w:t>
      </w:r>
    </w:p>
    <w:p w14:paraId="326309BD" w14:textId="5ABC909A" w:rsidR="006D601B" w:rsidRPr="00D85A31" w:rsidRDefault="006D601B" w:rsidP="0041492E">
      <w:pPr>
        <w:pStyle w:val="Bullet2"/>
        <w:rPr>
          <w:color w:val="000000"/>
        </w:rPr>
      </w:pPr>
      <w:r w:rsidRPr="00D85A31">
        <w:t xml:space="preserve">collecting indicators of industry engagement, willingness and ability to comply during interactions with the </w:t>
      </w:r>
      <w:proofErr w:type="gramStart"/>
      <w:r w:rsidRPr="00D85A31">
        <w:t>regulator</w:t>
      </w:r>
      <w:proofErr w:type="gramEnd"/>
    </w:p>
    <w:p w14:paraId="1C7972B3" w14:textId="7683E897" w:rsidR="006D601B" w:rsidRPr="00D85A31" w:rsidRDefault="006D601B" w:rsidP="0041492E">
      <w:pPr>
        <w:pStyle w:val="Bullet2"/>
        <w:rPr>
          <w:color w:val="000000"/>
        </w:rPr>
      </w:pPr>
      <w:r w:rsidRPr="00D85A31">
        <w:t>staff ‘rating’ interactions with regulated entities within their inspection records (e.g.</w:t>
      </w:r>
      <w:r w:rsidR="00593F98">
        <w:rPr>
          <w:rFonts w:ascii="Calibri" w:hAnsi="Calibri"/>
        </w:rPr>
        <w:t> </w:t>
      </w:r>
      <w:r w:rsidRPr="00D85A31">
        <w:t>scores for level of willingness to comply, and ability to comply)</w:t>
      </w:r>
    </w:p>
    <w:p w14:paraId="7A320B19" w14:textId="77777777" w:rsidR="006D601B" w:rsidRPr="00D85A31" w:rsidRDefault="006D601B" w:rsidP="0041492E">
      <w:pPr>
        <w:pStyle w:val="Bullet2"/>
        <w:rPr>
          <w:color w:val="000000"/>
        </w:rPr>
      </w:pPr>
      <w:r w:rsidRPr="00D85A31">
        <w:t xml:space="preserve">debriefs, workshops or surveys of frontline staff about industry </w:t>
      </w:r>
      <w:proofErr w:type="gramStart"/>
      <w:r w:rsidRPr="00D85A31">
        <w:t>behaviours</w:t>
      </w:r>
      <w:proofErr w:type="gramEnd"/>
    </w:p>
    <w:p w14:paraId="6CE0C89F" w14:textId="30899C47" w:rsidR="006D601B" w:rsidRPr="00D85A31" w:rsidRDefault="006D601B" w:rsidP="00D85A31">
      <w:pPr>
        <w:pStyle w:val="Bullet1"/>
        <w:rPr>
          <w:rFonts w:ascii="VIC" w:hAnsi="VIC"/>
          <w:color w:val="000000"/>
        </w:rPr>
      </w:pPr>
      <w:r w:rsidRPr="00D85A31">
        <w:rPr>
          <w:rFonts w:ascii="VIC" w:hAnsi="VIC"/>
        </w:rPr>
        <w:t>Consultations with regulated entities or communities</w:t>
      </w:r>
      <w:r w:rsidR="00F32AAA">
        <w:rPr>
          <w:rFonts w:ascii="VIC" w:hAnsi="VIC"/>
        </w:rPr>
        <w:t>, such as</w:t>
      </w:r>
      <w:r w:rsidRPr="00D85A31">
        <w:rPr>
          <w:rFonts w:ascii="VIC" w:hAnsi="VIC"/>
        </w:rPr>
        <w:t>:</w:t>
      </w:r>
    </w:p>
    <w:p w14:paraId="067D766C" w14:textId="77777777" w:rsidR="006D601B" w:rsidRPr="00D85A31" w:rsidRDefault="006D601B" w:rsidP="0041492E">
      <w:pPr>
        <w:pStyle w:val="Bullet2"/>
        <w:rPr>
          <w:color w:val="000000"/>
        </w:rPr>
      </w:pPr>
      <w:r w:rsidRPr="00D85A31">
        <w:t>routine feedback, such as industry reference groups</w:t>
      </w:r>
    </w:p>
    <w:p w14:paraId="1634CE0D" w14:textId="35863158" w:rsidR="006D601B" w:rsidRPr="00D85A31" w:rsidRDefault="006D601B" w:rsidP="0041492E">
      <w:pPr>
        <w:pStyle w:val="Bullet2"/>
      </w:pPr>
      <w:r w:rsidRPr="00D85A31">
        <w:t>specific engagements at an evaluation milestone</w:t>
      </w:r>
      <w:r w:rsidR="007D220B">
        <w:t>.</w:t>
      </w:r>
    </w:p>
    <w:p w14:paraId="02D180C6" w14:textId="2A3D2EE1" w:rsidR="006D601B" w:rsidRPr="00D85A31" w:rsidRDefault="006D601B" w:rsidP="00D85A31">
      <w:pPr>
        <w:pStyle w:val="Bullet1"/>
        <w:rPr>
          <w:rFonts w:ascii="VIC" w:hAnsi="VIC"/>
        </w:rPr>
      </w:pPr>
      <w:r w:rsidRPr="00D85A31">
        <w:rPr>
          <w:rFonts w:ascii="VIC" w:hAnsi="VIC"/>
        </w:rPr>
        <w:t>Tracking rates of detection of non-compliance and recidivism or recurrent non</w:t>
      </w:r>
      <w:r w:rsidR="007D220B">
        <w:rPr>
          <w:rFonts w:ascii="VIC" w:hAnsi="VIC"/>
        </w:rPr>
        <w:noBreakHyphen/>
      </w:r>
      <w:r w:rsidRPr="00D85A31">
        <w:rPr>
          <w:rFonts w:ascii="VIC" w:hAnsi="VIC"/>
        </w:rPr>
        <w:t>compliance, and escalation rates against non-compliances, as a proxy for general behaviour change. Account for the population of entities sampled.</w:t>
      </w:r>
    </w:p>
    <w:p w14:paraId="1CA2764F" w14:textId="48F7171A" w:rsidR="00965DC6" w:rsidRPr="00D85A31" w:rsidRDefault="006D601B" w:rsidP="006D601B">
      <w:pPr>
        <w:rPr>
          <w:rFonts w:ascii="VIC" w:eastAsia="Times New Roman" w:hAnsi="VIC" w:cs="Times New Roman"/>
        </w:rPr>
      </w:pPr>
      <w:r w:rsidRPr="00D85A31">
        <w:rPr>
          <w:rFonts w:ascii="VIC" w:eastAsia="Times New Roman" w:hAnsi="VIC" w:cs="Times New Roman"/>
        </w:rPr>
        <w:t>When using consultation with staff or regulated entities (e.g. workshops and surveys), take</w:t>
      </w:r>
      <w:r w:rsidR="00593F98">
        <w:rPr>
          <w:rFonts w:ascii="Calibri" w:eastAsia="Times New Roman" w:hAnsi="Calibri" w:cs="Calibri"/>
        </w:rPr>
        <w:t> </w:t>
      </w:r>
      <w:r w:rsidRPr="00D85A31">
        <w:rPr>
          <w:rFonts w:ascii="VIC" w:eastAsia="Times New Roman" w:hAnsi="VIC" w:cs="Times New Roman"/>
        </w:rPr>
        <w:t>care to recognise and identify the potential biases that may be present.</w:t>
      </w:r>
    </w:p>
    <w:p w14:paraId="772431EA" w14:textId="247B48D3" w:rsidR="006D601B" w:rsidRPr="00D85A31" w:rsidRDefault="00413F53" w:rsidP="006411D4">
      <w:pPr>
        <w:pStyle w:val="Heading2"/>
      </w:pPr>
      <w:bookmarkStart w:id="41" w:name="_Toc170403085"/>
      <w:r>
        <w:t>E</w:t>
      </w:r>
      <w:r w:rsidR="006D601B" w:rsidRPr="00D85A31">
        <w:t>xternal measurements of behaviour change</w:t>
      </w:r>
      <w:bookmarkEnd w:id="41"/>
    </w:p>
    <w:p w14:paraId="7905BB4A" w14:textId="77777777" w:rsidR="006D601B" w:rsidRPr="000A14BB" w:rsidRDefault="006D601B" w:rsidP="006D601B">
      <w:pPr>
        <w:rPr>
          <w:rFonts w:ascii="VIC" w:eastAsia="Times New Roman" w:hAnsi="VIC" w:cs="Times New Roman"/>
          <w:color w:val="000000"/>
        </w:rPr>
      </w:pPr>
      <w:r w:rsidRPr="000A14BB">
        <w:rPr>
          <w:rFonts w:ascii="VIC" w:eastAsia="Times New Roman" w:hAnsi="VIC" w:cs="Times New Roman"/>
        </w:rPr>
        <w:t>External measurement of behaviour change can involve social research and using industry data.</w:t>
      </w:r>
    </w:p>
    <w:p w14:paraId="6BEF0436" w14:textId="4220B340" w:rsidR="006D601B" w:rsidRPr="000A14BB" w:rsidRDefault="006D601B" w:rsidP="006D601B">
      <w:pPr>
        <w:rPr>
          <w:rFonts w:ascii="VIC" w:eastAsia="Times New Roman" w:hAnsi="VIC" w:cs="Times New Roman"/>
          <w:color w:val="000000"/>
        </w:rPr>
      </w:pPr>
      <w:r w:rsidRPr="000A14BB">
        <w:rPr>
          <w:rFonts w:ascii="VIC" w:eastAsia="Times New Roman" w:hAnsi="VIC" w:cs="Times New Roman"/>
        </w:rPr>
        <w:t xml:space="preserve">For social research surveys of regulated entities (See </w:t>
      </w:r>
      <w:r w:rsidRPr="000A14BB">
        <w:rPr>
          <w:rFonts w:ascii="VIC" w:eastAsia="Times New Roman" w:hAnsi="VIC" w:cs="Times New Roman"/>
          <w:b/>
          <w:bCs/>
        </w:rPr>
        <w:t xml:space="preserve">Appendix B </w:t>
      </w:r>
      <w:r w:rsidRPr="000A14BB">
        <w:rPr>
          <w:rFonts w:ascii="VIC" w:eastAsia="Times New Roman" w:hAnsi="VIC" w:cs="Times New Roman"/>
        </w:rPr>
        <w:t>for model questions for a</w:t>
      </w:r>
      <w:r w:rsidR="00562B87">
        <w:rPr>
          <w:rFonts w:ascii="Calibri" w:eastAsia="Times New Roman" w:hAnsi="Calibri" w:cs="Calibri"/>
        </w:rPr>
        <w:t> </w:t>
      </w:r>
      <w:r w:rsidRPr="000A14BB">
        <w:rPr>
          <w:rFonts w:ascii="VIC" w:eastAsia="Times New Roman" w:hAnsi="VIC" w:cs="Times New Roman"/>
        </w:rPr>
        <w:t xml:space="preserve">survey): </w:t>
      </w:r>
    </w:p>
    <w:p w14:paraId="4B816F0C" w14:textId="77777777" w:rsidR="006D601B" w:rsidRPr="000A14BB" w:rsidRDefault="006D601B" w:rsidP="00D85A31">
      <w:pPr>
        <w:pStyle w:val="Bullet1"/>
        <w:rPr>
          <w:color w:val="000000"/>
        </w:rPr>
      </w:pPr>
      <w:r w:rsidRPr="000A14BB">
        <w:t xml:space="preserve">Plan and resource at key milestones such as: </w:t>
      </w:r>
    </w:p>
    <w:p w14:paraId="3F8DFAB3" w14:textId="77777777" w:rsidR="006D601B" w:rsidRPr="00562B87" w:rsidRDefault="006D601B" w:rsidP="0041492E">
      <w:pPr>
        <w:pStyle w:val="Bullet2"/>
      </w:pPr>
      <w:r w:rsidRPr="000A14BB">
        <w:t>before the regulations took effect</w:t>
      </w:r>
    </w:p>
    <w:p w14:paraId="44D7689D" w14:textId="77777777" w:rsidR="006D601B" w:rsidRPr="00562B87" w:rsidRDefault="006D601B" w:rsidP="0041492E">
      <w:pPr>
        <w:pStyle w:val="Bullet2"/>
      </w:pPr>
      <w:r w:rsidRPr="000A14BB">
        <w:t>at mid-term evaluation</w:t>
      </w:r>
    </w:p>
    <w:p w14:paraId="16D522BC" w14:textId="77777777" w:rsidR="006D601B" w:rsidRPr="00562B87" w:rsidRDefault="006D601B" w:rsidP="0041492E">
      <w:pPr>
        <w:pStyle w:val="Bullet2"/>
      </w:pPr>
      <w:r w:rsidRPr="000A14BB">
        <w:t xml:space="preserve">at sunsetting. </w:t>
      </w:r>
    </w:p>
    <w:p w14:paraId="09A235A8" w14:textId="6179E654" w:rsidR="006D601B" w:rsidRPr="000A14BB" w:rsidRDefault="006D601B" w:rsidP="00D85A31">
      <w:pPr>
        <w:pStyle w:val="Bullet1"/>
        <w:rPr>
          <w:rFonts w:ascii="VIC" w:hAnsi="VIC"/>
          <w:color w:val="000000"/>
        </w:rPr>
      </w:pPr>
      <w:r w:rsidRPr="000A14BB">
        <w:rPr>
          <w:rFonts w:ascii="VIC" w:hAnsi="VIC"/>
        </w:rPr>
        <w:lastRenderedPageBreak/>
        <w:t>Consider how research or other feedback can be built into routine interactions e.g.</w:t>
      </w:r>
      <w:r w:rsidR="00562B87">
        <w:rPr>
          <w:rFonts w:ascii="Calibri" w:hAnsi="Calibri"/>
        </w:rPr>
        <w:t> </w:t>
      </w:r>
      <w:r w:rsidRPr="000A14BB">
        <w:rPr>
          <w:rFonts w:ascii="VIC" w:hAnsi="VIC"/>
        </w:rPr>
        <w:t>follow</w:t>
      </w:r>
      <w:r w:rsidR="6330D6B6" w:rsidRPr="000A14BB">
        <w:rPr>
          <w:rFonts w:ascii="VIC" w:hAnsi="VIC"/>
        </w:rPr>
        <w:t>-</w:t>
      </w:r>
      <w:r w:rsidRPr="000A14BB">
        <w:rPr>
          <w:rFonts w:ascii="VIC" w:hAnsi="VIC"/>
        </w:rPr>
        <w:t>up</w:t>
      </w:r>
      <w:r w:rsidR="007D220B">
        <w:rPr>
          <w:rFonts w:ascii="VIC" w:hAnsi="VIC"/>
        </w:rPr>
        <w:noBreakHyphen/>
      </w:r>
      <w:r w:rsidRPr="000A14BB">
        <w:rPr>
          <w:rFonts w:ascii="VIC" w:hAnsi="VIC"/>
        </w:rPr>
        <w:t xml:space="preserve"> </w:t>
      </w:r>
      <w:proofErr w:type="gramStart"/>
      <w:r w:rsidRPr="000A14BB">
        <w:rPr>
          <w:rFonts w:ascii="VIC" w:hAnsi="VIC"/>
        </w:rPr>
        <w:t>surveys</w:t>
      </w:r>
      <w:proofErr w:type="gramEnd"/>
    </w:p>
    <w:p w14:paraId="2EF119B7" w14:textId="2142D18B" w:rsidR="006D601B" w:rsidRPr="000A14BB" w:rsidRDefault="006D601B" w:rsidP="00D85A31">
      <w:pPr>
        <w:pStyle w:val="Bullet1"/>
        <w:rPr>
          <w:rFonts w:ascii="VIC" w:hAnsi="VIC"/>
          <w:color w:val="000000"/>
        </w:rPr>
      </w:pPr>
      <w:r w:rsidRPr="000A14BB">
        <w:rPr>
          <w:rFonts w:ascii="VIC" w:hAnsi="VIC"/>
        </w:rPr>
        <w:t>Research can examine drivers of compliance and the effect of regulations and regulator activities on these</w:t>
      </w:r>
      <w:r w:rsidR="001150EC">
        <w:rPr>
          <w:rFonts w:ascii="VIC" w:hAnsi="VIC"/>
        </w:rPr>
        <w:t>.</w:t>
      </w:r>
    </w:p>
    <w:p w14:paraId="72745758" w14:textId="77777777" w:rsidR="006D601B" w:rsidRPr="000A14BB" w:rsidRDefault="006D601B" w:rsidP="0041492E">
      <w:pPr>
        <w:rPr>
          <w:color w:val="000000"/>
        </w:rPr>
      </w:pPr>
      <w:r w:rsidRPr="000A14BB">
        <w:t>Industry data may be varied and require information sharing agreements and anonymisation, such as results of:</w:t>
      </w:r>
    </w:p>
    <w:p w14:paraId="7447D150" w14:textId="77777777" w:rsidR="006D601B" w:rsidRPr="000A14BB" w:rsidRDefault="006D601B" w:rsidP="0041492E">
      <w:pPr>
        <w:pStyle w:val="Bullet1"/>
        <w:rPr>
          <w:color w:val="000000"/>
        </w:rPr>
      </w:pPr>
      <w:r w:rsidRPr="000A14BB">
        <w:t>internal audits or compliance monitoring</w:t>
      </w:r>
    </w:p>
    <w:p w14:paraId="0235DE21" w14:textId="77777777" w:rsidR="006D601B" w:rsidRPr="000A14BB" w:rsidRDefault="006D601B" w:rsidP="0041492E">
      <w:pPr>
        <w:pStyle w:val="Bullet1"/>
        <w:rPr>
          <w:color w:val="000000"/>
        </w:rPr>
      </w:pPr>
      <w:r w:rsidRPr="000A14BB">
        <w:t>industry peak body support programs</w:t>
      </w:r>
    </w:p>
    <w:p w14:paraId="0D6D7891" w14:textId="17EEE3A5" w:rsidR="0015512E" w:rsidRPr="000A14BB" w:rsidRDefault="006D601B" w:rsidP="0041492E">
      <w:pPr>
        <w:pStyle w:val="Bullet1"/>
        <w:rPr>
          <w:color w:val="000000"/>
        </w:rPr>
      </w:pPr>
      <w:r w:rsidRPr="000A14BB">
        <w:t>compliance management performed by industry on its members</w:t>
      </w:r>
      <w:r w:rsidR="0015512E" w:rsidRPr="000A14BB">
        <w:t xml:space="preserve"> </w:t>
      </w:r>
      <w:r w:rsidRPr="000A14BB">
        <w:t>corporate governance and quality assurance reporting.</w:t>
      </w:r>
    </w:p>
    <w:p w14:paraId="266A61D7" w14:textId="18A698F4" w:rsidR="006D601B" w:rsidRPr="0015512E" w:rsidRDefault="0015512E" w:rsidP="006411D4">
      <w:pPr>
        <w:pStyle w:val="Heading2"/>
        <w:rPr>
          <w:color w:val="000000"/>
        </w:rPr>
      </w:pPr>
      <w:bookmarkStart w:id="42" w:name="_Account_for_both"/>
      <w:bookmarkStart w:id="43" w:name="_Toc170403086"/>
      <w:bookmarkEnd w:id="42"/>
      <w:r w:rsidRPr="0015512E">
        <w:t>A</w:t>
      </w:r>
      <w:r w:rsidR="006D601B" w:rsidRPr="0015512E">
        <w:t xml:space="preserve">ccount for both routine and program </w:t>
      </w:r>
      <w:proofErr w:type="gramStart"/>
      <w:r w:rsidR="006D601B" w:rsidRPr="0015512E">
        <w:t>activities</w:t>
      </w:r>
      <w:bookmarkEnd w:id="43"/>
      <w:proofErr w:type="gramEnd"/>
    </w:p>
    <w:p w14:paraId="56C58D43" w14:textId="77777777" w:rsidR="006D601B" w:rsidRPr="0015512E" w:rsidRDefault="006D601B" w:rsidP="006D601B">
      <w:pPr>
        <w:rPr>
          <w:rFonts w:ascii="VIC" w:eastAsia="Times New Roman" w:hAnsi="VIC" w:cs="Times New Roman"/>
          <w:color w:val="000000"/>
        </w:rPr>
      </w:pPr>
      <w:r w:rsidRPr="0015512E">
        <w:rPr>
          <w:rFonts w:ascii="VIC" w:eastAsia="Times New Roman" w:hAnsi="VIC" w:cs="Times New Roman"/>
        </w:rPr>
        <w:t>The regulator activities that you measure will depend on the nature of the regulation, the commitments made in the implementation plan (or in related programs), and the scope and powers of the regulator. Consider whether the following may be relevant:</w:t>
      </w:r>
    </w:p>
    <w:p w14:paraId="73C9269E" w14:textId="08B5CB6B" w:rsidR="006D601B" w:rsidRPr="0015512E" w:rsidRDefault="006D601B" w:rsidP="0015512E">
      <w:pPr>
        <w:pStyle w:val="Bullet1"/>
        <w:rPr>
          <w:rFonts w:ascii="VIC" w:hAnsi="VIC"/>
          <w:color w:val="000000"/>
        </w:rPr>
      </w:pPr>
      <w:r w:rsidRPr="0015512E">
        <w:rPr>
          <w:rFonts w:ascii="VIC" w:hAnsi="VIC"/>
        </w:rPr>
        <w:t>Inspections conducted, or other forms of compliance monitoring e.g. audits and desktop reviews. Considerations:</w:t>
      </w:r>
    </w:p>
    <w:p w14:paraId="06DB6F17" w14:textId="77777777" w:rsidR="006D601B" w:rsidRPr="0015512E" w:rsidRDefault="006D601B" w:rsidP="0041492E">
      <w:pPr>
        <w:pStyle w:val="Bullet2"/>
        <w:rPr>
          <w:color w:val="000000"/>
        </w:rPr>
      </w:pPr>
      <w:r w:rsidRPr="0015512E">
        <w:t xml:space="preserve">This might include general regulator activity or specific programs, </w:t>
      </w:r>
      <w:proofErr w:type="gramStart"/>
      <w:r w:rsidRPr="0015512E">
        <w:t>campaigns</w:t>
      </w:r>
      <w:proofErr w:type="gramEnd"/>
      <w:r w:rsidRPr="0015512E">
        <w:t xml:space="preserve"> or strategies. </w:t>
      </w:r>
    </w:p>
    <w:p w14:paraId="2B418A37" w14:textId="77777777" w:rsidR="006D601B" w:rsidRPr="0015512E" w:rsidRDefault="006D601B" w:rsidP="0041492E">
      <w:pPr>
        <w:pStyle w:val="Bullet2"/>
        <w:rPr>
          <w:color w:val="000000"/>
        </w:rPr>
      </w:pPr>
      <w:r w:rsidRPr="0015512E">
        <w:t>It may be more effective to evaluate the design and execution of a specific compliance monitoring campaign, than to report on the overall number of inspections.</w:t>
      </w:r>
    </w:p>
    <w:p w14:paraId="0C60370D" w14:textId="77777777" w:rsidR="006D601B" w:rsidRPr="0015512E" w:rsidRDefault="006D601B" w:rsidP="0015512E">
      <w:pPr>
        <w:pStyle w:val="Bullet1"/>
        <w:rPr>
          <w:rFonts w:ascii="VIC" w:hAnsi="VIC"/>
          <w:color w:val="000000"/>
        </w:rPr>
      </w:pPr>
      <w:r w:rsidRPr="0015512E">
        <w:rPr>
          <w:rFonts w:ascii="VIC" w:hAnsi="VIC"/>
        </w:rPr>
        <w:t xml:space="preserve">Education and outreach activities, which might be part of: </w:t>
      </w:r>
    </w:p>
    <w:p w14:paraId="622CA3BF" w14:textId="414989F5" w:rsidR="006D601B" w:rsidRPr="0015512E" w:rsidRDefault="00FD5F51" w:rsidP="0041492E">
      <w:pPr>
        <w:pStyle w:val="Bullet2"/>
        <w:rPr>
          <w:color w:val="000000"/>
        </w:rPr>
      </w:pPr>
      <w:r>
        <w:t>S</w:t>
      </w:r>
      <w:r w:rsidR="006D601B" w:rsidRPr="0015512E">
        <w:t>pecific inspection campaigns</w:t>
      </w:r>
    </w:p>
    <w:p w14:paraId="6592AECD" w14:textId="3D3E5DC9" w:rsidR="006D601B" w:rsidRPr="0015512E" w:rsidRDefault="00FD5F51" w:rsidP="0041492E">
      <w:pPr>
        <w:pStyle w:val="Bullet2"/>
        <w:rPr>
          <w:color w:val="000000"/>
        </w:rPr>
      </w:pPr>
      <w:r>
        <w:t>R</w:t>
      </w:r>
      <w:r w:rsidR="006D601B" w:rsidRPr="0015512E">
        <w:t>outine inspections by authorised officers</w:t>
      </w:r>
    </w:p>
    <w:p w14:paraId="4748D533" w14:textId="1CA0C36F" w:rsidR="006D601B" w:rsidRPr="0015512E" w:rsidRDefault="00FD5F51" w:rsidP="0041492E">
      <w:pPr>
        <w:pStyle w:val="Bullet2"/>
        <w:rPr>
          <w:color w:val="000000"/>
        </w:rPr>
      </w:pPr>
      <w:r>
        <w:t>A</w:t>
      </w:r>
      <w:r w:rsidR="006D601B" w:rsidRPr="0015512E">
        <w:t xml:space="preserve">ctivities by engagement officers. </w:t>
      </w:r>
    </w:p>
    <w:p w14:paraId="5027E07D" w14:textId="77777777" w:rsidR="006D601B" w:rsidRPr="0015512E" w:rsidRDefault="006D601B" w:rsidP="0015512E">
      <w:pPr>
        <w:pStyle w:val="Bullet1"/>
        <w:rPr>
          <w:rFonts w:ascii="VIC" w:hAnsi="VIC"/>
          <w:color w:val="000000"/>
        </w:rPr>
      </w:pPr>
      <w:r w:rsidRPr="0015512E">
        <w:rPr>
          <w:rFonts w:ascii="VIC" w:hAnsi="VIC"/>
        </w:rPr>
        <w:t>Enforcement actions, which might include:</w:t>
      </w:r>
    </w:p>
    <w:p w14:paraId="24DC08E2" w14:textId="5E7643E0" w:rsidR="006D601B" w:rsidRPr="0015512E" w:rsidRDefault="006D601B" w:rsidP="0041492E">
      <w:pPr>
        <w:pStyle w:val="Bullet2"/>
        <w:rPr>
          <w:color w:val="000000"/>
        </w:rPr>
      </w:pPr>
      <w:r w:rsidRPr="0015512E">
        <w:t>In-field actions, including remedial or corrective action (e.g. issuing improvement notices or giving directions)</w:t>
      </w:r>
    </w:p>
    <w:p w14:paraId="284D880A" w14:textId="77777777" w:rsidR="006D601B" w:rsidRPr="0015512E" w:rsidRDefault="006D601B" w:rsidP="0041492E">
      <w:pPr>
        <w:pStyle w:val="Bullet2"/>
        <w:rPr>
          <w:color w:val="000000"/>
        </w:rPr>
      </w:pPr>
      <w:r w:rsidRPr="0015512E">
        <w:t>Issue of penalties or fines</w:t>
      </w:r>
    </w:p>
    <w:p w14:paraId="4168BB7A" w14:textId="6D401165" w:rsidR="006D601B" w:rsidRPr="0015512E" w:rsidRDefault="006D601B" w:rsidP="0041492E">
      <w:pPr>
        <w:pStyle w:val="Bullet2"/>
        <w:rPr>
          <w:color w:val="000000"/>
        </w:rPr>
      </w:pPr>
      <w:r w:rsidRPr="0015512E">
        <w:t>Prosecutions or disciplinary processes conducted</w:t>
      </w:r>
      <w:r w:rsidR="00FD5F51">
        <w:t>.</w:t>
      </w:r>
    </w:p>
    <w:p w14:paraId="69ED1AF9" w14:textId="77777777" w:rsidR="006D601B" w:rsidRPr="0015512E" w:rsidRDefault="006D601B" w:rsidP="0015512E">
      <w:pPr>
        <w:pStyle w:val="Bullet1"/>
        <w:rPr>
          <w:rFonts w:ascii="VIC" w:hAnsi="VIC"/>
          <w:color w:val="000000"/>
        </w:rPr>
      </w:pPr>
      <w:r w:rsidRPr="0015512E">
        <w:rPr>
          <w:rFonts w:ascii="VIC" w:hAnsi="VIC"/>
        </w:rPr>
        <w:t xml:space="preserve">Partnerships such as working with industry to co-design guidance, or to educate or support members in meeting </w:t>
      </w:r>
      <w:proofErr w:type="gramStart"/>
      <w:r w:rsidRPr="0015512E">
        <w:rPr>
          <w:rFonts w:ascii="VIC" w:hAnsi="VIC"/>
        </w:rPr>
        <w:t>requirements</w:t>
      </w:r>
      <w:proofErr w:type="gramEnd"/>
    </w:p>
    <w:p w14:paraId="265D596D" w14:textId="45462235" w:rsidR="00654B7C" w:rsidRPr="00A3042E" w:rsidRDefault="006D601B" w:rsidP="00A3042E">
      <w:pPr>
        <w:pStyle w:val="Bullet1"/>
        <w:rPr>
          <w:rFonts w:ascii="VIC" w:hAnsi="VIC"/>
          <w:color w:val="000000"/>
        </w:rPr>
      </w:pPr>
      <w:r w:rsidRPr="0015512E">
        <w:rPr>
          <w:rFonts w:ascii="VIC" w:hAnsi="VIC"/>
        </w:rPr>
        <w:t>Other compliance generating or monitoring activities, which can include tracking industry incident reporting and response to these, managing queries, or tracking consumer or citizen complaints.</w:t>
      </w:r>
    </w:p>
    <w:p w14:paraId="489EF5EA" w14:textId="0CA14455" w:rsidR="006F3CF5" w:rsidRPr="000E52EE" w:rsidRDefault="006F3CF5" w:rsidP="00F64FD9">
      <w:pPr>
        <w:pStyle w:val="Highlightboxheading"/>
        <w:pageBreakBefore/>
      </w:pPr>
      <w:r w:rsidRPr="000E52EE">
        <w:lastRenderedPageBreak/>
        <w:t xml:space="preserve">Common challenges to </w:t>
      </w:r>
      <w:r w:rsidRPr="5FB80507">
        <w:t>plan for</w:t>
      </w:r>
      <w:r w:rsidRPr="000E52EE">
        <w:t xml:space="preserve"> in </w:t>
      </w:r>
      <w:r w:rsidRPr="5FB80507">
        <w:t xml:space="preserve">evaluation </w:t>
      </w:r>
      <w:r>
        <w:t xml:space="preserve">planning and </w:t>
      </w:r>
      <w:r w:rsidRPr="000E52EE">
        <w:t>delivery</w:t>
      </w:r>
    </w:p>
    <w:p w14:paraId="42FAF5C3" w14:textId="4D342012" w:rsidR="006F3CF5" w:rsidRPr="000E52EE" w:rsidRDefault="006F3CF5" w:rsidP="00BC419E">
      <w:pPr>
        <w:pStyle w:val="Highlightboxbullet"/>
        <w:numPr>
          <w:ilvl w:val="0"/>
          <w:numId w:val="0"/>
        </w:numPr>
      </w:pPr>
      <w:r w:rsidRPr="3297817A">
        <w:t>Evaluation project management, delivery and the approach to stakeholder engagement should be mindful of common issues may that arise during the lifecycle of the regulation.</w:t>
      </w:r>
      <w:r w:rsidR="001458AA">
        <w:t xml:space="preserve"> </w:t>
      </w:r>
      <w:r w:rsidRPr="31FD5AD6">
        <w:t>When delivering an evaluation, challenges can arise where:</w:t>
      </w:r>
    </w:p>
    <w:p w14:paraId="30B31B79" w14:textId="77777777" w:rsidR="006F3CF5" w:rsidRPr="000E52EE" w:rsidRDefault="006F3CF5" w:rsidP="00FB7B50">
      <w:pPr>
        <w:pStyle w:val="Highlightboxbullet"/>
      </w:pPr>
      <w:r>
        <w:t>r</w:t>
      </w:r>
      <w:r w:rsidRPr="000E52EE">
        <w:t xml:space="preserve">egulatory objectives are not sufficiently articulated or focused to provide clear indicators to measure success or </w:t>
      </w:r>
      <w:proofErr w:type="gramStart"/>
      <w:r w:rsidRPr="000E52EE">
        <w:t>failure</w:t>
      </w:r>
      <w:proofErr w:type="gramEnd"/>
    </w:p>
    <w:p w14:paraId="6231BE6E" w14:textId="77777777" w:rsidR="006F3CF5" w:rsidRPr="000E52EE" w:rsidRDefault="006F3CF5" w:rsidP="00FB7B50">
      <w:pPr>
        <w:pStyle w:val="Highlightboxbullet"/>
      </w:pPr>
      <w:r>
        <w:t>t</w:t>
      </w:r>
      <w:r w:rsidRPr="000E52EE">
        <w:t xml:space="preserve">here were shortcomings in the design of </w:t>
      </w:r>
      <w:proofErr w:type="gramStart"/>
      <w:r w:rsidRPr="000E52EE">
        <w:t>pre</w:t>
      </w:r>
      <w:proofErr w:type="gramEnd"/>
      <w:r w:rsidRPr="000E52EE">
        <w:t xml:space="preserve"> and post</w:t>
      </w:r>
      <w:r>
        <w:t>-</w:t>
      </w:r>
      <w:r w:rsidRPr="000E52EE">
        <w:t>intervention measures, or gaps in accounting for intervening factors that may confuse the result</w:t>
      </w:r>
    </w:p>
    <w:p w14:paraId="29637B1F" w14:textId="77777777" w:rsidR="006F3CF5" w:rsidRDefault="006F3CF5" w:rsidP="00FB7B50">
      <w:pPr>
        <w:pStyle w:val="Highlightboxbullet"/>
      </w:pPr>
      <w:r>
        <w:t>d</w:t>
      </w:r>
      <w:r w:rsidRPr="4FA68DC5">
        <w:t xml:space="preserve">ocumentation developed when making the RIS or LIA was not </w:t>
      </w:r>
      <w:r w:rsidRPr="231BB842">
        <w:t>suitably</w:t>
      </w:r>
      <w:r w:rsidRPr="4FA68DC5">
        <w:t xml:space="preserve"> stored or made accessible for future </w:t>
      </w:r>
      <w:proofErr w:type="gramStart"/>
      <w:r w:rsidRPr="4FA68DC5">
        <w:t>use</w:t>
      </w:r>
      <w:proofErr w:type="gramEnd"/>
    </w:p>
    <w:p w14:paraId="68772316" w14:textId="77777777" w:rsidR="006F3CF5" w:rsidRPr="000E52EE" w:rsidRDefault="006F3CF5" w:rsidP="00FB7B50">
      <w:pPr>
        <w:pStyle w:val="Highlightboxbullet"/>
      </w:pPr>
      <w:r>
        <w:t>f</w:t>
      </w:r>
      <w:r w:rsidRPr="000E52EE">
        <w:t xml:space="preserve">illing evidence gaps, or improving data quality, </w:t>
      </w:r>
      <w:r w:rsidRPr="5FB80507">
        <w:t>was insufficiently done because</w:t>
      </w:r>
      <w:r w:rsidRPr="000E52EE">
        <w:t xml:space="preserve"> additional expertise or expenses were not fully accounted </w:t>
      </w:r>
      <w:r w:rsidRPr="5FB80507">
        <w:t xml:space="preserve">(or allowed) </w:t>
      </w:r>
      <w:r w:rsidRPr="000E52EE">
        <w:t>for</w:t>
      </w:r>
    </w:p>
    <w:p w14:paraId="3D89E021" w14:textId="77777777" w:rsidR="006F3CF5" w:rsidRPr="000E52EE" w:rsidRDefault="006F3CF5" w:rsidP="00FB7B50">
      <w:pPr>
        <w:pStyle w:val="Highlightboxbullet"/>
      </w:pPr>
      <w:r>
        <w:t>e</w:t>
      </w:r>
      <w:r w:rsidRPr="000E52EE">
        <w:t xml:space="preserve">valuation reporting </w:t>
      </w:r>
      <w:r w:rsidRPr="5FB80507">
        <w:t>highlights</w:t>
      </w:r>
      <w:r w:rsidRPr="000E52EE">
        <w:t xml:space="preserve"> issues or shortcomings and changes required in delivery. This might come against organisational resistance to change e.g. in government bodies or industry. This can occur where changes may threaten the existing arrangements, positions or budgets, or parties </w:t>
      </w:r>
      <w:r w:rsidRPr="20F44149">
        <w:t xml:space="preserve">who </w:t>
      </w:r>
      <w:r w:rsidRPr="000E52EE">
        <w:t>have benefited from the current regulatory arrangements.</w:t>
      </w:r>
    </w:p>
    <w:p w14:paraId="6D68235C" w14:textId="77777777" w:rsidR="006F3CF5" w:rsidRPr="0015512E" w:rsidRDefault="006F3CF5" w:rsidP="00FB7B50">
      <w:pPr>
        <w:pStyle w:val="Highlightboxtext"/>
      </w:pPr>
      <w:r w:rsidRPr="5FB80507">
        <w:t xml:space="preserve">Ultimately, shortcomings in evaluation can undermine an effective review of sunsetting regulations, limiting the ability to improve regulations. </w:t>
      </w:r>
      <w:r>
        <w:t>I</w:t>
      </w:r>
      <w:r w:rsidRPr="3297817A">
        <w:t>t is important to build in enough time to investigate, assess, and respond to issues (e.g. by reviewing your program logic model or gathering alternative data).</w:t>
      </w:r>
    </w:p>
    <w:p w14:paraId="3BEE5258" w14:textId="77777777" w:rsidR="00CB4473" w:rsidRPr="000E52EE" w:rsidRDefault="00CB4473" w:rsidP="00F4020B">
      <w:pPr>
        <w:pStyle w:val="Spacer"/>
      </w:pPr>
    </w:p>
    <w:p w14:paraId="1B05BF8F" w14:textId="3AFBF58B" w:rsidR="000159DA" w:rsidRPr="006215F7" w:rsidRDefault="000159DA" w:rsidP="00C93C39">
      <w:pPr>
        <w:pStyle w:val="Heading2"/>
      </w:pPr>
      <w:bookmarkStart w:id="44" w:name="_How_to_address_1"/>
      <w:bookmarkStart w:id="45" w:name="_Toc2122408007"/>
      <w:bookmarkStart w:id="46" w:name="_How_to_address"/>
      <w:bookmarkStart w:id="47" w:name="_Toc170403087"/>
      <w:bookmarkStart w:id="48" w:name="_Toc153874913"/>
      <w:bookmarkEnd w:id="44"/>
      <w:r w:rsidRPr="006215F7">
        <w:rPr>
          <w:rStyle w:val="Heading2Char"/>
        </w:rPr>
        <w:t xml:space="preserve">How to </w:t>
      </w:r>
      <w:r w:rsidR="00847B13" w:rsidRPr="006215F7">
        <w:rPr>
          <w:rStyle w:val="Heading2Char"/>
        </w:rPr>
        <w:t xml:space="preserve">undertake evaluation in specific scenarios and </w:t>
      </w:r>
      <w:r w:rsidR="00092E3B" w:rsidRPr="006215F7">
        <w:rPr>
          <w:rStyle w:val="Heading2Char"/>
        </w:rPr>
        <w:t>different types of evaluation</w:t>
      </w:r>
      <w:bookmarkEnd w:id="45"/>
      <w:bookmarkEnd w:id="46"/>
      <w:bookmarkEnd w:id="47"/>
    </w:p>
    <w:p w14:paraId="17211030" w14:textId="0EE0F52E" w:rsidR="007D09CB" w:rsidRDefault="00CD3E2D" w:rsidP="00752F20">
      <w:pPr>
        <w:rPr>
          <w:rFonts w:ascii="VIC" w:eastAsia="Times New Roman" w:hAnsi="VIC" w:cs="Times New Roman"/>
        </w:rPr>
      </w:pPr>
      <w:r>
        <w:rPr>
          <w:rFonts w:ascii="VIC" w:hAnsi="VIC"/>
        </w:rPr>
        <w:t xml:space="preserve">This section </w:t>
      </w:r>
      <w:r w:rsidR="00E008B6">
        <w:rPr>
          <w:rFonts w:ascii="VIC" w:hAnsi="VIC"/>
        </w:rPr>
        <w:t xml:space="preserve">discusses </w:t>
      </w:r>
      <w:r w:rsidR="00FC5D45">
        <w:rPr>
          <w:rFonts w:ascii="VIC" w:hAnsi="VIC"/>
        </w:rPr>
        <w:t xml:space="preserve">how to </w:t>
      </w:r>
      <w:r w:rsidR="00B73534">
        <w:rPr>
          <w:rFonts w:ascii="VIC" w:hAnsi="VIC"/>
        </w:rPr>
        <w:t xml:space="preserve">undertake </w:t>
      </w:r>
      <w:r w:rsidR="00A6797A">
        <w:rPr>
          <w:rFonts w:ascii="VIC" w:hAnsi="VIC"/>
        </w:rPr>
        <w:t>evaluation in specific scenarios an</w:t>
      </w:r>
      <w:r w:rsidR="00CE23EF">
        <w:rPr>
          <w:rFonts w:ascii="VIC" w:hAnsi="VIC"/>
        </w:rPr>
        <w:t>d</w:t>
      </w:r>
      <w:r w:rsidR="00A6797A">
        <w:rPr>
          <w:rFonts w:ascii="VIC" w:hAnsi="VIC"/>
        </w:rPr>
        <w:t xml:space="preserve"> undertake different types of evaluation</w:t>
      </w:r>
      <w:r w:rsidR="00B56A68">
        <w:rPr>
          <w:rFonts w:ascii="VIC" w:hAnsi="VIC"/>
        </w:rPr>
        <w:t>,</w:t>
      </w:r>
      <w:r w:rsidR="002F0604">
        <w:rPr>
          <w:rFonts w:ascii="VIC" w:eastAsia="Times New Roman" w:hAnsi="VIC" w:cs="Times New Roman"/>
        </w:rPr>
        <w:t xml:space="preserve"> </w:t>
      </w:r>
      <w:r w:rsidR="007D09CB">
        <w:rPr>
          <w:rFonts w:ascii="VIC" w:eastAsia="Times New Roman" w:hAnsi="VIC" w:cs="Times New Roman"/>
        </w:rPr>
        <w:t>includ</w:t>
      </w:r>
      <w:r w:rsidR="002F0604">
        <w:rPr>
          <w:rFonts w:ascii="VIC" w:eastAsia="Times New Roman" w:hAnsi="VIC" w:cs="Times New Roman"/>
        </w:rPr>
        <w:t>ing</w:t>
      </w:r>
      <w:r w:rsidR="007D09CB">
        <w:rPr>
          <w:rFonts w:ascii="VIC" w:eastAsia="Times New Roman" w:hAnsi="VIC" w:cs="Times New Roman"/>
        </w:rPr>
        <w:t>:</w:t>
      </w:r>
    </w:p>
    <w:p w14:paraId="69283427" w14:textId="556E1CCD" w:rsidR="00613EE9" w:rsidRPr="00E21707" w:rsidRDefault="009645ED" w:rsidP="00E21707">
      <w:pPr>
        <w:pStyle w:val="Bullet1"/>
      </w:pPr>
      <w:hyperlink w:anchor="_Interactions_with_programs" w:history="1">
        <w:r w:rsidR="007D09CB" w:rsidRPr="00E21707">
          <w:rPr>
            <w:rStyle w:val="Hyperlink"/>
            <w:i w:val="0"/>
            <w:color w:val="000000" w:themeColor="text1"/>
          </w:rPr>
          <w:t>Interactions with programs or projects</w:t>
        </w:r>
      </w:hyperlink>
    </w:p>
    <w:p w14:paraId="31426B08" w14:textId="00103F40" w:rsidR="00DF3559" w:rsidRPr="00E21707" w:rsidRDefault="009645ED" w:rsidP="00E21707">
      <w:pPr>
        <w:pStyle w:val="Bullet1"/>
      </w:pPr>
      <w:hyperlink w:anchor="_Regulator_reporting_and" w:history="1">
        <w:r w:rsidR="00DF3559" w:rsidRPr="00E21707">
          <w:rPr>
            <w:rStyle w:val="Hyperlink"/>
            <w:i w:val="0"/>
            <w:color w:val="000000" w:themeColor="text1"/>
          </w:rPr>
          <w:t>Regulator reporting and performance evaluation</w:t>
        </w:r>
        <w:r w:rsidR="007402C5" w:rsidRPr="00E21707">
          <w:rPr>
            <w:rStyle w:val="Hyperlink"/>
            <w:i w:val="0"/>
            <w:color w:val="000000" w:themeColor="text1"/>
          </w:rPr>
          <w:t>s</w:t>
        </w:r>
      </w:hyperlink>
    </w:p>
    <w:p w14:paraId="76043B68" w14:textId="31484078" w:rsidR="007D09CB" w:rsidRPr="00E21707" w:rsidRDefault="009645ED" w:rsidP="00E21707">
      <w:pPr>
        <w:pStyle w:val="Bullet1"/>
      </w:pPr>
      <w:hyperlink w:anchor="_Fee_setting_regulations" w:history="1">
        <w:r w:rsidR="00894134" w:rsidRPr="00E21707">
          <w:rPr>
            <w:rStyle w:val="Hyperlink"/>
            <w:i w:val="0"/>
            <w:color w:val="000000" w:themeColor="text1"/>
          </w:rPr>
          <w:t>Fee setting regulations</w:t>
        </w:r>
      </w:hyperlink>
    </w:p>
    <w:p w14:paraId="22B88967" w14:textId="6256DEC8" w:rsidR="00894134" w:rsidRPr="00E21707" w:rsidRDefault="009645ED" w:rsidP="00E21707">
      <w:pPr>
        <w:pStyle w:val="Bullet1"/>
      </w:pPr>
      <w:hyperlink w:anchor="_Permissions_evaluations" w:history="1">
        <w:r w:rsidR="00894134" w:rsidRPr="00E21707">
          <w:rPr>
            <w:rStyle w:val="Hyperlink"/>
            <w:i w:val="0"/>
            <w:color w:val="000000" w:themeColor="text1"/>
          </w:rPr>
          <w:t>Permissions evaluat</w:t>
        </w:r>
        <w:r w:rsidR="007402C5" w:rsidRPr="00E21707">
          <w:rPr>
            <w:rStyle w:val="Hyperlink"/>
            <w:i w:val="0"/>
            <w:color w:val="000000" w:themeColor="text1"/>
          </w:rPr>
          <w:t>ions</w:t>
        </w:r>
      </w:hyperlink>
    </w:p>
    <w:p w14:paraId="1357298C" w14:textId="0E647C67" w:rsidR="007402C5" w:rsidRPr="00E21707" w:rsidRDefault="009645ED" w:rsidP="00E21707">
      <w:pPr>
        <w:pStyle w:val="Bullet1"/>
      </w:pPr>
      <w:hyperlink w:anchor="_Mid-term_and_sunsetting" w:history="1">
        <w:r w:rsidR="007402C5" w:rsidRPr="00E21707">
          <w:rPr>
            <w:rStyle w:val="Hyperlink"/>
            <w:i w:val="0"/>
            <w:color w:val="000000" w:themeColor="text1"/>
          </w:rPr>
          <w:t xml:space="preserve">Mid-term and sunsetting </w:t>
        </w:r>
        <w:r w:rsidR="00261D64" w:rsidRPr="00E21707">
          <w:rPr>
            <w:rStyle w:val="Hyperlink"/>
            <w:i w:val="0"/>
            <w:color w:val="000000" w:themeColor="text1"/>
          </w:rPr>
          <w:t>evaluations</w:t>
        </w:r>
      </w:hyperlink>
    </w:p>
    <w:p w14:paraId="08F45A5D" w14:textId="77777777" w:rsidR="0032782E" w:rsidRDefault="0032782E" w:rsidP="004910A7">
      <w:pPr>
        <w:pStyle w:val="Bullet1"/>
        <w:numPr>
          <w:ilvl w:val="0"/>
          <w:numId w:val="0"/>
        </w:numPr>
      </w:pPr>
    </w:p>
    <w:p w14:paraId="204A7754" w14:textId="672AA3AD" w:rsidR="004910A7" w:rsidRPr="00E21707" w:rsidRDefault="004910A7" w:rsidP="006215F7">
      <w:pPr>
        <w:pStyle w:val="Bullet1"/>
        <w:numPr>
          <w:ilvl w:val="0"/>
          <w:numId w:val="0"/>
        </w:numPr>
      </w:pPr>
      <w:r>
        <w:t>It is important to consider how the regulations were implemented when developing your evaluation. H</w:t>
      </w:r>
      <w:r w:rsidRPr="00BA626C">
        <w:t>ow successful was implementation?</w:t>
      </w:r>
      <w:r w:rsidRPr="00BA626C" w:rsidDel="008172BD">
        <w:t xml:space="preserve"> </w:t>
      </w:r>
      <w:r w:rsidRPr="00BA626C">
        <w:t>How were the regulations communicated and ‘bedded in’ with stakeholders? What approaches has the regulator taken to compliance and enforcement? What is the current level of compliance and how has this changed over time? Have there been any reviews of regulator delivery?</w:t>
      </w:r>
    </w:p>
    <w:p w14:paraId="14A149BD" w14:textId="50030E5A" w:rsidR="00414B10" w:rsidRPr="000B0A44" w:rsidRDefault="005E4058" w:rsidP="006215F7">
      <w:pPr>
        <w:pStyle w:val="Heading3"/>
      </w:pPr>
      <w:bookmarkStart w:id="49" w:name="_Interactions_with_programs"/>
      <w:bookmarkEnd w:id="49"/>
      <w:r w:rsidRPr="000B0A44">
        <w:t>I</w:t>
      </w:r>
      <w:r w:rsidR="00414B10" w:rsidRPr="000B0A44">
        <w:t>nteractions with programs or projects</w:t>
      </w:r>
    </w:p>
    <w:p w14:paraId="7A20AFC1" w14:textId="5819D54D" w:rsidR="00D72B26" w:rsidRPr="00BA626C" w:rsidRDefault="00414B10" w:rsidP="00E21707">
      <w:pPr>
        <w:keepNext/>
      </w:pPr>
      <w:r w:rsidRPr="00BA626C">
        <w:t>A regulatory evaluation may interact with a service delivery or regulator program evaluation</w:t>
      </w:r>
      <w:r w:rsidR="00BF7AFC" w:rsidRPr="00BA626C">
        <w:t>. This happen</w:t>
      </w:r>
      <w:r w:rsidR="00D80F3D" w:rsidRPr="00BA626C">
        <w:t>s</w:t>
      </w:r>
      <w:r w:rsidR="00BF7AFC" w:rsidRPr="00BA626C">
        <w:t xml:space="preserve"> </w:t>
      </w:r>
      <w:r w:rsidRPr="00BA626C">
        <w:t xml:space="preserve">when a regulatory intervention is complemented by government activities or funding. </w:t>
      </w:r>
    </w:p>
    <w:p w14:paraId="3B313E89" w14:textId="69D60600" w:rsidR="00414B10" w:rsidRPr="00BA626C" w:rsidRDefault="00414B10" w:rsidP="00E21707">
      <w:r w:rsidRPr="00DC4196">
        <w:t>For example, regulations designed to reduce agricultural runoff</w:t>
      </w:r>
      <w:r w:rsidR="009653DE">
        <w:t xml:space="preserve"> might </w:t>
      </w:r>
      <w:r w:rsidR="009A0565">
        <w:t xml:space="preserve">be complemented </w:t>
      </w:r>
      <w:r w:rsidR="006A5EE3">
        <w:t>by</w:t>
      </w:r>
      <w:r w:rsidR="009A0565">
        <w:t xml:space="preserve"> an </w:t>
      </w:r>
      <w:r w:rsidRPr="00DC4196">
        <w:t>education program</w:t>
      </w:r>
      <w:r w:rsidR="00F32FFE">
        <w:t xml:space="preserve"> to reduce runoff</w:t>
      </w:r>
      <w:r w:rsidRPr="00DC4196">
        <w:t xml:space="preserve"> </w:t>
      </w:r>
      <w:r w:rsidR="000578C5">
        <w:t>and subsid</w:t>
      </w:r>
      <w:r w:rsidR="00CF73E0">
        <w:t>ies</w:t>
      </w:r>
      <w:r w:rsidR="000578C5">
        <w:t xml:space="preserve"> </w:t>
      </w:r>
      <w:r w:rsidRPr="00DC4196">
        <w:t>for equipment upgrades.</w:t>
      </w:r>
      <w:r w:rsidRPr="00BA626C">
        <w:t xml:space="preserve"> </w:t>
      </w:r>
    </w:p>
    <w:p w14:paraId="3C4025DB" w14:textId="52B12C41" w:rsidR="00D80F3D" w:rsidRPr="00BA626C" w:rsidRDefault="00414B10" w:rsidP="00E21707">
      <w:r w:rsidRPr="00BA626C">
        <w:lastRenderedPageBreak/>
        <w:t xml:space="preserve">In these cases, the evaluation strategy should aim to </w:t>
      </w:r>
      <w:r w:rsidR="00F36181">
        <w:t>isolate</w:t>
      </w:r>
      <w:r w:rsidRPr="00BA626C">
        <w:t xml:space="preserve"> the effects of the regulatory intervention from other actions. </w:t>
      </w:r>
    </w:p>
    <w:p w14:paraId="374207CA" w14:textId="71FB95EC" w:rsidR="000631EE" w:rsidRPr="00BA626C" w:rsidRDefault="00414B10" w:rsidP="00E21707">
      <w:r w:rsidRPr="00BA626C">
        <w:t>This can include clarifying what actions were dependent on regulation being in place. Doing so helps to ensure mid-term evaluations, or review</w:t>
      </w:r>
      <w:r w:rsidR="002E2D4F">
        <w:t>s</w:t>
      </w:r>
      <w:r w:rsidRPr="00BA626C">
        <w:t xml:space="preserve"> of sunsetting regulations, can describe the role of the regulation compared to other </w:t>
      </w:r>
      <w:r w:rsidR="00930307">
        <w:t>actions</w:t>
      </w:r>
      <w:r w:rsidRPr="00BA626C">
        <w:t xml:space="preserve">. </w:t>
      </w:r>
    </w:p>
    <w:p w14:paraId="6B38D001" w14:textId="37A7B11A" w:rsidR="00414B10" w:rsidRPr="00BA626C" w:rsidRDefault="00414B10" w:rsidP="00E21707">
      <w:r w:rsidRPr="00BA626C">
        <w:t>This promotes continuous improvement in regulatory design.</w:t>
      </w:r>
    </w:p>
    <w:p w14:paraId="5F871F22" w14:textId="388D8978" w:rsidR="00414B10" w:rsidRPr="00BA626C" w:rsidRDefault="00414B10" w:rsidP="00E21707">
      <w:r w:rsidRPr="00BA626C">
        <w:t xml:space="preserve">When other evaluations are </w:t>
      </w:r>
      <w:r w:rsidR="00733ED8">
        <w:t xml:space="preserve">taking </w:t>
      </w:r>
      <w:r w:rsidRPr="00BA626C">
        <w:t>place</w:t>
      </w:r>
      <w:r w:rsidR="00770993">
        <w:t xml:space="preserve"> </w:t>
      </w:r>
      <w:r w:rsidR="00312F26">
        <w:t>with</w:t>
      </w:r>
      <w:r w:rsidR="00770993">
        <w:t xml:space="preserve"> related </w:t>
      </w:r>
      <w:r w:rsidR="00312F26">
        <w:t>problems</w:t>
      </w:r>
      <w:r w:rsidRPr="00BA626C">
        <w:t>, such as evaluations aligned to DTF’s Resource Management Framework, you should seek to</w:t>
      </w:r>
      <w:r w:rsidR="00053052">
        <w:t xml:space="preserve"> draw</w:t>
      </w:r>
      <w:r w:rsidR="000F7067">
        <w:t xml:space="preserve"> upon</w:t>
      </w:r>
      <w:r w:rsidRPr="00BA626C">
        <w:t xml:space="preserve"> relevant materials </w:t>
      </w:r>
      <w:r w:rsidR="00053052">
        <w:t>for your evaluation</w:t>
      </w:r>
      <w:r w:rsidRPr="00BA626C">
        <w:t>.</w:t>
      </w:r>
    </w:p>
    <w:p w14:paraId="4C73A5FA" w14:textId="753BA702" w:rsidR="0096591A" w:rsidRPr="00BA626C" w:rsidRDefault="000B0A44" w:rsidP="006215F7">
      <w:pPr>
        <w:pStyle w:val="Heading3"/>
      </w:pPr>
      <w:bookmarkStart w:id="50" w:name="_Regulator_reporting_and"/>
      <w:bookmarkEnd w:id="50"/>
      <w:r>
        <w:t>R</w:t>
      </w:r>
      <w:r w:rsidR="0096591A" w:rsidRPr="00BA626C">
        <w:t xml:space="preserve">egulator reporting and performance </w:t>
      </w:r>
      <w:proofErr w:type="gramStart"/>
      <w:r w:rsidR="0096591A" w:rsidRPr="00BA626C">
        <w:t>evaluation</w:t>
      </w:r>
      <w:r>
        <w:t>s</w:t>
      </w:r>
      <w:proofErr w:type="gramEnd"/>
    </w:p>
    <w:p w14:paraId="19EE0BED" w14:textId="6CB56386" w:rsidR="0096591A" w:rsidRPr="00BA626C" w:rsidRDefault="0096591A" w:rsidP="00E21707">
      <w:r w:rsidRPr="00BA626C">
        <w:t xml:space="preserve">Regulator activity and performance measurement and reporting can relate to how regulators </w:t>
      </w:r>
      <w:r w:rsidR="00B512FB" w:rsidRPr="00BA626C">
        <w:t>deliver</w:t>
      </w:r>
      <w:r w:rsidRPr="00BA626C">
        <w:t xml:space="preserve"> against specific programs, and the performance of a regulator in addressing its objectives. </w:t>
      </w:r>
    </w:p>
    <w:p w14:paraId="5C4C36B9" w14:textId="156E2E60" w:rsidR="0096591A" w:rsidRPr="00BA626C" w:rsidRDefault="0096591A" w:rsidP="00E21707">
      <w:r w:rsidRPr="00BA626C">
        <w:t xml:space="preserve">Regulators will </w:t>
      </w:r>
      <w:r w:rsidR="00B512FB" w:rsidRPr="00BA626C">
        <w:t>often</w:t>
      </w:r>
      <w:r w:rsidRPr="00BA626C">
        <w:t xml:space="preserve"> report against a range of objectives and potentially more than one piece of legislation</w:t>
      </w:r>
      <w:r w:rsidR="00535966" w:rsidRPr="00BA626C">
        <w:t xml:space="preserve">. This means </w:t>
      </w:r>
      <w:r w:rsidRPr="00BA626C">
        <w:t xml:space="preserve">a regulatory evaluation may be only one part of their reporting obligations. </w:t>
      </w:r>
    </w:p>
    <w:p w14:paraId="76544E60" w14:textId="77777777" w:rsidR="00535966" w:rsidRPr="00BA626C" w:rsidRDefault="0096591A" w:rsidP="00E21707">
      <w:r w:rsidRPr="00BA626C">
        <w:t xml:space="preserve">This toolkit does not directly address how to evaluate regulator performance. However, some of the measures for measuring regulator performance may be relevant in determining the effectiveness a regulation. </w:t>
      </w:r>
    </w:p>
    <w:p w14:paraId="18013B2A" w14:textId="77777777" w:rsidR="00021541" w:rsidRPr="00BA626C" w:rsidRDefault="0096591A" w:rsidP="00E21707">
      <w:pPr>
        <w:rPr>
          <w:rFonts w:eastAsia="Times New Roman" w:cs="Times New Roman"/>
        </w:rPr>
      </w:pPr>
      <w:r w:rsidRPr="00BA626C">
        <w:t xml:space="preserve">You will need to keep these relationships and distinctions in mind. </w:t>
      </w:r>
      <w:r w:rsidRPr="00BA626C">
        <w:rPr>
          <w:rFonts w:eastAsia="Times New Roman" w:cs="Times New Roman"/>
        </w:rPr>
        <w:t xml:space="preserve">For example, while most input measures would only be used internally by a regulator, they might inform periodic reporting for a regulatory evaluation. </w:t>
      </w:r>
    </w:p>
    <w:p w14:paraId="686586B7" w14:textId="1674C048" w:rsidR="0096591A" w:rsidRPr="00BA626C" w:rsidRDefault="0096591A" w:rsidP="00E21707">
      <w:pPr>
        <w:rPr>
          <w:rFonts w:eastAsia="Times New Roman" w:cs="Times New Roman"/>
        </w:rPr>
      </w:pPr>
      <w:r w:rsidRPr="00BA626C">
        <w:rPr>
          <w:rFonts w:eastAsia="Times New Roman" w:cs="Times New Roman"/>
        </w:rPr>
        <w:t>Understanding this relationship between regulator internal performance measurement and the evaluation can help ensure an effective evaluation design.</w:t>
      </w:r>
    </w:p>
    <w:p w14:paraId="106EF814" w14:textId="516270BC" w:rsidR="0096591A" w:rsidRPr="00BA626C" w:rsidRDefault="0096591A" w:rsidP="006215F7">
      <w:pPr>
        <w:pStyle w:val="Heading3"/>
      </w:pPr>
      <w:bookmarkStart w:id="51" w:name="_Fee_setting_regulations"/>
      <w:bookmarkEnd w:id="51"/>
      <w:r w:rsidRPr="00BA626C">
        <w:t xml:space="preserve">Fee setting </w:t>
      </w:r>
      <w:proofErr w:type="gramStart"/>
      <w:r w:rsidRPr="00BA626C">
        <w:t>regulations</w:t>
      </w:r>
      <w:proofErr w:type="gramEnd"/>
    </w:p>
    <w:p w14:paraId="0818E4AE" w14:textId="77777777" w:rsidR="00021541" w:rsidRPr="00BA626C" w:rsidRDefault="0096591A" w:rsidP="00E21707">
      <w:r w:rsidRPr="00BA626C">
        <w:t xml:space="preserve">An evaluation strategy for fee setting often needs to look at delivery efficiency and how processes can be optimised. </w:t>
      </w:r>
    </w:p>
    <w:p w14:paraId="380B11B2" w14:textId="024765CC" w:rsidR="0096591A" w:rsidRPr="00BA626C" w:rsidRDefault="0096591A" w:rsidP="00E21707">
      <w:pPr>
        <w:rPr>
          <w:rFonts w:ascii="VIC" w:eastAsia="Times New Roman" w:hAnsi="VIC" w:cs="Times New Roman"/>
        </w:rPr>
      </w:pPr>
      <w:r w:rsidRPr="00BA626C">
        <w:rPr>
          <w:rFonts w:ascii="VIC" w:eastAsia="Times New Roman" w:hAnsi="VIC" w:cs="Times New Roman"/>
        </w:rPr>
        <w:t xml:space="preserve">DTF’s </w:t>
      </w:r>
      <w:hyperlink r:id="rId19">
        <w:r w:rsidRPr="006215F7">
          <w:rPr>
            <w:rStyle w:val="Hyperlink"/>
            <w:rFonts w:ascii="VIC" w:eastAsia="Times New Roman" w:hAnsi="VIC" w:cs="Times New Roman"/>
            <w:i w:val="0"/>
          </w:rPr>
          <w:t>Pricing for Value</w:t>
        </w:r>
      </w:hyperlink>
      <w:r w:rsidRPr="00BA626C">
        <w:rPr>
          <w:rFonts w:ascii="VIC" w:eastAsia="Times New Roman" w:hAnsi="VIC" w:cs="Times New Roman"/>
        </w:rPr>
        <w:t xml:space="preserve"> guidelines set out 12 pricing principles for setting fees that can inform evaluation strategies. Principle 12 states that fees should be monitored and reviewed periodically. </w:t>
      </w:r>
    </w:p>
    <w:p w14:paraId="1BB2A32C" w14:textId="490AA26C" w:rsidR="0096591A" w:rsidRPr="00BA626C" w:rsidRDefault="0096591A" w:rsidP="0096591A">
      <w:pPr>
        <w:rPr>
          <w:rFonts w:ascii="VIC" w:eastAsia="Times New Roman" w:hAnsi="VIC" w:cs="Times New Roman"/>
        </w:rPr>
      </w:pPr>
      <w:r w:rsidRPr="00BA626C">
        <w:rPr>
          <w:rFonts w:ascii="VIC" w:eastAsia="Times New Roman" w:hAnsi="VIC" w:cs="Times New Roman"/>
        </w:rPr>
        <w:t>The evaluation also needs to consider how fees affect behaviours (e.g. testing the effects of different pricing of licence applications, or how pricing might drive unintended consequences such as black-market activity).</w:t>
      </w:r>
    </w:p>
    <w:p w14:paraId="2F2A89BB" w14:textId="78D517FD" w:rsidR="0096591A" w:rsidRPr="00BA626C" w:rsidRDefault="0096591A" w:rsidP="0096591A">
      <w:pPr>
        <w:rPr>
          <w:rFonts w:ascii="VIC" w:eastAsia="Times New Roman" w:hAnsi="VIC" w:cs="Times New Roman"/>
        </w:rPr>
      </w:pPr>
      <w:r w:rsidRPr="00BA626C">
        <w:rPr>
          <w:rFonts w:ascii="VIC" w:eastAsia="Times New Roman" w:hAnsi="VIC" w:cs="Times New Roman"/>
        </w:rPr>
        <w:t>Fees evaluations can be relatively straightforward if you have good cost data. This may require planning in advance to obtain data from the regulator or delivery agency, or to develop an activity cost model or to commission a time-and-motion study to systematically observe, analyse and measure the steps involved in regulatory activities (for higher-cost situations).</w:t>
      </w:r>
    </w:p>
    <w:p w14:paraId="6525E3B9" w14:textId="28DF9783" w:rsidR="00414B10" w:rsidRPr="00BA626C" w:rsidRDefault="0096591A" w:rsidP="0096591A">
      <w:pPr>
        <w:rPr>
          <w:rFonts w:ascii="VIC" w:eastAsia="Times New Roman" w:hAnsi="VIC" w:cs="Times New Roman"/>
        </w:rPr>
      </w:pPr>
      <w:r w:rsidRPr="00BA626C">
        <w:rPr>
          <w:rFonts w:ascii="VIC" w:eastAsia="Times New Roman" w:hAnsi="VIC" w:cs="Times New Roman"/>
        </w:rPr>
        <w:t xml:space="preserve">Consider IT system requirements for monitoring related activities and determining a cost base. </w:t>
      </w:r>
      <w:r w:rsidR="00153157">
        <w:rPr>
          <w:rFonts w:ascii="VIC" w:eastAsia="Times New Roman" w:hAnsi="VIC" w:cs="Times New Roman"/>
        </w:rPr>
        <w:t xml:space="preserve">Consider whether these costs should be recovered. </w:t>
      </w:r>
    </w:p>
    <w:p w14:paraId="66685723" w14:textId="210F82CC" w:rsidR="0096591A" w:rsidRPr="00BA626C" w:rsidRDefault="0096591A" w:rsidP="006215F7">
      <w:pPr>
        <w:pStyle w:val="Heading3"/>
      </w:pPr>
      <w:bookmarkStart w:id="52" w:name="_Permissions_evaluations"/>
      <w:bookmarkEnd w:id="52"/>
      <w:r w:rsidRPr="00BA626C">
        <w:lastRenderedPageBreak/>
        <w:t xml:space="preserve">Permissions evaluations </w:t>
      </w:r>
    </w:p>
    <w:p w14:paraId="6CFB7010" w14:textId="35BC5FC7" w:rsidR="0096591A" w:rsidRPr="00BA626C" w:rsidRDefault="0096591A" w:rsidP="0096591A">
      <w:pPr>
        <w:rPr>
          <w:rFonts w:ascii="VIC" w:hAnsi="VIC"/>
        </w:rPr>
      </w:pPr>
      <w:r w:rsidRPr="00BA626C">
        <w:rPr>
          <w:rFonts w:ascii="VIC" w:eastAsia="Times New Roman" w:hAnsi="VIC" w:cs="Times New Roman"/>
        </w:rPr>
        <w:t>Design</w:t>
      </w:r>
      <w:r w:rsidRPr="00BA626C">
        <w:rPr>
          <w:rFonts w:ascii="VIC" w:hAnsi="VIC"/>
        </w:rPr>
        <w:t xml:space="preserve"> of permissions (e.g. licences, permits and registrations) and their evaluation should follow the Victorian Permissions Framework: </w:t>
      </w:r>
      <w:hyperlink r:id="rId20">
        <w:r w:rsidR="00593F98">
          <w:rPr>
            <w:rStyle w:val="Hyperlink"/>
            <w:rFonts w:ascii="VIC" w:hAnsi="VIC"/>
            <w:i w:val="0"/>
          </w:rPr>
          <w:t>www.vic.gov.au/victorian-permissions-framework-guidance</w:t>
        </w:r>
      </w:hyperlink>
      <w:r w:rsidR="00593F98">
        <w:rPr>
          <w:rStyle w:val="Hyperlink"/>
          <w:rFonts w:ascii="VIC" w:hAnsi="VIC"/>
          <w:i w:val="0"/>
        </w:rPr>
        <w:t>.</w:t>
      </w:r>
    </w:p>
    <w:p w14:paraId="500BBA6B" w14:textId="050703D0" w:rsidR="0096591A" w:rsidRPr="00BA626C" w:rsidRDefault="0096591A" w:rsidP="0096591A">
      <w:pPr>
        <w:rPr>
          <w:rFonts w:ascii="VIC" w:hAnsi="VIC"/>
        </w:rPr>
      </w:pPr>
      <w:r w:rsidRPr="00BA626C">
        <w:rPr>
          <w:rFonts w:ascii="VIC" w:hAnsi="VIC"/>
        </w:rPr>
        <w:t>Guide 2, stage 6 sets out specific evaluation concepts for permissions. For example, evaluating whether the coverage and scope of permissions was effective, whether costs were justified, and whether entities complied with requirements, or developed workarounds or misleading reporting to give the false appearance of good performance. The guide also sets out example key performance indicators to support design of evaluation measures, as well as general regulator activity reporting.</w:t>
      </w:r>
    </w:p>
    <w:p w14:paraId="48C77BF8" w14:textId="39AD84DC" w:rsidR="0096591A" w:rsidRPr="00BA626C" w:rsidRDefault="0096591A" w:rsidP="006215F7">
      <w:pPr>
        <w:pStyle w:val="Heading3"/>
      </w:pPr>
      <w:bookmarkStart w:id="53" w:name="_Mid-term_and_sunsetting"/>
      <w:bookmarkEnd w:id="53"/>
      <w:r w:rsidRPr="00BA626C">
        <w:t xml:space="preserve">Mid-term and sunsetting evaluations </w:t>
      </w:r>
    </w:p>
    <w:p w14:paraId="06192631" w14:textId="77777777" w:rsidR="00736246" w:rsidRPr="00BA626C" w:rsidRDefault="00736246" w:rsidP="00736246">
      <w:pPr>
        <w:rPr>
          <w:rFonts w:ascii="VIC" w:eastAsia="Times New Roman" w:hAnsi="VIC" w:cs="Times New Roman"/>
        </w:rPr>
      </w:pPr>
      <w:r w:rsidRPr="00BA626C">
        <w:rPr>
          <w:rFonts w:ascii="VIC" w:eastAsia="Times New Roman" w:hAnsi="VIC" w:cs="Times New Roman"/>
        </w:rPr>
        <w:t xml:space="preserve">Key evaluation questions should address major areas of uncertainty and impact. When developing a mid-term evaluation, or evaluating sunsetting regulations, consider the areas of the RIS or LIA where there was uncertainty or unresolved questions. Consider the following when developing your evaluation strategy: </w:t>
      </w:r>
    </w:p>
    <w:p w14:paraId="0DDAE62B" w14:textId="77777777" w:rsidR="00736246" w:rsidRPr="00BA626C" w:rsidRDefault="00736246" w:rsidP="00274DA6">
      <w:pPr>
        <w:pStyle w:val="Bullet1"/>
      </w:pPr>
      <w:r w:rsidRPr="00BA626C">
        <w:rPr>
          <w:b/>
          <w:bCs/>
        </w:rPr>
        <w:t xml:space="preserve">Problem definition </w:t>
      </w:r>
      <w:r w:rsidRPr="00BA626C">
        <w:t xml:space="preserve">– do you have gaps in knowledge or understanding of the problem, and can you fill them? </w:t>
      </w:r>
    </w:p>
    <w:p w14:paraId="21BCB439" w14:textId="77777777" w:rsidR="00736246" w:rsidRPr="00BA626C" w:rsidRDefault="00736246" w:rsidP="00274DA6">
      <w:pPr>
        <w:pStyle w:val="Bullet2"/>
      </w:pPr>
      <w:r w:rsidRPr="00BA626C">
        <w:t xml:space="preserve">If the nature of the problem is dynamic – has it changed? Have there been changes in technology or the characteristics of the industry? Have the regulations kept pace? </w:t>
      </w:r>
    </w:p>
    <w:p w14:paraId="5F5AB5D0" w14:textId="77777777" w:rsidR="00736246" w:rsidRPr="00BA626C" w:rsidRDefault="00736246" w:rsidP="00274DA6">
      <w:pPr>
        <w:pStyle w:val="Bullet1"/>
      </w:pPr>
      <w:r w:rsidRPr="00BA626C">
        <w:rPr>
          <w:b/>
          <w:bCs/>
        </w:rPr>
        <w:t xml:space="preserve">Objectives of action </w:t>
      </w:r>
      <w:r w:rsidRPr="00BA626C">
        <w:t xml:space="preserve">– are you meeting them? </w:t>
      </w:r>
    </w:p>
    <w:p w14:paraId="35FDD4DD" w14:textId="77777777" w:rsidR="00736246" w:rsidRPr="00BA626C" w:rsidRDefault="00736246" w:rsidP="00274DA6">
      <w:pPr>
        <w:pStyle w:val="Bullet2"/>
      </w:pPr>
      <w:r w:rsidRPr="00BA626C">
        <w:t xml:space="preserve">What were the intermediate outcomes, how are they tracking? </w:t>
      </w:r>
    </w:p>
    <w:p w14:paraId="65DBF621" w14:textId="02DDC9F9" w:rsidR="00736246" w:rsidRPr="00BA626C" w:rsidRDefault="00736246" w:rsidP="00274DA6">
      <w:pPr>
        <w:pStyle w:val="Bullet1"/>
      </w:pPr>
      <w:r w:rsidRPr="00BA626C">
        <w:rPr>
          <w:b/>
          <w:bCs/>
        </w:rPr>
        <w:t xml:space="preserve">Options </w:t>
      </w:r>
      <w:r w:rsidRPr="00BA626C">
        <w:t xml:space="preserve">– what options were analysed in the RIS or LIA and what was the preferred option? </w:t>
      </w:r>
      <w:r w:rsidR="00416789">
        <w:t xml:space="preserve">In hindsight </w:t>
      </w:r>
      <w:r w:rsidR="007F70AE">
        <w:t xml:space="preserve">was the preferred option the best option? </w:t>
      </w:r>
    </w:p>
    <w:p w14:paraId="427E33A5" w14:textId="5AE71CA0" w:rsidR="00736246" w:rsidRPr="00BA626C" w:rsidRDefault="00736246" w:rsidP="00274DA6">
      <w:pPr>
        <w:pStyle w:val="Bullet1"/>
      </w:pPr>
      <w:r w:rsidRPr="00BA626C">
        <w:rPr>
          <w:b/>
          <w:bCs/>
        </w:rPr>
        <w:t xml:space="preserve">Impact analysis </w:t>
      </w:r>
      <w:r w:rsidRPr="00BA626C">
        <w:t xml:space="preserve">– What were the key drivers of estimated benefits and costs of options in the previous RIS or LIA? In hindsight, were these the key drivers? Were the assumptions made and data used appropriate? Have estimated benefits been realised? Have costs been higher or lower than estimated? Have there been any unintended consequences?  </w:t>
      </w:r>
    </w:p>
    <w:p w14:paraId="1C325BB8" w14:textId="0D86BFE6" w:rsidR="0088199A" w:rsidRDefault="0088199A">
      <w:pPr>
        <w:keepLines w:val="0"/>
        <w:spacing w:before="0" w:after="160" w:line="259" w:lineRule="auto"/>
        <w:rPr>
          <w:rFonts w:asciiTheme="majorHAnsi" w:eastAsiaTheme="majorEastAsia" w:hAnsiTheme="majorHAnsi" w:cstheme="majorBidi"/>
          <w:color w:val="71C5E8" w:themeColor="accent1"/>
          <w:sz w:val="36"/>
          <w:szCs w:val="36"/>
        </w:rPr>
      </w:pPr>
      <w:bookmarkStart w:id="54" w:name="_Implementation_and_consultation"/>
      <w:bookmarkEnd w:id="54"/>
      <w:r>
        <w:br w:type="page"/>
      </w:r>
    </w:p>
    <w:p w14:paraId="058F15F7" w14:textId="20CAB945" w:rsidR="00D65716" w:rsidRPr="0088199A" w:rsidRDefault="009F7881" w:rsidP="0088199A">
      <w:pPr>
        <w:pStyle w:val="Heading1"/>
      </w:pPr>
      <w:bookmarkStart w:id="55" w:name="_Toc170403088"/>
      <w:r w:rsidRPr="0088199A">
        <w:lastRenderedPageBreak/>
        <w:t xml:space="preserve">Step </w:t>
      </w:r>
      <w:r w:rsidR="00D65716" w:rsidRPr="0088199A">
        <w:t>2. Undertaking the evaluation</w:t>
      </w:r>
      <w:bookmarkEnd w:id="55"/>
    </w:p>
    <w:p w14:paraId="48FD7301" w14:textId="4442DE2E" w:rsidR="00E22F0D" w:rsidRDefault="00322B56" w:rsidP="00544F8D">
      <w:pPr>
        <w:keepNext/>
        <w:rPr>
          <w:rFonts w:ascii="VIC" w:eastAsia="Times New Roman" w:hAnsi="VIC" w:cs="Times New Roman"/>
        </w:rPr>
      </w:pPr>
      <w:r w:rsidRPr="00D942FD">
        <w:rPr>
          <w:rFonts w:ascii="VIC" w:eastAsia="Times New Roman" w:hAnsi="VIC" w:cs="Times New Roman"/>
        </w:rPr>
        <w:t>When planning evaluation delivery, you will need to consider the</w:t>
      </w:r>
      <w:r w:rsidR="00996460">
        <w:rPr>
          <w:rFonts w:ascii="VIC" w:eastAsia="Times New Roman" w:hAnsi="VIC" w:cs="Times New Roman"/>
        </w:rPr>
        <w:t xml:space="preserve"> following</w:t>
      </w:r>
      <w:r w:rsidRPr="00D942FD">
        <w:rPr>
          <w:rFonts w:ascii="VIC" w:eastAsia="Times New Roman" w:hAnsi="VIC" w:cs="Times New Roman"/>
        </w:rPr>
        <w:t>:</w:t>
      </w:r>
    </w:p>
    <w:p w14:paraId="4633336E" w14:textId="70595854" w:rsidR="00E22F0D" w:rsidRPr="00400F9A" w:rsidRDefault="009645ED" w:rsidP="00544F8D">
      <w:pPr>
        <w:pStyle w:val="Bullet1"/>
        <w:keepNext/>
      </w:pPr>
      <w:hyperlink w:anchor="_Define_who_will" w:history="1">
        <w:r w:rsidR="00E22F0D" w:rsidRPr="00400F9A">
          <w:rPr>
            <w:rStyle w:val="Hyperlink"/>
            <w:i w:val="0"/>
            <w:color w:val="000000" w:themeColor="text1"/>
          </w:rPr>
          <w:t>De</w:t>
        </w:r>
        <w:r w:rsidR="00D14DB6">
          <w:rPr>
            <w:rStyle w:val="Hyperlink"/>
            <w:i w:val="0"/>
            <w:color w:val="000000" w:themeColor="text1"/>
          </w:rPr>
          <w:t>cide</w:t>
        </w:r>
        <w:r w:rsidR="00E22F0D" w:rsidRPr="00400F9A">
          <w:rPr>
            <w:rStyle w:val="Hyperlink"/>
            <w:i w:val="0"/>
            <w:color w:val="000000" w:themeColor="text1"/>
          </w:rPr>
          <w:t xml:space="preserve"> who will conduct the evaluation and when</w:t>
        </w:r>
      </w:hyperlink>
      <w:r w:rsidR="00E22F0D" w:rsidRPr="00400F9A">
        <w:t xml:space="preserve"> </w:t>
      </w:r>
    </w:p>
    <w:p w14:paraId="6A8F412C" w14:textId="029201CE" w:rsidR="00B614F2" w:rsidRPr="00400F9A" w:rsidRDefault="009645ED" w:rsidP="00400F9A">
      <w:pPr>
        <w:pStyle w:val="Bullet1"/>
      </w:pPr>
      <w:hyperlink w:anchor="_Undertake_proportionate_analysis" w:history="1">
        <w:r w:rsidR="00B614F2" w:rsidRPr="00400F9A">
          <w:rPr>
            <w:rStyle w:val="Hyperlink"/>
            <w:i w:val="0"/>
            <w:color w:val="000000" w:themeColor="text1"/>
          </w:rPr>
          <w:t>Undertake proportionate analysis</w:t>
        </w:r>
      </w:hyperlink>
    </w:p>
    <w:p w14:paraId="759B514F" w14:textId="1F8F10A4" w:rsidR="00B614F2" w:rsidRPr="00400F9A" w:rsidRDefault="009645ED" w:rsidP="00400F9A">
      <w:pPr>
        <w:pStyle w:val="Bullet1"/>
      </w:pPr>
      <w:hyperlink w:anchor="_Ensure_your_evaluation" w:history="1">
        <w:r w:rsidR="00330E2E" w:rsidRPr="00400F9A">
          <w:rPr>
            <w:rStyle w:val="Hyperlink"/>
            <w:i w:val="0"/>
            <w:color w:val="000000" w:themeColor="text1"/>
          </w:rPr>
          <w:t>Ensure your evaluation is adequately resourced</w:t>
        </w:r>
      </w:hyperlink>
    </w:p>
    <w:p w14:paraId="6F8862F1" w14:textId="39DE01A0" w:rsidR="006F701E" w:rsidRPr="00400F9A" w:rsidRDefault="009645ED" w:rsidP="00400F9A">
      <w:pPr>
        <w:pStyle w:val="Bullet1"/>
      </w:pPr>
      <w:hyperlink w:anchor="_Recognise_technical_topics" w:history="1">
        <w:r w:rsidR="006F701E" w:rsidRPr="00400F9A">
          <w:rPr>
            <w:rStyle w:val="Hyperlink"/>
            <w:i w:val="0"/>
            <w:color w:val="000000" w:themeColor="text1"/>
          </w:rPr>
          <w:t>Recognise technical topics that require expert support</w:t>
        </w:r>
      </w:hyperlink>
    </w:p>
    <w:p w14:paraId="4E0E23C3" w14:textId="799AD23D" w:rsidR="00CB2962" w:rsidRPr="00400F9A" w:rsidRDefault="009645ED" w:rsidP="00CB2962">
      <w:pPr>
        <w:pStyle w:val="Bullet1"/>
      </w:pPr>
      <w:hyperlink w:anchor="_Remember_that_evaluation" w:history="1">
        <w:r w:rsidR="007C2CDC" w:rsidRPr="00400F9A">
          <w:rPr>
            <w:rStyle w:val="Hyperlink"/>
            <w:i w:val="0"/>
            <w:color w:val="000000" w:themeColor="text1"/>
          </w:rPr>
          <w:t>Reme</w:t>
        </w:r>
        <w:r w:rsidR="00334C8F" w:rsidRPr="00400F9A">
          <w:rPr>
            <w:rStyle w:val="Hyperlink"/>
            <w:i w:val="0"/>
            <w:color w:val="000000" w:themeColor="text1"/>
          </w:rPr>
          <w:t>mber that evaluation can involve continuous measurement</w:t>
        </w:r>
      </w:hyperlink>
    </w:p>
    <w:p w14:paraId="6556455A" w14:textId="107AEB20" w:rsidR="00335434" w:rsidRPr="00400F9A" w:rsidRDefault="009645ED" w:rsidP="00400F9A">
      <w:pPr>
        <w:pStyle w:val="Bullet1"/>
      </w:pPr>
      <w:hyperlink w:anchor="_Account_for_the" w:history="1">
        <w:r w:rsidR="00454AF0" w:rsidRPr="00400F9A">
          <w:rPr>
            <w:rStyle w:val="Hyperlink"/>
            <w:i w:val="0"/>
            <w:color w:val="000000" w:themeColor="text1"/>
          </w:rPr>
          <w:t xml:space="preserve">Account for the </w:t>
        </w:r>
        <w:r w:rsidR="007F582E" w:rsidRPr="00400F9A">
          <w:rPr>
            <w:rStyle w:val="Hyperlink"/>
            <w:i w:val="0"/>
            <w:color w:val="000000" w:themeColor="text1"/>
          </w:rPr>
          <w:t>influence of evaluation on delivery</w:t>
        </w:r>
      </w:hyperlink>
      <w:r w:rsidR="00D65C94">
        <w:rPr>
          <w:rStyle w:val="Hyperlink"/>
          <w:i w:val="0"/>
          <w:color w:val="000000" w:themeColor="text1"/>
        </w:rPr>
        <w:t xml:space="preserve"> of the </w:t>
      </w:r>
      <w:proofErr w:type="gramStart"/>
      <w:r w:rsidR="00D65C94">
        <w:rPr>
          <w:rStyle w:val="Hyperlink"/>
          <w:i w:val="0"/>
          <w:color w:val="000000" w:themeColor="text1"/>
        </w:rPr>
        <w:t>regulations</w:t>
      </w:r>
      <w:proofErr w:type="gramEnd"/>
    </w:p>
    <w:p w14:paraId="78EEA429" w14:textId="2F3B97C3" w:rsidR="00EE3F50" w:rsidRPr="00400F9A" w:rsidRDefault="009645ED" w:rsidP="00400F9A">
      <w:pPr>
        <w:pStyle w:val="Bullet1"/>
      </w:pPr>
      <w:hyperlink w:anchor="_Monitor_and_be" w:history="1">
        <w:r w:rsidR="00EE3F50" w:rsidRPr="00400F9A">
          <w:rPr>
            <w:rStyle w:val="Hyperlink"/>
            <w:i w:val="0"/>
            <w:color w:val="000000" w:themeColor="text1"/>
          </w:rPr>
          <w:t xml:space="preserve">Monitor and be accountable for changes in </w:t>
        </w:r>
        <w:r w:rsidR="003C7DA0">
          <w:rPr>
            <w:rStyle w:val="Hyperlink"/>
            <w:i w:val="0"/>
            <w:color w:val="000000" w:themeColor="text1"/>
          </w:rPr>
          <w:t xml:space="preserve">evaluation </w:t>
        </w:r>
        <w:r w:rsidR="00EE3F50" w:rsidRPr="00400F9A">
          <w:rPr>
            <w:rStyle w:val="Hyperlink"/>
            <w:i w:val="0"/>
            <w:color w:val="000000" w:themeColor="text1"/>
          </w:rPr>
          <w:t>approach</w:t>
        </w:r>
      </w:hyperlink>
    </w:p>
    <w:p w14:paraId="1524598B" w14:textId="605B3903" w:rsidR="00E22F0D" w:rsidRPr="00400F9A" w:rsidRDefault="009645ED" w:rsidP="00400F9A">
      <w:pPr>
        <w:pStyle w:val="Bullet1"/>
      </w:pPr>
      <w:hyperlink w:anchor="_Monitor_frequently_enough" w:history="1">
        <w:r w:rsidR="00E158D2" w:rsidRPr="00400F9A">
          <w:rPr>
            <w:rStyle w:val="Hyperlink"/>
            <w:i w:val="0"/>
            <w:color w:val="000000" w:themeColor="text1"/>
          </w:rPr>
          <w:t xml:space="preserve">Monitor </w:t>
        </w:r>
        <w:r w:rsidR="00920683" w:rsidRPr="00400F9A">
          <w:rPr>
            <w:rStyle w:val="Hyperlink"/>
            <w:i w:val="0"/>
            <w:color w:val="000000" w:themeColor="text1"/>
          </w:rPr>
          <w:t xml:space="preserve">frequently enough to track </w:t>
        </w:r>
        <w:r w:rsidR="009C508F">
          <w:rPr>
            <w:rStyle w:val="Hyperlink"/>
            <w:i w:val="0"/>
            <w:color w:val="000000" w:themeColor="text1"/>
          </w:rPr>
          <w:t xml:space="preserve">data </w:t>
        </w:r>
        <w:r w:rsidR="00920683" w:rsidRPr="00400F9A">
          <w:rPr>
            <w:rStyle w:val="Hyperlink"/>
            <w:i w:val="0"/>
            <w:color w:val="000000" w:themeColor="text1"/>
          </w:rPr>
          <w:t>quality issues</w:t>
        </w:r>
      </w:hyperlink>
    </w:p>
    <w:p w14:paraId="4E57077F" w14:textId="77777777" w:rsidR="00322B56" w:rsidRPr="000E542B" w:rsidRDefault="00322B56" w:rsidP="00322B56">
      <w:pPr>
        <w:rPr>
          <w:color w:val="000000"/>
        </w:rPr>
      </w:pPr>
      <w:r w:rsidRPr="000E542B">
        <w:t>Some milestones are mandated and should help anchor project planning:</w:t>
      </w:r>
    </w:p>
    <w:p w14:paraId="7BC77224" w14:textId="3E4FF227" w:rsidR="00322B56" w:rsidRPr="00D942FD" w:rsidRDefault="00322B56" w:rsidP="00D942FD">
      <w:pPr>
        <w:pStyle w:val="Bullet1"/>
        <w:rPr>
          <w:rFonts w:ascii="VIC" w:hAnsi="VIC"/>
          <w:color w:val="000000"/>
        </w:rPr>
      </w:pPr>
      <w:r w:rsidRPr="00D942FD">
        <w:rPr>
          <w:rFonts w:ascii="VIC" w:hAnsi="VIC"/>
        </w:rPr>
        <w:t xml:space="preserve">Mid-term evaluations </w:t>
      </w:r>
      <w:r w:rsidR="00FA4567">
        <w:rPr>
          <w:rFonts w:ascii="VIC" w:hAnsi="VIC"/>
        </w:rPr>
        <w:t xml:space="preserve">completed </w:t>
      </w:r>
      <w:r w:rsidRPr="00D942FD">
        <w:rPr>
          <w:rFonts w:ascii="VIC" w:hAnsi="VIC"/>
        </w:rPr>
        <w:t xml:space="preserve">3–5 years from </w:t>
      </w:r>
      <w:proofErr w:type="gramStart"/>
      <w:r w:rsidRPr="00D942FD">
        <w:rPr>
          <w:rFonts w:ascii="VIC" w:hAnsi="VIC"/>
        </w:rPr>
        <w:t>commencement</w:t>
      </w:r>
      <w:proofErr w:type="gramEnd"/>
    </w:p>
    <w:p w14:paraId="2D72DB92" w14:textId="2E9E6F79" w:rsidR="00322B56" w:rsidRPr="00D942FD" w:rsidRDefault="00322B56" w:rsidP="00D942FD">
      <w:pPr>
        <w:pStyle w:val="Bullet1"/>
        <w:rPr>
          <w:rFonts w:ascii="VIC" w:hAnsi="VIC"/>
          <w:color w:val="000000"/>
        </w:rPr>
      </w:pPr>
      <w:r w:rsidRPr="00D942FD">
        <w:rPr>
          <w:rFonts w:ascii="VIC" w:hAnsi="VIC"/>
        </w:rPr>
        <w:t>Sunsetting evaluation</w:t>
      </w:r>
      <w:r w:rsidR="00845E6F">
        <w:rPr>
          <w:rFonts w:ascii="VIC" w:hAnsi="VIC"/>
        </w:rPr>
        <w:t xml:space="preserve">s completed prior to </w:t>
      </w:r>
      <w:r w:rsidRPr="00D942FD">
        <w:rPr>
          <w:rFonts w:ascii="VIC" w:hAnsi="VIC"/>
        </w:rPr>
        <w:t>regulations</w:t>
      </w:r>
      <w:r w:rsidR="00845E6F">
        <w:rPr>
          <w:rFonts w:ascii="VIC" w:hAnsi="VIC"/>
        </w:rPr>
        <w:t xml:space="preserve"> sunsetting after 10 years</w:t>
      </w:r>
      <w:r w:rsidR="005A7795">
        <w:rPr>
          <w:rFonts w:ascii="VIC" w:hAnsi="VIC"/>
        </w:rPr>
        <w:t>.</w:t>
      </w:r>
    </w:p>
    <w:p w14:paraId="2A5E39B2" w14:textId="0F275099" w:rsidR="00322B56" w:rsidRPr="000E542B" w:rsidRDefault="00322B56" w:rsidP="00322B56">
      <w:pPr>
        <w:rPr>
          <w:rFonts w:ascii="VIC" w:eastAsia="Times New Roman" w:hAnsi="VIC" w:cs="Times New Roman"/>
          <w:color w:val="000000"/>
        </w:rPr>
      </w:pPr>
      <w:r w:rsidRPr="000E542B">
        <w:rPr>
          <w:rFonts w:ascii="VIC" w:eastAsia="Times New Roman" w:hAnsi="VIC" w:cs="Times New Roman"/>
        </w:rPr>
        <w:t xml:space="preserve">You need to start </w:t>
      </w:r>
      <w:r w:rsidR="002151BF">
        <w:rPr>
          <w:rFonts w:ascii="VIC" w:eastAsia="Times New Roman" w:hAnsi="VIC" w:cs="Times New Roman"/>
        </w:rPr>
        <w:t xml:space="preserve">evaluation activities </w:t>
      </w:r>
      <w:r w:rsidRPr="000E542B">
        <w:rPr>
          <w:rFonts w:ascii="VIC" w:eastAsia="Times New Roman" w:hAnsi="VIC" w:cs="Times New Roman"/>
        </w:rPr>
        <w:t>well in advance of these milestones. For instance, to ensure that the outcomes of the evaluation can inform any proposed remake of regulations at the sunset date.</w:t>
      </w:r>
    </w:p>
    <w:p w14:paraId="7BD82A57" w14:textId="724BB6AD" w:rsidR="00322B56" w:rsidRPr="000E542B" w:rsidRDefault="00322B56" w:rsidP="00322B56">
      <w:pPr>
        <w:rPr>
          <w:rFonts w:ascii="VIC" w:eastAsia="Times New Roman" w:hAnsi="VIC" w:cs="Times New Roman"/>
          <w:color w:val="000000"/>
        </w:rPr>
      </w:pPr>
      <w:r w:rsidRPr="000E542B">
        <w:rPr>
          <w:rFonts w:ascii="VIC" w:eastAsia="Times New Roman" w:hAnsi="VIC" w:cs="Times New Roman"/>
        </w:rPr>
        <w:t>Typically, preparing for evaluation ‘reporting’ can take well over six months, or longer where you rely on external parties to pr</w:t>
      </w:r>
      <w:r w:rsidR="00A260AC">
        <w:rPr>
          <w:rFonts w:ascii="VIC" w:eastAsia="Times New Roman" w:hAnsi="VIC" w:cs="Times New Roman"/>
        </w:rPr>
        <w:t>ovide</w:t>
      </w:r>
      <w:r w:rsidRPr="000E542B">
        <w:rPr>
          <w:rFonts w:ascii="VIC" w:eastAsia="Times New Roman" w:hAnsi="VIC" w:cs="Times New Roman"/>
        </w:rPr>
        <w:t xml:space="preserve"> data. </w:t>
      </w:r>
    </w:p>
    <w:p w14:paraId="74726CA3" w14:textId="2EDD5327" w:rsidR="00D65716" w:rsidRPr="000E542B" w:rsidRDefault="00322B56" w:rsidP="00322B56">
      <w:pPr>
        <w:rPr>
          <w:rFonts w:ascii="VIC" w:eastAsia="Times New Roman" w:hAnsi="VIC" w:cs="Times New Roman"/>
        </w:rPr>
      </w:pPr>
      <w:r w:rsidRPr="000E542B">
        <w:rPr>
          <w:rFonts w:ascii="VIC" w:eastAsia="Times New Roman" w:hAnsi="VIC" w:cs="Times New Roman"/>
        </w:rPr>
        <w:t>Considering this, develop other milestones, such as for securing agreements with stakeholders, making investments, sharing preliminary results, or establishing governance and reporting for periodic measures.</w:t>
      </w:r>
    </w:p>
    <w:p w14:paraId="116D2D79" w14:textId="1193C23E" w:rsidR="00135BD9" w:rsidRPr="004C2910" w:rsidRDefault="00135BD9" w:rsidP="00CB2962">
      <w:pPr>
        <w:pStyle w:val="Heading2"/>
      </w:pPr>
      <w:bookmarkStart w:id="56" w:name="_Define_who_will"/>
      <w:bookmarkStart w:id="57" w:name="_Toc170403089"/>
      <w:bookmarkEnd w:id="56"/>
      <w:r w:rsidRPr="004C2910">
        <w:t>De</w:t>
      </w:r>
      <w:r w:rsidR="00D14DB6">
        <w:t>cide</w:t>
      </w:r>
      <w:r w:rsidRPr="004C2910">
        <w:t xml:space="preserve"> who will conduct the evaluation and when it will be </w:t>
      </w:r>
      <w:proofErr w:type="gramStart"/>
      <w:r w:rsidRPr="004C2910">
        <w:t>done</w:t>
      </w:r>
      <w:bookmarkEnd w:id="57"/>
      <w:proofErr w:type="gramEnd"/>
    </w:p>
    <w:p w14:paraId="02E98E08" w14:textId="6E5E4659" w:rsidR="00135BD9" w:rsidRPr="001E404B" w:rsidRDefault="00135BD9" w:rsidP="00135BD9">
      <w:pPr>
        <w:rPr>
          <w:rFonts w:ascii="VIC" w:eastAsia="Times New Roman" w:hAnsi="VIC" w:cs="Times New Roman"/>
        </w:rPr>
      </w:pPr>
      <w:r w:rsidRPr="001E404B">
        <w:rPr>
          <w:rFonts w:ascii="VIC" w:eastAsia="Times New Roman" w:hAnsi="VIC" w:cs="Times New Roman"/>
        </w:rPr>
        <w:t xml:space="preserve">Define the body responsible for conducting the evaluation. This may be different to those implementing the regulations, due to resources, capability, and actual or perceived conflict of interest. For example, while regulators may report on many key indicators, they may not be best placed to conduct the overall evaluation. </w:t>
      </w:r>
    </w:p>
    <w:p w14:paraId="54FA683A" w14:textId="7FA7460F" w:rsidR="00135BD9" w:rsidRPr="001E404B" w:rsidRDefault="00135BD9" w:rsidP="00135BD9">
      <w:pPr>
        <w:rPr>
          <w:rFonts w:ascii="VIC" w:eastAsia="Times New Roman" w:hAnsi="VIC" w:cs="Times New Roman"/>
        </w:rPr>
      </w:pPr>
      <w:r w:rsidRPr="001E404B">
        <w:rPr>
          <w:rFonts w:ascii="VIC" w:eastAsia="Times New Roman" w:hAnsi="VIC" w:cs="Times New Roman"/>
        </w:rPr>
        <w:t>You may need to develop agreements for data gathering, reporting and evaluation roles. Prompts</w:t>
      </w:r>
      <w:r w:rsidR="00AD7919">
        <w:rPr>
          <w:rFonts w:ascii="VIC" w:eastAsia="Times New Roman" w:hAnsi="VIC" w:cs="Times New Roman"/>
        </w:rPr>
        <w:t xml:space="preserve"> can include</w:t>
      </w:r>
      <w:r w:rsidRPr="001E404B">
        <w:rPr>
          <w:rFonts w:ascii="VIC" w:eastAsia="Times New Roman" w:hAnsi="VIC" w:cs="Times New Roman"/>
        </w:rPr>
        <w:t>:</w:t>
      </w:r>
    </w:p>
    <w:p w14:paraId="257D5011" w14:textId="77777777" w:rsidR="00135BD9" w:rsidRPr="001E404B" w:rsidRDefault="00135BD9" w:rsidP="001E404B">
      <w:pPr>
        <w:pStyle w:val="Bullet1"/>
        <w:rPr>
          <w:rFonts w:ascii="VIC" w:hAnsi="VIC"/>
        </w:rPr>
      </w:pPr>
      <w:r w:rsidRPr="001E404B">
        <w:rPr>
          <w:rFonts w:ascii="VIC" w:hAnsi="VIC"/>
        </w:rPr>
        <w:t>Review what external data or evaluation sources or research bodies may be available and can be drawn on or partnered with</w:t>
      </w:r>
    </w:p>
    <w:p w14:paraId="5375623C" w14:textId="2397A42C" w:rsidR="00135BD9" w:rsidRPr="001E404B" w:rsidRDefault="00135BD9" w:rsidP="001E404B">
      <w:pPr>
        <w:pStyle w:val="Bullet1"/>
        <w:rPr>
          <w:rFonts w:ascii="VIC" w:hAnsi="VIC"/>
        </w:rPr>
      </w:pPr>
      <w:r w:rsidRPr="001E404B">
        <w:rPr>
          <w:rFonts w:ascii="VIC" w:hAnsi="VIC"/>
        </w:rPr>
        <w:t xml:space="preserve">Work out which partners you want to work with, including evaluation </w:t>
      </w:r>
      <w:proofErr w:type="gramStart"/>
      <w:r w:rsidRPr="001E404B">
        <w:rPr>
          <w:rFonts w:ascii="VIC" w:hAnsi="VIC"/>
        </w:rPr>
        <w:t>experts</w:t>
      </w:r>
      <w:proofErr w:type="gramEnd"/>
    </w:p>
    <w:p w14:paraId="59466B44" w14:textId="77777777" w:rsidR="00135BD9" w:rsidRPr="001E404B" w:rsidRDefault="00135BD9" w:rsidP="001E404B">
      <w:pPr>
        <w:pStyle w:val="Bullet1"/>
        <w:rPr>
          <w:rFonts w:ascii="VIC" w:hAnsi="VIC"/>
        </w:rPr>
      </w:pPr>
      <w:r w:rsidRPr="001E404B">
        <w:rPr>
          <w:rFonts w:ascii="VIC" w:hAnsi="VIC"/>
        </w:rPr>
        <w:t xml:space="preserve">Account for working with regulators on their activity </w:t>
      </w:r>
      <w:proofErr w:type="gramStart"/>
      <w:r w:rsidRPr="001E404B">
        <w:rPr>
          <w:rFonts w:ascii="VIC" w:hAnsi="VIC"/>
        </w:rPr>
        <w:t>reporting</w:t>
      </w:r>
      <w:proofErr w:type="gramEnd"/>
    </w:p>
    <w:p w14:paraId="7D8DF6E0" w14:textId="0B81EC47" w:rsidR="00135BD9" w:rsidRPr="001E404B" w:rsidRDefault="00135BD9" w:rsidP="001E404B">
      <w:pPr>
        <w:pStyle w:val="Bullet1"/>
        <w:rPr>
          <w:rFonts w:ascii="VIC" w:hAnsi="VIC"/>
        </w:rPr>
      </w:pPr>
      <w:r w:rsidRPr="001E404B">
        <w:rPr>
          <w:rFonts w:ascii="VIC" w:hAnsi="VIC"/>
        </w:rPr>
        <w:t>Consult with stakeholders and consider factors, such as resources, capability and access to the necessary information and data</w:t>
      </w:r>
      <w:r w:rsidR="00646258">
        <w:rPr>
          <w:rFonts w:ascii="VIC" w:hAnsi="VIC"/>
        </w:rPr>
        <w:t>.</w:t>
      </w:r>
    </w:p>
    <w:p w14:paraId="7F5F97AB" w14:textId="0B19A4D9" w:rsidR="00D65716" w:rsidRPr="001E404B" w:rsidRDefault="00135BD9" w:rsidP="00135BD9">
      <w:pPr>
        <w:rPr>
          <w:rFonts w:ascii="VIC" w:hAnsi="VIC"/>
        </w:rPr>
      </w:pPr>
      <w:r w:rsidRPr="001E404B">
        <w:rPr>
          <w:rFonts w:ascii="VIC" w:hAnsi="VIC"/>
        </w:rPr>
        <w:t xml:space="preserve">Consider if the </w:t>
      </w:r>
      <w:r w:rsidR="009A00E6">
        <w:rPr>
          <w:rFonts w:ascii="VIC" w:hAnsi="VIC"/>
        </w:rPr>
        <w:t xml:space="preserve">required </w:t>
      </w:r>
      <w:r w:rsidRPr="001E404B">
        <w:rPr>
          <w:rFonts w:ascii="VIC" w:hAnsi="VIC"/>
        </w:rPr>
        <w:t xml:space="preserve">datasets are developed or need to be developed, and document agreements to ensure they will be available on time. Ideally, data will be gathered to develop baseline measures before the regulations take effect, and further data will be gathered over months or years before the evaluation reporting occurs. </w:t>
      </w:r>
    </w:p>
    <w:p w14:paraId="0FFDB4DD" w14:textId="7E317FCA" w:rsidR="00135BD9" w:rsidRPr="004C2910" w:rsidRDefault="00135BD9" w:rsidP="00CB2962">
      <w:pPr>
        <w:pStyle w:val="Heading2"/>
      </w:pPr>
      <w:bookmarkStart w:id="58" w:name="_Undertake_proportionate_analysis"/>
      <w:bookmarkStart w:id="59" w:name="_Toc170403090"/>
      <w:bookmarkEnd w:id="58"/>
      <w:r w:rsidRPr="004C2910">
        <w:lastRenderedPageBreak/>
        <w:t xml:space="preserve">Undertake proportionate </w:t>
      </w:r>
      <w:proofErr w:type="gramStart"/>
      <w:r w:rsidRPr="004C2910">
        <w:t>analysis</w:t>
      </w:r>
      <w:bookmarkEnd w:id="59"/>
      <w:proofErr w:type="gramEnd"/>
    </w:p>
    <w:p w14:paraId="18901BDF" w14:textId="2F57432F" w:rsidR="00D65716" w:rsidRPr="00920683" w:rsidRDefault="00135BD9" w:rsidP="00736246">
      <w:pPr>
        <w:rPr>
          <w:rFonts w:ascii="VIC" w:hAnsi="VIC"/>
          <w:b/>
          <w:bCs/>
        </w:rPr>
      </w:pPr>
      <w:r w:rsidRPr="00920683">
        <w:rPr>
          <w:rFonts w:ascii="VIC" w:eastAsia="Times New Roman" w:hAnsi="VIC" w:cs="Times New Roman"/>
        </w:rPr>
        <w:t xml:space="preserve">The depth and breadth of the evaluation should be proportionate to the impacts of the regulations. </w:t>
      </w:r>
      <w:r w:rsidR="003559D7">
        <w:t xml:space="preserve">The evaluation should focus on analysing how effective the regulations have been and how the problem has changed over time. </w:t>
      </w:r>
      <w:r w:rsidRPr="00920683">
        <w:rPr>
          <w:rFonts w:ascii="VIC" w:eastAsia="Times New Roman" w:hAnsi="VIC" w:cs="Times New Roman"/>
        </w:rPr>
        <w:t xml:space="preserve">The evaluation should account for residual policy questions or uncertainties acknowledged at the time the regulations were made. The evaluation report should complement and build from the RIS or </w:t>
      </w:r>
      <w:proofErr w:type="gramStart"/>
      <w:r w:rsidRPr="00920683">
        <w:rPr>
          <w:rFonts w:ascii="VIC" w:eastAsia="Times New Roman" w:hAnsi="VIC" w:cs="Times New Roman"/>
        </w:rPr>
        <w:t>LIA, but</w:t>
      </w:r>
      <w:proofErr w:type="gramEnd"/>
      <w:r w:rsidRPr="00920683">
        <w:rPr>
          <w:rFonts w:ascii="VIC" w:eastAsia="Times New Roman" w:hAnsi="VIC" w:cs="Times New Roman"/>
        </w:rPr>
        <w:t xml:space="preserve"> will be shorter and more targeted in focus.</w:t>
      </w:r>
    </w:p>
    <w:p w14:paraId="26517B9C" w14:textId="3C6C4364" w:rsidR="00D65716" w:rsidRDefault="00135BD9" w:rsidP="00CB2962">
      <w:pPr>
        <w:pStyle w:val="Heading2"/>
      </w:pPr>
      <w:bookmarkStart w:id="60" w:name="_Ensure_your_evaluation"/>
      <w:bookmarkStart w:id="61" w:name="_Toc170403091"/>
      <w:bookmarkEnd w:id="60"/>
      <w:r w:rsidRPr="004C2910">
        <w:t xml:space="preserve">Ensure your evaluation is adequately </w:t>
      </w:r>
      <w:proofErr w:type="gramStart"/>
      <w:r w:rsidRPr="004C2910">
        <w:t>resourced</w:t>
      </w:r>
      <w:bookmarkEnd w:id="61"/>
      <w:proofErr w:type="gramEnd"/>
    </w:p>
    <w:p w14:paraId="5450ED48" w14:textId="77777777" w:rsidR="00920683" w:rsidRDefault="00135BD9" w:rsidP="00736246">
      <w:pPr>
        <w:rPr>
          <w:rFonts w:ascii="VIC" w:eastAsia="Times New Roman" w:hAnsi="VIC" w:cs="Times New Roman"/>
        </w:rPr>
      </w:pPr>
      <w:r w:rsidRPr="001E404B">
        <w:rPr>
          <w:rFonts w:ascii="VIC" w:eastAsia="Times New Roman" w:hAnsi="VIC" w:cs="Times New Roman"/>
        </w:rPr>
        <w:t xml:space="preserve">The scope of your evaluation will determine the level and types of resources needed. Once you are undertaking the evaluation, new questions and decisions around budget, resources and consultation effort are likely to arise. </w:t>
      </w:r>
    </w:p>
    <w:p w14:paraId="7DDB28C1" w14:textId="7026A4D1" w:rsidR="00135BD9" w:rsidRPr="001E404B" w:rsidRDefault="00135BD9" w:rsidP="00736246">
      <w:pPr>
        <w:rPr>
          <w:rFonts w:ascii="VIC" w:eastAsia="Times New Roman" w:hAnsi="VIC" w:cs="Times New Roman"/>
        </w:rPr>
      </w:pPr>
      <w:r w:rsidRPr="001E404B">
        <w:rPr>
          <w:rFonts w:ascii="VIC" w:eastAsia="Times New Roman" w:hAnsi="VIC" w:cs="Times New Roman"/>
        </w:rPr>
        <w:t xml:space="preserve">Often, these </w:t>
      </w:r>
      <w:r w:rsidR="004062BE">
        <w:rPr>
          <w:rFonts w:ascii="VIC" w:eastAsia="Times New Roman" w:hAnsi="VIC" w:cs="Times New Roman"/>
        </w:rPr>
        <w:t xml:space="preserve">new questions and </w:t>
      </w:r>
      <w:r w:rsidRPr="001E404B">
        <w:rPr>
          <w:rFonts w:ascii="VIC" w:eastAsia="Times New Roman" w:hAnsi="VIC" w:cs="Times New Roman"/>
        </w:rPr>
        <w:t>decisions ar</w:t>
      </w:r>
      <w:r w:rsidR="006E5F4F">
        <w:rPr>
          <w:rFonts w:ascii="VIC" w:eastAsia="Times New Roman" w:hAnsi="VIC" w:cs="Times New Roman"/>
        </w:rPr>
        <w:t>is</w:t>
      </w:r>
      <w:r w:rsidRPr="001E404B">
        <w:rPr>
          <w:rFonts w:ascii="VIC" w:eastAsia="Times New Roman" w:hAnsi="VIC" w:cs="Times New Roman"/>
        </w:rPr>
        <w:t xml:space="preserve">e </w:t>
      </w:r>
      <w:r w:rsidR="004062BE">
        <w:rPr>
          <w:rFonts w:ascii="VIC" w:eastAsia="Times New Roman" w:hAnsi="VIC" w:cs="Times New Roman"/>
        </w:rPr>
        <w:t xml:space="preserve">after </w:t>
      </w:r>
      <w:r w:rsidRPr="001E404B">
        <w:rPr>
          <w:rFonts w:ascii="VIC" w:eastAsia="Times New Roman" w:hAnsi="VIC" w:cs="Times New Roman"/>
        </w:rPr>
        <w:t xml:space="preserve">the regulations </w:t>
      </w:r>
      <w:r w:rsidR="00C805EB">
        <w:rPr>
          <w:rFonts w:ascii="VIC" w:eastAsia="Times New Roman" w:hAnsi="VIC" w:cs="Times New Roman"/>
        </w:rPr>
        <w:t xml:space="preserve">are made (sometimes several </w:t>
      </w:r>
      <w:r w:rsidR="009F664E">
        <w:rPr>
          <w:rFonts w:ascii="VIC" w:eastAsia="Times New Roman" w:hAnsi="VIC" w:cs="Times New Roman"/>
        </w:rPr>
        <w:t>years later)</w:t>
      </w:r>
      <w:r w:rsidR="00E04A3A">
        <w:rPr>
          <w:rFonts w:ascii="VIC" w:eastAsia="Times New Roman" w:hAnsi="VIC" w:cs="Times New Roman"/>
        </w:rPr>
        <w:t xml:space="preserve"> and might involve a different decision maker</w:t>
      </w:r>
      <w:r w:rsidRPr="001E404B">
        <w:rPr>
          <w:rFonts w:ascii="VIC" w:eastAsia="Times New Roman" w:hAnsi="VIC" w:cs="Times New Roman"/>
        </w:rPr>
        <w:t xml:space="preserve">. As a guide to making these decisions, consider the depth of analysis contained in the initial RIS or LIA, the evaluation </w:t>
      </w:r>
      <w:r w:rsidR="00E04A3A">
        <w:rPr>
          <w:rFonts w:ascii="VIC" w:eastAsia="Times New Roman" w:hAnsi="VIC" w:cs="Times New Roman"/>
        </w:rPr>
        <w:t>strategy</w:t>
      </w:r>
      <w:r w:rsidRPr="001E404B">
        <w:rPr>
          <w:rFonts w:ascii="VIC" w:eastAsia="Times New Roman" w:hAnsi="VIC" w:cs="Times New Roman"/>
        </w:rPr>
        <w:t xml:space="preserve"> itself, and the topics that would benefit most from evaluation and scrutiny now that the regulations are in place.</w:t>
      </w:r>
    </w:p>
    <w:p w14:paraId="1C4415C2" w14:textId="0412970F" w:rsidR="00135BD9" w:rsidRPr="004C2910" w:rsidRDefault="002809BF" w:rsidP="00CB2962">
      <w:pPr>
        <w:pStyle w:val="Heading2"/>
        <w:rPr>
          <w:rFonts w:eastAsia="Times New Roman" w:cs="Times New Roman"/>
          <w:color w:val="000000" w:themeColor="text1"/>
        </w:rPr>
      </w:pPr>
      <w:bookmarkStart w:id="62" w:name="_Recognise_technical_topics"/>
      <w:bookmarkStart w:id="63" w:name="_Toc170403092"/>
      <w:bookmarkEnd w:id="62"/>
      <w:r w:rsidRPr="004C2910">
        <w:t xml:space="preserve">Recognise technical topics </w:t>
      </w:r>
      <w:r w:rsidR="00330E2E">
        <w:t xml:space="preserve">that </w:t>
      </w:r>
      <w:r w:rsidRPr="004C2910">
        <w:t xml:space="preserve">may require expert </w:t>
      </w:r>
      <w:proofErr w:type="gramStart"/>
      <w:r w:rsidRPr="004C2910">
        <w:t>support</w:t>
      </w:r>
      <w:bookmarkEnd w:id="63"/>
      <w:proofErr w:type="gramEnd"/>
    </w:p>
    <w:p w14:paraId="03DCF7AC" w14:textId="1252246E" w:rsidR="002809BF" w:rsidRPr="001E404B" w:rsidRDefault="002809BF" w:rsidP="002809BF">
      <w:pPr>
        <w:rPr>
          <w:rFonts w:ascii="VIC" w:eastAsia="Times New Roman" w:hAnsi="VIC" w:cs="Times New Roman"/>
        </w:rPr>
      </w:pPr>
      <w:r w:rsidRPr="001E404B">
        <w:rPr>
          <w:rFonts w:ascii="VIC" w:eastAsia="Times New Roman" w:hAnsi="VIC" w:cs="Times New Roman"/>
        </w:rPr>
        <w:t>In some evaluations, you may need expert support to develop your theory of change, account for external factors, measure long</w:t>
      </w:r>
      <w:r w:rsidR="00947B77">
        <w:rPr>
          <w:rFonts w:ascii="VIC" w:eastAsia="Times New Roman" w:hAnsi="VIC" w:cs="Times New Roman"/>
        </w:rPr>
        <w:t>-</w:t>
      </w:r>
      <w:r w:rsidRPr="001E404B">
        <w:rPr>
          <w:rFonts w:ascii="VIC" w:eastAsia="Times New Roman" w:hAnsi="VIC" w:cs="Times New Roman"/>
        </w:rPr>
        <w:t>term outcomes, or define intermediate outcomes that show progress against ultimate objectives.</w:t>
      </w:r>
    </w:p>
    <w:p w14:paraId="3E04EBB3" w14:textId="04AF1E3A" w:rsidR="00920683" w:rsidRDefault="002809BF" w:rsidP="002809BF">
      <w:pPr>
        <w:rPr>
          <w:rFonts w:ascii="VIC" w:eastAsia="Times New Roman" w:hAnsi="VIC" w:cs="Times New Roman"/>
        </w:rPr>
      </w:pPr>
      <w:r w:rsidRPr="001E404B">
        <w:rPr>
          <w:rFonts w:ascii="VIC" w:eastAsia="Times New Roman" w:hAnsi="VIC" w:cs="Times New Roman"/>
        </w:rPr>
        <w:t xml:space="preserve">Topics where specialist support is often required include environmental impacts, health impacts, community behaviour change, and essential services market analysis. </w:t>
      </w:r>
    </w:p>
    <w:p w14:paraId="679B6D18" w14:textId="3FABD486" w:rsidR="00135BD9" w:rsidRPr="001E404B" w:rsidRDefault="002809BF" w:rsidP="002809BF">
      <w:pPr>
        <w:rPr>
          <w:rFonts w:ascii="VIC" w:eastAsia="Times New Roman" w:hAnsi="VIC" w:cs="Times New Roman"/>
        </w:rPr>
      </w:pPr>
      <w:r w:rsidRPr="001E404B">
        <w:rPr>
          <w:rFonts w:ascii="VIC" w:eastAsia="Times New Roman" w:hAnsi="VIC" w:cs="Times New Roman"/>
        </w:rPr>
        <w:t>In many cases, evaluation of long-term outcomes in these areas can be supported by evaluation of the intermediate outcomes enabled by government action – such as the activities that increase compliance in industry.</w:t>
      </w:r>
    </w:p>
    <w:p w14:paraId="7413A268" w14:textId="41B70890" w:rsidR="002809BF" w:rsidRPr="004C2910" w:rsidRDefault="002809BF" w:rsidP="00CB2962">
      <w:pPr>
        <w:pStyle w:val="Heading2"/>
      </w:pPr>
      <w:bookmarkStart w:id="64" w:name="_Remember_that_evaluation"/>
      <w:bookmarkStart w:id="65" w:name="_Toc170403093"/>
      <w:bookmarkEnd w:id="64"/>
      <w:r w:rsidRPr="004C2910">
        <w:t xml:space="preserve">Remember that evaluation can involve continuous </w:t>
      </w:r>
      <w:proofErr w:type="gramStart"/>
      <w:r w:rsidRPr="004C2910">
        <w:t>measurement</w:t>
      </w:r>
      <w:bookmarkEnd w:id="65"/>
      <w:proofErr w:type="gramEnd"/>
    </w:p>
    <w:p w14:paraId="32AE489C" w14:textId="2D0AA5E4" w:rsidR="002809BF" w:rsidRPr="001E404B" w:rsidRDefault="002809BF" w:rsidP="002809BF">
      <w:pPr>
        <w:rPr>
          <w:rFonts w:ascii="VIC" w:eastAsia="Times New Roman" w:hAnsi="VIC" w:cs="Times New Roman"/>
        </w:rPr>
      </w:pPr>
      <w:r w:rsidRPr="001E404B">
        <w:rPr>
          <w:rFonts w:ascii="VIC" w:eastAsia="Times New Roman" w:hAnsi="VIC" w:cs="Times New Roman"/>
        </w:rPr>
        <w:t xml:space="preserve">An evaluation </w:t>
      </w:r>
      <w:r w:rsidR="00E04A3A">
        <w:rPr>
          <w:rFonts w:ascii="VIC" w:eastAsia="Times New Roman" w:hAnsi="VIC" w:cs="Times New Roman"/>
        </w:rPr>
        <w:t>strategy</w:t>
      </w:r>
      <w:r w:rsidRPr="001E404B">
        <w:rPr>
          <w:rFonts w:ascii="VIC" w:eastAsia="Times New Roman" w:hAnsi="VIC" w:cs="Times New Roman"/>
        </w:rPr>
        <w:t xml:space="preserve"> may involve key periods where specific research is </w:t>
      </w:r>
      <w:proofErr w:type="gramStart"/>
      <w:r w:rsidRPr="001E404B">
        <w:rPr>
          <w:rFonts w:ascii="VIC" w:eastAsia="Times New Roman" w:hAnsi="VIC" w:cs="Times New Roman"/>
        </w:rPr>
        <w:t>conducted</w:t>
      </w:r>
      <w:proofErr w:type="gramEnd"/>
      <w:r w:rsidRPr="001E404B">
        <w:rPr>
          <w:rFonts w:ascii="VIC" w:eastAsia="Times New Roman" w:hAnsi="VIC" w:cs="Times New Roman"/>
        </w:rPr>
        <w:t xml:space="preserve"> or results are reported. However, evaluation will often also involve ongoing or continuous measurement, such as from regulator activities. Be careful to account for the timeframes for both, and not to treat evaluation as a standalone event.</w:t>
      </w:r>
    </w:p>
    <w:p w14:paraId="2A827C23" w14:textId="51D6CC9F" w:rsidR="007D44D9" w:rsidRPr="004C2910" w:rsidRDefault="007D44D9" w:rsidP="00CB2962">
      <w:pPr>
        <w:pStyle w:val="Heading2"/>
      </w:pPr>
      <w:bookmarkStart w:id="66" w:name="_Account_for_the"/>
      <w:bookmarkStart w:id="67" w:name="_Toc170403094"/>
      <w:bookmarkEnd w:id="66"/>
      <w:r w:rsidRPr="004C2910">
        <w:t>Account for the influence of evaluation on delivery</w:t>
      </w:r>
      <w:r w:rsidR="008B7578">
        <w:t xml:space="preserve"> of </w:t>
      </w:r>
      <w:proofErr w:type="gramStart"/>
      <w:r w:rsidR="008B7578">
        <w:t>regulations</w:t>
      </w:r>
      <w:bookmarkEnd w:id="67"/>
      <w:proofErr w:type="gramEnd"/>
    </w:p>
    <w:p w14:paraId="5D073E5B" w14:textId="77777777" w:rsidR="00AF68EF" w:rsidRPr="001E404B" w:rsidRDefault="00AF68EF" w:rsidP="00AF68EF">
      <w:pPr>
        <w:rPr>
          <w:rFonts w:ascii="VIC" w:eastAsia="Times New Roman" w:hAnsi="VIC" w:cs="Times New Roman"/>
        </w:rPr>
      </w:pPr>
      <w:r w:rsidRPr="001E404B">
        <w:rPr>
          <w:rFonts w:ascii="VIC" w:eastAsia="Times New Roman" w:hAnsi="VIC" w:cs="Times New Roman"/>
        </w:rPr>
        <w:t xml:space="preserve">Evaluation activities can help to inform ongoing delivery of a regulation and promote continuous improvement. Mid-term evaluations can also lead to changes in regulatory settings or regulator operations. </w:t>
      </w:r>
    </w:p>
    <w:p w14:paraId="52894330" w14:textId="79F01D6B" w:rsidR="00AF68EF" w:rsidRPr="001E404B" w:rsidRDefault="00AF68EF" w:rsidP="00AF68EF">
      <w:pPr>
        <w:rPr>
          <w:rFonts w:ascii="VIC" w:eastAsia="Times New Roman" w:hAnsi="VIC" w:cs="Times New Roman"/>
        </w:rPr>
      </w:pPr>
      <w:r w:rsidRPr="001E404B">
        <w:rPr>
          <w:rFonts w:ascii="VIC" w:eastAsia="Times New Roman" w:hAnsi="VIC" w:cs="Times New Roman"/>
        </w:rPr>
        <w:t>Account for the activities that may need to occur to improve delivery of regulation in response to evaluation findings. Also consider the balance between continuous improvement and maintaining stability and certainty in regulatory requirements.</w:t>
      </w:r>
    </w:p>
    <w:p w14:paraId="7372DB15" w14:textId="7935E947" w:rsidR="003A2400" w:rsidRDefault="003A2400" w:rsidP="00CB2962">
      <w:pPr>
        <w:pStyle w:val="Heading2"/>
      </w:pPr>
      <w:bookmarkStart w:id="68" w:name="_Monitor_and_be"/>
      <w:bookmarkStart w:id="69" w:name="_Toc170403095"/>
      <w:bookmarkEnd w:id="68"/>
      <w:r w:rsidRPr="004C2910">
        <w:lastRenderedPageBreak/>
        <w:t>Monitor and be accountable for changes in</w:t>
      </w:r>
      <w:r w:rsidR="005D57EE">
        <w:t xml:space="preserve"> evaluation</w:t>
      </w:r>
      <w:r w:rsidRPr="004C2910">
        <w:t xml:space="preserve"> </w:t>
      </w:r>
      <w:proofErr w:type="gramStart"/>
      <w:r w:rsidRPr="004C2910">
        <w:t>approach</w:t>
      </w:r>
      <w:bookmarkEnd w:id="69"/>
      <w:proofErr w:type="gramEnd"/>
    </w:p>
    <w:p w14:paraId="35102388" w14:textId="77777777" w:rsidR="004C2910" w:rsidRPr="001E404B" w:rsidRDefault="004C2910" w:rsidP="004C2910">
      <w:pPr>
        <w:rPr>
          <w:rFonts w:ascii="VIC" w:hAnsi="VIC"/>
        </w:rPr>
      </w:pPr>
      <w:r w:rsidRPr="001E404B">
        <w:rPr>
          <w:rFonts w:ascii="VIC" w:hAnsi="VIC"/>
        </w:rPr>
        <w:t xml:space="preserve">You may need to revise the scope of your evaluation based on the resources you have available (e.g. rather than conducting expansive focus groups you may choose to send a survey to stakeholders). However, note the impact this will have on the quality and value of your findings. </w:t>
      </w:r>
    </w:p>
    <w:p w14:paraId="6B1596A0" w14:textId="472FE8CE" w:rsidR="004C2910" w:rsidRDefault="004C2910" w:rsidP="004C2910">
      <w:pPr>
        <w:rPr>
          <w:rFonts w:ascii="VIC" w:hAnsi="VIC"/>
        </w:rPr>
      </w:pPr>
      <w:r w:rsidRPr="001E404B">
        <w:rPr>
          <w:rFonts w:ascii="VIC" w:hAnsi="VIC"/>
        </w:rPr>
        <w:t>Make sure key decisions around resourcing (e.g. change in investment, or trade-offs in investment) are planned for, well-documented and justified.</w:t>
      </w:r>
    </w:p>
    <w:p w14:paraId="163B9E74" w14:textId="33A02334" w:rsidR="00071BC3" w:rsidRPr="00071BC3" w:rsidRDefault="00071BC3" w:rsidP="00CB2962">
      <w:pPr>
        <w:pStyle w:val="Heading2"/>
      </w:pPr>
      <w:bookmarkStart w:id="70" w:name="_Monitor_frequently_enough"/>
      <w:bookmarkStart w:id="71" w:name="_Toc170403096"/>
      <w:bookmarkEnd w:id="70"/>
      <w:r w:rsidRPr="00071BC3">
        <w:t xml:space="preserve">Monitor frequently enough to track </w:t>
      </w:r>
      <w:r w:rsidR="009C508F">
        <w:t xml:space="preserve">data </w:t>
      </w:r>
      <w:r w:rsidRPr="00071BC3">
        <w:t xml:space="preserve">quality </w:t>
      </w:r>
      <w:proofErr w:type="gramStart"/>
      <w:r w:rsidRPr="00071BC3">
        <w:t>issues</w:t>
      </w:r>
      <w:bookmarkEnd w:id="71"/>
      <w:proofErr w:type="gramEnd"/>
    </w:p>
    <w:p w14:paraId="083A8A9B" w14:textId="77777777" w:rsidR="00071BC3" w:rsidRPr="00071BC3" w:rsidRDefault="00071BC3" w:rsidP="00071BC3">
      <w:pPr>
        <w:rPr>
          <w:rFonts w:ascii="VIC" w:eastAsia="Times New Roman" w:hAnsi="VIC" w:cs="Times New Roman"/>
        </w:rPr>
      </w:pPr>
      <w:r w:rsidRPr="00071BC3">
        <w:rPr>
          <w:rFonts w:ascii="VIC" w:eastAsia="Times New Roman" w:hAnsi="VIC" w:cs="Times New Roman"/>
        </w:rPr>
        <w:t xml:space="preserve">Data quality is a common challenge in evaluations, and can diminish the accuracy of ongoing measurement, or undermine periodic assessment of results. </w:t>
      </w:r>
    </w:p>
    <w:p w14:paraId="60B83C9D" w14:textId="28CCAA87" w:rsidR="00AF68EF" w:rsidRPr="00C9324A" w:rsidRDefault="00071BC3" w:rsidP="002809BF">
      <w:pPr>
        <w:rPr>
          <w:rFonts w:ascii="VIC" w:eastAsia="Times New Roman" w:hAnsi="VIC" w:cs="Times New Roman"/>
          <w:b/>
        </w:rPr>
      </w:pPr>
      <w:r w:rsidRPr="00071BC3">
        <w:rPr>
          <w:rFonts w:ascii="VIC" w:eastAsia="Times New Roman" w:hAnsi="VIC" w:cs="Times New Roman"/>
        </w:rPr>
        <w:t xml:space="preserve">If data quality is not attended to proactively, it may be too late to </w:t>
      </w:r>
      <w:r w:rsidR="00F15265">
        <w:rPr>
          <w:rFonts w:ascii="VIC" w:eastAsia="Times New Roman" w:hAnsi="VIC" w:cs="Times New Roman"/>
        </w:rPr>
        <w:t xml:space="preserve">have adequate data </w:t>
      </w:r>
      <w:r w:rsidRPr="00071BC3">
        <w:rPr>
          <w:rFonts w:ascii="VIC" w:eastAsia="Times New Roman" w:hAnsi="VIC" w:cs="Times New Roman"/>
        </w:rPr>
        <w:t xml:space="preserve">at key milestones. Project planning should account for the systems for monitoring and </w:t>
      </w:r>
      <w:r w:rsidR="009C508F">
        <w:rPr>
          <w:rFonts w:ascii="VIC" w:eastAsia="Times New Roman" w:hAnsi="VIC" w:cs="Times New Roman"/>
        </w:rPr>
        <w:t xml:space="preserve">improving </w:t>
      </w:r>
      <w:r w:rsidRPr="00071BC3">
        <w:rPr>
          <w:rFonts w:ascii="VIC" w:eastAsia="Times New Roman" w:hAnsi="VIC" w:cs="Times New Roman"/>
        </w:rPr>
        <w:t>data quality at appropriate stages.</w:t>
      </w:r>
      <w:r>
        <w:rPr>
          <w:rFonts w:ascii="VIC" w:eastAsia="Times New Roman" w:hAnsi="VIC" w:cs="Times New Roman"/>
        </w:rPr>
        <w:t xml:space="preserve"> </w:t>
      </w:r>
    </w:p>
    <w:p w14:paraId="6E5D8BA9" w14:textId="7D6255D7" w:rsidR="00D34F95" w:rsidRPr="00B62C64" w:rsidRDefault="009F7881" w:rsidP="003E1DCE">
      <w:pPr>
        <w:pStyle w:val="Heading1"/>
      </w:pPr>
      <w:bookmarkStart w:id="72" w:name="_Toc1287294748"/>
      <w:bookmarkStart w:id="73" w:name="_Toc170403097"/>
      <w:bookmarkEnd w:id="48"/>
      <w:r>
        <w:t xml:space="preserve">Step </w:t>
      </w:r>
      <w:r w:rsidR="6F416994" w:rsidRPr="00B2006F">
        <w:t xml:space="preserve">3. </w:t>
      </w:r>
      <w:r w:rsidR="01FD1837" w:rsidRPr="00B2006F">
        <w:t>Writing the evaluation</w:t>
      </w:r>
      <w:r w:rsidR="7CB16601" w:rsidRPr="00B2006F">
        <w:t xml:space="preserve"> report</w:t>
      </w:r>
      <w:bookmarkEnd w:id="72"/>
      <w:bookmarkEnd w:id="73"/>
    </w:p>
    <w:p w14:paraId="4E5839C1" w14:textId="28C68F40" w:rsidR="00E234A1" w:rsidRDefault="1C59145C" w:rsidP="31FD5AD6">
      <w:pPr>
        <w:rPr>
          <w:rFonts w:ascii="VIC" w:eastAsia="VIC" w:hAnsi="VIC" w:cs="VIC"/>
        </w:rPr>
      </w:pPr>
      <w:r w:rsidRPr="31FD5AD6">
        <w:rPr>
          <w:rFonts w:ascii="VIC" w:eastAsia="VIC" w:hAnsi="VIC" w:cs="VIC"/>
        </w:rPr>
        <w:t>In writing your evaluation report</w:t>
      </w:r>
      <w:r w:rsidR="0E813081" w:rsidRPr="20F44149">
        <w:rPr>
          <w:rFonts w:ascii="VIC" w:eastAsia="VIC" w:hAnsi="VIC" w:cs="VIC"/>
        </w:rPr>
        <w:t>,</w:t>
      </w:r>
      <w:r w:rsidRPr="31FD5AD6">
        <w:rPr>
          <w:rFonts w:ascii="VIC" w:eastAsia="VIC" w:hAnsi="VIC" w:cs="VIC"/>
        </w:rPr>
        <w:t xml:space="preserve"> set out your </w:t>
      </w:r>
      <w:r w:rsidR="00562930">
        <w:rPr>
          <w:rFonts w:ascii="VIC" w:eastAsia="VIC" w:hAnsi="VIC" w:cs="VIC"/>
        </w:rPr>
        <w:t xml:space="preserve">evaluation </w:t>
      </w:r>
      <w:r w:rsidRPr="31FD5AD6">
        <w:rPr>
          <w:rFonts w:ascii="VIC" w:eastAsia="VIC" w:hAnsi="VIC" w:cs="VIC"/>
        </w:rPr>
        <w:t xml:space="preserve">strategy and any </w:t>
      </w:r>
      <w:r w:rsidR="00562930">
        <w:rPr>
          <w:rFonts w:ascii="VIC" w:eastAsia="VIC" w:hAnsi="VIC" w:cs="VIC"/>
        </w:rPr>
        <w:t xml:space="preserve">key </w:t>
      </w:r>
      <w:r w:rsidRPr="31FD5AD6">
        <w:rPr>
          <w:rFonts w:ascii="VIC" w:eastAsia="VIC" w:hAnsi="VIC" w:cs="VIC"/>
        </w:rPr>
        <w:t xml:space="preserve">changes made </w:t>
      </w:r>
      <w:r w:rsidR="00562930">
        <w:rPr>
          <w:rFonts w:ascii="VIC" w:eastAsia="VIC" w:hAnsi="VIC" w:cs="VIC"/>
        </w:rPr>
        <w:t>to it over time</w:t>
      </w:r>
      <w:r w:rsidRPr="31FD5AD6">
        <w:rPr>
          <w:rFonts w:ascii="VIC" w:eastAsia="VIC" w:hAnsi="VIC" w:cs="VIC"/>
        </w:rPr>
        <w:t xml:space="preserve"> (e.g. </w:t>
      </w:r>
      <w:r w:rsidR="008F0765">
        <w:rPr>
          <w:rFonts w:ascii="VIC" w:eastAsia="VIC" w:hAnsi="VIC" w:cs="VIC"/>
        </w:rPr>
        <w:t xml:space="preserve">since the evaluation strategy </w:t>
      </w:r>
      <w:r w:rsidR="007E56A9">
        <w:rPr>
          <w:rFonts w:ascii="VIC" w:eastAsia="VIC" w:hAnsi="VIC" w:cs="VIC"/>
        </w:rPr>
        <w:t xml:space="preserve">was developed for </w:t>
      </w:r>
      <w:r w:rsidRPr="31FD5AD6">
        <w:rPr>
          <w:rFonts w:ascii="VIC" w:eastAsia="VIC" w:hAnsi="VIC" w:cs="VIC"/>
        </w:rPr>
        <w:t>your RIS or LIA</w:t>
      </w:r>
      <w:r w:rsidR="1A06BF4E" w:rsidRPr="20F44149">
        <w:rPr>
          <w:rFonts w:ascii="VIC" w:eastAsia="VIC" w:hAnsi="VIC" w:cs="VIC"/>
        </w:rPr>
        <w:t>).</w:t>
      </w:r>
      <w:r w:rsidR="595B8B96" w:rsidRPr="4FA68DC5">
        <w:rPr>
          <w:rFonts w:ascii="VIC" w:eastAsia="VIC" w:hAnsi="VIC" w:cs="VIC"/>
        </w:rPr>
        <w:t xml:space="preserve"> </w:t>
      </w:r>
    </w:p>
    <w:p w14:paraId="6F8682E7" w14:textId="56B1F6DD" w:rsidR="009F41F7" w:rsidRDefault="595B8B96" w:rsidP="009F41F7">
      <w:pPr>
        <w:rPr>
          <w:rFonts w:ascii="VIC" w:eastAsia="VIC" w:hAnsi="VIC" w:cs="VIC"/>
        </w:rPr>
      </w:pPr>
      <w:r w:rsidRPr="4FA68DC5">
        <w:rPr>
          <w:rFonts w:ascii="VIC" w:eastAsia="VIC" w:hAnsi="VIC" w:cs="VIC"/>
        </w:rPr>
        <w:t xml:space="preserve">Quality documentation and record-keeping when </w:t>
      </w:r>
      <w:r w:rsidR="008F0765">
        <w:rPr>
          <w:rFonts w:ascii="VIC" w:eastAsia="VIC" w:hAnsi="VIC" w:cs="VIC"/>
        </w:rPr>
        <w:t xml:space="preserve">preparing </w:t>
      </w:r>
      <w:r w:rsidRPr="4FA68DC5">
        <w:rPr>
          <w:rFonts w:ascii="VIC" w:eastAsia="VIC" w:hAnsi="VIC" w:cs="VIC"/>
        </w:rPr>
        <w:t>the RIS or LIA will assist you to scope your report.</w:t>
      </w:r>
      <w:r w:rsidR="00E234A1">
        <w:rPr>
          <w:rFonts w:ascii="VIC" w:eastAsia="VIC" w:hAnsi="VIC" w:cs="VIC"/>
        </w:rPr>
        <w:t xml:space="preserve"> </w:t>
      </w:r>
      <w:r w:rsidR="00E234A1" w:rsidRPr="20F44149">
        <w:rPr>
          <w:rFonts w:ascii="VIC" w:hAnsi="VIC"/>
        </w:rPr>
        <w:t xml:space="preserve">One way to present results is against the key evaluation questions. </w:t>
      </w:r>
    </w:p>
    <w:p w14:paraId="1EF4E589" w14:textId="7376FA45" w:rsidR="00E234A1" w:rsidRPr="009F41F7" w:rsidRDefault="009F41F7" w:rsidP="009F41F7">
      <w:pPr>
        <w:rPr>
          <w:rFonts w:ascii="VIC" w:eastAsia="VIC" w:hAnsi="VIC" w:cs="VIC"/>
        </w:rPr>
      </w:pPr>
      <w:r>
        <w:rPr>
          <w:rFonts w:ascii="VIC" w:eastAsia="VIC" w:hAnsi="VIC" w:cs="VIC"/>
        </w:rPr>
        <w:t xml:space="preserve">Areas to consider </w:t>
      </w:r>
      <w:r w:rsidR="008F0765">
        <w:rPr>
          <w:rFonts w:ascii="VIC" w:eastAsia="VIC" w:hAnsi="VIC" w:cs="VIC"/>
        </w:rPr>
        <w:t xml:space="preserve">in your report </w:t>
      </w:r>
      <w:r>
        <w:rPr>
          <w:rFonts w:ascii="VIC" w:eastAsia="VIC" w:hAnsi="VIC" w:cs="VIC"/>
        </w:rPr>
        <w:t>include the following</w:t>
      </w:r>
      <w:r w:rsidR="00E234A1" w:rsidRPr="20F44149">
        <w:rPr>
          <w:rFonts w:ascii="VIC" w:hAnsi="VIC"/>
        </w:rPr>
        <w:t>:</w:t>
      </w:r>
    </w:p>
    <w:p w14:paraId="34167A08" w14:textId="77777777" w:rsidR="00E234A1" w:rsidRPr="007A2361" w:rsidRDefault="00E234A1" w:rsidP="007A2361">
      <w:pPr>
        <w:pStyle w:val="Bullet1"/>
        <w:rPr>
          <w:rFonts w:ascii="VIC" w:eastAsia="VIC" w:hAnsi="VIC"/>
        </w:rPr>
      </w:pPr>
      <w:r w:rsidRPr="007A2361">
        <w:rPr>
          <w:rFonts w:ascii="VIC" w:eastAsia="VIC" w:hAnsi="VIC"/>
        </w:rPr>
        <w:t>Are there any external factors that could have contributed to the results?</w:t>
      </w:r>
    </w:p>
    <w:p w14:paraId="5D5466C3" w14:textId="77777777" w:rsidR="00E234A1" w:rsidRPr="007A2361" w:rsidRDefault="00E234A1" w:rsidP="007A2361">
      <w:pPr>
        <w:pStyle w:val="Bullet1"/>
        <w:rPr>
          <w:rFonts w:ascii="VIC" w:eastAsia="VIC" w:hAnsi="VIC"/>
        </w:rPr>
      </w:pPr>
      <w:r w:rsidRPr="007A2361">
        <w:rPr>
          <w:rFonts w:ascii="VIC" w:eastAsia="VIC" w:hAnsi="VIC"/>
        </w:rPr>
        <w:t>How could the legislation or regulation be improved?</w:t>
      </w:r>
    </w:p>
    <w:p w14:paraId="09F72939" w14:textId="77777777" w:rsidR="00E234A1" w:rsidRPr="007A2361" w:rsidRDefault="00E234A1" w:rsidP="007A2361">
      <w:pPr>
        <w:pStyle w:val="Bullet1"/>
        <w:rPr>
          <w:rFonts w:ascii="VIC" w:eastAsia="VIC" w:hAnsi="VIC"/>
        </w:rPr>
      </w:pPr>
      <w:r w:rsidRPr="007A2361">
        <w:rPr>
          <w:rFonts w:ascii="VIC" w:eastAsia="VIC" w:hAnsi="VIC"/>
        </w:rPr>
        <w:t>What is the impact of any unintended consequences?</w:t>
      </w:r>
    </w:p>
    <w:p w14:paraId="69F53623" w14:textId="77777777" w:rsidR="00E234A1" w:rsidRPr="007A2361" w:rsidRDefault="00E234A1" w:rsidP="007A2361">
      <w:pPr>
        <w:pStyle w:val="Bullet1"/>
        <w:rPr>
          <w:rFonts w:ascii="VIC" w:eastAsia="VIC" w:hAnsi="VIC"/>
        </w:rPr>
      </w:pPr>
      <w:r w:rsidRPr="007A2361">
        <w:rPr>
          <w:rFonts w:ascii="VIC" w:eastAsia="VIC" w:hAnsi="VIC"/>
        </w:rPr>
        <w:t>Which stakeholders are most affected?</w:t>
      </w:r>
    </w:p>
    <w:p w14:paraId="7F2AD306" w14:textId="77777777" w:rsidR="00E234A1" w:rsidRPr="007A2361" w:rsidRDefault="00E234A1" w:rsidP="007A2361">
      <w:pPr>
        <w:pStyle w:val="Bullet1"/>
        <w:rPr>
          <w:rFonts w:ascii="VIC" w:eastAsia="VIC" w:hAnsi="VIC"/>
        </w:rPr>
      </w:pPr>
      <w:r w:rsidRPr="007A2361">
        <w:rPr>
          <w:rFonts w:ascii="VIC" w:eastAsia="VIC" w:hAnsi="VIC"/>
        </w:rPr>
        <w:t>Is there enough flexibility to enable proportionate and risk-based enforcement?</w:t>
      </w:r>
    </w:p>
    <w:p w14:paraId="51731493" w14:textId="13EEA781" w:rsidR="00E234A1" w:rsidRPr="007A2361" w:rsidRDefault="00E234A1" w:rsidP="007A2361">
      <w:pPr>
        <w:pStyle w:val="Bullet1"/>
        <w:rPr>
          <w:rFonts w:ascii="VIC" w:eastAsia="VIC" w:hAnsi="VIC"/>
        </w:rPr>
      </w:pPr>
      <w:r w:rsidRPr="007A2361">
        <w:rPr>
          <w:rFonts w:ascii="VIC" w:eastAsia="VIC" w:hAnsi="VIC"/>
        </w:rPr>
        <w:t xml:space="preserve">What are the next steps? </w:t>
      </w:r>
    </w:p>
    <w:p w14:paraId="3A210679" w14:textId="75F0CB4D" w:rsidR="006C482B" w:rsidRPr="000E52EE" w:rsidRDefault="00123448" w:rsidP="31FD5AD6">
      <w:pPr>
        <w:rPr>
          <w:rFonts w:ascii="VIC" w:eastAsia="VIC" w:hAnsi="VIC" w:cs="VIC"/>
        </w:rPr>
      </w:pPr>
      <w:r>
        <w:rPr>
          <w:rFonts w:ascii="VIC" w:eastAsia="VIC" w:hAnsi="VIC" w:cs="VIC"/>
        </w:rPr>
        <w:t xml:space="preserve">The evaluation report </w:t>
      </w:r>
      <w:r w:rsidR="002D7061">
        <w:rPr>
          <w:rFonts w:ascii="VIC" w:eastAsia="VIC" w:hAnsi="VIC" w:cs="VIC"/>
        </w:rPr>
        <w:t>should build from and complement the relevant RIS or LIA</w:t>
      </w:r>
      <w:r w:rsidR="00E234A1">
        <w:rPr>
          <w:rFonts w:ascii="VIC" w:eastAsia="VIC" w:hAnsi="VIC" w:cs="VIC"/>
        </w:rPr>
        <w:t xml:space="preserve"> </w:t>
      </w:r>
      <w:r w:rsidR="002D7061">
        <w:rPr>
          <w:rFonts w:ascii="VIC" w:eastAsia="VIC" w:hAnsi="VIC" w:cs="VIC"/>
        </w:rPr>
        <w:t xml:space="preserve">but will be more focused and </w:t>
      </w:r>
      <w:r w:rsidR="00377942">
        <w:rPr>
          <w:rFonts w:ascii="VIC" w:eastAsia="VIC" w:hAnsi="VIC" w:cs="VIC"/>
        </w:rPr>
        <w:t>shorter</w:t>
      </w:r>
      <w:r w:rsidR="00260895">
        <w:rPr>
          <w:rFonts w:ascii="VIC" w:eastAsia="VIC" w:hAnsi="VIC" w:cs="VIC"/>
        </w:rPr>
        <w:t xml:space="preserve"> than these documents.</w:t>
      </w:r>
      <w:r w:rsidR="53792754" w:rsidRPr="4FA68DC5">
        <w:rPr>
          <w:rFonts w:ascii="VIC" w:eastAsia="VIC" w:hAnsi="VIC" w:cs="VIC"/>
        </w:rPr>
        <w:t xml:space="preserve"> In the case of a sunsetting RIS, the evaluation will likely be embedded in the RIS itself</w:t>
      </w:r>
      <w:r w:rsidR="007A2361">
        <w:rPr>
          <w:rFonts w:ascii="VIC" w:eastAsia="VIC" w:hAnsi="VIC" w:cs="VIC"/>
        </w:rPr>
        <w:t xml:space="preserve"> </w:t>
      </w:r>
      <w:r w:rsidR="53792754" w:rsidRPr="4FA68DC5">
        <w:rPr>
          <w:rFonts w:ascii="VIC" w:eastAsia="VIC" w:hAnsi="VIC" w:cs="VIC"/>
        </w:rPr>
        <w:t>and will inform the problem definition.</w:t>
      </w:r>
    </w:p>
    <w:p w14:paraId="6BB8BD0E" w14:textId="77777777" w:rsidR="007A2361" w:rsidRDefault="3457527E" w:rsidP="68A8FCB7">
      <w:pPr>
        <w:ind w:right="-20"/>
        <w:rPr>
          <w:rFonts w:ascii="VIC" w:eastAsia="VIC" w:hAnsi="VIC" w:cs="VIC"/>
        </w:rPr>
      </w:pPr>
      <w:r w:rsidRPr="68A8FCB7">
        <w:rPr>
          <w:rFonts w:ascii="VIC" w:eastAsia="VIC" w:hAnsi="VIC" w:cs="VIC"/>
        </w:rPr>
        <w:t xml:space="preserve">For mid-term evaluations, BRV </w:t>
      </w:r>
      <w:r w:rsidR="4BE813E4" w:rsidRPr="68A8FCB7">
        <w:rPr>
          <w:rFonts w:ascii="VIC" w:eastAsia="VIC" w:hAnsi="VIC" w:cs="VIC"/>
        </w:rPr>
        <w:t xml:space="preserve">can provide feedback on the approach to the evaluation and on draft evaluation reports, including proportionate approaches to meet the </w:t>
      </w:r>
      <w:r w:rsidR="0A8CF916" w:rsidRPr="68A8FCB7">
        <w:rPr>
          <w:rFonts w:ascii="VIC" w:eastAsia="VIC" w:hAnsi="VIC" w:cs="VIC"/>
        </w:rPr>
        <w:t xml:space="preserve">best-practice standards </w:t>
      </w:r>
      <w:r w:rsidR="30240244" w:rsidRPr="68A8FCB7">
        <w:rPr>
          <w:rFonts w:ascii="VIC" w:eastAsia="VIC" w:hAnsi="VIC" w:cs="VIC"/>
        </w:rPr>
        <w:t xml:space="preserve">in this toolkit. </w:t>
      </w:r>
    </w:p>
    <w:p w14:paraId="5754F542" w14:textId="31B4449B" w:rsidR="3457527E" w:rsidRDefault="7C8EFCB8" w:rsidP="68A8FCB7">
      <w:pPr>
        <w:ind w:right="-20"/>
        <w:rPr>
          <w:rFonts w:ascii="VIC" w:eastAsia="VIC" w:hAnsi="VIC" w:cs="VIC"/>
        </w:rPr>
      </w:pPr>
      <w:r w:rsidRPr="68A8FCB7">
        <w:rPr>
          <w:rFonts w:ascii="VIC" w:eastAsia="VIC" w:hAnsi="VIC" w:cs="VIC"/>
        </w:rPr>
        <w:t>D</w:t>
      </w:r>
      <w:r w:rsidR="10F38F7A" w:rsidRPr="68A8FCB7">
        <w:rPr>
          <w:rFonts w:ascii="VIC" w:eastAsia="VIC" w:hAnsi="VIC" w:cs="VIC"/>
        </w:rPr>
        <w:t>epartments are required to provide the final evaluation report to t</w:t>
      </w:r>
      <w:r w:rsidR="489E9D3A" w:rsidRPr="68A8FCB7">
        <w:rPr>
          <w:rFonts w:ascii="VIC" w:eastAsia="VIC" w:hAnsi="VIC" w:cs="VIC"/>
        </w:rPr>
        <w:t>h</w:t>
      </w:r>
      <w:r w:rsidR="3457527E" w:rsidRPr="68A8FCB7">
        <w:rPr>
          <w:rFonts w:ascii="VIC" w:eastAsia="VIC" w:hAnsi="VIC" w:cs="VIC"/>
        </w:rPr>
        <w:t>e Commissioner</w:t>
      </w:r>
      <w:r w:rsidR="61EB2810" w:rsidRPr="68A8FCB7">
        <w:rPr>
          <w:rFonts w:ascii="VIC" w:eastAsia="VIC" w:hAnsi="VIC" w:cs="VIC"/>
        </w:rPr>
        <w:t>, who</w:t>
      </w:r>
      <w:r w:rsidR="3457527E" w:rsidRPr="68A8FCB7">
        <w:rPr>
          <w:rFonts w:ascii="VIC" w:eastAsia="VIC" w:hAnsi="VIC" w:cs="VIC"/>
        </w:rPr>
        <w:t xml:space="preserve"> provides advice when </w:t>
      </w:r>
      <w:r w:rsidR="4C1F245B" w:rsidRPr="68A8FCB7">
        <w:rPr>
          <w:rFonts w:ascii="VIC" w:eastAsia="VIC" w:hAnsi="VIC" w:cs="VIC"/>
        </w:rPr>
        <w:t xml:space="preserve">the evaluation report </w:t>
      </w:r>
      <w:r w:rsidR="3457527E" w:rsidRPr="68A8FCB7">
        <w:rPr>
          <w:rFonts w:ascii="VIC" w:eastAsia="VIC" w:hAnsi="VIC" w:cs="VIC"/>
        </w:rPr>
        <w:t xml:space="preserve">is complete. </w:t>
      </w:r>
    </w:p>
    <w:p w14:paraId="2752890B" w14:textId="04585E4C" w:rsidR="007A2361" w:rsidRDefault="01FD1837" w:rsidP="0211BF1B">
      <w:pPr>
        <w:ind w:right="-20"/>
        <w:rPr>
          <w:rFonts w:ascii="VIC" w:eastAsia="VIC" w:hAnsi="VIC" w:cs="VIC"/>
        </w:rPr>
      </w:pPr>
      <w:r w:rsidRPr="31FD5AD6">
        <w:rPr>
          <w:rFonts w:ascii="VIC" w:eastAsia="VIC" w:hAnsi="VIC" w:cs="VIC"/>
        </w:rPr>
        <w:t xml:space="preserve">Based on your </w:t>
      </w:r>
      <w:r w:rsidR="00F17F33">
        <w:rPr>
          <w:rFonts w:ascii="VIC" w:eastAsia="VIC" w:hAnsi="VIC" w:cs="VIC"/>
        </w:rPr>
        <w:t>program</w:t>
      </w:r>
      <w:r w:rsidRPr="31FD5AD6">
        <w:rPr>
          <w:rFonts w:ascii="VIC" w:eastAsia="VIC" w:hAnsi="VIC" w:cs="VIC"/>
        </w:rPr>
        <w:t xml:space="preserve"> logic developed </w:t>
      </w:r>
      <w:r w:rsidR="1C59145C" w:rsidRPr="31FD5AD6">
        <w:rPr>
          <w:rFonts w:ascii="VIC" w:eastAsia="VIC" w:hAnsi="VIC" w:cs="VIC"/>
        </w:rPr>
        <w:t>during the evaluation strategy (and included in the evaluation report),</w:t>
      </w:r>
      <w:r w:rsidRPr="31FD5AD6">
        <w:rPr>
          <w:rFonts w:ascii="VIC" w:eastAsia="VIC" w:hAnsi="VIC" w:cs="VIC"/>
        </w:rPr>
        <w:t xml:space="preserve"> you can explain the results of your evaluation</w:t>
      </w:r>
      <w:r w:rsidR="1C59145C" w:rsidRPr="31FD5AD6">
        <w:rPr>
          <w:rFonts w:ascii="VIC" w:eastAsia="VIC" w:hAnsi="VIC" w:cs="VIC"/>
        </w:rPr>
        <w:t xml:space="preserve">. </w:t>
      </w:r>
    </w:p>
    <w:p w14:paraId="4AFB2E75" w14:textId="3FE2BDFB" w:rsidR="00384F77" w:rsidRDefault="1C59145C" w:rsidP="0211BF1B">
      <w:pPr>
        <w:ind w:right="-20"/>
        <w:rPr>
          <w:rFonts w:ascii="VIC" w:eastAsia="VIC" w:hAnsi="VIC" w:cs="VIC"/>
        </w:rPr>
      </w:pPr>
      <w:r w:rsidRPr="31FD5AD6">
        <w:rPr>
          <w:rFonts w:ascii="VIC" w:eastAsia="VIC" w:hAnsi="VIC" w:cs="VIC"/>
        </w:rPr>
        <w:t>This will include</w:t>
      </w:r>
      <w:r w:rsidR="01FD1837" w:rsidRPr="31FD5AD6">
        <w:rPr>
          <w:rFonts w:ascii="VIC" w:eastAsia="VIC" w:hAnsi="VIC" w:cs="VIC"/>
        </w:rPr>
        <w:t xml:space="preserve"> how </w:t>
      </w:r>
      <w:r w:rsidRPr="31FD5AD6">
        <w:rPr>
          <w:rFonts w:ascii="VIC" w:eastAsia="VIC" w:hAnsi="VIC" w:cs="VIC"/>
        </w:rPr>
        <w:t>the results demonstrate the extent of</w:t>
      </w:r>
      <w:r w:rsidR="01FD1837" w:rsidRPr="31FD5AD6">
        <w:rPr>
          <w:rFonts w:ascii="VIC" w:eastAsia="VIC" w:hAnsi="VIC" w:cs="VIC"/>
        </w:rPr>
        <w:t xml:space="preserve"> the desired behaviour change and how the change leads to the ultimate outcome (i.e. your objective</w:t>
      </w:r>
      <w:r w:rsidRPr="31FD5AD6">
        <w:rPr>
          <w:rFonts w:ascii="VIC" w:eastAsia="VIC" w:hAnsi="VIC" w:cs="VIC"/>
        </w:rPr>
        <w:t>,</w:t>
      </w:r>
      <w:r w:rsidR="01FD1837" w:rsidRPr="31FD5AD6">
        <w:rPr>
          <w:rFonts w:ascii="VIC" w:eastAsia="VIC" w:hAnsi="VIC" w:cs="VIC"/>
        </w:rPr>
        <w:t xml:space="preserve"> or if not possible your intermediate indicators).</w:t>
      </w:r>
    </w:p>
    <w:p w14:paraId="50203306" w14:textId="36AE79A7" w:rsidR="00384F77" w:rsidRPr="002F2EF5" w:rsidRDefault="00384F77" w:rsidP="003E1DCE">
      <w:pPr>
        <w:pStyle w:val="Heading2"/>
      </w:pPr>
      <w:bookmarkStart w:id="74" w:name="_Toc170403098"/>
      <w:r w:rsidRPr="002F2EF5">
        <w:lastRenderedPageBreak/>
        <w:t>Supporting strategy with a program logic model</w:t>
      </w:r>
      <w:bookmarkEnd w:id="74"/>
    </w:p>
    <w:p w14:paraId="604E81C3" w14:textId="77777777" w:rsidR="00F37B64" w:rsidRPr="007A2361" w:rsidRDefault="002F2EF5" w:rsidP="002F2EF5">
      <w:pPr>
        <w:rPr>
          <w:rFonts w:ascii="VIC" w:eastAsia="Times New Roman" w:hAnsi="VIC" w:cs="Times New Roman"/>
        </w:rPr>
      </w:pPr>
      <w:r w:rsidRPr="007A2361">
        <w:rPr>
          <w:rFonts w:ascii="VIC" w:eastAsia="Times New Roman" w:hAnsi="VIC" w:cs="Times New Roman"/>
        </w:rPr>
        <w:t xml:space="preserve">Drawing on the RIS or LIA </w:t>
      </w:r>
      <w:r w:rsidRPr="007A2361">
        <w:rPr>
          <w:rFonts w:ascii="VIC" w:eastAsia="Times New Roman" w:hAnsi="VIC" w:cs="Times New Roman"/>
          <w:i/>
        </w:rPr>
        <w:t>problem analysis</w:t>
      </w:r>
      <w:r w:rsidRPr="007A2361">
        <w:rPr>
          <w:rFonts w:ascii="VIC" w:eastAsia="Times New Roman" w:hAnsi="VIC" w:cs="Times New Roman"/>
        </w:rPr>
        <w:t xml:space="preserve">, the </w:t>
      </w:r>
      <w:r w:rsidRPr="007A2361">
        <w:rPr>
          <w:rFonts w:ascii="VIC" w:eastAsia="Times New Roman" w:hAnsi="VIC" w:cs="Times New Roman"/>
          <w:i/>
        </w:rPr>
        <w:t>objectives of action</w:t>
      </w:r>
      <w:r w:rsidRPr="007A2361">
        <w:rPr>
          <w:rFonts w:ascii="VIC" w:eastAsia="Times New Roman" w:hAnsi="VIC" w:cs="Times New Roman"/>
        </w:rPr>
        <w:t xml:space="preserve">, and </w:t>
      </w:r>
      <w:r w:rsidRPr="007A2361">
        <w:rPr>
          <w:rFonts w:ascii="VIC" w:eastAsia="Times New Roman" w:hAnsi="VIC" w:cs="Times New Roman"/>
          <w:i/>
        </w:rPr>
        <w:t>options assessment,</w:t>
      </w:r>
      <w:r w:rsidRPr="007A2361">
        <w:rPr>
          <w:rFonts w:ascii="VIC" w:eastAsia="Times New Roman" w:hAnsi="VIC" w:cs="Times New Roman"/>
        </w:rPr>
        <w:t xml:space="preserve"> you should set out a hypothesis of why and how you expect the regulation (and any related activities) will bring about the desired outcomes. </w:t>
      </w:r>
    </w:p>
    <w:p w14:paraId="32CBC8A8" w14:textId="4D875668" w:rsidR="002F2EF5" w:rsidRPr="007A2361" w:rsidRDefault="002F2EF5" w:rsidP="002F2EF5">
      <w:pPr>
        <w:rPr>
          <w:rFonts w:ascii="VIC" w:eastAsia="Times New Roman" w:hAnsi="VIC" w:cs="Times New Roman"/>
        </w:rPr>
      </w:pPr>
      <w:r w:rsidRPr="007A2361">
        <w:rPr>
          <w:rFonts w:ascii="VIC" w:eastAsia="Times New Roman" w:hAnsi="VIC" w:cs="Times New Roman"/>
        </w:rPr>
        <w:t xml:space="preserve">For example, why following a new or changed rule should lead to reduced harms, or why new standards are expected to change behaviours. </w:t>
      </w:r>
    </w:p>
    <w:p w14:paraId="72033D99" w14:textId="4EDD91DF" w:rsidR="00384F77" w:rsidRDefault="002F2EF5" w:rsidP="002F2EF5">
      <w:pPr>
        <w:ind w:right="-20"/>
        <w:rPr>
          <w:rFonts w:ascii="VIC" w:eastAsia="Times New Roman" w:hAnsi="VIC" w:cs="Times New Roman"/>
        </w:rPr>
      </w:pPr>
      <w:r w:rsidRPr="007A2361">
        <w:rPr>
          <w:rFonts w:ascii="VIC" w:eastAsia="Times New Roman" w:hAnsi="VIC" w:cs="Times New Roman"/>
        </w:rPr>
        <w:t>Thinking through these connections, you should also account for the other enabling actions, such as those in your implementation plan. You should also account for external factors and the counterfactual, i.e. what might happen if the regulations did not exist. For example, account for the effect of changing industry characteristics or technology on a given harm or problem.</w:t>
      </w:r>
    </w:p>
    <w:p w14:paraId="34F0A81F" w14:textId="1ACF4F55" w:rsidR="00FE5134" w:rsidRPr="006B74B9" w:rsidRDefault="00FE5134" w:rsidP="006B74B9">
      <w:pPr>
        <w:spacing w:line="240" w:lineRule="auto"/>
        <w:rPr>
          <w:rFonts w:ascii="VIC" w:hAnsi="VIC"/>
        </w:rPr>
      </w:pPr>
      <w:r w:rsidRPr="31FD5AD6">
        <w:rPr>
          <w:rFonts w:ascii="VIC" w:hAnsi="VIC"/>
        </w:rPr>
        <w:t xml:space="preserve">These concepts are illustrated in figure </w:t>
      </w:r>
      <w:r w:rsidR="007E6853">
        <w:rPr>
          <w:rFonts w:ascii="VIC" w:hAnsi="VIC"/>
        </w:rPr>
        <w:t>5</w:t>
      </w:r>
      <w:r w:rsidRPr="31FD5AD6">
        <w:rPr>
          <w:rFonts w:ascii="VIC" w:hAnsi="VIC"/>
        </w:rPr>
        <w:t>, taken from the VGR.</w:t>
      </w:r>
    </w:p>
    <w:p w14:paraId="36722CB1" w14:textId="55294F53" w:rsidR="003E3018" w:rsidRPr="007A2361" w:rsidRDefault="003E3018" w:rsidP="005777B1">
      <w:pPr>
        <w:ind w:left="-90" w:right="-20"/>
        <w:rPr>
          <w:rFonts w:ascii="VIC" w:eastAsia="Times New Roman" w:hAnsi="VIC" w:cs="Times New Roman"/>
        </w:rPr>
      </w:pPr>
      <w:r>
        <w:rPr>
          <w:noProof/>
        </w:rPr>
        <w:drawing>
          <wp:inline distT="0" distB="0" distL="0" distR="0" wp14:anchorId="2CD518DE" wp14:editId="0627BDD7">
            <wp:extent cx="5724524" cy="1718753"/>
            <wp:effectExtent l="0" t="0" r="2540" b="0"/>
            <wp:docPr id="1371803546" name="Picture 1371803546" descr="A diagram of a program logic mod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803546" name="Picture 1371803546" descr="A diagram of a program logic model&#10;&#10;Description automatically generated"/>
                    <pic:cNvPicPr/>
                  </pic:nvPicPr>
                  <pic:blipFill>
                    <a:blip r:embed="rId21">
                      <a:extLst>
                        <a:ext uri="{FF2B5EF4-FFF2-40B4-BE49-F238E27FC236}">
                          <a16:creationId xmlns:ma14="http://schemas.microsoft.com/office/mac/drawingml/2011/main" xmlns:mo="http://schemas.microsoft.com/office/mac/office/2008/main" xmlns:mv="urn:schemas-microsoft-com:mac:vml" xmlns:arto="http://schemas.microsoft.com/office/word/2006/arto" xmlns:a16="http://schemas.microsoft.com/office/drawing/2014/main" xmlns:w="http://schemas.openxmlformats.org/wordprocessingml/2006/main" xmlns:w10="urn:schemas-microsoft-com:office:word" xmlns:v="urn:schemas-microsoft-com:vml" xmlns:o="urn:schemas-microsoft-com:office:office" xmlns="" xmlns:dgm="http://schemas.openxmlformats.org/drawingml/2006/diagram" id="{6570442A-B9B6-4AB6-BF67-5483AE5335C2}"/>
                        </a:ext>
                      </a:extLst>
                    </a:blip>
                    <a:stretch>
                      <a:fillRect/>
                    </a:stretch>
                  </pic:blipFill>
                  <pic:spPr>
                    <a:xfrm>
                      <a:off x="0" y="0"/>
                      <a:ext cx="5724524" cy="1718753"/>
                    </a:xfrm>
                    <a:prstGeom prst="rect">
                      <a:avLst/>
                    </a:prstGeom>
                  </pic:spPr>
                </pic:pic>
              </a:graphicData>
            </a:graphic>
          </wp:inline>
        </w:drawing>
      </w:r>
    </w:p>
    <w:p w14:paraId="0CD630B1" w14:textId="1016C0EF" w:rsidR="00F37B64" w:rsidRDefault="00F37B64" w:rsidP="003E1DCE">
      <w:pPr>
        <w:pStyle w:val="Heading2"/>
      </w:pPr>
      <w:bookmarkStart w:id="75" w:name="_Toc170403099"/>
      <w:r>
        <w:t xml:space="preserve">Take a proportionate approach that recognises </w:t>
      </w:r>
      <w:proofErr w:type="gramStart"/>
      <w:r>
        <w:t>complexity</w:t>
      </w:r>
      <w:bookmarkEnd w:id="75"/>
      <w:proofErr w:type="gramEnd"/>
    </w:p>
    <w:p w14:paraId="7AFF238E" w14:textId="0C1D3446" w:rsidR="00F37B64" w:rsidRPr="00C9324A" w:rsidRDefault="00F37B64" w:rsidP="00F37B64">
      <w:pPr>
        <w:rPr>
          <w:rFonts w:ascii="VIC" w:eastAsia="Times New Roman" w:hAnsi="VIC" w:cs="Times New Roman"/>
          <w:color w:val="000000"/>
        </w:rPr>
      </w:pPr>
      <w:r w:rsidRPr="00C9324A">
        <w:rPr>
          <w:rFonts w:ascii="VIC" w:eastAsia="Times New Roman" w:hAnsi="VIC" w:cs="Times New Roman"/>
        </w:rPr>
        <w:t xml:space="preserve">The level of effort taken to explain the theory of change will depend on the complexity of the regulation and the external factors, and what is proportionate given the degree of impact or cost of the regulations. </w:t>
      </w:r>
      <w:r w:rsidR="00E72237">
        <w:rPr>
          <w:rFonts w:ascii="VIC" w:eastAsia="Times New Roman" w:hAnsi="VIC" w:cs="Times New Roman"/>
        </w:rPr>
        <w:t>This includes when</w:t>
      </w:r>
      <w:r w:rsidRPr="00C9324A">
        <w:rPr>
          <w:rFonts w:ascii="VIC" w:eastAsia="Times New Roman" w:hAnsi="VIC" w:cs="Times New Roman"/>
        </w:rPr>
        <w:t xml:space="preserve">: </w:t>
      </w:r>
    </w:p>
    <w:p w14:paraId="290401B6" w14:textId="77777777" w:rsidR="00F37B64" w:rsidRPr="00C9324A" w:rsidRDefault="00F37B64" w:rsidP="005777B1">
      <w:pPr>
        <w:pStyle w:val="Bullet1"/>
        <w:rPr>
          <w:color w:val="000000"/>
        </w:rPr>
      </w:pPr>
      <w:r w:rsidRPr="00C9324A">
        <w:t xml:space="preserve">causality is difficult to </w:t>
      </w:r>
      <w:proofErr w:type="gramStart"/>
      <w:r w:rsidRPr="00C9324A">
        <w:t>establish</w:t>
      </w:r>
      <w:proofErr w:type="gramEnd"/>
    </w:p>
    <w:p w14:paraId="19C2782A" w14:textId="77777777" w:rsidR="00F37B64" w:rsidRPr="00C9324A" w:rsidRDefault="00F37B64" w:rsidP="005777B1">
      <w:pPr>
        <w:pStyle w:val="Bullet1"/>
        <w:rPr>
          <w:color w:val="000000"/>
        </w:rPr>
      </w:pPr>
      <w:r w:rsidRPr="00C9324A">
        <w:t xml:space="preserve">timeframes for changes in ultimate outcomes are very long, or </w:t>
      </w:r>
    </w:p>
    <w:p w14:paraId="54889CF4" w14:textId="576B253D" w:rsidR="00F37B64" w:rsidRPr="00C9324A" w:rsidRDefault="00F37B64" w:rsidP="005777B1">
      <w:pPr>
        <w:pStyle w:val="Bullet1"/>
        <w:rPr>
          <w:color w:val="000000"/>
        </w:rPr>
      </w:pPr>
      <w:r w:rsidRPr="00C9324A">
        <w:t>change is subject to significant external factors</w:t>
      </w:r>
      <w:r w:rsidR="007D31C3">
        <w:t>.</w:t>
      </w:r>
    </w:p>
    <w:p w14:paraId="437BAF41" w14:textId="4D6BED38" w:rsidR="00F37B64" w:rsidRPr="00C9324A" w:rsidRDefault="007D31C3" w:rsidP="00F37B64">
      <w:pPr>
        <w:rPr>
          <w:rFonts w:ascii="VIC" w:eastAsia="Times New Roman" w:hAnsi="VIC" w:cs="Times New Roman"/>
        </w:rPr>
      </w:pPr>
      <w:r>
        <w:rPr>
          <w:rFonts w:ascii="VIC" w:eastAsia="Times New Roman" w:hAnsi="VIC" w:cs="Times New Roman"/>
        </w:rPr>
        <w:t>T</w:t>
      </w:r>
      <w:r w:rsidR="00F37B64" w:rsidRPr="00C9324A">
        <w:rPr>
          <w:rFonts w:ascii="VIC" w:eastAsia="Times New Roman" w:hAnsi="VIC" w:cs="Times New Roman"/>
        </w:rPr>
        <w:t>he evaluation may need to rely on measuring behavioural or other intermediate outcomes and explain why these should lead to long term outcomes.</w:t>
      </w:r>
    </w:p>
    <w:p w14:paraId="08ADFF24" w14:textId="1621CC44" w:rsidR="00F37B64" w:rsidRDefault="00F37B64" w:rsidP="003E1DCE">
      <w:pPr>
        <w:pStyle w:val="Heading2"/>
      </w:pPr>
      <w:bookmarkStart w:id="76" w:name="_Toc170403100"/>
      <w:r>
        <w:t xml:space="preserve">Account for the different dimensions of the </w:t>
      </w:r>
      <w:proofErr w:type="gramStart"/>
      <w:r>
        <w:t>regulation</w:t>
      </w:r>
      <w:bookmarkEnd w:id="76"/>
      <w:proofErr w:type="gramEnd"/>
    </w:p>
    <w:p w14:paraId="55609796" w14:textId="77777777" w:rsidR="00F37B64" w:rsidRPr="007A2361" w:rsidRDefault="00F37B64" w:rsidP="00F37B64">
      <w:pPr>
        <w:rPr>
          <w:rFonts w:ascii="VIC" w:eastAsia="Times New Roman" w:hAnsi="VIC" w:cs="Times New Roman"/>
          <w:color w:val="000000"/>
        </w:rPr>
      </w:pPr>
      <w:r w:rsidRPr="007A2361">
        <w:rPr>
          <w:rFonts w:ascii="VIC" w:eastAsia="Times New Roman" w:hAnsi="VIC" w:cs="Times New Roman"/>
        </w:rPr>
        <w:t xml:space="preserve">To help define intermediate outcomes, work through how the regulations </w:t>
      </w:r>
      <w:proofErr w:type="gramStart"/>
      <w:r w:rsidRPr="007A2361">
        <w:rPr>
          <w:rFonts w:ascii="VIC" w:eastAsia="Times New Roman" w:hAnsi="VIC" w:cs="Times New Roman"/>
        </w:rPr>
        <w:t>are</w:t>
      </w:r>
      <w:proofErr w:type="gramEnd"/>
      <w:r w:rsidRPr="007A2361">
        <w:rPr>
          <w:rFonts w:ascii="VIC" w:eastAsia="Times New Roman" w:hAnsi="VIC" w:cs="Times New Roman"/>
        </w:rPr>
        <w:t xml:space="preserve"> expected to bring about change. For example:</w:t>
      </w:r>
    </w:p>
    <w:p w14:paraId="75A43D1D" w14:textId="77777777" w:rsidR="00F37B64" w:rsidRPr="007A2361" w:rsidRDefault="00F37B64" w:rsidP="007A2361">
      <w:pPr>
        <w:pStyle w:val="Bullet1"/>
        <w:rPr>
          <w:rFonts w:ascii="VIC" w:hAnsi="VIC"/>
          <w:color w:val="000000"/>
        </w:rPr>
      </w:pPr>
      <w:r w:rsidRPr="007A2361">
        <w:rPr>
          <w:rFonts w:ascii="VIC" w:hAnsi="VIC"/>
        </w:rPr>
        <w:t>key provisions with an impact on behaviour</w:t>
      </w:r>
    </w:p>
    <w:p w14:paraId="38C989C1" w14:textId="77777777" w:rsidR="00F37B64" w:rsidRPr="007A2361" w:rsidRDefault="00F37B64" w:rsidP="007A2361">
      <w:pPr>
        <w:pStyle w:val="Bullet1"/>
        <w:rPr>
          <w:rFonts w:ascii="VIC" w:hAnsi="VIC"/>
          <w:color w:val="000000"/>
        </w:rPr>
      </w:pPr>
      <w:r w:rsidRPr="007A2361">
        <w:rPr>
          <w:rFonts w:ascii="VIC" w:hAnsi="VIC"/>
        </w:rPr>
        <w:t xml:space="preserve">new or changed obligations on regulated entities or </w:t>
      </w:r>
      <w:proofErr w:type="gramStart"/>
      <w:r w:rsidRPr="007A2361">
        <w:rPr>
          <w:rFonts w:ascii="VIC" w:hAnsi="VIC"/>
        </w:rPr>
        <w:t>government</w:t>
      </w:r>
      <w:proofErr w:type="gramEnd"/>
      <w:r w:rsidRPr="007A2361">
        <w:rPr>
          <w:rFonts w:ascii="VIC" w:hAnsi="VIC"/>
        </w:rPr>
        <w:t xml:space="preserve"> </w:t>
      </w:r>
    </w:p>
    <w:p w14:paraId="46DA3051" w14:textId="77777777" w:rsidR="007A2361" w:rsidRPr="007A2361" w:rsidRDefault="00F37B64" w:rsidP="00F37B64">
      <w:pPr>
        <w:pStyle w:val="Bullet1"/>
        <w:rPr>
          <w:rFonts w:ascii="VIC" w:hAnsi="VIC"/>
          <w:color w:val="000000"/>
        </w:rPr>
      </w:pPr>
      <w:r w:rsidRPr="007A2361">
        <w:rPr>
          <w:rFonts w:ascii="VIC" w:hAnsi="VIC"/>
        </w:rPr>
        <w:t>implementation activities (establishment and embedding)</w:t>
      </w:r>
    </w:p>
    <w:p w14:paraId="63ED10E4" w14:textId="3C837454" w:rsidR="00C9324A" w:rsidRPr="003C4D32" w:rsidRDefault="00F37B64" w:rsidP="00C9324A">
      <w:pPr>
        <w:pStyle w:val="Bullet1"/>
        <w:rPr>
          <w:rFonts w:ascii="VIC" w:hAnsi="VIC"/>
          <w:color w:val="000000"/>
        </w:rPr>
      </w:pPr>
      <w:r w:rsidRPr="007A2361">
        <w:rPr>
          <w:rFonts w:ascii="VIC" w:hAnsi="VIC" w:cs="Times New Roman"/>
        </w:rPr>
        <w:t>broader activities (e.g. the impact of an education or compliance campaign, or the introduction of regulation with funding).</w:t>
      </w:r>
    </w:p>
    <w:p w14:paraId="41BA4827" w14:textId="00968EB9" w:rsidR="00C9324A" w:rsidRDefault="00C9324A" w:rsidP="003E1DCE">
      <w:pPr>
        <w:pStyle w:val="Heading2"/>
      </w:pPr>
      <w:bookmarkStart w:id="77" w:name="_Toc170403101"/>
      <w:r w:rsidRPr="6FA6DA2B">
        <w:lastRenderedPageBreak/>
        <w:t xml:space="preserve">Account for what motivates compliance, including external </w:t>
      </w:r>
      <w:proofErr w:type="gramStart"/>
      <w:r w:rsidRPr="6FA6DA2B">
        <w:t>influences</w:t>
      </w:r>
      <w:bookmarkEnd w:id="77"/>
      <w:proofErr w:type="gramEnd"/>
    </w:p>
    <w:p w14:paraId="64C1A2A9" w14:textId="77777777" w:rsidR="00C9324A" w:rsidRPr="003C4D32" w:rsidRDefault="00C9324A" w:rsidP="00C9324A">
      <w:pPr>
        <w:rPr>
          <w:rFonts w:ascii="VIC" w:eastAsia="Times New Roman" w:hAnsi="VIC" w:cs="Times New Roman"/>
        </w:rPr>
      </w:pPr>
      <w:r w:rsidRPr="003C4D32">
        <w:rPr>
          <w:rFonts w:ascii="VIC" w:eastAsia="Times New Roman" w:hAnsi="VIC" w:cs="Times New Roman"/>
        </w:rPr>
        <w:t xml:space="preserve">For evaluations where there are existing rules and issues with the rate of compliance, there are often both government and non-government factors that determine whether regulated parties comply. For example: </w:t>
      </w:r>
    </w:p>
    <w:p w14:paraId="738A2A86" w14:textId="77777777" w:rsidR="00C9324A" w:rsidRPr="003C4D32" w:rsidRDefault="00C9324A" w:rsidP="003C4D32">
      <w:pPr>
        <w:pStyle w:val="Bullet1"/>
        <w:rPr>
          <w:rFonts w:ascii="VIC" w:hAnsi="VIC"/>
        </w:rPr>
      </w:pPr>
      <w:r w:rsidRPr="003C4D32">
        <w:rPr>
          <w:rFonts w:ascii="VIC" w:hAnsi="VIC"/>
        </w:rPr>
        <w:t xml:space="preserve">their knowledge and acceptance of rules </w:t>
      </w:r>
    </w:p>
    <w:p w14:paraId="168E3D8F" w14:textId="77777777" w:rsidR="00C9324A" w:rsidRPr="003C4D32" w:rsidRDefault="00C9324A" w:rsidP="003C4D32">
      <w:pPr>
        <w:pStyle w:val="Bullet1"/>
        <w:rPr>
          <w:rFonts w:ascii="VIC" w:hAnsi="VIC"/>
        </w:rPr>
      </w:pPr>
      <w:r w:rsidRPr="003C4D32">
        <w:rPr>
          <w:rFonts w:ascii="VIC" w:hAnsi="VIC"/>
        </w:rPr>
        <w:t xml:space="preserve">the economic advantages of non-compliance (e.g. reduced costs) </w:t>
      </w:r>
    </w:p>
    <w:p w14:paraId="69DC598F" w14:textId="77777777" w:rsidR="00C9324A" w:rsidRPr="003C4D32" w:rsidRDefault="00C9324A" w:rsidP="003C4D32">
      <w:pPr>
        <w:pStyle w:val="Bullet1"/>
        <w:rPr>
          <w:rFonts w:ascii="VIC" w:hAnsi="VIC"/>
        </w:rPr>
      </w:pPr>
      <w:r w:rsidRPr="003C4D32">
        <w:rPr>
          <w:rFonts w:ascii="VIC" w:hAnsi="VIC"/>
        </w:rPr>
        <w:t xml:space="preserve">perceived risks of being reported, inspected and </w:t>
      </w:r>
      <w:proofErr w:type="gramStart"/>
      <w:r w:rsidRPr="003C4D32">
        <w:rPr>
          <w:rFonts w:ascii="VIC" w:hAnsi="VIC"/>
        </w:rPr>
        <w:t>detected</w:t>
      </w:r>
      <w:proofErr w:type="gramEnd"/>
      <w:r w:rsidRPr="003C4D32">
        <w:rPr>
          <w:rFonts w:ascii="VIC" w:hAnsi="VIC"/>
        </w:rPr>
        <w:t xml:space="preserve"> </w:t>
      </w:r>
    </w:p>
    <w:p w14:paraId="4564AF25" w14:textId="77777777" w:rsidR="00C9324A" w:rsidRPr="000E52EE" w:rsidRDefault="00C9324A" w:rsidP="003C4D32">
      <w:pPr>
        <w:pStyle w:val="Bullet1"/>
      </w:pPr>
      <w:r w:rsidRPr="003C4D32">
        <w:rPr>
          <w:rFonts w:ascii="VIC" w:hAnsi="VIC"/>
        </w:rPr>
        <w:t>perceived risks of sanction and severity of sanction</w:t>
      </w:r>
      <w:r w:rsidRPr="000E52EE">
        <w:t xml:space="preserve">. </w:t>
      </w:r>
    </w:p>
    <w:p w14:paraId="3F7BB429" w14:textId="5422B56B" w:rsidR="003C4D32" w:rsidRDefault="00C9324A" w:rsidP="00C9324A">
      <w:pPr>
        <w:rPr>
          <w:rFonts w:ascii="VIC" w:hAnsi="VIC"/>
        </w:rPr>
      </w:pPr>
      <w:r w:rsidRPr="003C4D32">
        <w:rPr>
          <w:rFonts w:ascii="VIC" w:eastAsia="Times New Roman" w:hAnsi="VIC" w:cs="Times New Roman"/>
        </w:rPr>
        <w:t xml:space="preserve">An evaluation may need to examine these </w:t>
      </w:r>
      <w:r w:rsidRPr="001D2CEB">
        <w:rPr>
          <w:rFonts w:ascii="VIC" w:eastAsia="Times New Roman" w:hAnsi="VIC" w:cs="Times New Roman"/>
          <w:bCs/>
        </w:rPr>
        <w:t>drivers of compliance</w:t>
      </w:r>
      <w:r w:rsidRPr="003C4D32">
        <w:rPr>
          <w:rFonts w:ascii="VIC" w:eastAsia="Times New Roman" w:hAnsi="VIC" w:cs="Times New Roman"/>
        </w:rPr>
        <w:t xml:space="preserve">. This helps to </w:t>
      </w:r>
      <w:r w:rsidRPr="003C4D32">
        <w:rPr>
          <w:rFonts w:ascii="VIC" w:hAnsi="VIC"/>
        </w:rPr>
        <w:t>properly attribute the effect of the regulations and the regulator’s actions</w:t>
      </w:r>
      <w:r w:rsidR="003C4D32">
        <w:rPr>
          <w:rFonts w:ascii="VIC" w:hAnsi="VIC"/>
        </w:rPr>
        <w:t xml:space="preserve"> </w:t>
      </w:r>
      <w:r w:rsidRPr="003C4D32">
        <w:rPr>
          <w:rFonts w:ascii="VIC" w:hAnsi="VIC"/>
        </w:rPr>
        <w:t xml:space="preserve">and identify other areas to change or acknowledge when setting indicators and goals for effectiveness. </w:t>
      </w:r>
    </w:p>
    <w:p w14:paraId="42A0035F" w14:textId="4B30D7F1" w:rsidR="00C9324A" w:rsidRPr="003C4D32" w:rsidRDefault="00C9324A" w:rsidP="00C9324A">
      <w:pPr>
        <w:rPr>
          <w:rFonts w:ascii="VIC" w:eastAsia="Times New Roman" w:hAnsi="VIC" w:cs="Times New Roman"/>
        </w:rPr>
      </w:pPr>
      <w:r w:rsidRPr="003C4D32">
        <w:rPr>
          <w:rFonts w:ascii="VIC" w:hAnsi="VIC"/>
        </w:rPr>
        <w:t xml:space="preserve">The </w:t>
      </w:r>
      <w:r w:rsidR="003C4D32">
        <w:rPr>
          <w:rFonts w:ascii="VIC" w:hAnsi="VIC"/>
        </w:rPr>
        <w:t>P</w:t>
      </w:r>
      <w:r w:rsidRPr="003C4D32">
        <w:rPr>
          <w:rFonts w:ascii="VIC" w:hAnsi="VIC"/>
        </w:rPr>
        <w:t xml:space="preserve">roblem </w:t>
      </w:r>
      <w:r w:rsidR="003C4D32">
        <w:rPr>
          <w:rFonts w:ascii="VIC" w:hAnsi="VIC"/>
        </w:rPr>
        <w:t>A</w:t>
      </w:r>
      <w:r w:rsidRPr="003C4D32">
        <w:rPr>
          <w:rFonts w:ascii="VIC" w:hAnsi="VIC"/>
        </w:rPr>
        <w:t xml:space="preserve">nalysis </w:t>
      </w:r>
      <w:r w:rsidR="003C4D32">
        <w:rPr>
          <w:rFonts w:ascii="VIC" w:hAnsi="VIC"/>
        </w:rPr>
        <w:t>T</w:t>
      </w:r>
      <w:r w:rsidRPr="003C4D32">
        <w:rPr>
          <w:rFonts w:ascii="VIC" w:hAnsi="VIC"/>
        </w:rPr>
        <w:t>oolkit</w:t>
      </w:r>
      <w:r w:rsidRPr="003C4D32">
        <w:rPr>
          <w:rFonts w:ascii="VIC" w:hAnsi="VIC"/>
          <w:b/>
          <w:bCs/>
        </w:rPr>
        <w:t xml:space="preserve"> </w:t>
      </w:r>
      <w:r w:rsidRPr="003C4D32">
        <w:rPr>
          <w:rFonts w:ascii="VIC" w:hAnsi="VIC"/>
        </w:rPr>
        <w:t xml:space="preserve">sets out how to </w:t>
      </w:r>
      <w:r w:rsidRPr="003C4D32">
        <w:rPr>
          <w:rFonts w:ascii="VIC" w:eastAsia="Times New Roman" w:hAnsi="VIC" w:cs="Times New Roman"/>
        </w:rPr>
        <w:t>examine drivers of compliance, which can be built into your evaluation.</w:t>
      </w:r>
    </w:p>
    <w:p w14:paraId="0FAE20B1" w14:textId="6F8C6D50" w:rsidR="00C9324A" w:rsidRPr="003C4D32" w:rsidRDefault="00C9324A" w:rsidP="00902119">
      <w:pPr>
        <w:rPr>
          <w:rFonts w:ascii="VIC" w:eastAsia="Times New Roman" w:hAnsi="VIC" w:cs="Times New Roman"/>
        </w:rPr>
      </w:pPr>
      <w:r w:rsidRPr="003C4D32">
        <w:rPr>
          <w:rFonts w:ascii="VIC" w:eastAsia="Times New Roman" w:hAnsi="VIC" w:cs="Times New Roman"/>
        </w:rPr>
        <w:t xml:space="preserve">Account for external </w:t>
      </w:r>
      <w:r w:rsidR="00E72CBF">
        <w:rPr>
          <w:rFonts w:ascii="VIC" w:eastAsia="Times New Roman" w:hAnsi="VIC" w:cs="Times New Roman"/>
        </w:rPr>
        <w:t xml:space="preserve">(non-government) </w:t>
      </w:r>
      <w:r w:rsidRPr="003C4D32">
        <w:rPr>
          <w:rFonts w:ascii="VIC" w:eastAsia="Times New Roman" w:hAnsi="VIC" w:cs="Times New Roman"/>
        </w:rPr>
        <w:t>factors that are likely to influence compliance, such as economic pressures, structural changes in industry, influence of other regulatory or self</w:t>
      </w:r>
      <w:r w:rsidR="00123490">
        <w:rPr>
          <w:rFonts w:ascii="VIC" w:eastAsia="Times New Roman" w:hAnsi="VIC" w:cs="Times New Roman"/>
        </w:rPr>
        <w:noBreakHyphen/>
      </w:r>
      <w:r w:rsidRPr="003C4D32">
        <w:rPr>
          <w:rFonts w:ascii="VIC" w:eastAsia="Times New Roman" w:hAnsi="VIC" w:cs="Times New Roman"/>
        </w:rPr>
        <w:t>regulatory actions, market or environmental changes</w:t>
      </w:r>
      <w:r w:rsidR="00EC241A">
        <w:rPr>
          <w:rFonts w:ascii="VIC" w:eastAsia="Times New Roman" w:hAnsi="VIC" w:cs="Times New Roman"/>
        </w:rPr>
        <w:t xml:space="preserve">, or non-government </w:t>
      </w:r>
      <w:r w:rsidR="007C50D0">
        <w:rPr>
          <w:rFonts w:ascii="VIC" w:eastAsia="Times New Roman" w:hAnsi="VIC" w:cs="Times New Roman"/>
        </w:rPr>
        <w:t xml:space="preserve">parties </w:t>
      </w:r>
      <w:r w:rsidR="00D81B9E">
        <w:rPr>
          <w:rFonts w:ascii="VIC" w:eastAsia="Times New Roman" w:hAnsi="VIC" w:cs="Times New Roman"/>
        </w:rPr>
        <w:t xml:space="preserve">monitoring compliance </w:t>
      </w:r>
      <w:r w:rsidR="00902119">
        <w:rPr>
          <w:rFonts w:ascii="VIC" w:eastAsia="Times New Roman" w:hAnsi="VIC" w:cs="Times New Roman"/>
        </w:rPr>
        <w:t>and publicising instances of non-compliance. T</w:t>
      </w:r>
      <w:r w:rsidRPr="003C4D32">
        <w:rPr>
          <w:rFonts w:ascii="VIC" w:eastAsia="Times New Roman" w:hAnsi="VIC" w:cs="Times New Roman"/>
        </w:rPr>
        <w:t xml:space="preserve">hese </w:t>
      </w:r>
      <w:r w:rsidR="00847785">
        <w:rPr>
          <w:rFonts w:ascii="VIC" w:eastAsia="Times New Roman" w:hAnsi="VIC" w:cs="Times New Roman"/>
        </w:rPr>
        <w:t xml:space="preserve">factors </w:t>
      </w:r>
      <w:r w:rsidRPr="003C4D32">
        <w:rPr>
          <w:rFonts w:ascii="VIC" w:eastAsia="Times New Roman" w:hAnsi="VIC" w:cs="Times New Roman"/>
        </w:rPr>
        <w:t>may make regulated parties more or less likely to seek to save costs by avoiding their obligations.</w:t>
      </w:r>
    </w:p>
    <w:p w14:paraId="1351FD85" w14:textId="69D85DD0" w:rsidR="00C9324A" w:rsidRPr="003C4D32" w:rsidRDefault="00C9324A" w:rsidP="00C9324A">
      <w:pPr>
        <w:rPr>
          <w:rFonts w:ascii="VIC" w:eastAsia="Times New Roman" w:hAnsi="VIC" w:cs="Times New Roman"/>
        </w:rPr>
      </w:pPr>
      <w:r w:rsidRPr="003C4D32">
        <w:rPr>
          <w:rFonts w:ascii="VIC" w:eastAsia="Times New Roman" w:hAnsi="VIC" w:cs="Times New Roman"/>
        </w:rPr>
        <w:t>Also consider key risks that may be outside of the regulator’s control (or government’s ability to influence) such as market shocks or environmental pressures, which may impact the effectiveness of the regulation.</w:t>
      </w:r>
    </w:p>
    <w:p w14:paraId="76FE652A" w14:textId="49189F93" w:rsidR="00C9324A" w:rsidRDefault="00C9324A" w:rsidP="003E1DCE">
      <w:pPr>
        <w:pStyle w:val="Heading2"/>
      </w:pPr>
      <w:bookmarkStart w:id="78" w:name="_Toc170403102"/>
      <w:r w:rsidRPr="000E52EE">
        <w:t xml:space="preserve">Explain connections </w:t>
      </w:r>
      <w:r>
        <w:t xml:space="preserve">between regulator actions and </w:t>
      </w:r>
      <w:r w:rsidRPr="000E52EE">
        <w:t xml:space="preserve">compliance </w:t>
      </w:r>
      <w:proofErr w:type="gramStart"/>
      <w:r w:rsidRPr="000E52EE">
        <w:t>drivers</w:t>
      </w:r>
      <w:bookmarkEnd w:id="78"/>
      <w:proofErr w:type="gramEnd"/>
    </w:p>
    <w:p w14:paraId="5A0EE590" w14:textId="4BFDE2BE" w:rsidR="00C9324A" w:rsidRPr="001D2CEB" w:rsidRDefault="00C9324A" w:rsidP="00C9324A">
      <w:pPr>
        <w:pStyle w:val="ListParagraph"/>
        <w:ind w:left="0"/>
        <w:rPr>
          <w:rFonts w:ascii="VIC" w:hAnsi="VIC"/>
        </w:rPr>
      </w:pPr>
      <w:r w:rsidRPr="001D2CEB">
        <w:rPr>
          <w:rFonts w:ascii="VIC" w:hAnsi="VIC"/>
        </w:rPr>
        <w:t>Drawing on your problem definition, it may be important to expressly set out why you expect regulator actions will drive or increase compliance. For example, if a reason for non</w:t>
      </w:r>
      <w:r w:rsidR="00D73F52">
        <w:rPr>
          <w:rFonts w:ascii="VIC" w:hAnsi="VIC"/>
        </w:rPr>
        <w:noBreakHyphen/>
      </w:r>
      <w:r w:rsidRPr="001D2CEB">
        <w:rPr>
          <w:rFonts w:ascii="VIC" w:hAnsi="VIC"/>
        </w:rPr>
        <w:t>compliance is suspected to be:</w:t>
      </w:r>
    </w:p>
    <w:p w14:paraId="0889B363" w14:textId="77777777" w:rsidR="00C9324A" w:rsidRPr="001D2CEB" w:rsidRDefault="00C9324A" w:rsidP="001D2CEB">
      <w:pPr>
        <w:pStyle w:val="Bullet1"/>
        <w:rPr>
          <w:rFonts w:ascii="VIC" w:hAnsi="VIC"/>
        </w:rPr>
      </w:pPr>
      <w:r w:rsidRPr="001D2CEB">
        <w:rPr>
          <w:rFonts w:ascii="VIC" w:hAnsi="VIC"/>
        </w:rPr>
        <w:t xml:space="preserve">a </w:t>
      </w:r>
      <w:r w:rsidRPr="001D2CEB">
        <w:rPr>
          <w:rFonts w:ascii="VIC" w:hAnsi="VIC"/>
          <w:i/>
          <w:iCs/>
        </w:rPr>
        <w:t xml:space="preserve">low threat of detection, </w:t>
      </w:r>
      <w:r w:rsidRPr="001D2CEB">
        <w:rPr>
          <w:rFonts w:ascii="VIC" w:hAnsi="VIC"/>
        </w:rPr>
        <w:t xml:space="preserve">you might evaluate if regulator inspection </w:t>
      </w:r>
      <w:proofErr w:type="gramStart"/>
      <w:r w:rsidRPr="001D2CEB">
        <w:rPr>
          <w:rFonts w:ascii="VIC" w:hAnsi="VIC"/>
        </w:rPr>
        <w:t>targeting</w:t>
      </w:r>
      <w:proofErr w:type="gramEnd"/>
      <w:r w:rsidRPr="001D2CEB">
        <w:rPr>
          <w:rFonts w:ascii="VIC" w:hAnsi="VIC"/>
        </w:rPr>
        <w:t xml:space="preserve"> and communications increase perception of detection</w:t>
      </w:r>
    </w:p>
    <w:p w14:paraId="25B389EC" w14:textId="0872D035" w:rsidR="00C9324A" w:rsidRPr="001D2CEB" w:rsidRDefault="00C9324A" w:rsidP="001D2CEB">
      <w:pPr>
        <w:pStyle w:val="Bullet1"/>
        <w:rPr>
          <w:rFonts w:ascii="VIC" w:hAnsi="VIC"/>
        </w:rPr>
      </w:pPr>
      <w:r w:rsidRPr="001D2CEB">
        <w:rPr>
          <w:rFonts w:ascii="VIC" w:hAnsi="VIC"/>
        </w:rPr>
        <w:t xml:space="preserve">a perception that the </w:t>
      </w:r>
      <w:r w:rsidRPr="001D2CEB">
        <w:rPr>
          <w:rFonts w:ascii="VIC" w:hAnsi="VIC"/>
          <w:i/>
        </w:rPr>
        <w:t>costs of compliance outweigh the benefits</w:t>
      </w:r>
      <w:r w:rsidRPr="001D2CEB">
        <w:rPr>
          <w:rFonts w:ascii="VIC" w:hAnsi="VIC"/>
        </w:rPr>
        <w:t>, you might evaluate if sufficient penalties are applied for non-compliance</w:t>
      </w:r>
      <w:r w:rsidR="00351823">
        <w:rPr>
          <w:rFonts w:ascii="VIC" w:hAnsi="VIC"/>
        </w:rPr>
        <w:t xml:space="preserve"> or whether the regulations are unnecessarily </w:t>
      </w:r>
      <w:proofErr w:type="gramStart"/>
      <w:r w:rsidR="00351823">
        <w:rPr>
          <w:rFonts w:ascii="VIC" w:hAnsi="VIC"/>
        </w:rPr>
        <w:t>burden</w:t>
      </w:r>
      <w:r w:rsidR="00D95AC8">
        <w:rPr>
          <w:rFonts w:ascii="VIC" w:hAnsi="VIC"/>
        </w:rPr>
        <w:t>some</w:t>
      </w:r>
      <w:proofErr w:type="gramEnd"/>
    </w:p>
    <w:p w14:paraId="73BEFBF9" w14:textId="77777777" w:rsidR="00C9324A" w:rsidRPr="001D2CEB" w:rsidRDefault="00C9324A" w:rsidP="001D2CEB">
      <w:pPr>
        <w:pStyle w:val="Bullet1"/>
        <w:rPr>
          <w:rFonts w:ascii="VIC" w:hAnsi="VIC"/>
        </w:rPr>
      </w:pPr>
      <w:r w:rsidRPr="001D2CEB">
        <w:rPr>
          <w:rFonts w:ascii="VIC" w:hAnsi="VIC"/>
        </w:rPr>
        <w:t xml:space="preserve">a perception that the </w:t>
      </w:r>
      <w:r w:rsidRPr="001D2CEB">
        <w:rPr>
          <w:rFonts w:ascii="VIC" w:hAnsi="VIC"/>
          <w:i/>
        </w:rPr>
        <w:t>consequences of non-compliance are low,</w:t>
      </w:r>
      <w:r w:rsidRPr="001D2CEB">
        <w:rPr>
          <w:rFonts w:ascii="VIC" w:hAnsi="VIC"/>
        </w:rPr>
        <w:t xml:space="preserve"> you might evaluate sanctions issued, and how these were communicated. </w:t>
      </w:r>
    </w:p>
    <w:p w14:paraId="251D2F6D" w14:textId="27B06088" w:rsidR="00C9324A" w:rsidRPr="001D2CEB" w:rsidRDefault="00C9324A" w:rsidP="001D2CEB">
      <w:pPr>
        <w:rPr>
          <w:rFonts w:ascii="VIC" w:eastAsia="Times New Roman" w:hAnsi="VIC" w:cs="Times New Roman"/>
        </w:rPr>
      </w:pPr>
      <w:r w:rsidRPr="001D2CEB">
        <w:rPr>
          <w:rFonts w:ascii="VIC" w:hAnsi="VIC"/>
        </w:rPr>
        <w:t xml:space="preserve">Take time to explain these connections when designing your evaluation. See </w:t>
      </w:r>
      <w:r w:rsidRPr="001D2CEB">
        <w:rPr>
          <w:rFonts w:ascii="VIC" w:hAnsi="VIC"/>
          <w:b/>
          <w:bCs/>
        </w:rPr>
        <w:t xml:space="preserve">Appendix A </w:t>
      </w:r>
      <w:r w:rsidRPr="001D2CEB">
        <w:rPr>
          <w:rFonts w:ascii="VIC" w:hAnsi="VIC"/>
        </w:rPr>
        <w:t>for further information.</w:t>
      </w:r>
    </w:p>
    <w:p w14:paraId="3741FC30" w14:textId="0E37B8A6" w:rsidR="00C9324A" w:rsidRDefault="00C9324A" w:rsidP="008B42D6">
      <w:pPr>
        <w:pStyle w:val="Heading2"/>
      </w:pPr>
      <w:bookmarkStart w:id="79" w:name="_Use_a_program"/>
      <w:bookmarkStart w:id="80" w:name="_Toc170403103"/>
      <w:bookmarkEnd w:id="79"/>
      <w:r w:rsidRPr="31FD5AD6">
        <w:lastRenderedPageBreak/>
        <w:t xml:space="preserve">Use a program logic to explain relationships between </w:t>
      </w:r>
      <w:proofErr w:type="gramStart"/>
      <w:r w:rsidRPr="31FD5AD6">
        <w:t>indicators</w:t>
      </w:r>
      <w:bookmarkEnd w:id="80"/>
      <w:proofErr w:type="gramEnd"/>
    </w:p>
    <w:p w14:paraId="14658557" w14:textId="327BE3A2" w:rsidR="00C9324A" w:rsidRPr="00C9324A" w:rsidRDefault="00C9324A" w:rsidP="005777B1">
      <w:pPr>
        <w:keepNext/>
        <w:rPr>
          <w:rFonts w:ascii="VIC" w:hAnsi="VIC"/>
        </w:rPr>
      </w:pPr>
      <w:r w:rsidRPr="00C9324A">
        <w:rPr>
          <w:rFonts w:ascii="VIC" w:hAnsi="VIC"/>
        </w:rPr>
        <w:t xml:space="preserve">Whilst every context and evaluation </w:t>
      </w:r>
      <w:proofErr w:type="gramStart"/>
      <w:r w:rsidRPr="00C9324A">
        <w:rPr>
          <w:rFonts w:ascii="VIC" w:hAnsi="VIC"/>
        </w:rPr>
        <w:t>differs</w:t>
      </w:r>
      <w:proofErr w:type="gramEnd"/>
      <w:r w:rsidRPr="00C9324A">
        <w:rPr>
          <w:rFonts w:ascii="VIC" w:hAnsi="VIC"/>
        </w:rPr>
        <w:t>, there are common approaches you can take to assess the relationship between regulator inputs (resources</w:t>
      </w:r>
      <w:r w:rsidR="0057617F">
        <w:rPr>
          <w:rFonts w:ascii="VIC" w:hAnsi="VIC"/>
        </w:rPr>
        <w:t xml:space="preserve"> used</w:t>
      </w:r>
      <w:r w:rsidRPr="00C9324A">
        <w:rPr>
          <w:rFonts w:ascii="VIC" w:hAnsi="VIC"/>
        </w:rPr>
        <w:t>), activities (actions taken) and behavioural change.</w:t>
      </w:r>
    </w:p>
    <w:p w14:paraId="15B90937" w14:textId="77777777" w:rsidR="00C9324A" w:rsidRPr="00C9324A" w:rsidRDefault="00C9324A" w:rsidP="00C9324A">
      <w:pPr>
        <w:rPr>
          <w:rFonts w:ascii="VIC" w:hAnsi="VIC"/>
        </w:rPr>
      </w:pPr>
      <w:r w:rsidRPr="00C9324A">
        <w:rPr>
          <w:rFonts w:ascii="VIC" w:hAnsi="VIC"/>
        </w:rPr>
        <w:t xml:space="preserve">Many of these approaches may be applied by regulators within their own performance measurement and reporting activities. Consider how you can selectively draw on, or help develop, these to provide key indicators for a regulatory evaluation. </w:t>
      </w:r>
    </w:p>
    <w:p w14:paraId="322BF762" w14:textId="55D885B5" w:rsidR="00C910C6" w:rsidRDefault="00C9324A" w:rsidP="00C9324A">
      <w:pPr>
        <w:rPr>
          <w:rFonts w:ascii="VIC" w:hAnsi="VIC"/>
        </w:rPr>
      </w:pPr>
      <w:r w:rsidRPr="00C9324A">
        <w:rPr>
          <w:rFonts w:ascii="VIC" w:hAnsi="VIC"/>
          <w:b/>
        </w:rPr>
        <w:t xml:space="preserve">Figure </w:t>
      </w:r>
      <w:r w:rsidRPr="00C9324A">
        <w:rPr>
          <w:rFonts w:ascii="VIC" w:hAnsi="VIC"/>
          <w:b/>
          <w:bCs/>
        </w:rPr>
        <w:t>1</w:t>
      </w:r>
      <w:r w:rsidRPr="00C9324A">
        <w:rPr>
          <w:rFonts w:ascii="VIC" w:hAnsi="VIC"/>
          <w:b/>
        </w:rPr>
        <w:t xml:space="preserve"> </w:t>
      </w:r>
      <w:r w:rsidRPr="00C9324A">
        <w:rPr>
          <w:rFonts w:ascii="VIC" w:hAnsi="VIC"/>
        </w:rPr>
        <w:t xml:space="preserve">illustrates measures that can help evaluate connections between regulator activities and outcomes, which can help you to develop a </w:t>
      </w:r>
      <w:r w:rsidRPr="00C9324A">
        <w:rPr>
          <w:rFonts w:ascii="VIC" w:hAnsi="VIC"/>
          <w:b/>
          <w:bCs/>
        </w:rPr>
        <w:t>program logic model</w:t>
      </w:r>
      <w:r w:rsidRPr="00C9324A">
        <w:rPr>
          <w:rFonts w:ascii="VIC" w:hAnsi="VIC"/>
        </w:rPr>
        <w:t xml:space="preserve">. This model should also account for external influences on </w:t>
      </w:r>
      <w:proofErr w:type="gramStart"/>
      <w:r w:rsidRPr="00C9324A">
        <w:rPr>
          <w:rFonts w:ascii="VIC" w:hAnsi="VIC"/>
        </w:rPr>
        <w:t>behaviour, and</w:t>
      </w:r>
      <w:proofErr w:type="gramEnd"/>
      <w:r w:rsidRPr="00C9324A">
        <w:rPr>
          <w:rFonts w:ascii="VIC" w:hAnsi="VIC"/>
        </w:rPr>
        <w:t xml:space="preserve"> clarify the scope or limits of the regulator’s role. </w:t>
      </w:r>
      <w:r w:rsidRPr="00C9324A">
        <w:rPr>
          <w:rFonts w:ascii="VIC" w:hAnsi="VIC"/>
          <w:b/>
          <w:bCs/>
        </w:rPr>
        <w:t>Appendix A</w:t>
      </w:r>
      <w:r w:rsidRPr="00C9324A">
        <w:rPr>
          <w:rFonts w:ascii="VIC" w:hAnsi="VIC"/>
        </w:rPr>
        <w:t xml:space="preserve"> provides specific guidance on how to develop a model for regulator act</w:t>
      </w:r>
      <w:r w:rsidR="00433D1D">
        <w:rPr>
          <w:rFonts w:ascii="VIC" w:hAnsi="VIC"/>
        </w:rPr>
        <w:t>ions</w:t>
      </w:r>
      <w:r w:rsidRPr="00C9324A">
        <w:rPr>
          <w:rFonts w:ascii="VIC" w:hAnsi="VIC"/>
        </w:rPr>
        <w:t>.</w:t>
      </w:r>
    </w:p>
    <w:p w14:paraId="29B3FE7F" w14:textId="79371BE9" w:rsidR="00C910C6" w:rsidRDefault="00C910C6" w:rsidP="008B42D6">
      <w:pPr>
        <w:pStyle w:val="Heading2"/>
      </w:pPr>
      <w:bookmarkStart w:id="81" w:name="_Toc170403104"/>
      <w:r w:rsidRPr="3297817A">
        <w:t xml:space="preserve">Test cause and effect of activities and </w:t>
      </w:r>
      <w:proofErr w:type="gramStart"/>
      <w:r w:rsidRPr="3297817A">
        <w:t>outcomes</w:t>
      </w:r>
      <w:bookmarkEnd w:id="81"/>
      <w:proofErr w:type="gramEnd"/>
    </w:p>
    <w:p w14:paraId="77375CE7" w14:textId="0B437392" w:rsidR="00C910C6" w:rsidRPr="00BE6E14" w:rsidRDefault="00C910C6" w:rsidP="00C910C6">
      <w:pPr>
        <w:pStyle w:val="ListParagraph"/>
        <w:ind w:left="0"/>
        <w:rPr>
          <w:rFonts w:ascii="VIC" w:hAnsi="VIC"/>
          <w:sz w:val="18"/>
          <w:szCs w:val="18"/>
        </w:rPr>
      </w:pPr>
      <w:r w:rsidRPr="31FD5AD6">
        <w:rPr>
          <w:rFonts w:ascii="VIC" w:eastAsia="Times New Roman" w:hAnsi="VIC" w:cs="Times New Roman"/>
          <w:sz w:val="18"/>
          <w:szCs w:val="18"/>
        </w:rPr>
        <w:t>It is unlikely that regulator activities are directly responsible for achieving behavioural outcomes alone. However, the evaluation might seek to understand relationships between activities (e.g. inspections) and observed behaviours (e.g. observed compliance</w:t>
      </w:r>
      <w:proofErr w:type="gramStart"/>
      <w:r w:rsidRPr="31FD5AD6">
        <w:rPr>
          <w:rFonts w:ascii="VIC" w:eastAsia="Times New Roman" w:hAnsi="VIC" w:cs="Times New Roman"/>
          <w:sz w:val="18"/>
          <w:szCs w:val="18"/>
        </w:rPr>
        <w:t>), and</w:t>
      </w:r>
      <w:proofErr w:type="gramEnd"/>
      <w:r w:rsidRPr="31FD5AD6">
        <w:rPr>
          <w:rFonts w:ascii="VIC" w:eastAsia="Times New Roman" w:hAnsi="VIC" w:cs="Times New Roman"/>
          <w:sz w:val="18"/>
          <w:szCs w:val="18"/>
        </w:rPr>
        <w:t xml:space="preserve"> infer whether relationships were causal or not (accounting for external factors which may have caused a change in behaviour or compliance). </w:t>
      </w:r>
    </w:p>
    <w:p w14:paraId="5EF595B6" w14:textId="05E44243" w:rsidR="00C910C6" w:rsidRDefault="00C910C6" w:rsidP="00C910C6">
      <w:pPr>
        <w:rPr>
          <w:rFonts w:ascii="VIC" w:eastAsia="Times New Roman" w:hAnsi="VIC" w:cs="Times New Roman"/>
          <w:sz w:val="18"/>
          <w:szCs w:val="18"/>
        </w:rPr>
      </w:pPr>
      <w:r w:rsidRPr="31FD5AD6">
        <w:rPr>
          <w:rFonts w:ascii="VIC" w:eastAsia="Times New Roman" w:hAnsi="VIC" w:cs="Times New Roman"/>
          <w:sz w:val="18"/>
          <w:szCs w:val="18"/>
        </w:rPr>
        <w:t>Exploring these relationships can help to test and refine your program logic model. Your findings can also help to ensure that resources were deployed as intended and in a targeted way</w:t>
      </w:r>
      <w:r w:rsidR="008530FE">
        <w:rPr>
          <w:rFonts w:ascii="VIC" w:eastAsia="Times New Roman" w:hAnsi="VIC" w:cs="Times New Roman"/>
          <w:sz w:val="18"/>
          <w:szCs w:val="18"/>
        </w:rPr>
        <w:t>.</w:t>
      </w:r>
    </w:p>
    <w:p w14:paraId="6A24B0F9" w14:textId="34BDA3CD" w:rsidR="008530FE" w:rsidRDefault="008530FE" w:rsidP="008B42D6">
      <w:pPr>
        <w:pStyle w:val="Heading2"/>
      </w:pPr>
      <w:bookmarkStart w:id="82" w:name="_Toc170403105"/>
      <w:r>
        <w:t xml:space="preserve">Define a suite of indicators rather than narrow </w:t>
      </w:r>
      <w:proofErr w:type="gramStart"/>
      <w:r>
        <w:t>targets</w:t>
      </w:r>
      <w:bookmarkEnd w:id="82"/>
      <w:proofErr w:type="gramEnd"/>
    </w:p>
    <w:p w14:paraId="4ED5339B" w14:textId="2611FD35" w:rsidR="00A56713" w:rsidRPr="00111803" w:rsidRDefault="00A56713" w:rsidP="00A56713">
      <w:pPr>
        <w:pStyle w:val="Caption"/>
      </w:pPr>
      <w:r w:rsidRPr="00666258">
        <w:t>Figure 1: Example of related indicators involving regulator activity (adapted from M.</w:t>
      </w:r>
      <w:r>
        <w:rPr>
          <w:rFonts w:ascii="Calibri" w:hAnsi="Calibri" w:cs="Calibri"/>
        </w:rPr>
        <w:t> </w:t>
      </w:r>
      <w:r w:rsidRPr="00666258">
        <w:t>Sparrow, the Regulatory Craft, p119)</w:t>
      </w:r>
    </w:p>
    <w:p w14:paraId="779D8429" w14:textId="5659AF5D" w:rsidR="00604A75" w:rsidRPr="00604A75" w:rsidRDefault="00FF59E2" w:rsidP="00604A75">
      <w:r>
        <w:rPr>
          <w:noProof/>
        </w:rPr>
        <w:drawing>
          <wp:inline distT="0" distB="0" distL="0" distR="0" wp14:anchorId="49A9714E" wp14:editId="75B0CB95">
            <wp:extent cx="5695950" cy="1371600"/>
            <wp:effectExtent l="19050" t="0" r="19050" b="19050"/>
            <wp:docPr id="1382854926"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3914004A" w14:textId="77777777" w:rsidR="005777B1" w:rsidRDefault="005777B1" w:rsidP="005777B1">
      <w:pPr>
        <w:pStyle w:val="Spacer"/>
      </w:pPr>
    </w:p>
    <w:p w14:paraId="2F2E3A89" w14:textId="54401289" w:rsidR="008530FE" w:rsidRPr="008530FE" w:rsidRDefault="008530FE" w:rsidP="008530FE">
      <w:r>
        <w:rPr>
          <w:rFonts w:ascii="VIC" w:hAnsi="VIC"/>
          <w:sz w:val="18"/>
          <w:szCs w:val="18"/>
        </w:rPr>
        <w:t xml:space="preserve">Remember </w:t>
      </w:r>
      <w:r w:rsidRPr="000E52EE">
        <w:rPr>
          <w:rFonts w:ascii="VIC" w:hAnsi="VIC"/>
          <w:sz w:val="18"/>
          <w:szCs w:val="18"/>
        </w:rPr>
        <w:t xml:space="preserve">that </w:t>
      </w:r>
      <w:r>
        <w:rPr>
          <w:rFonts w:ascii="VIC" w:hAnsi="VIC"/>
          <w:sz w:val="18"/>
          <w:szCs w:val="18"/>
        </w:rPr>
        <w:t xml:space="preserve">when building a program logic model, </w:t>
      </w:r>
      <w:r w:rsidRPr="000E52EE">
        <w:rPr>
          <w:rFonts w:ascii="VIC" w:hAnsi="VIC"/>
          <w:sz w:val="18"/>
          <w:szCs w:val="18"/>
        </w:rPr>
        <w:t xml:space="preserve">it is usually </w:t>
      </w:r>
      <w:r>
        <w:rPr>
          <w:rFonts w:ascii="VIC" w:hAnsi="VIC"/>
          <w:sz w:val="18"/>
          <w:szCs w:val="18"/>
        </w:rPr>
        <w:t xml:space="preserve">better </w:t>
      </w:r>
      <w:r w:rsidRPr="000E52EE">
        <w:rPr>
          <w:rFonts w:ascii="VIC" w:hAnsi="VIC"/>
          <w:sz w:val="18"/>
          <w:szCs w:val="18"/>
        </w:rPr>
        <w:t>to have a suite of indicators that help to provide an overview of activities and their possible effects over time, rather than setting a narrow set of indicators that act as performance targets.</w:t>
      </w:r>
    </w:p>
    <w:p w14:paraId="2DF7B092" w14:textId="6E8E5202" w:rsidR="7044F8B5" w:rsidRPr="00540C5B" w:rsidRDefault="43E6FED8" w:rsidP="00A56713">
      <w:pPr>
        <w:pStyle w:val="Heading1"/>
        <w:pageBreakBefore/>
        <w:rPr>
          <w:rFonts w:ascii="VIC" w:eastAsia="VIC" w:hAnsi="VIC" w:cs="VIC"/>
          <w:sz w:val="20"/>
          <w:szCs w:val="20"/>
        </w:rPr>
      </w:pPr>
      <w:bookmarkStart w:id="83" w:name="_Toc170403106"/>
      <w:r w:rsidRPr="000E52EE">
        <w:lastRenderedPageBreak/>
        <w:t>Appendix</w:t>
      </w:r>
      <w:r w:rsidR="671700F0" w:rsidRPr="0211BF1B">
        <w:t xml:space="preserve"> A</w:t>
      </w:r>
      <w:r w:rsidR="7044F8B5" w:rsidRPr="0211BF1B">
        <w:t>: Using program logic</w:t>
      </w:r>
      <w:r w:rsidR="003370B6">
        <w:t xml:space="preserve"> model</w:t>
      </w:r>
      <w:r w:rsidR="7044F8B5" w:rsidRPr="0211BF1B">
        <w:t xml:space="preserve">s for regulator </w:t>
      </w:r>
      <w:proofErr w:type="gramStart"/>
      <w:r w:rsidR="7044F8B5" w:rsidRPr="0211BF1B">
        <w:t>actions</w:t>
      </w:r>
      <w:bookmarkEnd w:id="83"/>
      <w:proofErr w:type="gramEnd"/>
    </w:p>
    <w:p w14:paraId="25C76BD3" w14:textId="08856395" w:rsidR="7044F8B5" w:rsidRDefault="7044F8B5" w:rsidP="00A56713">
      <w:r w:rsidRPr="0211BF1B">
        <w:t xml:space="preserve">If the regulation involves compliance requirements on industry or the community, and </w:t>
      </w:r>
      <w:proofErr w:type="spellStart"/>
      <w:r w:rsidRPr="0211BF1B">
        <w:t>regulator</w:t>
      </w:r>
      <w:proofErr w:type="spellEnd"/>
      <w:r w:rsidRPr="0211BF1B">
        <w:t xml:space="preserve"> actions to promote these, then it is often useful for your program to consider whether (alongside external factors):</w:t>
      </w:r>
    </w:p>
    <w:p w14:paraId="3FAEAD25" w14:textId="4CCE763B" w:rsidR="7044F8B5" w:rsidRDefault="7044F8B5" w:rsidP="00A56713">
      <w:pPr>
        <w:pStyle w:val="Bullet1"/>
      </w:pPr>
      <w:r w:rsidRPr="0211BF1B">
        <w:t xml:space="preserve">Regulator action is deterring regulated entities from </w:t>
      </w:r>
      <w:proofErr w:type="gramStart"/>
      <w:r w:rsidRPr="0211BF1B">
        <w:t>non-compliance</w:t>
      </w:r>
      <w:proofErr w:type="gramEnd"/>
    </w:p>
    <w:p w14:paraId="3CEA328C" w14:textId="481D15E9" w:rsidR="7044F8B5" w:rsidRDefault="00E50979" w:rsidP="00A56713">
      <w:pPr>
        <w:pStyle w:val="Bullet1"/>
      </w:pPr>
      <w:r>
        <w:t>It is easy to comply with regulations</w:t>
      </w:r>
      <w:r w:rsidR="7044F8B5" w:rsidRPr="0211BF1B">
        <w:t>.</w:t>
      </w:r>
    </w:p>
    <w:p w14:paraId="4B46DB8C" w14:textId="7962F174" w:rsidR="7044F8B5" w:rsidRDefault="7044F8B5" w:rsidP="00A56713">
      <w:r w:rsidRPr="0211BF1B">
        <w:t xml:space="preserve">These concepts tend to apply regardless of the long-term outcomes intended by the regulation (e.g. the environmental, </w:t>
      </w:r>
      <w:proofErr w:type="gramStart"/>
      <w:r w:rsidRPr="0211BF1B">
        <w:t>social</w:t>
      </w:r>
      <w:proofErr w:type="gramEnd"/>
      <w:r w:rsidRPr="0211BF1B">
        <w:t xml:space="preserve"> or economic objectives), and are linked closely to the concept of drivers of compliance.</w:t>
      </w:r>
      <w:r w:rsidRPr="0211BF1B">
        <w:rPr>
          <w:vertAlign w:val="superscript"/>
        </w:rPr>
        <w:footnoteReference w:id="2"/>
      </w:r>
      <w:r w:rsidRPr="0211BF1B">
        <w:t xml:space="preserve"> They are illustrated overleaf in figures </w:t>
      </w:r>
      <w:r w:rsidR="5C2109BA" w:rsidRPr="0211BF1B">
        <w:t>2</w:t>
      </w:r>
      <w:r w:rsidRPr="0211BF1B">
        <w:t xml:space="preserve"> and </w:t>
      </w:r>
      <w:r w:rsidR="5C2109BA" w:rsidRPr="0211BF1B">
        <w:t>3</w:t>
      </w:r>
      <w:r w:rsidR="2AB0D421" w:rsidRPr="0211BF1B">
        <w:t>,</w:t>
      </w:r>
      <w:r w:rsidRPr="0211BF1B">
        <w:t xml:space="preserve"> which show the parts of a program logic related to regulator actions and their immediate outcomes</w:t>
      </w:r>
      <w:r w:rsidR="00E1424E">
        <w:t>.</w:t>
      </w:r>
    </w:p>
    <w:p w14:paraId="380E0F20" w14:textId="0042C9F2" w:rsidR="7044F8B5" w:rsidRDefault="7044F8B5" w:rsidP="00A56713">
      <w:r w:rsidRPr="0211BF1B">
        <w:t>The figures show how regulator activities work together to achieve outcome, and why accounting for these holistically can be important. For example:</w:t>
      </w:r>
    </w:p>
    <w:p w14:paraId="6E543F36" w14:textId="55749B6A" w:rsidR="7044F8B5" w:rsidRDefault="7044F8B5" w:rsidP="00A56713">
      <w:pPr>
        <w:pStyle w:val="Bullet1"/>
      </w:pPr>
      <w:r w:rsidRPr="0211BF1B">
        <w:rPr>
          <w:b/>
          <w:bCs/>
        </w:rPr>
        <w:t xml:space="preserve">For evaluating deterrence effects: </w:t>
      </w:r>
      <w:r w:rsidRPr="0211BF1B">
        <w:t xml:space="preserve">recognise that to effectively measure a deterrence on a group of regulated entities, you need to assess both the perception that there is a credible threat of being detected, and whether there is a </w:t>
      </w:r>
      <w:r w:rsidR="00443EF9">
        <w:t xml:space="preserve">perception that the </w:t>
      </w:r>
      <w:r w:rsidRPr="0211BF1B">
        <w:t>consequences for non-compliances</w:t>
      </w:r>
      <w:r w:rsidR="00443EF9">
        <w:t xml:space="preserve"> are proportionate</w:t>
      </w:r>
      <w:r w:rsidRPr="0211BF1B">
        <w:t xml:space="preserve">. Indicators may come from </w:t>
      </w:r>
      <w:proofErr w:type="spellStart"/>
      <w:r w:rsidRPr="0211BF1B">
        <w:t>regulator</w:t>
      </w:r>
      <w:proofErr w:type="spellEnd"/>
      <w:r w:rsidRPr="0211BF1B">
        <w:t xml:space="preserve"> compliance monitoring activities (e.g. inspections) and surveys of how they are publicised and perceived.</w:t>
      </w:r>
    </w:p>
    <w:p w14:paraId="6711A5A6" w14:textId="03EBDE96" w:rsidR="7044F8B5" w:rsidRDefault="7044F8B5" w:rsidP="00A56713">
      <w:pPr>
        <w:pStyle w:val="Bullet1"/>
      </w:pPr>
      <w:r w:rsidRPr="0211BF1B">
        <w:rPr>
          <w:b/>
          <w:bCs/>
        </w:rPr>
        <w:t xml:space="preserve">For evaluating ease of compliance: </w:t>
      </w:r>
      <w:r w:rsidRPr="0211BF1B">
        <w:t>recognise that you may need to gather data on engagement activities with industry and feedback on guidance design and accessibility, combined with tracking campaigns or inspections to educate industry or assess the level of compliance, and associated perceptions of whether rules are fair, relevant to industry operations, and straightforward to follow.</w:t>
      </w:r>
    </w:p>
    <w:p w14:paraId="01E87301" w14:textId="771DE871" w:rsidR="005D6208" w:rsidRDefault="005D6208">
      <w:pPr>
        <w:spacing w:before="0" w:after="160" w:line="259" w:lineRule="auto"/>
        <w:rPr>
          <w:rFonts w:ascii="VIC" w:hAnsi="VIC"/>
          <w:sz w:val="18"/>
          <w:szCs w:val="18"/>
        </w:rPr>
      </w:pPr>
      <w:r>
        <w:rPr>
          <w:rFonts w:ascii="VIC" w:hAnsi="VIC"/>
          <w:sz w:val="18"/>
          <w:szCs w:val="18"/>
        </w:rPr>
        <w:br w:type="page"/>
      </w:r>
    </w:p>
    <w:p w14:paraId="7E98B215" w14:textId="7D31566A" w:rsidR="7044F8B5" w:rsidRDefault="7044F8B5" w:rsidP="00A56713">
      <w:pPr>
        <w:pStyle w:val="Caption"/>
      </w:pPr>
      <w:r w:rsidRPr="0211BF1B">
        <w:lastRenderedPageBreak/>
        <w:t xml:space="preserve">Figure </w:t>
      </w:r>
      <w:r w:rsidR="46013C0E" w:rsidRPr="4FA68DC5">
        <w:t>2</w:t>
      </w:r>
      <w:r w:rsidRPr="0211BF1B">
        <w:t>: Evaluating deterrence in a program logic approach (to link to outcomes)</w:t>
      </w:r>
    </w:p>
    <w:tbl>
      <w:tblPr>
        <w:tblW w:w="9090" w:type="dxa"/>
        <w:tblCellMar>
          <w:left w:w="0" w:type="dxa"/>
          <w:right w:w="0" w:type="dxa"/>
        </w:tblCellMar>
        <w:tblLook w:val="04A0" w:firstRow="1" w:lastRow="0" w:firstColumn="1" w:lastColumn="0" w:noHBand="0" w:noVBand="1"/>
      </w:tblPr>
      <w:tblGrid>
        <w:gridCol w:w="1988"/>
        <w:gridCol w:w="404"/>
        <w:gridCol w:w="1936"/>
        <w:gridCol w:w="406"/>
        <w:gridCol w:w="1867"/>
        <w:gridCol w:w="451"/>
        <w:gridCol w:w="2038"/>
      </w:tblGrid>
      <w:tr w:rsidR="00A30374" w:rsidRPr="006F38FD" w14:paraId="650F152D" w14:textId="77777777" w:rsidTr="00FC2591">
        <w:tc>
          <w:tcPr>
            <w:tcW w:w="1988" w:type="dxa"/>
            <w:shd w:val="clear" w:color="auto" w:fill="ADD9EF"/>
          </w:tcPr>
          <w:p w14:paraId="3644341C" w14:textId="77777777" w:rsidR="00796C7E" w:rsidRPr="003F3275" w:rsidRDefault="00796C7E" w:rsidP="004126A4">
            <w:pPr>
              <w:keepNext/>
              <w:ind w:right="101"/>
              <w:jc w:val="center"/>
              <w:rPr>
                <w:rFonts w:asciiTheme="majorHAnsi" w:hAnsiTheme="majorHAnsi"/>
                <w:sz w:val="14"/>
                <w:szCs w:val="14"/>
              </w:rPr>
            </w:pPr>
            <w:r w:rsidRPr="003F3275">
              <w:rPr>
                <w:rFonts w:asciiTheme="majorHAnsi" w:hAnsiTheme="majorHAnsi"/>
                <w:sz w:val="14"/>
                <w:szCs w:val="14"/>
              </w:rPr>
              <w:t>Examples of possible measures</w:t>
            </w:r>
          </w:p>
        </w:tc>
        <w:tc>
          <w:tcPr>
            <w:tcW w:w="404" w:type="dxa"/>
            <w:shd w:val="clear" w:color="auto" w:fill="auto"/>
          </w:tcPr>
          <w:p w14:paraId="718FD5EF" w14:textId="77777777" w:rsidR="00796C7E" w:rsidRPr="003F3275" w:rsidRDefault="00796C7E" w:rsidP="004126A4">
            <w:pPr>
              <w:ind w:left="135"/>
              <w:jc w:val="center"/>
              <w:rPr>
                <w:rFonts w:asciiTheme="majorHAnsi" w:hAnsiTheme="majorHAnsi"/>
                <w:sz w:val="14"/>
                <w:szCs w:val="14"/>
              </w:rPr>
            </w:pPr>
          </w:p>
        </w:tc>
        <w:tc>
          <w:tcPr>
            <w:tcW w:w="1936" w:type="dxa"/>
            <w:shd w:val="clear" w:color="auto" w:fill="74C6E8"/>
          </w:tcPr>
          <w:p w14:paraId="360F21C5" w14:textId="77777777" w:rsidR="00796C7E" w:rsidRPr="003F3275" w:rsidRDefault="00796C7E" w:rsidP="004126A4">
            <w:pPr>
              <w:ind w:left="135"/>
              <w:jc w:val="center"/>
              <w:rPr>
                <w:rFonts w:asciiTheme="majorHAnsi" w:hAnsiTheme="majorHAnsi"/>
                <w:sz w:val="14"/>
                <w:szCs w:val="14"/>
              </w:rPr>
            </w:pPr>
            <w:r w:rsidRPr="003F3275">
              <w:rPr>
                <w:rFonts w:asciiTheme="majorHAnsi" w:hAnsiTheme="majorHAnsi"/>
                <w:sz w:val="14"/>
                <w:szCs w:val="14"/>
              </w:rPr>
              <w:t>Related regulator Activities</w:t>
            </w:r>
          </w:p>
        </w:tc>
        <w:tc>
          <w:tcPr>
            <w:tcW w:w="406" w:type="dxa"/>
            <w:shd w:val="clear" w:color="auto" w:fill="auto"/>
          </w:tcPr>
          <w:p w14:paraId="7D8F446D" w14:textId="77777777" w:rsidR="00796C7E" w:rsidRPr="003F3275" w:rsidRDefault="00796C7E" w:rsidP="004126A4">
            <w:pPr>
              <w:ind w:left="135"/>
              <w:jc w:val="center"/>
              <w:rPr>
                <w:rFonts w:asciiTheme="majorHAnsi" w:hAnsiTheme="majorHAnsi"/>
                <w:sz w:val="14"/>
                <w:szCs w:val="14"/>
              </w:rPr>
            </w:pPr>
          </w:p>
        </w:tc>
        <w:tc>
          <w:tcPr>
            <w:tcW w:w="1867" w:type="dxa"/>
            <w:shd w:val="clear" w:color="auto" w:fill="66B2D2"/>
          </w:tcPr>
          <w:p w14:paraId="7C40FCD6" w14:textId="77777777" w:rsidR="00796C7E" w:rsidRPr="003F3275" w:rsidRDefault="00796C7E" w:rsidP="004126A4">
            <w:pPr>
              <w:ind w:left="135"/>
              <w:jc w:val="center"/>
              <w:rPr>
                <w:rFonts w:asciiTheme="majorHAnsi" w:hAnsiTheme="majorHAnsi"/>
                <w:sz w:val="14"/>
                <w:szCs w:val="14"/>
              </w:rPr>
            </w:pPr>
            <w:r w:rsidRPr="003F3275">
              <w:rPr>
                <w:rFonts w:asciiTheme="majorHAnsi" w:hAnsiTheme="majorHAnsi"/>
                <w:sz w:val="14"/>
                <w:szCs w:val="14"/>
              </w:rPr>
              <w:t>Drivers of the behavioural change</w:t>
            </w:r>
          </w:p>
        </w:tc>
        <w:tc>
          <w:tcPr>
            <w:tcW w:w="451" w:type="dxa"/>
            <w:shd w:val="clear" w:color="auto" w:fill="auto"/>
          </w:tcPr>
          <w:p w14:paraId="643085AA" w14:textId="77777777" w:rsidR="00796C7E" w:rsidRPr="003F3275" w:rsidRDefault="00796C7E" w:rsidP="004126A4">
            <w:pPr>
              <w:ind w:left="135"/>
              <w:jc w:val="center"/>
              <w:rPr>
                <w:rFonts w:asciiTheme="majorHAnsi" w:hAnsiTheme="majorHAnsi"/>
                <w:sz w:val="14"/>
                <w:szCs w:val="14"/>
              </w:rPr>
            </w:pPr>
          </w:p>
        </w:tc>
        <w:tc>
          <w:tcPr>
            <w:tcW w:w="2038" w:type="dxa"/>
            <w:shd w:val="clear" w:color="auto" w:fill="599DB9"/>
          </w:tcPr>
          <w:p w14:paraId="3484C890" w14:textId="77777777" w:rsidR="00796C7E" w:rsidRPr="003F3275" w:rsidRDefault="00796C7E" w:rsidP="004126A4">
            <w:pPr>
              <w:ind w:left="135"/>
              <w:jc w:val="center"/>
              <w:rPr>
                <w:rFonts w:asciiTheme="majorHAnsi" w:hAnsiTheme="majorHAnsi"/>
                <w:sz w:val="14"/>
                <w:szCs w:val="14"/>
              </w:rPr>
            </w:pPr>
            <w:r w:rsidRPr="003F3275">
              <w:rPr>
                <w:rFonts w:asciiTheme="majorHAnsi" w:hAnsiTheme="majorHAnsi"/>
                <w:sz w:val="14"/>
                <w:szCs w:val="14"/>
              </w:rPr>
              <w:t>Intended behavioural change</w:t>
            </w:r>
          </w:p>
        </w:tc>
      </w:tr>
    </w:tbl>
    <w:p w14:paraId="0EAC4986" w14:textId="5A8F90CF" w:rsidR="00796C7E" w:rsidRDefault="00796C7E" w:rsidP="00456486">
      <w:pPr>
        <w:pStyle w:val="Spacer"/>
      </w:pPr>
    </w:p>
    <w:p w14:paraId="028D5BEC" w14:textId="77777777" w:rsidR="00796C7E" w:rsidRDefault="00796C7E" w:rsidP="00FC2591">
      <w:pPr>
        <w:spacing w:before="0"/>
        <w:ind w:left="-14"/>
      </w:pPr>
      <w:r>
        <w:rPr>
          <w:noProof/>
        </w:rPr>
        <w:drawing>
          <wp:inline distT="0" distB="0" distL="0" distR="0" wp14:anchorId="040C0FBB" wp14:editId="5DC425BE">
            <wp:extent cx="5737058" cy="3200400"/>
            <wp:effectExtent l="0" t="0" r="16510" b="1905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14:paraId="22A4CBC4" w14:textId="29B7D156" w:rsidR="0094046C" w:rsidRDefault="0094046C" w:rsidP="00796C7E"/>
    <w:p w14:paraId="726DBC74" w14:textId="77777777" w:rsidR="00AA4CE7" w:rsidRDefault="00AA4CE7" w:rsidP="00AA4CE7">
      <w:pPr>
        <w:pStyle w:val="Caption"/>
        <w:spacing w:after="0"/>
      </w:pPr>
      <w:r w:rsidRPr="0211BF1B">
        <w:t xml:space="preserve">Figure </w:t>
      </w:r>
      <w:r w:rsidRPr="4FA68DC5">
        <w:t>3</w:t>
      </w:r>
      <w:r w:rsidRPr="0211BF1B">
        <w:t>: Evaluating improved performance in a program logic approach (to link to outcomes)</w:t>
      </w:r>
    </w:p>
    <w:p w14:paraId="76E3A5B9" w14:textId="77777777" w:rsidR="00AA4CE7" w:rsidRDefault="00AA4CE7" w:rsidP="00AA4CE7">
      <w:pPr>
        <w:spacing w:before="0"/>
      </w:pPr>
      <w:r>
        <w:rPr>
          <w:noProof/>
        </w:rPr>
        <w:drawing>
          <wp:inline distT="0" distB="0" distL="0" distR="0" wp14:anchorId="1659A684" wp14:editId="0855D69F">
            <wp:extent cx="5486400" cy="2662084"/>
            <wp:effectExtent l="38100" t="0" r="19050" b="0"/>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14:paraId="24DD4FBE" w14:textId="77777777" w:rsidR="00796C7E" w:rsidRDefault="00796C7E" w:rsidP="00796C7E"/>
    <w:p w14:paraId="5BF742B1" w14:textId="7BAA921E" w:rsidR="00EA59F0" w:rsidRPr="000E52EE" w:rsidRDefault="43E6FED8" w:rsidP="00AA4CE7">
      <w:pPr>
        <w:pStyle w:val="Heading1"/>
      </w:pPr>
      <w:bookmarkStart w:id="84" w:name="_Toc1013241878"/>
      <w:bookmarkStart w:id="85" w:name="_Toc170403107"/>
      <w:r w:rsidRPr="0211BF1B">
        <w:lastRenderedPageBreak/>
        <w:t>Appendix</w:t>
      </w:r>
      <w:r w:rsidR="3300C78D" w:rsidRPr="0211BF1B">
        <w:t xml:space="preserve"> B</w:t>
      </w:r>
      <w:r w:rsidRPr="000E52EE">
        <w:t>: S</w:t>
      </w:r>
      <w:r w:rsidR="00EA59F0" w:rsidRPr="000E52EE">
        <w:t xml:space="preserve">ocial research </w:t>
      </w:r>
      <w:r w:rsidR="529379C7" w:rsidRPr="000E52EE">
        <w:t>of regulated entities</w:t>
      </w:r>
      <w:bookmarkEnd w:id="84"/>
      <w:bookmarkEnd w:id="85"/>
    </w:p>
    <w:p w14:paraId="021E5C23" w14:textId="15131714" w:rsidR="00EA59F0" w:rsidRPr="000E52EE" w:rsidRDefault="00EA59F0" w:rsidP="00DD74B0">
      <w:pPr>
        <w:keepNext/>
        <w:rPr>
          <w:color w:val="000000"/>
        </w:rPr>
      </w:pPr>
      <w:r w:rsidRPr="31FD5AD6">
        <w:t xml:space="preserve">Social research, whether in forums, </w:t>
      </w:r>
      <w:proofErr w:type="gramStart"/>
      <w:r w:rsidRPr="31FD5AD6">
        <w:t>surveys</w:t>
      </w:r>
      <w:proofErr w:type="gramEnd"/>
      <w:r w:rsidRPr="31FD5AD6">
        <w:t xml:space="preserve"> or interaction specific ‘polling’</w:t>
      </w:r>
      <w:r w:rsidR="00F771F3" w:rsidRPr="31FD5AD6">
        <w:t>,</w:t>
      </w:r>
      <w:r w:rsidRPr="31FD5AD6">
        <w:t xml:space="preserve"> is a key tool that may provide insights into the behavioural factors that motivate compliance or non-compliance. </w:t>
      </w:r>
    </w:p>
    <w:p w14:paraId="61C15E44" w14:textId="1F6060BF" w:rsidR="00EA59F0" w:rsidRPr="000E52EE" w:rsidRDefault="00EA59F0" w:rsidP="00DD74B0">
      <w:pPr>
        <w:rPr>
          <w:color w:val="000000"/>
        </w:rPr>
      </w:pPr>
      <w:r w:rsidRPr="31FD5AD6">
        <w:t xml:space="preserve">Many evaluation strategies of regulatory performance will survey </w:t>
      </w:r>
      <w:proofErr w:type="gramStart"/>
      <w:r w:rsidRPr="31FD5AD6">
        <w:t>those subject</w:t>
      </w:r>
      <w:proofErr w:type="gramEnd"/>
      <w:r w:rsidRPr="31FD5AD6">
        <w:t xml:space="preserve"> to a set of rules to understand their perspectives</w:t>
      </w:r>
      <w:r w:rsidR="69824F83" w:rsidRPr="31FD5AD6">
        <w:t xml:space="preserve"> (regulated entities, or ‘duty holders’)</w:t>
      </w:r>
      <w:r w:rsidRPr="31FD5AD6">
        <w:t xml:space="preserve">. </w:t>
      </w:r>
    </w:p>
    <w:p w14:paraId="524A2F58" w14:textId="11FBBE0A" w:rsidR="00EA59F0" w:rsidRPr="000E52EE" w:rsidRDefault="00EA59F0" w:rsidP="00DD74B0">
      <w:pPr>
        <w:rPr>
          <w:color w:val="000000"/>
        </w:rPr>
      </w:pPr>
      <w:r w:rsidRPr="31FD5AD6">
        <w:t xml:space="preserve">The following attitude/compliance and experience of regulation questions are examples that may support </w:t>
      </w:r>
      <w:r w:rsidR="777A6FC3" w:rsidRPr="31FD5AD6">
        <w:t xml:space="preserve">social </w:t>
      </w:r>
      <w:r w:rsidRPr="31FD5AD6">
        <w:t>research. It is important to note that the evaluation strategy</w:t>
      </w:r>
      <w:r w:rsidR="1379E3ED" w:rsidRPr="31FD5AD6">
        <w:t>, via the program logic and key evaluation questions,</w:t>
      </w:r>
      <w:r w:rsidRPr="31FD5AD6">
        <w:t xml:space="preserve"> should consider how to link the responses to these questions to the expected effects and impacts of the </w:t>
      </w:r>
      <w:r w:rsidR="44363731" w:rsidRPr="31FD5AD6">
        <w:t>regulation</w:t>
      </w:r>
      <w:r w:rsidR="261D4C1B" w:rsidRPr="31FD5AD6">
        <w:t xml:space="preserve">, and the </w:t>
      </w:r>
      <w:r w:rsidR="008D39A9" w:rsidRPr="31FD5AD6">
        <w:t>regulator’s</w:t>
      </w:r>
      <w:r w:rsidR="261D4C1B" w:rsidRPr="31FD5AD6">
        <w:t xml:space="preserve"> activities</w:t>
      </w:r>
      <w:r w:rsidRPr="31FD5AD6">
        <w:t xml:space="preserve">. </w:t>
      </w:r>
    </w:p>
    <w:p w14:paraId="03072F3F" w14:textId="77777777" w:rsidR="00EA59F0" w:rsidRPr="000E52EE" w:rsidRDefault="00EA59F0" w:rsidP="00DD74B0">
      <w:pPr>
        <w:rPr>
          <w:color w:val="000000"/>
        </w:rPr>
      </w:pPr>
      <w:r w:rsidRPr="31FD5AD6">
        <w:t>Meaningful social research relies on a research design that considers:</w:t>
      </w:r>
    </w:p>
    <w:p w14:paraId="45AC230F" w14:textId="77777777" w:rsidR="00EA59F0" w:rsidRPr="000E52EE" w:rsidRDefault="00EA59F0" w:rsidP="00DD74B0">
      <w:pPr>
        <w:pStyle w:val="Bullet1"/>
        <w:rPr>
          <w:rFonts w:ascii="Calibri" w:hAnsi="Calibri"/>
          <w:color w:val="000000"/>
        </w:rPr>
      </w:pPr>
      <w:r w:rsidRPr="31FD5AD6">
        <w:t>what to ask, who to ask, and how to ask them</w:t>
      </w:r>
    </w:p>
    <w:p w14:paraId="77C9BF81" w14:textId="77777777" w:rsidR="00EA59F0" w:rsidRPr="000E52EE" w:rsidRDefault="00EA59F0" w:rsidP="00DD74B0">
      <w:pPr>
        <w:pStyle w:val="Bullet1"/>
        <w:rPr>
          <w:rFonts w:ascii="Calibri" w:hAnsi="Calibri"/>
          <w:color w:val="000000"/>
        </w:rPr>
      </w:pPr>
      <w:r w:rsidRPr="31FD5AD6">
        <w:t xml:space="preserve">the representativeness of the sample of people/businesses surveyed, and the ability to generalise from it (infer validity of the results to a larger population) </w:t>
      </w:r>
    </w:p>
    <w:p w14:paraId="11C4AC88" w14:textId="77777777" w:rsidR="00EA59F0" w:rsidRPr="000E52EE" w:rsidRDefault="00EA59F0" w:rsidP="00DD74B0">
      <w:pPr>
        <w:pStyle w:val="Bullet1"/>
        <w:rPr>
          <w:rFonts w:ascii="Calibri" w:hAnsi="Calibri"/>
          <w:color w:val="000000"/>
        </w:rPr>
      </w:pPr>
      <w:r w:rsidRPr="31FD5AD6">
        <w:t xml:space="preserve">possible errors and biases in results that come from how questions are asked and who participates. </w:t>
      </w:r>
    </w:p>
    <w:p w14:paraId="411B89D7" w14:textId="757B27E4" w:rsidR="00EA59F0" w:rsidRPr="000E52EE" w:rsidRDefault="00EA59F0" w:rsidP="00DD74B0">
      <w:pPr>
        <w:rPr>
          <w:color w:val="000000"/>
        </w:rPr>
      </w:pPr>
      <w:r w:rsidRPr="31FD5AD6">
        <w:t xml:space="preserve">This </w:t>
      </w:r>
      <w:r w:rsidR="001F3E8B">
        <w:t>may</w:t>
      </w:r>
      <w:r w:rsidRPr="31FD5AD6">
        <w:t xml:space="preserve"> require the expertise of social scientists, who can advise on design and different methods for collecting evidence, including dedicated research, or gathering views as part of normal interactions with regulated parties.</w:t>
      </w:r>
    </w:p>
    <w:p w14:paraId="5883CBEE" w14:textId="34B76E09" w:rsidR="00EA59F0" w:rsidRPr="000E52EE" w:rsidRDefault="00EA59F0" w:rsidP="00DD74B0">
      <w:pPr>
        <w:rPr>
          <w:color w:val="000000"/>
        </w:rPr>
      </w:pPr>
      <w:r w:rsidRPr="31FD5AD6">
        <w:t xml:space="preserve">While social research plays an important part in the evaluation strategy, </w:t>
      </w:r>
      <w:r w:rsidR="72162056" w:rsidRPr="31FD5AD6">
        <w:t>efforts</w:t>
      </w:r>
      <w:r w:rsidRPr="31FD5AD6">
        <w:t xml:space="preserve"> </w:t>
      </w:r>
      <w:r w:rsidR="72162056" w:rsidRPr="31FD5AD6">
        <w:t xml:space="preserve">and costs incurred </w:t>
      </w:r>
      <w:r w:rsidRPr="31FD5AD6">
        <w:t xml:space="preserve">should be </w:t>
      </w:r>
      <w:r w:rsidR="72162056" w:rsidRPr="31FD5AD6">
        <w:t>proportionate to the regulations</w:t>
      </w:r>
      <w:r w:rsidRPr="31FD5AD6">
        <w:t xml:space="preserve">. </w:t>
      </w:r>
      <w:r w:rsidR="67A91017" w:rsidRPr="31FD5AD6">
        <w:t>Sometimes, the research for the regulations can be integrated with other social research such as regulator-driven surveys, or other industry surveys.</w:t>
      </w:r>
    </w:p>
    <w:p w14:paraId="4984FEFC" w14:textId="46A052D6" w:rsidR="00EA59F0" w:rsidRPr="000E52EE" w:rsidRDefault="35211FBD" w:rsidP="00DD74B0">
      <w:r w:rsidRPr="000E52EE">
        <w:t>If your evaluation incorporates</w:t>
      </w:r>
      <w:r w:rsidR="00EA59F0" w:rsidRPr="000E52EE">
        <w:t xml:space="preserve"> social research to examine the d</w:t>
      </w:r>
      <w:r w:rsidR="122932B9" w:rsidRPr="000E52EE">
        <w:t xml:space="preserve">rivers </w:t>
      </w:r>
      <w:r w:rsidR="00EA59F0" w:rsidRPr="000E52EE">
        <w:t xml:space="preserve">of compliance, </w:t>
      </w:r>
      <w:r w:rsidR="03B080B7" w:rsidRPr="000E52EE">
        <w:t xml:space="preserve">it can draw from </w:t>
      </w:r>
      <w:r w:rsidR="005857CF">
        <w:t xml:space="preserve">the </w:t>
      </w:r>
      <w:r w:rsidR="007A719F">
        <w:t xml:space="preserve">questions and </w:t>
      </w:r>
      <w:r w:rsidR="00EA59F0" w:rsidRPr="000E52EE">
        <w:t xml:space="preserve">statements </w:t>
      </w:r>
      <w:r w:rsidR="007A719F">
        <w:t>below</w:t>
      </w:r>
      <w:r w:rsidR="00EA59F0" w:rsidRPr="000E52EE">
        <w:t xml:space="preserve">. </w:t>
      </w:r>
      <w:r w:rsidR="005C4731" w:rsidRPr="000E52EE">
        <w:t>Responses to these questions may help you establish a problem definition or determine a cause of low rates of compliance.</w:t>
      </w:r>
      <w:r w:rsidR="005C4731">
        <w:t xml:space="preserve"> </w:t>
      </w:r>
      <w:r w:rsidR="00EA59F0" w:rsidRPr="000E52EE">
        <w:t>The</w:t>
      </w:r>
      <w:r w:rsidR="00181313">
        <w:t xml:space="preserve"> </w:t>
      </w:r>
      <w:r w:rsidR="00EA59F0" w:rsidRPr="000E52EE">
        <w:t xml:space="preserve">statements </w:t>
      </w:r>
      <w:r w:rsidR="00181313">
        <w:t>below about the experience of regulat</w:t>
      </w:r>
      <w:r w:rsidR="009F2255">
        <w:t xml:space="preserve">ed parties </w:t>
      </w:r>
      <w:r w:rsidR="00FD588B">
        <w:t xml:space="preserve">may </w:t>
      </w:r>
      <w:r w:rsidR="000D359B">
        <w:t xml:space="preserve">also be helpful to </w:t>
      </w:r>
      <w:r w:rsidR="00EA59F0" w:rsidRPr="000E52EE">
        <w:t>understand the behavioural factors that motivate compliance or non-compliance</w:t>
      </w:r>
      <w:r w:rsidR="191FDF3A" w:rsidRPr="000E52EE">
        <w:t>, and the influence of regulator activities on compliance</w:t>
      </w:r>
      <w:r w:rsidR="00EA59F0" w:rsidRPr="000E52EE">
        <w:t xml:space="preserve">. </w:t>
      </w:r>
    </w:p>
    <w:p w14:paraId="346DB911" w14:textId="0F96B5F6" w:rsidR="006F492A" w:rsidRDefault="006F492A" w:rsidP="00430DF1">
      <w:pPr>
        <w:jc w:val="center"/>
      </w:pPr>
    </w:p>
    <w:tbl>
      <w:tblPr>
        <w:tblStyle w:val="Texttable"/>
        <w:tblW w:w="0" w:type="auto"/>
        <w:tblLook w:val="06A0" w:firstRow="1" w:lastRow="0" w:firstColumn="1" w:lastColumn="0" w:noHBand="1" w:noVBand="1"/>
      </w:tblPr>
      <w:tblGrid>
        <w:gridCol w:w="2358"/>
        <w:gridCol w:w="6642"/>
      </w:tblGrid>
      <w:tr w:rsidR="00477A7E" w:rsidRPr="00C95593" w14:paraId="7F977154" w14:textId="77777777" w:rsidTr="004126A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358" w:type="dxa"/>
          </w:tcPr>
          <w:p w14:paraId="44718EB8" w14:textId="77777777" w:rsidR="00477A7E" w:rsidRPr="00C95593" w:rsidRDefault="00477A7E" w:rsidP="004126A4">
            <w:pPr>
              <w:pStyle w:val="Spacer"/>
              <w:spacing w:line="240" w:lineRule="auto"/>
              <w:rPr>
                <w:sz w:val="2"/>
              </w:rPr>
            </w:pPr>
          </w:p>
        </w:tc>
        <w:tc>
          <w:tcPr>
            <w:tcW w:w="6642" w:type="dxa"/>
          </w:tcPr>
          <w:p w14:paraId="537D0E39" w14:textId="77777777" w:rsidR="00477A7E" w:rsidRPr="00C95593" w:rsidRDefault="00477A7E" w:rsidP="004126A4">
            <w:pPr>
              <w:pStyle w:val="Spacer"/>
              <w:spacing w:line="240" w:lineRule="auto"/>
              <w:cnfStyle w:val="100000000000" w:firstRow="1" w:lastRow="0" w:firstColumn="0" w:lastColumn="0" w:oddVBand="0" w:evenVBand="0" w:oddHBand="0" w:evenHBand="0" w:firstRowFirstColumn="0" w:firstRowLastColumn="0" w:lastRowFirstColumn="0" w:lastRowLastColumn="0"/>
              <w:rPr>
                <w:rFonts w:ascii="VIC" w:hAnsi="VIC"/>
                <w:sz w:val="2"/>
                <w:szCs w:val="18"/>
              </w:rPr>
            </w:pPr>
          </w:p>
        </w:tc>
      </w:tr>
      <w:tr w:rsidR="00F9301B" w:rsidRPr="000E52EE" w14:paraId="332BD80B" w14:textId="77777777" w:rsidTr="004126A4">
        <w:tc>
          <w:tcPr>
            <w:cnfStyle w:val="001000000000" w:firstRow="0" w:lastRow="0" w:firstColumn="1" w:lastColumn="0" w:oddVBand="0" w:evenVBand="0" w:oddHBand="0" w:evenHBand="0" w:firstRowFirstColumn="0" w:firstRowLastColumn="0" w:lastRowFirstColumn="0" w:lastRowLastColumn="0"/>
            <w:tcW w:w="2358" w:type="dxa"/>
          </w:tcPr>
          <w:p w14:paraId="6FE38E70" w14:textId="4216E9EE" w:rsidR="00F9301B" w:rsidRPr="00C95593" w:rsidRDefault="00F9301B" w:rsidP="005B4155">
            <w:pPr>
              <w:pStyle w:val="Tabletextbold"/>
            </w:pPr>
            <w:r w:rsidRPr="000E52EE">
              <w:t>Compliance and regulator performance (expressed in ‘agreement with statement’ scale)</w:t>
            </w:r>
          </w:p>
        </w:tc>
        <w:tc>
          <w:tcPr>
            <w:tcW w:w="6642" w:type="dxa"/>
          </w:tcPr>
          <w:p w14:paraId="04191A2B" w14:textId="77777777" w:rsidR="00F9301B" w:rsidRPr="000E52EE" w:rsidRDefault="00F9301B" w:rsidP="00F9301B">
            <w:pPr>
              <w:pStyle w:val="Tablebullet"/>
              <w:cnfStyle w:val="000000000000" w:firstRow="0" w:lastRow="0" w:firstColumn="0" w:lastColumn="0" w:oddVBand="0" w:evenVBand="0" w:oddHBand="0" w:evenHBand="0" w:firstRowFirstColumn="0" w:firstRowLastColumn="0" w:lastRowFirstColumn="0" w:lastRowLastColumn="0"/>
            </w:pPr>
            <w:r w:rsidRPr="31FD5AD6">
              <w:t>Regulator inspections occur so rarely that [I/my] business is not very concerned about breaking [rule]</w:t>
            </w:r>
          </w:p>
          <w:p w14:paraId="520D9AC4" w14:textId="77777777" w:rsidR="00F9301B" w:rsidRPr="000E52EE" w:rsidRDefault="00F9301B" w:rsidP="00F9301B">
            <w:pPr>
              <w:pStyle w:val="Tablebullet"/>
              <w:cnfStyle w:val="000000000000" w:firstRow="0" w:lastRow="0" w:firstColumn="0" w:lastColumn="0" w:oddVBand="0" w:evenVBand="0" w:oddHBand="0" w:evenHBand="0" w:firstRowFirstColumn="0" w:firstRowLastColumn="0" w:lastRowFirstColumn="0" w:lastRowLastColumn="0"/>
            </w:pPr>
            <w:r w:rsidRPr="31FD5AD6">
              <w:t>It is hard for [regulator] to detect when I am [breaking rule]</w:t>
            </w:r>
          </w:p>
          <w:p w14:paraId="6EF7456A" w14:textId="77777777" w:rsidR="00F9301B" w:rsidRPr="000E52EE" w:rsidRDefault="00F9301B" w:rsidP="00F9301B">
            <w:pPr>
              <w:pStyle w:val="Tablebullet"/>
              <w:cnfStyle w:val="000000000000" w:firstRow="0" w:lastRow="0" w:firstColumn="0" w:lastColumn="0" w:oddVBand="0" w:evenVBand="0" w:oddHBand="0" w:evenHBand="0" w:firstRowFirstColumn="0" w:firstRowLastColumn="0" w:lastRowFirstColumn="0" w:lastRowLastColumn="0"/>
            </w:pPr>
            <w:r w:rsidRPr="31FD5AD6">
              <w:t>It is easy to [break rule] of the [legislation] without knowing [it/that I have]</w:t>
            </w:r>
          </w:p>
          <w:p w14:paraId="1F2EE926" w14:textId="77777777" w:rsidR="00F9301B" w:rsidRPr="000E52EE" w:rsidRDefault="00F9301B" w:rsidP="00F9301B">
            <w:pPr>
              <w:pStyle w:val="Tablebullet"/>
              <w:cnfStyle w:val="000000000000" w:firstRow="0" w:lastRow="0" w:firstColumn="0" w:lastColumn="0" w:oddVBand="0" w:evenVBand="0" w:oddHBand="0" w:evenHBand="0" w:firstRowFirstColumn="0" w:firstRowLastColumn="0" w:lastRowFirstColumn="0" w:lastRowLastColumn="0"/>
            </w:pPr>
            <w:r w:rsidRPr="31FD5AD6">
              <w:t xml:space="preserve">[In my organisation] complying with [legislation/rule] is not given a high </w:t>
            </w:r>
            <w:proofErr w:type="gramStart"/>
            <w:r w:rsidRPr="31FD5AD6">
              <w:t>priority</w:t>
            </w:r>
            <w:proofErr w:type="gramEnd"/>
          </w:p>
          <w:p w14:paraId="65B3112C" w14:textId="77777777" w:rsidR="00F9301B" w:rsidRPr="000E52EE" w:rsidRDefault="00F9301B" w:rsidP="00F9301B">
            <w:pPr>
              <w:pStyle w:val="Tablebullet"/>
              <w:cnfStyle w:val="000000000000" w:firstRow="0" w:lastRow="0" w:firstColumn="0" w:lastColumn="0" w:oddVBand="0" w:evenVBand="0" w:oddHBand="0" w:evenHBand="0" w:firstRowFirstColumn="0" w:firstRowLastColumn="0" w:lastRowFirstColumn="0" w:lastRowLastColumn="0"/>
            </w:pPr>
            <w:r w:rsidRPr="31FD5AD6">
              <w:t xml:space="preserve">Even if [regulator] noticed that we had [broken rules], they wouldn't be able to make [me/us] do anything about </w:t>
            </w:r>
            <w:proofErr w:type="gramStart"/>
            <w:r w:rsidRPr="31FD5AD6">
              <w:t>it</w:t>
            </w:r>
            <w:proofErr w:type="gramEnd"/>
          </w:p>
          <w:p w14:paraId="21A6B1EF" w14:textId="77777777" w:rsidR="00F9301B" w:rsidRPr="000E52EE" w:rsidRDefault="00F9301B" w:rsidP="00F9301B">
            <w:pPr>
              <w:pStyle w:val="Tablebullet"/>
              <w:cnfStyle w:val="000000000000" w:firstRow="0" w:lastRow="0" w:firstColumn="0" w:lastColumn="0" w:oddVBand="0" w:evenVBand="0" w:oddHBand="0" w:evenHBand="0" w:firstRowFirstColumn="0" w:firstRowLastColumn="0" w:lastRowFirstColumn="0" w:lastRowLastColumn="0"/>
            </w:pPr>
            <w:r w:rsidRPr="31FD5AD6">
              <w:t xml:space="preserve">The punishments for breaking [rules] aren't strong enough to stop [others/businesses] from breaking the </w:t>
            </w:r>
            <w:proofErr w:type="gramStart"/>
            <w:r w:rsidRPr="31FD5AD6">
              <w:t>laws</w:t>
            </w:r>
            <w:proofErr w:type="gramEnd"/>
          </w:p>
          <w:p w14:paraId="1304D559" w14:textId="77777777" w:rsidR="00F9301B" w:rsidRPr="000E52EE" w:rsidRDefault="00F9301B" w:rsidP="00F9301B">
            <w:pPr>
              <w:pStyle w:val="Tablebullet"/>
              <w:cnfStyle w:val="000000000000" w:firstRow="0" w:lastRow="0" w:firstColumn="0" w:lastColumn="0" w:oddVBand="0" w:evenVBand="0" w:oddHBand="0" w:evenHBand="0" w:firstRowFirstColumn="0" w:firstRowLastColumn="0" w:lastRowFirstColumn="0" w:lastRowLastColumn="0"/>
            </w:pPr>
            <w:r w:rsidRPr="31FD5AD6">
              <w:t>[Regulator] will hold you to account for the [offences you commit/harms you cause]</w:t>
            </w:r>
          </w:p>
          <w:p w14:paraId="3B7981A9" w14:textId="77777777" w:rsidR="00F9301B" w:rsidRPr="000E52EE" w:rsidRDefault="00F9301B" w:rsidP="00F9301B">
            <w:pPr>
              <w:pStyle w:val="Tablebullet"/>
              <w:cnfStyle w:val="000000000000" w:firstRow="0" w:lastRow="0" w:firstColumn="0" w:lastColumn="0" w:oddVBand="0" w:evenVBand="0" w:oddHBand="0" w:evenHBand="0" w:firstRowFirstColumn="0" w:firstRowLastColumn="0" w:lastRowFirstColumn="0" w:lastRowLastColumn="0"/>
            </w:pPr>
            <w:r w:rsidRPr="31FD5AD6">
              <w:t>It is easy to get information about [laws/rules]</w:t>
            </w:r>
          </w:p>
          <w:p w14:paraId="3F70116D" w14:textId="77777777" w:rsidR="00F9301B" w:rsidRPr="000E52EE" w:rsidRDefault="00F9301B" w:rsidP="00F9301B">
            <w:pPr>
              <w:pStyle w:val="Tablebullet"/>
              <w:cnfStyle w:val="000000000000" w:firstRow="0" w:lastRow="0" w:firstColumn="0" w:lastColumn="0" w:oddVBand="0" w:evenVBand="0" w:oddHBand="0" w:evenHBand="0" w:firstRowFirstColumn="0" w:firstRowLastColumn="0" w:lastRowFirstColumn="0" w:lastRowLastColumn="0"/>
            </w:pPr>
            <w:r w:rsidRPr="31FD5AD6">
              <w:t>[Local community/users/customers / affected people] are likely to report businesses in my sector who [break rules]</w:t>
            </w:r>
          </w:p>
          <w:p w14:paraId="4959650E" w14:textId="77777777" w:rsidR="00F9301B" w:rsidRPr="000E52EE" w:rsidRDefault="00F9301B" w:rsidP="00F9301B">
            <w:pPr>
              <w:pStyle w:val="Tablebullet"/>
              <w:cnfStyle w:val="000000000000" w:firstRow="0" w:lastRow="0" w:firstColumn="0" w:lastColumn="0" w:oddVBand="0" w:evenVBand="0" w:oddHBand="0" w:evenHBand="0" w:firstRowFirstColumn="0" w:firstRowLastColumn="0" w:lastRowFirstColumn="0" w:lastRowLastColumn="0"/>
            </w:pPr>
            <w:r w:rsidRPr="31FD5AD6">
              <w:t xml:space="preserve">Employees in my organisation (who need to know) are clear about how [laws/rules] </w:t>
            </w:r>
            <w:proofErr w:type="gramStart"/>
            <w:r w:rsidRPr="31FD5AD6">
              <w:t>apply</w:t>
            </w:r>
            <w:proofErr w:type="gramEnd"/>
          </w:p>
          <w:p w14:paraId="60B5A29A" w14:textId="0586977E" w:rsidR="00F9301B" w:rsidRPr="000E52EE" w:rsidRDefault="00F9301B" w:rsidP="00F9301B">
            <w:pPr>
              <w:pStyle w:val="Tablebullet"/>
              <w:cnfStyle w:val="000000000000" w:firstRow="0" w:lastRow="0" w:firstColumn="0" w:lastColumn="0" w:oddVBand="0" w:evenVBand="0" w:oddHBand="0" w:evenHBand="0" w:firstRowFirstColumn="0" w:firstRowLastColumn="0" w:lastRowFirstColumn="0" w:lastRowLastColumn="0"/>
            </w:pPr>
            <w:r w:rsidRPr="31FD5AD6">
              <w:t xml:space="preserve">[Regulator] </w:t>
            </w:r>
            <w:proofErr w:type="gramStart"/>
            <w:r w:rsidRPr="31FD5AD6">
              <w:t>has</w:t>
            </w:r>
            <w:proofErr w:type="gramEnd"/>
            <w:r w:rsidRPr="31FD5AD6">
              <w:t xml:space="preserve"> a long history of systematically targeting its inspections at businesses in my industry</w:t>
            </w:r>
          </w:p>
        </w:tc>
      </w:tr>
      <w:tr w:rsidR="00F9301B" w:rsidRPr="000E52EE" w14:paraId="4CA1A313" w14:textId="77777777" w:rsidTr="004126A4">
        <w:tc>
          <w:tcPr>
            <w:cnfStyle w:val="001000000000" w:firstRow="0" w:lastRow="0" w:firstColumn="1" w:lastColumn="0" w:oddVBand="0" w:evenVBand="0" w:oddHBand="0" w:evenHBand="0" w:firstRowFirstColumn="0" w:firstRowLastColumn="0" w:lastRowFirstColumn="0" w:lastRowLastColumn="0"/>
            <w:tcW w:w="2358" w:type="dxa"/>
          </w:tcPr>
          <w:p w14:paraId="3EDA9224" w14:textId="529359B4" w:rsidR="00F9301B" w:rsidRPr="000E52EE" w:rsidRDefault="00F9301B" w:rsidP="005B4155">
            <w:pPr>
              <w:pStyle w:val="Tabletextbold"/>
            </w:pPr>
            <w:r w:rsidRPr="000E52EE">
              <w:t>Views of regulatory regime</w:t>
            </w:r>
          </w:p>
        </w:tc>
        <w:tc>
          <w:tcPr>
            <w:tcW w:w="6642" w:type="dxa"/>
          </w:tcPr>
          <w:p w14:paraId="79E53DF5" w14:textId="77777777" w:rsidR="00F9301B" w:rsidRPr="000E52EE" w:rsidRDefault="00F9301B" w:rsidP="00F9301B">
            <w:pPr>
              <w:pStyle w:val="Tablebullet"/>
              <w:cnfStyle w:val="000000000000" w:firstRow="0" w:lastRow="0" w:firstColumn="0" w:lastColumn="0" w:oddVBand="0" w:evenVBand="0" w:oddHBand="0" w:evenHBand="0" w:firstRowFirstColumn="0" w:firstRowLastColumn="0" w:lastRowFirstColumn="0" w:lastRowLastColumn="0"/>
            </w:pPr>
            <w:r w:rsidRPr="31FD5AD6">
              <w:t>Are [regulator] requirements</w:t>
            </w:r>
            <w:r w:rsidRPr="31FD5AD6" w:rsidDel="00B83B4E">
              <w:t xml:space="preserve"> </w:t>
            </w:r>
            <w:r w:rsidRPr="31FD5AD6">
              <w:t>proportionate to the [class/type] of risk?</w:t>
            </w:r>
          </w:p>
          <w:p w14:paraId="62255102" w14:textId="6A86CB99" w:rsidR="00F9301B" w:rsidRPr="31FD5AD6" w:rsidRDefault="00F9301B" w:rsidP="00F9301B">
            <w:pPr>
              <w:pStyle w:val="Tablebullet"/>
              <w:cnfStyle w:val="000000000000" w:firstRow="0" w:lastRow="0" w:firstColumn="0" w:lastColumn="0" w:oddVBand="0" w:evenVBand="0" w:oddHBand="0" w:evenHBand="0" w:firstRowFirstColumn="0" w:firstRowLastColumn="0" w:lastRowFirstColumn="0" w:lastRowLastColumn="0"/>
            </w:pPr>
            <w:r w:rsidRPr="31FD5AD6">
              <w:t>Do [regulator] [licence</w:t>
            </w:r>
            <w:r>
              <w:t>/</w:t>
            </w:r>
            <w:r w:rsidRPr="31FD5AD6">
              <w:t>permit/approval] requirements drive adoption of best practice?</w:t>
            </w:r>
          </w:p>
        </w:tc>
      </w:tr>
      <w:tr w:rsidR="00F9301B" w:rsidRPr="000E52EE" w14:paraId="5B69EDE3" w14:textId="77777777" w:rsidTr="004126A4">
        <w:tc>
          <w:tcPr>
            <w:cnfStyle w:val="001000000000" w:firstRow="0" w:lastRow="0" w:firstColumn="1" w:lastColumn="0" w:oddVBand="0" w:evenVBand="0" w:oddHBand="0" w:evenHBand="0" w:firstRowFirstColumn="0" w:firstRowLastColumn="0" w:lastRowFirstColumn="0" w:lastRowLastColumn="0"/>
            <w:tcW w:w="2358" w:type="dxa"/>
          </w:tcPr>
          <w:p w14:paraId="64D737C4" w14:textId="42602D5B" w:rsidR="00F9301B" w:rsidRPr="000E52EE" w:rsidRDefault="00F9301B" w:rsidP="005B4155">
            <w:pPr>
              <w:pStyle w:val="Tabletextbold"/>
            </w:pPr>
            <w:r w:rsidRPr="000E52EE">
              <w:t xml:space="preserve">Views of being compliant </w:t>
            </w:r>
          </w:p>
        </w:tc>
        <w:tc>
          <w:tcPr>
            <w:tcW w:w="6642" w:type="dxa"/>
          </w:tcPr>
          <w:p w14:paraId="7EB8D12C" w14:textId="77777777" w:rsidR="00F9301B" w:rsidRPr="000E52EE" w:rsidRDefault="00F9301B" w:rsidP="00F9301B">
            <w:pPr>
              <w:pStyle w:val="Tablebullet"/>
              <w:cnfStyle w:val="000000000000" w:firstRow="0" w:lastRow="0" w:firstColumn="0" w:lastColumn="0" w:oddVBand="0" w:evenVBand="0" w:oddHBand="0" w:evenHBand="0" w:firstRowFirstColumn="0" w:firstRowLastColumn="0" w:lastRowFirstColumn="0" w:lastRowLastColumn="0"/>
              <w:rPr>
                <w:rFonts w:ascii="Calibri" w:hAnsi="Calibri"/>
                <w:color w:val="000000"/>
              </w:rPr>
            </w:pPr>
            <w:proofErr w:type="gramStart"/>
            <w:r w:rsidRPr="31FD5AD6">
              <w:t>Overall</w:t>
            </w:r>
            <w:proofErr w:type="gramEnd"/>
            <w:r w:rsidRPr="31FD5AD6">
              <w:t xml:space="preserve"> do you agree or disagree that the advantages to [you/your business] of meeting [rules/laws] outweighs the cost incurred to [you/your business] to meet these laws?</w:t>
            </w:r>
          </w:p>
          <w:p w14:paraId="133D9261" w14:textId="77777777" w:rsidR="00F9301B" w:rsidRPr="000E52EE" w:rsidRDefault="00F9301B" w:rsidP="00F9301B">
            <w:pPr>
              <w:pStyle w:val="Tablebulle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31FD5AD6">
              <w:t xml:space="preserve">What type of costs, if any, do [you / your organisation] incur to meet [laws/rules]. (Accept multiples, aid/prompt if necessary) e.g. </w:t>
            </w:r>
          </w:p>
          <w:p w14:paraId="3C253D6C" w14:textId="77777777" w:rsidR="00F9301B" w:rsidRPr="000E52EE" w:rsidRDefault="00F9301B" w:rsidP="00F9301B">
            <w:pPr>
              <w:pStyle w:val="Tabledas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31FD5AD6">
              <w:t>Equipment or controls</w:t>
            </w:r>
          </w:p>
          <w:p w14:paraId="7BB23C2F" w14:textId="77777777" w:rsidR="00F9301B" w:rsidRPr="000E52EE" w:rsidRDefault="00F9301B" w:rsidP="00F9301B">
            <w:pPr>
              <w:pStyle w:val="Tabledas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31FD5AD6">
              <w:t>Costs of systems</w:t>
            </w:r>
          </w:p>
          <w:p w14:paraId="7FBBE31D" w14:textId="77777777" w:rsidR="00F9301B" w:rsidRPr="000E52EE" w:rsidRDefault="00F9301B" w:rsidP="00F9301B">
            <w:pPr>
              <w:pStyle w:val="Tabledas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31FD5AD6">
              <w:t>Administrative (e.g. paperwork)</w:t>
            </w:r>
          </w:p>
          <w:p w14:paraId="6604BC1B" w14:textId="77777777" w:rsidR="00F9301B" w:rsidRPr="000E52EE" w:rsidRDefault="00F9301B" w:rsidP="00F9301B">
            <w:pPr>
              <w:pStyle w:val="Tabledas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31FD5AD6">
              <w:t>Sourcing requirements from regulator</w:t>
            </w:r>
          </w:p>
          <w:p w14:paraId="5EB1394A" w14:textId="77777777" w:rsidR="00F9301B" w:rsidRPr="000E52EE" w:rsidRDefault="00F9301B" w:rsidP="00F9301B">
            <w:pPr>
              <w:pStyle w:val="Tabledas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31FD5AD6">
              <w:t>Cost of training staff</w:t>
            </w:r>
          </w:p>
          <w:p w14:paraId="4FEFB1C9" w14:textId="77777777" w:rsidR="00F9301B" w:rsidRPr="000E52EE" w:rsidRDefault="00F9301B" w:rsidP="00F9301B">
            <w:pPr>
              <w:pStyle w:val="Tabledas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31FD5AD6">
              <w:t>Expert advice (e.g. consultants, lawyers)</w:t>
            </w:r>
          </w:p>
          <w:p w14:paraId="3984470F" w14:textId="77777777" w:rsidR="00F9301B" w:rsidRPr="000E52EE" w:rsidRDefault="00F9301B" w:rsidP="00F9301B">
            <w:pPr>
              <w:pStyle w:val="Tablebulle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31FD5AD6">
              <w:t>What, if any, business advantages come from meeting the [laws/rules? (Accept multiples, person conducting survey does not read out/prompt)</w:t>
            </w:r>
          </w:p>
          <w:p w14:paraId="22A6D887" w14:textId="73A1D67F" w:rsidR="00F9301B" w:rsidRPr="000E52EE" w:rsidRDefault="00F9301B" w:rsidP="00F9301B">
            <w:pPr>
              <w:pStyle w:val="Tabledas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31FD5AD6">
              <w:t>Image/reputation</w:t>
            </w:r>
          </w:p>
          <w:p w14:paraId="75CD70DB" w14:textId="77777777" w:rsidR="00F9301B" w:rsidRPr="000E52EE" w:rsidRDefault="00F9301B" w:rsidP="00F9301B">
            <w:pPr>
              <w:pStyle w:val="Tabledas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31FD5AD6">
              <w:t>General desire to (perform/not cause harm)</w:t>
            </w:r>
          </w:p>
          <w:p w14:paraId="656F7C24" w14:textId="77777777" w:rsidR="00F9301B" w:rsidRPr="000E52EE" w:rsidRDefault="00F9301B" w:rsidP="00F9301B">
            <w:pPr>
              <w:pStyle w:val="Tabledas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31FD5AD6">
              <w:t xml:space="preserve">Keeping in harmony with (community/clients/users) </w:t>
            </w:r>
          </w:p>
          <w:p w14:paraId="00FA5137" w14:textId="77777777" w:rsidR="00F9301B" w:rsidRPr="000E52EE" w:rsidRDefault="00F9301B" w:rsidP="00F9301B">
            <w:pPr>
              <w:pStyle w:val="Tabledas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31FD5AD6">
              <w:t>Community wellbeing</w:t>
            </w:r>
          </w:p>
          <w:p w14:paraId="1E0A602F" w14:textId="77777777" w:rsidR="00F9301B" w:rsidRPr="000E52EE" w:rsidRDefault="00F9301B" w:rsidP="00F9301B">
            <w:pPr>
              <w:pStyle w:val="Tabledash"/>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31FD5AD6">
              <w:t xml:space="preserve">Improvement in this area is a key business </w:t>
            </w:r>
            <w:proofErr w:type="gramStart"/>
            <w:r w:rsidRPr="31FD5AD6">
              <w:t>indicator</w:t>
            </w:r>
            <w:proofErr w:type="gramEnd"/>
          </w:p>
          <w:p w14:paraId="2F834E91" w14:textId="0F189D35" w:rsidR="00F9301B" w:rsidRPr="31FD5AD6" w:rsidRDefault="00F9301B" w:rsidP="00F9301B">
            <w:pPr>
              <w:pStyle w:val="Tablebullet"/>
              <w:cnfStyle w:val="000000000000" w:firstRow="0" w:lastRow="0" w:firstColumn="0" w:lastColumn="0" w:oddVBand="0" w:evenVBand="0" w:oddHBand="0" w:evenHBand="0" w:firstRowFirstColumn="0" w:firstRowLastColumn="0" w:lastRowFirstColumn="0" w:lastRowLastColumn="0"/>
            </w:pPr>
            <w:r w:rsidRPr="31FD5AD6">
              <w:t>No problems with the regulator</w:t>
            </w:r>
          </w:p>
        </w:tc>
      </w:tr>
      <w:tr w:rsidR="00F9301B" w:rsidRPr="000E52EE" w14:paraId="5AA84F16" w14:textId="77777777" w:rsidTr="004126A4">
        <w:tc>
          <w:tcPr>
            <w:cnfStyle w:val="001000000000" w:firstRow="0" w:lastRow="0" w:firstColumn="1" w:lastColumn="0" w:oddVBand="0" w:evenVBand="0" w:oddHBand="0" w:evenHBand="0" w:firstRowFirstColumn="0" w:firstRowLastColumn="0" w:lastRowFirstColumn="0" w:lastRowLastColumn="0"/>
            <w:tcW w:w="2358" w:type="dxa"/>
          </w:tcPr>
          <w:p w14:paraId="157F9EF7" w14:textId="1B1554A7" w:rsidR="00F9301B" w:rsidRPr="000E52EE" w:rsidRDefault="00F9301B" w:rsidP="005B4155">
            <w:pPr>
              <w:pStyle w:val="Tabletextbold"/>
            </w:pPr>
            <w:r w:rsidRPr="000E52EE">
              <w:lastRenderedPageBreak/>
              <w:t>Experience of regulation and the regulator</w:t>
            </w:r>
          </w:p>
        </w:tc>
        <w:tc>
          <w:tcPr>
            <w:tcW w:w="6642" w:type="dxa"/>
          </w:tcPr>
          <w:p w14:paraId="1C5D597F" w14:textId="77777777" w:rsidR="00F9301B" w:rsidRPr="000E52EE" w:rsidRDefault="00F9301B" w:rsidP="00F9301B">
            <w:pPr>
              <w:pStyle w:val="Tablebullet"/>
              <w:cnfStyle w:val="000000000000" w:firstRow="0" w:lastRow="0" w:firstColumn="0" w:lastColumn="0" w:oddVBand="0" w:evenVBand="0" w:oddHBand="0" w:evenHBand="0" w:firstRowFirstColumn="0" w:firstRowLastColumn="0" w:lastRowFirstColumn="0" w:lastRowLastColumn="0"/>
            </w:pPr>
            <w:r w:rsidRPr="31FD5AD6">
              <w:t>Which compliance support methods (e.g. publications, advice) were used to help duty holders understand their statutory obligations</w:t>
            </w:r>
          </w:p>
          <w:p w14:paraId="443F2AEA" w14:textId="77777777" w:rsidR="00F9301B" w:rsidRPr="000E52EE" w:rsidRDefault="00F9301B" w:rsidP="00F9301B">
            <w:pPr>
              <w:pStyle w:val="Tablebullet"/>
              <w:cnfStyle w:val="000000000000" w:firstRow="0" w:lastRow="0" w:firstColumn="0" w:lastColumn="0" w:oddVBand="0" w:evenVBand="0" w:oddHBand="0" w:evenHBand="0" w:firstRowFirstColumn="0" w:firstRowLastColumn="0" w:lastRowFirstColumn="0" w:lastRowLastColumn="0"/>
            </w:pPr>
            <w:r w:rsidRPr="31FD5AD6">
              <w:t>Satisfaction with these methods</w:t>
            </w:r>
          </w:p>
          <w:p w14:paraId="465E1B50" w14:textId="77777777" w:rsidR="00F9301B" w:rsidRPr="000E52EE" w:rsidRDefault="00F9301B" w:rsidP="00F9301B">
            <w:pPr>
              <w:pStyle w:val="Tablebullet"/>
              <w:cnfStyle w:val="000000000000" w:firstRow="0" w:lastRow="0" w:firstColumn="0" w:lastColumn="0" w:oddVBand="0" w:evenVBand="0" w:oddHBand="0" w:evenHBand="0" w:firstRowFirstColumn="0" w:firstRowLastColumn="0" w:lastRowFirstColumn="0" w:lastRowLastColumn="0"/>
            </w:pPr>
            <w:r w:rsidRPr="31FD5AD6">
              <w:t>Agreement/disagreement that regulator decisions are evidence-</w:t>
            </w:r>
            <w:proofErr w:type="gramStart"/>
            <w:r w:rsidRPr="31FD5AD6">
              <w:t>based</w:t>
            </w:r>
            <w:proofErr w:type="gramEnd"/>
          </w:p>
          <w:p w14:paraId="234AB0C5" w14:textId="77777777" w:rsidR="00F9301B" w:rsidRPr="000E52EE" w:rsidRDefault="00F9301B" w:rsidP="00F9301B">
            <w:pPr>
              <w:pStyle w:val="Tablebullet"/>
              <w:cnfStyle w:val="000000000000" w:firstRow="0" w:lastRow="0" w:firstColumn="0" w:lastColumn="0" w:oddVBand="0" w:evenVBand="0" w:oddHBand="0" w:evenHBand="0" w:firstRowFirstColumn="0" w:firstRowLastColumn="0" w:lastRowFirstColumn="0" w:lastRowLastColumn="0"/>
            </w:pPr>
            <w:r w:rsidRPr="31FD5AD6">
              <w:t xml:space="preserve">Agreement/disagreement that regulator permit/licence conditions are consistent across </w:t>
            </w:r>
            <w:proofErr w:type="gramStart"/>
            <w:r w:rsidRPr="31FD5AD6">
              <w:t>industry</w:t>
            </w:r>
            <w:proofErr w:type="gramEnd"/>
          </w:p>
          <w:p w14:paraId="036C2DD7" w14:textId="77777777" w:rsidR="00F9301B" w:rsidRPr="000E52EE" w:rsidRDefault="00F9301B" w:rsidP="00F9301B">
            <w:pPr>
              <w:pStyle w:val="Tablebullet"/>
              <w:cnfStyle w:val="000000000000" w:firstRow="0" w:lastRow="0" w:firstColumn="0" w:lastColumn="0" w:oddVBand="0" w:evenVBand="0" w:oddHBand="0" w:evenHBand="0" w:firstRowFirstColumn="0" w:firstRowLastColumn="0" w:lastRowFirstColumn="0" w:lastRowLastColumn="0"/>
            </w:pPr>
            <w:r w:rsidRPr="31FD5AD6">
              <w:t xml:space="preserve">Agreement/disagreement that permitting decisions were objective and made on complete </w:t>
            </w:r>
            <w:proofErr w:type="gramStart"/>
            <w:r w:rsidRPr="31FD5AD6">
              <w:t>information</w:t>
            </w:r>
            <w:proofErr w:type="gramEnd"/>
          </w:p>
          <w:p w14:paraId="68275464" w14:textId="77777777" w:rsidR="00F9301B" w:rsidRPr="000E52EE" w:rsidRDefault="00F9301B" w:rsidP="00F9301B">
            <w:pPr>
              <w:pStyle w:val="Tablebullet"/>
              <w:cnfStyle w:val="000000000000" w:firstRow="0" w:lastRow="0" w:firstColumn="0" w:lastColumn="0" w:oddVBand="0" w:evenVBand="0" w:oddHBand="0" w:evenHBand="0" w:firstRowFirstColumn="0" w:firstRowLastColumn="0" w:lastRowFirstColumn="0" w:lastRowLastColumn="0"/>
            </w:pPr>
            <w:r w:rsidRPr="31FD5AD6">
              <w:t>Awareness of obligations, and non-compliance, before an inspection</w:t>
            </w:r>
          </w:p>
          <w:p w14:paraId="47DD5E83" w14:textId="77777777" w:rsidR="00F9301B" w:rsidRPr="000E52EE" w:rsidRDefault="00F9301B" w:rsidP="00F9301B">
            <w:pPr>
              <w:pStyle w:val="Tablebullet"/>
              <w:cnfStyle w:val="000000000000" w:firstRow="0" w:lastRow="0" w:firstColumn="0" w:lastColumn="0" w:oddVBand="0" w:evenVBand="0" w:oddHBand="0" w:evenHBand="0" w:firstRowFirstColumn="0" w:firstRowLastColumn="0" w:lastRowFirstColumn="0" w:lastRowLastColumn="0"/>
            </w:pPr>
            <w:r w:rsidRPr="31FD5AD6">
              <w:t>Clarity of regulator explanation of non-compliances</w:t>
            </w:r>
          </w:p>
          <w:p w14:paraId="127FADCC" w14:textId="77777777" w:rsidR="00F9301B" w:rsidRPr="000E52EE" w:rsidRDefault="00F9301B" w:rsidP="00F9301B">
            <w:pPr>
              <w:pStyle w:val="Tablebullet"/>
              <w:cnfStyle w:val="000000000000" w:firstRow="0" w:lastRow="0" w:firstColumn="0" w:lastColumn="0" w:oddVBand="0" w:evenVBand="0" w:oddHBand="0" w:evenHBand="0" w:firstRowFirstColumn="0" w:firstRowLastColumn="0" w:lastRowFirstColumn="0" w:lastRowLastColumn="0"/>
            </w:pPr>
            <w:r w:rsidRPr="31FD5AD6">
              <w:t xml:space="preserve">Satisfaction with the interaction, level of information </w:t>
            </w:r>
            <w:proofErr w:type="gramStart"/>
            <w:r w:rsidRPr="31FD5AD6">
              <w:t>provided</w:t>
            </w:r>
            <w:proofErr w:type="gramEnd"/>
          </w:p>
          <w:p w14:paraId="473B154B" w14:textId="77777777" w:rsidR="00F9301B" w:rsidRPr="000E52EE" w:rsidRDefault="00F9301B" w:rsidP="00F9301B">
            <w:pPr>
              <w:pStyle w:val="Tablebullet"/>
              <w:cnfStyle w:val="000000000000" w:firstRow="0" w:lastRow="0" w:firstColumn="0" w:lastColumn="0" w:oddVBand="0" w:evenVBand="0" w:oddHBand="0" w:evenHBand="0" w:firstRowFirstColumn="0" w:firstRowLastColumn="0" w:lastRowFirstColumn="0" w:lastRowLastColumn="0"/>
            </w:pPr>
            <w:r w:rsidRPr="31FD5AD6">
              <w:t xml:space="preserve">Awareness and satisfaction with broader engagement and consultation opportunities </w:t>
            </w:r>
          </w:p>
          <w:p w14:paraId="5C022DEA" w14:textId="40ACC233" w:rsidR="00F9301B" w:rsidRPr="31FD5AD6" w:rsidRDefault="00F9301B" w:rsidP="00F9301B">
            <w:pPr>
              <w:pStyle w:val="Tablebullet"/>
              <w:cnfStyle w:val="000000000000" w:firstRow="0" w:lastRow="0" w:firstColumn="0" w:lastColumn="0" w:oddVBand="0" w:evenVBand="0" w:oddHBand="0" w:evenHBand="0" w:firstRowFirstColumn="0" w:firstRowLastColumn="0" w:lastRowFirstColumn="0" w:lastRowLastColumn="0"/>
            </w:pPr>
            <w:r w:rsidRPr="31FD5AD6">
              <w:t xml:space="preserve">Awareness of the regulator and their regulatory actions (such as inspections, </w:t>
            </w:r>
            <w:proofErr w:type="gramStart"/>
            <w:r w:rsidRPr="31FD5AD6">
              <w:t>fines</w:t>
            </w:r>
            <w:proofErr w:type="gramEnd"/>
            <w:r w:rsidRPr="31FD5AD6">
              <w:t xml:space="preserve"> and prosecutions).</w:t>
            </w:r>
          </w:p>
        </w:tc>
      </w:tr>
    </w:tbl>
    <w:p w14:paraId="4381E3AA" w14:textId="0C052166" w:rsidR="00EA59F0" w:rsidRDefault="00EA59F0" w:rsidP="00EA59F0">
      <w:pPr>
        <w:rPr>
          <w:sz w:val="18"/>
          <w:szCs w:val="18"/>
        </w:rPr>
      </w:pPr>
    </w:p>
    <w:p w14:paraId="20FB53F4" w14:textId="02AD26CE" w:rsidR="006E6F8D" w:rsidRPr="000E52EE" w:rsidRDefault="001B27A9" w:rsidP="00D53E9A">
      <w:pPr>
        <w:pStyle w:val="Heading1"/>
        <w:pageBreakBefore/>
        <w:rPr>
          <w:b/>
        </w:rPr>
      </w:pPr>
      <w:bookmarkStart w:id="86" w:name="_Toc170403108"/>
      <w:r>
        <w:lastRenderedPageBreak/>
        <w:t>Appendix C</w:t>
      </w:r>
      <w:r w:rsidR="00D53E9A">
        <w:t xml:space="preserve">: </w:t>
      </w:r>
      <w:r w:rsidR="006E6F8D" w:rsidRPr="20F44149">
        <w:t>Linkages to the VGR</w:t>
      </w:r>
      <w:bookmarkEnd w:id="86"/>
    </w:p>
    <w:p w14:paraId="64D0832B" w14:textId="77777777" w:rsidR="006E6F8D" w:rsidRPr="000E52EE" w:rsidRDefault="006E6F8D" w:rsidP="00553C02">
      <w:r w:rsidRPr="000E52EE">
        <w:t xml:space="preserve">The following table summarises key requirements for evaluation strategies set out in the VGR, and how this toolkit supports evaluation design and delivery. </w:t>
      </w:r>
    </w:p>
    <w:tbl>
      <w:tblPr>
        <w:tblStyle w:val="Texttable"/>
        <w:tblW w:w="0" w:type="auto"/>
        <w:tblLayout w:type="fixed"/>
        <w:tblLook w:val="0620" w:firstRow="1" w:lastRow="0" w:firstColumn="0" w:lastColumn="0" w:noHBand="1" w:noVBand="1"/>
      </w:tblPr>
      <w:tblGrid>
        <w:gridCol w:w="4508"/>
        <w:gridCol w:w="4508"/>
      </w:tblGrid>
      <w:tr w:rsidR="006E6F8D" w:rsidRPr="000E52EE" w14:paraId="76595445" w14:textId="77777777" w:rsidTr="009A3F81">
        <w:trPr>
          <w:cnfStyle w:val="100000000000" w:firstRow="1" w:lastRow="0" w:firstColumn="0" w:lastColumn="0" w:oddVBand="0" w:evenVBand="0" w:oddHBand="0" w:evenHBand="0" w:firstRowFirstColumn="0" w:firstRowLastColumn="0" w:lastRowFirstColumn="0" w:lastRowLastColumn="0"/>
          <w:trHeight w:val="300"/>
        </w:trPr>
        <w:tc>
          <w:tcPr>
            <w:tcW w:w="4508" w:type="dxa"/>
          </w:tcPr>
          <w:p w14:paraId="2E44E60F" w14:textId="77777777" w:rsidR="006E6F8D" w:rsidRPr="000E52EE" w:rsidRDefault="006E6F8D" w:rsidP="00553C02">
            <w:pPr>
              <w:pStyle w:val="Tableheader"/>
              <w:rPr>
                <w:b/>
                <w:bCs/>
              </w:rPr>
            </w:pPr>
            <w:r w:rsidRPr="000E52EE">
              <w:t>Key VGR requirements are to:</w:t>
            </w:r>
          </w:p>
        </w:tc>
        <w:tc>
          <w:tcPr>
            <w:tcW w:w="4508" w:type="dxa"/>
          </w:tcPr>
          <w:p w14:paraId="243A9455" w14:textId="77777777" w:rsidR="006E6F8D" w:rsidRPr="000E52EE" w:rsidRDefault="006E6F8D" w:rsidP="00553C02">
            <w:pPr>
              <w:pStyle w:val="Tableheader"/>
              <w:rPr>
                <w:b/>
                <w:bCs/>
              </w:rPr>
            </w:pPr>
            <w:r w:rsidRPr="000E52EE">
              <w:t>This toolkit supports the VGR by providing:</w:t>
            </w:r>
          </w:p>
        </w:tc>
      </w:tr>
      <w:tr w:rsidR="006E6F8D" w:rsidRPr="000E52EE" w14:paraId="1B6F5723" w14:textId="77777777" w:rsidTr="009A3F81">
        <w:trPr>
          <w:trHeight w:val="300"/>
        </w:trPr>
        <w:tc>
          <w:tcPr>
            <w:tcW w:w="4508" w:type="dxa"/>
          </w:tcPr>
          <w:p w14:paraId="5C02E1A3" w14:textId="77777777" w:rsidR="006E6F8D" w:rsidRPr="000E52EE" w:rsidRDefault="006E6F8D">
            <w:pPr>
              <w:rPr>
                <w:rFonts w:ascii="VIC" w:hAnsi="VIC"/>
                <w:b/>
                <w:bCs/>
                <w:sz w:val="18"/>
                <w:szCs w:val="18"/>
              </w:rPr>
            </w:pPr>
            <w:r w:rsidRPr="000E52EE">
              <w:rPr>
                <w:rFonts w:ascii="VIC" w:hAnsi="VIC"/>
                <w:sz w:val="18"/>
                <w:szCs w:val="18"/>
              </w:rPr>
              <w:t xml:space="preserve">Develop an evaluation strategy linked to your objectives of action, formed around key evaluation questions. </w:t>
            </w:r>
          </w:p>
          <w:p w14:paraId="75970CBE" w14:textId="77777777" w:rsidR="006E6F8D" w:rsidRPr="000E52EE" w:rsidRDefault="006E6F8D">
            <w:pPr>
              <w:rPr>
                <w:rFonts w:ascii="VIC" w:hAnsi="VIC"/>
                <w:b/>
                <w:bCs/>
                <w:sz w:val="18"/>
                <w:szCs w:val="18"/>
              </w:rPr>
            </w:pPr>
            <w:r w:rsidRPr="000E52EE">
              <w:rPr>
                <w:rFonts w:ascii="VIC" w:hAnsi="VIC"/>
                <w:sz w:val="18"/>
                <w:szCs w:val="18"/>
              </w:rPr>
              <w:t>Evaluation questions address gaps in knowledge, areas of change or uncertainty, and the most significant attributes of the policy.</w:t>
            </w:r>
          </w:p>
        </w:tc>
        <w:tc>
          <w:tcPr>
            <w:tcW w:w="4508" w:type="dxa"/>
          </w:tcPr>
          <w:p w14:paraId="3ED0CFC2" w14:textId="77777777" w:rsidR="006E6F8D" w:rsidRPr="000E52EE" w:rsidRDefault="006E6F8D">
            <w:pPr>
              <w:rPr>
                <w:rFonts w:ascii="VIC" w:hAnsi="VIC"/>
                <w:sz w:val="18"/>
                <w:szCs w:val="18"/>
              </w:rPr>
            </w:pPr>
            <w:r w:rsidRPr="000E52EE">
              <w:rPr>
                <w:rFonts w:ascii="VIC" w:hAnsi="VIC"/>
                <w:sz w:val="18"/>
                <w:szCs w:val="18"/>
              </w:rPr>
              <w:t xml:space="preserve">Guidance on the </w:t>
            </w:r>
            <w:r w:rsidRPr="000E52EE">
              <w:rPr>
                <w:rFonts w:ascii="VIC" w:hAnsi="VIC"/>
                <w:b/>
                <w:bCs/>
                <w:sz w:val="18"/>
                <w:szCs w:val="18"/>
              </w:rPr>
              <w:t xml:space="preserve">scope of a regulatory evaluation </w:t>
            </w:r>
            <w:r w:rsidRPr="000E52EE">
              <w:rPr>
                <w:rFonts w:ascii="VIC" w:hAnsi="VIC"/>
                <w:sz w:val="18"/>
                <w:szCs w:val="18"/>
              </w:rPr>
              <w:t>compared to other forms of evaluation – to guide your questions and areas of focus.</w:t>
            </w:r>
          </w:p>
          <w:p w14:paraId="6BBF0D55" w14:textId="77777777" w:rsidR="006E6F8D" w:rsidRPr="000E52EE" w:rsidRDefault="006E6F8D">
            <w:pPr>
              <w:rPr>
                <w:rFonts w:ascii="VIC" w:hAnsi="VIC"/>
                <w:sz w:val="18"/>
                <w:szCs w:val="18"/>
              </w:rPr>
            </w:pPr>
            <w:r w:rsidRPr="000E52EE">
              <w:rPr>
                <w:rFonts w:ascii="VIC" w:hAnsi="VIC"/>
                <w:sz w:val="18"/>
                <w:szCs w:val="18"/>
              </w:rPr>
              <w:t xml:space="preserve">A summary of </w:t>
            </w:r>
            <w:r w:rsidRPr="000E52EE">
              <w:rPr>
                <w:rFonts w:ascii="VIC" w:hAnsi="VIC"/>
                <w:b/>
                <w:sz w:val="18"/>
                <w:szCs w:val="18"/>
              </w:rPr>
              <w:t xml:space="preserve">how to approach </w:t>
            </w:r>
            <w:r w:rsidRPr="000E52EE">
              <w:rPr>
                <w:rFonts w:ascii="VIC" w:hAnsi="VIC"/>
                <w:sz w:val="18"/>
                <w:szCs w:val="18"/>
              </w:rPr>
              <w:t>regulatory evaluation in different contexts – to allow for situations beyond preparing regulations.</w:t>
            </w:r>
          </w:p>
        </w:tc>
      </w:tr>
      <w:tr w:rsidR="006E6F8D" w:rsidRPr="000E52EE" w14:paraId="791355D9" w14:textId="77777777" w:rsidTr="009A3F81">
        <w:trPr>
          <w:trHeight w:val="300"/>
        </w:trPr>
        <w:tc>
          <w:tcPr>
            <w:tcW w:w="4508" w:type="dxa"/>
          </w:tcPr>
          <w:p w14:paraId="196EAADD" w14:textId="77777777" w:rsidR="006E6F8D" w:rsidRPr="000E52EE" w:rsidRDefault="006E6F8D">
            <w:pPr>
              <w:rPr>
                <w:rFonts w:ascii="VIC" w:hAnsi="VIC"/>
                <w:b/>
                <w:bCs/>
                <w:sz w:val="18"/>
                <w:szCs w:val="18"/>
              </w:rPr>
            </w:pPr>
            <w:r w:rsidRPr="62CF1186">
              <w:rPr>
                <w:rFonts w:ascii="VIC" w:hAnsi="VIC"/>
                <w:sz w:val="18"/>
                <w:szCs w:val="18"/>
              </w:rPr>
              <w:t xml:space="preserve">Before implementing the preferred option, set out </w:t>
            </w:r>
            <w:r w:rsidRPr="000E52EE">
              <w:rPr>
                <w:rFonts w:ascii="VIC" w:hAnsi="VIC"/>
                <w:sz w:val="18"/>
                <w:szCs w:val="18"/>
              </w:rPr>
              <w:t xml:space="preserve">an appropriate organising logic to answer the evaluation questions, such as a program logic model. </w:t>
            </w:r>
          </w:p>
        </w:tc>
        <w:tc>
          <w:tcPr>
            <w:tcW w:w="4508" w:type="dxa"/>
            <w:vMerge w:val="restart"/>
          </w:tcPr>
          <w:p w14:paraId="459DAF42" w14:textId="23CF4628" w:rsidR="006E6F8D" w:rsidRPr="000E52EE" w:rsidRDefault="006E6F8D">
            <w:pPr>
              <w:rPr>
                <w:rFonts w:ascii="VIC" w:hAnsi="VIC"/>
                <w:sz w:val="18"/>
                <w:szCs w:val="18"/>
              </w:rPr>
            </w:pPr>
            <w:r w:rsidRPr="000E52EE">
              <w:rPr>
                <w:rFonts w:ascii="VIC" w:hAnsi="VIC"/>
                <w:sz w:val="18"/>
                <w:szCs w:val="18"/>
              </w:rPr>
              <w:t xml:space="preserve">Guidance on </w:t>
            </w:r>
            <w:r w:rsidRPr="000E52EE">
              <w:rPr>
                <w:rFonts w:ascii="VIC" w:hAnsi="VIC"/>
                <w:b/>
                <w:sz w:val="18"/>
                <w:szCs w:val="18"/>
              </w:rPr>
              <w:t xml:space="preserve">planning a regulatory evaluation, </w:t>
            </w:r>
            <w:r w:rsidRPr="000E52EE">
              <w:rPr>
                <w:rFonts w:ascii="VIC" w:hAnsi="VIC"/>
                <w:sz w:val="18"/>
                <w:szCs w:val="18"/>
              </w:rPr>
              <w:t xml:space="preserve">with a focus </w:t>
            </w:r>
            <w:r w:rsidRPr="31FD5AD6">
              <w:rPr>
                <w:rFonts w:ascii="VIC" w:hAnsi="VIC"/>
                <w:sz w:val="18"/>
                <w:szCs w:val="18"/>
              </w:rPr>
              <w:t xml:space="preserve">how to build out a </w:t>
            </w:r>
            <w:r w:rsidRPr="31FD5AD6">
              <w:rPr>
                <w:rFonts w:ascii="VIC" w:hAnsi="VIC"/>
                <w:b/>
                <w:bCs/>
                <w:sz w:val="18"/>
                <w:szCs w:val="18"/>
              </w:rPr>
              <w:t>program logic model</w:t>
            </w:r>
            <w:r w:rsidRPr="31FD5AD6">
              <w:rPr>
                <w:rFonts w:ascii="VIC" w:hAnsi="VIC"/>
                <w:sz w:val="18"/>
                <w:szCs w:val="18"/>
              </w:rPr>
              <w:t>, and</w:t>
            </w:r>
            <w:r w:rsidRPr="000E52EE">
              <w:rPr>
                <w:rFonts w:ascii="VIC" w:hAnsi="VIC"/>
                <w:sz w:val="18"/>
                <w:szCs w:val="18"/>
              </w:rPr>
              <w:t xml:space="preserve"> </w:t>
            </w:r>
            <w:r w:rsidRPr="000E52EE">
              <w:rPr>
                <w:rFonts w:ascii="VIC" w:hAnsi="VIC"/>
                <w:b/>
                <w:bCs/>
                <w:sz w:val="18"/>
                <w:szCs w:val="18"/>
              </w:rPr>
              <w:t>what to measure</w:t>
            </w:r>
            <w:r>
              <w:rPr>
                <w:rFonts w:ascii="VIC" w:hAnsi="VIC"/>
                <w:b/>
                <w:bCs/>
                <w:sz w:val="18"/>
                <w:szCs w:val="18"/>
              </w:rPr>
              <w:t xml:space="preserve"> </w:t>
            </w:r>
            <w:r w:rsidRPr="00FD0EB5">
              <w:rPr>
                <w:rFonts w:ascii="VIC" w:hAnsi="VIC"/>
                <w:sz w:val="18"/>
                <w:szCs w:val="18"/>
              </w:rPr>
              <w:t>within the program logic</w:t>
            </w:r>
            <w:r w:rsidRPr="006215F7">
              <w:rPr>
                <w:rFonts w:ascii="VIC" w:hAnsi="VIC"/>
                <w:sz w:val="18"/>
                <w:szCs w:val="18"/>
              </w:rPr>
              <w:t>,</w:t>
            </w:r>
            <w:r w:rsidRPr="000E52EE">
              <w:rPr>
                <w:rFonts w:ascii="VIC" w:hAnsi="VIC"/>
                <w:b/>
                <w:sz w:val="18"/>
                <w:szCs w:val="18"/>
              </w:rPr>
              <w:t xml:space="preserve"> </w:t>
            </w:r>
            <w:r w:rsidRPr="000E52EE">
              <w:rPr>
                <w:rFonts w:ascii="VIC" w:hAnsi="VIC"/>
                <w:sz w:val="18"/>
                <w:szCs w:val="18"/>
              </w:rPr>
              <w:t xml:space="preserve">including </w:t>
            </w:r>
            <w:r w:rsidRPr="006215F7">
              <w:rPr>
                <w:rFonts w:ascii="VIC" w:hAnsi="VIC"/>
                <w:iCs/>
                <w:sz w:val="18"/>
                <w:szCs w:val="18"/>
              </w:rPr>
              <w:t>behaviour change</w:t>
            </w:r>
            <w:r w:rsidRPr="000E52EE">
              <w:rPr>
                <w:rFonts w:ascii="VIC" w:hAnsi="VIC"/>
                <w:i/>
                <w:sz w:val="18"/>
                <w:szCs w:val="18"/>
              </w:rPr>
              <w:t xml:space="preserve"> </w:t>
            </w:r>
            <w:r w:rsidRPr="000E52EE">
              <w:rPr>
                <w:rFonts w:ascii="VIC" w:hAnsi="VIC"/>
                <w:sz w:val="18"/>
                <w:szCs w:val="18"/>
              </w:rPr>
              <w:t xml:space="preserve">and the supporting actions of regulators and delivery agencies. </w:t>
            </w:r>
          </w:p>
          <w:p w14:paraId="4D59620C" w14:textId="77777777" w:rsidR="006E6F8D" w:rsidRPr="000E52EE" w:rsidRDefault="006E6F8D">
            <w:pPr>
              <w:rPr>
                <w:rFonts w:ascii="VIC" w:hAnsi="VIC"/>
                <w:sz w:val="18"/>
                <w:szCs w:val="18"/>
              </w:rPr>
            </w:pPr>
            <w:r w:rsidRPr="000E52EE">
              <w:rPr>
                <w:rFonts w:ascii="VIC" w:hAnsi="VIC"/>
                <w:sz w:val="18"/>
                <w:szCs w:val="18"/>
              </w:rPr>
              <w:t xml:space="preserve">Considerations for </w:t>
            </w:r>
            <w:r w:rsidRPr="000E52EE">
              <w:rPr>
                <w:rFonts w:ascii="VIC" w:hAnsi="VIC"/>
                <w:b/>
                <w:bCs/>
                <w:sz w:val="18"/>
                <w:szCs w:val="18"/>
              </w:rPr>
              <w:t xml:space="preserve">specific kinds of evaluations </w:t>
            </w:r>
            <w:r w:rsidRPr="000E52EE">
              <w:rPr>
                <w:rFonts w:ascii="VIC" w:hAnsi="VIC"/>
                <w:sz w:val="18"/>
                <w:szCs w:val="18"/>
              </w:rPr>
              <w:t xml:space="preserve">– including for </w:t>
            </w:r>
            <w:r w:rsidRPr="000E52EE">
              <w:rPr>
                <w:rFonts w:ascii="VIC" w:hAnsi="VIC"/>
                <w:i/>
                <w:iCs/>
                <w:sz w:val="18"/>
                <w:szCs w:val="18"/>
              </w:rPr>
              <w:t>fees regulations, permissions regulations</w:t>
            </w:r>
            <w:r w:rsidRPr="000E52EE">
              <w:rPr>
                <w:rFonts w:ascii="VIC" w:hAnsi="VIC"/>
                <w:sz w:val="18"/>
                <w:szCs w:val="18"/>
              </w:rPr>
              <w:t>,</w:t>
            </w:r>
            <w:r w:rsidRPr="000E52EE">
              <w:rPr>
                <w:rFonts w:ascii="VIC" w:hAnsi="VIC"/>
                <w:i/>
                <w:iCs/>
                <w:sz w:val="18"/>
                <w:szCs w:val="18"/>
              </w:rPr>
              <w:t xml:space="preserve"> </w:t>
            </w:r>
            <w:r w:rsidRPr="000E52EE">
              <w:rPr>
                <w:rFonts w:ascii="VIC" w:hAnsi="VIC"/>
                <w:sz w:val="18"/>
                <w:szCs w:val="18"/>
              </w:rPr>
              <w:t xml:space="preserve">and </w:t>
            </w:r>
            <w:r w:rsidRPr="000E52EE">
              <w:rPr>
                <w:rFonts w:ascii="VIC" w:hAnsi="VIC"/>
                <w:i/>
                <w:iCs/>
                <w:sz w:val="18"/>
                <w:szCs w:val="18"/>
              </w:rPr>
              <w:t xml:space="preserve">mid-term evaluations. </w:t>
            </w:r>
          </w:p>
        </w:tc>
      </w:tr>
      <w:tr w:rsidR="006E6F8D" w:rsidRPr="000E52EE" w14:paraId="44E7BF24" w14:textId="77777777" w:rsidTr="009A3F81">
        <w:trPr>
          <w:trHeight w:val="300"/>
        </w:trPr>
        <w:tc>
          <w:tcPr>
            <w:tcW w:w="4508" w:type="dxa"/>
          </w:tcPr>
          <w:p w14:paraId="75D170D2" w14:textId="77777777" w:rsidR="006E6F8D" w:rsidRPr="000E52EE" w:rsidRDefault="006E6F8D">
            <w:pPr>
              <w:rPr>
                <w:rFonts w:ascii="VIC" w:hAnsi="VIC"/>
                <w:b/>
                <w:bCs/>
                <w:sz w:val="18"/>
                <w:szCs w:val="18"/>
              </w:rPr>
            </w:pPr>
            <w:r w:rsidRPr="000E52EE">
              <w:rPr>
                <w:rFonts w:ascii="VIC" w:hAnsi="VIC"/>
                <w:sz w:val="18"/>
                <w:szCs w:val="18"/>
              </w:rPr>
              <w:t>Meet principles for regulatory evaluation. In summary, that evaluation: is core to government delivery; improves understanding of the problem; builds an evidence base; improves knowledge for all parties; and recognises uncertainty and complexity.</w:t>
            </w:r>
          </w:p>
        </w:tc>
        <w:tc>
          <w:tcPr>
            <w:tcW w:w="4508" w:type="dxa"/>
            <w:vMerge/>
          </w:tcPr>
          <w:p w14:paraId="7EE22664" w14:textId="77777777" w:rsidR="006E6F8D" w:rsidRPr="000E52EE" w:rsidRDefault="006E6F8D"/>
        </w:tc>
      </w:tr>
      <w:tr w:rsidR="006E6F8D" w:rsidRPr="000E52EE" w14:paraId="0BFD3B54" w14:textId="77777777" w:rsidTr="009A3F81">
        <w:trPr>
          <w:trHeight w:val="300"/>
        </w:trPr>
        <w:tc>
          <w:tcPr>
            <w:tcW w:w="4508" w:type="dxa"/>
          </w:tcPr>
          <w:p w14:paraId="099CA8D0" w14:textId="77777777" w:rsidR="006E6F8D" w:rsidRPr="000E52EE" w:rsidRDefault="006E6F8D">
            <w:pPr>
              <w:rPr>
                <w:rFonts w:ascii="VIC" w:hAnsi="VIC"/>
                <w:b/>
                <w:bCs/>
                <w:sz w:val="18"/>
                <w:szCs w:val="18"/>
              </w:rPr>
            </w:pPr>
            <w:r w:rsidRPr="000E52EE">
              <w:rPr>
                <w:rFonts w:ascii="VIC" w:hAnsi="VIC"/>
                <w:sz w:val="18"/>
                <w:szCs w:val="18"/>
              </w:rPr>
              <w:t>Meet minimum requirements, e.g. to have a clear evaluation design and logic, well-defined accountabilities, and proportionate investment (including for mid-term evaluations).</w:t>
            </w:r>
          </w:p>
        </w:tc>
        <w:tc>
          <w:tcPr>
            <w:tcW w:w="4508" w:type="dxa"/>
          </w:tcPr>
          <w:p w14:paraId="5A04FA25" w14:textId="13B1B531" w:rsidR="006E6F8D" w:rsidRPr="000E52EE" w:rsidRDefault="006E6F8D">
            <w:pPr>
              <w:rPr>
                <w:rFonts w:ascii="VIC" w:hAnsi="VIC"/>
                <w:sz w:val="18"/>
                <w:szCs w:val="18"/>
              </w:rPr>
            </w:pPr>
            <w:r w:rsidRPr="000E52EE">
              <w:rPr>
                <w:rFonts w:ascii="VIC" w:hAnsi="VIC"/>
                <w:sz w:val="18"/>
                <w:szCs w:val="18"/>
              </w:rPr>
              <w:t xml:space="preserve">Tips including on </w:t>
            </w:r>
            <w:r w:rsidRPr="000E52EE">
              <w:rPr>
                <w:rFonts w:ascii="VIC" w:hAnsi="VIC"/>
                <w:b/>
                <w:bCs/>
                <w:sz w:val="18"/>
                <w:szCs w:val="18"/>
              </w:rPr>
              <w:t xml:space="preserve">identifying stakeholders, </w:t>
            </w:r>
            <w:r w:rsidR="00695C46">
              <w:rPr>
                <w:rFonts w:ascii="VIC" w:hAnsi="VIC"/>
                <w:b/>
                <w:bCs/>
                <w:sz w:val="18"/>
                <w:szCs w:val="18"/>
              </w:rPr>
              <w:t>managing</w:t>
            </w:r>
            <w:r w:rsidRPr="000E52EE">
              <w:rPr>
                <w:rFonts w:ascii="VIC" w:hAnsi="VIC"/>
                <w:sz w:val="18"/>
                <w:szCs w:val="18"/>
              </w:rPr>
              <w:t xml:space="preserve">, </w:t>
            </w:r>
            <w:r w:rsidR="00695C46">
              <w:rPr>
                <w:rFonts w:ascii="VIC" w:hAnsi="VIC"/>
                <w:sz w:val="18"/>
                <w:szCs w:val="18"/>
              </w:rPr>
              <w:t xml:space="preserve">an evaluation </w:t>
            </w:r>
            <w:r w:rsidRPr="000E52EE">
              <w:rPr>
                <w:rFonts w:ascii="VIC" w:hAnsi="VIC"/>
                <w:sz w:val="18"/>
                <w:szCs w:val="18"/>
              </w:rPr>
              <w:t xml:space="preserve">and </w:t>
            </w:r>
            <w:r w:rsidRPr="000E52EE">
              <w:rPr>
                <w:rFonts w:ascii="VIC" w:hAnsi="VIC"/>
                <w:b/>
                <w:bCs/>
                <w:sz w:val="18"/>
                <w:szCs w:val="18"/>
              </w:rPr>
              <w:t xml:space="preserve">common challenges. </w:t>
            </w:r>
            <w:r w:rsidRPr="000E52EE">
              <w:rPr>
                <w:rFonts w:ascii="VIC" w:hAnsi="VIC"/>
                <w:sz w:val="18"/>
                <w:szCs w:val="18"/>
              </w:rPr>
              <w:t>These can help meet minimum requirements by proactively addressing common issues.</w:t>
            </w:r>
          </w:p>
        </w:tc>
      </w:tr>
      <w:tr w:rsidR="006E6F8D" w:rsidRPr="000E52EE" w14:paraId="7E39D667" w14:textId="77777777" w:rsidTr="009A3F81">
        <w:trPr>
          <w:trHeight w:val="300"/>
        </w:trPr>
        <w:tc>
          <w:tcPr>
            <w:tcW w:w="4508" w:type="dxa"/>
          </w:tcPr>
          <w:p w14:paraId="0CD9CFD9" w14:textId="6608EAF5" w:rsidR="006E6F8D" w:rsidRPr="000E52EE" w:rsidRDefault="006E6F8D">
            <w:pPr>
              <w:rPr>
                <w:rFonts w:ascii="VIC" w:hAnsi="VIC"/>
                <w:b/>
                <w:bCs/>
                <w:sz w:val="18"/>
                <w:szCs w:val="18"/>
              </w:rPr>
            </w:pPr>
            <w:r w:rsidRPr="000E52EE">
              <w:rPr>
                <w:rFonts w:ascii="VIC" w:hAnsi="VIC"/>
                <w:sz w:val="18"/>
                <w:szCs w:val="18"/>
              </w:rPr>
              <w:t xml:space="preserve">Develop an appropriate methodology, tracking a range of measures and not just specific targets, examining cause and effect, drawing on diverse information sources and filling data gaps. </w:t>
            </w:r>
          </w:p>
        </w:tc>
        <w:tc>
          <w:tcPr>
            <w:tcW w:w="4508" w:type="dxa"/>
          </w:tcPr>
          <w:p w14:paraId="1B077281" w14:textId="0AA62C20" w:rsidR="006E6F8D" w:rsidRPr="000E52EE" w:rsidRDefault="006E6F8D">
            <w:pPr>
              <w:rPr>
                <w:rFonts w:ascii="VIC" w:hAnsi="VIC"/>
                <w:sz w:val="18"/>
                <w:szCs w:val="18"/>
              </w:rPr>
            </w:pPr>
            <w:r w:rsidRPr="000E52EE">
              <w:rPr>
                <w:rFonts w:ascii="VIC" w:hAnsi="VIC"/>
                <w:b/>
                <w:bCs/>
                <w:sz w:val="18"/>
                <w:szCs w:val="18"/>
              </w:rPr>
              <w:t>Steps for an evaluation</w:t>
            </w:r>
            <w:r w:rsidRPr="000E52EE">
              <w:rPr>
                <w:rFonts w:ascii="VIC" w:hAnsi="VIC"/>
                <w:sz w:val="18"/>
                <w:szCs w:val="18"/>
              </w:rPr>
              <w:t xml:space="preserve"> – </w:t>
            </w:r>
            <w:r w:rsidRPr="000E52EE">
              <w:rPr>
                <w:rFonts w:ascii="VIC" w:hAnsi="VIC"/>
                <w:i/>
                <w:iCs/>
                <w:sz w:val="18"/>
                <w:szCs w:val="18"/>
              </w:rPr>
              <w:t xml:space="preserve">planning, undertaking, and writing up an evaluation. </w:t>
            </w:r>
            <w:r w:rsidRPr="000E52EE">
              <w:rPr>
                <w:rFonts w:ascii="VIC" w:hAnsi="VIC"/>
                <w:sz w:val="18"/>
                <w:szCs w:val="18"/>
              </w:rPr>
              <w:t>This is a high-level framework</w:t>
            </w:r>
            <w:r w:rsidR="003E2A6C">
              <w:rPr>
                <w:rFonts w:ascii="VIC" w:hAnsi="VIC"/>
                <w:sz w:val="18"/>
                <w:szCs w:val="18"/>
              </w:rPr>
              <w:t xml:space="preserve">, useful for </w:t>
            </w:r>
            <w:r w:rsidR="00836967">
              <w:rPr>
                <w:rFonts w:ascii="VIC" w:hAnsi="VIC"/>
                <w:sz w:val="18"/>
                <w:szCs w:val="18"/>
              </w:rPr>
              <w:t>un</w:t>
            </w:r>
            <w:r w:rsidR="00A67056">
              <w:rPr>
                <w:rFonts w:ascii="VIC" w:hAnsi="VIC"/>
                <w:sz w:val="18"/>
                <w:szCs w:val="18"/>
              </w:rPr>
              <w:t xml:space="preserve">derstanding when to develop </w:t>
            </w:r>
            <w:r w:rsidR="0022407B">
              <w:rPr>
                <w:rFonts w:ascii="VIC" w:hAnsi="VIC"/>
                <w:sz w:val="18"/>
                <w:szCs w:val="18"/>
              </w:rPr>
              <w:t>and apply your methodology and how to write it up</w:t>
            </w:r>
            <w:r w:rsidRPr="000E52EE">
              <w:rPr>
                <w:rFonts w:ascii="VIC" w:hAnsi="VIC"/>
                <w:sz w:val="18"/>
                <w:szCs w:val="18"/>
              </w:rPr>
              <w:t xml:space="preserve">. </w:t>
            </w:r>
          </w:p>
          <w:p w14:paraId="07C07AF6" w14:textId="23F774CF" w:rsidR="006E6F8D" w:rsidRPr="000E52EE" w:rsidRDefault="006E6F8D">
            <w:pPr>
              <w:rPr>
                <w:rFonts w:ascii="VIC" w:hAnsi="VIC"/>
                <w:sz w:val="18"/>
                <w:szCs w:val="18"/>
              </w:rPr>
            </w:pPr>
            <w:r w:rsidRPr="000E52EE">
              <w:rPr>
                <w:rFonts w:ascii="VIC" w:hAnsi="VIC"/>
                <w:sz w:val="18"/>
                <w:szCs w:val="18"/>
              </w:rPr>
              <w:t xml:space="preserve">Guidance on indicators and measures, helping you to </w:t>
            </w:r>
            <w:r w:rsidR="00D247CB">
              <w:rPr>
                <w:rFonts w:ascii="VIC" w:hAnsi="VIC"/>
                <w:sz w:val="18"/>
                <w:szCs w:val="18"/>
              </w:rPr>
              <w:t xml:space="preserve">identify </w:t>
            </w:r>
            <w:r w:rsidRPr="000E52EE">
              <w:rPr>
                <w:rFonts w:ascii="VIC" w:hAnsi="VIC"/>
                <w:sz w:val="18"/>
                <w:szCs w:val="18"/>
              </w:rPr>
              <w:t>the data you need.</w:t>
            </w:r>
            <w:r w:rsidRPr="000E52EE">
              <w:rPr>
                <w:rFonts w:ascii="VIC" w:hAnsi="VIC"/>
                <w:i/>
                <w:sz w:val="18"/>
                <w:szCs w:val="18"/>
              </w:rPr>
              <w:t xml:space="preserve"> </w:t>
            </w:r>
          </w:p>
        </w:tc>
      </w:tr>
    </w:tbl>
    <w:p w14:paraId="1D45C06A" w14:textId="77777777" w:rsidR="000C62F3" w:rsidRDefault="000C62F3" w:rsidP="006E6F8D"/>
    <w:p w14:paraId="1CEE1CEE" w14:textId="03B12DF7" w:rsidR="000C62F3" w:rsidRDefault="000C62F3" w:rsidP="005B4155">
      <w:pPr>
        <w:pStyle w:val="Heading1"/>
        <w:pageBreakBefore/>
        <w:rPr>
          <w:b/>
        </w:rPr>
      </w:pPr>
      <w:bookmarkStart w:id="87" w:name="_Toc170403109"/>
      <w:r w:rsidRPr="20F44149">
        <w:lastRenderedPageBreak/>
        <w:t>Glossary</w:t>
      </w:r>
      <w:bookmarkEnd w:id="87"/>
    </w:p>
    <w:p w14:paraId="75D89C24" w14:textId="77777777" w:rsidR="000C62F3" w:rsidRDefault="000C62F3" w:rsidP="000C62F3">
      <w:pPr>
        <w:rPr>
          <w:rFonts w:ascii="VIC" w:hAnsi="VIC"/>
        </w:rPr>
      </w:pPr>
      <w:r w:rsidRPr="31FD5AD6">
        <w:rPr>
          <w:rFonts w:ascii="VIC" w:hAnsi="VIC"/>
        </w:rPr>
        <w:t>Regulatory evaluation involves a range of concepts and frameworks</w:t>
      </w:r>
      <w:r w:rsidRPr="4FA68DC5">
        <w:rPr>
          <w:rFonts w:ascii="VIC" w:hAnsi="VIC"/>
        </w:rPr>
        <w:t>. Key terms are</w:t>
      </w:r>
      <w:r w:rsidRPr="31FD5AD6">
        <w:rPr>
          <w:rFonts w:ascii="VIC" w:hAnsi="VIC"/>
        </w:rPr>
        <w:t xml:space="preserve"> described below</w:t>
      </w:r>
      <w:r w:rsidRPr="4FA68DC5">
        <w:rPr>
          <w:rFonts w:ascii="VIC" w:hAnsi="VIC"/>
        </w:rPr>
        <w:t xml:space="preserve"> or introduced within this toolkit</w:t>
      </w:r>
      <w:r w:rsidRPr="31FD5AD6">
        <w:rPr>
          <w:rFonts w:ascii="VIC" w:hAnsi="VIC"/>
        </w:rPr>
        <w:t>.</w:t>
      </w:r>
    </w:p>
    <w:tbl>
      <w:tblPr>
        <w:tblStyle w:val="Texttable"/>
        <w:tblW w:w="0" w:type="auto"/>
        <w:tblLook w:val="06A0" w:firstRow="1" w:lastRow="0" w:firstColumn="1" w:lastColumn="0" w:noHBand="1" w:noVBand="1"/>
      </w:tblPr>
      <w:tblGrid>
        <w:gridCol w:w="2340"/>
        <w:gridCol w:w="6676"/>
      </w:tblGrid>
      <w:tr w:rsidR="000C62F3" w14:paraId="616E6E6E" w14:textId="77777777" w:rsidTr="005B4155">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2340" w:type="dxa"/>
          </w:tcPr>
          <w:p w14:paraId="11EB0E70" w14:textId="77777777" w:rsidR="000C62F3" w:rsidRDefault="000C62F3" w:rsidP="005B4155">
            <w:pPr>
              <w:pStyle w:val="Tableheader"/>
            </w:pPr>
            <w:r w:rsidRPr="31FD5AD6">
              <w:t>Concept</w:t>
            </w:r>
          </w:p>
        </w:tc>
        <w:tc>
          <w:tcPr>
            <w:tcW w:w="6676" w:type="dxa"/>
          </w:tcPr>
          <w:p w14:paraId="01958DD2" w14:textId="77777777" w:rsidR="000C62F3" w:rsidRDefault="000C62F3" w:rsidP="005B4155">
            <w:pPr>
              <w:pStyle w:val="Tableheader"/>
              <w:cnfStyle w:val="100000000000" w:firstRow="1" w:lastRow="0" w:firstColumn="0" w:lastColumn="0" w:oddVBand="0" w:evenVBand="0" w:oddHBand="0" w:evenHBand="0" w:firstRowFirstColumn="0" w:firstRowLastColumn="0" w:lastRowFirstColumn="0" w:lastRowLastColumn="0"/>
            </w:pPr>
            <w:r w:rsidRPr="31FD5AD6">
              <w:t xml:space="preserve">Description </w:t>
            </w:r>
          </w:p>
        </w:tc>
      </w:tr>
      <w:tr w:rsidR="000C62F3" w:rsidRPr="002106C8" w14:paraId="64C689CC" w14:textId="77777777" w:rsidTr="005B4155">
        <w:trPr>
          <w:trHeight w:val="300"/>
        </w:trPr>
        <w:tc>
          <w:tcPr>
            <w:cnfStyle w:val="001000000000" w:firstRow="0" w:lastRow="0" w:firstColumn="1" w:lastColumn="0" w:oddVBand="0" w:evenVBand="0" w:oddHBand="0" w:evenHBand="0" w:firstRowFirstColumn="0" w:firstRowLastColumn="0" w:lastRowFirstColumn="0" w:lastRowLastColumn="0"/>
            <w:tcW w:w="2340" w:type="dxa"/>
          </w:tcPr>
          <w:p w14:paraId="648F5431" w14:textId="77777777" w:rsidR="000C62F3" w:rsidRPr="005B4155" w:rsidRDefault="000C62F3" w:rsidP="005B4155">
            <w:pPr>
              <w:pStyle w:val="Tabletextbold"/>
            </w:pPr>
            <w:r w:rsidRPr="005B4155">
              <w:t>Behaviour change theory</w:t>
            </w:r>
          </w:p>
        </w:tc>
        <w:tc>
          <w:tcPr>
            <w:tcW w:w="6676" w:type="dxa"/>
          </w:tcPr>
          <w:p w14:paraId="699DC61F" w14:textId="5122AEF8" w:rsidR="000C62F3" w:rsidRPr="4FA68DC5" w:rsidRDefault="000C62F3" w:rsidP="005B4155">
            <w:pPr>
              <w:pStyle w:val="Tabletext"/>
              <w:cnfStyle w:val="000000000000" w:firstRow="0" w:lastRow="0" w:firstColumn="0" w:lastColumn="0" w:oddVBand="0" w:evenVBand="0" w:oddHBand="0" w:evenHBand="0" w:firstRowFirstColumn="0" w:firstRowLastColumn="0" w:lastRowFirstColumn="0" w:lastRowLastColumn="0"/>
            </w:pPr>
            <w:r w:rsidRPr="002106C8">
              <w:t xml:space="preserve">An explanatory framework for understanding why desired, or undesired behaviours occur, and how to shift awareness, </w:t>
            </w:r>
            <w:proofErr w:type="gramStart"/>
            <w:r w:rsidRPr="002106C8">
              <w:t>attitude</w:t>
            </w:r>
            <w:proofErr w:type="gramEnd"/>
            <w:r w:rsidRPr="002106C8">
              <w:t xml:space="preserve"> and action to bring about desired behaviours, including compliance with regulations</w:t>
            </w:r>
          </w:p>
        </w:tc>
      </w:tr>
      <w:tr w:rsidR="000C62F3" w14:paraId="66E3AAC4" w14:textId="77777777" w:rsidTr="005B4155">
        <w:trPr>
          <w:trHeight w:val="300"/>
        </w:trPr>
        <w:tc>
          <w:tcPr>
            <w:cnfStyle w:val="001000000000" w:firstRow="0" w:lastRow="0" w:firstColumn="1" w:lastColumn="0" w:oddVBand="0" w:evenVBand="0" w:oddHBand="0" w:evenHBand="0" w:firstRowFirstColumn="0" w:firstRowLastColumn="0" w:lastRowFirstColumn="0" w:lastRowLastColumn="0"/>
            <w:tcW w:w="2340" w:type="dxa"/>
          </w:tcPr>
          <w:p w14:paraId="2FA13E96" w14:textId="77777777" w:rsidR="000C62F3" w:rsidRPr="005B4155" w:rsidRDefault="000C62F3" w:rsidP="005B4155">
            <w:pPr>
              <w:pStyle w:val="Tabletextbold"/>
            </w:pPr>
            <w:r w:rsidRPr="005B4155">
              <w:t>Drivers of compliance</w:t>
            </w:r>
          </w:p>
        </w:tc>
        <w:tc>
          <w:tcPr>
            <w:tcW w:w="6676" w:type="dxa"/>
          </w:tcPr>
          <w:p w14:paraId="57EAD469" w14:textId="6748F0FA" w:rsidR="000C62F3" w:rsidRPr="008F702B" w:rsidRDefault="000C62F3" w:rsidP="00693BE1">
            <w:pPr>
              <w:pStyle w:val="Tabletext"/>
              <w:cnfStyle w:val="000000000000" w:firstRow="0" w:lastRow="0" w:firstColumn="0" w:lastColumn="0" w:oddVBand="0" w:evenVBand="0" w:oddHBand="0" w:evenHBand="0" w:firstRowFirstColumn="0" w:firstRowLastColumn="0" w:lastRowFirstColumn="0" w:lastRowLastColumn="0"/>
            </w:pPr>
            <w:r w:rsidRPr="4FA68DC5">
              <w:t xml:space="preserve">A framework for examining the </w:t>
            </w:r>
            <w:r w:rsidR="00360CBC">
              <w:t>factors that increase or decrease compliance</w:t>
            </w:r>
            <w:r w:rsidR="00693BE1">
              <w:t xml:space="preserve">, which is </w:t>
            </w:r>
            <w:r w:rsidRPr="4FA68DC5">
              <w:t>used to examine regulator and other activities</w:t>
            </w:r>
            <w:r w:rsidR="00693BE1">
              <w:t>.</w:t>
            </w:r>
          </w:p>
        </w:tc>
      </w:tr>
      <w:tr w:rsidR="000C62F3" w14:paraId="46664AF1" w14:textId="77777777" w:rsidTr="005B4155">
        <w:trPr>
          <w:trHeight w:val="300"/>
        </w:trPr>
        <w:tc>
          <w:tcPr>
            <w:cnfStyle w:val="001000000000" w:firstRow="0" w:lastRow="0" w:firstColumn="1" w:lastColumn="0" w:oddVBand="0" w:evenVBand="0" w:oddHBand="0" w:evenHBand="0" w:firstRowFirstColumn="0" w:firstRowLastColumn="0" w:lastRowFirstColumn="0" w:lastRowLastColumn="0"/>
            <w:tcW w:w="2340" w:type="dxa"/>
          </w:tcPr>
          <w:p w14:paraId="471B0D40" w14:textId="77777777" w:rsidR="000C62F3" w:rsidRPr="005B4155" w:rsidRDefault="000C62F3" w:rsidP="005B4155">
            <w:pPr>
              <w:pStyle w:val="Tabletextbold"/>
            </w:pPr>
            <w:r w:rsidRPr="005B4155">
              <w:t>External factors</w:t>
            </w:r>
          </w:p>
        </w:tc>
        <w:tc>
          <w:tcPr>
            <w:tcW w:w="6676" w:type="dxa"/>
          </w:tcPr>
          <w:p w14:paraId="73D8273D" w14:textId="0B7560DE" w:rsidR="000C62F3" w:rsidRPr="4FA68DC5" w:rsidRDefault="000C62F3" w:rsidP="005B4155">
            <w:pPr>
              <w:pStyle w:val="Tabletext"/>
              <w:cnfStyle w:val="000000000000" w:firstRow="0" w:lastRow="0" w:firstColumn="0" w:lastColumn="0" w:oddVBand="0" w:evenVBand="0" w:oddHBand="0" w:evenHBand="0" w:firstRowFirstColumn="0" w:firstRowLastColumn="0" w:lastRowFirstColumn="0" w:lastRowLastColumn="0"/>
            </w:pPr>
            <w:r w:rsidRPr="008F702B">
              <w:t>Things outside the control of the regulation or regulator or government activities but will still have an impact on its success of the regulation</w:t>
            </w:r>
          </w:p>
        </w:tc>
      </w:tr>
      <w:tr w:rsidR="000C62F3" w14:paraId="273DF475" w14:textId="77777777" w:rsidTr="005B4155">
        <w:trPr>
          <w:trHeight w:val="300"/>
        </w:trPr>
        <w:tc>
          <w:tcPr>
            <w:cnfStyle w:val="001000000000" w:firstRow="0" w:lastRow="0" w:firstColumn="1" w:lastColumn="0" w:oddVBand="0" w:evenVBand="0" w:oddHBand="0" w:evenHBand="0" w:firstRowFirstColumn="0" w:firstRowLastColumn="0" w:lastRowFirstColumn="0" w:lastRowLastColumn="0"/>
            <w:tcW w:w="2340" w:type="dxa"/>
          </w:tcPr>
          <w:p w14:paraId="5D55DC16" w14:textId="77777777" w:rsidR="000C62F3" w:rsidRPr="005B4155" w:rsidRDefault="000C62F3" w:rsidP="005B4155">
            <w:pPr>
              <w:pStyle w:val="Tabletextbold"/>
            </w:pPr>
            <w:r w:rsidRPr="005B4155">
              <w:t>Indicators</w:t>
            </w:r>
          </w:p>
        </w:tc>
        <w:tc>
          <w:tcPr>
            <w:tcW w:w="6676" w:type="dxa"/>
          </w:tcPr>
          <w:p w14:paraId="41E91E58" w14:textId="7451A778" w:rsidR="000C62F3" w:rsidRDefault="00141CCE" w:rsidP="005B4155">
            <w:pPr>
              <w:pStyle w:val="Tabletext"/>
              <w:cnfStyle w:val="000000000000" w:firstRow="0" w:lastRow="0" w:firstColumn="0" w:lastColumn="0" w:oddVBand="0" w:evenVBand="0" w:oddHBand="0" w:evenHBand="0" w:firstRowFirstColumn="0" w:firstRowLastColumn="0" w:lastRowFirstColumn="0" w:lastRowLastColumn="0"/>
            </w:pPr>
            <w:r>
              <w:t>The state or level of something</w:t>
            </w:r>
            <w:r w:rsidR="000C62F3" w:rsidRPr="4FA68DC5">
              <w:t>, that shows the progress made towards achieving a specific output or outcome</w:t>
            </w:r>
          </w:p>
        </w:tc>
      </w:tr>
      <w:tr w:rsidR="000C62F3" w14:paraId="25D50F37" w14:textId="77777777" w:rsidTr="005B4155">
        <w:trPr>
          <w:trHeight w:val="300"/>
        </w:trPr>
        <w:tc>
          <w:tcPr>
            <w:cnfStyle w:val="001000000000" w:firstRow="0" w:lastRow="0" w:firstColumn="1" w:lastColumn="0" w:oddVBand="0" w:evenVBand="0" w:oddHBand="0" w:evenHBand="0" w:firstRowFirstColumn="0" w:firstRowLastColumn="0" w:lastRowFirstColumn="0" w:lastRowLastColumn="0"/>
            <w:tcW w:w="2340" w:type="dxa"/>
          </w:tcPr>
          <w:p w14:paraId="0ED7E1DB" w14:textId="77777777" w:rsidR="000C62F3" w:rsidRPr="005B4155" w:rsidRDefault="000C62F3" w:rsidP="005B4155">
            <w:pPr>
              <w:pStyle w:val="Tabletextbold"/>
            </w:pPr>
            <w:r w:rsidRPr="005B4155">
              <w:t>Outcome</w:t>
            </w:r>
          </w:p>
        </w:tc>
        <w:tc>
          <w:tcPr>
            <w:tcW w:w="6676" w:type="dxa"/>
          </w:tcPr>
          <w:p w14:paraId="0B004EA0" w14:textId="15B3E8C1" w:rsidR="000C62F3" w:rsidRDefault="000C62F3" w:rsidP="005B4155">
            <w:pPr>
              <w:pStyle w:val="Tabletext"/>
              <w:cnfStyle w:val="000000000000" w:firstRow="0" w:lastRow="0" w:firstColumn="0" w:lastColumn="0" w:oddVBand="0" w:evenVBand="0" w:oddHBand="0" w:evenHBand="0" w:firstRowFirstColumn="0" w:firstRowLastColumn="0" w:lastRowFirstColumn="0" w:lastRowLastColumn="0"/>
            </w:pPr>
            <w:r w:rsidRPr="3297817A">
              <w:t>The effect of outputs on desired results or objectives</w:t>
            </w:r>
          </w:p>
        </w:tc>
      </w:tr>
      <w:tr w:rsidR="000C62F3" w14:paraId="2D492D0A" w14:textId="77777777" w:rsidTr="005B4155">
        <w:trPr>
          <w:trHeight w:val="300"/>
        </w:trPr>
        <w:tc>
          <w:tcPr>
            <w:cnfStyle w:val="001000000000" w:firstRow="0" w:lastRow="0" w:firstColumn="1" w:lastColumn="0" w:oddVBand="0" w:evenVBand="0" w:oddHBand="0" w:evenHBand="0" w:firstRowFirstColumn="0" w:firstRowLastColumn="0" w:lastRowFirstColumn="0" w:lastRowLastColumn="0"/>
            <w:tcW w:w="2340" w:type="dxa"/>
          </w:tcPr>
          <w:p w14:paraId="79B58892" w14:textId="77777777" w:rsidR="000C62F3" w:rsidRPr="005B4155" w:rsidRDefault="000C62F3" w:rsidP="005B4155">
            <w:pPr>
              <w:pStyle w:val="Tabletextbold"/>
            </w:pPr>
            <w:r w:rsidRPr="005B4155">
              <w:t>Output</w:t>
            </w:r>
          </w:p>
        </w:tc>
        <w:tc>
          <w:tcPr>
            <w:tcW w:w="6676" w:type="dxa"/>
          </w:tcPr>
          <w:p w14:paraId="44452FD7" w14:textId="31F4FD65" w:rsidR="000C62F3" w:rsidRDefault="000C62F3" w:rsidP="005B4155">
            <w:pPr>
              <w:pStyle w:val="Tabletext"/>
              <w:cnfStyle w:val="000000000000" w:firstRow="0" w:lastRow="0" w:firstColumn="0" w:lastColumn="0" w:oddVBand="0" w:evenVBand="0" w:oddHBand="0" w:evenHBand="0" w:firstRowFirstColumn="0" w:firstRowLastColumn="0" w:lastRowFirstColumn="0" w:lastRowLastColumn="0"/>
            </w:pPr>
            <w:r w:rsidRPr="3297817A">
              <w:t>What was produced or accomplished to achieve outcomes</w:t>
            </w:r>
          </w:p>
        </w:tc>
      </w:tr>
      <w:tr w:rsidR="000C62F3" w14:paraId="0D1FDA4E" w14:textId="77777777" w:rsidTr="005B4155">
        <w:trPr>
          <w:trHeight w:val="300"/>
        </w:trPr>
        <w:tc>
          <w:tcPr>
            <w:cnfStyle w:val="001000000000" w:firstRow="0" w:lastRow="0" w:firstColumn="1" w:lastColumn="0" w:oddVBand="0" w:evenVBand="0" w:oddHBand="0" w:evenHBand="0" w:firstRowFirstColumn="0" w:firstRowLastColumn="0" w:lastRowFirstColumn="0" w:lastRowLastColumn="0"/>
            <w:tcW w:w="2340" w:type="dxa"/>
          </w:tcPr>
          <w:p w14:paraId="6B519B9E" w14:textId="77777777" w:rsidR="000C62F3" w:rsidRPr="005B4155" w:rsidRDefault="000C62F3" w:rsidP="005B4155">
            <w:pPr>
              <w:pStyle w:val="Tabletextbold"/>
            </w:pPr>
            <w:r w:rsidRPr="005B4155">
              <w:t>Program logic model</w:t>
            </w:r>
          </w:p>
        </w:tc>
        <w:tc>
          <w:tcPr>
            <w:tcW w:w="6676" w:type="dxa"/>
          </w:tcPr>
          <w:p w14:paraId="34CBE513" w14:textId="1EA9D7E5" w:rsidR="000C62F3" w:rsidRPr="4FA68DC5" w:rsidRDefault="000C62F3" w:rsidP="005B4155">
            <w:pPr>
              <w:pStyle w:val="Tabletext"/>
              <w:cnfStyle w:val="000000000000" w:firstRow="0" w:lastRow="0" w:firstColumn="0" w:lastColumn="0" w:oddVBand="0" w:evenVBand="0" w:oddHBand="0" w:evenHBand="0" w:firstRowFirstColumn="0" w:firstRowLastColumn="0" w:lastRowFirstColumn="0" w:lastRowLastColumn="0"/>
            </w:pPr>
            <w:r w:rsidRPr="4FA68DC5">
              <w:t>A model that shows how a regulatory intervention works and draws out the relationships between inputs, activities</w:t>
            </w:r>
            <w:r w:rsidRPr="3297817A">
              <w:t xml:space="preserve">, </w:t>
            </w:r>
            <w:proofErr w:type="gramStart"/>
            <w:r w:rsidRPr="3297817A">
              <w:t>outputs</w:t>
            </w:r>
            <w:proofErr w:type="gramEnd"/>
            <w:r w:rsidRPr="4FA68DC5">
              <w:t xml:space="preserve"> and outcomes</w:t>
            </w:r>
          </w:p>
        </w:tc>
      </w:tr>
      <w:tr w:rsidR="000C62F3" w14:paraId="7FC3A4C2" w14:textId="77777777" w:rsidTr="005B4155">
        <w:trPr>
          <w:trHeight w:val="300"/>
        </w:trPr>
        <w:tc>
          <w:tcPr>
            <w:cnfStyle w:val="001000000000" w:firstRow="0" w:lastRow="0" w:firstColumn="1" w:lastColumn="0" w:oddVBand="0" w:evenVBand="0" w:oddHBand="0" w:evenHBand="0" w:firstRowFirstColumn="0" w:firstRowLastColumn="0" w:lastRowFirstColumn="0" w:lastRowLastColumn="0"/>
            <w:tcW w:w="2340" w:type="dxa"/>
          </w:tcPr>
          <w:p w14:paraId="1A0691FE" w14:textId="77777777" w:rsidR="000C62F3" w:rsidRPr="005B4155" w:rsidRDefault="000C62F3" w:rsidP="005B4155">
            <w:pPr>
              <w:pStyle w:val="Tabletextbold"/>
            </w:pPr>
            <w:r w:rsidRPr="005B4155">
              <w:t>Proxy measures</w:t>
            </w:r>
          </w:p>
        </w:tc>
        <w:tc>
          <w:tcPr>
            <w:tcW w:w="6676" w:type="dxa"/>
          </w:tcPr>
          <w:p w14:paraId="091B84D5" w14:textId="74CC3B9D" w:rsidR="000C62F3" w:rsidRDefault="000C62F3" w:rsidP="005B4155">
            <w:pPr>
              <w:pStyle w:val="Tabletext"/>
              <w:cnfStyle w:val="000000000000" w:firstRow="0" w:lastRow="0" w:firstColumn="0" w:lastColumn="0" w:oddVBand="0" w:evenVBand="0" w:oddHBand="0" w:evenHBand="0" w:firstRowFirstColumn="0" w:firstRowLastColumn="0" w:lastRowFirstColumn="0" w:lastRowLastColumn="0"/>
            </w:pPr>
            <w:r w:rsidRPr="4FA68DC5">
              <w:t>An indirect measure of the desired outcome which is itself strongly correlated to that outcome</w:t>
            </w:r>
          </w:p>
        </w:tc>
      </w:tr>
      <w:tr w:rsidR="000C62F3" w14:paraId="027CF237" w14:textId="77777777" w:rsidTr="005B4155">
        <w:trPr>
          <w:trHeight w:val="300"/>
        </w:trPr>
        <w:tc>
          <w:tcPr>
            <w:cnfStyle w:val="001000000000" w:firstRow="0" w:lastRow="0" w:firstColumn="1" w:lastColumn="0" w:oddVBand="0" w:evenVBand="0" w:oddHBand="0" w:evenHBand="0" w:firstRowFirstColumn="0" w:firstRowLastColumn="0" w:lastRowFirstColumn="0" w:lastRowLastColumn="0"/>
            <w:tcW w:w="2340" w:type="dxa"/>
          </w:tcPr>
          <w:p w14:paraId="0F94AE53" w14:textId="77777777" w:rsidR="000C62F3" w:rsidRPr="005B4155" w:rsidRDefault="000C62F3" w:rsidP="005B4155">
            <w:pPr>
              <w:pStyle w:val="Tabletextbold"/>
            </w:pPr>
            <w:r w:rsidRPr="005B4155">
              <w:t>Social research survey</w:t>
            </w:r>
          </w:p>
        </w:tc>
        <w:tc>
          <w:tcPr>
            <w:tcW w:w="6676" w:type="dxa"/>
          </w:tcPr>
          <w:p w14:paraId="55F065C4" w14:textId="5A17E48E" w:rsidR="000C62F3" w:rsidRDefault="000C62F3" w:rsidP="005B4155">
            <w:pPr>
              <w:pStyle w:val="Tabletext"/>
              <w:cnfStyle w:val="000000000000" w:firstRow="0" w:lastRow="0" w:firstColumn="0" w:lastColumn="0" w:oddVBand="0" w:evenVBand="0" w:oddHBand="0" w:evenHBand="0" w:firstRowFirstColumn="0" w:firstRowLastColumn="0" w:lastRowFirstColumn="0" w:lastRowLastColumn="0"/>
            </w:pPr>
            <w:r w:rsidRPr="4FA68DC5">
              <w:t>A research method involving the use of standardised questionnaires or interviews to collect data about people and their preferences</w:t>
            </w:r>
          </w:p>
        </w:tc>
      </w:tr>
    </w:tbl>
    <w:p w14:paraId="74AFABC4" w14:textId="77777777" w:rsidR="00146AAA" w:rsidRPr="000E52EE" w:rsidRDefault="00146AAA" w:rsidP="005B4155"/>
    <w:sectPr w:rsidR="00146AAA" w:rsidRPr="000E52EE" w:rsidSect="00742A1D">
      <w:footerReference w:type="default" r:id="rId37"/>
      <w:pgSz w:w="11906" w:h="16838"/>
      <w:pgMar w:top="1440" w:right="1440" w:bottom="1584" w:left="1440" w:header="562" w:footer="46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799027" w14:textId="77777777" w:rsidR="0091666E" w:rsidRDefault="0091666E" w:rsidP="0001355D">
      <w:pPr>
        <w:spacing w:before="0" w:after="0" w:line="240" w:lineRule="auto"/>
      </w:pPr>
      <w:r>
        <w:separator/>
      </w:r>
    </w:p>
  </w:endnote>
  <w:endnote w:type="continuationSeparator" w:id="0">
    <w:p w14:paraId="515CEE11" w14:textId="77777777" w:rsidR="0091666E" w:rsidRDefault="0091666E" w:rsidP="0001355D">
      <w:pPr>
        <w:spacing w:before="0" w:after="0" w:line="240" w:lineRule="auto"/>
      </w:pPr>
      <w:r>
        <w:continuationSeparator/>
      </w:r>
    </w:p>
  </w:endnote>
  <w:endnote w:type="continuationNotice" w:id="1">
    <w:p w14:paraId="4BBAD17E" w14:textId="77777777" w:rsidR="0091666E" w:rsidRDefault="0091666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IC SemiBold">
    <w:altName w:val="Cambria"/>
    <w:panose1 w:val="00000700000000000000"/>
    <w:charset w:val="00"/>
    <w:family w:val="modern"/>
    <w:notTrueType/>
    <w:pitch w:val="variable"/>
    <w:sig w:usb0="00000007" w:usb1="00000000" w:usb2="00000000" w:usb3="00000000" w:csb0="00000093" w:csb1="00000000"/>
  </w:font>
  <w:font w:name="VIC">
    <w:panose1 w:val="00000500000000000000"/>
    <w:charset w:val="00"/>
    <w:family w:val="modern"/>
    <w:notTrueType/>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C0E41" w14:textId="77777777" w:rsidR="00510650" w:rsidRDefault="00510650" w:rsidP="004126A4">
    <w:pPr>
      <w:pStyle w:val="Footer"/>
      <w:pBdr>
        <w:top w:val="single" w:sz="36" w:space="1" w:color="71C5E8" w:themeColor="accent1"/>
      </w:pBdr>
    </w:pPr>
    <w:r>
      <w:rPr>
        <w:noProof w:val="0"/>
      </w:rPr>
      <w:fldChar w:fldCharType="begin"/>
    </w:r>
    <w:r>
      <w:instrText xml:space="preserve"> PAGE   \* MERGEFORMAT </w:instrText>
    </w:r>
    <w:r>
      <w:rPr>
        <w:noProof w:val="0"/>
      </w:rPr>
      <w:fldChar w:fldCharType="separate"/>
    </w:r>
    <w:r>
      <w:t>1</w:t>
    </w:r>
    <w: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D8404" w14:textId="57417474" w:rsidR="00510650" w:rsidRDefault="00510650" w:rsidP="004126A4">
    <w:pPr>
      <w:pStyle w:val="Footer"/>
      <w:tabs>
        <w:tab w:val="clear" w:pos="9026"/>
        <w:tab w:val="right" w:pos="9090"/>
      </w:tabs>
      <w:spacing w:before="60"/>
      <w:ind w:right="-158"/>
    </w:pPr>
    <w:r>
      <mc:AlternateContent>
        <mc:Choice Requires="wpg">
          <w:drawing>
            <wp:anchor distT="0" distB="0" distL="114300" distR="114300" simplePos="0" relativeHeight="251658241" behindDoc="1" locked="0" layoutInCell="1" allowOverlap="1" wp14:anchorId="21289348" wp14:editId="2CA6FA10">
              <wp:simplePos x="0" y="0"/>
              <wp:positionH relativeFrom="page">
                <wp:posOffset>5725795</wp:posOffset>
              </wp:positionH>
              <wp:positionV relativeFrom="page">
                <wp:posOffset>9762818</wp:posOffset>
              </wp:positionV>
              <wp:extent cx="1859016" cy="928223"/>
              <wp:effectExtent l="0" t="19050" r="8255" b="5715"/>
              <wp:wrapNone/>
              <wp:docPr id="1793745768" name="Graphic 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59016" cy="928223"/>
                        <a:chOff x="0" y="0"/>
                        <a:chExt cx="2898963" cy="1449402"/>
                      </a:xfrm>
                    </wpg:grpSpPr>
                    <wps:wsp>
                      <wps:cNvPr id="1923103410" name="Freeform: Shape 1923103410"/>
                      <wps:cNvSpPr/>
                      <wps:spPr>
                        <a:xfrm rot="-2700000">
                          <a:off x="936995" y="212248"/>
                          <a:ext cx="1024933" cy="1024862"/>
                        </a:xfrm>
                        <a:custGeom>
                          <a:avLst/>
                          <a:gdLst>
                            <a:gd name="connsiteX0" fmla="*/ 0 w 1024933"/>
                            <a:gd name="connsiteY0" fmla="*/ 0 h 1024862"/>
                            <a:gd name="connsiteX1" fmla="*/ 1024933 w 1024933"/>
                            <a:gd name="connsiteY1" fmla="*/ 0 h 1024862"/>
                            <a:gd name="connsiteX2" fmla="*/ 1024933 w 1024933"/>
                            <a:gd name="connsiteY2" fmla="*/ 1024863 h 1024862"/>
                            <a:gd name="connsiteX3" fmla="*/ 0 w 1024933"/>
                            <a:gd name="connsiteY3" fmla="*/ 1024863 h 1024862"/>
                          </a:gdLst>
                          <a:ahLst/>
                          <a:cxnLst>
                            <a:cxn ang="0">
                              <a:pos x="connsiteX0" y="connsiteY0"/>
                            </a:cxn>
                            <a:cxn ang="0">
                              <a:pos x="connsiteX1" y="connsiteY1"/>
                            </a:cxn>
                            <a:cxn ang="0">
                              <a:pos x="connsiteX2" y="connsiteY2"/>
                            </a:cxn>
                            <a:cxn ang="0">
                              <a:pos x="connsiteX3" y="connsiteY3"/>
                            </a:cxn>
                          </a:cxnLst>
                          <a:rect l="l" t="t" r="r" b="b"/>
                          <a:pathLst>
                            <a:path w="1024933" h="1024862">
                              <a:moveTo>
                                <a:pt x="0" y="0"/>
                              </a:moveTo>
                              <a:lnTo>
                                <a:pt x="1024933" y="0"/>
                              </a:lnTo>
                              <a:lnTo>
                                <a:pt x="1024933" y="1024863"/>
                              </a:lnTo>
                              <a:lnTo>
                                <a:pt x="0" y="1024863"/>
                              </a:lnTo>
                              <a:close/>
                            </a:path>
                          </a:pathLst>
                        </a:custGeom>
                        <a:solidFill>
                          <a:schemeClr val="accent1"/>
                        </a:solidFill>
                        <a:ln w="40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52170625" name="Freeform: Shape 852170625"/>
                      <wps:cNvSpPr/>
                      <wps:spPr>
                        <a:xfrm>
                          <a:off x="2174212" y="0"/>
                          <a:ext cx="724751" cy="1449402"/>
                        </a:xfrm>
                        <a:custGeom>
                          <a:avLst/>
                          <a:gdLst>
                            <a:gd name="connsiteX0" fmla="*/ 724751 w 724751"/>
                            <a:gd name="connsiteY0" fmla="*/ 0 h 1449402"/>
                            <a:gd name="connsiteX1" fmla="*/ 724711 w 724751"/>
                            <a:gd name="connsiteY1" fmla="*/ 1449402 h 1449402"/>
                            <a:gd name="connsiteX2" fmla="*/ 0 w 724751"/>
                            <a:gd name="connsiteY2" fmla="*/ 724701 h 1449402"/>
                            <a:gd name="connsiteX3" fmla="*/ 724711 w 724751"/>
                            <a:gd name="connsiteY3" fmla="*/ 0 h 1449402"/>
                            <a:gd name="connsiteX4" fmla="*/ 724751 w 724751"/>
                            <a:gd name="connsiteY4" fmla="*/ 0 h 144940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24751" h="1449402">
                              <a:moveTo>
                                <a:pt x="724751" y="0"/>
                              </a:moveTo>
                              <a:lnTo>
                                <a:pt x="724711" y="1449402"/>
                              </a:lnTo>
                              <a:lnTo>
                                <a:pt x="0" y="724701"/>
                              </a:lnTo>
                              <a:lnTo>
                                <a:pt x="724711" y="0"/>
                              </a:lnTo>
                              <a:lnTo>
                                <a:pt x="724751" y="0"/>
                              </a:lnTo>
                              <a:close/>
                            </a:path>
                          </a:pathLst>
                        </a:custGeom>
                        <a:solidFill>
                          <a:schemeClr val="accent6"/>
                        </a:solidFill>
                        <a:ln w="40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76198760" name="Freeform: Shape 476198760"/>
                      <wps:cNvSpPr/>
                      <wps:spPr>
                        <a:xfrm>
                          <a:off x="0" y="718239"/>
                          <a:ext cx="1449421" cy="724700"/>
                        </a:xfrm>
                        <a:custGeom>
                          <a:avLst/>
                          <a:gdLst>
                            <a:gd name="connsiteX0" fmla="*/ 724711 w 1449421"/>
                            <a:gd name="connsiteY0" fmla="*/ 0 h 724701"/>
                            <a:gd name="connsiteX1" fmla="*/ 1449421 w 1449421"/>
                            <a:gd name="connsiteY1" fmla="*/ 724661 h 724701"/>
                            <a:gd name="connsiteX2" fmla="*/ 724711 w 1449421"/>
                            <a:gd name="connsiteY2" fmla="*/ 724701 h 724701"/>
                            <a:gd name="connsiteX3" fmla="*/ 0 w 1449421"/>
                            <a:gd name="connsiteY3" fmla="*/ 724661 h 724701"/>
                            <a:gd name="connsiteX4" fmla="*/ 724711 w 1449421"/>
                            <a:gd name="connsiteY4" fmla="*/ 0 h 72470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49421" h="724701">
                              <a:moveTo>
                                <a:pt x="724711" y="0"/>
                              </a:moveTo>
                              <a:lnTo>
                                <a:pt x="1449421" y="724661"/>
                              </a:lnTo>
                              <a:lnTo>
                                <a:pt x="724711" y="724701"/>
                              </a:lnTo>
                              <a:lnTo>
                                <a:pt x="0" y="724661"/>
                              </a:lnTo>
                              <a:lnTo>
                                <a:pt x="724711" y="0"/>
                              </a:lnTo>
                              <a:close/>
                            </a:path>
                          </a:pathLst>
                        </a:custGeom>
                        <a:solidFill>
                          <a:schemeClr val="accent6"/>
                        </a:solidFill>
                        <a:ln w="40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8461260" name="Freeform: Shape 258461260"/>
                      <wps:cNvSpPr/>
                      <wps:spPr>
                        <a:xfrm>
                          <a:off x="1449461" y="718240"/>
                          <a:ext cx="1449461" cy="724702"/>
                        </a:xfrm>
                        <a:custGeom>
                          <a:avLst/>
                          <a:gdLst>
                            <a:gd name="connsiteX0" fmla="*/ 1449462 w 1449461"/>
                            <a:gd name="connsiteY0" fmla="*/ 724701 h 724701"/>
                            <a:gd name="connsiteX1" fmla="*/ 0 w 1449461"/>
                            <a:gd name="connsiteY1" fmla="*/ 724701 h 724701"/>
                            <a:gd name="connsiteX2" fmla="*/ 724751 w 1449461"/>
                            <a:gd name="connsiteY2" fmla="*/ 0 h 724701"/>
                            <a:gd name="connsiteX3" fmla="*/ 1449462 w 1449461"/>
                            <a:gd name="connsiteY3" fmla="*/ 724701 h 724701"/>
                          </a:gdLst>
                          <a:ahLst/>
                          <a:cxnLst>
                            <a:cxn ang="0">
                              <a:pos x="connsiteX0" y="connsiteY0"/>
                            </a:cxn>
                            <a:cxn ang="0">
                              <a:pos x="connsiteX1" y="connsiteY1"/>
                            </a:cxn>
                            <a:cxn ang="0">
                              <a:pos x="connsiteX2" y="connsiteY2"/>
                            </a:cxn>
                            <a:cxn ang="0">
                              <a:pos x="connsiteX3" y="connsiteY3"/>
                            </a:cxn>
                          </a:cxnLst>
                          <a:rect l="l" t="t" r="r" b="b"/>
                          <a:pathLst>
                            <a:path w="1449461" h="724701">
                              <a:moveTo>
                                <a:pt x="1449462" y="724701"/>
                              </a:moveTo>
                              <a:lnTo>
                                <a:pt x="0" y="724701"/>
                              </a:lnTo>
                              <a:lnTo>
                                <a:pt x="724751" y="0"/>
                              </a:lnTo>
                              <a:lnTo>
                                <a:pt x="1449462" y="724701"/>
                              </a:lnTo>
                              <a:close/>
                            </a:path>
                          </a:pathLst>
                        </a:custGeom>
                        <a:solidFill>
                          <a:schemeClr val="accent5"/>
                        </a:solidFill>
                        <a:ln w="40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A37997A" id="Graphic 45" o:spid="_x0000_s1026" alt="&quot;&quot;" style="position:absolute;margin-left:450.85pt;margin-top:768.75pt;width:146.4pt;height:73.1pt;z-index:-251658239;mso-position-horizontal-relative:page;mso-position-vertical-relative:page;mso-width-relative:margin;mso-height-relative:margin" coordsize="28989,14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">
              <v:shape id="Freeform: Shape 1923103410" o:spid="_x0000_s1027" style="position:absolute;left:9369;top:2122;width:10250;height:10249;rotation:-45;visibility:visible;mso-wrap-style:square;v-text-anchor:middle" coordsize="1024933,1024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" path="m,l1024933,r,1024863l,1024863,,xe" fillcolor="#71c5e8 [3204]" stroked="f" strokeweight=".1125mm">
                <v:stroke joinstyle="miter"/>
                <v:path arrowok="t" o:connecttype="custom" o:connectlocs="0,0;1024933,0;1024933,1024863;0,1024863" o:connectangles="0,0,0,0"/>
              </v:shape>
              <v:shape id="Freeform: Shape 852170625" o:spid="_x0000_s1028" style="position:absolute;left:21742;width:7247;height:14494;visibility:visible;mso-wrap-style:square;v-text-anchor:middle" coordsize="724751,1449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" path="m724751,r-40,1449402l,724701,724711,r40,xe" fillcolor="#c4e7f6 [3209]" stroked="f" strokeweight=".1125mm">
                <v:stroke joinstyle="miter"/>
                <v:path arrowok="t" o:connecttype="custom" o:connectlocs="724751,0;724711,1449402;0,724701;724711,0;724751,0" o:connectangles="0,0,0,0,0"/>
              </v:shape>
              <v:shape id="Freeform: Shape 476198760" o:spid="_x0000_s1029" style="position:absolute;top:7182;width:14494;height:7247;visibility:visible;mso-wrap-style:square;v-text-anchor:middle" coordsize="1449421,724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" path="m724711,r724710,724661l724711,724701,,724661,724711,xe" fillcolor="#c4e7f6 [3209]" stroked="f" strokeweight=".1125mm">
                <v:stroke joinstyle="miter"/>
                <v:path arrowok="t" o:connecttype="custom" o:connectlocs="724711,0;1449421,724660;724711,724700;0,724660;724711,0" o:connectangles="0,0,0,0,0"/>
              </v:shape>
              <v:shape id="Freeform: Shape 258461260" o:spid="_x0000_s1030" style="position:absolute;left:14494;top:7182;width:14495;height:7247;visibility:visible;mso-wrap-style:square;v-text-anchor:middle" coordsize="1449461,724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" path="m1449462,724701l,724701,724751,r724711,724701xe" fillcolor="#98d5ef [3208]" stroked="f" strokeweight=".1125mm">
                <v:stroke joinstyle="miter"/>
                <v:path arrowok="t" o:connecttype="custom" o:connectlocs="1449462,724702;0,724702;724751,0;1449462,724702" o:connectangles="0,0,0,0"/>
              </v:shape>
              <w10:wrap anchorx="page" anchory="page"/>
            </v:group>
          </w:pict>
        </mc:Fallback>
      </mc:AlternateContent>
    </w:r>
    <w:r w:rsidRPr="009057A9">
      <w:rPr>
        <w:rFonts w:asciiTheme="majorHAnsi" w:hAnsiTheme="majorHAnsi"/>
      </w:rPr>
      <w:fldChar w:fldCharType="begin"/>
    </w:r>
    <w:r w:rsidRPr="009057A9">
      <w:rPr>
        <w:rFonts w:asciiTheme="majorHAnsi" w:hAnsiTheme="majorHAnsi"/>
      </w:rPr>
      <w:instrText xml:space="preserve"> STYLEREF  Title  \* MERGEFORMAT </w:instrText>
    </w:r>
    <w:r w:rsidRPr="009057A9">
      <w:rPr>
        <w:rFonts w:asciiTheme="majorHAnsi" w:hAnsiTheme="majorHAnsi"/>
      </w:rPr>
      <w:fldChar w:fldCharType="separate"/>
    </w:r>
    <w:r w:rsidR="009645ED" w:rsidRPr="009645ED">
      <w:rPr>
        <w:rFonts w:asciiTheme="majorHAnsi" w:hAnsiTheme="majorHAnsi"/>
        <w:b/>
        <w:bCs/>
        <w:lang w:val="en-US"/>
      </w:rPr>
      <w:t>Victorian</w:t>
    </w:r>
    <w:r w:rsidR="009645ED">
      <w:rPr>
        <w:rFonts w:asciiTheme="majorHAnsi" w:hAnsiTheme="majorHAnsi"/>
      </w:rPr>
      <w:t xml:space="preserve"> Guide to Regulation: Evaluation Toolkit</w:t>
    </w:r>
    <w:r w:rsidRPr="009057A9">
      <w:rPr>
        <w:rFonts w:asciiTheme="majorHAnsi" w:hAnsiTheme="majorHAnsi"/>
      </w:rPr>
      <w:fldChar w:fldCharType="end"/>
    </w:r>
    <w:r>
      <w:tab/>
    </w:r>
    <w:r w:rsidRPr="008351E2">
      <w:rPr>
        <w:noProof w:val="0"/>
        <w:color w:val="FFFFFF" w:themeColor="background1"/>
      </w:rPr>
      <w:fldChar w:fldCharType="begin"/>
    </w:r>
    <w:r w:rsidRPr="008351E2">
      <w:rPr>
        <w:color w:val="FFFFFF" w:themeColor="background1"/>
      </w:rPr>
      <w:instrText xml:space="preserve"> PAGE   \* MERGEFORMAT </w:instrText>
    </w:r>
    <w:r w:rsidRPr="008351E2">
      <w:rPr>
        <w:noProof w:val="0"/>
        <w:color w:val="FFFFFF" w:themeColor="background1"/>
      </w:rPr>
      <w:fldChar w:fldCharType="separate"/>
    </w:r>
    <w:r>
      <w:rPr>
        <w:color w:val="FFFFFF" w:themeColor="background1"/>
      </w:rPr>
      <w:t>3</w:t>
    </w:r>
    <w:r w:rsidRPr="008351E2">
      <w:rPr>
        <w:color w:val="FFFFFF" w:themeColor="background1"/>
      </w:rPr>
      <w:fldChar w:fldCharType="end"/>
    </w:r>
  </w:p>
  <w:p w14:paraId="547E8184" w14:textId="77777777" w:rsidR="00510650" w:rsidRPr="00546AED" w:rsidRDefault="00510650" w:rsidP="004126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2B2CE" w14:textId="1E99B341" w:rsidR="00A02FBF" w:rsidRDefault="00A02FBF" w:rsidP="00A02FBF">
    <w:pPr>
      <w:pStyle w:val="Footer"/>
      <w:tabs>
        <w:tab w:val="clear" w:pos="9026"/>
        <w:tab w:val="right" w:pos="9090"/>
      </w:tabs>
      <w:spacing w:before="60"/>
      <w:ind w:right="-158"/>
    </w:pPr>
    <w:r>
      <mc:AlternateContent>
        <mc:Choice Requires="wpg">
          <w:drawing>
            <wp:anchor distT="0" distB="0" distL="114300" distR="114300" simplePos="0" relativeHeight="251658240" behindDoc="1" locked="0" layoutInCell="1" allowOverlap="1" wp14:anchorId="4F87B2D5" wp14:editId="23E467BA">
              <wp:simplePos x="0" y="0"/>
              <wp:positionH relativeFrom="page">
                <wp:posOffset>5725795</wp:posOffset>
              </wp:positionH>
              <wp:positionV relativeFrom="page">
                <wp:posOffset>9762818</wp:posOffset>
              </wp:positionV>
              <wp:extent cx="1859016" cy="928223"/>
              <wp:effectExtent l="0" t="19050" r="8255" b="5715"/>
              <wp:wrapNone/>
              <wp:docPr id="46" name="Graphic 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59016" cy="928223"/>
                        <a:chOff x="0" y="0"/>
                        <a:chExt cx="2898963" cy="1449402"/>
                      </a:xfrm>
                    </wpg:grpSpPr>
                    <wps:wsp>
                      <wps:cNvPr id="47" name="Freeform: Shape 47"/>
                      <wps:cNvSpPr/>
                      <wps:spPr>
                        <a:xfrm rot="-2700000">
                          <a:off x="936995" y="212248"/>
                          <a:ext cx="1024933" cy="1024862"/>
                        </a:xfrm>
                        <a:custGeom>
                          <a:avLst/>
                          <a:gdLst>
                            <a:gd name="connsiteX0" fmla="*/ 0 w 1024933"/>
                            <a:gd name="connsiteY0" fmla="*/ 0 h 1024862"/>
                            <a:gd name="connsiteX1" fmla="*/ 1024933 w 1024933"/>
                            <a:gd name="connsiteY1" fmla="*/ 0 h 1024862"/>
                            <a:gd name="connsiteX2" fmla="*/ 1024933 w 1024933"/>
                            <a:gd name="connsiteY2" fmla="*/ 1024863 h 1024862"/>
                            <a:gd name="connsiteX3" fmla="*/ 0 w 1024933"/>
                            <a:gd name="connsiteY3" fmla="*/ 1024863 h 1024862"/>
                          </a:gdLst>
                          <a:ahLst/>
                          <a:cxnLst>
                            <a:cxn ang="0">
                              <a:pos x="connsiteX0" y="connsiteY0"/>
                            </a:cxn>
                            <a:cxn ang="0">
                              <a:pos x="connsiteX1" y="connsiteY1"/>
                            </a:cxn>
                            <a:cxn ang="0">
                              <a:pos x="connsiteX2" y="connsiteY2"/>
                            </a:cxn>
                            <a:cxn ang="0">
                              <a:pos x="connsiteX3" y="connsiteY3"/>
                            </a:cxn>
                          </a:cxnLst>
                          <a:rect l="l" t="t" r="r" b="b"/>
                          <a:pathLst>
                            <a:path w="1024933" h="1024862">
                              <a:moveTo>
                                <a:pt x="0" y="0"/>
                              </a:moveTo>
                              <a:lnTo>
                                <a:pt x="1024933" y="0"/>
                              </a:lnTo>
                              <a:lnTo>
                                <a:pt x="1024933" y="1024863"/>
                              </a:lnTo>
                              <a:lnTo>
                                <a:pt x="0" y="1024863"/>
                              </a:lnTo>
                              <a:close/>
                            </a:path>
                          </a:pathLst>
                        </a:custGeom>
                        <a:solidFill>
                          <a:schemeClr val="accent1"/>
                        </a:solidFill>
                        <a:ln w="40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8" name="Freeform: Shape 48"/>
                      <wps:cNvSpPr/>
                      <wps:spPr>
                        <a:xfrm>
                          <a:off x="2174212" y="0"/>
                          <a:ext cx="724751" cy="1449402"/>
                        </a:xfrm>
                        <a:custGeom>
                          <a:avLst/>
                          <a:gdLst>
                            <a:gd name="connsiteX0" fmla="*/ 724751 w 724751"/>
                            <a:gd name="connsiteY0" fmla="*/ 0 h 1449402"/>
                            <a:gd name="connsiteX1" fmla="*/ 724711 w 724751"/>
                            <a:gd name="connsiteY1" fmla="*/ 1449402 h 1449402"/>
                            <a:gd name="connsiteX2" fmla="*/ 0 w 724751"/>
                            <a:gd name="connsiteY2" fmla="*/ 724701 h 1449402"/>
                            <a:gd name="connsiteX3" fmla="*/ 724711 w 724751"/>
                            <a:gd name="connsiteY3" fmla="*/ 0 h 1449402"/>
                            <a:gd name="connsiteX4" fmla="*/ 724751 w 724751"/>
                            <a:gd name="connsiteY4" fmla="*/ 0 h 144940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24751" h="1449402">
                              <a:moveTo>
                                <a:pt x="724751" y="0"/>
                              </a:moveTo>
                              <a:lnTo>
                                <a:pt x="724711" y="1449402"/>
                              </a:lnTo>
                              <a:lnTo>
                                <a:pt x="0" y="724701"/>
                              </a:lnTo>
                              <a:lnTo>
                                <a:pt x="724711" y="0"/>
                              </a:lnTo>
                              <a:lnTo>
                                <a:pt x="724751" y="0"/>
                              </a:lnTo>
                              <a:close/>
                            </a:path>
                          </a:pathLst>
                        </a:custGeom>
                        <a:solidFill>
                          <a:schemeClr val="accent6"/>
                        </a:solidFill>
                        <a:ln w="40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9" name="Freeform: Shape 49"/>
                      <wps:cNvSpPr/>
                      <wps:spPr>
                        <a:xfrm>
                          <a:off x="0" y="718239"/>
                          <a:ext cx="1449421" cy="724700"/>
                        </a:xfrm>
                        <a:custGeom>
                          <a:avLst/>
                          <a:gdLst>
                            <a:gd name="connsiteX0" fmla="*/ 724711 w 1449421"/>
                            <a:gd name="connsiteY0" fmla="*/ 0 h 724701"/>
                            <a:gd name="connsiteX1" fmla="*/ 1449421 w 1449421"/>
                            <a:gd name="connsiteY1" fmla="*/ 724661 h 724701"/>
                            <a:gd name="connsiteX2" fmla="*/ 724711 w 1449421"/>
                            <a:gd name="connsiteY2" fmla="*/ 724701 h 724701"/>
                            <a:gd name="connsiteX3" fmla="*/ 0 w 1449421"/>
                            <a:gd name="connsiteY3" fmla="*/ 724661 h 724701"/>
                            <a:gd name="connsiteX4" fmla="*/ 724711 w 1449421"/>
                            <a:gd name="connsiteY4" fmla="*/ 0 h 72470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49421" h="724701">
                              <a:moveTo>
                                <a:pt x="724711" y="0"/>
                              </a:moveTo>
                              <a:lnTo>
                                <a:pt x="1449421" y="724661"/>
                              </a:lnTo>
                              <a:lnTo>
                                <a:pt x="724711" y="724701"/>
                              </a:lnTo>
                              <a:lnTo>
                                <a:pt x="0" y="724661"/>
                              </a:lnTo>
                              <a:lnTo>
                                <a:pt x="724711" y="0"/>
                              </a:lnTo>
                              <a:close/>
                            </a:path>
                          </a:pathLst>
                        </a:custGeom>
                        <a:solidFill>
                          <a:schemeClr val="accent6"/>
                        </a:solidFill>
                        <a:ln w="40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0" name="Freeform: Shape 50"/>
                      <wps:cNvSpPr/>
                      <wps:spPr>
                        <a:xfrm>
                          <a:off x="1449461" y="718240"/>
                          <a:ext cx="1449461" cy="724702"/>
                        </a:xfrm>
                        <a:custGeom>
                          <a:avLst/>
                          <a:gdLst>
                            <a:gd name="connsiteX0" fmla="*/ 1449462 w 1449461"/>
                            <a:gd name="connsiteY0" fmla="*/ 724701 h 724701"/>
                            <a:gd name="connsiteX1" fmla="*/ 0 w 1449461"/>
                            <a:gd name="connsiteY1" fmla="*/ 724701 h 724701"/>
                            <a:gd name="connsiteX2" fmla="*/ 724751 w 1449461"/>
                            <a:gd name="connsiteY2" fmla="*/ 0 h 724701"/>
                            <a:gd name="connsiteX3" fmla="*/ 1449462 w 1449461"/>
                            <a:gd name="connsiteY3" fmla="*/ 724701 h 724701"/>
                          </a:gdLst>
                          <a:ahLst/>
                          <a:cxnLst>
                            <a:cxn ang="0">
                              <a:pos x="connsiteX0" y="connsiteY0"/>
                            </a:cxn>
                            <a:cxn ang="0">
                              <a:pos x="connsiteX1" y="connsiteY1"/>
                            </a:cxn>
                            <a:cxn ang="0">
                              <a:pos x="connsiteX2" y="connsiteY2"/>
                            </a:cxn>
                            <a:cxn ang="0">
                              <a:pos x="connsiteX3" y="connsiteY3"/>
                            </a:cxn>
                          </a:cxnLst>
                          <a:rect l="l" t="t" r="r" b="b"/>
                          <a:pathLst>
                            <a:path w="1449461" h="724701">
                              <a:moveTo>
                                <a:pt x="1449462" y="724701"/>
                              </a:moveTo>
                              <a:lnTo>
                                <a:pt x="0" y="724701"/>
                              </a:lnTo>
                              <a:lnTo>
                                <a:pt x="724751" y="0"/>
                              </a:lnTo>
                              <a:lnTo>
                                <a:pt x="1449462" y="724701"/>
                              </a:lnTo>
                              <a:close/>
                            </a:path>
                          </a:pathLst>
                        </a:custGeom>
                        <a:solidFill>
                          <a:schemeClr val="accent5"/>
                        </a:solidFill>
                        <a:ln w="40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4742973" id="Graphic 45" o:spid="_x0000_s1026" alt="&quot;&quot;" style="position:absolute;margin-left:450.85pt;margin-top:768.75pt;width:146.4pt;height:73.1pt;z-index:-251658240;mso-position-horizontal-relative:page;mso-position-vertical-relative:page;mso-width-relative:margin;mso-height-relative:margin" coordsize="28989,14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">
              <v:shape id="Freeform: Shape 47" o:spid="_x0000_s1027" style="position:absolute;left:9369;top:2122;width:10250;height:10249;rotation:-45;visibility:visible;mso-wrap-style:square;v-text-anchor:middle" coordsize="1024933,1024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" path="m,l1024933,r,1024863l,1024863,,xe" fillcolor="#71c5e8 [3204]" stroked="f" strokeweight=".1125mm">
                <v:stroke joinstyle="miter"/>
                <v:path arrowok="t" o:connecttype="custom" o:connectlocs="0,0;1024933,0;1024933,1024863;0,1024863" o:connectangles="0,0,0,0"/>
              </v:shape>
              <v:shape id="Freeform: Shape 48" o:spid="_x0000_s1028" style="position:absolute;left:21742;width:7247;height:14494;visibility:visible;mso-wrap-style:square;v-text-anchor:middle" coordsize="724751,1449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" path="m724751,r-40,1449402l,724701,724711,r40,xe" fillcolor="#c4e7f6 [3209]" stroked="f" strokeweight=".1125mm">
                <v:stroke joinstyle="miter"/>
                <v:path arrowok="t" o:connecttype="custom" o:connectlocs="724751,0;724711,1449402;0,724701;724711,0;724751,0" o:connectangles="0,0,0,0,0"/>
              </v:shape>
              <v:shape id="Freeform: Shape 49" o:spid="_x0000_s1029" style="position:absolute;top:7182;width:14494;height:7247;visibility:visible;mso-wrap-style:square;v-text-anchor:middle" coordsize="1449421,724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" path="m724711,r724710,724661l724711,724701,,724661,724711,xe" fillcolor="#c4e7f6 [3209]" stroked="f" strokeweight=".1125mm">
                <v:stroke joinstyle="miter"/>
                <v:path arrowok="t" o:connecttype="custom" o:connectlocs="724711,0;1449421,724660;724711,724700;0,724660;724711,0" o:connectangles="0,0,0,0,0"/>
              </v:shape>
              <v:shape id="Freeform: Shape 50" o:spid="_x0000_s1030" style="position:absolute;left:14494;top:7182;width:14495;height:7247;visibility:visible;mso-wrap-style:square;v-text-anchor:middle" coordsize="1449461,724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" path="m1449462,724701l,724701,724751,r724711,724701xe" fillcolor="#98d5ef [3208]" stroked="f" strokeweight=".1125mm">
                <v:stroke joinstyle="miter"/>
                <v:path arrowok="t" o:connecttype="custom" o:connectlocs="1449462,724702;0,724702;724751,0;1449462,724702" o:connectangles="0,0,0,0"/>
              </v:shape>
              <w10:wrap anchorx="page" anchory="page"/>
            </v:group>
          </w:pict>
        </mc:Fallback>
      </mc:AlternateContent>
    </w:r>
    <w:r w:rsidRPr="009057A9">
      <w:rPr>
        <w:rFonts w:asciiTheme="majorHAnsi" w:hAnsiTheme="majorHAnsi"/>
      </w:rPr>
      <w:fldChar w:fldCharType="begin"/>
    </w:r>
    <w:r w:rsidRPr="009057A9">
      <w:rPr>
        <w:rFonts w:asciiTheme="majorHAnsi" w:hAnsiTheme="majorHAnsi"/>
      </w:rPr>
      <w:instrText xml:space="preserve"> STYLEREF  Title  \* MERGEFORMAT </w:instrText>
    </w:r>
    <w:r w:rsidRPr="009057A9">
      <w:rPr>
        <w:rFonts w:asciiTheme="majorHAnsi" w:hAnsiTheme="majorHAnsi"/>
      </w:rPr>
      <w:fldChar w:fldCharType="separate"/>
    </w:r>
    <w:r w:rsidR="009645ED" w:rsidRPr="009645ED">
      <w:rPr>
        <w:rFonts w:asciiTheme="majorHAnsi" w:hAnsiTheme="majorHAnsi"/>
        <w:b/>
        <w:bCs/>
        <w:lang w:val="en-US"/>
      </w:rPr>
      <w:t>Victorian</w:t>
    </w:r>
    <w:r w:rsidR="009645ED">
      <w:rPr>
        <w:rFonts w:asciiTheme="majorHAnsi" w:hAnsiTheme="majorHAnsi"/>
      </w:rPr>
      <w:t xml:space="preserve"> Guide to Regulation: Evaluation Toolkit</w:t>
    </w:r>
    <w:r w:rsidRPr="009057A9">
      <w:rPr>
        <w:rFonts w:asciiTheme="majorHAnsi" w:hAnsiTheme="majorHAnsi"/>
      </w:rPr>
      <w:fldChar w:fldCharType="end"/>
    </w:r>
    <w:r w:rsidR="0033048F">
      <w:rPr>
        <w:rFonts w:asciiTheme="majorHAnsi" w:hAnsiTheme="majorHAnsi"/>
      </w:rPr>
      <w:tab/>
    </w:r>
    <w:r w:rsidRPr="008351E2">
      <w:rPr>
        <w:noProof w:val="0"/>
        <w:color w:val="FFFFFF" w:themeColor="background1"/>
      </w:rPr>
      <w:fldChar w:fldCharType="begin"/>
    </w:r>
    <w:r w:rsidRPr="008351E2">
      <w:rPr>
        <w:color w:val="FFFFFF" w:themeColor="background1"/>
      </w:rPr>
      <w:instrText xml:space="preserve"> PAGE   \* MERGEFORMAT </w:instrText>
    </w:r>
    <w:r w:rsidRPr="008351E2">
      <w:rPr>
        <w:noProof w:val="0"/>
        <w:color w:val="FFFFFF" w:themeColor="background1"/>
      </w:rPr>
      <w:fldChar w:fldCharType="separate"/>
    </w:r>
    <w:r w:rsidR="00B47FA7">
      <w:rPr>
        <w:noProof w:val="0"/>
        <w:color w:val="FFFFFF" w:themeColor="background1"/>
      </w:rPr>
      <w:t>I</w:t>
    </w:r>
    <w:r w:rsidRPr="008351E2">
      <w:rPr>
        <w:color w:val="FFFFFF" w:themeColor="background1"/>
      </w:rPr>
      <w:fldChar w:fldCharType="end"/>
    </w:r>
  </w:p>
  <w:p w14:paraId="7172788D" w14:textId="77777777" w:rsidR="00A02FBF" w:rsidRPr="00546AED" w:rsidRDefault="00A02FBF" w:rsidP="00A02F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8715FC" w14:textId="77777777" w:rsidR="0091666E" w:rsidRDefault="0091666E" w:rsidP="0001355D">
      <w:pPr>
        <w:spacing w:before="0" w:after="0" w:line="240" w:lineRule="auto"/>
      </w:pPr>
      <w:r>
        <w:separator/>
      </w:r>
    </w:p>
  </w:footnote>
  <w:footnote w:type="continuationSeparator" w:id="0">
    <w:p w14:paraId="7DBEBDBA" w14:textId="77777777" w:rsidR="0091666E" w:rsidRDefault="0091666E" w:rsidP="0001355D">
      <w:pPr>
        <w:spacing w:before="0" w:after="0" w:line="240" w:lineRule="auto"/>
      </w:pPr>
      <w:r>
        <w:continuationSeparator/>
      </w:r>
    </w:p>
  </w:footnote>
  <w:footnote w:type="continuationNotice" w:id="1">
    <w:p w14:paraId="181E547A" w14:textId="77777777" w:rsidR="0091666E" w:rsidRDefault="0091666E">
      <w:pPr>
        <w:spacing w:before="0" w:after="0" w:line="240" w:lineRule="auto"/>
      </w:pPr>
    </w:p>
  </w:footnote>
  <w:footnote w:id="2">
    <w:p w14:paraId="63F6450B" w14:textId="238EFEFB" w:rsidR="0211BF1B" w:rsidRDefault="0211BF1B" w:rsidP="0211BF1B">
      <w:pPr>
        <w:pStyle w:val="FootnoteText"/>
        <w:rPr>
          <w:lang w:val="en-US"/>
        </w:rPr>
      </w:pPr>
      <w:r w:rsidRPr="0211BF1B">
        <w:rPr>
          <w:rStyle w:val="FootnoteReference"/>
        </w:rPr>
        <w:footnoteRef/>
      </w:r>
      <w:r>
        <w:t xml:space="preserve"> </w:t>
      </w:r>
      <w:r w:rsidRPr="0211BF1B">
        <w:rPr>
          <w:rFonts w:ascii="VIC" w:eastAsia="Times New Roman" w:hAnsi="VIC" w:cs="Times New Roman"/>
          <w:szCs w:val="17"/>
        </w:rPr>
        <w:t xml:space="preserve">See the </w:t>
      </w:r>
      <w:r w:rsidRPr="0211BF1B">
        <w:rPr>
          <w:rFonts w:ascii="VIC" w:eastAsia="Times New Roman" w:hAnsi="VIC" w:cs="Times New Roman"/>
          <w:b/>
          <w:bCs/>
          <w:szCs w:val="17"/>
        </w:rPr>
        <w:t xml:space="preserve">problem analysis </w:t>
      </w:r>
      <w:r w:rsidRPr="0211BF1B">
        <w:rPr>
          <w:rFonts w:ascii="VIC" w:eastAsia="Times New Roman" w:hAnsi="VIC" w:cs="Times New Roman"/>
          <w:szCs w:val="17"/>
        </w:rPr>
        <w:t>toolkit, which summarises Parker and Nielsen’s Regulatory Theory Chapter 13 – Compliance: the 14 Questions</w:t>
      </w:r>
      <w:r w:rsidRPr="0211BF1B">
        <w:rPr>
          <w:rFonts w:ascii="Calibri" w:eastAsia="Times New Roman" w:hAnsi="Calibri" w:cs="Calibri"/>
          <w:szCs w:val="17"/>
        </w:rPr>
        <w:t> </w:t>
      </w:r>
      <w:r w:rsidRPr="0211BF1B">
        <w:rPr>
          <w:rFonts w:ascii="VIC" w:eastAsia="Times New Roman" w:hAnsi="VIC" w:cs="VIC"/>
          <w:szCs w:val="17"/>
        </w:rPr>
        <w:t>–</w:t>
      </w:r>
      <w:r w:rsidR="00123490">
        <w:rPr>
          <w:rFonts w:ascii="VIC" w:eastAsia="Times New Roman" w:hAnsi="VIC" w:cs="VIC"/>
          <w:szCs w:val="17"/>
        </w:rPr>
        <w:t xml:space="preserve"> </w:t>
      </w:r>
      <w:hyperlink r:id="rId1" w:history="1">
        <w:r w:rsidR="00123490" w:rsidRPr="00123490">
          <w:rPr>
            <w:rStyle w:val="Hyperlink"/>
            <w:rFonts w:ascii="VIC" w:eastAsia="Times New Roman" w:hAnsi="VIC" w:cs="VIC"/>
            <w:szCs w:val="17"/>
          </w:rPr>
          <w:t>www.jstor.org/stable/pdf/j.ctt1q1crtm.21.pdf</w:t>
        </w:r>
      </w:hyperlink>
      <w:r w:rsidRPr="0211BF1B">
        <w:rPr>
          <w:rFonts w:ascii="Calibri" w:eastAsia="Times New Roman" w:hAnsi="Calibri" w:cs="Calibri"/>
          <w:szCs w:val="17"/>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64E72" w14:textId="77777777" w:rsidR="00510650" w:rsidRDefault="00510650" w:rsidP="004126A4">
    <w:pPr>
      <w:pStyle w:val="Header"/>
    </w:pPr>
    <w:r>
      <w:rPr>
        <w:noProof/>
      </w:rPr>
      <w:drawing>
        <wp:inline distT="0" distB="0" distL="0" distR="0" wp14:anchorId="4B92AB5D" wp14:editId="54C4E8EC">
          <wp:extent cx="541165" cy="720000"/>
          <wp:effectExtent l="0" t="0" r="0" b="4445"/>
          <wp:docPr id="889940540" name="Picture 8899405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165" cy="7200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09E87"/>
    <w:multiLevelType w:val="hybridMultilevel"/>
    <w:tmpl w:val="18EED27E"/>
    <w:lvl w:ilvl="0" w:tplc="E12C10E0">
      <w:start w:val="1"/>
      <w:numFmt w:val="bullet"/>
      <w:lvlText w:val=""/>
      <w:lvlJc w:val="left"/>
      <w:pPr>
        <w:ind w:left="720" w:hanging="360"/>
      </w:pPr>
      <w:rPr>
        <w:rFonts w:ascii="Symbol" w:hAnsi="Symbol" w:hint="default"/>
      </w:rPr>
    </w:lvl>
    <w:lvl w:ilvl="1" w:tplc="9FF4C37A">
      <w:start w:val="1"/>
      <w:numFmt w:val="bullet"/>
      <w:lvlText w:val="o"/>
      <w:lvlJc w:val="left"/>
      <w:pPr>
        <w:ind w:left="1440" w:hanging="360"/>
      </w:pPr>
      <w:rPr>
        <w:rFonts w:ascii="Courier New" w:hAnsi="Courier New" w:hint="default"/>
      </w:rPr>
    </w:lvl>
    <w:lvl w:ilvl="2" w:tplc="AA82AA70">
      <w:start w:val="1"/>
      <w:numFmt w:val="bullet"/>
      <w:lvlText w:val=""/>
      <w:lvlJc w:val="left"/>
      <w:pPr>
        <w:ind w:left="2160" w:hanging="360"/>
      </w:pPr>
      <w:rPr>
        <w:rFonts w:ascii="Wingdings" w:hAnsi="Wingdings" w:hint="default"/>
      </w:rPr>
    </w:lvl>
    <w:lvl w:ilvl="3" w:tplc="FEC6BB82">
      <w:start w:val="1"/>
      <w:numFmt w:val="bullet"/>
      <w:lvlText w:val=""/>
      <w:lvlJc w:val="left"/>
      <w:pPr>
        <w:ind w:left="2880" w:hanging="360"/>
      </w:pPr>
      <w:rPr>
        <w:rFonts w:ascii="Symbol" w:hAnsi="Symbol" w:hint="default"/>
      </w:rPr>
    </w:lvl>
    <w:lvl w:ilvl="4" w:tplc="001A3FA2">
      <w:start w:val="1"/>
      <w:numFmt w:val="bullet"/>
      <w:lvlText w:val="o"/>
      <w:lvlJc w:val="left"/>
      <w:pPr>
        <w:ind w:left="3600" w:hanging="360"/>
      </w:pPr>
      <w:rPr>
        <w:rFonts w:ascii="Courier New" w:hAnsi="Courier New" w:hint="default"/>
      </w:rPr>
    </w:lvl>
    <w:lvl w:ilvl="5" w:tplc="78D86A5E">
      <w:start w:val="1"/>
      <w:numFmt w:val="bullet"/>
      <w:lvlText w:val=""/>
      <w:lvlJc w:val="left"/>
      <w:pPr>
        <w:ind w:left="4320" w:hanging="360"/>
      </w:pPr>
      <w:rPr>
        <w:rFonts w:ascii="Wingdings" w:hAnsi="Wingdings" w:hint="default"/>
      </w:rPr>
    </w:lvl>
    <w:lvl w:ilvl="6" w:tplc="F4FAB054">
      <w:start w:val="1"/>
      <w:numFmt w:val="bullet"/>
      <w:lvlText w:val=""/>
      <w:lvlJc w:val="left"/>
      <w:pPr>
        <w:ind w:left="5040" w:hanging="360"/>
      </w:pPr>
      <w:rPr>
        <w:rFonts w:ascii="Symbol" w:hAnsi="Symbol" w:hint="default"/>
      </w:rPr>
    </w:lvl>
    <w:lvl w:ilvl="7" w:tplc="06184802">
      <w:start w:val="1"/>
      <w:numFmt w:val="bullet"/>
      <w:lvlText w:val="o"/>
      <w:lvlJc w:val="left"/>
      <w:pPr>
        <w:ind w:left="5760" w:hanging="360"/>
      </w:pPr>
      <w:rPr>
        <w:rFonts w:ascii="Courier New" w:hAnsi="Courier New" w:hint="default"/>
      </w:rPr>
    </w:lvl>
    <w:lvl w:ilvl="8" w:tplc="F29618C4">
      <w:start w:val="1"/>
      <w:numFmt w:val="bullet"/>
      <w:lvlText w:val=""/>
      <w:lvlJc w:val="left"/>
      <w:pPr>
        <w:ind w:left="6480" w:hanging="360"/>
      </w:pPr>
      <w:rPr>
        <w:rFonts w:ascii="Wingdings" w:hAnsi="Wingdings" w:hint="default"/>
      </w:rPr>
    </w:lvl>
  </w:abstractNum>
  <w:abstractNum w:abstractNumId="1" w15:restartNumberingAfterBreak="0">
    <w:nsid w:val="1A4D3055"/>
    <w:multiLevelType w:val="hybridMultilevel"/>
    <w:tmpl w:val="DDB85A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F1402F3"/>
    <w:multiLevelType w:val="hybridMultilevel"/>
    <w:tmpl w:val="B132602A"/>
    <w:lvl w:ilvl="0" w:tplc="92680A60">
      <w:start w:val="1"/>
      <w:numFmt w:val="bullet"/>
      <w:lvlText w:val="•"/>
      <w:lvlJc w:val="left"/>
      <w:pPr>
        <w:tabs>
          <w:tab w:val="num" w:pos="720"/>
        </w:tabs>
        <w:ind w:left="720" w:hanging="360"/>
      </w:pPr>
      <w:rPr>
        <w:rFonts w:ascii="Arial" w:hAnsi="Arial" w:hint="default"/>
      </w:rPr>
    </w:lvl>
    <w:lvl w:ilvl="1" w:tplc="6B90041E" w:tentative="1">
      <w:start w:val="1"/>
      <w:numFmt w:val="bullet"/>
      <w:lvlText w:val="•"/>
      <w:lvlJc w:val="left"/>
      <w:pPr>
        <w:tabs>
          <w:tab w:val="num" w:pos="1440"/>
        </w:tabs>
        <w:ind w:left="1440" w:hanging="360"/>
      </w:pPr>
      <w:rPr>
        <w:rFonts w:ascii="Arial" w:hAnsi="Arial" w:hint="default"/>
      </w:rPr>
    </w:lvl>
    <w:lvl w:ilvl="2" w:tplc="446E916A" w:tentative="1">
      <w:start w:val="1"/>
      <w:numFmt w:val="bullet"/>
      <w:lvlText w:val="•"/>
      <w:lvlJc w:val="left"/>
      <w:pPr>
        <w:tabs>
          <w:tab w:val="num" w:pos="2160"/>
        </w:tabs>
        <w:ind w:left="2160" w:hanging="360"/>
      </w:pPr>
      <w:rPr>
        <w:rFonts w:ascii="Arial" w:hAnsi="Arial" w:hint="default"/>
      </w:rPr>
    </w:lvl>
    <w:lvl w:ilvl="3" w:tplc="1F38F1AE" w:tentative="1">
      <w:start w:val="1"/>
      <w:numFmt w:val="bullet"/>
      <w:lvlText w:val="•"/>
      <w:lvlJc w:val="left"/>
      <w:pPr>
        <w:tabs>
          <w:tab w:val="num" w:pos="2880"/>
        </w:tabs>
        <w:ind w:left="2880" w:hanging="360"/>
      </w:pPr>
      <w:rPr>
        <w:rFonts w:ascii="Arial" w:hAnsi="Arial" w:hint="default"/>
      </w:rPr>
    </w:lvl>
    <w:lvl w:ilvl="4" w:tplc="657CCDCA" w:tentative="1">
      <w:start w:val="1"/>
      <w:numFmt w:val="bullet"/>
      <w:lvlText w:val="•"/>
      <w:lvlJc w:val="left"/>
      <w:pPr>
        <w:tabs>
          <w:tab w:val="num" w:pos="3600"/>
        </w:tabs>
        <w:ind w:left="3600" w:hanging="360"/>
      </w:pPr>
      <w:rPr>
        <w:rFonts w:ascii="Arial" w:hAnsi="Arial" w:hint="default"/>
      </w:rPr>
    </w:lvl>
    <w:lvl w:ilvl="5" w:tplc="32C07740" w:tentative="1">
      <w:start w:val="1"/>
      <w:numFmt w:val="bullet"/>
      <w:lvlText w:val="•"/>
      <w:lvlJc w:val="left"/>
      <w:pPr>
        <w:tabs>
          <w:tab w:val="num" w:pos="4320"/>
        </w:tabs>
        <w:ind w:left="4320" w:hanging="360"/>
      </w:pPr>
      <w:rPr>
        <w:rFonts w:ascii="Arial" w:hAnsi="Arial" w:hint="default"/>
      </w:rPr>
    </w:lvl>
    <w:lvl w:ilvl="6" w:tplc="3FE6B490" w:tentative="1">
      <w:start w:val="1"/>
      <w:numFmt w:val="bullet"/>
      <w:lvlText w:val="•"/>
      <w:lvlJc w:val="left"/>
      <w:pPr>
        <w:tabs>
          <w:tab w:val="num" w:pos="5040"/>
        </w:tabs>
        <w:ind w:left="5040" w:hanging="360"/>
      </w:pPr>
      <w:rPr>
        <w:rFonts w:ascii="Arial" w:hAnsi="Arial" w:hint="default"/>
      </w:rPr>
    </w:lvl>
    <w:lvl w:ilvl="7" w:tplc="6FE28AEC" w:tentative="1">
      <w:start w:val="1"/>
      <w:numFmt w:val="bullet"/>
      <w:lvlText w:val="•"/>
      <w:lvlJc w:val="left"/>
      <w:pPr>
        <w:tabs>
          <w:tab w:val="num" w:pos="5760"/>
        </w:tabs>
        <w:ind w:left="5760" w:hanging="360"/>
      </w:pPr>
      <w:rPr>
        <w:rFonts w:ascii="Arial" w:hAnsi="Arial" w:hint="default"/>
      </w:rPr>
    </w:lvl>
    <w:lvl w:ilvl="8" w:tplc="E35E16B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8B1389B"/>
    <w:multiLevelType w:val="hybridMultilevel"/>
    <w:tmpl w:val="8AEE6D50"/>
    <w:lvl w:ilvl="0" w:tplc="201E6FCA">
      <w:start w:val="1"/>
      <w:numFmt w:val="bullet"/>
      <w:lvlText w:val="•"/>
      <w:lvlJc w:val="left"/>
      <w:pPr>
        <w:tabs>
          <w:tab w:val="num" w:pos="720"/>
        </w:tabs>
        <w:ind w:left="720" w:hanging="360"/>
      </w:pPr>
      <w:rPr>
        <w:rFonts w:ascii="Times New Roman" w:hAnsi="Times New Roman" w:hint="default"/>
      </w:rPr>
    </w:lvl>
    <w:lvl w:ilvl="1" w:tplc="2BA824F4">
      <w:start w:val="1"/>
      <w:numFmt w:val="bullet"/>
      <w:lvlText w:val="•"/>
      <w:lvlJc w:val="left"/>
      <w:pPr>
        <w:tabs>
          <w:tab w:val="num" w:pos="1440"/>
        </w:tabs>
        <w:ind w:left="1440" w:hanging="360"/>
      </w:pPr>
      <w:rPr>
        <w:rFonts w:ascii="Times New Roman" w:hAnsi="Times New Roman" w:hint="default"/>
      </w:rPr>
    </w:lvl>
    <w:lvl w:ilvl="2" w:tplc="2FD8F90E">
      <w:start w:val="1"/>
      <w:numFmt w:val="bullet"/>
      <w:lvlText w:val="•"/>
      <w:lvlJc w:val="left"/>
      <w:pPr>
        <w:tabs>
          <w:tab w:val="num" w:pos="2160"/>
        </w:tabs>
        <w:ind w:left="2160" w:hanging="360"/>
      </w:pPr>
      <w:rPr>
        <w:rFonts w:ascii="Times New Roman" w:hAnsi="Times New Roman" w:hint="default"/>
      </w:rPr>
    </w:lvl>
    <w:lvl w:ilvl="3" w:tplc="4B6CBC76" w:tentative="1">
      <w:start w:val="1"/>
      <w:numFmt w:val="bullet"/>
      <w:lvlText w:val="•"/>
      <w:lvlJc w:val="left"/>
      <w:pPr>
        <w:tabs>
          <w:tab w:val="num" w:pos="2880"/>
        </w:tabs>
        <w:ind w:left="2880" w:hanging="360"/>
      </w:pPr>
      <w:rPr>
        <w:rFonts w:ascii="Times New Roman" w:hAnsi="Times New Roman" w:hint="default"/>
      </w:rPr>
    </w:lvl>
    <w:lvl w:ilvl="4" w:tplc="84B23EC6" w:tentative="1">
      <w:start w:val="1"/>
      <w:numFmt w:val="bullet"/>
      <w:lvlText w:val="•"/>
      <w:lvlJc w:val="left"/>
      <w:pPr>
        <w:tabs>
          <w:tab w:val="num" w:pos="3600"/>
        </w:tabs>
        <w:ind w:left="3600" w:hanging="360"/>
      </w:pPr>
      <w:rPr>
        <w:rFonts w:ascii="Times New Roman" w:hAnsi="Times New Roman" w:hint="default"/>
      </w:rPr>
    </w:lvl>
    <w:lvl w:ilvl="5" w:tplc="AD8EACDA" w:tentative="1">
      <w:start w:val="1"/>
      <w:numFmt w:val="bullet"/>
      <w:lvlText w:val="•"/>
      <w:lvlJc w:val="left"/>
      <w:pPr>
        <w:tabs>
          <w:tab w:val="num" w:pos="4320"/>
        </w:tabs>
        <w:ind w:left="4320" w:hanging="360"/>
      </w:pPr>
      <w:rPr>
        <w:rFonts w:ascii="Times New Roman" w:hAnsi="Times New Roman" w:hint="default"/>
      </w:rPr>
    </w:lvl>
    <w:lvl w:ilvl="6" w:tplc="A3A8E8F8" w:tentative="1">
      <w:start w:val="1"/>
      <w:numFmt w:val="bullet"/>
      <w:lvlText w:val="•"/>
      <w:lvlJc w:val="left"/>
      <w:pPr>
        <w:tabs>
          <w:tab w:val="num" w:pos="5040"/>
        </w:tabs>
        <w:ind w:left="5040" w:hanging="360"/>
      </w:pPr>
      <w:rPr>
        <w:rFonts w:ascii="Times New Roman" w:hAnsi="Times New Roman" w:hint="default"/>
      </w:rPr>
    </w:lvl>
    <w:lvl w:ilvl="7" w:tplc="0076007A" w:tentative="1">
      <w:start w:val="1"/>
      <w:numFmt w:val="bullet"/>
      <w:lvlText w:val="•"/>
      <w:lvlJc w:val="left"/>
      <w:pPr>
        <w:tabs>
          <w:tab w:val="num" w:pos="5760"/>
        </w:tabs>
        <w:ind w:left="5760" w:hanging="360"/>
      </w:pPr>
      <w:rPr>
        <w:rFonts w:ascii="Times New Roman" w:hAnsi="Times New Roman" w:hint="default"/>
      </w:rPr>
    </w:lvl>
    <w:lvl w:ilvl="8" w:tplc="8418FCC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93467F4"/>
    <w:multiLevelType w:val="multilevel"/>
    <w:tmpl w:val="AAEEEB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9E3D96"/>
    <w:multiLevelType w:val="hybridMultilevel"/>
    <w:tmpl w:val="9ABC9068"/>
    <w:lvl w:ilvl="0" w:tplc="7F24286C">
      <w:start w:val="1"/>
      <w:numFmt w:val="bullet"/>
      <w:pStyle w:val="Highlightbox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EE5F86"/>
    <w:multiLevelType w:val="hybridMultilevel"/>
    <w:tmpl w:val="D9C87102"/>
    <w:lvl w:ilvl="0" w:tplc="A0FEBA46">
      <w:start w:val="1"/>
      <w:numFmt w:val="bullet"/>
      <w:lvlText w:val=""/>
      <w:lvlJc w:val="left"/>
      <w:pPr>
        <w:tabs>
          <w:tab w:val="num" w:pos="720"/>
        </w:tabs>
        <w:ind w:left="720" w:hanging="360"/>
      </w:pPr>
      <w:rPr>
        <w:rFonts w:ascii="Symbol" w:hAnsi="Symbol" w:hint="default"/>
        <w:sz w:val="20"/>
      </w:rPr>
    </w:lvl>
    <w:lvl w:ilvl="1" w:tplc="B9744D14" w:tentative="1">
      <w:start w:val="1"/>
      <w:numFmt w:val="bullet"/>
      <w:lvlText w:val=""/>
      <w:lvlJc w:val="left"/>
      <w:pPr>
        <w:tabs>
          <w:tab w:val="num" w:pos="1440"/>
        </w:tabs>
        <w:ind w:left="1440" w:hanging="360"/>
      </w:pPr>
      <w:rPr>
        <w:rFonts w:ascii="Symbol" w:hAnsi="Symbol" w:hint="default"/>
        <w:sz w:val="20"/>
      </w:rPr>
    </w:lvl>
    <w:lvl w:ilvl="2" w:tplc="61A8E314" w:tentative="1">
      <w:start w:val="1"/>
      <w:numFmt w:val="bullet"/>
      <w:lvlText w:val=""/>
      <w:lvlJc w:val="left"/>
      <w:pPr>
        <w:tabs>
          <w:tab w:val="num" w:pos="2160"/>
        </w:tabs>
        <w:ind w:left="2160" w:hanging="360"/>
      </w:pPr>
      <w:rPr>
        <w:rFonts w:ascii="Symbol" w:hAnsi="Symbol" w:hint="default"/>
        <w:sz w:val="20"/>
      </w:rPr>
    </w:lvl>
    <w:lvl w:ilvl="3" w:tplc="F50EC700" w:tentative="1">
      <w:start w:val="1"/>
      <w:numFmt w:val="bullet"/>
      <w:lvlText w:val=""/>
      <w:lvlJc w:val="left"/>
      <w:pPr>
        <w:tabs>
          <w:tab w:val="num" w:pos="2880"/>
        </w:tabs>
        <w:ind w:left="2880" w:hanging="360"/>
      </w:pPr>
      <w:rPr>
        <w:rFonts w:ascii="Symbol" w:hAnsi="Symbol" w:hint="default"/>
        <w:sz w:val="20"/>
      </w:rPr>
    </w:lvl>
    <w:lvl w:ilvl="4" w:tplc="D01C506C" w:tentative="1">
      <w:start w:val="1"/>
      <w:numFmt w:val="bullet"/>
      <w:lvlText w:val=""/>
      <w:lvlJc w:val="left"/>
      <w:pPr>
        <w:tabs>
          <w:tab w:val="num" w:pos="3600"/>
        </w:tabs>
        <w:ind w:left="3600" w:hanging="360"/>
      </w:pPr>
      <w:rPr>
        <w:rFonts w:ascii="Symbol" w:hAnsi="Symbol" w:hint="default"/>
        <w:sz w:val="20"/>
      </w:rPr>
    </w:lvl>
    <w:lvl w:ilvl="5" w:tplc="93326126" w:tentative="1">
      <w:start w:val="1"/>
      <w:numFmt w:val="bullet"/>
      <w:lvlText w:val=""/>
      <w:lvlJc w:val="left"/>
      <w:pPr>
        <w:tabs>
          <w:tab w:val="num" w:pos="4320"/>
        </w:tabs>
        <w:ind w:left="4320" w:hanging="360"/>
      </w:pPr>
      <w:rPr>
        <w:rFonts w:ascii="Symbol" w:hAnsi="Symbol" w:hint="default"/>
        <w:sz w:val="20"/>
      </w:rPr>
    </w:lvl>
    <w:lvl w:ilvl="6" w:tplc="61407216" w:tentative="1">
      <w:start w:val="1"/>
      <w:numFmt w:val="bullet"/>
      <w:lvlText w:val=""/>
      <w:lvlJc w:val="left"/>
      <w:pPr>
        <w:tabs>
          <w:tab w:val="num" w:pos="5040"/>
        </w:tabs>
        <w:ind w:left="5040" w:hanging="360"/>
      </w:pPr>
      <w:rPr>
        <w:rFonts w:ascii="Symbol" w:hAnsi="Symbol" w:hint="default"/>
        <w:sz w:val="20"/>
      </w:rPr>
    </w:lvl>
    <w:lvl w:ilvl="7" w:tplc="34506B5A" w:tentative="1">
      <w:start w:val="1"/>
      <w:numFmt w:val="bullet"/>
      <w:lvlText w:val=""/>
      <w:lvlJc w:val="left"/>
      <w:pPr>
        <w:tabs>
          <w:tab w:val="num" w:pos="5760"/>
        </w:tabs>
        <w:ind w:left="5760" w:hanging="360"/>
      </w:pPr>
      <w:rPr>
        <w:rFonts w:ascii="Symbol" w:hAnsi="Symbol" w:hint="default"/>
        <w:sz w:val="20"/>
      </w:rPr>
    </w:lvl>
    <w:lvl w:ilvl="8" w:tplc="C13A4506"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732CCB"/>
    <w:multiLevelType w:val="hybridMultilevel"/>
    <w:tmpl w:val="455E8BEE"/>
    <w:lvl w:ilvl="0" w:tplc="B6DC8B76">
      <w:start w:val="1"/>
      <w:numFmt w:val="bullet"/>
      <w:lvlText w:val="•"/>
      <w:lvlJc w:val="left"/>
      <w:pPr>
        <w:tabs>
          <w:tab w:val="num" w:pos="720"/>
        </w:tabs>
        <w:ind w:left="720" w:hanging="360"/>
      </w:pPr>
      <w:rPr>
        <w:rFonts w:ascii="Arial" w:hAnsi="Arial" w:hint="default"/>
      </w:rPr>
    </w:lvl>
    <w:lvl w:ilvl="1" w:tplc="DA0817AA">
      <w:numFmt w:val="bullet"/>
      <w:lvlText w:val="•"/>
      <w:lvlJc w:val="left"/>
      <w:pPr>
        <w:tabs>
          <w:tab w:val="num" w:pos="1440"/>
        </w:tabs>
        <w:ind w:left="1440" w:hanging="360"/>
      </w:pPr>
      <w:rPr>
        <w:rFonts w:ascii="Arial" w:hAnsi="Arial" w:hint="default"/>
      </w:rPr>
    </w:lvl>
    <w:lvl w:ilvl="2" w:tplc="53288268" w:tentative="1">
      <w:start w:val="1"/>
      <w:numFmt w:val="bullet"/>
      <w:lvlText w:val="•"/>
      <w:lvlJc w:val="left"/>
      <w:pPr>
        <w:tabs>
          <w:tab w:val="num" w:pos="2160"/>
        </w:tabs>
        <w:ind w:left="2160" w:hanging="360"/>
      </w:pPr>
      <w:rPr>
        <w:rFonts w:ascii="Arial" w:hAnsi="Arial" w:hint="default"/>
      </w:rPr>
    </w:lvl>
    <w:lvl w:ilvl="3" w:tplc="6FBE3B06" w:tentative="1">
      <w:start w:val="1"/>
      <w:numFmt w:val="bullet"/>
      <w:lvlText w:val="•"/>
      <w:lvlJc w:val="left"/>
      <w:pPr>
        <w:tabs>
          <w:tab w:val="num" w:pos="2880"/>
        </w:tabs>
        <w:ind w:left="2880" w:hanging="360"/>
      </w:pPr>
      <w:rPr>
        <w:rFonts w:ascii="Arial" w:hAnsi="Arial" w:hint="default"/>
      </w:rPr>
    </w:lvl>
    <w:lvl w:ilvl="4" w:tplc="CC3471A4" w:tentative="1">
      <w:start w:val="1"/>
      <w:numFmt w:val="bullet"/>
      <w:lvlText w:val="•"/>
      <w:lvlJc w:val="left"/>
      <w:pPr>
        <w:tabs>
          <w:tab w:val="num" w:pos="3600"/>
        </w:tabs>
        <w:ind w:left="3600" w:hanging="360"/>
      </w:pPr>
      <w:rPr>
        <w:rFonts w:ascii="Arial" w:hAnsi="Arial" w:hint="default"/>
      </w:rPr>
    </w:lvl>
    <w:lvl w:ilvl="5" w:tplc="31C8245A" w:tentative="1">
      <w:start w:val="1"/>
      <w:numFmt w:val="bullet"/>
      <w:lvlText w:val="•"/>
      <w:lvlJc w:val="left"/>
      <w:pPr>
        <w:tabs>
          <w:tab w:val="num" w:pos="4320"/>
        </w:tabs>
        <w:ind w:left="4320" w:hanging="360"/>
      </w:pPr>
      <w:rPr>
        <w:rFonts w:ascii="Arial" w:hAnsi="Arial" w:hint="default"/>
      </w:rPr>
    </w:lvl>
    <w:lvl w:ilvl="6" w:tplc="1C96F28E" w:tentative="1">
      <w:start w:val="1"/>
      <w:numFmt w:val="bullet"/>
      <w:lvlText w:val="•"/>
      <w:lvlJc w:val="left"/>
      <w:pPr>
        <w:tabs>
          <w:tab w:val="num" w:pos="5040"/>
        </w:tabs>
        <w:ind w:left="5040" w:hanging="360"/>
      </w:pPr>
      <w:rPr>
        <w:rFonts w:ascii="Arial" w:hAnsi="Arial" w:hint="default"/>
      </w:rPr>
    </w:lvl>
    <w:lvl w:ilvl="7" w:tplc="B1A8ED94" w:tentative="1">
      <w:start w:val="1"/>
      <w:numFmt w:val="bullet"/>
      <w:lvlText w:val="•"/>
      <w:lvlJc w:val="left"/>
      <w:pPr>
        <w:tabs>
          <w:tab w:val="num" w:pos="5760"/>
        </w:tabs>
        <w:ind w:left="5760" w:hanging="360"/>
      </w:pPr>
      <w:rPr>
        <w:rFonts w:ascii="Arial" w:hAnsi="Arial" w:hint="default"/>
      </w:rPr>
    </w:lvl>
    <w:lvl w:ilvl="8" w:tplc="DD4EB4F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2785C83"/>
    <w:multiLevelType w:val="hybridMultilevel"/>
    <w:tmpl w:val="A964EF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B42754"/>
    <w:multiLevelType w:val="hybridMultilevel"/>
    <w:tmpl w:val="11380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935DC6"/>
    <w:multiLevelType w:val="hybridMultilevel"/>
    <w:tmpl w:val="FFFFFFFF"/>
    <w:lvl w:ilvl="0" w:tplc="CC4616E2">
      <w:start w:val="1"/>
      <w:numFmt w:val="bullet"/>
      <w:lvlText w:val=""/>
      <w:lvlJc w:val="left"/>
      <w:pPr>
        <w:ind w:left="720" w:hanging="360"/>
      </w:pPr>
      <w:rPr>
        <w:rFonts w:ascii="Symbol" w:hAnsi="Symbol" w:hint="default"/>
      </w:rPr>
    </w:lvl>
    <w:lvl w:ilvl="1" w:tplc="5AFE5536">
      <w:start w:val="1"/>
      <w:numFmt w:val="bullet"/>
      <w:lvlText w:val="o"/>
      <w:lvlJc w:val="left"/>
      <w:pPr>
        <w:ind w:left="1440" w:hanging="360"/>
      </w:pPr>
      <w:rPr>
        <w:rFonts w:ascii="Courier New" w:hAnsi="Courier New" w:hint="default"/>
      </w:rPr>
    </w:lvl>
    <w:lvl w:ilvl="2" w:tplc="6C2C41F0">
      <w:start w:val="1"/>
      <w:numFmt w:val="bullet"/>
      <w:lvlText w:val=""/>
      <w:lvlJc w:val="left"/>
      <w:pPr>
        <w:ind w:left="2160" w:hanging="360"/>
      </w:pPr>
      <w:rPr>
        <w:rFonts w:ascii="Wingdings" w:hAnsi="Wingdings" w:hint="default"/>
      </w:rPr>
    </w:lvl>
    <w:lvl w:ilvl="3" w:tplc="07D6ECC0">
      <w:start w:val="1"/>
      <w:numFmt w:val="bullet"/>
      <w:lvlText w:val=""/>
      <w:lvlJc w:val="left"/>
      <w:pPr>
        <w:ind w:left="2880" w:hanging="360"/>
      </w:pPr>
      <w:rPr>
        <w:rFonts w:ascii="Symbol" w:hAnsi="Symbol" w:hint="default"/>
      </w:rPr>
    </w:lvl>
    <w:lvl w:ilvl="4" w:tplc="2BFE1362">
      <w:start w:val="1"/>
      <w:numFmt w:val="bullet"/>
      <w:lvlText w:val="o"/>
      <w:lvlJc w:val="left"/>
      <w:pPr>
        <w:ind w:left="3600" w:hanging="360"/>
      </w:pPr>
      <w:rPr>
        <w:rFonts w:ascii="Courier New" w:hAnsi="Courier New" w:hint="default"/>
      </w:rPr>
    </w:lvl>
    <w:lvl w:ilvl="5" w:tplc="F76EF47A">
      <w:start w:val="1"/>
      <w:numFmt w:val="bullet"/>
      <w:lvlText w:val=""/>
      <w:lvlJc w:val="left"/>
      <w:pPr>
        <w:ind w:left="4320" w:hanging="360"/>
      </w:pPr>
      <w:rPr>
        <w:rFonts w:ascii="Wingdings" w:hAnsi="Wingdings" w:hint="default"/>
      </w:rPr>
    </w:lvl>
    <w:lvl w:ilvl="6" w:tplc="8042EC92">
      <w:start w:val="1"/>
      <w:numFmt w:val="bullet"/>
      <w:lvlText w:val=""/>
      <w:lvlJc w:val="left"/>
      <w:pPr>
        <w:ind w:left="5040" w:hanging="360"/>
      </w:pPr>
      <w:rPr>
        <w:rFonts w:ascii="Symbol" w:hAnsi="Symbol" w:hint="default"/>
      </w:rPr>
    </w:lvl>
    <w:lvl w:ilvl="7" w:tplc="4C2C855E">
      <w:start w:val="1"/>
      <w:numFmt w:val="bullet"/>
      <w:lvlText w:val="o"/>
      <w:lvlJc w:val="left"/>
      <w:pPr>
        <w:ind w:left="5760" w:hanging="360"/>
      </w:pPr>
      <w:rPr>
        <w:rFonts w:ascii="Courier New" w:hAnsi="Courier New" w:hint="default"/>
      </w:rPr>
    </w:lvl>
    <w:lvl w:ilvl="8" w:tplc="D7240D3E">
      <w:start w:val="1"/>
      <w:numFmt w:val="bullet"/>
      <w:lvlText w:val=""/>
      <w:lvlJc w:val="left"/>
      <w:pPr>
        <w:ind w:left="6480" w:hanging="360"/>
      </w:pPr>
      <w:rPr>
        <w:rFonts w:ascii="Wingdings" w:hAnsi="Wingdings" w:hint="default"/>
      </w:rPr>
    </w:lvl>
  </w:abstractNum>
  <w:abstractNum w:abstractNumId="12" w15:restartNumberingAfterBreak="0">
    <w:nsid w:val="446D3A6A"/>
    <w:multiLevelType w:val="multilevel"/>
    <w:tmpl w:val="4F002AC6"/>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13" w15:restartNumberingAfterBreak="0">
    <w:nsid w:val="63515E17"/>
    <w:multiLevelType w:val="hybridMultilevel"/>
    <w:tmpl w:val="D31692DE"/>
    <w:lvl w:ilvl="0" w:tplc="DE10B34E">
      <w:start w:val="1"/>
      <w:numFmt w:val="bullet"/>
      <w:lvlText w:val="•"/>
      <w:lvlJc w:val="left"/>
      <w:pPr>
        <w:tabs>
          <w:tab w:val="num" w:pos="720"/>
        </w:tabs>
        <w:ind w:left="720" w:hanging="360"/>
      </w:pPr>
      <w:rPr>
        <w:rFonts w:ascii="Arial" w:hAnsi="Arial" w:hint="default"/>
      </w:rPr>
    </w:lvl>
    <w:lvl w:ilvl="1" w:tplc="25B64398">
      <w:start w:val="1"/>
      <w:numFmt w:val="bullet"/>
      <w:lvlText w:val="•"/>
      <w:lvlJc w:val="left"/>
      <w:pPr>
        <w:tabs>
          <w:tab w:val="num" w:pos="1440"/>
        </w:tabs>
        <w:ind w:left="1440" w:hanging="360"/>
      </w:pPr>
      <w:rPr>
        <w:rFonts w:ascii="Arial" w:hAnsi="Arial" w:hint="default"/>
      </w:rPr>
    </w:lvl>
    <w:lvl w:ilvl="2" w:tplc="6D4A3838" w:tentative="1">
      <w:start w:val="1"/>
      <w:numFmt w:val="bullet"/>
      <w:lvlText w:val="•"/>
      <w:lvlJc w:val="left"/>
      <w:pPr>
        <w:tabs>
          <w:tab w:val="num" w:pos="2160"/>
        </w:tabs>
        <w:ind w:left="2160" w:hanging="360"/>
      </w:pPr>
      <w:rPr>
        <w:rFonts w:ascii="Arial" w:hAnsi="Arial" w:hint="default"/>
      </w:rPr>
    </w:lvl>
    <w:lvl w:ilvl="3" w:tplc="043CE244" w:tentative="1">
      <w:start w:val="1"/>
      <w:numFmt w:val="bullet"/>
      <w:lvlText w:val="•"/>
      <w:lvlJc w:val="left"/>
      <w:pPr>
        <w:tabs>
          <w:tab w:val="num" w:pos="2880"/>
        </w:tabs>
        <w:ind w:left="2880" w:hanging="360"/>
      </w:pPr>
      <w:rPr>
        <w:rFonts w:ascii="Arial" w:hAnsi="Arial" w:hint="default"/>
      </w:rPr>
    </w:lvl>
    <w:lvl w:ilvl="4" w:tplc="03DED524" w:tentative="1">
      <w:start w:val="1"/>
      <w:numFmt w:val="bullet"/>
      <w:lvlText w:val="•"/>
      <w:lvlJc w:val="left"/>
      <w:pPr>
        <w:tabs>
          <w:tab w:val="num" w:pos="3600"/>
        </w:tabs>
        <w:ind w:left="3600" w:hanging="360"/>
      </w:pPr>
      <w:rPr>
        <w:rFonts w:ascii="Arial" w:hAnsi="Arial" w:hint="default"/>
      </w:rPr>
    </w:lvl>
    <w:lvl w:ilvl="5" w:tplc="5394C16C" w:tentative="1">
      <w:start w:val="1"/>
      <w:numFmt w:val="bullet"/>
      <w:lvlText w:val="•"/>
      <w:lvlJc w:val="left"/>
      <w:pPr>
        <w:tabs>
          <w:tab w:val="num" w:pos="4320"/>
        </w:tabs>
        <w:ind w:left="4320" w:hanging="360"/>
      </w:pPr>
      <w:rPr>
        <w:rFonts w:ascii="Arial" w:hAnsi="Arial" w:hint="default"/>
      </w:rPr>
    </w:lvl>
    <w:lvl w:ilvl="6" w:tplc="C6AC5040" w:tentative="1">
      <w:start w:val="1"/>
      <w:numFmt w:val="bullet"/>
      <w:lvlText w:val="•"/>
      <w:lvlJc w:val="left"/>
      <w:pPr>
        <w:tabs>
          <w:tab w:val="num" w:pos="5040"/>
        </w:tabs>
        <w:ind w:left="5040" w:hanging="360"/>
      </w:pPr>
      <w:rPr>
        <w:rFonts w:ascii="Arial" w:hAnsi="Arial" w:hint="default"/>
      </w:rPr>
    </w:lvl>
    <w:lvl w:ilvl="7" w:tplc="2D800EC0" w:tentative="1">
      <w:start w:val="1"/>
      <w:numFmt w:val="bullet"/>
      <w:lvlText w:val="•"/>
      <w:lvlJc w:val="left"/>
      <w:pPr>
        <w:tabs>
          <w:tab w:val="num" w:pos="5760"/>
        </w:tabs>
        <w:ind w:left="5760" w:hanging="360"/>
      </w:pPr>
      <w:rPr>
        <w:rFonts w:ascii="Arial" w:hAnsi="Arial" w:hint="default"/>
      </w:rPr>
    </w:lvl>
    <w:lvl w:ilvl="8" w:tplc="3C260A0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5ED746C"/>
    <w:multiLevelType w:val="hybridMultilevel"/>
    <w:tmpl w:val="5BEA91FE"/>
    <w:lvl w:ilvl="0" w:tplc="56847F72">
      <w:start w:val="1"/>
      <w:numFmt w:val="bullet"/>
      <w:lvlText w:val=""/>
      <w:lvlJc w:val="left"/>
      <w:pPr>
        <w:ind w:left="1080" w:hanging="360"/>
      </w:pPr>
      <w:rPr>
        <w:rFonts w:ascii="Symbol" w:hAnsi="Symbol" w:hint="default"/>
      </w:rPr>
    </w:lvl>
    <w:lvl w:ilvl="1" w:tplc="C23AC472">
      <w:start w:val="1"/>
      <w:numFmt w:val="bullet"/>
      <w:lvlText w:val="o"/>
      <w:lvlJc w:val="left"/>
      <w:pPr>
        <w:ind w:left="1800" w:hanging="360"/>
      </w:pPr>
      <w:rPr>
        <w:rFonts w:ascii="Courier New" w:hAnsi="Courier New" w:hint="default"/>
      </w:rPr>
    </w:lvl>
    <w:lvl w:ilvl="2" w:tplc="C986C0F8">
      <w:start w:val="1"/>
      <w:numFmt w:val="bullet"/>
      <w:lvlText w:val=""/>
      <w:lvlJc w:val="left"/>
      <w:pPr>
        <w:ind w:left="2520" w:hanging="360"/>
      </w:pPr>
      <w:rPr>
        <w:rFonts w:ascii="Wingdings" w:hAnsi="Wingdings" w:hint="default"/>
      </w:rPr>
    </w:lvl>
    <w:lvl w:ilvl="3" w:tplc="73A87802">
      <w:start w:val="1"/>
      <w:numFmt w:val="bullet"/>
      <w:lvlText w:val=""/>
      <w:lvlJc w:val="left"/>
      <w:pPr>
        <w:ind w:left="3240" w:hanging="360"/>
      </w:pPr>
      <w:rPr>
        <w:rFonts w:ascii="Symbol" w:hAnsi="Symbol" w:hint="default"/>
      </w:rPr>
    </w:lvl>
    <w:lvl w:ilvl="4" w:tplc="75328A50">
      <w:start w:val="1"/>
      <w:numFmt w:val="bullet"/>
      <w:lvlText w:val="o"/>
      <w:lvlJc w:val="left"/>
      <w:pPr>
        <w:ind w:left="3960" w:hanging="360"/>
      </w:pPr>
      <w:rPr>
        <w:rFonts w:ascii="Courier New" w:hAnsi="Courier New" w:hint="default"/>
      </w:rPr>
    </w:lvl>
    <w:lvl w:ilvl="5" w:tplc="A0DED25A">
      <w:start w:val="1"/>
      <w:numFmt w:val="bullet"/>
      <w:lvlText w:val=""/>
      <w:lvlJc w:val="left"/>
      <w:pPr>
        <w:ind w:left="4680" w:hanging="360"/>
      </w:pPr>
      <w:rPr>
        <w:rFonts w:ascii="Wingdings" w:hAnsi="Wingdings" w:hint="default"/>
      </w:rPr>
    </w:lvl>
    <w:lvl w:ilvl="6" w:tplc="509A85B0">
      <w:start w:val="1"/>
      <w:numFmt w:val="bullet"/>
      <w:lvlText w:val=""/>
      <w:lvlJc w:val="left"/>
      <w:pPr>
        <w:ind w:left="5400" w:hanging="360"/>
      </w:pPr>
      <w:rPr>
        <w:rFonts w:ascii="Symbol" w:hAnsi="Symbol" w:hint="default"/>
      </w:rPr>
    </w:lvl>
    <w:lvl w:ilvl="7" w:tplc="47445B1A">
      <w:start w:val="1"/>
      <w:numFmt w:val="bullet"/>
      <w:lvlText w:val="o"/>
      <w:lvlJc w:val="left"/>
      <w:pPr>
        <w:ind w:left="6120" w:hanging="360"/>
      </w:pPr>
      <w:rPr>
        <w:rFonts w:ascii="Courier New" w:hAnsi="Courier New" w:hint="default"/>
      </w:rPr>
    </w:lvl>
    <w:lvl w:ilvl="8" w:tplc="6220E88A">
      <w:start w:val="1"/>
      <w:numFmt w:val="bullet"/>
      <w:lvlText w:val=""/>
      <w:lvlJc w:val="left"/>
      <w:pPr>
        <w:ind w:left="6840" w:hanging="360"/>
      </w:pPr>
      <w:rPr>
        <w:rFonts w:ascii="Wingdings" w:hAnsi="Wingdings" w:hint="default"/>
      </w:rPr>
    </w:lvl>
  </w:abstractNum>
  <w:abstractNum w:abstractNumId="15" w15:restartNumberingAfterBreak="0">
    <w:nsid w:val="67FE50F9"/>
    <w:multiLevelType w:val="hybridMultilevel"/>
    <w:tmpl w:val="5EDA454E"/>
    <w:lvl w:ilvl="0" w:tplc="9022E8BA">
      <w:start w:val="1"/>
      <w:numFmt w:val="bullet"/>
      <w:lvlText w:val=""/>
      <w:lvlJc w:val="left"/>
      <w:pPr>
        <w:tabs>
          <w:tab w:val="num" w:pos="720"/>
        </w:tabs>
        <w:ind w:left="720" w:hanging="360"/>
      </w:pPr>
      <w:rPr>
        <w:rFonts w:ascii="Symbol" w:hAnsi="Symbol" w:hint="default"/>
        <w:sz w:val="20"/>
      </w:rPr>
    </w:lvl>
    <w:lvl w:ilvl="1" w:tplc="AB4278C0" w:tentative="1">
      <w:start w:val="1"/>
      <w:numFmt w:val="bullet"/>
      <w:lvlText w:val=""/>
      <w:lvlJc w:val="left"/>
      <w:pPr>
        <w:tabs>
          <w:tab w:val="num" w:pos="1440"/>
        </w:tabs>
        <w:ind w:left="1440" w:hanging="360"/>
      </w:pPr>
      <w:rPr>
        <w:rFonts w:ascii="Symbol" w:hAnsi="Symbol" w:hint="default"/>
        <w:sz w:val="20"/>
      </w:rPr>
    </w:lvl>
    <w:lvl w:ilvl="2" w:tplc="DC764D10" w:tentative="1">
      <w:start w:val="1"/>
      <w:numFmt w:val="bullet"/>
      <w:lvlText w:val=""/>
      <w:lvlJc w:val="left"/>
      <w:pPr>
        <w:tabs>
          <w:tab w:val="num" w:pos="2160"/>
        </w:tabs>
        <w:ind w:left="2160" w:hanging="360"/>
      </w:pPr>
      <w:rPr>
        <w:rFonts w:ascii="Symbol" w:hAnsi="Symbol" w:hint="default"/>
        <w:sz w:val="20"/>
      </w:rPr>
    </w:lvl>
    <w:lvl w:ilvl="3" w:tplc="BEC891B6" w:tentative="1">
      <w:start w:val="1"/>
      <w:numFmt w:val="bullet"/>
      <w:lvlText w:val=""/>
      <w:lvlJc w:val="left"/>
      <w:pPr>
        <w:tabs>
          <w:tab w:val="num" w:pos="2880"/>
        </w:tabs>
        <w:ind w:left="2880" w:hanging="360"/>
      </w:pPr>
      <w:rPr>
        <w:rFonts w:ascii="Symbol" w:hAnsi="Symbol" w:hint="default"/>
        <w:sz w:val="20"/>
      </w:rPr>
    </w:lvl>
    <w:lvl w:ilvl="4" w:tplc="5C129DA4" w:tentative="1">
      <w:start w:val="1"/>
      <w:numFmt w:val="bullet"/>
      <w:lvlText w:val=""/>
      <w:lvlJc w:val="left"/>
      <w:pPr>
        <w:tabs>
          <w:tab w:val="num" w:pos="3600"/>
        </w:tabs>
        <w:ind w:left="3600" w:hanging="360"/>
      </w:pPr>
      <w:rPr>
        <w:rFonts w:ascii="Symbol" w:hAnsi="Symbol" w:hint="default"/>
        <w:sz w:val="20"/>
      </w:rPr>
    </w:lvl>
    <w:lvl w:ilvl="5" w:tplc="1CE00FC0" w:tentative="1">
      <w:start w:val="1"/>
      <w:numFmt w:val="bullet"/>
      <w:lvlText w:val=""/>
      <w:lvlJc w:val="left"/>
      <w:pPr>
        <w:tabs>
          <w:tab w:val="num" w:pos="4320"/>
        </w:tabs>
        <w:ind w:left="4320" w:hanging="360"/>
      </w:pPr>
      <w:rPr>
        <w:rFonts w:ascii="Symbol" w:hAnsi="Symbol" w:hint="default"/>
        <w:sz w:val="20"/>
      </w:rPr>
    </w:lvl>
    <w:lvl w:ilvl="6" w:tplc="9150469E" w:tentative="1">
      <w:start w:val="1"/>
      <w:numFmt w:val="bullet"/>
      <w:lvlText w:val=""/>
      <w:lvlJc w:val="left"/>
      <w:pPr>
        <w:tabs>
          <w:tab w:val="num" w:pos="5040"/>
        </w:tabs>
        <w:ind w:left="5040" w:hanging="360"/>
      </w:pPr>
      <w:rPr>
        <w:rFonts w:ascii="Symbol" w:hAnsi="Symbol" w:hint="default"/>
        <w:sz w:val="20"/>
      </w:rPr>
    </w:lvl>
    <w:lvl w:ilvl="7" w:tplc="99D28912" w:tentative="1">
      <w:start w:val="1"/>
      <w:numFmt w:val="bullet"/>
      <w:lvlText w:val=""/>
      <w:lvlJc w:val="left"/>
      <w:pPr>
        <w:tabs>
          <w:tab w:val="num" w:pos="5760"/>
        </w:tabs>
        <w:ind w:left="5760" w:hanging="360"/>
      </w:pPr>
      <w:rPr>
        <w:rFonts w:ascii="Symbol" w:hAnsi="Symbol" w:hint="default"/>
        <w:sz w:val="20"/>
      </w:rPr>
    </w:lvl>
    <w:lvl w:ilvl="8" w:tplc="0E0C4B9E"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A076845"/>
    <w:multiLevelType w:val="hybridMultilevel"/>
    <w:tmpl w:val="EE3638A2"/>
    <w:lvl w:ilvl="0" w:tplc="1974D79A">
      <w:start w:val="1"/>
      <w:numFmt w:val="bullet"/>
      <w:lvlText w:val="•"/>
      <w:lvlJc w:val="left"/>
      <w:pPr>
        <w:tabs>
          <w:tab w:val="num" w:pos="720"/>
        </w:tabs>
        <w:ind w:left="720" w:hanging="360"/>
      </w:pPr>
      <w:rPr>
        <w:rFonts w:ascii="Arial" w:hAnsi="Arial" w:hint="default"/>
      </w:rPr>
    </w:lvl>
    <w:lvl w:ilvl="1" w:tplc="E250C5DA">
      <w:numFmt w:val="bullet"/>
      <w:lvlText w:val="•"/>
      <w:lvlJc w:val="left"/>
      <w:pPr>
        <w:tabs>
          <w:tab w:val="num" w:pos="1440"/>
        </w:tabs>
        <w:ind w:left="1440" w:hanging="360"/>
      </w:pPr>
      <w:rPr>
        <w:rFonts w:ascii="Arial" w:hAnsi="Arial" w:hint="default"/>
      </w:rPr>
    </w:lvl>
    <w:lvl w:ilvl="2" w:tplc="E8605672">
      <w:numFmt w:val="bullet"/>
      <w:lvlText w:val="•"/>
      <w:lvlJc w:val="left"/>
      <w:pPr>
        <w:tabs>
          <w:tab w:val="num" w:pos="2160"/>
        </w:tabs>
        <w:ind w:left="2160" w:hanging="360"/>
      </w:pPr>
      <w:rPr>
        <w:rFonts w:ascii="Arial" w:hAnsi="Arial" w:hint="default"/>
      </w:rPr>
    </w:lvl>
    <w:lvl w:ilvl="3" w:tplc="B1F23B10" w:tentative="1">
      <w:start w:val="1"/>
      <w:numFmt w:val="bullet"/>
      <w:lvlText w:val="•"/>
      <w:lvlJc w:val="left"/>
      <w:pPr>
        <w:tabs>
          <w:tab w:val="num" w:pos="2880"/>
        </w:tabs>
        <w:ind w:left="2880" w:hanging="360"/>
      </w:pPr>
      <w:rPr>
        <w:rFonts w:ascii="Arial" w:hAnsi="Arial" w:hint="default"/>
      </w:rPr>
    </w:lvl>
    <w:lvl w:ilvl="4" w:tplc="55D40B8A" w:tentative="1">
      <w:start w:val="1"/>
      <w:numFmt w:val="bullet"/>
      <w:lvlText w:val="•"/>
      <w:lvlJc w:val="left"/>
      <w:pPr>
        <w:tabs>
          <w:tab w:val="num" w:pos="3600"/>
        </w:tabs>
        <w:ind w:left="3600" w:hanging="360"/>
      </w:pPr>
      <w:rPr>
        <w:rFonts w:ascii="Arial" w:hAnsi="Arial" w:hint="default"/>
      </w:rPr>
    </w:lvl>
    <w:lvl w:ilvl="5" w:tplc="1B004D5A" w:tentative="1">
      <w:start w:val="1"/>
      <w:numFmt w:val="bullet"/>
      <w:lvlText w:val="•"/>
      <w:lvlJc w:val="left"/>
      <w:pPr>
        <w:tabs>
          <w:tab w:val="num" w:pos="4320"/>
        </w:tabs>
        <w:ind w:left="4320" w:hanging="360"/>
      </w:pPr>
      <w:rPr>
        <w:rFonts w:ascii="Arial" w:hAnsi="Arial" w:hint="default"/>
      </w:rPr>
    </w:lvl>
    <w:lvl w:ilvl="6" w:tplc="C556033A" w:tentative="1">
      <w:start w:val="1"/>
      <w:numFmt w:val="bullet"/>
      <w:lvlText w:val="•"/>
      <w:lvlJc w:val="left"/>
      <w:pPr>
        <w:tabs>
          <w:tab w:val="num" w:pos="5040"/>
        </w:tabs>
        <w:ind w:left="5040" w:hanging="360"/>
      </w:pPr>
      <w:rPr>
        <w:rFonts w:ascii="Arial" w:hAnsi="Arial" w:hint="default"/>
      </w:rPr>
    </w:lvl>
    <w:lvl w:ilvl="7" w:tplc="2B06FAF6" w:tentative="1">
      <w:start w:val="1"/>
      <w:numFmt w:val="bullet"/>
      <w:lvlText w:val="•"/>
      <w:lvlJc w:val="left"/>
      <w:pPr>
        <w:tabs>
          <w:tab w:val="num" w:pos="5760"/>
        </w:tabs>
        <w:ind w:left="5760" w:hanging="360"/>
      </w:pPr>
      <w:rPr>
        <w:rFonts w:ascii="Arial" w:hAnsi="Arial" w:hint="default"/>
      </w:rPr>
    </w:lvl>
    <w:lvl w:ilvl="8" w:tplc="44B0747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FA25F52"/>
    <w:multiLevelType w:val="multilevel"/>
    <w:tmpl w:val="0CE4F03C"/>
    <w:lvl w:ilvl="0">
      <w:start w:val="1"/>
      <w:numFmt w:val="decimal"/>
      <w:pStyle w:val="Principle"/>
      <w:lvlText w:val="Principle %1"/>
      <w:lvlJc w:val="left"/>
      <w:pPr>
        <w:tabs>
          <w:tab w:val="num" w:pos="1440"/>
        </w:tabs>
        <w:ind w:left="1440" w:hanging="1440"/>
      </w:pPr>
      <w:rPr>
        <w:rFonts w:hint="default"/>
      </w:rPr>
    </w:lvl>
    <w:lvl w:ilvl="1">
      <w:start w:val="1"/>
      <w:numFmt w:val="decimal"/>
      <w:pStyle w:val="Sub-principle"/>
      <w:lvlText w:val="%1.%2"/>
      <w:lvlJc w:val="left"/>
      <w:pPr>
        <w:tabs>
          <w:tab w:val="num" w:pos="432"/>
        </w:tabs>
        <w:ind w:left="432" w:hanging="432"/>
      </w:pPr>
      <w:rPr>
        <w:rFonts w:asciiTheme="majorHAnsi" w:hAnsiTheme="majorHAnsi" w:hint="default"/>
        <w:sz w:val="19"/>
        <w:szCs w:val="19"/>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FDC26F0"/>
    <w:multiLevelType w:val="hybridMultilevel"/>
    <w:tmpl w:val="6C7425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50FFAD8"/>
    <w:multiLevelType w:val="hybridMultilevel"/>
    <w:tmpl w:val="6E2E6C56"/>
    <w:lvl w:ilvl="0" w:tplc="A7E6BFE0">
      <w:start w:val="1"/>
      <w:numFmt w:val="bullet"/>
      <w:lvlText w:val="•"/>
      <w:lvlJc w:val="left"/>
      <w:pPr>
        <w:ind w:left="720" w:hanging="360"/>
      </w:pPr>
      <w:rPr>
        <w:rFonts w:ascii="Arial" w:hAnsi="Arial" w:hint="default"/>
      </w:rPr>
    </w:lvl>
    <w:lvl w:ilvl="1" w:tplc="9996768E">
      <w:start w:val="1"/>
      <w:numFmt w:val="bullet"/>
      <w:lvlText w:val="o"/>
      <w:lvlJc w:val="left"/>
      <w:pPr>
        <w:ind w:left="1440" w:hanging="360"/>
      </w:pPr>
      <w:rPr>
        <w:rFonts w:ascii="Courier New" w:hAnsi="Courier New" w:hint="default"/>
      </w:rPr>
    </w:lvl>
    <w:lvl w:ilvl="2" w:tplc="A1304D00">
      <w:start w:val="1"/>
      <w:numFmt w:val="bullet"/>
      <w:lvlText w:val=""/>
      <w:lvlJc w:val="left"/>
      <w:pPr>
        <w:ind w:left="2160" w:hanging="360"/>
      </w:pPr>
      <w:rPr>
        <w:rFonts w:ascii="Wingdings" w:hAnsi="Wingdings" w:hint="default"/>
      </w:rPr>
    </w:lvl>
    <w:lvl w:ilvl="3" w:tplc="804ED020">
      <w:start w:val="1"/>
      <w:numFmt w:val="bullet"/>
      <w:lvlText w:val=""/>
      <w:lvlJc w:val="left"/>
      <w:pPr>
        <w:ind w:left="2880" w:hanging="360"/>
      </w:pPr>
      <w:rPr>
        <w:rFonts w:ascii="Symbol" w:hAnsi="Symbol" w:hint="default"/>
      </w:rPr>
    </w:lvl>
    <w:lvl w:ilvl="4" w:tplc="F0D85138">
      <w:start w:val="1"/>
      <w:numFmt w:val="bullet"/>
      <w:lvlText w:val="o"/>
      <w:lvlJc w:val="left"/>
      <w:pPr>
        <w:ind w:left="3600" w:hanging="360"/>
      </w:pPr>
      <w:rPr>
        <w:rFonts w:ascii="Courier New" w:hAnsi="Courier New" w:hint="default"/>
      </w:rPr>
    </w:lvl>
    <w:lvl w:ilvl="5" w:tplc="63F4FC1E">
      <w:start w:val="1"/>
      <w:numFmt w:val="bullet"/>
      <w:lvlText w:val=""/>
      <w:lvlJc w:val="left"/>
      <w:pPr>
        <w:ind w:left="4320" w:hanging="360"/>
      </w:pPr>
      <w:rPr>
        <w:rFonts w:ascii="Wingdings" w:hAnsi="Wingdings" w:hint="default"/>
      </w:rPr>
    </w:lvl>
    <w:lvl w:ilvl="6" w:tplc="9CFC0B10">
      <w:start w:val="1"/>
      <w:numFmt w:val="bullet"/>
      <w:lvlText w:val=""/>
      <w:lvlJc w:val="left"/>
      <w:pPr>
        <w:ind w:left="5040" w:hanging="360"/>
      </w:pPr>
      <w:rPr>
        <w:rFonts w:ascii="Symbol" w:hAnsi="Symbol" w:hint="default"/>
      </w:rPr>
    </w:lvl>
    <w:lvl w:ilvl="7" w:tplc="D19A82CA">
      <w:start w:val="1"/>
      <w:numFmt w:val="bullet"/>
      <w:lvlText w:val="o"/>
      <w:lvlJc w:val="left"/>
      <w:pPr>
        <w:ind w:left="5760" w:hanging="360"/>
      </w:pPr>
      <w:rPr>
        <w:rFonts w:ascii="Courier New" w:hAnsi="Courier New" w:hint="default"/>
      </w:rPr>
    </w:lvl>
    <w:lvl w:ilvl="8" w:tplc="1A80EED4">
      <w:start w:val="1"/>
      <w:numFmt w:val="bullet"/>
      <w:lvlText w:val=""/>
      <w:lvlJc w:val="left"/>
      <w:pPr>
        <w:ind w:left="6480" w:hanging="360"/>
      </w:pPr>
      <w:rPr>
        <w:rFonts w:ascii="Wingdings" w:hAnsi="Wingdings" w:hint="default"/>
      </w:rPr>
    </w:lvl>
  </w:abstractNum>
  <w:abstractNum w:abstractNumId="20" w15:restartNumberingAfterBreak="0">
    <w:nsid w:val="79DD6107"/>
    <w:multiLevelType w:val="multilevel"/>
    <w:tmpl w:val="1F36E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A7E12E5"/>
    <w:multiLevelType w:val="hybridMultilevel"/>
    <w:tmpl w:val="3A5E8A9C"/>
    <w:lvl w:ilvl="0" w:tplc="1674E718">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F6BF61B"/>
    <w:multiLevelType w:val="hybridMultilevel"/>
    <w:tmpl w:val="766A6246"/>
    <w:lvl w:ilvl="0" w:tplc="B3CC2ECA">
      <w:start w:val="1"/>
      <w:numFmt w:val="bullet"/>
      <w:lvlText w:val=""/>
      <w:lvlJc w:val="left"/>
      <w:pPr>
        <w:ind w:left="720" w:hanging="360"/>
      </w:pPr>
      <w:rPr>
        <w:rFonts w:ascii="Symbol" w:hAnsi="Symbol" w:hint="default"/>
      </w:rPr>
    </w:lvl>
    <w:lvl w:ilvl="1" w:tplc="3F9A80F0">
      <w:start w:val="1"/>
      <w:numFmt w:val="bullet"/>
      <w:lvlText w:val="o"/>
      <w:lvlJc w:val="left"/>
      <w:pPr>
        <w:ind w:left="1440" w:hanging="360"/>
      </w:pPr>
      <w:rPr>
        <w:rFonts w:ascii="Courier New" w:hAnsi="Courier New" w:hint="default"/>
      </w:rPr>
    </w:lvl>
    <w:lvl w:ilvl="2" w:tplc="DB7A6A54">
      <w:start w:val="1"/>
      <w:numFmt w:val="bullet"/>
      <w:lvlText w:val=""/>
      <w:lvlJc w:val="left"/>
      <w:pPr>
        <w:ind w:left="2160" w:hanging="360"/>
      </w:pPr>
      <w:rPr>
        <w:rFonts w:ascii="Wingdings" w:hAnsi="Wingdings" w:hint="default"/>
      </w:rPr>
    </w:lvl>
    <w:lvl w:ilvl="3" w:tplc="969C8E2E">
      <w:start w:val="1"/>
      <w:numFmt w:val="bullet"/>
      <w:lvlText w:val=""/>
      <w:lvlJc w:val="left"/>
      <w:pPr>
        <w:ind w:left="2880" w:hanging="360"/>
      </w:pPr>
      <w:rPr>
        <w:rFonts w:ascii="Symbol" w:hAnsi="Symbol" w:hint="default"/>
      </w:rPr>
    </w:lvl>
    <w:lvl w:ilvl="4" w:tplc="F0DA9DAE">
      <w:start w:val="1"/>
      <w:numFmt w:val="bullet"/>
      <w:lvlText w:val="o"/>
      <w:lvlJc w:val="left"/>
      <w:pPr>
        <w:ind w:left="3600" w:hanging="360"/>
      </w:pPr>
      <w:rPr>
        <w:rFonts w:ascii="Courier New" w:hAnsi="Courier New" w:hint="default"/>
      </w:rPr>
    </w:lvl>
    <w:lvl w:ilvl="5" w:tplc="AFFE4A30">
      <w:start w:val="1"/>
      <w:numFmt w:val="bullet"/>
      <w:lvlText w:val=""/>
      <w:lvlJc w:val="left"/>
      <w:pPr>
        <w:ind w:left="4320" w:hanging="360"/>
      </w:pPr>
      <w:rPr>
        <w:rFonts w:ascii="Wingdings" w:hAnsi="Wingdings" w:hint="default"/>
      </w:rPr>
    </w:lvl>
    <w:lvl w:ilvl="6" w:tplc="A2ECD5C2">
      <w:start w:val="1"/>
      <w:numFmt w:val="bullet"/>
      <w:lvlText w:val=""/>
      <w:lvlJc w:val="left"/>
      <w:pPr>
        <w:ind w:left="5040" w:hanging="360"/>
      </w:pPr>
      <w:rPr>
        <w:rFonts w:ascii="Symbol" w:hAnsi="Symbol" w:hint="default"/>
      </w:rPr>
    </w:lvl>
    <w:lvl w:ilvl="7" w:tplc="15F25D04">
      <w:start w:val="1"/>
      <w:numFmt w:val="bullet"/>
      <w:lvlText w:val="o"/>
      <w:lvlJc w:val="left"/>
      <w:pPr>
        <w:ind w:left="5760" w:hanging="360"/>
      </w:pPr>
      <w:rPr>
        <w:rFonts w:ascii="Courier New" w:hAnsi="Courier New" w:hint="default"/>
      </w:rPr>
    </w:lvl>
    <w:lvl w:ilvl="8" w:tplc="D98EC152">
      <w:start w:val="1"/>
      <w:numFmt w:val="bullet"/>
      <w:lvlText w:val=""/>
      <w:lvlJc w:val="left"/>
      <w:pPr>
        <w:ind w:left="6480" w:hanging="360"/>
      </w:pPr>
      <w:rPr>
        <w:rFonts w:ascii="Wingdings" w:hAnsi="Wingdings" w:hint="default"/>
      </w:rPr>
    </w:lvl>
  </w:abstractNum>
  <w:abstractNum w:abstractNumId="23" w15:restartNumberingAfterBreak="0">
    <w:nsid w:val="7FD44514"/>
    <w:multiLevelType w:val="multilevel"/>
    <w:tmpl w:val="D3A4EDA4"/>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pStyle w:val="Heading3numbered"/>
      <w:lvlText w:val="%3.%4.%5"/>
      <w:lvlJc w:val="left"/>
      <w:pPr>
        <w:tabs>
          <w:tab w:val="num" w:pos="792"/>
        </w:tabs>
        <w:ind w:left="792" w:hanging="792"/>
      </w:pPr>
      <w:rPr>
        <w:rFonts w:hint="default"/>
      </w:rPr>
    </w:lvl>
    <w:lvl w:ilvl="5">
      <w:start w:val="1"/>
      <w:numFmt w:val="decimal"/>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16cid:durableId="2136675114">
    <w:abstractNumId w:val="19"/>
  </w:num>
  <w:num w:numId="2" w16cid:durableId="1058239742">
    <w:abstractNumId w:val="14"/>
  </w:num>
  <w:num w:numId="3" w16cid:durableId="673918646">
    <w:abstractNumId w:val="13"/>
  </w:num>
  <w:num w:numId="4" w16cid:durableId="979267784">
    <w:abstractNumId w:val="2"/>
  </w:num>
  <w:num w:numId="5" w16cid:durableId="924072092">
    <w:abstractNumId w:val="8"/>
  </w:num>
  <w:num w:numId="6" w16cid:durableId="1865972871">
    <w:abstractNumId w:val="12"/>
  </w:num>
  <w:num w:numId="7" w16cid:durableId="108747073">
    <w:abstractNumId w:val="4"/>
  </w:num>
  <w:num w:numId="8" w16cid:durableId="673068928">
    <w:abstractNumId w:val="10"/>
  </w:num>
  <w:num w:numId="9" w16cid:durableId="1697924463">
    <w:abstractNumId w:val="20"/>
  </w:num>
  <w:num w:numId="10" w16cid:durableId="26108347">
    <w:abstractNumId w:val="7"/>
  </w:num>
  <w:num w:numId="11" w16cid:durableId="451437794">
    <w:abstractNumId w:val="5"/>
  </w:num>
  <w:num w:numId="12" w16cid:durableId="51120928">
    <w:abstractNumId w:val="15"/>
  </w:num>
  <w:num w:numId="13" w16cid:durableId="2079815950">
    <w:abstractNumId w:val="22"/>
  </w:num>
  <w:num w:numId="14" w16cid:durableId="958413223">
    <w:abstractNumId w:val="18"/>
  </w:num>
  <w:num w:numId="15" w16cid:durableId="523983492">
    <w:abstractNumId w:val="9"/>
  </w:num>
  <w:num w:numId="16" w16cid:durableId="639385395">
    <w:abstractNumId w:val="17"/>
  </w:num>
  <w:num w:numId="17" w16cid:durableId="165051276">
    <w:abstractNumId w:val="23"/>
  </w:num>
  <w:num w:numId="18" w16cid:durableId="650015394">
    <w:abstractNumId w:val="21"/>
  </w:num>
  <w:num w:numId="19" w16cid:durableId="164593645">
    <w:abstractNumId w:val="3"/>
  </w:num>
  <w:num w:numId="20" w16cid:durableId="1974290579">
    <w:abstractNumId w:val="6"/>
  </w:num>
  <w:num w:numId="21" w16cid:durableId="8917270">
    <w:abstractNumId w:val="16"/>
  </w:num>
  <w:num w:numId="22" w16cid:durableId="2138793179">
    <w:abstractNumId w:val="11"/>
  </w:num>
  <w:num w:numId="23" w16cid:durableId="380717523">
    <w:abstractNumId w:val="1"/>
  </w:num>
  <w:num w:numId="24" w16cid:durableId="1744794556">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BEA"/>
    <w:rsid w:val="00000275"/>
    <w:rsid w:val="0000031C"/>
    <w:rsid w:val="0000041F"/>
    <w:rsid w:val="000008B5"/>
    <w:rsid w:val="000008C0"/>
    <w:rsid w:val="00000986"/>
    <w:rsid w:val="00000AA5"/>
    <w:rsid w:val="00000B05"/>
    <w:rsid w:val="00000B8C"/>
    <w:rsid w:val="00000C45"/>
    <w:rsid w:val="00000EF0"/>
    <w:rsid w:val="00001299"/>
    <w:rsid w:val="00001625"/>
    <w:rsid w:val="0000165E"/>
    <w:rsid w:val="0000172F"/>
    <w:rsid w:val="0000188C"/>
    <w:rsid w:val="000019A6"/>
    <w:rsid w:val="00001BD8"/>
    <w:rsid w:val="000021FC"/>
    <w:rsid w:val="000025E0"/>
    <w:rsid w:val="0000288C"/>
    <w:rsid w:val="000028CF"/>
    <w:rsid w:val="000029A8"/>
    <w:rsid w:val="00002A04"/>
    <w:rsid w:val="00002E4E"/>
    <w:rsid w:val="00002FF0"/>
    <w:rsid w:val="0000314B"/>
    <w:rsid w:val="000031F8"/>
    <w:rsid w:val="000032B3"/>
    <w:rsid w:val="000036AD"/>
    <w:rsid w:val="0000398F"/>
    <w:rsid w:val="00003C8C"/>
    <w:rsid w:val="0000413D"/>
    <w:rsid w:val="0000447A"/>
    <w:rsid w:val="0000448D"/>
    <w:rsid w:val="00004494"/>
    <w:rsid w:val="000047FD"/>
    <w:rsid w:val="000048A0"/>
    <w:rsid w:val="00004F06"/>
    <w:rsid w:val="00004F6F"/>
    <w:rsid w:val="0000558D"/>
    <w:rsid w:val="000059EF"/>
    <w:rsid w:val="00005A31"/>
    <w:rsid w:val="00005AB6"/>
    <w:rsid w:val="00005F68"/>
    <w:rsid w:val="00005FE5"/>
    <w:rsid w:val="000063CB"/>
    <w:rsid w:val="0000653D"/>
    <w:rsid w:val="00006C55"/>
    <w:rsid w:val="000070EB"/>
    <w:rsid w:val="00007268"/>
    <w:rsid w:val="00007A0C"/>
    <w:rsid w:val="00007AE3"/>
    <w:rsid w:val="00007CCA"/>
    <w:rsid w:val="00007DF0"/>
    <w:rsid w:val="00007FAF"/>
    <w:rsid w:val="0001042A"/>
    <w:rsid w:val="00010E50"/>
    <w:rsid w:val="000111FA"/>
    <w:rsid w:val="0001157F"/>
    <w:rsid w:val="00011591"/>
    <w:rsid w:val="000115CD"/>
    <w:rsid w:val="000116C1"/>
    <w:rsid w:val="0001188E"/>
    <w:rsid w:val="000118CB"/>
    <w:rsid w:val="000119E0"/>
    <w:rsid w:val="00011AFF"/>
    <w:rsid w:val="00011C7D"/>
    <w:rsid w:val="0001214A"/>
    <w:rsid w:val="00012469"/>
    <w:rsid w:val="000124E4"/>
    <w:rsid w:val="00012573"/>
    <w:rsid w:val="0001270A"/>
    <w:rsid w:val="00012745"/>
    <w:rsid w:val="000127D4"/>
    <w:rsid w:val="00012B4E"/>
    <w:rsid w:val="00013151"/>
    <w:rsid w:val="0001319D"/>
    <w:rsid w:val="0001355D"/>
    <w:rsid w:val="000135E9"/>
    <w:rsid w:val="000138BF"/>
    <w:rsid w:val="000139BE"/>
    <w:rsid w:val="00013B6A"/>
    <w:rsid w:val="00013D18"/>
    <w:rsid w:val="00014223"/>
    <w:rsid w:val="0001441B"/>
    <w:rsid w:val="000145FB"/>
    <w:rsid w:val="00014ABF"/>
    <w:rsid w:val="00014CA6"/>
    <w:rsid w:val="00014DD3"/>
    <w:rsid w:val="00014F8F"/>
    <w:rsid w:val="00015060"/>
    <w:rsid w:val="00015196"/>
    <w:rsid w:val="0001521E"/>
    <w:rsid w:val="00015248"/>
    <w:rsid w:val="000159DA"/>
    <w:rsid w:val="00015A96"/>
    <w:rsid w:val="00015B12"/>
    <w:rsid w:val="00015C03"/>
    <w:rsid w:val="00015CC9"/>
    <w:rsid w:val="00015DF0"/>
    <w:rsid w:val="00015FE2"/>
    <w:rsid w:val="0001637D"/>
    <w:rsid w:val="00016E7E"/>
    <w:rsid w:val="000172AF"/>
    <w:rsid w:val="000177D6"/>
    <w:rsid w:val="00017A91"/>
    <w:rsid w:val="00017D98"/>
    <w:rsid w:val="00017EA0"/>
    <w:rsid w:val="00017FB4"/>
    <w:rsid w:val="0002023F"/>
    <w:rsid w:val="00020454"/>
    <w:rsid w:val="00020783"/>
    <w:rsid w:val="000207C0"/>
    <w:rsid w:val="00020965"/>
    <w:rsid w:val="0002121C"/>
    <w:rsid w:val="00021250"/>
    <w:rsid w:val="00021524"/>
    <w:rsid w:val="00021541"/>
    <w:rsid w:val="000219AB"/>
    <w:rsid w:val="00021A8B"/>
    <w:rsid w:val="00021B6A"/>
    <w:rsid w:val="00021F12"/>
    <w:rsid w:val="000221D2"/>
    <w:rsid w:val="000229A1"/>
    <w:rsid w:val="00022AFB"/>
    <w:rsid w:val="00022E33"/>
    <w:rsid w:val="0002303E"/>
    <w:rsid w:val="000233ED"/>
    <w:rsid w:val="000235B2"/>
    <w:rsid w:val="000242A9"/>
    <w:rsid w:val="000243CC"/>
    <w:rsid w:val="0002441F"/>
    <w:rsid w:val="00024DF5"/>
    <w:rsid w:val="000250A6"/>
    <w:rsid w:val="00025389"/>
    <w:rsid w:val="00025722"/>
    <w:rsid w:val="00025B75"/>
    <w:rsid w:val="00025B8D"/>
    <w:rsid w:val="00025CBB"/>
    <w:rsid w:val="0002601E"/>
    <w:rsid w:val="00026178"/>
    <w:rsid w:val="00026919"/>
    <w:rsid w:val="00026928"/>
    <w:rsid w:val="00026AC5"/>
    <w:rsid w:val="00026B02"/>
    <w:rsid w:val="00026B8B"/>
    <w:rsid w:val="00026BFA"/>
    <w:rsid w:val="00026C93"/>
    <w:rsid w:val="00026D6B"/>
    <w:rsid w:val="00027413"/>
    <w:rsid w:val="000275E7"/>
    <w:rsid w:val="000276FA"/>
    <w:rsid w:val="00027CFC"/>
    <w:rsid w:val="00027DBE"/>
    <w:rsid w:val="00027E45"/>
    <w:rsid w:val="00027F1B"/>
    <w:rsid w:val="000300CE"/>
    <w:rsid w:val="0003021B"/>
    <w:rsid w:val="0003046E"/>
    <w:rsid w:val="00030579"/>
    <w:rsid w:val="0003087B"/>
    <w:rsid w:val="00030A45"/>
    <w:rsid w:val="00030A93"/>
    <w:rsid w:val="00030F1B"/>
    <w:rsid w:val="00030F75"/>
    <w:rsid w:val="0003105A"/>
    <w:rsid w:val="0003118D"/>
    <w:rsid w:val="00031418"/>
    <w:rsid w:val="00031C14"/>
    <w:rsid w:val="00031DF1"/>
    <w:rsid w:val="000321F9"/>
    <w:rsid w:val="00032668"/>
    <w:rsid w:val="00032A66"/>
    <w:rsid w:val="00032C42"/>
    <w:rsid w:val="00032CB9"/>
    <w:rsid w:val="00032FA0"/>
    <w:rsid w:val="0003302D"/>
    <w:rsid w:val="000333CB"/>
    <w:rsid w:val="000333FF"/>
    <w:rsid w:val="00033720"/>
    <w:rsid w:val="00033B0C"/>
    <w:rsid w:val="00033C28"/>
    <w:rsid w:val="00033FBA"/>
    <w:rsid w:val="00034117"/>
    <w:rsid w:val="0003438E"/>
    <w:rsid w:val="0003452B"/>
    <w:rsid w:val="000346A7"/>
    <w:rsid w:val="000347A2"/>
    <w:rsid w:val="00034DB4"/>
    <w:rsid w:val="0003500A"/>
    <w:rsid w:val="00035476"/>
    <w:rsid w:val="00035567"/>
    <w:rsid w:val="000355F5"/>
    <w:rsid w:val="00035A24"/>
    <w:rsid w:val="00035CA0"/>
    <w:rsid w:val="0003600B"/>
    <w:rsid w:val="00036330"/>
    <w:rsid w:val="00036C25"/>
    <w:rsid w:val="00036F31"/>
    <w:rsid w:val="00036FB4"/>
    <w:rsid w:val="0003710F"/>
    <w:rsid w:val="00037528"/>
    <w:rsid w:val="000377B4"/>
    <w:rsid w:val="00037994"/>
    <w:rsid w:val="00037C8E"/>
    <w:rsid w:val="00037D64"/>
    <w:rsid w:val="000400FE"/>
    <w:rsid w:val="00040133"/>
    <w:rsid w:val="00040250"/>
    <w:rsid w:val="00040629"/>
    <w:rsid w:val="000406C5"/>
    <w:rsid w:val="00040D7A"/>
    <w:rsid w:val="00040F60"/>
    <w:rsid w:val="00041399"/>
    <w:rsid w:val="0004173B"/>
    <w:rsid w:val="00041807"/>
    <w:rsid w:val="00041E3A"/>
    <w:rsid w:val="00041F93"/>
    <w:rsid w:val="0004212B"/>
    <w:rsid w:val="00042225"/>
    <w:rsid w:val="0004222A"/>
    <w:rsid w:val="00042440"/>
    <w:rsid w:val="00042534"/>
    <w:rsid w:val="00042743"/>
    <w:rsid w:val="00042951"/>
    <w:rsid w:val="000434AD"/>
    <w:rsid w:val="00043554"/>
    <w:rsid w:val="000437EC"/>
    <w:rsid w:val="0004397B"/>
    <w:rsid w:val="00043B8E"/>
    <w:rsid w:val="00043CE7"/>
    <w:rsid w:val="00043F57"/>
    <w:rsid w:val="00044056"/>
    <w:rsid w:val="00044067"/>
    <w:rsid w:val="00044074"/>
    <w:rsid w:val="00044145"/>
    <w:rsid w:val="00044CE4"/>
    <w:rsid w:val="00044DEB"/>
    <w:rsid w:val="00045125"/>
    <w:rsid w:val="000454C6"/>
    <w:rsid w:val="00045620"/>
    <w:rsid w:val="00045942"/>
    <w:rsid w:val="00045B0A"/>
    <w:rsid w:val="00045FFD"/>
    <w:rsid w:val="0004612D"/>
    <w:rsid w:val="000462A9"/>
    <w:rsid w:val="000469D4"/>
    <w:rsid w:val="00046A4A"/>
    <w:rsid w:val="00046BF4"/>
    <w:rsid w:val="00046E9A"/>
    <w:rsid w:val="000471B3"/>
    <w:rsid w:val="00047562"/>
    <w:rsid w:val="00047B8F"/>
    <w:rsid w:val="0004A7E8"/>
    <w:rsid w:val="000500E7"/>
    <w:rsid w:val="0005019C"/>
    <w:rsid w:val="0005020B"/>
    <w:rsid w:val="00050261"/>
    <w:rsid w:val="00050795"/>
    <w:rsid w:val="000507FF"/>
    <w:rsid w:val="000508BA"/>
    <w:rsid w:val="00050926"/>
    <w:rsid w:val="00050A97"/>
    <w:rsid w:val="00050C48"/>
    <w:rsid w:val="00050C83"/>
    <w:rsid w:val="00050F88"/>
    <w:rsid w:val="00051985"/>
    <w:rsid w:val="00051A70"/>
    <w:rsid w:val="00051D37"/>
    <w:rsid w:val="00051E07"/>
    <w:rsid w:val="00051FD1"/>
    <w:rsid w:val="000520E5"/>
    <w:rsid w:val="00052400"/>
    <w:rsid w:val="0005265A"/>
    <w:rsid w:val="000526B8"/>
    <w:rsid w:val="00052A64"/>
    <w:rsid w:val="00052BDD"/>
    <w:rsid w:val="00052CB3"/>
    <w:rsid w:val="00053052"/>
    <w:rsid w:val="0005317C"/>
    <w:rsid w:val="000531F8"/>
    <w:rsid w:val="000539DB"/>
    <w:rsid w:val="000539EA"/>
    <w:rsid w:val="00053C13"/>
    <w:rsid w:val="00053C28"/>
    <w:rsid w:val="00053C6F"/>
    <w:rsid w:val="00053F49"/>
    <w:rsid w:val="00053FE3"/>
    <w:rsid w:val="0005415A"/>
    <w:rsid w:val="00054303"/>
    <w:rsid w:val="00054510"/>
    <w:rsid w:val="000545A8"/>
    <w:rsid w:val="00054822"/>
    <w:rsid w:val="00054909"/>
    <w:rsid w:val="00054F38"/>
    <w:rsid w:val="00055402"/>
    <w:rsid w:val="00055498"/>
    <w:rsid w:val="000554C0"/>
    <w:rsid w:val="000555C0"/>
    <w:rsid w:val="00055753"/>
    <w:rsid w:val="000559C6"/>
    <w:rsid w:val="000559F2"/>
    <w:rsid w:val="0005612D"/>
    <w:rsid w:val="000561C8"/>
    <w:rsid w:val="0005664B"/>
    <w:rsid w:val="00056AF7"/>
    <w:rsid w:val="00056B50"/>
    <w:rsid w:val="00056DCC"/>
    <w:rsid w:val="00056FCC"/>
    <w:rsid w:val="000570C5"/>
    <w:rsid w:val="00057175"/>
    <w:rsid w:val="000575B9"/>
    <w:rsid w:val="000576C0"/>
    <w:rsid w:val="00057893"/>
    <w:rsid w:val="000578C5"/>
    <w:rsid w:val="00057A15"/>
    <w:rsid w:val="00057ACD"/>
    <w:rsid w:val="00057D15"/>
    <w:rsid w:val="00057F43"/>
    <w:rsid w:val="00057FA4"/>
    <w:rsid w:val="000602A7"/>
    <w:rsid w:val="0006042C"/>
    <w:rsid w:val="0006085F"/>
    <w:rsid w:val="000609CB"/>
    <w:rsid w:val="00060ABA"/>
    <w:rsid w:val="00060BE6"/>
    <w:rsid w:val="00060F03"/>
    <w:rsid w:val="000615C8"/>
    <w:rsid w:val="00061847"/>
    <w:rsid w:val="00061A9A"/>
    <w:rsid w:val="00061B0D"/>
    <w:rsid w:val="0006214A"/>
    <w:rsid w:val="00062445"/>
    <w:rsid w:val="000626F4"/>
    <w:rsid w:val="00062907"/>
    <w:rsid w:val="0006291B"/>
    <w:rsid w:val="00062B4D"/>
    <w:rsid w:val="00062D0F"/>
    <w:rsid w:val="00062EBD"/>
    <w:rsid w:val="000631EE"/>
    <w:rsid w:val="000634D7"/>
    <w:rsid w:val="00063A17"/>
    <w:rsid w:val="00063A83"/>
    <w:rsid w:val="00063B88"/>
    <w:rsid w:val="00063F38"/>
    <w:rsid w:val="00064013"/>
    <w:rsid w:val="000640A1"/>
    <w:rsid w:val="000641EF"/>
    <w:rsid w:val="0006457C"/>
    <w:rsid w:val="000645D1"/>
    <w:rsid w:val="000646E6"/>
    <w:rsid w:val="000647D0"/>
    <w:rsid w:val="00064938"/>
    <w:rsid w:val="00064B77"/>
    <w:rsid w:val="00064D50"/>
    <w:rsid w:val="00064EAD"/>
    <w:rsid w:val="0006503C"/>
    <w:rsid w:val="000652F2"/>
    <w:rsid w:val="000652F8"/>
    <w:rsid w:val="00065333"/>
    <w:rsid w:val="0006542D"/>
    <w:rsid w:val="00065B32"/>
    <w:rsid w:val="00065EE5"/>
    <w:rsid w:val="0006655A"/>
    <w:rsid w:val="00066D7F"/>
    <w:rsid w:val="00066DA7"/>
    <w:rsid w:val="00066DCC"/>
    <w:rsid w:val="000671AC"/>
    <w:rsid w:val="0006722F"/>
    <w:rsid w:val="00067637"/>
    <w:rsid w:val="00067C5F"/>
    <w:rsid w:val="00067E02"/>
    <w:rsid w:val="00067F3A"/>
    <w:rsid w:val="0007011F"/>
    <w:rsid w:val="00070566"/>
    <w:rsid w:val="000705F5"/>
    <w:rsid w:val="00070690"/>
    <w:rsid w:val="00070823"/>
    <w:rsid w:val="00070F53"/>
    <w:rsid w:val="00071550"/>
    <w:rsid w:val="0007181F"/>
    <w:rsid w:val="0007197E"/>
    <w:rsid w:val="000719B5"/>
    <w:rsid w:val="00071BC3"/>
    <w:rsid w:val="000720B8"/>
    <w:rsid w:val="00072401"/>
    <w:rsid w:val="0007275A"/>
    <w:rsid w:val="000728C8"/>
    <w:rsid w:val="000728CD"/>
    <w:rsid w:val="0007298C"/>
    <w:rsid w:val="000730B8"/>
    <w:rsid w:val="00073542"/>
    <w:rsid w:val="000736CF"/>
    <w:rsid w:val="00073742"/>
    <w:rsid w:val="00073949"/>
    <w:rsid w:val="000739BE"/>
    <w:rsid w:val="00073A3C"/>
    <w:rsid w:val="00073A5F"/>
    <w:rsid w:val="00073C7D"/>
    <w:rsid w:val="0007402B"/>
    <w:rsid w:val="00074520"/>
    <w:rsid w:val="00074539"/>
    <w:rsid w:val="0007456E"/>
    <w:rsid w:val="000746C0"/>
    <w:rsid w:val="00074815"/>
    <w:rsid w:val="000748B7"/>
    <w:rsid w:val="00074B21"/>
    <w:rsid w:val="00074CD0"/>
    <w:rsid w:val="00074E74"/>
    <w:rsid w:val="00075473"/>
    <w:rsid w:val="0007580C"/>
    <w:rsid w:val="0007585E"/>
    <w:rsid w:val="00075A07"/>
    <w:rsid w:val="00075CBC"/>
    <w:rsid w:val="00075FB5"/>
    <w:rsid w:val="00075FEF"/>
    <w:rsid w:val="00075FF3"/>
    <w:rsid w:val="000761EE"/>
    <w:rsid w:val="00076216"/>
    <w:rsid w:val="000762B4"/>
    <w:rsid w:val="000764C9"/>
    <w:rsid w:val="000767FC"/>
    <w:rsid w:val="00076B6A"/>
    <w:rsid w:val="00076C5D"/>
    <w:rsid w:val="00076ED7"/>
    <w:rsid w:val="00077076"/>
    <w:rsid w:val="0007745E"/>
    <w:rsid w:val="00077A47"/>
    <w:rsid w:val="00077C73"/>
    <w:rsid w:val="00077DAB"/>
    <w:rsid w:val="000800A7"/>
    <w:rsid w:val="000804BE"/>
    <w:rsid w:val="000806C9"/>
    <w:rsid w:val="0008078A"/>
    <w:rsid w:val="00080941"/>
    <w:rsid w:val="00080AD5"/>
    <w:rsid w:val="00080B74"/>
    <w:rsid w:val="00080EA0"/>
    <w:rsid w:val="00081155"/>
    <w:rsid w:val="0008145F"/>
    <w:rsid w:val="00081DE8"/>
    <w:rsid w:val="00081F7F"/>
    <w:rsid w:val="000822DE"/>
    <w:rsid w:val="00082333"/>
    <w:rsid w:val="000824A9"/>
    <w:rsid w:val="00082821"/>
    <w:rsid w:val="000829DF"/>
    <w:rsid w:val="00082B1F"/>
    <w:rsid w:val="000831B4"/>
    <w:rsid w:val="000833A6"/>
    <w:rsid w:val="00083539"/>
    <w:rsid w:val="0008378F"/>
    <w:rsid w:val="00083CED"/>
    <w:rsid w:val="00083D7F"/>
    <w:rsid w:val="0008415D"/>
    <w:rsid w:val="0008449D"/>
    <w:rsid w:val="000845DC"/>
    <w:rsid w:val="000847E5"/>
    <w:rsid w:val="00084A4F"/>
    <w:rsid w:val="00084A53"/>
    <w:rsid w:val="00084C32"/>
    <w:rsid w:val="00084F01"/>
    <w:rsid w:val="00085599"/>
    <w:rsid w:val="000856AA"/>
    <w:rsid w:val="00085E06"/>
    <w:rsid w:val="00086878"/>
    <w:rsid w:val="00086A55"/>
    <w:rsid w:val="00086AF5"/>
    <w:rsid w:val="00086C58"/>
    <w:rsid w:val="00086E0D"/>
    <w:rsid w:val="00086F6B"/>
    <w:rsid w:val="0008725B"/>
    <w:rsid w:val="00087643"/>
    <w:rsid w:val="0008779A"/>
    <w:rsid w:val="00087836"/>
    <w:rsid w:val="00087D1D"/>
    <w:rsid w:val="0009010B"/>
    <w:rsid w:val="00090113"/>
    <w:rsid w:val="000901D2"/>
    <w:rsid w:val="00090382"/>
    <w:rsid w:val="0009049D"/>
    <w:rsid w:val="000904EE"/>
    <w:rsid w:val="00090963"/>
    <w:rsid w:val="00090A42"/>
    <w:rsid w:val="0009115F"/>
    <w:rsid w:val="000911B7"/>
    <w:rsid w:val="00091322"/>
    <w:rsid w:val="000913CF"/>
    <w:rsid w:val="0009165E"/>
    <w:rsid w:val="00091A20"/>
    <w:rsid w:val="00091E85"/>
    <w:rsid w:val="00091EE8"/>
    <w:rsid w:val="00092066"/>
    <w:rsid w:val="000921FC"/>
    <w:rsid w:val="00092271"/>
    <w:rsid w:val="00092292"/>
    <w:rsid w:val="0009255C"/>
    <w:rsid w:val="00092666"/>
    <w:rsid w:val="000927B2"/>
    <w:rsid w:val="00092E3B"/>
    <w:rsid w:val="00092F1C"/>
    <w:rsid w:val="0009308E"/>
    <w:rsid w:val="00093471"/>
    <w:rsid w:val="00093A19"/>
    <w:rsid w:val="00093A33"/>
    <w:rsid w:val="00093A7E"/>
    <w:rsid w:val="00093AE8"/>
    <w:rsid w:val="00094150"/>
    <w:rsid w:val="000943D9"/>
    <w:rsid w:val="00094535"/>
    <w:rsid w:val="00094D54"/>
    <w:rsid w:val="000953DC"/>
    <w:rsid w:val="000955F0"/>
    <w:rsid w:val="00095718"/>
    <w:rsid w:val="00095915"/>
    <w:rsid w:val="00095996"/>
    <w:rsid w:val="00095EF7"/>
    <w:rsid w:val="00095FFA"/>
    <w:rsid w:val="00096028"/>
    <w:rsid w:val="00096349"/>
    <w:rsid w:val="0009639F"/>
    <w:rsid w:val="00096B5A"/>
    <w:rsid w:val="0009731E"/>
    <w:rsid w:val="000973AB"/>
    <w:rsid w:val="000975DC"/>
    <w:rsid w:val="000976D0"/>
    <w:rsid w:val="0009772F"/>
    <w:rsid w:val="00097B11"/>
    <w:rsid w:val="00097C35"/>
    <w:rsid w:val="00097E32"/>
    <w:rsid w:val="00097E4D"/>
    <w:rsid w:val="00097EF0"/>
    <w:rsid w:val="00097F54"/>
    <w:rsid w:val="00097FE4"/>
    <w:rsid w:val="000A0782"/>
    <w:rsid w:val="000A08DB"/>
    <w:rsid w:val="000A0B31"/>
    <w:rsid w:val="000A0BE9"/>
    <w:rsid w:val="000A1202"/>
    <w:rsid w:val="000A1282"/>
    <w:rsid w:val="000A14BB"/>
    <w:rsid w:val="000A1639"/>
    <w:rsid w:val="000A186C"/>
    <w:rsid w:val="000A197E"/>
    <w:rsid w:val="000A1B91"/>
    <w:rsid w:val="000A1E99"/>
    <w:rsid w:val="000A20AA"/>
    <w:rsid w:val="000A2197"/>
    <w:rsid w:val="000A21E5"/>
    <w:rsid w:val="000A245D"/>
    <w:rsid w:val="000A26E7"/>
    <w:rsid w:val="000A28C5"/>
    <w:rsid w:val="000A2AC3"/>
    <w:rsid w:val="000A2AF7"/>
    <w:rsid w:val="000A2D46"/>
    <w:rsid w:val="000A2DCE"/>
    <w:rsid w:val="000A2E48"/>
    <w:rsid w:val="000A32CB"/>
    <w:rsid w:val="000A330A"/>
    <w:rsid w:val="000A3397"/>
    <w:rsid w:val="000A33DD"/>
    <w:rsid w:val="000A3463"/>
    <w:rsid w:val="000A355B"/>
    <w:rsid w:val="000A3754"/>
    <w:rsid w:val="000A3855"/>
    <w:rsid w:val="000A3AE8"/>
    <w:rsid w:val="000A45B2"/>
    <w:rsid w:val="000A45E2"/>
    <w:rsid w:val="000A4705"/>
    <w:rsid w:val="000A4C1E"/>
    <w:rsid w:val="000A4DCA"/>
    <w:rsid w:val="000A4F46"/>
    <w:rsid w:val="000A5326"/>
    <w:rsid w:val="000A5465"/>
    <w:rsid w:val="000A5775"/>
    <w:rsid w:val="000A5AA0"/>
    <w:rsid w:val="000A5D3C"/>
    <w:rsid w:val="000A5EB2"/>
    <w:rsid w:val="000A63B6"/>
    <w:rsid w:val="000A6448"/>
    <w:rsid w:val="000A66F3"/>
    <w:rsid w:val="000A67EC"/>
    <w:rsid w:val="000A7194"/>
    <w:rsid w:val="000A75CA"/>
    <w:rsid w:val="000A787B"/>
    <w:rsid w:val="000A7979"/>
    <w:rsid w:val="000A7B05"/>
    <w:rsid w:val="000A7B7B"/>
    <w:rsid w:val="000A7C5E"/>
    <w:rsid w:val="000B0106"/>
    <w:rsid w:val="000B02B5"/>
    <w:rsid w:val="000B02B8"/>
    <w:rsid w:val="000B0369"/>
    <w:rsid w:val="000B06C5"/>
    <w:rsid w:val="000B0983"/>
    <w:rsid w:val="000B0A44"/>
    <w:rsid w:val="000B0A86"/>
    <w:rsid w:val="000B0EA1"/>
    <w:rsid w:val="000B12B3"/>
    <w:rsid w:val="000B13AF"/>
    <w:rsid w:val="000B17B5"/>
    <w:rsid w:val="000B19F5"/>
    <w:rsid w:val="000B1A5B"/>
    <w:rsid w:val="000B1E62"/>
    <w:rsid w:val="000B22FF"/>
    <w:rsid w:val="000B2320"/>
    <w:rsid w:val="000B29A5"/>
    <w:rsid w:val="000B2BC1"/>
    <w:rsid w:val="000B2DA2"/>
    <w:rsid w:val="000B30CC"/>
    <w:rsid w:val="000B320F"/>
    <w:rsid w:val="000B3404"/>
    <w:rsid w:val="000B3655"/>
    <w:rsid w:val="000B3BC1"/>
    <w:rsid w:val="000B3C9B"/>
    <w:rsid w:val="000B3F04"/>
    <w:rsid w:val="000B4777"/>
    <w:rsid w:val="000B4E6F"/>
    <w:rsid w:val="000B4F69"/>
    <w:rsid w:val="000B4FEC"/>
    <w:rsid w:val="000B5016"/>
    <w:rsid w:val="000B50CD"/>
    <w:rsid w:val="000B5169"/>
    <w:rsid w:val="000B534D"/>
    <w:rsid w:val="000B5455"/>
    <w:rsid w:val="000B56A9"/>
    <w:rsid w:val="000B5713"/>
    <w:rsid w:val="000B5A7A"/>
    <w:rsid w:val="000B5AE9"/>
    <w:rsid w:val="000B5AED"/>
    <w:rsid w:val="000B5CEF"/>
    <w:rsid w:val="000B5CFA"/>
    <w:rsid w:val="000B5DE7"/>
    <w:rsid w:val="000B5F83"/>
    <w:rsid w:val="000B602D"/>
    <w:rsid w:val="000B647B"/>
    <w:rsid w:val="000B6879"/>
    <w:rsid w:val="000B69A9"/>
    <w:rsid w:val="000B6C4F"/>
    <w:rsid w:val="000B71ED"/>
    <w:rsid w:val="000B7331"/>
    <w:rsid w:val="000B73C1"/>
    <w:rsid w:val="000B74E6"/>
    <w:rsid w:val="000B75A1"/>
    <w:rsid w:val="000B77C8"/>
    <w:rsid w:val="000B789A"/>
    <w:rsid w:val="000B79D4"/>
    <w:rsid w:val="000B7A1F"/>
    <w:rsid w:val="000B7BF4"/>
    <w:rsid w:val="000B7DF8"/>
    <w:rsid w:val="000B7EEA"/>
    <w:rsid w:val="000C0268"/>
    <w:rsid w:val="000C03A5"/>
    <w:rsid w:val="000C04D4"/>
    <w:rsid w:val="000C053E"/>
    <w:rsid w:val="000C05DA"/>
    <w:rsid w:val="000C074F"/>
    <w:rsid w:val="000C08B9"/>
    <w:rsid w:val="000C0AB0"/>
    <w:rsid w:val="000C0C88"/>
    <w:rsid w:val="000C120E"/>
    <w:rsid w:val="000C1437"/>
    <w:rsid w:val="000C1904"/>
    <w:rsid w:val="000C19A6"/>
    <w:rsid w:val="000C2002"/>
    <w:rsid w:val="000C2039"/>
    <w:rsid w:val="000C2621"/>
    <w:rsid w:val="000C2632"/>
    <w:rsid w:val="000C27AC"/>
    <w:rsid w:val="000C2F2E"/>
    <w:rsid w:val="000C3196"/>
    <w:rsid w:val="000C329A"/>
    <w:rsid w:val="000C35D8"/>
    <w:rsid w:val="000C39F9"/>
    <w:rsid w:val="000C3AD4"/>
    <w:rsid w:val="000C3D23"/>
    <w:rsid w:val="000C3F14"/>
    <w:rsid w:val="000C3F8A"/>
    <w:rsid w:val="000C40A6"/>
    <w:rsid w:val="000C40B3"/>
    <w:rsid w:val="000C41F7"/>
    <w:rsid w:val="000C4742"/>
    <w:rsid w:val="000C4A59"/>
    <w:rsid w:val="000C5036"/>
    <w:rsid w:val="000C50D3"/>
    <w:rsid w:val="000C574B"/>
    <w:rsid w:val="000C59ED"/>
    <w:rsid w:val="000C5CF5"/>
    <w:rsid w:val="000C605F"/>
    <w:rsid w:val="000C61BB"/>
    <w:rsid w:val="000C62F3"/>
    <w:rsid w:val="000C6325"/>
    <w:rsid w:val="000C63F2"/>
    <w:rsid w:val="000C645D"/>
    <w:rsid w:val="000C68C9"/>
    <w:rsid w:val="000C6E1A"/>
    <w:rsid w:val="000C6FA4"/>
    <w:rsid w:val="000C709E"/>
    <w:rsid w:val="000C7184"/>
    <w:rsid w:val="000C71DA"/>
    <w:rsid w:val="000C7453"/>
    <w:rsid w:val="000C7675"/>
    <w:rsid w:val="000C7684"/>
    <w:rsid w:val="000C7857"/>
    <w:rsid w:val="000C78C2"/>
    <w:rsid w:val="000C79B0"/>
    <w:rsid w:val="000C7A0E"/>
    <w:rsid w:val="000C7E27"/>
    <w:rsid w:val="000D0205"/>
    <w:rsid w:val="000D0724"/>
    <w:rsid w:val="000D09BC"/>
    <w:rsid w:val="000D0AFE"/>
    <w:rsid w:val="000D0B4A"/>
    <w:rsid w:val="000D0C80"/>
    <w:rsid w:val="000D0CB9"/>
    <w:rsid w:val="000D0D21"/>
    <w:rsid w:val="000D121C"/>
    <w:rsid w:val="000D129D"/>
    <w:rsid w:val="000D14ED"/>
    <w:rsid w:val="000D1566"/>
    <w:rsid w:val="000D1AF1"/>
    <w:rsid w:val="000D1DC7"/>
    <w:rsid w:val="000D22F6"/>
    <w:rsid w:val="000D23F8"/>
    <w:rsid w:val="000D240D"/>
    <w:rsid w:val="000D25E4"/>
    <w:rsid w:val="000D2636"/>
    <w:rsid w:val="000D2660"/>
    <w:rsid w:val="000D291F"/>
    <w:rsid w:val="000D2B37"/>
    <w:rsid w:val="000D2D56"/>
    <w:rsid w:val="000D3056"/>
    <w:rsid w:val="000D30DA"/>
    <w:rsid w:val="000D3195"/>
    <w:rsid w:val="000D328E"/>
    <w:rsid w:val="000D359B"/>
    <w:rsid w:val="000D35AA"/>
    <w:rsid w:val="000D36FA"/>
    <w:rsid w:val="000D37B6"/>
    <w:rsid w:val="000D3CEC"/>
    <w:rsid w:val="000D3E5B"/>
    <w:rsid w:val="000D3F3A"/>
    <w:rsid w:val="000D4288"/>
    <w:rsid w:val="000D4EB0"/>
    <w:rsid w:val="000D5166"/>
    <w:rsid w:val="000D542F"/>
    <w:rsid w:val="000D58E0"/>
    <w:rsid w:val="000D5F14"/>
    <w:rsid w:val="000D5F93"/>
    <w:rsid w:val="000D5F9E"/>
    <w:rsid w:val="000D6000"/>
    <w:rsid w:val="000D643C"/>
    <w:rsid w:val="000D6942"/>
    <w:rsid w:val="000D6CFC"/>
    <w:rsid w:val="000D6D7F"/>
    <w:rsid w:val="000D6E59"/>
    <w:rsid w:val="000D6F49"/>
    <w:rsid w:val="000D6FF5"/>
    <w:rsid w:val="000D7574"/>
    <w:rsid w:val="000E00F4"/>
    <w:rsid w:val="000E02DC"/>
    <w:rsid w:val="000E08F0"/>
    <w:rsid w:val="000E09CE"/>
    <w:rsid w:val="000E0E16"/>
    <w:rsid w:val="000E105A"/>
    <w:rsid w:val="000E119D"/>
    <w:rsid w:val="000E1737"/>
    <w:rsid w:val="000E1808"/>
    <w:rsid w:val="000E1C79"/>
    <w:rsid w:val="000E1D0C"/>
    <w:rsid w:val="000E1E08"/>
    <w:rsid w:val="000E1F2C"/>
    <w:rsid w:val="000E2971"/>
    <w:rsid w:val="000E2BC1"/>
    <w:rsid w:val="000E3657"/>
    <w:rsid w:val="000E3B22"/>
    <w:rsid w:val="000E3CAD"/>
    <w:rsid w:val="000E3CFD"/>
    <w:rsid w:val="000E3E2F"/>
    <w:rsid w:val="000E4028"/>
    <w:rsid w:val="000E426D"/>
    <w:rsid w:val="000E4356"/>
    <w:rsid w:val="000E43A6"/>
    <w:rsid w:val="000E4635"/>
    <w:rsid w:val="000E4795"/>
    <w:rsid w:val="000E4A77"/>
    <w:rsid w:val="000E4B9A"/>
    <w:rsid w:val="000E4FED"/>
    <w:rsid w:val="000E503E"/>
    <w:rsid w:val="000E52EE"/>
    <w:rsid w:val="000E534C"/>
    <w:rsid w:val="000E542B"/>
    <w:rsid w:val="000E55E5"/>
    <w:rsid w:val="000E588F"/>
    <w:rsid w:val="000E595C"/>
    <w:rsid w:val="000E5AD5"/>
    <w:rsid w:val="000E5C3F"/>
    <w:rsid w:val="000E5FDB"/>
    <w:rsid w:val="000E604F"/>
    <w:rsid w:val="000E60D4"/>
    <w:rsid w:val="000E643D"/>
    <w:rsid w:val="000E6B95"/>
    <w:rsid w:val="000E6CA9"/>
    <w:rsid w:val="000E6D64"/>
    <w:rsid w:val="000E6E84"/>
    <w:rsid w:val="000E71C7"/>
    <w:rsid w:val="000E72DD"/>
    <w:rsid w:val="000E74D3"/>
    <w:rsid w:val="000E76BC"/>
    <w:rsid w:val="000E79A0"/>
    <w:rsid w:val="000E7A1A"/>
    <w:rsid w:val="000E7ACA"/>
    <w:rsid w:val="000E7C64"/>
    <w:rsid w:val="000E7F38"/>
    <w:rsid w:val="000E7F69"/>
    <w:rsid w:val="000F0193"/>
    <w:rsid w:val="000F0236"/>
    <w:rsid w:val="000F04A4"/>
    <w:rsid w:val="000F099F"/>
    <w:rsid w:val="000F09EC"/>
    <w:rsid w:val="000F0F5B"/>
    <w:rsid w:val="000F111C"/>
    <w:rsid w:val="000F1A3D"/>
    <w:rsid w:val="000F1A9B"/>
    <w:rsid w:val="000F1BA9"/>
    <w:rsid w:val="000F1CBB"/>
    <w:rsid w:val="000F1DCF"/>
    <w:rsid w:val="000F1DDD"/>
    <w:rsid w:val="000F1E31"/>
    <w:rsid w:val="000F1E63"/>
    <w:rsid w:val="000F22E3"/>
    <w:rsid w:val="000F3026"/>
    <w:rsid w:val="000F3122"/>
    <w:rsid w:val="000F35A2"/>
    <w:rsid w:val="000F3794"/>
    <w:rsid w:val="000F385F"/>
    <w:rsid w:val="000F3BD5"/>
    <w:rsid w:val="000F3D0C"/>
    <w:rsid w:val="000F435B"/>
    <w:rsid w:val="000F4366"/>
    <w:rsid w:val="000F46EB"/>
    <w:rsid w:val="000F4797"/>
    <w:rsid w:val="000F499C"/>
    <w:rsid w:val="000F49A0"/>
    <w:rsid w:val="000F4A24"/>
    <w:rsid w:val="000F4D02"/>
    <w:rsid w:val="000F4E8C"/>
    <w:rsid w:val="000F50BC"/>
    <w:rsid w:val="000F50E0"/>
    <w:rsid w:val="000F526E"/>
    <w:rsid w:val="000F55EE"/>
    <w:rsid w:val="000F5716"/>
    <w:rsid w:val="000F5854"/>
    <w:rsid w:val="000F59E9"/>
    <w:rsid w:val="000F5B0E"/>
    <w:rsid w:val="000F5BB5"/>
    <w:rsid w:val="000F5E30"/>
    <w:rsid w:val="000F5F50"/>
    <w:rsid w:val="000F5F97"/>
    <w:rsid w:val="000F6038"/>
    <w:rsid w:val="000F60B8"/>
    <w:rsid w:val="000F6467"/>
    <w:rsid w:val="000F6793"/>
    <w:rsid w:val="000F69A7"/>
    <w:rsid w:val="000F6CD8"/>
    <w:rsid w:val="000F6CE5"/>
    <w:rsid w:val="000F6E35"/>
    <w:rsid w:val="000F6F83"/>
    <w:rsid w:val="000F7067"/>
    <w:rsid w:val="000F72CD"/>
    <w:rsid w:val="000F7581"/>
    <w:rsid w:val="000F78EE"/>
    <w:rsid w:val="000F7B0D"/>
    <w:rsid w:val="000F7D88"/>
    <w:rsid w:val="000F7DA2"/>
    <w:rsid w:val="000F7DAE"/>
    <w:rsid w:val="00100016"/>
    <w:rsid w:val="001002CD"/>
    <w:rsid w:val="00100B3A"/>
    <w:rsid w:val="00100E19"/>
    <w:rsid w:val="00101184"/>
    <w:rsid w:val="00101392"/>
    <w:rsid w:val="001018C9"/>
    <w:rsid w:val="001018DC"/>
    <w:rsid w:val="00101A10"/>
    <w:rsid w:val="00101C7D"/>
    <w:rsid w:val="00101D6A"/>
    <w:rsid w:val="001021A0"/>
    <w:rsid w:val="001022ED"/>
    <w:rsid w:val="001026EC"/>
    <w:rsid w:val="00102A4B"/>
    <w:rsid w:val="00102C26"/>
    <w:rsid w:val="00103059"/>
    <w:rsid w:val="001031CE"/>
    <w:rsid w:val="001035BF"/>
    <w:rsid w:val="00103697"/>
    <w:rsid w:val="0010387A"/>
    <w:rsid w:val="00103D81"/>
    <w:rsid w:val="00103F80"/>
    <w:rsid w:val="00103FF0"/>
    <w:rsid w:val="00104060"/>
    <w:rsid w:val="00104702"/>
    <w:rsid w:val="00104D06"/>
    <w:rsid w:val="00104EE3"/>
    <w:rsid w:val="001057D9"/>
    <w:rsid w:val="00105A12"/>
    <w:rsid w:val="00105BB2"/>
    <w:rsid w:val="00105C47"/>
    <w:rsid w:val="00105C4C"/>
    <w:rsid w:val="00105CCD"/>
    <w:rsid w:val="00106074"/>
    <w:rsid w:val="00106160"/>
    <w:rsid w:val="001061AF"/>
    <w:rsid w:val="00106741"/>
    <w:rsid w:val="001067C2"/>
    <w:rsid w:val="00106F66"/>
    <w:rsid w:val="001072B2"/>
    <w:rsid w:val="001072E8"/>
    <w:rsid w:val="001073CC"/>
    <w:rsid w:val="00107D51"/>
    <w:rsid w:val="00107DE5"/>
    <w:rsid w:val="00107E18"/>
    <w:rsid w:val="00107E2A"/>
    <w:rsid w:val="00107EC8"/>
    <w:rsid w:val="00107FE7"/>
    <w:rsid w:val="00110081"/>
    <w:rsid w:val="00110859"/>
    <w:rsid w:val="00110A33"/>
    <w:rsid w:val="00110B55"/>
    <w:rsid w:val="00110C6C"/>
    <w:rsid w:val="00110C74"/>
    <w:rsid w:val="00110FFF"/>
    <w:rsid w:val="00111040"/>
    <w:rsid w:val="00111182"/>
    <w:rsid w:val="001113E6"/>
    <w:rsid w:val="0011149C"/>
    <w:rsid w:val="0011149F"/>
    <w:rsid w:val="00111548"/>
    <w:rsid w:val="0011176A"/>
    <w:rsid w:val="00111803"/>
    <w:rsid w:val="00111868"/>
    <w:rsid w:val="00111924"/>
    <w:rsid w:val="00111ABD"/>
    <w:rsid w:val="00111B08"/>
    <w:rsid w:val="00111B34"/>
    <w:rsid w:val="00111BB5"/>
    <w:rsid w:val="00111D33"/>
    <w:rsid w:val="00111E7F"/>
    <w:rsid w:val="00111FF3"/>
    <w:rsid w:val="00112052"/>
    <w:rsid w:val="0011214A"/>
    <w:rsid w:val="001122B5"/>
    <w:rsid w:val="0011234E"/>
    <w:rsid w:val="00112429"/>
    <w:rsid w:val="00112595"/>
    <w:rsid w:val="001127D8"/>
    <w:rsid w:val="00112892"/>
    <w:rsid w:val="0011292A"/>
    <w:rsid w:val="001133C0"/>
    <w:rsid w:val="00113585"/>
    <w:rsid w:val="00113C91"/>
    <w:rsid w:val="00113E24"/>
    <w:rsid w:val="00113FD8"/>
    <w:rsid w:val="001141B3"/>
    <w:rsid w:val="00114331"/>
    <w:rsid w:val="00114BC6"/>
    <w:rsid w:val="00114BE1"/>
    <w:rsid w:val="00114E91"/>
    <w:rsid w:val="00114EFF"/>
    <w:rsid w:val="00114F02"/>
    <w:rsid w:val="001150EC"/>
    <w:rsid w:val="0011540E"/>
    <w:rsid w:val="00115C61"/>
    <w:rsid w:val="00116238"/>
    <w:rsid w:val="001163B8"/>
    <w:rsid w:val="0011653A"/>
    <w:rsid w:val="001166CF"/>
    <w:rsid w:val="00116713"/>
    <w:rsid w:val="001167B9"/>
    <w:rsid w:val="001167C0"/>
    <w:rsid w:val="00116989"/>
    <w:rsid w:val="001169D6"/>
    <w:rsid w:val="00116A70"/>
    <w:rsid w:val="00116AB0"/>
    <w:rsid w:val="00116BE8"/>
    <w:rsid w:val="00116F4D"/>
    <w:rsid w:val="001170B7"/>
    <w:rsid w:val="001173CB"/>
    <w:rsid w:val="001174AE"/>
    <w:rsid w:val="0011755E"/>
    <w:rsid w:val="001176BA"/>
    <w:rsid w:val="00117949"/>
    <w:rsid w:val="00117AEA"/>
    <w:rsid w:val="00117B18"/>
    <w:rsid w:val="00117CDE"/>
    <w:rsid w:val="00117D94"/>
    <w:rsid w:val="00117E10"/>
    <w:rsid w:val="00117E39"/>
    <w:rsid w:val="0012029C"/>
    <w:rsid w:val="00120453"/>
    <w:rsid w:val="001207C0"/>
    <w:rsid w:val="001209D4"/>
    <w:rsid w:val="00120E07"/>
    <w:rsid w:val="00120EC1"/>
    <w:rsid w:val="00121526"/>
    <w:rsid w:val="0012163C"/>
    <w:rsid w:val="00121BA3"/>
    <w:rsid w:val="00121D24"/>
    <w:rsid w:val="00121FD1"/>
    <w:rsid w:val="00122140"/>
    <w:rsid w:val="00122429"/>
    <w:rsid w:val="00122558"/>
    <w:rsid w:val="00122671"/>
    <w:rsid w:val="0012273E"/>
    <w:rsid w:val="001228CB"/>
    <w:rsid w:val="00123037"/>
    <w:rsid w:val="00123222"/>
    <w:rsid w:val="001233B5"/>
    <w:rsid w:val="00123448"/>
    <w:rsid w:val="00123490"/>
    <w:rsid w:val="00123571"/>
    <w:rsid w:val="00123574"/>
    <w:rsid w:val="00123A3C"/>
    <w:rsid w:val="00123B76"/>
    <w:rsid w:val="00123EF8"/>
    <w:rsid w:val="00124161"/>
    <w:rsid w:val="0012428B"/>
    <w:rsid w:val="0012452B"/>
    <w:rsid w:val="00124B21"/>
    <w:rsid w:val="00125574"/>
    <w:rsid w:val="0012587C"/>
    <w:rsid w:val="00125E4F"/>
    <w:rsid w:val="00126D82"/>
    <w:rsid w:val="00127183"/>
    <w:rsid w:val="001272FF"/>
    <w:rsid w:val="00127327"/>
    <w:rsid w:val="001274F4"/>
    <w:rsid w:val="00127B2E"/>
    <w:rsid w:val="00127E50"/>
    <w:rsid w:val="00127E92"/>
    <w:rsid w:val="0013013E"/>
    <w:rsid w:val="00130281"/>
    <w:rsid w:val="00130570"/>
    <w:rsid w:val="0013142A"/>
    <w:rsid w:val="0013143B"/>
    <w:rsid w:val="001314AD"/>
    <w:rsid w:val="00131946"/>
    <w:rsid w:val="00131A25"/>
    <w:rsid w:val="00131ABE"/>
    <w:rsid w:val="00131C4D"/>
    <w:rsid w:val="00131DFC"/>
    <w:rsid w:val="001322F4"/>
    <w:rsid w:val="0013276E"/>
    <w:rsid w:val="00132915"/>
    <w:rsid w:val="00132B8A"/>
    <w:rsid w:val="00132D23"/>
    <w:rsid w:val="00132DFF"/>
    <w:rsid w:val="00132FB0"/>
    <w:rsid w:val="00133250"/>
    <w:rsid w:val="00133528"/>
    <w:rsid w:val="0013361A"/>
    <w:rsid w:val="001336C3"/>
    <w:rsid w:val="00133B4A"/>
    <w:rsid w:val="001342B4"/>
    <w:rsid w:val="00134316"/>
    <w:rsid w:val="0013432B"/>
    <w:rsid w:val="00134401"/>
    <w:rsid w:val="00134512"/>
    <w:rsid w:val="00134872"/>
    <w:rsid w:val="0013492C"/>
    <w:rsid w:val="00134B5D"/>
    <w:rsid w:val="00134BD4"/>
    <w:rsid w:val="00134EC4"/>
    <w:rsid w:val="001359F8"/>
    <w:rsid w:val="00135A8F"/>
    <w:rsid w:val="00135AFE"/>
    <w:rsid w:val="00135BD9"/>
    <w:rsid w:val="00135C5C"/>
    <w:rsid w:val="00136174"/>
    <w:rsid w:val="0013627D"/>
    <w:rsid w:val="001362B2"/>
    <w:rsid w:val="00136847"/>
    <w:rsid w:val="00136854"/>
    <w:rsid w:val="00136B4A"/>
    <w:rsid w:val="00136C57"/>
    <w:rsid w:val="00136D6C"/>
    <w:rsid w:val="00136D8F"/>
    <w:rsid w:val="00136E90"/>
    <w:rsid w:val="00136EA8"/>
    <w:rsid w:val="00137164"/>
    <w:rsid w:val="00137A9B"/>
    <w:rsid w:val="00139DA1"/>
    <w:rsid w:val="00140144"/>
    <w:rsid w:val="00140480"/>
    <w:rsid w:val="00140767"/>
    <w:rsid w:val="001407BF"/>
    <w:rsid w:val="0014081C"/>
    <w:rsid w:val="00140873"/>
    <w:rsid w:val="0014087B"/>
    <w:rsid w:val="00140C03"/>
    <w:rsid w:val="00140D68"/>
    <w:rsid w:val="00140E0A"/>
    <w:rsid w:val="00140FF3"/>
    <w:rsid w:val="00141209"/>
    <w:rsid w:val="0014123D"/>
    <w:rsid w:val="00141A91"/>
    <w:rsid w:val="00141ADB"/>
    <w:rsid w:val="00141CCE"/>
    <w:rsid w:val="001420FD"/>
    <w:rsid w:val="001422B7"/>
    <w:rsid w:val="001425C6"/>
    <w:rsid w:val="00142737"/>
    <w:rsid w:val="001427B5"/>
    <w:rsid w:val="001429E8"/>
    <w:rsid w:val="00142E18"/>
    <w:rsid w:val="0014305E"/>
    <w:rsid w:val="001430A1"/>
    <w:rsid w:val="001431E8"/>
    <w:rsid w:val="00143446"/>
    <w:rsid w:val="0014399D"/>
    <w:rsid w:val="00144055"/>
    <w:rsid w:val="0014408F"/>
    <w:rsid w:val="00144135"/>
    <w:rsid w:val="001444C6"/>
    <w:rsid w:val="0014478D"/>
    <w:rsid w:val="00144F5F"/>
    <w:rsid w:val="00145112"/>
    <w:rsid w:val="001456C8"/>
    <w:rsid w:val="00145806"/>
    <w:rsid w:val="001458AA"/>
    <w:rsid w:val="00145AAB"/>
    <w:rsid w:val="00145B54"/>
    <w:rsid w:val="00145CC9"/>
    <w:rsid w:val="00145D05"/>
    <w:rsid w:val="00145F36"/>
    <w:rsid w:val="00146060"/>
    <w:rsid w:val="00146264"/>
    <w:rsid w:val="001462C9"/>
    <w:rsid w:val="001462E9"/>
    <w:rsid w:val="00146578"/>
    <w:rsid w:val="0014672A"/>
    <w:rsid w:val="00146AAA"/>
    <w:rsid w:val="00146C12"/>
    <w:rsid w:val="00147085"/>
    <w:rsid w:val="00147174"/>
    <w:rsid w:val="001472EC"/>
    <w:rsid w:val="0014749D"/>
    <w:rsid w:val="00147686"/>
    <w:rsid w:val="00147773"/>
    <w:rsid w:val="001479F8"/>
    <w:rsid w:val="00147A5D"/>
    <w:rsid w:val="00147BEE"/>
    <w:rsid w:val="00147EC2"/>
    <w:rsid w:val="00150014"/>
    <w:rsid w:val="00150056"/>
    <w:rsid w:val="0015013D"/>
    <w:rsid w:val="001501EF"/>
    <w:rsid w:val="001505BA"/>
    <w:rsid w:val="00150702"/>
    <w:rsid w:val="001507C9"/>
    <w:rsid w:val="00150E57"/>
    <w:rsid w:val="00151085"/>
    <w:rsid w:val="001516C7"/>
    <w:rsid w:val="001517F8"/>
    <w:rsid w:val="0015198D"/>
    <w:rsid w:val="00151ADB"/>
    <w:rsid w:val="00151E90"/>
    <w:rsid w:val="0015207A"/>
    <w:rsid w:val="001521CA"/>
    <w:rsid w:val="00152297"/>
    <w:rsid w:val="00152441"/>
    <w:rsid w:val="0015272B"/>
    <w:rsid w:val="00152822"/>
    <w:rsid w:val="00152C16"/>
    <w:rsid w:val="00153157"/>
    <w:rsid w:val="001531AC"/>
    <w:rsid w:val="00153471"/>
    <w:rsid w:val="00153551"/>
    <w:rsid w:val="001537B6"/>
    <w:rsid w:val="00153825"/>
    <w:rsid w:val="00153954"/>
    <w:rsid w:val="0015399B"/>
    <w:rsid w:val="00153E6E"/>
    <w:rsid w:val="00153F29"/>
    <w:rsid w:val="001540F0"/>
    <w:rsid w:val="0015417E"/>
    <w:rsid w:val="0015439A"/>
    <w:rsid w:val="001545E3"/>
    <w:rsid w:val="00154968"/>
    <w:rsid w:val="00154AB0"/>
    <w:rsid w:val="00154CEA"/>
    <w:rsid w:val="00154DE7"/>
    <w:rsid w:val="0015512E"/>
    <w:rsid w:val="001555BF"/>
    <w:rsid w:val="001556F0"/>
    <w:rsid w:val="001559C2"/>
    <w:rsid w:val="00155BC7"/>
    <w:rsid w:val="00155E52"/>
    <w:rsid w:val="00155EBB"/>
    <w:rsid w:val="001560BD"/>
    <w:rsid w:val="00156433"/>
    <w:rsid w:val="0015648C"/>
    <w:rsid w:val="00156AA4"/>
    <w:rsid w:val="00156BB0"/>
    <w:rsid w:val="00156C28"/>
    <w:rsid w:val="00156C9E"/>
    <w:rsid w:val="0015700E"/>
    <w:rsid w:val="001570DF"/>
    <w:rsid w:val="00157804"/>
    <w:rsid w:val="001579A3"/>
    <w:rsid w:val="001579BA"/>
    <w:rsid w:val="00157A4A"/>
    <w:rsid w:val="00157C55"/>
    <w:rsid w:val="00157D95"/>
    <w:rsid w:val="00160081"/>
    <w:rsid w:val="0016008B"/>
    <w:rsid w:val="00160193"/>
    <w:rsid w:val="001601F6"/>
    <w:rsid w:val="00160294"/>
    <w:rsid w:val="001602B2"/>
    <w:rsid w:val="001602FF"/>
    <w:rsid w:val="0016044D"/>
    <w:rsid w:val="00160895"/>
    <w:rsid w:val="00160D53"/>
    <w:rsid w:val="00160DE3"/>
    <w:rsid w:val="00160E25"/>
    <w:rsid w:val="001617DF"/>
    <w:rsid w:val="00161B1C"/>
    <w:rsid w:val="00161C4F"/>
    <w:rsid w:val="00162432"/>
    <w:rsid w:val="00162747"/>
    <w:rsid w:val="001629A0"/>
    <w:rsid w:val="00162D0E"/>
    <w:rsid w:val="00162E80"/>
    <w:rsid w:val="00162EE1"/>
    <w:rsid w:val="00162F3A"/>
    <w:rsid w:val="001631BB"/>
    <w:rsid w:val="00163298"/>
    <w:rsid w:val="001632FC"/>
    <w:rsid w:val="0016334C"/>
    <w:rsid w:val="001633B5"/>
    <w:rsid w:val="00163998"/>
    <w:rsid w:val="00163E55"/>
    <w:rsid w:val="00163FA6"/>
    <w:rsid w:val="001641F1"/>
    <w:rsid w:val="00164279"/>
    <w:rsid w:val="001645BB"/>
    <w:rsid w:val="001648E5"/>
    <w:rsid w:val="00164999"/>
    <w:rsid w:val="001649E3"/>
    <w:rsid w:val="00164AF4"/>
    <w:rsid w:val="00164D93"/>
    <w:rsid w:val="00164FEF"/>
    <w:rsid w:val="00165086"/>
    <w:rsid w:val="0016537D"/>
    <w:rsid w:val="0016570C"/>
    <w:rsid w:val="0016586A"/>
    <w:rsid w:val="00165E95"/>
    <w:rsid w:val="0016610F"/>
    <w:rsid w:val="001662D4"/>
    <w:rsid w:val="0016644C"/>
    <w:rsid w:val="001665F2"/>
    <w:rsid w:val="00166698"/>
    <w:rsid w:val="00166779"/>
    <w:rsid w:val="001667FF"/>
    <w:rsid w:val="00166833"/>
    <w:rsid w:val="00166A5A"/>
    <w:rsid w:val="00166AAD"/>
    <w:rsid w:val="00166D8F"/>
    <w:rsid w:val="00167017"/>
    <w:rsid w:val="0016701B"/>
    <w:rsid w:val="001670F3"/>
    <w:rsid w:val="00167144"/>
    <w:rsid w:val="00167176"/>
    <w:rsid w:val="00167361"/>
    <w:rsid w:val="001676CF"/>
    <w:rsid w:val="00167AEB"/>
    <w:rsid w:val="00167BAC"/>
    <w:rsid w:val="00167CA5"/>
    <w:rsid w:val="00167D08"/>
    <w:rsid w:val="00170188"/>
    <w:rsid w:val="00170564"/>
    <w:rsid w:val="001705C9"/>
    <w:rsid w:val="00170696"/>
    <w:rsid w:val="00170B64"/>
    <w:rsid w:val="00170B6A"/>
    <w:rsid w:val="00170D95"/>
    <w:rsid w:val="00171F0E"/>
    <w:rsid w:val="001720D3"/>
    <w:rsid w:val="00172545"/>
    <w:rsid w:val="001726A5"/>
    <w:rsid w:val="0017275A"/>
    <w:rsid w:val="0017281C"/>
    <w:rsid w:val="00172A3C"/>
    <w:rsid w:val="00172DA2"/>
    <w:rsid w:val="00172F63"/>
    <w:rsid w:val="00173345"/>
    <w:rsid w:val="001733E0"/>
    <w:rsid w:val="001734B7"/>
    <w:rsid w:val="00173A53"/>
    <w:rsid w:val="00173F37"/>
    <w:rsid w:val="00173FFC"/>
    <w:rsid w:val="001744B8"/>
    <w:rsid w:val="00174EF6"/>
    <w:rsid w:val="0017545E"/>
    <w:rsid w:val="001758DE"/>
    <w:rsid w:val="00175AD8"/>
    <w:rsid w:val="00175CDB"/>
    <w:rsid w:val="00175D0B"/>
    <w:rsid w:val="00176119"/>
    <w:rsid w:val="001762EF"/>
    <w:rsid w:val="00176376"/>
    <w:rsid w:val="001763BC"/>
    <w:rsid w:val="001769B8"/>
    <w:rsid w:val="00176A24"/>
    <w:rsid w:val="00176DE0"/>
    <w:rsid w:val="001770BB"/>
    <w:rsid w:val="00177545"/>
    <w:rsid w:val="001775B7"/>
    <w:rsid w:val="00177744"/>
    <w:rsid w:val="00177887"/>
    <w:rsid w:val="00177B24"/>
    <w:rsid w:val="0018000A"/>
    <w:rsid w:val="0018014F"/>
    <w:rsid w:val="001802A1"/>
    <w:rsid w:val="001803D4"/>
    <w:rsid w:val="00180686"/>
    <w:rsid w:val="001806A9"/>
    <w:rsid w:val="0018070A"/>
    <w:rsid w:val="00180D5D"/>
    <w:rsid w:val="00180D6E"/>
    <w:rsid w:val="00180E86"/>
    <w:rsid w:val="00181194"/>
    <w:rsid w:val="00181313"/>
    <w:rsid w:val="00181376"/>
    <w:rsid w:val="001815C0"/>
    <w:rsid w:val="001815C6"/>
    <w:rsid w:val="00181675"/>
    <w:rsid w:val="00181769"/>
    <w:rsid w:val="00181914"/>
    <w:rsid w:val="00181E2F"/>
    <w:rsid w:val="00181ED4"/>
    <w:rsid w:val="00182082"/>
    <w:rsid w:val="0018223E"/>
    <w:rsid w:val="001824CD"/>
    <w:rsid w:val="001825AF"/>
    <w:rsid w:val="001827A0"/>
    <w:rsid w:val="001832E8"/>
    <w:rsid w:val="00183454"/>
    <w:rsid w:val="001834CF"/>
    <w:rsid w:val="00183982"/>
    <w:rsid w:val="001839FF"/>
    <w:rsid w:val="00183C85"/>
    <w:rsid w:val="00183CD0"/>
    <w:rsid w:val="00183E8F"/>
    <w:rsid w:val="00184605"/>
    <w:rsid w:val="00184810"/>
    <w:rsid w:val="00184B75"/>
    <w:rsid w:val="00185038"/>
    <w:rsid w:val="0018579E"/>
    <w:rsid w:val="001859C4"/>
    <w:rsid w:val="00185BEB"/>
    <w:rsid w:val="00186043"/>
    <w:rsid w:val="0018622C"/>
    <w:rsid w:val="00186299"/>
    <w:rsid w:val="001867E9"/>
    <w:rsid w:val="001867EA"/>
    <w:rsid w:val="001869E5"/>
    <w:rsid w:val="00186F3B"/>
    <w:rsid w:val="001870CA"/>
    <w:rsid w:val="001873CB"/>
    <w:rsid w:val="001877EA"/>
    <w:rsid w:val="00187B01"/>
    <w:rsid w:val="0019036A"/>
    <w:rsid w:val="0019039F"/>
    <w:rsid w:val="001903F3"/>
    <w:rsid w:val="001904DB"/>
    <w:rsid w:val="00190546"/>
    <w:rsid w:val="00190A52"/>
    <w:rsid w:val="00190F9E"/>
    <w:rsid w:val="0019181D"/>
    <w:rsid w:val="001918BB"/>
    <w:rsid w:val="001919F6"/>
    <w:rsid w:val="00191BA5"/>
    <w:rsid w:val="00191F5F"/>
    <w:rsid w:val="00191F8A"/>
    <w:rsid w:val="00192908"/>
    <w:rsid w:val="00192959"/>
    <w:rsid w:val="00192ABE"/>
    <w:rsid w:val="00192B05"/>
    <w:rsid w:val="00192DA5"/>
    <w:rsid w:val="00192FE9"/>
    <w:rsid w:val="0019308D"/>
    <w:rsid w:val="00193145"/>
    <w:rsid w:val="00193642"/>
    <w:rsid w:val="00193A0C"/>
    <w:rsid w:val="00193A1A"/>
    <w:rsid w:val="00193CCA"/>
    <w:rsid w:val="00193EBC"/>
    <w:rsid w:val="0019417D"/>
    <w:rsid w:val="001942A5"/>
    <w:rsid w:val="00194783"/>
    <w:rsid w:val="001947AB"/>
    <w:rsid w:val="001947CC"/>
    <w:rsid w:val="00194AFD"/>
    <w:rsid w:val="00194EC1"/>
    <w:rsid w:val="00195065"/>
    <w:rsid w:val="00195526"/>
    <w:rsid w:val="0019554D"/>
    <w:rsid w:val="0019591A"/>
    <w:rsid w:val="00195A0A"/>
    <w:rsid w:val="00195AA8"/>
    <w:rsid w:val="00195B05"/>
    <w:rsid w:val="00195E1A"/>
    <w:rsid w:val="00195EC3"/>
    <w:rsid w:val="00195FFE"/>
    <w:rsid w:val="001960BC"/>
    <w:rsid w:val="00196101"/>
    <w:rsid w:val="00196196"/>
    <w:rsid w:val="00196219"/>
    <w:rsid w:val="001964B9"/>
    <w:rsid w:val="00196605"/>
    <w:rsid w:val="001966A7"/>
    <w:rsid w:val="001966BA"/>
    <w:rsid w:val="00196815"/>
    <w:rsid w:val="00196958"/>
    <w:rsid w:val="001969C8"/>
    <w:rsid w:val="00196F6C"/>
    <w:rsid w:val="00196FAB"/>
    <w:rsid w:val="0019745E"/>
    <w:rsid w:val="0019747C"/>
    <w:rsid w:val="001974C2"/>
    <w:rsid w:val="00197519"/>
    <w:rsid w:val="00197F1D"/>
    <w:rsid w:val="0019CE1E"/>
    <w:rsid w:val="001A0309"/>
    <w:rsid w:val="001A0339"/>
    <w:rsid w:val="001A0461"/>
    <w:rsid w:val="001A052F"/>
    <w:rsid w:val="001A06FC"/>
    <w:rsid w:val="001A0D3B"/>
    <w:rsid w:val="001A1204"/>
    <w:rsid w:val="001A16C5"/>
    <w:rsid w:val="001A1B4A"/>
    <w:rsid w:val="001A1CB5"/>
    <w:rsid w:val="001A1CFB"/>
    <w:rsid w:val="001A1EE9"/>
    <w:rsid w:val="001A1FF5"/>
    <w:rsid w:val="001A228E"/>
    <w:rsid w:val="001A2458"/>
    <w:rsid w:val="001A24B1"/>
    <w:rsid w:val="001A2537"/>
    <w:rsid w:val="001A2691"/>
    <w:rsid w:val="001A26F3"/>
    <w:rsid w:val="001A281F"/>
    <w:rsid w:val="001A28E2"/>
    <w:rsid w:val="001A2B56"/>
    <w:rsid w:val="001A2C31"/>
    <w:rsid w:val="001A2D9B"/>
    <w:rsid w:val="001A2E07"/>
    <w:rsid w:val="001A2F15"/>
    <w:rsid w:val="001A368D"/>
    <w:rsid w:val="001A3D8D"/>
    <w:rsid w:val="001A4260"/>
    <w:rsid w:val="001A5173"/>
    <w:rsid w:val="001A5284"/>
    <w:rsid w:val="001A5820"/>
    <w:rsid w:val="001A5834"/>
    <w:rsid w:val="001A5894"/>
    <w:rsid w:val="001A5A23"/>
    <w:rsid w:val="001A5AF3"/>
    <w:rsid w:val="001A5BD1"/>
    <w:rsid w:val="001A5CBA"/>
    <w:rsid w:val="001A612C"/>
    <w:rsid w:val="001A61E6"/>
    <w:rsid w:val="001A666E"/>
    <w:rsid w:val="001A66F4"/>
    <w:rsid w:val="001A6A17"/>
    <w:rsid w:val="001A7081"/>
    <w:rsid w:val="001A7475"/>
    <w:rsid w:val="001A75EC"/>
    <w:rsid w:val="001A7719"/>
    <w:rsid w:val="001A77CE"/>
    <w:rsid w:val="001A78CA"/>
    <w:rsid w:val="001B001F"/>
    <w:rsid w:val="001B0052"/>
    <w:rsid w:val="001B0409"/>
    <w:rsid w:val="001B049E"/>
    <w:rsid w:val="001B05DC"/>
    <w:rsid w:val="001B0601"/>
    <w:rsid w:val="001B0664"/>
    <w:rsid w:val="001B16D8"/>
    <w:rsid w:val="001B189D"/>
    <w:rsid w:val="001B19E5"/>
    <w:rsid w:val="001B1ACE"/>
    <w:rsid w:val="001B1F68"/>
    <w:rsid w:val="001B211F"/>
    <w:rsid w:val="001B228D"/>
    <w:rsid w:val="001B22BC"/>
    <w:rsid w:val="001B24E3"/>
    <w:rsid w:val="001B258B"/>
    <w:rsid w:val="001B2700"/>
    <w:rsid w:val="001B27A9"/>
    <w:rsid w:val="001B296A"/>
    <w:rsid w:val="001B2994"/>
    <w:rsid w:val="001B29CC"/>
    <w:rsid w:val="001B29DF"/>
    <w:rsid w:val="001B29F1"/>
    <w:rsid w:val="001B2C8D"/>
    <w:rsid w:val="001B2C9C"/>
    <w:rsid w:val="001B2E07"/>
    <w:rsid w:val="001B3752"/>
    <w:rsid w:val="001B38D2"/>
    <w:rsid w:val="001B3B6D"/>
    <w:rsid w:val="001B3CE8"/>
    <w:rsid w:val="001B45E8"/>
    <w:rsid w:val="001B4673"/>
    <w:rsid w:val="001B475B"/>
    <w:rsid w:val="001B492E"/>
    <w:rsid w:val="001B4A69"/>
    <w:rsid w:val="001B4BFA"/>
    <w:rsid w:val="001B4DA9"/>
    <w:rsid w:val="001B4E47"/>
    <w:rsid w:val="001B4EDC"/>
    <w:rsid w:val="001B4F4F"/>
    <w:rsid w:val="001B5052"/>
    <w:rsid w:val="001B5366"/>
    <w:rsid w:val="001B5498"/>
    <w:rsid w:val="001B55B5"/>
    <w:rsid w:val="001B5B22"/>
    <w:rsid w:val="001B5B8E"/>
    <w:rsid w:val="001B5BA4"/>
    <w:rsid w:val="001B5BBE"/>
    <w:rsid w:val="001B5D8E"/>
    <w:rsid w:val="001B5ECE"/>
    <w:rsid w:val="001B6194"/>
    <w:rsid w:val="001B6287"/>
    <w:rsid w:val="001B6A5F"/>
    <w:rsid w:val="001B6B34"/>
    <w:rsid w:val="001B6B7F"/>
    <w:rsid w:val="001B6EF9"/>
    <w:rsid w:val="001B70B2"/>
    <w:rsid w:val="001B7596"/>
    <w:rsid w:val="001B7954"/>
    <w:rsid w:val="001B7C0D"/>
    <w:rsid w:val="001B7D07"/>
    <w:rsid w:val="001B7EF8"/>
    <w:rsid w:val="001C01A4"/>
    <w:rsid w:val="001C05B1"/>
    <w:rsid w:val="001C064F"/>
    <w:rsid w:val="001C0748"/>
    <w:rsid w:val="001C0B14"/>
    <w:rsid w:val="001C0B64"/>
    <w:rsid w:val="001C0FA9"/>
    <w:rsid w:val="001C1219"/>
    <w:rsid w:val="001C12D8"/>
    <w:rsid w:val="001C12F1"/>
    <w:rsid w:val="001C13CC"/>
    <w:rsid w:val="001C13F5"/>
    <w:rsid w:val="001C142A"/>
    <w:rsid w:val="001C1698"/>
    <w:rsid w:val="001C1E2E"/>
    <w:rsid w:val="001C2555"/>
    <w:rsid w:val="001C260F"/>
    <w:rsid w:val="001C29E2"/>
    <w:rsid w:val="001C2B4A"/>
    <w:rsid w:val="001C2EAB"/>
    <w:rsid w:val="001C2F0B"/>
    <w:rsid w:val="001C2F2D"/>
    <w:rsid w:val="001C30D5"/>
    <w:rsid w:val="001C32EA"/>
    <w:rsid w:val="001C3314"/>
    <w:rsid w:val="001C3985"/>
    <w:rsid w:val="001C3A42"/>
    <w:rsid w:val="001C3A62"/>
    <w:rsid w:val="001C3D9C"/>
    <w:rsid w:val="001C411D"/>
    <w:rsid w:val="001C421C"/>
    <w:rsid w:val="001C4270"/>
    <w:rsid w:val="001C436F"/>
    <w:rsid w:val="001C4A21"/>
    <w:rsid w:val="001C4F1E"/>
    <w:rsid w:val="001C4F46"/>
    <w:rsid w:val="001C52B7"/>
    <w:rsid w:val="001C5330"/>
    <w:rsid w:val="001C5469"/>
    <w:rsid w:val="001C56E0"/>
    <w:rsid w:val="001C570F"/>
    <w:rsid w:val="001C589C"/>
    <w:rsid w:val="001C5A00"/>
    <w:rsid w:val="001C5EEA"/>
    <w:rsid w:val="001C5F60"/>
    <w:rsid w:val="001C60D4"/>
    <w:rsid w:val="001C6196"/>
    <w:rsid w:val="001C61F3"/>
    <w:rsid w:val="001C6A4A"/>
    <w:rsid w:val="001C6E5B"/>
    <w:rsid w:val="001C70B0"/>
    <w:rsid w:val="001C786C"/>
    <w:rsid w:val="001C7CC3"/>
    <w:rsid w:val="001D01FA"/>
    <w:rsid w:val="001D01FD"/>
    <w:rsid w:val="001D033B"/>
    <w:rsid w:val="001D09CC"/>
    <w:rsid w:val="001D0C43"/>
    <w:rsid w:val="001D0E7D"/>
    <w:rsid w:val="001D0F7B"/>
    <w:rsid w:val="001D1089"/>
    <w:rsid w:val="001D117F"/>
    <w:rsid w:val="001D1607"/>
    <w:rsid w:val="001D1731"/>
    <w:rsid w:val="001D1743"/>
    <w:rsid w:val="001D1751"/>
    <w:rsid w:val="001D1B56"/>
    <w:rsid w:val="001D21C1"/>
    <w:rsid w:val="001D28E6"/>
    <w:rsid w:val="001D2A87"/>
    <w:rsid w:val="001D2AA5"/>
    <w:rsid w:val="001D2CEB"/>
    <w:rsid w:val="001D2EE1"/>
    <w:rsid w:val="001D336A"/>
    <w:rsid w:val="001D3645"/>
    <w:rsid w:val="001D4429"/>
    <w:rsid w:val="001D453D"/>
    <w:rsid w:val="001D474A"/>
    <w:rsid w:val="001D48CD"/>
    <w:rsid w:val="001D4D81"/>
    <w:rsid w:val="001D4FA2"/>
    <w:rsid w:val="001D515B"/>
    <w:rsid w:val="001D543F"/>
    <w:rsid w:val="001D5467"/>
    <w:rsid w:val="001D59A1"/>
    <w:rsid w:val="001D5BE1"/>
    <w:rsid w:val="001D5C8B"/>
    <w:rsid w:val="001D5F1E"/>
    <w:rsid w:val="001D6236"/>
    <w:rsid w:val="001D6456"/>
    <w:rsid w:val="001D6465"/>
    <w:rsid w:val="001D649E"/>
    <w:rsid w:val="001D6CC0"/>
    <w:rsid w:val="001D6E1C"/>
    <w:rsid w:val="001D71DE"/>
    <w:rsid w:val="001D75E9"/>
    <w:rsid w:val="001D7AC2"/>
    <w:rsid w:val="001D7D74"/>
    <w:rsid w:val="001D7EAE"/>
    <w:rsid w:val="001D7FDA"/>
    <w:rsid w:val="001E0379"/>
    <w:rsid w:val="001E0821"/>
    <w:rsid w:val="001E082F"/>
    <w:rsid w:val="001E09AE"/>
    <w:rsid w:val="001E09B0"/>
    <w:rsid w:val="001E0A74"/>
    <w:rsid w:val="001E0F65"/>
    <w:rsid w:val="001E0FBE"/>
    <w:rsid w:val="001E1055"/>
    <w:rsid w:val="001E10E0"/>
    <w:rsid w:val="001E1196"/>
    <w:rsid w:val="001E1546"/>
    <w:rsid w:val="001E154A"/>
    <w:rsid w:val="001E1894"/>
    <w:rsid w:val="001E2268"/>
    <w:rsid w:val="001E24A4"/>
    <w:rsid w:val="001E2710"/>
    <w:rsid w:val="001E2742"/>
    <w:rsid w:val="001E2CD7"/>
    <w:rsid w:val="001E3190"/>
    <w:rsid w:val="001E32BE"/>
    <w:rsid w:val="001E3476"/>
    <w:rsid w:val="001E3481"/>
    <w:rsid w:val="001E369D"/>
    <w:rsid w:val="001E3A47"/>
    <w:rsid w:val="001E3A8C"/>
    <w:rsid w:val="001E3E8E"/>
    <w:rsid w:val="001E3F59"/>
    <w:rsid w:val="001E3FC0"/>
    <w:rsid w:val="001E3FF0"/>
    <w:rsid w:val="001E4039"/>
    <w:rsid w:val="001E404B"/>
    <w:rsid w:val="001E4793"/>
    <w:rsid w:val="001E4A21"/>
    <w:rsid w:val="001E4D36"/>
    <w:rsid w:val="001E4D69"/>
    <w:rsid w:val="001E4D83"/>
    <w:rsid w:val="001E4DCC"/>
    <w:rsid w:val="001E5538"/>
    <w:rsid w:val="001E55B1"/>
    <w:rsid w:val="001E56F9"/>
    <w:rsid w:val="001E57AC"/>
    <w:rsid w:val="001E5A93"/>
    <w:rsid w:val="001E5F9A"/>
    <w:rsid w:val="001E60F2"/>
    <w:rsid w:val="001E61A2"/>
    <w:rsid w:val="001E62C7"/>
    <w:rsid w:val="001E62CC"/>
    <w:rsid w:val="001E654F"/>
    <w:rsid w:val="001E6722"/>
    <w:rsid w:val="001E681F"/>
    <w:rsid w:val="001E74D2"/>
    <w:rsid w:val="001E7652"/>
    <w:rsid w:val="001E77A8"/>
    <w:rsid w:val="001E7980"/>
    <w:rsid w:val="001E7E9F"/>
    <w:rsid w:val="001E7FCB"/>
    <w:rsid w:val="001F003B"/>
    <w:rsid w:val="001F00BA"/>
    <w:rsid w:val="001F03B9"/>
    <w:rsid w:val="001F0415"/>
    <w:rsid w:val="001F05B9"/>
    <w:rsid w:val="001F062C"/>
    <w:rsid w:val="001F06FB"/>
    <w:rsid w:val="001F08CC"/>
    <w:rsid w:val="001F08F2"/>
    <w:rsid w:val="001F0911"/>
    <w:rsid w:val="001F0EDA"/>
    <w:rsid w:val="001F0FAB"/>
    <w:rsid w:val="001F1380"/>
    <w:rsid w:val="001F1394"/>
    <w:rsid w:val="001F21D4"/>
    <w:rsid w:val="001F23FF"/>
    <w:rsid w:val="001F2443"/>
    <w:rsid w:val="001F2650"/>
    <w:rsid w:val="001F2CEC"/>
    <w:rsid w:val="001F2F1E"/>
    <w:rsid w:val="001F2F3E"/>
    <w:rsid w:val="001F3123"/>
    <w:rsid w:val="001F3140"/>
    <w:rsid w:val="001F31F5"/>
    <w:rsid w:val="001F3350"/>
    <w:rsid w:val="001F34FE"/>
    <w:rsid w:val="001F3606"/>
    <w:rsid w:val="001F3ABB"/>
    <w:rsid w:val="001F3AC2"/>
    <w:rsid w:val="001F3BB5"/>
    <w:rsid w:val="001F3C8C"/>
    <w:rsid w:val="001F3E8B"/>
    <w:rsid w:val="001F3EBC"/>
    <w:rsid w:val="001F3F9B"/>
    <w:rsid w:val="001F449C"/>
    <w:rsid w:val="001F46FD"/>
    <w:rsid w:val="001F5136"/>
    <w:rsid w:val="001F563B"/>
    <w:rsid w:val="001F59F9"/>
    <w:rsid w:val="001F6111"/>
    <w:rsid w:val="001F6255"/>
    <w:rsid w:val="001F6296"/>
    <w:rsid w:val="001F630D"/>
    <w:rsid w:val="001F71BB"/>
    <w:rsid w:val="001F754C"/>
    <w:rsid w:val="001F77A5"/>
    <w:rsid w:val="001F7815"/>
    <w:rsid w:val="001F784D"/>
    <w:rsid w:val="001F7938"/>
    <w:rsid w:val="001F7B16"/>
    <w:rsid w:val="001F93F0"/>
    <w:rsid w:val="00200073"/>
    <w:rsid w:val="0020023A"/>
    <w:rsid w:val="00200305"/>
    <w:rsid w:val="00200519"/>
    <w:rsid w:val="002005E2"/>
    <w:rsid w:val="00200680"/>
    <w:rsid w:val="00201238"/>
    <w:rsid w:val="002015F0"/>
    <w:rsid w:val="002016BD"/>
    <w:rsid w:val="00201713"/>
    <w:rsid w:val="00201A0C"/>
    <w:rsid w:val="00201AB6"/>
    <w:rsid w:val="00201D46"/>
    <w:rsid w:val="00201F87"/>
    <w:rsid w:val="0020208E"/>
    <w:rsid w:val="002023A2"/>
    <w:rsid w:val="0020257D"/>
    <w:rsid w:val="002028CF"/>
    <w:rsid w:val="0020384C"/>
    <w:rsid w:val="00203DF3"/>
    <w:rsid w:val="00203F0E"/>
    <w:rsid w:val="00204265"/>
    <w:rsid w:val="0020427C"/>
    <w:rsid w:val="002042D0"/>
    <w:rsid w:val="0020443B"/>
    <w:rsid w:val="00204918"/>
    <w:rsid w:val="00204E13"/>
    <w:rsid w:val="00205189"/>
    <w:rsid w:val="0020540A"/>
    <w:rsid w:val="002055D4"/>
    <w:rsid w:val="00205B3E"/>
    <w:rsid w:val="00205B67"/>
    <w:rsid w:val="00205EF1"/>
    <w:rsid w:val="00205F04"/>
    <w:rsid w:val="00205FC0"/>
    <w:rsid w:val="00206551"/>
    <w:rsid w:val="002068A9"/>
    <w:rsid w:val="0020695F"/>
    <w:rsid w:val="00206972"/>
    <w:rsid w:val="00206A92"/>
    <w:rsid w:val="00206B2F"/>
    <w:rsid w:val="00206C4F"/>
    <w:rsid w:val="00206E6A"/>
    <w:rsid w:val="00206EB2"/>
    <w:rsid w:val="00206F1D"/>
    <w:rsid w:val="00207044"/>
    <w:rsid w:val="00207287"/>
    <w:rsid w:val="00207297"/>
    <w:rsid w:val="0020749F"/>
    <w:rsid w:val="002075C1"/>
    <w:rsid w:val="0020786C"/>
    <w:rsid w:val="00207992"/>
    <w:rsid w:val="002079FB"/>
    <w:rsid w:val="00207A60"/>
    <w:rsid w:val="00207C23"/>
    <w:rsid w:val="00207C86"/>
    <w:rsid w:val="002105A3"/>
    <w:rsid w:val="002105BA"/>
    <w:rsid w:val="0021069B"/>
    <w:rsid w:val="002106C8"/>
    <w:rsid w:val="002108A3"/>
    <w:rsid w:val="002108A4"/>
    <w:rsid w:val="00211197"/>
    <w:rsid w:val="002111A7"/>
    <w:rsid w:val="00211226"/>
    <w:rsid w:val="00211B6A"/>
    <w:rsid w:val="00211D57"/>
    <w:rsid w:val="00211D97"/>
    <w:rsid w:val="00211EA6"/>
    <w:rsid w:val="00211FF6"/>
    <w:rsid w:val="002120C1"/>
    <w:rsid w:val="002125B4"/>
    <w:rsid w:val="002128AD"/>
    <w:rsid w:val="002128C1"/>
    <w:rsid w:val="00212934"/>
    <w:rsid w:val="00212CE3"/>
    <w:rsid w:val="00212D60"/>
    <w:rsid w:val="002131C2"/>
    <w:rsid w:val="0021331A"/>
    <w:rsid w:val="00213547"/>
    <w:rsid w:val="00213B5F"/>
    <w:rsid w:val="0021414A"/>
    <w:rsid w:val="002144A2"/>
    <w:rsid w:val="002146A0"/>
    <w:rsid w:val="002147C6"/>
    <w:rsid w:val="002149E6"/>
    <w:rsid w:val="00214E07"/>
    <w:rsid w:val="002151BF"/>
    <w:rsid w:val="00215A1F"/>
    <w:rsid w:val="00215BC1"/>
    <w:rsid w:val="00215C52"/>
    <w:rsid w:val="00215D38"/>
    <w:rsid w:val="00216047"/>
    <w:rsid w:val="002162B9"/>
    <w:rsid w:val="002162CC"/>
    <w:rsid w:val="002163F6"/>
    <w:rsid w:val="002168CF"/>
    <w:rsid w:val="0021698B"/>
    <w:rsid w:val="00216E22"/>
    <w:rsid w:val="00216F3D"/>
    <w:rsid w:val="002172F4"/>
    <w:rsid w:val="00217461"/>
    <w:rsid w:val="002177FC"/>
    <w:rsid w:val="00217B2B"/>
    <w:rsid w:val="00220077"/>
    <w:rsid w:val="0022051D"/>
    <w:rsid w:val="002205C2"/>
    <w:rsid w:val="002206B0"/>
    <w:rsid w:val="0022099E"/>
    <w:rsid w:val="00220B23"/>
    <w:rsid w:val="00220B28"/>
    <w:rsid w:val="00220E8F"/>
    <w:rsid w:val="00220EF2"/>
    <w:rsid w:val="00220F99"/>
    <w:rsid w:val="00221351"/>
    <w:rsid w:val="002213A2"/>
    <w:rsid w:val="00221760"/>
    <w:rsid w:val="00221885"/>
    <w:rsid w:val="002218F7"/>
    <w:rsid w:val="00221970"/>
    <w:rsid w:val="00221F2F"/>
    <w:rsid w:val="00222010"/>
    <w:rsid w:val="00222070"/>
    <w:rsid w:val="002223A8"/>
    <w:rsid w:val="0022246A"/>
    <w:rsid w:val="00222498"/>
    <w:rsid w:val="002226D1"/>
    <w:rsid w:val="00222917"/>
    <w:rsid w:val="00222CB8"/>
    <w:rsid w:val="0022312D"/>
    <w:rsid w:val="002231FB"/>
    <w:rsid w:val="002233B3"/>
    <w:rsid w:val="00223666"/>
    <w:rsid w:val="00223A3F"/>
    <w:rsid w:val="00223C73"/>
    <w:rsid w:val="00223CB0"/>
    <w:rsid w:val="00223DB8"/>
    <w:rsid w:val="00223E12"/>
    <w:rsid w:val="00223F3D"/>
    <w:rsid w:val="00224000"/>
    <w:rsid w:val="0022407B"/>
    <w:rsid w:val="002240F5"/>
    <w:rsid w:val="002243FD"/>
    <w:rsid w:val="0022456C"/>
    <w:rsid w:val="00224CA4"/>
    <w:rsid w:val="00224CAF"/>
    <w:rsid w:val="00224EC4"/>
    <w:rsid w:val="00224F15"/>
    <w:rsid w:val="0022508C"/>
    <w:rsid w:val="002255BD"/>
    <w:rsid w:val="002257C8"/>
    <w:rsid w:val="0022582A"/>
    <w:rsid w:val="002258CB"/>
    <w:rsid w:val="00225CAC"/>
    <w:rsid w:val="00225E4C"/>
    <w:rsid w:val="00225EE7"/>
    <w:rsid w:val="00225F8D"/>
    <w:rsid w:val="002262E0"/>
    <w:rsid w:val="0022673F"/>
    <w:rsid w:val="002267D9"/>
    <w:rsid w:val="0022691A"/>
    <w:rsid w:val="00226A9C"/>
    <w:rsid w:val="00226BE4"/>
    <w:rsid w:val="00226C4F"/>
    <w:rsid w:val="00226EE4"/>
    <w:rsid w:val="002278C0"/>
    <w:rsid w:val="002279EA"/>
    <w:rsid w:val="00227C52"/>
    <w:rsid w:val="00227F01"/>
    <w:rsid w:val="00227F6E"/>
    <w:rsid w:val="00230293"/>
    <w:rsid w:val="00230523"/>
    <w:rsid w:val="002306C2"/>
    <w:rsid w:val="002309D8"/>
    <w:rsid w:val="00230C1E"/>
    <w:rsid w:val="00230ED3"/>
    <w:rsid w:val="0023136B"/>
    <w:rsid w:val="002316A5"/>
    <w:rsid w:val="0023184E"/>
    <w:rsid w:val="00231855"/>
    <w:rsid w:val="00231D0F"/>
    <w:rsid w:val="00231FD0"/>
    <w:rsid w:val="0023250E"/>
    <w:rsid w:val="00232AC4"/>
    <w:rsid w:val="00232B0F"/>
    <w:rsid w:val="00232D43"/>
    <w:rsid w:val="00232FBE"/>
    <w:rsid w:val="0023307F"/>
    <w:rsid w:val="00233248"/>
    <w:rsid w:val="0023331B"/>
    <w:rsid w:val="002333FB"/>
    <w:rsid w:val="0023340F"/>
    <w:rsid w:val="00233509"/>
    <w:rsid w:val="002336BB"/>
    <w:rsid w:val="00233B9F"/>
    <w:rsid w:val="00233FE6"/>
    <w:rsid w:val="00234312"/>
    <w:rsid w:val="0023453E"/>
    <w:rsid w:val="0023457F"/>
    <w:rsid w:val="0023462F"/>
    <w:rsid w:val="002346ED"/>
    <w:rsid w:val="002349C0"/>
    <w:rsid w:val="00234B83"/>
    <w:rsid w:val="00234ECE"/>
    <w:rsid w:val="002351AD"/>
    <w:rsid w:val="002353AB"/>
    <w:rsid w:val="00235466"/>
    <w:rsid w:val="00235541"/>
    <w:rsid w:val="00235625"/>
    <w:rsid w:val="00235BEA"/>
    <w:rsid w:val="00235CF7"/>
    <w:rsid w:val="00235F0A"/>
    <w:rsid w:val="00235FFF"/>
    <w:rsid w:val="002366C0"/>
    <w:rsid w:val="002366FA"/>
    <w:rsid w:val="002369C8"/>
    <w:rsid w:val="00236A4D"/>
    <w:rsid w:val="00236C58"/>
    <w:rsid w:val="00236F95"/>
    <w:rsid w:val="0023725D"/>
    <w:rsid w:val="0023731A"/>
    <w:rsid w:val="00237407"/>
    <w:rsid w:val="0023773C"/>
    <w:rsid w:val="00237B7B"/>
    <w:rsid w:val="00237CE7"/>
    <w:rsid w:val="0024023F"/>
    <w:rsid w:val="00240724"/>
    <w:rsid w:val="002407C5"/>
    <w:rsid w:val="00240880"/>
    <w:rsid w:val="0024095A"/>
    <w:rsid w:val="00240D29"/>
    <w:rsid w:val="00240D2C"/>
    <w:rsid w:val="00240F59"/>
    <w:rsid w:val="0024126D"/>
    <w:rsid w:val="00241322"/>
    <w:rsid w:val="00241336"/>
    <w:rsid w:val="002419D1"/>
    <w:rsid w:val="00241B2D"/>
    <w:rsid w:val="00241BC8"/>
    <w:rsid w:val="00241C4A"/>
    <w:rsid w:val="00241C97"/>
    <w:rsid w:val="00241DD4"/>
    <w:rsid w:val="00241F40"/>
    <w:rsid w:val="00242245"/>
    <w:rsid w:val="002426BB"/>
    <w:rsid w:val="00242C0F"/>
    <w:rsid w:val="00242EFE"/>
    <w:rsid w:val="00243670"/>
    <w:rsid w:val="00243922"/>
    <w:rsid w:val="00244053"/>
    <w:rsid w:val="00244293"/>
    <w:rsid w:val="00244352"/>
    <w:rsid w:val="00244449"/>
    <w:rsid w:val="00244455"/>
    <w:rsid w:val="00244647"/>
    <w:rsid w:val="00244A38"/>
    <w:rsid w:val="00244B75"/>
    <w:rsid w:val="00244E43"/>
    <w:rsid w:val="00244E53"/>
    <w:rsid w:val="00244FB9"/>
    <w:rsid w:val="00244FE8"/>
    <w:rsid w:val="002450B7"/>
    <w:rsid w:val="0024541A"/>
    <w:rsid w:val="002459F2"/>
    <w:rsid w:val="00245B2E"/>
    <w:rsid w:val="00245CB4"/>
    <w:rsid w:val="00246288"/>
    <w:rsid w:val="002462BB"/>
    <w:rsid w:val="002465F9"/>
    <w:rsid w:val="00246872"/>
    <w:rsid w:val="002468F1"/>
    <w:rsid w:val="0024692A"/>
    <w:rsid w:val="0024697A"/>
    <w:rsid w:val="00246ABC"/>
    <w:rsid w:val="00246D6A"/>
    <w:rsid w:val="00246F1C"/>
    <w:rsid w:val="002472F8"/>
    <w:rsid w:val="00247AF8"/>
    <w:rsid w:val="00247BC4"/>
    <w:rsid w:val="00247C56"/>
    <w:rsid w:val="00247F07"/>
    <w:rsid w:val="0025052D"/>
    <w:rsid w:val="00250615"/>
    <w:rsid w:val="00250842"/>
    <w:rsid w:val="00250BE8"/>
    <w:rsid w:val="00250FD9"/>
    <w:rsid w:val="002511B4"/>
    <w:rsid w:val="002512B0"/>
    <w:rsid w:val="00251492"/>
    <w:rsid w:val="002517AE"/>
    <w:rsid w:val="00251A10"/>
    <w:rsid w:val="00251BB9"/>
    <w:rsid w:val="00251C04"/>
    <w:rsid w:val="00251D3E"/>
    <w:rsid w:val="00251F4D"/>
    <w:rsid w:val="0025208A"/>
    <w:rsid w:val="002524B9"/>
    <w:rsid w:val="00252557"/>
    <w:rsid w:val="00252797"/>
    <w:rsid w:val="00252922"/>
    <w:rsid w:val="00252B31"/>
    <w:rsid w:val="00252BCA"/>
    <w:rsid w:val="002534DD"/>
    <w:rsid w:val="00253663"/>
    <w:rsid w:val="00253712"/>
    <w:rsid w:val="0025378A"/>
    <w:rsid w:val="002539FB"/>
    <w:rsid w:val="00253B50"/>
    <w:rsid w:val="00253E3F"/>
    <w:rsid w:val="002540B9"/>
    <w:rsid w:val="0025430E"/>
    <w:rsid w:val="00254482"/>
    <w:rsid w:val="00254525"/>
    <w:rsid w:val="002545B8"/>
    <w:rsid w:val="002547A5"/>
    <w:rsid w:val="00254C20"/>
    <w:rsid w:val="00254E32"/>
    <w:rsid w:val="00254E5E"/>
    <w:rsid w:val="00255126"/>
    <w:rsid w:val="002551F7"/>
    <w:rsid w:val="00255359"/>
    <w:rsid w:val="0025553F"/>
    <w:rsid w:val="00255819"/>
    <w:rsid w:val="00255960"/>
    <w:rsid w:val="00255ADD"/>
    <w:rsid w:val="00255BC8"/>
    <w:rsid w:val="00256100"/>
    <w:rsid w:val="00256394"/>
    <w:rsid w:val="002564C4"/>
    <w:rsid w:val="0025678F"/>
    <w:rsid w:val="00256A76"/>
    <w:rsid w:val="00256F26"/>
    <w:rsid w:val="00256FA5"/>
    <w:rsid w:val="002579C8"/>
    <w:rsid w:val="00257D27"/>
    <w:rsid w:val="00257F54"/>
    <w:rsid w:val="00257FDD"/>
    <w:rsid w:val="002603AE"/>
    <w:rsid w:val="00260466"/>
    <w:rsid w:val="002604D1"/>
    <w:rsid w:val="00260895"/>
    <w:rsid w:val="00260AE4"/>
    <w:rsid w:val="00260BA7"/>
    <w:rsid w:val="00260E64"/>
    <w:rsid w:val="00260E79"/>
    <w:rsid w:val="00260F11"/>
    <w:rsid w:val="002610A8"/>
    <w:rsid w:val="002610DD"/>
    <w:rsid w:val="002613FA"/>
    <w:rsid w:val="00261B7B"/>
    <w:rsid w:val="00261BE8"/>
    <w:rsid w:val="00261D64"/>
    <w:rsid w:val="002620BA"/>
    <w:rsid w:val="00262696"/>
    <w:rsid w:val="002626EC"/>
    <w:rsid w:val="00262903"/>
    <w:rsid w:val="00262B73"/>
    <w:rsid w:val="00262F56"/>
    <w:rsid w:val="00262F92"/>
    <w:rsid w:val="00263005"/>
    <w:rsid w:val="0026356F"/>
    <w:rsid w:val="002636BA"/>
    <w:rsid w:val="00263711"/>
    <w:rsid w:val="0026372A"/>
    <w:rsid w:val="00263A6D"/>
    <w:rsid w:val="00263DBE"/>
    <w:rsid w:val="00263EA2"/>
    <w:rsid w:val="0026404A"/>
    <w:rsid w:val="0026419E"/>
    <w:rsid w:val="00264616"/>
    <w:rsid w:val="002649C1"/>
    <w:rsid w:val="002649CA"/>
    <w:rsid w:val="002650E0"/>
    <w:rsid w:val="002652B6"/>
    <w:rsid w:val="0026530E"/>
    <w:rsid w:val="002653D1"/>
    <w:rsid w:val="00265480"/>
    <w:rsid w:val="00265BBF"/>
    <w:rsid w:val="00265D56"/>
    <w:rsid w:val="00265F56"/>
    <w:rsid w:val="00266242"/>
    <w:rsid w:val="0026682C"/>
    <w:rsid w:val="00266D28"/>
    <w:rsid w:val="002670B6"/>
    <w:rsid w:val="00267CF2"/>
    <w:rsid w:val="00267DE6"/>
    <w:rsid w:val="00270D60"/>
    <w:rsid w:val="00270DC4"/>
    <w:rsid w:val="00271279"/>
    <w:rsid w:val="002716A3"/>
    <w:rsid w:val="0027181C"/>
    <w:rsid w:val="00271B6C"/>
    <w:rsid w:val="00271B7D"/>
    <w:rsid w:val="00271C35"/>
    <w:rsid w:val="00271CC3"/>
    <w:rsid w:val="00271D8A"/>
    <w:rsid w:val="00271E1C"/>
    <w:rsid w:val="00272090"/>
    <w:rsid w:val="0027223F"/>
    <w:rsid w:val="0027266B"/>
    <w:rsid w:val="002727F8"/>
    <w:rsid w:val="00272D64"/>
    <w:rsid w:val="00272D95"/>
    <w:rsid w:val="00272F22"/>
    <w:rsid w:val="0027307D"/>
    <w:rsid w:val="00273406"/>
    <w:rsid w:val="00273641"/>
    <w:rsid w:val="002737F1"/>
    <w:rsid w:val="002739D0"/>
    <w:rsid w:val="00273EFC"/>
    <w:rsid w:val="0027405B"/>
    <w:rsid w:val="00274212"/>
    <w:rsid w:val="00274326"/>
    <w:rsid w:val="0027433C"/>
    <w:rsid w:val="00274386"/>
    <w:rsid w:val="002743D5"/>
    <w:rsid w:val="002747C3"/>
    <w:rsid w:val="00274926"/>
    <w:rsid w:val="00274B37"/>
    <w:rsid w:val="00274CCF"/>
    <w:rsid w:val="00274DA6"/>
    <w:rsid w:val="00275078"/>
    <w:rsid w:val="0027542B"/>
    <w:rsid w:val="0027553E"/>
    <w:rsid w:val="002755FF"/>
    <w:rsid w:val="0027590D"/>
    <w:rsid w:val="00275ACE"/>
    <w:rsid w:val="00275BC6"/>
    <w:rsid w:val="00275E11"/>
    <w:rsid w:val="00275E85"/>
    <w:rsid w:val="00276604"/>
    <w:rsid w:val="002768E8"/>
    <w:rsid w:val="00276D78"/>
    <w:rsid w:val="00276D7F"/>
    <w:rsid w:val="00276E11"/>
    <w:rsid w:val="00276E24"/>
    <w:rsid w:val="00277189"/>
    <w:rsid w:val="002771E2"/>
    <w:rsid w:val="002772EA"/>
    <w:rsid w:val="00277322"/>
    <w:rsid w:val="002773E0"/>
    <w:rsid w:val="00277463"/>
    <w:rsid w:val="0027767A"/>
    <w:rsid w:val="002778E4"/>
    <w:rsid w:val="002779D1"/>
    <w:rsid w:val="00277BFA"/>
    <w:rsid w:val="00277CE1"/>
    <w:rsid w:val="00277F8C"/>
    <w:rsid w:val="002800EE"/>
    <w:rsid w:val="002804AB"/>
    <w:rsid w:val="002809BF"/>
    <w:rsid w:val="002809FD"/>
    <w:rsid w:val="00280A24"/>
    <w:rsid w:val="00280B25"/>
    <w:rsid w:val="00280DA6"/>
    <w:rsid w:val="00280E16"/>
    <w:rsid w:val="002819A1"/>
    <w:rsid w:val="00281B89"/>
    <w:rsid w:val="002820D0"/>
    <w:rsid w:val="002820F0"/>
    <w:rsid w:val="0028211B"/>
    <w:rsid w:val="0028242E"/>
    <w:rsid w:val="00282811"/>
    <w:rsid w:val="00282865"/>
    <w:rsid w:val="00282D70"/>
    <w:rsid w:val="00282DEF"/>
    <w:rsid w:val="00282ECA"/>
    <w:rsid w:val="002831CB"/>
    <w:rsid w:val="002833AC"/>
    <w:rsid w:val="002834A9"/>
    <w:rsid w:val="0028357A"/>
    <w:rsid w:val="002835DC"/>
    <w:rsid w:val="00283681"/>
    <w:rsid w:val="0028381B"/>
    <w:rsid w:val="00283985"/>
    <w:rsid w:val="00283C79"/>
    <w:rsid w:val="00283CA6"/>
    <w:rsid w:val="002841BB"/>
    <w:rsid w:val="00284216"/>
    <w:rsid w:val="00284282"/>
    <w:rsid w:val="002843C0"/>
    <w:rsid w:val="002845AA"/>
    <w:rsid w:val="002846D7"/>
    <w:rsid w:val="00284788"/>
    <w:rsid w:val="00284BF5"/>
    <w:rsid w:val="00284DD3"/>
    <w:rsid w:val="00284F34"/>
    <w:rsid w:val="00285070"/>
    <w:rsid w:val="0028526A"/>
    <w:rsid w:val="0028577D"/>
    <w:rsid w:val="00285A4A"/>
    <w:rsid w:val="00285E4B"/>
    <w:rsid w:val="00285E67"/>
    <w:rsid w:val="0028649B"/>
    <w:rsid w:val="002864FE"/>
    <w:rsid w:val="002866D0"/>
    <w:rsid w:val="0028673F"/>
    <w:rsid w:val="002867C2"/>
    <w:rsid w:val="002867E0"/>
    <w:rsid w:val="00286814"/>
    <w:rsid w:val="0028690A"/>
    <w:rsid w:val="00286995"/>
    <w:rsid w:val="00286C01"/>
    <w:rsid w:val="00286CBF"/>
    <w:rsid w:val="00286D16"/>
    <w:rsid w:val="00286D7D"/>
    <w:rsid w:val="00286F95"/>
    <w:rsid w:val="002870C5"/>
    <w:rsid w:val="002874DF"/>
    <w:rsid w:val="00287688"/>
    <w:rsid w:val="002877D1"/>
    <w:rsid w:val="002879AC"/>
    <w:rsid w:val="00287B0A"/>
    <w:rsid w:val="00287B8D"/>
    <w:rsid w:val="00287CCE"/>
    <w:rsid w:val="00287F39"/>
    <w:rsid w:val="00290897"/>
    <w:rsid w:val="00290CB3"/>
    <w:rsid w:val="00290DA6"/>
    <w:rsid w:val="00290F04"/>
    <w:rsid w:val="002911A3"/>
    <w:rsid w:val="002913C9"/>
    <w:rsid w:val="002917D2"/>
    <w:rsid w:val="00291885"/>
    <w:rsid w:val="002918DC"/>
    <w:rsid w:val="00291B00"/>
    <w:rsid w:val="00291D4B"/>
    <w:rsid w:val="00291E05"/>
    <w:rsid w:val="00291EEA"/>
    <w:rsid w:val="00291F40"/>
    <w:rsid w:val="00291F7F"/>
    <w:rsid w:val="00291F92"/>
    <w:rsid w:val="00292C6D"/>
    <w:rsid w:val="00292CEC"/>
    <w:rsid w:val="002932A7"/>
    <w:rsid w:val="00293481"/>
    <w:rsid w:val="0029362B"/>
    <w:rsid w:val="00293865"/>
    <w:rsid w:val="00293900"/>
    <w:rsid w:val="00293D6D"/>
    <w:rsid w:val="00293F75"/>
    <w:rsid w:val="00294438"/>
    <w:rsid w:val="00294477"/>
    <w:rsid w:val="00294987"/>
    <w:rsid w:val="00294BA5"/>
    <w:rsid w:val="00294D2D"/>
    <w:rsid w:val="00295295"/>
    <w:rsid w:val="00295889"/>
    <w:rsid w:val="002958C1"/>
    <w:rsid w:val="00295AC3"/>
    <w:rsid w:val="00295B1A"/>
    <w:rsid w:val="00295B44"/>
    <w:rsid w:val="00295CD3"/>
    <w:rsid w:val="002961A7"/>
    <w:rsid w:val="0029662F"/>
    <w:rsid w:val="002968FA"/>
    <w:rsid w:val="00296E94"/>
    <w:rsid w:val="002970A4"/>
    <w:rsid w:val="00297228"/>
    <w:rsid w:val="002972B5"/>
    <w:rsid w:val="00297307"/>
    <w:rsid w:val="002976B8"/>
    <w:rsid w:val="00297881"/>
    <w:rsid w:val="00297B10"/>
    <w:rsid w:val="00297C23"/>
    <w:rsid w:val="00297C37"/>
    <w:rsid w:val="00297EFE"/>
    <w:rsid w:val="00297F0F"/>
    <w:rsid w:val="002A0504"/>
    <w:rsid w:val="002A0B30"/>
    <w:rsid w:val="002A0CB2"/>
    <w:rsid w:val="002A0CD5"/>
    <w:rsid w:val="002A0DD3"/>
    <w:rsid w:val="002A0E01"/>
    <w:rsid w:val="002A0EBA"/>
    <w:rsid w:val="002A0EC3"/>
    <w:rsid w:val="002A102B"/>
    <w:rsid w:val="002A11ED"/>
    <w:rsid w:val="002A1428"/>
    <w:rsid w:val="002A1534"/>
    <w:rsid w:val="002A153E"/>
    <w:rsid w:val="002A163A"/>
    <w:rsid w:val="002A1B37"/>
    <w:rsid w:val="002A1BAB"/>
    <w:rsid w:val="002A2722"/>
    <w:rsid w:val="002A2ECC"/>
    <w:rsid w:val="002A32B0"/>
    <w:rsid w:val="002A3302"/>
    <w:rsid w:val="002A334E"/>
    <w:rsid w:val="002A33BC"/>
    <w:rsid w:val="002A34A2"/>
    <w:rsid w:val="002A36A5"/>
    <w:rsid w:val="002A3740"/>
    <w:rsid w:val="002A3899"/>
    <w:rsid w:val="002A3964"/>
    <w:rsid w:val="002A3B42"/>
    <w:rsid w:val="002A3D76"/>
    <w:rsid w:val="002A3E07"/>
    <w:rsid w:val="002A3FFA"/>
    <w:rsid w:val="002A4007"/>
    <w:rsid w:val="002A4407"/>
    <w:rsid w:val="002A45F3"/>
    <w:rsid w:val="002A46EB"/>
    <w:rsid w:val="002A4A6E"/>
    <w:rsid w:val="002A4E28"/>
    <w:rsid w:val="002A4F94"/>
    <w:rsid w:val="002A50F1"/>
    <w:rsid w:val="002A518F"/>
    <w:rsid w:val="002A5236"/>
    <w:rsid w:val="002A542D"/>
    <w:rsid w:val="002A5589"/>
    <w:rsid w:val="002A5682"/>
    <w:rsid w:val="002A58B4"/>
    <w:rsid w:val="002A5B89"/>
    <w:rsid w:val="002A5BCD"/>
    <w:rsid w:val="002A5D34"/>
    <w:rsid w:val="002A639E"/>
    <w:rsid w:val="002A6659"/>
    <w:rsid w:val="002A6742"/>
    <w:rsid w:val="002A684A"/>
    <w:rsid w:val="002A685D"/>
    <w:rsid w:val="002A69F2"/>
    <w:rsid w:val="002A6FEA"/>
    <w:rsid w:val="002A7000"/>
    <w:rsid w:val="002A70B4"/>
    <w:rsid w:val="002A713D"/>
    <w:rsid w:val="002A724F"/>
    <w:rsid w:val="002A7341"/>
    <w:rsid w:val="002A73B4"/>
    <w:rsid w:val="002A771F"/>
    <w:rsid w:val="002A7827"/>
    <w:rsid w:val="002A7831"/>
    <w:rsid w:val="002A7AEB"/>
    <w:rsid w:val="002A7B70"/>
    <w:rsid w:val="002A7DC9"/>
    <w:rsid w:val="002B0257"/>
    <w:rsid w:val="002B0EFC"/>
    <w:rsid w:val="002B104A"/>
    <w:rsid w:val="002B161C"/>
    <w:rsid w:val="002B19CF"/>
    <w:rsid w:val="002B1B22"/>
    <w:rsid w:val="002B1BFB"/>
    <w:rsid w:val="002B2046"/>
    <w:rsid w:val="002B20E2"/>
    <w:rsid w:val="002B2275"/>
    <w:rsid w:val="002B2677"/>
    <w:rsid w:val="002B26BF"/>
    <w:rsid w:val="002B2AD9"/>
    <w:rsid w:val="002B2B63"/>
    <w:rsid w:val="002B2F31"/>
    <w:rsid w:val="002B2F32"/>
    <w:rsid w:val="002B2F35"/>
    <w:rsid w:val="002B2F44"/>
    <w:rsid w:val="002B307A"/>
    <w:rsid w:val="002B37FA"/>
    <w:rsid w:val="002B3819"/>
    <w:rsid w:val="002B4735"/>
    <w:rsid w:val="002B498C"/>
    <w:rsid w:val="002B4A11"/>
    <w:rsid w:val="002B4A4E"/>
    <w:rsid w:val="002B4B52"/>
    <w:rsid w:val="002B4EA4"/>
    <w:rsid w:val="002B51BC"/>
    <w:rsid w:val="002B581C"/>
    <w:rsid w:val="002B58E1"/>
    <w:rsid w:val="002B5DE8"/>
    <w:rsid w:val="002B600F"/>
    <w:rsid w:val="002B61FD"/>
    <w:rsid w:val="002B625C"/>
    <w:rsid w:val="002B634A"/>
    <w:rsid w:val="002B6920"/>
    <w:rsid w:val="002B6963"/>
    <w:rsid w:val="002B6BB8"/>
    <w:rsid w:val="002B6DA5"/>
    <w:rsid w:val="002B6EF5"/>
    <w:rsid w:val="002B6EFD"/>
    <w:rsid w:val="002B7299"/>
    <w:rsid w:val="002B72D0"/>
    <w:rsid w:val="002B74C4"/>
    <w:rsid w:val="002B7794"/>
    <w:rsid w:val="002B7824"/>
    <w:rsid w:val="002B78DE"/>
    <w:rsid w:val="002B7D6A"/>
    <w:rsid w:val="002B7D6C"/>
    <w:rsid w:val="002C030A"/>
    <w:rsid w:val="002C0590"/>
    <w:rsid w:val="002C0A78"/>
    <w:rsid w:val="002C0CE3"/>
    <w:rsid w:val="002C0DBA"/>
    <w:rsid w:val="002C0FAA"/>
    <w:rsid w:val="002C10D0"/>
    <w:rsid w:val="002C1687"/>
    <w:rsid w:val="002C1779"/>
    <w:rsid w:val="002C1B26"/>
    <w:rsid w:val="002C1B2E"/>
    <w:rsid w:val="002C1C46"/>
    <w:rsid w:val="002C1DFB"/>
    <w:rsid w:val="002C1F87"/>
    <w:rsid w:val="002C2027"/>
    <w:rsid w:val="002C213E"/>
    <w:rsid w:val="002C2287"/>
    <w:rsid w:val="002C24C3"/>
    <w:rsid w:val="002C261F"/>
    <w:rsid w:val="002C2806"/>
    <w:rsid w:val="002C2B47"/>
    <w:rsid w:val="002C2B6B"/>
    <w:rsid w:val="002C2BFF"/>
    <w:rsid w:val="002C2F7B"/>
    <w:rsid w:val="002C2FC3"/>
    <w:rsid w:val="002C37AB"/>
    <w:rsid w:val="002C38D8"/>
    <w:rsid w:val="002C3AEB"/>
    <w:rsid w:val="002C3B56"/>
    <w:rsid w:val="002C3C90"/>
    <w:rsid w:val="002C3E13"/>
    <w:rsid w:val="002C402D"/>
    <w:rsid w:val="002C41EF"/>
    <w:rsid w:val="002C4509"/>
    <w:rsid w:val="002C4564"/>
    <w:rsid w:val="002C4577"/>
    <w:rsid w:val="002C47F7"/>
    <w:rsid w:val="002C480E"/>
    <w:rsid w:val="002C4869"/>
    <w:rsid w:val="002C492C"/>
    <w:rsid w:val="002C496D"/>
    <w:rsid w:val="002C49CD"/>
    <w:rsid w:val="002C5025"/>
    <w:rsid w:val="002C51CC"/>
    <w:rsid w:val="002C5644"/>
    <w:rsid w:val="002C57A2"/>
    <w:rsid w:val="002C58E9"/>
    <w:rsid w:val="002C5FAF"/>
    <w:rsid w:val="002C6125"/>
    <w:rsid w:val="002C6561"/>
    <w:rsid w:val="002C663E"/>
    <w:rsid w:val="002C669C"/>
    <w:rsid w:val="002C66FF"/>
    <w:rsid w:val="002C67E7"/>
    <w:rsid w:val="002C68D1"/>
    <w:rsid w:val="002C6916"/>
    <w:rsid w:val="002C6E5E"/>
    <w:rsid w:val="002C6EF4"/>
    <w:rsid w:val="002C72CD"/>
    <w:rsid w:val="002C74E1"/>
    <w:rsid w:val="002C76BB"/>
    <w:rsid w:val="002C7DA3"/>
    <w:rsid w:val="002D0544"/>
    <w:rsid w:val="002D06F4"/>
    <w:rsid w:val="002D0D06"/>
    <w:rsid w:val="002D0D49"/>
    <w:rsid w:val="002D0EDA"/>
    <w:rsid w:val="002D0F67"/>
    <w:rsid w:val="002D11BB"/>
    <w:rsid w:val="002D11D9"/>
    <w:rsid w:val="002D12FA"/>
    <w:rsid w:val="002D159F"/>
    <w:rsid w:val="002D1D00"/>
    <w:rsid w:val="002D20FC"/>
    <w:rsid w:val="002D298B"/>
    <w:rsid w:val="002D2AAB"/>
    <w:rsid w:val="002D2AEC"/>
    <w:rsid w:val="002D2D18"/>
    <w:rsid w:val="002D2DC7"/>
    <w:rsid w:val="002D2ED8"/>
    <w:rsid w:val="002D33EE"/>
    <w:rsid w:val="002D35AB"/>
    <w:rsid w:val="002D360C"/>
    <w:rsid w:val="002D3689"/>
    <w:rsid w:val="002D3698"/>
    <w:rsid w:val="002D37D5"/>
    <w:rsid w:val="002D38E3"/>
    <w:rsid w:val="002D38F3"/>
    <w:rsid w:val="002D3940"/>
    <w:rsid w:val="002D399A"/>
    <w:rsid w:val="002D3E12"/>
    <w:rsid w:val="002D4187"/>
    <w:rsid w:val="002D474F"/>
    <w:rsid w:val="002D483A"/>
    <w:rsid w:val="002D4A18"/>
    <w:rsid w:val="002D4A86"/>
    <w:rsid w:val="002D4F9C"/>
    <w:rsid w:val="002D53A5"/>
    <w:rsid w:val="002D572A"/>
    <w:rsid w:val="002D58B9"/>
    <w:rsid w:val="002D5A75"/>
    <w:rsid w:val="002D5AE4"/>
    <w:rsid w:val="002D5C96"/>
    <w:rsid w:val="002D5CAF"/>
    <w:rsid w:val="002D5E17"/>
    <w:rsid w:val="002D61A3"/>
    <w:rsid w:val="002D6221"/>
    <w:rsid w:val="002D622D"/>
    <w:rsid w:val="002D62BD"/>
    <w:rsid w:val="002D65A4"/>
    <w:rsid w:val="002D677A"/>
    <w:rsid w:val="002D7061"/>
    <w:rsid w:val="002D7267"/>
    <w:rsid w:val="002D7287"/>
    <w:rsid w:val="002D7308"/>
    <w:rsid w:val="002D777C"/>
    <w:rsid w:val="002D7A11"/>
    <w:rsid w:val="002E009F"/>
    <w:rsid w:val="002E01C7"/>
    <w:rsid w:val="002E17B5"/>
    <w:rsid w:val="002E1EF0"/>
    <w:rsid w:val="002E223E"/>
    <w:rsid w:val="002E22E1"/>
    <w:rsid w:val="002E233B"/>
    <w:rsid w:val="002E25CF"/>
    <w:rsid w:val="002E25DF"/>
    <w:rsid w:val="002E2773"/>
    <w:rsid w:val="002E2B85"/>
    <w:rsid w:val="002E2D4F"/>
    <w:rsid w:val="002E2F69"/>
    <w:rsid w:val="002E3466"/>
    <w:rsid w:val="002E35D3"/>
    <w:rsid w:val="002E3B08"/>
    <w:rsid w:val="002E3BBF"/>
    <w:rsid w:val="002E402F"/>
    <w:rsid w:val="002E445E"/>
    <w:rsid w:val="002E45C5"/>
    <w:rsid w:val="002E461F"/>
    <w:rsid w:val="002E4726"/>
    <w:rsid w:val="002E494B"/>
    <w:rsid w:val="002E4A7A"/>
    <w:rsid w:val="002E4B6A"/>
    <w:rsid w:val="002E4B85"/>
    <w:rsid w:val="002E4F8C"/>
    <w:rsid w:val="002E592A"/>
    <w:rsid w:val="002E59CB"/>
    <w:rsid w:val="002E5E25"/>
    <w:rsid w:val="002E60BF"/>
    <w:rsid w:val="002E62B1"/>
    <w:rsid w:val="002E63DD"/>
    <w:rsid w:val="002E649C"/>
    <w:rsid w:val="002E652C"/>
    <w:rsid w:val="002E6856"/>
    <w:rsid w:val="002E68B6"/>
    <w:rsid w:val="002E6953"/>
    <w:rsid w:val="002E6D3F"/>
    <w:rsid w:val="002E6E89"/>
    <w:rsid w:val="002E737E"/>
    <w:rsid w:val="002E7574"/>
    <w:rsid w:val="002E7626"/>
    <w:rsid w:val="002E7633"/>
    <w:rsid w:val="002E7879"/>
    <w:rsid w:val="002E7B15"/>
    <w:rsid w:val="002E7EB7"/>
    <w:rsid w:val="002E7FF1"/>
    <w:rsid w:val="002F0043"/>
    <w:rsid w:val="002F0298"/>
    <w:rsid w:val="002F042E"/>
    <w:rsid w:val="002F0604"/>
    <w:rsid w:val="002F098F"/>
    <w:rsid w:val="002F0E72"/>
    <w:rsid w:val="002F1222"/>
    <w:rsid w:val="002F15E0"/>
    <w:rsid w:val="002F1B46"/>
    <w:rsid w:val="002F1BED"/>
    <w:rsid w:val="002F1EDE"/>
    <w:rsid w:val="002F263C"/>
    <w:rsid w:val="002F2717"/>
    <w:rsid w:val="002F28A0"/>
    <w:rsid w:val="002F2AC2"/>
    <w:rsid w:val="002F2C42"/>
    <w:rsid w:val="002F2EF5"/>
    <w:rsid w:val="002F2F9C"/>
    <w:rsid w:val="002F300C"/>
    <w:rsid w:val="002F31F8"/>
    <w:rsid w:val="002F357F"/>
    <w:rsid w:val="002F3586"/>
    <w:rsid w:val="002F3995"/>
    <w:rsid w:val="002F3A46"/>
    <w:rsid w:val="002F3B5C"/>
    <w:rsid w:val="002F3BDF"/>
    <w:rsid w:val="002F3D11"/>
    <w:rsid w:val="002F4325"/>
    <w:rsid w:val="002F456D"/>
    <w:rsid w:val="002F4602"/>
    <w:rsid w:val="002F4885"/>
    <w:rsid w:val="002F4A9D"/>
    <w:rsid w:val="002F4C89"/>
    <w:rsid w:val="002F4EA6"/>
    <w:rsid w:val="002F4FC2"/>
    <w:rsid w:val="002F523F"/>
    <w:rsid w:val="002F56D9"/>
    <w:rsid w:val="002F58A1"/>
    <w:rsid w:val="002F5961"/>
    <w:rsid w:val="002F5D43"/>
    <w:rsid w:val="002F61C7"/>
    <w:rsid w:val="002F625B"/>
    <w:rsid w:val="002F62EE"/>
    <w:rsid w:val="002F654D"/>
    <w:rsid w:val="002F705A"/>
    <w:rsid w:val="002F731B"/>
    <w:rsid w:val="002F738F"/>
    <w:rsid w:val="002F7477"/>
    <w:rsid w:val="002F7612"/>
    <w:rsid w:val="002F7779"/>
    <w:rsid w:val="002F7906"/>
    <w:rsid w:val="002F7BF4"/>
    <w:rsid w:val="002FBA79"/>
    <w:rsid w:val="003001A7"/>
    <w:rsid w:val="00300222"/>
    <w:rsid w:val="003002B6"/>
    <w:rsid w:val="003003DE"/>
    <w:rsid w:val="00300999"/>
    <w:rsid w:val="003009F1"/>
    <w:rsid w:val="00300CFC"/>
    <w:rsid w:val="00300D23"/>
    <w:rsid w:val="00300DE5"/>
    <w:rsid w:val="003010AB"/>
    <w:rsid w:val="0030135F"/>
    <w:rsid w:val="003014DD"/>
    <w:rsid w:val="003015F1"/>
    <w:rsid w:val="003019E4"/>
    <w:rsid w:val="00301E06"/>
    <w:rsid w:val="00302A1C"/>
    <w:rsid w:val="00302A77"/>
    <w:rsid w:val="00302BF1"/>
    <w:rsid w:val="00302D58"/>
    <w:rsid w:val="00302E3B"/>
    <w:rsid w:val="003031F4"/>
    <w:rsid w:val="003032F0"/>
    <w:rsid w:val="0030382E"/>
    <w:rsid w:val="00303E26"/>
    <w:rsid w:val="003040CD"/>
    <w:rsid w:val="003041E3"/>
    <w:rsid w:val="0030425C"/>
    <w:rsid w:val="00304963"/>
    <w:rsid w:val="00304C41"/>
    <w:rsid w:val="00304DF2"/>
    <w:rsid w:val="00305038"/>
    <w:rsid w:val="0030518A"/>
    <w:rsid w:val="00305EC1"/>
    <w:rsid w:val="00305EF6"/>
    <w:rsid w:val="00305FCB"/>
    <w:rsid w:val="00306274"/>
    <w:rsid w:val="003062B8"/>
    <w:rsid w:val="00306721"/>
    <w:rsid w:val="00306BE4"/>
    <w:rsid w:val="00306FF2"/>
    <w:rsid w:val="003074C6"/>
    <w:rsid w:val="00307794"/>
    <w:rsid w:val="0030790E"/>
    <w:rsid w:val="003079FB"/>
    <w:rsid w:val="00307EFC"/>
    <w:rsid w:val="003105E3"/>
    <w:rsid w:val="003107E1"/>
    <w:rsid w:val="00310967"/>
    <w:rsid w:val="00310A51"/>
    <w:rsid w:val="00310AF2"/>
    <w:rsid w:val="00310D59"/>
    <w:rsid w:val="00310F40"/>
    <w:rsid w:val="00311009"/>
    <w:rsid w:val="00311112"/>
    <w:rsid w:val="00311569"/>
    <w:rsid w:val="003117BE"/>
    <w:rsid w:val="0031202E"/>
    <w:rsid w:val="00312125"/>
    <w:rsid w:val="00312327"/>
    <w:rsid w:val="003126D7"/>
    <w:rsid w:val="00312765"/>
    <w:rsid w:val="003127AC"/>
    <w:rsid w:val="00312B00"/>
    <w:rsid w:val="00312B9D"/>
    <w:rsid w:val="00312E2A"/>
    <w:rsid w:val="00312E43"/>
    <w:rsid w:val="00312F26"/>
    <w:rsid w:val="00312FFC"/>
    <w:rsid w:val="0031312D"/>
    <w:rsid w:val="003131A3"/>
    <w:rsid w:val="0031321D"/>
    <w:rsid w:val="00313612"/>
    <w:rsid w:val="003136DC"/>
    <w:rsid w:val="003140A5"/>
    <w:rsid w:val="0031410F"/>
    <w:rsid w:val="00314160"/>
    <w:rsid w:val="003142CD"/>
    <w:rsid w:val="00314733"/>
    <w:rsid w:val="003147B5"/>
    <w:rsid w:val="0031495D"/>
    <w:rsid w:val="00314B6D"/>
    <w:rsid w:val="00314B79"/>
    <w:rsid w:val="00314F1B"/>
    <w:rsid w:val="003150F5"/>
    <w:rsid w:val="003152D6"/>
    <w:rsid w:val="003153D8"/>
    <w:rsid w:val="0031549B"/>
    <w:rsid w:val="003156EE"/>
    <w:rsid w:val="0031586F"/>
    <w:rsid w:val="0031587B"/>
    <w:rsid w:val="00316317"/>
    <w:rsid w:val="00316A09"/>
    <w:rsid w:val="00316C79"/>
    <w:rsid w:val="00316D07"/>
    <w:rsid w:val="00316F97"/>
    <w:rsid w:val="00317A3B"/>
    <w:rsid w:val="00317BFD"/>
    <w:rsid w:val="00317E79"/>
    <w:rsid w:val="0032028C"/>
    <w:rsid w:val="003202B0"/>
    <w:rsid w:val="003204B7"/>
    <w:rsid w:val="0032055B"/>
    <w:rsid w:val="003210A4"/>
    <w:rsid w:val="00321221"/>
    <w:rsid w:val="003212CF"/>
    <w:rsid w:val="003215A9"/>
    <w:rsid w:val="00321905"/>
    <w:rsid w:val="00321A3E"/>
    <w:rsid w:val="00321B39"/>
    <w:rsid w:val="00321E28"/>
    <w:rsid w:val="00322283"/>
    <w:rsid w:val="00322323"/>
    <w:rsid w:val="00322567"/>
    <w:rsid w:val="003225AA"/>
    <w:rsid w:val="00322A84"/>
    <w:rsid w:val="00322B56"/>
    <w:rsid w:val="00323092"/>
    <w:rsid w:val="00323532"/>
    <w:rsid w:val="003238B2"/>
    <w:rsid w:val="00323927"/>
    <w:rsid w:val="00323E9D"/>
    <w:rsid w:val="003240A1"/>
    <w:rsid w:val="00324127"/>
    <w:rsid w:val="0032472B"/>
    <w:rsid w:val="00324769"/>
    <w:rsid w:val="003247AF"/>
    <w:rsid w:val="00324B5E"/>
    <w:rsid w:val="00324F91"/>
    <w:rsid w:val="003253F8"/>
    <w:rsid w:val="0032551C"/>
    <w:rsid w:val="00325732"/>
    <w:rsid w:val="003257EA"/>
    <w:rsid w:val="00325C3A"/>
    <w:rsid w:val="00326349"/>
    <w:rsid w:val="0032654E"/>
    <w:rsid w:val="003265C1"/>
    <w:rsid w:val="00326DD2"/>
    <w:rsid w:val="00326ED9"/>
    <w:rsid w:val="0032782E"/>
    <w:rsid w:val="00327AB4"/>
    <w:rsid w:val="00327E0F"/>
    <w:rsid w:val="00327F8C"/>
    <w:rsid w:val="00330144"/>
    <w:rsid w:val="00330287"/>
    <w:rsid w:val="003303CC"/>
    <w:rsid w:val="0033048F"/>
    <w:rsid w:val="00330722"/>
    <w:rsid w:val="00330BF0"/>
    <w:rsid w:val="00330E2E"/>
    <w:rsid w:val="00330E3B"/>
    <w:rsid w:val="00331124"/>
    <w:rsid w:val="003311AB"/>
    <w:rsid w:val="003312F6"/>
    <w:rsid w:val="003314AA"/>
    <w:rsid w:val="00331633"/>
    <w:rsid w:val="00331AFD"/>
    <w:rsid w:val="00331D96"/>
    <w:rsid w:val="00331DC1"/>
    <w:rsid w:val="00331F76"/>
    <w:rsid w:val="00332807"/>
    <w:rsid w:val="00332A4F"/>
    <w:rsid w:val="00332B80"/>
    <w:rsid w:val="0033339D"/>
    <w:rsid w:val="003333F5"/>
    <w:rsid w:val="0033348C"/>
    <w:rsid w:val="003334EA"/>
    <w:rsid w:val="003336D8"/>
    <w:rsid w:val="003337BC"/>
    <w:rsid w:val="00333E6E"/>
    <w:rsid w:val="0033426F"/>
    <w:rsid w:val="003342A0"/>
    <w:rsid w:val="003342E8"/>
    <w:rsid w:val="00334315"/>
    <w:rsid w:val="00334394"/>
    <w:rsid w:val="00334586"/>
    <w:rsid w:val="0033489E"/>
    <w:rsid w:val="00334ABD"/>
    <w:rsid w:val="00334BC6"/>
    <w:rsid w:val="00334BD3"/>
    <w:rsid w:val="00334C8F"/>
    <w:rsid w:val="00334E3E"/>
    <w:rsid w:val="0033519D"/>
    <w:rsid w:val="003351DF"/>
    <w:rsid w:val="00335434"/>
    <w:rsid w:val="00335DB9"/>
    <w:rsid w:val="00335E02"/>
    <w:rsid w:val="00335E28"/>
    <w:rsid w:val="003366FF"/>
    <w:rsid w:val="00336B5F"/>
    <w:rsid w:val="00336D10"/>
    <w:rsid w:val="003370B6"/>
    <w:rsid w:val="0033735B"/>
    <w:rsid w:val="003376DF"/>
    <w:rsid w:val="00337828"/>
    <w:rsid w:val="00337A7E"/>
    <w:rsid w:val="00337B7E"/>
    <w:rsid w:val="00337BBA"/>
    <w:rsid w:val="00337FBB"/>
    <w:rsid w:val="00340533"/>
    <w:rsid w:val="0034087A"/>
    <w:rsid w:val="003408E8"/>
    <w:rsid w:val="003409A0"/>
    <w:rsid w:val="00340C16"/>
    <w:rsid w:val="00340C80"/>
    <w:rsid w:val="00340E57"/>
    <w:rsid w:val="00340EEB"/>
    <w:rsid w:val="00341676"/>
    <w:rsid w:val="003416C1"/>
    <w:rsid w:val="00341D82"/>
    <w:rsid w:val="003424FF"/>
    <w:rsid w:val="003429D8"/>
    <w:rsid w:val="00342EE3"/>
    <w:rsid w:val="003430FC"/>
    <w:rsid w:val="00343174"/>
    <w:rsid w:val="003435B3"/>
    <w:rsid w:val="00343600"/>
    <w:rsid w:val="003436DF"/>
    <w:rsid w:val="00343749"/>
    <w:rsid w:val="0034394F"/>
    <w:rsid w:val="00343A17"/>
    <w:rsid w:val="0034454D"/>
    <w:rsid w:val="00344718"/>
    <w:rsid w:val="003447E8"/>
    <w:rsid w:val="00344933"/>
    <w:rsid w:val="0034498E"/>
    <w:rsid w:val="00344C3E"/>
    <w:rsid w:val="00344FAA"/>
    <w:rsid w:val="003450E6"/>
    <w:rsid w:val="0034518F"/>
    <w:rsid w:val="0034546B"/>
    <w:rsid w:val="003455D9"/>
    <w:rsid w:val="0034566B"/>
    <w:rsid w:val="003457D2"/>
    <w:rsid w:val="0034597C"/>
    <w:rsid w:val="0034599A"/>
    <w:rsid w:val="00345E55"/>
    <w:rsid w:val="00345F02"/>
    <w:rsid w:val="00345FD2"/>
    <w:rsid w:val="003464B3"/>
    <w:rsid w:val="00346565"/>
    <w:rsid w:val="00346624"/>
    <w:rsid w:val="00346AFB"/>
    <w:rsid w:val="00346C2D"/>
    <w:rsid w:val="0034727E"/>
    <w:rsid w:val="0034740B"/>
    <w:rsid w:val="00347434"/>
    <w:rsid w:val="00347856"/>
    <w:rsid w:val="00347B5C"/>
    <w:rsid w:val="00347C40"/>
    <w:rsid w:val="00350439"/>
    <w:rsid w:val="0035043E"/>
    <w:rsid w:val="003506B3"/>
    <w:rsid w:val="003506CA"/>
    <w:rsid w:val="00350777"/>
    <w:rsid w:val="00350847"/>
    <w:rsid w:val="00350887"/>
    <w:rsid w:val="00350999"/>
    <w:rsid w:val="00350C2F"/>
    <w:rsid w:val="00350CD1"/>
    <w:rsid w:val="00350F56"/>
    <w:rsid w:val="00351055"/>
    <w:rsid w:val="00351281"/>
    <w:rsid w:val="0035139D"/>
    <w:rsid w:val="00351823"/>
    <w:rsid w:val="0035186E"/>
    <w:rsid w:val="00351CC8"/>
    <w:rsid w:val="00351FF1"/>
    <w:rsid w:val="0035201E"/>
    <w:rsid w:val="0035229F"/>
    <w:rsid w:val="0035232A"/>
    <w:rsid w:val="00352331"/>
    <w:rsid w:val="003523CF"/>
    <w:rsid w:val="003524F0"/>
    <w:rsid w:val="003528B1"/>
    <w:rsid w:val="003529AF"/>
    <w:rsid w:val="00352AEC"/>
    <w:rsid w:val="00352C7F"/>
    <w:rsid w:val="00353009"/>
    <w:rsid w:val="003536DE"/>
    <w:rsid w:val="003536E7"/>
    <w:rsid w:val="0035399C"/>
    <w:rsid w:val="00353C56"/>
    <w:rsid w:val="00353FE2"/>
    <w:rsid w:val="00354044"/>
    <w:rsid w:val="003541E1"/>
    <w:rsid w:val="00354767"/>
    <w:rsid w:val="00354920"/>
    <w:rsid w:val="003549FE"/>
    <w:rsid w:val="00354E79"/>
    <w:rsid w:val="0035500C"/>
    <w:rsid w:val="003552A6"/>
    <w:rsid w:val="00355379"/>
    <w:rsid w:val="00355461"/>
    <w:rsid w:val="003558B6"/>
    <w:rsid w:val="003559D7"/>
    <w:rsid w:val="00355C30"/>
    <w:rsid w:val="00355F7D"/>
    <w:rsid w:val="003562E9"/>
    <w:rsid w:val="003563D2"/>
    <w:rsid w:val="00356461"/>
    <w:rsid w:val="00356805"/>
    <w:rsid w:val="00356806"/>
    <w:rsid w:val="003569F7"/>
    <w:rsid w:val="00356D31"/>
    <w:rsid w:val="00356DB2"/>
    <w:rsid w:val="00356E35"/>
    <w:rsid w:val="00357255"/>
    <w:rsid w:val="0035782F"/>
    <w:rsid w:val="003579FE"/>
    <w:rsid w:val="00357B85"/>
    <w:rsid w:val="00357B8E"/>
    <w:rsid w:val="00357C5D"/>
    <w:rsid w:val="00357E57"/>
    <w:rsid w:val="00357FD5"/>
    <w:rsid w:val="00360393"/>
    <w:rsid w:val="003606F9"/>
    <w:rsid w:val="0036079B"/>
    <w:rsid w:val="003609E3"/>
    <w:rsid w:val="00360A22"/>
    <w:rsid w:val="00360CBC"/>
    <w:rsid w:val="00360F21"/>
    <w:rsid w:val="00360F5E"/>
    <w:rsid w:val="0036113C"/>
    <w:rsid w:val="00361171"/>
    <w:rsid w:val="003611A6"/>
    <w:rsid w:val="00361465"/>
    <w:rsid w:val="00361C1D"/>
    <w:rsid w:val="00361C2F"/>
    <w:rsid w:val="00361D8A"/>
    <w:rsid w:val="00361F37"/>
    <w:rsid w:val="00362093"/>
    <w:rsid w:val="00362154"/>
    <w:rsid w:val="003622D4"/>
    <w:rsid w:val="0036246E"/>
    <w:rsid w:val="003626B6"/>
    <w:rsid w:val="00362873"/>
    <w:rsid w:val="003628E1"/>
    <w:rsid w:val="00362A65"/>
    <w:rsid w:val="00362B50"/>
    <w:rsid w:val="00362DEC"/>
    <w:rsid w:val="00362E19"/>
    <w:rsid w:val="0036360C"/>
    <w:rsid w:val="00363634"/>
    <w:rsid w:val="00363643"/>
    <w:rsid w:val="003639C5"/>
    <w:rsid w:val="00363A73"/>
    <w:rsid w:val="00363C2E"/>
    <w:rsid w:val="00363CD5"/>
    <w:rsid w:val="00363F47"/>
    <w:rsid w:val="00364321"/>
    <w:rsid w:val="0036483E"/>
    <w:rsid w:val="00364852"/>
    <w:rsid w:val="00364854"/>
    <w:rsid w:val="00364891"/>
    <w:rsid w:val="00364A64"/>
    <w:rsid w:val="00364FE1"/>
    <w:rsid w:val="0036512A"/>
    <w:rsid w:val="00365217"/>
    <w:rsid w:val="003654F1"/>
    <w:rsid w:val="00365637"/>
    <w:rsid w:val="003658F7"/>
    <w:rsid w:val="0036590A"/>
    <w:rsid w:val="00365A95"/>
    <w:rsid w:val="00365BBE"/>
    <w:rsid w:val="00365C94"/>
    <w:rsid w:val="00365E76"/>
    <w:rsid w:val="00365F16"/>
    <w:rsid w:val="00366272"/>
    <w:rsid w:val="003665CA"/>
    <w:rsid w:val="003669E9"/>
    <w:rsid w:val="00366DE4"/>
    <w:rsid w:val="00366DFE"/>
    <w:rsid w:val="003671FB"/>
    <w:rsid w:val="00367389"/>
    <w:rsid w:val="003673FF"/>
    <w:rsid w:val="0036789A"/>
    <w:rsid w:val="00367AC3"/>
    <w:rsid w:val="00367E8A"/>
    <w:rsid w:val="0036E5F6"/>
    <w:rsid w:val="00370528"/>
    <w:rsid w:val="00370740"/>
    <w:rsid w:val="003707DC"/>
    <w:rsid w:val="0037127B"/>
    <w:rsid w:val="003712D5"/>
    <w:rsid w:val="00371540"/>
    <w:rsid w:val="00371564"/>
    <w:rsid w:val="00371B2E"/>
    <w:rsid w:val="00371E9A"/>
    <w:rsid w:val="00371E9E"/>
    <w:rsid w:val="00372786"/>
    <w:rsid w:val="003727D4"/>
    <w:rsid w:val="00372973"/>
    <w:rsid w:val="00372A44"/>
    <w:rsid w:val="00372B0A"/>
    <w:rsid w:val="003733A1"/>
    <w:rsid w:val="0037342A"/>
    <w:rsid w:val="00373544"/>
    <w:rsid w:val="00373662"/>
    <w:rsid w:val="00373AA2"/>
    <w:rsid w:val="00373AB6"/>
    <w:rsid w:val="00373DD4"/>
    <w:rsid w:val="003742EA"/>
    <w:rsid w:val="003743D2"/>
    <w:rsid w:val="00374475"/>
    <w:rsid w:val="003745DE"/>
    <w:rsid w:val="00374A5B"/>
    <w:rsid w:val="00374B50"/>
    <w:rsid w:val="00374B6D"/>
    <w:rsid w:val="00374B95"/>
    <w:rsid w:val="00374D98"/>
    <w:rsid w:val="0037517E"/>
    <w:rsid w:val="003752AA"/>
    <w:rsid w:val="0037561F"/>
    <w:rsid w:val="003758AE"/>
    <w:rsid w:val="00375990"/>
    <w:rsid w:val="00375A1E"/>
    <w:rsid w:val="00375C83"/>
    <w:rsid w:val="00375E78"/>
    <w:rsid w:val="00376247"/>
    <w:rsid w:val="00376315"/>
    <w:rsid w:val="003764E2"/>
    <w:rsid w:val="003765D0"/>
    <w:rsid w:val="00376EE6"/>
    <w:rsid w:val="00377160"/>
    <w:rsid w:val="0037724D"/>
    <w:rsid w:val="0037734A"/>
    <w:rsid w:val="003774C0"/>
    <w:rsid w:val="003774C1"/>
    <w:rsid w:val="003774F8"/>
    <w:rsid w:val="003776C8"/>
    <w:rsid w:val="00377942"/>
    <w:rsid w:val="00377AB4"/>
    <w:rsid w:val="00377B48"/>
    <w:rsid w:val="00377B9F"/>
    <w:rsid w:val="00377F8C"/>
    <w:rsid w:val="00377FD8"/>
    <w:rsid w:val="00380211"/>
    <w:rsid w:val="00380392"/>
    <w:rsid w:val="00380410"/>
    <w:rsid w:val="00380694"/>
    <w:rsid w:val="003808F5"/>
    <w:rsid w:val="00380F54"/>
    <w:rsid w:val="00381229"/>
    <w:rsid w:val="00381236"/>
    <w:rsid w:val="00381466"/>
    <w:rsid w:val="003815D9"/>
    <w:rsid w:val="00381820"/>
    <w:rsid w:val="00381843"/>
    <w:rsid w:val="00381939"/>
    <w:rsid w:val="00381B1E"/>
    <w:rsid w:val="00381C69"/>
    <w:rsid w:val="00381D96"/>
    <w:rsid w:val="00382234"/>
    <w:rsid w:val="00382A4C"/>
    <w:rsid w:val="00382CB6"/>
    <w:rsid w:val="00382D5D"/>
    <w:rsid w:val="00382E07"/>
    <w:rsid w:val="0038304A"/>
    <w:rsid w:val="003831B4"/>
    <w:rsid w:val="003835B2"/>
    <w:rsid w:val="0038396B"/>
    <w:rsid w:val="00383CF2"/>
    <w:rsid w:val="00383D0B"/>
    <w:rsid w:val="00383D55"/>
    <w:rsid w:val="00383ED4"/>
    <w:rsid w:val="00384070"/>
    <w:rsid w:val="003844E1"/>
    <w:rsid w:val="00384767"/>
    <w:rsid w:val="00384AF8"/>
    <w:rsid w:val="00384F0E"/>
    <w:rsid w:val="00384F77"/>
    <w:rsid w:val="003850D5"/>
    <w:rsid w:val="00385258"/>
    <w:rsid w:val="00385652"/>
    <w:rsid w:val="00385791"/>
    <w:rsid w:val="00385C38"/>
    <w:rsid w:val="00385F8B"/>
    <w:rsid w:val="0038600D"/>
    <w:rsid w:val="00386169"/>
    <w:rsid w:val="003865A8"/>
    <w:rsid w:val="00386941"/>
    <w:rsid w:val="003869E1"/>
    <w:rsid w:val="003869EF"/>
    <w:rsid w:val="00386A31"/>
    <w:rsid w:val="00386C24"/>
    <w:rsid w:val="003870C4"/>
    <w:rsid w:val="003874F3"/>
    <w:rsid w:val="00387588"/>
    <w:rsid w:val="003876C9"/>
    <w:rsid w:val="00387798"/>
    <w:rsid w:val="00387799"/>
    <w:rsid w:val="0038784D"/>
    <w:rsid w:val="00387A7F"/>
    <w:rsid w:val="00387A9D"/>
    <w:rsid w:val="00387FAD"/>
    <w:rsid w:val="003900BD"/>
    <w:rsid w:val="003901FA"/>
    <w:rsid w:val="00390320"/>
    <w:rsid w:val="0039042B"/>
    <w:rsid w:val="0039049F"/>
    <w:rsid w:val="00390BB4"/>
    <w:rsid w:val="00390C6A"/>
    <w:rsid w:val="00390D3E"/>
    <w:rsid w:val="00390FAE"/>
    <w:rsid w:val="00390FB3"/>
    <w:rsid w:val="003910D7"/>
    <w:rsid w:val="003915DC"/>
    <w:rsid w:val="00391756"/>
    <w:rsid w:val="00391B33"/>
    <w:rsid w:val="003920EE"/>
    <w:rsid w:val="00392428"/>
    <w:rsid w:val="00392B0C"/>
    <w:rsid w:val="00392CB3"/>
    <w:rsid w:val="00392F59"/>
    <w:rsid w:val="00392F6B"/>
    <w:rsid w:val="00393578"/>
    <w:rsid w:val="00393599"/>
    <w:rsid w:val="00393AAF"/>
    <w:rsid w:val="00393ADA"/>
    <w:rsid w:val="00393C4B"/>
    <w:rsid w:val="00393DE7"/>
    <w:rsid w:val="00393E50"/>
    <w:rsid w:val="00394D06"/>
    <w:rsid w:val="00394D39"/>
    <w:rsid w:val="00394D3F"/>
    <w:rsid w:val="00395749"/>
    <w:rsid w:val="0039583E"/>
    <w:rsid w:val="00395BC0"/>
    <w:rsid w:val="00396007"/>
    <w:rsid w:val="00396CE7"/>
    <w:rsid w:val="00396D51"/>
    <w:rsid w:val="00396E9A"/>
    <w:rsid w:val="00396FF3"/>
    <w:rsid w:val="0039757A"/>
    <w:rsid w:val="003976F5"/>
    <w:rsid w:val="003978A8"/>
    <w:rsid w:val="003978AD"/>
    <w:rsid w:val="00397CB3"/>
    <w:rsid w:val="00397D33"/>
    <w:rsid w:val="00397EAE"/>
    <w:rsid w:val="003A04C6"/>
    <w:rsid w:val="003A0548"/>
    <w:rsid w:val="003A07BE"/>
    <w:rsid w:val="003A09DA"/>
    <w:rsid w:val="003A0A44"/>
    <w:rsid w:val="003A0ED3"/>
    <w:rsid w:val="003A1292"/>
    <w:rsid w:val="003A12A6"/>
    <w:rsid w:val="003A1612"/>
    <w:rsid w:val="003A1B3E"/>
    <w:rsid w:val="003A1BC2"/>
    <w:rsid w:val="003A1C63"/>
    <w:rsid w:val="003A1DFE"/>
    <w:rsid w:val="003A1E6B"/>
    <w:rsid w:val="003A2400"/>
    <w:rsid w:val="003A286F"/>
    <w:rsid w:val="003A28AA"/>
    <w:rsid w:val="003A2EFD"/>
    <w:rsid w:val="003A35D4"/>
    <w:rsid w:val="003A3793"/>
    <w:rsid w:val="003A3949"/>
    <w:rsid w:val="003A3B9B"/>
    <w:rsid w:val="003A3C09"/>
    <w:rsid w:val="003A45CF"/>
    <w:rsid w:val="003A4810"/>
    <w:rsid w:val="003A4B2F"/>
    <w:rsid w:val="003A538B"/>
    <w:rsid w:val="003A5991"/>
    <w:rsid w:val="003A5EFE"/>
    <w:rsid w:val="003A5FF0"/>
    <w:rsid w:val="003A6030"/>
    <w:rsid w:val="003A6125"/>
    <w:rsid w:val="003A6240"/>
    <w:rsid w:val="003A6324"/>
    <w:rsid w:val="003A648F"/>
    <w:rsid w:val="003A661E"/>
    <w:rsid w:val="003A6855"/>
    <w:rsid w:val="003A691F"/>
    <w:rsid w:val="003A6A57"/>
    <w:rsid w:val="003A6E5D"/>
    <w:rsid w:val="003A724E"/>
    <w:rsid w:val="003A74EE"/>
    <w:rsid w:val="003A7567"/>
    <w:rsid w:val="003A7818"/>
    <w:rsid w:val="003A7A59"/>
    <w:rsid w:val="003A7CB7"/>
    <w:rsid w:val="003A7F1D"/>
    <w:rsid w:val="003B0020"/>
    <w:rsid w:val="003B05B7"/>
    <w:rsid w:val="003B0777"/>
    <w:rsid w:val="003B07F6"/>
    <w:rsid w:val="003B0984"/>
    <w:rsid w:val="003B09F9"/>
    <w:rsid w:val="003B0EA0"/>
    <w:rsid w:val="003B0F5B"/>
    <w:rsid w:val="003B1290"/>
    <w:rsid w:val="003B155E"/>
    <w:rsid w:val="003B1BEA"/>
    <w:rsid w:val="003B23F3"/>
    <w:rsid w:val="003B26B6"/>
    <w:rsid w:val="003B270A"/>
    <w:rsid w:val="003B2ABD"/>
    <w:rsid w:val="003B2B65"/>
    <w:rsid w:val="003B2CFF"/>
    <w:rsid w:val="003B35DB"/>
    <w:rsid w:val="003B363C"/>
    <w:rsid w:val="003B3B0E"/>
    <w:rsid w:val="003B3B3E"/>
    <w:rsid w:val="003B3CBE"/>
    <w:rsid w:val="003B3E09"/>
    <w:rsid w:val="003B3E65"/>
    <w:rsid w:val="003B42CD"/>
    <w:rsid w:val="003B449F"/>
    <w:rsid w:val="003B461C"/>
    <w:rsid w:val="003B483D"/>
    <w:rsid w:val="003B49E4"/>
    <w:rsid w:val="003B4B1C"/>
    <w:rsid w:val="003B4BF5"/>
    <w:rsid w:val="003B4F94"/>
    <w:rsid w:val="003B4FB0"/>
    <w:rsid w:val="003B50E0"/>
    <w:rsid w:val="003B52A8"/>
    <w:rsid w:val="003B56E3"/>
    <w:rsid w:val="003B56FC"/>
    <w:rsid w:val="003B581A"/>
    <w:rsid w:val="003B5881"/>
    <w:rsid w:val="003B5901"/>
    <w:rsid w:val="003B592E"/>
    <w:rsid w:val="003B5DC7"/>
    <w:rsid w:val="003B62BE"/>
    <w:rsid w:val="003B6555"/>
    <w:rsid w:val="003B6B43"/>
    <w:rsid w:val="003B6FC6"/>
    <w:rsid w:val="003B7128"/>
    <w:rsid w:val="003B7616"/>
    <w:rsid w:val="003B7839"/>
    <w:rsid w:val="003B78E6"/>
    <w:rsid w:val="003B7CA4"/>
    <w:rsid w:val="003B7F90"/>
    <w:rsid w:val="003C0A48"/>
    <w:rsid w:val="003C0CF4"/>
    <w:rsid w:val="003C10CE"/>
    <w:rsid w:val="003C1F88"/>
    <w:rsid w:val="003C22AA"/>
    <w:rsid w:val="003C24A8"/>
    <w:rsid w:val="003C24E4"/>
    <w:rsid w:val="003C2963"/>
    <w:rsid w:val="003C2B7D"/>
    <w:rsid w:val="003C2F49"/>
    <w:rsid w:val="003C301C"/>
    <w:rsid w:val="003C3164"/>
    <w:rsid w:val="003C394F"/>
    <w:rsid w:val="003C3A1C"/>
    <w:rsid w:val="003C3BBE"/>
    <w:rsid w:val="003C3C68"/>
    <w:rsid w:val="003C3E3F"/>
    <w:rsid w:val="003C40CE"/>
    <w:rsid w:val="003C454D"/>
    <w:rsid w:val="003C4597"/>
    <w:rsid w:val="003C482F"/>
    <w:rsid w:val="003C490C"/>
    <w:rsid w:val="003C4A1A"/>
    <w:rsid w:val="003C4C7D"/>
    <w:rsid w:val="003C4D32"/>
    <w:rsid w:val="003C4F97"/>
    <w:rsid w:val="003C510E"/>
    <w:rsid w:val="003C51EB"/>
    <w:rsid w:val="003C5207"/>
    <w:rsid w:val="003C5537"/>
    <w:rsid w:val="003C556E"/>
    <w:rsid w:val="003C5D54"/>
    <w:rsid w:val="003C5E66"/>
    <w:rsid w:val="003C60CA"/>
    <w:rsid w:val="003C6122"/>
    <w:rsid w:val="003C630B"/>
    <w:rsid w:val="003C646F"/>
    <w:rsid w:val="003C6A31"/>
    <w:rsid w:val="003C6C11"/>
    <w:rsid w:val="003C6E73"/>
    <w:rsid w:val="003C74C0"/>
    <w:rsid w:val="003C757D"/>
    <w:rsid w:val="003C774D"/>
    <w:rsid w:val="003C79D4"/>
    <w:rsid w:val="003C7A87"/>
    <w:rsid w:val="003C7C79"/>
    <w:rsid w:val="003C7DA0"/>
    <w:rsid w:val="003D03FA"/>
    <w:rsid w:val="003D0455"/>
    <w:rsid w:val="003D0B55"/>
    <w:rsid w:val="003D0FD9"/>
    <w:rsid w:val="003D114F"/>
    <w:rsid w:val="003D1513"/>
    <w:rsid w:val="003D1930"/>
    <w:rsid w:val="003D1932"/>
    <w:rsid w:val="003D1AEC"/>
    <w:rsid w:val="003D1D52"/>
    <w:rsid w:val="003D1F86"/>
    <w:rsid w:val="003D1F9E"/>
    <w:rsid w:val="003D220C"/>
    <w:rsid w:val="003D2464"/>
    <w:rsid w:val="003D2566"/>
    <w:rsid w:val="003D2C38"/>
    <w:rsid w:val="003D2EA0"/>
    <w:rsid w:val="003D3542"/>
    <w:rsid w:val="003D3704"/>
    <w:rsid w:val="003D3BB0"/>
    <w:rsid w:val="003D3F96"/>
    <w:rsid w:val="003D402F"/>
    <w:rsid w:val="003D45DE"/>
    <w:rsid w:val="003D460A"/>
    <w:rsid w:val="003D4B7D"/>
    <w:rsid w:val="003D4C2C"/>
    <w:rsid w:val="003D560F"/>
    <w:rsid w:val="003D586E"/>
    <w:rsid w:val="003D5D26"/>
    <w:rsid w:val="003D6351"/>
    <w:rsid w:val="003D6562"/>
    <w:rsid w:val="003D6695"/>
    <w:rsid w:val="003D6A16"/>
    <w:rsid w:val="003D6C6F"/>
    <w:rsid w:val="003D6D5C"/>
    <w:rsid w:val="003D6FE6"/>
    <w:rsid w:val="003D7739"/>
    <w:rsid w:val="003D7F35"/>
    <w:rsid w:val="003E015A"/>
    <w:rsid w:val="003E038D"/>
    <w:rsid w:val="003E0719"/>
    <w:rsid w:val="003E0D38"/>
    <w:rsid w:val="003E0E95"/>
    <w:rsid w:val="003E0F83"/>
    <w:rsid w:val="003E1304"/>
    <w:rsid w:val="003E133E"/>
    <w:rsid w:val="003E187B"/>
    <w:rsid w:val="003E1B74"/>
    <w:rsid w:val="003E1C2C"/>
    <w:rsid w:val="003E1DCE"/>
    <w:rsid w:val="003E1F04"/>
    <w:rsid w:val="003E2434"/>
    <w:rsid w:val="003E2734"/>
    <w:rsid w:val="003E281C"/>
    <w:rsid w:val="003E284D"/>
    <w:rsid w:val="003E29A1"/>
    <w:rsid w:val="003E29EB"/>
    <w:rsid w:val="003E2A6C"/>
    <w:rsid w:val="003E2A79"/>
    <w:rsid w:val="003E2A96"/>
    <w:rsid w:val="003E2C99"/>
    <w:rsid w:val="003E2D22"/>
    <w:rsid w:val="003E2D46"/>
    <w:rsid w:val="003E3018"/>
    <w:rsid w:val="003E317B"/>
    <w:rsid w:val="003E31FD"/>
    <w:rsid w:val="003E33A5"/>
    <w:rsid w:val="003E36E8"/>
    <w:rsid w:val="003E373B"/>
    <w:rsid w:val="003E37F7"/>
    <w:rsid w:val="003E386A"/>
    <w:rsid w:val="003E3B59"/>
    <w:rsid w:val="003E4111"/>
    <w:rsid w:val="003E44E5"/>
    <w:rsid w:val="003E47BF"/>
    <w:rsid w:val="003E4C04"/>
    <w:rsid w:val="003E4C08"/>
    <w:rsid w:val="003E4CD1"/>
    <w:rsid w:val="003E4DFA"/>
    <w:rsid w:val="003E5163"/>
    <w:rsid w:val="003E53FB"/>
    <w:rsid w:val="003E55A9"/>
    <w:rsid w:val="003E57EB"/>
    <w:rsid w:val="003E5A73"/>
    <w:rsid w:val="003E5D7F"/>
    <w:rsid w:val="003E5F23"/>
    <w:rsid w:val="003E64AD"/>
    <w:rsid w:val="003E64C3"/>
    <w:rsid w:val="003E6706"/>
    <w:rsid w:val="003E6F0B"/>
    <w:rsid w:val="003E6F83"/>
    <w:rsid w:val="003E7430"/>
    <w:rsid w:val="003E7483"/>
    <w:rsid w:val="003E7A72"/>
    <w:rsid w:val="003E7B93"/>
    <w:rsid w:val="003E7CBD"/>
    <w:rsid w:val="003F0603"/>
    <w:rsid w:val="003F073A"/>
    <w:rsid w:val="003F0B0D"/>
    <w:rsid w:val="003F0BD6"/>
    <w:rsid w:val="003F0F60"/>
    <w:rsid w:val="003F11B9"/>
    <w:rsid w:val="003F1886"/>
    <w:rsid w:val="003F1C74"/>
    <w:rsid w:val="003F1E94"/>
    <w:rsid w:val="003F22E7"/>
    <w:rsid w:val="003F2463"/>
    <w:rsid w:val="003F2468"/>
    <w:rsid w:val="003F2AE6"/>
    <w:rsid w:val="003F2B2A"/>
    <w:rsid w:val="003F2F43"/>
    <w:rsid w:val="003F305C"/>
    <w:rsid w:val="003F3108"/>
    <w:rsid w:val="003F3428"/>
    <w:rsid w:val="003F3587"/>
    <w:rsid w:val="003F3689"/>
    <w:rsid w:val="003F3A77"/>
    <w:rsid w:val="003F3D96"/>
    <w:rsid w:val="003F4178"/>
    <w:rsid w:val="003F4588"/>
    <w:rsid w:val="003F4778"/>
    <w:rsid w:val="003F493B"/>
    <w:rsid w:val="003F4B19"/>
    <w:rsid w:val="003F4B99"/>
    <w:rsid w:val="003F557F"/>
    <w:rsid w:val="003F5882"/>
    <w:rsid w:val="003F5CF7"/>
    <w:rsid w:val="003F5DFF"/>
    <w:rsid w:val="003F5EBE"/>
    <w:rsid w:val="003F640B"/>
    <w:rsid w:val="003F64FF"/>
    <w:rsid w:val="003F673D"/>
    <w:rsid w:val="003F688D"/>
    <w:rsid w:val="003F6DC0"/>
    <w:rsid w:val="003F6F3D"/>
    <w:rsid w:val="003F76AC"/>
    <w:rsid w:val="003F782F"/>
    <w:rsid w:val="003F7A29"/>
    <w:rsid w:val="003F7B00"/>
    <w:rsid w:val="003F7CB8"/>
    <w:rsid w:val="0040007B"/>
    <w:rsid w:val="00400719"/>
    <w:rsid w:val="00400921"/>
    <w:rsid w:val="00400F9A"/>
    <w:rsid w:val="00400FB9"/>
    <w:rsid w:val="00400FD7"/>
    <w:rsid w:val="00401848"/>
    <w:rsid w:val="004019D4"/>
    <w:rsid w:val="004019F5"/>
    <w:rsid w:val="00401A83"/>
    <w:rsid w:val="00401F0D"/>
    <w:rsid w:val="00402242"/>
    <w:rsid w:val="00402849"/>
    <w:rsid w:val="00402B47"/>
    <w:rsid w:val="00402B4A"/>
    <w:rsid w:val="00402C05"/>
    <w:rsid w:val="00402C35"/>
    <w:rsid w:val="00402FF8"/>
    <w:rsid w:val="00403036"/>
    <w:rsid w:val="00403204"/>
    <w:rsid w:val="004038F7"/>
    <w:rsid w:val="00403A03"/>
    <w:rsid w:val="00403C8A"/>
    <w:rsid w:val="0040421C"/>
    <w:rsid w:val="00404727"/>
    <w:rsid w:val="00404A33"/>
    <w:rsid w:val="00404E8E"/>
    <w:rsid w:val="004050BD"/>
    <w:rsid w:val="00405150"/>
    <w:rsid w:val="00405A1F"/>
    <w:rsid w:val="00405ACC"/>
    <w:rsid w:val="00405ACF"/>
    <w:rsid w:val="00405ADA"/>
    <w:rsid w:val="00405B04"/>
    <w:rsid w:val="00405F3E"/>
    <w:rsid w:val="004062BE"/>
    <w:rsid w:val="004064EE"/>
    <w:rsid w:val="00406EA6"/>
    <w:rsid w:val="004073D3"/>
    <w:rsid w:val="0040793B"/>
    <w:rsid w:val="004079B5"/>
    <w:rsid w:val="00407B2A"/>
    <w:rsid w:val="00407BA0"/>
    <w:rsid w:val="00407D92"/>
    <w:rsid w:val="00407FE6"/>
    <w:rsid w:val="0040DB3E"/>
    <w:rsid w:val="004102C1"/>
    <w:rsid w:val="00410406"/>
    <w:rsid w:val="00410470"/>
    <w:rsid w:val="0041057F"/>
    <w:rsid w:val="004109A5"/>
    <w:rsid w:val="00410A29"/>
    <w:rsid w:val="00410BD4"/>
    <w:rsid w:val="00411177"/>
    <w:rsid w:val="004111D5"/>
    <w:rsid w:val="004115E8"/>
    <w:rsid w:val="00411A3F"/>
    <w:rsid w:val="00411F07"/>
    <w:rsid w:val="0041233A"/>
    <w:rsid w:val="00412618"/>
    <w:rsid w:val="004126A4"/>
    <w:rsid w:val="00412852"/>
    <w:rsid w:val="004128AA"/>
    <w:rsid w:val="00412E31"/>
    <w:rsid w:val="0041308F"/>
    <w:rsid w:val="004131A9"/>
    <w:rsid w:val="0041341A"/>
    <w:rsid w:val="00413443"/>
    <w:rsid w:val="004135FF"/>
    <w:rsid w:val="0041373D"/>
    <w:rsid w:val="00413817"/>
    <w:rsid w:val="00413825"/>
    <w:rsid w:val="0041384F"/>
    <w:rsid w:val="00413D95"/>
    <w:rsid w:val="00413E1D"/>
    <w:rsid w:val="00413F53"/>
    <w:rsid w:val="00414069"/>
    <w:rsid w:val="0041481F"/>
    <w:rsid w:val="0041492E"/>
    <w:rsid w:val="00414B10"/>
    <w:rsid w:val="00414C27"/>
    <w:rsid w:val="00414D0D"/>
    <w:rsid w:val="004150C2"/>
    <w:rsid w:val="0041574C"/>
    <w:rsid w:val="00415A5F"/>
    <w:rsid w:val="00415BD0"/>
    <w:rsid w:val="00415D1C"/>
    <w:rsid w:val="00415EEF"/>
    <w:rsid w:val="004160F4"/>
    <w:rsid w:val="0041626D"/>
    <w:rsid w:val="004162D3"/>
    <w:rsid w:val="00416789"/>
    <w:rsid w:val="00416A59"/>
    <w:rsid w:val="00416C94"/>
    <w:rsid w:val="00416F0F"/>
    <w:rsid w:val="00417065"/>
    <w:rsid w:val="00417213"/>
    <w:rsid w:val="004174CD"/>
    <w:rsid w:val="004177C0"/>
    <w:rsid w:val="0041782B"/>
    <w:rsid w:val="0041789B"/>
    <w:rsid w:val="0041A643"/>
    <w:rsid w:val="00420106"/>
    <w:rsid w:val="004201D8"/>
    <w:rsid w:val="00420837"/>
    <w:rsid w:val="004209AE"/>
    <w:rsid w:val="00420A2B"/>
    <w:rsid w:val="00420B69"/>
    <w:rsid w:val="00420F76"/>
    <w:rsid w:val="00420F89"/>
    <w:rsid w:val="00421258"/>
    <w:rsid w:val="00421463"/>
    <w:rsid w:val="00421958"/>
    <w:rsid w:val="0042202D"/>
    <w:rsid w:val="0042239E"/>
    <w:rsid w:val="00422479"/>
    <w:rsid w:val="004226FE"/>
    <w:rsid w:val="0042280F"/>
    <w:rsid w:val="00422DD2"/>
    <w:rsid w:val="00422EF1"/>
    <w:rsid w:val="0042313C"/>
    <w:rsid w:val="00423EB8"/>
    <w:rsid w:val="00424004"/>
    <w:rsid w:val="00424609"/>
    <w:rsid w:val="00424679"/>
    <w:rsid w:val="00424AC0"/>
    <w:rsid w:val="00424B36"/>
    <w:rsid w:val="00424BB4"/>
    <w:rsid w:val="00424CCF"/>
    <w:rsid w:val="00425700"/>
    <w:rsid w:val="004257C0"/>
    <w:rsid w:val="00425BB8"/>
    <w:rsid w:val="00426118"/>
    <w:rsid w:val="004261DE"/>
    <w:rsid w:val="004261FF"/>
    <w:rsid w:val="00426232"/>
    <w:rsid w:val="0042655F"/>
    <w:rsid w:val="00426A00"/>
    <w:rsid w:val="00426B19"/>
    <w:rsid w:val="00426B39"/>
    <w:rsid w:val="00427014"/>
    <w:rsid w:val="0042744E"/>
    <w:rsid w:val="0042763B"/>
    <w:rsid w:val="00427942"/>
    <w:rsid w:val="00427B44"/>
    <w:rsid w:val="00427B45"/>
    <w:rsid w:val="00427CBD"/>
    <w:rsid w:val="00427DEA"/>
    <w:rsid w:val="00430244"/>
    <w:rsid w:val="00430412"/>
    <w:rsid w:val="00430913"/>
    <w:rsid w:val="00430D28"/>
    <w:rsid w:val="00430DF1"/>
    <w:rsid w:val="00430EF6"/>
    <w:rsid w:val="00431063"/>
    <w:rsid w:val="004310DA"/>
    <w:rsid w:val="00431440"/>
    <w:rsid w:val="00431639"/>
    <w:rsid w:val="00431973"/>
    <w:rsid w:val="00431DA3"/>
    <w:rsid w:val="00432023"/>
    <w:rsid w:val="0043222F"/>
    <w:rsid w:val="00432387"/>
    <w:rsid w:val="0043240A"/>
    <w:rsid w:val="00432892"/>
    <w:rsid w:val="0043290E"/>
    <w:rsid w:val="00432994"/>
    <w:rsid w:val="004329B5"/>
    <w:rsid w:val="00432B96"/>
    <w:rsid w:val="00433000"/>
    <w:rsid w:val="00433139"/>
    <w:rsid w:val="00433821"/>
    <w:rsid w:val="00433883"/>
    <w:rsid w:val="00433D1D"/>
    <w:rsid w:val="00433D20"/>
    <w:rsid w:val="00433FB2"/>
    <w:rsid w:val="00434057"/>
    <w:rsid w:val="004348D1"/>
    <w:rsid w:val="0043490A"/>
    <w:rsid w:val="00434FB7"/>
    <w:rsid w:val="00435073"/>
    <w:rsid w:val="00435160"/>
    <w:rsid w:val="00435545"/>
    <w:rsid w:val="0043558C"/>
    <w:rsid w:val="004355D7"/>
    <w:rsid w:val="00435A77"/>
    <w:rsid w:val="00435C41"/>
    <w:rsid w:val="00435FA7"/>
    <w:rsid w:val="004364F5"/>
    <w:rsid w:val="0043694A"/>
    <w:rsid w:val="00436AB2"/>
    <w:rsid w:val="00436F16"/>
    <w:rsid w:val="004372A6"/>
    <w:rsid w:val="0043737D"/>
    <w:rsid w:val="004375A3"/>
    <w:rsid w:val="00437800"/>
    <w:rsid w:val="00437F42"/>
    <w:rsid w:val="004401B5"/>
    <w:rsid w:val="0044029A"/>
    <w:rsid w:val="004406F6"/>
    <w:rsid w:val="004408B0"/>
    <w:rsid w:val="00440F18"/>
    <w:rsid w:val="00440FD0"/>
    <w:rsid w:val="00441113"/>
    <w:rsid w:val="004411E9"/>
    <w:rsid w:val="00441595"/>
    <w:rsid w:val="0044175E"/>
    <w:rsid w:val="00441AF8"/>
    <w:rsid w:val="00441D63"/>
    <w:rsid w:val="00442139"/>
    <w:rsid w:val="0044223A"/>
    <w:rsid w:val="004422D1"/>
    <w:rsid w:val="004423A7"/>
    <w:rsid w:val="0044264F"/>
    <w:rsid w:val="004427D2"/>
    <w:rsid w:val="00443127"/>
    <w:rsid w:val="0044320A"/>
    <w:rsid w:val="0044330B"/>
    <w:rsid w:val="0044342C"/>
    <w:rsid w:val="0044386B"/>
    <w:rsid w:val="00443877"/>
    <w:rsid w:val="00443A5E"/>
    <w:rsid w:val="00443BA1"/>
    <w:rsid w:val="00443C7E"/>
    <w:rsid w:val="00443EF9"/>
    <w:rsid w:val="00443FE0"/>
    <w:rsid w:val="004440DA"/>
    <w:rsid w:val="0044447C"/>
    <w:rsid w:val="004447AE"/>
    <w:rsid w:val="004447FE"/>
    <w:rsid w:val="00444901"/>
    <w:rsid w:val="00444A0F"/>
    <w:rsid w:val="00444A69"/>
    <w:rsid w:val="00444DF1"/>
    <w:rsid w:val="00444F24"/>
    <w:rsid w:val="00445190"/>
    <w:rsid w:val="00445278"/>
    <w:rsid w:val="0044534C"/>
    <w:rsid w:val="00445984"/>
    <w:rsid w:val="00445C3C"/>
    <w:rsid w:val="00445C9E"/>
    <w:rsid w:val="00446065"/>
    <w:rsid w:val="004461B8"/>
    <w:rsid w:val="00446214"/>
    <w:rsid w:val="0044669C"/>
    <w:rsid w:val="00446705"/>
    <w:rsid w:val="00446908"/>
    <w:rsid w:val="00446B50"/>
    <w:rsid w:val="00446BDA"/>
    <w:rsid w:val="00446BEA"/>
    <w:rsid w:val="00446BFE"/>
    <w:rsid w:val="00446F3D"/>
    <w:rsid w:val="004470F5"/>
    <w:rsid w:val="0044774A"/>
    <w:rsid w:val="00447B6D"/>
    <w:rsid w:val="00447D92"/>
    <w:rsid w:val="00447DC0"/>
    <w:rsid w:val="00447F92"/>
    <w:rsid w:val="00447FF1"/>
    <w:rsid w:val="004500C3"/>
    <w:rsid w:val="0045014A"/>
    <w:rsid w:val="004501D5"/>
    <w:rsid w:val="004503B7"/>
    <w:rsid w:val="004503CB"/>
    <w:rsid w:val="00450AC5"/>
    <w:rsid w:val="00450F05"/>
    <w:rsid w:val="00450FD7"/>
    <w:rsid w:val="004513EA"/>
    <w:rsid w:val="0045144B"/>
    <w:rsid w:val="00451520"/>
    <w:rsid w:val="00451658"/>
    <w:rsid w:val="004518D3"/>
    <w:rsid w:val="00451B4E"/>
    <w:rsid w:val="00451CB4"/>
    <w:rsid w:val="00452151"/>
    <w:rsid w:val="00452228"/>
    <w:rsid w:val="0045226C"/>
    <w:rsid w:val="004526A0"/>
    <w:rsid w:val="0045294B"/>
    <w:rsid w:val="00452C25"/>
    <w:rsid w:val="004532C4"/>
    <w:rsid w:val="00453572"/>
    <w:rsid w:val="004539DC"/>
    <w:rsid w:val="00453ADD"/>
    <w:rsid w:val="00453CA0"/>
    <w:rsid w:val="00453D91"/>
    <w:rsid w:val="00453ECF"/>
    <w:rsid w:val="00453F0C"/>
    <w:rsid w:val="00453F36"/>
    <w:rsid w:val="00454181"/>
    <w:rsid w:val="004542AB"/>
    <w:rsid w:val="004543BF"/>
    <w:rsid w:val="00454620"/>
    <w:rsid w:val="004547BD"/>
    <w:rsid w:val="00454AA0"/>
    <w:rsid w:val="00454AF0"/>
    <w:rsid w:val="00454BC1"/>
    <w:rsid w:val="00454CB8"/>
    <w:rsid w:val="00454EE9"/>
    <w:rsid w:val="00454F63"/>
    <w:rsid w:val="004554A8"/>
    <w:rsid w:val="00455623"/>
    <w:rsid w:val="00455BD1"/>
    <w:rsid w:val="00455C7B"/>
    <w:rsid w:val="00455CE2"/>
    <w:rsid w:val="00456039"/>
    <w:rsid w:val="004561FD"/>
    <w:rsid w:val="00456417"/>
    <w:rsid w:val="00456486"/>
    <w:rsid w:val="0045648E"/>
    <w:rsid w:val="0045686F"/>
    <w:rsid w:val="00456AFF"/>
    <w:rsid w:val="00456C43"/>
    <w:rsid w:val="00456FF1"/>
    <w:rsid w:val="00457020"/>
    <w:rsid w:val="00457152"/>
    <w:rsid w:val="00457395"/>
    <w:rsid w:val="0045769D"/>
    <w:rsid w:val="004576AC"/>
    <w:rsid w:val="00457E30"/>
    <w:rsid w:val="00460027"/>
    <w:rsid w:val="004600A3"/>
    <w:rsid w:val="004603D2"/>
    <w:rsid w:val="004605D2"/>
    <w:rsid w:val="00460641"/>
    <w:rsid w:val="00460799"/>
    <w:rsid w:val="00460860"/>
    <w:rsid w:val="00460A99"/>
    <w:rsid w:val="00460C54"/>
    <w:rsid w:val="00460E6A"/>
    <w:rsid w:val="00461100"/>
    <w:rsid w:val="004613C3"/>
    <w:rsid w:val="00461A26"/>
    <w:rsid w:val="00461A4E"/>
    <w:rsid w:val="00461C00"/>
    <w:rsid w:val="00461CB8"/>
    <w:rsid w:val="00462065"/>
    <w:rsid w:val="004620C1"/>
    <w:rsid w:val="004628B1"/>
    <w:rsid w:val="00462BC5"/>
    <w:rsid w:val="00462D45"/>
    <w:rsid w:val="004631D0"/>
    <w:rsid w:val="004635D5"/>
    <w:rsid w:val="0046362C"/>
    <w:rsid w:val="00463787"/>
    <w:rsid w:val="00463863"/>
    <w:rsid w:val="00463A77"/>
    <w:rsid w:val="00463A9B"/>
    <w:rsid w:val="00463EDC"/>
    <w:rsid w:val="00463FD0"/>
    <w:rsid w:val="004642F3"/>
    <w:rsid w:val="00464D81"/>
    <w:rsid w:val="00464F0B"/>
    <w:rsid w:val="0046530C"/>
    <w:rsid w:val="0046558E"/>
    <w:rsid w:val="004657E5"/>
    <w:rsid w:val="00465A25"/>
    <w:rsid w:val="00465EB8"/>
    <w:rsid w:val="00466B1C"/>
    <w:rsid w:val="00467446"/>
    <w:rsid w:val="004675AF"/>
    <w:rsid w:val="00467997"/>
    <w:rsid w:val="004679A5"/>
    <w:rsid w:val="00467B8C"/>
    <w:rsid w:val="00467C8C"/>
    <w:rsid w:val="00467D37"/>
    <w:rsid w:val="004703A3"/>
    <w:rsid w:val="004704F4"/>
    <w:rsid w:val="004708AD"/>
    <w:rsid w:val="00470AA0"/>
    <w:rsid w:val="00470C64"/>
    <w:rsid w:val="00470D70"/>
    <w:rsid w:val="00470DCB"/>
    <w:rsid w:val="00470FBF"/>
    <w:rsid w:val="00471325"/>
    <w:rsid w:val="00471474"/>
    <w:rsid w:val="004714A6"/>
    <w:rsid w:val="004716F6"/>
    <w:rsid w:val="00471864"/>
    <w:rsid w:val="00471BB8"/>
    <w:rsid w:val="0047207C"/>
    <w:rsid w:val="00472468"/>
    <w:rsid w:val="00472579"/>
    <w:rsid w:val="00472714"/>
    <w:rsid w:val="004728F8"/>
    <w:rsid w:val="00472FE3"/>
    <w:rsid w:val="00473184"/>
    <w:rsid w:val="004733CE"/>
    <w:rsid w:val="00473557"/>
    <w:rsid w:val="004739D1"/>
    <w:rsid w:val="00473AE8"/>
    <w:rsid w:val="00473F56"/>
    <w:rsid w:val="00474661"/>
    <w:rsid w:val="00474CCA"/>
    <w:rsid w:val="00474D5A"/>
    <w:rsid w:val="00474F1B"/>
    <w:rsid w:val="00474FF9"/>
    <w:rsid w:val="004752E9"/>
    <w:rsid w:val="0047531D"/>
    <w:rsid w:val="00475375"/>
    <w:rsid w:val="0047624C"/>
    <w:rsid w:val="004764A4"/>
    <w:rsid w:val="004764BF"/>
    <w:rsid w:val="00476504"/>
    <w:rsid w:val="004767D8"/>
    <w:rsid w:val="00476CC5"/>
    <w:rsid w:val="00476CED"/>
    <w:rsid w:val="00476E01"/>
    <w:rsid w:val="004770B4"/>
    <w:rsid w:val="004771BE"/>
    <w:rsid w:val="00477A24"/>
    <w:rsid w:val="00477A7E"/>
    <w:rsid w:val="00477D43"/>
    <w:rsid w:val="004802CA"/>
    <w:rsid w:val="00480498"/>
    <w:rsid w:val="00480574"/>
    <w:rsid w:val="004808CF"/>
    <w:rsid w:val="00480DA0"/>
    <w:rsid w:val="0048119A"/>
    <w:rsid w:val="00481231"/>
    <w:rsid w:val="00481512"/>
    <w:rsid w:val="00481AF3"/>
    <w:rsid w:val="00481EE0"/>
    <w:rsid w:val="00482004"/>
    <w:rsid w:val="0048208B"/>
    <w:rsid w:val="00482135"/>
    <w:rsid w:val="004828F1"/>
    <w:rsid w:val="00482990"/>
    <w:rsid w:val="00482BA3"/>
    <w:rsid w:val="00482E88"/>
    <w:rsid w:val="00482EC7"/>
    <w:rsid w:val="00482FE1"/>
    <w:rsid w:val="0048301F"/>
    <w:rsid w:val="004833D9"/>
    <w:rsid w:val="00483861"/>
    <w:rsid w:val="00483BC9"/>
    <w:rsid w:val="00483C5E"/>
    <w:rsid w:val="00483C71"/>
    <w:rsid w:val="00483E51"/>
    <w:rsid w:val="00483F04"/>
    <w:rsid w:val="00483FB6"/>
    <w:rsid w:val="00484035"/>
    <w:rsid w:val="004843A8"/>
    <w:rsid w:val="00484484"/>
    <w:rsid w:val="00484578"/>
    <w:rsid w:val="004847F0"/>
    <w:rsid w:val="004851B9"/>
    <w:rsid w:val="00485270"/>
    <w:rsid w:val="0048528D"/>
    <w:rsid w:val="004854B5"/>
    <w:rsid w:val="004857C9"/>
    <w:rsid w:val="00485926"/>
    <w:rsid w:val="00485BF4"/>
    <w:rsid w:val="00485C22"/>
    <w:rsid w:val="00485D02"/>
    <w:rsid w:val="00485EEB"/>
    <w:rsid w:val="0048609A"/>
    <w:rsid w:val="004861E7"/>
    <w:rsid w:val="0048629E"/>
    <w:rsid w:val="004862D6"/>
    <w:rsid w:val="00486300"/>
    <w:rsid w:val="00486A79"/>
    <w:rsid w:val="00486DEA"/>
    <w:rsid w:val="00487282"/>
    <w:rsid w:val="0048741F"/>
    <w:rsid w:val="004876F2"/>
    <w:rsid w:val="00487900"/>
    <w:rsid w:val="00487C3D"/>
    <w:rsid w:val="00487E8A"/>
    <w:rsid w:val="0049003D"/>
    <w:rsid w:val="00490413"/>
    <w:rsid w:val="004904F9"/>
    <w:rsid w:val="004907E1"/>
    <w:rsid w:val="004908CA"/>
    <w:rsid w:val="004909AA"/>
    <w:rsid w:val="00490C7F"/>
    <w:rsid w:val="004910A7"/>
    <w:rsid w:val="00491201"/>
    <w:rsid w:val="004913AC"/>
    <w:rsid w:val="0049141D"/>
    <w:rsid w:val="004915C9"/>
    <w:rsid w:val="00491840"/>
    <w:rsid w:val="00491A2C"/>
    <w:rsid w:val="00491B20"/>
    <w:rsid w:val="0049206D"/>
    <w:rsid w:val="00492551"/>
    <w:rsid w:val="00492633"/>
    <w:rsid w:val="00492733"/>
    <w:rsid w:val="00492D57"/>
    <w:rsid w:val="00493456"/>
    <w:rsid w:val="00493750"/>
    <w:rsid w:val="0049380C"/>
    <w:rsid w:val="004939F0"/>
    <w:rsid w:val="00493AEE"/>
    <w:rsid w:val="0049429C"/>
    <w:rsid w:val="0049436F"/>
    <w:rsid w:val="00494F25"/>
    <w:rsid w:val="00495596"/>
    <w:rsid w:val="0049568E"/>
    <w:rsid w:val="00495E86"/>
    <w:rsid w:val="0049616C"/>
    <w:rsid w:val="00496266"/>
    <w:rsid w:val="004962D1"/>
    <w:rsid w:val="00496530"/>
    <w:rsid w:val="0049654E"/>
    <w:rsid w:val="00496724"/>
    <w:rsid w:val="004967F2"/>
    <w:rsid w:val="00496A6D"/>
    <w:rsid w:val="00496C07"/>
    <w:rsid w:val="0049754E"/>
    <w:rsid w:val="00497CF8"/>
    <w:rsid w:val="004A045B"/>
    <w:rsid w:val="004A04F7"/>
    <w:rsid w:val="004A0505"/>
    <w:rsid w:val="004A065B"/>
    <w:rsid w:val="004A0786"/>
    <w:rsid w:val="004A07B9"/>
    <w:rsid w:val="004A07F9"/>
    <w:rsid w:val="004A09ED"/>
    <w:rsid w:val="004A0A81"/>
    <w:rsid w:val="004A1171"/>
    <w:rsid w:val="004A11BC"/>
    <w:rsid w:val="004A155B"/>
    <w:rsid w:val="004A17A0"/>
    <w:rsid w:val="004A19CD"/>
    <w:rsid w:val="004A1B77"/>
    <w:rsid w:val="004A1C93"/>
    <w:rsid w:val="004A1E61"/>
    <w:rsid w:val="004A1F0D"/>
    <w:rsid w:val="004A2222"/>
    <w:rsid w:val="004A23FF"/>
    <w:rsid w:val="004A2414"/>
    <w:rsid w:val="004A2633"/>
    <w:rsid w:val="004A28BE"/>
    <w:rsid w:val="004A2BDD"/>
    <w:rsid w:val="004A2FFB"/>
    <w:rsid w:val="004A33B2"/>
    <w:rsid w:val="004A3439"/>
    <w:rsid w:val="004A38D6"/>
    <w:rsid w:val="004A4329"/>
    <w:rsid w:val="004A44AA"/>
    <w:rsid w:val="004A44DB"/>
    <w:rsid w:val="004A4510"/>
    <w:rsid w:val="004A4A16"/>
    <w:rsid w:val="004A4A5C"/>
    <w:rsid w:val="004A4A6D"/>
    <w:rsid w:val="004A4D6F"/>
    <w:rsid w:val="004A4D76"/>
    <w:rsid w:val="004A4DD8"/>
    <w:rsid w:val="004A5632"/>
    <w:rsid w:val="004A57C9"/>
    <w:rsid w:val="004A593B"/>
    <w:rsid w:val="004A5BE6"/>
    <w:rsid w:val="004A62E5"/>
    <w:rsid w:val="004A6344"/>
    <w:rsid w:val="004A64EA"/>
    <w:rsid w:val="004A66ED"/>
    <w:rsid w:val="004A672C"/>
    <w:rsid w:val="004A6945"/>
    <w:rsid w:val="004A698B"/>
    <w:rsid w:val="004A6EE7"/>
    <w:rsid w:val="004A7195"/>
    <w:rsid w:val="004A7680"/>
    <w:rsid w:val="004A76EC"/>
    <w:rsid w:val="004A79EE"/>
    <w:rsid w:val="004B0561"/>
    <w:rsid w:val="004B05F9"/>
    <w:rsid w:val="004B0864"/>
    <w:rsid w:val="004B08AA"/>
    <w:rsid w:val="004B0C35"/>
    <w:rsid w:val="004B0D02"/>
    <w:rsid w:val="004B0D60"/>
    <w:rsid w:val="004B0D8B"/>
    <w:rsid w:val="004B0E30"/>
    <w:rsid w:val="004B10B2"/>
    <w:rsid w:val="004B10CB"/>
    <w:rsid w:val="004B1323"/>
    <w:rsid w:val="004B1DF1"/>
    <w:rsid w:val="004B1E5E"/>
    <w:rsid w:val="004B221F"/>
    <w:rsid w:val="004B28E6"/>
    <w:rsid w:val="004B29D0"/>
    <w:rsid w:val="004B2B17"/>
    <w:rsid w:val="004B3075"/>
    <w:rsid w:val="004B31B3"/>
    <w:rsid w:val="004B32EB"/>
    <w:rsid w:val="004B3BAE"/>
    <w:rsid w:val="004B3E32"/>
    <w:rsid w:val="004B401B"/>
    <w:rsid w:val="004B424D"/>
    <w:rsid w:val="004B4361"/>
    <w:rsid w:val="004B437E"/>
    <w:rsid w:val="004B43BD"/>
    <w:rsid w:val="004B44ED"/>
    <w:rsid w:val="004B49DD"/>
    <w:rsid w:val="004B4D34"/>
    <w:rsid w:val="004B528A"/>
    <w:rsid w:val="004B541F"/>
    <w:rsid w:val="004B5718"/>
    <w:rsid w:val="004B5AE1"/>
    <w:rsid w:val="004B5E38"/>
    <w:rsid w:val="004B5FCC"/>
    <w:rsid w:val="004B627A"/>
    <w:rsid w:val="004B6305"/>
    <w:rsid w:val="004B6AA8"/>
    <w:rsid w:val="004B6C81"/>
    <w:rsid w:val="004B6E7A"/>
    <w:rsid w:val="004B70D9"/>
    <w:rsid w:val="004B723C"/>
    <w:rsid w:val="004B7436"/>
    <w:rsid w:val="004B7765"/>
    <w:rsid w:val="004B7D87"/>
    <w:rsid w:val="004C01EB"/>
    <w:rsid w:val="004C0302"/>
    <w:rsid w:val="004C06DF"/>
    <w:rsid w:val="004C0702"/>
    <w:rsid w:val="004C0A3B"/>
    <w:rsid w:val="004C0A6C"/>
    <w:rsid w:val="004C0DB2"/>
    <w:rsid w:val="004C0EA2"/>
    <w:rsid w:val="004C0F2D"/>
    <w:rsid w:val="004C1254"/>
    <w:rsid w:val="004C1B55"/>
    <w:rsid w:val="004C20E1"/>
    <w:rsid w:val="004C24DC"/>
    <w:rsid w:val="004C2910"/>
    <w:rsid w:val="004C299C"/>
    <w:rsid w:val="004C2A7A"/>
    <w:rsid w:val="004C2B80"/>
    <w:rsid w:val="004C2CAF"/>
    <w:rsid w:val="004C2EC7"/>
    <w:rsid w:val="004C2F12"/>
    <w:rsid w:val="004C2F62"/>
    <w:rsid w:val="004C3108"/>
    <w:rsid w:val="004C33A4"/>
    <w:rsid w:val="004C33D5"/>
    <w:rsid w:val="004C349C"/>
    <w:rsid w:val="004C3855"/>
    <w:rsid w:val="004C438F"/>
    <w:rsid w:val="004C443B"/>
    <w:rsid w:val="004C4718"/>
    <w:rsid w:val="004C472D"/>
    <w:rsid w:val="004C4C11"/>
    <w:rsid w:val="004C4CA0"/>
    <w:rsid w:val="004C52FB"/>
    <w:rsid w:val="004C54F4"/>
    <w:rsid w:val="004C551F"/>
    <w:rsid w:val="004C57C9"/>
    <w:rsid w:val="004C58C4"/>
    <w:rsid w:val="004C5972"/>
    <w:rsid w:val="004C5CA4"/>
    <w:rsid w:val="004C5F2A"/>
    <w:rsid w:val="004C5FEF"/>
    <w:rsid w:val="004C617C"/>
    <w:rsid w:val="004C6278"/>
    <w:rsid w:val="004C634F"/>
    <w:rsid w:val="004C6638"/>
    <w:rsid w:val="004C6C90"/>
    <w:rsid w:val="004C6E82"/>
    <w:rsid w:val="004C6E88"/>
    <w:rsid w:val="004C6F81"/>
    <w:rsid w:val="004C74AE"/>
    <w:rsid w:val="004C76E9"/>
    <w:rsid w:val="004C77B4"/>
    <w:rsid w:val="004C7B9E"/>
    <w:rsid w:val="004C7DD1"/>
    <w:rsid w:val="004D033B"/>
    <w:rsid w:val="004D0432"/>
    <w:rsid w:val="004D04BB"/>
    <w:rsid w:val="004D0C4C"/>
    <w:rsid w:val="004D0C6C"/>
    <w:rsid w:val="004D0CD9"/>
    <w:rsid w:val="004D0CFF"/>
    <w:rsid w:val="004D0E9C"/>
    <w:rsid w:val="004D111C"/>
    <w:rsid w:val="004D15CC"/>
    <w:rsid w:val="004D19DE"/>
    <w:rsid w:val="004D1A58"/>
    <w:rsid w:val="004D2090"/>
    <w:rsid w:val="004D221C"/>
    <w:rsid w:val="004D2393"/>
    <w:rsid w:val="004D2414"/>
    <w:rsid w:val="004D27CE"/>
    <w:rsid w:val="004D2A75"/>
    <w:rsid w:val="004D2BB8"/>
    <w:rsid w:val="004D2C47"/>
    <w:rsid w:val="004D334D"/>
    <w:rsid w:val="004D3455"/>
    <w:rsid w:val="004D35BD"/>
    <w:rsid w:val="004D396D"/>
    <w:rsid w:val="004D39F0"/>
    <w:rsid w:val="004D3AD3"/>
    <w:rsid w:val="004D3ED5"/>
    <w:rsid w:val="004D4490"/>
    <w:rsid w:val="004D4731"/>
    <w:rsid w:val="004D477C"/>
    <w:rsid w:val="004D4923"/>
    <w:rsid w:val="004D4CC5"/>
    <w:rsid w:val="004D4D47"/>
    <w:rsid w:val="004D4FC2"/>
    <w:rsid w:val="004D51FE"/>
    <w:rsid w:val="004D580E"/>
    <w:rsid w:val="004D5851"/>
    <w:rsid w:val="004D5B7D"/>
    <w:rsid w:val="004D5EBA"/>
    <w:rsid w:val="004D5F1D"/>
    <w:rsid w:val="004D6444"/>
    <w:rsid w:val="004D64D5"/>
    <w:rsid w:val="004D6537"/>
    <w:rsid w:val="004D687C"/>
    <w:rsid w:val="004D68A7"/>
    <w:rsid w:val="004D6C8B"/>
    <w:rsid w:val="004D6CEF"/>
    <w:rsid w:val="004D6DC9"/>
    <w:rsid w:val="004D6EE8"/>
    <w:rsid w:val="004D6F5B"/>
    <w:rsid w:val="004D70C7"/>
    <w:rsid w:val="004D71C5"/>
    <w:rsid w:val="004D77D0"/>
    <w:rsid w:val="004D7ACD"/>
    <w:rsid w:val="004D7BB3"/>
    <w:rsid w:val="004D7CBC"/>
    <w:rsid w:val="004D7F48"/>
    <w:rsid w:val="004E03EF"/>
    <w:rsid w:val="004E055B"/>
    <w:rsid w:val="004E06F7"/>
    <w:rsid w:val="004E071E"/>
    <w:rsid w:val="004E084A"/>
    <w:rsid w:val="004E0916"/>
    <w:rsid w:val="004E0C77"/>
    <w:rsid w:val="004E0E1E"/>
    <w:rsid w:val="004E1698"/>
    <w:rsid w:val="004E1B46"/>
    <w:rsid w:val="004E1B4D"/>
    <w:rsid w:val="004E1DA1"/>
    <w:rsid w:val="004E2247"/>
    <w:rsid w:val="004E2497"/>
    <w:rsid w:val="004E2765"/>
    <w:rsid w:val="004E2779"/>
    <w:rsid w:val="004E2D9A"/>
    <w:rsid w:val="004E321B"/>
    <w:rsid w:val="004E326A"/>
    <w:rsid w:val="004E3276"/>
    <w:rsid w:val="004E32BD"/>
    <w:rsid w:val="004E32D2"/>
    <w:rsid w:val="004E340B"/>
    <w:rsid w:val="004E34E0"/>
    <w:rsid w:val="004E3A66"/>
    <w:rsid w:val="004E3B27"/>
    <w:rsid w:val="004E3FE0"/>
    <w:rsid w:val="004E4C3B"/>
    <w:rsid w:val="004E4D94"/>
    <w:rsid w:val="004E5355"/>
    <w:rsid w:val="004E59D4"/>
    <w:rsid w:val="004E5DF7"/>
    <w:rsid w:val="004E6169"/>
    <w:rsid w:val="004E65BA"/>
    <w:rsid w:val="004E6C23"/>
    <w:rsid w:val="004E71A3"/>
    <w:rsid w:val="004E7582"/>
    <w:rsid w:val="004E7AB5"/>
    <w:rsid w:val="004E7C35"/>
    <w:rsid w:val="004E7F0D"/>
    <w:rsid w:val="004E7F80"/>
    <w:rsid w:val="004E7F81"/>
    <w:rsid w:val="004F0227"/>
    <w:rsid w:val="004F02C6"/>
    <w:rsid w:val="004F03F7"/>
    <w:rsid w:val="004F0440"/>
    <w:rsid w:val="004F0842"/>
    <w:rsid w:val="004F0C03"/>
    <w:rsid w:val="004F0F9F"/>
    <w:rsid w:val="004F0FA7"/>
    <w:rsid w:val="004F107A"/>
    <w:rsid w:val="004F1472"/>
    <w:rsid w:val="004F14E6"/>
    <w:rsid w:val="004F1D67"/>
    <w:rsid w:val="004F200F"/>
    <w:rsid w:val="004F24AA"/>
    <w:rsid w:val="004F2642"/>
    <w:rsid w:val="004F2927"/>
    <w:rsid w:val="004F2E8F"/>
    <w:rsid w:val="004F317F"/>
    <w:rsid w:val="004F339F"/>
    <w:rsid w:val="004F38D1"/>
    <w:rsid w:val="004F3D11"/>
    <w:rsid w:val="004F41C5"/>
    <w:rsid w:val="004F467B"/>
    <w:rsid w:val="004F4776"/>
    <w:rsid w:val="004F4B33"/>
    <w:rsid w:val="004F4D53"/>
    <w:rsid w:val="004F4F9B"/>
    <w:rsid w:val="004F5139"/>
    <w:rsid w:val="004F519E"/>
    <w:rsid w:val="004F52B7"/>
    <w:rsid w:val="004F5536"/>
    <w:rsid w:val="004F5AE5"/>
    <w:rsid w:val="004F655C"/>
    <w:rsid w:val="004F658E"/>
    <w:rsid w:val="004F6639"/>
    <w:rsid w:val="004F6801"/>
    <w:rsid w:val="004F69DF"/>
    <w:rsid w:val="004F6D8E"/>
    <w:rsid w:val="004F6E78"/>
    <w:rsid w:val="004F73CF"/>
    <w:rsid w:val="004F7754"/>
    <w:rsid w:val="004F7757"/>
    <w:rsid w:val="004F7860"/>
    <w:rsid w:val="004F7BE7"/>
    <w:rsid w:val="004F7CE3"/>
    <w:rsid w:val="004F7D9A"/>
    <w:rsid w:val="004F7EE7"/>
    <w:rsid w:val="004F7F9E"/>
    <w:rsid w:val="00500037"/>
    <w:rsid w:val="00500063"/>
    <w:rsid w:val="00500215"/>
    <w:rsid w:val="005009C4"/>
    <w:rsid w:val="005009FC"/>
    <w:rsid w:val="00500B99"/>
    <w:rsid w:val="00500C0D"/>
    <w:rsid w:val="00500DA8"/>
    <w:rsid w:val="00500DAD"/>
    <w:rsid w:val="00500E82"/>
    <w:rsid w:val="00500F45"/>
    <w:rsid w:val="0050109E"/>
    <w:rsid w:val="00501154"/>
    <w:rsid w:val="0050115F"/>
    <w:rsid w:val="005014AA"/>
    <w:rsid w:val="0050150C"/>
    <w:rsid w:val="005015CF"/>
    <w:rsid w:val="00501AE0"/>
    <w:rsid w:val="00501B84"/>
    <w:rsid w:val="00501BE6"/>
    <w:rsid w:val="00501CCD"/>
    <w:rsid w:val="0050235C"/>
    <w:rsid w:val="00502484"/>
    <w:rsid w:val="00502659"/>
    <w:rsid w:val="00502A4F"/>
    <w:rsid w:val="00502C86"/>
    <w:rsid w:val="00502CCE"/>
    <w:rsid w:val="00503211"/>
    <w:rsid w:val="00503273"/>
    <w:rsid w:val="00503289"/>
    <w:rsid w:val="00503553"/>
    <w:rsid w:val="00503649"/>
    <w:rsid w:val="00503D84"/>
    <w:rsid w:val="00504181"/>
    <w:rsid w:val="005042AD"/>
    <w:rsid w:val="005047BB"/>
    <w:rsid w:val="00504993"/>
    <w:rsid w:val="005049CE"/>
    <w:rsid w:val="00504BA1"/>
    <w:rsid w:val="00504C3F"/>
    <w:rsid w:val="00504D76"/>
    <w:rsid w:val="00504E40"/>
    <w:rsid w:val="00504E9C"/>
    <w:rsid w:val="00505249"/>
    <w:rsid w:val="00505457"/>
    <w:rsid w:val="005054D6"/>
    <w:rsid w:val="00505525"/>
    <w:rsid w:val="005057A0"/>
    <w:rsid w:val="00505A2C"/>
    <w:rsid w:val="00505A83"/>
    <w:rsid w:val="00505F31"/>
    <w:rsid w:val="0050609B"/>
    <w:rsid w:val="005061C6"/>
    <w:rsid w:val="005067C3"/>
    <w:rsid w:val="005068F4"/>
    <w:rsid w:val="00506977"/>
    <w:rsid w:val="00506BEC"/>
    <w:rsid w:val="00506C75"/>
    <w:rsid w:val="00506D26"/>
    <w:rsid w:val="00507105"/>
    <w:rsid w:val="00507412"/>
    <w:rsid w:val="005077C7"/>
    <w:rsid w:val="00507829"/>
    <w:rsid w:val="0050785D"/>
    <w:rsid w:val="00507B43"/>
    <w:rsid w:val="00507D49"/>
    <w:rsid w:val="00507D58"/>
    <w:rsid w:val="0051041E"/>
    <w:rsid w:val="00510609"/>
    <w:rsid w:val="00510650"/>
    <w:rsid w:val="005107F5"/>
    <w:rsid w:val="00510B7E"/>
    <w:rsid w:val="00510EA5"/>
    <w:rsid w:val="00510FD5"/>
    <w:rsid w:val="00511134"/>
    <w:rsid w:val="005111BC"/>
    <w:rsid w:val="005114B3"/>
    <w:rsid w:val="005115B4"/>
    <w:rsid w:val="005115CF"/>
    <w:rsid w:val="005119B7"/>
    <w:rsid w:val="00511ACC"/>
    <w:rsid w:val="00511BBC"/>
    <w:rsid w:val="00511D59"/>
    <w:rsid w:val="00512035"/>
    <w:rsid w:val="005138EE"/>
    <w:rsid w:val="005139AF"/>
    <w:rsid w:val="00513B7B"/>
    <w:rsid w:val="00513E08"/>
    <w:rsid w:val="00513ECA"/>
    <w:rsid w:val="00513F00"/>
    <w:rsid w:val="00513F5A"/>
    <w:rsid w:val="00514315"/>
    <w:rsid w:val="005144E0"/>
    <w:rsid w:val="00514654"/>
    <w:rsid w:val="00514871"/>
    <w:rsid w:val="00514888"/>
    <w:rsid w:val="00514980"/>
    <w:rsid w:val="00515115"/>
    <w:rsid w:val="00515150"/>
    <w:rsid w:val="005159DF"/>
    <w:rsid w:val="00515C8B"/>
    <w:rsid w:val="00515EE6"/>
    <w:rsid w:val="00516B99"/>
    <w:rsid w:val="00516E69"/>
    <w:rsid w:val="00517067"/>
    <w:rsid w:val="0051714C"/>
    <w:rsid w:val="0051772A"/>
    <w:rsid w:val="0051774C"/>
    <w:rsid w:val="005177FF"/>
    <w:rsid w:val="00517A6A"/>
    <w:rsid w:val="00517B9B"/>
    <w:rsid w:val="00517E44"/>
    <w:rsid w:val="00520490"/>
    <w:rsid w:val="00520604"/>
    <w:rsid w:val="0052066C"/>
    <w:rsid w:val="005207F9"/>
    <w:rsid w:val="00520BB8"/>
    <w:rsid w:val="00520BDE"/>
    <w:rsid w:val="00520C98"/>
    <w:rsid w:val="00521157"/>
    <w:rsid w:val="005211F2"/>
    <w:rsid w:val="005214F7"/>
    <w:rsid w:val="005215D1"/>
    <w:rsid w:val="00521695"/>
    <w:rsid w:val="005219A5"/>
    <w:rsid w:val="005219E3"/>
    <w:rsid w:val="00521A3D"/>
    <w:rsid w:val="00521B00"/>
    <w:rsid w:val="00521D51"/>
    <w:rsid w:val="00521E22"/>
    <w:rsid w:val="00521E2C"/>
    <w:rsid w:val="0052206C"/>
    <w:rsid w:val="0052229B"/>
    <w:rsid w:val="005224DE"/>
    <w:rsid w:val="00522A4F"/>
    <w:rsid w:val="00522AE8"/>
    <w:rsid w:val="00522C5F"/>
    <w:rsid w:val="00522D78"/>
    <w:rsid w:val="00523182"/>
    <w:rsid w:val="00523674"/>
    <w:rsid w:val="00523800"/>
    <w:rsid w:val="00523859"/>
    <w:rsid w:val="005239EB"/>
    <w:rsid w:val="00523AA6"/>
    <w:rsid w:val="00523C09"/>
    <w:rsid w:val="00523F38"/>
    <w:rsid w:val="00523FC4"/>
    <w:rsid w:val="005244B9"/>
    <w:rsid w:val="00524843"/>
    <w:rsid w:val="005253DE"/>
    <w:rsid w:val="00525968"/>
    <w:rsid w:val="00525D1D"/>
    <w:rsid w:val="00525D89"/>
    <w:rsid w:val="00525F5A"/>
    <w:rsid w:val="00525FF7"/>
    <w:rsid w:val="00526151"/>
    <w:rsid w:val="005267DA"/>
    <w:rsid w:val="005269FB"/>
    <w:rsid w:val="00526CD2"/>
    <w:rsid w:val="00526D81"/>
    <w:rsid w:val="00526DE7"/>
    <w:rsid w:val="005270D2"/>
    <w:rsid w:val="005271D5"/>
    <w:rsid w:val="0052753A"/>
    <w:rsid w:val="00527777"/>
    <w:rsid w:val="00527844"/>
    <w:rsid w:val="00527B6B"/>
    <w:rsid w:val="00527B72"/>
    <w:rsid w:val="00527BD2"/>
    <w:rsid w:val="00527F43"/>
    <w:rsid w:val="005305B9"/>
    <w:rsid w:val="005307C6"/>
    <w:rsid w:val="00530A78"/>
    <w:rsid w:val="00530C45"/>
    <w:rsid w:val="00530E81"/>
    <w:rsid w:val="00530F2B"/>
    <w:rsid w:val="00531008"/>
    <w:rsid w:val="005310FA"/>
    <w:rsid w:val="0053120A"/>
    <w:rsid w:val="0053161D"/>
    <w:rsid w:val="00531768"/>
    <w:rsid w:val="00531A68"/>
    <w:rsid w:val="00531BDA"/>
    <w:rsid w:val="00531C9B"/>
    <w:rsid w:val="00531DA0"/>
    <w:rsid w:val="0053253F"/>
    <w:rsid w:val="0053266D"/>
    <w:rsid w:val="00532863"/>
    <w:rsid w:val="005328A4"/>
    <w:rsid w:val="00532BDE"/>
    <w:rsid w:val="00532C85"/>
    <w:rsid w:val="00532F6F"/>
    <w:rsid w:val="00533049"/>
    <w:rsid w:val="005333E9"/>
    <w:rsid w:val="00533C73"/>
    <w:rsid w:val="00534317"/>
    <w:rsid w:val="00534364"/>
    <w:rsid w:val="005344C1"/>
    <w:rsid w:val="005345F9"/>
    <w:rsid w:val="00534683"/>
    <w:rsid w:val="005346C8"/>
    <w:rsid w:val="0053475C"/>
    <w:rsid w:val="00534F03"/>
    <w:rsid w:val="00535029"/>
    <w:rsid w:val="0053504C"/>
    <w:rsid w:val="00535235"/>
    <w:rsid w:val="00535543"/>
    <w:rsid w:val="005355A2"/>
    <w:rsid w:val="005356FA"/>
    <w:rsid w:val="00535966"/>
    <w:rsid w:val="005359AB"/>
    <w:rsid w:val="00535AD9"/>
    <w:rsid w:val="00535BE9"/>
    <w:rsid w:val="00535BF3"/>
    <w:rsid w:val="00535C93"/>
    <w:rsid w:val="00535D8A"/>
    <w:rsid w:val="00535E17"/>
    <w:rsid w:val="00536039"/>
    <w:rsid w:val="0053626E"/>
    <w:rsid w:val="0053657D"/>
    <w:rsid w:val="0053671F"/>
    <w:rsid w:val="00536A4C"/>
    <w:rsid w:val="00536F1A"/>
    <w:rsid w:val="0053707A"/>
    <w:rsid w:val="005375A5"/>
    <w:rsid w:val="005377CD"/>
    <w:rsid w:val="0053795F"/>
    <w:rsid w:val="00540035"/>
    <w:rsid w:val="005405CA"/>
    <w:rsid w:val="00540619"/>
    <w:rsid w:val="00540C3F"/>
    <w:rsid w:val="00540C5B"/>
    <w:rsid w:val="00540E29"/>
    <w:rsid w:val="00540FE0"/>
    <w:rsid w:val="005412DD"/>
    <w:rsid w:val="00541366"/>
    <w:rsid w:val="005416AF"/>
    <w:rsid w:val="00541799"/>
    <w:rsid w:val="005418D3"/>
    <w:rsid w:val="0054197B"/>
    <w:rsid w:val="00541BB8"/>
    <w:rsid w:val="00541E85"/>
    <w:rsid w:val="00541E98"/>
    <w:rsid w:val="00541FB6"/>
    <w:rsid w:val="00542151"/>
    <w:rsid w:val="00542190"/>
    <w:rsid w:val="005422CA"/>
    <w:rsid w:val="0054269E"/>
    <w:rsid w:val="00542854"/>
    <w:rsid w:val="00542AD3"/>
    <w:rsid w:val="00542B2A"/>
    <w:rsid w:val="00542C8C"/>
    <w:rsid w:val="00542D92"/>
    <w:rsid w:val="00542DB4"/>
    <w:rsid w:val="00542DE4"/>
    <w:rsid w:val="00542E14"/>
    <w:rsid w:val="00542EC4"/>
    <w:rsid w:val="005432F4"/>
    <w:rsid w:val="00543444"/>
    <w:rsid w:val="0054347A"/>
    <w:rsid w:val="005434B9"/>
    <w:rsid w:val="0054354A"/>
    <w:rsid w:val="00543692"/>
    <w:rsid w:val="005436F3"/>
    <w:rsid w:val="005438D3"/>
    <w:rsid w:val="0054391D"/>
    <w:rsid w:val="005440D8"/>
    <w:rsid w:val="00544151"/>
    <w:rsid w:val="00544183"/>
    <w:rsid w:val="005441CE"/>
    <w:rsid w:val="00544747"/>
    <w:rsid w:val="00544F8D"/>
    <w:rsid w:val="00545054"/>
    <w:rsid w:val="005452AF"/>
    <w:rsid w:val="005452DF"/>
    <w:rsid w:val="005452E3"/>
    <w:rsid w:val="0054570D"/>
    <w:rsid w:val="00545C45"/>
    <w:rsid w:val="00546550"/>
    <w:rsid w:val="00546AEC"/>
    <w:rsid w:val="00546C11"/>
    <w:rsid w:val="00546D5E"/>
    <w:rsid w:val="00546EBD"/>
    <w:rsid w:val="00546EED"/>
    <w:rsid w:val="0054715B"/>
    <w:rsid w:val="0054735A"/>
    <w:rsid w:val="005473F7"/>
    <w:rsid w:val="00547675"/>
    <w:rsid w:val="00547757"/>
    <w:rsid w:val="0054789F"/>
    <w:rsid w:val="005478C5"/>
    <w:rsid w:val="005478D0"/>
    <w:rsid w:val="00547C29"/>
    <w:rsid w:val="00547DC1"/>
    <w:rsid w:val="00547E17"/>
    <w:rsid w:val="00547EE3"/>
    <w:rsid w:val="0055015D"/>
    <w:rsid w:val="005504D6"/>
    <w:rsid w:val="00550C66"/>
    <w:rsid w:val="00550E2D"/>
    <w:rsid w:val="00550E2E"/>
    <w:rsid w:val="00550E76"/>
    <w:rsid w:val="00550F34"/>
    <w:rsid w:val="0055104E"/>
    <w:rsid w:val="00551502"/>
    <w:rsid w:val="00551970"/>
    <w:rsid w:val="00551D98"/>
    <w:rsid w:val="00551F2D"/>
    <w:rsid w:val="005526B5"/>
    <w:rsid w:val="00552AAA"/>
    <w:rsid w:val="00552D49"/>
    <w:rsid w:val="00552DDC"/>
    <w:rsid w:val="00553344"/>
    <w:rsid w:val="0055356C"/>
    <w:rsid w:val="005535F7"/>
    <w:rsid w:val="00553703"/>
    <w:rsid w:val="00553784"/>
    <w:rsid w:val="00553AE6"/>
    <w:rsid w:val="00553C02"/>
    <w:rsid w:val="00553F24"/>
    <w:rsid w:val="00553F85"/>
    <w:rsid w:val="0055403C"/>
    <w:rsid w:val="00554668"/>
    <w:rsid w:val="005547AD"/>
    <w:rsid w:val="00554B95"/>
    <w:rsid w:val="00554F03"/>
    <w:rsid w:val="00554FE5"/>
    <w:rsid w:val="005551F7"/>
    <w:rsid w:val="005553A1"/>
    <w:rsid w:val="0055578A"/>
    <w:rsid w:val="00555BCD"/>
    <w:rsid w:val="005562C1"/>
    <w:rsid w:val="00556479"/>
    <w:rsid w:val="0055647B"/>
    <w:rsid w:val="00556935"/>
    <w:rsid w:val="00556B02"/>
    <w:rsid w:val="00556D30"/>
    <w:rsid w:val="005570A7"/>
    <w:rsid w:val="005571E1"/>
    <w:rsid w:val="005571F3"/>
    <w:rsid w:val="0055720B"/>
    <w:rsid w:val="005577D7"/>
    <w:rsid w:val="0055784A"/>
    <w:rsid w:val="00557891"/>
    <w:rsid w:val="005578D0"/>
    <w:rsid w:val="0055791C"/>
    <w:rsid w:val="00557925"/>
    <w:rsid w:val="00557AA7"/>
    <w:rsid w:val="00557D33"/>
    <w:rsid w:val="00557EB1"/>
    <w:rsid w:val="00557EFF"/>
    <w:rsid w:val="0056034F"/>
    <w:rsid w:val="005603B2"/>
    <w:rsid w:val="00560E04"/>
    <w:rsid w:val="00561446"/>
    <w:rsid w:val="00561636"/>
    <w:rsid w:val="005619D0"/>
    <w:rsid w:val="00561C62"/>
    <w:rsid w:val="00561CDE"/>
    <w:rsid w:val="00561D48"/>
    <w:rsid w:val="00562930"/>
    <w:rsid w:val="00562AA2"/>
    <w:rsid w:val="00562B87"/>
    <w:rsid w:val="00562C28"/>
    <w:rsid w:val="0056324B"/>
    <w:rsid w:val="00563279"/>
    <w:rsid w:val="005632D1"/>
    <w:rsid w:val="00563524"/>
    <w:rsid w:val="005639E8"/>
    <w:rsid w:val="00563C96"/>
    <w:rsid w:val="00563CC1"/>
    <w:rsid w:val="00564268"/>
    <w:rsid w:val="0056457A"/>
    <w:rsid w:val="00564824"/>
    <w:rsid w:val="005648D3"/>
    <w:rsid w:val="00564D43"/>
    <w:rsid w:val="00564E8E"/>
    <w:rsid w:val="00564EA8"/>
    <w:rsid w:val="005655B9"/>
    <w:rsid w:val="005656BC"/>
    <w:rsid w:val="005659FD"/>
    <w:rsid w:val="00565EC1"/>
    <w:rsid w:val="00566220"/>
    <w:rsid w:val="005662B7"/>
    <w:rsid w:val="0056632E"/>
    <w:rsid w:val="005665E7"/>
    <w:rsid w:val="005666DF"/>
    <w:rsid w:val="00566832"/>
    <w:rsid w:val="00566A1A"/>
    <w:rsid w:val="00566A75"/>
    <w:rsid w:val="00566B81"/>
    <w:rsid w:val="00566B9D"/>
    <w:rsid w:val="00566D46"/>
    <w:rsid w:val="00566F42"/>
    <w:rsid w:val="005674CE"/>
    <w:rsid w:val="0056756F"/>
    <w:rsid w:val="005675D8"/>
    <w:rsid w:val="0056766B"/>
    <w:rsid w:val="00567BC7"/>
    <w:rsid w:val="0057078A"/>
    <w:rsid w:val="00570849"/>
    <w:rsid w:val="00570D90"/>
    <w:rsid w:val="00570EB8"/>
    <w:rsid w:val="005710C1"/>
    <w:rsid w:val="00571291"/>
    <w:rsid w:val="00571503"/>
    <w:rsid w:val="00571573"/>
    <w:rsid w:val="0057161B"/>
    <w:rsid w:val="00571772"/>
    <w:rsid w:val="00571801"/>
    <w:rsid w:val="00571924"/>
    <w:rsid w:val="00571C87"/>
    <w:rsid w:val="00571F94"/>
    <w:rsid w:val="0057222C"/>
    <w:rsid w:val="0057230F"/>
    <w:rsid w:val="0057232F"/>
    <w:rsid w:val="00572A9B"/>
    <w:rsid w:val="00572AD7"/>
    <w:rsid w:val="00572C1A"/>
    <w:rsid w:val="00572CEF"/>
    <w:rsid w:val="00572D38"/>
    <w:rsid w:val="005730EC"/>
    <w:rsid w:val="005732D0"/>
    <w:rsid w:val="00573354"/>
    <w:rsid w:val="00573359"/>
    <w:rsid w:val="0057361A"/>
    <w:rsid w:val="00573CAC"/>
    <w:rsid w:val="00573DBE"/>
    <w:rsid w:val="00573E03"/>
    <w:rsid w:val="00573EE6"/>
    <w:rsid w:val="00573FFC"/>
    <w:rsid w:val="00574303"/>
    <w:rsid w:val="00574343"/>
    <w:rsid w:val="00574344"/>
    <w:rsid w:val="005743AC"/>
    <w:rsid w:val="00574D8C"/>
    <w:rsid w:val="00574FBC"/>
    <w:rsid w:val="0057508A"/>
    <w:rsid w:val="0057537F"/>
    <w:rsid w:val="00575A94"/>
    <w:rsid w:val="00575AF9"/>
    <w:rsid w:val="00575F60"/>
    <w:rsid w:val="0057617F"/>
    <w:rsid w:val="00576519"/>
    <w:rsid w:val="00576A53"/>
    <w:rsid w:val="00576DBA"/>
    <w:rsid w:val="005771B2"/>
    <w:rsid w:val="0057743D"/>
    <w:rsid w:val="005777B1"/>
    <w:rsid w:val="005777F2"/>
    <w:rsid w:val="0057795B"/>
    <w:rsid w:val="00577977"/>
    <w:rsid w:val="0058013A"/>
    <w:rsid w:val="0058025E"/>
    <w:rsid w:val="005807DD"/>
    <w:rsid w:val="00580A56"/>
    <w:rsid w:val="005816ED"/>
    <w:rsid w:val="00581701"/>
    <w:rsid w:val="00581886"/>
    <w:rsid w:val="0058197B"/>
    <w:rsid w:val="00581A5B"/>
    <w:rsid w:val="00581B0E"/>
    <w:rsid w:val="00581BBC"/>
    <w:rsid w:val="00581ED3"/>
    <w:rsid w:val="00582AD1"/>
    <w:rsid w:val="00582E31"/>
    <w:rsid w:val="00582E34"/>
    <w:rsid w:val="00582ED7"/>
    <w:rsid w:val="005833DF"/>
    <w:rsid w:val="005836B5"/>
    <w:rsid w:val="00583927"/>
    <w:rsid w:val="005839DF"/>
    <w:rsid w:val="00583BA7"/>
    <w:rsid w:val="0058419A"/>
    <w:rsid w:val="00584263"/>
    <w:rsid w:val="0058448E"/>
    <w:rsid w:val="005844E8"/>
    <w:rsid w:val="00584852"/>
    <w:rsid w:val="00584C56"/>
    <w:rsid w:val="00584D9D"/>
    <w:rsid w:val="00584EAC"/>
    <w:rsid w:val="00585082"/>
    <w:rsid w:val="005857CF"/>
    <w:rsid w:val="005859CF"/>
    <w:rsid w:val="00585B10"/>
    <w:rsid w:val="00585B9F"/>
    <w:rsid w:val="00585C3E"/>
    <w:rsid w:val="0058627D"/>
    <w:rsid w:val="005862DF"/>
    <w:rsid w:val="0058630D"/>
    <w:rsid w:val="005863C5"/>
    <w:rsid w:val="0058651F"/>
    <w:rsid w:val="005869E2"/>
    <w:rsid w:val="00586A51"/>
    <w:rsid w:val="00586E9D"/>
    <w:rsid w:val="00587219"/>
    <w:rsid w:val="005873CB"/>
    <w:rsid w:val="005878FF"/>
    <w:rsid w:val="00587F81"/>
    <w:rsid w:val="005903C8"/>
    <w:rsid w:val="00590AF3"/>
    <w:rsid w:val="00590B4C"/>
    <w:rsid w:val="00590DD4"/>
    <w:rsid w:val="00590DE9"/>
    <w:rsid w:val="00590EBF"/>
    <w:rsid w:val="00590FEF"/>
    <w:rsid w:val="00591120"/>
    <w:rsid w:val="005911FC"/>
    <w:rsid w:val="005916B3"/>
    <w:rsid w:val="00591903"/>
    <w:rsid w:val="00591AA3"/>
    <w:rsid w:val="00591B5C"/>
    <w:rsid w:val="00591B84"/>
    <w:rsid w:val="005924F5"/>
    <w:rsid w:val="0059310F"/>
    <w:rsid w:val="005938A7"/>
    <w:rsid w:val="00593931"/>
    <w:rsid w:val="00593ACE"/>
    <w:rsid w:val="00593BEB"/>
    <w:rsid w:val="00593D1C"/>
    <w:rsid w:val="00593F98"/>
    <w:rsid w:val="0059414B"/>
    <w:rsid w:val="00594249"/>
    <w:rsid w:val="0059449C"/>
    <w:rsid w:val="005944DE"/>
    <w:rsid w:val="005944F3"/>
    <w:rsid w:val="00594802"/>
    <w:rsid w:val="00594B3F"/>
    <w:rsid w:val="00594E17"/>
    <w:rsid w:val="00594F54"/>
    <w:rsid w:val="0059508E"/>
    <w:rsid w:val="00595336"/>
    <w:rsid w:val="00595629"/>
    <w:rsid w:val="00595841"/>
    <w:rsid w:val="00595C5B"/>
    <w:rsid w:val="00595D59"/>
    <w:rsid w:val="00595EBF"/>
    <w:rsid w:val="005961B1"/>
    <w:rsid w:val="00596336"/>
    <w:rsid w:val="005963AC"/>
    <w:rsid w:val="0059661A"/>
    <w:rsid w:val="0059699F"/>
    <w:rsid w:val="0059751D"/>
    <w:rsid w:val="0059752A"/>
    <w:rsid w:val="00597788"/>
    <w:rsid w:val="0059785D"/>
    <w:rsid w:val="00597999"/>
    <w:rsid w:val="00597E77"/>
    <w:rsid w:val="005A0058"/>
    <w:rsid w:val="005A00A0"/>
    <w:rsid w:val="005A0116"/>
    <w:rsid w:val="005A0649"/>
    <w:rsid w:val="005A0903"/>
    <w:rsid w:val="005A091F"/>
    <w:rsid w:val="005A0BA9"/>
    <w:rsid w:val="005A0C06"/>
    <w:rsid w:val="005A0E4F"/>
    <w:rsid w:val="005A0E68"/>
    <w:rsid w:val="005A1241"/>
    <w:rsid w:val="005A1289"/>
    <w:rsid w:val="005A1384"/>
    <w:rsid w:val="005A1452"/>
    <w:rsid w:val="005A14E8"/>
    <w:rsid w:val="005A1D28"/>
    <w:rsid w:val="005A1E3C"/>
    <w:rsid w:val="005A1ECA"/>
    <w:rsid w:val="005A2279"/>
    <w:rsid w:val="005A2741"/>
    <w:rsid w:val="005A28C0"/>
    <w:rsid w:val="005A2A57"/>
    <w:rsid w:val="005A2B3E"/>
    <w:rsid w:val="005A2B61"/>
    <w:rsid w:val="005A3569"/>
    <w:rsid w:val="005A373D"/>
    <w:rsid w:val="005A3800"/>
    <w:rsid w:val="005A3A62"/>
    <w:rsid w:val="005A3AB2"/>
    <w:rsid w:val="005A3CFD"/>
    <w:rsid w:val="005A3DCF"/>
    <w:rsid w:val="005A3F87"/>
    <w:rsid w:val="005A414D"/>
    <w:rsid w:val="005A4439"/>
    <w:rsid w:val="005A450B"/>
    <w:rsid w:val="005A47B1"/>
    <w:rsid w:val="005A49EA"/>
    <w:rsid w:val="005A4A56"/>
    <w:rsid w:val="005A4A84"/>
    <w:rsid w:val="005A4CFD"/>
    <w:rsid w:val="005A4F97"/>
    <w:rsid w:val="005A53DC"/>
    <w:rsid w:val="005A575A"/>
    <w:rsid w:val="005A5997"/>
    <w:rsid w:val="005A59EB"/>
    <w:rsid w:val="005A5C19"/>
    <w:rsid w:val="005A5DB1"/>
    <w:rsid w:val="005A60CA"/>
    <w:rsid w:val="005A6677"/>
    <w:rsid w:val="005A66C9"/>
    <w:rsid w:val="005A6D8B"/>
    <w:rsid w:val="005A72A1"/>
    <w:rsid w:val="005A7323"/>
    <w:rsid w:val="005A7517"/>
    <w:rsid w:val="005A7795"/>
    <w:rsid w:val="005A7A12"/>
    <w:rsid w:val="005A7EE7"/>
    <w:rsid w:val="005B027D"/>
    <w:rsid w:val="005B0747"/>
    <w:rsid w:val="005B07B4"/>
    <w:rsid w:val="005B09E5"/>
    <w:rsid w:val="005B0DE3"/>
    <w:rsid w:val="005B0EF0"/>
    <w:rsid w:val="005B1AA4"/>
    <w:rsid w:val="005B1AB0"/>
    <w:rsid w:val="005B1B0B"/>
    <w:rsid w:val="005B1F2F"/>
    <w:rsid w:val="005B1F56"/>
    <w:rsid w:val="005B1FC8"/>
    <w:rsid w:val="005B205E"/>
    <w:rsid w:val="005B20C0"/>
    <w:rsid w:val="005B2573"/>
    <w:rsid w:val="005B265F"/>
    <w:rsid w:val="005B2E37"/>
    <w:rsid w:val="005B375C"/>
    <w:rsid w:val="005B3A4E"/>
    <w:rsid w:val="005B3B8D"/>
    <w:rsid w:val="005B3DD1"/>
    <w:rsid w:val="005B3F22"/>
    <w:rsid w:val="005B4155"/>
    <w:rsid w:val="005B42AB"/>
    <w:rsid w:val="005B4424"/>
    <w:rsid w:val="005B480D"/>
    <w:rsid w:val="005B4A22"/>
    <w:rsid w:val="005B4F6C"/>
    <w:rsid w:val="005B5149"/>
    <w:rsid w:val="005B5372"/>
    <w:rsid w:val="005B54E8"/>
    <w:rsid w:val="005B54F0"/>
    <w:rsid w:val="005B5759"/>
    <w:rsid w:val="005B59F3"/>
    <w:rsid w:val="005B5D90"/>
    <w:rsid w:val="005B63C6"/>
    <w:rsid w:val="005B6605"/>
    <w:rsid w:val="005B67CE"/>
    <w:rsid w:val="005B6896"/>
    <w:rsid w:val="005B68E7"/>
    <w:rsid w:val="005B6A02"/>
    <w:rsid w:val="005B70D9"/>
    <w:rsid w:val="005B71E9"/>
    <w:rsid w:val="005B74B1"/>
    <w:rsid w:val="005B78CA"/>
    <w:rsid w:val="005B79C9"/>
    <w:rsid w:val="005B7D61"/>
    <w:rsid w:val="005B7E2B"/>
    <w:rsid w:val="005C0739"/>
    <w:rsid w:val="005C074F"/>
    <w:rsid w:val="005C0880"/>
    <w:rsid w:val="005C08B9"/>
    <w:rsid w:val="005C0B9F"/>
    <w:rsid w:val="005C12CE"/>
    <w:rsid w:val="005C13B3"/>
    <w:rsid w:val="005C141E"/>
    <w:rsid w:val="005C1B73"/>
    <w:rsid w:val="005C1BA1"/>
    <w:rsid w:val="005C1EA3"/>
    <w:rsid w:val="005C2876"/>
    <w:rsid w:val="005C2947"/>
    <w:rsid w:val="005C2FDA"/>
    <w:rsid w:val="005C3A84"/>
    <w:rsid w:val="005C3C77"/>
    <w:rsid w:val="005C4083"/>
    <w:rsid w:val="005C40EE"/>
    <w:rsid w:val="005C439A"/>
    <w:rsid w:val="005C46FE"/>
    <w:rsid w:val="005C4731"/>
    <w:rsid w:val="005C497F"/>
    <w:rsid w:val="005C4E0F"/>
    <w:rsid w:val="005C4E81"/>
    <w:rsid w:val="005C515A"/>
    <w:rsid w:val="005C5792"/>
    <w:rsid w:val="005C5837"/>
    <w:rsid w:val="005C5A7C"/>
    <w:rsid w:val="005C5FD3"/>
    <w:rsid w:val="005C64E9"/>
    <w:rsid w:val="005C6541"/>
    <w:rsid w:val="005C681B"/>
    <w:rsid w:val="005C69C2"/>
    <w:rsid w:val="005C6A0E"/>
    <w:rsid w:val="005C6CFA"/>
    <w:rsid w:val="005C6DB3"/>
    <w:rsid w:val="005C6F74"/>
    <w:rsid w:val="005C74F1"/>
    <w:rsid w:val="005C76E2"/>
    <w:rsid w:val="005C7D7D"/>
    <w:rsid w:val="005C7DD7"/>
    <w:rsid w:val="005C7F2D"/>
    <w:rsid w:val="005C7F49"/>
    <w:rsid w:val="005C7FB8"/>
    <w:rsid w:val="005D008C"/>
    <w:rsid w:val="005D0364"/>
    <w:rsid w:val="005D06E5"/>
    <w:rsid w:val="005D06F4"/>
    <w:rsid w:val="005D09E0"/>
    <w:rsid w:val="005D0A00"/>
    <w:rsid w:val="005D114E"/>
    <w:rsid w:val="005D1174"/>
    <w:rsid w:val="005D1610"/>
    <w:rsid w:val="005D18E8"/>
    <w:rsid w:val="005D1C72"/>
    <w:rsid w:val="005D1D89"/>
    <w:rsid w:val="005D22A1"/>
    <w:rsid w:val="005D249E"/>
    <w:rsid w:val="005D25F7"/>
    <w:rsid w:val="005D2651"/>
    <w:rsid w:val="005D2B2B"/>
    <w:rsid w:val="005D2D4F"/>
    <w:rsid w:val="005D337C"/>
    <w:rsid w:val="005D339C"/>
    <w:rsid w:val="005D33FD"/>
    <w:rsid w:val="005D38EF"/>
    <w:rsid w:val="005D3ADB"/>
    <w:rsid w:val="005D3C96"/>
    <w:rsid w:val="005D3F70"/>
    <w:rsid w:val="005D445B"/>
    <w:rsid w:val="005D4900"/>
    <w:rsid w:val="005D4ADD"/>
    <w:rsid w:val="005D4DED"/>
    <w:rsid w:val="005D4E10"/>
    <w:rsid w:val="005D4E24"/>
    <w:rsid w:val="005D50C9"/>
    <w:rsid w:val="005D50E3"/>
    <w:rsid w:val="005D57EE"/>
    <w:rsid w:val="005D588C"/>
    <w:rsid w:val="005D5A88"/>
    <w:rsid w:val="005D5AAE"/>
    <w:rsid w:val="005D5D6E"/>
    <w:rsid w:val="005D5F8D"/>
    <w:rsid w:val="005D6208"/>
    <w:rsid w:val="005D6514"/>
    <w:rsid w:val="005D6562"/>
    <w:rsid w:val="005D67DB"/>
    <w:rsid w:val="005D6A8F"/>
    <w:rsid w:val="005D7019"/>
    <w:rsid w:val="005D70A7"/>
    <w:rsid w:val="005D7517"/>
    <w:rsid w:val="005D7623"/>
    <w:rsid w:val="005D7810"/>
    <w:rsid w:val="005D79E8"/>
    <w:rsid w:val="005E004C"/>
    <w:rsid w:val="005E00FB"/>
    <w:rsid w:val="005E0128"/>
    <w:rsid w:val="005E02CC"/>
    <w:rsid w:val="005E0765"/>
    <w:rsid w:val="005E0796"/>
    <w:rsid w:val="005E0AEF"/>
    <w:rsid w:val="005E0C5E"/>
    <w:rsid w:val="005E0D47"/>
    <w:rsid w:val="005E0F63"/>
    <w:rsid w:val="005E1168"/>
    <w:rsid w:val="005E1220"/>
    <w:rsid w:val="005E134C"/>
    <w:rsid w:val="005E19D5"/>
    <w:rsid w:val="005E1B3A"/>
    <w:rsid w:val="005E1BFB"/>
    <w:rsid w:val="005E1ED3"/>
    <w:rsid w:val="005E1F3D"/>
    <w:rsid w:val="005E1F8F"/>
    <w:rsid w:val="005E20D8"/>
    <w:rsid w:val="005E224C"/>
    <w:rsid w:val="005E22DE"/>
    <w:rsid w:val="005E266F"/>
    <w:rsid w:val="005E2A22"/>
    <w:rsid w:val="005E2BB3"/>
    <w:rsid w:val="005E2C3A"/>
    <w:rsid w:val="005E2E44"/>
    <w:rsid w:val="005E2E79"/>
    <w:rsid w:val="005E321D"/>
    <w:rsid w:val="005E34A3"/>
    <w:rsid w:val="005E3A67"/>
    <w:rsid w:val="005E3C7E"/>
    <w:rsid w:val="005E3EA9"/>
    <w:rsid w:val="005E4058"/>
    <w:rsid w:val="005E4237"/>
    <w:rsid w:val="005E474F"/>
    <w:rsid w:val="005E4BAC"/>
    <w:rsid w:val="005E4E30"/>
    <w:rsid w:val="005E5147"/>
    <w:rsid w:val="005E5188"/>
    <w:rsid w:val="005E54E7"/>
    <w:rsid w:val="005E5537"/>
    <w:rsid w:val="005E5596"/>
    <w:rsid w:val="005E5661"/>
    <w:rsid w:val="005E5C78"/>
    <w:rsid w:val="005E5ECC"/>
    <w:rsid w:val="005E607C"/>
    <w:rsid w:val="005E64BE"/>
    <w:rsid w:val="005E65A4"/>
    <w:rsid w:val="005E6720"/>
    <w:rsid w:val="005E6866"/>
    <w:rsid w:val="005E6918"/>
    <w:rsid w:val="005E6942"/>
    <w:rsid w:val="005E6FD2"/>
    <w:rsid w:val="005E7081"/>
    <w:rsid w:val="005E76D1"/>
    <w:rsid w:val="005E7827"/>
    <w:rsid w:val="005E794C"/>
    <w:rsid w:val="005E7CF2"/>
    <w:rsid w:val="005E7D5A"/>
    <w:rsid w:val="005F06FC"/>
    <w:rsid w:val="005F0961"/>
    <w:rsid w:val="005F0C5D"/>
    <w:rsid w:val="005F13E0"/>
    <w:rsid w:val="005F1465"/>
    <w:rsid w:val="005F15BE"/>
    <w:rsid w:val="005F1665"/>
    <w:rsid w:val="005F1929"/>
    <w:rsid w:val="005F1F23"/>
    <w:rsid w:val="005F204B"/>
    <w:rsid w:val="005F20F4"/>
    <w:rsid w:val="005F222B"/>
    <w:rsid w:val="005F2478"/>
    <w:rsid w:val="005F27E6"/>
    <w:rsid w:val="005F2830"/>
    <w:rsid w:val="005F2FC3"/>
    <w:rsid w:val="005F32D7"/>
    <w:rsid w:val="005F33C1"/>
    <w:rsid w:val="005F341F"/>
    <w:rsid w:val="005F3437"/>
    <w:rsid w:val="005F3457"/>
    <w:rsid w:val="005F3553"/>
    <w:rsid w:val="005F35D4"/>
    <w:rsid w:val="005F395C"/>
    <w:rsid w:val="005F39C3"/>
    <w:rsid w:val="005F3A70"/>
    <w:rsid w:val="005F3B6E"/>
    <w:rsid w:val="005F3CEC"/>
    <w:rsid w:val="005F4011"/>
    <w:rsid w:val="005F42E9"/>
    <w:rsid w:val="005F478C"/>
    <w:rsid w:val="005F47A7"/>
    <w:rsid w:val="005F499F"/>
    <w:rsid w:val="005F4CB5"/>
    <w:rsid w:val="005F4E0C"/>
    <w:rsid w:val="005F4E5A"/>
    <w:rsid w:val="005F574E"/>
    <w:rsid w:val="005F5855"/>
    <w:rsid w:val="005F5989"/>
    <w:rsid w:val="005F5D07"/>
    <w:rsid w:val="005F624E"/>
    <w:rsid w:val="005F6415"/>
    <w:rsid w:val="005F6491"/>
    <w:rsid w:val="005F66FB"/>
    <w:rsid w:val="005F6897"/>
    <w:rsid w:val="005F692D"/>
    <w:rsid w:val="005F6D2A"/>
    <w:rsid w:val="005F73CE"/>
    <w:rsid w:val="005F7789"/>
    <w:rsid w:val="005F7AE3"/>
    <w:rsid w:val="005F7D9F"/>
    <w:rsid w:val="005F7EFF"/>
    <w:rsid w:val="005F7F88"/>
    <w:rsid w:val="00600215"/>
    <w:rsid w:val="006009E7"/>
    <w:rsid w:val="00600CCF"/>
    <w:rsid w:val="00600D32"/>
    <w:rsid w:val="00600D68"/>
    <w:rsid w:val="00600DE5"/>
    <w:rsid w:val="00600EE0"/>
    <w:rsid w:val="006010E2"/>
    <w:rsid w:val="006011BC"/>
    <w:rsid w:val="006013E7"/>
    <w:rsid w:val="00601430"/>
    <w:rsid w:val="00601575"/>
    <w:rsid w:val="006016B1"/>
    <w:rsid w:val="0060186A"/>
    <w:rsid w:val="006019E0"/>
    <w:rsid w:val="00601A00"/>
    <w:rsid w:val="00601ABC"/>
    <w:rsid w:val="00601C33"/>
    <w:rsid w:val="00601E4A"/>
    <w:rsid w:val="00601E52"/>
    <w:rsid w:val="00601F96"/>
    <w:rsid w:val="006020EB"/>
    <w:rsid w:val="006022C1"/>
    <w:rsid w:val="006024F8"/>
    <w:rsid w:val="006028C7"/>
    <w:rsid w:val="00602DA5"/>
    <w:rsid w:val="00602E0A"/>
    <w:rsid w:val="00602ECA"/>
    <w:rsid w:val="0060302E"/>
    <w:rsid w:val="00603225"/>
    <w:rsid w:val="00603393"/>
    <w:rsid w:val="006035F0"/>
    <w:rsid w:val="0060360D"/>
    <w:rsid w:val="006036F4"/>
    <w:rsid w:val="00603D3A"/>
    <w:rsid w:val="00603D65"/>
    <w:rsid w:val="00603D6C"/>
    <w:rsid w:val="00603EE0"/>
    <w:rsid w:val="00603F79"/>
    <w:rsid w:val="0060405E"/>
    <w:rsid w:val="006041BD"/>
    <w:rsid w:val="00604370"/>
    <w:rsid w:val="006043A4"/>
    <w:rsid w:val="006047F8"/>
    <w:rsid w:val="00604978"/>
    <w:rsid w:val="00604A75"/>
    <w:rsid w:val="00604C17"/>
    <w:rsid w:val="00604D14"/>
    <w:rsid w:val="00604D7A"/>
    <w:rsid w:val="006059B9"/>
    <w:rsid w:val="00605F5D"/>
    <w:rsid w:val="00606161"/>
    <w:rsid w:val="006064FF"/>
    <w:rsid w:val="00607864"/>
    <w:rsid w:val="006078AB"/>
    <w:rsid w:val="00610167"/>
    <w:rsid w:val="0061042D"/>
    <w:rsid w:val="0061054A"/>
    <w:rsid w:val="0061096E"/>
    <w:rsid w:val="00610A90"/>
    <w:rsid w:val="006110C5"/>
    <w:rsid w:val="006111A8"/>
    <w:rsid w:val="0061121E"/>
    <w:rsid w:val="006115AD"/>
    <w:rsid w:val="00611DF4"/>
    <w:rsid w:val="006124AB"/>
    <w:rsid w:val="0061263F"/>
    <w:rsid w:val="006127C1"/>
    <w:rsid w:val="00612AB9"/>
    <w:rsid w:val="00612D1B"/>
    <w:rsid w:val="00612F11"/>
    <w:rsid w:val="00613049"/>
    <w:rsid w:val="00613255"/>
    <w:rsid w:val="006132FB"/>
    <w:rsid w:val="00613900"/>
    <w:rsid w:val="0061397D"/>
    <w:rsid w:val="00613DA4"/>
    <w:rsid w:val="00613EE9"/>
    <w:rsid w:val="00613F4C"/>
    <w:rsid w:val="006144AD"/>
    <w:rsid w:val="006145D3"/>
    <w:rsid w:val="00614630"/>
    <w:rsid w:val="00614663"/>
    <w:rsid w:val="006146C3"/>
    <w:rsid w:val="006147BA"/>
    <w:rsid w:val="0061490D"/>
    <w:rsid w:val="00614E4F"/>
    <w:rsid w:val="00614E75"/>
    <w:rsid w:val="00614EF8"/>
    <w:rsid w:val="00615012"/>
    <w:rsid w:val="006155FC"/>
    <w:rsid w:val="00615832"/>
    <w:rsid w:val="00615921"/>
    <w:rsid w:val="00615966"/>
    <w:rsid w:val="00615B4F"/>
    <w:rsid w:val="00615CAB"/>
    <w:rsid w:val="00615D36"/>
    <w:rsid w:val="00615E8C"/>
    <w:rsid w:val="00616528"/>
    <w:rsid w:val="006169CB"/>
    <w:rsid w:val="006169D7"/>
    <w:rsid w:val="00616A9F"/>
    <w:rsid w:val="00616C1A"/>
    <w:rsid w:val="00616E5A"/>
    <w:rsid w:val="00616EB1"/>
    <w:rsid w:val="00616F8D"/>
    <w:rsid w:val="006178E0"/>
    <w:rsid w:val="006179C0"/>
    <w:rsid w:val="00617AF2"/>
    <w:rsid w:val="006200C8"/>
    <w:rsid w:val="006204F3"/>
    <w:rsid w:val="006208D8"/>
    <w:rsid w:val="00620B96"/>
    <w:rsid w:val="006210EF"/>
    <w:rsid w:val="006215F7"/>
    <w:rsid w:val="00621905"/>
    <w:rsid w:val="00621A35"/>
    <w:rsid w:val="00621BF0"/>
    <w:rsid w:val="00621C02"/>
    <w:rsid w:val="006220E7"/>
    <w:rsid w:val="00622127"/>
    <w:rsid w:val="0062228E"/>
    <w:rsid w:val="0062247E"/>
    <w:rsid w:val="006225E3"/>
    <w:rsid w:val="006229EB"/>
    <w:rsid w:val="00622A70"/>
    <w:rsid w:val="00622DC3"/>
    <w:rsid w:val="00623058"/>
    <w:rsid w:val="00623179"/>
    <w:rsid w:val="00623504"/>
    <w:rsid w:val="00623598"/>
    <w:rsid w:val="006237D1"/>
    <w:rsid w:val="00623851"/>
    <w:rsid w:val="00623CF9"/>
    <w:rsid w:val="006244CF"/>
    <w:rsid w:val="00624631"/>
    <w:rsid w:val="00624938"/>
    <w:rsid w:val="00625479"/>
    <w:rsid w:val="00625793"/>
    <w:rsid w:val="006257F7"/>
    <w:rsid w:val="00625EFA"/>
    <w:rsid w:val="006264AB"/>
    <w:rsid w:val="00626582"/>
    <w:rsid w:val="00626D99"/>
    <w:rsid w:val="00626DC9"/>
    <w:rsid w:val="006272F4"/>
    <w:rsid w:val="006274D0"/>
    <w:rsid w:val="006279E4"/>
    <w:rsid w:val="00627A0A"/>
    <w:rsid w:val="00627B01"/>
    <w:rsid w:val="00627B90"/>
    <w:rsid w:val="00627CF5"/>
    <w:rsid w:val="00627EAC"/>
    <w:rsid w:val="00627FB6"/>
    <w:rsid w:val="00629F6E"/>
    <w:rsid w:val="00630096"/>
    <w:rsid w:val="00630239"/>
    <w:rsid w:val="00630252"/>
    <w:rsid w:val="006307B8"/>
    <w:rsid w:val="006307DE"/>
    <w:rsid w:val="006309EF"/>
    <w:rsid w:val="00630AAA"/>
    <w:rsid w:val="00630B6C"/>
    <w:rsid w:val="0063145B"/>
    <w:rsid w:val="00631793"/>
    <w:rsid w:val="00631A22"/>
    <w:rsid w:val="00631F82"/>
    <w:rsid w:val="00631FF2"/>
    <w:rsid w:val="00632243"/>
    <w:rsid w:val="00632445"/>
    <w:rsid w:val="006325A9"/>
    <w:rsid w:val="006326AD"/>
    <w:rsid w:val="00632747"/>
    <w:rsid w:val="006327AC"/>
    <w:rsid w:val="00632877"/>
    <w:rsid w:val="00632C04"/>
    <w:rsid w:val="00632C94"/>
    <w:rsid w:val="00632D05"/>
    <w:rsid w:val="00632DEE"/>
    <w:rsid w:val="00632E06"/>
    <w:rsid w:val="00632F97"/>
    <w:rsid w:val="006330B9"/>
    <w:rsid w:val="0063319F"/>
    <w:rsid w:val="006331D0"/>
    <w:rsid w:val="006333D8"/>
    <w:rsid w:val="006334A3"/>
    <w:rsid w:val="00633CC2"/>
    <w:rsid w:val="0063422E"/>
    <w:rsid w:val="00634751"/>
    <w:rsid w:val="00634BC5"/>
    <w:rsid w:val="00634E55"/>
    <w:rsid w:val="00634EC1"/>
    <w:rsid w:val="0063501E"/>
    <w:rsid w:val="0063527A"/>
    <w:rsid w:val="006352AC"/>
    <w:rsid w:val="00635646"/>
    <w:rsid w:val="00635BBC"/>
    <w:rsid w:val="00635DBD"/>
    <w:rsid w:val="006365AE"/>
    <w:rsid w:val="006370BC"/>
    <w:rsid w:val="0063727B"/>
    <w:rsid w:val="0063728C"/>
    <w:rsid w:val="0063765D"/>
    <w:rsid w:val="00637820"/>
    <w:rsid w:val="0063787B"/>
    <w:rsid w:val="00637B60"/>
    <w:rsid w:val="00637CBF"/>
    <w:rsid w:val="00637CFD"/>
    <w:rsid w:val="00637D10"/>
    <w:rsid w:val="00637DC8"/>
    <w:rsid w:val="00637E0D"/>
    <w:rsid w:val="00637FBA"/>
    <w:rsid w:val="006400A6"/>
    <w:rsid w:val="0064013F"/>
    <w:rsid w:val="00640164"/>
    <w:rsid w:val="00640CBC"/>
    <w:rsid w:val="00640CC9"/>
    <w:rsid w:val="00640D4C"/>
    <w:rsid w:val="00640F2D"/>
    <w:rsid w:val="006411D4"/>
    <w:rsid w:val="00641224"/>
    <w:rsid w:val="006414DB"/>
    <w:rsid w:val="0064172A"/>
    <w:rsid w:val="006417DD"/>
    <w:rsid w:val="00641EF0"/>
    <w:rsid w:val="00641FA2"/>
    <w:rsid w:val="00641FAB"/>
    <w:rsid w:val="006422D7"/>
    <w:rsid w:val="00642DCE"/>
    <w:rsid w:val="00642ED2"/>
    <w:rsid w:val="00643016"/>
    <w:rsid w:val="00643297"/>
    <w:rsid w:val="006435AB"/>
    <w:rsid w:val="00643EEF"/>
    <w:rsid w:val="00644593"/>
    <w:rsid w:val="006447B6"/>
    <w:rsid w:val="00644881"/>
    <w:rsid w:val="00644F33"/>
    <w:rsid w:val="00644F5B"/>
    <w:rsid w:val="00644FA5"/>
    <w:rsid w:val="006452F6"/>
    <w:rsid w:val="00645792"/>
    <w:rsid w:val="00645F1D"/>
    <w:rsid w:val="00645F5D"/>
    <w:rsid w:val="00646186"/>
    <w:rsid w:val="00646258"/>
    <w:rsid w:val="006463F2"/>
    <w:rsid w:val="0064672F"/>
    <w:rsid w:val="00646AA1"/>
    <w:rsid w:val="00646C5D"/>
    <w:rsid w:val="00646D49"/>
    <w:rsid w:val="00646E60"/>
    <w:rsid w:val="00646E6E"/>
    <w:rsid w:val="00647026"/>
    <w:rsid w:val="00647188"/>
    <w:rsid w:val="00647201"/>
    <w:rsid w:val="00647317"/>
    <w:rsid w:val="00647369"/>
    <w:rsid w:val="006474BB"/>
    <w:rsid w:val="0064776A"/>
    <w:rsid w:val="00647809"/>
    <w:rsid w:val="00647DAE"/>
    <w:rsid w:val="00647DDB"/>
    <w:rsid w:val="00647F22"/>
    <w:rsid w:val="00647FC0"/>
    <w:rsid w:val="00650688"/>
    <w:rsid w:val="00650790"/>
    <w:rsid w:val="006508E5"/>
    <w:rsid w:val="00650DE6"/>
    <w:rsid w:val="00650F25"/>
    <w:rsid w:val="00650FD8"/>
    <w:rsid w:val="006510A8"/>
    <w:rsid w:val="006510D2"/>
    <w:rsid w:val="006511F1"/>
    <w:rsid w:val="0065149C"/>
    <w:rsid w:val="00651575"/>
    <w:rsid w:val="00651963"/>
    <w:rsid w:val="00651C83"/>
    <w:rsid w:val="00651CD6"/>
    <w:rsid w:val="00652091"/>
    <w:rsid w:val="006522E8"/>
    <w:rsid w:val="0065255B"/>
    <w:rsid w:val="006525BD"/>
    <w:rsid w:val="00652663"/>
    <w:rsid w:val="00652813"/>
    <w:rsid w:val="006529ED"/>
    <w:rsid w:val="0065377F"/>
    <w:rsid w:val="00653842"/>
    <w:rsid w:val="00653A31"/>
    <w:rsid w:val="00653AF8"/>
    <w:rsid w:val="00653B48"/>
    <w:rsid w:val="00653C26"/>
    <w:rsid w:val="00653CD4"/>
    <w:rsid w:val="00653E05"/>
    <w:rsid w:val="00653EBB"/>
    <w:rsid w:val="00653EF8"/>
    <w:rsid w:val="0065411A"/>
    <w:rsid w:val="006544FB"/>
    <w:rsid w:val="00654998"/>
    <w:rsid w:val="00654B7C"/>
    <w:rsid w:val="00655051"/>
    <w:rsid w:val="0065549C"/>
    <w:rsid w:val="00655697"/>
    <w:rsid w:val="0065571F"/>
    <w:rsid w:val="0065580A"/>
    <w:rsid w:val="00655AE6"/>
    <w:rsid w:val="00655BAC"/>
    <w:rsid w:val="00655E0F"/>
    <w:rsid w:val="00655FD3"/>
    <w:rsid w:val="00655FE3"/>
    <w:rsid w:val="00656093"/>
    <w:rsid w:val="0065617B"/>
    <w:rsid w:val="00656316"/>
    <w:rsid w:val="00656487"/>
    <w:rsid w:val="0065689C"/>
    <w:rsid w:val="00656A20"/>
    <w:rsid w:val="00656BA2"/>
    <w:rsid w:val="00656E02"/>
    <w:rsid w:val="00656F95"/>
    <w:rsid w:val="00657166"/>
    <w:rsid w:val="0065717F"/>
    <w:rsid w:val="00657354"/>
    <w:rsid w:val="006574BB"/>
    <w:rsid w:val="006575F8"/>
    <w:rsid w:val="00657646"/>
    <w:rsid w:val="00657AE2"/>
    <w:rsid w:val="00657EC8"/>
    <w:rsid w:val="00657FBA"/>
    <w:rsid w:val="006600B5"/>
    <w:rsid w:val="00660129"/>
    <w:rsid w:val="0066048F"/>
    <w:rsid w:val="006604F2"/>
    <w:rsid w:val="00660584"/>
    <w:rsid w:val="0066070B"/>
    <w:rsid w:val="00660DFC"/>
    <w:rsid w:val="00660FE0"/>
    <w:rsid w:val="0066182D"/>
    <w:rsid w:val="006618C2"/>
    <w:rsid w:val="0066193B"/>
    <w:rsid w:val="00661988"/>
    <w:rsid w:val="00661DEA"/>
    <w:rsid w:val="00661E14"/>
    <w:rsid w:val="00661E1B"/>
    <w:rsid w:val="00661F16"/>
    <w:rsid w:val="0066210C"/>
    <w:rsid w:val="006621AE"/>
    <w:rsid w:val="0066265E"/>
    <w:rsid w:val="006626A4"/>
    <w:rsid w:val="00662707"/>
    <w:rsid w:val="006629E0"/>
    <w:rsid w:val="00662A05"/>
    <w:rsid w:val="00662D3A"/>
    <w:rsid w:val="0066333D"/>
    <w:rsid w:val="006639E4"/>
    <w:rsid w:val="00663D80"/>
    <w:rsid w:val="00663DDD"/>
    <w:rsid w:val="00664056"/>
    <w:rsid w:val="00664518"/>
    <w:rsid w:val="00664757"/>
    <w:rsid w:val="00664BFB"/>
    <w:rsid w:val="00665389"/>
    <w:rsid w:val="00665719"/>
    <w:rsid w:val="006657CB"/>
    <w:rsid w:val="00665806"/>
    <w:rsid w:val="0066588D"/>
    <w:rsid w:val="006659A3"/>
    <w:rsid w:val="00665A76"/>
    <w:rsid w:val="00665BDD"/>
    <w:rsid w:val="00665EA1"/>
    <w:rsid w:val="00666258"/>
    <w:rsid w:val="006665B7"/>
    <w:rsid w:val="00666843"/>
    <w:rsid w:val="006669BD"/>
    <w:rsid w:val="00666B32"/>
    <w:rsid w:val="00666D46"/>
    <w:rsid w:val="0066752F"/>
    <w:rsid w:val="006677A9"/>
    <w:rsid w:val="00667A99"/>
    <w:rsid w:val="006701AE"/>
    <w:rsid w:val="006701D6"/>
    <w:rsid w:val="006702E7"/>
    <w:rsid w:val="00670580"/>
    <w:rsid w:val="0067069A"/>
    <w:rsid w:val="006706A1"/>
    <w:rsid w:val="0067075F"/>
    <w:rsid w:val="00670B61"/>
    <w:rsid w:val="00670BF1"/>
    <w:rsid w:val="00670E04"/>
    <w:rsid w:val="00671035"/>
    <w:rsid w:val="00671048"/>
    <w:rsid w:val="006710F3"/>
    <w:rsid w:val="00671653"/>
    <w:rsid w:val="00671EF3"/>
    <w:rsid w:val="00671FEE"/>
    <w:rsid w:val="0067229F"/>
    <w:rsid w:val="0067236A"/>
    <w:rsid w:val="00672404"/>
    <w:rsid w:val="00672449"/>
    <w:rsid w:val="00672703"/>
    <w:rsid w:val="006728D0"/>
    <w:rsid w:val="00672EBB"/>
    <w:rsid w:val="00672EE1"/>
    <w:rsid w:val="00673281"/>
    <w:rsid w:val="00673544"/>
    <w:rsid w:val="00673B7E"/>
    <w:rsid w:val="006740DB"/>
    <w:rsid w:val="00674123"/>
    <w:rsid w:val="00674618"/>
    <w:rsid w:val="006747B7"/>
    <w:rsid w:val="00674B62"/>
    <w:rsid w:val="0067501C"/>
    <w:rsid w:val="00675085"/>
    <w:rsid w:val="0067529A"/>
    <w:rsid w:val="00675343"/>
    <w:rsid w:val="0067535F"/>
    <w:rsid w:val="006754D4"/>
    <w:rsid w:val="006755AE"/>
    <w:rsid w:val="0067569D"/>
    <w:rsid w:val="006757DB"/>
    <w:rsid w:val="00675A6B"/>
    <w:rsid w:val="00675B1E"/>
    <w:rsid w:val="00676038"/>
    <w:rsid w:val="0067621E"/>
    <w:rsid w:val="00676287"/>
    <w:rsid w:val="0067667D"/>
    <w:rsid w:val="006766B8"/>
    <w:rsid w:val="0067739A"/>
    <w:rsid w:val="0067757E"/>
    <w:rsid w:val="00677C19"/>
    <w:rsid w:val="00677E4D"/>
    <w:rsid w:val="00677FE4"/>
    <w:rsid w:val="00677FF0"/>
    <w:rsid w:val="006805D5"/>
    <w:rsid w:val="006805E8"/>
    <w:rsid w:val="006809A2"/>
    <w:rsid w:val="00680D49"/>
    <w:rsid w:val="006811F6"/>
    <w:rsid w:val="0068131E"/>
    <w:rsid w:val="00681E5C"/>
    <w:rsid w:val="00681FCB"/>
    <w:rsid w:val="006821D0"/>
    <w:rsid w:val="006822CE"/>
    <w:rsid w:val="00682655"/>
    <w:rsid w:val="006826A7"/>
    <w:rsid w:val="006827E6"/>
    <w:rsid w:val="00682A16"/>
    <w:rsid w:val="00682A29"/>
    <w:rsid w:val="00682B35"/>
    <w:rsid w:val="006831DF"/>
    <w:rsid w:val="0068335D"/>
    <w:rsid w:val="00683476"/>
    <w:rsid w:val="006837EF"/>
    <w:rsid w:val="0068390E"/>
    <w:rsid w:val="00683A89"/>
    <w:rsid w:val="00683DAA"/>
    <w:rsid w:val="00683F72"/>
    <w:rsid w:val="00683F81"/>
    <w:rsid w:val="0068421E"/>
    <w:rsid w:val="0068438D"/>
    <w:rsid w:val="00684412"/>
    <w:rsid w:val="00685189"/>
    <w:rsid w:val="006851C5"/>
    <w:rsid w:val="006859D7"/>
    <w:rsid w:val="00685A82"/>
    <w:rsid w:val="00685CFB"/>
    <w:rsid w:val="00685F1C"/>
    <w:rsid w:val="0068661B"/>
    <w:rsid w:val="0068685F"/>
    <w:rsid w:val="00686A38"/>
    <w:rsid w:val="00686B05"/>
    <w:rsid w:val="00686C4F"/>
    <w:rsid w:val="00686E44"/>
    <w:rsid w:val="006876DD"/>
    <w:rsid w:val="00687AE6"/>
    <w:rsid w:val="0068CFEE"/>
    <w:rsid w:val="00690160"/>
    <w:rsid w:val="00690426"/>
    <w:rsid w:val="0069053C"/>
    <w:rsid w:val="006908F1"/>
    <w:rsid w:val="00690F5F"/>
    <w:rsid w:val="00690F6B"/>
    <w:rsid w:val="006913A2"/>
    <w:rsid w:val="006913B3"/>
    <w:rsid w:val="006915B6"/>
    <w:rsid w:val="00691616"/>
    <w:rsid w:val="00691F08"/>
    <w:rsid w:val="006922C1"/>
    <w:rsid w:val="00692390"/>
    <w:rsid w:val="0069279F"/>
    <w:rsid w:val="00692985"/>
    <w:rsid w:val="00692A32"/>
    <w:rsid w:val="00692AB7"/>
    <w:rsid w:val="00692BFA"/>
    <w:rsid w:val="00692DB0"/>
    <w:rsid w:val="0069320D"/>
    <w:rsid w:val="00693781"/>
    <w:rsid w:val="0069380A"/>
    <w:rsid w:val="00693980"/>
    <w:rsid w:val="006939A3"/>
    <w:rsid w:val="00693BE1"/>
    <w:rsid w:val="00693C6B"/>
    <w:rsid w:val="00693DFF"/>
    <w:rsid w:val="00693EF8"/>
    <w:rsid w:val="006941B3"/>
    <w:rsid w:val="0069424C"/>
    <w:rsid w:val="006943A8"/>
    <w:rsid w:val="006943E9"/>
    <w:rsid w:val="006944A3"/>
    <w:rsid w:val="00694750"/>
    <w:rsid w:val="00694A71"/>
    <w:rsid w:val="00694BA5"/>
    <w:rsid w:val="00695230"/>
    <w:rsid w:val="00695616"/>
    <w:rsid w:val="006956D2"/>
    <w:rsid w:val="00695A20"/>
    <w:rsid w:val="00695B2D"/>
    <w:rsid w:val="00695C46"/>
    <w:rsid w:val="00695EA3"/>
    <w:rsid w:val="00695F25"/>
    <w:rsid w:val="00695F32"/>
    <w:rsid w:val="00696342"/>
    <w:rsid w:val="006963CB"/>
    <w:rsid w:val="00696579"/>
    <w:rsid w:val="0069699A"/>
    <w:rsid w:val="00696B63"/>
    <w:rsid w:val="00696BD4"/>
    <w:rsid w:val="00696C8F"/>
    <w:rsid w:val="00696DC5"/>
    <w:rsid w:val="00697334"/>
    <w:rsid w:val="006977AE"/>
    <w:rsid w:val="00697A38"/>
    <w:rsid w:val="00697B4F"/>
    <w:rsid w:val="00697CBA"/>
    <w:rsid w:val="006A018F"/>
    <w:rsid w:val="006A023D"/>
    <w:rsid w:val="006A028B"/>
    <w:rsid w:val="006A04B7"/>
    <w:rsid w:val="006A0595"/>
    <w:rsid w:val="006A0760"/>
    <w:rsid w:val="006A0852"/>
    <w:rsid w:val="006A0893"/>
    <w:rsid w:val="006A0D99"/>
    <w:rsid w:val="006A0FAE"/>
    <w:rsid w:val="006A13F6"/>
    <w:rsid w:val="006A1A84"/>
    <w:rsid w:val="006A1C72"/>
    <w:rsid w:val="006A1CF1"/>
    <w:rsid w:val="006A20E0"/>
    <w:rsid w:val="006A2390"/>
    <w:rsid w:val="006A2491"/>
    <w:rsid w:val="006A2F40"/>
    <w:rsid w:val="006A31E3"/>
    <w:rsid w:val="006A3319"/>
    <w:rsid w:val="006A33F2"/>
    <w:rsid w:val="006A34CF"/>
    <w:rsid w:val="006A37BA"/>
    <w:rsid w:val="006A3804"/>
    <w:rsid w:val="006A3D2C"/>
    <w:rsid w:val="006A435A"/>
    <w:rsid w:val="006A43CA"/>
    <w:rsid w:val="006A44B9"/>
    <w:rsid w:val="006A456E"/>
    <w:rsid w:val="006A4877"/>
    <w:rsid w:val="006A4977"/>
    <w:rsid w:val="006A522E"/>
    <w:rsid w:val="006A56AA"/>
    <w:rsid w:val="006A58EE"/>
    <w:rsid w:val="006A5B85"/>
    <w:rsid w:val="006A5CA2"/>
    <w:rsid w:val="006A5D33"/>
    <w:rsid w:val="006A5D51"/>
    <w:rsid w:val="006A5EE3"/>
    <w:rsid w:val="006A6327"/>
    <w:rsid w:val="006A6392"/>
    <w:rsid w:val="006A63A4"/>
    <w:rsid w:val="006A648C"/>
    <w:rsid w:val="006A6801"/>
    <w:rsid w:val="006A6811"/>
    <w:rsid w:val="006A69F1"/>
    <w:rsid w:val="006A6A13"/>
    <w:rsid w:val="006A6BF7"/>
    <w:rsid w:val="006A6EEC"/>
    <w:rsid w:val="006A6F95"/>
    <w:rsid w:val="006A76D9"/>
    <w:rsid w:val="006A771F"/>
    <w:rsid w:val="006A7E16"/>
    <w:rsid w:val="006A7E49"/>
    <w:rsid w:val="006B0273"/>
    <w:rsid w:val="006B06CD"/>
    <w:rsid w:val="006B0A34"/>
    <w:rsid w:val="006B0A9C"/>
    <w:rsid w:val="006B10FB"/>
    <w:rsid w:val="006B1332"/>
    <w:rsid w:val="006B1497"/>
    <w:rsid w:val="006B1526"/>
    <w:rsid w:val="006B16D7"/>
    <w:rsid w:val="006B1747"/>
    <w:rsid w:val="006B1785"/>
    <w:rsid w:val="006B18F6"/>
    <w:rsid w:val="006B1A3D"/>
    <w:rsid w:val="006B1AEC"/>
    <w:rsid w:val="006B1FC1"/>
    <w:rsid w:val="006B22C3"/>
    <w:rsid w:val="006B23E1"/>
    <w:rsid w:val="006B253F"/>
    <w:rsid w:val="006B25AF"/>
    <w:rsid w:val="006B2689"/>
    <w:rsid w:val="006B2C31"/>
    <w:rsid w:val="006B3054"/>
    <w:rsid w:val="006B30AF"/>
    <w:rsid w:val="006B336C"/>
    <w:rsid w:val="006B375C"/>
    <w:rsid w:val="006B38F8"/>
    <w:rsid w:val="006B3949"/>
    <w:rsid w:val="006B3A0F"/>
    <w:rsid w:val="006B3AB6"/>
    <w:rsid w:val="006B3B5F"/>
    <w:rsid w:val="006B3B89"/>
    <w:rsid w:val="006B3D96"/>
    <w:rsid w:val="006B4132"/>
    <w:rsid w:val="006B43AC"/>
    <w:rsid w:val="006B444E"/>
    <w:rsid w:val="006B4581"/>
    <w:rsid w:val="006B4962"/>
    <w:rsid w:val="006B4F90"/>
    <w:rsid w:val="006B52BF"/>
    <w:rsid w:val="006B583F"/>
    <w:rsid w:val="006B59C9"/>
    <w:rsid w:val="006B5DE8"/>
    <w:rsid w:val="006B5E44"/>
    <w:rsid w:val="006B63E7"/>
    <w:rsid w:val="006B66B3"/>
    <w:rsid w:val="006B6978"/>
    <w:rsid w:val="006B6D13"/>
    <w:rsid w:val="006B6E7F"/>
    <w:rsid w:val="006B70C4"/>
    <w:rsid w:val="006B712B"/>
    <w:rsid w:val="006B7227"/>
    <w:rsid w:val="006B74B9"/>
    <w:rsid w:val="006B7EDC"/>
    <w:rsid w:val="006C01CB"/>
    <w:rsid w:val="006C043B"/>
    <w:rsid w:val="006C0440"/>
    <w:rsid w:val="006C1305"/>
    <w:rsid w:val="006C13EF"/>
    <w:rsid w:val="006C1C2A"/>
    <w:rsid w:val="006C208D"/>
    <w:rsid w:val="006C255D"/>
    <w:rsid w:val="006C29E6"/>
    <w:rsid w:val="006C2B90"/>
    <w:rsid w:val="006C2EAF"/>
    <w:rsid w:val="006C324C"/>
    <w:rsid w:val="006C33C0"/>
    <w:rsid w:val="006C3A7C"/>
    <w:rsid w:val="006C4188"/>
    <w:rsid w:val="006C41AA"/>
    <w:rsid w:val="006C45A4"/>
    <w:rsid w:val="006C460E"/>
    <w:rsid w:val="006C463C"/>
    <w:rsid w:val="006C482B"/>
    <w:rsid w:val="006C4C79"/>
    <w:rsid w:val="006C4E00"/>
    <w:rsid w:val="006C51EA"/>
    <w:rsid w:val="006C5866"/>
    <w:rsid w:val="006C5869"/>
    <w:rsid w:val="006C58B3"/>
    <w:rsid w:val="006C5AE2"/>
    <w:rsid w:val="006C5C50"/>
    <w:rsid w:val="006C5FF8"/>
    <w:rsid w:val="006C603E"/>
    <w:rsid w:val="006C65C4"/>
    <w:rsid w:val="006C6AB5"/>
    <w:rsid w:val="006C74DF"/>
    <w:rsid w:val="006C74EC"/>
    <w:rsid w:val="006C758D"/>
    <w:rsid w:val="006C7710"/>
    <w:rsid w:val="006C7739"/>
    <w:rsid w:val="006C79B9"/>
    <w:rsid w:val="006C7A8E"/>
    <w:rsid w:val="006C7DEF"/>
    <w:rsid w:val="006D01C1"/>
    <w:rsid w:val="006D01F1"/>
    <w:rsid w:val="006D05A1"/>
    <w:rsid w:val="006D065A"/>
    <w:rsid w:val="006D066A"/>
    <w:rsid w:val="006D07A6"/>
    <w:rsid w:val="006D0A8A"/>
    <w:rsid w:val="006D0AED"/>
    <w:rsid w:val="006D0DDB"/>
    <w:rsid w:val="006D119B"/>
    <w:rsid w:val="006D1269"/>
    <w:rsid w:val="006D1C1B"/>
    <w:rsid w:val="006D1E71"/>
    <w:rsid w:val="006D21C1"/>
    <w:rsid w:val="006D234A"/>
    <w:rsid w:val="006D24FC"/>
    <w:rsid w:val="006D2A42"/>
    <w:rsid w:val="006D2A69"/>
    <w:rsid w:val="006D2B46"/>
    <w:rsid w:val="006D2C76"/>
    <w:rsid w:val="006D31B5"/>
    <w:rsid w:val="006D39C9"/>
    <w:rsid w:val="006D3B10"/>
    <w:rsid w:val="006D3CCD"/>
    <w:rsid w:val="006D45DD"/>
    <w:rsid w:val="006D46EA"/>
    <w:rsid w:val="006D477E"/>
    <w:rsid w:val="006D49A4"/>
    <w:rsid w:val="006D49CD"/>
    <w:rsid w:val="006D4A28"/>
    <w:rsid w:val="006D4EDF"/>
    <w:rsid w:val="006D4EED"/>
    <w:rsid w:val="006D4EF6"/>
    <w:rsid w:val="006D50B0"/>
    <w:rsid w:val="006D5171"/>
    <w:rsid w:val="006D5217"/>
    <w:rsid w:val="006D5289"/>
    <w:rsid w:val="006D533E"/>
    <w:rsid w:val="006D56F4"/>
    <w:rsid w:val="006D5AFB"/>
    <w:rsid w:val="006D5B0A"/>
    <w:rsid w:val="006D5B9B"/>
    <w:rsid w:val="006D5D15"/>
    <w:rsid w:val="006D5DA4"/>
    <w:rsid w:val="006D5E46"/>
    <w:rsid w:val="006D601A"/>
    <w:rsid w:val="006D601B"/>
    <w:rsid w:val="006D6447"/>
    <w:rsid w:val="006D6550"/>
    <w:rsid w:val="006D686F"/>
    <w:rsid w:val="006D6C1A"/>
    <w:rsid w:val="006D6F30"/>
    <w:rsid w:val="006D72E5"/>
    <w:rsid w:val="006D7347"/>
    <w:rsid w:val="006D743B"/>
    <w:rsid w:val="006D74A2"/>
    <w:rsid w:val="006D74D7"/>
    <w:rsid w:val="006D7911"/>
    <w:rsid w:val="006D7DED"/>
    <w:rsid w:val="006D7E57"/>
    <w:rsid w:val="006E04CF"/>
    <w:rsid w:val="006E06B6"/>
    <w:rsid w:val="006E0A49"/>
    <w:rsid w:val="006E0D1F"/>
    <w:rsid w:val="006E0DC4"/>
    <w:rsid w:val="006E0F9F"/>
    <w:rsid w:val="006E1051"/>
    <w:rsid w:val="006E1198"/>
    <w:rsid w:val="006E1271"/>
    <w:rsid w:val="006E13A9"/>
    <w:rsid w:val="006E150C"/>
    <w:rsid w:val="006E15E1"/>
    <w:rsid w:val="006E18F7"/>
    <w:rsid w:val="006E19BC"/>
    <w:rsid w:val="006E1CC1"/>
    <w:rsid w:val="006E2156"/>
    <w:rsid w:val="006E2828"/>
    <w:rsid w:val="006E2E45"/>
    <w:rsid w:val="006E30EC"/>
    <w:rsid w:val="006E3770"/>
    <w:rsid w:val="006E3876"/>
    <w:rsid w:val="006E38D1"/>
    <w:rsid w:val="006E38E3"/>
    <w:rsid w:val="006E3FAB"/>
    <w:rsid w:val="006E403A"/>
    <w:rsid w:val="006E40DB"/>
    <w:rsid w:val="006E4162"/>
    <w:rsid w:val="006E41A1"/>
    <w:rsid w:val="006E4250"/>
    <w:rsid w:val="006E452D"/>
    <w:rsid w:val="006E46B9"/>
    <w:rsid w:val="006E46F4"/>
    <w:rsid w:val="006E47B3"/>
    <w:rsid w:val="006E480C"/>
    <w:rsid w:val="006E4F33"/>
    <w:rsid w:val="006E4F5F"/>
    <w:rsid w:val="006E5114"/>
    <w:rsid w:val="006E5162"/>
    <w:rsid w:val="006E56FB"/>
    <w:rsid w:val="006E571C"/>
    <w:rsid w:val="006E5724"/>
    <w:rsid w:val="006E5F4F"/>
    <w:rsid w:val="006E6389"/>
    <w:rsid w:val="006E65DA"/>
    <w:rsid w:val="006E68F3"/>
    <w:rsid w:val="006E6A47"/>
    <w:rsid w:val="006E6D2D"/>
    <w:rsid w:val="006E6DB3"/>
    <w:rsid w:val="006E6E3F"/>
    <w:rsid w:val="006E6F8D"/>
    <w:rsid w:val="006E71C8"/>
    <w:rsid w:val="006E71FB"/>
    <w:rsid w:val="006E7250"/>
    <w:rsid w:val="006E783B"/>
    <w:rsid w:val="006E7CB4"/>
    <w:rsid w:val="006E7EFD"/>
    <w:rsid w:val="006E7F3A"/>
    <w:rsid w:val="006F01B3"/>
    <w:rsid w:val="006F0328"/>
    <w:rsid w:val="006F0380"/>
    <w:rsid w:val="006F074F"/>
    <w:rsid w:val="006F07DD"/>
    <w:rsid w:val="006F0BD2"/>
    <w:rsid w:val="006F0C32"/>
    <w:rsid w:val="006F1170"/>
    <w:rsid w:val="006F15A4"/>
    <w:rsid w:val="006F167A"/>
    <w:rsid w:val="006F17B9"/>
    <w:rsid w:val="006F19FC"/>
    <w:rsid w:val="006F1D09"/>
    <w:rsid w:val="006F1DC5"/>
    <w:rsid w:val="006F1DF7"/>
    <w:rsid w:val="006F2326"/>
    <w:rsid w:val="006F2554"/>
    <w:rsid w:val="006F255A"/>
    <w:rsid w:val="006F2B82"/>
    <w:rsid w:val="006F2C40"/>
    <w:rsid w:val="006F2DFA"/>
    <w:rsid w:val="006F30D8"/>
    <w:rsid w:val="006F3423"/>
    <w:rsid w:val="006F34DD"/>
    <w:rsid w:val="006F35F5"/>
    <w:rsid w:val="006F3CF5"/>
    <w:rsid w:val="006F3E79"/>
    <w:rsid w:val="006F4371"/>
    <w:rsid w:val="006F4640"/>
    <w:rsid w:val="006F4745"/>
    <w:rsid w:val="006F4886"/>
    <w:rsid w:val="006F492A"/>
    <w:rsid w:val="006F4C99"/>
    <w:rsid w:val="006F5112"/>
    <w:rsid w:val="006F5230"/>
    <w:rsid w:val="006F55E3"/>
    <w:rsid w:val="006F5E2F"/>
    <w:rsid w:val="006F6054"/>
    <w:rsid w:val="006F6067"/>
    <w:rsid w:val="006F63FC"/>
    <w:rsid w:val="006F6A5A"/>
    <w:rsid w:val="006F6A73"/>
    <w:rsid w:val="006F6CBB"/>
    <w:rsid w:val="006F6CEF"/>
    <w:rsid w:val="006F6D67"/>
    <w:rsid w:val="006F6F92"/>
    <w:rsid w:val="006F701E"/>
    <w:rsid w:val="006F7178"/>
    <w:rsid w:val="006F7410"/>
    <w:rsid w:val="006F7763"/>
    <w:rsid w:val="006F7821"/>
    <w:rsid w:val="006F7950"/>
    <w:rsid w:val="006F7D54"/>
    <w:rsid w:val="006F7E08"/>
    <w:rsid w:val="007000C6"/>
    <w:rsid w:val="0070058E"/>
    <w:rsid w:val="0070078A"/>
    <w:rsid w:val="007007F6"/>
    <w:rsid w:val="00700935"/>
    <w:rsid w:val="00700BB9"/>
    <w:rsid w:val="00700E99"/>
    <w:rsid w:val="00700F77"/>
    <w:rsid w:val="00701339"/>
    <w:rsid w:val="007015C1"/>
    <w:rsid w:val="0070206B"/>
    <w:rsid w:val="0070248A"/>
    <w:rsid w:val="007028D4"/>
    <w:rsid w:val="0070290C"/>
    <w:rsid w:val="00702932"/>
    <w:rsid w:val="00702EE1"/>
    <w:rsid w:val="00702FE7"/>
    <w:rsid w:val="0070357F"/>
    <w:rsid w:val="00703652"/>
    <w:rsid w:val="0070396C"/>
    <w:rsid w:val="00703EF2"/>
    <w:rsid w:val="007040A4"/>
    <w:rsid w:val="00704741"/>
    <w:rsid w:val="00704840"/>
    <w:rsid w:val="00704C64"/>
    <w:rsid w:val="00704CC7"/>
    <w:rsid w:val="00704DEC"/>
    <w:rsid w:val="007050E7"/>
    <w:rsid w:val="00705735"/>
    <w:rsid w:val="00705F94"/>
    <w:rsid w:val="0070643B"/>
    <w:rsid w:val="007068F2"/>
    <w:rsid w:val="00706A2D"/>
    <w:rsid w:val="007078A4"/>
    <w:rsid w:val="00707D1B"/>
    <w:rsid w:val="00707D7B"/>
    <w:rsid w:val="0071023D"/>
    <w:rsid w:val="0071054D"/>
    <w:rsid w:val="0071065E"/>
    <w:rsid w:val="007106D8"/>
    <w:rsid w:val="00710720"/>
    <w:rsid w:val="00710D66"/>
    <w:rsid w:val="00710D78"/>
    <w:rsid w:val="00711064"/>
    <w:rsid w:val="007111BA"/>
    <w:rsid w:val="00711737"/>
    <w:rsid w:val="00711776"/>
    <w:rsid w:val="007117DB"/>
    <w:rsid w:val="00711F8A"/>
    <w:rsid w:val="00712030"/>
    <w:rsid w:val="007122C5"/>
    <w:rsid w:val="007123AD"/>
    <w:rsid w:val="007123C6"/>
    <w:rsid w:val="007128C8"/>
    <w:rsid w:val="00712A22"/>
    <w:rsid w:val="00713114"/>
    <w:rsid w:val="007132FD"/>
    <w:rsid w:val="0071336E"/>
    <w:rsid w:val="007135B7"/>
    <w:rsid w:val="007135CB"/>
    <w:rsid w:val="00713653"/>
    <w:rsid w:val="00713D41"/>
    <w:rsid w:val="00713F0C"/>
    <w:rsid w:val="00713F71"/>
    <w:rsid w:val="007140C7"/>
    <w:rsid w:val="00714111"/>
    <w:rsid w:val="00714246"/>
    <w:rsid w:val="00714B3F"/>
    <w:rsid w:val="00714C33"/>
    <w:rsid w:val="007151A3"/>
    <w:rsid w:val="00715629"/>
    <w:rsid w:val="00715A03"/>
    <w:rsid w:val="00715CAD"/>
    <w:rsid w:val="007163E8"/>
    <w:rsid w:val="007164AF"/>
    <w:rsid w:val="007167A1"/>
    <w:rsid w:val="007169EF"/>
    <w:rsid w:val="00716A2A"/>
    <w:rsid w:val="00716A5E"/>
    <w:rsid w:val="00716BD8"/>
    <w:rsid w:val="00716C03"/>
    <w:rsid w:val="00716F35"/>
    <w:rsid w:val="007174B6"/>
    <w:rsid w:val="00717716"/>
    <w:rsid w:val="00717A76"/>
    <w:rsid w:val="00717B17"/>
    <w:rsid w:val="00717EB6"/>
    <w:rsid w:val="00717F65"/>
    <w:rsid w:val="007203B4"/>
    <w:rsid w:val="007206BD"/>
    <w:rsid w:val="00720876"/>
    <w:rsid w:val="00720F35"/>
    <w:rsid w:val="0072110B"/>
    <w:rsid w:val="0072147A"/>
    <w:rsid w:val="00721518"/>
    <w:rsid w:val="0072171E"/>
    <w:rsid w:val="007217FD"/>
    <w:rsid w:val="00721B76"/>
    <w:rsid w:val="00722044"/>
    <w:rsid w:val="007225FE"/>
    <w:rsid w:val="007226D2"/>
    <w:rsid w:val="007227A0"/>
    <w:rsid w:val="00722D36"/>
    <w:rsid w:val="00722E01"/>
    <w:rsid w:val="00722EE1"/>
    <w:rsid w:val="007231C4"/>
    <w:rsid w:val="0072332E"/>
    <w:rsid w:val="007233A0"/>
    <w:rsid w:val="007239EB"/>
    <w:rsid w:val="00723CE0"/>
    <w:rsid w:val="00723ED5"/>
    <w:rsid w:val="00724010"/>
    <w:rsid w:val="0072441D"/>
    <w:rsid w:val="0072470D"/>
    <w:rsid w:val="00724A4D"/>
    <w:rsid w:val="00724ABF"/>
    <w:rsid w:val="00724E3D"/>
    <w:rsid w:val="00724FB2"/>
    <w:rsid w:val="00725496"/>
    <w:rsid w:val="0072586F"/>
    <w:rsid w:val="0072596A"/>
    <w:rsid w:val="00725BD5"/>
    <w:rsid w:val="00725DD1"/>
    <w:rsid w:val="00725DDD"/>
    <w:rsid w:val="00725E62"/>
    <w:rsid w:val="00725FDF"/>
    <w:rsid w:val="00726535"/>
    <w:rsid w:val="007269F1"/>
    <w:rsid w:val="00726F95"/>
    <w:rsid w:val="00726FCB"/>
    <w:rsid w:val="0072741B"/>
    <w:rsid w:val="00727481"/>
    <w:rsid w:val="00730732"/>
    <w:rsid w:val="007309BC"/>
    <w:rsid w:val="00730F76"/>
    <w:rsid w:val="00731215"/>
    <w:rsid w:val="00731648"/>
    <w:rsid w:val="00731B01"/>
    <w:rsid w:val="00731B31"/>
    <w:rsid w:val="00731E59"/>
    <w:rsid w:val="0073219D"/>
    <w:rsid w:val="0073221A"/>
    <w:rsid w:val="007324B9"/>
    <w:rsid w:val="00732506"/>
    <w:rsid w:val="007326D6"/>
    <w:rsid w:val="0073284E"/>
    <w:rsid w:val="007328DA"/>
    <w:rsid w:val="00732BA2"/>
    <w:rsid w:val="00732D58"/>
    <w:rsid w:val="00732D79"/>
    <w:rsid w:val="007330BE"/>
    <w:rsid w:val="0073313E"/>
    <w:rsid w:val="00733187"/>
    <w:rsid w:val="00733210"/>
    <w:rsid w:val="007333E6"/>
    <w:rsid w:val="00733854"/>
    <w:rsid w:val="007339DD"/>
    <w:rsid w:val="00733AA4"/>
    <w:rsid w:val="00733ED8"/>
    <w:rsid w:val="00734148"/>
    <w:rsid w:val="007341BB"/>
    <w:rsid w:val="00734236"/>
    <w:rsid w:val="007344F4"/>
    <w:rsid w:val="007347B6"/>
    <w:rsid w:val="00734922"/>
    <w:rsid w:val="0073494C"/>
    <w:rsid w:val="00734ED8"/>
    <w:rsid w:val="00735137"/>
    <w:rsid w:val="00735283"/>
    <w:rsid w:val="007355C4"/>
    <w:rsid w:val="00735A84"/>
    <w:rsid w:val="00735C74"/>
    <w:rsid w:val="00735D53"/>
    <w:rsid w:val="00736246"/>
    <w:rsid w:val="0073630B"/>
    <w:rsid w:val="007364E6"/>
    <w:rsid w:val="0073650F"/>
    <w:rsid w:val="00736873"/>
    <w:rsid w:val="00736FF9"/>
    <w:rsid w:val="007370B0"/>
    <w:rsid w:val="007370B7"/>
    <w:rsid w:val="007373A9"/>
    <w:rsid w:val="007373FA"/>
    <w:rsid w:val="00737615"/>
    <w:rsid w:val="007376E2"/>
    <w:rsid w:val="00737A17"/>
    <w:rsid w:val="00737C65"/>
    <w:rsid w:val="007400E7"/>
    <w:rsid w:val="00740199"/>
    <w:rsid w:val="007402C5"/>
    <w:rsid w:val="00740538"/>
    <w:rsid w:val="0074073A"/>
    <w:rsid w:val="00740DFD"/>
    <w:rsid w:val="00741118"/>
    <w:rsid w:val="00741585"/>
    <w:rsid w:val="0074168E"/>
    <w:rsid w:val="0074175F"/>
    <w:rsid w:val="0074197B"/>
    <w:rsid w:val="00741B52"/>
    <w:rsid w:val="00741BB4"/>
    <w:rsid w:val="00741D9C"/>
    <w:rsid w:val="0074219C"/>
    <w:rsid w:val="00742A1D"/>
    <w:rsid w:val="00742A47"/>
    <w:rsid w:val="00742B0F"/>
    <w:rsid w:val="00742BDF"/>
    <w:rsid w:val="00743648"/>
    <w:rsid w:val="007437BB"/>
    <w:rsid w:val="0074381E"/>
    <w:rsid w:val="00743A10"/>
    <w:rsid w:val="00743A8E"/>
    <w:rsid w:val="00744141"/>
    <w:rsid w:val="007442F7"/>
    <w:rsid w:val="00744529"/>
    <w:rsid w:val="007445E1"/>
    <w:rsid w:val="007446F1"/>
    <w:rsid w:val="007447E2"/>
    <w:rsid w:val="00744A29"/>
    <w:rsid w:val="00744AF3"/>
    <w:rsid w:val="00744BCC"/>
    <w:rsid w:val="00744CFA"/>
    <w:rsid w:val="00745285"/>
    <w:rsid w:val="00745552"/>
    <w:rsid w:val="00745799"/>
    <w:rsid w:val="007459EA"/>
    <w:rsid w:val="00745A21"/>
    <w:rsid w:val="00745F48"/>
    <w:rsid w:val="00745F98"/>
    <w:rsid w:val="0074605D"/>
    <w:rsid w:val="00746946"/>
    <w:rsid w:val="00746A1F"/>
    <w:rsid w:val="00746C4A"/>
    <w:rsid w:val="00746CCD"/>
    <w:rsid w:val="00746CE2"/>
    <w:rsid w:val="00747151"/>
    <w:rsid w:val="0074726D"/>
    <w:rsid w:val="007473CB"/>
    <w:rsid w:val="007473F8"/>
    <w:rsid w:val="00747564"/>
    <w:rsid w:val="00747739"/>
    <w:rsid w:val="007477F2"/>
    <w:rsid w:val="00747BE8"/>
    <w:rsid w:val="00750150"/>
    <w:rsid w:val="00750268"/>
    <w:rsid w:val="0075056D"/>
    <w:rsid w:val="00750615"/>
    <w:rsid w:val="00750862"/>
    <w:rsid w:val="007509B8"/>
    <w:rsid w:val="00750B69"/>
    <w:rsid w:val="00750BD7"/>
    <w:rsid w:val="00750F7F"/>
    <w:rsid w:val="00750FEC"/>
    <w:rsid w:val="007510A3"/>
    <w:rsid w:val="007511BE"/>
    <w:rsid w:val="00751BDE"/>
    <w:rsid w:val="0075225F"/>
    <w:rsid w:val="007528AA"/>
    <w:rsid w:val="00752B0B"/>
    <w:rsid w:val="00752B13"/>
    <w:rsid w:val="00752D49"/>
    <w:rsid w:val="00752D9C"/>
    <w:rsid w:val="00752F20"/>
    <w:rsid w:val="00752FB9"/>
    <w:rsid w:val="00753176"/>
    <w:rsid w:val="007531C9"/>
    <w:rsid w:val="007533ED"/>
    <w:rsid w:val="007537FD"/>
    <w:rsid w:val="00753902"/>
    <w:rsid w:val="00753B4E"/>
    <w:rsid w:val="00753B7C"/>
    <w:rsid w:val="00753C69"/>
    <w:rsid w:val="00753D53"/>
    <w:rsid w:val="007544E0"/>
    <w:rsid w:val="00754940"/>
    <w:rsid w:val="0075499B"/>
    <w:rsid w:val="00754D86"/>
    <w:rsid w:val="00755144"/>
    <w:rsid w:val="00755206"/>
    <w:rsid w:val="00755622"/>
    <w:rsid w:val="00755C6D"/>
    <w:rsid w:val="0075629B"/>
    <w:rsid w:val="00756583"/>
    <w:rsid w:val="00757ECC"/>
    <w:rsid w:val="00757F95"/>
    <w:rsid w:val="00760021"/>
    <w:rsid w:val="007600EC"/>
    <w:rsid w:val="007603F5"/>
    <w:rsid w:val="00760529"/>
    <w:rsid w:val="00760582"/>
    <w:rsid w:val="007606D7"/>
    <w:rsid w:val="0076076C"/>
    <w:rsid w:val="00760789"/>
    <w:rsid w:val="00760844"/>
    <w:rsid w:val="00760ECD"/>
    <w:rsid w:val="00760F9C"/>
    <w:rsid w:val="00761316"/>
    <w:rsid w:val="0076131D"/>
    <w:rsid w:val="0076154F"/>
    <w:rsid w:val="0076178E"/>
    <w:rsid w:val="007618DF"/>
    <w:rsid w:val="00761C04"/>
    <w:rsid w:val="00761FC7"/>
    <w:rsid w:val="00762525"/>
    <w:rsid w:val="00762A5B"/>
    <w:rsid w:val="00762AA5"/>
    <w:rsid w:val="0076392D"/>
    <w:rsid w:val="00763FBD"/>
    <w:rsid w:val="0076401E"/>
    <w:rsid w:val="00764417"/>
    <w:rsid w:val="00764582"/>
    <w:rsid w:val="007646D0"/>
    <w:rsid w:val="00764833"/>
    <w:rsid w:val="007648DF"/>
    <w:rsid w:val="007648EF"/>
    <w:rsid w:val="00764A17"/>
    <w:rsid w:val="00764E5F"/>
    <w:rsid w:val="007653AF"/>
    <w:rsid w:val="00765441"/>
    <w:rsid w:val="00765B72"/>
    <w:rsid w:val="00765D80"/>
    <w:rsid w:val="00765D81"/>
    <w:rsid w:val="00766951"/>
    <w:rsid w:val="00766B11"/>
    <w:rsid w:val="00767292"/>
    <w:rsid w:val="00767312"/>
    <w:rsid w:val="00767419"/>
    <w:rsid w:val="0076742E"/>
    <w:rsid w:val="007678D1"/>
    <w:rsid w:val="00767BD4"/>
    <w:rsid w:val="00767CB6"/>
    <w:rsid w:val="007701C5"/>
    <w:rsid w:val="0077035F"/>
    <w:rsid w:val="00770565"/>
    <w:rsid w:val="0077063D"/>
    <w:rsid w:val="007706DA"/>
    <w:rsid w:val="00770993"/>
    <w:rsid w:val="00770B0C"/>
    <w:rsid w:val="00770BF1"/>
    <w:rsid w:val="00770E71"/>
    <w:rsid w:val="00771359"/>
    <w:rsid w:val="0077158C"/>
    <w:rsid w:val="007716CF"/>
    <w:rsid w:val="007718A7"/>
    <w:rsid w:val="00771A6E"/>
    <w:rsid w:val="00771B35"/>
    <w:rsid w:val="0077203E"/>
    <w:rsid w:val="0077278F"/>
    <w:rsid w:val="00772917"/>
    <w:rsid w:val="0077293D"/>
    <w:rsid w:val="0077299A"/>
    <w:rsid w:val="00772EF0"/>
    <w:rsid w:val="00772FD2"/>
    <w:rsid w:val="007730C0"/>
    <w:rsid w:val="00773173"/>
    <w:rsid w:val="007733F1"/>
    <w:rsid w:val="007734AF"/>
    <w:rsid w:val="0077361B"/>
    <w:rsid w:val="007736F9"/>
    <w:rsid w:val="0077399E"/>
    <w:rsid w:val="00773CA1"/>
    <w:rsid w:val="00773E67"/>
    <w:rsid w:val="007743AB"/>
    <w:rsid w:val="0077474A"/>
    <w:rsid w:val="007748FC"/>
    <w:rsid w:val="00774AFC"/>
    <w:rsid w:val="00775210"/>
    <w:rsid w:val="00775C46"/>
    <w:rsid w:val="00775CD8"/>
    <w:rsid w:val="00775E0A"/>
    <w:rsid w:val="00775E6C"/>
    <w:rsid w:val="007766D9"/>
    <w:rsid w:val="00776F40"/>
    <w:rsid w:val="007770AD"/>
    <w:rsid w:val="007773FA"/>
    <w:rsid w:val="00777455"/>
    <w:rsid w:val="00777484"/>
    <w:rsid w:val="00777569"/>
    <w:rsid w:val="00777A3F"/>
    <w:rsid w:val="00777B6A"/>
    <w:rsid w:val="00777BCA"/>
    <w:rsid w:val="00777CDF"/>
    <w:rsid w:val="00777D04"/>
    <w:rsid w:val="00780066"/>
    <w:rsid w:val="007804AE"/>
    <w:rsid w:val="007804D7"/>
    <w:rsid w:val="007804E0"/>
    <w:rsid w:val="00780B9D"/>
    <w:rsid w:val="00780E10"/>
    <w:rsid w:val="00781114"/>
    <w:rsid w:val="007816D1"/>
    <w:rsid w:val="00781AF4"/>
    <w:rsid w:val="00781F24"/>
    <w:rsid w:val="007820C2"/>
    <w:rsid w:val="0078235B"/>
    <w:rsid w:val="0078237C"/>
    <w:rsid w:val="00782581"/>
    <w:rsid w:val="00782728"/>
    <w:rsid w:val="007827E7"/>
    <w:rsid w:val="00782EF7"/>
    <w:rsid w:val="00782F73"/>
    <w:rsid w:val="0078348F"/>
    <w:rsid w:val="007836B1"/>
    <w:rsid w:val="00783745"/>
    <w:rsid w:val="00783EE3"/>
    <w:rsid w:val="0078402A"/>
    <w:rsid w:val="00784245"/>
    <w:rsid w:val="00784599"/>
    <w:rsid w:val="0078462A"/>
    <w:rsid w:val="00784765"/>
    <w:rsid w:val="00784FEB"/>
    <w:rsid w:val="007850B0"/>
    <w:rsid w:val="00785152"/>
    <w:rsid w:val="00785399"/>
    <w:rsid w:val="00785497"/>
    <w:rsid w:val="00785B81"/>
    <w:rsid w:val="0078647C"/>
    <w:rsid w:val="007867FD"/>
    <w:rsid w:val="007868E5"/>
    <w:rsid w:val="00786A72"/>
    <w:rsid w:val="00786D2C"/>
    <w:rsid w:val="00786E52"/>
    <w:rsid w:val="007873EB"/>
    <w:rsid w:val="00787425"/>
    <w:rsid w:val="0078787A"/>
    <w:rsid w:val="00787880"/>
    <w:rsid w:val="00787A16"/>
    <w:rsid w:val="00787CA6"/>
    <w:rsid w:val="00787CB5"/>
    <w:rsid w:val="00787CE6"/>
    <w:rsid w:val="00787DFB"/>
    <w:rsid w:val="00787E97"/>
    <w:rsid w:val="007902F7"/>
    <w:rsid w:val="00790445"/>
    <w:rsid w:val="0079053E"/>
    <w:rsid w:val="00790606"/>
    <w:rsid w:val="007906E4"/>
    <w:rsid w:val="00790B12"/>
    <w:rsid w:val="00790C84"/>
    <w:rsid w:val="00790CB7"/>
    <w:rsid w:val="00790FE3"/>
    <w:rsid w:val="007910B9"/>
    <w:rsid w:val="007912C3"/>
    <w:rsid w:val="00791430"/>
    <w:rsid w:val="0079151E"/>
    <w:rsid w:val="00791661"/>
    <w:rsid w:val="007917C1"/>
    <w:rsid w:val="00791903"/>
    <w:rsid w:val="00791C49"/>
    <w:rsid w:val="00791F03"/>
    <w:rsid w:val="0079218D"/>
    <w:rsid w:val="0079230A"/>
    <w:rsid w:val="00792647"/>
    <w:rsid w:val="00792DD0"/>
    <w:rsid w:val="007934ED"/>
    <w:rsid w:val="0079370E"/>
    <w:rsid w:val="00793995"/>
    <w:rsid w:val="00793C42"/>
    <w:rsid w:val="00793E23"/>
    <w:rsid w:val="00793EEA"/>
    <w:rsid w:val="00794005"/>
    <w:rsid w:val="00794419"/>
    <w:rsid w:val="00794528"/>
    <w:rsid w:val="00794567"/>
    <w:rsid w:val="0079456D"/>
    <w:rsid w:val="00794680"/>
    <w:rsid w:val="0079490D"/>
    <w:rsid w:val="007949F5"/>
    <w:rsid w:val="00794E44"/>
    <w:rsid w:val="00794EB4"/>
    <w:rsid w:val="007950D4"/>
    <w:rsid w:val="007955F3"/>
    <w:rsid w:val="007956E0"/>
    <w:rsid w:val="00795A5E"/>
    <w:rsid w:val="00795A6A"/>
    <w:rsid w:val="00795BF2"/>
    <w:rsid w:val="00796107"/>
    <w:rsid w:val="00796126"/>
    <w:rsid w:val="00796129"/>
    <w:rsid w:val="007962B0"/>
    <w:rsid w:val="00796300"/>
    <w:rsid w:val="0079646F"/>
    <w:rsid w:val="00796613"/>
    <w:rsid w:val="007966EA"/>
    <w:rsid w:val="00796826"/>
    <w:rsid w:val="00796851"/>
    <w:rsid w:val="00796C7E"/>
    <w:rsid w:val="0079717B"/>
    <w:rsid w:val="007975B5"/>
    <w:rsid w:val="00797B51"/>
    <w:rsid w:val="00797B75"/>
    <w:rsid w:val="00797D84"/>
    <w:rsid w:val="00797E84"/>
    <w:rsid w:val="007A02F1"/>
    <w:rsid w:val="007A04C7"/>
    <w:rsid w:val="007A06F1"/>
    <w:rsid w:val="007A070B"/>
    <w:rsid w:val="007A09A1"/>
    <w:rsid w:val="007A0C0C"/>
    <w:rsid w:val="007A0E10"/>
    <w:rsid w:val="007A0F1E"/>
    <w:rsid w:val="007A1303"/>
    <w:rsid w:val="007A1641"/>
    <w:rsid w:val="007A19B8"/>
    <w:rsid w:val="007A19F2"/>
    <w:rsid w:val="007A1A15"/>
    <w:rsid w:val="007A208F"/>
    <w:rsid w:val="007A2361"/>
    <w:rsid w:val="007A263F"/>
    <w:rsid w:val="007A2AA1"/>
    <w:rsid w:val="007A2DB0"/>
    <w:rsid w:val="007A2DFE"/>
    <w:rsid w:val="007A2FA5"/>
    <w:rsid w:val="007A324C"/>
    <w:rsid w:val="007A35D9"/>
    <w:rsid w:val="007A38FA"/>
    <w:rsid w:val="007A3A90"/>
    <w:rsid w:val="007A3B88"/>
    <w:rsid w:val="007A3C30"/>
    <w:rsid w:val="007A3E25"/>
    <w:rsid w:val="007A3F0A"/>
    <w:rsid w:val="007A3F49"/>
    <w:rsid w:val="007A3F50"/>
    <w:rsid w:val="007A3FCE"/>
    <w:rsid w:val="007A4100"/>
    <w:rsid w:val="007A4856"/>
    <w:rsid w:val="007A4C28"/>
    <w:rsid w:val="007A4CFD"/>
    <w:rsid w:val="007A522B"/>
    <w:rsid w:val="007A55D2"/>
    <w:rsid w:val="007A6504"/>
    <w:rsid w:val="007A660C"/>
    <w:rsid w:val="007A6C8F"/>
    <w:rsid w:val="007A6D43"/>
    <w:rsid w:val="007A719F"/>
    <w:rsid w:val="007A71CD"/>
    <w:rsid w:val="007A73F8"/>
    <w:rsid w:val="007A773D"/>
    <w:rsid w:val="007B00EC"/>
    <w:rsid w:val="007B01A8"/>
    <w:rsid w:val="007B02ED"/>
    <w:rsid w:val="007B0413"/>
    <w:rsid w:val="007B051E"/>
    <w:rsid w:val="007B052F"/>
    <w:rsid w:val="007B062D"/>
    <w:rsid w:val="007B06CB"/>
    <w:rsid w:val="007B0736"/>
    <w:rsid w:val="007B08EC"/>
    <w:rsid w:val="007B0A69"/>
    <w:rsid w:val="007B0D73"/>
    <w:rsid w:val="007B0DD9"/>
    <w:rsid w:val="007B10D1"/>
    <w:rsid w:val="007B12FB"/>
    <w:rsid w:val="007B1315"/>
    <w:rsid w:val="007B14D4"/>
    <w:rsid w:val="007B162C"/>
    <w:rsid w:val="007B1788"/>
    <w:rsid w:val="007B1CAB"/>
    <w:rsid w:val="007B1DD5"/>
    <w:rsid w:val="007B1EDA"/>
    <w:rsid w:val="007B200C"/>
    <w:rsid w:val="007B2064"/>
    <w:rsid w:val="007B2136"/>
    <w:rsid w:val="007B2383"/>
    <w:rsid w:val="007B263B"/>
    <w:rsid w:val="007B2746"/>
    <w:rsid w:val="007B2931"/>
    <w:rsid w:val="007B2AD8"/>
    <w:rsid w:val="007B2C0E"/>
    <w:rsid w:val="007B2C38"/>
    <w:rsid w:val="007B2E9B"/>
    <w:rsid w:val="007B2FA5"/>
    <w:rsid w:val="007B3069"/>
    <w:rsid w:val="007B3796"/>
    <w:rsid w:val="007B3834"/>
    <w:rsid w:val="007B387F"/>
    <w:rsid w:val="007B3A55"/>
    <w:rsid w:val="007B3CD5"/>
    <w:rsid w:val="007B431C"/>
    <w:rsid w:val="007B4358"/>
    <w:rsid w:val="007B43DA"/>
    <w:rsid w:val="007B4492"/>
    <w:rsid w:val="007B4E2C"/>
    <w:rsid w:val="007B4F5C"/>
    <w:rsid w:val="007B503C"/>
    <w:rsid w:val="007B50F1"/>
    <w:rsid w:val="007B52F2"/>
    <w:rsid w:val="007B54B4"/>
    <w:rsid w:val="007B5968"/>
    <w:rsid w:val="007B606A"/>
    <w:rsid w:val="007B631E"/>
    <w:rsid w:val="007B640A"/>
    <w:rsid w:val="007B6669"/>
    <w:rsid w:val="007B66D8"/>
    <w:rsid w:val="007B6735"/>
    <w:rsid w:val="007B6F47"/>
    <w:rsid w:val="007B6F49"/>
    <w:rsid w:val="007B70E2"/>
    <w:rsid w:val="007B75EF"/>
    <w:rsid w:val="007B7A0B"/>
    <w:rsid w:val="007B7BAD"/>
    <w:rsid w:val="007B7C24"/>
    <w:rsid w:val="007B7CC5"/>
    <w:rsid w:val="007B7D5C"/>
    <w:rsid w:val="007B7DD7"/>
    <w:rsid w:val="007C0242"/>
    <w:rsid w:val="007C0562"/>
    <w:rsid w:val="007C0682"/>
    <w:rsid w:val="007C0B73"/>
    <w:rsid w:val="007C0C03"/>
    <w:rsid w:val="007C0EDA"/>
    <w:rsid w:val="007C1367"/>
    <w:rsid w:val="007C1398"/>
    <w:rsid w:val="007C182A"/>
    <w:rsid w:val="007C18A7"/>
    <w:rsid w:val="007C1C92"/>
    <w:rsid w:val="007C20B4"/>
    <w:rsid w:val="007C226E"/>
    <w:rsid w:val="007C2326"/>
    <w:rsid w:val="007C23BD"/>
    <w:rsid w:val="007C26D7"/>
    <w:rsid w:val="007C274E"/>
    <w:rsid w:val="007C2CDC"/>
    <w:rsid w:val="007C2E10"/>
    <w:rsid w:val="007C3229"/>
    <w:rsid w:val="007C36DA"/>
    <w:rsid w:val="007C375A"/>
    <w:rsid w:val="007C38F4"/>
    <w:rsid w:val="007C3A84"/>
    <w:rsid w:val="007C3AA0"/>
    <w:rsid w:val="007C3AD4"/>
    <w:rsid w:val="007C3CDC"/>
    <w:rsid w:val="007C3DB2"/>
    <w:rsid w:val="007C3DC5"/>
    <w:rsid w:val="007C40F4"/>
    <w:rsid w:val="007C4137"/>
    <w:rsid w:val="007C414B"/>
    <w:rsid w:val="007C449A"/>
    <w:rsid w:val="007C4925"/>
    <w:rsid w:val="007C4C1B"/>
    <w:rsid w:val="007C4C58"/>
    <w:rsid w:val="007C4FA6"/>
    <w:rsid w:val="007C50D0"/>
    <w:rsid w:val="007C51B9"/>
    <w:rsid w:val="007C537D"/>
    <w:rsid w:val="007C57C9"/>
    <w:rsid w:val="007C600A"/>
    <w:rsid w:val="007C607B"/>
    <w:rsid w:val="007C6198"/>
    <w:rsid w:val="007C6219"/>
    <w:rsid w:val="007C6384"/>
    <w:rsid w:val="007C661C"/>
    <w:rsid w:val="007C67CC"/>
    <w:rsid w:val="007C689A"/>
    <w:rsid w:val="007C68E8"/>
    <w:rsid w:val="007C6BBA"/>
    <w:rsid w:val="007C6C83"/>
    <w:rsid w:val="007C6CE4"/>
    <w:rsid w:val="007C6ED4"/>
    <w:rsid w:val="007C6EEB"/>
    <w:rsid w:val="007C6F5B"/>
    <w:rsid w:val="007C70CD"/>
    <w:rsid w:val="007C70D1"/>
    <w:rsid w:val="007C71B2"/>
    <w:rsid w:val="007C72EC"/>
    <w:rsid w:val="007C7332"/>
    <w:rsid w:val="007C763A"/>
    <w:rsid w:val="007C77B0"/>
    <w:rsid w:val="007C7B75"/>
    <w:rsid w:val="007C7C4B"/>
    <w:rsid w:val="007C7DE2"/>
    <w:rsid w:val="007D0031"/>
    <w:rsid w:val="007D03E3"/>
    <w:rsid w:val="007D05C1"/>
    <w:rsid w:val="007D06CD"/>
    <w:rsid w:val="007D074B"/>
    <w:rsid w:val="007D0825"/>
    <w:rsid w:val="007D09CB"/>
    <w:rsid w:val="007D0B3C"/>
    <w:rsid w:val="007D0E69"/>
    <w:rsid w:val="007D1079"/>
    <w:rsid w:val="007D139E"/>
    <w:rsid w:val="007D153B"/>
    <w:rsid w:val="007D1622"/>
    <w:rsid w:val="007D1770"/>
    <w:rsid w:val="007D1821"/>
    <w:rsid w:val="007D1A43"/>
    <w:rsid w:val="007D1BC1"/>
    <w:rsid w:val="007D1DCE"/>
    <w:rsid w:val="007D1F80"/>
    <w:rsid w:val="007D209A"/>
    <w:rsid w:val="007D2129"/>
    <w:rsid w:val="007D220B"/>
    <w:rsid w:val="007D2227"/>
    <w:rsid w:val="007D2511"/>
    <w:rsid w:val="007D2A2C"/>
    <w:rsid w:val="007D2D76"/>
    <w:rsid w:val="007D2E77"/>
    <w:rsid w:val="007D2F39"/>
    <w:rsid w:val="007D31C3"/>
    <w:rsid w:val="007D34E0"/>
    <w:rsid w:val="007D3712"/>
    <w:rsid w:val="007D3A8A"/>
    <w:rsid w:val="007D3BA4"/>
    <w:rsid w:val="007D3CE5"/>
    <w:rsid w:val="007D3F41"/>
    <w:rsid w:val="007D44D9"/>
    <w:rsid w:val="007D4545"/>
    <w:rsid w:val="007D4779"/>
    <w:rsid w:val="007D4880"/>
    <w:rsid w:val="007D4B33"/>
    <w:rsid w:val="007D4B9E"/>
    <w:rsid w:val="007D4CEB"/>
    <w:rsid w:val="007D5139"/>
    <w:rsid w:val="007D52D6"/>
    <w:rsid w:val="007D57FA"/>
    <w:rsid w:val="007D5907"/>
    <w:rsid w:val="007D5CE6"/>
    <w:rsid w:val="007D5E14"/>
    <w:rsid w:val="007D5E15"/>
    <w:rsid w:val="007D6A27"/>
    <w:rsid w:val="007D6E31"/>
    <w:rsid w:val="007D6F6F"/>
    <w:rsid w:val="007D7237"/>
    <w:rsid w:val="007D748D"/>
    <w:rsid w:val="007D780C"/>
    <w:rsid w:val="007D7E03"/>
    <w:rsid w:val="007D7F57"/>
    <w:rsid w:val="007E021F"/>
    <w:rsid w:val="007E08F2"/>
    <w:rsid w:val="007E0DBA"/>
    <w:rsid w:val="007E0E52"/>
    <w:rsid w:val="007E0E53"/>
    <w:rsid w:val="007E10FE"/>
    <w:rsid w:val="007E1122"/>
    <w:rsid w:val="007E14D1"/>
    <w:rsid w:val="007E159C"/>
    <w:rsid w:val="007E1608"/>
    <w:rsid w:val="007E16E3"/>
    <w:rsid w:val="007E17D0"/>
    <w:rsid w:val="007E18FE"/>
    <w:rsid w:val="007E2488"/>
    <w:rsid w:val="007E2559"/>
    <w:rsid w:val="007E2873"/>
    <w:rsid w:val="007E29F3"/>
    <w:rsid w:val="007E2A7E"/>
    <w:rsid w:val="007E2C71"/>
    <w:rsid w:val="007E2FF8"/>
    <w:rsid w:val="007E3081"/>
    <w:rsid w:val="007E3190"/>
    <w:rsid w:val="007E3582"/>
    <w:rsid w:val="007E3808"/>
    <w:rsid w:val="007E38EA"/>
    <w:rsid w:val="007E3A55"/>
    <w:rsid w:val="007E3C70"/>
    <w:rsid w:val="007E40CE"/>
    <w:rsid w:val="007E41A1"/>
    <w:rsid w:val="007E41F7"/>
    <w:rsid w:val="007E4234"/>
    <w:rsid w:val="007E430D"/>
    <w:rsid w:val="007E46EB"/>
    <w:rsid w:val="007E4810"/>
    <w:rsid w:val="007E4A23"/>
    <w:rsid w:val="007E4C5D"/>
    <w:rsid w:val="007E4C69"/>
    <w:rsid w:val="007E4F62"/>
    <w:rsid w:val="007E506C"/>
    <w:rsid w:val="007E509C"/>
    <w:rsid w:val="007E5351"/>
    <w:rsid w:val="007E5365"/>
    <w:rsid w:val="007E561E"/>
    <w:rsid w:val="007E56A9"/>
    <w:rsid w:val="007E59BF"/>
    <w:rsid w:val="007E5A64"/>
    <w:rsid w:val="007E5ECA"/>
    <w:rsid w:val="007E5F94"/>
    <w:rsid w:val="007E62B4"/>
    <w:rsid w:val="007E63CC"/>
    <w:rsid w:val="007E6853"/>
    <w:rsid w:val="007E698C"/>
    <w:rsid w:val="007E70F9"/>
    <w:rsid w:val="007E7763"/>
    <w:rsid w:val="007E786D"/>
    <w:rsid w:val="007E7B28"/>
    <w:rsid w:val="007E7FB6"/>
    <w:rsid w:val="007F01E8"/>
    <w:rsid w:val="007F053A"/>
    <w:rsid w:val="007F091E"/>
    <w:rsid w:val="007F0A5A"/>
    <w:rsid w:val="007F0DF8"/>
    <w:rsid w:val="007F0ED7"/>
    <w:rsid w:val="007F1011"/>
    <w:rsid w:val="007F1133"/>
    <w:rsid w:val="007F134F"/>
    <w:rsid w:val="007F138B"/>
    <w:rsid w:val="007F14D7"/>
    <w:rsid w:val="007F1524"/>
    <w:rsid w:val="007F1658"/>
    <w:rsid w:val="007F16F7"/>
    <w:rsid w:val="007F1861"/>
    <w:rsid w:val="007F18E5"/>
    <w:rsid w:val="007F18F9"/>
    <w:rsid w:val="007F193B"/>
    <w:rsid w:val="007F1F2D"/>
    <w:rsid w:val="007F2539"/>
    <w:rsid w:val="007F27FE"/>
    <w:rsid w:val="007F298C"/>
    <w:rsid w:val="007F2A17"/>
    <w:rsid w:val="007F2A66"/>
    <w:rsid w:val="007F2DA6"/>
    <w:rsid w:val="007F2DD1"/>
    <w:rsid w:val="007F2E11"/>
    <w:rsid w:val="007F2E92"/>
    <w:rsid w:val="007F322D"/>
    <w:rsid w:val="007F35BD"/>
    <w:rsid w:val="007F3807"/>
    <w:rsid w:val="007F3971"/>
    <w:rsid w:val="007F4032"/>
    <w:rsid w:val="007F45CA"/>
    <w:rsid w:val="007F4614"/>
    <w:rsid w:val="007F47CA"/>
    <w:rsid w:val="007F482B"/>
    <w:rsid w:val="007F4B37"/>
    <w:rsid w:val="007F4C70"/>
    <w:rsid w:val="007F4D83"/>
    <w:rsid w:val="007F4E32"/>
    <w:rsid w:val="007F4F94"/>
    <w:rsid w:val="007F50F1"/>
    <w:rsid w:val="007F515F"/>
    <w:rsid w:val="007F5161"/>
    <w:rsid w:val="007F5224"/>
    <w:rsid w:val="007F525E"/>
    <w:rsid w:val="007F537D"/>
    <w:rsid w:val="007F55DC"/>
    <w:rsid w:val="007F582E"/>
    <w:rsid w:val="007F58CE"/>
    <w:rsid w:val="007F5ACD"/>
    <w:rsid w:val="007F5D0B"/>
    <w:rsid w:val="007F5E0B"/>
    <w:rsid w:val="007F5ECA"/>
    <w:rsid w:val="007F605B"/>
    <w:rsid w:val="007F62CF"/>
    <w:rsid w:val="007F6B2C"/>
    <w:rsid w:val="007F6B9C"/>
    <w:rsid w:val="007F6D8C"/>
    <w:rsid w:val="007F6E0A"/>
    <w:rsid w:val="007F7016"/>
    <w:rsid w:val="007F70AE"/>
    <w:rsid w:val="007F7306"/>
    <w:rsid w:val="007F743D"/>
    <w:rsid w:val="007F7666"/>
    <w:rsid w:val="007F7862"/>
    <w:rsid w:val="007F79AD"/>
    <w:rsid w:val="007F7AA8"/>
    <w:rsid w:val="007F7C11"/>
    <w:rsid w:val="007F7C4C"/>
    <w:rsid w:val="00800177"/>
    <w:rsid w:val="0080025D"/>
    <w:rsid w:val="0080046C"/>
    <w:rsid w:val="0080061E"/>
    <w:rsid w:val="00800870"/>
    <w:rsid w:val="00800C66"/>
    <w:rsid w:val="00800D11"/>
    <w:rsid w:val="00801786"/>
    <w:rsid w:val="00801931"/>
    <w:rsid w:val="00801A42"/>
    <w:rsid w:val="00801E10"/>
    <w:rsid w:val="00801F0B"/>
    <w:rsid w:val="008021D5"/>
    <w:rsid w:val="0080242F"/>
    <w:rsid w:val="0080263E"/>
    <w:rsid w:val="0080263F"/>
    <w:rsid w:val="00802685"/>
    <w:rsid w:val="008029E0"/>
    <w:rsid w:val="00802A92"/>
    <w:rsid w:val="00802D9F"/>
    <w:rsid w:val="00802DF8"/>
    <w:rsid w:val="00802F0F"/>
    <w:rsid w:val="00803213"/>
    <w:rsid w:val="008032A6"/>
    <w:rsid w:val="008037BD"/>
    <w:rsid w:val="00803C40"/>
    <w:rsid w:val="00803F58"/>
    <w:rsid w:val="008043D1"/>
    <w:rsid w:val="0080459E"/>
    <w:rsid w:val="00804B4E"/>
    <w:rsid w:val="00804C6C"/>
    <w:rsid w:val="00804D31"/>
    <w:rsid w:val="00804D5A"/>
    <w:rsid w:val="00805356"/>
    <w:rsid w:val="00805444"/>
    <w:rsid w:val="008056C8"/>
    <w:rsid w:val="008058F1"/>
    <w:rsid w:val="00805B6E"/>
    <w:rsid w:val="008067B4"/>
    <w:rsid w:val="00806B90"/>
    <w:rsid w:val="00806BCC"/>
    <w:rsid w:val="00806CE3"/>
    <w:rsid w:val="00806CE4"/>
    <w:rsid w:val="00806CF7"/>
    <w:rsid w:val="00806DBD"/>
    <w:rsid w:val="008070EF"/>
    <w:rsid w:val="0080726D"/>
    <w:rsid w:val="008078A6"/>
    <w:rsid w:val="00807C0B"/>
    <w:rsid w:val="00807CD9"/>
    <w:rsid w:val="00807CF5"/>
    <w:rsid w:val="00807D3C"/>
    <w:rsid w:val="00807E21"/>
    <w:rsid w:val="00807F0C"/>
    <w:rsid w:val="008100A8"/>
    <w:rsid w:val="00810234"/>
    <w:rsid w:val="008106BE"/>
    <w:rsid w:val="00810A54"/>
    <w:rsid w:val="00810C99"/>
    <w:rsid w:val="00810D7E"/>
    <w:rsid w:val="00810FCE"/>
    <w:rsid w:val="00810FD3"/>
    <w:rsid w:val="00811026"/>
    <w:rsid w:val="00811307"/>
    <w:rsid w:val="00811651"/>
    <w:rsid w:val="008117A2"/>
    <w:rsid w:val="00811948"/>
    <w:rsid w:val="00811A4D"/>
    <w:rsid w:val="00811BA9"/>
    <w:rsid w:val="00811D63"/>
    <w:rsid w:val="00811DBA"/>
    <w:rsid w:val="00812900"/>
    <w:rsid w:val="00812E13"/>
    <w:rsid w:val="00812F9C"/>
    <w:rsid w:val="00812FB3"/>
    <w:rsid w:val="008131A6"/>
    <w:rsid w:val="00813338"/>
    <w:rsid w:val="008134C6"/>
    <w:rsid w:val="008138B9"/>
    <w:rsid w:val="00813959"/>
    <w:rsid w:val="008139AB"/>
    <w:rsid w:val="00813F7C"/>
    <w:rsid w:val="00813FCE"/>
    <w:rsid w:val="00814089"/>
    <w:rsid w:val="0081418F"/>
    <w:rsid w:val="0081424C"/>
    <w:rsid w:val="008146EA"/>
    <w:rsid w:val="00814AF5"/>
    <w:rsid w:val="008150DB"/>
    <w:rsid w:val="0081527B"/>
    <w:rsid w:val="008152F5"/>
    <w:rsid w:val="008158FD"/>
    <w:rsid w:val="00815A9B"/>
    <w:rsid w:val="00815AD8"/>
    <w:rsid w:val="00815E09"/>
    <w:rsid w:val="00815E17"/>
    <w:rsid w:val="00815FDF"/>
    <w:rsid w:val="00816092"/>
    <w:rsid w:val="0081630D"/>
    <w:rsid w:val="0081645B"/>
    <w:rsid w:val="00816777"/>
    <w:rsid w:val="0081678F"/>
    <w:rsid w:val="0081679A"/>
    <w:rsid w:val="008167F9"/>
    <w:rsid w:val="00816BFA"/>
    <w:rsid w:val="00816C38"/>
    <w:rsid w:val="008171F4"/>
    <w:rsid w:val="00817279"/>
    <w:rsid w:val="008172BD"/>
    <w:rsid w:val="008174CE"/>
    <w:rsid w:val="00817861"/>
    <w:rsid w:val="00817AF2"/>
    <w:rsid w:val="00817CA7"/>
    <w:rsid w:val="00817ECD"/>
    <w:rsid w:val="00817FB3"/>
    <w:rsid w:val="008200D1"/>
    <w:rsid w:val="00820413"/>
    <w:rsid w:val="00820AF5"/>
    <w:rsid w:val="00820D30"/>
    <w:rsid w:val="00821378"/>
    <w:rsid w:val="0082156E"/>
    <w:rsid w:val="008215D1"/>
    <w:rsid w:val="008216D1"/>
    <w:rsid w:val="00821896"/>
    <w:rsid w:val="00821C9B"/>
    <w:rsid w:val="00821E55"/>
    <w:rsid w:val="00821F6F"/>
    <w:rsid w:val="00821FDD"/>
    <w:rsid w:val="00822353"/>
    <w:rsid w:val="008223D7"/>
    <w:rsid w:val="00822813"/>
    <w:rsid w:val="00822896"/>
    <w:rsid w:val="00822CE9"/>
    <w:rsid w:val="00822DA4"/>
    <w:rsid w:val="00822E8C"/>
    <w:rsid w:val="0082313A"/>
    <w:rsid w:val="00823243"/>
    <w:rsid w:val="00823495"/>
    <w:rsid w:val="0082383F"/>
    <w:rsid w:val="00823C1C"/>
    <w:rsid w:val="00823DEE"/>
    <w:rsid w:val="00823E7A"/>
    <w:rsid w:val="0082436E"/>
    <w:rsid w:val="008245F2"/>
    <w:rsid w:val="0082467C"/>
    <w:rsid w:val="0082477A"/>
    <w:rsid w:val="008247A4"/>
    <w:rsid w:val="00824844"/>
    <w:rsid w:val="0082496D"/>
    <w:rsid w:val="00824AB6"/>
    <w:rsid w:val="00824E2C"/>
    <w:rsid w:val="008256B2"/>
    <w:rsid w:val="00825A7F"/>
    <w:rsid w:val="00825D93"/>
    <w:rsid w:val="00825DE3"/>
    <w:rsid w:val="00825F18"/>
    <w:rsid w:val="00826274"/>
    <w:rsid w:val="00826545"/>
    <w:rsid w:val="008265F8"/>
    <w:rsid w:val="00826A77"/>
    <w:rsid w:val="00826CC2"/>
    <w:rsid w:val="00826D31"/>
    <w:rsid w:val="00826FA0"/>
    <w:rsid w:val="00827249"/>
    <w:rsid w:val="008273B4"/>
    <w:rsid w:val="008273D7"/>
    <w:rsid w:val="00827423"/>
    <w:rsid w:val="008274D3"/>
    <w:rsid w:val="0082756A"/>
    <w:rsid w:val="0082774A"/>
    <w:rsid w:val="00827AED"/>
    <w:rsid w:val="00827D38"/>
    <w:rsid w:val="00827E5D"/>
    <w:rsid w:val="00827FEC"/>
    <w:rsid w:val="008301AA"/>
    <w:rsid w:val="008303DA"/>
    <w:rsid w:val="008304F9"/>
    <w:rsid w:val="00830591"/>
    <w:rsid w:val="008305F8"/>
    <w:rsid w:val="008306F1"/>
    <w:rsid w:val="00830A33"/>
    <w:rsid w:val="00831211"/>
    <w:rsid w:val="0083124D"/>
    <w:rsid w:val="0083135E"/>
    <w:rsid w:val="00832249"/>
    <w:rsid w:val="008324F2"/>
    <w:rsid w:val="00832681"/>
    <w:rsid w:val="008328FE"/>
    <w:rsid w:val="0083295E"/>
    <w:rsid w:val="00832AA1"/>
    <w:rsid w:val="00832B9C"/>
    <w:rsid w:val="00832E12"/>
    <w:rsid w:val="00832F0D"/>
    <w:rsid w:val="0083341A"/>
    <w:rsid w:val="0083382E"/>
    <w:rsid w:val="0083385D"/>
    <w:rsid w:val="00833B38"/>
    <w:rsid w:val="00833F2D"/>
    <w:rsid w:val="00834590"/>
    <w:rsid w:val="008348D9"/>
    <w:rsid w:val="00834976"/>
    <w:rsid w:val="00835446"/>
    <w:rsid w:val="00835549"/>
    <w:rsid w:val="00835802"/>
    <w:rsid w:val="00835863"/>
    <w:rsid w:val="00835A2E"/>
    <w:rsid w:val="00835ADD"/>
    <w:rsid w:val="00835CF4"/>
    <w:rsid w:val="00835DED"/>
    <w:rsid w:val="0083601B"/>
    <w:rsid w:val="0083602B"/>
    <w:rsid w:val="008360C4"/>
    <w:rsid w:val="0083626C"/>
    <w:rsid w:val="008362D2"/>
    <w:rsid w:val="00836684"/>
    <w:rsid w:val="00836967"/>
    <w:rsid w:val="00836E5F"/>
    <w:rsid w:val="00836ED1"/>
    <w:rsid w:val="00836F42"/>
    <w:rsid w:val="0083702F"/>
    <w:rsid w:val="0083743F"/>
    <w:rsid w:val="0083797F"/>
    <w:rsid w:val="00837B28"/>
    <w:rsid w:val="00840068"/>
    <w:rsid w:val="008403CE"/>
    <w:rsid w:val="0084048B"/>
    <w:rsid w:val="00840537"/>
    <w:rsid w:val="008405B7"/>
    <w:rsid w:val="0084088D"/>
    <w:rsid w:val="0084096D"/>
    <w:rsid w:val="00841383"/>
    <w:rsid w:val="0084176F"/>
    <w:rsid w:val="00841870"/>
    <w:rsid w:val="008418D7"/>
    <w:rsid w:val="00841DB7"/>
    <w:rsid w:val="00841EAC"/>
    <w:rsid w:val="008421DC"/>
    <w:rsid w:val="008424CA"/>
    <w:rsid w:val="0084269C"/>
    <w:rsid w:val="00842A0E"/>
    <w:rsid w:val="00842AC3"/>
    <w:rsid w:val="00842FE7"/>
    <w:rsid w:val="00843AEC"/>
    <w:rsid w:val="00843B54"/>
    <w:rsid w:val="00843D71"/>
    <w:rsid w:val="00843E17"/>
    <w:rsid w:val="00843F76"/>
    <w:rsid w:val="008443FE"/>
    <w:rsid w:val="00844663"/>
    <w:rsid w:val="00844750"/>
    <w:rsid w:val="0084480D"/>
    <w:rsid w:val="0084489B"/>
    <w:rsid w:val="00844BB8"/>
    <w:rsid w:val="00844CC2"/>
    <w:rsid w:val="00844F85"/>
    <w:rsid w:val="008455A5"/>
    <w:rsid w:val="008456B5"/>
    <w:rsid w:val="00845A1B"/>
    <w:rsid w:val="00845A88"/>
    <w:rsid w:val="00845D60"/>
    <w:rsid w:val="00845D9E"/>
    <w:rsid w:val="00845E6F"/>
    <w:rsid w:val="00845E91"/>
    <w:rsid w:val="008461EF"/>
    <w:rsid w:val="0084669D"/>
    <w:rsid w:val="008466CB"/>
    <w:rsid w:val="008468C2"/>
    <w:rsid w:val="00846D50"/>
    <w:rsid w:val="0084700E"/>
    <w:rsid w:val="00847785"/>
    <w:rsid w:val="00847B13"/>
    <w:rsid w:val="00847C4D"/>
    <w:rsid w:val="00847DDB"/>
    <w:rsid w:val="00847E32"/>
    <w:rsid w:val="00847ECF"/>
    <w:rsid w:val="0084A3D3"/>
    <w:rsid w:val="0084DC5B"/>
    <w:rsid w:val="008501DE"/>
    <w:rsid w:val="00850665"/>
    <w:rsid w:val="008506E2"/>
    <w:rsid w:val="00850869"/>
    <w:rsid w:val="00850D09"/>
    <w:rsid w:val="00850E6F"/>
    <w:rsid w:val="008511CA"/>
    <w:rsid w:val="00851596"/>
    <w:rsid w:val="008515BA"/>
    <w:rsid w:val="00851C77"/>
    <w:rsid w:val="008522A4"/>
    <w:rsid w:val="00852B1D"/>
    <w:rsid w:val="00852D0A"/>
    <w:rsid w:val="00852D3A"/>
    <w:rsid w:val="00852DF3"/>
    <w:rsid w:val="008530FE"/>
    <w:rsid w:val="00853172"/>
    <w:rsid w:val="008537DC"/>
    <w:rsid w:val="00853892"/>
    <w:rsid w:val="0085444C"/>
    <w:rsid w:val="008544BD"/>
    <w:rsid w:val="00854871"/>
    <w:rsid w:val="00854914"/>
    <w:rsid w:val="0085495B"/>
    <w:rsid w:val="00854D1E"/>
    <w:rsid w:val="00854E96"/>
    <w:rsid w:val="00854FC1"/>
    <w:rsid w:val="00855935"/>
    <w:rsid w:val="00855936"/>
    <w:rsid w:val="00855EB8"/>
    <w:rsid w:val="008560FE"/>
    <w:rsid w:val="00856732"/>
    <w:rsid w:val="00856A31"/>
    <w:rsid w:val="00856AE8"/>
    <w:rsid w:val="00856B4B"/>
    <w:rsid w:val="00856CF2"/>
    <w:rsid w:val="00856CF5"/>
    <w:rsid w:val="00856F6A"/>
    <w:rsid w:val="00856FBE"/>
    <w:rsid w:val="00857355"/>
    <w:rsid w:val="00857472"/>
    <w:rsid w:val="008575DC"/>
    <w:rsid w:val="0085787C"/>
    <w:rsid w:val="008578DC"/>
    <w:rsid w:val="008578F1"/>
    <w:rsid w:val="008579B7"/>
    <w:rsid w:val="00857E95"/>
    <w:rsid w:val="00860515"/>
    <w:rsid w:val="00860568"/>
    <w:rsid w:val="008605F3"/>
    <w:rsid w:val="00860814"/>
    <w:rsid w:val="00860A9A"/>
    <w:rsid w:val="00861080"/>
    <w:rsid w:val="008611A2"/>
    <w:rsid w:val="008611FD"/>
    <w:rsid w:val="008612D1"/>
    <w:rsid w:val="00861576"/>
    <w:rsid w:val="00861A12"/>
    <w:rsid w:val="00861B6D"/>
    <w:rsid w:val="00861B8C"/>
    <w:rsid w:val="00861BBC"/>
    <w:rsid w:val="00861D2C"/>
    <w:rsid w:val="00861ED9"/>
    <w:rsid w:val="00862148"/>
    <w:rsid w:val="0086279D"/>
    <w:rsid w:val="008628A0"/>
    <w:rsid w:val="008630BE"/>
    <w:rsid w:val="008638CF"/>
    <w:rsid w:val="008639C6"/>
    <w:rsid w:val="00863B79"/>
    <w:rsid w:val="00863B92"/>
    <w:rsid w:val="00863FF3"/>
    <w:rsid w:val="008642B8"/>
    <w:rsid w:val="0086437A"/>
    <w:rsid w:val="00864963"/>
    <w:rsid w:val="00864B3F"/>
    <w:rsid w:val="00864F29"/>
    <w:rsid w:val="00865143"/>
    <w:rsid w:val="00865226"/>
    <w:rsid w:val="0086529C"/>
    <w:rsid w:val="0086543B"/>
    <w:rsid w:val="00865485"/>
    <w:rsid w:val="008655CF"/>
    <w:rsid w:val="008659B9"/>
    <w:rsid w:val="00865DF2"/>
    <w:rsid w:val="00865F48"/>
    <w:rsid w:val="00866094"/>
    <w:rsid w:val="00866405"/>
    <w:rsid w:val="008666A3"/>
    <w:rsid w:val="00866A30"/>
    <w:rsid w:val="00866FBB"/>
    <w:rsid w:val="00867366"/>
    <w:rsid w:val="008674CC"/>
    <w:rsid w:val="008674F9"/>
    <w:rsid w:val="0086763F"/>
    <w:rsid w:val="00867952"/>
    <w:rsid w:val="00867D0D"/>
    <w:rsid w:val="00867E10"/>
    <w:rsid w:val="008707BB"/>
    <w:rsid w:val="0087093A"/>
    <w:rsid w:val="008709B6"/>
    <w:rsid w:val="00870B01"/>
    <w:rsid w:val="00871186"/>
    <w:rsid w:val="008712AE"/>
    <w:rsid w:val="008713F5"/>
    <w:rsid w:val="008718A5"/>
    <w:rsid w:val="008719BA"/>
    <w:rsid w:val="00871C28"/>
    <w:rsid w:val="00871DD3"/>
    <w:rsid w:val="00872143"/>
    <w:rsid w:val="008721C4"/>
    <w:rsid w:val="008722B5"/>
    <w:rsid w:val="00872A22"/>
    <w:rsid w:val="00873093"/>
    <w:rsid w:val="0087327C"/>
    <w:rsid w:val="0087331C"/>
    <w:rsid w:val="008734A4"/>
    <w:rsid w:val="008737A0"/>
    <w:rsid w:val="00873B66"/>
    <w:rsid w:val="00873C15"/>
    <w:rsid w:val="00873F4C"/>
    <w:rsid w:val="00873F77"/>
    <w:rsid w:val="008747CE"/>
    <w:rsid w:val="00874821"/>
    <w:rsid w:val="008749A5"/>
    <w:rsid w:val="00874A8D"/>
    <w:rsid w:val="00874B3B"/>
    <w:rsid w:val="00874DD7"/>
    <w:rsid w:val="00874E67"/>
    <w:rsid w:val="00874F59"/>
    <w:rsid w:val="0087523B"/>
    <w:rsid w:val="0087560B"/>
    <w:rsid w:val="0087599A"/>
    <w:rsid w:val="00875BA3"/>
    <w:rsid w:val="00875DB3"/>
    <w:rsid w:val="00875EDF"/>
    <w:rsid w:val="00876076"/>
    <w:rsid w:val="00876140"/>
    <w:rsid w:val="00876359"/>
    <w:rsid w:val="0087663A"/>
    <w:rsid w:val="008766EE"/>
    <w:rsid w:val="00876709"/>
    <w:rsid w:val="008767EE"/>
    <w:rsid w:val="0087708E"/>
    <w:rsid w:val="00877216"/>
    <w:rsid w:val="00877A73"/>
    <w:rsid w:val="00877CD1"/>
    <w:rsid w:val="00877FDE"/>
    <w:rsid w:val="00880335"/>
    <w:rsid w:val="00880384"/>
    <w:rsid w:val="008803A8"/>
    <w:rsid w:val="0088040F"/>
    <w:rsid w:val="00880590"/>
    <w:rsid w:val="008809FE"/>
    <w:rsid w:val="00880B65"/>
    <w:rsid w:val="00880EC9"/>
    <w:rsid w:val="008811DA"/>
    <w:rsid w:val="008813A3"/>
    <w:rsid w:val="008817A5"/>
    <w:rsid w:val="0088199A"/>
    <w:rsid w:val="00881B5B"/>
    <w:rsid w:val="00881B99"/>
    <w:rsid w:val="00881C8F"/>
    <w:rsid w:val="00881E82"/>
    <w:rsid w:val="00881EF8"/>
    <w:rsid w:val="00882004"/>
    <w:rsid w:val="008820D7"/>
    <w:rsid w:val="0088222C"/>
    <w:rsid w:val="00882246"/>
    <w:rsid w:val="00883056"/>
    <w:rsid w:val="008830C0"/>
    <w:rsid w:val="008832B4"/>
    <w:rsid w:val="00883562"/>
    <w:rsid w:val="00883D22"/>
    <w:rsid w:val="00883F12"/>
    <w:rsid w:val="00884112"/>
    <w:rsid w:val="0088416C"/>
    <w:rsid w:val="0088417F"/>
    <w:rsid w:val="00884D0A"/>
    <w:rsid w:val="00884DFD"/>
    <w:rsid w:val="00884E1C"/>
    <w:rsid w:val="008850F0"/>
    <w:rsid w:val="0088514F"/>
    <w:rsid w:val="008851E6"/>
    <w:rsid w:val="008854E0"/>
    <w:rsid w:val="00885548"/>
    <w:rsid w:val="0088559A"/>
    <w:rsid w:val="008855FE"/>
    <w:rsid w:val="00885715"/>
    <w:rsid w:val="00885830"/>
    <w:rsid w:val="008858AB"/>
    <w:rsid w:val="00886231"/>
    <w:rsid w:val="00886506"/>
    <w:rsid w:val="008867BD"/>
    <w:rsid w:val="00886A16"/>
    <w:rsid w:val="00886A20"/>
    <w:rsid w:val="00886AEF"/>
    <w:rsid w:val="00886AF2"/>
    <w:rsid w:val="00886F11"/>
    <w:rsid w:val="00887085"/>
    <w:rsid w:val="008871C8"/>
    <w:rsid w:val="0088722A"/>
    <w:rsid w:val="008873AC"/>
    <w:rsid w:val="00887509"/>
    <w:rsid w:val="008875DD"/>
    <w:rsid w:val="00887832"/>
    <w:rsid w:val="00887E35"/>
    <w:rsid w:val="008902A1"/>
    <w:rsid w:val="0089073A"/>
    <w:rsid w:val="00890827"/>
    <w:rsid w:val="00890967"/>
    <w:rsid w:val="00890AA2"/>
    <w:rsid w:val="00890C32"/>
    <w:rsid w:val="00890C48"/>
    <w:rsid w:val="00890D8F"/>
    <w:rsid w:val="00891296"/>
    <w:rsid w:val="00891352"/>
    <w:rsid w:val="008913A5"/>
    <w:rsid w:val="00891560"/>
    <w:rsid w:val="00891B31"/>
    <w:rsid w:val="00891C75"/>
    <w:rsid w:val="00891CA1"/>
    <w:rsid w:val="00891CD7"/>
    <w:rsid w:val="00891D40"/>
    <w:rsid w:val="00891F37"/>
    <w:rsid w:val="00892248"/>
    <w:rsid w:val="008922A5"/>
    <w:rsid w:val="00892698"/>
    <w:rsid w:val="00892699"/>
    <w:rsid w:val="008926FB"/>
    <w:rsid w:val="008928FC"/>
    <w:rsid w:val="00892A60"/>
    <w:rsid w:val="00892D6B"/>
    <w:rsid w:val="00892E11"/>
    <w:rsid w:val="00893600"/>
    <w:rsid w:val="00893B33"/>
    <w:rsid w:val="00893FA4"/>
    <w:rsid w:val="008940DF"/>
    <w:rsid w:val="00894134"/>
    <w:rsid w:val="008942DB"/>
    <w:rsid w:val="0089445C"/>
    <w:rsid w:val="00894B2D"/>
    <w:rsid w:val="00894C10"/>
    <w:rsid w:val="00894D64"/>
    <w:rsid w:val="00894D80"/>
    <w:rsid w:val="00894E17"/>
    <w:rsid w:val="00894FFA"/>
    <w:rsid w:val="00895283"/>
    <w:rsid w:val="00895600"/>
    <w:rsid w:val="0089560E"/>
    <w:rsid w:val="00895AEF"/>
    <w:rsid w:val="00895DA7"/>
    <w:rsid w:val="0089616C"/>
    <w:rsid w:val="008963F6"/>
    <w:rsid w:val="0089648B"/>
    <w:rsid w:val="008965E7"/>
    <w:rsid w:val="00896C9B"/>
    <w:rsid w:val="00897035"/>
    <w:rsid w:val="008972DF"/>
    <w:rsid w:val="00897540"/>
    <w:rsid w:val="008978AC"/>
    <w:rsid w:val="00897B17"/>
    <w:rsid w:val="008A051A"/>
    <w:rsid w:val="008A06A6"/>
    <w:rsid w:val="008A08AA"/>
    <w:rsid w:val="008A0A85"/>
    <w:rsid w:val="008A0C00"/>
    <w:rsid w:val="008A0DF4"/>
    <w:rsid w:val="008A0E6C"/>
    <w:rsid w:val="008A0EAF"/>
    <w:rsid w:val="008A10C0"/>
    <w:rsid w:val="008A1106"/>
    <w:rsid w:val="008A13C9"/>
    <w:rsid w:val="008A1972"/>
    <w:rsid w:val="008A1FB3"/>
    <w:rsid w:val="008A2598"/>
    <w:rsid w:val="008A2676"/>
    <w:rsid w:val="008A27FD"/>
    <w:rsid w:val="008A2804"/>
    <w:rsid w:val="008A2858"/>
    <w:rsid w:val="008A2B2F"/>
    <w:rsid w:val="008A2F9C"/>
    <w:rsid w:val="008A302A"/>
    <w:rsid w:val="008A31C8"/>
    <w:rsid w:val="008A3543"/>
    <w:rsid w:val="008A417B"/>
    <w:rsid w:val="008A459C"/>
    <w:rsid w:val="008A4648"/>
    <w:rsid w:val="008A490D"/>
    <w:rsid w:val="008A493D"/>
    <w:rsid w:val="008A4985"/>
    <w:rsid w:val="008A4B72"/>
    <w:rsid w:val="008A4C36"/>
    <w:rsid w:val="008A4E32"/>
    <w:rsid w:val="008A4E5E"/>
    <w:rsid w:val="008A51D5"/>
    <w:rsid w:val="008A57CC"/>
    <w:rsid w:val="008A5989"/>
    <w:rsid w:val="008A5A90"/>
    <w:rsid w:val="008A6105"/>
    <w:rsid w:val="008A624D"/>
    <w:rsid w:val="008A657D"/>
    <w:rsid w:val="008A65A7"/>
    <w:rsid w:val="008A6825"/>
    <w:rsid w:val="008A68B1"/>
    <w:rsid w:val="008A6DAF"/>
    <w:rsid w:val="008A6EA3"/>
    <w:rsid w:val="008A6F87"/>
    <w:rsid w:val="008A739A"/>
    <w:rsid w:val="008A73A5"/>
    <w:rsid w:val="008A75F7"/>
    <w:rsid w:val="008A7A42"/>
    <w:rsid w:val="008A7B0F"/>
    <w:rsid w:val="008A7BCC"/>
    <w:rsid w:val="008A7D4A"/>
    <w:rsid w:val="008A7E98"/>
    <w:rsid w:val="008B017D"/>
    <w:rsid w:val="008B01BC"/>
    <w:rsid w:val="008B06E2"/>
    <w:rsid w:val="008B076C"/>
    <w:rsid w:val="008B0ADF"/>
    <w:rsid w:val="008B0B44"/>
    <w:rsid w:val="008B0B9C"/>
    <w:rsid w:val="008B1027"/>
    <w:rsid w:val="008B1724"/>
    <w:rsid w:val="008B1B77"/>
    <w:rsid w:val="008B1BD7"/>
    <w:rsid w:val="008B2561"/>
    <w:rsid w:val="008B26E6"/>
    <w:rsid w:val="008B2CE4"/>
    <w:rsid w:val="008B3098"/>
    <w:rsid w:val="008B311B"/>
    <w:rsid w:val="008B3159"/>
    <w:rsid w:val="008B329E"/>
    <w:rsid w:val="008B334D"/>
    <w:rsid w:val="008B36C9"/>
    <w:rsid w:val="008B4216"/>
    <w:rsid w:val="008B42D6"/>
    <w:rsid w:val="008B4520"/>
    <w:rsid w:val="008B45C9"/>
    <w:rsid w:val="008B4AF9"/>
    <w:rsid w:val="008B4E57"/>
    <w:rsid w:val="008B5021"/>
    <w:rsid w:val="008B50CF"/>
    <w:rsid w:val="008B55AE"/>
    <w:rsid w:val="008B55D9"/>
    <w:rsid w:val="008B5A7B"/>
    <w:rsid w:val="008B5BB1"/>
    <w:rsid w:val="008B5BFC"/>
    <w:rsid w:val="008B5C10"/>
    <w:rsid w:val="008B5EF1"/>
    <w:rsid w:val="008B614F"/>
    <w:rsid w:val="008B61C1"/>
    <w:rsid w:val="008B63B0"/>
    <w:rsid w:val="008B682E"/>
    <w:rsid w:val="008B696F"/>
    <w:rsid w:val="008B6B26"/>
    <w:rsid w:val="008B6B9B"/>
    <w:rsid w:val="008B6C66"/>
    <w:rsid w:val="008B6F53"/>
    <w:rsid w:val="008B6FCD"/>
    <w:rsid w:val="008B7471"/>
    <w:rsid w:val="008B7578"/>
    <w:rsid w:val="008B7816"/>
    <w:rsid w:val="008B7A84"/>
    <w:rsid w:val="008B7B25"/>
    <w:rsid w:val="008B7EFE"/>
    <w:rsid w:val="008C02C6"/>
    <w:rsid w:val="008C08C5"/>
    <w:rsid w:val="008C0D8C"/>
    <w:rsid w:val="008C1130"/>
    <w:rsid w:val="008C1264"/>
    <w:rsid w:val="008C1354"/>
    <w:rsid w:val="008C2211"/>
    <w:rsid w:val="008C2762"/>
    <w:rsid w:val="008C2886"/>
    <w:rsid w:val="008C289D"/>
    <w:rsid w:val="008C2A7A"/>
    <w:rsid w:val="008C2AA2"/>
    <w:rsid w:val="008C2AC4"/>
    <w:rsid w:val="008C2F49"/>
    <w:rsid w:val="008C3075"/>
    <w:rsid w:val="008C3161"/>
    <w:rsid w:val="008C3816"/>
    <w:rsid w:val="008C39A7"/>
    <w:rsid w:val="008C3D5D"/>
    <w:rsid w:val="008C43A0"/>
    <w:rsid w:val="008C4A07"/>
    <w:rsid w:val="008C4BA2"/>
    <w:rsid w:val="008C4DDB"/>
    <w:rsid w:val="008C4E97"/>
    <w:rsid w:val="008C518A"/>
    <w:rsid w:val="008C536C"/>
    <w:rsid w:val="008C536E"/>
    <w:rsid w:val="008C56D1"/>
    <w:rsid w:val="008C57C8"/>
    <w:rsid w:val="008C5A57"/>
    <w:rsid w:val="008C5AAE"/>
    <w:rsid w:val="008C5F43"/>
    <w:rsid w:val="008C5F4E"/>
    <w:rsid w:val="008C65A3"/>
    <w:rsid w:val="008C6C57"/>
    <w:rsid w:val="008C7048"/>
    <w:rsid w:val="008C7320"/>
    <w:rsid w:val="008C7377"/>
    <w:rsid w:val="008C77C4"/>
    <w:rsid w:val="008C79CB"/>
    <w:rsid w:val="008C7AB6"/>
    <w:rsid w:val="008C7AF8"/>
    <w:rsid w:val="008C7C26"/>
    <w:rsid w:val="008C7D54"/>
    <w:rsid w:val="008D01CE"/>
    <w:rsid w:val="008D03D5"/>
    <w:rsid w:val="008D050B"/>
    <w:rsid w:val="008D08C8"/>
    <w:rsid w:val="008D0A58"/>
    <w:rsid w:val="008D0D1B"/>
    <w:rsid w:val="008D1266"/>
    <w:rsid w:val="008D1549"/>
    <w:rsid w:val="008D18AD"/>
    <w:rsid w:val="008D1E65"/>
    <w:rsid w:val="008D220C"/>
    <w:rsid w:val="008D2240"/>
    <w:rsid w:val="008D2265"/>
    <w:rsid w:val="008D2296"/>
    <w:rsid w:val="008D2500"/>
    <w:rsid w:val="008D275D"/>
    <w:rsid w:val="008D3011"/>
    <w:rsid w:val="008D30F4"/>
    <w:rsid w:val="008D3168"/>
    <w:rsid w:val="008D32D9"/>
    <w:rsid w:val="008D37C9"/>
    <w:rsid w:val="008D3875"/>
    <w:rsid w:val="008D3982"/>
    <w:rsid w:val="008D39A8"/>
    <w:rsid w:val="008D39A9"/>
    <w:rsid w:val="008D3A60"/>
    <w:rsid w:val="008D3A7B"/>
    <w:rsid w:val="008D3B72"/>
    <w:rsid w:val="008D3C7E"/>
    <w:rsid w:val="008D3F3F"/>
    <w:rsid w:val="008D40C3"/>
    <w:rsid w:val="008D4391"/>
    <w:rsid w:val="008D4598"/>
    <w:rsid w:val="008D45A0"/>
    <w:rsid w:val="008D4832"/>
    <w:rsid w:val="008D4BDF"/>
    <w:rsid w:val="008D4CCB"/>
    <w:rsid w:val="008D4DBC"/>
    <w:rsid w:val="008D524E"/>
    <w:rsid w:val="008D567F"/>
    <w:rsid w:val="008D5896"/>
    <w:rsid w:val="008D5DA5"/>
    <w:rsid w:val="008D5DB4"/>
    <w:rsid w:val="008D62BA"/>
    <w:rsid w:val="008D62E9"/>
    <w:rsid w:val="008D634B"/>
    <w:rsid w:val="008D66E0"/>
    <w:rsid w:val="008D706C"/>
    <w:rsid w:val="008D7088"/>
    <w:rsid w:val="008D70D4"/>
    <w:rsid w:val="008D71B5"/>
    <w:rsid w:val="008D727F"/>
    <w:rsid w:val="008D7478"/>
    <w:rsid w:val="008D7C5B"/>
    <w:rsid w:val="008D7C82"/>
    <w:rsid w:val="008D7E14"/>
    <w:rsid w:val="008D7F21"/>
    <w:rsid w:val="008E0214"/>
    <w:rsid w:val="008E0759"/>
    <w:rsid w:val="008E0A7C"/>
    <w:rsid w:val="008E0B07"/>
    <w:rsid w:val="008E0D14"/>
    <w:rsid w:val="008E0F1B"/>
    <w:rsid w:val="008E1026"/>
    <w:rsid w:val="008E121E"/>
    <w:rsid w:val="008E145E"/>
    <w:rsid w:val="008E24B8"/>
    <w:rsid w:val="008E26B7"/>
    <w:rsid w:val="008E3385"/>
    <w:rsid w:val="008E35C8"/>
    <w:rsid w:val="008E362A"/>
    <w:rsid w:val="008E36E5"/>
    <w:rsid w:val="008E3A7E"/>
    <w:rsid w:val="008E3B43"/>
    <w:rsid w:val="008E43A2"/>
    <w:rsid w:val="008E43D7"/>
    <w:rsid w:val="008E43FF"/>
    <w:rsid w:val="008E4A71"/>
    <w:rsid w:val="008E4CED"/>
    <w:rsid w:val="008E4F45"/>
    <w:rsid w:val="008E50D5"/>
    <w:rsid w:val="008E56CE"/>
    <w:rsid w:val="008E5863"/>
    <w:rsid w:val="008E58AD"/>
    <w:rsid w:val="008E5DF7"/>
    <w:rsid w:val="008E6073"/>
    <w:rsid w:val="008E60FF"/>
    <w:rsid w:val="008E64D4"/>
    <w:rsid w:val="008E6680"/>
    <w:rsid w:val="008E669F"/>
    <w:rsid w:val="008E6C4B"/>
    <w:rsid w:val="008E6D3E"/>
    <w:rsid w:val="008E7069"/>
    <w:rsid w:val="008E71DD"/>
    <w:rsid w:val="008E72F8"/>
    <w:rsid w:val="008E74D5"/>
    <w:rsid w:val="008E7512"/>
    <w:rsid w:val="008E78C1"/>
    <w:rsid w:val="008E7CD4"/>
    <w:rsid w:val="008E7D98"/>
    <w:rsid w:val="008F0765"/>
    <w:rsid w:val="008F0AA5"/>
    <w:rsid w:val="008F10B7"/>
    <w:rsid w:val="008F14BA"/>
    <w:rsid w:val="008F150E"/>
    <w:rsid w:val="008F1722"/>
    <w:rsid w:val="008F1B58"/>
    <w:rsid w:val="008F1D68"/>
    <w:rsid w:val="008F1E1B"/>
    <w:rsid w:val="008F20C1"/>
    <w:rsid w:val="008F2380"/>
    <w:rsid w:val="008F24C3"/>
    <w:rsid w:val="008F2B07"/>
    <w:rsid w:val="008F2B4D"/>
    <w:rsid w:val="008F2E68"/>
    <w:rsid w:val="008F2F8F"/>
    <w:rsid w:val="008F3227"/>
    <w:rsid w:val="008F3582"/>
    <w:rsid w:val="008F36EF"/>
    <w:rsid w:val="008F3A1C"/>
    <w:rsid w:val="008F3BCC"/>
    <w:rsid w:val="008F3E8B"/>
    <w:rsid w:val="008F3F41"/>
    <w:rsid w:val="008F4818"/>
    <w:rsid w:val="008F483A"/>
    <w:rsid w:val="008F4D52"/>
    <w:rsid w:val="008F4E0B"/>
    <w:rsid w:val="008F4E43"/>
    <w:rsid w:val="008F4EE4"/>
    <w:rsid w:val="008F4FEF"/>
    <w:rsid w:val="008F548B"/>
    <w:rsid w:val="008F54C2"/>
    <w:rsid w:val="008F55CD"/>
    <w:rsid w:val="008F57C0"/>
    <w:rsid w:val="008F59AD"/>
    <w:rsid w:val="008F5CB0"/>
    <w:rsid w:val="008F5F42"/>
    <w:rsid w:val="008F5FDE"/>
    <w:rsid w:val="008F603F"/>
    <w:rsid w:val="008F60BE"/>
    <w:rsid w:val="008F630A"/>
    <w:rsid w:val="008F65C1"/>
    <w:rsid w:val="008F6790"/>
    <w:rsid w:val="008F6995"/>
    <w:rsid w:val="008F7015"/>
    <w:rsid w:val="008F702B"/>
    <w:rsid w:val="008F711E"/>
    <w:rsid w:val="008F7592"/>
    <w:rsid w:val="008F782B"/>
    <w:rsid w:val="008F7B99"/>
    <w:rsid w:val="008F7EFB"/>
    <w:rsid w:val="0090021B"/>
    <w:rsid w:val="009003F5"/>
    <w:rsid w:val="0090041C"/>
    <w:rsid w:val="0090079C"/>
    <w:rsid w:val="00900B0D"/>
    <w:rsid w:val="00900D2B"/>
    <w:rsid w:val="00900D8C"/>
    <w:rsid w:val="00900E77"/>
    <w:rsid w:val="009010DD"/>
    <w:rsid w:val="00901113"/>
    <w:rsid w:val="00901331"/>
    <w:rsid w:val="00901462"/>
    <w:rsid w:val="009016BC"/>
    <w:rsid w:val="009016EB"/>
    <w:rsid w:val="00902119"/>
    <w:rsid w:val="00902123"/>
    <w:rsid w:val="009023F2"/>
    <w:rsid w:val="0090244D"/>
    <w:rsid w:val="00902A04"/>
    <w:rsid w:val="00902A99"/>
    <w:rsid w:val="00902E22"/>
    <w:rsid w:val="0090368B"/>
    <w:rsid w:val="00903A46"/>
    <w:rsid w:val="00903CE7"/>
    <w:rsid w:val="00903EF4"/>
    <w:rsid w:val="00903F07"/>
    <w:rsid w:val="009041E8"/>
    <w:rsid w:val="0090428E"/>
    <w:rsid w:val="00904924"/>
    <w:rsid w:val="00904A74"/>
    <w:rsid w:val="00904AA3"/>
    <w:rsid w:val="00904C71"/>
    <w:rsid w:val="00904E98"/>
    <w:rsid w:val="009053B3"/>
    <w:rsid w:val="00905443"/>
    <w:rsid w:val="00905BDB"/>
    <w:rsid w:val="00905BDF"/>
    <w:rsid w:val="00905FD0"/>
    <w:rsid w:val="0090643F"/>
    <w:rsid w:val="00906794"/>
    <w:rsid w:val="00906DC5"/>
    <w:rsid w:val="00906FEE"/>
    <w:rsid w:val="00907146"/>
    <w:rsid w:val="009075AA"/>
    <w:rsid w:val="00907996"/>
    <w:rsid w:val="00907A3D"/>
    <w:rsid w:val="00907C6A"/>
    <w:rsid w:val="009109B4"/>
    <w:rsid w:val="00910A85"/>
    <w:rsid w:val="00910B80"/>
    <w:rsid w:val="00911359"/>
    <w:rsid w:val="00911572"/>
    <w:rsid w:val="00911696"/>
    <w:rsid w:val="0091176F"/>
    <w:rsid w:val="0091190C"/>
    <w:rsid w:val="009119F2"/>
    <w:rsid w:val="00911D41"/>
    <w:rsid w:val="00912066"/>
    <w:rsid w:val="00912353"/>
    <w:rsid w:val="00912942"/>
    <w:rsid w:val="00912A58"/>
    <w:rsid w:val="00912C0E"/>
    <w:rsid w:val="00912C8C"/>
    <w:rsid w:val="00912D38"/>
    <w:rsid w:val="0091319C"/>
    <w:rsid w:val="00913B49"/>
    <w:rsid w:val="00913C24"/>
    <w:rsid w:val="00913F10"/>
    <w:rsid w:val="009141AB"/>
    <w:rsid w:val="00914228"/>
    <w:rsid w:val="0091422C"/>
    <w:rsid w:val="009143A2"/>
    <w:rsid w:val="0091448A"/>
    <w:rsid w:val="00914AA4"/>
    <w:rsid w:val="00914E56"/>
    <w:rsid w:val="00914FFD"/>
    <w:rsid w:val="0091501C"/>
    <w:rsid w:val="00915344"/>
    <w:rsid w:val="009158F2"/>
    <w:rsid w:val="009159B6"/>
    <w:rsid w:val="00916061"/>
    <w:rsid w:val="009162C3"/>
    <w:rsid w:val="009163C7"/>
    <w:rsid w:val="0091646E"/>
    <w:rsid w:val="009164A8"/>
    <w:rsid w:val="0091666E"/>
    <w:rsid w:val="00916724"/>
    <w:rsid w:val="009167A2"/>
    <w:rsid w:val="00916BA6"/>
    <w:rsid w:val="00916C0C"/>
    <w:rsid w:val="00916FDC"/>
    <w:rsid w:val="00917014"/>
    <w:rsid w:val="00917086"/>
    <w:rsid w:val="00917582"/>
    <w:rsid w:val="009175C7"/>
    <w:rsid w:val="0091769C"/>
    <w:rsid w:val="00917782"/>
    <w:rsid w:val="00917BFC"/>
    <w:rsid w:val="00917F3D"/>
    <w:rsid w:val="009203AC"/>
    <w:rsid w:val="009203D7"/>
    <w:rsid w:val="0092045F"/>
    <w:rsid w:val="00920631"/>
    <w:rsid w:val="00920665"/>
    <w:rsid w:val="00920683"/>
    <w:rsid w:val="009206B6"/>
    <w:rsid w:val="00920933"/>
    <w:rsid w:val="00920B4A"/>
    <w:rsid w:val="00920EB5"/>
    <w:rsid w:val="00920FC0"/>
    <w:rsid w:val="009212F0"/>
    <w:rsid w:val="009214AB"/>
    <w:rsid w:val="00921BEE"/>
    <w:rsid w:val="00921CB9"/>
    <w:rsid w:val="00921CFD"/>
    <w:rsid w:val="0092217A"/>
    <w:rsid w:val="00922184"/>
    <w:rsid w:val="009221E9"/>
    <w:rsid w:val="009221F3"/>
    <w:rsid w:val="00922CEE"/>
    <w:rsid w:val="0092312C"/>
    <w:rsid w:val="00923183"/>
    <w:rsid w:val="0092358B"/>
    <w:rsid w:val="009236D3"/>
    <w:rsid w:val="00923AAE"/>
    <w:rsid w:val="00923EE2"/>
    <w:rsid w:val="00924123"/>
    <w:rsid w:val="00924166"/>
    <w:rsid w:val="00924181"/>
    <w:rsid w:val="00924206"/>
    <w:rsid w:val="00924978"/>
    <w:rsid w:val="00924EF5"/>
    <w:rsid w:val="00924F99"/>
    <w:rsid w:val="00924F9B"/>
    <w:rsid w:val="00925498"/>
    <w:rsid w:val="009254A4"/>
    <w:rsid w:val="009256A2"/>
    <w:rsid w:val="00925734"/>
    <w:rsid w:val="00925804"/>
    <w:rsid w:val="0092591A"/>
    <w:rsid w:val="00925D5E"/>
    <w:rsid w:val="00926054"/>
    <w:rsid w:val="00926511"/>
    <w:rsid w:val="0092668C"/>
    <w:rsid w:val="00926DF8"/>
    <w:rsid w:val="00927072"/>
    <w:rsid w:val="00927127"/>
    <w:rsid w:val="009276F9"/>
    <w:rsid w:val="00927729"/>
    <w:rsid w:val="00927731"/>
    <w:rsid w:val="009277FA"/>
    <w:rsid w:val="00927F34"/>
    <w:rsid w:val="00930082"/>
    <w:rsid w:val="00930111"/>
    <w:rsid w:val="00930307"/>
    <w:rsid w:val="00930962"/>
    <w:rsid w:val="00930964"/>
    <w:rsid w:val="00930A44"/>
    <w:rsid w:val="00930B61"/>
    <w:rsid w:val="00930CB0"/>
    <w:rsid w:val="00930D3D"/>
    <w:rsid w:val="00931449"/>
    <w:rsid w:val="009318A0"/>
    <w:rsid w:val="00931960"/>
    <w:rsid w:val="00931C52"/>
    <w:rsid w:val="00931CED"/>
    <w:rsid w:val="00931EBA"/>
    <w:rsid w:val="0093219B"/>
    <w:rsid w:val="0093221F"/>
    <w:rsid w:val="0093240C"/>
    <w:rsid w:val="00932454"/>
    <w:rsid w:val="00932668"/>
    <w:rsid w:val="0093327B"/>
    <w:rsid w:val="00933376"/>
    <w:rsid w:val="009336A6"/>
    <w:rsid w:val="00933752"/>
    <w:rsid w:val="009337C8"/>
    <w:rsid w:val="00933828"/>
    <w:rsid w:val="00933BCB"/>
    <w:rsid w:val="00933C65"/>
    <w:rsid w:val="00934020"/>
    <w:rsid w:val="00934178"/>
    <w:rsid w:val="00934389"/>
    <w:rsid w:val="00934417"/>
    <w:rsid w:val="009344EE"/>
    <w:rsid w:val="00934720"/>
    <w:rsid w:val="00934A0A"/>
    <w:rsid w:val="00934F6C"/>
    <w:rsid w:val="00934F99"/>
    <w:rsid w:val="0093557C"/>
    <w:rsid w:val="00935798"/>
    <w:rsid w:val="00935E2C"/>
    <w:rsid w:val="00935E4D"/>
    <w:rsid w:val="009360E4"/>
    <w:rsid w:val="00936182"/>
    <w:rsid w:val="0093619A"/>
    <w:rsid w:val="009362E5"/>
    <w:rsid w:val="009366F0"/>
    <w:rsid w:val="00936897"/>
    <w:rsid w:val="00936AD4"/>
    <w:rsid w:val="009373D6"/>
    <w:rsid w:val="009379A7"/>
    <w:rsid w:val="00937A89"/>
    <w:rsid w:val="00937C6B"/>
    <w:rsid w:val="00937DBB"/>
    <w:rsid w:val="00937E65"/>
    <w:rsid w:val="0094046C"/>
    <w:rsid w:val="00940965"/>
    <w:rsid w:val="0094097F"/>
    <w:rsid w:val="00940D73"/>
    <w:rsid w:val="00941016"/>
    <w:rsid w:val="0094146B"/>
    <w:rsid w:val="009415D6"/>
    <w:rsid w:val="00941A07"/>
    <w:rsid w:val="00941D93"/>
    <w:rsid w:val="00941FC8"/>
    <w:rsid w:val="00942388"/>
    <w:rsid w:val="009424EF"/>
    <w:rsid w:val="0094251E"/>
    <w:rsid w:val="00942565"/>
    <w:rsid w:val="00942711"/>
    <w:rsid w:val="00942871"/>
    <w:rsid w:val="00942AC7"/>
    <w:rsid w:val="00943080"/>
    <w:rsid w:val="0094321D"/>
    <w:rsid w:val="00943471"/>
    <w:rsid w:val="009435CC"/>
    <w:rsid w:val="009436D2"/>
    <w:rsid w:val="009436D5"/>
    <w:rsid w:val="00943C1C"/>
    <w:rsid w:val="00943ED7"/>
    <w:rsid w:val="00944A0D"/>
    <w:rsid w:val="00944AE1"/>
    <w:rsid w:val="00944C82"/>
    <w:rsid w:val="0094519B"/>
    <w:rsid w:val="00945359"/>
    <w:rsid w:val="009453BB"/>
    <w:rsid w:val="00945BAF"/>
    <w:rsid w:val="00945E70"/>
    <w:rsid w:val="009464F4"/>
    <w:rsid w:val="0094661F"/>
    <w:rsid w:val="00946853"/>
    <w:rsid w:val="00946A65"/>
    <w:rsid w:val="00946BD8"/>
    <w:rsid w:val="00946BFE"/>
    <w:rsid w:val="00946C11"/>
    <w:rsid w:val="00946F0B"/>
    <w:rsid w:val="00946F23"/>
    <w:rsid w:val="00946F5C"/>
    <w:rsid w:val="00946F97"/>
    <w:rsid w:val="00947260"/>
    <w:rsid w:val="00947444"/>
    <w:rsid w:val="0094745D"/>
    <w:rsid w:val="009477CE"/>
    <w:rsid w:val="009477F6"/>
    <w:rsid w:val="009478AB"/>
    <w:rsid w:val="00947982"/>
    <w:rsid w:val="00947B77"/>
    <w:rsid w:val="00947DB6"/>
    <w:rsid w:val="00947E13"/>
    <w:rsid w:val="0095028E"/>
    <w:rsid w:val="00950325"/>
    <w:rsid w:val="00950696"/>
    <w:rsid w:val="009506B0"/>
    <w:rsid w:val="009508B3"/>
    <w:rsid w:val="009508F5"/>
    <w:rsid w:val="00950B36"/>
    <w:rsid w:val="00950B42"/>
    <w:rsid w:val="00950E62"/>
    <w:rsid w:val="0095101E"/>
    <w:rsid w:val="00951311"/>
    <w:rsid w:val="0095137E"/>
    <w:rsid w:val="009513FD"/>
    <w:rsid w:val="009516BA"/>
    <w:rsid w:val="00951BCF"/>
    <w:rsid w:val="00951D02"/>
    <w:rsid w:val="00951EC8"/>
    <w:rsid w:val="00951F0A"/>
    <w:rsid w:val="00952082"/>
    <w:rsid w:val="0095211A"/>
    <w:rsid w:val="00952150"/>
    <w:rsid w:val="009523E4"/>
    <w:rsid w:val="009525DF"/>
    <w:rsid w:val="009529DA"/>
    <w:rsid w:val="00952D0E"/>
    <w:rsid w:val="00952F0F"/>
    <w:rsid w:val="00952F92"/>
    <w:rsid w:val="0095322E"/>
    <w:rsid w:val="0095377E"/>
    <w:rsid w:val="00953815"/>
    <w:rsid w:val="00953BE9"/>
    <w:rsid w:val="009541E2"/>
    <w:rsid w:val="0095424D"/>
    <w:rsid w:val="00954917"/>
    <w:rsid w:val="00954BCE"/>
    <w:rsid w:val="0095519B"/>
    <w:rsid w:val="009557E6"/>
    <w:rsid w:val="0095588F"/>
    <w:rsid w:val="0095593F"/>
    <w:rsid w:val="00955B00"/>
    <w:rsid w:val="00955BF3"/>
    <w:rsid w:val="00956296"/>
    <w:rsid w:val="009565ED"/>
    <w:rsid w:val="0095662F"/>
    <w:rsid w:val="00957130"/>
    <w:rsid w:val="009574B1"/>
    <w:rsid w:val="00957683"/>
    <w:rsid w:val="009576CB"/>
    <w:rsid w:val="009577A9"/>
    <w:rsid w:val="009578EC"/>
    <w:rsid w:val="00957C9E"/>
    <w:rsid w:val="00957F3A"/>
    <w:rsid w:val="009601A4"/>
    <w:rsid w:val="00960260"/>
    <w:rsid w:val="00960A2E"/>
    <w:rsid w:val="009610AA"/>
    <w:rsid w:val="00961452"/>
    <w:rsid w:val="00961745"/>
    <w:rsid w:val="0096191B"/>
    <w:rsid w:val="00961A8F"/>
    <w:rsid w:val="00961CA2"/>
    <w:rsid w:val="00962036"/>
    <w:rsid w:val="0096222E"/>
    <w:rsid w:val="00962318"/>
    <w:rsid w:val="009624C6"/>
    <w:rsid w:val="009626C6"/>
    <w:rsid w:val="009626FA"/>
    <w:rsid w:val="0096275C"/>
    <w:rsid w:val="00962AC8"/>
    <w:rsid w:val="0096323C"/>
    <w:rsid w:val="00963278"/>
    <w:rsid w:val="00963660"/>
    <w:rsid w:val="0096366D"/>
    <w:rsid w:val="009636E4"/>
    <w:rsid w:val="0096378A"/>
    <w:rsid w:val="00963995"/>
    <w:rsid w:val="00963F75"/>
    <w:rsid w:val="00963F78"/>
    <w:rsid w:val="0096421D"/>
    <w:rsid w:val="00964512"/>
    <w:rsid w:val="009645ED"/>
    <w:rsid w:val="00964792"/>
    <w:rsid w:val="00964A0B"/>
    <w:rsid w:val="00964B99"/>
    <w:rsid w:val="00964C4B"/>
    <w:rsid w:val="00964E13"/>
    <w:rsid w:val="00965236"/>
    <w:rsid w:val="0096523A"/>
    <w:rsid w:val="009653A6"/>
    <w:rsid w:val="009653DE"/>
    <w:rsid w:val="009655D9"/>
    <w:rsid w:val="0096591A"/>
    <w:rsid w:val="00965DC5"/>
    <w:rsid w:val="00965DC6"/>
    <w:rsid w:val="00965E55"/>
    <w:rsid w:val="00965E56"/>
    <w:rsid w:val="00965FA6"/>
    <w:rsid w:val="009662A2"/>
    <w:rsid w:val="00966686"/>
    <w:rsid w:val="009669E0"/>
    <w:rsid w:val="00966DC2"/>
    <w:rsid w:val="00966E70"/>
    <w:rsid w:val="00966F99"/>
    <w:rsid w:val="009673F9"/>
    <w:rsid w:val="009675E7"/>
    <w:rsid w:val="0096797E"/>
    <w:rsid w:val="00967E06"/>
    <w:rsid w:val="0097097C"/>
    <w:rsid w:val="00970B71"/>
    <w:rsid w:val="00970C8E"/>
    <w:rsid w:val="00970E57"/>
    <w:rsid w:val="00971056"/>
    <w:rsid w:val="00971069"/>
    <w:rsid w:val="009715FF"/>
    <w:rsid w:val="00971745"/>
    <w:rsid w:val="009719A3"/>
    <w:rsid w:val="00971E16"/>
    <w:rsid w:val="00971E92"/>
    <w:rsid w:val="00971F5B"/>
    <w:rsid w:val="009722D9"/>
    <w:rsid w:val="009723CC"/>
    <w:rsid w:val="009724BD"/>
    <w:rsid w:val="00972707"/>
    <w:rsid w:val="0097288E"/>
    <w:rsid w:val="00972B19"/>
    <w:rsid w:val="00972C78"/>
    <w:rsid w:val="00972F19"/>
    <w:rsid w:val="00973295"/>
    <w:rsid w:val="009738B4"/>
    <w:rsid w:val="00973B3B"/>
    <w:rsid w:val="00973BE2"/>
    <w:rsid w:val="009741CD"/>
    <w:rsid w:val="009744D9"/>
    <w:rsid w:val="0097455D"/>
    <w:rsid w:val="009747F7"/>
    <w:rsid w:val="009747FC"/>
    <w:rsid w:val="009748D2"/>
    <w:rsid w:val="00974DB4"/>
    <w:rsid w:val="009751E7"/>
    <w:rsid w:val="009754D5"/>
    <w:rsid w:val="00975526"/>
    <w:rsid w:val="00975668"/>
    <w:rsid w:val="00975A98"/>
    <w:rsid w:val="00975DB1"/>
    <w:rsid w:val="00975EE0"/>
    <w:rsid w:val="00975F37"/>
    <w:rsid w:val="00975F52"/>
    <w:rsid w:val="009760CF"/>
    <w:rsid w:val="0097685A"/>
    <w:rsid w:val="0097690D"/>
    <w:rsid w:val="00976927"/>
    <w:rsid w:val="0097696F"/>
    <w:rsid w:val="0097714F"/>
    <w:rsid w:val="0097758C"/>
    <w:rsid w:val="0097767D"/>
    <w:rsid w:val="009776D1"/>
    <w:rsid w:val="00977728"/>
    <w:rsid w:val="00977B0B"/>
    <w:rsid w:val="00977BDC"/>
    <w:rsid w:val="00977E27"/>
    <w:rsid w:val="0098028B"/>
    <w:rsid w:val="00980500"/>
    <w:rsid w:val="0098051F"/>
    <w:rsid w:val="009808F2"/>
    <w:rsid w:val="00980982"/>
    <w:rsid w:val="00980A11"/>
    <w:rsid w:val="00980AC1"/>
    <w:rsid w:val="00980B3A"/>
    <w:rsid w:val="00980DB1"/>
    <w:rsid w:val="009813DC"/>
    <w:rsid w:val="00981579"/>
    <w:rsid w:val="0098160B"/>
    <w:rsid w:val="009817FE"/>
    <w:rsid w:val="00981A29"/>
    <w:rsid w:val="00981C22"/>
    <w:rsid w:val="00981C91"/>
    <w:rsid w:val="00981FF0"/>
    <w:rsid w:val="009822BF"/>
    <w:rsid w:val="009825CA"/>
    <w:rsid w:val="00982A55"/>
    <w:rsid w:val="00982D47"/>
    <w:rsid w:val="00983191"/>
    <w:rsid w:val="0098322D"/>
    <w:rsid w:val="009834DA"/>
    <w:rsid w:val="0098369B"/>
    <w:rsid w:val="00983944"/>
    <w:rsid w:val="00983C20"/>
    <w:rsid w:val="00983D78"/>
    <w:rsid w:val="00983E31"/>
    <w:rsid w:val="009840FD"/>
    <w:rsid w:val="0098441B"/>
    <w:rsid w:val="009846FD"/>
    <w:rsid w:val="00984835"/>
    <w:rsid w:val="00984E4A"/>
    <w:rsid w:val="009850ED"/>
    <w:rsid w:val="0098544A"/>
    <w:rsid w:val="00985772"/>
    <w:rsid w:val="00985E5D"/>
    <w:rsid w:val="009863C5"/>
    <w:rsid w:val="009864F0"/>
    <w:rsid w:val="0098684B"/>
    <w:rsid w:val="009868C1"/>
    <w:rsid w:val="0098697A"/>
    <w:rsid w:val="00986A65"/>
    <w:rsid w:val="00986B41"/>
    <w:rsid w:val="00986CED"/>
    <w:rsid w:val="00987369"/>
    <w:rsid w:val="00987393"/>
    <w:rsid w:val="00987613"/>
    <w:rsid w:val="00987791"/>
    <w:rsid w:val="00987869"/>
    <w:rsid w:val="00987CBC"/>
    <w:rsid w:val="0099001D"/>
    <w:rsid w:val="0099015B"/>
    <w:rsid w:val="009903BE"/>
    <w:rsid w:val="00990679"/>
    <w:rsid w:val="00990739"/>
    <w:rsid w:val="00990899"/>
    <w:rsid w:val="009908EA"/>
    <w:rsid w:val="009916A8"/>
    <w:rsid w:val="009918BB"/>
    <w:rsid w:val="009919F7"/>
    <w:rsid w:val="00991BE1"/>
    <w:rsid w:val="00991D89"/>
    <w:rsid w:val="00991DB1"/>
    <w:rsid w:val="00992221"/>
    <w:rsid w:val="0099232B"/>
    <w:rsid w:val="009923F4"/>
    <w:rsid w:val="00992AD7"/>
    <w:rsid w:val="00992B05"/>
    <w:rsid w:val="00992CB1"/>
    <w:rsid w:val="00992DD1"/>
    <w:rsid w:val="00992F96"/>
    <w:rsid w:val="0099320C"/>
    <w:rsid w:val="00993253"/>
    <w:rsid w:val="009932D5"/>
    <w:rsid w:val="0099384C"/>
    <w:rsid w:val="0099392F"/>
    <w:rsid w:val="00993F30"/>
    <w:rsid w:val="009942CA"/>
    <w:rsid w:val="00994A82"/>
    <w:rsid w:val="00994B37"/>
    <w:rsid w:val="00994BE3"/>
    <w:rsid w:val="00994E1E"/>
    <w:rsid w:val="00994FE4"/>
    <w:rsid w:val="0099583B"/>
    <w:rsid w:val="009959A9"/>
    <w:rsid w:val="00995B56"/>
    <w:rsid w:val="00995C1D"/>
    <w:rsid w:val="00995CC6"/>
    <w:rsid w:val="00995D75"/>
    <w:rsid w:val="0099626B"/>
    <w:rsid w:val="00996460"/>
    <w:rsid w:val="0099647D"/>
    <w:rsid w:val="009966BC"/>
    <w:rsid w:val="0099672C"/>
    <w:rsid w:val="00996749"/>
    <w:rsid w:val="009968E1"/>
    <w:rsid w:val="00996C2B"/>
    <w:rsid w:val="00996DE4"/>
    <w:rsid w:val="00996FF7"/>
    <w:rsid w:val="00997654"/>
    <w:rsid w:val="00997690"/>
    <w:rsid w:val="00997861"/>
    <w:rsid w:val="00997CA8"/>
    <w:rsid w:val="0099CEDE"/>
    <w:rsid w:val="009A00E6"/>
    <w:rsid w:val="009A013B"/>
    <w:rsid w:val="009A0438"/>
    <w:rsid w:val="009A0532"/>
    <w:rsid w:val="009A0565"/>
    <w:rsid w:val="009A0984"/>
    <w:rsid w:val="009A0A14"/>
    <w:rsid w:val="009A0AAF"/>
    <w:rsid w:val="009A0C09"/>
    <w:rsid w:val="009A0D7A"/>
    <w:rsid w:val="009A0E11"/>
    <w:rsid w:val="009A15CE"/>
    <w:rsid w:val="009A184B"/>
    <w:rsid w:val="009A1B71"/>
    <w:rsid w:val="009A2071"/>
    <w:rsid w:val="009A218B"/>
    <w:rsid w:val="009A21A2"/>
    <w:rsid w:val="009A22B1"/>
    <w:rsid w:val="009A26DE"/>
    <w:rsid w:val="009A2980"/>
    <w:rsid w:val="009A2AF3"/>
    <w:rsid w:val="009A2B82"/>
    <w:rsid w:val="009A2E98"/>
    <w:rsid w:val="009A2FAE"/>
    <w:rsid w:val="009A3016"/>
    <w:rsid w:val="009A3057"/>
    <w:rsid w:val="009A33E5"/>
    <w:rsid w:val="009A3B8D"/>
    <w:rsid w:val="009A3D60"/>
    <w:rsid w:val="009A3F81"/>
    <w:rsid w:val="009A42E8"/>
    <w:rsid w:val="009A43A6"/>
    <w:rsid w:val="009A450F"/>
    <w:rsid w:val="009A4ACA"/>
    <w:rsid w:val="009A4FEF"/>
    <w:rsid w:val="009A50A4"/>
    <w:rsid w:val="009A516F"/>
    <w:rsid w:val="009A538B"/>
    <w:rsid w:val="009A5618"/>
    <w:rsid w:val="009A5952"/>
    <w:rsid w:val="009A5B41"/>
    <w:rsid w:val="009A5D23"/>
    <w:rsid w:val="009A5E40"/>
    <w:rsid w:val="009A5FD1"/>
    <w:rsid w:val="009A6123"/>
    <w:rsid w:val="009A6153"/>
    <w:rsid w:val="009A618F"/>
    <w:rsid w:val="009A63F6"/>
    <w:rsid w:val="009A6B8B"/>
    <w:rsid w:val="009A6C11"/>
    <w:rsid w:val="009A6D7E"/>
    <w:rsid w:val="009A6E57"/>
    <w:rsid w:val="009A6E64"/>
    <w:rsid w:val="009A6EF4"/>
    <w:rsid w:val="009A6F99"/>
    <w:rsid w:val="009A7073"/>
    <w:rsid w:val="009A7A52"/>
    <w:rsid w:val="009A7AF9"/>
    <w:rsid w:val="009B0430"/>
    <w:rsid w:val="009B069F"/>
    <w:rsid w:val="009B082B"/>
    <w:rsid w:val="009B0B42"/>
    <w:rsid w:val="009B0C5F"/>
    <w:rsid w:val="009B0DDD"/>
    <w:rsid w:val="009B13D4"/>
    <w:rsid w:val="009B14FE"/>
    <w:rsid w:val="009B176A"/>
    <w:rsid w:val="009B19D8"/>
    <w:rsid w:val="009B1A46"/>
    <w:rsid w:val="009B1AFD"/>
    <w:rsid w:val="009B2026"/>
    <w:rsid w:val="009B20F0"/>
    <w:rsid w:val="009B2184"/>
    <w:rsid w:val="009B21EA"/>
    <w:rsid w:val="009B21FD"/>
    <w:rsid w:val="009B243D"/>
    <w:rsid w:val="009B2D52"/>
    <w:rsid w:val="009B3004"/>
    <w:rsid w:val="009B33E7"/>
    <w:rsid w:val="009B349D"/>
    <w:rsid w:val="009B358F"/>
    <w:rsid w:val="009B3620"/>
    <w:rsid w:val="009B36A3"/>
    <w:rsid w:val="009B38C8"/>
    <w:rsid w:val="009B3942"/>
    <w:rsid w:val="009B3B63"/>
    <w:rsid w:val="009B3D6B"/>
    <w:rsid w:val="009B42DE"/>
    <w:rsid w:val="009B4337"/>
    <w:rsid w:val="009B4530"/>
    <w:rsid w:val="009B466C"/>
    <w:rsid w:val="009B4886"/>
    <w:rsid w:val="009B488D"/>
    <w:rsid w:val="009B4A19"/>
    <w:rsid w:val="009B4B5C"/>
    <w:rsid w:val="009B4EA2"/>
    <w:rsid w:val="009B4F6E"/>
    <w:rsid w:val="009B4FC0"/>
    <w:rsid w:val="009B5679"/>
    <w:rsid w:val="009B5AF9"/>
    <w:rsid w:val="009B5B8E"/>
    <w:rsid w:val="009B5E77"/>
    <w:rsid w:val="009B5EB9"/>
    <w:rsid w:val="009B5F0A"/>
    <w:rsid w:val="009B6651"/>
    <w:rsid w:val="009B6736"/>
    <w:rsid w:val="009B679E"/>
    <w:rsid w:val="009B68DD"/>
    <w:rsid w:val="009B6CDF"/>
    <w:rsid w:val="009B7121"/>
    <w:rsid w:val="009B7164"/>
    <w:rsid w:val="009B739F"/>
    <w:rsid w:val="009B73D3"/>
    <w:rsid w:val="009B759C"/>
    <w:rsid w:val="009B76CD"/>
    <w:rsid w:val="009B7881"/>
    <w:rsid w:val="009B7E51"/>
    <w:rsid w:val="009B7E61"/>
    <w:rsid w:val="009C01B0"/>
    <w:rsid w:val="009C055E"/>
    <w:rsid w:val="009C05BF"/>
    <w:rsid w:val="009C1247"/>
    <w:rsid w:val="009C1A49"/>
    <w:rsid w:val="009C1E10"/>
    <w:rsid w:val="009C1E6E"/>
    <w:rsid w:val="009C1E7E"/>
    <w:rsid w:val="009C2046"/>
    <w:rsid w:val="009C23E7"/>
    <w:rsid w:val="009C2D89"/>
    <w:rsid w:val="009C2EFE"/>
    <w:rsid w:val="009C31A0"/>
    <w:rsid w:val="009C320E"/>
    <w:rsid w:val="009C35F2"/>
    <w:rsid w:val="009C3649"/>
    <w:rsid w:val="009C3755"/>
    <w:rsid w:val="009C3A46"/>
    <w:rsid w:val="009C3C42"/>
    <w:rsid w:val="009C3DC6"/>
    <w:rsid w:val="009C4207"/>
    <w:rsid w:val="009C42AF"/>
    <w:rsid w:val="009C447C"/>
    <w:rsid w:val="009C473E"/>
    <w:rsid w:val="009C4763"/>
    <w:rsid w:val="009C4A2A"/>
    <w:rsid w:val="009C4CF9"/>
    <w:rsid w:val="009C4E96"/>
    <w:rsid w:val="009C4F45"/>
    <w:rsid w:val="009C508F"/>
    <w:rsid w:val="009C5342"/>
    <w:rsid w:val="009C539D"/>
    <w:rsid w:val="009C54E1"/>
    <w:rsid w:val="009C5793"/>
    <w:rsid w:val="009C5A39"/>
    <w:rsid w:val="009C5A75"/>
    <w:rsid w:val="009C5B93"/>
    <w:rsid w:val="009C66C6"/>
    <w:rsid w:val="009C6721"/>
    <w:rsid w:val="009C6A55"/>
    <w:rsid w:val="009C6A5C"/>
    <w:rsid w:val="009C6B2D"/>
    <w:rsid w:val="009C6D36"/>
    <w:rsid w:val="009C6EFE"/>
    <w:rsid w:val="009C6F04"/>
    <w:rsid w:val="009C6F6E"/>
    <w:rsid w:val="009C6F79"/>
    <w:rsid w:val="009C6F9B"/>
    <w:rsid w:val="009C731D"/>
    <w:rsid w:val="009C7674"/>
    <w:rsid w:val="009C79BE"/>
    <w:rsid w:val="009C7C71"/>
    <w:rsid w:val="009C7CCD"/>
    <w:rsid w:val="009C7EF1"/>
    <w:rsid w:val="009D0031"/>
    <w:rsid w:val="009D03BA"/>
    <w:rsid w:val="009D0598"/>
    <w:rsid w:val="009D05A8"/>
    <w:rsid w:val="009D0673"/>
    <w:rsid w:val="009D06D1"/>
    <w:rsid w:val="009D0D21"/>
    <w:rsid w:val="009D0E13"/>
    <w:rsid w:val="009D11BF"/>
    <w:rsid w:val="009D12C1"/>
    <w:rsid w:val="009D19BF"/>
    <w:rsid w:val="009D1EBB"/>
    <w:rsid w:val="009D1F30"/>
    <w:rsid w:val="009D1F74"/>
    <w:rsid w:val="009D2119"/>
    <w:rsid w:val="009D21DB"/>
    <w:rsid w:val="009D2B1C"/>
    <w:rsid w:val="009D2BD6"/>
    <w:rsid w:val="009D2C7B"/>
    <w:rsid w:val="009D31E7"/>
    <w:rsid w:val="009D3383"/>
    <w:rsid w:val="009D33D8"/>
    <w:rsid w:val="009D342F"/>
    <w:rsid w:val="009D34A8"/>
    <w:rsid w:val="009D3669"/>
    <w:rsid w:val="009D3A6B"/>
    <w:rsid w:val="009D41FC"/>
    <w:rsid w:val="009D432E"/>
    <w:rsid w:val="009D494C"/>
    <w:rsid w:val="009D4A9E"/>
    <w:rsid w:val="009D4C03"/>
    <w:rsid w:val="009D4DA8"/>
    <w:rsid w:val="009D5441"/>
    <w:rsid w:val="009D565C"/>
    <w:rsid w:val="009D5835"/>
    <w:rsid w:val="009D59AB"/>
    <w:rsid w:val="009D5D0D"/>
    <w:rsid w:val="009D61A6"/>
    <w:rsid w:val="009D65CF"/>
    <w:rsid w:val="009D67B8"/>
    <w:rsid w:val="009D691E"/>
    <w:rsid w:val="009D6D30"/>
    <w:rsid w:val="009D70F6"/>
    <w:rsid w:val="009D71F0"/>
    <w:rsid w:val="009D761E"/>
    <w:rsid w:val="009D7AFB"/>
    <w:rsid w:val="009D7E30"/>
    <w:rsid w:val="009E0405"/>
    <w:rsid w:val="009E042F"/>
    <w:rsid w:val="009E074E"/>
    <w:rsid w:val="009E08E0"/>
    <w:rsid w:val="009E099B"/>
    <w:rsid w:val="009E0B91"/>
    <w:rsid w:val="009E1456"/>
    <w:rsid w:val="009E1AA6"/>
    <w:rsid w:val="009E1B2B"/>
    <w:rsid w:val="009E1F48"/>
    <w:rsid w:val="009E1F68"/>
    <w:rsid w:val="009E22C6"/>
    <w:rsid w:val="009E2489"/>
    <w:rsid w:val="009E24D9"/>
    <w:rsid w:val="009E24EE"/>
    <w:rsid w:val="009E285E"/>
    <w:rsid w:val="009E291D"/>
    <w:rsid w:val="009E2B38"/>
    <w:rsid w:val="009E2C8F"/>
    <w:rsid w:val="009E2DA3"/>
    <w:rsid w:val="009E2F89"/>
    <w:rsid w:val="009E325D"/>
    <w:rsid w:val="009E350A"/>
    <w:rsid w:val="009E35F5"/>
    <w:rsid w:val="009E3722"/>
    <w:rsid w:val="009E399E"/>
    <w:rsid w:val="009E3BCB"/>
    <w:rsid w:val="009E3C04"/>
    <w:rsid w:val="009E4255"/>
    <w:rsid w:val="009E4786"/>
    <w:rsid w:val="009E4A40"/>
    <w:rsid w:val="009E4C88"/>
    <w:rsid w:val="009E5032"/>
    <w:rsid w:val="009E51FE"/>
    <w:rsid w:val="009E52C6"/>
    <w:rsid w:val="009E5425"/>
    <w:rsid w:val="009E5597"/>
    <w:rsid w:val="009E56ED"/>
    <w:rsid w:val="009E5ADA"/>
    <w:rsid w:val="009E5C90"/>
    <w:rsid w:val="009E6248"/>
    <w:rsid w:val="009E62E3"/>
    <w:rsid w:val="009E63DA"/>
    <w:rsid w:val="009E6583"/>
    <w:rsid w:val="009E678D"/>
    <w:rsid w:val="009E6DF9"/>
    <w:rsid w:val="009E73E2"/>
    <w:rsid w:val="009E75E9"/>
    <w:rsid w:val="009E7790"/>
    <w:rsid w:val="009E78BB"/>
    <w:rsid w:val="009E79E8"/>
    <w:rsid w:val="009E7A35"/>
    <w:rsid w:val="009E7BCE"/>
    <w:rsid w:val="009E7C4B"/>
    <w:rsid w:val="009E7D96"/>
    <w:rsid w:val="009E7EFF"/>
    <w:rsid w:val="009F0806"/>
    <w:rsid w:val="009F08CD"/>
    <w:rsid w:val="009F0ABB"/>
    <w:rsid w:val="009F0D62"/>
    <w:rsid w:val="009F11A7"/>
    <w:rsid w:val="009F11AB"/>
    <w:rsid w:val="009F14FA"/>
    <w:rsid w:val="009F1B7D"/>
    <w:rsid w:val="009F1C8D"/>
    <w:rsid w:val="009F1D2C"/>
    <w:rsid w:val="009F20B9"/>
    <w:rsid w:val="009F2255"/>
    <w:rsid w:val="009F2421"/>
    <w:rsid w:val="009F2538"/>
    <w:rsid w:val="009F2665"/>
    <w:rsid w:val="009F26A3"/>
    <w:rsid w:val="009F26DC"/>
    <w:rsid w:val="009F2A52"/>
    <w:rsid w:val="009F358F"/>
    <w:rsid w:val="009F376A"/>
    <w:rsid w:val="009F37D0"/>
    <w:rsid w:val="009F37E4"/>
    <w:rsid w:val="009F387E"/>
    <w:rsid w:val="009F3B8C"/>
    <w:rsid w:val="009F4042"/>
    <w:rsid w:val="009F407F"/>
    <w:rsid w:val="009F41F7"/>
    <w:rsid w:val="009F4360"/>
    <w:rsid w:val="009F4393"/>
    <w:rsid w:val="009F48CD"/>
    <w:rsid w:val="009F498D"/>
    <w:rsid w:val="009F4C0B"/>
    <w:rsid w:val="009F4DA0"/>
    <w:rsid w:val="009F54C0"/>
    <w:rsid w:val="009F576C"/>
    <w:rsid w:val="009F590C"/>
    <w:rsid w:val="009F593E"/>
    <w:rsid w:val="009F59DA"/>
    <w:rsid w:val="009F5BC3"/>
    <w:rsid w:val="009F5BD7"/>
    <w:rsid w:val="009F5BEC"/>
    <w:rsid w:val="009F5FBD"/>
    <w:rsid w:val="009F5FFF"/>
    <w:rsid w:val="009F611F"/>
    <w:rsid w:val="009F61AA"/>
    <w:rsid w:val="009F6376"/>
    <w:rsid w:val="009F6463"/>
    <w:rsid w:val="009F659E"/>
    <w:rsid w:val="009F664E"/>
    <w:rsid w:val="009F66DB"/>
    <w:rsid w:val="009F6718"/>
    <w:rsid w:val="009F6725"/>
    <w:rsid w:val="009F6A61"/>
    <w:rsid w:val="009F6F7D"/>
    <w:rsid w:val="009F7287"/>
    <w:rsid w:val="009F7300"/>
    <w:rsid w:val="009F776C"/>
    <w:rsid w:val="009F7880"/>
    <w:rsid w:val="009F7881"/>
    <w:rsid w:val="009F794C"/>
    <w:rsid w:val="009F7CEB"/>
    <w:rsid w:val="00A0004A"/>
    <w:rsid w:val="00A000E3"/>
    <w:rsid w:val="00A001A1"/>
    <w:rsid w:val="00A0020C"/>
    <w:rsid w:val="00A003C4"/>
    <w:rsid w:val="00A00407"/>
    <w:rsid w:val="00A00468"/>
    <w:rsid w:val="00A00581"/>
    <w:rsid w:val="00A00775"/>
    <w:rsid w:val="00A00926"/>
    <w:rsid w:val="00A00A31"/>
    <w:rsid w:val="00A00D83"/>
    <w:rsid w:val="00A00DA4"/>
    <w:rsid w:val="00A00FF7"/>
    <w:rsid w:val="00A0113D"/>
    <w:rsid w:val="00A01808"/>
    <w:rsid w:val="00A01815"/>
    <w:rsid w:val="00A01867"/>
    <w:rsid w:val="00A018DE"/>
    <w:rsid w:val="00A01CA7"/>
    <w:rsid w:val="00A01D51"/>
    <w:rsid w:val="00A01FFA"/>
    <w:rsid w:val="00A02533"/>
    <w:rsid w:val="00A02A88"/>
    <w:rsid w:val="00A02B3F"/>
    <w:rsid w:val="00A02F83"/>
    <w:rsid w:val="00A02FBF"/>
    <w:rsid w:val="00A031B7"/>
    <w:rsid w:val="00A03214"/>
    <w:rsid w:val="00A03299"/>
    <w:rsid w:val="00A03E66"/>
    <w:rsid w:val="00A03FEF"/>
    <w:rsid w:val="00A0444C"/>
    <w:rsid w:val="00A045EE"/>
    <w:rsid w:val="00A04BC3"/>
    <w:rsid w:val="00A04EC6"/>
    <w:rsid w:val="00A04F8F"/>
    <w:rsid w:val="00A04FAF"/>
    <w:rsid w:val="00A04FE9"/>
    <w:rsid w:val="00A0509C"/>
    <w:rsid w:val="00A05157"/>
    <w:rsid w:val="00A052A0"/>
    <w:rsid w:val="00A05A1A"/>
    <w:rsid w:val="00A05AD6"/>
    <w:rsid w:val="00A05B3F"/>
    <w:rsid w:val="00A05DAF"/>
    <w:rsid w:val="00A06123"/>
    <w:rsid w:val="00A069E7"/>
    <w:rsid w:val="00A06E22"/>
    <w:rsid w:val="00A073DB"/>
    <w:rsid w:val="00A07A2D"/>
    <w:rsid w:val="00A07C3C"/>
    <w:rsid w:val="00A07EB5"/>
    <w:rsid w:val="00A07F11"/>
    <w:rsid w:val="00A1076E"/>
    <w:rsid w:val="00A10BAB"/>
    <w:rsid w:val="00A10DCF"/>
    <w:rsid w:val="00A112F6"/>
    <w:rsid w:val="00A1157D"/>
    <w:rsid w:val="00A118E7"/>
    <w:rsid w:val="00A119BD"/>
    <w:rsid w:val="00A11BB8"/>
    <w:rsid w:val="00A11CD0"/>
    <w:rsid w:val="00A11E86"/>
    <w:rsid w:val="00A12268"/>
    <w:rsid w:val="00A122FA"/>
    <w:rsid w:val="00A12373"/>
    <w:rsid w:val="00A12541"/>
    <w:rsid w:val="00A12653"/>
    <w:rsid w:val="00A1275A"/>
    <w:rsid w:val="00A12803"/>
    <w:rsid w:val="00A12862"/>
    <w:rsid w:val="00A12BE8"/>
    <w:rsid w:val="00A12C1D"/>
    <w:rsid w:val="00A132EE"/>
    <w:rsid w:val="00A136C7"/>
    <w:rsid w:val="00A13821"/>
    <w:rsid w:val="00A138E6"/>
    <w:rsid w:val="00A13951"/>
    <w:rsid w:val="00A141A0"/>
    <w:rsid w:val="00A142F2"/>
    <w:rsid w:val="00A143BD"/>
    <w:rsid w:val="00A144CA"/>
    <w:rsid w:val="00A14916"/>
    <w:rsid w:val="00A14A6B"/>
    <w:rsid w:val="00A14AEE"/>
    <w:rsid w:val="00A14BF0"/>
    <w:rsid w:val="00A14C66"/>
    <w:rsid w:val="00A150E2"/>
    <w:rsid w:val="00A15465"/>
    <w:rsid w:val="00A154C7"/>
    <w:rsid w:val="00A155DD"/>
    <w:rsid w:val="00A157DF"/>
    <w:rsid w:val="00A15B99"/>
    <w:rsid w:val="00A15F6B"/>
    <w:rsid w:val="00A16037"/>
    <w:rsid w:val="00A1630A"/>
    <w:rsid w:val="00A1665E"/>
    <w:rsid w:val="00A168C9"/>
    <w:rsid w:val="00A16932"/>
    <w:rsid w:val="00A16C61"/>
    <w:rsid w:val="00A17529"/>
    <w:rsid w:val="00A17631"/>
    <w:rsid w:val="00A17710"/>
    <w:rsid w:val="00A177F4"/>
    <w:rsid w:val="00A17C49"/>
    <w:rsid w:val="00A17D2A"/>
    <w:rsid w:val="00A2017D"/>
    <w:rsid w:val="00A20E75"/>
    <w:rsid w:val="00A20E9D"/>
    <w:rsid w:val="00A21036"/>
    <w:rsid w:val="00A213EA"/>
    <w:rsid w:val="00A218C4"/>
    <w:rsid w:val="00A2195F"/>
    <w:rsid w:val="00A21AC6"/>
    <w:rsid w:val="00A21C5C"/>
    <w:rsid w:val="00A21D3E"/>
    <w:rsid w:val="00A21DF3"/>
    <w:rsid w:val="00A220DD"/>
    <w:rsid w:val="00A22242"/>
    <w:rsid w:val="00A22356"/>
    <w:rsid w:val="00A223B4"/>
    <w:rsid w:val="00A225F7"/>
    <w:rsid w:val="00A2283F"/>
    <w:rsid w:val="00A228D8"/>
    <w:rsid w:val="00A230BD"/>
    <w:rsid w:val="00A23604"/>
    <w:rsid w:val="00A23643"/>
    <w:rsid w:val="00A239BD"/>
    <w:rsid w:val="00A23ADF"/>
    <w:rsid w:val="00A23AE9"/>
    <w:rsid w:val="00A23AEC"/>
    <w:rsid w:val="00A23B1A"/>
    <w:rsid w:val="00A23CAB"/>
    <w:rsid w:val="00A23DA1"/>
    <w:rsid w:val="00A24FA4"/>
    <w:rsid w:val="00A24FD1"/>
    <w:rsid w:val="00A253E8"/>
    <w:rsid w:val="00A25715"/>
    <w:rsid w:val="00A257EA"/>
    <w:rsid w:val="00A25B3B"/>
    <w:rsid w:val="00A25F28"/>
    <w:rsid w:val="00A26084"/>
    <w:rsid w:val="00A260AC"/>
    <w:rsid w:val="00A26188"/>
    <w:rsid w:val="00A2628C"/>
    <w:rsid w:val="00A26E84"/>
    <w:rsid w:val="00A272EF"/>
    <w:rsid w:val="00A27734"/>
    <w:rsid w:val="00A27A85"/>
    <w:rsid w:val="00A27B5E"/>
    <w:rsid w:val="00A27B63"/>
    <w:rsid w:val="00A27F20"/>
    <w:rsid w:val="00A27F3D"/>
    <w:rsid w:val="00A30275"/>
    <w:rsid w:val="00A30374"/>
    <w:rsid w:val="00A30384"/>
    <w:rsid w:val="00A3042E"/>
    <w:rsid w:val="00A30B39"/>
    <w:rsid w:val="00A30C9B"/>
    <w:rsid w:val="00A30CC8"/>
    <w:rsid w:val="00A30D55"/>
    <w:rsid w:val="00A30F2D"/>
    <w:rsid w:val="00A30FFB"/>
    <w:rsid w:val="00A31C19"/>
    <w:rsid w:val="00A31E6E"/>
    <w:rsid w:val="00A31F0F"/>
    <w:rsid w:val="00A3223D"/>
    <w:rsid w:val="00A32681"/>
    <w:rsid w:val="00A32826"/>
    <w:rsid w:val="00A32AF3"/>
    <w:rsid w:val="00A32B27"/>
    <w:rsid w:val="00A32C88"/>
    <w:rsid w:val="00A32CBE"/>
    <w:rsid w:val="00A32CC2"/>
    <w:rsid w:val="00A32E99"/>
    <w:rsid w:val="00A32FB7"/>
    <w:rsid w:val="00A33EDD"/>
    <w:rsid w:val="00A34697"/>
    <w:rsid w:val="00A346B7"/>
    <w:rsid w:val="00A34CA5"/>
    <w:rsid w:val="00A351D7"/>
    <w:rsid w:val="00A3522B"/>
    <w:rsid w:val="00A3547A"/>
    <w:rsid w:val="00A35A3D"/>
    <w:rsid w:val="00A35F01"/>
    <w:rsid w:val="00A36008"/>
    <w:rsid w:val="00A3606C"/>
    <w:rsid w:val="00A36103"/>
    <w:rsid w:val="00A365F2"/>
    <w:rsid w:val="00A36870"/>
    <w:rsid w:val="00A3687F"/>
    <w:rsid w:val="00A36F28"/>
    <w:rsid w:val="00A3716B"/>
    <w:rsid w:val="00A37484"/>
    <w:rsid w:val="00A37CF9"/>
    <w:rsid w:val="00A37F13"/>
    <w:rsid w:val="00A37F44"/>
    <w:rsid w:val="00A37FBD"/>
    <w:rsid w:val="00A40985"/>
    <w:rsid w:val="00A40B65"/>
    <w:rsid w:val="00A40C3A"/>
    <w:rsid w:val="00A410F3"/>
    <w:rsid w:val="00A41174"/>
    <w:rsid w:val="00A41790"/>
    <w:rsid w:val="00A418B2"/>
    <w:rsid w:val="00A41AD4"/>
    <w:rsid w:val="00A41DB3"/>
    <w:rsid w:val="00A41E57"/>
    <w:rsid w:val="00A41F3E"/>
    <w:rsid w:val="00A4221D"/>
    <w:rsid w:val="00A426C0"/>
    <w:rsid w:val="00A42C68"/>
    <w:rsid w:val="00A42D6A"/>
    <w:rsid w:val="00A42EB1"/>
    <w:rsid w:val="00A43002"/>
    <w:rsid w:val="00A43056"/>
    <w:rsid w:val="00A4306E"/>
    <w:rsid w:val="00A43176"/>
    <w:rsid w:val="00A43282"/>
    <w:rsid w:val="00A43538"/>
    <w:rsid w:val="00A43642"/>
    <w:rsid w:val="00A43786"/>
    <w:rsid w:val="00A43ACC"/>
    <w:rsid w:val="00A43B5F"/>
    <w:rsid w:val="00A43CDA"/>
    <w:rsid w:val="00A43E78"/>
    <w:rsid w:val="00A43F1D"/>
    <w:rsid w:val="00A44099"/>
    <w:rsid w:val="00A446E3"/>
    <w:rsid w:val="00A447BF"/>
    <w:rsid w:val="00A44B39"/>
    <w:rsid w:val="00A44BD9"/>
    <w:rsid w:val="00A44CC7"/>
    <w:rsid w:val="00A44CDA"/>
    <w:rsid w:val="00A44D14"/>
    <w:rsid w:val="00A44D77"/>
    <w:rsid w:val="00A454BB"/>
    <w:rsid w:val="00A456AF"/>
    <w:rsid w:val="00A45A19"/>
    <w:rsid w:val="00A45B50"/>
    <w:rsid w:val="00A45BD9"/>
    <w:rsid w:val="00A45D87"/>
    <w:rsid w:val="00A45ED8"/>
    <w:rsid w:val="00A46033"/>
    <w:rsid w:val="00A460D2"/>
    <w:rsid w:val="00A461DF"/>
    <w:rsid w:val="00A4620D"/>
    <w:rsid w:val="00A46241"/>
    <w:rsid w:val="00A463CB"/>
    <w:rsid w:val="00A46464"/>
    <w:rsid w:val="00A46A33"/>
    <w:rsid w:val="00A46B32"/>
    <w:rsid w:val="00A46C8F"/>
    <w:rsid w:val="00A46D0D"/>
    <w:rsid w:val="00A4713B"/>
    <w:rsid w:val="00A475C6"/>
    <w:rsid w:val="00A47657"/>
    <w:rsid w:val="00A47B38"/>
    <w:rsid w:val="00A47B3C"/>
    <w:rsid w:val="00A47C17"/>
    <w:rsid w:val="00A47C5B"/>
    <w:rsid w:val="00A47DF9"/>
    <w:rsid w:val="00A47E83"/>
    <w:rsid w:val="00A47FFE"/>
    <w:rsid w:val="00A50069"/>
    <w:rsid w:val="00A5008F"/>
    <w:rsid w:val="00A5020F"/>
    <w:rsid w:val="00A50B67"/>
    <w:rsid w:val="00A5106F"/>
    <w:rsid w:val="00A51300"/>
    <w:rsid w:val="00A5147E"/>
    <w:rsid w:val="00A51578"/>
    <w:rsid w:val="00A5195D"/>
    <w:rsid w:val="00A51985"/>
    <w:rsid w:val="00A51C84"/>
    <w:rsid w:val="00A51ECE"/>
    <w:rsid w:val="00A5234C"/>
    <w:rsid w:val="00A52461"/>
    <w:rsid w:val="00A5264F"/>
    <w:rsid w:val="00A52890"/>
    <w:rsid w:val="00A52A83"/>
    <w:rsid w:val="00A52C3F"/>
    <w:rsid w:val="00A52D3A"/>
    <w:rsid w:val="00A5308B"/>
    <w:rsid w:val="00A532DF"/>
    <w:rsid w:val="00A533CF"/>
    <w:rsid w:val="00A53510"/>
    <w:rsid w:val="00A538FE"/>
    <w:rsid w:val="00A5392B"/>
    <w:rsid w:val="00A53B94"/>
    <w:rsid w:val="00A53DDB"/>
    <w:rsid w:val="00A54221"/>
    <w:rsid w:val="00A543E3"/>
    <w:rsid w:val="00A54641"/>
    <w:rsid w:val="00A547D8"/>
    <w:rsid w:val="00A54D4D"/>
    <w:rsid w:val="00A54F00"/>
    <w:rsid w:val="00A5525D"/>
    <w:rsid w:val="00A554E7"/>
    <w:rsid w:val="00A555FF"/>
    <w:rsid w:val="00A557D6"/>
    <w:rsid w:val="00A55CAE"/>
    <w:rsid w:val="00A55CC1"/>
    <w:rsid w:val="00A55E11"/>
    <w:rsid w:val="00A55FB5"/>
    <w:rsid w:val="00A56267"/>
    <w:rsid w:val="00A564DC"/>
    <w:rsid w:val="00A56713"/>
    <w:rsid w:val="00A56A14"/>
    <w:rsid w:val="00A56AF0"/>
    <w:rsid w:val="00A56CCD"/>
    <w:rsid w:val="00A56DD9"/>
    <w:rsid w:val="00A56F80"/>
    <w:rsid w:val="00A56F8D"/>
    <w:rsid w:val="00A5740B"/>
    <w:rsid w:val="00A57AE5"/>
    <w:rsid w:val="00A57AF6"/>
    <w:rsid w:val="00A57C39"/>
    <w:rsid w:val="00A57EB4"/>
    <w:rsid w:val="00A60058"/>
    <w:rsid w:val="00A60079"/>
    <w:rsid w:val="00A6051B"/>
    <w:rsid w:val="00A605B0"/>
    <w:rsid w:val="00A607E0"/>
    <w:rsid w:val="00A60863"/>
    <w:rsid w:val="00A60D66"/>
    <w:rsid w:val="00A60EAA"/>
    <w:rsid w:val="00A6107B"/>
    <w:rsid w:val="00A614A3"/>
    <w:rsid w:val="00A616C7"/>
    <w:rsid w:val="00A6174D"/>
    <w:rsid w:val="00A6174F"/>
    <w:rsid w:val="00A61B00"/>
    <w:rsid w:val="00A61E38"/>
    <w:rsid w:val="00A61E6D"/>
    <w:rsid w:val="00A6200B"/>
    <w:rsid w:val="00A62173"/>
    <w:rsid w:val="00A622F7"/>
    <w:rsid w:val="00A624A3"/>
    <w:rsid w:val="00A6266E"/>
    <w:rsid w:val="00A626FF"/>
    <w:rsid w:val="00A62811"/>
    <w:rsid w:val="00A62AD3"/>
    <w:rsid w:val="00A62C84"/>
    <w:rsid w:val="00A62CDF"/>
    <w:rsid w:val="00A62FAB"/>
    <w:rsid w:val="00A62FC2"/>
    <w:rsid w:val="00A62FE6"/>
    <w:rsid w:val="00A63814"/>
    <w:rsid w:val="00A638DC"/>
    <w:rsid w:val="00A63B1D"/>
    <w:rsid w:val="00A63FE8"/>
    <w:rsid w:val="00A6421C"/>
    <w:rsid w:val="00A648E0"/>
    <w:rsid w:val="00A64AE2"/>
    <w:rsid w:val="00A64FF0"/>
    <w:rsid w:val="00A650CB"/>
    <w:rsid w:val="00A65223"/>
    <w:rsid w:val="00A65285"/>
    <w:rsid w:val="00A656DC"/>
    <w:rsid w:val="00A659B0"/>
    <w:rsid w:val="00A65AA5"/>
    <w:rsid w:val="00A65B85"/>
    <w:rsid w:val="00A65C12"/>
    <w:rsid w:val="00A666A4"/>
    <w:rsid w:val="00A6670B"/>
    <w:rsid w:val="00A6683D"/>
    <w:rsid w:val="00A6693B"/>
    <w:rsid w:val="00A66CA8"/>
    <w:rsid w:val="00A66DA1"/>
    <w:rsid w:val="00A67056"/>
    <w:rsid w:val="00A672B0"/>
    <w:rsid w:val="00A674BD"/>
    <w:rsid w:val="00A674FF"/>
    <w:rsid w:val="00A67506"/>
    <w:rsid w:val="00A6750A"/>
    <w:rsid w:val="00A67544"/>
    <w:rsid w:val="00A676FD"/>
    <w:rsid w:val="00A6797A"/>
    <w:rsid w:val="00A679D7"/>
    <w:rsid w:val="00A67C66"/>
    <w:rsid w:val="00A67D20"/>
    <w:rsid w:val="00A67D48"/>
    <w:rsid w:val="00A67D6C"/>
    <w:rsid w:val="00A7016F"/>
    <w:rsid w:val="00A705BF"/>
    <w:rsid w:val="00A707D7"/>
    <w:rsid w:val="00A70B98"/>
    <w:rsid w:val="00A70C3E"/>
    <w:rsid w:val="00A70C4D"/>
    <w:rsid w:val="00A70CBE"/>
    <w:rsid w:val="00A70CFC"/>
    <w:rsid w:val="00A70DF1"/>
    <w:rsid w:val="00A70EED"/>
    <w:rsid w:val="00A70FDC"/>
    <w:rsid w:val="00A71265"/>
    <w:rsid w:val="00A71422"/>
    <w:rsid w:val="00A7173A"/>
    <w:rsid w:val="00A71A73"/>
    <w:rsid w:val="00A71B3B"/>
    <w:rsid w:val="00A71B95"/>
    <w:rsid w:val="00A71BD6"/>
    <w:rsid w:val="00A71E11"/>
    <w:rsid w:val="00A71E51"/>
    <w:rsid w:val="00A72074"/>
    <w:rsid w:val="00A720E0"/>
    <w:rsid w:val="00A722A3"/>
    <w:rsid w:val="00A72423"/>
    <w:rsid w:val="00A72632"/>
    <w:rsid w:val="00A727EA"/>
    <w:rsid w:val="00A72B44"/>
    <w:rsid w:val="00A72B4F"/>
    <w:rsid w:val="00A72BEC"/>
    <w:rsid w:val="00A72C00"/>
    <w:rsid w:val="00A72F41"/>
    <w:rsid w:val="00A73968"/>
    <w:rsid w:val="00A73A5D"/>
    <w:rsid w:val="00A7420C"/>
    <w:rsid w:val="00A7427D"/>
    <w:rsid w:val="00A74293"/>
    <w:rsid w:val="00A7482F"/>
    <w:rsid w:val="00A74925"/>
    <w:rsid w:val="00A74BDF"/>
    <w:rsid w:val="00A74C1D"/>
    <w:rsid w:val="00A74D9E"/>
    <w:rsid w:val="00A751E2"/>
    <w:rsid w:val="00A75362"/>
    <w:rsid w:val="00A7536A"/>
    <w:rsid w:val="00A758FA"/>
    <w:rsid w:val="00A75A11"/>
    <w:rsid w:val="00A75B71"/>
    <w:rsid w:val="00A75BCA"/>
    <w:rsid w:val="00A75C5C"/>
    <w:rsid w:val="00A76BB3"/>
    <w:rsid w:val="00A76BC8"/>
    <w:rsid w:val="00A77710"/>
    <w:rsid w:val="00A77B62"/>
    <w:rsid w:val="00A77C25"/>
    <w:rsid w:val="00A77D3C"/>
    <w:rsid w:val="00A77EDD"/>
    <w:rsid w:val="00A77F15"/>
    <w:rsid w:val="00A77F65"/>
    <w:rsid w:val="00A8038A"/>
    <w:rsid w:val="00A805F6"/>
    <w:rsid w:val="00A806BB"/>
    <w:rsid w:val="00A80860"/>
    <w:rsid w:val="00A80890"/>
    <w:rsid w:val="00A81380"/>
    <w:rsid w:val="00A813A8"/>
    <w:rsid w:val="00A813C1"/>
    <w:rsid w:val="00A8148E"/>
    <w:rsid w:val="00A8150E"/>
    <w:rsid w:val="00A815C2"/>
    <w:rsid w:val="00A81897"/>
    <w:rsid w:val="00A818F7"/>
    <w:rsid w:val="00A81A03"/>
    <w:rsid w:val="00A81AF1"/>
    <w:rsid w:val="00A81C15"/>
    <w:rsid w:val="00A81DA7"/>
    <w:rsid w:val="00A81ED0"/>
    <w:rsid w:val="00A82149"/>
    <w:rsid w:val="00A82716"/>
    <w:rsid w:val="00A8274E"/>
    <w:rsid w:val="00A82753"/>
    <w:rsid w:val="00A82AD7"/>
    <w:rsid w:val="00A82B6C"/>
    <w:rsid w:val="00A82D76"/>
    <w:rsid w:val="00A83063"/>
    <w:rsid w:val="00A8340A"/>
    <w:rsid w:val="00A83819"/>
    <w:rsid w:val="00A83AD7"/>
    <w:rsid w:val="00A83F49"/>
    <w:rsid w:val="00A84614"/>
    <w:rsid w:val="00A846E0"/>
    <w:rsid w:val="00A84806"/>
    <w:rsid w:val="00A84935"/>
    <w:rsid w:val="00A849B6"/>
    <w:rsid w:val="00A84A8A"/>
    <w:rsid w:val="00A84BEC"/>
    <w:rsid w:val="00A84D60"/>
    <w:rsid w:val="00A84FF6"/>
    <w:rsid w:val="00A8506F"/>
    <w:rsid w:val="00A853A7"/>
    <w:rsid w:val="00A856F3"/>
    <w:rsid w:val="00A8583E"/>
    <w:rsid w:val="00A86047"/>
    <w:rsid w:val="00A8620F"/>
    <w:rsid w:val="00A86292"/>
    <w:rsid w:val="00A86458"/>
    <w:rsid w:val="00A865F3"/>
    <w:rsid w:val="00A86E37"/>
    <w:rsid w:val="00A86F21"/>
    <w:rsid w:val="00A87007"/>
    <w:rsid w:val="00A87715"/>
    <w:rsid w:val="00A8787D"/>
    <w:rsid w:val="00A87D0C"/>
    <w:rsid w:val="00A87FA4"/>
    <w:rsid w:val="00A9038A"/>
    <w:rsid w:val="00A90B3F"/>
    <w:rsid w:val="00A91019"/>
    <w:rsid w:val="00A91357"/>
    <w:rsid w:val="00A91770"/>
    <w:rsid w:val="00A91A4D"/>
    <w:rsid w:val="00A91D62"/>
    <w:rsid w:val="00A91D66"/>
    <w:rsid w:val="00A91DAC"/>
    <w:rsid w:val="00A9217D"/>
    <w:rsid w:val="00A923BC"/>
    <w:rsid w:val="00A93435"/>
    <w:rsid w:val="00A9387B"/>
    <w:rsid w:val="00A93929"/>
    <w:rsid w:val="00A9393D"/>
    <w:rsid w:val="00A93C28"/>
    <w:rsid w:val="00A93DFF"/>
    <w:rsid w:val="00A940D0"/>
    <w:rsid w:val="00A9469D"/>
    <w:rsid w:val="00A946EB"/>
    <w:rsid w:val="00A947D8"/>
    <w:rsid w:val="00A94D29"/>
    <w:rsid w:val="00A94EBB"/>
    <w:rsid w:val="00A95101"/>
    <w:rsid w:val="00A95270"/>
    <w:rsid w:val="00A95598"/>
    <w:rsid w:val="00A9563C"/>
    <w:rsid w:val="00A95709"/>
    <w:rsid w:val="00A957BE"/>
    <w:rsid w:val="00A95C1D"/>
    <w:rsid w:val="00A95D0B"/>
    <w:rsid w:val="00A95E1B"/>
    <w:rsid w:val="00A9671A"/>
    <w:rsid w:val="00A967B8"/>
    <w:rsid w:val="00A9693B"/>
    <w:rsid w:val="00A9699F"/>
    <w:rsid w:val="00A969AC"/>
    <w:rsid w:val="00A96B20"/>
    <w:rsid w:val="00A96B69"/>
    <w:rsid w:val="00A96C2B"/>
    <w:rsid w:val="00A96F66"/>
    <w:rsid w:val="00A96FC3"/>
    <w:rsid w:val="00A9711C"/>
    <w:rsid w:val="00A9741F"/>
    <w:rsid w:val="00A97B94"/>
    <w:rsid w:val="00A97E4E"/>
    <w:rsid w:val="00A97E5E"/>
    <w:rsid w:val="00AA04C4"/>
    <w:rsid w:val="00AA0583"/>
    <w:rsid w:val="00AA071A"/>
    <w:rsid w:val="00AA07F4"/>
    <w:rsid w:val="00AA09E5"/>
    <w:rsid w:val="00AA0AB5"/>
    <w:rsid w:val="00AA0EE7"/>
    <w:rsid w:val="00AA1091"/>
    <w:rsid w:val="00AA11E3"/>
    <w:rsid w:val="00AA13C9"/>
    <w:rsid w:val="00AA16A2"/>
    <w:rsid w:val="00AA19DC"/>
    <w:rsid w:val="00AA1CE4"/>
    <w:rsid w:val="00AA1F6C"/>
    <w:rsid w:val="00AA23D1"/>
    <w:rsid w:val="00AA27D5"/>
    <w:rsid w:val="00AA2919"/>
    <w:rsid w:val="00AA2E53"/>
    <w:rsid w:val="00AA300E"/>
    <w:rsid w:val="00AA32D8"/>
    <w:rsid w:val="00AA3339"/>
    <w:rsid w:val="00AA3789"/>
    <w:rsid w:val="00AA3B15"/>
    <w:rsid w:val="00AA3C9C"/>
    <w:rsid w:val="00AA3D71"/>
    <w:rsid w:val="00AA422B"/>
    <w:rsid w:val="00AA42DE"/>
    <w:rsid w:val="00AA47B1"/>
    <w:rsid w:val="00AA49B2"/>
    <w:rsid w:val="00AA4A2A"/>
    <w:rsid w:val="00AA4A34"/>
    <w:rsid w:val="00AA4B47"/>
    <w:rsid w:val="00AA4C67"/>
    <w:rsid w:val="00AA4CE7"/>
    <w:rsid w:val="00AA51EC"/>
    <w:rsid w:val="00AA5339"/>
    <w:rsid w:val="00AA5375"/>
    <w:rsid w:val="00AA56C1"/>
    <w:rsid w:val="00AA5966"/>
    <w:rsid w:val="00AA5B92"/>
    <w:rsid w:val="00AA5BD3"/>
    <w:rsid w:val="00AA5C62"/>
    <w:rsid w:val="00AA5D95"/>
    <w:rsid w:val="00AA5E1B"/>
    <w:rsid w:val="00AA5F05"/>
    <w:rsid w:val="00AA66C1"/>
    <w:rsid w:val="00AA6757"/>
    <w:rsid w:val="00AA70CC"/>
    <w:rsid w:val="00AA70EC"/>
    <w:rsid w:val="00AA7357"/>
    <w:rsid w:val="00AA7687"/>
    <w:rsid w:val="00AA7D84"/>
    <w:rsid w:val="00AA7E1E"/>
    <w:rsid w:val="00AA7E23"/>
    <w:rsid w:val="00AB0291"/>
    <w:rsid w:val="00AB02A8"/>
    <w:rsid w:val="00AB030A"/>
    <w:rsid w:val="00AB068A"/>
    <w:rsid w:val="00AB08AE"/>
    <w:rsid w:val="00AB0A47"/>
    <w:rsid w:val="00AB0E98"/>
    <w:rsid w:val="00AB10D0"/>
    <w:rsid w:val="00AB126A"/>
    <w:rsid w:val="00AB1585"/>
    <w:rsid w:val="00AB15E1"/>
    <w:rsid w:val="00AB19EB"/>
    <w:rsid w:val="00AB1BD9"/>
    <w:rsid w:val="00AB1DA9"/>
    <w:rsid w:val="00AB1E10"/>
    <w:rsid w:val="00AB2188"/>
    <w:rsid w:val="00AB23D0"/>
    <w:rsid w:val="00AB26AB"/>
    <w:rsid w:val="00AB26E8"/>
    <w:rsid w:val="00AB28F3"/>
    <w:rsid w:val="00AB2A6D"/>
    <w:rsid w:val="00AB3001"/>
    <w:rsid w:val="00AB3084"/>
    <w:rsid w:val="00AB369C"/>
    <w:rsid w:val="00AB36FB"/>
    <w:rsid w:val="00AB3888"/>
    <w:rsid w:val="00AB3AFC"/>
    <w:rsid w:val="00AB3F5E"/>
    <w:rsid w:val="00AB3F98"/>
    <w:rsid w:val="00AB409F"/>
    <w:rsid w:val="00AB4123"/>
    <w:rsid w:val="00AB4262"/>
    <w:rsid w:val="00AB45AF"/>
    <w:rsid w:val="00AB48DC"/>
    <w:rsid w:val="00AB493E"/>
    <w:rsid w:val="00AB4C5B"/>
    <w:rsid w:val="00AB4F7A"/>
    <w:rsid w:val="00AB5505"/>
    <w:rsid w:val="00AB5709"/>
    <w:rsid w:val="00AB5765"/>
    <w:rsid w:val="00AB5D29"/>
    <w:rsid w:val="00AB5F19"/>
    <w:rsid w:val="00AB5FFD"/>
    <w:rsid w:val="00AB639C"/>
    <w:rsid w:val="00AB63C1"/>
    <w:rsid w:val="00AB6884"/>
    <w:rsid w:val="00AB708E"/>
    <w:rsid w:val="00AB7A12"/>
    <w:rsid w:val="00AB7AF5"/>
    <w:rsid w:val="00AB7B08"/>
    <w:rsid w:val="00AB7C5A"/>
    <w:rsid w:val="00AB7CB5"/>
    <w:rsid w:val="00AC0259"/>
    <w:rsid w:val="00AC0431"/>
    <w:rsid w:val="00AC0440"/>
    <w:rsid w:val="00AC04CD"/>
    <w:rsid w:val="00AC056D"/>
    <w:rsid w:val="00AC06EB"/>
    <w:rsid w:val="00AC090E"/>
    <w:rsid w:val="00AC0948"/>
    <w:rsid w:val="00AC0982"/>
    <w:rsid w:val="00AC0A43"/>
    <w:rsid w:val="00AC181C"/>
    <w:rsid w:val="00AC1941"/>
    <w:rsid w:val="00AC1C56"/>
    <w:rsid w:val="00AC1C66"/>
    <w:rsid w:val="00AC1DBB"/>
    <w:rsid w:val="00AC1E4E"/>
    <w:rsid w:val="00AC230A"/>
    <w:rsid w:val="00AC242A"/>
    <w:rsid w:val="00AC261F"/>
    <w:rsid w:val="00AC280D"/>
    <w:rsid w:val="00AC29D2"/>
    <w:rsid w:val="00AC29DB"/>
    <w:rsid w:val="00AC2B28"/>
    <w:rsid w:val="00AC2BD1"/>
    <w:rsid w:val="00AC2D0D"/>
    <w:rsid w:val="00AC3044"/>
    <w:rsid w:val="00AC317D"/>
    <w:rsid w:val="00AC327A"/>
    <w:rsid w:val="00AC32DF"/>
    <w:rsid w:val="00AC336B"/>
    <w:rsid w:val="00AC3826"/>
    <w:rsid w:val="00AC3891"/>
    <w:rsid w:val="00AC39C0"/>
    <w:rsid w:val="00AC3B41"/>
    <w:rsid w:val="00AC3D98"/>
    <w:rsid w:val="00AC3F48"/>
    <w:rsid w:val="00AC3F6D"/>
    <w:rsid w:val="00AC41E2"/>
    <w:rsid w:val="00AC42A3"/>
    <w:rsid w:val="00AC4602"/>
    <w:rsid w:val="00AC47DE"/>
    <w:rsid w:val="00AC48A5"/>
    <w:rsid w:val="00AC497E"/>
    <w:rsid w:val="00AC4AED"/>
    <w:rsid w:val="00AC4BEF"/>
    <w:rsid w:val="00AC4DA9"/>
    <w:rsid w:val="00AC519F"/>
    <w:rsid w:val="00AC540B"/>
    <w:rsid w:val="00AC5437"/>
    <w:rsid w:val="00AC5493"/>
    <w:rsid w:val="00AC5559"/>
    <w:rsid w:val="00AC564E"/>
    <w:rsid w:val="00AC5A4A"/>
    <w:rsid w:val="00AC5C20"/>
    <w:rsid w:val="00AC5C9B"/>
    <w:rsid w:val="00AC5CBC"/>
    <w:rsid w:val="00AC5D7B"/>
    <w:rsid w:val="00AC5DAB"/>
    <w:rsid w:val="00AC5FF1"/>
    <w:rsid w:val="00AC64EF"/>
    <w:rsid w:val="00AC68BC"/>
    <w:rsid w:val="00AC6B96"/>
    <w:rsid w:val="00AC6CEE"/>
    <w:rsid w:val="00AC6DC9"/>
    <w:rsid w:val="00AC7258"/>
    <w:rsid w:val="00AC72FA"/>
    <w:rsid w:val="00AC762E"/>
    <w:rsid w:val="00AC7856"/>
    <w:rsid w:val="00AC7B81"/>
    <w:rsid w:val="00AC7BE6"/>
    <w:rsid w:val="00AC7E47"/>
    <w:rsid w:val="00AD0074"/>
    <w:rsid w:val="00AD01CD"/>
    <w:rsid w:val="00AD042A"/>
    <w:rsid w:val="00AD069C"/>
    <w:rsid w:val="00AD093D"/>
    <w:rsid w:val="00AD157B"/>
    <w:rsid w:val="00AD18CA"/>
    <w:rsid w:val="00AD1BB0"/>
    <w:rsid w:val="00AD1C59"/>
    <w:rsid w:val="00AD1D82"/>
    <w:rsid w:val="00AD24F7"/>
    <w:rsid w:val="00AD2CAC"/>
    <w:rsid w:val="00AD2E63"/>
    <w:rsid w:val="00AD2F44"/>
    <w:rsid w:val="00AD2F81"/>
    <w:rsid w:val="00AD3264"/>
    <w:rsid w:val="00AD340B"/>
    <w:rsid w:val="00AD3433"/>
    <w:rsid w:val="00AD37B8"/>
    <w:rsid w:val="00AD3A2F"/>
    <w:rsid w:val="00AD3B14"/>
    <w:rsid w:val="00AD3B50"/>
    <w:rsid w:val="00AD3E3F"/>
    <w:rsid w:val="00AD40E2"/>
    <w:rsid w:val="00AD4239"/>
    <w:rsid w:val="00AD4248"/>
    <w:rsid w:val="00AD42B5"/>
    <w:rsid w:val="00AD476C"/>
    <w:rsid w:val="00AD4817"/>
    <w:rsid w:val="00AD4A6A"/>
    <w:rsid w:val="00AD4DC0"/>
    <w:rsid w:val="00AD4FA0"/>
    <w:rsid w:val="00AD5039"/>
    <w:rsid w:val="00AD51BC"/>
    <w:rsid w:val="00AD5235"/>
    <w:rsid w:val="00AD54D2"/>
    <w:rsid w:val="00AD5B8A"/>
    <w:rsid w:val="00AD5C0F"/>
    <w:rsid w:val="00AD6012"/>
    <w:rsid w:val="00AD6070"/>
    <w:rsid w:val="00AD6457"/>
    <w:rsid w:val="00AD65CD"/>
    <w:rsid w:val="00AD6971"/>
    <w:rsid w:val="00AD6CCB"/>
    <w:rsid w:val="00AD7203"/>
    <w:rsid w:val="00AD7822"/>
    <w:rsid w:val="00AD78C4"/>
    <w:rsid w:val="00AD7919"/>
    <w:rsid w:val="00AD794F"/>
    <w:rsid w:val="00AD7D57"/>
    <w:rsid w:val="00AE007D"/>
    <w:rsid w:val="00AE023A"/>
    <w:rsid w:val="00AE0241"/>
    <w:rsid w:val="00AE048D"/>
    <w:rsid w:val="00AE0533"/>
    <w:rsid w:val="00AE09FD"/>
    <w:rsid w:val="00AE0B64"/>
    <w:rsid w:val="00AE0BD5"/>
    <w:rsid w:val="00AE0C59"/>
    <w:rsid w:val="00AE0E8C"/>
    <w:rsid w:val="00AE102F"/>
    <w:rsid w:val="00AE10F5"/>
    <w:rsid w:val="00AE1134"/>
    <w:rsid w:val="00AE12E0"/>
    <w:rsid w:val="00AE12F6"/>
    <w:rsid w:val="00AE14B2"/>
    <w:rsid w:val="00AE19CD"/>
    <w:rsid w:val="00AE1A15"/>
    <w:rsid w:val="00AE1B3F"/>
    <w:rsid w:val="00AE1B5A"/>
    <w:rsid w:val="00AE1D41"/>
    <w:rsid w:val="00AE2294"/>
    <w:rsid w:val="00AE22D1"/>
    <w:rsid w:val="00AE264F"/>
    <w:rsid w:val="00AE26B3"/>
    <w:rsid w:val="00AE2892"/>
    <w:rsid w:val="00AE2D2B"/>
    <w:rsid w:val="00AE2F83"/>
    <w:rsid w:val="00AE31CD"/>
    <w:rsid w:val="00AE35F2"/>
    <w:rsid w:val="00AE38BB"/>
    <w:rsid w:val="00AE39B2"/>
    <w:rsid w:val="00AE3ABE"/>
    <w:rsid w:val="00AE3B68"/>
    <w:rsid w:val="00AE3B96"/>
    <w:rsid w:val="00AE3C21"/>
    <w:rsid w:val="00AE4020"/>
    <w:rsid w:val="00AE454C"/>
    <w:rsid w:val="00AE483E"/>
    <w:rsid w:val="00AE49A8"/>
    <w:rsid w:val="00AE4DAA"/>
    <w:rsid w:val="00AE540C"/>
    <w:rsid w:val="00AE57A3"/>
    <w:rsid w:val="00AE5A98"/>
    <w:rsid w:val="00AE5B58"/>
    <w:rsid w:val="00AE5BA8"/>
    <w:rsid w:val="00AE6047"/>
    <w:rsid w:val="00AE610D"/>
    <w:rsid w:val="00AE6862"/>
    <w:rsid w:val="00AE6982"/>
    <w:rsid w:val="00AE6DD4"/>
    <w:rsid w:val="00AE6F20"/>
    <w:rsid w:val="00AE7203"/>
    <w:rsid w:val="00AE7591"/>
    <w:rsid w:val="00AE75EE"/>
    <w:rsid w:val="00AE7803"/>
    <w:rsid w:val="00AE784A"/>
    <w:rsid w:val="00AE7F67"/>
    <w:rsid w:val="00AF07BA"/>
    <w:rsid w:val="00AF095A"/>
    <w:rsid w:val="00AF09E3"/>
    <w:rsid w:val="00AF09EE"/>
    <w:rsid w:val="00AF0D3F"/>
    <w:rsid w:val="00AF0E36"/>
    <w:rsid w:val="00AF1096"/>
    <w:rsid w:val="00AF14E5"/>
    <w:rsid w:val="00AF16D0"/>
    <w:rsid w:val="00AF1F33"/>
    <w:rsid w:val="00AF1F97"/>
    <w:rsid w:val="00AF2124"/>
    <w:rsid w:val="00AF21AD"/>
    <w:rsid w:val="00AF2267"/>
    <w:rsid w:val="00AF2382"/>
    <w:rsid w:val="00AF245C"/>
    <w:rsid w:val="00AF2574"/>
    <w:rsid w:val="00AF2CB8"/>
    <w:rsid w:val="00AF2F44"/>
    <w:rsid w:val="00AF31F5"/>
    <w:rsid w:val="00AF321D"/>
    <w:rsid w:val="00AF3508"/>
    <w:rsid w:val="00AF3CE5"/>
    <w:rsid w:val="00AF3D28"/>
    <w:rsid w:val="00AF3D8F"/>
    <w:rsid w:val="00AF40C0"/>
    <w:rsid w:val="00AF42EC"/>
    <w:rsid w:val="00AF4568"/>
    <w:rsid w:val="00AF4A8F"/>
    <w:rsid w:val="00AF4C0A"/>
    <w:rsid w:val="00AF4C16"/>
    <w:rsid w:val="00AF4D22"/>
    <w:rsid w:val="00AF4FCE"/>
    <w:rsid w:val="00AF524D"/>
    <w:rsid w:val="00AF52C9"/>
    <w:rsid w:val="00AF5491"/>
    <w:rsid w:val="00AF54AA"/>
    <w:rsid w:val="00AF5B1C"/>
    <w:rsid w:val="00AF5BE6"/>
    <w:rsid w:val="00AF6372"/>
    <w:rsid w:val="00AF67C5"/>
    <w:rsid w:val="00AF68EF"/>
    <w:rsid w:val="00AF6902"/>
    <w:rsid w:val="00AF6BC3"/>
    <w:rsid w:val="00AF6E5E"/>
    <w:rsid w:val="00AF707B"/>
    <w:rsid w:val="00AF7156"/>
    <w:rsid w:val="00AF771C"/>
    <w:rsid w:val="00AF79EF"/>
    <w:rsid w:val="00AF7BF0"/>
    <w:rsid w:val="00AF7BFC"/>
    <w:rsid w:val="00AF7C3B"/>
    <w:rsid w:val="00AF7FD2"/>
    <w:rsid w:val="00B000A1"/>
    <w:rsid w:val="00B0015E"/>
    <w:rsid w:val="00B0040E"/>
    <w:rsid w:val="00B00415"/>
    <w:rsid w:val="00B00750"/>
    <w:rsid w:val="00B00ADE"/>
    <w:rsid w:val="00B011C4"/>
    <w:rsid w:val="00B0122B"/>
    <w:rsid w:val="00B0127C"/>
    <w:rsid w:val="00B01671"/>
    <w:rsid w:val="00B01942"/>
    <w:rsid w:val="00B01A43"/>
    <w:rsid w:val="00B01B81"/>
    <w:rsid w:val="00B021B1"/>
    <w:rsid w:val="00B026C5"/>
    <w:rsid w:val="00B02713"/>
    <w:rsid w:val="00B02F69"/>
    <w:rsid w:val="00B02FAE"/>
    <w:rsid w:val="00B032F2"/>
    <w:rsid w:val="00B0392C"/>
    <w:rsid w:val="00B0395D"/>
    <w:rsid w:val="00B039D3"/>
    <w:rsid w:val="00B03B07"/>
    <w:rsid w:val="00B03C1D"/>
    <w:rsid w:val="00B03D6B"/>
    <w:rsid w:val="00B03EC6"/>
    <w:rsid w:val="00B042A7"/>
    <w:rsid w:val="00B042B2"/>
    <w:rsid w:val="00B04364"/>
    <w:rsid w:val="00B0453C"/>
    <w:rsid w:val="00B050A7"/>
    <w:rsid w:val="00B050B6"/>
    <w:rsid w:val="00B052C6"/>
    <w:rsid w:val="00B052D6"/>
    <w:rsid w:val="00B05BF6"/>
    <w:rsid w:val="00B05CB5"/>
    <w:rsid w:val="00B05E39"/>
    <w:rsid w:val="00B065AB"/>
    <w:rsid w:val="00B0662D"/>
    <w:rsid w:val="00B069B2"/>
    <w:rsid w:val="00B06A8B"/>
    <w:rsid w:val="00B06B2B"/>
    <w:rsid w:val="00B06F3D"/>
    <w:rsid w:val="00B07156"/>
    <w:rsid w:val="00B07303"/>
    <w:rsid w:val="00B07488"/>
    <w:rsid w:val="00B077EC"/>
    <w:rsid w:val="00B07836"/>
    <w:rsid w:val="00B07AFC"/>
    <w:rsid w:val="00B07B6D"/>
    <w:rsid w:val="00B07C63"/>
    <w:rsid w:val="00B07CE1"/>
    <w:rsid w:val="00B07E37"/>
    <w:rsid w:val="00B08394"/>
    <w:rsid w:val="00B100F9"/>
    <w:rsid w:val="00B1062B"/>
    <w:rsid w:val="00B10976"/>
    <w:rsid w:val="00B10B8E"/>
    <w:rsid w:val="00B10CA3"/>
    <w:rsid w:val="00B10D76"/>
    <w:rsid w:val="00B10DAF"/>
    <w:rsid w:val="00B10FC9"/>
    <w:rsid w:val="00B1100A"/>
    <w:rsid w:val="00B111D8"/>
    <w:rsid w:val="00B11293"/>
    <w:rsid w:val="00B11453"/>
    <w:rsid w:val="00B116F2"/>
    <w:rsid w:val="00B121C6"/>
    <w:rsid w:val="00B12316"/>
    <w:rsid w:val="00B1231B"/>
    <w:rsid w:val="00B12533"/>
    <w:rsid w:val="00B12766"/>
    <w:rsid w:val="00B12EE8"/>
    <w:rsid w:val="00B13116"/>
    <w:rsid w:val="00B1329D"/>
    <w:rsid w:val="00B135EE"/>
    <w:rsid w:val="00B1365B"/>
    <w:rsid w:val="00B13B63"/>
    <w:rsid w:val="00B13C5D"/>
    <w:rsid w:val="00B146AA"/>
    <w:rsid w:val="00B149A4"/>
    <w:rsid w:val="00B1522D"/>
    <w:rsid w:val="00B15263"/>
    <w:rsid w:val="00B152BE"/>
    <w:rsid w:val="00B1536A"/>
    <w:rsid w:val="00B15791"/>
    <w:rsid w:val="00B158C8"/>
    <w:rsid w:val="00B1595A"/>
    <w:rsid w:val="00B15AC5"/>
    <w:rsid w:val="00B15B59"/>
    <w:rsid w:val="00B15D16"/>
    <w:rsid w:val="00B15FFD"/>
    <w:rsid w:val="00B1631B"/>
    <w:rsid w:val="00B1631F"/>
    <w:rsid w:val="00B16814"/>
    <w:rsid w:val="00B1698B"/>
    <w:rsid w:val="00B16ED7"/>
    <w:rsid w:val="00B16F63"/>
    <w:rsid w:val="00B17000"/>
    <w:rsid w:val="00B170AD"/>
    <w:rsid w:val="00B17222"/>
    <w:rsid w:val="00B17A38"/>
    <w:rsid w:val="00B17BE9"/>
    <w:rsid w:val="00B17E7D"/>
    <w:rsid w:val="00B17F74"/>
    <w:rsid w:val="00B2006F"/>
    <w:rsid w:val="00B20073"/>
    <w:rsid w:val="00B201D2"/>
    <w:rsid w:val="00B20412"/>
    <w:rsid w:val="00B20951"/>
    <w:rsid w:val="00B20A41"/>
    <w:rsid w:val="00B20BBF"/>
    <w:rsid w:val="00B21047"/>
    <w:rsid w:val="00B210D0"/>
    <w:rsid w:val="00B21141"/>
    <w:rsid w:val="00B212D3"/>
    <w:rsid w:val="00B217A5"/>
    <w:rsid w:val="00B217B1"/>
    <w:rsid w:val="00B219ED"/>
    <w:rsid w:val="00B21EF0"/>
    <w:rsid w:val="00B220C6"/>
    <w:rsid w:val="00B221EE"/>
    <w:rsid w:val="00B226AD"/>
    <w:rsid w:val="00B22714"/>
    <w:rsid w:val="00B2297A"/>
    <w:rsid w:val="00B229A9"/>
    <w:rsid w:val="00B22EF1"/>
    <w:rsid w:val="00B2313A"/>
    <w:rsid w:val="00B23716"/>
    <w:rsid w:val="00B238E6"/>
    <w:rsid w:val="00B23932"/>
    <w:rsid w:val="00B23AE4"/>
    <w:rsid w:val="00B23BB3"/>
    <w:rsid w:val="00B23EF9"/>
    <w:rsid w:val="00B241EE"/>
    <w:rsid w:val="00B2422E"/>
    <w:rsid w:val="00B24271"/>
    <w:rsid w:val="00B2457F"/>
    <w:rsid w:val="00B246A4"/>
    <w:rsid w:val="00B24BAB"/>
    <w:rsid w:val="00B24CAD"/>
    <w:rsid w:val="00B24DBB"/>
    <w:rsid w:val="00B24F7A"/>
    <w:rsid w:val="00B24FFD"/>
    <w:rsid w:val="00B25108"/>
    <w:rsid w:val="00B251D2"/>
    <w:rsid w:val="00B2581E"/>
    <w:rsid w:val="00B2582A"/>
    <w:rsid w:val="00B258E3"/>
    <w:rsid w:val="00B25A41"/>
    <w:rsid w:val="00B25D8A"/>
    <w:rsid w:val="00B2655F"/>
    <w:rsid w:val="00B265F3"/>
    <w:rsid w:val="00B2675D"/>
    <w:rsid w:val="00B267D3"/>
    <w:rsid w:val="00B26976"/>
    <w:rsid w:val="00B26AB2"/>
    <w:rsid w:val="00B26B21"/>
    <w:rsid w:val="00B26C22"/>
    <w:rsid w:val="00B26F6E"/>
    <w:rsid w:val="00B27021"/>
    <w:rsid w:val="00B27308"/>
    <w:rsid w:val="00B27AA3"/>
    <w:rsid w:val="00B27BC2"/>
    <w:rsid w:val="00B27E63"/>
    <w:rsid w:val="00B28CE5"/>
    <w:rsid w:val="00B30024"/>
    <w:rsid w:val="00B30317"/>
    <w:rsid w:val="00B30368"/>
    <w:rsid w:val="00B303A3"/>
    <w:rsid w:val="00B30414"/>
    <w:rsid w:val="00B304C1"/>
    <w:rsid w:val="00B30824"/>
    <w:rsid w:val="00B3087B"/>
    <w:rsid w:val="00B30EED"/>
    <w:rsid w:val="00B3117A"/>
    <w:rsid w:val="00B312AF"/>
    <w:rsid w:val="00B317CF"/>
    <w:rsid w:val="00B318E3"/>
    <w:rsid w:val="00B31A89"/>
    <w:rsid w:val="00B31DA8"/>
    <w:rsid w:val="00B31EE6"/>
    <w:rsid w:val="00B3205B"/>
    <w:rsid w:val="00B32717"/>
    <w:rsid w:val="00B32957"/>
    <w:rsid w:val="00B32C2E"/>
    <w:rsid w:val="00B32EED"/>
    <w:rsid w:val="00B3311E"/>
    <w:rsid w:val="00B33307"/>
    <w:rsid w:val="00B33470"/>
    <w:rsid w:val="00B339BF"/>
    <w:rsid w:val="00B33BFB"/>
    <w:rsid w:val="00B33E54"/>
    <w:rsid w:val="00B34227"/>
    <w:rsid w:val="00B3423A"/>
    <w:rsid w:val="00B34272"/>
    <w:rsid w:val="00B34848"/>
    <w:rsid w:val="00B348D0"/>
    <w:rsid w:val="00B34CA7"/>
    <w:rsid w:val="00B34D8F"/>
    <w:rsid w:val="00B34F63"/>
    <w:rsid w:val="00B3526C"/>
    <w:rsid w:val="00B352D1"/>
    <w:rsid w:val="00B35309"/>
    <w:rsid w:val="00B35715"/>
    <w:rsid w:val="00B3589F"/>
    <w:rsid w:val="00B35AD3"/>
    <w:rsid w:val="00B363AD"/>
    <w:rsid w:val="00B3642A"/>
    <w:rsid w:val="00B36764"/>
    <w:rsid w:val="00B36904"/>
    <w:rsid w:val="00B36A5C"/>
    <w:rsid w:val="00B36AF8"/>
    <w:rsid w:val="00B36BAF"/>
    <w:rsid w:val="00B36DE9"/>
    <w:rsid w:val="00B36E09"/>
    <w:rsid w:val="00B371B9"/>
    <w:rsid w:val="00B374CD"/>
    <w:rsid w:val="00B379C0"/>
    <w:rsid w:val="00B37BE7"/>
    <w:rsid w:val="00B37DBE"/>
    <w:rsid w:val="00B37DFD"/>
    <w:rsid w:val="00B37E60"/>
    <w:rsid w:val="00B409F5"/>
    <w:rsid w:val="00B40C82"/>
    <w:rsid w:val="00B40D97"/>
    <w:rsid w:val="00B410F0"/>
    <w:rsid w:val="00B414A6"/>
    <w:rsid w:val="00B415B0"/>
    <w:rsid w:val="00B41A8E"/>
    <w:rsid w:val="00B41AD0"/>
    <w:rsid w:val="00B41EC2"/>
    <w:rsid w:val="00B41FE6"/>
    <w:rsid w:val="00B421A8"/>
    <w:rsid w:val="00B42266"/>
    <w:rsid w:val="00B4233A"/>
    <w:rsid w:val="00B4235B"/>
    <w:rsid w:val="00B4256C"/>
    <w:rsid w:val="00B42712"/>
    <w:rsid w:val="00B42C9A"/>
    <w:rsid w:val="00B43329"/>
    <w:rsid w:val="00B43442"/>
    <w:rsid w:val="00B43698"/>
    <w:rsid w:val="00B4378D"/>
    <w:rsid w:val="00B43790"/>
    <w:rsid w:val="00B43939"/>
    <w:rsid w:val="00B43AE9"/>
    <w:rsid w:val="00B449C8"/>
    <w:rsid w:val="00B44A99"/>
    <w:rsid w:val="00B451C8"/>
    <w:rsid w:val="00B451F1"/>
    <w:rsid w:val="00B45321"/>
    <w:rsid w:val="00B4536D"/>
    <w:rsid w:val="00B45705"/>
    <w:rsid w:val="00B45955"/>
    <w:rsid w:val="00B459E2"/>
    <w:rsid w:val="00B45A3B"/>
    <w:rsid w:val="00B45B26"/>
    <w:rsid w:val="00B45B88"/>
    <w:rsid w:val="00B45C0B"/>
    <w:rsid w:val="00B45F85"/>
    <w:rsid w:val="00B462FD"/>
    <w:rsid w:val="00B46356"/>
    <w:rsid w:val="00B465A0"/>
    <w:rsid w:val="00B468AA"/>
    <w:rsid w:val="00B46BBC"/>
    <w:rsid w:val="00B46FFC"/>
    <w:rsid w:val="00B47169"/>
    <w:rsid w:val="00B475D5"/>
    <w:rsid w:val="00B476F0"/>
    <w:rsid w:val="00B478E8"/>
    <w:rsid w:val="00B47982"/>
    <w:rsid w:val="00B47A4D"/>
    <w:rsid w:val="00B47AA5"/>
    <w:rsid w:val="00B47B54"/>
    <w:rsid w:val="00B47D84"/>
    <w:rsid w:val="00B47FA7"/>
    <w:rsid w:val="00B4BBCA"/>
    <w:rsid w:val="00B503FA"/>
    <w:rsid w:val="00B50726"/>
    <w:rsid w:val="00B508F3"/>
    <w:rsid w:val="00B50915"/>
    <w:rsid w:val="00B50EBD"/>
    <w:rsid w:val="00B50F1B"/>
    <w:rsid w:val="00B51031"/>
    <w:rsid w:val="00B5124E"/>
    <w:rsid w:val="00B512FB"/>
    <w:rsid w:val="00B51372"/>
    <w:rsid w:val="00B51571"/>
    <w:rsid w:val="00B52137"/>
    <w:rsid w:val="00B521E5"/>
    <w:rsid w:val="00B5228D"/>
    <w:rsid w:val="00B52321"/>
    <w:rsid w:val="00B52439"/>
    <w:rsid w:val="00B52501"/>
    <w:rsid w:val="00B52EA2"/>
    <w:rsid w:val="00B52FB3"/>
    <w:rsid w:val="00B5352A"/>
    <w:rsid w:val="00B5353F"/>
    <w:rsid w:val="00B53799"/>
    <w:rsid w:val="00B53F12"/>
    <w:rsid w:val="00B53F68"/>
    <w:rsid w:val="00B53FB1"/>
    <w:rsid w:val="00B54134"/>
    <w:rsid w:val="00B54246"/>
    <w:rsid w:val="00B54256"/>
    <w:rsid w:val="00B54274"/>
    <w:rsid w:val="00B547C6"/>
    <w:rsid w:val="00B547F8"/>
    <w:rsid w:val="00B54B43"/>
    <w:rsid w:val="00B54BA2"/>
    <w:rsid w:val="00B550B7"/>
    <w:rsid w:val="00B55197"/>
    <w:rsid w:val="00B551A4"/>
    <w:rsid w:val="00B5546E"/>
    <w:rsid w:val="00B555B8"/>
    <w:rsid w:val="00B55620"/>
    <w:rsid w:val="00B5562A"/>
    <w:rsid w:val="00B55A39"/>
    <w:rsid w:val="00B55FDB"/>
    <w:rsid w:val="00B56018"/>
    <w:rsid w:val="00B5619E"/>
    <w:rsid w:val="00B56417"/>
    <w:rsid w:val="00B56454"/>
    <w:rsid w:val="00B5650C"/>
    <w:rsid w:val="00B56600"/>
    <w:rsid w:val="00B56A22"/>
    <w:rsid w:val="00B56A68"/>
    <w:rsid w:val="00B56CFD"/>
    <w:rsid w:val="00B56E1C"/>
    <w:rsid w:val="00B5706D"/>
    <w:rsid w:val="00B5718A"/>
    <w:rsid w:val="00B577A3"/>
    <w:rsid w:val="00B57813"/>
    <w:rsid w:val="00B57A8A"/>
    <w:rsid w:val="00B57BD0"/>
    <w:rsid w:val="00B57DB5"/>
    <w:rsid w:val="00B60097"/>
    <w:rsid w:val="00B600A9"/>
    <w:rsid w:val="00B602C9"/>
    <w:rsid w:val="00B603FB"/>
    <w:rsid w:val="00B60534"/>
    <w:rsid w:val="00B606E7"/>
    <w:rsid w:val="00B60789"/>
    <w:rsid w:val="00B60A55"/>
    <w:rsid w:val="00B60A7B"/>
    <w:rsid w:val="00B60C0C"/>
    <w:rsid w:val="00B60D6A"/>
    <w:rsid w:val="00B60EB2"/>
    <w:rsid w:val="00B60F20"/>
    <w:rsid w:val="00B611B7"/>
    <w:rsid w:val="00B611B9"/>
    <w:rsid w:val="00B614F2"/>
    <w:rsid w:val="00B6156D"/>
    <w:rsid w:val="00B6167B"/>
    <w:rsid w:val="00B61750"/>
    <w:rsid w:val="00B61A53"/>
    <w:rsid w:val="00B61CFC"/>
    <w:rsid w:val="00B61F8E"/>
    <w:rsid w:val="00B62221"/>
    <w:rsid w:val="00B622A4"/>
    <w:rsid w:val="00B622BD"/>
    <w:rsid w:val="00B62405"/>
    <w:rsid w:val="00B62524"/>
    <w:rsid w:val="00B62550"/>
    <w:rsid w:val="00B626CC"/>
    <w:rsid w:val="00B62C64"/>
    <w:rsid w:val="00B62DAE"/>
    <w:rsid w:val="00B62E65"/>
    <w:rsid w:val="00B62E6E"/>
    <w:rsid w:val="00B631E3"/>
    <w:rsid w:val="00B6367A"/>
    <w:rsid w:val="00B63697"/>
    <w:rsid w:val="00B636DD"/>
    <w:rsid w:val="00B636F4"/>
    <w:rsid w:val="00B639B6"/>
    <w:rsid w:val="00B63B2A"/>
    <w:rsid w:val="00B63F0B"/>
    <w:rsid w:val="00B643DF"/>
    <w:rsid w:val="00B645EC"/>
    <w:rsid w:val="00B647C2"/>
    <w:rsid w:val="00B647DE"/>
    <w:rsid w:val="00B64892"/>
    <w:rsid w:val="00B649CC"/>
    <w:rsid w:val="00B64E56"/>
    <w:rsid w:val="00B64FAE"/>
    <w:rsid w:val="00B65751"/>
    <w:rsid w:val="00B6586F"/>
    <w:rsid w:val="00B65A8F"/>
    <w:rsid w:val="00B65FA9"/>
    <w:rsid w:val="00B662BD"/>
    <w:rsid w:val="00B6630D"/>
    <w:rsid w:val="00B6638A"/>
    <w:rsid w:val="00B663CA"/>
    <w:rsid w:val="00B66701"/>
    <w:rsid w:val="00B667AE"/>
    <w:rsid w:val="00B66D29"/>
    <w:rsid w:val="00B66DC0"/>
    <w:rsid w:val="00B66E17"/>
    <w:rsid w:val="00B67525"/>
    <w:rsid w:val="00B67D10"/>
    <w:rsid w:val="00B701DF"/>
    <w:rsid w:val="00B70601"/>
    <w:rsid w:val="00B706FB"/>
    <w:rsid w:val="00B707BD"/>
    <w:rsid w:val="00B7082F"/>
    <w:rsid w:val="00B70917"/>
    <w:rsid w:val="00B70C1D"/>
    <w:rsid w:val="00B70D9E"/>
    <w:rsid w:val="00B71023"/>
    <w:rsid w:val="00B71528"/>
    <w:rsid w:val="00B7156F"/>
    <w:rsid w:val="00B71836"/>
    <w:rsid w:val="00B7193F"/>
    <w:rsid w:val="00B71994"/>
    <w:rsid w:val="00B71D20"/>
    <w:rsid w:val="00B71E74"/>
    <w:rsid w:val="00B7229F"/>
    <w:rsid w:val="00B72473"/>
    <w:rsid w:val="00B72679"/>
    <w:rsid w:val="00B7272C"/>
    <w:rsid w:val="00B727ED"/>
    <w:rsid w:val="00B7283C"/>
    <w:rsid w:val="00B729F4"/>
    <w:rsid w:val="00B72B31"/>
    <w:rsid w:val="00B72B93"/>
    <w:rsid w:val="00B72C72"/>
    <w:rsid w:val="00B72FA0"/>
    <w:rsid w:val="00B7327B"/>
    <w:rsid w:val="00B732AA"/>
    <w:rsid w:val="00B73482"/>
    <w:rsid w:val="00B734F5"/>
    <w:rsid w:val="00B73534"/>
    <w:rsid w:val="00B73901"/>
    <w:rsid w:val="00B73A06"/>
    <w:rsid w:val="00B73AAD"/>
    <w:rsid w:val="00B74328"/>
    <w:rsid w:val="00B745CB"/>
    <w:rsid w:val="00B746B2"/>
    <w:rsid w:val="00B74731"/>
    <w:rsid w:val="00B74940"/>
    <w:rsid w:val="00B74A90"/>
    <w:rsid w:val="00B74DD7"/>
    <w:rsid w:val="00B751DB"/>
    <w:rsid w:val="00B753C6"/>
    <w:rsid w:val="00B7545A"/>
    <w:rsid w:val="00B75599"/>
    <w:rsid w:val="00B75625"/>
    <w:rsid w:val="00B757F1"/>
    <w:rsid w:val="00B75E86"/>
    <w:rsid w:val="00B75F05"/>
    <w:rsid w:val="00B7641E"/>
    <w:rsid w:val="00B765D1"/>
    <w:rsid w:val="00B765DD"/>
    <w:rsid w:val="00B765ED"/>
    <w:rsid w:val="00B76960"/>
    <w:rsid w:val="00B769C2"/>
    <w:rsid w:val="00B76DDB"/>
    <w:rsid w:val="00B77016"/>
    <w:rsid w:val="00B770F6"/>
    <w:rsid w:val="00B77495"/>
    <w:rsid w:val="00B776BA"/>
    <w:rsid w:val="00B77BB5"/>
    <w:rsid w:val="00B77E24"/>
    <w:rsid w:val="00B77EBB"/>
    <w:rsid w:val="00B80356"/>
    <w:rsid w:val="00B80726"/>
    <w:rsid w:val="00B809DB"/>
    <w:rsid w:val="00B80C05"/>
    <w:rsid w:val="00B80C0C"/>
    <w:rsid w:val="00B80CA8"/>
    <w:rsid w:val="00B80D00"/>
    <w:rsid w:val="00B80D57"/>
    <w:rsid w:val="00B8105B"/>
    <w:rsid w:val="00B81122"/>
    <w:rsid w:val="00B8120C"/>
    <w:rsid w:val="00B81370"/>
    <w:rsid w:val="00B815F7"/>
    <w:rsid w:val="00B81624"/>
    <w:rsid w:val="00B81957"/>
    <w:rsid w:val="00B819ED"/>
    <w:rsid w:val="00B81A22"/>
    <w:rsid w:val="00B81C03"/>
    <w:rsid w:val="00B81C59"/>
    <w:rsid w:val="00B81EDE"/>
    <w:rsid w:val="00B81F16"/>
    <w:rsid w:val="00B82207"/>
    <w:rsid w:val="00B82275"/>
    <w:rsid w:val="00B82289"/>
    <w:rsid w:val="00B822A2"/>
    <w:rsid w:val="00B8233C"/>
    <w:rsid w:val="00B82871"/>
    <w:rsid w:val="00B82986"/>
    <w:rsid w:val="00B82A1C"/>
    <w:rsid w:val="00B8307A"/>
    <w:rsid w:val="00B83378"/>
    <w:rsid w:val="00B83486"/>
    <w:rsid w:val="00B83B21"/>
    <w:rsid w:val="00B83B4E"/>
    <w:rsid w:val="00B83BCD"/>
    <w:rsid w:val="00B83C52"/>
    <w:rsid w:val="00B83E34"/>
    <w:rsid w:val="00B83F1A"/>
    <w:rsid w:val="00B841D7"/>
    <w:rsid w:val="00B84541"/>
    <w:rsid w:val="00B85234"/>
    <w:rsid w:val="00B85375"/>
    <w:rsid w:val="00B859FC"/>
    <w:rsid w:val="00B85DCE"/>
    <w:rsid w:val="00B85E8F"/>
    <w:rsid w:val="00B860F6"/>
    <w:rsid w:val="00B86135"/>
    <w:rsid w:val="00B863A2"/>
    <w:rsid w:val="00B8661A"/>
    <w:rsid w:val="00B86AA5"/>
    <w:rsid w:val="00B86C63"/>
    <w:rsid w:val="00B86E1F"/>
    <w:rsid w:val="00B86ECC"/>
    <w:rsid w:val="00B870D1"/>
    <w:rsid w:val="00B873F9"/>
    <w:rsid w:val="00B877E5"/>
    <w:rsid w:val="00B878B5"/>
    <w:rsid w:val="00B879E2"/>
    <w:rsid w:val="00B87BC4"/>
    <w:rsid w:val="00B87E50"/>
    <w:rsid w:val="00B90129"/>
    <w:rsid w:val="00B901D6"/>
    <w:rsid w:val="00B902A9"/>
    <w:rsid w:val="00B902C9"/>
    <w:rsid w:val="00B90407"/>
    <w:rsid w:val="00B9044A"/>
    <w:rsid w:val="00B9095D"/>
    <w:rsid w:val="00B90D38"/>
    <w:rsid w:val="00B90E22"/>
    <w:rsid w:val="00B90E8F"/>
    <w:rsid w:val="00B912A1"/>
    <w:rsid w:val="00B912D5"/>
    <w:rsid w:val="00B913C6"/>
    <w:rsid w:val="00B913FE"/>
    <w:rsid w:val="00B915D8"/>
    <w:rsid w:val="00B919E3"/>
    <w:rsid w:val="00B91AF4"/>
    <w:rsid w:val="00B91F12"/>
    <w:rsid w:val="00B923E8"/>
    <w:rsid w:val="00B9262B"/>
    <w:rsid w:val="00B92854"/>
    <w:rsid w:val="00B928B8"/>
    <w:rsid w:val="00B92A54"/>
    <w:rsid w:val="00B93B04"/>
    <w:rsid w:val="00B93E81"/>
    <w:rsid w:val="00B94065"/>
    <w:rsid w:val="00B942FE"/>
    <w:rsid w:val="00B947B9"/>
    <w:rsid w:val="00B94CA2"/>
    <w:rsid w:val="00B94E3A"/>
    <w:rsid w:val="00B94EAF"/>
    <w:rsid w:val="00B95136"/>
    <w:rsid w:val="00B95671"/>
    <w:rsid w:val="00B95C56"/>
    <w:rsid w:val="00B95F78"/>
    <w:rsid w:val="00B961DA"/>
    <w:rsid w:val="00B961DF"/>
    <w:rsid w:val="00B9658A"/>
    <w:rsid w:val="00B965EB"/>
    <w:rsid w:val="00B9691B"/>
    <w:rsid w:val="00B96DE2"/>
    <w:rsid w:val="00B972FC"/>
    <w:rsid w:val="00B973D2"/>
    <w:rsid w:val="00B975FB"/>
    <w:rsid w:val="00B979D8"/>
    <w:rsid w:val="00B97B63"/>
    <w:rsid w:val="00B97EB3"/>
    <w:rsid w:val="00B97F09"/>
    <w:rsid w:val="00BA01E4"/>
    <w:rsid w:val="00BA05E6"/>
    <w:rsid w:val="00BA06AE"/>
    <w:rsid w:val="00BA0B6A"/>
    <w:rsid w:val="00BA0C47"/>
    <w:rsid w:val="00BA146F"/>
    <w:rsid w:val="00BA1AF6"/>
    <w:rsid w:val="00BA1B09"/>
    <w:rsid w:val="00BA1C73"/>
    <w:rsid w:val="00BA2063"/>
    <w:rsid w:val="00BA21B5"/>
    <w:rsid w:val="00BA236D"/>
    <w:rsid w:val="00BA2438"/>
    <w:rsid w:val="00BA2528"/>
    <w:rsid w:val="00BA26B1"/>
    <w:rsid w:val="00BA2BA7"/>
    <w:rsid w:val="00BA2E14"/>
    <w:rsid w:val="00BA2F77"/>
    <w:rsid w:val="00BA31AA"/>
    <w:rsid w:val="00BA33AA"/>
    <w:rsid w:val="00BA3470"/>
    <w:rsid w:val="00BA3769"/>
    <w:rsid w:val="00BA3974"/>
    <w:rsid w:val="00BA3A7B"/>
    <w:rsid w:val="00BA3DF1"/>
    <w:rsid w:val="00BA409A"/>
    <w:rsid w:val="00BA4410"/>
    <w:rsid w:val="00BA47FA"/>
    <w:rsid w:val="00BA4892"/>
    <w:rsid w:val="00BA4B61"/>
    <w:rsid w:val="00BA4EE0"/>
    <w:rsid w:val="00BA5917"/>
    <w:rsid w:val="00BA5AAF"/>
    <w:rsid w:val="00BA5B6B"/>
    <w:rsid w:val="00BA5BB1"/>
    <w:rsid w:val="00BA5CA2"/>
    <w:rsid w:val="00BA626C"/>
    <w:rsid w:val="00BA6272"/>
    <w:rsid w:val="00BA6482"/>
    <w:rsid w:val="00BA6906"/>
    <w:rsid w:val="00BA6A01"/>
    <w:rsid w:val="00BA7691"/>
    <w:rsid w:val="00BA76B9"/>
    <w:rsid w:val="00BA797F"/>
    <w:rsid w:val="00BA7A07"/>
    <w:rsid w:val="00BA7BFE"/>
    <w:rsid w:val="00BB0043"/>
    <w:rsid w:val="00BB00F9"/>
    <w:rsid w:val="00BB0245"/>
    <w:rsid w:val="00BB049D"/>
    <w:rsid w:val="00BB04D6"/>
    <w:rsid w:val="00BB09C2"/>
    <w:rsid w:val="00BB0B36"/>
    <w:rsid w:val="00BB0B46"/>
    <w:rsid w:val="00BB0CE3"/>
    <w:rsid w:val="00BB0D09"/>
    <w:rsid w:val="00BB1092"/>
    <w:rsid w:val="00BB152D"/>
    <w:rsid w:val="00BB16F6"/>
    <w:rsid w:val="00BB2616"/>
    <w:rsid w:val="00BB293D"/>
    <w:rsid w:val="00BB2DE7"/>
    <w:rsid w:val="00BB2FE7"/>
    <w:rsid w:val="00BB316E"/>
    <w:rsid w:val="00BB3418"/>
    <w:rsid w:val="00BB3581"/>
    <w:rsid w:val="00BB36C8"/>
    <w:rsid w:val="00BB3A12"/>
    <w:rsid w:val="00BB412A"/>
    <w:rsid w:val="00BB4472"/>
    <w:rsid w:val="00BB4527"/>
    <w:rsid w:val="00BB4721"/>
    <w:rsid w:val="00BB4D96"/>
    <w:rsid w:val="00BB50F6"/>
    <w:rsid w:val="00BB510F"/>
    <w:rsid w:val="00BB53B3"/>
    <w:rsid w:val="00BB5544"/>
    <w:rsid w:val="00BB5859"/>
    <w:rsid w:val="00BB5D03"/>
    <w:rsid w:val="00BB6108"/>
    <w:rsid w:val="00BB6288"/>
    <w:rsid w:val="00BB6309"/>
    <w:rsid w:val="00BB67FA"/>
    <w:rsid w:val="00BB6924"/>
    <w:rsid w:val="00BB6970"/>
    <w:rsid w:val="00BB6C39"/>
    <w:rsid w:val="00BB6CC1"/>
    <w:rsid w:val="00BB6E1C"/>
    <w:rsid w:val="00BB73B4"/>
    <w:rsid w:val="00BB74EB"/>
    <w:rsid w:val="00BB7636"/>
    <w:rsid w:val="00BB7651"/>
    <w:rsid w:val="00BB7682"/>
    <w:rsid w:val="00BB7728"/>
    <w:rsid w:val="00BB7CFD"/>
    <w:rsid w:val="00BB7D52"/>
    <w:rsid w:val="00BB7F9F"/>
    <w:rsid w:val="00BC00D7"/>
    <w:rsid w:val="00BC0545"/>
    <w:rsid w:val="00BC0650"/>
    <w:rsid w:val="00BC084E"/>
    <w:rsid w:val="00BC0B2B"/>
    <w:rsid w:val="00BC0EA0"/>
    <w:rsid w:val="00BC11FA"/>
    <w:rsid w:val="00BC1205"/>
    <w:rsid w:val="00BC1671"/>
    <w:rsid w:val="00BC17AE"/>
    <w:rsid w:val="00BC1825"/>
    <w:rsid w:val="00BC1A5B"/>
    <w:rsid w:val="00BC1E85"/>
    <w:rsid w:val="00BC207D"/>
    <w:rsid w:val="00BC2118"/>
    <w:rsid w:val="00BC2708"/>
    <w:rsid w:val="00BC283B"/>
    <w:rsid w:val="00BC289A"/>
    <w:rsid w:val="00BC29E0"/>
    <w:rsid w:val="00BC2B2D"/>
    <w:rsid w:val="00BC2D0A"/>
    <w:rsid w:val="00BC3268"/>
    <w:rsid w:val="00BC331D"/>
    <w:rsid w:val="00BC33D6"/>
    <w:rsid w:val="00BC33E7"/>
    <w:rsid w:val="00BC375F"/>
    <w:rsid w:val="00BC3932"/>
    <w:rsid w:val="00BC3B97"/>
    <w:rsid w:val="00BC3D14"/>
    <w:rsid w:val="00BC4058"/>
    <w:rsid w:val="00BC419E"/>
    <w:rsid w:val="00BC42C3"/>
    <w:rsid w:val="00BC42DE"/>
    <w:rsid w:val="00BC43AF"/>
    <w:rsid w:val="00BC4466"/>
    <w:rsid w:val="00BC462E"/>
    <w:rsid w:val="00BC488C"/>
    <w:rsid w:val="00BC525F"/>
    <w:rsid w:val="00BC53AF"/>
    <w:rsid w:val="00BC5545"/>
    <w:rsid w:val="00BC56AE"/>
    <w:rsid w:val="00BC5701"/>
    <w:rsid w:val="00BC57C9"/>
    <w:rsid w:val="00BC5A1B"/>
    <w:rsid w:val="00BC5C93"/>
    <w:rsid w:val="00BC5DDC"/>
    <w:rsid w:val="00BC5E59"/>
    <w:rsid w:val="00BC5F1D"/>
    <w:rsid w:val="00BC626F"/>
    <w:rsid w:val="00BC6395"/>
    <w:rsid w:val="00BC663E"/>
    <w:rsid w:val="00BC6D9C"/>
    <w:rsid w:val="00BC6FEE"/>
    <w:rsid w:val="00BC7004"/>
    <w:rsid w:val="00BC7083"/>
    <w:rsid w:val="00BC7526"/>
    <w:rsid w:val="00BC769A"/>
    <w:rsid w:val="00BC7721"/>
    <w:rsid w:val="00BC778C"/>
    <w:rsid w:val="00BC77D6"/>
    <w:rsid w:val="00BC78CE"/>
    <w:rsid w:val="00BC7946"/>
    <w:rsid w:val="00BC7BE1"/>
    <w:rsid w:val="00BD06BA"/>
    <w:rsid w:val="00BD0A30"/>
    <w:rsid w:val="00BD1142"/>
    <w:rsid w:val="00BD11B6"/>
    <w:rsid w:val="00BD1394"/>
    <w:rsid w:val="00BD15DD"/>
    <w:rsid w:val="00BD18C7"/>
    <w:rsid w:val="00BD1BE9"/>
    <w:rsid w:val="00BD1CC6"/>
    <w:rsid w:val="00BD1E4E"/>
    <w:rsid w:val="00BD2146"/>
    <w:rsid w:val="00BD2165"/>
    <w:rsid w:val="00BD21E6"/>
    <w:rsid w:val="00BD22A6"/>
    <w:rsid w:val="00BD26D8"/>
    <w:rsid w:val="00BD26FB"/>
    <w:rsid w:val="00BD2A3B"/>
    <w:rsid w:val="00BD2C3C"/>
    <w:rsid w:val="00BD3156"/>
    <w:rsid w:val="00BD32C4"/>
    <w:rsid w:val="00BD3366"/>
    <w:rsid w:val="00BD33D1"/>
    <w:rsid w:val="00BD3A49"/>
    <w:rsid w:val="00BD3E5C"/>
    <w:rsid w:val="00BD3EB6"/>
    <w:rsid w:val="00BD3ED2"/>
    <w:rsid w:val="00BD3F73"/>
    <w:rsid w:val="00BD4088"/>
    <w:rsid w:val="00BD4208"/>
    <w:rsid w:val="00BD4291"/>
    <w:rsid w:val="00BD4388"/>
    <w:rsid w:val="00BD4436"/>
    <w:rsid w:val="00BD47FC"/>
    <w:rsid w:val="00BD4931"/>
    <w:rsid w:val="00BD5447"/>
    <w:rsid w:val="00BD5510"/>
    <w:rsid w:val="00BD5788"/>
    <w:rsid w:val="00BD595D"/>
    <w:rsid w:val="00BD5B49"/>
    <w:rsid w:val="00BD5C13"/>
    <w:rsid w:val="00BD5EE5"/>
    <w:rsid w:val="00BD60BC"/>
    <w:rsid w:val="00BD613C"/>
    <w:rsid w:val="00BD6184"/>
    <w:rsid w:val="00BD64A4"/>
    <w:rsid w:val="00BD6982"/>
    <w:rsid w:val="00BD6A10"/>
    <w:rsid w:val="00BD6F3F"/>
    <w:rsid w:val="00BD70F6"/>
    <w:rsid w:val="00BD7240"/>
    <w:rsid w:val="00BD79BD"/>
    <w:rsid w:val="00BD7A78"/>
    <w:rsid w:val="00BD7BFD"/>
    <w:rsid w:val="00BD7E21"/>
    <w:rsid w:val="00BD7FCE"/>
    <w:rsid w:val="00BE0062"/>
    <w:rsid w:val="00BE0274"/>
    <w:rsid w:val="00BE0587"/>
    <w:rsid w:val="00BE060B"/>
    <w:rsid w:val="00BE072C"/>
    <w:rsid w:val="00BE0978"/>
    <w:rsid w:val="00BE0B49"/>
    <w:rsid w:val="00BE0CEA"/>
    <w:rsid w:val="00BE0E2E"/>
    <w:rsid w:val="00BE110B"/>
    <w:rsid w:val="00BE124F"/>
    <w:rsid w:val="00BE13EE"/>
    <w:rsid w:val="00BE1649"/>
    <w:rsid w:val="00BE19AB"/>
    <w:rsid w:val="00BE1B8B"/>
    <w:rsid w:val="00BE280E"/>
    <w:rsid w:val="00BE29DB"/>
    <w:rsid w:val="00BE2C1A"/>
    <w:rsid w:val="00BE2CCF"/>
    <w:rsid w:val="00BE2E2D"/>
    <w:rsid w:val="00BE3056"/>
    <w:rsid w:val="00BE340D"/>
    <w:rsid w:val="00BE34DB"/>
    <w:rsid w:val="00BE3763"/>
    <w:rsid w:val="00BE3934"/>
    <w:rsid w:val="00BE3AB3"/>
    <w:rsid w:val="00BE3C7F"/>
    <w:rsid w:val="00BE3EE0"/>
    <w:rsid w:val="00BE3F62"/>
    <w:rsid w:val="00BE3F65"/>
    <w:rsid w:val="00BE3FAD"/>
    <w:rsid w:val="00BE4519"/>
    <w:rsid w:val="00BE456D"/>
    <w:rsid w:val="00BE45CB"/>
    <w:rsid w:val="00BE46A0"/>
    <w:rsid w:val="00BE47D8"/>
    <w:rsid w:val="00BE4867"/>
    <w:rsid w:val="00BE4B37"/>
    <w:rsid w:val="00BE4D6E"/>
    <w:rsid w:val="00BE531D"/>
    <w:rsid w:val="00BE5440"/>
    <w:rsid w:val="00BE56DB"/>
    <w:rsid w:val="00BE56DD"/>
    <w:rsid w:val="00BE57D4"/>
    <w:rsid w:val="00BE60F2"/>
    <w:rsid w:val="00BE6674"/>
    <w:rsid w:val="00BE67BF"/>
    <w:rsid w:val="00BE6A53"/>
    <w:rsid w:val="00BE6E14"/>
    <w:rsid w:val="00BE6E3C"/>
    <w:rsid w:val="00BE6F19"/>
    <w:rsid w:val="00BE76F6"/>
    <w:rsid w:val="00BE7792"/>
    <w:rsid w:val="00BE7F02"/>
    <w:rsid w:val="00BE7F84"/>
    <w:rsid w:val="00BF0033"/>
    <w:rsid w:val="00BF00F4"/>
    <w:rsid w:val="00BF01B7"/>
    <w:rsid w:val="00BF0391"/>
    <w:rsid w:val="00BF03D2"/>
    <w:rsid w:val="00BF03EA"/>
    <w:rsid w:val="00BF052E"/>
    <w:rsid w:val="00BF0664"/>
    <w:rsid w:val="00BF09B3"/>
    <w:rsid w:val="00BF0AA2"/>
    <w:rsid w:val="00BF1CED"/>
    <w:rsid w:val="00BF2803"/>
    <w:rsid w:val="00BF2CEC"/>
    <w:rsid w:val="00BF2D45"/>
    <w:rsid w:val="00BF2DE2"/>
    <w:rsid w:val="00BF305D"/>
    <w:rsid w:val="00BF3129"/>
    <w:rsid w:val="00BF326E"/>
    <w:rsid w:val="00BF3278"/>
    <w:rsid w:val="00BF32F4"/>
    <w:rsid w:val="00BF3595"/>
    <w:rsid w:val="00BF365C"/>
    <w:rsid w:val="00BF3930"/>
    <w:rsid w:val="00BF3C3B"/>
    <w:rsid w:val="00BF3CA8"/>
    <w:rsid w:val="00BF3D51"/>
    <w:rsid w:val="00BF3DCF"/>
    <w:rsid w:val="00BF3E37"/>
    <w:rsid w:val="00BF3E53"/>
    <w:rsid w:val="00BF3EC3"/>
    <w:rsid w:val="00BF438F"/>
    <w:rsid w:val="00BF43AC"/>
    <w:rsid w:val="00BF43C3"/>
    <w:rsid w:val="00BF46A8"/>
    <w:rsid w:val="00BF4796"/>
    <w:rsid w:val="00BF4799"/>
    <w:rsid w:val="00BF4A2A"/>
    <w:rsid w:val="00BF4B45"/>
    <w:rsid w:val="00BF4B8F"/>
    <w:rsid w:val="00BF5317"/>
    <w:rsid w:val="00BF53CC"/>
    <w:rsid w:val="00BF547A"/>
    <w:rsid w:val="00BF58B9"/>
    <w:rsid w:val="00BF5E6D"/>
    <w:rsid w:val="00BF6226"/>
    <w:rsid w:val="00BF657C"/>
    <w:rsid w:val="00BF69A9"/>
    <w:rsid w:val="00BF69C4"/>
    <w:rsid w:val="00BF6AA4"/>
    <w:rsid w:val="00BF75C9"/>
    <w:rsid w:val="00BF7632"/>
    <w:rsid w:val="00BF7721"/>
    <w:rsid w:val="00BF772E"/>
    <w:rsid w:val="00BF7AFC"/>
    <w:rsid w:val="00BF7B28"/>
    <w:rsid w:val="00BF7D62"/>
    <w:rsid w:val="00BF7E0C"/>
    <w:rsid w:val="00BF7E2B"/>
    <w:rsid w:val="00BF7F80"/>
    <w:rsid w:val="00BF7F8D"/>
    <w:rsid w:val="00C001CC"/>
    <w:rsid w:val="00C00468"/>
    <w:rsid w:val="00C00830"/>
    <w:rsid w:val="00C01288"/>
    <w:rsid w:val="00C0133E"/>
    <w:rsid w:val="00C013FB"/>
    <w:rsid w:val="00C014E8"/>
    <w:rsid w:val="00C014F8"/>
    <w:rsid w:val="00C01604"/>
    <w:rsid w:val="00C018F3"/>
    <w:rsid w:val="00C019F8"/>
    <w:rsid w:val="00C01CF7"/>
    <w:rsid w:val="00C01D25"/>
    <w:rsid w:val="00C01D87"/>
    <w:rsid w:val="00C01F2B"/>
    <w:rsid w:val="00C0202C"/>
    <w:rsid w:val="00C02157"/>
    <w:rsid w:val="00C022F3"/>
    <w:rsid w:val="00C023AA"/>
    <w:rsid w:val="00C02426"/>
    <w:rsid w:val="00C027BA"/>
    <w:rsid w:val="00C029DA"/>
    <w:rsid w:val="00C02BEA"/>
    <w:rsid w:val="00C02D8D"/>
    <w:rsid w:val="00C02E88"/>
    <w:rsid w:val="00C02EBA"/>
    <w:rsid w:val="00C02FAC"/>
    <w:rsid w:val="00C03740"/>
    <w:rsid w:val="00C03987"/>
    <w:rsid w:val="00C03AFB"/>
    <w:rsid w:val="00C03DFB"/>
    <w:rsid w:val="00C0405F"/>
    <w:rsid w:val="00C041F6"/>
    <w:rsid w:val="00C04525"/>
    <w:rsid w:val="00C04538"/>
    <w:rsid w:val="00C0464B"/>
    <w:rsid w:val="00C04684"/>
    <w:rsid w:val="00C0496D"/>
    <w:rsid w:val="00C04C2B"/>
    <w:rsid w:val="00C04C78"/>
    <w:rsid w:val="00C05380"/>
    <w:rsid w:val="00C0548F"/>
    <w:rsid w:val="00C056D7"/>
    <w:rsid w:val="00C05B53"/>
    <w:rsid w:val="00C06826"/>
    <w:rsid w:val="00C06A94"/>
    <w:rsid w:val="00C06B44"/>
    <w:rsid w:val="00C06CB1"/>
    <w:rsid w:val="00C06F88"/>
    <w:rsid w:val="00C07390"/>
    <w:rsid w:val="00C07CC9"/>
    <w:rsid w:val="00C07EE4"/>
    <w:rsid w:val="00C10025"/>
    <w:rsid w:val="00C10922"/>
    <w:rsid w:val="00C10AD2"/>
    <w:rsid w:val="00C110C6"/>
    <w:rsid w:val="00C111A9"/>
    <w:rsid w:val="00C112BC"/>
    <w:rsid w:val="00C1139A"/>
    <w:rsid w:val="00C11585"/>
    <w:rsid w:val="00C1173E"/>
    <w:rsid w:val="00C1179F"/>
    <w:rsid w:val="00C1191B"/>
    <w:rsid w:val="00C11C43"/>
    <w:rsid w:val="00C11C8D"/>
    <w:rsid w:val="00C11CEE"/>
    <w:rsid w:val="00C123AA"/>
    <w:rsid w:val="00C127A4"/>
    <w:rsid w:val="00C127E5"/>
    <w:rsid w:val="00C1313F"/>
    <w:rsid w:val="00C134C7"/>
    <w:rsid w:val="00C139D6"/>
    <w:rsid w:val="00C13A3C"/>
    <w:rsid w:val="00C13B05"/>
    <w:rsid w:val="00C13B53"/>
    <w:rsid w:val="00C13DF3"/>
    <w:rsid w:val="00C13E29"/>
    <w:rsid w:val="00C14325"/>
    <w:rsid w:val="00C14346"/>
    <w:rsid w:val="00C144E9"/>
    <w:rsid w:val="00C145A9"/>
    <w:rsid w:val="00C14E40"/>
    <w:rsid w:val="00C14EC2"/>
    <w:rsid w:val="00C14F56"/>
    <w:rsid w:val="00C15003"/>
    <w:rsid w:val="00C1559F"/>
    <w:rsid w:val="00C155E9"/>
    <w:rsid w:val="00C15730"/>
    <w:rsid w:val="00C1584D"/>
    <w:rsid w:val="00C15946"/>
    <w:rsid w:val="00C15A0A"/>
    <w:rsid w:val="00C15B80"/>
    <w:rsid w:val="00C15C25"/>
    <w:rsid w:val="00C1609F"/>
    <w:rsid w:val="00C16326"/>
    <w:rsid w:val="00C16C2A"/>
    <w:rsid w:val="00C17471"/>
    <w:rsid w:val="00C17770"/>
    <w:rsid w:val="00C17872"/>
    <w:rsid w:val="00C17876"/>
    <w:rsid w:val="00C17965"/>
    <w:rsid w:val="00C17A19"/>
    <w:rsid w:val="00C17EC8"/>
    <w:rsid w:val="00C2006C"/>
    <w:rsid w:val="00C205C1"/>
    <w:rsid w:val="00C2098B"/>
    <w:rsid w:val="00C20A1C"/>
    <w:rsid w:val="00C20A6E"/>
    <w:rsid w:val="00C20C12"/>
    <w:rsid w:val="00C210C2"/>
    <w:rsid w:val="00C2150C"/>
    <w:rsid w:val="00C21883"/>
    <w:rsid w:val="00C21F0F"/>
    <w:rsid w:val="00C220FF"/>
    <w:rsid w:val="00C2243E"/>
    <w:rsid w:val="00C22477"/>
    <w:rsid w:val="00C2265E"/>
    <w:rsid w:val="00C2267E"/>
    <w:rsid w:val="00C227A8"/>
    <w:rsid w:val="00C228DF"/>
    <w:rsid w:val="00C2292D"/>
    <w:rsid w:val="00C22C43"/>
    <w:rsid w:val="00C22DB6"/>
    <w:rsid w:val="00C22F47"/>
    <w:rsid w:val="00C230AE"/>
    <w:rsid w:val="00C232BE"/>
    <w:rsid w:val="00C2347A"/>
    <w:rsid w:val="00C23790"/>
    <w:rsid w:val="00C23C2B"/>
    <w:rsid w:val="00C23C76"/>
    <w:rsid w:val="00C23C99"/>
    <w:rsid w:val="00C23E6B"/>
    <w:rsid w:val="00C2484A"/>
    <w:rsid w:val="00C24AD5"/>
    <w:rsid w:val="00C24B28"/>
    <w:rsid w:val="00C24C06"/>
    <w:rsid w:val="00C2517A"/>
    <w:rsid w:val="00C2519C"/>
    <w:rsid w:val="00C251E2"/>
    <w:rsid w:val="00C2527F"/>
    <w:rsid w:val="00C2547C"/>
    <w:rsid w:val="00C255A9"/>
    <w:rsid w:val="00C25610"/>
    <w:rsid w:val="00C25B78"/>
    <w:rsid w:val="00C25C57"/>
    <w:rsid w:val="00C25CAC"/>
    <w:rsid w:val="00C25CBE"/>
    <w:rsid w:val="00C25F7A"/>
    <w:rsid w:val="00C2618A"/>
    <w:rsid w:val="00C261FB"/>
    <w:rsid w:val="00C2647C"/>
    <w:rsid w:val="00C26A2B"/>
    <w:rsid w:val="00C26CED"/>
    <w:rsid w:val="00C26E38"/>
    <w:rsid w:val="00C271C5"/>
    <w:rsid w:val="00C27411"/>
    <w:rsid w:val="00C27589"/>
    <w:rsid w:val="00C2759B"/>
    <w:rsid w:val="00C275FB"/>
    <w:rsid w:val="00C277FE"/>
    <w:rsid w:val="00C27D9D"/>
    <w:rsid w:val="00C30399"/>
    <w:rsid w:val="00C3052F"/>
    <w:rsid w:val="00C305C0"/>
    <w:rsid w:val="00C309FF"/>
    <w:rsid w:val="00C30AC7"/>
    <w:rsid w:val="00C30C4E"/>
    <w:rsid w:val="00C30DBB"/>
    <w:rsid w:val="00C30FD4"/>
    <w:rsid w:val="00C3109D"/>
    <w:rsid w:val="00C31236"/>
    <w:rsid w:val="00C31B36"/>
    <w:rsid w:val="00C31BB2"/>
    <w:rsid w:val="00C31D28"/>
    <w:rsid w:val="00C31FEB"/>
    <w:rsid w:val="00C3275F"/>
    <w:rsid w:val="00C32B6A"/>
    <w:rsid w:val="00C32C3C"/>
    <w:rsid w:val="00C33335"/>
    <w:rsid w:val="00C335CA"/>
    <w:rsid w:val="00C33A6C"/>
    <w:rsid w:val="00C33D27"/>
    <w:rsid w:val="00C34327"/>
    <w:rsid w:val="00C34A5B"/>
    <w:rsid w:val="00C34B85"/>
    <w:rsid w:val="00C35371"/>
    <w:rsid w:val="00C355C3"/>
    <w:rsid w:val="00C3585F"/>
    <w:rsid w:val="00C3598B"/>
    <w:rsid w:val="00C35C00"/>
    <w:rsid w:val="00C35D66"/>
    <w:rsid w:val="00C35DAF"/>
    <w:rsid w:val="00C35E5F"/>
    <w:rsid w:val="00C35F26"/>
    <w:rsid w:val="00C36246"/>
    <w:rsid w:val="00C3632E"/>
    <w:rsid w:val="00C36421"/>
    <w:rsid w:val="00C365B7"/>
    <w:rsid w:val="00C367E0"/>
    <w:rsid w:val="00C369A6"/>
    <w:rsid w:val="00C36D5A"/>
    <w:rsid w:val="00C36F11"/>
    <w:rsid w:val="00C3704F"/>
    <w:rsid w:val="00C37354"/>
    <w:rsid w:val="00C3757E"/>
    <w:rsid w:val="00C379DC"/>
    <w:rsid w:val="00C37DAC"/>
    <w:rsid w:val="00C4038A"/>
    <w:rsid w:val="00C408D0"/>
    <w:rsid w:val="00C40A75"/>
    <w:rsid w:val="00C40A79"/>
    <w:rsid w:val="00C412C2"/>
    <w:rsid w:val="00C41469"/>
    <w:rsid w:val="00C414C7"/>
    <w:rsid w:val="00C41ADB"/>
    <w:rsid w:val="00C41B4F"/>
    <w:rsid w:val="00C41E99"/>
    <w:rsid w:val="00C41FE0"/>
    <w:rsid w:val="00C4213C"/>
    <w:rsid w:val="00C42751"/>
    <w:rsid w:val="00C427C7"/>
    <w:rsid w:val="00C42847"/>
    <w:rsid w:val="00C42B27"/>
    <w:rsid w:val="00C42C58"/>
    <w:rsid w:val="00C42D57"/>
    <w:rsid w:val="00C42EB6"/>
    <w:rsid w:val="00C42FBB"/>
    <w:rsid w:val="00C430D6"/>
    <w:rsid w:val="00C431D6"/>
    <w:rsid w:val="00C43631"/>
    <w:rsid w:val="00C4371B"/>
    <w:rsid w:val="00C43AC6"/>
    <w:rsid w:val="00C43F14"/>
    <w:rsid w:val="00C447FC"/>
    <w:rsid w:val="00C44DA2"/>
    <w:rsid w:val="00C45177"/>
    <w:rsid w:val="00C451BC"/>
    <w:rsid w:val="00C452CE"/>
    <w:rsid w:val="00C45449"/>
    <w:rsid w:val="00C46296"/>
    <w:rsid w:val="00C462AE"/>
    <w:rsid w:val="00C463F3"/>
    <w:rsid w:val="00C46A36"/>
    <w:rsid w:val="00C470D5"/>
    <w:rsid w:val="00C47246"/>
    <w:rsid w:val="00C4754D"/>
    <w:rsid w:val="00C47695"/>
    <w:rsid w:val="00C4772A"/>
    <w:rsid w:val="00C477C1"/>
    <w:rsid w:val="00C47AE6"/>
    <w:rsid w:val="00C47C61"/>
    <w:rsid w:val="00C47E66"/>
    <w:rsid w:val="00C501F2"/>
    <w:rsid w:val="00C50375"/>
    <w:rsid w:val="00C5038D"/>
    <w:rsid w:val="00C50525"/>
    <w:rsid w:val="00C507E5"/>
    <w:rsid w:val="00C50813"/>
    <w:rsid w:val="00C50CB2"/>
    <w:rsid w:val="00C50F1A"/>
    <w:rsid w:val="00C5139B"/>
    <w:rsid w:val="00C513FE"/>
    <w:rsid w:val="00C51845"/>
    <w:rsid w:val="00C518CF"/>
    <w:rsid w:val="00C51C3A"/>
    <w:rsid w:val="00C52117"/>
    <w:rsid w:val="00C524E6"/>
    <w:rsid w:val="00C526AF"/>
    <w:rsid w:val="00C52CCA"/>
    <w:rsid w:val="00C52D0E"/>
    <w:rsid w:val="00C5312B"/>
    <w:rsid w:val="00C53538"/>
    <w:rsid w:val="00C53541"/>
    <w:rsid w:val="00C5354F"/>
    <w:rsid w:val="00C5356B"/>
    <w:rsid w:val="00C537E3"/>
    <w:rsid w:val="00C537EB"/>
    <w:rsid w:val="00C53973"/>
    <w:rsid w:val="00C54061"/>
    <w:rsid w:val="00C5407C"/>
    <w:rsid w:val="00C54A6E"/>
    <w:rsid w:val="00C54B00"/>
    <w:rsid w:val="00C5530E"/>
    <w:rsid w:val="00C554DB"/>
    <w:rsid w:val="00C557A3"/>
    <w:rsid w:val="00C55A45"/>
    <w:rsid w:val="00C55B70"/>
    <w:rsid w:val="00C55D0F"/>
    <w:rsid w:val="00C565FD"/>
    <w:rsid w:val="00C56855"/>
    <w:rsid w:val="00C56E71"/>
    <w:rsid w:val="00C57049"/>
    <w:rsid w:val="00C5727F"/>
    <w:rsid w:val="00C57461"/>
    <w:rsid w:val="00C5767F"/>
    <w:rsid w:val="00C576AA"/>
    <w:rsid w:val="00C57F70"/>
    <w:rsid w:val="00C57F90"/>
    <w:rsid w:val="00C60129"/>
    <w:rsid w:val="00C604D1"/>
    <w:rsid w:val="00C60815"/>
    <w:rsid w:val="00C608D9"/>
    <w:rsid w:val="00C60A8F"/>
    <w:rsid w:val="00C60A9F"/>
    <w:rsid w:val="00C60C37"/>
    <w:rsid w:val="00C615D6"/>
    <w:rsid w:val="00C61A9E"/>
    <w:rsid w:val="00C61C92"/>
    <w:rsid w:val="00C62389"/>
    <w:rsid w:val="00C623F0"/>
    <w:rsid w:val="00C62556"/>
    <w:rsid w:val="00C62640"/>
    <w:rsid w:val="00C627BA"/>
    <w:rsid w:val="00C627F3"/>
    <w:rsid w:val="00C62EF6"/>
    <w:rsid w:val="00C62F32"/>
    <w:rsid w:val="00C6308D"/>
    <w:rsid w:val="00C631E9"/>
    <w:rsid w:val="00C633FB"/>
    <w:rsid w:val="00C634BD"/>
    <w:rsid w:val="00C636FB"/>
    <w:rsid w:val="00C63D3A"/>
    <w:rsid w:val="00C6407C"/>
    <w:rsid w:val="00C648D5"/>
    <w:rsid w:val="00C64A84"/>
    <w:rsid w:val="00C64BC9"/>
    <w:rsid w:val="00C656A6"/>
    <w:rsid w:val="00C658CC"/>
    <w:rsid w:val="00C65942"/>
    <w:rsid w:val="00C65C53"/>
    <w:rsid w:val="00C65F5D"/>
    <w:rsid w:val="00C6603B"/>
    <w:rsid w:val="00C66177"/>
    <w:rsid w:val="00C661DD"/>
    <w:rsid w:val="00C66266"/>
    <w:rsid w:val="00C66326"/>
    <w:rsid w:val="00C66371"/>
    <w:rsid w:val="00C665E1"/>
    <w:rsid w:val="00C669ED"/>
    <w:rsid w:val="00C66BDD"/>
    <w:rsid w:val="00C66F37"/>
    <w:rsid w:val="00C674B9"/>
    <w:rsid w:val="00C674BF"/>
    <w:rsid w:val="00C675F9"/>
    <w:rsid w:val="00C6DE33"/>
    <w:rsid w:val="00C6EEF5"/>
    <w:rsid w:val="00C700F5"/>
    <w:rsid w:val="00C70229"/>
    <w:rsid w:val="00C70294"/>
    <w:rsid w:val="00C7061F"/>
    <w:rsid w:val="00C70AE5"/>
    <w:rsid w:val="00C70AF6"/>
    <w:rsid w:val="00C70C4B"/>
    <w:rsid w:val="00C70EED"/>
    <w:rsid w:val="00C70FAE"/>
    <w:rsid w:val="00C71398"/>
    <w:rsid w:val="00C71406"/>
    <w:rsid w:val="00C716A2"/>
    <w:rsid w:val="00C71B1D"/>
    <w:rsid w:val="00C71C07"/>
    <w:rsid w:val="00C71E66"/>
    <w:rsid w:val="00C71F86"/>
    <w:rsid w:val="00C72414"/>
    <w:rsid w:val="00C7287C"/>
    <w:rsid w:val="00C7293C"/>
    <w:rsid w:val="00C72984"/>
    <w:rsid w:val="00C72DFB"/>
    <w:rsid w:val="00C72F1A"/>
    <w:rsid w:val="00C731AE"/>
    <w:rsid w:val="00C736AE"/>
    <w:rsid w:val="00C7376A"/>
    <w:rsid w:val="00C738AC"/>
    <w:rsid w:val="00C73E01"/>
    <w:rsid w:val="00C73FE0"/>
    <w:rsid w:val="00C742B1"/>
    <w:rsid w:val="00C74D9B"/>
    <w:rsid w:val="00C75692"/>
    <w:rsid w:val="00C75948"/>
    <w:rsid w:val="00C759A3"/>
    <w:rsid w:val="00C75AFF"/>
    <w:rsid w:val="00C75B8D"/>
    <w:rsid w:val="00C75BE0"/>
    <w:rsid w:val="00C75CE6"/>
    <w:rsid w:val="00C75D33"/>
    <w:rsid w:val="00C75D97"/>
    <w:rsid w:val="00C76E7E"/>
    <w:rsid w:val="00C771C4"/>
    <w:rsid w:val="00C77275"/>
    <w:rsid w:val="00C7736A"/>
    <w:rsid w:val="00C7766C"/>
    <w:rsid w:val="00C77752"/>
    <w:rsid w:val="00C77B19"/>
    <w:rsid w:val="00C77D67"/>
    <w:rsid w:val="00C80516"/>
    <w:rsid w:val="00C8055E"/>
    <w:rsid w:val="00C8059F"/>
    <w:rsid w:val="00C805EB"/>
    <w:rsid w:val="00C80B18"/>
    <w:rsid w:val="00C80BC4"/>
    <w:rsid w:val="00C80BC8"/>
    <w:rsid w:val="00C80CCE"/>
    <w:rsid w:val="00C80E4B"/>
    <w:rsid w:val="00C811DA"/>
    <w:rsid w:val="00C817E6"/>
    <w:rsid w:val="00C81CAE"/>
    <w:rsid w:val="00C81CE4"/>
    <w:rsid w:val="00C81ECF"/>
    <w:rsid w:val="00C81FF9"/>
    <w:rsid w:val="00C821A1"/>
    <w:rsid w:val="00C82832"/>
    <w:rsid w:val="00C828F2"/>
    <w:rsid w:val="00C82CF7"/>
    <w:rsid w:val="00C82D3A"/>
    <w:rsid w:val="00C82D3D"/>
    <w:rsid w:val="00C82E3E"/>
    <w:rsid w:val="00C82F6C"/>
    <w:rsid w:val="00C83129"/>
    <w:rsid w:val="00C831F1"/>
    <w:rsid w:val="00C8326C"/>
    <w:rsid w:val="00C83764"/>
    <w:rsid w:val="00C839BF"/>
    <w:rsid w:val="00C839C9"/>
    <w:rsid w:val="00C83CD4"/>
    <w:rsid w:val="00C83F3F"/>
    <w:rsid w:val="00C84189"/>
    <w:rsid w:val="00C84776"/>
    <w:rsid w:val="00C84CA7"/>
    <w:rsid w:val="00C84CF5"/>
    <w:rsid w:val="00C85116"/>
    <w:rsid w:val="00C851BE"/>
    <w:rsid w:val="00C856A7"/>
    <w:rsid w:val="00C857FF"/>
    <w:rsid w:val="00C85B0E"/>
    <w:rsid w:val="00C85C81"/>
    <w:rsid w:val="00C85DC1"/>
    <w:rsid w:val="00C86061"/>
    <w:rsid w:val="00C860D4"/>
    <w:rsid w:val="00C86841"/>
    <w:rsid w:val="00C86997"/>
    <w:rsid w:val="00C869CD"/>
    <w:rsid w:val="00C86A33"/>
    <w:rsid w:val="00C86C62"/>
    <w:rsid w:val="00C86E37"/>
    <w:rsid w:val="00C86EFF"/>
    <w:rsid w:val="00C87003"/>
    <w:rsid w:val="00C87294"/>
    <w:rsid w:val="00C87355"/>
    <w:rsid w:val="00C873AB"/>
    <w:rsid w:val="00C8775F"/>
    <w:rsid w:val="00C877B1"/>
    <w:rsid w:val="00C87AA9"/>
    <w:rsid w:val="00C87C8C"/>
    <w:rsid w:val="00C87FCD"/>
    <w:rsid w:val="00C87FEC"/>
    <w:rsid w:val="00C90210"/>
    <w:rsid w:val="00C9031B"/>
    <w:rsid w:val="00C90495"/>
    <w:rsid w:val="00C908EF"/>
    <w:rsid w:val="00C90951"/>
    <w:rsid w:val="00C90D06"/>
    <w:rsid w:val="00C90DB6"/>
    <w:rsid w:val="00C90EC1"/>
    <w:rsid w:val="00C90F05"/>
    <w:rsid w:val="00C90FCE"/>
    <w:rsid w:val="00C910C6"/>
    <w:rsid w:val="00C91614"/>
    <w:rsid w:val="00C91744"/>
    <w:rsid w:val="00C9177C"/>
    <w:rsid w:val="00C9193C"/>
    <w:rsid w:val="00C9199E"/>
    <w:rsid w:val="00C91C34"/>
    <w:rsid w:val="00C91C7C"/>
    <w:rsid w:val="00C91EBA"/>
    <w:rsid w:val="00C924BF"/>
    <w:rsid w:val="00C92965"/>
    <w:rsid w:val="00C92A0A"/>
    <w:rsid w:val="00C92E6D"/>
    <w:rsid w:val="00C9324A"/>
    <w:rsid w:val="00C93286"/>
    <w:rsid w:val="00C9340B"/>
    <w:rsid w:val="00C93850"/>
    <w:rsid w:val="00C939FD"/>
    <w:rsid w:val="00C93C39"/>
    <w:rsid w:val="00C94029"/>
    <w:rsid w:val="00C94184"/>
    <w:rsid w:val="00C942F7"/>
    <w:rsid w:val="00C945A6"/>
    <w:rsid w:val="00C94629"/>
    <w:rsid w:val="00C94958"/>
    <w:rsid w:val="00C94B27"/>
    <w:rsid w:val="00C94C49"/>
    <w:rsid w:val="00C94C8B"/>
    <w:rsid w:val="00C94CAF"/>
    <w:rsid w:val="00C950C9"/>
    <w:rsid w:val="00C95563"/>
    <w:rsid w:val="00C95770"/>
    <w:rsid w:val="00C968C9"/>
    <w:rsid w:val="00C969CF"/>
    <w:rsid w:val="00C96B3D"/>
    <w:rsid w:val="00C96F26"/>
    <w:rsid w:val="00C9735B"/>
    <w:rsid w:val="00C975A7"/>
    <w:rsid w:val="00C9767D"/>
    <w:rsid w:val="00C977A8"/>
    <w:rsid w:val="00C9792D"/>
    <w:rsid w:val="00C97C47"/>
    <w:rsid w:val="00CA0098"/>
    <w:rsid w:val="00CA0163"/>
    <w:rsid w:val="00CA02EE"/>
    <w:rsid w:val="00CA03F2"/>
    <w:rsid w:val="00CA09EF"/>
    <w:rsid w:val="00CA0ADC"/>
    <w:rsid w:val="00CA0EC1"/>
    <w:rsid w:val="00CA143A"/>
    <w:rsid w:val="00CA14E8"/>
    <w:rsid w:val="00CA1539"/>
    <w:rsid w:val="00CA15C0"/>
    <w:rsid w:val="00CA1605"/>
    <w:rsid w:val="00CA16C7"/>
    <w:rsid w:val="00CA1B59"/>
    <w:rsid w:val="00CA1B82"/>
    <w:rsid w:val="00CA1F9F"/>
    <w:rsid w:val="00CA1FB7"/>
    <w:rsid w:val="00CA2154"/>
    <w:rsid w:val="00CA21E1"/>
    <w:rsid w:val="00CA2379"/>
    <w:rsid w:val="00CA242F"/>
    <w:rsid w:val="00CA24C3"/>
    <w:rsid w:val="00CA2754"/>
    <w:rsid w:val="00CA27DD"/>
    <w:rsid w:val="00CA29C5"/>
    <w:rsid w:val="00CA2A43"/>
    <w:rsid w:val="00CA2A68"/>
    <w:rsid w:val="00CA2D7E"/>
    <w:rsid w:val="00CA358C"/>
    <w:rsid w:val="00CA37BA"/>
    <w:rsid w:val="00CA387B"/>
    <w:rsid w:val="00CA3890"/>
    <w:rsid w:val="00CA38D8"/>
    <w:rsid w:val="00CA3A37"/>
    <w:rsid w:val="00CA3B38"/>
    <w:rsid w:val="00CA3DB7"/>
    <w:rsid w:val="00CA417E"/>
    <w:rsid w:val="00CA4199"/>
    <w:rsid w:val="00CA44EB"/>
    <w:rsid w:val="00CA48E9"/>
    <w:rsid w:val="00CA4A9B"/>
    <w:rsid w:val="00CA4CB8"/>
    <w:rsid w:val="00CA4D18"/>
    <w:rsid w:val="00CA4DC4"/>
    <w:rsid w:val="00CA4E0B"/>
    <w:rsid w:val="00CA5380"/>
    <w:rsid w:val="00CA53AF"/>
    <w:rsid w:val="00CA5836"/>
    <w:rsid w:val="00CA5A09"/>
    <w:rsid w:val="00CA5BA6"/>
    <w:rsid w:val="00CA6137"/>
    <w:rsid w:val="00CA636A"/>
    <w:rsid w:val="00CA6634"/>
    <w:rsid w:val="00CA6857"/>
    <w:rsid w:val="00CA73E8"/>
    <w:rsid w:val="00CA76ED"/>
    <w:rsid w:val="00CA77DE"/>
    <w:rsid w:val="00CA7A17"/>
    <w:rsid w:val="00CA7A32"/>
    <w:rsid w:val="00CA7AC6"/>
    <w:rsid w:val="00CA7E80"/>
    <w:rsid w:val="00CA7EC0"/>
    <w:rsid w:val="00CB02A9"/>
    <w:rsid w:val="00CB044A"/>
    <w:rsid w:val="00CB0453"/>
    <w:rsid w:val="00CB0488"/>
    <w:rsid w:val="00CB06D2"/>
    <w:rsid w:val="00CB0BCD"/>
    <w:rsid w:val="00CB1001"/>
    <w:rsid w:val="00CB118F"/>
    <w:rsid w:val="00CB131C"/>
    <w:rsid w:val="00CB1443"/>
    <w:rsid w:val="00CB15B3"/>
    <w:rsid w:val="00CB163F"/>
    <w:rsid w:val="00CB1702"/>
    <w:rsid w:val="00CB1AE2"/>
    <w:rsid w:val="00CB1CF2"/>
    <w:rsid w:val="00CB244A"/>
    <w:rsid w:val="00CB2623"/>
    <w:rsid w:val="00CB2929"/>
    <w:rsid w:val="00CB2962"/>
    <w:rsid w:val="00CB2A2D"/>
    <w:rsid w:val="00CB2B4E"/>
    <w:rsid w:val="00CB2EF9"/>
    <w:rsid w:val="00CB2F31"/>
    <w:rsid w:val="00CB3265"/>
    <w:rsid w:val="00CB33A7"/>
    <w:rsid w:val="00CB3CF4"/>
    <w:rsid w:val="00CB3D07"/>
    <w:rsid w:val="00CB3FC3"/>
    <w:rsid w:val="00CB4473"/>
    <w:rsid w:val="00CB4926"/>
    <w:rsid w:val="00CB4FEB"/>
    <w:rsid w:val="00CB520E"/>
    <w:rsid w:val="00CB5359"/>
    <w:rsid w:val="00CB54C9"/>
    <w:rsid w:val="00CB554D"/>
    <w:rsid w:val="00CB57C3"/>
    <w:rsid w:val="00CB586A"/>
    <w:rsid w:val="00CB5B89"/>
    <w:rsid w:val="00CB5D97"/>
    <w:rsid w:val="00CB5DF2"/>
    <w:rsid w:val="00CB6134"/>
    <w:rsid w:val="00CB613A"/>
    <w:rsid w:val="00CB6280"/>
    <w:rsid w:val="00CB6520"/>
    <w:rsid w:val="00CB6527"/>
    <w:rsid w:val="00CB66F3"/>
    <w:rsid w:val="00CB69B9"/>
    <w:rsid w:val="00CB6D46"/>
    <w:rsid w:val="00CB6E4A"/>
    <w:rsid w:val="00CB732E"/>
    <w:rsid w:val="00CB751B"/>
    <w:rsid w:val="00CB795D"/>
    <w:rsid w:val="00CB79A9"/>
    <w:rsid w:val="00CB7B13"/>
    <w:rsid w:val="00CB7ED5"/>
    <w:rsid w:val="00CC0102"/>
    <w:rsid w:val="00CC052F"/>
    <w:rsid w:val="00CC065E"/>
    <w:rsid w:val="00CC0677"/>
    <w:rsid w:val="00CC0780"/>
    <w:rsid w:val="00CC092C"/>
    <w:rsid w:val="00CC11F8"/>
    <w:rsid w:val="00CC1588"/>
    <w:rsid w:val="00CC164D"/>
    <w:rsid w:val="00CC1978"/>
    <w:rsid w:val="00CC1AB1"/>
    <w:rsid w:val="00CC1AC9"/>
    <w:rsid w:val="00CC1B86"/>
    <w:rsid w:val="00CC1BA7"/>
    <w:rsid w:val="00CC1F6A"/>
    <w:rsid w:val="00CC25A6"/>
    <w:rsid w:val="00CC285E"/>
    <w:rsid w:val="00CC2943"/>
    <w:rsid w:val="00CC2A01"/>
    <w:rsid w:val="00CC2A4B"/>
    <w:rsid w:val="00CC2C29"/>
    <w:rsid w:val="00CC34F6"/>
    <w:rsid w:val="00CC40C8"/>
    <w:rsid w:val="00CC41BA"/>
    <w:rsid w:val="00CC47C5"/>
    <w:rsid w:val="00CC48A6"/>
    <w:rsid w:val="00CC49E1"/>
    <w:rsid w:val="00CC4A7F"/>
    <w:rsid w:val="00CC531E"/>
    <w:rsid w:val="00CC5326"/>
    <w:rsid w:val="00CC58AF"/>
    <w:rsid w:val="00CC5970"/>
    <w:rsid w:val="00CC5A65"/>
    <w:rsid w:val="00CC5A86"/>
    <w:rsid w:val="00CC5BA5"/>
    <w:rsid w:val="00CC5C15"/>
    <w:rsid w:val="00CC5CB5"/>
    <w:rsid w:val="00CC6028"/>
    <w:rsid w:val="00CC6938"/>
    <w:rsid w:val="00CC69AA"/>
    <w:rsid w:val="00CC6A33"/>
    <w:rsid w:val="00CC6D20"/>
    <w:rsid w:val="00CC6F31"/>
    <w:rsid w:val="00CC6F8B"/>
    <w:rsid w:val="00CC6FEF"/>
    <w:rsid w:val="00CC71B1"/>
    <w:rsid w:val="00CC7390"/>
    <w:rsid w:val="00CC744C"/>
    <w:rsid w:val="00CC75B8"/>
    <w:rsid w:val="00CC7625"/>
    <w:rsid w:val="00CC76E5"/>
    <w:rsid w:val="00CC78B1"/>
    <w:rsid w:val="00CC7BC5"/>
    <w:rsid w:val="00CC7D67"/>
    <w:rsid w:val="00CC7F2D"/>
    <w:rsid w:val="00CD0565"/>
    <w:rsid w:val="00CD07E3"/>
    <w:rsid w:val="00CD085A"/>
    <w:rsid w:val="00CD09BF"/>
    <w:rsid w:val="00CD0A58"/>
    <w:rsid w:val="00CD1278"/>
    <w:rsid w:val="00CD12E5"/>
    <w:rsid w:val="00CD14F0"/>
    <w:rsid w:val="00CD1AFA"/>
    <w:rsid w:val="00CD1BAC"/>
    <w:rsid w:val="00CD1F89"/>
    <w:rsid w:val="00CD21A6"/>
    <w:rsid w:val="00CD21C3"/>
    <w:rsid w:val="00CD2266"/>
    <w:rsid w:val="00CD230D"/>
    <w:rsid w:val="00CD23B7"/>
    <w:rsid w:val="00CD293B"/>
    <w:rsid w:val="00CD2988"/>
    <w:rsid w:val="00CD2A46"/>
    <w:rsid w:val="00CD2D44"/>
    <w:rsid w:val="00CD2F0B"/>
    <w:rsid w:val="00CD2FDB"/>
    <w:rsid w:val="00CD31CF"/>
    <w:rsid w:val="00CD382F"/>
    <w:rsid w:val="00CD39C0"/>
    <w:rsid w:val="00CD3C86"/>
    <w:rsid w:val="00CD3D5C"/>
    <w:rsid w:val="00CD3E2D"/>
    <w:rsid w:val="00CD3FB9"/>
    <w:rsid w:val="00CD41A5"/>
    <w:rsid w:val="00CD426E"/>
    <w:rsid w:val="00CD42C0"/>
    <w:rsid w:val="00CD4554"/>
    <w:rsid w:val="00CD46DE"/>
    <w:rsid w:val="00CD4BD2"/>
    <w:rsid w:val="00CD4C58"/>
    <w:rsid w:val="00CD4D32"/>
    <w:rsid w:val="00CD4D8A"/>
    <w:rsid w:val="00CD4F9D"/>
    <w:rsid w:val="00CD50CB"/>
    <w:rsid w:val="00CD50D0"/>
    <w:rsid w:val="00CD527A"/>
    <w:rsid w:val="00CD5381"/>
    <w:rsid w:val="00CD53AB"/>
    <w:rsid w:val="00CD573B"/>
    <w:rsid w:val="00CD5D98"/>
    <w:rsid w:val="00CD5F6F"/>
    <w:rsid w:val="00CD639C"/>
    <w:rsid w:val="00CD641B"/>
    <w:rsid w:val="00CD692C"/>
    <w:rsid w:val="00CD6B2D"/>
    <w:rsid w:val="00CD71D7"/>
    <w:rsid w:val="00CD725E"/>
    <w:rsid w:val="00CD73D9"/>
    <w:rsid w:val="00CD792A"/>
    <w:rsid w:val="00CD7CE2"/>
    <w:rsid w:val="00CE0105"/>
    <w:rsid w:val="00CE0208"/>
    <w:rsid w:val="00CE0395"/>
    <w:rsid w:val="00CE040B"/>
    <w:rsid w:val="00CE041C"/>
    <w:rsid w:val="00CE087D"/>
    <w:rsid w:val="00CE0A1E"/>
    <w:rsid w:val="00CE1027"/>
    <w:rsid w:val="00CE11E3"/>
    <w:rsid w:val="00CE1278"/>
    <w:rsid w:val="00CE149E"/>
    <w:rsid w:val="00CE168D"/>
    <w:rsid w:val="00CE19B3"/>
    <w:rsid w:val="00CE1DC3"/>
    <w:rsid w:val="00CE1DD7"/>
    <w:rsid w:val="00CE2343"/>
    <w:rsid w:val="00CE23EF"/>
    <w:rsid w:val="00CE2439"/>
    <w:rsid w:val="00CE2603"/>
    <w:rsid w:val="00CE26B9"/>
    <w:rsid w:val="00CE2751"/>
    <w:rsid w:val="00CE30B3"/>
    <w:rsid w:val="00CE3173"/>
    <w:rsid w:val="00CE3331"/>
    <w:rsid w:val="00CE3850"/>
    <w:rsid w:val="00CE3B10"/>
    <w:rsid w:val="00CE3F95"/>
    <w:rsid w:val="00CE4636"/>
    <w:rsid w:val="00CE4720"/>
    <w:rsid w:val="00CE4B23"/>
    <w:rsid w:val="00CE4DE3"/>
    <w:rsid w:val="00CE5447"/>
    <w:rsid w:val="00CE5513"/>
    <w:rsid w:val="00CE55F8"/>
    <w:rsid w:val="00CE561A"/>
    <w:rsid w:val="00CE572F"/>
    <w:rsid w:val="00CE6B67"/>
    <w:rsid w:val="00CE6BF8"/>
    <w:rsid w:val="00CE6E85"/>
    <w:rsid w:val="00CE6EEB"/>
    <w:rsid w:val="00CE6EFD"/>
    <w:rsid w:val="00CE6F82"/>
    <w:rsid w:val="00CE6FDF"/>
    <w:rsid w:val="00CE7127"/>
    <w:rsid w:val="00CE7217"/>
    <w:rsid w:val="00CE7225"/>
    <w:rsid w:val="00CE72DE"/>
    <w:rsid w:val="00CE7421"/>
    <w:rsid w:val="00CE757A"/>
    <w:rsid w:val="00CE76E2"/>
    <w:rsid w:val="00CE790A"/>
    <w:rsid w:val="00CE7A1F"/>
    <w:rsid w:val="00CE7D41"/>
    <w:rsid w:val="00CF01C8"/>
    <w:rsid w:val="00CF02EC"/>
    <w:rsid w:val="00CF03DA"/>
    <w:rsid w:val="00CF045E"/>
    <w:rsid w:val="00CF079C"/>
    <w:rsid w:val="00CF09B3"/>
    <w:rsid w:val="00CF0D6D"/>
    <w:rsid w:val="00CF0FF2"/>
    <w:rsid w:val="00CF149D"/>
    <w:rsid w:val="00CF1952"/>
    <w:rsid w:val="00CF1A3F"/>
    <w:rsid w:val="00CF1AF7"/>
    <w:rsid w:val="00CF1DA5"/>
    <w:rsid w:val="00CF2037"/>
    <w:rsid w:val="00CF231C"/>
    <w:rsid w:val="00CF25CB"/>
    <w:rsid w:val="00CF2808"/>
    <w:rsid w:val="00CF2C4C"/>
    <w:rsid w:val="00CF2C6C"/>
    <w:rsid w:val="00CF2DE6"/>
    <w:rsid w:val="00CF2E22"/>
    <w:rsid w:val="00CF2E82"/>
    <w:rsid w:val="00CF3264"/>
    <w:rsid w:val="00CF34B1"/>
    <w:rsid w:val="00CF35A2"/>
    <w:rsid w:val="00CF38A2"/>
    <w:rsid w:val="00CF3A0E"/>
    <w:rsid w:val="00CF3A45"/>
    <w:rsid w:val="00CF3ABE"/>
    <w:rsid w:val="00CF3FA8"/>
    <w:rsid w:val="00CF461D"/>
    <w:rsid w:val="00CF4666"/>
    <w:rsid w:val="00CF46A3"/>
    <w:rsid w:val="00CF4BC0"/>
    <w:rsid w:val="00CF4C0F"/>
    <w:rsid w:val="00CF4EE0"/>
    <w:rsid w:val="00CF4F6E"/>
    <w:rsid w:val="00CF501B"/>
    <w:rsid w:val="00CF50C7"/>
    <w:rsid w:val="00CF5101"/>
    <w:rsid w:val="00CF51AB"/>
    <w:rsid w:val="00CF5220"/>
    <w:rsid w:val="00CF5251"/>
    <w:rsid w:val="00CF5268"/>
    <w:rsid w:val="00CF52E7"/>
    <w:rsid w:val="00CF5853"/>
    <w:rsid w:val="00CF5901"/>
    <w:rsid w:val="00CF5B2E"/>
    <w:rsid w:val="00CF5FEF"/>
    <w:rsid w:val="00CF63A7"/>
    <w:rsid w:val="00CF6400"/>
    <w:rsid w:val="00CF640A"/>
    <w:rsid w:val="00CF6839"/>
    <w:rsid w:val="00CF6BE8"/>
    <w:rsid w:val="00CF6D3F"/>
    <w:rsid w:val="00CF73E0"/>
    <w:rsid w:val="00CF75C5"/>
    <w:rsid w:val="00CF796B"/>
    <w:rsid w:val="00CF7A8D"/>
    <w:rsid w:val="00CF7AB4"/>
    <w:rsid w:val="00CF7B72"/>
    <w:rsid w:val="00CF7DC7"/>
    <w:rsid w:val="00CF7EB4"/>
    <w:rsid w:val="00D0063E"/>
    <w:rsid w:val="00D0082D"/>
    <w:rsid w:val="00D00FE5"/>
    <w:rsid w:val="00D01145"/>
    <w:rsid w:val="00D012DD"/>
    <w:rsid w:val="00D01525"/>
    <w:rsid w:val="00D015B8"/>
    <w:rsid w:val="00D0179D"/>
    <w:rsid w:val="00D018B0"/>
    <w:rsid w:val="00D01B6F"/>
    <w:rsid w:val="00D01D4B"/>
    <w:rsid w:val="00D01DBA"/>
    <w:rsid w:val="00D01EF4"/>
    <w:rsid w:val="00D02087"/>
    <w:rsid w:val="00D02109"/>
    <w:rsid w:val="00D029F5"/>
    <w:rsid w:val="00D02D23"/>
    <w:rsid w:val="00D02F77"/>
    <w:rsid w:val="00D02F7F"/>
    <w:rsid w:val="00D02FBE"/>
    <w:rsid w:val="00D03317"/>
    <w:rsid w:val="00D036A0"/>
    <w:rsid w:val="00D04401"/>
    <w:rsid w:val="00D045B9"/>
    <w:rsid w:val="00D04724"/>
    <w:rsid w:val="00D049CF"/>
    <w:rsid w:val="00D04A91"/>
    <w:rsid w:val="00D04BEE"/>
    <w:rsid w:val="00D04D9D"/>
    <w:rsid w:val="00D04E42"/>
    <w:rsid w:val="00D057A6"/>
    <w:rsid w:val="00D05827"/>
    <w:rsid w:val="00D05C0B"/>
    <w:rsid w:val="00D05CE0"/>
    <w:rsid w:val="00D05D82"/>
    <w:rsid w:val="00D05D9D"/>
    <w:rsid w:val="00D0601F"/>
    <w:rsid w:val="00D0617E"/>
    <w:rsid w:val="00D064C7"/>
    <w:rsid w:val="00D06859"/>
    <w:rsid w:val="00D06B82"/>
    <w:rsid w:val="00D06E75"/>
    <w:rsid w:val="00D06ECC"/>
    <w:rsid w:val="00D06F98"/>
    <w:rsid w:val="00D07112"/>
    <w:rsid w:val="00D071D1"/>
    <w:rsid w:val="00D0729E"/>
    <w:rsid w:val="00D0737B"/>
    <w:rsid w:val="00D0760C"/>
    <w:rsid w:val="00D07629"/>
    <w:rsid w:val="00D077EF"/>
    <w:rsid w:val="00D07885"/>
    <w:rsid w:val="00D07D3A"/>
    <w:rsid w:val="00D1018B"/>
    <w:rsid w:val="00D102C3"/>
    <w:rsid w:val="00D10410"/>
    <w:rsid w:val="00D10459"/>
    <w:rsid w:val="00D109E5"/>
    <w:rsid w:val="00D10C47"/>
    <w:rsid w:val="00D10DD5"/>
    <w:rsid w:val="00D10FD0"/>
    <w:rsid w:val="00D1108B"/>
    <w:rsid w:val="00D111D6"/>
    <w:rsid w:val="00D11309"/>
    <w:rsid w:val="00D11431"/>
    <w:rsid w:val="00D11A9F"/>
    <w:rsid w:val="00D121D4"/>
    <w:rsid w:val="00D124BA"/>
    <w:rsid w:val="00D125A9"/>
    <w:rsid w:val="00D12817"/>
    <w:rsid w:val="00D129C0"/>
    <w:rsid w:val="00D12B80"/>
    <w:rsid w:val="00D12BDC"/>
    <w:rsid w:val="00D12CEA"/>
    <w:rsid w:val="00D13019"/>
    <w:rsid w:val="00D132F5"/>
    <w:rsid w:val="00D133FF"/>
    <w:rsid w:val="00D13488"/>
    <w:rsid w:val="00D13A03"/>
    <w:rsid w:val="00D13CA4"/>
    <w:rsid w:val="00D13D5D"/>
    <w:rsid w:val="00D13E29"/>
    <w:rsid w:val="00D13EFA"/>
    <w:rsid w:val="00D14076"/>
    <w:rsid w:val="00D14455"/>
    <w:rsid w:val="00D145A4"/>
    <w:rsid w:val="00D14AE5"/>
    <w:rsid w:val="00D14CDB"/>
    <w:rsid w:val="00D14DB6"/>
    <w:rsid w:val="00D15207"/>
    <w:rsid w:val="00D15342"/>
    <w:rsid w:val="00D15344"/>
    <w:rsid w:val="00D155F9"/>
    <w:rsid w:val="00D1567F"/>
    <w:rsid w:val="00D15956"/>
    <w:rsid w:val="00D15B08"/>
    <w:rsid w:val="00D15B2E"/>
    <w:rsid w:val="00D15C0D"/>
    <w:rsid w:val="00D15E6B"/>
    <w:rsid w:val="00D15FC7"/>
    <w:rsid w:val="00D161DB"/>
    <w:rsid w:val="00D16404"/>
    <w:rsid w:val="00D16991"/>
    <w:rsid w:val="00D16B50"/>
    <w:rsid w:val="00D16B9B"/>
    <w:rsid w:val="00D16D1B"/>
    <w:rsid w:val="00D16D55"/>
    <w:rsid w:val="00D170E7"/>
    <w:rsid w:val="00D17110"/>
    <w:rsid w:val="00D173FF"/>
    <w:rsid w:val="00D17890"/>
    <w:rsid w:val="00D17B41"/>
    <w:rsid w:val="00D17DEC"/>
    <w:rsid w:val="00D20010"/>
    <w:rsid w:val="00D20168"/>
    <w:rsid w:val="00D203FA"/>
    <w:rsid w:val="00D2064A"/>
    <w:rsid w:val="00D20883"/>
    <w:rsid w:val="00D20B76"/>
    <w:rsid w:val="00D20B85"/>
    <w:rsid w:val="00D20BA2"/>
    <w:rsid w:val="00D20F89"/>
    <w:rsid w:val="00D211EB"/>
    <w:rsid w:val="00D2139D"/>
    <w:rsid w:val="00D217AC"/>
    <w:rsid w:val="00D21E93"/>
    <w:rsid w:val="00D21F74"/>
    <w:rsid w:val="00D2205C"/>
    <w:rsid w:val="00D220BE"/>
    <w:rsid w:val="00D2212C"/>
    <w:rsid w:val="00D22463"/>
    <w:rsid w:val="00D2252D"/>
    <w:rsid w:val="00D22907"/>
    <w:rsid w:val="00D22F0C"/>
    <w:rsid w:val="00D230BD"/>
    <w:rsid w:val="00D23197"/>
    <w:rsid w:val="00D235FC"/>
    <w:rsid w:val="00D23617"/>
    <w:rsid w:val="00D23967"/>
    <w:rsid w:val="00D23BC6"/>
    <w:rsid w:val="00D23BCC"/>
    <w:rsid w:val="00D23C3F"/>
    <w:rsid w:val="00D23F88"/>
    <w:rsid w:val="00D241BF"/>
    <w:rsid w:val="00D247CB"/>
    <w:rsid w:val="00D248FA"/>
    <w:rsid w:val="00D24DB0"/>
    <w:rsid w:val="00D24F31"/>
    <w:rsid w:val="00D24FFC"/>
    <w:rsid w:val="00D2502B"/>
    <w:rsid w:val="00D25037"/>
    <w:rsid w:val="00D25041"/>
    <w:rsid w:val="00D25311"/>
    <w:rsid w:val="00D254EE"/>
    <w:rsid w:val="00D25593"/>
    <w:rsid w:val="00D25B9F"/>
    <w:rsid w:val="00D25F96"/>
    <w:rsid w:val="00D2696E"/>
    <w:rsid w:val="00D26AEF"/>
    <w:rsid w:val="00D26C3B"/>
    <w:rsid w:val="00D26D05"/>
    <w:rsid w:val="00D270E1"/>
    <w:rsid w:val="00D272A6"/>
    <w:rsid w:val="00D276EF"/>
    <w:rsid w:val="00D27781"/>
    <w:rsid w:val="00D27815"/>
    <w:rsid w:val="00D27B1D"/>
    <w:rsid w:val="00D27C1C"/>
    <w:rsid w:val="00D27DE6"/>
    <w:rsid w:val="00D302D0"/>
    <w:rsid w:val="00D3038C"/>
    <w:rsid w:val="00D30632"/>
    <w:rsid w:val="00D307CC"/>
    <w:rsid w:val="00D30AE1"/>
    <w:rsid w:val="00D30DAE"/>
    <w:rsid w:val="00D30E4E"/>
    <w:rsid w:val="00D31144"/>
    <w:rsid w:val="00D3120F"/>
    <w:rsid w:val="00D31326"/>
    <w:rsid w:val="00D3140B"/>
    <w:rsid w:val="00D31638"/>
    <w:rsid w:val="00D318D1"/>
    <w:rsid w:val="00D31A0B"/>
    <w:rsid w:val="00D31C1D"/>
    <w:rsid w:val="00D31D73"/>
    <w:rsid w:val="00D31F57"/>
    <w:rsid w:val="00D3210C"/>
    <w:rsid w:val="00D32458"/>
    <w:rsid w:val="00D3286B"/>
    <w:rsid w:val="00D32949"/>
    <w:rsid w:val="00D329E1"/>
    <w:rsid w:val="00D32A1D"/>
    <w:rsid w:val="00D32C25"/>
    <w:rsid w:val="00D32C35"/>
    <w:rsid w:val="00D338F7"/>
    <w:rsid w:val="00D33CE2"/>
    <w:rsid w:val="00D33E75"/>
    <w:rsid w:val="00D33E83"/>
    <w:rsid w:val="00D33F48"/>
    <w:rsid w:val="00D3414C"/>
    <w:rsid w:val="00D34187"/>
    <w:rsid w:val="00D34557"/>
    <w:rsid w:val="00D346CF"/>
    <w:rsid w:val="00D3477C"/>
    <w:rsid w:val="00D347A6"/>
    <w:rsid w:val="00D34825"/>
    <w:rsid w:val="00D34B79"/>
    <w:rsid w:val="00D34BA2"/>
    <w:rsid w:val="00D34D5A"/>
    <w:rsid w:val="00D34F95"/>
    <w:rsid w:val="00D35106"/>
    <w:rsid w:val="00D35417"/>
    <w:rsid w:val="00D35D48"/>
    <w:rsid w:val="00D36049"/>
    <w:rsid w:val="00D360C4"/>
    <w:rsid w:val="00D36241"/>
    <w:rsid w:val="00D36A2E"/>
    <w:rsid w:val="00D36AF7"/>
    <w:rsid w:val="00D36C59"/>
    <w:rsid w:val="00D36D45"/>
    <w:rsid w:val="00D36FBC"/>
    <w:rsid w:val="00D37681"/>
    <w:rsid w:val="00D37712"/>
    <w:rsid w:val="00D379FF"/>
    <w:rsid w:val="00D37A94"/>
    <w:rsid w:val="00D37BEB"/>
    <w:rsid w:val="00D37CB2"/>
    <w:rsid w:val="00D37E15"/>
    <w:rsid w:val="00D37E2A"/>
    <w:rsid w:val="00D401FA"/>
    <w:rsid w:val="00D4020E"/>
    <w:rsid w:val="00D40780"/>
    <w:rsid w:val="00D4096C"/>
    <w:rsid w:val="00D409EB"/>
    <w:rsid w:val="00D40DE2"/>
    <w:rsid w:val="00D40E9D"/>
    <w:rsid w:val="00D40FEB"/>
    <w:rsid w:val="00D4140F"/>
    <w:rsid w:val="00D4142D"/>
    <w:rsid w:val="00D415B8"/>
    <w:rsid w:val="00D41B1C"/>
    <w:rsid w:val="00D41CCB"/>
    <w:rsid w:val="00D41E05"/>
    <w:rsid w:val="00D41F95"/>
    <w:rsid w:val="00D41FE1"/>
    <w:rsid w:val="00D423B0"/>
    <w:rsid w:val="00D42535"/>
    <w:rsid w:val="00D4257A"/>
    <w:rsid w:val="00D4286A"/>
    <w:rsid w:val="00D428C1"/>
    <w:rsid w:val="00D43750"/>
    <w:rsid w:val="00D43D01"/>
    <w:rsid w:val="00D43D34"/>
    <w:rsid w:val="00D446D4"/>
    <w:rsid w:val="00D44B56"/>
    <w:rsid w:val="00D45121"/>
    <w:rsid w:val="00D4524E"/>
    <w:rsid w:val="00D4575D"/>
    <w:rsid w:val="00D459E7"/>
    <w:rsid w:val="00D45A50"/>
    <w:rsid w:val="00D45BE9"/>
    <w:rsid w:val="00D45D27"/>
    <w:rsid w:val="00D45EB8"/>
    <w:rsid w:val="00D46455"/>
    <w:rsid w:val="00D46BA0"/>
    <w:rsid w:val="00D46BB7"/>
    <w:rsid w:val="00D46C6D"/>
    <w:rsid w:val="00D4744A"/>
    <w:rsid w:val="00D474A3"/>
    <w:rsid w:val="00D47503"/>
    <w:rsid w:val="00D47996"/>
    <w:rsid w:val="00D47B4B"/>
    <w:rsid w:val="00D47FDE"/>
    <w:rsid w:val="00D50064"/>
    <w:rsid w:val="00D500ED"/>
    <w:rsid w:val="00D50296"/>
    <w:rsid w:val="00D503A0"/>
    <w:rsid w:val="00D503C2"/>
    <w:rsid w:val="00D50619"/>
    <w:rsid w:val="00D5064B"/>
    <w:rsid w:val="00D50750"/>
    <w:rsid w:val="00D50CAD"/>
    <w:rsid w:val="00D50DE0"/>
    <w:rsid w:val="00D51111"/>
    <w:rsid w:val="00D51113"/>
    <w:rsid w:val="00D512C4"/>
    <w:rsid w:val="00D51645"/>
    <w:rsid w:val="00D51661"/>
    <w:rsid w:val="00D51707"/>
    <w:rsid w:val="00D51A83"/>
    <w:rsid w:val="00D5279A"/>
    <w:rsid w:val="00D52C49"/>
    <w:rsid w:val="00D52C90"/>
    <w:rsid w:val="00D53154"/>
    <w:rsid w:val="00D533B0"/>
    <w:rsid w:val="00D53421"/>
    <w:rsid w:val="00D53527"/>
    <w:rsid w:val="00D53903"/>
    <w:rsid w:val="00D53A6A"/>
    <w:rsid w:val="00D53A8C"/>
    <w:rsid w:val="00D53E9A"/>
    <w:rsid w:val="00D54348"/>
    <w:rsid w:val="00D54982"/>
    <w:rsid w:val="00D5499E"/>
    <w:rsid w:val="00D54A62"/>
    <w:rsid w:val="00D54C41"/>
    <w:rsid w:val="00D54D83"/>
    <w:rsid w:val="00D54F0D"/>
    <w:rsid w:val="00D55043"/>
    <w:rsid w:val="00D5528D"/>
    <w:rsid w:val="00D55571"/>
    <w:rsid w:val="00D555C3"/>
    <w:rsid w:val="00D55BB0"/>
    <w:rsid w:val="00D55C77"/>
    <w:rsid w:val="00D565AE"/>
    <w:rsid w:val="00D567C1"/>
    <w:rsid w:val="00D5688A"/>
    <w:rsid w:val="00D56A6A"/>
    <w:rsid w:val="00D56C30"/>
    <w:rsid w:val="00D56EB0"/>
    <w:rsid w:val="00D56FB9"/>
    <w:rsid w:val="00D57050"/>
    <w:rsid w:val="00D5741C"/>
    <w:rsid w:val="00D57454"/>
    <w:rsid w:val="00D574C0"/>
    <w:rsid w:val="00D574D0"/>
    <w:rsid w:val="00D57806"/>
    <w:rsid w:val="00D57E89"/>
    <w:rsid w:val="00D60265"/>
    <w:rsid w:val="00D60385"/>
    <w:rsid w:val="00D603A7"/>
    <w:rsid w:val="00D60476"/>
    <w:rsid w:val="00D604FA"/>
    <w:rsid w:val="00D60809"/>
    <w:rsid w:val="00D609B9"/>
    <w:rsid w:val="00D60C5F"/>
    <w:rsid w:val="00D60E5D"/>
    <w:rsid w:val="00D60EA1"/>
    <w:rsid w:val="00D61014"/>
    <w:rsid w:val="00D61039"/>
    <w:rsid w:val="00D6108C"/>
    <w:rsid w:val="00D611AA"/>
    <w:rsid w:val="00D611AB"/>
    <w:rsid w:val="00D612BC"/>
    <w:rsid w:val="00D6148D"/>
    <w:rsid w:val="00D6170B"/>
    <w:rsid w:val="00D6189D"/>
    <w:rsid w:val="00D61B14"/>
    <w:rsid w:val="00D61FB4"/>
    <w:rsid w:val="00D62794"/>
    <w:rsid w:val="00D628FE"/>
    <w:rsid w:val="00D62977"/>
    <w:rsid w:val="00D62A17"/>
    <w:rsid w:val="00D62C49"/>
    <w:rsid w:val="00D62C58"/>
    <w:rsid w:val="00D62C9B"/>
    <w:rsid w:val="00D62FB8"/>
    <w:rsid w:val="00D6314B"/>
    <w:rsid w:val="00D636CA"/>
    <w:rsid w:val="00D63C0B"/>
    <w:rsid w:val="00D63D2D"/>
    <w:rsid w:val="00D63F37"/>
    <w:rsid w:val="00D6420C"/>
    <w:rsid w:val="00D64279"/>
    <w:rsid w:val="00D644EE"/>
    <w:rsid w:val="00D64806"/>
    <w:rsid w:val="00D649B3"/>
    <w:rsid w:val="00D65017"/>
    <w:rsid w:val="00D65187"/>
    <w:rsid w:val="00D652F5"/>
    <w:rsid w:val="00D6537F"/>
    <w:rsid w:val="00D65706"/>
    <w:rsid w:val="00D65716"/>
    <w:rsid w:val="00D65742"/>
    <w:rsid w:val="00D6577E"/>
    <w:rsid w:val="00D65B8A"/>
    <w:rsid w:val="00D65C94"/>
    <w:rsid w:val="00D65D4B"/>
    <w:rsid w:val="00D65F18"/>
    <w:rsid w:val="00D660EB"/>
    <w:rsid w:val="00D6642A"/>
    <w:rsid w:val="00D6654F"/>
    <w:rsid w:val="00D665F0"/>
    <w:rsid w:val="00D66A20"/>
    <w:rsid w:val="00D66A50"/>
    <w:rsid w:val="00D66A8F"/>
    <w:rsid w:val="00D6717D"/>
    <w:rsid w:val="00D672E1"/>
    <w:rsid w:val="00D6743A"/>
    <w:rsid w:val="00D675AA"/>
    <w:rsid w:val="00D676F3"/>
    <w:rsid w:val="00D67851"/>
    <w:rsid w:val="00D67CB4"/>
    <w:rsid w:val="00D67E2A"/>
    <w:rsid w:val="00D67E37"/>
    <w:rsid w:val="00D67E64"/>
    <w:rsid w:val="00D67FD8"/>
    <w:rsid w:val="00D7003B"/>
    <w:rsid w:val="00D70051"/>
    <w:rsid w:val="00D700CE"/>
    <w:rsid w:val="00D70287"/>
    <w:rsid w:val="00D70560"/>
    <w:rsid w:val="00D70740"/>
    <w:rsid w:val="00D7078F"/>
    <w:rsid w:val="00D70A7B"/>
    <w:rsid w:val="00D70B3A"/>
    <w:rsid w:val="00D70DC6"/>
    <w:rsid w:val="00D70E29"/>
    <w:rsid w:val="00D70E9C"/>
    <w:rsid w:val="00D717E5"/>
    <w:rsid w:val="00D71DA0"/>
    <w:rsid w:val="00D71ED1"/>
    <w:rsid w:val="00D720AA"/>
    <w:rsid w:val="00D720C2"/>
    <w:rsid w:val="00D7233D"/>
    <w:rsid w:val="00D724B1"/>
    <w:rsid w:val="00D72526"/>
    <w:rsid w:val="00D725AB"/>
    <w:rsid w:val="00D72773"/>
    <w:rsid w:val="00D729EB"/>
    <w:rsid w:val="00D729FB"/>
    <w:rsid w:val="00D72B26"/>
    <w:rsid w:val="00D72B36"/>
    <w:rsid w:val="00D72C36"/>
    <w:rsid w:val="00D72C46"/>
    <w:rsid w:val="00D72CBD"/>
    <w:rsid w:val="00D730A2"/>
    <w:rsid w:val="00D733F7"/>
    <w:rsid w:val="00D738A2"/>
    <w:rsid w:val="00D73CF7"/>
    <w:rsid w:val="00D73F52"/>
    <w:rsid w:val="00D74241"/>
    <w:rsid w:val="00D742C1"/>
    <w:rsid w:val="00D742FC"/>
    <w:rsid w:val="00D7445F"/>
    <w:rsid w:val="00D74483"/>
    <w:rsid w:val="00D745F8"/>
    <w:rsid w:val="00D7469C"/>
    <w:rsid w:val="00D7496E"/>
    <w:rsid w:val="00D74CB1"/>
    <w:rsid w:val="00D74EA0"/>
    <w:rsid w:val="00D751A0"/>
    <w:rsid w:val="00D75221"/>
    <w:rsid w:val="00D7531D"/>
    <w:rsid w:val="00D75369"/>
    <w:rsid w:val="00D75503"/>
    <w:rsid w:val="00D75B45"/>
    <w:rsid w:val="00D75BA6"/>
    <w:rsid w:val="00D75C21"/>
    <w:rsid w:val="00D761C2"/>
    <w:rsid w:val="00D76382"/>
    <w:rsid w:val="00D767D4"/>
    <w:rsid w:val="00D76874"/>
    <w:rsid w:val="00D76B5A"/>
    <w:rsid w:val="00D76B94"/>
    <w:rsid w:val="00D76EB3"/>
    <w:rsid w:val="00D77076"/>
    <w:rsid w:val="00D77269"/>
    <w:rsid w:val="00D774D0"/>
    <w:rsid w:val="00D7750D"/>
    <w:rsid w:val="00D775D6"/>
    <w:rsid w:val="00D77C56"/>
    <w:rsid w:val="00D802FF"/>
    <w:rsid w:val="00D80692"/>
    <w:rsid w:val="00D80BD1"/>
    <w:rsid w:val="00D80CD7"/>
    <w:rsid w:val="00D80F3D"/>
    <w:rsid w:val="00D8113A"/>
    <w:rsid w:val="00D81308"/>
    <w:rsid w:val="00D8171A"/>
    <w:rsid w:val="00D81B9E"/>
    <w:rsid w:val="00D81D54"/>
    <w:rsid w:val="00D82479"/>
    <w:rsid w:val="00D828ED"/>
    <w:rsid w:val="00D82966"/>
    <w:rsid w:val="00D82A52"/>
    <w:rsid w:val="00D82BE6"/>
    <w:rsid w:val="00D82E84"/>
    <w:rsid w:val="00D82F3B"/>
    <w:rsid w:val="00D82FAF"/>
    <w:rsid w:val="00D831AE"/>
    <w:rsid w:val="00D83460"/>
    <w:rsid w:val="00D83682"/>
    <w:rsid w:val="00D83E3A"/>
    <w:rsid w:val="00D83EFF"/>
    <w:rsid w:val="00D83F4E"/>
    <w:rsid w:val="00D83F7D"/>
    <w:rsid w:val="00D84305"/>
    <w:rsid w:val="00D845E6"/>
    <w:rsid w:val="00D84B29"/>
    <w:rsid w:val="00D84BF9"/>
    <w:rsid w:val="00D84CA7"/>
    <w:rsid w:val="00D84F88"/>
    <w:rsid w:val="00D85082"/>
    <w:rsid w:val="00D8511F"/>
    <w:rsid w:val="00D85347"/>
    <w:rsid w:val="00D856AC"/>
    <w:rsid w:val="00D85838"/>
    <w:rsid w:val="00D858E0"/>
    <w:rsid w:val="00D85A16"/>
    <w:rsid w:val="00D85A31"/>
    <w:rsid w:val="00D85AA8"/>
    <w:rsid w:val="00D85EF4"/>
    <w:rsid w:val="00D86650"/>
    <w:rsid w:val="00D869F2"/>
    <w:rsid w:val="00D86A89"/>
    <w:rsid w:val="00D86B92"/>
    <w:rsid w:val="00D86F10"/>
    <w:rsid w:val="00D8703E"/>
    <w:rsid w:val="00D87091"/>
    <w:rsid w:val="00D87239"/>
    <w:rsid w:val="00D875C5"/>
    <w:rsid w:val="00D87FBD"/>
    <w:rsid w:val="00D90052"/>
    <w:rsid w:val="00D902C7"/>
    <w:rsid w:val="00D90383"/>
    <w:rsid w:val="00D90BC5"/>
    <w:rsid w:val="00D90C3E"/>
    <w:rsid w:val="00D90EBA"/>
    <w:rsid w:val="00D90FCA"/>
    <w:rsid w:val="00D91101"/>
    <w:rsid w:val="00D913A9"/>
    <w:rsid w:val="00D9147F"/>
    <w:rsid w:val="00D91514"/>
    <w:rsid w:val="00D916AB"/>
    <w:rsid w:val="00D91740"/>
    <w:rsid w:val="00D917B9"/>
    <w:rsid w:val="00D91997"/>
    <w:rsid w:val="00D91B1E"/>
    <w:rsid w:val="00D91C09"/>
    <w:rsid w:val="00D91F09"/>
    <w:rsid w:val="00D924C6"/>
    <w:rsid w:val="00D92B2E"/>
    <w:rsid w:val="00D92C2A"/>
    <w:rsid w:val="00D92EAB"/>
    <w:rsid w:val="00D93180"/>
    <w:rsid w:val="00D9336B"/>
    <w:rsid w:val="00D933FD"/>
    <w:rsid w:val="00D93527"/>
    <w:rsid w:val="00D93601"/>
    <w:rsid w:val="00D937AE"/>
    <w:rsid w:val="00D9393D"/>
    <w:rsid w:val="00D93C4C"/>
    <w:rsid w:val="00D93D01"/>
    <w:rsid w:val="00D93D7B"/>
    <w:rsid w:val="00D93EA6"/>
    <w:rsid w:val="00D93FD7"/>
    <w:rsid w:val="00D942FD"/>
    <w:rsid w:val="00D9436C"/>
    <w:rsid w:val="00D94446"/>
    <w:rsid w:val="00D9486B"/>
    <w:rsid w:val="00D94AA6"/>
    <w:rsid w:val="00D95529"/>
    <w:rsid w:val="00D95775"/>
    <w:rsid w:val="00D957CE"/>
    <w:rsid w:val="00D95A83"/>
    <w:rsid w:val="00D95AC8"/>
    <w:rsid w:val="00D95C1C"/>
    <w:rsid w:val="00D9694B"/>
    <w:rsid w:val="00D96B4D"/>
    <w:rsid w:val="00D96B6E"/>
    <w:rsid w:val="00D96B87"/>
    <w:rsid w:val="00D96BEB"/>
    <w:rsid w:val="00D96CE7"/>
    <w:rsid w:val="00D96D10"/>
    <w:rsid w:val="00D96EF0"/>
    <w:rsid w:val="00D96F53"/>
    <w:rsid w:val="00D975EB"/>
    <w:rsid w:val="00D97A0B"/>
    <w:rsid w:val="00D97AEE"/>
    <w:rsid w:val="00D97D33"/>
    <w:rsid w:val="00D97DEB"/>
    <w:rsid w:val="00DA0596"/>
    <w:rsid w:val="00DA0AFA"/>
    <w:rsid w:val="00DA0B5A"/>
    <w:rsid w:val="00DA0C41"/>
    <w:rsid w:val="00DA1124"/>
    <w:rsid w:val="00DA14B9"/>
    <w:rsid w:val="00DA1A06"/>
    <w:rsid w:val="00DA1A14"/>
    <w:rsid w:val="00DA1C3F"/>
    <w:rsid w:val="00DA202F"/>
    <w:rsid w:val="00DA2A1C"/>
    <w:rsid w:val="00DA2F32"/>
    <w:rsid w:val="00DA345D"/>
    <w:rsid w:val="00DA365F"/>
    <w:rsid w:val="00DA396A"/>
    <w:rsid w:val="00DA3C55"/>
    <w:rsid w:val="00DA3ED5"/>
    <w:rsid w:val="00DA3F63"/>
    <w:rsid w:val="00DA4147"/>
    <w:rsid w:val="00DA4172"/>
    <w:rsid w:val="00DA4694"/>
    <w:rsid w:val="00DA47DB"/>
    <w:rsid w:val="00DA48A0"/>
    <w:rsid w:val="00DA48B5"/>
    <w:rsid w:val="00DA5108"/>
    <w:rsid w:val="00DA522C"/>
    <w:rsid w:val="00DA5669"/>
    <w:rsid w:val="00DA5698"/>
    <w:rsid w:val="00DA5AE7"/>
    <w:rsid w:val="00DA5DB2"/>
    <w:rsid w:val="00DA61BA"/>
    <w:rsid w:val="00DA65B1"/>
    <w:rsid w:val="00DA6A36"/>
    <w:rsid w:val="00DA6A4E"/>
    <w:rsid w:val="00DA6AFB"/>
    <w:rsid w:val="00DA6C6A"/>
    <w:rsid w:val="00DA6CFC"/>
    <w:rsid w:val="00DA6D7C"/>
    <w:rsid w:val="00DA73A5"/>
    <w:rsid w:val="00DA782C"/>
    <w:rsid w:val="00DA7AF4"/>
    <w:rsid w:val="00DA7C39"/>
    <w:rsid w:val="00DA7E23"/>
    <w:rsid w:val="00DB0534"/>
    <w:rsid w:val="00DB0998"/>
    <w:rsid w:val="00DB09F6"/>
    <w:rsid w:val="00DB0C9F"/>
    <w:rsid w:val="00DB0E5D"/>
    <w:rsid w:val="00DB1099"/>
    <w:rsid w:val="00DB13A2"/>
    <w:rsid w:val="00DB1475"/>
    <w:rsid w:val="00DB14D6"/>
    <w:rsid w:val="00DB1527"/>
    <w:rsid w:val="00DB157D"/>
    <w:rsid w:val="00DB170A"/>
    <w:rsid w:val="00DB1DD6"/>
    <w:rsid w:val="00DB3276"/>
    <w:rsid w:val="00DB350B"/>
    <w:rsid w:val="00DB35EF"/>
    <w:rsid w:val="00DB367A"/>
    <w:rsid w:val="00DB3954"/>
    <w:rsid w:val="00DB3C26"/>
    <w:rsid w:val="00DB3D2D"/>
    <w:rsid w:val="00DB3D5E"/>
    <w:rsid w:val="00DB3F93"/>
    <w:rsid w:val="00DB48AA"/>
    <w:rsid w:val="00DB491B"/>
    <w:rsid w:val="00DB49B3"/>
    <w:rsid w:val="00DB4BFE"/>
    <w:rsid w:val="00DB4F7A"/>
    <w:rsid w:val="00DB50D7"/>
    <w:rsid w:val="00DB521F"/>
    <w:rsid w:val="00DB53AF"/>
    <w:rsid w:val="00DB53EE"/>
    <w:rsid w:val="00DB5471"/>
    <w:rsid w:val="00DB56C3"/>
    <w:rsid w:val="00DB5A00"/>
    <w:rsid w:val="00DB5CD5"/>
    <w:rsid w:val="00DB5F05"/>
    <w:rsid w:val="00DB5F26"/>
    <w:rsid w:val="00DB5F57"/>
    <w:rsid w:val="00DB6044"/>
    <w:rsid w:val="00DB616D"/>
    <w:rsid w:val="00DB6474"/>
    <w:rsid w:val="00DB6802"/>
    <w:rsid w:val="00DB6899"/>
    <w:rsid w:val="00DB68D9"/>
    <w:rsid w:val="00DB6902"/>
    <w:rsid w:val="00DB6A0A"/>
    <w:rsid w:val="00DB6A58"/>
    <w:rsid w:val="00DB6F70"/>
    <w:rsid w:val="00DB6F90"/>
    <w:rsid w:val="00DB73A0"/>
    <w:rsid w:val="00DB7459"/>
    <w:rsid w:val="00DB7616"/>
    <w:rsid w:val="00DB7896"/>
    <w:rsid w:val="00DB7A3F"/>
    <w:rsid w:val="00DB7ABA"/>
    <w:rsid w:val="00DB7B53"/>
    <w:rsid w:val="00DB7B7D"/>
    <w:rsid w:val="00DB8D20"/>
    <w:rsid w:val="00DC02AC"/>
    <w:rsid w:val="00DC0390"/>
    <w:rsid w:val="00DC06B7"/>
    <w:rsid w:val="00DC0A8B"/>
    <w:rsid w:val="00DC0B1A"/>
    <w:rsid w:val="00DC0EAB"/>
    <w:rsid w:val="00DC10A8"/>
    <w:rsid w:val="00DC149B"/>
    <w:rsid w:val="00DC1594"/>
    <w:rsid w:val="00DC167B"/>
    <w:rsid w:val="00DC1BCE"/>
    <w:rsid w:val="00DC1CE9"/>
    <w:rsid w:val="00DC1E8B"/>
    <w:rsid w:val="00DC1F26"/>
    <w:rsid w:val="00DC21AF"/>
    <w:rsid w:val="00DC24FF"/>
    <w:rsid w:val="00DC2792"/>
    <w:rsid w:val="00DC2AF5"/>
    <w:rsid w:val="00DC2B85"/>
    <w:rsid w:val="00DC2D1F"/>
    <w:rsid w:val="00DC31D7"/>
    <w:rsid w:val="00DC3556"/>
    <w:rsid w:val="00DC39C6"/>
    <w:rsid w:val="00DC3CB2"/>
    <w:rsid w:val="00DC3DF6"/>
    <w:rsid w:val="00DC3F6D"/>
    <w:rsid w:val="00DC3F82"/>
    <w:rsid w:val="00DC4044"/>
    <w:rsid w:val="00DC4196"/>
    <w:rsid w:val="00DC41C6"/>
    <w:rsid w:val="00DC44F1"/>
    <w:rsid w:val="00DC46DE"/>
    <w:rsid w:val="00DC4979"/>
    <w:rsid w:val="00DC4B21"/>
    <w:rsid w:val="00DC4D48"/>
    <w:rsid w:val="00DC50F1"/>
    <w:rsid w:val="00DC527A"/>
    <w:rsid w:val="00DC57EF"/>
    <w:rsid w:val="00DC5D9F"/>
    <w:rsid w:val="00DC6778"/>
    <w:rsid w:val="00DC7084"/>
    <w:rsid w:val="00DC710B"/>
    <w:rsid w:val="00DC732A"/>
    <w:rsid w:val="00DC758B"/>
    <w:rsid w:val="00DC7C0C"/>
    <w:rsid w:val="00DD00D5"/>
    <w:rsid w:val="00DD0117"/>
    <w:rsid w:val="00DD0A8C"/>
    <w:rsid w:val="00DD0B26"/>
    <w:rsid w:val="00DD118D"/>
    <w:rsid w:val="00DD1318"/>
    <w:rsid w:val="00DD137E"/>
    <w:rsid w:val="00DD1662"/>
    <w:rsid w:val="00DD16A8"/>
    <w:rsid w:val="00DD1968"/>
    <w:rsid w:val="00DD1B44"/>
    <w:rsid w:val="00DD1F04"/>
    <w:rsid w:val="00DD1F80"/>
    <w:rsid w:val="00DD26EC"/>
    <w:rsid w:val="00DD31C3"/>
    <w:rsid w:val="00DD3209"/>
    <w:rsid w:val="00DD3573"/>
    <w:rsid w:val="00DD3940"/>
    <w:rsid w:val="00DD3F25"/>
    <w:rsid w:val="00DD3F70"/>
    <w:rsid w:val="00DD43A8"/>
    <w:rsid w:val="00DD47BE"/>
    <w:rsid w:val="00DD498C"/>
    <w:rsid w:val="00DD49C4"/>
    <w:rsid w:val="00DD4DC3"/>
    <w:rsid w:val="00DD5025"/>
    <w:rsid w:val="00DD50A9"/>
    <w:rsid w:val="00DD50FD"/>
    <w:rsid w:val="00DD520E"/>
    <w:rsid w:val="00DD53E8"/>
    <w:rsid w:val="00DD59CD"/>
    <w:rsid w:val="00DD59E5"/>
    <w:rsid w:val="00DD5BE4"/>
    <w:rsid w:val="00DD5D53"/>
    <w:rsid w:val="00DD5FA6"/>
    <w:rsid w:val="00DD6042"/>
    <w:rsid w:val="00DD6198"/>
    <w:rsid w:val="00DD6544"/>
    <w:rsid w:val="00DD6CB2"/>
    <w:rsid w:val="00DD71D9"/>
    <w:rsid w:val="00DD73F9"/>
    <w:rsid w:val="00DD74B0"/>
    <w:rsid w:val="00DD7D41"/>
    <w:rsid w:val="00DD7D72"/>
    <w:rsid w:val="00DE017F"/>
    <w:rsid w:val="00DE09F6"/>
    <w:rsid w:val="00DE0B71"/>
    <w:rsid w:val="00DE0BF8"/>
    <w:rsid w:val="00DE0DC2"/>
    <w:rsid w:val="00DE10ED"/>
    <w:rsid w:val="00DE12BA"/>
    <w:rsid w:val="00DE170A"/>
    <w:rsid w:val="00DE1788"/>
    <w:rsid w:val="00DE2755"/>
    <w:rsid w:val="00DE292F"/>
    <w:rsid w:val="00DE2D46"/>
    <w:rsid w:val="00DE3237"/>
    <w:rsid w:val="00DE327E"/>
    <w:rsid w:val="00DE329F"/>
    <w:rsid w:val="00DE3402"/>
    <w:rsid w:val="00DE3CD3"/>
    <w:rsid w:val="00DE3D84"/>
    <w:rsid w:val="00DE3E92"/>
    <w:rsid w:val="00DE3EE3"/>
    <w:rsid w:val="00DE45DF"/>
    <w:rsid w:val="00DE4E47"/>
    <w:rsid w:val="00DE505A"/>
    <w:rsid w:val="00DE5581"/>
    <w:rsid w:val="00DE5A84"/>
    <w:rsid w:val="00DE656E"/>
    <w:rsid w:val="00DE668E"/>
    <w:rsid w:val="00DE669F"/>
    <w:rsid w:val="00DE66E3"/>
    <w:rsid w:val="00DE6766"/>
    <w:rsid w:val="00DE6D12"/>
    <w:rsid w:val="00DE6DF5"/>
    <w:rsid w:val="00DE70C9"/>
    <w:rsid w:val="00DE7306"/>
    <w:rsid w:val="00DE7928"/>
    <w:rsid w:val="00DE7E8C"/>
    <w:rsid w:val="00DF0139"/>
    <w:rsid w:val="00DF08FB"/>
    <w:rsid w:val="00DF0A23"/>
    <w:rsid w:val="00DF0CD7"/>
    <w:rsid w:val="00DF0F75"/>
    <w:rsid w:val="00DF128F"/>
    <w:rsid w:val="00DF1557"/>
    <w:rsid w:val="00DF1606"/>
    <w:rsid w:val="00DF1620"/>
    <w:rsid w:val="00DF185D"/>
    <w:rsid w:val="00DF1DAE"/>
    <w:rsid w:val="00DF1DBE"/>
    <w:rsid w:val="00DF1DEE"/>
    <w:rsid w:val="00DF1DFB"/>
    <w:rsid w:val="00DF1E53"/>
    <w:rsid w:val="00DF1E71"/>
    <w:rsid w:val="00DF1FD3"/>
    <w:rsid w:val="00DF214B"/>
    <w:rsid w:val="00DF233F"/>
    <w:rsid w:val="00DF2410"/>
    <w:rsid w:val="00DF2946"/>
    <w:rsid w:val="00DF2B2E"/>
    <w:rsid w:val="00DF2B7C"/>
    <w:rsid w:val="00DF3559"/>
    <w:rsid w:val="00DF36FF"/>
    <w:rsid w:val="00DF37F0"/>
    <w:rsid w:val="00DF399C"/>
    <w:rsid w:val="00DF3ACD"/>
    <w:rsid w:val="00DF3BEA"/>
    <w:rsid w:val="00DF3DC1"/>
    <w:rsid w:val="00DF3DE6"/>
    <w:rsid w:val="00DF41F0"/>
    <w:rsid w:val="00DF4252"/>
    <w:rsid w:val="00DF489D"/>
    <w:rsid w:val="00DF4C42"/>
    <w:rsid w:val="00DF4D0B"/>
    <w:rsid w:val="00DF4D62"/>
    <w:rsid w:val="00DF4DE7"/>
    <w:rsid w:val="00DF4E4C"/>
    <w:rsid w:val="00DF4E64"/>
    <w:rsid w:val="00DF4E9F"/>
    <w:rsid w:val="00DF50B0"/>
    <w:rsid w:val="00DF5212"/>
    <w:rsid w:val="00DF5B9B"/>
    <w:rsid w:val="00DF5DE9"/>
    <w:rsid w:val="00DF6071"/>
    <w:rsid w:val="00DF6708"/>
    <w:rsid w:val="00DF688D"/>
    <w:rsid w:val="00DF6962"/>
    <w:rsid w:val="00DF6B65"/>
    <w:rsid w:val="00DF6CA4"/>
    <w:rsid w:val="00DF6E25"/>
    <w:rsid w:val="00DF6F7E"/>
    <w:rsid w:val="00DF7183"/>
    <w:rsid w:val="00DF7506"/>
    <w:rsid w:val="00DF7BB0"/>
    <w:rsid w:val="00DF7C90"/>
    <w:rsid w:val="00DF7D2A"/>
    <w:rsid w:val="00DF7F07"/>
    <w:rsid w:val="00E002A0"/>
    <w:rsid w:val="00E00691"/>
    <w:rsid w:val="00E008B6"/>
    <w:rsid w:val="00E00F6D"/>
    <w:rsid w:val="00E0166B"/>
    <w:rsid w:val="00E01CFA"/>
    <w:rsid w:val="00E01F11"/>
    <w:rsid w:val="00E01FA1"/>
    <w:rsid w:val="00E01FA2"/>
    <w:rsid w:val="00E0203C"/>
    <w:rsid w:val="00E0213F"/>
    <w:rsid w:val="00E02557"/>
    <w:rsid w:val="00E02B11"/>
    <w:rsid w:val="00E02B4B"/>
    <w:rsid w:val="00E02E8C"/>
    <w:rsid w:val="00E03001"/>
    <w:rsid w:val="00E037BC"/>
    <w:rsid w:val="00E03EB6"/>
    <w:rsid w:val="00E04301"/>
    <w:rsid w:val="00E0448F"/>
    <w:rsid w:val="00E0465B"/>
    <w:rsid w:val="00E04A3A"/>
    <w:rsid w:val="00E0543B"/>
    <w:rsid w:val="00E05580"/>
    <w:rsid w:val="00E05608"/>
    <w:rsid w:val="00E05778"/>
    <w:rsid w:val="00E05C77"/>
    <w:rsid w:val="00E05DC6"/>
    <w:rsid w:val="00E06258"/>
    <w:rsid w:val="00E0662D"/>
    <w:rsid w:val="00E066E6"/>
    <w:rsid w:val="00E06707"/>
    <w:rsid w:val="00E06973"/>
    <w:rsid w:val="00E069A6"/>
    <w:rsid w:val="00E06AE6"/>
    <w:rsid w:val="00E06CDA"/>
    <w:rsid w:val="00E06D09"/>
    <w:rsid w:val="00E06D77"/>
    <w:rsid w:val="00E07055"/>
    <w:rsid w:val="00E071FA"/>
    <w:rsid w:val="00E0750B"/>
    <w:rsid w:val="00E0766F"/>
    <w:rsid w:val="00E077B7"/>
    <w:rsid w:val="00E07CE8"/>
    <w:rsid w:val="00E0C002"/>
    <w:rsid w:val="00E10293"/>
    <w:rsid w:val="00E10A56"/>
    <w:rsid w:val="00E10B03"/>
    <w:rsid w:val="00E10B2F"/>
    <w:rsid w:val="00E10C2F"/>
    <w:rsid w:val="00E11097"/>
    <w:rsid w:val="00E1110B"/>
    <w:rsid w:val="00E111A8"/>
    <w:rsid w:val="00E1132C"/>
    <w:rsid w:val="00E113E3"/>
    <w:rsid w:val="00E1154D"/>
    <w:rsid w:val="00E11555"/>
    <w:rsid w:val="00E11618"/>
    <w:rsid w:val="00E11966"/>
    <w:rsid w:val="00E11D53"/>
    <w:rsid w:val="00E1207A"/>
    <w:rsid w:val="00E121FF"/>
    <w:rsid w:val="00E1224E"/>
    <w:rsid w:val="00E12328"/>
    <w:rsid w:val="00E126BE"/>
    <w:rsid w:val="00E129BB"/>
    <w:rsid w:val="00E12B48"/>
    <w:rsid w:val="00E12E5E"/>
    <w:rsid w:val="00E13315"/>
    <w:rsid w:val="00E1355F"/>
    <w:rsid w:val="00E1372C"/>
    <w:rsid w:val="00E13857"/>
    <w:rsid w:val="00E138E4"/>
    <w:rsid w:val="00E13C48"/>
    <w:rsid w:val="00E13E46"/>
    <w:rsid w:val="00E13EB3"/>
    <w:rsid w:val="00E1424E"/>
    <w:rsid w:val="00E142C9"/>
    <w:rsid w:val="00E143EF"/>
    <w:rsid w:val="00E14400"/>
    <w:rsid w:val="00E14632"/>
    <w:rsid w:val="00E14CE8"/>
    <w:rsid w:val="00E153A3"/>
    <w:rsid w:val="00E1570C"/>
    <w:rsid w:val="00E157A9"/>
    <w:rsid w:val="00E15842"/>
    <w:rsid w:val="00E158D2"/>
    <w:rsid w:val="00E159DF"/>
    <w:rsid w:val="00E15A8D"/>
    <w:rsid w:val="00E15C1C"/>
    <w:rsid w:val="00E15D7D"/>
    <w:rsid w:val="00E161DF"/>
    <w:rsid w:val="00E16551"/>
    <w:rsid w:val="00E165D9"/>
    <w:rsid w:val="00E16662"/>
    <w:rsid w:val="00E16837"/>
    <w:rsid w:val="00E1698B"/>
    <w:rsid w:val="00E16B66"/>
    <w:rsid w:val="00E16C2F"/>
    <w:rsid w:val="00E16D43"/>
    <w:rsid w:val="00E16EEA"/>
    <w:rsid w:val="00E16F28"/>
    <w:rsid w:val="00E1716D"/>
    <w:rsid w:val="00E1777F"/>
    <w:rsid w:val="00E178A6"/>
    <w:rsid w:val="00E17947"/>
    <w:rsid w:val="00E20888"/>
    <w:rsid w:val="00E20B2E"/>
    <w:rsid w:val="00E21707"/>
    <w:rsid w:val="00E217F2"/>
    <w:rsid w:val="00E2197D"/>
    <w:rsid w:val="00E2204B"/>
    <w:rsid w:val="00E2209C"/>
    <w:rsid w:val="00E223F5"/>
    <w:rsid w:val="00E2268D"/>
    <w:rsid w:val="00E229A7"/>
    <w:rsid w:val="00E22A64"/>
    <w:rsid w:val="00E22C2D"/>
    <w:rsid w:val="00E22CB9"/>
    <w:rsid w:val="00E22F0D"/>
    <w:rsid w:val="00E2308E"/>
    <w:rsid w:val="00E2312D"/>
    <w:rsid w:val="00E231EF"/>
    <w:rsid w:val="00E2323B"/>
    <w:rsid w:val="00E233C3"/>
    <w:rsid w:val="00E234A1"/>
    <w:rsid w:val="00E2360F"/>
    <w:rsid w:val="00E238FC"/>
    <w:rsid w:val="00E23930"/>
    <w:rsid w:val="00E23B38"/>
    <w:rsid w:val="00E23C54"/>
    <w:rsid w:val="00E23EF7"/>
    <w:rsid w:val="00E2406D"/>
    <w:rsid w:val="00E2408E"/>
    <w:rsid w:val="00E240F6"/>
    <w:rsid w:val="00E241A9"/>
    <w:rsid w:val="00E241AE"/>
    <w:rsid w:val="00E2425C"/>
    <w:rsid w:val="00E24384"/>
    <w:rsid w:val="00E243F4"/>
    <w:rsid w:val="00E24651"/>
    <w:rsid w:val="00E2530B"/>
    <w:rsid w:val="00E253CE"/>
    <w:rsid w:val="00E2561A"/>
    <w:rsid w:val="00E2590C"/>
    <w:rsid w:val="00E2590D"/>
    <w:rsid w:val="00E259D6"/>
    <w:rsid w:val="00E25A81"/>
    <w:rsid w:val="00E25C38"/>
    <w:rsid w:val="00E26042"/>
    <w:rsid w:val="00E262E7"/>
    <w:rsid w:val="00E264F2"/>
    <w:rsid w:val="00E26597"/>
    <w:rsid w:val="00E26AFF"/>
    <w:rsid w:val="00E26E82"/>
    <w:rsid w:val="00E2742A"/>
    <w:rsid w:val="00E2756E"/>
    <w:rsid w:val="00E2757E"/>
    <w:rsid w:val="00E27981"/>
    <w:rsid w:val="00E27C11"/>
    <w:rsid w:val="00E302A1"/>
    <w:rsid w:val="00E304DD"/>
    <w:rsid w:val="00E3070F"/>
    <w:rsid w:val="00E30811"/>
    <w:rsid w:val="00E30828"/>
    <w:rsid w:val="00E30BD0"/>
    <w:rsid w:val="00E30ECD"/>
    <w:rsid w:val="00E30EFB"/>
    <w:rsid w:val="00E31195"/>
    <w:rsid w:val="00E311D9"/>
    <w:rsid w:val="00E3127E"/>
    <w:rsid w:val="00E3143A"/>
    <w:rsid w:val="00E3158C"/>
    <w:rsid w:val="00E317E4"/>
    <w:rsid w:val="00E31C9B"/>
    <w:rsid w:val="00E31E47"/>
    <w:rsid w:val="00E31EF9"/>
    <w:rsid w:val="00E32051"/>
    <w:rsid w:val="00E32D44"/>
    <w:rsid w:val="00E32E38"/>
    <w:rsid w:val="00E32E77"/>
    <w:rsid w:val="00E332BA"/>
    <w:rsid w:val="00E335BB"/>
    <w:rsid w:val="00E3376D"/>
    <w:rsid w:val="00E33CE1"/>
    <w:rsid w:val="00E33CE2"/>
    <w:rsid w:val="00E33D0A"/>
    <w:rsid w:val="00E33F0D"/>
    <w:rsid w:val="00E33F58"/>
    <w:rsid w:val="00E34232"/>
    <w:rsid w:val="00E34404"/>
    <w:rsid w:val="00E349C7"/>
    <w:rsid w:val="00E34A76"/>
    <w:rsid w:val="00E34B52"/>
    <w:rsid w:val="00E34DD8"/>
    <w:rsid w:val="00E35293"/>
    <w:rsid w:val="00E35FAC"/>
    <w:rsid w:val="00E35FC1"/>
    <w:rsid w:val="00E36124"/>
    <w:rsid w:val="00E3669D"/>
    <w:rsid w:val="00E36711"/>
    <w:rsid w:val="00E36902"/>
    <w:rsid w:val="00E36A6D"/>
    <w:rsid w:val="00E36D22"/>
    <w:rsid w:val="00E3712B"/>
    <w:rsid w:val="00E37494"/>
    <w:rsid w:val="00E37BA4"/>
    <w:rsid w:val="00E37DA2"/>
    <w:rsid w:val="00E37F5B"/>
    <w:rsid w:val="00E40197"/>
    <w:rsid w:val="00E4022A"/>
    <w:rsid w:val="00E40388"/>
    <w:rsid w:val="00E404E3"/>
    <w:rsid w:val="00E4093C"/>
    <w:rsid w:val="00E40B77"/>
    <w:rsid w:val="00E40E2D"/>
    <w:rsid w:val="00E41315"/>
    <w:rsid w:val="00E41E29"/>
    <w:rsid w:val="00E41E56"/>
    <w:rsid w:val="00E42366"/>
    <w:rsid w:val="00E4242E"/>
    <w:rsid w:val="00E425DB"/>
    <w:rsid w:val="00E42858"/>
    <w:rsid w:val="00E429B2"/>
    <w:rsid w:val="00E42D06"/>
    <w:rsid w:val="00E42D6A"/>
    <w:rsid w:val="00E42FCF"/>
    <w:rsid w:val="00E430CD"/>
    <w:rsid w:val="00E436F7"/>
    <w:rsid w:val="00E438EF"/>
    <w:rsid w:val="00E43B43"/>
    <w:rsid w:val="00E441AD"/>
    <w:rsid w:val="00E4420F"/>
    <w:rsid w:val="00E4431B"/>
    <w:rsid w:val="00E44B10"/>
    <w:rsid w:val="00E44E1D"/>
    <w:rsid w:val="00E453CD"/>
    <w:rsid w:val="00E45579"/>
    <w:rsid w:val="00E455FC"/>
    <w:rsid w:val="00E457F4"/>
    <w:rsid w:val="00E45C2A"/>
    <w:rsid w:val="00E45D20"/>
    <w:rsid w:val="00E45E73"/>
    <w:rsid w:val="00E46124"/>
    <w:rsid w:val="00E461C7"/>
    <w:rsid w:val="00E46238"/>
    <w:rsid w:val="00E462C0"/>
    <w:rsid w:val="00E465CF"/>
    <w:rsid w:val="00E467F0"/>
    <w:rsid w:val="00E46CE3"/>
    <w:rsid w:val="00E46E5C"/>
    <w:rsid w:val="00E47153"/>
    <w:rsid w:val="00E476A5"/>
    <w:rsid w:val="00E50427"/>
    <w:rsid w:val="00E5058F"/>
    <w:rsid w:val="00E50651"/>
    <w:rsid w:val="00E50979"/>
    <w:rsid w:val="00E50AD2"/>
    <w:rsid w:val="00E50B58"/>
    <w:rsid w:val="00E514C3"/>
    <w:rsid w:val="00E51505"/>
    <w:rsid w:val="00E5166D"/>
    <w:rsid w:val="00E517E2"/>
    <w:rsid w:val="00E51BC0"/>
    <w:rsid w:val="00E51D6C"/>
    <w:rsid w:val="00E51EB7"/>
    <w:rsid w:val="00E51F07"/>
    <w:rsid w:val="00E52604"/>
    <w:rsid w:val="00E527A7"/>
    <w:rsid w:val="00E529F2"/>
    <w:rsid w:val="00E52ABC"/>
    <w:rsid w:val="00E52CDA"/>
    <w:rsid w:val="00E52EA8"/>
    <w:rsid w:val="00E5310E"/>
    <w:rsid w:val="00E531EF"/>
    <w:rsid w:val="00E5357A"/>
    <w:rsid w:val="00E53743"/>
    <w:rsid w:val="00E53955"/>
    <w:rsid w:val="00E53BC1"/>
    <w:rsid w:val="00E53C9F"/>
    <w:rsid w:val="00E53EE5"/>
    <w:rsid w:val="00E5427E"/>
    <w:rsid w:val="00E543E0"/>
    <w:rsid w:val="00E546AA"/>
    <w:rsid w:val="00E548A4"/>
    <w:rsid w:val="00E54A22"/>
    <w:rsid w:val="00E54B8B"/>
    <w:rsid w:val="00E54EE5"/>
    <w:rsid w:val="00E54FA8"/>
    <w:rsid w:val="00E550EF"/>
    <w:rsid w:val="00E55178"/>
    <w:rsid w:val="00E55254"/>
    <w:rsid w:val="00E554FB"/>
    <w:rsid w:val="00E5580E"/>
    <w:rsid w:val="00E5588A"/>
    <w:rsid w:val="00E55A69"/>
    <w:rsid w:val="00E55CC9"/>
    <w:rsid w:val="00E55CFE"/>
    <w:rsid w:val="00E562E4"/>
    <w:rsid w:val="00E5645B"/>
    <w:rsid w:val="00E565D9"/>
    <w:rsid w:val="00E56632"/>
    <w:rsid w:val="00E56B10"/>
    <w:rsid w:val="00E56D93"/>
    <w:rsid w:val="00E56F17"/>
    <w:rsid w:val="00E56FBE"/>
    <w:rsid w:val="00E5701C"/>
    <w:rsid w:val="00E5720C"/>
    <w:rsid w:val="00E57640"/>
    <w:rsid w:val="00E57D72"/>
    <w:rsid w:val="00E60112"/>
    <w:rsid w:val="00E6030C"/>
    <w:rsid w:val="00E60384"/>
    <w:rsid w:val="00E605B1"/>
    <w:rsid w:val="00E6087D"/>
    <w:rsid w:val="00E60AEE"/>
    <w:rsid w:val="00E60C32"/>
    <w:rsid w:val="00E60F32"/>
    <w:rsid w:val="00E61046"/>
    <w:rsid w:val="00E61368"/>
    <w:rsid w:val="00E61496"/>
    <w:rsid w:val="00E614B2"/>
    <w:rsid w:val="00E616AB"/>
    <w:rsid w:val="00E61CD1"/>
    <w:rsid w:val="00E61EC4"/>
    <w:rsid w:val="00E61F09"/>
    <w:rsid w:val="00E62270"/>
    <w:rsid w:val="00E62341"/>
    <w:rsid w:val="00E62575"/>
    <w:rsid w:val="00E6261C"/>
    <w:rsid w:val="00E626D1"/>
    <w:rsid w:val="00E62A08"/>
    <w:rsid w:val="00E62CD8"/>
    <w:rsid w:val="00E62FAA"/>
    <w:rsid w:val="00E63046"/>
    <w:rsid w:val="00E63606"/>
    <w:rsid w:val="00E637A7"/>
    <w:rsid w:val="00E63904"/>
    <w:rsid w:val="00E63A15"/>
    <w:rsid w:val="00E63C7F"/>
    <w:rsid w:val="00E6492C"/>
    <w:rsid w:val="00E64D65"/>
    <w:rsid w:val="00E64E9E"/>
    <w:rsid w:val="00E64FAB"/>
    <w:rsid w:val="00E64FCC"/>
    <w:rsid w:val="00E650D1"/>
    <w:rsid w:val="00E655A1"/>
    <w:rsid w:val="00E655DE"/>
    <w:rsid w:val="00E656EE"/>
    <w:rsid w:val="00E65991"/>
    <w:rsid w:val="00E65C70"/>
    <w:rsid w:val="00E66303"/>
    <w:rsid w:val="00E663C4"/>
    <w:rsid w:val="00E66584"/>
    <w:rsid w:val="00E66736"/>
    <w:rsid w:val="00E66AAF"/>
    <w:rsid w:val="00E66E57"/>
    <w:rsid w:val="00E66FAF"/>
    <w:rsid w:val="00E670ED"/>
    <w:rsid w:val="00E6760F"/>
    <w:rsid w:val="00E67862"/>
    <w:rsid w:val="00E67A5D"/>
    <w:rsid w:val="00E67D28"/>
    <w:rsid w:val="00E67FED"/>
    <w:rsid w:val="00E700FE"/>
    <w:rsid w:val="00E702FF"/>
    <w:rsid w:val="00E70874"/>
    <w:rsid w:val="00E70A51"/>
    <w:rsid w:val="00E70F37"/>
    <w:rsid w:val="00E710AB"/>
    <w:rsid w:val="00E711E2"/>
    <w:rsid w:val="00E7120C"/>
    <w:rsid w:val="00E71671"/>
    <w:rsid w:val="00E71B4E"/>
    <w:rsid w:val="00E71D1B"/>
    <w:rsid w:val="00E71D58"/>
    <w:rsid w:val="00E71F30"/>
    <w:rsid w:val="00E72237"/>
    <w:rsid w:val="00E72372"/>
    <w:rsid w:val="00E726E9"/>
    <w:rsid w:val="00E727E9"/>
    <w:rsid w:val="00E72CBF"/>
    <w:rsid w:val="00E72E1F"/>
    <w:rsid w:val="00E73055"/>
    <w:rsid w:val="00E7309F"/>
    <w:rsid w:val="00E73148"/>
    <w:rsid w:val="00E7346D"/>
    <w:rsid w:val="00E737D6"/>
    <w:rsid w:val="00E7417E"/>
    <w:rsid w:val="00E74A65"/>
    <w:rsid w:val="00E750A3"/>
    <w:rsid w:val="00E751C3"/>
    <w:rsid w:val="00E751D6"/>
    <w:rsid w:val="00E759FD"/>
    <w:rsid w:val="00E75AA1"/>
    <w:rsid w:val="00E75BF7"/>
    <w:rsid w:val="00E75D96"/>
    <w:rsid w:val="00E75DA0"/>
    <w:rsid w:val="00E75E09"/>
    <w:rsid w:val="00E75F7A"/>
    <w:rsid w:val="00E763AF"/>
    <w:rsid w:val="00E76632"/>
    <w:rsid w:val="00E7671C"/>
    <w:rsid w:val="00E7678F"/>
    <w:rsid w:val="00E768BD"/>
    <w:rsid w:val="00E768EC"/>
    <w:rsid w:val="00E7694F"/>
    <w:rsid w:val="00E76A7C"/>
    <w:rsid w:val="00E76D3C"/>
    <w:rsid w:val="00E76FDC"/>
    <w:rsid w:val="00E7706A"/>
    <w:rsid w:val="00E77423"/>
    <w:rsid w:val="00E77667"/>
    <w:rsid w:val="00E77812"/>
    <w:rsid w:val="00E7799C"/>
    <w:rsid w:val="00E77A0B"/>
    <w:rsid w:val="00E80008"/>
    <w:rsid w:val="00E80601"/>
    <w:rsid w:val="00E8099E"/>
    <w:rsid w:val="00E809F7"/>
    <w:rsid w:val="00E80A2D"/>
    <w:rsid w:val="00E80AEE"/>
    <w:rsid w:val="00E81235"/>
    <w:rsid w:val="00E816B5"/>
    <w:rsid w:val="00E817D9"/>
    <w:rsid w:val="00E81869"/>
    <w:rsid w:val="00E820F4"/>
    <w:rsid w:val="00E821CA"/>
    <w:rsid w:val="00E82410"/>
    <w:rsid w:val="00E824B5"/>
    <w:rsid w:val="00E82543"/>
    <w:rsid w:val="00E82688"/>
    <w:rsid w:val="00E8294A"/>
    <w:rsid w:val="00E82DBC"/>
    <w:rsid w:val="00E82F71"/>
    <w:rsid w:val="00E8310E"/>
    <w:rsid w:val="00E8320B"/>
    <w:rsid w:val="00E83515"/>
    <w:rsid w:val="00E83682"/>
    <w:rsid w:val="00E83744"/>
    <w:rsid w:val="00E83B44"/>
    <w:rsid w:val="00E83BE9"/>
    <w:rsid w:val="00E83D61"/>
    <w:rsid w:val="00E83D7A"/>
    <w:rsid w:val="00E83E17"/>
    <w:rsid w:val="00E83E64"/>
    <w:rsid w:val="00E83E70"/>
    <w:rsid w:val="00E8400C"/>
    <w:rsid w:val="00E84503"/>
    <w:rsid w:val="00E847C3"/>
    <w:rsid w:val="00E849D7"/>
    <w:rsid w:val="00E84A9F"/>
    <w:rsid w:val="00E84B74"/>
    <w:rsid w:val="00E852FC"/>
    <w:rsid w:val="00E85564"/>
    <w:rsid w:val="00E855B9"/>
    <w:rsid w:val="00E859AA"/>
    <w:rsid w:val="00E85B05"/>
    <w:rsid w:val="00E85D56"/>
    <w:rsid w:val="00E85F91"/>
    <w:rsid w:val="00E85FB0"/>
    <w:rsid w:val="00E860B5"/>
    <w:rsid w:val="00E8650C"/>
    <w:rsid w:val="00E86608"/>
    <w:rsid w:val="00E8694C"/>
    <w:rsid w:val="00E86E19"/>
    <w:rsid w:val="00E8704E"/>
    <w:rsid w:val="00E87062"/>
    <w:rsid w:val="00E87283"/>
    <w:rsid w:val="00E8781B"/>
    <w:rsid w:val="00E87CD6"/>
    <w:rsid w:val="00E8DF4F"/>
    <w:rsid w:val="00E9019E"/>
    <w:rsid w:val="00E90606"/>
    <w:rsid w:val="00E907C9"/>
    <w:rsid w:val="00E90927"/>
    <w:rsid w:val="00E90954"/>
    <w:rsid w:val="00E90B21"/>
    <w:rsid w:val="00E90BC6"/>
    <w:rsid w:val="00E90BFC"/>
    <w:rsid w:val="00E90C6A"/>
    <w:rsid w:val="00E90D8F"/>
    <w:rsid w:val="00E90FC2"/>
    <w:rsid w:val="00E9120A"/>
    <w:rsid w:val="00E91631"/>
    <w:rsid w:val="00E918B6"/>
    <w:rsid w:val="00E91DE4"/>
    <w:rsid w:val="00E92158"/>
    <w:rsid w:val="00E9225E"/>
    <w:rsid w:val="00E92611"/>
    <w:rsid w:val="00E9288C"/>
    <w:rsid w:val="00E92B6E"/>
    <w:rsid w:val="00E92CEB"/>
    <w:rsid w:val="00E92DE1"/>
    <w:rsid w:val="00E92E71"/>
    <w:rsid w:val="00E93C57"/>
    <w:rsid w:val="00E93CF5"/>
    <w:rsid w:val="00E93D86"/>
    <w:rsid w:val="00E93FAF"/>
    <w:rsid w:val="00E94020"/>
    <w:rsid w:val="00E94126"/>
    <w:rsid w:val="00E94163"/>
    <w:rsid w:val="00E94726"/>
    <w:rsid w:val="00E94A50"/>
    <w:rsid w:val="00E94D95"/>
    <w:rsid w:val="00E94EA1"/>
    <w:rsid w:val="00E94F79"/>
    <w:rsid w:val="00E950D0"/>
    <w:rsid w:val="00E950D4"/>
    <w:rsid w:val="00E9512A"/>
    <w:rsid w:val="00E952B7"/>
    <w:rsid w:val="00E9546B"/>
    <w:rsid w:val="00E9585D"/>
    <w:rsid w:val="00E959A2"/>
    <w:rsid w:val="00E95BD4"/>
    <w:rsid w:val="00E95BDD"/>
    <w:rsid w:val="00E95C38"/>
    <w:rsid w:val="00E95CE0"/>
    <w:rsid w:val="00E95E73"/>
    <w:rsid w:val="00E96047"/>
    <w:rsid w:val="00E960AA"/>
    <w:rsid w:val="00E965BE"/>
    <w:rsid w:val="00E96985"/>
    <w:rsid w:val="00E96AF7"/>
    <w:rsid w:val="00E96B50"/>
    <w:rsid w:val="00E96CBE"/>
    <w:rsid w:val="00E96CD2"/>
    <w:rsid w:val="00E96E68"/>
    <w:rsid w:val="00E96EE8"/>
    <w:rsid w:val="00E97195"/>
    <w:rsid w:val="00E9733F"/>
    <w:rsid w:val="00E97BC0"/>
    <w:rsid w:val="00E9973C"/>
    <w:rsid w:val="00EA0F50"/>
    <w:rsid w:val="00EA1331"/>
    <w:rsid w:val="00EA1467"/>
    <w:rsid w:val="00EA15AE"/>
    <w:rsid w:val="00EA196F"/>
    <w:rsid w:val="00EA1C8E"/>
    <w:rsid w:val="00EA1F9B"/>
    <w:rsid w:val="00EA2785"/>
    <w:rsid w:val="00EA2C43"/>
    <w:rsid w:val="00EA2E10"/>
    <w:rsid w:val="00EA35C2"/>
    <w:rsid w:val="00EA3827"/>
    <w:rsid w:val="00EA3839"/>
    <w:rsid w:val="00EA390B"/>
    <w:rsid w:val="00EA3B3A"/>
    <w:rsid w:val="00EA3D77"/>
    <w:rsid w:val="00EA3FE5"/>
    <w:rsid w:val="00EA4351"/>
    <w:rsid w:val="00EA43B8"/>
    <w:rsid w:val="00EA463E"/>
    <w:rsid w:val="00EA467E"/>
    <w:rsid w:val="00EA4E93"/>
    <w:rsid w:val="00EA5008"/>
    <w:rsid w:val="00EA50C0"/>
    <w:rsid w:val="00EA5530"/>
    <w:rsid w:val="00EA5697"/>
    <w:rsid w:val="00EA5789"/>
    <w:rsid w:val="00EA5821"/>
    <w:rsid w:val="00EA59F0"/>
    <w:rsid w:val="00EA5CB5"/>
    <w:rsid w:val="00EA5DAB"/>
    <w:rsid w:val="00EA5F2C"/>
    <w:rsid w:val="00EA5F5F"/>
    <w:rsid w:val="00EA60BB"/>
    <w:rsid w:val="00EA6165"/>
    <w:rsid w:val="00EA6538"/>
    <w:rsid w:val="00EA6BEA"/>
    <w:rsid w:val="00EA6C25"/>
    <w:rsid w:val="00EA72B8"/>
    <w:rsid w:val="00EA72BD"/>
    <w:rsid w:val="00EA7484"/>
    <w:rsid w:val="00EA7520"/>
    <w:rsid w:val="00EA7605"/>
    <w:rsid w:val="00EA7816"/>
    <w:rsid w:val="00EA7A54"/>
    <w:rsid w:val="00EA7E60"/>
    <w:rsid w:val="00EA7F2A"/>
    <w:rsid w:val="00EB045F"/>
    <w:rsid w:val="00EB0981"/>
    <w:rsid w:val="00EB0B16"/>
    <w:rsid w:val="00EB0D5B"/>
    <w:rsid w:val="00EB0E42"/>
    <w:rsid w:val="00EB0F92"/>
    <w:rsid w:val="00EB149F"/>
    <w:rsid w:val="00EB1800"/>
    <w:rsid w:val="00EB1CA8"/>
    <w:rsid w:val="00EB1CF5"/>
    <w:rsid w:val="00EB1DBC"/>
    <w:rsid w:val="00EB21B6"/>
    <w:rsid w:val="00EB258A"/>
    <w:rsid w:val="00EB2768"/>
    <w:rsid w:val="00EB2A16"/>
    <w:rsid w:val="00EB2E37"/>
    <w:rsid w:val="00EB2EAF"/>
    <w:rsid w:val="00EB2FA5"/>
    <w:rsid w:val="00EB304C"/>
    <w:rsid w:val="00EB314E"/>
    <w:rsid w:val="00EB3765"/>
    <w:rsid w:val="00EB38CD"/>
    <w:rsid w:val="00EB3A0D"/>
    <w:rsid w:val="00EB3C0F"/>
    <w:rsid w:val="00EB3C22"/>
    <w:rsid w:val="00EB3C39"/>
    <w:rsid w:val="00EB3F08"/>
    <w:rsid w:val="00EB3FA5"/>
    <w:rsid w:val="00EB40BB"/>
    <w:rsid w:val="00EB43ED"/>
    <w:rsid w:val="00EB44C0"/>
    <w:rsid w:val="00EB468A"/>
    <w:rsid w:val="00EB4850"/>
    <w:rsid w:val="00EB4990"/>
    <w:rsid w:val="00EB4C47"/>
    <w:rsid w:val="00EB4DB0"/>
    <w:rsid w:val="00EB4E92"/>
    <w:rsid w:val="00EB5436"/>
    <w:rsid w:val="00EB5868"/>
    <w:rsid w:val="00EB593F"/>
    <w:rsid w:val="00EB597B"/>
    <w:rsid w:val="00EB5C14"/>
    <w:rsid w:val="00EB5CB7"/>
    <w:rsid w:val="00EB5DB4"/>
    <w:rsid w:val="00EB5DD0"/>
    <w:rsid w:val="00EB6080"/>
    <w:rsid w:val="00EB6351"/>
    <w:rsid w:val="00EB65D6"/>
    <w:rsid w:val="00EB6688"/>
    <w:rsid w:val="00EB6A9F"/>
    <w:rsid w:val="00EB6BD2"/>
    <w:rsid w:val="00EB6BE3"/>
    <w:rsid w:val="00EB6CE0"/>
    <w:rsid w:val="00EB6E2F"/>
    <w:rsid w:val="00EB6ED6"/>
    <w:rsid w:val="00EB6FF0"/>
    <w:rsid w:val="00EB77A9"/>
    <w:rsid w:val="00EB794D"/>
    <w:rsid w:val="00EB7BE6"/>
    <w:rsid w:val="00EB7D0F"/>
    <w:rsid w:val="00EB7D89"/>
    <w:rsid w:val="00EB7D8A"/>
    <w:rsid w:val="00EB7E10"/>
    <w:rsid w:val="00EB7FBC"/>
    <w:rsid w:val="00EC00F2"/>
    <w:rsid w:val="00EC033C"/>
    <w:rsid w:val="00EC0A26"/>
    <w:rsid w:val="00EC0F69"/>
    <w:rsid w:val="00EC10E1"/>
    <w:rsid w:val="00EC12BB"/>
    <w:rsid w:val="00EC150B"/>
    <w:rsid w:val="00EC15F9"/>
    <w:rsid w:val="00EC1697"/>
    <w:rsid w:val="00EC1786"/>
    <w:rsid w:val="00EC17C2"/>
    <w:rsid w:val="00EC1B1C"/>
    <w:rsid w:val="00EC241A"/>
    <w:rsid w:val="00EC262D"/>
    <w:rsid w:val="00EC2DFE"/>
    <w:rsid w:val="00EC3177"/>
    <w:rsid w:val="00EC37BB"/>
    <w:rsid w:val="00EC38C7"/>
    <w:rsid w:val="00EC41F3"/>
    <w:rsid w:val="00EC42BB"/>
    <w:rsid w:val="00EC4336"/>
    <w:rsid w:val="00EC4626"/>
    <w:rsid w:val="00EC4673"/>
    <w:rsid w:val="00EC4973"/>
    <w:rsid w:val="00EC4976"/>
    <w:rsid w:val="00EC4B81"/>
    <w:rsid w:val="00EC4D36"/>
    <w:rsid w:val="00EC4F28"/>
    <w:rsid w:val="00EC50F0"/>
    <w:rsid w:val="00EC5150"/>
    <w:rsid w:val="00EC529A"/>
    <w:rsid w:val="00EC548C"/>
    <w:rsid w:val="00EC5664"/>
    <w:rsid w:val="00EC585A"/>
    <w:rsid w:val="00EC59FB"/>
    <w:rsid w:val="00EC5B94"/>
    <w:rsid w:val="00EC5BFF"/>
    <w:rsid w:val="00EC5DF0"/>
    <w:rsid w:val="00EC605B"/>
    <w:rsid w:val="00EC616C"/>
    <w:rsid w:val="00EC67EC"/>
    <w:rsid w:val="00EC68B6"/>
    <w:rsid w:val="00EC69E3"/>
    <w:rsid w:val="00EC6BA4"/>
    <w:rsid w:val="00EC6F75"/>
    <w:rsid w:val="00EC7876"/>
    <w:rsid w:val="00EC7B16"/>
    <w:rsid w:val="00EC7C31"/>
    <w:rsid w:val="00EC7D13"/>
    <w:rsid w:val="00ED007D"/>
    <w:rsid w:val="00ED0266"/>
    <w:rsid w:val="00ED039B"/>
    <w:rsid w:val="00ED066D"/>
    <w:rsid w:val="00ED0D38"/>
    <w:rsid w:val="00ED0ECA"/>
    <w:rsid w:val="00ED19EB"/>
    <w:rsid w:val="00ED1A1A"/>
    <w:rsid w:val="00ED1CBB"/>
    <w:rsid w:val="00ED1EB6"/>
    <w:rsid w:val="00ED1F60"/>
    <w:rsid w:val="00ED22ED"/>
    <w:rsid w:val="00ED249B"/>
    <w:rsid w:val="00ED251B"/>
    <w:rsid w:val="00ED2791"/>
    <w:rsid w:val="00ED27A7"/>
    <w:rsid w:val="00ED27FA"/>
    <w:rsid w:val="00ED29A9"/>
    <w:rsid w:val="00ED2BC9"/>
    <w:rsid w:val="00ED2D5E"/>
    <w:rsid w:val="00ED2E3D"/>
    <w:rsid w:val="00ED302C"/>
    <w:rsid w:val="00ED3056"/>
    <w:rsid w:val="00ED33C1"/>
    <w:rsid w:val="00ED33F4"/>
    <w:rsid w:val="00ED3A9C"/>
    <w:rsid w:val="00ED3C46"/>
    <w:rsid w:val="00ED436C"/>
    <w:rsid w:val="00ED463D"/>
    <w:rsid w:val="00ED5601"/>
    <w:rsid w:val="00ED582A"/>
    <w:rsid w:val="00ED5C6D"/>
    <w:rsid w:val="00ED6110"/>
    <w:rsid w:val="00ED6185"/>
    <w:rsid w:val="00ED64BD"/>
    <w:rsid w:val="00ED696B"/>
    <w:rsid w:val="00ED7099"/>
    <w:rsid w:val="00ED7540"/>
    <w:rsid w:val="00ED78C2"/>
    <w:rsid w:val="00ED7944"/>
    <w:rsid w:val="00ED7A23"/>
    <w:rsid w:val="00ED7A38"/>
    <w:rsid w:val="00ED7F46"/>
    <w:rsid w:val="00ED7F68"/>
    <w:rsid w:val="00EE00E2"/>
    <w:rsid w:val="00EE043B"/>
    <w:rsid w:val="00EE09E6"/>
    <w:rsid w:val="00EE0EF5"/>
    <w:rsid w:val="00EE105A"/>
    <w:rsid w:val="00EE119A"/>
    <w:rsid w:val="00EE12BA"/>
    <w:rsid w:val="00EE1931"/>
    <w:rsid w:val="00EE19B1"/>
    <w:rsid w:val="00EE1B94"/>
    <w:rsid w:val="00EE1E67"/>
    <w:rsid w:val="00EE21BD"/>
    <w:rsid w:val="00EE2241"/>
    <w:rsid w:val="00EE23AA"/>
    <w:rsid w:val="00EE2566"/>
    <w:rsid w:val="00EE295D"/>
    <w:rsid w:val="00EE2969"/>
    <w:rsid w:val="00EE2B60"/>
    <w:rsid w:val="00EE30B6"/>
    <w:rsid w:val="00EE32C0"/>
    <w:rsid w:val="00EE36EC"/>
    <w:rsid w:val="00EE39E7"/>
    <w:rsid w:val="00EE3C01"/>
    <w:rsid w:val="00EE3D4E"/>
    <w:rsid w:val="00EE3DE2"/>
    <w:rsid w:val="00EE3F50"/>
    <w:rsid w:val="00EE4152"/>
    <w:rsid w:val="00EE4431"/>
    <w:rsid w:val="00EE468A"/>
    <w:rsid w:val="00EE473A"/>
    <w:rsid w:val="00EE486A"/>
    <w:rsid w:val="00EE492F"/>
    <w:rsid w:val="00EE4E16"/>
    <w:rsid w:val="00EE520A"/>
    <w:rsid w:val="00EE5292"/>
    <w:rsid w:val="00EE560A"/>
    <w:rsid w:val="00EE5A36"/>
    <w:rsid w:val="00EE5DDC"/>
    <w:rsid w:val="00EE6162"/>
    <w:rsid w:val="00EE61D5"/>
    <w:rsid w:val="00EE65B7"/>
    <w:rsid w:val="00EE6D49"/>
    <w:rsid w:val="00EE6E2D"/>
    <w:rsid w:val="00EE6E89"/>
    <w:rsid w:val="00EE6FC4"/>
    <w:rsid w:val="00EE702B"/>
    <w:rsid w:val="00EE7125"/>
    <w:rsid w:val="00EE7440"/>
    <w:rsid w:val="00EE7548"/>
    <w:rsid w:val="00EE7634"/>
    <w:rsid w:val="00EE7C53"/>
    <w:rsid w:val="00EE7DB8"/>
    <w:rsid w:val="00EE7DDF"/>
    <w:rsid w:val="00EE7E1E"/>
    <w:rsid w:val="00EF0277"/>
    <w:rsid w:val="00EF03AD"/>
    <w:rsid w:val="00EF0707"/>
    <w:rsid w:val="00EF0E4E"/>
    <w:rsid w:val="00EF1055"/>
    <w:rsid w:val="00EF1589"/>
    <w:rsid w:val="00EF15E2"/>
    <w:rsid w:val="00EF1963"/>
    <w:rsid w:val="00EF1C16"/>
    <w:rsid w:val="00EF1C4B"/>
    <w:rsid w:val="00EF1C8F"/>
    <w:rsid w:val="00EF1F6B"/>
    <w:rsid w:val="00EF208A"/>
    <w:rsid w:val="00EF28DB"/>
    <w:rsid w:val="00EF29D0"/>
    <w:rsid w:val="00EF2AE7"/>
    <w:rsid w:val="00EF2BD1"/>
    <w:rsid w:val="00EF3063"/>
    <w:rsid w:val="00EF31D1"/>
    <w:rsid w:val="00EF31F9"/>
    <w:rsid w:val="00EF324B"/>
    <w:rsid w:val="00EF3386"/>
    <w:rsid w:val="00EF33DA"/>
    <w:rsid w:val="00EF350E"/>
    <w:rsid w:val="00EF363C"/>
    <w:rsid w:val="00EF37BD"/>
    <w:rsid w:val="00EF3A4F"/>
    <w:rsid w:val="00EF3D0A"/>
    <w:rsid w:val="00EF3E54"/>
    <w:rsid w:val="00EF3F35"/>
    <w:rsid w:val="00EF44DF"/>
    <w:rsid w:val="00EF4C27"/>
    <w:rsid w:val="00EF4DFE"/>
    <w:rsid w:val="00EF4E82"/>
    <w:rsid w:val="00EF521C"/>
    <w:rsid w:val="00EF5263"/>
    <w:rsid w:val="00EF52CC"/>
    <w:rsid w:val="00EF5D2D"/>
    <w:rsid w:val="00EF6010"/>
    <w:rsid w:val="00EF603F"/>
    <w:rsid w:val="00EF6170"/>
    <w:rsid w:val="00EF6195"/>
    <w:rsid w:val="00EF629B"/>
    <w:rsid w:val="00EF632B"/>
    <w:rsid w:val="00EF6345"/>
    <w:rsid w:val="00EF6349"/>
    <w:rsid w:val="00EF6AA7"/>
    <w:rsid w:val="00EF6AF6"/>
    <w:rsid w:val="00EF6D10"/>
    <w:rsid w:val="00EF73BC"/>
    <w:rsid w:val="00EF755F"/>
    <w:rsid w:val="00EF7DC4"/>
    <w:rsid w:val="00F001E3"/>
    <w:rsid w:val="00F003CC"/>
    <w:rsid w:val="00F00437"/>
    <w:rsid w:val="00F007B5"/>
    <w:rsid w:val="00F00826"/>
    <w:rsid w:val="00F009CD"/>
    <w:rsid w:val="00F00A17"/>
    <w:rsid w:val="00F00D81"/>
    <w:rsid w:val="00F00DB7"/>
    <w:rsid w:val="00F00EF6"/>
    <w:rsid w:val="00F012A7"/>
    <w:rsid w:val="00F01371"/>
    <w:rsid w:val="00F01394"/>
    <w:rsid w:val="00F0159E"/>
    <w:rsid w:val="00F015C7"/>
    <w:rsid w:val="00F015DA"/>
    <w:rsid w:val="00F0176B"/>
    <w:rsid w:val="00F017EB"/>
    <w:rsid w:val="00F01B4B"/>
    <w:rsid w:val="00F01F12"/>
    <w:rsid w:val="00F01F67"/>
    <w:rsid w:val="00F021C5"/>
    <w:rsid w:val="00F02A08"/>
    <w:rsid w:val="00F02DD9"/>
    <w:rsid w:val="00F033C1"/>
    <w:rsid w:val="00F033D4"/>
    <w:rsid w:val="00F03424"/>
    <w:rsid w:val="00F037D8"/>
    <w:rsid w:val="00F037FC"/>
    <w:rsid w:val="00F038E9"/>
    <w:rsid w:val="00F0401B"/>
    <w:rsid w:val="00F04026"/>
    <w:rsid w:val="00F0410A"/>
    <w:rsid w:val="00F047B5"/>
    <w:rsid w:val="00F047E6"/>
    <w:rsid w:val="00F04848"/>
    <w:rsid w:val="00F049CB"/>
    <w:rsid w:val="00F04BAF"/>
    <w:rsid w:val="00F04D87"/>
    <w:rsid w:val="00F0555C"/>
    <w:rsid w:val="00F05703"/>
    <w:rsid w:val="00F057E5"/>
    <w:rsid w:val="00F0585A"/>
    <w:rsid w:val="00F05BB4"/>
    <w:rsid w:val="00F05D7D"/>
    <w:rsid w:val="00F0611D"/>
    <w:rsid w:val="00F0621C"/>
    <w:rsid w:val="00F062D2"/>
    <w:rsid w:val="00F06304"/>
    <w:rsid w:val="00F0685D"/>
    <w:rsid w:val="00F06E00"/>
    <w:rsid w:val="00F06FAB"/>
    <w:rsid w:val="00F070BD"/>
    <w:rsid w:val="00F0722E"/>
    <w:rsid w:val="00F077E1"/>
    <w:rsid w:val="00F078A7"/>
    <w:rsid w:val="00F079FE"/>
    <w:rsid w:val="00F07AA4"/>
    <w:rsid w:val="00F07B82"/>
    <w:rsid w:val="00F07BC7"/>
    <w:rsid w:val="00F07D0F"/>
    <w:rsid w:val="00F07DE6"/>
    <w:rsid w:val="00F1049D"/>
    <w:rsid w:val="00F10A41"/>
    <w:rsid w:val="00F10AAB"/>
    <w:rsid w:val="00F10D1F"/>
    <w:rsid w:val="00F10FA4"/>
    <w:rsid w:val="00F11000"/>
    <w:rsid w:val="00F115E3"/>
    <w:rsid w:val="00F116F3"/>
    <w:rsid w:val="00F11717"/>
    <w:rsid w:val="00F11BD2"/>
    <w:rsid w:val="00F120F6"/>
    <w:rsid w:val="00F12306"/>
    <w:rsid w:val="00F12761"/>
    <w:rsid w:val="00F127E8"/>
    <w:rsid w:val="00F127F2"/>
    <w:rsid w:val="00F12940"/>
    <w:rsid w:val="00F12F45"/>
    <w:rsid w:val="00F12FB3"/>
    <w:rsid w:val="00F13250"/>
    <w:rsid w:val="00F13328"/>
    <w:rsid w:val="00F133B2"/>
    <w:rsid w:val="00F133CA"/>
    <w:rsid w:val="00F13602"/>
    <w:rsid w:val="00F13638"/>
    <w:rsid w:val="00F137D2"/>
    <w:rsid w:val="00F139EB"/>
    <w:rsid w:val="00F139F8"/>
    <w:rsid w:val="00F13A18"/>
    <w:rsid w:val="00F13AF2"/>
    <w:rsid w:val="00F13C5E"/>
    <w:rsid w:val="00F13E0E"/>
    <w:rsid w:val="00F13EEF"/>
    <w:rsid w:val="00F14836"/>
    <w:rsid w:val="00F14900"/>
    <w:rsid w:val="00F14911"/>
    <w:rsid w:val="00F14951"/>
    <w:rsid w:val="00F14C5A"/>
    <w:rsid w:val="00F15260"/>
    <w:rsid w:val="00F15265"/>
    <w:rsid w:val="00F15756"/>
    <w:rsid w:val="00F15775"/>
    <w:rsid w:val="00F15FFD"/>
    <w:rsid w:val="00F16224"/>
    <w:rsid w:val="00F16635"/>
    <w:rsid w:val="00F16B79"/>
    <w:rsid w:val="00F16F1E"/>
    <w:rsid w:val="00F16FF1"/>
    <w:rsid w:val="00F17783"/>
    <w:rsid w:val="00F17EE7"/>
    <w:rsid w:val="00F17F33"/>
    <w:rsid w:val="00F17F3C"/>
    <w:rsid w:val="00F18FB9"/>
    <w:rsid w:val="00F1D6F8"/>
    <w:rsid w:val="00F20099"/>
    <w:rsid w:val="00F202B2"/>
    <w:rsid w:val="00F20631"/>
    <w:rsid w:val="00F2080F"/>
    <w:rsid w:val="00F20AFB"/>
    <w:rsid w:val="00F20CCA"/>
    <w:rsid w:val="00F20CE0"/>
    <w:rsid w:val="00F211E5"/>
    <w:rsid w:val="00F212EA"/>
    <w:rsid w:val="00F2147A"/>
    <w:rsid w:val="00F218CE"/>
    <w:rsid w:val="00F21947"/>
    <w:rsid w:val="00F21BED"/>
    <w:rsid w:val="00F21E57"/>
    <w:rsid w:val="00F21E95"/>
    <w:rsid w:val="00F22495"/>
    <w:rsid w:val="00F224AE"/>
    <w:rsid w:val="00F22956"/>
    <w:rsid w:val="00F22A72"/>
    <w:rsid w:val="00F22ACC"/>
    <w:rsid w:val="00F22B3D"/>
    <w:rsid w:val="00F22DAB"/>
    <w:rsid w:val="00F22EFE"/>
    <w:rsid w:val="00F231BD"/>
    <w:rsid w:val="00F232C0"/>
    <w:rsid w:val="00F234E3"/>
    <w:rsid w:val="00F23927"/>
    <w:rsid w:val="00F24470"/>
    <w:rsid w:val="00F2482E"/>
    <w:rsid w:val="00F248D6"/>
    <w:rsid w:val="00F248DA"/>
    <w:rsid w:val="00F24B05"/>
    <w:rsid w:val="00F24B76"/>
    <w:rsid w:val="00F24CD7"/>
    <w:rsid w:val="00F2528F"/>
    <w:rsid w:val="00F254D8"/>
    <w:rsid w:val="00F255C7"/>
    <w:rsid w:val="00F259B8"/>
    <w:rsid w:val="00F25B3A"/>
    <w:rsid w:val="00F25BAE"/>
    <w:rsid w:val="00F25F8B"/>
    <w:rsid w:val="00F263FC"/>
    <w:rsid w:val="00F26688"/>
    <w:rsid w:val="00F26929"/>
    <w:rsid w:val="00F26CC7"/>
    <w:rsid w:val="00F26F6E"/>
    <w:rsid w:val="00F271D1"/>
    <w:rsid w:val="00F2728C"/>
    <w:rsid w:val="00F27430"/>
    <w:rsid w:val="00F276F1"/>
    <w:rsid w:val="00F27A38"/>
    <w:rsid w:val="00F27C67"/>
    <w:rsid w:val="00F302C2"/>
    <w:rsid w:val="00F30328"/>
    <w:rsid w:val="00F303AD"/>
    <w:rsid w:val="00F30489"/>
    <w:rsid w:val="00F3098C"/>
    <w:rsid w:val="00F30ADD"/>
    <w:rsid w:val="00F30C17"/>
    <w:rsid w:val="00F31006"/>
    <w:rsid w:val="00F3114C"/>
    <w:rsid w:val="00F31AB3"/>
    <w:rsid w:val="00F31E34"/>
    <w:rsid w:val="00F31FA8"/>
    <w:rsid w:val="00F32231"/>
    <w:rsid w:val="00F32418"/>
    <w:rsid w:val="00F32512"/>
    <w:rsid w:val="00F32611"/>
    <w:rsid w:val="00F32729"/>
    <w:rsid w:val="00F32A5E"/>
    <w:rsid w:val="00F32AAA"/>
    <w:rsid w:val="00F32AFC"/>
    <w:rsid w:val="00F32F8B"/>
    <w:rsid w:val="00F32FFE"/>
    <w:rsid w:val="00F33125"/>
    <w:rsid w:val="00F33512"/>
    <w:rsid w:val="00F3358A"/>
    <w:rsid w:val="00F335B1"/>
    <w:rsid w:val="00F33EA4"/>
    <w:rsid w:val="00F3426C"/>
    <w:rsid w:val="00F342BA"/>
    <w:rsid w:val="00F3464E"/>
    <w:rsid w:val="00F347F5"/>
    <w:rsid w:val="00F34EC6"/>
    <w:rsid w:val="00F350E8"/>
    <w:rsid w:val="00F35443"/>
    <w:rsid w:val="00F355BE"/>
    <w:rsid w:val="00F356D1"/>
    <w:rsid w:val="00F35846"/>
    <w:rsid w:val="00F35878"/>
    <w:rsid w:val="00F359CC"/>
    <w:rsid w:val="00F35F40"/>
    <w:rsid w:val="00F35F4B"/>
    <w:rsid w:val="00F36181"/>
    <w:rsid w:val="00F3641A"/>
    <w:rsid w:val="00F36520"/>
    <w:rsid w:val="00F365D0"/>
    <w:rsid w:val="00F36706"/>
    <w:rsid w:val="00F36BA0"/>
    <w:rsid w:val="00F36C77"/>
    <w:rsid w:val="00F36FFF"/>
    <w:rsid w:val="00F372CC"/>
    <w:rsid w:val="00F3754B"/>
    <w:rsid w:val="00F37B64"/>
    <w:rsid w:val="00F37B95"/>
    <w:rsid w:val="00F401A8"/>
    <w:rsid w:val="00F4020B"/>
    <w:rsid w:val="00F4024A"/>
    <w:rsid w:val="00F40277"/>
    <w:rsid w:val="00F40507"/>
    <w:rsid w:val="00F405C7"/>
    <w:rsid w:val="00F40640"/>
    <w:rsid w:val="00F4066F"/>
    <w:rsid w:val="00F408A5"/>
    <w:rsid w:val="00F408C0"/>
    <w:rsid w:val="00F40962"/>
    <w:rsid w:val="00F40E50"/>
    <w:rsid w:val="00F40F3C"/>
    <w:rsid w:val="00F40F4A"/>
    <w:rsid w:val="00F4163B"/>
    <w:rsid w:val="00F41A4D"/>
    <w:rsid w:val="00F41BB7"/>
    <w:rsid w:val="00F41F9A"/>
    <w:rsid w:val="00F42740"/>
    <w:rsid w:val="00F42864"/>
    <w:rsid w:val="00F428C5"/>
    <w:rsid w:val="00F428F5"/>
    <w:rsid w:val="00F429B3"/>
    <w:rsid w:val="00F42B1F"/>
    <w:rsid w:val="00F4313C"/>
    <w:rsid w:val="00F4324C"/>
    <w:rsid w:val="00F434F3"/>
    <w:rsid w:val="00F436DC"/>
    <w:rsid w:val="00F43A4A"/>
    <w:rsid w:val="00F43D66"/>
    <w:rsid w:val="00F43F42"/>
    <w:rsid w:val="00F444E2"/>
    <w:rsid w:val="00F445CE"/>
    <w:rsid w:val="00F445FE"/>
    <w:rsid w:val="00F447B5"/>
    <w:rsid w:val="00F44965"/>
    <w:rsid w:val="00F44B36"/>
    <w:rsid w:val="00F44E13"/>
    <w:rsid w:val="00F44E6A"/>
    <w:rsid w:val="00F456C8"/>
    <w:rsid w:val="00F456FD"/>
    <w:rsid w:val="00F45876"/>
    <w:rsid w:val="00F459F3"/>
    <w:rsid w:val="00F45CB1"/>
    <w:rsid w:val="00F45E00"/>
    <w:rsid w:val="00F4621F"/>
    <w:rsid w:val="00F46228"/>
    <w:rsid w:val="00F46624"/>
    <w:rsid w:val="00F46862"/>
    <w:rsid w:val="00F468EE"/>
    <w:rsid w:val="00F46C7D"/>
    <w:rsid w:val="00F4742A"/>
    <w:rsid w:val="00F475E2"/>
    <w:rsid w:val="00F477B1"/>
    <w:rsid w:val="00F47A84"/>
    <w:rsid w:val="00F47BC3"/>
    <w:rsid w:val="00F47C11"/>
    <w:rsid w:val="00F47E25"/>
    <w:rsid w:val="00F50004"/>
    <w:rsid w:val="00F505C1"/>
    <w:rsid w:val="00F50628"/>
    <w:rsid w:val="00F50907"/>
    <w:rsid w:val="00F50BFC"/>
    <w:rsid w:val="00F50C24"/>
    <w:rsid w:val="00F50C7A"/>
    <w:rsid w:val="00F50DB1"/>
    <w:rsid w:val="00F50FF5"/>
    <w:rsid w:val="00F51018"/>
    <w:rsid w:val="00F5106F"/>
    <w:rsid w:val="00F51176"/>
    <w:rsid w:val="00F51431"/>
    <w:rsid w:val="00F514E0"/>
    <w:rsid w:val="00F51CD3"/>
    <w:rsid w:val="00F51EA2"/>
    <w:rsid w:val="00F51F78"/>
    <w:rsid w:val="00F52042"/>
    <w:rsid w:val="00F520C9"/>
    <w:rsid w:val="00F52191"/>
    <w:rsid w:val="00F521EB"/>
    <w:rsid w:val="00F527FD"/>
    <w:rsid w:val="00F52E46"/>
    <w:rsid w:val="00F52F61"/>
    <w:rsid w:val="00F52FC7"/>
    <w:rsid w:val="00F53231"/>
    <w:rsid w:val="00F53283"/>
    <w:rsid w:val="00F53345"/>
    <w:rsid w:val="00F53447"/>
    <w:rsid w:val="00F53CCC"/>
    <w:rsid w:val="00F54029"/>
    <w:rsid w:val="00F54361"/>
    <w:rsid w:val="00F5453E"/>
    <w:rsid w:val="00F54816"/>
    <w:rsid w:val="00F549FC"/>
    <w:rsid w:val="00F54A17"/>
    <w:rsid w:val="00F54BB0"/>
    <w:rsid w:val="00F54C6F"/>
    <w:rsid w:val="00F54E4A"/>
    <w:rsid w:val="00F5503E"/>
    <w:rsid w:val="00F55762"/>
    <w:rsid w:val="00F5593D"/>
    <w:rsid w:val="00F55A32"/>
    <w:rsid w:val="00F55B52"/>
    <w:rsid w:val="00F55F1F"/>
    <w:rsid w:val="00F565A5"/>
    <w:rsid w:val="00F565B4"/>
    <w:rsid w:val="00F56778"/>
    <w:rsid w:val="00F56C65"/>
    <w:rsid w:val="00F56DDC"/>
    <w:rsid w:val="00F56EEB"/>
    <w:rsid w:val="00F56F53"/>
    <w:rsid w:val="00F571F0"/>
    <w:rsid w:val="00F57284"/>
    <w:rsid w:val="00F575A7"/>
    <w:rsid w:val="00F576C8"/>
    <w:rsid w:val="00F57938"/>
    <w:rsid w:val="00F57D3C"/>
    <w:rsid w:val="00F57DAF"/>
    <w:rsid w:val="00F57DC9"/>
    <w:rsid w:val="00F57F8B"/>
    <w:rsid w:val="00F6029C"/>
    <w:rsid w:val="00F607AA"/>
    <w:rsid w:val="00F60BF2"/>
    <w:rsid w:val="00F60EE4"/>
    <w:rsid w:val="00F60FDF"/>
    <w:rsid w:val="00F6117A"/>
    <w:rsid w:val="00F61491"/>
    <w:rsid w:val="00F617DE"/>
    <w:rsid w:val="00F61875"/>
    <w:rsid w:val="00F61B89"/>
    <w:rsid w:val="00F61FF3"/>
    <w:rsid w:val="00F6208A"/>
    <w:rsid w:val="00F62191"/>
    <w:rsid w:val="00F62412"/>
    <w:rsid w:val="00F6247C"/>
    <w:rsid w:val="00F62504"/>
    <w:rsid w:val="00F6269F"/>
    <w:rsid w:val="00F62D6A"/>
    <w:rsid w:val="00F62EA5"/>
    <w:rsid w:val="00F62EF9"/>
    <w:rsid w:val="00F631F6"/>
    <w:rsid w:val="00F6362A"/>
    <w:rsid w:val="00F63788"/>
    <w:rsid w:val="00F63CD7"/>
    <w:rsid w:val="00F63DDD"/>
    <w:rsid w:val="00F64610"/>
    <w:rsid w:val="00F64693"/>
    <w:rsid w:val="00F647E0"/>
    <w:rsid w:val="00F6497F"/>
    <w:rsid w:val="00F64A60"/>
    <w:rsid w:val="00F64AA9"/>
    <w:rsid w:val="00F64E51"/>
    <w:rsid w:val="00F64FC0"/>
    <w:rsid w:val="00F64FD9"/>
    <w:rsid w:val="00F6529B"/>
    <w:rsid w:val="00F6529D"/>
    <w:rsid w:val="00F658C4"/>
    <w:rsid w:val="00F659A6"/>
    <w:rsid w:val="00F65B51"/>
    <w:rsid w:val="00F65FB7"/>
    <w:rsid w:val="00F660F1"/>
    <w:rsid w:val="00F6627A"/>
    <w:rsid w:val="00F66538"/>
    <w:rsid w:val="00F665E2"/>
    <w:rsid w:val="00F66783"/>
    <w:rsid w:val="00F6680B"/>
    <w:rsid w:val="00F66A7E"/>
    <w:rsid w:val="00F66B9F"/>
    <w:rsid w:val="00F66C4A"/>
    <w:rsid w:val="00F66CDA"/>
    <w:rsid w:val="00F66F13"/>
    <w:rsid w:val="00F67326"/>
    <w:rsid w:val="00F67337"/>
    <w:rsid w:val="00F67353"/>
    <w:rsid w:val="00F6775F"/>
    <w:rsid w:val="00F67919"/>
    <w:rsid w:val="00F67A19"/>
    <w:rsid w:val="00F67A3A"/>
    <w:rsid w:val="00F67BA8"/>
    <w:rsid w:val="00F70321"/>
    <w:rsid w:val="00F70A3B"/>
    <w:rsid w:val="00F70BC8"/>
    <w:rsid w:val="00F71355"/>
    <w:rsid w:val="00F713C3"/>
    <w:rsid w:val="00F7140F"/>
    <w:rsid w:val="00F7155E"/>
    <w:rsid w:val="00F717AF"/>
    <w:rsid w:val="00F71DB4"/>
    <w:rsid w:val="00F71DFB"/>
    <w:rsid w:val="00F72363"/>
    <w:rsid w:val="00F7249A"/>
    <w:rsid w:val="00F724E4"/>
    <w:rsid w:val="00F7251C"/>
    <w:rsid w:val="00F7264B"/>
    <w:rsid w:val="00F726E8"/>
    <w:rsid w:val="00F728C8"/>
    <w:rsid w:val="00F729DE"/>
    <w:rsid w:val="00F72A76"/>
    <w:rsid w:val="00F72AEC"/>
    <w:rsid w:val="00F72C34"/>
    <w:rsid w:val="00F72E43"/>
    <w:rsid w:val="00F730E8"/>
    <w:rsid w:val="00F73242"/>
    <w:rsid w:val="00F73338"/>
    <w:rsid w:val="00F736D9"/>
    <w:rsid w:val="00F73C56"/>
    <w:rsid w:val="00F73EDA"/>
    <w:rsid w:val="00F74071"/>
    <w:rsid w:val="00F7428F"/>
    <w:rsid w:val="00F74926"/>
    <w:rsid w:val="00F74939"/>
    <w:rsid w:val="00F74A94"/>
    <w:rsid w:val="00F74DD6"/>
    <w:rsid w:val="00F750D7"/>
    <w:rsid w:val="00F75169"/>
    <w:rsid w:val="00F751B6"/>
    <w:rsid w:val="00F75238"/>
    <w:rsid w:val="00F75251"/>
    <w:rsid w:val="00F7527A"/>
    <w:rsid w:val="00F7531F"/>
    <w:rsid w:val="00F7549E"/>
    <w:rsid w:val="00F758CE"/>
    <w:rsid w:val="00F75AD5"/>
    <w:rsid w:val="00F75CA6"/>
    <w:rsid w:val="00F75E4A"/>
    <w:rsid w:val="00F75ED5"/>
    <w:rsid w:val="00F76009"/>
    <w:rsid w:val="00F76909"/>
    <w:rsid w:val="00F76E1C"/>
    <w:rsid w:val="00F76FC6"/>
    <w:rsid w:val="00F771F3"/>
    <w:rsid w:val="00F77517"/>
    <w:rsid w:val="00F7769B"/>
    <w:rsid w:val="00F778DD"/>
    <w:rsid w:val="00F77931"/>
    <w:rsid w:val="00F77A69"/>
    <w:rsid w:val="00F77D04"/>
    <w:rsid w:val="00F77F5E"/>
    <w:rsid w:val="00F800A5"/>
    <w:rsid w:val="00F802AB"/>
    <w:rsid w:val="00F8054D"/>
    <w:rsid w:val="00F80567"/>
    <w:rsid w:val="00F808A6"/>
    <w:rsid w:val="00F80A77"/>
    <w:rsid w:val="00F816AD"/>
    <w:rsid w:val="00F818E4"/>
    <w:rsid w:val="00F81A44"/>
    <w:rsid w:val="00F81F2E"/>
    <w:rsid w:val="00F8206B"/>
    <w:rsid w:val="00F8215E"/>
    <w:rsid w:val="00F8233B"/>
    <w:rsid w:val="00F82345"/>
    <w:rsid w:val="00F8236D"/>
    <w:rsid w:val="00F8244F"/>
    <w:rsid w:val="00F829D6"/>
    <w:rsid w:val="00F82A28"/>
    <w:rsid w:val="00F82E30"/>
    <w:rsid w:val="00F834C9"/>
    <w:rsid w:val="00F839F2"/>
    <w:rsid w:val="00F83D78"/>
    <w:rsid w:val="00F84291"/>
    <w:rsid w:val="00F844C6"/>
    <w:rsid w:val="00F8483A"/>
    <w:rsid w:val="00F85293"/>
    <w:rsid w:val="00F8549E"/>
    <w:rsid w:val="00F856CC"/>
    <w:rsid w:val="00F85752"/>
    <w:rsid w:val="00F857EB"/>
    <w:rsid w:val="00F85CB3"/>
    <w:rsid w:val="00F85F71"/>
    <w:rsid w:val="00F85F99"/>
    <w:rsid w:val="00F85FF2"/>
    <w:rsid w:val="00F8626E"/>
    <w:rsid w:val="00F86711"/>
    <w:rsid w:val="00F868EF"/>
    <w:rsid w:val="00F869DC"/>
    <w:rsid w:val="00F86BC2"/>
    <w:rsid w:val="00F86C77"/>
    <w:rsid w:val="00F8739B"/>
    <w:rsid w:val="00F900D3"/>
    <w:rsid w:val="00F9034B"/>
    <w:rsid w:val="00F90572"/>
    <w:rsid w:val="00F91804"/>
    <w:rsid w:val="00F919AC"/>
    <w:rsid w:val="00F9208C"/>
    <w:rsid w:val="00F920C2"/>
    <w:rsid w:val="00F92524"/>
    <w:rsid w:val="00F92811"/>
    <w:rsid w:val="00F929E6"/>
    <w:rsid w:val="00F92AEB"/>
    <w:rsid w:val="00F92B63"/>
    <w:rsid w:val="00F92D0E"/>
    <w:rsid w:val="00F92F10"/>
    <w:rsid w:val="00F92FC0"/>
    <w:rsid w:val="00F9301B"/>
    <w:rsid w:val="00F93C4F"/>
    <w:rsid w:val="00F93F47"/>
    <w:rsid w:val="00F94477"/>
    <w:rsid w:val="00F94519"/>
    <w:rsid w:val="00F946D2"/>
    <w:rsid w:val="00F94780"/>
    <w:rsid w:val="00F949B1"/>
    <w:rsid w:val="00F94DCC"/>
    <w:rsid w:val="00F94E6B"/>
    <w:rsid w:val="00F94F40"/>
    <w:rsid w:val="00F9517A"/>
    <w:rsid w:val="00F953DB"/>
    <w:rsid w:val="00F955C3"/>
    <w:rsid w:val="00F95917"/>
    <w:rsid w:val="00F95DD4"/>
    <w:rsid w:val="00F96371"/>
    <w:rsid w:val="00F9682B"/>
    <w:rsid w:val="00F96906"/>
    <w:rsid w:val="00F96A76"/>
    <w:rsid w:val="00F976FA"/>
    <w:rsid w:val="00F9777C"/>
    <w:rsid w:val="00F97B6F"/>
    <w:rsid w:val="00F97BCF"/>
    <w:rsid w:val="00F97DE6"/>
    <w:rsid w:val="00F97E54"/>
    <w:rsid w:val="00FA0112"/>
    <w:rsid w:val="00FA015B"/>
    <w:rsid w:val="00FA01EE"/>
    <w:rsid w:val="00FA0269"/>
    <w:rsid w:val="00FA038E"/>
    <w:rsid w:val="00FA0475"/>
    <w:rsid w:val="00FA05CA"/>
    <w:rsid w:val="00FA0799"/>
    <w:rsid w:val="00FA085C"/>
    <w:rsid w:val="00FA08DE"/>
    <w:rsid w:val="00FA0AC8"/>
    <w:rsid w:val="00FA0D03"/>
    <w:rsid w:val="00FA0E03"/>
    <w:rsid w:val="00FA0ED7"/>
    <w:rsid w:val="00FA12B1"/>
    <w:rsid w:val="00FA12D6"/>
    <w:rsid w:val="00FA1491"/>
    <w:rsid w:val="00FA1864"/>
    <w:rsid w:val="00FA1950"/>
    <w:rsid w:val="00FA1ECB"/>
    <w:rsid w:val="00FA22CC"/>
    <w:rsid w:val="00FA2475"/>
    <w:rsid w:val="00FA2668"/>
    <w:rsid w:val="00FA290C"/>
    <w:rsid w:val="00FA2A7C"/>
    <w:rsid w:val="00FA336C"/>
    <w:rsid w:val="00FA33D9"/>
    <w:rsid w:val="00FA3814"/>
    <w:rsid w:val="00FA3A8B"/>
    <w:rsid w:val="00FA3D61"/>
    <w:rsid w:val="00FA4162"/>
    <w:rsid w:val="00FA41A6"/>
    <w:rsid w:val="00FA432A"/>
    <w:rsid w:val="00FA4451"/>
    <w:rsid w:val="00FA4567"/>
    <w:rsid w:val="00FA4E97"/>
    <w:rsid w:val="00FA5289"/>
    <w:rsid w:val="00FA5B23"/>
    <w:rsid w:val="00FA5D0A"/>
    <w:rsid w:val="00FA6252"/>
    <w:rsid w:val="00FA6762"/>
    <w:rsid w:val="00FA6C45"/>
    <w:rsid w:val="00FA72CA"/>
    <w:rsid w:val="00FA72E6"/>
    <w:rsid w:val="00FA72F5"/>
    <w:rsid w:val="00FA7315"/>
    <w:rsid w:val="00FA7814"/>
    <w:rsid w:val="00FA7D7A"/>
    <w:rsid w:val="00FA7E47"/>
    <w:rsid w:val="00FA7F0B"/>
    <w:rsid w:val="00FA9161"/>
    <w:rsid w:val="00FB0548"/>
    <w:rsid w:val="00FB0626"/>
    <w:rsid w:val="00FB06BA"/>
    <w:rsid w:val="00FB0A04"/>
    <w:rsid w:val="00FB0B4F"/>
    <w:rsid w:val="00FB0C4B"/>
    <w:rsid w:val="00FB1130"/>
    <w:rsid w:val="00FB11A0"/>
    <w:rsid w:val="00FB154C"/>
    <w:rsid w:val="00FB1A69"/>
    <w:rsid w:val="00FB1C32"/>
    <w:rsid w:val="00FB1F79"/>
    <w:rsid w:val="00FB1FAA"/>
    <w:rsid w:val="00FB2078"/>
    <w:rsid w:val="00FB21DB"/>
    <w:rsid w:val="00FB2537"/>
    <w:rsid w:val="00FB25A0"/>
    <w:rsid w:val="00FB2688"/>
    <w:rsid w:val="00FB26A1"/>
    <w:rsid w:val="00FB2989"/>
    <w:rsid w:val="00FB2AB0"/>
    <w:rsid w:val="00FB3061"/>
    <w:rsid w:val="00FB30CD"/>
    <w:rsid w:val="00FB3582"/>
    <w:rsid w:val="00FB374B"/>
    <w:rsid w:val="00FB38FF"/>
    <w:rsid w:val="00FB391E"/>
    <w:rsid w:val="00FB42F3"/>
    <w:rsid w:val="00FB42F4"/>
    <w:rsid w:val="00FB4367"/>
    <w:rsid w:val="00FB4777"/>
    <w:rsid w:val="00FB4E03"/>
    <w:rsid w:val="00FB4EE0"/>
    <w:rsid w:val="00FB510E"/>
    <w:rsid w:val="00FB51F8"/>
    <w:rsid w:val="00FB5248"/>
    <w:rsid w:val="00FB5446"/>
    <w:rsid w:val="00FB56FD"/>
    <w:rsid w:val="00FB59EE"/>
    <w:rsid w:val="00FB6045"/>
    <w:rsid w:val="00FB60FD"/>
    <w:rsid w:val="00FB6130"/>
    <w:rsid w:val="00FB647F"/>
    <w:rsid w:val="00FB66E7"/>
    <w:rsid w:val="00FB67FE"/>
    <w:rsid w:val="00FB6CC7"/>
    <w:rsid w:val="00FB6CD7"/>
    <w:rsid w:val="00FB6D8C"/>
    <w:rsid w:val="00FB6DA4"/>
    <w:rsid w:val="00FB7387"/>
    <w:rsid w:val="00FB77AA"/>
    <w:rsid w:val="00FB7B50"/>
    <w:rsid w:val="00FB7BF5"/>
    <w:rsid w:val="00FB7C72"/>
    <w:rsid w:val="00FB7DF7"/>
    <w:rsid w:val="00FB7E42"/>
    <w:rsid w:val="00FB7F5E"/>
    <w:rsid w:val="00FC028E"/>
    <w:rsid w:val="00FC02C6"/>
    <w:rsid w:val="00FC06D8"/>
    <w:rsid w:val="00FC0783"/>
    <w:rsid w:val="00FC092B"/>
    <w:rsid w:val="00FC0B23"/>
    <w:rsid w:val="00FC0B9C"/>
    <w:rsid w:val="00FC0BE7"/>
    <w:rsid w:val="00FC0BFE"/>
    <w:rsid w:val="00FC0C31"/>
    <w:rsid w:val="00FC13E3"/>
    <w:rsid w:val="00FC1890"/>
    <w:rsid w:val="00FC193B"/>
    <w:rsid w:val="00FC1F15"/>
    <w:rsid w:val="00FC1FF0"/>
    <w:rsid w:val="00FC2187"/>
    <w:rsid w:val="00FC2349"/>
    <w:rsid w:val="00FC2591"/>
    <w:rsid w:val="00FC2A7E"/>
    <w:rsid w:val="00FC2DAE"/>
    <w:rsid w:val="00FC2EAA"/>
    <w:rsid w:val="00FC2F98"/>
    <w:rsid w:val="00FC312D"/>
    <w:rsid w:val="00FC321E"/>
    <w:rsid w:val="00FC3432"/>
    <w:rsid w:val="00FC38EB"/>
    <w:rsid w:val="00FC3C83"/>
    <w:rsid w:val="00FC3DB1"/>
    <w:rsid w:val="00FC3E76"/>
    <w:rsid w:val="00FC4255"/>
    <w:rsid w:val="00FC4873"/>
    <w:rsid w:val="00FC4B4F"/>
    <w:rsid w:val="00FC4CCF"/>
    <w:rsid w:val="00FC4F5E"/>
    <w:rsid w:val="00FC505E"/>
    <w:rsid w:val="00FC52E9"/>
    <w:rsid w:val="00FC541D"/>
    <w:rsid w:val="00FC556F"/>
    <w:rsid w:val="00FC5578"/>
    <w:rsid w:val="00FC58C1"/>
    <w:rsid w:val="00FC5BC8"/>
    <w:rsid w:val="00FC5C97"/>
    <w:rsid w:val="00FC5D45"/>
    <w:rsid w:val="00FC6A25"/>
    <w:rsid w:val="00FC6AEC"/>
    <w:rsid w:val="00FC7C88"/>
    <w:rsid w:val="00FC7ED2"/>
    <w:rsid w:val="00FD00DE"/>
    <w:rsid w:val="00FD01A7"/>
    <w:rsid w:val="00FD01AF"/>
    <w:rsid w:val="00FD044A"/>
    <w:rsid w:val="00FD065A"/>
    <w:rsid w:val="00FD0721"/>
    <w:rsid w:val="00FD0808"/>
    <w:rsid w:val="00FD0891"/>
    <w:rsid w:val="00FD0C6A"/>
    <w:rsid w:val="00FD0EB5"/>
    <w:rsid w:val="00FD12E2"/>
    <w:rsid w:val="00FD1A65"/>
    <w:rsid w:val="00FD1A6E"/>
    <w:rsid w:val="00FD1A7D"/>
    <w:rsid w:val="00FD1BA6"/>
    <w:rsid w:val="00FD21AE"/>
    <w:rsid w:val="00FD2325"/>
    <w:rsid w:val="00FD2690"/>
    <w:rsid w:val="00FD27FC"/>
    <w:rsid w:val="00FD29E5"/>
    <w:rsid w:val="00FD2BD5"/>
    <w:rsid w:val="00FD2C08"/>
    <w:rsid w:val="00FD32FF"/>
    <w:rsid w:val="00FD34BC"/>
    <w:rsid w:val="00FD356A"/>
    <w:rsid w:val="00FD3581"/>
    <w:rsid w:val="00FD3ED8"/>
    <w:rsid w:val="00FD4332"/>
    <w:rsid w:val="00FD43E9"/>
    <w:rsid w:val="00FD4497"/>
    <w:rsid w:val="00FD44D8"/>
    <w:rsid w:val="00FD46B4"/>
    <w:rsid w:val="00FD47EA"/>
    <w:rsid w:val="00FD4B32"/>
    <w:rsid w:val="00FD4BBC"/>
    <w:rsid w:val="00FD4D16"/>
    <w:rsid w:val="00FD501A"/>
    <w:rsid w:val="00FD505B"/>
    <w:rsid w:val="00FD5096"/>
    <w:rsid w:val="00FD5297"/>
    <w:rsid w:val="00FD52A5"/>
    <w:rsid w:val="00FD5367"/>
    <w:rsid w:val="00FD53C6"/>
    <w:rsid w:val="00FD557C"/>
    <w:rsid w:val="00FD5873"/>
    <w:rsid w:val="00FD588B"/>
    <w:rsid w:val="00FD596D"/>
    <w:rsid w:val="00FD5A33"/>
    <w:rsid w:val="00FD5F51"/>
    <w:rsid w:val="00FD6465"/>
    <w:rsid w:val="00FD66DC"/>
    <w:rsid w:val="00FD69FD"/>
    <w:rsid w:val="00FD7101"/>
    <w:rsid w:val="00FD74DE"/>
    <w:rsid w:val="00FD75DF"/>
    <w:rsid w:val="00FD76BF"/>
    <w:rsid w:val="00FD783D"/>
    <w:rsid w:val="00FD78C3"/>
    <w:rsid w:val="00FD7E50"/>
    <w:rsid w:val="00FDA91A"/>
    <w:rsid w:val="00FE03FB"/>
    <w:rsid w:val="00FE04EA"/>
    <w:rsid w:val="00FE0513"/>
    <w:rsid w:val="00FE057D"/>
    <w:rsid w:val="00FE08D3"/>
    <w:rsid w:val="00FE0B51"/>
    <w:rsid w:val="00FE12F6"/>
    <w:rsid w:val="00FE1405"/>
    <w:rsid w:val="00FE15BB"/>
    <w:rsid w:val="00FE17AE"/>
    <w:rsid w:val="00FE198E"/>
    <w:rsid w:val="00FE1E77"/>
    <w:rsid w:val="00FE25F1"/>
    <w:rsid w:val="00FE2725"/>
    <w:rsid w:val="00FE2E22"/>
    <w:rsid w:val="00FE3708"/>
    <w:rsid w:val="00FE3914"/>
    <w:rsid w:val="00FE398F"/>
    <w:rsid w:val="00FE3AD0"/>
    <w:rsid w:val="00FE3BD7"/>
    <w:rsid w:val="00FE3C2C"/>
    <w:rsid w:val="00FE3DF9"/>
    <w:rsid w:val="00FE3E4C"/>
    <w:rsid w:val="00FE42E9"/>
    <w:rsid w:val="00FE45D6"/>
    <w:rsid w:val="00FE4643"/>
    <w:rsid w:val="00FE468F"/>
    <w:rsid w:val="00FE48EE"/>
    <w:rsid w:val="00FE4C0D"/>
    <w:rsid w:val="00FE4C9B"/>
    <w:rsid w:val="00FE4D96"/>
    <w:rsid w:val="00FE5134"/>
    <w:rsid w:val="00FE52B3"/>
    <w:rsid w:val="00FE565B"/>
    <w:rsid w:val="00FE59BA"/>
    <w:rsid w:val="00FE5A5B"/>
    <w:rsid w:val="00FE5B7D"/>
    <w:rsid w:val="00FE5C5F"/>
    <w:rsid w:val="00FE5C63"/>
    <w:rsid w:val="00FE5CDE"/>
    <w:rsid w:val="00FE5F80"/>
    <w:rsid w:val="00FE6295"/>
    <w:rsid w:val="00FE6807"/>
    <w:rsid w:val="00FE6A13"/>
    <w:rsid w:val="00FE6A34"/>
    <w:rsid w:val="00FE7054"/>
    <w:rsid w:val="00FE7199"/>
    <w:rsid w:val="00FE720D"/>
    <w:rsid w:val="00FE738D"/>
    <w:rsid w:val="00FE73FE"/>
    <w:rsid w:val="00FE7524"/>
    <w:rsid w:val="00FE7578"/>
    <w:rsid w:val="00FE796E"/>
    <w:rsid w:val="00FE7AD2"/>
    <w:rsid w:val="00FE7EF5"/>
    <w:rsid w:val="00FE7F03"/>
    <w:rsid w:val="00FF127B"/>
    <w:rsid w:val="00FF1514"/>
    <w:rsid w:val="00FF1838"/>
    <w:rsid w:val="00FF18C2"/>
    <w:rsid w:val="00FF1929"/>
    <w:rsid w:val="00FF1C0B"/>
    <w:rsid w:val="00FF1E76"/>
    <w:rsid w:val="00FF1E82"/>
    <w:rsid w:val="00FF1FD1"/>
    <w:rsid w:val="00FF22B2"/>
    <w:rsid w:val="00FF2406"/>
    <w:rsid w:val="00FF2570"/>
    <w:rsid w:val="00FF2644"/>
    <w:rsid w:val="00FF26B5"/>
    <w:rsid w:val="00FF2FD0"/>
    <w:rsid w:val="00FF30AB"/>
    <w:rsid w:val="00FF3193"/>
    <w:rsid w:val="00FF31A7"/>
    <w:rsid w:val="00FF346E"/>
    <w:rsid w:val="00FF4203"/>
    <w:rsid w:val="00FF458C"/>
    <w:rsid w:val="00FF4957"/>
    <w:rsid w:val="00FF4B4D"/>
    <w:rsid w:val="00FF4B6F"/>
    <w:rsid w:val="00FF4C8B"/>
    <w:rsid w:val="00FF531E"/>
    <w:rsid w:val="00FF54FB"/>
    <w:rsid w:val="00FF563B"/>
    <w:rsid w:val="00FF59AF"/>
    <w:rsid w:val="00FF59E2"/>
    <w:rsid w:val="00FF5BCE"/>
    <w:rsid w:val="00FF5C32"/>
    <w:rsid w:val="00FF5C82"/>
    <w:rsid w:val="00FF6995"/>
    <w:rsid w:val="00FF6DFF"/>
    <w:rsid w:val="00FF6E24"/>
    <w:rsid w:val="00FF6E48"/>
    <w:rsid w:val="00FF6FFA"/>
    <w:rsid w:val="00FF709D"/>
    <w:rsid w:val="00FF7200"/>
    <w:rsid w:val="00FF725F"/>
    <w:rsid w:val="00FF7684"/>
    <w:rsid w:val="00FF7838"/>
    <w:rsid w:val="01085166"/>
    <w:rsid w:val="010C8468"/>
    <w:rsid w:val="011094F2"/>
    <w:rsid w:val="01165548"/>
    <w:rsid w:val="011676EC"/>
    <w:rsid w:val="0118C951"/>
    <w:rsid w:val="011A2F9E"/>
    <w:rsid w:val="011D5F2D"/>
    <w:rsid w:val="0127986C"/>
    <w:rsid w:val="012BB25A"/>
    <w:rsid w:val="012D940A"/>
    <w:rsid w:val="01379018"/>
    <w:rsid w:val="013CC2DF"/>
    <w:rsid w:val="0140D732"/>
    <w:rsid w:val="0151094D"/>
    <w:rsid w:val="01539771"/>
    <w:rsid w:val="01560A41"/>
    <w:rsid w:val="01597AF1"/>
    <w:rsid w:val="015CAB80"/>
    <w:rsid w:val="017A685A"/>
    <w:rsid w:val="017B30F3"/>
    <w:rsid w:val="01815877"/>
    <w:rsid w:val="0181B09F"/>
    <w:rsid w:val="0182DD52"/>
    <w:rsid w:val="0187FC8F"/>
    <w:rsid w:val="01882C58"/>
    <w:rsid w:val="018C13A5"/>
    <w:rsid w:val="01908FF5"/>
    <w:rsid w:val="0195AC79"/>
    <w:rsid w:val="019C54B3"/>
    <w:rsid w:val="019DDD21"/>
    <w:rsid w:val="01A18AAD"/>
    <w:rsid w:val="01A6667E"/>
    <w:rsid w:val="01B00323"/>
    <w:rsid w:val="01B25C5E"/>
    <w:rsid w:val="01B41E3A"/>
    <w:rsid w:val="01BCFFE3"/>
    <w:rsid w:val="01BF2802"/>
    <w:rsid w:val="01BF424C"/>
    <w:rsid w:val="01C77EDF"/>
    <w:rsid w:val="01D5BC98"/>
    <w:rsid w:val="01D70840"/>
    <w:rsid w:val="01D8AFB2"/>
    <w:rsid w:val="01DCE6D7"/>
    <w:rsid w:val="01DE6C27"/>
    <w:rsid w:val="01E2BF76"/>
    <w:rsid w:val="01E4F463"/>
    <w:rsid w:val="01E7FCB7"/>
    <w:rsid w:val="01F91529"/>
    <w:rsid w:val="01FBD82F"/>
    <w:rsid w:val="01FD1837"/>
    <w:rsid w:val="0208FD69"/>
    <w:rsid w:val="02097CF7"/>
    <w:rsid w:val="020FD6CB"/>
    <w:rsid w:val="021165E8"/>
    <w:rsid w:val="0211BF1B"/>
    <w:rsid w:val="0211C7C1"/>
    <w:rsid w:val="02155F85"/>
    <w:rsid w:val="02186782"/>
    <w:rsid w:val="0219E8A4"/>
    <w:rsid w:val="021A40F8"/>
    <w:rsid w:val="021BDA85"/>
    <w:rsid w:val="022042B5"/>
    <w:rsid w:val="022F85D9"/>
    <w:rsid w:val="022FC153"/>
    <w:rsid w:val="023D6CD5"/>
    <w:rsid w:val="0241721C"/>
    <w:rsid w:val="0241818C"/>
    <w:rsid w:val="0242B4F2"/>
    <w:rsid w:val="024C53F5"/>
    <w:rsid w:val="024E102D"/>
    <w:rsid w:val="024E2944"/>
    <w:rsid w:val="024E5D46"/>
    <w:rsid w:val="0251DE3F"/>
    <w:rsid w:val="025469D2"/>
    <w:rsid w:val="02552FD7"/>
    <w:rsid w:val="0258B3A0"/>
    <w:rsid w:val="02659574"/>
    <w:rsid w:val="02660A41"/>
    <w:rsid w:val="0266D499"/>
    <w:rsid w:val="0271F907"/>
    <w:rsid w:val="027393D9"/>
    <w:rsid w:val="02751DE3"/>
    <w:rsid w:val="027EA4C0"/>
    <w:rsid w:val="02821881"/>
    <w:rsid w:val="028381D1"/>
    <w:rsid w:val="02848839"/>
    <w:rsid w:val="0285F063"/>
    <w:rsid w:val="0286FBCC"/>
    <w:rsid w:val="028A76FC"/>
    <w:rsid w:val="028CEAAB"/>
    <w:rsid w:val="028FC306"/>
    <w:rsid w:val="029284E5"/>
    <w:rsid w:val="02964454"/>
    <w:rsid w:val="02A0F254"/>
    <w:rsid w:val="02B15E98"/>
    <w:rsid w:val="02B266E6"/>
    <w:rsid w:val="02B39115"/>
    <w:rsid w:val="02B7A381"/>
    <w:rsid w:val="02B92F8E"/>
    <w:rsid w:val="02BF587B"/>
    <w:rsid w:val="02C1B34E"/>
    <w:rsid w:val="02C57CCF"/>
    <w:rsid w:val="02C782BB"/>
    <w:rsid w:val="02C95B53"/>
    <w:rsid w:val="02CB29A1"/>
    <w:rsid w:val="02D9A1CA"/>
    <w:rsid w:val="02DE1ECE"/>
    <w:rsid w:val="02DEF8F1"/>
    <w:rsid w:val="02F5956E"/>
    <w:rsid w:val="02FE532F"/>
    <w:rsid w:val="03009066"/>
    <w:rsid w:val="0303DDA7"/>
    <w:rsid w:val="0305F4F3"/>
    <w:rsid w:val="030CE50C"/>
    <w:rsid w:val="031B9710"/>
    <w:rsid w:val="032295F3"/>
    <w:rsid w:val="03295394"/>
    <w:rsid w:val="0329A38D"/>
    <w:rsid w:val="0331A590"/>
    <w:rsid w:val="0343A995"/>
    <w:rsid w:val="03466058"/>
    <w:rsid w:val="0347490C"/>
    <w:rsid w:val="034B3207"/>
    <w:rsid w:val="034C8DB4"/>
    <w:rsid w:val="03507DED"/>
    <w:rsid w:val="0350C66B"/>
    <w:rsid w:val="0350CFA5"/>
    <w:rsid w:val="0354705F"/>
    <w:rsid w:val="0356A38E"/>
    <w:rsid w:val="0357D2FC"/>
    <w:rsid w:val="035E92BE"/>
    <w:rsid w:val="0363D54A"/>
    <w:rsid w:val="03699F73"/>
    <w:rsid w:val="03718CF9"/>
    <w:rsid w:val="0377045A"/>
    <w:rsid w:val="037837F5"/>
    <w:rsid w:val="037A1F8A"/>
    <w:rsid w:val="037EAB5A"/>
    <w:rsid w:val="0383B11D"/>
    <w:rsid w:val="0387D6AB"/>
    <w:rsid w:val="038A9DF3"/>
    <w:rsid w:val="038FB5EF"/>
    <w:rsid w:val="0395082C"/>
    <w:rsid w:val="03996D9E"/>
    <w:rsid w:val="039E9E2C"/>
    <w:rsid w:val="03A9F4F2"/>
    <w:rsid w:val="03B080B7"/>
    <w:rsid w:val="03B56959"/>
    <w:rsid w:val="03B877F1"/>
    <w:rsid w:val="03BFBD9C"/>
    <w:rsid w:val="03C1FD48"/>
    <w:rsid w:val="03CF9AE7"/>
    <w:rsid w:val="03D7D50B"/>
    <w:rsid w:val="03D99095"/>
    <w:rsid w:val="03DBC1B0"/>
    <w:rsid w:val="03DD120D"/>
    <w:rsid w:val="03DEF337"/>
    <w:rsid w:val="03E372BD"/>
    <w:rsid w:val="03E74711"/>
    <w:rsid w:val="03E82456"/>
    <w:rsid w:val="03E9F9A5"/>
    <w:rsid w:val="03EFB2CE"/>
    <w:rsid w:val="03F011DC"/>
    <w:rsid w:val="03F21B2D"/>
    <w:rsid w:val="03FEFA9D"/>
    <w:rsid w:val="03FF2E62"/>
    <w:rsid w:val="04032318"/>
    <w:rsid w:val="04092382"/>
    <w:rsid w:val="040AAD91"/>
    <w:rsid w:val="040B4C54"/>
    <w:rsid w:val="0410AB29"/>
    <w:rsid w:val="0414C7C2"/>
    <w:rsid w:val="04166735"/>
    <w:rsid w:val="04183D43"/>
    <w:rsid w:val="041B4AA8"/>
    <w:rsid w:val="04201029"/>
    <w:rsid w:val="0421C0C4"/>
    <w:rsid w:val="04267D8B"/>
    <w:rsid w:val="042E9192"/>
    <w:rsid w:val="043128FF"/>
    <w:rsid w:val="0431BBE9"/>
    <w:rsid w:val="04372869"/>
    <w:rsid w:val="04386D0A"/>
    <w:rsid w:val="0443774B"/>
    <w:rsid w:val="04459FEF"/>
    <w:rsid w:val="044610D1"/>
    <w:rsid w:val="044EE0FC"/>
    <w:rsid w:val="0452A5AE"/>
    <w:rsid w:val="04614D30"/>
    <w:rsid w:val="0466273C"/>
    <w:rsid w:val="046F0FEC"/>
    <w:rsid w:val="046F32C7"/>
    <w:rsid w:val="0480BAF0"/>
    <w:rsid w:val="0480DC62"/>
    <w:rsid w:val="0497E5CA"/>
    <w:rsid w:val="04994016"/>
    <w:rsid w:val="04999D8A"/>
    <w:rsid w:val="049DF574"/>
    <w:rsid w:val="04A00156"/>
    <w:rsid w:val="04A47EF5"/>
    <w:rsid w:val="04A687F9"/>
    <w:rsid w:val="04A756B0"/>
    <w:rsid w:val="04AF32D4"/>
    <w:rsid w:val="04B19D90"/>
    <w:rsid w:val="04B2A301"/>
    <w:rsid w:val="04B5F37F"/>
    <w:rsid w:val="04B9F421"/>
    <w:rsid w:val="04BA80D5"/>
    <w:rsid w:val="04BAADFC"/>
    <w:rsid w:val="04BCB182"/>
    <w:rsid w:val="04C0E51D"/>
    <w:rsid w:val="04C2678D"/>
    <w:rsid w:val="04C446EE"/>
    <w:rsid w:val="04C6408E"/>
    <w:rsid w:val="04CC626A"/>
    <w:rsid w:val="04D03D4D"/>
    <w:rsid w:val="04D106E1"/>
    <w:rsid w:val="04D642A0"/>
    <w:rsid w:val="04DBDE68"/>
    <w:rsid w:val="04DEC563"/>
    <w:rsid w:val="04E02673"/>
    <w:rsid w:val="04E2FEDF"/>
    <w:rsid w:val="04E4207D"/>
    <w:rsid w:val="04E55EDD"/>
    <w:rsid w:val="04E724D9"/>
    <w:rsid w:val="04EB19D6"/>
    <w:rsid w:val="04F4E469"/>
    <w:rsid w:val="04F8288F"/>
    <w:rsid w:val="04FA8EEF"/>
    <w:rsid w:val="05060271"/>
    <w:rsid w:val="0508DF37"/>
    <w:rsid w:val="050B9512"/>
    <w:rsid w:val="050DA86E"/>
    <w:rsid w:val="0517CD3D"/>
    <w:rsid w:val="0518DC53"/>
    <w:rsid w:val="051DE626"/>
    <w:rsid w:val="05338808"/>
    <w:rsid w:val="05372AFC"/>
    <w:rsid w:val="053FAFA1"/>
    <w:rsid w:val="0540562A"/>
    <w:rsid w:val="05444EA2"/>
    <w:rsid w:val="0546BC70"/>
    <w:rsid w:val="054F0730"/>
    <w:rsid w:val="055283EB"/>
    <w:rsid w:val="055AB06F"/>
    <w:rsid w:val="055B926C"/>
    <w:rsid w:val="055B9DE1"/>
    <w:rsid w:val="0563B103"/>
    <w:rsid w:val="0576404E"/>
    <w:rsid w:val="057DD2F2"/>
    <w:rsid w:val="05841203"/>
    <w:rsid w:val="0586FF16"/>
    <w:rsid w:val="058A4790"/>
    <w:rsid w:val="058AD9A4"/>
    <w:rsid w:val="058B832F"/>
    <w:rsid w:val="058C2DC7"/>
    <w:rsid w:val="05905462"/>
    <w:rsid w:val="0590F473"/>
    <w:rsid w:val="0592BADE"/>
    <w:rsid w:val="05979488"/>
    <w:rsid w:val="05A1DCF6"/>
    <w:rsid w:val="05B48B11"/>
    <w:rsid w:val="05BD9125"/>
    <w:rsid w:val="05C6F736"/>
    <w:rsid w:val="05C8A704"/>
    <w:rsid w:val="05CBB448"/>
    <w:rsid w:val="05CCBA12"/>
    <w:rsid w:val="05CE7D15"/>
    <w:rsid w:val="05CFC4D4"/>
    <w:rsid w:val="05D0BED5"/>
    <w:rsid w:val="05D38A21"/>
    <w:rsid w:val="05D3D790"/>
    <w:rsid w:val="05DCC004"/>
    <w:rsid w:val="05DD0B8B"/>
    <w:rsid w:val="05DE6B4A"/>
    <w:rsid w:val="05E156F0"/>
    <w:rsid w:val="05ECE409"/>
    <w:rsid w:val="05FDB877"/>
    <w:rsid w:val="05FE31CC"/>
    <w:rsid w:val="060360A1"/>
    <w:rsid w:val="060537A8"/>
    <w:rsid w:val="060D1592"/>
    <w:rsid w:val="060FEAC0"/>
    <w:rsid w:val="06179E4E"/>
    <w:rsid w:val="062628BD"/>
    <w:rsid w:val="0626D556"/>
    <w:rsid w:val="062EA243"/>
    <w:rsid w:val="0639254E"/>
    <w:rsid w:val="063A02A8"/>
    <w:rsid w:val="0651CC66"/>
    <w:rsid w:val="065B19FD"/>
    <w:rsid w:val="065B89B9"/>
    <w:rsid w:val="065D5BDB"/>
    <w:rsid w:val="0660A846"/>
    <w:rsid w:val="066977C4"/>
    <w:rsid w:val="0669D8D8"/>
    <w:rsid w:val="066DDADB"/>
    <w:rsid w:val="067388F9"/>
    <w:rsid w:val="0674E8AD"/>
    <w:rsid w:val="0677EE92"/>
    <w:rsid w:val="0684237B"/>
    <w:rsid w:val="06868F84"/>
    <w:rsid w:val="068AA533"/>
    <w:rsid w:val="0698DE4D"/>
    <w:rsid w:val="069BC11E"/>
    <w:rsid w:val="06A53CD7"/>
    <w:rsid w:val="06A92DBB"/>
    <w:rsid w:val="06AFB94E"/>
    <w:rsid w:val="06B10063"/>
    <w:rsid w:val="06B7FBCE"/>
    <w:rsid w:val="06BF1F54"/>
    <w:rsid w:val="06C0F785"/>
    <w:rsid w:val="06C3F62D"/>
    <w:rsid w:val="06C404AE"/>
    <w:rsid w:val="06C5CDE3"/>
    <w:rsid w:val="06D4FAB8"/>
    <w:rsid w:val="06D830EC"/>
    <w:rsid w:val="06D9A8D5"/>
    <w:rsid w:val="06DEB6EC"/>
    <w:rsid w:val="06DF4D8F"/>
    <w:rsid w:val="06E20125"/>
    <w:rsid w:val="06E4C6DC"/>
    <w:rsid w:val="06E536C5"/>
    <w:rsid w:val="06F2E670"/>
    <w:rsid w:val="06F329D9"/>
    <w:rsid w:val="06F3A264"/>
    <w:rsid w:val="06FAD8A6"/>
    <w:rsid w:val="07143BBD"/>
    <w:rsid w:val="0721CE69"/>
    <w:rsid w:val="07222F00"/>
    <w:rsid w:val="0729BBEF"/>
    <w:rsid w:val="0739FDB6"/>
    <w:rsid w:val="0747A8E0"/>
    <w:rsid w:val="074A49C5"/>
    <w:rsid w:val="074B86D8"/>
    <w:rsid w:val="0759126C"/>
    <w:rsid w:val="0759F271"/>
    <w:rsid w:val="075B1251"/>
    <w:rsid w:val="0772C332"/>
    <w:rsid w:val="07779CAF"/>
    <w:rsid w:val="0778357A"/>
    <w:rsid w:val="07839B48"/>
    <w:rsid w:val="078D2119"/>
    <w:rsid w:val="078E0864"/>
    <w:rsid w:val="07930259"/>
    <w:rsid w:val="079DB5DF"/>
    <w:rsid w:val="079DCF77"/>
    <w:rsid w:val="07A054A3"/>
    <w:rsid w:val="07A1DF44"/>
    <w:rsid w:val="07A81D8E"/>
    <w:rsid w:val="07A9D385"/>
    <w:rsid w:val="07B105DC"/>
    <w:rsid w:val="07B4C0CD"/>
    <w:rsid w:val="07C2A5B7"/>
    <w:rsid w:val="07CE02DA"/>
    <w:rsid w:val="07CF1D42"/>
    <w:rsid w:val="07D0462A"/>
    <w:rsid w:val="07DC1FB7"/>
    <w:rsid w:val="07DD448E"/>
    <w:rsid w:val="07E6DDE1"/>
    <w:rsid w:val="07E7DD57"/>
    <w:rsid w:val="07F6C99D"/>
    <w:rsid w:val="07F885DF"/>
    <w:rsid w:val="07FA6617"/>
    <w:rsid w:val="0800FF9A"/>
    <w:rsid w:val="080F595A"/>
    <w:rsid w:val="0813067E"/>
    <w:rsid w:val="08165DE2"/>
    <w:rsid w:val="081F7271"/>
    <w:rsid w:val="0823BB75"/>
    <w:rsid w:val="0828149B"/>
    <w:rsid w:val="082C1C0F"/>
    <w:rsid w:val="082F1D39"/>
    <w:rsid w:val="0837917F"/>
    <w:rsid w:val="083A919C"/>
    <w:rsid w:val="083BC8D5"/>
    <w:rsid w:val="083D8C71"/>
    <w:rsid w:val="083ED734"/>
    <w:rsid w:val="08418A8A"/>
    <w:rsid w:val="0849A0DD"/>
    <w:rsid w:val="084C2247"/>
    <w:rsid w:val="084C438B"/>
    <w:rsid w:val="084D7389"/>
    <w:rsid w:val="0853C90A"/>
    <w:rsid w:val="0855413F"/>
    <w:rsid w:val="085727EB"/>
    <w:rsid w:val="085F998B"/>
    <w:rsid w:val="08618A6E"/>
    <w:rsid w:val="0864AE67"/>
    <w:rsid w:val="08676180"/>
    <w:rsid w:val="08692774"/>
    <w:rsid w:val="086E1CD9"/>
    <w:rsid w:val="08718008"/>
    <w:rsid w:val="0871E386"/>
    <w:rsid w:val="087378D1"/>
    <w:rsid w:val="0873A963"/>
    <w:rsid w:val="087B1947"/>
    <w:rsid w:val="087C23CE"/>
    <w:rsid w:val="0881FE66"/>
    <w:rsid w:val="088BC8C8"/>
    <w:rsid w:val="08908BC0"/>
    <w:rsid w:val="08908F93"/>
    <w:rsid w:val="0898D39E"/>
    <w:rsid w:val="08990A9C"/>
    <w:rsid w:val="08A28F8D"/>
    <w:rsid w:val="08A51CFA"/>
    <w:rsid w:val="08D2CE15"/>
    <w:rsid w:val="08E4F5A8"/>
    <w:rsid w:val="08F634D0"/>
    <w:rsid w:val="08FFAC95"/>
    <w:rsid w:val="0904118C"/>
    <w:rsid w:val="0904FE63"/>
    <w:rsid w:val="09074CEB"/>
    <w:rsid w:val="0914198C"/>
    <w:rsid w:val="0917AB2C"/>
    <w:rsid w:val="091981F4"/>
    <w:rsid w:val="091D0B84"/>
    <w:rsid w:val="0926FB26"/>
    <w:rsid w:val="093BA30B"/>
    <w:rsid w:val="093BB970"/>
    <w:rsid w:val="093CABD9"/>
    <w:rsid w:val="094048CA"/>
    <w:rsid w:val="0942F2D5"/>
    <w:rsid w:val="0947887F"/>
    <w:rsid w:val="09487E79"/>
    <w:rsid w:val="094B5DF8"/>
    <w:rsid w:val="094DCD07"/>
    <w:rsid w:val="0955CCB8"/>
    <w:rsid w:val="095698E8"/>
    <w:rsid w:val="095A4174"/>
    <w:rsid w:val="095A4222"/>
    <w:rsid w:val="095E6C31"/>
    <w:rsid w:val="0966C3D1"/>
    <w:rsid w:val="096BB2DE"/>
    <w:rsid w:val="096D1B41"/>
    <w:rsid w:val="09717163"/>
    <w:rsid w:val="09761DC1"/>
    <w:rsid w:val="0981F806"/>
    <w:rsid w:val="0989F2DB"/>
    <w:rsid w:val="098D8957"/>
    <w:rsid w:val="098E354A"/>
    <w:rsid w:val="09922659"/>
    <w:rsid w:val="0996E260"/>
    <w:rsid w:val="09A1FC9D"/>
    <w:rsid w:val="09A4E425"/>
    <w:rsid w:val="09B1FD8D"/>
    <w:rsid w:val="09B87267"/>
    <w:rsid w:val="09CAF2E6"/>
    <w:rsid w:val="09CE25DC"/>
    <w:rsid w:val="09D9D2BC"/>
    <w:rsid w:val="09E0CE7D"/>
    <w:rsid w:val="09E12A32"/>
    <w:rsid w:val="09EFDB06"/>
    <w:rsid w:val="09F2BF08"/>
    <w:rsid w:val="09F8269A"/>
    <w:rsid w:val="0A0BDDBB"/>
    <w:rsid w:val="0A106A62"/>
    <w:rsid w:val="0A1247CE"/>
    <w:rsid w:val="0A168C6A"/>
    <w:rsid w:val="0A1B0393"/>
    <w:rsid w:val="0A1DCEC7"/>
    <w:rsid w:val="0A204BCD"/>
    <w:rsid w:val="0A3472A7"/>
    <w:rsid w:val="0A3973DA"/>
    <w:rsid w:val="0A3BBEE0"/>
    <w:rsid w:val="0A3CA564"/>
    <w:rsid w:val="0A3D3563"/>
    <w:rsid w:val="0A4B0B56"/>
    <w:rsid w:val="0A4EAAC9"/>
    <w:rsid w:val="0A4F6B7D"/>
    <w:rsid w:val="0A4F94FA"/>
    <w:rsid w:val="0A554032"/>
    <w:rsid w:val="0A596F2B"/>
    <w:rsid w:val="0A6048FF"/>
    <w:rsid w:val="0A625654"/>
    <w:rsid w:val="0A637C1C"/>
    <w:rsid w:val="0A64C565"/>
    <w:rsid w:val="0A651776"/>
    <w:rsid w:val="0A6A5DE1"/>
    <w:rsid w:val="0A6EA89E"/>
    <w:rsid w:val="0A7B571F"/>
    <w:rsid w:val="0A8032DF"/>
    <w:rsid w:val="0A8077B5"/>
    <w:rsid w:val="0A8C8572"/>
    <w:rsid w:val="0A8CF916"/>
    <w:rsid w:val="0A8FDA82"/>
    <w:rsid w:val="0A98F87D"/>
    <w:rsid w:val="0AA45DFC"/>
    <w:rsid w:val="0AA7E9B1"/>
    <w:rsid w:val="0AAA3FD5"/>
    <w:rsid w:val="0AB6B1B8"/>
    <w:rsid w:val="0AC3A68E"/>
    <w:rsid w:val="0AC8809A"/>
    <w:rsid w:val="0AD3CA51"/>
    <w:rsid w:val="0AD87C3A"/>
    <w:rsid w:val="0ADC98B2"/>
    <w:rsid w:val="0ADEFFF5"/>
    <w:rsid w:val="0AE21A4C"/>
    <w:rsid w:val="0AE4139C"/>
    <w:rsid w:val="0AE82531"/>
    <w:rsid w:val="0AF2CEFF"/>
    <w:rsid w:val="0AF3532E"/>
    <w:rsid w:val="0B01299D"/>
    <w:rsid w:val="0B0190E7"/>
    <w:rsid w:val="0B07833F"/>
    <w:rsid w:val="0B09BB6E"/>
    <w:rsid w:val="0B0FB6CC"/>
    <w:rsid w:val="0B14AC95"/>
    <w:rsid w:val="0B169A52"/>
    <w:rsid w:val="0B240728"/>
    <w:rsid w:val="0B286C2D"/>
    <w:rsid w:val="0B299720"/>
    <w:rsid w:val="0B3287B2"/>
    <w:rsid w:val="0B32CF71"/>
    <w:rsid w:val="0B34DA92"/>
    <w:rsid w:val="0B363E0F"/>
    <w:rsid w:val="0B3741B3"/>
    <w:rsid w:val="0B480C3E"/>
    <w:rsid w:val="0B520ADF"/>
    <w:rsid w:val="0B6A69AF"/>
    <w:rsid w:val="0B72B817"/>
    <w:rsid w:val="0B733169"/>
    <w:rsid w:val="0B740536"/>
    <w:rsid w:val="0B76675D"/>
    <w:rsid w:val="0B7E63A1"/>
    <w:rsid w:val="0B811390"/>
    <w:rsid w:val="0B845279"/>
    <w:rsid w:val="0B84C53B"/>
    <w:rsid w:val="0B8A355F"/>
    <w:rsid w:val="0B992B30"/>
    <w:rsid w:val="0B9EDDEB"/>
    <w:rsid w:val="0BAB3F21"/>
    <w:rsid w:val="0BACBDEA"/>
    <w:rsid w:val="0BAF42D2"/>
    <w:rsid w:val="0BB11AE6"/>
    <w:rsid w:val="0BC02FA8"/>
    <w:rsid w:val="0BC1B8BF"/>
    <w:rsid w:val="0BD323ED"/>
    <w:rsid w:val="0BD8CF93"/>
    <w:rsid w:val="0BE1641B"/>
    <w:rsid w:val="0BE21DD5"/>
    <w:rsid w:val="0BE581D2"/>
    <w:rsid w:val="0BE5C4E3"/>
    <w:rsid w:val="0BE72E52"/>
    <w:rsid w:val="0BEAE322"/>
    <w:rsid w:val="0BF8803C"/>
    <w:rsid w:val="0BFC828A"/>
    <w:rsid w:val="0BFD2D12"/>
    <w:rsid w:val="0BFDC914"/>
    <w:rsid w:val="0BFE89C8"/>
    <w:rsid w:val="0BFEB584"/>
    <w:rsid w:val="0C0169F8"/>
    <w:rsid w:val="0C05B439"/>
    <w:rsid w:val="0C08A64E"/>
    <w:rsid w:val="0C0B781E"/>
    <w:rsid w:val="0C0D39F4"/>
    <w:rsid w:val="0C161166"/>
    <w:rsid w:val="0C17B074"/>
    <w:rsid w:val="0C28E87D"/>
    <w:rsid w:val="0C3BFB96"/>
    <w:rsid w:val="0C438866"/>
    <w:rsid w:val="0C43E91C"/>
    <w:rsid w:val="0C4A295A"/>
    <w:rsid w:val="0C4A623B"/>
    <w:rsid w:val="0C570C6B"/>
    <w:rsid w:val="0C60CB43"/>
    <w:rsid w:val="0C666AE1"/>
    <w:rsid w:val="0C6E0AC8"/>
    <w:rsid w:val="0C706F82"/>
    <w:rsid w:val="0C7BE552"/>
    <w:rsid w:val="0C816A98"/>
    <w:rsid w:val="0C818DC4"/>
    <w:rsid w:val="0C8BCA5A"/>
    <w:rsid w:val="0C8FF06E"/>
    <w:rsid w:val="0C91299F"/>
    <w:rsid w:val="0C92A78F"/>
    <w:rsid w:val="0C9451DA"/>
    <w:rsid w:val="0CA61CFE"/>
    <w:rsid w:val="0CB302C7"/>
    <w:rsid w:val="0CB87D27"/>
    <w:rsid w:val="0CB90327"/>
    <w:rsid w:val="0CC9A220"/>
    <w:rsid w:val="0CCCC207"/>
    <w:rsid w:val="0CD3B1F8"/>
    <w:rsid w:val="0CD7C063"/>
    <w:rsid w:val="0CD7F42F"/>
    <w:rsid w:val="0CD8B948"/>
    <w:rsid w:val="0CDB1C07"/>
    <w:rsid w:val="0CDB7597"/>
    <w:rsid w:val="0CE08322"/>
    <w:rsid w:val="0CE5D9BB"/>
    <w:rsid w:val="0CEA0DD1"/>
    <w:rsid w:val="0CEE87A6"/>
    <w:rsid w:val="0CF80978"/>
    <w:rsid w:val="0CFE165D"/>
    <w:rsid w:val="0D06A59A"/>
    <w:rsid w:val="0D09E7E9"/>
    <w:rsid w:val="0D0FAF58"/>
    <w:rsid w:val="0D1643AF"/>
    <w:rsid w:val="0D2030CB"/>
    <w:rsid w:val="0D23C0BA"/>
    <w:rsid w:val="0D269E6E"/>
    <w:rsid w:val="0D2C2C49"/>
    <w:rsid w:val="0D2D337C"/>
    <w:rsid w:val="0D2ED013"/>
    <w:rsid w:val="0D30241B"/>
    <w:rsid w:val="0D33441E"/>
    <w:rsid w:val="0D374532"/>
    <w:rsid w:val="0D38A261"/>
    <w:rsid w:val="0D42415B"/>
    <w:rsid w:val="0D4AC186"/>
    <w:rsid w:val="0D5586C3"/>
    <w:rsid w:val="0D57B1E0"/>
    <w:rsid w:val="0D5C126F"/>
    <w:rsid w:val="0D5D54D0"/>
    <w:rsid w:val="0D63ACCC"/>
    <w:rsid w:val="0D679662"/>
    <w:rsid w:val="0D6829D6"/>
    <w:rsid w:val="0D71DFD1"/>
    <w:rsid w:val="0D7C5808"/>
    <w:rsid w:val="0D8C5EC4"/>
    <w:rsid w:val="0D8E2957"/>
    <w:rsid w:val="0D94BA79"/>
    <w:rsid w:val="0DA31FCF"/>
    <w:rsid w:val="0DA5884B"/>
    <w:rsid w:val="0DA5AC0F"/>
    <w:rsid w:val="0DA88761"/>
    <w:rsid w:val="0DB574C8"/>
    <w:rsid w:val="0DC69CC1"/>
    <w:rsid w:val="0DC6C6BD"/>
    <w:rsid w:val="0DCC458B"/>
    <w:rsid w:val="0DCF8FCD"/>
    <w:rsid w:val="0DCFB062"/>
    <w:rsid w:val="0DD16CE3"/>
    <w:rsid w:val="0DD64771"/>
    <w:rsid w:val="0DD766E7"/>
    <w:rsid w:val="0DE0598C"/>
    <w:rsid w:val="0DE57D1B"/>
    <w:rsid w:val="0DE57E63"/>
    <w:rsid w:val="0DE5F619"/>
    <w:rsid w:val="0DF51A31"/>
    <w:rsid w:val="0DF5F05D"/>
    <w:rsid w:val="0DFC01EA"/>
    <w:rsid w:val="0E00A833"/>
    <w:rsid w:val="0E057C9C"/>
    <w:rsid w:val="0E0633CD"/>
    <w:rsid w:val="0E06BFF0"/>
    <w:rsid w:val="0E0C96EF"/>
    <w:rsid w:val="0E0F9627"/>
    <w:rsid w:val="0E131807"/>
    <w:rsid w:val="0E13D692"/>
    <w:rsid w:val="0E1B18CA"/>
    <w:rsid w:val="0E1C8D52"/>
    <w:rsid w:val="0E22062B"/>
    <w:rsid w:val="0E23AD18"/>
    <w:rsid w:val="0E2B607A"/>
    <w:rsid w:val="0E2D2F41"/>
    <w:rsid w:val="0E2FAE4F"/>
    <w:rsid w:val="0E3A4874"/>
    <w:rsid w:val="0E3BD49F"/>
    <w:rsid w:val="0E3D73D4"/>
    <w:rsid w:val="0E415C30"/>
    <w:rsid w:val="0E437494"/>
    <w:rsid w:val="0E4DC7FD"/>
    <w:rsid w:val="0E50F3CA"/>
    <w:rsid w:val="0E68B225"/>
    <w:rsid w:val="0E74849B"/>
    <w:rsid w:val="0E7489A9"/>
    <w:rsid w:val="0E7DA015"/>
    <w:rsid w:val="0E813081"/>
    <w:rsid w:val="0E83AB6D"/>
    <w:rsid w:val="0E8962DD"/>
    <w:rsid w:val="0E91817C"/>
    <w:rsid w:val="0E93D9D9"/>
    <w:rsid w:val="0EA14029"/>
    <w:rsid w:val="0EA71181"/>
    <w:rsid w:val="0EAB8DA8"/>
    <w:rsid w:val="0EB00C1C"/>
    <w:rsid w:val="0EB7A395"/>
    <w:rsid w:val="0EBF5908"/>
    <w:rsid w:val="0EC8A62B"/>
    <w:rsid w:val="0EFA8C53"/>
    <w:rsid w:val="0EFC7657"/>
    <w:rsid w:val="0F000424"/>
    <w:rsid w:val="0F0861F2"/>
    <w:rsid w:val="0F0EC46C"/>
    <w:rsid w:val="0F107911"/>
    <w:rsid w:val="0F12267B"/>
    <w:rsid w:val="0F1AEFFD"/>
    <w:rsid w:val="0F22891C"/>
    <w:rsid w:val="0F2AB77A"/>
    <w:rsid w:val="0F2CAE24"/>
    <w:rsid w:val="0F2CE04E"/>
    <w:rsid w:val="0F330785"/>
    <w:rsid w:val="0F370F7D"/>
    <w:rsid w:val="0F3F764B"/>
    <w:rsid w:val="0F418AEE"/>
    <w:rsid w:val="0F505A7D"/>
    <w:rsid w:val="0F574497"/>
    <w:rsid w:val="0F5AB024"/>
    <w:rsid w:val="0F5D8530"/>
    <w:rsid w:val="0F658F0C"/>
    <w:rsid w:val="0F67469A"/>
    <w:rsid w:val="0F6BFB79"/>
    <w:rsid w:val="0F739C58"/>
    <w:rsid w:val="0F74A385"/>
    <w:rsid w:val="0F78A08A"/>
    <w:rsid w:val="0F7D60BB"/>
    <w:rsid w:val="0F805FA0"/>
    <w:rsid w:val="0F86ECB0"/>
    <w:rsid w:val="0F88CA8E"/>
    <w:rsid w:val="0F8952C7"/>
    <w:rsid w:val="0F99582C"/>
    <w:rsid w:val="0FAD98F9"/>
    <w:rsid w:val="0FAE77EF"/>
    <w:rsid w:val="0FB0A356"/>
    <w:rsid w:val="0FB50546"/>
    <w:rsid w:val="0FB60D9C"/>
    <w:rsid w:val="0FB641FF"/>
    <w:rsid w:val="0FB7BB2A"/>
    <w:rsid w:val="0FB86CB6"/>
    <w:rsid w:val="0FBDD68C"/>
    <w:rsid w:val="0FBE7725"/>
    <w:rsid w:val="0FBF4418"/>
    <w:rsid w:val="0FC9BBBA"/>
    <w:rsid w:val="0FCDA5B2"/>
    <w:rsid w:val="0FD08AE6"/>
    <w:rsid w:val="0FD4E9AC"/>
    <w:rsid w:val="0FD4EFA3"/>
    <w:rsid w:val="0FD5234A"/>
    <w:rsid w:val="0FE44C50"/>
    <w:rsid w:val="0FE7A51B"/>
    <w:rsid w:val="0FEE156E"/>
    <w:rsid w:val="0FEE2FD3"/>
    <w:rsid w:val="0FF17728"/>
    <w:rsid w:val="0FFD3024"/>
    <w:rsid w:val="10020F1A"/>
    <w:rsid w:val="1005ED0C"/>
    <w:rsid w:val="10074B2A"/>
    <w:rsid w:val="10077ED3"/>
    <w:rsid w:val="100E1541"/>
    <w:rsid w:val="10149299"/>
    <w:rsid w:val="1014D2DC"/>
    <w:rsid w:val="101BA703"/>
    <w:rsid w:val="101E5B93"/>
    <w:rsid w:val="10263A44"/>
    <w:rsid w:val="102FAA3A"/>
    <w:rsid w:val="1035A6A8"/>
    <w:rsid w:val="10391ABB"/>
    <w:rsid w:val="103DB8A6"/>
    <w:rsid w:val="103F4DCA"/>
    <w:rsid w:val="104A0FB0"/>
    <w:rsid w:val="104CEFAA"/>
    <w:rsid w:val="105362F0"/>
    <w:rsid w:val="105889C6"/>
    <w:rsid w:val="105D3C92"/>
    <w:rsid w:val="105F3EBF"/>
    <w:rsid w:val="106E4AF8"/>
    <w:rsid w:val="106F5D58"/>
    <w:rsid w:val="10728D5F"/>
    <w:rsid w:val="1076B2B3"/>
    <w:rsid w:val="107FBBBD"/>
    <w:rsid w:val="1080F937"/>
    <w:rsid w:val="1084C04D"/>
    <w:rsid w:val="1085CA02"/>
    <w:rsid w:val="109D2751"/>
    <w:rsid w:val="109F99D9"/>
    <w:rsid w:val="10A97C08"/>
    <w:rsid w:val="10C5CA19"/>
    <w:rsid w:val="10C8A7F2"/>
    <w:rsid w:val="10CFD5F3"/>
    <w:rsid w:val="10D23121"/>
    <w:rsid w:val="10D44C62"/>
    <w:rsid w:val="10D6235C"/>
    <w:rsid w:val="10DF75DE"/>
    <w:rsid w:val="10F38F7A"/>
    <w:rsid w:val="10F678AC"/>
    <w:rsid w:val="10FC100B"/>
    <w:rsid w:val="10FFC940"/>
    <w:rsid w:val="112114D0"/>
    <w:rsid w:val="1127ABB8"/>
    <w:rsid w:val="1129097E"/>
    <w:rsid w:val="112BC688"/>
    <w:rsid w:val="112D9CE9"/>
    <w:rsid w:val="11319FD0"/>
    <w:rsid w:val="114AACF7"/>
    <w:rsid w:val="114ADAC4"/>
    <w:rsid w:val="11515BD0"/>
    <w:rsid w:val="11538096"/>
    <w:rsid w:val="1156C672"/>
    <w:rsid w:val="1159A6ED"/>
    <w:rsid w:val="117266A2"/>
    <w:rsid w:val="11779D12"/>
    <w:rsid w:val="1177FDAC"/>
    <w:rsid w:val="1178165B"/>
    <w:rsid w:val="117E3EC9"/>
    <w:rsid w:val="117F9E89"/>
    <w:rsid w:val="117FF094"/>
    <w:rsid w:val="1180D33E"/>
    <w:rsid w:val="11834A01"/>
    <w:rsid w:val="1185C37B"/>
    <w:rsid w:val="118CA0C9"/>
    <w:rsid w:val="118E01E9"/>
    <w:rsid w:val="11914207"/>
    <w:rsid w:val="1193C0DD"/>
    <w:rsid w:val="119867DF"/>
    <w:rsid w:val="119ACA4F"/>
    <w:rsid w:val="11A064AF"/>
    <w:rsid w:val="11A73C11"/>
    <w:rsid w:val="11B2B56C"/>
    <w:rsid w:val="11BA7EFA"/>
    <w:rsid w:val="11BAA3E4"/>
    <w:rsid w:val="11BC7D98"/>
    <w:rsid w:val="11C1F043"/>
    <w:rsid w:val="11C41D6D"/>
    <w:rsid w:val="11C84056"/>
    <w:rsid w:val="11CC8084"/>
    <w:rsid w:val="11D05C2C"/>
    <w:rsid w:val="11DADE62"/>
    <w:rsid w:val="11DBF664"/>
    <w:rsid w:val="11DF1E36"/>
    <w:rsid w:val="11E4AE41"/>
    <w:rsid w:val="11E900BB"/>
    <w:rsid w:val="11EDFB11"/>
    <w:rsid w:val="11F0D4E3"/>
    <w:rsid w:val="11F2295A"/>
    <w:rsid w:val="11F38813"/>
    <w:rsid w:val="11F93194"/>
    <w:rsid w:val="11FBBA14"/>
    <w:rsid w:val="11FBFA99"/>
    <w:rsid w:val="12059971"/>
    <w:rsid w:val="1208BE45"/>
    <w:rsid w:val="1208E90D"/>
    <w:rsid w:val="121A2D83"/>
    <w:rsid w:val="121E0C86"/>
    <w:rsid w:val="121FE215"/>
    <w:rsid w:val="1221F2FF"/>
    <w:rsid w:val="122932B9"/>
    <w:rsid w:val="122A11D4"/>
    <w:rsid w:val="12326DC1"/>
    <w:rsid w:val="123CA792"/>
    <w:rsid w:val="123DD47F"/>
    <w:rsid w:val="1246F91B"/>
    <w:rsid w:val="126318EE"/>
    <w:rsid w:val="12687A2E"/>
    <w:rsid w:val="126AA847"/>
    <w:rsid w:val="126C15D9"/>
    <w:rsid w:val="126D0468"/>
    <w:rsid w:val="12728873"/>
    <w:rsid w:val="12791D32"/>
    <w:rsid w:val="12861342"/>
    <w:rsid w:val="128CEB18"/>
    <w:rsid w:val="12919A71"/>
    <w:rsid w:val="129919E7"/>
    <w:rsid w:val="129A171D"/>
    <w:rsid w:val="129C370B"/>
    <w:rsid w:val="129FED5E"/>
    <w:rsid w:val="12A3429F"/>
    <w:rsid w:val="12A76A1B"/>
    <w:rsid w:val="12A81D8D"/>
    <w:rsid w:val="12B1CA83"/>
    <w:rsid w:val="12B5A638"/>
    <w:rsid w:val="12C37C19"/>
    <w:rsid w:val="12D452DC"/>
    <w:rsid w:val="12D49130"/>
    <w:rsid w:val="12D62FCD"/>
    <w:rsid w:val="12D6CF2B"/>
    <w:rsid w:val="12E4F629"/>
    <w:rsid w:val="12FC9BC7"/>
    <w:rsid w:val="12FFA0F6"/>
    <w:rsid w:val="12FFD677"/>
    <w:rsid w:val="130164EF"/>
    <w:rsid w:val="13080FC9"/>
    <w:rsid w:val="130EEBB3"/>
    <w:rsid w:val="1314CD53"/>
    <w:rsid w:val="131CA39F"/>
    <w:rsid w:val="131D0007"/>
    <w:rsid w:val="1320595B"/>
    <w:rsid w:val="13218E83"/>
    <w:rsid w:val="132E7847"/>
    <w:rsid w:val="132F859D"/>
    <w:rsid w:val="132F913E"/>
    <w:rsid w:val="133825B5"/>
    <w:rsid w:val="13412445"/>
    <w:rsid w:val="1344A0CD"/>
    <w:rsid w:val="134632CB"/>
    <w:rsid w:val="1347092C"/>
    <w:rsid w:val="13488322"/>
    <w:rsid w:val="134BBBD5"/>
    <w:rsid w:val="134C1219"/>
    <w:rsid w:val="134FA210"/>
    <w:rsid w:val="1352A645"/>
    <w:rsid w:val="1352E680"/>
    <w:rsid w:val="135A0146"/>
    <w:rsid w:val="135F1C83"/>
    <w:rsid w:val="13621306"/>
    <w:rsid w:val="13659928"/>
    <w:rsid w:val="13684C88"/>
    <w:rsid w:val="13729F07"/>
    <w:rsid w:val="13773FE6"/>
    <w:rsid w:val="1377D596"/>
    <w:rsid w:val="1377F7FB"/>
    <w:rsid w:val="13784B7A"/>
    <w:rsid w:val="137943FC"/>
    <w:rsid w:val="1379E3ED"/>
    <w:rsid w:val="138038AB"/>
    <w:rsid w:val="1381134F"/>
    <w:rsid w:val="138B1BAD"/>
    <w:rsid w:val="138ECD27"/>
    <w:rsid w:val="139911A0"/>
    <w:rsid w:val="139F2833"/>
    <w:rsid w:val="13A1AC30"/>
    <w:rsid w:val="13A9EDEE"/>
    <w:rsid w:val="13B8411B"/>
    <w:rsid w:val="13BA030A"/>
    <w:rsid w:val="13BDDC3E"/>
    <w:rsid w:val="13C203A7"/>
    <w:rsid w:val="13CC520B"/>
    <w:rsid w:val="13CFFA4E"/>
    <w:rsid w:val="13D2612D"/>
    <w:rsid w:val="13D34DA3"/>
    <w:rsid w:val="13D50B09"/>
    <w:rsid w:val="13D76B5A"/>
    <w:rsid w:val="13DD528A"/>
    <w:rsid w:val="13DEE0D5"/>
    <w:rsid w:val="13E67755"/>
    <w:rsid w:val="13F384ED"/>
    <w:rsid w:val="13F7EF5F"/>
    <w:rsid w:val="13F8A1C9"/>
    <w:rsid w:val="13FEBE80"/>
    <w:rsid w:val="1407D8AA"/>
    <w:rsid w:val="141DD579"/>
    <w:rsid w:val="142223F1"/>
    <w:rsid w:val="14256199"/>
    <w:rsid w:val="1426B831"/>
    <w:rsid w:val="142B3266"/>
    <w:rsid w:val="1438EFBE"/>
    <w:rsid w:val="143A8BC2"/>
    <w:rsid w:val="1444CDD5"/>
    <w:rsid w:val="144585FB"/>
    <w:rsid w:val="1450643A"/>
    <w:rsid w:val="14521795"/>
    <w:rsid w:val="145BA73E"/>
    <w:rsid w:val="145D1FC5"/>
    <w:rsid w:val="14608FCF"/>
    <w:rsid w:val="146145F8"/>
    <w:rsid w:val="1463319C"/>
    <w:rsid w:val="14645912"/>
    <w:rsid w:val="146AD5AB"/>
    <w:rsid w:val="146AE788"/>
    <w:rsid w:val="146C7353"/>
    <w:rsid w:val="147022BD"/>
    <w:rsid w:val="147F5E80"/>
    <w:rsid w:val="1480C68A"/>
    <w:rsid w:val="14834E38"/>
    <w:rsid w:val="1486599D"/>
    <w:rsid w:val="1486F09E"/>
    <w:rsid w:val="149052FC"/>
    <w:rsid w:val="149B5F47"/>
    <w:rsid w:val="149BF1EA"/>
    <w:rsid w:val="149EB9E6"/>
    <w:rsid w:val="149FEEA3"/>
    <w:rsid w:val="14A3E02A"/>
    <w:rsid w:val="14A4C727"/>
    <w:rsid w:val="14A86EA2"/>
    <w:rsid w:val="14B42F3D"/>
    <w:rsid w:val="14BFCD48"/>
    <w:rsid w:val="14C0DB17"/>
    <w:rsid w:val="14C55F72"/>
    <w:rsid w:val="14D70096"/>
    <w:rsid w:val="14D80571"/>
    <w:rsid w:val="14DFE5D6"/>
    <w:rsid w:val="14E74654"/>
    <w:rsid w:val="14F47B85"/>
    <w:rsid w:val="14FBC203"/>
    <w:rsid w:val="14FDFE09"/>
    <w:rsid w:val="150500B2"/>
    <w:rsid w:val="151094E5"/>
    <w:rsid w:val="15127F24"/>
    <w:rsid w:val="15153CCD"/>
    <w:rsid w:val="15259328"/>
    <w:rsid w:val="152789E7"/>
    <w:rsid w:val="15286B08"/>
    <w:rsid w:val="153F9F5C"/>
    <w:rsid w:val="154A8D15"/>
    <w:rsid w:val="155FB678"/>
    <w:rsid w:val="15648C64"/>
    <w:rsid w:val="15652A92"/>
    <w:rsid w:val="156B98F0"/>
    <w:rsid w:val="156C0D45"/>
    <w:rsid w:val="156CA053"/>
    <w:rsid w:val="156E18B3"/>
    <w:rsid w:val="156FD7BE"/>
    <w:rsid w:val="1570EC75"/>
    <w:rsid w:val="1574394C"/>
    <w:rsid w:val="157799E0"/>
    <w:rsid w:val="157ABBDB"/>
    <w:rsid w:val="157B2941"/>
    <w:rsid w:val="157B8B89"/>
    <w:rsid w:val="157EAFCE"/>
    <w:rsid w:val="15814217"/>
    <w:rsid w:val="15818817"/>
    <w:rsid w:val="1585E3D0"/>
    <w:rsid w:val="158832E2"/>
    <w:rsid w:val="1589D576"/>
    <w:rsid w:val="1591264E"/>
    <w:rsid w:val="159F596B"/>
    <w:rsid w:val="15A24909"/>
    <w:rsid w:val="15A9FC9B"/>
    <w:rsid w:val="15AD0BF9"/>
    <w:rsid w:val="15B43374"/>
    <w:rsid w:val="15B4EDEA"/>
    <w:rsid w:val="15B7982F"/>
    <w:rsid w:val="15C0E9E4"/>
    <w:rsid w:val="15C71495"/>
    <w:rsid w:val="15C9E9CF"/>
    <w:rsid w:val="15C9FBEF"/>
    <w:rsid w:val="15D10B29"/>
    <w:rsid w:val="15D39E4F"/>
    <w:rsid w:val="15D4C01F"/>
    <w:rsid w:val="15DA4269"/>
    <w:rsid w:val="15E89FFA"/>
    <w:rsid w:val="15E93F37"/>
    <w:rsid w:val="15E9D20F"/>
    <w:rsid w:val="16022807"/>
    <w:rsid w:val="161F18F8"/>
    <w:rsid w:val="1623E77A"/>
    <w:rsid w:val="162ABA4A"/>
    <w:rsid w:val="162E559F"/>
    <w:rsid w:val="1631B87C"/>
    <w:rsid w:val="16327EA5"/>
    <w:rsid w:val="1635984D"/>
    <w:rsid w:val="16377739"/>
    <w:rsid w:val="163D3FDF"/>
    <w:rsid w:val="1641866C"/>
    <w:rsid w:val="164E6F42"/>
    <w:rsid w:val="164FBB6E"/>
    <w:rsid w:val="16576167"/>
    <w:rsid w:val="1657EEE1"/>
    <w:rsid w:val="165EAE5D"/>
    <w:rsid w:val="166A29E0"/>
    <w:rsid w:val="166B5C6D"/>
    <w:rsid w:val="1674005A"/>
    <w:rsid w:val="1676D1E7"/>
    <w:rsid w:val="167B07F6"/>
    <w:rsid w:val="167BE53B"/>
    <w:rsid w:val="167EA9EE"/>
    <w:rsid w:val="168126EC"/>
    <w:rsid w:val="16851EBC"/>
    <w:rsid w:val="1685797F"/>
    <w:rsid w:val="1685D367"/>
    <w:rsid w:val="168B3498"/>
    <w:rsid w:val="168C9423"/>
    <w:rsid w:val="1698474F"/>
    <w:rsid w:val="169EC02C"/>
    <w:rsid w:val="16A0784A"/>
    <w:rsid w:val="16A21BE2"/>
    <w:rsid w:val="16AFBFC0"/>
    <w:rsid w:val="16B1B2B6"/>
    <w:rsid w:val="16B2B6E0"/>
    <w:rsid w:val="16BB1CBD"/>
    <w:rsid w:val="16BD9301"/>
    <w:rsid w:val="16BF7A75"/>
    <w:rsid w:val="16BFEBD0"/>
    <w:rsid w:val="16C75130"/>
    <w:rsid w:val="16C9F4A5"/>
    <w:rsid w:val="16CF14E9"/>
    <w:rsid w:val="16D461E9"/>
    <w:rsid w:val="16D97375"/>
    <w:rsid w:val="16DB6FBD"/>
    <w:rsid w:val="16DCC7BA"/>
    <w:rsid w:val="16ECCFA1"/>
    <w:rsid w:val="16F1A3CC"/>
    <w:rsid w:val="16FB8D88"/>
    <w:rsid w:val="1700B385"/>
    <w:rsid w:val="17050B69"/>
    <w:rsid w:val="1707AE43"/>
    <w:rsid w:val="171A6315"/>
    <w:rsid w:val="1721B213"/>
    <w:rsid w:val="1725C604"/>
    <w:rsid w:val="172BC9CF"/>
    <w:rsid w:val="17367D6D"/>
    <w:rsid w:val="17389232"/>
    <w:rsid w:val="173CAA5E"/>
    <w:rsid w:val="1741A8FB"/>
    <w:rsid w:val="1749B645"/>
    <w:rsid w:val="175186B0"/>
    <w:rsid w:val="1752C41B"/>
    <w:rsid w:val="1762778C"/>
    <w:rsid w:val="1765E0D7"/>
    <w:rsid w:val="17669AD0"/>
    <w:rsid w:val="1766F69F"/>
    <w:rsid w:val="17692829"/>
    <w:rsid w:val="176FA82E"/>
    <w:rsid w:val="1775817C"/>
    <w:rsid w:val="177C19B5"/>
    <w:rsid w:val="177FF6AF"/>
    <w:rsid w:val="1784C089"/>
    <w:rsid w:val="17951706"/>
    <w:rsid w:val="1799EC1B"/>
    <w:rsid w:val="17A0BA72"/>
    <w:rsid w:val="17A3DDD4"/>
    <w:rsid w:val="17A6E609"/>
    <w:rsid w:val="17A6F834"/>
    <w:rsid w:val="17A8A70E"/>
    <w:rsid w:val="17BDFA5F"/>
    <w:rsid w:val="17C0A66F"/>
    <w:rsid w:val="17C2588F"/>
    <w:rsid w:val="17C33435"/>
    <w:rsid w:val="17C52D33"/>
    <w:rsid w:val="17C86B64"/>
    <w:rsid w:val="17C8F62B"/>
    <w:rsid w:val="17CA9C16"/>
    <w:rsid w:val="17D6434A"/>
    <w:rsid w:val="17D77C61"/>
    <w:rsid w:val="17D9E626"/>
    <w:rsid w:val="17F36552"/>
    <w:rsid w:val="17F6CF23"/>
    <w:rsid w:val="17FB4768"/>
    <w:rsid w:val="17FBE403"/>
    <w:rsid w:val="18014410"/>
    <w:rsid w:val="18022131"/>
    <w:rsid w:val="1802D313"/>
    <w:rsid w:val="180751B3"/>
    <w:rsid w:val="1808C2B9"/>
    <w:rsid w:val="18097E97"/>
    <w:rsid w:val="180AF730"/>
    <w:rsid w:val="180FB94F"/>
    <w:rsid w:val="181CE0C0"/>
    <w:rsid w:val="181D17CA"/>
    <w:rsid w:val="181E7E18"/>
    <w:rsid w:val="181FE0CF"/>
    <w:rsid w:val="182422C4"/>
    <w:rsid w:val="18246BF3"/>
    <w:rsid w:val="182F30F6"/>
    <w:rsid w:val="183BC208"/>
    <w:rsid w:val="183E2ADB"/>
    <w:rsid w:val="1847F4F0"/>
    <w:rsid w:val="18489746"/>
    <w:rsid w:val="184A52B7"/>
    <w:rsid w:val="184CCC9C"/>
    <w:rsid w:val="184DBEA2"/>
    <w:rsid w:val="184FBC9C"/>
    <w:rsid w:val="185DC84D"/>
    <w:rsid w:val="18609E88"/>
    <w:rsid w:val="1863EDEF"/>
    <w:rsid w:val="186B9439"/>
    <w:rsid w:val="186F54A9"/>
    <w:rsid w:val="186FBE7D"/>
    <w:rsid w:val="18702D81"/>
    <w:rsid w:val="187189EB"/>
    <w:rsid w:val="187494B3"/>
    <w:rsid w:val="1877401E"/>
    <w:rsid w:val="18825B0D"/>
    <w:rsid w:val="188488EC"/>
    <w:rsid w:val="1887DE06"/>
    <w:rsid w:val="1887FABB"/>
    <w:rsid w:val="188F5924"/>
    <w:rsid w:val="189A2C57"/>
    <w:rsid w:val="189C2E41"/>
    <w:rsid w:val="189C83E6"/>
    <w:rsid w:val="189EC0AA"/>
    <w:rsid w:val="18A77880"/>
    <w:rsid w:val="18A8A8F5"/>
    <w:rsid w:val="18AA3C79"/>
    <w:rsid w:val="18AA8F85"/>
    <w:rsid w:val="18AD8F7F"/>
    <w:rsid w:val="18B8E103"/>
    <w:rsid w:val="18C3D54A"/>
    <w:rsid w:val="18C51363"/>
    <w:rsid w:val="18CFBA12"/>
    <w:rsid w:val="18D0AE3B"/>
    <w:rsid w:val="18D2F667"/>
    <w:rsid w:val="18D30672"/>
    <w:rsid w:val="18DA0333"/>
    <w:rsid w:val="18DD3F67"/>
    <w:rsid w:val="18E9242D"/>
    <w:rsid w:val="18F00730"/>
    <w:rsid w:val="18F36F39"/>
    <w:rsid w:val="18FC4EAC"/>
    <w:rsid w:val="1917454C"/>
    <w:rsid w:val="191A90FF"/>
    <w:rsid w:val="191FDF3A"/>
    <w:rsid w:val="19206543"/>
    <w:rsid w:val="19217A48"/>
    <w:rsid w:val="1924AB25"/>
    <w:rsid w:val="1927E774"/>
    <w:rsid w:val="192DD139"/>
    <w:rsid w:val="1932BD9D"/>
    <w:rsid w:val="1936BDB9"/>
    <w:rsid w:val="193C7B1B"/>
    <w:rsid w:val="1948D2A5"/>
    <w:rsid w:val="194BEDEC"/>
    <w:rsid w:val="19545958"/>
    <w:rsid w:val="1957BB7A"/>
    <w:rsid w:val="195A200C"/>
    <w:rsid w:val="195ED4D1"/>
    <w:rsid w:val="195F0CE9"/>
    <w:rsid w:val="19665BA2"/>
    <w:rsid w:val="1967577C"/>
    <w:rsid w:val="196DA2B8"/>
    <w:rsid w:val="19705C46"/>
    <w:rsid w:val="197A0893"/>
    <w:rsid w:val="198325BE"/>
    <w:rsid w:val="198BA1B2"/>
    <w:rsid w:val="198F8FA3"/>
    <w:rsid w:val="19942BA4"/>
    <w:rsid w:val="1994D27B"/>
    <w:rsid w:val="19993316"/>
    <w:rsid w:val="19A00224"/>
    <w:rsid w:val="19A51BEA"/>
    <w:rsid w:val="19B08976"/>
    <w:rsid w:val="19B45888"/>
    <w:rsid w:val="19CAAE9A"/>
    <w:rsid w:val="19E33169"/>
    <w:rsid w:val="19E5F047"/>
    <w:rsid w:val="19E62318"/>
    <w:rsid w:val="19EC73AD"/>
    <w:rsid w:val="19F0019B"/>
    <w:rsid w:val="19F66298"/>
    <w:rsid w:val="19F68E42"/>
    <w:rsid w:val="19F6F247"/>
    <w:rsid w:val="19F70ADA"/>
    <w:rsid w:val="19F87D01"/>
    <w:rsid w:val="19F8CC2F"/>
    <w:rsid w:val="19FA5216"/>
    <w:rsid w:val="19FE4CF6"/>
    <w:rsid w:val="1A00DB55"/>
    <w:rsid w:val="1A020109"/>
    <w:rsid w:val="1A05EBA1"/>
    <w:rsid w:val="1A06BF4E"/>
    <w:rsid w:val="1A126255"/>
    <w:rsid w:val="1A1266CA"/>
    <w:rsid w:val="1A1417B6"/>
    <w:rsid w:val="1A167ACA"/>
    <w:rsid w:val="1A1E3524"/>
    <w:rsid w:val="1A2118BB"/>
    <w:rsid w:val="1A22D024"/>
    <w:rsid w:val="1A231377"/>
    <w:rsid w:val="1A23CA06"/>
    <w:rsid w:val="1A3247E8"/>
    <w:rsid w:val="1A386A51"/>
    <w:rsid w:val="1A390511"/>
    <w:rsid w:val="1A3B92F7"/>
    <w:rsid w:val="1A43E287"/>
    <w:rsid w:val="1A4C6BF1"/>
    <w:rsid w:val="1A522D58"/>
    <w:rsid w:val="1A6FB988"/>
    <w:rsid w:val="1A6FF7BF"/>
    <w:rsid w:val="1A705166"/>
    <w:rsid w:val="1A7DC14A"/>
    <w:rsid w:val="1A85386C"/>
    <w:rsid w:val="1A859F50"/>
    <w:rsid w:val="1A87A3BA"/>
    <w:rsid w:val="1A8E23A5"/>
    <w:rsid w:val="1A8EC7D4"/>
    <w:rsid w:val="1A8F4753"/>
    <w:rsid w:val="1A950154"/>
    <w:rsid w:val="1AA10C06"/>
    <w:rsid w:val="1AA9A390"/>
    <w:rsid w:val="1AB82BF0"/>
    <w:rsid w:val="1AB974A7"/>
    <w:rsid w:val="1AC0FA56"/>
    <w:rsid w:val="1AC35F7D"/>
    <w:rsid w:val="1AC47C2A"/>
    <w:rsid w:val="1AC5EEEC"/>
    <w:rsid w:val="1AC99F57"/>
    <w:rsid w:val="1ACE2E7E"/>
    <w:rsid w:val="1AE1D407"/>
    <w:rsid w:val="1AE4304C"/>
    <w:rsid w:val="1AE5E949"/>
    <w:rsid w:val="1AED8D4A"/>
    <w:rsid w:val="1AF18391"/>
    <w:rsid w:val="1AF59B21"/>
    <w:rsid w:val="1AF9F951"/>
    <w:rsid w:val="1AFEB493"/>
    <w:rsid w:val="1B08F647"/>
    <w:rsid w:val="1B0C19AD"/>
    <w:rsid w:val="1B0D4193"/>
    <w:rsid w:val="1B0DE35E"/>
    <w:rsid w:val="1B0E8D27"/>
    <w:rsid w:val="1B0EDAC9"/>
    <w:rsid w:val="1B133DF5"/>
    <w:rsid w:val="1B14E43C"/>
    <w:rsid w:val="1B1BFA58"/>
    <w:rsid w:val="1B2420D9"/>
    <w:rsid w:val="1B278639"/>
    <w:rsid w:val="1B284737"/>
    <w:rsid w:val="1B28976F"/>
    <w:rsid w:val="1B2F6059"/>
    <w:rsid w:val="1B33397C"/>
    <w:rsid w:val="1B354B90"/>
    <w:rsid w:val="1B43DEE0"/>
    <w:rsid w:val="1B4746F5"/>
    <w:rsid w:val="1B482D92"/>
    <w:rsid w:val="1B4F7C06"/>
    <w:rsid w:val="1B5523F6"/>
    <w:rsid w:val="1B598A6C"/>
    <w:rsid w:val="1B5A4EF5"/>
    <w:rsid w:val="1B5BC40B"/>
    <w:rsid w:val="1B5CF251"/>
    <w:rsid w:val="1B6FDABE"/>
    <w:rsid w:val="1B7362CA"/>
    <w:rsid w:val="1B74DBC5"/>
    <w:rsid w:val="1B7A4A67"/>
    <w:rsid w:val="1B7E0EFD"/>
    <w:rsid w:val="1B82F6BD"/>
    <w:rsid w:val="1B85C2C7"/>
    <w:rsid w:val="1B8F9D81"/>
    <w:rsid w:val="1B91BCD4"/>
    <w:rsid w:val="1B92FBE4"/>
    <w:rsid w:val="1B98D71B"/>
    <w:rsid w:val="1BA13B0E"/>
    <w:rsid w:val="1BADF67F"/>
    <w:rsid w:val="1BB2F5CA"/>
    <w:rsid w:val="1BB56CCD"/>
    <w:rsid w:val="1BBF04E4"/>
    <w:rsid w:val="1BBF487F"/>
    <w:rsid w:val="1BBFB146"/>
    <w:rsid w:val="1BBFF9D2"/>
    <w:rsid w:val="1BC147EA"/>
    <w:rsid w:val="1BC90187"/>
    <w:rsid w:val="1BC92FD1"/>
    <w:rsid w:val="1BCC34E0"/>
    <w:rsid w:val="1BCC65EE"/>
    <w:rsid w:val="1BD04605"/>
    <w:rsid w:val="1BD44777"/>
    <w:rsid w:val="1BE593D8"/>
    <w:rsid w:val="1BEA2DC4"/>
    <w:rsid w:val="1BEA6AC5"/>
    <w:rsid w:val="1BEC0CE9"/>
    <w:rsid w:val="1BED9485"/>
    <w:rsid w:val="1BF3DD55"/>
    <w:rsid w:val="1BF8419F"/>
    <w:rsid w:val="1BFAA9B4"/>
    <w:rsid w:val="1C014F71"/>
    <w:rsid w:val="1C03DAC7"/>
    <w:rsid w:val="1C047ED9"/>
    <w:rsid w:val="1C141AB2"/>
    <w:rsid w:val="1C16A523"/>
    <w:rsid w:val="1C1C32A9"/>
    <w:rsid w:val="1C2D388E"/>
    <w:rsid w:val="1C33F09F"/>
    <w:rsid w:val="1C37B87C"/>
    <w:rsid w:val="1C3AB1D9"/>
    <w:rsid w:val="1C3D4367"/>
    <w:rsid w:val="1C3EE6F7"/>
    <w:rsid w:val="1C3F7DA9"/>
    <w:rsid w:val="1C3FA1B6"/>
    <w:rsid w:val="1C41FAED"/>
    <w:rsid w:val="1C4278C2"/>
    <w:rsid w:val="1C438F3C"/>
    <w:rsid w:val="1C46FAE0"/>
    <w:rsid w:val="1C48A0C1"/>
    <w:rsid w:val="1C48D246"/>
    <w:rsid w:val="1C495B5B"/>
    <w:rsid w:val="1C4C4CC1"/>
    <w:rsid w:val="1C4E9A10"/>
    <w:rsid w:val="1C4FB122"/>
    <w:rsid w:val="1C53C51B"/>
    <w:rsid w:val="1C59145C"/>
    <w:rsid w:val="1C592C86"/>
    <w:rsid w:val="1C603DE5"/>
    <w:rsid w:val="1C62C4BA"/>
    <w:rsid w:val="1C651E58"/>
    <w:rsid w:val="1C68B7DB"/>
    <w:rsid w:val="1C6F3406"/>
    <w:rsid w:val="1C76582D"/>
    <w:rsid w:val="1C78A6C3"/>
    <w:rsid w:val="1C7F1134"/>
    <w:rsid w:val="1C833A64"/>
    <w:rsid w:val="1C867B95"/>
    <w:rsid w:val="1C87AEC4"/>
    <w:rsid w:val="1C8F6B08"/>
    <w:rsid w:val="1C916B82"/>
    <w:rsid w:val="1C917AAE"/>
    <w:rsid w:val="1C93824B"/>
    <w:rsid w:val="1CA0C4D4"/>
    <w:rsid w:val="1CA3D791"/>
    <w:rsid w:val="1CA4F464"/>
    <w:rsid w:val="1CB2329E"/>
    <w:rsid w:val="1CB2A6EA"/>
    <w:rsid w:val="1CB723D1"/>
    <w:rsid w:val="1CB761E4"/>
    <w:rsid w:val="1CBAC680"/>
    <w:rsid w:val="1CC13459"/>
    <w:rsid w:val="1CC47C84"/>
    <w:rsid w:val="1CC73065"/>
    <w:rsid w:val="1CCBCFD3"/>
    <w:rsid w:val="1CD35A31"/>
    <w:rsid w:val="1CD59451"/>
    <w:rsid w:val="1CD751C3"/>
    <w:rsid w:val="1CE02F9C"/>
    <w:rsid w:val="1CE04286"/>
    <w:rsid w:val="1CE4EACB"/>
    <w:rsid w:val="1CED4AD1"/>
    <w:rsid w:val="1CEF2C8E"/>
    <w:rsid w:val="1CF6B3BD"/>
    <w:rsid w:val="1CFB5F75"/>
    <w:rsid w:val="1D0500F5"/>
    <w:rsid w:val="1D07DF97"/>
    <w:rsid w:val="1D09264B"/>
    <w:rsid w:val="1D112DE3"/>
    <w:rsid w:val="1D15810E"/>
    <w:rsid w:val="1D161AC8"/>
    <w:rsid w:val="1D1D306F"/>
    <w:rsid w:val="1D2A0885"/>
    <w:rsid w:val="1D2A77FC"/>
    <w:rsid w:val="1D32AF9D"/>
    <w:rsid w:val="1D34A77C"/>
    <w:rsid w:val="1D34B349"/>
    <w:rsid w:val="1D3C9ECE"/>
    <w:rsid w:val="1D3F56FB"/>
    <w:rsid w:val="1D41AEBC"/>
    <w:rsid w:val="1D47BCF3"/>
    <w:rsid w:val="1D4A078C"/>
    <w:rsid w:val="1D4D655C"/>
    <w:rsid w:val="1D4E1A5A"/>
    <w:rsid w:val="1D57000D"/>
    <w:rsid w:val="1D587C70"/>
    <w:rsid w:val="1D5B0973"/>
    <w:rsid w:val="1D5C335E"/>
    <w:rsid w:val="1D5C956F"/>
    <w:rsid w:val="1D60DB8D"/>
    <w:rsid w:val="1D64FE89"/>
    <w:rsid w:val="1D7420FB"/>
    <w:rsid w:val="1D763A5A"/>
    <w:rsid w:val="1D832254"/>
    <w:rsid w:val="1D855011"/>
    <w:rsid w:val="1D865614"/>
    <w:rsid w:val="1D9A76D0"/>
    <w:rsid w:val="1DA1BF20"/>
    <w:rsid w:val="1DB30E24"/>
    <w:rsid w:val="1DBA4903"/>
    <w:rsid w:val="1DC41E8C"/>
    <w:rsid w:val="1DC8CC66"/>
    <w:rsid w:val="1DC9BE46"/>
    <w:rsid w:val="1DD6FA90"/>
    <w:rsid w:val="1DD760BA"/>
    <w:rsid w:val="1DD9C748"/>
    <w:rsid w:val="1DDABF5E"/>
    <w:rsid w:val="1DDE9E31"/>
    <w:rsid w:val="1DDECD0C"/>
    <w:rsid w:val="1DDFE776"/>
    <w:rsid w:val="1DE3615C"/>
    <w:rsid w:val="1DE8E5A6"/>
    <w:rsid w:val="1DE965ED"/>
    <w:rsid w:val="1DEC9176"/>
    <w:rsid w:val="1DEE1E67"/>
    <w:rsid w:val="1DEF7832"/>
    <w:rsid w:val="1E02F61E"/>
    <w:rsid w:val="1E1750EA"/>
    <w:rsid w:val="1E248B7D"/>
    <w:rsid w:val="1E2E3016"/>
    <w:rsid w:val="1E50A9A7"/>
    <w:rsid w:val="1E52DD63"/>
    <w:rsid w:val="1E5696E1"/>
    <w:rsid w:val="1E5EEFDC"/>
    <w:rsid w:val="1E601364"/>
    <w:rsid w:val="1E6300C6"/>
    <w:rsid w:val="1E639C47"/>
    <w:rsid w:val="1E7CFF2B"/>
    <w:rsid w:val="1E7D058E"/>
    <w:rsid w:val="1E7EE7B7"/>
    <w:rsid w:val="1E7F0060"/>
    <w:rsid w:val="1E8C2864"/>
    <w:rsid w:val="1E8E6314"/>
    <w:rsid w:val="1E956A0A"/>
    <w:rsid w:val="1E9BEEB9"/>
    <w:rsid w:val="1E9C1834"/>
    <w:rsid w:val="1EA1C806"/>
    <w:rsid w:val="1EA37F89"/>
    <w:rsid w:val="1EA41DD8"/>
    <w:rsid w:val="1EA4D39F"/>
    <w:rsid w:val="1EA5A9DC"/>
    <w:rsid w:val="1EA7AE7B"/>
    <w:rsid w:val="1EBBD82C"/>
    <w:rsid w:val="1EBC123D"/>
    <w:rsid w:val="1ECC521A"/>
    <w:rsid w:val="1ED54904"/>
    <w:rsid w:val="1ED897A0"/>
    <w:rsid w:val="1ED9D145"/>
    <w:rsid w:val="1EDB73BF"/>
    <w:rsid w:val="1EDDB177"/>
    <w:rsid w:val="1EE39B8B"/>
    <w:rsid w:val="1EEA192C"/>
    <w:rsid w:val="1EEE6F28"/>
    <w:rsid w:val="1EF15893"/>
    <w:rsid w:val="1EF5E9BD"/>
    <w:rsid w:val="1EF685B6"/>
    <w:rsid w:val="1EFF7930"/>
    <w:rsid w:val="1F0234C8"/>
    <w:rsid w:val="1F04F2DF"/>
    <w:rsid w:val="1F063121"/>
    <w:rsid w:val="1F09C62D"/>
    <w:rsid w:val="1F0F3F31"/>
    <w:rsid w:val="1F10838F"/>
    <w:rsid w:val="1F17AD1B"/>
    <w:rsid w:val="1F24A6BA"/>
    <w:rsid w:val="1F264B11"/>
    <w:rsid w:val="1F3083F2"/>
    <w:rsid w:val="1F352B4D"/>
    <w:rsid w:val="1F3F278B"/>
    <w:rsid w:val="1F4C38C3"/>
    <w:rsid w:val="1F515379"/>
    <w:rsid w:val="1F53ED4B"/>
    <w:rsid w:val="1F546433"/>
    <w:rsid w:val="1F591AD0"/>
    <w:rsid w:val="1F5BFD17"/>
    <w:rsid w:val="1F5F48AF"/>
    <w:rsid w:val="1F64880C"/>
    <w:rsid w:val="1F671BD5"/>
    <w:rsid w:val="1F694018"/>
    <w:rsid w:val="1F7341F8"/>
    <w:rsid w:val="1F7BA146"/>
    <w:rsid w:val="1F7C7EC4"/>
    <w:rsid w:val="1F803CEC"/>
    <w:rsid w:val="1F865528"/>
    <w:rsid w:val="1F8BC419"/>
    <w:rsid w:val="1F8DBD54"/>
    <w:rsid w:val="1F9777CE"/>
    <w:rsid w:val="1F9AF261"/>
    <w:rsid w:val="1FAAB2B3"/>
    <w:rsid w:val="1FB63CE8"/>
    <w:rsid w:val="1FB978F3"/>
    <w:rsid w:val="1FBB8C00"/>
    <w:rsid w:val="1FC38282"/>
    <w:rsid w:val="1FC5F522"/>
    <w:rsid w:val="1FCD826A"/>
    <w:rsid w:val="1FD1D083"/>
    <w:rsid w:val="1FD9CE66"/>
    <w:rsid w:val="1FDE5D16"/>
    <w:rsid w:val="1FE07B6E"/>
    <w:rsid w:val="1FE31EB8"/>
    <w:rsid w:val="1FE37EA5"/>
    <w:rsid w:val="1FE5B017"/>
    <w:rsid w:val="1FE7F827"/>
    <w:rsid w:val="1FE9481C"/>
    <w:rsid w:val="1FE9D38F"/>
    <w:rsid w:val="1FFE087F"/>
    <w:rsid w:val="1FFE1546"/>
    <w:rsid w:val="2002573C"/>
    <w:rsid w:val="20030E4D"/>
    <w:rsid w:val="20060CA9"/>
    <w:rsid w:val="2016297A"/>
    <w:rsid w:val="202382E3"/>
    <w:rsid w:val="2025C7C2"/>
    <w:rsid w:val="2027DA53"/>
    <w:rsid w:val="202D186B"/>
    <w:rsid w:val="202DC3EE"/>
    <w:rsid w:val="20325A26"/>
    <w:rsid w:val="203E3CB9"/>
    <w:rsid w:val="2040A400"/>
    <w:rsid w:val="20441C30"/>
    <w:rsid w:val="204649AA"/>
    <w:rsid w:val="20596E2F"/>
    <w:rsid w:val="205E6FE5"/>
    <w:rsid w:val="205F8FEF"/>
    <w:rsid w:val="205F95FD"/>
    <w:rsid w:val="2061216D"/>
    <w:rsid w:val="2065C369"/>
    <w:rsid w:val="20712D57"/>
    <w:rsid w:val="20790AA9"/>
    <w:rsid w:val="207FD374"/>
    <w:rsid w:val="208CDECC"/>
    <w:rsid w:val="2092AA35"/>
    <w:rsid w:val="20947226"/>
    <w:rsid w:val="2094B2DB"/>
    <w:rsid w:val="2095752A"/>
    <w:rsid w:val="20964AA0"/>
    <w:rsid w:val="20A541F9"/>
    <w:rsid w:val="20A79E9A"/>
    <w:rsid w:val="20B2D9BD"/>
    <w:rsid w:val="20B5C4D7"/>
    <w:rsid w:val="20C06FA2"/>
    <w:rsid w:val="20C88D46"/>
    <w:rsid w:val="20CAB5B4"/>
    <w:rsid w:val="20CFD939"/>
    <w:rsid w:val="20DAB12A"/>
    <w:rsid w:val="20E35749"/>
    <w:rsid w:val="20E5DFE8"/>
    <w:rsid w:val="20EFF1E8"/>
    <w:rsid w:val="20F44149"/>
    <w:rsid w:val="20F55D69"/>
    <w:rsid w:val="21006D28"/>
    <w:rsid w:val="210D6C75"/>
    <w:rsid w:val="21122A49"/>
    <w:rsid w:val="21129CD7"/>
    <w:rsid w:val="21138C05"/>
    <w:rsid w:val="211FE41D"/>
    <w:rsid w:val="212BBDDF"/>
    <w:rsid w:val="212DC1B0"/>
    <w:rsid w:val="2136FC00"/>
    <w:rsid w:val="213EC4F7"/>
    <w:rsid w:val="21562B53"/>
    <w:rsid w:val="21583A1F"/>
    <w:rsid w:val="21591D91"/>
    <w:rsid w:val="2168EF09"/>
    <w:rsid w:val="216C9B5E"/>
    <w:rsid w:val="2175C603"/>
    <w:rsid w:val="21760693"/>
    <w:rsid w:val="217A2D77"/>
    <w:rsid w:val="217B7809"/>
    <w:rsid w:val="217BD4BA"/>
    <w:rsid w:val="217BF01F"/>
    <w:rsid w:val="217CDCEA"/>
    <w:rsid w:val="217D9F60"/>
    <w:rsid w:val="217F0773"/>
    <w:rsid w:val="21839D6B"/>
    <w:rsid w:val="218E37A3"/>
    <w:rsid w:val="218FE494"/>
    <w:rsid w:val="2193BBF1"/>
    <w:rsid w:val="219A3D57"/>
    <w:rsid w:val="21A53A67"/>
    <w:rsid w:val="21A629E4"/>
    <w:rsid w:val="21A64D58"/>
    <w:rsid w:val="21A74DD0"/>
    <w:rsid w:val="21A8B849"/>
    <w:rsid w:val="21A916E0"/>
    <w:rsid w:val="21A94E50"/>
    <w:rsid w:val="21C196B3"/>
    <w:rsid w:val="21C7B1B1"/>
    <w:rsid w:val="21CC423F"/>
    <w:rsid w:val="21D350EE"/>
    <w:rsid w:val="21D7381D"/>
    <w:rsid w:val="21E09510"/>
    <w:rsid w:val="21E4D627"/>
    <w:rsid w:val="21E5E4BC"/>
    <w:rsid w:val="21E7370C"/>
    <w:rsid w:val="21EA0550"/>
    <w:rsid w:val="21F1B84B"/>
    <w:rsid w:val="21FE75AD"/>
    <w:rsid w:val="220219B2"/>
    <w:rsid w:val="2207B290"/>
    <w:rsid w:val="2212F4B5"/>
    <w:rsid w:val="221693B7"/>
    <w:rsid w:val="2219FE4F"/>
    <w:rsid w:val="221B3BEE"/>
    <w:rsid w:val="2223B8F5"/>
    <w:rsid w:val="222D4FA7"/>
    <w:rsid w:val="22363EE8"/>
    <w:rsid w:val="223867E9"/>
    <w:rsid w:val="223A4D6A"/>
    <w:rsid w:val="223FB152"/>
    <w:rsid w:val="22512A12"/>
    <w:rsid w:val="225DE015"/>
    <w:rsid w:val="2260928C"/>
    <w:rsid w:val="2261E0D2"/>
    <w:rsid w:val="22692974"/>
    <w:rsid w:val="22710391"/>
    <w:rsid w:val="227ADA25"/>
    <w:rsid w:val="22829260"/>
    <w:rsid w:val="228F634C"/>
    <w:rsid w:val="229089E6"/>
    <w:rsid w:val="229103ED"/>
    <w:rsid w:val="2291629C"/>
    <w:rsid w:val="229B2100"/>
    <w:rsid w:val="229F916A"/>
    <w:rsid w:val="22A7810F"/>
    <w:rsid w:val="22AF4A9B"/>
    <w:rsid w:val="22B396BB"/>
    <w:rsid w:val="22C4C828"/>
    <w:rsid w:val="22C94E6A"/>
    <w:rsid w:val="22CC9A6F"/>
    <w:rsid w:val="22D28E13"/>
    <w:rsid w:val="22DEDB43"/>
    <w:rsid w:val="22DFD7A9"/>
    <w:rsid w:val="22DFDE8A"/>
    <w:rsid w:val="22F920AB"/>
    <w:rsid w:val="22FC6144"/>
    <w:rsid w:val="22FF48D8"/>
    <w:rsid w:val="22FF6CCE"/>
    <w:rsid w:val="2301A6D1"/>
    <w:rsid w:val="2302FD0F"/>
    <w:rsid w:val="2304533A"/>
    <w:rsid w:val="230748DE"/>
    <w:rsid w:val="230CBAE4"/>
    <w:rsid w:val="2310741F"/>
    <w:rsid w:val="23196FC1"/>
    <w:rsid w:val="231B083D"/>
    <w:rsid w:val="231BB842"/>
    <w:rsid w:val="231F6DCC"/>
    <w:rsid w:val="232C4763"/>
    <w:rsid w:val="2334D14D"/>
    <w:rsid w:val="233E048E"/>
    <w:rsid w:val="233E5F6F"/>
    <w:rsid w:val="234163FF"/>
    <w:rsid w:val="2343AC03"/>
    <w:rsid w:val="234A0921"/>
    <w:rsid w:val="234DAD93"/>
    <w:rsid w:val="234E4226"/>
    <w:rsid w:val="235E8B0A"/>
    <w:rsid w:val="2365D152"/>
    <w:rsid w:val="23663DB4"/>
    <w:rsid w:val="2367B7C6"/>
    <w:rsid w:val="236A8393"/>
    <w:rsid w:val="236E25C6"/>
    <w:rsid w:val="237227D0"/>
    <w:rsid w:val="2373CDC6"/>
    <w:rsid w:val="23836A7A"/>
    <w:rsid w:val="2392BC6E"/>
    <w:rsid w:val="23950558"/>
    <w:rsid w:val="2398690F"/>
    <w:rsid w:val="2399A696"/>
    <w:rsid w:val="239D2282"/>
    <w:rsid w:val="23B445EA"/>
    <w:rsid w:val="23BC3C5E"/>
    <w:rsid w:val="23C4A75A"/>
    <w:rsid w:val="23C50FAC"/>
    <w:rsid w:val="23C865EF"/>
    <w:rsid w:val="23D28705"/>
    <w:rsid w:val="23D28B6C"/>
    <w:rsid w:val="23D8559D"/>
    <w:rsid w:val="23D867B8"/>
    <w:rsid w:val="23DF4CAE"/>
    <w:rsid w:val="23E28CB8"/>
    <w:rsid w:val="23E82DFC"/>
    <w:rsid w:val="23F57CAA"/>
    <w:rsid w:val="240B6499"/>
    <w:rsid w:val="240CD828"/>
    <w:rsid w:val="241714F2"/>
    <w:rsid w:val="241C9C72"/>
    <w:rsid w:val="2427A765"/>
    <w:rsid w:val="2429A1B3"/>
    <w:rsid w:val="242DD008"/>
    <w:rsid w:val="242E5E85"/>
    <w:rsid w:val="24362BA1"/>
    <w:rsid w:val="2446AA50"/>
    <w:rsid w:val="2449569E"/>
    <w:rsid w:val="2451D267"/>
    <w:rsid w:val="245D4EE4"/>
    <w:rsid w:val="2467F459"/>
    <w:rsid w:val="247352EE"/>
    <w:rsid w:val="247594DA"/>
    <w:rsid w:val="247AA6FA"/>
    <w:rsid w:val="247F3D7A"/>
    <w:rsid w:val="2487729B"/>
    <w:rsid w:val="248CDAA7"/>
    <w:rsid w:val="249195B4"/>
    <w:rsid w:val="24984DDC"/>
    <w:rsid w:val="249B7B83"/>
    <w:rsid w:val="249DF2C3"/>
    <w:rsid w:val="24A19CDF"/>
    <w:rsid w:val="24A6E0C9"/>
    <w:rsid w:val="24A85D5C"/>
    <w:rsid w:val="24A88F5B"/>
    <w:rsid w:val="24A89686"/>
    <w:rsid w:val="24ABD35B"/>
    <w:rsid w:val="24C5DB31"/>
    <w:rsid w:val="24C98C82"/>
    <w:rsid w:val="24CB6D75"/>
    <w:rsid w:val="24CD9D90"/>
    <w:rsid w:val="24CEAF04"/>
    <w:rsid w:val="24D3999A"/>
    <w:rsid w:val="24D506A9"/>
    <w:rsid w:val="24D62FCD"/>
    <w:rsid w:val="24D6AE3C"/>
    <w:rsid w:val="24D6E1B8"/>
    <w:rsid w:val="24E22933"/>
    <w:rsid w:val="24E82D16"/>
    <w:rsid w:val="24E97DF4"/>
    <w:rsid w:val="24E9C0DE"/>
    <w:rsid w:val="24F4E7A7"/>
    <w:rsid w:val="24F6F406"/>
    <w:rsid w:val="24FD6F46"/>
    <w:rsid w:val="2503BCEF"/>
    <w:rsid w:val="2507D310"/>
    <w:rsid w:val="250D368D"/>
    <w:rsid w:val="250D5F7D"/>
    <w:rsid w:val="250F4A04"/>
    <w:rsid w:val="250FC40F"/>
    <w:rsid w:val="25165A71"/>
    <w:rsid w:val="2517B269"/>
    <w:rsid w:val="251A3B8E"/>
    <w:rsid w:val="2521EE2B"/>
    <w:rsid w:val="25276CA6"/>
    <w:rsid w:val="2529CE55"/>
    <w:rsid w:val="252D7B1C"/>
    <w:rsid w:val="252FEB52"/>
    <w:rsid w:val="2530F4F1"/>
    <w:rsid w:val="25330B90"/>
    <w:rsid w:val="253D91D9"/>
    <w:rsid w:val="253EB343"/>
    <w:rsid w:val="2549220C"/>
    <w:rsid w:val="254F980D"/>
    <w:rsid w:val="2555B1E5"/>
    <w:rsid w:val="255BE219"/>
    <w:rsid w:val="255E8DAC"/>
    <w:rsid w:val="255F60A2"/>
    <w:rsid w:val="25655E9A"/>
    <w:rsid w:val="256A42F6"/>
    <w:rsid w:val="256A7E28"/>
    <w:rsid w:val="25718082"/>
    <w:rsid w:val="2575CF0C"/>
    <w:rsid w:val="25798A47"/>
    <w:rsid w:val="25827507"/>
    <w:rsid w:val="258B270E"/>
    <w:rsid w:val="2597749B"/>
    <w:rsid w:val="259DD1B8"/>
    <w:rsid w:val="25A05DE2"/>
    <w:rsid w:val="25A10AC5"/>
    <w:rsid w:val="25A9DE20"/>
    <w:rsid w:val="25AABE89"/>
    <w:rsid w:val="25AE7ED8"/>
    <w:rsid w:val="25AE9EEA"/>
    <w:rsid w:val="25B06027"/>
    <w:rsid w:val="25B1B079"/>
    <w:rsid w:val="25BA3322"/>
    <w:rsid w:val="25BCBB8E"/>
    <w:rsid w:val="25BE8EA7"/>
    <w:rsid w:val="25C1D25E"/>
    <w:rsid w:val="25C37732"/>
    <w:rsid w:val="25C84DC2"/>
    <w:rsid w:val="25CEB8B1"/>
    <w:rsid w:val="25D4799B"/>
    <w:rsid w:val="25D560CF"/>
    <w:rsid w:val="25DA0384"/>
    <w:rsid w:val="25E0493D"/>
    <w:rsid w:val="25E360C0"/>
    <w:rsid w:val="25E5B6EE"/>
    <w:rsid w:val="25E63237"/>
    <w:rsid w:val="25F0AAA7"/>
    <w:rsid w:val="25F2141C"/>
    <w:rsid w:val="25F2D16F"/>
    <w:rsid w:val="25F99107"/>
    <w:rsid w:val="25FF1CDD"/>
    <w:rsid w:val="2600090F"/>
    <w:rsid w:val="2607CFE5"/>
    <w:rsid w:val="260CE14A"/>
    <w:rsid w:val="2610698D"/>
    <w:rsid w:val="26118EC0"/>
    <w:rsid w:val="26163252"/>
    <w:rsid w:val="261CC7BC"/>
    <w:rsid w:val="261D4C1B"/>
    <w:rsid w:val="26223011"/>
    <w:rsid w:val="2629D2D9"/>
    <w:rsid w:val="262F7EC5"/>
    <w:rsid w:val="2631917A"/>
    <w:rsid w:val="2637D979"/>
    <w:rsid w:val="2637F833"/>
    <w:rsid w:val="263AA83B"/>
    <w:rsid w:val="263D9690"/>
    <w:rsid w:val="2641C40C"/>
    <w:rsid w:val="264E71B9"/>
    <w:rsid w:val="2659695A"/>
    <w:rsid w:val="2669B24B"/>
    <w:rsid w:val="266BA8D3"/>
    <w:rsid w:val="266CC375"/>
    <w:rsid w:val="2674996A"/>
    <w:rsid w:val="267EB928"/>
    <w:rsid w:val="268744B9"/>
    <w:rsid w:val="268D2A49"/>
    <w:rsid w:val="268F6437"/>
    <w:rsid w:val="26922989"/>
    <w:rsid w:val="26968DC3"/>
    <w:rsid w:val="26994A99"/>
    <w:rsid w:val="26B38D18"/>
    <w:rsid w:val="26B632B2"/>
    <w:rsid w:val="26C13D9C"/>
    <w:rsid w:val="26C50236"/>
    <w:rsid w:val="26C574A6"/>
    <w:rsid w:val="26C68386"/>
    <w:rsid w:val="26D4C344"/>
    <w:rsid w:val="26D93795"/>
    <w:rsid w:val="26DB89C2"/>
    <w:rsid w:val="26DBE1F3"/>
    <w:rsid w:val="26E0D1A2"/>
    <w:rsid w:val="26E4E32A"/>
    <w:rsid w:val="26E6CFF3"/>
    <w:rsid w:val="26F61A93"/>
    <w:rsid w:val="26F9810D"/>
    <w:rsid w:val="26FA5E0D"/>
    <w:rsid w:val="26FD95F7"/>
    <w:rsid w:val="27034BD2"/>
    <w:rsid w:val="27064FC4"/>
    <w:rsid w:val="27075496"/>
    <w:rsid w:val="27081EDF"/>
    <w:rsid w:val="270B7E0C"/>
    <w:rsid w:val="270EAD13"/>
    <w:rsid w:val="2712F61A"/>
    <w:rsid w:val="2715054F"/>
    <w:rsid w:val="271A5D5A"/>
    <w:rsid w:val="271D1ED5"/>
    <w:rsid w:val="271EE95C"/>
    <w:rsid w:val="272A4835"/>
    <w:rsid w:val="2733AC7D"/>
    <w:rsid w:val="273923F1"/>
    <w:rsid w:val="274396AB"/>
    <w:rsid w:val="2745F3F4"/>
    <w:rsid w:val="27489B4E"/>
    <w:rsid w:val="2749DEA3"/>
    <w:rsid w:val="274EB5B4"/>
    <w:rsid w:val="27533F5D"/>
    <w:rsid w:val="275C2596"/>
    <w:rsid w:val="276B00B7"/>
    <w:rsid w:val="2775874E"/>
    <w:rsid w:val="277CD2DC"/>
    <w:rsid w:val="27846448"/>
    <w:rsid w:val="278643C2"/>
    <w:rsid w:val="27864B8E"/>
    <w:rsid w:val="279833F6"/>
    <w:rsid w:val="279EA5B4"/>
    <w:rsid w:val="27A18F57"/>
    <w:rsid w:val="27A1CBE4"/>
    <w:rsid w:val="27ACD9B5"/>
    <w:rsid w:val="27B732DB"/>
    <w:rsid w:val="27B911BA"/>
    <w:rsid w:val="27BC64BC"/>
    <w:rsid w:val="27BE04A2"/>
    <w:rsid w:val="27C3E65E"/>
    <w:rsid w:val="27C52130"/>
    <w:rsid w:val="27CEE5D8"/>
    <w:rsid w:val="27E69636"/>
    <w:rsid w:val="27E99D02"/>
    <w:rsid w:val="27EDFDF8"/>
    <w:rsid w:val="27FE9B95"/>
    <w:rsid w:val="2803C45A"/>
    <w:rsid w:val="2817A065"/>
    <w:rsid w:val="281D8A83"/>
    <w:rsid w:val="281FADE1"/>
    <w:rsid w:val="28211EB6"/>
    <w:rsid w:val="2825C9FD"/>
    <w:rsid w:val="28261E25"/>
    <w:rsid w:val="282D23FF"/>
    <w:rsid w:val="282F7F2F"/>
    <w:rsid w:val="2835FA84"/>
    <w:rsid w:val="2838534A"/>
    <w:rsid w:val="2839744D"/>
    <w:rsid w:val="2840AAFB"/>
    <w:rsid w:val="2843265E"/>
    <w:rsid w:val="2845DCD9"/>
    <w:rsid w:val="2847CAAA"/>
    <w:rsid w:val="284840A2"/>
    <w:rsid w:val="284B0A16"/>
    <w:rsid w:val="284ED746"/>
    <w:rsid w:val="28573489"/>
    <w:rsid w:val="2858CA00"/>
    <w:rsid w:val="286764C5"/>
    <w:rsid w:val="28738834"/>
    <w:rsid w:val="28775A23"/>
    <w:rsid w:val="28843AE7"/>
    <w:rsid w:val="288C8143"/>
    <w:rsid w:val="2895516E"/>
    <w:rsid w:val="28A4F992"/>
    <w:rsid w:val="28AD322A"/>
    <w:rsid w:val="28B85B97"/>
    <w:rsid w:val="28C2AB29"/>
    <w:rsid w:val="28C3A7E6"/>
    <w:rsid w:val="28CC1811"/>
    <w:rsid w:val="28DE2779"/>
    <w:rsid w:val="28EA3BC4"/>
    <w:rsid w:val="28F7FB1B"/>
    <w:rsid w:val="28FA9550"/>
    <w:rsid w:val="28FC6A06"/>
    <w:rsid w:val="28FE0C2A"/>
    <w:rsid w:val="28FFBE41"/>
    <w:rsid w:val="2905FDD7"/>
    <w:rsid w:val="290873FC"/>
    <w:rsid w:val="290DB1DF"/>
    <w:rsid w:val="290EBC23"/>
    <w:rsid w:val="29164D99"/>
    <w:rsid w:val="2920619B"/>
    <w:rsid w:val="29289F69"/>
    <w:rsid w:val="29289F93"/>
    <w:rsid w:val="292EDBC0"/>
    <w:rsid w:val="292FB6C4"/>
    <w:rsid w:val="29348EE0"/>
    <w:rsid w:val="29383505"/>
    <w:rsid w:val="293F45A1"/>
    <w:rsid w:val="29430CB1"/>
    <w:rsid w:val="29450314"/>
    <w:rsid w:val="294A55C4"/>
    <w:rsid w:val="294B2B78"/>
    <w:rsid w:val="294E8D2B"/>
    <w:rsid w:val="2953E4E7"/>
    <w:rsid w:val="295B7FB5"/>
    <w:rsid w:val="29663A1C"/>
    <w:rsid w:val="29679677"/>
    <w:rsid w:val="29684304"/>
    <w:rsid w:val="296DF20E"/>
    <w:rsid w:val="297287A4"/>
    <w:rsid w:val="297522A8"/>
    <w:rsid w:val="297727EF"/>
    <w:rsid w:val="2988B145"/>
    <w:rsid w:val="2994877C"/>
    <w:rsid w:val="299AEF06"/>
    <w:rsid w:val="29A120E1"/>
    <w:rsid w:val="29A22027"/>
    <w:rsid w:val="29A41B1F"/>
    <w:rsid w:val="29ADA0F3"/>
    <w:rsid w:val="29B385FB"/>
    <w:rsid w:val="29B5F20A"/>
    <w:rsid w:val="29B828BD"/>
    <w:rsid w:val="29BF2438"/>
    <w:rsid w:val="29C1873A"/>
    <w:rsid w:val="29CACA59"/>
    <w:rsid w:val="29CC86AF"/>
    <w:rsid w:val="29D5BB4E"/>
    <w:rsid w:val="29D61B17"/>
    <w:rsid w:val="29D70B16"/>
    <w:rsid w:val="29DC7B5C"/>
    <w:rsid w:val="29DECB64"/>
    <w:rsid w:val="29E20A29"/>
    <w:rsid w:val="29E53A33"/>
    <w:rsid w:val="29E638D7"/>
    <w:rsid w:val="29ED041F"/>
    <w:rsid w:val="29F30711"/>
    <w:rsid w:val="29F4D7CA"/>
    <w:rsid w:val="29F5A3B9"/>
    <w:rsid w:val="29FF3F2F"/>
    <w:rsid w:val="2A0B5CBA"/>
    <w:rsid w:val="2A0D7BC9"/>
    <w:rsid w:val="2A1051DD"/>
    <w:rsid w:val="2A132A84"/>
    <w:rsid w:val="2A1540D6"/>
    <w:rsid w:val="2A19546E"/>
    <w:rsid w:val="2A1D9F90"/>
    <w:rsid w:val="2A206AB3"/>
    <w:rsid w:val="2A264622"/>
    <w:rsid w:val="2A2E3A8D"/>
    <w:rsid w:val="2A30F0F9"/>
    <w:rsid w:val="2A39C467"/>
    <w:rsid w:val="2A3A2357"/>
    <w:rsid w:val="2A414428"/>
    <w:rsid w:val="2A430F23"/>
    <w:rsid w:val="2A481B8F"/>
    <w:rsid w:val="2A49590B"/>
    <w:rsid w:val="2A4E17D1"/>
    <w:rsid w:val="2A521CC4"/>
    <w:rsid w:val="2A5597BD"/>
    <w:rsid w:val="2A56EEC5"/>
    <w:rsid w:val="2A58BAAF"/>
    <w:rsid w:val="2A5F88F3"/>
    <w:rsid w:val="2A60C2C5"/>
    <w:rsid w:val="2A628D6D"/>
    <w:rsid w:val="2A6380BE"/>
    <w:rsid w:val="2A687D0C"/>
    <w:rsid w:val="2A713EBF"/>
    <w:rsid w:val="2A729A59"/>
    <w:rsid w:val="2A7D29D2"/>
    <w:rsid w:val="2A7E0E9F"/>
    <w:rsid w:val="2A7EFF66"/>
    <w:rsid w:val="2A80583B"/>
    <w:rsid w:val="2A81FB32"/>
    <w:rsid w:val="2A870D6B"/>
    <w:rsid w:val="2A8D0F47"/>
    <w:rsid w:val="2A9225DF"/>
    <w:rsid w:val="2A979436"/>
    <w:rsid w:val="2A983CD8"/>
    <w:rsid w:val="2A9CD5CB"/>
    <w:rsid w:val="2A9E82A6"/>
    <w:rsid w:val="2AA46A87"/>
    <w:rsid w:val="2AB0D421"/>
    <w:rsid w:val="2AC4F283"/>
    <w:rsid w:val="2ACA7E52"/>
    <w:rsid w:val="2AE502E9"/>
    <w:rsid w:val="2AF72FC9"/>
    <w:rsid w:val="2AF9C627"/>
    <w:rsid w:val="2AFA75CC"/>
    <w:rsid w:val="2B02A5D4"/>
    <w:rsid w:val="2B10AC99"/>
    <w:rsid w:val="2B1602EF"/>
    <w:rsid w:val="2B1F5C92"/>
    <w:rsid w:val="2B1FB3F9"/>
    <w:rsid w:val="2B206BCF"/>
    <w:rsid w:val="2B238329"/>
    <w:rsid w:val="2B28584F"/>
    <w:rsid w:val="2B2D0270"/>
    <w:rsid w:val="2B365E8D"/>
    <w:rsid w:val="2B39E659"/>
    <w:rsid w:val="2B3B9B5D"/>
    <w:rsid w:val="2B3D4666"/>
    <w:rsid w:val="2B3E35B6"/>
    <w:rsid w:val="2B40DC5B"/>
    <w:rsid w:val="2B410792"/>
    <w:rsid w:val="2B444262"/>
    <w:rsid w:val="2B4688BD"/>
    <w:rsid w:val="2B4AB3C0"/>
    <w:rsid w:val="2B4B3943"/>
    <w:rsid w:val="2B5380DB"/>
    <w:rsid w:val="2B591FC2"/>
    <w:rsid w:val="2B5BC51A"/>
    <w:rsid w:val="2B64B815"/>
    <w:rsid w:val="2B77BF39"/>
    <w:rsid w:val="2B7E2C3C"/>
    <w:rsid w:val="2B7F8287"/>
    <w:rsid w:val="2B8C156B"/>
    <w:rsid w:val="2B8CB3FB"/>
    <w:rsid w:val="2B90FF5E"/>
    <w:rsid w:val="2B95E82B"/>
    <w:rsid w:val="2B970275"/>
    <w:rsid w:val="2B98EFA2"/>
    <w:rsid w:val="2B9DA3BA"/>
    <w:rsid w:val="2B9E066D"/>
    <w:rsid w:val="2BA14457"/>
    <w:rsid w:val="2BA89342"/>
    <w:rsid w:val="2BB6A761"/>
    <w:rsid w:val="2BC42205"/>
    <w:rsid w:val="2BC52D91"/>
    <w:rsid w:val="2BC9DCF5"/>
    <w:rsid w:val="2BCEE390"/>
    <w:rsid w:val="2BD1E151"/>
    <w:rsid w:val="2BDD562E"/>
    <w:rsid w:val="2BDE8C87"/>
    <w:rsid w:val="2BEA5C3B"/>
    <w:rsid w:val="2BF1F17F"/>
    <w:rsid w:val="2BF53D0C"/>
    <w:rsid w:val="2BF89BF2"/>
    <w:rsid w:val="2BF95733"/>
    <w:rsid w:val="2BFB2441"/>
    <w:rsid w:val="2C00202C"/>
    <w:rsid w:val="2C008A7C"/>
    <w:rsid w:val="2C04C2C8"/>
    <w:rsid w:val="2C070E63"/>
    <w:rsid w:val="2C07DF3E"/>
    <w:rsid w:val="2C129E95"/>
    <w:rsid w:val="2C18DE6B"/>
    <w:rsid w:val="2C19E52F"/>
    <w:rsid w:val="2C1C0649"/>
    <w:rsid w:val="2C1D3DF6"/>
    <w:rsid w:val="2C24A89B"/>
    <w:rsid w:val="2C24EF25"/>
    <w:rsid w:val="2C2F729F"/>
    <w:rsid w:val="2C31F47B"/>
    <w:rsid w:val="2C3F774B"/>
    <w:rsid w:val="2C4014BE"/>
    <w:rsid w:val="2C44153E"/>
    <w:rsid w:val="2C4B4C9A"/>
    <w:rsid w:val="2C57FA0C"/>
    <w:rsid w:val="2C5B6B38"/>
    <w:rsid w:val="2C5D71C4"/>
    <w:rsid w:val="2C63DAF2"/>
    <w:rsid w:val="2C65B73B"/>
    <w:rsid w:val="2C6DC26E"/>
    <w:rsid w:val="2C6EA82A"/>
    <w:rsid w:val="2C6FB903"/>
    <w:rsid w:val="2C72B1D9"/>
    <w:rsid w:val="2C7A0E41"/>
    <w:rsid w:val="2C7D90D3"/>
    <w:rsid w:val="2C813F84"/>
    <w:rsid w:val="2C81D145"/>
    <w:rsid w:val="2C877523"/>
    <w:rsid w:val="2C9AC93C"/>
    <w:rsid w:val="2C9C0E2C"/>
    <w:rsid w:val="2C9E694B"/>
    <w:rsid w:val="2CAB4FE4"/>
    <w:rsid w:val="2CAC1217"/>
    <w:rsid w:val="2CD0B762"/>
    <w:rsid w:val="2CD8C1A3"/>
    <w:rsid w:val="2CDAE446"/>
    <w:rsid w:val="2CDB4785"/>
    <w:rsid w:val="2CE1F39D"/>
    <w:rsid w:val="2CE623FC"/>
    <w:rsid w:val="2CED686C"/>
    <w:rsid w:val="2CF7957B"/>
    <w:rsid w:val="2CF96D62"/>
    <w:rsid w:val="2CFBFA03"/>
    <w:rsid w:val="2D019E37"/>
    <w:rsid w:val="2D0BB3C1"/>
    <w:rsid w:val="2D0F3C25"/>
    <w:rsid w:val="2D127DC9"/>
    <w:rsid w:val="2D1A61A1"/>
    <w:rsid w:val="2D1C6FCA"/>
    <w:rsid w:val="2D1E09BB"/>
    <w:rsid w:val="2D349CE7"/>
    <w:rsid w:val="2D351D0E"/>
    <w:rsid w:val="2D367175"/>
    <w:rsid w:val="2D3BA259"/>
    <w:rsid w:val="2D3F8768"/>
    <w:rsid w:val="2D573611"/>
    <w:rsid w:val="2D5F23BD"/>
    <w:rsid w:val="2D6003D8"/>
    <w:rsid w:val="2D6022C2"/>
    <w:rsid w:val="2D63F787"/>
    <w:rsid w:val="2D6D7411"/>
    <w:rsid w:val="2D71511F"/>
    <w:rsid w:val="2D78C589"/>
    <w:rsid w:val="2D7E795A"/>
    <w:rsid w:val="2D8FAF63"/>
    <w:rsid w:val="2D8FB53E"/>
    <w:rsid w:val="2D918020"/>
    <w:rsid w:val="2D91DE8D"/>
    <w:rsid w:val="2D92E9F7"/>
    <w:rsid w:val="2D94AB6C"/>
    <w:rsid w:val="2D9E04F1"/>
    <w:rsid w:val="2DA37886"/>
    <w:rsid w:val="2DABA96E"/>
    <w:rsid w:val="2DAEEC87"/>
    <w:rsid w:val="2DB88C4F"/>
    <w:rsid w:val="2DC1AF23"/>
    <w:rsid w:val="2DC62785"/>
    <w:rsid w:val="2DC8A86D"/>
    <w:rsid w:val="2DC92B74"/>
    <w:rsid w:val="2DCD1B01"/>
    <w:rsid w:val="2DD170E0"/>
    <w:rsid w:val="2DD4C0A8"/>
    <w:rsid w:val="2DDBE51F"/>
    <w:rsid w:val="2DE01BC0"/>
    <w:rsid w:val="2DE93FBA"/>
    <w:rsid w:val="2DF18EC7"/>
    <w:rsid w:val="2DF40653"/>
    <w:rsid w:val="2DFD395A"/>
    <w:rsid w:val="2DFE0A81"/>
    <w:rsid w:val="2E001B70"/>
    <w:rsid w:val="2E07A64B"/>
    <w:rsid w:val="2E10571C"/>
    <w:rsid w:val="2E14DFBE"/>
    <w:rsid w:val="2E16F151"/>
    <w:rsid w:val="2E1DFA42"/>
    <w:rsid w:val="2E2A16FF"/>
    <w:rsid w:val="2E2D61AD"/>
    <w:rsid w:val="2E319A11"/>
    <w:rsid w:val="2E433F5C"/>
    <w:rsid w:val="2E456F9E"/>
    <w:rsid w:val="2E4756FD"/>
    <w:rsid w:val="2E479952"/>
    <w:rsid w:val="2E47ABBD"/>
    <w:rsid w:val="2E4F6661"/>
    <w:rsid w:val="2E5EC47D"/>
    <w:rsid w:val="2E64F90C"/>
    <w:rsid w:val="2E653319"/>
    <w:rsid w:val="2E6CA03F"/>
    <w:rsid w:val="2E7147A7"/>
    <w:rsid w:val="2E76B4A7"/>
    <w:rsid w:val="2E86B740"/>
    <w:rsid w:val="2E88EB8E"/>
    <w:rsid w:val="2E8E07F5"/>
    <w:rsid w:val="2E908740"/>
    <w:rsid w:val="2E926591"/>
    <w:rsid w:val="2E9F7DE4"/>
    <w:rsid w:val="2EA9BC48"/>
    <w:rsid w:val="2EAF8514"/>
    <w:rsid w:val="2EBAF7F8"/>
    <w:rsid w:val="2EBFEC28"/>
    <w:rsid w:val="2EC21994"/>
    <w:rsid w:val="2EC914DC"/>
    <w:rsid w:val="2ECB7004"/>
    <w:rsid w:val="2ED349FB"/>
    <w:rsid w:val="2ED61AB4"/>
    <w:rsid w:val="2EDD2EC1"/>
    <w:rsid w:val="2EE8990E"/>
    <w:rsid w:val="2EE9B83B"/>
    <w:rsid w:val="2EECDAA9"/>
    <w:rsid w:val="2EFBF7F7"/>
    <w:rsid w:val="2F0162B2"/>
    <w:rsid w:val="2F057D66"/>
    <w:rsid w:val="2F05EF39"/>
    <w:rsid w:val="2F06C59C"/>
    <w:rsid w:val="2F375A9D"/>
    <w:rsid w:val="2F3FE866"/>
    <w:rsid w:val="2F47AF3D"/>
    <w:rsid w:val="2F491B50"/>
    <w:rsid w:val="2F597B4A"/>
    <w:rsid w:val="2F5FAF97"/>
    <w:rsid w:val="2F61AC25"/>
    <w:rsid w:val="2F620CE4"/>
    <w:rsid w:val="2F673C9F"/>
    <w:rsid w:val="2F674978"/>
    <w:rsid w:val="2F67EBB7"/>
    <w:rsid w:val="2F744231"/>
    <w:rsid w:val="2F7516F7"/>
    <w:rsid w:val="2F78C444"/>
    <w:rsid w:val="2F7B2E09"/>
    <w:rsid w:val="2F7C6797"/>
    <w:rsid w:val="2F7E548F"/>
    <w:rsid w:val="2F7E9970"/>
    <w:rsid w:val="2F808B58"/>
    <w:rsid w:val="2F8F017C"/>
    <w:rsid w:val="2F943FB0"/>
    <w:rsid w:val="2F98AC74"/>
    <w:rsid w:val="2F98ECFB"/>
    <w:rsid w:val="2F9ABC03"/>
    <w:rsid w:val="2F9FE94D"/>
    <w:rsid w:val="2FA2233B"/>
    <w:rsid w:val="2FA54FC6"/>
    <w:rsid w:val="2FA60D32"/>
    <w:rsid w:val="2FA759C5"/>
    <w:rsid w:val="2FAA3832"/>
    <w:rsid w:val="2FBCFD67"/>
    <w:rsid w:val="2FBD3283"/>
    <w:rsid w:val="2FCA1720"/>
    <w:rsid w:val="2FCA97F0"/>
    <w:rsid w:val="2FD1BDD0"/>
    <w:rsid w:val="2FD38970"/>
    <w:rsid w:val="2FD4CA27"/>
    <w:rsid w:val="2FD5E190"/>
    <w:rsid w:val="2FD9F7BD"/>
    <w:rsid w:val="2FE32E62"/>
    <w:rsid w:val="2FF2BD4C"/>
    <w:rsid w:val="3015537F"/>
    <w:rsid w:val="3017B385"/>
    <w:rsid w:val="301EDAB2"/>
    <w:rsid w:val="30230132"/>
    <w:rsid w:val="30240244"/>
    <w:rsid w:val="302643F5"/>
    <w:rsid w:val="3026786D"/>
    <w:rsid w:val="302BB543"/>
    <w:rsid w:val="3038DA38"/>
    <w:rsid w:val="303DA90D"/>
    <w:rsid w:val="303E140B"/>
    <w:rsid w:val="303EFF01"/>
    <w:rsid w:val="3040D8D1"/>
    <w:rsid w:val="30413525"/>
    <w:rsid w:val="30484071"/>
    <w:rsid w:val="30497725"/>
    <w:rsid w:val="3052539D"/>
    <w:rsid w:val="3054108C"/>
    <w:rsid w:val="305DF33E"/>
    <w:rsid w:val="306B61B9"/>
    <w:rsid w:val="3074B57A"/>
    <w:rsid w:val="307F5ED1"/>
    <w:rsid w:val="3087C0F5"/>
    <w:rsid w:val="3089F9C6"/>
    <w:rsid w:val="308B4FE0"/>
    <w:rsid w:val="3090EEC3"/>
    <w:rsid w:val="3091159F"/>
    <w:rsid w:val="30935063"/>
    <w:rsid w:val="30979328"/>
    <w:rsid w:val="309A671F"/>
    <w:rsid w:val="309D5096"/>
    <w:rsid w:val="30A4E2DA"/>
    <w:rsid w:val="30A8A1FB"/>
    <w:rsid w:val="30AA5B71"/>
    <w:rsid w:val="30AAAE9F"/>
    <w:rsid w:val="30AF7C32"/>
    <w:rsid w:val="30C5B611"/>
    <w:rsid w:val="30CAB9A7"/>
    <w:rsid w:val="30CBE8FA"/>
    <w:rsid w:val="30D21E24"/>
    <w:rsid w:val="30D8BF78"/>
    <w:rsid w:val="30E4A995"/>
    <w:rsid w:val="30E68C20"/>
    <w:rsid w:val="30EFE18E"/>
    <w:rsid w:val="30F15191"/>
    <w:rsid w:val="30F26D1B"/>
    <w:rsid w:val="30F68832"/>
    <w:rsid w:val="31030D00"/>
    <w:rsid w:val="310655F4"/>
    <w:rsid w:val="31074E21"/>
    <w:rsid w:val="3118DCC4"/>
    <w:rsid w:val="3119231F"/>
    <w:rsid w:val="311AEBA1"/>
    <w:rsid w:val="311DFC7A"/>
    <w:rsid w:val="311E050F"/>
    <w:rsid w:val="312C3127"/>
    <w:rsid w:val="3130544C"/>
    <w:rsid w:val="31337995"/>
    <w:rsid w:val="31340A28"/>
    <w:rsid w:val="314A5786"/>
    <w:rsid w:val="315B2921"/>
    <w:rsid w:val="315F7D39"/>
    <w:rsid w:val="3167D617"/>
    <w:rsid w:val="3182B2D5"/>
    <w:rsid w:val="31846989"/>
    <w:rsid w:val="3184A6F2"/>
    <w:rsid w:val="318B68AD"/>
    <w:rsid w:val="318E0DA7"/>
    <w:rsid w:val="31925AE3"/>
    <w:rsid w:val="3194A208"/>
    <w:rsid w:val="31983EC7"/>
    <w:rsid w:val="31988D86"/>
    <w:rsid w:val="31B6105E"/>
    <w:rsid w:val="31C33B4B"/>
    <w:rsid w:val="31C68DA6"/>
    <w:rsid w:val="31C86567"/>
    <w:rsid w:val="31CC1ABB"/>
    <w:rsid w:val="31D224DD"/>
    <w:rsid w:val="31D5FAD9"/>
    <w:rsid w:val="31D7805F"/>
    <w:rsid w:val="31D7E104"/>
    <w:rsid w:val="31DCA932"/>
    <w:rsid w:val="31E99B8E"/>
    <w:rsid w:val="31EE3C7F"/>
    <w:rsid w:val="31F4677A"/>
    <w:rsid w:val="31FD5AD6"/>
    <w:rsid w:val="3201D657"/>
    <w:rsid w:val="3205CD6F"/>
    <w:rsid w:val="320AC74E"/>
    <w:rsid w:val="320C04DB"/>
    <w:rsid w:val="320F113F"/>
    <w:rsid w:val="3218396C"/>
    <w:rsid w:val="3229785D"/>
    <w:rsid w:val="32299BD8"/>
    <w:rsid w:val="322ACD68"/>
    <w:rsid w:val="322B0EFE"/>
    <w:rsid w:val="323AEBD3"/>
    <w:rsid w:val="323CD5CF"/>
    <w:rsid w:val="3240489E"/>
    <w:rsid w:val="324F8719"/>
    <w:rsid w:val="3250BE30"/>
    <w:rsid w:val="32544CBA"/>
    <w:rsid w:val="32546695"/>
    <w:rsid w:val="32562821"/>
    <w:rsid w:val="3258C4AD"/>
    <w:rsid w:val="32647E90"/>
    <w:rsid w:val="326A8C32"/>
    <w:rsid w:val="326B704A"/>
    <w:rsid w:val="32713E1D"/>
    <w:rsid w:val="32739137"/>
    <w:rsid w:val="3273EFEB"/>
    <w:rsid w:val="3278A24F"/>
    <w:rsid w:val="327BE3AB"/>
    <w:rsid w:val="32909E3B"/>
    <w:rsid w:val="3297817A"/>
    <w:rsid w:val="329EDD61"/>
    <w:rsid w:val="32A1055B"/>
    <w:rsid w:val="32A9D76C"/>
    <w:rsid w:val="32ABE2F3"/>
    <w:rsid w:val="32B265FB"/>
    <w:rsid w:val="32B69235"/>
    <w:rsid w:val="32D09BE1"/>
    <w:rsid w:val="32D5AE3F"/>
    <w:rsid w:val="32D99882"/>
    <w:rsid w:val="32DBB25C"/>
    <w:rsid w:val="32E8E0C9"/>
    <w:rsid w:val="32EF6FB6"/>
    <w:rsid w:val="32F797E5"/>
    <w:rsid w:val="32FD8822"/>
    <w:rsid w:val="3300C78D"/>
    <w:rsid w:val="33068B97"/>
    <w:rsid w:val="330AF209"/>
    <w:rsid w:val="330B51C3"/>
    <w:rsid w:val="330D6383"/>
    <w:rsid w:val="330DBC46"/>
    <w:rsid w:val="3318D5B7"/>
    <w:rsid w:val="331EC48F"/>
    <w:rsid w:val="3320ABA0"/>
    <w:rsid w:val="332BD20F"/>
    <w:rsid w:val="332FEB0A"/>
    <w:rsid w:val="332FECBD"/>
    <w:rsid w:val="3333D88E"/>
    <w:rsid w:val="3335232B"/>
    <w:rsid w:val="333BFBF7"/>
    <w:rsid w:val="33463A72"/>
    <w:rsid w:val="334A6AA9"/>
    <w:rsid w:val="33581345"/>
    <w:rsid w:val="335A2863"/>
    <w:rsid w:val="3361F921"/>
    <w:rsid w:val="3363587E"/>
    <w:rsid w:val="33647EBD"/>
    <w:rsid w:val="3376F5C5"/>
    <w:rsid w:val="337B29F0"/>
    <w:rsid w:val="33835C8B"/>
    <w:rsid w:val="3386091C"/>
    <w:rsid w:val="33869F5D"/>
    <w:rsid w:val="338CBE8D"/>
    <w:rsid w:val="338DAB00"/>
    <w:rsid w:val="338FFAF9"/>
    <w:rsid w:val="3392CDC8"/>
    <w:rsid w:val="33982FBF"/>
    <w:rsid w:val="33AD1194"/>
    <w:rsid w:val="33BDE255"/>
    <w:rsid w:val="33C28002"/>
    <w:rsid w:val="33C36632"/>
    <w:rsid w:val="33CB8C4C"/>
    <w:rsid w:val="33D81A3B"/>
    <w:rsid w:val="33DE16DF"/>
    <w:rsid w:val="33E13DDF"/>
    <w:rsid w:val="33EA7049"/>
    <w:rsid w:val="33EEB1AC"/>
    <w:rsid w:val="33F01D1B"/>
    <w:rsid w:val="33F45838"/>
    <w:rsid w:val="33F645C7"/>
    <w:rsid w:val="340B71D2"/>
    <w:rsid w:val="34158216"/>
    <w:rsid w:val="342E2BE5"/>
    <w:rsid w:val="34368CF8"/>
    <w:rsid w:val="343AADC2"/>
    <w:rsid w:val="343F2694"/>
    <w:rsid w:val="34419DEB"/>
    <w:rsid w:val="344349E1"/>
    <w:rsid w:val="34442267"/>
    <w:rsid w:val="344761E2"/>
    <w:rsid w:val="3447B354"/>
    <w:rsid w:val="344944FD"/>
    <w:rsid w:val="344A42D8"/>
    <w:rsid w:val="345658BC"/>
    <w:rsid w:val="3457527E"/>
    <w:rsid w:val="345B1F58"/>
    <w:rsid w:val="345C4C5D"/>
    <w:rsid w:val="345D4565"/>
    <w:rsid w:val="346B73E5"/>
    <w:rsid w:val="3478069B"/>
    <w:rsid w:val="347A818D"/>
    <w:rsid w:val="348134F0"/>
    <w:rsid w:val="3481F848"/>
    <w:rsid w:val="3483B3FA"/>
    <w:rsid w:val="3483CE20"/>
    <w:rsid w:val="348BFF17"/>
    <w:rsid w:val="3499FF15"/>
    <w:rsid w:val="349C15DF"/>
    <w:rsid w:val="34A1B62C"/>
    <w:rsid w:val="34A743AE"/>
    <w:rsid w:val="34A83334"/>
    <w:rsid w:val="34AD5151"/>
    <w:rsid w:val="34CA9810"/>
    <w:rsid w:val="34D1B490"/>
    <w:rsid w:val="34E66AAD"/>
    <w:rsid w:val="34E89632"/>
    <w:rsid w:val="34ED16F0"/>
    <w:rsid w:val="34F64FC5"/>
    <w:rsid w:val="34F81F08"/>
    <w:rsid w:val="34FF865C"/>
    <w:rsid w:val="3502A760"/>
    <w:rsid w:val="350456CE"/>
    <w:rsid w:val="3504CB73"/>
    <w:rsid w:val="350981FD"/>
    <w:rsid w:val="350A9C32"/>
    <w:rsid w:val="3514A648"/>
    <w:rsid w:val="35211FBD"/>
    <w:rsid w:val="35271B89"/>
    <w:rsid w:val="3529656B"/>
    <w:rsid w:val="3529C297"/>
    <w:rsid w:val="35312985"/>
    <w:rsid w:val="35336996"/>
    <w:rsid w:val="35340AF0"/>
    <w:rsid w:val="353659DD"/>
    <w:rsid w:val="3541855E"/>
    <w:rsid w:val="35450C7F"/>
    <w:rsid w:val="35458C4F"/>
    <w:rsid w:val="3546B43E"/>
    <w:rsid w:val="3548BD09"/>
    <w:rsid w:val="354AA38F"/>
    <w:rsid w:val="354BC42A"/>
    <w:rsid w:val="355B9053"/>
    <w:rsid w:val="35686664"/>
    <w:rsid w:val="356B1BEE"/>
    <w:rsid w:val="356D03F3"/>
    <w:rsid w:val="356F8E72"/>
    <w:rsid w:val="35704909"/>
    <w:rsid w:val="357D0A09"/>
    <w:rsid w:val="3580A4F3"/>
    <w:rsid w:val="358347DD"/>
    <w:rsid w:val="3584AD23"/>
    <w:rsid w:val="358746AA"/>
    <w:rsid w:val="358ABE44"/>
    <w:rsid w:val="359037D0"/>
    <w:rsid w:val="359199F7"/>
    <w:rsid w:val="359EEFBD"/>
    <w:rsid w:val="35A0F77A"/>
    <w:rsid w:val="35A30CF8"/>
    <w:rsid w:val="35B7DE3C"/>
    <w:rsid w:val="35BA6119"/>
    <w:rsid w:val="35BFB285"/>
    <w:rsid w:val="35C7986C"/>
    <w:rsid w:val="35CB545F"/>
    <w:rsid w:val="35D1B4D0"/>
    <w:rsid w:val="35D3732B"/>
    <w:rsid w:val="35D43B67"/>
    <w:rsid w:val="35D5707E"/>
    <w:rsid w:val="35E5155E"/>
    <w:rsid w:val="35EC6C5F"/>
    <w:rsid w:val="35F194DB"/>
    <w:rsid w:val="35F2073B"/>
    <w:rsid w:val="35F29ADD"/>
    <w:rsid w:val="35F2FF0B"/>
    <w:rsid w:val="35FC02D9"/>
    <w:rsid w:val="35FC6319"/>
    <w:rsid w:val="360440CA"/>
    <w:rsid w:val="3604D383"/>
    <w:rsid w:val="36069E07"/>
    <w:rsid w:val="360AA626"/>
    <w:rsid w:val="360CC35D"/>
    <w:rsid w:val="3612CFD4"/>
    <w:rsid w:val="36169B49"/>
    <w:rsid w:val="361962D6"/>
    <w:rsid w:val="361D636D"/>
    <w:rsid w:val="361DC8A9"/>
    <w:rsid w:val="3620B527"/>
    <w:rsid w:val="3620DD21"/>
    <w:rsid w:val="3622BD2E"/>
    <w:rsid w:val="3625D3C7"/>
    <w:rsid w:val="36385434"/>
    <w:rsid w:val="3643C187"/>
    <w:rsid w:val="3643F317"/>
    <w:rsid w:val="3649D654"/>
    <w:rsid w:val="364CD3A3"/>
    <w:rsid w:val="36537E9C"/>
    <w:rsid w:val="366073F3"/>
    <w:rsid w:val="366603CD"/>
    <w:rsid w:val="3666AC73"/>
    <w:rsid w:val="3667C9E4"/>
    <w:rsid w:val="36686510"/>
    <w:rsid w:val="36721651"/>
    <w:rsid w:val="3676026A"/>
    <w:rsid w:val="367B7597"/>
    <w:rsid w:val="3682A37F"/>
    <w:rsid w:val="3688D5E3"/>
    <w:rsid w:val="368B063D"/>
    <w:rsid w:val="368E86B6"/>
    <w:rsid w:val="368F9B7D"/>
    <w:rsid w:val="36A93DEC"/>
    <w:rsid w:val="36AA117A"/>
    <w:rsid w:val="36AA87D0"/>
    <w:rsid w:val="36AAF182"/>
    <w:rsid w:val="36B1ADE7"/>
    <w:rsid w:val="36B76DB3"/>
    <w:rsid w:val="36B79827"/>
    <w:rsid w:val="36B7C26E"/>
    <w:rsid w:val="36B9F94B"/>
    <w:rsid w:val="36C0235D"/>
    <w:rsid w:val="36C2EBEA"/>
    <w:rsid w:val="36CA2D8C"/>
    <w:rsid w:val="36CC5FCE"/>
    <w:rsid w:val="36D85300"/>
    <w:rsid w:val="36DCA57B"/>
    <w:rsid w:val="36E23FC0"/>
    <w:rsid w:val="36E54AD2"/>
    <w:rsid w:val="36EC7E25"/>
    <w:rsid w:val="36F2D494"/>
    <w:rsid w:val="36FAEACA"/>
    <w:rsid w:val="36FD746B"/>
    <w:rsid w:val="3704AC63"/>
    <w:rsid w:val="370580D0"/>
    <w:rsid w:val="3706A060"/>
    <w:rsid w:val="370750E5"/>
    <w:rsid w:val="370F385F"/>
    <w:rsid w:val="370F6917"/>
    <w:rsid w:val="3712DAAA"/>
    <w:rsid w:val="3713B9C1"/>
    <w:rsid w:val="371C54A7"/>
    <w:rsid w:val="37292020"/>
    <w:rsid w:val="37295B00"/>
    <w:rsid w:val="37333FD1"/>
    <w:rsid w:val="37339CA3"/>
    <w:rsid w:val="3738AA33"/>
    <w:rsid w:val="3739CDA8"/>
    <w:rsid w:val="373AB293"/>
    <w:rsid w:val="373DC9CA"/>
    <w:rsid w:val="37557DCA"/>
    <w:rsid w:val="3757922A"/>
    <w:rsid w:val="375D7B63"/>
    <w:rsid w:val="375D9783"/>
    <w:rsid w:val="3760C66A"/>
    <w:rsid w:val="37631411"/>
    <w:rsid w:val="37716B8D"/>
    <w:rsid w:val="37737796"/>
    <w:rsid w:val="377B2CE1"/>
    <w:rsid w:val="3780B30E"/>
    <w:rsid w:val="3782C765"/>
    <w:rsid w:val="37853FA6"/>
    <w:rsid w:val="378BB302"/>
    <w:rsid w:val="378E6B3E"/>
    <w:rsid w:val="378F166B"/>
    <w:rsid w:val="379A684F"/>
    <w:rsid w:val="37A8CE89"/>
    <w:rsid w:val="37ACC313"/>
    <w:rsid w:val="37AE5990"/>
    <w:rsid w:val="37B26BAA"/>
    <w:rsid w:val="37B3B040"/>
    <w:rsid w:val="37B3BE35"/>
    <w:rsid w:val="37B3D223"/>
    <w:rsid w:val="37B9990A"/>
    <w:rsid w:val="37BA3CBC"/>
    <w:rsid w:val="37BC1623"/>
    <w:rsid w:val="37C4A71A"/>
    <w:rsid w:val="37C77263"/>
    <w:rsid w:val="37D42D83"/>
    <w:rsid w:val="37D91144"/>
    <w:rsid w:val="37E26903"/>
    <w:rsid w:val="37EC6DBF"/>
    <w:rsid w:val="37ECC959"/>
    <w:rsid w:val="37F3224D"/>
    <w:rsid w:val="37F3FC4C"/>
    <w:rsid w:val="37F4CB17"/>
    <w:rsid w:val="37F791BD"/>
    <w:rsid w:val="381093AE"/>
    <w:rsid w:val="38113466"/>
    <w:rsid w:val="381A9366"/>
    <w:rsid w:val="381F182B"/>
    <w:rsid w:val="3821E047"/>
    <w:rsid w:val="3825C40F"/>
    <w:rsid w:val="38283BF5"/>
    <w:rsid w:val="38298AB2"/>
    <w:rsid w:val="382D1E27"/>
    <w:rsid w:val="382D9986"/>
    <w:rsid w:val="38356CA1"/>
    <w:rsid w:val="3838A310"/>
    <w:rsid w:val="383DCF73"/>
    <w:rsid w:val="3840C384"/>
    <w:rsid w:val="3844E4B5"/>
    <w:rsid w:val="38489685"/>
    <w:rsid w:val="384F6CAA"/>
    <w:rsid w:val="385752CC"/>
    <w:rsid w:val="38577559"/>
    <w:rsid w:val="3862D6BF"/>
    <w:rsid w:val="386AB027"/>
    <w:rsid w:val="386B8C2B"/>
    <w:rsid w:val="386ED6A7"/>
    <w:rsid w:val="387031E8"/>
    <w:rsid w:val="38724A3D"/>
    <w:rsid w:val="387A72D6"/>
    <w:rsid w:val="387B9FA8"/>
    <w:rsid w:val="388D7DED"/>
    <w:rsid w:val="388EFF60"/>
    <w:rsid w:val="3891838D"/>
    <w:rsid w:val="389B8201"/>
    <w:rsid w:val="38A2A50D"/>
    <w:rsid w:val="38A62E9D"/>
    <w:rsid w:val="38AF8A22"/>
    <w:rsid w:val="38B2E3C5"/>
    <w:rsid w:val="38B69299"/>
    <w:rsid w:val="38C9A359"/>
    <w:rsid w:val="38CB8776"/>
    <w:rsid w:val="38CC4D65"/>
    <w:rsid w:val="38D41C93"/>
    <w:rsid w:val="38D4985F"/>
    <w:rsid w:val="38E2ACA1"/>
    <w:rsid w:val="38E2D603"/>
    <w:rsid w:val="38E8B330"/>
    <w:rsid w:val="38EADB18"/>
    <w:rsid w:val="38F7DDAF"/>
    <w:rsid w:val="38FEE472"/>
    <w:rsid w:val="38FF40DA"/>
    <w:rsid w:val="3916B22C"/>
    <w:rsid w:val="391CCB56"/>
    <w:rsid w:val="391DD3BD"/>
    <w:rsid w:val="39241EB5"/>
    <w:rsid w:val="3926854C"/>
    <w:rsid w:val="3929359D"/>
    <w:rsid w:val="392C3D0B"/>
    <w:rsid w:val="392DA3AC"/>
    <w:rsid w:val="392E9363"/>
    <w:rsid w:val="392EF18E"/>
    <w:rsid w:val="3930162F"/>
    <w:rsid w:val="393284DA"/>
    <w:rsid w:val="39364A1A"/>
    <w:rsid w:val="393A0730"/>
    <w:rsid w:val="393A45CB"/>
    <w:rsid w:val="393B36AA"/>
    <w:rsid w:val="3945FB9C"/>
    <w:rsid w:val="394EF604"/>
    <w:rsid w:val="39523034"/>
    <w:rsid w:val="395BAB79"/>
    <w:rsid w:val="395C17D1"/>
    <w:rsid w:val="395C5258"/>
    <w:rsid w:val="39682BED"/>
    <w:rsid w:val="3968334C"/>
    <w:rsid w:val="39684FB0"/>
    <w:rsid w:val="396E0F29"/>
    <w:rsid w:val="396F95B6"/>
    <w:rsid w:val="397A8AC2"/>
    <w:rsid w:val="39845D74"/>
    <w:rsid w:val="3991936B"/>
    <w:rsid w:val="3995E3BE"/>
    <w:rsid w:val="399C43DD"/>
    <w:rsid w:val="39A6D000"/>
    <w:rsid w:val="39A8EE3F"/>
    <w:rsid w:val="39AFA556"/>
    <w:rsid w:val="39B61A8B"/>
    <w:rsid w:val="39B92A3A"/>
    <w:rsid w:val="39B9AC2D"/>
    <w:rsid w:val="39C75DF1"/>
    <w:rsid w:val="39CBB70E"/>
    <w:rsid w:val="39CEFD58"/>
    <w:rsid w:val="39D2DF0C"/>
    <w:rsid w:val="39D6A1EF"/>
    <w:rsid w:val="39D8B813"/>
    <w:rsid w:val="39D9152C"/>
    <w:rsid w:val="39DABBB1"/>
    <w:rsid w:val="39E2DC03"/>
    <w:rsid w:val="39E3BE18"/>
    <w:rsid w:val="39E4626A"/>
    <w:rsid w:val="39E61420"/>
    <w:rsid w:val="39E773E9"/>
    <w:rsid w:val="39E7D04D"/>
    <w:rsid w:val="39F6A679"/>
    <w:rsid w:val="39F90DB8"/>
    <w:rsid w:val="39FD7105"/>
    <w:rsid w:val="3A047C0D"/>
    <w:rsid w:val="3A0DAB60"/>
    <w:rsid w:val="3A0E5FB9"/>
    <w:rsid w:val="3A13430B"/>
    <w:rsid w:val="3A1D6E72"/>
    <w:rsid w:val="3A23AED4"/>
    <w:rsid w:val="3A2A50B2"/>
    <w:rsid w:val="3A392F19"/>
    <w:rsid w:val="3A3BDFA1"/>
    <w:rsid w:val="3A3D10B7"/>
    <w:rsid w:val="3A3D73A8"/>
    <w:rsid w:val="3A3DAEF5"/>
    <w:rsid w:val="3A4287AF"/>
    <w:rsid w:val="3A42F000"/>
    <w:rsid w:val="3A4B7200"/>
    <w:rsid w:val="3A4F8DDC"/>
    <w:rsid w:val="3A53C654"/>
    <w:rsid w:val="3A5D4D5D"/>
    <w:rsid w:val="3A650B1A"/>
    <w:rsid w:val="3A6AB761"/>
    <w:rsid w:val="3A6C68CA"/>
    <w:rsid w:val="3A748DCF"/>
    <w:rsid w:val="3A750ACE"/>
    <w:rsid w:val="3A7666F7"/>
    <w:rsid w:val="3A7692C4"/>
    <w:rsid w:val="3A7D5130"/>
    <w:rsid w:val="3A7F6ADB"/>
    <w:rsid w:val="3A87F0D5"/>
    <w:rsid w:val="3A8B0770"/>
    <w:rsid w:val="3A8FF31A"/>
    <w:rsid w:val="3A9874D1"/>
    <w:rsid w:val="3A9AAC94"/>
    <w:rsid w:val="3A9BDA11"/>
    <w:rsid w:val="3AA130BE"/>
    <w:rsid w:val="3AA467C6"/>
    <w:rsid w:val="3AA9EF46"/>
    <w:rsid w:val="3AAACB03"/>
    <w:rsid w:val="3AAC42CC"/>
    <w:rsid w:val="3AAC71A4"/>
    <w:rsid w:val="3AACAD11"/>
    <w:rsid w:val="3AAD2DFE"/>
    <w:rsid w:val="3AB011F7"/>
    <w:rsid w:val="3ABA6827"/>
    <w:rsid w:val="3ABF4F73"/>
    <w:rsid w:val="3AC25CB1"/>
    <w:rsid w:val="3AC71606"/>
    <w:rsid w:val="3ACF9DDD"/>
    <w:rsid w:val="3AD089D4"/>
    <w:rsid w:val="3AD9690D"/>
    <w:rsid w:val="3ADEF6B0"/>
    <w:rsid w:val="3AE325B7"/>
    <w:rsid w:val="3AE75E0E"/>
    <w:rsid w:val="3AEFFD8F"/>
    <w:rsid w:val="3AF32345"/>
    <w:rsid w:val="3AF367F1"/>
    <w:rsid w:val="3AF3F652"/>
    <w:rsid w:val="3AF6EADC"/>
    <w:rsid w:val="3B08F849"/>
    <w:rsid w:val="3B0CDEC0"/>
    <w:rsid w:val="3B11A46B"/>
    <w:rsid w:val="3B15935F"/>
    <w:rsid w:val="3B2583B1"/>
    <w:rsid w:val="3B25B754"/>
    <w:rsid w:val="3B2BBC09"/>
    <w:rsid w:val="3B2E4687"/>
    <w:rsid w:val="3B2E7BEA"/>
    <w:rsid w:val="3B329E7D"/>
    <w:rsid w:val="3B355739"/>
    <w:rsid w:val="3B382F3A"/>
    <w:rsid w:val="3B39B4A2"/>
    <w:rsid w:val="3B3AFA48"/>
    <w:rsid w:val="3B40FDB8"/>
    <w:rsid w:val="3B4532AF"/>
    <w:rsid w:val="3B515995"/>
    <w:rsid w:val="3B562050"/>
    <w:rsid w:val="3B5C81B2"/>
    <w:rsid w:val="3B62AE18"/>
    <w:rsid w:val="3B640F25"/>
    <w:rsid w:val="3B79B4FB"/>
    <w:rsid w:val="3B7A4C33"/>
    <w:rsid w:val="3B7C57CA"/>
    <w:rsid w:val="3B80CDA1"/>
    <w:rsid w:val="3B8CE76D"/>
    <w:rsid w:val="3B913F6F"/>
    <w:rsid w:val="3B921E29"/>
    <w:rsid w:val="3B9238F6"/>
    <w:rsid w:val="3B965D0D"/>
    <w:rsid w:val="3BA3ACF3"/>
    <w:rsid w:val="3BAD3566"/>
    <w:rsid w:val="3BB3F588"/>
    <w:rsid w:val="3BC85CD8"/>
    <w:rsid w:val="3BCEBF2F"/>
    <w:rsid w:val="3BCEEC9D"/>
    <w:rsid w:val="3BCFBC1A"/>
    <w:rsid w:val="3BD63668"/>
    <w:rsid w:val="3BD72858"/>
    <w:rsid w:val="3BDA45CF"/>
    <w:rsid w:val="3BDD200D"/>
    <w:rsid w:val="3BE6A3C5"/>
    <w:rsid w:val="3BF72FCE"/>
    <w:rsid w:val="3BF82FA0"/>
    <w:rsid w:val="3C005EED"/>
    <w:rsid w:val="3C00DB7B"/>
    <w:rsid w:val="3C01A29D"/>
    <w:rsid w:val="3C0891B3"/>
    <w:rsid w:val="3C0CAFEC"/>
    <w:rsid w:val="3C107AA0"/>
    <w:rsid w:val="3C11D212"/>
    <w:rsid w:val="3C162A48"/>
    <w:rsid w:val="3C1E854D"/>
    <w:rsid w:val="3C1F25B1"/>
    <w:rsid w:val="3C227FC9"/>
    <w:rsid w:val="3C24B59A"/>
    <w:rsid w:val="3C25C21C"/>
    <w:rsid w:val="3C26EDDF"/>
    <w:rsid w:val="3C2E2ED0"/>
    <w:rsid w:val="3C3067A8"/>
    <w:rsid w:val="3C35C4B9"/>
    <w:rsid w:val="3C3BC350"/>
    <w:rsid w:val="3C41F8F2"/>
    <w:rsid w:val="3C426D83"/>
    <w:rsid w:val="3C511733"/>
    <w:rsid w:val="3C51DD2D"/>
    <w:rsid w:val="3C5A9AD0"/>
    <w:rsid w:val="3C5C1719"/>
    <w:rsid w:val="3C5F530A"/>
    <w:rsid w:val="3C6033E2"/>
    <w:rsid w:val="3C6195DB"/>
    <w:rsid w:val="3C65DAF3"/>
    <w:rsid w:val="3C690A1D"/>
    <w:rsid w:val="3C6C7598"/>
    <w:rsid w:val="3C740357"/>
    <w:rsid w:val="3C75396E"/>
    <w:rsid w:val="3C7C5B8D"/>
    <w:rsid w:val="3C938076"/>
    <w:rsid w:val="3C966894"/>
    <w:rsid w:val="3C9D394C"/>
    <w:rsid w:val="3C9FEAD9"/>
    <w:rsid w:val="3CA26625"/>
    <w:rsid w:val="3CAACA73"/>
    <w:rsid w:val="3CAB54A4"/>
    <w:rsid w:val="3CAC4208"/>
    <w:rsid w:val="3CADD700"/>
    <w:rsid w:val="3CAF0CF4"/>
    <w:rsid w:val="3CB3099D"/>
    <w:rsid w:val="3CB39400"/>
    <w:rsid w:val="3CB690C8"/>
    <w:rsid w:val="3CBEEF71"/>
    <w:rsid w:val="3CC16368"/>
    <w:rsid w:val="3CDEEF0A"/>
    <w:rsid w:val="3CE4F82D"/>
    <w:rsid w:val="3CE7C9D7"/>
    <w:rsid w:val="3CEEE751"/>
    <w:rsid w:val="3CF05C6C"/>
    <w:rsid w:val="3CF06F91"/>
    <w:rsid w:val="3CF81767"/>
    <w:rsid w:val="3CFB6A11"/>
    <w:rsid w:val="3CFD4493"/>
    <w:rsid w:val="3D01D26F"/>
    <w:rsid w:val="3D050C58"/>
    <w:rsid w:val="3D1ACAD4"/>
    <w:rsid w:val="3D1AF8F2"/>
    <w:rsid w:val="3D24EBFF"/>
    <w:rsid w:val="3D287E0A"/>
    <w:rsid w:val="3D30C7CB"/>
    <w:rsid w:val="3D31A0EA"/>
    <w:rsid w:val="3D3390C2"/>
    <w:rsid w:val="3D3CF86F"/>
    <w:rsid w:val="3D41229A"/>
    <w:rsid w:val="3D42D7F4"/>
    <w:rsid w:val="3D48D4BD"/>
    <w:rsid w:val="3D4A8C28"/>
    <w:rsid w:val="3D4E2AB3"/>
    <w:rsid w:val="3D5AF4FD"/>
    <w:rsid w:val="3D61A00A"/>
    <w:rsid w:val="3D652190"/>
    <w:rsid w:val="3D6A65E0"/>
    <w:rsid w:val="3D704B2B"/>
    <w:rsid w:val="3D7235FE"/>
    <w:rsid w:val="3D7319E6"/>
    <w:rsid w:val="3D79CFDB"/>
    <w:rsid w:val="3D84F1C4"/>
    <w:rsid w:val="3D851C6F"/>
    <w:rsid w:val="3D892738"/>
    <w:rsid w:val="3D89F26F"/>
    <w:rsid w:val="3D8C047B"/>
    <w:rsid w:val="3D8C076B"/>
    <w:rsid w:val="3D99684F"/>
    <w:rsid w:val="3D9D6BCA"/>
    <w:rsid w:val="3DB2F177"/>
    <w:rsid w:val="3DB4AAA2"/>
    <w:rsid w:val="3DB90491"/>
    <w:rsid w:val="3DBE502A"/>
    <w:rsid w:val="3DC24D3D"/>
    <w:rsid w:val="3DC329C1"/>
    <w:rsid w:val="3DC4C0AC"/>
    <w:rsid w:val="3DCCD907"/>
    <w:rsid w:val="3DCE1857"/>
    <w:rsid w:val="3DD2AE09"/>
    <w:rsid w:val="3DDC0888"/>
    <w:rsid w:val="3DDDE2FE"/>
    <w:rsid w:val="3DEAF4E5"/>
    <w:rsid w:val="3DF208E9"/>
    <w:rsid w:val="3DF2E86D"/>
    <w:rsid w:val="3DF5313C"/>
    <w:rsid w:val="3E000447"/>
    <w:rsid w:val="3E008431"/>
    <w:rsid w:val="3E032D88"/>
    <w:rsid w:val="3E09C0C5"/>
    <w:rsid w:val="3E0A660A"/>
    <w:rsid w:val="3E0FB8F1"/>
    <w:rsid w:val="3E1E372B"/>
    <w:rsid w:val="3E1F1A08"/>
    <w:rsid w:val="3E279E51"/>
    <w:rsid w:val="3E2918F4"/>
    <w:rsid w:val="3E2E218B"/>
    <w:rsid w:val="3E336FF9"/>
    <w:rsid w:val="3E348E8F"/>
    <w:rsid w:val="3E34E671"/>
    <w:rsid w:val="3E37F42E"/>
    <w:rsid w:val="3E380FCD"/>
    <w:rsid w:val="3E3AE10D"/>
    <w:rsid w:val="3E3CC494"/>
    <w:rsid w:val="3E3F7500"/>
    <w:rsid w:val="3E4BFAD6"/>
    <w:rsid w:val="3E5521E0"/>
    <w:rsid w:val="3E574FF0"/>
    <w:rsid w:val="3E63617D"/>
    <w:rsid w:val="3E64A2ED"/>
    <w:rsid w:val="3E6D3286"/>
    <w:rsid w:val="3E6EC92C"/>
    <w:rsid w:val="3E77F444"/>
    <w:rsid w:val="3E799973"/>
    <w:rsid w:val="3E8203CA"/>
    <w:rsid w:val="3E8747D9"/>
    <w:rsid w:val="3E8950EB"/>
    <w:rsid w:val="3E89A7BE"/>
    <w:rsid w:val="3E8C5A73"/>
    <w:rsid w:val="3E902D2A"/>
    <w:rsid w:val="3E9D9DD7"/>
    <w:rsid w:val="3EA02293"/>
    <w:rsid w:val="3EA59D21"/>
    <w:rsid w:val="3EA6D903"/>
    <w:rsid w:val="3EAD1CA1"/>
    <w:rsid w:val="3EAD9799"/>
    <w:rsid w:val="3EAE82BB"/>
    <w:rsid w:val="3EB31BC7"/>
    <w:rsid w:val="3EB79F78"/>
    <w:rsid w:val="3EB95C22"/>
    <w:rsid w:val="3EBC257A"/>
    <w:rsid w:val="3EBD7112"/>
    <w:rsid w:val="3EBEC4D3"/>
    <w:rsid w:val="3EC7CB3A"/>
    <w:rsid w:val="3ECB317B"/>
    <w:rsid w:val="3ECFBBF1"/>
    <w:rsid w:val="3ED4E822"/>
    <w:rsid w:val="3EE4E305"/>
    <w:rsid w:val="3EEA7209"/>
    <w:rsid w:val="3EEF6A90"/>
    <w:rsid w:val="3EEFD726"/>
    <w:rsid w:val="3EF45840"/>
    <w:rsid w:val="3F0084BE"/>
    <w:rsid w:val="3F02537B"/>
    <w:rsid w:val="3F0556B0"/>
    <w:rsid w:val="3F09EBEA"/>
    <w:rsid w:val="3F0E065F"/>
    <w:rsid w:val="3F12A5FB"/>
    <w:rsid w:val="3F12B959"/>
    <w:rsid w:val="3F16B757"/>
    <w:rsid w:val="3F1D60FB"/>
    <w:rsid w:val="3F201E4F"/>
    <w:rsid w:val="3F22CCD9"/>
    <w:rsid w:val="3F2DA5C9"/>
    <w:rsid w:val="3F2ED4CB"/>
    <w:rsid w:val="3F387C3D"/>
    <w:rsid w:val="3F3B5772"/>
    <w:rsid w:val="3F3E7FBE"/>
    <w:rsid w:val="3F4450AE"/>
    <w:rsid w:val="3F4D2C88"/>
    <w:rsid w:val="3F533BC6"/>
    <w:rsid w:val="3F57B33E"/>
    <w:rsid w:val="3F57C70E"/>
    <w:rsid w:val="3F5C138C"/>
    <w:rsid w:val="3F7D6069"/>
    <w:rsid w:val="3F7FFC83"/>
    <w:rsid w:val="3F8220A2"/>
    <w:rsid w:val="3F8C7292"/>
    <w:rsid w:val="3F8DB766"/>
    <w:rsid w:val="3F8DD94A"/>
    <w:rsid w:val="3F92C861"/>
    <w:rsid w:val="3F9309B2"/>
    <w:rsid w:val="3FA55AC3"/>
    <w:rsid w:val="3FAB0A8E"/>
    <w:rsid w:val="3FB05089"/>
    <w:rsid w:val="3FB8CD53"/>
    <w:rsid w:val="3FCDDED3"/>
    <w:rsid w:val="3FD62C3A"/>
    <w:rsid w:val="3FDD4522"/>
    <w:rsid w:val="3FE5E2BB"/>
    <w:rsid w:val="3FE600A3"/>
    <w:rsid w:val="3FE6027F"/>
    <w:rsid w:val="3FEACCEB"/>
    <w:rsid w:val="3FEFC69D"/>
    <w:rsid w:val="3FF25D04"/>
    <w:rsid w:val="3FF8090D"/>
    <w:rsid w:val="4003CCFF"/>
    <w:rsid w:val="401282CD"/>
    <w:rsid w:val="4014A675"/>
    <w:rsid w:val="40170DA3"/>
    <w:rsid w:val="401E18AB"/>
    <w:rsid w:val="4028EDB1"/>
    <w:rsid w:val="402FB5CC"/>
    <w:rsid w:val="403019C4"/>
    <w:rsid w:val="4039B84E"/>
    <w:rsid w:val="403F739C"/>
    <w:rsid w:val="4047E2C1"/>
    <w:rsid w:val="405262F2"/>
    <w:rsid w:val="405A9534"/>
    <w:rsid w:val="4060C9B0"/>
    <w:rsid w:val="406328CB"/>
    <w:rsid w:val="40716B2F"/>
    <w:rsid w:val="4077F52E"/>
    <w:rsid w:val="407EBE94"/>
    <w:rsid w:val="407EE962"/>
    <w:rsid w:val="407F564C"/>
    <w:rsid w:val="40881B1F"/>
    <w:rsid w:val="408EDBA4"/>
    <w:rsid w:val="40981825"/>
    <w:rsid w:val="40986771"/>
    <w:rsid w:val="40A32146"/>
    <w:rsid w:val="40A40A0C"/>
    <w:rsid w:val="40A98A49"/>
    <w:rsid w:val="40B45AB9"/>
    <w:rsid w:val="40B5080A"/>
    <w:rsid w:val="40B6F188"/>
    <w:rsid w:val="40BE7571"/>
    <w:rsid w:val="40C821EA"/>
    <w:rsid w:val="40DA7EE9"/>
    <w:rsid w:val="40DB345B"/>
    <w:rsid w:val="40E19B29"/>
    <w:rsid w:val="40E3F487"/>
    <w:rsid w:val="40EEAF34"/>
    <w:rsid w:val="40F4CF9A"/>
    <w:rsid w:val="40FE805B"/>
    <w:rsid w:val="410120C5"/>
    <w:rsid w:val="4101CEBC"/>
    <w:rsid w:val="4105782A"/>
    <w:rsid w:val="412922B3"/>
    <w:rsid w:val="4129A9AB"/>
    <w:rsid w:val="412A650D"/>
    <w:rsid w:val="4131265D"/>
    <w:rsid w:val="4132EA0B"/>
    <w:rsid w:val="41340F72"/>
    <w:rsid w:val="41341A4F"/>
    <w:rsid w:val="413438DC"/>
    <w:rsid w:val="4134CA84"/>
    <w:rsid w:val="413643DF"/>
    <w:rsid w:val="414FB734"/>
    <w:rsid w:val="4153BE7A"/>
    <w:rsid w:val="4155E232"/>
    <w:rsid w:val="4158397F"/>
    <w:rsid w:val="415D1511"/>
    <w:rsid w:val="4161C79C"/>
    <w:rsid w:val="416868D6"/>
    <w:rsid w:val="416AC41A"/>
    <w:rsid w:val="41757D57"/>
    <w:rsid w:val="4185DD59"/>
    <w:rsid w:val="41877CA5"/>
    <w:rsid w:val="41898FE5"/>
    <w:rsid w:val="418A23F8"/>
    <w:rsid w:val="418EAE59"/>
    <w:rsid w:val="41938519"/>
    <w:rsid w:val="4193D96E"/>
    <w:rsid w:val="41962F95"/>
    <w:rsid w:val="419B9550"/>
    <w:rsid w:val="419ED52B"/>
    <w:rsid w:val="41ADE99D"/>
    <w:rsid w:val="41B16E37"/>
    <w:rsid w:val="41B87DF2"/>
    <w:rsid w:val="41B954AE"/>
    <w:rsid w:val="41BCB136"/>
    <w:rsid w:val="41C30F51"/>
    <w:rsid w:val="41C3C402"/>
    <w:rsid w:val="41CF82F3"/>
    <w:rsid w:val="41D294EC"/>
    <w:rsid w:val="41D85A5B"/>
    <w:rsid w:val="41E8BA82"/>
    <w:rsid w:val="41E97C15"/>
    <w:rsid w:val="41F12605"/>
    <w:rsid w:val="41FDA99D"/>
    <w:rsid w:val="41FDE891"/>
    <w:rsid w:val="42014D62"/>
    <w:rsid w:val="420A89CC"/>
    <w:rsid w:val="420A9C5B"/>
    <w:rsid w:val="420DBF6C"/>
    <w:rsid w:val="4214F193"/>
    <w:rsid w:val="42157550"/>
    <w:rsid w:val="421DB825"/>
    <w:rsid w:val="42255A24"/>
    <w:rsid w:val="422C6504"/>
    <w:rsid w:val="423234CB"/>
    <w:rsid w:val="423675B4"/>
    <w:rsid w:val="4238AEC5"/>
    <w:rsid w:val="423B5466"/>
    <w:rsid w:val="42498172"/>
    <w:rsid w:val="42498753"/>
    <w:rsid w:val="42567B7F"/>
    <w:rsid w:val="4256C862"/>
    <w:rsid w:val="425BDDA3"/>
    <w:rsid w:val="426B7F5C"/>
    <w:rsid w:val="426E4EBC"/>
    <w:rsid w:val="427A28FA"/>
    <w:rsid w:val="427B8412"/>
    <w:rsid w:val="427F6A6B"/>
    <w:rsid w:val="428118A9"/>
    <w:rsid w:val="4284C80F"/>
    <w:rsid w:val="42851BB1"/>
    <w:rsid w:val="4289F9A8"/>
    <w:rsid w:val="428AF817"/>
    <w:rsid w:val="428F1E50"/>
    <w:rsid w:val="4295BC61"/>
    <w:rsid w:val="42999358"/>
    <w:rsid w:val="429C381C"/>
    <w:rsid w:val="429DF0A4"/>
    <w:rsid w:val="429F13C9"/>
    <w:rsid w:val="42A04E8A"/>
    <w:rsid w:val="42ABBD5D"/>
    <w:rsid w:val="42AF4D7B"/>
    <w:rsid w:val="42B07B59"/>
    <w:rsid w:val="42B28FC4"/>
    <w:rsid w:val="42B53FF7"/>
    <w:rsid w:val="42B6E8FD"/>
    <w:rsid w:val="42BAA789"/>
    <w:rsid w:val="42BFA1D0"/>
    <w:rsid w:val="42C3D6F7"/>
    <w:rsid w:val="42C524AD"/>
    <w:rsid w:val="42C5B3E1"/>
    <w:rsid w:val="42D2EB78"/>
    <w:rsid w:val="42D85FA8"/>
    <w:rsid w:val="42DC2B69"/>
    <w:rsid w:val="42E394A5"/>
    <w:rsid w:val="42EC445C"/>
    <w:rsid w:val="42EDB39C"/>
    <w:rsid w:val="42F06E15"/>
    <w:rsid w:val="42F1383C"/>
    <w:rsid w:val="42F40A0A"/>
    <w:rsid w:val="42F7F748"/>
    <w:rsid w:val="42FB3651"/>
    <w:rsid w:val="42FD1BCC"/>
    <w:rsid w:val="43043937"/>
    <w:rsid w:val="4307728C"/>
    <w:rsid w:val="4307D82E"/>
    <w:rsid w:val="4311EB08"/>
    <w:rsid w:val="43146B24"/>
    <w:rsid w:val="431E43AC"/>
    <w:rsid w:val="43260630"/>
    <w:rsid w:val="43264A3E"/>
    <w:rsid w:val="4326A911"/>
    <w:rsid w:val="4326EB47"/>
    <w:rsid w:val="432E29B8"/>
    <w:rsid w:val="432FA9CF"/>
    <w:rsid w:val="433F1F80"/>
    <w:rsid w:val="43416434"/>
    <w:rsid w:val="4345E2D7"/>
    <w:rsid w:val="434C234B"/>
    <w:rsid w:val="434C3C1D"/>
    <w:rsid w:val="434F8004"/>
    <w:rsid w:val="435AD641"/>
    <w:rsid w:val="435C9DE1"/>
    <w:rsid w:val="435CC845"/>
    <w:rsid w:val="436C4F73"/>
    <w:rsid w:val="436D6597"/>
    <w:rsid w:val="436DCCF4"/>
    <w:rsid w:val="4377BA70"/>
    <w:rsid w:val="4382FE52"/>
    <w:rsid w:val="4388C99F"/>
    <w:rsid w:val="43890AA2"/>
    <w:rsid w:val="438EECCC"/>
    <w:rsid w:val="4399DACB"/>
    <w:rsid w:val="439CA153"/>
    <w:rsid w:val="43A0CB27"/>
    <w:rsid w:val="43AA6FD1"/>
    <w:rsid w:val="43B032FE"/>
    <w:rsid w:val="43B1D0FA"/>
    <w:rsid w:val="43BF686E"/>
    <w:rsid w:val="43BFF1C8"/>
    <w:rsid w:val="43C12A85"/>
    <w:rsid w:val="43DBDB1F"/>
    <w:rsid w:val="43DDCA08"/>
    <w:rsid w:val="43E017F9"/>
    <w:rsid w:val="43E336F8"/>
    <w:rsid w:val="43E342C5"/>
    <w:rsid w:val="43E6FED8"/>
    <w:rsid w:val="43E7AB0A"/>
    <w:rsid w:val="43E907B4"/>
    <w:rsid w:val="43EE4682"/>
    <w:rsid w:val="43F8FA14"/>
    <w:rsid w:val="43FAD3FD"/>
    <w:rsid w:val="43FB5738"/>
    <w:rsid w:val="44009E17"/>
    <w:rsid w:val="4401426B"/>
    <w:rsid w:val="44076EDF"/>
    <w:rsid w:val="44087E3D"/>
    <w:rsid w:val="440C1724"/>
    <w:rsid w:val="440C7979"/>
    <w:rsid w:val="441285A9"/>
    <w:rsid w:val="44130FA0"/>
    <w:rsid w:val="4415D5C3"/>
    <w:rsid w:val="441966BD"/>
    <w:rsid w:val="441987DB"/>
    <w:rsid w:val="441B99F9"/>
    <w:rsid w:val="441C9F2F"/>
    <w:rsid w:val="442145BA"/>
    <w:rsid w:val="442498C3"/>
    <w:rsid w:val="4426263A"/>
    <w:rsid w:val="442C2E88"/>
    <w:rsid w:val="44363731"/>
    <w:rsid w:val="44380236"/>
    <w:rsid w:val="443A947F"/>
    <w:rsid w:val="443F981B"/>
    <w:rsid w:val="4446406A"/>
    <w:rsid w:val="4447EE65"/>
    <w:rsid w:val="444E466C"/>
    <w:rsid w:val="4456E20F"/>
    <w:rsid w:val="44585FDA"/>
    <w:rsid w:val="445CCC25"/>
    <w:rsid w:val="4465B2B4"/>
    <w:rsid w:val="44672B51"/>
    <w:rsid w:val="446C962C"/>
    <w:rsid w:val="4472F4F9"/>
    <w:rsid w:val="44741C02"/>
    <w:rsid w:val="44808EAC"/>
    <w:rsid w:val="448413F7"/>
    <w:rsid w:val="44847E1B"/>
    <w:rsid w:val="4484DEF3"/>
    <w:rsid w:val="4489B207"/>
    <w:rsid w:val="448A8CA2"/>
    <w:rsid w:val="44928B2B"/>
    <w:rsid w:val="4498A44F"/>
    <w:rsid w:val="4498ADB6"/>
    <w:rsid w:val="44993F13"/>
    <w:rsid w:val="44998222"/>
    <w:rsid w:val="449ECD5B"/>
    <w:rsid w:val="44A7AFB7"/>
    <w:rsid w:val="44AACB2A"/>
    <w:rsid w:val="44B79851"/>
    <w:rsid w:val="44C80337"/>
    <w:rsid w:val="44C84476"/>
    <w:rsid w:val="44CC3232"/>
    <w:rsid w:val="44D3A07E"/>
    <w:rsid w:val="44D53A75"/>
    <w:rsid w:val="44D8A5B6"/>
    <w:rsid w:val="44D9989A"/>
    <w:rsid w:val="44DD3495"/>
    <w:rsid w:val="44E0B602"/>
    <w:rsid w:val="44E746C3"/>
    <w:rsid w:val="44EA6C2F"/>
    <w:rsid w:val="44EF4423"/>
    <w:rsid w:val="44F0E428"/>
    <w:rsid w:val="44F447B2"/>
    <w:rsid w:val="44F8F6B1"/>
    <w:rsid w:val="44FCEEE3"/>
    <w:rsid w:val="44FD0B66"/>
    <w:rsid w:val="44FE732F"/>
    <w:rsid w:val="450776DA"/>
    <w:rsid w:val="451392BF"/>
    <w:rsid w:val="4515D052"/>
    <w:rsid w:val="451A6CC8"/>
    <w:rsid w:val="451AD777"/>
    <w:rsid w:val="451BE0AE"/>
    <w:rsid w:val="451C2465"/>
    <w:rsid w:val="451FACF4"/>
    <w:rsid w:val="452B6C22"/>
    <w:rsid w:val="4539B255"/>
    <w:rsid w:val="453B32A8"/>
    <w:rsid w:val="453F7720"/>
    <w:rsid w:val="45424769"/>
    <w:rsid w:val="4542A362"/>
    <w:rsid w:val="454A188D"/>
    <w:rsid w:val="454AFAD1"/>
    <w:rsid w:val="455A0796"/>
    <w:rsid w:val="455E432B"/>
    <w:rsid w:val="455F7957"/>
    <w:rsid w:val="4565F5BE"/>
    <w:rsid w:val="456E1676"/>
    <w:rsid w:val="4570DD26"/>
    <w:rsid w:val="457F514D"/>
    <w:rsid w:val="458677B4"/>
    <w:rsid w:val="458AA2C8"/>
    <w:rsid w:val="4593B25F"/>
    <w:rsid w:val="45959843"/>
    <w:rsid w:val="45989EC3"/>
    <w:rsid w:val="459C9179"/>
    <w:rsid w:val="459CE1C5"/>
    <w:rsid w:val="45A01CE2"/>
    <w:rsid w:val="45A4DB8B"/>
    <w:rsid w:val="45A6BE2B"/>
    <w:rsid w:val="45A7C31A"/>
    <w:rsid w:val="45A83BE2"/>
    <w:rsid w:val="45ADB936"/>
    <w:rsid w:val="45AE3ADE"/>
    <w:rsid w:val="45AFF187"/>
    <w:rsid w:val="45BB698B"/>
    <w:rsid w:val="45BC26FD"/>
    <w:rsid w:val="45C070B3"/>
    <w:rsid w:val="45C31FF0"/>
    <w:rsid w:val="45C49B85"/>
    <w:rsid w:val="45C9CCCC"/>
    <w:rsid w:val="45D95423"/>
    <w:rsid w:val="45DAE8B8"/>
    <w:rsid w:val="45E270D1"/>
    <w:rsid w:val="45E3DEF4"/>
    <w:rsid w:val="45E52D9A"/>
    <w:rsid w:val="45F748BD"/>
    <w:rsid w:val="45FB2994"/>
    <w:rsid w:val="45FFAB7F"/>
    <w:rsid w:val="46013C0E"/>
    <w:rsid w:val="46050854"/>
    <w:rsid w:val="4605A53C"/>
    <w:rsid w:val="4607CD07"/>
    <w:rsid w:val="460BB461"/>
    <w:rsid w:val="460C8E1D"/>
    <w:rsid w:val="461BAFC0"/>
    <w:rsid w:val="4620446A"/>
    <w:rsid w:val="4629AA78"/>
    <w:rsid w:val="46310E7A"/>
    <w:rsid w:val="463A460B"/>
    <w:rsid w:val="463CBA61"/>
    <w:rsid w:val="4643C5FF"/>
    <w:rsid w:val="46469B8B"/>
    <w:rsid w:val="465413FE"/>
    <w:rsid w:val="46571713"/>
    <w:rsid w:val="46633464"/>
    <w:rsid w:val="46674A91"/>
    <w:rsid w:val="4671F98D"/>
    <w:rsid w:val="4672E80B"/>
    <w:rsid w:val="4673DF80"/>
    <w:rsid w:val="467B82D5"/>
    <w:rsid w:val="467F4A3D"/>
    <w:rsid w:val="468063C4"/>
    <w:rsid w:val="468CB108"/>
    <w:rsid w:val="4692FFF6"/>
    <w:rsid w:val="46982F35"/>
    <w:rsid w:val="46995716"/>
    <w:rsid w:val="46A2D2A6"/>
    <w:rsid w:val="46A3069F"/>
    <w:rsid w:val="46A7BAC5"/>
    <w:rsid w:val="46ABD07C"/>
    <w:rsid w:val="46B67FF1"/>
    <w:rsid w:val="46B8E3EF"/>
    <w:rsid w:val="46BA872E"/>
    <w:rsid w:val="46BB4313"/>
    <w:rsid w:val="46BF1C27"/>
    <w:rsid w:val="46C2B162"/>
    <w:rsid w:val="46C73C83"/>
    <w:rsid w:val="46C9D6B8"/>
    <w:rsid w:val="46CAD9FC"/>
    <w:rsid w:val="46CD88DC"/>
    <w:rsid w:val="46D129B1"/>
    <w:rsid w:val="46D2B4DD"/>
    <w:rsid w:val="46DDEB14"/>
    <w:rsid w:val="46E04B08"/>
    <w:rsid w:val="46E2533B"/>
    <w:rsid w:val="46E261CF"/>
    <w:rsid w:val="46E3D74D"/>
    <w:rsid w:val="46E63E78"/>
    <w:rsid w:val="46F9B399"/>
    <w:rsid w:val="46FAA3DD"/>
    <w:rsid w:val="46FD0601"/>
    <w:rsid w:val="46FD0905"/>
    <w:rsid w:val="4706A62D"/>
    <w:rsid w:val="4709E6D7"/>
    <w:rsid w:val="470D1382"/>
    <w:rsid w:val="470F5461"/>
    <w:rsid w:val="47140ED1"/>
    <w:rsid w:val="47191844"/>
    <w:rsid w:val="4723926A"/>
    <w:rsid w:val="4724C909"/>
    <w:rsid w:val="472D6E8B"/>
    <w:rsid w:val="472E8E0E"/>
    <w:rsid w:val="4737456C"/>
    <w:rsid w:val="473A6459"/>
    <w:rsid w:val="473EA88B"/>
    <w:rsid w:val="473F7D88"/>
    <w:rsid w:val="4748B565"/>
    <w:rsid w:val="4749BA99"/>
    <w:rsid w:val="474C960B"/>
    <w:rsid w:val="474D3779"/>
    <w:rsid w:val="475485ED"/>
    <w:rsid w:val="47582E09"/>
    <w:rsid w:val="475C6E4A"/>
    <w:rsid w:val="47704610"/>
    <w:rsid w:val="477D589A"/>
    <w:rsid w:val="478B57B3"/>
    <w:rsid w:val="4793186E"/>
    <w:rsid w:val="479BD863"/>
    <w:rsid w:val="47A2AA50"/>
    <w:rsid w:val="47A9A9BD"/>
    <w:rsid w:val="47ABBCC4"/>
    <w:rsid w:val="47B3AAC3"/>
    <w:rsid w:val="47BB3117"/>
    <w:rsid w:val="47BCE5EC"/>
    <w:rsid w:val="47BEAE6D"/>
    <w:rsid w:val="47C1B948"/>
    <w:rsid w:val="47C644E1"/>
    <w:rsid w:val="47C74004"/>
    <w:rsid w:val="47C7C5E8"/>
    <w:rsid w:val="47CBE090"/>
    <w:rsid w:val="47D0D560"/>
    <w:rsid w:val="47D514B0"/>
    <w:rsid w:val="47D61B07"/>
    <w:rsid w:val="47DB41FD"/>
    <w:rsid w:val="47E44B05"/>
    <w:rsid w:val="47E73ADA"/>
    <w:rsid w:val="47EB4FC4"/>
    <w:rsid w:val="47F29694"/>
    <w:rsid w:val="47F3F91B"/>
    <w:rsid w:val="47F420BD"/>
    <w:rsid w:val="48004D12"/>
    <w:rsid w:val="4800FC96"/>
    <w:rsid w:val="48027B11"/>
    <w:rsid w:val="4803084B"/>
    <w:rsid w:val="48065883"/>
    <w:rsid w:val="480C8184"/>
    <w:rsid w:val="48169746"/>
    <w:rsid w:val="4817F138"/>
    <w:rsid w:val="48187C3D"/>
    <w:rsid w:val="4828C443"/>
    <w:rsid w:val="482920C6"/>
    <w:rsid w:val="482A890E"/>
    <w:rsid w:val="482C9B13"/>
    <w:rsid w:val="482F4E24"/>
    <w:rsid w:val="48316094"/>
    <w:rsid w:val="4831C382"/>
    <w:rsid w:val="48347A3D"/>
    <w:rsid w:val="48397584"/>
    <w:rsid w:val="483FDC3A"/>
    <w:rsid w:val="484AD8C9"/>
    <w:rsid w:val="484FEE17"/>
    <w:rsid w:val="48584A48"/>
    <w:rsid w:val="485A4D29"/>
    <w:rsid w:val="485E9F5D"/>
    <w:rsid w:val="4863EED3"/>
    <w:rsid w:val="4867957E"/>
    <w:rsid w:val="486DC2E6"/>
    <w:rsid w:val="4877365F"/>
    <w:rsid w:val="487B734B"/>
    <w:rsid w:val="487C0003"/>
    <w:rsid w:val="488A8343"/>
    <w:rsid w:val="4890BF36"/>
    <w:rsid w:val="4890C3F8"/>
    <w:rsid w:val="4891CB9D"/>
    <w:rsid w:val="489583FA"/>
    <w:rsid w:val="48961788"/>
    <w:rsid w:val="489C164D"/>
    <w:rsid w:val="489E9D3A"/>
    <w:rsid w:val="48B292B7"/>
    <w:rsid w:val="48B78229"/>
    <w:rsid w:val="48BC3881"/>
    <w:rsid w:val="48C2EDFB"/>
    <w:rsid w:val="48C7EAD0"/>
    <w:rsid w:val="48C915D3"/>
    <w:rsid w:val="48CC2386"/>
    <w:rsid w:val="48CD77B2"/>
    <w:rsid w:val="48CDB531"/>
    <w:rsid w:val="48E47773"/>
    <w:rsid w:val="48E76B9E"/>
    <w:rsid w:val="48E9652E"/>
    <w:rsid w:val="48EA0C6D"/>
    <w:rsid w:val="48EAF11D"/>
    <w:rsid w:val="48EDEFBD"/>
    <w:rsid w:val="48FC64AD"/>
    <w:rsid w:val="490C6945"/>
    <w:rsid w:val="490E9A2C"/>
    <w:rsid w:val="4918B2BC"/>
    <w:rsid w:val="491B5F88"/>
    <w:rsid w:val="491B7150"/>
    <w:rsid w:val="491C9EB5"/>
    <w:rsid w:val="4929253D"/>
    <w:rsid w:val="4929796B"/>
    <w:rsid w:val="492C1995"/>
    <w:rsid w:val="492D02B0"/>
    <w:rsid w:val="493071EC"/>
    <w:rsid w:val="4935CC20"/>
    <w:rsid w:val="493B3B57"/>
    <w:rsid w:val="493BEAA0"/>
    <w:rsid w:val="493F2C87"/>
    <w:rsid w:val="494BF873"/>
    <w:rsid w:val="4953B3A4"/>
    <w:rsid w:val="49559C99"/>
    <w:rsid w:val="49579B86"/>
    <w:rsid w:val="4958A902"/>
    <w:rsid w:val="495F3925"/>
    <w:rsid w:val="49663520"/>
    <w:rsid w:val="4968598D"/>
    <w:rsid w:val="496EC075"/>
    <w:rsid w:val="496EC9D0"/>
    <w:rsid w:val="49723E7E"/>
    <w:rsid w:val="49755A53"/>
    <w:rsid w:val="49761471"/>
    <w:rsid w:val="49832F69"/>
    <w:rsid w:val="498A2DAA"/>
    <w:rsid w:val="498AFB49"/>
    <w:rsid w:val="498E4571"/>
    <w:rsid w:val="49A7C73B"/>
    <w:rsid w:val="49A84F03"/>
    <w:rsid w:val="49AB9BB3"/>
    <w:rsid w:val="49B289E3"/>
    <w:rsid w:val="49B53F15"/>
    <w:rsid w:val="49BBDF85"/>
    <w:rsid w:val="49BCB00F"/>
    <w:rsid w:val="49BE3F61"/>
    <w:rsid w:val="49BFD38F"/>
    <w:rsid w:val="49C3458C"/>
    <w:rsid w:val="49CA69C6"/>
    <w:rsid w:val="49CC6BFA"/>
    <w:rsid w:val="49E77B37"/>
    <w:rsid w:val="49EF68A4"/>
    <w:rsid w:val="49EF81BC"/>
    <w:rsid w:val="49EF868D"/>
    <w:rsid w:val="49F0992C"/>
    <w:rsid w:val="49F3A2AE"/>
    <w:rsid w:val="49F933E5"/>
    <w:rsid w:val="49FA3004"/>
    <w:rsid w:val="49FE708E"/>
    <w:rsid w:val="49FF444D"/>
    <w:rsid w:val="4A09DE26"/>
    <w:rsid w:val="4A102023"/>
    <w:rsid w:val="4A1566A6"/>
    <w:rsid w:val="4A15D06B"/>
    <w:rsid w:val="4A19F3FD"/>
    <w:rsid w:val="4A1F2F4E"/>
    <w:rsid w:val="4A28B414"/>
    <w:rsid w:val="4A294F19"/>
    <w:rsid w:val="4A2D6207"/>
    <w:rsid w:val="4A31545B"/>
    <w:rsid w:val="4A33E6D3"/>
    <w:rsid w:val="4A35CF9A"/>
    <w:rsid w:val="4A363677"/>
    <w:rsid w:val="4A36CF15"/>
    <w:rsid w:val="4A47B58E"/>
    <w:rsid w:val="4A4E3AC7"/>
    <w:rsid w:val="4A50B906"/>
    <w:rsid w:val="4A527A31"/>
    <w:rsid w:val="4A6D28B2"/>
    <w:rsid w:val="4A76B063"/>
    <w:rsid w:val="4A7C691D"/>
    <w:rsid w:val="4A835011"/>
    <w:rsid w:val="4A86382C"/>
    <w:rsid w:val="4A8CDC03"/>
    <w:rsid w:val="4A8FD9F4"/>
    <w:rsid w:val="4A953D73"/>
    <w:rsid w:val="4AA0F8C7"/>
    <w:rsid w:val="4AA167BB"/>
    <w:rsid w:val="4AA8030B"/>
    <w:rsid w:val="4AA8B37C"/>
    <w:rsid w:val="4AACA6BE"/>
    <w:rsid w:val="4AB2FBBC"/>
    <w:rsid w:val="4AB37CB4"/>
    <w:rsid w:val="4AB6E5AB"/>
    <w:rsid w:val="4AB7ACA4"/>
    <w:rsid w:val="4AC2F875"/>
    <w:rsid w:val="4ACC180C"/>
    <w:rsid w:val="4ACE4C5D"/>
    <w:rsid w:val="4AD89719"/>
    <w:rsid w:val="4ADFD9CB"/>
    <w:rsid w:val="4AE0210C"/>
    <w:rsid w:val="4AE0A5C9"/>
    <w:rsid w:val="4AE35B3E"/>
    <w:rsid w:val="4AF645BC"/>
    <w:rsid w:val="4AF6FCD4"/>
    <w:rsid w:val="4AFECA7B"/>
    <w:rsid w:val="4B009CAC"/>
    <w:rsid w:val="4B04EBF1"/>
    <w:rsid w:val="4B12DFFD"/>
    <w:rsid w:val="4B1E3B75"/>
    <w:rsid w:val="4B1FB09E"/>
    <w:rsid w:val="4B215853"/>
    <w:rsid w:val="4B2C6DBB"/>
    <w:rsid w:val="4B2EE6DC"/>
    <w:rsid w:val="4B2FCEA1"/>
    <w:rsid w:val="4B39B625"/>
    <w:rsid w:val="4B3B75A2"/>
    <w:rsid w:val="4B3CF1AE"/>
    <w:rsid w:val="4B3E66B6"/>
    <w:rsid w:val="4B56337A"/>
    <w:rsid w:val="4B5BFB2D"/>
    <w:rsid w:val="4B683C5B"/>
    <w:rsid w:val="4B699906"/>
    <w:rsid w:val="4B6A814D"/>
    <w:rsid w:val="4B742C7F"/>
    <w:rsid w:val="4B755B76"/>
    <w:rsid w:val="4B7B34EA"/>
    <w:rsid w:val="4B835662"/>
    <w:rsid w:val="4B8556FC"/>
    <w:rsid w:val="4B8AA4F5"/>
    <w:rsid w:val="4B8ADE3C"/>
    <w:rsid w:val="4B8BA11C"/>
    <w:rsid w:val="4B8E753E"/>
    <w:rsid w:val="4BA4BD30"/>
    <w:rsid w:val="4BB52D1D"/>
    <w:rsid w:val="4BB90D52"/>
    <w:rsid w:val="4BC0929C"/>
    <w:rsid w:val="4BC11BCE"/>
    <w:rsid w:val="4BC59835"/>
    <w:rsid w:val="4BC6C567"/>
    <w:rsid w:val="4BC870B4"/>
    <w:rsid w:val="4BC95806"/>
    <w:rsid w:val="4BCB0963"/>
    <w:rsid w:val="4BCC197C"/>
    <w:rsid w:val="4BCD24BC"/>
    <w:rsid w:val="4BD5E226"/>
    <w:rsid w:val="4BDAEFC7"/>
    <w:rsid w:val="4BDB5BFB"/>
    <w:rsid w:val="4BDC2057"/>
    <w:rsid w:val="4BDE7081"/>
    <w:rsid w:val="4BE17E76"/>
    <w:rsid w:val="4BE77FF4"/>
    <w:rsid w:val="4BE813E4"/>
    <w:rsid w:val="4BEE60BC"/>
    <w:rsid w:val="4BF6E514"/>
    <w:rsid w:val="4BFFDBA9"/>
    <w:rsid w:val="4C00B21D"/>
    <w:rsid w:val="4C0C5450"/>
    <w:rsid w:val="4C1321D4"/>
    <w:rsid w:val="4C186F20"/>
    <w:rsid w:val="4C1BD960"/>
    <w:rsid w:val="4C1F245B"/>
    <w:rsid w:val="4C1FBE17"/>
    <w:rsid w:val="4C233980"/>
    <w:rsid w:val="4C2E69FE"/>
    <w:rsid w:val="4C32735F"/>
    <w:rsid w:val="4C3C63E0"/>
    <w:rsid w:val="4C435CB3"/>
    <w:rsid w:val="4C440D5F"/>
    <w:rsid w:val="4C5BCA1C"/>
    <w:rsid w:val="4C5F306F"/>
    <w:rsid w:val="4C5FFDCC"/>
    <w:rsid w:val="4C60A561"/>
    <w:rsid w:val="4C632D7C"/>
    <w:rsid w:val="4C63DB70"/>
    <w:rsid w:val="4C6FF7BC"/>
    <w:rsid w:val="4C702CA8"/>
    <w:rsid w:val="4C7651F7"/>
    <w:rsid w:val="4C77ABB0"/>
    <w:rsid w:val="4C78D38E"/>
    <w:rsid w:val="4C8908B7"/>
    <w:rsid w:val="4C988112"/>
    <w:rsid w:val="4C99FF62"/>
    <w:rsid w:val="4C9AA22E"/>
    <w:rsid w:val="4CA07F50"/>
    <w:rsid w:val="4CA8F844"/>
    <w:rsid w:val="4CAE9561"/>
    <w:rsid w:val="4CB071A8"/>
    <w:rsid w:val="4CB2502F"/>
    <w:rsid w:val="4CB3E4FA"/>
    <w:rsid w:val="4CB666AC"/>
    <w:rsid w:val="4CBDCA95"/>
    <w:rsid w:val="4CC385FC"/>
    <w:rsid w:val="4CCD7985"/>
    <w:rsid w:val="4CD32AA5"/>
    <w:rsid w:val="4CD3D45A"/>
    <w:rsid w:val="4CD861EC"/>
    <w:rsid w:val="4CDBAC37"/>
    <w:rsid w:val="4CDFEFC5"/>
    <w:rsid w:val="4D0005E1"/>
    <w:rsid w:val="4D00B627"/>
    <w:rsid w:val="4D02FB3E"/>
    <w:rsid w:val="4D040CBC"/>
    <w:rsid w:val="4D12BD09"/>
    <w:rsid w:val="4D1A774E"/>
    <w:rsid w:val="4D1D74F1"/>
    <w:rsid w:val="4D243387"/>
    <w:rsid w:val="4D2B9EA4"/>
    <w:rsid w:val="4D2D2097"/>
    <w:rsid w:val="4D368251"/>
    <w:rsid w:val="4D3BF2F8"/>
    <w:rsid w:val="4D3E1E01"/>
    <w:rsid w:val="4D3FFD65"/>
    <w:rsid w:val="4D435049"/>
    <w:rsid w:val="4D4350C1"/>
    <w:rsid w:val="4D484E76"/>
    <w:rsid w:val="4D4AE84D"/>
    <w:rsid w:val="4D4DCC9C"/>
    <w:rsid w:val="4D4F0578"/>
    <w:rsid w:val="4D575F5A"/>
    <w:rsid w:val="4D6168D4"/>
    <w:rsid w:val="4D63AC09"/>
    <w:rsid w:val="4D6DD739"/>
    <w:rsid w:val="4D701353"/>
    <w:rsid w:val="4D70916B"/>
    <w:rsid w:val="4D875AA2"/>
    <w:rsid w:val="4D8C395E"/>
    <w:rsid w:val="4D919D96"/>
    <w:rsid w:val="4D93598F"/>
    <w:rsid w:val="4D9975A2"/>
    <w:rsid w:val="4DA432CB"/>
    <w:rsid w:val="4DA62731"/>
    <w:rsid w:val="4DAAFF04"/>
    <w:rsid w:val="4DAC7B59"/>
    <w:rsid w:val="4DACDE4D"/>
    <w:rsid w:val="4DADEC32"/>
    <w:rsid w:val="4DB06164"/>
    <w:rsid w:val="4DC01219"/>
    <w:rsid w:val="4DC2AC00"/>
    <w:rsid w:val="4DD31BBD"/>
    <w:rsid w:val="4DD5713A"/>
    <w:rsid w:val="4DDFA3CD"/>
    <w:rsid w:val="4DE326D1"/>
    <w:rsid w:val="4DEC23DF"/>
    <w:rsid w:val="4DEE9698"/>
    <w:rsid w:val="4DEEE5C6"/>
    <w:rsid w:val="4DF2A9CD"/>
    <w:rsid w:val="4DFA9937"/>
    <w:rsid w:val="4DFB58C2"/>
    <w:rsid w:val="4DFB6E6B"/>
    <w:rsid w:val="4E01EEAC"/>
    <w:rsid w:val="4E0B5BEB"/>
    <w:rsid w:val="4E0F73AC"/>
    <w:rsid w:val="4E101A39"/>
    <w:rsid w:val="4E1C19C7"/>
    <w:rsid w:val="4E240C76"/>
    <w:rsid w:val="4E25AA7B"/>
    <w:rsid w:val="4E295425"/>
    <w:rsid w:val="4E2E9139"/>
    <w:rsid w:val="4E355A92"/>
    <w:rsid w:val="4E35F722"/>
    <w:rsid w:val="4E3AC0DF"/>
    <w:rsid w:val="4E40CBD0"/>
    <w:rsid w:val="4E4D6ED5"/>
    <w:rsid w:val="4E5064E5"/>
    <w:rsid w:val="4E599AF6"/>
    <w:rsid w:val="4E5A9148"/>
    <w:rsid w:val="4E62F45E"/>
    <w:rsid w:val="4E6CB06D"/>
    <w:rsid w:val="4E71289F"/>
    <w:rsid w:val="4E75C3AE"/>
    <w:rsid w:val="4E762A07"/>
    <w:rsid w:val="4E76F1D2"/>
    <w:rsid w:val="4E77AE91"/>
    <w:rsid w:val="4E7D352F"/>
    <w:rsid w:val="4E7F1360"/>
    <w:rsid w:val="4E8A18BD"/>
    <w:rsid w:val="4E8BC058"/>
    <w:rsid w:val="4E8BFC73"/>
    <w:rsid w:val="4E8C28BB"/>
    <w:rsid w:val="4E9266CD"/>
    <w:rsid w:val="4E93D42E"/>
    <w:rsid w:val="4E941792"/>
    <w:rsid w:val="4E9D62F5"/>
    <w:rsid w:val="4EA24026"/>
    <w:rsid w:val="4EA26987"/>
    <w:rsid w:val="4EA3A2E5"/>
    <w:rsid w:val="4EA9D2D7"/>
    <w:rsid w:val="4EAC829B"/>
    <w:rsid w:val="4EB080B4"/>
    <w:rsid w:val="4EB24711"/>
    <w:rsid w:val="4EB26081"/>
    <w:rsid w:val="4EB65ED0"/>
    <w:rsid w:val="4EBA185E"/>
    <w:rsid w:val="4EBDB1D5"/>
    <w:rsid w:val="4ECD3E7F"/>
    <w:rsid w:val="4ECEC955"/>
    <w:rsid w:val="4ED697D9"/>
    <w:rsid w:val="4ED80075"/>
    <w:rsid w:val="4EDC9C94"/>
    <w:rsid w:val="4EDF53FA"/>
    <w:rsid w:val="4EE997D5"/>
    <w:rsid w:val="4EFFFC81"/>
    <w:rsid w:val="4F05E63B"/>
    <w:rsid w:val="4F09A79A"/>
    <w:rsid w:val="4F0D4020"/>
    <w:rsid w:val="4F11E239"/>
    <w:rsid w:val="4F1579CB"/>
    <w:rsid w:val="4F1A8E34"/>
    <w:rsid w:val="4F1B6AA3"/>
    <w:rsid w:val="4F214AFC"/>
    <w:rsid w:val="4F2DA609"/>
    <w:rsid w:val="4F35390D"/>
    <w:rsid w:val="4F519335"/>
    <w:rsid w:val="4F521F64"/>
    <w:rsid w:val="4F544039"/>
    <w:rsid w:val="4F5B745E"/>
    <w:rsid w:val="4F5F467C"/>
    <w:rsid w:val="4F614E9B"/>
    <w:rsid w:val="4F656D0A"/>
    <w:rsid w:val="4F665548"/>
    <w:rsid w:val="4F7B742E"/>
    <w:rsid w:val="4F7D47A6"/>
    <w:rsid w:val="4F9071A6"/>
    <w:rsid w:val="4F927EA1"/>
    <w:rsid w:val="4F9924A6"/>
    <w:rsid w:val="4FA68DC5"/>
    <w:rsid w:val="4FA6F6BE"/>
    <w:rsid w:val="4FA9B908"/>
    <w:rsid w:val="4FAA43A3"/>
    <w:rsid w:val="4FACB871"/>
    <w:rsid w:val="4FAFD991"/>
    <w:rsid w:val="4FB0B255"/>
    <w:rsid w:val="4FB18AAC"/>
    <w:rsid w:val="4FB51784"/>
    <w:rsid w:val="4FB59AAE"/>
    <w:rsid w:val="4FBFD875"/>
    <w:rsid w:val="4FC0A488"/>
    <w:rsid w:val="4FC62E07"/>
    <w:rsid w:val="4FC64592"/>
    <w:rsid w:val="4FCB554D"/>
    <w:rsid w:val="4FE417F8"/>
    <w:rsid w:val="4FE43FF5"/>
    <w:rsid w:val="4FEBA5F7"/>
    <w:rsid w:val="4FED7DD1"/>
    <w:rsid w:val="4FF6FAAE"/>
    <w:rsid w:val="4FFA8C80"/>
    <w:rsid w:val="50022C4F"/>
    <w:rsid w:val="5002C70B"/>
    <w:rsid w:val="50096EBA"/>
    <w:rsid w:val="500E0BA4"/>
    <w:rsid w:val="501311F2"/>
    <w:rsid w:val="501417C6"/>
    <w:rsid w:val="50158054"/>
    <w:rsid w:val="501CFB8C"/>
    <w:rsid w:val="501E0433"/>
    <w:rsid w:val="5020C4DD"/>
    <w:rsid w:val="50238E22"/>
    <w:rsid w:val="502C3435"/>
    <w:rsid w:val="503BAD7E"/>
    <w:rsid w:val="503F2D70"/>
    <w:rsid w:val="5041CD17"/>
    <w:rsid w:val="50435E40"/>
    <w:rsid w:val="5044AA5C"/>
    <w:rsid w:val="504D4E4E"/>
    <w:rsid w:val="504F9D4F"/>
    <w:rsid w:val="505466FE"/>
    <w:rsid w:val="50636B57"/>
    <w:rsid w:val="5067B883"/>
    <w:rsid w:val="5068DFBA"/>
    <w:rsid w:val="5069005C"/>
    <w:rsid w:val="506E1EC9"/>
    <w:rsid w:val="5070B8FE"/>
    <w:rsid w:val="50757C0B"/>
    <w:rsid w:val="507E4BB9"/>
    <w:rsid w:val="5083180E"/>
    <w:rsid w:val="5083A36C"/>
    <w:rsid w:val="5098B912"/>
    <w:rsid w:val="509BCDCA"/>
    <w:rsid w:val="509CB243"/>
    <w:rsid w:val="509FEC59"/>
    <w:rsid w:val="50ADA376"/>
    <w:rsid w:val="50B238B6"/>
    <w:rsid w:val="50B7675B"/>
    <w:rsid w:val="50B97CAA"/>
    <w:rsid w:val="50BC2CD6"/>
    <w:rsid w:val="50BE2E95"/>
    <w:rsid w:val="50CCC98A"/>
    <w:rsid w:val="50D5D3E5"/>
    <w:rsid w:val="50D69F38"/>
    <w:rsid w:val="50D9FEA4"/>
    <w:rsid w:val="50DE79BC"/>
    <w:rsid w:val="50E58165"/>
    <w:rsid w:val="50E67DCC"/>
    <w:rsid w:val="50E86B61"/>
    <w:rsid w:val="50F0DD13"/>
    <w:rsid w:val="50F66304"/>
    <w:rsid w:val="50FBE60B"/>
    <w:rsid w:val="5107FE1F"/>
    <w:rsid w:val="510F2F84"/>
    <w:rsid w:val="5110ECBE"/>
    <w:rsid w:val="511DF026"/>
    <w:rsid w:val="511E8108"/>
    <w:rsid w:val="511F2032"/>
    <w:rsid w:val="5126052D"/>
    <w:rsid w:val="51434456"/>
    <w:rsid w:val="5147BAFB"/>
    <w:rsid w:val="514C82B6"/>
    <w:rsid w:val="51519921"/>
    <w:rsid w:val="51554C5C"/>
    <w:rsid w:val="515767A4"/>
    <w:rsid w:val="516A4C67"/>
    <w:rsid w:val="516DE5ED"/>
    <w:rsid w:val="51797661"/>
    <w:rsid w:val="5184B0BB"/>
    <w:rsid w:val="5196DD24"/>
    <w:rsid w:val="51A29C5B"/>
    <w:rsid w:val="51A3BE1A"/>
    <w:rsid w:val="51A5BACF"/>
    <w:rsid w:val="51B6BEBC"/>
    <w:rsid w:val="51B79426"/>
    <w:rsid w:val="51BD9BC8"/>
    <w:rsid w:val="51BF5E83"/>
    <w:rsid w:val="51C8804F"/>
    <w:rsid w:val="51C95F80"/>
    <w:rsid w:val="51C9F07F"/>
    <w:rsid w:val="51D4EFD3"/>
    <w:rsid w:val="51D79985"/>
    <w:rsid w:val="51D96FD7"/>
    <w:rsid w:val="51DAB818"/>
    <w:rsid w:val="51E02F84"/>
    <w:rsid w:val="51ED9CB5"/>
    <w:rsid w:val="51F74684"/>
    <w:rsid w:val="51F97582"/>
    <w:rsid w:val="51FFEFAC"/>
    <w:rsid w:val="52090AEC"/>
    <w:rsid w:val="520B3002"/>
    <w:rsid w:val="52197B03"/>
    <w:rsid w:val="5225DA0E"/>
    <w:rsid w:val="52276614"/>
    <w:rsid w:val="522B4F62"/>
    <w:rsid w:val="522B6140"/>
    <w:rsid w:val="525D360F"/>
    <w:rsid w:val="52656453"/>
    <w:rsid w:val="526B2496"/>
    <w:rsid w:val="52718DAD"/>
    <w:rsid w:val="52799854"/>
    <w:rsid w:val="527E5C23"/>
    <w:rsid w:val="52816C47"/>
    <w:rsid w:val="529379C7"/>
    <w:rsid w:val="52A42CC4"/>
    <w:rsid w:val="52A5278E"/>
    <w:rsid w:val="52A64A6E"/>
    <w:rsid w:val="52AAD532"/>
    <w:rsid w:val="52ACDF63"/>
    <w:rsid w:val="52B402F6"/>
    <w:rsid w:val="52DC3B98"/>
    <w:rsid w:val="52E94C86"/>
    <w:rsid w:val="52ECC863"/>
    <w:rsid w:val="52EF7B8E"/>
    <w:rsid w:val="52FE922C"/>
    <w:rsid w:val="53009816"/>
    <w:rsid w:val="530763FC"/>
    <w:rsid w:val="5309EAE3"/>
    <w:rsid w:val="530D45D3"/>
    <w:rsid w:val="531E93A0"/>
    <w:rsid w:val="53223D0A"/>
    <w:rsid w:val="532B2A7C"/>
    <w:rsid w:val="533EFA7E"/>
    <w:rsid w:val="533FCC76"/>
    <w:rsid w:val="53476B3F"/>
    <w:rsid w:val="5358CE69"/>
    <w:rsid w:val="53593120"/>
    <w:rsid w:val="5359A89E"/>
    <w:rsid w:val="535B82F0"/>
    <w:rsid w:val="5361E172"/>
    <w:rsid w:val="536328FC"/>
    <w:rsid w:val="536A03A5"/>
    <w:rsid w:val="53734E40"/>
    <w:rsid w:val="53792754"/>
    <w:rsid w:val="537DA788"/>
    <w:rsid w:val="5385097F"/>
    <w:rsid w:val="538D5C53"/>
    <w:rsid w:val="538E7F07"/>
    <w:rsid w:val="538EDF9B"/>
    <w:rsid w:val="5393C910"/>
    <w:rsid w:val="539624C0"/>
    <w:rsid w:val="539A959E"/>
    <w:rsid w:val="539F1820"/>
    <w:rsid w:val="53A6764A"/>
    <w:rsid w:val="53A83E15"/>
    <w:rsid w:val="53AFF463"/>
    <w:rsid w:val="53B424AA"/>
    <w:rsid w:val="53B83268"/>
    <w:rsid w:val="53C38E48"/>
    <w:rsid w:val="53C58BC9"/>
    <w:rsid w:val="53C6B97B"/>
    <w:rsid w:val="53D6BF0A"/>
    <w:rsid w:val="53D8FD1A"/>
    <w:rsid w:val="53DE3ECE"/>
    <w:rsid w:val="53EDCA37"/>
    <w:rsid w:val="53EF85F2"/>
    <w:rsid w:val="53F1035D"/>
    <w:rsid w:val="53F979B7"/>
    <w:rsid w:val="53FEB028"/>
    <w:rsid w:val="53FFFD1A"/>
    <w:rsid w:val="5403385B"/>
    <w:rsid w:val="5404F631"/>
    <w:rsid w:val="5412E25B"/>
    <w:rsid w:val="5415D158"/>
    <w:rsid w:val="541C5E11"/>
    <w:rsid w:val="54223AD5"/>
    <w:rsid w:val="54223AEE"/>
    <w:rsid w:val="5423C5F6"/>
    <w:rsid w:val="542EAAC6"/>
    <w:rsid w:val="542F4787"/>
    <w:rsid w:val="543228B8"/>
    <w:rsid w:val="5433FA8D"/>
    <w:rsid w:val="5435BCF4"/>
    <w:rsid w:val="5435FD9E"/>
    <w:rsid w:val="543675DF"/>
    <w:rsid w:val="5439FB1A"/>
    <w:rsid w:val="543EEEEE"/>
    <w:rsid w:val="544084AC"/>
    <w:rsid w:val="5441C219"/>
    <w:rsid w:val="5442E2D9"/>
    <w:rsid w:val="54515742"/>
    <w:rsid w:val="545B6563"/>
    <w:rsid w:val="54646575"/>
    <w:rsid w:val="54648DC6"/>
    <w:rsid w:val="546C0F8D"/>
    <w:rsid w:val="546DCD04"/>
    <w:rsid w:val="546E4781"/>
    <w:rsid w:val="547968A7"/>
    <w:rsid w:val="547D4DC0"/>
    <w:rsid w:val="5487880F"/>
    <w:rsid w:val="548B54E4"/>
    <w:rsid w:val="54921342"/>
    <w:rsid w:val="549A0BB2"/>
    <w:rsid w:val="549E3773"/>
    <w:rsid w:val="54A7FAE7"/>
    <w:rsid w:val="54B0A2DD"/>
    <w:rsid w:val="54B1B022"/>
    <w:rsid w:val="54BD48BC"/>
    <w:rsid w:val="54C0482C"/>
    <w:rsid w:val="54C5BDE2"/>
    <w:rsid w:val="54CEC939"/>
    <w:rsid w:val="54D91D2E"/>
    <w:rsid w:val="54F6FF45"/>
    <w:rsid w:val="54F81D02"/>
    <w:rsid w:val="55006222"/>
    <w:rsid w:val="5502A1B9"/>
    <w:rsid w:val="550809DA"/>
    <w:rsid w:val="550BEE67"/>
    <w:rsid w:val="550D2B8A"/>
    <w:rsid w:val="550E5170"/>
    <w:rsid w:val="55116502"/>
    <w:rsid w:val="551ADB4B"/>
    <w:rsid w:val="551F18B8"/>
    <w:rsid w:val="55235CD2"/>
    <w:rsid w:val="55273490"/>
    <w:rsid w:val="55318A37"/>
    <w:rsid w:val="553563B4"/>
    <w:rsid w:val="5537C203"/>
    <w:rsid w:val="554176B8"/>
    <w:rsid w:val="55418FEC"/>
    <w:rsid w:val="555A3A7A"/>
    <w:rsid w:val="555BB01A"/>
    <w:rsid w:val="556475D2"/>
    <w:rsid w:val="5566E883"/>
    <w:rsid w:val="5568B827"/>
    <w:rsid w:val="55699073"/>
    <w:rsid w:val="55768169"/>
    <w:rsid w:val="557B001D"/>
    <w:rsid w:val="557B66FC"/>
    <w:rsid w:val="557BD39A"/>
    <w:rsid w:val="55802003"/>
    <w:rsid w:val="5590C7F8"/>
    <w:rsid w:val="5599D438"/>
    <w:rsid w:val="559B6AD3"/>
    <w:rsid w:val="55A0A265"/>
    <w:rsid w:val="55A48CB1"/>
    <w:rsid w:val="55A88FB7"/>
    <w:rsid w:val="55AF5180"/>
    <w:rsid w:val="55AF5504"/>
    <w:rsid w:val="55B68388"/>
    <w:rsid w:val="55B82999"/>
    <w:rsid w:val="55C28609"/>
    <w:rsid w:val="55C7167D"/>
    <w:rsid w:val="55CDC394"/>
    <w:rsid w:val="55D09130"/>
    <w:rsid w:val="55D2046B"/>
    <w:rsid w:val="55D719D9"/>
    <w:rsid w:val="55DA0E36"/>
    <w:rsid w:val="55EC1083"/>
    <w:rsid w:val="55F056CC"/>
    <w:rsid w:val="55FEEC5C"/>
    <w:rsid w:val="5604AE84"/>
    <w:rsid w:val="56073148"/>
    <w:rsid w:val="5608A83C"/>
    <w:rsid w:val="5609F376"/>
    <w:rsid w:val="560CBA56"/>
    <w:rsid w:val="56296FE6"/>
    <w:rsid w:val="562CC46B"/>
    <w:rsid w:val="563D252A"/>
    <w:rsid w:val="563DB909"/>
    <w:rsid w:val="5650C186"/>
    <w:rsid w:val="5661DD90"/>
    <w:rsid w:val="5667AD36"/>
    <w:rsid w:val="5668C2B3"/>
    <w:rsid w:val="5675D315"/>
    <w:rsid w:val="5679F3E1"/>
    <w:rsid w:val="567BCDF2"/>
    <w:rsid w:val="567F792D"/>
    <w:rsid w:val="5680C1C9"/>
    <w:rsid w:val="5681E138"/>
    <w:rsid w:val="568367AF"/>
    <w:rsid w:val="56838126"/>
    <w:rsid w:val="5688C14D"/>
    <w:rsid w:val="5689626A"/>
    <w:rsid w:val="568E4F11"/>
    <w:rsid w:val="568E8E6A"/>
    <w:rsid w:val="5692CFA6"/>
    <w:rsid w:val="56967864"/>
    <w:rsid w:val="56A90B12"/>
    <w:rsid w:val="56B15094"/>
    <w:rsid w:val="56BC4641"/>
    <w:rsid w:val="56BE3951"/>
    <w:rsid w:val="56CE8B65"/>
    <w:rsid w:val="56CFE25D"/>
    <w:rsid w:val="56D2191D"/>
    <w:rsid w:val="56D2A862"/>
    <w:rsid w:val="56D8FD63"/>
    <w:rsid w:val="56D9D1D9"/>
    <w:rsid w:val="56DD604D"/>
    <w:rsid w:val="56EA65DF"/>
    <w:rsid w:val="56EB8AA6"/>
    <w:rsid w:val="56EC9F7F"/>
    <w:rsid w:val="56FA610A"/>
    <w:rsid w:val="56FC3956"/>
    <w:rsid w:val="56FF8198"/>
    <w:rsid w:val="57078D12"/>
    <w:rsid w:val="570BF3C7"/>
    <w:rsid w:val="570D6B43"/>
    <w:rsid w:val="571439DA"/>
    <w:rsid w:val="5714672D"/>
    <w:rsid w:val="57159E21"/>
    <w:rsid w:val="571BF1F1"/>
    <w:rsid w:val="5724ABD1"/>
    <w:rsid w:val="5724C29A"/>
    <w:rsid w:val="57276959"/>
    <w:rsid w:val="57284DCB"/>
    <w:rsid w:val="572E2DDE"/>
    <w:rsid w:val="573290C0"/>
    <w:rsid w:val="5737E6B8"/>
    <w:rsid w:val="573C96F3"/>
    <w:rsid w:val="573D28E4"/>
    <w:rsid w:val="574D0977"/>
    <w:rsid w:val="575808F1"/>
    <w:rsid w:val="575E3064"/>
    <w:rsid w:val="576E9483"/>
    <w:rsid w:val="5773CC7E"/>
    <w:rsid w:val="577E188F"/>
    <w:rsid w:val="578427F0"/>
    <w:rsid w:val="578A5049"/>
    <w:rsid w:val="578E69A0"/>
    <w:rsid w:val="5796C46F"/>
    <w:rsid w:val="57A098D5"/>
    <w:rsid w:val="57B997CF"/>
    <w:rsid w:val="57BD99F4"/>
    <w:rsid w:val="57C214DE"/>
    <w:rsid w:val="57E02784"/>
    <w:rsid w:val="57F07E41"/>
    <w:rsid w:val="57F11B60"/>
    <w:rsid w:val="57F2F0A9"/>
    <w:rsid w:val="57F88FB6"/>
    <w:rsid w:val="57FDBA5C"/>
    <w:rsid w:val="5801738E"/>
    <w:rsid w:val="5803A7ED"/>
    <w:rsid w:val="581230A1"/>
    <w:rsid w:val="581EEDC4"/>
    <w:rsid w:val="581FC02C"/>
    <w:rsid w:val="58233636"/>
    <w:rsid w:val="5826EA2A"/>
    <w:rsid w:val="582BED6C"/>
    <w:rsid w:val="582D42C0"/>
    <w:rsid w:val="582D76FD"/>
    <w:rsid w:val="58356D21"/>
    <w:rsid w:val="5850F365"/>
    <w:rsid w:val="5852C759"/>
    <w:rsid w:val="585D6532"/>
    <w:rsid w:val="58672B4B"/>
    <w:rsid w:val="58813E42"/>
    <w:rsid w:val="5883B869"/>
    <w:rsid w:val="58854CFB"/>
    <w:rsid w:val="5897A256"/>
    <w:rsid w:val="58985210"/>
    <w:rsid w:val="589E0969"/>
    <w:rsid w:val="58A8F349"/>
    <w:rsid w:val="58A9394C"/>
    <w:rsid w:val="58BEB773"/>
    <w:rsid w:val="58C339BA"/>
    <w:rsid w:val="58C868BA"/>
    <w:rsid w:val="58CEAD97"/>
    <w:rsid w:val="58D7F0D0"/>
    <w:rsid w:val="58DD4F82"/>
    <w:rsid w:val="58E32FFB"/>
    <w:rsid w:val="58E722AB"/>
    <w:rsid w:val="58E8D9D8"/>
    <w:rsid w:val="58EB700C"/>
    <w:rsid w:val="58EDDDB7"/>
    <w:rsid w:val="58FA144F"/>
    <w:rsid w:val="59046E37"/>
    <w:rsid w:val="59094444"/>
    <w:rsid w:val="590B9143"/>
    <w:rsid w:val="59126011"/>
    <w:rsid w:val="591CA6D4"/>
    <w:rsid w:val="59223977"/>
    <w:rsid w:val="59280F75"/>
    <w:rsid w:val="59282DC4"/>
    <w:rsid w:val="592953C2"/>
    <w:rsid w:val="592AE6A3"/>
    <w:rsid w:val="592BC03B"/>
    <w:rsid w:val="59513674"/>
    <w:rsid w:val="595493CE"/>
    <w:rsid w:val="595A4294"/>
    <w:rsid w:val="595B8B96"/>
    <w:rsid w:val="5961BBCC"/>
    <w:rsid w:val="5962C422"/>
    <w:rsid w:val="5964AFAC"/>
    <w:rsid w:val="596AD41D"/>
    <w:rsid w:val="596EA11D"/>
    <w:rsid w:val="5974C479"/>
    <w:rsid w:val="597FE972"/>
    <w:rsid w:val="598DE7AE"/>
    <w:rsid w:val="5994D5C1"/>
    <w:rsid w:val="59A11C8B"/>
    <w:rsid w:val="59A5A705"/>
    <w:rsid w:val="59A7B06F"/>
    <w:rsid w:val="59A8B122"/>
    <w:rsid w:val="59A9FF6B"/>
    <w:rsid w:val="59B04A91"/>
    <w:rsid w:val="59B1980C"/>
    <w:rsid w:val="59BC5A58"/>
    <w:rsid w:val="59BD7C7C"/>
    <w:rsid w:val="59C32534"/>
    <w:rsid w:val="59C96767"/>
    <w:rsid w:val="59CB484F"/>
    <w:rsid w:val="59CF91EF"/>
    <w:rsid w:val="59DAF837"/>
    <w:rsid w:val="59DDD3E6"/>
    <w:rsid w:val="59DE7481"/>
    <w:rsid w:val="59E8C411"/>
    <w:rsid w:val="59EE3ECE"/>
    <w:rsid w:val="59EE749D"/>
    <w:rsid w:val="59F4495B"/>
    <w:rsid w:val="5A08AA4D"/>
    <w:rsid w:val="5A0965B6"/>
    <w:rsid w:val="5A15DD17"/>
    <w:rsid w:val="5A1CBA07"/>
    <w:rsid w:val="5A23D9DD"/>
    <w:rsid w:val="5A2641DD"/>
    <w:rsid w:val="5A29F427"/>
    <w:rsid w:val="5A2D17A8"/>
    <w:rsid w:val="5A323906"/>
    <w:rsid w:val="5A379105"/>
    <w:rsid w:val="5A38870B"/>
    <w:rsid w:val="5A426274"/>
    <w:rsid w:val="5A4375A8"/>
    <w:rsid w:val="5A48301D"/>
    <w:rsid w:val="5A4D9255"/>
    <w:rsid w:val="5A4DCF0B"/>
    <w:rsid w:val="5A4FEFA5"/>
    <w:rsid w:val="5A5173E2"/>
    <w:rsid w:val="5A58EDA5"/>
    <w:rsid w:val="5A5B4BA2"/>
    <w:rsid w:val="5A5E9DD5"/>
    <w:rsid w:val="5A72C1A6"/>
    <w:rsid w:val="5A75E1C9"/>
    <w:rsid w:val="5A79FA26"/>
    <w:rsid w:val="5A7B9956"/>
    <w:rsid w:val="5A863CD6"/>
    <w:rsid w:val="5A8DEEF8"/>
    <w:rsid w:val="5A8F1CBD"/>
    <w:rsid w:val="5A93364B"/>
    <w:rsid w:val="5AAE3AAD"/>
    <w:rsid w:val="5AB9DB3E"/>
    <w:rsid w:val="5AC49AA1"/>
    <w:rsid w:val="5AC64DE8"/>
    <w:rsid w:val="5ACD657B"/>
    <w:rsid w:val="5AD14901"/>
    <w:rsid w:val="5ADC22BA"/>
    <w:rsid w:val="5ADFC7C7"/>
    <w:rsid w:val="5AE6BC80"/>
    <w:rsid w:val="5AEA5478"/>
    <w:rsid w:val="5AEB010F"/>
    <w:rsid w:val="5AF121DB"/>
    <w:rsid w:val="5AF43CA6"/>
    <w:rsid w:val="5B016ED6"/>
    <w:rsid w:val="5B173C6B"/>
    <w:rsid w:val="5B178FC8"/>
    <w:rsid w:val="5B186DA3"/>
    <w:rsid w:val="5B220D67"/>
    <w:rsid w:val="5B2D502C"/>
    <w:rsid w:val="5B3037F6"/>
    <w:rsid w:val="5B352458"/>
    <w:rsid w:val="5B3ABE74"/>
    <w:rsid w:val="5B3B1E59"/>
    <w:rsid w:val="5B42353F"/>
    <w:rsid w:val="5B4F31C0"/>
    <w:rsid w:val="5B543FB1"/>
    <w:rsid w:val="5B634FA2"/>
    <w:rsid w:val="5B641FCC"/>
    <w:rsid w:val="5B648ECA"/>
    <w:rsid w:val="5B6E5A5D"/>
    <w:rsid w:val="5B6EC082"/>
    <w:rsid w:val="5B76593C"/>
    <w:rsid w:val="5B76BF63"/>
    <w:rsid w:val="5B7BD273"/>
    <w:rsid w:val="5B7CE9A6"/>
    <w:rsid w:val="5B7DE522"/>
    <w:rsid w:val="5B7E8D96"/>
    <w:rsid w:val="5B8C58F5"/>
    <w:rsid w:val="5B986B12"/>
    <w:rsid w:val="5B9D4068"/>
    <w:rsid w:val="5BA37ACA"/>
    <w:rsid w:val="5BA70387"/>
    <w:rsid w:val="5BA964F3"/>
    <w:rsid w:val="5BB0AE92"/>
    <w:rsid w:val="5BBD3052"/>
    <w:rsid w:val="5BC15521"/>
    <w:rsid w:val="5BC564F7"/>
    <w:rsid w:val="5BC5C488"/>
    <w:rsid w:val="5BD2F9B5"/>
    <w:rsid w:val="5BDA657C"/>
    <w:rsid w:val="5BDB2624"/>
    <w:rsid w:val="5BE1933F"/>
    <w:rsid w:val="5BEB14D7"/>
    <w:rsid w:val="5BEF314A"/>
    <w:rsid w:val="5BF1A845"/>
    <w:rsid w:val="5BF3D187"/>
    <w:rsid w:val="5BF8DC1C"/>
    <w:rsid w:val="5BF9E3B5"/>
    <w:rsid w:val="5BFA7310"/>
    <w:rsid w:val="5C06600D"/>
    <w:rsid w:val="5C078607"/>
    <w:rsid w:val="5C103EDA"/>
    <w:rsid w:val="5C11E27E"/>
    <w:rsid w:val="5C1A7D50"/>
    <w:rsid w:val="5C2109BA"/>
    <w:rsid w:val="5C219B45"/>
    <w:rsid w:val="5C35DBE7"/>
    <w:rsid w:val="5C3BF779"/>
    <w:rsid w:val="5C480BA0"/>
    <w:rsid w:val="5C4A00D3"/>
    <w:rsid w:val="5C588BDC"/>
    <w:rsid w:val="5C5C0A87"/>
    <w:rsid w:val="5C5E04B9"/>
    <w:rsid w:val="5C605C72"/>
    <w:rsid w:val="5C7B1661"/>
    <w:rsid w:val="5C7BF718"/>
    <w:rsid w:val="5C7EFA4A"/>
    <w:rsid w:val="5C80C1B3"/>
    <w:rsid w:val="5C81A58E"/>
    <w:rsid w:val="5C88A66C"/>
    <w:rsid w:val="5C943DEF"/>
    <w:rsid w:val="5C989D7F"/>
    <w:rsid w:val="5C9A2691"/>
    <w:rsid w:val="5C9F4FAA"/>
    <w:rsid w:val="5CA03E89"/>
    <w:rsid w:val="5CA2FBA8"/>
    <w:rsid w:val="5CA6075A"/>
    <w:rsid w:val="5CB6188D"/>
    <w:rsid w:val="5CC1A44A"/>
    <w:rsid w:val="5CC3321E"/>
    <w:rsid w:val="5CC3BE9F"/>
    <w:rsid w:val="5CCD445A"/>
    <w:rsid w:val="5CCDE951"/>
    <w:rsid w:val="5CD0F0AB"/>
    <w:rsid w:val="5CDC63FC"/>
    <w:rsid w:val="5CE16F4B"/>
    <w:rsid w:val="5CE69E4D"/>
    <w:rsid w:val="5CEAA2AC"/>
    <w:rsid w:val="5CF35F4E"/>
    <w:rsid w:val="5CF78C32"/>
    <w:rsid w:val="5CFAD433"/>
    <w:rsid w:val="5CFECEF4"/>
    <w:rsid w:val="5D026629"/>
    <w:rsid w:val="5D083BC6"/>
    <w:rsid w:val="5D09D52D"/>
    <w:rsid w:val="5D0A21AA"/>
    <w:rsid w:val="5D0A4E0B"/>
    <w:rsid w:val="5D0AA87D"/>
    <w:rsid w:val="5D0FAB2B"/>
    <w:rsid w:val="5D14A8C9"/>
    <w:rsid w:val="5D1C7DEE"/>
    <w:rsid w:val="5D21D1CF"/>
    <w:rsid w:val="5D21EEE2"/>
    <w:rsid w:val="5D2AE57D"/>
    <w:rsid w:val="5D3304A9"/>
    <w:rsid w:val="5D3E9834"/>
    <w:rsid w:val="5D434632"/>
    <w:rsid w:val="5D45E17C"/>
    <w:rsid w:val="5D4A00E9"/>
    <w:rsid w:val="5D4D2781"/>
    <w:rsid w:val="5D4F3C06"/>
    <w:rsid w:val="5D500A93"/>
    <w:rsid w:val="5D58E20B"/>
    <w:rsid w:val="5D590801"/>
    <w:rsid w:val="5D597C7E"/>
    <w:rsid w:val="5D62F33B"/>
    <w:rsid w:val="5D63815D"/>
    <w:rsid w:val="5D683258"/>
    <w:rsid w:val="5D72625C"/>
    <w:rsid w:val="5D7B7BF8"/>
    <w:rsid w:val="5D7D5EB8"/>
    <w:rsid w:val="5D85288E"/>
    <w:rsid w:val="5D94A4DE"/>
    <w:rsid w:val="5D979AD8"/>
    <w:rsid w:val="5D9B1516"/>
    <w:rsid w:val="5D9E9444"/>
    <w:rsid w:val="5DA2A3F4"/>
    <w:rsid w:val="5DA2C18B"/>
    <w:rsid w:val="5DAF5774"/>
    <w:rsid w:val="5DB33A18"/>
    <w:rsid w:val="5DB9525C"/>
    <w:rsid w:val="5DBAF77E"/>
    <w:rsid w:val="5DC3480F"/>
    <w:rsid w:val="5DC43031"/>
    <w:rsid w:val="5DC60C82"/>
    <w:rsid w:val="5DD60B71"/>
    <w:rsid w:val="5DD6F076"/>
    <w:rsid w:val="5DDCA4B5"/>
    <w:rsid w:val="5DE5622F"/>
    <w:rsid w:val="5DE7C22A"/>
    <w:rsid w:val="5DEE68BC"/>
    <w:rsid w:val="5DFEC40D"/>
    <w:rsid w:val="5E04AD6C"/>
    <w:rsid w:val="5E075807"/>
    <w:rsid w:val="5E15B33E"/>
    <w:rsid w:val="5E1747B2"/>
    <w:rsid w:val="5E183FF3"/>
    <w:rsid w:val="5E21FED9"/>
    <w:rsid w:val="5E2B45FA"/>
    <w:rsid w:val="5E32DF61"/>
    <w:rsid w:val="5E377D82"/>
    <w:rsid w:val="5E467EDA"/>
    <w:rsid w:val="5E4EDD2D"/>
    <w:rsid w:val="5E53B7E9"/>
    <w:rsid w:val="5E562DFE"/>
    <w:rsid w:val="5E59827E"/>
    <w:rsid w:val="5E59B37D"/>
    <w:rsid w:val="5E5FB5A5"/>
    <w:rsid w:val="5E63651A"/>
    <w:rsid w:val="5E6C89A1"/>
    <w:rsid w:val="5E6C8E03"/>
    <w:rsid w:val="5E6E9D5C"/>
    <w:rsid w:val="5E6FBEC0"/>
    <w:rsid w:val="5E752C75"/>
    <w:rsid w:val="5E7C1EAC"/>
    <w:rsid w:val="5E838C8C"/>
    <w:rsid w:val="5E8731B1"/>
    <w:rsid w:val="5E8903BB"/>
    <w:rsid w:val="5E8DCA6B"/>
    <w:rsid w:val="5E8DD085"/>
    <w:rsid w:val="5E8ED0DB"/>
    <w:rsid w:val="5E8F53DC"/>
    <w:rsid w:val="5E927D58"/>
    <w:rsid w:val="5E96F476"/>
    <w:rsid w:val="5EA06A1C"/>
    <w:rsid w:val="5EA3F806"/>
    <w:rsid w:val="5EA56825"/>
    <w:rsid w:val="5EA84049"/>
    <w:rsid w:val="5EABAD32"/>
    <w:rsid w:val="5EBE3881"/>
    <w:rsid w:val="5EC5D3FA"/>
    <w:rsid w:val="5ECB3C3D"/>
    <w:rsid w:val="5ED6A65B"/>
    <w:rsid w:val="5EDC8EFE"/>
    <w:rsid w:val="5EDFE9B9"/>
    <w:rsid w:val="5EE53C40"/>
    <w:rsid w:val="5EE82CD2"/>
    <w:rsid w:val="5EE87A06"/>
    <w:rsid w:val="5EEB80D7"/>
    <w:rsid w:val="5EF132F5"/>
    <w:rsid w:val="5EF1E594"/>
    <w:rsid w:val="5EF2F9ED"/>
    <w:rsid w:val="5EFD654A"/>
    <w:rsid w:val="5F0B4012"/>
    <w:rsid w:val="5F0C7169"/>
    <w:rsid w:val="5F0D8A54"/>
    <w:rsid w:val="5F0E3B76"/>
    <w:rsid w:val="5F105265"/>
    <w:rsid w:val="5F18C0C1"/>
    <w:rsid w:val="5F2282DE"/>
    <w:rsid w:val="5F248CE9"/>
    <w:rsid w:val="5F258C36"/>
    <w:rsid w:val="5F26FE65"/>
    <w:rsid w:val="5F2F86E4"/>
    <w:rsid w:val="5F307CDE"/>
    <w:rsid w:val="5F350921"/>
    <w:rsid w:val="5F38293F"/>
    <w:rsid w:val="5F3AC441"/>
    <w:rsid w:val="5F43FA95"/>
    <w:rsid w:val="5F47A8D8"/>
    <w:rsid w:val="5F5683F2"/>
    <w:rsid w:val="5F5836E0"/>
    <w:rsid w:val="5F5DB085"/>
    <w:rsid w:val="5F5FB966"/>
    <w:rsid w:val="5F63D13E"/>
    <w:rsid w:val="5F65B5FB"/>
    <w:rsid w:val="5F705F84"/>
    <w:rsid w:val="5F7E1C5C"/>
    <w:rsid w:val="5F80E684"/>
    <w:rsid w:val="5F82DDA4"/>
    <w:rsid w:val="5F82FC40"/>
    <w:rsid w:val="5F91F769"/>
    <w:rsid w:val="5FA9A169"/>
    <w:rsid w:val="5FABAABA"/>
    <w:rsid w:val="5FAFEB5C"/>
    <w:rsid w:val="5FB80507"/>
    <w:rsid w:val="5FCE0AD9"/>
    <w:rsid w:val="5FD5A4C6"/>
    <w:rsid w:val="5FDF8C2C"/>
    <w:rsid w:val="5FE93AB7"/>
    <w:rsid w:val="5FEB3827"/>
    <w:rsid w:val="5FF4B039"/>
    <w:rsid w:val="5FF742C2"/>
    <w:rsid w:val="5FF787B6"/>
    <w:rsid w:val="5FFD256F"/>
    <w:rsid w:val="600B8F21"/>
    <w:rsid w:val="601E185A"/>
    <w:rsid w:val="601F9DDC"/>
    <w:rsid w:val="60218663"/>
    <w:rsid w:val="6022CA43"/>
    <w:rsid w:val="602719AF"/>
    <w:rsid w:val="602E4637"/>
    <w:rsid w:val="602EB6D2"/>
    <w:rsid w:val="60378A67"/>
    <w:rsid w:val="60390ACC"/>
    <w:rsid w:val="603B51E7"/>
    <w:rsid w:val="603BDF16"/>
    <w:rsid w:val="604E5DCD"/>
    <w:rsid w:val="6053AF61"/>
    <w:rsid w:val="6055B10A"/>
    <w:rsid w:val="60562DE8"/>
    <w:rsid w:val="6059877A"/>
    <w:rsid w:val="605ADFBF"/>
    <w:rsid w:val="605BDDF2"/>
    <w:rsid w:val="605BDFC3"/>
    <w:rsid w:val="60608340"/>
    <w:rsid w:val="6061AE6E"/>
    <w:rsid w:val="606CE085"/>
    <w:rsid w:val="606E7371"/>
    <w:rsid w:val="6076C404"/>
    <w:rsid w:val="60781241"/>
    <w:rsid w:val="60799003"/>
    <w:rsid w:val="607A74AA"/>
    <w:rsid w:val="608561C1"/>
    <w:rsid w:val="6087856C"/>
    <w:rsid w:val="608ECA4E"/>
    <w:rsid w:val="6091DE0B"/>
    <w:rsid w:val="609CA8FA"/>
    <w:rsid w:val="609D74F2"/>
    <w:rsid w:val="609EE939"/>
    <w:rsid w:val="60ACA3EB"/>
    <w:rsid w:val="60AD579D"/>
    <w:rsid w:val="60BA0547"/>
    <w:rsid w:val="60BBC4F3"/>
    <w:rsid w:val="60BD3A05"/>
    <w:rsid w:val="60BDFDA9"/>
    <w:rsid w:val="60C5E85F"/>
    <w:rsid w:val="60D37A9F"/>
    <w:rsid w:val="60D47B6B"/>
    <w:rsid w:val="60D84FB6"/>
    <w:rsid w:val="60DBC768"/>
    <w:rsid w:val="60DBD5CC"/>
    <w:rsid w:val="60DE3C31"/>
    <w:rsid w:val="60EBD90F"/>
    <w:rsid w:val="60F5E78F"/>
    <w:rsid w:val="60FB39CC"/>
    <w:rsid w:val="61012BE2"/>
    <w:rsid w:val="61084EE7"/>
    <w:rsid w:val="610C668D"/>
    <w:rsid w:val="6110C649"/>
    <w:rsid w:val="61115835"/>
    <w:rsid w:val="6118B897"/>
    <w:rsid w:val="611DE259"/>
    <w:rsid w:val="6129695A"/>
    <w:rsid w:val="612C6BDE"/>
    <w:rsid w:val="61366F99"/>
    <w:rsid w:val="613EF5CB"/>
    <w:rsid w:val="61465BF4"/>
    <w:rsid w:val="614FCD1E"/>
    <w:rsid w:val="615A27E0"/>
    <w:rsid w:val="61661016"/>
    <w:rsid w:val="616D5592"/>
    <w:rsid w:val="618206BE"/>
    <w:rsid w:val="6195483E"/>
    <w:rsid w:val="61A2F8B9"/>
    <w:rsid w:val="61A991B5"/>
    <w:rsid w:val="61B4734E"/>
    <w:rsid w:val="61B862B9"/>
    <w:rsid w:val="61BDF44B"/>
    <w:rsid w:val="61C4B196"/>
    <w:rsid w:val="61C4DA36"/>
    <w:rsid w:val="61C62ECF"/>
    <w:rsid w:val="61CB16AC"/>
    <w:rsid w:val="61EB2810"/>
    <w:rsid w:val="61EB8877"/>
    <w:rsid w:val="61F8EF0A"/>
    <w:rsid w:val="61FCFF46"/>
    <w:rsid w:val="61FD8ECF"/>
    <w:rsid w:val="620709DE"/>
    <w:rsid w:val="6208AF52"/>
    <w:rsid w:val="62094922"/>
    <w:rsid w:val="6209CB6E"/>
    <w:rsid w:val="620A7E1D"/>
    <w:rsid w:val="620FEDCF"/>
    <w:rsid w:val="621134C8"/>
    <w:rsid w:val="6216450B"/>
    <w:rsid w:val="622A9AAF"/>
    <w:rsid w:val="6230CF0E"/>
    <w:rsid w:val="623931DD"/>
    <w:rsid w:val="623CA668"/>
    <w:rsid w:val="623F76AE"/>
    <w:rsid w:val="624CC854"/>
    <w:rsid w:val="624EB6E9"/>
    <w:rsid w:val="6250B071"/>
    <w:rsid w:val="6251EE19"/>
    <w:rsid w:val="62555FA9"/>
    <w:rsid w:val="625C287D"/>
    <w:rsid w:val="6262BD48"/>
    <w:rsid w:val="62635F6B"/>
    <w:rsid w:val="6264B2DD"/>
    <w:rsid w:val="6267BCD5"/>
    <w:rsid w:val="62681DA0"/>
    <w:rsid w:val="626B128C"/>
    <w:rsid w:val="626D9855"/>
    <w:rsid w:val="626EBDA7"/>
    <w:rsid w:val="6279AD51"/>
    <w:rsid w:val="6286AB3B"/>
    <w:rsid w:val="6296B115"/>
    <w:rsid w:val="6297097C"/>
    <w:rsid w:val="62976F4C"/>
    <w:rsid w:val="629A25FD"/>
    <w:rsid w:val="629B3470"/>
    <w:rsid w:val="62A1CF8B"/>
    <w:rsid w:val="62A401F3"/>
    <w:rsid w:val="62A79DF7"/>
    <w:rsid w:val="62A80E79"/>
    <w:rsid w:val="62B43B42"/>
    <w:rsid w:val="62B94257"/>
    <w:rsid w:val="62BA3ABD"/>
    <w:rsid w:val="62BACC16"/>
    <w:rsid w:val="62BD6C2C"/>
    <w:rsid w:val="62C03B39"/>
    <w:rsid w:val="62C260E7"/>
    <w:rsid w:val="62C4C793"/>
    <w:rsid w:val="62CC174D"/>
    <w:rsid w:val="62CE74D5"/>
    <w:rsid w:val="62CF1186"/>
    <w:rsid w:val="62D09F94"/>
    <w:rsid w:val="62D10BA4"/>
    <w:rsid w:val="62D78404"/>
    <w:rsid w:val="62D85E99"/>
    <w:rsid w:val="62DAA20D"/>
    <w:rsid w:val="62DB2BCC"/>
    <w:rsid w:val="62DC3A9A"/>
    <w:rsid w:val="62E11451"/>
    <w:rsid w:val="62FFF5B5"/>
    <w:rsid w:val="6309E4FE"/>
    <w:rsid w:val="63111ED0"/>
    <w:rsid w:val="631CF23D"/>
    <w:rsid w:val="63243C63"/>
    <w:rsid w:val="63250D15"/>
    <w:rsid w:val="632DF171"/>
    <w:rsid w:val="6330D6B6"/>
    <w:rsid w:val="633156D5"/>
    <w:rsid w:val="633D57DE"/>
    <w:rsid w:val="63432FE3"/>
    <w:rsid w:val="634C40C9"/>
    <w:rsid w:val="634D0CB3"/>
    <w:rsid w:val="634E1DC4"/>
    <w:rsid w:val="634EDFEF"/>
    <w:rsid w:val="6350F084"/>
    <w:rsid w:val="6352DE1B"/>
    <w:rsid w:val="6359321A"/>
    <w:rsid w:val="63615A62"/>
    <w:rsid w:val="63653DB6"/>
    <w:rsid w:val="636834F0"/>
    <w:rsid w:val="6372CA5F"/>
    <w:rsid w:val="6375B19C"/>
    <w:rsid w:val="6377494A"/>
    <w:rsid w:val="6386144A"/>
    <w:rsid w:val="638DB61F"/>
    <w:rsid w:val="63929583"/>
    <w:rsid w:val="6392F367"/>
    <w:rsid w:val="63954537"/>
    <w:rsid w:val="63A63AD2"/>
    <w:rsid w:val="63A6BBC6"/>
    <w:rsid w:val="63AC6D27"/>
    <w:rsid w:val="63AE7C32"/>
    <w:rsid w:val="63B0507A"/>
    <w:rsid w:val="63B8FAE3"/>
    <w:rsid w:val="63BDE612"/>
    <w:rsid w:val="63C30532"/>
    <w:rsid w:val="63D234BF"/>
    <w:rsid w:val="63D2B0D5"/>
    <w:rsid w:val="63DD643C"/>
    <w:rsid w:val="63DE8B20"/>
    <w:rsid w:val="63E76166"/>
    <w:rsid w:val="63EBB2AE"/>
    <w:rsid w:val="63EDBE7A"/>
    <w:rsid w:val="63F33815"/>
    <w:rsid w:val="63FC697D"/>
    <w:rsid w:val="6401E3B3"/>
    <w:rsid w:val="64053664"/>
    <w:rsid w:val="6406238F"/>
    <w:rsid w:val="640919BD"/>
    <w:rsid w:val="64175F08"/>
    <w:rsid w:val="641F977C"/>
    <w:rsid w:val="64222E9A"/>
    <w:rsid w:val="6424994A"/>
    <w:rsid w:val="6425EAF8"/>
    <w:rsid w:val="6426110F"/>
    <w:rsid w:val="6429F21A"/>
    <w:rsid w:val="643F1496"/>
    <w:rsid w:val="643FEFA9"/>
    <w:rsid w:val="6440C266"/>
    <w:rsid w:val="64453E0E"/>
    <w:rsid w:val="64518C91"/>
    <w:rsid w:val="645CC76E"/>
    <w:rsid w:val="645D003E"/>
    <w:rsid w:val="645DC0E2"/>
    <w:rsid w:val="64618EBA"/>
    <w:rsid w:val="64632443"/>
    <w:rsid w:val="646F5E23"/>
    <w:rsid w:val="6472D6C0"/>
    <w:rsid w:val="64815B74"/>
    <w:rsid w:val="649075DA"/>
    <w:rsid w:val="6493477E"/>
    <w:rsid w:val="64946D41"/>
    <w:rsid w:val="6498BB70"/>
    <w:rsid w:val="649FCE98"/>
    <w:rsid w:val="64A345A6"/>
    <w:rsid w:val="64A4F654"/>
    <w:rsid w:val="64BA06E0"/>
    <w:rsid w:val="64BD67DC"/>
    <w:rsid w:val="64BFEC40"/>
    <w:rsid w:val="64CDD71D"/>
    <w:rsid w:val="64E02F3F"/>
    <w:rsid w:val="64EB7FFD"/>
    <w:rsid w:val="64F24D4F"/>
    <w:rsid w:val="64F4EABA"/>
    <w:rsid w:val="64F9367F"/>
    <w:rsid w:val="64FD3683"/>
    <w:rsid w:val="6501147D"/>
    <w:rsid w:val="65022712"/>
    <w:rsid w:val="6502F728"/>
    <w:rsid w:val="65088B35"/>
    <w:rsid w:val="650D3C5F"/>
    <w:rsid w:val="650F19EF"/>
    <w:rsid w:val="65128038"/>
    <w:rsid w:val="651552FE"/>
    <w:rsid w:val="651C19D7"/>
    <w:rsid w:val="651FCEAC"/>
    <w:rsid w:val="652DA754"/>
    <w:rsid w:val="652E45B5"/>
    <w:rsid w:val="65365789"/>
    <w:rsid w:val="6538446B"/>
    <w:rsid w:val="65402620"/>
    <w:rsid w:val="654D07BE"/>
    <w:rsid w:val="654EE257"/>
    <w:rsid w:val="655F8764"/>
    <w:rsid w:val="656771BD"/>
    <w:rsid w:val="656D51A4"/>
    <w:rsid w:val="65794AB8"/>
    <w:rsid w:val="657A0348"/>
    <w:rsid w:val="657E704A"/>
    <w:rsid w:val="657FA72C"/>
    <w:rsid w:val="65817601"/>
    <w:rsid w:val="6582A20A"/>
    <w:rsid w:val="6582C233"/>
    <w:rsid w:val="6589D6E4"/>
    <w:rsid w:val="658AC4CC"/>
    <w:rsid w:val="65901D5B"/>
    <w:rsid w:val="65942347"/>
    <w:rsid w:val="659ED0BA"/>
    <w:rsid w:val="65A2BE39"/>
    <w:rsid w:val="65ACCCC0"/>
    <w:rsid w:val="65B6A871"/>
    <w:rsid w:val="65D457F5"/>
    <w:rsid w:val="65DB0CDD"/>
    <w:rsid w:val="65DB46C2"/>
    <w:rsid w:val="65DFE846"/>
    <w:rsid w:val="65E307C2"/>
    <w:rsid w:val="65F3236E"/>
    <w:rsid w:val="65F4046D"/>
    <w:rsid w:val="65FB383C"/>
    <w:rsid w:val="65FBF081"/>
    <w:rsid w:val="65FC2409"/>
    <w:rsid w:val="660C8C23"/>
    <w:rsid w:val="66118929"/>
    <w:rsid w:val="661766D2"/>
    <w:rsid w:val="661B7353"/>
    <w:rsid w:val="661E6A8D"/>
    <w:rsid w:val="66225893"/>
    <w:rsid w:val="662F646E"/>
    <w:rsid w:val="6630FD64"/>
    <w:rsid w:val="663F1E58"/>
    <w:rsid w:val="663FA2AD"/>
    <w:rsid w:val="6645388C"/>
    <w:rsid w:val="664E3474"/>
    <w:rsid w:val="6656EA5C"/>
    <w:rsid w:val="66607214"/>
    <w:rsid w:val="666078DB"/>
    <w:rsid w:val="6663DD10"/>
    <w:rsid w:val="6664C562"/>
    <w:rsid w:val="6669CD6A"/>
    <w:rsid w:val="666E038B"/>
    <w:rsid w:val="666FA453"/>
    <w:rsid w:val="6671B337"/>
    <w:rsid w:val="6674F8A0"/>
    <w:rsid w:val="667D4B51"/>
    <w:rsid w:val="667DB47C"/>
    <w:rsid w:val="667DC36F"/>
    <w:rsid w:val="66827721"/>
    <w:rsid w:val="6689B09D"/>
    <w:rsid w:val="668D3501"/>
    <w:rsid w:val="668E76C0"/>
    <w:rsid w:val="668F50F7"/>
    <w:rsid w:val="669184F2"/>
    <w:rsid w:val="669509D0"/>
    <w:rsid w:val="66997448"/>
    <w:rsid w:val="66A62D63"/>
    <w:rsid w:val="66A63BB3"/>
    <w:rsid w:val="66A9BE56"/>
    <w:rsid w:val="66AA6737"/>
    <w:rsid w:val="66B33D13"/>
    <w:rsid w:val="66B846E2"/>
    <w:rsid w:val="66BAF9B0"/>
    <w:rsid w:val="66CED77E"/>
    <w:rsid w:val="66CF3216"/>
    <w:rsid w:val="66EFEF47"/>
    <w:rsid w:val="66F414FB"/>
    <w:rsid w:val="66F586D4"/>
    <w:rsid w:val="66FBD7B7"/>
    <w:rsid w:val="66FDF027"/>
    <w:rsid w:val="66FE0BD2"/>
    <w:rsid w:val="6707D269"/>
    <w:rsid w:val="670CEEB0"/>
    <w:rsid w:val="67111805"/>
    <w:rsid w:val="6713F67F"/>
    <w:rsid w:val="671416D0"/>
    <w:rsid w:val="6716842A"/>
    <w:rsid w:val="671700F0"/>
    <w:rsid w:val="671929E5"/>
    <w:rsid w:val="671C266B"/>
    <w:rsid w:val="67200696"/>
    <w:rsid w:val="67238EC1"/>
    <w:rsid w:val="67261A6D"/>
    <w:rsid w:val="672CC130"/>
    <w:rsid w:val="6732B4CE"/>
    <w:rsid w:val="673489A8"/>
    <w:rsid w:val="67362E6B"/>
    <w:rsid w:val="67396D1C"/>
    <w:rsid w:val="673F9E23"/>
    <w:rsid w:val="67445F35"/>
    <w:rsid w:val="67482178"/>
    <w:rsid w:val="67490DD4"/>
    <w:rsid w:val="675BF018"/>
    <w:rsid w:val="675DF667"/>
    <w:rsid w:val="6760D51E"/>
    <w:rsid w:val="6764AE7A"/>
    <w:rsid w:val="6768BF84"/>
    <w:rsid w:val="676ACB4B"/>
    <w:rsid w:val="676B1EE6"/>
    <w:rsid w:val="676B7500"/>
    <w:rsid w:val="6772C64B"/>
    <w:rsid w:val="6777906B"/>
    <w:rsid w:val="677C0C0B"/>
    <w:rsid w:val="677D4ADF"/>
    <w:rsid w:val="6780D086"/>
    <w:rsid w:val="67838E06"/>
    <w:rsid w:val="6783C874"/>
    <w:rsid w:val="6785CEBA"/>
    <w:rsid w:val="678803C7"/>
    <w:rsid w:val="678CCC18"/>
    <w:rsid w:val="6799ED1E"/>
    <w:rsid w:val="67A91017"/>
    <w:rsid w:val="67A93430"/>
    <w:rsid w:val="67ABE883"/>
    <w:rsid w:val="67AF34F8"/>
    <w:rsid w:val="67B03367"/>
    <w:rsid w:val="67B3DCA8"/>
    <w:rsid w:val="67B4B9F1"/>
    <w:rsid w:val="67C536F5"/>
    <w:rsid w:val="67C77796"/>
    <w:rsid w:val="67C808E0"/>
    <w:rsid w:val="67C9C42D"/>
    <w:rsid w:val="67CE1EAD"/>
    <w:rsid w:val="67D81E09"/>
    <w:rsid w:val="67DC7FC5"/>
    <w:rsid w:val="67DD8FB7"/>
    <w:rsid w:val="67EFC984"/>
    <w:rsid w:val="68034272"/>
    <w:rsid w:val="6807333A"/>
    <w:rsid w:val="680DCA22"/>
    <w:rsid w:val="6810F2E6"/>
    <w:rsid w:val="68129FC9"/>
    <w:rsid w:val="6818B730"/>
    <w:rsid w:val="681B6FF4"/>
    <w:rsid w:val="681F0D04"/>
    <w:rsid w:val="68208F74"/>
    <w:rsid w:val="68297B64"/>
    <w:rsid w:val="682DDC28"/>
    <w:rsid w:val="6830BFB5"/>
    <w:rsid w:val="683C28F3"/>
    <w:rsid w:val="68415A2A"/>
    <w:rsid w:val="68424FC5"/>
    <w:rsid w:val="684B0E6D"/>
    <w:rsid w:val="684DD0C1"/>
    <w:rsid w:val="68575A92"/>
    <w:rsid w:val="68619B30"/>
    <w:rsid w:val="6868E51C"/>
    <w:rsid w:val="686E3EE2"/>
    <w:rsid w:val="687B0EA9"/>
    <w:rsid w:val="687FAF99"/>
    <w:rsid w:val="68828AFD"/>
    <w:rsid w:val="68868319"/>
    <w:rsid w:val="688935AD"/>
    <w:rsid w:val="688FE55C"/>
    <w:rsid w:val="68921A08"/>
    <w:rsid w:val="6895B92F"/>
    <w:rsid w:val="68970AEA"/>
    <w:rsid w:val="68A87641"/>
    <w:rsid w:val="68A8FCB7"/>
    <w:rsid w:val="68AC7725"/>
    <w:rsid w:val="68B4FA46"/>
    <w:rsid w:val="68B709B6"/>
    <w:rsid w:val="68B73D8D"/>
    <w:rsid w:val="68B86554"/>
    <w:rsid w:val="68BD0FEC"/>
    <w:rsid w:val="68D6AAEF"/>
    <w:rsid w:val="68D75F24"/>
    <w:rsid w:val="68E4381B"/>
    <w:rsid w:val="68E8A0CB"/>
    <w:rsid w:val="68E92BD5"/>
    <w:rsid w:val="68F43BF7"/>
    <w:rsid w:val="68F6FD1D"/>
    <w:rsid w:val="68F73975"/>
    <w:rsid w:val="68FDAE59"/>
    <w:rsid w:val="690530C1"/>
    <w:rsid w:val="690714A3"/>
    <w:rsid w:val="690D7C6F"/>
    <w:rsid w:val="690EFF38"/>
    <w:rsid w:val="690F8E3F"/>
    <w:rsid w:val="691AE4C0"/>
    <w:rsid w:val="69203523"/>
    <w:rsid w:val="69229CD9"/>
    <w:rsid w:val="692A3C8F"/>
    <w:rsid w:val="692BD2FE"/>
    <w:rsid w:val="6934CC1F"/>
    <w:rsid w:val="6935454B"/>
    <w:rsid w:val="6937E689"/>
    <w:rsid w:val="693CE680"/>
    <w:rsid w:val="69453D6F"/>
    <w:rsid w:val="694A3993"/>
    <w:rsid w:val="69520BCF"/>
    <w:rsid w:val="6953EB6D"/>
    <w:rsid w:val="695455E2"/>
    <w:rsid w:val="6954DDDE"/>
    <w:rsid w:val="6956A3B6"/>
    <w:rsid w:val="695A53A6"/>
    <w:rsid w:val="695D1CEF"/>
    <w:rsid w:val="695D60C3"/>
    <w:rsid w:val="69636C2B"/>
    <w:rsid w:val="6969FE3C"/>
    <w:rsid w:val="696F3739"/>
    <w:rsid w:val="696F9FBA"/>
    <w:rsid w:val="6971DC94"/>
    <w:rsid w:val="697476C9"/>
    <w:rsid w:val="6978950B"/>
    <w:rsid w:val="697A3444"/>
    <w:rsid w:val="697ABFF6"/>
    <w:rsid w:val="697E12B6"/>
    <w:rsid w:val="69824F83"/>
    <w:rsid w:val="69856FA5"/>
    <w:rsid w:val="69929092"/>
    <w:rsid w:val="6992B850"/>
    <w:rsid w:val="6996540D"/>
    <w:rsid w:val="699C659E"/>
    <w:rsid w:val="699C6624"/>
    <w:rsid w:val="69A417FB"/>
    <w:rsid w:val="69A624E4"/>
    <w:rsid w:val="69B2181F"/>
    <w:rsid w:val="69BD091E"/>
    <w:rsid w:val="69C0A62A"/>
    <w:rsid w:val="69CEE411"/>
    <w:rsid w:val="69D25C08"/>
    <w:rsid w:val="69D41A50"/>
    <w:rsid w:val="69DB391B"/>
    <w:rsid w:val="69DF837A"/>
    <w:rsid w:val="69E513EB"/>
    <w:rsid w:val="69E5CBA4"/>
    <w:rsid w:val="69E5CDAF"/>
    <w:rsid w:val="69E5ECC3"/>
    <w:rsid w:val="69EA3152"/>
    <w:rsid w:val="69F22867"/>
    <w:rsid w:val="69F25F01"/>
    <w:rsid w:val="69FE57CA"/>
    <w:rsid w:val="6A03888A"/>
    <w:rsid w:val="6A085F96"/>
    <w:rsid w:val="6A1E5B5E"/>
    <w:rsid w:val="6A228697"/>
    <w:rsid w:val="6A265F4C"/>
    <w:rsid w:val="6A27F544"/>
    <w:rsid w:val="6A3208AF"/>
    <w:rsid w:val="6A34D8EB"/>
    <w:rsid w:val="6A35AC94"/>
    <w:rsid w:val="6A38547F"/>
    <w:rsid w:val="6A43EFA0"/>
    <w:rsid w:val="6A4DDB2C"/>
    <w:rsid w:val="6A568839"/>
    <w:rsid w:val="6A568E2A"/>
    <w:rsid w:val="6A5AE48E"/>
    <w:rsid w:val="6A5DBE55"/>
    <w:rsid w:val="6A61FB99"/>
    <w:rsid w:val="6A75B486"/>
    <w:rsid w:val="6A76E185"/>
    <w:rsid w:val="6A7C8B0A"/>
    <w:rsid w:val="6A7D1B6B"/>
    <w:rsid w:val="6A7FAA98"/>
    <w:rsid w:val="6A8D3774"/>
    <w:rsid w:val="6A92B562"/>
    <w:rsid w:val="6A939D34"/>
    <w:rsid w:val="6A9E5936"/>
    <w:rsid w:val="6AA02174"/>
    <w:rsid w:val="6AA8B583"/>
    <w:rsid w:val="6AA9A7F9"/>
    <w:rsid w:val="6AAF8DC2"/>
    <w:rsid w:val="6AB34EB0"/>
    <w:rsid w:val="6ABC5E8E"/>
    <w:rsid w:val="6AC23EA9"/>
    <w:rsid w:val="6AD590D8"/>
    <w:rsid w:val="6AD5E5FF"/>
    <w:rsid w:val="6AD76B07"/>
    <w:rsid w:val="6ADC02FE"/>
    <w:rsid w:val="6ADC95DC"/>
    <w:rsid w:val="6ADFFF49"/>
    <w:rsid w:val="6AE062F3"/>
    <w:rsid w:val="6AE08551"/>
    <w:rsid w:val="6AE7D27C"/>
    <w:rsid w:val="6AEB9CCC"/>
    <w:rsid w:val="6AF01CA5"/>
    <w:rsid w:val="6AF51180"/>
    <w:rsid w:val="6AF83A0C"/>
    <w:rsid w:val="6B00160F"/>
    <w:rsid w:val="6B0048D2"/>
    <w:rsid w:val="6B08E883"/>
    <w:rsid w:val="6B0B079A"/>
    <w:rsid w:val="6B10472A"/>
    <w:rsid w:val="6B113D65"/>
    <w:rsid w:val="6B133A2E"/>
    <w:rsid w:val="6B1BF420"/>
    <w:rsid w:val="6B1C255E"/>
    <w:rsid w:val="6B271F44"/>
    <w:rsid w:val="6B2D9219"/>
    <w:rsid w:val="6B2E800B"/>
    <w:rsid w:val="6B318A0D"/>
    <w:rsid w:val="6B322A23"/>
    <w:rsid w:val="6B3D7EE2"/>
    <w:rsid w:val="6B403F73"/>
    <w:rsid w:val="6B45DC95"/>
    <w:rsid w:val="6B47389E"/>
    <w:rsid w:val="6B4869C3"/>
    <w:rsid w:val="6B4C706F"/>
    <w:rsid w:val="6B54DD4F"/>
    <w:rsid w:val="6B556DD7"/>
    <w:rsid w:val="6B574E8C"/>
    <w:rsid w:val="6B57BC1F"/>
    <w:rsid w:val="6B5C050D"/>
    <w:rsid w:val="6B60C6AF"/>
    <w:rsid w:val="6B68EF54"/>
    <w:rsid w:val="6B6AA612"/>
    <w:rsid w:val="6B787218"/>
    <w:rsid w:val="6B7B53DB"/>
    <w:rsid w:val="6B7EE416"/>
    <w:rsid w:val="6B7FF72C"/>
    <w:rsid w:val="6B89FE94"/>
    <w:rsid w:val="6B8DB88B"/>
    <w:rsid w:val="6B9030DF"/>
    <w:rsid w:val="6B90F818"/>
    <w:rsid w:val="6B9E926A"/>
    <w:rsid w:val="6BA3A4AE"/>
    <w:rsid w:val="6BA4C97E"/>
    <w:rsid w:val="6BAA604F"/>
    <w:rsid w:val="6BB08DC4"/>
    <w:rsid w:val="6BB13443"/>
    <w:rsid w:val="6BB1BCD5"/>
    <w:rsid w:val="6BBB6547"/>
    <w:rsid w:val="6BBEC26A"/>
    <w:rsid w:val="6BC3E521"/>
    <w:rsid w:val="6BC6E808"/>
    <w:rsid w:val="6BC8F7F7"/>
    <w:rsid w:val="6BCDC7C9"/>
    <w:rsid w:val="6BD020EE"/>
    <w:rsid w:val="6BD17CF5"/>
    <w:rsid w:val="6BD4996D"/>
    <w:rsid w:val="6BD4D84A"/>
    <w:rsid w:val="6BE00671"/>
    <w:rsid w:val="6BE4235C"/>
    <w:rsid w:val="6BEB8E00"/>
    <w:rsid w:val="6BED65F1"/>
    <w:rsid w:val="6BF1274D"/>
    <w:rsid w:val="6C04DC79"/>
    <w:rsid w:val="6C139316"/>
    <w:rsid w:val="6C1F6C2B"/>
    <w:rsid w:val="6C2524FB"/>
    <w:rsid w:val="6C2DA0E4"/>
    <w:rsid w:val="6C3044D2"/>
    <w:rsid w:val="6C32249F"/>
    <w:rsid w:val="6C3CB90A"/>
    <w:rsid w:val="6C3D4805"/>
    <w:rsid w:val="6C4A2A5F"/>
    <w:rsid w:val="6C4B018E"/>
    <w:rsid w:val="6C51BA2D"/>
    <w:rsid w:val="6C56FF29"/>
    <w:rsid w:val="6C5C0A8F"/>
    <w:rsid w:val="6C681223"/>
    <w:rsid w:val="6C6B6603"/>
    <w:rsid w:val="6C708E2A"/>
    <w:rsid w:val="6C799ADC"/>
    <w:rsid w:val="6C82926D"/>
    <w:rsid w:val="6C849EED"/>
    <w:rsid w:val="6C84C5FB"/>
    <w:rsid w:val="6C96A126"/>
    <w:rsid w:val="6C97F4F9"/>
    <w:rsid w:val="6CAE4A7A"/>
    <w:rsid w:val="6CAF561A"/>
    <w:rsid w:val="6CB14F2C"/>
    <w:rsid w:val="6CB2ADAE"/>
    <w:rsid w:val="6CB92CBF"/>
    <w:rsid w:val="6CB9F637"/>
    <w:rsid w:val="6CC819A9"/>
    <w:rsid w:val="6CD783F8"/>
    <w:rsid w:val="6CD948AE"/>
    <w:rsid w:val="6CD94C5D"/>
    <w:rsid w:val="6CE1167F"/>
    <w:rsid w:val="6CF0E5BD"/>
    <w:rsid w:val="6CFAC73E"/>
    <w:rsid w:val="6CFC0294"/>
    <w:rsid w:val="6D0373DA"/>
    <w:rsid w:val="6D087EAF"/>
    <w:rsid w:val="6D0CBDD6"/>
    <w:rsid w:val="6D1138FA"/>
    <w:rsid w:val="6D14D091"/>
    <w:rsid w:val="6D22BE22"/>
    <w:rsid w:val="6D277FE7"/>
    <w:rsid w:val="6D2B7489"/>
    <w:rsid w:val="6D2BD675"/>
    <w:rsid w:val="6D2C91E9"/>
    <w:rsid w:val="6D3018A3"/>
    <w:rsid w:val="6D30B8DE"/>
    <w:rsid w:val="6D3692E4"/>
    <w:rsid w:val="6D3A62CB"/>
    <w:rsid w:val="6D4553C4"/>
    <w:rsid w:val="6D491E82"/>
    <w:rsid w:val="6D49448C"/>
    <w:rsid w:val="6D4B7061"/>
    <w:rsid w:val="6D4C82A3"/>
    <w:rsid w:val="6D5685AB"/>
    <w:rsid w:val="6D57C4AD"/>
    <w:rsid w:val="6D5BA54A"/>
    <w:rsid w:val="6D5D6DAA"/>
    <w:rsid w:val="6D64C858"/>
    <w:rsid w:val="6D65A61F"/>
    <w:rsid w:val="6D6BF7F8"/>
    <w:rsid w:val="6D6C7237"/>
    <w:rsid w:val="6D6F4235"/>
    <w:rsid w:val="6D7BC72D"/>
    <w:rsid w:val="6D7FE329"/>
    <w:rsid w:val="6D81FC2B"/>
    <w:rsid w:val="6D87CFFE"/>
    <w:rsid w:val="6D890B92"/>
    <w:rsid w:val="6DA56FEF"/>
    <w:rsid w:val="6DB5EB5D"/>
    <w:rsid w:val="6DB76224"/>
    <w:rsid w:val="6DB8F69D"/>
    <w:rsid w:val="6DB905C3"/>
    <w:rsid w:val="6DBC0A30"/>
    <w:rsid w:val="6DBD352B"/>
    <w:rsid w:val="6DC59AA2"/>
    <w:rsid w:val="6DCAEE73"/>
    <w:rsid w:val="6DCD9097"/>
    <w:rsid w:val="6DD2F13C"/>
    <w:rsid w:val="6DD5D69E"/>
    <w:rsid w:val="6DD7C236"/>
    <w:rsid w:val="6DDE1CA8"/>
    <w:rsid w:val="6DE4A966"/>
    <w:rsid w:val="6DE4BD1A"/>
    <w:rsid w:val="6DE9DC4D"/>
    <w:rsid w:val="6DF84609"/>
    <w:rsid w:val="6DFB573A"/>
    <w:rsid w:val="6E0EEBD8"/>
    <w:rsid w:val="6E145BF9"/>
    <w:rsid w:val="6E1D441D"/>
    <w:rsid w:val="6E29412B"/>
    <w:rsid w:val="6E33A8DE"/>
    <w:rsid w:val="6E395C0A"/>
    <w:rsid w:val="6E3BB798"/>
    <w:rsid w:val="6E3BEBE1"/>
    <w:rsid w:val="6E42A85C"/>
    <w:rsid w:val="6E431629"/>
    <w:rsid w:val="6E57E3B1"/>
    <w:rsid w:val="6E651EB1"/>
    <w:rsid w:val="6E73DD11"/>
    <w:rsid w:val="6E74D129"/>
    <w:rsid w:val="6E76A301"/>
    <w:rsid w:val="6E77E994"/>
    <w:rsid w:val="6E80A347"/>
    <w:rsid w:val="6E841266"/>
    <w:rsid w:val="6E85E28A"/>
    <w:rsid w:val="6E963DC3"/>
    <w:rsid w:val="6EA234AB"/>
    <w:rsid w:val="6EA27F72"/>
    <w:rsid w:val="6EAA91A6"/>
    <w:rsid w:val="6EABFF43"/>
    <w:rsid w:val="6EAFF5B8"/>
    <w:rsid w:val="6EB4753D"/>
    <w:rsid w:val="6EB58400"/>
    <w:rsid w:val="6EB5C0AC"/>
    <w:rsid w:val="6EB801A4"/>
    <w:rsid w:val="6ECC79EC"/>
    <w:rsid w:val="6ECD042F"/>
    <w:rsid w:val="6ECF4464"/>
    <w:rsid w:val="6ED433C7"/>
    <w:rsid w:val="6ED603E1"/>
    <w:rsid w:val="6ED64A66"/>
    <w:rsid w:val="6ED7C4D7"/>
    <w:rsid w:val="6EDDBF69"/>
    <w:rsid w:val="6EDE20B2"/>
    <w:rsid w:val="6EE63A49"/>
    <w:rsid w:val="6EE6DBEB"/>
    <w:rsid w:val="6EF502AD"/>
    <w:rsid w:val="6EF555D3"/>
    <w:rsid w:val="6EF75BDF"/>
    <w:rsid w:val="6EF9E3CC"/>
    <w:rsid w:val="6EFD088D"/>
    <w:rsid w:val="6EFF55E9"/>
    <w:rsid w:val="6F03A19E"/>
    <w:rsid w:val="6F09E6B1"/>
    <w:rsid w:val="6F0A96B2"/>
    <w:rsid w:val="6F0B303D"/>
    <w:rsid w:val="6F165D46"/>
    <w:rsid w:val="6F1D9AEC"/>
    <w:rsid w:val="6F22FD7E"/>
    <w:rsid w:val="6F325F70"/>
    <w:rsid w:val="6F416994"/>
    <w:rsid w:val="6F4ECB79"/>
    <w:rsid w:val="6F54C6AA"/>
    <w:rsid w:val="6F622977"/>
    <w:rsid w:val="6F65F269"/>
    <w:rsid w:val="6F77A8FC"/>
    <w:rsid w:val="6F7981A9"/>
    <w:rsid w:val="6F7B801D"/>
    <w:rsid w:val="6F80B364"/>
    <w:rsid w:val="6F8B87B8"/>
    <w:rsid w:val="6F90E09F"/>
    <w:rsid w:val="6F9526D2"/>
    <w:rsid w:val="6F953D1A"/>
    <w:rsid w:val="6F9EDEA3"/>
    <w:rsid w:val="6F9F4485"/>
    <w:rsid w:val="6FA300FD"/>
    <w:rsid w:val="6FA6DA2B"/>
    <w:rsid w:val="6FA8A6E9"/>
    <w:rsid w:val="6FA8BDA0"/>
    <w:rsid w:val="6FAAEFD4"/>
    <w:rsid w:val="6FB34D74"/>
    <w:rsid w:val="6FC676A4"/>
    <w:rsid w:val="6FDA9288"/>
    <w:rsid w:val="6FDF764E"/>
    <w:rsid w:val="6FE7A8FB"/>
    <w:rsid w:val="6FE7D733"/>
    <w:rsid w:val="6FF0FB2B"/>
    <w:rsid w:val="6FF66659"/>
    <w:rsid w:val="6FF7DB58"/>
    <w:rsid w:val="700EDC02"/>
    <w:rsid w:val="7010206A"/>
    <w:rsid w:val="7011FFE7"/>
    <w:rsid w:val="70179E1D"/>
    <w:rsid w:val="702721F5"/>
    <w:rsid w:val="702C05E7"/>
    <w:rsid w:val="703561B8"/>
    <w:rsid w:val="7040B557"/>
    <w:rsid w:val="7044F8B5"/>
    <w:rsid w:val="7045AE33"/>
    <w:rsid w:val="7047810A"/>
    <w:rsid w:val="70527D70"/>
    <w:rsid w:val="705F1813"/>
    <w:rsid w:val="7065445E"/>
    <w:rsid w:val="7066CF14"/>
    <w:rsid w:val="706A25C6"/>
    <w:rsid w:val="70725930"/>
    <w:rsid w:val="7073BB6E"/>
    <w:rsid w:val="7083B149"/>
    <w:rsid w:val="7086BEA7"/>
    <w:rsid w:val="70905825"/>
    <w:rsid w:val="70944792"/>
    <w:rsid w:val="70955B06"/>
    <w:rsid w:val="7095F5CD"/>
    <w:rsid w:val="709A5FC9"/>
    <w:rsid w:val="70B603BC"/>
    <w:rsid w:val="70BAEF47"/>
    <w:rsid w:val="70C24391"/>
    <w:rsid w:val="70C484CB"/>
    <w:rsid w:val="70C49870"/>
    <w:rsid w:val="70CB34A9"/>
    <w:rsid w:val="70CBBF71"/>
    <w:rsid w:val="70D96E16"/>
    <w:rsid w:val="70E569B5"/>
    <w:rsid w:val="70F6424F"/>
    <w:rsid w:val="70F79DB9"/>
    <w:rsid w:val="70FF4DDC"/>
    <w:rsid w:val="7102502D"/>
    <w:rsid w:val="7109871B"/>
    <w:rsid w:val="71104993"/>
    <w:rsid w:val="711242C4"/>
    <w:rsid w:val="7112A093"/>
    <w:rsid w:val="71168DC3"/>
    <w:rsid w:val="7117507E"/>
    <w:rsid w:val="711D008E"/>
    <w:rsid w:val="71329119"/>
    <w:rsid w:val="71428FA8"/>
    <w:rsid w:val="71488921"/>
    <w:rsid w:val="714ECCE2"/>
    <w:rsid w:val="716B330A"/>
    <w:rsid w:val="716DF052"/>
    <w:rsid w:val="717366AA"/>
    <w:rsid w:val="71779B28"/>
    <w:rsid w:val="71798577"/>
    <w:rsid w:val="71799F8E"/>
    <w:rsid w:val="7183795C"/>
    <w:rsid w:val="718589B0"/>
    <w:rsid w:val="7191AD98"/>
    <w:rsid w:val="71A208CD"/>
    <w:rsid w:val="71A45EB6"/>
    <w:rsid w:val="71ADCAED"/>
    <w:rsid w:val="71AFC0F4"/>
    <w:rsid w:val="71B2D699"/>
    <w:rsid w:val="71CDB34D"/>
    <w:rsid w:val="71D303BC"/>
    <w:rsid w:val="71D56E02"/>
    <w:rsid w:val="71D7A1FB"/>
    <w:rsid w:val="71D9331B"/>
    <w:rsid w:val="71E06C27"/>
    <w:rsid w:val="71E3765D"/>
    <w:rsid w:val="71EFDD4A"/>
    <w:rsid w:val="71F0F344"/>
    <w:rsid w:val="71F1E845"/>
    <w:rsid w:val="71F77907"/>
    <w:rsid w:val="71FA54B8"/>
    <w:rsid w:val="71FE4809"/>
    <w:rsid w:val="720CEBE2"/>
    <w:rsid w:val="7215FE52"/>
    <w:rsid w:val="72162056"/>
    <w:rsid w:val="7216446F"/>
    <w:rsid w:val="721E08D4"/>
    <w:rsid w:val="721EDF7A"/>
    <w:rsid w:val="72233A56"/>
    <w:rsid w:val="722841BC"/>
    <w:rsid w:val="723017F3"/>
    <w:rsid w:val="7246AF5E"/>
    <w:rsid w:val="72476A3D"/>
    <w:rsid w:val="724863F6"/>
    <w:rsid w:val="724B41CF"/>
    <w:rsid w:val="724B8B94"/>
    <w:rsid w:val="725138D2"/>
    <w:rsid w:val="725B7BEC"/>
    <w:rsid w:val="725E4A49"/>
    <w:rsid w:val="725E4A7A"/>
    <w:rsid w:val="726068D1"/>
    <w:rsid w:val="72633C66"/>
    <w:rsid w:val="7269F117"/>
    <w:rsid w:val="727601CF"/>
    <w:rsid w:val="727731ED"/>
    <w:rsid w:val="7278402B"/>
    <w:rsid w:val="7279698F"/>
    <w:rsid w:val="7284328D"/>
    <w:rsid w:val="72874125"/>
    <w:rsid w:val="728C8010"/>
    <w:rsid w:val="728E6DE4"/>
    <w:rsid w:val="729312CF"/>
    <w:rsid w:val="7293303A"/>
    <w:rsid w:val="729AF88E"/>
    <w:rsid w:val="72A9E8A5"/>
    <w:rsid w:val="72AC041D"/>
    <w:rsid w:val="72AFDF8D"/>
    <w:rsid w:val="72B27EEB"/>
    <w:rsid w:val="72B70FE9"/>
    <w:rsid w:val="72B8D0EF"/>
    <w:rsid w:val="72BEC7B2"/>
    <w:rsid w:val="72C357C9"/>
    <w:rsid w:val="72C4376F"/>
    <w:rsid w:val="72C51B0B"/>
    <w:rsid w:val="72C7C3A1"/>
    <w:rsid w:val="72C91D71"/>
    <w:rsid w:val="72D4C66B"/>
    <w:rsid w:val="72DB8E27"/>
    <w:rsid w:val="72DC595A"/>
    <w:rsid w:val="72DED2BC"/>
    <w:rsid w:val="72DF7CE3"/>
    <w:rsid w:val="72F3C5FF"/>
    <w:rsid w:val="72F5A0A3"/>
    <w:rsid w:val="72FD1D38"/>
    <w:rsid w:val="73010DC5"/>
    <w:rsid w:val="7311EE7C"/>
    <w:rsid w:val="731744F1"/>
    <w:rsid w:val="7317EE60"/>
    <w:rsid w:val="731847B2"/>
    <w:rsid w:val="731A23CF"/>
    <w:rsid w:val="731B2241"/>
    <w:rsid w:val="731DE55C"/>
    <w:rsid w:val="731E243F"/>
    <w:rsid w:val="73226CE6"/>
    <w:rsid w:val="7328CD22"/>
    <w:rsid w:val="733BD218"/>
    <w:rsid w:val="733FF580"/>
    <w:rsid w:val="73442852"/>
    <w:rsid w:val="734512D7"/>
    <w:rsid w:val="734A0F2E"/>
    <w:rsid w:val="73537BA8"/>
    <w:rsid w:val="7358583C"/>
    <w:rsid w:val="735FB068"/>
    <w:rsid w:val="7363A6A9"/>
    <w:rsid w:val="73659128"/>
    <w:rsid w:val="73675221"/>
    <w:rsid w:val="736A48E0"/>
    <w:rsid w:val="736BDB17"/>
    <w:rsid w:val="73766489"/>
    <w:rsid w:val="737998C3"/>
    <w:rsid w:val="737A47F7"/>
    <w:rsid w:val="73821A67"/>
    <w:rsid w:val="7388825A"/>
    <w:rsid w:val="738B00E7"/>
    <w:rsid w:val="738D2390"/>
    <w:rsid w:val="7392CD83"/>
    <w:rsid w:val="73965A2D"/>
    <w:rsid w:val="7399557C"/>
    <w:rsid w:val="73A4307C"/>
    <w:rsid w:val="73A8627D"/>
    <w:rsid w:val="73A9BB89"/>
    <w:rsid w:val="73B191D5"/>
    <w:rsid w:val="73B8157D"/>
    <w:rsid w:val="73BDC150"/>
    <w:rsid w:val="73BDF14A"/>
    <w:rsid w:val="73BFA09C"/>
    <w:rsid w:val="73C22FBA"/>
    <w:rsid w:val="73C5B6BA"/>
    <w:rsid w:val="73C6C549"/>
    <w:rsid w:val="73CB325E"/>
    <w:rsid w:val="73D061C0"/>
    <w:rsid w:val="73D24D7A"/>
    <w:rsid w:val="73D409DC"/>
    <w:rsid w:val="73DB10C7"/>
    <w:rsid w:val="73E5E969"/>
    <w:rsid w:val="73E94D42"/>
    <w:rsid w:val="73EA9645"/>
    <w:rsid w:val="73EB28E8"/>
    <w:rsid w:val="73EB7CC1"/>
    <w:rsid w:val="73EDD1A5"/>
    <w:rsid w:val="73F0C488"/>
    <w:rsid w:val="73F299D8"/>
    <w:rsid w:val="73F3299A"/>
    <w:rsid w:val="73F73806"/>
    <w:rsid w:val="73F74C4D"/>
    <w:rsid w:val="73FBC638"/>
    <w:rsid w:val="73FF8071"/>
    <w:rsid w:val="740319C2"/>
    <w:rsid w:val="740AC9D5"/>
    <w:rsid w:val="74190CBA"/>
    <w:rsid w:val="741AC5E6"/>
    <w:rsid w:val="7438BD31"/>
    <w:rsid w:val="7438E94C"/>
    <w:rsid w:val="743DB465"/>
    <w:rsid w:val="74418E3F"/>
    <w:rsid w:val="7441F048"/>
    <w:rsid w:val="74461C42"/>
    <w:rsid w:val="744C38CB"/>
    <w:rsid w:val="744FBF94"/>
    <w:rsid w:val="744FDDE1"/>
    <w:rsid w:val="745123AB"/>
    <w:rsid w:val="7454A150"/>
    <w:rsid w:val="7455FA78"/>
    <w:rsid w:val="7457FF10"/>
    <w:rsid w:val="74601A7D"/>
    <w:rsid w:val="7467E466"/>
    <w:rsid w:val="746F18F0"/>
    <w:rsid w:val="74732408"/>
    <w:rsid w:val="7474FF1B"/>
    <w:rsid w:val="74770C77"/>
    <w:rsid w:val="747A3284"/>
    <w:rsid w:val="747BBFCC"/>
    <w:rsid w:val="747CF34A"/>
    <w:rsid w:val="747D7400"/>
    <w:rsid w:val="74872C89"/>
    <w:rsid w:val="7489ED75"/>
    <w:rsid w:val="748D51DA"/>
    <w:rsid w:val="74902DD8"/>
    <w:rsid w:val="74960047"/>
    <w:rsid w:val="749695BC"/>
    <w:rsid w:val="7498BC73"/>
    <w:rsid w:val="749906C2"/>
    <w:rsid w:val="749EC631"/>
    <w:rsid w:val="74AF6711"/>
    <w:rsid w:val="74B10BDC"/>
    <w:rsid w:val="74B1AC6D"/>
    <w:rsid w:val="74BA3FE7"/>
    <w:rsid w:val="74BDCCCA"/>
    <w:rsid w:val="74C59A58"/>
    <w:rsid w:val="74D2CD1B"/>
    <w:rsid w:val="74D3F07E"/>
    <w:rsid w:val="74E09066"/>
    <w:rsid w:val="74E7E856"/>
    <w:rsid w:val="74E93125"/>
    <w:rsid w:val="74EAA8CA"/>
    <w:rsid w:val="74EBC560"/>
    <w:rsid w:val="74F65849"/>
    <w:rsid w:val="74FAA6E8"/>
    <w:rsid w:val="74FD95C5"/>
    <w:rsid w:val="75032282"/>
    <w:rsid w:val="750F42BD"/>
    <w:rsid w:val="75109137"/>
    <w:rsid w:val="7511F2DC"/>
    <w:rsid w:val="752024D4"/>
    <w:rsid w:val="75225B04"/>
    <w:rsid w:val="7528B245"/>
    <w:rsid w:val="752AA53A"/>
    <w:rsid w:val="752BD63D"/>
    <w:rsid w:val="752DB383"/>
    <w:rsid w:val="753BD92B"/>
    <w:rsid w:val="753CB54B"/>
    <w:rsid w:val="75448CA4"/>
    <w:rsid w:val="754AA08C"/>
    <w:rsid w:val="754D4DB9"/>
    <w:rsid w:val="754DBE9E"/>
    <w:rsid w:val="7552E492"/>
    <w:rsid w:val="7553D7CE"/>
    <w:rsid w:val="75550884"/>
    <w:rsid w:val="7556803C"/>
    <w:rsid w:val="756DD0EC"/>
    <w:rsid w:val="757157F1"/>
    <w:rsid w:val="7578ECBD"/>
    <w:rsid w:val="7586AF29"/>
    <w:rsid w:val="758A2E8A"/>
    <w:rsid w:val="758E6A39"/>
    <w:rsid w:val="7595B4B4"/>
    <w:rsid w:val="759D7ACA"/>
    <w:rsid w:val="75A2AAF2"/>
    <w:rsid w:val="75A7D9CE"/>
    <w:rsid w:val="75A892C9"/>
    <w:rsid w:val="75AFDB78"/>
    <w:rsid w:val="75B088AB"/>
    <w:rsid w:val="75B1C574"/>
    <w:rsid w:val="75B26D4C"/>
    <w:rsid w:val="75B69647"/>
    <w:rsid w:val="75BDB24D"/>
    <w:rsid w:val="75CD7A8E"/>
    <w:rsid w:val="75D2BEFF"/>
    <w:rsid w:val="75D606E6"/>
    <w:rsid w:val="75DFEA94"/>
    <w:rsid w:val="75EAC1A1"/>
    <w:rsid w:val="75F6C154"/>
    <w:rsid w:val="75FA77C8"/>
    <w:rsid w:val="7605747B"/>
    <w:rsid w:val="7608E4C0"/>
    <w:rsid w:val="760A6170"/>
    <w:rsid w:val="761CB234"/>
    <w:rsid w:val="761F364A"/>
    <w:rsid w:val="7620F829"/>
    <w:rsid w:val="76263D4F"/>
    <w:rsid w:val="76264D33"/>
    <w:rsid w:val="76295EA9"/>
    <w:rsid w:val="762B47C0"/>
    <w:rsid w:val="76363371"/>
    <w:rsid w:val="763EA42D"/>
    <w:rsid w:val="7652F9D1"/>
    <w:rsid w:val="76561048"/>
    <w:rsid w:val="76590A5F"/>
    <w:rsid w:val="76740A5C"/>
    <w:rsid w:val="76857756"/>
    <w:rsid w:val="768D8871"/>
    <w:rsid w:val="769309F0"/>
    <w:rsid w:val="769611E8"/>
    <w:rsid w:val="76A7ACAE"/>
    <w:rsid w:val="76AC0E7F"/>
    <w:rsid w:val="76AC970A"/>
    <w:rsid w:val="76B2F39F"/>
    <w:rsid w:val="76B5A549"/>
    <w:rsid w:val="76B66413"/>
    <w:rsid w:val="76C0AA23"/>
    <w:rsid w:val="76C2DF74"/>
    <w:rsid w:val="76D3A4DE"/>
    <w:rsid w:val="76D91279"/>
    <w:rsid w:val="76DAF80B"/>
    <w:rsid w:val="76DE27B9"/>
    <w:rsid w:val="76DE3C7D"/>
    <w:rsid w:val="76DEE80D"/>
    <w:rsid w:val="76DFF441"/>
    <w:rsid w:val="76E16A8C"/>
    <w:rsid w:val="76E2BF33"/>
    <w:rsid w:val="76E3AC21"/>
    <w:rsid w:val="76E59163"/>
    <w:rsid w:val="76ECDD17"/>
    <w:rsid w:val="76F10CAF"/>
    <w:rsid w:val="76F62E8E"/>
    <w:rsid w:val="76F67632"/>
    <w:rsid w:val="76F7C80B"/>
    <w:rsid w:val="76FEF3AB"/>
    <w:rsid w:val="77026533"/>
    <w:rsid w:val="7706A77A"/>
    <w:rsid w:val="770E984A"/>
    <w:rsid w:val="771447D1"/>
    <w:rsid w:val="7717CA46"/>
    <w:rsid w:val="7717F00C"/>
    <w:rsid w:val="7718E188"/>
    <w:rsid w:val="771DFC2C"/>
    <w:rsid w:val="771E8E98"/>
    <w:rsid w:val="7727E6D1"/>
    <w:rsid w:val="772A3A9A"/>
    <w:rsid w:val="77300DE3"/>
    <w:rsid w:val="77344296"/>
    <w:rsid w:val="773CF288"/>
    <w:rsid w:val="773D6F1C"/>
    <w:rsid w:val="7741D4D3"/>
    <w:rsid w:val="77476D14"/>
    <w:rsid w:val="77579046"/>
    <w:rsid w:val="7759A0E5"/>
    <w:rsid w:val="775B6FA3"/>
    <w:rsid w:val="7766FB5F"/>
    <w:rsid w:val="776D6E1E"/>
    <w:rsid w:val="77705DF3"/>
    <w:rsid w:val="777A6FC3"/>
    <w:rsid w:val="7782CA27"/>
    <w:rsid w:val="77869202"/>
    <w:rsid w:val="77874ABF"/>
    <w:rsid w:val="7794ACF6"/>
    <w:rsid w:val="77A31D1F"/>
    <w:rsid w:val="77A5222E"/>
    <w:rsid w:val="77A9D087"/>
    <w:rsid w:val="77AF3DB5"/>
    <w:rsid w:val="77AFB104"/>
    <w:rsid w:val="77B243DF"/>
    <w:rsid w:val="77B85C5C"/>
    <w:rsid w:val="77B9867D"/>
    <w:rsid w:val="77B9AA00"/>
    <w:rsid w:val="77BA1769"/>
    <w:rsid w:val="77BA8695"/>
    <w:rsid w:val="77BCA187"/>
    <w:rsid w:val="77C2F4A4"/>
    <w:rsid w:val="77C521A4"/>
    <w:rsid w:val="77C7601F"/>
    <w:rsid w:val="77CC821E"/>
    <w:rsid w:val="77CF0E76"/>
    <w:rsid w:val="77D307A0"/>
    <w:rsid w:val="77DAB08A"/>
    <w:rsid w:val="77DC3AC2"/>
    <w:rsid w:val="77E24C15"/>
    <w:rsid w:val="77E3B1A2"/>
    <w:rsid w:val="77E47360"/>
    <w:rsid w:val="77E493AD"/>
    <w:rsid w:val="77E6BD9B"/>
    <w:rsid w:val="77E8F8B6"/>
    <w:rsid w:val="77F1DAE1"/>
    <w:rsid w:val="780045A8"/>
    <w:rsid w:val="7810E1E8"/>
    <w:rsid w:val="7811D6AD"/>
    <w:rsid w:val="781D8DA4"/>
    <w:rsid w:val="7822C5BD"/>
    <w:rsid w:val="782638B2"/>
    <w:rsid w:val="7826ECCB"/>
    <w:rsid w:val="78283D04"/>
    <w:rsid w:val="7829CD7B"/>
    <w:rsid w:val="782B3BA6"/>
    <w:rsid w:val="782EB92D"/>
    <w:rsid w:val="7832F715"/>
    <w:rsid w:val="7839F587"/>
    <w:rsid w:val="783C0DEC"/>
    <w:rsid w:val="7848676B"/>
    <w:rsid w:val="784921F0"/>
    <w:rsid w:val="784ADABE"/>
    <w:rsid w:val="78535AD1"/>
    <w:rsid w:val="785E0F6B"/>
    <w:rsid w:val="7868004F"/>
    <w:rsid w:val="786835D0"/>
    <w:rsid w:val="786A0F1F"/>
    <w:rsid w:val="786CAB3C"/>
    <w:rsid w:val="787572D9"/>
    <w:rsid w:val="787671EC"/>
    <w:rsid w:val="787681A5"/>
    <w:rsid w:val="7877EABD"/>
    <w:rsid w:val="787CECB4"/>
    <w:rsid w:val="7888AD78"/>
    <w:rsid w:val="78950D31"/>
    <w:rsid w:val="78977866"/>
    <w:rsid w:val="78A11FC0"/>
    <w:rsid w:val="78B3BABE"/>
    <w:rsid w:val="78C3C267"/>
    <w:rsid w:val="78C5D045"/>
    <w:rsid w:val="78C9811B"/>
    <w:rsid w:val="78D09DD1"/>
    <w:rsid w:val="78D207DA"/>
    <w:rsid w:val="78D45205"/>
    <w:rsid w:val="78D7C43B"/>
    <w:rsid w:val="78DEE8B5"/>
    <w:rsid w:val="78E5C7BE"/>
    <w:rsid w:val="78F1DFEF"/>
    <w:rsid w:val="78F2B86C"/>
    <w:rsid w:val="78F4FC71"/>
    <w:rsid w:val="78F9A933"/>
    <w:rsid w:val="78FBEB22"/>
    <w:rsid w:val="79006AE7"/>
    <w:rsid w:val="790B56B9"/>
    <w:rsid w:val="790CB453"/>
    <w:rsid w:val="79120FB7"/>
    <w:rsid w:val="791C6E43"/>
    <w:rsid w:val="791D3F95"/>
    <w:rsid w:val="7925B58E"/>
    <w:rsid w:val="7931B3E3"/>
    <w:rsid w:val="793BACFC"/>
    <w:rsid w:val="79434C7F"/>
    <w:rsid w:val="7947352C"/>
    <w:rsid w:val="7949A69D"/>
    <w:rsid w:val="794A85DB"/>
    <w:rsid w:val="794E1440"/>
    <w:rsid w:val="7953F7BB"/>
    <w:rsid w:val="795676B1"/>
    <w:rsid w:val="79588003"/>
    <w:rsid w:val="79632DBE"/>
    <w:rsid w:val="7969668B"/>
    <w:rsid w:val="798843ED"/>
    <w:rsid w:val="798D8640"/>
    <w:rsid w:val="798DD262"/>
    <w:rsid w:val="798ED0FA"/>
    <w:rsid w:val="79916D5D"/>
    <w:rsid w:val="799492A9"/>
    <w:rsid w:val="79960726"/>
    <w:rsid w:val="79991F99"/>
    <w:rsid w:val="79A5977F"/>
    <w:rsid w:val="79B4B155"/>
    <w:rsid w:val="79BF7E37"/>
    <w:rsid w:val="79C4991B"/>
    <w:rsid w:val="79C81D84"/>
    <w:rsid w:val="79CAAAB2"/>
    <w:rsid w:val="79CC7880"/>
    <w:rsid w:val="79CF5AC4"/>
    <w:rsid w:val="79D7F27D"/>
    <w:rsid w:val="79DF497E"/>
    <w:rsid w:val="79E2B101"/>
    <w:rsid w:val="79E5CDEB"/>
    <w:rsid w:val="79E79A70"/>
    <w:rsid w:val="79F0C645"/>
    <w:rsid w:val="79F25C5C"/>
    <w:rsid w:val="79F2A4C4"/>
    <w:rsid w:val="79F49A8C"/>
    <w:rsid w:val="79F644DE"/>
    <w:rsid w:val="7A00E017"/>
    <w:rsid w:val="7A00EDF3"/>
    <w:rsid w:val="7A0213E8"/>
    <w:rsid w:val="7A072A43"/>
    <w:rsid w:val="7A076BDC"/>
    <w:rsid w:val="7A0E5F5F"/>
    <w:rsid w:val="7A1CBC73"/>
    <w:rsid w:val="7A247DD9"/>
    <w:rsid w:val="7A27CA45"/>
    <w:rsid w:val="7A30FF3B"/>
    <w:rsid w:val="7A3256DD"/>
    <w:rsid w:val="7A36D223"/>
    <w:rsid w:val="7A3F7721"/>
    <w:rsid w:val="7A427EBF"/>
    <w:rsid w:val="7A4FA5AD"/>
    <w:rsid w:val="7A5314C2"/>
    <w:rsid w:val="7A5E240E"/>
    <w:rsid w:val="7A65D4FE"/>
    <w:rsid w:val="7A6B7AB6"/>
    <w:rsid w:val="7A73BBF3"/>
    <w:rsid w:val="7A772CD2"/>
    <w:rsid w:val="7A7ADE7D"/>
    <w:rsid w:val="7A873D3D"/>
    <w:rsid w:val="7A8B9EC8"/>
    <w:rsid w:val="7A9A58E3"/>
    <w:rsid w:val="7AA911F0"/>
    <w:rsid w:val="7AB15588"/>
    <w:rsid w:val="7AB5B900"/>
    <w:rsid w:val="7AB877C7"/>
    <w:rsid w:val="7ABA89E8"/>
    <w:rsid w:val="7ABD3C0F"/>
    <w:rsid w:val="7ABE246B"/>
    <w:rsid w:val="7ACCACD2"/>
    <w:rsid w:val="7AD89CA4"/>
    <w:rsid w:val="7AD958AC"/>
    <w:rsid w:val="7AE4816E"/>
    <w:rsid w:val="7AFF948F"/>
    <w:rsid w:val="7B163F89"/>
    <w:rsid w:val="7B179407"/>
    <w:rsid w:val="7B1EEC4D"/>
    <w:rsid w:val="7B2300D3"/>
    <w:rsid w:val="7B257162"/>
    <w:rsid w:val="7B2C106F"/>
    <w:rsid w:val="7B2C30BC"/>
    <w:rsid w:val="7B3EE777"/>
    <w:rsid w:val="7B42B0B5"/>
    <w:rsid w:val="7B451ED2"/>
    <w:rsid w:val="7B454A39"/>
    <w:rsid w:val="7B4E4080"/>
    <w:rsid w:val="7B530F8C"/>
    <w:rsid w:val="7B574EA8"/>
    <w:rsid w:val="7B601097"/>
    <w:rsid w:val="7B640092"/>
    <w:rsid w:val="7B7965CE"/>
    <w:rsid w:val="7B867211"/>
    <w:rsid w:val="7B8D2C4C"/>
    <w:rsid w:val="7B8D552E"/>
    <w:rsid w:val="7B8FB258"/>
    <w:rsid w:val="7B987700"/>
    <w:rsid w:val="7B9C231F"/>
    <w:rsid w:val="7B9CAF03"/>
    <w:rsid w:val="7BA2CF46"/>
    <w:rsid w:val="7BA5B805"/>
    <w:rsid w:val="7BB02123"/>
    <w:rsid w:val="7BBC71E0"/>
    <w:rsid w:val="7BBCA3BA"/>
    <w:rsid w:val="7BBD0022"/>
    <w:rsid w:val="7BCA7214"/>
    <w:rsid w:val="7BCBEB98"/>
    <w:rsid w:val="7BD3B654"/>
    <w:rsid w:val="7BD5543D"/>
    <w:rsid w:val="7BD94B57"/>
    <w:rsid w:val="7BD979A5"/>
    <w:rsid w:val="7BDC19ED"/>
    <w:rsid w:val="7BDD1270"/>
    <w:rsid w:val="7BE96105"/>
    <w:rsid w:val="7BE9918A"/>
    <w:rsid w:val="7BF36842"/>
    <w:rsid w:val="7BF9B19F"/>
    <w:rsid w:val="7C0F8C54"/>
    <w:rsid w:val="7C0FF276"/>
    <w:rsid w:val="7C1263F7"/>
    <w:rsid w:val="7C16E1AF"/>
    <w:rsid w:val="7C1721B9"/>
    <w:rsid w:val="7C28770A"/>
    <w:rsid w:val="7C2AFF99"/>
    <w:rsid w:val="7C2C124F"/>
    <w:rsid w:val="7C2E458E"/>
    <w:rsid w:val="7C3AFEEB"/>
    <w:rsid w:val="7C3DF684"/>
    <w:rsid w:val="7C411286"/>
    <w:rsid w:val="7C41ECB9"/>
    <w:rsid w:val="7C4B283C"/>
    <w:rsid w:val="7C563B4A"/>
    <w:rsid w:val="7C5CAB13"/>
    <w:rsid w:val="7C62EC6E"/>
    <w:rsid w:val="7C692F01"/>
    <w:rsid w:val="7C6B0457"/>
    <w:rsid w:val="7C6FE3D2"/>
    <w:rsid w:val="7C73A9F0"/>
    <w:rsid w:val="7C7B008D"/>
    <w:rsid w:val="7C85B502"/>
    <w:rsid w:val="7C88777F"/>
    <w:rsid w:val="7C8EBCD7"/>
    <w:rsid w:val="7C8EFCB8"/>
    <w:rsid w:val="7C93861E"/>
    <w:rsid w:val="7C9D12F6"/>
    <w:rsid w:val="7CA24B50"/>
    <w:rsid w:val="7CA528F8"/>
    <w:rsid w:val="7CABAD03"/>
    <w:rsid w:val="7CACA274"/>
    <w:rsid w:val="7CB16601"/>
    <w:rsid w:val="7CB73A5E"/>
    <w:rsid w:val="7CBB8AF0"/>
    <w:rsid w:val="7CBC72A4"/>
    <w:rsid w:val="7CBF5B4C"/>
    <w:rsid w:val="7CC23B55"/>
    <w:rsid w:val="7CC41372"/>
    <w:rsid w:val="7CC5AE4B"/>
    <w:rsid w:val="7CCEBB53"/>
    <w:rsid w:val="7CD83487"/>
    <w:rsid w:val="7CD8AFA5"/>
    <w:rsid w:val="7CDD5968"/>
    <w:rsid w:val="7CDFFF6D"/>
    <w:rsid w:val="7CE80CF4"/>
    <w:rsid w:val="7CE83CF9"/>
    <w:rsid w:val="7CEC2DDB"/>
    <w:rsid w:val="7CFA5DEE"/>
    <w:rsid w:val="7D01192D"/>
    <w:rsid w:val="7D024B74"/>
    <w:rsid w:val="7D061943"/>
    <w:rsid w:val="7D1D82FF"/>
    <w:rsid w:val="7D20C6A5"/>
    <w:rsid w:val="7D2213D0"/>
    <w:rsid w:val="7D27EAEB"/>
    <w:rsid w:val="7D298BA8"/>
    <w:rsid w:val="7D2F8059"/>
    <w:rsid w:val="7D3B37AC"/>
    <w:rsid w:val="7D3C7C6A"/>
    <w:rsid w:val="7D3DCD08"/>
    <w:rsid w:val="7D44DE7D"/>
    <w:rsid w:val="7D4F9E89"/>
    <w:rsid w:val="7D5556D5"/>
    <w:rsid w:val="7D6C0418"/>
    <w:rsid w:val="7D701806"/>
    <w:rsid w:val="7D77365D"/>
    <w:rsid w:val="7D78E2D1"/>
    <w:rsid w:val="7D7AEC22"/>
    <w:rsid w:val="7D807149"/>
    <w:rsid w:val="7D87466F"/>
    <w:rsid w:val="7D888D24"/>
    <w:rsid w:val="7D8B4C41"/>
    <w:rsid w:val="7D958E75"/>
    <w:rsid w:val="7D9B0AE9"/>
    <w:rsid w:val="7D9CFB5E"/>
    <w:rsid w:val="7DB25C8C"/>
    <w:rsid w:val="7DC64779"/>
    <w:rsid w:val="7DC96E47"/>
    <w:rsid w:val="7DE472AE"/>
    <w:rsid w:val="7DED59C2"/>
    <w:rsid w:val="7DF20BAB"/>
    <w:rsid w:val="7E01A78F"/>
    <w:rsid w:val="7E053B45"/>
    <w:rsid w:val="7E066B3E"/>
    <w:rsid w:val="7E1D134C"/>
    <w:rsid w:val="7E1D98AB"/>
    <w:rsid w:val="7E2C504B"/>
    <w:rsid w:val="7E2ECF74"/>
    <w:rsid w:val="7E2F15C6"/>
    <w:rsid w:val="7E320892"/>
    <w:rsid w:val="7E336719"/>
    <w:rsid w:val="7E36EEC9"/>
    <w:rsid w:val="7E396AF1"/>
    <w:rsid w:val="7E3D373C"/>
    <w:rsid w:val="7E43617C"/>
    <w:rsid w:val="7E4B295E"/>
    <w:rsid w:val="7E4CB76F"/>
    <w:rsid w:val="7E566960"/>
    <w:rsid w:val="7E56A0B9"/>
    <w:rsid w:val="7E5A0B52"/>
    <w:rsid w:val="7E5DF00B"/>
    <w:rsid w:val="7E7041C6"/>
    <w:rsid w:val="7E70B5E1"/>
    <w:rsid w:val="7E741861"/>
    <w:rsid w:val="7E7929C9"/>
    <w:rsid w:val="7E7E4863"/>
    <w:rsid w:val="7E815677"/>
    <w:rsid w:val="7E90F242"/>
    <w:rsid w:val="7E942655"/>
    <w:rsid w:val="7E94FDF7"/>
    <w:rsid w:val="7E98133D"/>
    <w:rsid w:val="7E99EB06"/>
    <w:rsid w:val="7E9E56AD"/>
    <w:rsid w:val="7EA3EF8B"/>
    <w:rsid w:val="7EA434CD"/>
    <w:rsid w:val="7EA6116E"/>
    <w:rsid w:val="7EAC7302"/>
    <w:rsid w:val="7EB111C6"/>
    <w:rsid w:val="7EB4BA58"/>
    <w:rsid w:val="7EB582E8"/>
    <w:rsid w:val="7EBB4D48"/>
    <w:rsid w:val="7EBF9ED5"/>
    <w:rsid w:val="7EC08AC9"/>
    <w:rsid w:val="7EC1B312"/>
    <w:rsid w:val="7EC9018B"/>
    <w:rsid w:val="7ECA8769"/>
    <w:rsid w:val="7ED14EC3"/>
    <w:rsid w:val="7ED2131B"/>
    <w:rsid w:val="7ED7398F"/>
    <w:rsid w:val="7ED77754"/>
    <w:rsid w:val="7EE314D9"/>
    <w:rsid w:val="7EE46F2A"/>
    <w:rsid w:val="7EF3A214"/>
    <w:rsid w:val="7EF7EEFC"/>
    <w:rsid w:val="7EFA7AC2"/>
    <w:rsid w:val="7EFCA65B"/>
    <w:rsid w:val="7EFFC874"/>
    <w:rsid w:val="7EFFCD8F"/>
    <w:rsid w:val="7F001D74"/>
    <w:rsid w:val="7F06A18D"/>
    <w:rsid w:val="7F06C1C8"/>
    <w:rsid w:val="7F06FEC9"/>
    <w:rsid w:val="7F08617D"/>
    <w:rsid w:val="7F0BE867"/>
    <w:rsid w:val="7F0BF07B"/>
    <w:rsid w:val="7F0F8376"/>
    <w:rsid w:val="7F13D5ED"/>
    <w:rsid w:val="7F18FC1A"/>
    <w:rsid w:val="7F1CC086"/>
    <w:rsid w:val="7F222CDB"/>
    <w:rsid w:val="7F28C41D"/>
    <w:rsid w:val="7F2912F2"/>
    <w:rsid w:val="7F2E2F4E"/>
    <w:rsid w:val="7F2E77C9"/>
    <w:rsid w:val="7F3366BC"/>
    <w:rsid w:val="7F3A2388"/>
    <w:rsid w:val="7F3BF40D"/>
    <w:rsid w:val="7F48C35C"/>
    <w:rsid w:val="7F4A9DF5"/>
    <w:rsid w:val="7F54020F"/>
    <w:rsid w:val="7F65AC00"/>
    <w:rsid w:val="7F6840DC"/>
    <w:rsid w:val="7F6DCA06"/>
    <w:rsid w:val="7F702609"/>
    <w:rsid w:val="7F710EC8"/>
    <w:rsid w:val="7F729FAD"/>
    <w:rsid w:val="7F72CBA0"/>
    <w:rsid w:val="7F7526D5"/>
    <w:rsid w:val="7F757514"/>
    <w:rsid w:val="7F77739E"/>
    <w:rsid w:val="7F7AC8A5"/>
    <w:rsid w:val="7F7F9F86"/>
    <w:rsid w:val="7F818ECB"/>
    <w:rsid w:val="7F87E7D8"/>
    <w:rsid w:val="7F8FE1F8"/>
    <w:rsid w:val="7F9600A2"/>
    <w:rsid w:val="7FB17453"/>
    <w:rsid w:val="7FB3C30C"/>
    <w:rsid w:val="7FBAED76"/>
    <w:rsid w:val="7FBD6976"/>
    <w:rsid w:val="7FC4D097"/>
    <w:rsid w:val="7FCCFA15"/>
    <w:rsid w:val="7FD4680B"/>
    <w:rsid w:val="7FD637D5"/>
    <w:rsid w:val="7FE933DD"/>
    <w:rsid w:val="7FFB6DE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4EA28687"/>
  <w15:docId w15:val="{68056769-4BE1-40CE-875A-6C58E7258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4" w:qFormat="1"/>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qFormat="1"/>
    <w:lsdException w:name="Plain Table 4" w:uiPriority="44"/>
    <w:lsdException w:name="Grid Table Light" w:uiPriority="40"/>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155"/>
    <w:pPr>
      <w:keepLines/>
      <w:spacing w:before="120" w:after="120" w:line="252" w:lineRule="auto"/>
    </w:pPr>
    <w:rPr>
      <w:rFonts w:eastAsiaTheme="minorEastAsia"/>
      <w:color w:val="000000" w:themeColor="text1"/>
      <w:sz w:val="20"/>
      <w:szCs w:val="20"/>
      <w:lang w:eastAsia="en-AU"/>
    </w:rPr>
  </w:style>
  <w:style w:type="paragraph" w:styleId="Heading1">
    <w:name w:val="heading 1"/>
    <w:next w:val="Normal"/>
    <w:link w:val="Heading1Char"/>
    <w:qFormat/>
    <w:rsid w:val="00544F8D"/>
    <w:pPr>
      <w:keepNext/>
      <w:keepLines/>
      <w:spacing w:before="360" w:after="120" w:line="252" w:lineRule="auto"/>
      <w:outlineLvl w:val="0"/>
    </w:pPr>
    <w:rPr>
      <w:rFonts w:asciiTheme="majorHAnsi" w:eastAsiaTheme="majorEastAsia" w:hAnsiTheme="majorHAnsi" w:cstheme="majorBidi"/>
      <w:bCs/>
      <w:color w:val="71C5E8" w:themeColor="accent1"/>
      <w:sz w:val="36"/>
      <w:szCs w:val="28"/>
      <w:lang w:eastAsia="en-AU"/>
    </w:rPr>
  </w:style>
  <w:style w:type="paragraph" w:styleId="Heading2">
    <w:name w:val="heading 2"/>
    <w:basedOn w:val="Normal"/>
    <w:next w:val="Normal"/>
    <w:link w:val="Heading2Char"/>
    <w:qFormat/>
    <w:rsid w:val="00510650"/>
    <w:pPr>
      <w:keepNext/>
      <w:spacing w:before="280"/>
      <w:outlineLvl w:val="1"/>
    </w:pPr>
    <w:rPr>
      <w:rFonts w:asciiTheme="majorHAnsi" w:eastAsiaTheme="majorEastAsia" w:hAnsiTheme="majorHAnsi" w:cstheme="majorBidi"/>
      <w:bCs/>
      <w:color w:val="1F2A44" w:themeColor="text2"/>
      <w:sz w:val="28"/>
      <w:szCs w:val="26"/>
    </w:rPr>
  </w:style>
  <w:style w:type="paragraph" w:styleId="Heading3">
    <w:name w:val="heading 3"/>
    <w:basedOn w:val="Normal"/>
    <w:next w:val="Normal"/>
    <w:link w:val="Heading3Char"/>
    <w:qFormat/>
    <w:rsid w:val="00510650"/>
    <w:pPr>
      <w:keepNext/>
      <w:spacing w:before="240"/>
      <w:outlineLvl w:val="2"/>
    </w:pPr>
    <w:rPr>
      <w:rFonts w:asciiTheme="majorHAnsi" w:eastAsiaTheme="majorEastAsia" w:hAnsiTheme="majorHAnsi" w:cstheme="majorBidi"/>
      <w:bCs/>
      <w:color w:val="1F2A44" w:themeColor="text2"/>
      <w:sz w:val="24"/>
      <w:szCs w:val="24"/>
    </w:rPr>
  </w:style>
  <w:style w:type="paragraph" w:styleId="Heading4">
    <w:name w:val="heading 4"/>
    <w:basedOn w:val="Normal"/>
    <w:next w:val="Normal"/>
    <w:link w:val="Heading4Char"/>
    <w:qFormat/>
    <w:rsid w:val="008B7816"/>
    <w:pPr>
      <w:keepNext/>
      <w:spacing w:before="200"/>
      <w:outlineLvl w:val="3"/>
    </w:pPr>
    <w:rPr>
      <w:rFonts w:asciiTheme="majorHAnsi" w:eastAsiaTheme="majorEastAsia" w:hAnsiTheme="majorHAnsi" w:cstheme="majorBidi"/>
      <w:bCs/>
      <w:iCs/>
      <w:color w:val="1F2A44" w:themeColor="text2"/>
      <w:sz w:val="22"/>
      <w:szCs w:val="21"/>
    </w:rPr>
  </w:style>
  <w:style w:type="paragraph" w:styleId="Heading5">
    <w:name w:val="heading 5"/>
    <w:basedOn w:val="Normal"/>
    <w:next w:val="Normal"/>
    <w:link w:val="Heading5Char"/>
    <w:rsid w:val="008B7816"/>
    <w:pPr>
      <w:keepNext/>
      <w:spacing w:before="60" w:after="60"/>
      <w:outlineLvl w:val="4"/>
    </w:pPr>
    <w:rPr>
      <w:rFonts w:asciiTheme="majorHAnsi" w:eastAsiaTheme="majorEastAsia" w:hAnsiTheme="majorHAnsi" w:cstheme="majorBidi"/>
      <w:color w:val="1F2A44" w:themeColor="text2"/>
    </w:rPr>
  </w:style>
  <w:style w:type="paragraph" w:styleId="Heading6">
    <w:name w:val="heading 6"/>
    <w:basedOn w:val="Normal"/>
    <w:next w:val="Normal"/>
    <w:link w:val="Heading6Char"/>
    <w:uiPriority w:val="9"/>
    <w:semiHidden/>
    <w:qFormat/>
    <w:rsid w:val="00547757"/>
    <w:pPr>
      <w:keepNext/>
      <w:spacing w:before="40" w:after="0"/>
      <w:outlineLvl w:val="5"/>
    </w:pPr>
    <w:rPr>
      <w:rFonts w:asciiTheme="majorHAnsi" w:eastAsiaTheme="majorEastAsia" w:hAnsiTheme="majorHAnsi" w:cstheme="majorBidi"/>
      <w:color w:val="186F9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4F8D"/>
    <w:rPr>
      <w:rFonts w:asciiTheme="majorHAnsi" w:eastAsiaTheme="majorEastAsia" w:hAnsiTheme="majorHAnsi" w:cstheme="majorBidi"/>
      <w:bCs/>
      <w:color w:val="71C5E8" w:themeColor="accent1"/>
      <w:sz w:val="36"/>
      <w:szCs w:val="28"/>
      <w:lang w:eastAsia="en-AU"/>
    </w:rPr>
  </w:style>
  <w:style w:type="paragraph" w:styleId="ListParagraph">
    <w:name w:val="List Paragraph"/>
    <w:basedOn w:val="Normal"/>
    <w:uiPriority w:val="34"/>
    <w:qFormat/>
    <w:rsid w:val="008B7816"/>
    <w:pPr>
      <w:ind w:left="720"/>
      <w:contextualSpacing/>
    </w:pPr>
  </w:style>
  <w:style w:type="character" w:customStyle="1" w:styleId="Heading2Char">
    <w:name w:val="Heading 2 Char"/>
    <w:basedOn w:val="DefaultParagraphFont"/>
    <w:link w:val="Heading2"/>
    <w:rsid w:val="00510650"/>
    <w:rPr>
      <w:rFonts w:asciiTheme="majorHAnsi" w:eastAsiaTheme="majorEastAsia" w:hAnsiTheme="majorHAnsi" w:cstheme="majorBidi"/>
      <w:bCs/>
      <w:color w:val="1F2A44" w:themeColor="text2"/>
      <w:sz w:val="28"/>
      <w:szCs w:val="26"/>
      <w:lang w:eastAsia="en-AU"/>
    </w:rPr>
  </w:style>
  <w:style w:type="character" w:styleId="CommentReference">
    <w:name w:val="annotation reference"/>
    <w:basedOn w:val="DefaultParagraphFont"/>
    <w:uiPriority w:val="99"/>
    <w:semiHidden/>
    <w:unhideWhenUsed/>
    <w:rsid w:val="008B7816"/>
    <w:rPr>
      <w:sz w:val="16"/>
      <w:szCs w:val="16"/>
    </w:rPr>
  </w:style>
  <w:style w:type="paragraph" w:styleId="CommentText">
    <w:name w:val="annotation text"/>
    <w:basedOn w:val="Normal"/>
    <w:link w:val="CommentTextChar"/>
    <w:uiPriority w:val="99"/>
    <w:semiHidden/>
    <w:rsid w:val="008B7816"/>
    <w:pPr>
      <w:spacing w:after="0" w:line="240" w:lineRule="auto"/>
    </w:pPr>
  </w:style>
  <w:style w:type="character" w:customStyle="1" w:styleId="CommentTextChar">
    <w:name w:val="Comment Text Char"/>
    <w:basedOn w:val="DefaultParagraphFont"/>
    <w:link w:val="CommentText"/>
    <w:uiPriority w:val="99"/>
    <w:semiHidden/>
    <w:rsid w:val="00AC32DF"/>
    <w:rPr>
      <w:rFonts w:eastAsiaTheme="minorEastAsia"/>
      <w:color w:val="000000" w:themeColor="text1"/>
      <w:sz w:val="20"/>
      <w:szCs w:val="20"/>
      <w:lang w:eastAsia="en-AU"/>
    </w:rPr>
  </w:style>
  <w:style w:type="paragraph" w:styleId="NormalWeb">
    <w:name w:val="Normal (Web)"/>
    <w:basedOn w:val="Normal"/>
    <w:uiPriority w:val="99"/>
    <w:semiHidden/>
    <w:rsid w:val="00446BE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rsid w:val="008B78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7816"/>
    <w:rPr>
      <w:rFonts w:eastAsiaTheme="minorEastAsia"/>
      <w:color w:val="000000" w:themeColor="text1"/>
      <w:sz w:val="20"/>
      <w:szCs w:val="20"/>
      <w:lang w:eastAsia="en-AU"/>
    </w:rPr>
  </w:style>
  <w:style w:type="paragraph" w:styleId="Footer">
    <w:name w:val="footer"/>
    <w:basedOn w:val="Normal"/>
    <w:link w:val="FooterChar"/>
    <w:uiPriority w:val="99"/>
    <w:rsid w:val="008B7816"/>
    <w:pPr>
      <w:tabs>
        <w:tab w:val="right" w:pos="9026"/>
      </w:tabs>
      <w:spacing w:before="0" w:after="0" w:line="240" w:lineRule="auto"/>
    </w:pPr>
    <w:rPr>
      <w:noProof/>
      <w:sz w:val="18"/>
      <w:szCs w:val="18"/>
    </w:rPr>
  </w:style>
  <w:style w:type="character" w:customStyle="1" w:styleId="FooterChar">
    <w:name w:val="Footer Char"/>
    <w:basedOn w:val="DefaultParagraphFont"/>
    <w:link w:val="Footer"/>
    <w:uiPriority w:val="99"/>
    <w:rsid w:val="008B7816"/>
    <w:rPr>
      <w:rFonts w:eastAsiaTheme="minorEastAsia"/>
      <w:noProof/>
      <w:color w:val="000000" w:themeColor="text1"/>
      <w:sz w:val="18"/>
      <w:szCs w:val="18"/>
      <w:lang w:eastAsia="en-AU"/>
    </w:rPr>
  </w:style>
  <w:style w:type="table" w:customStyle="1" w:styleId="GridTable5Dark-Accent41">
    <w:name w:val="Grid Table 5 Dark - Accent 41"/>
    <w:basedOn w:val="TableNormal"/>
    <w:uiPriority w:val="50"/>
    <w:rsid w:val="00F93F4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C5F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7189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7189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7189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7189D" w:themeFill="accent4"/>
      </w:tcPr>
    </w:tblStylePr>
    <w:tblStylePr w:type="band1Vert">
      <w:tblPr/>
      <w:tcPr>
        <w:shd w:val="clear" w:color="auto" w:fill="DD8CED" w:themeFill="accent4" w:themeFillTint="66"/>
      </w:tcPr>
    </w:tblStylePr>
    <w:tblStylePr w:type="band1Horz">
      <w:tblPr/>
      <w:tcPr>
        <w:shd w:val="clear" w:color="auto" w:fill="DD8CED" w:themeFill="accent4" w:themeFillTint="66"/>
      </w:tcPr>
    </w:tblStylePr>
  </w:style>
  <w:style w:type="paragraph" w:styleId="CommentSubject">
    <w:name w:val="annotation subject"/>
    <w:basedOn w:val="CommentText"/>
    <w:next w:val="CommentText"/>
    <w:link w:val="CommentSubjectChar"/>
    <w:uiPriority w:val="99"/>
    <w:semiHidden/>
    <w:unhideWhenUsed/>
    <w:rsid w:val="008B7816"/>
    <w:pPr>
      <w:spacing w:after="160"/>
      <w:jc w:val="both"/>
    </w:pPr>
    <w:rPr>
      <w:b/>
      <w:bCs/>
    </w:rPr>
  </w:style>
  <w:style w:type="character" w:customStyle="1" w:styleId="CommentSubjectChar">
    <w:name w:val="Comment Subject Char"/>
    <w:basedOn w:val="CommentTextChar"/>
    <w:link w:val="CommentSubject"/>
    <w:uiPriority w:val="99"/>
    <w:semiHidden/>
    <w:rsid w:val="008B7816"/>
    <w:rPr>
      <w:rFonts w:eastAsiaTheme="minorEastAsia"/>
      <w:b/>
      <w:bCs/>
      <w:color w:val="000000" w:themeColor="text1"/>
      <w:sz w:val="20"/>
      <w:szCs w:val="20"/>
      <w:lang w:eastAsia="en-AU"/>
    </w:rPr>
  </w:style>
  <w:style w:type="table" w:styleId="TableGrid">
    <w:name w:val="Table Grid"/>
    <w:basedOn w:val="TableNormal"/>
    <w:uiPriority w:val="39"/>
    <w:rsid w:val="008B78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8B78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7816"/>
    <w:rPr>
      <w:rFonts w:ascii="Tahoma" w:eastAsiaTheme="minorEastAsia" w:hAnsi="Tahoma" w:cs="Tahoma"/>
      <w:color w:val="000000" w:themeColor="text1"/>
      <w:sz w:val="16"/>
      <w:szCs w:val="16"/>
      <w:lang w:eastAsia="en-AU"/>
    </w:rPr>
  </w:style>
  <w:style w:type="table" w:customStyle="1" w:styleId="ListTable3-Accent11">
    <w:name w:val="List Table 3 - Accent 11"/>
    <w:basedOn w:val="TableNormal"/>
    <w:uiPriority w:val="48"/>
    <w:rsid w:val="001537B6"/>
    <w:pPr>
      <w:spacing w:after="0" w:line="240" w:lineRule="auto"/>
    </w:pPr>
    <w:tblPr>
      <w:tblStyleRowBandSize w:val="1"/>
      <w:tblStyleColBandSize w:val="1"/>
      <w:tblBorders>
        <w:top w:val="single" w:sz="4" w:space="0" w:color="71C5E8" w:themeColor="accent1"/>
        <w:left w:val="single" w:sz="4" w:space="0" w:color="71C5E8" w:themeColor="accent1"/>
        <w:bottom w:val="single" w:sz="4" w:space="0" w:color="71C5E8" w:themeColor="accent1"/>
        <w:right w:val="single" w:sz="4" w:space="0" w:color="71C5E8" w:themeColor="accent1"/>
      </w:tblBorders>
    </w:tblPr>
    <w:tblStylePr w:type="firstRow">
      <w:rPr>
        <w:b/>
        <w:bCs/>
        <w:color w:val="FFFFFF" w:themeColor="background1"/>
      </w:rPr>
      <w:tblPr/>
      <w:tcPr>
        <w:shd w:val="clear" w:color="auto" w:fill="71C5E8" w:themeFill="accent1"/>
      </w:tcPr>
    </w:tblStylePr>
    <w:tblStylePr w:type="lastRow">
      <w:rPr>
        <w:b/>
        <w:bCs/>
      </w:rPr>
      <w:tblPr/>
      <w:tcPr>
        <w:tcBorders>
          <w:top w:val="double" w:sz="4" w:space="0" w:color="71C5E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C5E8" w:themeColor="accent1"/>
          <w:right w:val="single" w:sz="4" w:space="0" w:color="71C5E8" w:themeColor="accent1"/>
        </w:tcBorders>
      </w:tcPr>
    </w:tblStylePr>
    <w:tblStylePr w:type="band1Horz">
      <w:tblPr/>
      <w:tcPr>
        <w:tcBorders>
          <w:top w:val="single" w:sz="4" w:space="0" w:color="71C5E8" w:themeColor="accent1"/>
          <w:bottom w:val="single" w:sz="4" w:space="0" w:color="71C5E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C5E8" w:themeColor="accent1"/>
          <w:left w:val="nil"/>
        </w:tcBorders>
      </w:tcPr>
    </w:tblStylePr>
    <w:tblStylePr w:type="swCell">
      <w:tblPr/>
      <w:tcPr>
        <w:tcBorders>
          <w:top w:val="double" w:sz="4" w:space="0" w:color="71C5E8" w:themeColor="accent1"/>
          <w:right w:val="nil"/>
        </w:tcBorders>
      </w:tcPr>
    </w:tblStylePr>
  </w:style>
  <w:style w:type="table" w:styleId="LightShading-Accent1">
    <w:name w:val="Light Shading Accent 1"/>
    <w:basedOn w:val="TableNormal"/>
    <w:uiPriority w:val="60"/>
    <w:semiHidden/>
    <w:unhideWhenUsed/>
    <w:rsid w:val="00311569"/>
    <w:pPr>
      <w:spacing w:after="0" w:line="240" w:lineRule="auto"/>
    </w:pPr>
    <w:rPr>
      <w:color w:val="26A6DC" w:themeColor="accent1" w:themeShade="BF"/>
    </w:rPr>
    <w:tblPr>
      <w:tblStyleRowBandSize w:val="1"/>
      <w:tblStyleColBandSize w:val="1"/>
      <w:tblBorders>
        <w:top w:val="single" w:sz="8" w:space="0" w:color="71C5E8" w:themeColor="accent1"/>
        <w:bottom w:val="single" w:sz="8" w:space="0" w:color="71C5E8" w:themeColor="accent1"/>
      </w:tblBorders>
    </w:tblPr>
    <w:tblStylePr w:type="firstRow">
      <w:pPr>
        <w:spacing w:before="0" w:after="0" w:line="240" w:lineRule="auto"/>
      </w:pPr>
      <w:rPr>
        <w:b/>
        <w:bCs/>
      </w:rPr>
      <w:tblPr/>
      <w:tcPr>
        <w:tcBorders>
          <w:top w:val="single" w:sz="8" w:space="0" w:color="71C5E8" w:themeColor="accent1"/>
          <w:left w:val="nil"/>
          <w:bottom w:val="single" w:sz="8" w:space="0" w:color="71C5E8" w:themeColor="accent1"/>
          <w:right w:val="nil"/>
          <w:insideH w:val="nil"/>
          <w:insideV w:val="nil"/>
        </w:tcBorders>
      </w:tcPr>
    </w:tblStylePr>
    <w:tblStylePr w:type="lastRow">
      <w:pPr>
        <w:spacing w:before="0" w:after="0" w:line="240" w:lineRule="auto"/>
      </w:pPr>
      <w:rPr>
        <w:b/>
        <w:bCs/>
      </w:rPr>
      <w:tblPr/>
      <w:tcPr>
        <w:tcBorders>
          <w:top w:val="single" w:sz="8" w:space="0" w:color="71C5E8" w:themeColor="accent1"/>
          <w:left w:val="nil"/>
          <w:bottom w:val="single" w:sz="8" w:space="0" w:color="71C5E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1" w:themeFillTint="3F"/>
      </w:tcPr>
    </w:tblStylePr>
    <w:tblStylePr w:type="band1Horz">
      <w:tblPr/>
      <w:tcPr>
        <w:tcBorders>
          <w:left w:val="nil"/>
          <w:right w:val="nil"/>
          <w:insideH w:val="nil"/>
          <w:insideV w:val="nil"/>
        </w:tcBorders>
        <w:shd w:val="clear" w:color="auto" w:fill="DBF0F9" w:themeFill="accent1" w:themeFillTint="3F"/>
      </w:tcPr>
    </w:tblStylePr>
  </w:style>
  <w:style w:type="paragraph" w:styleId="FootnoteText">
    <w:name w:val="footnote text"/>
    <w:basedOn w:val="Normal"/>
    <w:link w:val="FootnoteTextChar"/>
    <w:uiPriority w:val="99"/>
    <w:rsid w:val="008B7816"/>
    <w:pPr>
      <w:spacing w:before="0" w:after="0" w:line="240" w:lineRule="auto"/>
    </w:pPr>
    <w:rPr>
      <w:sz w:val="17"/>
    </w:rPr>
  </w:style>
  <w:style w:type="character" w:customStyle="1" w:styleId="FootnoteTextChar">
    <w:name w:val="Footnote Text Char"/>
    <w:basedOn w:val="DefaultParagraphFont"/>
    <w:link w:val="FootnoteText"/>
    <w:uiPriority w:val="99"/>
    <w:rsid w:val="008B7816"/>
    <w:rPr>
      <w:rFonts w:eastAsiaTheme="minorEastAsia"/>
      <w:color w:val="000000" w:themeColor="text1"/>
      <w:sz w:val="17"/>
      <w:szCs w:val="20"/>
      <w:lang w:eastAsia="en-AU"/>
    </w:rPr>
  </w:style>
  <w:style w:type="character" w:styleId="FootnoteReference">
    <w:name w:val="footnote reference"/>
    <w:basedOn w:val="DefaultParagraphFont"/>
    <w:uiPriority w:val="99"/>
    <w:rsid w:val="008B7816"/>
    <w:rPr>
      <w:vertAlign w:val="superscript"/>
    </w:rPr>
  </w:style>
  <w:style w:type="character" w:customStyle="1" w:styleId="Heading3Char">
    <w:name w:val="Heading 3 Char"/>
    <w:basedOn w:val="DefaultParagraphFont"/>
    <w:link w:val="Heading3"/>
    <w:rsid w:val="00510650"/>
    <w:rPr>
      <w:rFonts w:asciiTheme="majorHAnsi" w:eastAsiaTheme="majorEastAsia" w:hAnsiTheme="majorHAnsi" w:cstheme="majorBidi"/>
      <w:bCs/>
      <w:color w:val="1F2A44" w:themeColor="text2"/>
      <w:sz w:val="24"/>
      <w:szCs w:val="24"/>
      <w:lang w:eastAsia="en-AU"/>
    </w:rPr>
  </w:style>
  <w:style w:type="character" w:styleId="Hyperlink">
    <w:name w:val="Hyperlink"/>
    <w:basedOn w:val="DefaultParagraphFont"/>
    <w:uiPriority w:val="99"/>
    <w:rsid w:val="00E16662"/>
    <w:rPr>
      <w:i/>
      <w:color w:val="187094" w:themeColor="accent1" w:themeShade="80"/>
      <w:u w:val="none"/>
    </w:rPr>
  </w:style>
  <w:style w:type="character" w:customStyle="1" w:styleId="UnresolvedMention1">
    <w:name w:val="Unresolved Mention1"/>
    <w:basedOn w:val="DefaultParagraphFont"/>
    <w:uiPriority w:val="99"/>
    <w:semiHidden/>
    <w:rsid w:val="00777455"/>
    <w:rPr>
      <w:color w:val="605E5C"/>
      <w:shd w:val="clear" w:color="auto" w:fill="E1DFDD"/>
    </w:rPr>
  </w:style>
  <w:style w:type="character" w:styleId="FollowedHyperlink">
    <w:name w:val="FollowedHyperlink"/>
    <w:basedOn w:val="DefaultParagraphFont"/>
    <w:uiPriority w:val="99"/>
    <w:semiHidden/>
    <w:rsid w:val="008B7816"/>
    <w:rPr>
      <w:color w:val="808080" w:themeColor="background1" w:themeShade="80"/>
      <w:u w:val="none"/>
    </w:rPr>
  </w:style>
  <w:style w:type="character" w:customStyle="1" w:styleId="Mention1">
    <w:name w:val="Mention1"/>
    <w:basedOn w:val="DefaultParagraphFont"/>
    <w:uiPriority w:val="99"/>
    <w:semiHidden/>
    <w:rsid w:val="00147EC2"/>
    <w:rPr>
      <w:color w:val="2B579A"/>
      <w:shd w:val="clear" w:color="auto" w:fill="E1DFDD"/>
    </w:rPr>
  </w:style>
  <w:style w:type="paragraph" w:styleId="EndnoteText">
    <w:name w:val="endnote text"/>
    <w:basedOn w:val="Normal"/>
    <w:link w:val="EndnoteTextChar"/>
    <w:uiPriority w:val="99"/>
    <w:semiHidden/>
    <w:unhideWhenUsed/>
    <w:rsid w:val="00CD2A46"/>
    <w:pPr>
      <w:spacing w:before="0" w:after="0" w:line="240" w:lineRule="auto"/>
    </w:pPr>
  </w:style>
  <w:style w:type="character" w:customStyle="1" w:styleId="EndnoteTextChar">
    <w:name w:val="Endnote Text Char"/>
    <w:basedOn w:val="DefaultParagraphFont"/>
    <w:link w:val="EndnoteText"/>
    <w:uiPriority w:val="99"/>
    <w:semiHidden/>
    <w:rsid w:val="00CD2A46"/>
    <w:rPr>
      <w:sz w:val="20"/>
      <w:szCs w:val="20"/>
    </w:rPr>
  </w:style>
  <w:style w:type="character" w:styleId="EndnoteReference">
    <w:name w:val="endnote reference"/>
    <w:basedOn w:val="DefaultParagraphFont"/>
    <w:uiPriority w:val="99"/>
    <w:semiHidden/>
    <w:unhideWhenUsed/>
    <w:rsid w:val="00CD2A46"/>
    <w:rPr>
      <w:vertAlign w:val="superscript"/>
    </w:rPr>
  </w:style>
  <w:style w:type="paragraph" w:styleId="Revision">
    <w:name w:val="Revision"/>
    <w:hidden/>
    <w:uiPriority w:val="99"/>
    <w:semiHidden/>
    <w:rsid w:val="008B7816"/>
    <w:pPr>
      <w:spacing w:after="0" w:line="240" w:lineRule="auto"/>
    </w:pPr>
  </w:style>
  <w:style w:type="paragraph" w:styleId="Title">
    <w:name w:val="Title"/>
    <w:next w:val="Subtitle"/>
    <w:link w:val="TitleChar"/>
    <w:uiPriority w:val="44"/>
    <w:qFormat/>
    <w:rsid w:val="008B7816"/>
    <w:pPr>
      <w:spacing w:before="400" w:after="240" w:line="264" w:lineRule="auto"/>
      <w:ind w:right="720"/>
    </w:pPr>
    <w:rPr>
      <w:rFonts w:asciiTheme="majorHAnsi" w:eastAsia="Times New Roman" w:hAnsiTheme="majorHAnsi" w:cstheme="majorHAnsi"/>
      <w:color w:val="000000" w:themeColor="text1"/>
      <w:sz w:val="48"/>
      <w:szCs w:val="48"/>
      <w:lang w:eastAsia="en-AU"/>
    </w:rPr>
  </w:style>
  <w:style w:type="character" w:customStyle="1" w:styleId="TitleChar">
    <w:name w:val="Title Char"/>
    <w:basedOn w:val="DefaultParagraphFont"/>
    <w:link w:val="Title"/>
    <w:uiPriority w:val="44"/>
    <w:rsid w:val="008B7816"/>
    <w:rPr>
      <w:rFonts w:asciiTheme="majorHAnsi" w:eastAsia="Times New Roman" w:hAnsiTheme="majorHAnsi" w:cstheme="majorHAnsi"/>
      <w:color w:val="000000" w:themeColor="text1"/>
      <w:sz w:val="48"/>
      <w:szCs w:val="48"/>
      <w:lang w:eastAsia="en-AU"/>
    </w:rPr>
  </w:style>
  <w:style w:type="character" w:customStyle="1" w:styleId="Heading4Char">
    <w:name w:val="Heading 4 Char"/>
    <w:basedOn w:val="DefaultParagraphFont"/>
    <w:link w:val="Heading4"/>
    <w:rsid w:val="008B7816"/>
    <w:rPr>
      <w:rFonts w:asciiTheme="majorHAnsi" w:eastAsiaTheme="majorEastAsia" w:hAnsiTheme="majorHAnsi" w:cstheme="majorBidi"/>
      <w:bCs/>
      <w:iCs/>
      <w:color w:val="1F2A44" w:themeColor="text2"/>
      <w:szCs w:val="21"/>
      <w:lang w:eastAsia="en-AU"/>
    </w:rPr>
  </w:style>
  <w:style w:type="character" w:customStyle="1" w:styleId="Heading5Char">
    <w:name w:val="Heading 5 Char"/>
    <w:basedOn w:val="DefaultParagraphFont"/>
    <w:link w:val="Heading5"/>
    <w:rsid w:val="008B7816"/>
    <w:rPr>
      <w:rFonts w:asciiTheme="majorHAnsi" w:eastAsiaTheme="majorEastAsia" w:hAnsiTheme="majorHAnsi" w:cstheme="majorBidi"/>
      <w:color w:val="1F2A44" w:themeColor="text2"/>
      <w:sz w:val="20"/>
      <w:szCs w:val="20"/>
      <w:lang w:eastAsia="en-AU"/>
    </w:rPr>
  </w:style>
  <w:style w:type="character" w:customStyle="1" w:styleId="Heading6Char">
    <w:name w:val="Heading 6 Char"/>
    <w:basedOn w:val="DefaultParagraphFont"/>
    <w:link w:val="Heading6"/>
    <w:uiPriority w:val="9"/>
    <w:semiHidden/>
    <w:rsid w:val="005B4155"/>
    <w:rPr>
      <w:rFonts w:asciiTheme="majorHAnsi" w:eastAsiaTheme="majorEastAsia" w:hAnsiTheme="majorHAnsi" w:cstheme="majorBidi"/>
      <w:color w:val="186F93" w:themeColor="accent1" w:themeShade="7F"/>
      <w:sz w:val="20"/>
      <w:szCs w:val="20"/>
      <w:lang w:eastAsia="en-AU"/>
    </w:rPr>
  </w:style>
  <w:style w:type="paragraph" w:styleId="TOC1">
    <w:name w:val="toc 1"/>
    <w:basedOn w:val="Normal"/>
    <w:next w:val="Normal"/>
    <w:uiPriority w:val="39"/>
    <w:rsid w:val="008B7816"/>
    <w:pPr>
      <w:pBdr>
        <w:bottom w:val="single" w:sz="12" w:space="4" w:color="auto"/>
        <w:between w:val="single" w:sz="12" w:space="4" w:color="auto"/>
      </w:pBdr>
      <w:tabs>
        <w:tab w:val="right" w:pos="9000"/>
      </w:tabs>
      <w:ind w:right="26"/>
    </w:pPr>
    <w:rPr>
      <w:noProof/>
      <w:sz w:val="24"/>
      <w:szCs w:val="24"/>
    </w:rPr>
  </w:style>
  <w:style w:type="paragraph" w:styleId="TOC2">
    <w:name w:val="toc 2"/>
    <w:next w:val="Normal"/>
    <w:uiPriority w:val="39"/>
    <w:rsid w:val="005B4155"/>
    <w:pPr>
      <w:tabs>
        <w:tab w:val="right" w:pos="9000"/>
      </w:tabs>
      <w:spacing w:after="100" w:line="252" w:lineRule="auto"/>
      <w:ind w:left="446" w:right="432"/>
      <w:contextualSpacing/>
    </w:pPr>
    <w:rPr>
      <w:rFonts w:eastAsiaTheme="minorEastAsia"/>
      <w:noProof/>
      <w:spacing w:val="2"/>
      <w:sz w:val="20"/>
      <w:szCs w:val="20"/>
      <w:lang w:eastAsia="en-AU"/>
    </w:rPr>
  </w:style>
  <w:style w:type="paragraph" w:styleId="TOC3">
    <w:name w:val="toc 3"/>
    <w:basedOn w:val="Normal"/>
    <w:next w:val="Normal"/>
    <w:uiPriority w:val="39"/>
    <w:rsid w:val="008B7816"/>
    <w:pPr>
      <w:tabs>
        <w:tab w:val="left" w:pos="1800"/>
        <w:tab w:val="right" w:pos="9000"/>
      </w:tabs>
      <w:spacing w:before="0"/>
      <w:ind w:left="1800" w:right="432" w:hanging="1350"/>
      <w:contextualSpacing/>
    </w:pPr>
    <w:rPr>
      <w:noProof/>
      <w:sz w:val="18"/>
      <w:szCs w:val="18"/>
    </w:rPr>
  </w:style>
  <w:style w:type="paragraph" w:styleId="TOC4">
    <w:name w:val="toc 4"/>
    <w:basedOn w:val="TOC1"/>
    <w:next w:val="Normal"/>
    <w:uiPriority w:val="39"/>
    <w:rsid w:val="008B7816"/>
    <w:pPr>
      <w:spacing w:before="280"/>
      <w:ind w:left="446" w:right="29" w:hanging="446"/>
    </w:pPr>
    <w:rPr>
      <w:lang w:eastAsia="en-US"/>
    </w:rPr>
  </w:style>
  <w:style w:type="paragraph" w:styleId="TOC5">
    <w:name w:val="toc 5"/>
    <w:basedOn w:val="TOC2"/>
    <w:next w:val="Normal"/>
    <w:uiPriority w:val="39"/>
    <w:rsid w:val="008B7816"/>
    <w:pPr>
      <w:ind w:left="1080" w:hanging="634"/>
    </w:pPr>
    <w:rPr>
      <w:lang w:eastAsia="en-US"/>
    </w:rPr>
  </w:style>
  <w:style w:type="paragraph" w:styleId="TOC6">
    <w:name w:val="toc 6"/>
    <w:basedOn w:val="TOC3"/>
    <w:next w:val="Normal"/>
    <w:uiPriority w:val="39"/>
    <w:rsid w:val="008B7816"/>
    <w:pPr>
      <w:ind w:hanging="720"/>
    </w:pPr>
    <w:rPr>
      <w:lang w:eastAsia="en-US"/>
    </w:rPr>
  </w:style>
  <w:style w:type="paragraph" w:styleId="TOC7">
    <w:name w:val="toc 7"/>
    <w:basedOn w:val="Normal"/>
    <w:next w:val="Normal"/>
    <w:autoRedefine/>
    <w:uiPriority w:val="39"/>
    <w:unhideWhenUsed/>
    <w:rsid w:val="00A47657"/>
    <w:pPr>
      <w:spacing w:before="0" w:after="0"/>
      <w:ind w:left="1100"/>
    </w:pPr>
    <w:rPr>
      <w:rFonts w:cstheme="minorHAnsi"/>
    </w:rPr>
  </w:style>
  <w:style w:type="paragraph" w:styleId="TOC8">
    <w:name w:val="toc 8"/>
    <w:basedOn w:val="Normal"/>
    <w:next w:val="Normal"/>
    <w:autoRedefine/>
    <w:uiPriority w:val="39"/>
    <w:unhideWhenUsed/>
    <w:rsid w:val="00A47657"/>
    <w:pPr>
      <w:spacing w:before="0" w:after="0"/>
      <w:ind w:left="1320"/>
    </w:pPr>
    <w:rPr>
      <w:rFonts w:cstheme="minorHAnsi"/>
    </w:rPr>
  </w:style>
  <w:style w:type="paragraph" w:styleId="TOC9">
    <w:name w:val="toc 9"/>
    <w:basedOn w:val="Normal"/>
    <w:next w:val="Normal"/>
    <w:autoRedefine/>
    <w:uiPriority w:val="39"/>
    <w:unhideWhenUsed/>
    <w:rsid w:val="00A47657"/>
    <w:pPr>
      <w:spacing w:before="0" w:after="0"/>
      <w:ind w:left="1540"/>
    </w:pPr>
    <w:rPr>
      <w:rFonts w:cstheme="minorHAnsi"/>
    </w:rPr>
  </w:style>
  <w:style w:type="table" w:customStyle="1" w:styleId="TableGrid1">
    <w:name w:val="Table Grid1"/>
    <w:basedOn w:val="TableNormal"/>
    <w:next w:val="TableGrid"/>
    <w:uiPriority w:val="59"/>
    <w:rsid w:val="00B153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13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uiPriority w:val="5"/>
    <w:qFormat/>
    <w:rsid w:val="008B7816"/>
    <w:pPr>
      <w:spacing w:before="60" w:after="60"/>
    </w:pPr>
    <w:rPr>
      <w:sz w:val="18"/>
    </w:rPr>
  </w:style>
  <w:style w:type="table" w:customStyle="1" w:styleId="TableGrid3">
    <w:name w:val="Table Grid3"/>
    <w:basedOn w:val="TableNormal"/>
    <w:next w:val="TableGrid"/>
    <w:uiPriority w:val="59"/>
    <w:rsid w:val="00595D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B229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link w:val="Bullet1Char"/>
    <w:uiPriority w:val="1"/>
    <w:qFormat/>
    <w:rsid w:val="00F66783"/>
    <w:pPr>
      <w:keepLines/>
      <w:numPr>
        <w:numId w:val="6"/>
      </w:numPr>
      <w:spacing w:before="100" w:after="100" w:line="252" w:lineRule="auto"/>
      <w:contextualSpacing/>
    </w:pPr>
    <w:rPr>
      <w:rFonts w:eastAsia="Times New Roman" w:cs="Calibri"/>
      <w:color w:val="000000" w:themeColor="text1"/>
      <w:sz w:val="20"/>
      <w:szCs w:val="20"/>
      <w:lang w:eastAsia="en-AU"/>
    </w:rPr>
  </w:style>
  <w:style w:type="paragraph" w:customStyle="1" w:styleId="Bullet2">
    <w:name w:val="Bullet 2"/>
    <w:basedOn w:val="Bullet1"/>
    <w:uiPriority w:val="1"/>
    <w:qFormat/>
    <w:rsid w:val="008B7816"/>
    <w:pPr>
      <w:numPr>
        <w:ilvl w:val="1"/>
      </w:numPr>
    </w:pPr>
  </w:style>
  <w:style w:type="paragraph" w:customStyle="1" w:styleId="Bulletindent">
    <w:name w:val="Bullet indent"/>
    <w:basedOn w:val="Bullet2"/>
    <w:uiPriority w:val="9"/>
    <w:qFormat/>
    <w:rsid w:val="008B7816"/>
    <w:pPr>
      <w:numPr>
        <w:ilvl w:val="2"/>
      </w:numPr>
    </w:pPr>
  </w:style>
  <w:style w:type="paragraph" w:customStyle="1" w:styleId="Bulletindent2">
    <w:name w:val="Bullet indent 2"/>
    <w:basedOn w:val="Normal"/>
    <w:uiPriority w:val="9"/>
    <w:qFormat/>
    <w:rsid w:val="008B7816"/>
    <w:pPr>
      <w:numPr>
        <w:ilvl w:val="3"/>
        <w:numId w:val="6"/>
      </w:numPr>
      <w:spacing w:before="100"/>
      <w:contextualSpacing/>
    </w:pPr>
  </w:style>
  <w:style w:type="character" w:customStyle="1" w:styleId="Bullet1Char">
    <w:name w:val="Bullet 1 Char"/>
    <w:basedOn w:val="DefaultParagraphFont"/>
    <w:link w:val="Bullet1"/>
    <w:uiPriority w:val="1"/>
    <w:rsid w:val="00F66783"/>
    <w:rPr>
      <w:rFonts w:eastAsia="Times New Roman" w:cs="Calibri"/>
      <w:color w:val="000000" w:themeColor="text1"/>
      <w:sz w:val="20"/>
      <w:szCs w:val="20"/>
      <w:lang w:eastAsia="en-AU"/>
    </w:rPr>
  </w:style>
  <w:style w:type="paragraph" w:styleId="Caption">
    <w:name w:val="caption"/>
    <w:basedOn w:val="Normal"/>
    <w:next w:val="Normal"/>
    <w:uiPriority w:val="5"/>
    <w:rsid w:val="00AA4CE7"/>
    <w:pPr>
      <w:keepNext/>
      <w:spacing w:before="200" w:after="60" w:line="240" w:lineRule="auto"/>
    </w:pPr>
    <w:rPr>
      <w:b/>
      <w:bCs/>
      <w:sz w:val="18"/>
      <w:szCs w:val="18"/>
    </w:rPr>
  </w:style>
  <w:style w:type="paragraph" w:customStyle="1" w:styleId="Tablebullet">
    <w:name w:val="Table bullet"/>
    <w:basedOn w:val="Tabletext"/>
    <w:uiPriority w:val="6"/>
    <w:rsid w:val="008B7816"/>
    <w:pPr>
      <w:numPr>
        <w:numId w:val="19"/>
      </w:numPr>
    </w:pPr>
  </w:style>
  <w:style w:type="character" w:styleId="Mention">
    <w:name w:val="Mention"/>
    <w:basedOn w:val="DefaultParagraphFont"/>
    <w:uiPriority w:val="99"/>
    <w:semiHidden/>
    <w:rsid w:val="008C7320"/>
    <w:rPr>
      <w:color w:val="2B579A"/>
      <w:shd w:val="clear" w:color="auto" w:fill="E6E6E6"/>
    </w:rPr>
  </w:style>
  <w:style w:type="table" w:styleId="GridTable4-Accent1">
    <w:name w:val="Grid Table 4 Accent 1"/>
    <w:basedOn w:val="TableNormal"/>
    <w:uiPriority w:val="49"/>
    <w:rsid w:val="005C13B3"/>
    <w:pPr>
      <w:spacing w:after="0" w:line="240" w:lineRule="auto"/>
    </w:pPr>
    <w:tblPr>
      <w:tblStyleRowBandSize w:val="1"/>
      <w:tblStyleColBandSize w:val="1"/>
      <w:tblBorders>
        <w:top w:val="single" w:sz="4" w:space="0" w:color="A9DCF1" w:themeColor="accent1" w:themeTint="99"/>
        <w:left w:val="single" w:sz="4" w:space="0" w:color="A9DCF1" w:themeColor="accent1" w:themeTint="99"/>
        <w:bottom w:val="single" w:sz="4" w:space="0" w:color="A9DCF1" w:themeColor="accent1" w:themeTint="99"/>
        <w:right w:val="single" w:sz="4" w:space="0" w:color="A9DCF1" w:themeColor="accent1" w:themeTint="99"/>
        <w:insideH w:val="single" w:sz="4" w:space="0" w:color="A9DCF1" w:themeColor="accent1" w:themeTint="99"/>
        <w:insideV w:val="single" w:sz="4" w:space="0" w:color="A9DCF1" w:themeColor="accent1" w:themeTint="99"/>
      </w:tblBorders>
    </w:tblPr>
    <w:tblStylePr w:type="firstRow">
      <w:rPr>
        <w:b/>
        <w:bCs/>
        <w:color w:val="FFFFFF" w:themeColor="background1"/>
      </w:rPr>
      <w:tblPr/>
      <w:tcPr>
        <w:tcBorders>
          <w:top w:val="single" w:sz="4" w:space="0" w:color="71C5E8" w:themeColor="accent1"/>
          <w:left w:val="single" w:sz="4" w:space="0" w:color="71C5E8" w:themeColor="accent1"/>
          <w:bottom w:val="single" w:sz="4" w:space="0" w:color="71C5E8" w:themeColor="accent1"/>
          <w:right w:val="single" w:sz="4" w:space="0" w:color="71C5E8" w:themeColor="accent1"/>
          <w:insideH w:val="nil"/>
          <w:insideV w:val="nil"/>
        </w:tcBorders>
        <w:shd w:val="clear" w:color="auto" w:fill="71C5E8" w:themeFill="accent1"/>
      </w:tcPr>
    </w:tblStylePr>
    <w:tblStylePr w:type="lastRow">
      <w:rPr>
        <w:b/>
        <w:bCs/>
      </w:rPr>
      <w:tblPr/>
      <w:tcPr>
        <w:tcBorders>
          <w:top w:val="double" w:sz="4" w:space="0" w:color="71C5E8" w:themeColor="accent1"/>
        </w:tcBorders>
      </w:tcPr>
    </w:tblStylePr>
    <w:tblStylePr w:type="firstCol">
      <w:rPr>
        <w:b/>
        <w:bCs/>
      </w:rPr>
    </w:tblStylePr>
    <w:tblStylePr w:type="lastCol">
      <w:rPr>
        <w:b/>
        <w:bCs/>
      </w:rPr>
    </w:tblStylePr>
    <w:tblStylePr w:type="band1Vert">
      <w:tblPr/>
      <w:tcPr>
        <w:shd w:val="clear" w:color="auto" w:fill="E2F3FA" w:themeFill="accent1" w:themeFillTint="33"/>
      </w:tcPr>
    </w:tblStylePr>
    <w:tblStylePr w:type="band1Horz">
      <w:tblPr/>
      <w:tcPr>
        <w:shd w:val="clear" w:color="auto" w:fill="E2F3FA" w:themeFill="accent1" w:themeFillTint="33"/>
      </w:tcPr>
    </w:tblStylePr>
  </w:style>
  <w:style w:type="table" w:styleId="GridTable4-Accent5">
    <w:name w:val="Grid Table 4 Accent 5"/>
    <w:basedOn w:val="TableNormal"/>
    <w:uiPriority w:val="49"/>
    <w:rsid w:val="007437BB"/>
    <w:pPr>
      <w:spacing w:after="0" w:line="240" w:lineRule="auto"/>
    </w:pPr>
    <w:tblPr>
      <w:tblStyleRowBandSize w:val="1"/>
      <w:tblStyleColBandSize w:val="1"/>
      <w:tblBorders>
        <w:top w:val="single" w:sz="4" w:space="0" w:color="C0E5F5" w:themeColor="accent5" w:themeTint="99"/>
        <w:left w:val="single" w:sz="4" w:space="0" w:color="C0E5F5" w:themeColor="accent5" w:themeTint="99"/>
        <w:bottom w:val="single" w:sz="4" w:space="0" w:color="C0E5F5" w:themeColor="accent5" w:themeTint="99"/>
        <w:right w:val="single" w:sz="4" w:space="0" w:color="C0E5F5" w:themeColor="accent5" w:themeTint="99"/>
        <w:insideH w:val="single" w:sz="4" w:space="0" w:color="C0E5F5" w:themeColor="accent5" w:themeTint="99"/>
        <w:insideV w:val="single" w:sz="4" w:space="0" w:color="C0E5F5" w:themeColor="accent5" w:themeTint="99"/>
      </w:tblBorders>
    </w:tblPr>
    <w:tblStylePr w:type="firstRow">
      <w:rPr>
        <w:b/>
        <w:bCs/>
        <w:color w:val="FFFFFF" w:themeColor="background1"/>
      </w:rPr>
      <w:tblPr/>
      <w:tcPr>
        <w:tcBorders>
          <w:top w:val="single" w:sz="4" w:space="0" w:color="98D5EF" w:themeColor="accent5"/>
          <w:left w:val="single" w:sz="4" w:space="0" w:color="98D5EF" w:themeColor="accent5"/>
          <w:bottom w:val="single" w:sz="4" w:space="0" w:color="98D5EF" w:themeColor="accent5"/>
          <w:right w:val="single" w:sz="4" w:space="0" w:color="98D5EF" w:themeColor="accent5"/>
          <w:insideH w:val="nil"/>
          <w:insideV w:val="nil"/>
        </w:tcBorders>
        <w:shd w:val="clear" w:color="auto" w:fill="98D5EF" w:themeFill="accent5"/>
      </w:tcPr>
    </w:tblStylePr>
    <w:tblStylePr w:type="lastRow">
      <w:rPr>
        <w:b/>
        <w:bCs/>
      </w:rPr>
      <w:tblPr/>
      <w:tcPr>
        <w:tcBorders>
          <w:top w:val="double" w:sz="4" w:space="0" w:color="98D5EF" w:themeColor="accent5"/>
        </w:tcBorders>
      </w:tcPr>
    </w:tblStylePr>
    <w:tblStylePr w:type="firstCol">
      <w:rPr>
        <w:b/>
        <w:bCs/>
      </w:rPr>
    </w:tblStylePr>
    <w:tblStylePr w:type="lastCol">
      <w:rPr>
        <w:b/>
        <w:bCs/>
      </w:rPr>
    </w:tblStylePr>
    <w:tblStylePr w:type="band1Vert">
      <w:tblPr/>
      <w:tcPr>
        <w:shd w:val="clear" w:color="auto" w:fill="EAF6FB" w:themeFill="accent5" w:themeFillTint="33"/>
      </w:tcPr>
    </w:tblStylePr>
    <w:tblStylePr w:type="band1Horz">
      <w:tblPr/>
      <w:tcPr>
        <w:shd w:val="clear" w:color="auto" w:fill="EAF6FB" w:themeFill="accent5" w:themeFillTint="33"/>
      </w:tcPr>
    </w:tblStylePr>
  </w:style>
  <w:style w:type="paragraph" w:customStyle="1" w:styleId="Tabletextbold">
    <w:name w:val="Table text bold"/>
    <w:basedOn w:val="Tabletext"/>
    <w:uiPriority w:val="5"/>
    <w:qFormat/>
    <w:rsid w:val="005B4155"/>
    <w:rPr>
      <w:rFonts w:asciiTheme="majorHAnsi" w:hAnsiTheme="majorHAnsi"/>
      <w:spacing w:val="2"/>
    </w:rPr>
  </w:style>
  <w:style w:type="character" w:styleId="UnresolvedMention">
    <w:name w:val="Unresolved Mention"/>
    <w:basedOn w:val="DefaultParagraphFont"/>
    <w:uiPriority w:val="99"/>
    <w:unhideWhenUsed/>
    <w:rsid w:val="008B7816"/>
    <w:rPr>
      <w:color w:val="605E5C"/>
      <w:shd w:val="clear" w:color="auto" w:fill="E1DFDD"/>
    </w:rPr>
  </w:style>
  <w:style w:type="paragraph" w:styleId="Subtitle">
    <w:name w:val="Subtitle"/>
    <w:next w:val="Normal"/>
    <w:link w:val="SubtitleChar"/>
    <w:uiPriority w:val="45"/>
    <w:rsid w:val="008B7816"/>
    <w:pPr>
      <w:spacing w:before="400" w:after="0" w:line="440" w:lineRule="exact"/>
      <w:ind w:right="2995"/>
    </w:pPr>
    <w:rPr>
      <w:rFonts w:asciiTheme="majorHAnsi" w:eastAsia="Times New Roman" w:hAnsiTheme="majorHAnsi" w:cstheme="majorHAnsi"/>
      <w:sz w:val="32"/>
      <w:szCs w:val="32"/>
      <w:lang w:eastAsia="en-AU"/>
    </w:rPr>
  </w:style>
  <w:style w:type="character" w:customStyle="1" w:styleId="SubtitleChar">
    <w:name w:val="Subtitle Char"/>
    <w:basedOn w:val="DefaultParagraphFont"/>
    <w:link w:val="Subtitle"/>
    <w:uiPriority w:val="45"/>
    <w:rsid w:val="008B7816"/>
    <w:rPr>
      <w:rFonts w:asciiTheme="majorHAnsi" w:eastAsia="Times New Roman" w:hAnsiTheme="majorHAnsi" w:cstheme="majorHAnsi"/>
      <w:sz w:val="32"/>
      <w:szCs w:val="32"/>
      <w:lang w:eastAsia="en-AU"/>
    </w:rPr>
  </w:style>
  <w:style w:type="paragraph" w:styleId="IntenseQuote">
    <w:name w:val="Intense Quote"/>
    <w:aliases w:val="Quotation"/>
    <w:basedOn w:val="Normal"/>
    <w:next w:val="Normal"/>
    <w:link w:val="IntenseQuoteChar"/>
    <w:uiPriority w:val="30"/>
    <w:semiHidden/>
    <w:qFormat/>
    <w:rsid w:val="008B7816"/>
    <w:pPr>
      <w:pBdr>
        <w:top w:val="single" w:sz="4" w:space="10" w:color="00B2A9" w:themeColor="accent2"/>
        <w:bottom w:val="single" w:sz="4" w:space="10" w:color="00B2A9" w:themeColor="accent2"/>
      </w:pBdr>
      <w:spacing w:before="360" w:after="360"/>
      <w:ind w:left="864" w:right="864"/>
      <w:jc w:val="center"/>
    </w:pPr>
    <w:rPr>
      <w:i/>
      <w:iCs/>
      <w:color w:val="00B2A9" w:themeColor="accent2"/>
    </w:rPr>
  </w:style>
  <w:style w:type="character" w:customStyle="1" w:styleId="IntenseQuoteChar">
    <w:name w:val="Intense Quote Char"/>
    <w:aliases w:val="Quotation Char"/>
    <w:basedOn w:val="DefaultParagraphFont"/>
    <w:link w:val="IntenseQuote"/>
    <w:uiPriority w:val="30"/>
    <w:semiHidden/>
    <w:rsid w:val="00AC32DF"/>
    <w:rPr>
      <w:rFonts w:eastAsiaTheme="minorEastAsia"/>
      <w:i/>
      <w:iCs/>
      <w:color w:val="00B2A9" w:themeColor="accent2"/>
      <w:sz w:val="20"/>
      <w:szCs w:val="20"/>
      <w:lang w:eastAsia="en-AU"/>
    </w:rPr>
  </w:style>
  <w:style w:type="character" w:styleId="Strong">
    <w:name w:val="Strong"/>
    <w:aliases w:val="Table heading"/>
    <w:basedOn w:val="DefaultParagraphFont"/>
    <w:uiPriority w:val="22"/>
    <w:semiHidden/>
    <w:qFormat/>
    <w:rsid w:val="008B7816"/>
    <w:rPr>
      <w:b/>
      <w:bCs/>
    </w:rPr>
  </w:style>
  <w:style w:type="table" w:styleId="ListTable3-Accent1">
    <w:name w:val="List Table 3 Accent 1"/>
    <w:basedOn w:val="TableNormal"/>
    <w:uiPriority w:val="48"/>
    <w:rsid w:val="008B7816"/>
    <w:pPr>
      <w:spacing w:after="0" w:line="240" w:lineRule="auto"/>
    </w:pPr>
    <w:tblPr>
      <w:tblStyleRowBandSize w:val="1"/>
      <w:tblStyleColBandSize w:val="1"/>
      <w:tblBorders>
        <w:top w:val="single" w:sz="4" w:space="0" w:color="71C5E8" w:themeColor="accent1"/>
        <w:left w:val="single" w:sz="4" w:space="0" w:color="71C5E8" w:themeColor="accent1"/>
        <w:bottom w:val="single" w:sz="4" w:space="0" w:color="71C5E8" w:themeColor="accent1"/>
        <w:right w:val="single" w:sz="4" w:space="0" w:color="71C5E8" w:themeColor="accent1"/>
      </w:tblBorders>
    </w:tblPr>
    <w:tblStylePr w:type="firstRow">
      <w:rPr>
        <w:b/>
        <w:bCs/>
        <w:color w:val="FFFFFF" w:themeColor="background1"/>
      </w:rPr>
      <w:tblPr/>
      <w:tcPr>
        <w:shd w:val="clear" w:color="auto" w:fill="71C5E8" w:themeFill="accent1"/>
      </w:tcPr>
    </w:tblStylePr>
    <w:tblStylePr w:type="lastRow">
      <w:rPr>
        <w:b/>
        <w:bCs/>
      </w:rPr>
      <w:tblPr/>
      <w:tcPr>
        <w:tcBorders>
          <w:top w:val="double" w:sz="4" w:space="0" w:color="71C5E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C5E8" w:themeColor="accent1"/>
          <w:right w:val="single" w:sz="4" w:space="0" w:color="71C5E8" w:themeColor="accent1"/>
        </w:tcBorders>
      </w:tcPr>
    </w:tblStylePr>
    <w:tblStylePr w:type="band1Horz">
      <w:tblPr/>
      <w:tcPr>
        <w:tcBorders>
          <w:top w:val="single" w:sz="4" w:space="0" w:color="71C5E8" w:themeColor="accent1"/>
          <w:bottom w:val="single" w:sz="4" w:space="0" w:color="71C5E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C5E8" w:themeColor="accent1"/>
          <w:left w:val="nil"/>
        </w:tcBorders>
      </w:tcPr>
    </w:tblStylePr>
    <w:tblStylePr w:type="swCell">
      <w:tblPr/>
      <w:tcPr>
        <w:tcBorders>
          <w:top w:val="double" w:sz="4" w:space="0" w:color="71C5E8" w:themeColor="accent1"/>
          <w:right w:val="nil"/>
        </w:tcBorders>
      </w:tcPr>
    </w:tblStylePr>
  </w:style>
  <w:style w:type="paragraph" w:styleId="NoSpacing">
    <w:name w:val="No Spacing"/>
    <w:uiPriority w:val="1"/>
    <w:qFormat/>
    <w:rsid w:val="008B7816"/>
    <w:pPr>
      <w:spacing w:after="0" w:line="240" w:lineRule="auto"/>
    </w:pPr>
  </w:style>
  <w:style w:type="paragraph" w:customStyle="1" w:styleId="Heading1numbered">
    <w:name w:val="Heading 1 numbered"/>
    <w:basedOn w:val="Heading1"/>
    <w:next w:val="NormalIndent"/>
    <w:link w:val="Heading1numberedChar"/>
    <w:uiPriority w:val="8"/>
    <w:qFormat/>
    <w:rsid w:val="00AC32DF"/>
    <w:pPr>
      <w:numPr>
        <w:ilvl w:val="2"/>
        <w:numId w:val="17"/>
      </w:numPr>
    </w:pPr>
    <w:rPr>
      <w:color w:val="26A6DC" w:themeColor="accent1" w:themeShade="BF"/>
    </w:rPr>
  </w:style>
  <w:style w:type="paragraph" w:customStyle="1" w:styleId="Heading2numbered">
    <w:name w:val="Heading 2 numbered"/>
    <w:basedOn w:val="Heading2"/>
    <w:next w:val="NormalIndent"/>
    <w:link w:val="Heading2numberedChar"/>
    <w:uiPriority w:val="8"/>
    <w:qFormat/>
    <w:rsid w:val="008B7816"/>
    <w:pPr>
      <w:numPr>
        <w:ilvl w:val="3"/>
        <w:numId w:val="17"/>
      </w:numPr>
    </w:pPr>
  </w:style>
  <w:style w:type="character" w:customStyle="1" w:styleId="Heading1numberedChar">
    <w:name w:val="Heading 1 numbered Char"/>
    <w:basedOn w:val="Heading1Char"/>
    <w:link w:val="Heading1numbered"/>
    <w:uiPriority w:val="8"/>
    <w:rsid w:val="00AC32DF"/>
    <w:rPr>
      <w:rFonts w:asciiTheme="majorHAnsi" w:eastAsiaTheme="majorEastAsia" w:hAnsiTheme="majorHAnsi" w:cstheme="majorBidi"/>
      <w:bCs/>
      <w:color w:val="26A6DC" w:themeColor="accent1" w:themeShade="BF"/>
      <w:sz w:val="36"/>
      <w:szCs w:val="28"/>
      <w:lang w:eastAsia="en-AU"/>
    </w:rPr>
  </w:style>
  <w:style w:type="paragraph" w:customStyle="1" w:styleId="Heading3numbered">
    <w:name w:val="Heading 3 numbered"/>
    <w:basedOn w:val="Heading3"/>
    <w:next w:val="NormalIndent"/>
    <w:link w:val="Heading3numberedChar"/>
    <w:uiPriority w:val="8"/>
    <w:qFormat/>
    <w:rsid w:val="008B7816"/>
    <w:pPr>
      <w:numPr>
        <w:ilvl w:val="4"/>
        <w:numId w:val="17"/>
      </w:numPr>
    </w:pPr>
  </w:style>
  <w:style w:type="character" w:customStyle="1" w:styleId="Heading2numberedChar">
    <w:name w:val="Heading 2 numbered Char"/>
    <w:basedOn w:val="Heading2Char"/>
    <w:link w:val="Heading2numbered"/>
    <w:uiPriority w:val="8"/>
    <w:rsid w:val="008B7816"/>
    <w:rPr>
      <w:rFonts w:asciiTheme="majorHAnsi" w:eastAsiaTheme="majorEastAsia" w:hAnsiTheme="majorHAnsi" w:cstheme="majorBidi"/>
      <w:bCs/>
      <w:color w:val="1F2A44" w:themeColor="text2"/>
      <w:sz w:val="28"/>
      <w:szCs w:val="26"/>
      <w:lang w:eastAsia="en-AU"/>
    </w:rPr>
  </w:style>
  <w:style w:type="table" w:customStyle="1" w:styleId="Financialtable">
    <w:name w:val="Financial table"/>
    <w:basedOn w:val="TableNormal"/>
    <w:uiPriority w:val="99"/>
    <w:rsid w:val="008B7816"/>
    <w:pPr>
      <w:spacing w:before="30" w:after="30" w:line="264" w:lineRule="auto"/>
      <w:jc w:val="right"/>
    </w:pPr>
    <w:rPr>
      <w:spacing w:val="2"/>
      <w:sz w:val="17"/>
      <w:szCs w:val="21"/>
    </w:rPr>
    <w:tblPr>
      <w:tblStyleRowBandSize w:val="1"/>
      <w:tblStyleColBandSize w:val="1"/>
      <w:tblBorders>
        <w:bottom w:val="single" w:sz="12" w:space="0" w:color="A6A6A6" w:themeColor="background1" w:themeShade="A6"/>
      </w:tblBorders>
      <w:tblCellMar>
        <w:left w:w="57" w:type="dxa"/>
        <w:right w:w="57" w:type="dxa"/>
      </w:tblCellMar>
    </w:tblPr>
    <w:tblStylePr w:type="firstRow">
      <w:pPr>
        <w:keepNext/>
        <w:keepLines/>
        <w:widowControl/>
        <w:wordWrap/>
        <w:spacing w:beforeLines="0" w:before="120" w:beforeAutospacing="0" w:afterLines="0" w:after="30" w:afterAutospacing="0"/>
        <w:jc w:val="right"/>
      </w:pPr>
      <w:rPr>
        <w:b/>
        <w:i w:val="0"/>
        <w:color w:val="FFFFFF" w:themeColor="background1"/>
        <w:sz w:val="18"/>
      </w:rPr>
      <w:tblPr/>
      <w:tcPr>
        <w:shd w:val="clear" w:color="auto" w:fill="71C5E8" w:themeFill="accent1"/>
      </w:tcPr>
    </w:tblStylePr>
    <w:tblStylePr w:type="lastRow">
      <w:rPr>
        <w:b/>
      </w:rPr>
      <w:tblPr/>
      <w:tcPr>
        <w:tcBorders>
          <w:top w:val="single" w:sz="6" w:space="0" w:color="71C5E8" w:themeColor="accent1"/>
          <w:left w:val="nil"/>
          <w:bottom w:val="single" w:sz="12" w:space="0" w:color="71C5E8" w:themeColor="accent1"/>
          <w:right w:val="nil"/>
          <w:insideV w:val="nil"/>
        </w:tcBorders>
      </w:tcPr>
    </w:tblStylePr>
    <w:tblStylePr w:type="firstCol">
      <w:pPr>
        <w:jc w:val="left"/>
      </w:p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character" w:customStyle="1" w:styleId="Heading3numberedChar">
    <w:name w:val="Heading 3 numbered Char"/>
    <w:basedOn w:val="Heading3Char"/>
    <w:link w:val="Heading3numbered"/>
    <w:uiPriority w:val="8"/>
    <w:rsid w:val="008B7816"/>
    <w:rPr>
      <w:rFonts w:asciiTheme="majorHAnsi" w:eastAsiaTheme="majorEastAsia" w:hAnsiTheme="majorHAnsi" w:cstheme="majorBidi"/>
      <w:bCs/>
      <w:color w:val="1F2A44" w:themeColor="text2"/>
      <w:sz w:val="24"/>
      <w:szCs w:val="24"/>
      <w:lang w:eastAsia="en-AU"/>
    </w:rPr>
  </w:style>
  <w:style w:type="paragraph" w:customStyle="1" w:styleId="Sub-principle">
    <w:name w:val="Sub-principle"/>
    <w:basedOn w:val="Principle"/>
    <w:qFormat/>
    <w:rsid w:val="008B7816"/>
    <w:pPr>
      <w:keepNext w:val="0"/>
      <w:pageBreakBefore w:val="0"/>
      <w:numPr>
        <w:ilvl w:val="1"/>
      </w:numPr>
      <w:spacing w:before="60" w:after="60"/>
      <w:contextualSpacing w:val="0"/>
    </w:pPr>
    <w:rPr>
      <w:b w:val="0"/>
      <w:bCs w:val="0"/>
      <w:spacing w:val="2"/>
      <w:sz w:val="18"/>
      <w:szCs w:val="18"/>
    </w:rPr>
  </w:style>
  <w:style w:type="table" w:customStyle="1" w:styleId="Financialtableindent">
    <w:name w:val="Financial table indent"/>
    <w:basedOn w:val="Financialtable"/>
    <w:uiPriority w:val="99"/>
    <w:rsid w:val="008B7816"/>
    <w:pPr>
      <w:spacing w:after="0" w:line="240" w:lineRule="auto"/>
    </w:pPr>
    <w:tblPr>
      <w:tblInd w:w="864" w:type="dxa"/>
    </w:tblPr>
    <w:tblStylePr w:type="firstRow">
      <w:pPr>
        <w:keepNext/>
        <w:keepLines/>
        <w:widowControl/>
        <w:wordWrap/>
        <w:spacing w:beforeLines="0" w:before="120" w:beforeAutospacing="0" w:afterLines="0" w:after="30" w:afterAutospacing="0"/>
        <w:jc w:val="right"/>
      </w:pPr>
      <w:rPr>
        <w:b/>
        <w:i w:val="0"/>
        <w:color w:val="FFFFFF" w:themeColor="background1"/>
        <w:sz w:val="18"/>
      </w:rPr>
      <w:tblPr/>
      <w:tcPr>
        <w:shd w:val="clear" w:color="auto" w:fill="71C5E8" w:themeFill="accent1"/>
      </w:tcPr>
    </w:tblStylePr>
    <w:tblStylePr w:type="lastRow">
      <w:rPr>
        <w:b/>
      </w:rPr>
      <w:tblPr/>
      <w:tcPr>
        <w:tcBorders>
          <w:top w:val="single" w:sz="6" w:space="0" w:color="71C5E8" w:themeColor="accent1"/>
          <w:left w:val="nil"/>
          <w:bottom w:val="single" w:sz="12" w:space="0" w:color="71C5E8" w:themeColor="accent1"/>
          <w:right w:val="nil"/>
          <w:insideV w:val="nil"/>
        </w:tcBorders>
      </w:tcPr>
    </w:tblStylePr>
    <w:tblStylePr w:type="firstCol">
      <w:pPr>
        <w:jc w:val="left"/>
      </w:p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paragraph" w:customStyle="1" w:styleId="Principle">
    <w:name w:val="Principle"/>
    <w:basedOn w:val="Normal"/>
    <w:qFormat/>
    <w:rsid w:val="008B7816"/>
    <w:pPr>
      <w:keepNext/>
      <w:pageBreakBefore/>
      <w:numPr>
        <w:numId w:val="16"/>
      </w:numPr>
      <w:ind w:right="115"/>
      <w:contextualSpacing/>
      <w:outlineLvl w:val="2"/>
    </w:pPr>
    <w:rPr>
      <w:rFonts w:ascii="VIC" w:hAnsi="VIC" w:cstheme="majorBidi"/>
      <w:b/>
      <w:bCs/>
      <w:sz w:val="24"/>
      <w:szCs w:val="22"/>
    </w:rPr>
  </w:style>
  <w:style w:type="table" w:styleId="TableGridLight">
    <w:name w:val="Grid Table Light"/>
    <w:basedOn w:val="TableNormal"/>
    <w:uiPriority w:val="40"/>
    <w:rsid w:val="008B781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
    <w:name w:val="Body Text"/>
    <w:basedOn w:val="Normal"/>
    <w:link w:val="BodyTextChar"/>
    <w:uiPriority w:val="49"/>
    <w:semiHidden/>
    <w:rsid w:val="008B7816"/>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49"/>
    <w:semiHidden/>
    <w:rsid w:val="008B7816"/>
    <w:rPr>
      <w:rFonts w:ascii="Calibri" w:eastAsia="Times New Roman" w:hAnsi="Calibri" w:cs="Calibri"/>
      <w:color w:val="000000" w:themeColor="text1"/>
      <w:lang w:eastAsia="en-AU"/>
    </w:rPr>
  </w:style>
  <w:style w:type="paragraph" w:customStyle="1" w:styleId="Captionindent">
    <w:name w:val="Caption indent"/>
    <w:basedOn w:val="Caption"/>
    <w:uiPriority w:val="7"/>
    <w:qFormat/>
    <w:rsid w:val="008B7816"/>
  </w:style>
  <w:style w:type="paragraph" w:customStyle="1" w:styleId="CM">
    <w:name w:val="CM"/>
    <w:next w:val="Title"/>
    <w:uiPriority w:val="79"/>
    <w:semiHidden/>
    <w:rsid w:val="008B7816"/>
    <w:pPr>
      <w:spacing w:after="2200" w:line="240" w:lineRule="auto"/>
      <w:ind w:right="2909"/>
      <w:jc w:val="right"/>
    </w:pPr>
    <w:rPr>
      <w:rFonts w:eastAsiaTheme="minorEastAsia"/>
      <w:caps/>
      <w:sz w:val="20"/>
      <w:szCs w:val="20"/>
      <w:lang w:eastAsia="en-AU"/>
    </w:rPr>
  </w:style>
  <w:style w:type="paragraph" w:customStyle="1" w:styleId="CoverSpacer">
    <w:name w:val="CoverSpacer"/>
    <w:basedOn w:val="Normal"/>
    <w:semiHidden/>
    <w:qFormat/>
    <w:rsid w:val="008B7816"/>
    <w:pPr>
      <w:spacing w:before="4600" w:after="0"/>
    </w:pPr>
  </w:style>
  <w:style w:type="paragraph" w:styleId="NormalIndent">
    <w:name w:val="Normal Indent"/>
    <w:basedOn w:val="Normal"/>
    <w:uiPriority w:val="9"/>
    <w:qFormat/>
    <w:rsid w:val="00251BB9"/>
    <w:pPr>
      <w:ind w:left="360"/>
    </w:pPr>
  </w:style>
  <w:style w:type="paragraph" w:styleId="Index1">
    <w:name w:val="index 1"/>
    <w:basedOn w:val="Normal"/>
    <w:next w:val="Normal"/>
    <w:uiPriority w:val="99"/>
    <w:semiHidden/>
    <w:rsid w:val="008B7816"/>
    <w:pPr>
      <w:spacing w:after="60" w:line="240" w:lineRule="auto"/>
    </w:pPr>
    <w:rPr>
      <w:sz w:val="16"/>
    </w:rPr>
  </w:style>
  <w:style w:type="paragraph" w:styleId="Index2">
    <w:name w:val="index 2"/>
    <w:basedOn w:val="Normal"/>
    <w:next w:val="Normal"/>
    <w:uiPriority w:val="99"/>
    <w:semiHidden/>
    <w:rsid w:val="008B7816"/>
    <w:pPr>
      <w:spacing w:after="0" w:line="240" w:lineRule="auto"/>
      <w:ind w:left="216"/>
    </w:pPr>
    <w:rPr>
      <w:sz w:val="16"/>
      <w:szCs w:val="16"/>
    </w:rPr>
  </w:style>
  <w:style w:type="paragraph" w:styleId="IndexHeading">
    <w:name w:val="index heading"/>
    <w:basedOn w:val="Normal"/>
    <w:next w:val="Index1"/>
    <w:uiPriority w:val="99"/>
    <w:semiHidden/>
    <w:rsid w:val="008B7816"/>
    <w:rPr>
      <w:rFonts w:asciiTheme="majorHAnsi" w:eastAsiaTheme="majorEastAsia" w:hAnsiTheme="majorHAnsi" w:cstheme="majorBidi"/>
      <w:b/>
      <w:bCs/>
    </w:rPr>
  </w:style>
  <w:style w:type="paragraph" w:customStyle="1" w:styleId="NormalTight">
    <w:name w:val="Normal Tight"/>
    <w:uiPriority w:val="99"/>
    <w:semiHidden/>
    <w:rsid w:val="008B7816"/>
    <w:pPr>
      <w:spacing w:after="0" w:line="240" w:lineRule="auto"/>
      <w:ind w:right="2366"/>
    </w:pPr>
    <w:rPr>
      <w:rFonts w:eastAsia="Times New Roman" w:cs="Calibri"/>
      <w:sz w:val="18"/>
      <w:szCs w:val="19"/>
    </w:rPr>
  </w:style>
  <w:style w:type="paragraph" w:customStyle="1" w:styleId="Insidecoverspacer">
    <w:name w:val="Inside cover spacer"/>
    <w:basedOn w:val="NormalTight"/>
    <w:uiPriority w:val="99"/>
    <w:semiHidden/>
    <w:qFormat/>
    <w:rsid w:val="008B7816"/>
    <w:pPr>
      <w:spacing w:before="3800"/>
      <w:ind w:right="1382"/>
    </w:pPr>
  </w:style>
  <w:style w:type="table" w:styleId="LightList-Accent1">
    <w:name w:val="Light List Accent 1"/>
    <w:basedOn w:val="TableNormal"/>
    <w:uiPriority w:val="61"/>
    <w:rsid w:val="008B7816"/>
    <w:pPr>
      <w:spacing w:after="0" w:line="240" w:lineRule="auto"/>
    </w:pPr>
    <w:rPr>
      <w:rFonts w:eastAsiaTheme="minorEastAsia"/>
      <w:sz w:val="20"/>
      <w:szCs w:val="20"/>
      <w:lang w:eastAsia="en-AU"/>
    </w:rPr>
    <w:tblPr>
      <w:tblStyleRowBandSize w:val="1"/>
      <w:tblStyleColBandSize w:val="1"/>
      <w:tblBorders>
        <w:top w:val="single" w:sz="8" w:space="0" w:color="71C5E8" w:themeColor="accent1"/>
        <w:left w:val="single" w:sz="8" w:space="0" w:color="71C5E8" w:themeColor="accent1"/>
        <w:bottom w:val="single" w:sz="8" w:space="0" w:color="71C5E8" w:themeColor="accent1"/>
        <w:right w:val="single" w:sz="8" w:space="0" w:color="71C5E8" w:themeColor="accent1"/>
      </w:tblBorders>
    </w:tblPr>
    <w:tblStylePr w:type="firstRow">
      <w:pPr>
        <w:spacing w:before="0" w:after="0" w:line="240" w:lineRule="auto"/>
      </w:pPr>
      <w:rPr>
        <w:b/>
        <w:bCs/>
        <w:color w:val="FFFFFF" w:themeColor="background1"/>
      </w:rPr>
      <w:tblPr/>
      <w:tcPr>
        <w:shd w:val="clear" w:color="auto" w:fill="71C5E8" w:themeFill="accent1"/>
      </w:tcPr>
    </w:tblStylePr>
    <w:tblStylePr w:type="lastRow">
      <w:pPr>
        <w:spacing w:before="0" w:after="0" w:line="240" w:lineRule="auto"/>
      </w:pPr>
      <w:rPr>
        <w:b/>
        <w:bCs/>
      </w:rPr>
      <w:tblPr/>
      <w:tcPr>
        <w:tcBorders>
          <w:top w:val="double" w:sz="6" w:space="0" w:color="71C5E8" w:themeColor="accent1"/>
          <w:left w:val="single" w:sz="8" w:space="0" w:color="71C5E8" w:themeColor="accent1"/>
          <w:bottom w:val="single" w:sz="8" w:space="0" w:color="71C5E8" w:themeColor="accent1"/>
          <w:right w:val="single" w:sz="8" w:space="0" w:color="71C5E8" w:themeColor="accent1"/>
        </w:tcBorders>
      </w:tcPr>
    </w:tblStylePr>
    <w:tblStylePr w:type="firstCol">
      <w:rPr>
        <w:b/>
        <w:bCs/>
      </w:rPr>
    </w:tblStylePr>
    <w:tblStylePr w:type="lastCol">
      <w:rPr>
        <w:b/>
        <w:bCs/>
      </w:rPr>
    </w:tblStylePr>
    <w:tblStylePr w:type="band1Vert">
      <w:tblPr/>
      <w:tcPr>
        <w:tcBorders>
          <w:top w:val="single" w:sz="8" w:space="0" w:color="71C5E8" w:themeColor="accent1"/>
          <w:left w:val="single" w:sz="8" w:space="0" w:color="71C5E8" w:themeColor="accent1"/>
          <w:bottom w:val="single" w:sz="8" w:space="0" w:color="71C5E8" w:themeColor="accent1"/>
          <w:right w:val="single" w:sz="8" w:space="0" w:color="71C5E8" w:themeColor="accent1"/>
        </w:tcBorders>
      </w:tcPr>
    </w:tblStylePr>
    <w:tblStylePr w:type="band1Horz">
      <w:tblPr/>
      <w:tcPr>
        <w:tcBorders>
          <w:top w:val="single" w:sz="8" w:space="0" w:color="71C5E8" w:themeColor="accent1"/>
          <w:left w:val="single" w:sz="8" w:space="0" w:color="71C5E8" w:themeColor="accent1"/>
          <w:bottom w:val="single" w:sz="8" w:space="0" w:color="71C5E8" w:themeColor="accent1"/>
          <w:right w:val="single" w:sz="8" w:space="0" w:color="71C5E8" w:themeColor="accent1"/>
        </w:tcBorders>
      </w:tcPr>
    </w:tblStylePr>
  </w:style>
  <w:style w:type="table" w:styleId="LightList-Accent4">
    <w:name w:val="Light List Accent 4"/>
    <w:basedOn w:val="TableNormal"/>
    <w:uiPriority w:val="61"/>
    <w:rsid w:val="008B7816"/>
    <w:pPr>
      <w:spacing w:after="0" w:line="240" w:lineRule="auto"/>
    </w:pPr>
    <w:rPr>
      <w:rFonts w:eastAsiaTheme="minorEastAsia"/>
      <w:sz w:val="20"/>
      <w:szCs w:val="20"/>
      <w:lang w:eastAsia="en-AU"/>
    </w:rPr>
    <w:tblPr>
      <w:tblStyleRowBandSize w:val="1"/>
      <w:tblStyleColBandSize w:val="1"/>
      <w:tblBorders>
        <w:top w:val="single" w:sz="8" w:space="0" w:color="87189D" w:themeColor="accent4"/>
        <w:left w:val="single" w:sz="8" w:space="0" w:color="87189D" w:themeColor="accent4"/>
        <w:bottom w:val="single" w:sz="8" w:space="0" w:color="87189D" w:themeColor="accent4"/>
        <w:right w:val="single" w:sz="8" w:space="0" w:color="87189D" w:themeColor="accent4"/>
      </w:tblBorders>
    </w:tblPr>
    <w:tblStylePr w:type="firstRow">
      <w:pPr>
        <w:spacing w:before="0" w:after="0" w:line="240" w:lineRule="auto"/>
      </w:pPr>
      <w:rPr>
        <w:b/>
        <w:bCs/>
        <w:color w:val="FFFFFF" w:themeColor="background1"/>
      </w:rPr>
      <w:tblPr/>
      <w:tcPr>
        <w:shd w:val="clear" w:color="auto" w:fill="87189D" w:themeFill="accent4"/>
      </w:tcPr>
    </w:tblStylePr>
    <w:tblStylePr w:type="lastRow">
      <w:pPr>
        <w:spacing w:before="0" w:after="0" w:line="240" w:lineRule="auto"/>
      </w:pPr>
      <w:rPr>
        <w:b/>
        <w:bCs/>
      </w:rPr>
      <w:tblPr/>
      <w:tcPr>
        <w:tcBorders>
          <w:top w:val="double" w:sz="6" w:space="0" w:color="87189D" w:themeColor="accent4"/>
          <w:left w:val="single" w:sz="8" w:space="0" w:color="87189D" w:themeColor="accent4"/>
          <w:bottom w:val="single" w:sz="8" w:space="0" w:color="87189D" w:themeColor="accent4"/>
          <w:right w:val="single" w:sz="8" w:space="0" w:color="87189D" w:themeColor="accent4"/>
        </w:tcBorders>
      </w:tcPr>
    </w:tblStylePr>
    <w:tblStylePr w:type="firstCol">
      <w:rPr>
        <w:b/>
        <w:bCs/>
      </w:rPr>
    </w:tblStylePr>
    <w:tblStylePr w:type="lastCol">
      <w:rPr>
        <w:b/>
        <w:bCs/>
      </w:rPr>
    </w:tblStylePr>
    <w:tblStylePr w:type="band1Vert">
      <w:tblPr/>
      <w:tcPr>
        <w:tcBorders>
          <w:top w:val="single" w:sz="8" w:space="0" w:color="87189D" w:themeColor="accent4"/>
          <w:left w:val="single" w:sz="8" w:space="0" w:color="87189D" w:themeColor="accent4"/>
          <w:bottom w:val="single" w:sz="8" w:space="0" w:color="87189D" w:themeColor="accent4"/>
          <w:right w:val="single" w:sz="8" w:space="0" w:color="87189D" w:themeColor="accent4"/>
        </w:tcBorders>
      </w:tcPr>
    </w:tblStylePr>
    <w:tblStylePr w:type="band1Horz">
      <w:tblPr/>
      <w:tcPr>
        <w:tcBorders>
          <w:top w:val="single" w:sz="8" w:space="0" w:color="87189D" w:themeColor="accent4"/>
          <w:left w:val="single" w:sz="8" w:space="0" w:color="87189D" w:themeColor="accent4"/>
          <w:bottom w:val="single" w:sz="8" w:space="0" w:color="87189D" w:themeColor="accent4"/>
          <w:right w:val="single" w:sz="8" w:space="0" w:color="87189D" w:themeColor="accent4"/>
        </w:tcBorders>
      </w:tcPr>
    </w:tblStylePr>
  </w:style>
  <w:style w:type="table" w:styleId="LightShading">
    <w:name w:val="Light Shading"/>
    <w:basedOn w:val="TableNormal"/>
    <w:uiPriority w:val="60"/>
    <w:rsid w:val="008B7816"/>
    <w:pPr>
      <w:spacing w:after="0" w:line="240" w:lineRule="auto"/>
    </w:pPr>
    <w:rPr>
      <w:rFonts w:eastAsiaTheme="minorEastAsia"/>
      <w:color w:val="000000" w:themeColor="text1" w:themeShade="BF"/>
      <w:sz w:val="20"/>
      <w:szCs w:val="20"/>
      <w:lang w:eastAsia="en-A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Listnum">
    <w:name w:val="List num"/>
    <w:basedOn w:val="Normal"/>
    <w:uiPriority w:val="2"/>
    <w:qFormat/>
    <w:rsid w:val="008B7816"/>
    <w:pPr>
      <w:numPr>
        <w:numId w:val="17"/>
      </w:numPr>
    </w:pPr>
  </w:style>
  <w:style w:type="paragraph" w:customStyle="1" w:styleId="Listnum2">
    <w:name w:val="List num 2"/>
    <w:basedOn w:val="Normal"/>
    <w:uiPriority w:val="2"/>
    <w:qFormat/>
    <w:rsid w:val="008B7816"/>
    <w:pPr>
      <w:numPr>
        <w:ilvl w:val="1"/>
        <w:numId w:val="17"/>
      </w:numPr>
    </w:pPr>
  </w:style>
  <w:style w:type="paragraph" w:customStyle="1" w:styleId="Listnumindent">
    <w:name w:val="List num indent"/>
    <w:basedOn w:val="Normal"/>
    <w:uiPriority w:val="9"/>
    <w:qFormat/>
    <w:rsid w:val="008B7816"/>
    <w:pPr>
      <w:numPr>
        <w:ilvl w:val="6"/>
        <w:numId w:val="17"/>
      </w:numPr>
      <w:spacing w:before="100"/>
    </w:pPr>
  </w:style>
  <w:style w:type="paragraph" w:customStyle="1" w:styleId="Listnumindent2">
    <w:name w:val="List num indent 2"/>
    <w:basedOn w:val="Normal"/>
    <w:uiPriority w:val="9"/>
    <w:qFormat/>
    <w:rsid w:val="008B7816"/>
    <w:pPr>
      <w:numPr>
        <w:ilvl w:val="7"/>
        <w:numId w:val="17"/>
      </w:numPr>
      <w:spacing w:before="100"/>
      <w:contextualSpacing/>
    </w:pPr>
  </w:style>
  <w:style w:type="paragraph" w:customStyle="1" w:styleId="NoteNormal">
    <w:name w:val="Note Normal"/>
    <w:basedOn w:val="Normal"/>
    <w:rsid w:val="008B7816"/>
    <w:pPr>
      <w:spacing w:before="80" w:line="240" w:lineRule="auto"/>
    </w:pPr>
    <w:rPr>
      <w:rFonts w:eastAsia="Times New Roman" w:cstheme="minorHAnsi"/>
      <w:color w:val="000000"/>
      <w:spacing w:val="1"/>
      <w:sz w:val="16"/>
      <w:szCs w:val="16"/>
      <w:lang w:eastAsia="en-US"/>
    </w:rPr>
  </w:style>
  <w:style w:type="paragraph" w:customStyle="1" w:styleId="NoteNormalindent">
    <w:name w:val="Note Normal indent"/>
    <w:basedOn w:val="NoteNormal"/>
    <w:uiPriority w:val="9"/>
    <w:rsid w:val="008B7816"/>
    <w:pPr>
      <w:ind w:left="792"/>
    </w:pPr>
  </w:style>
  <w:style w:type="paragraph" w:customStyle="1" w:styleId="Numpara">
    <w:name w:val="Num para"/>
    <w:basedOn w:val="ListParagraph"/>
    <w:uiPriority w:val="2"/>
    <w:qFormat/>
    <w:rsid w:val="008B7816"/>
    <w:pPr>
      <w:numPr>
        <w:numId w:val="18"/>
      </w:numPr>
      <w:ind w:left="720" w:firstLine="0"/>
    </w:pPr>
  </w:style>
  <w:style w:type="paragraph" w:customStyle="1" w:styleId="Numparaindent">
    <w:name w:val="Num para indent"/>
    <w:basedOn w:val="Numpara"/>
    <w:uiPriority w:val="9"/>
    <w:qFormat/>
    <w:rsid w:val="008B7816"/>
    <w:pPr>
      <w:numPr>
        <w:ilvl w:val="8"/>
        <w:numId w:val="17"/>
      </w:numPr>
    </w:pPr>
  </w:style>
  <w:style w:type="character" w:styleId="PageNumber">
    <w:name w:val="page number"/>
    <w:uiPriority w:val="49"/>
    <w:semiHidden/>
    <w:rsid w:val="008B7816"/>
    <w:rPr>
      <w:rFonts w:asciiTheme="minorHAnsi" w:hAnsiTheme="minorHAnsi"/>
      <w:b w:val="0"/>
      <w:color w:val="000000" w:themeColor="text1"/>
    </w:rPr>
  </w:style>
  <w:style w:type="character" w:styleId="PlaceholderText">
    <w:name w:val="Placeholder Text"/>
    <w:basedOn w:val="DefaultParagraphFont"/>
    <w:uiPriority w:val="99"/>
    <w:semiHidden/>
    <w:rsid w:val="008B7816"/>
    <w:rPr>
      <w:color w:val="808080"/>
    </w:rPr>
  </w:style>
  <w:style w:type="table" w:styleId="PlainTable4">
    <w:name w:val="Plain Table 4"/>
    <w:basedOn w:val="TableNormal"/>
    <w:uiPriority w:val="44"/>
    <w:rsid w:val="008B7816"/>
    <w:pPr>
      <w:spacing w:after="0" w:line="240" w:lineRule="auto"/>
    </w:pPr>
    <w:rPr>
      <w:rFonts w:eastAsiaTheme="minorEastAsia"/>
      <w:sz w:val="20"/>
      <w:szCs w:val="20"/>
      <w:lang w:eastAsia="en-A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Quote">
    <w:name w:val="Quote"/>
    <w:basedOn w:val="Normal"/>
    <w:next w:val="Normal"/>
    <w:link w:val="QuoteChar"/>
    <w:uiPriority w:val="14"/>
    <w:qFormat/>
    <w:rsid w:val="008B7816"/>
    <w:pPr>
      <w:pBdr>
        <w:top w:val="single" w:sz="4" w:space="6" w:color="1F2A44" w:themeColor="text2"/>
        <w:bottom w:val="single" w:sz="4" w:space="4" w:color="1F2A44" w:themeColor="text2"/>
      </w:pBdr>
      <w:tabs>
        <w:tab w:val="right" w:pos="8162"/>
      </w:tabs>
      <w:spacing w:before="200" w:after="200" w:line="288" w:lineRule="auto"/>
      <w:ind w:left="720" w:right="864"/>
    </w:pPr>
    <w:rPr>
      <w:i/>
      <w:iCs/>
      <w:sz w:val="18"/>
      <w:szCs w:val="18"/>
    </w:rPr>
  </w:style>
  <w:style w:type="character" w:customStyle="1" w:styleId="QuoteChar">
    <w:name w:val="Quote Char"/>
    <w:basedOn w:val="DefaultParagraphFont"/>
    <w:link w:val="Quote"/>
    <w:uiPriority w:val="14"/>
    <w:rsid w:val="008B7816"/>
    <w:rPr>
      <w:rFonts w:eastAsiaTheme="minorEastAsia"/>
      <w:i/>
      <w:iCs/>
      <w:color w:val="000000" w:themeColor="text1"/>
      <w:sz w:val="18"/>
      <w:szCs w:val="18"/>
      <w:lang w:eastAsia="en-AU"/>
    </w:rPr>
  </w:style>
  <w:style w:type="paragraph" w:customStyle="1" w:styleId="ReportDate">
    <w:name w:val="ReportDate"/>
    <w:uiPriority w:val="79"/>
    <w:semiHidden/>
    <w:rsid w:val="008B7816"/>
    <w:pPr>
      <w:spacing w:before="160" w:after="60" w:line="240" w:lineRule="auto"/>
      <w:ind w:right="2909"/>
      <w:jc w:val="right"/>
    </w:pPr>
    <w:rPr>
      <w:rFonts w:eastAsiaTheme="minorEastAsia"/>
      <w:b/>
      <w:bCs/>
      <w:caps/>
      <w:sz w:val="20"/>
      <w:szCs w:val="20"/>
      <w:lang w:eastAsia="en-AU"/>
    </w:rPr>
  </w:style>
  <w:style w:type="paragraph" w:customStyle="1" w:styleId="Spacer">
    <w:name w:val="Spacer"/>
    <w:basedOn w:val="Normal"/>
    <w:uiPriority w:val="13"/>
    <w:semiHidden/>
    <w:qFormat/>
    <w:rsid w:val="008B7816"/>
    <w:pPr>
      <w:spacing w:before="0" w:after="0" w:line="120" w:lineRule="atLeast"/>
    </w:pPr>
    <w:rPr>
      <w:rFonts w:eastAsia="Times New Roman" w:cs="Calibri"/>
      <w:sz w:val="10"/>
      <w:szCs w:val="22"/>
    </w:rPr>
  </w:style>
  <w:style w:type="paragraph" w:customStyle="1" w:styleId="Tabledash">
    <w:name w:val="Table dash"/>
    <w:basedOn w:val="Tablebullet"/>
    <w:uiPriority w:val="6"/>
    <w:rsid w:val="008B7816"/>
    <w:pPr>
      <w:numPr>
        <w:ilvl w:val="1"/>
      </w:numPr>
    </w:pPr>
  </w:style>
  <w:style w:type="paragraph" w:customStyle="1" w:styleId="Tableheader">
    <w:name w:val="Table header"/>
    <w:basedOn w:val="Tabletext"/>
    <w:uiPriority w:val="5"/>
    <w:qFormat/>
    <w:rsid w:val="008B7816"/>
    <w:pPr>
      <w:keepNext/>
      <w:spacing w:before="120"/>
    </w:pPr>
    <w:rPr>
      <w:rFonts w:eastAsiaTheme="minorHAnsi"/>
      <w:color w:val="FFFFFF" w:themeColor="background1"/>
      <w:spacing w:val="2"/>
      <w:sz w:val="20"/>
      <w:szCs w:val="18"/>
      <w:lang w:eastAsia="en-US"/>
    </w:rPr>
  </w:style>
  <w:style w:type="paragraph" w:customStyle="1" w:styleId="Tablenum1">
    <w:name w:val="Table num 1"/>
    <w:basedOn w:val="Normal"/>
    <w:uiPriority w:val="6"/>
    <w:rsid w:val="008B7816"/>
    <w:pPr>
      <w:numPr>
        <w:ilvl w:val="2"/>
        <w:numId w:val="19"/>
      </w:numPr>
      <w:spacing w:before="60" w:after="60"/>
    </w:pPr>
    <w:rPr>
      <w:sz w:val="17"/>
    </w:rPr>
  </w:style>
  <w:style w:type="paragraph" w:customStyle="1" w:styleId="Tablenum2">
    <w:name w:val="Table num 2"/>
    <w:basedOn w:val="Normal"/>
    <w:uiPriority w:val="6"/>
    <w:rsid w:val="008B7816"/>
    <w:pPr>
      <w:numPr>
        <w:ilvl w:val="3"/>
        <w:numId w:val="19"/>
      </w:numPr>
      <w:spacing w:before="60" w:after="60"/>
    </w:pPr>
    <w:rPr>
      <w:sz w:val="17"/>
    </w:rPr>
  </w:style>
  <w:style w:type="paragraph" w:customStyle="1" w:styleId="Tabletextcentred">
    <w:name w:val="Table text centred"/>
    <w:basedOn w:val="Tabletext"/>
    <w:uiPriority w:val="5"/>
    <w:qFormat/>
    <w:rsid w:val="008B7816"/>
    <w:pPr>
      <w:jc w:val="center"/>
    </w:pPr>
  </w:style>
  <w:style w:type="paragraph" w:customStyle="1" w:styleId="Tabletextindent">
    <w:name w:val="Table text indent"/>
    <w:basedOn w:val="Tabletext"/>
    <w:uiPriority w:val="5"/>
    <w:qFormat/>
    <w:rsid w:val="008B7816"/>
    <w:pPr>
      <w:ind w:left="288"/>
    </w:pPr>
  </w:style>
  <w:style w:type="paragraph" w:customStyle="1" w:styleId="Tabletextright">
    <w:name w:val="Table text right"/>
    <w:basedOn w:val="Tabletext"/>
    <w:uiPriority w:val="5"/>
    <w:qFormat/>
    <w:rsid w:val="008B7816"/>
    <w:pPr>
      <w:jc w:val="right"/>
    </w:pPr>
  </w:style>
  <w:style w:type="paragraph" w:customStyle="1" w:styleId="TertiaryTitle">
    <w:name w:val="Tertiary Title"/>
    <w:next w:val="Normal"/>
    <w:uiPriority w:val="99"/>
    <w:semiHidden/>
    <w:rsid w:val="008B7816"/>
    <w:pPr>
      <w:spacing w:after="0" w:line="276" w:lineRule="auto"/>
    </w:pPr>
    <w:rPr>
      <w:rFonts w:asciiTheme="majorHAnsi" w:eastAsia="Times New Roman" w:hAnsiTheme="majorHAnsi" w:cstheme="majorHAnsi"/>
      <w:color w:val="FFFFFF" w:themeColor="background1"/>
      <w:spacing w:val="-2"/>
      <w:sz w:val="20"/>
      <w:szCs w:val="40"/>
    </w:rPr>
  </w:style>
  <w:style w:type="paragraph" w:styleId="TOCHeading">
    <w:name w:val="TOC Heading"/>
    <w:basedOn w:val="Heading1"/>
    <w:next w:val="Normal"/>
    <w:uiPriority w:val="38"/>
    <w:rsid w:val="00AC32DF"/>
    <w:pPr>
      <w:spacing w:before="440" w:after="440"/>
      <w:outlineLvl w:val="9"/>
    </w:pPr>
    <w:rPr>
      <w:color w:val="26A6DC" w:themeColor="accent1" w:themeShade="BF"/>
      <w:spacing w:val="2"/>
    </w:rPr>
  </w:style>
  <w:style w:type="table" w:customStyle="1" w:styleId="Texttable">
    <w:name w:val="Text table"/>
    <w:basedOn w:val="TableNormal"/>
    <w:uiPriority w:val="99"/>
    <w:rsid w:val="009A3F81"/>
    <w:pPr>
      <w:spacing w:before="30" w:after="30" w:line="264" w:lineRule="auto"/>
    </w:pPr>
    <w:rPr>
      <w:spacing w:val="2"/>
      <w:sz w:val="17"/>
      <w:szCs w:val="21"/>
    </w:rPr>
    <w:tblPr>
      <w:tblStyleRowBandSize w:val="1"/>
      <w:tblStyleColBandSize w:val="1"/>
      <w:tblBorders>
        <w:bottom w:val="single" w:sz="12" w:space="0" w:color="A6A6A6" w:themeColor="background1" w:themeShade="A6"/>
        <w:insideH w:val="single" w:sz="6" w:space="0" w:color="A6A6A6" w:themeColor="background1" w:themeShade="A6"/>
      </w:tblBorders>
    </w:tblPr>
    <w:trPr>
      <w:cantSplit/>
    </w:trPr>
    <w:tblStylePr w:type="firstRow">
      <w:pPr>
        <w:keepNext/>
        <w:keepLines/>
        <w:widowControl/>
        <w:wordWrap/>
        <w:spacing w:beforeLines="0" w:before="120" w:beforeAutospacing="0" w:afterLines="0" w:after="30" w:afterAutospacing="0"/>
        <w:jc w:val="left"/>
      </w:pPr>
      <w:rPr>
        <w:rFonts w:asciiTheme="majorHAnsi" w:hAnsiTheme="majorHAnsi"/>
        <w:b w:val="0"/>
        <w:i w:val="0"/>
        <w:color w:val="FFFFFF" w:themeColor="background1"/>
        <w:sz w:val="18"/>
      </w:rPr>
      <w:tblPr/>
      <w:tcPr>
        <w:shd w:val="clear" w:color="auto" w:fill="26A6DC" w:themeFill="accent1" w:themeFillShade="BF"/>
      </w:tcPr>
    </w:tblStylePr>
    <w:tblStylePr w:type="lastRow">
      <w:rPr>
        <w:b/>
      </w:rPr>
      <w:tblPr/>
      <w:tcPr>
        <w:tcBorders>
          <w:top w:val="single" w:sz="6" w:space="0" w:color="00B2A9" w:themeColor="accent2"/>
          <w:left w:val="nil"/>
          <w:bottom w:val="single" w:sz="12" w:space="0" w:color="00B2A9" w:themeColor="accent2"/>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Texttableindent">
    <w:name w:val="Text table indent"/>
    <w:basedOn w:val="Texttable"/>
    <w:uiPriority w:val="99"/>
    <w:rsid w:val="008B7816"/>
    <w:pPr>
      <w:spacing w:after="0" w:line="240" w:lineRule="auto"/>
    </w:pPr>
    <w:tblPr>
      <w:tblInd w:w="864" w:type="dxa"/>
    </w:tblPr>
    <w:tblStylePr w:type="firstRow">
      <w:pPr>
        <w:keepNext/>
        <w:keepLines/>
        <w:widowControl/>
        <w:wordWrap/>
        <w:spacing w:beforeLines="0" w:before="120" w:beforeAutospacing="0" w:afterLines="0" w:after="30" w:afterAutospacing="0"/>
        <w:jc w:val="left"/>
      </w:pPr>
      <w:rPr>
        <w:rFonts w:asciiTheme="majorHAnsi" w:hAnsiTheme="majorHAnsi"/>
        <w:b/>
        <w:i w:val="0"/>
        <w:color w:val="FFFFFF" w:themeColor="background1"/>
        <w:sz w:val="18"/>
      </w:rPr>
      <w:tblPr/>
      <w:tcPr>
        <w:shd w:val="clear" w:color="auto" w:fill="71C5E8" w:themeFill="accent1"/>
      </w:tcPr>
    </w:tblStylePr>
    <w:tblStylePr w:type="lastRow">
      <w:rPr>
        <w:b/>
      </w:rPr>
      <w:tblPr/>
      <w:tcPr>
        <w:tcBorders>
          <w:top w:val="single" w:sz="6" w:space="0" w:color="71C5E8" w:themeColor="accent1"/>
          <w:left w:val="nil"/>
          <w:bottom w:val="single" w:sz="12" w:space="0" w:color="71C5E8" w:themeColor="accent1"/>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Heading4numbered">
    <w:name w:val="Heading 4 numbered"/>
    <w:basedOn w:val="Heading4"/>
    <w:next w:val="NormalIndent"/>
    <w:uiPriority w:val="8"/>
    <w:qFormat/>
    <w:rsid w:val="005B4155"/>
    <w:pPr>
      <w:tabs>
        <w:tab w:val="num" w:pos="792"/>
      </w:tabs>
      <w:spacing w:line="264" w:lineRule="auto"/>
      <w:ind w:left="792" w:hanging="792"/>
    </w:pPr>
  </w:style>
  <w:style w:type="paragraph" w:customStyle="1" w:styleId="Highlightboxbullet">
    <w:name w:val="Highlight box bullet"/>
    <w:basedOn w:val="Normal"/>
    <w:uiPriority w:val="13"/>
    <w:qFormat/>
    <w:rsid w:val="008B7816"/>
    <w:pPr>
      <w:numPr>
        <w:numId w:val="20"/>
      </w:numPr>
      <w:pBdr>
        <w:top w:val="single" w:sz="6" w:space="6" w:color="71C5E8" w:themeColor="accent1"/>
        <w:bottom w:val="single" w:sz="6" w:space="4" w:color="71C5E8" w:themeColor="accent1"/>
      </w:pBdr>
      <w:shd w:val="clear" w:color="auto" w:fill="E2E6F2" w:themeFill="text2" w:themeFillTint="1A"/>
      <w:spacing w:before="60" w:after="60"/>
      <w:ind w:left="360"/>
      <w:contextualSpacing/>
    </w:pPr>
    <w:rPr>
      <w:sz w:val="19"/>
    </w:rPr>
  </w:style>
  <w:style w:type="paragraph" w:customStyle="1" w:styleId="Highlightboxheading">
    <w:name w:val="Highlight box heading"/>
    <w:basedOn w:val="Normal"/>
    <w:uiPriority w:val="13"/>
    <w:qFormat/>
    <w:rsid w:val="00EC3177"/>
    <w:pPr>
      <w:keepNext/>
      <w:pBdr>
        <w:top w:val="single" w:sz="6" w:space="6" w:color="71C5E8" w:themeColor="accent1"/>
        <w:bottom w:val="single" w:sz="6" w:space="4" w:color="71C5E8" w:themeColor="accent1"/>
      </w:pBdr>
      <w:shd w:val="clear" w:color="auto" w:fill="E2E6F2" w:themeFill="text2" w:themeFillTint="1A"/>
      <w:spacing w:after="60"/>
    </w:pPr>
    <w:rPr>
      <w:rFonts w:asciiTheme="majorHAnsi" w:hAnsiTheme="majorHAnsi"/>
      <w:bCs/>
      <w:sz w:val="22"/>
    </w:rPr>
  </w:style>
  <w:style w:type="paragraph" w:customStyle="1" w:styleId="Highlightboxtext">
    <w:name w:val="Highlight box text"/>
    <w:basedOn w:val="Normal"/>
    <w:uiPriority w:val="13"/>
    <w:qFormat/>
    <w:rsid w:val="008B7816"/>
    <w:pPr>
      <w:pBdr>
        <w:top w:val="single" w:sz="6" w:space="6" w:color="71C5E8" w:themeColor="accent1"/>
        <w:bottom w:val="single" w:sz="6" w:space="4" w:color="71C5E8" w:themeColor="accent1"/>
      </w:pBdr>
      <w:shd w:val="clear" w:color="auto" w:fill="E2E6F2" w:themeFill="text2" w:themeFillTint="1A"/>
      <w:spacing w:before="60" w:after="60"/>
    </w:pPr>
    <w:rPr>
      <w:sz w:val="19"/>
    </w:rPr>
  </w:style>
  <w:style w:type="paragraph" w:customStyle="1" w:styleId="Partheading">
    <w:name w:val="Part heading"/>
    <w:basedOn w:val="Normal"/>
    <w:uiPriority w:val="99"/>
    <w:qFormat/>
    <w:rsid w:val="008B7816"/>
    <w:pPr>
      <w:keepLines w:val="0"/>
      <w:tabs>
        <w:tab w:val="left" w:pos="3870"/>
      </w:tabs>
      <w:spacing w:before="1200"/>
    </w:pPr>
    <w:rPr>
      <w:rFonts w:asciiTheme="majorHAnsi" w:eastAsiaTheme="minorHAnsi" w:hAnsiTheme="majorHAnsi"/>
      <w:bCs/>
      <w:color w:val="71C5E8" w:themeColor="accent1"/>
      <w:sz w:val="70"/>
      <w:szCs w:val="90"/>
      <w:lang w:eastAsia="en-US"/>
    </w:rPr>
  </w:style>
  <w:style w:type="paragraph" w:customStyle="1" w:styleId="Highlightboxtext2">
    <w:name w:val="Highlight box text 2"/>
    <w:basedOn w:val="Highlightboxtext"/>
    <w:uiPriority w:val="14"/>
    <w:qFormat/>
    <w:rsid w:val="008B7816"/>
    <w:pPr>
      <w:shd w:val="clear" w:color="auto" w:fill="F2F2F2" w:themeFill="background1" w:themeFillShade="F2"/>
    </w:pPr>
  </w:style>
  <w:style w:type="paragraph" w:customStyle="1" w:styleId="Highlightboxheading2">
    <w:name w:val="Highlight box heading 2"/>
    <w:basedOn w:val="Highlightboxheading"/>
    <w:uiPriority w:val="14"/>
    <w:qFormat/>
    <w:rsid w:val="00DF1DFB"/>
    <w:pPr>
      <w:shd w:val="clear" w:color="auto" w:fill="F2F2F2" w:themeFill="background1" w:themeFillShade="F2"/>
    </w:pPr>
  </w:style>
  <w:style w:type="paragraph" w:customStyle="1" w:styleId="Highlightboxbullet2">
    <w:name w:val="Highlight box bullet 2"/>
    <w:basedOn w:val="Highlightboxbullet"/>
    <w:uiPriority w:val="14"/>
    <w:qFormat/>
    <w:rsid w:val="008B7816"/>
    <w:pPr>
      <w:shd w:val="clear" w:color="auto" w:fill="F2F2F2" w:themeFill="background1" w:themeFillShade="F2"/>
    </w:pPr>
  </w:style>
  <w:style w:type="paragraph" w:customStyle="1" w:styleId="Highlightboxtextbold">
    <w:name w:val="Highlight box text bold"/>
    <w:basedOn w:val="Highlightboxtext2"/>
    <w:uiPriority w:val="14"/>
    <w:qFormat/>
    <w:rsid w:val="00807CD9"/>
    <w:pPr>
      <w:spacing w:before="100"/>
    </w:pPr>
    <w:rPr>
      <w:rFonts w:asciiTheme="majorHAnsi" w:hAnsiTheme="maj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60420">
      <w:bodyDiv w:val="1"/>
      <w:marLeft w:val="0"/>
      <w:marRight w:val="0"/>
      <w:marTop w:val="0"/>
      <w:marBottom w:val="0"/>
      <w:divBdr>
        <w:top w:val="none" w:sz="0" w:space="0" w:color="auto"/>
        <w:left w:val="none" w:sz="0" w:space="0" w:color="auto"/>
        <w:bottom w:val="none" w:sz="0" w:space="0" w:color="auto"/>
        <w:right w:val="none" w:sz="0" w:space="0" w:color="auto"/>
      </w:divBdr>
    </w:div>
    <w:div w:id="57946332">
      <w:bodyDiv w:val="1"/>
      <w:marLeft w:val="0"/>
      <w:marRight w:val="0"/>
      <w:marTop w:val="0"/>
      <w:marBottom w:val="0"/>
      <w:divBdr>
        <w:top w:val="none" w:sz="0" w:space="0" w:color="auto"/>
        <w:left w:val="none" w:sz="0" w:space="0" w:color="auto"/>
        <w:bottom w:val="none" w:sz="0" w:space="0" w:color="auto"/>
        <w:right w:val="none" w:sz="0" w:space="0" w:color="auto"/>
      </w:divBdr>
      <w:divsChild>
        <w:div w:id="173811544">
          <w:marLeft w:val="547"/>
          <w:marRight w:val="0"/>
          <w:marTop w:val="0"/>
          <w:marBottom w:val="0"/>
          <w:divBdr>
            <w:top w:val="none" w:sz="0" w:space="0" w:color="auto"/>
            <w:left w:val="none" w:sz="0" w:space="0" w:color="auto"/>
            <w:bottom w:val="none" w:sz="0" w:space="0" w:color="auto"/>
            <w:right w:val="none" w:sz="0" w:space="0" w:color="auto"/>
          </w:divBdr>
        </w:div>
        <w:div w:id="845173149">
          <w:marLeft w:val="547"/>
          <w:marRight w:val="0"/>
          <w:marTop w:val="0"/>
          <w:marBottom w:val="0"/>
          <w:divBdr>
            <w:top w:val="none" w:sz="0" w:space="0" w:color="auto"/>
            <w:left w:val="none" w:sz="0" w:space="0" w:color="auto"/>
            <w:bottom w:val="none" w:sz="0" w:space="0" w:color="auto"/>
            <w:right w:val="none" w:sz="0" w:space="0" w:color="auto"/>
          </w:divBdr>
        </w:div>
        <w:div w:id="1770001583">
          <w:marLeft w:val="547"/>
          <w:marRight w:val="0"/>
          <w:marTop w:val="0"/>
          <w:marBottom w:val="0"/>
          <w:divBdr>
            <w:top w:val="none" w:sz="0" w:space="0" w:color="auto"/>
            <w:left w:val="none" w:sz="0" w:space="0" w:color="auto"/>
            <w:bottom w:val="none" w:sz="0" w:space="0" w:color="auto"/>
            <w:right w:val="none" w:sz="0" w:space="0" w:color="auto"/>
          </w:divBdr>
        </w:div>
        <w:div w:id="1832212868">
          <w:marLeft w:val="547"/>
          <w:marRight w:val="0"/>
          <w:marTop w:val="0"/>
          <w:marBottom w:val="0"/>
          <w:divBdr>
            <w:top w:val="none" w:sz="0" w:space="0" w:color="auto"/>
            <w:left w:val="none" w:sz="0" w:space="0" w:color="auto"/>
            <w:bottom w:val="none" w:sz="0" w:space="0" w:color="auto"/>
            <w:right w:val="none" w:sz="0" w:space="0" w:color="auto"/>
          </w:divBdr>
        </w:div>
        <w:div w:id="2120100710">
          <w:marLeft w:val="547"/>
          <w:marRight w:val="0"/>
          <w:marTop w:val="0"/>
          <w:marBottom w:val="0"/>
          <w:divBdr>
            <w:top w:val="none" w:sz="0" w:space="0" w:color="auto"/>
            <w:left w:val="none" w:sz="0" w:space="0" w:color="auto"/>
            <w:bottom w:val="none" w:sz="0" w:space="0" w:color="auto"/>
            <w:right w:val="none" w:sz="0" w:space="0" w:color="auto"/>
          </w:divBdr>
        </w:div>
      </w:divsChild>
    </w:div>
    <w:div w:id="74790784">
      <w:bodyDiv w:val="1"/>
      <w:marLeft w:val="0"/>
      <w:marRight w:val="0"/>
      <w:marTop w:val="0"/>
      <w:marBottom w:val="0"/>
      <w:divBdr>
        <w:top w:val="none" w:sz="0" w:space="0" w:color="auto"/>
        <w:left w:val="none" w:sz="0" w:space="0" w:color="auto"/>
        <w:bottom w:val="none" w:sz="0" w:space="0" w:color="auto"/>
        <w:right w:val="none" w:sz="0" w:space="0" w:color="auto"/>
      </w:divBdr>
      <w:divsChild>
        <w:div w:id="178004574">
          <w:marLeft w:val="547"/>
          <w:marRight w:val="0"/>
          <w:marTop w:val="0"/>
          <w:marBottom w:val="0"/>
          <w:divBdr>
            <w:top w:val="none" w:sz="0" w:space="0" w:color="auto"/>
            <w:left w:val="none" w:sz="0" w:space="0" w:color="auto"/>
            <w:bottom w:val="none" w:sz="0" w:space="0" w:color="auto"/>
            <w:right w:val="none" w:sz="0" w:space="0" w:color="auto"/>
          </w:divBdr>
        </w:div>
        <w:div w:id="1773550841">
          <w:marLeft w:val="547"/>
          <w:marRight w:val="0"/>
          <w:marTop w:val="0"/>
          <w:marBottom w:val="0"/>
          <w:divBdr>
            <w:top w:val="none" w:sz="0" w:space="0" w:color="auto"/>
            <w:left w:val="none" w:sz="0" w:space="0" w:color="auto"/>
            <w:bottom w:val="none" w:sz="0" w:space="0" w:color="auto"/>
            <w:right w:val="none" w:sz="0" w:space="0" w:color="auto"/>
          </w:divBdr>
        </w:div>
      </w:divsChild>
    </w:div>
    <w:div w:id="75783199">
      <w:bodyDiv w:val="1"/>
      <w:marLeft w:val="0"/>
      <w:marRight w:val="0"/>
      <w:marTop w:val="0"/>
      <w:marBottom w:val="0"/>
      <w:divBdr>
        <w:top w:val="none" w:sz="0" w:space="0" w:color="auto"/>
        <w:left w:val="none" w:sz="0" w:space="0" w:color="auto"/>
        <w:bottom w:val="none" w:sz="0" w:space="0" w:color="auto"/>
        <w:right w:val="none" w:sz="0" w:space="0" w:color="auto"/>
      </w:divBdr>
      <w:divsChild>
        <w:div w:id="1415972831">
          <w:marLeft w:val="547"/>
          <w:marRight w:val="0"/>
          <w:marTop w:val="0"/>
          <w:marBottom w:val="0"/>
          <w:divBdr>
            <w:top w:val="none" w:sz="0" w:space="0" w:color="auto"/>
            <w:left w:val="none" w:sz="0" w:space="0" w:color="auto"/>
            <w:bottom w:val="none" w:sz="0" w:space="0" w:color="auto"/>
            <w:right w:val="none" w:sz="0" w:space="0" w:color="auto"/>
          </w:divBdr>
        </w:div>
      </w:divsChild>
    </w:div>
    <w:div w:id="92941994">
      <w:bodyDiv w:val="1"/>
      <w:marLeft w:val="0"/>
      <w:marRight w:val="0"/>
      <w:marTop w:val="0"/>
      <w:marBottom w:val="0"/>
      <w:divBdr>
        <w:top w:val="none" w:sz="0" w:space="0" w:color="auto"/>
        <w:left w:val="none" w:sz="0" w:space="0" w:color="auto"/>
        <w:bottom w:val="none" w:sz="0" w:space="0" w:color="auto"/>
        <w:right w:val="none" w:sz="0" w:space="0" w:color="auto"/>
      </w:divBdr>
    </w:div>
    <w:div w:id="126246894">
      <w:bodyDiv w:val="1"/>
      <w:marLeft w:val="0"/>
      <w:marRight w:val="0"/>
      <w:marTop w:val="0"/>
      <w:marBottom w:val="0"/>
      <w:divBdr>
        <w:top w:val="none" w:sz="0" w:space="0" w:color="auto"/>
        <w:left w:val="none" w:sz="0" w:space="0" w:color="auto"/>
        <w:bottom w:val="none" w:sz="0" w:space="0" w:color="auto"/>
        <w:right w:val="none" w:sz="0" w:space="0" w:color="auto"/>
      </w:divBdr>
      <w:divsChild>
        <w:div w:id="1372534191">
          <w:marLeft w:val="1080"/>
          <w:marRight w:val="0"/>
          <w:marTop w:val="100"/>
          <w:marBottom w:val="0"/>
          <w:divBdr>
            <w:top w:val="none" w:sz="0" w:space="0" w:color="auto"/>
            <w:left w:val="none" w:sz="0" w:space="0" w:color="auto"/>
            <w:bottom w:val="none" w:sz="0" w:space="0" w:color="auto"/>
            <w:right w:val="none" w:sz="0" w:space="0" w:color="auto"/>
          </w:divBdr>
        </w:div>
      </w:divsChild>
    </w:div>
    <w:div w:id="289745328">
      <w:bodyDiv w:val="1"/>
      <w:marLeft w:val="0"/>
      <w:marRight w:val="0"/>
      <w:marTop w:val="0"/>
      <w:marBottom w:val="0"/>
      <w:divBdr>
        <w:top w:val="none" w:sz="0" w:space="0" w:color="auto"/>
        <w:left w:val="none" w:sz="0" w:space="0" w:color="auto"/>
        <w:bottom w:val="none" w:sz="0" w:space="0" w:color="auto"/>
        <w:right w:val="none" w:sz="0" w:space="0" w:color="auto"/>
      </w:divBdr>
      <w:divsChild>
        <w:div w:id="99762493">
          <w:marLeft w:val="547"/>
          <w:marRight w:val="0"/>
          <w:marTop w:val="0"/>
          <w:marBottom w:val="0"/>
          <w:divBdr>
            <w:top w:val="none" w:sz="0" w:space="0" w:color="auto"/>
            <w:left w:val="none" w:sz="0" w:space="0" w:color="auto"/>
            <w:bottom w:val="none" w:sz="0" w:space="0" w:color="auto"/>
            <w:right w:val="none" w:sz="0" w:space="0" w:color="auto"/>
          </w:divBdr>
        </w:div>
        <w:div w:id="195116781">
          <w:marLeft w:val="1166"/>
          <w:marRight w:val="0"/>
          <w:marTop w:val="0"/>
          <w:marBottom w:val="0"/>
          <w:divBdr>
            <w:top w:val="none" w:sz="0" w:space="0" w:color="auto"/>
            <w:left w:val="none" w:sz="0" w:space="0" w:color="auto"/>
            <w:bottom w:val="none" w:sz="0" w:space="0" w:color="auto"/>
            <w:right w:val="none" w:sz="0" w:space="0" w:color="auto"/>
          </w:divBdr>
        </w:div>
        <w:div w:id="206720061">
          <w:marLeft w:val="1166"/>
          <w:marRight w:val="0"/>
          <w:marTop w:val="0"/>
          <w:marBottom w:val="0"/>
          <w:divBdr>
            <w:top w:val="none" w:sz="0" w:space="0" w:color="auto"/>
            <w:left w:val="none" w:sz="0" w:space="0" w:color="auto"/>
            <w:bottom w:val="none" w:sz="0" w:space="0" w:color="auto"/>
            <w:right w:val="none" w:sz="0" w:space="0" w:color="auto"/>
          </w:divBdr>
        </w:div>
        <w:div w:id="345013038">
          <w:marLeft w:val="547"/>
          <w:marRight w:val="0"/>
          <w:marTop w:val="0"/>
          <w:marBottom w:val="0"/>
          <w:divBdr>
            <w:top w:val="none" w:sz="0" w:space="0" w:color="auto"/>
            <w:left w:val="none" w:sz="0" w:space="0" w:color="auto"/>
            <w:bottom w:val="none" w:sz="0" w:space="0" w:color="auto"/>
            <w:right w:val="none" w:sz="0" w:space="0" w:color="auto"/>
          </w:divBdr>
        </w:div>
        <w:div w:id="362747543">
          <w:marLeft w:val="1166"/>
          <w:marRight w:val="0"/>
          <w:marTop w:val="0"/>
          <w:marBottom w:val="0"/>
          <w:divBdr>
            <w:top w:val="none" w:sz="0" w:space="0" w:color="auto"/>
            <w:left w:val="none" w:sz="0" w:space="0" w:color="auto"/>
            <w:bottom w:val="none" w:sz="0" w:space="0" w:color="auto"/>
            <w:right w:val="none" w:sz="0" w:space="0" w:color="auto"/>
          </w:divBdr>
        </w:div>
        <w:div w:id="386759765">
          <w:marLeft w:val="1166"/>
          <w:marRight w:val="0"/>
          <w:marTop w:val="0"/>
          <w:marBottom w:val="0"/>
          <w:divBdr>
            <w:top w:val="none" w:sz="0" w:space="0" w:color="auto"/>
            <w:left w:val="none" w:sz="0" w:space="0" w:color="auto"/>
            <w:bottom w:val="none" w:sz="0" w:space="0" w:color="auto"/>
            <w:right w:val="none" w:sz="0" w:space="0" w:color="auto"/>
          </w:divBdr>
        </w:div>
        <w:div w:id="440800210">
          <w:marLeft w:val="547"/>
          <w:marRight w:val="0"/>
          <w:marTop w:val="0"/>
          <w:marBottom w:val="0"/>
          <w:divBdr>
            <w:top w:val="none" w:sz="0" w:space="0" w:color="auto"/>
            <w:left w:val="none" w:sz="0" w:space="0" w:color="auto"/>
            <w:bottom w:val="none" w:sz="0" w:space="0" w:color="auto"/>
            <w:right w:val="none" w:sz="0" w:space="0" w:color="auto"/>
          </w:divBdr>
        </w:div>
        <w:div w:id="449976451">
          <w:marLeft w:val="547"/>
          <w:marRight w:val="0"/>
          <w:marTop w:val="0"/>
          <w:marBottom w:val="0"/>
          <w:divBdr>
            <w:top w:val="none" w:sz="0" w:space="0" w:color="auto"/>
            <w:left w:val="none" w:sz="0" w:space="0" w:color="auto"/>
            <w:bottom w:val="none" w:sz="0" w:space="0" w:color="auto"/>
            <w:right w:val="none" w:sz="0" w:space="0" w:color="auto"/>
          </w:divBdr>
        </w:div>
        <w:div w:id="464474174">
          <w:marLeft w:val="1166"/>
          <w:marRight w:val="0"/>
          <w:marTop w:val="0"/>
          <w:marBottom w:val="0"/>
          <w:divBdr>
            <w:top w:val="none" w:sz="0" w:space="0" w:color="auto"/>
            <w:left w:val="none" w:sz="0" w:space="0" w:color="auto"/>
            <w:bottom w:val="none" w:sz="0" w:space="0" w:color="auto"/>
            <w:right w:val="none" w:sz="0" w:space="0" w:color="auto"/>
          </w:divBdr>
        </w:div>
        <w:div w:id="508909129">
          <w:marLeft w:val="1166"/>
          <w:marRight w:val="0"/>
          <w:marTop w:val="0"/>
          <w:marBottom w:val="0"/>
          <w:divBdr>
            <w:top w:val="none" w:sz="0" w:space="0" w:color="auto"/>
            <w:left w:val="none" w:sz="0" w:space="0" w:color="auto"/>
            <w:bottom w:val="none" w:sz="0" w:space="0" w:color="auto"/>
            <w:right w:val="none" w:sz="0" w:space="0" w:color="auto"/>
          </w:divBdr>
        </w:div>
        <w:div w:id="578641551">
          <w:marLeft w:val="547"/>
          <w:marRight w:val="0"/>
          <w:marTop w:val="0"/>
          <w:marBottom w:val="0"/>
          <w:divBdr>
            <w:top w:val="none" w:sz="0" w:space="0" w:color="auto"/>
            <w:left w:val="none" w:sz="0" w:space="0" w:color="auto"/>
            <w:bottom w:val="none" w:sz="0" w:space="0" w:color="auto"/>
            <w:right w:val="none" w:sz="0" w:space="0" w:color="auto"/>
          </w:divBdr>
        </w:div>
        <w:div w:id="749541806">
          <w:marLeft w:val="547"/>
          <w:marRight w:val="0"/>
          <w:marTop w:val="0"/>
          <w:marBottom w:val="0"/>
          <w:divBdr>
            <w:top w:val="none" w:sz="0" w:space="0" w:color="auto"/>
            <w:left w:val="none" w:sz="0" w:space="0" w:color="auto"/>
            <w:bottom w:val="none" w:sz="0" w:space="0" w:color="auto"/>
            <w:right w:val="none" w:sz="0" w:space="0" w:color="auto"/>
          </w:divBdr>
        </w:div>
        <w:div w:id="841119112">
          <w:marLeft w:val="1166"/>
          <w:marRight w:val="0"/>
          <w:marTop w:val="0"/>
          <w:marBottom w:val="0"/>
          <w:divBdr>
            <w:top w:val="none" w:sz="0" w:space="0" w:color="auto"/>
            <w:left w:val="none" w:sz="0" w:space="0" w:color="auto"/>
            <w:bottom w:val="none" w:sz="0" w:space="0" w:color="auto"/>
            <w:right w:val="none" w:sz="0" w:space="0" w:color="auto"/>
          </w:divBdr>
        </w:div>
        <w:div w:id="980499281">
          <w:marLeft w:val="1166"/>
          <w:marRight w:val="0"/>
          <w:marTop w:val="0"/>
          <w:marBottom w:val="0"/>
          <w:divBdr>
            <w:top w:val="none" w:sz="0" w:space="0" w:color="auto"/>
            <w:left w:val="none" w:sz="0" w:space="0" w:color="auto"/>
            <w:bottom w:val="none" w:sz="0" w:space="0" w:color="auto"/>
            <w:right w:val="none" w:sz="0" w:space="0" w:color="auto"/>
          </w:divBdr>
        </w:div>
        <w:div w:id="1022169701">
          <w:marLeft w:val="547"/>
          <w:marRight w:val="0"/>
          <w:marTop w:val="0"/>
          <w:marBottom w:val="0"/>
          <w:divBdr>
            <w:top w:val="none" w:sz="0" w:space="0" w:color="auto"/>
            <w:left w:val="none" w:sz="0" w:space="0" w:color="auto"/>
            <w:bottom w:val="none" w:sz="0" w:space="0" w:color="auto"/>
            <w:right w:val="none" w:sz="0" w:space="0" w:color="auto"/>
          </w:divBdr>
        </w:div>
        <w:div w:id="1086993835">
          <w:marLeft w:val="1166"/>
          <w:marRight w:val="0"/>
          <w:marTop w:val="0"/>
          <w:marBottom w:val="0"/>
          <w:divBdr>
            <w:top w:val="none" w:sz="0" w:space="0" w:color="auto"/>
            <w:left w:val="none" w:sz="0" w:space="0" w:color="auto"/>
            <w:bottom w:val="none" w:sz="0" w:space="0" w:color="auto"/>
            <w:right w:val="none" w:sz="0" w:space="0" w:color="auto"/>
          </w:divBdr>
        </w:div>
        <w:div w:id="1123694241">
          <w:marLeft w:val="547"/>
          <w:marRight w:val="0"/>
          <w:marTop w:val="0"/>
          <w:marBottom w:val="0"/>
          <w:divBdr>
            <w:top w:val="none" w:sz="0" w:space="0" w:color="auto"/>
            <w:left w:val="none" w:sz="0" w:space="0" w:color="auto"/>
            <w:bottom w:val="none" w:sz="0" w:space="0" w:color="auto"/>
            <w:right w:val="none" w:sz="0" w:space="0" w:color="auto"/>
          </w:divBdr>
        </w:div>
        <w:div w:id="1185823946">
          <w:marLeft w:val="1166"/>
          <w:marRight w:val="0"/>
          <w:marTop w:val="0"/>
          <w:marBottom w:val="0"/>
          <w:divBdr>
            <w:top w:val="none" w:sz="0" w:space="0" w:color="auto"/>
            <w:left w:val="none" w:sz="0" w:space="0" w:color="auto"/>
            <w:bottom w:val="none" w:sz="0" w:space="0" w:color="auto"/>
            <w:right w:val="none" w:sz="0" w:space="0" w:color="auto"/>
          </w:divBdr>
        </w:div>
        <w:div w:id="1248926462">
          <w:marLeft w:val="1166"/>
          <w:marRight w:val="0"/>
          <w:marTop w:val="0"/>
          <w:marBottom w:val="0"/>
          <w:divBdr>
            <w:top w:val="none" w:sz="0" w:space="0" w:color="auto"/>
            <w:left w:val="none" w:sz="0" w:space="0" w:color="auto"/>
            <w:bottom w:val="none" w:sz="0" w:space="0" w:color="auto"/>
            <w:right w:val="none" w:sz="0" w:space="0" w:color="auto"/>
          </w:divBdr>
        </w:div>
        <w:div w:id="1460219070">
          <w:marLeft w:val="1166"/>
          <w:marRight w:val="0"/>
          <w:marTop w:val="0"/>
          <w:marBottom w:val="0"/>
          <w:divBdr>
            <w:top w:val="none" w:sz="0" w:space="0" w:color="auto"/>
            <w:left w:val="none" w:sz="0" w:space="0" w:color="auto"/>
            <w:bottom w:val="none" w:sz="0" w:space="0" w:color="auto"/>
            <w:right w:val="none" w:sz="0" w:space="0" w:color="auto"/>
          </w:divBdr>
        </w:div>
        <w:div w:id="1524394625">
          <w:marLeft w:val="1166"/>
          <w:marRight w:val="0"/>
          <w:marTop w:val="0"/>
          <w:marBottom w:val="0"/>
          <w:divBdr>
            <w:top w:val="none" w:sz="0" w:space="0" w:color="auto"/>
            <w:left w:val="none" w:sz="0" w:space="0" w:color="auto"/>
            <w:bottom w:val="none" w:sz="0" w:space="0" w:color="auto"/>
            <w:right w:val="none" w:sz="0" w:space="0" w:color="auto"/>
          </w:divBdr>
        </w:div>
        <w:div w:id="1633749586">
          <w:marLeft w:val="1166"/>
          <w:marRight w:val="0"/>
          <w:marTop w:val="0"/>
          <w:marBottom w:val="0"/>
          <w:divBdr>
            <w:top w:val="none" w:sz="0" w:space="0" w:color="auto"/>
            <w:left w:val="none" w:sz="0" w:space="0" w:color="auto"/>
            <w:bottom w:val="none" w:sz="0" w:space="0" w:color="auto"/>
            <w:right w:val="none" w:sz="0" w:space="0" w:color="auto"/>
          </w:divBdr>
        </w:div>
        <w:div w:id="1775978505">
          <w:marLeft w:val="1166"/>
          <w:marRight w:val="0"/>
          <w:marTop w:val="0"/>
          <w:marBottom w:val="0"/>
          <w:divBdr>
            <w:top w:val="none" w:sz="0" w:space="0" w:color="auto"/>
            <w:left w:val="none" w:sz="0" w:space="0" w:color="auto"/>
            <w:bottom w:val="none" w:sz="0" w:space="0" w:color="auto"/>
            <w:right w:val="none" w:sz="0" w:space="0" w:color="auto"/>
          </w:divBdr>
        </w:div>
        <w:div w:id="1837258007">
          <w:marLeft w:val="547"/>
          <w:marRight w:val="0"/>
          <w:marTop w:val="0"/>
          <w:marBottom w:val="0"/>
          <w:divBdr>
            <w:top w:val="none" w:sz="0" w:space="0" w:color="auto"/>
            <w:left w:val="none" w:sz="0" w:space="0" w:color="auto"/>
            <w:bottom w:val="none" w:sz="0" w:space="0" w:color="auto"/>
            <w:right w:val="none" w:sz="0" w:space="0" w:color="auto"/>
          </w:divBdr>
        </w:div>
        <w:div w:id="1852262167">
          <w:marLeft w:val="547"/>
          <w:marRight w:val="0"/>
          <w:marTop w:val="0"/>
          <w:marBottom w:val="0"/>
          <w:divBdr>
            <w:top w:val="none" w:sz="0" w:space="0" w:color="auto"/>
            <w:left w:val="none" w:sz="0" w:space="0" w:color="auto"/>
            <w:bottom w:val="none" w:sz="0" w:space="0" w:color="auto"/>
            <w:right w:val="none" w:sz="0" w:space="0" w:color="auto"/>
          </w:divBdr>
        </w:div>
        <w:div w:id="1885290119">
          <w:marLeft w:val="1166"/>
          <w:marRight w:val="0"/>
          <w:marTop w:val="0"/>
          <w:marBottom w:val="0"/>
          <w:divBdr>
            <w:top w:val="none" w:sz="0" w:space="0" w:color="auto"/>
            <w:left w:val="none" w:sz="0" w:space="0" w:color="auto"/>
            <w:bottom w:val="none" w:sz="0" w:space="0" w:color="auto"/>
            <w:right w:val="none" w:sz="0" w:space="0" w:color="auto"/>
          </w:divBdr>
        </w:div>
        <w:div w:id="1904175525">
          <w:marLeft w:val="1166"/>
          <w:marRight w:val="0"/>
          <w:marTop w:val="0"/>
          <w:marBottom w:val="0"/>
          <w:divBdr>
            <w:top w:val="none" w:sz="0" w:space="0" w:color="auto"/>
            <w:left w:val="none" w:sz="0" w:space="0" w:color="auto"/>
            <w:bottom w:val="none" w:sz="0" w:space="0" w:color="auto"/>
            <w:right w:val="none" w:sz="0" w:space="0" w:color="auto"/>
          </w:divBdr>
        </w:div>
        <w:div w:id="2043049149">
          <w:marLeft w:val="1166"/>
          <w:marRight w:val="0"/>
          <w:marTop w:val="0"/>
          <w:marBottom w:val="0"/>
          <w:divBdr>
            <w:top w:val="none" w:sz="0" w:space="0" w:color="auto"/>
            <w:left w:val="none" w:sz="0" w:space="0" w:color="auto"/>
            <w:bottom w:val="none" w:sz="0" w:space="0" w:color="auto"/>
            <w:right w:val="none" w:sz="0" w:space="0" w:color="auto"/>
          </w:divBdr>
        </w:div>
        <w:div w:id="2119369950">
          <w:marLeft w:val="547"/>
          <w:marRight w:val="0"/>
          <w:marTop w:val="0"/>
          <w:marBottom w:val="0"/>
          <w:divBdr>
            <w:top w:val="none" w:sz="0" w:space="0" w:color="auto"/>
            <w:left w:val="none" w:sz="0" w:space="0" w:color="auto"/>
            <w:bottom w:val="none" w:sz="0" w:space="0" w:color="auto"/>
            <w:right w:val="none" w:sz="0" w:space="0" w:color="auto"/>
          </w:divBdr>
        </w:div>
      </w:divsChild>
    </w:div>
    <w:div w:id="296646686">
      <w:bodyDiv w:val="1"/>
      <w:marLeft w:val="0"/>
      <w:marRight w:val="0"/>
      <w:marTop w:val="0"/>
      <w:marBottom w:val="0"/>
      <w:divBdr>
        <w:top w:val="none" w:sz="0" w:space="0" w:color="auto"/>
        <w:left w:val="none" w:sz="0" w:space="0" w:color="auto"/>
        <w:bottom w:val="none" w:sz="0" w:space="0" w:color="auto"/>
        <w:right w:val="none" w:sz="0" w:space="0" w:color="auto"/>
      </w:divBdr>
      <w:divsChild>
        <w:div w:id="41515264">
          <w:marLeft w:val="1080"/>
          <w:marRight w:val="0"/>
          <w:marTop w:val="100"/>
          <w:marBottom w:val="0"/>
          <w:divBdr>
            <w:top w:val="none" w:sz="0" w:space="0" w:color="auto"/>
            <w:left w:val="none" w:sz="0" w:space="0" w:color="auto"/>
            <w:bottom w:val="none" w:sz="0" w:space="0" w:color="auto"/>
            <w:right w:val="none" w:sz="0" w:space="0" w:color="auto"/>
          </w:divBdr>
        </w:div>
        <w:div w:id="158425112">
          <w:marLeft w:val="360"/>
          <w:marRight w:val="0"/>
          <w:marTop w:val="200"/>
          <w:marBottom w:val="0"/>
          <w:divBdr>
            <w:top w:val="none" w:sz="0" w:space="0" w:color="auto"/>
            <w:left w:val="none" w:sz="0" w:space="0" w:color="auto"/>
            <w:bottom w:val="none" w:sz="0" w:space="0" w:color="auto"/>
            <w:right w:val="none" w:sz="0" w:space="0" w:color="auto"/>
          </w:divBdr>
        </w:div>
        <w:div w:id="345794825">
          <w:marLeft w:val="1080"/>
          <w:marRight w:val="0"/>
          <w:marTop w:val="100"/>
          <w:marBottom w:val="0"/>
          <w:divBdr>
            <w:top w:val="none" w:sz="0" w:space="0" w:color="auto"/>
            <w:left w:val="none" w:sz="0" w:space="0" w:color="auto"/>
            <w:bottom w:val="none" w:sz="0" w:space="0" w:color="auto"/>
            <w:right w:val="none" w:sz="0" w:space="0" w:color="auto"/>
          </w:divBdr>
        </w:div>
        <w:div w:id="378557996">
          <w:marLeft w:val="1080"/>
          <w:marRight w:val="0"/>
          <w:marTop w:val="100"/>
          <w:marBottom w:val="0"/>
          <w:divBdr>
            <w:top w:val="none" w:sz="0" w:space="0" w:color="auto"/>
            <w:left w:val="none" w:sz="0" w:space="0" w:color="auto"/>
            <w:bottom w:val="none" w:sz="0" w:space="0" w:color="auto"/>
            <w:right w:val="none" w:sz="0" w:space="0" w:color="auto"/>
          </w:divBdr>
        </w:div>
        <w:div w:id="474034805">
          <w:marLeft w:val="360"/>
          <w:marRight w:val="0"/>
          <w:marTop w:val="200"/>
          <w:marBottom w:val="0"/>
          <w:divBdr>
            <w:top w:val="none" w:sz="0" w:space="0" w:color="auto"/>
            <w:left w:val="none" w:sz="0" w:space="0" w:color="auto"/>
            <w:bottom w:val="none" w:sz="0" w:space="0" w:color="auto"/>
            <w:right w:val="none" w:sz="0" w:space="0" w:color="auto"/>
          </w:divBdr>
        </w:div>
        <w:div w:id="608119973">
          <w:marLeft w:val="1080"/>
          <w:marRight w:val="0"/>
          <w:marTop w:val="100"/>
          <w:marBottom w:val="0"/>
          <w:divBdr>
            <w:top w:val="none" w:sz="0" w:space="0" w:color="auto"/>
            <w:left w:val="none" w:sz="0" w:space="0" w:color="auto"/>
            <w:bottom w:val="none" w:sz="0" w:space="0" w:color="auto"/>
            <w:right w:val="none" w:sz="0" w:space="0" w:color="auto"/>
          </w:divBdr>
        </w:div>
        <w:div w:id="1026831712">
          <w:marLeft w:val="1080"/>
          <w:marRight w:val="0"/>
          <w:marTop w:val="100"/>
          <w:marBottom w:val="0"/>
          <w:divBdr>
            <w:top w:val="none" w:sz="0" w:space="0" w:color="auto"/>
            <w:left w:val="none" w:sz="0" w:space="0" w:color="auto"/>
            <w:bottom w:val="none" w:sz="0" w:space="0" w:color="auto"/>
            <w:right w:val="none" w:sz="0" w:space="0" w:color="auto"/>
          </w:divBdr>
        </w:div>
        <w:div w:id="1077628263">
          <w:marLeft w:val="1080"/>
          <w:marRight w:val="0"/>
          <w:marTop w:val="100"/>
          <w:marBottom w:val="0"/>
          <w:divBdr>
            <w:top w:val="none" w:sz="0" w:space="0" w:color="auto"/>
            <w:left w:val="none" w:sz="0" w:space="0" w:color="auto"/>
            <w:bottom w:val="none" w:sz="0" w:space="0" w:color="auto"/>
            <w:right w:val="none" w:sz="0" w:space="0" w:color="auto"/>
          </w:divBdr>
        </w:div>
        <w:div w:id="1104687632">
          <w:marLeft w:val="360"/>
          <w:marRight w:val="0"/>
          <w:marTop w:val="200"/>
          <w:marBottom w:val="0"/>
          <w:divBdr>
            <w:top w:val="none" w:sz="0" w:space="0" w:color="auto"/>
            <w:left w:val="none" w:sz="0" w:space="0" w:color="auto"/>
            <w:bottom w:val="none" w:sz="0" w:space="0" w:color="auto"/>
            <w:right w:val="none" w:sz="0" w:space="0" w:color="auto"/>
          </w:divBdr>
        </w:div>
        <w:div w:id="1733118714">
          <w:marLeft w:val="360"/>
          <w:marRight w:val="0"/>
          <w:marTop w:val="200"/>
          <w:marBottom w:val="0"/>
          <w:divBdr>
            <w:top w:val="none" w:sz="0" w:space="0" w:color="auto"/>
            <w:left w:val="none" w:sz="0" w:space="0" w:color="auto"/>
            <w:bottom w:val="none" w:sz="0" w:space="0" w:color="auto"/>
            <w:right w:val="none" w:sz="0" w:space="0" w:color="auto"/>
          </w:divBdr>
        </w:div>
        <w:div w:id="1995257593">
          <w:marLeft w:val="1080"/>
          <w:marRight w:val="0"/>
          <w:marTop w:val="100"/>
          <w:marBottom w:val="0"/>
          <w:divBdr>
            <w:top w:val="none" w:sz="0" w:space="0" w:color="auto"/>
            <w:left w:val="none" w:sz="0" w:space="0" w:color="auto"/>
            <w:bottom w:val="none" w:sz="0" w:space="0" w:color="auto"/>
            <w:right w:val="none" w:sz="0" w:space="0" w:color="auto"/>
          </w:divBdr>
        </w:div>
        <w:div w:id="2001617901">
          <w:marLeft w:val="1080"/>
          <w:marRight w:val="0"/>
          <w:marTop w:val="100"/>
          <w:marBottom w:val="0"/>
          <w:divBdr>
            <w:top w:val="none" w:sz="0" w:space="0" w:color="auto"/>
            <w:left w:val="none" w:sz="0" w:space="0" w:color="auto"/>
            <w:bottom w:val="none" w:sz="0" w:space="0" w:color="auto"/>
            <w:right w:val="none" w:sz="0" w:space="0" w:color="auto"/>
          </w:divBdr>
        </w:div>
      </w:divsChild>
    </w:div>
    <w:div w:id="421799453">
      <w:bodyDiv w:val="1"/>
      <w:marLeft w:val="0"/>
      <w:marRight w:val="0"/>
      <w:marTop w:val="0"/>
      <w:marBottom w:val="0"/>
      <w:divBdr>
        <w:top w:val="none" w:sz="0" w:space="0" w:color="auto"/>
        <w:left w:val="none" w:sz="0" w:space="0" w:color="auto"/>
        <w:bottom w:val="none" w:sz="0" w:space="0" w:color="auto"/>
        <w:right w:val="none" w:sz="0" w:space="0" w:color="auto"/>
      </w:divBdr>
    </w:div>
    <w:div w:id="442924719">
      <w:bodyDiv w:val="1"/>
      <w:marLeft w:val="0"/>
      <w:marRight w:val="0"/>
      <w:marTop w:val="0"/>
      <w:marBottom w:val="0"/>
      <w:divBdr>
        <w:top w:val="none" w:sz="0" w:space="0" w:color="auto"/>
        <w:left w:val="none" w:sz="0" w:space="0" w:color="auto"/>
        <w:bottom w:val="none" w:sz="0" w:space="0" w:color="auto"/>
        <w:right w:val="none" w:sz="0" w:space="0" w:color="auto"/>
      </w:divBdr>
      <w:divsChild>
        <w:div w:id="342438205">
          <w:marLeft w:val="547"/>
          <w:marRight w:val="0"/>
          <w:marTop w:val="0"/>
          <w:marBottom w:val="0"/>
          <w:divBdr>
            <w:top w:val="none" w:sz="0" w:space="0" w:color="auto"/>
            <w:left w:val="none" w:sz="0" w:space="0" w:color="auto"/>
            <w:bottom w:val="none" w:sz="0" w:space="0" w:color="auto"/>
            <w:right w:val="none" w:sz="0" w:space="0" w:color="auto"/>
          </w:divBdr>
        </w:div>
      </w:divsChild>
    </w:div>
    <w:div w:id="474222995">
      <w:bodyDiv w:val="1"/>
      <w:marLeft w:val="0"/>
      <w:marRight w:val="0"/>
      <w:marTop w:val="0"/>
      <w:marBottom w:val="0"/>
      <w:divBdr>
        <w:top w:val="none" w:sz="0" w:space="0" w:color="auto"/>
        <w:left w:val="none" w:sz="0" w:space="0" w:color="auto"/>
        <w:bottom w:val="none" w:sz="0" w:space="0" w:color="auto"/>
        <w:right w:val="none" w:sz="0" w:space="0" w:color="auto"/>
      </w:divBdr>
      <w:divsChild>
        <w:div w:id="313147384">
          <w:marLeft w:val="360"/>
          <w:marRight w:val="0"/>
          <w:marTop w:val="200"/>
          <w:marBottom w:val="0"/>
          <w:divBdr>
            <w:top w:val="none" w:sz="0" w:space="0" w:color="auto"/>
            <w:left w:val="none" w:sz="0" w:space="0" w:color="auto"/>
            <w:bottom w:val="none" w:sz="0" w:space="0" w:color="auto"/>
            <w:right w:val="none" w:sz="0" w:space="0" w:color="auto"/>
          </w:divBdr>
        </w:div>
        <w:div w:id="748768839">
          <w:marLeft w:val="360"/>
          <w:marRight w:val="0"/>
          <w:marTop w:val="200"/>
          <w:marBottom w:val="0"/>
          <w:divBdr>
            <w:top w:val="none" w:sz="0" w:space="0" w:color="auto"/>
            <w:left w:val="none" w:sz="0" w:space="0" w:color="auto"/>
            <w:bottom w:val="none" w:sz="0" w:space="0" w:color="auto"/>
            <w:right w:val="none" w:sz="0" w:space="0" w:color="auto"/>
          </w:divBdr>
        </w:div>
        <w:div w:id="771047219">
          <w:marLeft w:val="360"/>
          <w:marRight w:val="0"/>
          <w:marTop w:val="200"/>
          <w:marBottom w:val="0"/>
          <w:divBdr>
            <w:top w:val="none" w:sz="0" w:space="0" w:color="auto"/>
            <w:left w:val="none" w:sz="0" w:space="0" w:color="auto"/>
            <w:bottom w:val="none" w:sz="0" w:space="0" w:color="auto"/>
            <w:right w:val="none" w:sz="0" w:space="0" w:color="auto"/>
          </w:divBdr>
        </w:div>
        <w:div w:id="915475195">
          <w:marLeft w:val="360"/>
          <w:marRight w:val="0"/>
          <w:marTop w:val="200"/>
          <w:marBottom w:val="0"/>
          <w:divBdr>
            <w:top w:val="none" w:sz="0" w:space="0" w:color="auto"/>
            <w:left w:val="none" w:sz="0" w:space="0" w:color="auto"/>
            <w:bottom w:val="none" w:sz="0" w:space="0" w:color="auto"/>
            <w:right w:val="none" w:sz="0" w:space="0" w:color="auto"/>
          </w:divBdr>
        </w:div>
        <w:div w:id="1353796355">
          <w:marLeft w:val="360"/>
          <w:marRight w:val="0"/>
          <w:marTop w:val="200"/>
          <w:marBottom w:val="0"/>
          <w:divBdr>
            <w:top w:val="none" w:sz="0" w:space="0" w:color="auto"/>
            <w:left w:val="none" w:sz="0" w:space="0" w:color="auto"/>
            <w:bottom w:val="none" w:sz="0" w:space="0" w:color="auto"/>
            <w:right w:val="none" w:sz="0" w:space="0" w:color="auto"/>
          </w:divBdr>
        </w:div>
        <w:div w:id="2136950391">
          <w:marLeft w:val="360"/>
          <w:marRight w:val="0"/>
          <w:marTop w:val="200"/>
          <w:marBottom w:val="0"/>
          <w:divBdr>
            <w:top w:val="none" w:sz="0" w:space="0" w:color="auto"/>
            <w:left w:val="none" w:sz="0" w:space="0" w:color="auto"/>
            <w:bottom w:val="none" w:sz="0" w:space="0" w:color="auto"/>
            <w:right w:val="none" w:sz="0" w:space="0" w:color="auto"/>
          </w:divBdr>
        </w:div>
      </w:divsChild>
    </w:div>
    <w:div w:id="475341317">
      <w:bodyDiv w:val="1"/>
      <w:marLeft w:val="0"/>
      <w:marRight w:val="0"/>
      <w:marTop w:val="0"/>
      <w:marBottom w:val="0"/>
      <w:divBdr>
        <w:top w:val="none" w:sz="0" w:space="0" w:color="auto"/>
        <w:left w:val="none" w:sz="0" w:space="0" w:color="auto"/>
        <w:bottom w:val="none" w:sz="0" w:space="0" w:color="auto"/>
        <w:right w:val="none" w:sz="0" w:space="0" w:color="auto"/>
      </w:divBdr>
      <w:divsChild>
        <w:div w:id="35082034">
          <w:marLeft w:val="1166"/>
          <w:marRight w:val="0"/>
          <w:marTop w:val="0"/>
          <w:marBottom w:val="0"/>
          <w:divBdr>
            <w:top w:val="none" w:sz="0" w:space="0" w:color="auto"/>
            <w:left w:val="none" w:sz="0" w:space="0" w:color="auto"/>
            <w:bottom w:val="none" w:sz="0" w:space="0" w:color="auto"/>
            <w:right w:val="none" w:sz="0" w:space="0" w:color="auto"/>
          </w:divBdr>
        </w:div>
        <w:div w:id="51580957">
          <w:marLeft w:val="1166"/>
          <w:marRight w:val="0"/>
          <w:marTop w:val="0"/>
          <w:marBottom w:val="0"/>
          <w:divBdr>
            <w:top w:val="none" w:sz="0" w:space="0" w:color="auto"/>
            <w:left w:val="none" w:sz="0" w:space="0" w:color="auto"/>
            <w:bottom w:val="none" w:sz="0" w:space="0" w:color="auto"/>
            <w:right w:val="none" w:sz="0" w:space="0" w:color="auto"/>
          </w:divBdr>
        </w:div>
        <w:div w:id="72166800">
          <w:marLeft w:val="1166"/>
          <w:marRight w:val="0"/>
          <w:marTop w:val="0"/>
          <w:marBottom w:val="0"/>
          <w:divBdr>
            <w:top w:val="none" w:sz="0" w:space="0" w:color="auto"/>
            <w:left w:val="none" w:sz="0" w:space="0" w:color="auto"/>
            <w:bottom w:val="none" w:sz="0" w:space="0" w:color="auto"/>
            <w:right w:val="none" w:sz="0" w:space="0" w:color="auto"/>
          </w:divBdr>
        </w:div>
        <w:div w:id="76751553">
          <w:marLeft w:val="1166"/>
          <w:marRight w:val="0"/>
          <w:marTop w:val="0"/>
          <w:marBottom w:val="0"/>
          <w:divBdr>
            <w:top w:val="none" w:sz="0" w:space="0" w:color="auto"/>
            <w:left w:val="none" w:sz="0" w:space="0" w:color="auto"/>
            <w:bottom w:val="none" w:sz="0" w:space="0" w:color="auto"/>
            <w:right w:val="none" w:sz="0" w:space="0" w:color="auto"/>
          </w:divBdr>
        </w:div>
        <w:div w:id="98765982">
          <w:marLeft w:val="1166"/>
          <w:marRight w:val="0"/>
          <w:marTop w:val="0"/>
          <w:marBottom w:val="0"/>
          <w:divBdr>
            <w:top w:val="none" w:sz="0" w:space="0" w:color="auto"/>
            <w:left w:val="none" w:sz="0" w:space="0" w:color="auto"/>
            <w:bottom w:val="none" w:sz="0" w:space="0" w:color="auto"/>
            <w:right w:val="none" w:sz="0" w:space="0" w:color="auto"/>
          </w:divBdr>
        </w:div>
        <w:div w:id="101996417">
          <w:marLeft w:val="1166"/>
          <w:marRight w:val="0"/>
          <w:marTop w:val="0"/>
          <w:marBottom w:val="0"/>
          <w:divBdr>
            <w:top w:val="none" w:sz="0" w:space="0" w:color="auto"/>
            <w:left w:val="none" w:sz="0" w:space="0" w:color="auto"/>
            <w:bottom w:val="none" w:sz="0" w:space="0" w:color="auto"/>
            <w:right w:val="none" w:sz="0" w:space="0" w:color="auto"/>
          </w:divBdr>
        </w:div>
        <w:div w:id="251013415">
          <w:marLeft w:val="547"/>
          <w:marRight w:val="0"/>
          <w:marTop w:val="0"/>
          <w:marBottom w:val="0"/>
          <w:divBdr>
            <w:top w:val="none" w:sz="0" w:space="0" w:color="auto"/>
            <w:left w:val="none" w:sz="0" w:space="0" w:color="auto"/>
            <w:bottom w:val="none" w:sz="0" w:space="0" w:color="auto"/>
            <w:right w:val="none" w:sz="0" w:space="0" w:color="auto"/>
          </w:divBdr>
        </w:div>
        <w:div w:id="291399666">
          <w:marLeft w:val="547"/>
          <w:marRight w:val="0"/>
          <w:marTop w:val="0"/>
          <w:marBottom w:val="0"/>
          <w:divBdr>
            <w:top w:val="none" w:sz="0" w:space="0" w:color="auto"/>
            <w:left w:val="none" w:sz="0" w:space="0" w:color="auto"/>
            <w:bottom w:val="none" w:sz="0" w:space="0" w:color="auto"/>
            <w:right w:val="none" w:sz="0" w:space="0" w:color="auto"/>
          </w:divBdr>
        </w:div>
        <w:div w:id="342510227">
          <w:marLeft w:val="547"/>
          <w:marRight w:val="0"/>
          <w:marTop w:val="0"/>
          <w:marBottom w:val="0"/>
          <w:divBdr>
            <w:top w:val="none" w:sz="0" w:space="0" w:color="auto"/>
            <w:left w:val="none" w:sz="0" w:space="0" w:color="auto"/>
            <w:bottom w:val="none" w:sz="0" w:space="0" w:color="auto"/>
            <w:right w:val="none" w:sz="0" w:space="0" w:color="auto"/>
          </w:divBdr>
        </w:div>
        <w:div w:id="404188781">
          <w:marLeft w:val="547"/>
          <w:marRight w:val="0"/>
          <w:marTop w:val="0"/>
          <w:marBottom w:val="0"/>
          <w:divBdr>
            <w:top w:val="none" w:sz="0" w:space="0" w:color="auto"/>
            <w:left w:val="none" w:sz="0" w:space="0" w:color="auto"/>
            <w:bottom w:val="none" w:sz="0" w:space="0" w:color="auto"/>
            <w:right w:val="none" w:sz="0" w:space="0" w:color="auto"/>
          </w:divBdr>
        </w:div>
        <w:div w:id="477188878">
          <w:marLeft w:val="547"/>
          <w:marRight w:val="0"/>
          <w:marTop w:val="0"/>
          <w:marBottom w:val="0"/>
          <w:divBdr>
            <w:top w:val="none" w:sz="0" w:space="0" w:color="auto"/>
            <w:left w:val="none" w:sz="0" w:space="0" w:color="auto"/>
            <w:bottom w:val="none" w:sz="0" w:space="0" w:color="auto"/>
            <w:right w:val="none" w:sz="0" w:space="0" w:color="auto"/>
          </w:divBdr>
        </w:div>
        <w:div w:id="524949648">
          <w:marLeft w:val="1166"/>
          <w:marRight w:val="0"/>
          <w:marTop w:val="0"/>
          <w:marBottom w:val="0"/>
          <w:divBdr>
            <w:top w:val="none" w:sz="0" w:space="0" w:color="auto"/>
            <w:left w:val="none" w:sz="0" w:space="0" w:color="auto"/>
            <w:bottom w:val="none" w:sz="0" w:space="0" w:color="auto"/>
            <w:right w:val="none" w:sz="0" w:space="0" w:color="auto"/>
          </w:divBdr>
        </w:div>
        <w:div w:id="583298669">
          <w:marLeft w:val="1166"/>
          <w:marRight w:val="0"/>
          <w:marTop w:val="0"/>
          <w:marBottom w:val="0"/>
          <w:divBdr>
            <w:top w:val="none" w:sz="0" w:space="0" w:color="auto"/>
            <w:left w:val="none" w:sz="0" w:space="0" w:color="auto"/>
            <w:bottom w:val="none" w:sz="0" w:space="0" w:color="auto"/>
            <w:right w:val="none" w:sz="0" w:space="0" w:color="auto"/>
          </w:divBdr>
        </w:div>
        <w:div w:id="610481139">
          <w:marLeft w:val="547"/>
          <w:marRight w:val="0"/>
          <w:marTop w:val="0"/>
          <w:marBottom w:val="0"/>
          <w:divBdr>
            <w:top w:val="none" w:sz="0" w:space="0" w:color="auto"/>
            <w:left w:val="none" w:sz="0" w:space="0" w:color="auto"/>
            <w:bottom w:val="none" w:sz="0" w:space="0" w:color="auto"/>
            <w:right w:val="none" w:sz="0" w:space="0" w:color="auto"/>
          </w:divBdr>
        </w:div>
        <w:div w:id="713584118">
          <w:marLeft w:val="547"/>
          <w:marRight w:val="0"/>
          <w:marTop w:val="0"/>
          <w:marBottom w:val="0"/>
          <w:divBdr>
            <w:top w:val="none" w:sz="0" w:space="0" w:color="auto"/>
            <w:left w:val="none" w:sz="0" w:space="0" w:color="auto"/>
            <w:bottom w:val="none" w:sz="0" w:space="0" w:color="auto"/>
            <w:right w:val="none" w:sz="0" w:space="0" w:color="auto"/>
          </w:divBdr>
        </w:div>
        <w:div w:id="764961874">
          <w:marLeft w:val="1166"/>
          <w:marRight w:val="0"/>
          <w:marTop w:val="0"/>
          <w:marBottom w:val="0"/>
          <w:divBdr>
            <w:top w:val="none" w:sz="0" w:space="0" w:color="auto"/>
            <w:left w:val="none" w:sz="0" w:space="0" w:color="auto"/>
            <w:bottom w:val="none" w:sz="0" w:space="0" w:color="auto"/>
            <w:right w:val="none" w:sz="0" w:space="0" w:color="auto"/>
          </w:divBdr>
        </w:div>
        <w:div w:id="910113529">
          <w:marLeft w:val="547"/>
          <w:marRight w:val="0"/>
          <w:marTop w:val="0"/>
          <w:marBottom w:val="0"/>
          <w:divBdr>
            <w:top w:val="none" w:sz="0" w:space="0" w:color="auto"/>
            <w:left w:val="none" w:sz="0" w:space="0" w:color="auto"/>
            <w:bottom w:val="none" w:sz="0" w:space="0" w:color="auto"/>
            <w:right w:val="none" w:sz="0" w:space="0" w:color="auto"/>
          </w:divBdr>
        </w:div>
        <w:div w:id="925726770">
          <w:marLeft w:val="1166"/>
          <w:marRight w:val="0"/>
          <w:marTop w:val="0"/>
          <w:marBottom w:val="0"/>
          <w:divBdr>
            <w:top w:val="none" w:sz="0" w:space="0" w:color="auto"/>
            <w:left w:val="none" w:sz="0" w:space="0" w:color="auto"/>
            <w:bottom w:val="none" w:sz="0" w:space="0" w:color="auto"/>
            <w:right w:val="none" w:sz="0" w:space="0" w:color="auto"/>
          </w:divBdr>
        </w:div>
        <w:div w:id="1042366468">
          <w:marLeft w:val="547"/>
          <w:marRight w:val="0"/>
          <w:marTop w:val="0"/>
          <w:marBottom w:val="0"/>
          <w:divBdr>
            <w:top w:val="none" w:sz="0" w:space="0" w:color="auto"/>
            <w:left w:val="none" w:sz="0" w:space="0" w:color="auto"/>
            <w:bottom w:val="none" w:sz="0" w:space="0" w:color="auto"/>
            <w:right w:val="none" w:sz="0" w:space="0" w:color="auto"/>
          </w:divBdr>
        </w:div>
        <w:div w:id="1397825293">
          <w:marLeft w:val="547"/>
          <w:marRight w:val="0"/>
          <w:marTop w:val="0"/>
          <w:marBottom w:val="0"/>
          <w:divBdr>
            <w:top w:val="none" w:sz="0" w:space="0" w:color="auto"/>
            <w:left w:val="none" w:sz="0" w:space="0" w:color="auto"/>
            <w:bottom w:val="none" w:sz="0" w:space="0" w:color="auto"/>
            <w:right w:val="none" w:sz="0" w:space="0" w:color="auto"/>
          </w:divBdr>
        </w:div>
        <w:div w:id="1442993999">
          <w:marLeft w:val="1166"/>
          <w:marRight w:val="0"/>
          <w:marTop w:val="0"/>
          <w:marBottom w:val="0"/>
          <w:divBdr>
            <w:top w:val="none" w:sz="0" w:space="0" w:color="auto"/>
            <w:left w:val="none" w:sz="0" w:space="0" w:color="auto"/>
            <w:bottom w:val="none" w:sz="0" w:space="0" w:color="auto"/>
            <w:right w:val="none" w:sz="0" w:space="0" w:color="auto"/>
          </w:divBdr>
        </w:div>
        <w:div w:id="1457144275">
          <w:marLeft w:val="547"/>
          <w:marRight w:val="0"/>
          <w:marTop w:val="0"/>
          <w:marBottom w:val="0"/>
          <w:divBdr>
            <w:top w:val="none" w:sz="0" w:space="0" w:color="auto"/>
            <w:left w:val="none" w:sz="0" w:space="0" w:color="auto"/>
            <w:bottom w:val="none" w:sz="0" w:space="0" w:color="auto"/>
            <w:right w:val="none" w:sz="0" w:space="0" w:color="auto"/>
          </w:divBdr>
        </w:div>
        <w:div w:id="1594893337">
          <w:marLeft w:val="547"/>
          <w:marRight w:val="0"/>
          <w:marTop w:val="0"/>
          <w:marBottom w:val="0"/>
          <w:divBdr>
            <w:top w:val="none" w:sz="0" w:space="0" w:color="auto"/>
            <w:left w:val="none" w:sz="0" w:space="0" w:color="auto"/>
            <w:bottom w:val="none" w:sz="0" w:space="0" w:color="auto"/>
            <w:right w:val="none" w:sz="0" w:space="0" w:color="auto"/>
          </w:divBdr>
        </w:div>
        <w:div w:id="1726637687">
          <w:marLeft w:val="1166"/>
          <w:marRight w:val="0"/>
          <w:marTop w:val="0"/>
          <w:marBottom w:val="0"/>
          <w:divBdr>
            <w:top w:val="none" w:sz="0" w:space="0" w:color="auto"/>
            <w:left w:val="none" w:sz="0" w:space="0" w:color="auto"/>
            <w:bottom w:val="none" w:sz="0" w:space="0" w:color="auto"/>
            <w:right w:val="none" w:sz="0" w:space="0" w:color="auto"/>
          </w:divBdr>
        </w:div>
        <w:div w:id="1852795948">
          <w:marLeft w:val="1166"/>
          <w:marRight w:val="0"/>
          <w:marTop w:val="0"/>
          <w:marBottom w:val="0"/>
          <w:divBdr>
            <w:top w:val="none" w:sz="0" w:space="0" w:color="auto"/>
            <w:left w:val="none" w:sz="0" w:space="0" w:color="auto"/>
            <w:bottom w:val="none" w:sz="0" w:space="0" w:color="auto"/>
            <w:right w:val="none" w:sz="0" w:space="0" w:color="auto"/>
          </w:divBdr>
        </w:div>
        <w:div w:id="1922789365">
          <w:marLeft w:val="547"/>
          <w:marRight w:val="0"/>
          <w:marTop w:val="0"/>
          <w:marBottom w:val="0"/>
          <w:divBdr>
            <w:top w:val="none" w:sz="0" w:space="0" w:color="auto"/>
            <w:left w:val="none" w:sz="0" w:space="0" w:color="auto"/>
            <w:bottom w:val="none" w:sz="0" w:space="0" w:color="auto"/>
            <w:right w:val="none" w:sz="0" w:space="0" w:color="auto"/>
          </w:divBdr>
        </w:div>
      </w:divsChild>
    </w:div>
    <w:div w:id="497888850">
      <w:bodyDiv w:val="1"/>
      <w:marLeft w:val="0"/>
      <w:marRight w:val="0"/>
      <w:marTop w:val="0"/>
      <w:marBottom w:val="0"/>
      <w:divBdr>
        <w:top w:val="none" w:sz="0" w:space="0" w:color="auto"/>
        <w:left w:val="none" w:sz="0" w:space="0" w:color="auto"/>
        <w:bottom w:val="none" w:sz="0" w:space="0" w:color="auto"/>
        <w:right w:val="none" w:sz="0" w:space="0" w:color="auto"/>
      </w:divBdr>
    </w:div>
    <w:div w:id="551815377">
      <w:bodyDiv w:val="1"/>
      <w:marLeft w:val="0"/>
      <w:marRight w:val="0"/>
      <w:marTop w:val="0"/>
      <w:marBottom w:val="0"/>
      <w:divBdr>
        <w:top w:val="none" w:sz="0" w:space="0" w:color="auto"/>
        <w:left w:val="none" w:sz="0" w:space="0" w:color="auto"/>
        <w:bottom w:val="none" w:sz="0" w:space="0" w:color="auto"/>
        <w:right w:val="none" w:sz="0" w:space="0" w:color="auto"/>
      </w:divBdr>
    </w:div>
    <w:div w:id="583075775">
      <w:bodyDiv w:val="1"/>
      <w:marLeft w:val="0"/>
      <w:marRight w:val="0"/>
      <w:marTop w:val="0"/>
      <w:marBottom w:val="0"/>
      <w:divBdr>
        <w:top w:val="none" w:sz="0" w:space="0" w:color="auto"/>
        <w:left w:val="none" w:sz="0" w:space="0" w:color="auto"/>
        <w:bottom w:val="none" w:sz="0" w:space="0" w:color="auto"/>
        <w:right w:val="none" w:sz="0" w:space="0" w:color="auto"/>
      </w:divBdr>
      <w:divsChild>
        <w:div w:id="124080678">
          <w:marLeft w:val="360"/>
          <w:marRight w:val="0"/>
          <w:marTop w:val="200"/>
          <w:marBottom w:val="0"/>
          <w:divBdr>
            <w:top w:val="none" w:sz="0" w:space="0" w:color="auto"/>
            <w:left w:val="none" w:sz="0" w:space="0" w:color="auto"/>
            <w:bottom w:val="none" w:sz="0" w:space="0" w:color="auto"/>
            <w:right w:val="none" w:sz="0" w:space="0" w:color="auto"/>
          </w:divBdr>
        </w:div>
        <w:div w:id="156769172">
          <w:marLeft w:val="1080"/>
          <w:marRight w:val="0"/>
          <w:marTop w:val="100"/>
          <w:marBottom w:val="0"/>
          <w:divBdr>
            <w:top w:val="none" w:sz="0" w:space="0" w:color="auto"/>
            <w:left w:val="none" w:sz="0" w:space="0" w:color="auto"/>
            <w:bottom w:val="none" w:sz="0" w:space="0" w:color="auto"/>
            <w:right w:val="none" w:sz="0" w:space="0" w:color="auto"/>
          </w:divBdr>
        </w:div>
        <w:div w:id="1273172996">
          <w:marLeft w:val="360"/>
          <w:marRight w:val="0"/>
          <w:marTop w:val="200"/>
          <w:marBottom w:val="0"/>
          <w:divBdr>
            <w:top w:val="none" w:sz="0" w:space="0" w:color="auto"/>
            <w:left w:val="none" w:sz="0" w:space="0" w:color="auto"/>
            <w:bottom w:val="none" w:sz="0" w:space="0" w:color="auto"/>
            <w:right w:val="none" w:sz="0" w:space="0" w:color="auto"/>
          </w:divBdr>
        </w:div>
        <w:div w:id="1286816005">
          <w:marLeft w:val="1080"/>
          <w:marRight w:val="0"/>
          <w:marTop w:val="100"/>
          <w:marBottom w:val="0"/>
          <w:divBdr>
            <w:top w:val="none" w:sz="0" w:space="0" w:color="auto"/>
            <w:left w:val="none" w:sz="0" w:space="0" w:color="auto"/>
            <w:bottom w:val="none" w:sz="0" w:space="0" w:color="auto"/>
            <w:right w:val="none" w:sz="0" w:space="0" w:color="auto"/>
          </w:divBdr>
        </w:div>
        <w:div w:id="1504203025">
          <w:marLeft w:val="1080"/>
          <w:marRight w:val="0"/>
          <w:marTop w:val="100"/>
          <w:marBottom w:val="0"/>
          <w:divBdr>
            <w:top w:val="none" w:sz="0" w:space="0" w:color="auto"/>
            <w:left w:val="none" w:sz="0" w:space="0" w:color="auto"/>
            <w:bottom w:val="none" w:sz="0" w:space="0" w:color="auto"/>
            <w:right w:val="none" w:sz="0" w:space="0" w:color="auto"/>
          </w:divBdr>
        </w:div>
        <w:div w:id="1635328309">
          <w:marLeft w:val="1080"/>
          <w:marRight w:val="0"/>
          <w:marTop w:val="100"/>
          <w:marBottom w:val="0"/>
          <w:divBdr>
            <w:top w:val="none" w:sz="0" w:space="0" w:color="auto"/>
            <w:left w:val="none" w:sz="0" w:space="0" w:color="auto"/>
            <w:bottom w:val="none" w:sz="0" w:space="0" w:color="auto"/>
            <w:right w:val="none" w:sz="0" w:space="0" w:color="auto"/>
          </w:divBdr>
        </w:div>
      </w:divsChild>
    </w:div>
    <w:div w:id="614138738">
      <w:bodyDiv w:val="1"/>
      <w:marLeft w:val="0"/>
      <w:marRight w:val="0"/>
      <w:marTop w:val="0"/>
      <w:marBottom w:val="0"/>
      <w:divBdr>
        <w:top w:val="none" w:sz="0" w:space="0" w:color="auto"/>
        <w:left w:val="none" w:sz="0" w:space="0" w:color="auto"/>
        <w:bottom w:val="none" w:sz="0" w:space="0" w:color="auto"/>
        <w:right w:val="none" w:sz="0" w:space="0" w:color="auto"/>
      </w:divBdr>
      <w:divsChild>
        <w:div w:id="822546391">
          <w:marLeft w:val="360"/>
          <w:marRight w:val="0"/>
          <w:marTop w:val="200"/>
          <w:marBottom w:val="0"/>
          <w:divBdr>
            <w:top w:val="none" w:sz="0" w:space="0" w:color="auto"/>
            <w:left w:val="none" w:sz="0" w:space="0" w:color="auto"/>
            <w:bottom w:val="none" w:sz="0" w:space="0" w:color="auto"/>
            <w:right w:val="none" w:sz="0" w:space="0" w:color="auto"/>
          </w:divBdr>
        </w:div>
        <w:div w:id="1087456940">
          <w:marLeft w:val="360"/>
          <w:marRight w:val="0"/>
          <w:marTop w:val="200"/>
          <w:marBottom w:val="0"/>
          <w:divBdr>
            <w:top w:val="none" w:sz="0" w:space="0" w:color="auto"/>
            <w:left w:val="none" w:sz="0" w:space="0" w:color="auto"/>
            <w:bottom w:val="none" w:sz="0" w:space="0" w:color="auto"/>
            <w:right w:val="none" w:sz="0" w:space="0" w:color="auto"/>
          </w:divBdr>
        </w:div>
        <w:div w:id="1312515903">
          <w:marLeft w:val="360"/>
          <w:marRight w:val="0"/>
          <w:marTop w:val="200"/>
          <w:marBottom w:val="0"/>
          <w:divBdr>
            <w:top w:val="none" w:sz="0" w:space="0" w:color="auto"/>
            <w:left w:val="none" w:sz="0" w:space="0" w:color="auto"/>
            <w:bottom w:val="none" w:sz="0" w:space="0" w:color="auto"/>
            <w:right w:val="none" w:sz="0" w:space="0" w:color="auto"/>
          </w:divBdr>
        </w:div>
      </w:divsChild>
    </w:div>
    <w:div w:id="640622432">
      <w:bodyDiv w:val="1"/>
      <w:marLeft w:val="0"/>
      <w:marRight w:val="0"/>
      <w:marTop w:val="0"/>
      <w:marBottom w:val="0"/>
      <w:divBdr>
        <w:top w:val="none" w:sz="0" w:space="0" w:color="auto"/>
        <w:left w:val="none" w:sz="0" w:space="0" w:color="auto"/>
        <w:bottom w:val="none" w:sz="0" w:space="0" w:color="auto"/>
        <w:right w:val="none" w:sz="0" w:space="0" w:color="auto"/>
      </w:divBdr>
    </w:div>
    <w:div w:id="653335811">
      <w:bodyDiv w:val="1"/>
      <w:marLeft w:val="0"/>
      <w:marRight w:val="0"/>
      <w:marTop w:val="0"/>
      <w:marBottom w:val="0"/>
      <w:divBdr>
        <w:top w:val="none" w:sz="0" w:space="0" w:color="auto"/>
        <w:left w:val="none" w:sz="0" w:space="0" w:color="auto"/>
        <w:bottom w:val="none" w:sz="0" w:space="0" w:color="auto"/>
        <w:right w:val="none" w:sz="0" w:space="0" w:color="auto"/>
      </w:divBdr>
    </w:div>
    <w:div w:id="658195868">
      <w:bodyDiv w:val="1"/>
      <w:marLeft w:val="0"/>
      <w:marRight w:val="0"/>
      <w:marTop w:val="0"/>
      <w:marBottom w:val="0"/>
      <w:divBdr>
        <w:top w:val="none" w:sz="0" w:space="0" w:color="auto"/>
        <w:left w:val="none" w:sz="0" w:space="0" w:color="auto"/>
        <w:bottom w:val="none" w:sz="0" w:space="0" w:color="auto"/>
        <w:right w:val="none" w:sz="0" w:space="0" w:color="auto"/>
      </w:divBdr>
      <w:divsChild>
        <w:div w:id="1140733506">
          <w:marLeft w:val="1080"/>
          <w:marRight w:val="0"/>
          <w:marTop w:val="100"/>
          <w:marBottom w:val="0"/>
          <w:divBdr>
            <w:top w:val="none" w:sz="0" w:space="0" w:color="auto"/>
            <w:left w:val="none" w:sz="0" w:space="0" w:color="auto"/>
            <w:bottom w:val="none" w:sz="0" w:space="0" w:color="auto"/>
            <w:right w:val="none" w:sz="0" w:space="0" w:color="auto"/>
          </w:divBdr>
        </w:div>
      </w:divsChild>
    </w:div>
    <w:div w:id="673725067">
      <w:bodyDiv w:val="1"/>
      <w:marLeft w:val="0"/>
      <w:marRight w:val="0"/>
      <w:marTop w:val="0"/>
      <w:marBottom w:val="0"/>
      <w:divBdr>
        <w:top w:val="none" w:sz="0" w:space="0" w:color="auto"/>
        <w:left w:val="none" w:sz="0" w:space="0" w:color="auto"/>
        <w:bottom w:val="none" w:sz="0" w:space="0" w:color="auto"/>
        <w:right w:val="none" w:sz="0" w:space="0" w:color="auto"/>
      </w:divBdr>
      <w:divsChild>
        <w:div w:id="267935389">
          <w:marLeft w:val="547"/>
          <w:marRight w:val="0"/>
          <w:marTop w:val="0"/>
          <w:marBottom w:val="0"/>
          <w:divBdr>
            <w:top w:val="none" w:sz="0" w:space="0" w:color="auto"/>
            <w:left w:val="none" w:sz="0" w:space="0" w:color="auto"/>
            <w:bottom w:val="none" w:sz="0" w:space="0" w:color="auto"/>
            <w:right w:val="none" w:sz="0" w:space="0" w:color="auto"/>
          </w:divBdr>
        </w:div>
        <w:div w:id="1668049895">
          <w:marLeft w:val="547"/>
          <w:marRight w:val="0"/>
          <w:marTop w:val="0"/>
          <w:marBottom w:val="0"/>
          <w:divBdr>
            <w:top w:val="none" w:sz="0" w:space="0" w:color="auto"/>
            <w:left w:val="none" w:sz="0" w:space="0" w:color="auto"/>
            <w:bottom w:val="none" w:sz="0" w:space="0" w:color="auto"/>
            <w:right w:val="none" w:sz="0" w:space="0" w:color="auto"/>
          </w:divBdr>
        </w:div>
        <w:div w:id="1774518674">
          <w:marLeft w:val="547"/>
          <w:marRight w:val="0"/>
          <w:marTop w:val="0"/>
          <w:marBottom w:val="0"/>
          <w:divBdr>
            <w:top w:val="none" w:sz="0" w:space="0" w:color="auto"/>
            <w:left w:val="none" w:sz="0" w:space="0" w:color="auto"/>
            <w:bottom w:val="none" w:sz="0" w:space="0" w:color="auto"/>
            <w:right w:val="none" w:sz="0" w:space="0" w:color="auto"/>
          </w:divBdr>
        </w:div>
        <w:div w:id="1792631683">
          <w:marLeft w:val="547"/>
          <w:marRight w:val="0"/>
          <w:marTop w:val="0"/>
          <w:marBottom w:val="0"/>
          <w:divBdr>
            <w:top w:val="none" w:sz="0" w:space="0" w:color="auto"/>
            <w:left w:val="none" w:sz="0" w:space="0" w:color="auto"/>
            <w:bottom w:val="none" w:sz="0" w:space="0" w:color="auto"/>
            <w:right w:val="none" w:sz="0" w:space="0" w:color="auto"/>
          </w:divBdr>
        </w:div>
      </w:divsChild>
    </w:div>
    <w:div w:id="696002559">
      <w:bodyDiv w:val="1"/>
      <w:marLeft w:val="0"/>
      <w:marRight w:val="0"/>
      <w:marTop w:val="0"/>
      <w:marBottom w:val="0"/>
      <w:divBdr>
        <w:top w:val="none" w:sz="0" w:space="0" w:color="auto"/>
        <w:left w:val="none" w:sz="0" w:space="0" w:color="auto"/>
        <w:bottom w:val="none" w:sz="0" w:space="0" w:color="auto"/>
        <w:right w:val="none" w:sz="0" w:space="0" w:color="auto"/>
      </w:divBdr>
    </w:div>
    <w:div w:id="732042212">
      <w:bodyDiv w:val="1"/>
      <w:marLeft w:val="0"/>
      <w:marRight w:val="0"/>
      <w:marTop w:val="0"/>
      <w:marBottom w:val="0"/>
      <w:divBdr>
        <w:top w:val="none" w:sz="0" w:space="0" w:color="auto"/>
        <w:left w:val="none" w:sz="0" w:space="0" w:color="auto"/>
        <w:bottom w:val="none" w:sz="0" w:space="0" w:color="auto"/>
        <w:right w:val="none" w:sz="0" w:space="0" w:color="auto"/>
      </w:divBdr>
      <w:divsChild>
        <w:div w:id="45613459">
          <w:marLeft w:val="360"/>
          <w:marRight w:val="0"/>
          <w:marTop w:val="200"/>
          <w:marBottom w:val="0"/>
          <w:divBdr>
            <w:top w:val="none" w:sz="0" w:space="0" w:color="auto"/>
            <w:left w:val="none" w:sz="0" w:space="0" w:color="auto"/>
            <w:bottom w:val="none" w:sz="0" w:space="0" w:color="auto"/>
            <w:right w:val="none" w:sz="0" w:space="0" w:color="auto"/>
          </w:divBdr>
        </w:div>
        <w:div w:id="237132895">
          <w:marLeft w:val="360"/>
          <w:marRight w:val="0"/>
          <w:marTop w:val="200"/>
          <w:marBottom w:val="0"/>
          <w:divBdr>
            <w:top w:val="none" w:sz="0" w:space="0" w:color="auto"/>
            <w:left w:val="none" w:sz="0" w:space="0" w:color="auto"/>
            <w:bottom w:val="none" w:sz="0" w:space="0" w:color="auto"/>
            <w:right w:val="none" w:sz="0" w:space="0" w:color="auto"/>
          </w:divBdr>
        </w:div>
        <w:div w:id="256140953">
          <w:marLeft w:val="1080"/>
          <w:marRight w:val="0"/>
          <w:marTop w:val="100"/>
          <w:marBottom w:val="0"/>
          <w:divBdr>
            <w:top w:val="none" w:sz="0" w:space="0" w:color="auto"/>
            <w:left w:val="none" w:sz="0" w:space="0" w:color="auto"/>
            <w:bottom w:val="none" w:sz="0" w:space="0" w:color="auto"/>
            <w:right w:val="none" w:sz="0" w:space="0" w:color="auto"/>
          </w:divBdr>
        </w:div>
        <w:div w:id="723453273">
          <w:marLeft w:val="360"/>
          <w:marRight w:val="0"/>
          <w:marTop w:val="200"/>
          <w:marBottom w:val="0"/>
          <w:divBdr>
            <w:top w:val="none" w:sz="0" w:space="0" w:color="auto"/>
            <w:left w:val="none" w:sz="0" w:space="0" w:color="auto"/>
            <w:bottom w:val="none" w:sz="0" w:space="0" w:color="auto"/>
            <w:right w:val="none" w:sz="0" w:space="0" w:color="auto"/>
          </w:divBdr>
        </w:div>
        <w:div w:id="730426873">
          <w:marLeft w:val="1080"/>
          <w:marRight w:val="0"/>
          <w:marTop w:val="100"/>
          <w:marBottom w:val="0"/>
          <w:divBdr>
            <w:top w:val="none" w:sz="0" w:space="0" w:color="auto"/>
            <w:left w:val="none" w:sz="0" w:space="0" w:color="auto"/>
            <w:bottom w:val="none" w:sz="0" w:space="0" w:color="auto"/>
            <w:right w:val="none" w:sz="0" w:space="0" w:color="auto"/>
          </w:divBdr>
        </w:div>
      </w:divsChild>
    </w:div>
    <w:div w:id="740522977">
      <w:bodyDiv w:val="1"/>
      <w:marLeft w:val="0"/>
      <w:marRight w:val="0"/>
      <w:marTop w:val="0"/>
      <w:marBottom w:val="0"/>
      <w:divBdr>
        <w:top w:val="none" w:sz="0" w:space="0" w:color="auto"/>
        <w:left w:val="none" w:sz="0" w:space="0" w:color="auto"/>
        <w:bottom w:val="none" w:sz="0" w:space="0" w:color="auto"/>
        <w:right w:val="none" w:sz="0" w:space="0" w:color="auto"/>
      </w:divBdr>
      <w:divsChild>
        <w:div w:id="1319843488">
          <w:marLeft w:val="1080"/>
          <w:marRight w:val="0"/>
          <w:marTop w:val="100"/>
          <w:marBottom w:val="0"/>
          <w:divBdr>
            <w:top w:val="none" w:sz="0" w:space="0" w:color="auto"/>
            <w:left w:val="none" w:sz="0" w:space="0" w:color="auto"/>
            <w:bottom w:val="none" w:sz="0" w:space="0" w:color="auto"/>
            <w:right w:val="none" w:sz="0" w:space="0" w:color="auto"/>
          </w:divBdr>
        </w:div>
        <w:div w:id="1549562064">
          <w:marLeft w:val="360"/>
          <w:marRight w:val="0"/>
          <w:marTop w:val="200"/>
          <w:marBottom w:val="0"/>
          <w:divBdr>
            <w:top w:val="none" w:sz="0" w:space="0" w:color="auto"/>
            <w:left w:val="none" w:sz="0" w:space="0" w:color="auto"/>
            <w:bottom w:val="none" w:sz="0" w:space="0" w:color="auto"/>
            <w:right w:val="none" w:sz="0" w:space="0" w:color="auto"/>
          </w:divBdr>
        </w:div>
        <w:div w:id="1705397511">
          <w:marLeft w:val="1080"/>
          <w:marRight w:val="0"/>
          <w:marTop w:val="100"/>
          <w:marBottom w:val="0"/>
          <w:divBdr>
            <w:top w:val="none" w:sz="0" w:space="0" w:color="auto"/>
            <w:left w:val="none" w:sz="0" w:space="0" w:color="auto"/>
            <w:bottom w:val="none" w:sz="0" w:space="0" w:color="auto"/>
            <w:right w:val="none" w:sz="0" w:space="0" w:color="auto"/>
          </w:divBdr>
        </w:div>
        <w:div w:id="1879510449">
          <w:marLeft w:val="1080"/>
          <w:marRight w:val="0"/>
          <w:marTop w:val="100"/>
          <w:marBottom w:val="0"/>
          <w:divBdr>
            <w:top w:val="none" w:sz="0" w:space="0" w:color="auto"/>
            <w:left w:val="none" w:sz="0" w:space="0" w:color="auto"/>
            <w:bottom w:val="none" w:sz="0" w:space="0" w:color="auto"/>
            <w:right w:val="none" w:sz="0" w:space="0" w:color="auto"/>
          </w:divBdr>
        </w:div>
      </w:divsChild>
    </w:div>
    <w:div w:id="809983377">
      <w:bodyDiv w:val="1"/>
      <w:marLeft w:val="0"/>
      <w:marRight w:val="0"/>
      <w:marTop w:val="0"/>
      <w:marBottom w:val="0"/>
      <w:divBdr>
        <w:top w:val="none" w:sz="0" w:space="0" w:color="auto"/>
        <w:left w:val="none" w:sz="0" w:space="0" w:color="auto"/>
        <w:bottom w:val="none" w:sz="0" w:space="0" w:color="auto"/>
        <w:right w:val="none" w:sz="0" w:space="0" w:color="auto"/>
      </w:divBdr>
      <w:divsChild>
        <w:div w:id="344211012">
          <w:marLeft w:val="360"/>
          <w:marRight w:val="0"/>
          <w:marTop w:val="200"/>
          <w:marBottom w:val="0"/>
          <w:divBdr>
            <w:top w:val="none" w:sz="0" w:space="0" w:color="auto"/>
            <w:left w:val="none" w:sz="0" w:space="0" w:color="auto"/>
            <w:bottom w:val="none" w:sz="0" w:space="0" w:color="auto"/>
            <w:right w:val="none" w:sz="0" w:space="0" w:color="auto"/>
          </w:divBdr>
        </w:div>
        <w:div w:id="433135759">
          <w:marLeft w:val="360"/>
          <w:marRight w:val="0"/>
          <w:marTop w:val="200"/>
          <w:marBottom w:val="0"/>
          <w:divBdr>
            <w:top w:val="none" w:sz="0" w:space="0" w:color="auto"/>
            <w:left w:val="none" w:sz="0" w:space="0" w:color="auto"/>
            <w:bottom w:val="none" w:sz="0" w:space="0" w:color="auto"/>
            <w:right w:val="none" w:sz="0" w:space="0" w:color="auto"/>
          </w:divBdr>
        </w:div>
      </w:divsChild>
    </w:div>
    <w:div w:id="833372938">
      <w:bodyDiv w:val="1"/>
      <w:marLeft w:val="0"/>
      <w:marRight w:val="0"/>
      <w:marTop w:val="0"/>
      <w:marBottom w:val="0"/>
      <w:divBdr>
        <w:top w:val="none" w:sz="0" w:space="0" w:color="auto"/>
        <w:left w:val="none" w:sz="0" w:space="0" w:color="auto"/>
        <w:bottom w:val="none" w:sz="0" w:space="0" w:color="auto"/>
        <w:right w:val="none" w:sz="0" w:space="0" w:color="auto"/>
      </w:divBdr>
    </w:div>
    <w:div w:id="835607509">
      <w:bodyDiv w:val="1"/>
      <w:marLeft w:val="0"/>
      <w:marRight w:val="0"/>
      <w:marTop w:val="0"/>
      <w:marBottom w:val="0"/>
      <w:divBdr>
        <w:top w:val="none" w:sz="0" w:space="0" w:color="auto"/>
        <w:left w:val="none" w:sz="0" w:space="0" w:color="auto"/>
        <w:bottom w:val="none" w:sz="0" w:space="0" w:color="auto"/>
        <w:right w:val="none" w:sz="0" w:space="0" w:color="auto"/>
      </w:divBdr>
    </w:div>
    <w:div w:id="854079029">
      <w:bodyDiv w:val="1"/>
      <w:marLeft w:val="0"/>
      <w:marRight w:val="0"/>
      <w:marTop w:val="0"/>
      <w:marBottom w:val="0"/>
      <w:divBdr>
        <w:top w:val="none" w:sz="0" w:space="0" w:color="auto"/>
        <w:left w:val="none" w:sz="0" w:space="0" w:color="auto"/>
        <w:bottom w:val="none" w:sz="0" w:space="0" w:color="auto"/>
        <w:right w:val="none" w:sz="0" w:space="0" w:color="auto"/>
      </w:divBdr>
    </w:div>
    <w:div w:id="912860809">
      <w:bodyDiv w:val="1"/>
      <w:marLeft w:val="0"/>
      <w:marRight w:val="0"/>
      <w:marTop w:val="0"/>
      <w:marBottom w:val="0"/>
      <w:divBdr>
        <w:top w:val="none" w:sz="0" w:space="0" w:color="auto"/>
        <w:left w:val="none" w:sz="0" w:space="0" w:color="auto"/>
        <w:bottom w:val="none" w:sz="0" w:space="0" w:color="auto"/>
        <w:right w:val="none" w:sz="0" w:space="0" w:color="auto"/>
      </w:divBdr>
    </w:div>
    <w:div w:id="926352620">
      <w:bodyDiv w:val="1"/>
      <w:marLeft w:val="0"/>
      <w:marRight w:val="0"/>
      <w:marTop w:val="0"/>
      <w:marBottom w:val="0"/>
      <w:divBdr>
        <w:top w:val="none" w:sz="0" w:space="0" w:color="auto"/>
        <w:left w:val="none" w:sz="0" w:space="0" w:color="auto"/>
        <w:bottom w:val="none" w:sz="0" w:space="0" w:color="auto"/>
        <w:right w:val="none" w:sz="0" w:space="0" w:color="auto"/>
      </w:divBdr>
      <w:divsChild>
        <w:div w:id="1686978886">
          <w:marLeft w:val="547"/>
          <w:marRight w:val="0"/>
          <w:marTop w:val="0"/>
          <w:marBottom w:val="0"/>
          <w:divBdr>
            <w:top w:val="none" w:sz="0" w:space="0" w:color="auto"/>
            <w:left w:val="none" w:sz="0" w:space="0" w:color="auto"/>
            <w:bottom w:val="none" w:sz="0" w:space="0" w:color="auto"/>
            <w:right w:val="none" w:sz="0" w:space="0" w:color="auto"/>
          </w:divBdr>
        </w:div>
      </w:divsChild>
    </w:div>
    <w:div w:id="962032316">
      <w:bodyDiv w:val="1"/>
      <w:marLeft w:val="0"/>
      <w:marRight w:val="0"/>
      <w:marTop w:val="0"/>
      <w:marBottom w:val="0"/>
      <w:divBdr>
        <w:top w:val="none" w:sz="0" w:space="0" w:color="auto"/>
        <w:left w:val="none" w:sz="0" w:space="0" w:color="auto"/>
        <w:bottom w:val="none" w:sz="0" w:space="0" w:color="auto"/>
        <w:right w:val="none" w:sz="0" w:space="0" w:color="auto"/>
      </w:divBdr>
      <w:divsChild>
        <w:div w:id="274676890">
          <w:marLeft w:val="1080"/>
          <w:marRight w:val="0"/>
          <w:marTop w:val="100"/>
          <w:marBottom w:val="0"/>
          <w:divBdr>
            <w:top w:val="none" w:sz="0" w:space="0" w:color="auto"/>
            <w:left w:val="none" w:sz="0" w:space="0" w:color="auto"/>
            <w:bottom w:val="none" w:sz="0" w:space="0" w:color="auto"/>
            <w:right w:val="none" w:sz="0" w:space="0" w:color="auto"/>
          </w:divBdr>
        </w:div>
        <w:div w:id="398284766">
          <w:marLeft w:val="1080"/>
          <w:marRight w:val="0"/>
          <w:marTop w:val="100"/>
          <w:marBottom w:val="0"/>
          <w:divBdr>
            <w:top w:val="none" w:sz="0" w:space="0" w:color="auto"/>
            <w:left w:val="none" w:sz="0" w:space="0" w:color="auto"/>
            <w:bottom w:val="none" w:sz="0" w:space="0" w:color="auto"/>
            <w:right w:val="none" w:sz="0" w:space="0" w:color="auto"/>
          </w:divBdr>
        </w:div>
        <w:div w:id="1169563638">
          <w:marLeft w:val="360"/>
          <w:marRight w:val="0"/>
          <w:marTop w:val="200"/>
          <w:marBottom w:val="0"/>
          <w:divBdr>
            <w:top w:val="none" w:sz="0" w:space="0" w:color="auto"/>
            <w:left w:val="none" w:sz="0" w:space="0" w:color="auto"/>
            <w:bottom w:val="none" w:sz="0" w:space="0" w:color="auto"/>
            <w:right w:val="none" w:sz="0" w:space="0" w:color="auto"/>
          </w:divBdr>
        </w:div>
        <w:div w:id="1556231790">
          <w:marLeft w:val="1080"/>
          <w:marRight w:val="0"/>
          <w:marTop w:val="100"/>
          <w:marBottom w:val="0"/>
          <w:divBdr>
            <w:top w:val="none" w:sz="0" w:space="0" w:color="auto"/>
            <w:left w:val="none" w:sz="0" w:space="0" w:color="auto"/>
            <w:bottom w:val="none" w:sz="0" w:space="0" w:color="auto"/>
            <w:right w:val="none" w:sz="0" w:space="0" w:color="auto"/>
          </w:divBdr>
        </w:div>
        <w:div w:id="1876035636">
          <w:marLeft w:val="1080"/>
          <w:marRight w:val="0"/>
          <w:marTop w:val="100"/>
          <w:marBottom w:val="0"/>
          <w:divBdr>
            <w:top w:val="none" w:sz="0" w:space="0" w:color="auto"/>
            <w:left w:val="none" w:sz="0" w:space="0" w:color="auto"/>
            <w:bottom w:val="none" w:sz="0" w:space="0" w:color="auto"/>
            <w:right w:val="none" w:sz="0" w:space="0" w:color="auto"/>
          </w:divBdr>
        </w:div>
      </w:divsChild>
    </w:div>
    <w:div w:id="990333383">
      <w:bodyDiv w:val="1"/>
      <w:marLeft w:val="0"/>
      <w:marRight w:val="0"/>
      <w:marTop w:val="0"/>
      <w:marBottom w:val="0"/>
      <w:divBdr>
        <w:top w:val="none" w:sz="0" w:space="0" w:color="auto"/>
        <w:left w:val="none" w:sz="0" w:space="0" w:color="auto"/>
        <w:bottom w:val="none" w:sz="0" w:space="0" w:color="auto"/>
        <w:right w:val="none" w:sz="0" w:space="0" w:color="auto"/>
      </w:divBdr>
      <w:divsChild>
        <w:div w:id="1783258550">
          <w:marLeft w:val="547"/>
          <w:marRight w:val="0"/>
          <w:marTop w:val="0"/>
          <w:marBottom w:val="0"/>
          <w:divBdr>
            <w:top w:val="none" w:sz="0" w:space="0" w:color="auto"/>
            <w:left w:val="none" w:sz="0" w:space="0" w:color="auto"/>
            <w:bottom w:val="none" w:sz="0" w:space="0" w:color="auto"/>
            <w:right w:val="none" w:sz="0" w:space="0" w:color="auto"/>
          </w:divBdr>
        </w:div>
        <w:div w:id="1877500897">
          <w:marLeft w:val="547"/>
          <w:marRight w:val="0"/>
          <w:marTop w:val="0"/>
          <w:marBottom w:val="0"/>
          <w:divBdr>
            <w:top w:val="none" w:sz="0" w:space="0" w:color="auto"/>
            <w:left w:val="none" w:sz="0" w:space="0" w:color="auto"/>
            <w:bottom w:val="none" w:sz="0" w:space="0" w:color="auto"/>
            <w:right w:val="none" w:sz="0" w:space="0" w:color="auto"/>
          </w:divBdr>
        </w:div>
        <w:div w:id="2007977488">
          <w:marLeft w:val="547"/>
          <w:marRight w:val="0"/>
          <w:marTop w:val="0"/>
          <w:marBottom w:val="0"/>
          <w:divBdr>
            <w:top w:val="none" w:sz="0" w:space="0" w:color="auto"/>
            <w:left w:val="none" w:sz="0" w:space="0" w:color="auto"/>
            <w:bottom w:val="none" w:sz="0" w:space="0" w:color="auto"/>
            <w:right w:val="none" w:sz="0" w:space="0" w:color="auto"/>
          </w:divBdr>
        </w:div>
        <w:div w:id="2065718594">
          <w:marLeft w:val="547"/>
          <w:marRight w:val="0"/>
          <w:marTop w:val="0"/>
          <w:marBottom w:val="0"/>
          <w:divBdr>
            <w:top w:val="none" w:sz="0" w:space="0" w:color="auto"/>
            <w:left w:val="none" w:sz="0" w:space="0" w:color="auto"/>
            <w:bottom w:val="none" w:sz="0" w:space="0" w:color="auto"/>
            <w:right w:val="none" w:sz="0" w:space="0" w:color="auto"/>
          </w:divBdr>
        </w:div>
      </w:divsChild>
    </w:div>
    <w:div w:id="1003553540">
      <w:bodyDiv w:val="1"/>
      <w:marLeft w:val="0"/>
      <w:marRight w:val="0"/>
      <w:marTop w:val="0"/>
      <w:marBottom w:val="0"/>
      <w:divBdr>
        <w:top w:val="none" w:sz="0" w:space="0" w:color="auto"/>
        <w:left w:val="none" w:sz="0" w:space="0" w:color="auto"/>
        <w:bottom w:val="none" w:sz="0" w:space="0" w:color="auto"/>
        <w:right w:val="none" w:sz="0" w:space="0" w:color="auto"/>
      </w:divBdr>
      <w:divsChild>
        <w:div w:id="144900492">
          <w:marLeft w:val="360"/>
          <w:marRight w:val="0"/>
          <w:marTop w:val="200"/>
          <w:marBottom w:val="0"/>
          <w:divBdr>
            <w:top w:val="none" w:sz="0" w:space="0" w:color="auto"/>
            <w:left w:val="none" w:sz="0" w:space="0" w:color="auto"/>
            <w:bottom w:val="none" w:sz="0" w:space="0" w:color="auto"/>
            <w:right w:val="none" w:sz="0" w:space="0" w:color="auto"/>
          </w:divBdr>
        </w:div>
        <w:div w:id="1080367104">
          <w:marLeft w:val="360"/>
          <w:marRight w:val="0"/>
          <w:marTop w:val="200"/>
          <w:marBottom w:val="0"/>
          <w:divBdr>
            <w:top w:val="none" w:sz="0" w:space="0" w:color="auto"/>
            <w:left w:val="none" w:sz="0" w:space="0" w:color="auto"/>
            <w:bottom w:val="none" w:sz="0" w:space="0" w:color="auto"/>
            <w:right w:val="none" w:sz="0" w:space="0" w:color="auto"/>
          </w:divBdr>
        </w:div>
        <w:div w:id="1619028034">
          <w:marLeft w:val="360"/>
          <w:marRight w:val="0"/>
          <w:marTop w:val="200"/>
          <w:marBottom w:val="0"/>
          <w:divBdr>
            <w:top w:val="none" w:sz="0" w:space="0" w:color="auto"/>
            <w:left w:val="none" w:sz="0" w:space="0" w:color="auto"/>
            <w:bottom w:val="none" w:sz="0" w:space="0" w:color="auto"/>
            <w:right w:val="none" w:sz="0" w:space="0" w:color="auto"/>
          </w:divBdr>
        </w:div>
      </w:divsChild>
    </w:div>
    <w:div w:id="1067074284">
      <w:bodyDiv w:val="1"/>
      <w:marLeft w:val="0"/>
      <w:marRight w:val="0"/>
      <w:marTop w:val="0"/>
      <w:marBottom w:val="0"/>
      <w:divBdr>
        <w:top w:val="none" w:sz="0" w:space="0" w:color="auto"/>
        <w:left w:val="none" w:sz="0" w:space="0" w:color="auto"/>
        <w:bottom w:val="none" w:sz="0" w:space="0" w:color="auto"/>
        <w:right w:val="none" w:sz="0" w:space="0" w:color="auto"/>
      </w:divBdr>
      <w:divsChild>
        <w:div w:id="219830661">
          <w:marLeft w:val="360"/>
          <w:marRight w:val="0"/>
          <w:marTop w:val="200"/>
          <w:marBottom w:val="0"/>
          <w:divBdr>
            <w:top w:val="none" w:sz="0" w:space="0" w:color="auto"/>
            <w:left w:val="none" w:sz="0" w:space="0" w:color="auto"/>
            <w:bottom w:val="none" w:sz="0" w:space="0" w:color="auto"/>
            <w:right w:val="none" w:sz="0" w:space="0" w:color="auto"/>
          </w:divBdr>
        </w:div>
        <w:div w:id="1156191788">
          <w:marLeft w:val="360"/>
          <w:marRight w:val="0"/>
          <w:marTop w:val="200"/>
          <w:marBottom w:val="0"/>
          <w:divBdr>
            <w:top w:val="none" w:sz="0" w:space="0" w:color="auto"/>
            <w:left w:val="none" w:sz="0" w:space="0" w:color="auto"/>
            <w:bottom w:val="none" w:sz="0" w:space="0" w:color="auto"/>
            <w:right w:val="none" w:sz="0" w:space="0" w:color="auto"/>
          </w:divBdr>
        </w:div>
        <w:div w:id="1647273736">
          <w:marLeft w:val="360"/>
          <w:marRight w:val="0"/>
          <w:marTop w:val="200"/>
          <w:marBottom w:val="0"/>
          <w:divBdr>
            <w:top w:val="none" w:sz="0" w:space="0" w:color="auto"/>
            <w:left w:val="none" w:sz="0" w:space="0" w:color="auto"/>
            <w:bottom w:val="none" w:sz="0" w:space="0" w:color="auto"/>
            <w:right w:val="none" w:sz="0" w:space="0" w:color="auto"/>
          </w:divBdr>
        </w:div>
      </w:divsChild>
    </w:div>
    <w:div w:id="1068302389">
      <w:bodyDiv w:val="1"/>
      <w:marLeft w:val="0"/>
      <w:marRight w:val="0"/>
      <w:marTop w:val="0"/>
      <w:marBottom w:val="0"/>
      <w:divBdr>
        <w:top w:val="none" w:sz="0" w:space="0" w:color="auto"/>
        <w:left w:val="none" w:sz="0" w:space="0" w:color="auto"/>
        <w:bottom w:val="none" w:sz="0" w:space="0" w:color="auto"/>
        <w:right w:val="none" w:sz="0" w:space="0" w:color="auto"/>
      </w:divBdr>
      <w:divsChild>
        <w:div w:id="123473224">
          <w:marLeft w:val="547"/>
          <w:marRight w:val="0"/>
          <w:marTop w:val="0"/>
          <w:marBottom w:val="0"/>
          <w:divBdr>
            <w:top w:val="none" w:sz="0" w:space="0" w:color="auto"/>
            <w:left w:val="none" w:sz="0" w:space="0" w:color="auto"/>
            <w:bottom w:val="none" w:sz="0" w:space="0" w:color="auto"/>
            <w:right w:val="none" w:sz="0" w:space="0" w:color="auto"/>
          </w:divBdr>
        </w:div>
        <w:div w:id="153688083">
          <w:marLeft w:val="1166"/>
          <w:marRight w:val="0"/>
          <w:marTop w:val="0"/>
          <w:marBottom w:val="0"/>
          <w:divBdr>
            <w:top w:val="none" w:sz="0" w:space="0" w:color="auto"/>
            <w:left w:val="none" w:sz="0" w:space="0" w:color="auto"/>
            <w:bottom w:val="none" w:sz="0" w:space="0" w:color="auto"/>
            <w:right w:val="none" w:sz="0" w:space="0" w:color="auto"/>
          </w:divBdr>
        </w:div>
        <w:div w:id="290482644">
          <w:marLeft w:val="1166"/>
          <w:marRight w:val="0"/>
          <w:marTop w:val="0"/>
          <w:marBottom w:val="0"/>
          <w:divBdr>
            <w:top w:val="none" w:sz="0" w:space="0" w:color="auto"/>
            <w:left w:val="none" w:sz="0" w:space="0" w:color="auto"/>
            <w:bottom w:val="none" w:sz="0" w:space="0" w:color="auto"/>
            <w:right w:val="none" w:sz="0" w:space="0" w:color="auto"/>
          </w:divBdr>
        </w:div>
        <w:div w:id="402727458">
          <w:marLeft w:val="1800"/>
          <w:marRight w:val="0"/>
          <w:marTop w:val="0"/>
          <w:marBottom w:val="0"/>
          <w:divBdr>
            <w:top w:val="none" w:sz="0" w:space="0" w:color="auto"/>
            <w:left w:val="none" w:sz="0" w:space="0" w:color="auto"/>
            <w:bottom w:val="none" w:sz="0" w:space="0" w:color="auto"/>
            <w:right w:val="none" w:sz="0" w:space="0" w:color="auto"/>
          </w:divBdr>
        </w:div>
        <w:div w:id="500050500">
          <w:marLeft w:val="1800"/>
          <w:marRight w:val="0"/>
          <w:marTop w:val="0"/>
          <w:marBottom w:val="0"/>
          <w:divBdr>
            <w:top w:val="none" w:sz="0" w:space="0" w:color="auto"/>
            <w:left w:val="none" w:sz="0" w:space="0" w:color="auto"/>
            <w:bottom w:val="none" w:sz="0" w:space="0" w:color="auto"/>
            <w:right w:val="none" w:sz="0" w:space="0" w:color="auto"/>
          </w:divBdr>
        </w:div>
        <w:div w:id="525291229">
          <w:marLeft w:val="1800"/>
          <w:marRight w:val="0"/>
          <w:marTop w:val="0"/>
          <w:marBottom w:val="0"/>
          <w:divBdr>
            <w:top w:val="none" w:sz="0" w:space="0" w:color="auto"/>
            <w:left w:val="none" w:sz="0" w:space="0" w:color="auto"/>
            <w:bottom w:val="none" w:sz="0" w:space="0" w:color="auto"/>
            <w:right w:val="none" w:sz="0" w:space="0" w:color="auto"/>
          </w:divBdr>
        </w:div>
        <w:div w:id="659390325">
          <w:marLeft w:val="1166"/>
          <w:marRight w:val="0"/>
          <w:marTop w:val="0"/>
          <w:marBottom w:val="0"/>
          <w:divBdr>
            <w:top w:val="none" w:sz="0" w:space="0" w:color="auto"/>
            <w:left w:val="none" w:sz="0" w:space="0" w:color="auto"/>
            <w:bottom w:val="none" w:sz="0" w:space="0" w:color="auto"/>
            <w:right w:val="none" w:sz="0" w:space="0" w:color="auto"/>
          </w:divBdr>
        </w:div>
        <w:div w:id="936522555">
          <w:marLeft w:val="547"/>
          <w:marRight w:val="0"/>
          <w:marTop w:val="0"/>
          <w:marBottom w:val="0"/>
          <w:divBdr>
            <w:top w:val="none" w:sz="0" w:space="0" w:color="auto"/>
            <w:left w:val="none" w:sz="0" w:space="0" w:color="auto"/>
            <w:bottom w:val="none" w:sz="0" w:space="0" w:color="auto"/>
            <w:right w:val="none" w:sz="0" w:space="0" w:color="auto"/>
          </w:divBdr>
        </w:div>
        <w:div w:id="1377971814">
          <w:marLeft w:val="1166"/>
          <w:marRight w:val="0"/>
          <w:marTop w:val="0"/>
          <w:marBottom w:val="0"/>
          <w:divBdr>
            <w:top w:val="none" w:sz="0" w:space="0" w:color="auto"/>
            <w:left w:val="none" w:sz="0" w:space="0" w:color="auto"/>
            <w:bottom w:val="none" w:sz="0" w:space="0" w:color="auto"/>
            <w:right w:val="none" w:sz="0" w:space="0" w:color="auto"/>
          </w:divBdr>
        </w:div>
        <w:div w:id="1501895070">
          <w:marLeft w:val="1800"/>
          <w:marRight w:val="0"/>
          <w:marTop w:val="0"/>
          <w:marBottom w:val="0"/>
          <w:divBdr>
            <w:top w:val="none" w:sz="0" w:space="0" w:color="auto"/>
            <w:left w:val="none" w:sz="0" w:space="0" w:color="auto"/>
            <w:bottom w:val="none" w:sz="0" w:space="0" w:color="auto"/>
            <w:right w:val="none" w:sz="0" w:space="0" w:color="auto"/>
          </w:divBdr>
        </w:div>
        <w:div w:id="1719354485">
          <w:marLeft w:val="547"/>
          <w:marRight w:val="0"/>
          <w:marTop w:val="0"/>
          <w:marBottom w:val="0"/>
          <w:divBdr>
            <w:top w:val="none" w:sz="0" w:space="0" w:color="auto"/>
            <w:left w:val="none" w:sz="0" w:space="0" w:color="auto"/>
            <w:bottom w:val="none" w:sz="0" w:space="0" w:color="auto"/>
            <w:right w:val="none" w:sz="0" w:space="0" w:color="auto"/>
          </w:divBdr>
        </w:div>
      </w:divsChild>
    </w:div>
    <w:div w:id="1082525503">
      <w:bodyDiv w:val="1"/>
      <w:marLeft w:val="0"/>
      <w:marRight w:val="0"/>
      <w:marTop w:val="0"/>
      <w:marBottom w:val="0"/>
      <w:divBdr>
        <w:top w:val="none" w:sz="0" w:space="0" w:color="auto"/>
        <w:left w:val="none" w:sz="0" w:space="0" w:color="auto"/>
        <w:bottom w:val="none" w:sz="0" w:space="0" w:color="auto"/>
        <w:right w:val="none" w:sz="0" w:space="0" w:color="auto"/>
      </w:divBdr>
      <w:divsChild>
        <w:div w:id="525751183">
          <w:marLeft w:val="547"/>
          <w:marRight w:val="0"/>
          <w:marTop w:val="0"/>
          <w:marBottom w:val="0"/>
          <w:divBdr>
            <w:top w:val="none" w:sz="0" w:space="0" w:color="auto"/>
            <w:left w:val="none" w:sz="0" w:space="0" w:color="auto"/>
            <w:bottom w:val="none" w:sz="0" w:space="0" w:color="auto"/>
            <w:right w:val="none" w:sz="0" w:space="0" w:color="auto"/>
          </w:divBdr>
        </w:div>
        <w:div w:id="1140608871">
          <w:marLeft w:val="547"/>
          <w:marRight w:val="0"/>
          <w:marTop w:val="0"/>
          <w:marBottom w:val="0"/>
          <w:divBdr>
            <w:top w:val="none" w:sz="0" w:space="0" w:color="auto"/>
            <w:left w:val="none" w:sz="0" w:space="0" w:color="auto"/>
            <w:bottom w:val="none" w:sz="0" w:space="0" w:color="auto"/>
            <w:right w:val="none" w:sz="0" w:space="0" w:color="auto"/>
          </w:divBdr>
        </w:div>
      </w:divsChild>
    </w:div>
    <w:div w:id="1098259751">
      <w:bodyDiv w:val="1"/>
      <w:marLeft w:val="0"/>
      <w:marRight w:val="0"/>
      <w:marTop w:val="0"/>
      <w:marBottom w:val="0"/>
      <w:divBdr>
        <w:top w:val="none" w:sz="0" w:space="0" w:color="auto"/>
        <w:left w:val="none" w:sz="0" w:space="0" w:color="auto"/>
        <w:bottom w:val="none" w:sz="0" w:space="0" w:color="auto"/>
        <w:right w:val="none" w:sz="0" w:space="0" w:color="auto"/>
      </w:divBdr>
    </w:div>
    <w:div w:id="1198161083">
      <w:bodyDiv w:val="1"/>
      <w:marLeft w:val="0"/>
      <w:marRight w:val="0"/>
      <w:marTop w:val="0"/>
      <w:marBottom w:val="0"/>
      <w:divBdr>
        <w:top w:val="none" w:sz="0" w:space="0" w:color="auto"/>
        <w:left w:val="none" w:sz="0" w:space="0" w:color="auto"/>
        <w:bottom w:val="none" w:sz="0" w:space="0" w:color="auto"/>
        <w:right w:val="none" w:sz="0" w:space="0" w:color="auto"/>
      </w:divBdr>
    </w:div>
    <w:div w:id="1202789135">
      <w:bodyDiv w:val="1"/>
      <w:marLeft w:val="0"/>
      <w:marRight w:val="0"/>
      <w:marTop w:val="0"/>
      <w:marBottom w:val="0"/>
      <w:divBdr>
        <w:top w:val="none" w:sz="0" w:space="0" w:color="auto"/>
        <w:left w:val="none" w:sz="0" w:space="0" w:color="auto"/>
        <w:bottom w:val="none" w:sz="0" w:space="0" w:color="auto"/>
        <w:right w:val="none" w:sz="0" w:space="0" w:color="auto"/>
      </w:divBdr>
    </w:div>
    <w:div w:id="1214001771">
      <w:bodyDiv w:val="1"/>
      <w:marLeft w:val="0"/>
      <w:marRight w:val="0"/>
      <w:marTop w:val="0"/>
      <w:marBottom w:val="0"/>
      <w:divBdr>
        <w:top w:val="none" w:sz="0" w:space="0" w:color="auto"/>
        <w:left w:val="none" w:sz="0" w:space="0" w:color="auto"/>
        <w:bottom w:val="none" w:sz="0" w:space="0" w:color="auto"/>
        <w:right w:val="none" w:sz="0" w:space="0" w:color="auto"/>
      </w:divBdr>
      <w:divsChild>
        <w:div w:id="64841326">
          <w:marLeft w:val="1080"/>
          <w:marRight w:val="0"/>
          <w:marTop w:val="100"/>
          <w:marBottom w:val="0"/>
          <w:divBdr>
            <w:top w:val="none" w:sz="0" w:space="0" w:color="auto"/>
            <w:left w:val="none" w:sz="0" w:space="0" w:color="auto"/>
            <w:bottom w:val="none" w:sz="0" w:space="0" w:color="auto"/>
            <w:right w:val="none" w:sz="0" w:space="0" w:color="auto"/>
          </w:divBdr>
        </w:div>
        <w:div w:id="1145509227">
          <w:marLeft w:val="1080"/>
          <w:marRight w:val="0"/>
          <w:marTop w:val="100"/>
          <w:marBottom w:val="0"/>
          <w:divBdr>
            <w:top w:val="none" w:sz="0" w:space="0" w:color="auto"/>
            <w:left w:val="none" w:sz="0" w:space="0" w:color="auto"/>
            <w:bottom w:val="none" w:sz="0" w:space="0" w:color="auto"/>
            <w:right w:val="none" w:sz="0" w:space="0" w:color="auto"/>
          </w:divBdr>
        </w:div>
        <w:div w:id="1298611685">
          <w:marLeft w:val="1080"/>
          <w:marRight w:val="0"/>
          <w:marTop w:val="100"/>
          <w:marBottom w:val="0"/>
          <w:divBdr>
            <w:top w:val="none" w:sz="0" w:space="0" w:color="auto"/>
            <w:left w:val="none" w:sz="0" w:space="0" w:color="auto"/>
            <w:bottom w:val="none" w:sz="0" w:space="0" w:color="auto"/>
            <w:right w:val="none" w:sz="0" w:space="0" w:color="auto"/>
          </w:divBdr>
        </w:div>
        <w:div w:id="1667435027">
          <w:marLeft w:val="1080"/>
          <w:marRight w:val="0"/>
          <w:marTop w:val="100"/>
          <w:marBottom w:val="0"/>
          <w:divBdr>
            <w:top w:val="none" w:sz="0" w:space="0" w:color="auto"/>
            <w:left w:val="none" w:sz="0" w:space="0" w:color="auto"/>
            <w:bottom w:val="none" w:sz="0" w:space="0" w:color="auto"/>
            <w:right w:val="none" w:sz="0" w:space="0" w:color="auto"/>
          </w:divBdr>
        </w:div>
        <w:div w:id="1754666979">
          <w:marLeft w:val="360"/>
          <w:marRight w:val="0"/>
          <w:marTop w:val="200"/>
          <w:marBottom w:val="0"/>
          <w:divBdr>
            <w:top w:val="none" w:sz="0" w:space="0" w:color="auto"/>
            <w:left w:val="none" w:sz="0" w:space="0" w:color="auto"/>
            <w:bottom w:val="none" w:sz="0" w:space="0" w:color="auto"/>
            <w:right w:val="none" w:sz="0" w:space="0" w:color="auto"/>
          </w:divBdr>
        </w:div>
        <w:div w:id="1804150042">
          <w:marLeft w:val="1080"/>
          <w:marRight w:val="0"/>
          <w:marTop w:val="100"/>
          <w:marBottom w:val="0"/>
          <w:divBdr>
            <w:top w:val="none" w:sz="0" w:space="0" w:color="auto"/>
            <w:left w:val="none" w:sz="0" w:space="0" w:color="auto"/>
            <w:bottom w:val="none" w:sz="0" w:space="0" w:color="auto"/>
            <w:right w:val="none" w:sz="0" w:space="0" w:color="auto"/>
          </w:divBdr>
        </w:div>
        <w:div w:id="1837376161">
          <w:marLeft w:val="1080"/>
          <w:marRight w:val="0"/>
          <w:marTop w:val="100"/>
          <w:marBottom w:val="0"/>
          <w:divBdr>
            <w:top w:val="none" w:sz="0" w:space="0" w:color="auto"/>
            <w:left w:val="none" w:sz="0" w:space="0" w:color="auto"/>
            <w:bottom w:val="none" w:sz="0" w:space="0" w:color="auto"/>
            <w:right w:val="none" w:sz="0" w:space="0" w:color="auto"/>
          </w:divBdr>
        </w:div>
        <w:div w:id="1891259316">
          <w:marLeft w:val="360"/>
          <w:marRight w:val="0"/>
          <w:marTop w:val="200"/>
          <w:marBottom w:val="0"/>
          <w:divBdr>
            <w:top w:val="none" w:sz="0" w:space="0" w:color="auto"/>
            <w:left w:val="none" w:sz="0" w:space="0" w:color="auto"/>
            <w:bottom w:val="none" w:sz="0" w:space="0" w:color="auto"/>
            <w:right w:val="none" w:sz="0" w:space="0" w:color="auto"/>
          </w:divBdr>
        </w:div>
        <w:div w:id="2104262064">
          <w:marLeft w:val="360"/>
          <w:marRight w:val="0"/>
          <w:marTop w:val="200"/>
          <w:marBottom w:val="0"/>
          <w:divBdr>
            <w:top w:val="none" w:sz="0" w:space="0" w:color="auto"/>
            <w:left w:val="none" w:sz="0" w:space="0" w:color="auto"/>
            <w:bottom w:val="none" w:sz="0" w:space="0" w:color="auto"/>
            <w:right w:val="none" w:sz="0" w:space="0" w:color="auto"/>
          </w:divBdr>
        </w:div>
      </w:divsChild>
    </w:div>
    <w:div w:id="1229264314">
      <w:bodyDiv w:val="1"/>
      <w:marLeft w:val="0"/>
      <w:marRight w:val="0"/>
      <w:marTop w:val="0"/>
      <w:marBottom w:val="0"/>
      <w:divBdr>
        <w:top w:val="none" w:sz="0" w:space="0" w:color="auto"/>
        <w:left w:val="none" w:sz="0" w:space="0" w:color="auto"/>
        <w:bottom w:val="none" w:sz="0" w:space="0" w:color="auto"/>
        <w:right w:val="none" w:sz="0" w:space="0" w:color="auto"/>
      </w:divBdr>
      <w:divsChild>
        <w:div w:id="34931453">
          <w:marLeft w:val="1166"/>
          <w:marRight w:val="0"/>
          <w:marTop w:val="0"/>
          <w:marBottom w:val="0"/>
          <w:divBdr>
            <w:top w:val="none" w:sz="0" w:space="0" w:color="auto"/>
            <w:left w:val="none" w:sz="0" w:space="0" w:color="auto"/>
            <w:bottom w:val="none" w:sz="0" w:space="0" w:color="auto"/>
            <w:right w:val="none" w:sz="0" w:space="0" w:color="auto"/>
          </w:divBdr>
        </w:div>
        <w:div w:id="99302883">
          <w:marLeft w:val="1166"/>
          <w:marRight w:val="0"/>
          <w:marTop w:val="0"/>
          <w:marBottom w:val="0"/>
          <w:divBdr>
            <w:top w:val="none" w:sz="0" w:space="0" w:color="auto"/>
            <w:left w:val="none" w:sz="0" w:space="0" w:color="auto"/>
            <w:bottom w:val="none" w:sz="0" w:space="0" w:color="auto"/>
            <w:right w:val="none" w:sz="0" w:space="0" w:color="auto"/>
          </w:divBdr>
        </w:div>
        <w:div w:id="205223419">
          <w:marLeft w:val="1166"/>
          <w:marRight w:val="0"/>
          <w:marTop w:val="0"/>
          <w:marBottom w:val="0"/>
          <w:divBdr>
            <w:top w:val="none" w:sz="0" w:space="0" w:color="auto"/>
            <w:left w:val="none" w:sz="0" w:space="0" w:color="auto"/>
            <w:bottom w:val="none" w:sz="0" w:space="0" w:color="auto"/>
            <w:right w:val="none" w:sz="0" w:space="0" w:color="auto"/>
          </w:divBdr>
        </w:div>
        <w:div w:id="633563892">
          <w:marLeft w:val="1166"/>
          <w:marRight w:val="0"/>
          <w:marTop w:val="0"/>
          <w:marBottom w:val="0"/>
          <w:divBdr>
            <w:top w:val="none" w:sz="0" w:space="0" w:color="auto"/>
            <w:left w:val="none" w:sz="0" w:space="0" w:color="auto"/>
            <w:bottom w:val="none" w:sz="0" w:space="0" w:color="auto"/>
            <w:right w:val="none" w:sz="0" w:space="0" w:color="auto"/>
          </w:divBdr>
        </w:div>
        <w:div w:id="906457398">
          <w:marLeft w:val="1166"/>
          <w:marRight w:val="0"/>
          <w:marTop w:val="0"/>
          <w:marBottom w:val="0"/>
          <w:divBdr>
            <w:top w:val="none" w:sz="0" w:space="0" w:color="auto"/>
            <w:left w:val="none" w:sz="0" w:space="0" w:color="auto"/>
            <w:bottom w:val="none" w:sz="0" w:space="0" w:color="auto"/>
            <w:right w:val="none" w:sz="0" w:space="0" w:color="auto"/>
          </w:divBdr>
        </w:div>
        <w:div w:id="1218080127">
          <w:marLeft w:val="547"/>
          <w:marRight w:val="0"/>
          <w:marTop w:val="0"/>
          <w:marBottom w:val="0"/>
          <w:divBdr>
            <w:top w:val="none" w:sz="0" w:space="0" w:color="auto"/>
            <w:left w:val="none" w:sz="0" w:space="0" w:color="auto"/>
            <w:bottom w:val="none" w:sz="0" w:space="0" w:color="auto"/>
            <w:right w:val="none" w:sz="0" w:space="0" w:color="auto"/>
          </w:divBdr>
        </w:div>
        <w:div w:id="1305962446">
          <w:marLeft w:val="547"/>
          <w:marRight w:val="0"/>
          <w:marTop w:val="0"/>
          <w:marBottom w:val="0"/>
          <w:divBdr>
            <w:top w:val="none" w:sz="0" w:space="0" w:color="auto"/>
            <w:left w:val="none" w:sz="0" w:space="0" w:color="auto"/>
            <w:bottom w:val="none" w:sz="0" w:space="0" w:color="auto"/>
            <w:right w:val="none" w:sz="0" w:space="0" w:color="auto"/>
          </w:divBdr>
        </w:div>
        <w:div w:id="1378699326">
          <w:marLeft w:val="547"/>
          <w:marRight w:val="0"/>
          <w:marTop w:val="0"/>
          <w:marBottom w:val="0"/>
          <w:divBdr>
            <w:top w:val="none" w:sz="0" w:space="0" w:color="auto"/>
            <w:left w:val="none" w:sz="0" w:space="0" w:color="auto"/>
            <w:bottom w:val="none" w:sz="0" w:space="0" w:color="auto"/>
            <w:right w:val="none" w:sz="0" w:space="0" w:color="auto"/>
          </w:divBdr>
        </w:div>
        <w:div w:id="1410469779">
          <w:marLeft w:val="547"/>
          <w:marRight w:val="0"/>
          <w:marTop w:val="0"/>
          <w:marBottom w:val="0"/>
          <w:divBdr>
            <w:top w:val="none" w:sz="0" w:space="0" w:color="auto"/>
            <w:left w:val="none" w:sz="0" w:space="0" w:color="auto"/>
            <w:bottom w:val="none" w:sz="0" w:space="0" w:color="auto"/>
            <w:right w:val="none" w:sz="0" w:space="0" w:color="auto"/>
          </w:divBdr>
        </w:div>
        <w:div w:id="1437600877">
          <w:marLeft w:val="1166"/>
          <w:marRight w:val="0"/>
          <w:marTop w:val="0"/>
          <w:marBottom w:val="0"/>
          <w:divBdr>
            <w:top w:val="none" w:sz="0" w:space="0" w:color="auto"/>
            <w:left w:val="none" w:sz="0" w:space="0" w:color="auto"/>
            <w:bottom w:val="none" w:sz="0" w:space="0" w:color="auto"/>
            <w:right w:val="none" w:sz="0" w:space="0" w:color="auto"/>
          </w:divBdr>
        </w:div>
        <w:div w:id="1458335070">
          <w:marLeft w:val="1166"/>
          <w:marRight w:val="0"/>
          <w:marTop w:val="0"/>
          <w:marBottom w:val="0"/>
          <w:divBdr>
            <w:top w:val="none" w:sz="0" w:space="0" w:color="auto"/>
            <w:left w:val="none" w:sz="0" w:space="0" w:color="auto"/>
            <w:bottom w:val="none" w:sz="0" w:space="0" w:color="auto"/>
            <w:right w:val="none" w:sz="0" w:space="0" w:color="auto"/>
          </w:divBdr>
        </w:div>
        <w:div w:id="1497108171">
          <w:marLeft w:val="1166"/>
          <w:marRight w:val="0"/>
          <w:marTop w:val="0"/>
          <w:marBottom w:val="0"/>
          <w:divBdr>
            <w:top w:val="none" w:sz="0" w:space="0" w:color="auto"/>
            <w:left w:val="none" w:sz="0" w:space="0" w:color="auto"/>
            <w:bottom w:val="none" w:sz="0" w:space="0" w:color="auto"/>
            <w:right w:val="none" w:sz="0" w:space="0" w:color="auto"/>
          </w:divBdr>
        </w:div>
        <w:div w:id="1543707316">
          <w:marLeft w:val="1166"/>
          <w:marRight w:val="0"/>
          <w:marTop w:val="0"/>
          <w:marBottom w:val="0"/>
          <w:divBdr>
            <w:top w:val="none" w:sz="0" w:space="0" w:color="auto"/>
            <w:left w:val="none" w:sz="0" w:space="0" w:color="auto"/>
            <w:bottom w:val="none" w:sz="0" w:space="0" w:color="auto"/>
            <w:right w:val="none" w:sz="0" w:space="0" w:color="auto"/>
          </w:divBdr>
        </w:div>
        <w:div w:id="1695422986">
          <w:marLeft w:val="547"/>
          <w:marRight w:val="0"/>
          <w:marTop w:val="0"/>
          <w:marBottom w:val="0"/>
          <w:divBdr>
            <w:top w:val="none" w:sz="0" w:space="0" w:color="auto"/>
            <w:left w:val="none" w:sz="0" w:space="0" w:color="auto"/>
            <w:bottom w:val="none" w:sz="0" w:space="0" w:color="auto"/>
            <w:right w:val="none" w:sz="0" w:space="0" w:color="auto"/>
          </w:divBdr>
        </w:div>
        <w:div w:id="1752656670">
          <w:marLeft w:val="1166"/>
          <w:marRight w:val="0"/>
          <w:marTop w:val="0"/>
          <w:marBottom w:val="0"/>
          <w:divBdr>
            <w:top w:val="none" w:sz="0" w:space="0" w:color="auto"/>
            <w:left w:val="none" w:sz="0" w:space="0" w:color="auto"/>
            <w:bottom w:val="none" w:sz="0" w:space="0" w:color="auto"/>
            <w:right w:val="none" w:sz="0" w:space="0" w:color="auto"/>
          </w:divBdr>
        </w:div>
        <w:div w:id="1776631643">
          <w:marLeft w:val="1166"/>
          <w:marRight w:val="0"/>
          <w:marTop w:val="0"/>
          <w:marBottom w:val="0"/>
          <w:divBdr>
            <w:top w:val="none" w:sz="0" w:space="0" w:color="auto"/>
            <w:left w:val="none" w:sz="0" w:space="0" w:color="auto"/>
            <w:bottom w:val="none" w:sz="0" w:space="0" w:color="auto"/>
            <w:right w:val="none" w:sz="0" w:space="0" w:color="auto"/>
          </w:divBdr>
        </w:div>
        <w:div w:id="1837383352">
          <w:marLeft w:val="1166"/>
          <w:marRight w:val="0"/>
          <w:marTop w:val="0"/>
          <w:marBottom w:val="0"/>
          <w:divBdr>
            <w:top w:val="none" w:sz="0" w:space="0" w:color="auto"/>
            <w:left w:val="none" w:sz="0" w:space="0" w:color="auto"/>
            <w:bottom w:val="none" w:sz="0" w:space="0" w:color="auto"/>
            <w:right w:val="none" w:sz="0" w:space="0" w:color="auto"/>
          </w:divBdr>
        </w:div>
        <w:div w:id="1990867727">
          <w:marLeft w:val="1166"/>
          <w:marRight w:val="0"/>
          <w:marTop w:val="0"/>
          <w:marBottom w:val="0"/>
          <w:divBdr>
            <w:top w:val="none" w:sz="0" w:space="0" w:color="auto"/>
            <w:left w:val="none" w:sz="0" w:space="0" w:color="auto"/>
            <w:bottom w:val="none" w:sz="0" w:space="0" w:color="auto"/>
            <w:right w:val="none" w:sz="0" w:space="0" w:color="auto"/>
          </w:divBdr>
        </w:div>
        <w:div w:id="2018118249">
          <w:marLeft w:val="547"/>
          <w:marRight w:val="0"/>
          <w:marTop w:val="0"/>
          <w:marBottom w:val="0"/>
          <w:divBdr>
            <w:top w:val="none" w:sz="0" w:space="0" w:color="auto"/>
            <w:left w:val="none" w:sz="0" w:space="0" w:color="auto"/>
            <w:bottom w:val="none" w:sz="0" w:space="0" w:color="auto"/>
            <w:right w:val="none" w:sz="0" w:space="0" w:color="auto"/>
          </w:divBdr>
        </w:div>
        <w:div w:id="2117212489">
          <w:marLeft w:val="1166"/>
          <w:marRight w:val="0"/>
          <w:marTop w:val="0"/>
          <w:marBottom w:val="0"/>
          <w:divBdr>
            <w:top w:val="none" w:sz="0" w:space="0" w:color="auto"/>
            <w:left w:val="none" w:sz="0" w:space="0" w:color="auto"/>
            <w:bottom w:val="none" w:sz="0" w:space="0" w:color="auto"/>
            <w:right w:val="none" w:sz="0" w:space="0" w:color="auto"/>
          </w:divBdr>
        </w:div>
      </w:divsChild>
    </w:div>
    <w:div w:id="1244946932">
      <w:bodyDiv w:val="1"/>
      <w:marLeft w:val="0"/>
      <w:marRight w:val="0"/>
      <w:marTop w:val="0"/>
      <w:marBottom w:val="0"/>
      <w:divBdr>
        <w:top w:val="none" w:sz="0" w:space="0" w:color="auto"/>
        <w:left w:val="none" w:sz="0" w:space="0" w:color="auto"/>
        <w:bottom w:val="none" w:sz="0" w:space="0" w:color="auto"/>
        <w:right w:val="none" w:sz="0" w:space="0" w:color="auto"/>
      </w:divBdr>
      <w:divsChild>
        <w:div w:id="55975199">
          <w:marLeft w:val="446"/>
          <w:marRight w:val="0"/>
          <w:marTop w:val="0"/>
          <w:marBottom w:val="0"/>
          <w:divBdr>
            <w:top w:val="none" w:sz="0" w:space="0" w:color="auto"/>
            <w:left w:val="none" w:sz="0" w:space="0" w:color="auto"/>
            <w:bottom w:val="none" w:sz="0" w:space="0" w:color="auto"/>
            <w:right w:val="none" w:sz="0" w:space="0" w:color="auto"/>
          </w:divBdr>
        </w:div>
        <w:div w:id="236324670">
          <w:marLeft w:val="446"/>
          <w:marRight w:val="0"/>
          <w:marTop w:val="0"/>
          <w:marBottom w:val="0"/>
          <w:divBdr>
            <w:top w:val="none" w:sz="0" w:space="0" w:color="auto"/>
            <w:left w:val="none" w:sz="0" w:space="0" w:color="auto"/>
            <w:bottom w:val="none" w:sz="0" w:space="0" w:color="auto"/>
            <w:right w:val="none" w:sz="0" w:space="0" w:color="auto"/>
          </w:divBdr>
        </w:div>
        <w:div w:id="659426859">
          <w:marLeft w:val="446"/>
          <w:marRight w:val="0"/>
          <w:marTop w:val="0"/>
          <w:marBottom w:val="0"/>
          <w:divBdr>
            <w:top w:val="none" w:sz="0" w:space="0" w:color="auto"/>
            <w:left w:val="none" w:sz="0" w:space="0" w:color="auto"/>
            <w:bottom w:val="none" w:sz="0" w:space="0" w:color="auto"/>
            <w:right w:val="none" w:sz="0" w:space="0" w:color="auto"/>
          </w:divBdr>
        </w:div>
        <w:div w:id="909851438">
          <w:marLeft w:val="446"/>
          <w:marRight w:val="0"/>
          <w:marTop w:val="0"/>
          <w:marBottom w:val="0"/>
          <w:divBdr>
            <w:top w:val="none" w:sz="0" w:space="0" w:color="auto"/>
            <w:left w:val="none" w:sz="0" w:space="0" w:color="auto"/>
            <w:bottom w:val="none" w:sz="0" w:space="0" w:color="auto"/>
            <w:right w:val="none" w:sz="0" w:space="0" w:color="auto"/>
          </w:divBdr>
        </w:div>
        <w:div w:id="915355920">
          <w:marLeft w:val="446"/>
          <w:marRight w:val="0"/>
          <w:marTop w:val="0"/>
          <w:marBottom w:val="0"/>
          <w:divBdr>
            <w:top w:val="none" w:sz="0" w:space="0" w:color="auto"/>
            <w:left w:val="none" w:sz="0" w:space="0" w:color="auto"/>
            <w:bottom w:val="none" w:sz="0" w:space="0" w:color="auto"/>
            <w:right w:val="none" w:sz="0" w:space="0" w:color="auto"/>
          </w:divBdr>
        </w:div>
        <w:div w:id="974678840">
          <w:marLeft w:val="446"/>
          <w:marRight w:val="0"/>
          <w:marTop w:val="0"/>
          <w:marBottom w:val="0"/>
          <w:divBdr>
            <w:top w:val="none" w:sz="0" w:space="0" w:color="auto"/>
            <w:left w:val="none" w:sz="0" w:space="0" w:color="auto"/>
            <w:bottom w:val="none" w:sz="0" w:space="0" w:color="auto"/>
            <w:right w:val="none" w:sz="0" w:space="0" w:color="auto"/>
          </w:divBdr>
        </w:div>
        <w:div w:id="1190333902">
          <w:marLeft w:val="446"/>
          <w:marRight w:val="0"/>
          <w:marTop w:val="0"/>
          <w:marBottom w:val="0"/>
          <w:divBdr>
            <w:top w:val="none" w:sz="0" w:space="0" w:color="auto"/>
            <w:left w:val="none" w:sz="0" w:space="0" w:color="auto"/>
            <w:bottom w:val="none" w:sz="0" w:space="0" w:color="auto"/>
            <w:right w:val="none" w:sz="0" w:space="0" w:color="auto"/>
          </w:divBdr>
        </w:div>
      </w:divsChild>
    </w:div>
    <w:div w:id="1368725518">
      <w:bodyDiv w:val="1"/>
      <w:marLeft w:val="0"/>
      <w:marRight w:val="0"/>
      <w:marTop w:val="0"/>
      <w:marBottom w:val="0"/>
      <w:divBdr>
        <w:top w:val="none" w:sz="0" w:space="0" w:color="auto"/>
        <w:left w:val="none" w:sz="0" w:space="0" w:color="auto"/>
        <w:bottom w:val="none" w:sz="0" w:space="0" w:color="auto"/>
        <w:right w:val="none" w:sz="0" w:space="0" w:color="auto"/>
      </w:divBdr>
      <w:divsChild>
        <w:div w:id="2140996914">
          <w:marLeft w:val="547"/>
          <w:marRight w:val="0"/>
          <w:marTop w:val="0"/>
          <w:marBottom w:val="0"/>
          <w:divBdr>
            <w:top w:val="none" w:sz="0" w:space="0" w:color="auto"/>
            <w:left w:val="none" w:sz="0" w:space="0" w:color="auto"/>
            <w:bottom w:val="none" w:sz="0" w:space="0" w:color="auto"/>
            <w:right w:val="none" w:sz="0" w:space="0" w:color="auto"/>
          </w:divBdr>
        </w:div>
      </w:divsChild>
    </w:div>
    <w:div w:id="1379863431">
      <w:bodyDiv w:val="1"/>
      <w:marLeft w:val="0"/>
      <w:marRight w:val="0"/>
      <w:marTop w:val="0"/>
      <w:marBottom w:val="0"/>
      <w:divBdr>
        <w:top w:val="none" w:sz="0" w:space="0" w:color="auto"/>
        <w:left w:val="none" w:sz="0" w:space="0" w:color="auto"/>
        <w:bottom w:val="none" w:sz="0" w:space="0" w:color="auto"/>
        <w:right w:val="none" w:sz="0" w:space="0" w:color="auto"/>
      </w:divBdr>
      <w:divsChild>
        <w:div w:id="1319766175">
          <w:marLeft w:val="360"/>
          <w:marRight w:val="0"/>
          <w:marTop w:val="200"/>
          <w:marBottom w:val="0"/>
          <w:divBdr>
            <w:top w:val="none" w:sz="0" w:space="0" w:color="auto"/>
            <w:left w:val="none" w:sz="0" w:space="0" w:color="auto"/>
            <w:bottom w:val="none" w:sz="0" w:space="0" w:color="auto"/>
            <w:right w:val="none" w:sz="0" w:space="0" w:color="auto"/>
          </w:divBdr>
        </w:div>
        <w:div w:id="2104372905">
          <w:marLeft w:val="360"/>
          <w:marRight w:val="0"/>
          <w:marTop w:val="200"/>
          <w:marBottom w:val="0"/>
          <w:divBdr>
            <w:top w:val="none" w:sz="0" w:space="0" w:color="auto"/>
            <w:left w:val="none" w:sz="0" w:space="0" w:color="auto"/>
            <w:bottom w:val="none" w:sz="0" w:space="0" w:color="auto"/>
            <w:right w:val="none" w:sz="0" w:space="0" w:color="auto"/>
          </w:divBdr>
        </w:div>
      </w:divsChild>
    </w:div>
    <w:div w:id="1386568906">
      <w:bodyDiv w:val="1"/>
      <w:marLeft w:val="0"/>
      <w:marRight w:val="0"/>
      <w:marTop w:val="0"/>
      <w:marBottom w:val="0"/>
      <w:divBdr>
        <w:top w:val="none" w:sz="0" w:space="0" w:color="auto"/>
        <w:left w:val="none" w:sz="0" w:space="0" w:color="auto"/>
        <w:bottom w:val="none" w:sz="0" w:space="0" w:color="auto"/>
        <w:right w:val="none" w:sz="0" w:space="0" w:color="auto"/>
      </w:divBdr>
      <w:divsChild>
        <w:div w:id="633146538">
          <w:marLeft w:val="547"/>
          <w:marRight w:val="0"/>
          <w:marTop w:val="0"/>
          <w:marBottom w:val="0"/>
          <w:divBdr>
            <w:top w:val="none" w:sz="0" w:space="0" w:color="auto"/>
            <w:left w:val="none" w:sz="0" w:space="0" w:color="auto"/>
            <w:bottom w:val="none" w:sz="0" w:space="0" w:color="auto"/>
            <w:right w:val="none" w:sz="0" w:space="0" w:color="auto"/>
          </w:divBdr>
        </w:div>
      </w:divsChild>
    </w:div>
    <w:div w:id="1386954104">
      <w:bodyDiv w:val="1"/>
      <w:marLeft w:val="0"/>
      <w:marRight w:val="0"/>
      <w:marTop w:val="0"/>
      <w:marBottom w:val="0"/>
      <w:divBdr>
        <w:top w:val="none" w:sz="0" w:space="0" w:color="auto"/>
        <w:left w:val="none" w:sz="0" w:space="0" w:color="auto"/>
        <w:bottom w:val="none" w:sz="0" w:space="0" w:color="auto"/>
        <w:right w:val="none" w:sz="0" w:space="0" w:color="auto"/>
      </w:divBdr>
      <w:divsChild>
        <w:div w:id="1998067522">
          <w:marLeft w:val="360"/>
          <w:marRight w:val="0"/>
          <w:marTop w:val="200"/>
          <w:marBottom w:val="0"/>
          <w:divBdr>
            <w:top w:val="none" w:sz="0" w:space="0" w:color="auto"/>
            <w:left w:val="none" w:sz="0" w:space="0" w:color="auto"/>
            <w:bottom w:val="none" w:sz="0" w:space="0" w:color="auto"/>
            <w:right w:val="none" w:sz="0" w:space="0" w:color="auto"/>
          </w:divBdr>
        </w:div>
      </w:divsChild>
    </w:div>
    <w:div w:id="1429499758">
      <w:bodyDiv w:val="1"/>
      <w:marLeft w:val="0"/>
      <w:marRight w:val="0"/>
      <w:marTop w:val="0"/>
      <w:marBottom w:val="0"/>
      <w:divBdr>
        <w:top w:val="none" w:sz="0" w:space="0" w:color="auto"/>
        <w:left w:val="none" w:sz="0" w:space="0" w:color="auto"/>
        <w:bottom w:val="none" w:sz="0" w:space="0" w:color="auto"/>
        <w:right w:val="none" w:sz="0" w:space="0" w:color="auto"/>
      </w:divBdr>
      <w:divsChild>
        <w:div w:id="1598364479">
          <w:marLeft w:val="547"/>
          <w:marRight w:val="0"/>
          <w:marTop w:val="0"/>
          <w:marBottom w:val="0"/>
          <w:divBdr>
            <w:top w:val="none" w:sz="0" w:space="0" w:color="auto"/>
            <w:left w:val="none" w:sz="0" w:space="0" w:color="auto"/>
            <w:bottom w:val="none" w:sz="0" w:space="0" w:color="auto"/>
            <w:right w:val="none" w:sz="0" w:space="0" w:color="auto"/>
          </w:divBdr>
        </w:div>
      </w:divsChild>
    </w:div>
    <w:div w:id="1442141856">
      <w:bodyDiv w:val="1"/>
      <w:marLeft w:val="0"/>
      <w:marRight w:val="0"/>
      <w:marTop w:val="0"/>
      <w:marBottom w:val="0"/>
      <w:divBdr>
        <w:top w:val="none" w:sz="0" w:space="0" w:color="auto"/>
        <w:left w:val="none" w:sz="0" w:space="0" w:color="auto"/>
        <w:bottom w:val="none" w:sz="0" w:space="0" w:color="auto"/>
        <w:right w:val="none" w:sz="0" w:space="0" w:color="auto"/>
      </w:divBdr>
    </w:div>
    <w:div w:id="1570261547">
      <w:bodyDiv w:val="1"/>
      <w:marLeft w:val="0"/>
      <w:marRight w:val="0"/>
      <w:marTop w:val="0"/>
      <w:marBottom w:val="0"/>
      <w:divBdr>
        <w:top w:val="none" w:sz="0" w:space="0" w:color="auto"/>
        <w:left w:val="none" w:sz="0" w:space="0" w:color="auto"/>
        <w:bottom w:val="none" w:sz="0" w:space="0" w:color="auto"/>
        <w:right w:val="none" w:sz="0" w:space="0" w:color="auto"/>
      </w:divBdr>
      <w:divsChild>
        <w:div w:id="3098785">
          <w:marLeft w:val="1267"/>
          <w:marRight w:val="0"/>
          <w:marTop w:val="100"/>
          <w:marBottom w:val="0"/>
          <w:divBdr>
            <w:top w:val="none" w:sz="0" w:space="0" w:color="auto"/>
            <w:left w:val="none" w:sz="0" w:space="0" w:color="auto"/>
            <w:bottom w:val="none" w:sz="0" w:space="0" w:color="auto"/>
            <w:right w:val="none" w:sz="0" w:space="0" w:color="auto"/>
          </w:divBdr>
        </w:div>
        <w:div w:id="166096548">
          <w:marLeft w:val="360"/>
          <w:marRight w:val="0"/>
          <w:marTop w:val="200"/>
          <w:marBottom w:val="0"/>
          <w:divBdr>
            <w:top w:val="none" w:sz="0" w:space="0" w:color="auto"/>
            <w:left w:val="none" w:sz="0" w:space="0" w:color="auto"/>
            <w:bottom w:val="none" w:sz="0" w:space="0" w:color="auto"/>
            <w:right w:val="none" w:sz="0" w:space="0" w:color="auto"/>
          </w:divBdr>
        </w:div>
        <w:div w:id="438913437">
          <w:marLeft w:val="1267"/>
          <w:marRight w:val="0"/>
          <w:marTop w:val="100"/>
          <w:marBottom w:val="0"/>
          <w:divBdr>
            <w:top w:val="none" w:sz="0" w:space="0" w:color="auto"/>
            <w:left w:val="none" w:sz="0" w:space="0" w:color="auto"/>
            <w:bottom w:val="none" w:sz="0" w:space="0" w:color="auto"/>
            <w:right w:val="none" w:sz="0" w:space="0" w:color="auto"/>
          </w:divBdr>
        </w:div>
        <w:div w:id="1414355233">
          <w:marLeft w:val="1267"/>
          <w:marRight w:val="0"/>
          <w:marTop w:val="100"/>
          <w:marBottom w:val="0"/>
          <w:divBdr>
            <w:top w:val="none" w:sz="0" w:space="0" w:color="auto"/>
            <w:left w:val="none" w:sz="0" w:space="0" w:color="auto"/>
            <w:bottom w:val="none" w:sz="0" w:space="0" w:color="auto"/>
            <w:right w:val="none" w:sz="0" w:space="0" w:color="auto"/>
          </w:divBdr>
        </w:div>
      </w:divsChild>
    </w:div>
    <w:div w:id="1611890596">
      <w:bodyDiv w:val="1"/>
      <w:marLeft w:val="0"/>
      <w:marRight w:val="0"/>
      <w:marTop w:val="0"/>
      <w:marBottom w:val="0"/>
      <w:divBdr>
        <w:top w:val="none" w:sz="0" w:space="0" w:color="auto"/>
        <w:left w:val="none" w:sz="0" w:space="0" w:color="auto"/>
        <w:bottom w:val="none" w:sz="0" w:space="0" w:color="auto"/>
        <w:right w:val="none" w:sz="0" w:space="0" w:color="auto"/>
      </w:divBdr>
      <w:divsChild>
        <w:div w:id="556747470">
          <w:marLeft w:val="360"/>
          <w:marRight w:val="0"/>
          <w:marTop w:val="200"/>
          <w:marBottom w:val="0"/>
          <w:divBdr>
            <w:top w:val="none" w:sz="0" w:space="0" w:color="auto"/>
            <w:left w:val="none" w:sz="0" w:space="0" w:color="auto"/>
            <w:bottom w:val="none" w:sz="0" w:space="0" w:color="auto"/>
            <w:right w:val="none" w:sz="0" w:space="0" w:color="auto"/>
          </w:divBdr>
        </w:div>
      </w:divsChild>
    </w:div>
    <w:div w:id="1644193967">
      <w:bodyDiv w:val="1"/>
      <w:marLeft w:val="0"/>
      <w:marRight w:val="0"/>
      <w:marTop w:val="0"/>
      <w:marBottom w:val="0"/>
      <w:divBdr>
        <w:top w:val="none" w:sz="0" w:space="0" w:color="auto"/>
        <w:left w:val="none" w:sz="0" w:space="0" w:color="auto"/>
        <w:bottom w:val="none" w:sz="0" w:space="0" w:color="auto"/>
        <w:right w:val="none" w:sz="0" w:space="0" w:color="auto"/>
      </w:divBdr>
      <w:divsChild>
        <w:div w:id="8609503">
          <w:marLeft w:val="1080"/>
          <w:marRight w:val="0"/>
          <w:marTop w:val="100"/>
          <w:marBottom w:val="0"/>
          <w:divBdr>
            <w:top w:val="none" w:sz="0" w:space="0" w:color="auto"/>
            <w:left w:val="none" w:sz="0" w:space="0" w:color="auto"/>
            <w:bottom w:val="none" w:sz="0" w:space="0" w:color="auto"/>
            <w:right w:val="none" w:sz="0" w:space="0" w:color="auto"/>
          </w:divBdr>
        </w:div>
        <w:div w:id="163782450">
          <w:marLeft w:val="360"/>
          <w:marRight w:val="0"/>
          <w:marTop w:val="200"/>
          <w:marBottom w:val="0"/>
          <w:divBdr>
            <w:top w:val="none" w:sz="0" w:space="0" w:color="auto"/>
            <w:left w:val="none" w:sz="0" w:space="0" w:color="auto"/>
            <w:bottom w:val="none" w:sz="0" w:space="0" w:color="auto"/>
            <w:right w:val="none" w:sz="0" w:space="0" w:color="auto"/>
          </w:divBdr>
        </w:div>
        <w:div w:id="175732038">
          <w:marLeft w:val="1080"/>
          <w:marRight w:val="0"/>
          <w:marTop w:val="100"/>
          <w:marBottom w:val="0"/>
          <w:divBdr>
            <w:top w:val="none" w:sz="0" w:space="0" w:color="auto"/>
            <w:left w:val="none" w:sz="0" w:space="0" w:color="auto"/>
            <w:bottom w:val="none" w:sz="0" w:space="0" w:color="auto"/>
            <w:right w:val="none" w:sz="0" w:space="0" w:color="auto"/>
          </w:divBdr>
        </w:div>
        <w:div w:id="312638474">
          <w:marLeft w:val="360"/>
          <w:marRight w:val="0"/>
          <w:marTop w:val="200"/>
          <w:marBottom w:val="0"/>
          <w:divBdr>
            <w:top w:val="none" w:sz="0" w:space="0" w:color="auto"/>
            <w:left w:val="none" w:sz="0" w:space="0" w:color="auto"/>
            <w:bottom w:val="none" w:sz="0" w:space="0" w:color="auto"/>
            <w:right w:val="none" w:sz="0" w:space="0" w:color="auto"/>
          </w:divBdr>
        </w:div>
        <w:div w:id="463814519">
          <w:marLeft w:val="360"/>
          <w:marRight w:val="0"/>
          <w:marTop w:val="200"/>
          <w:marBottom w:val="0"/>
          <w:divBdr>
            <w:top w:val="none" w:sz="0" w:space="0" w:color="auto"/>
            <w:left w:val="none" w:sz="0" w:space="0" w:color="auto"/>
            <w:bottom w:val="none" w:sz="0" w:space="0" w:color="auto"/>
            <w:right w:val="none" w:sz="0" w:space="0" w:color="auto"/>
          </w:divBdr>
        </w:div>
        <w:div w:id="553083585">
          <w:marLeft w:val="360"/>
          <w:marRight w:val="0"/>
          <w:marTop w:val="200"/>
          <w:marBottom w:val="0"/>
          <w:divBdr>
            <w:top w:val="none" w:sz="0" w:space="0" w:color="auto"/>
            <w:left w:val="none" w:sz="0" w:space="0" w:color="auto"/>
            <w:bottom w:val="none" w:sz="0" w:space="0" w:color="auto"/>
            <w:right w:val="none" w:sz="0" w:space="0" w:color="auto"/>
          </w:divBdr>
        </w:div>
        <w:div w:id="950278234">
          <w:marLeft w:val="360"/>
          <w:marRight w:val="0"/>
          <w:marTop w:val="200"/>
          <w:marBottom w:val="0"/>
          <w:divBdr>
            <w:top w:val="none" w:sz="0" w:space="0" w:color="auto"/>
            <w:left w:val="none" w:sz="0" w:space="0" w:color="auto"/>
            <w:bottom w:val="none" w:sz="0" w:space="0" w:color="auto"/>
            <w:right w:val="none" w:sz="0" w:space="0" w:color="auto"/>
          </w:divBdr>
        </w:div>
        <w:div w:id="1057509818">
          <w:marLeft w:val="1080"/>
          <w:marRight w:val="0"/>
          <w:marTop w:val="100"/>
          <w:marBottom w:val="0"/>
          <w:divBdr>
            <w:top w:val="none" w:sz="0" w:space="0" w:color="auto"/>
            <w:left w:val="none" w:sz="0" w:space="0" w:color="auto"/>
            <w:bottom w:val="none" w:sz="0" w:space="0" w:color="auto"/>
            <w:right w:val="none" w:sz="0" w:space="0" w:color="auto"/>
          </w:divBdr>
        </w:div>
        <w:div w:id="1407604440">
          <w:marLeft w:val="360"/>
          <w:marRight w:val="0"/>
          <w:marTop w:val="200"/>
          <w:marBottom w:val="0"/>
          <w:divBdr>
            <w:top w:val="none" w:sz="0" w:space="0" w:color="auto"/>
            <w:left w:val="none" w:sz="0" w:space="0" w:color="auto"/>
            <w:bottom w:val="none" w:sz="0" w:space="0" w:color="auto"/>
            <w:right w:val="none" w:sz="0" w:space="0" w:color="auto"/>
          </w:divBdr>
        </w:div>
        <w:div w:id="1545210944">
          <w:marLeft w:val="1080"/>
          <w:marRight w:val="0"/>
          <w:marTop w:val="100"/>
          <w:marBottom w:val="0"/>
          <w:divBdr>
            <w:top w:val="none" w:sz="0" w:space="0" w:color="auto"/>
            <w:left w:val="none" w:sz="0" w:space="0" w:color="auto"/>
            <w:bottom w:val="none" w:sz="0" w:space="0" w:color="auto"/>
            <w:right w:val="none" w:sz="0" w:space="0" w:color="auto"/>
          </w:divBdr>
        </w:div>
        <w:div w:id="1545556781">
          <w:marLeft w:val="360"/>
          <w:marRight w:val="0"/>
          <w:marTop w:val="200"/>
          <w:marBottom w:val="0"/>
          <w:divBdr>
            <w:top w:val="none" w:sz="0" w:space="0" w:color="auto"/>
            <w:left w:val="none" w:sz="0" w:space="0" w:color="auto"/>
            <w:bottom w:val="none" w:sz="0" w:space="0" w:color="auto"/>
            <w:right w:val="none" w:sz="0" w:space="0" w:color="auto"/>
          </w:divBdr>
        </w:div>
        <w:div w:id="1884752163">
          <w:marLeft w:val="360"/>
          <w:marRight w:val="0"/>
          <w:marTop w:val="200"/>
          <w:marBottom w:val="0"/>
          <w:divBdr>
            <w:top w:val="none" w:sz="0" w:space="0" w:color="auto"/>
            <w:left w:val="none" w:sz="0" w:space="0" w:color="auto"/>
            <w:bottom w:val="none" w:sz="0" w:space="0" w:color="auto"/>
            <w:right w:val="none" w:sz="0" w:space="0" w:color="auto"/>
          </w:divBdr>
        </w:div>
        <w:div w:id="1923102922">
          <w:marLeft w:val="360"/>
          <w:marRight w:val="0"/>
          <w:marTop w:val="200"/>
          <w:marBottom w:val="0"/>
          <w:divBdr>
            <w:top w:val="none" w:sz="0" w:space="0" w:color="auto"/>
            <w:left w:val="none" w:sz="0" w:space="0" w:color="auto"/>
            <w:bottom w:val="none" w:sz="0" w:space="0" w:color="auto"/>
            <w:right w:val="none" w:sz="0" w:space="0" w:color="auto"/>
          </w:divBdr>
        </w:div>
        <w:div w:id="2022657139">
          <w:marLeft w:val="1080"/>
          <w:marRight w:val="0"/>
          <w:marTop w:val="100"/>
          <w:marBottom w:val="0"/>
          <w:divBdr>
            <w:top w:val="none" w:sz="0" w:space="0" w:color="auto"/>
            <w:left w:val="none" w:sz="0" w:space="0" w:color="auto"/>
            <w:bottom w:val="none" w:sz="0" w:space="0" w:color="auto"/>
            <w:right w:val="none" w:sz="0" w:space="0" w:color="auto"/>
          </w:divBdr>
        </w:div>
      </w:divsChild>
    </w:div>
    <w:div w:id="1658411122">
      <w:bodyDiv w:val="1"/>
      <w:marLeft w:val="0"/>
      <w:marRight w:val="0"/>
      <w:marTop w:val="0"/>
      <w:marBottom w:val="0"/>
      <w:divBdr>
        <w:top w:val="none" w:sz="0" w:space="0" w:color="auto"/>
        <w:left w:val="none" w:sz="0" w:space="0" w:color="auto"/>
        <w:bottom w:val="none" w:sz="0" w:space="0" w:color="auto"/>
        <w:right w:val="none" w:sz="0" w:space="0" w:color="auto"/>
      </w:divBdr>
      <w:divsChild>
        <w:div w:id="1685203963">
          <w:marLeft w:val="360"/>
          <w:marRight w:val="0"/>
          <w:marTop w:val="200"/>
          <w:marBottom w:val="0"/>
          <w:divBdr>
            <w:top w:val="none" w:sz="0" w:space="0" w:color="auto"/>
            <w:left w:val="none" w:sz="0" w:space="0" w:color="auto"/>
            <w:bottom w:val="none" w:sz="0" w:space="0" w:color="auto"/>
            <w:right w:val="none" w:sz="0" w:space="0" w:color="auto"/>
          </w:divBdr>
        </w:div>
      </w:divsChild>
    </w:div>
    <w:div w:id="1681083409">
      <w:bodyDiv w:val="1"/>
      <w:marLeft w:val="0"/>
      <w:marRight w:val="0"/>
      <w:marTop w:val="0"/>
      <w:marBottom w:val="0"/>
      <w:divBdr>
        <w:top w:val="none" w:sz="0" w:space="0" w:color="auto"/>
        <w:left w:val="none" w:sz="0" w:space="0" w:color="auto"/>
        <w:bottom w:val="none" w:sz="0" w:space="0" w:color="auto"/>
        <w:right w:val="none" w:sz="0" w:space="0" w:color="auto"/>
      </w:divBdr>
      <w:divsChild>
        <w:div w:id="841548489">
          <w:marLeft w:val="547"/>
          <w:marRight w:val="0"/>
          <w:marTop w:val="0"/>
          <w:marBottom w:val="0"/>
          <w:divBdr>
            <w:top w:val="none" w:sz="0" w:space="0" w:color="auto"/>
            <w:left w:val="none" w:sz="0" w:space="0" w:color="auto"/>
            <w:bottom w:val="none" w:sz="0" w:space="0" w:color="auto"/>
            <w:right w:val="none" w:sz="0" w:space="0" w:color="auto"/>
          </w:divBdr>
        </w:div>
      </w:divsChild>
    </w:div>
    <w:div w:id="1736392093">
      <w:bodyDiv w:val="1"/>
      <w:marLeft w:val="0"/>
      <w:marRight w:val="0"/>
      <w:marTop w:val="0"/>
      <w:marBottom w:val="0"/>
      <w:divBdr>
        <w:top w:val="none" w:sz="0" w:space="0" w:color="auto"/>
        <w:left w:val="none" w:sz="0" w:space="0" w:color="auto"/>
        <w:bottom w:val="none" w:sz="0" w:space="0" w:color="auto"/>
        <w:right w:val="none" w:sz="0" w:space="0" w:color="auto"/>
      </w:divBdr>
    </w:div>
    <w:div w:id="1892763944">
      <w:bodyDiv w:val="1"/>
      <w:marLeft w:val="0"/>
      <w:marRight w:val="0"/>
      <w:marTop w:val="0"/>
      <w:marBottom w:val="0"/>
      <w:divBdr>
        <w:top w:val="none" w:sz="0" w:space="0" w:color="auto"/>
        <w:left w:val="none" w:sz="0" w:space="0" w:color="auto"/>
        <w:bottom w:val="none" w:sz="0" w:space="0" w:color="auto"/>
        <w:right w:val="none" w:sz="0" w:space="0" w:color="auto"/>
      </w:divBdr>
      <w:divsChild>
        <w:div w:id="1909144369">
          <w:marLeft w:val="360"/>
          <w:marRight w:val="0"/>
          <w:marTop w:val="200"/>
          <w:marBottom w:val="0"/>
          <w:divBdr>
            <w:top w:val="none" w:sz="0" w:space="0" w:color="auto"/>
            <w:left w:val="none" w:sz="0" w:space="0" w:color="auto"/>
            <w:bottom w:val="none" w:sz="0" w:space="0" w:color="auto"/>
            <w:right w:val="none" w:sz="0" w:space="0" w:color="auto"/>
          </w:divBdr>
        </w:div>
      </w:divsChild>
    </w:div>
    <w:div w:id="1931769197">
      <w:bodyDiv w:val="1"/>
      <w:marLeft w:val="0"/>
      <w:marRight w:val="0"/>
      <w:marTop w:val="0"/>
      <w:marBottom w:val="0"/>
      <w:divBdr>
        <w:top w:val="none" w:sz="0" w:space="0" w:color="auto"/>
        <w:left w:val="none" w:sz="0" w:space="0" w:color="auto"/>
        <w:bottom w:val="none" w:sz="0" w:space="0" w:color="auto"/>
        <w:right w:val="none" w:sz="0" w:space="0" w:color="auto"/>
      </w:divBdr>
      <w:divsChild>
        <w:div w:id="748648509">
          <w:marLeft w:val="0"/>
          <w:marRight w:val="0"/>
          <w:marTop w:val="0"/>
          <w:marBottom w:val="0"/>
          <w:divBdr>
            <w:top w:val="none" w:sz="0" w:space="0" w:color="auto"/>
            <w:left w:val="none" w:sz="0" w:space="0" w:color="auto"/>
            <w:bottom w:val="none" w:sz="0" w:space="0" w:color="auto"/>
            <w:right w:val="none" w:sz="0" w:space="0" w:color="auto"/>
          </w:divBdr>
        </w:div>
        <w:div w:id="1827471893">
          <w:marLeft w:val="0"/>
          <w:marRight w:val="0"/>
          <w:marTop w:val="0"/>
          <w:marBottom w:val="0"/>
          <w:divBdr>
            <w:top w:val="none" w:sz="0" w:space="0" w:color="auto"/>
            <w:left w:val="none" w:sz="0" w:space="0" w:color="auto"/>
            <w:bottom w:val="none" w:sz="0" w:space="0" w:color="auto"/>
            <w:right w:val="none" w:sz="0" w:space="0" w:color="auto"/>
          </w:divBdr>
        </w:div>
      </w:divsChild>
    </w:div>
    <w:div w:id="1992825703">
      <w:bodyDiv w:val="1"/>
      <w:marLeft w:val="0"/>
      <w:marRight w:val="0"/>
      <w:marTop w:val="0"/>
      <w:marBottom w:val="0"/>
      <w:divBdr>
        <w:top w:val="none" w:sz="0" w:space="0" w:color="auto"/>
        <w:left w:val="none" w:sz="0" w:space="0" w:color="auto"/>
        <w:bottom w:val="none" w:sz="0" w:space="0" w:color="auto"/>
        <w:right w:val="none" w:sz="0" w:space="0" w:color="auto"/>
      </w:divBdr>
      <w:divsChild>
        <w:div w:id="95947226">
          <w:marLeft w:val="360"/>
          <w:marRight w:val="0"/>
          <w:marTop w:val="200"/>
          <w:marBottom w:val="0"/>
          <w:divBdr>
            <w:top w:val="none" w:sz="0" w:space="0" w:color="auto"/>
            <w:left w:val="none" w:sz="0" w:space="0" w:color="auto"/>
            <w:bottom w:val="none" w:sz="0" w:space="0" w:color="auto"/>
            <w:right w:val="none" w:sz="0" w:space="0" w:color="auto"/>
          </w:divBdr>
        </w:div>
        <w:div w:id="571232053">
          <w:marLeft w:val="360"/>
          <w:marRight w:val="0"/>
          <w:marTop w:val="200"/>
          <w:marBottom w:val="0"/>
          <w:divBdr>
            <w:top w:val="none" w:sz="0" w:space="0" w:color="auto"/>
            <w:left w:val="none" w:sz="0" w:space="0" w:color="auto"/>
            <w:bottom w:val="none" w:sz="0" w:space="0" w:color="auto"/>
            <w:right w:val="none" w:sz="0" w:space="0" w:color="auto"/>
          </w:divBdr>
        </w:div>
        <w:div w:id="1141842986">
          <w:marLeft w:val="360"/>
          <w:marRight w:val="0"/>
          <w:marTop w:val="200"/>
          <w:marBottom w:val="0"/>
          <w:divBdr>
            <w:top w:val="none" w:sz="0" w:space="0" w:color="auto"/>
            <w:left w:val="none" w:sz="0" w:space="0" w:color="auto"/>
            <w:bottom w:val="none" w:sz="0" w:space="0" w:color="auto"/>
            <w:right w:val="none" w:sz="0" w:space="0" w:color="auto"/>
          </w:divBdr>
        </w:div>
        <w:div w:id="1206331698">
          <w:marLeft w:val="360"/>
          <w:marRight w:val="0"/>
          <w:marTop w:val="200"/>
          <w:marBottom w:val="0"/>
          <w:divBdr>
            <w:top w:val="none" w:sz="0" w:space="0" w:color="auto"/>
            <w:left w:val="none" w:sz="0" w:space="0" w:color="auto"/>
            <w:bottom w:val="none" w:sz="0" w:space="0" w:color="auto"/>
            <w:right w:val="none" w:sz="0" w:space="0" w:color="auto"/>
          </w:divBdr>
        </w:div>
        <w:div w:id="1804733690">
          <w:marLeft w:val="360"/>
          <w:marRight w:val="0"/>
          <w:marTop w:val="200"/>
          <w:marBottom w:val="0"/>
          <w:divBdr>
            <w:top w:val="none" w:sz="0" w:space="0" w:color="auto"/>
            <w:left w:val="none" w:sz="0" w:space="0" w:color="auto"/>
            <w:bottom w:val="none" w:sz="0" w:space="0" w:color="auto"/>
            <w:right w:val="none" w:sz="0" w:space="0" w:color="auto"/>
          </w:divBdr>
        </w:div>
      </w:divsChild>
    </w:div>
    <w:div w:id="1994068469">
      <w:bodyDiv w:val="1"/>
      <w:marLeft w:val="0"/>
      <w:marRight w:val="0"/>
      <w:marTop w:val="0"/>
      <w:marBottom w:val="0"/>
      <w:divBdr>
        <w:top w:val="none" w:sz="0" w:space="0" w:color="auto"/>
        <w:left w:val="none" w:sz="0" w:space="0" w:color="auto"/>
        <w:bottom w:val="none" w:sz="0" w:space="0" w:color="auto"/>
        <w:right w:val="none" w:sz="0" w:space="0" w:color="auto"/>
      </w:divBdr>
      <w:divsChild>
        <w:div w:id="81218996">
          <w:marLeft w:val="446"/>
          <w:marRight w:val="0"/>
          <w:marTop w:val="0"/>
          <w:marBottom w:val="0"/>
          <w:divBdr>
            <w:top w:val="none" w:sz="0" w:space="0" w:color="auto"/>
            <w:left w:val="none" w:sz="0" w:space="0" w:color="auto"/>
            <w:bottom w:val="none" w:sz="0" w:space="0" w:color="auto"/>
            <w:right w:val="none" w:sz="0" w:space="0" w:color="auto"/>
          </w:divBdr>
        </w:div>
        <w:div w:id="713046056">
          <w:marLeft w:val="446"/>
          <w:marRight w:val="0"/>
          <w:marTop w:val="0"/>
          <w:marBottom w:val="0"/>
          <w:divBdr>
            <w:top w:val="none" w:sz="0" w:space="0" w:color="auto"/>
            <w:left w:val="none" w:sz="0" w:space="0" w:color="auto"/>
            <w:bottom w:val="none" w:sz="0" w:space="0" w:color="auto"/>
            <w:right w:val="none" w:sz="0" w:space="0" w:color="auto"/>
          </w:divBdr>
        </w:div>
      </w:divsChild>
    </w:div>
    <w:div w:id="2054620516">
      <w:bodyDiv w:val="1"/>
      <w:marLeft w:val="0"/>
      <w:marRight w:val="0"/>
      <w:marTop w:val="0"/>
      <w:marBottom w:val="0"/>
      <w:divBdr>
        <w:top w:val="none" w:sz="0" w:space="0" w:color="auto"/>
        <w:left w:val="none" w:sz="0" w:space="0" w:color="auto"/>
        <w:bottom w:val="none" w:sz="0" w:space="0" w:color="auto"/>
        <w:right w:val="none" w:sz="0" w:space="0" w:color="auto"/>
      </w:divBdr>
      <w:divsChild>
        <w:div w:id="102193692">
          <w:marLeft w:val="1080"/>
          <w:marRight w:val="0"/>
          <w:marTop w:val="100"/>
          <w:marBottom w:val="0"/>
          <w:divBdr>
            <w:top w:val="none" w:sz="0" w:space="0" w:color="auto"/>
            <w:left w:val="none" w:sz="0" w:space="0" w:color="auto"/>
            <w:bottom w:val="none" w:sz="0" w:space="0" w:color="auto"/>
            <w:right w:val="none" w:sz="0" w:space="0" w:color="auto"/>
          </w:divBdr>
        </w:div>
        <w:div w:id="161044286">
          <w:marLeft w:val="1080"/>
          <w:marRight w:val="0"/>
          <w:marTop w:val="100"/>
          <w:marBottom w:val="0"/>
          <w:divBdr>
            <w:top w:val="none" w:sz="0" w:space="0" w:color="auto"/>
            <w:left w:val="none" w:sz="0" w:space="0" w:color="auto"/>
            <w:bottom w:val="none" w:sz="0" w:space="0" w:color="auto"/>
            <w:right w:val="none" w:sz="0" w:space="0" w:color="auto"/>
          </w:divBdr>
        </w:div>
        <w:div w:id="251620629">
          <w:marLeft w:val="1080"/>
          <w:marRight w:val="0"/>
          <w:marTop w:val="100"/>
          <w:marBottom w:val="0"/>
          <w:divBdr>
            <w:top w:val="none" w:sz="0" w:space="0" w:color="auto"/>
            <w:left w:val="none" w:sz="0" w:space="0" w:color="auto"/>
            <w:bottom w:val="none" w:sz="0" w:space="0" w:color="auto"/>
            <w:right w:val="none" w:sz="0" w:space="0" w:color="auto"/>
          </w:divBdr>
        </w:div>
        <w:div w:id="465586928">
          <w:marLeft w:val="1800"/>
          <w:marRight w:val="0"/>
          <w:marTop w:val="100"/>
          <w:marBottom w:val="0"/>
          <w:divBdr>
            <w:top w:val="none" w:sz="0" w:space="0" w:color="auto"/>
            <w:left w:val="none" w:sz="0" w:space="0" w:color="auto"/>
            <w:bottom w:val="none" w:sz="0" w:space="0" w:color="auto"/>
            <w:right w:val="none" w:sz="0" w:space="0" w:color="auto"/>
          </w:divBdr>
        </w:div>
        <w:div w:id="506478954">
          <w:marLeft w:val="1800"/>
          <w:marRight w:val="0"/>
          <w:marTop w:val="100"/>
          <w:marBottom w:val="0"/>
          <w:divBdr>
            <w:top w:val="none" w:sz="0" w:space="0" w:color="auto"/>
            <w:left w:val="none" w:sz="0" w:space="0" w:color="auto"/>
            <w:bottom w:val="none" w:sz="0" w:space="0" w:color="auto"/>
            <w:right w:val="none" w:sz="0" w:space="0" w:color="auto"/>
          </w:divBdr>
        </w:div>
        <w:div w:id="743796759">
          <w:marLeft w:val="1080"/>
          <w:marRight w:val="0"/>
          <w:marTop w:val="100"/>
          <w:marBottom w:val="0"/>
          <w:divBdr>
            <w:top w:val="none" w:sz="0" w:space="0" w:color="auto"/>
            <w:left w:val="none" w:sz="0" w:space="0" w:color="auto"/>
            <w:bottom w:val="none" w:sz="0" w:space="0" w:color="auto"/>
            <w:right w:val="none" w:sz="0" w:space="0" w:color="auto"/>
          </w:divBdr>
        </w:div>
        <w:div w:id="867569691">
          <w:marLeft w:val="1800"/>
          <w:marRight w:val="0"/>
          <w:marTop w:val="100"/>
          <w:marBottom w:val="0"/>
          <w:divBdr>
            <w:top w:val="none" w:sz="0" w:space="0" w:color="auto"/>
            <w:left w:val="none" w:sz="0" w:space="0" w:color="auto"/>
            <w:bottom w:val="none" w:sz="0" w:space="0" w:color="auto"/>
            <w:right w:val="none" w:sz="0" w:space="0" w:color="auto"/>
          </w:divBdr>
        </w:div>
        <w:div w:id="948387840">
          <w:marLeft w:val="1800"/>
          <w:marRight w:val="0"/>
          <w:marTop w:val="100"/>
          <w:marBottom w:val="0"/>
          <w:divBdr>
            <w:top w:val="none" w:sz="0" w:space="0" w:color="auto"/>
            <w:left w:val="none" w:sz="0" w:space="0" w:color="auto"/>
            <w:bottom w:val="none" w:sz="0" w:space="0" w:color="auto"/>
            <w:right w:val="none" w:sz="0" w:space="0" w:color="auto"/>
          </w:divBdr>
        </w:div>
        <w:div w:id="982927356">
          <w:marLeft w:val="1800"/>
          <w:marRight w:val="0"/>
          <w:marTop w:val="100"/>
          <w:marBottom w:val="0"/>
          <w:divBdr>
            <w:top w:val="none" w:sz="0" w:space="0" w:color="auto"/>
            <w:left w:val="none" w:sz="0" w:space="0" w:color="auto"/>
            <w:bottom w:val="none" w:sz="0" w:space="0" w:color="auto"/>
            <w:right w:val="none" w:sz="0" w:space="0" w:color="auto"/>
          </w:divBdr>
        </w:div>
        <w:div w:id="1039549346">
          <w:marLeft w:val="1800"/>
          <w:marRight w:val="0"/>
          <w:marTop w:val="100"/>
          <w:marBottom w:val="0"/>
          <w:divBdr>
            <w:top w:val="none" w:sz="0" w:space="0" w:color="auto"/>
            <w:left w:val="none" w:sz="0" w:space="0" w:color="auto"/>
            <w:bottom w:val="none" w:sz="0" w:space="0" w:color="auto"/>
            <w:right w:val="none" w:sz="0" w:space="0" w:color="auto"/>
          </w:divBdr>
        </w:div>
        <w:div w:id="1214541546">
          <w:marLeft w:val="1800"/>
          <w:marRight w:val="0"/>
          <w:marTop w:val="100"/>
          <w:marBottom w:val="0"/>
          <w:divBdr>
            <w:top w:val="none" w:sz="0" w:space="0" w:color="auto"/>
            <w:left w:val="none" w:sz="0" w:space="0" w:color="auto"/>
            <w:bottom w:val="none" w:sz="0" w:space="0" w:color="auto"/>
            <w:right w:val="none" w:sz="0" w:space="0" w:color="auto"/>
          </w:divBdr>
        </w:div>
        <w:div w:id="1578788586">
          <w:marLeft w:val="360"/>
          <w:marRight w:val="0"/>
          <w:marTop w:val="200"/>
          <w:marBottom w:val="0"/>
          <w:divBdr>
            <w:top w:val="none" w:sz="0" w:space="0" w:color="auto"/>
            <w:left w:val="none" w:sz="0" w:space="0" w:color="auto"/>
            <w:bottom w:val="none" w:sz="0" w:space="0" w:color="auto"/>
            <w:right w:val="none" w:sz="0" w:space="0" w:color="auto"/>
          </w:divBdr>
        </w:div>
      </w:divsChild>
    </w:div>
    <w:div w:id="2105224335">
      <w:bodyDiv w:val="1"/>
      <w:marLeft w:val="0"/>
      <w:marRight w:val="0"/>
      <w:marTop w:val="0"/>
      <w:marBottom w:val="0"/>
      <w:divBdr>
        <w:top w:val="none" w:sz="0" w:space="0" w:color="auto"/>
        <w:left w:val="none" w:sz="0" w:space="0" w:color="auto"/>
        <w:bottom w:val="none" w:sz="0" w:space="0" w:color="auto"/>
        <w:right w:val="none" w:sz="0" w:space="0" w:color="auto"/>
      </w:divBdr>
    </w:div>
    <w:div w:id="2122411349">
      <w:bodyDiv w:val="1"/>
      <w:marLeft w:val="0"/>
      <w:marRight w:val="0"/>
      <w:marTop w:val="0"/>
      <w:marBottom w:val="0"/>
      <w:divBdr>
        <w:top w:val="none" w:sz="0" w:space="0" w:color="auto"/>
        <w:left w:val="none" w:sz="0" w:space="0" w:color="auto"/>
        <w:bottom w:val="none" w:sz="0" w:space="0" w:color="auto"/>
        <w:right w:val="none" w:sz="0" w:space="0" w:color="auto"/>
      </w:divBdr>
      <w:divsChild>
        <w:div w:id="120156735">
          <w:marLeft w:val="1166"/>
          <w:marRight w:val="0"/>
          <w:marTop w:val="0"/>
          <w:marBottom w:val="0"/>
          <w:divBdr>
            <w:top w:val="none" w:sz="0" w:space="0" w:color="auto"/>
            <w:left w:val="none" w:sz="0" w:space="0" w:color="auto"/>
            <w:bottom w:val="none" w:sz="0" w:space="0" w:color="auto"/>
            <w:right w:val="none" w:sz="0" w:space="0" w:color="auto"/>
          </w:divBdr>
        </w:div>
        <w:div w:id="171337633">
          <w:marLeft w:val="1166"/>
          <w:marRight w:val="0"/>
          <w:marTop w:val="0"/>
          <w:marBottom w:val="0"/>
          <w:divBdr>
            <w:top w:val="none" w:sz="0" w:space="0" w:color="auto"/>
            <w:left w:val="none" w:sz="0" w:space="0" w:color="auto"/>
            <w:bottom w:val="none" w:sz="0" w:space="0" w:color="auto"/>
            <w:right w:val="none" w:sz="0" w:space="0" w:color="auto"/>
          </w:divBdr>
        </w:div>
        <w:div w:id="199634723">
          <w:marLeft w:val="1166"/>
          <w:marRight w:val="0"/>
          <w:marTop w:val="0"/>
          <w:marBottom w:val="0"/>
          <w:divBdr>
            <w:top w:val="none" w:sz="0" w:space="0" w:color="auto"/>
            <w:left w:val="none" w:sz="0" w:space="0" w:color="auto"/>
            <w:bottom w:val="none" w:sz="0" w:space="0" w:color="auto"/>
            <w:right w:val="none" w:sz="0" w:space="0" w:color="auto"/>
          </w:divBdr>
        </w:div>
        <w:div w:id="234632116">
          <w:marLeft w:val="547"/>
          <w:marRight w:val="0"/>
          <w:marTop w:val="0"/>
          <w:marBottom w:val="0"/>
          <w:divBdr>
            <w:top w:val="none" w:sz="0" w:space="0" w:color="auto"/>
            <w:left w:val="none" w:sz="0" w:space="0" w:color="auto"/>
            <w:bottom w:val="none" w:sz="0" w:space="0" w:color="auto"/>
            <w:right w:val="none" w:sz="0" w:space="0" w:color="auto"/>
          </w:divBdr>
        </w:div>
        <w:div w:id="434905633">
          <w:marLeft w:val="1166"/>
          <w:marRight w:val="0"/>
          <w:marTop w:val="0"/>
          <w:marBottom w:val="0"/>
          <w:divBdr>
            <w:top w:val="none" w:sz="0" w:space="0" w:color="auto"/>
            <w:left w:val="none" w:sz="0" w:space="0" w:color="auto"/>
            <w:bottom w:val="none" w:sz="0" w:space="0" w:color="auto"/>
            <w:right w:val="none" w:sz="0" w:space="0" w:color="auto"/>
          </w:divBdr>
        </w:div>
        <w:div w:id="470680598">
          <w:marLeft w:val="1166"/>
          <w:marRight w:val="0"/>
          <w:marTop w:val="0"/>
          <w:marBottom w:val="0"/>
          <w:divBdr>
            <w:top w:val="none" w:sz="0" w:space="0" w:color="auto"/>
            <w:left w:val="none" w:sz="0" w:space="0" w:color="auto"/>
            <w:bottom w:val="none" w:sz="0" w:space="0" w:color="auto"/>
            <w:right w:val="none" w:sz="0" w:space="0" w:color="auto"/>
          </w:divBdr>
        </w:div>
        <w:div w:id="491331108">
          <w:marLeft w:val="547"/>
          <w:marRight w:val="0"/>
          <w:marTop w:val="0"/>
          <w:marBottom w:val="0"/>
          <w:divBdr>
            <w:top w:val="none" w:sz="0" w:space="0" w:color="auto"/>
            <w:left w:val="none" w:sz="0" w:space="0" w:color="auto"/>
            <w:bottom w:val="none" w:sz="0" w:space="0" w:color="auto"/>
            <w:right w:val="none" w:sz="0" w:space="0" w:color="auto"/>
          </w:divBdr>
        </w:div>
        <w:div w:id="513419533">
          <w:marLeft w:val="547"/>
          <w:marRight w:val="0"/>
          <w:marTop w:val="0"/>
          <w:marBottom w:val="0"/>
          <w:divBdr>
            <w:top w:val="none" w:sz="0" w:space="0" w:color="auto"/>
            <w:left w:val="none" w:sz="0" w:space="0" w:color="auto"/>
            <w:bottom w:val="none" w:sz="0" w:space="0" w:color="auto"/>
            <w:right w:val="none" w:sz="0" w:space="0" w:color="auto"/>
          </w:divBdr>
        </w:div>
        <w:div w:id="701324677">
          <w:marLeft w:val="547"/>
          <w:marRight w:val="0"/>
          <w:marTop w:val="0"/>
          <w:marBottom w:val="0"/>
          <w:divBdr>
            <w:top w:val="none" w:sz="0" w:space="0" w:color="auto"/>
            <w:left w:val="none" w:sz="0" w:space="0" w:color="auto"/>
            <w:bottom w:val="none" w:sz="0" w:space="0" w:color="auto"/>
            <w:right w:val="none" w:sz="0" w:space="0" w:color="auto"/>
          </w:divBdr>
        </w:div>
        <w:div w:id="724181074">
          <w:marLeft w:val="547"/>
          <w:marRight w:val="0"/>
          <w:marTop w:val="0"/>
          <w:marBottom w:val="0"/>
          <w:divBdr>
            <w:top w:val="none" w:sz="0" w:space="0" w:color="auto"/>
            <w:left w:val="none" w:sz="0" w:space="0" w:color="auto"/>
            <w:bottom w:val="none" w:sz="0" w:space="0" w:color="auto"/>
            <w:right w:val="none" w:sz="0" w:space="0" w:color="auto"/>
          </w:divBdr>
        </w:div>
        <w:div w:id="896472967">
          <w:marLeft w:val="1166"/>
          <w:marRight w:val="0"/>
          <w:marTop w:val="0"/>
          <w:marBottom w:val="0"/>
          <w:divBdr>
            <w:top w:val="none" w:sz="0" w:space="0" w:color="auto"/>
            <w:left w:val="none" w:sz="0" w:space="0" w:color="auto"/>
            <w:bottom w:val="none" w:sz="0" w:space="0" w:color="auto"/>
            <w:right w:val="none" w:sz="0" w:space="0" w:color="auto"/>
          </w:divBdr>
        </w:div>
        <w:div w:id="1042898712">
          <w:marLeft w:val="547"/>
          <w:marRight w:val="0"/>
          <w:marTop w:val="0"/>
          <w:marBottom w:val="0"/>
          <w:divBdr>
            <w:top w:val="none" w:sz="0" w:space="0" w:color="auto"/>
            <w:left w:val="none" w:sz="0" w:space="0" w:color="auto"/>
            <w:bottom w:val="none" w:sz="0" w:space="0" w:color="auto"/>
            <w:right w:val="none" w:sz="0" w:space="0" w:color="auto"/>
          </w:divBdr>
        </w:div>
        <w:div w:id="1075399832">
          <w:marLeft w:val="1166"/>
          <w:marRight w:val="0"/>
          <w:marTop w:val="0"/>
          <w:marBottom w:val="0"/>
          <w:divBdr>
            <w:top w:val="none" w:sz="0" w:space="0" w:color="auto"/>
            <w:left w:val="none" w:sz="0" w:space="0" w:color="auto"/>
            <w:bottom w:val="none" w:sz="0" w:space="0" w:color="auto"/>
            <w:right w:val="none" w:sz="0" w:space="0" w:color="auto"/>
          </w:divBdr>
        </w:div>
        <w:div w:id="1355037353">
          <w:marLeft w:val="1166"/>
          <w:marRight w:val="0"/>
          <w:marTop w:val="0"/>
          <w:marBottom w:val="0"/>
          <w:divBdr>
            <w:top w:val="none" w:sz="0" w:space="0" w:color="auto"/>
            <w:left w:val="none" w:sz="0" w:space="0" w:color="auto"/>
            <w:bottom w:val="none" w:sz="0" w:space="0" w:color="auto"/>
            <w:right w:val="none" w:sz="0" w:space="0" w:color="auto"/>
          </w:divBdr>
        </w:div>
        <w:div w:id="1390419593">
          <w:marLeft w:val="1166"/>
          <w:marRight w:val="0"/>
          <w:marTop w:val="0"/>
          <w:marBottom w:val="0"/>
          <w:divBdr>
            <w:top w:val="none" w:sz="0" w:space="0" w:color="auto"/>
            <w:left w:val="none" w:sz="0" w:space="0" w:color="auto"/>
            <w:bottom w:val="none" w:sz="0" w:space="0" w:color="auto"/>
            <w:right w:val="none" w:sz="0" w:space="0" w:color="auto"/>
          </w:divBdr>
        </w:div>
        <w:div w:id="1401519743">
          <w:marLeft w:val="1166"/>
          <w:marRight w:val="0"/>
          <w:marTop w:val="0"/>
          <w:marBottom w:val="0"/>
          <w:divBdr>
            <w:top w:val="none" w:sz="0" w:space="0" w:color="auto"/>
            <w:left w:val="none" w:sz="0" w:space="0" w:color="auto"/>
            <w:bottom w:val="none" w:sz="0" w:space="0" w:color="auto"/>
            <w:right w:val="none" w:sz="0" w:space="0" w:color="auto"/>
          </w:divBdr>
        </w:div>
        <w:div w:id="1435443701">
          <w:marLeft w:val="1166"/>
          <w:marRight w:val="0"/>
          <w:marTop w:val="0"/>
          <w:marBottom w:val="0"/>
          <w:divBdr>
            <w:top w:val="none" w:sz="0" w:space="0" w:color="auto"/>
            <w:left w:val="none" w:sz="0" w:space="0" w:color="auto"/>
            <w:bottom w:val="none" w:sz="0" w:space="0" w:color="auto"/>
            <w:right w:val="none" w:sz="0" w:space="0" w:color="auto"/>
          </w:divBdr>
        </w:div>
        <w:div w:id="1470316858">
          <w:marLeft w:val="1166"/>
          <w:marRight w:val="0"/>
          <w:marTop w:val="0"/>
          <w:marBottom w:val="0"/>
          <w:divBdr>
            <w:top w:val="none" w:sz="0" w:space="0" w:color="auto"/>
            <w:left w:val="none" w:sz="0" w:space="0" w:color="auto"/>
            <w:bottom w:val="none" w:sz="0" w:space="0" w:color="auto"/>
            <w:right w:val="none" w:sz="0" w:space="0" w:color="auto"/>
          </w:divBdr>
        </w:div>
        <w:div w:id="1551067230">
          <w:marLeft w:val="1166"/>
          <w:marRight w:val="0"/>
          <w:marTop w:val="0"/>
          <w:marBottom w:val="0"/>
          <w:divBdr>
            <w:top w:val="none" w:sz="0" w:space="0" w:color="auto"/>
            <w:left w:val="none" w:sz="0" w:space="0" w:color="auto"/>
            <w:bottom w:val="none" w:sz="0" w:space="0" w:color="auto"/>
            <w:right w:val="none" w:sz="0" w:space="0" w:color="auto"/>
          </w:divBdr>
        </w:div>
        <w:div w:id="1598559795">
          <w:marLeft w:val="547"/>
          <w:marRight w:val="0"/>
          <w:marTop w:val="0"/>
          <w:marBottom w:val="0"/>
          <w:divBdr>
            <w:top w:val="none" w:sz="0" w:space="0" w:color="auto"/>
            <w:left w:val="none" w:sz="0" w:space="0" w:color="auto"/>
            <w:bottom w:val="none" w:sz="0" w:space="0" w:color="auto"/>
            <w:right w:val="none" w:sz="0" w:space="0" w:color="auto"/>
          </w:divBdr>
        </w:div>
        <w:div w:id="1603612393">
          <w:marLeft w:val="1166"/>
          <w:marRight w:val="0"/>
          <w:marTop w:val="0"/>
          <w:marBottom w:val="0"/>
          <w:divBdr>
            <w:top w:val="none" w:sz="0" w:space="0" w:color="auto"/>
            <w:left w:val="none" w:sz="0" w:space="0" w:color="auto"/>
            <w:bottom w:val="none" w:sz="0" w:space="0" w:color="auto"/>
            <w:right w:val="none" w:sz="0" w:space="0" w:color="auto"/>
          </w:divBdr>
        </w:div>
        <w:div w:id="1645811872">
          <w:marLeft w:val="1166"/>
          <w:marRight w:val="0"/>
          <w:marTop w:val="0"/>
          <w:marBottom w:val="0"/>
          <w:divBdr>
            <w:top w:val="none" w:sz="0" w:space="0" w:color="auto"/>
            <w:left w:val="none" w:sz="0" w:space="0" w:color="auto"/>
            <w:bottom w:val="none" w:sz="0" w:space="0" w:color="auto"/>
            <w:right w:val="none" w:sz="0" w:space="0" w:color="auto"/>
          </w:divBdr>
        </w:div>
        <w:div w:id="1673874668">
          <w:marLeft w:val="547"/>
          <w:marRight w:val="0"/>
          <w:marTop w:val="0"/>
          <w:marBottom w:val="0"/>
          <w:divBdr>
            <w:top w:val="none" w:sz="0" w:space="0" w:color="auto"/>
            <w:left w:val="none" w:sz="0" w:space="0" w:color="auto"/>
            <w:bottom w:val="none" w:sz="0" w:space="0" w:color="auto"/>
            <w:right w:val="none" w:sz="0" w:space="0" w:color="auto"/>
          </w:divBdr>
        </w:div>
        <w:div w:id="1837958355">
          <w:marLeft w:val="547"/>
          <w:marRight w:val="0"/>
          <w:marTop w:val="0"/>
          <w:marBottom w:val="0"/>
          <w:divBdr>
            <w:top w:val="none" w:sz="0" w:space="0" w:color="auto"/>
            <w:left w:val="none" w:sz="0" w:space="0" w:color="auto"/>
            <w:bottom w:val="none" w:sz="0" w:space="0" w:color="auto"/>
            <w:right w:val="none" w:sz="0" w:space="0" w:color="auto"/>
          </w:divBdr>
        </w:div>
        <w:div w:id="1903713736">
          <w:marLeft w:val="1166"/>
          <w:marRight w:val="0"/>
          <w:marTop w:val="0"/>
          <w:marBottom w:val="0"/>
          <w:divBdr>
            <w:top w:val="none" w:sz="0" w:space="0" w:color="auto"/>
            <w:left w:val="none" w:sz="0" w:space="0" w:color="auto"/>
            <w:bottom w:val="none" w:sz="0" w:space="0" w:color="auto"/>
            <w:right w:val="none" w:sz="0" w:space="0" w:color="auto"/>
          </w:divBdr>
        </w:div>
        <w:div w:id="1923054742">
          <w:marLeft w:val="1166"/>
          <w:marRight w:val="0"/>
          <w:marTop w:val="0"/>
          <w:marBottom w:val="0"/>
          <w:divBdr>
            <w:top w:val="none" w:sz="0" w:space="0" w:color="auto"/>
            <w:left w:val="none" w:sz="0" w:space="0" w:color="auto"/>
            <w:bottom w:val="none" w:sz="0" w:space="0" w:color="auto"/>
            <w:right w:val="none" w:sz="0" w:space="0" w:color="auto"/>
          </w:divBdr>
        </w:div>
        <w:div w:id="1942179005">
          <w:marLeft w:val="1166"/>
          <w:marRight w:val="0"/>
          <w:marTop w:val="0"/>
          <w:marBottom w:val="0"/>
          <w:divBdr>
            <w:top w:val="none" w:sz="0" w:space="0" w:color="auto"/>
            <w:left w:val="none" w:sz="0" w:space="0" w:color="auto"/>
            <w:bottom w:val="none" w:sz="0" w:space="0" w:color="auto"/>
            <w:right w:val="none" w:sz="0" w:space="0" w:color="auto"/>
          </w:divBdr>
        </w:div>
        <w:div w:id="2068994334">
          <w:marLeft w:val="547"/>
          <w:marRight w:val="0"/>
          <w:marTop w:val="0"/>
          <w:marBottom w:val="0"/>
          <w:divBdr>
            <w:top w:val="none" w:sz="0" w:space="0" w:color="auto"/>
            <w:left w:val="none" w:sz="0" w:space="0" w:color="auto"/>
            <w:bottom w:val="none" w:sz="0" w:space="0" w:color="auto"/>
            <w:right w:val="none" w:sz="0" w:space="0" w:color="auto"/>
          </w:divBdr>
        </w:div>
        <w:div w:id="207349810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encoded-592c9deb-987b-4562-aa3c-9fa3d37d83e9.uri/bookmark%3a%2f%2f_Appendix_A%3a_Using" TargetMode="External"/><Relationship Id="rId26" Type="http://schemas.microsoft.com/office/2007/relationships/diagramDrawing" Target="diagrams/drawing1.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3.png"/><Relationship Id="rId34" Type="http://schemas.openxmlformats.org/officeDocument/2006/relationships/diagramQuickStyle" Target="diagrams/quickStyle3.xml"/><Relationship Id="rId7" Type="http://schemas.openxmlformats.org/officeDocument/2006/relationships/styles" Target="styles.xml"/><Relationship Id="rId12" Type="http://schemas.openxmlformats.org/officeDocument/2006/relationships/hyperlink" Target="https://www.vic.gov.au/victorian-guide-regulation" TargetMode="External"/><Relationship Id="rId17" Type="http://schemas.openxmlformats.org/officeDocument/2006/relationships/oleObject" Target="embeddings/Microsoft_Visio_2003-2010_Drawing.vsd"/><Relationship Id="rId25" Type="http://schemas.openxmlformats.org/officeDocument/2006/relationships/diagramColors" Target="diagrams/colors1.xml"/><Relationship Id="rId33" Type="http://schemas.openxmlformats.org/officeDocument/2006/relationships/diagramLayout" Target="diagrams/layout3.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yperlink" Target="https://www.vic.gov.au/victorian-permissions-framework-guidance" TargetMode="External"/><Relationship Id="rId29" Type="http://schemas.openxmlformats.org/officeDocument/2006/relationships/diagramQuickStyle" Target="diagrams/quickStyle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diagramQuickStyle" Target="diagrams/quickStyle1.xml"/><Relationship Id="rId32" Type="http://schemas.openxmlformats.org/officeDocument/2006/relationships/diagramData" Target="diagrams/data3.xml"/><Relationship Id="rId37" Type="http://schemas.openxmlformats.org/officeDocument/2006/relationships/footer" Target="footer3.xml"/><Relationship Id="rId40" Type="http://schemas.microsoft.com/office/2019/05/relationships/documenttasks" Target="documenttasks/documenttasks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diagramLayout" Target="diagrams/layout1.xml"/><Relationship Id="rId28" Type="http://schemas.openxmlformats.org/officeDocument/2006/relationships/diagramLayout" Target="diagrams/layout2.xml"/><Relationship Id="rId36" Type="http://schemas.microsoft.com/office/2007/relationships/diagramDrawing" Target="diagrams/drawing3.xml"/><Relationship Id="rId10" Type="http://schemas.openxmlformats.org/officeDocument/2006/relationships/footnotes" Target="footnotes.xml"/><Relationship Id="rId19" Type="http://schemas.openxmlformats.org/officeDocument/2006/relationships/hyperlink" Target="https://www.dtf.vic.gov.au/sites/default/files/document/Pricing%20for%20Value%20Guide%20-%20Pricing%20Principles.pdf" TargetMode="External"/><Relationship Id="rId31" Type="http://schemas.microsoft.com/office/2007/relationships/diagramDrawing" Target="diagrams/drawing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diagramData" Target="diagrams/data1.xml"/><Relationship Id="rId27" Type="http://schemas.openxmlformats.org/officeDocument/2006/relationships/diagramData" Target="diagrams/data2.xml"/><Relationship Id="rId30" Type="http://schemas.openxmlformats.org/officeDocument/2006/relationships/diagramColors" Target="diagrams/colors2.xml"/><Relationship Id="rId35" Type="http://schemas.openxmlformats.org/officeDocument/2006/relationships/diagramColors" Target="diagrams/colors3.xml"/></Relationships>
</file>

<file path=word/_rels/footnotes.xml.rels><?xml version="1.0" encoding="UTF-8" standalone="yes"?>
<Relationships xmlns="http://schemas.openxmlformats.org/package/2006/relationships"><Relationship Id="rId1" Type="http://schemas.openxmlformats.org/officeDocument/2006/relationships/hyperlink" Target="https://www.jstor.org/stable/pdf/j.ctt1q1crtm.2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DB838EC-FE47-47D3-B1EB-D4776B673A6A}"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en-AU"/>
        </a:p>
      </dgm:t>
    </dgm:pt>
    <dgm:pt modelId="{7BE043F1-738E-48B7-976B-03894C5A6BE7}">
      <dgm:prSet phldrT="[Text]" custT="1"/>
      <dgm:spPr/>
      <dgm:t>
        <a:bodyPr/>
        <a:lstStyle/>
        <a:p>
          <a:r>
            <a:rPr lang="en-AU" sz="650">
              <a:effectLst/>
            </a:rPr>
            <a:t>Resource inputs and efficiency</a:t>
          </a:r>
          <a:endParaRPr lang="en-AU" sz="650"/>
        </a:p>
      </dgm:t>
    </dgm:pt>
    <dgm:pt modelId="{2C097C3D-4257-44A5-83A2-26F6A0D262B4}" type="parTrans" cxnId="{4FAD8CAD-3927-4795-8D35-D94141256493}">
      <dgm:prSet/>
      <dgm:spPr/>
      <dgm:t>
        <a:bodyPr/>
        <a:lstStyle/>
        <a:p>
          <a:endParaRPr lang="en-AU"/>
        </a:p>
      </dgm:t>
    </dgm:pt>
    <dgm:pt modelId="{419F7D47-9353-4CD9-A49C-2DCB3F328317}" type="sibTrans" cxnId="{4FAD8CAD-3927-4795-8D35-D94141256493}">
      <dgm:prSet/>
      <dgm:spPr/>
      <dgm:t>
        <a:bodyPr/>
        <a:lstStyle/>
        <a:p>
          <a:endParaRPr lang="en-AU"/>
        </a:p>
      </dgm:t>
    </dgm:pt>
    <dgm:pt modelId="{3ED8AB2C-B95C-4D6F-BDB4-DA11DA76BF24}">
      <dgm:prSet phldrT="[Text]" custT="1"/>
      <dgm:spPr/>
      <dgm:t>
        <a:bodyPr/>
        <a:lstStyle/>
        <a:p>
          <a:r>
            <a:rPr lang="en-AU" sz="650">
              <a:effectLst/>
            </a:rPr>
            <a:t>Agency resources</a:t>
          </a:r>
        </a:p>
      </dgm:t>
    </dgm:pt>
    <dgm:pt modelId="{F7941036-AEDE-4997-BE9D-81D2CF594C67}" type="parTrans" cxnId="{3E3D596C-FF54-4C53-B47B-22F63E4287B1}">
      <dgm:prSet/>
      <dgm:spPr/>
      <dgm:t>
        <a:bodyPr/>
        <a:lstStyle/>
        <a:p>
          <a:endParaRPr lang="en-AU"/>
        </a:p>
      </dgm:t>
    </dgm:pt>
    <dgm:pt modelId="{47888E4F-C620-4539-85B5-8FE7E0068C71}" type="sibTrans" cxnId="{3E3D596C-FF54-4C53-B47B-22F63E4287B1}">
      <dgm:prSet/>
      <dgm:spPr/>
      <dgm:t>
        <a:bodyPr/>
        <a:lstStyle/>
        <a:p>
          <a:endParaRPr lang="en-AU"/>
        </a:p>
      </dgm:t>
    </dgm:pt>
    <dgm:pt modelId="{540596D1-06C4-4DC7-9155-A9D11805C9B3}">
      <dgm:prSet phldrT="[Text]" custT="1"/>
      <dgm:spPr/>
      <dgm:t>
        <a:bodyPr/>
        <a:lstStyle/>
        <a:p>
          <a:r>
            <a:rPr lang="en-AU" sz="650">
              <a:effectLst/>
            </a:rPr>
            <a:t>Risk-based streaming of processes</a:t>
          </a:r>
          <a:endParaRPr lang="en-AU" sz="650" dirty="0">
            <a:effectLst/>
          </a:endParaRPr>
        </a:p>
      </dgm:t>
    </dgm:pt>
    <dgm:pt modelId="{83ED1D71-242A-4BF0-98C4-6939A72C1FB7}" type="parTrans" cxnId="{84266919-73F0-4DBC-90BD-ADC5F7DAB131}">
      <dgm:prSet/>
      <dgm:spPr/>
      <dgm:t>
        <a:bodyPr/>
        <a:lstStyle/>
        <a:p>
          <a:endParaRPr lang="en-AU"/>
        </a:p>
      </dgm:t>
    </dgm:pt>
    <dgm:pt modelId="{71858069-DC31-4687-B247-3380684B492B}" type="sibTrans" cxnId="{84266919-73F0-4DBC-90BD-ADC5F7DAB131}">
      <dgm:prSet/>
      <dgm:spPr/>
      <dgm:t>
        <a:bodyPr/>
        <a:lstStyle/>
        <a:p>
          <a:endParaRPr lang="en-AU"/>
        </a:p>
      </dgm:t>
    </dgm:pt>
    <dgm:pt modelId="{6AE3460B-FAD2-42C1-BF34-421FE7D04BD7}">
      <dgm:prSet phldrT="[Text]" custT="1"/>
      <dgm:spPr/>
      <dgm:t>
        <a:bodyPr/>
        <a:lstStyle/>
        <a:p>
          <a:r>
            <a:rPr lang="en-AU" sz="650">
              <a:effectLst/>
            </a:rPr>
            <a:t>Variation management</a:t>
          </a:r>
        </a:p>
      </dgm:t>
    </dgm:pt>
    <dgm:pt modelId="{284046FB-A487-48E4-92A9-DB39B4A76A6E}" type="parTrans" cxnId="{38FEFC0C-B0BD-4635-87B4-C09EB4EBE5FA}">
      <dgm:prSet/>
      <dgm:spPr/>
      <dgm:t>
        <a:bodyPr/>
        <a:lstStyle/>
        <a:p>
          <a:endParaRPr lang="en-AU"/>
        </a:p>
      </dgm:t>
    </dgm:pt>
    <dgm:pt modelId="{A1B2EF4F-2E23-4FA5-859E-7F0BB4095361}" type="sibTrans" cxnId="{38FEFC0C-B0BD-4635-87B4-C09EB4EBE5FA}">
      <dgm:prSet/>
      <dgm:spPr/>
      <dgm:t>
        <a:bodyPr/>
        <a:lstStyle/>
        <a:p>
          <a:endParaRPr lang="en-AU"/>
        </a:p>
      </dgm:t>
    </dgm:pt>
    <dgm:pt modelId="{EDDB858F-49DE-4687-91B0-8E7D39A3BC79}">
      <dgm:prSet phldrT="[Text]" custT="1"/>
      <dgm:spPr/>
      <dgm:t>
        <a:bodyPr/>
        <a:lstStyle/>
        <a:p>
          <a:r>
            <a:rPr lang="en-AU" sz="650">
              <a:effectLst/>
            </a:rPr>
            <a:t>Timeframes</a:t>
          </a:r>
        </a:p>
      </dgm:t>
    </dgm:pt>
    <dgm:pt modelId="{83DC26AD-5801-4ECA-9919-933232F9C2E3}" type="parTrans" cxnId="{2800EA90-7959-43C9-91E7-EA9DFD934C47}">
      <dgm:prSet/>
      <dgm:spPr/>
      <dgm:t>
        <a:bodyPr/>
        <a:lstStyle/>
        <a:p>
          <a:endParaRPr lang="en-AU"/>
        </a:p>
      </dgm:t>
    </dgm:pt>
    <dgm:pt modelId="{B628EBB2-8850-48FC-9CAE-7CEAAAE89A02}" type="sibTrans" cxnId="{2800EA90-7959-43C9-91E7-EA9DFD934C47}">
      <dgm:prSet/>
      <dgm:spPr/>
      <dgm:t>
        <a:bodyPr/>
        <a:lstStyle/>
        <a:p>
          <a:endParaRPr lang="en-AU"/>
        </a:p>
      </dgm:t>
    </dgm:pt>
    <dgm:pt modelId="{9913BC66-3CF6-4F20-8E6F-E350A40286B7}">
      <dgm:prSet phldrT="[Text]" custT="1"/>
      <dgm:spPr/>
      <dgm:t>
        <a:bodyPr/>
        <a:lstStyle/>
        <a:p>
          <a:r>
            <a:rPr lang="en-AU" sz="650">
              <a:effectLst/>
            </a:rPr>
            <a:t>Flow/turnover</a:t>
          </a:r>
        </a:p>
      </dgm:t>
    </dgm:pt>
    <dgm:pt modelId="{6468EB87-1C96-4C5B-B83F-1D43430684C0}" type="parTrans" cxnId="{C2B72C7A-0E15-4529-89DC-CDE5EEBB54DE}">
      <dgm:prSet/>
      <dgm:spPr/>
      <dgm:t>
        <a:bodyPr/>
        <a:lstStyle/>
        <a:p>
          <a:endParaRPr lang="en-AU"/>
        </a:p>
      </dgm:t>
    </dgm:pt>
    <dgm:pt modelId="{96991825-7EE9-42BF-AD23-B9BDA7FD4490}" type="sibTrans" cxnId="{C2B72C7A-0E15-4529-89DC-CDE5EEBB54DE}">
      <dgm:prSet/>
      <dgm:spPr/>
      <dgm:t>
        <a:bodyPr/>
        <a:lstStyle/>
        <a:p>
          <a:endParaRPr lang="en-AU"/>
        </a:p>
      </dgm:t>
    </dgm:pt>
    <dgm:pt modelId="{E2990CB8-4EF9-46D5-8DE5-BEBEAD2D6785}">
      <dgm:prSet phldrT="[Text]" custT="1"/>
      <dgm:spPr/>
      <dgm:t>
        <a:bodyPr/>
        <a:lstStyle/>
        <a:p>
          <a:r>
            <a:rPr lang="en-AU" sz="650">
              <a:effectLst/>
            </a:rPr>
            <a:t>Regulator activities (actions taken)</a:t>
          </a:r>
        </a:p>
      </dgm:t>
    </dgm:pt>
    <dgm:pt modelId="{9BD69E14-5C26-490C-AB3D-4A1C981EA9E0}" type="parTrans" cxnId="{1FF76BC1-8B38-4F83-B90B-025750831653}">
      <dgm:prSet/>
      <dgm:spPr/>
      <dgm:t>
        <a:bodyPr/>
        <a:lstStyle/>
        <a:p>
          <a:endParaRPr lang="en-AU"/>
        </a:p>
      </dgm:t>
    </dgm:pt>
    <dgm:pt modelId="{091C67C4-37B2-4F58-AAEF-063A52BBB3C7}" type="sibTrans" cxnId="{1FF76BC1-8B38-4F83-B90B-025750831653}">
      <dgm:prSet/>
      <dgm:spPr/>
      <dgm:t>
        <a:bodyPr/>
        <a:lstStyle/>
        <a:p>
          <a:endParaRPr lang="en-AU"/>
        </a:p>
      </dgm:t>
    </dgm:pt>
    <dgm:pt modelId="{4CA081D9-64F3-464B-B029-8CE0117941B6}">
      <dgm:prSet phldrT="[Text]" custT="1"/>
      <dgm:spPr/>
      <dgm:t>
        <a:bodyPr/>
        <a:lstStyle/>
        <a:p>
          <a:r>
            <a:rPr lang="en-AU" sz="650">
              <a:effectLst/>
            </a:rPr>
            <a:t>Inspections</a:t>
          </a:r>
        </a:p>
      </dgm:t>
    </dgm:pt>
    <dgm:pt modelId="{12D30249-9E4C-42F8-8009-E625AC104FFE}" type="parTrans" cxnId="{AA3A4F5B-DFF0-4756-8D3B-18B7807C92AA}">
      <dgm:prSet/>
      <dgm:spPr/>
      <dgm:t>
        <a:bodyPr/>
        <a:lstStyle/>
        <a:p>
          <a:endParaRPr lang="en-AU"/>
        </a:p>
      </dgm:t>
    </dgm:pt>
    <dgm:pt modelId="{2C7D734F-2756-4584-A789-38EE8303F4F0}" type="sibTrans" cxnId="{AA3A4F5B-DFF0-4756-8D3B-18B7807C92AA}">
      <dgm:prSet/>
      <dgm:spPr/>
      <dgm:t>
        <a:bodyPr/>
        <a:lstStyle/>
        <a:p>
          <a:endParaRPr lang="en-AU"/>
        </a:p>
      </dgm:t>
    </dgm:pt>
    <dgm:pt modelId="{400A9590-6A84-4B64-BC91-0465A6C54739}">
      <dgm:prSet phldrT="[Text]" custT="1"/>
      <dgm:spPr/>
      <dgm:t>
        <a:bodyPr/>
        <a:lstStyle/>
        <a:p>
          <a:r>
            <a:rPr lang="en-AU" sz="650">
              <a:effectLst/>
            </a:rPr>
            <a:t>Education and outreach</a:t>
          </a:r>
        </a:p>
      </dgm:t>
    </dgm:pt>
    <dgm:pt modelId="{CCF0505F-E85C-45EB-9278-AE0DD4454A25}" type="parTrans" cxnId="{5E84BE36-0E97-4436-9847-4AEC0E95EEAA}">
      <dgm:prSet/>
      <dgm:spPr/>
      <dgm:t>
        <a:bodyPr/>
        <a:lstStyle/>
        <a:p>
          <a:endParaRPr lang="en-AU"/>
        </a:p>
      </dgm:t>
    </dgm:pt>
    <dgm:pt modelId="{9431457F-C383-4098-880A-AE26720F4FFB}" type="sibTrans" cxnId="{5E84BE36-0E97-4436-9847-4AEC0E95EEAA}">
      <dgm:prSet/>
      <dgm:spPr/>
      <dgm:t>
        <a:bodyPr/>
        <a:lstStyle/>
        <a:p>
          <a:endParaRPr lang="en-AU"/>
        </a:p>
      </dgm:t>
    </dgm:pt>
    <dgm:pt modelId="{4A76A8C4-1001-4F40-B811-EB5BCA1C95C7}">
      <dgm:prSet phldrT="[Text]" custT="1"/>
      <dgm:spPr/>
      <dgm:t>
        <a:bodyPr/>
        <a:lstStyle/>
        <a:p>
          <a:r>
            <a:rPr lang="en-AU" sz="650">
              <a:effectLst/>
            </a:rPr>
            <a:t>Enforcement actions</a:t>
          </a:r>
        </a:p>
      </dgm:t>
    </dgm:pt>
    <dgm:pt modelId="{08AF5E48-DCB2-4AC6-A177-D4A02BA6D738}" type="parTrans" cxnId="{A31A1C86-71F0-4A8B-93F3-EF1B9AC4D96D}">
      <dgm:prSet/>
      <dgm:spPr/>
      <dgm:t>
        <a:bodyPr/>
        <a:lstStyle/>
        <a:p>
          <a:endParaRPr lang="en-AU"/>
        </a:p>
      </dgm:t>
    </dgm:pt>
    <dgm:pt modelId="{EC30DE73-3D6F-4790-9B73-970EF9A12833}" type="sibTrans" cxnId="{A31A1C86-71F0-4A8B-93F3-EF1B9AC4D96D}">
      <dgm:prSet/>
      <dgm:spPr/>
      <dgm:t>
        <a:bodyPr/>
        <a:lstStyle/>
        <a:p>
          <a:endParaRPr lang="en-AU"/>
        </a:p>
      </dgm:t>
    </dgm:pt>
    <dgm:pt modelId="{091375D3-BF1C-4856-BE59-8BCEE3E37946}">
      <dgm:prSet phldrT="[Text]" custT="1"/>
      <dgm:spPr/>
      <dgm:t>
        <a:bodyPr/>
        <a:lstStyle/>
        <a:p>
          <a:r>
            <a:rPr lang="en-AU" sz="650">
              <a:effectLst/>
            </a:rPr>
            <a:t>Partnerships</a:t>
          </a:r>
        </a:p>
      </dgm:t>
    </dgm:pt>
    <dgm:pt modelId="{F9C45453-3D02-4D9B-BB21-807AAA7F3179}" type="parTrans" cxnId="{EEC8617B-C0A6-4B92-9548-EA86DE8C2A13}">
      <dgm:prSet/>
      <dgm:spPr/>
      <dgm:t>
        <a:bodyPr/>
        <a:lstStyle/>
        <a:p>
          <a:endParaRPr lang="en-AU"/>
        </a:p>
      </dgm:t>
    </dgm:pt>
    <dgm:pt modelId="{4DA67D14-E4B9-427E-9750-DB895497463A}" type="sibTrans" cxnId="{EEC8617B-C0A6-4B92-9548-EA86DE8C2A13}">
      <dgm:prSet/>
      <dgm:spPr/>
      <dgm:t>
        <a:bodyPr/>
        <a:lstStyle/>
        <a:p>
          <a:endParaRPr lang="en-AU"/>
        </a:p>
      </dgm:t>
    </dgm:pt>
    <dgm:pt modelId="{A3EDDC5B-353B-47BC-BBD7-538BB961F938}">
      <dgm:prSet phldrT="[Text]" custT="1"/>
      <dgm:spPr/>
      <dgm:t>
        <a:bodyPr/>
        <a:lstStyle/>
        <a:p>
          <a:r>
            <a:rPr lang="en-AU" sz="650">
              <a:effectLst/>
            </a:rPr>
            <a:t>Other compliance generating or monitoring activities</a:t>
          </a:r>
        </a:p>
      </dgm:t>
    </dgm:pt>
    <dgm:pt modelId="{1A3BA4FD-5D4F-4E99-A74E-5ADED5CA7BD7}" type="parTrans" cxnId="{95595426-8F12-4883-916A-097775FBD434}">
      <dgm:prSet/>
      <dgm:spPr/>
      <dgm:t>
        <a:bodyPr/>
        <a:lstStyle/>
        <a:p>
          <a:endParaRPr lang="en-AU"/>
        </a:p>
      </dgm:t>
    </dgm:pt>
    <dgm:pt modelId="{8C071D5E-0DDA-49D9-9D45-7CF108215A6D}" type="sibTrans" cxnId="{95595426-8F12-4883-916A-097775FBD434}">
      <dgm:prSet/>
      <dgm:spPr/>
      <dgm:t>
        <a:bodyPr/>
        <a:lstStyle/>
        <a:p>
          <a:endParaRPr lang="en-AU"/>
        </a:p>
      </dgm:t>
    </dgm:pt>
    <dgm:pt modelId="{350A63E6-930C-40E8-B0C6-C91B93862A92}">
      <dgm:prSet phldrT="[Text]" custT="1"/>
      <dgm:spPr/>
      <dgm:t>
        <a:bodyPr/>
        <a:lstStyle/>
        <a:p>
          <a:r>
            <a:rPr lang="en-AU" sz="650">
              <a:effectLst/>
            </a:rPr>
            <a:t>Regulator outputs (effectiveness/ targeting)</a:t>
          </a:r>
        </a:p>
      </dgm:t>
    </dgm:pt>
    <dgm:pt modelId="{3F8E953B-401F-4D9E-A125-DA3A12298072}" type="parTrans" cxnId="{CED7FC60-02B5-4C63-9E09-F1557832393F}">
      <dgm:prSet/>
      <dgm:spPr/>
      <dgm:t>
        <a:bodyPr/>
        <a:lstStyle/>
        <a:p>
          <a:endParaRPr lang="en-AU"/>
        </a:p>
      </dgm:t>
    </dgm:pt>
    <dgm:pt modelId="{BF31ED3A-89A2-4C73-969B-61FE2542EF20}" type="sibTrans" cxnId="{CED7FC60-02B5-4C63-9E09-F1557832393F}">
      <dgm:prSet/>
      <dgm:spPr/>
      <dgm:t>
        <a:bodyPr/>
        <a:lstStyle/>
        <a:p>
          <a:endParaRPr lang="en-AU"/>
        </a:p>
      </dgm:t>
    </dgm:pt>
    <dgm:pt modelId="{EDC018FC-C9B9-4637-AD2B-740304816FBA}">
      <dgm:prSet phldrT="[Text]" custT="1"/>
      <dgm:spPr/>
      <dgm:t>
        <a:bodyPr/>
        <a:lstStyle/>
        <a:p>
          <a:r>
            <a:rPr lang="en-AU" sz="650">
              <a:effectLst/>
            </a:rPr>
            <a:t>Detection rates</a:t>
          </a:r>
        </a:p>
      </dgm:t>
    </dgm:pt>
    <dgm:pt modelId="{9E934F13-1DEE-4F06-B7B6-ED39A259458D}" type="parTrans" cxnId="{F389324D-69B5-4CC8-B2F1-14E6E42F2825}">
      <dgm:prSet/>
      <dgm:spPr/>
      <dgm:t>
        <a:bodyPr/>
        <a:lstStyle/>
        <a:p>
          <a:endParaRPr lang="en-AU"/>
        </a:p>
      </dgm:t>
    </dgm:pt>
    <dgm:pt modelId="{2676551E-B992-481F-B8E3-943742DFCA24}" type="sibTrans" cxnId="{F389324D-69B5-4CC8-B2F1-14E6E42F2825}">
      <dgm:prSet/>
      <dgm:spPr/>
      <dgm:t>
        <a:bodyPr/>
        <a:lstStyle/>
        <a:p>
          <a:endParaRPr lang="en-AU"/>
        </a:p>
      </dgm:t>
    </dgm:pt>
    <dgm:pt modelId="{5CAAA200-3839-4405-ADA3-81D226AE6526}">
      <dgm:prSet phldrT="[Text]" custT="1"/>
      <dgm:spPr/>
      <dgm:t>
        <a:bodyPr/>
        <a:lstStyle/>
        <a:p>
          <a:r>
            <a:rPr lang="en-AU" sz="650">
              <a:effectLst/>
            </a:rPr>
            <a:t>Escalation rates</a:t>
          </a:r>
        </a:p>
      </dgm:t>
    </dgm:pt>
    <dgm:pt modelId="{A0AF1349-D051-49F6-A9D3-889F378C3AD0}" type="parTrans" cxnId="{694699B3-74E7-4C89-8237-C8D671A479B1}">
      <dgm:prSet/>
      <dgm:spPr/>
      <dgm:t>
        <a:bodyPr/>
        <a:lstStyle/>
        <a:p>
          <a:endParaRPr lang="en-AU"/>
        </a:p>
      </dgm:t>
    </dgm:pt>
    <dgm:pt modelId="{BF100B63-1AEE-406A-ABF5-ECCAD5EB8998}" type="sibTrans" cxnId="{694699B3-74E7-4C89-8237-C8D671A479B1}">
      <dgm:prSet/>
      <dgm:spPr/>
      <dgm:t>
        <a:bodyPr/>
        <a:lstStyle/>
        <a:p>
          <a:endParaRPr lang="en-AU"/>
        </a:p>
      </dgm:t>
    </dgm:pt>
    <dgm:pt modelId="{2541C0F4-9FDA-406D-A8FD-CF81059C0A4D}">
      <dgm:prSet phldrT="[Text]" custT="1"/>
      <dgm:spPr/>
      <dgm:t>
        <a:bodyPr/>
        <a:lstStyle/>
        <a:p>
          <a:r>
            <a:rPr lang="en-AU" sz="650">
              <a:effectLst/>
            </a:rPr>
            <a:t>Partnership results</a:t>
          </a:r>
        </a:p>
      </dgm:t>
    </dgm:pt>
    <dgm:pt modelId="{57DC2E8C-35F1-4759-A80F-44515E3A1993}" type="parTrans" cxnId="{72070AF5-1335-4DD2-8702-9E620ACCCBF7}">
      <dgm:prSet/>
      <dgm:spPr/>
      <dgm:t>
        <a:bodyPr/>
        <a:lstStyle/>
        <a:p>
          <a:endParaRPr lang="en-AU"/>
        </a:p>
      </dgm:t>
    </dgm:pt>
    <dgm:pt modelId="{1076D6AE-3832-48E1-B808-B10C8B19D33E}" type="sibTrans" cxnId="{72070AF5-1335-4DD2-8702-9E620ACCCBF7}">
      <dgm:prSet/>
      <dgm:spPr/>
      <dgm:t>
        <a:bodyPr/>
        <a:lstStyle/>
        <a:p>
          <a:endParaRPr lang="en-AU"/>
        </a:p>
      </dgm:t>
    </dgm:pt>
    <dgm:pt modelId="{7F12F9D9-6325-4238-85AC-67BBD7B0F80C}">
      <dgm:prSet phldrT="[Text]" custT="1"/>
      <dgm:spPr/>
      <dgm:t>
        <a:bodyPr/>
        <a:lstStyle/>
        <a:p>
          <a:r>
            <a:rPr lang="en-AU" sz="650">
              <a:effectLst/>
            </a:rPr>
            <a:t>Engagement results</a:t>
          </a:r>
        </a:p>
      </dgm:t>
    </dgm:pt>
    <dgm:pt modelId="{DD76698D-9236-4136-94A9-BFEE513E5481}" type="parTrans" cxnId="{C345DE69-5033-46AA-8F52-4E4F54556090}">
      <dgm:prSet/>
      <dgm:spPr/>
      <dgm:t>
        <a:bodyPr/>
        <a:lstStyle/>
        <a:p>
          <a:endParaRPr lang="en-AU"/>
        </a:p>
      </dgm:t>
    </dgm:pt>
    <dgm:pt modelId="{C4E4AE5B-40CD-4AD6-9160-95C12DF71B5B}" type="sibTrans" cxnId="{C345DE69-5033-46AA-8F52-4E4F54556090}">
      <dgm:prSet/>
      <dgm:spPr/>
      <dgm:t>
        <a:bodyPr/>
        <a:lstStyle/>
        <a:p>
          <a:endParaRPr lang="en-AU"/>
        </a:p>
      </dgm:t>
    </dgm:pt>
    <dgm:pt modelId="{9F13D5ED-CCE4-4D3D-838F-B9B3EC1AB331}">
      <dgm:prSet phldrT="[Text]" custT="1"/>
      <dgm:spPr/>
      <dgm:t>
        <a:bodyPr/>
        <a:lstStyle/>
        <a:p>
          <a:r>
            <a:rPr lang="en-AU" sz="650">
              <a:effectLst/>
            </a:rPr>
            <a:t>Measured effect of trials</a:t>
          </a:r>
        </a:p>
      </dgm:t>
    </dgm:pt>
    <dgm:pt modelId="{F4DB9840-6EAA-4008-8FB4-888875763B86}" type="parTrans" cxnId="{A23356F1-AFBE-4F30-AA45-1BC10F635FD3}">
      <dgm:prSet/>
      <dgm:spPr/>
      <dgm:t>
        <a:bodyPr/>
        <a:lstStyle/>
        <a:p>
          <a:endParaRPr lang="en-AU"/>
        </a:p>
      </dgm:t>
    </dgm:pt>
    <dgm:pt modelId="{99077094-2ED1-4EBC-9DDE-D8C4F99FA3A8}" type="sibTrans" cxnId="{A23356F1-AFBE-4F30-AA45-1BC10F635FD3}">
      <dgm:prSet/>
      <dgm:spPr/>
      <dgm:t>
        <a:bodyPr/>
        <a:lstStyle/>
        <a:p>
          <a:endParaRPr lang="en-AU"/>
        </a:p>
      </dgm:t>
    </dgm:pt>
    <dgm:pt modelId="{B3BC6A5A-0C91-49B2-860F-AF4C2DBE94A6}">
      <dgm:prSet phldrT="[Text]" custT="1"/>
      <dgm:spPr/>
      <dgm:t>
        <a:bodyPr/>
        <a:lstStyle/>
        <a:p>
          <a:r>
            <a:rPr lang="en-AU" sz="650">
              <a:effectLst/>
            </a:rPr>
            <a:t>Behavioural outcomes (attitudes and actions)</a:t>
          </a:r>
        </a:p>
      </dgm:t>
    </dgm:pt>
    <dgm:pt modelId="{4BAC16E2-67DF-48F6-90D9-883D93EB01DF}" type="parTrans" cxnId="{EFFB39C2-553C-4EA7-875A-685A1C8836C9}">
      <dgm:prSet/>
      <dgm:spPr/>
      <dgm:t>
        <a:bodyPr/>
        <a:lstStyle/>
        <a:p>
          <a:endParaRPr lang="en-AU"/>
        </a:p>
      </dgm:t>
    </dgm:pt>
    <dgm:pt modelId="{5E3E4D52-79BC-4954-8E38-D3C4F87A5760}" type="sibTrans" cxnId="{EFFB39C2-553C-4EA7-875A-685A1C8836C9}">
      <dgm:prSet/>
      <dgm:spPr/>
      <dgm:t>
        <a:bodyPr/>
        <a:lstStyle/>
        <a:p>
          <a:endParaRPr lang="en-AU"/>
        </a:p>
      </dgm:t>
    </dgm:pt>
    <dgm:pt modelId="{64328DED-07E7-48A6-8F37-58E5E9FFDF2C}">
      <dgm:prSet phldrT="[Text]" custT="1"/>
      <dgm:spPr/>
      <dgm:t>
        <a:bodyPr/>
        <a:lstStyle/>
        <a:p>
          <a:r>
            <a:rPr lang="en-AU" sz="650">
              <a:effectLst/>
            </a:rPr>
            <a:t>Non-compliance rates</a:t>
          </a:r>
        </a:p>
      </dgm:t>
    </dgm:pt>
    <dgm:pt modelId="{79DE3F17-111A-4EA2-814B-E9D8529E1A23}" type="parTrans" cxnId="{E0B79EA0-38F1-4D4D-AFC7-4CE3ADC46109}">
      <dgm:prSet/>
      <dgm:spPr/>
      <dgm:t>
        <a:bodyPr/>
        <a:lstStyle/>
        <a:p>
          <a:endParaRPr lang="en-AU"/>
        </a:p>
      </dgm:t>
    </dgm:pt>
    <dgm:pt modelId="{73CD7EC4-6E1D-4171-8E30-8C863A2F0647}" type="sibTrans" cxnId="{E0B79EA0-38F1-4D4D-AFC7-4CE3ADC46109}">
      <dgm:prSet/>
      <dgm:spPr/>
      <dgm:t>
        <a:bodyPr/>
        <a:lstStyle/>
        <a:p>
          <a:endParaRPr lang="en-AU"/>
        </a:p>
      </dgm:t>
    </dgm:pt>
    <dgm:pt modelId="{C0133461-35B4-40DE-93CB-4D8E0123130F}">
      <dgm:prSet phldrT="[Text]" custT="1"/>
      <dgm:spPr/>
      <dgm:t>
        <a:bodyPr/>
        <a:lstStyle/>
        <a:p>
          <a:r>
            <a:rPr lang="en-AU" sz="650">
              <a:effectLst/>
            </a:rPr>
            <a:t>Change in awareness</a:t>
          </a:r>
        </a:p>
      </dgm:t>
    </dgm:pt>
    <dgm:pt modelId="{1DA9B57C-447B-48B0-AD18-32F08005B282}" type="parTrans" cxnId="{40786C23-AD11-423A-97FD-0F03F6ADB907}">
      <dgm:prSet/>
      <dgm:spPr/>
      <dgm:t>
        <a:bodyPr/>
        <a:lstStyle/>
        <a:p>
          <a:endParaRPr lang="en-AU"/>
        </a:p>
      </dgm:t>
    </dgm:pt>
    <dgm:pt modelId="{0256524F-E692-472E-A592-5452EAB3E005}" type="sibTrans" cxnId="{40786C23-AD11-423A-97FD-0F03F6ADB907}">
      <dgm:prSet/>
      <dgm:spPr/>
      <dgm:t>
        <a:bodyPr/>
        <a:lstStyle/>
        <a:p>
          <a:endParaRPr lang="en-AU"/>
        </a:p>
      </dgm:t>
    </dgm:pt>
    <dgm:pt modelId="{D6901FFD-ECA6-4076-B8FF-606C8883162D}">
      <dgm:prSet phldrT="[Text]" custT="1"/>
      <dgm:spPr/>
      <dgm:t>
        <a:bodyPr/>
        <a:lstStyle/>
        <a:p>
          <a:r>
            <a:rPr lang="en-AU" sz="650">
              <a:effectLst/>
            </a:rPr>
            <a:t>Change in capacity</a:t>
          </a:r>
        </a:p>
      </dgm:t>
    </dgm:pt>
    <dgm:pt modelId="{FE10D9A5-C8D5-432C-BB0E-A1F1C653BBA3}" type="parTrans" cxnId="{CDCE6EDC-0627-4D43-B037-DE0D6630B418}">
      <dgm:prSet/>
      <dgm:spPr/>
      <dgm:t>
        <a:bodyPr/>
        <a:lstStyle/>
        <a:p>
          <a:endParaRPr lang="en-AU"/>
        </a:p>
      </dgm:t>
    </dgm:pt>
    <dgm:pt modelId="{6A1F6DA5-2B1F-43AB-B15C-35C5DD644F4F}" type="sibTrans" cxnId="{CDCE6EDC-0627-4D43-B037-DE0D6630B418}">
      <dgm:prSet/>
      <dgm:spPr/>
      <dgm:t>
        <a:bodyPr/>
        <a:lstStyle/>
        <a:p>
          <a:endParaRPr lang="en-AU"/>
        </a:p>
      </dgm:t>
    </dgm:pt>
    <dgm:pt modelId="{37733282-E364-4AF5-B384-BF12BAC9F71F}">
      <dgm:prSet phldrT="[Text]" custT="1"/>
      <dgm:spPr/>
      <dgm:t>
        <a:bodyPr/>
        <a:lstStyle/>
        <a:p>
          <a:r>
            <a:rPr lang="en-AU" sz="650">
              <a:effectLst/>
            </a:rPr>
            <a:t>Change in practices</a:t>
          </a:r>
        </a:p>
      </dgm:t>
    </dgm:pt>
    <dgm:pt modelId="{17312995-34D4-4D96-A0EA-A3CDEC176C63}" type="parTrans" cxnId="{9783978E-86E6-489E-886E-96D7041A1FC3}">
      <dgm:prSet/>
      <dgm:spPr/>
      <dgm:t>
        <a:bodyPr/>
        <a:lstStyle/>
        <a:p>
          <a:endParaRPr lang="en-AU"/>
        </a:p>
      </dgm:t>
    </dgm:pt>
    <dgm:pt modelId="{724E6854-BF7D-4DF2-8D14-E735386D911E}" type="sibTrans" cxnId="{9783978E-86E6-489E-886E-96D7041A1FC3}">
      <dgm:prSet/>
      <dgm:spPr/>
      <dgm:t>
        <a:bodyPr/>
        <a:lstStyle/>
        <a:p>
          <a:endParaRPr lang="en-AU"/>
        </a:p>
      </dgm:t>
    </dgm:pt>
    <dgm:pt modelId="{FA906A8E-644F-4FAF-BD2C-3BD5917D7A36}">
      <dgm:prSet phldrT="[Text]" custT="1"/>
      <dgm:spPr/>
      <dgm:t>
        <a:bodyPr/>
        <a:lstStyle/>
        <a:p>
          <a:r>
            <a:rPr lang="en-AU" sz="650">
              <a:effectLst/>
            </a:rPr>
            <a:t>Risk reduction</a:t>
          </a:r>
        </a:p>
      </dgm:t>
    </dgm:pt>
    <dgm:pt modelId="{60019CC5-5A66-4109-AEE6-49FCD264E905}" type="parTrans" cxnId="{15473E98-150C-47DD-8E45-14B98DC7F038}">
      <dgm:prSet/>
      <dgm:spPr/>
      <dgm:t>
        <a:bodyPr/>
        <a:lstStyle/>
        <a:p>
          <a:endParaRPr lang="en-AU"/>
        </a:p>
      </dgm:t>
    </dgm:pt>
    <dgm:pt modelId="{E65A9ABB-7950-4794-96B3-3C4A4356B11F}" type="sibTrans" cxnId="{15473E98-150C-47DD-8E45-14B98DC7F038}">
      <dgm:prSet/>
      <dgm:spPr/>
      <dgm:t>
        <a:bodyPr/>
        <a:lstStyle/>
        <a:p>
          <a:endParaRPr lang="en-AU"/>
        </a:p>
      </dgm:t>
    </dgm:pt>
    <dgm:pt modelId="{27A61C6F-D290-4DE1-A0D1-D88CA465A635}">
      <dgm:prSet phldrT="[Text]" custT="1"/>
      <dgm:spPr/>
      <dgm:t>
        <a:bodyPr/>
        <a:lstStyle/>
        <a:p>
          <a:r>
            <a:rPr lang="en-AU" sz="650">
              <a:effectLst/>
            </a:rPr>
            <a:t>Voluntary action</a:t>
          </a:r>
        </a:p>
      </dgm:t>
    </dgm:pt>
    <dgm:pt modelId="{25726F4F-D829-4B1A-BD84-5F9153016B52}" type="parTrans" cxnId="{330F266D-31A1-4DB7-B54B-56D3648191A4}">
      <dgm:prSet/>
      <dgm:spPr/>
      <dgm:t>
        <a:bodyPr/>
        <a:lstStyle/>
        <a:p>
          <a:endParaRPr lang="en-AU"/>
        </a:p>
      </dgm:t>
    </dgm:pt>
    <dgm:pt modelId="{773163F9-EDEA-4FE6-A9DB-0B6F4DFE98DD}" type="sibTrans" cxnId="{330F266D-31A1-4DB7-B54B-56D3648191A4}">
      <dgm:prSet/>
      <dgm:spPr/>
      <dgm:t>
        <a:bodyPr/>
        <a:lstStyle/>
        <a:p>
          <a:endParaRPr lang="en-AU"/>
        </a:p>
      </dgm:t>
    </dgm:pt>
    <dgm:pt modelId="{AF5167A5-33D0-4627-961E-F5C6C05AA74E}">
      <dgm:prSet phldrT="[Text]" custT="1"/>
      <dgm:spPr/>
      <dgm:t>
        <a:bodyPr/>
        <a:lstStyle/>
        <a:p>
          <a:r>
            <a:rPr lang="en-AU" sz="650">
              <a:effectLst/>
            </a:rPr>
            <a:t>Effects, impacts and outcomes (to the harm)</a:t>
          </a:r>
        </a:p>
      </dgm:t>
    </dgm:pt>
    <dgm:pt modelId="{EE5F5876-6E16-4332-8648-6D3B52DA90C3}" type="parTrans" cxnId="{B3F64EC3-B848-40A1-B806-E5D0D710BFF0}">
      <dgm:prSet/>
      <dgm:spPr/>
      <dgm:t>
        <a:bodyPr/>
        <a:lstStyle/>
        <a:p>
          <a:endParaRPr lang="en-AU"/>
        </a:p>
      </dgm:t>
    </dgm:pt>
    <dgm:pt modelId="{2130B5B1-7F1D-4DA0-900D-509EFF5DCB2C}" type="sibTrans" cxnId="{B3F64EC3-B848-40A1-B806-E5D0D710BFF0}">
      <dgm:prSet/>
      <dgm:spPr/>
      <dgm:t>
        <a:bodyPr/>
        <a:lstStyle/>
        <a:p>
          <a:endParaRPr lang="en-AU"/>
        </a:p>
      </dgm:t>
    </dgm:pt>
    <dgm:pt modelId="{3C64C1F8-F81C-4B03-98C9-029716D1CFE9}">
      <dgm:prSet phldrT="[Text]" custT="1"/>
      <dgm:spPr/>
      <dgm:t>
        <a:bodyPr/>
        <a:lstStyle/>
        <a:p>
          <a:r>
            <a:rPr lang="en-AU" sz="650">
              <a:effectLst/>
            </a:rPr>
            <a:t>Decline in incidents</a:t>
          </a:r>
        </a:p>
      </dgm:t>
    </dgm:pt>
    <dgm:pt modelId="{86042DF6-9E42-4F28-A6EE-22E11162C846}" type="parTrans" cxnId="{00C6E9FF-EAA2-40B5-9ECD-D9ED95817A77}">
      <dgm:prSet/>
      <dgm:spPr/>
      <dgm:t>
        <a:bodyPr/>
        <a:lstStyle/>
        <a:p>
          <a:endParaRPr lang="en-AU"/>
        </a:p>
      </dgm:t>
    </dgm:pt>
    <dgm:pt modelId="{FC25225D-D767-4313-A8DD-8B4656C7ED23}" type="sibTrans" cxnId="{00C6E9FF-EAA2-40B5-9ECD-D9ED95817A77}">
      <dgm:prSet/>
      <dgm:spPr/>
      <dgm:t>
        <a:bodyPr/>
        <a:lstStyle/>
        <a:p>
          <a:endParaRPr lang="en-AU"/>
        </a:p>
      </dgm:t>
    </dgm:pt>
    <dgm:pt modelId="{EAC99785-7E67-4C8A-B0FB-E0BAB4C218E4}">
      <dgm:prSet phldrT="[Text]" custT="1"/>
      <dgm:spPr/>
      <dgm:t>
        <a:bodyPr/>
        <a:lstStyle/>
        <a:p>
          <a:r>
            <a:rPr lang="en-AU" sz="650">
              <a:effectLst/>
            </a:rPr>
            <a:t>Increased quality</a:t>
          </a:r>
        </a:p>
      </dgm:t>
    </dgm:pt>
    <dgm:pt modelId="{58BC8F69-377F-4161-B699-CCD9CFAC954A}" type="parTrans" cxnId="{3B076B60-E686-492F-9A93-816496798E19}">
      <dgm:prSet/>
      <dgm:spPr/>
      <dgm:t>
        <a:bodyPr/>
        <a:lstStyle/>
        <a:p>
          <a:endParaRPr lang="en-AU"/>
        </a:p>
      </dgm:t>
    </dgm:pt>
    <dgm:pt modelId="{E9021B81-8EF8-4A90-A676-92CFB1BA4A41}" type="sibTrans" cxnId="{3B076B60-E686-492F-9A93-816496798E19}">
      <dgm:prSet/>
      <dgm:spPr/>
      <dgm:t>
        <a:bodyPr/>
        <a:lstStyle/>
        <a:p>
          <a:endParaRPr lang="en-AU"/>
        </a:p>
      </dgm:t>
    </dgm:pt>
    <dgm:pt modelId="{CA0B9A34-9DDC-43A0-A4EA-7221961A623F}">
      <dgm:prSet phldrT="[Text]" custT="1"/>
      <dgm:spPr/>
      <dgm:t>
        <a:bodyPr/>
        <a:lstStyle/>
        <a:p>
          <a:r>
            <a:rPr lang="en-AU" sz="650">
              <a:effectLst/>
            </a:rPr>
            <a:t>Environmental condition</a:t>
          </a:r>
        </a:p>
      </dgm:t>
    </dgm:pt>
    <dgm:pt modelId="{0F22A816-F041-4FDD-A24F-4A0469155F1F}" type="parTrans" cxnId="{31FFD7A7-D558-47C2-83EE-2B82E2D523A1}">
      <dgm:prSet/>
      <dgm:spPr/>
      <dgm:t>
        <a:bodyPr/>
        <a:lstStyle/>
        <a:p>
          <a:endParaRPr lang="en-AU"/>
        </a:p>
      </dgm:t>
    </dgm:pt>
    <dgm:pt modelId="{8BFC521A-E6AA-4C15-8AB3-D1DF647B352C}" type="sibTrans" cxnId="{31FFD7A7-D558-47C2-83EE-2B82E2D523A1}">
      <dgm:prSet/>
      <dgm:spPr/>
      <dgm:t>
        <a:bodyPr/>
        <a:lstStyle/>
        <a:p>
          <a:endParaRPr lang="en-AU"/>
        </a:p>
      </dgm:t>
    </dgm:pt>
    <dgm:pt modelId="{D9308B95-EA46-4824-B64F-699341C5FEBB}" type="pres">
      <dgm:prSet presAssocID="{9DB838EC-FE47-47D3-B1EB-D4776B673A6A}" presName="Name0" presStyleCnt="0">
        <dgm:presLayoutVars>
          <dgm:dir/>
          <dgm:animLvl val="lvl"/>
          <dgm:resizeHandles val="exact"/>
        </dgm:presLayoutVars>
      </dgm:prSet>
      <dgm:spPr/>
    </dgm:pt>
    <dgm:pt modelId="{0A7070E5-5112-4E89-A50E-AC27B3568F1A}" type="pres">
      <dgm:prSet presAssocID="{7BE043F1-738E-48B7-976B-03894C5A6BE7}" presName="composite" presStyleCnt="0"/>
      <dgm:spPr/>
    </dgm:pt>
    <dgm:pt modelId="{CEF2F7AE-CB00-4D49-A2F1-4AC1BCE5ECFC}" type="pres">
      <dgm:prSet presAssocID="{7BE043F1-738E-48B7-976B-03894C5A6BE7}" presName="parTx" presStyleLbl="alignNode1" presStyleIdx="0" presStyleCnt="5">
        <dgm:presLayoutVars>
          <dgm:chMax val="0"/>
          <dgm:chPref val="0"/>
          <dgm:bulletEnabled val="1"/>
        </dgm:presLayoutVars>
      </dgm:prSet>
      <dgm:spPr/>
    </dgm:pt>
    <dgm:pt modelId="{EEE764A4-5A50-4BC7-902E-90065B32705D}" type="pres">
      <dgm:prSet presAssocID="{7BE043F1-738E-48B7-976B-03894C5A6BE7}" presName="desTx" presStyleLbl="alignAccFollowNode1" presStyleIdx="0" presStyleCnt="5">
        <dgm:presLayoutVars>
          <dgm:bulletEnabled val="1"/>
        </dgm:presLayoutVars>
      </dgm:prSet>
      <dgm:spPr/>
    </dgm:pt>
    <dgm:pt modelId="{AD4E5DD5-A44A-46AE-92BF-D89AC6B80920}" type="pres">
      <dgm:prSet presAssocID="{419F7D47-9353-4CD9-A49C-2DCB3F328317}" presName="space" presStyleCnt="0"/>
      <dgm:spPr/>
    </dgm:pt>
    <dgm:pt modelId="{39A0F7DA-1CDA-425F-98A6-9BDD4DABC875}" type="pres">
      <dgm:prSet presAssocID="{E2990CB8-4EF9-46D5-8DE5-BEBEAD2D6785}" presName="composite" presStyleCnt="0"/>
      <dgm:spPr/>
    </dgm:pt>
    <dgm:pt modelId="{EA8A196D-F450-4313-8186-BECD012350C5}" type="pres">
      <dgm:prSet presAssocID="{E2990CB8-4EF9-46D5-8DE5-BEBEAD2D6785}" presName="parTx" presStyleLbl="alignNode1" presStyleIdx="1" presStyleCnt="5">
        <dgm:presLayoutVars>
          <dgm:chMax val="0"/>
          <dgm:chPref val="0"/>
          <dgm:bulletEnabled val="1"/>
        </dgm:presLayoutVars>
      </dgm:prSet>
      <dgm:spPr/>
    </dgm:pt>
    <dgm:pt modelId="{46E41426-8C36-4ADD-B876-0BE1DD113473}" type="pres">
      <dgm:prSet presAssocID="{E2990CB8-4EF9-46D5-8DE5-BEBEAD2D6785}" presName="desTx" presStyleLbl="alignAccFollowNode1" presStyleIdx="1" presStyleCnt="5">
        <dgm:presLayoutVars>
          <dgm:bulletEnabled val="1"/>
        </dgm:presLayoutVars>
      </dgm:prSet>
      <dgm:spPr/>
    </dgm:pt>
    <dgm:pt modelId="{94F97EA4-495A-42F3-AB8F-F4E89E391BE3}" type="pres">
      <dgm:prSet presAssocID="{091C67C4-37B2-4F58-AAEF-063A52BBB3C7}" presName="space" presStyleCnt="0"/>
      <dgm:spPr/>
    </dgm:pt>
    <dgm:pt modelId="{B3599B20-43D8-4F53-910E-87C7325FD337}" type="pres">
      <dgm:prSet presAssocID="{350A63E6-930C-40E8-B0C6-C91B93862A92}" presName="composite" presStyleCnt="0"/>
      <dgm:spPr/>
    </dgm:pt>
    <dgm:pt modelId="{F05F3658-E1FD-4115-91E0-1475C7CB8DA5}" type="pres">
      <dgm:prSet presAssocID="{350A63E6-930C-40E8-B0C6-C91B93862A92}" presName="parTx" presStyleLbl="alignNode1" presStyleIdx="2" presStyleCnt="5">
        <dgm:presLayoutVars>
          <dgm:chMax val="0"/>
          <dgm:chPref val="0"/>
          <dgm:bulletEnabled val="1"/>
        </dgm:presLayoutVars>
      </dgm:prSet>
      <dgm:spPr/>
    </dgm:pt>
    <dgm:pt modelId="{77457527-1220-4D7F-9D68-00957507EB59}" type="pres">
      <dgm:prSet presAssocID="{350A63E6-930C-40E8-B0C6-C91B93862A92}" presName="desTx" presStyleLbl="alignAccFollowNode1" presStyleIdx="2" presStyleCnt="5">
        <dgm:presLayoutVars>
          <dgm:bulletEnabled val="1"/>
        </dgm:presLayoutVars>
      </dgm:prSet>
      <dgm:spPr/>
    </dgm:pt>
    <dgm:pt modelId="{15DC1FD7-0D68-4CE2-91D0-47926AEBD6DB}" type="pres">
      <dgm:prSet presAssocID="{BF31ED3A-89A2-4C73-969B-61FE2542EF20}" presName="space" presStyleCnt="0"/>
      <dgm:spPr/>
    </dgm:pt>
    <dgm:pt modelId="{9A12BB2F-8CD7-439E-AFA2-E7569D0B0B4A}" type="pres">
      <dgm:prSet presAssocID="{B3BC6A5A-0C91-49B2-860F-AF4C2DBE94A6}" presName="composite" presStyleCnt="0"/>
      <dgm:spPr/>
    </dgm:pt>
    <dgm:pt modelId="{B3E409B5-439A-49D9-B75E-0E3D57C15EC7}" type="pres">
      <dgm:prSet presAssocID="{B3BC6A5A-0C91-49B2-860F-AF4C2DBE94A6}" presName="parTx" presStyleLbl="alignNode1" presStyleIdx="3" presStyleCnt="5">
        <dgm:presLayoutVars>
          <dgm:chMax val="0"/>
          <dgm:chPref val="0"/>
          <dgm:bulletEnabled val="1"/>
        </dgm:presLayoutVars>
      </dgm:prSet>
      <dgm:spPr/>
    </dgm:pt>
    <dgm:pt modelId="{8F4CDC00-B521-4044-B938-8A7935D8D088}" type="pres">
      <dgm:prSet presAssocID="{B3BC6A5A-0C91-49B2-860F-AF4C2DBE94A6}" presName="desTx" presStyleLbl="alignAccFollowNode1" presStyleIdx="3" presStyleCnt="5">
        <dgm:presLayoutVars>
          <dgm:bulletEnabled val="1"/>
        </dgm:presLayoutVars>
      </dgm:prSet>
      <dgm:spPr/>
    </dgm:pt>
    <dgm:pt modelId="{5665C7D2-BB47-4556-B3C5-0C10776F7E68}" type="pres">
      <dgm:prSet presAssocID="{5E3E4D52-79BC-4954-8E38-D3C4F87A5760}" presName="space" presStyleCnt="0"/>
      <dgm:spPr/>
    </dgm:pt>
    <dgm:pt modelId="{63982FFF-9DBE-41F4-9A6C-1E9CDCEA005B}" type="pres">
      <dgm:prSet presAssocID="{AF5167A5-33D0-4627-961E-F5C6C05AA74E}" presName="composite" presStyleCnt="0"/>
      <dgm:spPr/>
    </dgm:pt>
    <dgm:pt modelId="{4859C821-2EEB-493D-8190-B29F585CACBE}" type="pres">
      <dgm:prSet presAssocID="{AF5167A5-33D0-4627-961E-F5C6C05AA74E}" presName="parTx" presStyleLbl="alignNode1" presStyleIdx="4" presStyleCnt="5">
        <dgm:presLayoutVars>
          <dgm:chMax val="0"/>
          <dgm:chPref val="0"/>
          <dgm:bulletEnabled val="1"/>
        </dgm:presLayoutVars>
      </dgm:prSet>
      <dgm:spPr/>
    </dgm:pt>
    <dgm:pt modelId="{72EB8C13-457C-46F2-8D32-BBDF79EF4FAC}" type="pres">
      <dgm:prSet presAssocID="{AF5167A5-33D0-4627-961E-F5C6C05AA74E}" presName="desTx" presStyleLbl="alignAccFollowNode1" presStyleIdx="4" presStyleCnt="5">
        <dgm:presLayoutVars>
          <dgm:bulletEnabled val="1"/>
        </dgm:presLayoutVars>
      </dgm:prSet>
      <dgm:spPr/>
    </dgm:pt>
  </dgm:ptLst>
  <dgm:cxnLst>
    <dgm:cxn modelId="{4305320B-A8F9-449A-A97B-8855DE1BE6B1}" type="presOf" srcId="{9F13D5ED-CCE4-4D3D-838F-B9B3EC1AB331}" destId="{77457527-1220-4D7F-9D68-00957507EB59}" srcOrd="0" destOrd="4" presId="urn:microsoft.com/office/officeart/2005/8/layout/hList1"/>
    <dgm:cxn modelId="{38FEFC0C-B0BD-4635-87B4-C09EB4EBE5FA}" srcId="{7BE043F1-738E-48B7-976B-03894C5A6BE7}" destId="{6AE3460B-FAD2-42C1-BF34-421FE7D04BD7}" srcOrd="2" destOrd="0" parTransId="{284046FB-A487-48E4-92A9-DB39B4A76A6E}" sibTransId="{A1B2EF4F-2E23-4FA5-859E-7F0BB4095361}"/>
    <dgm:cxn modelId="{BB716512-483B-42CE-8D4A-3522ECB223A3}" type="presOf" srcId="{9DB838EC-FE47-47D3-B1EB-D4776B673A6A}" destId="{D9308B95-EA46-4824-B64F-699341C5FEBB}" srcOrd="0" destOrd="0" presId="urn:microsoft.com/office/officeart/2005/8/layout/hList1"/>
    <dgm:cxn modelId="{551E7D12-E450-4B9C-AD03-C9288911B5AE}" type="presOf" srcId="{AF5167A5-33D0-4627-961E-F5C6C05AA74E}" destId="{4859C821-2EEB-493D-8190-B29F585CACBE}" srcOrd="0" destOrd="0" presId="urn:microsoft.com/office/officeart/2005/8/layout/hList1"/>
    <dgm:cxn modelId="{2C2B6216-68F3-460B-A048-718C4B9431D4}" type="presOf" srcId="{7BE043F1-738E-48B7-976B-03894C5A6BE7}" destId="{CEF2F7AE-CB00-4D49-A2F1-4AC1BCE5ECFC}" srcOrd="0" destOrd="0" presId="urn:microsoft.com/office/officeart/2005/8/layout/hList1"/>
    <dgm:cxn modelId="{F55BAB18-F6DC-4D9B-8057-35FF8332A868}" type="presOf" srcId="{CA0B9A34-9DDC-43A0-A4EA-7221961A623F}" destId="{72EB8C13-457C-46F2-8D32-BBDF79EF4FAC}" srcOrd="0" destOrd="2" presId="urn:microsoft.com/office/officeart/2005/8/layout/hList1"/>
    <dgm:cxn modelId="{84266919-73F0-4DBC-90BD-ADC5F7DAB131}" srcId="{7BE043F1-738E-48B7-976B-03894C5A6BE7}" destId="{540596D1-06C4-4DC7-9155-A9D11805C9B3}" srcOrd="1" destOrd="0" parTransId="{83ED1D71-242A-4BF0-98C4-6939A72C1FB7}" sibTransId="{71858069-DC31-4687-B247-3380684B492B}"/>
    <dgm:cxn modelId="{B97F0320-F492-40C8-A313-3778BB669CA7}" type="presOf" srcId="{350A63E6-930C-40E8-B0C6-C91B93862A92}" destId="{F05F3658-E1FD-4115-91E0-1475C7CB8DA5}" srcOrd="0" destOrd="0" presId="urn:microsoft.com/office/officeart/2005/8/layout/hList1"/>
    <dgm:cxn modelId="{40786C23-AD11-423A-97FD-0F03F6ADB907}" srcId="{B3BC6A5A-0C91-49B2-860F-AF4C2DBE94A6}" destId="{C0133461-35B4-40DE-93CB-4D8E0123130F}" srcOrd="1" destOrd="0" parTransId="{1DA9B57C-447B-48B0-AD18-32F08005B282}" sibTransId="{0256524F-E692-472E-A592-5452EAB3E005}"/>
    <dgm:cxn modelId="{95595426-8F12-4883-916A-097775FBD434}" srcId="{E2990CB8-4EF9-46D5-8DE5-BEBEAD2D6785}" destId="{A3EDDC5B-353B-47BC-BBD7-538BB961F938}" srcOrd="4" destOrd="0" parTransId="{1A3BA4FD-5D4F-4E99-A74E-5ADED5CA7BD7}" sibTransId="{8C071D5E-0DDA-49D9-9D45-7CF108215A6D}"/>
    <dgm:cxn modelId="{F66F212A-E5F0-4A15-8988-65FC842A6259}" type="presOf" srcId="{27A61C6F-D290-4DE1-A0D1-D88CA465A635}" destId="{8F4CDC00-B521-4044-B938-8A7935D8D088}" srcOrd="0" destOrd="5" presId="urn:microsoft.com/office/officeart/2005/8/layout/hList1"/>
    <dgm:cxn modelId="{24A03B33-2A81-4769-82EE-19ABA43AE57C}" type="presOf" srcId="{E2990CB8-4EF9-46D5-8DE5-BEBEAD2D6785}" destId="{EA8A196D-F450-4313-8186-BECD012350C5}" srcOrd="0" destOrd="0" presId="urn:microsoft.com/office/officeart/2005/8/layout/hList1"/>
    <dgm:cxn modelId="{5E84BE36-0E97-4436-9847-4AEC0E95EEAA}" srcId="{E2990CB8-4EF9-46D5-8DE5-BEBEAD2D6785}" destId="{400A9590-6A84-4B64-BC91-0465A6C54739}" srcOrd="1" destOrd="0" parTransId="{CCF0505F-E85C-45EB-9278-AE0DD4454A25}" sibTransId="{9431457F-C383-4098-880A-AE26720F4FFB}"/>
    <dgm:cxn modelId="{B2DB3D3F-ED69-4332-A6B8-867AD2484E15}" type="presOf" srcId="{540596D1-06C4-4DC7-9155-A9D11805C9B3}" destId="{EEE764A4-5A50-4BC7-902E-90065B32705D}" srcOrd="0" destOrd="1" presId="urn:microsoft.com/office/officeart/2005/8/layout/hList1"/>
    <dgm:cxn modelId="{AA3A4F5B-DFF0-4756-8D3B-18B7807C92AA}" srcId="{E2990CB8-4EF9-46D5-8DE5-BEBEAD2D6785}" destId="{4CA081D9-64F3-464B-B029-8CE0117941B6}" srcOrd="0" destOrd="0" parTransId="{12D30249-9E4C-42F8-8009-E625AC104FFE}" sibTransId="{2C7D734F-2756-4584-A789-38EE8303F4F0}"/>
    <dgm:cxn modelId="{3B076B60-E686-492F-9A93-816496798E19}" srcId="{AF5167A5-33D0-4627-961E-F5C6C05AA74E}" destId="{EAC99785-7E67-4C8A-B0FB-E0BAB4C218E4}" srcOrd="1" destOrd="0" parTransId="{58BC8F69-377F-4161-B699-CCD9CFAC954A}" sibTransId="{E9021B81-8EF8-4A90-A676-92CFB1BA4A41}"/>
    <dgm:cxn modelId="{CED7FC60-02B5-4C63-9E09-F1557832393F}" srcId="{9DB838EC-FE47-47D3-B1EB-D4776B673A6A}" destId="{350A63E6-930C-40E8-B0C6-C91B93862A92}" srcOrd="2" destOrd="0" parTransId="{3F8E953B-401F-4D9E-A125-DA3A12298072}" sibTransId="{BF31ED3A-89A2-4C73-969B-61FE2542EF20}"/>
    <dgm:cxn modelId="{CEF0A861-C11B-4631-AA00-48F33C915265}" type="presOf" srcId="{7F12F9D9-6325-4238-85AC-67BBD7B0F80C}" destId="{77457527-1220-4D7F-9D68-00957507EB59}" srcOrd="0" destOrd="3" presId="urn:microsoft.com/office/officeart/2005/8/layout/hList1"/>
    <dgm:cxn modelId="{C345DE69-5033-46AA-8F52-4E4F54556090}" srcId="{350A63E6-930C-40E8-B0C6-C91B93862A92}" destId="{7F12F9D9-6325-4238-85AC-67BBD7B0F80C}" srcOrd="3" destOrd="0" parTransId="{DD76698D-9236-4136-94A9-BFEE513E5481}" sibTransId="{C4E4AE5B-40CD-4AD6-9160-95C12DF71B5B}"/>
    <dgm:cxn modelId="{3E3D596C-FF54-4C53-B47B-22F63E4287B1}" srcId="{7BE043F1-738E-48B7-976B-03894C5A6BE7}" destId="{3ED8AB2C-B95C-4D6F-BDB4-DA11DA76BF24}" srcOrd="0" destOrd="0" parTransId="{F7941036-AEDE-4997-BE9D-81D2CF594C67}" sibTransId="{47888E4F-C620-4539-85B5-8FE7E0068C71}"/>
    <dgm:cxn modelId="{330F266D-31A1-4DB7-B54B-56D3648191A4}" srcId="{B3BC6A5A-0C91-49B2-860F-AF4C2DBE94A6}" destId="{27A61C6F-D290-4DE1-A0D1-D88CA465A635}" srcOrd="5" destOrd="0" parTransId="{25726F4F-D829-4B1A-BD84-5F9153016B52}" sibTransId="{773163F9-EDEA-4FE6-A9DB-0B6F4DFE98DD}"/>
    <dgm:cxn modelId="{F389324D-69B5-4CC8-B2F1-14E6E42F2825}" srcId="{350A63E6-930C-40E8-B0C6-C91B93862A92}" destId="{EDC018FC-C9B9-4637-AD2B-740304816FBA}" srcOrd="0" destOrd="0" parTransId="{9E934F13-1DEE-4F06-B7B6-ED39A259458D}" sibTransId="{2676551E-B992-481F-B8E3-943742DFCA24}"/>
    <dgm:cxn modelId="{C2B72C7A-0E15-4529-89DC-CDE5EEBB54DE}" srcId="{7BE043F1-738E-48B7-976B-03894C5A6BE7}" destId="{9913BC66-3CF6-4F20-8E6F-E350A40286B7}" srcOrd="4" destOrd="0" parTransId="{6468EB87-1C96-4C5B-B83F-1D43430684C0}" sibTransId="{96991825-7EE9-42BF-AD23-B9BDA7FD4490}"/>
    <dgm:cxn modelId="{EEC8617B-C0A6-4B92-9548-EA86DE8C2A13}" srcId="{E2990CB8-4EF9-46D5-8DE5-BEBEAD2D6785}" destId="{091375D3-BF1C-4856-BE59-8BCEE3E37946}" srcOrd="3" destOrd="0" parTransId="{F9C45453-3D02-4D9B-BB21-807AAA7F3179}" sibTransId="{4DA67D14-E4B9-427E-9750-DB895497463A}"/>
    <dgm:cxn modelId="{074DC37C-58D8-4BFF-BC45-1012C6000437}" type="presOf" srcId="{9913BC66-3CF6-4F20-8E6F-E350A40286B7}" destId="{EEE764A4-5A50-4BC7-902E-90065B32705D}" srcOrd="0" destOrd="4" presId="urn:microsoft.com/office/officeart/2005/8/layout/hList1"/>
    <dgm:cxn modelId="{B083C383-E9F5-455D-B7F0-2CF693A1AA23}" type="presOf" srcId="{C0133461-35B4-40DE-93CB-4D8E0123130F}" destId="{8F4CDC00-B521-4044-B938-8A7935D8D088}" srcOrd="0" destOrd="1" presId="urn:microsoft.com/office/officeart/2005/8/layout/hList1"/>
    <dgm:cxn modelId="{95FAB784-6B48-4C94-A6F6-94F5F2F5B31C}" type="presOf" srcId="{3C64C1F8-F81C-4B03-98C9-029716D1CFE9}" destId="{72EB8C13-457C-46F2-8D32-BBDF79EF4FAC}" srcOrd="0" destOrd="0" presId="urn:microsoft.com/office/officeart/2005/8/layout/hList1"/>
    <dgm:cxn modelId="{8344E384-593E-449F-A3CE-7499FB9B1E3E}" type="presOf" srcId="{4A76A8C4-1001-4F40-B811-EB5BCA1C95C7}" destId="{46E41426-8C36-4ADD-B876-0BE1DD113473}" srcOrd="0" destOrd="2" presId="urn:microsoft.com/office/officeart/2005/8/layout/hList1"/>
    <dgm:cxn modelId="{A31A1C86-71F0-4A8B-93F3-EF1B9AC4D96D}" srcId="{E2990CB8-4EF9-46D5-8DE5-BEBEAD2D6785}" destId="{4A76A8C4-1001-4F40-B811-EB5BCA1C95C7}" srcOrd="2" destOrd="0" parTransId="{08AF5E48-DCB2-4AC6-A177-D4A02BA6D738}" sibTransId="{EC30DE73-3D6F-4790-9B73-970EF9A12833}"/>
    <dgm:cxn modelId="{171A1D8D-8F31-4E50-B3D2-E670660FCE66}" type="presOf" srcId="{400A9590-6A84-4B64-BC91-0465A6C54739}" destId="{46E41426-8C36-4ADD-B876-0BE1DD113473}" srcOrd="0" destOrd="1" presId="urn:microsoft.com/office/officeart/2005/8/layout/hList1"/>
    <dgm:cxn modelId="{2800EA90-7959-43C9-91E7-EA9DFD934C47}" srcId="{7BE043F1-738E-48B7-976B-03894C5A6BE7}" destId="{EDDB858F-49DE-4687-91B0-8E7D39A3BC79}" srcOrd="3" destOrd="0" parTransId="{83DC26AD-5801-4ECA-9919-933232F9C2E3}" sibTransId="{B628EBB2-8850-48FC-9CAE-7CEAAAE89A02}"/>
    <dgm:cxn modelId="{8D1B2996-0210-46DF-AADF-F02B86CDB163}" type="presOf" srcId="{EDDB858F-49DE-4687-91B0-8E7D39A3BC79}" destId="{EEE764A4-5A50-4BC7-902E-90065B32705D}" srcOrd="0" destOrd="3" presId="urn:microsoft.com/office/officeart/2005/8/layout/hList1"/>
    <dgm:cxn modelId="{96283296-141E-4664-B298-59B346D6DC9C}" type="presOf" srcId="{FA906A8E-644F-4FAF-BD2C-3BD5917D7A36}" destId="{8F4CDC00-B521-4044-B938-8A7935D8D088}" srcOrd="0" destOrd="4" presId="urn:microsoft.com/office/officeart/2005/8/layout/hList1"/>
    <dgm:cxn modelId="{E2E57D96-EF2C-49BE-BC2B-D49764A3880C}" type="presOf" srcId="{4CA081D9-64F3-464B-B029-8CE0117941B6}" destId="{46E41426-8C36-4ADD-B876-0BE1DD113473}" srcOrd="0" destOrd="0" presId="urn:microsoft.com/office/officeart/2005/8/layout/hList1"/>
    <dgm:cxn modelId="{15473E98-150C-47DD-8E45-14B98DC7F038}" srcId="{B3BC6A5A-0C91-49B2-860F-AF4C2DBE94A6}" destId="{FA906A8E-644F-4FAF-BD2C-3BD5917D7A36}" srcOrd="4" destOrd="0" parTransId="{60019CC5-5A66-4109-AEE6-49FCD264E905}" sibTransId="{E65A9ABB-7950-4794-96B3-3C4A4356B11F}"/>
    <dgm:cxn modelId="{C795A29B-91E5-42A9-8BDA-A75DAD410E35}" type="presOf" srcId="{091375D3-BF1C-4856-BE59-8BCEE3E37946}" destId="{46E41426-8C36-4ADD-B876-0BE1DD113473}" srcOrd="0" destOrd="3" presId="urn:microsoft.com/office/officeart/2005/8/layout/hList1"/>
    <dgm:cxn modelId="{C2D2BD9B-7062-4A90-8967-C1B43EF393F4}" type="presOf" srcId="{A3EDDC5B-353B-47BC-BBD7-538BB961F938}" destId="{46E41426-8C36-4ADD-B876-0BE1DD113473}" srcOrd="0" destOrd="4" presId="urn:microsoft.com/office/officeart/2005/8/layout/hList1"/>
    <dgm:cxn modelId="{FACE088C-02DE-471F-B954-06409AE9BDEB}" type="presOf" srcId="{B3BC6A5A-0C91-49B2-860F-AF4C2DBE94A6}" destId="{B3E409B5-439A-49D9-B75E-0E3D57C15EC7}" srcOrd="0" destOrd="0" presId="urn:microsoft.com/office/officeart/2005/8/layout/hList1"/>
    <dgm:cxn modelId="{9783978E-86E6-489E-886E-96D7041A1FC3}" srcId="{B3BC6A5A-0C91-49B2-860F-AF4C2DBE94A6}" destId="{37733282-E364-4AF5-B384-BF12BAC9F71F}" srcOrd="3" destOrd="0" parTransId="{17312995-34D4-4D96-A0EA-A3CDEC176C63}" sibTransId="{724E6854-BF7D-4DF2-8D14-E735386D911E}"/>
    <dgm:cxn modelId="{E0B79EA0-38F1-4D4D-AFC7-4CE3ADC46109}" srcId="{B3BC6A5A-0C91-49B2-860F-AF4C2DBE94A6}" destId="{64328DED-07E7-48A6-8F37-58E5E9FFDF2C}" srcOrd="0" destOrd="0" parTransId="{79DE3F17-111A-4EA2-814B-E9D8529E1A23}" sibTransId="{73CD7EC4-6E1D-4171-8E30-8C863A2F0647}"/>
    <dgm:cxn modelId="{B87E2AA4-38C5-4EA5-9661-593E1DF9CED6}" type="presOf" srcId="{64328DED-07E7-48A6-8F37-58E5E9FFDF2C}" destId="{8F4CDC00-B521-4044-B938-8A7935D8D088}" srcOrd="0" destOrd="0" presId="urn:microsoft.com/office/officeart/2005/8/layout/hList1"/>
    <dgm:cxn modelId="{31FFD7A7-D558-47C2-83EE-2B82E2D523A1}" srcId="{AF5167A5-33D0-4627-961E-F5C6C05AA74E}" destId="{CA0B9A34-9DDC-43A0-A4EA-7221961A623F}" srcOrd="2" destOrd="0" parTransId="{0F22A816-F041-4FDD-A24F-4A0469155F1F}" sibTransId="{8BFC521A-E6AA-4C15-8AB3-D1DF647B352C}"/>
    <dgm:cxn modelId="{189B53AB-9DFD-450A-A4C3-F9AAE086F3DE}" type="presOf" srcId="{6AE3460B-FAD2-42C1-BF34-421FE7D04BD7}" destId="{EEE764A4-5A50-4BC7-902E-90065B32705D}" srcOrd="0" destOrd="2" presId="urn:microsoft.com/office/officeart/2005/8/layout/hList1"/>
    <dgm:cxn modelId="{B4BA89AB-A935-4480-AFD5-29FFC6C19AB5}" type="presOf" srcId="{EAC99785-7E67-4C8A-B0FB-E0BAB4C218E4}" destId="{72EB8C13-457C-46F2-8D32-BBDF79EF4FAC}" srcOrd="0" destOrd="1" presId="urn:microsoft.com/office/officeart/2005/8/layout/hList1"/>
    <dgm:cxn modelId="{4FAD8CAD-3927-4795-8D35-D94141256493}" srcId="{9DB838EC-FE47-47D3-B1EB-D4776B673A6A}" destId="{7BE043F1-738E-48B7-976B-03894C5A6BE7}" srcOrd="0" destOrd="0" parTransId="{2C097C3D-4257-44A5-83A2-26F6A0D262B4}" sibTransId="{419F7D47-9353-4CD9-A49C-2DCB3F328317}"/>
    <dgm:cxn modelId="{694699B3-74E7-4C89-8237-C8D671A479B1}" srcId="{350A63E6-930C-40E8-B0C6-C91B93862A92}" destId="{5CAAA200-3839-4405-ADA3-81D226AE6526}" srcOrd="1" destOrd="0" parTransId="{A0AF1349-D051-49F6-A9D3-889F378C3AD0}" sibTransId="{BF100B63-1AEE-406A-ABF5-ECCAD5EB8998}"/>
    <dgm:cxn modelId="{1FF76BC1-8B38-4F83-B90B-025750831653}" srcId="{9DB838EC-FE47-47D3-B1EB-D4776B673A6A}" destId="{E2990CB8-4EF9-46D5-8DE5-BEBEAD2D6785}" srcOrd="1" destOrd="0" parTransId="{9BD69E14-5C26-490C-AB3D-4A1C981EA9E0}" sibTransId="{091C67C4-37B2-4F58-AAEF-063A52BBB3C7}"/>
    <dgm:cxn modelId="{EFFB39C2-553C-4EA7-875A-685A1C8836C9}" srcId="{9DB838EC-FE47-47D3-B1EB-D4776B673A6A}" destId="{B3BC6A5A-0C91-49B2-860F-AF4C2DBE94A6}" srcOrd="3" destOrd="0" parTransId="{4BAC16E2-67DF-48F6-90D9-883D93EB01DF}" sibTransId="{5E3E4D52-79BC-4954-8E38-D3C4F87A5760}"/>
    <dgm:cxn modelId="{B3F64EC3-B848-40A1-B806-E5D0D710BFF0}" srcId="{9DB838EC-FE47-47D3-B1EB-D4776B673A6A}" destId="{AF5167A5-33D0-4627-961E-F5C6C05AA74E}" srcOrd="4" destOrd="0" parTransId="{EE5F5876-6E16-4332-8648-6D3B52DA90C3}" sibTransId="{2130B5B1-7F1D-4DA0-900D-509EFF5DCB2C}"/>
    <dgm:cxn modelId="{2445B4EA-6430-4964-836C-C691FD1CABDB}" type="presOf" srcId="{EDC018FC-C9B9-4637-AD2B-740304816FBA}" destId="{77457527-1220-4D7F-9D68-00957507EB59}" srcOrd="0" destOrd="0" presId="urn:microsoft.com/office/officeart/2005/8/layout/hList1"/>
    <dgm:cxn modelId="{31C4AFCD-A083-4EA0-8F8B-57A3E7501ADA}" type="presOf" srcId="{D6901FFD-ECA6-4076-B8FF-606C8883162D}" destId="{8F4CDC00-B521-4044-B938-8A7935D8D088}" srcOrd="0" destOrd="2" presId="urn:microsoft.com/office/officeart/2005/8/layout/hList1"/>
    <dgm:cxn modelId="{5AB2C1CD-EE8C-40FF-B476-DDB165B4367F}" type="presOf" srcId="{37733282-E364-4AF5-B384-BF12BAC9F71F}" destId="{8F4CDC00-B521-4044-B938-8A7935D8D088}" srcOrd="0" destOrd="3" presId="urn:microsoft.com/office/officeart/2005/8/layout/hList1"/>
    <dgm:cxn modelId="{A23356F1-AFBE-4F30-AA45-1BC10F635FD3}" srcId="{350A63E6-930C-40E8-B0C6-C91B93862A92}" destId="{9F13D5ED-CCE4-4D3D-838F-B9B3EC1AB331}" srcOrd="4" destOrd="0" parTransId="{F4DB9840-6EAA-4008-8FB4-888875763B86}" sibTransId="{99077094-2ED1-4EBC-9DDE-D8C4F99FA3A8}"/>
    <dgm:cxn modelId="{72070AF5-1335-4DD2-8702-9E620ACCCBF7}" srcId="{350A63E6-930C-40E8-B0C6-C91B93862A92}" destId="{2541C0F4-9FDA-406D-A8FD-CF81059C0A4D}" srcOrd="2" destOrd="0" parTransId="{57DC2E8C-35F1-4759-A80F-44515E3A1993}" sibTransId="{1076D6AE-3832-48E1-B808-B10C8B19D33E}"/>
    <dgm:cxn modelId="{362D60F7-C18C-435C-981F-8568D73AB411}" type="presOf" srcId="{2541C0F4-9FDA-406D-A8FD-CF81059C0A4D}" destId="{77457527-1220-4D7F-9D68-00957507EB59}" srcOrd="0" destOrd="2" presId="urn:microsoft.com/office/officeart/2005/8/layout/hList1"/>
    <dgm:cxn modelId="{7698BAF9-E791-493C-801D-BDE3660BF375}" type="presOf" srcId="{5CAAA200-3839-4405-ADA3-81D226AE6526}" destId="{77457527-1220-4D7F-9D68-00957507EB59}" srcOrd="0" destOrd="1" presId="urn:microsoft.com/office/officeart/2005/8/layout/hList1"/>
    <dgm:cxn modelId="{CDCE6EDC-0627-4D43-B037-DE0D6630B418}" srcId="{B3BC6A5A-0C91-49B2-860F-AF4C2DBE94A6}" destId="{D6901FFD-ECA6-4076-B8FF-606C8883162D}" srcOrd="2" destOrd="0" parTransId="{FE10D9A5-C8D5-432C-BB0E-A1F1C653BBA3}" sibTransId="{6A1F6DA5-2B1F-43AB-B15C-35C5DD644F4F}"/>
    <dgm:cxn modelId="{922010FD-C44C-4BFC-A6F6-17D575317E74}" type="presOf" srcId="{3ED8AB2C-B95C-4D6F-BDB4-DA11DA76BF24}" destId="{EEE764A4-5A50-4BC7-902E-90065B32705D}" srcOrd="0" destOrd="0" presId="urn:microsoft.com/office/officeart/2005/8/layout/hList1"/>
    <dgm:cxn modelId="{00C6E9FF-EAA2-40B5-9ECD-D9ED95817A77}" srcId="{AF5167A5-33D0-4627-961E-F5C6C05AA74E}" destId="{3C64C1F8-F81C-4B03-98C9-029716D1CFE9}" srcOrd="0" destOrd="0" parTransId="{86042DF6-9E42-4F28-A6EE-22E11162C846}" sibTransId="{FC25225D-D767-4313-A8DD-8B4656C7ED23}"/>
    <dgm:cxn modelId="{9C7E2A44-D98A-48BC-8ECA-DA4C1198A2B5}" type="presParOf" srcId="{D9308B95-EA46-4824-B64F-699341C5FEBB}" destId="{0A7070E5-5112-4E89-A50E-AC27B3568F1A}" srcOrd="0" destOrd="0" presId="urn:microsoft.com/office/officeart/2005/8/layout/hList1"/>
    <dgm:cxn modelId="{DEDA2B58-5D00-45B4-95B7-A1B489134A01}" type="presParOf" srcId="{0A7070E5-5112-4E89-A50E-AC27B3568F1A}" destId="{CEF2F7AE-CB00-4D49-A2F1-4AC1BCE5ECFC}" srcOrd="0" destOrd="0" presId="urn:microsoft.com/office/officeart/2005/8/layout/hList1"/>
    <dgm:cxn modelId="{46C191A4-237B-4EFF-89C6-23528D7181E6}" type="presParOf" srcId="{0A7070E5-5112-4E89-A50E-AC27B3568F1A}" destId="{EEE764A4-5A50-4BC7-902E-90065B32705D}" srcOrd="1" destOrd="0" presId="urn:microsoft.com/office/officeart/2005/8/layout/hList1"/>
    <dgm:cxn modelId="{41232EA8-A2B4-4123-BA17-428183684E2C}" type="presParOf" srcId="{D9308B95-EA46-4824-B64F-699341C5FEBB}" destId="{AD4E5DD5-A44A-46AE-92BF-D89AC6B80920}" srcOrd="1" destOrd="0" presId="urn:microsoft.com/office/officeart/2005/8/layout/hList1"/>
    <dgm:cxn modelId="{C9D55470-51EC-4306-9B2F-EDF2382588F8}" type="presParOf" srcId="{D9308B95-EA46-4824-B64F-699341C5FEBB}" destId="{39A0F7DA-1CDA-425F-98A6-9BDD4DABC875}" srcOrd="2" destOrd="0" presId="urn:microsoft.com/office/officeart/2005/8/layout/hList1"/>
    <dgm:cxn modelId="{9DD18A6F-30FD-4C2F-949D-9BF243F7A685}" type="presParOf" srcId="{39A0F7DA-1CDA-425F-98A6-9BDD4DABC875}" destId="{EA8A196D-F450-4313-8186-BECD012350C5}" srcOrd="0" destOrd="0" presId="urn:microsoft.com/office/officeart/2005/8/layout/hList1"/>
    <dgm:cxn modelId="{A4671789-F00D-4DDA-B17B-106D2469077D}" type="presParOf" srcId="{39A0F7DA-1CDA-425F-98A6-9BDD4DABC875}" destId="{46E41426-8C36-4ADD-B876-0BE1DD113473}" srcOrd="1" destOrd="0" presId="urn:microsoft.com/office/officeart/2005/8/layout/hList1"/>
    <dgm:cxn modelId="{F32630CA-C226-4F8B-A8C8-7E235D981928}" type="presParOf" srcId="{D9308B95-EA46-4824-B64F-699341C5FEBB}" destId="{94F97EA4-495A-42F3-AB8F-F4E89E391BE3}" srcOrd="3" destOrd="0" presId="urn:microsoft.com/office/officeart/2005/8/layout/hList1"/>
    <dgm:cxn modelId="{76E231E4-B664-478B-BB59-FC61C182BBFD}" type="presParOf" srcId="{D9308B95-EA46-4824-B64F-699341C5FEBB}" destId="{B3599B20-43D8-4F53-910E-87C7325FD337}" srcOrd="4" destOrd="0" presId="urn:microsoft.com/office/officeart/2005/8/layout/hList1"/>
    <dgm:cxn modelId="{ABBF119C-0194-4D16-B970-3AD62B97BCF6}" type="presParOf" srcId="{B3599B20-43D8-4F53-910E-87C7325FD337}" destId="{F05F3658-E1FD-4115-91E0-1475C7CB8DA5}" srcOrd="0" destOrd="0" presId="urn:microsoft.com/office/officeart/2005/8/layout/hList1"/>
    <dgm:cxn modelId="{744EAB8E-06F6-49A8-8B26-0F0767F8F5B5}" type="presParOf" srcId="{B3599B20-43D8-4F53-910E-87C7325FD337}" destId="{77457527-1220-4D7F-9D68-00957507EB59}" srcOrd="1" destOrd="0" presId="urn:microsoft.com/office/officeart/2005/8/layout/hList1"/>
    <dgm:cxn modelId="{75C67632-2244-40F7-90DF-6224E1E7E0D1}" type="presParOf" srcId="{D9308B95-EA46-4824-B64F-699341C5FEBB}" destId="{15DC1FD7-0D68-4CE2-91D0-47926AEBD6DB}" srcOrd="5" destOrd="0" presId="urn:microsoft.com/office/officeart/2005/8/layout/hList1"/>
    <dgm:cxn modelId="{571CA656-E9D4-4D02-A370-A3408BDF747B}" type="presParOf" srcId="{D9308B95-EA46-4824-B64F-699341C5FEBB}" destId="{9A12BB2F-8CD7-439E-AFA2-E7569D0B0B4A}" srcOrd="6" destOrd="0" presId="urn:microsoft.com/office/officeart/2005/8/layout/hList1"/>
    <dgm:cxn modelId="{E0C9D689-B332-41E4-857D-CE8C62771A86}" type="presParOf" srcId="{9A12BB2F-8CD7-439E-AFA2-E7569D0B0B4A}" destId="{B3E409B5-439A-49D9-B75E-0E3D57C15EC7}" srcOrd="0" destOrd="0" presId="urn:microsoft.com/office/officeart/2005/8/layout/hList1"/>
    <dgm:cxn modelId="{B281F1E5-40AA-46AC-B0E8-8A2331F97BF7}" type="presParOf" srcId="{9A12BB2F-8CD7-439E-AFA2-E7569D0B0B4A}" destId="{8F4CDC00-B521-4044-B938-8A7935D8D088}" srcOrd="1" destOrd="0" presId="urn:microsoft.com/office/officeart/2005/8/layout/hList1"/>
    <dgm:cxn modelId="{ABB7CCA8-80C6-45A2-92D4-90E38225AF47}" type="presParOf" srcId="{D9308B95-EA46-4824-B64F-699341C5FEBB}" destId="{5665C7D2-BB47-4556-B3C5-0C10776F7E68}" srcOrd="7" destOrd="0" presId="urn:microsoft.com/office/officeart/2005/8/layout/hList1"/>
    <dgm:cxn modelId="{E5765413-5FC9-4633-B65F-7DB7DBFC5DDC}" type="presParOf" srcId="{D9308B95-EA46-4824-B64F-699341C5FEBB}" destId="{63982FFF-9DBE-41F4-9A6C-1E9CDCEA005B}" srcOrd="8" destOrd="0" presId="urn:microsoft.com/office/officeart/2005/8/layout/hList1"/>
    <dgm:cxn modelId="{3DB89035-FBFF-4474-BCBE-265530B5A6F5}" type="presParOf" srcId="{63982FFF-9DBE-41F4-9A6C-1E9CDCEA005B}" destId="{4859C821-2EEB-493D-8190-B29F585CACBE}" srcOrd="0" destOrd="0" presId="urn:microsoft.com/office/officeart/2005/8/layout/hList1"/>
    <dgm:cxn modelId="{8A243396-8DBE-495F-BD72-77A79FAC56C3}" type="presParOf" srcId="{63982FFF-9DBE-41F4-9A6C-1E9CDCEA005B}" destId="{72EB8C13-457C-46F2-8D32-BBDF79EF4FAC}" srcOrd="1" destOrd="0" presId="urn:microsoft.com/office/officeart/2005/8/layout/hList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619E802-115A-49B6-9B8F-250156F8DF51}" type="doc">
      <dgm:prSet loTypeId="urn:microsoft.com/office/officeart/2009/3/layout/HorizontalOrganizationChart" loCatId="hierarchy" qsTypeId="urn:microsoft.com/office/officeart/2005/8/quickstyle/simple1" qsCatId="simple" csTypeId="urn:microsoft.com/office/officeart/2005/8/colors/accent1_4" csCatId="accent1" phldr="1"/>
      <dgm:spPr/>
      <dgm:t>
        <a:bodyPr/>
        <a:lstStyle/>
        <a:p>
          <a:endParaRPr lang="en-AU"/>
        </a:p>
      </dgm:t>
    </dgm:pt>
    <dgm:pt modelId="{96512245-191A-4AB4-80C2-B43C8A1EFF45}">
      <dgm:prSet phldrT="[Text]" custT="1"/>
      <dgm:spPr>
        <a:xfrm>
          <a:off x="1320342" y="1591852"/>
          <a:ext cx="1229637" cy="614818"/>
        </a:xfrm>
        <a:solidFill>
          <a:srgbClr val="599DB9"/>
        </a:solidFill>
      </dgm:spPr>
      <dgm:t>
        <a:bodyPr/>
        <a:lstStyle/>
        <a:p>
          <a:pPr>
            <a:buNone/>
          </a:pPr>
          <a:r>
            <a:rPr lang="en-AU" sz="600" dirty="0">
              <a:solidFill>
                <a:srgbClr val="0D0D0D"/>
              </a:solidFill>
              <a:latin typeface="+mj-lt"/>
              <a:ea typeface="+mn-ea"/>
              <a:cs typeface="+mn-cs"/>
            </a:rPr>
            <a:t>Improved deterrence from </a:t>
          </a:r>
          <a:br>
            <a:rPr lang="en-AU" sz="600" dirty="0">
              <a:solidFill>
                <a:srgbClr val="0D0D0D"/>
              </a:solidFill>
              <a:latin typeface="+mj-lt"/>
              <a:ea typeface="+mn-ea"/>
              <a:cs typeface="+mn-cs"/>
            </a:rPr>
          </a:br>
          <a:r>
            <a:rPr lang="en-AU" sz="600" dirty="0">
              <a:solidFill>
                <a:srgbClr val="0D0D0D"/>
              </a:solidFill>
              <a:latin typeface="+mj-lt"/>
              <a:ea typeface="+mn-ea"/>
              <a:cs typeface="+mn-cs"/>
            </a:rPr>
            <a:t>non-compliant behaviours</a:t>
          </a:r>
          <a:endParaRPr lang="en-AU" sz="600">
            <a:solidFill>
              <a:srgbClr val="0D0D0D"/>
            </a:solidFill>
            <a:latin typeface="+mj-lt"/>
          </a:endParaRPr>
        </a:p>
      </dgm:t>
    </dgm:pt>
    <dgm:pt modelId="{A530B6E7-95F2-43F0-AB71-AA63C1D19B7B}" type="parTrans" cxnId="{B0AF9EEA-8BD1-4A8B-B7A8-54A0396CD903}">
      <dgm:prSet/>
      <dgm:spPr/>
      <dgm:t>
        <a:bodyPr/>
        <a:lstStyle/>
        <a:p>
          <a:endParaRPr lang="en-AU" sz="600">
            <a:solidFill>
              <a:schemeClr val="tx1">
                <a:lumMod val="95000"/>
                <a:lumOff val="5000"/>
              </a:schemeClr>
            </a:solidFill>
            <a:latin typeface="+mj-lt"/>
          </a:endParaRPr>
        </a:p>
      </dgm:t>
    </dgm:pt>
    <dgm:pt modelId="{1459F52D-94D1-496C-AD37-9200CE6B6A1F}" type="sibTrans" cxnId="{B0AF9EEA-8BD1-4A8B-B7A8-54A0396CD903}">
      <dgm:prSet/>
      <dgm:spPr/>
      <dgm:t>
        <a:bodyPr/>
        <a:lstStyle/>
        <a:p>
          <a:endParaRPr lang="en-AU" sz="600">
            <a:solidFill>
              <a:schemeClr val="tx1">
                <a:lumMod val="95000"/>
                <a:lumOff val="5000"/>
              </a:schemeClr>
            </a:solidFill>
            <a:latin typeface="+mj-lt"/>
          </a:endParaRPr>
        </a:p>
      </dgm:t>
    </dgm:pt>
    <dgm:pt modelId="{341F429F-E337-4931-AEF4-588ADC4448CE}">
      <dgm:prSet phldrT="[Text]" custT="1"/>
      <dgm:spPr>
        <a:xfrm>
          <a:off x="3041834" y="354530"/>
          <a:ext cx="1229637" cy="614818"/>
        </a:xfrm>
        <a:solidFill>
          <a:srgbClr val="66B2D2"/>
        </a:solidFill>
      </dgm:spPr>
      <dgm:t>
        <a:bodyPr/>
        <a:lstStyle/>
        <a:p>
          <a:pPr>
            <a:buNone/>
          </a:pPr>
          <a:r>
            <a:rPr lang="en-AU" sz="600">
              <a:solidFill>
                <a:schemeClr val="tx1">
                  <a:lumMod val="95000"/>
                  <a:lumOff val="5000"/>
                </a:schemeClr>
              </a:solidFill>
              <a:latin typeface="+mj-lt"/>
              <a:ea typeface="+mn-ea"/>
              <a:cs typeface="+mn-cs"/>
            </a:rPr>
            <a:t>Threat of detection</a:t>
          </a:r>
        </a:p>
      </dgm:t>
    </dgm:pt>
    <dgm:pt modelId="{6A612C92-E2B4-4AC7-851A-51C1BA24E5F8}" type="parTrans" cxnId="{53EA9889-EF24-4FE1-8AC6-D1E7F4AD835E}">
      <dgm:prSet/>
      <dgm:spPr/>
      <dgm:t>
        <a:bodyPr/>
        <a:lstStyle/>
        <a:p>
          <a:endParaRPr lang="en-AU" sz="600">
            <a:solidFill>
              <a:schemeClr val="tx1">
                <a:lumMod val="95000"/>
                <a:lumOff val="5000"/>
              </a:schemeClr>
            </a:solidFill>
            <a:latin typeface="+mj-lt"/>
          </a:endParaRPr>
        </a:p>
      </dgm:t>
    </dgm:pt>
    <dgm:pt modelId="{8640039E-F047-4C19-B62F-07629ED84CCB}" type="sibTrans" cxnId="{53EA9889-EF24-4FE1-8AC6-D1E7F4AD835E}">
      <dgm:prSet/>
      <dgm:spPr/>
      <dgm:t>
        <a:bodyPr/>
        <a:lstStyle/>
        <a:p>
          <a:endParaRPr lang="en-AU" sz="600">
            <a:solidFill>
              <a:schemeClr val="tx1">
                <a:lumMod val="95000"/>
                <a:lumOff val="5000"/>
              </a:schemeClr>
            </a:solidFill>
            <a:latin typeface="+mj-lt"/>
          </a:endParaRPr>
        </a:p>
      </dgm:t>
    </dgm:pt>
    <dgm:pt modelId="{A0DB29AD-98E2-46FF-B5D8-749E0644B6A4}">
      <dgm:prSet phldr="0" custT="1"/>
      <dgm:spPr>
        <a:xfrm>
          <a:off x="4763327" y="1009"/>
          <a:ext cx="1229637" cy="614818"/>
        </a:xfrm>
        <a:solidFill>
          <a:srgbClr val="74C6E8"/>
        </a:solidFill>
      </dgm:spPr>
      <dgm:t>
        <a:bodyPr/>
        <a:lstStyle/>
        <a:p>
          <a:pPr rtl="0">
            <a:buNone/>
          </a:pPr>
          <a:r>
            <a:rPr lang="en-AU" sz="600">
              <a:solidFill>
                <a:schemeClr val="tx1">
                  <a:lumMod val="95000"/>
                  <a:lumOff val="5000"/>
                </a:schemeClr>
              </a:solidFill>
              <a:latin typeface="+mj-lt"/>
              <a:ea typeface="+mn-ea"/>
              <a:cs typeface="+mn-cs"/>
            </a:rPr>
            <a:t>Compliance monitoring and targeting</a:t>
          </a:r>
        </a:p>
      </dgm:t>
    </dgm:pt>
    <dgm:pt modelId="{6CC4866A-B5E4-40AA-AD6B-31D819302E65}" type="parTrans" cxnId="{C0713341-715D-422F-814B-09078E6C414A}">
      <dgm:prSet/>
      <dgm:spPr/>
      <dgm:t>
        <a:bodyPr/>
        <a:lstStyle/>
        <a:p>
          <a:endParaRPr lang="en-AU" sz="600">
            <a:solidFill>
              <a:schemeClr val="tx1">
                <a:lumMod val="95000"/>
                <a:lumOff val="5000"/>
              </a:schemeClr>
            </a:solidFill>
            <a:latin typeface="+mj-lt"/>
          </a:endParaRPr>
        </a:p>
      </dgm:t>
    </dgm:pt>
    <dgm:pt modelId="{9FEAD973-C797-4688-8BAB-C7502C8B02E0}" type="sibTrans" cxnId="{C0713341-715D-422F-814B-09078E6C414A}">
      <dgm:prSet/>
      <dgm:spPr/>
      <dgm:t>
        <a:bodyPr/>
        <a:lstStyle/>
        <a:p>
          <a:endParaRPr lang="en-AU" sz="600">
            <a:solidFill>
              <a:schemeClr val="tx1">
                <a:lumMod val="95000"/>
                <a:lumOff val="5000"/>
              </a:schemeClr>
            </a:solidFill>
            <a:latin typeface="+mj-lt"/>
          </a:endParaRPr>
        </a:p>
      </dgm:t>
    </dgm:pt>
    <dgm:pt modelId="{287CC2DC-8F54-44D3-A354-FC136487FDB1}">
      <dgm:prSet phldr="0" custT="1"/>
      <dgm:spPr>
        <a:xfrm>
          <a:off x="4763327" y="1009"/>
          <a:ext cx="1229637" cy="614818"/>
        </a:xfrm>
        <a:solidFill>
          <a:srgbClr val="ADD9EF"/>
        </a:solidFill>
      </dgm:spPr>
      <dgm:t>
        <a:bodyPr/>
        <a:lstStyle/>
        <a:p>
          <a:pPr rtl="0">
            <a:buNone/>
          </a:pPr>
          <a:r>
            <a:rPr lang="en-AU" sz="600">
              <a:solidFill>
                <a:schemeClr val="tx1">
                  <a:lumMod val="95000"/>
                  <a:lumOff val="5000"/>
                </a:schemeClr>
              </a:solidFill>
              <a:latin typeface="+mj-lt"/>
              <a:ea typeface="+mn-ea"/>
              <a:cs typeface="+mn-cs"/>
            </a:rPr>
            <a:t>Number of inspections, detection rates</a:t>
          </a:r>
        </a:p>
      </dgm:t>
    </dgm:pt>
    <dgm:pt modelId="{1E17B06F-6B1F-4F26-93E5-C975958C3FC5}" type="parTrans" cxnId="{02569580-9A54-4EB9-A952-4411B394E28C}">
      <dgm:prSet/>
      <dgm:spPr/>
      <dgm:t>
        <a:bodyPr/>
        <a:lstStyle/>
        <a:p>
          <a:endParaRPr lang="en-AU" sz="600">
            <a:solidFill>
              <a:schemeClr val="tx1">
                <a:lumMod val="95000"/>
                <a:lumOff val="5000"/>
              </a:schemeClr>
            </a:solidFill>
            <a:latin typeface="+mj-lt"/>
          </a:endParaRPr>
        </a:p>
      </dgm:t>
    </dgm:pt>
    <dgm:pt modelId="{3458EBA9-70C4-4017-A534-B4921AE8CA28}" type="sibTrans" cxnId="{02569580-9A54-4EB9-A952-4411B394E28C}">
      <dgm:prSet/>
      <dgm:spPr/>
      <dgm:t>
        <a:bodyPr/>
        <a:lstStyle/>
        <a:p>
          <a:endParaRPr lang="en-AU" sz="600">
            <a:solidFill>
              <a:schemeClr val="tx1">
                <a:lumMod val="95000"/>
                <a:lumOff val="5000"/>
              </a:schemeClr>
            </a:solidFill>
            <a:latin typeface="+mj-lt"/>
          </a:endParaRPr>
        </a:p>
      </dgm:t>
    </dgm:pt>
    <dgm:pt modelId="{EA92FF32-E715-4195-8D9F-76126D4F3FD8}">
      <dgm:prSet phldr="0" custT="1"/>
      <dgm:spPr>
        <a:xfrm>
          <a:off x="4763327" y="1009"/>
          <a:ext cx="1229637" cy="614818"/>
        </a:xfrm>
      </dgm:spPr>
      <dgm:t>
        <a:bodyPr/>
        <a:lstStyle/>
        <a:p>
          <a:pPr rtl="0">
            <a:buNone/>
          </a:pPr>
          <a:r>
            <a:rPr lang="en-AU" sz="600">
              <a:solidFill>
                <a:schemeClr val="tx1">
                  <a:lumMod val="95000"/>
                  <a:lumOff val="5000"/>
                </a:schemeClr>
              </a:solidFill>
              <a:latin typeface="+mj-lt"/>
              <a:ea typeface="+mn-ea"/>
              <a:cs typeface="+mn-cs"/>
            </a:rPr>
            <a:t>Social research (perceptions)</a:t>
          </a:r>
        </a:p>
      </dgm:t>
    </dgm:pt>
    <dgm:pt modelId="{673D0FD6-82D9-49D4-9F05-4EA7628FF9EA}" type="parTrans" cxnId="{BF1D6DBF-CCC1-4DBA-95C5-23AAB303E2E0}">
      <dgm:prSet/>
      <dgm:spPr/>
      <dgm:t>
        <a:bodyPr/>
        <a:lstStyle/>
        <a:p>
          <a:endParaRPr lang="en-AU" sz="600">
            <a:solidFill>
              <a:schemeClr val="tx1">
                <a:lumMod val="95000"/>
                <a:lumOff val="5000"/>
              </a:schemeClr>
            </a:solidFill>
            <a:latin typeface="+mj-lt"/>
          </a:endParaRPr>
        </a:p>
      </dgm:t>
    </dgm:pt>
    <dgm:pt modelId="{D3170E04-826E-4D38-AEA3-CB45EE99CF65}" type="sibTrans" cxnId="{BF1D6DBF-CCC1-4DBA-95C5-23AAB303E2E0}">
      <dgm:prSet/>
      <dgm:spPr/>
      <dgm:t>
        <a:bodyPr/>
        <a:lstStyle/>
        <a:p>
          <a:endParaRPr lang="en-AU" sz="600">
            <a:solidFill>
              <a:schemeClr val="tx1">
                <a:lumMod val="95000"/>
                <a:lumOff val="5000"/>
              </a:schemeClr>
            </a:solidFill>
            <a:latin typeface="+mj-lt"/>
          </a:endParaRPr>
        </a:p>
      </dgm:t>
    </dgm:pt>
    <dgm:pt modelId="{E0E13126-F2AD-4100-B5EC-0D74FE00993E}">
      <dgm:prSet phldr="0" custT="1"/>
      <dgm:spPr>
        <a:xfrm>
          <a:off x="4763327" y="708050"/>
          <a:ext cx="1229637" cy="614818"/>
        </a:xfrm>
      </dgm:spPr>
      <dgm:t>
        <a:bodyPr/>
        <a:lstStyle/>
        <a:p>
          <a:pPr rtl="0">
            <a:buNone/>
          </a:pPr>
          <a:r>
            <a:rPr lang="en-AU" sz="600" dirty="0">
              <a:solidFill>
                <a:schemeClr val="tx1">
                  <a:lumMod val="95000"/>
                  <a:lumOff val="5000"/>
                </a:schemeClr>
              </a:solidFill>
              <a:latin typeface="+mj-lt"/>
              <a:ea typeface="+mn-ea"/>
              <a:cs typeface="+mn-cs"/>
            </a:rPr>
            <a:t>Communications about compliance monitoring</a:t>
          </a:r>
        </a:p>
      </dgm:t>
    </dgm:pt>
    <dgm:pt modelId="{A0D1AC9E-ED41-4A27-BC3B-97E0734539B5}" type="parTrans" cxnId="{A0EB9B8D-EE34-49CC-B016-F889971462FE}">
      <dgm:prSet/>
      <dgm:spPr/>
      <dgm:t>
        <a:bodyPr/>
        <a:lstStyle/>
        <a:p>
          <a:endParaRPr lang="en-AU" sz="600">
            <a:solidFill>
              <a:schemeClr val="tx1">
                <a:lumMod val="95000"/>
                <a:lumOff val="5000"/>
              </a:schemeClr>
            </a:solidFill>
            <a:latin typeface="+mj-lt"/>
          </a:endParaRPr>
        </a:p>
      </dgm:t>
    </dgm:pt>
    <dgm:pt modelId="{F32D401E-46FB-4916-B9B1-1C650FA899EA}" type="sibTrans" cxnId="{A0EB9B8D-EE34-49CC-B016-F889971462FE}">
      <dgm:prSet/>
      <dgm:spPr/>
      <dgm:t>
        <a:bodyPr/>
        <a:lstStyle/>
        <a:p>
          <a:endParaRPr lang="en-AU" sz="600">
            <a:solidFill>
              <a:schemeClr val="tx1">
                <a:lumMod val="95000"/>
                <a:lumOff val="5000"/>
              </a:schemeClr>
            </a:solidFill>
            <a:latin typeface="+mj-lt"/>
          </a:endParaRPr>
        </a:p>
      </dgm:t>
    </dgm:pt>
    <dgm:pt modelId="{31AAC110-D086-422D-9E99-96B84E54EE86}">
      <dgm:prSet phldr="0" custT="1"/>
      <dgm:spPr>
        <a:xfrm>
          <a:off x="4763327" y="708050"/>
          <a:ext cx="1229637" cy="614818"/>
        </a:xfrm>
      </dgm:spPr>
      <dgm:t>
        <a:bodyPr/>
        <a:lstStyle/>
        <a:p>
          <a:pPr rtl="0">
            <a:buNone/>
          </a:pPr>
          <a:r>
            <a:rPr lang="en-AU" sz="600" dirty="0">
              <a:solidFill>
                <a:schemeClr val="tx1">
                  <a:lumMod val="95000"/>
                  <a:lumOff val="5000"/>
                </a:schemeClr>
              </a:solidFill>
              <a:latin typeface="+mj-lt"/>
              <a:ea typeface="+mn-ea"/>
              <a:cs typeface="+mn-cs"/>
            </a:rPr>
            <a:t>Media, social media, and industry engagement </a:t>
          </a:r>
        </a:p>
      </dgm:t>
    </dgm:pt>
    <dgm:pt modelId="{25FC0E55-5971-428F-9FC8-5122CAA6ABB2}" type="parTrans" cxnId="{F4D69912-A0E0-4045-99D5-B9F5B50827BC}">
      <dgm:prSet/>
      <dgm:spPr/>
      <dgm:t>
        <a:bodyPr/>
        <a:lstStyle/>
        <a:p>
          <a:endParaRPr lang="en-AU" sz="600">
            <a:solidFill>
              <a:schemeClr val="tx1">
                <a:lumMod val="95000"/>
                <a:lumOff val="5000"/>
              </a:schemeClr>
            </a:solidFill>
            <a:latin typeface="+mj-lt"/>
          </a:endParaRPr>
        </a:p>
      </dgm:t>
    </dgm:pt>
    <dgm:pt modelId="{700CF0AB-626A-474A-A96C-FC383FA6F05D}" type="sibTrans" cxnId="{F4D69912-A0E0-4045-99D5-B9F5B50827BC}">
      <dgm:prSet/>
      <dgm:spPr/>
      <dgm:t>
        <a:bodyPr/>
        <a:lstStyle/>
        <a:p>
          <a:endParaRPr lang="en-AU" sz="600">
            <a:solidFill>
              <a:schemeClr val="tx1">
                <a:lumMod val="95000"/>
                <a:lumOff val="5000"/>
              </a:schemeClr>
            </a:solidFill>
            <a:latin typeface="+mj-lt"/>
          </a:endParaRPr>
        </a:p>
      </dgm:t>
    </dgm:pt>
    <dgm:pt modelId="{A9D66D76-8882-4335-83BE-B0C515F2C160}">
      <dgm:prSet phldrT="[Text]" custT="1"/>
      <dgm:spPr>
        <a:xfrm>
          <a:off x="3041834" y="1768612"/>
          <a:ext cx="1229637" cy="614818"/>
        </a:xfrm>
      </dgm:spPr>
      <dgm:t>
        <a:bodyPr/>
        <a:lstStyle/>
        <a:p>
          <a:pPr>
            <a:buNone/>
          </a:pPr>
          <a:r>
            <a:rPr lang="en-AU" sz="600">
              <a:solidFill>
                <a:schemeClr val="tx1">
                  <a:lumMod val="95000"/>
                  <a:lumOff val="5000"/>
                </a:schemeClr>
              </a:solidFill>
              <a:latin typeface="+mj-lt"/>
              <a:ea typeface="+mn-ea"/>
              <a:cs typeface="+mn-cs"/>
            </a:rPr>
            <a:t>Certainty of proportionate consequences</a:t>
          </a:r>
        </a:p>
      </dgm:t>
    </dgm:pt>
    <dgm:pt modelId="{D0D0B9AA-1C13-4C77-B437-0EC3283D2FC5}" type="parTrans" cxnId="{D636410E-C1EC-487D-BF1C-819AF0D426F3}">
      <dgm:prSet/>
      <dgm:spPr/>
      <dgm:t>
        <a:bodyPr/>
        <a:lstStyle/>
        <a:p>
          <a:endParaRPr lang="en-AU" sz="600">
            <a:solidFill>
              <a:schemeClr val="tx1">
                <a:lumMod val="95000"/>
                <a:lumOff val="5000"/>
              </a:schemeClr>
            </a:solidFill>
            <a:latin typeface="+mj-lt"/>
          </a:endParaRPr>
        </a:p>
      </dgm:t>
    </dgm:pt>
    <dgm:pt modelId="{3417C49B-CC8C-407A-B629-F32403DEA0E8}" type="sibTrans" cxnId="{D636410E-C1EC-487D-BF1C-819AF0D426F3}">
      <dgm:prSet/>
      <dgm:spPr/>
      <dgm:t>
        <a:bodyPr/>
        <a:lstStyle/>
        <a:p>
          <a:endParaRPr lang="en-AU" sz="600">
            <a:solidFill>
              <a:schemeClr val="tx1">
                <a:lumMod val="95000"/>
                <a:lumOff val="5000"/>
              </a:schemeClr>
            </a:solidFill>
            <a:latin typeface="+mj-lt"/>
          </a:endParaRPr>
        </a:p>
      </dgm:t>
    </dgm:pt>
    <dgm:pt modelId="{B33E14AE-CBB9-4AB4-BCA0-984CD5958CE1}">
      <dgm:prSet phldr="0" custT="1"/>
      <dgm:spPr>
        <a:xfrm>
          <a:off x="4763327" y="1415092"/>
          <a:ext cx="1229637" cy="614818"/>
        </a:xfrm>
      </dgm:spPr>
      <dgm:t>
        <a:bodyPr/>
        <a:lstStyle/>
        <a:p>
          <a:pPr rtl="0">
            <a:buNone/>
          </a:pPr>
          <a:r>
            <a:rPr lang="en-AU" sz="600">
              <a:solidFill>
                <a:schemeClr val="tx1">
                  <a:lumMod val="95000"/>
                  <a:lumOff val="5000"/>
                </a:schemeClr>
              </a:solidFill>
              <a:latin typeface="+mj-lt"/>
              <a:ea typeface="+mn-ea"/>
              <a:cs typeface="+mn-cs"/>
            </a:rPr>
            <a:t>Enforcement responses (remedial and sanctioning)</a:t>
          </a:r>
        </a:p>
      </dgm:t>
    </dgm:pt>
    <dgm:pt modelId="{6396E920-40C6-40D0-A001-D93921518672}" type="parTrans" cxnId="{C496E129-74CA-46C9-89DF-F703F16C022D}">
      <dgm:prSet/>
      <dgm:spPr/>
      <dgm:t>
        <a:bodyPr/>
        <a:lstStyle/>
        <a:p>
          <a:endParaRPr lang="en-AU" sz="600">
            <a:solidFill>
              <a:schemeClr val="tx1">
                <a:lumMod val="95000"/>
                <a:lumOff val="5000"/>
              </a:schemeClr>
            </a:solidFill>
            <a:latin typeface="+mj-lt"/>
          </a:endParaRPr>
        </a:p>
      </dgm:t>
    </dgm:pt>
    <dgm:pt modelId="{0457113A-5EF5-4B6B-BD3E-8010823DD539}" type="sibTrans" cxnId="{C496E129-74CA-46C9-89DF-F703F16C022D}">
      <dgm:prSet/>
      <dgm:spPr/>
      <dgm:t>
        <a:bodyPr/>
        <a:lstStyle/>
        <a:p>
          <a:endParaRPr lang="en-AU" sz="600">
            <a:solidFill>
              <a:schemeClr val="tx1">
                <a:lumMod val="95000"/>
                <a:lumOff val="5000"/>
              </a:schemeClr>
            </a:solidFill>
            <a:latin typeface="+mj-lt"/>
          </a:endParaRPr>
        </a:p>
      </dgm:t>
    </dgm:pt>
    <dgm:pt modelId="{16E727E6-DE95-4602-8005-195C98D3CE2A}">
      <dgm:prSet phldr="0" custT="1"/>
      <dgm:spPr>
        <a:xfrm>
          <a:off x="4763327" y="1415092"/>
          <a:ext cx="1229637" cy="614818"/>
        </a:xfrm>
      </dgm:spPr>
      <dgm:t>
        <a:bodyPr/>
        <a:lstStyle/>
        <a:p>
          <a:pPr rtl="0">
            <a:buNone/>
          </a:pPr>
          <a:r>
            <a:rPr lang="en-AU" sz="600">
              <a:solidFill>
                <a:schemeClr val="tx1">
                  <a:lumMod val="95000"/>
                  <a:lumOff val="5000"/>
                </a:schemeClr>
              </a:solidFill>
              <a:latin typeface="+mj-lt"/>
              <a:ea typeface="+mn-ea"/>
              <a:cs typeface="+mn-cs"/>
            </a:rPr>
            <a:t>Escalation rates, recidivism rates</a:t>
          </a:r>
        </a:p>
      </dgm:t>
    </dgm:pt>
    <dgm:pt modelId="{60AC7DCE-BD56-46CE-A214-5B7D8B8D69A6}" type="parTrans" cxnId="{DAE81712-E9C6-4222-8939-93582D2FC48F}">
      <dgm:prSet/>
      <dgm:spPr/>
      <dgm:t>
        <a:bodyPr/>
        <a:lstStyle/>
        <a:p>
          <a:endParaRPr lang="en-AU" sz="600">
            <a:solidFill>
              <a:schemeClr val="tx1">
                <a:lumMod val="95000"/>
                <a:lumOff val="5000"/>
              </a:schemeClr>
            </a:solidFill>
            <a:latin typeface="+mj-lt"/>
          </a:endParaRPr>
        </a:p>
      </dgm:t>
    </dgm:pt>
    <dgm:pt modelId="{EB2ADE20-0F1F-4927-995E-9FED87D1DAAC}" type="sibTrans" cxnId="{DAE81712-E9C6-4222-8939-93582D2FC48F}">
      <dgm:prSet/>
      <dgm:spPr/>
      <dgm:t>
        <a:bodyPr/>
        <a:lstStyle/>
        <a:p>
          <a:endParaRPr lang="en-AU" sz="600">
            <a:solidFill>
              <a:schemeClr val="tx1">
                <a:lumMod val="95000"/>
                <a:lumOff val="5000"/>
              </a:schemeClr>
            </a:solidFill>
            <a:latin typeface="+mj-lt"/>
          </a:endParaRPr>
        </a:p>
      </dgm:t>
    </dgm:pt>
    <dgm:pt modelId="{33FD607A-3F6B-4431-AB8C-7804DF548A46}">
      <dgm:prSet phldr="0" custT="1"/>
      <dgm:spPr>
        <a:xfrm>
          <a:off x="4763327" y="1415092"/>
          <a:ext cx="1229637" cy="614818"/>
        </a:xfrm>
      </dgm:spPr>
      <dgm:t>
        <a:bodyPr/>
        <a:lstStyle/>
        <a:p>
          <a:pPr rtl="0">
            <a:buNone/>
          </a:pPr>
          <a:r>
            <a:rPr lang="en-AU" sz="600">
              <a:solidFill>
                <a:schemeClr val="tx1">
                  <a:lumMod val="95000"/>
                  <a:lumOff val="5000"/>
                </a:schemeClr>
              </a:solidFill>
              <a:latin typeface="+mj-lt"/>
              <a:ea typeface="+mn-ea"/>
              <a:cs typeface="+mn-cs"/>
            </a:rPr>
            <a:t>Social research (perceptions)</a:t>
          </a:r>
        </a:p>
      </dgm:t>
    </dgm:pt>
    <dgm:pt modelId="{E38D6C0D-98CA-42A3-9AC3-BFCC76820B55}" type="parTrans" cxnId="{6540BDBA-4288-4567-820F-61DF1BB2528F}">
      <dgm:prSet/>
      <dgm:spPr/>
      <dgm:t>
        <a:bodyPr/>
        <a:lstStyle/>
        <a:p>
          <a:endParaRPr lang="en-AU" sz="600">
            <a:solidFill>
              <a:schemeClr val="tx1">
                <a:lumMod val="95000"/>
                <a:lumOff val="5000"/>
              </a:schemeClr>
            </a:solidFill>
            <a:latin typeface="+mj-lt"/>
          </a:endParaRPr>
        </a:p>
      </dgm:t>
    </dgm:pt>
    <dgm:pt modelId="{3B6F68B9-88B8-4648-80C3-B74B90BF21E4}" type="sibTrans" cxnId="{6540BDBA-4288-4567-820F-61DF1BB2528F}">
      <dgm:prSet/>
      <dgm:spPr/>
      <dgm:t>
        <a:bodyPr/>
        <a:lstStyle/>
        <a:p>
          <a:endParaRPr lang="en-AU" sz="600">
            <a:solidFill>
              <a:schemeClr val="tx1">
                <a:lumMod val="95000"/>
                <a:lumOff val="5000"/>
              </a:schemeClr>
            </a:solidFill>
            <a:latin typeface="+mj-lt"/>
          </a:endParaRPr>
        </a:p>
      </dgm:t>
    </dgm:pt>
    <dgm:pt modelId="{3AF68169-B933-469A-9E74-AB90C709D88A}">
      <dgm:prSet phldr="0" custT="1"/>
      <dgm:spPr>
        <a:xfrm>
          <a:off x="4763327" y="2122133"/>
          <a:ext cx="1229637" cy="614818"/>
        </a:xfrm>
      </dgm:spPr>
      <dgm:t>
        <a:bodyPr/>
        <a:lstStyle/>
        <a:p>
          <a:pPr rtl="0">
            <a:buNone/>
          </a:pPr>
          <a:r>
            <a:rPr lang="en-AU" sz="600">
              <a:solidFill>
                <a:schemeClr val="tx1">
                  <a:lumMod val="95000"/>
                  <a:lumOff val="5000"/>
                </a:schemeClr>
              </a:solidFill>
              <a:latin typeface="+mj-lt"/>
              <a:ea typeface="+mn-ea"/>
              <a:cs typeface="+mn-cs"/>
            </a:rPr>
            <a:t>Publicising outomces</a:t>
          </a:r>
        </a:p>
      </dgm:t>
    </dgm:pt>
    <dgm:pt modelId="{44C60FF3-844E-4E0F-9D6E-F3B902CB3D97}" type="parTrans" cxnId="{EDF79CC3-2910-4575-9B2A-A4157FBC2D98}">
      <dgm:prSet/>
      <dgm:spPr/>
      <dgm:t>
        <a:bodyPr/>
        <a:lstStyle/>
        <a:p>
          <a:endParaRPr lang="en-AU" sz="600">
            <a:solidFill>
              <a:schemeClr val="tx1">
                <a:lumMod val="95000"/>
                <a:lumOff val="5000"/>
              </a:schemeClr>
            </a:solidFill>
            <a:latin typeface="+mj-lt"/>
          </a:endParaRPr>
        </a:p>
      </dgm:t>
    </dgm:pt>
    <dgm:pt modelId="{87135BC5-5C67-4BDE-9B6B-C3C6C8F50780}" type="sibTrans" cxnId="{EDF79CC3-2910-4575-9B2A-A4157FBC2D98}">
      <dgm:prSet/>
      <dgm:spPr/>
      <dgm:t>
        <a:bodyPr/>
        <a:lstStyle/>
        <a:p>
          <a:endParaRPr lang="en-AU" sz="600">
            <a:solidFill>
              <a:schemeClr val="tx1">
                <a:lumMod val="95000"/>
                <a:lumOff val="5000"/>
              </a:schemeClr>
            </a:solidFill>
            <a:latin typeface="+mj-lt"/>
          </a:endParaRPr>
        </a:p>
      </dgm:t>
    </dgm:pt>
    <dgm:pt modelId="{C7CDFB0F-19F5-4504-AC46-C472E78287F8}">
      <dgm:prSet phldr="0" custT="1"/>
      <dgm:spPr>
        <a:xfrm>
          <a:off x="4763327" y="2122133"/>
          <a:ext cx="1229637" cy="614818"/>
        </a:xfrm>
      </dgm:spPr>
      <dgm:t>
        <a:bodyPr/>
        <a:lstStyle/>
        <a:p>
          <a:pPr rtl="0">
            <a:buNone/>
          </a:pPr>
          <a:r>
            <a:rPr lang="en-AU" sz="600">
              <a:solidFill>
                <a:schemeClr val="tx1">
                  <a:lumMod val="95000"/>
                  <a:lumOff val="5000"/>
                </a:schemeClr>
              </a:solidFill>
              <a:latin typeface="+mj-lt"/>
              <a:ea typeface="+mn-ea"/>
              <a:cs typeface="+mn-cs"/>
            </a:rPr>
            <a:t>Media, social media, and industry engagement</a:t>
          </a:r>
        </a:p>
      </dgm:t>
    </dgm:pt>
    <dgm:pt modelId="{6EC214D0-4055-4A1B-9F44-61386971E021}" type="parTrans" cxnId="{0365FFB9-C563-4EF6-863D-78AEB8D6CE8B}">
      <dgm:prSet/>
      <dgm:spPr/>
      <dgm:t>
        <a:bodyPr/>
        <a:lstStyle/>
        <a:p>
          <a:endParaRPr lang="en-AU" sz="600">
            <a:solidFill>
              <a:schemeClr val="tx1">
                <a:lumMod val="95000"/>
                <a:lumOff val="5000"/>
              </a:schemeClr>
            </a:solidFill>
            <a:latin typeface="+mj-lt"/>
          </a:endParaRPr>
        </a:p>
      </dgm:t>
    </dgm:pt>
    <dgm:pt modelId="{C85E107D-8C87-4D1A-B735-64F409C9A8DC}" type="sibTrans" cxnId="{0365FFB9-C563-4EF6-863D-78AEB8D6CE8B}">
      <dgm:prSet/>
      <dgm:spPr/>
      <dgm:t>
        <a:bodyPr/>
        <a:lstStyle/>
        <a:p>
          <a:endParaRPr lang="en-AU" sz="600">
            <a:solidFill>
              <a:schemeClr val="tx1">
                <a:lumMod val="95000"/>
                <a:lumOff val="5000"/>
              </a:schemeClr>
            </a:solidFill>
            <a:latin typeface="+mj-lt"/>
          </a:endParaRPr>
        </a:p>
      </dgm:t>
    </dgm:pt>
    <dgm:pt modelId="{C07BA96C-0E7C-481B-8061-0F7AA55AD19E}">
      <dgm:prSet phldrT="[Text]" custT="1"/>
      <dgm:spPr>
        <a:xfrm>
          <a:off x="3041834" y="354530"/>
          <a:ext cx="1229637" cy="614818"/>
        </a:xfrm>
      </dgm:spPr>
      <dgm:t>
        <a:bodyPr/>
        <a:lstStyle/>
        <a:p>
          <a:pPr>
            <a:buNone/>
          </a:pPr>
          <a:r>
            <a:rPr lang="en-AU" sz="600">
              <a:solidFill>
                <a:schemeClr val="tx1">
                  <a:lumMod val="95000"/>
                  <a:lumOff val="5000"/>
                </a:schemeClr>
              </a:solidFill>
              <a:latin typeface="+mj-lt"/>
              <a:ea typeface="+mn-ea"/>
              <a:cs typeface="+mn-cs"/>
            </a:rPr>
            <a:t>Other influences on deterrence (e.g. third party monitoring)</a:t>
          </a:r>
        </a:p>
      </dgm:t>
    </dgm:pt>
    <dgm:pt modelId="{4A9A10B3-9AE6-417B-BD44-6A6F0ADB1617}" type="parTrans" cxnId="{8C598FC5-22CC-4BFF-A1BF-5B20A20D30A2}">
      <dgm:prSet/>
      <dgm:spPr/>
      <dgm:t>
        <a:bodyPr/>
        <a:lstStyle/>
        <a:p>
          <a:endParaRPr lang="en-AU" sz="600">
            <a:solidFill>
              <a:schemeClr val="tx1">
                <a:lumMod val="95000"/>
                <a:lumOff val="5000"/>
              </a:schemeClr>
            </a:solidFill>
            <a:latin typeface="+mj-lt"/>
          </a:endParaRPr>
        </a:p>
      </dgm:t>
    </dgm:pt>
    <dgm:pt modelId="{5C81F051-825B-4FD5-B18F-C4290CA5A49F}" type="sibTrans" cxnId="{8C598FC5-22CC-4BFF-A1BF-5B20A20D30A2}">
      <dgm:prSet/>
      <dgm:spPr/>
      <dgm:t>
        <a:bodyPr/>
        <a:lstStyle/>
        <a:p>
          <a:endParaRPr lang="en-AU" sz="600">
            <a:solidFill>
              <a:schemeClr val="tx1">
                <a:lumMod val="95000"/>
                <a:lumOff val="5000"/>
              </a:schemeClr>
            </a:solidFill>
            <a:latin typeface="+mj-lt"/>
          </a:endParaRPr>
        </a:p>
      </dgm:t>
    </dgm:pt>
    <dgm:pt modelId="{C870CC47-E1F6-42EE-831D-0BEA89806356}" type="pres">
      <dgm:prSet presAssocID="{4619E802-115A-49B6-9B8F-250156F8DF51}" presName="hierChild1" presStyleCnt="0">
        <dgm:presLayoutVars>
          <dgm:orgChart val="1"/>
          <dgm:chPref val="1"/>
          <dgm:dir val="rev"/>
          <dgm:animOne val="branch"/>
          <dgm:animLvl val="lvl"/>
          <dgm:resizeHandles/>
        </dgm:presLayoutVars>
      </dgm:prSet>
      <dgm:spPr/>
    </dgm:pt>
    <dgm:pt modelId="{E1BCDC29-C725-41A6-BF76-9524EB14C0A9}" type="pres">
      <dgm:prSet presAssocID="{96512245-191A-4AB4-80C2-B43C8A1EFF45}" presName="hierRoot1" presStyleCnt="0">
        <dgm:presLayoutVars>
          <dgm:hierBranch val="init"/>
        </dgm:presLayoutVars>
      </dgm:prSet>
      <dgm:spPr/>
    </dgm:pt>
    <dgm:pt modelId="{3040B3E1-4895-436C-BDD1-0BAF01667216}" type="pres">
      <dgm:prSet presAssocID="{96512245-191A-4AB4-80C2-B43C8A1EFF45}" presName="rootComposite1" presStyleCnt="0"/>
      <dgm:spPr/>
    </dgm:pt>
    <dgm:pt modelId="{13BD10ED-87F6-4F5D-A4E5-05FBF6B8DAA0}" type="pres">
      <dgm:prSet presAssocID="{96512245-191A-4AB4-80C2-B43C8A1EFF45}" presName="rootText1" presStyleLbl="node0" presStyleIdx="0" presStyleCnt="1">
        <dgm:presLayoutVars>
          <dgm:chPref val="3"/>
        </dgm:presLayoutVars>
      </dgm:prSet>
      <dgm:spPr/>
    </dgm:pt>
    <dgm:pt modelId="{3741036E-70AF-45E8-BA9F-98E509E4B7DE}" type="pres">
      <dgm:prSet presAssocID="{96512245-191A-4AB4-80C2-B43C8A1EFF45}" presName="rootConnector1" presStyleLbl="node1" presStyleIdx="0" presStyleCnt="0"/>
      <dgm:spPr/>
    </dgm:pt>
    <dgm:pt modelId="{2EF37ECC-D592-4982-97E4-E865FA9C1503}" type="pres">
      <dgm:prSet presAssocID="{96512245-191A-4AB4-80C2-B43C8A1EFF45}" presName="hierChild2" presStyleCnt="0"/>
      <dgm:spPr/>
    </dgm:pt>
    <dgm:pt modelId="{F9EF43A1-D2FF-44B4-AD28-629E4E5D682E}" type="pres">
      <dgm:prSet presAssocID="{6A612C92-E2B4-4AC7-851A-51C1BA24E5F8}" presName="Name66" presStyleLbl="parChTrans1D2" presStyleIdx="0" presStyleCnt="3"/>
      <dgm:spPr/>
    </dgm:pt>
    <dgm:pt modelId="{11477632-09DD-4715-8650-7D5E988337D2}" type="pres">
      <dgm:prSet presAssocID="{341F429F-E337-4931-AEF4-588ADC4448CE}" presName="hierRoot2" presStyleCnt="0">
        <dgm:presLayoutVars>
          <dgm:hierBranch val="init"/>
        </dgm:presLayoutVars>
      </dgm:prSet>
      <dgm:spPr/>
    </dgm:pt>
    <dgm:pt modelId="{6361A0DA-F01C-437A-A2E1-A9C66898F084}" type="pres">
      <dgm:prSet presAssocID="{341F429F-E337-4931-AEF4-588ADC4448CE}" presName="rootComposite" presStyleCnt="0"/>
      <dgm:spPr/>
    </dgm:pt>
    <dgm:pt modelId="{98F6C57C-85D3-43B4-A172-85A72644F983}" type="pres">
      <dgm:prSet presAssocID="{341F429F-E337-4931-AEF4-588ADC4448CE}" presName="rootText" presStyleLbl="node2" presStyleIdx="0" presStyleCnt="3">
        <dgm:presLayoutVars>
          <dgm:chPref val="3"/>
        </dgm:presLayoutVars>
      </dgm:prSet>
      <dgm:spPr/>
    </dgm:pt>
    <dgm:pt modelId="{B8278F46-8541-4E50-A7A7-0605776A7146}" type="pres">
      <dgm:prSet presAssocID="{341F429F-E337-4931-AEF4-588ADC4448CE}" presName="rootConnector" presStyleLbl="node2" presStyleIdx="0" presStyleCnt="3"/>
      <dgm:spPr/>
    </dgm:pt>
    <dgm:pt modelId="{4D304B05-E0DF-4CB6-8527-4D6BA73FEDDD}" type="pres">
      <dgm:prSet presAssocID="{341F429F-E337-4931-AEF4-588ADC4448CE}" presName="hierChild4" presStyleCnt="0"/>
      <dgm:spPr/>
    </dgm:pt>
    <dgm:pt modelId="{BEDCFE54-884C-4907-AA6B-87896CF68509}" type="pres">
      <dgm:prSet presAssocID="{6CC4866A-B5E4-40AA-AD6B-31D819302E65}" presName="Name66" presStyleLbl="parChTrans1D3" presStyleIdx="0" presStyleCnt="4"/>
      <dgm:spPr/>
    </dgm:pt>
    <dgm:pt modelId="{699C57BC-21FC-47D3-8F52-4CB3EEE3CAEF}" type="pres">
      <dgm:prSet presAssocID="{A0DB29AD-98E2-46FF-B5D8-749E0644B6A4}" presName="hierRoot2" presStyleCnt="0">
        <dgm:presLayoutVars>
          <dgm:hierBranch val="init"/>
        </dgm:presLayoutVars>
      </dgm:prSet>
      <dgm:spPr/>
    </dgm:pt>
    <dgm:pt modelId="{4E6BD4FD-ABFC-4307-97E3-0F45F1125165}" type="pres">
      <dgm:prSet presAssocID="{A0DB29AD-98E2-46FF-B5D8-749E0644B6A4}" presName="rootComposite" presStyleCnt="0"/>
      <dgm:spPr/>
    </dgm:pt>
    <dgm:pt modelId="{8639A0DB-3DC8-45CF-80AE-C5A084F320DB}" type="pres">
      <dgm:prSet presAssocID="{A0DB29AD-98E2-46FF-B5D8-749E0644B6A4}" presName="rootText" presStyleLbl="node3" presStyleIdx="0" presStyleCnt="4">
        <dgm:presLayoutVars>
          <dgm:chPref val="3"/>
        </dgm:presLayoutVars>
      </dgm:prSet>
      <dgm:spPr/>
    </dgm:pt>
    <dgm:pt modelId="{235B450A-63F7-4EC0-94AF-9E6B59FC0657}" type="pres">
      <dgm:prSet presAssocID="{A0DB29AD-98E2-46FF-B5D8-749E0644B6A4}" presName="rootConnector" presStyleLbl="node3" presStyleIdx="0" presStyleCnt="4"/>
      <dgm:spPr/>
    </dgm:pt>
    <dgm:pt modelId="{3416D793-C633-4694-A7B6-4EDC19D2D01E}" type="pres">
      <dgm:prSet presAssocID="{A0DB29AD-98E2-46FF-B5D8-749E0644B6A4}" presName="hierChild4" presStyleCnt="0"/>
      <dgm:spPr/>
    </dgm:pt>
    <dgm:pt modelId="{253E0AB6-F415-4389-9A7D-9DD0B9616481}" type="pres">
      <dgm:prSet presAssocID="{1E17B06F-6B1F-4F26-93E5-C975958C3FC5}" presName="Name66" presStyleLbl="parChTrans1D4" presStyleIdx="0" presStyleCnt="6"/>
      <dgm:spPr/>
    </dgm:pt>
    <dgm:pt modelId="{ABC22763-1AA8-4787-9D0A-1B7EAF7F7874}" type="pres">
      <dgm:prSet presAssocID="{287CC2DC-8F54-44D3-A354-FC136487FDB1}" presName="hierRoot2" presStyleCnt="0">
        <dgm:presLayoutVars>
          <dgm:hierBranch val="init"/>
        </dgm:presLayoutVars>
      </dgm:prSet>
      <dgm:spPr/>
    </dgm:pt>
    <dgm:pt modelId="{F548BB93-4766-49A3-BFEB-A9FD622BE852}" type="pres">
      <dgm:prSet presAssocID="{287CC2DC-8F54-44D3-A354-FC136487FDB1}" presName="rootComposite" presStyleCnt="0"/>
      <dgm:spPr/>
    </dgm:pt>
    <dgm:pt modelId="{78C1FEE3-8E78-4F96-9367-B91FE2A820D5}" type="pres">
      <dgm:prSet presAssocID="{287CC2DC-8F54-44D3-A354-FC136487FDB1}" presName="rootText" presStyleLbl="node4" presStyleIdx="0" presStyleCnt="6">
        <dgm:presLayoutVars>
          <dgm:chPref val="3"/>
        </dgm:presLayoutVars>
      </dgm:prSet>
      <dgm:spPr/>
    </dgm:pt>
    <dgm:pt modelId="{75CC4277-1DD9-4473-AC36-5375EFF5C300}" type="pres">
      <dgm:prSet presAssocID="{287CC2DC-8F54-44D3-A354-FC136487FDB1}" presName="rootConnector" presStyleLbl="node4" presStyleIdx="0" presStyleCnt="6"/>
      <dgm:spPr/>
    </dgm:pt>
    <dgm:pt modelId="{B53DD20C-0AFF-4CA7-9FBB-4312E1DD663F}" type="pres">
      <dgm:prSet presAssocID="{287CC2DC-8F54-44D3-A354-FC136487FDB1}" presName="hierChild4" presStyleCnt="0"/>
      <dgm:spPr/>
    </dgm:pt>
    <dgm:pt modelId="{413E48DC-4F77-4747-A608-7AFEE808655A}" type="pres">
      <dgm:prSet presAssocID="{287CC2DC-8F54-44D3-A354-FC136487FDB1}" presName="hierChild5" presStyleCnt="0"/>
      <dgm:spPr/>
    </dgm:pt>
    <dgm:pt modelId="{9A2B674C-F570-4A14-9C5B-0980724AECD1}" type="pres">
      <dgm:prSet presAssocID="{673D0FD6-82D9-49D4-9F05-4EA7628FF9EA}" presName="Name66" presStyleLbl="parChTrans1D4" presStyleIdx="1" presStyleCnt="6"/>
      <dgm:spPr/>
    </dgm:pt>
    <dgm:pt modelId="{54A0C980-B0D3-4AA6-99C9-AB09812A73B0}" type="pres">
      <dgm:prSet presAssocID="{EA92FF32-E715-4195-8D9F-76126D4F3FD8}" presName="hierRoot2" presStyleCnt="0">
        <dgm:presLayoutVars>
          <dgm:hierBranch val="init"/>
        </dgm:presLayoutVars>
      </dgm:prSet>
      <dgm:spPr/>
    </dgm:pt>
    <dgm:pt modelId="{E005347D-D005-434E-842C-05C8845A7D10}" type="pres">
      <dgm:prSet presAssocID="{EA92FF32-E715-4195-8D9F-76126D4F3FD8}" presName="rootComposite" presStyleCnt="0"/>
      <dgm:spPr/>
    </dgm:pt>
    <dgm:pt modelId="{339E07FA-669B-4389-88AF-DA2C2F771854}" type="pres">
      <dgm:prSet presAssocID="{EA92FF32-E715-4195-8D9F-76126D4F3FD8}" presName="rootText" presStyleLbl="node4" presStyleIdx="1" presStyleCnt="6">
        <dgm:presLayoutVars>
          <dgm:chPref val="3"/>
        </dgm:presLayoutVars>
      </dgm:prSet>
      <dgm:spPr/>
    </dgm:pt>
    <dgm:pt modelId="{EEE83D6F-BFE8-40B0-8FE4-EDEB124FDE86}" type="pres">
      <dgm:prSet presAssocID="{EA92FF32-E715-4195-8D9F-76126D4F3FD8}" presName="rootConnector" presStyleLbl="node4" presStyleIdx="1" presStyleCnt="6"/>
      <dgm:spPr/>
    </dgm:pt>
    <dgm:pt modelId="{9EBECD65-E322-4A53-A66C-B00C7C028941}" type="pres">
      <dgm:prSet presAssocID="{EA92FF32-E715-4195-8D9F-76126D4F3FD8}" presName="hierChild4" presStyleCnt="0"/>
      <dgm:spPr/>
    </dgm:pt>
    <dgm:pt modelId="{8B684F50-B067-4801-8281-57159DD82DAB}" type="pres">
      <dgm:prSet presAssocID="{EA92FF32-E715-4195-8D9F-76126D4F3FD8}" presName="hierChild5" presStyleCnt="0"/>
      <dgm:spPr/>
    </dgm:pt>
    <dgm:pt modelId="{AB1F141B-9EC5-4F06-9C11-A97B2DCB1558}" type="pres">
      <dgm:prSet presAssocID="{A0DB29AD-98E2-46FF-B5D8-749E0644B6A4}" presName="hierChild5" presStyleCnt="0"/>
      <dgm:spPr/>
    </dgm:pt>
    <dgm:pt modelId="{7B482432-123E-4D79-BDB6-B4D022218B72}" type="pres">
      <dgm:prSet presAssocID="{A0D1AC9E-ED41-4A27-BC3B-97E0734539B5}" presName="Name66" presStyleLbl="parChTrans1D3" presStyleIdx="1" presStyleCnt="4"/>
      <dgm:spPr/>
    </dgm:pt>
    <dgm:pt modelId="{72E3B5CD-AB94-4D93-B1C1-8A5680B6DF91}" type="pres">
      <dgm:prSet presAssocID="{E0E13126-F2AD-4100-B5EC-0D74FE00993E}" presName="hierRoot2" presStyleCnt="0">
        <dgm:presLayoutVars>
          <dgm:hierBranch val="init"/>
        </dgm:presLayoutVars>
      </dgm:prSet>
      <dgm:spPr/>
    </dgm:pt>
    <dgm:pt modelId="{518F1D7A-4186-40D7-9BCD-1E739785E24B}" type="pres">
      <dgm:prSet presAssocID="{E0E13126-F2AD-4100-B5EC-0D74FE00993E}" presName="rootComposite" presStyleCnt="0"/>
      <dgm:spPr/>
    </dgm:pt>
    <dgm:pt modelId="{FAB22ED9-1095-47D4-9924-BCA8D52F0CD5}" type="pres">
      <dgm:prSet presAssocID="{E0E13126-F2AD-4100-B5EC-0D74FE00993E}" presName="rootText" presStyleLbl="node3" presStyleIdx="1" presStyleCnt="4">
        <dgm:presLayoutVars>
          <dgm:chPref val="3"/>
        </dgm:presLayoutVars>
      </dgm:prSet>
      <dgm:spPr/>
    </dgm:pt>
    <dgm:pt modelId="{C0AF99A9-BF59-4665-A7AA-BE65418F7B34}" type="pres">
      <dgm:prSet presAssocID="{E0E13126-F2AD-4100-B5EC-0D74FE00993E}" presName="rootConnector" presStyleLbl="node3" presStyleIdx="1" presStyleCnt="4"/>
      <dgm:spPr/>
    </dgm:pt>
    <dgm:pt modelId="{E9B5D499-341F-4996-A8BA-FC10087BAA37}" type="pres">
      <dgm:prSet presAssocID="{E0E13126-F2AD-4100-B5EC-0D74FE00993E}" presName="hierChild4" presStyleCnt="0"/>
      <dgm:spPr/>
    </dgm:pt>
    <dgm:pt modelId="{98280279-1E8D-447E-A883-C893F4C080D3}" type="pres">
      <dgm:prSet presAssocID="{25FC0E55-5971-428F-9FC8-5122CAA6ABB2}" presName="Name66" presStyleLbl="parChTrans1D4" presStyleIdx="2" presStyleCnt="6"/>
      <dgm:spPr/>
    </dgm:pt>
    <dgm:pt modelId="{57186C66-1FD1-4E45-A5B1-EA19FC288B55}" type="pres">
      <dgm:prSet presAssocID="{31AAC110-D086-422D-9E99-96B84E54EE86}" presName="hierRoot2" presStyleCnt="0">
        <dgm:presLayoutVars>
          <dgm:hierBranch val="init"/>
        </dgm:presLayoutVars>
      </dgm:prSet>
      <dgm:spPr/>
    </dgm:pt>
    <dgm:pt modelId="{180D8406-2D1B-426F-A577-1C5447F93BD1}" type="pres">
      <dgm:prSet presAssocID="{31AAC110-D086-422D-9E99-96B84E54EE86}" presName="rootComposite" presStyleCnt="0"/>
      <dgm:spPr/>
    </dgm:pt>
    <dgm:pt modelId="{AAC815B2-5C79-491F-BF13-5E0C98F86312}" type="pres">
      <dgm:prSet presAssocID="{31AAC110-D086-422D-9E99-96B84E54EE86}" presName="rootText" presStyleLbl="node4" presStyleIdx="2" presStyleCnt="6">
        <dgm:presLayoutVars>
          <dgm:chPref val="3"/>
        </dgm:presLayoutVars>
      </dgm:prSet>
      <dgm:spPr/>
    </dgm:pt>
    <dgm:pt modelId="{D350CCBF-473B-4F44-B821-0F2BB7D1284B}" type="pres">
      <dgm:prSet presAssocID="{31AAC110-D086-422D-9E99-96B84E54EE86}" presName="rootConnector" presStyleLbl="node4" presStyleIdx="2" presStyleCnt="6"/>
      <dgm:spPr/>
    </dgm:pt>
    <dgm:pt modelId="{93E3FEED-67EC-41A6-A49B-E864585E499F}" type="pres">
      <dgm:prSet presAssocID="{31AAC110-D086-422D-9E99-96B84E54EE86}" presName="hierChild4" presStyleCnt="0"/>
      <dgm:spPr/>
    </dgm:pt>
    <dgm:pt modelId="{96266D13-5EF0-4535-92BD-1BA08CEF8851}" type="pres">
      <dgm:prSet presAssocID="{31AAC110-D086-422D-9E99-96B84E54EE86}" presName="hierChild5" presStyleCnt="0"/>
      <dgm:spPr/>
    </dgm:pt>
    <dgm:pt modelId="{01935637-A951-4086-82CC-BA5042166CE5}" type="pres">
      <dgm:prSet presAssocID="{E0E13126-F2AD-4100-B5EC-0D74FE00993E}" presName="hierChild5" presStyleCnt="0"/>
      <dgm:spPr/>
    </dgm:pt>
    <dgm:pt modelId="{A913033C-FDD7-4265-A95D-9CF1E3638D4F}" type="pres">
      <dgm:prSet presAssocID="{341F429F-E337-4931-AEF4-588ADC4448CE}" presName="hierChild5" presStyleCnt="0"/>
      <dgm:spPr/>
    </dgm:pt>
    <dgm:pt modelId="{A011E38E-8208-49E6-A023-756B3280DF4C}" type="pres">
      <dgm:prSet presAssocID="{D0D0B9AA-1C13-4C77-B437-0EC3283D2FC5}" presName="Name66" presStyleLbl="parChTrans1D2" presStyleIdx="1" presStyleCnt="3"/>
      <dgm:spPr/>
    </dgm:pt>
    <dgm:pt modelId="{8082F20A-B3FF-4388-AA30-494C75033952}" type="pres">
      <dgm:prSet presAssocID="{A9D66D76-8882-4335-83BE-B0C515F2C160}" presName="hierRoot2" presStyleCnt="0">
        <dgm:presLayoutVars>
          <dgm:hierBranch val="init"/>
        </dgm:presLayoutVars>
      </dgm:prSet>
      <dgm:spPr/>
    </dgm:pt>
    <dgm:pt modelId="{441BB318-A419-419E-ADEF-77669A035E88}" type="pres">
      <dgm:prSet presAssocID="{A9D66D76-8882-4335-83BE-B0C515F2C160}" presName="rootComposite" presStyleCnt="0"/>
      <dgm:spPr/>
    </dgm:pt>
    <dgm:pt modelId="{3BD48C46-D091-4071-A5C5-5CD130413E12}" type="pres">
      <dgm:prSet presAssocID="{A9D66D76-8882-4335-83BE-B0C515F2C160}" presName="rootText" presStyleLbl="node2" presStyleIdx="1" presStyleCnt="3">
        <dgm:presLayoutVars>
          <dgm:chPref val="3"/>
        </dgm:presLayoutVars>
      </dgm:prSet>
      <dgm:spPr/>
    </dgm:pt>
    <dgm:pt modelId="{64712312-9078-4DCB-925A-B15BA5035436}" type="pres">
      <dgm:prSet presAssocID="{A9D66D76-8882-4335-83BE-B0C515F2C160}" presName="rootConnector" presStyleLbl="node2" presStyleIdx="1" presStyleCnt="3"/>
      <dgm:spPr/>
    </dgm:pt>
    <dgm:pt modelId="{0DFAAA48-B13B-4C62-8FB7-77A6DFDFFE43}" type="pres">
      <dgm:prSet presAssocID="{A9D66D76-8882-4335-83BE-B0C515F2C160}" presName="hierChild4" presStyleCnt="0"/>
      <dgm:spPr/>
    </dgm:pt>
    <dgm:pt modelId="{BC637AD8-FD8F-4C68-B9FD-520D8242BF8E}" type="pres">
      <dgm:prSet presAssocID="{6396E920-40C6-40D0-A001-D93921518672}" presName="Name66" presStyleLbl="parChTrans1D3" presStyleIdx="2" presStyleCnt="4"/>
      <dgm:spPr/>
    </dgm:pt>
    <dgm:pt modelId="{42CF3CD4-6D96-4A48-B4A0-0D2B1D325726}" type="pres">
      <dgm:prSet presAssocID="{B33E14AE-CBB9-4AB4-BCA0-984CD5958CE1}" presName="hierRoot2" presStyleCnt="0">
        <dgm:presLayoutVars>
          <dgm:hierBranch val="init"/>
        </dgm:presLayoutVars>
      </dgm:prSet>
      <dgm:spPr/>
    </dgm:pt>
    <dgm:pt modelId="{2453F6AD-29E3-4199-8BD0-488A47584022}" type="pres">
      <dgm:prSet presAssocID="{B33E14AE-CBB9-4AB4-BCA0-984CD5958CE1}" presName="rootComposite" presStyleCnt="0"/>
      <dgm:spPr/>
    </dgm:pt>
    <dgm:pt modelId="{28A1BD51-5280-46B2-90E3-1A63575D1860}" type="pres">
      <dgm:prSet presAssocID="{B33E14AE-CBB9-4AB4-BCA0-984CD5958CE1}" presName="rootText" presStyleLbl="node3" presStyleIdx="2" presStyleCnt="4">
        <dgm:presLayoutVars>
          <dgm:chPref val="3"/>
        </dgm:presLayoutVars>
      </dgm:prSet>
      <dgm:spPr/>
    </dgm:pt>
    <dgm:pt modelId="{F04DE5EC-5A20-4E5C-BD47-B4BF74EA80C2}" type="pres">
      <dgm:prSet presAssocID="{B33E14AE-CBB9-4AB4-BCA0-984CD5958CE1}" presName="rootConnector" presStyleLbl="node3" presStyleIdx="2" presStyleCnt="4"/>
      <dgm:spPr/>
    </dgm:pt>
    <dgm:pt modelId="{0811DE3C-A28D-451F-A2E5-552FF10A223A}" type="pres">
      <dgm:prSet presAssocID="{B33E14AE-CBB9-4AB4-BCA0-984CD5958CE1}" presName="hierChild4" presStyleCnt="0"/>
      <dgm:spPr/>
    </dgm:pt>
    <dgm:pt modelId="{D05A3ABB-9034-4713-813E-C22C2693B41B}" type="pres">
      <dgm:prSet presAssocID="{60AC7DCE-BD56-46CE-A214-5B7D8B8D69A6}" presName="Name66" presStyleLbl="parChTrans1D4" presStyleIdx="3" presStyleCnt="6"/>
      <dgm:spPr/>
    </dgm:pt>
    <dgm:pt modelId="{F92CE192-C306-4F5D-9727-941BF6ED1E21}" type="pres">
      <dgm:prSet presAssocID="{16E727E6-DE95-4602-8005-195C98D3CE2A}" presName="hierRoot2" presStyleCnt="0">
        <dgm:presLayoutVars>
          <dgm:hierBranch val="init"/>
        </dgm:presLayoutVars>
      </dgm:prSet>
      <dgm:spPr/>
    </dgm:pt>
    <dgm:pt modelId="{2A690FCC-2E94-4B17-8780-415F64FE1502}" type="pres">
      <dgm:prSet presAssocID="{16E727E6-DE95-4602-8005-195C98D3CE2A}" presName="rootComposite" presStyleCnt="0"/>
      <dgm:spPr/>
    </dgm:pt>
    <dgm:pt modelId="{A4C12E18-EB37-4CBE-9C66-C3BD1D640449}" type="pres">
      <dgm:prSet presAssocID="{16E727E6-DE95-4602-8005-195C98D3CE2A}" presName="rootText" presStyleLbl="node4" presStyleIdx="3" presStyleCnt="6">
        <dgm:presLayoutVars>
          <dgm:chPref val="3"/>
        </dgm:presLayoutVars>
      </dgm:prSet>
      <dgm:spPr/>
    </dgm:pt>
    <dgm:pt modelId="{3A1D6833-3E9E-40F0-BC07-FD8764956379}" type="pres">
      <dgm:prSet presAssocID="{16E727E6-DE95-4602-8005-195C98D3CE2A}" presName="rootConnector" presStyleLbl="node4" presStyleIdx="3" presStyleCnt="6"/>
      <dgm:spPr/>
    </dgm:pt>
    <dgm:pt modelId="{ACA7730F-09BB-45A6-8E6A-BD6DB4B3FDB0}" type="pres">
      <dgm:prSet presAssocID="{16E727E6-DE95-4602-8005-195C98D3CE2A}" presName="hierChild4" presStyleCnt="0"/>
      <dgm:spPr/>
    </dgm:pt>
    <dgm:pt modelId="{B6D725F8-DFDA-48B8-82DB-FBB234B9D095}" type="pres">
      <dgm:prSet presAssocID="{16E727E6-DE95-4602-8005-195C98D3CE2A}" presName="hierChild5" presStyleCnt="0"/>
      <dgm:spPr/>
    </dgm:pt>
    <dgm:pt modelId="{1ED27379-679C-4E6B-A16B-B8AD196CF49D}" type="pres">
      <dgm:prSet presAssocID="{E38D6C0D-98CA-42A3-9AC3-BFCC76820B55}" presName="Name66" presStyleLbl="parChTrans1D4" presStyleIdx="4" presStyleCnt="6"/>
      <dgm:spPr/>
    </dgm:pt>
    <dgm:pt modelId="{54608F9A-0383-46FC-B7D4-65857E9DC787}" type="pres">
      <dgm:prSet presAssocID="{33FD607A-3F6B-4431-AB8C-7804DF548A46}" presName="hierRoot2" presStyleCnt="0">
        <dgm:presLayoutVars>
          <dgm:hierBranch val="init"/>
        </dgm:presLayoutVars>
      </dgm:prSet>
      <dgm:spPr/>
    </dgm:pt>
    <dgm:pt modelId="{255D4887-FB02-42E9-89E4-C858A2E88C04}" type="pres">
      <dgm:prSet presAssocID="{33FD607A-3F6B-4431-AB8C-7804DF548A46}" presName="rootComposite" presStyleCnt="0"/>
      <dgm:spPr/>
    </dgm:pt>
    <dgm:pt modelId="{05657726-F65D-450A-89DA-157646A41747}" type="pres">
      <dgm:prSet presAssocID="{33FD607A-3F6B-4431-AB8C-7804DF548A46}" presName="rootText" presStyleLbl="node4" presStyleIdx="4" presStyleCnt="6">
        <dgm:presLayoutVars>
          <dgm:chPref val="3"/>
        </dgm:presLayoutVars>
      </dgm:prSet>
      <dgm:spPr/>
    </dgm:pt>
    <dgm:pt modelId="{679CD07C-13C2-4CD9-953E-58D5B1680CCE}" type="pres">
      <dgm:prSet presAssocID="{33FD607A-3F6B-4431-AB8C-7804DF548A46}" presName="rootConnector" presStyleLbl="node4" presStyleIdx="4" presStyleCnt="6"/>
      <dgm:spPr/>
    </dgm:pt>
    <dgm:pt modelId="{96094710-0E1D-49E8-96BC-CE464BC1F13E}" type="pres">
      <dgm:prSet presAssocID="{33FD607A-3F6B-4431-AB8C-7804DF548A46}" presName="hierChild4" presStyleCnt="0"/>
      <dgm:spPr/>
    </dgm:pt>
    <dgm:pt modelId="{9F55719A-58CF-4630-AB5F-F842F3E02948}" type="pres">
      <dgm:prSet presAssocID="{33FD607A-3F6B-4431-AB8C-7804DF548A46}" presName="hierChild5" presStyleCnt="0"/>
      <dgm:spPr/>
    </dgm:pt>
    <dgm:pt modelId="{05F3635D-8218-4AC5-AF71-6BC6FFCFDA1F}" type="pres">
      <dgm:prSet presAssocID="{B33E14AE-CBB9-4AB4-BCA0-984CD5958CE1}" presName="hierChild5" presStyleCnt="0"/>
      <dgm:spPr/>
    </dgm:pt>
    <dgm:pt modelId="{7346A157-E2D7-468A-BDCD-D82188EA8BDF}" type="pres">
      <dgm:prSet presAssocID="{44C60FF3-844E-4E0F-9D6E-F3B902CB3D97}" presName="Name66" presStyleLbl="parChTrans1D3" presStyleIdx="3" presStyleCnt="4"/>
      <dgm:spPr/>
    </dgm:pt>
    <dgm:pt modelId="{57AF29D1-CD3D-47CC-A027-68BED494EE73}" type="pres">
      <dgm:prSet presAssocID="{3AF68169-B933-469A-9E74-AB90C709D88A}" presName="hierRoot2" presStyleCnt="0">
        <dgm:presLayoutVars>
          <dgm:hierBranch val="init"/>
        </dgm:presLayoutVars>
      </dgm:prSet>
      <dgm:spPr/>
    </dgm:pt>
    <dgm:pt modelId="{054F0D70-6E53-40DD-81E9-59665912A0F6}" type="pres">
      <dgm:prSet presAssocID="{3AF68169-B933-469A-9E74-AB90C709D88A}" presName="rootComposite" presStyleCnt="0"/>
      <dgm:spPr/>
    </dgm:pt>
    <dgm:pt modelId="{252C8661-A221-4D1C-8339-00D971FB656E}" type="pres">
      <dgm:prSet presAssocID="{3AF68169-B933-469A-9E74-AB90C709D88A}" presName="rootText" presStyleLbl="node3" presStyleIdx="3" presStyleCnt="4">
        <dgm:presLayoutVars>
          <dgm:chPref val="3"/>
        </dgm:presLayoutVars>
      </dgm:prSet>
      <dgm:spPr/>
    </dgm:pt>
    <dgm:pt modelId="{902327D9-8442-4D07-A52C-610D007C8CD0}" type="pres">
      <dgm:prSet presAssocID="{3AF68169-B933-469A-9E74-AB90C709D88A}" presName="rootConnector" presStyleLbl="node3" presStyleIdx="3" presStyleCnt="4"/>
      <dgm:spPr/>
    </dgm:pt>
    <dgm:pt modelId="{E1B9C5A4-6CBD-4068-8016-D00A1B209CE5}" type="pres">
      <dgm:prSet presAssocID="{3AF68169-B933-469A-9E74-AB90C709D88A}" presName="hierChild4" presStyleCnt="0"/>
      <dgm:spPr/>
    </dgm:pt>
    <dgm:pt modelId="{8597D8FD-2CB5-4059-B9B2-3DB49CB5C47C}" type="pres">
      <dgm:prSet presAssocID="{6EC214D0-4055-4A1B-9F44-61386971E021}" presName="Name66" presStyleLbl="parChTrans1D4" presStyleIdx="5" presStyleCnt="6"/>
      <dgm:spPr/>
    </dgm:pt>
    <dgm:pt modelId="{55F406B7-5A30-4481-93FD-EB66623DC1E0}" type="pres">
      <dgm:prSet presAssocID="{C7CDFB0F-19F5-4504-AC46-C472E78287F8}" presName="hierRoot2" presStyleCnt="0">
        <dgm:presLayoutVars>
          <dgm:hierBranch val="init"/>
        </dgm:presLayoutVars>
      </dgm:prSet>
      <dgm:spPr/>
    </dgm:pt>
    <dgm:pt modelId="{90F20C3A-C0A9-4125-9652-CDFCF37FF11C}" type="pres">
      <dgm:prSet presAssocID="{C7CDFB0F-19F5-4504-AC46-C472E78287F8}" presName="rootComposite" presStyleCnt="0"/>
      <dgm:spPr/>
    </dgm:pt>
    <dgm:pt modelId="{92960EB1-8F44-4A2F-94A1-33D7BBD52CE5}" type="pres">
      <dgm:prSet presAssocID="{C7CDFB0F-19F5-4504-AC46-C472E78287F8}" presName="rootText" presStyleLbl="node4" presStyleIdx="5" presStyleCnt="6">
        <dgm:presLayoutVars>
          <dgm:chPref val="3"/>
        </dgm:presLayoutVars>
      </dgm:prSet>
      <dgm:spPr/>
    </dgm:pt>
    <dgm:pt modelId="{5CE973C0-FA9D-45AB-81B9-AAE9AE76F4F6}" type="pres">
      <dgm:prSet presAssocID="{C7CDFB0F-19F5-4504-AC46-C472E78287F8}" presName="rootConnector" presStyleLbl="node4" presStyleIdx="5" presStyleCnt="6"/>
      <dgm:spPr/>
    </dgm:pt>
    <dgm:pt modelId="{E43532EB-6DC0-4DD6-AF43-E71C59B686A6}" type="pres">
      <dgm:prSet presAssocID="{C7CDFB0F-19F5-4504-AC46-C472E78287F8}" presName="hierChild4" presStyleCnt="0"/>
      <dgm:spPr/>
    </dgm:pt>
    <dgm:pt modelId="{BC215A21-85B6-46E0-BC33-A027A637AB03}" type="pres">
      <dgm:prSet presAssocID="{C7CDFB0F-19F5-4504-AC46-C472E78287F8}" presName="hierChild5" presStyleCnt="0"/>
      <dgm:spPr/>
    </dgm:pt>
    <dgm:pt modelId="{04796EC1-0F52-4FD8-900F-8434587AE9D5}" type="pres">
      <dgm:prSet presAssocID="{3AF68169-B933-469A-9E74-AB90C709D88A}" presName="hierChild5" presStyleCnt="0"/>
      <dgm:spPr/>
    </dgm:pt>
    <dgm:pt modelId="{00D28F12-76A7-48F5-8E14-6895C786EC61}" type="pres">
      <dgm:prSet presAssocID="{A9D66D76-8882-4335-83BE-B0C515F2C160}" presName="hierChild5" presStyleCnt="0"/>
      <dgm:spPr/>
    </dgm:pt>
    <dgm:pt modelId="{0319D4E1-AC82-4A86-90ED-8EBDBEBBC4A1}" type="pres">
      <dgm:prSet presAssocID="{4A9A10B3-9AE6-417B-BD44-6A6F0ADB1617}" presName="Name66" presStyleLbl="parChTrans1D2" presStyleIdx="2" presStyleCnt="3"/>
      <dgm:spPr/>
    </dgm:pt>
    <dgm:pt modelId="{26E6CFFA-DEFB-41D0-8177-903EF8BBC707}" type="pres">
      <dgm:prSet presAssocID="{C07BA96C-0E7C-481B-8061-0F7AA55AD19E}" presName="hierRoot2" presStyleCnt="0">
        <dgm:presLayoutVars>
          <dgm:hierBranch val="init"/>
        </dgm:presLayoutVars>
      </dgm:prSet>
      <dgm:spPr/>
    </dgm:pt>
    <dgm:pt modelId="{C63321B3-CFC2-488F-A03C-3584228297B1}" type="pres">
      <dgm:prSet presAssocID="{C07BA96C-0E7C-481B-8061-0F7AA55AD19E}" presName="rootComposite" presStyleCnt="0"/>
      <dgm:spPr/>
    </dgm:pt>
    <dgm:pt modelId="{AF176974-4173-4929-B0E3-827A9706224D}" type="pres">
      <dgm:prSet presAssocID="{C07BA96C-0E7C-481B-8061-0F7AA55AD19E}" presName="rootText" presStyleLbl="node2" presStyleIdx="2" presStyleCnt="3">
        <dgm:presLayoutVars>
          <dgm:chPref val="3"/>
        </dgm:presLayoutVars>
      </dgm:prSet>
      <dgm:spPr/>
    </dgm:pt>
    <dgm:pt modelId="{8CDE9708-5D02-4AE9-945F-078FE0F14EA2}" type="pres">
      <dgm:prSet presAssocID="{C07BA96C-0E7C-481B-8061-0F7AA55AD19E}" presName="rootConnector" presStyleLbl="node2" presStyleIdx="2" presStyleCnt="3"/>
      <dgm:spPr/>
    </dgm:pt>
    <dgm:pt modelId="{B81BE7C9-D413-4A51-B975-339955C79572}" type="pres">
      <dgm:prSet presAssocID="{C07BA96C-0E7C-481B-8061-0F7AA55AD19E}" presName="hierChild4" presStyleCnt="0"/>
      <dgm:spPr/>
    </dgm:pt>
    <dgm:pt modelId="{3389A0FE-B343-4EAB-AF17-53EF439DBF59}" type="pres">
      <dgm:prSet presAssocID="{C07BA96C-0E7C-481B-8061-0F7AA55AD19E}" presName="hierChild5" presStyleCnt="0"/>
      <dgm:spPr/>
    </dgm:pt>
    <dgm:pt modelId="{E4E30344-78E8-43D3-9E94-28E3F28A1EA9}" type="pres">
      <dgm:prSet presAssocID="{96512245-191A-4AB4-80C2-B43C8A1EFF45}" presName="hierChild3" presStyleCnt="0"/>
      <dgm:spPr/>
    </dgm:pt>
  </dgm:ptLst>
  <dgm:cxnLst>
    <dgm:cxn modelId="{C8F72F03-C50A-4BE7-AD1D-75B93A71E5D1}" type="presOf" srcId="{A0D1AC9E-ED41-4A27-BC3B-97E0734539B5}" destId="{7B482432-123E-4D79-BDB6-B4D022218B72}" srcOrd="0" destOrd="0" presId="urn:microsoft.com/office/officeart/2009/3/layout/HorizontalOrganizationChart"/>
    <dgm:cxn modelId="{0BE08E0D-A20B-4CE9-B7CB-7720AF77D08B}" type="presOf" srcId="{16E727E6-DE95-4602-8005-195C98D3CE2A}" destId="{3A1D6833-3E9E-40F0-BC07-FD8764956379}" srcOrd="1" destOrd="0" presId="urn:microsoft.com/office/officeart/2009/3/layout/HorizontalOrganizationChart"/>
    <dgm:cxn modelId="{D636410E-C1EC-487D-BF1C-819AF0D426F3}" srcId="{96512245-191A-4AB4-80C2-B43C8A1EFF45}" destId="{A9D66D76-8882-4335-83BE-B0C515F2C160}" srcOrd="1" destOrd="0" parTransId="{D0D0B9AA-1C13-4C77-B437-0EC3283D2FC5}" sibTransId="{3417C49B-CC8C-407A-B629-F32403DEA0E8}"/>
    <dgm:cxn modelId="{DAE81712-E9C6-4222-8939-93582D2FC48F}" srcId="{B33E14AE-CBB9-4AB4-BCA0-984CD5958CE1}" destId="{16E727E6-DE95-4602-8005-195C98D3CE2A}" srcOrd="0" destOrd="0" parTransId="{60AC7DCE-BD56-46CE-A214-5B7D8B8D69A6}" sibTransId="{EB2ADE20-0F1F-4927-995E-9FED87D1DAAC}"/>
    <dgm:cxn modelId="{F4D69912-A0E0-4045-99D5-B9F5B50827BC}" srcId="{E0E13126-F2AD-4100-B5EC-0D74FE00993E}" destId="{31AAC110-D086-422D-9E99-96B84E54EE86}" srcOrd="0" destOrd="0" parTransId="{25FC0E55-5971-428F-9FC8-5122CAA6ABB2}" sibTransId="{700CF0AB-626A-474A-A96C-FC383FA6F05D}"/>
    <dgm:cxn modelId="{41FA8F17-1140-489C-8D8A-5C9D853D45F2}" type="presOf" srcId="{EA92FF32-E715-4195-8D9F-76126D4F3FD8}" destId="{EEE83D6F-BFE8-40B0-8FE4-EDEB124FDE86}" srcOrd="1" destOrd="0" presId="urn:microsoft.com/office/officeart/2009/3/layout/HorizontalOrganizationChart"/>
    <dgm:cxn modelId="{2A5B0819-35C1-4124-9218-8B4072F23155}" type="presOf" srcId="{4619E802-115A-49B6-9B8F-250156F8DF51}" destId="{C870CC47-E1F6-42EE-831D-0BEA89806356}" srcOrd="0" destOrd="0" presId="urn:microsoft.com/office/officeart/2009/3/layout/HorizontalOrganizationChart"/>
    <dgm:cxn modelId="{9DC3B019-81A9-496C-9A17-E262D19D9C40}" type="presOf" srcId="{341F429F-E337-4931-AEF4-588ADC4448CE}" destId="{98F6C57C-85D3-43B4-A172-85A72644F983}" srcOrd="0" destOrd="0" presId="urn:microsoft.com/office/officeart/2009/3/layout/HorizontalOrganizationChart"/>
    <dgm:cxn modelId="{F74E571B-92F4-4097-9947-CAC8A129F957}" type="presOf" srcId="{16E727E6-DE95-4602-8005-195C98D3CE2A}" destId="{A4C12E18-EB37-4CBE-9C66-C3BD1D640449}" srcOrd="0" destOrd="0" presId="urn:microsoft.com/office/officeart/2009/3/layout/HorizontalOrganizationChart"/>
    <dgm:cxn modelId="{6865C61E-867A-4DFC-86DF-ACE26EFC49D9}" type="presOf" srcId="{D0D0B9AA-1C13-4C77-B437-0EC3283D2FC5}" destId="{A011E38E-8208-49E6-A023-756B3280DF4C}" srcOrd="0" destOrd="0" presId="urn:microsoft.com/office/officeart/2009/3/layout/HorizontalOrganizationChart"/>
    <dgm:cxn modelId="{1A0FF220-E6A6-4732-912C-943FD2AAC6E6}" type="presOf" srcId="{25FC0E55-5971-428F-9FC8-5122CAA6ABB2}" destId="{98280279-1E8D-447E-A883-C893F4C080D3}" srcOrd="0" destOrd="0" presId="urn:microsoft.com/office/officeart/2009/3/layout/HorizontalOrganizationChart"/>
    <dgm:cxn modelId="{686CF722-7282-407D-860D-7B8C9DB084BA}" type="presOf" srcId="{6EC214D0-4055-4A1B-9F44-61386971E021}" destId="{8597D8FD-2CB5-4059-B9B2-3DB49CB5C47C}" srcOrd="0" destOrd="0" presId="urn:microsoft.com/office/officeart/2009/3/layout/HorizontalOrganizationChart"/>
    <dgm:cxn modelId="{C496E129-74CA-46C9-89DF-F703F16C022D}" srcId="{A9D66D76-8882-4335-83BE-B0C515F2C160}" destId="{B33E14AE-CBB9-4AB4-BCA0-984CD5958CE1}" srcOrd="0" destOrd="0" parTransId="{6396E920-40C6-40D0-A001-D93921518672}" sibTransId="{0457113A-5EF5-4B6B-BD3E-8010823DD539}"/>
    <dgm:cxn modelId="{E862FD29-7BCF-44BD-8ACC-8E657ACC3DD9}" type="presOf" srcId="{31AAC110-D086-422D-9E99-96B84E54EE86}" destId="{AAC815B2-5C79-491F-BF13-5E0C98F86312}" srcOrd="0" destOrd="0" presId="urn:microsoft.com/office/officeart/2009/3/layout/HorizontalOrganizationChart"/>
    <dgm:cxn modelId="{F2E1332E-6EE3-46F5-8F4D-13778F6F9D88}" type="presOf" srcId="{96512245-191A-4AB4-80C2-B43C8A1EFF45}" destId="{13BD10ED-87F6-4F5D-A4E5-05FBF6B8DAA0}" srcOrd="0" destOrd="0" presId="urn:microsoft.com/office/officeart/2009/3/layout/HorizontalOrganizationChart"/>
    <dgm:cxn modelId="{D363555E-92CB-4FEE-9CC9-8F26C41D8E48}" type="presOf" srcId="{96512245-191A-4AB4-80C2-B43C8A1EFF45}" destId="{3741036E-70AF-45E8-BA9F-98E509E4B7DE}" srcOrd="1" destOrd="0" presId="urn:microsoft.com/office/officeart/2009/3/layout/HorizontalOrganizationChart"/>
    <dgm:cxn modelId="{CD6FD160-D17F-419E-A4C6-D1697F112E04}" type="presOf" srcId="{6CC4866A-B5E4-40AA-AD6B-31D819302E65}" destId="{BEDCFE54-884C-4907-AA6B-87896CF68509}" srcOrd="0" destOrd="0" presId="urn:microsoft.com/office/officeart/2009/3/layout/HorizontalOrganizationChart"/>
    <dgm:cxn modelId="{85022561-6400-4C85-9203-A7DCCE1C4D1C}" type="presOf" srcId="{E0E13126-F2AD-4100-B5EC-0D74FE00993E}" destId="{FAB22ED9-1095-47D4-9924-BCA8D52F0CD5}" srcOrd="0" destOrd="0" presId="urn:microsoft.com/office/officeart/2009/3/layout/HorizontalOrganizationChart"/>
    <dgm:cxn modelId="{C0713341-715D-422F-814B-09078E6C414A}" srcId="{341F429F-E337-4931-AEF4-588ADC4448CE}" destId="{A0DB29AD-98E2-46FF-B5D8-749E0644B6A4}" srcOrd="0" destOrd="0" parTransId="{6CC4866A-B5E4-40AA-AD6B-31D819302E65}" sibTransId="{9FEAD973-C797-4688-8BAB-C7502C8B02E0}"/>
    <dgm:cxn modelId="{7DFEE242-FBFC-4DC3-AF40-803A72B685F0}" type="presOf" srcId="{A0DB29AD-98E2-46FF-B5D8-749E0644B6A4}" destId="{8639A0DB-3DC8-45CF-80AE-C5A084F320DB}" srcOrd="0" destOrd="0" presId="urn:microsoft.com/office/officeart/2009/3/layout/HorizontalOrganizationChart"/>
    <dgm:cxn modelId="{B0E42166-9453-46BC-99CF-F133E674368C}" type="presOf" srcId="{E0E13126-F2AD-4100-B5EC-0D74FE00993E}" destId="{C0AF99A9-BF59-4665-A7AA-BE65418F7B34}" srcOrd="1" destOrd="0" presId="urn:microsoft.com/office/officeart/2009/3/layout/HorizontalOrganizationChart"/>
    <dgm:cxn modelId="{D1875767-503B-45E3-816B-FF882000EF35}" type="presOf" srcId="{B33E14AE-CBB9-4AB4-BCA0-984CD5958CE1}" destId="{F04DE5EC-5A20-4E5C-BD47-B4BF74EA80C2}" srcOrd="1" destOrd="0" presId="urn:microsoft.com/office/officeart/2009/3/layout/HorizontalOrganizationChart"/>
    <dgm:cxn modelId="{5F03964C-5278-47F0-92BD-3338616938D7}" type="presOf" srcId="{287CC2DC-8F54-44D3-A354-FC136487FDB1}" destId="{75CC4277-1DD9-4473-AC36-5375EFF5C300}" srcOrd="1" destOrd="0" presId="urn:microsoft.com/office/officeart/2009/3/layout/HorizontalOrganizationChart"/>
    <dgm:cxn modelId="{AEB39071-F3DD-476E-9B26-EB74ED7247B5}" type="presOf" srcId="{C07BA96C-0E7C-481B-8061-0F7AA55AD19E}" destId="{8CDE9708-5D02-4AE9-945F-078FE0F14EA2}" srcOrd="1" destOrd="0" presId="urn:microsoft.com/office/officeart/2009/3/layout/HorizontalOrganizationChart"/>
    <dgm:cxn modelId="{431E8D53-8F1C-4921-A7C6-E30FDD4797CE}" type="presOf" srcId="{C07BA96C-0E7C-481B-8061-0F7AA55AD19E}" destId="{AF176974-4173-4929-B0E3-827A9706224D}" srcOrd="0" destOrd="0" presId="urn:microsoft.com/office/officeart/2009/3/layout/HorizontalOrganizationChart"/>
    <dgm:cxn modelId="{5858F374-512C-40BF-8FC2-D50184558896}" type="presOf" srcId="{A0DB29AD-98E2-46FF-B5D8-749E0644B6A4}" destId="{235B450A-63F7-4EC0-94AF-9E6B59FC0657}" srcOrd="1" destOrd="0" presId="urn:microsoft.com/office/officeart/2009/3/layout/HorizontalOrganizationChart"/>
    <dgm:cxn modelId="{FB194077-AF94-4736-88EA-B77E3B3D9B3B}" type="presOf" srcId="{3AF68169-B933-469A-9E74-AB90C709D88A}" destId="{902327D9-8442-4D07-A52C-610D007C8CD0}" srcOrd="1" destOrd="0" presId="urn:microsoft.com/office/officeart/2009/3/layout/HorizontalOrganizationChart"/>
    <dgm:cxn modelId="{DF9C6A7A-BC8F-450A-8662-C57C4F14A3E4}" type="presOf" srcId="{44C60FF3-844E-4E0F-9D6E-F3B902CB3D97}" destId="{7346A157-E2D7-468A-BDCD-D82188EA8BDF}" srcOrd="0" destOrd="0" presId="urn:microsoft.com/office/officeart/2009/3/layout/HorizontalOrganizationChart"/>
    <dgm:cxn modelId="{1B790A7F-5F5D-4729-9CB6-86E32F7FC197}" type="presOf" srcId="{3AF68169-B933-469A-9E74-AB90C709D88A}" destId="{252C8661-A221-4D1C-8339-00D971FB656E}" srcOrd="0" destOrd="0" presId="urn:microsoft.com/office/officeart/2009/3/layout/HorizontalOrganizationChart"/>
    <dgm:cxn modelId="{02569580-9A54-4EB9-A952-4411B394E28C}" srcId="{A0DB29AD-98E2-46FF-B5D8-749E0644B6A4}" destId="{287CC2DC-8F54-44D3-A354-FC136487FDB1}" srcOrd="0" destOrd="0" parTransId="{1E17B06F-6B1F-4F26-93E5-C975958C3FC5}" sibTransId="{3458EBA9-70C4-4017-A534-B4921AE8CA28}"/>
    <dgm:cxn modelId="{EB941582-84AF-40F9-B16C-E60953DA016C}" type="presOf" srcId="{31AAC110-D086-422D-9E99-96B84E54EE86}" destId="{D350CCBF-473B-4F44-B821-0F2BB7D1284B}" srcOrd="1" destOrd="0" presId="urn:microsoft.com/office/officeart/2009/3/layout/HorizontalOrganizationChart"/>
    <dgm:cxn modelId="{6A88F385-4545-4570-BE90-431FD6DF3A69}" type="presOf" srcId="{287CC2DC-8F54-44D3-A354-FC136487FDB1}" destId="{78C1FEE3-8E78-4F96-9367-B91FE2A820D5}" srcOrd="0" destOrd="0" presId="urn:microsoft.com/office/officeart/2009/3/layout/HorizontalOrganizationChart"/>
    <dgm:cxn modelId="{53EA9889-EF24-4FE1-8AC6-D1E7F4AD835E}" srcId="{96512245-191A-4AB4-80C2-B43C8A1EFF45}" destId="{341F429F-E337-4931-AEF4-588ADC4448CE}" srcOrd="0" destOrd="0" parTransId="{6A612C92-E2B4-4AC7-851A-51C1BA24E5F8}" sibTransId="{8640039E-F047-4C19-B62F-07629ED84CCB}"/>
    <dgm:cxn modelId="{A0EB9B8D-EE34-49CC-B016-F889971462FE}" srcId="{341F429F-E337-4931-AEF4-588ADC4448CE}" destId="{E0E13126-F2AD-4100-B5EC-0D74FE00993E}" srcOrd="1" destOrd="0" parTransId="{A0D1AC9E-ED41-4A27-BC3B-97E0734539B5}" sibTransId="{F32D401E-46FB-4916-B9B1-1C650FA899EA}"/>
    <dgm:cxn modelId="{895FE29E-E332-483F-A64B-6F41B58D6850}" type="presOf" srcId="{A9D66D76-8882-4335-83BE-B0C515F2C160}" destId="{64712312-9078-4DCB-925A-B15BA5035436}" srcOrd="1" destOrd="0" presId="urn:microsoft.com/office/officeart/2009/3/layout/HorizontalOrganizationChart"/>
    <dgm:cxn modelId="{214230A0-0D15-41A2-898A-B40E83339880}" type="presOf" srcId="{4A9A10B3-9AE6-417B-BD44-6A6F0ADB1617}" destId="{0319D4E1-AC82-4A86-90ED-8EBDBEBBC4A1}" srcOrd="0" destOrd="0" presId="urn:microsoft.com/office/officeart/2009/3/layout/HorizontalOrganizationChart"/>
    <dgm:cxn modelId="{5C0D06AF-4D6C-419F-857B-A0AB579C183F}" type="presOf" srcId="{E38D6C0D-98CA-42A3-9AC3-BFCC76820B55}" destId="{1ED27379-679C-4E6B-A16B-B8AD196CF49D}" srcOrd="0" destOrd="0" presId="urn:microsoft.com/office/officeart/2009/3/layout/HorizontalOrganizationChart"/>
    <dgm:cxn modelId="{56FF5CB8-C93B-4E9B-B5DA-412EA35B4193}" type="presOf" srcId="{C7CDFB0F-19F5-4504-AC46-C472E78287F8}" destId="{92960EB1-8F44-4A2F-94A1-33D7BBD52CE5}" srcOrd="0" destOrd="0" presId="urn:microsoft.com/office/officeart/2009/3/layout/HorizontalOrganizationChart"/>
    <dgm:cxn modelId="{0365FFB9-C563-4EF6-863D-78AEB8D6CE8B}" srcId="{3AF68169-B933-469A-9E74-AB90C709D88A}" destId="{C7CDFB0F-19F5-4504-AC46-C472E78287F8}" srcOrd="0" destOrd="0" parTransId="{6EC214D0-4055-4A1B-9F44-61386971E021}" sibTransId="{C85E107D-8C87-4D1A-B735-64F409C9A8DC}"/>
    <dgm:cxn modelId="{6540BDBA-4288-4567-820F-61DF1BB2528F}" srcId="{B33E14AE-CBB9-4AB4-BCA0-984CD5958CE1}" destId="{33FD607A-3F6B-4431-AB8C-7804DF548A46}" srcOrd="1" destOrd="0" parTransId="{E38D6C0D-98CA-42A3-9AC3-BFCC76820B55}" sibTransId="{3B6F68B9-88B8-4648-80C3-B74B90BF21E4}"/>
    <dgm:cxn modelId="{BF1D6DBF-CCC1-4DBA-95C5-23AAB303E2E0}" srcId="{A0DB29AD-98E2-46FF-B5D8-749E0644B6A4}" destId="{EA92FF32-E715-4195-8D9F-76126D4F3FD8}" srcOrd="1" destOrd="0" parTransId="{673D0FD6-82D9-49D4-9F05-4EA7628FF9EA}" sibTransId="{D3170E04-826E-4D38-AEA3-CB45EE99CF65}"/>
    <dgm:cxn modelId="{D47111E1-FCAB-4501-9E65-ECA5D95217EB}" type="presOf" srcId="{673D0FD6-82D9-49D4-9F05-4EA7628FF9EA}" destId="{9A2B674C-F570-4A14-9C5B-0980724AECD1}" srcOrd="0" destOrd="0" presId="urn:microsoft.com/office/officeart/2009/3/layout/HorizontalOrganizationChart"/>
    <dgm:cxn modelId="{2B9B5EC3-7CEB-4038-9513-C7F1F4CDB57C}" type="presOf" srcId="{33FD607A-3F6B-4431-AB8C-7804DF548A46}" destId="{679CD07C-13C2-4CD9-953E-58D5B1680CCE}" srcOrd="1" destOrd="0" presId="urn:microsoft.com/office/officeart/2009/3/layout/HorizontalOrganizationChart"/>
    <dgm:cxn modelId="{EDF79CC3-2910-4575-9B2A-A4157FBC2D98}" srcId="{A9D66D76-8882-4335-83BE-B0C515F2C160}" destId="{3AF68169-B933-469A-9E74-AB90C709D88A}" srcOrd="1" destOrd="0" parTransId="{44C60FF3-844E-4E0F-9D6E-F3B902CB3D97}" sibTransId="{87135BC5-5C67-4BDE-9B6B-C3C6C8F50780}"/>
    <dgm:cxn modelId="{72FEFAC3-A3F0-4F03-882E-0C1E5554F352}" type="presOf" srcId="{60AC7DCE-BD56-46CE-A214-5B7D8B8D69A6}" destId="{D05A3ABB-9034-4713-813E-C22C2693B41B}" srcOrd="0" destOrd="0" presId="urn:microsoft.com/office/officeart/2009/3/layout/HorizontalOrganizationChart"/>
    <dgm:cxn modelId="{8C598FC5-22CC-4BFF-A1BF-5B20A20D30A2}" srcId="{96512245-191A-4AB4-80C2-B43C8A1EFF45}" destId="{C07BA96C-0E7C-481B-8061-0F7AA55AD19E}" srcOrd="2" destOrd="0" parTransId="{4A9A10B3-9AE6-417B-BD44-6A6F0ADB1617}" sibTransId="{5C81F051-825B-4FD5-B18F-C4290CA5A49F}"/>
    <dgm:cxn modelId="{2C0E70C6-145E-4FE0-90E3-F8D173EA92F8}" type="presOf" srcId="{EA92FF32-E715-4195-8D9F-76126D4F3FD8}" destId="{339E07FA-669B-4389-88AF-DA2C2F771854}" srcOrd="0" destOrd="0" presId="urn:microsoft.com/office/officeart/2009/3/layout/HorizontalOrganizationChart"/>
    <dgm:cxn modelId="{EEC6F1E6-1021-4E93-B27F-3E4A8907B0A3}" type="presOf" srcId="{C7CDFB0F-19F5-4504-AC46-C472E78287F8}" destId="{5CE973C0-FA9D-45AB-81B9-AAE9AE76F4F6}" srcOrd="1" destOrd="0" presId="urn:microsoft.com/office/officeart/2009/3/layout/HorizontalOrganizationChart"/>
    <dgm:cxn modelId="{6E5A43E7-D77E-4DBD-8AC2-A9AF52E13F78}" type="presOf" srcId="{A9D66D76-8882-4335-83BE-B0C515F2C160}" destId="{3BD48C46-D091-4071-A5C5-5CD130413E12}" srcOrd="0" destOrd="0" presId="urn:microsoft.com/office/officeart/2009/3/layout/HorizontalOrganizationChart"/>
    <dgm:cxn modelId="{071DC1E9-0748-49D0-B700-3D4B375EDA38}" type="presOf" srcId="{6A612C92-E2B4-4AC7-851A-51C1BA24E5F8}" destId="{F9EF43A1-D2FF-44B4-AD28-629E4E5D682E}" srcOrd="0" destOrd="0" presId="urn:microsoft.com/office/officeart/2009/3/layout/HorizontalOrganizationChart"/>
    <dgm:cxn modelId="{B0AF9EEA-8BD1-4A8B-B7A8-54A0396CD903}" srcId="{4619E802-115A-49B6-9B8F-250156F8DF51}" destId="{96512245-191A-4AB4-80C2-B43C8A1EFF45}" srcOrd="0" destOrd="0" parTransId="{A530B6E7-95F2-43F0-AB71-AA63C1D19B7B}" sibTransId="{1459F52D-94D1-496C-AD37-9200CE6B6A1F}"/>
    <dgm:cxn modelId="{C6F342EB-5E29-4EA8-A586-C75D76C5BAEC}" type="presOf" srcId="{6396E920-40C6-40D0-A001-D93921518672}" destId="{BC637AD8-FD8F-4C68-B9FD-520D8242BF8E}" srcOrd="0" destOrd="0" presId="urn:microsoft.com/office/officeart/2009/3/layout/HorizontalOrganizationChart"/>
    <dgm:cxn modelId="{CFE3ABD0-60F9-4B7C-BA74-F9B453C97C0B}" type="presOf" srcId="{1E17B06F-6B1F-4F26-93E5-C975958C3FC5}" destId="{253E0AB6-F415-4389-9A7D-9DD0B9616481}" srcOrd="0" destOrd="0" presId="urn:microsoft.com/office/officeart/2009/3/layout/HorizontalOrganizationChart"/>
    <dgm:cxn modelId="{A2537ED1-4017-490D-BD3B-6895E526CE18}" type="presOf" srcId="{33FD607A-3F6B-4431-AB8C-7804DF548A46}" destId="{05657726-F65D-450A-89DA-157646A41747}" srcOrd="0" destOrd="0" presId="urn:microsoft.com/office/officeart/2009/3/layout/HorizontalOrganizationChart"/>
    <dgm:cxn modelId="{F9C416FD-DCEF-4409-BA87-8BA6E63EFBB5}" type="presOf" srcId="{B33E14AE-CBB9-4AB4-BCA0-984CD5958CE1}" destId="{28A1BD51-5280-46B2-90E3-1A63575D1860}" srcOrd="0" destOrd="0" presId="urn:microsoft.com/office/officeart/2009/3/layout/HorizontalOrganizationChart"/>
    <dgm:cxn modelId="{E1C0359F-FE17-49CA-87F1-456EB5AFACA0}" type="presOf" srcId="{341F429F-E337-4931-AEF4-588ADC4448CE}" destId="{B8278F46-8541-4E50-A7A7-0605776A7146}" srcOrd="1" destOrd="0" presId="urn:microsoft.com/office/officeart/2009/3/layout/HorizontalOrganizationChart"/>
    <dgm:cxn modelId="{8364144A-C90D-4B8F-B968-BEEF97F116ED}" type="presParOf" srcId="{C870CC47-E1F6-42EE-831D-0BEA89806356}" destId="{E1BCDC29-C725-41A6-BF76-9524EB14C0A9}" srcOrd="0" destOrd="0" presId="urn:microsoft.com/office/officeart/2009/3/layout/HorizontalOrganizationChart"/>
    <dgm:cxn modelId="{48683516-F24B-4F5F-AE4A-07B097102A5C}" type="presParOf" srcId="{E1BCDC29-C725-41A6-BF76-9524EB14C0A9}" destId="{3040B3E1-4895-436C-BDD1-0BAF01667216}" srcOrd="0" destOrd="0" presId="urn:microsoft.com/office/officeart/2009/3/layout/HorizontalOrganizationChart"/>
    <dgm:cxn modelId="{36F75005-F846-40FF-82D4-0154DB924904}" type="presParOf" srcId="{3040B3E1-4895-436C-BDD1-0BAF01667216}" destId="{13BD10ED-87F6-4F5D-A4E5-05FBF6B8DAA0}" srcOrd="0" destOrd="0" presId="urn:microsoft.com/office/officeart/2009/3/layout/HorizontalOrganizationChart"/>
    <dgm:cxn modelId="{BCBB6A23-EA98-4544-823F-E559D02799E6}" type="presParOf" srcId="{3040B3E1-4895-436C-BDD1-0BAF01667216}" destId="{3741036E-70AF-45E8-BA9F-98E509E4B7DE}" srcOrd="1" destOrd="0" presId="urn:microsoft.com/office/officeart/2009/3/layout/HorizontalOrganizationChart"/>
    <dgm:cxn modelId="{ADA94E74-C21A-46CC-B5FD-9BA19183D073}" type="presParOf" srcId="{E1BCDC29-C725-41A6-BF76-9524EB14C0A9}" destId="{2EF37ECC-D592-4982-97E4-E865FA9C1503}" srcOrd="1" destOrd="0" presId="urn:microsoft.com/office/officeart/2009/3/layout/HorizontalOrganizationChart"/>
    <dgm:cxn modelId="{5CB420D7-4F37-4EB9-9F7E-E51F55ACDE9C}" type="presParOf" srcId="{2EF37ECC-D592-4982-97E4-E865FA9C1503}" destId="{F9EF43A1-D2FF-44B4-AD28-629E4E5D682E}" srcOrd="0" destOrd="0" presId="urn:microsoft.com/office/officeart/2009/3/layout/HorizontalOrganizationChart"/>
    <dgm:cxn modelId="{80035BF4-A74B-4035-95E2-F945D730109F}" type="presParOf" srcId="{2EF37ECC-D592-4982-97E4-E865FA9C1503}" destId="{11477632-09DD-4715-8650-7D5E988337D2}" srcOrd="1" destOrd="0" presId="urn:microsoft.com/office/officeart/2009/3/layout/HorizontalOrganizationChart"/>
    <dgm:cxn modelId="{82BFA8C5-FD19-49A8-A2E3-77054AF1CCBD}" type="presParOf" srcId="{11477632-09DD-4715-8650-7D5E988337D2}" destId="{6361A0DA-F01C-437A-A2E1-A9C66898F084}" srcOrd="0" destOrd="0" presId="urn:microsoft.com/office/officeart/2009/3/layout/HorizontalOrganizationChart"/>
    <dgm:cxn modelId="{BBCE00AD-2F45-4A03-83AB-9736296E0A21}" type="presParOf" srcId="{6361A0DA-F01C-437A-A2E1-A9C66898F084}" destId="{98F6C57C-85D3-43B4-A172-85A72644F983}" srcOrd="0" destOrd="0" presId="urn:microsoft.com/office/officeart/2009/3/layout/HorizontalOrganizationChart"/>
    <dgm:cxn modelId="{CBB3C7DA-FCE0-4724-8EEB-21DD72674F2B}" type="presParOf" srcId="{6361A0DA-F01C-437A-A2E1-A9C66898F084}" destId="{B8278F46-8541-4E50-A7A7-0605776A7146}" srcOrd="1" destOrd="0" presId="urn:microsoft.com/office/officeart/2009/3/layout/HorizontalOrganizationChart"/>
    <dgm:cxn modelId="{4121206E-4F96-4E77-969A-D43112E8AE4D}" type="presParOf" srcId="{11477632-09DD-4715-8650-7D5E988337D2}" destId="{4D304B05-E0DF-4CB6-8527-4D6BA73FEDDD}" srcOrd="1" destOrd="0" presId="urn:microsoft.com/office/officeart/2009/3/layout/HorizontalOrganizationChart"/>
    <dgm:cxn modelId="{567AB2E0-05B9-434B-B355-AD6E428FAB7B}" type="presParOf" srcId="{4D304B05-E0DF-4CB6-8527-4D6BA73FEDDD}" destId="{BEDCFE54-884C-4907-AA6B-87896CF68509}" srcOrd="0" destOrd="0" presId="urn:microsoft.com/office/officeart/2009/3/layout/HorizontalOrganizationChart"/>
    <dgm:cxn modelId="{2EBDA9AF-0377-448E-B372-053EEE1C3F08}" type="presParOf" srcId="{4D304B05-E0DF-4CB6-8527-4D6BA73FEDDD}" destId="{699C57BC-21FC-47D3-8F52-4CB3EEE3CAEF}" srcOrd="1" destOrd="0" presId="urn:microsoft.com/office/officeart/2009/3/layout/HorizontalOrganizationChart"/>
    <dgm:cxn modelId="{C982ED90-95F7-4880-9BC5-D44EF58FED4B}" type="presParOf" srcId="{699C57BC-21FC-47D3-8F52-4CB3EEE3CAEF}" destId="{4E6BD4FD-ABFC-4307-97E3-0F45F1125165}" srcOrd="0" destOrd="0" presId="urn:microsoft.com/office/officeart/2009/3/layout/HorizontalOrganizationChart"/>
    <dgm:cxn modelId="{AB3B0F31-AC28-4F56-B6D7-EC155525F392}" type="presParOf" srcId="{4E6BD4FD-ABFC-4307-97E3-0F45F1125165}" destId="{8639A0DB-3DC8-45CF-80AE-C5A084F320DB}" srcOrd="0" destOrd="0" presId="urn:microsoft.com/office/officeart/2009/3/layout/HorizontalOrganizationChart"/>
    <dgm:cxn modelId="{185001FB-D2F3-4302-8702-15B93C539359}" type="presParOf" srcId="{4E6BD4FD-ABFC-4307-97E3-0F45F1125165}" destId="{235B450A-63F7-4EC0-94AF-9E6B59FC0657}" srcOrd="1" destOrd="0" presId="urn:microsoft.com/office/officeart/2009/3/layout/HorizontalOrganizationChart"/>
    <dgm:cxn modelId="{D07D16B5-09AD-4E9F-8694-3289D0669072}" type="presParOf" srcId="{699C57BC-21FC-47D3-8F52-4CB3EEE3CAEF}" destId="{3416D793-C633-4694-A7B6-4EDC19D2D01E}" srcOrd="1" destOrd="0" presId="urn:microsoft.com/office/officeart/2009/3/layout/HorizontalOrganizationChart"/>
    <dgm:cxn modelId="{6711282D-0958-4DAC-B803-46C90FE74B94}" type="presParOf" srcId="{3416D793-C633-4694-A7B6-4EDC19D2D01E}" destId="{253E0AB6-F415-4389-9A7D-9DD0B9616481}" srcOrd="0" destOrd="0" presId="urn:microsoft.com/office/officeart/2009/3/layout/HorizontalOrganizationChart"/>
    <dgm:cxn modelId="{DF64C29C-63DB-448D-9A9F-3E56956E6D92}" type="presParOf" srcId="{3416D793-C633-4694-A7B6-4EDC19D2D01E}" destId="{ABC22763-1AA8-4787-9D0A-1B7EAF7F7874}" srcOrd="1" destOrd="0" presId="urn:microsoft.com/office/officeart/2009/3/layout/HorizontalOrganizationChart"/>
    <dgm:cxn modelId="{4500C499-8753-4124-AFFA-988CE53706A5}" type="presParOf" srcId="{ABC22763-1AA8-4787-9D0A-1B7EAF7F7874}" destId="{F548BB93-4766-49A3-BFEB-A9FD622BE852}" srcOrd="0" destOrd="0" presId="urn:microsoft.com/office/officeart/2009/3/layout/HorizontalOrganizationChart"/>
    <dgm:cxn modelId="{4F55D96E-D004-4DE8-81A0-01A0D865DB09}" type="presParOf" srcId="{F548BB93-4766-49A3-BFEB-A9FD622BE852}" destId="{78C1FEE3-8E78-4F96-9367-B91FE2A820D5}" srcOrd="0" destOrd="0" presId="urn:microsoft.com/office/officeart/2009/3/layout/HorizontalOrganizationChart"/>
    <dgm:cxn modelId="{7D5671EA-AF53-4C8E-B5B8-15282E322495}" type="presParOf" srcId="{F548BB93-4766-49A3-BFEB-A9FD622BE852}" destId="{75CC4277-1DD9-4473-AC36-5375EFF5C300}" srcOrd="1" destOrd="0" presId="urn:microsoft.com/office/officeart/2009/3/layout/HorizontalOrganizationChart"/>
    <dgm:cxn modelId="{1586BDF7-5947-42B0-B200-F6B303D813C1}" type="presParOf" srcId="{ABC22763-1AA8-4787-9D0A-1B7EAF7F7874}" destId="{B53DD20C-0AFF-4CA7-9FBB-4312E1DD663F}" srcOrd="1" destOrd="0" presId="urn:microsoft.com/office/officeart/2009/3/layout/HorizontalOrganizationChart"/>
    <dgm:cxn modelId="{8FED1D2A-2695-4324-BF09-928872060ADB}" type="presParOf" srcId="{ABC22763-1AA8-4787-9D0A-1B7EAF7F7874}" destId="{413E48DC-4F77-4747-A608-7AFEE808655A}" srcOrd="2" destOrd="0" presId="urn:microsoft.com/office/officeart/2009/3/layout/HorizontalOrganizationChart"/>
    <dgm:cxn modelId="{7CCF8F0C-805E-4024-BD6D-5947B3395F65}" type="presParOf" srcId="{3416D793-C633-4694-A7B6-4EDC19D2D01E}" destId="{9A2B674C-F570-4A14-9C5B-0980724AECD1}" srcOrd="2" destOrd="0" presId="urn:microsoft.com/office/officeart/2009/3/layout/HorizontalOrganizationChart"/>
    <dgm:cxn modelId="{8E661525-A1CE-44E9-B2CF-49983B5B6417}" type="presParOf" srcId="{3416D793-C633-4694-A7B6-4EDC19D2D01E}" destId="{54A0C980-B0D3-4AA6-99C9-AB09812A73B0}" srcOrd="3" destOrd="0" presId="urn:microsoft.com/office/officeart/2009/3/layout/HorizontalOrganizationChart"/>
    <dgm:cxn modelId="{B41C09D0-9AB6-48C7-BD3F-061CF59F428F}" type="presParOf" srcId="{54A0C980-B0D3-4AA6-99C9-AB09812A73B0}" destId="{E005347D-D005-434E-842C-05C8845A7D10}" srcOrd="0" destOrd="0" presId="urn:microsoft.com/office/officeart/2009/3/layout/HorizontalOrganizationChart"/>
    <dgm:cxn modelId="{A07F6C52-3BDE-4AF2-917A-549289358B78}" type="presParOf" srcId="{E005347D-D005-434E-842C-05C8845A7D10}" destId="{339E07FA-669B-4389-88AF-DA2C2F771854}" srcOrd="0" destOrd="0" presId="urn:microsoft.com/office/officeart/2009/3/layout/HorizontalOrganizationChart"/>
    <dgm:cxn modelId="{500BA22F-F62C-46B4-B47E-C6B0901ECA8D}" type="presParOf" srcId="{E005347D-D005-434E-842C-05C8845A7D10}" destId="{EEE83D6F-BFE8-40B0-8FE4-EDEB124FDE86}" srcOrd="1" destOrd="0" presId="urn:microsoft.com/office/officeart/2009/3/layout/HorizontalOrganizationChart"/>
    <dgm:cxn modelId="{E7C3DD9C-CC0A-4CB5-B60C-AEFC44FD8DC4}" type="presParOf" srcId="{54A0C980-B0D3-4AA6-99C9-AB09812A73B0}" destId="{9EBECD65-E322-4A53-A66C-B00C7C028941}" srcOrd="1" destOrd="0" presId="urn:microsoft.com/office/officeart/2009/3/layout/HorizontalOrganizationChart"/>
    <dgm:cxn modelId="{133D54B0-0385-4BE0-9DC4-9FAC986C36D9}" type="presParOf" srcId="{54A0C980-B0D3-4AA6-99C9-AB09812A73B0}" destId="{8B684F50-B067-4801-8281-57159DD82DAB}" srcOrd="2" destOrd="0" presId="urn:microsoft.com/office/officeart/2009/3/layout/HorizontalOrganizationChart"/>
    <dgm:cxn modelId="{105BEB7C-9903-4F7A-B2C0-F20CB80CF299}" type="presParOf" srcId="{699C57BC-21FC-47D3-8F52-4CB3EEE3CAEF}" destId="{AB1F141B-9EC5-4F06-9C11-A97B2DCB1558}" srcOrd="2" destOrd="0" presId="urn:microsoft.com/office/officeart/2009/3/layout/HorizontalOrganizationChart"/>
    <dgm:cxn modelId="{464B0348-FECA-46F1-A866-D6C81BA0C03F}" type="presParOf" srcId="{4D304B05-E0DF-4CB6-8527-4D6BA73FEDDD}" destId="{7B482432-123E-4D79-BDB6-B4D022218B72}" srcOrd="2" destOrd="0" presId="urn:microsoft.com/office/officeart/2009/3/layout/HorizontalOrganizationChart"/>
    <dgm:cxn modelId="{4EB65D64-F42B-4D98-89E7-1ACC3C7916ED}" type="presParOf" srcId="{4D304B05-E0DF-4CB6-8527-4D6BA73FEDDD}" destId="{72E3B5CD-AB94-4D93-B1C1-8A5680B6DF91}" srcOrd="3" destOrd="0" presId="urn:microsoft.com/office/officeart/2009/3/layout/HorizontalOrganizationChart"/>
    <dgm:cxn modelId="{A78B82A7-B7E1-47A8-AA19-A846A16DB9D8}" type="presParOf" srcId="{72E3B5CD-AB94-4D93-B1C1-8A5680B6DF91}" destId="{518F1D7A-4186-40D7-9BCD-1E739785E24B}" srcOrd="0" destOrd="0" presId="urn:microsoft.com/office/officeart/2009/3/layout/HorizontalOrganizationChart"/>
    <dgm:cxn modelId="{631BB406-E2D4-4D51-AAEF-1CE80879E434}" type="presParOf" srcId="{518F1D7A-4186-40D7-9BCD-1E739785E24B}" destId="{FAB22ED9-1095-47D4-9924-BCA8D52F0CD5}" srcOrd="0" destOrd="0" presId="urn:microsoft.com/office/officeart/2009/3/layout/HorizontalOrganizationChart"/>
    <dgm:cxn modelId="{CC3DA137-720F-4901-9CED-AA325D4F36B8}" type="presParOf" srcId="{518F1D7A-4186-40D7-9BCD-1E739785E24B}" destId="{C0AF99A9-BF59-4665-A7AA-BE65418F7B34}" srcOrd="1" destOrd="0" presId="urn:microsoft.com/office/officeart/2009/3/layout/HorizontalOrganizationChart"/>
    <dgm:cxn modelId="{C7444135-F8C1-4851-BA3F-BC082BF27D75}" type="presParOf" srcId="{72E3B5CD-AB94-4D93-B1C1-8A5680B6DF91}" destId="{E9B5D499-341F-4996-A8BA-FC10087BAA37}" srcOrd="1" destOrd="0" presId="urn:microsoft.com/office/officeart/2009/3/layout/HorizontalOrganizationChart"/>
    <dgm:cxn modelId="{937E88AE-3381-4D65-BADE-A0CA5D948584}" type="presParOf" srcId="{E9B5D499-341F-4996-A8BA-FC10087BAA37}" destId="{98280279-1E8D-447E-A883-C893F4C080D3}" srcOrd="0" destOrd="0" presId="urn:microsoft.com/office/officeart/2009/3/layout/HorizontalOrganizationChart"/>
    <dgm:cxn modelId="{C86DE63B-6679-49B1-8A1B-681B38CEA1AE}" type="presParOf" srcId="{E9B5D499-341F-4996-A8BA-FC10087BAA37}" destId="{57186C66-1FD1-4E45-A5B1-EA19FC288B55}" srcOrd="1" destOrd="0" presId="urn:microsoft.com/office/officeart/2009/3/layout/HorizontalOrganizationChart"/>
    <dgm:cxn modelId="{B517C8CE-536F-4A46-8B56-BE8864BA9B37}" type="presParOf" srcId="{57186C66-1FD1-4E45-A5B1-EA19FC288B55}" destId="{180D8406-2D1B-426F-A577-1C5447F93BD1}" srcOrd="0" destOrd="0" presId="urn:microsoft.com/office/officeart/2009/3/layout/HorizontalOrganizationChart"/>
    <dgm:cxn modelId="{D4B675D6-C4DE-4852-AF47-BB2D470923AA}" type="presParOf" srcId="{180D8406-2D1B-426F-A577-1C5447F93BD1}" destId="{AAC815B2-5C79-491F-BF13-5E0C98F86312}" srcOrd="0" destOrd="0" presId="urn:microsoft.com/office/officeart/2009/3/layout/HorizontalOrganizationChart"/>
    <dgm:cxn modelId="{6BEAA22D-503A-4D01-97E2-965F609975F2}" type="presParOf" srcId="{180D8406-2D1B-426F-A577-1C5447F93BD1}" destId="{D350CCBF-473B-4F44-B821-0F2BB7D1284B}" srcOrd="1" destOrd="0" presId="urn:microsoft.com/office/officeart/2009/3/layout/HorizontalOrganizationChart"/>
    <dgm:cxn modelId="{8483FF5B-B8CA-476B-B564-FF759E9EF228}" type="presParOf" srcId="{57186C66-1FD1-4E45-A5B1-EA19FC288B55}" destId="{93E3FEED-67EC-41A6-A49B-E864585E499F}" srcOrd="1" destOrd="0" presId="urn:microsoft.com/office/officeart/2009/3/layout/HorizontalOrganizationChart"/>
    <dgm:cxn modelId="{9AAC5D86-9483-4E44-96DB-51A2213C491D}" type="presParOf" srcId="{57186C66-1FD1-4E45-A5B1-EA19FC288B55}" destId="{96266D13-5EF0-4535-92BD-1BA08CEF8851}" srcOrd="2" destOrd="0" presId="urn:microsoft.com/office/officeart/2009/3/layout/HorizontalOrganizationChart"/>
    <dgm:cxn modelId="{DBD1E144-9B24-4209-9C86-B1CE6107B41F}" type="presParOf" srcId="{72E3B5CD-AB94-4D93-B1C1-8A5680B6DF91}" destId="{01935637-A951-4086-82CC-BA5042166CE5}" srcOrd="2" destOrd="0" presId="urn:microsoft.com/office/officeart/2009/3/layout/HorizontalOrganizationChart"/>
    <dgm:cxn modelId="{04E0EAF3-E5A2-4B70-91BB-20363D90C614}" type="presParOf" srcId="{11477632-09DD-4715-8650-7D5E988337D2}" destId="{A913033C-FDD7-4265-A95D-9CF1E3638D4F}" srcOrd="2" destOrd="0" presId="urn:microsoft.com/office/officeart/2009/3/layout/HorizontalOrganizationChart"/>
    <dgm:cxn modelId="{436F11F7-C86A-4C47-9F74-95D6624440FC}" type="presParOf" srcId="{2EF37ECC-D592-4982-97E4-E865FA9C1503}" destId="{A011E38E-8208-49E6-A023-756B3280DF4C}" srcOrd="2" destOrd="0" presId="urn:microsoft.com/office/officeart/2009/3/layout/HorizontalOrganizationChart"/>
    <dgm:cxn modelId="{9A481731-FC1B-4E32-BEFD-34B450F257BD}" type="presParOf" srcId="{2EF37ECC-D592-4982-97E4-E865FA9C1503}" destId="{8082F20A-B3FF-4388-AA30-494C75033952}" srcOrd="3" destOrd="0" presId="urn:microsoft.com/office/officeart/2009/3/layout/HorizontalOrganizationChart"/>
    <dgm:cxn modelId="{EF5E0E1B-4229-4A74-A6BC-7641814EE2BC}" type="presParOf" srcId="{8082F20A-B3FF-4388-AA30-494C75033952}" destId="{441BB318-A419-419E-ADEF-77669A035E88}" srcOrd="0" destOrd="0" presId="urn:microsoft.com/office/officeart/2009/3/layout/HorizontalOrganizationChart"/>
    <dgm:cxn modelId="{F9AA9946-C173-4A6C-9762-623D2CBEC600}" type="presParOf" srcId="{441BB318-A419-419E-ADEF-77669A035E88}" destId="{3BD48C46-D091-4071-A5C5-5CD130413E12}" srcOrd="0" destOrd="0" presId="urn:microsoft.com/office/officeart/2009/3/layout/HorizontalOrganizationChart"/>
    <dgm:cxn modelId="{F0763284-EC2B-41C7-A1C3-7833A84990B1}" type="presParOf" srcId="{441BB318-A419-419E-ADEF-77669A035E88}" destId="{64712312-9078-4DCB-925A-B15BA5035436}" srcOrd="1" destOrd="0" presId="urn:microsoft.com/office/officeart/2009/3/layout/HorizontalOrganizationChart"/>
    <dgm:cxn modelId="{2ECC5D7F-21A9-4C4C-A915-A8586819121A}" type="presParOf" srcId="{8082F20A-B3FF-4388-AA30-494C75033952}" destId="{0DFAAA48-B13B-4C62-8FB7-77A6DFDFFE43}" srcOrd="1" destOrd="0" presId="urn:microsoft.com/office/officeart/2009/3/layout/HorizontalOrganizationChart"/>
    <dgm:cxn modelId="{EDD0ACCD-775E-429F-856F-05F682FCBC26}" type="presParOf" srcId="{0DFAAA48-B13B-4C62-8FB7-77A6DFDFFE43}" destId="{BC637AD8-FD8F-4C68-B9FD-520D8242BF8E}" srcOrd="0" destOrd="0" presId="urn:microsoft.com/office/officeart/2009/3/layout/HorizontalOrganizationChart"/>
    <dgm:cxn modelId="{50BD72A9-4AFD-4674-98D2-14931E868EBA}" type="presParOf" srcId="{0DFAAA48-B13B-4C62-8FB7-77A6DFDFFE43}" destId="{42CF3CD4-6D96-4A48-B4A0-0D2B1D325726}" srcOrd="1" destOrd="0" presId="urn:microsoft.com/office/officeart/2009/3/layout/HorizontalOrganizationChart"/>
    <dgm:cxn modelId="{842B55B2-9190-42B6-BAC2-E18E08C72C31}" type="presParOf" srcId="{42CF3CD4-6D96-4A48-B4A0-0D2B1D325726}" destId="{2453F6AD-29E3-4199-8BD0-488A47584022}" srcOrd="0" destOrd="0" presId="urn:microsoft.com/office/officeart/2009/3/layout/HorizontalOrganizationChart"/>
    <dgm:cxn modelId="{271D3F28-095A-4099-8A8A-FE7D101025D2}" type="presParOf" srcId="{2453F6AD-29E3-4199-8BD0-488A47584022}" destId="{28A1BD51-5280-46B2-90E3-1A63575D1860}" srcOrd="0" destOrd="0" presId="urn:microsoft.com/office/officeart/2009/3/layout/HorizontalOrganizationChart"/>
    <dgm:cxn modelId="{7E16492D-BE90-4092-A6A3-6669D2B570E6}" type="presParOf" srcId="{2453F6AD-29E3-4199-8BD0-488A47584022}" destId="{F04DE5EC-5A20-4E5C-BD47-B4BF74EA80C2}" srcOrd="1" destOrd="0" presId="urn:microsoft.com/office/officeart/2009/3/layout/HorizontalOrganizationChart"/>
    <dgm:cxn modelId="{B2537A8F-4B22-451C-9C95-A2A7FFE08A8D}" type="presParOf" srcId="{42CF3CD4-6D96-4A48-B4A0-0D2B1D325726}" destId="{0811DE3C-A28D-451F-A2E5-552FF10A223A}" srcOrd="1" destOrd="0" presId="urn:microsoft.com/office/officeart/2009/3/layout/HorizontalOrganizationChart"/>
    <dgm:cxn modelId="{BD2833A2-186E-48FE-9FD4-0D038DEB0883}" type="presParOf" srcId="{0811DE3C-A28D-451F-A2E5-552FF10A223A}" destId="{D05A3ABB-9034-4713-813E-C22C2693B41B}" srcOrd="0" destOrd="0" presId="urn:microsoft.com/office/officeart/2009/3/layout/HorizontalOrganizationChart"/>
    <dgm:cxn modelId="{E4B4B40F-AF08-4843-9C02-08CFF5775CDD}" type="presParOf" srcId="{0811DE3C-A28D-451F-A2E5-552FF10A223A}" destId="{F92CE192-C306-4F5D-9727-941BF6ED1E21}" srcOrd="1" destOrd="0" presId="urn:microsoft.com/office/officeart/2009/3/layout/HorizontalOrganizationChart"/>
    <dgm:cxn modelId="{FF5B6659-72A8-4DBE-9BE7-C06E99F23D36}" type="presParOf" srcId="{F92CE192-C306-4F5D-9727-941BF6ED1E21}" destId="{2A690FCC-2E94-4B17-8780-415F64FE1502}" srcOrd="0" destOrd="0" presId="urn:microsoft.com/office/officeart/2009/3/layout/HorizontalOrganizationChart"/>
    <dgm:cxn modelId="{96C3079F-DF19-493F-AEBE-44F5EBB37D46}" type="presParOf" srcId="{2A690FCC-2E94-4B17-8780-415F64FE1502}" destId="{A4C12E18-EB37-4CBE-9C66-C3BD1D640449}" srcOrd="0" destOrd="0" presId="urn:microsoft.com/office/officeart/2009/3/layout/HorizontalOrganizationChart"/>
    <dgm:cxn modelId="{DC612258-917C-4535-B5FA-CE5098F0AFC1}" type="presParOf" srcId="{2A690FCC-2E94-4B17-8780-415F64FE1502}" destId="{3A1D6833-3E9E-40F0-BC07-FD8764956379}" srcOrd="1" destOrd="0" presId="urn:microsoft.com/office/officeart/2009/3/layout/HorizontalOrganizationChart"/>
    <dgm:cxn modelId="{9EB3CA57-D6BA-419E-A29E-D48503E72C50}" type="presParOf" srcId="{F92CE192-C306-4F5D-9727-941BF6ED1E21}" destId="{ACA7730F-09BB-45A6-8E6A-BD6DB4B3FDB0}" srcOrd="1" destOrd="0" presId="urn:microsoft.com/office/officeart/2009/3/layout/HorizontalOrganizationChart"/>
    <dgm:cxn modelId="{E3A1F936-F4DB-4258-8CB7-657A19BA8C93}" type="presParOf" srcId="{F92CE192-C306-4F5D-9727-941BF6ED1E21}" destId="{B6D725F8-DFDA-48B8-82DB-FBB234B9D095}" srcOrd="2" destOrd="0" presId="urn:microsoft.com/office/officeart/2009/3/layout/HorizontalOrganizationChart"/>
    <dgm:cxn modelId="{45513CAF-A9F5-4818-97B6-0D227541CB4D}" type="presParOf" srcId="{0811DE3C-A28D-451F-A2E5-552FF10A223A}" destId="{1ED27379-679C-4E6B-A16B-B8AD196CF49D}" srcOrd="2" destOrd="0" presId="urn:microsoft.com/office/officeart/2009/3/layout/HorizontalOrganizationChart"/>
    <dgm:cxn modelId="{BC2C08A2-D3D3-4AC8-8170-EC7DC4A5B1F8}" type="presParOf" srcId="{0811DE3C-A28D-451F-A2E5-552FF10A223A}" destId="{54608F9A-0383-46FC-B7D4-65857E9DC787}" srcOrd="3" destOrd="0" presId="urn:microsoft.com/office/officeart/2009/3/layout/HorizontalOrganizationChart"/>
    <dgm:cxn modelId="{9DCB0489-515E-4DE6-9DA3-02676974B64A}" type="presParOf" srcId="{54608F9A-0383-46FC-B7D4-65857E9DC787}" destId="{255D4887-FB02-42E9-89E4-C858A2E88C04}" srcOrd="0" destOrd="0" presId="urn:microsoft.com/office/officeart/2009/3/layout/HorizontalOrganizationChart"/>
    <dgm:cxn modelId="{487E8FBB-C82F-4AEE-8127-93A28E28F3DA}" type="presParOf" srcId="{255D4887-FB02-42E9-89E4-C858A2E88C04}" destId="{05657726-F65D-450A-89DA-157646A41747}" srcOrd="0" destOrd="0" presId="urn:microsoft.com/office/officeart/2009/3/layout/HorizontalOrganizationChart"/>
    <dgm:cxn modelId="{55B7D16B-7D55-42BA-B2CE-739A0678056C}" type="presParOf" srcId="{255D4887-FB02-42E9-89E4-C858A2E88C04}" destId="{679CD07C-13C2-4CD9-953E-58D5B1680CCE}" srcOrd="1" destOrd="0" presId="urn:microsoft.com/office/officeart/2009/3/layout/HorizontalOrganizationChart"/>
    <dgm:cxn modelId="{63147B6A-F8EF-44D8-A94E-BEA6C0A05196}" type="presParOf" srcId="{54608F9A-0383-46FC-B7D4-65857E9DC787}" destId="{96094710-0E1D-49E8-96BC-CE464BC1F13E}" srcOrd="1" destOrd="0" presId="urn:microsoft.com/office/officeart/2009/3/layout/HorizontalOrganizationChart"/>
    <dgm:cxn modelId="{1ECA78DC-3D24-4D02-A1D6-1D22FB91647B}" type="presParOf" srcId="{54608F9A-0383-46FC-B7D4-65857E9DC787}" destId="{9F55719A-58CF-4630-AB5F-F842F3E02948}" srcOrd="2" destOrd="0" presId="urn:microsoft.com/office/officeart/2009/3/layout/HorizontalOrganizationChart"/>
    <dgm:cxn modelId="{64E7C1E4-703B-4292-A742-CE5A42FDCD80}" type="presParOf" srcId="{42CF3CD4-6D96-4A48-B4A0-0D2B1D325726}" destId="{05F3635D-8218-4AC5-AF71-6BC6FFCFDA1F}" srcOrd="2" destOrd="0" presId="urn:microsoft.com/office/officeart/2009/3/layout/HorizontalOrganizationChart"/>
    <dgm:cxn modelId="{1A7E13C5-9A34-45B0-BA70-31DDFD8F6E75}" type="presParOf" srcId="{0DFAAA48-B13B-4C62-8FB7-77A6DFDFFE43}" destId="{7346A157-E2D7-468A-BDCD-D82188EA8BDF}" srcOrd="2" destOrd="0" presId="urn:microsoft.com/office/officeart/2009/3/layout/HorizontalOrganizationChart"/>
    <dgm:cxn modelId="{5F013464-6FDE-4889-BA3B-6059AF5D398C}" type="presParOf" srcId="{0DFAAA48-B13B-4C62-8FB7-77A6DFDFFE43}" destId="{57AF29D1-CD3D-47CC-A027-68BED494EE73}" srcOrd="3" destOrd="0" presId="urn:microsoft.com/office/officeart/2009/3/layout/HorizontalOrganizationChart"/>
    <dgm:cxn modelId="{CFC7FF14-F414-4620-8B48-E8548E96369D}" type="presParOf" srcId="{57AF29D1-CD3D-47CC-A027-68BED494EE73}" destId="{054F0D70-6E53-40DD-81E9-59665912A0F6}" srcOrd="0" destOrd="0" presId="urn:microsoft.com/office/officeart/2009/3/layout/HorizontalOrganizationChart"/>
    <dgm:cxn modelId="{25E59804-D802-48D1-8B95-0876819F1B90}" type="presParOf" srcId="{054F0D70-6E53-40DD-81E9-59665912A0F6}" destId="{252C8661-A221-4D1C-8339-00D971FB656E}" srcOrd="0" destOrd="0" presId="urn:microsoft.com/office/officeart/2009/3/layout/HorizontalOrganizationChart"/>
    <dgm:cxn modelId="{1CCD0BB4-8B23-48B6-961B-1C2C1279164B}" type="presParOf" srcId="{054F0D70-6E53-40DD-81E9-59665912A0F6}" destId="{902327D9-8442-4D07-A52C-610D007C8CD0}" srcOrd="1" destOrd="0" presId="urn:microsoft.com/office/officeart/2009/3/layout/HorizontalOrganizationChart"/>
    <dgm:cxn modelId="{6C40A6B4-DB6B-4947-86E1-CE7BF215471E}" type="presParOf" srcId="{57AF29D1-CD3D-47CC-A027-68BED494EE73}" destId="{E1B9C5A4-6CBD-4068-8016-D00A1B209CE5}" srcOrd="1" destOrd="0" presId="urn:microsoft.com/office/officeart/2009/3/layout/HorizontalOrganizationChart"/>
    <dgm:cxn modelId="{981508E6-9E87-4827-BAAC-D357C5A8B13C}" type="presParOf" srcId="{E1B9C5A4-6CBD-4068-8016-D00A1B209CE5}" destId="{8597D8FD-2CB5-4059-B9B2-3DB49CB5C47C}" srcOrd="0" destOrd="0" presId="urn:microsoft.com/office/officeart/2009/3/layout/HorizontalOrganizationChart"/>
    <dgm:cxn modelId="{6E4ACEB5-1FC0-4C95-B0DB-4B48886E11FF}" type="presParOf" srcId="{E1B9C5A4-6CBD-4068-8016-D00A1B209CE5}" destId="{55F406B7-5A30-4481-93FD-EB66623DC1E0}" srcOrd="1" destOrd="0" presId="urn:microsoft.com/office/officeart/2009/3/layout/HorizontalOrganizationChart"/>
    <dgm:cxn modelId="{719CB7F4-243D-4B90-ABED-20277E5E1906}" type="presParOf" srcId="{55F406B7-5A30-4481-93FD-EB66623DC1E0}" destId="{90F20C3A-C0A9-4125-9652-CDFCF37FF11C}" srcOrd="0" destOrd="0" presId="urn:microsoft.com/office/officeart/2009/3/layout/HorizontalOrganizationChart"/>
    <dgm:cxn modelId="{4D67FB99-FC20-4CB4-8669-6A78452A286D}" type="presParOf" srcId="{90F20C3A-C0A9-4125-9652-CDFCF37FF11C}" destId="{92960EB1-8F44-4A2F-94A1-33D7BBD52CE5}" srcOrd="0" destOrd="0" presId="urn:microsoft.com/office/officeart/2009/3/layout/HorizontalOrganizationChart"/>
    <dgm:cxn modelId="{99BD0B23-30B8-46B6-9963-E0122BA51D62}" type="presParOf" srcId="{90F20C3A-C0A9-4125-9652-CDFCF37FF11C}" destId="{5CE973C0-FA9D-45AB-81B9-AAE9AE76F4F6}" srcOrd="1" destOrd="0" presId="urn:microsoft.com/office/officeart/2009/3/layout/HorizontalOrganizationChart"/>
    <dgm:cxn modelId="{0A9668AB-9343-43E2-996E-D15FA6318CE1}" type="presParOf" srcId="{55F406B7-5A30-4481-93FD-EB66623DC1E0}" destId="{E43532EB-6DC0-4DD6-AF43-E71C59B686A6}" srcOrd="1" destOrd="0" presId="urn:microsoft.com/office/officeart/2009/3/layout/HorizontalOrganizationChart"/>
    <dgm:cxn modelId="{CD729B30-A12A-46FC-B907-F867ED736840}" type="presParOf" srcId="{55F406B7-5A30-4481-93FD-EB66623DC1E0}" destId="{BC215A21-85B6-46E0-BC33-A027A637AB03}" srcOrd="2" destOrd="0" presId="urn:microsoft.com/office/officeart/2009/3/layout/HorizontalOrganizationChart"/>
    <dgm:cxn modelId="{692A3F92-EFDE-41EE-A116-B8EA2EF58154}" type="presParOf" srcId="{57AF29D1-CD3D-47CC-A027-68BED494EE73}" destId="{04796EC1-0F52-4FD8-900F-8434587AE9D5}" srcOrd="2" destOrd="0" presId="urn:microsoft.com/office/officeart/2009/3/layout/HorizontalOrganizationChart"/>
    <dgm:cxn modelId="{CA163993-02C7-4A77-ACD9-459F2A28BD1B}" type="presParOf" srcId="{8082F20A-B3FF-4388-AA30-494C75033952}" destId="{00D28F12-76A7-48F5-8E14-6895C786EC61}" srcOrd="2" destOrd="0" presId="urn:microsoft.com/office/officeart/2009/3/layout/HorizontalOrganizationChart"/>
    <dgm:cxn modelId="{1654F763-5E27-4EB4-9EF1-043A7DB5EEDB}" type="presParOf" srcId="{2EF37ECC-D592-4982-97E4-E865FA9C1503}" destId="{0319D4E1-AC82-4A86-90ED-8EBDBEBBC4A1}" srcOrd="4" destOrd="0" presId="urn:microsoft.com/office/officeart/2009/3/layout/HorizontalOrganizationChart"/>
    <dgm:cxn modelId="{4CEB62AB-48B8-4A5D-8E76-3562062613A7}" type="presParOf" srcId="{2EF37ECC-D592-4982-97E4-E865FA9C1503}" destId="{26E6CFFA-DEFB-41D0-8177-903EF8BBC707}" srcOrd="5" destOrd="0" presId="urn:microsoft.com/office/officeart/2009/3/layout/HorizontalOrganizationChart"/>
    <dgm:cxn modelId="{B9344D11-BF8B-49C8-8CD6-C751A8CCD74C}" type="presParOf" srcId="{26E6CFFA-DEFB-41D0-8177-903EF8BBC707}" destId="{C63321B3-CFC2-488F-A03C-3584228297B1}" srcOrd="0" destOrd="0" presId="urn:microsoft.com/office/officeart/2009/3/layout/HorizontalOrganizationChart"/>
    <dgm:cxn modelId="{B09A1FD2-7F09-4805-8F76-541C36B3253E}" type="presParOf" srcId="{C63321B3-CFC2-488F-A03C-3584228297B1}" destId="{AF176974-4173-4929-B0E3-827A9706224D}" srcOrd="0" destOrd="0" presId="urn:microsoft.com/office/officeart/2009/3/layout/HorizontalOrganizationChart"/>
    <dgm:cxn modelId="{83239C5A-E4EF-4501-B974-49B8DFE0A6BF}" type="presParOf" srcId="{C63321B3-CFC2-488F-A03C-3584228297B1}" destId="{8CDE9708-5D02-4AE9-945F-078FE0F14EA2}" srcOrd="1" destOrd="0" presId="urn:microsoft.com/office/officeart/2009/3/layout/HorizontalOrganizationChart"/>
    <dgm:cxn modelId="{84D7BAA3-45FD-4A7F-86CA-C4E7656B9BA2}" type="presParOf" srcId="{26E6CFFA-DEFB-41D0-8177-903EF8BBC707}" destId="{B81BE7C9-D413-4A51-B975-339955C79572}" srcOrd="1" destOrd="0" presId="urn:microsoft.com/office/officeart/2009/3/layout/HorizontalOrganizationChart"/>
    <dgm:cxn modelId="{9AE9C9A5-86E3-491C-BAB6-EF3A5B2578E4}" type="presParOf" srcId="{26E6CFFA-DEFB-41D0-8177-903EF8BBC707}" destId="{3389A0FE-B343-4EAB-AF17-53EF439DBF59}" srcOrd="2" destOrd="0" presId="urn:microsoft.com/office/officeart/2009/3/layout/HorizontalOrganizationChart"/>
    <dgm:cxn modelId="{2AFA8BDA-B749-4838-840A-BAFF93814B52}" type="presParOf" srcId="{E1BCDC29-C725-41A6-BF76-9524EB14C0A9}" destId="{E4E30344-78E8-43D3-9E94-28E3F28A1EA9}" srcOrd="2" destOrd="0" presId="urn:microsoft.com/office/officeart/2009/3/layout/HorizontalOrganizationChart"/>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0D499EA-0765-4BAB-9247-1366AAA73585}" type="doc">
      <dgm:prSet loTypeId="urn:microsoft.com/office/officeart/2009/3/layout/HorizontalOrganizationChart" loCatId="hierarchy" qsTypeId="urn:microsoft.com/office/officeart/2005/8/quickstyle/simple1" qsCatId="simple" csTypeId="urn:microsoft.com/office/officeart/2005/8/colors/accent1_4" csCatId="accent1" phldr="1"/>
      <dgm:spPr/>
      <dgm:t>
        <a:bodyPr/>
        <a:lstStyle/>
        <a:p>
          <a:endParaRPr lang="en-AU"/>
        </a:p>
      </dgm:t>
    </dgm:pt>
    <dgm:pt modelId="{E57B990B-6C00-4942-83FA-84C9178BC606}">
      <dgm:prSet phldrT="[Text]" custT="1"/>
      <dgm:spPr>
        <a:xfrm>
          <a:off x="1287869" y="1027015"/>
          <a:ext cx="1189992" cy="594996"/>
        </a:xfrm>
      </dgm:spPr>
      <dgm:t>
        <a:bodyPr/>
        <a:lstStyle/>
        <a:p>
          <a:r>
            <a:rPr lang="en-AU" sz="600">
              <a:solidFill>
                <a:schemeClr val="tx1">
                  <a:lumMod val="95000"/>
                  <a:lumOff val="5000"/>
                </a:schemeClr>
              </a:solidFill>
              <a:latin typeface="+mj-lt"/>
            </a:rPr>
            <a:t>Improved risk management practices in target industries</a:t>
          </a:r>
        </a:p>
      </dgm:t>
    </dgm:pt>
    <dgm:pt modelId="{C5146EA9-D887-45F6-9117-2AD21F8B9CA2}" type="parTrans" cxnId="{06937A90-002A-498E-818E-2D166B11B9C3}">
      <dgm:prSet/>
      <dgm:spPr/>
      <dgm:t>
        <a:bodyPr/>
        <a:lstStyle/>
        <a:p>
          <a:endParaRPr lang="en-AU" sz="600">
            <a:solidFill>
              <a:schemeClr val="tx1">
                <a:lumMod val="95000"/>
                <a:lumOff val="5000"/>
              </a:schemeClr>
            </a:solidFill>
            <a:latin typeface="+mj-lt"/>
          </a:endParaRPr>
        </a:p>
      </dgm:t>
    </dgm:pt>
    <dgm:pt modelId="{B994310B-BB2E-4CB2-8432-9EB8B475308A}" type="sibTrans" cxnId="{06937A90-002A-498E-818E-2D166B11B9C3}">
      <dgm:prSet/>
      <dgm:spPr/>
      <dgm:t>
        <a:bodyPr/>
        <a:lstStyle/>
        <a:p>
          <a:endParaRPr lang="en-AU" sz="600">
            <a:solidFill>
              <a:schemeClr val="tx1">
                <a:lumMod val="95000"/>
                <a:lumOff val="5000"/>
              </a:schemeClr>
            </a:solidFill>
            <a:latin typeface="+mj-lt"/>
          </a:endParaRPr>
        </a:p>
      </dgm:t>
    </dgm:pt>
    <dgm:pt modelId="{824C4857-ACA5-471E-9FDA-53E4B723FAE3}">
      <dgm:prSet phldrT="[Text]" custT="1"/>
      <dgm:spPr>
        <a:xfrm>
          <a:off x="2953858" y="646"/>
          <a:ext cx="1189992" cy="594996"/>
        </a:xfrm>
      </dgm:spPr>
      <dgm:t>
        <a:bodyPr/>
        <a:lstStyle/>
        <a:p>
          <a:r>
            <a:rPr lang="en-AU" sz="600">
              <a:solidFill>
                <a:schemeClr val="tx1">
                  <a:lumMod val="95000"/>
                  <a:lumOff val="5000"/>
                </a:schemeClr>
              </a:solidFill>
              <a:latin typeface="+mj-lt"/>
            </a:rPr>
            <a:t>Industry recognises the regulator will follow up on advice and guidance</a:t>
          </a:r>
        </a:p>
      </dgm:t>
    </dgm:pt>
    <dgm:pt modelId="{8BEFFAFA-6946-4D4A-A59F-590FBC1DD502}" type="parTrans" cxnId="{67C68F07-222F-420E-A9A0-2824401D63FA}">
      <dgm:prSet/>
      <dgm:spPr/>
      <dgm:t>
        <a:bodyPr/>
        <a:lstStyle/>
        <a:p>
          <a:endParaRPr lang="en-AU" sz="600">
            <a:solidFill>
              <a:schemeClr val="tx1">
                <a:lumMod val="95000"/>
                <a:lumOff val="5000"/>
              </a:schemeClr>
            </a:solidFill>
            <a:latin typeface="+mj-lt"/>
          </a:endParaRPr>
        </a:p>
      </dgm:t>
    </dgm:pt>
    <dgm:pt modelId="{F91ADE0A-43E8-4EB9-A4CA-86361905B6A6}" type="sibTrans" cxnId="{67C68F07-222F-420E-A9A0-2824401D63FA}">
      <dgm:prSet/>
      <dgm:spPr/>
      <dgm:t>
        <a:bodyPr/>
        <a:lstStyle/>
        <a:p>
          <a:endParaRPr lang="en-AU" sz="600">
            <a:solidFill>
              <a:schemeClr val="tx1">
                <a:lumMod val="95000"/>
                <a:lumOff val="5000"/>
              </a:schemeClr>
            </a:solidFill>
            <a:latin typeface="+mj-lt"/>
          </a:endParaRPr>
        </a:p>
      </dgm:t>
    </dgm:pt>
    <dgm:pt modelId="{B73D0B54-550E-4487-84E4-92CFB33C41D3}">
      <dgm:prSet phldrT="[Text]" custT="1"/>
      <dgm:spPr>
        <a:xfrm>
          <a:off x="4619848" y="646"/>
          <a:ext cx="1189992" cy="594996"/>
        </a:xfrm>
      </dgm:spPr>
      <dgm:t>
        <a:bodyPr/>
        <a:lstStyle/>
        <a:p>
          <a:r>
            <a:rPr lang="en-AU" sz="600">
              <a:solidFill>
                <a:schemeClr val="tx1">
                  <a:lumMod val="95000"/>
                  <a:lumOff val="5000"/>
                </a:schemeClr>
              </a:solidFill>
              <a:latin typeface="+mj-lt"/>
            </a:rPr>
            <a:t>Coordinated education and compliance oversight activities</a:t>
          </a:r>
        </a:p>
      </dgm:t>
    </dgm:pt>
    <dgm:pt modelId="{172D0654-F922-4781-B34E-507A8E576650}" type="parTrans" cxnId="{27E087FA-8724-4EA5-8306-6FD00707283C}">
      <dgm:prSet/>
      <dgm:spPr/>
      <dgm:t>
        <a:bodyPr/>
        <a:lstStyle/>
        <a:p>
          <a:endParaRPr lang="en-AU" sz="600">
            <a:solidFill>
              <a:schemeClr val="tx1">
                <a:lumMod val="95000"/>
                <a:lumOff val="5000"/>
              </a:schemeClr>
            </a:solidFill>
            <a:latin typeface="+mj-lt"/>
          </a:endParaRPr>
        </a:p>
      </dgm:t>
    </dgm:pt>
    <dgm:pt modelId="{BBBDEF72-5D9C-4E78-8828-CDCA5AECFB62}" type="sibTrans" cxnId="{27E087FA-8724-4EA5-8306-6FD00707283C}">
      <dgm:prSet/>
      <dgm:spPr/>
      <dgm:t>
        <a:bodyPr/>
        <a:lstStyle/>
        <a:p>
          <a:endParaRPr lang="en-AU" sz="600">
            <a:solidFill>
              <a:schemeClr val="tx1">
                <a:lumMod val="95000"/>
                <a:lumOff val="5000"/>
              </a:schemeClr>
            </a:solidFill>
            <a:latin typeface="+mj-lt"/>
          </a:endParaRPr>
        </a:p>
      </dgm:t>
    </dgm:pt>
    <dgm:pt modelId="{4FD35EC3-C6D6-46D9-9B42-B5E651B96E4E}">
      <dgm:prSet phldrT="[Text]" custT="1"/>
      <dgm:spPr>
        <a:xfrm>
          <a:off x="4619848" y="646"/>
          <a:ext cx="1189992" cy="594996"/>
        </a:xfrm>
      </dgm:spPr>
      <dgm:t>
        <a:bodyPr/>
        <a:lstStyle/>
        <a:p>
          <a:r>
            <a:rPr lang="en-AU" sz="600">
              <a:solidFill>
                <a:schemeClr val="tx1">
                  <a:lumMod val="95000"/>
                  <a:lumOff val="5000"/>
                </a:schemeClr>
              </a:solidFill>
              <a:latin typeface="+mj-lt"/>
            </a:rPr>
            <a:t>Results of compliance support campaigns</a:t>
          </a:r>
        </a:p>
      </dgm:t>
    </dgm:pt>
    <dgm:pt modelId="{905AF624-E9AC-4615-ACE4-F5409E831D5B}" type="parTrans" cxnId="{69CBE3FC-7878-48FB-8117-54E639206DE5}">
      <dgm:prSet/>
      <dgm:spPr/>
      <dgm:t>
        <a:bodyPr/>
        <a:lstStyle/>
        <a:p>
          <a:endParaRPr lang="en-AU" sz="600">
            <a:solidFill>
              <a:schemeClr val="tx1">
                <a:lumMod val="95000"/>
                <a:lumOff val="5000"/>
              </a:schemeClr>
            </a:solidFill>
            <a:latin typeface="+mj-lt"/>
          </a:endParaRPr>
        </a:p>
      </dgm:t>
    </dgm:pt>
    <dgm:pt modelId="{1103CB61-61CB-4DCC-AEA3-5F59AB8BC764}" type="sibTrans" cxnId="{69CBE3FC-7878-48FB-8117-54E639206DE5}">
      <dgm:prSet/>
      <dgm:spPr/>
      <dgm:t>
        <a:bodyPr/>
        <a:lstStyle/>
        <a:p>
          <a:endParaRPr lang="en-AU" sz="600">
            <a:solidFill>
              <a:schemeClr val="tx1">
                <a:lumMod val="95000"/>
                <a:lumOff val="5000"/>
              </a:schemeClr>
            </a:solidFill>
            <a:latin typeface="+mj-lt"/>
          </a:endParaRPr>
        </a:p>
      </dgm:t>
    </dgm:pt>
    <dgm:pt modelId="{E5D1BFBE-25B7-4582-9C3B-2AE58CB48B74}">
      <dgm:prSet phldrT="[Text]" custT="1"/>
      <dgm:spPr>
        <a:xfrm>
          <a:off x="2953858" y="684892"/>
          <a:ext cx="1189992" cy="594996"/>
        </a:xfrm>
      </dgm:spPr>
      <dgm:t>
        <a:bodyPr/>
        <a:lstStyle/>
        <a:p>
          <a:r>
            <a:rPr lang="en-AU" sz="600">
              <a:solidFill>
                <a:schemeClr val="tx1">
                  <a:lumMod val="95000"/>
                  <a:lumOff val="5000"/>
                </a:schemeClr>
              </a:solidFill>
              <a:latin typeface="+mj-lt"/>
            </a:rPr>
            <a:t>Increased understanding among business of their obligations</a:t>
          </a:r>
        </a:p>
      </dgm:t>
    </dgm:pt>
    <dgm:pt modelId="{50744ECB-2A83-4AD7-A985-C5A2A214CCE9}" type="parTrans" cxnId="{4F614354-B41F-4A47-BECE-3FC90CDB2761}">
      <dgm:prSet/>
      <dgm:spPr/>
      <dgm:t>
        <a:bodyPr/>
        <a:lstStyle/>
        <a:p>
          <a:endParaRPr lang="en-AU" sz="600">
            <a:solidFill>
              <a:schemeClr val="tx1">
                <a:lumMod val="95000"/>
                <a:lumOff val="5000"/>
              </a:schemeClr>
            </a:solidFill>
            <a:latin typeface="+mj-lt"/>
          </a:endParaRPr>
        </a:p>
      </dgm:t>
    </dgm:pt>
    <dgm:pt modelId="{D03198EF-3148-4845-9C0E-11E80DA75512}" type="sibTrans" cxnId="{4F614354-B41F-4A47-BECE-3FC90CDB2761}">
      <dgm:prSet/>
      <dgm:spPr/>
      <dgm:t>
        <a:bodyPr/>
        <a:lstStyle/>
        <a:p>
          <a:endParaRPr lang="en-AU" sz="600">
            <a:solidFill>
              <a:schemeClr val="tx1">
                <a:lumMod val="95000"/>
                <a:lumOff val="5000"/>
              </a:schemeClr>
            </a:solidFill>
            <a:latin typeface="+mj-lt"/>
          </a:endParaRPr>
        </a:p>
      </dgm:t>
    </dgm:pt>
    <dgm:pt modelId="{5AF30AA6-C549-40EE-9E48-4AFBD591B92F}">
      <dgm:prSet phldrT="[Text]" custT="1"/>
      <dgm:spPr>
        <a:xfrm>
          <a:off x="4619848" y="684892"/>
          <a:ext cx="1189992" cy="594996"/>
        </a:xfrm>
      </dgm:spPr>
      <dgm:t>
        <a:bodyPr/>
        <a:lstStyle/>
        <a:p>
          <a:r>
            <a:rPr lang="en-AU" sz="600">
              <a:solidFill>
                <a:schemeClr val="tx1">
                  <a:lumMod val="95000"/>
                  <a:lumOff val="5000"/>
                </a:schemeClr>
              </a:solidFill>
              <a:latin typeface="+mj-lt"/>
            </a:rPr>
            <a:t>Accessible and clear guidance</a:t>
          </a:r>
        </a:p>
      </dgm:t>
    </dgm:pt>
    <dgm:pt modelId="{E9F9C02A-A43E-4EF9-BF1F-1DE0E6E91A72}" type="parTrans" cxnId="{6C4CD677-7DF1-4E3A-BE17-0F5C251F2478}">
      <dgm:prSet/>
      <dgm:spPr/>
      <dgm:t>
        <a:bodyPr/>
        <a:lstStyle/>
        <a:p>
          <a:endParaRPr lang="en-AU" sz="600">
            <a:solidFill>
              <a:schemeClr val="tx1">
                <a:lumMod val="95000"/>
                <a:lumOff val="5000"/>
              </a:schemeClr>
            </a:solidFill>
            <a:latin typeface="+mj-lt"/>
          </a:endParaRPr>
        </a:p>
      </dgm:t>
    </dgm:pt>
    <dgm:pt modelId="{1C7C7092-BF2D-4010-8A82-0A8416F74C74}" type="sibTrans" cxnId="{6C4CD677-7DF1-4E3A-BE17-0F5C251F2478}">
      <dgm:prSet/>
      <dgm:spPr/>
      <dgm:t>
        <a:bodyPr/>
        <a:lstStyle/>
        <a:p>
          <a:endParaRPr lang="en-AU" sz="600">
            <a:solidFill>
              <a:schemeClr val="tx1">
                <a:lumMod val="95000"/>
                <a:lumOff val="5000"/>
              </a:schemeClr>
            </a:solidFill>
            <a:latin typeface="+mj-lt"/>
          </a:endParaRPr>
        </a:p>
      </dgm:t>
    </dgm:pt>
    <dgm:pt modelId="{4C736FF6-1312-4F84-AB83-53967088807B}">
      <dgm:prSet phldrT="[Text]" custT="1"/>
      <dgm:spPr>
        <a:xfrm>
          <a:off x="4619848" y="684892"/>
          <a:ext cx="1189992" cy="594996"/>
        </a:xfrm>
      </dgm:spPr>
      <dgm:t>
        <a:bodyPr/>
        <a:lstStyle/>
        <a:p>
          <a:r>
            <a:rPr lang="en-AU" sz="600">
              <a:solidFill>
                <a:schemeClr val="tx1">
                  <a:lumMod val="95000"/>
                  <a:lumOff val="5000"/>
                </a:schemeClr>
              </a:solidFill>
              <a:latin typeface="+mj-lt"/>
            </a:rPr>
            <a:t>Feedback on draft guidance, survey results</a:t>
          </a:r>
        </a:p>
      </dgm:t>
    </dgm:pt>
    <dgm:pt modelId="{B9E84E74-3378-4CBB-BEB5-9577BDDF7CE6}" type="parTrans" cxnId="{8386E856-F5C2-450C-89CB-D8ED6BCE4DE2}">
      <dgm:prSet/>
      <dgm:spPr/>
      <dgm:t>
        <a:bodyPr/>
        <a:lstStyle/>
        <a:p>
          <a:endParaRPr lang="en-AU" sz="600">
            <a:solidFill>
              <a:schemeClr val="tx1">
                <a:lumMod val="95000"/>
                <a:lumOff val="5000"/>
              </a:schemeClr>
            </a:solidFill>
            <a:latin typeface="+mj-lt"/>
          </a:endParaRPr>
        </a:p>
      </dgm:t>
    </dgm:pt>
    <dgm:pt modelId="{28D3F6A0-2D38-4F5E-8A6F-CCAB0B1BFCA1}" type="sibTrans" cxnId="{8386E856-F5C2-450C-89CB-D8ED6BCE4DE2}">
      <dgm:prSet/>
      <dgm:spPr/>
      <dgm:t>
        <a:bodyPr/>
        <a:lstStyle/>
        <a:p>
          <a:endParaRPr lang="en-AU" sz="600">
            <a:solidFill>
              <a:schemeClr val="tx1">
                <a:lumMod val="95000"/>
                <a:lumOff val="5000"/>
              </a:schemeClr>
            </a:solidFill>
            <a:latin typeface="+mj-lt"/>
          </a:endParaRPr>
        </a:p>
      </dgm:t>
    </dgm:pt>
    <dgm:pt modelId="{53D26965-93B0-488D-855E-E7249388A32B}">
      <dgm:prSet phldrT="[Text]" custT="1"/>
      <dgm:spPr>
        <a:xfrm>
          <a:off x="2953858" y="1369138"/>
          <a:ext cx="1189992" cy="594996"/>
        </a:xfrm>
      </dgm:spPr>
      <dgm:t>
        <a:bodyPr/>
        <a:lstStyle/>
        <a:p>
          <a:r>
            <a:rPr lang="en-AU" sz="600">
              <a:solidFill>
                <a:schemeClr val="tx1">
                  <a:lumMod val="95000"/>
                  <a:lumOff val="5000"/>
                </a:schemeClr>
              </a:solidFill>
              <a:latin typeface="+mj-lt"/>
            </a:rPr>
            <a:t>Industry leaders are recognised for higher performance</a:t>
          </a:r>
        </a:p>
      </dgm:t>
    </dgm:pt>
    <dgm:pt modelId="{7F371B7A-5377-482A-9FC4-20DCE5BE0E93}" type="parTrans" cxnId="{880E6D98-B6C2-433C-9C65-2C6CFF6649B8}">
      <dgm:prSet/>
      <dgm:spPr/>
      <dgm:t>
        <a:bodyPr/>
        <a:lstStyle/>
        <a:p>
          <a:endParaRPr lang="en-AU" sz="600">
            <a:solidFill>
              <a:schemeClr val="tx1">
                <a:lumMod val="95000"/>
                <a:lumOff val="5000"/>
              </a:schemeClr>
            </a:solidFill>
            <a:latin typeface="+mj-lt"/>
          </a:endParaRPr>
        </a:p>
      </dgm:t>
    </dgm:pt>
    <dgm:pt modelId="{138CB8CC-9255-4973-A83D-976226B10DA6}" type="sibTrans" cxnId="{880E6D98-B6C2-433C-9C65-2C6CFF6649B8}">
      <dgm:prSet/>
      <dgm:spPr/>
      <dgm:t>
        <a:bodyPr/>
        <a:lstStyle/>
        <a:p>
          <a:endParaRPr lang="en-AU" sz="600">
            <a:solidFill>
              <a:schemeClr val="tx1">
                <a:lumMod val="95000"/>
                <a:lumOff val="5000"/>
              </a:schemeClr>
            </a:solidFill>
            <a:latin typeface="+mj-lt"/>
          </a:endParaRPr>
        </a:p>
      </dgm:t>
    </dgm:pt>
    <dgm:pt modelId="{1D9CBF8A-CB47-4E5A-8DA1-83629E964188}">
      <dgm:prSet phldrT="[Text]" custT="1"/>
      <dgm:spPr>
        <a:xfrm>
          <a:off x="4619848" y="1369138"/>
          <a:ext cx="1189992" cy="594996"/>
        </a:xfrm>
      </dgm:spPr>
      <dgm:t>
        <a:bodyPr/>
        <a:lstStyle/>
        <a:p>
          <a:r>
            <a:rPr lang="en-AU" sz="600">
              <a:solidFill>
                <a:schemeClr val="tx1">
                  <a:lumMod val="95000"/>
                  <a:lumOff val="5000"/>
                </a:schemeClr>
              </a:solidFill>
              <a:latin typeface="+mj-lt"/>
            </a:rPr>
            <a:t>Publicising outcomes</a:t>
          </a:r>
        </a:p>
      </dgm:t>
    </dgm:pt>
    <dgm:pt modelId="{4D9BCFA7-8B0F-4EFE-893C-E6E102D9C3DF}" type="parTrans" cxnId="{5D1F519F-55A0-4180-87B3-DEF7F4EFC263}">
      <dgm:prSet/>
      <dgm:spPr/>
      <dgm:t>
        <a:bodyPr/>
        <a:lstStyle/>
        <a:p>
          <a:endParaRPr lang="en-AU" sz="600">
            <a:solidFill>
              <a:schemeClr val="tx1">
                <a:lumMod val="95000"/>
                <a:lumOff val="5000"/>
              </a:schemeClr>
            </a:solidFill>
            <a:latin typeface="+mj-lt"/>
          </a:endParaRPr>
        </a:p>
      </dgm:t>
    </dgm:pt>
    <dgm:pt modelId="{736E6D41-F1C8-4E26-8DA6-4FF8D801AD62}" type="sibTrans" cxnId="{5D1F519F-55A0-4180-87B3-DEF7F4EFC263}">
      <dgm:prSet/>
      <dgm:spPr/>
      <dgm:t>
        <a:bodyPr/>
        <a:lstStyle/>
        <a:p>
          <a:endParaRPr lang="en-AU" sz="600">
            <a:solidFill>
              <a:schemeClr val="tx1">
                <a:lumMod val="95000"/>
                <a:lumOff val="5000"/>
              </a:schemeClr>
            </a:solidFill>
            <a:latin typeface="+mj-lt"/>
          </a:endParaRPr>
        </a:p>
      </dgm:t>
    </dgm:pt>
    <dgm:pt modelId="{D7AE5EA3-EE28-483F-82E2-631099C772B4}">
      <dgm:prSet phldrT="[Text]" custT="1"/>
      <dgm:spPr>
        <a:xfrm>
          <a:off x="4619848" y="1369138"/>
          <a:ext cx="1189992" cy="594996"/>
        </a:xfrm>
      </dgm:spPr>
      <dgm:t>
        <a:bodyPr/>
        <a:lstStyle/>
        <a:p>
          <a:r>
            <a:rPr lang="en-AU" sz="600">
              <a:solidFill>
                <a:schemeClr val="tx1">
                  <a:lumMod val="95000"/>
                  <a:lumOff val="5000"/>
                </a:schemeClr>
              </a:solidFill>
              <a:latin typeface="+mj-lt"/>
            </a:rPr>
            <a:t>Industry engagement </a:t>
          </a:r>
        </a:p>
      </dgm:t>
    </dgm:pt>
    <dgm:pt modelId="{0ACF39A8-5D18-47A9-B746-1D1504480128}" type="parTrans" cxnId="{C662E641-5B6E-4430-ACBF-E57A9FB4808B}">
      <dgm:prSet/>
      <dgm:spPr/>
      <dgm:t>
        <a:bodyPr/>
        <a:lstStyle/>
        <a:p>
          <a:endParaRPr lang="en-AU" sz="600">
            <a:solidFill>
              <a:schemeClr val="tx1">
                <a:lumMod val="95000"/>
                <a:lumOff val="5000"/>
              </a:schemeClr>
            </a:solidFill>
            <a:latin typeface="+mj-lt"/>
          </a:endParaRPr>
        </a:p>
      </dgm:t>
    </dgm:pt>
    <dgm:pt modelId="{CEEB6CAC-41C6-4663-A87F-D2947C72758C}" type="sibTrans" cxnId="{C662E641-5B6E-4430-ACBF-E57A9FB4808B}">
      <dgm:prSet/>
      <dgm:spPr/>
      <dgm:t>
        <a:bodyPr/>
        <a:lstStyle/>
        <a:p>
          <a:endParaRPr lang="en-AU" sz="600">
            <a:solidFill>
              <a:schemeClr val="tx1">
                <a:lumMod val="95000"/>
                <a:lumOff val="5000"/>
              </a:schemeClr>
            </a:solidFill>
            <a:latin typeface="+mj-lt"/>
          </a:endParaRPr>
        </a:p>
      </dgm:t>
    </dgm:pt>
    <dgm:pt modelId="{239C396B-FA9C-43D2-8D05-DE6F1A2E76A1}">
      <dgm:prSet phldrT="[Text]" custT="1"/>
      <dgm:spPr>
        <a:xfrm>
          <a:off x="2953858" y="2053383"/>
          <a:ext cx="1189992" cy="594996"/>
        </a:xfrm>
      </dgm:spPr>
      <dgm:t>
        <a:bodyPr/>
        <a:lstStyle/>
        <a:p>
          <a:r>
            <a:rPr lang="en-AU" sz="600">
              <a:solidFill>
                <a:schemeClr val="tx1">
                  <a:lumMod val="95000"/>
                  <a:lumOff val="5000"/>
                </a:schemeClr>
              </a:solidFill>
              <a:latin typeface="+mj-lt"/>
            </a:rPr>
            <a:t>Industry supportive of the proportionality and clarity of guidance</a:t>
          </a:r>
        </a:p>
      </dgm:t>
    </dgm:pt>
    <dgm:pt modelId="{3DF3F343-D122-47CD-B768-804B3071D35B}" type="parTrans" cxnId="{0CD968F8-FD76-49C1-A79F-8D77279BDDBC}">
      <dgm:prSet/>
      <dgm:spPr/>
      <dgm:t>
        <a:bodyPr/>
        <a:lstStyle/>
        <a:p>
          <a:endParaRPr lang="en-AU" sz="600">
            <a:solidFill>
              <a:schemeClr val="tx1">
                <a:lumMod val="95000"/>
                <a:lumOff val="5000"/>
              </a:schemeClr>
            </a:solidFill>
            <a:latin typeface="+mj-lt"/>
          </a:endParaRPr>
        </a:p>
      </dgm:t>
    </dgm:pt>
    <dgm:pt modelId="{82B40DF3-7079-4D09-9F52-544F5BA4AAFD}" type="sibTrans" cxnId="{0CD968F8-FD76-49C1-A79F-8D77279BDDBC}">
      <dgm:prSet/>
      <dgm:spPr/>
      <dgm:t>
        <a:bodyPr/>
        <a:lstStyle/>
        <a:p>
          <a:endParaRPr lang="en-AU" sz="600">
            <a:solidFill>
              <a:schemeClr val="tx1">
                <a:lumMod val="95000"/>
                <a:lumOff val="5000"/>
              </a:schemeClr>
            </a:solidFill>
            <a:latin typeface="+mj-lt"/>
          </a:endParaRPr>
        </a:p>
      </dgm:t>
    </dgm:pt>
    <dgm:pt modelId="{5E004428-C18C-4A4D-BD20-E7F8740A7CEE}">
      <dgm:prSet phldrT="[Text]" custT="1"/>
      <dgm:spPr>
        <a:xfrm>
          <a:off x="4619848" y="2053383"/>
          <a:ext cx="1189992" cy="594996"/>
        </a:xfrm>
      </dgm:spPr>
      <dgm:t>
        <a:bodyPr/>
        <a:lstStyle/>
        <a:p>
          <a:r>
            <a:rPr lang="en-AU" sz="600">
              <a:solidFill>
                <a:schemeClr val="tx1">
                  <a:lumMod val="95000"/>
                  <a:lumOff val="5000"/>
                </a:schemeClr>
              </a:solidFill>
              <a:latin typeface="+mj-lt"/>
            </a:rPr>
            <a:t>Developing guidance in consultation with industry</a:t>
          </a:r>
        </a:p>
      </dgm:t>
    </dgm:pt>
    <dgm:pt modelId="{43E4430B-6ECC-427F-80F8-626C7281E712}" type="parTrans" cxnId="{A2D1F256-7F5D-4A0B-B2F8-21290B81F042}">
      <dgm:prSet/>
      <dgm:spPr/>
      <dgm:t>
        <a:bodyPr/>
        <a:lstStyle/>
        <a:p>
          <a:endParaRPr lang="en-AU" sz="600">
            <a:solidFill>
              <a:schemeClr val="tx1">
                <a:lumMod val="95000"/>
                <a:lumOff val="5000"/>
              </a:schemeClr>
            </a:solidFill>
            <a:latin typeface="+mj-lt"/>
          </a:endParaRPr>
        </a:p>
      </dgm:t>
    </dgm:pt>
    <dgm:pt modelId="{0DF8E595-1F43-4195-977B-7E8F49B4DCAD}" type="sibTrans" cxnId="{A2D1F256-7F5D-4A0B-B2F8-21290B81F042}">
      <dgm:prSet/>
      <dgm:spPr/>
      <dgm:t>
        <a:bodyPr/>
        <a:lstStyle/>
        <a:p>
          <a:endParaRPr lang="en-AU" sz="600">
            <a:solidFill>
              <a:schemeClr val="tx1">
                <a:lumMod val="95000"/>
                <a:lumOff val="5000"/>
              </a:schemeClr>
            </a:solidFill>
            <a:latin typeface="+mj-lt"/>
          </a:endParaRPr>
        </a:p>
      </dgm:t>
    </dgm:pt>
    <dgm:pt modelId="{68682BB1-36A5-4F18-BEA2-7D093E7FF6AE}">
      <dgm:prSet phldrT="[Text]" custT="1"/>
      <dgm:spPr>
        <a:xfrm>
          <a:off x="4619848" y="2053383"/>
          <a:ext cx="1189992" cy="594996"/>
        </a:xfrm>
      </dgm:spPr>
      <dgm:t>
        <a:bodyPr/>
        <a:lstStyle/>
        <a:p>
          <a:r>
            <a:rPr lang="en-AU" sz="600">
              <a:solidFill>
                <a:schemeClr val="tx1">
                  <a:lumMod val="95000"/>
                  <a:lumOff val="5000"/>
                </a:schemeClr>
              </a:solidFill>
              <a:latin typeface="+mj-lt"/>
            </a:rPr>
            <a:t>Feedback about design process, industry statements</a:t>
          </a:r>
        </a:p>
      </dgm:t>
    </dgm:pt>
    <dgm:pt modelId="{E748E7BD-C76B-4FE7-B035-4D224C4D5397}" type="parTrans" cxnId="{30FE1D90-AE7B-4741-9685-7470A934EF5E}">
      <dgm:prSet/>
      <dgm:spPr/>
      <dgm:t>
        <a:bodyPr/>
        <a:lstStyle/>
        <a:p>
          <a:endParaRPr lang="en-AU" sz="600">
            <a:solidFill>
              <a:schemeClr val="tx1">
                <a:lumMod val="95000"/>
                <a:lumOff val="5000"/>
              </a:schemeClr>
            </a:solidFill>
            <a:latin typeface="+mj-lt"/>
          </a:endParaRPr>
        </a:p>
      </dgm:t>
    </dgm:pt>
    <dgm:pt modelId="{A4D447FF-1D8C-49D1-B6E0-4CE93E568AAD}" type="sibTrans" cxnId="{30FE1D90-AE7B-4741-9685-7470A934EF5E}">
      <dgm:prSet/>
      <dgm:spPr/>
      <dgm:t>
        <a:bodyPr/>
        <a:lstStyle/>
        <a:p>
          <a:endParaRPr lang="en-AU" sz="600">
            <a:solidFill>
              <a:schemeClr val="tx1">
                <a:lumMod val="95000"/>
                <a:lumOff val="5000"/>
              </a:schemeClr>
            </a:solidFill>
            <a:latin typeface="+mj-lt"/>
          </a:endParaRPr>
        </a:p>
      </dgm:t>
    </dgm:pt>
    <dgm:pt modelId="{00432667-971C-43A4-A611-11B0078B587E}">
      <dgm:prSet phldrT="[Text]" custT="1"/>
      <dgm:spPr>
        <a:xfrm>
          <a:off x="2953858" y="2053383"/>
          <a:ext cx="1189992" cy="594996"/>
        </a:xfrm>
      </dgm:spPr>
      <dgm:t>
        <a:bodyPr/>
        <a:lstStyle/>
        <a:p>
          <a:r>
            <a:rPr lang="en-AU" sz="600">
              <a:solidFill>
                <a:schemeClr val="tx1">
                  <a:lumMod val="95000"/>
                  <a:lumOff val="5000"/>
                </a:schemeClr>
              </a:solidFill>
              <a:latin typeface="+mj-lt"/>
            </a:rPr>
            <a:t>External factors (e.g. pressures on industry)</a:t>
          </a:r>
        </a:p>
      </dgm:t>
    </dgm:pt>
    <dgm:pt modelId="{C9E2BBCD-DFAB-4FAB-BFE5-209C522600AA}" type="parTrans" cxnId="{B661AFC4-398F-4141-BDA2-15DA69AADF13}">
      <dgm:prSet/>
      <dgm:spPr/>
      <dgm:t>
        <a:bodyPr/>
        <a:lstStyle/>
        <a:p>
          <a:endParaRPr lang="en-AU" sz="600">
            <a:solidFill>
              <a:schemeClr val="tx1">
                <a:lumMod val="95000"/>
                <a:lumOff val="5000"/>
              </a:schemeClr>
            </a:solidFill>
            <a:latin typeface="+mj-lt"/>
          </a:endParaRPr>
        </a:p>
      </dgm:t>
    </dgm:pt>
    <dgm:pt modelId="{53B87FB4-35A6-44B3-BED7-01B9D636FE12}" type="sibTrans" cxnId="{B661AFC4-398F-4141-BDA2-15DA69AADF13}">
      <dgm:prSet/>
      <dgm:spPr/>
      <dgm:t>
        <a:bodyPr/>
        <a:lstStyle/>
        <a:p>
          <a:endParaRPr lang="en-AU" sz="600">
            <a:solidFill>
              <a:schemeClr val="tx1">
                <a:lumMod val="95000"/>
                <a:lumOff val="5000"/>
              </a:schemeClr>
            </a:solidFill>
            <a:latin typeface="+mj-lt"/>
          </a:endParaRPr>
        </a:p>
      </dgm:t>
    </dgm:pt>
    <dgm:pt modelId="{76DAB255-D65E-40D0-AE5B-99D304911683}" type="pres">
      <dgm:prSet presAssocID="{D0D499EA-0765-4BAB-9247-1366AAA73585}" presName="hierChild1" presStyleCnt="0">
        <dgm:presLayoutVars>
          <dgm:orgChart val="1"/>
          <dgm:chPref val="1"/>
          <dgm:dir val="rev"/>
          <dgm:animOne val="branch"/>
          <dgm:animLvl val="lvl"/>
          <dgm:resizeHandles/>
        </dgm:presLayoutVars>
      </dgm:prSet>
      <dgm:spPr/>
    </dgm:pt>
    <dgm:pt modelId="{E169FAA3-5D46-4A9C-B7CF-5A9D33AA20F9}" type="pres">
      <dgm:prSet presAssocID="{E57B990B-6C00-4942-83FA-84C9178BC606}" presName="hierRoot1" presStyleCnt="0">
        <dgm:presLayoutVars>
          <dgm:hierBranch val="init"/>
        </dgm:presLayoutVars>
      </dgm:prSet>
      <dgm:spPr/>
    </dgm:pt>
    <dgm:pt modelId="{E5C7B459-FE9F-45C1-99A3-0FDA78CFFE24}" type="pres">
      <dgm:prSet presAssocID="{E57B990B-6C00-4942-83FA-84C9178BC606}" presName="rootComposite1" presStyleCnt="0"/>
      <dgm:spPr/>
    </dgm:pt>
    <dgm:pt modelId="{06CB07AC-AA46-4E2A-88FF-0B607700D51F}" type="pres">
      <dgm:prSet presAssocID="{E57B990B-6C00-4942-83FA-84C9178BC606}" presName="rootText1" presStyleLbl="node0" presStyleIdx="0" presStyleCnt="1">
        <dgm:presLayoutVars>
          <dgm:chPref val="3"/>
        </dgm:presLayoutVars>
      </dgm:prSet>
      <dgm:spPr/>
    </dgm:pt>
    <dgm:pt modelId="{153D5639-6BF1-4870-AA6C-6AB36240B2E4}" type="pres">
      <dgm:prSet presAssocID="{E57B990B-6C00-4942-83FA-84C9178BC606}" presName="rootConnector1" presStyleLbl="node1" presStyleIdx="0" presStyleCnt="0"/>
      <dgm:spPr/>
    </dgm:pt>
    <dgm:pt modelId="{50462C17-B545-4A84-A28D-9E95B0D09608}" type="pres">
      <dgm:prSet presAssocID="{E57B990B-6C00-4942-83FA-84C9178BC606}" presName="hierChild2" presStyleCnt="0"/>
      <dgm:spPr/>
    </dgm:pt>
    <dgm:pt modelId="{90FC99D4-4111-43B5-98B9-2A4882DE0332}" type="pres">
      <dgm:prSet presAssocID="{8BEFFAFA-6946-4D4A-A59F-590FBC1DD502}" presName="Name66" presStyleLbl="parChTrans1D2" presStyleIdx="0" presStyleCnt="5"/>
      <dgm:spPr/>
    </dgm:pt>
    <dgm:pt modelId="{043F3008-D081-47EB-A6C5-0CF429B8BA48}" type="pres">
      <dgm:prSet presAssocID="{824C4857-ACA5-471E-9FDA-53E4B723FAE3}" presName="hierRoot2" presStyleCnt="0">
        <dgm:presLayoutVars>
          <dgm:hierBranch val="init"/>
        </dgm:presLayoutVars>
      </dgm:prSet>
      <dgm:spPr/>
    </dgm:pt>
    <dgm:pt modelId="{5C9CA4CA-EF8E-4B13-9BEB-9670DF95FC64}" type="pres">
      <dgm:prSet presAssocID="{824C4857-ACA5-471E-9FDA-53E4B723FAE3}" presName="rootComposite" presStyleCnt="0"/>
      <dgm:spPr/>
    </dgm:pt>
    <dgm:pt modelId="{47B06588-D96F-478B-80A1-629EF98DD787}" type="pres">
      <dgm:prSet presAssocID="{824C4857-ACA5-471E-9FDA-53E4B723FAE3}" presName="rootText" presStyleLbl="node2" presStyleIdx="0" presStyleCnt="5">
        <dgm:presLayoutVars>
          <dgm:chPref val="3"/>
        </dgm:presLayoutVars>
      </dgm:prSet>
      <dgm:spPr/>
    </dgm:pt>
    <dgm:pt modelId="{755E306C-4406-47B7-BB43-97596967ED38}" type="pres">
      <dgm:prSet presAssocID="{824C4857-ACA5-471E-9FDA-53E4B723FAE3}" presName="rootConnector" presStyleLbl="node2" presStyleIdx="0" presStyleCnt="5"/>
      <dgm:spPr/>
    </dgm:pt>
    <dgm:pt modelId="{C376A958-0D3A-4EE6-A03C-9BED5E16B9B0}" type="pres">
      <dgm:prSet presAssocID="{824C4857-ACA5-471E-9FDA-53E4B723FAE3}" presName="hierChild4" presStyleCnt="0"/>
      <dgm:spPr/>
    </dgm:pt>
    <dgm:pt modelId="{D4FDACB0-CB54-48FF-8270-184141298E3B}" type="pres">
      <dgm:prSet presAssocID="{172D0654-F922-4781-B34E-507A8E576650}" presName="Name66" presStyleLbl="parChTrans1D3" presStyleIdx="0" presStyleCnt="4"/>
      <dgm:spPr/>
    </dgm:pt>
    <dgm:pt modelId="{70103EC6-D4E5-4C36-A59E-29B7B77AD6B3}" type="pres">
      <dgm:prSet presAssocID="{B73D0B54-550E-4487-84E4-92CFB33C41D3}" presName="hierRoot2" presStyleCnt="0">
        <dgm:presLayoutVars>
          <dgm:hierBranch val="init"/>
        </dgm:presLayoutVars>
      </dgm:prSet>
      <dgm:spPr/>
    </dgm:pt>
    <dgm:pt modelId="{4F3C9121-5113-45EB-BAAC-550741F364F6}" type="pres">
      <dgm:prSet presAssocID="{B73D0B54-550E-4487-84E4-92CFB33C41D3}" presName="rootComposite" presStyleCnt="0"/>
      <dgm:spPr/>
    </dgm:pt>
    <dgm:pt modelId="{F2142804-0022-4AC5-B22E-AD7B1B6E18F1}" type="pres">
      <dgm:prSet presAssocID="{B73D0B54-550E-4487-84E4-92CFB33C41D3}" presName="rootText" presStyleLbl="node3" presStyleIdx="0" presStyleCnt="4">
        <dgm:presLayoutVars>
          <dgm:chPref val="3"/>
        </dgm:presLayoutVars>
      </dgm:prSet>
      <dgm:spPr/>
    </dgm:pt>
    <dgm:pt modelId="{9AB67036-D22D-4EE8-AE87-C31DD9C1F98B}" type="pres">
      <dgm:prSet presAssocID="{B73D0B54-550E-4487-84E4-92CFB33C41D3}" presName="rootConnector" presStyleLbl="node3" presStyleIdx="0" presStyleCnt="4"/>
      <dgm:spPr/>
    </dgm:pt>
    <dgm:pt modelId="{266E7080-10CE-4FBA-83F4-30A21E484CC7}" type="pres">
      <dgm:prSet presAssocID="{B73D0B54-550E-4487-84E4-92CFB33C41D3}" presName="hierChild4" presStyleCnt="0"/>
      <dgm:spPr/>
    </dgm:pt>
    <dgm:pt modelId="{B5B8EF71-383D-42CB-8C2E-7EAABA528C60}" type="pres">
      <dgm:prSet presAssocID="{905AF624-E9AC-4615-ACE4-F5409E831D5B}" presName="Name66" presStyleLbl="parChTrans1D4" presStyleIdx="0" presStyleCnt="4"/>
      <dgm:spPr/>
    </dgm:pt>
    <dgm:pt modelId="{B448B506-5225-413F-ADE8-AB0EE229FD6F}" type="pres">
      <dgm:prSet presAssocID="{4FD35EC3-C6D6-46D9-9B42-B5E651B96E4E}" presName="hierRoot2" presStyleCnt="0">
        <dgm:presLayoutVars>
          <dgm:hierBranch val="init"/>
        </dgm:presLayoutVars>
      </dgm:prSet>
      <dgm:spPr/>
    </dgm:pt>
    <dgm:pt modelId="{12254341-A774-4735-961E-BED3EEDB0E7D}" type="pres">
      <dgm:prSet presAssocID="{4FD35EC3-C6D6-46D9-9B42-B5E651B96E4E}" presName="rootComposite" presStyleCnt="0"/>
      <dgm:spPr/>
    </dgm:pt>
    <dgm:pt modelId="{1B3DCE26-E163-47CB-ACBB-7E7F9BA41669}" type="pres">
      <dgm:prSet presAssocID="{4FD35EC3-C6D6-46D9-9B42-B5E651B96E4E}" presName="rootText" presStyleLbl="node4" presStyleIdx="0" presStyleCnt="4">
        <dgm:presLayoutVars>
          <dgm:chPref val="3"/>
        </dgm:presLayoutVars>
      </dgm:prSet>
      <dgm:spPr/>
    </dgm:pt>
    <dgm:pt modelId="{C1D08E0A-7B63-4DCD-AE60-03F3D3E7BDA0}" type="pres">
      <dgm:prSet presAssocID="{4FD35EC3-C6D6-46D9-9B42-B5E651B96E4E}" presName="rootConnector" presStyleLbl="node4" presStyleIdx="0" presStyleCnt="4"/>
      <dgm:spPr/>
    </dgm:pt>
    <dgm:pt modelId="{1EBBBC0E-6539-4EF1-8973-3B0F6F1045FD}" type="pres">
      <dgm:prSet presAssocID="{4FD35EC3-C6D6-46D9-9B42-B5E651B96E4E}" presName="hierChild4" presStyleCnt="0"/>
      <dgm:spPr/>
    </dgm:pt>
    <dgm:pt modelId="{7017D130-76BC-492E-BF1C-148BABD92657}" type="pres">
      <dgm:prSet presAssocID="{4FD35EC3-C6D6-46D9-9B42-B5E651B96E4E}" presName="hierChild5" presStyleCnt="0"/>
      <dgm:spPr/>
    </dgm:pt>
    <dgm:pt modelId="{2D867537-9F18-499C-AED2-34999CFBBD40}" type="pres">
      <dgm:prSet presAssocID="{B73D0B54-550E-4487-84E4-92CFB33C41D3}" presName="hierChild5" presStyleCnt="0"/>
      <dgm:spPr/>
    </dgm:pt>
    <dgm:pt modelId="{110CB8AD-F610-4C9E-838A-82E2C2F55AB0}" type="pres">
      <dgm:prSet presAssocID="{824C4857-ACA5-471E-9FDA-53E4B723FAE3}" presName="hierChild5" presStyleCnt="0"/>
      <dgm:spPr/>
    </dgm:pt>
    <dgm:pt modelId="{C4F4A58E-14CD-48AE-B2EF-0B1750F89316}" type="pres">
      <dgm:prSet presAssocID="{50744ECB-2A83-4AD7-A985-C5A2A214CCE9}" presName="Name66" presStyleLbl="parChTrans1D2" presStyleIdx="1" presStyleCnt="5"/>
      <dgm:spPr/>
    </dgm:pt>
    <dgm:pt modelId="{71DC874D-833C-4C17-9032-2C328E6E8F45}" type="pres">
      <dgm:prSet presAssocID="{E5D1BFBE-25B7-4582-9C3B-2AE58CB48B74}" presName="hierRoot2" presStyleCnt="0">
        <dgm:presLayoutVars>
          <dgm:hierBranch val="init"/>
        </dgm:presLayoutVars>
      </dgm:prSet>
      <dgm:spPr/>
    </dgm:pt>
    <dgm:pt modelId="{009F5EBD-F9ED-4F2B-B100-C9466E46B12A}" type="pres">
      <dgm:prSet presAssocID="{E5D1BFBE-25B7-4582-9C3B-2AE58CB48B74}" presName="rootComposite" presStyleCnt="0"/>
      <dgm:spPr/>
    </dgm:pt>
    <dgm:pt modelId="{8B1A76E2-E9B0-42AA-A604-A379DEA9252B}" type="pres">
      <dgm:prSet presAssocID="{E5D1BFBE-25B7-4582-9C3B-2AE58CB48B74}" presName="rootText" presStyleLbl="node2" presStyleIdx="1" presStyleCnt="5">
        <dgm:presLayoutVars>
          <dgm:chPref val="3"/>
        </dgm:presLayoutVars>
      </dgm:prSet>
      <dgm:spPr/>
    </dgm:pt>
    <dgm:pt modelId="{590F8F4C-F81F-4053-8292-FFDFD8E260FC}" type="pres">
      <dgm:prSet presAssocID="{E5D1BFBE-25B7-4582-9C3B-2AE58CB48B74}" presName="rootConnector" presStyleLbl="node2" presStyleIdx="1" presStyleCnt="5"/>
      <dgm:spPr/>
    </dgm:pt>
    <dgm:pt modelId="{C6B557C5-B744-433F-94F4-AD4D04B4E8C1}" type="pres">
      <dgm:prSet presAssocID="{E5D1BFBE-25B7-4582-9C3B-2AE58CB48B74}" presName="hierChild4" presStyleCnt="0"/>
      <dgm:spPr/>
    </dgm:pt>
    <dgm:pt modelId="{E4F02621-2D8C-466C-A74E-DDEA567DF4D5}" type="pres">
      <dgm:prSet presAssocID="{E9F9C02A-A43E-4EF9-BF1F-1DE0E6E91A72}" presName="Name66" presStyleLbl="parChTrans1D3" presStyleIdx="1" presStyleCnt="4"/>
      <dgm:spPr/>
    </dgm:pt>
    <dgm:pt modelId="{FB78347D-F6C3-471F-966A-3259E5F35EFB}" type="pres">
      <dgm:prSet presAssocID="{5AF30AA6-C549-40EE-9E48-4AFBD591B92F}" presName="hierRoot2" presStyleCnt="0">
        <dgm:presLayoutVars>
          <dgm:hierBranch val="init"/>
        </dgm:presLayoutVars>
      </dgm:prSet>
      <dgm:spPr/>
    </dgm:pt>
    <dgm:pt modelId="{446F8CC7-75F3-4A6A-97BC-40E81EDC5A91}" type="pres">
      <dgm:prSet presAssocID="{5AF30AA6-C549-40EE-9E48-4AFBD591B92F}" presName="rootComposite" presStyleCnt="0"/>
      <dgm:spPr/>
    </dgm:pt>
    <dgm:pt modelId="{3D277D6D-385F-4DF2-8277-F62E03964564}" type="pres">
      <dgm:prSet presAssocID="{5AF30AA6-C549-40EE-9E48-4AFBD591B92F}" presName="rootText" presStyleLbl="node3" presStyleIdx="1" presStyleCnt="4">
        <dgm:presLayoutVars>
          <dgm:chPref val="3"/>
        </dgm:presLayoutVars>
      </dgm:prSet>
      <dgm:spPr/>
    </dgm:pt>
    <dgm:pt modelId="{C536547B-501F-406C-B2FE-CA5BEBC456E0}" type="pres">
      <dgm:prSet presAssocID="{5AF30AA6-C549-40EE-9E48-4AFBD591B92F}" presName="rootConnector" presStyleLbl="node3" presStyleIdx="1" presStyleCnt="4"/>
      <dgm:spPr/>
    </dgm:pt>
    <dgm:pt modelId="{BE9CADF4-BEF5-494E-9270-8BF54F9DB860}" type="pres">
      <dgm:prSet presAssocID="{5AF30AA6-C549-40EE-9E48-4AFBD591B92F}" presName="hierChild4" presStyleCnt="0"/>
      <dgm:spPr/>
    </dgm:pt>
    <dgm:pt modelId="{ABEDB7CE-080C-42BA-AC9F-DC16E4E56EA0}" type="pres">
      <dgm:prSet presAssocID="{B9E84E74-3378-4CBB-BEB5-9577BDDF7CE6}" presName="Name66" presStyleLbl="parChTrans1D4" presStyleIdx="1" presStyleCnt="4"/>
      <dgm:spPr/>
    </dgm:pt>
    <dgm:pt modelId="{0C782F0E-F2B9-4021-B541-67F7F7449919}" type="pres">
      <dgm:prSet presAssocID="{4C736FF6-1312-4F84-AB83-53967088807B}" presName="hierRoot2" presStyleCnt="0">
        <dgm:presLayoutVars>
          <dgm:hierBranch val="init"/>
        </dgm:presLayoutVars>
      </dgm:prSet>
      <dgm:spPr/>
    </dgm:pt>
    <dgm:pt modelId="{24F91300-A30C-434F-8FBB-1F6246F39DEE}" type="pres">
      <dgm:prSet presAssocID="{4C736FF6-1312-4F84-AB83-53967088807B}" presName="rootComposite" presStyleCnt="0"/>
      <dgm:spPr/>
    </dgm:pt>
    <dgm:pt modelId="{15F58B55-FC1A-4508-ACD1-246D829A6A08}" type="pres">
      <dgm:prSet presAssocID="{4C736FF6-1312-4F84-AB83-53967088807B}" presName="rootText" presStyleLbl="node4" presStyleIdx="1" presStyleCnt="4">
        <dgm:presLayoutVars>
          <dgm:chPref val="3"/>
        </dgm:presLayoutVars>
      </dgm:prSet>
      <dgm:spPr/>
    </dgm:pt>
    <dgm:pt modelId="{9C84E5DB-B45C-4C19-92D8-7984B1E3FA08}" type="pres">
      <dgm:prSet presAssocID="{4C736FF6-1312-4F84-AB83-53967088807B}" presName="rootConnector" presStyleLbl="node4" presStyleIdx="1" presStyleCnt="4"/>
      <dgm:spPr/>
    </dgm:pt>
    <dgm:pt modelId="{F5EE6561-333D-4A7F-99D4-684281A5A73A}" type="pres">
      <dgm:prSet presAssocID="{4C736FF6-1312-4F84-AB83-53967088807B}" presName="hierChild4" presStyleCnt="0"/>
      <dgm:spPr/>
    </dgm:pt>
    <dgm:pt modelId="{9F87BABC-C0BA-4295-A8AC-A7837C31D558}" type="pres">
      <dgm:prSet presAssocID="{4C736FF6-1312-4F84-AB83-53967088807B}" presName="hierChild5" presStyleCnt="0"/>
      <dgm:spPr/>
    </dgm:pt>
    <dgm:pt modelId="{7E882A2E-2E31-44E7-844E-6A42D0F0C18F}" type="pres">
      <dgm:prSet presAssocID="{5AF30AA6-C549-40EE-9E48-4AFBD591B92F}" presName="hierChild5" presStyleCnt="0"/>
      <dgm:spPr/>
    </dgm:pt>
    <dgm:pt modelId="{00F9542A-ED64-4AD8-BA33-A2CF48480B95}" type="pres">
      <dgm:prSet presAssocID="{E5D1BFBE-25B7-4582-9C3B-2AE58CB48B74}" presName="hierChild5" presStyleCnt="0"/>
      <dgm:spPr/>
    </dgm:pt>
    <dgm:pt modelId="{FB0CABB4-1BFD-4DA6-9827-A402E399F7C3}" type="pres">
      <dgm:prSet presAssocID="{7F371B7A-5377-482A-9FC4-20DCE5BE0E93}" presName="Name66" presStyleLbl="parChTrans1D2" presStyleIdx="2" presStyleCnt="5"/>
      <dgm:spPr/>
    </dgm:pt>
    <dgm:pt modelId="{DC031DDE-ECB1-4683-8913-0B91EAAD15D4}" type="pres">
      <dgm:prSet presAssocID="{53D26965-93B0-488D-855E-E7249388A32B}" presName="hierRoot2" presStyleCnt="0">
        <dgm:presLayoutVars>
          <dgm:hierBranch val="init"/>
        </dgm:presLayoutVars>
      </dgm:prSet>
      <dgm:spPr/>
    </dgm:pt>
    <dgm:pt modelId="{455CAC3B-C920-4770-B1D4-CD898938B1A8}" type="pres">
      <dgm:prSet presAssocID="{53D26965-93B0-488D-855E-E7249388A32B}" presName="rootComposite" presStyleCnt="0"/>
      <dgm:spPr/>
    </dgm:pt>
    <dgm:pt modelId="{9D85CFFA-C9E7-4427-8657-E8FE69FCC599}" type="pres">
      <dgm:prSet presAssocID="{53D26965-93B0-488D-855E-E7249388A32B}" presName="rootText" presStyleLbl="node2" presStyleIdx="2" presStyleCnt="5">
        <dgm:presLayoutVars>
          <dgm:chPref val="3"/>
        </dgm:presLayoutVars>
      </dgm:prSet>
      <dgm:spPr/>
    </dgm:pt>
    <dgm:pt modelId="{CD82E660-B339-4B14-B638-B7DD15450152}" type="pres">
      <dgm:prSet presAssocID="{53D26965-93B0-488D-855E-E7249388A32B}" presName="rootConnector" presStyleLbl="node2" presStyleIdx="2" presStyleCnt="5"/>
      <dgm:spPr/>
    </dgm:pt>
    <dgm:pt modelId="{2029BFD9-96D3-4BA9-B745-E463AD14CA77}" type="pres">
      <dgm:prSet presAssocID="{53D26965-93B0-488D-855E-E7249388A32B}" presName="hierChild4" presStyleCnt="0"/>
      <dgm:spPr/>
    </dgm:pt>
    <dgm:pt modelId="{05585B73-CCBD-4D4B-A641-EE76B2F72B4B}" type="pres">
      <dgm:prSet presAssocID="{4D9BCFA7-8B0F-4EFE-893C-E6E102D9C3DF}" presName="Name66" presStyleLbl="parChTrans1D3" presStyleIdx="2" presStyleCnt="4"/>
      <dgm:spPr/>
    </dgm:pt>
    <dgm:pt modelId="{D1107047-C244-4054-AC84-E96C7691FB45}" type="pres">
      <dgm:prSet presAssocID="{1D9CBF8A-CB47-4E5A-8DA1-83629E964188}" presName="hierRoot2" presStyleCnt="0">
        <dgm:presLayoutVars>
          <dgm:hierBranch val="init"/>
        </dgm:presLayoutVars>
      </dgm:prSet>
      <dgm:spPr/>
    </dgm:pt>
    <dgm:pt modelId="{7D30FC68-5D52-4F34-8EC5-F3E71BE833A8}" type="pres">
      <dgm:prSet presAssocID="{1D9CBF8A-CB47-4E5A-8DA1-83629E964188}" presName="rootComposite" presStyleCnt="0"/>
      <dgm:spPr/>
    </dgm:pt>
    <dgm:pt modelId="{FC0672DA-18A1-46A8-BC54-310F3DB91916}" type="pres">
      <dgm:prSet presAssocID="{1D9CBF8A-CB47-4E5A-8DA1-83629E964188}" presName="rootText" presStyleLbl="node3" presStyleIdx="2" presStyleCnt="4">
        <dgm:presLayoutVars>
          <dgm:chPref val="3"/>
        </dgm:presLayoutVars>
      </dgm:prSet>
      <dgm:spPr/>
    </dgm:pt>
    <dgm:pt modelId="{DD88D8F9-5D72-481C-9AAD-3FCABB5C1429}" type="pres">
      <dgm:prSet presAssocID="{1D9CBF8A-CB47-4E5A-8DA1-83629E964188}" presName="rootConnector" presStyleLbl="node3" presStyleIdx="2" presStyleCnt="4"/>
      <dgm:spPr/>
    </dgm:pt>
    <dgm:pt modelId="{F0B465D7-A7B3-4206-91B2-D618DB26C641}" type="pres">
      <dgm:prSet presAssocID="{1D9CBF8A-CB47-4E5A-8DA1-83629E964188}" presName="hierChild4" presStyleCnt="0"/>
      <dgm:spPr/>
    </dgm:pt>
    <dgm:pt modelId="{B4669E91-A93C-4DD6-A508-C8F9DD639370}" type="pres">
      <dgm:prSet presAssocID="{0ACF39A8-5D18-47A9-B746-1D1504480128}" presName="Name66" presStyleLbl="parChTrans1D4" presStyleIdx="2" presStyleCnt="4"/>
      <dgm:spPr/>
    </dgm:pt>
    <dgm:pt modelId="{CA32AAF0-A866-447B-AF3B-D19AD45D2664}" type="pres">
      <dgm:prSet presAssocID="{D7AE5EA3-EE28-483F-82E2-631099C772B4}" presName="hierRoot2" presStyleCnt="0">
        <dgm:presLayoutVars>
          <dgm:hierBranch val="init"/>
        </dgm:presLayoutVars>
      </dgm:prSet>
      <dgm:spPr/>
    </dgm:pt>
    <dgm:pt modelId="{AA8987E8-BEAA-4076-BE73-56B01156B6ED}" type="pres">
      <dgm:prSet presAssocID="{D7AE5EA3-EE28-483F-82E2-631099C772B4}" presName="rootComposite" presStyleCnt="0"/>
      <dgm:spPr/>
    </dgm:pt>
    <dgm:pt modelId="{17CD6C1F-2E09-4803-9E50-3FAD9ED73F6B}" type="pres">
      <dgm:prSet presAssocID="{D7AE5EA3-EE28-483F-82E2-631099C772B4}" presName="rootText" presStyleLbl="node4" presStyleIdx="2" presStyleCnt="4">
        <dgm:presLayoutVars>
          <dgm:chPref val="3"/>
        </dgm:presLayoutVars>
      </dgm:prSet>
      <dgm:spPr/>
    </dgm:pt>
    <dgm:pt modelId="{5FC33FDD-D53A-49C0-B20B-2A574BCDAC95}" type="pres">
      <dgm:prSet presAssocID="{D7AE5EA3-EE28-483F-82E2-631099C772B4}" presName="rootConnector" presStyleLbl="node4" presStyleIdx="2" presStyleCnt="4"/>
      <dgm:spPr/>
    </dgm:pt>
    <dgm:pt modelId="{3A045ADB-6237-48C7-BE12-7B038CC21EE4}" type="pres">
      <dgm:prSet presAssocID="{D7AE5EA3-EE28-483F-82E2-631099C772B4}" presName="hierChild4" presStyleCnt="0"/>
      <dgm:spPr/>
    </dgm:pt>
    <dgm:pt modelId="{DC8E9962-0FA8-411B-A5E1-6DCB2FC0BB48}" type="pres">
      <dgm:prSet presAssocID="{D7AE5EA3-EE28-483F-82E2-631099C772B4}" presName="hierChild5" presStyleCnt="0"/>
      <dgm:spPr/>
    </dgm:pt>
    <dgm:pt modelId="{B26CCB2E-72EE-4371-97ED-819C2D5773E7}" type="pres">
      <dgm:prSet presAssocID="{1D9CBF8A-CB47-4E5A-8DA1-83629E964188}" presName="hierChild5" presStyleCnt="0"/>
      <dgm:spPr/>
    </dgm:pt>
    <dgm:pt modelId="{F774CF28-B625-448F-863F-1B2A0D579048}" type="pres">
      <dgm:prSet presAssocID="{53D26965-93B0-488D-855E-E7249388A32B}" presName="hierChild5" presStyleCnt="0"/>
      <dgm:spPr/>
    </dgm:pt>
    <dgm:pt modelId="{F0DF1CCB-2EBF-4DB5-A240-D29BF86F5FF0}" type="pres">
      <dgm:prSet presAssocID="{3DF3F343-D122-47CD-B768-804B3071D35B}" presName="Name66" presStyleLbl="parChTrans1D2" presStyleIdx="3" presStyleCnt="5"/>
      <dgm:spPr/>
    </dgm:pt>
    <dgm:pt modelId="{EB931107-7C41-4D0E-9017-70E335EA9F40}" type="pres">
      <dgm:prSet presAssocID="{239C396B-FA9C-43D2-8D05-DE6F1A2E76A1}" presName="hierRoot2" presStyleCnt="0">
        <dgm:presLayoutVars>
          <dgm:hierBranch val="init"/>
        </dgm:presLayoutVars>
      </dgm:prSet>
      <dgm:spPr/>
    </dgm:pt>
    <dgm:pt modelId="{DF535328-19D4-41FB-8168-6DC29118838B}" type="pres">
      <dgm:prSet presAssocID="{239C396B-FA9C-43D2-8D05-DE6F1A2E76A1}" presName="rootComposite" presStyleCnt="0"/>
      <dgm:spPr/>
    </dgm:pt>
    <dgm:pt modelId="{1B43A71D-9E4B-4936-A6B4-EEB6AC11403F}" type="pres">
      <dgm:prSet presAssocID="{239C396B-FA9C-43D2-8D05-DE6F1A2E76A1}" presName="rootText" presStyleLbl="node2" presStyleIdx="3" presStyleCnt="5">
        <dgm:presLayoutVars>
          <dgm:chPref val="3"/>
        </dgm:presLayoutVars>
      </dgm:prSet>
      <dgm:spPr/>
    </dgm:pt>
    <dgm:pt modelId="{84219F84-1822-4103-A55F-43CEE7AD72EB}" type="pres">
      <dgm:prSet presAssocID="{239C396B-FA9C-43D2-8D05-DE6F1A2E76A1}" presName="rootConnector" presStyleLbl="node2" presStyleIdx="3" presStyleCnt="5"/>
      <dgm:spPr/>
    </dgm:pt>
    <dgm:pt modelId="{50C4AAEA-6A7E-4D1C-AEF1-6C28CE722850}" type="pres">
      <dgm:prSet presAssocID="{239C396B-FA9C-43D2-8D05-DE6F1A2E76A1}" presName="hierChild4" presStyleCnt="0"/>
      <dgm:spPr/>
    </dgm:pt>
    <dgm:pt modelId="{5CD3105F-B6E3-4EE6-8086-66590DA1646A}" type="pres">
      <dgm:prSet presAssocID="{43E4430B-6ECC-427F-80F8-626C7281E712}" presName="Name66" presStyleLbl="parChTrans1D3" presStyleIdx="3" presStyleCnt="4"/>
      <dgm:spPr/>
    </dgm:pt>
    <dgm:pt modelId="{9F7806FE-C4F2-407F-B22D-152139A44DE8}" type="pres">
      <dgm:prSet presAssocID="{5E004428-C18C-4A4D-BD20-E7F8740A7CEE}" presName="hierRoot2" presStyleCnt="0">
        <dgm:presLayoutVars>
          <dgm:hierBranch val="init"/>
        </dgm:presLayoutVars>
      </dgm:prSet>
      <dgm:spPr/>
    </dgm:pt>
    <dgm:pt modelId="{A2DB5110-2877-4DEB-845B-F00C0A5723A2}" type="pres">
      <dgm:prSet presAssocID="{5E004428-C18C-4A4D-BD20-E7F8740A7CEE}" presName="rootComposite" presStyleCnt="0"/>
      <dgm:spPr/>
    </dgm:pt>
    <dgm:pt modelId="{9B16E30F-6692-4CE1-84C2-A5B38054B766}" type="pres">
      <dgm:prSet presAssocID="{5E004428-C18C-4A4D-BD20-E7F8740A7CEE}" presName="rootText" presStyleLbl="node3" presStyleIdx="3" presStyleCnt="4">
        <dgm:presLayoutVars>
          <dgm:chPref val="3"/>
        </dgm:presLayoutVars>
      </dgm:prSet>
      <dgm:spPr/>
    </dgm:pt>
    <dgm:pt modelId="{8FF6BF00-95C9-4B60-BC80-18507066BDE0}" type="pres">
      <dgm:prSet presAssocID="{5E004428-C18C-4A4D-BD20-E7F8740A7CEE}" presName="rootConnector" presStyleLbl="node3" presStyleIdx="3" presStyleCnt="4"/>
      <dgm:spPr/>
    </dgm:pt>
    <dgm:pt modelId="{E29B9F57-B8D7-4374-A16B-F68CE6BF0283}" type="pres">
      <dgm:prSet presAssocID="{5E004428-C18C-4A4D-BD20-E7F8740A7CEE}" presName="hierChild4" presStyleCnt="0"/>
      <dgm:spPr/>
    </dgm:pt>
    <dgm:pt modelId="{CF7C1C9A-EC38-47B5-83BF-8AAAEA36370C}" type="pres">
      <dgm:prSet presAssocID="{E748E7BD-C76B-4FE7-B035-4D224C4D5397}" presName="Name66" presStyleLbl="parChTrans1D4" presStyleIdx="3" presStyleCnt="4"/>
      <dgm:spPr/>
    </dgm:pt>
    <dgm:pt modelId="{B8EA8512-C5F4-46EE-8A99-EAF853E8D3CF}" type="pres">
      <dgm:prSet presAssocID="{68682BB1-36A5-4F18-BEA2-7D093E7FF6AE}" presName="hierRoot2" presStyleCnt="0">
        <dgm:presLayoutVars>
          <dgm:hierBranch val="init"/>
        </dgm:presLayoutVars>
      </dgm:prSet>
      <dgm:spPr/>
    </dgm:pt>
    <dgm:pt modelId="{B020E1B9-1D5D-4090-AE60-6A277EF0E0B6}" type="pres">
      <dgm:prSet presAssocID="{68682BB1-36A5-4F18-BEA2-7D093E7FF6AE}" presName="rootComposite" presStyleCnt="0"/>
      <dgm:spPr/>
    </dgm:pt>
    <dgm:pt modelId="{D5B7C8EE-69E8-4EC6-B64D-06CBECA1FC66}" type="pres">
      <dgm:prSet presAssocID="{68682BB1-36A5-4F18-BEA2-7D093E7FF6AE}" presName="rootText" presStyleLbl="node4" presStyleIdx="3" presStyleCnt="4">
        <dgm:presLayoutVars>
          <dgm:chPref val="3"/>
        </dgm:presLayoutVars>
      </dgm:prSet>
      <dgm:spPr/>
    </dgm:pt>
    <dgm:pt modelId="{89C36D3C-8BC5-4C62-AE73-10C618A98876}" type="pres">
      <dgm:prSet presAssocID="{68682BB1-36A5-4F18-BEA2-7D093E7FF6AE}" presName="rootConnector" presStyleLbl="node4" presStyleIdx="3" presStyleCnt="4"/>
      <dgm:spPr/>
    </dgm:pt>
    <dgm:pt modelId="{36E0E7CC-E622-468B-A099-50527A17230A}" type="pres">
      <dgm:prSet presAssocID="{68682BB1-36A5-4F18-BEA2-7D093E7FF6AE}" presName="hierChild4" presStyleCnt="0"/>
      <dgm:spPr/>
    </dgm:pt>
    <dgm:pt modelId="{8B2C772B-A32D-46C8-8BF8-0AED46739032}" type="pres">
      <dgm:prSet presAssocID="{68682BB1-36A5-4F18-BEA2-7D093E7FF6AE}" presName="hierChild5" presStyleCnt="0"/>
      <dgm:spPr/>
    </dgm:pt>
    <dgm:pt modelId="{83B3370D-399B-4C06-AE4D-519CF01F6A1B}" type="pres">
      <dgm:prSet presAssocID="{5E004428-C18C-4A4D-BD20-E7F8740A7CEE}" presName="hierChild5" presStyleCnt="0"/>
      <dgm:spPr/>
    </dgm:pt>
    <dgm:pt modelId="{83DE8E02-C2B7-490D-8DF8-C59A40F247F3}" type="pres">
      <dgm:prSet presAssocID="{239C396B-FA9C-43D2-8D05-DE6F1A2E76A1}" presName="hierChild5" presStyleCnt="0"/>
      <dgm:spPr/>
    </dgm:pt>
    <dgm:pt modelId="{5FAA3F41-D8F9-439B-8BF7-8DA5B38619D4}" type="pres">
      <dgm:prSet presAssocID="{C9E2BBCD-DFAB-4FAB-BFE5-209C522600AA}" presName="Name66" presStyleLbl="parChTrans1D2" presStyleIdx="4" presStyleCnt="5"/>
      <dgm:spPr/>
    </dgm:pt>
    <dgm:pt modelId="{9AD44681-CA67-4493-AD00-44A9C79DAD30}" type="pres">
      <dgm:prSet presAssocID="{00432667-971C-43A4-A611-11B0078B587E}" presName="hierRoot2" presStyleCnt="0">
        <dgm:presLayoutVars>
          <dgm:hierBranch val="init"/>
        </dgm:presLayoutVars>
      </dgm:prSet>
      <dgm:spPr/>
    </dgm:pt>
    <dgm:pt modelId="{ADD9E449-1811-4AC9-B0A6-A9C2621A6EE8}" type="pres">
      <dgm:prSet presAssocID="{00432667-971C-43A4-A611-11B0078B587E}" presName="rootComposite" presStyleCnt="0"/>
      <dgm:spPr/>
    </dgm:pt>
    <dgm:pt modelId="{35DCB916-1AFB-47A5-91AD-5E39D97561C8}" type="pres">
      <dgm:prSet presAssocID="{00432667-971C-43A4-A611-11B0078B587E}" presName="rootText" presStyleLbl="node2" presStyleIdx="4" presStyleCnt="5">
        <dgm:presLayoutVars>
          <dgm:chPref val="3"/>
        </dgm:presLayoutVars>
      </dgm:prSet>
      <dgm:spPr/>
    </dgm:pt>
    <dgm:pt modelId="{041B25F8-5874-4823-AA7E-2CEA552F8222}" type="pres">
      <dgm:prSet presAssocID="{00432667-971C-43A4-A611-11B0078B587E}" presName="rootConnector" presStyleLbl="node2" presStyleIdx="4" presStyleCnt="5"/>
      <dgm:spPr/>
    </dgm:pt>
    <dgm:pt modelId="{9D5C25A5-449F-42A0-A66B-D47AD6A7CC27}" type="pres">
      <dgm:prSet presAssocID="{00432667-971C-43A4-A611-11B0078B587E}" presName="hierChild4" presStyleCnt="0"/>
      <dgm:spPr/>
    </dgm:pt>
    <dgm:pt modelId="{5DC9BA0F-5F9C-42E9-ABED-330542648F52}" type="pres">
      <dgm:prSet presAssocID="{00432667-971C-43A4-A611-11B0078B587E}" presName="hierChild5" presStyleCnt="0"/>
      <dgm:spPr/>
    </dgm:pt>
    <dgm:pt modelId="{A3F88515-B90B-40FF-9F22-94E6FB3C85D1}" type="pres">
      <dgm:prSet presAssocID="{E57B990B-6C00-4942-83FA-84C9178BC606}" presName="hierChild3" presStyleCnt="0"/>
      <dgm:spPr/>
    </dgm:pt>
  </dgm:ptLst>
  <dgm:cxnLst>
    <dgm:cxn modelId="{67C68F07-222F-420E-A9A0-2824401D63FA}" srcId="{E57B990B-6C00-4942-83FA-84C9178BC606}" destId="{824C4857-ACA5-471E-9FDA-53E4B723FAE3}" srcOrd="0" destOrd="0" parTransId="{8BEFFAFA-6946-4D4A-A59F-590FBC1DD502}" sibTransId="{F91ADE0A-43E8-4EB9-A4CA-86361905B6A6}"/>
    <dgm:cxn modelId="{DE31B909-F901-47E6-A12A-7A929B092152}" type="presOf" srcId="{B9E84E74-3378-4CBB-BEB5-9577BDDF7CE6}" destId="{ABEDB7CE-080C-42BA-AC9F-DC16E4E56EA0}" srcOrd="0" destOrd="0" presId="urn:microsoft.com/office/officeart/2009/3/layout/HorizontalOrganizationChart"/>
    <dgm:cxn modelId="{51B4B312-D84B-4A17-94CC-8BFF633FDC4E}" type="presOf" srcId="{5AF30AA6-C549-40EE-9E48-4AFBD591B92F}" destId="{3D277D6D-385F-4DF2-8277-F62E03964564}" srcOrd="0" destOrd="0" presId="urn:microsoft.com/office/officeart/2009/3/layout/HorizontalOrganizationChart"/>
    <dgm:cxn modelId="{D68E0313-065C-4136-B7FA-55CB2BB8EEEE}" type="presOf" srcId="{7F371B7A-5377-482A-9FC4-20DCE5BE0E93}" destId="{FB0CABB4-1BFD-4DA6-9827-A402E399F7C3}" srcOrd="0" destOrd="0" presId="urn:microsoft.com/office/officeart/2009/3/layout/HorizontalOrganizationChart"/>
    <dgm:cxn modelId="{A675D61D-AA98-4F67-94C3-76F5E6DA0154}" type="presOf" srcId="{8BEFFAFA-6946-4D4A-A59F-590FBC1DD502}" destId="{90FC99D4-4111-43B5-98B9-2A4882DE0332}" srcOrd="0" destOrd="0" presId="urn:microsoft.com/office/officeart/2009/3/layout/HorizontalOrganizationChart"/>
    <dgm:cxn modelId="{5DA7C025-F4BF-465C-9ABC-FD1B611AB7E0}" type="presOf" srcId="{50744ECB-2A83-4AD7-A985-C5A2A214CCE9}" destId="{C4F4A58E-14CD-48AE-B2EF-0B1750F89316}" srcOrd="0" destOrd="0" presId="urn:microsoft.com/office/officeart/2009/3/layout/HorizontalOrganizationChart"/>
    <dgm:cxn modelId="{A7B2C128-2074-4520-92D4-10A0E6696D77}" type="presOf" srcId="{E57B990B-6C00-4942-83FA-84C9178BC606}" destId="{06CB07AC-AA46-4E2A-88FF-0B607700D51F}" srcOrd="0" destOrd="0" presId="urn:microsoft.com/office/officeart/2009/3/layout/HorizontalOrganizationChart"/>
    <dgm:cxn modelId="{29DF9730-51CC-4B56-A939-3E9E87AFAEF3}" type="presOf" srcId="{E57B990B-6C00-4942-83FA-84C9178BC606}" destId="{153D5639-6BF1-4870-AA6C-6AB36240B2E4}" srcOrd="1" destOrd="0" presId="urn:microsoft.com/office/officeart/2009/3/layout/HorizontalOrganizationChart"/>
    <dgm:cxn modelId="{6E89BF30-A96B-433F-BB37-796DF55BB773}" type="presOf" srcId="{824C4857-ACA5-471E-9FDA-53E4B723FAE3}" destId="{755E306C-4406-47B7-BB43-97596967ED38}" srcOrd="1" destOrd="0" presId="urn:microsoft.com/office/officeart/2009/3/layout/HorizontalOrganizationChart"/>
    <dgm:cxn modelId="{46FE3733-B95B-4CD0-9AB2-DC798F588A71}" type="presOf" srcId="{3DF3F343-D122-47CD-B768-804B3071D35B}" destId="{F0DF1CCB-2EBF-4DB5-A240-D29BF86F5FF0}" srcOrd="0" destOrd="0" presId="urn:microsoft.com/office/officeart/2009/3/layout/HorizontalOrganizationChart"/>
    <dgm:cxn modelId="{AFB1303C-AF37-4608-82ED-F1ABAB3F5436}" type="presOf" srcId="{D7AE5EA3-EE28-483F-82E2-631099C772B4}" destId="{5FC33FDD-D53A-49C0-B20B-2A574BCDAC95}" srcOrd="1" destOrd="0" presId="urn:microsoft.com/office/officeart/2009/3/layout/HorizontalOrganizationChart"/>
    <dgm:cxn modelId="{99455E5B-4403-4134-962C-33CBBCF55E52}" type="presOf" srcId="{E9F9C02A-A43E-4EF9-BF1F-1DE0E6E91A72}" destId="{E4F02621-2D8C-466C-A74E-DDEA567DF4D5}" srcOrd="0" destOrd="0" presId="urn:microsoft.com/office/officeart/2009/3/layout/HorizontalOrganizationChart"/>
    <dgm:cxn modelId="{C662E641-5B6E-4430-ACBF-E57A9FB4808B}" srcId="{1D9CBF8A-CB47-4E5A-8DA1-83629E964188}" destId="{D7AE5EA3-EE28-483F-82E2-631099C772B4}" srcOrd="0" destOrd="0" parTransId="{0ACF39A8-5D18-47A9-B746-1D1504480128}" sibTransId="{CEEB6CAC-41C6-4663-A87F-D2947C72758C}"/>
    <dgm:cxn modelId="{418DD062-F948-4C74-8AC2-A036E3996661}" type="presOf" srcId="{00432667-971C-43A4-A611-11B0078B587E}" destId="{35DCB916-1AFB-47A5-91AD-5E39D97561C8}" srcOrd="0" destOrd="0" presId="urn:microsoft.com/office/officeart/2009/3/layout/HorizontalOrganizationChart"/>
    <dgm:cxn modelId="{9CDAFC43-CF32-4C8D-BAA3-758088A228E3}" type="presOf" srcId="{4D9BCFA7-8B0F-4EFE-893C-E6E102D9C3DF}" destId="{05585B73-CCBD-4D4B-A641-EE76B2F72B4B}" srcOrd="0" destOrd="0" presId="urn:microsoft.com/office/officeart/2009/3/layout/HorizontalOrganizationChart"/>
    <dgm:cxn modelId="{E9C25547-A6AD-4AC8-BF4E-607C3ABE530A}" type="presOf" srcId="{824C4857-ACA5-471E-9FDA-53E4B723FAE3}" destId="{47B06588-D96F-478B-80A1-629EF98DD787}" srcOrd="0" destOrd="0" presId="urn:microsoft.com/office/officeart/2009/3/layout/HorizontalOrganizationChart"/>
    <dgm:cxn modelId="{AACBAE68-B4C2-4A9C-87EE-C46EFB144912}" type="presOf" srcId="{C9E2BBCD-DFAB-4FAB-BFE5-209C522600AA}" destId="{5FAA3F41-D8F9-439B-8BF7-8DA5B38619D4}" srcOrd="0" destOrd="0" presId="urn:microsoft.com/office/officeart/2009/3/layout/HorizontalOrganizationChart"/>
    <dgm:cxn modelId="{DFC8E66E-A274-4205-BBBD-36A97C2B54D9}" type="presOf" srcId="{E5D1BFBE-25B7-4582-9C3B-2AE58CB48B74}" destId="{590F8F4C-F81F-4053-8292-FFDFD8E260FC}" srcOrd="1" destOrd="0" presId="urn:microsoft.com/office/officeart/2009/3/layout/HorizontalOrganizationChart"/>
    <dgm:cxn modelId="{2F02416F-E567-41E9-AF15-E8A1163729A9}" type="presOf" srcId="{68682BB1-36A5-4F18-BEA2-7D093E7FF6AE}" destId="{89C36D3C-8BC5-4C62-AE73-10C618A98876}" srcOrd="1" destOrd="0" presId="urn:microsoft.com/office/officeart/2009/3/layout/HorizontalOrganizationChart"/>
    <dgm:cxn modelId="{E3609552-2407-41F5-AA96-05436387209D}" type="presOf" srcId="{1D9CBF8A-CB47-4E5A-8DA1-83629E964188}" destId="{DD88D8F9-5D72-481C-9AAD-3FCABB5C1429}" srcOrd="1" destOrd="0" presId="urn:microsoft.com/office/officeart/2009/3/layout/HorizontalOrganizationChart"/>
    <dgm:cxn modelId="{4F614354-B41F-4A47-BECE-3FC90CDB2761}" srcId="{E57B990B-6C00-4942-83FA-84C9178BC606}" destId="{E5D1BFBE-25B7-4582-9C3B-2AE58CB48B74}" srcOrd="1" destOrd="0" parTransId="{50744ECB-2A83-4AD7-A985-C5A2A214CCE9}" sibTransId="{D03198EF-3148-4845-9C0E-11E80DA75512}"/>
    <dgm:cxn modelId="{8386E856-F5C2-450C-89CB-D8ED6BCE4DE2}" srcId="{5AF30AA6-C549-40EE-9E48-4AFBD591B92F}" destId="{4C736FF6-1312-4F84-AB83-53967088807B}" srcOrd="0" destOrd="0" parTransId="{B9E84E74-3378-4CBB-BEB5-9577BDDF7CE6}" sibTransId="{28D3F6A0-2D38-4F5E-8A6F-CCAB0B1BFCA1}"/>
    <dgm:cxn modelId="{A2D1F256-7F5D-4A0B-B2F8-21290B81F042}" srcId="{239C396B-FA9C-43D2-8D05-DE6F1A2E76A1}" destId="{5E004428-C18C-4A4D-BD20-E7F8740A7CEE}" srcOrd="0" destOrd="0" parTransId="{43E4430B-6ECC-427F-80F8-626C7281E712}" sibTransId="{0DF8E595-1F43-4195-977B-7E8F49B4DCAD}"/>
    <dgm:cxn modelId="{F6A85A57-7B78-40E0-96C8-E0C4FB336702}" type="presOf" srcId="{E748E7BD-C76B-4FE7-B035-4D224C4D5397}" destId="{CF7C1C9A-EC38-47B5-83BF-8AAAEA36370C}" srcOrd="0" destOrd="0" presId="urn:microsoft.com/office/officeart/2009/3/layout/HorizontalOrganizationChart"/>
    <dgm:cxn modelId="{6C4CD677-7DF1-4E3A-BE17-0F5C251F2478}" srcId="{E5D1BFBE-25B7-4582-9C3B-2AE58CB48B74}" destId="{5AF30AA6-C549-40EE-9E48-4AFBD591B92F}" srcOrd="0" destOrd="0" parTransId="{E9F9C02A-A43E-4EF9-BF1F-1DE0E6E91A72}" sibTransId="{1C7C7092-BF2D-4010-8A82-0A8416F74C74}"/>
    <dgm:cxn modelId="{9363007B-E2FE-41B5-91AB-5156804020AD}" type="presOf" srcId="{53D26965-93B0-488D-855E-E7249388A32B}" destId="{CD82E660-B339-4B14-B638-B7DD15450152}" srcOrd="1" destOrd="0" presId="urn:microsoft.com/office/officeart/2009/3/layout/HorizontalOrganizationChart"/>
    <dgm:cxn modelId="{C555727C-D74E-4F40-966B-0811B41B24AE}" type="presOf" srcId="{E5D1BFBE-25B7-4582-9C3B-2AE58CB48B74}" destId="{8B1A76E2-E9B0-42AA-A604-A379DEA9252B}" srcOrd="0" destOrd="0" presId="urn:microsoft.com/office/officeart/2009/3/layout/HorizontalOrganizationChart"/>
    <dgm:cxn modelId="{3540477D-B260-42D3-8CEE-78C01E1FDF3F}" type="presOf" srcId="{5AF30AA6-C549-40EE-9E48-4AFBD591B92F}" destId="{C536547B-501F-406C-B2FE-CA5BEBC456E0}" srcOrd="1" destOrd="0" presId="urn:microsoft.com/office/officeart/2009/3/layout/HorizontalOrganizationChart"/>
    <dgm:cxn modelId="{FA3F0483-EC95-4524-99B5-FB59F06E5639}" type="presOf" srcId="{4FD35EC3-C6D6-46D9-9B42-B5E651B96E4E}" destId="{1B3DCE26-E163-47CB-ACBB-7E7F9BA41669}" srcOrd="0" destOrd="0" presId="urn:microsoft.com/office/officeart/2009/3/layout/HorizontalOrganizationChart"/>
    <dgm:cxn modelId="{080BA685-3290-43A0-A303-35324F031279}" type="presOf" srcId="{172D0654-F922-4781-B34E-507A8E576650}" destId="{D4FDACB0-CB54-48FF-8270-184141298E3B}" srcOrd="0" destOrd="0" presId="urn:microsoft.com/office/officeart/2009/3/layout/HorizontalOrganizationChart"/>
    <dgm:cxn modelId="{15C16189-ED07-4808-877A-8248E578DCFD}" type="presOf" srcId="{43E4430B-6ECC-427F-80F8-626C7281E712}" destId="{5CD3105F-B6E3-4EE6-8086-66590DA1646A}" srcOrd="0" destOrd="0" presId="urn:microsoft.com/office/officeart/2009/3/layout/HorizontalOrganizationChart"/>
    <dgm:cxn modelId="{30FE1D90-AE7B-4741-9685-7470A934EF5E}" srcId="{5E004428-C18C-4A4D-BD20-E7F8740A7CEE}" destId="{68682BB1-36A5-4F18-BEA2-7D093E7FF6AE}" srcOrd="0" destOrd="0" parTransId="{E748E7BD-C76B-4FE7-B035-4D224C4D5397}" sibTransId="{A4D447FF-1D8C-49D1-B6E0-4CE93E568AAD}"/>
    <dgm:cxn modelId="{06937A90-002A-498E-818E-2D166B11B9C3}" srcId="{D0D499EA-0765-4BAB-9247-1366AAA73585}" destId="{E57B990B-6C00-4942-83FA-84C9178BC606}" srcOrd="0" destOrd="0" parTransId="{C5146EA9-D887-45F6-9117-2AD21F8B9CA2}" sibTransId="{B994310B-BB2E-4CB2-8432-9EB8B475308A}"/>
    <dgm:cxn modelId="{5580B491-0165-4DE8-B712-91FCFB4239F1}" type="presOf" srcId="{5E004428-C18C-4A4D-BD20-E7F8740A7CEE}" destId="{8FF6BF00-95C9-4B60-BC80-18507066BDE0}" srcOrd="1" destOrd="0" presId="urn:microsoft.com/office/officeart/2009/3/layout/HorizontalOrganizationChart"/>
    <dgm:cxn modelId="{68B7F595-1239-49C6-8CED-05D75A675A8E}" type="presOf" srcId="{00432667-971C-43A4-A611-11B0078B587E}" destId="{041B25F8-5874-4823-AA7E-2CEA552F8222}" srcOrd="1" destOrd="0" presId="urn:microsoft.com/office/officeart/2009/3/layout/HorizontalOrganizationChart"/>
    <dgm:cxn modelId="{880E6D98-B6C2-433C-9C65-2C6CFF6649B8}" srcId="{E57B990B-6C00-4942-83FA-84C9178BC606}" destId="{53D26965-93B0-488D-855E-E7249388A32B}" srcOrd="2" destOrd="0" parTransId="{7F371B7A-5377-482A-9FC4-20DCE5BE0E93}" sibTransId="{138CB8CC-9255-4973-A83D-976226B10DA6}"/>
    <dgm:cxn modelId="{7D676C9D-DE65-48A2-9FE1-147794820E52}" type="presOf" srcId="{239C396B-FA9C-43D2-8D05-DE6F1A2E76A1}" destId="{1B43A71D-9E4B-4936-A6B4-EEB6AC11403F}" srcOrd="0" destOrd="0" presId="urn:microsoft.com/office/officeart/2009/3/layout/HorizontalOrganizationChart"/>
    <dgm:cxn modelId="{4C3D4B9E-37D0-4AD0-B39F-CF8B8001C4BE}" type="presOf" srcId="{4C736FF6-1312-4F84-AB83-53967088807B}" destId="{15F58B55-FC1A-4508-ACD1-246D829A6A08}" srcOrd="0" destOrd="0" presId="urn:microsoft.com/office/officeart/2009/3/layout/HorizontalOrganizationChart"/>
    <dgm:cxn modelId="{8AEA34A3-CBC3-48DE-9B78-D714323FA317}" type="presOf" srcId="{B73D0B54-550E-4487-84E4-92CFB33C41D3}" destId="{F2142804-0022-4AC5-B22E-AD7B1B6E18F1}" srcOrd="0" destOrd="0" presId="urn:microsoft.com/office/officeart/2009/3/layout/HorizontalOrganizationChart"/>
    <dgm:cxn modelId="{1ECD42A6-8193-4585-9252-8C5EDB735DAF}" type="presOf" srcId="{53D26965-93B0-488D-855E-E7249388A32B}" destId="{9D85CFFA-C9E7-4427-8657-E8FE69FCC599}" srcOrd="0" destOrd="0" presId="urn:microsoft.com/office/officeart/2009/3/layout/HorizontalOrganizationChart"/>
    <dgm:cxn modelId="{76A6E4A6-2844-435C-BA63-AB5EDB5519BF}" type="presOf" srcId="{B73D0B54-550E-4487-84E4-92CFB33C41D3}" destId="{9AB67036-D22D-4EE8-AE87-C31DD9C1F98B}" srcOrd="1" destOrd="0" presId="urn:microsoft.com/office/officeart/2009/3/layout/HorizontalOrganizationChart"/>
    <dgm:cxn modelId="{0295BCAC-D371-4820-9E26-CB11BE504EB4}" type="presOf" srcId="{4C736FF6-1312-4F84-AB83-53967088807B}" destId="{9C84E5DB-B45C-4C19-92D8-7984B1E3FA08}" srcOrd="1" destOrd="0" presId="urn:microsoft.com/office/officeart/2009/3/layout/HorizontalOrganizationChart"/>
    <dgm:cxn modelId="{7C9F52E2-D02B-4DDD-A6AA-8D3EE336E8E9}" type="presOf" srcId="{4FD35EC3-C6D6-46D9-9B42-B5E651B96E4E}" destId="{C1D08E0A-7B63-4DCD-AE60-03F3D3E7BDA0}" srcOrd="1" destOrd="0" presId="urn:microsoft.com/office/officeart/2009/3/layout/HorizontalOrganizationChart"/>
    <dgm:cxn modelId="{B661AFC4-398F-4141-BDA2-15DA69AADF13}" srcId="{E57B990B-6C00-4942-83FA-84C9178BC606}" destId="{00432667-971C-43A4-A611-11B0078B587E}" srcOrd="4" destOrd="0" parTransId="{C9E2BBCD-DFAB-4FAB-BFE5-209C522600AA}" sibTransId="{53B87FB4-35A6-44B3-BED7-01B9D636FE12}"/>
    <dgm:cxn modelId="{1DE416C7-719A-4169-8991-71300D4CD676}" type="presOf" srcId="{239C396B-FA9C-43D2-8D05-DE6F1A2E76A1}" destId="{84219F84-1822-4103-A55F-43CEE7AD72EB}" srcOrd="1" destOrd="0" presId="urn:microsoft.com/office/officeart/2009/3/layout/HorizontalOrganizationChart"/>
    <dgm:cxn modelId="{70DDB0C9-F995-4E12-84C0-7AFC45AE22F0}" type="presOf" srcId="{905AF624-E9AC-4615-ACE4-F5409E831D5B}" destId="{B5B8EF71-383D-42CB-8C2E-7EAABA528C60}" srcOrd="0" destOrd="0" presId="urn:microsoft.com/office/officeart/2009/3/layout/HorizontalOrganizationChart"/>
    <dgm:cxn modelId="{6B6929EC-ABF6-4901-BE41-8C0C06CD3ECA}" type="presOf" srcId="{5E004428-C18C-4A4D-BD20-E7F8740A7CEE}" destId="{9B16E30F-6692-4CE1-84C2-A5B38054B766}" srcOrd="0" destOrd="0" presId="urn:microsoft.com/office/officeart/2009/3/layout/HorizontalOrganizationChart"/>
    <dgm:cxn modelId="{FCBDC1CD-5670-44F7-998D-DFFA1C2E6494}" type="presOf" srcId="{68682BB1-36A5-4F18-BEA2-7D093E7FF6AE}" destId="{D5B7C8EE-69E8-4EC6-B64D-06CBECA1FC66}" srcOrd="0" destOrd="0" presId="urn:microsoft.com/office/officeart/2009/3/layout/HorizontalOrganizationChart"/>
    <dgm:cxn modelId="{DD3FD0D0-CE81-441B-AA9A-D0D9FCBB8AA8}" type="presOf" srcId="{0ACF39A8-5D18-47A9-B746-1D1504480128}" destId="{B4669E91-A93C-4DD6-A508-C8F9DD639370}" srcOrd="0" destOrd="0" presId="urn:microsoft.com/office/officeart/2009/3/layout/HorizontalOrganizationChart"/>
    <dgm:cxn modelId="{B5266FD3-33FC-4817-9BD0-02D30DE7D261}" type="presOf" srcId="{1D9CBF8A-CB47-4E5A-8DA1-83629E964188}" destId="{FC0672DA-18A1-46A8-BC54-310F3DB91916}" srcOrd="0" destOrd="0" presId="urn:microsoft.com/office/officeart/2009/3/layout/HorizontalOrganizationChart"/>
    <dgm:cxn modelId="{84C6ACF6-4CA9-4DC0-90E1-31852DE30829}" type="presOf" srcId="{D0D499EA-0765-4BAB-9247-1366AAA73585}" destId="{76DAB255-D65E-40D0-AE5B-99D304911683}" srcOrd="0" destOrd="0" presId="urn:microsoft.com/office/officeart/2009/3/layout/HorizontalOrganizationChart"/>
    <dgm:cxn modelId="{0CD968F8-FD76-49C1-A79F-8D77279BDDBC}" srcId="{E57B990B-6C00-4942-83FA-84C9178BC606}" destId="{239C396B-FA9C-43D2-8D05-DE6F1A2E76A1}" srcOrd="3" destOrd="0" parTransId="{3DF3F343-D122-47CD-B768-804B3071D35B}" sibTransId="{82B40DF3-7079-4D09-9F52-544F5BA4AAFD}"/>
    <dgm:cxn modelId="{27E087FA-8724-4EA5-8306-6FD00707283C}" srcId="{824C4857-ACA5-471E-9FDA-53E4B723FAE3}" destId="{B73D0B54-550E-4487-84E4-92CFB33C41D3}" srcOrd="0" destOrd="0" parTransId="{172D0654-F922-4781-B34E-507A8E576650}" sibTransId="{BBBDEF72-5D9C-4E78-8828-CDCA5AECFB62}"/>
    <dgm:cxn modelId="{768549DB-7E39-4956-A38A-82B228D74C42}" type="presOf" srcId="{D7AE5EA3-EE28-483F-82E2-631099C772B4}" destId="{17CD6C1F-2E09-4803-9E50-3FAD9ED73F6B}" srcOrd="0" destOrd="0" presId="urn:microsoft.com/office/officeart/2009/3/layout/HorizontalOrganizationChart"/>
    <dgm:cxn modelId="{69CBE3FC-7878-48FB-8117-54E639206DE5}" srcId="{B73D0B54-550E-4487-84E4-92CFB33C41D3}" destId="{4FD35EC3-C6D6-46D9-9B42-B5E651B96E4E}" srcOrd="0" destOrd="0" parTransId="{905AF624-E9AC-4615-ACE4-F5409E831D5B}" sibTransId="{1103CB61-61CB-4DCC-AEA3-5F59AB8BC764}"/>
    <dgm:cxn modelId="{5D1F519F-55A0-4180-87B3-DEF7F4EFC263}" srcId="{53D26965-93B0-488D-855E-E7249388A32B}" destId="{1D9CBF8A-CB47-4E5A-8DA1-83629E964188}" srcOrd="0" destOrd="0" parTransId="{4D9BCFA7-8B0F-4EFE-893C-E6E102D9C3DF}" sibTransId="{736E6D41-F1C8-4E26-8DA6-4FF8D801AD62}"/>
    <dgm:cxn modelId="{94A1FB86-5656-40F1-9517-4932EE6858A2}" type="presParOf" srcId="{76DAB255-D65E-40D0-AE5B-99D304911683}" destId="{E169FAA3-5D46-4A9C-B7CF-5A9D33AA20F9}" srcOrd="0" destOrd="0" presId="urn:microsoft.com/office/officeart/2009/3/layout/HorizontalOrganizationChart"/>
    <dgm:cxn modelId="{3169F869-0A3A-40AB-8106-2BFD90887018}" type="presParOf" srcId="{E169FAA3-5D46-4A9C-B7CF-5A9D33AA20F9}" destId="{E5C7B459-FE9F-45C1-99A3-0FDA78CFFE24}" srcOrd="0" destOrd="0" presId="urn:microsoft.com/office/officeart/2009/3/layout/HorizontalOrganizationChart"/>
    <dgm:cxn modelId="{51726B95-1B0E-4974-8E58-317DCE782976}" type="presParOf" srcId="{E5C7B459-FE9F-45C1-99A3-0FDA78CFFE24}" destId="{06CB07AC-AA46-4E2A-88FF-0B607700D51F}" srcOrd="0" destOrd="0" presId="urn:microsoft.com/office/officeart/2009/3/layout/HorizontalOrganizationChart"/>
    <dgm:cxn modelId="{D51F11FD-27FA-4FF5-BE8E-C829789C70B8}" type="presParOf" srcId="{E5C7B459-FE9F-45C1-99A3-0FDA78CFFE24}" destId="{153D5639-6BF1-4870-AA6C-6AB36240B2E4}" srcOrd="1" destOrd="0" presId="urn:microsoft.com/office/officeart/2009/3/layout/HorizontalOrganizationChart"/>
    <dgm:cxn modelId="{2033335F-7FAD-491A-A2C7-DCCE66EDEA4B}" type="presParOf" srcId="{E169FAA3-5D46-4A9C-B7CF-5A9D33AA20F9}" destId="{50462C17-B545-4A84-A28D-9E95B0D09608}" srcOrd="1" destOrd="0" presId="urn:microsoft.com/office/officeart/2009/3/layout/HorizontalOrganizationChart"/>
    <dgm:cxn modelId="{F40AEF5D-EBEB-4133-97F1-BBF7B348078C}" type="presParOf" srcId="{50462C17-B545-4A84-A28D-9E95B0D09608}" destId="{90FC99D4-4111-43B5-98B9-2A4882DE0332}" srcOrd="0" destOrd="0" presId="urn:microsoft.com/office/officeart/2009/3/layout/HorizontalOrganizationChart"/>
    <dgm:cxn modelId="{883FAA3C-D03D-4AA3-907A-5674019154AB}" type="presParOf" srcId="{50462C17-B545-4A84-A28D-9E95B0D09608}" destId="{043F3008-D081-47EB-A6C5-0CF429B8BA48}" srcOrd="1" destOrd="0" presId="urn:microsoft.com/office/officeart/2009/3/layout/HorizontalOrganizationChart"/>
    <dgm:cxn modelId="{287E7B30-046E-4C1E-821D-C77C367A7134}" type="presParOf" srcId="{043F3008-D081-47EB-A6C5-0CF429B8BA48}" destId="{5C9CA4CA-EF8E-4B13-9BEB-9670DF95FC64}" srcOrd="0" destOrd="0" presId="urn:microsoft.com/office/officeart/2009/3/layout/HorizontalOrganizationChart"/>
    <dgm:cxn modelId="{172B7CAC-167B-4F8C-8B22-E309C072EBA1}" type="presParOf" srcId="{5C9CA4CA-EF8E-4B13-9BEB-9670DF95FC64}" destId="{47B06588-D96F-478B-80A1-629EF98DD787}" srcOrd="0" destOrd="0" presId="urn:microsoft.com/office/officeart/2009/3/layout/HorizontalOrganizationChart"/>
    <dgm:cxn modelId="{E4BBBC1F-58EE-4C0D-87D2-101D20C9E75A}" type="presParOf" srcId="{5C9CA4CA-EF8E-4B13-9BEB-9670DF95FC64}" destId="{755E306C-4406-47B7-BB43-97596967ED38}" srcOrd="1" destOrd="0" presId="urn:microsoft.com/office/officeart/2009/3/layout/HorizontalOrganizationChart"/>
    <dgm:cxn modelId="{FAC6F120-4FCA-4C2B-BF33-3386C1D6962A}" type="presParOf" srcId="{043F3008-D081-47EB-A6C5-0CF429B8BA48}" destId="{C376A958-0D3A-4EE6-A03C-9BED5E16B9B0}" srcOrd="1" destOrd="0" presId="urn:microsoft.com/office/officeart/2009/3/layout/HorizontalOrganizationChart"/>
    <dgm:cxn modelId="{8533675C-0B13-44CA-9707-9690F413B1D0}" type="presParOf" srcId="{C376A958-0D3A-4EE6-A03C-9BED5E16B9B0}" destId="{D4FDACB0-CB54-48FF-8270-184141298E3B}" srcOrd="0" destOrd="0" presId="urn:microsoft.com/office/officeart/2009/3/layout/HorizontalOrganizationChart"/>
    <dgm:cxn modelId="{4F2DD90D-CFF6-426E-93F5-590E3E9D2A1D}" type="presParOf" srcId="{C376A958-0D3A-4EE6-A03C-9BED5E16B9B0}" destId="{70103EC6-D4E5-4C36-A59E-29B7B77AD6B3}" srcOrd="1" destOrd="0" presId="urn:microsoft.com/office/officeart/2009/3/layout/HorizontalOrganizationChart"/>
    <dgm:cxn modelId="{2EDB6DAA-928A-421B-8F5E-E1F22E8A18D1}" type="presParOf" srcId="{70103EC6-D4E5-4C36-A59E-29B7B77AD6B3}" destId="{4F3C9121-5113-45EB-BAAC-550741F364F6}" srcOrd="0" destOrd="0" presId="urn:microsoft.com/office/officeart/2009/3/layout/HorizontalOrganizationChart"/>
    <dgm:cxn modelId="{3C53DC7B-3899-4C02-8C94-7AD728027167}" type="presParOf" srcId="{4F3C9121-5113-45EB-BAAC-550741F364F6}" destId="{F2142804-0022-4AC5-B22E-AD7B1B6E18F1}" srcOrd="0" destOrd="0" presId="urn:microsoft.com/office/officeart/2009/3/layout/HorizontalOrganizationChart"/>
    <dgm:cxn modelId="{75D96BD1-3E21-4207-8A61-58F864F0B271}" type="presParOf" srcId="{4F3C9121-5113-45EB-BAAC-550741F364F6}" destId="{9AB67036-D22D-4EE8-AE87-C31DD9C1F98B}" srcOrd="1" destOrd="0" presId="urn:microsoft.com/office/officeart/2009/3/layout/HorizontalOrganizationChart"/>
    <dgm:cxn modelId="{C16A8CC1-EE64-4033-AE15-2ABB98608C69}" type="presParOf" srcId="{70103EC6-D4E5-4C36-A59E-29B7B77AD6B3}" destId="{266E7080-10CE-4FBA-83F4-30A21E484CC7}" srcOrd="1" destOrd="0" presId="urn:microsoft.com/office/officeart/2009/3/layout/HorizontalOrganizationChart"/>
    <dgm:cxn modelId="{10CEB531-2C5C-42B9-8F2B-2429913C11F4}" type="presParOf" srcId="{266E7080-10CE-4FBA-83F4-30A21E484CC7}" destId="{B5B8EF71-383D-42CB-8C2E-7EAABA528C60}" srcOrd="0" destOrd="0" presId="urn:microsoft.com/office/officeart/2009/3/layout/HorizontalOrganizationChart"/>
    <dgm:cxn modelId="{FC6FCD88-2031-4821-A948-C2996CC3CF1E}" type="presParOf" srcId="{266E7080-10CE-4FBA-83F4-30A21E484CC7}" destId="{B448B506-5225-413F-ADE8-AB0EE229FD6F}" srcOrd="1" destOrd="0" presId="urn:microsoft.com/office/officeart/2009/3/layout/HorizontalOrganizationChart"/>
    <dgm:cxn modelId="{B60F04B0-23C3-48C8-9F7D-C7B18F9159DB}" type="presParOf" srcId="{B448B506-5225-413F-ADE8-AB0EE229FD6F}" destId="{12254341-A774-4735-961E-BED3EEDB0E7D}" srcOrd="0" destOrd="0" presId="urn:microsoft.com/office/officeart/2009/3/layout/HorizontalOrganizationChart"/>
    <dgm:cxn modelId="{16262E48-DD13-4F27-AA54-D1E46F350462}" type="presParOf" srcId="{12254341-A774-4735-961E-BED3EEDB0E7D}" destId="{1B3DCE26-E163-47CB-ACBB-7E7F9BA41669}" srcOrd="0" destOrd="0" presId="urn:microsoft.com/office/officeart/2009/3/layout/HorizontalOrganizationChart"/>
    <dgm:cxn modelId="{BCE455EC-9934-4402-A48F-FEF881981445}" type="presParOf" srcId="{12254341-A774-4735-961E-BED3EEDB0E7D}" destId="{C1D08E0A-7B63-4DCD-AE60-03F3D3E7BDA0}" srcOrd="1" destOrd="0" presId="urn:microsoft.com/office/officeart/2009/3/layout/HorizontalOrganizationChart"/>
    <dgm:cxn modelId="{B3A6FD5D-8DED-43AA-9C0C-4F16FDF4660A}" type="presParOf" srcId="{B448B506-5225-413F-ADE8-AB0EE229FD6F}" destId="{1EBBBC0E-6539-4EF1-8973-3B0F6F1045FD}" srcOrd="1" destOrd="0" presId="urn:microsoft.com/office/officeart/2009/3/layout/HorizontalOrganizationChart"/>
    <dgm:cxn modelId="{1B523CF8-C388-45FD-AC4A-9AD48176134C}" type="presParOf" srcId="{B448B506-5225-413F-ADE8-AB0EE229FD6F}" destId="{7017D130-76BC-492E-BF1C-148BABD92657}" srcOrd="2" destOrd="0" presId="urn:microsoft.com/office/officeart/2009/3/layout/HorizontalOrganizationChart"/>
    <dgm:cxn modelId="{96866200-059A-40A9-AD58-D06E852ABB58}" type="presParOf" srcId="{70103EC6-D4E5-4C36-A59E-29B7B77AD6B3}" destId="{2D867537-9F18-499C-AED2-34999CFBBD40}" srcOrd="2" destOrd="0" presId="urn:microsoft.com/office/officeart/2009/3/layout/HorizontalOrganizationChart"/>
    <dgm:cxn modelId="{089A7C75-EC21-46E3-B214-14BFA24E012F}" type="presParOf" srcId="{043F3008-D081-47EB-A6C5-0CF429B8BA48}" destId="{110CB8AD-F610-4C9E-838A-82E2C2F55AB0}" srcOrd="2" destOrd="0" presId="urn:microsoft.com/office/officeart/2009/3/layout/HorizontalOrganizationChart"/>
    <dgm:cxn modelId="{CB7A629D-21F6-4EEE-8416-E07883C13F51}" type="presParOf" srcId="{50462C17-B545-4A84-A28D-9E95B0D09608}" destId="{C4F4A58E-14CD-48AE-B2EF-0B1750F89316}" srcOrd="2" destOrd="0" presId="urn:microsoft.com/office/officeart/2009/3/layout/HorizontalOrganizationChart"/>
    <dgm:cxn modelId="{5A6717B1-1F26-484A-AA9B-B116E4236B23}" type="presParOf" srcId="{50462C17-B545-4A84-A28D-9E95B0D09608}" destId="{71DC874D-833C-4C17-9032-2C328E6E8F45}" srcOrd="3" destOrd="0" presId="urn:microsoft.com/office/officeart/2009/3/layout/HorizontalOrganizationChart"/>
    <dgm:cxn modelId="{E752A33A-E5C3-4623-9D42-D756109CA213}" type="presParOf" srcId="{71DC874D-833C-4C17-9032-2C328E6E8F45}" destId="{009F5EBD-F9ED-4F2B-B100-C9466E46B12A}" srcOrd="0" destOrd="0" presId="urn:microsoft.com/office/officeart/2009/3/layout/HorizontalOrganizationChart"/>
    <dgm:cxn modelId="{3792CECF-5DE5-4A69-B2FE-FE859A24261E}" type="presParOf" srcId="{009F5EBD-F9ED-4F2B-B100-C9466E46B12A}" destId="{8B1A76E2-E9B0-42AA-A604-A379DEA9252B}" srcOrd="0" destOrd="0" presId="urn:microsoft.com/office/officeart/2009/3/layout/HorizontalOrganizationChart"/>
    <dgm:cxn modelId="{A61811CA-FA5D-4692-8ED3-40175517212B}" type="presParOf" srcId="{009F5EBD-F9ED-4F2B-B100-C9466E46B12A}" destId="{590F8F4C-F81F-4053-8292-FFDFD8E260FC}" srcOrd="1" destOrd="0" presId="urn:microsoft.com/office/officeart/2009/3/layout/HorizontalOrganizationChart"/>
    <dgm:cxn modelId="{EBAC1C67-0F4F-4458-BC9C-7B0380E211E2}" type="presParOf" srcId="{71DC874D-833C-4C17-9032-2C328E6E8F45}" destId="{C6B557C5-B744-433F-94F4-AD4D04B4E8C1}" srcOrd="1" destOrd="0" presId="urn:microsoft.com/office/officeart/2009/3/layout/HorizontalOrganizationChart"/>
    <dgm:cxn modelId="{DA88A85D-1198-40C9-8E08-619E48851CFC}" type="presParOf" srcId="{C6B557C5-B744-433F-94F4-AD4D04B4E8C1}" destId="{E4F02621-2D8C-466C-A74E-DDEA567DF4D5}" srcOrd="0" destOrd="0" presId="urn:microsoft.com/office/officeart/2009/3/layout/HorizontalOrganizationChart"/>
    <dgm:cxn modelId="{E0EC97D1-7E56-462D-975B-BBD192554A7D}" type="presParOf" srcId="{C6B557C5-B744-433F-94F4-AD4D04B4E8C1}" destId="{FB78347D-F6C3-471F-966A-3259E5F35EFB}" srcOrd="1" destOrd="0" presId="urn:microsoft.com/office/officeart/2009/3/layout/HorizontalOrganizationChart"/>
    <dgm:cxn modelId="{4606C135-38F9-47A8-9EAA-865FE8AEA9B9}" type="presParOf" srcId="{FB78347D-F6C3-471F-966A-3259E5F35EFB}" destId="{446F8CC7-75F3-4A6A-97BC-40E81EDC5A91}" srcOrd="0" destOrd="0" presId="urn:microsoft.com/office/officeart/2009/3/layout/HorizontalOrganizationChart"/>
    <dgm:cxn modelId="{76D64412-07C9-4E49-A120-490DAE46E7D5}" type="presParOf" srcId="{446F8CC7-75F3-4A6A-97BC-40E81EDC5A91}" destId="{3D277D6D-385F-4DF2-8277-F62E03964564}" srcOrd="0" destOrd="0" presId="urn:microsoft.com/office/officeart/2009/3/layout/HorizontalOrganizationChart"/>
    <dgm:cxn modelId="{B2089111-5A44-4AE2-ACED-74E154411F4D}" type="presParOf" srcId="{446F8CC7-75F3-4A6A-97BC-40E81EDC5A91}" destId="{C536547B-501F-406C-B2FE-CA5BEBC456E0}" srcOrd="1" destOrd="0" presId="urn:microsoft.com/office/officeart/2009/3/layout/HorizontalOrganizationChart"/>
    <dgm:cxn modelId="{BA95DC9A-8CF7-4D90-B452-9BAB1CA7D1FD}" type="presParOf" srcId="{FB78347D-F6C3-471F-966A-3259E5F35EFB}" destId="{BE9CADF4-BEF5-494E-9270-8BF54F9DB860}" srcOrd="1" destOrd="0" presId="urn:microsoft.com/office/officeart/2009/3/layout/HorizontalOrganizationChart"/>
    <dgm:cxn modelId="{81D29320-D9BD-4863-81EA-C0FCD001936D}" type="presParOf" srcId="{BE9CADF4-BEF5-494E-9270-8BF54F9DB860}" destId="{ABEDB7CE-080C-42BA-AC9F-DC16E4E56EA0}" srcOrd="0" destOrd="0" presId="urn:microsoft.com/office/officeart/2009/3/layout/HorizontalOrganizationChart"/>
    <dgm:cxn modelId="{D2EAF72E-2DA8-492C-822B-FECE91E4B0FF}" type="presParOf" srcId="{BE9CADF4-BEF5-494E-9270-8BF54F9DB860}" destId="{0C782F0E-F2B9-4021-B541-67F7F7449919}" srcOrd="1" destOrd="0" presId="urn:microsoft.com/office/officeart/2009/3/layout/HorizontalOrganizationChart"/>
    <dgm:cxn modelId="{741D1770-4FEB-4BC1-92B9-2801B603E761}" type="presParOf" srcId="{0C782F0E-F2B9-4021-B541-67F7F7449919}" destId="{24F91300-A30C-434F-8FBB-1F6246F39DEE}" srcOrd="0" destOrd="0" presId="urn:microsoft.com/office/officeart/2009/3/layout/HorizontalOrganizationChart"/>
    <dgm:cxn modelId="{73D26C8E-A574-496C-9388-FF61118EDE86}" type="presParOf" srcId="{24F91300-A30C-434F-8FBB-1F6246F39DEE}" destId="{15F58B55-FC1A-4508-ACD1-246D829A6A08}" srcOrd="0" destOrd="0" presId="urn:microsoft.com/office/officeart/2009/3/layout/HorizontalOrganizationChart"/>
    <dgm:cxn modelId="{E586CC89-BD91-4D0D-9C55-98DB5925C150}" type="presParOf" srcId="{24F91300-A30C-434F-8FBB-1F6246F39DEE}" destId="{9C84E5DB-B45C-4C19-92D8-7984B1E3FA08}" srcOrd="1" destOrd="0" presId="urn:microsoft.com/office/officeart/2009/3/layout/HorizontalOrganizationChart"/>
    <dgm:cxn modelId="{BB39BC07-C176-44C0-8AE6-C3FEA04CC6D6}" type="presParOf" srcId="{0C782F0E-F2B9-4021-B541-67F7F7449919}" destId="{F5EE6561-333D-4A7F-99D4-684281A5A73A}" srcOrd="1" destOrd="0" presId="urn:microsoft.com/office/officeart/2009/3/layout/HorizontalOrganizationChart"/>
    <dgm:cxn modelId="{9AC74178-23AF-4371-90B4-3AB88C4E0EFF}" type="presParOf" srcId="{0C782F0E-F2B9-4021-B541-67F7F7449919}" destId="{9F87BABC-C0BA-4295-A8AC-A7837C31D558}" srcOrd="2" destOrd="0" presId="urn:microsoft.com/office/officeart/2009/3/layout/HorizontalOrganizationChart"/>
    <dgm:cxn modelId="{9EB513A5-12CD-41C4-A653-2B58AC30B557}" type="presParOf" srcId="{FB78347D-F6C3-471F-966A-3259E5F35EFB}" destId="{7E882A2E-2E31-44E7-844E-6A42D0F0C18F}" srcOrd="2" destOrd="0" presId="urn:microsoft.com/office/officeart/2009/3/layout/HorizontalOrganizationChart"/>
    <dgm:cxn modelId="{54D6F431-9339-4414-A5F1-6F24D29A6CEF}" type="presParOf" srcId="{71DC874D-833C-4C17-9032-2C328E6E8F45}" destId="{00F9542A-ED64-4AD8-BA33-A2CF48480B95}" srcOrd="2" destOrd="0" presId="urn:microsoft.com/office/officeart/2009/3/layout/HorizontalOrganizationChart"/>
    <dgm:cxn modelId="{987667AD-49CF-4C7A-BD38-FEE95E0EC377}" type="presParOf" srcId="{50462C17-B545-4A84-A28D-9E95B0D09608}" destId="{FB0CABB4-1BFD-4DA6-9827-A402E399F7C3}" srcOrd="4" destOrd="0" presId="urn:microsoft.com/office/officeart/2009/3/layout/HorizontalOrganizationChart"/>
    <dgm:cxn modelId="{51D71CF5-DB32-435F-A735-A1D7A158AE93}" type="presParOf" srcId="{50462C17-B545-4A84-A28D-9E95B0D09608}" destId="{DC031DDE-ECB1-4683-8913-0B91EAAD15D4}" srcOrd="5" destOrd="0" presId="urn:microsoft.com/office/officeart/2009/3/layout/HorizontalOrganizationChart"/>
    <dgm:cxn modelId="{18188064-43D5-4CBE-8F5C-8B0D645D2E3D}" type="presParOf" srcId="{DC031DDE-ECB1-4683-8913-0B91EAAD15D4}" destId="{455CAC3B-C920-4770-B1D4-CD898938B1A8}" srcOrd="0" destOrd="0" presId="urn:microsoft.com/office/officeart/2009/3/layout/HorizontalOrganizationChart"/>
    <dgm:cxn modelId="{ACDF1A50-A895-4B7D-BA5C-781B23A4E58D}" type="presParOf" srcId="{455CAC3B-C920-4770-B1D4-CD898938B1A8}" destId="{9D85CFFA-C9E7-4427-8657-E8FE69FCC599}" srcOrd="0" destOrd="0" presId="urn:microsoft.com/office/officeart/2009/3/layout/HorizontalOrganizationChart"/>
    <dgm:cxn modelId="{D964EBE0-7F95-49D7-8650-DCE20E157DC4}" type="presParOf" srcId="{455CAC3B-C920-4770-B1D4-CD898938B1A8}" destId="{CD82E660-B339-4B14-B638-B7DD15450152}" srcOrd="1" destOrd="0" presId="urn:microsoft.com/office/officeart/2009/3/layout/HorizontalOrganizationChart"/>
    <dgm:cxn modelId="{4EDE411C-7A76-42FF-B4DE-DCD0A93C214A}" type="presParOf" srcId="{DC031DDE-ECB1-4683-8913-0B91EAAD15D4}" destId="{2029BFD9-96D3-4BA9-B745-E463AD14CA77}" srcOrd="1" destOrd="0" presId="urn:microsoft.com/office/officeart/2009/3/layout/HorizontalOrganizationChart"/>
    <dgm:cxn modelId="{FB2BBB83-A69E-4735-8F8F-7355D19A700E}" type="presParOf" srcId="{2029BFD9-96D3-4BA9-B745-E463AD14CA77}" destId="{05585B73-CCBD-4D4B-A641-EE76B2F72B4B}" srcOrd="0" destOrd="0" presId="urn:microsoft.com/office/officeart/2009/3/layout/HorizontalOrganizationChart"/>
    <dgm:cxn modelId="{5140BE90-67E7-48F6-8AD9-635A23400EB4}" type="presParOf" srcId="{2029BFD9-96D3-4BA9-B745-E463AD14CA77}" destId="{D1107047-C244-4054-AC84-E96C7691FB45}" srcOrd="1" destOrd="0" presId="urn:microsoft.com/office/officeart/2009/3/layout/HorizontalOrganizationChart"/>
    <dgm:cxn modelId="{B2BA6311-A0FB-435F-80EE-FA024D97F496}" type="presParOf" srcId="{D1107047-C244-4054-AC84-E96C7691FB45}" destId="{7D30FC68-5D52-4F34-8EC5-F3E71BE833A8}" srcOrd="0" destOrd="0" presId="urn:microsoft.com/office/officeart/2009/3/layout/HorizontalOrganizationChart"/>
    <dgm:cxn modelId="{871E306A-27FE-41B0-8532-00C128723628}" type="presParOf" srcId="{7D30FC68-5D52-4F34-8EC5-F3E71BE833A8}" destId="{FC0672DA-18A1-46A8-BC54-310F3DB91916}" srcOrd="0" destOrd="0" presId="urn:microsoft.com/office/officeart/2009/3/layout/HorizontalOrganizationChart"/>
    <dgm:cxn modelId="{2546B64B-E1B1-405A-8929-00BFA59C6C07}" type="presParOf" srcId="{7D30FC68-5D52-4F34-8EC5-F3E71BE833A8}" destId="{DD88D8F9-5D72-481C-9AAD-3FCABB5C1429}" srcOrd="1" destOrd="0" presId="urn:microsoft.com/office/officeart/2009/3/layout/HorizontalOrganizationChart"/>
    <dgm:cxn modelId="{4E76BDA6-36B4-41B7-9CD9-C7F46542E10C}" type="presParOf" srcId="{D1107047-C244-4054-AC84-E96C7691FB45}" destId="{F0B465D7-A7B3-4206-91B2-D618DB26C641}" srcOrd="1" destOrd="0" presId="urn:microsoft.com/office/officeart/2009/3/layout/HorizontalOrganizationChart"/>
    <dgm:cxn modelId="{75FB3F65-F54D-4989-8030-EF9234C1A9E2}" type="presParOf" srcId="{F0B465D7-A7B3-4206-91B2-D618DB26C641}" destId="{B4669E91-A93C-4DD6-A508-C8F9DD639370}" srcOrd="0" destOrd="0" presId="urn:microsoft.com/office/officeart/2009/3/layout/HorizontalOrganizationChart"/>
    <dgm:cxn modelId="{5CA6DA0D-93A8-4ACF-ACD2-934B43CE7E34}" type="presParOf" srcId="{F0B465D7-A7B3-4206-91B2-D618DB26C641}" destId="{CA32AAF0-A866-447B-AF3B-D19AD45D2664}" srcOrd="1" destOrd="0" presId="urn:microsoft.com/office/officeart/2009/3/layout/HorizontalOrganizationChart"/>
    <dgm:cxn modelId="{6B987839-ED8E-4998-850A-336475193E26}" type="presParOf" srcId="{CA32AAF0-A866-447B-AF3B-D19AD45D2664}" destId="{AA8987E8-BEAA-4076-BE73-56B01156B6ED}" srcOrd="0" destOrd="0" presId="urn:microsoft.com/office/officeart/2009/3/layout/HorizontalOrganizationChart"/>
    <dgm:cxn modelId="{5094A405-11E0-47FC-B0A5-3359EF5466FC}" type="presParOf" srcId="{AA8987E8-BEAA-4076-BE73-56B01156B6ED}" destId="{17CD6C1F-2E09-4803-9E50-3FAD9ED73F6B}" srcOrd="0" destOrd="0" presId="urn:microsoft.com/office/officeart/2009/3/layout/HorizontalOrganizationChart"/>
    <dgm:cxn modelId="{D152FD5C-9889-4702-B94B-901795BBFD37}" type="presParOf" srcId="{AA8987E8-BEAA-4076-BE73-56B01156B6ED}" destId="{5FC33FDD-D53A-49C0-B20B-2A574BCDAC95}" srcOrd="1" destOrd="0" presId="urn:microsoft.com/office/officeart/2009/3/layout/HorizontalOrganizationChart"/>
    <dgm:cxn modelId="{2078EC72-D1AD-4C56-958C-38E136472549}" type="presParOf" srcId="{CA32AAF0-A866-447B-AF3B-D19AD45D2664}" destId="{3A045ADB-6237-48C7-BE12-7B038CC21EE4}" srcOrd="1" destOrd="0" presId="urn:microsoft.com/office/officeart/2009/3/layout/HorizontalOrganizationChart"/>
    <dgm:cxn modelId="{DA7F07EC-4834-443B-ABCC-D4182E89CA32}" type="presParOf" srcId="{CA32AAF0-A866-447B-AF3B-D19AD45D2664}" destId="{DC8E9962-0FA8-411B-A5E1-6DCB2FC0BB48}" srcOrd="2" destOrd="0" presId="urn:microsoft.com/office/officeart/2009/3/layout/HorizontalOrganizationChart"/>
    <dgm:cxn modelId="{09F80460-9A05-4CF2-9856-34A78FA61CF4}" type="presParOf" srcId="{D1107047-C244-4054-AC84-E96C7691FB45}" destId="{B26CCB2E-72EE-4371-97ED-819C2D5773E7}" srcOrd="2" destOrd="0" presId="urn:microsoft.com/office/officeart/2009/3/layout/HorizontalOrganizationChart"/>
    <dgm:cxn modelId="{363A2B72-093F-493E-BF21-929178616321}" type="presParOf" srcId="{DC031DDE-ECB1-4683-8913-0B91EAAD15D4}" destId="{F774CF28-B625-448F-863F-1B2A0D579048}" srcOrd="2" destOrd="0" presId="urn:microsoft.com/office/officeart/2009/3/layout/HorizontalOrganizationChart"/>
    <dgm:cxn modelId="{B3FFF797-86B0-479F-A6EB-045B531A666B}" type="presParOf" srcId="{50462C17-B545-4A84-A28D-9E95B0D09608}" destId="{F0DF1CCB-2EBF-4DB5-A240-D29BF86F5FF0}" srcOrd="6" destOrd="0" presId="urn:microsoft.com/office/officeart/2009/3/layout/HorizontalOrganizationChart"/>
    <dgm:cxn modelId="{6F394B03-D7B2-4147-9E77-5645D3C6AAE8}" type="presParOf" srcId="{50462C17-B545-4A84-A28D-9E95B0D09608}" destId="{EB931107-7C41-4D0E-9017-70E335EA9F40}" srcOrd="7" destOrd="0" presId="urn:microsoft.com/office/officeart/2009/3/layout/HorizontalOrganizationChart"/>
    <dgm:cxn modelId="{93BB2C1B-50AC-48C4-8589-ED0C0C58DC25}" type="presParOf" srcId="{EB931107-7C41-4D0E-9017-70E335EA9F40}" destId="{DF535328-19D4-41FB-8168-6DC29118838B}" srcOrd="0" destOrd="0" presId="urn:microsoft.com/office/officeart/2009/3/layout/HorizontalOrganizationChart"/>
    <dgm:cxn modelId="{50A4BF90-52C9-42A5-B8B4-4805303C2585}" type="presParOf" srcId="{DF535328-19D4-41FB-8168-6DC29118838B}" destId="{1B43A71D-9E4B-4936-A6B4-EEB6AC11403F}" srcOrd="0" destOrd="0" presId="urn:microsoft.com/office/officeart/2009/3/layout/HorizontalOrganizationChart"/>
    <dgm:cxn modelId="{1FAB105B-3D3A-4B69-8EA8-CB04C7616AD7}" type="presParOf" srcId="{DF535328-19D4-41FB-8168-6DC29118838B}" destId="{84219F84-1822-4103-A55F-43CEE7AD72EB}" srcOrd="1" destOrd="0" presId="urn:microsoft.com/office/officeart/2009/3/layout/HorizontalOrganizationChart"/>
    <dgm:cxn modelId="{5F20CE95-AFBA-47E8-BB56-EBFA0BC49A13}" type="presParOf" srcId="{EB931107-7C41-4D0E-9017-70E335EA9F40}" destId="{50C4AAEA-6A7E-4D1C-AEF1-6C28CE722850}" srcOrd="1" destOrd="0" presId="urn:microsoft.com/office/officeart/2009/3/layout/HorizontalOrganizationChart"/>
    <dgm:cxn modelId="{67289D4F-EE8C-481A-A0E0-15296F6DD61F}" type="presParOf" srcId="{50C4AAEA-6A7E-4D1C-AEF1-6C28CE722850}" destId="{5CD3105F-B6E3-4EE6-8086-66590DA1646A}" srcOrd="0" destOrd="0" presId="urn:microsoft.com/office/officeart/2009/3/layout/HorizontalOrganizationChart"/>
    <dgm:cxn modelId="{886A7312-FBBB-4BC9-94EA-C2247E6D43D6}" type="presParOf" srcId="{50C4AAEA-6A7E-4D1C-AEF1-6C28CE722850}" destId="{9F7806FE-C4F2-407F-B22D-152139A44DE8}" srcOrd="1" destOrd="0" presId="urn:microsoft.com/office/officeart/2009/3/layout/HorizontalOrganizationChart"/>
    <dgm:cxn modelId="{E7837545-A181-40C3-88D3-0B93D90F38C8}" type="presParOf" srcId="{9F7806FE-C4F2-407F-B22D-152139A44DE8}" destId="{A2DB5110-2877-4DEB-845B-F00C0A5723A2}" srcOrd="0" destOrd="0" presId="urn:microsoft.com/office/officeart/2009/3/layout/HorizontalOrganizationChart"/>
    <dgm:cxn modelId="{0CC747E1-6D64-4B87-B88E-DECD30EC2902}" type="presParOf" srcId="{A2DB5110-2877-4DEB-845B-F00C0A5723A2}" destId="{9B16E30F-6692-4CE1-84C2-A5B38054B766}" srcOrd="0" destOrd="0" presId="urn:microsoft.com/office/officeart/2009/3/layout/HorizontalOrganizationChart"/>
    <dgm:cxn modelId="{CDA38D0A-0B4C-4587-B5B7-72EC668AAFC3}" type="presParOf" srcId="{A2DB5110-2877-4DEB-845B-F00C0A5723A2}" destId="{8FF6BF00-95C9-4B60-BC80-18507066BDE0}" srcOrd="1" destOrd="0" presId="urn:microsoft.com/office/officeart/2009/3/layout/HorizontalOrganizationChart"/>
    <dgm:cxn modelId="{978BECBA-24FD-4511-B7EE-E07B7AE14E07}" type="presParOf" srcId="{9F7806FE-C4F2-407F-B22D-152139A44DE8}" destId="{E29B9F57-B8D7-4374-A16B-F68CE6BF0283}" srcOrd="1" destOrd="0" presId="urn:microsoft.com/office/officeart/2009/3/layout/HorizontalOrganizationChart"/>
    <dgm:cxn modelId="{4ACE6C05-DF78-446E-A2CB-26A3EB4DE4FD}" type="presParOf" srcId="{E29B9F57-B8D7-4374-A16B-F68CE6BF0283}" destId="{CF7C1C9A-EC38-47B5-83BF-8AAAEA36370C}" srcOrd="0" destOrd="0" presId="urn:microsoft.com/office/officeart/2009/3/layout/HorizontalOrganizationChart"/>
    <dgm:cxn modelId="{05E25DF5-9367-43C0-9379-5B57D69D6A99}" type="presParOf" srcId="{E29B9F57-B8D7-4374-A16B-F68CE6BF0283}" destId="{B8EA8512-C5F4-46EE-8A99-EAF853E8D3CF}" srcOrd="1" destOrd="0" presId="urn:microsoft.com/office/officeart/2009/3/layout/HorizontalOrganizationChart"/>
    <dgm:cxn modelId="{CE62B65E-0DDC-43F6-8512-DC3B15BBBC3C}" type="presParOf" srcId="{B8EA8512-C5F4-46EE-8A99-EAF853E8D3CF}" destId="{B020E1B9-1D5D-4090-AE60-6A277EF0E0B6}" srcOrd="0" destOrd="0" presId="urn:microsoft.com/office/officeart/2009/3/layout/HorizontalOrganizationChart"/>
    <dgm:cxn modelId="{3AC53A41-0C6A-45B7-9FAE-98D330D19854}" type="presParOf" srcId="{B020E1B9-1D5D-4090-AE60-6A277EF0E0B6}" destId="{D5B7C8EE-69E8-4EC6-B64D-06CBECA1FC66}" srcOrd="0" destOrd="0" presId="urn:microsoft.com/office/officeart/2009/3/layout/HorizontalOrganizationChart"/>
    <dgm:cxn modelId="{C2D4EC99-A6B6-404A-BEAC-9B083D8EC24C}" type="presParOf" srcId="{B020E1B9-1D5D-4090-AE60-6A277EF0E0B6}" destId="{89C36D3C-8BC5-4C62-AE73-10C618A98876}" srcOrd="1" destOrd="0" presId="urn:microsoft.com/office/officeart/2009/3/layout/HorizontalOrganizationChart"/>
    <dgm:cxn modelId="{186C76A8-360D-429F-A1B5-A3D6B628626C}" type="presParOf" srcId="{B8EA8512-C5F4-46EE-8A99-EAF853E8D3CF}" destId="{36E0E7CC-E622-468B-A099-50527A17230A}" srcOrd="1" destOrd="0" presId="urn:microsoft.com/office/officeart/2009/3/layout/HorizontalOrganizationChart"/>
    <dgm:cxn modelId="{E193BFC4-3146-4A75-AB07-24EBE06DE5F0}" type="presParOf" srcId="{B8EA8512-C5F4-46EE-8A99-EAF853E8D3CF}" destId="{8B2C772B-A32D-46C8-8BF8-0AED46739032}" srcOrd="2" destOrd="0" presId="urn:microsoft.com/office/officeart/2009/3/layout/HorizontalOrganizationChart"/>
    <dgm:cxn modelId="{9FF43DBD-F055-46F6-8182-D6F55B1EC10C}" type="presParOf" srcId="{9F7806FE-C4F2-407F-B22D-152139A44DE8}" destId="{83B3370D-399B-4C06-AE4D-519CF01F6A1B}" srcOrd="2" destOrd="0" presId="urn:microsoft.com/office/officeart/2009/3/layout/HorizontalOrganizationChart"/>
    <dgm:cxn modelId="{1802B450-27BE-4670-AD6B-504EDFCD3DB3}" type="presParOf" srcId="{EB931107-7C41-4D0E-9017-70E335EA9F40}" destId="{83DE8E02-C2B7-490D-8DF8-C59A40F247F3}" srcOrd="2" destOrd="0" presId="urn:microsoft.com/office/officeart/2009/3/layout/HorizontalOrganizationChart"/>
    <dgm:cxn modelId="{03A2C1BA-D142-44F1-88AA-39D28415CECB}" type="presParOf" srcId="{50462C17-B545-4A84-A28D-9E95B0D09608}" destId="{5FAA3F41-D8F9-439B-8BF7-8DA5B38619D4}" srcOrd="8" destOrd="0" presId="urn:microsoft.com/office/officeart/2009/3/layout/HorizontalOrganizationChart"/>
    <dgm:cxn modelId="{8EE977B6-6A73-41DB-888B-01D4CF82ADB7}" type="presParOf" srcId="{50462C17-B545-4A84-A28D-9E95B0D09608}" destId="{9AD44681-CA67-4493-AD00-44A9C79DAD30}" srcOrd="9" destOrd="0" presId="urn:microsoft.com/office/officeart/2009/3/layout/HorizontalOrganizationChart"/>
    <dgm:cxn modelId="{682E0CA3-E4C8-4921-9692-578570F1A1C0}" type="presParOf" srcId="{9AD44681-CA67-4493-AD00-44A9C79DAD30}" destId="{ADD9E449-1811-4AC9-B0A6-A9C2621A6EE8}" srcOrd="0" destOrd="0" presId="urn:microsoft.com/office/officeart/2009/3/layout/HorizontalOrganizationChart"/>
    <dgm:cxn modelId="{4E21C93C-9165-417B-8159-DCDEAD615714}" type="presParOf" srcId="{ADD9E449-1811-4AC9-B0A6-A9C2621A6EE8}" destId="{35DCB916-1AFB-47A5-91AD-5E39D97561C8}" srcOrd="0" destOrd="0" presId="urn:microsoft.com/office/officeart/2009/3/layout/HorizontalOrganizationChart"/>
    <dgm:cxn modelId="{9AABF3C2-3983-44D3-8BFA-4187FA8D4FCB}" type="presParOf" srcId="{ADD9E449-1811-4AC9-B0A6-A9C2621A6EE8}" destId="{041B25F8-5874-4823-AA7E-2CEA552F8222}" srcOrd="1" destOrd="0" presId="urn:microsoft.com/office/officeart/2009/3/layout/HorizontalOrganizationChart"/>
    <dgm:cxn modelId="{BBC19155-F259-4231-878B-60DA02DA612B}" type="presParOf" srcId="{9AD44681-CA67-4493-AD00-44A9C79DAD30}" destId="{9D5C25A5-449F-42A0-A66B-D47AD6A7CC27}" srcOrd="1" destOrd="0" presId="urn:microsoft.com/office/officeart/2009/3/layout/HorizontalOrganizationChart"/>
    <dgm:cxn modelId="{4403BD3A-75EB-4D60-A49F-F41ECC87267C}" type="presParOf" srcId="{9AD44681-CA67-4493-AD00-44A9C79DAD30}" destId="{5DC9BA0F-5F9C-42E9-ABED-330542648F52}" srcOrd="2" destOrd="0" presId="urn:microsoft.com/office/officeart/2009/3/layout/HorizontalOrganizationChart"/>
    <dgm:cxn modelId="{CF3BD6EE-5796-4A15-B903-8189803DB3A9}" type="presParOf" srcId="{E169FAA3-5D46-4A9C-B7CF-5A9D33AA20F9}" destId="{A3F88515-B90B-40FF-9F22-94E6FB3C85D1}" srcOrd="2" destOrd="0" presId="urn:microsoft.com/office/officeart/2009/3/layout/HorizontalOrganizationChart"/>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F2F7AE-CB00-4D49-A2F1-4AC1BCE5ECFC}">
      <dsp:nvSpPr>
        <dsp:cNvPr id="0" name=""/>
        <dsp:cNvSpPr/>
      </dsp:nvSpPr>
      <dsp:spPr>
        <a:xfrm>
          <a:off x="2669" y="7931"/>
          <a:ext cx="1023491" cy="37440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28448" rIns="49784" bIns="28448" numCol="1" spcCol="1270" anchor="ctr" anchorCtr="0">
          <a:noAutofit/>
        </a:bodyPr>
        <a:lstStyle/>
        <a:p>
          <a:pPr marL="0" lvl="0" indent="0" algn="ctr" defTabSz="288925">
            <a:lnSpc>
              <a:spcPct val="90000"/>
            </a:lnSpc>
            <a:spcBef>
              <a:spcPct val="0"/>
            </a:spcBef>
            <a:spcAft>
              <a:spcPct val="35000"/>
            </a:spcAft>
            <a:buNone/>
          </a:pPr>
          <a:r>
            <a:rPr lang="en-AU" sz="650" kern="1200">
              <a:effectLst/>
            </a:rPr>
            <a:t>Resource inputs and efficiency</a:t>
          </a:r>
          <a:endParaRPr lang="en-AU" sz="650" kern="1200"/>
        </a:p>
      </dsp:txBody>
      <dsp:txXfrm>
        <a:off x="2669" y="7931"/>
        <a:ext cx="1023491" cy="374400"/>
      </dsp:txXfrm>
    </dsp:sp>
    <dsp:sp modelId="{EEE764A4-5A50-4BC7-902E-90065B32705D}">
      <dsp:nvSpPr>
        <dsp:cNvPr id="0" name=""/>
        <dsp:cNvSpPr/>
      </dsp:nvSpPr>
      <dsp:spPr>
        <a:xfrm>
          <a:off x="2669" y="382331"/>
          <a:ext cx="1023491" cy="981337"/>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7338" tIns="37338" rIns="49784" bIns="56007" numCol="1" spcCol="1270" anchor="t" anchorCtr="0">
          <a:noAutofit/>
        </a:bodyPr>
        <a:lstStyle/>
        <a:p>
          <a:pPr marL="57150" lvl="1" indent="-57150" algn="l" defTabSz="288925">
            <a:lnSpc>
              <a:spcPct val="90000"/>
            </a:lnSpc>
            <a:spcBef>
              <a:spcPct val="0"/>
            </a:spcBef>
            <a:spcAft>
              <a:spcPct val="15000"/>
            </a:spcAft>
            <a:buChar char="•"/>
          </a:pPr>
          <a:r>
            <a:rPr lang="en-AU" sz="650" kern="1200">
              <a:effectLst/>
            </a:rPr>
            <a:t>Agency resources</a:t>
          </a:r>
        </a:p>
        <a:p>
          <a:pPr marL="57150" lvl="1" indent="-57150" algn="l" defTabSz="288925">
            <a:lnSpc>
              <a:spcPct val="90000"/>
            </a:lnSpc>
            <a:spcBef>
              <a:spcPct val="0"/>
            </a:spcBef>
            <a:spcAft>
              <a:spcPct val="15000"/>
            </a:spcAft>
            <a:buChar char="•"/>
          </a:pPr>
          <a:r>
            <a:rPr lang="en-AU" sz="650" kern="1200">
              <a:effectLst/>
            </a:rPr>
            <a:t>Risk-based streaming of processes</a:t>
          </a:r>
          <a:endParaRPr lang="en-AU" sz="650" kern="1200" dirty="0">
            <a:effectLst/>
          </a:endParaRPr>
        </a:p>
        <a:p>
          <a:pPr marL="57150" lvl="1" indent="-57150" algn="l" defTabSz="288925">
            <a:lnSpc>
              <a:spcPct val="90000"/>
            </a:lnSpc>
            <a:spcBef>
              <a:spcPct val="0"/>
            </a:spcBef>
            <a:spcAft>
              <a:spcPct val="15000"/>
            </a:spcAft>
            <a:buChar char="•"/>
          </a:pPr>
          <a:r>
            <a:rPr lang="en-AU" sz="650" kern="1200">
              <a:effectLst/>
            </a:rPr>
            <a:t>Variation management</a:t>
          </a:r>
        </a:p>
        <a:p>
          <a:pPr marL="57150" lvl="1" indent="-57150" algn="l" defTabSz="288925">
            <a:lnSpc>
              <a:spcPct val="90000"/>
            </a:lnSpc>
            <a:spcBef>
              <a:spcPct val="0"/>
            </a:spcBef>
            <a:spcAft>
              <a:spcPct val="15000"/>
            </a:spcAft>
            <a:buChar char="•"/>
          </a:pPr>
          <a:r>
            <a:rPr lang="en-AU" sz="650" kern="1200">
              <a:effectLst/>
            </a:rPr>
            <a:t>Timeframes</a:t>
          </a:r>
        </a:p>
        <a:p>
          <a:pPr marL="57150" lvl="1" indent="-57150" algn="l" defTabSz="288925">
            <a:lnSpc>
              <a:spcPct val="90000"/>
            </a:lnSpc>
            <a:spcBef>
              <a:spcPct val="0"/>
            </a:spcBef>
            <a:spcAft>
              <a:spcPct val="15000"/>
            </a:spcAft>
            <a:buChar char="•"/>
          </a:pPr>
          <a:r>
            <a:rPr lang="en-AU" sz="650" kern="1200">
              <a:effectLst/>
            </a:rPr>
            <a:t>Flow/turnover</a:t>
          </a:r>
        </a:p>
      </dsp:txBody>
      <dsp:txXfrm>
        <a:off x="2669" y="382331"/>
        <a:ext cx="1023491" cy="981337"/>
      </dsp:txXfrm>
    </dsp:sp>
    <dsp:sp modelId="{EA8A196D-F450-4313-8186-BECD012350C5}">
      <dsp:nvSpPr>
        <dsp:cNvPr id="0" name=""/>
        <dsp:cNvSpPr/>
      </dsp:nvSpPr>
      <dsp:spPr>
        <a:xfrm>
          <a:off x="1169449" y="7931"/>
          <a:ext cx="1023491" cy="37440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28448" rIns="49784" bIns="28448" numCol="1" spcCol="1270" anchor="ctr" anchorCtr="0">
          <a:noAutofit/>
        </a:bodyPr>
        <a:lstStyle/>
        <a:p>
          <a:pPr marL="0" lvl="0" indent="0" algn="ctr" defTabSz="288925">
            <a:lnSpc>
              <a:spcPct val="90000"/>
            </a:lnSpc>
            <a:spcBef>
              <a:spcPct val="0"/>
            </a:spcBef>
            <a:spcAft>
              <a:spcPct val="35000"/>
            </a:spcAft>
            <a:buNone/>
          </a:pPr>
          <a:r>
            <a:rPr lang="en-AU" sz="650" kern="1200">
              <a:effectLst/>
            </a:rPr>
            <a:t>Regulator activities (actions taken)</a:t>
          </a:r>
        </a:p>
      </dsp:txBody>
      <dsp:txXfrm>
        <a:off x="1169449" y="7931"/>
        <a:ext cx="1023491" cy="374400"/>
      </dsp:txXfrm>
    </dsp:sp>
    <dsp:sp modelId="{46E41426-8C36-4ADD-B876-0BE1DD113473}">
      <dsp:nvSpPr>
        <dsp:cNvPr id="0" name=""/>
        <dsp:cNvSpPr/>
      </dsp:nvSpPr>
      <dsp:spPr>
        <a:xfrm>
          <a:off x="1169449" y="382331"/>
          <a:ext cx="1023491" cy="981337"/>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7338" tIns="37338" rIns="49784" bIns="56007" numCol="1" spcCol="1270" anchor="t" anchorCtr="0">
          <a:noAutofit/>
        </a:bodyPr>
        <a:lstStyle/>
        <a:p>
          <a:pPr marL="57150" lvl="1" indent="-57150" algn="l" defTabSz="288925">
            <a:lnSpc>
              <a:spcPct val="90000"/>
            </a:lnSpc>
            <a:spcBef>
              <a:spcPct val="0"/>
            </a:spcBef>
            <a:spcAft>
              <a:spcPct val="15000"/>
            </a:spcAft>
            <a:buChar char="•"/>
          </a:pPr>
          <a:r>
            <a:rPr lang="en-AU" sz="650" kern="1200">
              <a:effectLst/>
            </a:rPr>
            <a:t>Inspections</a:t>
          </a:r>
        </a:p>
        <a:p>
          <a:pPr marL="57150" lvl="1" indent="-57150" algn="l" defTabSz="288925">
            <a:lnSpc>
              <a:spcPct val="90000"/>
            </a:lnSpc>
            <a:spcBef>
              <a:spcPct val="0"/>
            </a:spcBef>
            <a:spcAft>
              <a:spcPct val="15000"/>
            </a:spcAft>
            <a:buChar char="•"/>
          </a:pPr>
          <a:r>
            <a:rPr lang="en-AU" sz="650" kern="1200">
              <a:effectLst/>
            </a:rPr>
            <a:t>Education and outreach</a:t>
          </a:r>
        </a:p>
        <a:p>
          <a:pPr marL="57150" lvl="1" indent="-57150" algn="l" defTabSz="288925">
            <a:lnSpc>
              <a:spcPct val="90000"/>
            </a:lnSpc>
            <a:spcBef>
              <a:spcPct val="0"/>
            </a:spcBef>
            <a:spcAft>
              <a:spcPct val="15000"/>
            </a:spcAft>
            <a:buChar char="•"/>
          </a:pPr>
          <a:r>
            <a:rPr lang="en-AU" sz="650" kern="1200">
              <a:effectLst/>
            </a:rPr>
            <a:t>Enforcement actions</a:t>
          </a:r>
        </a:p>
        <a:p>
          <a:pPr marL="57150" lvl="1" indent="-57150" algn="l" defTabSz="288925">
            <a:lnSpc>
              <a:spcPct val="90000"/>
            </a:lnSpc>
            <a:spcBef>
              <a:spcPct val="0"/>
            </a:spcBef>
            <a:spcAft>
              <a:spcPct val="15000"/>
            </a:spcAft>
            <a:buChar char="•"/>
          </a:pPr>
          <a:r>
            <a:rPr lang="en-AU" sz="650" kern="1200">
              <a:effectLst/>
            </a:rPr>
            <a:t>Partnerships</a:t>
          </a:r>
        </a:p>
        <a:p>
          <a:pPr marL="57150" lvl="1" indent="-57150" algn="l" defTabSz="288925">
            <a:lnSpc>
              <a:spcPct val="90000"/>
            </a:lnSpc>
            <a:spcBef>
              <a:spcPct val="0"/>
            </a:spcBef>
            <a:spcAft>
              <a:spcPct val="15000"/>
            </a:spcAft>
            <a:buChar char="•"/>
          </a:pPr>
          <a:r>
            <a:rPr lang="en-AU" sz="650" kern="1200">
              <a:effectLst/>
            </a:rPr>
            <a:t>Other compliance generating or monitoring activities</a:t>
          </a:r>
        </a:p>
      </dsp:txBody>
      <dsp:txXfrm>
        <a:off x="1169449" y="382331"/>
        <a:ext cx="1023491" cy="981337"/>
      </dsp:txXfrm>
    </dsp:sp>
    <dsp:sp modelId="{F05F3658-E1FD-4115-91E0-1475C7CB8DA5}">
      <dsp:nvSpPr>
        <dsp:cNvPr id="0" name=""/>
        <dsp:cNvSpPr/>
      </dsp:nvSpPr>
      <dsp:spPr>
        <a:xfrm>
          <a:off x="2336229" y="7931"/>
          <a:ext cx="1023491" cy="37440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28448" rIns="49784" bIns="28448" numCol="1" spcCol="1270" anchor="ctr" anchorCtr="0">
          <a:noAutofit/>
        </a:bodyPr>
        <a:lstStyle/>
        <a:p>
          <a:pPr marL="0" lvl="0" indent="0" algn="ctr" defTabSz="288925">
            <a:lnSpc>
              <a:spcPct val="90000"/>
            </a:lnSpc>
            <a:spcBef>
              <a:spcPct val="0"/>
            </a:spcBef>
            <a:spcAft>
              <a:spcPct val="35000"/>
            </a:spcAft>
            <a:buNone/>
          </a:pPr>
          <a:r>
            <a:rPr lang="en-AU" sz="650" kern="1200">
              <a:effectLst/>
            </a:rPr>
            <a:t>Regulator outputs (effectiveness/ targeting)</a:t>
          </a:r>
        </a:p>
      </dsp:txBody>
      <dsp:txXfrm>
        <a:off x="2336229" y="7931"/>
        <a:ext cx="1023491" cy="374400"/>
      </dsp:txXfrm>
    </dsp:sp>
    <dsp:sp modelId="{77457527-1220-4D7F-9D68-00957507EB59}">
      <dsp:nvSpPr>
        <dsp:cNvPr id="0" name=""/>
        <dsp:cNvSpPr/>
      </dsp:nvSpPr>
      <dsp:spPr>
        <a:xfrm>
          <a:off x="2336229" y="382331"/>
          <a:ext cx="1023491" cy="981337"/>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7338" tIns="37338" rIns="49784" bIns="56007" numCol="1" spcCol="1270" anchor="t" anchorCtr="0">
          <a:noAutofit/>
        </a:bodyPr>
        <a:lstStyle/>
        <a:p>
          <a:pPr marL="57150" lvl="1" indent="-57150" algn="l" defTabSz="288925">
            <a:lnSpc>
              <a:spcPct val="90000"/>
            </a:lnSpc>
            <a:spcBef>
              <a:spcPct val="0"/>
            </a:spcBef>
            <a:spcAft>
              <a:spcPct val="15000"/>
            </a:spcAft>
            <a:buChar char="•"/>
          </a:pPr>
          <a:r>
            <a:rPr lang="en-AU" sz="650" kern="1200">
              <a:effectLst/>
            </a:rPr>
            <a:t>Detection rates</a:t>
          </a:r>
        </a:p>
        <a:p>
          <a:pPr marL="57150" lvl="1" indent="-57150" algn="l" defTabSz="288925">
            <a:lnSpc>
              <a:spcPct val="90000"/>
            </a:lnSpc>
            <a:spcBef>
              <a:spcPct val="0"/>
            </a:spcBef>
            <a:spcAft>
              <a:spcPct val="15000"/>
            </a:spcAft>
            <a:buChar char="•"/>
          </a:pPr>
          <a:r>
            <a:rPr lang="en-AU" sz="650" kern="1200">
              <a:effectLst/>
            </a:rPr>
            <a:t>Escalation rates</a:t>
          </a:r>
        </a:p>
        <a:p>
          <a:pPr marL="57150" lvl="1" indent="-57150" algn="l" defTabSz="288925">
            <a:lnSpc>
              <a:spcPct val="90000"/>
            </a:lnSpc>
            <a:spcBef>
              <a:spcPct val="0"/>
            </a:spcBef>
            <a:spcAft>
              <a:spcPct val="15000"/>
            </a:spcAft>
            <a:buChar char="•"/>
          </a:pPr>
          <a:r>
            <a:rPr lang="en-AU" sz="650" kern="1200">
              <a:effectLst/>
            </a:rPr>
            <a:t>Partnership results</a:t>
          </a:r>
        </a:p>
        <a:p>
          <a:pPr marL="57150" lvl="1" indent="-57150" algn="l" defTabSz="288925">
            <a:lnSpc>
              <a:spcPct val="90000"/>
            </a:lnSpc>
            <a:spcBef>
              <a:spcPct val="0"/>
            </a:spcBef>
            <a:spcAft>
              <a:spcPct val="15000"/>
            </a:spcAft>
            <a:buChar char="•"/>
          </a:pPr>
          <a:r>
            <a:rPr lang="en-AU" sz="650" kern="1200">
              <a:effectLst/>
            </a:rPr>
            <a:t>Engagement results</a:t>
          </a:r>
        </a:p>
        <a:p>
          <a:pPr marL="57150" lvl="1" indent="-57150" algn="l" defTabSz="288925">
            <a:lnSpc>
              <a:spcPct val="90000"/>
            </a:lnSpc>
            <a:spcBef>
              <a:spcPct val="0"/>
            </a:spcBef>
            <a:spcAft>
              <a:spcPct val="15000"/>
            </a:spcAft>
            <a:buChar char="•"/>
          </a:pPr>
          <a:r>
            <a:rPr lang="en-AU" sz="650" kern="1200">
              <a:effectLst/>
            </a:rPr>
            <a:t>Measured effect of trials</a:t>
          </a:r>
        </a:p>
      </dsp:txBody>
      <dsp:txXfrm>
        <a:off x="2336229" y="382331"/>
        <a:ext cx="1023491" cy="981337"/>
      </dsp:txXfrm>
    </dsp:sp>
    <dsp:sp modelId="{B3E409B5-439A-49D9-B75E-0E3D57C15EC7}">
      <dsp:nvSpPr>
        <dsp:cNvPr id="0" name=""/>
        <dsp:cNvSpPr/>
      </dsp:nvSpPr>
      <dsp:spPr>
        <a:xfrm>
          <a:off x="3503009" y="7931"/>
          <a:ext cx="1023491" cy="37440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28448" rIns="49784" bIns="28448" numCol="1" spcCol="1270" anchor="ctr" anchorCtr="0">
          <a:noAutofit/>
        </a:bodyPr>
        <a:lstStyle/>
        <a:p>
          <a:pPr marL="0" lvl="0" indent="0" algn="ctr" defTabSz="288925">
            <a:lnSpc>
              <a:spcPct val="90000"/>
            </a:lnSpc>
            <a:spcBef>
              <a:spcPct val="0"/>
            </a:spcBef>
            <a:spcAft>
              <a:spcPct val="35000"/>
            </a:spcAft>
            <a:buNone/>
          </a:pPr>
          <a:r>
            <a:rPr lang="en-AU" sz="650" kern="1200">
              <a:effectLst/>
            </a:rPr>
            <a:t>Behavioural outcomes (attitudes and actions)</a:t>
          </a:r>
        </a:p>
      </dsp:txBody>
      <dsp:txXfrm>
        <a:off x="3503009" y="7931"/>
        <a:ext cx="1023491" cy="374400"/>
      </dsp:txXfrm>
    </dsp:sp>
    <dsp:sp modelId="{8F4CDC00-B521-4044-B938-8A7935D8D088}">
      <dsp:nvSpPr>
        <dsp:cNvPr id="0" name=""/>
        <dsp:cNvSpPr/>
      </dsp:nvSpPr>
      <dsp:spPr>
        <a:xfrm>
          <a:off x="3503009" y="382331"/>
          <a:ext cx="1023491" cy="981337"/>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7338" tIns="37338" rIns="49784" bIns="56007" numCol="1" spcCol="1270" anchor="t" anchorCtr="0">
          <a:noAutofit/>
        </a:bodyPr>
        <a:lstStyle/>
        <a:p>
          <a:pPr marL="57150" lvl="1" indent="-57150" algn="l" defTabSz="288925">
            <a:lnSpc>
              <a:spcPct val="90000"/>
            </a:lnSpc>
            <a:spcBef>
              <a:spcPct val="0"/>
            </a:spcBef>
            <a:spcAft>
              <a:spcPct val="15000"/>
            </a:spcAft>
            <a:buChar char="•"/>
          </a:pPr>
          <a:r>
            <a:rPr lang="en-AU" sz="650" kern="1200">
              <a:effectLst/>
            </a:rPr>
            <a:t>Non-compliance rates</a:t>
          </a:r>
        </a:p>
        <a:p>
          <a:pPr marL="57150" lvl="1" indent="-57150" algn="l" defTabSz="288925">
            <a:lnSpc>
              <a:spcPct val="90000"/>
            </a:lnSpc>
            <a:spcBef>
              <a:spcPct val="0"/>
            </a:spcBef>
            <a:spcAft>
              <a:spcPct val="15000"/>
            </a:spcAft>
            <a:buChar char="•"/>
          </a:pPr>
          <a:r>
            <a:rPr lang="en-AU" sz="650" kern="1200">
              <a:effectLst/>
            </a:rPr>
            <a:t>Change in awareness</a:t>
          </a:r>
        </a:p>
        <a:p>
          <a:pPr marL="57150" lvl="1" indent="-57150" algn="l" defTabSz="288925">
            <a:lnSpc>
              <a:spcPct val="90000"/>
            </a:lnSpc>
            <a:spcBef>
              <a:spcPct val="0"/>
            </a:spcBef>
            <a:spcAft>
              <a:spcPct val="15000"/>
            </a:spcAft>
            <a:buChar char="•"/>
          </a:pPr>
          <a:r>
            <a:rPr lang="en-AU" sz="650" kern="1200">
              <a:effectLst/>
            </a:rPr>
            <a:t>Change in capacity</a:t>
          </a:r>
        </a:p>
        <a:p>
          <a:pPr marL="57150" lvl="1" indent="-57150" algn="l" defTabSz="288925">
            <a:lnSpc>
              <a:spcPct val="90000"/>
            </a:lnSpc>
            <a:spcBef>
              <a:spcPct val="0"/>
            </a:spcBef>
            <a:spcAft>
              <a:spcPct val="15000"/>
            </a:spcAft>
            <a:buChar char="•"/>
          </a:pPr>
          <a:r>
            <a:rPr lang="en-AU" sz="650" kern="1200">
              <a:effectLst/>
            </a:rPr>
            <a:t>Change in practices</a:t>
          </a:r>
        </a:p>
        <a:p>
          <a:pPr marL="57150" lvl="1" indent="-57150" algn="l" defTabSz="288925">
            <a:lnSpc>
              <a:spcPct val="90000"/>
            </a:lnSpc>
            <a:spcBef>
              <a:spcPct val="0"/>
            </a:spcBef>
            <a:spcAft>
              <a:spcPct val="15000"/>
            </a:spcAft>
            <a:buChar char="•"/>
          </a:pPr>
          <a:r>
            <a:rPr lang="en-AU" sz="650" kern="1200">
              <a:effectLst/>
            </a:rPr>
            <a:t>Risk reduction</a:t>
          </a:r>
        </a:p>
        <a:p>
          <a:pPr marL="57150" lvl="1" indent="-57150" algn="l" defTabSz="288925">
            <a:lnSpc>
              <a:spcPct val="90000"/>
            </a:lnSpc>
            <a:spcBef>
              <a:spcPct val="0"/>
            </a:spcBef>
            <a:spcAft>
              <a:spcPct val="15000"/>
            </a:spcAft>
            <a:buChar char="•"/>
          </a:pPr>
          <a:r>
            <a:rPr lang="en-AU" sz="650" kern="1200">
              <a:effectLst/>
            </a:rPr>
            <a:t>Voluntary action</a:t>
          </a:r>
        </a:p>
      </dsp:txBody>
      <dsp:txXfrm>
        <a:off x="3503009" y="382331"/>
        <a:ext cx="1023491" cy="981337"/>
      </dsp:txXfrm>
    </dsp:sp>
    <dsp:sp modelId="{4859C821-2EEB-493D-8190-B29F585CACBE}">
      <dsp:nvSpPr>
        <dsp:cNvPr id="0" name=""/>
        <dsp:cNvSpPr/>
      </dsp:nvSpPr>
      <dsp:spPr>
        <a:xfrm>
          <a:off x="4669789" y="7931"/>
          <a:ext cx="1023491" cy="37440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28448" rIns="49784" bIns="28448" numCol="1" spcCol="1270" anchor="ctr" anchorCtr="0">
          <a:noAutofit/>
        </a:bodyPr>
        <a:lstStyle/>
        <a:p>
          <a:pPr marL="0" lvl="0" indent="0" algn="ctr" defTabSz="288925">
            <a:lnSpc>
              <a:spcPct val="90000"/>
            </a:lnSpc>
            <a:spcBef>
              <a:spcPct val="0"/>
            </a:spcBef>
            <a:spcAft>
              <a:spcPct val="35000"/>
            </a:spcAft>
            <a:buNone/>
          </a:pPr>
          <a:r>
            <a:rPr lang="en-AU" sz="650" kern="1200">
              <a:effectLst/>
            </a:rPr>
            <a:t>Effects, impacts and outcomes (to the harm)</a:t>
          </a:r>
        </a:p>
      </dsp:txBody>
      <dsp:txXfrm>
        <a:off x="4669789" y="7931"/>
        <a:ext cx="1023491" cy="374400"/>
      </dsp:txXfrm>
    </dsp:sp>
    <dsp:sp modelId="{72EB8C13-457C-46F2-8D32-BBDF79EF4FAC}">
      <dsp:nvSpPr>
        <dsp:cNvPr id="0" name=""/>
        <dsp:cNvSpPr/>
      </dsp:nvSpPr>
      <dsp:spPr>
        <a:xfrm>
          <a:off x="4669789" y="382331"/>
          <a:ext cx="1023491" cy="981337"/>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7338" tIns="37338" rIns="49784" bIns="56007" numCol="1" spcCol="1270" anchor="t" anchorCtr="0">
          <a:noAutofit/>
        </a:bodyPr>
        <a:lstStyle/>
        <a:p>
          <a:pPr marL="57150" lvl="1" indent="-57150" algn="l" defTabSz="288925">
            <a:lnSpc>
              <a:spcPct val="90000"/>
            </a:lnSpc>
            <a:spcBef>
              <a:spcPct val="0"/>
            </a:spcBef>
            <a:spcAft>
              <a:spcPct val="15000"/>
            </a:spcAft>
            <a:buChar char="•"/>
          </a:pPr>
          <a:r>
            <a:rPr lang="en-AU" sz="650" kern="1200">
              <a:effectLst/>
            </a:rPr>
            <a:t>Decline in incidents</a:t>
          </a:r>
        </a:p>
        <a:p>
          <a:pPr marL="57150" lvl="1" indent="-57150" algn="l" defTabSz="288925">
            <a:lnSpc>
              <a:spcPct val="90000"/>
            </a:lnSpc>
            <a:spcBef>
              <a:spcPct val="0"/>
            </a:spcBef>
            <a:spcAft>
              <a:spcPct val="15000"/>
            </a:spcAft>
            <a:buChar char="•"/>
          </a:pPr>
          <a:r>
            <a:rPr lang="en-AU" sz="650" kern="1200">
              <a:effectLst/>
            </a:rPr>
            <a:t>Increased quality</a:t>
          </a:r>
        </a:p>
        <a:p>
          <a:pPr marL="57150" lvl="1" indent="-57150" algn="l" defTabSz="288925">
            <a:lnSpc>
              <a:spcPct val="90000"/>
            </a:lnSpc>
            <a:spcBef>
              <a:spcPct val="0"/>
            </a:spcBef>
            <a:spcAft>
              <a:spcPct val="15000"/>
            </a:spcAft>
            <a:buChar char="•"/>
          </a:pPr>
          <a:r>
            <a:rPr lang="en-AU" sz="650" kern="1200">
              <a:effectLst/>
            </a:rPr>
            <a:t>Environmental condition</a:t>
          </a:r>
        </a:p>
      </dsp:txBody>
      <dsp:txXfrm>
        <a:off x="4669789" y="382331"/>
        <a:ext cx="1023491" cy="98133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319D4E1-AC82-4A86-90ED-8EBDBEBBC4A1}">
      <dsp:nvSpPr>
        <dsp:cNvPr id="0" name=""/>
        <dsp:cNvSpPr/>
      </dsp:nvSpPr>
      <dsp:spPr>
        <a:xfrm>
          <a:off x="4239764" y="1935217"/>
          <a:ext cx="249315" cy="1072056"/>
        </a:xfrm>
        <a:custGeom>
          <a:avLst/>
          <a:gdLst/>
          <a:ahLst/>
          <a:cxnLst/>
          <a:rect l="0" t="0" r="0" b="0"/>
          <a:pathLst>
            <a:path>
              <a:moveTo>
                <a:pt x="249315" y="0"/>
              </a:moveTo>
              <a:lnTo>
                <a:pt x="124657" y="0"/>
              </a:lnTo>
              <a:lnTo>
                <a:pt x="124657" y="1072056"/>
              </a:lnTo>
              <a:lnTo>
                <a:pt x="0" y="1072056"/>
              </a:lnTo>
            </a:path>
          </a:pathLst>
        </a:custGeom>
        <a:noFill/>
        <a:ln w="12700" cap="flat" cmpd="sng" algn="ctr">
          <a:solidFill>
            <a:schemeClr val="accent1">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597D8FD-2CB5-4059-B9B2-3DB49CB5C47C}">
      <dsp:nvSpPr>
        <dsp:cNvPr id="0" name=""/>
        <dsp:cNvSpPr/>
      </dsp:nvSpPr>
      <dsp:spPr>
        <a:xfrm>
          <a:off x="1247978" y="2827547"/>
          <a:ext cx="249315" cy="91440"/>
        </a:xfrm>
        <a:custGeom>
          <a:avLst/>
          <a:gdLst/>
          <a:ahLst/>
          <a:cxnLst/>
          <a:rect l="0" t="0" r="0" b="0"/>
          <a:pathLst>
            <a:path>
              <a:moveTo>
                <a:pt x="249315" y="45720"/>
              </a:moveTo>
              <a:lnTo>
                <a:pt x="0" y="45720"/>
              </a:lnTo>
            </a:path>
          </a:pathLst>
        </a:custGeom>
        <a:no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346A157-E2D7-468A-BDCD-D82188EA8BDF}">
      <dsp:nvSpPr>
        <dsp:cNvPr id="0" name=""/>
        <dsp:cNvSpPr/>
      </dsp:nvSpPr>
      <dsp:spPr>
        <a:xfrm>
          <a:off x="2743871" y="2471246"/>
          <a:ext cx="249315" cy="402021"/>
        </a:xfrm>
        <a:custGeom>
          <a:avLst/>
          <a:gdLst/>
          <a:ahLst/>
          <a:cxnLst/>
          <a:rect l="0" t="0" r="0" b="0"/>
          <a:pathLst>
            <a:path>
              <a:moveTo>
                <a:pt x="249315" y="0"/>
              </a:moveTo>
              <a:lnTo>
                <a:pt x="124657" y="0"/>
              </a:lnTo>
              <a:lnTo>
                <a:pt x="124657" y="402021"/>
              </a:lnTo>
              <a:lnTo>
                <a:pt x="0" y="402021"/>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ED27379-679C-4E6B-A16B-B8AD196CF49D}">
      <dsp:nvSpPr>
        <dsp:cNvPr id="0" name=""/>
        <dsp:cNvSpPr/>
      </dsp:nvSpPr>
      <dsp:spPr>
        <a:xfrm>
          <a:off x="1247978" y="2069224"/>
          <a:ext cx="249315" cy="268014"/>
        </a:xfrm>
        <a:custGeom>
          <a:avLst/>
          <a:gdLst/>
          <a:ahLst/>
          <a:cxnLst/>
          <a:rect l="0" t="0" r="0" b="0"/>
          <a:pathLst>
            <a:path>
              <a:moveTo>
                <a:pt x="249315" y="0"/>
              </a:moveTo>
              <a:lnTo>
                <a:pt x="124657" y="0"/>
              </a:lnTo>
              <a:lnTo>
                <a:pt x="124657" y="268014"/>
              </a:lnTo>
              <a:lnTo>
                <a:pt x="0" y="268014"/>
              </a:lnTo>
            </a:path>
          </a:pathLst>
        </a:custGeom>
        <a:no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05A3ABB-9034-4713-813E-C22C2693B41B}">
      <dsp:nvSpPr>
        <dsp:cNvPr id="0" name=""/>
        <dsp:cNvSpPr/>
      </dsp:nvSpPr>
      <dsp:spPr>
        <a:xfrm>
          <a:off x="1247978" y="1801210"/>
          <a:ext cx="249315" cy="268014"/>
        </a:xfrm>
        <a:custGeom>
          <a:avLst/>
          <a:gdLst/>
          <a:ahLst/>
          <a:cxnLst/>
          <a:rect l="0" t="0" r="0" b="0"/>
          <a:pathLst>
            <a:path>
              <a:moveTo>
                <a:pt x="249315" y="268014"/>
              </a:moveTo>
              <a:lnTo>
                <a:pt x="124657" y="268014"/>
              </a:lnTo>
              <a:lnTo>
                <a:pt x="124657" y="0"/>
              </a:lnTo>
              <a:lnTo>
                <a:pt x="0" y="0"/>
              </a:lnTo>
            </a:path>
          </a:pathLst>
        </a:custGeom>
        <a:no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C637AD8-FD8F-4C68-B9FD-520D8242BF8E}">
      <dsp:nvSpPr>
        <dsp:cNvPr id="0" name=""/>
        <dsp:cNvSpPr/>
      </dsp:nvSpPr>
      <dsp:spPr>
        <a:xfrm>
          <a:off x="2743871" y="2069224"/>
          <a:ext cx="249315" cy="402021"/>
        </a:xfrm>
        <a:custGeom>
          <a:avLst/>
          <a:gdLst/>
          <a:ahLst/>
          <a:cxnLst/>
          <a:rect l="0" t="0" r="0" b="0"/>
          <a:pathLst>
            <a:path>
              <a:moveTo>
                <a:pt x="249315" y="402021"/>
              </a:moveTo>
              <a:lnTo>
                <a:pt x="124657" y="402021"/>
              </a:lnTo>
              <a:lnTo>
                <a:pt x="124657" y="0"/>
              </a:lnTo>
              <a:lnTo>
                <a:pt x="0" y="0"/>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011E38E-8208-49E6-A023-756B3280DF4C}">
      <dsp:nvSpPr>
        <dsp:cNvPr id="0" name=""/>
        <dsp:cNvSpPr/>
      </dsp:nvSpPr>
      <dsp:spPr>
        <a:xfrm>
          <a:off x="4239764" y="1935217"/>
          <a:ext cx="249315" cy="536028"/>
        </a:xfrm>
        <a:custGeom>
          <a:avLst/>
          <a:gdLst/>
          <a:ahLst/>
          <a:cxnLst/>
          <a:rect l="0" t="0" r="0" b="0"/>
          <a:pathLst>
            <a:path>
              <a:moveTo>
                <a:pt x="249315" y="0"/>
              </a:moveTo>
              <a:lnTo>
                <a:pt x="124657" y="0"/>
              </a:lnTo>
              <a:lnTo>
                <a:pt x="124657" y="536028"/>
              </a:lnTo>
              <a:lnTo>
                <a:pt x="0" y="536028"/>
              </a:lnTo>
            </a:path>
          </a:pathLst>
        </a:custGeom>
        <a:noFill/>
        <a:ln w="12700" cap="flat" cmpd="sng" algn="ctr">
          <a:solidFill>
            <a:schemeClr val="accent1">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8280279-1E8D-447E-A883-C893F4C080D3}">
      <dsp:nvSpPr>
        <dsp:cNvPr id="0" name=""/>
        <dsp:cNvSpPr/>
      </dsp:nvSpPr>
      <dsp:spPr>
        <a:xfrm>
          <a:off x="1247978" y="1219462"/>
          <a:ext cx="249315" cy="91440"/>
        </a:xfrm>
        <a:custGeom>
          <a:avLst/>
          <a:gdLst/>
          <a:ahLst/>
          <a:cxnLst/>
          <a:rect l="0" t="0" r="0" b="0"/>
          <a:pathLst>
            <a:path>
              <a:moveTo>
                <a:pt x="249315" y="45720"/>
              </a:moveTo>
              <a:lnTo>
                <a:pt x="0" y="45720"/>
              </a:lnTo>
            </a:path>
          </a:pathLst>
        </a:custGeom>
        <a:no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B482432-123E-4D79-BDB6-B4D022218B72}">
      <dsp:nvSpPr>
        <dsp:cNvPr id="0" name=""/>
        <dsp:cNvSpPr/>
      </dsp:nvSpPr>
      <dsp:spPr>
        <a:xfrm>
          <a:off x="2743871" y="863161"/>
          <a:ext cx="249315" cy="402021"/>
        </a:xfrm>
        <a:custGeom>
          <a:avLst/>
          <a:gdLst/>
          <a:ahLst/>
          <a:cxnLst/>
          <a:rect l="0" t="0" r="0" b="0"/>
          <a:pathLst>
            <a:path>
              <a:moveTo>
                <a:pt x="249315" y="0"/>
              </a:moveTo>
              <a:lnTo>
                <a:pt x="124657" y="0"/>
              </a:lnTo>
              <a:lnTo>
                <a:pt x="124657" y="402021"/>
              </a:lnTo>
              <a:lnTo>
                <a:pt x="0" y="402021"/>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A2B674C-F570-4A14-9C5B-0980724AECD1}">
      <dsp:nvSpPr>
        <dsp:cNvPr id="0" name=""/>
        <dsp:cNvSpPr/>
      </dsp:nvSpPr>
      <dsp:spPr>
        <a:xfrm>
          <a:off x="1247978" y="461139"/>
          <a:ext cx="249315" cy="268014"/>
        </a:xfrm>
        <a:custGeom>
          <a:avLst/>
          <a:gdLst/>
          <a:ahLst/>
          <a:cxnLst/>
          <a:rect l="0" t="0" r="0" b="0"/>
          <a:pathLst>
            <a:path>
              <a:moveTo>
                <a:pt x="249315" y="0"/>
              </a:moveTo>
              <a:lnTo>
                <a:pt x="124657" y="0"/>
              </a:lnTo>
              <a:lnTo>
                <a:pt x="124657" y="268014"/>
              </a:lnTo>
              <a:lnTo>
                <a:pt x="0" y="268014"/>
              </a:lnTo>
            </a:path>
          </a:pathLst>
        </a:custGeom>
        <a:no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53E0AB6-F415-4389-9A7D-9DD0B9616481}">
      <dsp:nvSpPr>
        <dsp:cNvPr id="0" name=""/>
        <dsp:cNvSpPr/>
      </dsp:nvSpPr>
      <dsp:spPr>
        <a:xfrm>
          <a:off x="1247978" y="193125"/>
          <a:ext cx="249315" cy="268014"/>
        </a:xfrm>
        <a:custGeom>
          <a:avLst/>
          <a:gdLst/>
          <a:ahLst/>
          <a:cxnLst/>
          <a:rect l="0" t="0" r="0" b="0"/>
          <a:pathLst>
            <a:path>
              <a:moveTo>
                <a:pt x="249315" y="268014"/>
              </a:moveTo>
              <a:lnTo>
                <a:pt x="124657" y="268014"/>
              </a:lnTo>
              <a:lnTo>
                <a:pt x="124657" y="0"/>
              </a:lnTo>
              <a:lnTo>
                <a:pt x="0" y="0"/>
              </a:lnTo>
            </a:path>
          </a:pathLst>
        </a:custGeom>
        <a:no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EDCFE54-884C-4907-AA6B-87896CF68509}">
      <dsp:nvSpPr>
        <dsp:cNvPr id="0" name=""/>
        <dsp:cNvSpPr/>
      </dsp:nvSpPr>
      <dsp:spPr>
        <a:xfrm>
          <a:off x="2743871" y="461139"/>
          <a:ext cx="249315" cy="402021"/>
        </a:xfrm>
        <a:custGeom>
          <a:avLst/>
          <a:gdLst/>
          <a:ahLst/>
          <a:cxnLst/>
          <a:rect l="0" t="0" r="0" b="0"/>
          <a:pathLst>
            <a:path>
              <a:moveTo>
                <a:pt x="249315" y="402021"/>
              </a:moveTo>
              <a:lnTo>
                <a:pt x="124657" y="402021"/>
              </a:lnTo>
              <a:lnTo>
                <a:pt x="124657" y="0"/>
              </a:lnTo>
              <a:lnTo>
                <a:pt x="0" y="0"/>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9EF43A1-D2FF-44B4-AD28-629E4E5D682E}">
      <dsp:nvSpPr>
        <dsp:cNvPr id="0" name=""/>
        <dsp:cNvSpPr/>
      </dsp:nvSpPr>
      <dsp:spPr>
        <a:xfrm>
          <a:off x="4239764" y="863161"/>
          <a:ext cx="249315" cy="1072056"/>
        </a:xfrm>
        <a:custGeom>
          <a:avLst/>
          <a:gdLst/>
          <a:ahLst/>
          <a:cxnLst/>
          <a:rect l="0" t="0" r="0" b="0"/>
          <a:pathLst>
            <a:path>
              <a:moveTo>
                <a:pt x="249315" y="1072056"/>
              </a:moveTo>
              <a:lnTo>
                <a:pt x="124657" y="1072056"/>
              </a:lnTo>
              <a:lnTo>
                <a:pt x="124657" y="0"/>
              </a:lnTo>
              <a:lnTo>
                <a:pt x="0" y="0"/>
              </a:lnTo>
            </a:path>
          </a:pathLst>
        </a:custGeom>
        <a:noFill/>
        <a:ln w="12700" cap="flat" cmpd="sng" algn="ctr">
          <a:solidFill>
            <a:schemeClr val="accent1">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3BD10ED-87F6-4F5D-A4E5-05FBF6B8DAA0}">
      <dsp:nvSpPr>
        <dsp:cNvPr id="0" name=""/>
        <dsp:cNvSpPr/>
      </dsp:nvSpPr>
      <dsp:spPr>
        <a:xfrm>
          <a:off x="4489079" y="1745114"/>
          <a:ext cx="1246577" cy="380206"/>
        </a:xfrm>
        <a:prstGeom prst="rect">
          <a:avLst/>
        </a:prstGeom>
        <a:solidFill>
          <a:srgbClr val="599DB9"/>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AU" sz="600" kern="1200" dirty="0">
              <a:solidFill>
                <a:srgbClr val="0D0D0D"/>
              </a:solidFill>
              <a:latin typeface="+mj-lt"/>
              <a:ea typeface="+mn-ea"/>
              <a:cs typeface="+mn-cs"/>
            </a:rPr>
            <a:t>Improved deterrence from </a:t>
          </a:r>
          <a:br>
            <a:rPr lang="en-AU" sz="600" kern="1200" dirty="0">
              <a:solidFill>
                <a:srgbClr val="0D0D0D"/>
              </a:solidFill>
              <a:latin typeface="+mj-lt"/>
              <a:ea typeface="+mn-ea"/>
              <a:cs typeface="+mn-cs"/>
            </a:rPr>
          </a:br>
          <a:r>
            <a:rPr lang="en-AU" sz="600" kern="1200" dirty="0">
              <a:solidFill>
                <a:srgbClr val="0D0D0D"/>
              </a:solidFill>
              <a:latin typeface="+mj-lt"/>
              <a:ea typeface="+mn-ea"/>
              <a:cs typeface="+mn-cs"/>
            </a:rPr>
            <a:t>non-compliant behaviours</a:t>
          </a:r>
          <a:endParaRPr lang="en-AU" sz="600" kern="1200">
            <a:solidFill>
              <a:srgbClr val="0D0D0D"/>
            </a:solidFill>
            <a:latin typeface="+mj-lt"/>
          </a:endParaRPr>
        </a:p>
      </dsp:txBody>
      <dsp:txXfrm>
        <a:off x="4489079" y="1745114"/>
        <a:ext cx="1246577" cy="380206"/>
      </dsp:txXfrm>
    </dsp:sp>
    <dsp:sp modelId="{98F6C57C-85D3-43B4-A172-85A72644F983}">
      <dsp:nvSpPr>
        <dsp:cNvPr id="0" name=""/>
        <dsp:cNvSpPr/>
      </dsp:nvSpPr>
      <dsp:spPr>
        <a:xfrm>
          <a:off x="2993186" y="673057"/>
          <a:ext cx="1246577" cy="380206"/>
        </a:xfrm>
        <a:prstGeom prst="rect">
          <a:avLst/>
        </a:prstGeom>
        <a:solidFill>
          <a:srgbClr val="66B2D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AU" sz="600" kern="1200">
              <a:solidFill>
                <a:schemeClr val="tx1">
                  <a:lumMod val="95000"/>
                  <a:lumOff val="5000"/>
                </a:schemeClr>
              </a:solidFill>
              <a:latin typeface="+mj-lt"/>
              <a:ea typeface="+mn-ea"/>
              <a:cs typeface="+mn-cs"/>
            </a:rPr>
            <a:t>Threat of detection</a:t>
          </a:r>
        </a:p>
      </dsp:txBody>
      <dsp:txXfrm>
        <a:off x="2993186" y="673057"/>
        <a:ext cx="1246577" cy="380206"/>
      </dsp:txXfrm>
    </dsp:sp>
    <dsp:sp modelId="{8639A0DB-3DC8-45CF-80AE-C5A084F320DB}">
      <dsp:nvSpPr>
        <dsp:cNvPr id="0" name=""/>
        <dsp:cNvSpPr/>
      </dsp:nvSpPr>
      <dsp:spPr>
        <a:xfrm>
          <a:off x="1497293" y="271036"/>
          <a:ext cx="1246577" cy="380206"/>
        </a:xfrm>
        <a:prstGeom prst="rect">
          <a:avLst/>
        </a:prstGeom>
        <a:solidFill>
          <a:srgbClr val="74C6E8"/>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rtl="0">
            <a:lnSpc>
              <a:spcPct val="90000"/>
            </a:lnSpc>
            <a:spcBef>
              <a:spcPct val="0"/>
            </a:spcBef>
            <a:spcAft>
              <a:spcPct val="35000"/>
            </a:spcAft>
            <a:buNone/>
          </a:pPr>
          <a:r>
            <a:rPr lang="en-AU" sz="600" kern="1200">
              <a:solidFill>
                <a:schemeClr val="tx1">
                  <a:lumMod val="95000"/>
                  <a:lumOff val="5000"/>
                </a:schemeClr>
              </a:solidFill>
              <a:latin typeface="+mj-lt"/>
              <a:ea typeface="+mn-ea"/>
              <a:cs typeface="+mn-cs"/>
            </a:rPr>
            <a:t>Compliance monitoring and targeting</a:t>
          </a:r>
        </a:p>
      </dsp:txBody>
      <dsp:txXfrm>
        <a:off x="1497293" y="271036"/>
        <a:ext cx="1246577" cy="380206"/>
      </dsp:txXfrm>
    </dsp:sp>
    <dsp:sp modelId="{78C1FEE3-8E78-4F96-9367-B91FE2A820D5}">
      <dsp:nvSpPr>
        <dsp:cNvPr id="0" name=""/>
        <dsp:cNvSpPr/>
      </dsp:nvSpPr>
      <dsp:spPr>
        <a:xfrm>
          <a:off x="1400" y="3022"/>
          <a:ext cx="1246577" cy="380206"/>
        </a:xfrm>
        <a:prstGeom prst="rect">
          <a:avLst/>
        </a:prstGeom>
        <a:solidFill>
          <a:srgbClr val="ADD9EF"/>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rtl="0">
            <a:lnSpc>
              <a:spcPct val="90000"/>
            </a:lnSpc>
            <a:spcBef>
              <a:spcPct val="0"/>
            </a:spcBef>
            <a:spcAft>
              <a:spcPct val="35000"/>
            </a:spcAft>
            <a:buNone/>
          </a:pPr>
          <a:r>
            <a:rPr lang="en-AU" sz="600" kern="1200">
              <a:solidFill>
                <a:schemeClr val="tx1">
                  <a:lumMod val="95000"/>
                  <a:lumOff val="5000"/>
                </a:schemeClr>
              </a:solidFill>
              <a:latin typeface="+mj-lt"/>
              <a:ea typeface="+mn-ea"/>
              <a:cs typeface="+mn-cs"/>
            </a:rPr>
            <a:t>Number of inspections, detection rates</a:t>
          </a:r>
        </a:p>
      </dsp:txBody>
      <dsp:txXfrm>
        <a:off x="1400" y="3022"/>
        <a:ext cx="1246577" cy="380206"/>
      </dsp:txXfrm>
    </dsp:sp>
    <dsp:sp modelId="{339E07FA-669B-4389-88AF-DA2C2F771854}">
      <dsp:nvSpPr>
        <dsp:cNvPr id="0" name=""/>
        <dsp:cNvSpPr/>
      </dsp:nvSpPr>
      <dsp:spPr>
        <a:xfrm>
          <a:off x="1400" y="539050"/>
          <a:ext cx="1246577" cy="380206"/>
        </a:xfrm>
        <a:prstGeom prst="rect">
          <a:avLst/>
        </a:prstGeom>
        <a:solidFill>
          <a:schemeClr val="accent1">
            <a:tint val="7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rtl="0">
            <a:lnSpc>
              <a:spcPct val="90000"/>
            </a:lnSpc>
            <a:spcBef>
              <a:spcPct val="0"/>
            </a:spcBef>
            <a:spcAft>
              <a:spcPct val="35000"/>
            </a:spcAft>
            <a:buNone/>
          </a:pPr>
          <a:r>
            <a:rPr lang="en-AU" sz="600" kern="1200">
              <a:solidFill>
                <a:schemeClr val="tx1">
                  <a:lumMod val="95000"/>
                  <a:lumOff val="5000"/>
                </a:schemeClr>
              </a:solidFill>
              <a:latin typeface="+mj-lt"/>
              <a:ea typeface="+mn-ea"/>
              <a:cs typeface="+mn-cs"/>
            </a:rPr>
            <a:t>Social research (perceptions)</a:t>
          </a:r>
        </a:p>
      </dsp:txBody>
      <dsp:txXfrm>
        <a:off x="1400" y="539050"/>
        <a:ext cx="1246577" cy="380206"/>
      </dsp:txXfrm>
    </dsp:sp>
    <dsp:sp modelId="{FAB22ED9-1095-47D4-9924-BCA8D52F0CD5}">
      <dsp:nvSpPr>
        <dsp:cNvPr id="0" name=""/>
        <dsp:cNvSpPr/>
      </dsp:nvSpPr>
      <dsp:spPr>
        <a:xfrm>
          <a:off x="1497293" y="1075079"/>
          <a:ext cx="1246577" cy="380206"/>
        </a:xfrm>
        <a:prstGeom prst="rect">
          <a:avLst/>
        </a:prstGeom>
        <a:solidFill>
          <a:schemeClr val="accent1">
            <a:tint val="99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rtl="0">
            <a:lnSpc>
              <a:spcPct val="90000"/>
            </a:lnSpc>
            <a:spcBef>
              <a:spcPct val="0"/>
            </a:spcBef>
            <a:spcAft>
              <a:spcPct val="35000"/>
            </a:spcAft>
            <a:buNone/>
          </a:pPr>
          <a:r>
            <a:rPr lang="en-AU" sz="600" kern="1200" dirty="0">
              <a:solidFill>
                <a:schemeClr val="tx1">
                  <a:lumMod val="95000"/>
                  <a:lumOff val="5000"/>
                </a:schemeClr>
              </a:solidFill>
              <a:latin typeface="+mj-lt"/>
              <a:ea typeface="+mn-ea"/>
              <a:cs typeface="+mn-cs"/>
            </a:rPr>
            <a:t>Communications about compliance monitoring</a:t>
          </a:r>
        </a:p>
      </dsp:txBody>
      <dsp:txXfrm>
        <a:off x="1497293" y="1075079"/>
        <a:ext cx="1246577" cy="380206"/>
      </dsp:txXfrm>
    </dsp:sp>
    <dsp:sp modelId="{AAC815B2-5C79-491F-BF13-5E0C98F86312}">
      <dsp:nvSpPr>
        <dsp:cNvPr id="0" name=""/>
        <dsp:cNvSpPr/>
      </dsp:nvSpPr>
      <dsp:spPr>
        <a:xfrm>
          <a:off x="1400" y="1075079"/>
          <a:ext cx="1246577" cy="380206"/>
        </a:xfrm>
        <a:prstGeom prst="rect">
          <a:avLst/>
        </a:prstGeom>
        <a:solidFill>
          <a:schemeClr val="accent1">
            <a:tint val="7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rtl="0">
            <a:lnSpc>
              <a:spcPct val="90000"/>
            </a:lnSpc>
            <a:spcBef>
              <a:spcPct val="0"/>
            </a:spcBef>
            <a:spcAft>
              <a:spcPct val="35000"/>
            </a:spcAft>
            <a:buNone/>
          </a:pPr>
          <a:r>
            <a:rPr lang="en-AU" sz="600" kern="1200" dirty="0">
              <a:solidFill>
                <a:schemeClr val="tx1">
                  <a:lumMod val="95000"/>
                  <a:lumOff val="5000"/>
                </a:schemeClr>
              </a:solidFill>
              <a:latin typeface="+mj-lt"/>
              <a:ea typeface="+mn-ea"/>
              <a:cs typeface="+mn-cs"/>
            </a:rPr>
            <a:t>Media, social media, and industry engagement </a:t>
          </a:r>
        </a:p>
      </dsp:txBody>
      <dsp:txXfrm>
        <a:off x="1400" y="1075079"/>
        <a:ext cx="1246577" cy="380206"/>
      </dsp:txXfrm>
    </dsp:sp>
    <dsp:sp modelId="{3BD48C46-D091-4071-A5C5-5CD130413E12}">
      <dsp:nvSpPr>
        <dsp:cNvPr id="0" name=""/>
        <dsp:cNvSpPr/>
      </dsp:nvSpPr>
      <dsp:spPr>
        <a:xfrm>
          <a:off x="2993186" y="2281142"/>
          <a:ext cx="1246577" cy="380206"/>
        </a:xfrm>
        <a:prstGeom prst="rect">
          <a:avLst/>
        </a:prstGeom>
        <a:solidFill>
          <a:schemeClr val="accent1">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AU" sz="600" kern="1200">
              <a:solidFill>
                <a:schemeClr val="tx1">
                  <a:lumMod val="95000"/>
                  <a:lumOff val="5000"/>
                </a:schemeClr>
              </a:solidFill>
              <a:latin typeface="+mj-lt"/>
              <a:ea typeface="+mn-ea"/>
              <a:cs typeface="+mn-cs"/>
            </a:rPr>
            <a:t>Certainty of proportionate consequences</a:t>
          </a:r>
        </a:p>
      </dsp:txBody>
      <dsp:txXfrm>
        <a:off x="2993186" y="2281142"/>
        <a:ext cx="1246577" cy="380206"/>
      </dsp:txXfrm>
    </dsp:sp>
    <dsp:sp modelId="{28A1BD51-5280-46B2-90E3-1A63575D1860}">
      <dsp:nvSpPr>
        <dsp:cNvPr id="0" name=""/>
        <dsp:cNvSpPr/>
      </dsp:nvSpPr>
      <dsp:spPr>
        <a:xfrm>
          <a:off x="1497293" y="1879121"/>
          <a:ext cx="1246577" cy="380206"/>
        </a:xfrm>
        <a:prstGeom prst="rect">
          <a:avLst/>
        </a:prstGeom>
        <a:solidFill>
          <a:schemeClr val="accent1">
            <a:tint val="99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rtl="0">
            <a:lnSpc>
              <a:spcPct val="90000"/>
            </a:lnSpc>
            <a:spcBef>
              <a:spcPct val="0"/>
            </a:spcBef>
            <a:spcAft>
              <a:spcPct val="35000"/>
            </a:spcAft>
            <a:buNone/>
          </a:pPr>
          <a:r>
            <a:rPr lang="en-AU" sz="600" kern="1200">
              <a:solidFill>
                <a:schemeClr val="tx1">
                  <a:lumMod val="95000"/>
                  <a:lumOff val="5000"/>
                </a:schemeClr>
              </a:solidFill>
              <a:latin typeface="+mj-lt"/>
              <a:ea typeface="+mn-ea"/>
              <a:cs typeface="+mn-cs"/>
            </a:rPr>
            <a:t>Enforcement responses (remedial and sanctioning)</a:t>
          </a:r>
        </a:p>
      </dsp:txBody>
      <dsp:txXfrm>
        <a:off x="1497293" y="1879121"/>
        <a:ext cx="1246577" cy="380206"/>
      </dsp:txXfrm>
    </dsp:sp>
    <dsp:sp modelId="{A4C12E18-EB37-4CBE-9C66-C3BD1D640449}">
      <dsp:nvSpPr>
        <dsp:cNvPr id="0" name=""/>
        <dsp:cNvSpPr/>
      </dsp:nvSpPr>
      <dsp:spPr>
        <a:xfrm>
          <a:off x="1400" y="1611107"/>
          <a:ext cx="1246577" cy="380206"/>
        </a:xfrm>
        <a:prstGeom prst="rect">
          <a:avLst/>
        </a:prstGeom>
        <a:solidFill>
          <a:schemeClr val="accent1">
            <a:tint val="7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rtl="0">
            <a:lnSpc>
              <a:spcPct val="90000"/>
            </a:lnSpc>
            <a:spcBef>
              <a:spcPct val="0"/>
            </a:spcBef>
            <a:spcAft>
              <a:spcPct val="35000"/>
            </a:spcAft>
            <a:buNone/>
          </a:pPr>
          <a:r>
            <a:rPr lang="en-AU" sz="600" kern="1200">
              <a:solidFill>
                <a:schemeClr val="tx1">
                  <a:lumMod val="95000"/>
                  <a:lumOff val="5000"/>
                </a:schemeClr>
              </a:solidFill>
              <a:latin typeface="+mj-lt"/>
              <a:ea typeface="+mn-ea"/>
              <a:cs typeface="+mn-cs"/>
            </a:rPr>
            <a:t>Escalation rates, recidivism rates</a:t>
          </a:r>
        </a:p>
      </dsp:txBody>
      <dsp:txXfrm>
        <a:off x="1400" y="1611107"/>
        <a:ext cx="1246577" cy="380206"/>
      </dsp:txXfrm>
    </dsp:sp>
    <dsp:sp modelId="{05657726-F65D-450A-89DA-157646A41747}">
      <dsp:nvSpPr>
        <dsp:cNvPr id="0" name=""/>
        <dsp:cNvSpPr/>
      </dsp:nvSpPr>
      <dsp:spPr>
        <a:xfrm>
          <a:off x="1400" y="2147135"/>
          <a:ext cx="1246577" cy="380206"/>
        </a:xfrm>
        <a:prstGeom prst="rect">
          <a:avLst/>
        </a:prstGeom>
        <a:solidFill>
          <a:schemeClr val="accent1">
            <a:tint val="7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rtl="0">
            <a:lnSpc>
              <a:spcPct val="90000"/>
            </a:lnSpc>
            <a:spcBef>
              <a:spcPct val="0"/>
            </a:spcBef>
            <a:spcAft>
              <a:spcPct val="35000"/>
            </a:spcAft>
            <a:buNone/>
          </a:pPr>
          <a:r>
            <a:rPr lang="en-AU" sz="600" kern="1200">
              <a:solidFill>
                <a:schemeClr val="tx1">
                  <a:lumMod val="95000"/>
                  <a:lumOff val="5000"/>
                </a:schemeClr>
              </a:solidFill>
              <a:latin typeface="+mj-lt"/>
              <a:ea typeface="+mn-ea"/>
              <a:cs typeface="+mn-cs"/>
            </a:rPr>
            <a:t>Social research (perceptions)</a:t>
          </a:r>
        </a:p>
      </dsp:txBody>
      <dsp:txXfrm>
        <a:off x="1400" y="2147135"/>
        <a:ext cx="1246577" cy="380206"/>
      </dsp:txXfrm>
    </dsp:sp>
    <dsp:sp modelId="{252C8661-A221-4D1C-8339-00D971FB656E}">
      <dsp:nvSpPr>
        <dsp:cNvPr id="0" name=""/>
        <dsp:cNvSpPr/>
      </dsp:nvSpPr>
      <dsp:spPr>
        <a:xfrm>
          <a:off x="1497293" y="2683164"/>
          <a:ext cx="1246577" cy="380206"/>
        </a:xfrm>
        <a:prstGeom prst="rect">
          <a:avLst/>
        </a:prstGeom>
        <a:solidFill>
          <a:schemeClr val="accent1">
            <a:tint val="99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rtl="0">
            <a:lnSpc>
              <a:spcPct val="90000"/>
            </a:lnSpc>
            <a:spcBef>
              <a:spcPct val="0"/>
            </a:spcBef>
            <a:spcAft>
              <a:spcPct val="35000"/>
            </a:spcAft>
            <a:buNone/>
          </a:pPr>
          <a:r>
            <a:rPr lang="en-AU" sz="600" kern="1200">
              <a:solidFill>
                <a:schemeClr val="tx1">
                  <a:lumMod val="95000"/>
                  <a:lumOff val="5000"/>
                </a:schemeClr>
              </a:solidFill>
              <a:latin typeface="+mj-lt"/>
              <a:ea typeface="+mn-ea"/>
              <a:cs typeface="+mn-cs"/>
            </a:rPr>
            <a:t>Publicising outomces</a:t>
          </a:r>
        </a:p>
      </dsp:txBody>
      <dsp:txXfrm>
        <a:off x="1497293" y="2683164"/>
        <a:ext cx="1246577" cy="380206"/>
      </dsp:txXfrm>
    </dsp:sp>
    <dsp:sp modelId="{92960EB1-8F44-4A2F-94A1-33D7BBD52CE5}">
      <dsp:nvSpPr>
        <dsp:cNvPr id="0" name=""/>
        <dsp:cNvSpPr/>
      </dsp:nvSpPr>
      <dsp:spPr>
        <a:xfrm>
          <a:off x="1400" y="2683164"/>
          <a:ext cx="1246577" cy="380206"/>
        </a:xfrm>
        <a:prstGeom prst="rect">
          <a:avLst/>
        </a:prstGeom>
        <a:solidFill>
          <a:schemeClr val="accent1">
            <a:tint val="7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rtl="0">
            <a:lnSpc>
              <a:spcPct val="90000"/>
            </a:lnSpc>
            <a:spcBef>
              <a:spcPct val="0"/>
            </a:spcBef>
            <a:spcAft>
              <a:spcPct val="35000"/>
            </a:spcAft>
            <a:buNone/>
          </a:pPr>
          <a:r>
            <a:rPr lang="en-AU" sz="600" kern="1200">
              <a:solidFill>
                <a:schemeClr val="tx1">
                  <a:lumMod val="95000"/>
                  <a:lumOff val="5000"/>
                </a:schemeClr>
              </a:solidFill>
              <a:latin typeface="+mj-lt"/>
              <a:ea typeface="+mn-ea"/>
              <a:cs typeface="+mn-cs"/>
            </a:rPr>
            <a:t>Media, social media, and industry engagement</a:t>
          </a:r>
        </a:p>
      </dsp:txBody>
      <dsp:txXfrm>
        <a:off x="1400" y="2683164"/>
        <a:ext cx="1246577" cy="380206"/>
      </dsp:txXfrm>
    </dsp:sp>
    <dsp:sp modelId="{AF176974-4173-4929-B0E3-827A9706224D}">
      <dsp:nvSpPr>
        <dsp:cNvPr id="0" name=""/>
        <dsp:cNvSpPr/>
      </dsp:nvSpPr>
      <dsp:spPr>
        <a:xfrm>
          <a:off x="2993186" y="2817171"/>
          <a:ext cx="1246577" cy="380206"/>
        </a:xfrm>
        <a:prstGeom prst="rect">
          <a:avLst/>
        </a:prstGeom>
        <a:solidFill>
          <a:schemeClr val="accent1">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AU" sz="600" kern="1200">
              <a:solidFill>
                <a:schemeClr val="tx1">
                  <a:lumMod val="95000"/>
                  <a:lumOff val="5000"/>
                </a:schemeClr>
              </a:solidFill>
              <a:latin typeface="+mj-lt"/>
              <a:ea typeface="+mn-ea"/>
              <a:cs typeface="+mn-cs"/>
            </a:rPr>
            <a:t>Other influences on deterrence (e.g. third party monitoring)</a:t>
          </a:r>
        </a:p>
      </dsp:txBody>
      <dsp:txXfrm>
        <a:off x="2993186" y="2817171"/>
        <a:ext cx="1246577" cy="38020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FAA3F41-D8F9-439B-8BF7-8DA5B38619D4}">
      <dsp:nvSpPr>
        <dsp:cNvPr id="0" name=""/>
        <dsp:cNvSpPr/>
      </dsp:nvSpPr>
      <dsp:spPr>
        <a:xfrm>
          <a:off x="4054524" y="1331042"/>
          <a:ext cx="238422" cy="1025217"/>
        </a:xfrm>
        <a:custGeom>
          <a:avLst/>
          <a:gdLst/>
          <a:ahLst/>
          <a:cxnLst/>
          <a:rect l="0" t="0" r="0" b="0"/>
          <a:pathLst>
            <a:path>
              <a:moveTo>
                <a:pt x="238422" y="0"/>
              </a:moveTo>
              <a:lnTo>
                <a:pt x="119211" y="0"/>
              </a:lnTo>
              <a:lnTo>
                <a:pt x="119211" y="1025217"/>
              </a:lnTo>
              <a:lnTo>
                <a:pt x="0" y="1025217"/>
              </a:lnTo>
            </a:path>
          </a:pathLst>
        </a:custGeom>
        <a:noFill/>
        <a:ln w="12700" cap="flat" cmpd="sng" algn="ctr">
          <a:solidFill>
            <a:schemeClr val="accent1">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F7C1C9A-EC38-47B5-83BF-8AAAEA36370C}">
      <dsp:nvSpPr>
        <dsp:cNvPr id="0" name=""/>
        <dsp:cNvSpPr/>
      </dsp:nvSpPr>
      <dsp:spPr>
        <a:xfrm>
          <a:off x="1193452" y="1797930"/>
          <a:ext cx="238422" cy="91440"/>
        </a:xfrm>
        <a:custGeom>
          <a:avLst/>
          <a:gdLst/>
          <a:ahLst/>
          <a:cxnLst/>
          <a:rect l="0" t="0" r="0" b="0"/>
          <a:pathLst>
            <a:path>
              <a:moveTo>
                <a:pt x="238422" y="45720"/>
              </a:moveTo>
              <a:lnTo>
                <a:pt x="0" y="45720"/>
              </a:lnTo>
            </a:path>
          </a:pathLst>
        </a:custGeom>
        <a:no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CD3105F-B6E3-4EE6-8086-66590DA1646A}">
      <dsp:nvSpPr>
        <dsp:cNvPr id="0" name=""/>
        <dsp:cNvSpPr/>
      </dsp:nvSpPr>
      <dsp:spPr>
        <a:xfrm>
          <a:off x="2623988" y="1797930"/>
          <a:ext cx="238422" cy="91440"/>
        </a:xfrm>
        <a:custGeom>
          <a:avLst/>
          <a:gdLst/>
          <a:ahLst/>
          <a:cxnLst/>
          <a:rect l="0" t="0" r="0" b="0"/>
          <a:pathLst>
            <a:path>
              <a:moveTo>
                <a:pt x="238422" y="45720"/>
              </a:moveTo>
              <a:lnTo>
                <a:pt x="0" y="45720"/>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0DF1CCB-2EBF-4DB5-A240-D29BF86F5FF0}">
      <dsp:nvSpPr>
        <dsp:cNvPr id="0" name=""/>
        <dsp:cNvSpPr/>
      </dsp:nvSpPr>
      <dsp:spPr>
        <a:xfrm>
          <a:off x="4054524" y="1331042"/>
          <a:ext cx="238422" cy="512608"/>
        </a:xfrm>
        <a:custGeom>
          <a:avLst/>
          <a:gdLst/>
          <a:ahLst/>
          <a:cxnLst/>
          <a:rect l="0" t="0" r="0" b="0"/>
          <a:pathLst>
            <a:path>
              <a:moveTo>
                <a:pt x="238422" y="0"/>
              </a:moveTo>
              <a:lnTo>
                <a:pt x="119211" y="0"/>
              </a:lnTo>
              <a:lnTo>
                <a:pt x="119211" y="512608"/>
              </a:lnTo>
              <a:lnTo>
                <a:pt x="0" y="512608"/>
              </a:lnTo>
            </a:path>
          </a:pathLst>
        </a:custGeom>
        <a:noFill/>
        <a:ln w="12700" cap="flat" cmpd="sng" algn="ctr">
          <a:solidFill>
            <a:schemeClr val="accent1">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4669E91-A93C-4DD6-A508-C8F9DD639370}">
      <dsp:nvSpPr>
        <dsp:cNvPr id="0" name=""/>
        <dsp:cNvSpPr/>
      </dsp:nvSpPr>
      <dsp:spPr>
        <a:xfrm>
          <a:off x="1193452" y="1285322"/>
          <a:ext cx="238422" cy="91440"/>
        </a:xfrm>
        <a:custGeom>
          <a:avLst/>
          <a:gdLst/>
          <a:ahLst/>
          <a:cxnLst/>
          <a:rect l="0" t="0" r="0" b="0"/>
          <a:pathLst>
            <a:path>
              <a:moveTo>
                <a:pt x="238422" y="45720"/>
              </a:moveTo>
              <a:lnTo>
                <a:pt x="0" y="45720"/>
              </a:lnTo>
            </a:path>
          </a:pathLst>
        </a:custGeom>
        <a:no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5585B73-CCBD-4D4B-A641-EE76B2F72B4B}">
      <dsp:nvSpPr>
        <dsp:cNvPr id="0" name=""/>
        <dsp:cNvSpPr/>
      </dsp:nvSpPr>
      <dsp:spPr>
        <a:xfrm>
          <a:off x="2623988" y="1285322"/>
          <a:ext cx="238422" cy="91440"/>
        </a:xfrm>
        <a:custGeom>
          <a:avLst/>
          <a:gdLst/>
          <a:ahLst/>
          <a:cxnLst/>
          <a:rect l="0" t="0" r="0" b="0"/>
          <a:pathLst>
            <a:path>
              <a:moveTo>
                <a:pt x="238422" y="45720"/>
              </a:moveTo>
              <a:lnTo>
                <a:pt x="0" y="45720"/>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B0CABB4-1BFD-4DA6-9827-A402E399F7C3}">
      <dsp:nvSpPr>
        <dsp:cNvPr id="0" name=""/>
        <dsp:cNvSpPr/>
      </dsp:nvSpPr>
      <dsp:spPr>
        <a:xfrm>
          <a:off x="4054524" y="1285322"/>
          <a:ext cx="238422" cy="91440"/>
        </a:xfrm>
        <a:custGeom>
          <a:avLst/>
          <a:gdLst/>
          <a:ahLst/>
          <a:cxnLst/>
          <a:rect l="0" t="0" r="0" b="0"/>
          <a:pathLst>
            <a:path>
              <a:moveTo>
                <a:pt x="238422" y="45720"/>
              </a:moveTo>
              <a:lnTo>
                <a:pt x="0" y="45720"/>
              </a:lnTo>
            </a:path>
          </a:pathLst>
        </a:custGeom>
        <a:noFill/>
        <a:ln w="12700" cap="flat" cmpd="sng" algn="ctr">
          <a:solidFill>
            <a:schemeClr val="accent1">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BEDB7CE-080C-42BA-AC9F-DC16E4E56EA0}">
      <dsp:nvSpPr>
        <dsp:cNvPr id="0" name=""/>
        <dsp:cNvSpPr/>
      </dsp:nvSpPr>
      <dsp:spPr>
        <a:xfrm>
          <a:off x="1193452" y="772713"/>
          <a:ext cx="238422" cy="91440"/>
        </a:xfrm>
        <a:custGeom>
          <a:avLst/>
          <a:gdLst/>
          <a:ahLst/>
          <a:cxnLst/>
          <a:rect l="0" t="0" r="0" b="0"/>
          <a:pathLst>
            <a:path>
              <a:moveTo>
                <a:pt x="238422" y="45720"/>
              </a:moveTo>
              <a:lnTo>
                <a:pt x="0" y="45720"/>
              </a:lnTo>
            </a:path>
          </a:pathLst>
        </a:custGeom>
        <a:no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F02621-2D8C-466C-A74E-DDEA567DF4D5}">
      <dsp:nvSpPr>
        <dsp:cNvPr id="0" name=""/>
        <dsp:cNvSpPr/>
      </dsp:nvSpPr>
      <dsp:spPr>
        <a:xfrm>
          <a:off x="2623988" y="772713"/>
          <a:ext cx="238422" cy="91440"/>
        </a:xfrm>
        <a:custGeom>
          <a:avLst/>
          <a:gdLst/>
          <a:ahLst/>
          <a:cxnLst/>
          <a:rect l="0" t="0" r="0" b="0"/>
          <a:pathLst>
            <a:path>
              <a:moveTo>
                <a:pt x="238422" y="45720"/>
              </a:moveTo>
              <a:lnTo>
                <a:pt x="0" y="45720"/>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4F4A58E-14CD-48AE-B2EF-0B1750F89316}">
      <dsp:nvSpPr>
        <dsp:cNvPr id="0" name=""/>
        <dsp:cNvSpPr/>
      </dsp:nvSpPr>
      <dsp:spPr>
        <a:xfrm>
          <a:off x="4054524" y="818433"/>
          <a:ext cx="238422" cy="512608"/>
        </a:xfrm>
        <a:custGeom>
          <a:avLst/>
          <a:gdLst/>
          <a:ahLst/>
          <a:cxnLst/>
          <a:rect l="0" t="0" r="0" b="0"/>
          <a:pathLst>
            <a:path>
              <a:moveTo>
                <a:pt x="238422" y="512608"/>
              </a:moveTo>
              <a:lnTo>
                <a:pt x="119211" y="512608"/>
              </a:lnTo>
              <a:lnTo>
                <a:pt x="119211" y="0"/>
              </a:lnTo>
              <a:lnTo>
                <a:pt x="0" y="0"/>
              </a:lnTo>
            </a:path>
          </a:pathLst>
        </a:custGeom>
        <a:noFill/>
        <a:ln w="12700" cap="flat" cmpd="sng" algn="ctr">
          <a:solidFill>
            <a:schemeClr val="accent1">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5B8EF71-383D-42CB-8C2E-7EAABA528C60}">
      <dsp:nvSpPr>
        <dsp:cNvPr id="0" name=""/>
        <dsp:cNvSpPr/>
      </dsp:nvSpPr>
      <dsp:spPr>
        <a:xfrm>
          <a:off x="1193452" y="260104"/>
          <a:ext cx="238422" cy="91440"/>
        </a:xfrm>
        <a:custGeom>
          <a:avLst/>
          <a:gdLst/>
          <a:ahLst/>
          <a:cxnLst/>
          <a:rect l="0" t="0" r="0" b="0"/>
          <a:pathLst>
            <a:path>
              <a:moveTo>
                <a:pt x="238422" y="45720"/>
              </a:moveTo>
              <a:lnTo>
                <a:pt x="0" y="45720"/>
              </a:lnTo>
            </a:path>
          </a:pathLst>
        </a:custGeom>
        <a:no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4FDACB0-CB54-48FF-8270-184141298E3B}">
      <dsp:nvSpPr>
        <dsp:cNvPr id="0" name=""/>
        <dsp:cNvSpPr/>
      </dsp:nvSpPr>
      <dsp:spPr>
        <a:xfrm>
          <a:off x="2623988" y="260104"/>
          <a:ext cx="238422" cy="91440"/>
        </a:xfrm>
        <a:custGeom>
          <a:avLst/>
          <a:gdLst/>
          <a:ahLst/>
          <a:cxnLst/>
          <a:rect l="0" t="0" r="0" b="0"/>
          <a:pathLst>
            <a:path>
              <a:moveTo>
                <a:pt x="238422" y="45720"/>
              </a:moveTo>
              <a:lnTo>
                <a:pt x="0" y="45720"/>
              </a:lnTo>
            </a:path>
          </a:pathLst>
        </a:custGeom>
        <a:noFill/>
        <a:ln w="12700" cap="flat" cmpd="sng" algn="ctr">
          <a:solidFill>
            <a:schemeClr val="accent1">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0FC99D4-4111-43B5-98B9-2A4882DE0332}">
      <dsp:nvSpPr>
        <dsp:cNvPr id="0" name=""/>
        <dsp:cNvSpPr/>
      </dsp:nvSpPr>
      <dsp:spPr>
        <a:xfrm>
          <a:off x="4054524" y="305824"/>
          <a:ext cx="238422" cy="1025217"/>
        </a:xfrm>
        <a:custGeom>
          <a:avLst/>
          <a:gdLst/>
          <a:ahLst/>
          <a:cxnLst/>
          <a:rect l="0" t="0" r="0" b="0"/>
          <a:pathLst>
            <a:path>
              <a:moveTo>
                <a:pt x="238422" y="1025217"/>
              </a:moveTo>
              <a:lnTo>
                <a:pt x="119211" y="1025217"/>
              </a:lnTo>
              <a:lnTo>
                <a:pt x="119211" y="0"/>
              </a:lnTo>
              <a:lnTo>
                <a:pt x="0" y="0"/>
              </a:lnTo>
            </a:path>
          </a:pathLst>
        </a:custGeom>
        <a:noFill/>
        <a:ln w="12700" cap="flat" cmpd="sng" algn="ctr">
          <a:solidFill>
            <a:schemeClr val="accent1">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6CB07AC-AA46-4E2A-88FF-0B607700D51F}">
      <dsp:nvSpPr>
        <dsp:cNvPr id="0" name=""/>
        <dsp:cNvSpPr/>
      </dsp:nvSpPr>
      <dsp:spPr>
        <a:xfrm>
          <a:off x="4292947" y="1149244"/>
          <a:ext cx="1192113" cy="363594"/>
        </a:xfrm>
        <a:prstGeom prst="rect">
          <a:avLst/>
        </a:prstGeom>
        <a:solidFill>
          <a:schemeClr val="accent1">
            <a:shade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AU" sz="600" kern="1200">
              <a:solidFill>
                <a:schemeClr val="tx1">
                  <a:lumMod val="95000"/>
                  <a:lumOff val="5000"/>
                </a:schemeClr>
              </a:solidFill>
              <a:latin typeface="+mj-lt"/>
            </a:rPr>
            <a:t>Improved risk management practices in target industries</a:t>
          </a:r>
        </a:p>
      </dsp:txBody>
      <dsp:txXfrm>
        <a:off x="4292947" y="1149244"/>
        <a:ext cx="1192113" cy="363594"/>
      </dsp:txXfrm>
    </dsp:sp>
    <dsp:sp modelId="{47B06588-D96F-478B-80A1-629EF98DD787}">
      <dsp:nvSpPr>
        <dsp:cNvPr id="0" name=""/>
        <dsp:cNvSpPr/>
      </dsp:nvSpPr>
      <dsp:spPr>
        <a:xfrm>
          <a:off x="2862411" y="124027"/>
          <a:ext cx="1192113" cy="363594"/>
        </a:xfrm>
        <a:prstGeom prst="rect">
          <a:avLst/>
        </a:prstGeom>
        <a:solidFill>
          <a:schemeClr val="accent1">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AU" sz="600" kern="1200">
              <a:solidFill>
                <a:schemeClr val="tx1">
                  <a:lumMod val="95000"/>
                  <a:lumOff val="5000"/>
                </a:schemeClr>
              </a:solidFill>
              <a:latin typeface="+mj-lt"/>
            </a:rPr>
            <a:t>Industry recognises the regulator will follow up on advice and guidance</a:t>
          </a:r>
        </a:p>
      </dsp:txBody>
      <dsp:txXfrm>
        <a:off x="2862411" y="124027"/>
        <a:ext cx="1192113" cy="363594"/>
      </dsp:txXfrm>
    </dsp:sp>
    <dsp:sp modelId="{F2142804-0022-4AC5-B22E-AD7B1B6E18F1}">
      <dsp:nvSpPr>
        <dsp:cNvPr id="0" name=""/>
        <dsp:cNvSpPr/>
      </dsp:nvSpPr>
      <dsp:spPr>
        <a:xfrm>
          <a:off x="1431875" y="124027"/>
          <a:ext cx="1192113" cy="363594"/>
        </a:xfrm>
        <a:prstGeom prst="rect">
          <a:avLst/>
        </a:prstGeom>
        <a:solidFill>
          <a:schemeClr val="accent1">
            <a:tint val="99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AU" sz="600" kern="1200">
              <a:solidFill>
                <a:schemeClr val="tx1">
                  <a:lumMod val="95000"/>
                  <a:lumOff val="5000"/>
                </a:schemeClr>
              </a:solidFill>
              <a:latin typeface="+mj-lt"/>
            </a:rPr>
            <a:t>Coordinated education and compliance oversight activities</a:t>
          </a:r>
        </a:p>
      </dsp:txBody>
      <dsp:txXfrm>
        <a:off x="1431875" y="124027"/>
        <a:ext cx="1192113" cy="363594"/>
      </dsp:txXfrm>
    </dsp:sp>
    <dsp:sp modelId="{1B3DCE26-E163-47CB-ACBB-7E7F9BA41669}">
      <dsp:nvSpPr>
        <dsp:cNvPr id="0" name=""/>
        <dsp:cNvSpPr/>
      </dsp:nvSpPr>
      <dsp:spPr>
        <a:xfrm>
          <a:off x="1339" y="124027"/>
          <a:ext cx="1192113" cy="363594"/>
        </a:xfrm>
        <a:prstGeom prst="rect">
          <a:avLst/>
        </a:prstGeom>
        <a:solidFill>
          <a:schemeClr val="accent1">
            <a:tint val="7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AU" sz="600" kern="1200">
              <a:solidFill>
                <a:schemeClr val="tx1">
                  <a:lumMod val="95000"/>
                  <a:lumOff val="5000"/>
                </a:schemeClr>
              </a:solidFill>
              <a:latin typeface="+mj-lt"/>
            </a:rPr>
            <a:t>Results of compliance support campaigns</a:t>
          </a:r>
        </a:p>
      </dsp:txBody>
      <dsp:txXfrm>
        <a:off x="1339" y="124027"/>
        <a:ext cx="1192113" cy="363594"/>
      </dsp:txXfrm>
    </dsp:sp>
    <dsp:sp modelId="{8B1A76E2-E9B0-42AA-A604-A379DEA9252B}">
      <dsp:nvSpPr>
        <dsp:cNvPr id="0" name=""/>
        <dsp:cNvSpPr/>
      </dsp:nvSpPr>
      <dsp:spPr>
        <a:xfrm>
          <a:off x="2862411" y="636636"/>
          <a:ext cx="1192113" cy="363594"/>
        </a:xfrm>
        <a:prstGeom prst="rect">
          <a:avLst/>
        </a:prstGeom>
        <a:solidFill>
          <a:schemeClr val="accent1">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AU" sz="600" kern="1200">
              <a:solidFill>
                <a:schemeClr val="tx1">
                  <a:lumMod val="95000"/>
                  <a:lumOff val="5000"/>
                </a:schemeClr>
              </a:solidFill>
              <a:latin typeface="+mj-lt"/>
            </a:rPr>
            <a:t>Increased understanding among business of their obligations</a:t>
          </a:r>
        </a:p>
      </dsp:txBody>
      <dsp:txXfrm>
        <a:off x="2862411" y="636636"/>
        <a:ext cx="1192113" cy="363594"/>
      </dsp:txXfrm>
    </dsp:sp>
    <dsp:sp modelId="{3D277D6D-385F-4DF2-8277-F62E03964564}">
      <dsp:nvSpPr>
        <dsp:cNvPr id="0" name=""/>
        <dsp:cNvSpPr/>
      </dsp:nvSpPr>
      <dsp:spPr>
        <a:xfrm>
          <a:off x="1431875" y="636636"/>
          <a:ext cx="1192113" cy="363594"/>
        </a:xfrm>
        <a:prstGeom prst="rect">
          <a:avLst/>
        </a:prstGeom>
        <a:solidFill>
          <a:schemeClr val="accent1">
            <a:tint val="99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AU" sz="600" kern="1200">
              <a:solidFill>
                <a:schemeClr val="tx1">
                  <a:lumMod val="95000"/>
                  <a:lumOff val="5000"/>
                </a:schemeClr>
              </a:solidFill>
              <a:latin typeface="+mj-lt"/>
            </a:rPr>
            <a:t>Accessible and clear guidance</a:t>
          </a:r>
        </a:p>
      </dsp:txBody>
      <dsp:txXfrm>
        <a:off x="1431875" y="636636"/>
        <a:ext cx="1192113" cy="363594"/>
      </dsp:txXfrm>
    </dsp:sp>
    <dsp:sp modelId="{15F58B55-FC1A-4508-ACD1-246D829A6A08}">
      <dsp:nvSpPr>
        <dsp:cNvPr id="0" name=""/>
        <dsp:cNvSpPr/>
      </dsp:nvSpPr>
      <dsp:spPr>
        <a:xfrm>
          <a:off x="1339" y="636636"/>
          <a:ext cx="1192113" cy="363594"/>
        </a:xfrm>
        <a:prstGeom prst="rect">
          <a:avLst/>
        </a:prstGeom>
        <a:solidFill>
          <a:schemeClr val="accent1">
            <a:tint val="7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AU" sz="600" kern="1200">
              <a:solidFill>
                <a:schemeClr val="tx1">
                  <a:lumMod val="95000"/>
                  <a:lumOff val="5000"/>
                </a:schemeClr>
              </a:solidFill>
              <a:latin typeface="+mj-lt"/>
            </a:rPr>
            <a:t>Feedback on draft guidance, survey results</a:t>
          </a:r>
        </a:p>
      </dsp:txBody>
      <dsp:txXfrm>
        <a:off x="1339" y="636636"/>
        <a:ext cx="1192113" cy="363594"/>
      </dsp:txXfrm>
    </dsp:sp>
    <dsp:sp modelId="{9D85CFFA-C9E7-4427-8657-E8FE69FCC599}">
      <dsp:nvSpPr>
        <dsp:cNvPr id="0" name=""/>
        <dsp:cNvSpPr/>
      </dsp:nvSpPr>
      <dsp:spPr>
        <a:xfrm>
          <a:off x="2862411" y="1149244"/>
          <a:ext cx="1192113" cy="363594"/>
        </a:xfrm>
        <a:prstGeom prst="rect">
          <a:avLst/>
        </a:prstGeom>
        <a:solidFill>
          <a:schemeClr val="accent1">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AU" sz="600" kern="1200">
              <a:solidFill>
                <a:schemeClr val="tx1">
                  <a:lumMod val="95000"/>
                  <a:lumOff val="5000"/>
                </a:schemeClr>
              </a:solidFill>
              <a:latin typeface="+mj-lt"/>
            </a:rPr>
            <a:t>Industry leaders are recognised for higher performance</a:t>
          </a:r>
        </a:p>
      </dsp:txBody>
      <dsp:txXfrm>
        <a:off x="2862411" y="1149244"/>
        <a:ext cx="1192113" cy="363594"/>
      </dsp:txXfrm>
    </dsp:sp>
    <dsp:sp modelId="{FC0672DA-18A1-46A8-BC54-310F3DB91916}">
      <dsp:nvSpPr>
        <dsp:cNvPr id="0" name=""/>
        <dsp:cNvSpPr/>
      </dsp:nvSpPr>
      <dsp:spPr>
        <a:xfrm>
          <a:off x="1431875" y="1149244"/>
          <a:ext cx="1192113" cy="363594"/>
        </a:xfrm>
        <a:prstGeom prst="rect">
          <a:avLst/>
        </a:prstGeom>
        <a:solidFill>
          <a:schemeClr val="accent1">
            <a:tint val="99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AU" sz="600" kern="1200">
              <a:solidFill>
                <a:schemeClr val="tx1">
                  <a:lumMod val="95000"/>
                  <a:lumOff val="5000"/>
                </a:schemeClr>
              </a:solidFill>
              <a:latin typeface="+mj-lt"/>
            </a:rPr>
            <a:t>Publicising outcomes</a:t>
          </a:r>
        </a:p>
      </dsp:txBody>
      <dsp:txXfrm>
        <a:off x="1431875" y="1149244"/>
        <a:ext cx="1192113" cy="363594"/>
      </dsp:txXfrm>
    </dsp:sp>
    <dsp:sp modelId="{17CD6C1F-2E09-4803-9E50-3FAD9ED73F6B}">
      <dsp:nvSpPr>
        <dsp:cNvPr id="0" name=""/>
        <dsp:cNvSpPr/>
      </dsp:nvSpPr>
      <dsp:spPr>
        <a:xfrm>
          <a:off x="1339" y="1149244"/>
          <a:ext cx="1192113" cy="363594"/>
        </a:xfrm>
        <a:prstGeom prst="rect">
          <a:avLst/>
        </a:prstGeom>
        <a:solidFill>
          <a:schemeClr val="accent1">
            <a:tint val="7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AU" sz="600" kern="1200">
              <a:solidFill>
                <a:schemeClr val="tx1">
                  <a:lumMod val="95000"/>
                  <a:lumOff val="5000"/>
                </a:schemeClr>
              </a:solidFill>
              <a:latin typeface="+mj-lt"/>
            </a:rPr>
            <a:t>Industry engagement </a:t>
          </a:r>
        </a:p>
      </dsp:txBody>
      <dsp:txXfrm>
        <a:off x="1339" y="1149244"/>
        <a:ext cx="1192113" cy="363594"/>
      </dsp:txXfrm>
    </dsp:sp>
    <dsp:sp modelId="{1B43A71D-9E4B-4936-A6B4-EEB6AC11403F}">
      <dsp:nvSpPr>
        <dsp:cNvPr id="0" name=""/>
        <dsp:cNvSpPr/>
      </dsp:nvSpPr>
      <dsp:spPr>
        <a:xfrm>
          <a:off x="2862411" y="1661853"/>
          <a:ext cx="1192113" cy="363594"/>
        </a:xfrm>
        <a:prstGeom prst="rect">
          <a:avLst/>
        </a:prstGeom>
        <a:solidFill>
          <a:schemeClr val="accent1">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AU" sz="600" kern="1200">
              <a:solidFill>
                <a:schemeClr val="tx1">
                  <a:lumMod val="95000"/>
                  <a:lumOff val="5000"/>
                </a:schemeClr>
              </a:solidFill>
              <a:latin typeface="+mj-lt"/>
            </a:rPr>
            <a:t>Industry supportive of the proportionality and clarity of guidance</a:t>
          </a:r>
        </a:p>
      </dsp:txBody>
      <dsp:txXfrm>
        <a:off x="2862411" y="1661853"/>
        <a:ext cx="1192113" cy="363594"/>
      </dsp:txXfrm>
    </dsp:sp>
    <dsp:sp modelId="{9B16E30F-6692-4CE1-84C2-A5B38054B766}">
      <dsp:nvSpPr>
        <dsp:cNvPr id="0" name=""/>
        <dsp:cNvSpPr/>
      </dsp:nvSpPr>
      <dsp:spPr>
        <a:xfrm>
          <a:off x="1431875" y="1661853"/>
          <a:ext cx="1192113" cy="363594"/>
        </a:xfrm>
        <a:prstGeom prst="rect">
          <a:avLst/>
        </a:prstGeom>
        <a:solidFill>
          <a:schemeClr val="accent1">
            <a:tint val="99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AU" sz="600" kern="1200">
              <a:solidFill>
                <a:schemeClr val="tx1">
                  <a:lumMod val="95000"/>
                  <a:lumOff val="5000"/>
                </a:schemeClr>
              </a:solidFill>
              <a:latin typeface="+mj-lt"/>
            </a:rPr>
            <a:t>Developing guidance in consultation with industry</a:t>
          </a:r>
        </a:p>
      </dsp:txBody>
      <dsp:txXfrm>
        <a:off x="1431875" y="1661853"/>
        <a:ext cx="1192113" cy="363594"/>
      </dsp:txXfrm>
    </dsp:sp>
    <dsp:sp modelId="{D5B7C8EE-69E8-4EC6-B64D-06CBECA1FC66}">
      <dsp:nvSpPr>
        <dsp:cNvPr id="0" name=""/>
        <dsp:cNvSpPr/>
      </dsp:nvSpPr>
      <dsp:spPr>
        <a:xfrm>
          <a:off x="1339" y="1661853"/>
          <a:ext cx="1192113" cy="363594"/>
        </a:xfrm>
        <a:prstGeom prst="rect">
          <a:avLst/>
        </a:prstGeom>
        <a:solidFill>
          <a:schemeClr val="accent1">
            <a:tint val="7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AU" sz="600" kern="1200">
              <a:solidFill>
                <a:schemeClr val="tx1">
                  <a:lumMod val="95000"/>
                  <a:lumOff val="5000"/>
                </a:schemeClr>
              </a:solidFill>
              <a:latin typeface="+mj-lt"/>
            </a:rPr>
            <a:t>Feedback about design process, industry statements</a:t>
          </a:r>
        </a:p>
      </dsp:txBody>
      <dsp:txXfrm>
        <a:off x="1339" y="1661853"/>
        <a:ext cx="1192113" cy="363594"/>
      </dsp:txXfrm>
    </dsp:sp>
    <dsp:sp modelId="{35DCB916-1AFB-47A5-91AD-5E39D97561C8}">
      <dsp:nvSpPr>
        <dsp:cNvPr id="0" name=""/>
        <dsp:cNvSpPr/>
      </dsp:nvSpPr>
      <dsp:spPr>
        <a:xfrm>
          <a:off x="2862411" y="2174462"/>
          <a:ext cx="1192113" cy="363594"/>
        </a:xfrm>
        <a:prstGeom prst="rect">
          <a:avLst/>
        </a:prstGeom>
        <a:solidFill>
          <a:schemeClr val="accent1">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AU" sz="600" kern="1200">
              <a:solidFill>
                <a:schemeClr val="tx1">
                  <a:lumMod val="95000"/>
                  <a:lumOff val="5000"/>
                </a:schemeClr>
              </a:solidFill>
              <a:latin typeface="+mj-lt"/>
            </a:rPr>
            <a:t>External factors (e.g. pressures on industry)</a:t>
          </a:r>
        </a:p>
      </dsp:txBody>
      <dsp:txXfrm>
        <a:off x="2862411" y="2174462"/>
        <a:ext cx="1192113" cy="363594"/>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ocumenttasks/documenttasks1.xml><?xml version="1.0" encoding="utf-8"?>
<t:Tasks xmlns:t="http://schemas.microsoft.com/office/tasks/2019/documenttasks" xmlns:oel="http://schemas.microsoft.com/office/2019/extlst">
  <t:Task id="{5DC730D5-A110-4BB2-B380-641D072918C5}">
    <t:Anchor>
      <t:Comment id="738838437"/>
    </t:Anchor>
    <t:History>
      <t:Event id="{AB6D08CD-C09A-4542-B58F-82B1DF87DDB4}" time="2022-06-23T00:07:56.673Z">
        <t:Attribution userId="S::eliot.palmer@betterreg.vic.gov.au::bbaa89cf-5eb9-4b1b-a0db-4e59aca7fb93" userProvider="AD" userName="Eliot Palmer (DTF)"/>
        <t:Anchor>
          <t:Comment id="738838437"/>
        </t:Anchor>
        <t:Create/>
      </t:Event>
      <t:Event id="{542C82E3-45A6-45A6-A4DA-83C5C4A640F1}" time="2022-06-23T00:07:56.673Z">
        <t:Attribution userId="S::eliot.palmer@betterreg.vic.gov.au::bbaa89cf-5eb9-4b1b-a0db-4e59aca7fb93" userProvider="AD" userName="Eliot Palmer (DTF)"/>
        <t:Anchor>
          <t:Comment id="738838437"/>
        </t:Anchor>
        <t:Assign userId="S::carina.mammone@dtf.vic.gov.au::e6f9c3a6-d9d5-4a4d-a92e-7b6676b5df9f" userProvider="AD" userName="Carina Mammone (DTF)"/>
      </t:Event>
      <t:Event id="{744DC3AE-F673-4E90-827F-51A857BBC1A9}" time="2022-06-23T00:07:56.673Z">
        <t:Attribution userId="S::eliot.palmer@betterreg.vic.gov.au::bbaa89cf-5eb9-4b1b-a0db-4e59aca7fb93" userProvider="AD" userName="Eliot Palmer (DTF)"/>
        <t:Anchor>
          <t:Comment id="738838437"/>
        </t:Anchor>
        <t:SetTitle title="@Carina Mammone (DTF)  Thanks for the intro, I might strip it back a bit, to make the reference clear but without as much explanation For the 14Q - sorry if the task wasn't clear, the current table has the factors of the table of 11, but the table of …"/>
      </t:Event>
    </t:History>
  </t:Task>
  <t:Task id="{3F9C6F76-D2AA-4DD4-AFF9-BD5CAA643DFB}">
    <t:Anchor>
      <t:Comment id="1529443341"/>
    </t:Anchor>
    <t:History>
      <t:Event id="{E46F06A6-C0EF-4FA3-8CA1-FD7DC225DE8C}" time="2022-06-23T00:48:34.945Z">
        <t:Attribution userId="S::eliot.palmer@betterreg.vic.gov.au::bbaa89cf-5eb9-4b1b-a0db-4e59aca7fb93" userProvider="AD" userName="Eliot Palmer (DTF)"/>
        <t:Anchor>
          <t:Comment id="1529443341"/>
        </t:Anchor>
        <t:Create/>
      </t:Event>
      <t:Event id="{99B640C2-004C-44A4-81FE-E993F01FC5D4}" time="2022-06-23T00:48:34.945Z">
        <t:Attribution userId="S::eliot.palmer@betterreg.vic.gov.au::bbaa89cf-5eb9-4b1b-a0db-4e59aca7fb93" userProvider="AD" userName="Eliot Palmer (DTF)"/>
        <t:Anchor>
          <t:Comment id="1529443341"/>
        </t:Anchor>
        <t:Assign userId="S::carina.mammone@dtf.vic.gov.au::e6f9c3a6-d9d5-4a4d-a92e-7b6676b5df9f" userProvider="AD" userName="Carina Mammone (DTF)"/>
      </t:Event>
      <t:Event id="{C9F9364A-AFB7-4480-A7D3-34FE46CB5A95}" time="2022-06-23T00:48:34.945Z">
        <t:Attribution userId="S::eliot.palmer@betterreg.vic.gov.au::bbaa89cf-5eb9-4b1b-a0db-4e59aca7fb93" userProvider="AD" userName="Eliot Palmer (DTF)"/>
        <t:Anchor>
          <t:Comment id="1529443341"/>
        </t:Anchor>
        <t:SetTitle title="@Carina Mammone (DTF) - thanks for getting this - looking at it, I think it's not right for this toolkit and we should put in a seperate document in our folder. Instead, below this table I'm going to dump in text from that toolkit that I want to weave …"/>
      </t:Event>
    </t:History>
  </t:Task>
</t:Tasks>
</file>

<file path=word/theme/theme1.xml><?xml version="1.0" encoding="utf-8"?>
<a:theme xmlns:a="http://schemas.openxmlformats.org/drawingml/2006/main" name="Office Theme">
  <a:themeElements>
    <a:clrScheme name="Better Regulation 2">
      <a:dk1>
        <a:sysClr val="windowText" lastClr="000000"/>
      </a:dk1>
      <a:lt1>
        <a:sysClr val="window" lastClr="FFFFFF"/>
      </a:lt1>
      <a:dk2>
        <a:srgbClr val="1F2A44"/>
      </a:dk2>
      <a:lt2>
        <a:srgbClr val="D2D4DA"/>
      </a:lt2>
      <a:accent1>
        <a:srgbClr val="71C5E8"/>
      </a:accent1>
      <a:accent2>
        <a:srgbClr val="00B2A9"/>
      </a:accent2>
      <a:accent3>
        <a:srgbClr val="78BE20"/>
      </a:accent3>
      <a:accent4>
        <a:srgbClr val="87189D"/>
      </a:accent4>
      <a:accent5>
        <a:srgbClr val="98D5EF"/>
      </a:accent5>
      <a:accent6>
        <a:srgbClr val="C4E7F6"/>
      </a:accent6>
      <a:hlink>
        <a:srgbClr val="71C5E8"/>
      </a:hlink>
      <a:folHlink>
        <a:srgbClr val="00B2A9"/>
      </a:folHlink>
    </a:clrScheme>
    <a:fontScheme name="Brand Vi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5b0d6e9-e99b-40a9-aaa3-9b8d7d95b219" xsi:nil="true"/>
    <lcf76f155ced4ddcb4097134ff3c332f xmlns="51fffbad-fc14-48aa-b0d1-9be411fd36c8" xsi:nil="true"/>
    <XSLStyleIconUrl xmlns="http://schemas.microsoft.com/sharepoint/v3/fields">
      <Url xsi:nil="true"/>
      <Description xsi:nil="true"/>
    </XSLStyleIconUrl>
    <XSLStyleRequiredFields xmlns="http://schemas.microsoft.com/sharepoint/v3/fields" xsi:nil="true"/>
    <XSLStyleWPType xmlns="http://schemas.microsoft.com/sharepoint/v3/fields" xsi:nil="true"/>
    <XSLStyleCategory xmlns="http://schemas.microsoft.com/sharepoint/v3/fields" xsi:nil="true"/>
    <XSLStyleBaseView xmlns="http://schemas.microsoft.com/sharepoint/v3/fields"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List View Style" ma:contentTypeID="0x010100734778F2B7DF462491FC91844AE431CF00830EEE82CFC37443ABB98788224BC25E" ma:contentTypeVersion="3" ma:contentTypeDescription="Create a new List View Style" ma:contentTypeScope="" ma:versionID="bbf1bdd6c28413a139f947f79b5a3c92">
  <xsd:schema xmlns:xsd="http://www.w3.org/2001/XMLSchema" xmlns:xs="http://www.w3.org/2001/XMLSchema" xmlns:p="http://schemas.microsoft.com/office/2006/metadata/properties" xmlns:ns2="http://schemas.microsoft.com/sharepoint/v3/fields" xmlns:ns3="51fffbad-fc14-48aa-b0d1-9be411fd36c8" xmlns:ns4="15b0d6e9-e99b-40a9-aaa3-9b8d7d95b219" targetNamespace="http://schemas.microsoft.com/office/2006/metadata/properties" ma:root="true" ma:fieldsID="0cd1d8fe1a9e13f4d675846ff06c23c5" ns2:_="" ns3:_="" ns4:_="">
    <xsd:import namespace="http://schemas.microsoft.com/sharepoint/v3/fields"/>
    <xsd:import namespace="51fffbad-fc14-48aa-b0d1-9be411fd36c8"/>
    <xsd:import namespace="15b0d6e9-e99b-40a9-aaa3-9b8d7d95b219"/>
    <xsd:element name="properties">
      <xsd:complexType>
        <xsd:sequence>
          <xsd:element name="documentManagement">
            <xsd:complexType>
              <xsd:all>
                <xsd:element ref="ns2:XSLStyleCategory" minOccurs="0"/>
                <xsd:element ref="ns2:XSLStyleWPType" minOccurs="0"/>
                <xsd:element ref="ns2:XSLStyleIconUrl" minOccurs="0"/>
                <xsd:element ref="ns2:XSLStyleBaseView" minOccurs="0"/>
                <xsd:element ref="ns2:XSLStyleRequiredFiel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XSLStyleCategory" ma:index="8" nillable="true" ma:displayName="Category" ma:description="The category or content types compatible with this style" ma:internalName="XSLStyleCategory">
      <xsd:simpleType>
        <xsd:restriction base="dms:Text"/>
      </xsd:simpleType>
    </xsd:element>
    <xsd:element name="XSLStyleWPType" ma:index="9" nillable="true" ma:displayName="Target Web Part" ma:description="Specify the type of web part this style is intended for.  For default list views, choose XSLTListViewWebPart." ma:internalName="XSLStyleWPType">
      <xsd:simpleType>
        <xsd:restriction base="dms:Choice">
          <xsd:enumeration value="XsltListViewWebPart"/>
          <xsd:enumeration value="DataFormWebPart"/>
          <xsd:enumeration value="Other"/>
        </xsd:restriction>
      </xsd:simpleType>
    </xsd:element>
    <xsd:element name="XSLStyleIconUrl" ma:index="10" nillable="true" ma:displayName="Icon URL" ma:description="A 64x48 icon that represents this style" ma:format="Image" ma:internalName="XSLStyleIconUrl">
      <xsd:complexType>
        <xsd:complexContent>
          <xsd:extension base="dms:URL">
            <xsd:sequence>
              <xsd:element name="Url" type="dms:ValidUrl" minOccurs="0" nillable="true"/>
              <xsd:element name="Description" type="xsd:string" nillable="true"/>
            </xsd:sequence>
          </xsd:extension>
        </xsd:complexContent>
      </xsd:complexType>
    </xsd:element>
    <xsd:element name="XSLStyleBaseView" ma:index="11" nillable="true" ma:displayName="View Style ID" ma:description="The view style ID for this style" ma:internalName="XSLStyleBaseView">
      <xsd:simpleType>
        <xsd:restriction base="dms:Text"/>
      </xsd:simpleType>
    </xsd:element>
    <xsd:element name="XSLStyleRequiredFields" ma:index="12" nillable="true" ma:displayName="Required Fields" ma:description="The required fields for this style in the format: field1; field2;" ma:internalName="XSLStyleRequiredField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fffbad-fc14-48aa-b0d1-9be411fd36c8" elementFormDefault="qualified">
    <xsd:import namespace="http://schemas.microsoft.com/office/2006/documentManagement/types"/>
    <xsd:import namespace="http://schemas.microsoft.com/office/infopath/2007/PartnerControls"/>
    <xsd:element name="lcf76f155ced4ddcb4097134ff3c332f" ma:index="13"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b0d6e9-e99b-40a9-aaa3-9b8d7d95b21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5daf189-de59-48f6-89f9-2bbe255eeff1}" ma:internalName="TaxCatchAll" ma:showField="CatchAllData" ma:web="15b0d6e9-e99b-40a9-aaa3-9b8d7d95b2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1F0DF729-235F-4D0F-AA89-5E64FB4E795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1fffbad-fc14-48aa-b0d1-9be411fd36c8"/>
    <ds:schemaRef ds:uri="http://purl.org/dc/elements/1.1/"/>
    <ds:schemaRef ds:uri="http://schemas.microsoft.com/office/2006/metadata/properties"/>
    <ds:schemaRef ds:uri="15b0d6e9-e99b-40a9-aaa3-9b8d7d95b219"/>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04D05A36-469C-614A-8561-BE7DEFC87D33}">
  <ds:schemaRefs>
    <ds:schemaRef ds:uri="http://schemas.openxmlformats.org/officeDocument/2006/bibliography"/>
  </ds:schemaRefs>
</ds:datastoreItem>
</file>

<file path=customXml/itemProps3.xml><?xml version="1.0" encoding="utf-8"?>
<ds:datastoreItem xmlns:ds="http://schemas.openxmlformats.org/officeDocument/2006/customXml" ds:itemID="{AAF5F28E-3ECF-4AEB-8537-4B0A6FB3E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51fffbad-fc14-48aa-b0d1-9be411fd36c8"/>
    <ds:schemaRef ds:uri="15b0d6e9-e99b-40a9-aaa3-9b8d7d95b2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A65EF2-3FF9-4721-9729-2C100B51FBD3}">
  <ds:schemaRefs>
    <ds:schemaRef ds:uri="http://schemas.microsoft.com/sharepoint/v3/contenttype/forms"/>
  </ds:schemaRefs>
</ds:datastoreItem>
</file>

<file path=customXml/itemProps5.xml><?xml version="1.0" encoding="utf-8"?>
<ds:datastoreItem xmlns:ds="http://schemas.openxmlformats.org/officeDocument/2006/customXml" ds:itemID="{2174829E-013B-405E-9A97-17EFA2355FB3}">
  <ds:schemaRefs>
    <ds:schemaRef ds:uri="http://www.w3.org/2001/XMLSchema"/>
  </ds:schemaRefs>
</ds:datastoreItem>
</file>

<file path=docMetadata/LabelInfo.xml><?xml version="1.0" encoding="utf-8"?>
<clbl:labelList xmlns:clbl="http://schemas.microsoft.com/office/2020/mipLabelMetadata">
  <clbl:label id="{1527ddf3-b381-4c99-ab8b-ca346675e81b}" enabled="1" method="Privileged" siteId="{28e1a73d-f0ce-441e-80a7-1b36946db33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29</Pages>
  <Words>8680</Words>
  <Characters>50947</Characters>
  <Application>Microsoft Office Word</Application>
  <DocSecurity>0</DocSecurity>
  <Lines>1028</Lines>
  <Paragraphs>540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59461</CharactersWithSpaces>
  <SharedDoc>false</SharedDoc>
  <HLinks>
    <vt:vector size="414" baseType="variant">
      <vt:variant>
        <vt:i4>6094959</vt:i4>
      </vt:variant>
      <vt:variant>
        <vt:i4>324</vt:i4>
      </vt:variant>
      <vt:variant>
        <vt:i4>0</vt:i4>
      </vt:variant>
      <vt:variant>
        <vt:i4>5</vt:i4>
      </vt:variant>
      <vt:variant>
        <vt:lpwstr/>
      </vt:variant>
      <vt:variant>
        <vt:lpwstr>_Monitor_frequently_enough</vt:lpwstr>
      </vt:variant>
      <vt:variant>
        <vt:i4>6422616</vt:i4>
      </vt:variant>
      <vt:variant>
        <vt:i4>321</vt:i4>
      </vt:variant>
      <vt:variant>
        <vt:i4>0</vt:i4>
      </vt:variant>
      <vt:variant>
        <vt:i4>5</vt:i4>
      </vt:variant>
      <vt:variant>
        <vt:lpwstr/>
      </vt:variant>
      <vt:variant>
        <vt:lpwstr>_Monitor_and_be</vt:lpwstr>
      </vt:variant>
      <vt:variant>
        <vt:i4>393274</vt:i4>
      </vt:variant>
      <vt:variant>
        <vt:i4>318</vt:i4>
      </vt:variant>
      <vt:variant>
        <vt:i4>0</vt:i4>
      </vt:variant>
      <vt:variant>
        <vt:i4>5</vt:i4>
      </vt:variant>
      <vt:variant>
        <vt:lpwstr/>
      </vt:variant>
      <vt:variant>
        <vt:lpwstr>_Account_for_the</vt:lpwstr>
      </vt:variant>
      <vt:variant>
        <vt:i4>4063255</vt:i4>
      </vt:variant>
      <vt:variant>
        <vt:i4>315</vt:i4>
      </vt:variant>
      <vt:variant>
        <vt:i4>0</vt:i4>
      </vt:variant>
      <vt:variant>
        <vt:i4>5</vt:i4>
      </vt:variant>
      <vt:variant>
        <vt:lpwstr/>
      </vt:variant>
      <vt:variant>
        <vt:lpwstr>_Remember_that_evaluation</vt:lpwstr>
      </vt:variant>
      <vt:variant>
        <vt:i4>7012427</vt:i4>
      </vt:variant>
      <vt:variant>
        <vt:i4>312</vt:i4>
      </vt:variant>
      <vt:variant>
        <vt:i4>0</vt:i4>
      </vt:variant>
      <vt:variant>
        <vt:i4>5</vt:i4>
      </vt:variant>
      <vt:variant>
        <vt:lpwstr/>
      </vt:variant>
      <vt:variant>
        <vt:lpwstr>_Recognise_technical_topics</vt:lpwstr>
      </vt:variant>
      <vt:variant>
        <vt:i4>4980832</vt:i4>
      </vt:variant>
      <vt:variant>
        <vt:i4>309</vt:i4>
      </vt:variant>
      <vt:variant>
        <vt:i4>0</vt:i4>
      </vt:variant>
      <vt:variant>
        <vt:i4>5</vt:i4>
      </vt:variant>
      <vt:variant>
        <vt:lpwstr/>
      </vt:variant>
      <vt:variant>
        <vt:lpwstr>_Ensure_your_evaluation</vt:lpwstr>
      </vt:variant>
      <vt:variant>
        <vt:i4>1572921</vt:i4>
      </vt:variant>
      <vt:variant>
        <vt:i4>306</vt:i4>
      </vt:variant>
      <vt:variant>
        <vt:i4>0</vt:i4>
      </vt:variant>
      <vt:variant>
        <vt:i4>5</vt:i4>
      </vt:variant>
      <vt:variant>
        <vt:lpwstr/>
      </vt:variant>
      <vt:variant>
        <vt:lpwstr>_Undertake_proportionate_analysis</vt:lpwstr>
      </vt:variant>
      <vt:variant>
        <vt:i4>65589</vt:i4>
      </vt:variant>
      <vt:variant>
        <vt:i4>303</vt:i4>
      </vt:variant>
      <vt:variant>
        <vt:i4>0</vt:i4>
      </vt:variant>
      <vt:variant>
        <vt:i4>5</vt:i4>
      </vt:variant>
      <vt:variant>
        <vt:lpwstr/>
      </vt:variant>
      <vt:variant>
        <vt:lpwstr>_Define_who_will</vt:lpwstr>
      </vt:variant>
      <vt:variant>
        <vt:i4>2621488</vt:i4>
      </vt:variant>
      <vt:variant>
        <vt:i4>300</vt:i4>
      </vt:variant>
      <vt:variant>
        <vt:i4>0</vt:i4>
      </vt:variant>
      <vt:variant>
        <vt:i4>5</vt:i4>
      </vt:variant>
      <vt:variant>
        <vt:lpwstr>https://www.vic.gov.au/victorian-permissions-framework-guidance</vt:lpwstr>
      </vt:variant>
      <vt:variant>
        <vt:lpwstr/>
      </vt:variant>
      <vt:variant>
        <vt:i4>5374028</vt:i4>
      </vt:variant>
      <vt:variant>
        <vt:i4>297</vt:i4>
      </vt:variant>
      <vt:variant>
        <vt:i4>0</vt:i4>
      </vt:variant>
      <vt:variant>
        <vt:i4>5</vt:i4>
      </vt:variant>
      <vt:variant>
        <vt:lpwstr>https://www.dtf.vic.gov.au/sites/default/files/document/Pricing for Value Guide - Pricing Principles.pdf</vt:lpwstr>
      </vt:variant>
      <vt:variant>
        <vt:lpwstr/>
      </vt:variant>
      <vt:variant>
        <vt:i4>1900660</vt:i4>
      </vt:variant>
      <vt:variant>
        <vt:i4>294</vt:i4>
      </vt:variant>
      <vt:variant>
        <vt:i4>0</vt:i4>
      </vt:variant>
      <vt:variant>
        <vt:i4>5</vt:i4>
      </vt:variant>
      <vt:variant>
        <vt:lpwstr/>
      </vt:variant>
      <vt:variant>
        <vt:lpwstr>_Mid-term_and_sunsetting</vt:lpwstr>
      </vt:variant>
      <vt:variant>
        <vt:i4>1900544</vt:i4>
      </vt:variant>
      <vt:variant>
        <vt:i4>291</vt:i4>
      </vt:variant>
      <vt:variant>
        <vt:i4>0</vt:i4>
      </vt:variant>
      <vt:variant>
        <vt:i4>5</vt:i4>
      </vt:variant>
      <vt:variant>
        <vt:lpwstr/>
      </vt:variant>
      <vt:variant>
        <vt:lpwstr>_Permissions_evaluations</vt:lpwstr>
      </vt:variant>
      <vt:variant>
        <vt:i4>1769523</vt:i4>
      </vt:variant>
      <vt:variant>
        <vt:i4>288</vt:i4>
      </vt:variant>
      <vt:variant>
        <vt:i4>0</vt:i4>
      </vt:variant>
      <vt:variant>
        <vt:i4>5</vt:i4>
      </vt:variant>
      <vt:variant>
        <vt:lpwstr/>
      </vt:variant>
      <vt:variant>
        <vt:lpwstr>_Fee_setting_regulations</vt:lpwstr>
      </vt:variant>
      <vt:variant>
        <vt:i4>262207</vt:i4>
      </vt:variant>
      <vt:variant>
        <vt:i4>285</vt:i4>
      </vt:variant>
      <vt:variant>
        <vt:i4>0</vt:i4>
      </vt:variant>
      <vt:variant>
        <vt:i4>5</vt:i4>
      </vt:variant>
      <vt:variant>
        <vt:lpwstr/>
      </vt:variant>
      <vt:variant>
        <vt:lpwstr>_Regulator_reporting_and</vt:lpwstr>
      </vt:variant>
      <vt:variant>
        <vt:i4>5570677</vt:i4>
      </vt:variant>
      <vt:variant>
        <vt:i4>282</vt:i4>
      </vt:variant>
      <vt:variant>
        <vt:i4>0</vt:i4>
      </vt:variant>
      <vt:variant>
        <vt:i4>5</vt:i4>
      </vt:variant>
      <vt:variant>
        <vt:lpwstr/>
      </vt:variant>
      <vt:variant>
        <vt:lpwstr>_Interactions_with_programs</vt:lpwstr>
      </vt:variant>
      <vt:variant>
        <vt:i4>65597</vt:i4>
      </vt:variant>
      <vt:variant>
        <vt:i4>279</vt:i4>
      </vt:variant>
      <vt:variant>
        <vt:i4>0</vt:i4>
      </vt:variant>
      <vt:variant>
        <vt:i4>5</vt:i4>
      </vt:variant>
      <vt:variant>
        <vt:lpwstr/>
      </vt:variant>
      <vt:variant>
        <vt:lpwstr>_Account_for_both</vt:lpwstr>
      </vt:variant>
      <vt:variant>
        <vt:i4>2490386</vt:i4>
      </vt:variant>
      <vt:variant>
        <vt:i4>276</vt:i4>
      </vt:variant>
      <vt:variant>
        <vt:i4>0</vt:i4>
      </vt:variant>
      <vt:variant>
        <vt:i4>5</vt:i4>
      </vt:variant>
      <vt:variant>
        <vt:lpwstr/>
      </vt:variant>
      <vt:variant>
        <vt:lpwstr>_External_measurements_of</vt:lpwstr>
      </vt:variant>
      <vt:variant>
        <vt:i4>1572901</vt:i4>
      </vt:variant>
      <vt:variant>
        <vt:i4>273</vt:i4>
      </vt:variant>
      <vt:variant>
        <vt:i4>0</vt:i4>
      </vt:variant>
      <vt:variant>
        <vt:i4>5</vt:i4>
      </vt:variant>
      <vt:variant>
        <vt:lpwstr/>
      </vt:variant>
      <vt:variant>
        <vt:lpwstr>_Measure_behaviour_change</vt:lpwstr>
      </vt:variant>
      <vt:variant>
        <vt:i4>8257620</vt:i4>
      </vt:variant>
      <vt:variant>
        <vt:i4>270</vt:i4>
      </vt:variant>
      <vt:variant>
        <vt:i4>0</vt:i4>
      </vt:variant>
      <vt:variant>
        <vt:i4>5</vt:i4>
      </vt:variant>
      <vt:variant>
        <vt:lpwstr/>
      </vt:variant>
      <vt:variant>
        <vt:lpwstr>_Measure_regulator_outputs</vt:lpwstr>
      </vt:variant>
      <vt:variant>
        <vt:i4>2031667</vt:i4>
      </vt:variant>
      <vt:variant>
        <vt:i4>267</vt:i4>
      </vt:variant>
      <vt:variant>
        <vt:i4>0</vt:i4>
      </vt:variant>
      <vt:variant>
        <vt:i4>5</vt:i4>
      </vt:variant>
      <vt:variant>
        <vt:lpwstr/>
      </vt:variant>
      <vt:variant>
        <vt:lpwstr>_Measuring_regulator_resource</vt:lpwstr>
      </vt:variant>
      <vt:variant>
        <vt:i4>7602253</vt:i4>
      </vt:variant>
      <vt:variant>
        <vt:i4>264</vt:i4>
      </vt:variant>
      <vt:variant>
        <vt:i4>0</vt:i4>
      </vt:variant>
      <vt:variant>
        <vt:i4>5</vt:i4>
      </vt:variant>
      <vt:variant>
        <vt:lpwstr/>
      </vt:variant>
      <vt:variant>
        <vt:lpwstr>_Developing_proportionate_measures</vt:lpwstr>
      </vt:variant>
      <vt:variant>
        <vt:i4>5439587</vt:i4>
      </vt:variant>
      <vt:variant>
        <vt:i4>261</vt:i4>
      </vt:variant>
      <vt:variant>
        <vt:i4>0</vt:i4>
      </vt:variant>
      <vt:variant>
        <vt:i4>5</vt:i4>
      </vt:variant>
      <vt:variant>
        <vt:lpwstr/>
      </vt:variant>
      <vt:variant>
        <vt:lpwstr>_Defining_your_baseline</vt:lpwstr>
      </vt:variant>
      <vt:variant>
        <vt:i4>2490386</vt:i4>
      </vt:variant>
      <vt:variant>
        <vt:i4>258</vt:i4>
      </vt:variant>
      <vt:variant>
        <vt:i4>0</vt:i4>
      </vt:variant>
      <vt:variant>
        <vt:i4>5</vt:i4>
      </vt:variant>
      <vt:variant>
        <vt:lpwstr/>
      </vt:variant>
      <vt:variant>
        <vt:lpwstr>_External_measurements_of</vt:lpwstr>
      </vt:variant>
      <vt:variant>
        <vt:i4>7405656</vt:i4>
      </vt:variant>
      <vt:variant>
        <vt:i4>255</vt:i4>
      </vt:variant>
      <vt:variant>
        <vt:i4>0</vt:i4>
      </vt:variant>
      <vt:variant>
        <vt:i4>5</vt:i4>
      </vt:variant>
      <vt:variant>
        <vt:lpwstr/>
      </vt:variant>
      <vt:variant>
        <vt:lpwstr>_Use_a_program</vt:lpwstr>
      </vt:variant>
      <vt:variant>
        <vt:i4>917523</vt:i4>
      </vt:variant>
      <vt:variant>
        <vt:i4>252</vt:i4>
      </vt:variant>
      <vt:variant>
        <vt:i4>0</vt:i4>
      </vt:variant>
      <vt:variant>
        <vt:i4>5</vt:i4>
      </vt:variant>
      <vt:variant>
        <vt:lpwstr/>
      </vt:variant>
      <vt:variant>
        <vt:lpwstr>_How_to_address_1</vt:lpwstr>
      </vt:variant>
      <vt:variant>
        <vt:i4>3932178</vt:i4>
      </vt:variant>
      <vt:variant>
        <vt:i4>249</vt:i4>
      </vt:variant>
      <vt:variant>
        <vt:i4>0</vt:i4>
      </vt:variant>
      <vt:variant>
        <vt:i4>5</vt:i4>
      </vt:variant>
      <vt:variant>
        <vt:lpwstr/>
      </vt:variant>
      <vt:variant>
        <vt:lpwstr>_Developing_measures_for</vt:lpwstr>
      </vt:variant>
      <vt:variant>
        <vt:i4>5177454</vt:i4>
      </vt:variant>
      <vt:variant>
        <vt:i4>246</vt:i4>
      </vt:variant>
      <vt:variant>
        <vt:i4>0</vt:i4>
      </vt:variant>
      <vt:variant>
        <vt:i4>5</vt:i4>
      </vt:variant>
      <vt:variant>
        <vt:lpwstr/>
      </vt:variant>
      <vt:variant>
        <vt:lpwstr>_Using_evaluation_questions</vt:lpwstr>
      </vt:variant>
      <vt:variant>
        <vt:i4>1704040</vt:i4>
      </vt:variant>
      <vt:variant>
        <vt:i4>243</vt:i4>
      </vt:variant>
      <vt:variant>
        <vt:i4>0</vt:i4>
      </vt:variant>
      <vt:variant>
        <vt:i4>5</vt:i4>
      </vt:variant>
      <vt:variant>
        <vt:lpwstr>https://encoded-592c9deb-987b-4562-aa3c-9fa3d37d83e9.uri/bookmark%3a%2f%2f_Appendix_A%3a_Using</vt:lpwstr>
      </vt:variant>
      <vt:variant>
        <vt:lpwstr/>
      </vt:variant>
      <vt:variant>
        <vt:i4>1507376</vt:i4>
      </vt:variant>
      <vt:variant>
        <vt:i4>233</vt:i4>
      </vt:variant>
      <vt:variant>
        <vt:i4>0</vt:i4>
      </vt:variant>
      <vt:variant>
        <vt:i4>5</vt:i4>
      </vt:variant>
      <vt:variant>
        <vt:lpwstr/>
      </vt:variant>
      <vt:variant>
        <vt:lpwstr>_Toc170403109</vt:lpwstr>
      </vt:variant>
      <vt:variant>
        <vt:i4>1507376</vt:i4>
      </vt:variant>
      <vt:variant>
        <vt:i4>227</vt:i4>
      </vt:variant>
      <vt:variant>
        <vt:i4>0</vt:i4>
      </vt:variant>
      <vt:variant>
        <vt:i4>5</vt:i4>
      </vt:variant>
      <vt:variant>
        <vt:lpwstr/>
      </vt:variant>
      <vt:variant>
        <vt:lpwstr>_Toc170403108</vt:lpwstr>
      </vt:variant>
      <vt:variant>
        <vt:i4>1507376</vt:i4>
      </vt:variant>
      <vt:variant>
        <vt:i4>221</vt:i4>
      </vt:variant>
      <vt:variant>
        <vt:i4>0</vt:i4>
      </vt:variant>
      <vt:variant>
        <vt:i4>5</vt:i4>
      </vt:variant>
      <vt:variant>
        <vt:lpwstr/>
      </vt:variant>
      <vt:variant>
        <vt:lpwstr>_Toc170403107</vt:lpwstr>
      </vt:variant>
      <vt:variant>
        <vt:i4>1507376</vt:i4>
      </vt:variant>
      <vt:variant>
        <vt:i4>215</vt:i4>
      </vt:variant>
      <vt:variant>
        <vt:i4>0</vt:i4>
      </vt:variant>
      <vt:variant>
        <vt:i4>5</vt:i4>
      </vt:variant>
      <vt:variant>
        <vt:lpwstr/>
      </vt:variant>
      <vt:variant>
        <vt:lpwstr>_Toc170403106</vt:lpwstr>
      </vt:variant>
      <vt:variant>
        <vt:i4>1507376</vt:i4>
      </vt:variant>
      <vt:variant>
        <vt:i4>209</vt:i4>
      </vt:variant>
      <vt:variant>
        <vt:i4>0</vt:i4>
      </vt:variant>
      <vt:variant>
        <vt:i4>5</vt:i4>
      </vt:variant>
      <vt:variant>
        <vt:lpwstr/>
      </vt:variant>
      <vt:variant>
        <vt:lpwstr>_Toc170403105</vt:lpwstr>
      </vt:variant>
      <vt:variant>
        <vt:i4>1507376</vt:i4>
      </vt:variant>
      <vt:variant>
        <vt:i4>203</vt:i4>
      </vt:variant>
      <vt:variant>
        <vt:i4>0</vt:i4>
      </vt:variant>
      <vt:variant>
        <vt:i4>5</vt:i4>
      </vt:variant>
      <vt:variant>
        <vt:lpwstr/>
      </vt:variant>
      <vt:variant>
        <vt:lpwstr>_Toc170403104</vt:lpwstr>
      </vt:variant>
      <vt:variant>
        <vt:i4>1507376</vt:i4>
      </vt:variant>
      <vt:variant>
        <vt:i4>197</vt:i4>
      </vt:variant>
      <vt:variant>
        <vt:i4>0</vt:i4>
      </vt:variant>
      <vt:variant>
        <vt:i4>5</vt:i4>
      </vt:variant>
      <vt:variant>
        <vt:lpwstr/>
      </vt:variant>
      <vt:variant>
        <vt:lpwstr>_Toc170403103</vt:lpwstr>
      </vt:variant>
      <vt:variant>
        <vt:i4>1507376</vt:i4>
      </vt:variant>
      <vt:variant>
        <vt:i4>191</vt:i4>
      </vt:variant>
      <vt:variant>
        <vt:i4>0</vt:i4>
      </vt:variant>
      <vt:variant>
        <vt:i4>5</vt:i4>
      </vt:variant>
      <vt:variant>
        <vt:lpwstr/>
      </vt:variant>
      <vt:variant>
        <vt:lpwstr>_Toc170403102</vt:lpwstr>
      </vt:variant>
      <vt:variant>
        <vt:i4>1507376</vt:i4>
      </vt:variant>
      <vt:variant>
        <vt:i4>185</vt:i4>
      </vt:variant>
      <vt:variant>
        <vt:i4>0</vt:i4>
      </vt:variant>
      <vt:variant>
        <vt:i4>5</vt:i4>
      </vt:variant>
      <vt:variant>
        <vt:lpwstr/>
      </vt:variant>
      <vt:variant>
        <vt:lpwstr>_Toc170403101</vt:lpwstr>
      </vt:variant>
      <vt:variant>
        <vt:i4>1507376</vt:i4>
      </vt:variant>
      <vt:variant>
        <vt:i4>179</vt:i4>
      </vt:variant>
      <vt:variant>
        <vt:i4>0</vt:i4>
      </vt:variant>
      <vt:variant>
        <vt:i4>5</vt:i4>
      </vt:variant>
      <vt:variant>
        <vt:lpwstr/>
      </vt:variant>
      <vt:variant>
        <vt:lpwstr>_Toc170403100</vt:lpwstr>
      </vt:variant>
      <vt:variant>
        <vt:i4>1966129</vt:i4>
      </vt:variant>
      <vt:variant>
        <vt:i4>173</vt:i4>
      </vt:variant>
      <vt:variant>
        <vt:i4>0</vt:i4>
      </vt:variant>
      <vt:variant>
        <vt:i4>5</vt:i4>
      </vt:variant>
      <vt:variant>
        <vt:lpwstr/>
      </vt:variant>
      <vt:variant>
        <vt:lpwstr>_Toc170403099</vt:lpwstr>
      </vt:variant>
      <vt:variant>
        <vt:i4>1966129</vt:i4>
      </vt:variant>
      <vt:variant>
        <vt:i4>167</vt:i4>
      </vt:variant>
      <vt:variant>
        <vt:i4>0</vt:i4>
      </vt:variant>
      <vt:variant>
        <vt:i4>5</vt:i4>
      </vt:variant>
      <vt:variant>
        <vt:lpwstr/>
      </vt:variant>
      <vt:variant>
        <vt:lpwstr>_Toc170403098</vt:lpwstr>
      </vt:variant>
      <vt:variant>
        <vt:i4>1966129</vt:i4>
      </vt:variant>
      <vt:variant>
        <vt:i4>161</vt:i4>
      </vt:variant>
      <vt:variant>
        <vt:i4>0</vt:i4>
      </vt:variant>
      <vt:variant>
        <vt:i4>5</vt:i4>
      </vt:variant>
      <vt:variant>
        <vt:lpwstr/>
      </vt:variant>
      <vt:variant>
        <vt:lpwstr>_Toc170403097</vt:lpwstr>
      </vt:variant>
      <vt:variant>
        <vt:i4>1966129</vt:i4>
      </vt:variant>
      <vt:variant>
        <vt:i4>155</vt:i4>
      </vt:variant>
      <vt:variant>
        <vt:i4>0</vt:i4>
      </vt:variant>
      <vt:variant>
        <vt:i4>5</vt:i4>
      </vt:variant>
      <vt:variant>
        <vt:lpwstr/>
      </vt:variant>
      <vt:variant>
        <vt:lpwstr>_Toc170403096</vt:lpwstr>
      </vt:variant>
      <vt:variant>
        <vt:i4>1966129</vt:i4>
      </vt:variant>
      <vt:variant>
        <vt:i4>149</vt:i4>
      </vt:variant>
      <vt:variant>
        <vt:i4>0</vt:i4>
      </vt:variant>
      <vt:variant>
        <vt:i4>5</vt:i4>
      </vt:variant>
      <vt:variant>
        <vt:lpwstr/>
      </vt:variant>
      <vt:variant>
        <vt:lpwstr>_Toc170403095</vt:lpwstr>
      </vt:variant>
      <vt:variant>
        <vt:i4>1966129</vt:i4>
      </vt:variant>
      <vt:variant>
        <vt:i4>143</vt:i4>
      </vt:variant>
      <vt:variant>
        <vt:i4>0</vt:i4>
      </vt:variant>
      <vt:variant>
        <vt:i4>5</vt:i4>
      </vt:variant>
      <vt:variant>
        <vt:lpwstr/>
      </vt:variant>
      <vt:variant>
        <vt:lpwstr>_Toc170403094</vt:lpwstr>
      </vt:variant>
      <vt:variant>
        <vt:i4>1966129</vt:i4>
      </vt:variant>
      <vt:variant>
        <vt:i4>137</vt:i4>
      </vt:variant>
      <vt:variant>
        <vt:i4>0</vt:i4>
      </vt:variant>
      <vt:variant>
        <vt:i4>5</vt:i4>
      </vt:variant>
      <vt:variant>
        <vt:lpwstr/>
      </vt:variant>
      <vt:variant>
        <vt:lpwstr>_Toc170403093</vt:lpwstr>
      </vt:variant>
      <vt:variant>
        <vt:i4>1966129</vt:i4>
      </vt:variant>
      <vt:variant>
        <vt:i4>131</vt:i4>
      </vt:variant>
      <vt:variant>
        <vt:i4>0</vt:i4>
      </vt:variant>
      <vt:variant>
        <vt:i4>5</vt:i4>
      </vt:variant>
      <vt:variant>
        <vt:lpwstr/>
      </vt:variant>
      <vt:variant>
        <vt:lpwstr>_Toc170403092</vt:lpwstr>
      </vt:variant>
      <vt:variant>
        <vt:i4>1966129</vt:i4>
      </vt:variant>
      <vt:variant>
        <vt:i4>125</vt:i4>
      </vt:variant>
      <vt:variant>
        <vt:i4>0</vt:i4>
      </vt:variant>
      <vt:variant>
        <vt:i4>5</vt:i4>
      </vt:variant>
      <vt:variant>
        <vt:lpwstr/>
      </vt:variant>
      <vt:variant>
        <vt:lpwstr>_Toc170403091</vt:lpwstr>
      </vt:variant>
      <vt:variant>
        <vt:i4>1966129</vt:i4>
      </vt:variant>
      <vt:variant>
        <vt:i4>119</vt:i4>
      </vt:variant>
      <vt:variant>
        <vt:i4>0</vt:i4>
      </vt:variant>
      <vt:variant>
        <vt:i4>5</vt:i4>
      </vt:variant>
      <vt:variant>
        <vt:lpwstr/>
      </vt:variant>
      <vt:variant>
        <vt:lpwstr>_Toc170403090</vt:lpwstr>
      </vt:variant>
      <vt:variant>
        <vt:i4>2031665</vt:i4>
      </vt:variant>
      <vt:variant>
        <vt:i4>113</vt:i4>
      </vt:variant>
      <vt:variant>
        <vt:i4>0</vt:i4>
      </vt:variant>
      <vt:variant>
        <vt:i4>5</vt:i4>
      </vt:variant>
      <vt:variant>
        <vt:lpwstr/>
      </vt:variant>
      <vt:variant>
        <vt:lpwstr>_Toc170403089</vt:lpwstr>
      </vt:variant>
      <vt:variant>
        <vt:i4>2031665</vt:i4>
      </vt:variant>
      <vt:variant>
        <vt:i4>107</vt:i4>
      </vt:variant>
      <vt:variant>
        <vt:i4>0</vt:i4>
      </vt:variant>
      <vt:variant>
        <vt:i4>5</vt:i4>
      </vt:variant>
      <vt:variant>
        <vt:lpwstr/>
      </vt:variant>
      <vt:variant>
        <vt:lpwstr>_Toc170403088</vt:lpwstr>
      </vt:variant>
      <vt:variant>
        <vt:i4>2031665</vt:i4>
      </vt:variant>
      <vt:variant>
        <vt:i4>101</vt:i4>
      </vt:variant>
      <vt:variant>
        <vt:i4>0</vt:i4>
      </vt:variant>
      <vt:variant>
        <vt:i4>5</vt:i4>
      </vt:variant>
      <vt:variant>
        <vt:lpwstr/>
      </vt:variant>
      <vt:variant>
        <vt:lpwstr>_Toc170403087</vt:lpwstr>
      </vt:variant>
      <vt:variant>
        <vt:i4>2031665</vt:i4>
      </vt:variant>
      <vt:variant>
        <vt:i4>95</vt:i4>
      </vt:variant>
      <vt:variant>
        <vt:i4>0</vt:i4>
      </vt:variant>
      <vt:variant>
        <vt:i4>5</vt:i4>
      </vt:variant>
      <vt:variant>
        <vt:lpwstr/>
      </vt:variant>
      <vt:variant>
        <vt:lpwstr>_Toc170403086</vt:lpwstr>
      </vt:variant>
      <vt:variant>
        <vt:i4>2031665</vt:i4>
      </vt:variant>
      <vt:variant>
        <vt:i4>89</vt:i4>
      </vt:variant>
      <vt:variant>
        <vt:i4>0</vt:i4>
      </vt:variant>
      <vt:variant>
        <vt:i4>5</vt:i4>
      </vt:variant>
      <vt:variant>
        <vt:lpwstr/>
      </vt:variant>
      <vt:variant>
        <vt:lpwstr>_Toc170403085</vt:lpwstr>
      </vt:variant>
      <vt:variant>
        <vt:i4>2031665</vt:i4>
      </vt:variant>
      <vt:variant>
        <vt:i4>83</vt:i4>
      </vt:variant>
      <vt:variant>
        <vt:i4>0</vt:i4>
      </vt:variant>
      <vt:variant>
        <vt:i4>5</vt:i4>
      </vt:variant>
      <vt:variant>
        <vt:lpwstr/>
      </vt:variant>
      <vt:variant>
        <vt:lpwstr>_Toc170403084</vt:lpwstr>
      </vt:variant>
      <vt:variant>
        <vt:i4>2031665</vt:i4>
      </vt:variant>
      <vt:variant>
        <vt:i4>77</vt:i4>
      </vt:variant>
      <vt:variant>
        <vt:i4>0</vt:i4>
      </vt:variant>
      <vt:variant>
        <vt:i4>5</vt:i4>
      </vt:variant>
      <vt:variant>
        <vt:lpwstr/>
      </vt:variant>
      <vt:variant>
        <vt:lpwstr>_Toc170403083</vt:lpwstr>
      </vt:variant>
      <vt:variant>
        <vt:i4>2031665</vt:i4>
      </vt:variant>
      <vt:variant>
        <vt:i4>71</vt:i4>
      </vt:variant>
      <vt:variant>
        <vt:i4>0</vt:i4>
      </vt:variant>
      <vt:variant>
        <vt:i4>5</vt:i4>
      </vt:variant>
      <vt:variant>
        <vt:lpwstr/>
      </vt:variant>
      <vt:variant>
        <vt:lpwstr>_Toc170403082</vt:lpwstr>
      </vt:variant>
      <vt:variant>
        <vt:i4>2031665</vt:i4>
      </vt:variant>
      <vt:variant>
        <vt:i4>65</vt:i4>
      </vt:variant>
      <vt:variant>
        <vt:i4>0</vt:i4>
      </vt:variant>
      <vt:variant>
        <vt:i4>5</vt:i4>
      </vt:variant>
      <vt:variant>
        <vt:lpwstr/>
      </vt:variant>
      <vt:variant>
        <vt:lpwstr>_Toc170403081</vt:lpwstr>
      </vt:variant>
      <vt:variant>
        <vt:i4>2031665</vt:i4>
      </vt:variant>
      <vt:variant>
        <vt:i4>59</vt:i4>
      </vt:variant>
      <vt:variant>
        <vt:i4>0</vt:i4>
      </vt:variant>
      <vt:variant>
        <vt:i4>5</vt:i4>
      </vt:variant>
      <vt:variant>
        <vt:lpwstr/>
      </vt:variant>
      <vt:variant>
        <vt:lpwstr>_Toc170403080</vt:lpwstr>
      </vt:variant>
      <vt:variant>
        <vt:i4>1048625</vt:i4>
      </vt:variant>
      <vt:variant>
        <vt:i4>53</vt:i4>
      </vt:variant>
      <vt:variant>
        <vt:i4>0</vt:i4>
      </vt:variant>
      <vt:variant>
        <vt:i4>5</vt:i4>
      </vt:variant>
      <vt:variant>
        <vt:lpwstr/>
      </vt:variant>
      <vt:variant>
        <vt:lpwstr>_Toc170403079</vt:lpwstr>
      </vt:variant>
      <vt:variant>
        <vt:i4>1048625</vt:i4>
      </vt:variant>
      <vt:variant>
        <vt:i4>47</vt:i4>
      </vt:variant>
      <vt:variant>
        <vt:i4>0</vt:i4>
      </vt:variant>
      <vt:variant>
        <vt:i4>5</vt:i4>
      </vt:variant>
      <vt:variant>
        <vt:lpwstr/>
      </vt:variant>
      <vt:variant>
        <vt:lpwstr>_Toc170403078</vt:lpwstr>
      </vt:variant>
      <vt:variant>
        <vt:i4>1048625</vt:i4>
      </vt:variant>
      <vt:variant>
        <vt:i4>41</vt:i4>
      </vt:variant>
      <vt:variant>
        <vt:i4>0</vt:i4>
      </vt:variant>
      <vt:variant>
        <vt:i4>5</vt:i4>
      </vt:variant>
      <vt:variant>
        <vt:lpwstr/>
      </vt:variant>
      <vt:variant>
        <vt:lpwstr>_Toc170403077</vt:lpwstr>
      </vt:variant>
      <vt:variant>
        <vt:i4>1048625</vt:i4>
      </vt:variant>
      <vt:variant>
        <vt:i4>35</vt:i4>
      </vt:variant>
      <vt:variant>
        <vt:i4>0</vt:i4>
      </vt:variant>
      <vt:variant>
        <vt:i4>5</vt:i4>
      </vt:variant>
      <vt:variant>
        <vt:lpwstr/>
      </vt:variant>
      <vt:variant>
        <vt:lpwstr>_Toc170403076</vt:lpwstr>
      </vt:variant>
      <vt:variant>
        <vt:i4>1048625</vt:i4>
      </vt:variant>
      <vt:variant>
        <vt:i4>29</vt:i4>
      </vt:variant>
      <vt:variant>
        <vt:i4>0</vt:i4>
      </vt:variant>
      <vt:variant>
        <vt:i4>5</vt:i4>
      </vt:variant>
      <vt:variant>
        <vt:lpwstr/>
      </vt:variant>
      <vt:variant>
        <vt:lpwstr>_Toc170403075</vt:lpwstr>
      </vt:variant>
      <vt:variant>
        <vt:i4>1048625</vt:i4>
      </vt:variant>
      <vt:variant>
        <vt:i4>23</vt:i4>
      </vt:variant>
      <vt:variant>
        <vt:i4>0</vt:i4>
      </vt:variant>
      <vt:variant>
        <vt:i4>5</vt:i4>
      </vt:variant>
      <vt:variant>
        <vt:lpwstr/>
      </vt:variant>
      <vt:variant>
        <vt:lpwstr>_Toc170403074</vt:lpwstr>
      </vt:variant>
      <vt:variant>
        <vt:i4>1048625</vt:i4>
      </vt:variant>
      <vt:variant>
        <vt:i4>17</vt:i4>
      </vt:variant>
      <vt:variant>
        <vt:i4>0</vt:i4>
      </vt:variant>
      <vt:variant>
        <vt:i4>5</vt:i4>
      </vt:variant>
      <vt:variant>
        <vt:lpwstr/>
      </vt:variant>
      <vt:variant>
        <vt:lpwstr>_Toc170403073</vt:lpwstr>
      </vt:variant>
      <vt:variant>
        <vt:i4>1048625</vt:i4>
      </vt:variant>
      <vt:variant>
        <vt:i4>11</vt:i4>
      </vt:variant>
      <vt:variant>
        <vt:i4>0</vt:i4>
      </vt:variant>
      <vt:variant>
        <vt:i4>5</vt:i4>
      </vt:variant>
      <vt:variant>
        <vt:lpwstr/>
      </vt:variant>
      <vt:variant>
        <vt:lpwstr>_Toc170403072</vt:lpwstr>
      </vt:variant>
      <vt:variant>
        <vt:i4>1048625</vt:i4>
      </vt:variant>
      <vt:variant>
        <vt:i4>5</vt:i4>
      </vt:variant>
      <vt:variant>
        <vt:i4>0</vt:i4>
      </vt:variant>
      <vt:variant>
        <vt:i4>5</vt:i4>
      </vt:variant>
      <vt:variant>
        <vt:lpwstr/>
      </vt:variant>
      <vt:variant>
        <vt:lpwstr>_Toc170403071</vt:lpwstr>
      </vt:variant>
      <vt:variant>
        <vt:i4>5177357</vt:i4>
      </vt:variant>
      <vt:variant>
        <vt:i4>0</vt:i4>
      </vt:variant>
      <vt:variant>
        <vt:i4>0</vt:i4>
      </vt:variant>
      <vt:variant>
        <vt:i4>5</vt:i4>
      </vt:variant>
      <vt:variant>
        <vt:lpwstr>https://www.vic.gov.au/victorian-guide-regulation</vt:lpwstr>
      </vt:variant>
      <vt:variant>
        <vt:lpwstr/>
      </vt:variant>
      <vt:variant>
        <vt:i4>5242883</vt:i4>
      </vt:variant>
      <vt:variant>
        <vt:i4>0</vt:i4>
      </vt:variant>
      <vt:variant>
        <vt:i4>0</vt:i4>
      </vt:variant>
      <vt:variant>
        <vt:i4>5</vt:i4>
      </vt:variant>
      <vt:variant>
        <vt:lpwstr>https://www.jstor.org/stable/pdf/j.ctt1q1crtm.21.pdf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Farnsworth (DTF)</dc:creator>
  <cp:keywords/>
  <dc:description/>
  <cp:lastModifiedBy>Paul Bowerman (DTF)</cp:lastModifiedBy>
  <cp:revision>3</cp:revision>
  <cp:lastPrinted>2024-06-28T02:46:00Z</cp:lastPrinted>
  <dcterms:created xsi:type="dcterms:W3CDTF">2024-06-28T00:28:00Z</dcterms:created>
  <dcterms:modified xsi:type="dcterms:W3CDTF">2024-06-28T02:47:00Z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0x010100734778F2B7DF462491FC91844AE431CF00830EEE82CFC37443ABB98788224BC25E</vt:lpwstr>
  </property>
  <property fmtid="{D5CDD505-2E9C-101B-9397-08002B2CF9AE}" pid="3" name="MediaServiceImageTags">
    <vt:lpwstr/>
  </property>
  <property fmtid="{D5CDD505-2E9C-101B-9397-08002B2CF9AE}" pid="4" name="MSIP_Label_7158ebbd-6c5e-441f-bfc9-4eb8c11e3978_Enabled">
    <vt:lpwstr>true</vt:lpwstr>
  </property>
  <property fmtid="{D5CDD505-2E9C-101B-9397-08002B2CF9AE}" pid="5" name="MSIP_Label_7158ebbd-6c5e-441f-bfc9-4eb8c11e3978_SetDate">
    <vt:lpwstr>2023-03-29T12:34:01Z</vt:lpwstr>
  </property>
  <property fmtid="{D5CDD505-2E9C-101B-9397-08002B2CF9AE}" pid="6" name="MSIP_Label_7158ebbd-6c5e-441f-bfc9-4eb8c11e3978_Method">
    <vt:lpwstr>Privileged</vt:lpwstr>
  </property>
  <property fmtid="{D5CDD505-2E9C-101B-9397-08002B2CF9AE}" pid="7" name="MSIP_Label_7158ebbd-6c5e-441f-bfc9-4eb8c11e3978_Name">
    <vt:lpwstr>7158ebbd-6c5e-441f-bfc9-4eb8c11e3978</vt:lpwstr>
  </property>
  <property fmtid="{D5CDD505-2E9C-101B-9397-08002B2CF9AE}" pid="8" name="MSIP_Label_7158ebbd-6c5e-441f-bfc9-4eb8c11e3978_SiteId">
    <vt:lpwstr>722ea0be-3e1c-4b11-ad6f-9401d6856e24</vt:lpwstr>
  </property>
  <property fmtid="{D5CDD505-2E9C-101B-9397-08002B2CF9AE}" pid="9" name="MSIP_Label_7158ebbd-6c5e-441f-bfc9-4eb8c11e3978_ActionId">
    <vt:lpwstr>e7585fdd-1914-442c-a93e-5f64fef46579</vt:lpwstr>
  </property>
  <property fmtid="{D5CDD505-2E9C-101B-9397-08002B2CF9AE}" pid="10" name="MSIP_Label_7158ebbd-6c5e-441f-bfc9-4eb8c11e3978_ContentBits">
    <vt:lpwstr>2</vt:lpwstr>
  </property>
  <property fmtid="{D5CDD505-2E9C-101B-9397-08002B2CF9AE}" pid="11" name="Status">
    <vt:lpwstr>Unallocated</vt:lpwstr>
  </property>
  <property fmtid="{D5CDD505-2E9C-101B-9397-08002B2CF9AE}" pid="12" name="GrammarlyDocumentId">
    <vt:lpwstr>83335a9611365a4b4c386b9bcc24298587c483994430ada9ba26488c92b144b6</vt:lpwstr>
  </property>
</Properties>
</file>