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A733" w14:textId="77777777" w:rsidR="00015C1F" w:rsidRDefault="00015C1F" w:rsidP="00015C1F">
      <w:pPr>
        <w:pStyle w:val="Title"/>
      </w:pPr>
      <w:r w:rsidRPr="00015C1F">
        <w:t>Victoria’s Bushfire Monitoring, Evaluation and Reporting Framework 2024-2034</w:t>
      </w:r>
    </w:p>
    <w:p w14:paraId="690DACD9" w14:textId="77777777" w:rsidR="00015C1F" w:rsidRPr="00015C1F" w:rsidRDefault="00015C1F" w:rsidP="00015C1F">
      <w:pPr>
        <w:rPr>
          <w:lang w:val="en-US"/>
        </w:rPr>
      </w:pPr>
      <w:r w:rsidRPr="00015C1F">
        <w:rPr>
          <w:lang w:val="en-US"/>
        </w:rPr>
        <w:t>We acknowledge and respect Victorian Traditional Owners as the original custodians of Victoria’s land and waters, their unique ability to care for Country and deep spiritual connection to it.</w:t>
      </w:r>
    </w:p>
    <w:p w14:paraId="4CACE60F" w14:textId="77777777" w:rsidR="00015C1F" w:rsidRPr="00015C1F" w:rsidRDefault="00015C1F" w:rsidP="00015C1F">
      <w:pPr>
        <w:rPr>
          <w:lang w:val="en-US"/>
        </w:rPr>
      </w:pPr>
      <w:r w:rsidRPr="00015C1F">
        <w:rPr>
          <w:lang w:val="en-US"/>
        </w:rPr>
        <w:t xml:space="preserve">We </w:t>
      </w:r>
      <w:proofErr w:type="spellStart"/>
      <w:r w:rsidRPr="00015C1F">
        <w:rPr>
          <w:lang w:val="en-US"/>
        </w:rPr>
        <w:t>honour</w:t>
      </w:r>
      <w:proofErr w:type="spellEnd"/>
      <w:r w:rsidRPr="00015C1F">
        <w:rPr>
          <w:lang w:val="en-US"/>
        </w:rPr>
        <w:t xml:space="preserve"> Elders past and present whose knowledge and wisdom have ensured the continuation of culture and traditional practices.</w:t>
      </w:r>
    </w:p>
    <w:p w14:paraId="4C540431" w14:textId="2002B680" w:rsidR="00562A68" w:rsidRDefault="00015C1F" w:rsidP="00015C1F">
      <w:r w:rsidRPr="00015C1F">
        <w:rPr>
          <w:lang w:val="en-US"/>
        </w:rPr>
        <w:t>DEECA is committed to genuinely partnering with Victorian Traditional Owners and Victoria’s Aboriginal community to progress their aspirations.</w:t>
      </w:r>
      <w:r w:rsidR="00562A68" w:rsidRPr="00015C1F">
        <w:t xml:space="preserve"> </w:t>
      </w:r>
    </w:p>
    <w:p w14:paraId="1AB2BEA5" w14:textId="26B01079" w:rsidR="00015C1F" w:rsidRPr="00015C1F" w:rsidRDefault="00015C1F" w:rsidP="00015C1F">
      <w:pPr>
        <w:rPr>
          <w:lang w:val="en-US"/>
        </w:rPr>
      </w:pPr>
      <w:r w:rsidRPr="00015C1F">
        <w:rPr>
          <w:lang w:val="en-US"/>
        </w:rPr>
        <w:t xml:space="preserve">© The State of Victoria Department of Energy, Environment and Climate Action </w:t>
      </w:r>
      <w:r w:rsidR="004F5AD5">
        <w:rPr>
          <w:lang w:val="en-US"/>
        </w:rPr>
        <w:t>Ma</w:t>
      </w:r>
      <w:r w:rsidRPr="00015C1F">
        <w:rPr>
          <w:lang w:val="en-US"/>
        </w:rPr>
        <w:t>y 2024.</w:t>
      </w:r>
    </w:p>
    <w:p w14:paraId="564878BC" w14:textId="77777777" w:rsidR="00015C1F" w:rsidRPr="00015C1F" w:rsidRDefault="00015C1F" w:rsidP="00015C1F">
      <w:pPr>
        <w:pStyle w:val="Heading1"/>
        <w:rPr>
          <w:lang w:val="en-US"/>
        </w:rPr>
      </w:pPr>
      <w:bookmarkStart w:id="0" w:name="_Toc166680776"/>
      <w:r w:rsidRPr="00015C1F">
        <w:rPr>
          <w:lang w:val="en-US"/>
        </w:rPr>
        <w:t>Creative Commons</w:t>
      </w:r>
      <w:bookmarkEnd w:id="0"/>
    </w:p>
    <w:p w14:paraId="354CB85D" w14:textId="77777777" w:rsidR="00015C1F" w:rsidRPr="00015C1F" w:rsidRDefault="00015C1F" w:rsidP="00015C1F">
      <w:pPr>
        <w:rPr>
          <w:lang w:val="en-US"/>
        </w:rPr>
      </w:pPr>
      <w:r w:rsidRPr="00015C1F">
        <w:rPr>
          <w:lang w:val="en-US"/>
        </w:rPr>
        <w:t xml:space="preserve">This work is licensed under a Creative Commons Attribution 4.0 International </w:t>
      </w:r>
      <w:proofErr w:type="spellStart"/>
      <w:r w:rsidRPr="00015C1F">
        <w:rPr>
          <w:lang w:val="en-US"/>
        </w:rPr>
        <w:t>licence</w:t>
      </w:r>
      <w:proofErr w:type="spellEnd"/>
      <w:r w:rsidRPr="00015C1F">
        <w:rPr>
          <w:lang w:val="en-US"/>
        </w:rPr>
        <w:t>, visit the Creative Commons website (</w:t>
      </w:r>
      <w:r w:rsidRPr="00015C1F">
        <w:rPr>
          <w:rStyle w:val="Hyperlink"/>
          <w:lang w:val="en-US"/>
        </w:rPr>
        <w:t>http://creativecommons.org/licenses/by/4.0/</w:t>
      </w:r>
      <w:r w:rsidRPr="00015C1F">
        <w:rPr>
          <w:lang w:val="en-US"/>
        </w:rPr>
        <w:t>).</w:t>
      </w:r>
    </w:p>
    <w:p w14:paraId="5B49891F" w14:textId="77777777" w:rsidR="00015C1F" w:rsidRPr="00015C1F" w:rsidRDefault="00015C1F" w:rsidP="00015C1F">
      <w:pPr>
        <w:rPr>
          <w:lang w:val="en-US"/>
        </w:rPr>
      </w:pPr>
      <w:r w:rsidRPr="00015C1F">
        <w:rPr>
          <w:lang w:val="en-US"/>
        </w:rPr>
        <w:t xml:space="preserve">You are free to re-use the work under that </w:t>
      </w:r>
      <w:proofErr w:type="spellStart"/>
      <w:r w:rsidRPr="00015C1F">
        <w:rPr>
          <w:lang w:val="en-US"/>
        </w:rPr>
        <w:t>licence</w:t>
      </w:r>
      <w:proofErr w:type="spellEnd"/>
      <w:r w:rsidRPr="00015C1F">
        <w:rPr>
          <w:lang w:val="en-US"/>
        </w:rPr>
        <w:t xml:space="preserve">, on the condition that you credit the State of Victoria as author. The </w:t>
      </w:r>
      <w:proofErr w:type="spellStart"/>
      <w:r w:rsidRPr="00015C1F">
        <w:rPr>
          <w:lang w:val="en-US"/>
        </w:rPr>
        <w:t>licence</w:t>
      </w:r>
      <w:proofErr w:type="spellEnd"/>
      <w:r w:rsidRPr="00015C1F">
        <w:rPr>
          <w:lang w:val="en-US"/>
        </w:rPr>
        <w:t xml:space="preserve"> does not apply to any images, photographs or branding, including the Victorian Coat of Arms, and the Victorian Government and Department logos.</w:t>
      </w:r>
    </w:p>
    <w:p w14:paraId="2F1E5316" w14:textId="77777777" w:rsidR="00015C1F" w:rsidRPr="00015C1F" w:rsidRDefault="00015C1F" w:rsidP="00015C1F">
      <w:pPr>
        <w:rPr>
          <w:b/>
          <w:bCs/>
          <w:lang w:val="en-US"/>
        </w:rPr>
      </w:pPr>
      <w:r w:rsidRPr="00015C1F">
        <w:rPr>
          <w:b/>
          <w:bCs/>
          <w:lang w:val="en-US"/>
        </w:rPr>
        <w:t xml:space="preserve">Printed by </w:t>
      </w:r>
      <w:proofErr w:type="spellStart"/>
      <w:r w:rsidRPr="00015C1F">
        <w:rPr>
          <w:b/>
          <w:bCs/>
          <w:lang w:val="en-US"/>
        </w:rPr>
        <w:t>smo</w:t>
      </w:r>
      <w:proofErr w:type="spellEnd"/>
    </w:p>
    <w:p w14:paraId="39665141" w14:textId="77777777" w:rsidR="00015C1F" w:rsidRPr="00015C1F" w:rsidRDefault="00015C1F" w:rsidP="00015C1F">
      <w:pPr>
        <w:rPr>
          <w:lang w:val="en-US"/>
        </w:rPr>
      </w:pPr>
      <w:r w:rsidRPr="00015C1F">
        <w:rPr>
          <w:b/>
          <w:bCs/>
          <w:lang w:val="en-US"/>
        </w:rPr>
        <w:t>ISBN</w:t>
      </w:r>
      <w:r w:rsidRPr="00015C1F">
        <w:rPr>
          <w:lang w:val="en-US"/>
        </w:rPr>
        <w:t xml:space="preserve"> 978-1-76136-529-4</w:t>
      </w:r>
      <w:r w:rsidRPr="00015C1F">
        <w:rPr>
          <w:b/>
          <w:bCs/>
          <w:lang w:val="en-US"/>
        </w:rPr>
        <w:t xml:space="preserve"> (pdf/online/MS word)</w:t>
      </w:r>
      <w:r w:rsidRPr="00015C1F">
        <w:rPr>
          <w:lang w:val="en-US"/>
        </w:rPr>
        <w:t xml:space="preserve"> </w:t>
      </w:r>
    </w:p>
    <w:p w14:paraId="2547F16C" w14:textId="77777777" w:rsidR="00015C1F" w:rsidRPr="00015C1F" w:rsidRDefault="00015C1F" w:rsidP="00015C1F">
      <w:pPr>
        <w:pStyle w:val="Heading1"/>
        <w:rPr>
          <w:lang w:val="en-US"/>
        </w:rPr>
      </w:pPr>
      <w:bookmarkStart w:id="1" w:name="_Toc166680777"/>
      <w:r w:rsidRPr="00015C1F">
        <w:rPr>
          <w:lang w:val="en-US"/>
        </w:rPr>
        <w:t>Disclaimer</w:t>
      </w:r>
      <w:bookmarkEnd w:id="1"/>
    </w:p>
    <w:p w14:paraId="540588A9" w14:textId="77777777" w:rsidR="00015C1F" w:rsidRPr="00015C1F" w:rsidRDefault="00015C1F" w:rsidP="00015C1F">
      <w:pPr>
        <w:rPr>
          <w:lang w:val="en-US"/>
        </w:rPr>
      </w:pPr>
      <w:r w:rsidRPr="00015C1F">
        <w:rPr>
          <w:lang w:val="en-US"/>
        </w:rPr>
        <w:t xml:space="preserve">This publication may be of assistance to </w:t>
      </w:r>
      <w:proofErr w:type="gramStart"/>
      <w:r w:rsidRPr="00015C1F">
        <w:rPr>
          <w:lang w:val="en-US"/>
        </w:rPr>
        <w:t>you</w:t>
      </w:r>
      <w:proofErr w:type="gramEnd"/>
      <w:r w:rsidRPr="00015C1F">
        <w:rPr>
          <w:lang w:val="en-US"/>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3589FB9" w14:textId="77777777" w:rsidR="00015C1F" w:rsidRPr="00015C1F" w:rsidRDefault="00015C1F" w:rsidP="00015C1F">
      <w:pPr>
        <w:pStyle w:val="Heading1"/>
      </w:pPr>
      <w:bookmarkStart w:id="2" w:name="_Toc166680778"/>
      <w:r w:rsidRPr="00015C1F">
        <w:rPr>
          <w:lang w:val="en-US"/>
        </w:rPr>
        <w:lastRenderedPageBreak/>
        <w:t>Accessibility</w:t>
      </w:r>
      <w:bookmarkEnd w:id="2"/>
    </w:p>
    <w:p w14:paraId="3D01C094" w14:textId="255335A3" w:rsidR="00015C1F" w:rsidRDefault="00015C1F" w:rsidP="00015C1F">
      <w:pPr>
        <w:rPr>
          <w:lang w:val="en-US"/>
        </w:rPr>
      </w:pPr>
      <w:r w:rsidRPr="00015C1F">
        <w:rPr>
          <w:lang w:val="en-US"/>
        </w:rPr>
        <w:t xml:space="preserve">To receive this document in an alternative format, phone the Customer Service Centre on 136 186, email </w:t>
      </w:r>
      <w:r w:rsidRPr="00015C1F">
        <w:rPr>
          <w:rStyle w:val="Hyperlink"/>
          <w:lang w:val="en-US"/>
        </w:rPr>
        <w:t>customer.service@delwp.vic.gov.au</w:t>
      </w:r>
      <w:r w:rsidRPr="00015C1F">
        <w:rPr>
          <w:lang w:val="en-US"/>
        </w:rPr>
        <w:t>, or contact National Relay Service on 133 677. Available at DEECA website (</w:t>
      </w:r>
      <w:r w:rsidRPr="00015C1F">
        <w:rPr>
          <w:rStyle w:val="Hyperlink"/>
          <w:lang w:val="en-US"/>
        </w:rPr>
        <w:t>www.deeca.vic.gov.au</w:t>
      </w:r>
      <w:r w:rsidRPr="00015C1F">
        <w:rPr>
          <w:lang w:val="en-US"/>
        </w:rPr>
        <w:t xml:space="preserve">). </w:t>
      </w:r>
    </w:p>
    <w:p w14:paraId="10D3BA38" w14:textId="493EFAE9" w:rsidR="00015C1F" w:rsidRDefault="00015C1F" w:rsidP="00015C1F">
      <w:pPr>
        <w:pStyle w:val="Heading1"/>
        <w:rPr>
          <w:lang w:val="en-US"/>
        </w:rPr>
      </w:pPr>
      <w:bookmarkStart w:id="3" w:name="_Toc166680779"/>
      <w:r>
        <w:rPr>
          <w:lang w:val="en-US"/>
        </w:rPr>
        <w:t>Contents</w:t>
      </w:r>
      <w:bookmarkEnd w:id="3"/>
    </w:p>
    <w:p w14:paraId="624C64ED" w14:textId="6E83F8AD" w:rsidR="00CD46A6" w:rsidRDefault="00CD46A6" w:rsidP="00CD46A6">
      <w:pPr>
        <w:pStyle w:val="TOC1"/>
        <w:tabs>
          <w:tab w:val="right" w:leader="dot" w:pos="9016"/>
        </w:tabs>
        <w:rPr>
          <w:noProof/>
          <w:lang w:val="en-AU"/>
        </w:rPr>
      </w:pPr>
      <w:r>
        <w:fldChar w:fldCharType="begin"/>
      </w:r>
      <w:r>
        <w:instrText xml:space="preserve"> TOC \o "1-2" \h \z \u </w:instrText>
      </w:r>
      <w:r>
        <w:fldChar w:fldCharType="separate"/>
      </w:r>
      <w:hyperlink w:anchor="_Toc166680780" w:history="1">
        <w:r w:rsidRPr="007A5CEA">
          <w:rPr>
            <w:rStyle w:val="Hyperlink"/>
            <w:noProof/>
          </w:rPr>
          <w:t>Definitions</w:t>
        </w:r>
        <w:r>
          <w:rPr>
            <w:noProof/>
            <w:webHidden/>
          </w:rPr>
          <w:tab/>
        </w:r>
        <w:r>
          <w:rPr>
            <w:noProof/>
            <w:webHidden/>
          </w:rPr>
          <w:fldChar w:fldCharType="begin"/>
        </w:r>
        <w:r>
          <w:rPr>
            <w:noProof/>
            <w:webHidden/>
          </w:rPr>
          <w:instrText xml:space="preserve"> PAGEREF _Toc166680780 \h </w:instrText>
        </w:r>
        <w:r>
          <w:rPr>
            <w:noProof/>
            <w:webHidden/>
          </w:rPr>
        </w:r>
        <w:r>
          <w:rPr>
            <w:noProof/>
            <w:webHidden/>
          </w:rPr>
          <w:fldChar w:fldCharType="separate"/>
        </w:r>
        <w:r w:rsidR="007523A8">
          <w:rPr>
            <w:noProof/>
            <w:webHidden/>
          </w:rPr>
          <w:t>3</w:t>
        </w:r>
        <w:r>
          <w:rPr>
            <w:noProof/>
            <w:webHidden/>
          </w:rPr>
          <w:fldChar w:fldCharType="end"/>
        </w:r>
      </w:hyperlink>
    </w:p>
    <w:p w14:paraId="27C8B456" w14:textId="7C602E31" w:rsidR="00CD46A6" w:rsidRDefault="00000000">
      <w:pPr>
        <w:pStyle w:val="TOC1"/>
        <w:tabs>
          <w:tab w:val="right" w:leader="dot" w:pos="9016"/>
        </w:tabs>
        <w:rPr>
          <w:noProof/>
          <w:lang w:val="en-AU"/>
        </w:rPr>
      </w:pPr>
      <w:hyperlink w:anchor="_Toc166680781" w:history="1">
        <w:r w:rsidR="00CD46A6" w:rsidRPr="007A5CEA">
          <w:rPr>
            <w:rStyle w:val="Hyperlink"/>
            <w:noProof/>
          </w:rPr>
          <w:t>Executive summary</w:t>
        </w:r>
        <w:r w:rsidR="00CD46A6">
          <w:rPr>
            <w:noProof/>
            <w:webHidden/>
          </w:rPr>
          <w:tab/>
        </w:r>
        <w:r w:rsidR="00CD46A6">
          <w:rPr>
            <w:noProof/>
            <w:webHidden/>
          </w:rPr>
          <w:fldChar w:fldCharType="begin"/>
        </w:r>
        <w:r w:rsidR="00CD46A6">
          <w:rPr>
            <w:noProof/>
            <w:webHidden/>
          </w:rPr>
          <w:instrText xml:space="preserve"> PAGEREF _Toc166680781 \h </w:instrText>
        </w:r>
        <w:r w:rsidR="00CD46A6">
          <w:rPr>
            <w:noProof/>
            <w:webHidden/>
          </w:rPr>
        </w:r>
        <w:r w:rsidR="00CD46A6">
          <w:rPr>
            <w:noProof/>
            <w:webHidden/>
          </w:rPr>
          <w:fldChar w:fldCharType="separate"/>
        </w:r>
        <w:r w:rsidR="007523A8">
          <w:rPr>
            <w:noProof/>
            <w:webHidden/>
          </w:rPr>
          <w:t>6</w:t>
        </w:r>
        <w:r w:rsidR="00CD46A6">
          <w:rPr>
            <w:noProof/>
            <w:webHidden/>
          </w:rPr>
          <w:fldChar w:fldCharType="end"/>
        </w:r>
      </w:hyperlink>
    </w:p>
    <w:p w14:paraId="59BB11B8" w14:textId="381F2E87" w:rsidR="00CD46A6" w:rsidRDefault="00000000">
      <w:pPr>
        <w:pStyle w:val="TOC1"/>
        <w:tabs>
          <w:tab w:val="left" w:pos="480"/>
          <w:tab w:val="right" w:leader="dot" w:pos="9016"/>
        </w:tabs>
        <w:rPr>
          <w:noProof/>
          <w:lang w:val="en-AU"/>
        </w:rPr>
      </w:pPr>
      <w:hyperlink w:anchor="_Toc166680782" w:history="1">
        <w:r w:rsidR="00CD46A6" w:rsidRPr="007A5CEA">
          <w:rPr>
            <w:rStyle w:val="Hyperlink"/>
            <w:noProof/>
          </w:rPr>
          <w:t>1.</w:t>
        </w:r>
        <w:r w:rsidR="00CD46A6">
          <w:rPr>
            <w:noProof/>
            <w:lang w:val="en-AU"/>
          </w:rPr>
          <w:tab/>
        </w:r>
        <w:r w:rsidR="00CD46A6" w:rsidRPr="007A5CEA">
          <w:rPr>
            <w:rStyle w:val="Hyperlink"/>
            <w:noProof/>
          </w:rPr>
          <w:t>Introduction</w:t>
        </w:r>
        <w:r w:rsidR="00CD46A6">
          <w:rPr>
            <w:noProof/>
            <w:webHidden/>
          </w:rPr>
          <w:tab/>
        </w:r>
        <w:r w:rsidR="00CD46A6">
          <w:rPr>
            <w:noProof/>
            <w:webHidden/>
          </w:rPr>
          <w:fldChar w:fldCharType="begin"/>
        </w:r>
        <w:r w:rsidR="00CD46A6">
          <w:rPr>
            <w:noProof/>
            <w:webHidden/>
          </w:rPr>
          <w:instrText xml:space="preserve"> PAGEREF _Toc166680782 \h </w:instrText>
        </w:r>
        <w:r w:rsidR="00CD46A6">
          <w:rPr>
            <w:noProof/>
            <w:webHidden/>
          </w:rPr>
        </w:r>
        <w:r w:rsidR="00CD46A6">
          <w:rPr>
            <w:noProof/>
            <w:webHidden/>
          </w:rPr>
          <w:fldChar w:fldCharType="separate"/>
        </w:r>
        <w:r w:rsidR="007523A8">
          <w:rPr>
            <w:noProof/>
            <w:webHidden/>
          </w:rPr>
          <w:t>8</w:t>
        </w:r>
        <w:r w:rsidR="00CD46A6">
          <w:rPr>
            <w:noProof/>
            <w:webHidden/>
          </w:rPr>
          <w:fldChar w:fldCharType="end"/>
        </w:r>
      </w:hyperlink>
    </w:p>
    <w:p w14:paraId="78A3AECF" w14:textId="079D784E" w:rsidR="00CD46A6" w:rsidRDefault="00000000">
      <w:pPr>
        <w:pStyle w:val="TOC2"/>
        <w:tabs>
          <w:tab w:val="left" w:pos="960"/>
          <w:tab w:val="right" w:leader="dot" w:pos="9016"/>
        </w:tabs>
        <w:rPr>
          <w:noProof/>
          <w:lang w:val="en-AU"/>
        </w:rPr>
      </w:pPr>
      <w:hyperlink w:anchor="_Toc166680783" w:history="1">
        <w:r w:rsidR="00CD46A6" w:rsidRPr="007A5CEA">
          <w:rPr>
            <w:rStyle w:val="Hyperlink"/>
            <w:noProof/>
          </w:rPr>
          <w:t>1.1.</w:t>
        </w:r>
        <w:r w:rsidR="00CD46A6">
          <w:rPr>
            <w:noProof/>
            <w:lang w:val="en-AU"/>
          </w:rPr>
          <w:tab/>
        </w:r>
        <w:r w:rsidR="00CD46A6" w:rsidRPr="007A5CEA">
          <w:rPr>
            <w:rStyle w:val="Hyperlink"/>
            <w:noProof/>
          </w:rPr>
          <w:t>Audience</w:t>
        </w:r>
        <w:r w:rsidR="00CD46A6">
          <w:rPr>
            <w:noProof/>
            <w:webHidden/>
          </w:rPr>
          <w:tab/>
        </w:r>
        <w:r w:rsidR="00CD46A6">
          <w:rPr>
            <w:noProof/>
            <w:webHidden/>
          </w:rPr>
          <w:fldChar w:fldCharType="begin"/>
        </w:r>
        <w:r w:rsidR="00CD46A6">
          <w:rPr>
            <w:noProof/>
            <w:webHidden/>
          </w:rPr>
          <w:instrText xml:space="preserve"> PAGEREF _Toc166680783 \h </w:instrText>
        </w:r>
        <w:r w:rsidR="00CD46A6">
          <w:rPr>
            <w:noProof/>
            <w:webHidden/>
          </w:rPr>
        </w:r>
        <w:r w:rsidR="00CD46A6">
          <w:rPr>
            <w:noProof/>
            <w:webHidden/>
          </w:rPr>
          <w:fldChar w:fldCharType="separate"/>
        </w:r>
        <w:r w:rsidR="007523A8">
          <w:rPr>
            <w:noProof/>
            <w:webHidden/>
          </w:rPr>
          <w:t>9</w:t>
        </w:r>
        <w:r w:rsidR="00CD46A6">
          <w:rPr>
            <w:noProof/>
            <w:webHidden/>
          </w:rPr>
          <w:fldChar w:fldCharType="end"/>
        </w:r>
      </w:hyperlink>
    </w:p>
    <w:p w14:paraId="3A763BC7" w14:textId="1B6A8090" w:rsidR="00CD46A6" w:rsidRDefault="00000000">
      <w:pPr>
        <w:pStyle w:val="TOC2"/>
        <w:tabs>
          <w:tab w:val="left" w:pos="960"/>
          <w:tab w:val="right" w:leader="dot" w:pos="9016"/>
        </w:tabs>
        <w:rPr>
          <w:noProof/>
          <w:lang w:val="en-AU"/>
        </w:rPr>
      </w:pPr>
      <w:hyperlink w:anchor="_Toc166680784" w:history="1">
        <w:r w:rsidR="00CD46A6" w:rsidRPr="007A5CEA">
          <w:rPr>
            <w:rStyle w:val="Hyperlink"/>
            <w:noProof/>
          </w:rPr>
          <w:t>1.2.</w:t>
        </w:r>
        <w:r w:rsidR="00CD46A6">
          <w:rPr>
            <w:noProof/>
            <w:lang w:val="en-AU"/>
          </w:rPr>
          <w:tab/>
        </w:r>
        <w:r w:rsidR="00CD46A6" w:rsidRPr="007A5CEA">
          <w:rPr>
            <w:rStyle w:val="Hyperlink"/>
            <w:noProof/>
          </w:rPr>
          <w:t>Context</w:t>
        </w:r>
        <w:r w:rsidR="00CD46A6">
          <w:rPr>
            <w:noProof/>
            <w:webHidden/>
          </w:rPr>
          <w:tab/>
        </w:r>
        <w:r w:rsidR="00CD46A6">
          <w:rPr>
            <w:noProof/>
            <w:webHidden/>
          </w:rPr>
          <w:fldChar w:fldCharType="begin"/>
        </w:r>
        <w:r w:rsidR="00CD46A6">
          <w:rPr>
            <w:noProof/>
            <w:webHidden/>
          </w:rPr>
          <w:instrText xml:space="preserve"> PAGEREF _Toc166680784 \h </w:instrText>
        </w:r>
        <w:r w:rsidR="00CD46A6">
          <w:rPr>
            <w:noProof/>
            <w:webHidden/>
          </w:rPr>
        </w:r>
        <w:r w:rsidR="00CD46A6">
          <w:rPr>
            <w:noProof/>
            <w:webHidden/>
          </w:rPr>
          <w:fldChar w:fldCharType="separate"/>
        </w:r>
        <w:r w:rsidR="007523A8">
          <w:rPr>
            <w:noProof/>
            <w:webHidden/>
          </w:rPr>
          <w:t>10</w:t>
        </w:r>
        <w:r w:rsidR="00CD46A6">
          <w:rPr>
            <w:noProof/>
            <w:webHidden/>
          </w:rPr>
          <w:fldChar w:fldCharType="end"/>
        </w:r>
      </w:hyperlink>
    </w:p>
    <w:p w14:paraId="64E00F71" w14:textId="3B5964DA" w:rsidR="00CD46A6" w:rsidRDefault="00000000">
      <w:pPr>
        <w:pStyle w:val="TOC1"/>
        <w:tabs>
          <w:tab w:val="left" w:pos="480"/>
          <w:tab w:val="right" w:leader="dot" w:pos="9016"/>
        </w:tabs>
        <w:rPr>
          <w:noProof/>
          <w:lang w:val="en-AU"/>
        </w:rPr>
      </w:pPr>
      <w:hyperlink w:anchor="_Toc166680785" w:history="1">
        <w:r w:rsidR="00CD46A6" w:rsidRPr="007A5CEA">
          <w:rPr>
            <w:rStyle w:val="Hyperlink"/>
            <w:noProof/>
          </w:rPr>
          <w:t>2.</w:t>
        </w:r>
        <w:r w:rsidR="00CD46A6">
          <w:rPr>
            <w:noProof/>
            <w:lang w:val="en-AU"/>
          </w:rPr>
          <w:tab/>
        </w:r>
        <w:r w:rsidR="00CD46A6" w:rsidRPr="007A5CEA">
          <w:rPr>
            <w:rStyle w:val="Hyperlink"/>
            <w:noProof/>
          </w:rPr>
          <w:t>Scope</w:t>
        </w:r>
        <w:r w:rsidR="00CD46A6">
          <w:rPr>
            <w:noProof/>
            <w:webHidden/>
          </w:rPr>
          <w:tab/>
        </w:r>
        <w:r w:rsidR="00CD46A6">
          <w:rPr>
            <w:noProof/>
            <w:webHidden/>
          </w:rPr>
          <w:fldChar w:fldCharType="begin"/>
        </w:r>
        <w:r w:rsidR="00CD46A6">
          <w:rPr>
            <w:noProof/>
            <w:webHidden/>
          </w:rPr>
          <w:instrText xml:space="preserve"> PAGEREF _Toc166680785 \h </w:instrText>
        </w:r>
        <w:r w:rsidR="00CD46A6">
          <w:rPr>
            <w:noProof/>
            <w:webHidden/>
          </w:rPr>
        </w:r>
        <w:r w:rsidR="00CD46A6">
          <w:rPr>
            <w:noProof/>
            <w:webHidden/>
          </w:rPr>
          <w:fldChar w:fldCharType="separate"/>
        </w:r>
        <w:r w:rsidR="007523A8">
          <w:rPr>
            <w:noProof/>
            <w:webHidden/>
          </w:rPr>
          <w:t>13</w:t>
        </w:r>
        <w:r w:rsidR="00CD46A6">
          <w:rPr>
            <w:noProof/>
            <w:webHidden/>
          </w:rPr>
          <w:fldChar w:fldCharType="end"/>
        </w:r>
      </w:hyperlink>
    </w:p>
    <w:p w14:paraId="02BD4D34" w14:textId="61EAA8C6" w:rsidR="00CD46A6" w:rsidRDefault="00000000">
      <w:pPr>
        <w:pStyle w:val="TOC2"/>
        <w:tabs>
          <w:tab w:val="left" w:pos="960"/>
          <w:tab w:val="right" w:leader="dot" w:pos="9016"/>
        </w:tabs>
        <w:rPr>
          <w:noProof/>
          <w:lang w:val="en-AU"/>
        </w:rPr>
      </w:pPr>
      <w:hyperlink w:anchor="_Toc166680786" w:history="1">
        <w:r w:rsidR="00CD46A6" w:rsidRPr="007A5CEA">
          <w:rPr>
            <w:rStyle w:val="Hyperlink"/>
            <w:noProof/>
          </w:rPr>
          <w:t>2.1.</w:t>
        </w:r>
        <w:r w:rsidR="00CD46A6">
          <w:rPr>
            <w:noProof/>
            <w:lang w:val="en-AU"/>
          </w:rPr>
          <w:tab/>
        </w:r>
        <w:r w:rsidR="00CD46A6" w:rsidRPr="007A5CEA">
          <w:rPr>
            <w:rStyle w:val="Hyperlink"/>
            <w:noProof/>
          </w:rPr>
          <w:t>Objectives of the Framework</w:t>
        </w:r>
        <w:r w:rsidR="00CD46A6">
          <w:rPr>
            <w:noProof/>
            <w:webHidden/>
          </w:rPr>
          <w:tab/>
        </w:r>
        <w:r w:rsidR="00CD46A6">
          <w:rPr>
            <w:noProof/>
            <w:webHidden/>
          </w:rPr>
          <w:fldChar w:fldCharType="begin"/>
        </w:r>
        <w:r w:rsidR="00CD46A6">
          <w:rPr>
            <w:noProof/>
            <w:webHidden/>
          </w:rPr>
          <w:instrText xml:space="preserve"> PAGEREF _Toc166680786 \h </w:instrText>
        </w:r>
        <w:r w:rsidR="00CD46A6">
          <w:rPr>
            <w:noProof/>
            <w:webHidden/>
          </w:rPr>
        </w:r>
        <w:r w:rsidR="00CD46A6">
          <w:rPr>
            <w:noProof/>
            <w:webHidden/>
          </w:rPr>
          <w:fldChar w:fldCharType="separate"/>
        </w:r>
        <w:r w:rsidR="007523A8">
          <w:rPr>
            <w:noProof/>
            <w:webHidden/>
          </w:rPr>
          <w:t>13</w:t>
        </w:r>
        <w:r w:rsidR="00CD46A6">
          <w:rPr>
            <w:noProof/>
            <w:webHidden/>
          </w:rPr>
          <w:fldChar w:fldCharType="end"/>
        </w:r>
      </w:hyperlink>
    </w:p>
    <w:p w14:paraId="33476DA0" w14:textId="25C8E193" w:rsidR="00CD46A6" w:rsidRDefault="00000000">
      <w:pPr>
        <w:pStyle w:val="TOC2"/>
        <w:tabs>
          <w:tab w:val="left" w:pos="960"/>
          <w:tab w:val="right" w:leader="dot" w:pos="9016"/>
        </w:tabs>
        <w:rPr>
          <w:noProof/>
          <w:lang w:val="en-AU"/>
        </w:rPr>
      </w:pPr>
      <w:hyperlink w:anchor="_Toc166680787" w:history="1">
        <w:r w:rsidR="00CD46A6" w:rsidRPr="007A5CEA">
          <w:rPr>
            <w:rStyle w:val="Hyperlink"/>
            <w:noProof/>
          </w:rPr>
          <w:t>2.2.</w:t>
        </w:r>
        <w:r w:rsidR="00CD46A6">
          <w:rPr>
            <w:noProof/>
            <w:lang w:val="en-AU"/>
          </w:rPr>
          <w:tab/>
        </w:r>
        <w:r w:rsidR="00CD46A6" w:rsidRPr="007A5CEA">
          <w:rPr>
            <w:rStyle w:val="Hyperlink"/>
            <w:noProof/>
          </w:rPr>
          <w:t>Framework principles</w:t>
        </w:r>
        <w:r w:rsidR="00CD46A6">
          <w:rPr>
            <w:noProof/>
            <w:webHidden/>
          </w:rPr>
          <w:tab/>
        </w:r>
        <w:r w:rsidR="00CD46A6">
          <w:rPr>
            <w:noProof/>
            <w:webHidden/>
          </w:rPr>
          <w:fldChar w:fldCharType="begin"/>
        </w:r>
        <w:r w:rsidR="00CD46A6">
          <w:rPr>
            <w:noProof/>
            <w:webHidden/>
          </w:rPr>
          <w:instrText xml:space="preserve"> PAGEREF _Toc166680787 \h </w:instrText>
        </w:r>
        <w:r w:rsidR="00CD46A6">
          <w:rPr>
            <w:noProof/>
            <w:webHidden/>
          </w:rPr>
        </w:r>
        <w:r w:rsidR="00CD46A6">
          <w:rPr>
            <w:noProof/>
            <w:webHidden/>
          </w:rPr>
          <w:fldChar w:fldCharType="separate"/>
        </w:r>
        <w:r w:rsidR="007523A8">
          <w:rPr>
            <w:noProof/>
            <w:webHidden/>
          </w:rPr>
          <w:t>16</w:t>
        </w:r>
        <w:r w:rsidR="00CD46A6">
          <w:rPr>
            <w:noProof/>
            <w:webHidden/>
          </w:rPr>
          <w:fldChar w:fldCharType="end"/>
        </w:r>
      </w:hyperlink>
    </w:p>
    <w:p w14:paraId="564573A2" w14:textId="503771C7" w:rsidR="00CD46A6" w:rsidRDefault="00000000">
      <w:pPr>
        <w:pStyle w:val="TOC2"/>
        <w:tabs>
          <w:tab w:val="left" w:pos="960"/>
          <w:tab w:val="right" w:leader="dot" w:pos="9016"/>
        </w:tabs>
        <w:rPr>
          <w:noProof/>
          <w:lang w:val="en-AU"/>
        </w:rPr>
      </w:pPr>
      <w:hyperlink w:anchor="_Toc166680788" w:history="1">
        <w:r w:rsidR="00CD46A6" w:rsidRPr="007A5CEA">
          <w:rPr>
            <w:rStyle w:val="Hyperlink"/>
            <w:noProof/>
          </w:rPr>
          <w:t>2.3.</w:t>
        </w:r>
        <w:r w:rsidR="00CD46A6">
          <w:rPr>
            <w:noProof/>
            <w:lang w:val="en-AU"/>
          </w:rPr>
          <w:tab/>
        </w:r>
        <w:r w:rsidR="00CD46A6" w:rsidRPr="007A5CEA">
          <w:rPr>
            <w:rStyle w:val="Hyperlink"/>
            <w:noProof/>
          </w:rPr>
          <w:t>Conceptual model</w:t>
        </w:r>
        <w:r w:rsidR="00CD46A6">
          <w:rPr>
            <w:noProof/>
            <w:webHidden/>
          </w:rPr>
          <w:tab/>
        </w:r>
        <w:r w:rsidR="00CD46A6">
          <w:rPr>
            <w:noProof/>
            <w:webHidden/>
          </w:rPr>
          <w:fldChar w:fldCharType="begin"/>
        </w:r>
        <w:r w:rsidR="00CD46A6">
          <w:rPr>
            <w:noProof/>
            <w:webHidden/>
          </w:rPr>
          <w:instrText xml:space="preserve"> PAGEREF _Toc166680788 \h </w:instrText>
        </w:r>
        <w:r w:rsidR="00CD46A6">
          <w:rPr>
            <w:noProof/>
            <w:webHidden/>
          </w:rPr>
        </w:r>
        <w:r w:rsidR="00CD46A6">
          <w:rPr>
            <w:noProof/>
            <w:webHidden/>
          </w:rPr>
          <w:fldChar w:fldCharType="separate"/>
        </w:r>
        <w:r w:rsidR="007523A8">
          <w:rPr>
            <w:noProof/>
            <w:webHidden/>
          </w:rPr>
          <w:t>17</w:t>
        </w:r>
        <w:r w:rsidR="00CD46A6">
          <w:rPr>
            <w:noProof/>
            <w:webHidden/>
          </w:rPr>
          <w:fldChar w:fldCharType="end"/>
        </w:r>
      </w:hyperlink>
    </w:p>
    <w:p w14:paraId="4171FCE5" w14:textId="1FEB40D3" w:rsidR="00CD46A6" w:rsidRDefault="00000000">
      <w:pPr>
        <w:pStyle w:val="TOC1"/>
        <w:tabs>
          <w:tab w:val="right" w:leader="dot" w:pos="9016"/>
        </w:tabs>
        <w:rPr>
          <w:noProof/>
          <w:lang w:val="en-AU"/>
        </w:rPr>
      </w:pPr>
      <w:hyperlink w:anchor="_Toc166680789" w:history="1">
        <w:r w:rsidR="00CD46A6" w:rsidRPr="007A5CEA">
          <w:rPr>
            <w:rStyle w:val="Hyperlink"/>
            <w:noProof/>
          </w:rPr>
          <w:t>3. Outcomes and intermediate outcomes</w:t>
        </w:r>
        <w:r w:rsidR="00CD46A6">
          <w:rPr>
            <w:noProof/>
            <w:webHidden/>
          </w:rPr>
          <w:tab/>
        </w:r>
        <w:r w:rsidR="00CD46A6">
          <w:rPr>
            <w:noProof/>
            <w:webHidden/>
          </w:rPr>
          <w:fldChar w:fldCharType="begin"/>
        </w:r>
        <w:r w:rsidR="00CD46A6">
          <w:rPr>
            <w:noProof/>
            <w:webHidden/>
          </w:rPr>
          <w:instrText xml:space="preserve"> PAGEREF _Toc166680789 \h </w:instrText>
        </w:r>
        <w:r w:rsidR="00CD46A6">
          <w:rPr>
            <w:noProof/>
            <w:webHidden/>
          </w:rPr>
        </w:r>
        <w:r w:rsidR="00CD46A6">
          <w:rPr>
            <w:noProof/>
            <w:webHidden/>
          </w:rPr>
          <w:fldChar w:fldCharType="separate"/>
        </w:r>
        <w:r w:rsidR="007523A8">
          <w:rPr>
            <w:noProof/>
            <w:webHidden/>
          </w:rPr>
          <w:t>19</w:t>
        </w:r>
        <w:r w:rsidR="00CD46A6">
          <w:rPr>
            <w:noProof/>
            <w:webHidden/>
          </w:rPr>
          <w:fldChar w:fldCharType="end"/>
        </w:r>
      </w:hyperlink>
    </w:p>
    <w:p w14:paraId="4CFFBE5F" w14:textId="1C8BF021" w:rsidR="00CD46A6" w:rsidRDefault="00000000">
      <w:pPr>
        <w:pStyle w:val="TOC1"/>
        <w:tabs>
          <w:tab w:val="left" w:pos="480"/>
          <w:tab w:val="right" w:leader="dot" w:pos="9016"/>
        </w:tabs>
        <w:rPr>
          <w:noProof/>
          <w:lang w:val="en-AU"/>
        </w:rPr>
      </w:pPr>
      <w:hyperlink w:anchor="_Toc166680790" w:history="1">
        <w:r w:rsidR="00CD46A6" w:rsidRPr="007A5CEA">
          <w:rPr>
            <w:rStyle w:val="Hyperlink"/>
            <w:noProof/>
          </w:rPr>
          <w:t>4.</w:t>
        </w:r>
        <w:r w:rsidR="00CD46A6">
          <w:rPr>
            <w:noProof/>
            <w:lang w:val="en-AU"/>
          </w:rPr>
          <w:tab/>
        </w:r>
        <w:r w:rsidR="00CD46A6" w:rsidRPr="007A5CEA">
          <w:rPr>
            <w:rStyle w:val="Hyperlink"/>
            <w:noProof/>
          </w:rPr>
          <w:t>The Framework</w:t>
        </w:r>
        <w:r w:rsidR="00CD46A6">
          <w:rPr>
            <w:noProof/>
            <w:webHidden/>
          </w:rPr>
          <w:tab/>
        </w:r>
        <w:r w:rsidR="00CD46A6">
          <w:rPr>
            <w:noProof/>
            <w:webHidden/>
          </w:rPr>
          <w:fldChar w:fldCharType="begin"/>
        </w:r>
        <w:r w:rsidR="00CD46A6">
          <w:rPr>
            <w:noProof/>
            <w:webHidden/>
          </w:rPr>
          <w:instrText xml:space="preserve"> PAGEREF _Toc166680790 \h </w:instrText>
        </w:r>
        <w:r w:rsidR="00CD46A6">
          <w:rPr>
            <w:noProof/>
            <w:webHidden/>
          </w:rPr>
        </w:r>
        <w:r w:rsidR="00CD46A6">
          <w:rPr>
            <w:noProof/>
            <w:webHidden/>
          </w:rPr>
          <w:fldChar w:fldCharType="separate"/>
        </w:r>
        <w:r w:rsidR="007523A8">
          <w:rPr>
            <w:noProof/>
            <w:webHidden/>
          </w:rPr>
          <w:t>22</w:t>
        </w:r>
        <w:r w:rsidR="00CD46A6">
          <w:rPr>
            <w:noProof/>
            <w:webHidden/>
          </w:rPr>
          <w:fldChar w:fldCharType="end"/>
        </w:r>
      </w:hyperlink>
    </w:p>
    <w:p w14:paraId="0A3732E8" w14:textId="1407249B" w:rsidR="00CD46A6" w:rsidRDefault="00000000">
      <w:pPr>
        <w:pStyle w:val="TOC2"/>
        <w:tabs>
          <w:tab w:val="left" w:pos="960"/>
          <w:tab w:val="right" w:leader="dot" w:pos="9016"/>
        </w:tabs>
        <w:rPr>
          <w:noProof/>
          <w:lang w:val="en-AU"/>
        </w:rPr>
      </w:pPr>
      <w:hyperlink w:anchor="_Toc166680791" w:history="1">
        <w:r w:rsidR="00CD46A6" w:rsidRPr="007A5CEA">
          <w:rPr>
            <w:rStyle w:val="Hyperlink"/>
            <w:noProof/>
          </w:rPr>
          <w:t>4.1.</w:t>
        </w:r>
        <w:r w:rsidR="00CD46A6">
          <w:rPr>
            <w:noProof/>
            <w:lang w:val="en-AU"/>
          </w:rPr>
          <w:tab/>
        </w:r>
        <w:r w:rsidR="00CD46A6" w:rsidRPr="007A5CEA">
          <w:rPr>
            <w:rStyle w:val="Hyperlink"/>
            <w:noProof/>
          </w:rPr>
          <w:t>Framework overview</w:t>
        </w:r>
        <w:r w:rsidR="00CD46A6">
          <w:rPr>
            <w:noProof/>
            <w:webHidden/>
          </w:rPr>
          <w:tab/>
        </w:r>
        <w:r w:rsidR="00CD46A6">
          <w:rPr>
            <w:noProof/>
            <w:webHidden/>
          </w:rPr>
          <w:fldChar w:fldCharType="begin"/>
        </w:r>
        <w:r w:rsidR="00CD46A6">
          <w:rPr>
            <w:noProof/>
            <w:webHidden/>
          </w:rPr>
          <w:instrText xml:space="preserve"> PAGEREF _Toc166680791 \h </w:instrText>
        </w:r>
        <w:r w:rsidR="00CD46A6">
          <w:rPr>
            <w:noProof/>
            <w:webHidden/>
          </w:rPr>
        </w:r>
        <w:r w:rsidR="00CD46A6">
          <w:rPr>
            <w:noProof/>
            <w:webHidden/>
          </w:rPr>
          <w:fldChar w:fldCharType="separate"/>
        </w:r>
        <w:r w:rsidR="007523A8">
          <w:rPr>
            <w:noProof/>
            <w:webHidden/>
          </w:rPr>
          <w:t>22</w:t>
        </w:r>
        <w:r w:rsidR="00CD46A6">
          <w:rPr>
            <w:noProof/>
            <w:webHidden/>
          </w:rPr>
          <w:fldChar w:fldCharType="end"/>
        </w:r>
      </w:hyperlink>
    </w:p>
    <w:p w14:paraId="02A8B372" w14:textId="7B3112C1" w:rsidR="00CD46A6" w:rsidRDefault="00000000">
      <w:pPr>
        <w:pStyle w:val="TOC2"/>
        <w:tabs>
          <w:tab w:val="left" w:pos="960"/>
          <w:tab w:val="right" w:leader="dot" w:pos="9016"/>
        </w:tabs>
        <w:rPr>
          <w:noProof/>
          <w:lang w:val="en-AU"/>
        </w:rPr>
      </w:pPr>
      <w:hyperlink w:anchor="_Toc166680792" w:history="1">
        <w:r w:rsidR="00CD46A6" w:rsidRPr="007A5CEA">
          <w:rPr>
            <w:rStyle w:val="Hyperlink"/>
            <w:noProof/>
          </w:rPr>
          <w:t>4.2.</w:t>
        </w:r>
        <w:r w:rsidR="00CD46A6">
          <w:rPr>
            <w:noProof/>
            <w:lang w:val="en-AU"/>
          </w:rPr>
          <w:tab/>
        </w:r>
        <w:r w:rsidR="00CD46A6" w:rsidRPr="007A5CEA">
          <w:rPr>
            <w:rStyle w:val="Hyperlink"/>
            <w:noProof/>
          </w:rPr>
          <w:t>Key evaluation questions</w:t>
        </w:r>
        <w:r w:rsidR="00CD46A6">
          <w:rPr>
            <w:noProof/>
            <w:webHidden/>
          </w:rPr>
          <w:tab/>
        </w:r>
        <w:r w:rsidR="00CD46A6">
          <w:rPr>
            <w:noProof/>
            <w:webHidden/>
          </w:rPr>
          <w:fldChar w:fldCharType="begin"/>
        </w:r>
        <w:r w:rsidR="00CD46A6">
          <w:rPr>
            <w:noProof/>
            <w:webHidden/>
          </w:rPr>
          <w:instrText xml:space="preserve"> PAGEREF _Toc166680792 \h </w:instrText>
        </w:r>
        <w:r w:rsidR="00CD46A6">
          <w:rPr>
            <w:noProof/>
            <w:webHidden/>
          </w:rPr>
        </w:r>
        <w:r w:rsidR="00CD46A6">
          <w:rPr>
            <w:noProof/>
            <w:webHidden/>
          </w:rPr>
          <w:fldChar w:fldCharType="separate"/>
        </w:r>
        <w:r w:rsidR="007523A8">
          <w:rPr>
            <w:noProof/>
            <w:webHidden/>
          </w:rPr>
          <w:t>23</w:t>
        </w:r>
        <w:r w:rsidR="00CD46A6">
          <w:rPr>
            <w:noProof/>
            <w:webHidden/>
          </w:rPr>
          <w:fldChar w:fldCharType="end"/>
        </w:r>
      </w:hyperlink>
    </w:p>
    <w:p w14:paraId="1CF8C2A1" w14:textId="4A42878B" w:rsidR="00CD46A6" w:rsidRDefault="00000000">
      <w:pPr>
        <w:pStyle w:val="TOC2"/>
        <w:tabs>
          <w:tab w:val="left" w:pos="960"/>
          <w:tab w:val="right" w:leader="dot" w:pos="9016"/>
        </w:tabs>
        <w:rPr>
          <w:noProof/>
          <w:lang w:val="en-AU"/>
        </w:rPr>
      </w:pPr>
      <w:hyperlink w:anchor="_Toc166680793" w:history="1">
        <w:r w:rsidR="00CD46A6" w:rsidRPr="007A5CEA">
          <w:rPr>
            <w:rStyle w:val="Hyperlink"/>
            <w:noProof/>
          </w:rPr>
          <w:t>4.3.</w:t>
        </w:r>
        <w:r w:rsidR="00CD46A6">
          <w:rPr>
            <w:noProof/>
            <w:lang w:val="en-AU"/>
          </w:rPr>
          <w:tab/>
        </w:r>
        <w:r w:rsidR="00CD46A6" w:rsidRPr="007A5CEA">
          <w:rPr>
            <w:rStyle w:val="Hyperlink"/>
            <w:noProof/>
          </w:rPr>
          <w:t>Outcome indicators and measures</w:t>
        </w:r>
        <w:r w:rsidR="00CD46A6">
          <w:rPr>
            <w:noProof/>
            <w:webHidden/>
          </w:rPr>
          <w:tab/>
        </w:r>
        <w:r w:rsidR="00CD46A6">
          <w:rPr>
            <w:noProof/>
            <w:webHidden/>
          </w:rPr>
          <w:fldChar w:fldCharType="begin"/>
        </w:r>
        <w:r w:rsidR="00CD46A6">
          <w:rPr>
            <w:noProof/>
            <w:webHidden/>
          </w:rPr>
          <w:instrText xml:space="preserve"> PAGEREF _Toc166680793 \h </w:instrText>
        </w:r>
        <w:r w:rsidR="00CD46A6">
          <w:rPr>
            <w:noProof/>
            <w:webHidden/>
          </w:rPr>
        </w:r>
        <w:r w:rsidR="00CD46A6">
          <w:rPr>
            <w:noProof/>
            <w:webHidden/>
          </w:rPr>
          <w:fldChar w:fldCharType="separate"/>
        </w:r>
        <w:r w:rsidR="007523A8">
          <w:rPr>
            <w:noProof/>
            <w:webHidden/>
          </w:rPr>
          <w:t>27</w:t>
        </w:r>
        <w:r w:rsidR="00CD46A6">
          <w:rPr>
            <w:noProof/>
            <w:webHidden/>
          </w:rPr>
          <w:fldChar w:fldCharType="end"/>
        </w:r>
      </w:hyperlink>
    </w:p>
    <w:p w14:paraId="0E4F6665" w14:textId="5BC72D60" w:rsidR="00CD46A6" w:rsidRDefault="00000000">
      <w:pPr>
        <w:pStyle w:val="TOC2"/>
        <w:tabs>
          <w:tab w:val="left" w:pos="960"/>
          <w:tab w:val="right" w:leader="dot" w:pos="9016"/>
        </w:tabs>
        <w:rPr>
          <w:noProof/>
          <w:lang w:val="en-AU"/>
        </w:rPr>
      </w:pPr>
      <w:hyperlink w:anchor="_Toc166680794" w:history="1">
        <w:r w:rsidR="00CD46A6" w:rsidRPr="007A5CEA">
          <w:rPr>
            <w:rStyle w:val="Hyperlink"/>
            <w:noProof/>
          </w:rPr>
          <w:t>4.4.</w:t>
        </w:r>
        <w:r w:rsidR="00CD46A6">
          <w:rPr>
            <w:noProof/>
            <w:lang w:val="en-AU"/>
          </w:rPr>
          <w:tab/>
        </w:r>
        <w:r w:rsidR="00CD46A6" w:rsidRPr="007A5CEA">
          <w:rPr>
            <w:rStyle w:val="Hyperlink"/>
            <w:noProof/>
          </w:rPr>
          <w:t>Reporting</w:t>
        </w:r>
        <w:r w:rsidR="00CD46A6">
          <w:rPr>
            <w:noProof/>
            <w:webHidden/>
          </w:rPr>
          <w:tab/>
        </w:r>
        <w:r w:rsidR="00CD46A6">
          <w:rPr>
            <w:noProof/>
            <w:webHidden/>
          </w:rPr>
          <w:fldChar w:fldCharType="begin"/>
        </w:r>
        <w:r w:rsidR="00CD46A6">
          <w:rPr>
            <w:noProof/>
            <w:webHidden/>
          </w:rPr>
          <w:instrText xml:space="preserve"> PAGEREF _Toc166680794 \h </w:instrText>
        </w:r>
        <w:r w:rsidR="00CD46A6">
          <w:rPr>
            <w:noProof/>
            <w:webHidden/>
          </w:rPr>
        </w:r>
        <w:r w:rsidR="00CD46A6">
          <w:rPr>
            <w:noProof/>
            <w:webHidden/>
          </w:rPr>
          <w:fldChar w:fldCharType="separate"/>
        </w:r>
        <w:r w:rsidR="007523A8">
          <w:rPr>
            <w:noProof/>
            <w:webHidden/>
          </w:rPr>
          <w:t>29</w:t>
        </w:r>
        <w:r w:rsidR="00CD46A6">
          <w:rPr>
            <w:noProof/>
            <w:webHidden/>
          </w:rPr>
          <w:fldChar w:fldCharType="end"/>
        </w:r>
      </w:hyperlink>
    </w:p>
    <w:p w14:paraId="1717FB3F" w14:textId="7DC9B736" w:rsidR="00CD46A6" w:rsidRDefault="00000000">
      <w:pPr>
        <w:pStyle w:val="TOC2"/>
        <w:tabs>
          <w:tab w:val="left" w:pos="960"/>
          <w:tab w:val="right" w:leader="dot" w:pos="9016"/>
        </w:tabs>
        <w:rPr>
          <w:noProof/>
          <w:lang w:val="en-AU"/>
        </w:rPr>
      </w:pPr>
      <w:hyperlink w:anchor="_Toc166680795" w:history="1">
        <w:r w:rsidR="00CD46A6" w:rsidRPr="007A5CEA">
          <w:rPr>
            <w:rStyle w:val="Hyperlink"/>
            <w:noProof/>
          </w:rPr>
          <w:t>4.5.</w:t>
        </w:r>
        <w:r w:rsidR="00CD46A6">
          <w:rPr>
            <w:noProof/>
            <w:lang w:val="en-AU"/>
          </w:rPr>
          <w:tab/>
        </w:r>
        <w:r w:rsidR="00CD46A6" w:rsidRPr="007A5CEA">
          <w:rPr>
            <w:rStyle w:val="Hyperlink"/>
            <w:noProof/>
          </w:rPr>
          <w:t>Continuous improvement</w:t>
        </w:r>
        <w:r w:rsidR="00CD46A6">
          <w:rPr>
            <w:noProof/>
            <w:webHidden/>
          </w:rPr>
          <w:tab/>
        </w:r>
        <w:r w:rsidR="00CD46A6">
          <w:rPr>
            <w:noProof/>
            <w:webHidden/>
          </w:rPr>
          <w:fldChar w:fldCharType="begin"/>
        </w:r>
        <w:r w:rsidR="00CD46A6">
          <w:rPr>
            <w:noProof/>
            <w:webHidden/>
          </w:rPr>
          <w:instrText xml:space="preserve"> PAGEREF _Toc166680795 \h </w:instrText>
        </w:r>
        <w:r w:rsidR="00CD46A6">
          <w:rPr>
            <w:noProof/>
            <w:webHidden/>
          </w:rPr>
        </w:r>
        <w:r w:rsidR="00CD46A6">
          <w:rPr>
            <w:noProof/>
            <w:webHidden/>
          </w:rPr>
          <w:fldChar w:fldCharType="separate"/>
        </w:r>
        <w:r w:rsidR="007523A8">
          <w:rPr>
            <w:noProof/>
            <w:webHidden/>
          </w:rPr>
          <w:t>29</w:t>
        </w:r>
        <w:r w:rsidR="00CD46A6">
          <w:rPr>
            <w:noProof/>
            <w:webHidden/>
          </w:rPr>
          <w:fldChar w:fldCharType="end"/>
        </w:r>
      </w:hyperlink>
    </w:p>
    <w:p w14:paraId="0E0E6F77" w14:textId="5732EE8C" w:rsidR="00CD46A6" w:rsidRDefault="00000000">
      <w:pPr>
        <w:pStyle w:val="TOC1"/>
        <w:tabs>
          <w:tab w:val="left" w:pos="480"/>
          <w:tab w:val="right" w:leader="dot" w:pos="9016"/>
        </w:tabs>
        <w:rPr>
          <w:noProof/>
          <w:lang w:val="en-AU"/>
        </w:rPr>
      </w:pPr>
      <w:hyperlink w:anchor="_Toc166680796" w:history="1">
        <w:r w:rsidR="00CD46A6" w:rsidRPr="007A5CEA">
          <w:rPr>
            <w:rStyle w:val="Hyperlink"/>
            <w:noProof/>
          </w:rPr>
          <w:t>5.</w:t>
        </w:r>
        <w:r w:rsidR="00CD46A6">
          <w:rPr>
            <w:noProof/>
            <w:lang w:val="en-AU"/>
          </w:rPr>
          <w:tab/>
        </w:r>
        <w:r w:rsidR="00CD46A6" w:rsidRPr="007A5CEA">
          <w:rPr>
            <w:rStyle w:val="Hyperlink"/>
            <w:noProof/>
          </w:rPr>
          <w:t>Implementation</w:t>
        </w:r>
        <w:r w:rsidR="00CD46A6">
          <w:rPr>
            <w:noProof/>
            <w:webHidden/>
          </w:rPr>
          <w:tab/>
        </w:r>
        <w:r w:rsidR="00CD46A6">
          <w:rPr>
            <w:noProof/>
            <w:webHidden/>
          </w:rPr>
          <w:fldChar w:fldCharType="begin"/>
        </w:r>
        <w:r w:rsidR="00CD46A6">
          <w:rPr>
            <w:noProof/>
            <w:webHidden/>
          </w:rPr>
          <w:instrText xml:space="preserve"> PAGEREF _Toc166680796 \h </w:instrText>
        </w:r>
        <w:r w:rsidR="00CD46A6">
          <w:rPr>
            <w:noProof/>
            <w:webHidden/>
          </w:rPr>
        </w:r>
        <w:r w:rsidR="00CD46A6">
          <w:rPr>
            <w:noProof/>
            <w:webHidden/>
          </w:rPr>
          <w:fldChar w:fldCharType="separate"/>
        </w:r>
        <w:r w:rsidR="007523A8">
          <w:rPr>
            <w:noProof/>
            <w:webHidden/>
          </w:rPr>
          <w:t>30</w:t>
        </w:r>
        <w:r w:rsidR="00CD46A6">
          <w:rPr>
            <w:noProof/>
            <w:webHidden/>
          </w:rPr>
          <w:fldChar w:fldCharType="end"/>
        </w:r>
      </w:hyperlink>
    </w:p>
    <w:p w14:paraId="61C87350" w14:textId="5AD6D7F5" w:rsidR="00015C1F" w:rsidRDefault="00CD46A6">
      <w:pPr>
        <w:spacing w:before="0" w:after="0"/>
        <w:rPr>
          <w:lang w:val="en-US"/>
        </w:rPr>
      </w:pPr>
      <w:r>
        <w:rPr>
          <w:lang w:val="en-US"/>
        </w:rPr>
        <w:fldChar w:fldCharType="end"/>
      </w:r>
      <w:r w:rsidR="00015C1F">
        <w:rPr>
          <w:lang w:val="en-US"/>
        </w:rPr>
        <w:br w:type="page"/>
      </w:r>
    </w:p>
    <w:p w14:paraId="0C82C27E" w14:textId="77777777" w:rsidR="00015C1F" w:rsidRPr="00015C1F" w:rsidRDefault="00015C1F" w:rsidP="00015C1F">
      <w:pPr>
        <w:pStyle w:val="Heading1"/>
        <w:rPr>
          <w:lang w:val="en-US"/>
        </w:rPr>
      </w:pPr>
      <w:bookmarkStart w:id="4" w:name="_Toc166680780"/>
      <w:r w:rsidRPr="00015C1F">
        <w:rPr>
          <w:lang w:val="en-US"/>
        </w:rPr>
        <w:lastRenderedPageBreak/>
        <w:t>Definitions</w:t>
      </w:r>
      <w:bookmarkEnd w:id="4"/>
    </w:p>
    <w:tbl>
      <w:tblPr>
        <w:tblStyle w:val="TableGrid"/>
        <w:tblW w:w="0" w:type="auto"/>
        <w:tblLayout w:type="fixed"/>
        <w:tblLook w:val="0020" w:firstRow="1" w:lastRow="0" w:firstColumn="0" w:lastColumn="0" w:noHBand="0" w:noVBand="0"/>
      </w:tblPr>
      <w:tblGrid>
        <w:gridCol w:w="1843"/>
        <w:gridCol w:w="7796"/>
      </w:tblGrid>
      <w:tr w:rsidR="00015C1F" w:rsidRPr="00015C1F" w14:paraId="088B4ABB" w14:textId="77777777" w:rsidTr="00015C1F">
        <w:trPr>
          <w:cantSplit/>
          <w:trHeight w:val="60"/>
          <w:tblHeader/>
        </w:trPr>
        <w:tc>
          <w:tcPr>
            <w:tcW w:w="1843" w:type="dxa"/>
          </w:tcPr>
          <w:p w14:paraId="0F6C1F4A" w14:textId="77777777" w:rsidR="00015C1F" w:rsidRPr="00015C1F" w:rsidRDefault="00015C1F" w:rsidP="00015C1F">
            <w:pPr>
              <w:rPr>
                <w:b/>
                <w:bCs/>
                <w:lang w:val="en-US"/>
              </w:rPr>
            </w:pPr>
            <w:r w:rsidRPr="00015C1F">
              <w:rPr>
                <w:b/>
                <w:bCs/>
                <w:lang w:val="en-US"/>
              </w:rPr>
              <w:t>Term</w:t>
            </w:r>
          </w:p>
        </w:tc>
        <w:tc>
          <w:tcPr>
            <w:tcW w:w="7796" w:type="dxa"/>
          </w:tcPr>
          <w:p w14:paraId="41F9003F" w14:textId="77777777" w:rsidR="00015C1F" w:rsidRPr="00015C1F" w:rsidRDefault="00015C1F" w:rsidP="00015C1F">
            <w:pPr>
              <w:rPr>
                <w:b/>
                <w:bCs/>
                <w:lang w:val="en-US"/>
              </w:rPr>
            </w:pPr>
            <w:r w:rsidRPr="00015C1F">
              <w:rPr>
                <w:b/>
                <w:bCs/>
                <w:lang w:val="en-US"/>
              </w:rPr>
              <w:t>What is this?</w:t>
            </w:r>
          </w:p>
        </w:tc>
      </w:tr>
      <w:tr w:rsidR="00015C1F" w:rsidRPr="00015C1F" w14:paraId="495D268D" w14:textId="77777777" w:rsidTr="00015C1F">
        <w:trPr>
          <w:trHeight w:val="60"/>
        </w:trPr>
        <w:tc>
          <w:tcPr>
            <w:tcW w:w="1843" w:type="dxa"/>
          </w:tcPr>
          <w:p w14:paraId="62BE933E" w14:textId="77777777" w:rsidR="00015C1F" w:rsidRPr="00015C1F" w:rsidRDefault="00015C1F" w:rsidP="00015C1F">
            <w:pPr>
              <w:rPr>
                <w:lang w:val="en-US"/>
              </w:rPr>
            </w:pPr>
            <w:r w:rsidRPr="00015C1F">
              <w:rPr>
                <w:b/>
                <w:bCs/>
                <w:lang w:val="en-US"/>
              </w:rPr>
              <w:t>The Strategy</w:t>
            </w:r>
          </w:p>
        </w:tc>
        <w:tc>
          <w:tcPr>
            <w:tcW w:w="7796" w:type="dxa"/>
          </w:tcPr>
          <w:p w14:paraId="44238AEA" w14:textId="77777777" w:rsidR="00015C1F" w:rsidRPr="00015C1F" w:rsidRDefault="00015C1F" w:rsidP="00015C1F">
            <w:pPr>
              <w:rPr>
                <w:lang w:val="en-US"/>
              </w:rPr>
            </w:pPr>
            <w:r w:rsidRPr="00015C1F">
              <w:rPr>
                <w:lang w:val="en-US"/>
              </w:rPr>
              <w:t>Victoria’s Bushfire Management Strategy.</w:t>
            </w:r>
          </w:p>
          <w:p w14:paraId="2295013C" w14:textId="77777777" w:rsidR="00015C1F" w:rsidRPr="00015C1F" w:rsidRDefault="00015C1F" w:rsidP="00015C1F">
            <w:pPr>
              <w:rPr>
                <w:lang w:val="en-US"/>
              </w:rPr>
            </w:pPr>
            <w:r w:rsidRPr="00015C1F">
              <w:rPr>
                <w:lang w:val="en-US"/>
              </w:rPr>
              <w:t>A 10-year, whole-of-sector strategy to guide bushfire management in Victoria in the context of a changing climate, growing population, changing demographics and Aboriginal self-determination and Treaty.</w:t>
            </w:r>
          </w:p>
        </w:tc>
      </w:tr>
      <w:tr w:rsidR="00015C1F" w:rsidRPr="00015C1F" w14:paraId="555BB366" w14:textId="77777777" w:rsidTr="00015C1F">
        <w:trPr>
          <w:trHeight w:val="60"/>
        </w:trPr>
        <w:tc>
          <w:tcPr>
            <w:tcW w:w="1843" w:type="dxa"/>
          </w:tcPr>
          <w:p w14:paraId="159CBB34" w14:textId="77777777" w:rsidR="00015C1F" w:rsidRPr="00015C1F" w:rsidRDefault="00015C1F" w:rsidP="00015C1F">
            <w:pPr>
              <w:rPr>
                <w:lang w:val="en-US"/>
              </w:rPr>
            </w:pPr>
            <w:r w:rsidRPr="00015C1F">
              <w:rPr>
                <w:b/>
                <w:bCs/>
                <w:lang w:val="en-US"/>
              </w:rPr>
              <w:t>The Framework</w:t>
            </w:r>
          </w:p>
        </w:tc>
        <w:tc>
          <w:tcPr>
            <w:tcW w:w="7796" w:type="dxa"/>
          </w:tcPr>
          <w:p w14:paraId="38C67469" w14:textId="77777777" w:rsidR="00015C1F" w:rsidRPr="00015C1F" w:rsidRDefault="00015C1F" w:rsidP="00015C1F">
            <w:pPr>
              <w:rPr>
                <w:lang w:val="en-US"/>
              </w:rPr>
            </w:pPr>
            <w:r w:rsidRPr="00015C1F">
              <w:rPr>
                <w:lang w:val="en-US"/>
              </w:rPr>
              <w:t>Victoria’s Bushfire Monitoring, Evaluation and Reporting Framework.</w:t>
            </w:r>
          </w:p>
          <w:p w14:paraId="306CB4AA" w14:textId="77777777" w:rsidR="00015C1F" w:rsidRPr="00015C1F" w:rsidRDefault="00015C1F" w:rsidP="00015C1F">
            <w:pPr>
              <w:rPr>
                <w:lang w:val="en-US"/>
              </w:rPr>
            </w:pPr>
            <w:r w:rsidRPr="00015C1F">
              <w:rPr>
                <w:lang w:val="en-US"/>
              </w:rPr>
              <w:t>A 10-year framework to guide the monitoring evaluation and reporting and improvement of the Strategy.</w:t>
            </w:r>
          </w:p>
        </w:tc>
      </w:tr>
      <w:tr w:rsidR="00015C1F" w:rsidRPr="00015C1F" w14:paraId="5B84A4F1" w14:textId="77777777" w:rsidTr="00015C1F">
        <w:trPr>
          <w:trHeight w:val="60"/>
        </w:trPr>
        <w:tc>
          <w:tcPr>
            <w:tcW w:w="1843" w:type="dxa"/>
          </w:tcPr>
          <w:p w14:paraId="39FE417F" w14:textId="77777777" w:rsidR="00015C1F" w:rsidRPr="00015C1F" w:rsidRDefault="00015C1F" w:rsidP="00015C1F">
            <w:pPr>
              <w:rPr>
                <w:lang w:val="en-US"/>
              </w:rPr>
            </w:pPr>
            <w:r w:rsidRPr="00015C1F">
              <w:rPr>
                <w:b/>
                <w:bCs/>
                <w:lang w:val="en-US"/>
              </w:rPr>
              <w:t>VBMER Plan</w:t>
            </w:r>
          </w:p>
        </w:tc>
        <w:tc>
          <w:tcPr>
            <w:tcW w:w="7796" w:type="dxa"/>
          </w:tcPr>
          <w:p w14:paraId="6A237F20" w14:textId="77777777" w:rsidR="00015C1F" w:rsidRPr="00015C1F" w:rsidRDefault="00015C1F" w:rsidP="00015C1F">
            <w:pPr>
              <w:rPr>
                <w:lang w:val="en-US"/>
              </w:rPr>
            </w:pPr>
            <w:r w:rsidRPr="00015C1F">
              <w:rPr>
                <w:lang w:val="en-US"/>
              </w:rPr>
              <w:t>Victoria’s Bushfire Monitoring, Evaluation and Reporting Plan.</w:t>
            </w:r>
          </w:p>
          <w:p w14:paraId="6ED0CE3B" w14:textId="77777777" w:rsidR="00015C1F" w:rsidRPr="00015C1F" w:rsidRDefault="00015C1F" w:rsidP="00015C1F">
            <w:pPr>
              <w:rPr>
                <w:lang w:val="en-US"/>
              </w:rPr>
            </w:pPr>
            <w:r w:rsidRPr="00015C1F">
              <w:rPr>
                <w:lang w:val="en-US"/>
              </w:rPr>
              <w:t>A sector plan to inform implementation of the Framework that provides specific details of how monitoring, evaluation and reporting will be undertaken.</w:t>
            </w:r>
          </w:p>
        </w:tc>
      </w:tr>
      <w:tr w:rsidR="00015C1F" w:rsidRPr="00015C1F" w14:paraId="6F44140D" w14:textId="77777777" w:rsidTr="00015C1F">
        <w:trPr>
          <w:trHeight w:val="60"/>
        </w:trPr>
        <w:tc>
          <w:tcPr>
            <w:tcW w:w="1843" w:type="dxa"/>
          </w:tcPr>
          <w:p w14:paraId="0AB8A6F8" w14:textId="77777777" w:rsidR="00015C1F" w:rsidRPr="00015C1F" w:rsidRDefault="00015C1F" w:rsidP="00015C1F">
            <w:pPr>
              <w:rPr>
                <w:lang w:val="en-US"/>
              </w:rPr>
            </w:pPr>
            <w:r w:rsidRPr="00015C1F">
              <w:rPr>
                <w:b/>
                <w:bCs/>
                <w:lang w:val="en-US"/>
              </w:rPr>
              <w:t>The bushfire management sector (sector)</w:t>
            </w:r>
          </w:p>
        </w:tc>
        <w:tc>
          <w:tcPr>
            <w:tcW w:w="7796" w:type="dxa"/>
          </w:tcPr>
          <w:p w14:paraId="68EA1D68" w14:textId="77777777" w:rsidR="00015C1F" w:rsidRPr="00015C1F" w:rsidRDefault="00015C1F" w:rsidP="00015C1F">
            <w:pPr>
              <w:rPr>
                <w:lang w:val="en-US"/>
              </w:rPr>
            </w:pPr>
            <w:r w:rsidRPr="00015C1F">
              <w:rPr>
                <w:lang w:val="en-US"/>
              </w:rPr>
              <w:t>The bushfire management sector comprises any entity with a role or function for bushfire management as defined under the State Emergency Management Plan (SEMP).</w:t>
            </w:r>
            <w:r w:rsidRPr="00015C1F">
              <w:rPr>
                <w:vertAlign w:val="superscript"/>
                <w:lang w:val="en-US"/>
              </w:rPr>
              <w:footnoteReference w:id="1"/>
            </w:r>
            <w:r w:rsidRPr="00015C1F">
              <w:rPr>
                <w:lang w:val="en-US"/>
              </w:rPr>
              <w:t xml:space="preserve"> The bushfire management sector includes:</w:t>
            </w:r>
          </w:p>
          <w:p w14:paraId="78770A26" w14:textId="77777777" w:rsidR="00015C1F" w:rsidRPr="00015C1F" w:rsidRDefault="00015C1F" w:rsidP="00CD46A6">
            <w:pPr>
              <w:pStyle w:val="ListBullet"/>
              <w:rPr>
                <w:lang w:val="en-US"/>
              </w:rPr>
            </w:pPr>
            <w:r w:rsidRPr="00015C1F">
              <w:rPr>
                <w:lang w:val="en-US"/>
              </w:rPr>
              <w:t>Country Fire Authority (CFA), including Forest Industry Brigades</w:t>
            </w:r>
          </w:p>
          <w:p w14:paraId="09CD5F2D" w14:textId="77777777" w:rsidR="00015C1F" w:rsidRPr="00015C1F" w:rsidRDefault="00015C1F" w:rsidP="00CD46A6">
            <w:pPr>
              <w:pStyle w:val="ListBullet"/>
              <w:rPr>
                <w:lang w:val="en-US"/>
              </w:rPr>
            </w:pPr>
            <w:r w:rsidRPr="00015C1F">
              <w:rPr>
                <w:lang w:val="en-US"/>
              </w:rPr>
              <w:t>Department of Government Services (which includes Local Government Victoria)</w:t>
            </w:r>
          </w:p>
          <w:p w14:paraId="26C8EF21" w14:textId="77777777" w:rsidR="00015C1F" w:rsidRPr="00015C1F" w:rsidRDefault="00015C1F" w:rsidP="00CD46A6">
            <w:pPr>
              <w:pStyle w:val="ListBullet"/>
              <w:rPr>
                <w:lang w:val="en-US"/>
              </w:rPr>
            </w:pPr>
            <w:r w:rsidRPr="00015C1F">
              <w:rPr>
                <w:lang w:val="en-US"/>
              </w:rPr>
              <w:t>Department of Transport and Planning (DoT)</w:t>
            </w:r>
          </w:p>
          <w:p w14:paraId="058A9E28" w14:textId="77777777" w:rsidR="00015C1F" w:rsidRPr="00015C1F" w:rsidRDefault="00015C1F" w:rsidP="00CD46A6">
            <w:pPr>
              <w:pStyle w:val="ListBullet"/>
              <w:rPr>
                <w:lang w:val="en-US"/>
              </w:rPr>
            </w:pPr>
            <w:r w:rsidRPr="00015C1F">
              <w:rPr>
                <w:lang w:val="en-US"/>
              </w:rPr>
              <w:t>Emergency Management Victoria (EMV)</w:t>
            </w:r>
          </w:p>
          <w:p w14:paraId="31E21DDA" w14:textId="77777777" w:rsidR="00015C1F" w:rsidRPr="00015C1F" w:rsidRDefault="00015C1F" w:rsidP="00CD46A6">
            <w:pPr>
              <w:pStyle w:val="ListBullet"/>
              <w:rPr>
                <w:lang w:val="en-US"/>
              </w:rPr>
            </w:pPr>
            <w:r w:rsidRPr="00015C1F">
              <w:rPr>
                <w:lang w:val="en-US"/>
              </w:rPr>
              <w:t>Emergency Recovery Victoria (ERV)</w:t>
            </w:r>
          </w:p>
          <w:p w14:paraId="4AA00C50" w14:textId="77777777" w:rsidR="00015C1F" w:rsidRPr="00015C1F" w:rsidRDefault="00015C1F" w:rsidP="00CD46A6">
            <w:pPr>
              <w:pStyle w:val="ListBullet"/>
              <w:rPr>
                <w:lang w:val="en-US"/>
              </w:rPr>
            </w:pPr>
            <w:r w:rsidRPr="00015C1F">
              <w:rPr>
                <w:lang w:val="en-US"/>
              </w:rPr>
              <w:t>Fire Rescue Victoria (FRV)</w:t>
            </w:r>
          </w:p>
          <w:p w14:paraId="790523EA" w14:textId="77777777" w:rsidR="00015C1F" w:rsidRPr="00015C1F" w:rsidRDefault="00015C1F" w:rsidP="00CD46A6">
            <w:pPr>
              <w:pStyle w:val="ListBullet"/>
              <w:rPr>
                <w:lang w:val="en-US"/>
              </w:rPr>
            </w:pPr>
            <w:r w:rsidRPr="00015C1F">
              <w:rPr>
                <w:lang w:val="en-US"/>
              </w:rPr>
              <w:lastRenderedPageBreak/>
              <w:t xml:space="preserve">Forest Fire Management Victoria (FFMVic) (comprising the Department of Energy, Environment and Climate Action (DEECA), Melbourne Water, </w:t>
            </w:r>
            <w:proofErr w:type="spellStart"/>
            <w:r w:rsidRPr="00015C1F">
              <w:rPr>
                <w:lang w:val="en-US"/>
              </w:rPr>
              <w:t>VicForests</w:t>
            </w:r>
            <w:proofErr w:type="spellEnd"/>
            <w:r w:rsidRPr="00015C1F">
              <w:rPr>
                <w:lang w:val="en-US"/>
              </w:rPr>
              <w:t xml:space="preserve"> and Parks Victoria)</w:t>
            </w:r>
          </w:p>
          <w:p w14:paraId="553FB374" w14:textId="77777777" w:rsidR="00015C1F" w:rsidRPr="00015C1F" w:rsidRDefault="00015C1F" w:rsidP="00CD46A6">
            <w:pPr>
              <w:pStyle w:val="ListBullet"/>
              <w:rPr>
                <w:lang w:val="en-US"/>
              </w:rPr>
            </w:pPr>
            <w:r w:rsidRPr="00015C1F">
              <w:rPr>
                <w:lang w:val="en-US"/>
              </w:rPr>
              <w:t>Local governments</w:t>
            </w:r>
          </w:p>
          <w:p w14:paraId="07D45544" w14:textId="77777777" w:rsidR="00015C1F" w:rsidRPr="00015C1F" w:rsidRDefault="00015C1F" w:rsidP="00CD46A6">
            <w:pPr>
              <w:pStyle w:val="ListBullet"/>
              <w:rPr>
                <w:lang w:val="en-US"/>
              </w:rPr>
            </w:pPr>
            <w:r w:rsidRPr="00015C1F">
              <w:rPr>
                <w:lang w:val="en-US"/>
              </w:rPr>
              <w:t>Regulators (including the Conservation Regulator)</w:t>
            </w:r>
          </w:p>
          <w:p w14:paraId="77D7C94C" w14:textId="77777777" w:rsidR="00015C1F" w:rsidRPr="00015C1F" w:rsidRDefault="00015C1F" w:rsidP="00CD46A6">
            <w:pPr>
              <w:pStyle w:val="ListBullet"/>
              <w:rPr>
                <w:lang w:val="en-US"/>
              </w:rPr>
            </w:pPr>
            <w:r w:rsidRPr="00015C1F">
              <w:rPr>
                <w:lang w:val="en-US"/>
              </w:rPr>
              <w:t>Water authorities.</w:t>
            </w:r>
          </w:p>
          <w:p w14:paraId="2C526045" w14:textId="77777777" w:rsidR="00015C1F" w:rsidRPr="00015C1F" w:rsidRDefault="00015C1F" w:rsidP="00015C1F">
            <w:pPr>
              <w:rPr>
                <w:lang w:val="en-US"/>
              </w:rPr>
            </w:pPr>
            <w:r w:rsidRPr="00015C1F">
              <w:rPr>
                <w:lang w:val="en-US"/>
              </w:rPr>
              <w:t xml:space="preserve">The bushfire management sector collaborates with various </w:t>
            </w:r>
            <w:proofErr w:type="spellStart"/>
            <w:r w:rsidRPr="00015C1F">
              <w:rPr>
                <w:lang w:val="en-US"/>
              </w:rPr>
              <w:t>organisations</w:t>
            </w:r>
            <w:proofErr w:type="spellEnd"/>
            <w:r w:rsidRPr="00015C1F">
              <w:rPr>
                <w:lang w:val="en-US"/>
              </w:rPr>
              <w:t xml:space="preserve"> to achieve shared outcomes. This includes Traditional Owners industries and communities. Partnerships with Traditional Owners will evolve over time as Victoria continues to support self-determination and Treaty.</w:t>
            </w:r>
          </w:p>
        </w:tc>
      </w:tr>
      <w:tr w:rsidR="00015C1F" w:rsidRPr="00015C1F" w14:paraId="0973F8A7" w14:textId="77777777" w:rsidTr="00015C1F">
        <w:trPr>
          <w:trHeight w:val="60"/>
        </w:trPr>
        <w:tc>
          <w:tcPr>
            <w:tcW w:w="1843" w:type="dxa"/>
          </w:tcPr>
          <w:p w14:paraId="21C22086" w14:textId="77777777" w:rsidR="00015C1F" w:rsidRPr="00015C1F" w:rsidRDefault="00015C1F" w:rsidP="00015C1F">
            <w:pPr>
              <w:rPr>
                <w:lang w:val="en-US"/>
              </w:rPr>
            </w:pPr>
            <w:r w:rsidRPr="00015C1F">
              <w:rPr>
                <w:b/>
                <w:bCs/>
                <w:lang w:val="en-US"/>
              </w:rPr>
              <w:lastRenderedPageBreak/>
              <w:t>MER</w:t>
            </w:r>
          </w:p>
        </w:tc>
        <w:tc>
          <w:tcPr>
            <w:tcW w:w="7796" w:type="dxa"/>
          </w:tcPr>
          <w:p w14:paraId="2F667A70" w14:textId="77777777" w:rsidR="00015C1F" w:rsidRPr="00015C1F" w:rsidRDefault="00015C1F" w:rsidP="00015C1F">
            <w:pPr>
              <w:rPr>
                <w:lang w:val="en-US"/>
              </w:rPr>
            </w:pPr>
            <w:r w:rsidRPr="00015C1F">
              <w:rPr>
                <w:lang w:val="en-US"/>
              </w:rPr>
              <w:t>Monitoring, evaluation and reporting.</w:t>
            </w:r>
          </w:p>
        </w:tc>
      </w:tr>
      <w:tr w:rsidR="00015C1F" w:rsidRPr="00015C1F" w14:paraId="3124B564" w14:textId="77777777" w:rsidTr="00015C1F">
        <w:trPr>
          <w:trHeight w:val="60"/>
        </w:trPr>
        <w:tc>
          <w:tcPr>
            <w:tcW w:w="1843" w:type="dxa"/>
          </w:tcPr>
          <w:p w14:paraId="4116C99A" w14:textId="77777777" w:rsidR="00015C1F" w:rsidRPr="00015C1F" w:rsidRDefault="00015C1F" w:rsidP="00015C1F">
            <w:pPr>
              <w:rPr>
                <w:lang w:val="en-US"/>
              </w:rPr>
            </w:pPr>
            <w:r w:rsidRPr="00015C1F">
              <w:rPr>
                <w:b/>
                <w:bCs/>
                <w:lang w:val="en-US"/>
              </w:rPr>
              <w:t>Monitoring</w:t>
            </w:r>
          </w:p>
        </w:tc>
        <w:tc>
          <w:tcPr>
            <w:tcW w:w="7796" w:type="dxa"/>
          </w:tcPr>
          <w:p w14:paraId="2240F5DC" w14:textId="77777777" w:rsidR="00015C1F" w:rsidRPr="00015C1F" w:rsidRDefault="00015C1F" w:rsidP="00015C1F">
            <w:pPr>
              <w:rPr>
                <w:lang w:val="en-US"/>
              </w:rPr>
            </w:pPr>
            <w:r w:rsidRPr="00015C1F">
              <w:rPr>
                <w:lang w:val="en-US"/>
              </w:rPr>
              <w:t>Monitoring is the planned, regular, and continuous collection and analysis of data and other information to track progress of a strategy, program or project. Data and other information gathered by monitoring will contribute to evaluation.</w:t>
            </w:r>
          </w:p>
        </w:tc>
      </w:tr>
      <w:tr w:rsidR="00015C1F" w:rsidRPr="00015C1F" w14:paraId="5E6BE1EC" w14:textId="77777777" w:rsidTr="00015C1F">
        <w:trPr>
          <w:trHeight w:val="60"/>
        </w:trPr>
        <w:tc>
          <w:tcPr>
            <w:tcW w:w="1843" w:type="dxa"/>
          </w:tcPr>
          <w:p w14:paraId="684F8735" w14:textId="77777777" w:rsidR="00015C1F" w:rsidRPr="00015C1F" w:rsidRDefault="00015C1F" w:rsidP="00015C1F">
            <w:pPr>
              <w:rPr>
                <w:lang w:val="en-US"/>
              </w:rPr>
            </w:pPr>
            <w:r w:rsidRPr="00015C1F">
              <w:rPr>
                <w:b/>
                <w:bCs/>
                <w:lang w:val="en-US"/>
              </w:rPr>
              <w:t>Evaluation</w:t>
            </w:r>
          </w:p>
        </w:tc>
        <w:tc>
          <w:tcPr>
            <w:tcW w:w="7796" w:type="dxa"/>
          </w:tcPr>
          <w:p w14:paraId="4E02D9D7" w14:textId="77777777" w:rsidR="00015C1F" w:rsidRPr="00015C1F" w:rsidRDefault="00015C1F" w:rsidP="00015C1F">
            <w:pPr>
              <w:rPr>
                <w:lang w:val="en-US"/>
              </w:rPr>
            </w:pPr>
            <w:r w:rsidRPr="00015C1F">
              <w:rPr>
                <w:lang w:val="en-US"/>
              </w:rPr>
              <w:t>Evaluation is the planned and periodic collection and assessment of data, which allows a judgement to be made about the appropriateness, effectiveness, efficiency, impact and lessons stemming from a strategy, program or project. Evaluation relies on monitoring data but is supplemented by additional data and information collected at a point in time, for example through interviewing and surveying of stakeholders.</w:t>
            </w:r>
          </w:p>
        </w:tc>
      </w:tr>
      <w:tr w:rsidR="00015C1F" w:rsidRPr="00015C1F" w14:paraId="591FCC18" w14:textId="77777777" w:rsidTr="00015C1F">
        <w:trPr>
          <w:trHeight w:val="60"/>
        </w:trPr>
        <w:tc>
          <w:tcPr>
            <w:tcW w:w="1843" w:type="dxa"/>
          </w:tcPr>
          <w:p w14:paraId="6BC70C40" w14:textId="77777777" w:rsidR="00015C1F" w:rsidRPr="00015C1F" w:rsidRDefault="00015C1F" w:rsidP="00015C1F">
            <w:pPr>
              <w:rPr>
                <w:lang w:val="en-US"/>
              </w:rPr>
            </w:pPr>
            <w:r w:rsidRPr="00015C1F">
              <w:rPr>
                <w:b/>
                <w:bCs/>
                <w:lang w:val="en-US"/>
              </w:rPr>
              <w:t>Reporting</w:t>
            </w:r>
          </w:p>
        </w:tc>
        <w:tc>
          <w:tcPr>
            <w:tcW w:w="7796" w:type="dxa"/>
          </w:tcPr>
          <w:p w14:paraId="4E2DD435" w14:textId="77777777" w:rsidR="00015C1F" w:rsidRPr="00015C1F" w:rsidRDefault="00015C1F" w:rsidP="00015C1F">
            <w:pPr>
              <w:rPr>
                <w:lang w:val="en-US"/>
              </w:rPr>
            </w:pPr>
            <w:r w:rsidRPr="00015C1F">
              <w:rPr>
                <w:lang w:val="en-US"/>
              </w:rPr>
              <w:t xml:space="preserve">Reporting is the written presentation of monitoring and/or evaluation data findings. This often occurs annually during the life of a strategy, program or project, or at given time points, for example, mid-point evaluation reporting or end of program evaluation reporting. </w:t>
            </w:r>
          </w:p>
          <w:p w14:paraId="4F32D0E4" w14:textId="77777777" w:rsidR="00015C1F" w:rsidRPr="00015C1F" w:rsidRDefault="00015C1F" w:rsidP="00015C1F">
            <w:pPr>
              <w:rPr>
                <w:lang w:val="en-US"/>
              </w:rPr>
            </w:pPr>
            <w:r w:rsidRPr="00015C1F">
              <w:rPr>
                <w:lang w:val="en-US"/>
              </w:rPr>
              <w:t>Annual monitoring reporting involves bringing together all monitoring data collected over a 12-month period. It provides an indication of progress being made and can highlight challenges and opportunities.</w:t>
            </w:r>
          </w:p>
          <w:p w14:paraId="6B849A49" w14:textId="77777777" w:rsidR="00015C1F" w:rsidRPr="00015C1F" w:rsidRDefault="00015C1F" w:rsidP="00015C1F">
            <w:pPr>
              <w:rPr>
                <w:lang w:val="en-US"/>
              </w:rPr>
            </w:pPr>
            <w:r w:rsidRPr="00015C1F">
              <w:rPr>
                <w:lang w:val="en-US"/>
              </w:rPr>
              <w:t>Evaluation reporting is more comprehensive and aims to answer the evaluation questions and propose recommendations for improvement at key stages during delivery of a strategy, program or project.</w:t>
            </w:r>
          </w:p>
        </w:tc>
      </w:tr>
      <w:tr w:rsidR="00015C1F" w:rsidRPr="00015C1F" w14:paraId="11A7FDDF" w14:textId="77777777" w:rsidTr="00015C1F">
        <w:trPr>
          <w:trHeight w:val="60"/>
        </w:trPr>
        <w:tc>
          <w:tcPr>
            <w:tcW w:w="1843" w:type="dxa"/>
          </w:tcPr>
          <w:p w14:paraId="33E58C03" w14:textId="77777777" w:rsidR="00015C1F" w:rsidRPr="00015C1F" w:rsidRDefault="00015C1F" w:rsidP="00015C1F">
            <w:pPr>
              <w:rPr>
                <w:lang w:val="en-US"/>
              </w:rPr>
            </w:pPr>
            <w:r w:rsidRPr="00015C1F">
              <w:rPr>
                <w:b/>
                <w:bCs/>
                <w:lang w:val="en-US"/>
              </w:rPr>
              <w:lastRenderedPageBreak/>
              <w:t>Improvement</w:t>
            </w:r>
          </w:p>
        </w:tc>
        <w:tc>
          <w:tcPr>
            <w:tcW w:w="7796" w:type="dxa"/>
          </w:tcPr>
          <w:p w14:paraId="08391A06" w14:textId="77777777" w:rsidR="00015C1F" w:rsidRPr="00015C1F" w:rsidRDefault="00015C1F" w:rsidP="00015C1F">
            <w:pPr>
              <w:rPr>
                <w:lang w:val="en-US"/>
              </w:rPr>
            </w:pPr>
            <w:r w:rsidRPr="00015C1F">
              <w:rPr>
                <w:lang w:val="en-US"/>
              </w:rPr>
              <w:t>Improvement is the process of taking monitoring and evaluation findings and conclusions and making decisions and changes as needed in response to these. This is intended to improve the strategy, program or project and ensure it is making continued progress towards its intended outcomes.</w:t>
            </w:r>
          </w:p>
        </w:tc>
      </w:tr>
      <w:tr w:rsidR="00015C1F" w:rsidRPr="00015C1F" w14:paraId="142F10A6" w14:textId="77777777" w:rsidTr="00015C1F">
        <w:trPr>
          <w:trHeight w:val="60"/>
        </w:trPr>
        <w:tc>
          <w:tcPr>
            <w:tcW w:w="1843" w:type="dxa"/>
          </w:tcPr>
          <w:p w14:paraId="74C3157F" w14:textId="77777777" w:rsidR="00015C1F" w:rsidRPr="00015C1F" w:rsidRDefault="00015C1F" w:rsidP="00015C1F">
            <w:pPr>
              <w:rPr>
                <w:lang w:val="en-US"/>
              </w:rPr>
            </w:pPr>
            <w:r w:rsidRPr="00015C1F">
              <w:rPr>
                <w:b/>
                <w:bCs/>
                <w:lang w:val="en-US"/>
              </w:rPr>
              <w:t>Strategy domains</w:t>
            </w:r>
          </w:p>
        </w:tc>
        <w:tc>
          <w:tcPr>
            <w:tcW w:w="7796" w:type="dxa"/>
          </w:tcPr>
          <w:p w14:paraId="7B1C9FE5" w14:textId="77777777" w:rsidR="00015C1F" w:rsidRPr="00015C1F" w:rsidRDefault="00015C1F" w:rsidP="00015C1F">
            <w:pPr>
              <w:rPr>
                <w:lang w:val="en-US"/>
              </w:rPr>
            </w:pPr>
            <w:r w:rsidRPr="00015C1F">
              <w:rPr>
                <w:lang w:val="en-US"/>
              </w:rPr>
              <w:t>Domains provide a logical structure for grouping-related outcomes, and a line of sight from each outcome to the overall vision. These have been defined in the Strategy and agreed to by the sector.</w:t>
            </w:r>
          </w:p>
        </w:tc>
      </w:tr>
      <w:tr w:rsidR="00015C1F" w:rsidRPr="00015C1F" w14:paraId="57A54953" w14:textId="77777777" w:rsidTr="00015C1F">
        <w:trPr>
          <w:trHeight w:val="60"/>
        </w:trPr>
        <w:tc>
          <w:tcPr>
            <w:tcW w:w="1843" w:type="dxa"/>
          </w:tcPr>
          <w:p w14:paraId="6C9E7EE7" w14:textId="77777777" w:rsidR="00015C1F" w:rsidRPr="00015C1F" w:rsidRDefault="00015C1F" w:rsidP="00015C1F">
            <w:pPr>
              <w:rPr>
                <w:lang w:val="en-US"/>
              </w:rPr>
            </w:pPr>
            <w:r w:rsidRPr="00015C1F">
              <w:rPr>
                <w:b/>
                <w:bCs/>
                <w:lang w:val="en-US"/>
              </w:rPr>
              <w:t>Strategy outcomes</w:t>
            </w:r>
          </w:p>
        </w:tc>
        <w:tc>
          <w:tcPr>
            <w:tcW w:w="7796" w:type="dxa"/>
          </w:tcPr>
          <w:p w14:paraId="17775284" w14:textId="77777777" w:rsidR="00015C1F" w:rsidRPr="00015C1F" w:rsidRDefault="00015C1F" w:rsidP="00015C1F">
            <w:pPr>
              <w:rPr>
                <w:lang w:val="en-US"/>
              </w:rPr>
            </w:pPr>
            <w:r w:rsidRPr="00015C1F">
              <w:rPr>
                <w:lang w:val="en-US"/>
              </w:rPr>
              <w:t>Strategy outcomes are high-level, long-term outcomes that are defined in the Strategy and agreed to by the sector. They represent what we as a state are working towards and what success looks like.</w:t>
            </w:r>
          </w:p>
        </w:tc>
      </w:tr>
      <w:tr w:rsidR="00015C1F" w:rsidRPr="00015C1F" w14:paraId="37CFD15E" w14:textId="77777777" w:rsidTr="00015C1F">
        <w:trPr>
          <w:trHeight w:val="60"/>
        </w:trPr>
        <w:tc>
          <w:tcPr>
            <w:tcW w:w="1843" w:type="dxa"/>
          </w:tcPr>
          <w:p w14:paraId="7AFAD7E8" w14:textId="77777777" w:rsidR="00015C1F" w:rsidRPr="00015C1F" w:rsidRDefault="00015C1F" w:rsidP="00015C1F">
            <w:pPr>
              <w:rPr>
                <w:lang w:val="en-US"/>
              </w:rPr>
            </w:pPr>
            <w:r w:rsidRPr="00015C1F">
              <w:rPr>
                <w:b/>
                <w:bCs/>
                <w:lang w:val="en-US"/>
              </w:rPr>
              <w:t>Intermediate outcomes</w:t>
            </w:r>
          </w:p>
        </w:tc>
        <w:tc>
          <w:tcPr>
            <w:tcW w:w="7796" w:type="dxa"/>
          </w:tcPr>
          <w:p w14:paraId="0439C88F" w14:textId="77777777" w:rsidR="00015C1F" w:rsidRPr="00015C1F" w:rsidRDefault="00015C1F" w:rsidP="00015C1F">
            <w:pPr>
              <w:rPr>
                <w:lang w:val="en-US"/>
              </w:rPr>
            </w:pPr>
            <w:r w:rsidRPr="00015C1F">
              <w:rPr>
                <w:lang w:val="en-US"/>
              </w:rPr>
              <w:t xml:space="preserve">Intermediate outcomes articulate the change we need to see to achieve the Strategy outcomes. These outcomes have been designed to connect the high-level outcomes and the strategic directions in the Strategy, allowing a deeper understanding of factors that contribute to the strategy outcomes. </w:t>
            </w:r>
          </w:p>
        </w:tc>
      </w:tr>
      <w:tr w:rsidR="00015C1F" w:rsidRPr="00015C1F" w14:paraId="41098839" w14:textId="77777777" w:rsidTr="00015C1F">
        <w:trPr>
          <w:trHeight w:val="60"/>
        </w:trPr>
        <w:tc>
          <w:tcPr>
            <w:tcW w:w="1843" w:type="dxa"/>
          </w:tcPr>
          <w:p w14:paraId="3A9FDE90" w14:textId="77777777" w:rsidR="00015C1F" w:rsidRPr="00015C1F" w:rsidRDefault="00015C1F" w:rsidP="00015C1F">
            <w:pPr>
              <w:rPr>
                <w:lang w:val="en-US"/>
              </w:rPr>
            </w:pPr>
            <w:r w:rsidRPr="00015C1F">
              <w:rPr>
                <w:b/>
                <w:bCs/>
                <w:lang w:val="en-US"/>
              </w:rPr>
              <w:t>Outcome indicators</w:t>
            </w:r>
          </w:p>
        </w:tc>
        <w:tc>
          <w:tcPr>
            <w:tcW w:w="7796" w:type="dxa"/>
          </w:tcPr>
          <w:p w14:paraId="222A04DE" w14:textId="77777777" w:rsidR="00015C1F" w:rsidRPr="00015C1F" w:rsidRDefault="00015C1F" w:rsidP="00015C1F">
            <w:pPr>
              <w:rPr>
                <w:lang w:val="en-US"/>
              </w:rPr>
            </w:pPr>
            <w:r w:rsidRPr="00015C1F">
              <w:rPr>
                <w:lang w:val="en-US"/>
              </w:rPr>
              <w:t>Outcome indicators specify what needs to change to achieve a desired outcome and set the direction of change. For example, increase in community knowledge of bushfire management.</w:t>
            </w:r>
          </w:p>
        </w:tc>
      </w:tr>
      <w:tr w:rsidR="00015C1F" w:rsidRPr="00015C1F" w14:paraId="6AFED443" w14:textId="77777777" w:rsidTr="00015C1F">
        <w:trPr>
          <w:trHeight w:val="60"/>
        </w:trPr>
        <w:tc>
          <w:tcPr>
            <w:tcW w:w="1843" w:type="dxa"/>
          </w:tcPr>
          <w:p w14:paraId="25BBC8CD" w14:textId="77777777" w:rsidR="00015C1F" w:rsidRPr="00015C1F" w:rsidRDefault="00015C1F" w:rsidP="00015C1F">
            <w:pPr>
              <w:rPr>
                <w:lang w:val="en-US"/>
              </w:rPr>
            </w:pPr>
            <w:r w:rsidRPr="00015C1F">
              <w:rPr>
                <w:b/>
                <w:bCs/>
                <w:lang w:val="en-US"/>
              </w:rPr>
              <w:t>Outcome measures</w:t>
            </w:r>
          </w:p>
        </w:tc>
        <w:tc>
          <w:tcPr>
            <w:tcW w:w="7796" w:type="dxa"/>
          </w:tcPr>
          <w:p w14:paraId="30132F00" w14:textId="77777777" w:rsidR="00015C1F" w:rsidRPr="00015C1F" w:rsidRDefault="00015C1F" w:rsidP="00015C1F">
            <w:pPr>
              <w:rPr>
                <w:lang w:val="en-US"/>
              </w:rPr>
            </w:pPr>
            <w:r w:rsidRPr="00015C1F">
              <w:rPr>
                <w:lang w:val="en-US"/>
              </w:rPr>
              <w:t xml:space="preserve">Outcome measures provide more granular, specific detail about what will change and how we will know if we are making progress. Measures articulate the specific way we know or count the change we want to see. For example, for the above indicator: Percentage of community program participants who stated the program increased their bushfire management knowledge. </w:t>
            </w:r>
          </w:p>
        </w:tc>
      </w:tr>
      <w:tr w:rsidR="00015C1F" w:rsidRPr="00015C1F" w14:paraId="25A3D109" w14:textId="77777777" w:rsidTr="00015C1F">
        <w:trPr>
          <w:trHeight w:val="60"/>
        </w:trPr>
        <w:tc>
          <w:tcPr>
            <w:tcW w:w="1843" w:type="dxa"/>
          </w:tcPr>
          <w:p w14:paraId="4D21F032" w14:textId="77777777" w:rsidR="00015C1F" w:rsidRPr="00015C1F" w:rsidRDefault="00015C1F" w:rsidP="00015C1F">
            <w:pPr>
              <w:rPr>
                <w:lang w:val="en-US"/>
              </w:rPr>
            </w:pPr>
            <w:r w:rsidRPr="00015C1F">
              <w:rPr>
                <w:b/>
                <w:bCs/>
                <w:lang w:val="en-US"/>
              </w:rPr>
              <w:t>Strategic directions</w:t>
            </w:r>
          </w:p>
        </w:tc>
        <w:tc>
          <w:tcPr>
            <w:tcW w:w="7796" w:type="dxa"/>
          </w:tcPr>
          <w:p w14:paraId="2A0890B2" w14:textId="77777777" w:rsidR="00015C1F" w:rsidRPr="00015C1F" w:rsidRDefault="00015C1F" w:rsidP="00015C1F">
            <w:pPr>
              <w:rPr>
                <w:lang w:val="en-US"/>
              </w:rPr>
            </w:pPr>
            <w:r w:rsidRPr="00015C1F">
              <w:rPr>
                <w:lang w:val="en-US"/>
              </w:rPr>
              <w:t xml:space="preserve">Strategic directions articulate what we will focus on and ‘do’ to achieve the outcomes articulated in the Strategy, and therefore also the intermediate outcomes. They provide direction and focus for our work and have been agreed to by the sector. </w:t>
            </w:r>
          </w:p>
        </w:tc>
      </w:tr>
      <w:tr w:rsidR="00015C1F" w:rsidRPr="00015C1F" w14:paraId="19AC492B" w14:textId="77777777" w:rsidTr="00015C1F">
        <w:trPr>
          <w:trHeight w:val="60"/>
        </w:trPr>
        <w:tc>
          <w:tcPr>
            <w:tcW w:w="1843" w:type="dxa"/>
          </w:tcPr>
          <w:p w14:paraId="18970DFB" w14:textId="77777777" w:rsidR="00015C1F" w:rsidRPr="00015C1F" w:rsidRDefault="00015C1F" w:rsidP="00015C1F">
            <w:pPr>
              <w:rPr>
                <w:lang w:val="en-US"/>
              </w:rPr>
            </w:pPr>
            <w:r w:rsidRPr="00015C1F">
              <w:rPr>
                <w:b/>
                <w:bCs/>
                <w:lang w:val="en-US"/>
              </w:rPr>
              <w:t>Knowledge</w:t>
            </w:r>
          </w:p>
        </w:tc>
        <w:tc>
          <w:tcPr>
            <w:tcW w:w="7796" w:type="dxa"/>
          </w:tcPr>
          <w:p w14:paraId="76000323" w14:textId="77777777" w:rsidR="00015C1F" w:rsidRPr="00015C1F" w:rsidRDefault="00015C1F" w:rsidP="00015C1F">
            <w:pPr>
              <w:rPr>
                <w:lang w:val="en-US"/>
              </w:rPr>
            </w:pPr>
            <w:r w:rsidRPr="00015C1F">
              <w:rPr>
                <w:lang w:val="en-US"/>
              </w:rPr>
              <w:t xml:space="preserve">Knowledge includes facts, information, data and skills acquired through experience, education or research. It can include both the theoretical and practical. For the purposes of the </w:t>
            </w:r>
            <w:proofErr w:type="gramStart"/>
            <w:r w:rsidRPr="00015C1F">
              <w:rPr>
                <w:lang w:val="en-US"/>
              </w:rPr>
              <w:t>Framework</w:t>
            </w:r>
            <w:proofErr w:type="gramEnd"/>
            <w:r w:rsidRPr="00015C1F">
              <w:rPr>
                <w:lang w:val="en-US"/>
              </w:rPr>
              <w:t xml:space="preserve"> we specifically include the following sources of knowledge:</w:t>
            </w:r>
          </w:p>
          <w:p w14:paraId="79855551" w14:textId="77777777" w:rsidR="00015C1F" w:rsidRPr="00015C1F" w:rsidRDefault="00015C1F" w:rsidP="00CD46A6">
            <w:pPr>
              <w:pStyle w:val="ListBullet"/>
              <w:rPr>
                <w:lang w:val="en-US"/>
              </w:rPr>
            </w:pPr>
            <w:r w:rsidRPr="00015C1F">
              <w:rPr>
                <w:lang w:val="en-US"/>
              </w:rPr>
              <w:lastRenderedPageBreak/>
              <w:t>Research</w:t>
            </w:r>
          </w:p>
          <w:p w14:paraId="0B26EB28" w14:textId="77777777" w:rsidR="00015C1F" w:rsidRPr="00015C1F" w:rsidRDefault="00015C1F" w:rsidP="00CD46A6">
            <w:pPr>
              <w:pStyle w:val="ListBullet"/>
              <w:rPr>
                <w:lang w:val="en-US"/>
              </w:rPr>
            </w:pPr>
            <w:r w:rsidRPr="00015C1F">
              <w:rPr>
                <w:lang w:val="en-US"/>
              </w:rPr>
              <w:t>Modelling</w:t>
            </w:r>
          </w:p>
          <w:p w14:paraId="6F181234" w14:textId="77777777" w:rsidR="00015C1F" w:rsidRPr="00015C1F" w:rsidRDefault="00015C1F" w:rsidP="00CD46A6">
            <w:pPr>
              <w:pStyle w:val="ListBullet"/>
              <w:rPr>
                <w:lang w:val="en-US"/>
              </w:rPr>
            </w:pPr>
            <w:r w:rsidRPr="00015C1F">
              <w:rPr>
                <w:lang w:val="en-US"/>
              </w:rPr>
              <w:t>MER</w:t>
            </w:r>
          </w:p>
          <w:p w14:paraId="097F4955" w14:textId="77777777" w:rsidR="00015C1F" w:rsidRPr="00015C1F" w:rsidRDefault="00015C1F" w:rsidP="00CD46A6">
            <w:pPr>
              <w:pStyle w:val="ListBullet"/>
              <w:rPr>
                <w:lang w:val="en-US"/>
              </w:rPr>
            </w:pPr>
            <w:r w:rsidRPr="00015C1F">
              <w:rPr>
                <w:lang w:val="en-US"/>
              </w:rPr>
              <w:t>Local and community knowledge</w:t>
            </w:r>
          </w:p>
          <w:p w14:paraId="732CFFD8" w14:textId="77777777" w:rsidR="00015C1F" w:rsidRPr="00015C1F" w:rsidRDefault="00015C1F" w:rsidP="00CD46A6">
            <w:pPr>
              <w:pStyle w:val="ListBullet"/>
              <w:rPr>
                <w:lang w:val="en-US"/>
              </w:rPr>
            </w:pPr>
            <w:r w:rsidRPr="00015C1F">
              <w:rPr>
                <w:lang w:val="en-US"/>
              </w:rPr>
              <w:t>Expert knowledge</w:t>
            </w:r>
          </w:p>
          <w:p w14:paraId="205FE3A1" w14:textId="77777777" w:rsidR="00015C1F" w:rsidRPr="00015C1F" w:rsidRDefault="00015C1F" w:rsidP="00CD46A6">
            <w:pPr>
              <w:pStyle w:val="ListBullet"/>
              <w:rPr>
                <w:lang w:val="en-US"/>
              </w:rPr>
            </w:pPr>
            <w:r w:rsidRPr="00015C1F">
              <w:rPr>
                <w:lang w:val="en-US"/>
              </w:rPr>
              <w:t xml:space="preserve">Traditional Owner and cultural knowledge. </w:t>
            </w:r>
          </w:p>
        </w:tc>
      </w:tr>
    </w:tbl>
    <w:p w14:paraId="1C22D66F" w14:textId="77777777" w:rsidR="00015C1F" w:rsidRPr="00015C1F" w:rsidRDefault="00015C1F" w:rsidP="00015C1F">
      <w:pPr>
        <w:pStyle w:val="Heading1"/>
        <w:rPr>
          <w:lang w:val="en-US"/>
        </w:rPr>
      </w:pPr>
      <w:bookmarkStart w:id="5" w:name="_Toc166680781"/>
      <w:r w:rsidRPr="00015C1F">
        <w:rPr>
          <w:lang w:val="en-US"/>
        </w:rPr>
        <w:lastRenderedPageBreak/>
        <w:t>Executive summary</w:t>
      </w:r>
      <w:bookmarkEnd w:id="5"/>
    </w:p>
    <w:p w14:paraId="7F89258E" w14:textId="77777777" w:rsidR="00015C1F" w:rsidRPr="00015C1F" w:rsidRDefault="00015C1F" w:rsidP="00015C1F">
      <w:pPr>
        <w:rPr>
          <w:lang w:val="en-US"/>
        </w:rPr>
      </w:pPr>
      <w:r w:rsidRPr="00015C1F">
        <w:rPr>
          <w:lang w:val="en-US"/>
        </w:rPr>
        <w:t>Victoria’s Bushfire Management Strategy (the Strategy) defines a vision and shared outcomes to guide bushfire management in Victoria for the next 10 years and how all Victorians will work together to progress these outcomes. Victoria’s Bushfire Monitoring, Evaluation and Reporting Framework (the Framework) contained within this document provides high-level guidance for monitoring, evaluation and reporting (MER) on the delivery of the Strategy.</w:t>
      </w:r>
    </w:p>
    <w:p w14:paraId="4B72BDFF" w14:textId="77777777" w:rsidR="00015C1F" w:rsidRPr="00015C1F" w:rsidRDefault="00015C1F" w:rsidP="00015C1F">
      <w:pPr>
        <w:rPr>
          <w:lang w:val="en-US"/>
        </w:rPr>
      </w:pPr>
      <w:r w:rsidRPr="00015C1F">
        <w:rPr>
          <w:lang w:val="en-US"/>
        </w:rPr>
        <w:t>The key objectives of the Framework are to:</w:t>
      </w:r>
    </w:p>
    <w:p w14:paraId="0BEFB62F" w14:textId="5143E0B9" w:rsidR="00015C1F" w:rsidRPr="00015C1F" w:rsidRDefault="00015C1F" w:rsidP="00015C1F">
      <w:pPr>
        <w:pStyle w:val="ListBullet"/>
        <w:rPr>
          <w:lang w:val="en-US"/>
        </w:rPr>
      </w:pPr>
      <w:r w:rsidRPr="00015C1F">
        <w:rPr>
          <w:lang w:val="en-US"/>
        </w:rPr>
        <w:t xml:space="preserve">demonstrate the sector’s progress towards the 7 outcomes of the Strategy </w:t>
      </w:r>
    </w:p>
    <w:p w14:paraId="062CD4B0" w14:textId="2157A47A" w:rsidR="00015C1F" w:rsidRPr="00015C1F" w:rsidRDefault="00015C1F" w:rsidP="00015C1F">
      <w:pPr>
        <w:pStyle w:val="ListBullet"/>
        <w:rPr>
          <w:lang w:val="en-US"/>
        </w:rPr>
      </w:pPr>
      <w:r w:rsidRPr="00015C1F">
        <w:rPr>
          <w:lang w:val="en-US"/>
        </w:rPr>
        <w:t xml:space="preserve">demonstrate sector performance to communities and government </w:t>
      </w:r>
    </w:p>
    <w:p w14:paraId="00E80C7A" w14:textId="5DB14780" w:rsidR="00015C1F" w:rsidRPr="00015C1F" w:rsidRDefault="00015C1F" w:rsidP="00015C1F">
      <w:pPr>
        <w:pStyle w:val="ListBullet"/>
        <w:rPr>
          <w:lang w:val="en-US"/>
        </w:rPr>
      </w:pPr>
      <w:r w:rsidRPr="00015C1F">
        <w:rPr>
          <w:lang w:val="en-US"/>
        </w:rPr>
        <w:t>contribute to the sector’s evidence base for bushfire management</w:t>
      </w:r>
    </w:p>
    <w:p w14:paraId="6133620F" w14:textId="2D49F75D" w:rsidR="00015C1F" w:rsidRPr="00015C1F" w:rsidRDefault="00015C1F" w:rsidP="00015C1F">
      <w:pPr>
        <w:pStyle w:val="ListBullet"/>
        <w:rPr>
          <w:lang w:val="en-US"/>
        </w:rPr>
      </w:pPr>
      <w:r w:rsidRPr="00015C1F">
        <w:rPr>
          <w:lang w:val="en-US"/>
        </w:rPr>
        <w:t>support decision-making and continuous improvement, including for future investment in the sector.</w:t>
      </w:r>
    </w:p>
    <w:p w14:paraId="0B45CD11" w14:textId="77777777" w:rsidR="00015C1F" w:rsidRPr="00015C1F" w:rsidRDefault="00015C1F" w:rsidP="00015C1F">
      <w:pPr>
        <w:rPr>
          <w:lang w:val="en-US"/>
        </w:rPr>
      </w:pPr>
      <w:r w:rsidRPr="00015C1F">
        <w:rPr>
          <w:lang w:val="en-US"/>
        </w:rPr>
        <w:t>The Framework provides the foundation for the development of a more detailed MER plan - Victoria’s Bushfire MER Plan (VBMER Plan) – that identifies how monitoring, evaluation and reporting will be led by the sector in partnership with the community. This will include governance arrangements, roles and responsibilities and specific MER actions. The VBMER Plan will be regularly reviewed to adapt to changing circumstances and new knowledge and information.</w:t>
      </w:r>
    </w:p>
    <w:p w14:paraId="0FD8CE89" w14:textId="77777777" w:rsidR="00015C1F" w:rsidRPr="00015C1F" w:rsidRDefault="00015C1F" w:rsidP="00015C1F">
      <w:pPr>
        <w:rPr>
          <w:lang w:val="en-US"/>
        </w:rPr>
      </w:pPr>
      <w:r w:rsidRPr="00015C1F">
        <w:rPr>
          <w:lang w:val="en-US"/>
        </w:rPr>
        <w:t>To achieve the above objectives, the Framework outlines:</w:t>
      </w:r>
    </w:p>
    <w:p w14:paraId="0B780A95" w14:textId="4EDACAD2" w:rsidR="00015C1F" w:rsidRPr="00015C1F" w:rsidRDefault="00015C1F" w:rsidP="00015C1F">
      <w:pPr>
        <w:pStyle w:val="ListBullet"/>
        <w:rPr>
          <w:lang w:val="en-US"/>
        </w:rPr>
      </w:pPr>
      <w:r w:rsidRPr="00015C1F">
        <w:rPr>
          <w:lang w:val="en-US"/>
        </w:rPr>
        <w:t>the intended audience and scope of the Framework and the role of the sector in its implementation</w:t>
      </w:r>
    </w:p>
    <w:p w14:paraId="173A9B12" w14:textId="36561B3F" w:rsidR="00015C1F" w:rsidRPr="00015C1F" w:rsidRDefault="00015C1F" w:rsidP="00015C1F">
      <w:pPr>
        <w:pStyle w:val="ListBullet"/>
        <w:rPr>
          <w:lang w:val="en-US"/>
        </w:rPr>
      </w:pPr>
      <w:r w:rsidRPr="00015C1F">
        <w:rPr>
          <w:lang w:val="en-US"/>
        </w:rPr>
        <w:lastRenderedPageBreak/>
        <w:t>the principles that underpin MER design and delivery</w:t>
      </w:r>
    </w:p>
    <w:p w14:paraId="3E5BCA12" w14:textId="1FEA9BB6" w:rsidR="00015C1F" w:rsidRPr="00015C1F" w:rsidRDefault="00015C1F" w:rsidP="00015C1F">
      <w:pPr>
        <w:pStyle w:val="ListBullet"/>
        <w:rPr>
          <w:lang w:val="en-US"/>
        </w:rPr>
      </w:pPr>
      <w:r w:rsidRPr="00015C1F">
        <w:rPr>
          <w:lang w:val="en-US"/>
        </w:rPr>
        <w:t>a conceptual model for MER of the Strategy that links MER to lessons and improvement, and Strategy review and implementation</w:t>
      </w:r>
    </w:p>
    <w:p w14:paraId="6263E7C8" w14:textId="54F90A93" w:rsidR="00015C1F" w:rsidRPr="00015C1F" w:rsidRDefault="00015C1F" w:rsidP="00015C1F">
      <w:pPr>
        <w:pStyle w:val="ListBullet"/>
        <w:rPr>
          <w:lang w:val="en-US"/>
        </w:rPr>
      </w:pPr>
      <w:r w:rsidRPr="00015C1F">
        <w:rPr>
          <w:lang w:val="en-US"/>
        </w:rPr>
        <w:t>intermediate outcomes and proposed preliminary measures that articulate the change we need to see to achieve the higher-level Strategy outcomes</w:t>
      </w:r>
    </w:p>
    <w:p w14:paraId="2DBFDC4B" w14:textId="2D54FBBB" w:rsidR="00015C1F" w:rsidRPr="00015C1F" w:rsidRDefault="00015C1F" w:rsidP="00015C1F">
      <w:pPr>
        <w:pStyle w:val="ListBullet"/>
        <w:rPr>
          <w:lang w:val="en-US"/>
        </w:rPr>
      </w:pPr>
      <w:r w:rsidRPr="00015C1F">
        <w:rPr>
          <w:lang w:val="en-US"/>
        </w:rPr>
        <w:t>the 5 focus areas for evaluation: appropriateness, effectiveness, efficiency, outcomes, and lessons and opportunities</w:t>
      </w:r>
    </w:p>
    <w:p w14:paraId="3472EDA8" w14:textId="24988E6E" w:rsidR="00015C1F" w:rsidRPr="00015C1F" w:rsidRDefault="00015C1F" w:rsidP="00015C1F">
      <w:pPr>
        <w:pStyle w:val="ListBullet"/>
        <w:rPr>
          <w:lang w:val="en-US"/>
        </w:rPr>
      </w:pPr>
      <w:r w:rsidRPr="00015C1F">
        <w:rPr>
          <w:lang w:val="en-US"/>
        </w:rPr>
        <w:t>key evaluation questions that will guide the MER activities</w:t>
      </w:r>
    </w:p>
    <w:p w14:paraId="381419A7" w14:textId="1C48BD95" w:rsidR="00015C1F" w:rsidRPr="00015C1F" w:rsidRDefault="00015C1F" w:rsidP="00015C1F">
      <w:pPr>
        <w:pStyle w:val="ListBullet"/>
        <w:rPr>
          <w:lang w:val="en-US"/>
        </w:rPr>
      </w:pPr>
      <w:r w:rsidRPr="00015C1F">
        <w:rPr>
          <w:lang w:val="en-US"/>
        </w:rPr>
        <w:t>evaluation and reporting timelines and objectives</w:t>
      </w:r>
    </w:p>
    <w:p w14:paraId="7628EA6A" w14:textId="15537E92" w:rsidR="00015C1F" w:rsidRPr="00015C1F" w:rsidRDefault="00015C1F" w:rsidP="00015C1F">
      <w:pPr>
        <w:pStyle w:val="ListBullet"/>
        <w:rPr>
          <w:lang w:val="en-US"/>
        </w:rPr>
      </w:pPr>
      <w:r w:rsidRPr="00015C1F">
        <w:rPr>
          <w:lang w:val="en-US"/>
        </w:rPr>
        <w:t>mechanisms for MER to inform continuous improvement</w:t>
      </w:r>
    </w:p>
    <w:p w14:paraId="1AB5E10B" w14:textId="7E058292" w:rsidR="00015C1F" w:rsidRPr="00015C1F" w:rsidRDefault="00015C1F" w:rsidP="00015C1F">
      <w:pPr>
        <w:pStyle w:val="ListBullet"/>
        <w:rPr>
          <w:lang w:val="en-US"/>
        </w:rPr>
      </w:pPr>
      <w:r w:rsidRPr="00015C1F">
        <w:rPr>
          <w:lang w:val="en-US"/>
        </w:rPr>
        <w:t>a phased approach to implementation of the Framework to enable the sector to build its capacity and capability to deliver MER over time.</w:t>
      </w:r>
    </w:p>
    <w:p w14:paraId="4E871246" w14:textId="77777777" w:rsidR="00015C1F" w:rsidRPr="00015C1F" w:rsidRDefault="00015C1F" w:rsidP="00015C1F">
      <w:pPr>
        <w:rPr>
          <w:lang w:val="en-US"/>
        </w:rPr>
      </w:pPr>
      <w:r w:rsidRPr="00015C1F">
        <w:rPr>
          <w:b/>
          <w:bCs/>
          <w:lang w:val="en-US"/>
        </w:rPr>
        <w:t>Figure 1</w:t>
      </w:r>
      <w:r w:rsidRPr="00015C1F">
        <w:rPr>
          <w:lang w:val="en-US"/>
        </w:rPr>
        <w:t xml:space="preserve"> provides an overview of the key elements of the Framework and how it informs continuous improvement of the Strategy and its implementation. It outlines how the Strategy and Framework provide the outcomes and intermediate outcomes that are the immediate focus of MER in Phase 1 of implementation. These outcomes inform annual tracking of Strategy progress. </w:t>
      </w:r>
    </w:p>
    <w:p w14:paraId="2ED4F8DF" w14:textId="77777777" w:rsidR="00015C1F" w:rsidRPr="00015C1F" w:rsidRDefault="00015C1F" w:rsidP="00015C1F">
      <w:pPr>
        <w:rPr>
          <w:lang w:val="en-US"/>
        </w:rPr>
      </w:pPr>
      <w:r w:rsidRPr="00015C1F">
        <w:rPr>
          <w:lang w:val="en-US"/>
        </w:rPr>
        <w:t>In Phase 2, the scope of MER will expand to include 5 evaluation focus areas: appropriateness, effectiveness, efficiency, outcomes and lessons and opportunities. In this phase, MER activities will expand to provide annual reports and periodic evaluations that provide information and evidence to inform decision-making and improvement processes. This is a critical element for informing continuous improvement of the Strategy and its implementation.</w:t>
      </w:r>
    </w:p>
    <w:p w14:paraId="199BB1AE" w14:textId="77777777" w:rsidR="00CD46A6" w:rsidRDefault="00CD46A6" w:rsidP="00CD46A6">
      <w:pPr>
        <w:keepNext/>
      </w:pPr>
      <w:r>
        <w:rPr>
          <w:noProof/>
          <w:lang w:val="en-US"/>
        </w:rPr>
        <w:lastRenderedPageBreak/>
        <w:drawing>
          <wp:inline distT="0" distB="0" distL="0" distR="0" wp14:anchorId="34B39A61" wp14:editId="551C7E24">
            <wp:extent cx="5600534" cy="3041150"/>
            <wp:effectExtent l="0" t="0" r="635" b="0"/>
            <wp:docPr id="1617653191" name="Picture 7" descr="A diagram of how the key elements of the framework and how they inform continuous improvement of Victoria's Bushfire Management Strat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53191" name="Picture 7" descr="A diagram of how the key elements of the framework and how they inform continuous improvement of Victoria's Bushfire Management Stratey"/>
                    <pic:cNvPicPr/>
                  </pic:nvPicPr>
                  <pic:blipFill>
                    <a:blip r:embed="rId8">
                      <a:extLst>
                        <a:ext uri="{28A0092B-C50C-407E-A947-70E740481C1C}">
                          <a14:useLocalDpi xmlns:a14="http://schemas.microsoft.com/office/drawing/2010/main" val="0"/>
                        </a:ext>
                      </a:extLst>
                    </a:blip>
                    <a:stretch>
                      <a:fillRect/>
                    </a:stretch>
                  </pic:blipFill>
                  <pic:spPr>
                    <a:xfrm>
                      <a:off x="0" y="0"/>
                      <a:ext cx="5614679" cy="3048831"/>
                    </a:xfrm>
                    <a:prstGeom prst="rect">
                      <a:avLst/>
                    </a:prstGeom>
                  </pic:spPr>
                </pic:pic>
              </a:graphicData>
            </a:graphic>
          </wp:inline>
        </w:drawing>
      </w:r>
    </w:p>
    <w:p w14:paraId="3B5C5D00" w14:textId="4DC29670" w:rsidR="00015C1F" w:rsidRPr="00015C1F" w:rsidRDefault="00CD46A6" w:rsidP="00CD46A6">
      <w:pPr>
        <w:pStyle w:val="Caption"/>
        <w:rPr>
          <w:lang w:val="en-US"/>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CF6905">
        <w:t>Overview of the key elements of the Framework and how it informs continuous improvement of the Strategy.</w:t>
      </w:r>
    </w:p>
    <w:p w14:paraId="4599816A" w14:textId="77777777" w:rsidR="00015C1F" w:rsidRPr="00015C1F" w:rsidRDefault="00015C1F" w:rsidP="00015C1F">
      <w:pPr>
        <w:pStyle w:val="Heading1"/>
        <w:rPr>
          <w:lang w:val="en-US"/>
        </w:rPr>
      </w:pPr>
      <w:bookmarkStart w:id="6" w:name="_Toc166680782"/>
      <w:r w:rsidRPr="00015C1F">
        <w:rPr>
          <w:lang w:val="en-US"/>
        </w:rPr>
        <w:t>1.</w:t>
      </w:r>
      <w:r w:rsidRPr="00015C1F">
        <w:rPr>
          <w:lang w:val="en-US"/>
        </w:rPr>
        <w:tab/>
        <w:t>Introduction</w:t>
      </w:r>
      <w:bookmarkEnd w:id="6"/>
    </w:p>
    <w:p w14:paraId="2D0688B7" w14:textId="77777777" w:rsidR="00015C1F" w:rsidRPr="00015C1F" w:rsidRDefault="00015C1F" w:rsidP="00015C1F">
      <w:pPr>
        <w:rPr>
          <w:lang w:val="en-US"/>
        </w:rPr>
      </w:pPr>
      <w:r w:rsidRPr="00015C1F">
        <w:rPr>
          <w:lang w:val="en-US"/>
        </w:rPr>
        <w:t>MER frameworks and plans define the scope of monitoring and evaluation so that we know what information to collect and when. They establish guidance and processes to help us to understand what is and isn’t working about the strategies, programs and projects we implement, and ensure that what is learnt is used to continually adapt and improve as needed.</w:t>
      </w:r>
    </w:p>
    <w:p w14:paraId="6EB799B6" w14:textId="77777777" w:rsidR="00015C1F" w:rsidRPr="00015C1F" w:rsidRDefault="00015C1F" w:rsidP="00015C1F">
      <w:pPr>
        <w:rPr>
          <w:lang w:val="en-US"/>
        </w:rPr>
      </w:pPr>
      <w:r w:rsidRPr="00015C1F">
        <w:rPr>
          <w:lang w:val="en-US"/>
        </w:rPr>
        <w:t xml:space="preserve">This Framework provides a high-level approach to monitor, evaluate and report (MER) on the delivery of the Strategy. The Framework is designed to provide consistent MER guidance over the life of the Strategy (2024-2034) </w:t>
      </w:r>
      <w:proofErr w:type="gramStart"/>
      <w:r w:rsidRPr="00015C1F">
        <w:rPr>
          <w:lang w:val="en-US"/>
        </w:rPr>
        <w:t>and,</w:t>
      </w:r>
      <w:proofErr w:type="gramEnd"/>
      <w:r w:rsidRPr="00015C1F">
        <w:rPr>
          <w:lang w:val="en-US"/>
        </w:rPr>
        <w:t xml:space="preserve"> as shown in </w:t>
      </w:r>
      <w:r w:rsidRPr="00015C1F">
        <w:rPr>
          <w:b/>
          <w:bCs/>
          <w:lang w:val="en-US"/>
        </w:rPr>
        <w:t>Figure 2</w:t>
      </w:r>
      <w:r w:rsidRPr="00015C1F">
        <w:rPr>
          <w:lang w:val="en-US"/>
        </w:rPr>
        <w:t>, will be supported by a more detailed MER plan - Victoria’s Bushfire MER Plan (VBMER Plan). The VBMER Plan will provide specific activity detail for delivering the VBMERF and will be regularly reviewed to ensure it remains relevant and fit for purpose. A VBMERF schedule has been developed as a first step towards the VBMER Plan. It outlines the initial elements and will form the basis for further development.</w:t>
      </w:r>
    </w:p>
    <w:p w14:paraId="4E40ECA9" w14:textId="77777777" w:rsidR="00CD46A6" w:rsidRDefault="00CD46A6" w:rsidP="00CD46A6">
      <w:pPr>
        <w:keepNext/>
      </w:pPr>
      <w:r>
        <w:rPr>
          <w:noProof/>
          <w:lang w:val="en-US"/>
        </w:rPr>
        <w:lastRenderedPageBreak/>
        <w:drawing>
          <wp:inline distT="0" distB="0" distL="0" distR="0" wp14:anchorId="3E0BCEE5" wp14:editId="5F2C4104">
            <wp:extent cx="5679953" cy="1684962"/>
            <wp:effectExtent l="0" t="0" r="0" b="4445"/>
            <wp:docPr id="1310928761" name="Picture 6" descr="A diagram showing how the framework will be supported by a monitoring, evaluation and reporting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28761" name="Picture 6" descr="A diagram showing how the framework will be supported by a monitoring, evaluation and reporting plan."/>
                    <pic:cNvPicPr/>
                  </pic:nvPicPr>
                  <pic:blipFill>
                    <a:blip r:embed="rId9">
                      <a:extLst>
                        <a:ext uri="{28A0092B-C50C-407E-A947-70E740481C1C}">
                          <a14:useLocalDpi xmlns:a14="http://schemas.microsoft.com/office/drawing/2010/main" val="0"/>
                        </a:ext>
                      </a:extLst>
                    </a:blip>
                    <a:stretch>
                      <a:fillRect/>
                    </a:stretch>
                  </pic:blipFill>
                  <pic:spPr>
                    <a:xfrm>
                      <a:off x="0" y="0"/>
                      <a:ext cx="5701059" cy="1691223"/>
                    </a:xfrm>
                    <a:prstGeom prst="rect">
                      <a:avLst/>
                    </a:prstGeom>
                  </pic:spPr>
                </pic:pic>
              </a:graphicData>
            </a:graphic>
          </wp:inline>
        </w:drawing>
      </w:r>
    </w:p>
    <w:p w14:paraId="1490D507" w14:textId="5E1B46D8" w:rsidR="00015C1F" w:rsidRPr="00015C1F" w:rsidRDefault="00CD46A6" w:rsidP="00CD46A6">
      <w:pPr>
        <w:pStyle w:val="Caption"/>
        <w:rPr>
          <w:lang w:val="en-US"/>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D10EBF">
        <w:t>High-level overview of the scope of the Framework and supporting VBMER Plan.</w:t>
      </w:r>
    </w:p>
    <w:p w14:paraId="7A926B4F" w14:textId="77777777" w:rsidR="00015C1F" w:rsidRPr="00015C1F" w:rsidRDefault="00015C1F" w:rsidP="00015C1F">
      <w:pPr>
        <w:pStyle w:val="Heading2"/>
        <w:rPr>
          <w:lang w:val="en-US"/>
        </w:rPr>
      </w:pPr>
      <w:bookmarkStart w:id="7" w:name="_Toc166680783"/>
      <w:r w:rsidRPr="00015C1F">
        <w:rPr>
          <w:lang w:val="en-US"/>
        </w:rPr>
        <w:t>1.1.</w:t>
      </w:r>
      <w:r w:rsidRPr="00015C1F">
        <w:rPr>
          <w:lang w:val="en-US"/>
        </w:rPr>
        <w:tab/>
        <w:t>Audience</w:t>
      </w:r>
      <w:bookmarkEnd w:id="7"/>
    </w:p>
    <w:p w14:paraId="5E2BAD0F" w14:textId="77777777" w:rsidR="00015C1F" w:rsidRPr="00015C1F" w:rsidRDefault="00015C1F" w:rsidP="00015C1F">
      <w:pPr>
        <w:rPr>
          <w:lang w:val="en-US"/>
        </w:rPr>
      </w:pPr>
      <w:r w:rsidRPr="00015C1F">
        <w:rPr>
          <w:b/>
          <w:bCs/>
          <w:lang w:val="en-US"/>
        </w:rPr>
        <w:t>Table 1</w:t>
      </w:r>
      <w:r w:rsidRPr="00015C1F">
        <w:rPr>
          <w:lang w:val="en-US"/>
        </w:rPr>
        <w:t xml:space="preserve"> identifies the various audiences for the Framework including:</w:t>
      </w:r>
    </w:p>
    <w:p w14:paraId="4C9AFFED" w14:textId="143D8351" w:rsidR="00015C1F" w:rsidRPr="00015C1F" w:rsidRDefault="00015C1F" w:rsidP="00015C1F">
      <w:pPr>
        <w:pStyle w:val="ListBullet"/>
        <w:rPr>
          <w:lang w:val="en-US"/>
        </w:rPr>
      </w:pPr>
      <w:r w:rsidRPr="00015C1F">
        <w:rPr>
          <w:b/>
          <w:bCs/>
          <w:lang w:val="en-US"/>
        </w:rPr>
        <w:t>primary audience</w:t>
      </w:r>
      <w:r w:rsidRPr="00015C1F">
        <w:rPr>
          <w:lang w:val="en-US"/>
        </w:rPr>
        <w:t xml:space="preserve">: these are sector partners who will </w:t>
      </w:r>
      <w:proofErr w:type="spellStart"/>
      <w:r w:rsidRPr="00015C1F">
        <w:rPr>
          <w:lang w:val="en-US"/>
        </w:rPr>
        <w:t>utilise</w:t>
      </w:r>
      <w:proofErr w:type="spellEnd"/>
      <w:r w:rsidRPr="00015C1F">
        <w:rPr>
          <w:lang w:val="en-US"/>
        </w:rPr>
        <w:t xml:space="preserve"> the Framework to guide their work</w:t>
      </w:r>
    </w:p>
    <w:p w14:paraId="7158FB04" w14:textId="2F6BF80A" w:rsidR="00015C1F" w:rsidRPr="00015C1F" w:rsidRDefault="00015C1F" w:rsidP="00015C1F">
      <w:pPr>
        <w:pStyle w:val="ListBullet"/>
        <w:rPr>
          <w:lang w:val="en-US"/>
        </w:rPr>
      </w:pPr>
      <w:r w:rsidRPr="00015C1F">
        <w:rPr>
          <w:b/>
          <w:bCs/>
          <w:lang w:val="en-US"/>
        </w:rPr>
        <w:t>secondary audience</w:t>
      </w:r>
      <w:r w:rsidRPr="00015C1F">
        <w:rPr>
          <w:lang w:val="en-US"/>
        </w:rPr>
        <w:t xml:space="preserve">: these are stakeholders or </w:t>
      </w:r>
      <w:proofErr w:type="spellStart"/>
      <w:r w:rsidRPr="00015C1F">
        <w:rPr>
          <w:lang w:val="en-US"/>
        </w:rPr>
        <w:t>organisations</w:t>
      </w:r>
      <w:proofErr w:type="spellEnd"/>
      <w:r w:rsidRPr="00015C1F">
        <w:rPr>
          <w:lang w:val="en-US"/>
        </w:rPr>
        <w:t xml:space="preserve"> that will benefit from or value understanding the Framework (for example, for the purposes of transparency) but will be less directly involved in delivering MER activities.</w:t>
      </w:r>
    </w:p>
    <w:p w14:paraId="7DA2B313" w14:textId="7EB44AC0" w:rsidR="00015C1F" w:rsidRPr="00015C1F" w:rsidRDefault="00015C1F" w:rsidP="00015C1F">
      <w:pPr>
        <w:pStyle w:val="Caption"/>
        <w:rPr>
          <w:lang w:val="en-US"/>
        </w:rPr>
      </w:pPr>
      <w:r w:rsidRPr="00015C1F">
        <w:rPr>
          <w:b/>
          <w:bCs/>
          <w:lang w:val="en-US"/>
        </w:rPr>
        <w:t>Table 1</w:t>
      </w:r>
      <w:r>
        <w:rPr>
          <w:b/>
          <w:bCs/>
          <w:lang w:val="en-US"/>
        </w:rPr>
        <w:t xml:space="preserve">. </w:t>
      </w:r>
      <w:r w:rsidRPr="00015C1F">
        <w:rPr>
          <w:lang w:val="en-US"/>
        </w:rPr>
        <w:t>Audiences for the Victorian Bushfire Monitoring, Evaluation and Reporting Framework.</w:t>
      </w:r>
    </w:p>
    <w:tbl>
      <w:tblPr>
        <w:tblStyle w:val="TableGrid"/>
        <w:tblpPr w:leftFromText="180" w:rightFromText="180" w:vertAnchor="text" w:tblpY="1"/>
        <w:tblOverlap w:val="never"/>
        <w:tblW w:w="8350" w:type="dxa"/>
        <w:tblLayout w:type="fixed"/>
        <w:tblLook w:val="0020" w:firstRow="1" w:lastRow="0" w:firstColumn="0" w:lastColumn="0" w:noHBand="0" w:noVBand="0"/>
      </w:tblPr>
      <w:tblGrid>
        <w:gridCol w:w="2405"/>
        <w:gridCol w:w="2552"/>
        <w:gridCol w:w="3393"/>
      </w:tblGrid>
      <w:tr w:rsidR="009E5B3E" w:rsidRPr="00015C1F" w14:paraId="597CFB20" w14:textId="77777777" w:rsidTr="00A2103E">
        <w:trPr>
          <w:cantSplit/>
          <w:trHeight w:val="293"/>
          <w:tblHeader/>
        </w:trPr>
        <w:tc>
          <w:tcPr>
            <w:tcW w:w="2405" w:type="dxa"/>
          </w:tcPr>
          <w:p w14:paraId="23802EBC" w14:textId="2350B99A" w:rsidR="009E5B3E" w:rsidRPr="00015C1F" w:rsidRDefault="009E5B3E" w:rsidP="00A2103E">
            <w:pPr>
              <w:rPr>
                <w:b/>
                <w:bCs/>
                <w:lang w:val="en-US"/>
              </w:rPr>
            </w:pPr>
            <w:r>
              <w:rPr>
                <w:b/>
                <w:bCs/>
                <w:lang w:val="en-US"/>
              </w:rPr>
              <w:t>Primary audience</w:t>
            </w:r>
          </w:p>
        </w:tc>
        <w:tc>
          <w:tcPr>
            <w:tcW w:w="2552" w:type="dxa"/>
          </w:tcPr>
          <w:p w14:paraId="7205763E" w14:textId="46D2E3F6" w:rsidR="009E5B3E" w:rsidRPr="00015C1F" w:rsidRDefault="009E5B3E" w:rsidP="00A2103E">
            <w:pPr>
              <w:rPr>
                <w:b/>
                <w:bCs/>
                <w:lang w:val="en-US"/>
              </w:rPr>
            </w:pPr>
            <w:r w:rsidRPr="00015C1F">
              <w:rPr>
                <w:b/>
                <w:bCs/>
                <w:lang w:val="en-US"/>
              </w:rPr>
              <w:t>Intended use</w:t>
            </w:r>
          </w:p>
        </w:tc>
        <w:tc>
          <w:tcPr>
            <w:tcW w:w="3393" w:type="dxa"/>
          </w:tcPr>
          <w:p w14:paraId="569627AD" w14:textId="77777777" w:rsidR="009E5B3E" w:rsidRPr="00015C1F" w:rsidRDefault="009E5B3E" w:rsidP="00A2103E">
            <w:pPr>
              <w:rPr>
                <w:b/>
                <w:bCs/>
                <w:lang w:val="en-US"/>
              </w:rPr>
            </w:pPr>
            <w:r w:rsidRPr="00015C1F">
              <w:rPr>
                <w:b/>
                <w:bCs/>
                <w:lang w:val="en-US"/>
              </w:rPr>
              <w:t>Value for audience</w:t>
            </w:r>
          </w:p>
        </w:tc>
      </w:tr>
      <w:tr w:rsidR="009E5B3E" w:rsidRPr="00015C1F" w14:paraId="397C6D28" w14:textId="77777777" w:rsidTr="00A2103E">
        <w:trPr>
          <w:trHeight w:val="60"/>
        </w:trPr>
        <w:tc>
          <w:tcPr>
            <w:tcW w:w="2405" w:type="dxa"/>
          </w:tcPr>
          <w:p w14:paraId="36173E8D" w14:textId="1492FB9E" w:rsidR="009E5B3E" w:rsidRPr="00015C1F" w:rsidRDefault="009E5B3E" w:rsidP="00A2103E">
            <w:pPr>
              <w:rPr>
                <w:lang w:val="en-US"/>
              </w:rPr>
            </w:pPr>
            <w:r w:rsidRPr="00015C1F">
              <w:rPr>
                <w:lang w:val="en-US"/>
              </w:rPr>
              <w:t>Government</w:t>
            </w:r>
          </w:p>
        </w:tc>
        <w:tc>
          <w:tcPr>
            <w:tcW w:w="2552" w:type="dxa"/>
          </w:tcPr>
          <w:p w14:paraId="460EED96" w14:textId="548CBC0E" w:rsidR="009E5B3E" w:rsidRPr="00015C1F" w:rsidRDefault="009E5B3E" w:rsidP="00A2103E">
            <w:pPr>
              <w:rPr>
                <w:lang w:val="en-US"/>
              </w:rPr>
            </w:pPr>
            <w:r w:rsidRPr="00015C1F">
              <w:rPr>
                <w:lang w:val="en-US"/>
              </w:rPr>
              <w:t>Accountability</w:t>
            </w:r>
          </w:p>
        </w:tc>
        <w:tc>
          <w:tcPr>
            <w:tcW w:w="3393" w:type="dxa"/>
          </w:tcPr>
          <w:p w14:paraId="45BD6FE1" w14:textId="77777777" w:rsidR="009E5B3E" w:rsidRPr="00015C1F" w:rsidRDefault="009E5B3E" w:rsidP="00A2103E">
            <w:pPr>
              <w:pStyle w:val="ListBullet"/>
              <w:rPr>
                <w:lang w:val="en-US"/>
              </w:rPr>
            </w:pPr>
            <w:r w:rsidRPr="00015C1F">
              <w:rPr>
                <w:lang w:val="en-US"/>
              </w:rPr>
              <w:t xml:space="preserve">allows audience to review what government departments and agencies have committed to deliver relating to MER </w:t>
            </w:r>
          </w:p>
          <w:p w14:paraId="0F79E328" w14:textId="77777777" w:rsidR="009E5B3E" w:rsidRPr="00015C1F" w:rsidRDefault="009E5B3E" w:rsidP="00A2103E">
            <w:pPr>
              <w:pStyle w:val="ListBullet"/>
              <w:rPr>
                <w:lang w:val="en-US"/>
              </w:rPr>
            </w:pPr>
            <w:r w:rsidRPr="00015C1F">
              <w:rPr>
                <w:lang w:val="en-US"/>
              </w:rPr>
              <w:t>provides high-level overview of the governance structure for how the Framework will be implemented</w:t>
            </w:r>
          </w:p>
          <w:p w14:paraId="520C35E5" w14:textId="77777777" w:rsidR="009E5B3E" w:rsidRPr="00015C1F" w:rsidRDefault="009E5B3E" w:rsidP="00A2103E">
            <w:pPr>
              <w:pStyle w:val="ListBullet"/>
              <w:rPr>
                <w:lang w:val="en-US"/>
              </w:rPr>
            </w:pPr>
            <w:r w:rsidRPr="00015C1F">
              <w:rPr>
                <w:lang w:val="en-US"/>
              </w:rPr>
              <w:t>facilitates planning and coordination for bushfire management at all levels of government to inform investment.</w:t>
            </w:r>
          </w:p>
        </w:tc>
      </w:tr>
      <w:tr w:rsidR="009E5B3E" w:rsidRPr="00015C1F" w14:paraId="2866A3E9" w14:textId="77777777" w:rsidTr="00A2103E">
        <w:trPr>
          <w:trHeight w:val="60"/>
        </w:trPr>
        <w:tc>
          <w:tcPr>
            <w:tcW w:w="2405" w:type="dxa"/>
          </w:tcPr>
          <w:p w14:paraId="0E9BD458" w14:textId="3FC510E3" w:rsidR="009E5B3E" w:rsidRPr="00015C1F" w:rsidRDefault="009E5B3E" w:rsidP="00A2103E">
            <w:pPr>
              <w:rPr>
                <w:lang w:val="en-US"/>
              </w:rPr>
            </w:pPr>
            <w:r w:rsidRPr="00015C1F">
              <w:rPr>
                <w:lang w:val="en-US"/>
              </w:rPr>
              <w:lastRenderedPageBreak/>
              <w:t>Office of Bushfire Risk Management (OBRM)</w:t>
            </w:r>
          </w:p>
        </w:tc>
        <w:tc>
          <w:tcPr>
            <w:tcW w:w="2552" w:type="dxa"/>
          </w:tcPr>
          <w:p w14:paraId="46124ACC" w14:textId="76A40D36" w:rsidR="009E5B3E" w:rsidRPr="00015C1F" w:rsidRDefault="009E5B3E" w:rsidP="00A2103E">
            <w:pPr>
              <w:rPr>
                <w:lang w:val="en-US"/>
              </w:rPr>
            </w:pPr>
            <w:r w:rsidRPr="00015C1F">
              <w:rPr>
                <w:lang w:val="en-US"/>
              </w:rPr>
              <w:t xml:space="preserve">Guidance </w:t>
            </w:r>
          </w:p>
          <w:p w14:paraId="46CC57C4" w14:textId="77777777" w:rsidR="009E5B3E" w:rsidRPr="00015C1F" w:rsidRDefault="009E5B3E" w:rsidP="00A2103E">
            <w:pPr>
              <w:rPr>
                <w:lang w:val="en-US"/>
              </w:rPr>
            </w:pPr>
            <w:r w:rsidRPr="00015C1F">
              <w:rPr>
                <w:lang w:val="en-US"/>
              </w:rPr>
              <w:t>Accountability</w:t>
            </w:r>
          </w:p>
        </w:tc>
        <w:tc>
          <w:tcPr>
            <w:tcW w:w="3393" w:type="dxa"/>
          </w:tcPr>
          <w:p w14:paraId="284FC402" w14:textId="77777777" w:rsidR="009E5B3E" w:rsidRPr="007F08B3" w:rsidRDefault="009E5B3E" w:rsidP="00A2103E">
            <w:pPr>
              <w:pStyle w:val="ListBullet"/>
            </w:pPr>
            <w:r w:rsidRPr="007F08B3">
              <w:t>provides high-level guidance on what will be evaluated (when and how) to support coordination of monitoring and evaluation by the sector</w:t>
            </w:r>
          </w:p>
          <w:p w14:paraId="171F5759" w14:textId="77777777" w:rsidR="009E5B3E" w:rsidRPr="007F08B3" w:rsidRDefault="009E5B3E" w:rsidP="00A2103E">
            <w:pPr>
              <w:pStyle w:val="ListBullet"/>
            </w:pPr>
            <w:r w:rsidRPr="007F08B3">
              <w:t>informs delivery of MER, including needs, timing and resource management.</w:t>
            </w:r>
          </w:p>
        </w:tc>
      </w:tr>
      <w:tr w:rsidR="009E5B3E" w:rsidRPr="00015C1F" w14:paraId="2DB5C555" w14:textId="77777777" w:rsidTr="00A2103E">
        <w:trPr>
          <w:trHeight w:val="60"/>
        </w:trPr>
        <w:tc>
          <w:tcPr>
            <w:tcW w:w="2405" w:type="dxa"/>
          </w:tcPr>
          <w:p w14:paraId="2FEE72F8" w14:textId="655BA3E5" w:rsidR="009E5B3E" w:rsidRPr="00015C1F" w:rsidRDefault="009E5B3E" w:rsidP="00A2103E">
            <w:pPr>
              <w:rPr>
                <w:lang w:val="en-US"/>
              </w:rPr>
            </w:pPr>
            <w:r w:rsidRPr="00015C1F">
              <w:rPr>
                <w:lang w:val="en-US"/>
              </w:rPr>
              <w:t>Sector partners</w:t>
            </w:r>
          </w:p>
        </w:tc>
        <w:tc>
          <w:tcPr>
            <w:tcW w:w="2552" w:type="dxa"/>
          </w:tcPr>
          <w:p w14:paraId="33F96936" w14:textId="4701ED03" w:rsidR="009E5B3E" w:rsidRPr="00015C1F" w:rsidRDefault="009E5B3E" w:rsidP="00A2103E">
            <w:pPr>
              <w:rPr>
                <w:lang w:val="en-US"/>
              </w:rPr>
            </w:pPr>
            <w:r w:rsidRPr="00015C1F">
              <w:rPr>
                <w:lang w:val="en-US"/>
              </w:rPr>
              <w:t>Guidance</w:t>
            </w:r>
          </w:p>
          <w:p w14:paraId="02460C45" w14:textId="77777777" w:rsidR="009E5B3E" w:rsidRPr="00015C1F" w:rsidRDefault="009E5B3E" w:rsidP="00A2103E">
            <w:pPr>
              <w:rPr>
                <w:lang w:val="en-US"/>
              </w:rPr>
            </w:pPr>
            <w:r w:rsidRPr="00015C1F">
              <w:rPr>
                <w:lang w:val="en-US"/>
              </w:rPr>
              <w:t xml:space="preserve">Accountability </w:t>
            </w:r>
          </w:p>
        </w:tc>
        <w:tc>
          <w:tcPr>
            <w:tcW w:w="3393" w:type="dxa"/>
          </w:tcPr>
          <w:p w14:paraId="545169C3" w14:textId="77777777" w:rsidR="009E5B3E" w:rsidRPr="007F08B3" w:rsidRDefault="009E5B3E" w:rsidP="00A2103E">
            <w:pPr>
              <w:pStyle w:val="ListBullet"/>
            </w:pPr>
            <w:r w:rsidRPr="007F08B3">
              <w:t xml:space="preserve">provides high-level guidance on what will be evaluated (when and how) </w:t>
            </w:r>
          </w:p>
          <w:p w14:paraId="52534E9C" w14:textId="77777777" w:rsidR="009E5B3E" w:rsidRPr="007F08B3" w:rsidRDefault="009E5B3E" w:rsidP="00A2103E">
            <w:pPr>
              <w:pStyle w:val="ListBullet"/>
            </w:pPr>
            <w:r w:rsidRPr="007F08B3">
              <w:t>reviews and understands the sector’s MER commitments and contribution expectations</w:t>
            </w:r>
          </w:p>
          <w:p w14:paraId="60FB8F4F" w14:textId="77777777" w:rsidR="009E5B3E" w:rsidRPr="007F08B3" w:rsidRDefault="009E5B3E" w:rsidP="00A2103E">
            <w:pPr>
              <w:pStyle w:val="ListBullet"/>
            </w:pPr>
            <w:r w:rsidRPr="007F08B3">
              <w:t>informs project and program design, development and evaluation.</w:t>
            </w:r>
          </w:p>
        </w:tc>
      </w:tr>
      <w:tr w:rsidR="009E5B3E" w:rsidRPr="00015C1F" w14:paraId="42EBD20C" w14:textId="77777777" w:rsidTr="00A2103E">
        <w:trPr>
          <w:trHeight w:val="60"/>
        </w:trPr>
        <w:tc>
          <w:tcPr>
            <w:tcW w:w="2405" w:type="dxa"/>
          </w:tcPr>
          <w:p w14:paraId="330AAA35" w14:textId="7A866E99" w:rsidR="009E5B3E" w:rsidRPr="00015C1F" w:rsidRDefault="009E5B3E" w:rsidP="00A2103E">
            <w:pPr>
              <w:rPr>
                <w:lang w:val="en-US"/>
              </w:rPr>
            </w:pPr>
            <w:r w:rsidRPr="00015C1F">
              <w:rPr>
                <w:lang w:val="en-US"/>
              </w:rPr>
              <w:t>Victorian communities</w:t>
            </w:r>
          </w:p>
        </w:tc>
        <w:tc>
          <w:tcPr>
            <w:tcW w:w="2552" w:type="dxa"/>
          </w:tcPr>
          <w:p w14:paraId="34AC88BE" w14:textId="6E7FAC87" w:rsidR="009E5B3E" w:rsidRPr="00015C1F" w:rsidRDefault="009E5B3E" w:rsidP="00A2103E">
            <w:pPr>
              <w:rPr>
                <w:lang w:val="en-US"/>
              </w:rPr>
            </w:pPr>
            <w:r w:rsidRPr="00015C1F">
              <w:rPr>
                <w:lang w:val="en-US"/>
              </w:rPr>
              <w:t>General information</w:t>
            </w:r>
          </w:p>
          <w:p w14:paraId="5A06C3C7" w14:textId="77777777" w:rsidR="009E5B3E" w:rsidRPr="00015C1F" w:rsidRDefault="009E5B3E" w:rsidP="00A2103E">
            <w:pPr>
              <w:rPr>
                <w:lang w:val="en-US"/>
              </w:rPr>
            </w:pPr>
            <w:r w:rsidRPr="00015C1F">
              <w:rPr>
                <w:lang w:val="en-US"/>
              </w:rPr>
              <w:t>Transparency</w:t>
            </w:r>
          </w:p>
        </w:tc>
        <w:tc>
          <w:tcPr>
            <w:tcW w:w="3393" w:type="dxa"/>
          </w:tcPr>
          <w:p w14:paraId="50919291" w14:textId="77777777" w:rsidR="009E5B3E" w:rsidRPr="007F08B3" w:rsidRDefault="009E5B3E" w:rsidP="00A2103E">
            <w:pPr>
              <w:pStyle w:val="ListBullet"/>
            </w:pPr>
            <w:r w:rsidRPr="007F08B3">
              <w:t>provides high level insights and information on what the sector is working towards and how this will be evaluated</w:t>
            </w:r>
          </w:p>
          <w:p w14:paraId="7BB0A661" w14:textId="77777777" w:rsidR="009E5B3E" w:rsidRPr="007F08B3" w:rsidRDefault="009E5B3E" w:rsidP="00A2103E">
            <w:pPr>
              <w:pStyle w:val="ListBullet"/>
            </w:pPr>
            <w:r w:rsidRPr="007F08B3">
              <w:t>holds the government accountable for delivering bushfire management outcomes.</w:t>
            </w:r>
          </w:p>
        </w:tc>
      </w:tr>
      <w:tr w:rsidR="009E5B3E" w:rsidRPr="00015C1F" w14:paraId="65839627" w14:textId="77777777" w:rsidTr="00A2103E">
        <w:trPr>
          <w:trHeight w:val="60"/>
        </w:trPr>
        <w:tc>
          <w:tcPr>
            <w:tcW w:w="2405" w:type="dxa"/>
          </w:tcPr>
          <w:p w14:paraId="3DAC0600" w14:textId="5837333B" w:rsidR="009E5B3E" w:rsidRPr="009E5B3E" w:rsidRDefault="009E5B3E" w:rsidP="00A2103E">
            <w:pPr>
              <w:rPr>
                <w:b/>
                <w:bCs/>
                <w:lang w:val="en-US"/>
              </w:rPr>
            </w:pPr>
            <w:r w:rsidRPr="009E5B3E">
              <w:rPr>
                <w:b/>
                <w:bCs/>
                <w:lang w:val="en-US"/>
              </w:rPr>
              <w:t>Secondary audience</w:t>
            </w:r>
          </w:p>
        </w:tc>
        <w:tc>
          <w:tcPr>
            <w:tcW w:w="2552" w:type="dxa"/>
          </w:tcPr>
          <w:p w14:paraId="0B6EF197" w14:textId="4A4436F0" w:rsidR="009E5B3E" w:rsidRPr="00EC0554" w:rsidRDefault="009E5B3E" w:rsidP="00A2103E">
            <w:pPr>
              <w:rPr>
                <w:b/>
                <w:bCs/>
                <w:lang w:val="en-US"/>
              </w:rPr>
            </w:pPr>
            <w:r w:rsidRPr="00EC0554">
              <w:rPr>
                <w:b/>
                <w:bCs/>
                <w:lang w:val="en-US"/>
              </w:rPr>
              <w:t>Intended use</w:t>
            </w:r>
          </w:p>
        </w:tc>
        <w:tc>
          <w:tcPr>
            <w:tcW w:w="3393" w:type="dxa"/>
          </w:tcPr>
          <w:p w14:paraId="3A36DB30" w14:textId="3CF1154B" w:rsidR="009E5B3E" w:rsidRPr="00EC0554" w:rsidRDefault="009E5B3E" w:rsidP="00A2103E">
            <w:pPr>
              <w:pStyle w:val="ListBullet"/>
              <w:numPr>
                <w:ilvl w:val="0"/>
                <w:numId w:val="0"/>
              </w:numPr>
              <w:ind w:left="360"/>
              <w:rPr>
                <w:b/>
                <w:bCs/>
              </w:rPr>
            </w:pPr>
            <w:r w:rsidRPr="00EC0554">
              <w:rPr>
                <w:b/>
                <w:bCs/>
              </w:rPr>
              <w:t>Value for audience</w:t>
            </w:r>
          </w:p>
        </w:tc>
      </w:tr>
      <w:tr w:rsidR="009E5B3E" w:rsidRPr="00015C1F" w14:paraId="1FCA0328" w14:textId="77777777" w:rsidTr="00A2103E">
        <w:trPr>
          <w:trHeight w:val="60"/>
        </w:trPr>
        <w:tc>
          <w:tcPr>
            <w:tcW w:w="2405" w:type="dxa"/>
          </w:tcPr>
          <w:p w14:paraId="0D283022" w14:textId="2D24A45D" w:rsidR="009E5B3E" w:rsidRPr="00015C1F" w:rsidRDefault="009E5B3E" w:rsidP="00A2103E">
            <w:pPr>
              <w:rPr>
                <w:lang w:val="en-US"/>
              </w:rPr>
            </w:pPr>
            <w:r w:rsidRPr="00015C1F">
              <w:rPr>
                <w:lang w:val="en-US"/>
              </w:rPr>
              <w:t xml:space="preserve">Stakeholders </w:t>
            </w:r>
          </w:p>
        </w:tc>
        <w:tc>
          <w:tcPr>
            <w:tcW w:w="2552" w:type="dxa"/>
          </w:tcPr>
          <w:p w14:paraId="440B9440" w14:textId="61E0EE70" w:rsidR="009E5B3E" w:rsidRPr="00015C1F" w:rsidRDefault="009E5B3E" w:rsidP="00A2103E">
            <w:pPr>
              <w:rPr>
                <w:lang w:val="en-US"/>
              </w:rPr>
            </w:pPr>
            <w:r w:rsidRPr="00015C1F">
              <w:rPr>
                <w:lang w:val="en-US"/>
              </w:rPr>
              <w:t>General information</w:t>
            </w:r>
          </w:p>
          <w:p w14:paraId="0B432668" w14:textId="77777777" w:rsidR="009E5B3E" w:rsidRPr="00015C1F" w:rsidRDefault="009E5B3E" w:rsidP="00A2103E">
            <w:pPr>
              <w:rPr>
                <w:lang w:val="en-US"/>
              </w:rPr>
            </w:pPr>
            <w:r w:rsidRPr="00015C1F">
              <w:rPr>
                <w:lang w:val="en-US"/>
              </w:rPr>
              <w:t>Guidance</w:t>
            </w:r>
          </w:p>
          <w:p w14:paraId="2A251E60" w14:textId="77777777" w:rsidR="009E5B3E" w:rsidRPr="00015C1F" w:rsidRDefault="009E5B3E" w:rsidP="00A2103E">
            <w:pPr>
              <w:rPr>
                <w:lang w:val="en-US"/>
              </w:rPr>
            </w:pPr>
            <w:r w:rsidRPr="00015C1F">
              <w:rPr>
                <w:lang w:val="en-US"/>
              </w:rPr>
              <w:t>Transparency</w:t>
            </w:r>
          </w:p>
        </w:tc>
        <w:tc>
          <w:tcPr>
            <w:tcW w:w="3393" w:type="dxa"/>
          </w:tcPr>
          <w:p w14:paraId="6D0B245C" w14:textId="77777777" w:rsidR="009E5B3E" w:rsidRPr="007F08B3" w:rsidRDefault="009E5B3E" w:rsidP="00A2103E">
            <w:pPr>
              <w:pStyle w:val="ListBullet"/>
            </w:pPr>
            <w:r w:rsidRPr="007F08B3">
              <w:t>facilitates an understanding of the effectiveness of bushfire management across the state</w:t>
            </w:r>
          </w:p>
          <w:p w14:paraId="5F7ED54E" w14:textId="77777777" w:rsidR="009E5B3E" w:rsidRPr="007F08B3" w:rsidRDefault="009E5B3E" w:rsidP="00A2103E">
            <w:pPr>
              <w:pStyle w:val="ListBullet"/>
            </w:pPr>
            <w:r w:rsidRPr="007F08B3">
              <w:t xml:space="preserve">provides high level guidance of how to apply MER to </w:t>
            </w:r>
            <w:r w:rsidRPr="007F08B3">
              <w:lastRenderedPageBreak/>
              <w:t>bushfire management programs for external groups and organisations.</w:t>
            </w:r>
          </w:p>
        </w:tc>
      </w:tr>
    </w:tbl>
    <w:p w14:paraId="0D95C939" w14:textId="565BB568" w:rsidR="00015C1F" w:rsidRPr="00015C1F" w:rsidRDefault="00A2103E" w:rsidP="00015C1F">
      <w:pPr>
        <w:pStyle w:val="Heading2"/>
        <w:rPr>
          <w:lang w:val="en-US"/>
        </w:rPr>
      </w:pPr>
      <w:bookmarkStart w:id="8" w:name="_Toc166680784"/>
      <w:r>
        <w:rPr>
          <w:lang w:val="en-US"/>
        </w:rPr>
        <w:lastRenderedPageBreak/>
        <w:br w:type="textWrapping" w:clear="all"/>
      </w:r>
      <w:r w:rsidR="00015C1F" w:rsidRPr="00015C1F">
        <w:rPr>
          <w:lang w:val="en-US"/>
        </w:rPr>
        <w:t>1.2.</w:t>
      </w:r>
      <w:r w:rsidR="00015C1F" w:rsidRPr="00015C1F">
        <w:rPr>
          <w:lang w:val="en-US"/>
        </w:rPr>
        <w:tab/>
        <w:t>Context</w:t>
      </w:r>
      <w:bookmarkEnd w:id="8"/>
    </w:p>
    <w:p w14:paraId="46553C5D" w14:textId="77777777" w:rsidR="00015C1F" w:rsidRPr="00015C1F" w:rsidRDefault="00015C1F" w:rsidP="00015C1F">
      <w:pPr>
        <w:rPr>
          <w:lang w:val="en-US"/>
        </w:rPr>
      </w:pPr>
      <w:r w:rsidRPr="00015C1F">
        <w:rPr>
          <w:lang w:val="en-US"/>
        </w:rPr>
        <w:t xml:space="preserve">The Strategy defines a vision and shared outcomes to guide bushfire management in Victoria for the next 10 years and how all Victorians will work together to progress these outcomes. </w:t>
      </w:r>
    </w:p>
    <w:p w14:paraId="4EF99F84" w14:textId="77777777" w:rsidR="00015C1F" w:rsidRPr="00015C1F" w:rsidRDefault="00015C1F" w:rsidP="00015C1F">
      <w:pPr>
        <w:rPr>
          <w:lang w:val="en-US"/>
        </w:rPr>
      </w:pPr>
      <w:r w:rsidRPr="00015C1F">
        <w:rPr>
          <w:lang w:val="en-US"/>
        </w:rPr>
        <w:t xml:space="preserve">It brings the extensive work the sector is already doing together with the work it plans to do over the next 10 years to ensure there is a </w:t>
      </w:r>
      <w:r w:rsidRPr="00015C1F">
        <w:rPr>
          <w:b/>
          <w:bCs/>
          <w:lang w:val="en-US"/>
        </w:rPr>
        <w:t>shared vision</w:t>
      </w:r>
      <w:r w:rsidRPr="00015C1F">
        <w:rPr>
          <w:lang w:val="en-US"/>
        </w:rPr>
        <w:t xml:space="preserve"> for what a safer and more resilient Victoria looks like and defines the outcomes we will work toward to </w:t>
      </w:r>
      <w:proofErr w:type="spellStart"/>
      <w:r w:rsidRPr="00015C1F">
        <w:rPr>
          <w:lang w:val="en-US"/>
        </w:rPr>
        <w:t>realise</w:t>
      </w:r>
      <w:proofErr w:type="spellEnd"/>
      <w:r w:rsidRPr="00015C1F">
        <w:rPr>
          <w:lang w:val="en-US"/>
        </w:rPr>
        <w:t xml:space="preserve"> that shared vision.</w:t>
      </w:r>
    </w:p>
    <w:p w14:paraId="7D250884" w14:textId="64C09F0A" w:rsidR="00015C1F" w:rsidRDefault="00015C1F" w:rsidP="00015C1F">
      <w:pPr>
        <w:pStyle w:val="BlockText"/>
        <w:rPr>
          <w:lang w:val="en-US"/>
        </w:rPr>
      </w:pPr>
      <w:r w:rsidRPr="00015C1F">
        <w:rPr>
          <w:b/>
          <w:bCs/>
          <w:lang w:val="en-US"/>
        </w:rPr>
        <w:t xml:space="preserve">Our shared vision: </w:t>
      </w:r>
      <w:r w:rsidRPr="00015C1F">
        <w:rPr>
          <w:lang w:val="en-US"/>
        </w:rPr>
        <w:t>Victorians work together to manage bushfire risk for safer communities and healthy ecosystems in a changing climate.</w:t>
      </w:r>
    </w:p>
    <w:p w14:paraId="6BC779C7" w14:textId="10C4B0D5" w:rsidR="00015C1F" w:rsidRPr="00015C1F" w:rsidRDefault="00015C1F" w:rsidP="00015C1F">
      <w:pPr>
        <w:rPr>
          <w:lang w:val="en-US"/>
        </w:rPr>
      </w:pPr>
      <w:r w:rsidRPr="00015C1F">
        <w:rPr>
          <w:lang w:val="en-US"/>
        </w:rPr>
        <w:t>Underpinning the Strategy’s vision are 7 domains with desired outcomes (</w:t>
      </w:r>
      <w:r w:rsidRPr="00015C1F">
        <w:rPr>
          <w:b/>
          <w:bCs/>
          <w:lang w:val="en-US"/>
        </w:rPr>
        <w:t>Table 2</w:t>
      </w:r>
      <w:r w:rsidRPr="00015C1F">
        <w:rPr>
          <w:lang w:val="en-US"/>
        </w:rPr>
        <w:t>) that will guide bushfire management in Victoria over the next 10 years. These bushfire-specific outcomes are nested within the Victorian Government’s broader Emergency Management Sector Outcomes Framework</w:t>
      </w:r>
      <w:r w:rsidRPr="00015C1F">
        <w:rPr>
          <w:vertAlign w:val="superscript"/>
          <w:lang w:val="en-US"/>
        </w:rPr>
        <w:footnoteReference w:id="2"/>
      </w:r>
      <w:r w:rsidRPr="00015C1F">
        <w:rPr>
          <w:lang w:val="en-US"/>
        </w:rPr>
        <w:t xml:space="preserve"> and support whole-of-government emergency management outcomes.</w:t>
      </w:r>
    </w:p>
    <w:p w14:paraId="5E97B968" w14:textId="2182BC97" w:rsidR="00015C1F" w:rsidRPr="00015C1F" w:rsidRDefault="00015C1F" w:rsidP="00015C1F">
      <w:pPr>
        <w:pStyle w:val="Caption"/>
        <w:rPr>
          <w:lang w:val="en-US"/>
        </w:rPr>
      </w:pPr>
      <w:r w:rsidRPr="00015C1F">
        <w:rPr>
          <w:b/>
          <w:bCs/>
          <w:lang w:val="en-US"/>
        </w:rPr>
        <w:lastRenderedPageBreak/>
        <w:t>Table 2</w:t>
      </w:r>
      <w:r>
        <w:rPr>
          <w:b/>
          <w:bCs/>
          <w:lang w:val="en-US"/>
        </w:rPr>
        <w:t xml:space="preserve">. </w:t>
      </w:r>
      <w:r w:rsidRPr="00015C1F">
        <w:rPr>
          <w:lang w:val="en-US"/>
        </w:rPr>
        <w:t>Vision, domains and outcomes of the Strategy.</w:t>
      </w:r>
    </w:p>
    <w:tbl>
      <w:tblPr>
        <w:tblStyle w:val="TableGrid"/>
        <w:tblW w:w="9067" w:type="dxa"/>
        <w:tblLayout w:type="fixed"/>
        <w:tblLook w:val="0020" w:firstRow="1" w:lastRow="0" w:firstColumn="0" w:lastColumn="0" w:noHBand="0" w:noVBand="0"/>
      </w:tblPr>
      <w:tblGrid>
        <w:gridCol w:w="1295"/>
        <w:gridCol w:w="1295"/>
        <w:gridCol w:w="1295"/>
        <w:gridCol w:w="1296"/>
        <w:gridCol w:w="1295"/>
        <w:gridCol w:w="1295"/>
        <w:gridCol w:w="1296"/>
      </w:tblGrid>
      <w:tr w:rsidR="00015C1F" w:rsidRPr="00015C1F" w14:paraId="00570F05" w14:textId="77777777" w:rsidTr="00CD46A6">
        <w:trPr>
          <w:cantSplit/>
          <w:trHeight w:val="60"/>
          <w:tblHeader/>
        </w:trPr>
        <w:tc>
          <w:tcPr>
            <w:tcW w:w="9067" w:type="dxa"/>
            <w:gridSpan w:val="7"/>
          </w:tcPr>
          <w:p w14:paraId="7DB0BD31" w14:textId="44BDCE0D" w:rsidR="00015C1F" w:rsidRPr="00015C1F" w:rsidRDefault="00015C1F" w:rsidP="00015C1F">
            <w:pPr>
              <w:rPr>
                <w:b/>
                <w:bCs/>
                <w:lang w:val="en-US"/>
              </w:rPr>
            </w:pPr>
            <w:r w:rsidRPr="00015C1F">
              <w:rPr>
                <w:b/>
                <w:bCs/>
                <w:lang w:val="en-US"/>
              </w:rPr>
              <w:t>Vision:  Victorians work together to manage bushfire risk for safer communities and healthy ecosystems in a changing climate</w:t>
            </w:r>
          </w:p>
        </w:tc>
      </w:tr>
      <w:tr w:rsidR="00015C1F" w:rsidRPr="00015C1F" w14:paraId="28162CF5" w14:textId="77777777" w:rsidTr="00CD46A6">
        <w:trPr>
          <w:cantSplit/>
          <w:trHeight w:val="167"/>
          <w:tblHeader/>
        </w:trPr>
        <w:tc>
          <w:tcPr>
            <w:tcW w:w="9067" w:type="dxa"/>
            <w:gridSpan w:val="7"/>
          </w:tcPr>
          <w:p w14:paraId="26E7DD01" w14:textId="77777777" w:rsidR="00015C1F" w:rsidRPr="00015C1F" w:rsidRDefault="00015C1F" w:rsidP="00015C1F">
            <w:pPr>
              <w:rPr>
                <w:lang w:val="en-US"/>
              </w:rPr>
            </w:pPr>
            <w:r w:rsidRPr="00015C1F">
              <w:rPr>
                <w:b/>
                <w:bCs/>
                <w:lang w:val="en-US"/>
              </w:rPr>
              <w:t>Domain</w:t>
            </w:r>
          </w:p>
        </w:tc>
      </w:tr>
      <w:tr w:rsidR="00015C1F" w:rsidRPr="00015C1F" w14:paraId="163F14DA" w14:textId="77777777" w:rsidTr="00CD46A6">
        <w:trPr>
          <w:cantSplit/>
          <w:trHeight w:val="60"/>
          <w:tblHeader/>
        </w:trPr>
        <w:tc>
          <w:tcPr>
            <w:tcW w:w="1295" w:type="dxa"/>
          </w:tcPr>
          <w:p w14:paraId="0D21C019" w14:textId="77777777" w:rsidR="00015C1F" w:rsidRPr="00015C1F" w:rsidRDefault="00015C1F" w:rsidP="00015C1F">
            <w:pPr>
              <w:rPr>
                <w:lang w:val="en-US"/>
              </w:rPr>
            </w:pPr>
            <w:r w:rsidRPr="00015C1F">
              <w:rPr>
                <w:b/>
                <w:bCs/>
                <w:lang w:val="en-US"/>
              </w:rPr>
              <w:t>People and community safety</w:t>
            </w:r>
          </w:p>
        </w:tc>
        <w:tc>
          <w:tcPr>
            <w:tcW w:w="1295" w:type="dxa"/>
          </w:tcPr>
          <w:p w14:paraId="62D34836" w14:textId="77777777" w:rsidR="00015C1F" w:rsidRPr="00015C1F" w:rsidRDefault="00015C1F" w:rsidP="00015C1F">
            <w:pPr>
              <w:rPr>
                <w:lang w:val="en-US"/>
              </w:rPr>
            </w:pPr>
            <w:r w:rsidRPr="00015C1F">
              <w:rPr>
                <w:b/>
                <w:bCs/>
                <w:lang w:val="en-US"/>
              </w:rPr>
              <w:t>Critical infrastructure and economic resilience</w:t>
            </w:r>
          </w:p>
        </w:tc>
        <w:tc>
          <w:tcPr>
            <w:tcW w:w="1295" w:type="dxa"/>
          </w:tcPr>
          <w:p w14:paraId="5E86243F" w14:textId="77777777" w:rsidR="00015C1F" w:rsidRPr="00015C1F" w:rsidRDefault="00015C1F" w:rsidP="00015C1F">
            <w:pPr>
              <w:rPr>
                <w:lang w:val="en-US"/>
              </w:rPr>
            </w:pPr>
            <w:r w:rsidRPr="00015C1F">
              <w:rPr>
                <w:b/>
                <w:bCs/>
                <w:lang w:val="en-US"/>
              </w:rPr>
              <w:t>Aboriginal self-determination in cultural fire and bushfire management</w:t>
            </w:r>
          </w:p>
        </w:tc>
        <w:tc>
          <w:tcPr>
            <w:tcW w:w="1296" w:type="dxa"/>
          </w:tcPr>
          <w:p w14:paraId="5B295C8D" w14:textId="77777777" w:rsidR="00015C1F" w:rsidRPr="00015C1F" w:rsidRDefault="00015C1F" w:rsidP="00015C1F">
            <w:pPr>
              <w:rPr>
                <w:lang w:val="en-US"/>
              </w:rPr>
            </w:pPr>
            <w:r w:rsidRPr="00015C1F">
              <w:rPr>
                <w:b/>
                <w:bCs/>
                <w:lang w:val="en-US"/>
              </w:rPr>
              <w:t>Ecosystem resilience and nature conservation</w:t>
            </w:r>
          </w:p>
        </w:tc>
        <w:tc>
          <w:tcPr>
            <w:tcW w:w="1295" w:type="dxa"/>
          </w:tcPr>
          <w:p w14:paraId="5CD07AFE" w14:textId="77777777" w:rsidR="00015C1F" w:rsidRPr="00015C1F" w:rsidRDefault="00015C1F" w:rsidP="00015C1F">
            <w:pPr>
              <w:rPr>
                <w:lang w:val="en-US"/>
              </w:rPr>
            </w:pPr>
            <w:r w:rsidRPr="00015C1F">
              <w:rPr>
                <w:b/>
                <w:bCs/>
                <w:lang w:val="en-US"/>
              </w:rPr>
              <w:t>Informed decision-making, evidence-based approaches and tools</w:t>
            </w:r>
          </w:p>
        </w:tc>
        <w:tc>
          <w:tcPr>
            <w:tcW w:w="1295" w:type="dxa"/>
          </w:tcPr>
          <w:p w14:paraId="450B4015" w14:textId="77777777" w:rsidR="00015C1F" w:rsidRPr="00015C1F" w:rsidRDefault="00015C1F" w:rsidP="00015C1F">
            <w:pPr>
              <w:rPr>
                <w:lang w:val="en-US"/>
              </w:rPr>
            </w:pPr>
            <w:r w:rsidRPr="00015C1F">
              <w:rPr>
                <w:b/>
                <w:bCs/>
                <w:lang w:val="en-US"/>
              </w:rPr>
              <w:t>Working together, accountability and shared responsibility</w:t>
            </w:r>
          </w:p>
        </w:tc>
        <w:tc>
          <w:tcPr>
            <w:tcW w:w="1296" w:type="dxa"/>
          </w:tcPr>
          <w:p w14:paraId="5BA64F5A" w14:textId="77777777" w:rsidR="00015C1F" w:rsidRPr="00015C1F" w:rsidRDefault="00015C1F" w:rsidP="00015C1F">
            <w:pPr>
              <w:rPr>
                <w:lang w:val="en-US"/>
              </w:rPr>
            </w:pPr>
            <w:r w:rsidRPr="00015C1F">
              <w:rPr>
                <w:b/>
                <w:bCs/>
                <w:lang w:val="en-US"/>
              </w:rPr>
              <w:t>Enhanced capability and capacity</w:t>
            </w:r>
          </w:p>
        </w:tc>
      </w:tr>
      <w:tr w:rsidR="00015C1F" w:rsidRPr="00015C1F" w14:paraId="2D1CA3EF" w14:textId="77777777" w:rsidTr="00CD46A6">
        <w:trPr>
          <w:cantSplit/>
          <w:trHeight w:val="60"/>
          <w:tblHeader/>
        </w:trPr>
        <w:tc>
          <w:tcPr>
            <w:tcW w:w="9067" w:type="dxa"/>
            <w:gridSpan w:val="7"/>
          </w:tcPr>
          <w:p w14:paraId="0D0FAAEB" w14:textId="77777777" w:rsidR="00015C1F" w:rsidRPr="00015C1F" w:rsidRDefault="00015C1F" w:rsidP="00015C1F">
            <w:pPr>
              <w:rPr>
                <w:lang w:val="en-US"/>
              </w:rPr>
            </w:pPr>
            <w:r w:rsidRPr="00015C1F">
              <w:rPr>
                <w:b/>
                <w:bCs/>
                <w:lang w:val="en-US"/>
              </w:rPr>
              <w:t>Outcomes</w:t>
            </w:r>
          </w:p>
        </w:tc>
      </w:tr>
      <w:tr w:rsidR="00015C1F" w:rsidRPr="00015C1F" w14:paraId="0A2CBEF5" w14:textId="77777777" w:rsidTr="00CD46A6">
        <w:trPr>
          <w:cantSplit/>
          <w:trHeight w:val="60"/>
          <w:tblHeader/>
        </w:trPr>
        <w:tc>
          <w:tcPr>
            <w:tcW w:w="1295" w:type="dxa"/>
          </w:tcPr>
          <w:p w14:paraId="3EC9C1E5" w14:textId="77777777" w:rsidR="00015C1F" w:rsidRPr="00015C1F" w:rsidRDefault="00015C1F" w:rsidP="00015C1F">
            <w:pPr>
              <w:rPr>
                <w:lang w:val="en-US"/>
              </w:rPr>
            </w:pPr>
            <w:r w:rsidRPr="00015C1F">
              <w:rPr>
                <w:lang w:val="en-US"/>
              </w:rPr>
              <w:t>Communities are more resilient to the impacts of bushfires and bushfire management activities</w:t>
            </w:r>
          </w:p>
        </w:tc>
        <w:tc>
          <w:tcPr>
            <w:tcW w:w="1295" w:type="dxa"/>
          </w:tcPr>
          <w:p w14:paraId="5D203F43" w14:textId="77777777" w:rsidR="00015C1F" w:rsidRPr="00015C1F" w:rsidRDefault="00015C1F" w:rsidP="00015C1F">
            <w:pPr>
              <w:rPr>
                <w:lang w:val="en-US"/>
              </w:rPr>
            </w:pPr>
            <w:r w:rsidRPr="00015C1F">
              <w:rPr>
                <w:lang w:val="en-US"/>
              </w:rPr>
              <w:t>Business, industry and infrastructure are more resilient to the impacts of bushfires and bushfire management activities</w:t>
            </w:r>
          </w:p>
        </w:tc>
        <w:tc>
          <w:tcPr>
            <w:tcW w:w="1295" w:type="dxa"/>
          </w:tcPr>
          <w:p w14:paraId="3927DBB6" w14:textId="77777777" w:rsidR="00015C1F" w:rsidRPr="00015C1F" w:rsidRDefault="00015C1F" w:rsidP="00015C1F">
            <w:pPr>
              <w:rPr>
                <w:lang w:val="en-US"/>
              </w:rPr>
            </w:pPr>
            <w:r w:rsidRPr="00015C1F">
              <w:rPr>
                <w:lang w:val="en-US"/>
              </w:rPr>
              <w:t>The sector supports and enables self-determination of Traditional Owners and Aboriginal Victorians in land and bushfire management</w:t>
            </w:r>
          </w:p>
        </w:tc>
        <w:tc>
          <w:tcPr>
            <w:tcW w:w="1296" w:type="dxa"/>
          </w:tcPr>
          <w:p w14:paraId="49249DF2" w14:textId="77777777" w:rsidR="00015C1F" w:rsidRPr="00015C1F" w:rsidRDefault="00015C1F" w:rsidP="00015C1F">
            <w:pPr>
              <w:rPr>
                <w:lang w:val="en-US"/>
              </w:rPr>
            </w:pPr>
            <w:r w:rsidRPr="00015C1F">
              <w:rPr>
                <w:lang w:val="en-US"/>
              </w:rPr>
              <w:t>Fire regimes support healthy and resilient ecosystems and nature conservation in a changing climate</w:t>
            </w:r>
          </w:p>
        </w:tc>
        <w:tc>
          <w:tcPr>
            <w:tcW w:w="1295" w:type="dxa"/>
          </w:tcPr>
          <w:p w14:paraId="1CCC3C09" w14:textId="77777777" w:rsidR="00015C1F" w:rsidRPr="00015C1F" w:rsidRDefault="00015C1F" w:rsidP="00015C1F">
            <w:pPr>
              <w:rPr>
                <w:lang w:val="en-US"/>
              </w:rPr>
            </w:pPr>
            <w:r w:rsidRPr="00015C1F">
              <w:rPr>
                <w:lang w:val="en-US"/>
              </w:rPr>
              <w:t>Victoria uses the best available science, innovation and knowledge to support evidence-based decisions</w:t>
            </w:r>
          </w:p>
        </w:tc>
        <w:tc>
          <w:tcPr>
            <w:tcW w:w="1295" w:type="dxa"/>
          </w:tcPr>
          <w:p w14:paraId="6227E70E" w14:textId="77777777" w:rsidR="00015C1F" w:rsidRPr="00015C1F" w:rsidRDefault="00015C1F" w:rsidP="00015C1F">
            <w:pPr>
              <w:rPr>
                <w:lang w:val="en-US"/>
              </w:rPr>
            </w:pPr>
            <w:r w:rsidRPr="00015C1F">
              <w:rPr>
                <w:lang w:val="en-US"/>
              </w:rPr>
              <w:t>The sector, land managers, communities and industry work together effectively and share responsibility for managing bushfire risk across public and private land</w:t>
            </w:r>
          </w:p>
        </w:tc>
        <w:tc>
          <w:tcPr>
            <w:tcW w:w="1296" w:type="dxa"/>
          </w:tcPr>
          <w:p w14:paraId="2FD7F05C" w14:textId="77777777" w:rsidR="00015C1F" w:rsidRPr="00015C1F" w:rsidRDefault="00015C1F" w:rsidP="00015C1F">
            <w:pPr>
              <w:rPr>
                <w:lang w:val="en-US"/>
              </w:rPr>
            </w:pPr>
            <w:r w:rsidRPr="00015C1F">
              <w:rPr>
                <w:lang w:val="en-US"/>
              </w:rPr>
              <w:t>Victoria is supported and equipped with the skills, equipment, capability and systems to safely and effectively manage bushfire</w:t>
            </w:r>
          </w:p>
        </w:tc>
      </w:tr>
    </w:tbl>
    <w:p w14:paraId="71A6860E" w14:textId="77777777" w:rsidR="00015C1F" w:rsidRPr="00015C1F" w:rsidRDefault="00015C1F" w:rsidP="00015C1F">
      <w:pPr>
        <w:rPr>
          <w:lang w:val="en-US"/>
        </w:rPr>
      </w:pPr>
    </w:p>
    <w:p w14:paraId="1C71CB1D" w14:textId="77777777" w:rsidR="00015C1F" w:rsidRPr="00015C1F" w:rsidRDefault="00015C1F" w:rsidP="00015C1F">
      <w:pPr>
        <w:pStyle w:val="Heading1"/>
        <w:rPr>
          <w:lang w:val="en-US"/>
        </w:rPr>
      </w:pPr>
      <w:bookmarkStart w:id="9" w:name="_Toc166680785"/>
      <w:r w:rsidRPr="00015C1F">
        <w:rPr>
          <w:lang w:val="en-US"/>
        </w:rPr>
        <w:lastRenderedPageBreak/>
        <w:t>2.</w:t>
      </w:r>
      <w:r w:rsidRPr="00015C1F">
        <w:rPr>
          <w:lang w:val="en-US"/>
        </w:rPr>
        <w:tab/>
        <w:t>Scope</w:t>
      </w:r>
      <w:bookmarkEnd w:id="9"/>
    </w:p>
    <w:p w14:paraId="5489CD1C" w14:textId="77777777" w:rsidR="00015C1F" w:rsidRPr="007F08B3" w:rsidRDefault="00015C1F" w:rsidP="007F08B3">
      <w:pPr>
        <w:pStyle w:val="BlockText"/>
        <w:rPr>
          <w:b/>
          <w:bCs/>
          <w:lang w:val="en-US"/>
        </w:rPr>
      </w:pPr>
      <w:r w:rsidRPr="007F08B3">
        <w:rPr>
          <w:b/>
          <w:bCs/>
          <w:lang w:val="en-US"/>
        </w:rPr>
        <w:t>Sector commitment</w:t>
      </w:r>
    </w:p>
    <w:p w14:paraId="458E8024" w14:textId="77777777" w:rsidR="00015C1F" w:rsidRPr="00015C1F" w:rsidRDefault="00015C1F" w:rsidP="007F08B3">
      <w:pPr>
        <w:pStyle w:val="BlockText"/>
        <w:rPr>
          <w:lang w:val="en-US"/>
        </w:rPr>
      </w:pPr>
      <w:r w:rsidRPr="00015C1F">
        <w:rPr>
          <w:lang w:val="en-US"/>
        </w:rPr>
        <w:t>In delivering and implementing the Framework the sector commits to:</w:t>
      </w:r>
    </w:p>
    <w:p w14:paraId="06D6BE2C" w14:textId="71299D38" w:rsidR="00015C1F" w:rsidRPr="00015C1F" w:rsidRDefault="00015C1F" w:rsidP="007F08B3">
      <w:pPr>
        <w:pStyle w:val="BlockText"/>
        <w:numPr>
          <w:ilvl w:val="0"/>
          <w:numId w:val="50"/>
        </w:numPr>
        <w:rPr>
          <w:lang w:val="en-US"/>
        </w:rPr>
      </w:pPr>
      <w:r w:rsidRPr="00015C1F">
        <w:rPr>
          <w:lang w:val="en-US"/>
        </w:rPr>
        <w:t xml:space="preserve">work together to implement the Framework and the associated VBMER Plan </w:t>
      </w:r>
    </w:p>
    <w:p w14:paraId="774A5055" w14:textId="54712450" w:rsidR="00015C1F" w:rsidRPr="00015C1F" w:rsidRDefault="00015C1F" w:rsidP="007F08B3">
      <w:pPr>
        <w:pStyle w:val="BlockText"/>
        <w:numPr>
          <w:ilvl w:val="0"/>
          <w:numId w:val="50"/>
        </w:numPr>
        <w:rPr>
          <w:lang w:val="en-US"/>
        </w:rPr>
      </w:pPr>
      <w:r w:rsidRPr="00015C1F">
        <w:rPr>
          <w:lang w:val="en-US"/>
        </w:rPr>
        <w:t xml:space="preserve">allocate resources to deliver agreed Framework and VBMER Plan responsibilities, noting that this will be commensurate with each </w:t>
      </w:r>
      <w:proofErr w:type="spellStart"/>
      <w:r w:rsidRPr="00015C1F">
        <w:rPr>
          <w:lang w:val="en-US"/>
        </w:rPr>
        <w:t>organisation’s</w:t>
      </w:r>
      <w:proofErr w:type="spellEnd"/>
      <w:r w:rsidRPr="00015C1F">
        <w:rPr>
          <w:lang w:val="en-US"/>
        </w:rPr>
        <w:t xml:space="preserve"> level of responsibility for bushfire management</w:t>
      </w:r>
    </w:p>
    <w:p w14:paraId="78F8CF7A" w14:textId="53EF4B40" w:rsidR="00015C1F" w:rsidRPr="00015C1F" w:rsidRDefault="00015C1F" w:rsidP="007F08B3">
      <w:pPr>
        <w:pStyle w:val="BlockText"/>
        <w:numPr>
          <w:ilvl w:val="0"/>
          <w:numId w:val="50"/>
        </w:numPr>
        <w:rPr>
          <w:lang w:val="en-US"/>
        </w:rPr>
      </w:pPr>
      <w:r w:rsidRPr="00015C1F">
        <w:rPr>
          <w:lang w:val="en-US"/>
        </w:rPr>
        <w:t>foster transparency by contributing available data and information and providing input in line with the Framework and VBMER Plan</w:t>
      </w:r>
    </w:p>
    <w:p w14:paraId="7C3C6C3C" w14:textId="5168A40C" w:rsidR="00015C1F" w:rsidRPr="00015C1F" w:rsidRDefault="00015C1F" w:rsidP="007F08B3">
      <w:pPr>
        <w:pStyle w:val="BlockText"/>
        <w:numPr>
          <w:ilvl w:val="0"/>
          <w:numId w:val="50"/>
        </w:numPr>
        <w:rPr>
          <w:lang w:val="en-US"/>
        </w:rPr>
      </w:pPr>
      <w:r w:rsidRPr="00015C1F">
        <w:rPr>
          <w:lang w:val="en-US"/>
        </w:rPr>
        <w:t xml:space="preserve">learn from evaluation findings, including engaging with recommendations, and working to agree to and implement improvements across individual </w:t>
      </w:r>
      <w:proofErr w:type="spellStart"/>
      <w:r w:rsidRPr="00015C1F">
        <w:rPr>
          <w:lang w:val="en-US"/>
        </w:rPr>
        <w:t>organisations</w:t>
      </w:r>
      <w:proofErr w:type="spellEnd"/>
      <w:r w:rsidRPr="00015C1F">
        <w:rPr>
          <w:lang w:val="en-US"/>
        </w:rPr>
        <w:t xml:space="preserve"> and the whole sector. </w:t>
      </w:r>
    </w:p>
    <w:p w14:paraId="35112FCF" w14:textId="77777777" w:rsidR="00015C1F" w:rsidRPr="00015C1F" w:rsidRDefault="00015C1F" w:rsidP="00015C1F">
      <w:pPr>
        <w:pStyle w:val="Heading2"/>
        <w:rPr>
          <w:lang w:val="en-US"/>
        </w:rPr>
      </w:pPr>
      <w:bookmarkStart w:id="10" w:name="_Toc166680786"/>
      <w:r w:rsidRPr="00015C1F">
        <w:rPr>
          <w:lang w:val="en-US"/>
        </w:rPr>
        <w:t>2.1.</w:t>
      </w:r>
      <w:r w:rsidRPr="00015C1F">
        <w:rPr>
          <w:lang w:val="en-US"/>
        </w:rPr>
        <w:tab/>
        <w:t>Objectives of the Framework</w:t>
      </w:r>
      <w:bookmarkEnd w:id="10"/>
      <w:r w:rsidRPr="00015C1F">
        <w:rPr>
          <w:lang w:val="en-US"/>
        </w:rPr>
        <w:t xml:space="preserve"> </w:t>
      </w:r>
    </w:p>
    <w:p w14:paraId="6F63F555" w14:textId="77777777" w:rsidR="00015C1F" w:rsidRPr="00015C1F" w:rsidRDefault="00015C1F" w:rsidP="00015C1F">
      <w:pPr>
        <w:rPr>
          <w:lang w:val="en-US"/>
        </w:rPr>
      </w:pPr>
      <w:r w:rsidRPr="00015C1F">
        <w:rPr>
          <w:lang w:val="en-US"/>
        </w:rPr>
        <w:t>MER objectives articulate why we are doing MER and how the information gathered will be used. This is particularly important in settings where MER is informed by data collected from a wide range of sources and contexts. There are 4 key objectives for the Framework:</w:t>
      </w:r>
    </w:p>
    <w:p w14:paraId="68C7B59D" w14:textId="54F095ED" w:rsidR="00015C1F" w:rsidRPr="00015C1F" w:rsidRDefault="00015C1F" w:rsidP="00015C1F">
      <w:pPr>
        <w:pStyle w:val="ListBullet"/>
        <w:rPr>
          <w:lang w:val="en-US"/>
        </w:rPr>
      </w:pPr>
      <w:r w:rsidRPr="00015C1F">
        <w:rPr>
          <w:lang w:val="en-US"/>
        </w:rPr>
        <w:t xml:space="preserve">to demonstrate the sector’s progress towards the 7 outcomes of the Strategy </w:t>
      </w:r>
    </w:p>
    <w:p w14:paraId="508F2C10" w14:textId="7960B750" w:rsidR="00015C1F" w:rsidRPr="00015C1F" w:rsidRDefault="00015C1F" w:rsidP="00015C1F">
      <w:pPr>
        <w:pStyle w:val="ListBullet"/>
        <w:rPr>
          <w:lang w:val="en-US"/>
        </w:rPr>
      </w:pPr>
      <w:r w:rsidRPr="00015C1F">
        <w:rPr>
          <w:lang w:val="en-US"/>
        </w:rPr>
        <w:t xml:space="preserve">to demonstrate sector performance to communities and government </w:t>
      </w:r>
    </w:p>
    <w:p w14:paraId="1F9A4E76" w14:textId="3A8426B1" w:rsidR="00015C1F" w:rsidRPr="00015C1F" w:rsidRDefault="00015C1F" w:rsidP="00015C1F">
      <w:pPr>
        <w:pStyle w:val="ListBullet"/>
        <w:rPr>
          <w:lang w:val="en-US"/>
        </w:rPr>
      </w:pPr>
      <w:r w:rsidRPr="00015C1F">
        <w:rPr>
          <w:lang w:val="en-US"/>
        </w:rPr>
        <w:t>to contribute to the sector’s evidence base for bushfire management</w:t>
      </w:r>
    </w:p>
    <w:p w14:paraId="7DC0C6E0" w14:textId="5E947A42" w:rsidR="00015C1F" w:rsidRPr="00015C1F" w:rsidRDefault="00015C1F" w:rsidP="00015C1F">
      <w:pPr>
        <w:pStyle w:val="ListBullet"/>
        <w:rPr>
          <w:lang w:val="en-US"/>
        </w:rPr>
      </w:pPr>
      <w:r w:rsidRPr="00015C1F">
        <w:rPr>
          <w:lang w:val="en-US"/>
        </w:rPr>
        <w:t>to support decision making and continuous improvement, including for future investment in the sector.</w:t>
      </w:r>
    </w:p>
    <w:p w14:paraId="679A808D" w14:textId="77777777" w:rsidR="00015C1F" w:rsidRPr="00015C1F" w:rsidRDefault="00015C1F" w:rsidP="00015C1F">
      <w:pPr>
        <w:rPr>
          <w:lang w:val="en-US"/>
        </w:rPr>
      </w:pPr>
      <w:r w:rsidRPr="00015C1F">
        <w:rPr>
          <w:b/>
          <w:bCs/>
          <w:lang w:val="en-US"/>
        </w:rPr>
        <w:t>Table 3</w:t>
      </w:r>
      <w:r w:rsidRPr="00015C1F">
        <w:rPr>
          <w:lang w:val="en-US"/>
        </w:rPr>
        <w:t xml:space="preserve"> outlines how these objectives will be achieved by the sector and why these are important.</w:t>
      </w:r>
    </w:p>
    <w:p w14:paraId="2D4280C2" w14:textId="2CD87127" w:rsidR="00015C1F" w:rsidRPr="00015C1F" w:rsidRDefault="00015C1F" w:rsidP="00015C1F">
      <w:pPr>
        <w:pStyle w:val="Caption"/>
        <w:rPr>
          <w:lang w:val="en-US"/>
        </w:rPr>
      </w:pPr>
      <w:r w:rsidRPr="00015C1F">
        <w:rPr>
          <w:b/>
          <w:bCs/>
          <w:lang w:val="en-US"/>
        </w:rPr>
        <w:lastRenderedPageBreak/>
        <w:t>Table 3</w:t>
      </w:r>
      <w:r>
        <w:rPr>
          <w:b/>
          <w:bCs/>
          <w:lang w:val="en-US"/>
        </w:rPr>
        <w:t xml:space="preserve">. </w:t>
      </w:r>
      <w:r w:rsidRPr="00015C1F">
        <w:rPr>
          <w:lang w:val="en-US"/>
        </w:rPr>
        <w:t>Objectives of the Framework.</w:t>
      </w:r>
    </w:p>
    <w:tbl>
      <w:tblPr>
        <w:tblStyle w:val="TableGrid"/>
        <w:tblW w:w="9067" w:type="dxa"/>
        <w:tblLayout w:type="fixed"/>
        <w:tblLook w:val="0020" w:firstRow="1" w:lastRow="0" w:firstColumn="0" w:lastColumn="0" w:noHBand="0" w:noVBand="0"/>
      </w:tblPr>
      <w:tblGrid>
        <w:gridCol w:w="1776"/>
        <w:gridCol w:w="3606"/>
        <w:gridCol w:w="3685"/>
      </w:tblGrid>
      <w:tr w:rsidR="00015C1F" w:rsidRPr="00015C1F" w14:paraId="34E106AD" w14:textId="77777777" w:rsidTr="00CD46A6">
        <w:trPr>
          <w:cantSplit/>
          <w:trHeight w:val="423"/>
          <w:tblHeader/>
        </w:trPr>
        <w:tc>
          <w:tcPr>
            <w:tcW w:w="1776" w:type="dxa"/>
          </w:tcPr>
          <w:p w14:paraId="6B525CA7" w14:textId="77777777" w:rsidR="00015C1F" w:rsidRPr="00015C1F" w:rsidRDefault="00015C1F" w:rsidP="00015C1F">
            <w:pPr>
              <w:rPr>
                <w:b/>
                <w:bCs/>
                <w:lang w:val="en-US"/>
              </w:rPr>
            </w:pPr>
            <w:r w:rsidRPr="00015C1F">
              <w:rPr>
                <w:b/>
                <w:bCs/>
                <w:lang w:val="en-US"/>
              </w:rPr>
              <w:t>Objectives</w:t>
            </w:r>
          </w:p>
        </w:tc>
        <w:tc>
          <w:tcPr>
            <w:tcW w:w="3606" w:type="dxa"/>
          </w:tcPr>
          <w:p w14:paraId="51B96C20" w14:textId="77777777" w:rsidR="00015C1F" w:rsidRPr="00015C1F" w:rsidRDefault="00015C1F" w:rsidP="00015C1F">
            <w:pPr>
              <w:rPr>
                <w:b/>
                <w:bCs/>
                <w:lang w:val="en-US"/>
              </w:rPr>
            </w:pPr>
            <w:r w:rsidRPr="00015C1F">
              <w:rPr>
                <w:b/>
                <w:bCs/>
                <w:lang w:val="en-US"/>
              </w:rPr>
              <w:t>How will the sector achieve these objectives?</w:t>
            </w:r>
          </w:p>
        </w:tc>
        <w:tc>
          <w:tcPr>
            <w:tcW w:w="3685" w:type="dxa"/>
          </w:tcPr>
          <w:p w14:paraId="5175F266" w14:textId="77777777" w:rsidR="00015C1F" w:rsidRPr="00015C1F" w:rsidRDefault="00015C1F" w:rsidP="00015C1F">
            <w:pPr>
              <w:rPr>
                <w:b/>
                <w:bCs/>
                <w:lang w:val="en-US"/>
              </w:rPr>
            </w:pPr>
            <w:r w:rsidRPr="00015C1F">
              <w:rPr>
                <w:b/>
                <w:bCs/>
                <w:lang w:val="en-US"/>
              </w:rPr>
              <w:t>Why is this important?</w:t>
            </w:r>
          </w:p>
        </w:tc>
      </w:tr>
      <w:tr w:rsidR="00015C1F" w:rsidRPr="00015C1F" w14:paraId="6CCBD692" w14:textId="77777777" w:rsidTr="00CD46A6">
        <w:trPr>
          <w:trHeight w:val="3282"/>
        </w:trPr>
        <w:tc>
          <w:tcPr>
            <w:tcW w:w="1776" w:type="dxa"/>
          </w:tcPr>
          <w:p w14:paraId="37C9E999" w14:textId="77777777" w:rsidR="00015C1F" w:rsidRPr="00015C1F" w:rsidRDefault="00015C1F" w:rsidP="00015C1F">
            <w:pPr>
              <w:rPr>
                <w:lang w:val="en-US"/>
              </w:rPr>
            </w:pPr>
            <w:r w:rsidRPr="00015C1F">
              <w:rPr>
                <w:b/>
                <w:bCs/>
                <w:lang w:val="en-US"/>
              </w:rPr>
              <w:t xml:space="preserve">To demonstrate the sector’s progress towards the 7 outcomes of the Strategy </w:t>
            </w:r>
          </w:p>
        </w:tc>
        <w:tc>
          <w:tcPr>
            <w:tcW w:w="3606" w:type="dxa"/>
          </w:tcPr>
          <w:p w14:paraId="581368C0" w14:textId="77777777" w:rsidR="00015C1F" w:rsidRPr="00015C1F" w:rsidRDefault="00015C1F" w:rsidP="007F08B3">
            <w:pPr>
              <w:pStyle w:val="ListBullet"/>
              <w:rPr>
                <w:lang w:val="en-US"/>
              </w:rPr>
            </w:pPr>
            <w:r w:rsidRPr="00015C1F">
              <w:rPr>
                <w:lang w:val="en-US"/>
              </w:rPr>
              <w:t xml:space="preserve">collect and </w:t>
            </w:r>
            <w:proofErr w:type="spellStart"/>
            <w:r w:rsidRPr="00015C1F">
              <w:rPr>
                <w:lang w:val="en-US"/>
              </w:rPr>
              <w:t>analyse</w:t>
            </w:r>
            <w:proofErr w:type="spellEnd"/>
            <w:r w:rsidRPr="00015C1F">
              <w:rPr>
                <w:lang w:val="en-US"/>
              </w:rPr>
              <w:t xml:space="preserve"> data and information in line with the identified indicators and measures to assess progress towards intermediate and Strategy outcomes (through monitoring and evaluation)</w:t>
            </w:r>
          </w:p>
          <w:p w14:paraId="7BA6633D" w14:textId="77777777" w:rsidR="00015C1F" w:rsidRPr="00015C1F" w:rsidRDefault="00015C1F" w:rsidP="007F08B3">
            <w:pPr>
              <w:pStyle w:val="ListBullet"/>
              <w:rPr>
                <w:lang w:val="en-US"/>
              </w:rPr>
            </w:pPr>
            <w:r w:rsidRPr="00015C1F">
              <w:rPr>
                <w:lang w:val="en-US"/>
              </w:rPr>
              <w:t>report on and sharing progress towards outcomes in line with the Framework.</w:t>
            </w:r>
          </w:p>
        </w:tc>
        <w:tc>
          <w:tcPr>
            <w:tcW w:w="3685" w:type="dxa"/>
          </w:tcPr>
          <w:p w14:paraId="393A2507" w14:textId="77777777" w:rsidR="00015C1F" w:rsidRPr="00015C1F" w:rsidRDefault="00015C1F" w:rsidP="007F08B3">
            <w:pPr>
              <w:pStyle w:val="ListBullet"/>
              <w:rPr>
                <w:lang w:val="en-US"/>
              </w:rPr>
            </w:pPr>
            <w:r w:rsidRPr="00015C1F">
              <w:rPr>
                <w:lang w:val="en-US"/>
              </w:rPr>
              <w:t xml:space="preserve">this will enable the sector to determine if it is making progress in the desired areas or not, and based on this, clarify where more effort might need to be directed </w:t>
            </w:r>
          </w:p>
          <w:p w14:paraId="06AB5FC7" w14:textId="77777777" w:rsidR="00015C1F" w:rsidRPr="00015C1F" w:rsidRDefault="00015C1F" w:rsidP="007F08B3">
            <w:pPr>
              <w:pStyle w:val="ListBullet"/>
              <w:rPr>
                <w:lang w:val="en-US"/>
              </w:rPr>
            </w:pPr>
            <w:r w:rsidRPr="00015C1F">
              <w:rPr>
                <w:lang w:val="en-US"/>
              </w:rPr>
              <w:t>to enable the sector to understand whether the Strategy has been effective or not and to determine what is working and isn’t working</w:t>
            </w:r>
          </w:p>
          <w:p w14:paraId="77860DC9" w14:textId="77777777" w:rsidR="00015C1F" w:rsidRPr="00015C1F" w:rsidRDefault="00015C1F" w:rsidP="007F08B3">
            <w:pPr>
              <w:pStyle w:val="ListBullet"/>
              <w:rPr>
                <w:lang w:val="en-US"/>
              </w:rPr>
            </w:pPr>
            <w:r w:rsidRPr="00015C1F">
              <w:rPr>
                <w:lang w:val="en-US"/>
              </w:rPr>
              <w:t xml:space="preserve">the sector needs to be accountable to the community about the outcome of investment in bushfire risk management. </w:t>
            </w:r>
          </w:p>
        </w:tc>
      </w:tr>
      <w:tr w:rsidR="00015C1F" w:rsidRPr="00015C1F" w14:paraId="4AC4C0C5" w14:textId="77777777" w:rsidTr="00CD46A6">
        <w:trPr>
          <w:trHeight w:val="60"/>
        </w:trPr>
        <w:tc>
          <w:tcPr>
            <w:tcW w:w="1776" w:type="dxa"/>
          </w:tcPr>
          <w:p w14:paraId="62F3974C" w14:textId="77777777" w:rsidR="00015C1F" w:rsidRPr="00015C1F" w:rsidRDefault="00015C1F" w:rsidP="00015C1F">
            <w:pPr>
              <w:rPr>
                <w:lang w:val="en-US"/>
              </w:rPr>
            </w:pPr>
            <w:r w:rsidRPr="00015C1F">
              <w:rPr>
                <w:b/>
                <w:bCs/>
                <w:lang w:val="en-US"/>
              </w:rPr>
              <w:t xml:space="preserve">To demonstrate sector progress and performance to communities and government </w:t>
            </w:r>
          </w:p>
        </w:tc>
        <w:tc>
          <w:tcPr>
            <w:tcW w:w="3606" w:type="dxa"/>
          </w:tcPr>
          <w:p w14:paraId="36002CFB" w14:textId="77777777" w:rsidR="00015C1F" w:rsidRPr="00015C1F" w:rsidRDefault="00015C1F" w:rsidP="007F08B3">
            <w:pPr>
              <w:pStyle w:val="ListBullet"/>
              <w:rPr>
                <w:lang w:val="en-US"/>
              </w:rPr>
            </w:pPr>
            <w:r w:rsidRPr="00015C1F">
              <w:rPr>
                <w:lang w:val="en-US"/>
              </w:rPr>
              <w:t xml:space="preserve">collect, </w:t>
            </w:r>
            <w:proofErr w:type="spellStart"/>
            <w:r w:rsidRPr="00015C1F">
              <w:rPr>
                <w:lang w:val="en-US"/>
              </w:rPr>
              <w:t>analyse</w:t>
            </w:r>
            <w:proofErr w:type="spellEnd"/>
            <w:r w:rsidRPr="00015C1F">
              <w:rPr>
                <w:lang w:val="en-US"/>
              </w:rPr>
              <w:t xml:space="preserve"> and report on data and information in line with the identified evaluation questions, indicators and measures so that progress towards intermediate and strategy outcomes can be assessed </w:t>
            </w:r>
          </w:p>
          <w:p w14:paraId="3FCA6204" w14:textId="77777777" w:rsidR="00015C1F" w:rsidRPr="00015C1F" w:rsidRDefault="00015C1F" w:rsidP="007F08B3">
            <w:pPr>
              <w:pStyle w:val="ListBullet"/>
              <w:rPr>
                <w:lang w:val="en-US"/>
              </w:rPr>
            </w:pPr>
            <w:r w:rsidRPr="00015C1F">
              <w:rPr>
                <w:lang w:val="en-US"/>
              </w:rPr>
              <w:t xml:space="preserve">develop appropriate reporting and communication products for different audiences and make them available to the intended audiences i.e. the public, government and the sector </w:t>
            </w:r>
          </w:p>
          <w:p w14:paraId="521EFC35" w14:textId="77777777" w:rsidR="00015C1F" w:rsidRPr="00015C1F" w:rsidRDefault="00015C1F" w:rsidP="007F08B3">
            <w:pPr>
              <w:pStyle w:val="ListBullet"/>
              <w:rPr>
                <w:lang w:val="en-US"/>
              </w:rPr>
            </w:pPr>
            <w:r w:rsidRPr="00015C1F">
              <w:rPr>
                <w:lang w:val="en-US"/>
              </w:rPr>
              <w:t>celebrate achievements within the sector and learn from our experiences.</w:t>
            </w:r>
          </w:p>
        </w:tc>
        <w:tc>
          <w:tcPr>
            <w:tcW w:w="3685" w:type="dxa"/>
          </w:tcPr>
          <w:p w14:paraId="09BE6568" w14:textId="77777777" w:rsidR="00015C1F" w:rsidRPr="00015C1F" w:rsidRDefault="00015C1F" w:rsidP="007F08B3">
            <w:pPr>
              <w:pStyle w:val="ListBullet"/>
              <w:rPr>
                <w:lang w:val="en-US"/>
              </w:rPr>
            </w:pPr>
            <w:r w:rsidRPr="00015C1F">
              <w:rPr>
                <w:lang w:val="en-US"/>
              </w:rPr>
              <w:t xml:space="preserve">the sector needs to be accountable to communities and government, and ensure community understands what the sector is doing and the progress being </w:t>
            </w:r>
            <w:proofErr w:type="gramStart"/>
            <w:r w:rsidRPr="00015C1F">
              <w:rPr>
                <w:lang w:val="en-US"/>
              </w:rPr>
              <w:t>made</w:t>
            </w:r>
            <w:proofErr w:type="gramEnd"/>
            <w:r w:rsidRPr="00015C1F">
              <w:rPr>
                <w:lang w:val="en-US"/>
              </w:rPr>
              <w:t xml:space="preserve"> </w:t>
            </w:r>
          </w:p>
          <w:p w14:paraId="68450CB0" w14:textId="77777777" w:rsidR="00015C1F" w:rsidRPr="00015C1F" w:rsidRDefault="00015C1F" w:rsidP="007F08B3">
            <w:pPr>
              <w:pStyle w:val="ListBullet"/>
              <w:rPr>
                <w:lang w:val="en-US"/>
              </w:rPr>
            </w:pPr>
            <w:r w:rsidRPr="00015C1F">
              <w:rPr>
                <w:lang w:val="en-US"/>
              </w:rPr>
              <w:t>to increase transparency of sector progress, investment and efficient use of funding</w:t>
            </w:r>
          </w:p>
          <w:p w14:paraId="3C04A7D6" w14:textId="77777777" w:rsidR="00015C1F" w:rsidRPr="00015C1F" w:rsidRDefault="00015C1F" w:rsidP="007F08B3">
            <w:pPr>
              <w:pStyle w:val="ListBullet"/>
              <w:rPr>
                <w:lang w:val="en-US"/>
              </w:rPr>
            </w:pPr>
            <w:r w:rsidRPr="00015C1F">
              <w:rPr>
                <w:lang w:val="en-US"/>
              </w:rPr>
              <w:t xml:space="preserve">the sector can see and understand the impact of the work it does and the progress being </w:t>
            </w:r>
            <w:proofErr w:type="gramStart"/>
            <w:r w:rsidRPr="00015C1F">
              <w:rPr>
                <w:lang w:val="en-US"/>
              </w:rPr>
              <w:t>made</w:t>
            </w:r>
            <w:proofErr w:type="gramEnd"/>
          </w:p>
          <w:p w14:paraId="19A785CD" w14:textId="77777777" w:rsidR="00015C1F" w:rsidRPr="00015C1F" w:rsidRDefault="00015C1F" w:rsidP="007F08B3">
            <w:pPr>
              <w:pStyle w:val="ListBullet"/>
              <w:rPr>
                <w:lang w:val="en-US"/>
              </w:rPr>
            </w:pPr>
            <w:r w:rsidRPr="00015C1F">
              <w:rPr>
                <w:lang w:val="en-US"/>
              </w:rPr>
              <w:t xml:space="preserve">to </w:t>
            </w:r>
            <w:proofErr w:type="spellStart"/>
            <w:r w:rsidRPr="00015C1F">
              <w:rPr>
                <w:lang w:val="en-US"/>
              </w:rPr>
              <w:t>recognise</w:t>
            </w:r>
            <w:proofErr w:type="spellEnd"/>
            <w:r w:rsidRPr="00015C1F">
              <w:rPr>
                <w:lang w:val="en-US"/>
              </w:rPr>
              <w:t xml:space="preserve"> the efforts of all involved and celebrate successes.</w:t>
            </w:r>
          </w:p>
        </w:tc>
      </w:tr>
      <w:tr w:rsidR="00015C1F" w:rsidRPr="00015C1F" w14:paraId="5D3FDE7B" w14:textId="77777777" w:rsidTr="00CD46A6">
        <w:trPr>
          <w:trHeight w:val="60"/>
        </w:trPr>
        <w:tc>
          <w:tcPr>
            <w:tcW w:w="1776" w:type="dxa"/>
          </w:tcPr>
          <w:p w14:paraId="7924215A" w14:textId="77777777" w:rsidR="00015C1F" w:rsidRPr="00015C1F" w:rsidRDefault="00015C1F" w:rsidP="00015C1F">
            <w:pPr>
              <w:rPr>
                <w:lang w:val="en-US"/>
              </w:rPr>
            </w:pPr>
            <w:r w:rsidRPr="00015C1F">
              <w:rPr>
                <w:b/>
                <w:bCs/>
                <w:lang w:val="en-US"/>
              </w:rPr>
              <w:lastRenderedPageBreak/>
              <w:t xml:space="preserve">To contribute to the sector’s evidence base for bushfire management </w:t>
            </w:r>
          </w:p>
        </w:tc>
        <w:tc>
          <w:tcPr>
            <w:tcW w:w="3606" w:type="dxa"/>
          </w:tcPr>
          <w:p w14:paraId="7A206716" w14:textId="77777777" w:rsidR="00015C1F" w:rsidRPr="00015C1F" w:rsidRDefault="00015C1F" w:rsidP="007F08B3">
            <w:pPr>
              <w:pStyle w:val="ListBullet"/>
              <w:rPr>
                <w:lang w:val="en-US"/>
              </w:rPr>
            </w:pPr>
            <w:r w:rsidRPr="00015C1F">
              <w:rPr>
                <w:lang w:val="en-US"/>
              </w:rPr>
              <w:t xml:space="preserve">collect, </w:t>
            </w:r>
            <w:proofErr w:type="spellStart"/>
            <w:r w:rsidRPr="00015C1F">
              <w:rPr>
                <w:lang w:val="en-US"/>
              </w:rPr>
              <w:t>analyse</w:t>
            </w:r>
            <w:proofErr w:type="spellEnd"/>
            <w:r w:rsidRPr="00015C1F">
              <w:rPr>
                <w:lang w:val="en-US"/>
              </w:rPr>
              <w:t xml:space="preserve"> and report on data and information in line with the Framework</w:t>
            </w:r>
          </w:p>
          <w:p w14:paraId="481FBEB0" w14:textId="77777777" w:rsidR="00015C1F" w:rsidRPr="00015C1F" w:rsidRDefault="00015C1F" w:rsidP="007F08B3">
            <w:pPr>
              <w:pStyle w:val="ListBullet"/>
              <w:rPr>
                <w:lang w:val="en-US"/>
              </w:rPr>
            </w:pPr>
            <w:r w:rsidRPr="00015C1F">
              <w:rPr>
                <w:lang w:val="en-US"/>
              </w:rPr>
              <w:t xml:space="preserve">develop appropriate reporting and communication products for different audiences, and make them available to the intended audiences i.e. the public and the sector </w:t>
            </w:r>
          </w:p>
          <w:p w14:paraId="04E33DFB" w14:textId="77777777" w:rsidR="00015C1F" w:rsidRPr="00015C1F" w:rsidRDefault="00015C1F" w:rsidP="007F08B3">
            <w:pPr>
              <w:pStyle w:val="ListBullet"/>
              <w:rPr>
                <w:lang w:val="en-US"/>
              </w:rPr>
            </w:pPr>
            <w:r w:rsidRPr="00015C1F">
              <w:rPr>
                <w:lang w:val="en-US"/>
              </w:rPr>
              <w:t>work collaboratively and share learnings and findings across the sector</w:t>
            </w:r>
          </w:p>
          <w:p w14:paraId="1CCD8A12" w14:textId="77777777" w:rsidR="00015C1F" w:rsidRPr="00015C1F" w:rsidRDefault="00015C1F" w:rsidP="007F08B3">
            <w:pPr>
              <w:pStyle w:val="ListBullet"/>
              <w:rPr>
                <w:lang w:val="en-US"/>
              </w:rPr>
            </w:pPr>
            <w:r w:rsidRPr="00015C1F">
              <w:rPr>
                <w:lang w:val="en-US"/>
              </w:rPr>
              <w:t>support the active use of evidence and findings through developing continuous improvement pathways</w:t>
            </w:r>
          </w:p>
          <w:p w14:paraId="14369DBF" w14:textId="77777777" w:rsidR="00015C1F" w:rsidRPr="00015C1F" w:rsidRDefault="00015C1F" w:rsidP="007F08B3">
            <w:pPr>
              <w:pStyle w:val="ListBullet"/>
              <w:rPr>
                <w:lang w:val="en-US"/>
              </w:rPr>
            </w:pPr>
            <w:r w:rsidRPr="00015C1F">
              <w:rPr>
                <w:lang w:val="en-US"/>
              </w:rPr>
              <w:t xml:space="preserve">build the sector’s evaluation capacity to collect and </w:t>
            </w:r>
            <w:proofErr w:type="spellStart"/>
            <w:r w:rsidRPr="00015C1F">
              <w:rPr>
                <w:lang w:val="en-US"/>
              </w:rPr>
              <w:t>utilise</w:t>
            </w:r>
            <w:proofErr w:type="spellEnd"/>
            <w:r w:rsidRPr="00015C1F">
              <w:rPr>
                <w:lang w:val="en-US"/>
              </w:rPr>
              <w:t xml:space="preserve"> useful and quality data.</w:t>
            </w:r>
          </w:p>
        </w:tc>
        <w:tc>
          <w:tcPr>
            <w:tcW w:w="3685" w:type="dxa"/>
          </w:tcPr>
          <w:p w14:paraId="0E4E6DA0" w14:textId="77777777" w:rsidR="00015C1F" w:rsidRPr="00015C1F" w:rsidRDefault="00015C1F" w:rsidP="007F08B3">
            <w:pPr>
              <w:pStyle w:val="ListBullet"/>
              <w:rPr>
                <w:lang w:val="en-US"/>
              </w:rPr>
            </w:pPr>
            <w:r w:rsidRPr="00015C1F">
              <w:rPr>
                <w:lang w:val="en-US"/>
              </w:rPr>
              <w:t>sector activity and investment decisions can be based on current evidence</w:t>
            </w:r>
          </w:p>
          <w:p w14:paraId="71D0404E" w14:textId="77777777" w:rsidR="00015C1F" w:rsidRPr="00015C1F" w:rsidRDefault="00015C1F" w:rsidP="007F08B3">
            <w:pPr>
              <w:pStyle w:val="ListBullet"/>
              <w:rPr>
                <w:lang w:val="en-US"/>
              </w:rPr>
            </w:pPr>
            <w:r w:rsidRPr="00015C1F">
              <w:rPr>
                <w:lang w:val="en-US"/>
              </w:rPr>
              <w:t>data and information are available and accessible for use by the sector and others.</w:t>
            </w:r>
          </w:p>
        </w:tc>
      </w:tr>
      <w:tr w:rsidR="00015C1F" w:rsidRPr="00015C1F" w14:paraId="13A70599" w14:textId="77777777" w:rsidTr="00CD46A6">
        <w:trPr>
          <w:trHeight w:val="60"/>
        </w:trPr>
        <w:tc>
          <w:tcPr>
            <w:tcW w:w="1776" w:type="dxa"/>
          </w:tcPr>
          <w:p w14:paraId="7646EF1E" w14:textId="77777777" w:rsidR="00015C1F" w:rsidRPr="00015C1F" w:rsidRDefault="00015C1F" w:rsidP="00015C1F">
            <w:pPr>
              <w:rPr>
                <w:lang w:val="en-US"/>
              </w:rPr>
            </w:pPr>
            <w:r w:rsidRPr="00015C1F">
              <w:rPr>
                <w:b/>
                <w:bCs/>
                <w:lang w:val="en-US"/>
              </w:rPr>
              <w:t>To support decision-making, continuous improvement and learning, including for future investment in the sector</w:t>
            </w:r>
          </w:p>
        </w:tc>
        <w:tc>
          <w:tcPr>
            <w:tcW w:w="3606" w:type="dxa"/>
          </w:tcPr>
          <w:p w14:paraId="1A505B52" w14:textId="77777777" w:rsidR="00015C1F" w:rsidRPr="00015C1F" w:rsidRDefault="00015C1F" w:rsidP="007F08B3">
            <w:pPr>
              <w:pStyle w:val="ListBullet"/>
              <w:rPr>
                <w:lang w:val="en-US"/>
              </w:rPr>
            </w:pPr>
            <w:r w:rsidRPr="00015C1F">
              <w:rPr>
                <w:lang w:val="en-US"/>
              </w:rPr>
              <w:t>develop and implement the Framework with cross-sector input and engagement</w:t>
            </w:r>
          </w:p>
          <w:p w14:paraId="17CC115D" w14:textId="77777777" w:rsidR="00015C1F" w:rsidRPr="00015C1F" w:rsidRDefault="00015C1F" w:rsidP="007F08B3">
            <w:pPr>
              <w:pStyle w:val="ListBullet"/>
              <w:rPr>
                <w:lang w:val="en-US"/>
              </w:rPr>
            </w:pPr>
            <w:r w:rsidRPr="00015C1F">
              <w:rPr>
                <w:lang w:val="en-US"/>
              </w:rPr>
              <w:t>make evaluation findings available to the sector at all levels</w:t>
            </w:r>
          </w:p>
          <w:p w14:paraId="0AC2D596" w14:textId="77777777" w:rsidR="00015C1F" w:rsidRPr="00015C1F" w:rsidRDefault="00015C1F" w:rsidP="007F08B3">
            <w:pPr>
              <w:pStyle w:val="ListBullet"/>
              <w:rPr>
                <w:lang w:val="en-US"/>
              </w:rPr>
            </w:pPr>
            <w:r w:rsidRPr="00015C1F">
              <w:rPr>
                <w:lang w:val="en-US"/>
              </w:rPr>
              <w:t>act on recommendations and learnings to continually adapt and improve in line with current priorities</w:t>
            </w:r>
          </w:p>
          <w:p w14:paraId="6F8882D4" w14:textId="77777777" w:rsidR="00015C1F" w:rsidRPr="00015C1F" w:rsidRDefault="00015C1F" w:rsidP="007F08B3">
            <w:pPr>
              <w:pStyle w:val="ListBullet"/>
              <w:rPr>
                <w:lang w:val="en-US"/>
              </w:rPr>
            </w:pPr>
            <w:r w:rsidRPr="00015C1F">
              <w:rPr>
                <w:lang w:val="en-US"/>
              </w:rPr>
              <w:t>build the sector’s evaluation capacity and use evaluation findings to support decision-making and continuous improvement.</w:t>
            </w:r>
          </w:p>
        </w:tc>
        <w:tc>
          <w:tcPr>
            <w:tcW w:w="3685" w:type="dxa"/>
          </w:tcPr>
          <w:p w14:paraId="630FE6B7" w14:textId="77777777" w:rsidR="00015C1F" w:rsidRPr="00015C1F" w:rsidRDefault="00015C1F" w:rsidP="007F08B3">
            <w:pPr>
              <w:pStyle w:val="ListBullet"/>
              <w:rPr>
                <w:lang w:val="en-US"/>
              </w:rPr>
            </w:pPr>
            <w:r w:rsidRPr="00015C1F">
              <w:rPr>
                <w:lang w:val="en-US"/>
              </w:rPr>
              <w:t>the sector can change and adapt as needed to achieve intended outcomes and impacts, particularly considering changing contexts and a changing climate. This includes informing any revisions of the Strategy in future</w:t>
            </w:r>
          </w:p>
          <w:p w14:paraId="7412E34D" w14:textId="77777777" w:rsidR="00015C1F" w:rsidRPr="00015C1F" w:rsidRDefault="00015C1F" w:rsidP="007F08B3">
            <w:pPr>
              <w:pStyle w:val="ListBullet"/>
              <w:rPr>
                <w:lang w:val="en-US"/>
              </w:rPr>
            </w:pPr>
            <w:r w:rsidRPr="00015C1F">
              <w:rPr>
                <w:lang w:val="en-US"/>
              </w:rPr>
              <w:t>the sector is supported to continue to base decisions on evidence and science, including evaluative evidence.</w:t>
            </w:r>
          </w:p>
        </w:tc>
      </w:tr>
    </w:tbl>
    <w:p w14:paraId="098E858B" w14:textId="77777777" w:rsidR="00015C1F" w:rsidRPr="00015C1F" w:rsidRDefault="00015C1F" w:rsidP="00015C1F">
      <w:pPr>
        <w:rPr>
          <w:lang w:val="en-US"/>
        </w:rPr>
      </w:pPr>
    </w:p>
    <w:p w14:paraId="3BA5D97F" w14:textId="77777777" w:rsidR="00015C1F" w:rsidRPr="00015C1F" w:rsidRDefault="00015C1F" w:rsidP="00015C1F">
      <w:pPr>
        <w:pStyle w:val="Heading2"/>
        <w:rPr>
          <w:lang w:val="en-US"/>
        </w:rPr>
      </w:pPr>
      <w:bookmarkStart w:id="11" w:name="_Toc166680787"/>
      <w:r w:rsidRPr="00015C1F">
        <w:rPr>
          <w:lang w:val="en-US"/>
        </w:rPr>
        <w:t>2.2.</w:t>
      </w:r>
      <w:r w:rsidRPr="00015C1F">
        <w:rPr>
          <w:lang w:val="en-US"/>
        </w:rPr>
        <w:tab/>
        <w:t>Framework principles</w:t>
      </w:r>
      <w:bookmarkEnd w:id="11"/>
    </w:p>
    <w:p w14:paraId="6495B939" w14:textId="77777777" w:rsidR="00015C1F" w:rsidRPr="00015C1F" w:rsidRDefault="00015C1F" w:rsidP="00015C1F">
      <w:pPr>
        <w:rPr>
          <w:lang w:val="en-US"/>
        </w:rPr>
      </w:pPr>
      <w:r w:rsidRPr="00015C1F">
        <w:rPr>
          <w:lang w:val="en-US"/>
        </w:rPr>
        <w:t xml:space="preserve">The sector has established a set of principles that underpins its approach to MER and articulates what is important to it in how it will deliver MER. </w:t>
      </w:r>
    </w:p>
    <w:p w14:paraId="5EEFA29C" w14:textId="77777777" w:rsidR="00015C1F" w:rsidRPr="007F08B3" w:rsidRDefault="00015C1F" w:rsidP="007F08B3">
      <w:pPr>
        <w:pStyle w:val="BlockText"/>
        <w:rPr>
          <w:b/>
          <w:bCs/>
          <w:lang w:val="en-US"/>
        </w:rPr>
      </w:pPr>
      <w:r w:rsidRPr="007F08B3">
        <w:rPr>
          <w:b/>
          <w:bCs/>
          <w:lang w:val="en-US"/>
        </w:rPr>
        <w:t>Framework principles</w:t>
      </w:r>
    </w:p>
    <w:p w14:paraId="2A3E31E2" w14:textId="77777777" w:rsidR="00015C1F" w:rsidRPr="00015C1F" w:rsidRDefault="00015C1F" w:rsidP="007F08B3">
      <w:pPr>
        <w:pStyle w:val="BlockText"/>
        <w:rPr>
          <w:lang w:val="en-US"/>
        </w:rPr>
      </w:pPr>
      <w:r w:rsidRPr="00015C1F">
        <w:rPr>
          <w:lang w:val="en-US"/>
        </w:rPr>
        <w:t>Principles establish the foundations of our approach to MER and articulate what is important to the sector in how we will deliver MER. The principles that guide the Framework and underpin the sector’s approach to implementing MER are:</w:t>
      </w:r>
    </w:p>
    <w:p w14:paraId="2F0C8491" w14:textId="4968B9E8" w:rsidR="00015C1F" w:rsidRPr="00015C1F" w:rsidRDefault="00015C1F" w:rsidP="007F08B3">
      <w:pPr>
        <w:pStyle w:val="BlockText"/>
        <w:numPr>
          <w:ilvl w:val="0"/>
          <w:numId w:val="49"/>
        </w:numPr>
        <w:rPr>
          <w:lang w:val="en-US"/>
        </w:rPr>
      </w:pPr>
      <w:r w:rsidRPr="00015C1F">
        <w:rPr>
          <w:b/>
          <w:bCs/>
          <w:lang w:val="en-US"/>
        </w:rPr>
        <w:t>Shared responsibility for implementing the Framework</w:t>
      </w:r>
      <w:r w:rsidRPr="00015C1F">
        <w:rPr>
          <w:lang w:val="en-US"/>
        </w:rPr>
        <w:br/>
        <w:t xml:space="preserve">This means that each sector partner will contribute </w:t>
      </w:r>
      <w:proofErr w:type="gramStart"/>
      <w:r w:rsidRPr="00015C1F">
        <w:rPr>
          <w:lang w:val="en-US"/>
        </w:rPr>
        <w:t>in</w:t>
      </w:r>
      <w:proofErr w:type="gramEnd"/>
      <w:r w:rsidRPr="00015C1F">
        <w:rPr>
          <w:lang w:val="en-US"/>
        </w:rPr>
        <w:t xml:space="preserve"> line with its level of responsibility for bushfire management. While contributions may look different for different departments and agencies, the sector collaborates to ensure progress towards our agreed outcomes and to measure and report on our progress.</w:t>
      </w:r>
    </w:p>
    <w:p w14:paraId="0E4683DF" w14:textId="683FB438" w:rsidR="00015C1F" w:rsidRPr="00015C1F" w:rsidRDefault="00015C1F" w:rsidP="007F08B3">
      <w:pPr>
        <w:pStyle w:val="BlockText"/>
        <w:numPr>
          <w:ilvl w:val="0"/>
          <w:numId w:val="49"/>
        </w:numPr>
        <w:rPr>
          <w:lang w:val="en-US"/>
        </w:rPr>
      </w:pPr>
      <w:r w:rsidRPr="00015C1F">
        <w:rPr>
          <w:b/>
          <w:bCs/>
          <w:lang w:val="en-US"/>
        </w:rPr>
        <w:t>Flexibility and adaptability in our MER approach</w:t>
      </w:r>
      <w:r w:rsidRPr="00015C1F">
        <w:rPr>
          <w:b/>
          <w:bCs/>
          <w:lang w:val="en-US"/>
        </w:rPr>
        <w:br/>
      </w:r>
      <w:r w:rsidRPr="00015C1F">
        <w:rPr>
          <w:lang w:val="en-US"/>
        </w:rPr>
        <w:t>This framework offers the sector guidance for a MER approach and establishes the boundaries for MER. As the sector grows and continues to work and learn together, the MER approach will adapt accordingly in line with best practice. In the first instance it focuses on data and information already available and builds on this steadily over time. Strategy and Framework delivery evolve together.</w:t>
      </w:r>
    </w:p>
    <w:p w14:paraId="423DC9A5" w14:textId="66D9992D" w:rsidR="00015C1F" w:rsidRPr="00015C1F" w:rsidRDefault="00015C1F" w:rsidP="007F08B3">
      <w:pPr>
        <w:pStyle w:val="BlockText"/>
        <w:numPr>
          <w:ilvl w:val="0"/>
          <w:numId w:val="49"/>
        </w:numPr>
        <w:rPr>
          <w:lang w:val="en-US"/>
        </w:rPr>
      </w:pPr>
      <w:r w:rsidRPr="00015C1F">
        <w:rPr>
          <w:b/>
          <w:bCs/>
          <w:lang w:val="en-US"/>
        </w:rPr>
        <w:t>Sharing and using existing data across the sector wherever possible, building data as needed and learning as a sector</w:t>
      </w:r>
      <w:r w:rsidRPr="00015C1F">
        <w:rPr>
          <w:b/>
          <w:bCs/>
          <w:lang w:val="en-US"/>
        </w:rPr>
        <w:br/>
      </w:r>
      <w:r w:rsidRPr="00015C1F">
        <w:rPr>
          <w:lang w:val="en-US"/>
        </w:rPr>
        <w:t xml:space="preserve">While some new data is likely needed to respond to key evaluation questions, the Framework will make use of existing data and information where appropriate and possible. Similarly, where appropriate and possible, any new data collected and collated will be useful for multiple purposes and interrogated at multiple scales. To support this, the Framework will refer to other existing sector monitoring and evaluation, making direct links where possible. This is intended to reduce the burden on the sector and make the most of existing data and resources. Data collated as a part of the Framework will be made available for other uses and </w:t>
      </w:r>
      <w:r w:rsidRPr="00015C1F">
        <w:rPr>
          <w:lang w:val="en-US"/>
        </w:rPr>
        <w:lastRenderedPageBreak/>
        <w:t>needs that the sector may have, independent of the Framework. This will be described in the VBMER Plan.</w:t>
      </w:r>
    </w:p>
    <w:p w14:paraId="576D8B4B" w14:textId="618B2827" w:rsidR="00015C1F" w:rsidRPr="007F08B3" w:rsidRDefault="00015C1F" w:rsidP="007F08B3">
      <w:pPr>
        <w:pStyle w:val="BlockText"/>
        <w:numPr>
          <w:ilvl w:val="0"/>
          <w:numId w:val="47"/>
        </w:numPr>
      </w:pPr>
      <w:r w:rsidRPr="00015C1F">
        <w:rPr>
          <w:b/>
          <w:bCs/>
          <w:lang w:val="en-US"/>
        </w:rPr>
        <w:t xml:space="preserve">Consideration and recognition of contextual factors that influence the delivery of the </w:t>
      </w:r>
      <w:r w:rsidRPr="007F08B3">
        <w:t>Framework and findings</w:t>
      </w:r>
      <w:r w:rsidRPr="007F08B3">
        <w:br/>
        <w:t>The sector will assess any changing context and/or contextual factors that influence the ability to progress delivery of the Strategy and achieve the outcomes identified. It will analyse and interpret data to document and tell the story in a way that recognises this, together with any unexpected outcomes and external processes which influence outcomes. For example, this may include changes in legislation, policy or government priorities.</w:t>
      </w:r>
    </w:p>
    <w:p w14:paraId="2085999C" w14:textId="48FE735C" w:rsidR="00015C1F" w:rsidRPr="00015C1F" w:rsidRDefault="00015C1F" w:rsidP="007F08B3">
      <w:pPr>
        <w:pStyle w:val="BlockText"/>
        <w:numPr>
          <w:ilvl w:val="0"/>
          <w:numId w:val="47"/>
        </w:numPr>
        <w:rPr>
          <w:lang w:val="en-US"/>
        </w:rPr>
      </w:pPr>
      <w:r w:rsidRPr="007F08B3">
        <w:t>Respect for Traditional Owner and Aboriginal self-determination and working together in a</w:t>
      </w:r>
      <w:r w:rsidRPr="00015C1F">
        <w:rPr>
          <w:b/>
          <w:bCs/>
          <w:lang w:val="en-US"/>
        </w:rPr>
        <w:t xml:space="preserve"> culturally-safe way</w:t>
      </w:r>
      <w:r w:rsidRPr="00015C1F">
        <w:rPr>
          <w:lang w:val="en-US"/>
        </w:rPr>
        <w:br/>
        <w:t>The sector will work with Traditional Owners and Aboriginal communities and groups in a culturally-safe way, which respects self-determination. In doing so, the sector acknowledges that:</w:t>
      </w:r>
    </w:p>
    <w:p w14:paraId="4062B596" w14:textId="3AA2B0AB" w:rsidR="00015C1F" w:rsidRPr="007F08B3" w:rsidRDefault="00015C1F" w:rsidP="007F08B3">
      <w:pPr>
        <w:pStyle w:val="BlockText"/>
        <w:numPr>
          <w:ilvl w:val="0"/>
          <w:numId w:val="48"/>
        </w:numPr>
      </w:pPr>
      <w:r w:rsidRPr="00015C1F">
        <w:rPr>
          <w:lang w:val="en-US"/>
        </w:rPr>
        <w:t xml:space="preserve">understanding local </w:t>
      </w:r>
      <w:r w:rsidRPr="007F08B3">
        <w:t>context and history is essential for working with Traditional Owners and Aboriginal communities and groups</w:t>
      </w:r>
    </w:p>
    <w:p w14:paraId="25DD1303" w14:textId="20FF345F" w:rsidR="00015C1F" w:rsidRPr="007F08B3" w:rsidRDefault="00015C1F" w:rsidP="007F08B3">
      <w:pPr>
        <w:pStyle w:val="BlockText"/>
        <w:numPr>
          <w:ilvl w:val="0"/>
          <w:numId w:val="48"/>
        </w:numPr>
      </w:pPr>
      <w:r w:rsidRPr="007F08B3">
        <w:t xml:space="preserve">not all Traditional Owners have the capacity or desire to contribute to fire and land management initiatives, nor to monitoring and evaluation activities </w:t>
      </w:r>
    </w:p>
    <w:p w14:paraId="2D2F1390" w14:textId="16132AB7" w:rsidR="00015C1F" w:rsidRPr="00015C1F" w:rsidRDefault="00015C1F" w:rsidP="007F08B3">
      <w:pPr>
        <w:pStyle w:val="BlockText"/>
        <w:numPr>
          <w:ilvl w:val="0"/>
          <w:numId w:val="48"/>
        </w:numPr>
        <w:rPr>
          <w:lang w:val="en-US"/>
        </w:rPr>
      </w:pPr>
      <w:r w:rsidRPr="007F08B3">
        <w:t xml:space="preserve">there is a rich diversity of Traditional </w:t>
      </w:r>
      <w:r w:rsidRPr="00015C1F">
        <w:rPr>
          <w:lang w:val="en-US"/>
        </w:rPr>
        <w:t>Owners and Aboriginal communities and groups across the state, and the sector respects that each community will work in its own way, in its own time.</w:t>
      </w:r>
    </w:p>
    <w:p w14:paraId="020E3B01" w14:textId="77777777" w:rsidR="00015C1F" w:rsidRPr="00015C1F" w:rsidRDefault="00015C1F" w:rsidP="007F08B3">
      <w:pPr>
        <w:pStyle w:val="BlockText"/>
        <w:rPr>
          <w:lang w:val="en-US"/>
        </w:rPr>
      </w:pPr>
      <w:r w:rsidRPr="00015C1F">
        <w:rPr>
          <w:lang w:val="en-US"/>
        </w:rPr>
        <w:t xml:space="preserve">Further the sector </w:t>
      </w:r>
      <w:proofErr w:type="spellStart"/>
      <w:r w:rsidRPr="00015C1F">
        <w:rPr>
          <w:lang w:val="en-US"/>
        </w:rPr>
        <w:t>recognises</w:t>
      </w:r>
      <w:proofErr w:type="spellEnd"/>
      <w:r w:rsidRPr="00015C1F">
        <w:rPr>
          <w:lang w:val="en-US"/>
        </w:rPr>
        <w:t xml:space="preserve"> that for some outcomes this may also mean that data collection and data storage approaches, analysis and evidence are different to reflect cultural-safe evaluation practice and use.</w:t>
      </w:r>
    </w:p>
    <w:p w14:paraId="76FA57F9" w14:textId="77777777" w:rsidR="00015C1F" w:rsidRPr="00015C1F" w:rsidRDefault="00015C1F" w:rsidP="00015C1F">
      <w:pPr>
        <w:pStyle w:val="Heading2"/>
        <w:rPr>
          <w:lang w:val="en-US"/>
        </w:rPr>
      </w:pPr>
      <w:bookmarkStart w:id="12" w:name="_Toc166680788"/>
      <w:r w:rsidRPr="00015C1F">
        <w:rPr>
          <w:lang w:val="en-US"/>
        </w:rPr>
        <w:t>2.3.</w:t>
      </w:r>
      <w:r w:rsidRPr="00015C1F">
        <w:rPr>
          <w:lang w:val="en-US"/>
        </w:rPr>
        <w:tab/>
        <w:t>Conceptual model</w:t>
      </w:r>
      <w:bookmarkEnd w:id="12"/>
    </w:p>
    <w:p w14:paraId="7D0DD7A7" w14:textId="77777777" w:rsidR="00015C1F" w:rsidRPr="00015C1F" w:rsidRDefault="00015C1F" w:rsidP="00015C1F">
      <w:pPr>
        <w:rPr>
          <w:lang w:val="en-US"/>
        </w:rPr>
      </w:pPr>
      <w:r w:rsidRPr="00015C1F">
        <w:rPr>
          <w:lang w:val="en-US"/>
        </w:rPr>
        <w:t xml:space="preserve">The Framework provides the approach to MER and how this will inform the improvement and implementation of the Strategy. This approach is outlined in </w:t>
      </w:r>
      <w:r w:rsidRPr="00015C1F">
        <w:rPr>
          <w:b/>
          <w:bCs/>
          <w:lang w:val="en-US"/>
        </w:rPr>
        <w:t>Figure 3</w:t>
      </w:r>
      <w:r w:rsidRPr="00015C1F">
        <w:rPr>
          <w:lang w:val="en-US"/>
        </w:rPr>
        <w:t xml:space="preserve">. Further detail of </w:t>
      </w:r>
      <w:r w:rsidRPr="00015C1F">
        <w:rPr>
          <w:lang w:val="en-US"/>
        </w:rPr>
        <w:lastRenderedPageBreak/>
        <w:t>the approach is described in later sections of this document and further defined in the supporting VBMER Plan.</w:t>
      </w:r>
    </w:p>
    <w:p w14:paraId="50C79F67" w14:textId="77777777" w:rsidR="007F08B3" w:rsidRDefault="007F08B3" w:rsidP="007F08B3">
      <w:pPr>
        <w:keepNext/>
      </w:pPr>
      <w:r>
        <w:rPr>
          <w:noProof/>
          <w:lang w:val="en-US"/>
        </w:rPr>
        <w:drawing>
          <wp:inline distT="0" distB="0" distL="0" distR="0" wp14:anchorId="72BEA838" wp14:editId="62EC1026">
            <wp:extent cx="5723369" cy="3503487"/>
            <wp:effectExtent l="0" t="0" r="4445" b="1905"/>
            <wp:docPr id="863890270" name="Picture 5" descr="A diagram describing how monitoring, evaluation and reporting will support implementation and improvement in the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90270" name="Picture 5" descr="A diagram describing how monitoring, evaluation and reporting will support implementation and improvement in the strategy"/>
                    <pic:cNvPicPr/>
                  </pic:nvPicPr>
                  <pic:blipFill>
                    <a:blip r:embed="rId10">
                      <a:extLst>
                        <a:ext uri="{28A0092B-C50C-407E-A947-70E740481C1C}">
                          <a14:useLocalDpi xmlns:a14="http://schemas.microsoft.com/office/drawing/2010/main" val="0"/>
                        </a:ext>
                      </a:extLst>
                    </a:blip>
                    <a:stretch>
                      <a:fillRect/>
                    </a:stretch>
                  </pic:blipFill>
                  <pic:spPr>
                    <a:xfrm>
                      <a:off x="0" y="0"/>
                      <a:ext cx="5735847" cy="3511125"/>
                    </a:xfrm>
                    <a:prstGeom prst="rect">
                      <a:avLst/>
                    </a:prstGeom>
                  </pic:spPr>
                </pic:pic>
              </a:graphicData>
            </a:graphic>
          </wp:inline>
        </w:drawing>
      </w:r>
    </w:p>
    <w:p w14:paraId="17171DAD" w14:textId="38258840" w:rsidR="00015C1F" w:rsidRPr="00015C1F" w:rsidRDefault="007F08B3" w:rsidP="007F08B3">
      <w:pPr>
        <w:pStyle w:val="Caption"/>
        <w:rPr>
          <w:lang w:val="en-US"/>
        </w:rPr>
      </w:pPr>
      <w:r>
        <w:t xml:space="preserve">Figure </w:t>
      </w:r>
      <w:r>
        <w:fldChar w:fldCharType="begin"/>
      </w:r>
      <w:r>
        <w:instrText xml:space="preserve"> SEQ Figure \* ARABIC </w:instrText>
      </w:r>
      <w:r>
        <w:fldChar w:fldCharType="separate"/>
      </w:r>
      <w:r w:rsidR="00CD46A6">
        <w:rPr>
          <w:noProof/>
        </w:rPr>
        <w:t>3</w:t>
      </w:r>
      <w:r>
        <w:fldChar w:fldCharType="end"/>
      </w:r>
      <w:r>
        <w:t xml:space="preserve">. </w:t>
      </w:r>
      <w:r w:rsidRPr="00D74FA2">
        <w:t>Conceptual model for monitoring, evaluation, reporting and improvement.</w:t>
      </w:r>
    </w:p>
    <w:p w14:paraId="0BFC7DF6" w14:textId="77777777" w:rsidR="00015C1F" w:rsidRPr="00015C1F" w:rsidRDefault="00015C1F" w:rsidP="00015C1F">
      <w:pPr>
        <w:rPr>
          <w:lang w:val="en-US"/>
        </w:rPr>
      </w:pPr>
      <w:r w:rsidRPr="00015C1F">
        <w:rPr>
          <w:lang w:val="en-US"/>
        </w:rPr>
        <w:t xml:space="preserve">The Framework will connect to and draw on existing sector MER activities, but importantly, it will not replace existing sector MER or provide specific sub-program MER (cross-sector or otherwise) – this remains a critical responsibility for designated departments and agencies managing specific bushfire management-related programs and projects. </w:t>
      </w:r>
    </w:p>
    <w:p w14:paraId="7078FBA3" w14:textId="77777777" w:rsidR="00015C1F" w:rsidRPr="00015C1F" w:rsidRDefault="00015C1F" w:rsidP="00015C1F">
      <w:pPr>
        <w:rPr>
          <w:lang w:val="en-US"/>
        </w:rPr>
      </w:pPr>
      <w:r w:rsidRPr="00015C1F">
        <w:rPr>
          <w:lang w:val="en-US"/>
        </w:rPr>
        <w:t xml:space="preserve">The Framework is </w:t>
      </w:r>
      <w:proofErr w:type="spellStart"/>
      <w:r w:rsidRPr="00015C1F">
        <w:rPr>
          <w:lang w:val="en-US"/>
        </w:rPr>
        <w:t>focussed</w:t>
      </w:r>
      <w:proofErr w:type="spellEnd"/>
      <w:r w:rsidRPr="00015C1F">
        <w:rPr>
          <w:lang w:val="en-US"/>
        </w:rPr>
        <w:t xml:space="preserve"> on how the work of the sector comes together as a whole to contribute to, influence and drive the achievement of the outcomes identified in the Strategy. </w:t>
      </w:r>
      <w:r w:rsidRPr="00015C1F">
        <w:rPr>
          <w:b/>
          <w:bCs/>
          <w:lang w:val="en-US"/>
        </w:rPr>
        <w:t>Figure 4</w:t>
      </w:r>
      <w:r w:rsidRPr="00015C1F">
        <w:rPr>
          <w:lang w:val="en-US"/>
        </w:rPr>
        <w:t xml:space="preserve"> outlines how the programs and projects delivered by the sector may contribute data and information which – when combined and complemented by data collected specifically for the Framework – enables reporting at the Strategy level. The current programs and projects that contribute to the Strategy outcomes are at varying levels of maturity, with some, but not all programs, having clear MER approaches specified. It is envisaged that this will be an area of focus over the life of the Strategy.</w:t>
      </w:r>
    </w:p>
    <w:p w14:paraId="6C5AA209" w14:textId="77777777" w:rsidR="00015C1F" w:rsidRPr="00015C1F" w:rsidRDefault="00015C1F" w:rsidP="00015C1F">
      <w:pPr>
        <w:rPr>
          <w:lang w:val="en-US"/>
        </w:rPr>
      </w:pPr>
    </w:p>
    <w:p w14:paraId="6C071CFE" w14:textId="77777777" w:rsidR="00015C1F" w:rsidRPr="00015C1F" w:rsidRDefault="00015C1F" w:rsidP="00015C1F">
      <w:pPr>
        <w:rPr>
          <w:lang w:val="en-US"/>
        </w:rPr>
      </w:pPr>
    </w:p>
    <w:p w14:paraId="375F2D9A" w14:textId="77777777" w:rsidR="007F08B3" w:rsidRDefault="007F08B3" w:rsidP="007F08B3">
      <w:pPr>
        <w:keepNext/>
      </w:pPr>
      <w:r>
        <w:rPr>
          <w:noProof/>
          <w:lang w:val="en-US"/>
        </w:rPr>
        <w:lastRenderedPageBreak/>
        <w:drawing>
          <wp:inline distT="0" distB="0" distL="0" distR="0" wp14:anchorId="44D6FA54" wp14:editId="3C6594A5">
            <wp:extent cx="5489571" cy="3935002"/>
            <wp:effectExtent l="0" t="0" r="0" b="2540"/>
            <wp:docPr id="593584706" name="Picture 4" descr="A diagram that shows the connection between the framework and Victoria's monitoring, evaluation and reporting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84706" name="Picture 4" descr="A diagram that shows the connection between the framework and Victoria's monitoring, evaluation and reporting plan."/>
                    <pic:cNvPicPr/>
                  </pic:nvPicPr>
                  <pic:blipFill>
                    <a:blip r:embed="rId11">
                      <a:extLst>
                        <a:ext uri="{28A0092B-C50C-407E-A947-70E740481C1C}">
                          <a14:useLocalDpi xmlns:a14="http://schemas.microsoft.com/office/drawing/2010/main" val="0"/>
                        </a:ext>
                      </a:extLst>
                    </a:blip>
                    <a:stretch>
                      <a:fillRect/>
                    </a:stretch>
                  </pic:blipFill>
                  <pic:spPr>
                    <a:xfrm>
                      <a:off x="0" y="0"/>
                      <a:ext cx="5518051" cy="3955417"/>
                    </a:xfrm>
                    <a:prstGeom prst="rect">
                      <a:avLst/>
                    </a:prstGeom>
                  </pic:spPr>
                </pic:pic>
              </a:graphicData>
            </a:graphic>
          </wp:inline>
        </w:drawing>
      </w:r>
    </w:p>
    <w:p w14:paraId="67F02180" w14:textId="07F1CFD1" w:rsidR="00015C1F" w:rsidRPr="00015C1F" w:rsidRDefault="007F08B3" w:rsidP="007F08B3">
      <w:pPr>
        <w:pStyle w:val="Caption"/>
        <w:rPr>
          <w:lang w:val="en-US"/>
        </w:rPr>
      </w:pPr>
      <w:r>
        <w:t xml:space="preserve">Figure </w:t>
      </w:r>
      <w:r>
        <w:fldChar w:fldCharType="begin"/>
      </w:r>
      <w:r>
        <w:instrText xml:space="preserve"> SEQ Figure \* ARABIC </w:instrText>
      </w:r>
      <w:r>
        <w:fldChar w:fldCharType="separate"/>
      </w:r>
      <w:r w:rsidR="00CD46A6">
        <w:rPr>
          <w:noProof/>
        </w:rPr>
        <w:t>4</w:t>
      </w:r>
      <w:r>
        <w:fldChar w:fldCharType="end"/>
      </w:r>
      <w:r>
        <w:t xml:space="preserve">. </w:t>
      </w:r>
      <w:r w:rsidRPr="00123059">
        <w:t>Map of the connection between the Framework and the VBMER Plan, and sector programs that may contribute data to inform progress and achievements in line with the Strategy.</w:t>
      </w:r>
    </w:p>
    <w:p w14:paraId="3C1E11E5" w14:textId="2F3527F9" w:rsidR="00015C1F" w:rsidRPr="00015C1F" w:rsidRDefault="00015C1F" w:rsidP="00015C1F">
      <w:pPr>
        <w:pStyle w:val="Heading1"/>
        <w:rPr>
          <w:lang w:val="en-US"/>
        </w:rPr>
      </w:pPr>
      <w:bookmarkStart w:id="13" w:name="_Toc166680789"/>
      <w:r w:rsidRPr="00015C1F">
        <w:rPr>
          <w:lang w:val="en-US"/>
        </w:rPr>
        <w:t>3.</w:t>
      </w:r>
      <w:r>
        <w:rPr>
          <w:lang w:val="en-US"/>
        </w:rPr>
        <w:t xml:space="preserve"> </w:t>
      </w:r>
      <w:r w:rsidRPr="00015C1F">
        <w:rPr>
          <w:lang w:val="en-US"/>
        </w:rPr>
        <w:t>Outcomes and intermediate outcomes</w:t>
      </w:r>
      <w:bookmarkEnd w:id="13"/>
    </w:p>
    <w:p w14:paraId="68A15AE1" w14:textId="77777777" w:rsidR="00015C1F" w:rsidRPr="00015C1F" w:rsidRDefault="00015C1F" w:rsidP="00015C1F">
      <w:pPr>
        <w:rPr>
          <w:lang w:val="en-US"/>
        </w:rPr>
      </w:pPr>
      <w:r w:rsidRPr="00015C1F">
        <w:rPr>
          <w:lang w:val="en-US"/>
        </w:rPr>
        <w:t>The Strategy’s 7 high-level outcomes provide useful long-term overarching goals describing what the sector is seeking to achieve. This Framework introduces intermediate outcomes (</w:t>
      </w:r>
      <w:r w:rsidRPr="00015C1F">
        <w:rPr>
          <w:b/>
          <w:bCs/>
          <w:lang w:val="en-US"/>
        </w:rPr>
        <w:t>Table 4</w:t>
      </w:r>
      <w:r w:rsidRPr="00015C1F">
        <w:rPr>
          <w:lang w:val="en-US"/>
        </w:rPr>
        <w:t>) to link the high-level Strategy outcomes to measures that can be used to meaningfully track delivery. This is because the Strategy outcomes are long term in nature, so the intermediate outcomes provide a vehicle for assessing progress over time.</w:t>
      </w:r>
    </w:p>
    <w:p w14:paraId="11284EAB" w14:textId="77777777" w:rsidR="00015C1F" w:rsidRPr="00015C1F" w:rsidRDefault="00015C1F" w:rsidP="00015C1F">
      <w:pPr>
        <w:rPr>
          <w:lang w:val="en-US"/>
        </w:rPr>
      </w:pPr>
      <w:r w:rsidRPr="00015C1F">
        <w:rPr>
          <w:lang w:val="en-US"/>
        </w:rPr>
        <w:t>Intermediate outcomes help to unpack what the long-term outcomes look like over a shorter reporting period and have been developed to:</w:t>
      </w:r>
    </w:p>
    <w:p w14:paraId="525EC34C" w14:textId="68DF9D3B" w:rsidR="00015C1F" w:rsidRPr="00015C1F" w:rsidRDefault="00015C1F" w:rsidP="00015C1F">
      <w:pPr>
        <w:pStyle w:val="ListBullet"/>
        <w:rPr>
          <w:lang w:val="en-US"/>
        </w:rPr>
      </w:pPr>
      <w:r w:rsidRPr="00015C1F">
        <w:rPr>
          <w:lang w:val="en-US"/>
        </w:rPr>
        <w:t>provide a deeper understanding of what contributes to Strategy outcomes</w:t>
      </w:r>
    </w:p>
    <w:p w14:paraId="187717E6" w14:textId="1D608518" w:rsidR="00015C1F" w:rsidRPr="00015C1F" w:rsidRDefault="00015C1F" w:rsidP="00015C1F">
      <w:pPr>
        <w:pStyle w:val="ListBullet"/>
        <w:rPr>
          <w:lang w:val="en-US"/>
        </w:rPr>
      </w:pPr>
      <w:r w:rsidRPr="00015C1F">
        <w:rPr>
          <w:lang w:val="en-US"/>
        </w:rPr>
        <w:t>support development of useful indicators and measures that can be linked back to strategic directions in the Strategy and their contribution to the achievement of strategic outcomes.</w:t>
      </w:r>
    </w:p>
    <w:p w14:paraId="2BDC8B80" w14:textId="77777777" w:rsidR="00015C1F" w:rsidRPr="00015C1F" w:rsidRDefault="00015C1F" w:rsidP="00015C1F">
      <w:pPr>
        <w:rPr>
          <w:lang w:val="en-US"/>
        </w:rPr>
      </w:pPr>
      <w:r w:rsidRPr="00015C1F">
        <w:rPr>
          <w:lang w:val="en-US"/>
        </w:rPr>
        <w:lastRenderedPageBreak/>
        <w:t>It is important to note that the intermediate outcomes developed for the Strategy outcome ‘The sector enables self-determination of Traditional Owners and Aboriginal Victorians in land and bushfire management’ are placeholders only. The intermediate outcomes relating to self-determination will be developed and determined by Victoria’s Traditional Owners.</w:t>
      </w:r>
    </w:p>
    <w:p w14:paraId="46E08923" w14:textId="70D8FF2C" w:rsidR="00015C1F" w:rsidRPr="00015C1F" w:rsidRDefault="00015C1F" w:rsidP="00015C1F">
      <w:pPr>
        <w:pStyle w:val="Caption"/>
        <w:rPr>
          <w:lang w:val="en-US"/>
        </w:rPr>
      </w:pPr>
      <w:r w:rsidRPr="00015C1F">
        <w:rPr>
          <w:b/>
          <w:bCs/>
          <w:lang w:val="en-US"/>
        </w:rPr>
        <w:t>Table 4</w:t>
      </w:r>
      <w:r>
        <w:rPr>
          <w:b/>
          <w:bCs/>
          <w:lang w:val="en-US"/>
        </w:rPr>
        <w:t xml:space="preserve">. </w:t>
      </w:r>
      <w:r w:rsidRPr="00015C1F">
        <w:rPr>
          <w:lang w:val="en-US"/>
        </w:rPr>
        <w:t>Intermediate outcomes aligned to Strategy outcomes.</w:t>
      </w:r>
    </w:p>
    <w:tbl>
      <w:tblPr>
        <w:tblStyle w:val="TableGrid"/>
        <w:tblW w:w="9067" w:type="dxa"/>
        <w:tblLayout w:type="fixed"/>
        <w:tblLook w:val="0020" w:firstRow="1" w:lastRow="0" w:firstColumn="0" w:lastColumn="0" w:noHBand="0" w:noVBand="0"/>
      </w:tblPr>
      <w:tblGrid>
        <w:gridCol w:w="2689"/>
        <w:gridCol w:w="6378"/>
      </w:tblGrid>
      <w:tr w:rsidR="00015C1F" w:rsidRPr="00015C1F" w14:paraId="12285D2B" w14:textId="77777777" w:rsidTr="00CD46A6">
        <w:trPr>
          <w:cantSplit/>
          <w:trHeight w:val="60"/>
          <w:tblHeader/>
        </w:trPr>
        <w:tc>
          <w:tcPr>
            <w:tcW w:w="2689" w:type="dxa"/>
          </w:tcPr>
          <w:p w14:paraId="2EF9E32D" w14:textId="77777777" w:rsidR="00015C1F" w:rsidRPr="00015C1F" w:rsidRDefault="00015C1F" w:rsidP="00015C1F">
            <w:pPr>
              <w:rPr>
                <w:b/>
                <w:bCs/>
                <w:lang w:val="en-US"/>
              </w:rPr>
            </w:pPr>
            <w:r w:rsidRPr="00015C1F">
              <w:rPr>
                <w:b/>
                <w:bCs/>
                <w:lang w:val="en-US"/>
              </w:rPr>
              <w:t>Strategy outcome</w:t>
            </w:r>
          </w:p>
        </w:tc>
        <w:tc>
          <w:tcPr>
            <w:tcW w:w="6378" w:type="dxa"/>
          </w:tcPr>
          <w:p w14:paraId="438CF88F" w14:textId="77777777" w:rsidR="00015C1F" w:rsidRPr="00015C1F" w:rsidRDefault="00015C1F" w:rsidP="00015C1F">
            <w:pPr>
              <w:rPr>
                <w:b/>
                <w:bCs/>
                <w:lang w:val="en-US"/>
              </w:rPr>
            </w:pPr>
            <w:r w:rsidRPr="00015C1F">
              <w:rPr>
                <w:b/>
                <w:bCs/>
                <w:lang w:val="en-US"/>
              </w:rPr>
              <w:t>Intermediate outcome</w:t>
            </w:r>
          </w:p>
        </w:tc>
      </w:tr>
      <w:tr w:rsidR="00015C1F" w:rsidRPr="00015C1F" w14:paraId="33DBF373" w14:textId="77777777" w:rsidTr="00CD46A6">
        <w:trPr>
          <w:trHeight w:val="60"/>
        </w:trPr>
        <w:tc>
          <w:tcPr>
            <w:tcW w:w="2689" w:type="dxa"/>
            <w:vMerge w:val="restart"/>
          </w:tcPr>
          <w:p w14:paraId="318AFE95" w14:textId="77777777" w:rsidR="00015C1F" w:rsidRPr="00015C1F" w:rsidRDefault="00015C1F" w:rsidP="00015C1F">
            <w:pPr>
              <w:rPr>
                <w:lang w:val="en-US"/>
              </w:rPr>
            </w:pPr>
            <w:r w:rsidRPr="00015C1F">
              <w:rPr>
                <w:b/>
                <w:bCs/>
                <w:lang w:val="en-US"/>
              </w:rPr>
              <w:t>Communities are more resilient to the impacts of bushfires and bushfire management activities</w:t>
            </w:r>
          </w:p>
        </w:tc>
        <w:tc>
          <w:tcPr>
            <w:tcW w:w="6378" w:type="dxa"/>
          </w:tcPr>
          <w:p w14:paraId="3C556A4D" w14:textId="77777777" w:rsidR="00015C1F" w:rsidRPr="00015C1F" w:rsidRDefault="00015C1F" w:rsidP="00015C1F">
            <w:pPr>
              <w:rPr>
                <w:lang w:val="en-US"/>
              </w:rPr>
            </w:pPr>
            <w:r w:rsidRPr="00015C1F">
              <w:rPr>
                <w:lang w:val="en-US"/>
              </w:rPr>
              <w:t xml:space="preserve">1a) People and communities are empowered to contribute to bushfire management, including mitigation, planning, preparedness, </w:t>
            </w:r>
            <w:proofErr w:type="gramStart"/>
            <w:r w:rsidRPr="00015C1F">
              <w:rPr>
                <w:lang w:val="en-US"/>
              </w:rPr>
              <w:t>response</w:t>
            </w:r>
            <w:proofErr w:type="gramEnd"/>
            <w:r w:rsidRPr="00015C1F">
              <w:rPr>
                <w:lang w:val="en-US"/>
              </w:rPr>
              <w:t xml:space="preserve"> and recovery in their local area and on their land</w:t>
            </w:r>
          </w:p>
        </w:tc>
      </w:tr>
      <w:tr w:rsidR="00015C1F" w:rsidRPr="00015C1F" w14:paraId="27B43D91" w14:textId="77777777" w:rsidTr="00CD46A6">
        <w:trPr>
          <w:trHeight w:val="60"/>
        </w:trPr>
        <w:tc>
          <w:tcPr>
            <w:tcW w:w="2689" w:type="dxa"/>
            <w:vMerge/>
          </w:tcPr>
          <w:p w14:paraId="181756B3" w14:textId="77777777" w:rsidR="00015C1F" w:rsidRPr="00015C1F" w:rsidRDefault="00015C1F" w:rsidP="00015C1F">
            <w:pPr>
              <w:rPr>
                <w:lang w:val="en-GB"/>
              </w:rPr>
            </w:pPr>
          </w:p>
        </w:tc>
        <w:tc>
          <w:tcPr>
            <w:tcW w:w="6378" w:type="dxa"/>
          </w:tcPr>
          <w:p w14:paraId="5265D549" w14:textId="77777777" w:rsidR="00015C1F" w:rsidRPr="00015C1F" w:rsidRDefault="00015C1F" w:rsidP="00015C1F">
            <w:pPr>
              <w:rPr>
                <w:lang w:val="en-US"/>
              </w:rPr>
            </w:pPr>
            <w:r w:rsidRPr="00015C1F">
              <w:rPr>
                <w:lang w:val="en-US"/>
              </w:rPr>
              <w:t xml:space="preserve">1b) The impact of fire on community values is </w:t>
            </w:r>
            <w:proofErr w:type="spellStart"/>
            <w:r w:rsidRPr="00015C1F">
              <w:rPr>
                <w:lang w:val="en-US"/>
              </w:rPr>
              <w:t>reduced</w:t>
            </w:r>
            <w:r w:rsidRPr="00015C1F">
              <w:rPr>
                <w:vertAlign w:val="superscript"/>
                <w:lang w:val="en-US"/>
              </w:rPr>
              <w:t>a</w:t>
            </w:r>
            <w:proofErr w:type="spellEnd"/>
          </w:p>
        </w:tc>
      </w:tr>
      <w:tr w:rsidR="00015C1F" w:rsidRPr="00015C1F" w14:paraId="0CD615AC" w14:textId="77777777" w:rsidTr="00CD46A6">
        <w:trPr>
          <w:trHeight w:val="60"/>
        </w:trPr>
        <w:tc>
          <w:tcPr>
            <w:tcW w:w="2689" w:type="dxa"/>
            <w:vMerge/>
          </w:tcPr>
          <w:p w14:paraId="48AABAAB" w14:textId="77777777" w:rsidR="00015C1F" w:rsidRPr="00015C1F" w:rsidRDefault="00015C1F" w:rsidP="00015C1F">
            <w:pPr>
              <w:rPr>
                <w:lang w:val="en-GB"/>
              </w:rPr>
            </w:pPr>
          </w:p>
        </w:tc>
        <w:tc>
          <w:tcPr>
            <w:tcW w:w="6378" w:type="dxa"/>
          </w:tcPr>
          <w:p w14:paraId="58C8078A" w14:textId="77777777" w:rsidR="00015C1F" w:rsidRPr="00015C1F" w:rsidRDefault="00015C1F" w:rsidP="00015C1F">
            <w:pPr>
              <w:rPr>
                <w:lang w:val="en-US"/>
              </w:rPr>
            </w:pPr>
            <w:r w:rsidRPr="00015C1F">
              <w:rPr>
                <w:lang w:val="en-US"/>
              </w:rPr>
              <w:t>1c) People and communities recover in a timely and safe way following bushfire events</w:t>
            </w:r>
          </w:p>
        </w:tc>
      </w:tr>
      <w:tr w:rsidR="00015C1F" w:rsidRPr="00015C1F" w14:paraId="1B2469C4" w14:textId="77777777" w:rsidTr="00CD46A6">
        <w:trPr>
          <w:trHeight w:val="60"/>
        </w:trPr>
        <w:tc>
          <w:tcPr>
            <w:tcW w:w="2689" w:type="dxa"/>
            <w:vMerge w:val="restart"/>
          </w:tcPr>
          <w:p w14:paraId="0C0A277A" w14:textId="77777777" w:rsidR="00015C1F" w:rsidRPr="00015C1F" w:rsidRDefault="00015C1F" w:rsidP="00015C1F">
            <w:pPr>
              <w:rPr>
                <w:lang w:val="en-US"/>
              </w:rPr>
            </w:pPr>
            <w:r w:rsidRPr="00015C1F">
              <w:rPr>
                <w:b/>
                <w:bCs/>
                <w:lang w:val="en-US"/>
              </w:rPr>
              <w:t xml:space="preserve">Business, </w:t>
            </w:r>
            <w:proofErr w:type="gramStart"/>
            <w:r w:rsidRPr="00015C1F">
              <w:rPr>
                <w:b/>
                <w:bCs/>
                <w:lang w:val="en-US"/>
              </w:rPr>
              <w:t>industry</w:t>
            </w:r>
            <w:proofErr w:type="gramEnd"/>
            <w:r w:rsidRPr="00015C1F">
              <w:rPr>
                <w:b/>
                <w:bCs/>
                <w:lang w:val="en-US"/>
              </w:rPr>
              <w:t xml:space="preserve"> and infrastructure are more resilient to the impacts of bushfires and bushfire management activities</w:t>
            </w:r>
          </w:p>
        </w:tc>
        <w:tc>
          <w:tcPr>
            <w:tcW w:w="6378" w:type="dxa"/>
          </w:tcPr>
          <w:p w14:paraId="7C992B70" w14:textId="77777777" w:rsidR="00015C1F" w:rsidRPr="00015C1F" w:rsidRDefault="00015C1F" w:rsidP="00015C1F">
            <w:pPr>
              <w:rPr>
                <w:lang w:val="en-US"/>
              </w:rPr>
            </w:pPr>
            <w:r w:rsidRPr="00015C1F">
              <w:rPr>
                <w:lang w:val="en-US"/>
              </w:rPr>
              <w:t xml:space="preserve">2a) The impact of bushfire and bushfire management on assets and continuity of businesses, industry, critical </w:t>
            </w:r>
            <w:proofErr w:type="gramStart"/>
            <w:r w:rsidRPr="00015C1F">
              <w:rPr>
                <w:lang w:val="en-US"/>
              </w:rPr>
              <w:t>infrastructure</w:t>
            </w:r>
            <w:proofErr w:type="gramEnd"/>
            <w:r w:rsidRPr="00015C1F">
              <w:rPr>
                <w:lang w:val="en-US"/>
              </w:rPr>
              <w:t xml:space="preserve"> and essential services is reduced</w:t>
            </w:r>
          </w:p>
        </w:tc>
      </w:tr>
      <w:tr w:rsidR="00015C1F" w:rsidRPr="00015C1F" w14:paraId="726D381F" w14:textId="77777777" w:rsidTr="00CD46A6">
        <w:trPr>
          <w:trHeight w:val="60"/>
        </w:trPr>
        <w:tc>
          <w:tcPr>
            <w:tcW w:w="2689" w:type="dxa"/>
            <w:vMerge/>
          </w:tcPr>
          <w:p w14:paraId="5EFA4444" w14:textId="77777777" w:rsidR="00015C1F" w:rsidRPr="00015C1F" w:rsidRDefault="00015C1F" w:rsidP="00015C1F">
            <w:pPr>
              <w:rPr>
                <w:lang w:val="en-GB"/>
              </w:rPr>
            </w:pPr>
          </w:p>
        </w:tc>
        <w:tc>
          <w:tcPr>
            <w:tcW w:w="6378" w:type="dxa"/>
          </w:tcPr>
          <w:p w14:paraId="4219CA28" w14:textId="77777777" w:rsidR="00015C1F" w:rsidRPr="00015C1F" w:rsidRDefault="00015C1F" w:rsidP="00015C1F">
            <w:pPr>
              <w:rPr>
                <w:lang w:val="en-US"/>
              </w:rPr>
            </w:pPr>
            <w:r w:rsidRPr="00015C1F">
              <w:rPr>
                <w:lang w:val="en-US"/>
              </w:rPr>
              <w:t>2b) Bushfire management is informed by business and industry knowledge and expertise</w:t>
            </w:r>
          </w:p>
        </w:tc>
      </w:tr>
      <w:tr w:rsidR="00015C1F" w:rsidRPr="00015C1F" w14:paraId="15453160" w14:textId="77777777" w:rsidTr="00CD46A6">
        <w:trPr>
          <w:trHeight w:val="60"/>
        </w:trPr>
        <w:tc>
          <w:tcPr>
            <w:tcW w:w="2689" w:type="dxa"/>
            <w:vMerge/>
          </w:tcPr>
          <w:p w14:paraId="630EE410" w14:textId="77777777" w:rsidR="00015C1F" w:rsidRPr="00015C1F" w:rsidRDefault="00015C1F" w:rsidP="00015C1F">
            <w:pPr>
              <w:rPr>
                <w:lang w:val="en-GB"/>
              </w:rPr>
            </w:pPr>
          </w:p>
        </w:tc>
        <w:tc>
          <w:tcPr>
            <w:tcW w:w="6378" w:type="dxa"/>
          </w:tcPr>
          <w:p w14:paraId="4D501BBE" w14:textId="77777777" w:rsidR="00015C1F" w:rsidRPr="00015C1F" w:rsidRDefault="00015C1F" w:rsidP="00015C1F">
            <w:pPr>
              <w:rPr>
                <w:lang w:val="en-US"/>
              </w:rPr>
            </w:pPr>
            <w:r w:rsidRPr="00015C1F">
              <w:rPr>
                <w:lang w:val="en-US"/>
              </w:rPr>
              <w:t>2c) Business and industry have the capacity to contribute to bushfire management</w:t>
            </w:r>
          </w:p>
        </w:tc>
      </w:tr>
      <w:tr w:rsidR="00015C1F" w:rsidRPr="00015C1F" w14:paraId="32D766E4" w14:textId="77777777" w:rsidTr="00CD46A6">
        <w:trPr>
          <w:trHeight w:val="60"/>
        </w:trPr>
        <w:tc>
          <w:tcPr>
            <w:tcW w:w="2689" w:type="dxa"/>
            <w:vMerge w:val="restart"/>
          </w:tcPr>
          <w:p w14:paraId="1A83F230" w14:textId="77777777" w:rsidR="00015C1F" w:rsidRPr="00015C1F" w:rsidRDefault="00015C1F" w:rsidP="00015C1F">
            <w:pPr>
              <w:rPr>
                <w:lang w:val="en-US"/>
              </w:rPr>
            </w:pPr>
            <w:r w:rsidRPr="00015C1F">
              <w:rPr>
                <w:b/>
                <w:bCs/>
                <w:lang w:val="en-US"/>
              </w:rPr>
              <w:t>The sector supports and enables self-determination of Traditional Owners and Aboriginal Victorians in land and bushfire management</w:t>
            </w:r>
          </w:p>
        </w:tc>
        <w:tc>
          <w:tcPr>
            <w:tcW w:w="6378" w:type="dxa"/>
          </w:tcPr>
          <w:p w14:paraId="52EEEBC3" w14:textId="77777777" w:rsidR="00015C1F" w:rsidRPr="00015C1F" w:rsidRDefault="00015C1F" w:rsidP="00015C1F">
            <w:pPr>
              <w:rPr>
                <w:lang w:val="en-US"/>
              </w:rPr>
            </w:pPr>
            <w:r w:rsidRPr="00015C1F">
              <w:rPr>
                <w:lang w:val="en-US"/>
              </w:rPr>
              <w:t>3a) The sector works with Traditional Owners and Aboriginal Victorians to enable them to undertake fire management according to their self-determined interests and objectives</w:t>
            </w:r>
          </w:p>
        </w:tc>
      </w:tr>
      <w:tr w:rsidR="00015C1F" w:rsidRPr="00015C1F" w14:paraId="24AF46CD" w14:textId="77777777" w:rsidTr="00CD46A6">
        <w:trPr>
          <w:trHeight w:val="60"/>
        </w:trPr>
        <w:tc>
          <w:tcPr>
            <w:tcW w:w="2689" w:type="dxa"/>
            <w:vMerge/>
          </w:tcPr>
          <w:p w14:paraId="0C930482" w14:textId="77777777" w:rsidR="00015C1F" w:rsidRPr="00015C1F" w:rsidRDefault="00015C1F" w:rsidP="00015C1F">
            <w:pPr>
              <w:rPr>
                <w:lang w:val="en-GB"/>
              </w:rPr>
            </w:pPr>
          </w:p>
        </w:tc>
        <w:tc>
          <w:tcPr>
            <w:tcW w:w="6378" w:type="dxa"/>
          </w:tcPr>
          <w:p w14:paraId="7F20B43B" w14:textId="77777777" w:rsidR="00015C1F" w:rsidRPr="00015C1F" w:rsidRDefault="00015C1F" w:rsidP="00015C1F">
            <w:pPr>
              <w:rPr>
                <w:lang w:val="en-US"/>
              </w:rPr>
            </w:pPr>
            <w:r w:rsidRPr="00015C1F">
              <w:rPr>
                <w:lang w:val="en-US"/>
              </w:rPr>
              <w:t>3b) The sector has increased cultural competency, pathways and resourcing to work with Traditional Owners and Aboriginal Victorians</w:t>
            </w:r>
          </w:p>
        </w:tc>
      </w:tr>
      <w:tr w:rsidR="00015C1F" w:rsidRPr="00015C1F" w14:paraId="2AF46C26" w14:textId="77777777" w:rsidTr="00CD46A6">
        <w:trPr>
          <w:trHeight w:val="60"/>
        </w:trPr>
        <w:tc>
          <w:tcPr>
            <w:tcW w:w="2689" w:type="dxa"/>
            <w:vMerge/>
          </w:tcPr>
          <w:p w14:paraId="733BFA9D" w14:textId="77777777" w:rsidR="00015C1F" w:rsidRPr="00015C1F" w:rsidRDefault="00015C1F" w:rsidP="00015C1F">
            <w:pPr>
              <w:rPr>
                <w:lang w:val="en-GB"/>
              </w:rPr>
            </w:pPr>
          </w:p>
        </w:tc>
        <w:tc>
          <w:tcPr>
            <w:tcW w:w="6378" w:type="dxa"/>
          </w:tcPr>
          <w:p w14:paraId="5F0A5890" w14:textId="77777777" w:rsidR="00015C1F" w:rsidRPr="00015C1F" w:rsidRDefault="00015C1F" w:rsidP="00015C1F">
            <w:pPr>
              <w:rPr>
                <w:lang w:val="en-US"/>
              </w:rPr>
            </w:pPr>
            <w:r w:rsidRPr="00015C1F">
              <w:rPr>
                <w:lang w:val="en-US"/>
              </w:rPr>
              <w:t xml:space="preserve">3c) The sector provides culturally appropriate support to Traditional Owners and Aboriginal Victorians who are seeking </w:t>
            </w:r>
            <w:r w:rsidRPr="00015C1F">
              <w:rPr>
                <w:lang w:val="en-US"/>
              </w:rPr>
              <w:lastRenderedPageBreak/>
              <w:t>to plan and deliver cultural fire management activities on Country</w:t>
            </w:r>
          </w:p>
        </w:tc>
      </w:tr>
      <w:tr w:rsidR="00015C1F" w:rsidRPr="00015C1F" w14:paraId="2ABFC2A9" w14:textId="77777777" w:rsidTr="00CD46A6">
        <w:trPr>
          <w:trHeight w:val="60"/>
        </w:trPr>
        <w:tc>
          <w:tcPr>
            <w:tcW w:w="2689" w:type="dxa"/>
            <w:vMerge w:val="restart"/>
          </w:tcPr>
          <w:p w14:paraId="7DE5AD7E" w14:textId="77777777" w:rsidR="00015C1F" w:rsidRPr="00015C1F" w:rsidRDefault="00015C1F" w:rsidP="00015C1F">
            <w:pPr>
              <w:rPr>
                <w:lang w:val="en-US"/>
              </w:rPr>
            </w:pPr>
            <w:r w:rsidRPr="00015C1F">
              <w:rPr>
                <w:b/>
                <w:bCs/>
                <w:lang w:val="en-US"/>
              </w:rPr>
              <w:lastRenderedPageBreak/>
              <w:t>Fire regimes support healthy and resilient ecosystems and nature conservation in a changing climate</w:t>
            </w:r>
          </w:p>
        </w:tc>
        <w:tc>
          <w:tcPr>
            <w:tcW w:w="6378" w:type="dxa"/>
          </w:tcPr>
          <w:p w14:paraId="6F3DA3BF" w14:textId="77777777" w:rsidR="00015C1F" w:rsidRPr="00015C1F" w:rsidRDefault="00015C1F" w:rsidP="00015C1F">
            <w:pPr>
              <w:rPr>
                <w:lang w:val="en-US"/>
              </w:rPr>
            </w:pPr>
            <w:r w:rsidRPr="00015C1F">
              <w:rPr>
                <w:lang w:val="en-US"/>
              </w:rPr>
              <w:t>4a) Current, up-to-date ecological values inform bushfire management for ecosystem resilience and nature conservation</w:t>
            </w:r>
          </w:p>
        </w:tc>
      </w:tr>
      <w:tr w:rsidR="00015C1F" w:rsidRPr="00015C1F" w14:paraId="7F027880" w14:textId="77777777" w:rsidTr="00CD46A6">
        <w:trPr>
          <w:trHeight w:val="60"/>
        </w:trPr>
        <w:tc>
          <w:tcPr>
            <w:tcW w:w="2689" w:type="dxa"/>
            <w:vMerge/>
          </w:tcPr>
          <w:p w14:paraId="199B9301" w14:textId="77777777" w:rsidR="00015C1F" w:rsidRPr="00015C1F" w:rsidRDefault="00015C1F" w:rsidP="00015C1F">
            <w:pPr>
              <w:rPr>
                <w:lang w:val="en-GB"/>
              </w:rPr>
            </w:pPr>
          </w:p>
        </w:tc>
        <w:tc>
          <w:tcPr>
            <w:tcW w:w="6378" w:type="dxa"/>
          </w:tcPr>
          <w:p w14:paraId="00635D64" w14:textId="77777777" w:rsidR="00015C1F" w:rsidRPr="00015C1F" w:rsidRDefault="00015C1F" w:rsidP="00015C1F">
            <w:pPr>
              <w:rPr>
                <w:lang w:val="en-US"/>
              </w:rPr>
            </w:pPr>
            <w:r w:rsidRPr="00015C1F">
              <w:rPr>
                <w:lang w:val="en-US"/>
              </w:rPr>
              <w:t>4b) Bushfire management supports appropriate fire regimes to promote ecosystem resilience</w:t>
            </w:r>
          </w:p>
        </w:tc>
      </w:tr>
      <w:tr w:rsidR="00015C1F" w:rsidRPr="00015C1F" w14:paraId="6E5B2DFB" w14:textId="77777777" w:rsidTr="00CD46A6">
        <w:trPr>
          <w:trHeight w:val="60"/>
        </w:trPr>
        <w:tc>
          <w:tcPr>
            <w:tcW w:w="2689" w:type="dxa"/>
            <w:vMerge/>
          </w:tcPr>
          <w:p w14:paraId="1CD5C907" w14:textId="77777777" w:rsidR="00015C1F" w:rsidRPr="00015C1F" w:rsidRDefault="00015C1F" w:rsidP="00015C1F">
            <w:pPr>
              <w:rPr>
                <w:lang w:val="en-GB"/>
              </w:rPr>
            </w:pPr>
          </w:p>
        </w:tc>
        <w:tc>
          <w:tcPr>
            <w:tcW w:w="6378" w:type="dxa"/>
          </w:tcPr>
          <w:p w14:paraId="508DE370" w14:textId="77777777" w:rsidR="00015C1F" w:rsidRPr="00015C1F" w:rsidRDefault="00015C1F" w:rsidP="00015C1F">
            <w:pPr>
              <w:rPr>
                <w:lang w:val="en-US"/>
              </w:rPr>
            </w:pPr>
            <w:r w:rsidRPr="00015C1F">
              <w:rPr>
                <w:lang w:val="en-US"/>
              </w:rPr>
              <w:t>4c) Bushfire management planning and decisions to support ecosystem resilience are based on evidence, knowledge and values</w:t>
            </w:r>
          </w:p>
        </w:tc>
      </w:tr>
      <w:tr w:rsidR="00015C1F" w:rsidRPr="00015C1F" w14:paraId="0C8F9A77" w14:textId="77777777" w:rsidTr="00CD46A6">
        <w:trPr>
          <w:trHeight w:val="60"/>
        </w:trPr>
        <w:tc>
          <w:tcPr>
            <w:tcW w:w="2689" w:type="dxa"/>
            <w:vMerge w:val="restart"/>
          </w:tcPr>
          <w:p w14:paraId="3AFFDE69" w14:textId="77777777" w:rsidR="00015C1F" w:rsidRPr="00015C1F" w:rsidRDefault="00015C1F" w:rsidP="00015C1F">
            <w:pPr>
              <w:rPr>
                <w:lang w:val="en-US"/>
              </w:rPr>
            </w:pPr>
            <w:r w:rsidRPr="00015C1F">
              <w:rPr>
                <w:b/>
                <w:bCs/>
                <w:lang w:val="en-US"/>
              </w:rPr>
              <w:t>Victoria uses the best available science, innovation and knowledge to support evidence-based decisions</w:t>
            </w:r>
          </w:p>
        </w:tc>
        <w:tc>
          <w:tcPr>
            <w:tcW w:w="6378" w:type="dxa"/>
          </w:tcPr>
          <w:p w14:paraId="05042F1A" w14:textId="77777777" w:rsidR="00015C1F" w:rsidRPr="00015C1F" w:rsidRDefault="00015C1F" w:rsidP="00015C1F">
            <w:pPr>
              <w:rPr>
                <w:lang w:val="en-US"/>
              </w:rPr>
            </w:pPr>
            <w:r w:rsidRPr="00015C1F">
              <w:rPr>
                <w:lang w:val="en-US"/>
              </w:rPr>
              <w:t xml:space="preserve">5a) Bushfire management planning and decisions are collaborative and based on up-to-date and current evidence, knowledge and </w:t>
            </w:r>
            <w:proofErr w:type="spellStart"/>
            <w:r w:rsidRPr="00015C1F">
              <w:rPr>
                <w:lang w:val="en-US"/>
              </w:rPr>
              <w:t>values</w:t>
            </w:r>
            <w:r w:rsidRPr="00015C1F">
              <w:rPr>
                <w:vertAlign w:val="superscript"/>
                <w:lang w:val="en-US"/>
              </w:rPr>
              <w:t>a</w:t>
            </w:r>
            <w:proofErr w:type="spellEnd"/>
            <w:r w:rsidRPr="00015C1F">
              <w:rPr>
                <w:lang w:val="en-US"/>
              </w:rPr>
              <w:t>, including that of community and, with consent, Traditional Owners</w:t>
            </w:r>
          </w:p>
        </w:tc>
      </w:tr>
      <w:tr w:rsidR="00015C1F" w:rsidRPr="00015C1F" w14:paraId="165AF7F8" w14:textId="77777777" w:rsidTr="00CD46A6">
        <w:trPr>
          <w:trHeight w:val="60"/>
        </w:trPr>
        <w:tc>
          <w:tcPr>
            <w:tcW w:w="2689" w:type="dxa"/>
            <w:vMerge/>
          </w:tcPr>
          <w:p w14:paraId="7C258C89" w14:textId="77777777" w:rsidR="00015C1F" w:rsidRPr="00015C1F" w:rsidRDefault="00015C1F" w:rsidP="00015C1F">
            <w:pPr>
              <w:rPr>
                <w:lang w:val="en-GB"/>
              </w:rPr>
            </w:pPr>
          </w:p>
        </w:tc>
        <w:tc>
          <w:tcPr>
            <w:tcW w:w="6378" w:type="dxa"/>
          </w:tcPr>
          <w:p w14:paraId="478D64A5" w14:textId="77777777" w:rsidR="00015C1F" w:rsidRPr="00015C1F" w:rsidRDefault="00015C1F" w:rsidP="00015C1F">
            <w:pPr>
              <w:rPr>
                <w:lang w:val="en-US"/>
              </w:rPr>
            </w:pPr>
            <w:r w:rsidRPr="00015C1F">
              <w:rPr>
                <w:lang w:val="en-US"/>
              </w:rPr>
              <w:t>5b) Bushfire management planning and decisions consider and incorporate future scenarios and predictions, including under climate change</w:t>
            </w:r>
          </w:p>
        </w:tc>
      </w:tr>
      <w:tr w:rsidR="00015C1F" w:rsidRPr="00015C1F" w14:paraId="7D43AE4D" w14:textId="77777777" w:rsidTr="00CD46A6">
        <w:trPr>
          <w:trHeight w:val="60"/>
        </w:trPr>
        <w:tc>
          <w:tcPr>
            <w:tcW w:w="2689" w:type="dxa"/>
            <w:vMerge/>
          </w:tcPr>
          <w:p w14:paraId="3AE79965" w14:textId="77777777" w:rsidR="00015C1F" w:rsidRPr="00015C1F" w:rsidRDefault="00015C1F" w:rsidP="00015C1F">
            <w:pPr>
              <w:rPr>
                <w:lang w:val="en-GB"/>
              </w:rPr>
            </w:pPr>
          </w:p>
        </w:tc>
        <w:tc>
          <w:tcPr>
            <w:tcW w:w="6378" w:type="dxa"/>
          </w:tcPr>
          <w:p w14:paraId="61F48949" w14:textId="77777777" w:rsidR="00015C1F" w:rsidRPr="00015C1F" w:rsidRDefault="00015C1F" w:rsidP="00015C1F">
            <w:pPr>
              <w:rPr>
                <w:lang w:val="en-US"/>
              </w:rPr>
            </w:pPr>
            <w:r w:rsidRPr="00015C1F">
              <w:rPr>
                <w:lang w:val="en-US"/>
              </w:rPr>
              <w:t>5c) The sector has a shared understanding of the effectiveness of risk-reduction options and directs resources to the most effective actions to reduce bushfire risk</w:t>
            </w:r>
          </w:p>
        </w:tc>
      </w:tr>
      <w:tr w:rsidR="00015C1F" w:rsidRPr="00015C1F" w14:paraId="5B732C02" w14:textId="77777777" w:rsidTr="00CD46A6">
        <w:trPr>
          <w:trHeight w:val="60"/>
        </w:trPr>
        <w:tc>
          <w:tcPr>
            <w:tcW w:w="2689" w:type="dxa"/>
          </w:tcPr>
          <w:p w14:paraId="2882B8AF" w14:textId="77777777" w:rsidR="00015C1F" w:rsidRPr="00015C1F" w:rsidRDefault="00015C1F" w:rsidP="00015C1F">
            <w:pPr>
              <w:rPr>
                <w:lang w:val="en-US"/>
              </w:rPr>
            </w:pPr>
            <w:r w:rsidRPr="00015C1F">
              <w:rPr>
                <w:b/>
                <w:bCs/>
                <w:lang w:val="en-US"/>
              </w:rPr>
              <w:t>The sector, land managers, communities and industry work together effectively and share responsibility for managing bushfire risk across public and private land</w:t>
            </w:r>
          </w:p>
        </w:tc>
        <w:tc>
          <w:tcPr>
            <w:tcW w:w="6378" w:type="dxa"/>
          </w:tcPr>
          <w:p w14:paraId="39F3DD07" w14:textId="77777777" w:rsidR="00015C1F" w:rsidRPr="00015C1F" w:rsidRDefault="00015C1F" w:rsidP="00015C1F">
            <w:pPr>
              <w:rPr>
                <w:lang w:val="en-US"/>
              </w:rPr>
            </w:pPr>
            <w:r w:rsidRPr="00015C1F">
              <w:rPr>
                <w:lang w:val="en-US"/>
              </w:rPr>
              <w:t>6a) The sector and partners collaborate to identify and implement bushfire management that meets their individual and shared responsibilities</w:t>
            </w:r>
          </w:p>
        </w:tc>
      </w:tr>
      <w:tr w:rsidR="00015C1F" w:rsidRPr="00015C1F" w14:paraId="2DCD9F64" w14:textId="77777777" w:rsidTr="00CD46A6">
        <w:trPr>
          <w:trHeight w:val="60"/>
        </w:trPr>
        <w:tc>
          <w:tcPr>
            <w:tcW w:w="2689" w:type="dxa"/>
            <w:vMerge w:val="restart"/>
          </w:tcPr>
          <w:p w14:paraId="6C6C3A17" w14:textId="77777777" w:rsidR="00015C1F" w:rsidRPr="00015C1F" w:rsidRDefault="00015C1F" w:rsidP="00015C1F">
            <w:pPr>
              <w:rPr>
                <w:lang w:val="en-US"/>
              </w:rPr>
            </w:pPr>
            <w:r w:rsidRPr="00015C1F">
              <w:rPr>
                <w:b/>
                <w:bCs/>
                <w:lang w:val="en-US"/>
              </w:rPr>
              <w:t xml:space="preserve">Victoria is supported and equipped with the </w:t>
            </w:r>
            <w:r w:rsidRPr="00015C1F">
              <w:rPr>
                <w:b/>
                <w:bCs/>
                <w:lang w:val="en-US"/>
              </w:rPr>
              <w:lastRenderedPageBreak/>
              <w:t>skills, equipment, capability and systems to safely and effectively manage bushfire</w:t>
            </w:r>
          </w:p>
        </w:tc>
        <w:tc>
          <w:tcPr>
            <w:tcW w:w="6378" w:type="dxa"/>
          </w:tcPr>
          <w:p w14:paraId="0EFD7DBE" w14:textId="77777777" w:rsidR="00015C1F" w:rsidRPr="00015C1F" w:rsidRDefault="00015C1F" w:rsidP="00015C1F">
            <w:pPr>
              <w:rPr>
                <w:lang w:val="en-US"/>
              </w:rPr>
            </w:pPr>
            <w:r w:rsidRPr="00015C1F">
              <w:rPr>
                <w:lang w:val="en-US"/>
              </w:rPr>
              <w:lastRenderedPageBreak/>
              <w:t>7a) The sector has the resources it needs, and in the right places to undertake bushfire management</w:t>
            </w:r>
          </w:p>
        </w:tc>
      </w:tr>
      <w:tr w:rsidR="00015C1F" w:rsidRPr="00015C1F" w14:paraId="43D681DE" w14:textId="77777777" w:rsidTr="00CD46A6">
        <w:trPr>
          <w:trHeight w:val="60"/>
        </w:trPr>
        <w:tc>
          <w:tcPr>
            <w:tcW w:w="2689" w:type="dxa"/>
            <w:vMerge/>
          </w:tcPr>
          <w:p w14:paraId="4468901A" w14:textId="77777777" w:rsidR="00015C1F" w:rsidRPr="00015C1F" w:rsidRDefault="00015C1F" w:rsidP="00015C1F">
            <w:pPr>
              <w:rPr>
                <w:lang w:val="en-GB"/>
              </w:rPr>
            </w:pPr>
          </w:p>
        </w:tc>
        <w:tc>
          <w:tcPr>
            <w:tcW w:w="6378" w:type="dxa"/>
          </w:tcPr>
          <w:p w14:paraId="7A6D07F0" w14:textId="77777777" w:rsidR="00015C1F" w:rsidRPr="00015C1F" w:rsidRDefault="00015C1F" w:rsidP="00015C1F">
            <w:pPr>
              <w:rPr>
                <w:lang w:val="en-US"/>
              </w:rPr>
            </w:pPr>
            <w:r w:rsidRPr="00015C1F">
              <w:rPr>
                <w:lang w:val="en-US"/>
              </w:rPr>
              <w:t>7b) The sector’s workforce and volunteers are healthy, safe and representative of the community they protect</w:t>
            </w:r>
          </w:p>
        </w:tc>
      </w:tr>
      <w:tr w:rsidR="00015C1F" w:rsidRPr="00015C1F" w14:paraId="5091B622" w14:textId="77777777" w:rsidTr="00CD46A6">
        <w:trPr>
          <w:trHeight w:val="60"/>
        </w:trPr>
        <w:tc>
          <w:tcPr>
            <w:tcW w:w="2689" w:type="dxa"/>
            <w:vMerge/>
          </w:tcPr>
          <w:p w14:paraId="1740E8E8" w14:textId="77777777" w:rsidR="00015C1F" w:rsidRPr="00015C1F" w:rsidRDefault="00015C1F" w:rsidP="00015C1F">
            <w:pPr>
              <w:rPr>
                <w:lang w:val="en-GB"/>
              </w:rPr>
            </w:pPr>
          </w:p>
        </w:tc>
        <w:tc>
          <w:tcPr>
            <w:tcW w:w="6378" w:type="dxa"/>
          </w:tcPr>
          <w:p w14:paraId="3033DC28" w14:textId="77777777" w:rsidR="00015C1F" w:rsidRPr="00015C1F" w:rsidRDefault="00015C1F" w:rsidP="00015C1F">
            <w:pPr>
              <w:rPr>
                <w:lang w:val="en-US"/>
              </w:rPr>
            </w:pPr>
            <w:r w:rsidRPr="00015C1F">
              <w:rPr>
                <w:lang w:val="en-US"/>
              </w:rPr>
              <w:t>7c) The sector has the capability, tools, systems and processes to work together effectively and uses these to manage bushfire</w:t>
            </w:r>
          </w:p>
        </w:tc>
      </w:tr>
    </w:tbl>
    <w:p w14:paraId="01051AC2" w14:textId="77777777" w:rsidR="00015C1F" w:rsidRPr="00015C1F" w:rsidRDefault="00015C1F" w:rsidP="00015C1F">
      <w:pPr>
        <w:rPr>
          <w:lang w:val="en-US"/>
        </w:rPr>
      </w:pPr>
    </w:p>
    <w:p w14:paraId="3BE0473D" w14:textId="2AE1CDEA" w:rsidR="00015C1F" w:rsidRPr="007F08B3" w:rsidRDefault="00015C1F" w:rsidP="007F08B3">
      <w:pPr>
        <w:pStyle w:val="ListParagraph"/>
        <w:numPr>
          <w:ilvl w:val="0"/>
          <w:numId w:val="44"/>
        </w:numPr>
        <w:rPr>
          <w:lang w:val="en-US"/>
        </w:rPr>
      </w:pPr>
      <w:r w:rsidRPr="007F08B3">
        <w:rPr>
          <w:lang w:val="en-US"/>
        </w:rPr>
        <w:t>‘Values’ includes, but is not limited to, human life, community values, the economy, infrastructure, ecosystems and ecosystem services values.</w:t>
      </w:r>
    </w:p>
    <w:p w14:paraId="2619C2EF" w14:textId="3BA08889" w:rsidR="00015C1F" w:rsidRPr="007F08B3" w:rsidRDefault="00015C1F" w:rsidP="007F08B3">
      <w:pPr>
        <w:pStyle w:val="ListParagraph"/>
        <w:numPr>
          <w:ilvl w:val="0"/>
          <w:numId w:val="44"/>
        </w:numPr>
        <w:rPr>
          <w:lang w:val="en-US"/>
        </w:rPr>
      </w:pPr>
      <w:r w:rsidRPr="007F08B3">
        <w:rPr>
          <w:lang w:val="en-US"/>
        </w:rPr>
        <w:t>These intermediate outcomes are placeholders only. The final intermediate outcomes relating to self-determination will be developed and determined by Victoria’s Traditional Owners.</w:t>
      </w:r>
    </w:p>
    <w:p w14:paraId="45580C9C" w14:textId="77777777" w:rsidR="00015C1F" w:rsidRPr="00015C1F" w:rsidRDefault="00015C1F" w:rsidP="00015C1F">
      <w:pPr>
        <w:pStyle w:val="Heading1"/>
        <w:rPr>
          <w:lang w:val="en-US"/>
        </w:rPr>
      </w:pPr>
      <w:bookmarkStart w:id="14" w:name="_Toc166680790"/>
      <w:r w:rsidRPr="00015C1F">
        <w:rPr>
          <w:lang w:val="en-US"/>
        </w:rPr>
        <w:t>4.</w:t>
      </w:r>
      <w:r w:rsidRPr="00015C1F">
        <w:rPr>
          <w:lang w:val="en-US"/>
        </w:rPr>
        <w:tab/>
        <w:t>The Framework</w:t>
      </w:r>
      <w:bookmarkEnd w:id="14"/>
    </w:p>
    <w:p w14:paraId="5DE8A8F1" w14:textId="77777777" w:rsidR="00015C1F" w:rsidRPr="00015C1F" w:rsidRDefault="00015C1F" w:rsidP="00015C1F">
      <w:pPr>
        <w:pStyle w:val="Heading2"/>
        <w:rPr>
          <w:lang w:val="en-US"/>
        </w:rPr>
      </w:pPr>
      <w:bookmarkStart w:id="15" w:name="_Toc166680791"/>
      <w:r w:rsidRPr="00015C1F">
        <w:rPr>
          <w:lang w:val="en-US"/>
        </w:rPr>
        <w:t>4.1.</w:t>
      </w:r>
      <w:r w:rsidRPr="00015C1F">
        <w:rPr>
          <w:lang w:val="en-US"/>
        </w:rPr>
        <w:tab/>
        <w:t>Framework overview</w:t>
      </w:r>
      <w:bookmarkEnd w:id="15"/>
    </w:p>
    <w:p w14:paraId="41A61173" w14:textId="77777777" w:rsidR="00015C1F" w:rsidRPr="00015C1F" w:rsidRDefault="00015C1F" w:rsidP="00015C1F">
      <w:pPr>
        <w:rPr>
          <w:lang w:val="en-US"/>
        </w:rPr>
      </w:pPr>
      <w:r w:rsidRPr="00015C1F">
        <w:rPr>
          <w:lang w:val="en-US"/>
        </w:rPr>
        <w:t xml:space="preserve">The Framework is structured around the 5 MER focus areas of effectiveness, outcomes, efficiency, appropriateness and lessons and opportunities (See </w:t>
      </w:r>
      <w:r w:rsidRPr="00015C1F">
        <w:rPr>
          <w:b/>
          <w:bCs/>
          <w:lang w:val="en-US"/>
        </w:rPr>
        <w:t>Figure 5</w:t>
      </w:r>
      <w:r w:rsidRPr="00015C1F">
        <w:rPr>
          <w:lang w:val="en-US"/>
        </w:rPr>
        <w:t xml:space="preserve">). These MER focus areas will guide sector MER activity, and articulate what knowledge is required to demonstrate Strategy progress and to continuously improve. Each focus area has Key Evaluation Questions (KEQs) to guide MER. </w:t>
      </w:r>
    </w:p>
    <w:p w14:paraId="1AF831D6" w14:textId="77777777" w:rsidR="00015C1F" w:rsidRPr="00015C1F" w:rsidRDefault="00015C1F" w:rsidP="00015C1F">
      <w:pPr>
        <w:rPr>
          <w:lang w:val="en-US"/>
        </w:rPr>
      </w:pPr>
      <w:r w:rsidRPr="00015C1F">
        <w:rPr>
          <w:lang w:val="en-US"/>
        </w:rPr>
        <w:t>Progress will be reported in 2 ways:</w:t>
      </w:r>
    </w:p>
    <w:p w14:paraId="3E9C960A" w14:textId="3D729D29" w:rsidR="00015C1F" w:rsidRPr="00015C1F" w:rsidRDefault="00015C1F" w:rsidP="00015C1F">
      <w:pPr>
        <w:pStyle w:val="ListBullet"/>
        <w:rPr>
          <w:lang w:val="en-US"/>
        </w:rPr>
      </w:pPr>
      <w:r w:rsidRPr="00015C1F">
        <w:rPr>
          <w:lang w:val="en-US"/>
        </w:rPr>
        <w:t>annual tracking of measures for intermediate outcomes will be reported each year. This will provide a snapshot of the sector’s progress, with a focus on quantitative data.</w:t>
      </w:r>
    </w:p>
    <w:p w14:paraId="1834D96C" w14:textId="28CDE47B" w:rsidR="00015C1F" w:rsidRPr="00015C1F" w:rsidRDefault="00015C1F" w:rsidP="00015C1F">
      <w:pPr>
        <w:pStyle w:val="ListBullet"/>
        <w:rPr>
          <w:lang w:val="en-US"/>
        </w:rPr>
      </w:pPr>
      <w:r w:rsidRPr="00015C1F">
        <w:rPr>
          <w:lang w:val="en-US"/>
        </w:rPr>
        <w:t>evaluation reporting will bring together quantitative and qualitative data, gathered over multiple years, to assess KEQs for each focus area. This allows the sector to identify opportunities for change and improvement. Evaluation reports will include findings from periodic evaluations undertaken during the life of the Strategy and a final evaluation.</w:t>
      </w:r>
    </w:p>
    <w:p w14:paraId="723CE3BB" w14:textId="77777777" w:rsidR="007F08B3" w:rsidRDefault="007F08B3" w:rsidP="007F08B3">
      <w:pPr>
        <w:keepNext/>
      </w:pPr>
      <w:r>
        <w:rPr>
          <w:noProof/>
          <w:lang w:val="en-US"/>
        </w:rPr>
        <w:lastRenderedPageBreak/>
        <w:drawing>
          <wp:inline distT="0" distB="0" distL="0" distR="0" wp14:anchorId="3D80DDC7" wp14:editId="2ED34EAC">
            <wp:extent cx="5578867" cy="3218037"/>
            <wp:effectExtent l="0" t="0" r="0" b="0"/>
            <wp:docPr id="1441241419" name="Picture 3" descr="A chart showing an overview over the framework and its structure in relation to the five monitoring, evaluation and reporting focus areas (appropriateness, effectiveness, efficiency, outcomes, lessons and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41419" name="Picture 3" descr="A chart showing an overview over the framework and its structure in relation to the five monitoring, evaluation and reporting focus areas (appropriateness, effectiveness, efficiency, outcomes, lessons and opportunities)."/>
                    <pic:cNvPicPr/>
                  </pic:nvPicPr>
                  <pic:blipFill>
                    <a:blip r:embed="rId12">
                      <a:extLst>
                        <a:ext uri="{28A0092B-C50C-407E-A947-70E740481C1C}">
                          <a14:useLocalDpi xmlns:a14="http://schemas.microsoft.com/office/drawing/2010/main" val="0"/>
                        </a:ext>
                      </a:extLst>
                    </a:blip>
                    <a:stretch>
                      <a:fillRect/>
                    </a:stretch>
                  </pic:blipFill>
                  <pic:spPr>
                    <a:xfrm>
                      <a:off x="0" y="0"/>
                      <a:ext cx="5601730" cy="3231225"/>
                    </a:xfrm>
                    <a:prstGeom prst="rect">
                      <a:avLst/>
                    </a:prstGeom>
                  </pic:spPr>
                </pic:pic>
              </a:graphicData>
            </a:graphic>
          </wp:inline>
        </w:drawing>
      </w:r>
    </w:p>
    <w:p w14:paraId="3E85CB44" w14:textId="1053AAD5" w:rsidR="00015C1F" w:rsidRPr="00015C1F" w:rsidRDefault="007F08B3" w:rsidP="007F08B3">
      <w:pPr>
        <w:pStyle w:val="Caption"/>
        <w:rPr>
          <w:lang w:val="en-US"/>
        </w:rPr>
      </w:pPr>
      <w:r>
        <w:t xml:space="preserve">Figure </w:t>
      </w:r>
      <w:r>
        <w:fldChar w:fldCharType="begin"/>
      </w:r>
      <w:r>
        <w:instrText xml:space="preserve"> SEQ Figure \* ARABIC </w:instrText>
      </w:r>
      <w:r>
        <w:fldChar w:fldCharType="separate"/>
      </w:r>
      <w:r w:rsidR="00CD46A6">
        <w:rPr>
          <w:noProof/>
        </w:rPr>
        <w:t>5</w:t>
      </w:r>
      <w:r>
        <w:fldChar w:fldCharType="end"/>
      </w:r>
      <w:r>
        <w:t xml:space="preserve">. </w:t>
      </w:r>
      <w:r w:rsidRPr="00AD7AB7">
        <w:t>Framework overview and its structure in relation to the five MER focus areas.</w:t>
      </w:r>
    </w:p>
    <w:p w14:paraId="32071E3D" w14:textId="77777777" w:rsidR="00015C1F" w:rsidRPr="00015C1F" w:rsidRDefault="00015C1F" w:rsidP="00015C1F">
      <w:pPr>
        <w:pStyle w:val="Heading2"/>
        <w:rPr>
          <w:lang w:val="en-US"/>
        </w:rPr>
      </w:pPr>
      <w:bookmarkStart w:id="16" w:name="_Toc166680792"/>
      <w:r w:rsidRPr="00015C1F">
        <w:rPr>
          <w:lang w:val="en-US"/>
        </w:rPr>
        <w:t>4.2.</w:t>
      </w:r>
      <w:r w:rsidRPr="00015C1F">
        <w:rPr>
          <w:lang w:val="en-US"/>
        </w:rPr>
        <w:tab/>
        <w:t>Key evaluation questions</w:t>
      </w:r>
      <w:bookmarkEnd w:id="16"/>
      <w:r w:rsidRPr="00015C1F">
        <w:rPr>
          <w:lang w:val="en-US"/>
        </w:rPr>
        <w:t xml:space="preserve"> </w:t>
      </w:r>
    </w:p>
    <w:p w14:paraId="561FC713" w14:textId="77777777" w:rsidR="00015C1F" w:rsidRPr="00015C1F" w:rsidRDefault="00015C1F" w:rsidP="00015C1F">
      <w:pPr>
        <w:rPr>
          <w:lang w:val="en-US"/>
        </w:rPr>
      </w:pPr>
      <w:r w:rsidRPr="00015C1F">
        <w:rPr>
          <w:lang w:val="en-US"/>
        </w:rPr>
        <w:t xml:space="preserve">The evaluation will be guided by a set of key evaluation questions (KEQs) which has been established in collaboration with sector partners. These questions will establish the primary focus and scope of what is explored through monitoring and evaluation. As shown in </w:t>
      </w:r>
      <w:r w:rsidRPr="00015C1F">
        <w:rPr>
          <w:b/>
          <w:bCs/>
          <w:lang w:val="en-US"/>
        </w:rPr>
        <w:t>Table 5</w:t>
      </w:r>
      <w:r w:rsidRPr="00015C1F">
        <w:rPr>
          <w:lang w:val="en-US"/>
        </w:rPr>
        <w:t xml:space="preserve"> below, these KEQs are structured under the 5 MER focus areas.</w:t>
      </w:r>
    </w:p>
    <w:p w14:paraId="1C251798" w14:textId="77777777" w:rsidR="00015C1F" w:rsidRPr="00015C1F" w:rsidRDefault="00015C1F" w:rsidP="00015C1F">
      <w:pPr>
        <w:rPr>
          <w:lang w:val="en-US"/>
        </w:rPr>
      </w:pPr>
      <w:r w:rsidRPr="00015C1F">
        <w:rPr>
          <w:lang w:val="en-US"/>
        </w:rPr>
        <w:t xml:space="preserve">Not all KEQs will be relevant to all evaluation timepoints. This is indicated in the right columns of </w:t>
      </w:r>
      <w:r w:rsidRPr="00015C1F">
        <w:rPr>
          <w:b/>
          <w:bCs/>
          <w:lang w:val="en-US"/>
        </w:rPr>
        <w:t>Table 5</w:t>
      </w:r>
      <w:r w:rsidRPr="00015C1F">
        <w:rPr>
          <w:lang w:val="en-US"/>
        </w:rPr>
        <w:t>. The 3 evaluation time points are:</w:t>
      </w:r>
    </w:p>
    <w:p w14:paraId="5606E714" w14:textId="74B86D18" w:rsidR="00015C1F" w:rsidRPr="00015C1F" w:rsidRDefault="00015C1F" w:rsidP="007F08B3">
      <w:pPr>
        <w:pStyle w:val="ListBullet"/>
        <w:rPr>
          <w:lang w:val="en-US"/>
        </w:rPr>
      </w:pPr>
      <w:r w:rsidRPr="00015C1F">
        <w:rPr>
          <w:b/>
          <w:bCs/>
          <w:lang w:val="en-US"/>
        </w:rPr>
        <w:t xml:space="preserve">annual tracking: </w:t>
      </w:r>
      <w:r w:rsidRPr="00015C1F">
        <w:rPr>
          <w:lang w:val="en-US"/>
        </w:rPr>
        <w:t>provides an opportunity for yearly tracking of intermediate outcomes demonstrating progress towards Strategy outcomes.</w:t>
      </w:r>
    </w:p>
    <w:p w14:paraId="61DBC155" w14:textId="0367C697" w:rsidR="00015C1F" w:rsidRPr="00015C1F" w:rsidRDefault="00015C1F" w:rsidP="007F08B3">
      <w:pPr>
        <w:pStyle w:val="ListBullet"/>
        <w:rPr>
          <w:lang w:val="en-US"/>
        </w:rPr>
      </w:pPr>
      <w:r w:rsidRPr="00015C1F">
        <w:rPr>
          <w:b/>
          <w:bCs/>
          <w:lang w:val="en-US"/>
        </w:rPr>
        <w:t xml:space="preserve">periodic evaluation: </w:t>
      </w:r>
      <w:r w:rsidRPr="00015C1F">
        <w:rPr>
          <w:lang w:val="en-US"/>
        </w:rPr>
        <w:t xml:space="preserve">a detailed evaluation process that covers almost all evaluation questions across the focus areas of effectiveness, outcomes, efficiency, appropriateness and lessons and opportunities. The mid-point evaluation is timed to precede the 2029 Strategy review to inform the process. </w:t>
      </w:r>
    </w:p>
    <w:p w14:paraId="4694B644" w14:textId="3A939718" w:rsidR="00015C1F" w:rsidRPr="00015C1F" w:rsidRDefault="00015C1F" w:rsidP="007F08B3">
      <w:pPr>
        <w:pStyle w:val="ListBullet"/>
        <w:rPr>
          <w:lang w:val="en-US"/>
        </w:rPr>
      </w:pPr>
      <w:r w:rsidRPr="00015C1F">
        <w:rPr>
          <w:b/>
          <w:bCs/>
          <w:lang w:val="en-US"/>
        </w:rPr>
        <w:t xml:space="preserve">final evaluation: </w:t>
      </w:r>
      <w:r w:rsidRPr="00015C1F">
        <w:rPr>
          <w:lang w:val="en-US"/>
        </w:rPr>
        <w:t xml:space="preserve">covers all questions across all focus areas and will be designed to inform the Strategy review scheduled in 2034. </w:t>
      </w:r>
    </w:p>
    <w:p w14:paraId="5221271E" w14:textId="77777777" w:rsidR="00015C1F" w:rsidRPr="00015C1F" w:rsidRDefault="00015C1F" w:rsidP="00015C1F">
      <w:pPr>
        <w:rPr>
          <w:lang w:val="en-US"/>
        </w:rPr>
      </w:pPr>
      <w:r w:rsidRPr="00015C1F">
        <w:rPr>
          <w:lang w:val="en-US"/>
        </w:rPr>
        <w:t xml:space="preserve">Annual tracking measures for intermediate outcomes will be a key input for responding to all KEQs. Specific to annual reporting is the KEQ 2a outcome. The timing of use of KEQs is also described in </w:t>
      </w:r>
      <w:r w:rsidRPr="00015C1F">
        <w:rPr>
          <w:b/>
          <w:bCs/>
          <w:lang w:val="en-US"/>
        </w:rPr>
        <w:t>Table 5</w:t>
      </w:r>
      <w:r w:rsidRPr="00015C1F">
        <w:rPr>
          <w:lang w:val="en-US"/>
        </w:rPr>
        <w:t xml:space="preserve">. </w:t>
      </w:r>
    </w:p>
    <w:p w14:paraId="5CE690A0" w14:textId="69EE12EE" w:rsidR="00015C1F" w:rsidRPr="00015C1F" w:rsidRDefault="00015C1F" w:rsidP="00015C1F">
      <w:pPr>
        <w:pStyle w:val="Caption"/>
        <w:rPr>
          <w:lang w:val="en-US"/>
        </w:rPr>
      </w:pPr>
      <w:r w:rsidRPr="00015C1F">
        <w:rPr>
          <w:b/>
          <w:bCs/>
          <w:lang w:val="en-US"/>
        </w:rPr>
        <w:lastRenderedPageBreak/>
        <w:t>Table 5</w:t>
      </w:r>
      <w:r>
        <w:rPr>
          <w:b/>
          <w:bCs/>
          <w:lang w:val="en-US"/>
        </w:rPr>
        <w:t xml:space="preserve">. </w:t>
      </w:r>
      <w:r w:rsidRPr="00015C1F">
        <w:rPr>
          <w:lang w:val="en-US"/>
        </w:rPr>
        <w:t>Key evaluation questions that will guide the evaluation processes and the evaluation and reporting time point that each question would be asked.</w:t>
      </w:r>
    </w:p>
    <w:tbl>
      <w:tblPr>
        <w:tblStyle w:val="TableGrid"/>
        <w:tblW w:w="9067" w:type="dxa"/>
        <w:tblLayout w:type="fixed"/>
        <w:tblLook w:val="0020" w:firstRow="1" w:lastRow="0" w:firstColumn="0" w:lastColumn="0" w:noHBand="0" w:noVBand="0"/>
      </w:tblPr>
      <w:tblGrid>
        <w:gridCol w:w="1850"/>
        <w:gridCol w:w="3815"/>
        <w:gridCol w:w="1134"/>
        <w:gridCol w:w="1134"/>
        <w:gridCol w:w="1134"/>
      </w:tblGrid>
      <w:tr w:rsidR="00015C1F" w:rsidRPr="00015C1F" w14:paraId="39B79A77" w14:textId="77777777" w:rsidTr="00CD46A6">
        <w:trPr>
          <w:cantSplit/>
          <w:trHeight w:val="60"/>
          <w:tblHeader/>
        </w:trPr>
        <w:tc>
          <w:tcPr>
            <w:tcW w:w="1850" w:type="dxa"/>
            <w:vMerge w:val="restart"/>
          </w:tcPr>
          <w:p w14:paraId="14472517" w14:textId="77777777" w:rsidR="00015C1F" w:rsidRPr="00015C1F" w:rsidRDefault="00015C1F" w:rsidP="00015C1F">
            <w:pPr>
              <w:rPr>
                <w:b/>
                <w:bCs/>
                <w:lang w:val="en-US"/>
              </w:rPr>
            </w:pPr>
            <w:r w:rsidRPr="00015C1F">
              <w:rPr>
                <w:b/>
                <w:bCs/>
                <w:lang w:val="en-US"/>
              </w:rPr>
              <w:t>Key Evaluation Question</w:t>
            </w:r>
          </w:p>
        </w:tc>
        <w:tc>
          <w:tcPr>
            <w:tcW w:w="3815" w:type="dxa"/>
            <w:vMerge w:val="restart"/>
          </w:tcPr>
          <w:p w14:paraId="0866AA77" w14:textId="77777777" w:rsidR="00015C1F" w:rsidRPr="00015C1F" w:rsidRDefault="00015C1F" w:rsidP="00015C1F">
            <w:pPr>
              <w:rPr>
                <w:b/>
                <w:bCs/>
                <w:lang w:val="en-US"/>
              </w:rPr>
            </w:pPr>
            <w:r w:rsidRPr="00015C1F">
              <w:rPr>
                <w:b/>
                <w:bCs/>
                <w:lang w:val="en-US"/>
              </w:rPr>
              <w:t xml:space="preserve">Sub-questions </w:t>
            </w:r>
          </w:p>
        </w:tc>
        <w:tc>
          <w:tcPr>
            <w:tcW w:w="3402" w:type="dxa"/>
            <w:gridSpan w:val="3"/>
          </w:tcPr>
          <w:p w14:paraId="65A6592A" w14:textId="77777777" w:rsidR="00015C1F" w:rsidRPr="00015C1F" w:rsidRDefault="00015C1F" w:rsidP="00015C1F">
            <w:pPr>
              <w:rPr>
                <w:b/>
                <w:bCs/>
                <w:lang w:val="en-US"/>
              </w:rPr>
            </w:pPr>
            <w:r w:rsidRPr="00015C1F">
              <w:rPr>
                <w:b/>
                <w:bCs/>
                <w:lang w:val="en-US"/>
              </w:rPr>
              <w:t>Timing</w:t>
            </w:r>
          </w:p>
        </w:tc>
      </w:tr>
      <w:tr w:rsidR="00015C1F" w:rsidRPr="00015C1F" w14:paraId="6FF38769" w14:textId="77777777" w:rsidTr="00CD46A6">
        <w:trPr>
          <w:trHeight w:val="818"/>
        </w:trPr>
        <w:tc>
          <w:tcPr>
            <w:tcW w:w="1850" w:type="dxa"/>
            <w:vMerge/>
          </w:tcPr>
          <w:p w14:paraId="53ADAAE2" w14:textId="77777777" w:rsidR="00015C1F" w:rsidRPr="00015C1F" w:rsidRDefault="00015C1F" w:rsidP="00015C1F">
            <w:pPr>
              <w:rPr>
                <w:lang w:val="en-GB"/>
              </w:rPr>
            </w:pPr>
          </w:p>
        </w:tc>
        <w:tc>
          <w:tcPr>
            <w:tcW w:w="3815" w:type="dxa"/>
            <w:vMerge/>
          </w:tcPr>
          <w:p w14:paraId="48819045" w14:textId="77777777" w:rsidR="00015C1F" w:rsidRPr="00015C1F" w:rsidRDefault="00015C1F" w:rsidP="00015C1F">
            <w:pPr>
              <w:rPr>
                <w:lang w:val="en-GB"/>
              </w:rPr>
            </w:pPr>
          </w:p>
        </w:tc>
        <w:tc>
          <w:tcPr>
            <w:tcW w:w="1134" w:type="dxa"/>
          </w:tcPr>
          <w:p w14:paraId="2D887DAF" w14:textId="77777777" w:rsidR="00015C1F" w:rsidRPr="00015C1F" w:rsidRDefault="00015C1F" w:rsidP="00015C1F">
            <w:pPr>
              <w:rPr>
                <w:b/>
                <w:bCs/>
                <w:lang w:val="en-US"/>
              </w:rPr>
            </w:pPr>
            <w:r w:rsidRPr="00015C1F">
              <w:rPr>
                <w:b/>
                <w:bCs/>
                <w:lang w:val="en-US"/>
              </w:rPr>
              <w:t>Annual tracking</w:t>
            </w:r>
          </w:p>
        </w:tc>
        <w:tc>
          <w:tcPr>
            <w:tcW w:w="1134" w:type="dxa"/>
          </w:tcPr>
          <w:p w14:paraId="684A7B83" w14:textId="77777777" w:rsidR="00015C1F" w:rsidRPr="00015C1F" w:rsidRDefault="00015C1F" w:rsidP="00015C1F">
            <w:pPr>
              <w:rPr>
                <w:b/>
                <w:bCs/>
                <w:lang w:val="en-US"/>
              </w:rPr>
            </w:pPr>
            <w:r w:rsidRPr="00015C1F">
              <w:rPr>
                <w:b/>
                <w:bCs/>
                <w:lang w:val="en-US"/>
              </w:rPr>
              <w:t>Periodic evaluation</w:t>
            </w:r>
          </w:p>
        </w:tc>
        <w:tc>
          <w:tcPr>
            <w:tcW w:w="1134" w:type="dxa"/>
          </w:tcPr>
          <w:p w14:paraId="0C7141BC" w14:textId="77777777" w:rsidR="00015C1F" w:rsidRPr="00015C1F" w:rsidRDefault="00015C1F" w:rsidP="00015C1F">
            <w:pPr>
              <w:rPr>
                <w:b/>
                <w:bCs/>
                <w:lang w:val="en-US"/>
              </w:rPr>
            </w:pPr>
            <w:r w:rsidRPr="00015C1F">
              <w:rPr>
                <w:b/>
                <w:bCs/>
                <w:lang w:val="en-US"/>
              </w:rPr>
              <w:t>Final evaluation</w:t>
            </w:r>
          </w:p>
        </w:tc>
      </w:tr>
      <w:tr w:rsidR="007F08B3" w:rsidRPr="00015C1F" w14:paraId="53A7FDB7" w14:textId="77777777" w:rsidTr="00CD46A6">
        <w:trPr>
          <w:trHeight w:val="60"/>
        </w:trPr>
        <w:tc>
          <w:tcPr>
            <w:tcW w:w="9067" w:type="dxa"/>
            <w:gridSpan w:val="5"/>
          </w:tcPr>
          <w:p w14:paraId="7CFB66E9" w14:textId="5FCD3E31" w:rsidR="007F08B3" w:rsidRPr="00015C1F" w:rsidRDefault="007F08B3" w:rsidP="00015C1F">
            <w:pPr>
              <w:rPr>
                <w:lang w:val="en-GB"/>
              </w:rPr>
            </w:pPr>
            <w:r w:rsidRPr="00015C1F">
              <w:rPr>
                <w:b/>
                <w:bCs/>
                <w:lang w:val="en-US"/>
              </w:rPr>
              <w:t xml:space="preserve">Effectiveness </w:t>
            </w:r>
          </w:p>
        </w:tc>
      </w:tr>
      <w:tr w:rsidR="00015C1F" w:rsidRPr="00015C1F" w14:paraId="3B4B79C6" w14:textId="77777777" w:rsidTr="00CD46A6">
        <w:trPr>
          <w:trHeight w:val="60"/>
        </w:trPr>
        <w:tc>
          <w:tcPr>
            <w:tcW w:w="1850" w:type="dxa"/>
            <w:vMerge w:val="restart"/>
          </w:tcPr>
          <w:p w14:paraId="6EBD4618" w14:textId="5F7245A5" w:rsidR="00015C1F" w:rsidRPr="00015C1F" w:rsidRDefault="00015C1F" w:rsidP="00015C1F">
            <w:pPr>
              <w:rPr>
                <w:lang w:val="en-US"/>
              </w:rPr>
            </w:pPr>
            <w:r w:rsidRPr="00015C1F">
              <w:rPr>
                <w:b/>
                <w:bCs/>
                <w:lang w:val="en-US"/>
              </w:rPr>
              <w:t>1. To what extent has the Strategy effectively influenced the sector?</w:t>
            </w:r>
          </w:p>
        </w:tc>
        <w:tc>
          <w:tcPr>
            <w:tcW w:w="3815" w:type="dxa"/>
          </w:tcPr>
          <w:p w14:paraId="6E370725" w14:textId="50296771" w:rsidR="00015C1F" w:rsidRPr="00015C1F" w:rsidRDefault="00015C1F" w:rsidP="00015C1F">
            <w:pPr>
              <w:rPr>
                <w:lang w:val="en-US"/>
              </w:rPr>
            </w:pPr>
            <w:r w:rsidRPr="00015C1F">
              <w:rPr>
                <w:lang w:val="en-US"/>
              </w:rPr>
              <w:t>a. What action has been taken towards achieving Strategy outcomes?</w:t>
            </w:r>
          </w:p>
        </w:tc>
        <w:tc>
          <w:tcPr>
            <w:tcW w:w="1134" w:type="dxa"/>
          </w:tcPr>
          <w:p w14:paraId="5019FD2B" w14:textId="77777777" w:rsidR="00015C1F" w:rsidRPr="00015C1F" w:rsidRDefault="00015C1F" w:rsidP="00015C1F">
            <w:pPr>
              <w:rPr>
                <w:lang w:val="en-GB"/>
              </w:rPr>
            </w:pPr>
          </w:p>
        </w:tc>
        <w:tc>
          <w:tcPr>
            <w:tcW w:w="1134" w:type="dxa"/>
          </w:tcPr>
          <w:p w14:paraId="101235AA" w14:textId="2EC1CE97" w:rsidR="00015C1F" w:rsidRPr="00015C1F" w:rsidRDefault="007F08B3" w:rsidP="00015C1F">
            <w:pPr>
              <w:rPr>
                <w:lang w:val="en-US"/>
              </w:rPr>
            </w:pPr>
            <w:r>
              <w:rPr>
                <w:lang w:val="en-US"/>
              </w:rPr>
              <w:t>Y</w:t>
            </w:r>
          </w:p>
        </w:tc>
        <w:tc>
          <w:tcPr>
            <w:tcW w:w="1134" w:type="dxa"/>
          </w:tcPr>
          <w:p w14:paraId="25A16279" w14:textId="339C258F" w:rsidR="00015C1F" w:rsidRPr="00015C1F" w:rsidRDefault="007F08B3" w:rsidP="00015C1F">
            <w:pPr>
              <w:rPr>
                <w:lang w:val="en-US"/>
              </w:rPr>
            </w:pPr>
            <w:r>
              <w:rPr>
                <w:lang w:val="en-US"/>
              </w:rPr>
              <w:t>Y</w:t>
            </w:r>
          </w:p>
        </w:tc>
      </w:tr>
      <w:tr w:rsidR="007F08B3" w:rsidRPr="00015C1F" w14:paraId="329ED9B5" w14:textId="77777777" w:rsidTr="00CD46A6">
        <w:trPr>
          <w:trHeight w:val="60"/>
        </w:trPr>
        <w:tc>
          <w:tcPr>
            <w:tcW w:w="1850" w:type="dxa"/>
            <w:vMerge/>
          </w:tcPr>
          <w:p w14:paraId="598B7526" w14:textId="77777777" w:rsidR="007F08B3" w:rsidRPr="00015C1F" w:rsidRDefault="007F08B3" w:rsidP="007F08B3">
            <w:pPr>
              <w:rPr>
                <w:lang w:val="en-GB"/>
              </w:rPr>
            </w:pPr>
          </w:p>
        </w:tc>
        <w:tc>
          <w:tcPr>
            <w:tcW w:w="3815" w:type="dxa"/>
          </w:tcPr>
          <w:p w14:paraId="561A12F0" w14:textId="4E702DED" w:rsidR="007F08B3" w:rsidRPr="00015C1F" w:rsidRDefault="007F08B3" w:rsidP="007F08B3">
            <w:pPr>
              <w:rPr>
                <w:lang w:val="en-US"/>
              </w:rPr>
            </w:pPr>
            <w:r w:rsidRPr="00015C1F">
              <w:rPr>
                <w:lang w:val="en-US"/>
              </w:rPr>
              <w:t xml:space="preserve">b. To what extent and in what ways has the Strategy influenced: </w:t>
            </w:r>
          </w:p>
          <w:p w14:paraId="41555CC0" w14:textId="77777777" w:rsidR="007F08B3" w:rsidRPr="00015C1F" w:rsidRDefault="007F08B3" w:rsidP="007F08B3">
            <w:pPr>
              <w:pStyle w:val="ListBullet"/>
              <w:rPr>
                <w:lang w:val="en-US"/>
              </w:rPr>
            </w:pPr>
            <w:r w:rsidRPr="00015C1F">
              <w:rPr>
                <w:lang w:val="en-US"/>
              </w:rPr>
              <w:t xml:space="preserve">What the sector does (together and independently), and </w:t>
            </w:r>
          </w:p>
          <w:p w14:paraId="02D40A3F" w14:textId="77777777" w:rsidR="007F08B3" w:rsidRPr="00015C1F" w:rsidRDefault="007F08B3" w:rsidP="007F08B3">
            <w:pPr>
              <w:pStyle w:val="ListBullet"/>
              <w:rPr>
                <w:lang w:val="en-US"/>
              </w:rPr>
            </w:pPr>
            <w:r w:rsidRPr="00015C1F">
              <w:rPr>
                <w:lang w:val="en-US"/>
              </w:rPr>
              <w:t>how the sector works?</w:t>
            </w:r>
          </w:p>
        </w:tc>
        <w:tc>
          <w:tcPr>
            <w:tcW w:w="1134" w:type="dxa"/>
          </w:tcPr>
          <w:p w14:paraId="1B99B3DC" w14:textId="77777777" w:rsidR="007F08B3" w:rsidRPr="00015C1F" w:rsidRDefault="007F08B3" w:rsidP="007F08B3">
            <w:pPr>
              <w:rPr>
                <w:lang w:val="en-GB"/>
              </w:rPr>
            </w:pPr>
          </w:p>
        </w:tc>
        <w:tc>
          <w:tcPr>
            <w:tcW w:w="1134" w:type="dxa"/>
          </w:tcPr>
          <w:p w14:paraId="7295AF66" w14:textId="67D8F088" w:rsidR="007F08B3" w:rsidRPr="00015C1F" w:rsidRDefault="007F08B3" w:rsidP="007F08B3">
            <w:pPr>
              <w:rPr>
                <w:lang w:val="en-US"/>
              </w:rPr>
            </w:pPr>
            <w:r w:rsidRPr="004244E8">
              <w:rPr>
                <w:lang w:val="en-US"/>
              </w:rPr>
              <w:t>Y</w:t>
            </w:r>
          </w:p>
        </w:tc>
        <w:tc>
          <w:tcPr>
            <w:tcW w:w="1134" w:type="dxa"/>
          </w:tcPr>
          <w:p w14:paraId="7376E0E6" w14:textId="29D36604" w:rsidR="007F08B3" w:rsidRPr="00015C1F" w:rsidRDefault="007F08B3" w:rsidP="007F08B3">
            <w:pPr>
              <w:rPr>
                <w:lang w:val="en-US"/>
              </w:rPr>
            </w:pPr>
            <w:r w:rsidRPr="004244E8">
              <w:rPr>
                <w:lang w:val="en-US"/>
              </w:rPr>
              <w:t>Y</w:t>
            </w:r>
          </w:p>
        </w:tc>
      </w:tr>
      <w:tr w:rsidR="007F08B3" w:rsidRPr="00015C1F" w14:paraId="24EF811D" w14:textId="77777777" w:rsidTr="00CD46A6">
        <w:trPr>
          <w:trHeight w:val="60"/>
        </w:trPr>
        <w:tc>
          <w:tcPr>
            <w:tcW w:w="1850" w:type="dxa"/>
            <w:vMerge/>
          </w:tcPr>
          <w:p w14:paraId="1312BBDD" w14:textId="77777777" w:rsidR="007F08B3" w:rsidRPr="00015C1F" w:rsidRDefault="007F08B3" w:rsidP="007F08B3">
            <w:pPr>
              <w:rPr>
                <w:lang w:val="en-GB"/>
              </w:rPr>
            </w:pPr>
          </w:p>
        </w:tc>
        <w:tc>
          <w:tcPr>
            <w:tcW w:w="3815" w:type="dxa"/>
          </w:tcPr>
          <w:p w14:paraId="50BDCF39" w14:textId="07CC94AC" w:rsidR="007F08B3" w:rsidRPr="00015C1F" w:rsidRDefault="007F08B3" w:rsidP="007F08B3">
            <w:pPr>
              <w:rPr>
                <w:lang w:val="en-US"/>
              </w:rPr>
            </w:pPr>
            <w:r w:rsidRPr="00015C1F">
              <w:rPr>
                <w:lang w:val="en-US"/>
              </w:rPr>
              <w:t>c. What cross-sector governance is in place to guide how the sector works in line with the Strategy? How effective has this been?</w:t>
            </w:r>
          </w:p>
        </w:tc>
        <w:tc>
          <w:tcPr>
            <w:tcW w:w="1134" w:type="dxa"/>
          </w:tcPr>
          <w:p w14:paraId="1CC3918E" w14:textId="77777777" w:rsidR="007F08B3" w:rsidRPr="00015C1F" w:rsidRDefault="007F08B3" w:rsidP="007F08B3">
            <w:pPr>
              <w:rPr>
                <w:lang w:val="en-GB"/>
              </w:rPr>
            </w:pPr>
          </w:p>
        </w:tc>
        <w:tc>
          <w:tcPr>
            <w:tcW w:w="1134" w:type="dxa"/>
          </w:tcPr>
          <w:p w14:paraId="15B3B1E1" w14:textId="1207672C" w:rsidR="007F08B3" w:rsidRPr="00015C1F" w:rsidRDefault="007F08B3" w:rsidP="007F08B3">
            <w:pPr>
              <w:rPr>
                <w:lang w:val="en-US"/>
              </w:rPr>
            </w:pPr>
            <w:r w:rsidRPr="00B82D0F">
              <w:rPr>
                <w:lang w:val="en-US"/>
              </w:rPr>
              <w:t>Y</w:t>
            </w:r>
          </w:p>
        </w:tc>
        <w:tc>
          <w:tcPr>
            <w:tcW w:w="1134" w:type="dxa"/>
          </w:tcPr>
          <w:p w14:paraId="29BBCE8B" w14:textId="46DB5601" w:rsidR="007F08B3" w:rsidRPr="00015C1F" w:rsidRDefault="007F08B3" w:rsidP="007F08B3">
            <w:pPr>
              <w:rPr>
                <w:lang w:val="en-US"/>
              </w:rPr>
            </w:pPr>
            <w:r w:rsidRPr="00B82D0F">
              <w:rPr>
                <w:lang w:val="en-US"/>
              </w:rPr>
              <w:t>Y</w:t>
            </w:r>
          </w:p>
        </w:tc>
      </w:tr>
      <w:tr w:rsidR="007F08B3" w:rsidRPr="00015C1F" w14:paraId="7EEE8E00" w14:textId="77777777" w:rsidTr="00CD46A6">
        <w:trPr>
          <w:trHeight w:val="60"/>
        </w:trPr>
        <w:tc>
          <w:tcPr>
            <w:tcW w:w="1850" w:type="dxa"/>
            <w:vMerge/>
          </w:tcPr>
          <w:p w14:paraId="13390E7A" w14:textId="77777777" w:rsidR="007F08B3" w:rsidRPr="00015C1F" w:rsidRDefault="007F08B3" w:rsidP="007F08B3">
            <w:pPr>
              <w:rPr>
                <w:lang w:val="en-GB"/>
              </w:rPr>
            </w:pPr>
          </w:p>
        </w:tc>
        <w:tc>
          <w:tcPr>
            <w:tcW w:w="3815" w:type="dxa"/>
          </w:tcPr>
          <w:p w14:paraId="0EED291A" w14:textId="78BD0DEF" w:rsidR="007F08B3" w:rsidRPr="00015C1F" w:rsidRDefault="007F08B3" w:rsidP="007F08B3">
            <w:pPr>
              <w:rPr>
                <w:lang w:val="en-US"/>
              </w:rPr>
            </w:pPr>
            <w:r w:rsidRPr="00015C1F">
              <w:rPr>
                <w:lang w:val="en-US"/>
              </w:rPr>
              <w:t>d. To what extent and in what ways is the sector working together towards Strategy outcomes?</w:t>
            </w:r>
          </w:p>
        </w:tc>
        <w:tc>
          <w:tcPr>
            <w:tcW w:w="1134" w:type="dxa"/>
          </w:tcPr>
          <w:p w14:paraId="3B4E8890" w14:textId="77777777" w:rsidR="007F08B3" w:rsidRPr="00015C1F" w:rsidRDefault="007F08B3" w:rsidP="007F08B3">
            <w:pPr>
              <w:rPr>
                <w:lang w:val="en-GB"/>
              </w:rPr>
            </w:pPr>
          </w:p>
        </w:tc>
        <w:tc>
          <w:tcPr>
            <w:tcW w:w="1134" w:type="dxa"/>
          </w:tcPr>
          <w:p w14:paraId="4ED9C60B" w14:textId="1C914A8D" w:rsidR="007F08B3" w:rsidRPr="00015C1F" w:rsidRDefault="007F08B3" w:rsidP="007F08B3">
            <w:pPr>
              <w:rPr>
                <w:lang w:val="en-US"/>
              </w:rPr>
            </w:pPr>
            <w:r w:rsidRPr="009D3910">
              <w:rPr>
                <w:lang w:val="en-US"/>
              </w:rPr>
              <w:t>Y</w:t>
            </w:r>
          </w:p>
        </w:tc>
        <w:tc>
          <w:tcPr>
            <w:tcW w:w="1134" w:type="dxa"/>
          </w:tcPr>
          <w:p w14:paraId="138F63A6" w14:textId="6450FAAE" w:rsidR="007F08B3" w:rsidRPr="00015C1F" w:rsidRDefault="007F08B3" w:rsidP="007F08B3">
            <w:pPr>
              <w:rPr>
                <w:lang w:val="en-US"/>
              </w:rPr>
            </w:pPr>
            <w:r w:rsidRPr="009D3910">
              <w:rPr>
                <w:lang w:val="en-US"/>
              </w:rPr>
              <w:t>Y</w:t>
            </w:r>
          </w:p>
        </w:tc>
      </w:tr>
      <w:tr w:rsidR="007F08B3" w:rsidRPr="00015C1F" w14:paraId="0EE913A9" w14:textId="77777777" w:rsidTr="00CD46A6">
        <w:trPr>
          <w:trHeight w:val="60"/>
        </w:trPr>
        <w:tc>
          <w:tcPr>
            <w:tcW w:w="9067" w:type="dxa"/>
            <w:gridSpan w:val="5"/>
          </w:tcPr>
          <w:p w14:paraId="5686DD6A" w14:textId="25B3AB3D" w:rsidR="007F08B3" w:rsidRPr="00015C1F" w:rsidRDefault="007F08B3" w:rsidP="00015C1F">
            <w:pPr>
              <w:rPr>
                <w:lang w:val="en-GB"/>
              </w:rPr>
            </w:pPr>
            <w:r w:rsidRPr="00015C1F">
              <w:rPr>
                <w:b/>
                <w:bCs/>
                <w:lang w:val="en-US"/>
              </w:rPr>
              <w:t>Outcomes</w:t>
            </w:r>
          </w:p>
        </w:tc>
      </w:tr>
      <w:tr w:rsidR="007F08B3" w:rsidRPr="00015C1F" w14:paraId="69E61904" w14:textId="77777777" w:rsidTr="00CD46A6">
        <w:trPr>
          <w:trHeight w:val="60"/>
        </w:trPr>
        <w:tc>
          <w:tcPr>
            <w:tcW w:w="1850" w:type="dxa"/>
            <w:vMerge w:val="restart"/>
          </w:tcPr>
          <w:p w14:paraId="1EA4004E" w14:textId="2F9C7B18" w:rsidR="007F08B3" w:rsidRPr="00015C1F" w:rsidRDefault="007F08B3" w:rsidP="007F08B3">
            <w:pPr>
              <w:rPr>
                <w:b/>
                <w:bCs/>
                <w:lang w:val="en-US"/>
              </w:rPr>
            </w:pPr>
            <w:r w:rsidRPr="00015C1F">
              <w:rPr>
                <w:b/>
                <w:bCs/>
                <w:lang w:val="en-US"/>
              </w:rPr>
              <w:t xml:space="preserve">2. To what extent has progress been made towards </w:t>
            </w:r>
            <w:r w:rsidRPr="00015C1F">
              <w:rPr>
                <w:b/>
                <w:bCs/>
                <w:lang w:val="en-US"/>
              </w:rPr>
              <w:lastRenderedPageBreak/>
              <w:t>Strategy outcomes?</w:t>
            </w:r>
          </w:p>
          <w:p w14:paraId="14AC75DF" w14:textId="77777777" w:rsidR="007F08B3" w:rsidRPr="00015C1F" w:rsidRDefault="007F08B3" w:rsidP="007F08B3">
            <w:pPr>
              <w:rPr>
                <w:lang w:val="en-US"/>
              </w:rPr>
            </w:pPr>
          </w:p>
        </w:tc>
        <w:tc>
          <w:tcPr>
            <w:tcW w:w="3815" w:type="dxa"/>
          </w:tcPr>
          <w:p w14:paraId="3732B511" w14:textId="2063CC2C" w:rsidR="007F08B3" w:rsidRPr="00015C1F" w:rsidRDefault="007F08B3" w:rsidP="007F08B3">
            <w:pPr>
              <w:rPr>
                <w:lang w:val="en-US"/>
              </w:rPr>
            </w:pPr>
            <w:r w:rsidRPr="00015C1F">
              <w:rPr>
                <w:lang w:val="en-US"/>
              </w:rPr>
              <w:lastRenderedPageBreak/>
              <w:t xml:space="preserve">a. What progress has been made towards the Strategy intermediate outcomes? </w:t>
            </w:r>
          </w:p>
        </w:tc>
        <w:tc>
          <w:tcPr>
            <w:tcW w:w="1134" w:type="dxa"/>
          </w:tcPr>
          <w:p w14:paraId="2F592AD6" w14:textId="2818C676" w:rsidR="007F08B3" w:rsidRPr="00015C1F" w:rsidRDefault="007F08B3" w:rsidP="007F08B3">
            <w:pPr>
              <w:rPr>
                <w:lang w:val="en-US"/>
              </w:rPr>
            </w:pPr>
            <w:r w:rsidRPr="009F70B7">
              <w:rPr>
                <w:lang w:val="en-US"/>
              </w:rPr>
              <w:t>Y</w:t>
            </w:r>
          </w:p>
        </w:tc>
        <w:tc>
          <w:tcPr>
            <w:tcW w:w="1134" w:type="dxa"/>
          </w:tcPr>
          <w:p w14:paraId="0ACD2F88" w14:textId="7BAC5F75" w:rsidR="007F08B3" w:rsidRPr="00015C1F" w:rsidRDefault="007F08B3" w:rsidP="007F08B3">
            <w:pPr>
              <w:rPr>
                <w:lang w:val="en-US"/>
              </w:rPr>
            </w:pPr>
            <w:r w:rsidRPr="009F70B7">
              <w:rPr>
                <w:lang w:val="en-US"/>
              </w:rPr>
              <w:t>Y</w:t>
            </w:r>
          </w:p>
        </w:tc>
        <w:tc>
          <w:tcPr>
            <w:tcW w:w="1134" w:type="dxa"/>
          </w:tcPr>
          <w:p w14:paraId="7CA53B6F" w14:textId="3CAF1C11" w:rsidR="007F08B3" w:rsidRPr="00015C1F" w:rsidRDefault="007F08B3" w:rsidP="007F08B3">
            <w:pPr>
              <w:rPr>
                <w:lang w:val="en-US"/>
              </w:rPr>
            </w:pPr>
            <w:r w:rsidRPr="009F70B7">
              <w:rPr>
                <w:lang w:val="en-US"/>
              </w:rPr>
              <w:t>Y</w:t>
            </w:r>
          </w:p>
        </w:tc>
      </w:tr>
      <w:tr w:rsidR="007F08B3" w:rsidRPr="00015C1F" w14:paraId="7D2CC0C7" w14:textId="77777777" w:rsidTr="00CD46A6">
        <w:trPr>
          <w:trHeight w:val="60"/>
        </w:trPr>
        <w:tc>
          <w:tcPr>
            <w:tcW w:w="1850" w:type="dxa"/>
            <w:vMerge/>
          </w:tcPr>
          <w:p w14:paraId="3B5AACDC" w14:textId="77777777" w:rsidR="007F08B3" w:rsidRPr="00015C1F" w:rsidRDefault="007F08B3" w:rsidP="007F08B3">
            <w:pPr>
              <w:rPr>
                <w:lang w:val="en-GB"/>
              </w:rPr>
            </w:pPr>
          </w:p>
        </w:tc>
        <w:tc>
          <w:tcPr>
            <w:tcW w:w="3815" w:type="dxa"/>
          </w:tcPr>
          <w:p w14:paraId="20A637CF" w14:textId="590498B9" w:rsidR="007F08B3" w:rsidRPr="00015C1F" w:rsidRDefault="007F08B3" w:rsidP="007F08B3">
            <w:pPr>
              <w:rPr>
                <w:lang w:val="en-US"/>
              </w:rPr>
            </w:pPr>
            <w:r w:rsidRPr="00015C1F">
              <w:rPr>
                <w:lang w:val="en-US"/>
              </w:rPr>
              <w:t xml:space="preserve">b. What, if any, unanticipated positive or negative outcomes have </w:t>
            </w:r>
            <w:r w:rsidRPr="00015C1F">
              <w:rPr>
                <w:lang w:val="en-US"/>
              </w:rPr>
              <w:lastRenderedPageBreak/>
              <w:t xml:space="preserve">resulted from implementation of the Strategy? </w:t>
            </w:r>
          </w:p>
        </w:tc>
        <w:tc>
          <w:tcPr>
            <w:tcW w:w="1134" w:type="dxa"/>
          </w:tcPr>
          <w:p w14:paraId="23B7C968" w14:textId="77777777" w:rsidR="007F08B3" w:rsidRPr="00015C1F" w:rsidRDefault="007F08B3" w:rsidP="007F08B3">
            <w:pPr>
              <w:rPr>
                <w:lang w:val="en-GB"/>
              </w:rPr>
            </w:pPr>
          </w:p>
        </w:tc>
        <w:tc>
          <w:tcPr>
            <w:tcW w:w="1134" w:type="dxa"/>
          </w:tcPr>
          <w:p w14:paraId="5CB66003" w14:textId="56F9F73A" w:rsidR="007F08B3" w:rsidRPr="00015C1F" w:rsidRDefault="007F08B3" w:rsidP="007F08B3">
            <w:pPr>
              <w:rPr>
                <w:lang w:val="en-US"/>
              </w:rPr>
            </w:pPr>
            <w:r w:rsidRPr="00CD7893">
              <w:rPr>
                <w:lang w:val="en-US"/>
              </w:rPr>
              <w:t>Y</w:t>
            </w:r>
          </w:p>
        </w:tc>
        <w:tc>
          <w:tcPr>
            <w:tcW w:w="1134" w:type="dxa"/>
          </w:tcPr>
          <w:p w14:paraId="5B8E4CFF" w14:textId="43FFE31A" w:rsidR="007F08B3" w:rsidRPr="00015C1F" w:rsidRDefault="007F08B3" w:rsidP="007F08B3">
            <w:pPr>
              <w:rPr>
                <w:lang w:val="en-US"/>
              </w:rPr>
            </w:pPr>
            <w:r w:rsidRPr="00CD7893">
              <w:rPr>
                <w:lang w:val="en-US"/>
              </w:rPr>
              <w:t>Y</w:t>
            </w:r>
          </w:p>
        </w:tc>
      </w:tr>
      <w:tr w:rsidR="007F08B3" w:rsidRPr="00015C1F" w14:paraId="564D4189" w14:textId="77777777" w:rsidTr="00CD46A6">
        <w:trPr>
          <w:trHeight w:val="60"/>
        </w:trPr>
        <w:tc>
          <w:tcPr>
            <w:tcW w:w="1850" w:type="dxa"/>
            <w:vMerge/>
          </w:tcPr>
          <w:p w14:paraId="38EC92F2" w14:textId="77777777" w:rsidR="007F08B3" w:rsidRPr="00015C1F" w:rsidRDefault="007F08B3" w:rsidP="007F08B3">
            <w:pPr>
              <w:rPr>
                <w:lang w:val="en-GB"/>
              </w:rPr>
            </w:pPr>
          </w:p>
        </w:tc>
        <w:tc>
          <w:tcPr>
            <w:tcW w:w="3815" w:type="dxa"/>
          </w:tcPr>
          <w:p w14:paraId="66CE231B" w14:textId="40D57C0B" w:rsidR="007F08B3" w:rsidRPr="00015C1F" w:rsidRDefault="007F08B3" w:rsidP="007F08B3">
            <w:pPr>
              <w:rPr>
                <w:lang w:val="en-US"/>
              </w:rPr>
            </w:pPr>
            <w:r w:rsidRPr="00015C1F">
              <w:rPr>
                <w:lang w:val="en-US"/>
              </w:rPr>
              <w:t>c. What contextual or environmental factors have influenced and/or impacted progress towards outcomes? (For example, government changes, funding, climate)</w:t>
            </w:r>
          </w:p>
        </w:tc>
        <w:tc>
          <w:tcPr>
            <w:tcW w:w="1134" w:type="dxa"/>
          </w:tcPr>
          <w:p w14:paraId="0D25B0CF" w14:textId="77777777" w:rsidR="007F08B3" w:rsidRPr="00015C1F" w:rsidRDefault="007F08B3" w:rsidP="007F08B3">
            <w:pPr>
              <w:rPr>
                <w:lang w:val="en-GB"/>
              </w:rPr>
            </w:pPr>
          </w:p>
        </w:tc>
        <w:tc>
          <w:tcPr>
            <w:tcW w:w="1134" w:type="dxa"/>
          </w:tcPr>
          <w:p w14:paraId="79FC9B2F" w14:textId="2D218F04" w:rsidR="007F08B3" w:rsidRPr="00015C1F" w:rsidRDefault="007F08B3" w:rsidP="007F08B3">
            <w:pPr>
              <w:rPr>
                <w:lang w:val="en-US"/>
              </w:rPr>
            </w:pPr>
            <w:r w:rsidRPr="005669F8">
              <w:rPr>
                <w:lang w:val="en-US"/>
              </w:rPr>
              <w:t>Y</w:t>
            </w:r>
          </w:p>
        </w:tc>
        <w:tc>
          <w:tcPr>
            <w:tcW w:w="1134" w:type="dxa"/>
          </w:tcPr>
          <w:p w14:paraId="6ADA5DCC" w14:textId="51EB4018" w:rsidR="007F08B3" w:rsidRPr="00015C1F" w:rsidRDefault="007F08B3" w:rsidP="007F08B3">
            <w:pPr>
              <w:rPr>
                <w:lang w:val="en-US"/>
              </w:rPr>
            </w:pPr>
            <w:r w:rsidRPr="005669F8">
              <w:rPr>
                <w:lang w:val="en-US"/>
              </w:rPr>
              <w:t>Y</w:t>
            </w:r>
          </w:p>
        </w:tc>
      </w:tr>
      <w:tr w:rsidR="007F08B3" w:rsidRPr="00015C1F" w14:paraId="4D494018" w14:textId="77777777" w:rsidTr="00CD46A6">
        <w:trPr>
          <w:trHeight w:val="60"/>
        </w:trPr>
        <w:tc>
          <w:tcPr>
            <w:tcW w:w="9067" w:type="dxa"/>
            <w:gridSpan w:val="5"/>
          </w:tcPr>
          <w:p w14:paraId="0F4460FB" w14:textId="61C79615" w:rsidR="007F08B3" w:rsidRPr="00015C1F" w:rsidRDefault="007F08B3" w:rsidP="00015C1F">
            <w:pPr>
              <w:rPr>
                <w:lang w:val="en-GB"/>
              </w:rPr>
            </w:pPr>
            <w:r w:rsidRPr="00015C1F">
              <w:rPr>
                <w:b/>
                <w:bCs/>
                <w:lang w:val="en-US"/>
              </w:rPr>
              <w:t>Efficiency</w:t>
            </w:r>
          </w:p>
        </w:tc>
      </w:tr>
      <w:tr w:rsidR="007F08B3" w:rsidRPr="00015C1F" w14:paraId="2E01B892" w14:textId="77777777" w:rsidTr="00CD46A6">
        <w:trPr>
          <w:trHeight w:val="60"/>
        </w:trPr>
        <w:tc>
          <w:tcPr>
            <w:tcW w:w="1850" w:type="dxa"/>
            <w:vMerge w:val="restart"/>
          </w:tcPr>
          <w:p w14:paraId="0E2CBA6E" w14:textId="35C19DDF" w:rsidR="007F08B3" w:rsidRPr="00015C1F" w:rsidRDefault="007F08B3" w:rsidP="007F08B3">
            <w:pPr>
              <w:rPr>
                <w:lang w:val="en-US"/>
              </w:rPr>
            </w:pPr>
            <w:r w:rsidRPr="00015C1F">
              <w:rPr>
                <w:b/>
                <w:bCs/>
                <w:lang w:val="en-US"/>
              </w:rPr>
              <w:t>3. To what extent and in what ways has the Strategy increased sector efficiency?</w:t>
            </w:r>
          </w:p>
        </w:tc>
        <w:tc>
          <w:tcPr>
            <w:tcW w:w="3815" w:type="dxa"/>
          </w:tcPr>
          <w:p w14:paraId="64F8BC0A" w14:textId="5FD23C17" w:rsidR="007F08B3" w:rsidRPr="00015C1F" w:rsidRDefault="007F08B3" w:rsidP="007F08B3">
            <w:pPr>
              <w:rPr>
                <w:lang w:val="en-US"/>
              </w:rPr>
            </w:pPr>
            <w:r w:rsidRPr="00015C1F">
              <w:rPr>
                <w:lang w:val="en-US"/>
              </w:rPr>
              <w:t>a. How and in what ways has the sector invested in the Strategy? To what extent has this been sufficient given the intended outcomes?</w:t>
            </w:r>
          </w:p>
        </w:tc>
        <w:tc>
          <w:tcPr>
            <w:tcW w:w="1134" w:type="dxa"/>
          </w:tcPr>
          <w:p w14:paraId="3552C0AC" w14:textId="77777777" w:rsidR="007F08B3" w:rsidRPr="00015C1F" w:rsidRDefault="007F08B3" w:rsidP="007F08B3">
            <w:pPr>
              <w:rPr>
                <w:lang w:val="en-GB"/>
              </w:rPr>
            </w:pPr>
          </w:p>
        </w:tc>
        <w:tc>
          <w:tcPr>
            <w:tcW w:w="1134" w:type="dxa"/>
          </w:tcPr>
          <w:p w14:paraId="42B655AF" w14:textId="411412B4" w:rsidR="007F08B3" w:rsidRPr="00015C1F" w:rsidRDefault="007F08B3" w:rsidP="007F08B3">
            <w:pPr>
              <w:rPr>
                <w:lang w:val="en-US"/>
              </w:rPr>
            </w:pPr>
            <w:r w:rsidRPr="00DC3DDD">
              <w:rPr>
                <w:lang w:val="en-US"/>
              </w:rPr>
              <w:t>Y</w:t>
            </w:r>
          </w:p>
        </w:tc>
        <w:tc>
          <w:tcPr>
            <w:tcW w:w="1134" w:type="dxa"/>
          </w:tcPr>
          <w:p w14:paraId="6801F430" w14:textId="3C415735" w:rsidR="007F08B3" w:rsidRPr="00015C1F" w:rsidRDefault="007F08B3" w:rsidP="007F08B3">
            <w:pPr>
              <w:rPr>
                <w:lang w:val="en-US"/>
              </w:rPr>
            </w:pPr>
            <w:r w:rsidRPr="00DC3DDD">
              <w:rPr>
                <w:lang w:val="en-US"/>
              </w:rPr>
              <w:t>Y</w:t>
            </w:r>
          </w:p>
        </w:tc>
      </w:tr>
      <w:tr w:rsidR="007F08B3" w:rsidRPr="00015C1F" w14:paraId="4A59C934" w14:textId="77777777" w:rsidTr="00CD46A6">
        <w:trPr>
          <w:trHeight w:val="60"/>
        </w:trPr>
        <w:tc>
          <w:tcPr>
            <w:tcW w:w="1850" w:type="dxa"/>
            <w:vMerge/>
          </w:tcPr>
          <w:p w14:paraId="1312786E" w14:textId="77777777" w:rsidR="007F08B3" w:rsidRPr="00015C1F" w:rsidRDefault="007F08B3" w:rsidP="007F08B3">
            <w:pPr>
              <w:rPr>
                <w:lang w:val="en-GB"/>
              </w:rPr>
            </w:pPr>
          </w:p>
        </w:tc>
        <w:tc>
          <w:tcPr>
            <w:tcW w:w="3815" w:type="dxa"/>
          </w:tcPr>
          <w:p w14:paraId="46A2E110" w14:textId="6A4A0C2A" w:rsidR="007F08B3" w:rsidRPr="00015C1F" w:rsidRDefault="007F08B3" w:rsidP="007F08B3">
            <w:pPr>
              <w:rPr>
                <w:lang w:val="en-US"/>
              </w:rPr>
            </w:pPr>
            <w:r w:rsidRPr="00015C1F">
              <w:rPr>
                <w:lang w:val="en-US"/>
              </w:rPr>
              <w:t>b.</w:t>
            </w:r>
            <w:r>
              <w:rPr>
                <w:lang w:val="en-US"/>
              </w:rPr>
              <w:t xml:space="preserve"> </w:t>
            </w:r>
            <w:r w:rsidRPr="00015C1F">
              <w:rPr>
                <w:lang w:val="en-US"/>
              </w:rPr>
              <w:t xml:space="preserve">What evidence is there of efficient and effective </w:t>
            </w:r>
            <w:proofErr w:type="spellStart"/>
            <w:r w:rsidRPr="00015C1F">
              <w:rPr>
                <w:lang w:val="en-US"/>
              </w:rPr>
              <w:t>prioritisation</w:t>
            </w:r>
            <w:proofErr w:type="spellEnd"/>
            <w:r w:rsidRPr="00015C1F">
              <w:rPr>
                <w:lang w:val="en-US"/>
              </w:rPr>
              <w:t xml:space="preserve"> of actions and work in line with the Strategy?</w:t>
            </w:r>
          </w:p>
        </w:tc>
        <w:tc>
          <w:tcPr>
            <w:tcW w:w="1134" w:type="dxa"/>
          </w:tcPr>
          <w:p w14:paraId="71A0F921" w14:textId="77777777" w:rsidR="007F08B3" w:rsidRPr="00015C1F" w:rsidRDefault="007F08B3" w:rsidP="007F08B3">
            <w:pPr>
              <w:rPr>
                <w:lang w:val="en-GB"/>
              </w:rPr>
            </w:pPr>
          </w:p>
        </w:tc>
        <w:tc>
          <w:tcPr>
            <w:tcW w:w="1134" w:type="dxa"/>
          </w:tcPr>
          <w:p w14:paraId="47824A6B" w14:textId="1BC399C4" w:rsidR="007F08B3" w:rsidRPr="00015C1F" w:rsidRDefault="007F08B3" w:rsidP="007F08B3">
            <w:pPr>
              <w:rPr>
                <w:lang w:val="en-US"/>
              </w:rPr>
            </w:pPr>
            <w:r w:rsidRPr="001F790F">
              <w:rPr>
                <w:lang w:val="en-US"/>
              </w:rPr>
              <w:t>Y</w:t>
            </w:r>
          </w:p>
        </w:tc>
        <w:tc>
          <w:tcPr>
            <w:tcW w:w="1134" w:type="dxa"/>
          </w:tcPr>
          <w:p w14:paraId="6C6DC635" w14:textId="02BCB33D" w:rsidR="007F08B3" w:rsidRPr="00015C1F" w:rsidRDefault="007F08B3" w:rsidP="007F08B3">
            <w:pPr>
              <w:rPr>
                <w:lang w:val="en-US"/>
              </w:rPr>
            </w:pPr>
            <w:r w:rsidRPr="001F790F">
              <w:rPr>
                <w:lang w:val="en-US"/>
              </w:rPr>
              <w:t>Y</w:t>
            </w:r>
          </w:p>
        </w:tc>
      </w:tr>
      <w:tr w:rsidR="007F08B3" w:rsidRPr="00015C1F" w14:paraId="14442318" w14:textId="77777777" w:rsidTr="00CD46A6">
        <w:trPr>
          <w:trHeight w:val="60"/>
        </w:trPr>
        <w:tc>
          <w:tcPr>
            <w:tcW w:w="1850" w:type="dxa"/>
            <w:vMerge/>
          </w:tcPr>
          <w:p w14:paraId="7188A3BC" w14:textId="77777777" w:rsidR="007F08B3" w:rsidRPr="00015C1F" w:rsidRDefault="007F08B3" w:rsidP="007F08B3">
            <w:pPr>
              <w:rPr>
                <w:lang w:val="en-GB"/>
              </w:rPr>
            </w:pPr>
          </w:p>
        </w:tc>
        <w:tc>
          <w:tcPr>
            <w:tcW w:w="3815" w:type="dxa"/>
          </w:tcPr>
          <w:p w14:paraId="21FE46F4" w14:textId="3D8A6DAE" w:rsidR="007F08B3" w:rsidRPr="00015C1F" w:rsidRDefault="007F08B3" w:rsidP="007F08B3">
            <w:pPr>
              <w:rPr>
                <w:lang w:val="en-US"/>
              </w:rPr>
            </w:pPr>
            <w:r w:rsidRPr="00015C1F">
              <w:rPr>
                <w:lang w:val="en-US"/>
              </w:rPr>
              <w:t xml:space="preserve">c. To what extent has the Strategy supported efficient decision-making as a sector, both collaboratively and as individual </w:t>
            </w:r>
            <w:proofErr w:type="spellStart"/>
            <w:r w:rsidRPr="00015C1F">
              <w:rPr>
                <w:lang w:val="en-US"/>
              </w:rPr>
              <w:t>organisations</w:t>
            </w:r>
            <w:proofErr w:type="spellEnd"/>
            <w:r w:rsidRPr="00015C1F">
              <w:rPr>
                <w:lang w:val="en-US"/>
              </w:rPr>
              <w:t>?</w:t>
            </w:r>
          </w:p>
        </w:tc>
        <w:tc>
          <w:tcPr>
            <w:tcW w:w="1134" w:type="dxa"/>
          </w:tcPr>
          <w:p w14:paraId="32F4C899" w14:textId="77777777" w:rsidR="007F08B3" w:rsidRPr="00015C1F" w:rsidRDefault="007F08B3" w:rsidP="007F08B3">
            <w:pPr>
              <w:rPr>
                <w:lang w:val="en-GB"/>
              </w:rPr>
            </w:pPr>
          </w:p>
        </w:tc>
        <w:tc>
          <w:tcPr>
            <w:tcW w:w="1134" w:type="dxa"/>
          </w:tcPr>
          <w:p w14:paraId="73C053C5" w14:textId="133EF46A" w:rsidR="007F08B3" w:rsidRPr="00015C1F" w:rsidRDefault="007F08B3" w:rsidP="007F08B3">
            <w:pPr>
              <w:rPr>
                <w:lang w:val="en-US"/>
              </w:rPr>
            </w:pPr>
            <w:r w:rsidRPr="001F790F">
              <w:rPr>
                <w:lang w:val="en-US"/>
              </w:rPr>
              <w:t>Y</w:t>
            </w:r>
          </w:p>
        </w:tc>
        <w:tc>
          <w:tcPr>
            <w:tcW w:w="1134" w:type="dxa"/>
          </w:tcPr>
          <w:p w14:paraId="345AA3A1" w14:textId="356A4C94" w:rsidR="007F08B3" w:rsidRPr="00015C1F" w:rsidRDefault="007F08B3" w:rsidP="007F08B3">
            <w:pPr>
              <w:rPr>
                <w:lang w:val="en-US"/>
              </w:rPr>
            </w:pPr>
            <w:r w:rsidRPr="001F790F">
              <w:rPr>
                <w:lang w:val="en-US"/>
              </w:rPr>
              <w:t>Y</w:t>
            </w:r>
          </w:p>
        </w:tc>
      </w:tr>
      <w:tr w:rsidR="007F08B3" w:rsidRPr="00015C1F" w14:paraId="45CD7C1A" w14:textId="77777777" w:rsidTr="00CD46A6">
        <w:trPr>
          <w:trHeight w:val="60"/>
        </w:trPr>
        <w:tc>
          <w:tcPr>
            <w:tcW w:w="1850" w:type="dxa"/>
            <w:vMerge/>
          </w:tcPr>
          <w:p w14:paraId="15030DC3" w14:textId="77777777" w:rsidR="007F08B3" w:rsidRPr="00015C1F" w:rsidRDefault="007F08B3" w:rsidP="007F08B3">
            <w:pPr>
              <w:rPr>
                <w:lang w:val="en-GB"/>
              </w:rPr>
            </w:pPr>
          </w:p>
        </w:tc>
        <w:tc>
          <w:tcPr>
            <w:tcW w:w="3815" w:type="dxa"/>
          </w:tcPr>
          <w:p w14:paraId="3133B49A" w14:textId="16EA8203" w:rsidR="007F08B3" w:rsidRPr="00015C1F" w:rsidRDefault="007F08B3" w:rsidP="007F08B3">
            <w:pPr>
              <w:rPr>
                <w:lang w:val="en-US"/>
              </w:rPr>
            </w:pPr>
            <w:r w:rsidRPr="00015C1F">
              <w:rPr>
                <w:lang w:val="en-US"/>
              </w:rPr>
              <w:t>d. What evidence is there of efficiency gains through cross-sector collaboration and integration?</w:t>
            </w:r>
          </w:p>
        </w:tc>
        <w:tc>
          <w:tcPr>
            <w:tcW w:w="1134" w:type="dxa"/>
          </w:tcPr>
          <w:p w14:paraId="27A44BB8" w14:textId="77777777" w:rsidR="007F08B3" w:rsidRPr="00015C1F" w:rsidRDefault="007F08B3" w:rsidP="007F08B3">
            <w:pPr>
              <w:rPr>
                <w:lang w:val="en-GB"/>
              </w:rPr>
            </w:pPr>
          </w:p>
        </w:tc>
        <w:tc>
          <w:tcPr>
            <w:tcW w:w="1134" w:type="dxa"/>
          </w:tcPr>
          <w:p w14:paraId="64F9882A" w14:textId="53D17AE7" w:rsidR="007F08B3" w:rsidRPr="00015C1F" w:rsidRDefault="007F08B3" w:rsidP="007F08B3">
            <w:pPr>
              <w:rPr>
                <w:lang w:val="en-US"/>
              </w:rPr>
            </w:pPr>
            <w:r w:rsidRPr="001F790F">
              <w:rPr>
                <w:lang w:val="en-US"/>
              </w:rPr>
              <w:t>Y</w:t>
            </w:r>
          </w:p>
        </w:tc>
        <w:tc>
          <w:tcPr>
            <w:tcW w:w="1134" w:type="dxa"/>
          </w:tcPr>
          <w:p w14:paraId="53E9A78C" w14:textId="44FB4B33" w:rsidR="007F08B3" w:rsidRPr="00015C1F" w:rsidRDefault="007F08B3" w:rsidP="007F08B3">
            <w:pPr>
              <w:rPr>
                <w:lang w:val="en-US"/>
              </w:rPr>
            </w:pPr>
            <w:r w:rsidRPr="001F790F">
              <w:rPr>
                <w:lang w:val="en-US"/>
              </w:rPr>
              <w:t>Y</w:t>
            </w:r>
          </w:p>
        </w:tc>
      </w:tr>
      <w:tr w:rsidR="007F08B3" w:rsidRPr="00015C1F" w14:paraId="00295FFA" w14:textId="77777777" w:rsidTr="00CD46A6">
        <w:trPr>
          <w:trHeight w:val="60"/>
        </w:trPr>
        <w:tc>
          <w:tcPr>
            <w:tcW w:w="9067" w:type="dxa"/>
            <w:gridSpan w:val="5"/>
          </w:tcPr>
          <w:p w14:paraId="25351312" w14:textId="5A15D49F" w:rsidR="007F08B3" w:rsidRPr="00015C1F" w:rsidRDefault="007F08B3" w:rsidP="00015C1F">
            <w:pPr>
              <w:rPr>
                <w:lang w:val="en-GB"/>
              </w:rPr>
            </w:pPr>
            <w:r w:rsidRPr="00015C1F">
              <w:rPr>
                <w:b/>
                <w:bCs/>
                <w:lang w:val="en-US"/>
              </w:rPr>
              <w:t xml:space="preserve">Appropriateness </w:t>
            </w:r>
          </w:p>
        </w:tc>
      </w:tr>
      <w:tr w:rsidR="007F08B3" w:rsidRPr="00015C1F" w14:paraId="7C874588" w14:textId="77777777" w:rsidTr="00CD46A6">
        <w:trPr>
          <w:trHeight w:val="60"/>
        </w:trPr>
        <w:tc>
          <w:tcPr>
            <w:tcW w:w="1850" w:type="dxa"/>
            <w:vMerge w:val="restart"/>
          </w:tcPr>
          <w:p w14:paraId="4E53A368" w14:textId="26A15945" w:rsidR="007F08B3" w:rsidRPr="00015C1F" w:rsidRDefault="007F08B3" w:rsidP="007F08B3">
            <w:pPr>
              <w:rPr>
                <w:lang w:val="en-US"/>
              </w:rPr>
            </w:pPr>
            <w:r w:rsidRPr="00015C1F">
              <w:rPr>
                <w:b/>
                <w:bCs/>
                <w:lang w:val="en-US"/>
              </w:rPr>
              <w:t xml:space="preserve">4. To what extent does the </w:t>
            </w:r>
            <w:r w:rsidRPr="00015C1F">
              <w:rPr>
                <w:b/>
                <w:bCs/>
                <w:lang w:val="en-US"/>
              </w:rPr>
              <w:lastRenderedPageBreak/>
              <w:t>Strategy provide appropriate and useful direction for the sector?</w:t>
            </w:r>
          </w:p>
        </w:tc>
        <w:tc>
          <w:tcPr>
            <w:tcW w:w="3815" w:type="dxa"/>
          </w:tcPr>
          <w:p w14:paraId="79B09F5A" w14:textId="7ED0AD9D" w:rsidR="007F08B3" w:rsidRPr="00015C1F" w:rsidRDefault="007F08B3" w:rsidP="007F08B3">
            <w:pPr>
              <w:rPr>
                <w:lang w:val="en-US"/>
              </w:rPr>
            </w:pPr>
            <w:r w:rsidRPr="00015C1F">
              <w:rPr>
                <w:lang w:val="en-US"/>
              </w:rPr>
              <w:lastRenderedPageBreak/>
              <w:t xml:space="preserve">a. To what extent is the Strategy an appropriate response in line with </w:t>
            </w:r>
            <w:r w:rsidRPr="00015C1F">
              <w:rPr>
                <w:lang w:val="en-US"/>
              </w:rPr>
              <w:lastRenderedPageBreak/>
              <w:t>government priorities, obligations, recent bushfire events and emerging sector requirements?</w:t>
            </w:r>
          </w:p>
        </w:tc>
        <w:tc>
          <w:tcPr>
            <w:tcW w:w="1134" w:type="dxa"/>
          </w:tcPr>
          <w:p w14:paraId="07DE2E5E" w14:textId="77777777" w:rsidR="007F08B3" w:rsidRPr="00015C1F" w:rsidRDefault="007F08B3" w:rsidP="007F08B3">
            <w:pPr>
              <w:rPr>
                <w:lang w:val="en-GB"/>
              </w:rPr>
            </w:pPr>
          </w:p>
        </w:tc>
        <w:tc>
          <w:tcPr>
            <w:tcW w:w="1134" w:type="dxa"/>
          </w:tcPr>
          <w:p w14:paraId="71A58A90" w14:textId="61716E43" w:rsidR="007F08B3" w:rsidRPr="00015C1F" w:rsidRDefault="007F08B3" w:rsidP="007F08B3">
            <w:pPr>
              <w:rPr>
                <w:lang w:val="en-US"/>
              </w:rPr>
            </w:pPr>
            <w:r w:rsidRPr="00A25730">
              <w:rPr>
                <w:lang w:val="en-US"/>
              </w:rPr>
              <w:t>Y</w:t>
            </w:r>
          </w:p>
        </w:tc>
        <w:tc>
          <w:tcPr>
            <w:tcW w:w="1134" w:type="dxa"/>
          </w:tcPr>
          <w:p w14:paraId="76C19BEA" w14:textId="2E2DDE18" w:rsidR="007F08B3" w:rsidRPr="00015C1F" w:rsidRDefault="007F08B3" w:rsidP="007F08B3">
            <w:pPr>
              <w:rPr>
                <w:lang w:val="en-US"/>
              </w:rPr>
            </w:pPr>
            <w:r w:rsidRPr="00A25730">
              <w:rPr>
                <w:lang w:val="en-US"/>
              </w:rPr>
              <w:t>Y</w:t>
            </w:r>
          </w:p>
        </w:tc>
      </w:tr>
      <w:tr w:rsidR="007F08B3" w:rsidRPr="00015C1F" w14:paraId="00BD8104" w14:textId="77777777" w:rsidTr="00CD46A6">
        <w:trPr>
          <w:trHeight w:val="60"/>
        </w:trPr>
        <w:tc>
          <w:tcPr>
            <w:tcW w:w="1850" w:type="dxa"/>
            <w:vMerge/>
          </w:tcPr>
          <w:p w14:paraId="6C837767" w14:textId="77777777" w:rsidR="007F08B3" w:rsidRPr="00015C1F" w:rsidRDefault="007F08B3" w:rsidP="007F08B3">
            <w:pPr>
              <w:rPr>
                <w:lang w:val="en-GB"/>
              </w:rPr>
            </w:pPr>
          </w:p>
        </w:tc>
        <w:tc>
          <w:tcPr>
            <w:tcW w:w="3815" w:type="dxa"/>
          </w:tcPr>
          <w:p w14:paraId="0A889425" w14:textId="61C28762" w:rsidR="007F08B3" w:rsidRPr="00015C1F" w:rsidRDefault="007F08B3" w:rsidP="007F08B3">
            <w:pPr>
              <w:rPr>
                <w:lang w:val="en-US"/>
              </w:rPr>
            </w:pPr>
            <w:r w:rsidRPr="00015C1F">
              <w:rPr>
                <w:lang w:val="en-US"/>
              </w:rPr>
              <w:t>b. To what extent has the Strategy met government, stakeholder and community needs and expectations?</w:t>
            </w:r>
          </w:p>
        </w:tc>
        <w:tc>
          <w:tcPr>
            <w:tcW w:w="1134" w:type="dxa"/>
          </w:tcPr>
          <w:p w14:paraId="34A80E4F" w14:textId="77777777" w:rsidR="007F08B3" w:rsidRPr="00015C1F" w:rsidRDefault="007F08B3" w:rsidP="007F08B3">
            <w:pPr>
              <w:rPr>
                <w:lang w:val="en-GB"/>
              </w:rPr>
            </w:pPr>
          </w:p>
        </w:tc>
        <w:tc>
          <w:tcPr>
            <w:tcW w:w="1134" w:type="dxa"/>
          </w:tcPr>
          <w:p w14:paraId="2E39AF63" w14:textId="77777777" w:rsidR="007F08B3" w:rsidRPr="00015C1F" w:rsidRDefault="007F08B3" w:rsidP="007F08B3">
            <w:pPr>
              <w:rPr>
                <w:lang w:val="en-GB"/>
              </w:rPr>
            </w:pPr>
          </w:p>
        </w:tc>
        <w:tc>
          <w:tcPr>
            <w:tcW w:w="1134" w:type="dxa"/>
          </w:tcPr>
          <w:p w14:paraId="760A35C3" w14:textId="64D4FF66" w:rsidR="007F08B3" w:rsidRPr="00015C1F" w:rsidRDefault="007F08B3" w:rsidP="007F08B3">
            <w:pPr>
              <w:rPr>
                <w:lang w:val="en-US"/>
              </w:rPr>
            </w:pPr>
            <w:r w:rsidRPr="0075551B">
              <w:rPr>
                <w:lang w:val="en-US"/>
              </w:rPr>
              <w:t>Y</w:t>
            </w:r>
          </w:p>
        </w:tc>
      </w:tr>
      <w:tr w:rsidR="007F08B3" w:rsidRPr="00015C1F" w14:paraId="0F8ECC61" w14:textId="77777777" w:rsidTr="00CD46A6">
        <w:trPr>
          <w:trHeight w:val="60"/>
        </w:trPr>
        <w:tc>
          <w:tcPr>
            <w:tcW w:w="1850" w:type="dxa"/>
            <w:vMerge/>
          </w:tcPr>
          <w:p w14:paraId="010B1DA5" w14:textId="77777777" w:rsidR="007F08B3" w:rsidRPr="00015C1F" w:rsidRDefault="007F08B3" w:rsidP="007F08B3">
            <w:pPr>
              <w:rPr>
                <w:lang w:val="en-GB"/>
              </w:rPr>
            </w:pPr>
          </w:p>
        </w:tc>
        <w:tc>
          <w:tcPr>
            <w:tcW w:w="3815" w:type="dxa"/>
          </w:tcPr>
          <w:p w14:paraId="227CF658" w14:textId="746F0292" w:rsidR="007F08B3" w:rsidRPr="00015C1F" w:rsidRDefault="007F08B3" w:rsidP="007F08B3">
            <w:pPr>
              <w:rPr>
                <w:lang w:val="en-US"/>
              </w:rPr>
            </w:pPr>
            <w:r w:rsidRPr="00015C1F">
              <w:rPr>
                <w:lang w:val="en-US"/>
              </w:rPr>
              <w:t>c. How has the sector appropriately engaged with and included community and Traditional Owners in the work it does, including activities delivered under the Strategy?</w:t>
            </w:r>
          </w:p>
        </w:tc>
        <w:tc>
          <w:tcPr>
            <w:tcW w:w="1134" w:type="dxa"/>
          </w:tcPr>
          <w:p w14:paraId="2F03642C" w14:textId="77777777" w:rsidR="007F08B3" w:rsidRPr="00015C1F" w:rsidRDefault="007F08B3" w:rsidP="007F08B3">
            <w:pPr>
              <w:rPr>
                <w:lang w:val="en-GB"/>
              </w:rPr>
            </w:pPr>
          </w:p>
        </w:tc>
        <w:tc>
          <w:tcPr>
            <w:tcW w:w="1134" w:type="dxa"/>
          </w:tcPr>
          <w:p w14:paraId="3026C124" w14:textId="5A880ACE" w:rsidR="007F08B3" w:rsidRPr="00015C1F" w:rsidRDefault="007F08B3" w:rsidP="007F08B3">
            <w:pPr>
              <w:rPr>
                <w:lang w:val="en-US"/>
              </w:rPr>
            </w:pPr>
            <w:r>
              <w:rPr>
                <w:lang w:val="en-US"/>
              </w:rPr>
              <w:t>Y</w:t>
            </w:r>
          </w:p>
        </w:tc>
        <w:tc>
          <w:tcPr>
            <w:tcW w:w="1134" w:type="dxa"/>
          </w:tcPr>
          <w:p w14:paraId="59CC5968" w14:textId="4E7CADA8" w:rsidR="007F08B3" w:rsidRPr="00015C1F" w:rsidRDefault="007F08B3" w:rsidP="007F08B3">
            <w:pPr>
              <w:rPr>
                <w:lang w:val="en-US"/>
              </w:rPr>
            </w:pPr>
            <w:r w:rsidRPr="0075551B">
              <w:rPr>
                <w:lang w:val="en-US"/>
              </w:rPr>
              <w:t>Y</w:t>
            </w:r>
          </w:p>
        </w:tc>
      </w:tr>
      <w:tr w:rsidR="007F08B3" w:rsidRPr="00015C1F" w14:paraId="56EDA2BF" w14:textId="77777777" w:rsidTr="00CD46A6">
        <w:trPr>
          <w:trHeight w:val="60"/>
        </w:trPr>
        <w:tc>
          <w:tcPr>
            <w:tcW w:w="9067" w:type="dxa"/>
            <w:gridSpan w:val="5"/>
          </w:tcPr>
          <w:p w14:paraId="000EE82C" w14:textId="1EA9DE01" w:rsidR="007F08B3" w:rsidRPr="00015C1F" w:rsidRDefault="007F08B3" w:rsidP="00015C1F">
            <w:pPr>
              <w:rPr>
                <w:lang w:val="en-GB"/>
              </w:rPr>
            </w:pPr>
            <w:r w:rsidRPr="00015C1F">
              <w:rPr>
                <w:b/>
                <w:bCs/>
                <w:lang w:val="en-US"/>
              </w:rPr>
              <w:t>Lessons and opportunities</w:t>
            </w:r>
          </w:p>
        </w:tc>
      </w:tr>
      <w:tr w:rsidR="007F08B3" w:rsidRPr="00015C1F" w14:paraId="2352DBA4" w14:textId="77777777" w:rsidTr="00CD46A6">
        <w:trPr>
          <w:trHeight w:val="60"/>
        </w:trPr>
        <w:tc>
          <w:tcPr>
            <w:tcW w:w="1850" w:type="dxa"/>
            <w:vMerge w:val="restart"/>
          </w:tcPr>
          <w:p w14:paraId="75894D28" w14:textId="77777777" w:rsidR="007F08B3" w:rsidRPr="00015C1F" w:rsidRDefault="007F08B3" w:rsidP="007F08B3">
            <w:pPr>
              <w:rPr>
                <w:lang w:val="en-US"/>
              </w:rPr>
            </w:pPr>
            <w:r w:rsidRPr="00015C1F">
              <w:rPr>
                <w:b/>
                <w:bCs/>
                <w:lang w:val="en-US"/>
              </w:rPr>
              <w:t xml:space="preserve">What are the lessons and opportunities to improve the Strategy and how it is used by the sector? </w:t>
            </w:r>
          </w:p>
        </w:tc>
        <w:tc>
          <w:tcPr>
            <w:tcW w:w="3815" w:type="dxa"/>
          </w:tcPr>
          <w:p w14:paraId="2F61E1DB" w14:textId="1BC8764C" w:rsidR="007F08B3" w:rsidRPr="00015C1F" w:rsidRDefault="007F08B3" w:rsidP="007F08B3">
            <w:pPr>
              <w:rPr>
                <w:lang w:val="en-US"/>
              </w:rPr>
            </w:pPr>
            <w:r w:rsidRPr="00015C1F">
              <w:rPr>
                <w:lang w:val="en-US"/>
              </w:rPr>
              <w:t>a. To what extent is the data and information being collected through the VBMERF useful to the sector?</w:t>
            </w:r>
          </w:p>
        </w:tc>
        <w:tc>
          <w:tcPr>
            <w:tcW w:w="1134" w:type="dxa"/>
          </w:tcPr>
          <w:p w14:paraId="59225ECE" w14:textId="77777777" w:rsidR="007F08B3" w:rsidRPr="00015C1F" w:rsidRDefault="007F08B3" w:rsidP="007F08B3">
            <w:pPr>
              <w:rPr>
                <w:lang w:val="en-GB"/>
              </w:rPr>
            </w:pPr>
          </w:p>
        </w:tc>
        <w:tc>
          <w:tcPr>
            <w:tcW w:w="1134" w:type="dxa"/>
          </w:tcPr>
          <w:p w14:paraId="169BF348" w14:textId="449C82DC" w:rsidR="007F08B3" w:rsidRPr="00015C1F" w:rsidRDefault="007F08B3" w:rsidP="007F08B3">
            <w:pPr>
              <w:rPr>
                <w:lang w:val="en-US"/>
              </w:rPr>
            </w:pPr>
            <w:r w:rsidRPr="00900EA1">
              <w:rPr>
                <w:lang w:val="en-US"/>
              </w:rPr>
              <w:t>Y</w:t>
            </w:r>
          </w:p>
        </w:tc>
        <w:tc>
          <w:tcPr>
            <w:tcW w:w="1134" w:type="dxa"/>
          </w:tcPr>
          <w:p w14:paraId="77D0E0F4" w14:textId="226CBDEB" w:rsidR="007F08B3" w:rsidRPr="00015C1F" w:rsidRDefault="007F08B3" w:rsidP="007F08B3">
            <w:pPr>
              <w:rPr>
                <w:lang w:val="en-US"/>
              </w:rPr>
            </w:pPr>
            <w:r w:rsidRPr="00900EA1">
              <w:rPr>
                <w:lang w:val="en-US"/>
              </w:rPr>
              <w:t>Y</w:t>
            </w:r>
          </w:p>
        </w:tc>
      </w:tr>
      <w:tr w:rsidR="007F08B3" w:rsidRPr="00015C1F" w14:paraId="32E3A1A1" w14:textId="77777777" w:rsidTr="00CD46A6">
        <w:trPr>
          <w:trHeight w:val="60"/>
        </w:trPr>
        <w:tc>
          <w:tcPr>
            <w:tcW w:w="1850" w:type="dxa"/>
            <w:vMerge/>
          </w:tcPr>
          <w:p w14:paraId="3CC0E4BE" w14:textId="77777777" w:rsidR="007F08B3" w:rsidRPr="00015C1F" w:rsidRDefault="007F08B3" w:rsidP="007F08B3">
            <w:pPr>
              <w:rPr>
                <w:lang w:val="en-GB"/>
              </w:rPr>
            </w:pPr>
          </w:p>
        </w:tc>
        <w:tc>
          <w:tcPr>
            <w:tcW w:w="3815" w:type="dxa"/>
          </w:tcPr>
          <w:p w14:paraId="4F140F69" w14:textId="379C154C" w:rsidR="007F08B3" w:rsidRPr="00015C1F" w:rsidRDefault="007F08B3" w:rsidP="007F08B3">
            <w:pPr>
              <w:rPr>
                <w:lang w:val="en-US"/>
              </w:rPr>
            </w:pPr>
            <w:r w:rsidRPr="00015C1F">
              <w:rPr>
                <w:lang w:val="en-US"/>
              </w:rPr>
              <w:t>b. What lesson have been learnt in relation to the effectiveness, outcomes, efficiency and appropriateness of the Strategy?</w:t>
            </w:r>
          </w:p>
        </w:tc>
        <w:tc>
          <w:tcPr>
            <w:tcW w:w="1134" w:type="dxa"/>
          </w:tcPr>
          <w:p w14:paraId="4FA0066F" w14:textId="77777777" w:rsidR="007F08B3" w:rsidRPr="00015C1F" w:rsidRDefault="007F08B3" w:rsidP="007F08B3">
            <w:pPr>
              <w:rPr>
                <w:lang w:val="en-GB"/>
              </w:rPr>
            </w:pPr>
          </w:p>
        </w:tc>
        <w:tc>
          <w:tcPr>
            <w:tcW w:w="1134" w:type="dxa"/>
          </w:tcPr>
          <w:p w14:paraId="4923C19E" w14:textId="319F9EC7" w:rsidR="007F08B3" w:rsidRPr="00015C1F" w:rsidRDefault="007F08B3" w:rsidP="007F08B3">
            <w:pPr>
              <w:rPr>
                <w:lang w:val="en-US"/>
              </w:rPr>
            </w:pPr>
            <w:r w:rsidRPr="00900EA1">
              <w:rPr>
                <w:lang w:val="en-US"/>
              </w:rPr>
              <w:t>Y</w:t>
            </w:r>
          </w:p>
        </w:tc>
        <w:tc>
          <w:tcPr>
            <w:tcW w:w="1134" w:type="dxa"/>
          </w:tcPr>
          <w:p w14:paraId="7BC79673" w14:textId="6DAD35CC" w:rsidR="007F08B3" w:rsidRPr="00015C1F" w:rsidRDefault="007F08B3" w:rsidP="007F08B3">
            <w:pPr>
              <w:rPr>
                <w:lang w:val="en-US"/>
              </w:rPr>
            </w:pPr>
            <w:r w:rsidRPr="00900EA1">
              <w:rPr>
                <w:lang w:val="en-US"/>
              </w:rPr>
              <w:t>Y</w:t>
            </w:r>
          </w:p>
        </w:tc>
      </w:tr>
      <w:tr w:rsidR="007F08B3" w:rsidRPr="00015C1F" w14:paraId="1E07B560" w14:textId="77777777" w:rsidTr="00CD46A6">
        <w:trPr>
          <w:trHeight w:val="60"/>
        </w:trPr>
        <w:tc>
          <w:tcPr>
            <w:tcW w:w="1850" w:type="dxa"/>
            <w:vMerge/>
          </w:tcPr>
          <w:p w14:paraId="61BC6E09" w14:textId="77777777" w:rsidR="007F08B3" w:rsidRPr="00015C1F" w:rsidRDefault="007F08B3" w:rsidP="007F08B3">
            <w:pPr>
              <w:rPr>
                <w:lang w:val="en-GB"/>
              </w:rPr>
            </w:pPr>
          </w:p>
        </w:tc>
        <w:tc>
          <w:tcPr>
            <w:tcW w:w="3815" w:type="dxa"/>
          </w:tcPr>
          <w:p w14:paraId="14D6333A" w14:textId="7C53D840" w:rsidR="007F08B3" w:rsidRPr="00015C1F" w:rsidRDefault="007F08B3" w:rsidP="007F08B3">
            <w:pPr>
              <w:rPr>
                <w:lang w:val="en-US"/>
              </w:rPr>
            </w:pPr>
            <w:r w:rsidRPr="00015C1F">
              <w:rPr>
                <w:lang w:val="en-US"/>
              </w:rPr>
              <w:t xml:space="preserve">c. What evidence is there that we are learning and improving because of research and evaluation, specifically in relation to the Strategy and its implementation? </w:t>
            </w:r>
          </w:p>
        </w:tc>
        <w:tc>
          <w:tcPr>
            <w:tcW w:w="1134" w:type="dxa"/>
          </w:tcPr>
          <w:p w14:paraId="7877F762" w14:textId="77777777" w:rsidR="007F08B3" w:rsidRPr="00015C1F" w:rsidRDefault="007F08B3" w:rsidP="007F08B3">
            <w:pPr>
              <w:rPr>
                <w:lang w:val="en-GB"/>
              </w:rPr>
            </w:pPr>
          </w:p>
        </w:tc>
        <w:tc>
          <w:tcPr>
            <w:tcW w:w="1134" w:type="dxa"/>
          </w:tcPr>
          <w:p w14:paraId="2D5A5719" w14:textId="7F7DCF3C" w:rsidR="007F08B3" w:rsidRPr="00015C1F" w:rsidRDefault="007F08B3" w:rsidP="007F08B3">
            <w:pPr>
              <w:rPr>
                <w:lang w:val="en-US"/>
              </w:rPr>
            </w:pPr>
            <w:r w:rsidRPr="00900EA1">
              <w:rPr>
                <w:lang w:val="en-US"/>
              </w:rPr>
              <w:t>Y</w:t>
            </w:r>
          </w:p>
        </w:tc>
        <w:tc>
          <w:tcPr>
            <w:tcW w:w="1134" w:type="dxa"/>
          </w:tcPr>
          <w:p w14:paraId="7DCC3484" w14:textId="79C6D516" w:rsidR="007F08B3" w:rsidRPr="00015C1F" w:rsidRDefault="007F08B3" w:rsidP="007F08B3">
            <w:pPr>
              <w:rPr>
                <w:lang w:val="en-US"/>
              </w:rPr>
            </w:pPr>
            <w:r w:rsidRPr="00900EA1">
              <w:rPr>
                <w:lang w:val="en-US"/>
              </w:rPr>
              <w:t>Y</w:t>
            </w:r>
          </w:p>
        </w:tc>
      </w:tr>
      <w:tr w:rsidR="007F08B3" w:rsidRPr="00015C1F" w14:paraId="5B0030F6" w14:textId="77777777" w:rsidTr="00CD46A6">
        <w:trPr>
          <w:trHeight w:val="60"/>
        </w:trPr>
        <w:tc>
          <w:tcPr>
            <w:tcW w:w="1850" w:type="dxa"/>
            <w:vMerge/>
          </w:tcPr>
          <w:p w14:paraId="28C5DC73" w14:textId="77777777" w:rsidR="007F08B3" w:rsidRPr="00015C1F" w:rsidRDefault="007F08B3" w:rsidP="007F08B3">
            <w:pPr>
              <w:rPr>
                <w:lang w:val="en-GB"/>
              </w:rPr>
            </w:pPr>
          </w:p>
        </w:tc>
        <w:tc>
          <w:tcPr>
            <w:tcW w:w="3815" w:type="dxa"/>
          </w:tcPr>
          <w:p w14:paraId="49A6E093" w14:textId="40B078F9" w:rsidR="007F08B3" w:rsidRPr="00015C1F" w:rsidRDefault="007F08B3" w:rsidP="007F08B3">
            <w:pPr>
              <w:rPr>
                <w:lang w:val="en-US"/>
              </w:rPr>
            </w:pPr>
            <w:r w:rsidRPr="00015C1F">
              <w:rPr>
                <w:lang w:val="en-US"/>
              </w:rPr>
              <w:t xml:space="preserve">d. How could implementation of the Strategy be improved to ensure it is effective, efficient, appropriate and </w:t>
            </w:r>
            <w:r w:rsidRPr="00015C1F">
              <w:rPr>
                <w:lang w:val="en-US"/>
              </w:rPr>
              <w:lastRenderedPageBreak/>
              <w:t>the sector continues to make progress towards intended outcomes?</w:t>
            </w:r>
          </w:p>
        </w:tc>
        <w:tc>
          <w:tcPr>
            <w:tcW w:w="1134" w:type="dxa"/>
          </w:tcPr>
          <w:p w14:paraId="2202351B" w14:textId="77777777" w:rsidR="007F08B3" w:rsidRPr="00015C1F" w:rsidRDefault="007F08B3" w:rsidP="007F08B3">
            <w:pPr>
              <w:rPr>
                <w:lang w:val="en-GB"/>
              </w:rPr>
            </w:pPr>
          </w:p>
        </w:tc>
        <w:tc>
          <w:tcPr>
            <w:tcW w:w="1134" w:type="dxa"/>
          </w:tcPr>
          <w:p w14:paraId="49BC0E25" w14:textId="2BB32A8F" w:rsidR="007F08B3" w:rsidRPr="00015C1F" w:rsidRDefault="007F08B3" w:rsidP="007F08B3">
            <w:pPr>
              <w:rPr>
                <w:lang w:val="en-US"/>
              </w:rPr>
            </w:pPr>
            <w:r w:rsidRPr="000B5E15">
              <w:rPr>
                <w:lang w:val="en-US"/>
              </w:rPr>
              <w:t>Y</w:t>
            </w:r>
          </w:p>
        </w:tc>
        <w:tc>
          <w:tcPr>
            <w:tcW w:w="1134" w:type="dxa"/>
          </w:tcPr>
          <w:p w14:paraId="4E778A44" w14:textId="78E81B47" w:rsidR="007F08B3" w:rsidRPr="00015C1F" w:rsidRDefault="007F08B3" w:rsidP="007F08B3">
            <w:pPr>
              <w:rPr>
                <w:lang w:val="en-US"/>
              </w:rPr>
            </w:pPr>
            <w:r w:rsidRPr="000B5E15">
              <w:rPr>
                <w:lang w:val="en-US"/>
              </w:rPr>
              <w:t>Y</w:t>
            </w:r>
          </w:p>
        </w:tc>
      </w:tr>
      <w:tr w:rsidR="007F08B3" w:rsidRPr="00015C1F" w14:paraId="79079AEE" w14:textId="77777777" w:rsidTr="00CD46A6">
        <w:trPr>
          <w:trHeight w:val="60"/>
        </w:trPr>
        <w:tc>
          <w:tcPr>
            <w:tcW w:w="1850" w:type="dxa"/>
            <w:vMerge/>
          </w:tcPr>
          <w:p w14:paraId="31633A8A" w14:textId="77777777" w:rsidR="007F08B3" w:rsidRPr="00015C1F" w:rsidRDefault="007F08B3" w:rsidP="007F08B3">
            <w:pPr>
              <w:rPr>
                <w:lang w:val="en-GB"/>
              </w:rPr>
            </w:pPr>
          </w:p>
        </w:tc>
        <w:tc>
          <w:tcPr>
            <w:tcW w:w="3815" w:type="dxa"/>
          </w:tcPr>
          <w:p w14:paraId="46C98C8F" w14:textId="191E7663" w:rsidR="007F08B3" w:rsidRPr="00015C1F" w:rsidRDefault="007F08B3" w:rsidP="007F08B3">
            <w:pPr>
              <w:rPr>
                <w:lang w:val="en-US"/>
              </w:rPr>
            </w:pPr>
            <w:r w:rsidRPr="00015C1F">
              <w:rPr>
                <w:lang w:val="en-US"/>
              </w:rPr>
              <w:t>e. Has our approach to MER improved evaluation capacity and how could data collection, reporting and evaluation be improved going forward to ensure that it is valuable and used by the sector?</w:t>
            </w:r>
          </w:p>
        </w:tc>
        <w:tc>
          <w:tcPr>
            <w:tcW w:w="1134" w:type="dxa"/>
          </w:tcPr>
          <w:p w14:paraId="3D222E47" w14:textId="77777777" w:rsidR="007F08B3" w:rsidRPr="00015C1F" w:rsidRDefault="007F08B3" w:rsidP="007F08B3">
            <w:pPr>
              <w:rPr>
                <w:lang w:val="en-GB"/>
              </w:rPr>
            </w:pPr>
          </w:p>
        </w:tc>
        <w:tc>
          <w:tcPr>
            <w:tcW w:w="1134" w:type="dxa"/>
          </w:tcPr>
          <w:p w14:paraId="63563BF2" w14:textId="2D009B51" w:rsidR="007F08B3" w:rsidRPr="00015C1F" w:rsidRDefault="007F08B3" w:rsidP="007F08B3">
            <w:pPr>
              <w:rPr>
                <w:lang w:val="en-US"/>
              </w:rPr>
            </w:pPr>
            <w:r w:rsidRPr="006A2429">
              <w:rPr>
                <w:lang w:val="en-US"/>
              </w:rPr>
              <w:t>Y</w:t>
            </w:r>
          </w:p>
        </w:tc>
        <w:tc>
          <w:tcPr>
            <w:tcW w:w="1134" w:type="dxa"/>
          </w:tcPr>
          <w:p w14:paraId="7E46B12A" w14:textId="1390B62D" w:rsidR="007F08B3" w:rsidRPr="00015C1F" w:rsidRDefault="007F08B3" w:rsidP="007F08B3">
            <w:pPr>
              <w:rPr>
                <w:lang w:val="en-US"/>
              </w:rPr>
            </w:pPr>
            <w:r w:rsidRPr="006A2429">
              <w:rPr>
                <w:lang w:val="en-US"/>
              </w:rPr>
              <w:t>Y</w:t>
            </w:r>
          </w:p>
        </w:tc>
      </w:tr>
    </w:tbl>
    <w:p w14:paraId="3D7805FD" w14:textId="77777777" w:rsidR="00015C1F" w:rsidRPr="00015C1F" w:rsidRDefault="00015C1F" w:rsidP="00015C1F">
      <w:pPr>
        <w:pStyle w:val="Heading2"/>
        <w:rPr>
          <w:lang w:val="en-US"/>
        </w:rPr>
      </w:pPr>
      <w:bookmarkStart w:id="17" w:name="_Toc166680793"/>
      <w:r w:rsidRPr="00015C1F">
        <w:rPr>
          <w:lang w:val="en-US"/>
        </w:rPr>
        <w:t>4.3.</w:t>
      </w:r>
      <w:r w:rsidRPr="00015C1F">
        <w:rPr>
          <w:lang w:val="en-US"/>
        </w:rPr>
        <w:tab/>
        <w:t>Outcome indicators and measures</w:t>
      </w:r>
      <w:bookmarkEnd w:id="17"/>
    </w:p>
    <w:p w14:paraId="408A9C78" w14:textId="77777777" w:rsidR="00015C1F" w:rsidRPr="00015C1F" w:rsidRDefault="00015C1F" w:rsidP="00015C1F">
      <w:pPr>
        <w:rPr>
          <w:lang w:val="en-US"/>
        </w:rPr>
      </w:pPr>
      <w:r w:rsidRPr="00015C1F">
        <w:rPr>
          <w:lang w:val="en-US"/>
        </w:rPr>
        <w:t>The outcome indicator model (</w:t>
      </w:r>
      <w:r w:rsidRPr="00015C1F">
        <w:rPr>
          <w:b/>
          <w:bCs/>
          <w:lang w:val="en-US"/>
        </w:rPr>
        <w:t>Figure 6</w:t>
      </w:r>
      <w:r w:rsidRPr="00015C1F">
        <w:rPr>
          <w:lang w:val="en-US"/>
        </w:rPr>
        <w:t xml:space="preserve">) articulates how indicators and measures are used to track progress towards intermediate outcomes. This will provide essential insights on progress and contribute to evaluation of the outcomes focus areas described in </w:t>
      </w:r>
      <w:r w:rsidRPr="00015C1F">
        <w:rPr>
          <w:b/>
          <w:bCs/>
          <w:lang w:val="en-US"/>
        </w:rPr>
        <w:t>Table 5</w:t>
      </w:r>
      <w:r w:rsidRPr="00015C1F">
        <w:rPr>
          <w:lang w:val="en-US"/>
        </w:rPr>
        <w:t>. This model aligns with Victorian Government outcomes architecture where indicators and measures are defined as follows:</w:t>
      </w:r>
    </w:p>
    <w:p w14:paraId="20A16E1A" w14:textId="1C713ECB" w:rsidR="00015C1F" w:rsidRPr="00015C1F" w:rsidRDefault="00015C1F" w:rsidP="00015C1F">
      <w:pPr>
        <w:pStyle w:val="ListBullet"/>
        <w:rPr>
          <w:lang w:val="en-US"/>
        </w:rPr>
      </w:pPr>
      <w:r w:rsidRPr="00015C1F">
        <w:rPr>
          <w:b/>
          <w:bCs/>
          <w:lang w:val="en-US"/>
        </w:rPr>
        <w:t>outcome indicators</w:t>
      </w:r>
      <w:r w:rsidRPr="00015C1F">
        <w:rPr>
          <w:lang w:val="en-US"/>
        </w:rPr>
        <w:t>: specify what needs to change to achieve a desired outcome (in this case, the intermediate outcomes) and sets the direction of change. For example, increase in community knowledge of bushfire management</w:t>
      </w:r>
    </w:p>
    <w:p w14:paraId="6C09B25C" w14:textId="16701AB0" w:rsidR="00015C1F" w:rsidRPr="00015C1F" w:rsidRDefault="00015C1F" w:rsidP="00015C1F">
      <w:pPr>
        <w:pStyle w:val="ListBullet"/>
        <w:rPr>
          <w:lang w:val="en-US"/>
        </w:rPr>
      </w:pPr>
      <w:r w:rsidRPr="00015C1F">
        <w:rPr>
          <w:b/>
          <w:bCs/>
          <w:lang w:val="en-US"/>
        </w:rPr>
        <w:t>outcome measures</w:t>
      </w:r>
      <w:r w:rsidRPr="00015C1F">
        <w:rPr>
          <w:lang w:val="en-US"/>
        </w:rPr>
        <w:t>: provide more granular, specific detail about what will change and how we will know if we are making progress. Measures articulate the specific way we know or count the change we want to see. For example, for the outcome indicator ‘Increase in community knowledge of bushfire management,’ one outcome measure could be ‘percentage of community program participants who stated the program increased their bushfire management knowledge.’</w:t>
      </w:r>
    </w:p>
    <w:p w14:paraId="4B0C683C" w14:textId="77777777" w:rsidR="00015C1F" w:rsidRPr="00015C1F" w:rsidRDefault="00015C1F" w:rsidP="00015C1F">
      <w:pPr>
        <w:rPr>
          <w:lang w:val="en-US"/>
        </w:rPr>
      </w:pPr>
      <w:r w:rsidRPr="00015C1F">
        <w:rPr>
          <w:lang w:val="en-US"/>
        </w:rPr>
        <w:t xml:space="preserve">To ensure robust conclusions, the sector will draw on multiple indicators and measures to build a picture of outcome progress and achievement. During the initial stages of Framework implementation, preliminary indicators and measures will be used to assess progress. Further indicators and measures will be developed during the implementation of the Strategy to deepen understanding as resources allow. </w:t>
      </w:r>
    </w:p>
    <w:p w14:paraId="3607A688" w14:textId="77777777" w:rsidR="00015C1F" w:rsidRPr="00015C1F" w:rsidRDefault="00015C1F" w:rsidP="00015C1F">
      <w:pPr>
        <w:rPr>
          <w:lang w:val="en-US"/>
        </w:rPr>
      </w:pPr>
      <w:r w:rsidRPr="00015C1F">
        <w:rPr>
          <w:lang w:val="en-US"/>
        </w:rPr>
        <w:t xml:space="preserve">Preliminary and potential indicators and measures are defined as follows: </w:t>
      </w:r>
    </w:p>
    <w:p w14:paraId="5E8C75FD" w14:textId="1F5BA039" w:rsidR="00015C1F" w:rsidRPr="00015C1F" w:rsidRDefault="00015C1F" w:rsidP="007F08B3">
      <w:pPr>
        <w:pStyle w:val="ListBullet"/>
        <w:rPr>
          <w:lang w:val="en-US"/>
        </w:rPr>
      </w:pPr>
      <w:r w:rsidRPr="00015C1F">
        <w:rPr>
          <w:b/>
          <w:bCs/>
          <w:lang w:val="en-US"/>
        </w:rPr>
        <w:lastRenderedPageBreak/>
        <w:t xml:space="preserve">preliminary indicators and measures </w:t>
      </w:r>
      <w:r w:rsidRPr="00015C1F">
        <w:rPr>
          <w:lang w:val="en-US"/>
        </w:rPr>
        <w:t>will help measure progress towards intermediate outcomes and represent core data that can be tracked from establishment of the Strategy. Preliminary indicators and measures show progress towards intermediate outcomes using data that is accessible now (Phase 1)</w:t>
      </w:r>
    </w:p>
    <w:p w14:paraId="4D9748CB" w14:textId="18295E68" w:rsidR="00015C1F" w:rsidRPr="00015C1F" w:rsidRDefault="00015C1F" w:rsidP="00015C1F">
      <w:pPr>
        <w:pStyle w:val="ListBullet"/>
        <w:rPr>
          <w:lang w:val="en-US"/>
        </w:rPr>
      </w:pPr>
      <w:r w:rsidRPr="00015C1F">
        <w:rPr>
          <w:b/>
          <w:bCs/>
          <w:lang w:val="en-US"/>
        </w:rPr>
        <w:t>potential indicators and measures</w:t>
      </w:r>
      <w:r w:rsidRPr="00015C1F">
        <w:rPr>
          <w:lang w:val="en-US"/>
        </w:rPr>
        <w:t xml:space="preserve"> will add to the preliminary indicators and measure over time, to enable increasingly robust measurement of progress towards intermediate outcomes. These represent things that are either more complex to collect and collate in a useful and uniform way, or which the sector does not currently collect. These are the indicators and measures that will take more time and investment to deliver (Phase 2). </w:t>
      </w:r>
    </w:p>
    <w:p w14:paraId="3FD08470" w14:textId="77777777" w:rsidR="00015C1F" w:rsidRPr="00015C1F" w:rsidRDefault="00015C1F" w:rsidP="00015C1F">
      <w:pPr>
        <w:rPr>
          <w:lang w:val="en-US"/>
        </w:rPr>
      </w:pPr>
      <w:r w:rsidRPr="00015C1F">
        <w:rPr>
          <w:lang w:val="en-US"/>
        </w:rPr>
        <w:t>Additional qualitative evidence will be drawn upon to undertake outcomes evaluation. This may include evidence or information obtained from surveys, interviews and expert opinion.</w:t>
      </w:r>
    </w:p>
    <w:p w14:paraId="3D759DB8" w14:textId="77777777" w:rsidR="00015C1F" w:rsidRPr="00015C1F" w:rsidRDefault="00015C1F" w:rsidP="00015C1F">
      <w:pPr>
        <w:rPr>
          <w:lang w:val="en-US"/>
        </w:rPr>
      </w:pPr>
      <w:r w:rsidRPr="00015C1F">
        <w:rPr>
          <w:lang w:val="en-US"/>
        </w:rPr>
        <w:t>A VBMERF Schedule has been developed for the sector that:</w:t>
      </w:r>
    </w:p>
    <w:p w14:paraId="64307E4C" w14:textId="025BEE58" w:rsidR="00015C1F" w:rsidRPr="00015C1F" w:rsidRDefault="00015C1F" w:rsidP="00015C1F">
      <w:pPr>
        <w:pStyle w:val="ListBullet"/>
        <w:rPr>
          <w:lang w:val="en-US"/>
        </w:rPr>
      </w:pPr>
      <w:r w:rsidRPr="00015C1F">
        <w:rPr>
          <w:lang w:val="en-US"/>
        </w:rPr>
        <w:t>provides a list of preliminary indicators and further potential indicators that was identified during the sectors Strategy development process</w:t>
      </w:r>
    </w:p>
    <w:p w14:paraId="336A1D60" w14:textId="6DD1FF33" w:rsidR="00015C1F" w:rsidRPr="00015C1F" w:rsidRDefault="00015C1F" w:rsidP="00015C1F">
      <w:pPr>
        <w:pStyle w:val="ListBullet"/>
        <w:rPr>
          <w:lang w:val="en-US"/>
        </w:rPr>
      </w:pPr>
      <w:r w:rsidRPr="00015C1F">
        <w:rPr>
          <w:lang w:val="en-US"/>
        </w:rPr>
        <w:t>presents the preliminary indicators alongside the measures, benchmarks or targets, and data sources for each</w:t>
      </w:r>
    </w:p>
    <w:p w14:paraId="08F5B7B5" w14:textId="0DF1E7A6" w:rsidR="00015C1F" w:rsidRPr="00015C1F" w:rsidRDefault="00015C1F" w:rsidP="00015C1F">
      <w:pPr>
        <w:pStyle w:val="ListBullet"/>
        <w:rPr>
          <w:lang w:val="en-US"/>
        </w:rPr>
      </w:pPr>
      <w:r w:rsidRPr="00015C1F">
        <w:rPr>
          <w:lang w:val="en-US"/>
        </w:rPr>
        <w:t xml:space="preserve">provides a summary of the initial reporting approach which will be strengthened over time as additional indicators and data sources are identified. </w:t>
      </w:r>
    </w:p>
    <w:p w14:paraId="55954756" w14:textId="77777777" w:rsidR="00015C1F" w:rsidRPr="00015C1F" w:rsidRDefault="00015C1F" w:rsidP="00015C1F">
      <w:pPr>
        <w:rPr>
          <w:lang w:val="en-US"/>
        </w:rPr>
      </w:pPr>
      <w:r w:rsidRPr="00015C1F">
        <w:rPr>
          <w:lang w:val="en-US"/>
        </w:rPr>
        <w:t>This Schedule forms the first step to a full VBMER Plan and supports effective public and internal government evaluation and reporting processes from the commencement of the Strategy and Framework. It will be updated as potential indicators are developed to address gaps, to revise existing preliminary indicators and measures where required, or as evaluation and reporting processes are improved.</w:t>
      </w:r>
    </w:p>
    <w:p w14:paraId="524095F4" w14:textId="77777777" w:rsidR="007F08B3" w:rsidRDefault="007F08B3" w:rsidP="007F08B3">
      <w:pPr>
        <w:keepNext/>
      </w:pPr>
      <w:r>
        <w:rPr>
          <w:noProof/>
          <w:lang w:val="en-US"/>
        </w:rPr>
        <w:lastRenderedPageBreak/>
        <w:drawing>
          <wp:inline distT="0" distB="0" distL="0" distR="0" wp14:anchorId="3A30BFA5" wp14:editId="22397F0E">
            <wp:extent cx="5232400" cy="2451100"/>
            <wp:effectExtent l="0" t="0" r="0" b="0"/>
            <wp:docPr id="1428757913" name="Picture 1" descr="A diagram of measurement and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757913" name="Picture 1" descr="A diagram of measurement and meas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232400" cy="2451100"/>
                    </a:xfrm>
                    <a:prstGeom prst="rect">
                      <a:avLst/>
                    </a:prstGeom>
                  </pic:spPr>
                </pic:pic>
              </a:graphicData>
            </a:graphic>
          </wp:inline>
        </w:drawing>
      </w:r>
    </w:p>
    <w:p w14:paraId="5ADE8B01" w14:textId="3F6C48A7" w:rsidR="00015C1F" w:rsidRPr="00015C1F" w:rsidRDefault="007F08B3" w:rsidP="007F08B3">
      <w:pPr>
        <w:pStyle w:val="Caption"/>
        <w:rPr>
          <w:lang w:val="en-US"/>
        </w:rPr>
      </w:pPr>
      <w:r>
        <w:t xml:space="preserve">Figure </w:t>
      </w:r>
      <w:r>
        <w:fldChar w:fldCharType="begin"/>
      </w:r>
      <w:r>
        <w:instrText xml:space="preserve"> SEQ Figure \* ARABIC </w:instrText>
      </w:r>
      <w:r>
        <w:fldChar w:fldCharType="separate"/>
      </w:r>
      <w:r w:rsidR="00CD46A6">
        <w:rPr>
          <w:noProof/>
        </w:rPr>
        <w:t>6</w:t>
      </w:r>
      <w:r>
        <w:fldChar w:fldCharType="end"/>
      </w:r>
      <w:r>
        <w:t xml:space="preserve">. </w:t>
      </w:r>
      <w:r w:rsidRPr="0095167F">
        <w:t>Our ability to demonstrate our achievement and progress towards intermediate outcomes</w:t>
      </w:r>
    </w:p>
    <w:p w14:paraId="366A0819" w14:textId="77777777" w:rsidR="00015C1F" w:rsidRPr="00015C1F" w:rsidRDefault="00015C1F" w:rsidP="00015C1F">
      <w:pPr>
        <w:pStyle w:val="Heading2"/>
      </w:pPr>
      <w:bookmarkStart w:id="18" w:name="_Toc166680794"/>
      <w:r w:rsidRPr="00015C1F">
        <w:rPr>
          <w:lang w:val="en-US"/>
        </w:rPr>
        <w:t>4.4.</w:t>
      </w:r>
      <w:r w:rsidRPr="00015C1F">
        <w:rPr>
          <w:lang w:val="en-US"/>
        </w:rPr>
        <w:tab/>
        <w:t>Reporting</w:t>
      </w:r>
      <w:bookmarkEnd w:id="18"/>
    </w:p>
    <w:p w14:paraId="1CC583EC" w14:textId="77777777" w:rsidR="00015C1F" w:rsidRPr="00015C1F" w:rsidRDefault="00015C1F" w:rsidP="00015C1F">
      <w:pPr>
        <w:rPr>
          <w:lang w:val="en-US"/>
        </w:rPr>
      </w:pPr>
      <w:r w:rsidRPr="00015C1F">
        <w:rPr>
          <w:lang w:val="en-US"/>
        </w:rPr>
        <w:t>Reporting is the written communication of monitoring and evaluation data, findings, and conclusions. There are 2 types of reporting that will occur through the life of the Strategy, guided by the Framework. These are:</w:t>
      </w:r>
    </w:p>
    <w:p w14:paraId="6062AA3B" w14:textId="7D974C9D" w:rsidR="00015C1F" w:rsidRPr="00015C1F" w:rsidRDefault="00015C1F" w:rsidP="00015C1F">
      <w:pPr>
        <w:pStyle w:val="ListBullet"/>
        <w:rPr>
          <w:lang w:val="en-US"/>
        </w:rPr>
      </w:pPr>
      <w:r w:rsidRPr="00015C1F">
        <w:rPr>
          <w:lang w:val="en-US"/>
        </w:rPr>
        <w:t>annual progress reporting (intermediate outcome tracking)</w:t>
      </w:r>
    </w:p>
    <w:p w14:paraId="44298DCC" w14:textId="645D4326" w:rsidR="00015C1F" w:rsidRPr="00015C1F" w:rsidRDefault="00015C1F" w:rsidP="00015C1F">
      <w:pPr>
        <w:pStyle w:val="ListBullet"/>
        <w:rPr>
          <w:lang w:val="en-US"/>
        </w:rPr>
      </w:pPr>
      <w:r w:rsidRPr="00015C1F">
        <w:rPr>
          <w:lang w:val="en-US"/>
        </w:rPr>
        <w:t>periodic evaluation reporting (frequency to be determined), including end-of-Strategy final evaluation reporting.</w:t>
      </w:r>
    </w:p>
    <w:p w14:paraId="0931A853" w14:textId="77777777" w:rsidR="00015C1F" w:rsidRPr="00015C1F" w:rsidRDefault="00015C1F" w:rsidP="00015C1F">
      <w:pPr>
        <w:rPr>
          <w:lang w:val="en-US"/>
        </w:rPr>
      </w:pPr>
      <w:r w:rsidRPr="00015C1F">
        <w:rPr>
          <w:lang w:val="en-US"/>
        </w:rPr>
        <w:t xml:space="preserve">Further detail around the purpose, scope, audience and timing of these reports is presented in </w:t>
      </w:r>
      <w:r w:rsidRPr="00015C1F">
        <w:rPr>
          <w:b/>
          <w:bCs/>
          <w:lang w:val="en-US"/>
        </w:rPr>
        <w:t>Table 6</w:t>
      </w:r>
      <w:r w:rsidRPr="00015C1F">
        <w:rPr>
          <w:lang w:val="en-US"/>
        </w:rPr>
        <w:t>, with the initial reporting approach included in the VBMERF Schedule.</w:t>
      </w:r>
    </w:p>
    <w:p w14:paraId="51132A21" w14:textId="77777777" w:rsidR="00015C1F" w:rsidRPr="00015C1F" w:rsidRDefault="00015C1F" w:rsidP="00015C1F">
      <w:pPr>
        <w:pStyle w:val="Heading2"/>
        <w:rPr>
          <w:lang w:val="en-US"/>
        </w:rPr>
      </w:pPr>
      <w:bookmarkStart w:id="19" w:name="_Toc166680795"/>
      <w:r w:rsidRPr="00015C1F">
        <w:rPr>
          <w:lang w:val="en-US"/>
        </w:rPr>
        <w:t>4.5.</w:t>
      </w:r>
      <w:r w:rsidRPr="00015C1F">
        <w:rPr>
          <w:lang w:val="en-US"/>
        </w:rPr>
        <w:tab/>
        <w:t>Continuous improvement</w:t>
      </w:r>
      <w:bookmarkEnd w:id="19"/>
      <w:r w:rsidRPr="00015C1F">
        <w:rPr>
          <w:lang w:val="en-US"/>
        </w:rPr>
        <w:t xml:space="preserve"> </w:t>
      </w:r>
    </w:p>
    <w:p w14:paraId="674413BF" w14:textId="77777777" w:rsidR="00015C1F" w:rsidRPr="00015C1F" w:rsidRDefault="00015C1F" w:rsidP="00015C1F">
      <w:pPr>
        <w:rPr>
          <w:lang w:val="en-US"/>
        </w:rPr>
      </w:pPr>
      <w:r w:rsidRPr="00015C1F">
        <w:rPr>
          <w:lang w:val="en-US"/>
        </w:rPr>
        <w:t>Though reporting and continuous improvement are 2 distinct things they are inextricably linked to each other. By ensuring that these 2 elements are delivered in an integrated and considered way, the sector can ensure their benefits by effectively adapting and improving in response to gathered information and evidence.</w:t>
      </w:r>
    </w:p>
    <w:p w14:paraId="39B66579" w14:textId="77777777" w:rsidR="00015C1F" w:rsidRPr="00015C1F" w:rsidRDefault="00015C1F" w:rsidP="00015C1F">
      <w:pPr>
        <w:rPr>
          <w:lang w:val="en-US"/>
        </w:rPr>
      </w:pPr>
      <w:r w:rsidRPr="00015C1F">
        <w:rPr>
          <w:lang w:val="en-US"/>
        </w:rPr>
        <w:t xml:space="preserve">To </w:t>
      </w:r>
      <w:proofErr w:type="spellStart"/>
      <w:r w:rsidRPr="00015C1F">
        <w:rPr>
          <w:lang w:val="en-US"/>
        </w:rPr>
        <w:t>realise</w:t>
      </w:r>
      <w:proofErr w:type="spellEnd"/>
      <w:r w:rsidRPr="00015C1F">
        <w:rPr>
          <w:lang w:val="en-US"/>
        </w:rPr>
        <w:t xml:space="preserve"> the benefit of MER, continuous improvement needs to be embedded into the way the sector delivers. Participatory processes, where the sector is engaged in the process of identifying and acting upon lessons and recommendations, are key. </w:t>
      </w:r>
    </w:p>
    <w:p w14:paraId="255F99B1" w14:textId="77777777" w:rsidR="00015C1F" w:rsidRPr="00015C1F" w:rsidRDefault="00015C1F" w:rsidP="00015C1F">
      <w:pPr>
        <w:rPr>
          <w:lang w:val="en-US"/>
        </w:rPr>
      </w:pPr>
      <w:r w:rsidRPr="00015C1F">
        <w:rPr>
          <w:lang w:val="en-US"/>
        </w:rPr>
        <w:t>For the Framework, this will be achieved in 2 ways:</w:t>
      </w:r>
    </w:p>
    <w:p w14:paraId="5F97E0C2" w14:textId="07A01E88" w:rsidR="00015C1F" w:rsidRPr="00015C1F" w:rsidRDefault="00015C1F" w:rsidP="00015C1F">
      <w:pPr>
        <w:pStyle w:val="ListBullet"/>
        <w:rPr>
          <w:lang w:val="en-US"/>
        </w:rPr>
      </w:pPr>
      <w:r w:rsidRPr="00015C1F">
        <w:rPr>
          <w:b/>
          <w:bCs/>
          <w:lang w:val="en-US"/>
        </w:rPr>
        <w:t>embedding collaborative learning opportunities and forums for the sector</w:t>
      </w:r>
      <w:r w:rsidRPr="00015C1F">
        <w:rPr>
          <w:b/>
          <w:bCs/>
          <w:lang w:val="en-US"/>
        </w:rPr>
        <w:br/>
      </w:r>
      <w:r w:rsidRPr="00015C1F">
        <w:rPr>
          <w:lang w:val="en-US"/>
        </w:rPr>
        <w:t xml:space="preserve">These learning forums will be an opportunity for key personnel across the sector to share </w:t>
      </w:r>
      <w:r w:rsidRPr="00015C1F">
        <w:rPr>
          <w:lang w:val="en-US"/>
        </w:rPr>
        <w:lastRenderedPageBreak/>
        <w:t>monitoring and evaluation findings and to discuss what this means for the sector and its work. Whilst the purpose of these forums is to share information and identify improvement opportunities, each may vary based on emerging challenges, opportunities and priorities of the sector</w:t>
      </w:r>
    </w:p>
    <w:p w14:paraId="032B17E2" w14:textId="2180F6E5" w:rsidR="00015C1F" w:rsidRDefault="00015C1F" w:rsidP="00015C1F">
      <w:pPr>
        <w:pStyle w:val="ListBullet"/>
        <w:rPr>
          <w:lang w:val="en-US"/>
        </w:rPr>
      </w:pPr>
      <w:r w:rsidRPr="00015C1F">
        <w:rPr>
          <w:b/>
          <w:bCs/>
          <w:lang w:val="en-US"/>
        </w:rPr>
        <w:t>establishing decision-making processes and pathways</w:t>
      </w:r>
      <w:r w:rsidRPr="00015C1F">
        <w:rPr>
          <w:lang w:val="en-US"/>
        </w:rPr>
        <w:t xml:space="preserve"> </w:t>
      </w:r>
      <w:r w:rsidRPr="00015C1F">
        <w:rPr>
          <w:lang w:val="en-US"/>
        </w:rPr>
        <w:br/>
        <w:t>This is linked to governance and will map responsibilities for taking monitoring and evaluation information and acting upon recommendations.</w:t>
      </w:r>
    </w:p>
    <w:p w14:paraId="6DB04941" w14:textId="168AE770" w:rsidR="00015C1F" w:rsidRPr="00015C1F" w:rsidRDefault="00015C1F" w:rsidP="00015C1F">
      <w:pPr>
        <w:pStyle w:val="Caption"/>
        <w:rPr>
          <w:lang w:val="en-US"/>
        </w:rPr>
      </w:pPr>
      <w:r>
        <w:rPr>
          <w:lang w:val="en-US"/>
        </w:rPr>
        <w:t xml:space="preserve">Table 6. </w:t>
      </w:r>
      <w:r w:rsidRPr="00015C1F">
        <w:rPr>
          <w:lang w:val="en-US"/>
        </w:rPr>
        <w:t>Overview of MER reporting</w:t>
      </w:r>
    </w:p>
    <w:tbl>
      <w:tblPr>
        <w:tblStyle w:val="TableGrid"/>
        <w:tblW w:w="0" w:type="auto"/>
        <w:tblLayout w:type="fixed"/>
        <w:tblLook w:val="0020" w:firstRow="1" w:lastRow="0" w:firstColumn="0" w:lastColumn="0" w:noHBand="0" w:noVBand="0"/>
      </w:tblPr>
      <w:tblGrid>
        <w:gridCol w:w="1893"/>
        <w:gridCol w:w="3948"/>
        <w:gridCol w:w="1320"/>
        <w:gridCol w:w="2477"/>
      </w:tblGrid>
      <w:tr w:rsidR="00015C1F" w:rsidRPr="00015C1F" w14:paraId="69D6A6B5" w14:textId="77777777" w:rsidTr="00015C1F">
        <w:trPr>
          <w:cantSplit/>
          <w:trHeight w:val="60"/>
          <w:tblHeader/>
        </w:trPr>
        <w:tc>
          <w:tcPr>
            <w:tcW w:w="1893" w:type="dxa"/>
          </w:tcPr>
          <w:p w14:paraId="273FEE27" w14:textId="77777777" w:rsidR="00015C1F" w:rsidRPr="00015C1F" w:rsidRDefault="00015C1F" w:rsidP="00015C1F">
            <w:pPr>
              <w:rPr>
                <w:b/>
                <w:bCs/>
                <w:lang w:val="en-US"/>
              </w:rPr>
            </w:pPr>
            <w:r w:rsidRPr="00015C1F">
              <w:rPr>
                <w:b/>
                <w:bCs/>
                <w:lang w:val="en-US"/>
              </w:rPr>
              <w:t>Report Type</w:t>
            </w:r>
          </w:p>
        </w:tc>
        <w:tc>
          <w:tcPr>
            <w:tcW w:w="3948" w:type="dxa"/>
          </w:tcPr>
          <w:p w14:paraId="5AA018B9" w14:textId="77777777" w:rsidR="00015C1F" w:rsidRPr="00015C1F" w:rsidRDefault="00015C1F" w:rsidP="00015C1F">
            <w:pPr>
              <w:rPr>
                <w:b/>
                <w:bCs/>
                <w:lang w:val="en-US"/>
              </w:rPr>
            </w:pPr>
            <w:r w:rsidRPr="00015C1F">
              <w:rPr>
                <w:b/>
                <w:bCs/>
                <w:lang w:val="en-US"/>
              </w:rPr>
              <w:t>Purpose &amp; scope</w:t>
            </w:r>
          </w:p>
        </w:tc>
        <w:tc>
          <w:tcPr>
            <w:tcW w:w="1320" w:type="dxa"/>
          </w:tcPr>
          <w:p w14:paraId="4AE157C9" w14:textId="77777777" w:rsidR="00015C1F" w:rsidRPr="00015C1F" w:rsidRDefault="00015C1F" w:rsidP="00015C1F">
            <w:pPr>
              <w:rPr>
                <w:b/>
                <w:bCs/>
                <w:lang w:val="en-US"/>
              </w:rPr>
            </w:pPr>
            <w:r w:rsidRPr="00015C1F">
              <w:rPr>
                <w:b/>
                <w:bCs/>
                <w:lang w:val="en-US"/>
              </w:rPr>
              <w:t>Audience</w:t>
            </w:r>
          </w:p>
        </w:tc>
        <w:tc>
          <w:tcPr>
            <w:tcW w:w="2477" w:type="dxa"/>
          </w:tcPr>
          <w:p w14:paraId="41F1870C" w14:textId="77777777" w:rsidR="00015C1F" w:rsidRPr="00015C1F" w:rsidRDefault="00015C1F" w:rsidP="00015C1F">
            <w:pPr>
              <w:rPr>
                <w:b/>
                <w:bCs/>
                <w:lang w:val="en-US"/>
              </w:rPr>
            </w:pPr>
            <w:r w:rsidRPr="00015C1F">
              <w:rPr>
                <w:b/>
                <w:bCs/>
                <w:lang w:val="en-US"/>
              </w:rPr>
              <w:t>Timing</w:t>
            </w:r>
          </w:p>
        </w:tc>
      </w:tr>
      <w:tr w:rsidR="00015C1F" w:rsidRPr="00015C1F" w14:paraId="593600CE" w14:textId="77777777" w:rsidTr="00015C1F">
        <w:trPr>
          <w:trHeight w:val="60"/>
        </w:trPr>
        <w:tc>
          <w:tcPr>
            <w:tcW w:w="1893" w:type="dxa"/>
          </w:tcPr>
          <w:p w14:paraId="6AC6554D" w14:textId="77777777" w:rsidR="00015C1F" w:rsidRPr="00015C1F" w:rsidRDefault="00015C1F" w:rsidP="00015C1F">
            <w:pPr>
              <w:rPr>
                <w:lang w:val="en-US"/>
              </w:rPr>
            </w:pPr>
            <w:r w:rsidRPr="00015C1F">
              <w:rPr>
                <w:b/>
                <w:bCs/>
                <w:lang w:val="en-US"/>
              </w:rPr>
              <w:t>Annual progress reporting</w:t>
            </w:r>
          </w:p>
        </w:tc>
        <w:tc>
          <w:tcPr>
            <w:tcW w:w="3948" w:type="dxa"/>
          </w:tcPr>
          <w:p w14:paraId="55C36C39" w14:textId="77777777" w:rsidR="00015C1F" w:rsidRPr="00015C1F" w:rsidRDefault="00015C1F" w:rsidP="00015C1F">
            <w:pPr>
              <w:rPr>
                <w:lang w:val="en-US"/>
              </w:rPr>
            </w:pPr>
            <w:r w:rsidRPr="00015C1F">
              <w:rPr>
                <w:lang w:val="en-US"/>
              </w:rPr>
              <w:t>To provide regular updates on progress towards intermediate outcomes. The focus will be on monitoring and data, and tracking delivery, and less on evaluation – presenting the current ‘state’ rather than reporting on opportunities to learn and improve</w:t>
            </w:r>
          </w:p>
        </w:tc>
        <w:tc>
          <w:tcPr>
            <w:tcW w:w="1320" w:type="dxa"/>
          </w:tcPr>
          <w:p w14:paraId="451BAD49" w14:textId="77777777" w:rsidR="00015C1F" w:rsidRPr="00015C1F" w:rsidRDefault="00015C1F" w:rsidP="00015C1F">
            <w:pPr>
              <w:rPr>
                <w:lang w:val="en-US"/>
              </w:rPr>
            </w:pPr>
            <w:r w:rsidRPr="00015C1F">
              <w:rPr>
                <w:lang w:val="en-US"/>
              </w:rPr>
              <w:t>Sector</w:t>
            </w:r>
          </w:p>
          <w:p w14:paraId="51D3968C" w14:textId="77777777" w:rsidR="00015C1F" w:rsidRPr="00015C1F" w:rsidRDefault="00015C1F" w:rsidP="00015C1F">
            <w:pPr>
              <w:rPr>
                <w:lang w:val="en-US"/>
              </w:rPr>
            </w:pPr>
            <w:r w:rsidRPr="00015C1F">
              <w:rPr>
                <w:lang w:val="en-US"/>
              </w:rPr>
              <w:t>Public</w:t>
            </w:r>
          </w:p>
        </w:tc>
        <w:tc>
          <w:tcPr>
            <w:tcW w:w="2477" w:type="dxa"/>
          </w:tcPr>
          <w:p w14:paraId="3D434835" w14:textId="77777777" w:rsidR="00015C1F" w:rsidRPr="00015C1F" w:rsidRDefault="00015C1F" w:rsidP="00015C1F">
            <w:pPr>
              <w:rPr>
                <w:lang w:val="en-US"/>
              </w:rPr>
            </w:pPr>
            <w:r w:rsidRPr="00015C1F">
              <w:rPr>
                <w:lang w:val="en-US"/>
              </w:rPr>
              <w:t>Annual, first version due Dec 2025</w:t>
            </w:r>
          </w:p>
        </w:tc>
      </w:tr>
      <w:tr w:rsidR="00015C1F" w:rsidRPr="00015C1F" w14:paraId="1EE8A1DB" w14:textId="77777777" w:rsidTr="00015C1F">
        <w:trPr>
          <w:trHeight w:val="1408"/>
        </w:trPr>
        <w:tc>
          <w:tcPr>
            <w:tcW w:w="1893" w:type="dxa"/>
          </w:tcPr>
          <w:p w14:paraId="07C9B9BA" w14:textId="77777777" w:rsidR="00015C1F" w:rsidRPr="00015C1F" w:rsidRDefault="00015C1F" w:rsidP="00015C1F">
            <w:pPr>
              <w:rPr>
                <w:lang w:val="en-US"/>
              </w:rPr>
            </w:pPr>
            <w:r w:rsidRPr="00015C1F">
              <w:rPr>
                <w:b/>
                <w:bCs/>
                <w:lang w:val="en-US"/>
              </w:rPr>
              <w:t>Periodic evaluation reporting</w:t>
            </w:r>
          </w:p>
        </w:tc>
        <w:tc>
          <w:tcPr>
            <w:tcW w:w="3948" w:type="dxa"/>
          </w:tcPr>
          <w:p w14:paraId="60E6D4B5" w14:textId="77777777" w:rsidR="00015C1F" w:rsidRPr="00015C1F" w:rsidRDefault="00015C1F" w:rsidP="00015C1F">
            <w:pPr>
              <w:rPr>
                <w:lang w:val="en-US"/>
              </w:rPr>
            </w:pPr>
            <w:r w:rsidRPr="00015C1F">
              <w:rPr>
                <w:lang w:val="en-US"/>
              </w:rPr>
              <w:t xml:space="preserve">To evaluate against the defined evaluation focus areas and key evaluation questions, and make recommendations for adaptation and improvement including </w:t>
            </w:r>
            <w:proofErr w:type="spellStart"/>
            <w:r w:rsidRPr="00015C1F">
              <w:rPr>
                <w:lang w:val="en-US"/>
              </w:rPr>
              <w:t>reprioritisation</w:t>
            </w:r>
            <w:proofErr w:type="spellEnd"/>
            <w:r w:rsidRPr="00015C1F">
              <w:rPr>
                <w:lang w:val="en-US"/>
              </w:rPr>
              <w:t>, focus and investment</w:t>
            </w:r>
          </w:p>
        </w:tc>
        <w:tc>
          <w:tcPr>
            <w:tcW w:w="1320" w:type="dxa"/>
          </w:tcPr>
          <w:p w14:paraId="127B102E" w14:textId="77777777" w:rsidR="00015C1F" w:rsidRPr="00015C1F" w:rsidRDefault="00015C1F" w:rsidP="00015C1F">
            <w:pPr>
              <w:rPr>
                <w:lang w:val="en-US"/>
              </w:rPr>
            </w:pPr>
            <w:r w:rsidRPr="00015C1F">
              <w:rPr>
                <w:lang w:val="en-US"/>
              </w:rPr>
              <w:t>Sector</w:t>
            </w:r>
          </w:p>
          <w:p w14:paraId="162861D2" w14:textId="77777777" w:rsidR="00015C1F" w:rsidRPr="00015C1F" w:rsidRDefault="00015C1F" w:rsidP="00015C1F">
            <w:pPr>
              <w:rPr>
                <w:lang w:val="en-US"/>
              </w:rPr>
            </w:pPr>
            <w:r w:rsidRPr="00015C1F">
              <w:rPr>
                <w:lang w:val="en-US"/>
              </w:rPr>
              <w:t>Public</w:t>
            </w:r>
          </w:p>
        </w:tc>
        <w:tc>
          <w:tcPr>
            <w:tcW w:w="2477" w:type="dxa"/>
          </w:tcPr>
          <w:p w14:paraId="263D761B" w14:textId="77777777" w:rsidR="00015C1F" w:rsidRPr="00015C1F" w:rsidRDefault="00015C1F" w:rsidP="00015C1F">
            <w:pPr>
              <w:rPr>
                <w:lang w:val="en-US"/>
              </w:rPr>
            </w:pPr>
            <w:r w:rsidRPr="00015C1F">
              <w:rPr>
                <w:lang w:val="en-US"/>
              </w:rPr>
              <w:t>Periodically throughout implementation of the Strategy and aligned with the Strategy review</w:t>
            </w:r>
          </w:p>
        </w:tc>
      </w:tr>
      <w:tr w:rsidR="00015C1F" w:rsidRPr="00015C1F" w14:paraId="67347DCB" w14:textId="77777777" w:rsidTr="00015C1F">
        <w:trPr>
          <w:trHeight w:val="60"/>
        </w:trPr>
        <w:tc>
          <w:tcPr>
            <w:tcW w:w="1893" w:type="dxa"/>
          </w:tcPr>
          <w:p w14:paraId="5D96234D" w14:textId="77777777" w:rsidR="00015C1F" w:rsidRPr="00015C1F" w:rsidRDefault="00015C1F" w:rsidP="00015C1F">
            <w:pPr>
              <w:rPr>
                <w:lang w:val="en-US"/>
              </w:rPr>
            </w:pPr>
            <w:r w:rsidRPr="00015C1F">
              <w:rPr>
                <w:b/>
                <w:bCs/>
                <w:lang w:val="en-US"/>
              </w:rPr>
              <w:t>Final evaluation reporting</w:t>
            </w:r>
          </w:p>
        </w:tc>
        <w:tc>
          <w:tcPr>
            <w:tcW w:w="3948" w:type="dxa"/>
          </w:tcPr>
          <w:p w14:paraId="63D52B85" w14:textId="77777777" w:rsidR="00015C1F" w:rsidRPr="00015C1F" w:rsidRDefault="00015C1F" w:rsidP="00015C1F">
            <w:pPr>
              <w:rPr>
                <w:lang w:val="en-US"/>
              </w:rPr>
            </w:pPr>
            <w:r w:rsidRPr="00015C1F">
              <w:rPr>
                <w:lang w:val="en-US"/>
              </w:rPr>
              <w:t>To explore a fuller suite of evaluation questions across the focus areas of effectiveness, outcomes, efficiency, appropriateness, and lessons and opportunities</w:t>
            </w:r>
          </w:p>
        </w:tc>
        <w:tc>
          <w:tcPr>
            <w:tcW w:w="1320" w:type="dxa"/>
          </w:tcPr>
          <w:p w14:paraId="03F37266" w14:textId="77777777" w:rsidR="00015C1F" w:rsidRPr="00015C1F" w:rsidRDefault="00015C1F" w:rsidP="00015C1F">
            <w:pPr>
              <w:rPr>
                <w:lang w:val="en-US"/>
              </w:rPr>
            </w:pPr>
            <w:r w:rsidRPr="00015C1F">
              <w:rPr>
                <w:lang w:val="en-US"/>
              </w:rPr>
              <w:t>Sector</w:t>
            </w:r>
          </w:p>
          <w:p w14:paraId="2D7867CE" w14:textId="77777777" w:rsidR="00015C1F" w:rsidRPr="00015C1F" w:rsidRDefault="00015C1F" w:rsidP="00015C1F">
            <w:pPr>
              <w:rPr>
                <w:lang w:val="en-US"/>
              </w:rPr>
            </w:pPr>
            <w:r w:rsidRPr="00015C1F">
              <w:rPr>
                <w:lang w:val="en-US"/>
              </w:rPr>
              <w:t>Public</w:t>
            </w:r>
          </w:p>
        </w:tc>
        <w:tc>
          <w:tcPr>
            <w:tcW w:w="2477" w:type="dxa"/>
          </w:tcPr>
          <w:p w14:paraId="7F331EE0" w14:textId="77777777" w:rsidR="00015C1F" w:rsidRPr="00015C1F" w:rsidRDefault="00015C1F" w:rsidP="00015C1F">
            <w:pPr>
              <w:rPr>
                <w:lang w:val="en-US"/>
              </w:rPr>
            </w:pPr>
            <w:r w:rsidRPr="00015C1F">
              <w:rPr>
                <w:lang w:val="en-US"/>
              </w:rPr>
              <w:t>Aligned to inform the Strategy final review (2034)</w:t>
            </w:r>
          </w:p>
        </w:tc>
      </w:tr>
    </w:tbl>
    <w:p w14:paraId="7694C8BE" w14:textId="77777777" w:rsidR="00015C1F" w:rsidRPr="00015C1F" w:rsidRDefault="00015C1F" w:rsidP="00015C1F">
      <w:pPr>
        <w:pStyle w:val="Heading1"/>
        <w:rPr>
          <w:lang w:val="en-US"/>
        </w:rPr>
      </w:pPr>
      <w:bookmarkStart w:id="20" w:name="_Toc166680796"/>
      <w:r w:rsidRPr="00015C1F">
        <w:rPr>
          <w:lang w:val="en-US"/>
        </w:rPr>
        <w:t>5.</w:t>
      </w:r>
      <w:r w:rsidRPr="00015C1F">
        <w:rPr>
          <w:lang w:val="en-US"/>
        </w:rPr>
        <w:tab/>
        <w:t>Implementation</w:t>
      </w:r>
      <w:bookmarkEnd w:id="20"/>
    </w:p>
    <w:p w14:paraId="44E6061A" w14:textId="77777777" w:rsidR="00015C1F" w:rsidRPr="00015C1F" w:rsidRDefault="00015C1F" w:rsidP="00015C1F">
      <w:pPr>
        <w:rPr>
          <w:lang w:val="en-US"/>
        </w:rPr>
      </w:pPr>
      <w:r w:rsidRPr="00015C1F">
        <w:rPr>
          <w:lang w:val="en-US"/>
        </w:rPr>
        <w:t xml:space="preserve">This Framework is designed to be implemented from ‘Day 1’ with the expectation that over time, the data and information available to track progress and success at achieving outcomes will improve and grow. Over this time, the Strategy will mature and be reviewed – as will the MER approach and the data that is available. This means a phased approach will be the most effective way to support delivery of the Framework. </w:t>
      </w:r>
    </w:p>
    <w:p w14:paraId="4784EEA2" w14:textId="1408986A" w:rsidR="00015C1F" w:rsidRPr="00015C1F" w:rsidRDefault="00015C1F" w:rsidP="00015C1F">
      <w:pPr>
        <w:pStyle w:val="ListBullet"/>
        <w:rPr>
          <w:lang w:val="en-US"/>
        </w:rPr>
      </w:pPr>
      <w:r w:rsidRPr="00015C1F">
        <w:rPr>
          <w:b/>
          <w:bCs/>
          <w:lang w:val="en-US"/>
        </w:rPr>
        <w:lastRenderedPageBreak/>
        <w:t>phase 1</w:t>
      </w:r>
      <w:r w:rsidRPr="00015C1F">
        <w:rPr>
          <w:lang w:val="en-US"/>
        </w:rPr>
        <w:t xml:space="preserve"> (current state) will enable the sector to track progress towards intermediate outcomes using preliminary indicators and measures</w:t>
      </w:r>
    </w:p>
    <w:p w14:paraId="51C398DD" w14:textId="786C5E2E" w:rsidR="00015C1F" w:rsidRPr="00015C1F" w:rsidRDefault="00015C1F" w:rsidP="00015C1F">
      <w:pPr>
        <w:pStyle w:val="ListBullet"/>
        <w:rPr>
          <w:lang w:val="en-US"/>
        </w:rPr>
      </w:pPr>
      <w:r w:rsidRPr="00015C1F">
        <w:rPr>
          <w:b/>
          <w:bCs/>
          <w:lang w:val="en-US"/>
        </w:rPr>
        <w:t>phase 2</w:t>
      </w:r>
      <w:r w:rsidRPr="00015C1F">
        <w:rPr>
          <w:lang w:val="en-US"/>
        </w:rPr>
        <w:t xml:space="preserve"> (within 2 years of Strategy commencement) will enable the sector to evaluate against all 5 MER focus areas, including more robust outcome tracking and evaluation through the addition of supporting indicators, measures and associated targets as well as qualitative evidence. </w:t>
      </w:r>
    </w:p>
    <w:p w14:paraId="34C96701" w14:textId="30A0A79C" w:rsidR="00015C1F" w:rsidRPr="00015C1F" w:rsidRDefault="00015C1F" w:rsidP="00015C1F">
      <w:pPr>
        <w:rPr>
          <w:lang w:val="en-US"/>
        </w:rPr>
      </w:pPr>
      <w:r w:rsidRPr="00015C1F">
        <w:rPr>
          <w:lang w:val="en-US"/>
        </w:rPr>
        <w:t>Phase 2 development includes the development of the supporting VBMER Plan, providing further insight and guidance in relation to the overall program logic and assumptions, governance arrangements, roles and responsibilities across the sector, as well as future sector metric and target setting for key activity areas. The VBMER Plan and delivery of Phase 1 MER activities will be coordinated through the OBRM.</w:t>
      </w:r>
    </w:p>
    <w:sectPr w:rsidR="00015C1F" w:rsidRPr="00015C1F">
      <w:footerReference w:type="even" r:id="rId14"/>
      <w:footerReference w:type="default" r:id="rId15"/>
      <w:footerReference w:type="firs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A393" w14:textId="77777777" w:rsidR="00CF1DEA" w:rsidRDefault="00CF1DEA" w:rsidP="00A24321">
      <w:pPr>
        <w:spacing w:before="0" w:after="0"/>
      </w:pPr>
      <w:r>
        <w:separator/>
      </w:r>
    </w:p>
  </w:endnote>
  <w:endnote w:type="continuationSeparator" w:id="0">
    <w:p w14:paraId="2AC200DF" w14:textId="77777777" w:rsidR="00CF1DEA" w:rsidRDefault="00CF1DEA" w:rsidP="00A243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IC SemiBold">
    <w:panose1 w:val="000007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VIC Medium Italic">
    <w:panose1 w:val="000000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A575" w14:textId="1208D668" w:rsidR="00485447" w:rsidRDefault="00485447">
    <w:pPr>
      <w:pStyle w:val="Footer"/>
    </w:pPr>
    <w:r>
      <w:rPr>
        <w:noProof/>
      </w:rPr>
      <mc:AlternateContent>
        <mc:Choice Requires="wps">
          <w:drawing>
            <wp:anchor distT="0" distB="0" distL="0" distR="0" simplePos="0" relativeHeight="251659264" behindDoc="0" locked="0" layoutInCell="1" allowOverlap="1" wp14:anchorId="78161305" wp14:editId="407CD62A">
              <wp:simplePos x="635" y="635"/>
              <wp:positionH relativeFrom="page">
                <wp:align>center</wp:align>
              </wp:positionH>
              <wp:positionV relativeFrom="page">
                <wp:align>bottom</wp:align>
              </wp:positionV>
              <wp:extent cx="443865" cy="443865"/>
              <wp:effectExtent l="0" t="0" r="635" b="0"/>
              <wp:wrapNone/>
              <wp:docPr id="209838024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CFF98" w14:textId="3F665F68" w:rsidR="00485447" w:rsidRPr="00485447" w:rsidRDefault="00485447" w:rsidP="00485447">
                          <w:pPr>
                            <w:spacing w:after="0"/>
                            <w:rPr>
                              <w:rFonts w:ascii="Calibri" w:eastAsia="Calibri" w:hAnsi="Calibri" w:cs="Calibri"/>
                              <w:noProof/>
                              <w:color w:val="000000"/>
                            </w:rPr>
                          </w:pPr>
                          <w:r w:rsidRPr="0048544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16130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7CFF98" w14:textId="3F665F68" w:rsidR="00485447" w:rsidRPr="00485447" w:rsidRDefault="00485447" w:rsidP="00485447">
                    <w:pPr>
                      <w:spacing w:after="0"/>
                      <w:rPr>
                        <w:rFonts w:ascii="Calibri" w:eastAsia="Calibri" w:hAnsi="Calibri" w:cs="Calibri"/>
                        <w:noProof/>
                        <w:color w:val="000000"/>
                      </w:rPr>
                    </w:pPr>
                    <w:r w:rsidRPr="00485447">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3C7D" w14:textId="3BBC27D4" w:rsidR="00485447" w:rsidRDefault="00485447">
    <w:pPr>
      <w:pStyle w:val="Footer"/>
    </w:pPr>
    <w:r>
      <w:rPr>
        <w:noProof/>
      </w:rPr>
      <mc:AlternateContent>
        <mc:Choice Requires="wps">
          <w:drawing>
            <wp:anchor distT="0" distB="0" distL="0" distR="0" simplePos="0" relativeHeight="251660288" behindDoc="0" locked="0" layoutInCell="1" allowOverlap="1" wp14:anchorId="3C50BB9E" wp14:editId="446CB8CD">
              <wp:simplePos x="914400" y="10058400"/>
              <wp:positionH relativeFrom="page">
                <wp:align>center</wp:align>
              </wp:positionH>
              <wp:positionV relativeFrom="page">
                <wp:align>bottom</wp:align>
              </wp:positionV>
              <wp:extent cx="443865" cy="443865"/>
              <wp:effectExtent l="0" t="0" r="635" b="0"/>
              <wp:wrapNone/>
              <wp:docPr id="156652408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51BE5A" w14:textId="25006DC5" w:rsidR="00485447" w:rsidRPr="00485447" w:rsidRDefault="00485447" w:rsidP="00485447">
                          <w:pPr>
                            <w:spacing w:after="0"/>
                            <w:rPr>
                              <w:rFonts w:ascii="Calibri" w:eastAsia="Calibri" w:hAnsi="Calibri" w:cs="Calibri"/>
                              <w:noProof/>
                              <w:color w:val="000000"/>
                            </w:rPr>
                          </w:pPr>
                          <w:r w:rsidRPr="0048544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50BB9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251BE5A" w14:textId="25006DC5" w:rsidR="00485447" w:rsidRPr="00485447" w:rsidRDefault="00485447" w:rsidP="00485447">
                    <w:pPr>
                      <w:spacing w:after="0"/>
                      <w:rPr>
                        <w:rFonts w:ascii="Calibri" w:eastAsia="Calibri" w:hAnsi="Calibri" w:cs="Calibri"/>
                        <w:noProof/>
                        <w:color w:val="000000"/>
                      </w:rPr>
                    </w:pPr>
                    <w:r w:rsidRPr="00485447">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9CF9" w14:textId="5ACDC9F1" w:rsidR="00485447" w:rsidRDefault="00485447">
    <w:pPr>
      <w:pStyle w:val="Footer"/>
    </w:pPr>
    <w:r>
      <w:rPr>
        <w:noProof/>
      </w:rPr>
      <mc:AlternateContent>
        <mc:Choice Requires="wps">
          <w:drawing>
            <wp:anchor distT="0" distB="0" distL="0" distR="0" simplePos="0" relativeHeight="251658240" behindDoc="0" locked="0" layoutInCell="1" allowOverlap="1" wp14:anchorId="23C8F6D9" wp14:editId="1F3DAE53">
              <wp:simplePos x="635" y="635"/>
              <wp:positionH relativeFrom="page">
                <wp:align>center</wp:align>
              </wp:positionH>
              <wp:positionV relativeFrom="page">
                <wp:align>bottom</wp:align>
              </wp:positionV>
              <wp:extent cx="443865" cy="443865"/>
              <wp:effectExtent l="0" t="0" r="635" b="0"/>
              <wp:wrapNone/>
              <wp:docPr id="210226162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51A9F" w14:textId="68FB36E7" w:rsidR="00485447" w:rsidRPr="00485447" w:rsidRDefault="00485447" w:rsidP="00485447">
                          <w:pPr>
                            <w:spacing w:after="0"/>
                            <w:rPr>
                              <w:rFonts w:ascii="Calibri" w:eastAsia="Calibri" w:hAnsi="Calibri" w:cs="Calibri"/>
                              <w:noProof/>
                              <w:color w:val="000000"/>
                            </w:rPr>
                          </w:pPr>
                          <w:r w:rsidRPr="00485447">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C8F6D9"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0A51A9F" w14:textId="68FB36E7" w:rsidR="00485447" w:rsidRPr="00485447" w:rsidRDefault="00485447" w:rsidP="00485447">
                    <w:pPr>
                      <w:spacing w:after="0"/>
                      <w:rPr>
                        <w:rFonts w:ascii="Calibri" w:eastAsia="Calibri" w:hAnsi="Calibri" w:cs="Calibri"/>
                        <w:noProof/>
                        <w:color w:val="000000"/>
                      </w:rPr>
                    </w:pPr>
                    <w:r w:rsidRPr="00485447">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5042" w14:textId="77777777" w:rsidR="00CF1DEA" w:rsidRDefault="00CF1DEA" w:rsidP="00A24321">
      <w:pPr>
        <w:spacing w:before="0" w:after="0"/>
      </w:pPr>
      <w:r>
        <w:separator/>
      </w:r>
    </w:p>
  </w:footnote>
  <w:footnote w:type="continuationSeparator" w:id="0">
    <w:p w14:paraId="3225FCFD" w14:textId="77777777" w:rsidR="00CF1DEA" w:rsidRDefault="00CF1DEA" w:rsidP="00A24321">
      <w:pPr>
        <w:spacing w:before="0" w:after="0"/>
      </w:pPr>
      <w:r>
        <w:continuationSeparator/>
      </w:r>
    </w:p>
  </w:footnote>
  <w:footnote w:id="1">
    <w:p w14:paraId="4FAF89AD" w14:textId="202FC315" w:rsidR="00015C1F" w:rsidRDefault="00015C1F" w:rsidP="00015C1F">
      <w:r>
        <w:rPr>
          <w:vertAlign w:val="superscript"/>
        </w:rPr>
        <w:footnoteRef/>
      </w:r>
      <w:r>
        <w:tab/>
        <w:t xml:space="preserve"> Emergency Management Victoria (2021a). Victorian State Emergency Management Plan. Emergency Management Victoria, Melbourne, Victoria.</w:t>
      </w:r>
    </w:p>
  </w:footnote>
  <w:footnote w:id="2">
    <w:p w14:paraId="1C418AF1" w14:textId="4C279AAF" w:rsidR="00015C1F" w:rsidRDefault="00015C1F" w:rsidP="00015C1F">
      <w:r>
        <w:rPr>
          <w:vertAlign w:val="superscript"/>
        </w:rPr>
        <w:footnoteRef/>
      </w:r>
      <w:r>
        <w:tab/>
        <w:t>Victorian Government (2022). Sector Outcomes Framework Emergency Management. Victorian Government, Melbourne, Victoria.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96B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C27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86E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90F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867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60F3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929D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D2A83E"/>
    <w:lvl w:ilvl="0">
      <w:start w:val="1"/>
      <w:numFmt w:val="bullet"/>
      <w:pStyle w:val="ListBullet2"/>
      <w:lvlText w:val=""/>
      <w:lvlJc w:val="left"/>
      <w:pPr>
        <w:ind w:left="643" w:hanging="360"/>
      </w:pPr>
      <w:rPr>
        <w:rFonts w:ascii="Symbol" w:hAnsi="Symbol" w:hint="default"/>
      </w:rPr>
    </w:lvl>
  </w:abstractNum>
  <w:abstractNum w:abstractNumId="8" w15:restartNumberingAfterBreak="0">
    <w:nsid w:val="FFFFFF88"/>
    <w:multiLevelType w:val="singleLevel"/>
    <w:tmpl w:val="CA8E55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EEA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B48EE"/>
    <w:multiLevelType w:val="hybridMultilevel"/>
    <w:tmpl w:val="45C88CEA"/>
    <w:lvl w:ilvl="0" w:tplc="08090001">
      <w:start w:val="1"/>
      <w:numFmt w:val="bullet"/>
      <w:lvlText w:val=""/>
      <w:lvlJc w:val="left"/>
      <w:pPr>
        <w:ind w:left="1871" w:hanging="360"/>
      </w:pPr>
      <w:rPr>
        <w:rFonts w:ascii="Symbol" w:hAnsi="Symbol"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11" w15:restartNumberingAfterBreak="0">
    <w:nsid w:val="07B67575"/>
    <w:multiLevelType w:val="hybridMultilevel"/>
    <w:tmpl w:val="845663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FC495D"/>
    <w:multiLevelType w:val="hybridMultilevel"/>
    <w:tmpl w:val="D22672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60393E"/>
    <w:multiLevelType w:val="hybridMultilevel"/>
    <w:tmpl w:val="6D7465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156732"/>
    <w:multiLevelType w:val="hybridMultilevel"/>
    <w:tmpl w:val="347CFE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441B0"/>
    <w:multiLevelType w:val="hybridMultilevel"/>
    <w:tmpl w:val="7EF0218C"/>
    <w:lvl w:ilvl="0" w:tplc="64DEF3C6">
      <w:start w:val="1"/>
      <w:numFmt w:val="bullet"/>
      <w:pStyle w:val="ListParagraph"/>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D235D54"/>
    <w:multiLevelType w:val="hybridMultilevel"/>
    <w:tmpl w:val="E2126396"/>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BE6343"/>
    <w:multiLevelType w:val="hybridMultilevel"/>
    <w:tmpl w:val="ADFAE54E"/>
    <w:lvl w:ilvl="0" w:tplc="08090001">
      <w:start w:val="1"/>
      <w:numFmt w:val="bullet"/>
      <w:lvlText w:val=""/>
      <w:lvlJc w:val="left"/>
      <w:pPr>
        <w:ind w:left="1871" w:hanging="360"/>
      </w:pPr>
      <w:rPr>
        <w:rFonts w:ascii="Symbol" w:hAnsi="Symbol"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18" w15:restartNumberingAfterBreak="0">
    <w:nsid w:val="37AE5D92"/>
    <w:multiLevelType w:val="hybridMultilevel"/>
    <w:tmpl w:val="925C4F46"/>
    <w:lvl w:ilvl="0" w:tplc="59769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49719E"/>
    <w:multiLevelType w:val="hybridMultilevel"/>
    <w:tmpl w:val="2A6E0A76"/>
    <w:lvl w:ilvl="0" w:tplc="08090001">
      <w:start w:val="1"/>
      <w:numFmt w:val="bullet"/>
      <w:lvlText w:val=""/>
      <w:lvlJc w:val="left"/>
      <w:pPr>
        <w:ind w:left="1871" w:hanging="360"/>
      </w:pPr>
      <w:rPr>
        <w:rFonts w:ascii="Symbol" w:hAnsi="Symbol"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20" w15:restartNumberingAfterBreak="0">
    <w:nsid w:val="453302CA"/>
    <w:multiLevelType w:val="hybridMultilevel"/>
    <w:tmpl w:val="85C081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123885"/>
    <w:multiLevelType w:val="hybridMultilevel"/>
    <w:tmpl w:val="0742B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40365"/>
    <w:multiLevelType w:val="hybridMultilevel"/>
    <w:tmpl w:val="DEA6342C"/>
    <w:lvl w:ilvl="0" w:tplc="08090001">
      <w:start w:val="1"/>
      <w:numFmt w:val="bullet"/>
      <w:lvlText w:val=""/>
      <w:lvlJc w:val="left"/>
      <w:pPr>
        <w:ind w:left="1871" w:hanging="360"/>
      </w:pPr>
      <w:rPr>
        <w:rFonts w:ascii="Symbol" w:hAnsi="Symbol"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23" w15:restartNumberingAfterBreak="0">
    <w:nsid w:val="4ED62714"/>
    <w:multiLevelType w:val="hybridMultilevel"/>
    <w:tmpl w:val="B2889392"/>
    <w:lvl w:ilvl="0" w:tplc="08090003">
      <w:start w:val="1"/>
      <w:numFmt w:val="bullet"/>
      <w:lvlText w:val="o"/>
      <w:lvlJc w:val="left"/>
      <w:pPr>
        <w:ind w:left="2591" w:hanging="360"/>
      </w:pPr>
      <w:rPr>
        <w:rFonts w:ascii="Courier New" w:hAnsi="Courier New" w:cs="Courier New" w:hint="default"/>
      </w:rPr>
    </w:lvl>
    <w:lvl w:ilvl="1" w:tplc="08090003" w:tentative="1">
      <w:start w:val="1"/>
      <w:numFmt w:val="bullet"/>
      <w:lvlText w:val="o"/>
      <w:lvlJc w:val="left"/>
      <w:pPr>
        <w:ind w:left="3311" w:hanging="360"/>
      </w:pPr>
      <w:rPr>
        <w:rFonts w:ascii="Courier New" w:hAnsi="Courier New" w:cs="Courier New" w:hint="default"/>
      </w:rPr>
    </w:lvl>
    <w:lvl w:ilvl="2" w:tplc="08090005" w:tentative="1">
      <w:start w:val="1"/>
      <w:numFmt w:val="bullet"/>
      <w:lvlText w:val=""/>
      <w:lvlJc w:val="left"/>
      <w:pPr>
        <w:ind w:left="4031" w:hanging="360"/>
      </w:pPr>
      <w:rPr>
        <w:rFonts w:ascii="Wingdings" w:hAnsi="Wingdings" w:hint="default"/>
      </w:rPr>
    </w:lvl>
    <w:lvl w:ilvl="3" w:tplc="08090001" w:tentative="1">
      <w:start w:val="1"/>
      <w:numFmt w:val="bullet"/>
      <w:lvlText w:val=""/>
      <w:lvlJc w:val="left"/>
      <w:pPr>
        <w:ind w:left="4751" w:hanging="360"/>
      </w:pPr>
      <w:rPr>
        <w:rFonts w:ascii="Symbol" w:hAnsi="Symbol" w:hint="default"/>
      </w:rPr>
    </w:lvl>
    <w:lvl w:ilvl="4" w:tplc="08090003" w:tentative="1">
      <w:start w:val="1"/>
      <w:numFmt w:val="bullet"/>
      <w:lvlText w:val="o"/>
      <w:lvlJc w:val="left"/>
      <w:pPr>
        <w:ind w:left="5471" w:hanging="360"/>
      </w:pPr>
      <w:rPr>
        <w:rFonts w:ascii="Courier New" w:hAnsi="Courier New" w:cs="Courier New" w:hint="default"/>
      </w:rPr>
    </w:lvl>
    <w:lvl w:ilvl="5" w:tplc="08090005" w:tentative="1">
      <w:start w:val="1"/>
      <w:numFmt w:val="bullet"/>
      <w:lvlText w:val=""/>
      <w:lvlJc w:val="left"/>
      <w:pPr>
        <w:ind w:left="6191" w:hanging="360"/>
      </w:pPr>
      <w:rPr>
        <w:rFonts w:ascii="Wingdings" w:hAnsi="Wingdings" w:hint="default"/>
      </w:rPr>
    </w:lvl>
    <w:lvl w:ilvl="6" w:tplc="08090001" w:tentative="1">
      <w:start w:val="1"/>
      <w:numFmt w:val="bullet"/>
      <w:lvlText w:val=""/>
      <w:lvlJc w:val="left"/>
      <w:pPr>
        <w:ind w:left="6911" w:hanging="360"/>
      </w:pPr>
      <w:rPr>
        <w:rFonts w:ascii="Symbol" w:hAnsi="Symbol" w:hint="default"/>
      </w:rPr>
    </w:lvl>
    <w:lvl w:ilvl="7" w:tplc="08090003" w:tentative="1">
      <w:start w:val="1"/>
      <w:numFmt w:val="bullet"/>
      <w:lvlText w:val="o"/>
      <w:lvlJc w:val="left"/>
      <w:pPr>
        <w:ind w:left="7631" w:hanging="360"/>
      </w:pPr>
      <w:rPr>
        <w:rFonts w:ascii="Courier New" w:hAnsi="Courier New" w:cs="Courier New" w:hint="default"/>
      </w:rPr>
    </w:lvl>
    <w:lvl w:ilvl="8" w:tplc="08090005" w:tentative="1">
      <w:start w:val="1"/>
      <w:numFmt w:val="bullet"/>
      <w:lvlText w:val=""/>
      <w:lvlJc w:val="left"/>
      <w:pPr>
        <w:ind w:left="8351" w:hanging="360"/>
      </w:pPr>
      <w:rPr>
        <w:rFonts w:ascii="Wingdings" w:hAnsi="Wingdings" w:hint="default"/>
      </w:rPr>
    </w:lvl>
  </w:abstractNum>
  <w:abstractNum w:abstractNumId="24" w15:restartNumberingAfterBreak="0">
    <w:nsid w:val="4F913325"/>
    <w:multiLevelType w:val="hybridMultilevel"/>
    <w:tmpl w:val="B3C2B1FA"/>
    <w:lvl w:ilvl="0" w:tplc="08090005">
      <w:start w:val="1"/>
      <w:numFmt w:val="bullet"/>
      <w:lvlText w:val=""/>
      <w:lvlJc w:val="left"/>
      <w:pPr>
        <w:ind w:left="1871" w:hanging="360"/>
      </w:pPr>
      <w:rPr>
        <w:rFonts w:ascii="Wingdings" w:hAnsi="Wingdings"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25" w15:restartNumberingAfterBreak="0">
    <w:nsid w:val="541B5453"/>
    <w:multiLevelType w:val="hybridMultilevel"/>
    <w:tmpl w:val="27183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41F90"/>
    <w:multiLevelType w:val="hybridMultilevel"/>
    <w:tmpl w:val="C9043B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1837A7"/>
    <w:multiLevelType w:val="hybridMultilevel"/>
    <w:tmpl w:val="DFB237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30509F"/>
    <w:multiLevelType w:val="hybridMultilevel"/>
    <w:tmpl w:val="3A4E43E4"/>
    <w:lvl w:ilvl="0" w:tplc="08090001">
      <w:start w:val="1"/>
      <w:numFmt w:val="bullet"/>
      <w:lvlText w:val=""/>
      <w:lvlJc w:val="left"/>
      <w:pPr>
        <w:ind w:left="1871" w:hanging="360"/>
      </w:pPr>
      <w:rPr>
        <w:rFonts w:ascii="Symbol" w:hAnsi="Symbol" w:hint="default"/>
      </w:rPr>
    </w:lvl>
    <w:lvl w:ilvl="1" w:tplc="FFFFFFFF" w:tentative="1">
      <w:start w:val="1"/>
      <w:numFmt w:val="bullet"/>
      <w:lvlText w:val="o"/>
      <w:lvlJc w:val="left"/>
      <w:pPr>
        <w:ind w:left="2591" w:hanging="360"/>
      </w:pPr>
      <w:rPr>
        <w:rFonts w:ascii="Courier New" w:hAnsi="Courier New" w:cs="Courier New" w:hint="default"/>
      </w:rPr>
    </w:lvl>
    <w:lvl w:ilvl="2" w:tplc="FFFFFFFF" w:tentative="1">
      <w:start w:val="1"/>
      <w:numFmt w:val="bullet"/>
      <w:lvlText w:val=""/>
      <w:lvlJc w:val="left"/>
      <w:pPr>
        <w:ind w:left="3311" w:hanging="360"/>
      </w:pPr>
      <w:rPr>
        <w:rFonts w:ascii="Wingdings" w:hAnsi="Wingdings" w:hint="default"/>
      </w:rPr>
    </w:lvl>
    <w:lvl w:ilvl="3" w:tplc="FFFFFFFF" w:tentative="1">
      <w:start w:val="1"/>
      <w:numFmt w:val="bullet"/>
      <w:lvlText w:val=""/>
      <w:lvlJc w:val="left"/>
      <w:pPr>
        <w:ind w:left="4031" w:hanging="360"/>
      </w:pPr>
      <w:rPr>
        <w:rFonts w:ascii="Symbol" w:hAnsi="Symbol" w:hint="default"/>
      </w:rPr>
    </w:lvl>
    <w:lvl w:ilvl="4" w:tplc="FFFFFFFF" w:tentative="1">
      <w:start w:val="1"/>
      <w:numFmt w:val="bullet"/>
      <w:lvlText w:val="o"/>
      <w:lvlJc w:val="left"/>
      <w:pPr>
        <w:ind w:left="4751" w:hanging="360"/>
      </w:pPr>
      <w:rPr>
        <w:rFonts w:ascii="Courier New" w:hAnsi="Courier New" w:cs="Courier New" w:hint="default"/>
      </w:rPr>
    </w:lvl>
    <w:lvl w:ilvl="5" w:tplc="FFFFFFFF" w:tentative="1">
      <w:start w:val="1"/>
      <w:numFmt w:val="bullet"/>
      <w:lvlText w:val=""/>
      <w:lvlJc w:val="left"/>
      <w:pPr>
        <w:ind w:left="5471" w:hanging="360"/>
      </w:pPr>
      <w:rPr>
        <w:rFonts w:ascii="Wingdings" w:hAnsi="Wingdings" w:hint="default"/>
      </w:rPr>
    </w:lvl>
    <w:lvl w:ilvl="6" w:tplc="FFFFFFFF" w:tentative="1">
      <w:start w:val="1"/>
      <w:numFmt w:val="bullet"/>
      <w:lvlText w:val=""/>
      <w:lvlJc w:val="left"/>
      <w:pPr>
        <w:ind w:left="6191" w:hanging="360"/>
      </w:pPr>
      <w:rPr>
        <w:rFonts w:ascii="Symbol" w:hAnsi="Symbol" w:hint="default"/>
      </w:rPr>
    </w:lvl>
    <w:lvl w:ilvl="7" w:tplc="FFFFFFFF" w:tentative="1">
      <w:start w:val="1"/>
      <w:numFmt w:val="bullet"/>
      <w:lvlText w:val="o"/>
      <w:lvlJc w:val="left"/>
      <w:pPr>
        <w:ind w:left="6911" w:hanging="360"/>
      </w:pPr>
      <w:rPr>
        <w:rFonts w:ascii="Courier New" w:hAnsi="Courier New" w:cs="Courier New" w:hint="default"/>
      </w:rPr>
    </w:lvl>
    <w:lvl w:ilvl="8" w:tplc="FFFFFFFF" w:tentative="1">
      <w:start w:val="1"/>
      <w:numFmt w:val="bullet"/>
      <w:lvlText w:val=""/>
      <w:lvlJc w:val="left"/>
      <w:pPr>
        <w:ind w:left="7631" w:hanging="360"/>
      </w:pPr>
      <w:rPr>
        <w:rFonts w:ascii="Wingdings" w:hAnsi="Wingdings" w:hint="default"/>
      </w:rPr>
    </w:lvl>
  </w:abstractNum>
  <w:abstractNum w:abstractNumId="29" w15:restartNumberingAfterBreak="0">
    <w:nsid w:val="599F7DB0"/>
    <w:multiLevelType w:val="hybridMultilevel"/>
    <w:tmpl w:val="A03C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9E1766"/>
    <w:multiLevelType w:val="hybridMultilevel"/>
    <w:tmpl w:val="48E038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AD4BFB"/>
    <w:multiLevelType w:val="hybridMultilevel"/>
    <w:tmpl w:val="229E6602"/>
    <w:lvl w:ilvl="0" w:tplc="59769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E53965"/>
    <w:multiLevelType w:val="hybridMultilevel"/>
    <w:tmpl w:val="3BE423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294FE7"/>
    <w:multiLevelType w:val="hybridMultilevel"/>
    <w:tmpl w:val="9F785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5A0F97"/>
    <w:multiLevelType w:val="hybridMultilevel"/>
    <w:tmpl w:val="2264DF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D039F6"/>
    <w:multiLevelType w:val="hybridMultilevel"/>
    <w:tmpl w:val="390E4D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2E693E"/>
    <w:multiLevelType w:val="hybridMultilevel"/>
    <w:tmpl w:val="77E299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947FDE"/>
    <w:multiLevelType w:val="hybridMultilevel"/>
    <w:tmpl w:val="6AA81F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2724B1"/>
    <w:multiLevelType w:val="hybridMultilevel"/>
    <w:tmpl w:val="B8E0DD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E3D57"/>
    <w:multiLevelType w:val="hybridMultilevel"/>
    <w:tmpl w:val="ECC85E5E"/>
    <w:lvl w:ilvl="0" w:tplc="59769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55F6A"/>
    <w:multiLevelType w:val="hybridMultilevel"/>
    <w:tmpl w:val="FDE02C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698855">
    <w:abstractNumId w:val="9"/>
  </w:num>
  <w:num w:numId="2" w16cid:durableId="193227402">
    <w:abstractNumId w:val="7"/>
  </w:num>
  <w:num w:numId="3" w16cid:durableId="2094859202">
    <w:abstractNumId w:val="29"/>
  </w:num>
  <w:num w:numId="4" w16cid:durableId="1732802021">
    <w:abstractNumId w:val="35"/>
  </w:num>
  <w:num w:numId="5" w16cid:durableId="1494296745">
    <w:abstractNumId w:val="34"/>
  </w:num>
  <w:num w:numId="6" w16cid:durableId="45374625">
    <w:abstractNumId w:val="33"/>
  </w:num>
  <w:num w:numId="7" w16cid:durableId="1274895571">
    <w:abstractNumId w:val="11"/>
  </w:num>
  <w:num w:numId="8" w16cid:durableId="1068187202">
    <w:abstractNumId w:val="13"/>
  </w:num>
  <w:num w:numId="9" w16cid:durableId="1598709806">
    <w:abstractNumId w:val="25"/>
  </w:num>
  <w:num w:numId="10" w16cid:durableId="249629187">
    <w:abstractNumId w:val="20"/>
  </w:num>
  <w:num w:numId="11" w16cid:durableId="749162685">
    <w:abstractNumId w:val="36"/>
  </w:num>
  <w:num w:numId="12" w16cid:durableId="1888683178">
    <w:abstractNumId w:val="32"/>
  </w:num>
  <w:num w:numId="13" w16cid:durableId="1815950793">
    <w:abstractNumId w:val="30"/>
  </w:num>
  <w:num w:numId="14" w16cid:durableId="1180463425">
    <w:abstractNumId w:val="14"/>
  </w:num>
  <w:num w:numId="15" w16cid:durableId="453258965">
    <w:abstractNumId w:val="27"/>
  </w:num>
  <w:num w:numId="16" w16cid:durableId="398017873">
    <w:abstractNumId w:val="26"/>
  </w:num>
  <w:num w:numId="17" w16cid:durableId="193888236">
    <w:abstractNumId w:val="38"/>
  </w:num>
  <w:num w:numId="18" w16cid:durableId="1578634175">
    <w:abstractNumId w:val="9"/>
  </w:num>
  <w:num w:numId="19" w16cid:durableId="1072312785">
    <w:abstractNumId w:val="12"/>
  </w:num>
  <w:num w:numId="20" w16cid:durableId="130950490">
    <w:abstractNumId w:val="0"/>
  </w:num>
  <w:num w:numId="21" w16cid:durableId="691683337">
    <w:abstractNumId w:val="1"/>
  </w:num>
  <w:num w:numId="22" w16cid:durableId="290550831">
    <w:abstractNumId w:val="2"/>
  </w:num>
  <w:num w:numId="23" w16cid:durableId="703167435">
    <w:abstractNumId w:val="3"/>
  </w:num>
  <w:num w:numId="24" w16cid:durableId="1343628800">
    <w:abstractNumId w:val="8"/>
  </w:num>
  <w:num w:numId="25" w16cid:durableId="2143230827">
    <w:abstractNumId w:val="4"/>
  </w:num>
  <w:num w:numId="26" w16cid:durableId="173035995">
    <w:abstractNumId w:val="5"/>
  </w:num>
  <w:num w:numId="27" w16cid:durableId="986935718">
    <w:abstractNumId w:val="6"/>
  </w:num>
  <w:num w:numId="28" w16cid:durableId="128059474">
    <w:abstractNumId w:val="0"/>
  </w:num>
  <w:num w:numId="29" w16cid:durableId="1845822439">
    <w:abstractNumId w:val="1"/>
  </w:num>
  <w:num w:numId="30" w16cid:durableId="208809106">
    <w:abstractNumId w:val="2"/>
  </w:num>
  <w:num w:numId="31" w16cid:durableId="2117360229">
    <w:abstractNumId w:val="3"/>
  </w:num>
  <w:num w:numId="32" w16cid:durableId="1094741058">
    <w:abstractNumId w:val="8"/>
  </w:num>
  <w:num w:numId="33" w16cid:durableId="863372125">
    <w:abstractNumId w:val="4"/>
  </w:num>
  <w:num w:numId="34" w16cid:durableId="416755103">
    <w:abstractNumId w:val="5"/>
  </w:num>
  <w:num w:numId="35" w16cid:durableId="1415585035">
    <w:abstractNumId w:val="6"/>
  </w:num>
  <w:num w:numId="36" w16cid:durableId="402608241">
    <w:abstractNumId w:val="22"/>
  </w:num>
  <w:num w:numId="37" w16cid:durableId="1269005558">
    <w:abstractNumId w:val="21"/>
  </w:num>
  <w:num w:numId="38" w16cid:durableId="387001164">
    <w:abstractNumId w:val="31"/>
  </w:num>
  <w:num w:numId="39" w16cid:durableId="1019310859">
    <w:abstractNumId w:val="19"/>
  </w:num>
  <w:num w:numId="40" w16cid:durableId="1414164677">
    <w:abstractNumId w:val="39"/>
  </w:num>
  <w:num w:numId="41" w16cid:durableId="518860844">
    <w:abstractNumId w:val="18"/>
  </w:num>
  <w:num w:numId="42" w16cid:durableId="1876187641">
    <w:abstractNumId w:val="37"/>
  </w:num>
  <w:num w:numId="43" w16cid:durableId="1319068601">
    <w:abstractNumId w:val="40"/>
  </w:num>
  <w:num w:numId="44" w16cid:durableId="947200571">
    <w:abstractNumId w:val="16"/>
  </w:num>
  <w:num w:numId="45" w16cid:durableId="1189560458">
    <w:abstractNumId w:val="15"/>
  </w:num>
  <w:num w:numId="46" w16cid:durableId="1413039480">
    <w:abstractNumId w:val="24"/>
  </w:num>
  <w:num w:numId="47" w16cid:durableId="402726804">
    <w:abstractNumId w:val="28"/>
  </w:num>
  <w:num w:numId="48" w16cid:durableId="392194457">
    <w:abstractNumId w:val="23"/>
  </w:num>
  <w:num w:numId="49" w16cid:durableId="851990925">
    <w:abstractNumId w:val="17"/>
  </w:num>
  <w:num w:numId="50" w16cid:durableId="50162352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48"/>
    <w:rsid w:val="00015C1F"/>
    <w:rsid w:val="00051FCA"/>
    <w:rsid w:val="00057CEF"/>
    <w:rsid w:val="00062940"/>
    <w:rsid w:val="000678DC"/>
    <w:rsid w:val="000715AD"/>
    <w:rsid w:val="00077FF9"/>
    <w:rsid w:val="000B0B8F"/>
    <w:rsid w:val="000B4238"/>
    <w:rsid w:val="000E5231"/>
    <w:rsid w:val="000F2006"/>
    <w:rsid w:val="000F4A3C"/>
    <w:rsid w:val="00110DE1"/>
    <w:rsid w:val="00115FCB"/>
    <w:rsid w:val="001170C5"/>
    <w:rsid w:val="001354F9"/>
    <w:rsid w:val="00144E2B"/>
    <w:rsid w:val="00154A21"/>
    <w:rsid w:val="0016690D"/>
    <w:rsid w:val="00196716"/>
    <w:rsid w:val="001A336A"/>
    <w:rsid w:val="001B4408"/>
    <w:rsid w:val="001B67D8"/>
    <w:rsid w:val="001C06C2"/>
    <w:rsid w:val="001C1FF7"/>
    <w:rsid w:val="002168A2"/>
    <w:rsid w:val="002348C9"/>
    <w:rsid w:val="00243EF1"/>
    <w:rsid w:val="00253B0A"/>
    <w:rsid w:val="00253EB6"/>
    <w:rsid w:val="0026357B"/>
    <w:rsid w:val="00270C34"/>
    <w:rsid w:val="00283FED"/>
    <w:rsid w:val="002856CB"/>
    <w:rsid w:val="00294391"/>
    <w:rsid w:val="00295F32"/>
    <w:rsid w:val="002962FE"/>
    <w:rsid w:val="00297D48"/>
    <w:rsid w:val="002B6FA6"/>
    <w:rsid w:val="002E2C2B"/>
    <w:rsid w:val="002E6FBD"/>
    <w:rsid w:val="003006DE"/>
    <w:rsid w:val="00303B69"/>
    <w:rsid w:val="003106BF"/>
    <w:rsid w:val="003151BD"/>
    <w:rsid w:val="00346FEE"/>
    <w:rsid w:val="003479D2"/>
    <w:rsid w:val="00354A72"/>
    <w:rsid w:val="00363104"/>
    <w:rsid w:val="003665DD"/>
    <w:rsid w:val="003E5D36"/>
    <w:rsid w:val="0045164C"/>
    <w:rsid w:val="004623A8"/>
    <w:rsid w:val="0047611C"/>
    <w:rsid w:val="00485447"/>
    <w:rsid w:val="004B0E27"/>
    <w:rsid w:val="004C6AAE"/>
    <w:rsid w:val="004E3C5D"/>
    <w:rsid w:val="004F2858"/>
    <w:rsid w:val="004F5AD5"/>
    <w:rsid w:val="00517864"/>
    <w:rsid w:val="0052752B"/>
    <w:rsid w:val="00537FB0"/>
    <w:rsid w:val="00562A68"/>
    <w:rsid w:val="00576501"/>
    <w:rsid w:val="00594DF6"/>
    <w:rsid w:val="005A00C0"/>
    <w:rsid w:val="005A763C"/>
    <w:rsid w:val="005D10D8"/>
    <w:rsid w:val="005F0AD8"/>
    <w:rsid w:val="00637F12"/>
    <w:rsid w:val="006424AD"/>
    <w:rsid w:val="00642610"/>
    <w:rsid w:val="00656B4A"/>
    <w:rsid w:val="00670970"/>
    <w:rsid w:val="00677986"/>
    <w:rsid w:val="00682365"/>
    <w:rsid w:val="00682C19"/>
    <w:rsid w:val="0069207E"/>
    <w:rsid w:val="006B4941"/>
    <w:rsid w:val="006D6E3C"/>
    <w:rsid w:val="007523A8"/>
    <w:rsid w:val="00774DA1"/>
    <w:rsid w:val="007E5DFB"/>
    <w:rsid w:val="007F08B3"/>
    <w:rsid w:val="008101C8"/>
    <w:rsid w:val="00811322"/>
    <w:rsid w:val="008307E4"/>
    <w:rsid w:val="00843FB0"/>
    <w:rsid w:val="008504B1"/>
    <w:rsid w:val="008665A2"/>
    <w:rsid w:val="00876174"/>
    <w:rsid w:val="008A207F"/>
    <w:rsid w:val="008D12E6"/>
    <w:rsid w:val="008F72E0"/>
    <w:rsid w:val="009104CD"/>
    <w:rsid w:val="009303BF"/>
    <w:rsid w:val="009A4D4E"/>
    <w:rsid w:val="009C6870"/>
    <w:rsid w:val="009E5B3E"/>
    <w:rsid w:val="00A005A2"/>
    <w:rsid w:val="00A15E36"/>
    <w:rsid w:val="00A2103E"/>
    <w:rsid w:val="00A22826"/>
    <w:rsid w:val="00A24321"/>
    <w:rsid w:val="00A25BF4"/>
    <w:rsid w:val="00A61499"/>
    <w:rsid w:val="00A640DC"/>
    <w:rsid w:val="00A72DBF"/>
    <w:rsid w:val="00A81062"/>
    <w:rsid w:val="00A851F4"/>
    <w:rsid w:val="00A9307F"/>
    <w:rsid w:val="00AE744D"/>
    <w:rsid w:val="00B21E51"/>
    <w:rsid w:val="00B334F7"/>
    <w:rsid w:val="00B70EAE"/>
    <w:rsid w:val="00C04970"/>
    <w:rsid w:val="00C63485"/>
    <w:rsid w:val="00C7425F"/>
    <w:rsid w:val="00CC5F4E"/>
    <w:rsid w:val="00CD46A6"/>
    <w:rsid w:val="00CE6580"/>
    <w:rsid w:val="00CF1DEA"/>
    <w:rsid w:val="00CF6D66"/>
    <w:rsid w:val="00CF7FD9"/>
    <w:rsid w:val="00D278A8"/>
    <w:rsid w:val="00D4037B"/>
    <w:rsid w:val="00D9243B"/>
    <w:rsid w:val="00D97527"/>
    <w:rsid w:val="00DA1226"/>
    <w:rsid w:val="00DA2828"/>
    <w:rsid w:val="00DD0076"/>
    <w:rsid w:val="00DD1022"/>
    <w:rsid w:val="00DF509D"/>
    <w:rsid w:val="00E314F5"/>
    <w:rsid w:val="00E32DEF"/>
    <w:rsid w:val="00E77F86"/>
    <w:rsid w:val="00EA3A27"/>
    <w:rsid w:val="00EB4088"/>
    <w:rsid w:val="00EC0554"/>
    <w:rsid w:val="00F3116E"/>
    <w:rsid w:val="00F60953"/>
    <w:rsid w:val="00F856ED"/>
    <w:rsid w:val="00FB3280"/>
    <w:rsid w:val="00FB3A78"/>
    <w:rsid w:val="00FE6C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CB56"/>
  <w15:chartTrackingRefBased/>
  <w15:docId w15:val="{6CD6362A-AD24-CB44-991D-49A5045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6E"/>
    <w:pPr>
      <w:spacing w:before="240" w:after="240"/>
    </w:pPr>
  </w:style>
  <w:style w:type="paragraph" w:styleId="Heading1">
    <w:name w:val="heading 1"/>
    <w:basedOn w:val="Normal"/>
    <w:next w:val="Normal"/>
    <w:link w:val="Heading1Char"/>
    <w:uiPriority w:val="9"/>
    <w:qFormat/>
    <w:rsid w:val="00656B4A"/>
    <w:pPr>
      <w:keepNext/>
      <w:keepLines/>
      <w:spacing w:before="480" w:line="192" w:lineRule="auto"/>
      <w:outlineLvl w:val="0"/>
    </w:pPr>
    <w:rPr>
      <w:rFonts w:ascii="Calibri" w:eastAsiaTheme="majorEastAsia" w:hAnsi="Calibri" w:cstheme="majorBidi"/>
      <w:b/>
      <w:color w:val="000000" w:themeColor="text1"/>
      <w:sz w:val="60"/>
      <w:szCs w:val="32"/>
    </w:rPr>
  </w:style>
  <w:style w:type="paragraph" w:styleId="Heading2">
    <w:name w:val="heading 2"/>
    <w:basedOn w:val="Normal"/>
    <w:next w:val="Normal"/>
    <w:link w:val="Heading2Char"/>
    <w:uiPriority w:val="9"/>
    <w:unhideWhenUsed/>
    <w:qFormat/>
    <w:rsid w:val="00656B4A"/>
    <w:pPr>
      <w:keepNext/>
      <w:keepLines/>
      <w:spacing w:before="480" w:line="192" w:lineRule="auto"/>
      <w:outlineLvl w:val="1"/>
    </w:pPr>
    <w:rPr>
      <w:rFonts w:asciiTheme="majorHAnsi" w:eastAsiaTheme="majorEastAsia" w:hAnsiTheme="majorHAnsi" w:cstheme="majorBidi"/>
      <w:color w:val="000000" w:themeColor="text1"/>
      <w:sz w:val="52"/>
      <w:szCs w:val="26"/>
    </w:rPr>
  </w:style>
  <w:style w:type="paragraph" w:styleId="Heading3">
    <w:name w:val="heading 3"/>
    <w:basedOn w:val="Normal"/>
    <w:next w:val="Normal"/>
    <w:link w:val="Heading3Char"/>
    <w:uiPriority w:val="9"/>
    <w:unhideWhenUsed/>
    <w:qFormat/>
    <w:rsid w:val="005A00C0"/>
    <w:pPr>
      <w:keepNext/>
      <w:keepLines/>
      <w:spacing w:before="360" w:line="192" w:lineRule="auto"/>
      <w:outlineLvl w:val="2"/>
    </w:pPr>
    <w:rPr>
      <w:rFonts w:ascii="Calibri" w:eastAsiaTheme="majorEastAsia" w:hAnsi="Calibri" w:cstheme="majorBidi"/>
      <w:color w:val="000000" w:themeColor="text1"/>
      <w:sz w:val="44"/>
    </w:rPr>
  </w:style>
  <w:style w:type="paragraph" w:styleId="Heading4">
    <w:name w:val="heading 4"/>
    <w:basedOn w:val="Normal"/>
    <w:next w:val="Normal"/>
    <w:link w:val="Heading4Char"/>
    <w:uiPriority w:val="9"/>
    <w:unhideWhenUsed/>
    <w:qFormat/>
    <w:rsid w:val="002962FE"/>
    <w:pPr>
      <w:keepNext/>
      <w:keepLines/>
      <w:spacing w:before="40"/>
      <w:outlineLvl w:val="3"/>
    </w:pPr>
    <w:rPr>
      <w:rFonts w:asciiTheme="majorHAnsi" w:eastAsiaTheme="majorEastAsia" w:hAnsiTheme="majorHAnsi" w:cstheme="majorBidi"/>
      <w:i/>
      <w:iCs/>
      <w:color w:val="000000" w:themeColor="text1"/>
      <w:sz w:val="36"/>
    </w:rPr>
  </w:style>
  <w:style w:type="paragraph" w:styleId="Heading5">
    <w:name w:val="heading 5"/>
    <w:basedOn w:val="Normal"/>
    <w:next w:val="Normal"/>
    <w:link w:val="Heading5Char"/>
    <w:uiPriority w:val="9"/>
    <w:unhideWhenUsed/>
    <w:qFormat/>
    <w:rsid w:val="008307E4"/>
    <w:pPr>
      <w:keepNext/>
      <w:keepLines/>
      <w:spacing w:before="40"/>
      <w:outlineLvl w:val="4"/>
    </w:pPr>
    <w:rPr>
      <w:rFonts w:asciiTheme="majorHAnsi" w:eastAsiaTheme="majorEastAsia" w:hAnsiTheme="majorHAnsi" w:cstheme="majorBidi"/>
      <w:color w:val="000000" w:themeColor="text1"/>
      <w:sz w:val="30"/>
    </w:rPr>
  </w:style>
  <w:style w:type="paragraph" w:styleId="Heading6">
    <w:name w:val="heading 6"/>
    <w:next w:val="Normal"/>
    <w:link w:val="Heading6Char"/>
    <w:rsid w:val="00297D48"/>
    <w:pPr>
      <w:outlineLvl w:val="5"/>
    </w:pPr>
    <w:rPr>
      <w:rFonts w:ascii="Arial" w:hAnsi="Arial" w:cs="Arial"/>
      <w:sz w:val="28"/>
      <w:szCs w:val="32"/>
      <w:u w:val="single"/>
    </w:rPr>
  </w:style>
  <w:style w:type="paragraph" w:styleId="Heading7">
    <w:name w:val="heading 7"/>
    <w:basedOn w:val="Normal"/>
    <w:next w:val="Normal"/>
    <w:link w:val="Heading7Char"/>
    <w:uiPriority w:val="9"/>
    <w:unhideWhenUsed/>
    <w:qFormat/>
    <w:rsid w:val="00297D4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297D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97D48"/>
    <w:rPr>
      <w:rFonts w:ascii="Arial" w:hAnsi="Arial" w:cs="Arial"/>
      <w:sz w:val="28"/>
      <w:szCs w:val="32"/>
      <w:u w:val="single"/>
    </w:rPr>
  </w:style>
  <w:style w:type="paragraph" w:styleId="Title">
    <w:name w:val="Title"/>
    <w:basedOn w:val="Normal"/>
    <w:next w:val="Normal"/>
    <w:link w:val="TitleChar"/>
    <w:uiPriority w:val="10"/>
    <w:qFormat/>
    <w:rsid w:val="002B6FA6"/>
    <w:pPr>
      <w:spacing w:after="480" w:line="192" w:lineRule="auto"/>
      <w:contextualSpacing/>
    </w:pPr>
    <w:rPr>
      <w:rFonts w:asciiTheme="majorHAnsi" w:eastAsiaTheme="majorEastAsia" w:hAnsiTheme="majorHAnsi" w:cstheme="majorBidi"/>
      <w:spacing w:val="-10"/>
      <w:kern w:val="28"/>
      <w:sz w:val="88"/>
      <w:szCs w:val="56"/>
    </w:rPr>
  </w:style>
  <w:style w:type="character" w:customStyle="1" w:styleId="TitleChar">
    <w:name w:val="Title Char"/>
    <w:basedOn w:val="DefaultParagraphFont"/>
    <w:link w:val="Title"/>
    <w:uiPriority w:val="10"/>
    <w:rsid w:val="002B6FA6"/>
    <w:rPr>
      <w:rFonts w:asciiTheme="majorHAnsi" w:eastAsiaTheme="majorEastAsia" w:hAnsiTheme="majorHAnsi" w:cstheme="majorBidi"/>
      <w:spacing w:val="-10"/>
      <w:kern w:val="28"/>
      <w:sz w:val="88"/>
      <w:szCs w:val="56"/>
    </w:rPr>
  </w:style>
  <w:style w:type="paragraph" w:styleId="Subtitle">
    <w:name w:val="Subtitle"/>
    <w:basedOn w:val="Normal"/>
    <w:next w:val="Normal"/>
    <w:link w:val="SubtitleChar"/>
    <w:uiPriority w:val="11"/>
    <w:qFormat/>
    <w:rsid w:val="00656B4A"/>
    <w:pPr>
      <w:numPr>
        <w:ilvl w:val="1"/>
      </w:numPr>
      <w:spacing w:after="480" w:line="192" w:lineRule="auto"/>
    </w:pPr>
    <w:rPr>
      <w:color w:val="000000" w:themeColor="text1"/>
      <w:spacing w:val="15"/>
      <w:sz w:val="64"/>
      <w:szCs w:val="22"/>
    </w:rPr>
  </w:style>
  <w:style w:type="character" w:customStyle="1" w:styleId="SubtitleChar">
    <w:name w:val="Subtitle Char"/>
    <w:basedOn w:val="DefaultParagraphFont"/>
    <w:link w:val="Subtitle"/>
    <w:uiPriority w:val="11"/>
    <w:rsid w:val="00656B4A"/>
    <w:rPr>
      <w:color w:val="000000" w:themeColor="text1"/>
      <w:spacing w:val="15"/>
      <w:sz w:val="64"/>
      <w:szCs w:val="22"/>
    </w:rPr>
  </w:style>
  <w:style w:type="character" w:customStyle="1" w:styleId="Heading1Char">
    <w:name w:val="Heading 1 Char"/>
    <w:basedOn w:val="DefaultParagraphFont"/>
    <w:link w:val="Heading1"/>
    <w:uiPriority w:val="9"/>
    <w:rsid w:val="00656B4A"/>
    <w:rPr>
      <w:rFonts w:ascii="Calibri" w:eastAsiaTheme="majorEastAsia" w:hAnsi="Calibri" w:cstheme="majorBidi"/>
      <w:b/>
      <w:color w:val="000000" w:themeColor="text1"/>
      <w:sz w:val="60"/>
      <w:szCs w:val="32"/>
    </w:rPr>
  </w:style>
  <w:style w:type="character" w:customStyle="1" w:styleId="Heading2Char">
    <w:name w:val="Heading 2 Char"/>
    <w:basedOn w:val="DefaultParagraphFont"/>
    <w:link w:val="Heading2"/>
    <w:uiPriority w:val="9"/>
    <w:rsid w:val="00656B4A"/>
    <w:rPr>
      <w:rFonts w:asciiTheme="majorHAnsi" w:eastAsiaTheme="majorEastAsia" w:hAnsiTheme="majorHAnsi" w:cstheme="majorBidi"/>
      <w:color w:val="000000" w:themeColor="text1"/>
      <w:sz w:val="52"/>
      <w:szCs w:val="26"/>
    </w:rPr>
  </w:style>
  <w:style w:type="character" w:customStyle="1" w:styleId="Heading3Char">
    <w:name w:val="Heading 3 Char"/>
    <w:basedOn w:val="DefaultParagraphFont"/>
    <w:link w:val="Heading3"/>
    <w:uiPriority w:val="9"/>
    <w:rsid w:val="005A00C0"/>
    <w:rPr>
      <w:rFonts w:ascii="Calibri" w:eastAsiaTheme="majorEastAsia" w:hAnsi="Calibri" w:cstheme="majorBidi"/>
      <w:color w:val="000000" w:themeColor="text1"/>
      <w:sz w:val="44"/>
    </w:rPr>
  </w:style>
  <w:style w:type="character" w:customStyle="1" w:styleId="Heading4Char">
    <w:name w:val="Heading 4 Char"/>
    <w:basedOn w:val="DefaultParagraphFont"/>
    <w:link w:val="Heading4"/>
    <w:uiPriority w:val="9"/>
    <w:rsid w:val="002962FE"/>
    <w:rPr>
      <w:rFonts w:asciiTheme="majorHAnsi" w:eastAsiaTheme="majorEastAsia" w:hAnsiTheme="majorHAnsi" w:cstheme="majorBidi"/>
      <w:i/>
      <w:iCs/>
      <w:color w:val="000000" w:themeColor="text1"/>
      <w:sz w:val="36"/>
    </w:rPr>
  </w:style>
  <w:style w:type="character" w:customStyle="1" w:styleId="Heading5Char">
    <w:name w:val="Heading 5 Char"/>
    <w:basedOn w:val="DefaultParagraphFont"/>
    <w:link w:val="Heading5"/>
    <w:uiPriority w:val="9"/>
    <w:rsid w:val="008307E4"/>
    <w:rPr>
      <w:rFonts w:asciiTheme="majorHAnsi" w:eastAsiaTheme="majorEastAsia" w:hAnsiTheme="majorHAnsi" w:cstheme="majorBidi"/>
      <w:color w:val="000000" w:themeColor="text1"/>
      <w:sz w:val="30"/>
    </w:rPr>
  </w:style>
  <w:style w:type="character" w:customStyle="1" w:styleId="Heading7Char">
    <w:name w:val="Heading 7 Char"/>
    <w:basedOn w:val="DefaultParagraphFont"/>
    <w:link w:val="Heading7"/>
    <w:uiPriority w:val="9"/>
    <w:rsid w:val="00297D4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297D48"/>
    <w:rPr>
      <w:rFonts w:asciiTheme="majorHAnsi" w:eastAsiaTheme="majorEastAsia" w:hAnsiTheme="majorHAnsi" w:cstheme="majorBidi"/>
      <w:color w:val="272727" w:themeColor="text1" w:themeTint="D8"/>
      <w:sz w:val="21"/>
      <w:szCs w:val="21"/>
    </w:rPr>
  </w:style>
  <w:style w:type="paragraph" w:styleId="BlockText">
    <w:name w:val="Block Text"/>
    <w:basedOn w:val="Normal"/>
    <w:uiPriority w:val="99"/>
    <w:unhideWhenUsed/>
    <w:rsid w:val="002962FE"/>
    <w:pPr>
      <w:pBdr>
        <w:top w:val="single" w:sz="2" w:space="10" w:color="000000" w:themeColor="text1"/>
        <w:left w:val="single" w:sz="2" w:space="10" w:color="000000" w:themeColor="text1"/>
        <w:bottom w:val="single" w:sz="2" w:space="10" w:color="000000" w:themeColor="text1"/>
        <w:right w:val="single" w:sz="2" w:space="10" w:color="000000" w:themeColor="text1"/>
      </w:pBdr>
      <w:ind w:left="1151" w:right="1151"/>
    </w:pPr>
    <w:rPr>
      <w:i/>
      <w:iCs/>
      <w:color w:val="000000" w:themeColor="text1"/>
    </w:rPr>
  </w:style>
  <w:style w:type="paragraph" w:styleId="ListBullet">
    <w:name w:val="List Bullet"/>
    <w:basedOn w:val="Normal"/>
    <w:uiPriority w:val="99"/>
    <w:unhideWhenUsed/>
    <w:rsid w:val="005A00C0"/>
    <w:pPr>
      <w:numPr>
        <w:numId w:val="1"/>
      </w:numPr>
      <w:spacing w:before="120"/>
    </w:pPr>
  </w:style>
  <w:style w:type="paragraph" w:styleId="Caption">
    <w:name w:val="caption"/>
    <w:basedOn w:val="Normal"/>
    <w:next w:val="Normal"/>
    <w:uiPriority w:val="35"/>
    <w:unhideWhenUsed/>
    <w:qFormat/>
    <w:rsid w:val="008504B1"/>
    <w:pPr>
      <w:keepNext/>
      <w:spacing w:after="200"/>
    </w:pPr>
    <w:rPr>
      <w:i/>
      <w:iCs/>
      <w:color w:val="000000" w:themeColor="text1"/>
      <w:szCs w:val="18"/>
    </w:rPr>
  </w:style>
  <w:style w:type="character" w:styleId="Hyperlink">
    <w:name w:val="Hyperlink"/>
    <w:basedOn w:val="DefaultParagraphFont"/>
    <w:uiPriority w:val="99"/>
    <w:unhideWhenUsed/>
    <w:rsid w:val="00A24321"/>
    <w:rPr>
      <w:color w:val="0563C1" w:themeColor="hyperlink"/>
      <w:u w:val="single"/>
    </w:rPr>
  </w:style>
  <w:style w:type="character" w:styleId="UnresolvedMention">
    <w:name w:val="Unresolved Mention"/>
    <w:basedOn w:val="DefaultParagraphFont"/>
    <w:uiPriority w:val="99"/>
    <w:semiHidden/>
    <w:unhideWhenUsed/>
    <w:rsid w:val="00A24321"/>
    <w:rPr>
      <w:color w:val="605E5C"/>
      <w:shd w:val="clear" w:color="auto" w:fill="E1DFDD"/>
    </w:rPr>
  </w:style>
  <w:style w:type="paragraph" w:styleId="Header">
    <w:name w:val="header"/>
    <w:basedOn w:val="Normal"/>
    <w:link w:val="HeaderChar"/>
    <w:uiPriority w:val="99"/>
    <w:unhideWhenUsed/>
    <w:rsid w:val="00A24321"/>
    <w:pPr>
      <w:tabs>
        <w:tab w:val="center" w:pos="4513"/>
        <w:tab w:val="right" w:pos="9026"/>
      </w:tabs>
      <w:spacing w:before="0" w:after="0"/>
    </w:pPr>
  </w:style>
  <w:style w:type="character" w:customStyle="1" w:styleId="HeaderChar">
    <w:name w:val="Header Char"/>
    <w:basedOn w:val="DefaultParagraphFont"/>
    <w:link w:val="Header"/>
    <w:uiPriority w:val="99"/>
    <w:rsid w:val="00A24321"/>
  </w:style>
  <w:style w:type="paragraph" w:styleId="Footer">
    <w:name w:val="footer"/>
    <w:basedOn w:val="Normal"/>
    <w:link w:val="FooterChar"/>
    <w:uiPriority w:val="99"/>
    <w:unhideWhenUsed/>
    <w:rsid w:val="00A24321"/>
    <w:pPr>
      <w:tabs>
        <w:tab w:val="center" w:pos="4513"/>
        <w:tab w:val="right" w:pos="9026"/>
      </w:tabs>
      <w:spacing w:before="0" w:after="0"/>
    </w:pPr>
  </w:style>
  <w:style w:type="character" w:customStyle="1" w:styleId="FooterChar">
    <w:name w:val="Footer Char"/>
    <w:basedOn w:val="DefaultParagraphFont"/>
    <w:link w:val="Footer"/>
    <w:uiPriority w:val="99"/>
    <w:rsid w:val="00A24321"/>
  </w:style>
  <w:style w:type="character" w:styleId="FollowedHyperlink">
    <w:name w:val="FollowedHyperlink"/>
    <w:basedOn w:val="DefaultParagraphFont"/>
    <w:uiPriority w:val="99"/>
    <w:semiHidden/>
    <w:unhideWhenUsed/>
    <w:rsid w:val="00A24321"/>
    <w:rPr>
      <w:color w:val="954F72" w:themeColor="followedHyperlink"/>
      <w:u w:val="single"/>
    </w:rPr>
  </w:style>
  <w:style w:type="table" w:styleId="TableGrid">
    <w:name w:val="Table Grid"/>
    <w:basedOn w:val="TableNormal"/>
    <w:uiPriority w:val="39"/>
    <w:rsid w:val="0011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858"/>
    <w:pPr>
      <w:numPr>
        <w:numId w:val="45"/>
      </w:numPr>
      <w:contextualSpacing/>
    </w:pPr>
  </w:style>
  <w:style w:type="paragraph" w:styleId="TOC1">
    <w:name w:val="toc 1"/>
    <w:basedOn w:val="Normal"/>
    <w:next w:val="Normal"/>
    <w:autoRedefine/>
    <w:uiPriority w:val="39"/>
    <w:unhideWhenUsed/>
    <w:rsid w:val="00144E2B"/>
    <w:pPr>
      <w:spacing w:after="100"/>
    </w:pPr>
    <w:rPr>
      <w:lang w:val="en-US"/>
    </w:rPr>
  </w:style>
  <w:style w:type="paragraph" w:styleId="TOC2">
    <w:name w:val="toc 2"/>
    <w:basedOn w:val="Normal"/>
    <w:next w:val="Normal"/>
    <w:autoRedefine/>
    <w:uiPriority w:val="39"/>
    <w:unhideWhenUsed/>
    <w:rsid w:val="00642610"/>
    <w:pPr>
      <w:spacing w:after="100"/>
      <w:ind w:left="240"/>
    </w:pPr>
    <w:rPr>
      <w:lang w:val="en-US"/>
    </w:rPr>
  </w:style>
  <w:style w:type="paragraph" w:customStyle="1" w:styleId="NoParagraphStyle">
    <w:name w:val="[No Paragraph Style]"/>
    <w:rsid w:val="00B334F7"/>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ChapterHeadings">
    <w:name w:val="Chapter (Headings)"/>
    <w:basedOn w:val="NoParagraphStyle"/>
    <w:uiPriority w:val="99"/>
    <w:rsid w:val="00B334F7"/>
    <w:pPr>
      <w:suppressAutoHyphens/>
      <w:spacing w:line="1360" w:lineRule="atLeast"/>
    </w:pPr>
    <w:rPr>
      <w:rFonts w:ascii="VIC SemiBold" w:hAnsi="VIC SemiBold" w:cs="VIC SemiBold"/>
      <w:b/>
      <w:bCs/>
      <w:color w:val="FFFFFF"/>
      <w:sz w:val="140"/>
      <w:szCs w:val="140"/>
    </w:rPr>
  </w:style>
  <w:style w:type="paragraph" w:customStyle="1" w:styleId="IntroText">
    <w:name w:val="Intro Text"/>
    <w:basedOn w:val="NoParagraphStyle"/>
    <w:uiPriority w:val="99"/>
    <w:rsid w:val="00B334F7"/>
    <w:pPr>
      <w:suppressAutoHyphens/>
      <w:spacing w:before="340" w:after="340"/>
      <w:ind w:right="850"/>
    </w:pPr>
    <w:rPr>
      <w:rFonts w:ascii="VIC" w:hAnsi="VIC" w:cs="VIC"/>
      <w:color w:val="00563F"/>
    </w:rPr>
  </w:style>
  <w:style w:type="paragraph" w:customStyle="1" w:styleId="Body">
    <w:name w:val="Body"/>
    <w:basedOn w:val="NoParagraphStyle"/>
    <w:uiPriority w:val="99"/>
    <w:rsid w:val="00B334F7"/>
    <w:pPr>
      <w:suppressAutoHyphens/>
      <w:spacing w:before="113" w:line="260" w:lineRule="atLeast"/>
    </w:pPr>
    <w:rPr>
      <w:rFonts w:ascii="VIC Light" w:hAnsi="VIC Light" w:cs="VIC Light"/>
      <w:sz w:val="19"/>
      <w:szCs w:val="19"/>
    </w:rPr>
  </w:style>
  <w:style w:type="paragraph" w:customStyle="1" w:styleId="Cell">
    <w:name w:val="Cell"/>
    <w:basedOn w:val="Body"/>
    <w:uiPriority w:val="99"/>
    <w:rsid w:val="00B334F7"/>
    <w:pPr>
      <w:spacing w:before="227" w:after="170"/>
    </w:pPr>
  </w:style>
  <w:style w:type="paragraph" w:customStyle="1" w:styleId="Heading1Headings">
    <w:name w:val="Heading 1 (Headings)"/>
    <w:basedOn w:val="NoParagraphStyle"/>
    <w:uiPriority w:val="99"/>
    <w:rsid w:val="00B334F7"/>
    <w:pPr>
      <w:tabs>
        <w:tab w:val="left" w:pos="1020"/>
      </w:tabs>
      <w:suppressAutoHyphens/>
      <w:spacing w:before="454" w:after="340" w:line="460" w:lineRule="atLeast"/>
      <w:ind w:left="1020" w:hanging="1020"/>
    </w:pPr>
    <w:rPr>
      <w:rFonts w:ascii="VIC SemiBold" w:hAnsi="VIC SemiBold" w:cs="VIC SemiBold"/>
      <w:b/>
      <w:bCs/>
      <w:color w:val="100149"/>
      <w:sz w:val="40"/>
      <w:szCs w:val="40"/>
    </w:rPr>
  </w:style>
  <w:style w:type="paragraph" w:customStyle="1" w:styleId="STOPpullout">
    <w:name w:val="STOP pullout"/>
    <w:basedOn w:val="Body"/>
    <w:uiPriority w:val="99"/>
    <w:rsid w:val="00B334F7"/>
    <w:pPr>
      <w:spacing w:before="227" w:after="170"/>
      <w:ind w:left="907"/>
    </w:pPr>
    <w:rPr>
      <w:rFonts w:ascii="VIC Medium Italic" w:hAnsi="VIC Medium Italic" w:cs="VIC Medium Italic"/>
      <w:i/>
      <w:iCs/>
      <w:color w:val="B8222F"/>
    </w:rPr>
  </w:style>
  <w:style w:type="paragraph" w:customStyle="1" w:styleId="TableTitleTable">
    <w:name w:val="Table Title (Table)"/>
    <w:basedOn w:val="NoParagraphStyle"/>
    <w:uiPriority w:val="99"/>
    <w:rsid w:val="00B334F7"/>
    <w:pPr>
      <w:suppressAutoHyphens/>
      <w:spacing w:before="340" w:line="280" w:lineRule="atLeast"/>
    </w:pPr>
    <w:rPr>
      <w:rFonts w:ascii="VIC Medium" w:hAnsi="VIC Medium" w:cs="VIC Medium"/>
      <w:sz w:val="20"/>
      <w:szCs w:val="20"/>
    </w:rPr>
  </w:style>
  <w:style w:type="paragraph" w:customStyle="1" w:styleId="Footnote">
    <w:name w:val="Footnote"/>
    <w:basedOn w:val="NoParagraphStyle"/>
    <w:uiPriority w:val="99"/>
    <w:rsid w:val="00B334F7"/>
    <w:pPr>
      <w:suppressAutoHyphens/>
      <w:spacing w:before="113"/>
    </w:pPr>
    <w:rPr>
      <w:rFonts w:ascii="VIC Light" w:hAnsi="VIC Light" w:cs="VIC Light"/>
      <w:sz w:val="16"/>
      <w:szCs w:val="16"/>
    </w:rPr>
  </w:style>
  <w:style w:type="paragraph" w:customStyle="1" w:styleId="Heading2Headings">
    <w:name w:val="Heading 2 (Headings)"/>
    <w:basedOn w:val="NoParagraphStyle"/>
    <w:uiPriority w:val="99"/>
    <w:rsid w:val="00B334F7"/>
    <w:pPr>
      <w:suppressAutoHyphens/>
      <w:spacing w:before="340"/>
      <w:ind w:left="680" w:hanging="680"/>
    </w:pPr>
    <w:rPr>
      <w:rFonts w:ascii="VIC Light" w:hAnsi="VIC Light" w:cs="VIC Light"/>
      <w:color w:val="100149"/>
      <w:lang w:val="en-GB"/>
    </w:rPr>
  </w:style>
  <w:style w:type="paragraph" w:customStyle="1" w:styleId="BulletsLists">
    <w:name w:val="Bullets (Lists)"/>
    <w:basedOn w:val="Body"/>
    <w:uiPriority w:val="99"/>
    <w:rsid w:val="00B334F7"/>
    <w:pPr>
      <w:spacing w:before="57"/>
      <w:ind w:left="360" w:hanging="360"/>
    </w:pPr>
  </w:style>
  <w:style w:type="paragraph" w:customStyle="1" w:styleId="FigureTitle">
    <w:name w:val="Figure Title"/>
    <w:basedOn w:val="TableTitleTable"/>
    <w:uiPriority w:val="99"/>
    <w:rsid w:val="00B334F7"/>
  </w:style>
  <w:style w:type="paragraph" w:customStyle="1" w:styleId="Photocredit">
    <w:name w:val="Photo credit"/>
    <w:basedOn w:val="NoParagraphStyle"/>
    <w:uiPriority w:val="99"/>
    <w:rsid w:val="00B334F7"/>
    <w:pPr>
      <w:suppressAutoHyphens/>
      <w:spacing w:before="113"/>
    </w:pPr>
    <w:rPr>
      <w:rFonts w:ascii="VIC Light" w:hAnsi="VIC Light" w:cs="VIC Light"/>
      <w:sz w:val="16"/>
      <w:szCs w:val="16"/>
    </w:rPr>
  </w:style>
  <w:style w:type="paragraph" w:customStyle="1" w:styleId="Bulletlevel2Lists">
    <w:name w:val="Bullet level 2 (Lists)"/>
    <w:basedOn w:val="NoParagraphStyle"/>
    <w:uiPriority w:val="99"/>
    <w:rsid w:val="00B334F7"/>
    <w:pPr>
      <w:suppressAutoHyphens/>
      <w:spacing w:before="57" w:line="260" w:lineRule="atLeast"/>
      <w:ind w:left="737" w:hanging="360"/>
    </w:pPr>
    <w:rPr>
      <w:rFonts w:ascii="VIC Light" w:hAnsi="VIC Light" w:cs="VIC Light"/>
      <w:sz w:val="19"/>
      <w:szCs w:val="19"/>
    </w:rPr>
  </w:style>
  <w:style w:type="paragraph" w:customStyle="1" w:styleId="Heading3Headings">
    <w:name w:val="Heading 3 (Headings)"/>
    <w:basedOn w:val="Heading2Headings"/>
    <w:uiPriority w:val="99"/>
    <w:rsid w:val="00B334F7"/>
    <w:pPr>
      <w:spacing w:before="227"/>
      <w:ind w:left="0" w:firstLine="0"/>
    </w:pPr>
    <w:rPr>
      <w:rFonts w:ascii="VIC Medium" w:hAnsi="VIC Medium" w:cs="VIC Medium"/>
      <w:color w:val="00563F"/>
      <w:sz w:val="20"/>
      <w:szCs w:val="20"/>
    </w:rPr>
  </w:style>
  <w:style w:type="paragraph" w:customStyle="1" w:styleId="BulletcheckboxLists">
    <w:name w:val="Bullet check box (Lists)"/>
    <w:basedOn w:val="BulletsLists"/>
    <w:uiPriority w:val="99"/>
    <w:rsid w:val="00B334F7"/>
    <w:pPr>
      <w:spacing w:before="28"/>
    </w:pPr>
  </w:style>
  <w:style w:type="paragraph" w:customStyle="1" w:styleId="Highlighttext">
    <w:name w:val="Highlight text"/>
    <w:basedOn w:val="NoParagraphStyle"/>
    <w:uiPriority w:val="99"/>
    <w:rsid w:val="00B334F7"/>
    <w:pPr>
      <w:suppressAutoHyphens/>
      <w:spacing w:before="340" w:after="340" w:line="300" w:lineRule="atLeast"/>
    </w:pPr>
    <w:rPr>
      <w:rFonts w:ascii="VIC Medium" w:hAnsi="VIC Medium" w:cs="VIC Medium"/>
      <w:color w:val="100149"/>
      <w:sz w:val="22"/>
      <w:szCs w:val="22"/>
    </w:rPr>
  </w:style>
  <w:style w:type="paragraph" w:customStyle="1" w:styleId="TableHeaderTable">
    <w:name w:val="Table Header (Table)"/>
    <w:basedOn w:val="Body"/>
    <w:uiPriority w:val="99"/>
    <w:rsid w:val="00B334F7"/>
    <w:rPr>
      <w:rFonts w:ascii="VIC SemiBold" w:hAnsi="VIC SemiBold" w:cs="VIC SemiBold"/>
      <w:b/>
      <w:bCs/>
      <w:color w:val="FFFFFF"/>
    </w:rPr>
  </w:style>
  <w:style w:type="paragraph" w:customStyle="1" w:styleId="BulletsTableTable">
    <w:name w:val="Bullets Table (Table)"/>
    <w:basedOn w:val="BulletsLists"/>
    <w:uiPriority w:val="99"/>
    <w:rsid w:val="00B334F7"/>
    <w:pPr>
      <w:ind w:left="170" w:hanging="170"/>
    </w:pPr>
  </w:style>
  <w:style w:type="paragraph" w:customStyle="1" w:styleId="Bulletslevel2TableTable">
    <w:name w:val="Bullets level 2 Table (Table)"/>
    <w:basedOn w:val="Bulletlevel2Lists"/>
    <w:uiPriority w:val="99"/>
    <w:rsid w:val="00B334F7"/>
    <w:pPr>
      <w:ind w:left="340" w:hanging="170"/>
    </w:pPr>
  </w:style>
  <w:style w:type="character" w:customStyle="1" w:styleId="ChapterNumberMaster">
    <w:name w:val="Chapter Number (Master)"/>
    <w:uiPriority w:val="99"/>
    <w:rsid w:val="00B334F7"/>
    <w:rPr>
      <w:sz w:val="70"/>
      <w:szCs w:val="70"/>
    </w:rPr>
  </w:style>
  <w:style w:type="character" w:customStyle="1" w:styleId="ItalicItalics">
    <w:name w:val="Italic (Italics)"/>
    <w:uiPriority w:val="99"/>
    <w:rsid w:val="00B334F7"/>
    <w:rPr>
      <w:i/>
      <w:iCs/>
    </w:rPr>
  </w:style>
  <w:style w:type="character" w:customStyle="1" w:styleId="CR">
    <w:name w:val="CR"/>
    <w:uiPriority w:val="99"/>
    <w:rsid w:val="00B334F7"/>
    <w:rPr>
      <w:color w:val="100149"/>
    </w:rPr>
  </w:style>
  <w:style w:type="character" w:customStyle="1" w:styleId="LightItalicItalics">
    <w:name w:val="Light Italic (Italics)"/>
    <w:uiPriority w:val="99"/>
    <w:rsid w:val="00B334F7"/>
    <w:rPr>
      <w:i/>
      <w:iCs/>
    </w:rPr>
  </w:style>
  <w:style w:type="character" w:customStyle="1" w:styleId="MediumitalicItalics">
    <w:name w:val="Medium italic (Italics)"/>
    <w:uiPriority w:val="99"/>
    <w:rsid w:val="00B334F7"/>
    <w:rPr>
      <w:i/>
      <w:iCs/>
    </w:rPr>
  </w:style>
  <w:style w:type="character" w:customStyle="1" w:styleId="Icon">
    <w:name w:val="Icon"/>
    <w:uiPriority w:val="99"/>
    <w:rsid w:val="00B334F7"/>
  </w:style>
  <w:style w:type="character" w:customStyle="1" w:styleId="TableFigure">
    <w:name w:val="Table/Figure #"/>
    <w:uiPriority w:val="99"/>
    <w:rsid w:val="00B334F7"/>
    <w:rPr>
      <w:b/>
      <w:bCs/>
      <w:color w:val="00563F"/>
    </w:rPr>
  </w:style>
  <w:style w:type="character" w:customStyle="1" w:styleId="MediumBolds">
    <w:name w:val="Medium (Bolds)"/>
    <w:uiPriority w:val="99"/>
    <w:rsid w:val="00B334F7"/>
  </w:style>
  <w:style w:type="character" w:customStyle="1" w:styleId="SemiboldItalicItalics">
    <w:name w:val="Semibold Italic (Italics)"/>
    <w:uiPriority w:val="99"/>
    <w:rsid w:val="00B334F7"/>
    <w:rPr>
      <w:b/>
      <w:bCs/>
      <w:i/>
      <w:iCs/>
    </w:rPr>
  </w:style>
  <w:style w:type="paragraph" w:styleId="ListBullet2">
    <w:name w:val="List Bullet 2"/>
    <w:basedOn w:val="Normal"/>
    <w:uiPriority w:val="99"/>
    <w:unhideWhenUsed/>
    <w:rsid w:val="00876174"/>
    <w:pPr>
      <w:numPr>
        <w:numId w:val="2"/>
      </w:numPr>
      <w:spacing w:before="0" w:after="120"/>
      <w:ind w:left="811" w:hanging="357"/>
      <w:contextualSpacing/>
    </w:pPr>
  </w:style>
  <w:style w:type="paragraph" w:customStyle="1" w:styleId="RowheaderTable">
    <w:name w:val="Row header (Table)"/>
    <w:basedOn w:val="NoParagraphStyle"/>
    <w:uiPriority w:val="99"/>
    <w:rsid w:val="00062940"/>
    <w:pPr>
      <w:suppressAutoHyphens/>
      <w:spacing w:before="113" w:line="260" w:lineRule="atLeast"/>
    </w:pPr>
    <w:rPr>
      <w:rFonts w:ascii="VIC Medium" w:hAnsi="VIC Medium" w:cs="VIC Medium"/>
      <w:sz w:val="19"/>
      <w:szCs w:val="19"/>
    </w:rPr>
  </w:style>
  <w:style w:type="character" w:customStyle="1" w:styleId="SemiboldBolds">
    <w:name w:val="Semibold (Bolds)"/>
    <w:uiPriority w:val="99"/>
    <w:rsid w:val="00062940"/>
    <w:rPr>
      <w:b/>
      <w:bCs/>
    </w:rPr>
  </w:style>
  <w:style w:type="paragraph" w:styleId="TOC3">
    <w:name w:val="toc 3"/>
    <w:basedOn w:val="Normal"/>
    <w:next w:val="Normal"/>
    <w:autoRedefine/>
    <w:uiPriority w:val="39"/>
    <w:unhideWhenUsed/>
    <w:rsid w:val="00FE6C26"/>
    <w:pPr>
      <w:spacing w:before="0" w:after="100"/>
      <w:ind w:left="480"/>
    </w:pPr>
  </w:style>
  <w:style w:type="paragraph" w:styleId="TOC4">
    <w:name w:val="toc 4"/>
    <w:basedOn w:val="Normal"/>
    <w:next w:val="Normal"/>
    <w:autoRedefine/>
    <w:uiPriority w:val="39"/>
    <w:unhideWhenUsed/>
    <w:rsid w:val="00FE6C26"/>
    <w:pPr>
      <w:spacing w:before="0" w:after="100"/>
      <w:ind w:left="720"/>
    </w:pPr>
  </w:style>
  <w:style w:type="paragraph" w:styleId="TOC5">
    <w:name w:val="toc 5"/>
    <w:basedOn w:val="Normal"/>
    <w:next w:val="Normal"/>
    <w:autoRedefine/>
    <w:uiPriority w:val="39"/>
    <w:unhideWhenUsed/>
    <w:rsid w:val="00FE6C26"/>
    <w:pPr>
      <w:spacing w:before="0" w:after="100"/>
      <w:ind w:left="960"/>
    </w:pPr>
  </w:style>
  <w:style w:type="paragraph" w:styleId="TOC6">
    <w:name w:val="toc 6"/>
    <w:basedOn w:val="Normal"/>
    <w:next w:val="Normal"/>
    <w:autoRedefine/>
    <w:uiPriority w:val="39"/>
    <w:unhideWhenUsed/>
    <w:rsid w:val="00FE6C26"/>
    <w:pPr>
      <w:spacing w:before="0" w:after="100"/>
      <w:ind w:left="1200"/>
    </w:pPr>
  </w:style>
  <w:style w:type="paragraph" w:styleId="TOC7">
    <w:name w:val="toc 7"/>
    <w:basedOn w:val="Normal"/>
    <w:next w:val="Normal"/>
    <w:autoRedefine/>
    <w:uiPriority w:val="39"/>
    <w:unhideWhenUsed/>
    <w:rsid w:val="00FE6C26"/>
    <w:pPr>
      <w:spacing w:before="0" w:after="100"/>
      <w:ind w:left="1440"/>
    </w:pPr>
  </w:style>
  <w:style w:type="paragraph" w:styleId="TOC8">
    <w:name w:val="toc 8"/>
    <w:basedOn w:val="Normal"/>
    <w:next w:val="Normal"/>
    <w:autoRedefine/>
    <w:uiPriority w:val="39"/>
    <w:unhideWhenUsed/>
    <w:rsid w:val="00FE6C26"/>
    <w:pPr>
      <w:spacing w:before="0" w:after="100"/>
      <w:ind w:left="1680"/>
    </w:pPr>
  </w:style>
  <w:style w:type="paragraph" w:styleId="TOC9">
    <w:name w:val="toc 9"/>
    <w:basedOn w:val="Normal"/>
    <w:next w:val="Normal"/>
    <w:autoRedefine/>
    <w:uiPriority w:val="39"/>
    <w:unhideWhenUsed/>
    <w:rsid w:val="00FE6C26"/>
    <w:pPr>
      <w:spacing w:before="0" w:after="100"/>
      <w:ind w:left="1920"/>
    </w:pPr>
  </w:style>
  <w:style w:type="character" w:customStyle="1" w:styleId="Superscript">
    <w:name w:val="Superscript"/>
    <w:uiPriority w:val="99"/>
    <w:rsid w:val="00253B0A"/>
    <w:rPr>
      <w:vertAlign w:val="superscript"/>
    </w:rPr>
  </w:style>
  <w:style w:type="table" w:styleId="GridTable1Light">
    <w:name w:val="Grid Table 1 Light"/>
    <w:basedOn w:val="TableNormal"/>
    <w:uiPriority w:val="46"/>
    <w:rsid w:val="001354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F4A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rsid w:val="00AE744D"/>
    <w:rPr>
      <w:w w:val="100"/>
      <w:sz w:val="16"/>
      <w:szCs w:val="16"/>
    </w:rPr>
  </w:style>
  <w:style w:type="character" w:styleId="Emphasis">
    <w:name w:val="Emphasis"/>
    <w:basedOn w:val="DefaultParagraphFont"/>
    <w:uiPriority w:val="99"/>
    <w:qFormat/>
    <w:rsid w:val="00AE744D"/>
    <w:rPr>
      <w:i/>
      <w:iCs/>
      <w:w w:val="100"/>
    </w:rPr>
  </w:style>
  <w:style w:type="paragraph" w:customStyle="1" w:styleId="ImprintbodycopyInsidecover">
    <w:name w:val="Imprint body copy (Inside cover)"/>
    <w:basedOn w:val="Normal"/>
    <w:uiPriority w:val="99"/>
    <w:rsid w:val="00A15E36"/>
    <w:pPr>
      <w:suppressAutoHyphens/>
      <w:autoSpaceDE w:val="0"/>
      <w:autoSpaceDN w:val="0"/>
      <w:adjustRightInd w:val="0"/>
      <w:spacing w:before="0" w:after="57" w:line="200" w:lineRule="atLeast"/>
      <w:textAlignment w:val="center"/>
    </w:pPr>
    <w:rPr>
      <w:rFonts w:ascii="VIC" w:hAnsi="VIC" w:cs="VIC"/>
      <w:color w:val="000000"/>
      <w:kern w:val="0"/>
      <w:sz w:val="16"/>
      <w:szCs w:val="16"/>
      <w:lang w:val="en-US"/>
    </w:rPr>
  </w:style>
  <w:style w:type="paragraph" w:customStyle="1" w:styleId="ImprintheadingInsidecover">
    <w:name w:val="Imprint heading (Inside cover)"/>
    <w:basedOn w:val="ImprintbodycopyInsidecover"/>
    <w:uiPriority w:val="99"/>
    <w:rsid w:val="00A15E36"/>
    <w:pPr>
      <w:spacing w:before="170" w:after="0" w:line="220" w:lineRule="atLeast"/>
    </w:pPr>
    <w:rPr>
      <w:rFonts w:ascii="VIC SemiBold" w:hAnsi="VIC SemiBold" w:cs="VIC SemiBold"/>
      <w:b/>
      <w:bCs/>
      <w:sz w:val="18"/>
      <w:szCs w:val="18"/>
    </w:rPr>
  </w:style>
  <w:style w:type="paragraph" w:customStyle="1" w:styleId="AccessibilityheadingInsidecover">
    <w:name w:val="Accessibility heading (Inside cover)"/>
    <w:basedOn w:val="NoParagraphStyle"/>
    <w:uiPriority w:val="99"/>
    <w:rsid w:val="00A15E36"/>
    <w:pPr>
      <w:suppressAutoHyphens/>
      <w:spacing w:before="142" w:line="280" w:lineRule="atLeast"/>
    </w:pPr>
    <w:rPr>
      <w:rFonts w:ascii="VIC SemiBold" w:hAnsi="VIC SemiBold" w:cs="VIC SemiBold"/>
      <w:b/>
      <w:bCs/>
    </w:rPr>
  </w:style>
  <w:style w:type="paragraph" w:customStyle="1" w:styleId="AccessibilitybodycopyInsidecover">
    <w:name w:val="Accessibility body copy (Inside cover)"/>
    <w:basedOn w:val="ImprintbodycopyInsidecover"/>
    <w:uiPriority w:val="99"/>
    <w:rsid w:val="00A15E36"/>
    <w:pPr>
      <w:spacing w:line="280" w:lineRule="atLeast"/>
    </w:pPr>
    <w:rPr>
      <w:rFonts w:ascii="VIC Light" w:hAnsi="VIC Light" w:cs="VIC Light"/>
      <w:sz w:val="20"/>
      <w:szCs w:val="20"/>
    </w:rPr>
  </w:style>
  <w:style w:type="character" w:customStyle="1" w:styleId="Semibold">
    <w:name w:val="Semibold"/>
    <w:uiPriority w:val="99"/>
    <w:rsid w:val="00A15E36"/>
    <w:rPr>
      <w:b/>
      <w:bCs/>
    </w:rPr>
  </w:style>
  <w:style w:type="character" w:customStyle="1" w:styleId="Update">
    <w:name w:val="Update"/>
    <w:uiPriority w:val="99"/>
    <w:rsid w:val="00A15E36"/>
    <w:rPr>
      <w:color w:val="EC008B"/>
    </w:rPr>
  </w:style>
  <w:style w:type="paragraph" w:styleId="FootnoteText">
    <w:name w:val="footnote text"/>
    <w:basedOn w:val="Normal"/>
    <w:link w:val="FootnoteTextChar"/>
    <w:uiPriority w:val="99"/>
    <w:semiHidden/>
    <w:unhideWhenUsed/>
    <w:rsid w:val="002B6FA6"/>
    <w:pPr>
      <w:spacing w:before="0" w:after="0"/>
    </w:pPr>
    <w:rPr>
      <w:sz w:val="20"/>
      <w:szCs w:val="20"/>
    </w:rPr>
  </w:style>
  <w:style w:type="character" w:customStyle="1" w:styleId="FootnoteTextChar">
    <w:name w:val="Footnote Text Char"/>
    <w:basedOn w:val="DefaultParagraphFont"/>
    <w:link w:val="FootnoteText"/>
    <w:uiPriority w:val="99"/>
    <w:semiHidden/>
    <w:rsid w:val="002B6FA6"/>
    <w:rPr>
      <w:sz w:val="20"/>
      <w:szCs w:val="20"/>
    </w:rPr>
  </w:style>
  <w:style w:type="paragraph" w:styleId="EndnoteText">
    <w:name w:val="endnote text"/>
    <w:basedOn w:val="Normal"/>
    <w:link w:val="EndnoteTextChar"/>
    <w:uiPriority w:val="99"/>
    <w:semiHidden/>
    <w:unhideWhenUsed/>
    <w:rsid w:val="002B6FA6"/>
    <w:pPr>
      <w:spacing w:before="0" w:after="0"/>
    </w:pPr>
    <w:rPr>
      <w:sz w:val="20"/>
      <w:szCs w:val="20"/>
    </w:rPr>
  </w:style>
  <w:style w:type="character" w:customStyle="1" w:styleId="EndnoteTextChar">
    <w:name w:val="Endnote Text Char"/>
    <w:basedOn w:val="DefaultParagraphFont"/>
    <w:link w:val="EndnoteText"/>
    <w:uiPriority w:val="99"/>
    <w:semiHidden/>
    <w:rsid w:val="002B6FA6"/>
    <w:rPr>
      <w:sz w:val="20"/>
      <w:szCs w:val="20"/>
    </w:rPr>
  </w:style>
  <w:style w:type="character" w:styleId="FootnoteReference">
    <w:name w:val="footnote reference"/>
    <w:basedOn w:val="DefaultParagraphFont"/>
    <w:uiPriority w:val="99"/>
    <w:semiHidden/>
    <w:unhideWhenUsed/>
    <w:rsid w:val="002B6FA6"/>
    <w:rPr>
      <w:vertAlign w:val="superscript"/>
    </w:rPr>
  </w:style>
  <w:style w:type="character" w:styleId="EndnoteReference">
    <w:name w:val="endnote reference"/>
    <w:basedOn w:val="DefaultParagraphFont"/>
    <w:uiPriority w:val="99"/>
    <w:semiHidden/>
    <w:unhideWhenUsed/>
    <w:rsid w:val="002B6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7748-0B14-E245-BD53-BE34992E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31</Pages>
  <Words>6810</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Tan</dc:creator>
  <cp:keywords/>
  <dc:description/>
  <cp:lastModifiedBy>Tash Batten (DEECA)</cp:lastModifiedBy>
  <cp:revision>14</cp:revision>
  <dcterms:created xsi:type="dcterms:W3CDTF">2024-05-22T04:50:00Z</dcterms:created>
  <dcterms:modified xsi:type="dcterms:W3CDTF">2024-05-27T00:49:00Z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7d4df77d,7d12bdd2,5d5f42b9</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2024-05-24T06:18:23Z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7d05328a-7f4e-4b8c-9bc1-09163df5568d</vt:lpwstr>
  </property>
  <property fmtid="{D5CDD505-2E9C-101B-9397-08002B2CF9AE}" pid="11" name="MSIP_Label_4257e2ab-f512-40e2-9c9a-c64247360765_ContentBits">
    <vt:lpwstr>2</vt:lpwstr>
  </property>
</Properties>
</file>