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C8C3" w14:textId="77777777" w:rsidR="0037713E" w:rsidRDefault="0037713E" w:rsidP="0037713E">
      <w:pPr>
        <w:pStyle w:val="Title"/>
        <w:rPr>
          <w:lang w:val="en-US"/>
        </w:rPr>
      </w:pPr>
      <w:r w:rsidRPr="0037713E">
        <w:rPr>
          <w:lang w:val="en-US"/>
        </w:rPr>
        <w:t>Victoria’s Bushfire Management Strategy</w:t>
      </w:r>
    </w:p>
    <w:p w14:paraId="03C76E02" w14:textId="50D445BB" w:rsidR="0037713E" w:rsidRPr="0037713E" w:rsidRDefault="0037713E" w:rsidP="0037713E">
      <w:pPr>
        <w:pStyle w:val="Subtitle"/>
        <w:rPr>
          <w:lang w:val="en-US"/>
        </w:rPr>
      </w:pPr>
      <w:r w:rsidRPr="0037713E">
        <w:rPr>
          <w:lang w:val="en-US"/>
        </w:rPr>
        <w:t>State Government Implementation Plan 2024-27</w:t>
      </w:r>
    </w:p>
    <w:p w14:paraId="690DACD9" w14:textId="77777777" w:rsidR="00015C1F" w:rsidRPr="00015C1F" w:rsidRDefault="00015C1F" w:rsidP="00015C1F">
      <w:pPr>
        <w:rPr>
          <w:lang w:val="en-US"/>
        </w:rPr>
      </w:pPr>
      <w:r w:rsidRPr="00015C1F">
        <w:rPr>
          <w:lang w:val="en-US"/>
        </w:rPr>
        <w:t>We acknowledge and respect Victorian Traditional Owners as the original custodians of Victoria’s land and waters, their unique ability to care for Country and deep spiritual connection to it.</w:t>
      </w:r>
    </w:p>
    <w:p w14:paraId="4CACE60F" w14:textId="77777777" w:rsidR="00015C1F" w:rsidRPr="00015C1F" w:rsidRDefault="00015C1F" w:rsidP="00015C1F">
      <w:pPr>
        <w:rPr>
          <w:lang w:val="en-US"/>
        </w:rPr>
      </w:pPr>
      <w:r w:rsidRPr="00015C1F">
        <w:rPr>
          <w:lang w:val="en-US"/>
        </w:rPr>
        <w:t>We honour Elders past and present whose knowledge and wisdom have ensured the continuation of culture and traditional practices.</w:t>
      </w:r>
    </w:p>
    <w:p w14:paraId="4C540431" w14:textId="2002B680" w:rsidR="00562A68" w:rsidRDefault="00015C1F" w:rsidP="00015C1F">
      <w:r w:rsidRPr="00015C1F">
        <w:rPr>
          <w:lang w:val="en-US"/>
        </w:rPr>
        <w:t>DEECA is committed to genuinely partnering with Victorian Traditional Owners and Victoria’s Aboriginal community to progress their aspirations.</w:t>
      </w:r>
      <w:r w:rsidR="00562A68" w:rsidRPr="00015C1F">
        <w:t xml:space="preserve"> </w:t>
      </w:r>
    </w:p>
    <w:p w14:paraId="1AB2BEA5" w14:textId="62F81B75" w:rsidR="00015C1F" w:rsidRPr="00015C1F" w:rsidRDefault="00015C1F" w:rsidP="00015C1F">
      <w:pPr>
        <w:rPr>
          <w:lang w:val="en-US"/>
        </w:rPr>
      </w:pPr>
      <w:r w:rsidRPr="00015C1F">
        <w:rPr>
          <w:lang w:val="en-US"/>
        </w:rPr>
        <w:t xml:space="preserve">© The State of Victoria Department of Energy, Environment and Climate Action </w:t>
      </w:r>
      <w:r w:rsidR="009B11A5">
        <w:rPr>
          <w:lang w:val="en-US"/>
        </w:rPr>
        <w:t>Ma</w:t>
      </w:r>
      <w:r w:rsidRPr="00015C1F">
        <w:rPr>
          <w:lang w:val="en-US"/>
        </w:rPr>
        <w:t>y 2024.</w:t>
      </w:r>
    </w:p>
    <w:p w14:paraId="564878BC" w14:textId="77777777" w:rsidR="00015C1F" w:rsidRPr="00015C1F" w:rsidRDefault="00015C1F" w:rsidP="00015C1F">
      <w:pPr>
        <w:pStyle w:val="Heading1"/>
        <w:rPr>
          <w:lang w:val="en-US"/>
        </w:rPr>
      </w:pPr>
      <w:bookmarkStart w:id="0" w:name="_Toc166680776"/>
      <w:bookmarkStart w:id="1" w:name="_Toc166682340"/>
      <w:r w:rsidRPr="00015C1F">
        <w:rPr>
          <w:lang w:val="en-US"/>
        </w:rPr>
        <w:t>Creative Commons</w:t>
      </w:r>
      <w:bookmarkEnd w:id="0"/>
      <w:bookmarkEnd w:id="1"/>
    </w:p>
    <w:p w14:paraId="354CB85D" w14:textId="77777777" w:rsidR="00015C1F" w:rsidRPr="00015C1F" w:rsidRDefault="00015C1F" w:rsidP="00015C1F">
      <w:pPr>
        <w:rPr>
          <w:lang w:val="en-US"/>
        </w:rPr>
      </w:pPr>
      <w:r w:rsidRPr="00015C1F">
        <w:rPr>
          <w:lang w:val="en-US"/>
        </w:rPr>
        <w:t>This work is licensed under a Creative Commons Attribution 4.0 International licence, visit the Creative Commons website (</w:t>
      </w:r>
      <w:r w:rsidRPr="00015C1F">
        <w:rPr>
          <w:rStyle w:val="Hyperlink"/>
          <w:lang w:val="en-US"/>
        </w:rPr>
        <w:t>http://creativecommons.org/licenses/by/4.0/</w:t>
      </w:r>
      <w:r w:rsidRPr="00015C1F">
        <w:rPr>
          <w:lang w:val="en-US"/>
        </w:rPr>
        <w:t>).</w:t>
      </w:r>
    </w:p>
    <w:p w14:paraId="5B49891F" w14:textId="77777777" w:rsidR="00015C1F" w:rsidRPr="00015C1F" w:rsidRDefault="00015C1F" w:rsidP="00015C1F">
      <w:pPr>
        <w:rPr>
          <w:lang w:val="en-US"/>
        </w:rPr>
      </w:pPr>
      <w:r w:rsidRPr="00015C1F">
        <w:rPr>
          <w:lang w:val="en-US"/>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F1E5316" w14:textId="77777777" w:rsidR="00015C1F" w:rsidRPr="00015C1F" w:rsidRDefault="00015C1F" w:rsidP="00015C1F">
      <w:pPr>
        <w:rPr>
          <w:b/>
          <w:bCs/>
          <w:lang w:val="en-US"/>
        </w:rPr>
      </w:pPr>
      <w:r w:rsidRPr="00015C1F">
        <w:rPr>
          <w:b/>
          <w:bCs/>
          <w:lang w:val="en-US"/>
        </w:rPr>
        <w:t>Printed by smo</w:t>
      </w:r>
    </w:p>
    <w:p w14:paraId="38D5B48A" w14:textId="77777777" w:rsidR="0037713E" w:rsidRPr="0037713E" w:rsidRDefault="0037713E" w:rsidP="0037713E">
      <w:pPr>
        <w:rPr>
          <w:lang w:val="en-US"/>
        </w:rPr>
      </w:pPr>
      <w:bookmarkStart w:id="2" w:name="_Toc166680777"/>
      <w:r w:rsidRPr="0037713E">
        <w:rPr>
          <w:lang w:val="en-US"/>
        </w:rPr>
        <w:t xml:space="preserve">ISBN 978-1-76136-529-4 (pdf/online/MS word) </w:t>
      </w:r>
    </w:p>
    <w:p w14:paraId="2547F16C" w14:textId="77777777" w:rsidR="00015C1F" w:rsidRPr="00015C1F" w:rsidRDefault="00015C1F" w:rsidP="00015C1F">
      <w:pPr>
        <w:pStyle w:val="Heading1"/>
        <w:rPr>
          <w:lang w:val="en-US"/>
        </w:rPr>
      </w:pPr>
      <w:bookmarkStart w:id="3" w:name="_Toc166682341"/>
      <w:r w:rsidRPr="00015C1F">
        <w:rPr>
          <w:lang w:val="en-US"/>
        </w:rPr>
        <w:t>Disclaimer</w:t>
      </w:r>
      <w:bookmarkEnd w:id="2"/>
      <w:bookmarkEnd w:id="3"/>
    </w:p>
    <w:p w14:paraId="540588A9" w14:textId="77777777" w:rsidR="00015C1F" w:rsidRPr="00015C1F" w:rsidRDefault="00015C1F" w:rsidP="00015C1F">
      <w:pPr>
        <w:rPr>
          <w:lang w:val="en-US"/>
        </w:rPr>
      </w:pPr>
      <w:r w:rsidRPr="00015C1F">
        <w:rPr>
          <w:lang w:val="en-U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3589FB9" w14:textId="77777777" w:rsidR="00015C1F" w:rsidRPr="00015C1F" w:rsidRDefault="00015C1F" w:rsidP="00015C1F">
      <w:pPr>
        <w:pStyle w:val="Heading1"/>
      </w:pPr>
      <w:bookmarkStart w:id="4" w:name="_Toc166680778"/>
      <w:bookmarkStart w:id="5" w:name="_Toc166682342"/>
      <w:r w:rsidRPr="00015C1F">
        <w:rPr>
          <w:lang w:val="en-US"/>
        </w:rPr>
        <w:lastRenderedPageBreak/>
        <w:t>Accessibility</w:t>
      </w:r>
      <w:bookmarkEnd w:id="4"/>
      <w:bookmarkEnd w:id="5"/>
    </w:p>
    <w:p w14:paraId="3D01C094" w14:textId="255335A3" w:rsidR="00015C1F" w:rsidRDefault="00015C1F" w:rsidP="00015C1F">
      <w:pPr>
        <w:rPr>
          <w:lang w:val="en-US"/>
        </w:rPr>
      </w:pPr>
      <w:r w:rsidRPr="00015C1F">
        <w:rPr>
          <w:lang w:val="en-US"/>
        </w:rPr>
        <w:t xml:space="preserve">To receive this document in an alternative format, phone the Customer Service Centre on 136 186, email </w:t>
      </w:r>
      <w:r w:rsidRPr="00015C1F">
        <w:rPr>
          <w:rStyle w:val="Hyperlink"/>
          <w:lang w:val="en-US"/>
        </w:rPr>
        <w:t>customer.service@delwp.vic.gov.au</w:t>
      </w:r>
      <w:r w:rsidRPr="00015C1F">
        <w:rPr>
          <w:lang w:val="en-US"/>
        </w:rPr>
        <w:t>, or contact National Relay Service on 133 677. Available at DEECA website (</w:t>
      </w:r>
      <w:r w:rsidRPr="00015C1F">
        <w:rPr>
          <w:rStyle w:val="Hyperlink"/>
          <w:lang w:val="en-US"/>
        </w:rPr>
        <w:t>www.deeca.vic.gov.au</w:t>
      </w:r>
      <w:r w:rsidRPr="00015C1F">
        <w:rPr>
          <w:lang w:val="en-US"/>
        </w:rPr>
        <w:t xml:space="preserve">). </w:t>
      </w:r>
    </w:p>
    <w:p w14:paraId="10D3BA38" w14:textId="493EFAE9" w:rsidR="00015C1F" w:rsidRDefault="00015C1F" w:rsidP="00015C1F">
      <w:pPr>
        <w:pStyle w:val="Heading1"/>
        <w:rPr>
          <w:lang w:val="en-US"/>
        </w:rPr>
      </w:pPr>
      <w:bookmarkStart w:id="6" w:name="_Toc166680779"/>
      <w:bookmarkStart w:id="7" w:name="_Toc166682343"/>
      <w:r>
        <w:rPr>
          <w:lang w:val="en-US"/>
        </w:rPr>
        <w:t>Contents</w:t>
      </w:r>
      <w:bookmarkEnd w:id="6"/>
      <w:bookmarkEnd w:id="7"/>
    </w:p>
    <w:p w14:paraId="62A6CD08" w14:textId="35352423" w:rsidR="000E1554" w:rsidRDefault="00CD46A6">
      <w:pPr>
        <w:pStyle w:val="TOC1"/>
        <w:tabs>
          <w:tab w:val="right" w:leader="dot" w:pos="9016"/>
        </w:tabs>
        <w:rPr>
          <w:noProof/>
          <w:lang w:val="en-AU"/>
        </w:rPr>
      </w:pPr>
      <w:r>
        <w:fldChar w:fldCharType="begin"/>
      </w:r>
      <w:r>
        <w:instrText xml:space="preserve"> TOC \o "1-2" \h \z \u </w:instrText>
      </w:r>
      <w:r>
        <w:fldChar w:fldCharType="separate"/>
      </w:r>
      <w:hyperlink w:anchor="_Toc166682344" w:history="1">
        <w:r w:rsidR="000E1554" w:rsidRPr="004B67AD">
          <w:rPr>
            <w:rStyle w:val="Hyperlink"/>
            <w:noProof/>
          </w:rPr>
          <w:t>Introduction</w:t>
        </w:r>
        <w:r w:rsidR="000E1554">
          <w:rPr>
            <w:noProof/>
            <w:webHidden/>
          </w:rPr>
          <w:tab/>
        </w:r>
        <w:r w:rsidR="000E1554">
          <w:rPr>
            <w:noProof/>
            <w:webHidden/>
          </w:rPr>
          <w:fldChar w:fldCharType="begin"/>
        </w:r>
        <w:r w:rsidR="000E1554">
          <w:rPr>
            <w:noProof/>
            <w:webHidden/>
          </w:rPr>
          <w:instrText xml:space="preserve"> PAGEREF _Toc166682344 \h </w:instrText>
        </w:r>
        <w:r w:rsidR="000E1554">
          <w:rPr>
            <w:noProof/>
            <w:webHidden/>
          </w:rPr>
        </w:r>
        <w:r w:rsidR="000E1554">
          <w:rPr>
            <w:noProof/>
            <w:webHidden/>
          </w:rPr>
          <w:fldChar w:fldCharType="separate"/>
        </w:r>
        <w:r w:rsidR="00AA66EA">
          <w:rPr>
            <w:noProof/>
            <w:webHidden/>
          </w:rPr>
          <w:t>3</w:t>
        </w:r>
        <w:r w:rsidR="000E1554">
          <w:rPr>
            <w:noProof/>
            <w:webHidden/>
          </w:rPr>
          <w:fldChar w:fldCharType="end"/>
        </w:r>
      </w:hyperlink>
    </w:p>
    <w:p w14:paraId="3414A152" w14:textId="4AF3EC7F" w:rsidR="000E1554" w:rsidRDefault="00000000">
      <w:pPr>
        <w:pStyle w:val="TOC2"/>
        <w:tabs>
          <w:tab w:val="right" w:leader="dot" w:pos="9016"/>
        </w:tabs>
        <w:rPr>
          <w:noProof/>
          <w:lang w:val="en-AU"/>
        </w:rPr>
      </w:pPr>
      <w:hyperlink w:anchor="_Toc166682345" w:history="1">
        <w:r w:rsidR="000E1554" w:rsidRPr="004B67AD">
          <w:rPr>
            <w:rStyle w:val="Hyperlink"/>
            <w:noProof/>
          </w:rPr>
          <w:t>Victoria’s Bushfire Management Strategy</w:t>
        </w:r>
        <w:r w:rsidR="000E1554">
          <w:rPr>
            <w:noProof/>
            <w:webHidden/>
          </w:rPr>
          <w:tab/>
        </w:r>
        <w:r w:rsidR="000E1554">
          <w:rPr>
            <w:noProof/>
            <w:webHidden/>
          </w:rPr>
          <w:fldChar w:fldCharType="begin"/>
        </w:r>
        <w:r w:rsidR="000E1554">
          <w:rPr>
            <w:noProof/>
            <w:webHidden/>
          </w:rPr>
          <w:instrText xml:space="preserve"> PAGEREF _Toc166682345 \h </w:instrText>
        </w:r>
        <w:r w:rsidR="000E1554">
          <w:rPr>
            <w:noProof/>
            <w:webHidden/>
          </w:rPr>
        </w:r>
        <w:r w:rsidR="000E1554">
          <w:rPr>
            <w:noProof/>
            <w:webHidden/>
          </w:rPr>
          <w:fldChar w:fldCharType="separate"/>
        </w:r>
        <w:r w:rsidR="00AA66EA">
          <w:rPr>
            <w:noProof/>
            <w:webHidden/>
          </w:rPr>
          <w:t>3</w:t>
        </w:r>
        <w:r w:rsidR="000E1554">
          <w:rPr>
            <w:noProof/>
            <w:webHidden/>
          </w:rPr>
          <w:fldChar w:fldCharType="end"/>
        </w:r>
      </w:hyperlink>
    </w:p>
    <w:p w14:paraId="167D9278" w14:textId="7F735072" w:rsidR="000E1554" w:rsidRDefault="00000000">
      <w:pPr>
        <w:pStyle w:val="TOC2"/>
        <w:tabs>
          <w:tab w:val="right" w:leader="dot" w:pos="9016"/>
        </w:tabs>
        <w:rPr>
          <w:noProof/>
          <w:lang w:val="en-AU"/>
        </w:rPr>
      </w:pPr>
      <w:hyperlink w:anchor="_Toc166682346" w:history="1">
        <w:r w:rsidR="000E1554" w:rsidRPr="004B67AD">
          <w:rPr>
            <w:rStyle w:val="Hyperlink"/>
            <w:noProof/>
          </w:rPr>
          <w:t>Bushfire Strategy Victorian Government Implementation Plan</w:t>
        </w:r>
        <w:r w:rsidR="000E1554">
          <w:rPr>
            <w:noProof/>
            <w:webHidden/>
          </w:rPr>
          <w:tab/>
        </w:r>
        <w:r w:rsidR="000E1554">
          <w:rPr>
            <w:noProof/>
            <w:webHidden/>
          </w:rPr>
          <w:fldChar w:fldCharType="begin"/>
        </w:r>
        <w:r w:rsidR="000E1554">
          <w:rPr>
            <w:noProof/>
            <w:webHidden/>
          </w:rPr>
          <w:instrText xml:space="preserve"> PAGEREF _Toc166682346 \h </w:instrText>
        </w:r>
        <w:r w:rsidR="000E1554">
          <w:rPr>
            <w:noProof/>
            <w:webHidden/>
          </w:rPr>
        </w:r>
        <w:r w:rsidR="000E1554">
          <w:rPr>
            <w:noProof/>
            <w:webHidden/>
          </w:rPr>
          <w:fldChar w:fldCharType="separate"/>
        </w:r>
        <w:r w:rsidR="00AA66EA">
          <w:rPr>
            <w:noProof/>
            <w:webHidden/>
          </w:rPr>
          <w:t>4</w:t>
        </w:r>
        <w:r w:rsidR="000E1554">
          <w:rPr>
            <w:noProof/>
            <w:webHidden/>
          </w:rPr>
          <w:fldChar w:fldCharType="end"/>
        </w:r>
      </w:hyperlink>
    </w:p>
    <w:p w14:paraId="6A68CA9A" w14:textId="0D1D87CF" w:rsidR="000E1554" w:rsidRDefault="00000000">
      <w:pPr>
        <w:pStyle w:val="TOC2"/>
        <w:tabs>
          <w:tab w:val="right" w:leader="dot" w:pos="9016"/>
        </w:tabs>
        <w:rPr>
          <w:noProof/>
          <w:lang w:val="en-AU"/>
        </w:rPr>
      </w:pPr>
      <w:hyperlink w:anchor="_Toc166682347" w:history="1">
        <w:r w:rsidR="000E1554" w:rsidRPr="004B67AD">
          <w:rPr>
            <w:rStyle w:val="Hyperlink"/>
            <w:noProof/>
          </w:rPr>
          <w:t>Annual refresh and 3</w:t>
        </w:r>
        <w:r w:rsidR="000E1554" w:rsidRPr="004B67AD">
          <w:rPr>
            <w:rStyle w:val="Hyperlink"/>
            <w:rFonts w:ascii="Cambria Math" w:hAnsi="Cambria Math" w:cs="Cambria Math"/>
            <w:noProof/>
          </w:rPr>
          <w:t>‑</w:t>
        </w:r>
        <w:r w:rsidR="000E1554" w:rsidRPr="004B67AD">
          <w:rPr>
            <w:rStyle w:val="Hyperlink"/>
            <w:noProof/>
          </w:rPr>
          <w:t>yearly review</w:t>
        </w:r>
        <w:r w:rsidR="000E1554">
          <w:rPr>
            <w:noProof/>
            <w:webHidden/>
          </w:rPr>
          <w:tab/>
        </w:r>
        <w:r w:rsidR="000E1554">
          <w:rPr>
            <w:noProof/>
            <w:webHidden/>
          </w:rPr>
          <w:fldChar w:fldCharType="begin"/>
        </w:r>
        <w:r w:rsidR="000E1554">
          <w:rPr>
            <w:noProof/>
            <w:webHidden/>
          </w:rPr>
          <w:instrText xml:space="preserve"> PAGEREF _Toc166682347 \h </w:instrText>
        </w:r>
        <w:r w:rsidR="000E1554">
          <w:rPr>
            <w:noProof/>
            <w:webHidden/>
          </w:rPr>
        </w:r>
        <w:r w:rsidR="000E1554">
          <w:rPr>
            <w:noProof/>
            <w:webHidden/>
          </w:rPr>
          <w:fldChar w:fldCharType="separate"/>
        </w:r>
        <w:r w:rsidR="00AA66EA">
          <w:rPr>
            <w:noProof/>
            <w:webHidden/>
          </w:rPr>
          <w:t>4</w:t>
        </w:r>
        <w:r w:rsidR="000E1554">
          <w:rPr>
            <w:noProof/>
            <w:webHidden/>
          </w:rPr>
          <w:fldChar w:fldCharType="end"/>
        </w:r>
      </w:hyperlink>
    </w:p>
    <w:p w14:paraId="51315AF3" w14:textId="70C25740" w:rsidR="000E1554" w:rsidRDefault="00000000">
      <w:pPr>
        <w:pStyle w:val="TOC2"/>
        <w:tabs>
          <w:tab w:val="right" w:leader="dot" w:pos="9016"/>
        </w:tabs>
        <w:rPr>
          <w:noProof/>
          <w:lang w:val="en-AU"/>
        </w:rPr>
      </w:pPr>
      <w:hyperlink w:anchor="_Toc166682348" w:history="1">
        <w:r w:rsidR="000E1554" w:rsidRPr="004B67AD">
          <w:rPr>
            <w:rStyle w:val="Hyperlink"/>
            <w:noProof/>
          </w:rPr>
          <w:t>Governance and reporting</w:t>
        </w:r>
        <w:r w:rsidR="000E1554">
          <w:rPr>
            <w:noProof/>
            <w:webHidden/>
          </w:rPr>
          <w:tab/>
        </w:r>
        <w:r w:rsidR="000E1554">
          <w:rPr>
            <w:noProof/>
            <w:webHidden/>
          </w:rPr>
          <w:fldChar w:fldCharType="begin"/>
        </w:r>
        <w:r w:rsidR="000E1554">
          <w:rPr>
            <w:noProof/>
            <w:webHidden/>
          </w:rPr>
          <w:instrText xml:space="preserve"> PAGEREF _Toc166682348 \h </w:instrText>
        </w:r>
        <w:r w:rsidR="000E1554">
          <w:rPr>
            <w:noProof/>
            <w:webHidden/>
          </w:rPr>
        </w:r>
        <w:r w:rsidR="000E1554">
          <w:rPr>
            <w:noProof/>
            <w:webHidden/>
          </w:rPr>
          <w:fldChar w:fldCharType="separate"/>
        </w:r>
        <w:r w:rsidR="00AA66EA">
          <w:rPr>
            <w:noProof/>
            <w:webHidden/>
          </w:rPr>
          <w:t>5</w:t>
        </w:r>
        <w:r w:rsidR="000E1554">
          <w:rPr>
            <w:noProof/>
            <w:webHidden/>
          </w:rPr>
          <w:fldChar w:fldCharType="end"/>
        </w:r>
      </w:hyperlink>
    </w:p>
    <w:p w14:paraId="6D7AF06B" w14:textId="52EB95B1" w:rsidR="000E1554" w:rsidRDefault="00000000">
      <w:pPr>
        <w:pStyle w:val="TOC2"/>
        <w:tabs>
          <w:tab w:val="right" w:leader="dot" w:pos="9016"/>
        </w:tabs>
        <w:rPr>
          <w:noProof/>
          <w:lang w:val="en-AU"/>
        </w:rPr>
      </w:pPr>
      <w:hyperlink w:anchor="_Toc166682349" w:history="1">
        <w:r w:rsidR="000E1554" w:rsidRPr="004B67AD">
          <w:rPr>
            <w:rStyle w:val="Hyperlink"/>
            <w:noProof/>
          </w:rPr>
          <w:t>Victoria’s Bushfire Monitoring, Evaluation and Reporting Framework</w:t>
        </w:r>
        <w:r w:rsidR="000E1554">
          <w:rPr>
            <w:noProof/>
            <w:webHidden/>
          </w:rPr>
          <w:tab/>
        </w:r>
        <w:r w:rsidR="000E1554">
          <w:rPr>
            <w:noProof/>
            <w:webHidden/>
          </w:rPr>
          <w:fldChar w:fldCharType="begin"/>
        </w:r>
        <w:r w:rsidR="000E1554">
          <w:rPr>
            <w:noProof/>
            <w:webHidden/>
          </w:rPr>
          <w:instrText xml:space="preserve"> PAGEREF _Toc166682349 \h </w:instrText>
        </w:r>
        <w:r w:rsidR="000E1554">
          <w:rPr>
            <w:noProof/>
            <w:webHidden/>
          </w:rPr>
        </w:r>
        <w:r w:rsidR="000E1554">
          <w:rPr>
            <w:noProof/>
            <w:webHidden/>
          </w:rPr>
          <w:fldChar w:fldCharType="separate"/>
        </w:r>
        <w:r w:rsidR="00AA66EA">
          <w:rPr>
            <w:noProof/>
            <w:webHidden/>
          </w:rPr>
          <w:t>5</w:t>
        </w:r>
        <w:r w:rsidR="000E1554">
          <w:rPr>
            <w:noProof/>
            <w:webHidden/>
          </w:rPr>
          <w:fldChar w:fldCharType="end"/>
        </w:r>
      </w:hyperlink>
    </w:p>
    <w:p w14:paraId="20663867" w14:textId="4A3192C2" w:rsidR="000E1554" w:rsidRDefault="00000000">
      <w:pPr>
        <w:pStyle w:val="TOC2"/>
        <w:tabs>
          <w:tab w:val="right" w:leader="dot" w:pos="9016"/>
        </w:tabs>
        <w:rPr>
          <w:noProof/>
          <w:lang w:val="en-AU"/>
        </w:rPr>
      </w:pPr>
      <w:hyperlink w:anchor="_Toc166682350" w:history="1">
        <w:r w:rsidR="000E1554" w:rsidRPr="004B67AD">
          <w:rPr>
            <w:rStyle w:val="Hyperlink"/>
            <w:noProof/>
          </w:rPr>
          <w:t>Work currently underway</w:t>
        </w:r>
        <w:r w:rsidR="000E1554">
          <w:rPr>
            <w:noProof/>
            <w:webHidden/>
          </w:rPr>
          <w:tab/>
        </w:r>
        <w:r w:rsidR="000E1554">
          <w:rPr>
            <w:noProof/>
            <w:webHidden/>
          </w:rPr>
          <w:fldChar w:fldCharType="begin"/>
        </w:r>
        <w:r w:rsidR="000E1554">
          <w:rPr>
            <w:noProof/>
            <w:webHidden/>
          </w:rPr>
          <w:instrText xml:space="preserve"> PAGEREF _Toc166682350 \h </w:instrText>
        </w:r>
        <w:r w:rsidR="000E1554">
          <w:rPr>
            <w:noProof/>
            <w:webHidden/>
          </w:rPr>
        </w:r>
        <w:r w:rsidR="000E1554">
          <w:rPr>
            <w:noProof/>
            <w:webHidden/>
          </w:rPr>
          <w:fldChar w:fldCharType="separate"/>
        </w:r>
        <w:r w:rsidR="00AA66EA">
          <w:rPr>
            <w:noProof/>
            <w:webHidden/>
          </w:rPr>
          <w:t>6</w:t>
        </w:r>
        <w:r w:rsidR="000E1554">
          <w:rPr>
            <w:noProof/>
            <w:webHidden/>
          </w:rPr>
          <w:fldChar w:fldCharType="end"/>
        </w:r>
      </w:hyperlink>
    </w:p>
    <w:p w14:paraId="0C8E80E4" w14:textId="2AD4359E" w:rsidR="000E1554" w:rsidRDefault="00000000">
      <w:pPr>
        <w:pStyle w:val="TOC1"/>
        <w:tabs>
          <w:tab w:val="right" w:leader="dot" w:pos="9016"/>
        </w:tabs>
        <w:rPr>
          <w:noProof/>
          <w:lang w:val="en-AU"/>
        </w:rPr>
      </w:pPr>
      <w:hyperlink w:anchor="_Toc166682351" w:history="1">
        <w:r w:rsidR="000E1554" w:rsidRPr="004B67AD">
          <w:rPr>
            <w:rStyle w:val="Hyperlink"/>
            <w:noProof/>
          </w:rPr>
          <w:t>Implementation Plan 2024-27</w:t>
        </w:r>
        <w:r w:rsidR="000E1554">
          <w:rPr>
            <w:noProof/>
            <w:webHidden/>
          </w:rPr>
          <w:tab/>
        </w:r>
        <w:r w:rsidR="000E1554">
          <w:rPr>
            <w:noProof/>
            <w:webHidden/>
          </w:rPr>
          <w:fldChar w:fldCharType="begin"/>
        </w:r>
        <w:r w:rsidR="000E1554">
          <w:rPr>
            <w:noProof/>
            <w:webHidden/>
          </w:rPr>
          <w:instrText xml:space="preserve"> PAGEREF _Toc166682351 \h </w:instrText>
        </w:r>
        <w:r w:rsidR="000E1554">
          <w:rPr>
            <w:noProof/>
            <w:webHidden/>
          </w:rPr>
        </w:r>
        <w:r w:rsidR="000E1554">
          <w:rPr>
            <w:noProof/>
            <w:webHidden/>
          </w:rPr>
          <w:fldChar w:fldCharType="separate"/>
        </w:r>
        <w:r w:rsidR="00AA66EA">
          <w:rPr>
            <w:noProof/>
            <w:webHidden/>
          </w:rPr>
          <w:t>13</w:t>
        </w:r>
        <w:r w:rsidR="000E1554">
          <w:rPr>
            <w:noProof/>
            <w:webHidden/>
          </w:rPr>
          <w:fldChar w:fldCharType="end"/>
        </w:r>
      </w:hyperlink>
    </w:p>
    <w:p w14:paraId="51F36A84" w14:textId="3570AD2E" w:rsidR="000E1554" w:rsidRDefault="00000000">
      <w:pPr>
        <w:pStyle w:val="TOC1"/>
        <w:tabs>
          <w:tab w:val="right" w:leader="dot" w:pos="9016"/>
        </w:tabs>
        <w:rPr>
          <w:noProof/>
          <w:lang w:val="en-AU"/>
        </w:rPr>
      </w:pPr>
      <w:hyperlink w:anchor="_Toc166682352" w:history="1">
        <w:r w:rsidR="000E1554" w:rsidRPr="004B67AD">
          <w:rPr>
            <w:rStyle w:val="Hyperlink"/>
            <w:noProof/>
          </w:rPr>
          <w:t>Actions</w:t>
        </w:r>
        <w:r w:rsidR="000E1554">
          <w:rPr>
            <w:noProof/>
            <w:webHidden/>
          </w:rPr>
          <w:tab/>
        </w:r>
        <w:r w:rsidR="000E1554">
          <w:rPr>
            <w:noProof/>
            <w:webHidden/>
          </w:rPr>
          <w:fldChar w:fldCharType="begin"/>
        </w:r>
        <w:r w:rsidR="000E1554">
          <w:rPr>
            <w:noProof/>
            <w:webHidden/>
          </w:rPr>
          <w:instrText xml:space="preserve"> PAGEREF _Toc166682352 \h </w:instrText>
        </w:r>
        <w:r w:rsidR="000E1554">
          <w:rPr>
            <w:noProof/>
            <w:webHidden/>
          </w:rPr>
        </w:r>
        <w:r w:rsidR="000E1554">
          <w:rPr>
            <w:noProof/>
            <w:webHidden/>
          </w:rPr>
          <w:fldChar w:fldCharType="separate"/>
        </w:r>
        <w:r w:rsidR="00AA66EA">
          <w:rPr>
            <w:noProof/>
            <w:webHidden/>
          </w:rPr>
          <w:t>14</w:t>
        </w:r>
        <w:r w:rsidR="000E1554">
          <w:rPr>
            <w:noProof/>
            <w:webHidden/>
          </w:rPr>
          <w:fldChar w:fldCharType="end"/>
        </w:r>
      </w:hyperlink>
    </w:p>
    <w:p w14:paraId="024A32EF" w14:textId="12A16A55" w:rsidR="000E1554" w:rsidRDefault="00000000">
      <w:pPr>
        <w:pStyle w:val="TOC2"/>
        <w:tabs>
          <w:tab w:val="left" w:pos="720"/>
          <w:tab w:val="right" w:leader="dot" w:pos="9016"/>
        </w:tabs>
        <w:rPr>
          <w:noProof/>
          <w:lang w:val="en-AU"/>
        </w:rPr>
      </w:pPr>
      <w:hyperlink w:anchor="_Toc166682353" w:history="1">
        <w:r w:rsidR="000E1554" w:rsidRPr="004B67AD">
          <w:rPr>
            <w:rStyle w:val="Hyperlink"/>
            <w:noProof/>
          </w:rPr>
          <w:t>1.</w:t>
        </w:r>
        <w:r w:rsidR="000E1554">
          <w:rPr>
            <w:noProof/>
            <w:lang w:val="en-AU"/>
          </w:rPr>
          <w:tab/>
        </w:r>
        <w:r w:rsidR="000E1554" w:rsidRPr="004B67AD">
          <w:rPr>
            <w:rStyle w:val="Hyperlink"/>
            <w:noProof/>
          </w:rPr>
          <w:t>People and community safety</w:t>
        </w:r>
        <w:r w:rsidR="000E1554">
          <w:rPr>
            <w:noProof/>
            <w:webHidden/>
          </w:rPr>
          <w:tab/>
        </w:r>
        <w:r w:rsidR="000E1554">
          <w:rPr>
            <w:noProof/>
            <w:webHidden/>
          </w:rPr>
          <w:fldChar w:fldCharType="begin"/>
        </w:r>
        <w:r w:rsidR="000E1554">
          <w:rPr>
            <w:noProof/>
            <w:webHidden/>
          </w:rPr>
          <w:instrText xml:space="preserve"> PAGEREF _Toc166682353 \h </w:instrText>
        </w:r>
        <w:r w:rsidR="000E1554">
          <w:rPr>
            <w:noProof/>
            <w:webHidden/>
          </w:rPr>
        </w:r>
        <w:r w:rsidR="000E1554">
          <w:rPr>
            <w:noProof/>
            <w:webHidden/>
          </w:rPr>
          <w:fldChar w:fldCharType="separate"/>
        </w:r>
        <w:r w:rsidR="00AA66EA">
          <w:rPr>
            <w:noProof/>
            <w:webHidden/>
          </w:rPr>
          <w:t>14</w:t>
        </w:r>
        <w:r w:rsidR="000E1554">
          <w:rPr>
            <w:noProof/>
            <w:webHidden/>
          </w:rPr>
          <w:fldChar w:fldCharType="end"/>
        </w:r>
      </w:hyperlink>
    </w:p>
    <w:p w14:paraId="73909A4B" w14:textId="7C52C5BC" w:rsidR="000E1554" w:rsidRDefault="00000000">
      <w:pPr>
        <w:pStyle w:val="TOC2"/>
        <w:tabs>
          <w:tab w:val="left" w:pos="720"/>
          <w:tab w:val="right" w:leader="dot" w:pos="9016"/>
        </w:tabs>
        <w:rPr>
          <w:noProof/>
          <w:lang w:val="en-AU"/>
        </w:rPr>
      </w:pPr>
      <w:hyperlink w:anchor="_Toc166682354" w:history="1">
        <w:r w:rsidR="000E1554" w:rsidRPr="004B67AD">
          <w:rPr>
            <w:rStyle w:val="Hyperlink"/>
            <w:noProof/>
          </w:rPr>
          <w:t>2.</w:t>
        </w:r>
        <w:r w:rsidR="000E1554">
          <w:rPr>
            <w:noProof/>
            <w:lang w:val="en-AU"/>
          </w:rPr>
          <w:tab/>
        </w:r>
        <w:r w:rsidR="000E1554" w:rsidRPr="004B67AD">
          <w:rPr>
            <w:rStyle w:val="Hyperlink"/>
            <w:noProof/>
          </w:rPr>
          <w:t>Critical infrastructure and economic resilience</w:t>
        </w:r>
        <w:r w:rsidR="000E1554">
          <w:rPr>
            <w:noProof/>
            <w:webHidden/>
          </w:rPr>
          <w:tab/>
        </w:r>
        <w:r w:rsidR="000E1554">
          <w:rPr>
            <w:noProof/>
            <w:webHidden/>
          </w:rPr>
          <w:fldChar w:fldCharType="begin"/>
        </w:r>
        <w:r w:rsidR="000E1554">
          <w:rPr>
            <w:noProof/>
            <w:webHidden/>
          </w:rPr>
          <w:instrText xml:space="preserve"> PAGEREF _Toc166682354 \h </w:instrText>
        </w:r>
        <w:r w:rsidR="000E1554">
          <w:rPr>
            <w:noProof/>
            <w:webHidden/>
          </w:rPr>
        </w:r>
        <w:r w:rsidR="000E1554">
          <w:rPr>
            <w:noProof/>
            <w:webHidden/>
          </w:rPr>
          <w:fldChar w:fldCharType="separate"/>
        </w:r>
        <w:r w:rsidR="00AA66EA">
          <w:rPr>
            <w:noProof/>
            <w:webHidden/>
          </w:rPr>
          <w:t>19</w:t>
        </w:r>
        <w:r w:rsidR="000E1554">
          <w:rPr>
            <w:noProof/>
            <w:webHidden/>
          </w:rPr>
          <w:fldChar w:fldCharType="end"/>
        </w:r>
      </w:hyperlink>
    </w:p>
    <w:p w14:paraId="0D7C142E" w14:textId="0AF25BF9" w:rsidR="000E1554" w:rsidRDefault="00000000">
      <w:pPr>
        <w:pStyle w:val="TOC2"/>
        <w:tabs>
          <w:tab w:val="left" w:pos="720"/>
          <w:tab w:val="right" w:leader="dot" w:pos="9016"/>
        </w:tabs>
        <w:rPr>
          <w:noProof/>
          <w:lang w:val="en-AU"/>
        </w:rPr>
      </w:pPr>
      <w:hyperlink w:anchor="_Toc166682355" w:history="1">
        <w:r w:rsidR="000E1554" w:rsidRPr="004B67AD">
          <w:rPr>
            <w:rStyle w:val="Hyperlink"/>
            <w:noProof/>
          </w:rPr>
          <w:t>3.</w:t>
        </w:r>
        <w:r w:rsidR="000E1554">
          <w:rPr>
            <w:noProof/>
            <w:lang w:val="en-AU"/>
          </w:rPr>
          <w:tab/>
        </w:r>
        <w:r w:rsidR="000E1554" w:rsidRPr="004B67AD">
          <w:rPr>
            <w:rStyle w:val="Hyperlink"/>
            <w:noProof/>
          </w:rPr>
          <w:t>Aboriginal self-determination in cultural fire and bushfire management</w:t>
        </w:r>
        <w:r w:rsidR="000E1554">
          <w:rPr>
            <w:noProof/>
            <w:webHidden/>
          </w:rPr>
          <w:tab/>
        </w:r>
        <w:r w:rsidR="000E1554">
          <w:rPr>
            <w:noProof/>
            <w:webHidden/>
          </w:rPr>
          <w:fldChar w:fldCharType="begin"/>
        </w:r>
        <w:r w:rsidR="000E1554">
          <w:rPr>
            <w:noProof/>
            <w:webHidden/>
          </w:rPr>
          <w:instrText xml:space="preserve"> PAGEREF _Toc166682355 \h </w:instrText>
        </w:r>
        <w:r w:rsidR="000E1554">
          <w:rPr>
            <w:noProof/>
            <w:webHidden/>
          </w:rPr>
        </w:r>
        <w:r w:rsidR="000E1554">
          <w:rPr>
            <w:noProof/>
            <w:webHidden/>
          </w:rPr>
          <w:fldChar w:fldCharType="separate"/>
        </w:r>
        <w:r w:rsidR="00AA66EA">
          <w:rPr>
            <w:noProof/>
            <w:webHidden/>
          </w:rPr>
          <w:t>21</w:t>
        </w:r>
        <w:r w:rsidR="000E1554">
          <w:rPr>
            <w:noProof/>
            <w:webHidden/>
          </w:rPr>
          <w:fldChar w:fldCharType="end"/>
        </w:r>
      </w:hyperlink>
    </w:p>
    <w:p w14:paraId="6C1EE686" w14:textId="609064E7" w:rsidR="000E1554" w:rsidRDefault="00000000">
      <w:pPr>
        <w:pStyle w:val="TOC2"/>
        <w:tabs>
          <w:tab w:val="left" w:pos="720"/>
          <w:tab w:val="right" w:leader="dot" w:pos="9016"/>
        </w:tabs>
        <w:rPr>
          <w:noProof/>
          <w:lang w:val="en-AU"/>
        </w:rPr>
      </w:pPr>
      <w:hyperlink w:anchor="_Toc166682356" w:history="1">
        <w:r w:rsidR="000E1554" w:rsidRPr="004B67AD">
          <w:rPr>
            <w:rStyle w:val="Hyperlink"/>
            <w:noProof/>
          </w:rPr>
          <w:t>4.</w:t>
        </w:r>
        <w:r w:rsidR="000E1554">
          <w:rPr>
            <w:noProof/>
            <w:lang w:val="en-AU"/>
          </w:rPr>
          <w:tab/>
        </w:r>
        <w:r w:rsidR="000E1554" w:rsidRPr="004B67AD">
          <w:rPr>
            <w:rStyle w:val="Hyperlink"/>
            <w:noProof/>
          </w:rPr>
          <w:t>Ecosystem resilience and nature conservation</w:t>
        </w:r>
        <w:r w:rsidR="000E1554">
          <w:rPr>
            <w:noProof/>
            <w:webHidden/>
          </w:rPr>
          <w:tab/>
        </w:r>
        <w:r w:rsidR="000E1554">
          <w:rPr>
            <w:noProof/>
            <w:webHidden/>
          </w:rPr>
          <w:fldChar w:fldCharType="begin"/>
        </w:r>
        <w:r w:rsidR="000E1554">
          <w:rPr>
            <w:noProof/>
            <w:webHidden/>
          </w:rPr>
          <w:instrText xml:space="preserve"> PAGEREF _Toc166682356 \h </w:instrText>
        </w:r>
        <w:r w:rsidR="000E1554">
          <w:rPr>
            <w:noProof/>
            <w:webHidden/>
          </w:rPr>
        </w:r>
        <w:r w:rsidR="000E1554">
          <w:rPr>
            <w:noProof/>
            <w:webHidden/>
          </w:rPr>
          <w:fldChar w:fldCharType="separate"/>
        </w:r>
        <w:r w:rsidR="00AA66EA">
          <w:rPr>
            <w:noProof/>
            <w:webHidden/>
          </w:rPr>
          <w:t>22</w:t>
        </w:r>
        <w:r w:rsidR="000E1554">
          <w:rPr>
            <w:noProof/>
            <w:webHidden/>
          </w:rPr>
          <w:fldChar w:fldCharType="end"/>
        </w:r>
      </w:hyperlink>
    </w:p>
    <w:p w14:paraId="787E9D42" w14:textId="14C04404" w:rsidR="000E1554" w:rsidRDefault="00000000">
      <w:pPr>
        <w:pStyle w:val="TOC2"/>
        <w:tabs>
          <w:tab w:val="left" w:pos="720"/>
          <w:tab w:val="right" w:leader="dot" w:pos="9016"/>
        </w:tabs>
        <w:rPr>
          <w:noProof/>
          <w:lang w:val="en-AU"/>
        </w:rPr>
      </w:pPr>
      <w:hyperlink w:anchor="_Toc166682357" w:history="1">
        <w:r w:rsidR="000E1554" w:rsidRPr="004B67AD">
          <w:rPr>
            <w:rStyle w:val="Hyperlink"/>
            <w:noProof/>
          </w:rPr>
          <w:t>5.</w:t>
        </w:r>
        <w:r w:rsidR="000E1554">
          <w:rPr>
            <w:noProof/>
            <w:lang w:val="en-AU"/>
          </w:rPr>
          <w:tab/>
        </w:r>
        <w:r w:rsidR="000E1554" w:rsidRPr="004B67AD">
          <w:rPr>
            <w:rStyle w:val="Hyperlink"/>
            <w:noProof/>
          </w:rPr>
          <w:t>Informed decision-making, evidence-based approaches and tools</w:t>
        </w:r>
        <w:r w:rsidR="000E1554">
          <w:rPr>
            <w:noProof/>
            <w:webHidden/>
          </w:rPr>
          <w:tab/>
        </w:r>
        <w:r w:rsidR="000E1554">
          <w:rPr>
            <w:noProof/>
            <w:webHidden/>
          </w:rPr>
          <w:fldChar w:fldCharType="begin"/>
        </w:r>
        <w:r w:rsidR="000E1554">
          <w:rPr>
            <w:noProof/>
            <w:webHidden/>
          </w:rPr>
          <w:instrText xml:space="preserve"> PAGEREF _Toc166682357 \h </w:instrText>
        </w:r>
        <w:r w:rsidR="000E1554">
          <w:rPr>
            <w:noProof/>
            <w:webHidden/>
          </w:rPr>
        </w:r>
        <w:r w:rsidR="000E1554">
          <w:rPr>
            <w:noProof/>
            <w:webHidden/>
          </w:rPr>
          <w:fldChar w:fldCharType="separate"/>
        </w:r>
        <w:r w:rsidR="00AA66EA">
          <w:rPr>
            <w:noProof/>
            <w:webHidden/>
          </w:rPr>
          <w:t>26</w:t>
        </w:r>
        <w:r w:rsidR="000E1554">
          <w:rPr>
            <w:noProof/>
            <w:webHidden/>
          </w:rPr>
          <w:fldChar w:fldCharType="end"/>
        </w:r>
      </w:hyperlink>
    </w:p>
    <w:p w14:paraId="2C63F379" w14:textId="79BFBE04" w:rsidR="000E1554" w:rsidRDefault="00000000">
      <w:pPr>
        <w:pStyle w:val="TOC2"/>
        <w:tabs>
          <w:tab w:val="left" w:pos="720"/>
          <w:tab w:val="right" w:leader="dot" w:pos="9016"/>
        </w:tabs>
        <w:rPr>
          <w:noProof/>
          <w:lang w:val="en-AU"/>
        </w:rPr>
      </w:pPr>
      <w:hyperlink w:anchor="_Toc166682358" w:history="1">
        <w:r w:rsidR="000E1554" w:rsidRPr="004B67AD">
          <w:rPr>
            <w:rStyle w:val="Hyperlink"/>
            <w:noProof/>
          </w:rPr>
          <w:t>6.</w:t>
        </w:r>
        <w:r w:rsidR="000E1554">
          <w:rPr>
            <w:noProof/>
            <w:lang w:val="en-AU"/>
          </w:rPr>
          <w:tab/>
        </w:r>
        <w:r w:rsidR="000E1554" w:rsidRPr="004B67AD">
          <w:rPr>
            <w:rStyle w:val="Hyperlink"/>
            <w:noProof/>
          </w:rPr>
          <w:t>Working together, accountability and shared responsibility</w:t>
        </w:r>
        <w:r w:rsidR="000E1554">
          <w:rPr>
            <w:noProof/>
            <w:webHidden/>
          </w:rPr>
          <w:tab/>
        </w:r>
        <w:r w:rsidR="000E1554">
          <w:rPr>
            <w:noProof/>
            <w:webHidden/>
          </w:rPr>
          <w:fldChar w:fldCharType="begin"/>
        </w:r>
        <w:r w:rsidR="000E1554">
          <w:rPr>
            <w:noProof/>
            <w:webHidden/>
          </w:rPr>
          <w:instrText xml:space="preserve"> PAGEREF _Toc166682358 \h </w:instrText>
        </w:r>
        <w:r w:rsidR="000E1554">
          <w:rPr>
            <w:noProof/>
            <w:webHidden/>
          </w:rPr>
        </w:r>
        <w:r w:rsidR="000E1554">
          <w:rPr>
            <w:noProof/>
            <w:webHidden/>
          </w:rPr>
          <w:fldChar w:fldCharType="separate"/>
        </w:r>
        <w:r w:rsidR="00AA66EA">
          <w:rPr>
            <w:noProof/>
            <w:webHidden/>
          </w:rPr>
          <w:t>30</w:t>
        </w:r>
        <w:r w:rsidR="000E1554">
          <w:rPr>
            <w:noProof/>
            <w:webHidden/>
          </w:rPr>
          <w:fldChar w:fldCharType="end"/>
        </w:r>
      </w:hyperlink>
    </w:p>
    <w:p w14:paraId="11804499" w14:textId="726344C6" w:rsidR="000E1554" w:rsidRDefault="00000000">
      <w:pPr>
        <w:pStyle w:val="TOC2"/>
        <w:tabs>
          <w:tab w:val="left" w:pos="720"/>
          <w:tab w:val="right" w:leader="dot" w:pos="9016"/>
        </w:tabs>
        <w:rPr>
          <w:noProof/>
          <w:lang w:val="en-AU"/>
        </w:rPr>
      </w:pPr>
      <w:hyperlink w:anchor="_Toc166682359" w:history="1">
        <w:r w:rsidR="000E1554" w:rsidRPr="004B67AD">
          <w:rPr>
            <w:rStyle w:val="Hyperlink"/>
            <w:noProof/>
          </w:rPr>
          <w:t>7.</w:t>
        </w:r>
        <w:r w:rsidR="000E1554">
          <w:rPr>
            <w:noProof/>
            <w:lang w:val="en-AU"/>
          </w:rPr>
          <w:tab/>
        </w:r>
        <w:r w:rsidR="000E1554" w:rsidRPr="004B67AD">
          <w:rPr>
            <w:rStyle w:val="Hyperlink"/>
            <w:noProof/>
          </w:rPr>
          <w:t>Enhanced capacity and capability</w:t>
        </w:r>
        <w:r w:rsidR="000E1554">
          <w:rPr>
            <w:noProof/>
            <w:webHidden/>
          </w:rPr>
          <w:tab/>
        </w:r>
        <w:r w:rsidR="000E1554">
          <w:rPr>
            <w:noProof/>
            <w:webHidden/>
          </w:rPr>
          <w:fldChar w:fldCharType="begin"/>
        </w:r>
        <w:r w:rsidR="000E1554">
          <w:rPr>
            <w:noProof/>
            <w:webHidden/>
          </w:rPr>
          <w:instrText xml:space="preserve"> PAGEREF _Toc166682359 \h </w:instrText>
        </w:r>
        <w:r w:rsidR="000E1554">
          <w:rPr>
            <w:noProof/>
            <w:webHidden/>
          </w:rPr>
        </w:r>
        <w:r w:rsidR="000E1554">
          <w:rPr>
            <w:noProof/>
            <w:webHidden/>
          </w:rPr>
          <w:fldChar w:fldCharType="separate"/>
        </w:r>
        <w:r w:rsidR="00AA66EA">
          <w:rPr>
            <w:noProof/>
            <w:webHidden/>
          </w:rPr>
          <w:t>33</w:t>
        </w:r>
        <w:r w:rsidR="000E1554">
          <w:rPr>
            <w:noProof/>
            <w:webHidden/>
          </w:rPr>
          <w:fldChar w:fldCharType="end"/>
        </w:r>
      </w:hyperlink>
    </w:p>
    <w:p w14:paraId="56A8A8A6" w14:textId="5DC968C6" w:rsidR="00120EB6" w:rsidRPr="00120EB6" w:rsidRDefault="00CD46A6" w:rsidP="00120EB6">
      <w:pPr>
        <w:pStyle w:val="Heading1"/>
        <w:rPr>
          <w:lang w:val="en-US"/>
        </w:rPr>
      </w:pPr>
      <w:r>
        <w:rPr>
          <w:lang w:val="en-US"/>
        </w:rPr>
        <w:lastRenderedPageBreak/>
        <w:fldChar w:fldCharType="end"/>
      </w:r>
      <w:bookmarkStart w:id="8" w:name="_Toc166682344"/>
      <w:r w:rsidR="00120EB6" w:rsidRPr="00120EB6">
        <w:rPr>
          <w:lang w:val="en-US"/>
        </w:rPr>
        <w:t>Introduction</w:t>
      </w:r>
      <w:bookmarkEnd w:id="8"/>
    </w:p>
    <w:p w14:paraId="7C98EF2E" w14:textId="77777777" w:rsidR="00120EB6" w:rsidRPr="00120EB6" w:rsidRDefault="00120EB6" w:rsidP="00120EB6">
      <w:pPr>
        <w:pStyle w:val="Heading2"/>
        <w:rPr>
          <w:lang w:val="en-US"/>
        </w:rPr>
      </w:pPr>
      <w:bookmarkStart w:id="9" w:name="_Toc166682345"/>
      <w:r w:rsidRPr="00120EB6">
        <w:rPr>
          <w:lang w:val="en-US"/>
        </w:rPr>
        <w:t>Victoria’s Bushfire Management Strategy</w:t>
      </w:r>
      <w:bookmarkEnd w:id="9"/>
      <w:r w:rsidRPr="00120EB6">
        <w:rPr>
          <w:lang w:val="en-US"/>
        </w:rPr>
        <w:t xml:space="preserve"> </w:t>
      </w:r>
    </w:p>
    <w:p w14:paraId="121CA600" w14:textId="61223599" w:rsidR="00120EB6" w:rsidRPr="00120EB6" w:rsidRDefault="00120EB6" w:rsidP="00120EB6">
      <w:pPr>
        <w:rPr>
          <w:lang w:val="en-US"/>
        </w:rPr>
      </w:pPr>
      <w:r w:rsidRPr="00120EB6">
        <w:rPr>
          <w:lang w:val="en-US"/>
        </w:rPr>
        <w:t xml:space="preserve">Victoria’s Bushfire Management Strategy (the Strategy) guides bushfire management across Victoria in the context of a changing climate, growing population, changing demographics, and Aboriginal self-determination and Treaty. The Strategy provides a shared vision for bushfire management in Victoria over 10 years. It outlines how fire agencies, communities, relevant stakeholders and Traditional Owners can work together to achieve this vision, through the delivery of 7 long-term outcomes. </w:t>
      </w:r>
    </w:p>
    <w:p w14:paraId="701900B9" w14:textId="77777777" w:rsidR="00120EB6" w:rsidRPr="00120EB6" w:rsidRDefault="00120EB6" w:rsidP="00120EB6">
      <w:pPr>
        <w:rPr>
          <w:lang w:val="en-US"/>
        </w:rPr>
      </w:pPr>
      <w:r w:rsidRPr="00120EB6">
        <w:rPr>
          <w:lang w:val="en-US"/>
        </w:rPr>
        <w:t>The Strategy supports the bushfire management sector’s pursuit of improved outcomes for bushfire risk management and effective response and recovery. It builds on previously established principles and enables us to direct resources and investment to where they will have the greatest impact.</w:t>
      </w:r>
    </w:p>
    <w:p w14:paraId="0A3DB84A" w14:textId="04D58333" w:rsidR="00120EB6" w:rsidRPr="00120EB6" w:rsidRDefault="00120EB6" w:rsidP="00120EB6">
      <w:pPr>
        <w:pStyle w:val="Caption"/>
        <w:rPr>
          <w:lang w:val="en-US"/>
        </w:rPr>
      </w:pPr>
      <w:r>
        <w:rPr>
          <w:lang w:val="en-US"/>
        </w:rPr>
        <w:t xml:space="preserve">Table 1. </w:t>
      </w:r>
      <w:r w:rsidRPr="00120EB6">
        <w:rPr>
          <w:lang w:val="en-US"/>
        </w:rPr>
        <w:t>Bushfire Strategy vision, domains and outcomes</w:t>
      </w:r>
    </w:p>
    <w:tbl>
      <w:tblPr>
        <w:tblStyle w:val="TableGrid"/>
        <w:tblW w:w="0" w:type="auto"/>
        <w:tblLayout w:type="fixed"/>
        <w:tblLook w:val="0020" w:firstRow="1" w:lastRow="0" w:firstColumn="0" w:lastColumn="0" w:noHBand="0" w:noVBand="0"/>
      </w:tblPr>
      <w:tblGrid>
        <w:gridCol w:w="3450"/>
        <w:gridCol w:w="6188"/>
      </w:tblGrid>
      <w:tr w:rsidR="00120EB6" w:rsidRPr="00120EB6" w14:paraId="5E6470F4" w14:textId="77777777" w:rsidTr="00120EB6">
        <w:trPr>
          <w:trHeight w:val="60"/>
        </w:trPr>
        <w:tc>
          <w:tcPr>
            <w:tcW w:w="9638" w:type="dxa"/>
            <w:gridSpan w:val="2"/>
          </w:tcPr>
          <w:p w14:paraId="7CD3A4C1" w14:textId="77777777" w:rsidR="00120EB6" w:rsidRPr="00120EB6" w:rsidRDefault="00120EB6" w:rsidP="00120EB6">
            <w:pPr>
              <w:rPr>
                <w:b/>
                <w:bCs/>
                <w:lang w:val="en-US"/>
              </w:rPr>
            </w:pPr>
            <w:r w:rsidRPr="00120EB6">
              <w:rPr>
                <w:b/>
                <w:bCs/>
                <w:lang w:val="en-US"/>
              </w:rPr>
              <w:t>Vision: Victorians work together to manage bushfire risk for safer communities and healthy ecosystems in a changing climate</w:t>
            </w:r>
          </w:p>
        </w:tc>
      </w:tr>
      <w:tr w:rsidR="00120EB6" w:rsidRPr="00120EB6" w14:paraId="79969F65" w14:textId="77777777" w:rsidTr="00120EB6">
        <w:trPr>
          <w:trHeight w:val="60"/>
        </w:trPr>
        <w:tc>
          <w:tcPr>
            <w:tcW w:w="3450" w:type="dxa"/>
          </w:tcPr>
          <w:p w14:paraId="4E4E2FC2" w14:textId="77777777" w:rsidR="00120EB6" w:rsidRPr="00120EB6" w:rsidRDefault="00120EB6" w:rsidP="00120EB6">
            <w:pPr>
              <w:rPr>
                <w:b/>
                <w:bCs/>
                <w:lang w:val="en-US"/>
              </w:rPr>
            </w:pPr>
            <w:r w:rsidRPr="00120EB6">
              <w:rPr>
                <w:b/>
                <w:bCs/>
                <w:lang w:val="en-US"/>
              </w:rPr>
              <w:t>Strategy domains</w:t>
            </w:r>
          </w:p>
        </w:tc>
        <w:tc>
          <w:tcPr>
            <w:tcW w:w="6188" w:type="dxa"/>
          </w:tcPr>
          <w:p w14:paraId="288B0DA1" w14:textId="77777777" w:rsidR="00120EB6" w:rsidRPr="00120EB6" w:rsidRDefault="00120EB6" w:rsidP="00120EB6">
            <w:pPr>
              <w:rPr>
                <w:b/>
                <w:bCs/>
                <w:lang w:val="en-US"/>
              </w:rPr>
            </w:pPr>
            <w:r w:rsidRPr="00120EB6">
              <w:rPr>
                <w:b/>
                <w:bCs/>
                <w:lang w:val="en-US"/>
              </w:rPr>
              <w:t>Strategy outcomes</w:t>
            </w:r>
          </w:p>
        </w:tc>
      </w:tr>
      <w:tr w:rsidR="00120EB6" w:rsidRPr="00120EB6" w14:paraId="4329064E" w14:textId="77777777" w:rsidTr="00120EB6">
        <w:trPr>
          <w:trHeight w:val="723"/>
        </w:trPr>
        <w:tc>
          <w:tcPr>
            <w:tcW w:w="3450" w:type="dxa"/>
          </w:tcPr>
          <w:p w14:paraId="226DD197" w14:textId="77777777" w:rsidR="00120EB6" w:rsidRPr="00120EB6" w:rsidRDefault="00120EB6" w:rsidP="00120EB6">
            <w:pPr>
              <w:rPr>
                <w:b/>
                <w:bCs/>
                <w:lang w:val="en-US"/>
              </w:rPr>
            </w:pPr>
            <w:r w:rsidRPr="00120EB6">
              <w:rPr>
                <w:b/>
                <w:bCs/>
                <w:lang w:val="en-US"/>
              </w:rPr>
              <w:t>People and community safety</w:t>
            </w:r>
          </w:p>
        </w:tc>
        <w:tc>
          <w:tcPr>
            <w:tcW w:w="6188" w:type="dxa"/>
          </w:tcPr>
          <w:p w14:paraId="6A0E56E9" w14:textId="77777777" w:rsidR="00120EB6" w:rsidRPr="00120EB6" w:rsidRDefault="00120EB6" w:rsidP="00120EB6">
            <w:pPr>
              <w:rPr>
                <w:lang w:val="en-US"/>
              </w:rPr>
            </w:pPr>
            <w:r w:rsidRPr="00120EB6">
              <w:rPr>
                <w:lang w:val="en-US"/>
              </w:rPr>
              <w:t>Communities are more resilient to the impacts of bushfires and bushfire management activities</w:t>
            </w:r>
          </w:p>
        </w:tc>
      </w:tr>
      <w:tr w:rsidR="00120EB6" w:rsidRPr="00120EB6" w14:paraId="3453225D" w14:textId="77777777" w:rsidTr="00120EB6">
        <w:trPr>
          <w:trHeight w:val="679"/>
        </w:trPr>
        <w:tc>
          <w:tcPr>
            <w:tcW w:w="3450" w:type="dxa"/>
          </w:tcPr>
          <w:p w14:paraId="17E3BA20" w14:textId="77777777" w:rsidR="00120EB6" w:rsidRPr="00120EB6" w:rsidRDefault="00120EB6" w:rsidP="00120EB6">
            <w:pPr>
              <w:rPr>
                <w:b/>
                <w:bCs/>
                <w:lang w:val="en-US"/>
              </w:rPr>
            </w:pPr>
            <w:r w:rsidRPr="00120EB6">
              <w:rPr>
                <w:b/>
                <w:bCs/>
                <w:lang w:val="en-US"/>
              </w:rPr>
              <w:t>Critical infrastructure and economic resilience</w:t>
            </w:r>
          </w:p>
        </w:tc>
        <w:tc>
          <w:tcPr>
            <w:tcW w:w="6188" w:type="dxa"/>
          </w:tcPr>
          <w:p w14:paraId="166824A9" w14:textId="77777777" w:rsidR="00120EB6" w:rsidRPr="00120EB6" w:rsidRDefault="00120EB6" w:rsidP="00120EB6">
            <w:pPr>
              <w:rPr>
                <w:lang w:val="en-US"/>
              </w:rPr>
            </w:pPr>
            <w:r w:rsidRPr="00120EB6">
              <w:rPr>
                <w:lang w:val="en-US"/>
              </w:rPr>
              <w:t xml:space="preserve">Business, industry and infrastructure are more resilient to the impacts of bushfires and bushfire management activities </w:t>
            </w:r>
          </w:p>
        </w:tc>
      </w:tr>
      <w:tr w:rsidR="00120EB6" w:rsidRPr="00120EB6" w14:paraId="2C674E4F" w14:textId="77777777" w:rsidTr="00120EB6">
        <w:trPr>
          <w:trHeight w:val="60"/>
        </w:trPr>
        <w:tc>
          <w:tcPr>
            <w:tcW w:w="3450" w:type="dxa"/>
          </w:tcPr>
          <w:p w14:paraId="745A21C0" w14:textId="77777777" w:rsidR="00120EB6" w:rsidRPr="00120EB6" w:rsidRDefault="00120EB6" w:rsidP="00120EB6">
            <w:pPr>
              <w:rPr>
                <w:b/>
                <w:bCs/>
                <w:lang w:val="en-US"/>
              </w:rPr>
            </w:pPr>
            <w:r w:rsidRPr="00120EB6">
              <w:rPr>
                <w:b/>
                <w:bCs/>
                <w:lang w:val="en-US"/>
              </w:rPr>
              <w:t>Aboriginal self-determination in cultural fire and bushfire management</w:t>
            </w:r>
          </w:p>
        </w:tc>
        <w:tc>
          <w:tcPr>
            <w:tcW w:w="6188" w:type="dxa"/>
          </w:tcPr>
          <w:p w14:paraId="40CDA608" w14:textId="77777777" w:rsidR="00120EB6" w:rsidRPr="00120EB6" w:rsidRDefault="00120EB6" w:rsidP="00120EB6">
            <w:pPr>
              <w:rPr>
                <w:lang w:val="en-US"/>
              </w:rPr>
            </w:pPr>
            <w:r w:rsidRPr="00120EB6">
              <w:rPr>
                <w:lang w:val="en-US"/>
              </w:rPr>
              <w:t>The sector supports and enables self-determination of Traditional Owners and Aboriginal Victorians in land and bushfire management</w:t>
            </w:r>
          </w:p>
        </w:tc>
      </w:tr>
      <w:tr w:rsidR="00120EB6" w:rsidRPr="00120EB6" w14:paraId="0F0837AD" w14:textId="77777777" w:rsidTr="00120EB6">
        <w:trPr>
          <w:trHeight w:val="60"/>
        </w:trPr>
        <w:tc>
          <w:tcPr>
            <w:tcW w:w="3450" w:type="dxa"/>
          </w:tcPr>
          <w:p w14:paraId="1233F888" w14:textId="77777777" w:rsidR="00120EB6" w:rsidRPr="00120EB6" w:rsidRDefault="00120EB6" w:rsidP="00120EB6">
            <w:pPr>
              <w:rPr>
                <w:b/>
                <w:bCs/>
                <w:lang w:val="en-US"/>
              </w:rPr>
            </w:pPr>
            <w:r w:rsidRPr="00120EB6">
              <w:rPr>
                <w:b/>
                <w:bCs/>
                <w:lang w:val="en-US"/>
              </w:rPr>
              <w:t>Ecosystem resilience and nature conservation</w:t>
            </w:r>
          </w:p>
        </w:tc>
        <w:tc>
          <w:tcPr>
            <w:tcW w:w="6188" w:type="dxa"/>
          </w:tcPr>
          <w:p w14:paraId="6ED225FC" w14:textId="77777777" w:rsidR="00120EB6" w:rsidRPr="00120EB6" w:rsidRDefault="00120EB6" w:rsidP="00120EB6">
            <w:pPr>
              <w:rPr>
                <w:lang w:val="en-US"/>
              </w:rPr>
            </w:pPr>
            <w:r w:rsidRPr="00120EB6">
              <w:rPr>
                <w:lang w:val="en-US"/>
              </w:rPr>
              <w:t>Fire regimes support healthy and resilient ecosystems and nature conservation in a changing climate</w:t>
            </w:r>
          </w:p>
        </w:tc>
      </w:tr>
      <w:tr w:rsidR="00120EB6" w:rsidRPr="00120EB6" w14:paraId="61F94F0A" w14:textId="77777777" w:rsidTr="00120EB6">
        <w:trPr>
          <w:trHeight w:val="895"/>
        </w:trPr>
        <w:tc>
          <w:tcPr>
            <w:tcW w:w="3450" w:type="dxa"/>
          </w:tcPr>
          <w:p w14:paraId="494C9687" w14:textId="77777777" w:rsidR="00120EB6" w:rsidRPr="00120EB6" w:rsidRDefault="00120EB6" w:rsidP="00120EB6">
            <w:pPr>
              <w:rPr>
                <w:b/>
                <w:bCs/>
                <w:lang w:val="en-US"/>
              </w:rPr>
            </w:pPr>
            <w:r w:rsidRPr="00120EB6">
              <w:rPr>
                <w:b/>
                <w:bCs/>
                <w:lang w:val="en-US"/>
              </w:rPr>
              <w:t>Informed decision-making, evidence-based approaches and tools</w:t>
            </w:r>
          </w:p>
        </w:tc>
        <w:tc>
          <w:tcPr>
            <w:tcW w:w="6188" w:type="dxa"/>
          </w:tcPr>
          <w:p w14:paraId="1A37991B" w14:textId="77777777" w:rsidR="00120EB6" w:rsidRPr="00120EB6" w:rsidRDefault="00120EB6" w:rsidP="00120EB6">
            <w:pPr>
              <w:rPr>
                <w:lang w:val="en-US"/>
              </w:rPr>
            </w:pPr>
            <w:r w:rsidRPr="00120EB6">
              <w:rPr>
                <w:lang w:val="en-US"/>
              </w:rPr>
              <w:t>Victoria uses the best available science, innovation and knowledge to support evidence-based decisions</w:t>
            </w:r>
          </w:p>
        </w:tc>
      </w:tr>
      <w:tr w:rsidR="00120EB6" w:rsidRPr="00120EB6" w14:paraId="0731FAD6" w14:textId="77777777" w:rsidTr="00120EB6">
        <w:trPr>
          <w:trHeight w:val="60"/>
        </w:trPr>
        <w:tc>
          <w:tcPr>
            <w:tcW w:w="3450" w:type="dxa"/>
          </w:tcPr>
          <w:p w14:paraId="345A0F3F" w14:textId="77777777" w:rsidR="00120EB6" w:rsidRPr="00120EB6" w:rsidRDefault="00120EB6" w:rsidP="00120EB6">
            <w:pPr>
              <w:rPr>
                <w:b/>
                <w:bCs/>
                <w:lang w:val="en-US"/>
              </w:rPr>
            </w:pPr>
            <w:r w:rsidRPr="00120EB6">
              <w:rPr>
                <w:b/>
                <w:bCs/>
                <w:lang w:val="en-US"/>
              </w:rPr>
              <w:lastRenderedPageBreak/>
              <w:t>Working together, accountability and shared responsibility</w:t>
            </w:r>
          </w:p>
        </w:tc>
        <w:tc>
          <w:tcPr>
            <w:tcW w:w="6188" w:type="dxa"/>
          </w:tcPr>
          <w:p w14:paraId="7E07AAD7" w14:textId="77777777" w:rsidR="00120EB6" w:rsidRPr="00120EB6" w:rsidRDefault="00120EB6" w:rsidP="00120EB6">
            <w:pPr>
              <w:rPr>
                <w:lang w:val="en-US"/>
              </w:rPr>
            </w:pPr>
            <w:r w:rsidRPr="00120EB6">
              <w:rPr>
                <w:lang w:val="en-US"/>
              </w:rPr>
              <w:t>The sector, land managers, communities and industry work together effectively and share responsibility for managing bushfire risk across public and private land</w:t>
            </w:r>
          </w:p>
        </w:tc>
      </w:tr>
      <w:tr w:rsidR="00120EB6" w:rsidRPr="00120EB6" w14:paraId="7C74DC57" w14:textId="77777777" w:rsidTr="00120EB6">
        <w:trPr>
          <w:trHeight w:val="60"/>
        </w:trPr>
        <w:tc>
          <w:tcPr>
            <w:tcW w:w="3450" w:type="dxa"/>
          </w:tcPr>
          <w:p w14:paraId="2370999E" w14:textId="77777777" w:rsidR="00120EB6" w:rsidRPr="00120EB6" w:rsidRDefault="00120EB6" w:rsidP="00120EB6">
            <w:pPr>
              <w:rPr>
                <w:b/>
                <w:bCs/>
                <w:lang w:val="en-US"/>
              </w:rPr>
            </w:pPr>
            <w:r w:rsidRPr="00120EB6">
              <w:rPr>
                <w:b/>
                <w:bCs/>
                <w:lang w:val="en-US"/>
              </w:rPr>
              <w:t>Enhanced capability and capacity</w:t>
            </w:r>
          </w:p>
        </w:tc>
        <w:tc>
          <w:tcPr>
            <w:tcW w:w="6188" w:type="dxa"/>
          </w:tcPr>
          <w:p w14:paraId="31C20CE1" w14:textId="77777777" w:rsidR="00120EB6" w:rsidRPr="00120EB6" w:rsidRDefault="00120EB6" w:rsidP="00120EB6">
            <w:pPr>
              <w:rPr>
                <w:lang w:val="en-US"/>
              </w:rPr>
            </w:pPr>
            <w:r w:rsidRPr="00120EB6">
              <w:rPr>
                <w:lang w:val="en-US"/>
              </w:rPr>
              <w:t>Victoria is supported and equipped with the skills, equipment, capability and systems to safely and effectively manage bushfire</w:t>
            </w:r>
          </w:p>
        </w:tc>
      </w:tr>
    </w:tbl>
    <w:p w14:paraId="2A35F62F" w14:textId="77777777" w:rsidR="00120EB6" w:rsidRPr="00120EB6" w:rsidRDefault="00120EB6" w:rsidP="00120EB6">
      <w:pPr>
        <w:spacing w:before="0" w:after="0"/>
        <w:rPr>
          <w:b/>
          <w:bCs/>
          <w:lang w:val="en-US"/>
        </w:rPr>
      </w:pPr>
    </w:p>
    <w:p w14:paraId="73323739" w14:textId="77777777" w:rsidR="00120EB6" w:rsidRPr="00120EB6" w:rsidRDefault="00120EB6" w:rsidP="00D945BD">
      <w:pPr>
        <w:pStyle w:val="Heading2"/>
        <w:rPr>
          <w:lang w:val="en-US"/>
        </w:rPr>
      </w:pPr>
      <w:bookmarkStart w:id="10" w:name="_Toc166682346"/>
      <w:r w:rsidRPr="00120EB6">
        <w:rPr>
          <w:lang w:val="en-US"/>
        </w:rPr>
        <w:t>Bushfire Strategy Victorian Government Implementation Plan</w:t>
      </w:r>
      <w:bookmarkEnd w:id="10"/>
    </w:p>
    <w:p w14:paraId="687D70DA" w14:textId="77777777" w:rsidR="00120EB6" w:rsidRPr="00120EB6" w:rsidRDefault="00120EB6" w:rsidP="00D945BD">
      <w:pPr>
        <w:rPr>
          <w:lang w:val="en-US"/>
        </w:rPr>
      </w:pPr>
      <w:r w:rsidRPr="00120EB6">
        <w:rPr>
          <w:lang w:val="en-US"/>
        </w:rPr>
        <w:t>To support the State’s delivery of the Strategy and drive accountability, the Victorian Government has developed the Bushfire Strategy Implementation Plan 2024-27 (the Implementation Plan). The Implementation Plan is a 3-year rolling plan, which is refreshed annually to strengthen delivery against the Strategy and align with Victoria’s Emergency Management Strategic Action Plan (SAP).</w:t>
      </w:r>
    </w:p>
    <w:p w14:paraId="2F5F51CF" w14:textId="77777777" w:rsidR="00120EB6" w:rsidRPr="00120EB6" w:rsidRDefault="00120EB6" w:rsidP="00D945BD">
      <w:pPr>
        <w:rPr>
          <w:lang w:val="en-US"/>
        </w:rPr>
      </w:pPr>
      <w:r w:rsidRPr="00120EB6">
        <w:rPr>
          <w:lang w:val="en-US"/>
        </w:rPr>
        <w:t>The SAP 2022-25 is the emergency management sector’s forward work plan. It outlines who will be doing what and by when to deliver on the emergency management sector’s priorities. The SAP for 2022-25 explains what steps the emergency management sector will take to help make communities safer and better prepared for emergencies.</w:t>
      </w:r>
    </w:p>
    <w:p w14:paraId="76D23A47" w14:textId="77777777" w:rsidR="00120EB6" w:rsidRPr="00120EB6" w:rsidRDefault="00120EB6" w:rsidP="00D945BD">
      <w:pPr>
        <w:rPr>
          <w:lang w:val="en-US"/>
        </w:rPr>
      </w:pPr>
      <w:r w:rsidRPr="00120EB6">
        <w:rPr>
          <w:lang w:val="en-US"/>
        </w:rPr>
        <w:t>The Strategy and Implementation Plan are themselves actions within the SAP. DEECA will report on delivery of the Implementation Plan actions through regular SAP reporting.</w:t>
      </w:r>
    </w:p>
    <w:p w14:paraId="3E0D5032" w14:textId="77777777" w:rsidR="00D945BD" w:rsidRDefault="00120EB6" w:rsidP="00D945BD">
      <w:pPr>
        <w:rPr>
          <w:lang w:val="en-US"/>
        </w:rPr>
      </w:pPr>
      <w:r w:rsidRPr="00120EB6">
        <w:rPr>
          <w:lang w:val="en-US"/>
        </w:rPr>
        <w:t xml:space="preserve">The Implementation Plan outlines actions, agency responsibility and planned timeframes for delivery. Actions in the Implementation Plan will help Victorian Government agencies work towards the Strategy’s outcomes and strategic directions, driving future improvements in bushfire management. </w:t>
      </w:r>
    </w:p>
    <w:p w14:paraId="0A4B27B0" w14:textId="5E4FFF98" w:rsidR="00120EB6" w:rsidRPr="00120EB6" w:rsidRDefault="00120EB6" w:rsidP="00D945BD">
      <w:pPr>
        <w:rPr>
          <w:lang w:val="en-US"/>
        </w:rPr>
      </w:pPr>
      <w:r w:rsidRPr="00120EB6">
        <w:rPr>
          <w:lang w:val="en-US"/>
        </w:rPr>
        <w:t>The Implementation Plan reflects currently funded projects and actions that the Victorian Government is delivering as it works towards the desired outcomes set out in the Strategy, including actions delivered in partnership between multiple government agencies, local government and non-government organisations. The Implementation Plan provides a cross-sector snapshot that enables us to analyse where the sector is investing efforts.</w:t>
      </w:r>
    </w:p>
    <w:p w14:paraId="003E502D" w14:textId="77777777" w:rsidR="00120EB6" w:rsidRPr="00120EB6" w:rsidRDefault="00120EB6" w:rsidP="00D945BD">
      <w:pPr>
        <w:pStyle w:val="Heading2"/>
        <w:rPr>
          <w:lang w:val="en-US"/>
        </w:rPr>
      </w:pPr>
      <w:bookmarkStart w:id="11" w:name="_Toc166682347"/>
      <w:r w:rsidRPr="00120EB6">
        <w:rPr>
          <w:lang w:val="en-US"/>
        </w:rPr>
        <w:t>Annual refresh and 3</w:t>
      </w:r>
      <w:r w:rsidRPr="00120EB6">
        <w:rPr>
          <w:rFonts w:ascii="Cambria Math" w:hAnsi="Cambria Math" w:cs="Cambria Math"/>
          <w:lang w:val="en-US"/>
        </w:rPr>
        <w:t>‑</w:t>
      </w:r>
      <w:r w:rsidRPr="00120EB6">
        <w:rPr>
          <w:lang w:val="en-US"/>
        </w:rPr>
        <w:t>yearly review</w:t>
      </w:r>
      <w:bookmarkEnd w:id="11"/>
    </w:p>
    <w:p w14:paraId="71967B87" w14:textId="77777777" w:rsidR="00120EB6" w:rsidRPr="00120EB6" w:rsidRDefault="00120EB6" w:rsidP="00D945BD">
      <w:pPr>
        <w:rPr>
          <w:lang w:val="en-US"/>
        </w:rPr>
      </w:pPr>
      <w:r w:rsidRPr="00120EB6">
        <w:rPr>
          <w:lang w:val="en-US"/>
        </w:rPr>
        <w:t xml:space="preserve">The Implementation Plan will be refreshed annually, providing opportunities to strengthen delivery against the Strategy and to support planning and prioritisation of government investment, as well as maintain alignment to the SAP. A full review will be conducted every 3 </w:t>
      </w:r>
      <w:r w:rsidRPr="00120EB6">
        <w:rPr>
          <w:lang w:val="en-US"/>
        </w:rPr>
        <w:lastRenderedPageBreak/>
        <w:t xml:space="preserve">years with input from the sector, community, industry and Traditional Owners. This will allow for continued innovation and prioritisation of new actions to deliver on the Strategy’s vision. </w:t>
      </w:r>
    </w:p>
    <w:p w14:paraId="350DD831" w14:textId="77777777" w:rsidR="00120EB6" w:rsidRPr="00120EB6" w:rsidRDefault="00120EB6" w:rsidP="00D945BD">
      <w:pPr>
        <w:rPr>
          <w:lang w:val="en-US"/>
        </w:rPr>
      </w:pPr>
      <w:r w:rsidRPr="00120EB6">
        <w:rPr>
          <w:lang w:val="en-US"/>
        </w:rPr>
        <w:t>This approach enables adaptability to emergency events, new insights generated by research, evaluation, and community feedback and the scheduled 5-year review of the Strategy. Annual review also supports the sector to respond flexibly to new Victorian Government priorities and budget availability.</w:t>
      </w:r>
    </w:p>
    <w:p w14:paraId="6F2B921C" w14:textId="77777777" w:rsidR="00120EB6" w:rsidRPr="00120EB6" w:rsidRDefault="00120EB6" w:rsidP="00D945BD">
      <w:pPr>
        <w:pStyle w:val="Heading2"/>
        <w:rPr>
          <w:lang w:val="en-US"/>
        </w:rPr>
      </w:pPr>
      <w:bookmarkStart w:id="12" w:name="_Toc166682348"/>
      <w:r w:rsidRPr="00120EB6">
        <w:rPr>
          <w:lang w:val="en-US"/>
        </w:rPr>
        <w:t>Governance and reporting</w:t>
      </w:r>
      <w:bookmarkEnd w:id="12"/>
    </w:p>
    <w:p w14:paraId="759132DB" w14:textId="77777777" w:rsidR="00120EB6" w:rsidRPr="00120EB6" w:rsidRDefault="00120EB6" w:rsidP="00D945BD">
      <w:pPr>
        <w:rPr>
          <w:lang w:val="en-US"/>
        </w:rPr>
      </w:pPr>
      <w:r w:rsidRPr="00120EB6">
        <w:rPr>
          <w:lang w:val="en-US"/>
        </w:rPr>
        <w:t>Oversight of the Implementation Plan will occur through the Bushfire Risk Mitigation Committee (BRMC). The BRMC is the peak cross-sector governance body for bushfire risk mitigation and the formal mechanism for government agencies to collaborate, coordinate and work together effectively for the community in bushfire management. It includes representatives from the Department of Energy, Environment and Climate Change (DEECA), Parks Victoria, Country Fire Authority (CFA), Fire Rescue Victoria (FRV), Emergency Management Victoria (EMV), Department of Transport and Planning (DTP) and the Municipal Association of Victoria (MAV).</w:t>
      </w:r>
    </w:p>
    <w:p w14:paraId="5E58F0F8" w14:textId="77777777" w:rsidR="00120EB6" w:rsidRPr="00120EB6" w:rsidRDefault="00120EB6" w:rsidP="00D945BD">
      <w:pPr>
        <w:rPr>
          <w:lang w:val="en-US"/>
        </w:rPr>
      </w:pPr>
      <w:r w:rsidRPr="00120EB6">
        <w:rPr>
          <w:lang w:val="en-US"/>
        </w:rPr>
        <w:t xml:space="preserve">The State Crisis and Resilience Council (SCRC) is the peak crisis and emergency management advisory body in Victoria responsible for providing emergency management policy and strategy advice to the Minister for Emergency Services and the Security and Emergency Management Committee of Cabinet (SEMC). The SCRC will have visibility of the Implementation Plan as part of regular reporting against the SAP. </w:t>
      </w:r>
    </w:p>
    <w:p w14:paraId="15214C36" w14:textId="77777777" w:rsidR="00120EB6" w:rsidRPr="00120EB6" w:rsidRDefault="00120EB6" w:rsidP="00D945BD">
      <w:pPr>
        <w:rPr>
          <w:lang w:val="en-US"/>
        </w:rPr>
      </w:pPr>
      <w:r w:rsidRPr="00120EB6">
        <w:rPr>
          <w:lang w:val="en-US"/>
        </w:rPr>
        <w:t>Both the BRMC and SCRC have endorsed the initial Implementation Plan, and each will be asked to endorse future iterations as part of the 3-yearly review. This will ensure fire and emergency management sector agencies are accountable for delivery.</w:t>
      </w:r>
    </w:p>
    <w:p w14:paraId="39757F98" w14:textId="77777777" w:rsidR="00120EB6" w:rsidRPr="00120EB6" w:rsidRDefault="00120EB6" w:rsidP="00D945BD">
      <w:pPr>
        <w:rPr>
          <w:lang w:val="en-US"/>
        </w:rPr>
      </w:pPr>
      <w:r w:rsidRPr="00120EB6">
        <w:rPr>
          <w:lang w:val="en-US"/>
        </w:rPr>
        <w:t xml:space="preserve">The Implementation Plan will be publicly available to support accountability and transparency. </w:t>
      </w:r>
    </w:p>
    <w:p w14:paraId="6BACCB19" w14:textId="77777777" w:rsidR="00120EB6" w:rsidRPr="00120EB6" w:rsidRDefault="00120EB6" w:rsidP="00D945BD">
      <w:pPr>
        <w:pStyle w:val="Heading2"/>
        <w:rPr>
          <w:lang w:val="en-US"/>
        </w:rPr>
      </w:pPr>
      <w:bookmarkStart w:id="13" w:name="_Toc166682349"/>
      <w:r w:rsidRPr="00120EB6">
        <w:rPr>
          <w:lang w:val="en-US"/>
        </w:rPr>
        <w:t xml:space="preserve">Victoria’s Bushfire </w:t>
      </w:r>
      <w:r w:rsidRPr="00D945BD">
        <w:t>Monitoring</w:t>
      </w:r>
      <w:r w:rsidRPr="00120EB6">
        <w:rPr>
          <w:lang w:val="en-US"/>
        </w:rPr>
        <w:t>, Evaluation and Reporting Framework</w:t>
      </w:r>
      <w:bookmarkEnd w:id="13"/>
    </w:p>
    <w:p w14:paraId="5EF878F6" w14:textId="77777777" w:rsidR="00120EB6" w:rsidRPr="00120EB6" w:rsidRDefault="00120EB6" w:rsidP="00D945BD">
      <w:pPr>
        <w:rPr>
          <w:lang w:val="en-US"/>
        </w:rPr>
      </w:pPr>
      <w:r w:rsidRPr="00120EB6">
        <w:rPr>
          <w:lang w:val="en-US"/>
        </w:rPr>
        <w:t xml:space="preserve">In addition to the Implementation Plan, the Strategy is supported by Victoria’s Bushfire Monitoring, Evaluation and Reporting Framework (the Framework). The Framework provides high-level guidance to support monitoring, evaluation and reporting (MER) on the delivery of the Strategy. This will enable the sector to demonstrate progress towards the Strategy’s outcomes and inform evidence-based decision-making and continuous improvement. </w:t>
      </w:r>
    </w:p>
    <w:p w14:paraId="7D45715F" w14:textId="77777777" w:rsidR="00120EB6" w:rsidRPr="00120EB6" w:rsidRDefault="00120EB6" w:rsidP="00D945BD">
      <w:pPr>
        <w:rPr>
          <w:lang w:val="en-US"/>
        </w:rPr>
      </w:pPr>
      <w:r w:rsidRPr="00120EB6">
        <w:rPr>
          <w:lang w:val="en-US"/>
        </w:rPr>
        <w:t>The Framework provides the foundation for a more detailed MER plan that will identify how the sector will lead MER. The MER plan will provide guidance for delivery and will be regularly reviewed to adapt to changing circumstances and new knowledge and information.</w:t>
      </w:r>
    </w:p>
    <w:p w14:paraId="6C1B3AF3" w14:textId="77777777" w:rsidR="00120EB6" w:rsidRPr="00120EB6" w:rsidRDefault="00120EB6" w:rsidP="00D945BD">
      <w:pPr>
        <w:rPr>
          <w:lang w:val="en-US"/>
        </w:rPr>
      </w:pPr>
      <w:r w:rsidRPr="00120EB6">
        <w:rPr>
          <w:lang w:val="en-US"/>
        </w:rPr>
        <w:lastRenderedPageBreak/>
        <w:t>Periodic evaluation and reporting undertaken through implementation of the Framework will inform both annual reporting and the 5-yearly review of the Strategy’s outcomes and strategic directions, with the first review commencing in December 2025.</w:t>
      </w:r>
    </w:p>
    <w:p w14:paraId="6BB17CC7" w14:textId="77777777" w:rsidR="00120EB6" w:rsidRPr="00120EB6" w:rsidRDefault="00120EB6" w:rsidP="00D945BD">
      <w:pPr>
        <w:pStyle w:val="Heading2"/>
        <w:rPr>
          <w:lang w:val="en-US"/>
        </w:rPr>
      </w:pPr>
      <w:bookmarkStart w:id="14" w:name="_Toc166682350"/>
      <w:r w:rsidRPr="00120EB6">
        <w:rPr>
          <w:lang w:val="en-US"/>
        </w:rPr>
        <w:t>Work currently underway</w:t>
      </w:r>
      <w:bookmarkEnd w:id="14"/>
    </w:p>
    <w:p w14:paraId="6CF79FF4" w14:textId="47328248" w:rsidR="00120EB6" w:rsidRDefault="00120EB6" w:rsidP="00D945BD">
      <w:pPr>
        <w:rPr>
          <w:lang w:val="en-US"/>
        </w:rPr>
      </w:pPr>
      <w:r w:rsidRPr="00120EB6">
        <w:rPr>
          <w:lang w:val="en-US"/>
        </w:rPr>
        <w:t xml:space="preserve">The Victorian Government has already made significant investments in bushfire risk management in Victoria and is committed to delivering continued improvement in the way we manage bushfire risk. These investments and commitments mean we are already actively working towards the outcomes identified in the Strategy. </w:t>
      </w:r>
      <w:r w:rsidRPr="00120EB6">
        <w:rPr>
          <w:b/>
          <w:bCs/>
          <w:lang w:val="en-US"/>
        </w:rPr>
        <w:t>Figure 1</w:t>
      </w:r>
      <w:r w:rsidRPr="00120EB6">
        <w:rPr>
          <w:lang w:val="en-US"/>
        </w:rPr>
        <w:t xml:space="preserve"> gives a summary of the key Victorian Government commitments that contribute to the Strategy’s outcomes and vision. </w:t>
      </w:r>
    </w:p>
    <w:tbl>
      <w:tblPr>
        <w:tblStyle w:val="TableGrid"/>
        <w:tblW w:w="0" w:type="auto"/>
        <w:tblLayout w:type="fixed"/>
        <w:tblLook w:val="0020" w:firstRow="1" w:lastRow="0" w:firstColumn="0" w:lastColumn="0" w:noHBand="0" w:noVBand="0"/>
      </w:tblPr>
      <w:tblGrid>
        <w:gridCol w:w="2975"/>
        <w:gridCol w:w="2975"/>
        <w:gridCol w:w="2976"/>
      </w:tblGrid>
      <w:tr w:rsidR="00D945BD" w:rsidRPr="00120EB6" w14:paraId="4A02198B" w14:textId="77777777" w:rsidTr="000E1554">
        <w:trPr>
          <w:cantSplit/>
          <w:tblHeader/>
        </w:trPr>
        <w:tc>
          <w:tcPr>
            <w:tcW w:w="2975" w:type="dxa"/>
          </w:tcPr>
          <w:p w14:paraId="72C04C92" w14:textId="2FD293A7" w:rsidR="00D945BD" w:rsidRPr="00120EB6" w:rsidRDefault="005F1F51" w:rsidP="00120EB6">
            <w:pPr>
              <w:spacing w:before="0" w:after="0"/>
              <w:rPr>
                <w:lang w:val="en-US"/>
              </w:rPr>
            </w:pPr>
            <w:r>
              <w:rPr>
                <w:b/>
                <w:bCs/>
                <w:lang w:val="en-US"/>
              </w:rPr>
              <w:lastRenderedPageBreak/>
              <w:t>W</w:t>
            </w:r>
            <w:r w:rsidR="00D945BD" w:rsidRPr="00120EB6">
              <w:rPr>
                <w:b/>
                <w:bCs/>
                <w:lang w:val="en-US"/>
              </w:rPr>
              <w:t>hat we’ve done</w:t>
            </w:r>
          </w:p>
        </w:tc>
        <w:tc>
          <w:tcPr>
            <w:tcW w:w="2975" w:type="dxa"/>
          </w:tcPr>
          <w:p w14:paraId="6A3C79E3" w14:textId="77777777" w:rsidR="00D945BD" w:rsidRPr="00120EB6" w:rsidRDefault="00D945BD" w:rsidP="00120EB6">
            <w:pPr>
              <w:spacing w:before="0" w:after="0"/>
              <w:rPr>
                <w:lang w:val="en-US"/>
              </w:rPr>
            </w:pPr>
            <w:r w:rsidRPr="00120EB6">
              <w:rPr>
                <w:b/>
                <w:bCs/>
                <w:lang w:val="en-US"/>
              </w:rPr>
              <w:t>What we’re doing</w:t>
            </w:r>
          </w:p>
        </w:tc>
        <w:tc>
          <w:tcPr>
            <w:tcW w:w="2976" w:type="dxa"/>
          </w:tcPr>
          <w:p w14:paraId="2D1CEECE" w14:textId="77777777" w:rsidR="00D945BD" w:rsidRPr="00120EB6" w:rsidRDefault="00D945BD" w:rsidP="00120EB6">
            <w:pPr>
              <w:spacing w:before="0" w:after="0"/>
              <w:rPr>
                <w:lang w:val="en-US"/>
              </w:rPr>
            </w:pPr>
            <w:r w:rsidRPr="00120EB6">
              <w:rPr>
                <w:b/>
                <w:bCs/>
                <w:lang w:val="en-US"/>
              </w:rPr>
              <w:t>Where we’re going</w:t>
            </w:r>
          </w:p>
        </w:tc>
      </w:tr>
      <w:tr w:rsidR="00D945BD" w:rsidRPr="00120EB6" w14:paraId="7B118F5A" w14:textId="77777777" w:rsidTr="000E1554">
        <w:trPr>
          <w:cantSplit/>
          <w:tblHeader/>
        </w:trPr>
        <w:tc>
          <w:tcPr>
            <w:tcW w:w="2975" w:type="dxa"/>
          </w:tcPr>
          <w:p w14:paraId="4D9AD8FD" w14:textId="77777777" w:rsidR="00D945BD" w:rsidRPr="00120EB6" w:rsidRDefault="00D945BD" w:rsidP="00D945BD">
            <w:pPr>
              <w:pStyle w:val="ListBullet"/>
              <w:rPr>
                <w:lang w:val="en-US"/>
              </w:rPr>
            </w:pPr>
            <w:r w:rsidRPr="00120EB6">
              <w:rPr>
                <w:b/>
                <w:bCs/>
                <w:lang w:val="en-US"/>
              </w:rPr>
              <w:lastRenderedPageBreak/>
              <w:t xml:space="preserve">Established </w:t>
            </w:r>
            <w:r w:rsidRPr="00120EB6">
              <w:rPr>
                <w:b/>
                <w:bCs/>
                <w:i/>
                <w:iCs/>
                <w:lang w:val="en-US"/>
              </w:rPr>
              <w:t>Safer Together</w:t>
            </w:r>
            <w:r w:rsidRPr="00120EB6">
              <w:rPr>
                <w:b/>
                <w:bCs/>
                <w:lang w:val="en-US"/>
              </w:rPr>
              <w:t xml:space="preserve"> as an ongoing program</w:t>
            </w:r>
            <w:r w:rsidRPr="00120EB6">
              <w:rPr>
                <w:lang w:val="en-US"/>
              </w:rPr>
              <w:t xml:space="preserve"> – our state-wide, risk-based approach to fuel management</w:t>
            </w:r>
          </w:p>
          <w:p w14:paraId="4883468A" w14:textId="77777777" w:rsidR="00D945BD" w:rsidRPr="00120EB6" w:rsidRDefault="00D945BD" w:rsidP="00D945BD">
            <w:pPr>
              <w:pStyle w:val="ListBullet"/>
              <w:rPr>
                <w:lang w:val="en-US"/>
              </w:rPr>
            </w:pPr>
            <w:r w:rsidRPr="00120EB6">
              <w:rPr>
                <w:b/>
                <w:bCs/>
                <w:lang w:val="en-US"/>
              </w:rPr>
              <w:t>Invested a record $517 million to protect Victoria from bushfire risk</w:t>
            </w:r>
            <w:r w:rsidRPr="00120EB6">
              <w:rPr>
                <w:lang w:val="en-US"/>
              </w:rPr>
              <w:t xml:space="preserve"> – delivering important technology upgrades for firefighters and improved risk management across agencies to reduce the risk of bushfires in a changing climate</w:t>
            </w:r>
          </w:p>
          <w:p w14:paraId="6F35F3CC" w14:textId="77777777" w:rsidR="00D945BD" w:rsidRPr="00120EB6" w:rsidRDefault="00D945BD" w:rsidP="00D945BD">
            <w:pPr>
              <w:pStyle w:val="ListBullet"/>
              <w:rPr>
                <w:lang w:val="en-US"/>
              </w:rPr>
            </w:pPr>
            <w:r w:rsidRPr="00120EB6">
              <w:rPr>
                <w:b/>
                <w:bCs/>
                <w:lang w:val="en-US"/>
              </w:rPr>
              <w:t>Established the $200 million Powerline Replacement Fund</w:t>
            </w:r>
            <w:r w:rsidRPr="00120EB6">
              <w:rPr>
                <w:lang w:val="en-US"/>
              </w:rPr>
              <w:t>, part of the Powerline Bushfire Safety Program, to identify and remove the most dangerous bare-wire overhead powerlines in the state</w:t>
            </w:r>
          </w:p>
          <w:p w14:paraId="03D6C6E2" w14:textId="77777777" w:rsidR="00D945BD" w:rsidRPr="00120EB6" w:rsidRDefault="00D945BD" w:rsidP="00D945BD">
            <w:pPr>
              <w:pStyle w:val="ListBullet"/>
              <w:rPr>
                <w:lang w:val="en-US"/>
              </w:rPr>
            </w:pPr>
            <w:r w:rsidRPr="00120EB6">
              <w:rPr>
                <w:b/>
                <w:bCs/>
                <w:lang w:val="en-US"/>
              </w:rPr>
              <w:t>Funded $40 million for the Local Infrastructure Assistance Fund</w:t>
            </w:r>
            <w:r w:rsidRPr="00120EB6">
              <w:rPr>
                <w:lang w:val="en-US"/>
              </w:rPr>
              <w:t xml:space="preserve"> to install backup diesel generators in residential facilities across Victoria to minimise power disruptions during days of high fire risk</w:t>
            </w:r>
          </w:p>
          <w:p w14:paraId="6198839F" w14:textId="77777777" w:rsidR="00D945BD" w:rsidRPr="00120EB6" w:rsidRDefault="00D945BD" w:rsidP="00D945BD">
            <w:pPr>
              <w:pStyle w:val="ListBullet"/>
              <w:rPr>
                <w:lang w:val="en-US"/>
              </w:rPr>
            </w:pPr>
            <w:r w:rsidRPr="00120EB6">
              <w:rPr>
                <w:b/>
                <w:bCs/>
                <w:lang w:val="en-US"/>
              </w:rPr>
              <w:t>Initiated the Emergency and Bushfire Recovery Program</w:t>
            </w:r>
            <w:r w:rsidRPr="00120EB6">
              <w:rPr>
                <w:lang w:val="en-US"/>
              </w:rPr>
              <w:t xml:space="preserve"> responding to bushfires and severe weather impacts to Victoria’s historic heritage sites, including more than 100 places </w:t>
            </w:r>
            <w:r w:rsidRPr="00120EB6">
              <w:rPr>
                <w:lang w:val="en-US"/>
              </w:rPr>
              <w:lastRenderedPageBreak/>
              <w:t>impacted by the 2019-20 Black Summer fires, as well as more than 500 sites impacted by other emergencies</w:t>
            </w:r>
          </w:p>
          <w:p w14:paraId="32FE5B74" w14:textId="77777777" w:rsidR="00D945BD" w:rsidRPr="00120EB6" w:rsidRDefault="00D945BD" w:rsidP="00D945BD">
            <w:pPr>
              <w:pStyle w:val="ListBullet"/>
              <w:rPr>
                <w:lang w:val="en-US"/>
              </w:rPr>
            </w:pPr>
            <w:r w:rsidRPr="00120EB6">
              <w:rPr>
                <w:b/>
                <w:bCs/>
                <w:lang w:val="en-US"/>
              </w:rPr>
              <w:t>Recruitment of more than 600 new forest firefighters since 2020</w:t>
            </w:r>
            <w:r w:rsidRPr="00120EB6">
              <w:rPr>
                <w:lang w:val="en-US"/>
              </w:rPr>
              <w:t xml:space="preserve"> – including both permanent forest fire operations officers and seasonal project firefighters to boost firefighting capacity over summer</w:t>
            </w:r>
          </w:p>
          <w:p w14:paraId="6307522C" w14:textId="77777777" w:rsidR="00D945BD" w:rsidRPr="00120EB6" w:rsidRDefault="00D945BD" w:rsidP="00D945BD">
            <w:pPr>
              <w:pStyle w:val="ListBullet"/>
              <w:rPr>
                <w:b/>
                <w:bCs/>
                <w:lang w:val="en-US"/>
              </w:rPr>
            </w:pPr>
            <w:r w:rsidRPr="00120EB6">
              <w:rPr>
                <w:b/>
                <w:bCs/>
                <w:lang w:val="en-US"/>
              </w:rPr>
              <w:t>A $35 million investment in expanding and maintaining Victoria’s strategic fuel breaks to deliver 1,447 kilometres of new or upgraded strategic fuel breaks across Victoria</w:t>
            </w:r>
          </w:p>
          <w:p w14:paraId="2AE84471" w14:textId="77777777" w:rsidR="00D945BD" w:rsidRPr="00120EB6" w:rsidRDefault="00D945BD" w:rsidP="00D945BD">
            <w:pPr>
              <w:pStyle w:val="ListBullet"/>
              <w:rPr>
                <w:b/>
                <w:bCs/>
                <w:lang w:val="en-US"/>
              </w:rPr>
            </w:pPr>
            <w:r w:rsidRPr="00120EB6">
              <w:rPr>
                <w:b/>
                <w:bCs/>
                <w:lang w:val="en-US"/>
              </w:rPr>
              <w:t xml:space="preserve">A $59 million investment in aviation resources to support the state’s emergency response capability, including bushfire, since 2020 </w:t>
            </w:r>
          </w:p>
          <w:p w14:paraId="2B967074" w14:textId="77777777" w:rsidR="00D945BD" w:rsidRPr="00120EB6" w:rsidRDefault="00D945BD" w:rsidP="00D945BD">
            <w:pPr>
              <w:pStyle w:val="ListBullet"/>
              <w:rPr>
                <w:b/>
                <w:bCs/>
                <w:lang w:val="en-US"/>
              </w:rPr>
            </w:pPr>
            <w:r w:rsidRPr="00120EB6">
              <w:rPr>
                <w:b/>
                <w:bCs/>
                <w:lang w:val="en-US"/>
              </w:rPr>
              <w:t xml:space="preserve">A $21 million investment to establish the Office of Bushfire Risk Management (OBRM) to lead a coordinated approach to evidence-based bushfire risk management policy, practice, assurance and reporting across all </w:t>
            </w:r>
            <w:r w:rsidRPr="00120EB6">
              <w:rPr>
                <w:b/>
                <w:bCs/>
                <w:lang w:val="en-US"/>
              </w:rPr>
              <w:lastRenderedPageBreak/>
              <w:t>public and private land in Victoria.</w:t>
            </w:r>
          </w:p>
          <w:p w14:paraId="4564DDF8" w14:textId="77777777" w:rsidR="00D945BD" w:rsidRPr="00120EB6" w:rsidRDefault="00D945BD" w:rsidP="00D945BD">
            <w:pPr>
              <w:pStyle w:val="ListBullet"/>
              <w:rPr>
                <w:lang w:val="en-US"/>
              </w:rPr>
            </w:pPr>
            <w:r w:rsidRPr="00120EB6">
              <w:rPr>
                <w:lang w:val="en-US"/>
              </w:rPr>
              <w:t>Delivered key actions in response to inquiries, including Victoria’s Bushfire Management Strategy, Victoria’s Bushfire Monitoring, Evaluation and Reporting Framework and expanded Victoria’s Bushfire Risk Management Report</w:t>
            </w:r>
          </w:p>
          <w:p w14:paraId="49A4460A" w14:textId="77777777" w:rsidR="00D945BD" w:rsidRPr="00120EB6" w:rsidRDefault="00D945BD" w:rsidP="00D945BD">
            <w:pPr>
              <w:pStyle w:val="ListBullet"/>
              <w:rPr>
                <w:lang w:val="en-US"/>
              </w:rPr>
            </w:pPr>
            <w:r w:rsidRPr="00120EB6">
              <w:rPr>
                <w:lang w:val="en-US"/>
              </w:rPr>
              <w:t xml:space="preserve">Delivered </w:t>
            </w:r>
            <w:r w:rsidRPr="00120EB6">
              <w:rPr>
                <w:b/>
                <w:bCs/>
                <w:lang w:val="en-US"/>
              </w:rPr>
              <w:t>key recovery programs and actions</w:t>
            </w:r>
            <w:r w:rsidRPr="00120EB6">
              <w:rPr>
                <w:lang w:val="en-US"/>
              </w:rPr>
              <w:t xml:space="preserve"> in response to the 2019-20 fires, including the clean-up of bushfire-affected properties across Victoria, roll out of grants to address recovery needs, establishment and facilitation of Community Recovery Committees to support communities to plan and lead their own recovery, and released the State Bushfire Recovery Framework and Implementation Plan to guide the coordination of recovery efforts. </w:t>
            </w:r>
          </w:p>
        </w:tc>
        <w:tc>
          <w:tcPr>
            <w:tcW w:w="2975" w:type="dxa"/>
          </w:tcPr>
          <w:p w14:paraId="64A45995" w14:textId="77777777" w:rsidR="00D945BD" w:rsidRPr="00120EB6" w:rsidRDefault="00D945BD" w:rsidP="00D945BD">
            <w:pPr>
              <w:pStyle w:val="ListBullet"/>
              <w:rPr>
                <w:lang w:val="en-US"/>
              </w:rPr>
            </w:pPr>
            <w:r w:rsidRPr="00120EB6">
              <w:rPr>
                <w:b/>
                <w:bCs/>
                <w:lang w:val="en-US"/>
              </w:rPr>
              <w:lastRenderedPageBreak/>
              <w:t>Delivering the Joint Fuel Management Program</w:t>
            </w:r>
            <w:r w:rsidRPr="00120EB6">
              <w:rPr>
                <w:lang w:val="en-US"/>
              </w:rPr>
              <w:t xml:space="preserve"> – the state-wide program managing bushfire risk across all land tenures and agencies</w:t>
            </w:r>
          </w:p>
          <w:p w14:paraId="100DA19E" w14:textId="77777777" w:rsidR="00D945BD" w:rsidRPr="00120EB6" w:rsidRDefault="00D945BD" w:rsidP="00D945BD">
            <w:pPr>
              <w:pStyle w:val="ListBullet"/>
              <w:rPr>
                <w:lang w:val="en-US"/>
              </w:rPr>
            </w:pPr>
            <w:r w:rsidRPr="00120EB6">
              <w:rPr>
                <w:b/>
                <w:bCs/>
                <w:lang w:val="en-US"/>
              </w:rPr>
              <w:t>Rapidly responding to bushfire ignitions</w:t>
            </w:r>
            <w:r w:rsidRPr="00120EB6">
              <w:rPr>
                <w:lang w:val="en-US"/>
              </w:rPr>
              <w:t xml:space="preserve"> so fires are suppressed and impacts to community are minimised</w:t>
            </w:r>
          </w:p>
          <w:p w14:paraId="75FDE0DE" w14:textId="77777777" w:rsidR="00D945BD" w:rsidRPr="00120EB6" w:rsidRDefault="00D945BD" w:rsidP="00D945BD">
            <w:pPr>
              <w:pStyle w:val="ListBullet"/>
              <w:rPr>
                <w:lang w:val="en-US"/>
              </w:rPr>
            </w:pPr>
            <w:r w:rsidRPr="00120EB6">
              <w:rPr>
                <w:b/>
                <w:bCs/>
                <w:lang w:val="en-US"/>
              </w:rPr>
              <w:t>Supporting other emergency response</w:t>
            </w:r>
            <w:r w:rsidRPr="00120EB6">
              <w:rPr>
                <w:lang w:val="en-US"/>
              </w:rPr>
              <w:t xml:space="preserve"> including floods and storms</w:t>
            </w:r>
          </w:p>
          <w:p w14:paraId="27A8A6E0" w14:textId="77777777" w:rsidR="00D945BD" w:rsidRPr="00120EB6" w:rsidRDefault="00D945BD" w:rsidP="00D945BD">
            <w:pPr>
              <w:pStyle w:val="ListBullet"/>
              <w:rPr>
                <w:lang w:val="en-US"/>
              </w:rPr>
            </w:pPr>
            <w:r w:rsidRPr="00120EB6">
              <w:rPr>
                <w:b/>
                <w:bCs/>
                <w:lang w:val="en-US"/>
              </w:rPr>
              <w:t>Supporting recovery from emergencies</w:t>
            </w:r>
            <w:r w:rsidRPr="00120EB6">
              <w:rPr>
                <w:lang w:val="en-US"/>
              </w:rPr>
              <w:t xml:space="preserve"> to reduce the effects and consequences of the emergency and build the resilience of communities to adapt and recover </w:t>
            </w:r>
          </w:p>
          <w:p w14:paraId="0C16AD87" w14:textId="77777777" w:rsidR="00D945BD" w:rsidRPr="00120EB6" w:rsidRDefault="00D945BD" w:rsidP="00D945BD">
            <w:pPr>
              <w:pStyle w:val="ListBullet"/>
              <w:rPr>
                <w:lang w:val="en-US"/>
              </w:rPr>
            </w:pPr>
            <w:r w:rsidRPr="00120EB6">
              <w:rPr>
                <w:b/>
                <w:bCs/>
                <w:lang w:val="en-US"/>
              </w:rPr>
              <w:t>Regularly patrolling state forests, parks and reserves</w:t>
            </w:r>
            <w:r w:rsidRPr="00120EB6">
              <w:rPr>
                <w:lang w:val="en-US"/>
              </w:rPr>
              <w:t xml:space="preserve"> to make sure people are adhering to campfire safety rules</w:t>
            </w:r>
          </w:p>
          <w:p w14:paraId="5D0BD8D3" w14:textId="77777777" w:rsidR="00D945BD" w:rsidRPr="00120EB6" w:rsidRDefault="00D945BD" w:rsidP="00D945BD">
            <w:pPr>
              <w:pStyle w:val="ListBullet"/>
              <w:rPr>
                <w:b/>
                <w:bCs/>
                <w:lang w:val="en-US"/>
              </w:rPr>
            </w:pPr>
            <w:r w:rsidRPr="00120EB6">
              <w:rPr>
                <w:b/>
                <w:bCs/>
                <w:lang w:val="en-US"/>
              </w:rPr>
              <w:t>Delivering community education through providing teaching and learning resources to support bushfire education for primary and secondary schools</w:t>
            </w:r>
          </w:p>
          <w:p w14:paraId="2A8A0D1E" w14:textId="77777777" w:rsidR="00D945BD" w:rsidRPr="00120EB6" w:rsidRDefault="00D945BD" w:rsidP="00D945BD">
            <w:pPr>
              <w:pStyle w:val="ListBullet"/>
              <w:rPr>
                <w:b/>
                <w:bCs/>
                <w:lang w:val="en-US"/>
              </w:rPr>
            </w:pPr>
            <w:r w:rsidRPr="00120EB6">
              <w:rPr>
                <w:b/>
                <w:bCs/>
                <w:lang w:val="en-US"/>
              </w:rPr>
              <w:t xml:space="preserve">Maintaining the strategic road network to make sure communities can evacuate in case of </w:t>
            </w:r>
            <w:r w:rsidRPr="00120EB6">
              <w:rPr>
                <w:b/>
                <w:bCs/>
                <w:lang w:val="en-US"/>
              </w:rPr>
              <w:lastRenderedPageBreak/>
              <w:t>bushfire and our firefighters have the access they need to respond to ignitions</w:t>
            </w:r>
          </w:p>
          <w:p w14:paraId="0D25F20C" w14:textId="77777777" w:rsidR="00D945BD" w:rsidRPr="00120EB6" w:rsidRDefault="00D945BD" w:rsidP="00D945BD">
            <w:pPr>
              <w:pStyle w:val="ListBullet"/>
              <w:rPr>
                <w:lang w:val="en-US"/>
              </w:rPr>
            </w:pPr>
            <w:r w:rsidRPr="00120EB6">
              <w:rPr>
                <w:b/>
                <w:bCs/>
                <w:lang w:val="en-US"/>
              </w:rPr>
              <w:t>Partnering with Traditional Owners</w:t>
            </w:r>
            <w:r w:rsidRPr="00120EB6">
              <w:rPr>
                <w:lang w:val="en-US"/>
              </w:rPr>
              <w:t xml:space="preserve"> to manage parks and reserves in a culturally sensitive and ecologically appropriate way</w:t>
            </w:r>
          </w:p>
          <w:p w14:paraId="03C3680A" w14:textId="77777777" w:rsidR="00D945BD" w:rsidRPr="00120EB6" w:rsidRDefault="00D945BD" w:rsidP="00D945BD">
            <w:pPr>
              <w:pStyle w:val="ListBullet"/>
              <w:rPr>
                <w:lang w:val="en-US"/>
              </w:rPr>
            </w:pPr>
            <w:r w:rsidRPr="00120EB6">
              <w:rPr>
                <w:b/>
                <w:bCs/>
                <w:lang w:val="en-US"/>
              </w:rPr>
              <w:t>Maintain the strategic fuel break network</w:t>
            </w:r>
            <w:r w:rsidRPr="00120EB6">
              <w:rPr>
                <w:lang w:val="en-US"/>
              </w:rPr>
              <w:t xml:space="preserve"> to protect communities and the environment from the impacts of bushfire and assist firefighters to manage and suppress fires</w:t>
            </w:r>
          </w:p>
          <w:p w14:paraId="7A7B0B84" w14:textId="77777777" w:rsidR="00D945BD" w:rsidRPr="00120EB6" w:rsidRDefault="00D945BD" w:rsidP="00D945BD">
            <w:pPr>
              <w:pStyle w:val="ListBullet"/>
              <w:rPr>
                <w:b/>
                <w:bCs/>
                <w:lang w:val="en-US"/>
              </w:rPr>
            </w:pPr>
            <w:r w:rsidRPr="00120EB6">
              <w:rPr>
                <w:b/>
                <w:bCs/>
                <w:lang w:val="en-US"/>
              </w:rPr>
              <w:t>Administering the f-factor scheme</w:t>
            </w:r>
            <w:r w:rsidRPr="00120EB6">
              <w:rPr>
                <w:lang w:val="en-US"/>
              </w:rPr>
              <w:t xml:space="preserve"> to reduce fire starts on electricity networks in Victoria, driving a targeted reduction in electricity network ignitions with the highest risk to human life and property</w:t>
            </w:r>
          </w:p>
          <w:p w14:paraId="5D75B685" w14:textId="77777777" w:rsidR="00D945BD" w:rsidRPr="00120EB6" w:rsidRDefault="00D945BD" w:rsidP="00D945BD">
            <w:pPr>
              <w:pStyle w:val="ListBullet"/>
              <w:rPr>
                <w:lang w:val="en-US"/>
              </w:rPr>
            </w:pPr>
            <w:r w:rsidRPr="00120EB6">
              <w:rPr>
                <w:b/>
                <w:bCs/>
                <w:lang w:val="en-US"/>
              </w:rPr>
              <w:t>Delivering sector-wide integrated services</w:t>
            </w:r>
            <w:r w:rsidRPr="00120EB6">
              <w:rPr>
                <w:lang w:val="en-US"/>
              </w:rPr>
              <w:t xml:space="preserve"> for strategic planning, mapping, monitoring and evaluation</w:t>
            </w:r>
          </w:p>
          <w:p w14:paraId="07E7F7FE" w14:textId="77777777" w:rsidR="00D945BD" w:rsidRPr="00120EB6" w:rsidRDefault="00D945BD" w:rsidP="00D945BD">
            <w:pPr>
              <w:pStyle w:val="ListBullet"/>
              <w:rPr>
                <w:lang w:val="en-US"/>
              </w:rPr>
            </w:pPr>
            <w:r w:rsidRPr="00120EB6">
              <w:rPr>
                <w:b/>
                <w:bCs/>
                <w:lang w:val="en-US"/>
              </w:rPr>
              <w:t>Engaging with the community</w:t>
            </w:r>
            <w:r w:rsidRPr="00120EB6">
              <w:rPr>
                <w:lang w:val="en-US"/>
              </w:rPr>
              <w:t xml:space="preserve"> to plan for and be prepared for bushfires</w:t>
            </w:r>
          </w:p>
          <w:p w14:paraId="69217F6C" w14:textId="77777777" w:rsidR="00D945BD" w:rsidRPr="00120EB6" w:rsidRDefault="00D945BD" w:rsidP="00D945BD">
            <w:pPr>
              <w:pStyle w:val="ListBullet"/>
              <w:rPr>
                <w:lang w:val="en-US"/>
              </w:rPr>
            </w:pPr>
            <w:r w:rsidRPr="00120EB6">
              <w:rPr>
                <w:b/>
                <w:bCs/>
                <w:lang w:val="en-US"/>
              </w:rPr>
              <w:t>Providing specialist advice</w:t>
            </w:r>
            <w:r w:rsidRPr="00120EB6">
              <w:rPr>
                <w:lang w:val="en-US"/>
              </w:rPr>
              <w:t xml:space="preserve"> for land use planning and development</w:t>
            </w:r>
          </w:p>
          <w:p w14:paraId="45223C42" w14:textId="77777777" w:rsidR="00D945BD" w:rsidRPr="00120EB6" w:rsidRDefault="00D945BD" w:rsidP="00D945BD">
            <w:pPr>
              <w:pStyle w:val="ListBullet"/>
              <w:rPr>
                <w:lang w:val="en-US"/>
              </w:rPr>
            </w:pPr>
            <w:r w:rsidRPr="00120EB6">
              <w:rPr>
                <w:lang w:val="en-US"/>
              </w:rPr>
              <w:lastRenderedPageBreak/>
              <w:t xml:space="preserve">Continuously improving our </w:t>
            </w:r>
            <w:r w:rsidRPr="00120EB6">
              <w:rPr>
                <w:b/>
                <w:bCs/>
                <w:lang w:val="en-US"/>
              </w:rPr>
              <w:t>services for volunteers</w:t>
            </w:r>
            <w:r w:rsidRPr="00120EB6">
              <w:rPr>
                <w:lang w:val="en-US"/>
              </w:rPr>
              <w:t xml:space="preserve"> </w:t>
            </w:r>
          </w:p>
        </w:tc>
        <w:tc>
          <w:tcPr>
            <w:tcW w:w="2976" w:type="dxa"/>
          </w:tcPr>
          <w:p w14:paraId="4D6E8AA4" w14:textId="77777777" w:rsidR="00D945BD" w:rsidRPr="00120EB6" w:rsidRDefault="00D945BD" w:rsidP="00D945BD">
            <w:pPr>
              <w:pStyle w:val="ListBullet"/>
              <w:rPr>
                <w:lang w:val="en-US"/>
              </w:rPr>
            </w:pPr>
            <w:r w:rsidRPr="00120EB6">
              <w:rPr>
                <w:b/>
                <w:bCs/>
                <w:lang w:val="en-US"/>
              </w:rPr>
              <w:lastRenderedPageBreak/>
              <w:t>Identifying and removing barriers to Traditional Owner cultural fire management</w:t>
            </w:r>
            <w:r w:rsidRPr="00120EB6">
              <w:rPr>
                <w:lang w:val="en-US"/>
              </w:rPr>
              <w:t xml:space="preserve"> in partnership with Traditional Owners</w:t>
            </w:r>
          </w:p>
          <w:p w14:paraId="24C9872D" w14:textId="77777777" w:rsidR="00D945BD" w:rsidRPr="00120EB6" w:rsidRDefault="00D945BD" w:rsidP="00D945BD">
            <w:pPr>
              <w:pStyle w:val="ListBullet"/>
              <w:rPr>
                <w:lang w:val="en-US"/>
              </w:rPr>
            </w:pPr>
            <w:r w:rsidRPr="00120EB6">
              <w:rPr>
                <w:b/>
                <w:bCs/>
                <w:lang w:val="en-US"/>
              </w:rPr>
              <w:t>Continually developing our volunteer model</w:t>
            </w:r>
            <w:r w:rsidRPr="00120EB6">
              <w:rPr>
                <w:lang w:val="en-US"/>
              </w:rPr>
              <w:t xml:space="preserve"> to ensure it remains sustainable for the future</w:t>
            </w:r>
          </w:p>
          <w:p w14:paraId="62539BC4" w14:textId="77777777" w:rsidR="00D945BD" w:rsidRPr="00120EB6" w:rsidRDefault="00D945BD" w:rsidP="00D945BD">
            <w:pPr>
              <w:pStyle w:val="ListBullet"/>
              <w:rPr>
                <w:lang w:val="en-US"/>
              </w:rPr>
            </w:pPr>
            <w:r w:rsidRPr="00120EB6">
              <w:rPr>
                <w:b/>
                <w:bCs/>
                <w:lang w:val="en-US"/>
              </w:rPr>
              <w:t>Developing new fuel management targets for FFMVic to reduce fuel-driven bushfire risk</w:t>
            </w:r>
            <w:r w:rsidRPr="00120EB6">
              <w:rPr>
                <w:lang w:val="en-US"/>
              </w:rPr>
              <w:t xml:space="preserve"> to life and property and maintain ecosystem resilience</w:t>
            </w:r>
          </w:p>
          <w:p w14:paraId="3C8BA6EA" w14:textId="77777777" w:rsidR="00D945BD" w:rsidRPr="00120EB6" w:rsidRDefault="00D945BD" w:rsidP="00D945BD">
            <w:pPr>
              <w:pStyle w:val="ListBullet"/>
              <w:rPr>
                <w:b/>
                <w:bCs/>
                <w:lang w:val="en-US"/>
              </w:rPr>
            </w:pPr>
            <w:r w:rsidRPr="00120EB6">
              <w:rPr>
                <w:b/>
                <w:bCs/>
                <w:lang w:val="en-US"/>
              </w:rPr>
              <w:t>Continuously improving the strategic bushfire risk modelling framework</w:t>
            </w:r>
          </w:p>
          <w:p w14:paraId="548F2A62" w14:textId="77777777" w:rsidR="00D945BD" w:rsidRPr="00120EB6" w:rsidRDefault="00D945BD" w:rsidP="00D945BD">
            <w:pPr>
              <w:pStyle w:val="ListBullet"/>
              <w:rPr>
                <w:lang w:val="en-US"/>
              </w:rPr>
            </w:pPr>
            <w:r w:rsidRPr="00120EB6">
              <w:rPr>
                <w:b/>
                <w:bCs/>
                <w:lang w:val="en-US"/>
              </w:rPr>
              <w:t>Delivering grants across local government to build capability</w:t>
            </w:r>
            <w:r w:rsidRPr="00120EB6">
              <w:rPr>
                <w:lang w:val="en-US"/>
              </w:rPr>
              <w:t xml:space="preserve"> of local government and enable localised, community-centred mitigation and management of bushfire risk</w:t>
            </w:r>
          </w:p>
          <w:p w14:paraId="1359E778" w14:textId="77777777" w:rsidR="00D945BD" w:rsidRPr="00120EB6" w:rsidRDefault="00D945BD" w:rsidP="00D945BD">
            <w:pPr>
              <w:pStyle w:val="ListBullet"/>
              <w:rPr>
                <w:lang w:val="en-US"/>
              </w:rPr>
            </w:pPr>
            <w:r w:rsidRPr="00120EB6">
              <w:rPr>
                <w:b/>
                <w:bCs/>
                <w:lang w:val="en-US"/>
              </w:rPr>
              <w:t>More than 50 additional actions to improve bushfire management across Victoria</w:t>
            </w:r>
            <w:r w:rsidRPr="00120EB6">
              <w:rPr>
                <w:lang w:val="en-US"/>
              </w:rPr>
              <w:t>, listed below</w:t>
            </w:r>
          </w:p>
        </w:tc>
      </w:tr>
    </w:tbl>
    <w:p w14:paraId="6BB568B4" w14:textId="7F8788F1" w:rsidR="00120EB6" w:rsidRPr="00120EB6" w:rsidRDefault="00D945BD" w:rsidP="00D945BD">
      <w:pPr>
        <w:pStyle w:val="Caption"/>
        <w:rPr>
          <w:lang w:val="en-US"/>
        </w:rPr>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w:t>
      </w:r>
      <w:r w:rsidRPr="006851EB">
        <w:t>Key Victorian Government investments</w:t>
      </w:r>
    </w:p>
    <w:p w14:paraId="297EA8B8" w14:textId="77777777" w:rsidR="00120EB6" w:rsidRPr="00120EB6" w:rsidRDefault="00120EB6" w:rsidP="00D945BD">
      <w:pPr>
        <w:pStyle w:val="Heading3"/>
        <w:rPr>
          <w:lang w:val="en-US"/>
        </w:rPr>
      </w:pPr>
      <w:r w:rsidRPr="00120EB6">
        <w:rPr>
          <w:lang w:val="en-US"/>
        </w:rPr>
        <w:t>The system we work in</w:t>
      </w:r>
    </w:p>
    <w:p w14:paraId="7B1B60E6" w14:textId="77777777" w:rsidR="00120EB6" w:rsidRPr="00120EB6" w:rsidRDefault="00120EB6" w:rsidP="00D945BD">
      <w:pPr>
        <w:rPr>
          <w:lang w:val="en-US"/>
        </w:rPr>
      </w:pPr>
      <w:r w:rsidRPr="00120EB6">
        <w:rPr>
          <w:lang w:val="en-US"/>
        </w:rPr>
        <w:t>Victoria has an ‘all hazards, all agencies’ approach to emergency management and bushfire management is a key part of this. The Victorian Government is undertaking a significant work program to improve its emergency management capability outlined in the Emergency Management Strategic Roadmap and supported by the SAP, including:</w:t>
      </w:r>
    </w:p>
    <w:p w14:paraId="64615163" w14:textId="77777777" w:rsidR="00120EB6" w:rsidRPr="00120EB6" w:rsidRDefault="00120EB6" w:rsidP="00D945BD">
      <w:pPr>
        <w:pStyle w:val="ListBullet"/>
        <w:rPr>
          <w:lang w:val="en-US"/>
        </w:rPr>
      </w:pPr>
      <w:r w:rsidRPr="00120EB6">
        <w:rPr>
          <w:lang w:val="en-US"/>
        </w:rPr>
        <w:lastRenderedPageBreak/>
        <w:t>implementing the Emergency Management Operating Model Review</w:t>
      </w:r>
    </w:p>
    <w:p w14:paraId="047C2A4B" w14:textId="77777777" w:rsidR="00120EB6" w:rsidRPr="00120EB6" w:rsidRDefault="00120EB6" w:rsidP="00D945BD">
      <w:pPr>
        <w:pStyle w:val="ListBullet"/>
        <w:rPr>
          <w:lang w:val="en-US"/>
        </w:rPr>
      </w:pPr>
      <w:r w:rsidRPr="00120EB6">
        <w:rPr>
          <w:lang w:val="en-US"/>
        </w:rPr>
        <w:t>improving cyber support for Victoria’s critical infrastructure and essential services</w:t>
      </w:r>
    </w:p>
    <w:p w14:paraId="2A6F453B" w14:textId="77777777" w:rsidR="00120EB6" w:rsidRPr="00120EB6" w:rsidRDefault="00120EB6" w:rsidP="00D945BD">
      <w:pPr>
        <w:pStyle w:val="ListBullet"/>
        <w:rPr>
          <w:lang w:val="en-US"/>
        </w:rPr>
      </w:pPr>
      <w:r w:rsidRPr="00120EB6">
        <w:rPr>
          <w:lang w:val="en-US"/>
        </w:rPr>
        <w:t>building our State Control Centre workforce</w:t>
      </w:r>
    </w:p>
    <w:p w14:paraId="09BFB4F0" w14:textId="77777777" w:rsidR="00120EB6" w:rsidRPr="00120EB6" w:rsidRDefault="00120EB6" w:rsidP="00D945BD">
      <w:pPr>
        <w:pStyle w:val="ListBullet"/>
        <w:rPr>
          <w:lang w:val="en-US"/>
        </w:rPr>
      </w:pPr>
      <w:r w:rsidRPr="00120EB6">
        <w:rPr>
          <w:lang w:val="en-US"/>
        </w:rPr>
        <w:t>building council capacity and capability for emergency management, and</w:t>
      </w:r>
    </w:p>
    <w:p w14:paraId="1A8D2020" w14:textId="77777777" w:rsidR="00120EB6" w:rsidRPr="00120EB6" w:rsidRDefault="00120EB6" w:rsidP="00D945BD">
      <w:pPr>
        <w:pStyle w:val="ListBullet"/>
        <w:rPr>
          <w:lang w:val="en-US"/>
        </w:rPr>
      </w:pPr>
      <w:r w:rsidRPr="00120EB6">
        <w:rPr>
          <w:lang w:val="en-US"/>
        </w:rPr>
        <w:t>supporting our volunteers with the training and equipment they need to keep our communities safe.</w:t>
      </w:r>
    </w:p>
    <w:p w14:paraId="3316234C" w14:textId="77777777" w:rsidR="00120EB6" w:rsidRPr="00120EB6" w:rsidRDefault="00120EB6" w:rsidP="00D945BD">
      <w:pPr>
        <w:rPr>
          <w:lang w:val="en-US"/>
        </w:rPr>
      </w:pPr>
      <w:r w:rsidRPr="00120EB6">
        <w:rPr>
          <w:lang w:val="en-US"/>
        </w:rPr>
        <w:t xml:space="preserve">In addition to this work and the key bushfire specific investments identified in </w:t>
      </w:r>
      <w:r w:rsidRPr="00120EB6">
        <w:rPr>
          <w:b/>
          <w:bCs/>
          <w:lang w:val="en-US"/>
        </w:rPr>
        <w:t>Figure 1</w:t>
      </w:r>
      <w:r w:rsidRPr="00120EB6">
        <w:rPr>
          <w:lang w:val="en-US"/>
        </w:rPr>
        <w:t xml:space="preserve">, the bushfire management sector already delivers an extensive and essential body of bushfire management activities year-round to strengthen community safety and resilience. This work is considered ‘business as usual’ by the sector. As this is conducted on an ongoing basis, it is not included in this document. Business-as-usual work spans the spectrum of mitigation, planning, preparedness, response and recovery. An overview of this work is captured below. Further detail can be found in the State Emergency Management Plan Bushfire Sub-Plan. </w:t>
      </w:r>
    </w:p>
    <w:p w14:paraId="7354F2DF" w14:textId="77777777" w:rsidR="00120EB6" w:rsidRPr="00120EB6" w:rsidRDefault="00120EB6" w:rsidP="00D945BD">
      <w:pPr>
        <w:pStyle w:val="Heading4"/>
        <w:rPr>
          <w:lang w:val="en-US"/>
        </w:rPr>
      </w:pPr>
      <w:r w:rsidRPr="00120EB6">
        <w:rPr>
          <w:lang w:val="en-US"/>
        </w:rPr>
        <w:t>Mitigation and planning</w:t>
      </w:r>
    </w:p>
    <w:p w14:paraId="1CF6542B" w14:textId="77777777" w:rsidR="00120EB6" w:rsidRPr="00120EB6" w:rsidRDefault="00120EB6" w:rsidP="00D945BD">
      <w:pPr>
        <w:rPr>
          <w:lang w:val="en-US"/>
        </w:rPr>
      </w:pPr>
      <w:r w:rsidRPr="00120EB6">
        <w:rPr>
          <w:lang w:val="en-US"/>
        </w:rPr>
        <w:t xml:space="preserve">The bushfire management sector is responsible for the delivery of a significant land and fuel management program. This includes managing a diverse public land estate of approximately 8 million hectares, as well as supporting fuel management activities and compliance on private land. </w:t>
      </w:r>
    </w:p>
    <w:p w14:paraId="3107B28A" w14:textId="77777777" w:rsidR="00120EB6" w:rsidRPr="00120EB6" w:rsidRDefault="00120EB6" w:rsidP="00D945BD">
      <w:pPr>
        <w:rPr>
          <w:lang w:val="en-US"/>
        </w:rPr>
      </w:pPr>
      <w:r w:rsidRPr="00120EB6">
        <w:rPr>
          <w:lang w:val="en-US"/>
        </w:rPr>
        <w:t>Mitigation and planning include development of the Joint Fuel Management Program (JFMP), a state-wide, multiple agency program to manage fuel on public and private land. It also involves the development of the Regional Bushfire Management Strategies, which consider the risk posed by bushfires on both public and private land, drawing on community values that need protection in each region.</w:t>
      </w:r>
    </w:p>
    <w:p w14:paraId="0F592576" w14:textId="77777777" w:rsidR="00120EB6" w:rsidRPr="00120EB6" w:rsidRDefault="00120EB6" w:rsidP="00D945BD">
      <w:pPr>
        <w:rPr>
          <w:lang w:val="en-US"/>
        </w:rPr>
      </w:pPr>
      <w:r w:rsidRPr="00120EB6">
        <w:rPr>
          <w:lang w:val="en-US"/>
        </w:rPr>
        <w:t>The sector develops the JFMP and plans its delivery through collaborative strategic planning, mapping and risk assessment. It completes monitoring and evaluation following delivery to improve forest, fire and emergency management.</w:t>
      </w:r>
    </w:p>
    <w:p w14:paraId="69FEE4B9" w14:textId="77777777" w:rsidR="00120EB6" w:rsidRPr="00120EB6" w:rsidRDefault="00120EB6" w:rsidP="00D945BD">
      <w:pPr>
        <w:rPr>
          <w:lang w:val="en-US"/>
        </w:rPr>
      </w:pPr>
      <w:r w:rsidRPr="00120EB6">
        <w:rPr>
          <w:lang w:val="en-US"/>
        </w:rPr>
        <w:t>Fuel management is delivered through both the JFMP and within road and rail corridors, as part of the vegetation management and road maintenance program. Through both these programs, Victorian Government agencies work closely with local government in managing fuels across different land tenures.</w:t>
      </w:r>
    </w:p>
    <w:p w14:paraId="72998AA2" w14:textId="77777777" w:rsidR="00120EB6" w:rsidRPr="00120EB6" w:rsidRDefault="00120EB6" w:rsidP="00D945BD">
      <w:pPr>
        <w:rPr>
          <w:lang w:val="en-US"/>
        </w:rPr>
      </w:pPr>
      <w:r w:rsidRPr="00120EB6">
        <w:rPr>
          <w:lang w:val="en-US"/>
        </w:rPr>
        <w:t xml:space="preserve">The sector’s fuel management work includes a range of activities, such as planned burning and mechanical activities. Planned burning means using controlled fire under carefully-monitored conditions to reduce fuels such as grass, leaves, bark, shrubs and fallen branches. Mechanical treatments can include activities like mowing, slashing and mulching. In addition to planned burning and mechanical activities, the sector also manages fuel through the construction and maintenance of strategic fuel breaks or control lines. </w:t>
      </w:r>
    </w:p>
    <w:p w14:paraId="07686B9B" w14:textId="77777777" w:rsidR="00120EB6" w:rsidRPr="00120EB6" w:rsidRDefault="00120EB6" w:rsidP="00D945BD">
      <w:pPr>
        <w:rPr>
          <w:lang w:val="en-US"/>
        </w:rPr>
      </w:pPr>
      <w:r w:rsidRPr="00120EB6">
        <w:rPr>
          <w:lang w:val="en-US"/>
        </w:rPr>
        <w:lastRenderedPageBreak/>
        <w:t xml:space="preserve">Throughout the planning and delivery cycle, agencies work in partnership with Traditional Owners to manage parks and reserves in a culturally-sensitive and ecologically-appropriate way. The sector also works in collaboration with Traditional Owners to train and upskill their staff and members to participate in a range of bushfire management activities. The skills and knowledge gained through this play an important role in building Traditional Owner capacity to deliver on their cultural burning programs. </w:t>
      </w:r>
    </w:p>
    <w:p w14:paraId="4BF4CB6F" w14:textId="77777777" w:rsidR="00120EB6" w:rsidRPr="00120EB6" w:rsidRDefault="00120EB6" w:rsidP="00D945BD">
      <w:pPr>
        <w:rPr>
          <w:lang w:val="en-US"/>
        </w:rPr>
      </w:pPr>
      <w:r w:rsidRPr="00120EB6">
        <w:rPr>
          <w:lang w:val="en-US"/>
        </w:rPr>
        <w:t>The sector supports the community by delivering a range of community engagement programs to assist community to plan for bushfires, develop home bushfire plans, take action prior to the bushfire season and be prepared for when a bushfire occurs. It also provides specialist advice for land use planning and development, and compliance and education programs to support bushfire prevention. This work seeks to mitigate bushfire risk to future developments and provide advice on appropriate controls.</w:t>
      </w:r>
    </w:p>
    <w:p w14:paraId="092D4F06" w14:textId="77777777" w:rsidR="00120EB6" w:rsidRPr="00120EB6" w:rsidRDefault="00120EB6" w:rsidP="00D945BD">
      <w:pPr>
        <w:rPr>
          <w:lang w:val="en-US"/>
        </w:rPr>
      </w:pPr>
      <w:r w:rsidRPr="00120EB6">
        <w:rPr>
          <w:lang w:val="en-US"/>
        </w:rPr>
        <w:t>In addition to annual activities, Victoria delivers a 5-yearly Climate Science Report, synthesising the best available climate change science and its implications for Victoria.</w:t>
      </w:r>
    </w:p>
    <w:p w14:paraId="2A3D49A9" w14:textId="77777777" w:rsidR="00120EB6" w:rsidRPr="00120EB6" w:rsidRDefault="00120EB6" w:rsidP="00D945BD">
      <w:pPr>
        <w:pStyle w:val="Heading4"/>
        <w:rPr>
          <w:lang w:val="en-US"/>
        </w:rPr>
      </w:pPr>
      <w:r w:rsidRPr="00120EB6">
        <w:rPr>
          <w:lang w:val="en-US"/>
        </w:rPr>
        <w:t>Preparedness</w:t>
      </w:r>
    </w:p>
    <w:p w14:paraId="0C3F9FE1" w14:textId="77777777" w:rsidR="00120EB6" w:rsidRPr="00120EB6" w:rsidRDefault="00120EB6" w:rsidP="00D945BD">
      <w:pPr>
        <w:rPr>
          <w:lang w:val="en-US"/>
        </w:rPr>
      </w:pPr>
      <w:r w:rsidRPr="00120EB6">
        <w:rPr>
          <w:lang w:val="en-US"/>
        </w:rPr>
        <w:t xml:space="preserve">Bushfire management sector agencies engage with key stakeholders, partners and communities to ensure fire agencies and our communities are prepared for bushfires. This includes providing guidance for preparedness, bushfire management, land use planning, delivering community education and working with other emergency agency partners. </w:t>
      </w:r>
    </w:p>
    <w:p w14:paraId="7FE53926" w14:textId="77777777" w:rsidR="00120EB6" w:rsidRPr="00120EB6" w:rsidRDefault="00120EB6" w:rsidP="00D945BD">
      <w:pPr>
        <w:rPr>
          <w:lang w:val="en-US"/>
        </w:rPr>
      </w:pPr>
      <w:r w:rsidRPr="00120EB6">
        <w:rPr>
          <w:lang w:val="en-US"/>
        </w:rPr>
        <w:t>Australian and international academics continuously conduct research that further improves our understanding of bushfire behaviour and how we can best prepare for bushfires. The sector builds on this through investment in partnerships with academia, including research and development of prevention programs to improve community safety and build community resilience.</w:t>
      </w:r>
    </w:p>
    <w:p w14:paraId="17CE72C6" w14:textId="77777777" w:rsidR="00120EB6" w:rsidRPr="00120EB6" w:rsidRDefault="00120EB6" w:rsidP="00D945BD">
      <w:pPr>
        <w:rPr>
          <w:lang w:val="en-US"/>
        </w:rPr>
      </w:pPr>
      <w:r w:rsidRPr="00120EB6">
        <w:rPr>
          <w:lang w:val="en-US"/>
        </w:rPr>
        <w:t xml:space="preserve">The sector delivers community education through providing teaching and learning resources to support bushfire education for primary and secondary schools, as well as through broader community education campaigns. These campaigns are delivered in multiple languages to support people from culturally and linguistically diverse communities. </w:t>
      </w:r>
    </w:p>
    <w:p w14:paraId="6615D518" w14:textId="77777777" w:rsidR="00120EB6" w:rsidRPr="00120EB6" w:rsidRDefault="00120EB6" w:rsidP="00D945BD">
      <w:pPr>
        <w:rPr>
          <w:lang w:val="en-US"/>
        </w:rPr>
      </w:pPr>
      <w:r w:rsidRPr="00120EB6">
        <w:rPr>
          <w:lang w:val="en-US"/>
        </w:rPr>
        <w:t xml:space="preserve">Preparedness also means making sure the sector has the capability to respond to emergencies. Volunteer brigades and professional resources conduct a series of activities throughout the year to ensure they are ready to respond during bushfires. These activities include annual assessments of seasonal preparedness, ongoing maintenance of equipment, regular preparation of response plans, and the necessary training, support and services for firefighters – including professionals and volunteers. Seasonal weather outlooks and near-term forecasts during the fire season are also used to enhance readiness – for example, a forecast high fire danger day would trigger additional resources being placed on standby. </w:t>
      </w:r>
    </w:p>
    <w:p w14:paraId="6E9CD847" w14:textId="77777777" w:rsidR="00120EB6" w:rsidRPr="00120EB6" w:rsidRDefault="00120EB6" w:rsidP="00D945BD">
      <w:pPr>
        <w:pStyle w:val="Heading4"/>
        <w:rPr>
          <w:lang w:val="en-US"/>
        </w:rPr>
      </w:pPr>
      <w:r w:rsidRPr="00120EB6">
        <w:rPr>
          <w:lang w:val="en-US"/>
        </w:rPr>
        <w:t>Response and recovery</w:t>
      </w:r>
    </w:p>
    <w:p w14:paraId="1221FE7A" w14:textId="77777777" w:rsidR="00120EB6" w:rsidRPr="00120EB6" w:rsidRDefault="00120EB6" w:rsidP="00D945BD">
      <w:pPr>
        <w:rPr>
          <w:lang w:val="en-US"/>
        </w:rPr>
      </w:pPr>
      <w:r w:rsidRPr="00120EB6">
        <w:rPr>
          <w:lang w:val="en-US"/>
        </w:rPr>
        <w:t xml:space="preserve">When bushfires occur, the sector is responsible for delivering prompt and effective response and recovery activities. This includes early detection of ignitions and rapid first attack with </w:t>
      </w:r>
      <w:r w:rsidRPr="00120EB6">
        <w:rPr>
          <w:lang w:val="en-US"/>
        </w:rPr>
        <w:lastRenderedPageBreak/>
        <w:t>the aim of suppressing bushfires while they are small, as well as larger fires that may occur over a period of weeks or months.</w:t>
      </w:r>
    </w:p>
    <w:p w14:paraId="3D2C4A57" w14:textId="77777777" w:rsidR="00120EB6" w:rsidRPr="00120EB6" w:rsidRDefault="00120EB6" w:rsidP="00D945BD">
      <w:pPr>
        <w:rPr>
          <w:lang w:val="en-US"/>
        </w:rPr>
      </w:pPr>
      <w:r w:rsidRPr="00120EB6">
        <w:rPr>
          <w:lang w:val="en-US"/>
        </w:rPr>
        <w:t xml:space="preserve">The bushfire management workforce is also called upon to respond to emergencies other than bushfires, for example floods and storms. Sophisticated readiness, command, control, relief, and communication arrangements support the sector’s emergency management response. After an emergency, the sector continues to provide recovery services to reduce the effects and consequences of the emergency and to build the resilience of communities to adapt and recover. </w:t>
      </w:r>
    </w:p>
    <w:p w14:paraId="672CB209" w14:textId="77777777" w:rsidR="00120EB6" w:rsidRPr="00120EB6" w:rsidRDefault="00120EB6" w:rsidP="00D945BD">
      <w:pPr>
        <w:rPr>
          <w:lang w:val="en-US"/>
        </w:rPr>
      </w:pPr>
      <w:r w:rsidRPr="00120EB6">
        <w:rPr>
          <w:lang w:val="en-US"/>
        </w:rPr>
        <w:t>This includes continued delivery of long-term bushfire recovery activities following the 2019-20 Black Summer bushfires, including hazardous tree treatment, repair and reinstatement of fire-damaged visitor assets and roads, and restoration of waterways and catchments. The sector captures learnings from these programs, as well as other recovery programs following storms and floods, to inform the efficient and effective delivery of future bushfire recovery programs. Recovery activities consider future bushfire risk under climate change projections, with many rebuilt assets improved to increase resilience.</w:t>
      </w:r>
    </w:p>
    <w:p w14:paraId="38B6F995" w14:textId="77777777" w:rsidR="00120EB6" w:rsidRPr="00120EB6" w:rsidRDefault="00120EB6" w:rsidP="00D945BD">
      <w:pPr>
        <w:rPr>
          <w:lang w:val="en-US"/>
        </w:rPr>
      </w:pPr>
      <w:r w:rsidRPr="00120EB6">
        <w:rPr>
          <w:lang w:val="en-US"/>
        </w:rPr>
        <w:t>Safety initiatives are embedded in our strategies and work to promote safety and wellbeing of fire agencies’ personnel and volunteers. As an example, the implementation of the Mixed Fleet Strategy by Forest Fire Management Victoria (FFMVic) seeks to provide a fleet that is appropriate for work centre and district risk profiles, incorporating enhanced safety features for high-risk work environments. Innovations such as CFA’s Crew Protection System initially developed for heavy tankers exemplify the application of research into practice and progressive installation across the fleet.</w:t>
      </w:r>
    </w:p>
    <w:p w14:paraId="5E919BB3" w14:textId="77777777" w:rsidR="00120EB6" w:rsidRPr="00120EB6" w:rsidRDefault="00120EB6" w:rsidP="00D945BD">
      <w:pPr>
        <w:rPr>
          <w:lang w:val="en-US"/>
        </w:rPr>
      </w:pPr>
      <w:r w:rsidRPr="00120EB6">
        <w:rPr>
          <w:lang w:val="en-US"/>
        </w:rPr>
        <w:t>Bushfire response draws on professional resources within FFMVic and CFA, as well as more than 50,000 volunteers in operational and support roles across more than 1,100 CFA brigades. Fire agency staff and volunteers work together with local governments to actively support recovery operations.</w:t>
      </w:r>
    </w:p>
    <w:p w14:paraId="130F0250" w14:textId="77777777" w:rsidR="00120EB6" w:rsidRPr="00120EB6" w:rsidRDefault="00120EB6" w:rsidP="00D945BD">
      <w:pPr>
        <w:rPr>
          <w:lang w:val="en-US"/>
        </w:rPr>
      </w:pPr>
      <w:r w:rsidRPr="00120EB6">
        <w:rPr>
          <w:lang w:val="en-US"/>
        </w:rPr>
        <w:t xml:space="preserve">In addition to bushfires, firefighting resources and personnel are called on to support response and recovery for other emergencies such as floods and storms. During major bushfire events, Victoria shares firefighting resources and personnel with other states, territories and countries. </w:t>
      </w:r>
    </w:p>
    <w:p w14:paraId="41D87A33" w14:textId="14646965" w:rsidR="00120EB6" w:rsidRPr="00120EB6" w:rsidRDefault="00120EB6" w:rsidP="00D945BD">
      <w:pPr>
        <w:pStyle w:val="Heading1"/>
        <w:tabs>
          <w:tab w:val="left" w:pos="6893"/>
        </w:tabs>
        <w:rPr>
          <w:lang w:val="en-US"/>
        </w:rPr>
      </w:pPr>
      <w:bookmarkStart w:id="15" w:name="_Toc166682351"/>
      <w:r w:rsidRPr="00120EB6">
        <w:rPr>
          <w:lang w:val="en-US"/>
        </w:rPr>
        <w:t>Implementation Plan 2024-27</w:t>
      </w:r>
      <w:bookmarkEnd w:id="15"/>
    </w:p>
    <w:p w14:paraId="28D4C6C7" w14:textId="77777777" w:rsidR="00120EB6" w:rsidRPr="00120EB6" w:rsidRDefault="00120EB6" w:rsidP="00D945BD">
      <w:pPr>
        <w:rPr>
          <w:lang w:val="en-US"/>
        </w:rPr>
      </w:pPr>
      <w:r w:rsidRPr="00120EB6">
        <w:rPr>
          <w:lang w:val="en-US"/>
        </w:rPr>
        <w:t xml:space="preserve">The actions documented below are currently funded and due for delivery between 2024 and 2027. Actions can relate to outcomes of multiple strategic directions and domains across the Strategy but are listed only against the primary domain. </w:t>
      </w:r>
    </w:p>
    <w:p w14:paraId="05DA8861" w14:textId="77777777" w:rsidR="00120EB6" w:rsidRPr="00120EB6" w:rsidRDefault="00120EB6" w:rsidP="00D945BD">
      <w:pPr>
        <w:rPr>
          <w:lang w:val="en-US"/>
        </w:rPr>
      </w:pPr>
      <w:r w:rsidRPr="00120EB6">
        <w:rPr>
          <w:lang w:val="en-US"/>
        </w:rPr>
        <w:t>The Implementation Plan documents activities that contribute to significant improvements in bushfire management. As outlined above, these actions are in addition to the sector’s all hazards emergency management work and business-as-usual work, which all contribute to achieving the Strategy’s outcomes.</w:t>
      </w:r>
    </w:p>
    <w:p w14:paraId="2BAE9AAD" w14:textId="77777777" w:rsidR="00120EB6" w:rsidRPr="00120EB6" w:rsidRDefault="00120EB6" w:rsidP="00D945BD">
      <w:pPr>
        <w:rPr>
          <w:lang w:val="en-US"/>
        </w:rPr>
      </w:pPr>
      <w:r w:rsidRPr="00120EB6">
        <w:rPr>
          <w:lang w:val="en-US"/>
        </w:rPr>
        <w:lastRenderedPageBreak/>
        <w:t>The actions use the following abbreviations when referring to responsible agencies:</w:t>
      </w:r>
    </w:p>
    <w:tbl>
      <w:tblPr>
        <w:tblStyle w:val="TableGrid"/>
        <w:tblW w:w="0" w:type="auto"/>
        <w:tblLayout w:type="fixed"/>
        <w:tblLook w:val="0020" w:firstRow="1" w:lastRow="0" w:firstColumn="0" w:lastColumn="0" w:noHBand="0" w:noVBand="0"/>
      </w:tblPr>
      <w:tblGrid>
        <w:gridCol w:w="3596"/>
        <w:gridCol w:w="6022"/>
      </w:tblGrid>
      <w:tr w:rsidR="00120EB6" w:rsidRPr="00120EB6" w14:paraId="3E287001" w14:textId="77777777" w:rsidTr="00D945BD">
        <w:trPr>
          <w:cantSplit/>
          <w:trHeight w:val="491"/>
          <w:tblHeader/>
        </w:trPr>
        <w:tc>
          <w:tcPr>
            <w:tcW w:w="3596" w:type="dxa"/>
          </w:tcPr>
          <w:p w14:paraId="6470A37B" w14:textId="77777777" w:rsidR="00120EB6" w:rsidRPr="00D945BD" w:rsidRDefault="00120EB6" w:rsidP="00D945BD">
            <w:pPr>
              <w:rPr>
                <w:b/>
                <w:bCs/>
                <w:lang w:val="en-US"/>
              </w:rPr>
            </w:pPr>
            <w:r w:rsidRPr="00D945BD">
              <w:rPr>
                <w:b/>
                <w:bCs/>
                <w:lang w:val="en-US"/>
              </w:rPr>
              <w:t>Abbreviation</w:t>
            </w:r>
          </w:p>
        </w:tc>
        <w:tc>
          <w:tcPr>
            <w:tcW w:w="6022" w:type="dxa"/>
          </w:tcPr>
          <w:p w14:paraId="503C8E35" w14:textId="77777777" w:rsidR="00120EB6" w:rsidRPr="00D945BD" w:rsidRDefault="00120EB6" w:rsidP="00D945BD">
            <w:pPr>
              <w:rPr>
                <w:b/>
                <w:bCs/>
                <w:lang w:val="en-US"/>
              </w:rPr>
            </w:pPr>
            <w:r w:rsidRPr="00D945BD">
              <w:rPr>
                <w:b/>
                <w:bCs/>
                <w:lang w:val="en-US"/>
              </w:rPr>
              <w:t>Meaning</w:t>
            </w:r>
          </w:p>
        </w:tc>
      </w:tr>
      <w:tr w:rsidR="00120EB6" w:rsidRPr="00120EB6" w14:paraId="4FEC396B" w14:textId="77777777" w:rsidTr="00D945BD">
        <w:trPr>
          <w:trHeight w:val="60"/>
        </w:trPr>
        <w:tc>
          <w:tcPr>
            <w:tcW w:w="3596" w:type="dxa"/>
          </w:tcPr>
          <w:p w14:paraId="305DADA8" w14:textId="77777777" w:rsidR="00120EB6" w:rsidRPr="00D945BD" w:rsidRDefault="00120EB6" w:rsidP="00D945BD">
            <w:pPr>
              <w:rPr>
                <w:b/>
                <w:bCs/>
                <w:lang w:val="en-US"/>
              </w:rPr>
            </w:pPr>
            <w:r w:rsidRPr="00D945BD">
              <w:rPr>
                <w:b/>
                <w:bCs/>
                <w:lang w:val="en-US"/>
              </w:rPr>
              <w:t>CFA</w:t>
            </w:r>
          </w:p>
        </w:tc>
        <w:tc>
          <w:tcPr>
            <w:tcW w:w="6022" w:type="dxa"/>
          </w:tcPr>
          <w:p w14:paraId="14DBD0F6" w14:textId="77777777" w:rsidR="00120EB6" w:rsidRPr="00120EB6" w:rsidRDefault="00120EB6" w:rsidP="00D945BD">
            <w:pPr>
              <w:rPr>
                <w:lang w:val="en-US"/>
              </w:rPr>
            </w:pPr>
            <w:r w:rsidRPr="00120EB6">
              <w:rPr>
                <w:lang w:val="en-US"/>
              </w:rPr>
              <w:t>Country Fire Authority</w:t>
            </w:r>
          </w:p>
        </w:tc>
      </w:tr>
      <w:tr w:rsidR="00120EB6" w:rsidRPr="00120EB6" w14:paraId="4B416253" w14:textId="77777777" w:rsidTr="00D945BD">
        <w:trPr>
          <w:trHeight w:val="60"/>
        </w:trPr>
        <w:tc>
          <w:tcPr>
            <w:tcW w:w="3596" w:type="dxa"/>
          </w:tcPr>
          <w:p w14:paraId="3463A5B9" w14:textId="77777777" w:rsidR="00120EB6" w:rsidRPr="00D945BD" w:rsidRDefault="00120EB6" w:rsidP="00D945BD">
            <w:pPr>
              <w:rPr>
                <w:b/>
                <w:bCs/>
                <w:lang w:val="en-US"/>
              </w:rPr>
            </w:pPr>
            <w:r w:rsidRPr="00D945BD">
              <w:rPr>
                <w:b/>
                <w:bCs/>
                <w:lang w:val="en-US"/>
              </w:rPr>
              <w:t>DEECA</w:t>
            </w:r>
          </w:p>
        </w:tc>
        <w:tc>
          <w:tcPr>
            <w:tcW w:w="6022" w:type="dxa"/>
          </w:tcPr>
          <w:p w14:paraId="6DD97A9A" w14:textId="77777777" w:rsidR="00120EB6" w:rsidRPr="00120EB6" w:rsidRDefault="00120EB6" w:rsidP="00D945BD">
            <w:pPr>
              <w:rPr>
                <w:lang w:val="en-US"/>
              </w:rPr>
            </w:pPr>
            <w:r w:rsidRPr="00120EB6">
              <w:rPr>
                <w:lang w:val="en-US"/>
              </w:rPr>
              <w:t>Department of Energy, Environment and Climate Action</w:t>
            </w:r>
          </w:p>
        </w:tc>
      </w:tr>
      <w:tr w:rsidR="00120EB6" w:rsidRPr="00120EB6" w14:paraId="375FF001" w14:textId="77777777" w:rsidTr="00D945BD">
        <w:trPr>
          <w:trHeight w:val="60"/>
        </w:trPr>
        <w:tc>
          <w:tcPr>
            <w:tcW w:w="3596" w:type="dxa"/>
          </w:tcPr>
          <w:p w14:paraId="2665F813" w14:textId="77777777" w:rsidR="00120EB6" w:rsidRPr="00D945BD" w:rsidRDefault="00120EB6" w:rsidP="00D945BD">
            <w:pPr>
              <w:rPr>
                <w:b/>
                <w:bCs/>
                <w:lang w:val="en-US"/>
              </w:rPr>
            </w:pPr>
            <w:r w:rsidRPr="00D945BD">
              <w:rPr>
                <w:b/>
                <w:bCs/>
                <w:lang w:val="en-US"/>
              </w:rPr>
              <w:t>DE</w:t>
            </w:r>
          </w:p>
        </w:tc>
        <w:tc>
          <w:tcPr>
            <w:tcW w:w="6022" w:type="dxa"/>
          </w:tcPr>
          <w:p w14:paraId="30EAB64A" w14:textId="77777777" w:rsidR="00120EB6" w:rsidRPr="00120EB6" w:rsidRDefault="00120EB6" w:rsidP="00D945BD">
            <w:pPr>
              <w:rPr>
                <w:lang w:val="en-US"/>
              </w:rPr>
            </w:pPr>
            <w:r w:rsidRPr="00120EB6">
              <w:rPr>
                <w:lang w:val="en-US"/>
              </w:rPr>
              <w:t>Department of Education</w:t>
            </w:r>
          </w:p>
        </w:tc>
      </w:tr>
      <w:tr w:rsidR="00120EB6" w:rsidRPr="00120EB6" w14:paraId="7CD09A27" w14:textId="77777777" w:rsidTr="00D945BD">
        <w:trPr>
          <w:trHeight w:val="60"/>
        </w:trPr>
        <w:tc>
          <w:tcPr>
            <w:tcW w:w="3596" w:type="dxa"/>
          </w:tcPr>
          <w:p w14:paraId="768715E6" w14:textId="77777777" w:rsidR="00120EB6" w:rsidRPr="00D945BD" w:rsidRDefault="00120EB6" w:rsidP="00D945BD">
            <w:pPr>
              <w:rPr>
                <w:b/>
                <w:bCs/>
                <w:lang w:val="en-US"/>
              </w:rPr>
            </w:pPr>
            <w:r w:rsidRPr="00D945BD">
              <w:rPr>
                <w:b/>
                <w:bCs/>
                <w:lang w:val="en-US"/>
              </w:rPr>
              <w:t>DPC</w:t>
            </w:r>
          </w:p>
        </w:tc>
        <w:tc>
          <w:tcPr>
            <w:tcW w:w="6022" w:type="dxa"/>
          </w:tcPr>
          <w:p w14:paraId="376019F5" w14:textId="77777777" w:rsidR="00120EB6" w:rsidRPr="00120EB6" w:rsidRDefault="00120EB6" w:rsidP="00D945BD">
            <w:pPr>
              <w:rPr>
                <w:lang w:val="en-US"/>
              </w:rPr>
            </w:pPr>
            <w:r w:rsidRPr="00120EB6">
              <w:rPr>
                <w:lang w:val="en-US"/>
              </w:rPr>
              <w:t>Department of Premier and Cabinet</w:t>
            </w:r>
          </w:p>
        </w:tc>
      </w:tr>
      <w:tr w:rsidR="00120EB6" w:rsidRPr="00120EB6" w14:paraId="165E18EE" w14:textId="77777777" w:rsidTr="00D945BD">
        <w:trPr>
          <w:trHeight w:val="60"/>
        </w:trPr>
        <w:tc>
          <w:tcPr>
            <w:tcW w:w="3596" w:type="dxa"/>
          </w:tcPr>
          <w:p w14:paraId="69B6B550" w14:textId="77777777" w:rsidR="00120EB6" w:rsidRPr="00D945BD" w:rsidRDefault="00120EB6" w:rsidP="00D945BD">
            <w:pPr>
              <w:rPr>
                <w:b/>
                <w:bCs/>
                <w:lang w:val="en-US"/>
              </w:rPr>
            </w:pPr>
            <w:r w:rsidRPr="00D945BD">
              <w:rPr>
                <w:b/>
                <w:bCs/>
                <w:lang w:val="en-US"/>
              </w:rPr>
              <w:t>DTF</w:t>
            </w:r>
          </w:p>
        </w:tc>
        <w:tc>
          <w:tcPr>
            <w:tcW w:w="6022" w:type="dxa"/>
          </w:tcPr>
          <w:p w14:paraId="2156B4AD" w14:textId="77777777" w:rsidR="00120EB6" w:rsidRPr="00120EB6" w:rsidRDefault="00120EB6" w:rsidP="00D945BD">
            <w:pPr>
              <w:rPr>
                <w:lang w:val="en-US"/>
              </w:rPr>
            </w:pPr>
            <w:r w:rsidRPr="00120EB6">
              <w:rPr>
                <w:lang w:val="en-US"/>
              </w:rPr>
              <w:t>Department of Treasury and Finance</w:t>
            </w:r>
          </w:p>
        </w:tc>
      </w:tr>
      <w:tr w:rsidR="00120EB6" w:rsidRPr="00120EB6" w14:paraId="38C750FC" w14:textId="77777777" w:rsidTr="00D945BD">
        <w:trPr>
          <w:trHeight w:val="60"/>
        </w:trPr>
        <w:tc>
          <w:tcPr>
            <w:tcW w:w="3596" w:type="dxa"/>
          </w:tcPr>
          <w:p w14:paraId="32EF3243" w14:textId="77777777" w:rsidR="00120EB6" w:rsidRPr="00D945BD" w:rsidRDefault="00120EB6" w:rsidP="00D945BD">
            <w:pPr>
              <w:rPr>
                <w:b/>
                <w:bCs/>
                <w:lang w:val="en-US"/>
              </w:rPr>
            </w:pPr>
            <w:r w:rsidRPr="00D945BD">
              <w:rPr>
                <w:b/>
                <w:bCs/>
                <w:lang w:val="en-US"/>
              </w:rPr>
              <w:t>DTP</w:t>
            </w:r>
          </w:p>
        </w:tc>
        <w:tc>
          <w:tcPr>
            <w:tcW w:w="6022" w:type="dxa"/>
          </w:tcPr>
          <w:p w14:paraId="1D67F8FA" w14:textId="77777777" w:rsidR="00120EB6" w:rsidRPr="00120EB6" w:rsidRDefault="00120EB6" w:rsidP="00D945BD">
            <w:pPr>
              <w:rPr>
                <w:lang w:val="en-US"/>
              </w:rPr>
            </w:pPr>
            <w:r w:rsidRPr="00120EB6">
              <w:rPr>
                <w:lang w:val="en-US"/>
              </w:rPr>
              <w:t>Department of Transport and Planning</w:t>
            </w:r>
          </w:p>
        </w:tc>
      </w:tr>
      <w:tr w:rsidR="00120EB6" w:rsidRPr="00120EB6" w14:paraId="58EE4ED3" w14:textId="77777777" w:rsidTr="00D945BD">
        <w:trPr>
          <w:trHeight w:val="60"/>
        </w:trPr>
        <w:tc>
          <w:tcPr>
            <w:tcW w:w="3596" w:type="dxa"/>
          </w:tcPr>
          <w:p w14:paraId="517A95EF" w14:textId="77777777" w:rsidR="00120EB6" w:rsidRPr="00D945BD" w:rsidRDefault="00120EB6" w:rsidP="00D945BD">
            <w:pPr>
              <w:rPr>
                <w:b/>
                <w:bCs/>
                <w:lang w:val="en-US"/>
              </w:rPr>
            </w:pPr>
            <w:r w:rsidRPr="00D945BD">
              <w:rPr>
                <w:b/>
                <w:bCs/>
                <w:lang w:val="en-US"/>
              </w:rPr>
              <w:t>EMV</w:t>
            </w:r>
          </w:p>
        </w:tc>
        <w:tc>
          <w:tcPr>
            <w:tcW w:w="6022" w:type="dxa"/>
          </w:tcPr>
          <w:p w14:paraId="66D6C91D" w14:textId="77777777" w:rsidR="00120EB6" w:rsidRPr="00120EB6" w:rsidRDefault="00120EB6" w:rsidP="00D945BD">
            <w:pPr>
              <w:rPr>
                <w:lang w:val="en-US"/>
              </w:rPr>
            </w:pPr>
            <w:r w:rsidRPr="00120EB6">
              <w:rPr>
                <w:lang w:val="en-US"/>
              </w:rPr>
              <w:t>Emergency Management Victoria</w:t>
            </w:r>
          </w:p>
        </w:tc>
      </w:tr>
      <w:tr w:rsidR="00120EB6" w:rsidRPr="00120EB6" w14:paraId="5A855FF1" w14:textId="77777777" w:rsidTr="00D945BD">
        <w:trPr>
          <w:trHeight w:val="60"/>
        </w:trPr>
        <w:tc>
          <w:tcPr>
            <w:tcW w:w="3596" w:type="dxa"/>
          </w:tcPr>
          <w:p w14:paraId="4952E711" w14:textId="77777777" w:rsidR="00120EB6" w:rsidRPr="00D945BD" w:rsidRDefault="00120EB6" w:rsidP="00D945BD">
            <w:pPr>
              <w:rPr>
                <w:b/>
                <w:bCs/>
                <w:lang w:val="en-US"/>
              </w:rPr>
            </w:pPr>
            <w:r w:rsidRPr="00D945BD">
              <w:rPr>
                <w:b/>
                <w:bCs/>
                <w:lang w:val="en-US"/>
              </w:rPr>
              <w:t>ERV</w:t>
            </w:r>
          </w:p>
        </w:tc>
        <w:tc>
          <w:tcPr>
            <w:tcW w:w="6022" w:type="dxa"/>
          </w:tcPr>
          <w:p w14:paraId="0C775F08" w14:textId="77777777" w:rsidR="00120EB6" w:rsidRPr="00120EB6" w:rsidRDefault="00120EB6" w:rsidP="00D945BD">
            <w:pPr>
              <w:rPr>
                <w:lang w:val="en-US"/>
              </w:rPr>
            </w:pPr>
            <w:r w:rsidRPr="00120EB6">
              <w:rPr>
                <w:lang w:val="en-US"/>
              </w:rPr>
              <w:t>Emergency Recovery Victoria</w:t>
            </w:r>
          </w:p>
        </w:tc>
      </w:tr>
      <w:tr w:rsidR="00120EB6" w:rsidRPr="00120EB6" w14:paraId="295360F8" w14:textId="77777777" w:rsidTr="00D945BD">
        <w:trPr>
          <w:trHeight w:val="60"/>
        </w:trPr>
        <w:tc>
          <w:tcPr>
            <w:tcW w:w="3596" w:type="dxa"/>
          </w:tcPr>
          <w:p w14:paraId="49BE7691" w14:textId="77777777" w:rsidR="00120EB6" w:rsidRPr="00D945BD" w:rsidRDefault="00120EB6" w:rsidP="00D945BD">
            <w:pPr>
              <w:rPr>
                <w:b/>
                <w:bCs/>
                <w:lang w:val="en-US"/>
              </w:rPr>
            </w:pPr>
            <w:r w:rsidRPr="00D945BD">
              <w:rPr>
                <w:b/>
                <w:bCs/>
                <w:lang w:val="en-US"/>
              </w:rPr>
              <w:t>FRV</w:t>
            </w:r>
          </w:p>
        </w:tc>
        <w:tc>
          <w:tcPr>
            <w:tcW w:w="6022" w:type="dxa"/>
          </w:tcPr>
          <w:p w14:paraId="2AD78699" w14:textId="77777777" w:rsidR="00120EB6" w:rsidRPr="00120EB6" w:rsidRDefault="00120EB6" w:rsidP="00D945BD">
            <w:pPr>
              <w:rPr>
                <w:lang w:val="en-US"/>
              </w:rPr>
            </w:pPr>
            <w:r w:rsidRPr="00120EB6">
              <w:rPr>
                <w:lang w:val="en-US"/>
              </w:rPr>
              <w:t>Fire Rescue Victoria</w:t>
            </w:r>
          </w:p>
        </w:tc>
      </w:tr>
      <w:tr w:rsidR="00120EB6" w:rsidRPr="00120EB6" w14:paraId="2C2D5F5B" w14:textId="77777777" w:rsidTr="00D945BD">
        <w:trPr>
          <w:trHeight w:val="60"/>
        </w:trPr>
        <w:tc>
          <w:tcPr>
            <w:tcW w:w="3596" w:type="dxa"/>
          </w:tcPr>
          <w:p w14:paraId="7EBBC535" w14:textId="77777777" w:rsidR="00120EB6" w:rsidRPr="00D945BD" w:rsidRDefault="00120EB6" w:rsidP="00D945BD">
            <w:pPr>
              <w:rPr>
                <w:b/>
                <w:bCs/>
                <w:lang w:val="en-US"/>
              </w:rPr>
            </w:pPr>
            <w:r w:rsidRPr="00D945BD">
              <w:rPr>
                <w:b/>
                <w:bCs/>
                <w:lang w:val="en-US"/>
              </w:rPr>
              <w:t>LGV</w:t>
            </w:r>
          </w:p>
        </w:tc>
        <w:tc>
          <w:tcPr>
            <w:tcW w:w="6022" w:type="dxa"/>
          </w:tcPr>
          <w:p w14:paraId="04898E86" w14:textId="77777777" w:rsidR="00120EB6" w:rsidRPr="00120EB6" w:rsidRDefault="00120EB6" w:rsidP="00D945BD">
            <w:pPr>
              <w:rPr>
                <w:lang w:val="en-US"/>
              </w:rPr>
            </w:pPr>
            <w:r w:rsidRPr="00120EB6">
              <w:rPr>
                <w:lang w:val="en-US"/>
              </w:rPr>
              <w:t>Local Government Victoria</w:t>
            </w:r>
          </w:p>
        </w:tc>
      </w:tr>
      <w:tr w:rsidR="00120EB6" w:rsidRPr="00120EB6" w14:paraId="545C55A0" w14:textId="77777777" w:rsidTr="00D945BD">
        <w:trPr>
          <w:trHeight w:val="60"/>
        </w:trPr>
        <w:tc>
          <w:tcPr>
            <w:tcW w:w="3596" w:type="dxa"/>
          </w:tcPr>
          <w:p w14:paraId="63AFF422" w14:textId="77777777" w:rsidR="00120EB6" w:rsidRPr="00D945BD" w:rsidRDefault="00120EB6" w:rsidP="00D945BD">
            <w:pPr>
              <w:rPr>
                <w:b/>
                <w:bCs/>
                <w:lang w:val="en-US"/>
              </w:rPr>
            </w:pPr>
            <w:r w:rsidRPr="00D945BD">
              <w:rPr>
                <w:b/>
                <w:bCs/>
                <w:lang w:val="en-US"/>
              </w:rPr>
              <w:t>MAV</w:t>
            </w:r>
          </w:p>
        </w:tc>
        <w:tc>
          <w:tcPr>
            <w:tcW w:w="6022" w:type="dxa"/>
          </w:tcPr>
          <w:p w14:paraId="7035A087" w14:textId="77777777" w:rsidR="00120EB6" w:rsidRPr="00120EB6" w:rsidRDefault="00120EB6" w:rsidP="00D945BD">
            <w:pPr>
              <w:rPr>
                <w:lang w:val="en-US"/>
              </w:rPr>
            </w:pPr>
            <w:r w:rsidRPr="00120EB6">
              <w:rPr>
                <w:lang w:val="en-US"/>
              </w:rPr>
              <w:t>Municipal Association of Victoria</w:t>
            </w:r>
          </w:p>
        </w:tc>
      </w:tr>
    </w:tbl>
    <w:p w14:paraId="754DBB41" w14:textId="77777777" w:rsidR="00120EB6" w:rsidRPr="00120EB6" w:rsidRDefault="00120EB6" w:rsidP="00120EB6">
      <w:pPr>
        <w:spacing w:before="0" w:after="0"/>
        <w:rPr>
          <w:lang w:val="en-US"/>
        </w:rPr>
      </w:pPr>
    </w:p>
    <w:p w14:paraId="54D5BCC6" w14:textId="0D81CBC2" w:rsidR="00120EB6" w:rsidRPr="00120EB6" w:rsidRDefault="00120EB6" w:rsidP="00D945BD">
      <w:pPr>
        <w:pStyle w:val="Heading1"/>
        <w:rPr>
          <w:lang w:val="en-US"/>
        </w:rPr>
      </w:pPr>
      <w:bookmarkStart w:id="16" w:name="_Toc166682352"/>
      <w:r w:rsidRPr="00120EB6">
        <w:rPr>
          <w:lang w:val="en-US"/>
        </w:rPr>
        <w:t>Actions</w:t>
      </w:r>
      <w:bookmarkEnd w:id="16"/>
    </w:p>
    <w:p w14:paraId="26B7CD33" w14:textId="6CD33230" w:rsidR="00120EB6" w:rsidRPr="00D945BD" w:rsidRDefault="00120EB6" w:rsidP="009B11A5">
      <w:pPr>
        <w:pStyle w:val="Heading2"/>
        <w:numPr>
          <w:ilvl w:val="0"/>
          <w:numId w:val="4"/>
        </w:numPr>
        <w:rPr>
          <w:lang w:val="en-US"/>
        </w:rPr>
      </w:pPr>
      <w:bookmarkStart w:id="17" w:name="_Toc166682353"/>
      <w:r w:rsidRPr="00D945BD">
        <w:rPr>
          <w:lang w:val="en-US"/>
        </w:rPr>
        <w:t>People and community safety</w:t>
      </w:r>
      <w:bookmarkEnd w:id="17"/>
    </w:p>
    <w:p w14:paraId="3821FD4D" w14:textId="77777777" w:rsidR="00D945BD" w:rsidRPr="00120EB6" w:rsidRDefault="00D945BD" w:rsidP="00D945BD">
      <w:pPr>
        <w:pStyle w:val="BlockText"/>
        <w:rPr>
          <w:lang w:val="en-US"/>
        </w:rPr>
      </w:pPr>
      <w:r w:rsidRPr="00120EB6">
        <w:rPr>
          <w:b/>
          <w:bCs/>
          <w:lang w:val="en-US"/>
        </w:rPr>
        <w:t>Outcome:</w:t>
      </w:r>
      <w:r w:rsidRPr="00120EB6">
        <w:rPr>
          <w:lang w:val="en-US"/>
        </w:rPr>
        <w:t xml:space="preserve"> Communities are more resilient to impacts of bushfires and bushfire management activities.</w:t>
      </w:r>
    </w:p>
    <w:p w14:paraId="0C1DE318" w14:textId="77777777" w:rsidR="00120EB6" w:rsidRPr="00120EB6" w:rsidRDefault="00120EB6" w:rsidP="00D945BD">
      <w:pPr>
        <w:rPr>
          <w:lang w:val="en-US"/>
        </w:rPr>
      </w:pPr>
      <w:r w:rsidRPr="00120EB6">
        <w:rPr>
          <w:lang w:val="en-US"/>
        </w:rPr>
        <w:lastRenderedPageBreak/>
        <w:t>Protecting and preserving life is the sector’s highest priority. Community-centred approaches – in which the sector helps build the community’s bushfire management capacity by involving and consulting with local communities – are proven to reduce the impact of fire on communities. These approaches are informed by behavioural and social science, fuel management strategies and other innovative methods and programs that can positively influence behaviour change and build social capital, not only within communities, but across the sector.</w:t>
      </w:r>
    </w:p>
    <w:p w14:paraId="719DCB0F" w14:textId="77777777" w:rsidR="00120EB6" w:rsidRPr="00120EB6" w:rsidRDefault="00120EB6" w:rsidP="00D945BD">
      <w:pPr>
        <w:rPr>
          <w:lang w:val="en-US"/>
        </w:rPr>
      </w:pPr>
      <w:r w:rsidRPr="00120EB6">
        <w:rPr>
          <w:lang w:val="en-US"/>
        </w:rPr>
        <w:t xml:space="preserve">Empowering communities with an understanding of bushfire risk and the tools to take action to minimise those risks leads to reduced impacts and faster recovery. </w:t>
      </w:r>
    </w:p>
    <w:p w14:paraId="4D83F942" w14:textId="77777777" w:rsidR="00120EB6" w:rsidRPr="00120EB6" w:rsidRDefault="00120EB6" w:rsidP="00D945BD">
      <w:pPr>
        <w:rPr>
          <w:lang w:val="en-US"/>
        </w:rPr>
      </w:pPr>
      <w:r w:rsidRPr="00120EB6">
        <w:rPr>
          <w:lang w:val="en-US"/>
        </w:rPr>
        <w:t>The actions under this domain are led by DEECA and CFA, with support from other sector agencies. This includes councils and other local delivery partners. This domain includes actions designed to support a community-centred and place-based approach to managing bushfire risk, increasing community capability through practice-based learning and community education, grants to local government to support mitigation and additional training for operational staff.</w:t>
      </w:r>
    </w:p>
    <w:tbl>
      <w:tblPr>
        <w:tblStyle w:val="TableGrid"/>
        <w:tblW w:w="8926" w:type="dxa"/>
        <w:tblLayout w:type="fixed"/>
        <w:tblLook w:val="0020" w:firstRow="1" w:lastRow="0" w:firstColumn="0" w:lastColumn="0" w:noHBand="0" w:noVBand="0"/>
      </w:tblPr>
      <w:tblGrid>
        <w:gridCol w:w="1002"/>
        <w:gridCol w:w="2112"/>
        <w:gridCol w:w="1417"/>
        <w:gridCol w:w="993"/>
        <w:gridCol w:w="1984"/>
        <w:gridCol w:w="1418"/>
      </w:tblGrid>
      <w:tr w:rsidR="00D945BD" w:rsidRPr="00D945BD" w14:paraId="628897AA" w14:textId="77777777" w:rsidTr="0011703E">
        <w:trPr>
          <w:cantSplit/>
          <w:trHeight w:val="1125"/>
          <w:tblHeader/>
        </w:trPr>
        <w:tc>
          <w:tcPr>
            <w:tcW w:w="1002" w:type="dxa"/>
          </w:tcPr>
          <w:p w14:paraId="5AFE27BA" w14:textId="77777777" w:rsidR="00120EB6" w:rsidRPr="00D945BD" w:rsidRDefault="00120EB6" w:rsidP="00D945BD">
            <w:pPr>
              <w:rPr>
                <w:b/>
                <w:bCs/>
                <w:lang w:val="en-US"/>
              </w:rPr>
            </w:pPr>
            <w:r w:rsidRPr="00D945BD">
              <w:rPr>
                <w:b/>
                <w:bCs/>
                <w:lang w:val="en-US"/>
              </w:rPr>
              <w:t>Number</w:t>
            </w:r>
          </w:p>
        </w:tc>
        <w:tc>
          <w:tcPr>
            <w:tcW w:w="2112" w:type="dxa"/>
          </w:tcPr>
          <w:p w14:paraId="6346E0BC" w14:textId="77777777" w:rsidR="00120EB6" w:rsidRPr="00D945BD" w:rsidRDefault="00120EB6" w:rsidP="00D945BD">
            <w:pPr>
              <w:rPr>
                <w:b/>
                <w:bCs/>
                <w:lang w:val="en-US"/>
              </w:rPr>
            </w:pPr>
            <w:r w:rsidRPr="00D945BD">
              <w:rPr>
                <w:b/>
                <w:bCs/>
                <w:lang w:val="en-US"/>
              </w:rPr>
              <w:t xml:space="preserve">Action </w:t>
            </w:r>
          </w:p>
        </w:tc>
        <w:tc>
          <w:tcPr>
            <w:tcW w:w="1417" w:type="dxa"/>
          </w:tcPr>
          <w:p w14:paraId="31288828" w14:textId="77777777" w:rsidR="00120EB6" w:rsidRPr="00D945BD" w:rsidRDefault="00120EB6" w:rsidP="00D945BD">
            <w:pPr>
              <w:rPr>
                <w:b/>
                <w:bCs/>
                <w:lang w:val="en-US"/>
              </w:rPr>
            </w:pPr>
            <w:r w:rsidRPr="00D945BD">
              <w:rPr>
                <w:b/>
                <w:bCs/>
                <w:lang w:val="en-US"/>
              </w:rPr>
              <w:t>Delivery date</w:t>
            </w:r>
          </w:p>
        </w:tc>
        <w:tc>
          <w:tcPr>
            <w:tcW w:w="993" w:type="dxa"/>
          </w:tcPr>
          <w:p w14:paraId="7AFC23AB" w14:textId="77777777" w:rsidR="00120EB6" w:rsidRPr="00D945BD" w:rsidRDefault="00120EB6" w:rsidP="00D945BD">
            <w:pPr>
              <w:rPr>
                <w:b/>
                <w:bCs/>
                <w:lang w:val="en-US"/>
              </w:rPr>
            </w:pPr>
            <w:r w:rsidRPr="00D945BD">
              <w:rPr>
                <w:b/>
                <w:bCs/>
                <w:lang w:val="en-US"/>
              </w:rPr>
              <w:t xml:space="preserve">Leads </w:t>
            </w:r>
          </w:p>
        </w:tc>
        <w:tc>
          <w:tcPr>
            <w:tcW w:w="1984" w:type="dxa"/>
          </w:tcPr>
          <w:p w14:paraId="35F15FB7" w14:textId="77777777" w:rsidR="00120EB6" w:rsidRPr="00D945BD" w:rsidRDefault="00120EB6" w:rsidP="00D945BD">
            <w:pPr>
              <w:rPr>
                <w:b/>
                <w:bCs/>
                <w:lang w:val="en-US"/>
              </w:rPr>
            </w:pPr>
            <w:r w:rsidRPr="00D945BD">
              <w:rPr>
                <w:b/>
                <w:bCs/>
                <w:lang w:val="en-US"/>
              </w:rPr>
              <w:t>Partners</w:t>
            </w:r>
          </w:p>
        </w:tc>
        <w:tc>
          <w:tcPr>
            <w:tcW w:w="1418" w:type="dxa"/>
          </w:tcPr>
          <w:p w14:paraId="07F1CE6B" w14:textId="77777777" w:rsidR="00120EB6" w:rsidRPr="00D945BD" w:rsidRDefault="00120EB6" w:rsidP="00D945BD">
            <w:pPr>
              <w:rPr>
                <w:b/>
                <w:bCs/>
                <w:lang w:val="en-US"/>
              </w:rPr>
            </w:pPr>
            <w:r w:rsidRPr="00D945BD">
              <w:rPr>
                <w:b/>
                <w:bCs/>
                <w:lang w:val="en-US"/>
              </w:rPr>
              <w:t>The Strategy‘s strategic directions</w:t>
            </w:r>
          </w:p>
        </w:tc>
      </w:tr>
      <w:tr w:rsidR="0011703E" w:rsidRPr="00120EB6" w14:paraId="24217D45" w14:textId="77777777" w:rsidTr="0011703E">
        <w:trPr>
          <w:trHeight w:val="1997"/>
        </w:trPr>
        <w:tc>
          <w:tcPr>
            <w:tcW w:w="1002" w:type="dxa"/>
          </w:tcPr>
          <w:p w14:paraId="2D2F48D3" w14:textId="77777777" w:rsidR="0011703E" w:rsidRPr="00D945BD" w:rsidRDefault="0011703E" w:rsidP="00D945BD">
            <w:pPr>
              <w:rPr>
                <w:b/>
                <w:bCs/>
                <w:lang w:val="en-US"/>
              </w:rPr>
            </w:pPr>
            <w:r w:rsidRPr="00D945BD">
              <w:rPr>
                <w:b/>
                <w:bCs/>
                <w:lang w:val="en-US"/>
              </w:rPr>
              <w:t>1.a</w:t>
            </w:r>
          </w:p>
        </w:tc>
        <w:tc>
          <w:tcPr>
            <w:tcW w:w="2112" w:type="dxa"/>
          </w:tcPr>
          <w:p w14:paraId="0A0987FE" w14:textId="77777777" w:rsidR="0011703E" w:rsidRPr="00120EB6" w:rsidRDefault="0011703E" w:rsidP="00D945BD">
            <w:pPr>
              <w:rPr>
                <w:lang w:val="en-US"/>
              </w:rPr>
            </w:pPr>
            <w:r w:rsidRPr="00120EB6">
              <w:rPr>
                <w:lang w:val="en-US"/>
              </w:rPr>
              <w:t>Provide advice on new fuel management targets for FFMVic to manage fuel-driven bushfire risk to life and property</w:t>
            </w:r>
          </w:p>
        </w:tc>
        <w:tc>
          <w:tcPr>
            <w:tcW w:w="1417" w:type="dxa"/>
          </w:tcPr>
          <w:p w14:paraId="2AB2DDBD" w14:textId="57471942" w:rsidR="0011703E" w:rsidRPr="00120EB6" w:rsidRDefault="0011703E" w:rsidP="00D945BD">
            <w:pPr>
              <w:rPr>
                <w:lang w:val="en-US"/>
              </w:rPr>
            </w:pPr>
            <w:r w:rsidRPr="00120EB6">
              <w:rPr>
                <w:lang w:val="en-US"/>
              </w:rPr>
              <w:t>2024</w:t>
            </w:r>
          </w:p>
        </w:tc>
        <w:tc>
          <w:tcPr>
            <w:tcW w:w="993" w:type="dxa"/>
          </w:tcPr>
          <w:p w14:paraId="2AF1538F" w14:textId="77777777" w:rsidR="0011703E" w:rsidRPr="00120EB6" w:rsidRDefault="0011703E" w:rsidP="00D945BD">
            <w:pPr>
              <w:rPr>
                <w:lang w:val="en-US"/>
              </w:rPr>
            </w:pPr>
            <w:r w:rsidRPr="00120EB6">
              <w:rPr>
                <w:lang w:val="en-US"/>
              </w:rPr>
              <w:t>DEECA</w:t>
            </w:r>
          </w:p>
        </w:tc>
        <w:tc>
          <w:tcPr>
            <w:tcW w:w="1984" w:type="dxa"/>
          </w:tcPr>
          <w:p w14:paraId="09028FA4" w14:textId="77777777" w:rsidR="0011703E" w:rsidRPr="00120EB6" w:rsidRDefault="0011703E" w:rsidP="00D945BD">
            <w:pPr>
              <w:rPr>
                <w:lang w:val="en-US"/>
              </w:rPr>
            </w:pPr>
            <w:r w:rsidRPr="00120EB6">
              <w:rPr>
                <w:lang w:val="en-US"/>
              </w:rPr>
              <w:t>CFA</w:t>
            </w:r>
          </w:p>
          <w:p w14:paraId="424D4B4A" w14:textId="77777777" w:rsidR="0011703E" w:rsidRPr="00120EB6" w:rsidRDefault="0011703E" w:rsidP="00D945BD">
            <w:pPr>
              <w:rPr>
                <w:lang w:val="en-US"/>
              </w:rPr>
            </w:pPr>
            <w:r w:rsidRPr="00120EB6">
              <w:rPr>
                <w:lang w:val="en-US"/>
              </w:rPr>
              <w:t>FRV</w:t>
            </w:r>
          </w:p>
          <w:p w14:paraId="2A4E1F04" w14:textId="77777777" w:rsidR="0011703E" w:rsidRPr="00120EB6" w:rsidRDefault="0011703E" w:rsidP="00D945BD">
            <w:pPr>
              <w:rPr>
                <w:lang w:val="en-US"/>
              </w:rPr>
            </w:pPr>
            <w:r w:rsidRPr="00120EB6">
              <w:rPr>
                <w:lang w:val="en-US"/>
              </w:rPr>
              <w:t>DTP</w:t>
            </w:r>
          </w:p>
          <w:p w14:paraId="12089AB9" w14:textId="77777777" w:rsidR="0011703E" w:rsidRPr="00120EB6" w:rsidRDefault="0011703E" w:rsidP="00D945BD">
            <w:pPr>
              <w:rPr>
                <w:lang w:val="en-US"/>
              </w:rPr>
            </w:pPr>
            <w:r w:rsidRPr="00120EB6">
              <w:rPr>
                <w:lang w:val="en-US"/>
              </w:rPr>
              <w:t>Councils</w:t>
            </w:r>
          </w:p>
          <w:p w14:paraId="60FDD4FF" w14:textId="77777777" w:rsidR="0011703E" w:rsidRPr="00120EB6" w:rsidRDefault="0011703E" w:rsidP="00D945BD">
            <w:pPr>
              <w:rPr>
                <w:lang w:val="en-US"/>
              </w:rPr>
            </w:pPr>
            <w:r w:rsidRPr="00120EB6">
              <w:rPr>
                <w:lang w:val="en-US"/>
              </w:rPr>
              <w:t>MAV</w:t>
            </w:r>
          </w:p>
          <w:p w14:paraId="4CA77BC7" w14:textId="6F245C82" w:rsidR="0011703E" w:rsidRPr="00120EB6" w:rsidRDefault="0011703E" w:rsidP="00D945BD">
            <w:pPr>
              <w:rPr>
                <w:lang w:val="en-US"/>
              </w:rPr>
            </w:pPr>
            <w:r w:rsidRPr="00120EB6">
              <w:rPr>
                <w:lang w:val="en-US"/>
              </w:rPr>
              <w:t>LGV</w:t>
            </w:r>
          </w:p>
          <w:p w14:paraId="504452BD" w14:textId="77777777" w:rsidR="0011703E" w:rsidRPr="00120EB6" w:rsidRDefault="0011703E" w:rsidP="00D945BD">
            <w:pPr>
              <w:rPr>
                <w:lang w:val="en-US"/>
              </w:rPr>
            </w:pPr>
            <w:r w:rsidRPr="00120EB6">
              <w:rPr>
                <w:lang w:val="en-US"/>
              </w:rPr>
              <w:t>EMV</w:t>
            </w:r>
          </w:p>
          <w:p w14:paraId="68270781" w14:textId="77777777" w:rsidR="0011703E" w:rsidRPr="00120EB6" w:rsidRDefault="0011703E" w:rsidP="00D945BD">
            <w:pPr>
              <w:rPr>
                <w:lang w:val="en-US"/>
              </w:rPr>
            </w:pPr>
            <w:r w:rsidRPr="00120EB6">
              <w:rPr>
                <w:lang w:val="en-US"/>
              </w:rPr>
              <w:t>Parks Victoria</w:t>
            </w:r>
          </w:p>
          <w:p w14:paraId="3C57E0D1" w14:textId="77777777" w:rsidR="0011703E" w:rsidRPr="00120EB6" w:rsidRDefault="0011703E" w:rsidP="00D945BD">
            <w:pPr>
              <w:rPr>
                <w:lang w:val="en-US"/>
              </w:rPr>
            </w:pPr>
            <w:r w:rsidRPr="00120EB6">
              <w:rPr>
                <w:lang w:val="en-US"/>
              </w:rPr>
              <w:t>DTF</w:t>
            </w:r>
          </w:p>
          <w:p w14:paraId="12587C8F" w14:textId="77777777" w:rsidR="0011703E" w:rsidRPr="00120EB6" w:rsidRDefault="0011703E" w:rsidP="00D945BD">
            <w:pPr>
              <w:rPr>
                <w:lang w:val="en-US"/>
              </w:rPr>
            </w:pPr>
            <w:r w:rsidRPr="00120EB6">
              <w:rPr>
                <w:lang w:val="en-US"/>
              </w:rPr>
              <w:t>DPC</w:t>
            </w:r>
          </w:p>
        </w:tc>
        <w:tc>
          <w:tcPr>
            <w:tcW w:w="1418" w:type="dxa"/>
          </w:tcPr>
          <w:p w14:paraId="67AF2A20" w14:textId="77777777" w:rsidR="0011703E" w:rsidRPr="00120EB6" w:rsidRDefault="0011703E" w:rsidP="00D945BD">
            <w:pPr>
              <w:rPr>
                <w:lang w:val="en-US"/>
              </w:rPr>
            </w:pPr>
            <w:r w:rsidRPr="00120EB6">
              <w:rPr>
                <w:lang w:val="en-US"/>
              </w:rPr>
              <w:t>1.4</w:t>
            </w:r>
          </w:p>
          <w:p w14:paraId="45F005F6" w14:textId="77777777" w:rsidR="0011703E" w:rsidRPr="00120EB6" w:rsidRDefault="0011703E" w:rsidP="00D945BD">
            <w:pPr>
              <w:rPr>
                <w:lang w:val="en-US"/>
              </w:rPr>
            </w:pPr>
            <w:r w:rsidRPr="00120EB6">
              <w:rPr>
                <w:lang w:val="en-US"/>
              </w:rPr>
              <w:t>5.1</w:t>
            </w:r>
          </w:p>
        </w:tc>
      </w:tr>
      <w:tr w:rsidR="0011703E" w:rsidRPr="00120EB6" w14:paraId="477152AC" w14:textId="77777777" w:rsidTr="00E76C59">
        <w:trPr>
          <w:trHeight w:val="60"/>
        </w:trPr>
        <w:tc>
          <w:tcPr>
            <w:tcW w:w="1002" w:type="dxa"/>
          </w:tcPr>
          <w:p w14:paraId="33CF7DCF" w14:textId="77777777" w:rsidR="0011703E" w:rsidRPr="00D945BD" w:rsidRDefault="0011703E" w:rsidP="00D945BD">
            <w:pPr>
              <w:rPr>
                <w:b/>
                <w:bCs/>
                <w:lang w:val="en-US"/>
              </w:rPr>
            </w:pPr>
            <w:r w:rsidRPr="00D945BD">
              <w:rPr>
                <w:b/>
                <w:bCs/>
                <w:lang w:val="en-US"/>
              </w:rPr>
              <w:t>1.b</w:t>
            </w:r>
          </w:p>
        </w:tc>
        <w:tc>
          <w:tcPr>
            <w:tcW w:w="2112" w:type="dxa"/>
          </w:tcPr>
          <w:p w14:paraId="3A1A3B73" w14:textId="77777777" w:rsidR="0011703E" w:rsidRPr="00120EB6" w:rsidRDefault="0011703E" w:rsidP="00D945BD">
            <w:pPr>
              <w:rPr>
                <w:lang w:val="en-US"/>
              </w:rPr>
            </w:pPr>
            <w:r w:rsidRPr="00120EB6">
              <w:rPr>
                <w:lang w:val="en-US"/>
              </w:rPr>
              <w:t xml:space="preserve">In collaboration with the bushfire management sector, develop a </w:t>
            </w:r>
            <w:r w:rsidRPr="00120EB6">
              <w:rPr>
                <w:lang w:val="en-US"/>
              </w:rPr>
              <w:lastRenderedPageBreak/>
              <w:t>roadmap to expand bushfire risk management performance targets across all agencies and tenures</w:t>
            </w:r>
          </w:p>
        </w:tc>
        <w:tc>
          <w:tcPr>
            <w:tcW w:w="1417" w:type="dxa"/>
          </w:tcPr>
          <w:p w14:paraId="1B678F09" w14:textId="44953F6F" w:rsidR="0011703E" w:rsidRPr="00120EB6" w:rsidRDefault="0011703E" w:rsidP="00D945BD">
            <w:pPr>
              <w:rPr>
                <w:lang w:val="en-US"/>
              </w:rPr>
            </w:pPr>
            <w:r w:rsidRPr="00120EB6">
              <w:rPr>
                <w:lang w:val="en-US"/>
              </w:rPr>
              <w:lastRenderedPageBreak/>
              <w:t>2024</w:t>
            </w:r>
          </w:p>
        </w:tc>
        <w:tc>
          <w:tcPr>
            <w:tcW w:w="993" w:type="dxa"/>
          </w:tcPr>
          <w:p w14:paraId="6EE70117" w14:textId="77777777" w:rsidR="0011703E" w:rsidRPr="00120EB6" w:rsidRDefault="0011703E" w:rsidP="00D945BD">
            <w:pPr>
              <w:rPr>
                <w:lang w:val="en-US"/>
              </w:rPr>
            </w:pPr>
            <w:r w:rsidRPr="00120EB6">
              <w:rPr>
                <w:lang w:val="en-US"/>
              </w:rPr>
              <w:t>DEECA</w:t>
            </w:r>
          </w:p>
        </w:tc>
        <w:tc>
          <w:tcPr>
            <w:tcW w:w="1984" w:type="dxa"/>
          </w:tcPr>
          <w:p w14:paraId="53702EB0" w14:textId="77777777" w:rsidR="0011703E" w:rsidRPr="00120EB6" w:rsidRDefault="0011703E" w:rsidP="00D945BD">
            <w:pPr>
              <w:rPr>
                <w:lang w:val="en-US"/>
              </w:rPr>
            </w:pPr>
            <w:r w:rsidRPr="00120EB6">
              <w:rPr>
                <w:lang w:val="en-US"/>
              </w:rPr>
              <w:t>CFA</w:t>
            </w:r>
          </w:p>
          <w:p w14:paraId="11BC06DC" w14:textId="77777777" w:rsidR="0011703E" w:rsidRPr="00120EB6" w:rsidRDefault="0011703E" w:rsidP="00D945BD">
            <w:pPr>
              <w:rPr>
                <w:lang w:val="en-US"/>
              </w:rPr>
            </w:pPr>
            <w:r w:rsidRPr="00120EB6">
              <w:rPr>
                <w:lang w:val="en-US"/>
              </w:rPr>
              <w:t>FRV</w:t>
            </w:r>
          </w:p>
          <w:p w14:paraId="755FCF21" w14:textId="77777777" w:rsidR="0011703E" w:rsidRPr="00120EB6" w:rsidRDefault="0011703E" w:rsidP="00D945BD">
            <w:pPr>
              <w:rPr>
                <w:lang w:val="en-US"/>
              </w:rPr>
            </w:pPr>
            <w:r w:rsidRPr="00120EB6">
              <w:rPr>
                <w:lang w:val="en-US"/>
              </w:rPr>
              <w:lastRenderedPageBreak/>
              <w:t>DTP</w:t>
            </w:r>
          </w:p>
          <w:p w14:paraId="779A2171" w14:textId="77777777" w:rsidR="0011703E" w:rsidRPr="00120EB6" w:rsidRDefault="0011703E" w:rsidP="00D945BD">
            <w:pPr>
              <w:rPr>
                <w:lang w:val="en-US"/>
              </w:rPr>
            </w:pPr>
            <w:r w:rsidRPr="00120EB6">
              <w:rPr>
                <w:lang w:val="en-US"/>
              </w:rPr>
              <w:t>Councils</w:t>
            </w:r>
          </w:p>
          <w:p w14:paraId="36221EC3" w14:textId="77777777" w:rsidR="0011703E" w:rsidRPr="00120EB6" w:rsidRDefault="0011703E" w:rsidP="00D945BD">
            <w:pPr>
              <w:rPr>
                <w:lang w:val="en-US"/>
              </w:rPr>
            </w:pPr>
            <w:r w:rsidRPr="00120EB6">
              <w:rPr>
                <w:lang w:val="en-US"/>
              </w:rPr>
              <w:t>MAV</w:t>
            </w:r>
          </w:p>
          <w:p w14:paraId="69E0948C" w14:textId="6F01E103" w:rsidR="0011703E" w:rsidRPr="00120EB6" w:rsidRDefault="0011703E" w:rsidP="00D945BD">
            <w:pPr>
              <w:rPr>
                <w:lang w:val="en-US"/>
              </w:rPr>
            </w:pPr>
            <w:r w:rsidRPr="00120EB6">
              <w:rPr>
                <w:lang w:val="en-US"/>
              </w:rPr>
              <w:t>LGV</w:t>
            </w:r>
          </w:p>
          <w:p w14:paraId="67AFAB94" w14:textId="77777777" w:rsidR="0011703E" w:rsidRPr="00120EB6" w:rsidRDefault="0011703E" w:rsidP="00D945BD">
            <w:pPr>
              <w:rPr>
                <w:lang w:val="en-US"/>
              </w:rPr>
            </w:pPr>
            <w:r w:rsidRPr="00120EB6">
              <w:rPr>
                <w:lang w:val="en-US"/>
              </w:rPr>
              <w:t>EMV</w:t>
            </w:r>
          </w:p>
          <w:p w14:paraId="59563C1C" w14:textId="77777777" w:rsidR="0011703E" w:rsidRPr="00120EB6" w:rsidRDefault="0011703E" w:rsidP="00D945BD">
            <w:pPr>
              <w:rPr>
                <w:lang w:val="en-US"/>
              </w:rPr>
            </w:pPr>
            <w:r w:rsidRPr="00120EB6">
              <w:rPr>
                <w:lang w:val="en-US"/>
              </w:rPr>
              <w:t>Parks Victoria</w:t>
            </w:r>
          </w:p>
          <w:p w14:paraId="5C4CD4DD" w14:textId="77777777" w:rsidR="0011703E" w:rsidRPr="00120EB6" w:rsidRDefault="0011703E" w:rsidP="00D945BD">
            <w:pPr>
              <w:rPr>
                <w:lang w:val="en-US"/>
              </w:rPr>
            </w:pPr>
            <w:r w:rsidRPr="00120EB6">
              <w:rPr>
                <w:lang w:val="en-US"/>
              </w:rPr>
              <w:t>DTF</w:t>
            </w:r>
          </w:p>
          <w:p w14:paraId="0A8F0232" w14:textId="77777777" w:rsidR="0011703E" w:rsidRPr="00120EB6" w:rsidRDefault="0011703E" w:rsidP="00D945BD">
            <w:pPr>
              <w:rPr>
                <w:lang w:val="en-US"/>
              </w:rPr>
            </w:pPr>
            <w:r w:rsidRPr="00120EB6">
              <w:rPr>
                <w:lang w:val="en-US"/>
              </w:rPr>
              <w:t>DPC</w:t>
            </w:r>
          </w:p>
        </w:tc>
        <w:tc>
          <w:tcPr>
            <w:tcW w:w="1418" w:type="dxa"/>
          </w:tcPr>
          <w:p w14:paraId="2B53FED3" w14:textId="77777777" w:rsidR="0011703E" w:rsidRPr="00120EB6" w:rsidRDefault="0011703E" w:rsidP="00D945BD">
            <w:pPr>
              <w:rPr>
                <w:lang w:val="en-US"/>
              </w:rPr>
            </w:pPr>
            <w:r w:rsidRPr="00120EB6">
              <w:rPr>
                <w:lang w:val="en-US"/>
              </w:rPr>
              <w:lastRenderedPageBreak/>
              <w:t>1.3</w:t>
            </w:r>
          </w:p>
          <w:p w14:paraId="5063A324" w14:textId="77777777" w:rsidR="0011703E" w:rsidRPr="00120EB6" w:rsidRDefault="0011703E" w:rsidP="00D945BD">
            <w:pPr>
              <w:rPr>
                <w:lang w:val="en-US"/>
              </w:rPr>
            </w:pPr>
            <w:r w:rsidRPr="00120EB6">
              <w:rPr>
                <w:lang w:val="en-US"/>
              </w:rPr>
              <w:t>1.4</w:t>
            </w:r>
          </w:p>
          <w:p w14:paraId="197688A7" w14:textId="77777777" w:rsidR="0011703E" w:rsidRPr="00120EB6" w:rsidRDefault="0011703E" w:rsidP="00D945BD">
            <w:pPr>
              <w:rPr>
                <w:lang w:val="en-US"/>
              </w:rPr>
            </w:pPr>
            <w:r w:rsidRPr="00120EB6">
              <w:rPr>
                <w:lang w:val="en-US"/>
              </w:rPr>
              <w:lastRenderedPageBreak/>
              <w:t>5.2</w:t>
            </w:r>
          </w:p>
          <w:p w14:paraId="736529B5" w14:textId="77777777" w:rsidR="0011703E" w:rsidRPr="00120EB6" w:rsidRDefault="0011703E" w:rsidP="00D945BD">
            <w:pPr>
              <w:rPr>
                <w:lang w:val="en-US"/>
              </w:rPr>
            </w:pPr>
            <w:r w:rsidRPr="00120EB6">
              <w:rPr>
                <w:lang w:val="en-US"/>
              </w:rPr>
              <w:t>5.3</w:t>
            </w:r>
          </w:p>
          <w:p w14:paraId="0AFE0A0E" w14:textId="77777777" w:rsidR="0011703E" w:rsidRPr="00120EB6" w:rsidRDefault="0011703E" w:rsidP="00D945BD">
            <w:pPr>
              <w:rPr>
                <w:lang w:val="en-US"/>
              </w:rPr>
            </w:pPr>
            <w:r w:rsidRPr="00120EB6">
              <w:rPr>
                <w:lang w:val="en-US"/>
              </w:rPr>
              <w:t>6.1</w:t>
            </w:r>
          </w:p>
          <w:p w14:paraId="4ED473F5" w14:textId="77777777" w:rsidR="0011703E" w:rsidRPr="00120EB6" w:rsidRDefault="0011703E" w:rsidP="00D945BD">
            <w:pPr>
              <w:rPr>
                <w:lang w:val="en-US"/>
              </w:rPr>
            </w:pPr>
            <w:r w:rsidRPr="00120EB6">
              <w:rPr>
                <w:lang w:val="en-US"/>
              </w:rPr>
              <w:t>6.4</w:t>
            </w:r>
          </w:p>
        </w:tc>
      </w:tr>
      <w:tr w:rsidR="0011703E" w:rsidRPr="00120EB6" w14:paraId="508204B1" w14:textId="77777777" w:rsidTr="00D24D9A">
        <w:trPr>
          <w:trHeight w:val="60"/>
        </w:trPr>
        <w:tc>
          <w:tcPr>
            <w:tcW w:w="1002" w:type="dxa"/>
          </w:tcPr>
          <w:p w14:paraId="617D7410" w14:textId="77777777" w:rsidR="0011703E" w:rsidRPr="00D945BD" w:rsidRDefault="0011703E" w:rsidP="00D945BD">
            <w:pPr>
              <w:rPr>
                <w:b/>
                <w:bCs/>
                <w:lang w:val="en-US"/>
              </w:rPr>
            </w:pPr>
            <w:r w:rsidRPr="00D945BD">
              <w:rPr>
                <w:b/>
                <w:bCs/>
                <w:lang w:val="en-US"/>
              </w:rPr>
              <w:t>1.c</w:t>
            </w:r>
          </w:p>
        </w:tc>
        <w:tc>
          <w:tcPr>
            <w:tcW w:w="2112" w:type="dxa"/>
          </w:tcPr>
          <w:p w14:paraId="24DA7304" w14:textId="77777777" w:rsidR="0011703E" w:rsidRPr="00120EB6" w:rsidRDefault="0011703E" w:rsidP="00D945BD">
            <w:pPr>
              <w:rPr>
                <w:lang w:val="en-US"/>
              </w:rPr>
            </w:pPr>
            <w:r w:rsidRPr="00120EB6">
              <w:rPr>
                <w:lang w:val="en-US"/>
              </w:rPr>
              <w:t>Implement the Community First Program – Deliver strategic and practice-based learning initiatives to strengthen the capabilities of agencies to collaborate and develop partnerships for community-centred engagement</w:t>
            </w:r>
          </w:p>
        </w:tc>
        <w:tc>
          <w:tcPr>
            <w:tcW w:w="1417" w:type="dxa"/>
          </w:tcPr>
          <w:p w14:paraId="6B7B14D3" w14:textId="77777777" w:rsidR="0011703E" w:rsidRPr="00120EB6" w:rsidRDefault="0011703E" w:rsidP="00D945BD">
            <w:pPr>
              <w:rPr>
                <w:lang w:val="en-US"/>
              </w:rPr>
            </w:pPr>
            <w:r w:rsidRPr="00120EB6">
              <w:rPr>
                <w:lang w:val="en-US"/>
              </w:rPr>
              <w:t>June 2025</w:t>
            </w:r>
          </w:p>
        </w:tc>
        <w:tc>
          <w:tcPr>
            <w:tcW w:w="993" w:type="dxa"/>
          </w:tcPr>
          <w:p w14:paraId="6BDAE194" w14:textId="77777777" w:rsidR="0011703E" w:rsidRPr="00120EB6" w:rsidRDefault="0011703E" w:rsidP="00D945BD">
            <w:pPr>
              <w:rPr>
                <w:lang w:val="en-US"/>
              </w:rPr>
            </w:pPr>
            <w:r w:rsidRPr="00120EB6">
              <w:rPr>
                <w:lang w:val="en-US"/>
              </w:rPr>
              <w:t>DEECA</w:t>
            </w:r>
          </w:p>
          <w:p w14:paraId="470CDF94" w14:textId="77777777" w:rsidR="0011703E" w:rsidRPr="00120EB6" w:rsidRDefault="0011703E" w:rsidP="00D945BD">
            <w:pPr>
              <w:rPr>
                <w:lang w:val="en-US"/>
              </w:rPr>
            </w:pPr>
            <w:r w:rsidRPr="00120EB6">
              <w:rPr>
                <w:lang w:val="en-US"/>
              </w:rPr>
              <w:t>CFA</w:t>
            </w:r>
          </w:p>
        </w:tc>
        <w:tc>
          <w:tcPr>
            <w:tcW w:w="1984" w:type="dxa"/>
          </w:tcPr>
          <w:p w14:paraId="5ECC4E55" w14:textId="77777777" w:rsidR="0011703E" w:rsidRPr="00120EB6" w:rsidRDefault="0011703E" w:rsidP="00D945BD">
            <w:pPr>
              <w:rPr>
                <w:lang w:val="en-US"/>
              </w:rPr>
            </w:pPr>
            <w:r w:rsidRPr="00120EB6">
              <w:rPr>
                <w:lang w:val="en-US"/>
              </w:rPr>
              <w:t>EMV</w:t>
            </w:r>
          </w:p>
          <w:p w14:paraId="5EE5F8B4" w14:textId="77777777" w:rsidR="0011703E" w:rsidRPr="00120EB6" w:rsidRDefault="0011703E" w:rsidP="00D945BD">
            <w:pPr>
              <w:rPr>
                <w:lang w:val="en-US"/>
              </w:rPr>
            </w:pPr>
            <w:r w:rsidRPr="00120EB6">
              <w:rPr>
                <w:lang w:val="en-US"/>
              </w:rPr>
              <w:t>Parks Victoria</w:t>
            </w:r>
          </w:p>
          <w:p w14:paraId="37830BD3" w14:textId="77777777" w:rsidR="0011703E" w:rsidRPr="00120EB6" w:rsidRDefault="0011703E" w:rsidP="00D945BD">
            <w:pPr>
              <w:rPr>
                <w:lang w:val="en-US"/>
              </w:rPr>
            </w:pPr>
            <w:r w:rsidRPr="00120EB6">
              <w:rPr>
                <w:lang w:val="en-US"/>
              </w:rPr>
              <w:t>DTP</w:t>
            </w:r>
          </w:p>
          <w:p w14:paraId="1CF4BBA4" w14:textId="77777777" w:rsidR="0011703E" w:rsidRPr="00120EB6" w:rsidRDefault="0011703E" w:rsidP="00D945BD">
            <w:pPr>
              <w:rPr>
                <w:lang w:val="en-US"/>
              </w:rPr>
            </w:pPr>
            <w:r w:rsidRPr="00120EB6">
              <w:rPr>
                <w:lang w:val="en-US"/>
              </w:rPr>
              <w:t>DE</w:t>
            </w:r>
          </w:p>
          <w:p w14:paraId="5758BA30" w14:textId="39696FD9" w:rsidR="0011703E" w:rsidRPr="00120EB6" w:rsidRDefault="0011703E" w:rsidP="00D945BD">
            <w:pPr>
              <w:rPr>
                <w:lang w:val="en-US"/>
              </w:rPr>
            </w:pPr>
            <w:r w:rsidRPr="00120EB6">
              <w:rPr>
                <w:lang w:val="en-US"/>
              </w:rPr>
              <w:t>FRV</w:t>
            </w:r>
          </w:p>
          <w:p w14:paraId="01EBA5E6" w14:textId="77777777" w:rsidR="0011703E" w:rsidRPr="00120EB6" w:rsidRDefault="0011703E" w:rsidP="00D945BD">
            <w:pPr>
              <w:rPr>
                <w:lang w:val="en-US"/>
              </w:rPr>
            </w:pPr>
            <w:r w:rsidRPr="00120EB6">
              <w:rPr>
                <w:lang w:val="en-US"/>
              </w:rPr>
              <w:t>ERV</w:t>
            </w:r>
          </w:p>
          <w:p w14:paraId="48482698" w14:textId="77777777" w:rsidR="0011703E" w:rsidRPr="00120EB6" w:rsidRDefault="0011703E" w:rsidP="00D945BD">
            <w:pPr>
              <w:rPr>
                <w:lang w:val="en-US"/>
              </w:rPr>
            </w:pPr>
            <w:r w:rsidRPr="00120EB6">
              <w:rPr>
                <w:lang w:val="en-US"/>
              </w:rPr>
              <w:t>MAV</w:t>
            </w:r>
          </w:p>
          <w:p w14:paraId="12FD7E59" w14:textId="77777777" w:rsidR="0011703E" w:rsidRPr="00120EB6" w:rsidRDefault="0011703E" w:rsidP="00D945BD">
            <w:pPr>
              <w:rPr>
                <w:lang w:val="en-US"/>
              </w:rPr>
            </w:pPr>
            <w:r w:rsidRPr="00120EB6">
              <w:rPr>
                <w:lang w:val="en-US"/>
              </w:rPr>
              <w:t>Melbourne Water</w:t>
            </w:r>
          </w:p>
        </w:tc>
        <w:tc>
          <w:tcPr>
            <w:tcW w:w="1418" w:type="dxa"/>
          </w:tcPr>
          <w:p w14:paraId="21E4E0BE" w14:textId="77777777" w:rsidR="0011703E" w:rsidRPr="00120EB6" w:rsidRDefault="0011703E" w:rsidP="00D945BD">
            <w:pPr>
              <w:rPr>
                <w:lang w:val="en-US"/>
              </w:rPr>
            </w:pPr>
            <w:r w:rsidRPr="00120EB6">
              <w:rPr>
                <w:lang w:val="en-US"/>
              </w:rPr>
              <w:t>1.1</w:t>
            </w:r>
          </w:p>
          <w:p w14:paraId="648EACA4" w14:textId="77777777" w:rsidR="0011703E" w:rsidRPr="00120EB6" w:rsidRDefault="0011703E" w:rsidP="00D945BD">
            <w:pPr>
              <w:rPr>
                <w:lang w:val="en-US"/>
              </w:rPr>
            </w:pPr>
            <w:r w:rsidRPr="00120EB6">
              <w:rPr>
                <w:lang w:val="en-US"/>
              </w:rPr>
              <w:t>6.1</w:t>
            </w:r>
          </w:p>
        </w:tc>
      </w:tr>
      <w:tr w:rsidR="0011703E" w:rsidRPr="00120EB6" w14:paraId="05B2198B" w14:textId="77777777" w:rsidTr="00AA46F6">
        <w:trPr>
          <w:trHeight w:val="60"/>
        </w:trPr>
        <w:tc>
          <w:tcPr>
            <w:tcW w:w="1002" w:type="dxa"/>
          </w:tcPr>
          <w:p w14:paraId="26FAD078" w14:textId="77777777" w:rsidR="0011703E" w:rsidRPr="00D945BD" w:rsidRDefault="0011703E" w:rsidP="00D945BD">
            <w:pPr>
              <w:rPr>
                <w:b/>
                <w:bCs/>
                <w:lang w:val="en-US"/>
              </w:rPr>
            </w:pPr>
            <w:r w:rsidRPr="00D945BD">
              <w:rPr>
                <w:b/>
                <w:bCs/>
                <w:lang w:val="en-US"/>
              </w:rPr>
              <w:t>1.d</w:t>
            </w:r>
          </w:p>
        </w:tc>
        <w:tc>
          <w:tcPr>
            <w:tcW w:w="2112" w:type="dxa"/>
          </w:tcPr>
          <w:p w14:paraId="7F1C6115" w14:textId="77777777" w:rsidR="0011703E" w:rsidRPr="00120EB6" w:rsidRDefault="0011703E" w:rsidP="00D945BD">
            <w:pPr>
              <w:rPr>
                <w:lang w:val="en-US"/>
              </w:rPr>
            </w:pPr>
            <w:r w:rsidRPr="00120EB6">
              <w:rPr>
                <w:lang w:val="en-US"/>
              </w:rPr>
              <w:t xml:space="preserve">Implement the Community First Program – Manage delivery of a grants program and learning network to strengthen partnerships with local governments </w:t>
            </w:r>
            <w:r w:rsidRPr="00120EB6">
              <w:rPr>
                <w:lang w:val="en-US"/>
              </w:rPr>
              <w:lastRenderedPageBreak/>
              <w:t>and enable them to deliver localised, community-centred projects to mitigate and manage bushfire risk</w:t>
            </w:r>
          </w:p>
        </w:tc>
        <w:tc>
          <w:tcPr>
            <w:tcW w:w="1417" w:type="dxa"/>
          </w:tcPr>
          <w:p w14:paraId="7EC56C7E" w14:textId="77777777" w:rsidR="0011703E" w:rsidRPr="00120EB6" w:rsidRDefault="0011703E" w:rsidP="00D945BD">
            <w:pPr>
              <w:rPr>
                <w:lang w:val="en-US"/>
              </w:rPr>
            </w:pPr>
            <w:r w:rsidRPr="00120EB6">
              <w:rPr>
                <w:lang w:val="en-US"/>
              </w:rPr>
              <w:lastRenderedPageBreak/>
              <w:t>June 2025</w:t>
            </w:r>
          </w:p>
        </w:tc>
        <w:tc>
          <w:tcPr>
            <w:tcW w:w="993" w:type="dxa"/>
          </w:tcPr>
          <w:p w14:paraId="76E0265D" w14:textId="77777777" w:rsidR="0011703E" w:rsidRPr="00120EB6" w:rsidRDefault="0011703E" w:rsidP="00D945BD">
            <w:pPr>
              <w:rPr>
                <w:lang w:val="en-US"/>
              </w:rPr>
            </w:pPr>
            <w:r w:rsidRPr="00120EB6">
              <w:rPr>
                <w:lang w:val="en-US"/>
              </w:rPr>
              <w:t>DEECA</w:t>
            </w:r>
          </w:p>
          <w:p w14:paraId="102CC316" w14:textId="77777777" w:rsidR="0011703E" w:rsidRPr="00120EB6" w:rsidRDefault="0011703E" w:rsidP="00D945BD">
            <w:pPr>
              <w:rPr>
                <w:lang w:val="en-US"/>
              </w:rPr>
            </w:pPr>
            <w:r w:rsidRPr="00120EB6">
              <w:rPr>
                <w:lang w:val="en-US"/>
              </w:rPr>
              <w:t xml:space="preserve">CFA </w:t>
            </w:r>
          </w:p>
        </w:tc>
        <w:tc>
          <w:tcPr>
            <w:tcW w:w="1984" w:type="dxa"/>
          </w:tcPr>
          <w:p w14:paraId="151700E2" w14:textId="77777777" w:rsidR="0011703E" w:rsidRPr="00120EB6" w:rsidRDefault="0011703E" w:rsidP="00D945BD">
            <w:pPr>
              <w:rPr>
                <w:lang w:val="en-US"/>
              </w:rPr>
            </w:pPr>
            <w:r w:rsidRPr="00120EB6">
              <w:rPr>
                <w:lang w:val="en-US"/>
              </w:rPr>
              <w:t>EMV</w:t>
            </w:r>
          </w:p>
          <w:p w14:paraId="2E89AA3B" w14:textId="77777777" w:rsidR="0011703E" w:rsidRPr="00120EB6" w:rsidRDefault="0011703E" w:rsidP="00D945BD">
            <w:pPr>
              <w:rPr>
                <w:lang w:val="en-US"/>
              </w:rPr>
            </w:pPr>
            <w:r w:rsidRPr="00120EB6">
              <w:rPr>
                <w:lang w:val="en-US"/>
              </w:rPr>
              <w:t>Parks Victoria</w:t>
            </w:r>
          </w:p>
          <w:p w14:paraId="725461E3" w14:textId="77777777" w:rsidR="0011703E" w:rsidRPr="00120EB6" w:rsidRDefault="0011703E" w:rsidP="00D945BD">
            <w:pPr>
              <w:rPr>
                <w:lang w:val="en-US"/>
              </w:rPr>
            </w:pPr>
            <w:r w:rsidRPr="00120EB6">
              <w:rPr>
                <w:lang w:val="en-US"/>
              </w:rPr>
              <w:t>DTP</w:t>
            </w:r>
          </w:p>
          <w:p w14:paraId="2A3C341B" w14:textId="77777777" w:rsidR="0011703E" w:rsidRPr="00120EB6" w:rsidRDefault="0011703E" w:rsidP="00D945BD">
            <w:pPr>
              <w:rPr>
                <w:lang w:val="en-US"/>
              </w:rPr>
            </w:pPr>
            <w:r w:rsidRPr="00120EB6">
              <w:rPr>
                <w:lang w:val="en-US"/>
              </w:rPr>
              <w:t>DE</w:t>
            </w:r>
          </w:p>
          <w:p w14:paraId="59713CAA" w14:textId="77777777" w:rsidR="0011703E" w:rsidRPr="00120EB6" w:rsidRDefault="0011703E" w:rsidP="00D945BD">
            <w:pPr>
              <w:rPr>
                <w:lang w:val="en-US"/>
              </w:rPr>
            </w:pPr>
            <w:r w:rsidRPr="00120EB6">
              <w:rPr>
                <w:lang w:val="en-US"/>
              </w:rPr>
              <w:t>Councils</w:t>
            </w:r>
          </w:p>
          <w:p w14:paraId="64E9735C" w14:textId="62A7C659" w:rsidR="0011703E" w:rsidRPr="00120EB6" w:rsidRDefault="0011703E" w:rsidP="00D945BD">
            <w:pPr>
              <w:rPr>
                <w:lang w:val="en-US"/>
              </w:rPr>
            </w:pPr>
            <w:r w:rsidRPr="00120EB6">
              <w:rPr>
                <w:lang w:val="en-US"/>
              </w:rPr>
              <w:lastRenderedPageBreak/>
              <w:t>FRV</w:t>
            </w:r>
          </w:p>
          <w:p w14:paraId="6AFB8515" w14:textId="77777777" w:rsidR="0011703E" w:rsidRPr="00120EB6" w:rsidRDefault="0011703E" w:rsidP="00D945BD">
            <w:pPr>
              <w:rPr>
                <w:lang w:val="en-US"/>
              </w:rPr>
            </w:pPr>
            <w:r w:rsidRPr="00120EB6">
              <w:rPr>
                <w:lang w:val="en-US"/>
              </w:rPr>
              <w:t>ERV</w:t>
            </w:r>
          </w:p>
          <w:p w14:paraId="4E2D6FB6" w14:textId="77777777" w:rsidR="0011703E" w:rsidRPr="00120EB6" w:rsidRDefault="0011703E" w:rsidP="00D945BD">
            <w:pPr>
              <w:rPr>
                <w:lang w:val="en-US"/>
              </w:rPr>
            </w:pPr>
            <w:r w:rsidRPr="00120EB6">
              <w:rPr>
                <w:lang w:val="en-US"/>
              </w:rPr>
              <w:t>MAV</w:t>
            </w:r>
          </w:p>
          <w:p w14:paraId="40238756" w14:textId="77777777" w:rsidR="0011703E" w:rsidRPr="00120EB6" w:rsidRDefault="0011703E" w:rsidP="00D945BD">
            <w:pPr>
              <w:rPr>
                <w:lang w:val="en-US"/>
              </w:rPr>
            </w:pPr>
            <w:r w:rsidRPr="00120EB6">
              <w:rPr>
                <w:lang w:val="en-US"/>
              </w:rPr>
              <w:t>Melbourne Water</w:t>
            </w:r>
          </w:p>
        </w:tc>
        <w:tc>
          <w:tcPr>
            <w:tcW w:w="1418" w:type="dxa"/>
          </w:tcPr>
          <w:p w14:paraId="2E0BCF80" w14:textId="77777777" w:rsidR="0011703E" w:rsidRPr="00120EB6" w:rsidRDefault="0011703E" w:rsidP="00D945BD">
            <w:pPr>
              <w:rPr>
                <w:lang w:val="en-US"/>
              </w:rPr>
            </w:pPr>
            <w:r w:rsidRPr="00120EB6">
              <w:rPr>
                <w:lang w:val="en-US"/>
              </w:rPr>
              <w:lastRenderedPageBreak/>
              <w:t>1.1</w:t>
            </w:r>
          </w:p>
          <w:p w14:paraId="16243280" w14:textId="77777777" w:rsidR="0011703E" w:rsidRPr="00120EB6" w:rsidRDefault="0011703E" w:rsidP="00D945BD">
            <w:pPr>
              <w:rPr>
                <w:lang w:val="en-US"/>
              </w:rPr>
            </w:pPr>
            <w:r w:rsidRPr="00120EB6">
              <w:rPr>
                <w:lang w:val="en-US"/>
              </w:rPr>
              <w:t>6.1</w:t>
            </w:r>
          </w:p>
        </w:tc>
      </w:tr>
      <w:tr w:rsidR="0011703E" w:rsidRPr="00120EB6" w14:paraId="6A901BB9" w14:textId="77777777" w:rsidTr="000705B9">
        <w:trPr>
          <w:trHeight w:val="60"/>
        </w:trPr>
        <w:tc>
          <w:tcPr>
            <w:tcW w:w="1002" w:type="dxa"/>
          </w:tcPr>
          <w:p w14:paraId="1C8A9016" w14:textId="77777777" w:rsidR="0011703E" w:rsidRPr="00D945BD" w:rsidRDefault="0011703E" w:rsidP="00D945BD">
            <w:pPr>
              <w:rPr>
                <w:b/>
                <w:bCs/>
                <w:lang w:val="en-US"/>
              </w:rPr>
            </w:pPr>
            <w:r w:rsidRPr="00D945BD">
              <w:rPr>
                <w:b/>
                <w:bCs/>
                <w:lang w:val="en-US"/>
              </w:rPr>
              <w:t>1.e</w:t>
            </w:r>
          </w:p>
        </w:tc>
        <w:tc>
          <w:tcPr>
            <w:tcW w:w="2112" w:type="dxa"/>
          </w:tcPr>
          <w:p w14:paraId="0AC66460" w14:textId="77777777" w:rsidR="0011703E" w:rsidRPr="00120EB6" w:rsidRDefault="0011703E" w:rsidP="00D945BD">
            <w:pPr>
              <w:rPr>
                <w:lang w:val="en-US"/>
              </w:rPr>
            </w:pPr>
            <w:r w:rsidRPr="00120EB6">
              <w:rPr>
                <w:lang w:val="en-US"/>
              </w:rPr>
              <w:t>Implement the Community First Program – Deliver a research-informed, child-centred, multi-sector program to support curriculum-aligned delivery of participatory bushfire education in schools</w:t>
            </w:r>
          </w:p>
        </w:tc>
        <w:tc>
          <w:tcPr>
            <w:tcW w:w="1417" w:type="dxa"/>
          </w:tcPr>
          <w:p w14:paraId="78057C2E" w14:textId="77777777" w:rsidR="0011703E" w:rsidRPr="00120EB6" w:rsidRDefault="0011703E" w:rsidP="00D945BD">
            <w:pPr>
              <w:rPr>
                <w:lang w:val="en-US"/>
              </w:rPr>
            </w:pPr>
            <w:r w:rsidRPr="00120EB6">
              <w:rPr>
                <w:lang w:val="en-US"/>
              </w:rPr>
              <w:t>June 2025</w:t>
            </w:r>
          </w:p>
        </w:tc>
        <w:tc>
          <w:tcPr>
            <w:tcW w:w="993" w:type="dxa"/>
          </w:tcPr>
          <w:p w14:paraId="0579F197" w14:textId="77777777" w:rsidR="0011703E" w:rsidRPr="00120EB6" w:rsidRDefault="0011703E" w:rsidP="00D945BD">
            <w:pPr>
              <w:rPr>
                <w:lang w:val="en-US"/>
              </w:rPr>
            </w:pPr>
            <w:r w:rsidRPr="00120EB6">
              <w:rPr>
                <w:lang w:val="en-US"/>
              </w:rPr>
              <w:t>DEECA</w:t>
            </w:r>
          </w:p>
          <w:p w14:paraId="3235F184" w14:textId="77777777" w:rsidR="0011703E" w:rsidRPr="00120EB6" w:rsidRDefault="0011703E" w:rsidP="00D945BD">
            <w:pPr>
              <w:rPr>
                <w:lang w:val="en-US"/>
              </w:rPr>
            </w:pPr>
            <w:r w:rsidRPr="00120EB6">
              <w:rPr>
                <w:lang w:val="en-US"/>
              </w:rPr>
              <w:t>CFA</w:t>
            </w:r>
          </w:p>
        </w:tc>
        <w:tc>
          <w:tcPr>
            <w:tcW w:w="1984" w:type="dxa"/>
          </w:tcPr>
          <w:p w14:paraId="3B3C3968" w14:textId="77777777" w:rsidR="0011703E" w:rsidRPr="00120EB6" w:rsidRDefault="0011703E" w:rsidP="00D945BD">
            <w:pPr>
              <w:rPr>
                <w:lang w:val="en-US"/>
              </w:rPr>
            </w:pPr>
            <w:r w:rsidRPr="00120EB6">
              <w:rPr>
                <w:lang w:val="en-US"/>
              </w:rPr>
              <w:t>EMV</w:t>
            </w:r>
          </w:p>
          <w:p w14:paraId="107326B9" w14:textId="77777777" w:rsidR="0011703E" w:rsidRPr="00120EB6" w:rsidRDefault="0011703E" w:rsidP="00D945BD">
            <w:pPr>
              <w:rPr>
                <w:lang w:val="en-US"/>
              </w:rPr>
            </w:pPr>
            <w:r w:rsidRPr="00120EB6">
              <w:rPr>
                <w:lang w:val="en-US"/>
              </w:rPr>
              <w:t>Parks Victoria</w:t>
            </w:r>
          </w:p>
          <w:p w14:paraId="2CA135D0" w14:textId="77777777" w:rsidR="0011703E" w:rsidRPr="00120EB6" w:rsidRDefault="0011703E" w:rsidP="00D945BD">
            <w:pPr>
              <w:rPr>
                <w:lang w:val="en-US"/>
              </w:rPr>
            </w:pPr>
            <w:r w:rsidRPr="00120EB6">
              <w:rPr>
                <w:lang w:val="en-US"/>
              </w:rPr>
              <w:t>DTP</w:t>
            </w:r>
          </w:p>
          <w:p w14:paraId="1C6EF063" w14:textId="77777777" w:rsidR="0011703E" w:rsidRPr="00120EB6" w:rsidRDefault="0011703E" w:rsidP="00D945BD">
            <w:pPr>
              <w:rPr>
                <w:lang w:val="en-US"/>
              </w:rPr>
            </w:pPr>
            <w:r w:rsidRPr="00120EB6">
              <w:rPr>
                <w:lang w:val="en-US"/>
              </w:rPr>
              <w:t>DE</w:t>
            </w:r>
          </w:p>
          <w:p w14:paraId="3DC6707D" w14:textId="3F9A45A7" w:rsidR="0011703E" w:rsidRPr="00120EB6" w:rsidRDefault="0011703E" w:rsidP="00D945BD">
            <w:pPr>
              <w:rPr>
                <w:lang w:val="en-US"/>
              </w:rPr>
            </w:pPr>
            <w:r w:rsidRPr="00120EB6">
              <w:rPr>
                <w:lang w:val="en-US"/>
              </w:rPr>
              <w:t>FRV</w:t>
            </w:r>
          </w:p>
          <w:p w14:paraId="00D63AEA" w14:textId="77777777" w:rsidR="0011703E" w:rsidRPr="00120EB6" w:rsidRDefault="0011703E" w:rsidP="00D945BD">
            <w:pPr>
              <w:rPr>
                <w:lang w:val="en-US"/>
              </w:rPr>
            </w:pPr>
            <w:r w:rsidRPr="00120EB6">
              <w:rPr>
                <w:lang w:val="en-US"/>
              </w:rPr>
              <w:t>ERV</w:t>
            </w:r>
          </w:p>
          <w:p w14:paraId="359ECBC5" w14:textId="77777777" w:rsidR="0011703E" w:rsidRPr="00120EB6" w:rsidRDefault="0011703E" w:rsidP="00D945BD">
            <w:pPr>
              <w:rPr>
                <w:lang w:val="en-US"/>
              </w:rPr>
            </w:pPr>
            <w:r w:rsidRPr="00120EB6">
              <w:rPr>
                <w:lang w:val="en-US"/>
              </w:rPr>
              <w:t>MAV</w:t>
            </w:r>
          </w:p>
          <w:p w14:paraId="27FC1737" w14:textId="77777777" w:rsidR="0011703E" w:rsidRPr="00120EB6" w:rsidRDefault="0011703E" w:rsidP="00D945BD">
            <w:pPr>
              <w:rPr>
                <w:lang w:val="en-US"/>
              </w:rPr>
            </w:pPr>
            <w:r w:rsidRPr="00120EB6">
              <w:rPr>
                <w:lang w:val="en-US"/>
              </w:rPr>
              <w:t>Melbourne Water</w:t>
            </w:r>
          </w:p>
        </w:tc>
        <w:tc>
          <w:tcPr>
            <w:tcW w:w="1418" w:type="dxa"/>
          </w:tcPr>
          <w:p w14:paraId="0D136556" w14:textId="77777777" w:rsidR="0011703E" w:rsidRPr="00120EB6" w:rsidRDefault="0011703E" w:rsidP="00D945BD">
            <w:pPr>
              <w:rPr>
                <w:lang w:val="en-US"/>
              </w:rPr>
            </w:pPr>
            <w:r w:rsidRPr="00120EB6">
              <w:rPr>
                <w:lang w:val="en-US"/>
              </w:rPr>
              <w:t>1.1</w:t>
            </w:r>
          </w:p>
          <w:p w14:paraId="3C234B3D" w14:textId="77777777" w:rsidR="0011703E" w:rsidRPr="00120EB6" w:rsidRDefault="0011703E" w:rsidP="00D945BD">
            <w:pPr>
              <w:rPr>
                <w:lang w:val="en-US"/>
              </w:rPr>
            </w:pPr>
            <w:r w:rsidRPr="00120EB6">
              <w:rPr>
                <w:lang w:val="en-US"/>
              </w:rPr>
              <w:t>1.2</w:t>
            </w:r>
          </w:p>
          <w:p w14:paraId="310A4970" w14:textId="77777777" w:rsidR="0011703E" w:rsidRPr="00120EB6" w:rsidRDefault="0011703E" w:rsidP="00D945BD">
            <w:pPr>
              <w:rPr>
                <w:lang w:val="en-US"/>
              </w:rPr>
            </w:pPr>
            <w:r w:rsidRPr="00120EB6">
              <w:rPr>
                <w:lang w:val="en-US"/>
              </w:rPr>
              <w:t>5.1</w:t>
            </w:r>
          </w:p>
          <w:p w14:paraId="72B02533" w14:textId="77777777" w:rsidR="0011703E" w:rsidRPr="00120EB6" w:rsidRDefault="0011703E" w:rsidP="00D945BD">
            <w:pPr>
              <w:rPr>
                <w:lang w:val="en-US"/>
              </w:rPr>
            </w:pPr>
            <w:r w:rsidRPr="00120EB6">
              <w:rPr>
                <w:lang w:val="en-US"/>
              </w:rPr>
              <w:t>6.1</w:t>
            </w:r>
          </w:p>
        </w:tc>
      </w:tr>
      <w:tr w:rsidR="0011703E" w:rsidRPr="00120EB6" w14:paraId="502F4036" w14:textId="77777777" w:rsidTr="00E513CA">
        <w:trPr>
          <w:trHeight w:val="60"/>
        </w:trPr>
        <w:tc>
          <w:tcPr>
            <w:tcW w:w="1002" w:type="dxa"/>
          </w:tcPr>
          <w:p w14:paraId="35846E56" w14:textId="77777777" w:rsidR="0011703E" w:rsidRPr="00D945BD" w:rsidRDefault="0011703E" w:rsidP="00D945BD">
            <w:pPr>
              <w:rPr>
                <w:b/>
                <w:bCs/>
                <w:lang w:val="en-US"/>
              </w:rPr>
            </w:pPr>
            <w:r w:rsidRPr="00D945BD">
              <w:rPr>
                <w:b/>
                <w:bCs/>
                <w:lang w:val="en-US"/>
              </w:rPr>
              <w:t>1.f</w:t>
            </w:r>
          </w:p>
        </w:tc>
        <w:tc>
          <w:tcPr>
            <w:tcW w:w="2112" w:type="dxa"/>
          </w:tcPr>
          <w:p w14:paraId="3489A2D3" w14:textId="77777777" w:rsidR="0011703E" w:rsidRPr="00120EB6" w:rsidRDefault="0011703E" w:rsidP="00D945BD">
            <w:pPr>
              <w:rPr>
                <w:lang w:val="en-US"/>
              </w:rPr>
            </w:pPr>
            <w:r w:rsidRPr="00120EB6">
              <w:rPr>
                <w:lang w:val="en-US"/>
              </w:rPr>
              <w:t xml:space="preserve">Implement the Community First Program – Facilitate community-centred and place-based bushfire management to enable enhanced community participation and partnership-building within and across communities and the sector to bring about change in </w:t>
            </w:r>
            <w:r w:rsidRPr="00120EB6">
              <w:rPr>
                <w:lang w:val="en-US"/>
              </w:rPr>
              <w:lastRenderedPageBreak/>
              <w:t>the practices and behaviours of agencies and communities</w:t>
            </w:r>
          </w:p>
        </w:tc>
        <w:tc>
          <w:tcPr>
            <w:tcW w:w="1417" w:type="dxa"/>
          </w:tcPr>
          <w:p w14:paraId="1F383A5E" w14:textId="77777777" w:rsidR="0011703E" w:rsidRPr="00120EB6" w:rsidRDefault="0011703E" w:rsidP="00D945BD">
            <w:pPr>
              <w:rPr>
                <w:lang w:val="en-US"/>
              </w:rPr>
            </w:pPr>
            <w:r w:rsidRPr="00120EB6">
              <w:rPr>
                <w:lang w:val="en-US"/>
              </w:rPr>
              <w:lastRenderedPageBreak/>
              <w:t>June 2025</w:t>
            </w:r>
          </w:p>
        </w:tc>
        <w:tc>
          <w:tcPr>
            <w:tcW w:w="993" w:type="dxa"/>
          </w:tcPr>
          <w:p w14:paraId="4B23E716" w14:textId="77777777" w:rsidR="0011703E" w:rsidRPr="00120EB6" w:rsidRDefault="0011703E" w:rsidP="00D945BD">
            <w:pPr>
              <w:rPr>
                <w:lang w:val="en-US"/>
              </w:rPr>
            </w:pPr>
            <w:r w:rsidRPr="00120EB6">
              <w:rPr>
                <w:lang w:val="en-US"/>
              </w:rPr>
              <w:t>DEECA</w:t>
            </w:r>
          </w:p>
          <w:p w14:paraId="3B652703" w14:textId="77777777" w:rsidR="0011703E" w:rsidRPr="00120EB6" w:rsidRDefault="0011703E" w:rsidP="00D945BD">
            <w:pPr>
              <w:rPr>
                <w:lang w:val="en-US"/>
              </w:rPr>
            </w:pPr>
            <w:r w:rsidRPr="00120EB6">
              <w:rPr>
                <w:lang w:val="en-US"/>
              </w:rPr>
              <w:t>CFA</w:t>
            </w:r>
          </w:p>
        </w:tc>
        <w:tc>
          <w:tcPr>
            <w:tcW w:w="1984" w:type="dxa"/>
          </w:tcPr>
          <w:p w14:paraId="7134FB9F" w14:textId="77777777" w:rsidR="0011703E" w:rsidRPr="00120EB6" w:rsidRDefault="0011703E" w:rsidP="00D945BD">
            <w:pPr>
              <w:rPr>
                <w:lang w:val="en-US"/>
              </w:rPr>
            </w:pPr>
            <w:r w:rsidRPr="00120EB6">
              <w:rPr>
                <w:lang w:val="en-US"/>
              </w:rPr>
              <w:t>EMV</w:t>
            </w:r>
          </w:p>
          <w:p w14:paraId="18A5F93A" w14:textId="77777777" w:rsidR="0011703E" w:rsidRPr="00120EB6" w:rsidRDefault="0011703E" w:rsidP="00D945BD">
            <w:pPr>
              <w:rPr>
                <w:lang w:val="en-US"/>
              </w:rPr>
            </w:pPr>
            <w:r w:rsidRPr="00120EB6">
              <w:rPr>
                <w:lang w:val="en-US"/>
              </w:rPr>
              <w:t>Parks Victoria</w:t>
            </w:r>
          </w:p>
          <w:p w14:paraId="3256E04A" w14:textId="77777777" w:rsidR="0011703E" w:rsidRPr="00120EB6" w:rsidRDefault="0011703E" w:rsidP="00D945BD">
            <w:pPr>
              <w:rPr>
                <w:lang w:val="en-US"/>
              </w:rPr>
            </w:pPr>
            <w:r w:rsidRPr="00120EB6">
              <w:rPr>
                <w:lang w:val="en-US"/>
              </w:rPr>
              <w:t>DTP</w:t>
            </w:r>
          </w:p>
          <w:p w14:paraId="49E755E4" w14:textId="77777777" w:rsidR="0011703E" w:rsidRPr="00120EB6" w:rsidRDefault="0011703E" w:rsidP="00D945BD">
            <w:pPr>
              <w:rPr>
                <w:lang w:val="en-US"/>
              </w:rPr>
            </w:pPr>
            <w:r w:rsidRPr="00120EB6">
              <w:rPr>
                <w:lang w:val="en-US"/>
              </w:rPr>
              <w:t>DE</w:t>
            </w:r>
          </w:p>
          <w:p w14:paraId="330D0D96" w14:textId="77777777" w:rsidR="0011703E" w:rsidRPr="00120EB6" w:rsidRDefault="0011703E" w:rsidP="00D945BD">
            <w:pPr>
              <w:rPr>
                <w:lang w:val="en-US"/>
              </w:rPr>
            </w:pPr>
            <w:r w:rsidRPr="00120EB6">
              <w:rPr>
                <w:lang w:val="en-US"/>
              </w:rPr>
              <w:t>Councils</w:t>
            </w:r>
          </w:p>
          <w:p w14:paraId="6105EAEA" w14:textId="4AD6F1F4" w:rsidR="0011703E" w:rsidRPr="00120EB6" w:rsidRDefault="0011703E" w:rsidP="00D945BD">
            <w:pPr>
              <w:rPr>
                <w:lang w:val="en-US"/>
              </w:rPr>
            </w:pPr>
            <w:r w:rsidRPr="00120EB6">
              <w:rPr>
                <w:lang w:val="en-US"/>
              </w:rPr>
              <w:t>FRV</w:t>
            </w:r>
          </w:p>
          <w:p w14:paraId="3B11FADC" w14:textId="77777777" w:rsidR="0011703E" w:rsidRPr="00120EB6" w:rsidRDefault="0011703E" w:rsidP="00D945BD">
            <w:pPr>
              <w:rPr>
                <w:lang w:val="en-US"/>
              </w:rPr>
            </w:pPr>
            <w:r w:rsidRPr="00120EB6">
              <w:rPr>
                <w:lang w:val="en-US"/>
              </w:rPr>
              <w:t>ERV</w:t>
            </w:r>
          </w:p>
          <w:p w14:paraId="3BD19A52" w14:textId="77777777" w:rsidR="0011703E" w:rsidRPr="00120EB6" w:rsidRDefault="0011703E" w:rsidP="00D945BD">
            <w:pPr>
              <w:rPr>
                <w:lang w:val="en-US"/>
              </w:rPr>
            </w:pPr>
            <w:r w:rsidRPr="00120EB6">
              <w:rPr>
                <w:lang w:val="en-US"/>
              </w:rPr>
              <w:t>MAV</w:t>
            </w:r>
          </w:p>
          <w:p w14:paraId="731A11CE" w14:textId="77777777" w:rsidR="0011703E" w:rsidRPr="00120EB6" w:rsidRDefault="0011703E" w:rsidP="00D945BD">
            <w:pPr>
              <w:rPr>
                <w:lang w:val="en-US"/>
              </w:rPr>
            </w:pPr>
            <w:r w:rsidRPr="00120EB6">
              <w:rPr>
                <w:lang w:val="en-US"/>
              </w:rPr>
              <w:t>Melbourne Water</w:t>
            </w:r>
          </w:p>
        </w:tc>
        <w:tc>
          <w:tcPr>
            <w:tcW w:w="1418" w:type="dxa"/>
          </w:tcPr>
          <w:p w14:paraId="4A29F9C1" w14:textId="77777777" w:rsidR="0011703E" w:rsidRPr="00120EB6" w:rsidRDefault="0011703E" w:rsidP="00D945BD">
            <w:pPr>
              <w:rPr>
                <w:lang w:val="en-US"/>
              </w:rPr>
            </w:pPr>
            <w:r w:rsidRPr="00120EB6">
              <w:rPr>
                <w:lang w:val="en-US"/>
              </w:rPr>
              <w:t>1.1</w:t>
            </w:r>
          </w:p>
          <w:p w14:paraId="475F4CEF" w14:textId="77777777" w:rsidR="0011703E" w:rsidRPr="00120EB6" w:rsidRDefault="0011703E" w:rsidP="00D945BD">
            <w:pPr>
              <w:rPr>
                <w:lang w:val="en-US"/>
              </w:rPr>
            </w:pPr>
            <w:r w:rsidRPr="00120EB6">
              <w:rPr>
                <w:lang w:val="en-US"/>
              </w:rPr>
              <w:t>6.1</w:t>
            </w:r>
          </w:p>
          <w:p w14:paraId="2E175547" w14:textId="77777777" w:rsidR="0011703E" w:rsidRPr="00120EB6" w:rsidRDefault="0011703E" w:rsidP="00D945BD">
            <w:pPr>
              <w:rPr>
                <w:lang w:val="en-US"/>
              </w:rPr>
            </w:pPr>
            <w:r w:rsidRPr="00120EB6">
              <w:rPr>
                <w:lang w:val="en-US"/>
              </w:rPr>
              <w:t>6.5</w:t>
            </w:r>
          </w:p>
        </w:tc>
      </w:tr>
      <w:tr w:rsidR="0011703E" w:rsidRPr="00120EB6" w14:paraId="0F70D6BF" w14:textId="77777777" w:rsidTr="00B4048C">
        <w:trPr>
          <w:trHeight w:val="60"/>
        </w:trPr>
        <w:tc>
          <w:tcPr>
            <w:tcW w:w="1002" w:type="dxa"/>
          </w:tcPr>
          <w:p w14:paraId="3FBF3308" w14:textId="77777777" w:rsidR="0011703E" w:rsidRPr="00D945BD" w:rsidRDefault="0011703E" w:rsidP="00D945BD">
            <w:pPr>
              <w:rPr>
                <w:b/>
                <w:bCs/>
                <w:lang w:val="en-US"/>
              </w:rPr>
            </w:pPr>
            <w:r w:rsidRPr="00D945BD">
              <w:rPr>
                <w:b/>
                <w:bCs/>
                <w:lang w:val="en-US"/>
              </w:rPr>
              <w:t>1.g</w:t>
            </w:r>
          </w:p>
        </w:tc>
        <w:tc>
          <w:tcPr>
            <w:tcW w:w="2112" w:type="dxa"/>
          </w:tcPr>
          <w:p w14:paraId="25158476" w14:textId="77777777" w:rsidR="0011703E" w:rsidRPr="00120EB6" w:rsidRDefault="0011703E" w:rsidP="00D945BD">
            <w:pPr>
              <w:rPr>
                <w:lang w:val="en-US"/>
              </w:rPr>
            </w:pPr>
            <w:r w:rsidRPr="00120EB6">
              <w:rPr>
                <w:lang w:val="en-US"/>
              </w:rPr>
              <w:t>Implement the Community First Program – Develop innovative and experiential approaches to community risk engagement, integrating different forms of knowledge, scientific disciplines and community experience to reflect a range of narratives around bushfire risk and living with fire to bring about change in the practices and behaviours of agencies and communities</w:t>
            </w:r>
          </w:p>
        </w:tc>
        <w:tc>
          <w:tcPr>
            <w:tcW w:w="1417" w:type="dxa"/>
          </w:tcPr>
          <w:p w14:paraId="45877271" w14:textId="77777777" w:rsidR="0011703E" w:rsidRPr="00120EB6" w:rsidRDefault="0011703E" w:rsidP="00D945BD">
            <w:pPr>
              <w:rPr>
                <w:lang w:val="en-US"/>
              </w:rPr>
            </w:pPr>
            <w:r w:rsidRPr="00120EB6">
              <w:rPr>
                <w:lang w:val="en-US"/>
              </w:rPr>
              <w:t>June 2025</w:t>
            </w:r>
          </w:p>
        </w:tc>
        <w:tc>
          <w:tcPr>
            <w:tcW w:w="993" w:type="dxa"/>
          </w:tcPr>
          <w:p w14:paraId="783E2F24" w14:textId="77777777" w:rsidR="0011703E" w:rsidRPr="00120EB6" w:rsidRDefault="0011703E" w:rsidP="00D945BD">
            <w:pPr>
              <w:rPr>
                <w:lang w:val="en-US"/>
              </w:rPr>
            </w:pPr>
            <w:r w:rsidRPr="00120EB6">
              <w:rPr>
                <w:lang w:val="en-US"/>
              </w:rPr>
              <w:t>DEECA</w:t>
            </w:r>
          </w:p>
          <w:p w14:paraId="04A36CF8" w14:textId="77777777" w:rsidR="0011703E" w:rsidRPr="00120EB6" w:rsidRDefault="0011703E" w:rsidP="00D945BD">
            <w:pPr>
              <w:rPr>
                <w:lang w:val="en-US"/>
              </w:rPr>
            </w:pPr>
            <w:r w:rsidRPr="00120EB6">
              <w:rPr>
                <w:lang w:val="en-US"/>
              </w:rPr>
              <w:t>CFA</w:t>
            </w:r>
          </w:p>
        </w:tc>
        <w:tc>
          <w:tcPr>
            <w:tcW w:w="1984" w:type="dxa"/>
          </w:tcPr>
          <w:p w14:paraId="1CFBA7D4" w14:textId="77777777" w:rsidR="0011703E" w:rsidRPr="00120EB6" w:rsidRDefault="0011703E" w:rsidP="00D945BD">
            <w:pPr>
              <w:rPr>
                <w:lang w:val="en-US"/>
              </w:rPr>
            </w:pPr>
            <w:r w:rsidRPr="00120EB6">
              <w:rPr>
                <w:lang w:val="en-US"/>
              </w:rPr>
              <w:t>EMV</w:t>
            </w:r>
          </w:p>
          <w:p w14:paraId="7D622C1B" w14:textId="77777777" w:rsidR="0011703E" w:rsidRPr="00120EB6" w:rsidRDefault="0011703E" w:rsidP="00D945BD">
            <w:pPr>
              <w:rPr>
                <w:lang w:val="en-US"/>
              </w:rPr>
            </w:pPr>
            <w:r w:rsidRPr="00120EB6">
              <w:rPr>
                <w:lang w:val="en-US"/>
              </w:rPr>
              <w:t>Parks Victoria</w:t>
            </w:r>
          </w:p>
          <w:p w14:paraId="3A42FB93" w14:textId="77777777" w:rsidR="0011703E" w:rsidRPr="00120EB6" w:rsidRDefault="0011703E" w:rsidP="00D945BD">
            <w:pPr>
              <w:rPr>
                <w:lang w:val="en-US"/>
              </w:rPr>
            </w:pPr>
            <w:r w:rsidRPr="00120EB6">
              <w:rPr>
                <w:lang w:val="en-US"/>
              </w:rPr>
              <w:t>DTP</w:t>
            </w:r>
          </w:p>
          <w:p w14:paraId="36BA024E" w14:textId="77777777" w:rsidR="0011703E" w:rsidRPr="00120EB6" w:rsidRDefault="0011703E" w:rsidP="00D945BD">
            <w:pPr>
              <w:rPr>
                <w:lang w:val="en-US"/>
              </w:rPr>
            </w:pPr>
            <w:r w:rsidRPr="00120EB6">
              <w:rPr>
                <w:lang w:val="en-US"/>
              </w:rPr>
              <w:t>DE</w:t>
            </w:r>
          </w:p>
          <w:p w14:paraId="610223E3" w14:textId="77777777" w:rsidR="0011703E" w:rsidRPr="00120EB6" w:rsidRDefault="0011703E" w:rsidP="00D945BD">
            <w:pPr>
              <w:rPr>
                <w:lang w:val="en-US"/>
              </w:rPr>
            </w:pPr>
            <w:r w:rsidRPr="00120EB6">
              <w:rPr>
                <w:lang w:val="en-US"/>
              </w:rPr>
              <w:t>Councils</w:t>
            </w:r>
          </w:p>
          <w:p w14:paraId="35AEEFF4" w14:textId="18F74441" w:rsidR="0011703E" w:rsidRPr="00120EB6" w:rsidRDefault="0011703E" w:rsidP="00D945BD">
            <w:pPr>
              <w:rPr>
                <w:lang w:val="en-US"/>
              </w:rPr>
            </w:pPr>
            <w:r w:rsidRPr="00120EB6">
              <w:rPr>
                <w:lang w:val="en-US"/>
              </w:rPr>
              <w:t>FRV</w:t>
            </w:r>
          </w:p>
          <w:p w14:paraId="133843ED" w14:textId="77777777" w:rsidR="0011703E" w:rsidRPr="00120EB6" w:rsidRDefault="0011703E" w:rsidP="00D945BD">
            <w:pPr>
              <w:rPr>
                <w:lang w:val="en-US"/>
              </w:rPr>
            </w:pPr>
            <w:r w:rsidRPr="00120EB6">
              <w:rPr>
                <w:lang w:val="en-US"/>
              </w:rPr>
              <w:t>ERV</w:t>
            </w:r>
          </w:p>
          <w:p w14:paraId="70929E3B" w14:textId="77777777" w:rsidR="0011703E" w:rsidRPr="00120EB6" w:rsidRDefault="0011703E" w:rsidP="00D945BD">
            <w:pPr>
              <w:rPr>
                <w:lang w:val="en-US"/>
              </w:rPr>
            </w:pPr>
            <w:r w:rsidRPr="00120EB6">
              <w:rPr>
                <w:lang w:val="en-US"/>
              </w:rPr>
              <w:t>MAV</w:t>
            </w:r>
          </w:p>
          <w:p w14:paraId="43CD340C" w14:textId="77777777" w:rsidR="0011703E" w:rsidRPr="00120EB6" w:rsidRDefault="0011703E" w:rsidP="00D945BD">
            <w:pPr>
              <w:rPr>
                <w:lang w:val="en-US"/>
              </w:rPr>
            </w:pPr>
            <w:r w:rsidRPr="00120EB6">
              <w:rPr>
                <w:lang w:val="en-US"/>
              </w:rPr>
              <w:t>Melbourne Water</w:t>
            </w:r>
          </w:p>
        </w:tc>
        <w:tc>
          <w:tcPr>
            <w:tcW w:w="1418" w:type="dxa"/>
          </w:tcPr>
          <w:p w14:paraId="32527884" w14:textId="77777777" w:rsidR="0011703E" w:rsidRPr="00120EB6" w:rsidRDefault="0011703E" w:rsidP="00D945BD">
            <w:pPr>
              <w:rPr>
                <w:lang w:val="en-US"/>
              </w:rPr>
            </w:pPr>
            <w:r w:rsidRPr="00120EB6">
              <w:rPr>
                <w:lang w:val="en-US"/>
              </w:rPr>
              <w:t>1.1</w:t>
            </w:r>
          </w:p>
          <w:p w14:paraId="20E636B9" w14:textId="77777777" w:rsidR="0011703E" w:rsidRPr="00120EB6" w:rsidRDefault="0011703E" w:rsidP="00D945BD">
            <w:pPr>
              <w:rPr>
                <w:lang w:val="en-US"/>
              </w:rPr>
            </w:pPr>
            <w:r w:rsidRPr="00120EB6">
              <w:rPr>
                <w:lang w:val="en-US"/>
              </w:rPr>
              <w:t>5.3</w:t>
            </w:r>
          </w:p>
          <w:p w14:paraId="3ACE17B9" w14:textId="77777777" w:rsidR="0011703E" w:rsidRPr="00120EB6" w:rsidRDefault="0011703E" w:rsidP="00D945BD">
            <w:pPr>
              <w:rPr>
                <w:lang w:val="en-US"/>
              </w:rPr>
            </w:pPr>
            <w:r w:rsidRPr="00120EB6">
              <w:rPr>
                <w:lang w:val="en-US"/>
              </w:rPr>
              <w:t>6.1</w:t>
            </w:r>
          </w:p>
        </w:tc>
      </w:tr>
      <w:tr w:rsidR="0011703E" w:rsidRPr="00120EB6" w14:paraId="68A2BA17" w14:textId="77777777" w:rsidTr="005345D2">
        <w:trPr>
          <w:trHeight w:val="60"/>
        </w:trPr>
        <w:tc>
          <w:tcPr>
            <w:tcW w:w="1002" w:type="dxa"/>
          </w:tcPr>
          <w:p w14:paraId="76EB1C40" w14:textId="77777777" w:rsidR="0011703E" w:rsidRPr="00D945BD" w:rsidRDefault="0011703E" w:rsidP="00D945BD">
            <w:pPr>
              <w:rPr>
                <w:b/>
                <w:bCs/>
                <w:lang w:val="en-US"/>
              </w:rPr>
            </w:pPr>
            <w:r w:rsidRPr="00D945BD">
              <w:rPr>
                <w:b/>
                <w:bCs/>
                <w:lang w:val="en-US"/>
              </w:rPr>
              <w:t>1.h</w:t>
            </w:r>
          </w:p>
        </w:tc>
        <w:tc>
          <w:tcPr>
            <w:tcW w:w="2112" w:type="dxa"/>
          </w:tcPr>
          <w:p w14:paraId="34A7AC4D" w14:textId="77777777" w:rsidR="0011703E" w:rsidRPr="00120EB6" w:rsidRDefault="0011703E" w:rsidP="00D945BD">
            <w:pPr>
              <w:rPr>
                <w:lang w:val="en-US"/>
              </w:rPr>
            </w:pPr>
            <w:r w:rsidRPr="00120EB6">
              <w:rPr>
                <w:lang w:val="en-US"/>
              </w:rPr>
              <w:t xml:space="preserve">Maintain the strategic fuel break network to protect communities and the environment from the impacts of bushfire and assist firefighters to manage and </w:t>
            </w:r>
            <w:r w:rsidRPr="00120EB6">
              <w:rPr>
                <w:lang w:val="en-US"/>
              </w:rPr>
              <w:lastRenderedPageBreak/>
              <w:t>suppress fires</w:t>
            </w:r>
            <w:r w:rsidRPr="00120EB6">
              <w:rPr>
                <w:lang w:val="en-US"/>
              </w:rPr>
              <w:br/>
            </w:r>
          </w:p>
        </w:tc>
        <w:tc>
          <w:tcPr>
            <w:tcW w:w="1417" w:type="dxa"/>
          </w:tcPr>
          <w:p w14:paraId="1F89D2ED" w14:textId="77777777" w:rsidR="0011703E" w:rsidRPr="00120EB6" w:rsidRDefault="0011703E" w:rsidP="00D945BD">
            <w:pPr>
              <w:rPr>
                <w:lang w:val="en-US"/>
              </w:rPr>
            </w:pPr>
            <w:r w:rsidRPr="00120EB6">
              <w:rPr>
                <w:lang w:val="en-US"/>
              </w:rPr>
              <w:lastRenderedPageBreak/>
              <w:t>June 2024</w:t>
            </w:r>
          </w:p>
        </w:tc>
        <w:tc>
          <w:tcPr>
            <w:tcW w:w="993" w:type="dxa"/>
          </w:tcPr>
          <w:p w14:paraId="056D967B" w14:textId="77777777" w:rsidR="0011703E" w:rsidRPr="00120EB6" w:rsidRDefault="0011703E" w:rsidP="00D945BD">
            <w:pPr>
              <w:rPr>
                <w:lang w:val="en-US"/>
              </w:rPr>
            </w:pPr>
            <w:r w:rsidRPr="00120EB6">
              <w:rPr>
                <w:lang w:val="en-US"/>
              </w:rPr>
              <w:t>DEECA</w:t>
            </w:r>
          </w:p>
        </w:tc>
        <w:tc>
          <w:tcPr>
            <w:tcW w:w="1984" w:type="dxa"/>
          </w:tcPr>
          <w:p w14:paraId="4AD25505" w14:textId="77777777" w:rsidR="0011703E" w:rsidRPr="00120EB6" w:rsidRDefault="0011703E" w:rsidP="00D945BD">
            <w:pPr>
              <w:rPr>
                <w:lang w:val="en-US"/>
              </w:rPr>
            </w:pPr>
            <w:r w:rsidRPr="00120EB6">
              <w:rPr>
                <w:lang w:val="en-US"/>
              </w:rPr>
              <w:t>Parks Victoria</w:t>
            </w:r>
          </w:p>
          <w:p w14:paraId="67E0231F" w14:textId="77777777" w:rsidR="0011703E" w:rsidRPr="00120EB6" w:rsidRDefault="0011703E" w:rsidP="00D945BD">
            <w:pPr>
              <w:rPr>
                <w:lang w:val="en-US"/>
              </w:rPr>
            </w:pPr>
            <w:r w:rsidRPr="00120EB6">
              <w:rPr>
                <w:lang w:val="en-US"/>
              </w:rPr>
              <w:t>Melbourne Water</w:t>
            </w:r>
          </w:p>
          <w:p w14:paraId="46E0040B" w14:textId="02148287" w:rsidR="0011703E" w:rsidRPr="00120EB6" w:rsidRDefault="0011703E" w:rsidP="00D945BD">
            <w:pPr>
              <w:rPr>
                <w:lang w:val="en-US"/>
              </w:rPr>
            </w:pPr>
            <w:r w:rsidRPr="00120EB6">
              <w:rPr>
                <w:lang w:val="en-US"/>
              </w:rPr>
              <w:t>DTP</w:t>
            </w:r>
          </w:p>
        </w:tc>
        <w:tc>
          <w:tcPr>
            <w:tcW w:w="1418" w:type="dxa"/>
          </w:tcPr>
          <w:p w14:paraId="1B07F4A9" w14:textId="77777777" w:rsidR="0011703E" w:rsidRPr="00120EB6" w:rsidRDefault="0011703E" w:rsidP="00D945BD">
            <w:pPr>
              <w:rPr>
                <w:lang w:val="en-US"/>
              </w:rPr>
            </w:pPr>
            <w:r w:rsidRPr="00120EB6">
              <w:rPr>
                <w:lang w:val="en-US"/>
              </w:rPr>
              <w:t>1.3</w:t>
            </w:r>
          </w:p>
          <w:p w14:paraId="1B41C8FE" w14:textId="77777777" w:rsidR="0011703E" w:rsidRPr="00120EB6" w:rsidRDefault="0011703E" w:rsidP="00D945BD">
            <w:pPr>
              <w:rPr>
                <w:lang w:val="en-US"/>
              </w:rPr>
            </w:pPr>
            <w:r w:rsidRPr="00120EB6">
              <w:rPr>
                <w:lang w:val="en-US"/>
              </w:rPr>
              <w:t>1.4</w:t>
            </w:r>
          </w:p>
          <w:p w14:paraId="45C88AB2" w14:textId="77777777" w:rsidR="0011703E" w:rsidRPr="00120EB6" w:rsidRDefault="0011703E" w:rsidP="00D945BD">
            <w:pPr>
              <w:rPr>
                <w:lang w:val="en-US"/>
              </w:rPr>
            </w:pPr>
            <w:r w:rsidRPr="00120EB6">
              <w:rPr>
                <w:lang w:val="en-US"/>
              </w:rPr>
              <w:t>2.1</w:t>
            </w:r>
          </w:p>
          <w:p w14:paraId="397DA103" w14:textId="77777777" w:rsidR="0011703E" w:rsidRPr="00120EB6" w:rsidRDefault="0011703E" w:rsidP="00D945BD">
            <w:pPr>
              <w:rPr>
                <w:lang w:val="en-US"/>
              </w:rPr>
            </w:pPr>
            <w:r w:rsidRPr="00120EB6">
              <w:rPr>
                <w:lang w:val="en-US"/>
              </w:rPr>
              <w:t>2.3</w:t>
            </w:r>
          </w:p>
          <w:p w14:paraId="2396BB78" w14:textId="77777777" w:rsidR="0011703E" w:rsidRPr="00120EB6" w:rsidRDefault="0011703E" w:rsidP="00D945BD">
            <w:pPr>
              <w:rPr>
                <w:lang w:val="en-US"/>
              </w:rPr>
            </w:pPr>
            <w:r w:rsidRPr="00120EB6">
              <w:rPr>
                <w:lang w:val="en-US"/>
              </w:rPr>
              <w:t>2.4</w:t>
            </w:r>
          </w:p>
        </w:tc>
      </w:tr>
    </w:tbl>
    <w:p w14:paraId="7082A61D" w14:textId="77777777" w:rsidR="00120EB6" w:rsidRPr="00120EB6" w:rsidRDefault="00120EB6" w:rsidP="00120EB6">
      <w:pPr>
        <w:spacing w:before="0" w:after="0"/>
        <w:rPr>
          <w:lang w:val="en-US"/>
        </w:rPr>
      </w:pPr>
    </w:p>
    <w:p w14:paraId="5F2B8DC9" w14:textId="4DA0E337" w:rsidR="00120EB6" w:rsidRPr="00120EB6" w:rsidRDefault="00120EB6" w:rsidP="009B11A5">
      <w:pPr>
        <w:pStyle w:val="Heading2"/>
        <w:numPr>
          <w:ilvl w:val="0"/>
          <w:numId w:val="4"/>
        </w:numPr>
        <w:rPr>
          <w:lang w:val="en-US"/>
        </w:rPr>
      </w:pPr>
      <w:bookmarkStart w:id="18" w:name="_Toc166682354"/>
      <w:r w:rsidRPr="00120EB6">
        <w:rPr>
          <w:lang w:val="en-US"/>
        </w:rPr>
        <w:t>Critical infrastructure and economic resilience</w:t>
      </w:r>
      <w:bookmarkEnd w:id="18"/>
    </w:p>
    <w:p w14:paraId="285AA58E" w14:textId="5637D063" w:rsidR="00120EB6" w:rsidRPr="00120EB6" w:rsidRDefault="00D945BD" w:rsidP="00D945BD">
      <w:pPr>
        <w:pStyle w:val="BlockText"/>
        <w:rPr>
          <w:lang w:val="en-US"/>
        </w:rPr>
      </w:pPr>
      <w:r w:rsidRPr="00120EB6">
        <w:rPr>
          <w:b/>
          <w:bCs/>
          <w:lang w:val="en-US"/>
        </w:rPr>
        <w:t>Outcome:</w:t>
      </w:r>
      <w:r w:rsidRPr="00120EB6">
        <w:rPr>
          <w:lang w:val="en-US"/>
        </w:rPr>
        <w:t xml:space="preserve"> Business, industry and infrastructure are more resilient to the impacts of bushfires and bushfire management activities.</w:t>
      </w:r>
    </w:p>
    <w:p w14:paraId="38EDA4BE" w14:textId="77777777" w:rsidR="00120EB6" w:rsidRPr="00120EB6" w:rsidRDefault="00120EB6" w:rsidP="00D945BD">
      <w:pPr>
        <w:rPr>
          <w:lang w:val="en-US"/>
        </w:rPr>
      </w:pPr>
      <w:r w:rsidRPr="00120EB6">
        <w:rPr>
          <w:lang w:val="en-US"/>
        </w:rPr>
        <w:t xml:space="preserve">Like other cohorts of the community, Victoria’s businesses and industries play a critical role in preparing for and managing bushfires. Building the resilience of businesses and industry to bushfire generates significant flow-on benefits to local communities through improved economic stability. Although the strategic approach to people and community safety also applies to businesses and industries, supporting these groups requires consideration of additional factors. Victoria’s bushfire management must recognise and plan for the specific interests and priorities of business and industry groups. </w:t>
      </w:r>
    </w:p>
    <w:p w14:paraId="0FD5DCFA" w14:textId="77777777" w:rsidR="00120EB6" w:rsidRPr="00120EB6" w:rsidRDefault="00120EB6" w:rsidP="00D945BD">
      <w:pPr>
        <w:rPr>
          <w:lang w:val="en-US"/>
        </w:rPr>
      </w:pPr>
      <w:r w:rsidRPr="00120EB6">
        <w:rPr>
          <w:lang w:val="en-US"/>
        </w:rPr>
        <w:t xml:space="preserve">The business and industry sectors include agricultural businesses such as farmers, viticulturalists, and apiarists; forestry businesses such as plantations; tourism operators and small business owners; and veterinary services. </w:t>
      </w:r>
    </w:p>
    <w:p w14:paraId="1A8B0F08" w14:textId="77777777" w:rsidR="00120EB6" w:rsidRPr="00120EB6" w:rsidRDefault="00120EB6" w:rsidP="00D945BD">
      <w:pPr>
        <w:rPr>
          <w:lang w:val="en-US"/>
        </w:rPr>
      </w:pPr>
      <w:r w:rsidRPr="00120EB6">
        <w:rPr>
          <w:lang w:val="en-US"/>
        </w:rPr>
        <w:t>The actions in this domain are led by the Victorian Government, in many cases in partnership with critical infrastructure owners and operators. This includes actions designed to support and protect communities and critical infrastructure as well as enhance sector, industry and infrastructure capability to manage bushfire risk.</w:t>
      </w:r>
    </w:p>
    <w:tbl>
      <w:tblPr>
        <w:tblStyle w:val="TableGrid"/>
        <w:tblW w:w="9067" w:type="dxa"/>
        <w:tblLayout w:type="fixed"/>
        <w:tblLook w:val="0020" w:firstRow="1" w:lastRow="0" w:firstColumn="0" w:lastColumn="0" w:noHBand="0" w:noVBand="0"/>
      </w:tblPr>
      <w:tblGrid>
        <w:gridCol w:w="1002"/>
        <w:gridCol w:w="2334"/>
        <w:gridCol w:w="1256"/>
        <w:gridCol w:w="1262"/>
        <w:gridCol w:w="1654"/>
        <w:gridCol w:w="1559"/>
      </w:tblGrid>
      <w:tr w:rsidR="00120EB6" w:rsidRPr="00120EB6" w14:paraId="5449F019" w14:textId="77777777" w:rsidTr="0011703E">
        <w:trPr>
          <w:cantSplit/>
          <w:trHeight w:val="1125"/>
          <w:tblHeader/>
        </w:trPr>
        <w:tc>
          <w:tcPr>
            <w:tcW w:w="1002" w:type="dxa"/>
          </w:tcPr>
          <w:p w14:paraId="63CC5FD3" w14:textId="77777777" w:rsidR="00120EB6" w:rsidRPr="00D945BD" w:rsidRDefault="00120EB6" w:rsidP="00D945BD">
            <w:pPr>
              <w:rPr>
                <w:b/>
                <w:bCs/>
                <w:lang w:val="en-US"/>
              </w:rPr>
            </w:pPr>
            <w:r w:rsidRPr="00D945BD">
              <w:rPr>
                <w:b/>
                <w:bCs/>
                <w:lang w:val="en-US"/>
              </w:rPr>
              <w:lastRenderedPageBreak/>
              <w:t>Number</w:t>
            </w:r>
          </w:p>
        </w:tc>
        <w:tc>
          <w:tcPr>
            <w:tcW w:w="2334" w:type="dxa"/>
          </w:tcPr>
          <w:p w14:paraId="32850B27" w14:textId="77777777" w:rsidR="00120EB6" w:rsidRPr="00D945BD" w:rsidRDefault="00120EB6" w:rsidP="00D945BD">
            <w:pPr>
              <w:rPr>
                <w:b/>
                <w:bCs/>
                <w:lang w:val="en-US"/>
              </w:rPr>
            </w:pPr>
            <w:r w:rsidRPr="00D945BD">
              <w:rPr>
                <w:b/>
                <w:bCs/>
                <w:lang w:val="en-US"/>
              </w:rPr>
              <w:t xml:space="preserve">Action </w:t>
            </w:r>
          </w:p>
        </w:tc>
        <w:tc>
          <w:tcPr>
            <w:tcW w:w="1256" w:type="dxa"/>
          </w:tcPr>
          <w:p w14:paraId="3509A76B" w14:textId="77777777" w:rsidR="00120EB6" w:rsidRPr="00D945BD" w:rsidRDefault="00120EB6" w:rsidP="00D945BD">
            <w:pPr>
              <w:rPr>
                <w:b/>
                <w:bCs/>
                <w:lang w:val="en-US"/>
              </w:rPr>
            </w:pPr>
            <w:r w:rsidRPr="00D945BD">
              <w:rPr>
                <w:b/>
                <w:bCs/>
                <w:lang w:val="en-US"/>
              </w:rPr>
              <w:t>Delivery date</w:t>
            </w:r>
          </w:p>
        </w:tc>
        <w:tc>
          <w:tcPr>
            <w:tcW w:w="1262" w:type="dxa"/>
          </w:tcPr>
          <w:p w14:paraId="4E687BF4" w14:textId="77777777" w:rsidR="00120EB6" w:rsidRPr="00D945BD" w:rsidRDefault="00120EB6" w:rsidP="00D945BD">
            <w:pPr>
              <w:rPr>
                <w:b/>
                <w:bCs/>
                <w:lang w:val="en-US"/>
              </w:rPr>
            </w:pPr>
            <w:r w:rsidRPr="00D945BD">
              <w:rPr>
                <w:b/>
                <w:bCs/>
                <w:lang w:val="en-US"/>
              </w:rPr>
              <w:t xml:space="preserve">Leads </w:t>
            </w:r>
          </w:p>
        </w:tc>
        <w:tc>
          <w:tcPr>
            <w:tcW w:w="1654" w:type="dxa"/>
          </w:tcPr>
          <w:p w14:paraId="19680F71" w14:textId="77777777" w:rsidR="00120EB6" w:rsidRPr="00D945BD" w:rsidRDefault="00120EB6" w:rsidP="00D945BD">
            <w:pPr>
              <w:rPr>
                <w:b/>
                <w:bCs/>
                <w:lang w:val="en-US"/>
              </w:rPr>
            </w:pPr>
            <w:r w:rsidRPr="00D945BD">
              <w:rPr>
                <w:b/>
                <w:bCs/>
                <w:lang w:val="en-US"/>
              </w:rPr>
              <w:t>Partners</w:t>
            </w:r>
          </w:p>
        </w:tc>
        <w:tc>
          <w:tcPr>
            <w:tcW w:w="1559" w:type="dxa"/>
          </w:tcPr>
          <w:p w14:paraId="482526AF" w14:textId="77777777" w:rsidR="00120EB6" w:rsidRPr="00D945BD" w:rsidRDefault="00120EB6" w:rsidP="00D945BD">
            <w:pPr>
              <w:rPr>
                <w:b/>
                <w:bCs/>
                <w:lang w:val="en-US"/>
              </w:rPr>
            </w:pPr>
            <w:r w:rsidRPr="00D945BD">
              <w:rPr>
                <w:b/>
                <w:bCs/>
                <w:lang w:val="en-US"/>
              </w:rPr>
              <w:t>The Strategy’s strategic directions</w:t>
            </w:r>
          </w:p>
        </w:tc>
      </w:tr>
      <w:tr w:rsidR="0011703E" w:rsidRPr="00120EB6" w14:paraId="1838A803" w14:textId="77777777" w:rsidTr="0011703E">
        <w:trPr>
          <w:trHeight w:val="1997"/>
        </w:trPr>
        <w:tc>
          <w:tcPr>
            <w:tcW w:w="1002" w:type="dxa"/>
          </w:tcPr>
          <w:p w14:paraId="338CD7D5" w14:textId="77777777" w:rsidR="0011703E" w:rsidRPr="00D945BD" w:rsidRDefault="0011703E" w:rsidP="00D945BD">
            <w:pPr>
              <w:rPr>
                <w:b/>
                <w:bCs/>
                <w:lang w:val="en-US"/>
              </w:rPr>
            </w:pPr>
            <w:r w:rsidRPr="00D945BD">
              <w:rPr>
                <w:b/>
                <w:bCs/>
                <w:lang w:val="en-US"/>
              </w:rPr>
              <w:t>2.a</w:t>
            </w:r>
          </w:p>
        </w:tc>
        <w:tc>
          <w:tcPr>
            <w:tcW w:w="2334" w:type="dxa"/>
          </w:tcPr>
          <w:p w14:paraId="3D40DDAC" w14:textId="77777777" w:rsidR="0011703E" w:rsidRPr="00120EB6" w:rsidRDefault="0011703E" w:rsidP="00D945BD">
            <w:pPr>
              <w:rPr>
                <w:lang w:val="en-US"/>
              </w:rPr>
            </w:pPr>
            <w:r w:rsidRPr="00120EB6">
              <w:rPr>
                <w:lang w:val="en-US"/>
              </w:rPr>
              <w:t>In collaboration with the water sector and other bushfire agencies, develop and implement resilience improvement initiatives that will enhance emergency risk identification, mitigation, response and recovery capability, to minimise disruption of essential water and wastewater services to Victorian communities during and after a bushfire event</w:t>
            </w:r>
          </w:p>
        </w:tc>
        <w:tc>
          <w:tcPr>
            <w:tcW w:w="1256" w:type="dxa"/>
          </w:tcPr>
          <w:p w14:paraId="7C84DA69" w14:textId="77777777" w:rsidR="0011703E" w:rsidRPr="00120EB6" w:rsidRDefault="0011703E" w:rsidP="00D945BD">
            <w:pPr>
              <w:rPr>
                <w:lang w:val="en-US"/>
              </w:rPr>
            </w:pPr>
            <w:r w:rsidRPr="00120EB6">
              <w:rPr>
                <w:lang w:val="en-US"/>
              </w:rPr>
              <w:t>June 2024</w:t>
            </w:r>
          </w:p>
        </w:tc>
        <w:tc>
          <w:tcPr>
            <w:tcW w:w="1262" w:type="dxa"/>
          </w:tcPr>
          <w:p w14:paraId="0FBBE090" w14:textId="77777777" w:rsidR="0011703E" w:rsidRPr="00120EB6" w:rsidRDefault="0011703E" w:rsidP="00D945BD">
            <w:pPr>
              <w:rPr>
                <w:lang w:val="en-US"/>
              </w:rPr>
            </w:pPr>
            <w:r w:rsidRPr="00120EB6">
              <w:rPr>
                <w:lang w:val="en-US"/>
              </w:rPr>
              <w:t>DEECA</w:t>
            </w:r>
          </w:p>
        </w:tc>
        <w:tc>
          <w:tcPr>
            <w:tcW w:w="1654" w:type="dxa"/>
          </w:tcPr>
          <w:p w14:paraId="4FC84865" w14:textId="77777777" w:rsidR="0011703E" w:rsidRPr="00120EB6" w:rsidRDefault="0011703E" w:rsidP="00D945BD">
            <w:pPr>
              <w:rPr>
                <w:lang w:val="en-US"/>
              </w:rPr>
            </w:pPr>
            <w:r w:rsidRPr="00120EB6">
              <w:rPr>
                <w:lang w:val="en-US"/>
              </w:rPr>
              <w:t>Melbourne Water</w:t>
            </w:r>
          </w:p>
          <w:p w14:paraId="5533460B" w14:textId="77777777" w:rsidR="0011703E" w:rsidRPr="00120EB6" w:rsidRDefault="0011703E" w:rsidP="00D945BD">
            <w:pPr>
              <w:rPr>
                <w:lang w:val="en-US"/>
              </w:rPr>
            </w:pPr>
            <w:r w:rsidRPr="00120EB6">
              <w:rPr>
                <w:lang w:val="en-US"/>
              </w:rPr>
              <w:t>Parks Victoria</w:t>
            </w:r>
          </w:p>
          <w:p w14:paraId="25D62FEC" w14:textId="518E2521" w:rsidR="0011703E" w:rsidRPr="00120EB6" w:rsidRDefault="0011703E" w:rsidP="00D945BD">
            <w:pPr>
              <w:rPr>
                <w:lang w:val="en-US"/>
              </w:rPr>
            </w:pPr>
            <w:r w:rsidRPr="00120EB6">
              <w:rPr>
                <w:lang w:val="en-US"/>
              </w:rPr>
              <w:t>CFA</w:t>
            </w:r>
          </w:p>
        </w:tc>
        <w:tc>
          <w:tcPr>
            <w:tcW w:w="1559" w:type="dxa"/>
          </w:tcPr>
          <w:p w14:paraId="24F938AB" w14:textId="77777777" w:rsidR="0011703E" w:rsidRPr="00120EB6" w:rsidRDefault="0011703E" w:rsidP="00D945BD">
            <w:pPr>
              <w:rPr>
                <w:lang w:val="en-US"/>
              </w:rPr>
            </w:pPr>
            <w:r w:rsidRPr="00120EB6">
              <w:rPr>
                <w:lang w:val="en-US"/>
              </w:rPr>
              <w:t>2.1</w:t>
            </w:r>
          </w:p>
          <w:p w14:paraId="07FFB9FD" w14:textId="77777777" w:rsidR="0011703E" w:rsidRPr="00120EB6" w:rsidRDefault="0011703E" w:rsidP="00D945BD">
            <w:pPr>
              <w:rPr>
                <w:lang w:val="en-US"/>
              </w:rPr>
            </w:pPr>
            <w:r w:rsidRPr="00120EB6">
              <w:rPr>
                <w:lang w:val="en-US"/>
              </w:rPr>
              <w:t>2.3</w:t>
            </w:r>
          </w:p>
          <w:p w14:paraId="788EC56C" w14:textId="77777777" w:rsidR="0011703E" w:rsidRPr="00120EB6" w:rsidRDefault="0011703E" w:rsidP="00D945BD">
            <w:pPr>
              <w:rPr>
                <w:lang w:val="en-US"/>
              </w:rPr>
            </w:pPr>
            <w:r w:rsidRPr="00120EB6">
              <w:rPr>
                <w:lang w:val="en-US"/>
              </w:rPr>
              <w:t>2.4</w:t>
            </w:r>
          </w:p>
        </w:tc>
      </w:tr>
      <w:tr w:rsidR="0011703E" w:rsidRPr="00120EB6" w14:paraId="2F0EFBF4" w14:textId="77777777" w:rsidTr="0011703E">
        <w:trPr>
          <w:trHeight w:val="60"/>
        </w:trPr>
        <w:tc>
          <w:tcPr>
            <w:tcW w:w="1002" w:type="dxa"/>
          </w:tcPr>
          <w:p w14:paraId="50924498" w14:textId="77777777" w:rsidR="0011703E" w:rsidRPr="00D945BD" w:rsidRDefault="0011703E" w:rsidP="00D945BD">
            <w:pPr>
              <w:rPr>
                <w:b/>
                <w:bCs/>
                <w:lang w:val="en-US"/>
              </w:rPr>
            </w:pPr>
            <w:r w:rsidRPr="00D945BD">
              <w:rPr>
                <w:b/>
                <w:bCs/>
                <w:lang w:val="en-US"/>
              </w:rPr>
              <w:t>2.b</w:t>
            </w:r>
          </w:p>
        </w:tc>
        <w:tc>
          <w:tcPr>
            <w:tcW w:w="2334" w:type="dxa"/>
          </w:tcPr>
          <w:p w14:paraId="165E5C54" w14:textId="77777777" w:rsidR="0011703E" w:rsidRPr="00120EB6" w:rsidRDefault="0011703E" w:rsidP="00D945BD">
            <w:pPr>
              <w:rPr>
                <w:lang w:val="en-US"/>
              </w:rPr>
            </w:pPr>
            <w:r w:rsidRPr="00120EB6">
              <w:rPr>
                <w:lang w:val="en-US"/>
              </w:rPr>
              <w:t>Enhance climate-related hazard and bushfire risk assessment capabilities to inform water infrastructure planning, design and investment decisions</w:t>
            </w:r>
          </w:p>
        </w:tc>
        <w:tc>
          <w:tcPr>
            <w:tcW w:w="1256" w:type="dxa"/>
          </w:tcPr>
          <w:p w14:paraId="3D08C594" w14:textId="77777777" w:rsidR="0011703E" w:rsidRPr="00120EB6" w:rsidRDefault="0011703E" w:rsidP="00D945BD">
            <w:pPr>
              <w:rPr>
                <w:lang w:val="en-US"/>
              </w:rPr>
            </w:pPr>
            <w:r w:rsidRPr="00120EB6">
              <w:rPr>
                <w:lang w:val="en-US"/>
              </w:rPr>
              <w:t>December 2026</w:t>
            </w:r>
          </w:p>
        </w:tc>
        <w:tc>
          <w:tcPr>
            <w:tcW w:w="1262" w:type="dxa"/>
          </w:tcPr>
          <w:p w14:paraId="1490880C" w14:textId="77777777" w:rsidR="0011703E" w:rsidRPr="00120EB6" w:rsidRDefault="0011703E" w:rsidP="00D945BD">
            <w:pPr>
              <w:rPr>
                <w:lang w:val="en-US"/>
              </w:rPr>
            </w:pPr>
          </w:p>
          <w:p w14:paraId="07C00091" w14:textId="77777777" w:rsidR="0011703E" w:rsidRPr="00120EB6" w:rsidRDefault="0011703E" w:rsidP="00D945BD">
            <w:pPr>
              <w:rPr>
                <w:lang w:val="en-US"/>
              </w:rPr>
            </w:pPr>
            <w:r w:rsidRPr="00120EB6">
              <w:rPr>
                <w:lang w:val="en-US"/>
              </w:rPr>
              <w:t>DEECA</w:t>
            </w:r>
          </w:p>
        </w:tc>
        <w:tc>
          <w:tcPr>
            <w:tcW w:w="1654" w:type="dxa"/>
          </w:tcPr>
          <w:p w14:paraId="671911D0" w14:textId="4C5C8BF2" w:rsidR="0011703E" w:rsidRPr="00120EB6" w:rsidRDefault="0011703E" w:rsidP="00D945BD">
            <w:pPr>
              <w:rPr>
                <w:lang w:val="en-GB"/>
              </w:rPr>
            </w:pPr>
            <w:r w:rsidRPr="00120EB6">
              <w:rPr>
                <w:lang w:val="en-US"/>
              </w:rPr>
              <w:t>Water corporations</w:t>
            </w:r>
          </w:p>
        </w:tc>
        <w:tc>
          <w:tcPr>
            <w:tcW w:w="1559" w:type="dxa"/>
          </w:tcPr>
          <w:p w14:paraId="47CD55C4" w14:textId="77777777" w:rsidR="0011703E" w:rsidRPr="00120EB6" w:rsidRDefault="0011703E" w:rsidP="00D945BD">
            <w:pPr>
              <w:rPr>
                <w:lang w:val="en-US"/>
              </w:rPr>
            </w:pPr>
            <w:r w:rsidRPr="00120EB6">
              <w:rPr>
                <w:lang w:val="en-US"/>
              </w:rPr>
              <w:t>2.1</w:t>
            </w:r>
          </w:p>
          <w:p w14:paraId="2B602E0D" w14:textId="77777777" w:rsidR="0011703E" w:rsidRPr="00120EB6" w:rsidRDefault="0011703E" w:rsidP="00D945BD">
            <w:pPr>
              <w:rPr>
                <w:lang w:val="en-US"/>
              </w:rPr>
            </w:pPr>
            <w:r w:rsidRPr="00120EB6">
              <w:rPr>
                <w:lang w:val="en-US"/>
              </w:rPr>
              <w:t>2.3</w:t>
            </w:r>
          </w:p>
          <w:p w14:paraId="23D36724" w14:textId="77777777" w:rsidR="0011703E" w:rsidRPr="00120EB6" w:rsidRDefault="0011703E" w:rsidP="00D945BD">
            <w:pPr>
              <w:rPr>
                <w:lang w:val="en-US"/>
              </w:rPr>
            </w:pPr>
            <w:r w:rsidRPr="00120EB6">
              <w:rPr>
                <w:lang w:val="en-US"/>
              </w:rPr>
              <w:t>2.4</w:t>
            </w:r>
          </w:p>
          <w:p w14:paraId="00288F52" w14:textId="77777777" w:rsidR="0011703E" w:rsidRPr="00120EB6" w:rsidRDefault="0011703E" w:rsidP="00D945BD">
            <w:pPr>
              <w:rPr>
                <w:lang w:val="en-US"/>
              </w:rPr>
            </w:pPr>
            <w:r w:rsidRPr="00120EB6">
              <w:rPr>
                <w:lang w:val="en-US"/>
              </w:rPr>
              <w:t>5.1</w:t>
            </w:r>
          </w:p>
        </w:tc>
      </w:tr>
    </w:tbl>
    <w:p w14:paraId="6CE49E33" w14:textId="77777777" w:rsidR="00120EB6" w:rsidRPr="00120EB6" w:rsidRDefault="00120EB6" w:rsidP="00120EB6">
      <w:pPr>
        <w:spacing w:before="0" w:after="0"/>
        <w:rPr>
          <w:lang w:val="en-US"/>
        </w:rPr>
      </w:pPr>
    </w:p>
    <w:p w14:paraId="29E1D3CE" w14:textId="33A4E9C6" w:rsidR="00120EB6" w:rsidRPr="00120EB6" w:rsidRDefault="00120EB6" w:rsidP="009B11A5">
      <w:pPr>
        <w:pStyle w:val="Heading2"/>
        <w:numPr>
          <w:ilvl w:val="0"/>
          <w:numId w:val="4"/>
        </w:numPr>
        <w:rPr>
          <w:lang w:val="en-US"/>
        </w:rPr>
      </w:pPr>
      <w:bookmarkStart w:id="19" w:name="_Toc166682355"/>
      <w:r w:rsidRPr="00120EB6">
        <w:rPr>
          <w:lang w:val="en-US"/>
        </w:rPr>
        <w:lastRenderedPageBreak/>
        <w:t>Aboriginal self-determination in cultural fire and bushfire management</w:t>
      </w:r>
      <w:bookmarkEnd w:id="19"/>
    </w:p>
    <w:p w14:paraId="6766AE08" w14:textId="66A3AB54" w:rsidR="00120EB6" w:rsidRPr="00120EB6" w:rsidRDefault="00D945BD" w:rsidP="00D945BD">
      <w:pPr>
        <w:pStyle w:val="BlockText"/>
        <w:rPr>
          <w:lang w:val="en-US"/>
        </w:rPr>
      </w:pPr>
      <w:r w:rsidRPr="00120EB6">
        <w:rPr>
          <w:b/>
          <w:bCs/>
          <w:lang w:val="en-US"/>
        </w:rPr>
        <w:t>Outcome:</w:t>
      </w:r>
      <w:r w:rsidRPr="00120EB6">
        <w:rPr>
          <w:lang w:val="en-US"/>
        </w:rPr>
        <w:t xml:space="preserve"> The sector supports and enables self-determination of Traditional Owners and Aboriginal Victorians in land and bushfire management.</w:t>
      </w:r>
    </w:p>
    <w:p w14:paraId="556567F4" w14:textId="77777777" w:rsidR="00120EB6" w:rsidRPr="00120EB6" w:rsidRDefault="00120EB6" w:rsidP="00D945BD">
      <w:pPr>
        <w:rPr>
          <w:lang w:val="en-US"/>
        </w:rPr>
      </w:pPr>
      <w:r w:rsidRPr="00120EB6">
        <w:rPr>
          <w:lang w:val="en-US"/>
        </w:rPr>
        <w:t>Meaningfully delivering on the Victorian Government’s commitment to advance Aboriginal self-determination includes providing Traditional Owners with access and authority to manage Country using cultural land management tools, including cultural fire.</w:t>
      </w:r>
    </w:p>
    <w:p w14:paraId="2E51E537" w14:textId="77777777" w:rsidR="00120EB6" w:rsidRPr="00120EB6" w:rsidRDefault="00120EB6" w:rsidP="00D945BD">
      <w:pPr>
        <w:rPr>
          <w:lang w:val="en-US"/>
        </w:rPr>
      </w:pPr>
      <w:r w:rsidRPr="00120EB6">
        <w:rPr>
          <w:lang w:val="en-US"/>
        </w:rPr>
        <w:t>The Victorian Traditional Owner Cultural Fire Strategy articulates a long-term vision for reinvigorating cultural fire on Country and outlines 4 specific objectives. The Strategy recognises and supports these objectives, as well as adding a fifth strategic direction acknowledging that some Traditional Owners seek a greater role in areas of bushfire management that are of interest to them.</w:t>
      </w:r>
    </w:p>
    <w:p w14:paraId="16D34633" w14:textId="77777777" w:rsidR="00120EB6" w:rsidRPr="00120EB6" w:rsidRDefault="00120EB6" w:rsidP="00D945BD">
      <w:pPr>
        <w:rPr>
          <w:lang w:val="en-US"/>
        </w:rPr>
      </w:pPr>
      <w:r w:rsidRPr="00120EB6">
        <w:rPr>
          <w:lang w:val="en-US"/>
        </w:rPr>
        <w:t>The sector is already working to remove barriers to Traditional Owner-led land and fire management in Victoria, but there is more that can be done. Actions outlined in this domain will be undertaken in close partnership with Victorian Traditional Owners to enact state-level reform, as well as to support Traditional Owner’s objectives for cultural fire and management of Country. These actions include removing legislative barriers to cultural fire management, delivering operational and governance support and delivery of the Cultural Fire Grants Program.</w:t>
      </w:r>
    </w:p>
    <w:tbl>
      <w:tblPr>
        <w:tblStyle w:val="TableGrid"/>
        <w:tblW w:w="8926" w:type="dxa"/>
        <w:tblLayout w:type="fixed"/>
        <w:tblLook w:val="0020" w:firstRow="1" w:lastRow="0" w:firstColumn="0" w:lastColumn="0" w:noHBand="0" w:noVBand="0"/>
      </w:tblPr>
      <w:tblGrid>
        <w:gridCol w:w="1002"/>
        <w:gridCol w:w="2112"/>
        <w:gridCol w:w="1701"/>
        <w:gridCol w:w="992"/>
        <w:gridCol w:w="1701"/>
        <w:gridCol w:w="1418"/>
      </w:tblGrid>
      <w:tr w:rsidR="00D945BD" w:rsidRPr="00D945BD" w14:paraId="34995053" w14:textId="77777777" w:rsidTr="0011703E">
        <w:trPr>
          <w:cantSplit/>
          <w:trHeight w:val="1125"/>
          <w:tblHeader/>
        </w:trPr>
        <w:tc>
          <w:tcPr>
            <w:tcW w:w="1002" w:type="dxa"/>
          </w:tcPr>
          <w:p w14:paraId="4238D67D" w14:textId="77777777" w:rsidR="00120EB6" w:rsidRPr="00D945BD" w:rsidRDefault="00120EB6" w:rsidP="00D945BD">
            <w:pPr>
              <w:rPr>
                <w:b/>
                <w:bCs/>
                <w:lang w:val="en-US"/>
              </w:rPr>
            </w:pPr>
            <w:r w:rsidRPr="00D945BD">
              <w:rPr>
                <w:b/>
                <w:bCs/>
                <w:lang w:val="en-US"/>
              </w:rPr>
              <w:t>Number</w:t>
            </w:r>
          </w:p>
        </w:tc>
        <w:tc>
          <w:tcPr>
            <w:tcW w:w="2112" w:type="dxa"/>
          </w:tcPr>
          <w:p w14:paraId="19894996" w14:textId="77777777" w:rsidR="00120EB6" w:rsidRPr="00D945BD" w:rsidRDefault="00120EB6" w:rsidP="00D945BD">
            <w:pPr>
              <w:rPr>
                <w:b/>
                <w:bCs/>
                <w:lang w:val="en-US"/>
              </w:rPr>
            </w:pPr>
            <w:r w:rsidRPr="00D945BD">
              <w:rPr>
                <w:b/>
                <w:bCs/>
                <w:lang w:val="en-US"/>
              </w:rPr>
              <w:t xml:space="preserve">Action </w:t>
            </w:r>
          </w:p>
        </w:tc>
        <w:tc>
          <w:tcPr>
            <w:tcW w:w="1701" w:type="dxa"/>
          </w:tcPr>
          <w:p w14:paraId="42D8C09B" w14:textId="77777777" w:rsidR="00120EB6" w:rsidRPr="00D945BD" w:rsidRDefault="00120EB6" w:rsidP="00D945BD">
            <w:pPr>
              <w:rPr>
                <w:b/>
                <w:bCs/>
                <w:lang w:val="en-US"/>
              </w:rPr>
            </w:pPr>
            <w:r w:rsidRPr="00D945BD">
              <w:rPr>
                <w:b/>
                <w:bCs/>
                <w:lang w:val="en-US"/>
              </w:rPr>
              <w:t>Delivery date</w:t>
            </w:r>
          </w:p>
        </w:tc>
        <w:tc>
          <w:tcPr>
            <w:tcW w:w="992" w:type="dxa"/>
          </w:tcPr>
          <w:p w14:paraId="1061CE3B" w14:textId="77777777" w:rsidR="00120EB6" w:rsidRPr="00D945BD" w:rsidRDefault="00120EB6" w:rsidP="00D945BD">
            <w:pPr>
              <w:rPr>
                <w:b/>
                <w:bCs/>
                <w:lang w:val="en-US"/>
              </w:rPr>
            </w:pPr>
            <w:r w:rsidRPr="00D945BD">
              <w:rPr>
                <w:b/>
                <w:bCs/>
                <w:lang w:val="en-US"/>
              </w:rPr>
              <w:t xml:space="preserve">Leads </w:t>
            </w:r>
          </w:p>
        </w:tc>
        <w:tc>
          <w:tcPr>
            <w:tcW w:w="1701" w:type="dxa"/>
          </w:tcPr>
          <w:p w14:paraId="133171B2" w14:textId="77777777" w:rsidR="00120EB6" w:rsidRPr="00D945BD" w:rsidRDefault="00120EB6" w:rsidP="00D945BD">
            <w:pPr>
              <w:rPr>
                <w:b/>
                <w:bCs/>
                <w:lang w:val="en-US"/>
              </w:rPr>
            </w:pPr>
            <w:r w:rsidRPr="00D945BD">
              <w:rPr>
                <w:b/>
                <w:bCs/>
                <w:lang w:val="en-US"/>
              </w:rPr>
              <w:t>Partners</w:t>
            </w:r>
          </w:p>
        </w:tc>
        <w:tc>
          <w:tcPr>
            <w:tcW w:w="1418" w:type="dxa"/>
          </w:tcPr>
          <w:p w14:paraId="6AE37F58" w14:textId="77777777" w:rsidR="00120EB6" w:rsidRPr="00D945BD" w:rsidRDefault="00120EB6" w:rsidP="00D945BD">
            <w:pPr>
              <w:rPr>
                <w:b/>
                <w:bCs/>
                <w:lang w:val="en-US"/>
              </w:rPr>
            </w:pPr>
            <w:r w:rsidRPr="00D945BD">
              <w:rPr>
                <w:b/>
                <w:bCs/>
                <w:lang w:val="en-US"/>
              </w:rPr>
              <w:t>The Strategy’s strategic directions</w:t>
            </w:r>
          </w:p>
        </w:tc>
      </w:tr>
      <w:tr w:rsidR="0011703E" w:rsidRPr="00120EB6" w14:paraId="21DB81DE" w14:textId="77777777" w:rsidTr="0011703E">
        <w:trPr>
          <w:trHeight w:val="1997"/>
        </w:trPr>
        <w:tc>
          <w:tcPr>
            <w:tcW w:w="1002" w:type="dxa"/>
          </w:tcPr>
          <w:p w14:paraId="78AB55A4" w14:textId="77777777" w:rsidR="0011703E" w:rsidRPr="00D945BD" w:rsidRDefault="0011703E" w:rsidP="00D945BD">
            <w:pPr>
              <w:rPr>
                <w:b/>
                <w:bCs/>
                <w:lang w:val="en-US"/>
              </w:rPr>
            </w:pPr>
            <w:r w:rsidRPr="00D945BD">
              <w:rPr>
                <w:b/>
                <w:bCs/>
                <w:lang w:val="en-US"/>
              </w:rPr>
              <w:t>3.a</w:t>
            </w:r>
          </w:p>
        </w:tc>
        <w:tc>
          <w:tcPr>
            <w:tcW w:w="2112" w:type="dxa"/>
          </w:tcPr>
          <w:p w14:paraId="60017E72" w14:textId="77777777" w:rsidR="0011703E" w:rsidRPr="00120EB6" w:rsidRDefault="0011703E" w:rsidP="00D945BD">
            <w:pPr>
              <w:rPr>
                <w:lang w:val="en-US"/>
              </w:rPr>
            </w:pPr>
            <w:r w:rsidRPr="00120EB6">
              <w:rPr>
                <w:lang w:val="en-US"/>
              </w:rPr>
              <w:t>Undertake a review to identify and make recommendations regarding legislative barriers to cultural fire management on public land, in partnership with Traditional Owners</w:t>
            </w:r>
          </w:p>
        </w:tc>
        <w:tc>
          <w:tcPr>
            <w:tcW w:w="1701" w:type="dxa"/>
          </w:tcPr>
          <w:p w14:paraId="345CBDA5" w14:textId="77777777" w:rsidR="0011703E" w:rsidRPr="00120EB6" w:rsidRDefault="0011703E" w:rsidP="00D945BD">
            <w:pPr>
              <w:rPr>
                <w:lang w:val="en-US"/>
              </w:rPr>
            </w:pPr>
            <w:r w:rsidRPr="00120EB6">
              <w:rPr>
                <w:lang w:val="en-US"/>
              </w:rPr>
              <w:t>Timeline for delivery to be determined in partnership with Traditional Owners</w:t>
            </w:r>
          </w:p>
        </w:tc>
        <w:tc>
          <w:tcPr>
            <w:tcW w:w="992" w:type="dxa"/>
          </w:tcPr>
          <w:p w14:paraId="64E441CC" w14:textId="77777777" w:rsidR="0011703E" w:rsidRPr="00120EB6" w:rsidRDefault="0011703E" w:rsidP="00D945BD">
            <w:pPr>
              <w:rPr>
                <w:lang w:val="en-US"/>
              </w:rPr>
            </w:pPr>
            <w:r w:rsidRPr="00120EB6">
              <w:rPr>
                <w:lang w:val="en-US"/>
              </w:rPr>
              <w:t>DEECA</w:t>
            </w:r>
          </w:p>
        </w:tc>
        <w:tc>
          <w:tcPr>
            <w:tcW w:w="1701" w:type="dxa"/>
          </w:tcPr>
          <w:p w14:paraId="0E393D37" w14:textId="77777777" w:rsidR="0011703E" w:rsidRPr="00120EB6" w:rsidRDefault="0011703E" w:rsidP="00D945BD">
            <w:pPr>
              <w:rPr>
                <w:lang w:val="en-US"/>
              </w:rPr>
            </w:pPr>
            <w:r w:rsidRPr="00120EB6">
              <w:rPr>
                <w:lang w:val="en-US"/>
              </w:rPr>
              <w:t xml:space="preserve">Traditional Owners </w:t>
            </w:r>
          </w:p>
          <w:p w14:paraId="7E9EFEFB" w14:textId="77777777" w:rsidR="0011703E" w:rsidRPr="00120EB6" w:rsidRDefault="0011703E" w:rsidP="00D945BD">
            <w:pPr>
              <w:rPr>
                <w:lang w:val="en-US"/>
              </w:rPr>
            </w:pPr>
            <w:r w:rsidRPr="00120EB6">
              <w:rPr>
                <w:lang w:val="en-US"/>
              </w:rPr>
              <w:t>Councils</w:t>
            </w:r>
          </w:p>
          <w:p w14:paraId="73EFA917" w14:textId="44EE2219" w:rsidR="0011703E" w:rsidRPr="00120EB6" w:rsidRDefault="0011703E" w:rsidP="00D945BD">
            <w:pPr>
              <w:rPr>
                <w:lang w:val="en-US"/>
              </w:rPr>
            </w:pPr>
            <w:r w:rsidRPr="00120EB6">
              <w:rPr>
                <w:lang w:val="en-US"/>
              </w:rPr>
              <w:t>Parks Victoria</w:t>
            </w:r>
          </w:p>
        </w:tc>
        <w:tc>
          <w:tcPr>
            <w:tcW w:w="1418" w:type="dxa"/>
          </w:tcPr>
          <w:p w14:paraId="4C36C3B4" w14:textId="77777777" w:rsidR="0011703E" w:rsidRPr="00120EB6" w:rsidRDefault="0011703E" w:rsidP="00D945BD">
            <w:pPr>
              <w:rPr>
                <w:lang w:val="en-US"/>
              </w:rPr>
            </w:pPr>
            <w:r w:rsidRPr="00120EB6">
              <w:rPr>
                <w:lang w:val="en-US"/>
              </w:rPr>
              <w:t>3.1</w:t>
            </w:r>
          </w:p>
          <w:p w14:paraId="6BFE9D0A" w14:textId="77777777" w:rsidR="0011703E" w:rsidRPr="00120EB6" w:rsidRDefault="0011703E" w:rsidP="00D945BD">
            <w:pPr>
              <w:rPr>
                <w:lang w:val="en-US"/>
              </w:rPr>
            </w:pPr>
            <w:r w:rsidRPr="00120EB6">
              <w:rPr>
                <w:lang w:val="en-US"/>
              </w:rPr>
              <w:t>3.4</w:t>
            </w:r>
          </w:p>
        </w:tc>
      </w:tr>
      <w:tr w:rsidR="0011703E" w:rsidRPr="00120EB6" w14:paraId="648CE798" w14:textId="77777777" w:rsidTr="00AF11B8">
        <w:trPr>
          <w:trHeight w:val="60"/>
        </w:trPr>
        <w:tc>
          <w:tcPr>
            <w:tcW w:w="1002" w:type="dxa"/>
          </w:tcPr>
          <w:p w14:paraId="7D11F796" w14:textId="77777777" w:rsidR="0011703E" w:rsidRPr="00D945BD" w:rsidRDefault="0011703E" w:rsidP="00D945BD">
            <w:pPr>
              <w:rPr>
                <w:b/>
                <w:bCs/>
                <w:lang w:val="en-US"/>
              </w:rPr>
            </w:pPr>
            <w:r w:rsidRPr="00D945BD">
              <w:rPr>
                <w:b/>
                <w:bCs/>
                <w:lang w:val="en-US"/>
              </w:rPr>
              <w:lastRenderedPageBreak/>
              <w:t>3.b</w:t>
            </w:r>
          </w:p>
        </w:tc>
        <w:tc>
          <w:tcPr>
            <w:tcW w:w="2112" w:type="dxa"/>
          </w:tcPr>
          <w:p w14:paraId="355442CF" w14:textId="77777777" w:rsidR="0011703E" w:rsidRPr="00120EB6" w:rsidRDefault="0011703E" w:rsidP="00D945BD">
            <w:pPr>
              <w:rPr>
                <w:lang w:val="en-US"/>
              </w:rPr>
            </w:pPr>
            <w:r w:rsidRPr="00120EB6">
              <w:rPr>
                <w:lang w:val="en-US"/>
              </w:rPr>
              <w:t>Provide operational support to Traditional Owner groups seeking to nominate, plan and gain approvals to deliver cultural burns on Country</w:t>
            </w:r>
          </w:p>
        </w:tc>
        <w:tc>
          <w:tcPr>
            <w:tcW w:w="1701" w:type="dxa"/>
          </w:tcPr>
          <w:p w14:paraId="7C93C8DA" w14:textId="77777777" w:rsidR="0011703E" w:rsidRPr="00120EB6" w:rsidRDefault="0011703E" w:rsidP="00D945BD">
            <w:pPr>
              <w:rPr>
                <w:lang w:val="en-US"/>
              </w:rPr>
            </w:pPr>
            <w:r w:rsidRPr="00120EB6">
              <w:rPr>
                <w:lang w:val="en-US"/>
              </w:rPr>
              <w:t>June 2025</w:t>
            </w:r>
          </w:p>
        </w:tc>
        <w:tc>
          <w:tcPr>
            <w:tcW w:w="992" w:type="dxa"/>
          </w:tcPr>
          <w:p w14:paraId="4C8D423D" w14:textId="77777777" w:rsidR="0011703E" w:rsidRPr="00120EB6" w:rsidRDefault="0011703E" w:rsidP="00D945BD">
            <w:pPr>
              <w:rPr>
                <w:lang w:val="en-US"/>
              </w:rPr>
            </w:pPr>
            <w:r w:rsidRPr="00120EB6">
              <w:rPr>
                <w:lang w:val="en-US"/>
              </w:rPr>
              <w:t>DEECA</w:t>
            </w:r>
          </w:p>
        </w:tc>
        <w:tc>
          <w:tcPr>
            <w:tcW w:w="1701" w:type="dxa"/>
          </w:tcPr>
          <w:p w14:paraId="59805CBD" w14:textId="799C08DA" w:rsidR="0011703E" w:rsidRPr="00120EB6" w:rsidRDefault="0011703E" w:rsidP="00D945BD">
            <w:pPr>
              <w:rPr>
                <w:lang w:val="en-GB"/>
              </w:rPr>
            </w:pPr>
            <w:r w:rsidRPr="00120EB6">
              <w:rPr>
                <w:lang w:val="en-US"/>
              </w:rPr>
              <w:t>Parks Victoria</w:t>
            </w:r>
          </w:p>
        </w:tc>
        <w:tc>
          <w:tcPr>
            <w:tcW w:w="1418" w:type="dxa"/>
          </w:tcPr>
          <w:p w14:paraId="2C72A1F1" w14:textId="77777777" w:rsidR="0011703E" w:rsidRPr="00120EB6" w:rsidRDefault="0011703E" w:rsidP="00D945BD">
            <w:pPr>
              <w:rPr>
                <w:lang w:val="en-US"/>
              </w:rPr>
            </w:pPr>
            <w:r w:rsidRPr="00120EB6">
              <w:rPr>
                <w:lang w:val="en-US"/>
              </w:rPr>
              <w:t>3.1</w:t>
            </w:r>
          </w:p>
          <w:p w14:paraId="44BB67E0" w14:textId="77777777" w:rsidR="0011703E" w:rsidRPr="00120EB6" w:rsidRDefault="0011703E" w:rsidP="00D945BD">
            <w:pPr>
              <w:rPr>
                <w:lang w:val="en-US"/>
              </w:rPr>
            </w:pPr>
            <w:r w:rsidRPr="00120EB6">
              <w:rPr>
                <w:lang w:val="en-US"/>
              </w:rPr>
              <w:t>3.5</w:t>
            </w:r>
          </w:p>
        </w:tc>
      </w:tr>
      <w:tr w:rsidR="0011703E" w:rsidRPr="00120EB6" w14:paraId="0BCF0B7A" w14:textId="77777777" w:rsidTr="000F57A0">
        <w:trPr>
          <w:trHeight w:val="60"/>
        </w:trPr>
        <w:tc>
          <w:tcPr>
            <w:tcW w:w="1002" w:type="dxa"/>
          </w:tcPr>
          <w:p w14:paraId="0C9DAFA7" w14:textId="77777777" w:rsidR="0011703E" w:rsidRPr="00D945BD" w:rsidRDefault="0011703E" w:rsidP="00D945BD">
            <w:pPr>
              <w:rPr>
                <w:b/>
                <w:bCs/>
                <w:lang w:val="en-US"/>
              </w:rPr>
            </w:pPr>
            <w:r w:rsidRPr="00D945BD">
              <w:rPr>
                <w:b/>
                <w:bCs/>
                <w:lang w:val="en-US"/>
              </w:rPr>
              <w:t>3.c</w:t>
            </w:r>
          </w:p>
        </w:tc>
        <w:tc>
          <w:tcPr>
            <w:tcW w:w="2112" w:type="dxa"/>
          </w:tcPr>
          <w:p w14:paraId="18684FB2" w14:textId="77777777" w:rsidR="0011703E" w:rsidRPr="00120EB6" w:rsidRDefault="0011703E" w:rsidP="00D945BD">
            <w:pPr>
              <w:rPr>
                <w:lang w:val="en-US"/>
              </w:rPr>
            </w:pPr>
            <w:r w:rsidRPr="00120EB6">
              <w:rPr>
                <w:lang w:val="en-US"/>
              </w:rPr>
              <w:t>Deliver the Cultural Fire Grants Program to support Traditional Owner groups to implement their cultural fire management priorities</w:t>
            </w:r>
          </w:p>
        </w:tc>
        <w:tc>
          <w:tcPr>
            <w:tcW w:w="1701" w:type="dxa"/>
          </w:tcPr>
          <w:p w14:paraId="74C611B7" w14:textId="77777777" w:rsidR="0011703E" w:rsidRPr="00120EB6" w:rsidRDefault="0011703E" w:rsidP="00D945BD">
            <w:pPr>
              <w:rPr>
                <w:lang w:val="en-US"/>
              </w:rPr>
            </w:pPr>
            <w:r w:rsidRPr="00120EB6">
              <w:rPr>
                <w:lang w:val="en-US"/>
              </w:rPr>
              <w:t>June 2024</w:t>
            </w:r>
          </w:p>
        </w:tc>
        <w:tc>
          <w:tcPr>
            <w:tcW w:w="992" w:type="dxa"/>
          </w:tcPr>
          <w:p w14:paraId="6DA28034" w14:textId="77777777" w:rsidR="0011703E" w:rsidRPr="00120EB6" w:rsidRDefault="0011703E" w:rsidP="00D945BD">
            <w:pPr>
              <w:rPr>
                <w:lang w:val="en-US"/>
              </w:rPr>
            </w:pPr>
            <w:r w:rsidRPr="00120EB6">
              <w:rPr>
                <w:lang w:val="en-US"/>
              </w:rPr>
              <w:t>DEECA</w:t>
            </w:r>
          </w:p>
        </w:tc>
        <w:tc>
          <w:tcPr>
            <w:tcW w:w="1701" w:type="dxa"/>
          </w:tcPr>
          <w:p w14:paraId="1504A766" w14:textId="6CC62607" w:rsidR="0011703E" w:rsidRPr="00120EB6" w:rsidRDefault="0011703E" w:rsidP="00D945BD">
            <w:pPr>
              <w:rPr>
                <w:lang w:val="en-GB"/>
              </w:rPr>
            </w:pPr>
            <w:r w:rsidRPr="00120EB6">
              <w:rPr>
                <w:lang w:val="en-US"/>
              </w:rPr>
              <w:t>Parks Victoria</w:t>
            </w:r>
          </w:p>
        </w:tc>
        <w:tc>
          <w:tcPr>
            <w:tcW w:w="1418" w:type="dxa"/>
          </w:tcPr>
          <w:p w14:paraId="6E96B8D6" w14:textId="77777777" w:rsidR="0011703E" w:rsidRPr="00120EB6" w:rsidRDefault="0011703E" w:rsidP="00D945BD">
            <w:pPr>
              <w:rPr>
                <w:lang w:val="en-US"/>
              </w:rPr>
            </w:pPr>
            <w:r w:rsidRPr="00120EB6">
              <w:rPr>
                <w:lang w:val="en-US"/>
              </w:rPr>
              <w:t>3.1</w:t>
            </w:r>
          </w:p>
          <w:p w14:paraId="273DE035" w14:textId="77777777" w:rsidR="0011703E" w:rsidRPr="00120EB6" w:rsidRDefault="0011703E" w:rsidP="00D945BD">
            <w:pPr>
              <w:rPr>
                <w:lang w:val="en-US"/>
              </w:rPr>
            </w:pPr>
            <w:r w:rsidRPr="00120EB6">
              <w:rPr>
                <w:lang w:val="en-US"/>
              </w:rPr>
              <w:t>3.5</w:t>
            </w:r>
          </w:p>
        </w:tc>
      </w:tr>
      <w:tr w:rsidR="0011703E" w:rsidRPr="00120EB6" w14:paraId="49D7F8A9" w14:textId="77777777" w:rsidTr="00874380">
        <w:trPr>
          <w:trHeight w:val="60"/>
        </w:trPr>
        <w:tc>
          <w:tcPr>
            <w:tcW w:w="1002" w:type="dxa"/>
          </w:tcPr>
          <w:p w14:paraId="20F7FFF8" w14:textId="77777777" w:rsidR="0011703E" w:rsidRPr="00D945BD" w:rsidRDefault="0011703E" w:rsidP="00D945BD">
            <w:pPr>
              <w:rPr>
                <w:b/>
                <w:bCs/>
                <w:lang w:val="en-US"/>
              </w:rPr>
            </w:pPr>
            <w:r w:rsidRPr="00D945BD">
              <w:rPr>
                <w:b/>
                <w:bCs/>
                <w:lang w:val="en-US"/>
              </w:rPr>
              <w:t>3.d</w:t>
            </w:r>
          </w:p>
        </w:tc>
        <w:tc>
          <w:tcPr>
            <w:tcW w:w="2112" w:type="dxa"/>
          </w:tcPr>
          <w:p w14:paraId="65238CDB" w14:textId="77777777" w:rsidR="0011703E" w:rsidRPr="00120EB6" w:rsidRDefault="0011703E" w:rsidP="00D945BD">
            <w:pPr>
              <w:rPr>
                <w:lang w:val="en-US"/>
              </w:rPr>
            </w:pPr>
            <w:r w:rsidRPr="00120EB6">
              <w:rPr>
                <w:lang w:val="en-US"/>
              </w:rPr>
              <w:t>Partner with Traditional Owners to develop a preferred approach for ongoing distribution of cultural fire funding</w:t>
            </w:r>
          </w:p>
        </w:tc>
        <w:tc>
          <w:tcPr>
            <w:tcW w:w="1701" w:type="dxa"/>
          </w:tcPr>
          <w:p w14:paraId="1FDF9D81" w14:textId="77777777" w:rsidR="0011703E" w:rsidRPr="00120EB6" w:rsidRDefault="0011703E" w:rsidP="00D945BD">
            <w:pPr>
              <w:rPr>
                <w:lang w:val="en-US"/>
              </w:rPr>
            </w:pPr>
            <w:r w:rsidRPr="00120EB6">
              <w:rPr>
                <w:lang w:val="en-US"/>
              </w:rPr>
              <w:t xml:space="preserve">Timeline for delivery to be determined in partnership with Traditional Owners </w:t>
            </w:r>
          </w:p>
        </w:tc>
        <w:tc>
          <w:tcPr>
            <w:tcW w:w="992" w:type="dxa"/>
          </w:tcPr>
          <w:p w14:paraId="60AA1F93" w14:textId="77777777" w:rsidR="0011703E" w:rsidRPr="00120EB6" w:rsidRDefault="0011703E" w:rsidP="00D945BD">
            <w:pPr>
              <w:rPr>
                <w:lang w:val="en-US"/>
              </w:rPr>
            </w:pPr>
            <w:r w:rsidRPr="00120EB6">
              <w:rPr>
                <w:lang w:val="en-US"/>
              </w:rPr>
              <w:t>DEECA</w:t>
            </w:r>
          </w:p>
        </w:tc>
        <w:tc>
          <w:tcPr>
            <w:tcW w:w="1701" w:type="dxa"/>
          </w:tcPr>
          <w:p w14:paraId="4554FC69" w14:textId="4D2E9709" w:rsidR="0011703E" w:rsidRPr="00120EB6" w:rsidRDefault="0011703E" w:rsidP="00D945BD">
            <w:pPr>
              <w:rPr>
                <w:lang w:val="en-GB"/>
              </w:rPr>
            </w:pPr>
            <w:r w:rsidRPr="00120EB6">
              <w:rPr>
                <w:lang w:val="en-US"/>
              </w:rPr>
              <w:t>Traditional Owners</w:t>
            </w:r>
          </w:p>
        </w:tc>
        <w:tc>
          <w:tcPr>
            <w:tcW w:w="1418" w:type="dxa"/>
          </w:tcPr>
          <w:p w14:paraId="686410E6" w14:textId="77777777" w:rsidR="0011703E" w:rsidRPr="00120EB6" w:rsidRDefault="0011703E" w:rsidP="00D945BD">
            <w:pPr>
              <w:rPr>
                <w:lang w:val="en-US"/>
              </w:rPr>
            </w:pPr>
            <w:r w:rsidRPr="00120EB6">
              <w:rPr>
                <w:lang w:val="en-US"/>
              </w:rPr>
              <w:t>3.1</w:t>
            </w:r>
          </w:p>
          <w:p w14:paraId="61E92FB4" w14:textId="77777777" w:rsidR="0011703E" w:rsidRPr="00120EB6" w:rsidRDefault="0011703E" w:rsidP="00D945BD">
            <w:pPr>
              <w:rPr>
                <w:lang w:val="en-US"/>
              </w:rPr>
            </w:pPr>
            <w:r w:rsidRPr="00120EB6">
              <w:rPr>
                <w:lang w:val="en-US"/>
              </w:rPr>
              <w:t>3.5</w:t>
            </w:r>
          </w:p>
        </w:tc>
      </w:tr>
    </w:tbl>
    <w:p w14:paraId="7D6B574A" w14:textId="77777777" w:rsidR="00120EB6" w:rsidRPr="00120EB6" w:rsidRDefault="00120EB6" w:rsidP="00120EB6">
      <w:pPr>
        <w:spacing w:before="0" w:after="0"/>
        <w:rPr>
          <w:b/>
          <w:bCs/>
          <w:lang w:val="en-US"/>
        </w:rPr>
      </w:pPr>
    </w:p>
    <w:p w14:paraId="2538E4B6" w14:textId="0C9D2911" w:rsidR="00120EB6" w:rsidRPr="00120EB6" w:rsidRDefault="00120EB6" w:rsidP="009B11A5">
      <w:pPr>
        <w:pStyle w:val="Heading2"/>
        <w:numPr>
          <w:ilvl w:val="0"/>
          <w:numId w:val="4"/>
        </w:numPr>
        <w:rPr>
          <w:lang w:val="en-US"/>
        </w:rPr>
      </w:pPr>
      <w:bookmarkStart w:id="20" w:name="_Toc166682356"/>
      <w:r w:rsidRPr="00120EB6">
        <w:rPr>
          <w:lang w:val="en-US"/>
        </w:rPr>
        <w:t>Ecosystem resilience and nature conservation</w:t>
      </w:r>
      <w:bookmarkEnd w:id="20"/>
    </w:p>
    <w:p w14:paraId="6B302237" w14:textId="77777777" w:rsidR="00D945BD" w:rsidRPr="00120EB6" w:rsidRDefault="00D945BD" w:rsidP="00D945BD">
      <w:pPr>
        <w:pStyle w:val="BlockText"/>
        <w:rPr>
          <w:lang w:val="en-US"/>
        </w:rPr>
      </w:pPr>
      <w:r w:rsidRPr="00120EB6">
        <w:rPr>
          <w:b/>
          <w:bCs/>
          <w:lang w:val="en-US"/>
        </w:rPr>
        <w:t>Outcome:</w:t>
      </w:r>
      <w:r w:rsidRPr="00120EB6">
        <w:rPr>
          <w:lang w:val="en-US"/>
        </w:rPr>
        <w:t xml:space="preserve"> Fire regimes support healthy and resilient ecosystems and nature conservation in a changing climate.</w:t>
      </w:r>
    </w:p>
    <w:p w14:paraId="6A426CB3" w14:textId="77777777" w:rsidR="00120EB6" w:rsidRPr="00120EB6" w:rsidRDefault="00120EB6" w:rsidP="00D945BD">
      <w:pPr>
        <w:rPr>
          <w:lang w:val="en-US"/>
        </w:rPr>
      </w:pPr>
      <w:r w:rsidRPr="00120EB6">
        <w:rPr>
          <w:lang w:val="en-US"/>
        </w:rPr>
        <w:lastRenderedPageBreak/>
        <w:t xml:space="preserve">A changing climate means we need to continuously update our understanding of how ecosystems respond to the impacts of fires. </w:t>
      </w:r>
    </w:p>
    <w:p w14:paraId="11510498" w14:textId="77777777" w:rsidR="00120EB6" w:rsidRPr="00120EB6" w:rsidRDefault="00120EB6" w:rsidP="00D945BD">
      <w:pPr>
        <w:rPr>
          <w:lang w:val="en-US"/>
        </w:rPr>
      </w:pPr>
      <w:r w:rsidRPr="00120EB6">
        <w:rPr>
          <w:lang w:val="en-US"/>
        </w:rPr>
        <w:t>An increasing proportion of areas have been burnt multiple times since the year 2000, increasing the complexity of managing the impacts of fires on biodiversity and ecosystems. This changes the context in which fuel management needs to be planned and delivered.</w:t>
      </w:r>
    </w:p>
    <w:p w14:paraId="6C29EE78" w14:textId="77777777" w:rsidR="00120EB6" w:rsidRPr="00120EB6" w:rsidRDefault="00120EB6" w:rsidP="00D945BD">
      <w:pPr>
        <w:rPr>
          <w:lang w:val="en-US"/>
        </w:rPr>
      </w:pPr>
      <w:r w:rsidRPr="00120EB6">
        <w:rPr>
          <w:lang w:val="en-US"/>
        </w:rPr>
        <w:t>The actions in this domain are led by DEECA with support from CFA and Parks Victoria and include delivery of the Fire Ecology Strategy Roadmap and expanding the guidance, evaluation and monitoring of ecosystem resilience outcomes within the fuel management program. This will build the capability and capacity of the fire ecology program, and ensure continuous improvement of data, metrics, policy and processes. This will further enable decision-making that leads to improved ecosystem resilience and nature conservation outcomes.</w:t>
      </w:r>
    </w:p>
    <w:tbl>
      <w:tblPr>
        <w:tblStyle w:val="TableGrid"/>
        <w:tblW w:w="0" w:type="auto"/>
        <w:tblLayout w:type="fixed"/>
        <w:tblLook w:val="0020" w:firstRow="1" w:lastRow="0" w:firstColumn="0" w:lastColumn="0" w:noHBand="0" w:noVBand="0"/>
      </w:tblPr>
      <w:tblGrid>
        <w:gridCol w:w="1002"/>
        <w:gridCol w:w="1970"/>
        <w:gridCol w:w="1559"/>
        <w:gridCol w:w="1276"/>
        <w:gridCol w:w="1559"/>
        <w:gridCol w:w="1560"/>
      </w:tblGrid>
      <w:tr w:rsidR="00120EB6" w:rsidRPr="00120EB6" w14:paraId="72D98C8C" w14:textId="77777777" w:rsidTr="0011703E">
        <w:trPr>
          <w:cantSplit/>
          <w:trHeight w:val="1125"/>
          <w:tblHeader/>
        </w:trPr>
        <w:tc>
          <w:tcPr>
            <w:tcW w:w="1002" w:type="dxa"/>
          </w:tcPr>
          <w:p w14:paraId="1FAE54BA" w14:textId="77777777" w:rsidR="00120EB6" w:rsidRPr="00D945BD" w:rsidRDefault="00120EB6" w:rsidP="00D945BD">
            <w:pPr>
              <w:rPr>
                <w:b/>
                <w:bCs/>
                <w:lang w:val="en-US"/>
              </w:rPr>
            </w:pPr>
            <w:r w:rsidRPr="00D945BD">
              <w:rPr>
                <w:b/>
                <w:bCs/>
                <w:lang w:val="en-US"/>
              </w:rPr>
              <w:t>Number</w:t>
            </w:r>
          </w:p>
        </w:tc>
        <w:tc>
          <w:tcPr>
            <w:tcW w:w="1970" w:type="dxa"/>
          </w:tcPr>
          <w:p w14:paraId="7DF52308" w14:textId="77777777" w:rsidR="00120EB6" w:rsidRPr="00D945BD" w:rsidRDefault="00120EB6" w:rsidP="00D945BD">
            <w:pPr>
              <w:rPr>
                <w:b/>
                <w:bCs/>
                <w:lang w:val="en-US"/>
              </w:rPr>
            </w:pPr>
            <w:r w:rsidRPr="00D945BD">
              <w:rPr>
                <w:b/>
                <w:bCs/>
                <w:lang w:val="en-US"/>
              </w:rPr>
              <w:t xml:space="preserve">Action </w:t>
            </w:r>
          </w:p>
        </w:tc>
        <w:tc>
          <w:tcPr>
            <w:tcW w:w="1559" w:type="dxa"/>
          </w:tcPr>
          <w:p w14:paraId="404DE457" w14:textId="77777777" w:rsidR="00120EB6" w:rsidRPr="00D945BD" w:rsidRDefault="00120EB6" w:rsidP="00D945BD">
            <w:pPr>
              <w:rPr>
                <w:b/>
                <w:bCs/>
                <w:lang w:val="en-US"/>
              </w:rPr>
            </w:pPr>
            <w:r w:rsidRPr="00D945BD">
              <w:rPr>
                <w:b/>
                <w:bCs/>
                <w:lang w:val="en-US"/>
              </w:rPr>
              <w:t>Delivery date</w:t>
            </w:r>
          </w:p>
        </w:tc>
        <w:tc>
          <w:tcPr>
            <w:tcW w:w="1276" w:type="dxa"/>
          </w:tcPr>
          <w:p w14:paraId="073DAFF5" w14:textId="77777777" w:rsidR="00120EB6" w:rsidRPr="00D945BD" w:rsidRDefault="00120EB6" w:rsidP="00D945BD">
            <w:pPr>
              <w:rPr>
                <w:b/>
                <w:bCs/>
                <w:lang w:val="en-US"/>
              </w:rPr>
            </w:pPr>
            <w:r w:rsidRPr="00D945BD">
              <w:rPr>
                <w:b/>
                <w:bCs/>
                <w:lang w:val="en-US"/>
              </w:rPr>
              <w:t xml:space="preserve">Leads </w:t>
            </w:r>
          </w:p>
        </w:tc>
        <w:tc>
          <w:tcPr>
            <w:tcW w:w="1559" w:type="dxa"/>
          </w:tcPr>
          <w:p w14:paraId="6493EF04" w14:textId="77777777" w:rsidR="00120EB6" w:rsidRPr="00D945BD" w:rsidRDefault="00120EB6" w:rsidP="00D945BD">
            <w:pPr>
              <w:rPr>
                <w:b/>
                <w:bCs/>
                <w:lang w:val="en-US"/>
              </w:rPr>
            </w:pPr>
            <w:r w:rsidRPr="00D945BD">
              <w:rPr>
                <w:b/>
                <w:bCs/>
                <w:lang w:val="en-US"/>
              </w:rPr>
              <w:t>Partners</w:t>
            </w:r>
          </w:p>
        </w:tc>
        <w:tc>
          <w:tcPr>
            <w:tcW w:w="1560" w:type="dxa"/>
          </w:tcPr>
          <w:p w14:paraId="1A456251" w14:textId="77777777" w:rsidR="00120EB6" w:rsidRPr="00D945BD" w:rsidRDefault="00120EB6" w:rsidP="00D945BD">
            <w:pPr>
              <w:rPr>
                <w:b/>
                <w:bCs/>
                <w:lang w:val="en-US"/>
              </w:rPr>
            </w:pPr>
            <w:r w:rsidRPr="00D945BD">
              <w:rPr>
                <w:b/>
                <w:bCs/>
                <w:lang w:val="en-US"/>
              </w:rPr>
              <w:t>The Strategy’s strategic directions</w:t>
            </w:r>
          </w:p>
        </w:tc>
      </w:tr>
      <w:tr w:rsidR="0011703E" w:rsidRPr="00120EB6" w14:paraId="010C1F6D" w14:textId="77777777" w:rsidTr="0011703E">
        <w:trPr>
          <w:trHeight w:val="1327"/>
        </w:trPr>
        <w:tc>
          <w:tcPr>
            <w:tcW w:w="1002" w:type="dxa"/>
          </w:tcPr>
          <w:p w14:paraId="1EF1CFDF" w14:textId="77777777" w:rsidR="0011703E" w:rsidRPr="00D945BD" w:rsidRDefault="0011703E" w:rsidP="00D945BD">
            <w:pPr>
              <w:rPr>
                <w:b/>
                <w:bCs/>
                <w:lang w:val="en-US"/>
              </w:rPr>
            </w:pPr>
            <w:r w:rsidRPr="00D945BD">
              <w:rPr>
                <w:b/>
                <w:bCs/>
                <w:lang w:val="en-US"/>
              </w:rPr>
              <w:t>4.a</w:t>
            </w:r>
          </w:p>
        </w:tc>
        <w:tc>
          <w:tcPr>
            <w:tcW w:w="1970" w:type="dxa"/>
          </w:tcPr>
          <w:p w14:paraId="3DC05EFA" w14:textId="77777777" w:rsidR="0011703E" w:rsidRPr="00120EB6" w:rsidRDefault="0011703E" w:rsidP="00D945BD">
            <w:pPr>
              <w:rPr>
                <w:lang w:val="en-US"/>
              </w:rPr>
            </w:pPr>
            <w:r w:rsidRPr="00120EB6">
              <w:rPr>
                <w:lang w:val="en-US"/>
              </w:rPr>
              <w:t>Provide advice on new fuel management targets for FFMVic to maintain ecosystem resilience</w:t>
            </w:r>
          </w:p>
        </w:tc>
        <w:tc>
          <w:tcPr>
            <w:tcW w:w="1559" w:type="dxa"/>
          </w:tcPr>
          <w:p w14:paraId="180862CE" w14:textId="5DA0D98F" w:rsidR="0011703E" w:rsidRPr="00120EB6" w:rsidRDefault="0011703E" w:rsidP="00D945BD">
            <w:pPr>
              <w:rPr>
                <w:lang w:val="en-US"/>
              </w:rPr>
            </w:pPr>
            <w:r w:rsidRPr="00120EB6">
              <w:rPr>
                <w:lang w:val="en-US"/>
              </w:rPr>
              <w:t>2024</w:t>
            </w:r>
          </w:p>
        </w:tc>
        <w:tc>
          <w:tcPr>
            <w:tcW w:w="1276" w:type="dxa"/>
          </w:tcPr>
          <w:p w14:paraId="14C34557" w14:textId="77777777" w:rsidR="0011703E" w:rsidRPr="00120EB6" w:rsidRDefault="0011703E" w:rsidP="00D945BD">
            <w:pPr>
              <w:rPr>
                <w:lang w:val="en-US"/>
              </w:rPr>
            </w:pPr>
            <w:r w:rsidRPr="00120EB6">
              <w:rPr>
                <w:lang w:val="en-US"/>
              </w:rPr>
              <w:t>DEECA</w:t>
            </w:r>
          </w:p>
        </w:tc>
        <w:tc>
          <w:tcPr>
            <w:tcW w:w="1559" w:type="dxa"/>
          </w:tcPr>
          <w:p w14:paraId="1A09E01F" w14:textId="77777777" w:rsidR="0011703E" w:rsidRPr="00120EB6" w:rsidRDefault="0011703E" w:rsidP="00D945BD">
            <w:pPr>
              <w:rPr>
                <w:lang w:val="en-US"/>
              </w:rPr>
            </w:pPr>
            <w:r w:rsidRPr="00120EB6">
              <w:rPr>
                <w:lang w:val="en-US"/>
              </w:rPr>
              <w:t>CFA</w:t>
            </w:r>
          </w:p>
          <w:p w14:paraId="07E7C973" w14:textId="77777777" w:rsidR="0011703E" w:rsidRPr="00120EB6" w:rsidRDefault="0011703E" w:rsidP="00D945BD">
            <w:pPr>
              <w:rPr>
                <w:lang w:val="en-US"/>
              </w:rPr>
            </w:pPr>
            <w:r w:rsidRPr="00120EB6">
              <w:rPr>
                <w:lang w:val="en-US"/>
              </w:rPr>
              <w:t>FRV</w:t>
            </w:r>
          </w:p>
          <w:p w14:paraId="6227FF7E" w14:textId="77777777" w:rsidR="0011703E" w:rsidRPr="00120EB6" w:rsidRDefault="0011703E" w:rsidP="00D945BD">
            <w:pPr>
              <w:rPr>
                <w:lang w:val="en-US"/>
              </w:rPr>
            </w:pPr>
            <w:r w:rsidRPr="00120EB6">
              <w:rPr>
                <w:lang w:val="en-US"/>
              </w:rPr>
              <w:t>DTP</w:t>
            </w:r>
          </w:p>
          <w:p w14:paraId="33815FE3" w14:textId="77777777" w:rsidR="0011703E" w:rsidRPr="00120EB6" w:rsidRDefault="0011703E" w:rsidP="00D945BD">
            <w:pPr>
              <w:rPr>
                <w:lang w:val="en-US"/>
              </w:rPr>
            </w:pPr>
            <w:r w:rsidRPr="00120EB6">
              <w:rPr>
                <w:lang w:val="en-US"/>
              </w:rPr>
              <w:t>Councils</w:t>
            </w:r>
          </w:p>
          <w:p w14:paraId="4411C749" w14:textId="77777777" w:rsidR="0011703E" w:rsidRPr="00120EB6" w:rsidRDefault="0011703E" w:rsidP="00D945BD">
            <w:pPr>
              <w:rPr>
                <w:lang w:val="en-US"/>
              </w:rPr>
            </w:pPr>
            <w:r w:rsidRPr="00120EB6">
              <w:rPr>
                <w:lang w:val="en-US"/>
              </w:rPr>
              <w:t>MAV</w:t>
            </w:r>
          </w:p>
          <w:p w14:paraId="21860FA6" w14:textId="05485C83" w:rsidR="0011703E" w:rsidRPr="00120EB6" w:rsidRDefault="0011703E" w:rsidP="00D945BD">
            <w:pPr>
              <w:rPr>
                <w:lang w:val="en-US"/>
              </w:rPr>
            </w:pPr>
            <w:r w:rsidRPr="00120EB6">
              <w:rPr>
                <w:lang w:val="en-US"/>
              </w:rPr>
              <w:t>LGV</w:t>
            </w:r>
          </w:p>
          <w:p w14:paraId="2F131C49" w14:textId="77777777" w:rsidR="0011703E" w:rsidRPr="00120EB6" w:rsidRDefault="0011703E" w:rsidP="00D945BD">
            <w:pPr>
              <w:rPr>
                <w:lang w:val="en-US"/>
              </w:rPr>
            </w:pPr>
            <w:r w:rsidRPr="00120EB6">
              <w:rPr>
                <w:lang w:val="en-US"/>
              </w:rPr>
              <w:t>EMV</w:t>
            </w:r>
          </w:p>
          <w:p w14:paraId="0B30F337" w14:textId="77777777" w:rsidR="0011703E" w:rsidRPr="00120EB6" w:rsidRDefault="0011703E" w:rsidP="00D945BD">
            <w:pPr>
              <w:rPr>
                <w:lang w:val="en-US"/>
              </w:rPr>
            </w:pPr>
            <w:r w:rsidRPr="00120EB6">
              <w:rPr>
                <w:lang w:val="en-US"/>
              </w:rPr>
              <w:t>Parks Victoria</w:t>
            </w:r>
          </w:p>
          <w:p w14:paraId="6FEF3E86" w14:textId="77777777" w:rsidR="0011703E" w:rsidRPr="00120EB6" w:rsidRDefault="0011703E" w:rsidP="00D945BD">
            <w:pPr>
              <w:rPr>
                <w:lang w:val="en-US"/>
              </w:rPr>
            </w:pPr>
            <w:r w:rsidRPr="00120EB6">
              <w:rPr>
                <w:lang w:val="en-US"/>
              </w:rPr>
              <w:t>DTF</w:t>
            </w:r>
          </w:p>
          <w:p w14:paraId="483E87B3" w14:textId="77777777" w:rsidR="0011703E" w:rsidRPr="00120EB6" w:rsidRDefault="0011703E" w:rsidP="00D945BD">
            <w:pPr>
              <w:rPr>
                <w:lang w:val="en-US"/>
              </w:rPr>
            </w:pPr>
            <w:r w:rsidRPr="00120EB6">
              <w:rPr>
                <w:lang w:val="en-US"/>
              </w:rPr>
              <w:t>DPC</w:t>
            </w:r>
          </w:p>
        </w:tc>
        <w:tc>
          <w:tcPr>
            <w:tcW w:w="1560" w:type="dxa"/>
          </w:tcPr>
          <w:p w14:paraId="21E8C2F5" w14:textId="77777777" w:rsidR="0011703E" w:rsidRPr="00120EB6" w:rsidRDefault="0011703E" w:rsidP="00D945BD">
            <w:pPr>
              <w:rPr>
                <w:lang w:val="en-US"/>
              </w:rPr>
            </w:pPr>
            <w:r w:rsidRPr="00120EB6">
              <w:rPr>
                <w:lang w:val="en-US"/>
              </w:rPr>
              <w:t>4.1</w:t>
            </w:r>
          </w:p>
          <w:p w14:paraId="798BFE2D" w14:textId="77777777" w:rsidR="0011703E" w:rsidRPr="00120EB6" w:rsidRDefault="0011703E" w:rsidP="00D945BD">
            <w:pPr>
              <w:rPr>
                <w:lang w:val="en-US"/>
              </w:rPr>
            </w:pPr>
            <w:r w:rsidRPr="00120EB6">
              <w:rPr>
                <w:lang w:val="en-US"/>
              </w:rPr>
              <w:t>4.2</w:t>
            </w:r>
          </w:p>
          <w:p w14:paraId="0AA30800" w14:textId="77777777" w:rsidR="0011703E" w:rsidRPr="00120EB6" w:rsidRDefault="0011703E" w:rsidP="00D945BD">
            <w:pPr>
              <w:rPr>
                <w:lang w:val="en-US"/>
              </w:rPr>
            </w:pPr>
            <w:r w:rsidRPr="00120EB6">
              <w:rPr>
                <w:lang w:val="en-US"/>
              </w:rPr>
              <w:t>4.3</w:t>
            </w:r>
          </w:p>
          <w:p w14:paraId="2B76A106" w14:textId="77777777" w:rsidR="0011703E" w:rsidRPr="00120EB6" w:rsidRDefault="0011703E" w:rsidP="00D945BD">
            <w:pPr>
              <w:rPr>
                <w:lang w:val="en-US"/>
              </w:rPr>
            </w:pPr>
            <w:r w:rsidRPr="00120EB6">
              <w:rPr>
                <w:lang w:val="en-US"/>
              </w:rPr>
              <w:t>5.1</w:t>
            </w:r>
          </w:p>
        </w:tc>
      </w:tr>
      <w:tr w:rsidR="0011703E" w:rsidRPr="00120EB6" w14:paraId="30922FB4" w14:textId="77777777" w:rsidTr="004B2568">
        <w:trPr>
          <w:trHeight w:val="60"/>
        </w:trPr>
        <w:tc>
          <w:tcPr>
            <w:tcW w:w="1002" w:type="dxa"/>
          </w:tcPr>
          <w:p w14:paraId="491E4D92" w14:textId="77777777" w:rsidR="0011703E" w:rsidRPr="00D945BD" w:rsidRDefault="0011703E" w:rsidP="00D945BD">
            <w:pPr>
              <w:rPr>
                <w:b/>
                <w:bCs/>
                <w:lang w:val="en-US"/>
              </w:rPr>
            </w:pPr>
            <w:r w:rsidRPr="00D945BD">
              <w:rPr>
                <w:b/>
                <w:bCs/>
                <w:lang w:val="en-US"/>
              </w:rPr>
              <w:t>4.b</w:t>
            </w:r>
          </w:p>
        </w:tc>
        <w:tc>
          <w:tcPr>
            <w:tcW w:w="1970" w:type="dxa"/>
          </w:tcPr>
          <w:p w14:paraId="2A92C3FE" w14:textId="77777777" w:rsidR="0011703E" w:rsidRPr="00120EB6" w:rsidRDefault="0011703E" w:rsidP="00D945BD">
            <w:pPr>
              <w:rPr>
                <w:lang w:val="en-US"/>
              </w:rPr>
            </w:pPr>
            <w:r w:rsidRPr="00120EB6">
              <w:rPr>
                <w:lang w:val="en-US"/>
              </w:rPr>
              <w:t xml:space="preserve">Deliver Fire Ecology Strategy Roadmap goal 1 – Provide clear and accountable leadership and coordination of </w:t>
            </w:r>
            <w:r w:rsidRPr="00120EB6">
              <w:rPr>
                <w:lang w:val="en-US"/>
              </w:rPr>
              <w:lastRenderedPageBreak/>
              <w:t>the Forest and Fire Ecology Program through improved governance and collaboration</w:t>
            </w:r>
          </w:p>
        </w:tc>
        <w:tc>
          <w:tcPr>
            <w:tcW w:w="1559" w:type="dxa"/>
          </w:tcPr>
          <w:p w14:paraId="5B75A011" w14:textId="77777777" w:rsidR="0011703E" w:rsidRPr="00120EB6" w:rsidRDefault="0011703E" w:rsidP="00D945BD">
            <w:pPr>
              <w:rPr>
                <w:lang w:val="en-US"/>
              </w:rPr>
            </w:pPr>
            <w:r w:rsidRPr="00120EB6">
              <w:rPr>
                <w:lang w:val="en-US"/>
              </w:rPr>
              <w:lastRenderedPageBreak/>
              <w:t>June 2025</w:t>
            </w:r>
          </w:p>
        </w:tc>
        <w:tc>
          <w:tcPr>
            <w:tcW w:w="1276" w:type="dxa"/>
          </w:tcPr>
          <w:p w14:paraId="4A8AA03D" w14:textId="77777777" w:rsidR="0011703E" w:rsidRPr="00120EB6" w:rsidRDefault="0011703E" w:rsidP="00D945BD">
            <w:pPr>
              <w:rPr>
                <w:lang w:val="en-US"/>
              </w:rPr>
            </w:pPr>
            <w:r w:rsidRPr="00120EB6">
              <w:rPr>
                <w:lang w:val="en-US"/>
              </w:rPr>
              <w:t>DEECA</w:t>
            </w:r>
          </w:p>
        </w:tc>
        <w:tc>
          <w:tcPr>
            <w:tcW w:w="1559" w:type="dxa"/>
          </w:tcPr>
          <w:p w14:paraId="59D517B8" w14:textId="77777777" w:rsidR="0011703E" w:rsidRPr="00120EB6" w:rsidRDefault="0011703E" w:rsidP="00D945BD">
            <w:pPr>
              <w:rPr>
                <w:lang w:val="en-US"/>
              </w:rPr>
            </w:pPr>
            <w:r w:rsidRPr="00120EB6">
              <w:rPr>
                <w:lang w:val="en-US"/>
              </w:rPr>
              <w:t>CFA</w:t>
            </w:r>
          </w:p>
          <w:p w14:paraId="76C97FBE" w14:textId="40215560" w:rsidR="0011703E" w:rsidRPr="00120EB6" w:rsidRDefault="0011703E" w:rsidP="00D945BD">
            <w:pPr>
              <w:rPr>
                <w:lang w:val="en-US"/>
              </w:rPr>
            </w:pPr>
            <w:r w:rsidRPr="00120EB6">
              <w:rPr>
                <w:lang w:val="en-US"/>
              </w:rPr>
              <w:t>Parks Victoria</w:t>
            </w:r>
          </w:p>
        </w:tc>
        <w:tc>
          <w:tcPr>
            <w:tcW w:w="1560" w:type="dxa"/>
          </w:tcPr>
          <w:p w14:paraId="2B36A0A6" w14:textId="77777777" w:rsidR="0011703E" w:rsidRPr="00120EB6" w:rsidRDefault="0011703E" w:rsidP="00D945BD">
            <w:pPr>
              <w:rPr>
                <w:lang w:val="en-US"/>
              </w:rPr>
            </w:pPr>
            <w:r w:rsidRPr="00120EB6">
              <w:rPr>
                <w:lang w:val="en-US"/>
              </w:rPr>
              <w:t>4.3</w:t>
            </w:r>
          </w:p>
          <w:p w14:paraId="69BDC742" w14:textId="77777777" w:rsidR="0011703E" w:rsidRPr="00120EB6" w:rsidRDefault="0011703E" w:rsidP="00D945BD">
            <w:pPr>
              <w:rPr>
                <w:lang w:val="en-US"/>
              </w:rPr>
            </w:pPr>
            <w:r w:rsidRPr="00120EB6">
              <w:rPr>
                <w:lang w:val="en-US"/>
              </w:rPr>
              <w:t>4.5</w:t>
            </w:r>
          </w:p>
        </w:tc>
      </w:tr>
      <w:tr w:rsidR="0011703E" w:rsidRPr="00120EB6" w14:paraId="46E18BBF" w14:textId="77777777" w:rsidTr="006212E7">
        <w:trPr>
          <w:trHeight w:val="60"/>
        </w:trPr>
        <w:tc>
          <w:tcPr>
            <w:tcW w:w="1002" w:type="dxa"/>
          </w:tcPr>
          <w:p w14:paraId="733CE87A" w14:textId="77777777" w:rsidR="0011703E" w:rsidRPr="00D945BD" w:rsidRDefault="0011703E" w:rsidP="00D945BD">
            <w:pPr>
              <w:rPr>
                <w:b/>
                <w:bCs/>
                <w:lang w:val="en-US"/>
              </w:rPr>
            </w:pPr>
            <w:r w:rsidRPr="00D945BD">
              <w:rPr>
                <w:b/>
                <w:bCs/>
                <w:lang w:val="en-US"/>
              </w:rPr>
              <w:t>4.c</w:t>
            </w:r>
          </w:p>
        </w:tc>
        <w:tc>
          <w:tcPr>
            <w:tcW w:w="1970" w:type="dxa"/>
          </w:tcPr>
          <w:p w14:paraId="02AF733B" w14:textId="77777777" w:rsidR="0011703E" w:rsidRPr="00120EB6" w:rsidRDefault="0011703E" w:rsidP="00D945BD">
            <w:pPr>
              <w:rPr>
                <w:lang w:val="en-US"/>
              </w:rPr>
            </w:pPr>
            <w:r w:rsidRPr="00120EB6">
              <w:rPr>
                <w:lang w:val="en-US"/>
              </w:rPr>
              <w:t>Deliver Fire Ecology Strategy Roadmap goal 2 – Build the capabilities, capacity and representation of internal and external partners and stakeholders involved with the forest and fire ecology program</w:t>
            </w:r>
          </w:p>
        </w:tc>
        <w:tc>
          <w:tcPr>
            <w:tcW w:w="1559" w:type="dxa"/>
          </w:tcPr>
          <w:p w14:paraId="1FE448EC" w14:textId="77777777" w:rsidR="0011703E" w:rsidRPr="00120EB6" w:rsidRDefault="0011703E" w:rsidP="00D945BD">
            <w:pPr>
              <w:rPr>
                <w:lang w:val="en-US"/>
              </w:rPr>
            </w:pPr>
            <w:r w:rsidRPr="00120EB6">
              <w:rPr>
                <w:lang w:val="en-US"/>
              </w:rPr>
              <w:t>June 2025</w:t>
            </w:r>
          </w:p>
        </w:tc>
        <w:tc>
          <w:tcPr>
            <w:tcW w:w="1276" w:type="dxa"/>
          </w:tcPr>
          <w:p w14:paraId="13CE38D7" w14:textId="77777777" w:rsidR="0011703E" w:rsidRPr="00120EB6" w:rsidRDefault="0011703E" w:rsidP="00D945BD">
            <w:pPr>
              <w:rPr>
                <w:lang w:val="en-US"/>
              </w:rPr>
            </w:pPr>
            <w:r w:rsidRPr="00120EB6">
              <w:rPr>
                <w:lang w:val="en-US"/>
              </w:rPr>
              <w:t>DEECA</w:t>
            </w:r>
          </w:p>
        </w:tc>
        <w:tc>
          <w:tcPr>
            <w:tcW w:w="1559" w:type="dxa"/>
          </w:tcPr>
          <w:p w14:paraId="32310C92" w14:textId="77777777" w:rsidR="0011703E" w:rsidRPr="00120EB6" w:rsidRDefault="0011703E" w:rsidP="00D945BD">
            <w:pPr>
              <w:rPr>
                <w:lang w:val="en-US"/>
              </w:rPr>
            </w:pPr>
            <w:r w:rsidRPr="00120EB6">
              <w:rPr>
                <w:lang w:val="en-US"/>
              </w:rPr>
              <w:t>CFA</w:t>
            </w:r>
          </w:p>
          <w:p w14:paraId="3C58BD1E" w14:textId="675E92C2" w:rsidR="0011703E" w:rsidRPr="00120EB6" w:rsidRDefault="0011703E" w:rsidP="00D945BD">
            <w:pPr>
              <w:rPr>
                <w:lang w:val="en-US"/>
              </w:rPr>
            </w:pPr>
            <w:r w:rsidRPr="00120EB6">
              <w:rPr>
                <w:lang w:val="en-US"/>
              </w:rPr>
              <w:t>Parks Victoria</w:t>
            </w:r>
          </w:p>
        </w:tc>
        <w:tc>
          <w:tcPr>
            <w:tcW w:w="1560" w:type="dxa"/>
          </w:tcPr>
          <w:p w14:paraId="335BF513" w14:textId="77777777" w:rsidR="0011703E" w:rsidRPr="00120EB6" w:rsidRDefault="0011703E" w:rsidP="00D945BD">
            <w:pPr>
              <w:rPr>
                <w:lang w:val="en-US"/>
              </w:rPr>
            </w:pPr>
            <w:r w:rsidRPr="00120EB6">
              <w:rPr>
                <w:lang w:val="en-US"/>
              </w:rPr>
              <w:t>4.1</w:t>
            </w:r>
          </w:p>
          <w:p w14:paraId="69D5B730" w14:textId="77777777" w:rsidR="0011703E" w:rsidRPr="00120EB6" w:rsidRDefault="0011703E" w:rsidP="00D945BD">
            <w:pPr>
              <w:rPr>
                <w:lang w:val="en-US"/>
              </w:rPr>
            </w:pPr>
            <w:r w:rsidRPr="00120EB6">
              <w:rPr>
                <w:lang w:val="en-US"/>
              </w:rPr>
              <w:t>7.2</w:t>
            </w:r>
          </w:p>
        </w:tc>
      </w:tr>
      <w:tr w:rsidR="0011703E" w:rsidRPr="00120EB6" w14:paraId="7DF49557" w14:textId="77777777" w:rsidTr="00A14444">
        <w:trPr>
          <w:trHeight w:val="60"/>
        </w:trPr>
        <w:tc>
          <w:tcPr>
            <w:tcW w:w="1002" w:type="dxa"/>
          </w:tcPr>
          <w:p w14:paraId="55BAFA06" w14:textId="77777777" w:rsidR="0011703E" w:rsidRPr="00D945BD" w:rsidRDefault="0011703E" w:rsidP="00D945BD">
            <w:pPr>
              <w:rPr>
                <w:b/>
                <w:bCs/>
                <w:lang w:val="en-US"/>
              </w:rPr>
            </w:pPr>
            <w:r w:rsidRPr="00D945BD">
              <w:rPr>
                <w:b/>
                <w:bCs/>
                <w:lang w:val="en-US"/>
              </w:rPr>
              <w:t>4.d</w:t>
            </w:r>
          </w:p>
        </w:tc>
        <w:tc>
          <w:tcPr>
            <w:tcW w:w="1970" w:type="dxa"/>
          </w:tcPr>
          <w:p w14:paraId="011697A4" w14:textId="77777777" w:rsidR="0011703E" w:rsidRPr="00120EB6" w:rsidRDefault="0011703E" w:rsidP="00D945BD">
            <w:pPr>
              <w:rPr>
                <w:lang w:val="en-US"/>
              </w:rPr>
            </w:pPr>
            <w:r w:rsidRPr="00120EB6">
              <w:rPr>
                <w:lang w:val="en-US"/>
              </w:rPr>
              <w:t>Deliver Fire Ecology Strategy Roadmap goal 3 – Support Victoria’s fire ecology program through the continual improvement of the data, metrics, processes and guidance for fire ecology modelling and decision support tools</w:t>
            </w:r>
          </w:p>
        </w:tc>
        <w:tc>
          <w:tcPr>
            <w:tcW w:w="1559" w:type="dxa"/>
          </w:tcPr>
          <w:p w14:paraId="5AC431CA" w14:textId="77777777" w:rsidR="0011703E" w:rsidRPr="00120EB6" w:rsidRDefault="0011703E" w:rsidP="00D945BD">
            <w:pPr>
              <w:rPr>
                <w:lang w:val="en-US"/>
              </w:rPr>
            </w:pPr>
            <w:r w:rsidRPr="00120EB6">
              <w:rPr>
                <w:lang w:val="en-US"/>
              </w:rPr>
              <w:t>June 2025</w:t>
            </w:r>
          </w:p>
        </w:tc>
        <w:tc>
          <w:tcPr>
            <w:tcW w:w="1276" w:type="dxa"/>
          </w:tcPr>
          <w:p w14:paraId="33B6E99A" w14:textId="77777777" w:rsidR="0011703E" w:rsidRPr="00120EB6" w:rsidRDefault="0011703E" w:rsidP="00D945BD">
            <w:pPr>
              <w:rPr>
                <w:lang w:val="en-US"/>
              </w:rPr>
            </w:pPr>
            <w:r w:rsidRPr="00120EB6">
              <w:rPr>
                <w:lang w:val="en-US"/>
              </w:rPr>
              <w:t>DEECA</w:t>
            </w:r>
          </w:p>
        </w:tc>
        <w:tc>
          <w:tcPr>
            <w:tcW w:w="1559" w:type="dxa"/>
          </w:tcPr>
          <w:p w14:paraId="4AA6FF36" w14:textId="77777777" w:rsidR="0011703E" w:rsidRPr="00120EB6" w:rsidRDefault="0011703E" w:rsidP="00D945BD">
            <w:pPr>
              <w:rPr>
                <w:lang w:val="en-US"/>
              </w:rPr>
            </w:pPr>
            <w:r w:rsidRPr="00120EB6">
              <w:rPr>
                <w:lang w:val="en-US"/>
              </w:rPr>
              <w:t>CFA</w:t>
            </w:r>
          </w:p>
          <w:p w14:paraId="46786CAB" w14:textId="29E4D408" w:rsidR="0011703E" w:rsidRPr="00120EB6" w:rsidRDefault="0011703E" w:rsidP="00D945BD">
            <w:pPr>
              <w:rPr>
                <w:lang w:val="en-US"/>
              </w:rPr>
            </w:pPr>
            <w:r w:rsidRPr="00120EB6">
              <w:rPr>
                <w:lang w:val="en-US"/>
              </w:rPr>
              <w:t>Parks Victoria</w:t>
            </w:r>
          </w:p>
        </w:tc>
        <w:tc>
          <w:tcPr>
            <w:tcW w:w="1560" w:type="dxa"/>
          </w:tcPr>
          <w:p w14:paraId="14EDB2E4" w14:textId="77777777" w:rsidR="0011703E" w:rsidRPr="00120EB6" w:rsidRDefault="0011703E" w:rsidP="00D945BD">
            <w:pPr>
              <w:rPr>
                <w:lang w:val="en-US"/>
              </w:rPr>
            </w:pPr>
            <w:r w:rsidRPr="00120EB6">
              <w:rPr>
                <w:lang w:val="en-US"/>
              </w:rPr>
              <w:t>4.1</w:t>
            </w:r>
          </w:p>
        </w:tc>
      </w:tr>
      <w:tr w:rsidR="0011703E" w:rsidRPr="00120EB6" w14:paraId="437EB34C" w14:textId="77777777" w:rsidTr="00D05DAA">
        <w:trPr>
          <w:trHeight w:val="60"/>
        </w:trPr>
        <w:tc>
          <w:tcPr>
            <w:tcW w:w="1002" w:type="dxa"/>
          </w:tcPr>
          <w:p w14:paraId="2B121382" w14:textId="77777777" w:rsidR="0011703E" w:rsidRPr="00D945BD" w:rsidRDefault="0011703E" w:rsidP="00D945BD">
            <w:pPr>
              <w:rPr>
                <w:b/>
                <w:bCs/>
                <w:lang w:val="en-US"/>
              </w:rPr>
            </w:pPr>
            <w:r w:rsidRPr="00D945BD">
              <w:rPr>
                <w:b/>
                <w:bCs/>
                <w:lang w:val="en-US"/>
              </w:rPr>
              <w:t>4.e</w:t>
            </w:r>
          </w:p>
        </w:tc>
        <w:tc>
          <w:tcPr>
            <w:tcW w:w="1970" w:type="dxa"/>
          </w:tcPr>
          <w:p w14:paraId="6F832117" w14:textId="77777777" w:rsidR="0011703E" w:rsidRPr="00120EB6" w:rsidRDefault="0011703E" w:rsidP="00D945BD">
            <w:pPr>
              <w:rPr>
                <w:lang w:val="en-US"/>
              </w:rPr>
            </w:pPr>
            <w:r w:rsidRPr="00120EB6">
              <w:rPr>
                <w:lang w:val="en-US"/>
              </w:rPr>
              <w:t xml:space="preserve">Deliver Fire Ecology Strategy </w:t>
            </w:r>
            <w:r w:rsidRPr="00120EB6">
              <w:rPr>
                <w:lang w:val="en-US"/>
              </w:rPr>
              <w:lastRenderedPageBreak/>
              <w:t>Roadmap goal 4 – Support continual improvements to relevant policy and guidance, including through alignment between strategic, operational, regional and state-wide planning contexts</w:t>
            </w:r>
          </w:p>
        </w:tc>
        <w:tc>
          <w:tcPr>
            <w:tcW w:w="1559" w:type="dxa"/>
          </w:tcPr>
          <w:p w14:paraId="14995868" w14:textId="77777777" w:rsidR="0011703E" w:rsidRPr="00120EB6" w:rsidRDefault="0011703E" w:rsidP="00D945BD">
            <w:pPr>
              <w:rPr>
                <w:lang w:val="en-US"/>
              </w:rPr>
            </w:pPr>
            <w:r w:rsidRPr="00120EB6">
              <w:rPr>
                <w:lang w:val="en-US"/>
              </w:rPr>
              <w:lastRenderedPageBreak/>
              <w:t>June 2025</w:t>
            </w:r>
          </w:p>
        </w:tc>
        <w:tc>
          <w:tcPr>
            <w:tcW w:w="1276" w:type="dxa"/>
          </w:tcPr>
          <w:p w14:paraId="59E15ABB" w14:textId="77777777" w:rsidR="0011703E" w:rsidRPr="00120EB6" w:rsidRDefault="0011703E" w:rsidP="00D945BD">
            <w:pPr>
              <w:rPr>
                <w:lang w:val="en-US"/>
              </w:rPr>
            </w:pPr>
            <w:r w:rsidRPr="00120EB6">
              <w:rPr>
                <w:lang w:val="en-US"/>
              </w:rPr>
              <w:t>DEECA</w:t>
            </w:r>
          </w:p>
        </w:tc>
        <w:tc>
          <w:tcPr>
            <w:tcW w:w="1559" w:type="dxa"/>
          </w:tcPr>
          <w:p w14:paraId="61FB6E11" w14:textId="77777777" w:rsidR="0011703E" w:rsidRPr="00120EB6" w:rsidRDefault="0011703E" w:rsidP="00D945BD">
            <w:pPr>
              <w:rPr>
                <w:lang w:val="en-US"/>
              </w:rPr>
            </w:pPr>
            <w:r w:rsidRPr="00120EB6">
              <w:rPr>
                <w:lang w:val="en-US"/>
              </w:rPr>
              <w:t>CFA</w:t>
            </w:r>
          </w:p>
          <w:p w14:paraId="24A12686" w14:textId="1A0236C2" w:rsidR="0011703E" w:rsidRPr="00120EB6" w:rsidRDefault="0011703E" w:rsidP="00D945BD">
            <w:pPr>
              <w:rPr>
                <w:lang w:val="en-US"/>
              </w:rPr>
            </w:pPr>
            <w:r w:rsidRPr="00120EB6">
              <w:rPr>
                <w:lang w:val="en-US"/>
              </w:rPr>
              <w:lastRenderedPageBreak/>
              <w:t>Parks Victoria</w:t>
            </w:r>
          </w:p>
        </w:tc>
        <w:tc>
          <w:tcPr>
            <w:tcW w:w="1560" w:type="dxa"/>
          </w:tcPr>
          <w:p w14:paraId="554F96D4" w14:textId="77777777" w:rsidR="0011703E" w:rsidRPr="00120EB6" w:rsidRDefault="0011703E" w:rsidP="00D945BD">
            <w:pPr>
              <w:rPr>
                <w:lang w:val="en-US"/>
              </w:rPr>
            </w:pPr>
            <w:r w:rsidRPr="00120EB6">
              <w:rPr>
                <w:lang w:val="en-US"/>
              </w:rPr>
              <w:lastRenderedPageBreak/>
              <w:t>4.1</w:t>
            </w:r>
          </w:p>
          <w:p w14:paraId="695A2D09" w14:textId="77777777" w:rsidR="0011703E" w:rsidRPr="00120EB6" w:rsidRDefault="0011703E" w:rsidP="00D945BD">
            <w:pPr>
              <w:rPr>
                <w:lang w:val="en-US"/>
              </w:rPr>
            </w:pPr>
            <w:r w:rsidRPr="00120EB6">
              <w:rPr>
                <w:lang w:val="en-US"/>
              </w:rPr>
              <w:lastRenderedPageBreak/>
              <w:t>4.3</w:t>
            </w:r>
          </w:p>
        </w:tc>
      </w:tr>
      <w:tr w:rsidR="0011703E" w:rsidRPr="00120EB6" w14:paraId="75102C88" w14:textId="77777777" w:rsidTr="00194243">
        <w:trPr>
          <w:trHeight w:val="60"/>
        </w:trPr>
        <w:tc>
          <w:tcPr>
            <w:tcW w:w="1002" w:type="dxa"/>
          </w:tcPr>
          <w:p w14:paraId="6EB13C34" w14:textId="77777777" w:rsidR="0011703E" w:rsidRPr="00D945BD" w:rsidRDefault="0011703E" w:rsidP="00D945BD">
            <w:pPr>
              <w:rPr>
                <w:b/>
                <w:bCs/>
                <w:lang w:val="en-US"/>
              </w:rPr>
            </w:pPr>
            <w:r w:rsidRPr="00D945BD">
              <w:rPr>
                <w:b/>
                <w:bCs/>
                <w:lang w:val="en-US"/>
              </w:rPr>
              <w:t>4.f</w:t>
            </w:r>
          </w:p>
        </w:tc>
        <w:tc>
          <w:tcPr>
            <w:tcW w:w="1970" w:type="dxa"/>
          </w:tcPr>
          <w:p w14:paraId="205F8FAD" w14:textId="77777777" w:rsidR="0011703E" w:rsidRPr="00120EB6" w:rsidRDefault="0011703E" w:rsidP="00D945BD">
            <w:pPr>
              <w:rPr>
                <w:lang w:val="en-US"/>
              </w:rPr>
            </w:pPr>
            <w:r w:rsidRPr="00120EB6">
              <w:rPr>
                <w:lang w:val="en-US"/>
              </w:rPr>
              <w:t>Deliver Fire Ecology Strategy Roadmap goal 5 – Improve the comprehensiveness and rigour of ecosystem resilience in the context of fire management by supporting research projects and better integrating contemporary science</w:t>
            </w:r>
          </w:p>
        </w:tc>
        <w:tc>
          <w:tcPr>
            <w:tcW w:w="1559" w:type="dxa"/>
          </w:tcPr>
          <w:p w14:paraId="0D17B233" w14:textId="77777777" w:rsidR="0011703E" w:rsidRPr="00120EB6" w:rsidRDefault="0011703E" w:rsidP="00D945BD">
            <w:pPr>
              <w:rPr>
                <w:lang w:val="en-US"/>
              </w:rPr>
            </w:pPr>
            <w:r w:rsidRPr="00120EB6">
              <w:rPr>
                <w:lang w:val="en-US"/>
              </w:rPr>
              <w:t>June 2025</w:t>
            </w:r>
          </w:p>
        </w:tc>
        <w:tc>
          <w:tcPr>
            <w:tcW w:w="1276" w:type="dxa"/>
          </w:tcPr>
          <w:p w14:paraId="611BF38A" w14:textId="77777777" w:rsidR="0011703E" w:rsidRPr="00120EB6" w:rsidRDefault="0011703E" w:rsidP="00D945BD">
            <w:pPr>
              <w:rPr>
                <w:lang w:val="en-US"/>
              </w:rPr>
            </w:pPr>
            <w:r w:rsidRPr="00120EB6">
              <w:rPr>
                <w:lang w:val="en-US"/>
              </w:rPr>
              <w:t>DEECA</w:t>
            </w:r>
          </w:p>
        </w:tc>
        <w:tc>
          <w:tcPr>
            <w:tcW w:w="1559" w:type="dxa"/>
          </w:tcPr>
          <w:p w14:paraId="1AABDD0B" w14:textId="77777777" w:rsidR="0011703E" w:rsidRPr="00120EB6" w:rsidRDefault="0011703E" w:rsidP="00D945BD">
            <w:pPr>
              <w:rPr>
                <w:lang w:val="en-US"/>
              </w:rPr>
            </w:pPr>
            <w:r w:rsidRPr="00120EB6">
              <w:rPr>
                <w:lang w:val="en-US"/>
              </w:rPr>
              <w:t>CFA</w:t>
            </w:r>
          </w:p>
          <w:p w14:paraId="22F607C3" w14:textId="444B5FED" w:rsidR="0011703E" w:rsidRPr="00120EB6" w:rsidRDefault="0011703E" w:rsidP="00D945BD">
            <w:pPr>
              <w:rPr>
                <w:lang w:val="en-US"/>
              </w:rPr>
            </w:pPr>
            <w:r w:rsidRPr="00120EB6">
              <w:rPr>
                <w:lang w:val="en-US"/>
              </w:rPr>
              <w:t>Parks Victoria</w:t>
            </w:r>
          </w:p>
        </w:tc>
        <w:tc>
          <w:tcPr>
            <w:tcW w:w="1560" w:type="dxa"/>
          </w:tcPr>
          <w:p w14:paraId="5394967C" w14:textId="77777777" w:rsidR="0011703E" w:rsidRPr="00120EB6" w:rsidRDefault="0011703E" w:rsidP="00D945BD">
            <w:pPr>
              <w:rPr>
                <w:lang w:val="en-US"/>
              </w:rPr>
            </w:pPr>
            <w:r w:rsidRPr="00120EB6">
              <w:rPr>
                <w:lang w:val="en-US"/>
              </w:rPr>
              <w:t>4.1</w:t>
            </w:r>
          </w:p>
          <w:p w14:paraId="065DFA4D" w14:textId="77777777" w:rsidR="0011703E" w:rsidRPr="00120EB6" w:rsidRDefault="0011703E" w:rsidP="00D945BD">
            <w:pPr>
              <w:rPr>
                <w:lang w:val="en-US"/>
              </w:rPr>
            </w:pPr>
            <w:r w:rsidRPr="00120EB6">
              <w:rPr>
                <w:lang w:val="en-US"/>
              </w:rPr>
              <w:t>4.2</w:t>
            </w:r>
          </w:p>
          <w:p w14:paraId="5E581AFC" w14:textId="77777777" w:rsidR="0011703E" w:rsidRPr="00120EB6" w:rsidRDefault="0011703E" w:rsidP="00D945BD">
            <w:pPr>
              <w:rPr>
                <w:lang w:val="en-US"/>
              </w:rPr>
            </w:pPr>
            <w:r w:rsidRPr="00120EB6">
              <w:rPr>
                <w:lang w:val="en-US"/>
              </w:rPr>
              <w:t>4.3</w:t>
            </w:r>
          </w:p>
        </w:tc>
      </w:tr>
      <w:tr w:rsidR="0011703E" w:rsidRPr="00120EB6" w14:paraId="20E9190A" w14:textId="77777777" w:rsidTr="007B6605">
        <w:trPr>
          <w:trHeight w:val="60"/>
        </w:trPr>
        <w:tc>
          <w:tcPr>
            <w:tcW w:w="1002" w:type="dxa"/>
          </w:tcPr>
          <w:p w14:paraId="08894855" w14:textId="77777777" w:rsidR="0011703E" w:rsidRPr="00D945BD" w:rsidRDefault="0011703E" w:rsidP="00D945BD">
            <w:pPr>
              <w:rPr>
                <w:b/>
                <w:bCs/>
                <w:lang w:val="en-US"/>
              </w:rPr>
            </w:pPr>
            <w:r w:rsidRPr="00D945BD">
              <w:rPr>
                <w:b/>
                <w:bCs/>
                <w:lang w:val="en-US"/>
              </w:rPr>
              <w:t>4.g</w:t>
            </w:r>
          </w:p>
        </w:tc>
        <w:tc>
          <w:tcPr>
            <w:tcW w:w="1970" w:type="dxa"/>
          </w:tcPr>
          <w:p w14:paraId="15A8A026" w14:textId="77777777" w:rsidR="0011703E" w:rsidRPr="00120EB6" w:rsidRDefault="0011703E" w:rsidP="00D945BD">
            <w:pPr>
              <w:rPr>
                <w:lang w:val="en-US"/>
              </w:rPr>
            </w:pPr>
            <w:r w:rsidRPr="00120EB6">
              <w:rPr>
                <w:lang w:val="en-US"/>
              </w:rPr>
              <w:t xml:space="preserve">Improve and expand the guidance, evaluation and monitoring of the fuel management program for ecosystem </w:t>
            </w:r>
            <w:r w:rsidRPr="00120EB6">
              <w:rPr>
                <w:lang w:val="en-US"/>
              </w:rPr>
              <w:lastRenderedPageBreak/>
              <w:t>resilience outcomes</w:t>
            </w:r>
          </w:p>
        </w:tc>
        <w:tc>
          <w:tcPr>
            <w:tcW w:w="1559" w:type="dxa"/>
          </w:tcPr>
          <w:p w14:paraId="01149F49" w14:textId="77777777" w:rsidR="0011703E" w:rsidRPr="00120EB6" w:rsidRDefault="0011703E" w:rsidP="00D945BD">
            <w:pPr>
              <w:rPr>
                <w:lang w:val="en-US"/>
              </w:rPr>
            </w:pPr>
            <w:r w:rsidRPr="00120EB6">
              <w:rPr>
                <w:lang w:val="en-US"/>
              </w:rPr>
              <w:lastRenderedPageBreak/>
              <w:t>June 2025</w:t>
            </w:r>
          </w:p>
        </w:tc>
        <w:tc>
          <w:tcPr>
            <w:tcW w:w="1276" w:type="dxa"/>
          </w:tcPr>
          <w:p w14:paraId="0F2F5FF5" w14:textId="77777777" w:rsidR="0011703E" w:rsidRPr="00120EB6" w:rsidRDefault="0011703E" w:rsidP="00D945BD">
            <w:pPr>
              <w:rPr>
                <w:lang w:val="en-US"/>
              </w:rPr>
            </w:pPr>
            <w:r w:rsidRPr="00120EB6">
              <w:rPr>
                <w:lang w:val="en-US"/>
              </w:rPr>
              <w:t>DEECA</w:t>
            </w:r>
          </w:p>
        </w:tc>
        <w:tc>
          <w:tcPr>
            <w:tcW w:w="1559" w:type="dxa"/>
          </w:tcPr>
          <w:p w14:paraId="3D449118" w14:textId="77777777" w:rsidR="0011703E" w:rsidRPr="00120EB6" w:rsidRDefault="0011703E" w:rsidP="00D945BD">
            <w:pPr>
              <w:rPr>
                <w:lang w:val="en-US"/>
              </w:rPr>
            </w:pPr>
            <w:r w:rsidRPr="00120EB6">
              <w:rPr>
                <w:lang w:val="en-US"/>
              </w:rPr>
              <w:t>CFA</w:t>
            </w:r>
          </w:p>
          <w:p w14:paraId="167CD7DF" w14:textId="09D7F7A8" w:rsidR="0011703E" w:rsidRPr="00120EB6" w:rsidRDefault="0011703E" w:rsidP="00D945BD">
            <w:pPr>
              <w:rPr>
                <w:lang w:val="en-US"/>
              </w:rPr>
            </w:pPr>
            <w:r w:rsidRPr="00120EB6">
              <w:rPr>
                <w:lang w:val="en-US"/>
              </w:rPr>
              <w:t>Parks Victoria</w:t>
            </w:r>
          </w:p>
        </w:tc>
        <w:tc>
          <w:tcPr>
            <w:tcW w:w="1560" w:type="dxa"/>
          </w:tcPr>
          <w:p w14:paraId="4E723FAB" w14:textId="77777777" w:rsidR="0011703E" w:rsidRPr="00120EB6" w:rsidRDefault="0011703E" w:rsidP="00D945BD">
            <w:pPr>
              <w:rPr>
                <w:lang w:val="en-US"/>
              </w:rPr>
            </w:pPr>
            <w:r w:rsidRPr="00120EB6">
              <w:rPr>
                <w:lang w:val="en-US"/>
              </w:rPr>
              <w:t>4.1</w:t>
            </w:r>
          </w:p>
          <w:p w14:paraId="1001676A" w14:textId="77777777" w:rsidR="0011703E" w:rsidRPr="00120EB6" w:rsidRDefault="0011703E" w:rsidP="00D945BD">
            <w:pPr>
              <w:rPr>
                <w:lang w:val="en-US"/>
              </w:rPr>
            </w:pPr>
            <w:r w:rsidRPr="00120EB6">
              <w:rPr>
                <w:lang w:val="en-US"/>
              </w:rPr>
              <w:t>4.3</w:t>
            </w:r>
          </w:p>
        </w:tc>
      </w:tr>
    </w:tbl>
    <w:p w14:paraId="29724BB5" w14:textId="77777777" w:rsidR="00120EB6" w:rsidRPr="00120EB6" w:rsidRDefault="00120EB6" w:rsidP="00120EB6">
      <w:pPr>
        <w:spacing w:before="0" w:after="0"/>
        <w:rPr>
          <w:lang w:val="en-US"/>
        </w:rPr>
      </w:pPr>
    </w:p>
    <w:p w14:paraId="45E3B19C" w14:textId="7D1DEA3B" w:rsidR="00120EB6" w:rsidRPr="00120EB6" w:rsidRDefault="00120EB6" w:rsidP="009B11A5">
      <w:pPr>
        <w:pStyle w:val="Heading2"/>
        <w:numPr>
          <w:ilvl w:val="0"/>
          <w:numId w:val="4"/>
        </w:numPr>
        <w:rPr>
          <w:lang w:val="en-US"/>
        </w:rPr>
      </w:pPr>
      <w:bookmarkStart w:id="21" w:name="_Toc166682357"/>
      <w:r w:rsidRPr="00120EB6">
        <w:rPr>
          <w:lang w:val="en-US"/>
        </w:rPr>
        <w:t>Informed decision-making, evidence-based approaches and tools</w:t>
      </w:r>
      <w:bookmarkEnd w:id="21"/>
    </w:p>
    <w:p w14:paraId="5B51D26F" w14:textId="54A4BB81" w:rsidR="00120EB6" w:rsidRPr="00D945BD" w:rsidRDefault="00D945BD" w:rsidP="00D945BD">
      <w:pPr>
        <w:pStyle w:val="BlockText"/>
      </w:pPr>
      <w:r w:rsidRPr="00120EB6">
        <w:rPr>
          <w:b/>
          <w:bCs/>
          <w:lang w:val="en-US"/>
        </w:rPr>
        <w:t>Outcome:</w:t>
      </w:r>
      <w:r w:rsidRPr="00120EB6">
        <w:rPr>
          <w:lang w:val="en-US"/>
        </w:rPr>
        <w:t xml:space="preserve"> Victoria uses the best available science, innovation and knowledge to support evidence-based decisions.</w:t>
      </w:r>
    </w:p>
    <w:p w14:paraId="6D02DA64" w14:textId="77777777" w:rsidR="00120EB6" w:rsidRPr="00120EB6" w:rsidRDefault="00120EB6" w:rsidP="00120EB6">
      <w:pPr>
        <w:spacing w:before="0" w:after="0"/>
        <w:rPr>
          <w:lang w:val="en-US"/>
        </w:rPr>
      </w:pPr>
    </w:p>
    <w:p w14:paraId="21812804" w14:textId="77777777" w:rsidR="00120EB6" w:rsidRPr="00120EB6" w:rsidRDefault="00120EB6" w:rsidP="00D945BD">
      <w:pPr>
        <w:rPr>
          <w:lang w:val="en-US"/>
        </w:rPr>
      </w:pPr>
      <w:r w:rsidRPr="00120EB6">
        <w:rPr>
          <w:lang w:val="en-US"/>
        </w:rPr>
        <w:t>Adapting to and reducing the impact of climate change on bushfire risk requires a strong and continuously improving foundation of knowledge, evidence and tools.</w:t>
      </w:r>
    </w:p>
    <w:p w14:paraId="72E8D454" w14:textId="77777777" w:rsidR="00120EB6" w:rsidRPr="00120EB6" w:rsidRDefault="00120EB6" w:rsidP="00D945BD">
      <w:pPr>
        <w:rPr>
          <w:lang w:val="en-US"/>
        </w:rPr>
      </w:pPr>
      <w:r w:rsidRPr="00120EB6">
        <w:rPr>
          <w:lang w:val="en-US"/>
        </w:rPr>
        <w:t xml:space="preserve">The sector’s current risk-based approach to managing bushfires informs all tiers of planning, from strategic to operational. The approach assesses the likelihood of fires starting and spreading and also considers the possible impacts of fires and fire response activities on human life, health and wellbeing, communities, cultural heritage, the environment and critical infrastructure. </w:t>
      </w:r>
    </w:p>
    <w:p w14:paraId="6926812A" w14:textId="77777777" w:rsidR="00120EB6" w:rsidRPr="00120EB6" w:rsidRDefault="00120EB6" w:rsidP="00D945BD">
      <w:pPr>
        <w:rPr>
          <w:lang w:val="en-US"/>
        </w:rPr>
      </w:pPr>
      <w:r w:rsidRPr="00120EB6">
        <w:rPr>
          <w:lang w:val="en-US"/>
        </w:rPr>
        <w:t>The actions in this domain are led by DEECA and the CFA with support from the entire sector. Together they ensure that sector delivery is based on the latest science, including bushfire-risk modelling, climate change and fire ecology. This means the sector can deliver contemporary targets and continue to prioritise the things that are most important to communities.</w:t>
      </w:r>
    </w:p>
    <w:p w14:paraId="053622C5" w14:textId="77777777" w:rsidR="00120EB6" w:rsidRPr="00120EB6" w:rsidRDefault="00120EB6" w:rsidP="00120EB6">
      <w:pPr>
        <w:spacing w:before="0" w:after="0"/>
        <w:rPr>
          <w:lang w:val="en-US"/>
        </w:rPr>
      </w:pPr>
    </w:p>
    <w:tbl>
      <w:tblPr>
        <w:tblStyle w:val="TableGrid"/>
        <w:tblW w:w="9067" w:type="dxa"/>
        <w:tblLayout w:type="fixed"/>
        <w:tblLook w:val="0020" w:firstRow="1" w:lastRow="0" w:firstColumn="0" w:lastColumn="0" w:noHBand="0" w:noVBand="0"/>
      </w:tblPr>
      <w:tblGrid>
        <w:gridCol w:w="1002"/>
        <w:gridCol w:w="2334"/>
        <w:gridCol w:w="1195"/>
        <w:gridCol w:w="993"/>
        <w:gridCol w:w="1984"/>
        <w:gridCol w:w="1559"/>
      </w:tblGrid>
      <w:tr w:rsidR="00120EB6" w:rsidRPr="00120EB6" w14:paraId="56369301" w14:textId="77777777" w:rsidTr="00D945BD">
        <w:trPr>
          <w:cantSplit/>
          <w:trHeight w:val="1125"/>
          <w:tblHeader/>
        </w:trPr>
        <w:tc>
          <w:tcPr>
            <w:tcW w:w="1002" w:type="dxa"/>
          </w:tcPr>
          <w:p w14:paraId="08E0925F" w14:textId="77777777" w:rsidR="00120EB6" w:rsidRPr="00D945BD" w:rsidRDefault="00120EB6" w:rsidP="00D945BD">
            <w:pPr>
              <w:rPr>
                <w:b/>
                <w:bCs/>
                <w:lang w:val="en-US"/>
              </w:rPr>
            </w:pPr>
            <w:r w:rsidRPr="00D945BD">
              <w:rPr>
                <w:b/>
                <w:bCs/>
                <w:lang w:val="en-US"/>
              </w:rPr>
              <w:t>Number</w:t>
            </w:r>
          </w:p>
        </w:tc>
        <w:tc>
          <w:tcPr>
            <w:tcW w:w="2334" w:type="dxa"/>
          </w:tcPr>
          <w:p w14:paraId="2A5BFFD5" w14:textId="77777777" w:rsidR="00120EB6" w:rsidRPr="00D945BD" w:rsidRDefault="00120EB6" w:rsidP="00D945BD">
            <w:pPr>
              <w:rPr>
                <w:b/>
                <w:bCs/>
                <w:lang w:val="en-US"/>
              </w:rPr>
            </w:pPr>
            <w:r w:rsidRPr="00D945BD">
              <w:rPr>
                <w:b/>
                <w:bCs/>
                <w:lang w:val="en-US"/>
              </w:rPr>
              <w:t xml:space="preserve">Action </w:t>
            </w:r>
          </w:p>
        </w:tc>
        <w:tc>
          <w:tcPr>
            <w:tcW w:w="1195" w:type="dxa"/>
          </w:tcPr>
          <w:p w14:paraId="2672667F" w14:textId="77777777" w:rsidR="00120EB6" w:rsidRPr="00D945BD" w:rsidRDefault="00120EB6" w:rsidP="00D945BD">
            <w:pPr>
              <w:rPr>
                <w:b/>
                <w:bCs/>
                <w:lang w:val="en-US"/>
              </w:rPr>
            </w:pPr>
            <w:r w:rsidRPr="00D945BD">
              <w:rPr>
                <w:b/>
                <w:bCs/>
                <w:lang w:val="en-US"/>
              </w:rPr>
              <w:t>Delivery date</w:t>
            </w:r>
          </w:p>
        </w:tc>
        <w:tc>
          <w:tcPr>
            <w:tcW w:w="993" w:type="dxa"/>
          </w:tcPr>
          <w:p w14:paraId="0DD2E0FE" w14:textId="77777777" w:rsidR="00120EB6" w:rsidRPr="00D945BD" w:rsidRDefault="00120EB6" w:rsidP="00D945BD">
            <w:pPr>
              <w:rPr>
                <w:b/>
                <w:bCs/>
                <w:lang w:val="en-US"/>
              </w:rPr>
            </w:pPr>
            <w:r w:rsidRPr="00D945BD">
              <w:rPr>
                <w:b/>
                <w:bCs/>
                <w:lang w:val="en-US"/>
              </w:rPr>
              <w:t xml:space="preserve">Leads </w:t>
            </w:r>
          </w:p>
        </w:tc>
        <w:tc>
          <w:tcPr>
            <w:tcW w:w="1984" w:type="dxa"/>
          </w:tcPr>
          <w:p w14:paraId="6E0E355B" w14:textId="77777777" w:rsidR="00120EB6" w:rsidRPr="00D945BD" w:rsidRDefault="00120EB6" w:rsidP="00D945BD">
            <w:pPr>
              <w:rPr>
                <w:b/>
                <w:bCs/>
                <w:lang w:val="en-US"/>
              </w:rPr>
            </w:pPr>
            <w:r w:rsidRPr="00D945BD">
              <w:rPr>
                <w:b/>
                <w:bCs/>
                <w:lang w:val="en-US"/>
              </w:rPr>
              <w:t>Partners</w:t>
            </w:r>
          </w:p>
        </w:tc>
        <w:tc>
          <w:tcPr>
            <w:tcW w:w="1559" w:type="dxa"/>
          </w:tcPr>
          <w:p w14:paraId="3221D008" w14:textId="77777777" w:rsidR="00120EB6" w:rsidRPr="00D945BD" w:rsidRDefault="00120EB6" w:rsidP="00D945BD">
            <w:pPr>
              <w:rPr>
                <w:b/>
                <w:bCs/>
                <w:lang w:val="en-US"/>
              </w:rPr>
            </w:pPr>
            <w:r w:rsidRPr="00D945BD">
              <w:rPr>
                <w:b/>
                <w:bCs/>
                <w:lang w:val="en-US"/>
              </w:rPr>
              <w:t>The Strategy’s strategic directions</w:t>
            </w:r>
          </w:p>
        </w:tc>
      </w:tr>
      <w:tr w:rsidR="0011703E" w:rsidRPr="00120EB6" w14:paraId="4227AF61" w14:textId="77777777" w:rsidTr="00D35CE8">
        <w:trPr>
          <w:trHeight w:val="1327"/>
        </w:trPr>
        <w:tc>
          <w:tcPr>
            <w:tcW w:w="1002" w:type="dxa"/>
          </w:tcPr>
          <w:p w14:paraId="06B26DE0" w14:textId="77777777" w:rsidR="0011703E" w:rsidRPr="00D945BD" w:rsidRDefault="0011703E" w:rsidP="00D945BD">
            <w:pPr>
              <w:rPr>
                <w:b/>
                <w:bCs/>
                <w:lang w:val="en-US"/>
              </w:rPr>
            </w:pPr>
            <w:r w:rsidRPr="00D945BD">
              <w:rPr>
                <w:b/>
                <w:bCs/>
                <w:lang w:val="en-US"/>
              </w:rPr>
              <w:t>5.a</w:t>
            </w:r>
          </w:p>
        </w:tc>
        <w:tc>
          <w:tcPr>
            <w:tcW w:w="2334" w:type="dxa"/>
          </w:tcPr>
          <w:p w14:paraId="062DDC0E" w14:textId="77777777" w:rsidR="0011703E" w:rsidRPr="00120EB6" w:rsidRDefault="0011703E" w:rsidP="00D945BD">
            <w:pPr>
              <w:rPr>
                <w:lang w:val="en-US"/>
              </w:rPr>
            </w:pPr>
            <w:r w:rsidRPr="00120EB6">
              <w:rPr>
                <w:lang w:val="en-US"/>
              </w:rPr>
              <w:t xml:space="preserve">Undertake research into continuous improvements of the strategic bushfire risk </w:t>
            </w:r>
            <w:r w:rsidRPr="00120EB6">
              <w:rPr>
                <w:lang w:val="en-US"/>
              </w:rPr>
              <w:lastRenderedPageBreak/>
              <w:t>modelling framework, including implementation of enhancements delivered by the Risk 2.0 project and continuing research on understanding the cost effectiveness of bushfire management to reduce risk to multiple values in a changing climate</w:t>
            </w:r>
          </w:p>
        </w:tc>
        <w:tc>
          <w:tcPr>
            <w:tcW w:w="1195" w:type="dxa"/>
          </w:tcPr>
          <w:p w14:paraId="285FC8F9" w14:textId="77777777" w:rsidR="0011703E" w:rsidRPr="00120EB6" w:rsidRDefault="0011703E" w:rsidP="00D945BD">
            <w:pPr>
              <w:rPr>
                <w:lang w:val="en-US"/>
              </w:rPr>
            </w:pPr>
            <w:r w:rsidRPr="00120EB6">
              <w:rPr>
                <w:lang w:val="en-US"/>
              </w:rPr>
              <w:lastRenderedPageBreak/>
              <w:t>June 2025</w:t>
            </w:r>
          </w:p>
        </w:tc>
        <w:tc>
          <w:tcPr>
            <w:tcW w:w="993" w:type="dxa"/>
          </w:tcPr>
          <w:p w14:paraId="7DADC1A9" w14:textId="77777777" w:rsidR="0011703E" w:rsidRPr="00120EB6" w:rsidRDefault="0011703E" w:rsidP="00D945BD">
            <w:pPr>
              <w:rPr>
                <w:lang w:val="en-US"/>
              </w:rPr>
            </w:pPr>
            <w:r w:rsidRPr="00120EB6">
              <w:rPr>
                <w:lang w:val="en-US"/>
              </w:rPr>
              <w:t>DEECA</w:t>
            </w:r>
          </w:p>
        </w:tc>
        <w:tc>
          <w:tcPr>
            <w:tcW w:w="1984" w:type="dxa"/>
          </w:tcPr>
          <w:p w14:paraId="1934F2D2" w14:textId="74258278" w:rsidR="0011703E" w:rsidRPr="00120EB6" w:rsidRDefault="0011703E" w:rsidP="00D945BD">
            <w:pPr>
              <w:rPr>
                <w:lang w:val="en-GB"/>
              </w:rPr>
            </w:pPr>
            <w:r w:rsidRPr="00120EB6">
              <w:rPr>
                <w:lang w:val="en-US"/>
              </w:rPr>
              <w:t>Parks Victoria</w:t>
            </w:r>
          </w:p>
        </w:tc>
        <w:tc>
          <w:tcPr>
            <w:tcW w:w="1559" w:type="dxa"/>
          </w:tcPr>
          <w:p w14:paraId="1F542A13" w14:textId="77777777" w:rsidR="0011703E" w:rsidRPr="00120EB6" w:rsidRDefault="0011703E" w:rsidP="00D945BD">
            <w:pPr>
              <w:rPr>
                <w:lang w:val="en-US"/>
              </w:rPr>
            </w:pPr>
            <w:r w:rsidRPr="00120EB6">
              <w:rPr>
                <w:lang w:val="en-US"/>
              </w:rPr>
              <w:t>1.4</w:t>
            </w:r>
          </w:p>
          <w:p w14:paraId="7ADECED3" w14:textId="77777777" w:rsidR="0011703E" w:rsidRPr="00120EB6" w:rsidRDefault="0011703E" w:rsidP="00D945BD">
            <w:pPr>
              <w:rPr>
                <w:lang w:val="en-US"/>
              </w:rPr>
            </w:pPr>
            <w:r w:rsidRPr="00120EB6">
              <w:rPr>
                <w:lang w:val="en-US"/>
              </w:rPr>
              <w:t>5.1</w:t>
            </w:r>
          </w:p>
          <w:p w14:paraId="50B17022" w14:textId="77777777" w:rsidR="0011703E" w:rsidRPr="00120EB6" w:rsidRDefault="0011703E" w:rsidP="00D945BD">
            <w:pPr>
              <w:rPr>
                <w:lang w:val="en-US"/>
              </w:rPr>
            </w:pPr>
            <w:r w:rsidRPr="00120EB6">
              <w:rPr>
                <w:lang w:val="en-US"/>
              </w:rPr>
              <w:lastRenderedPageBreak/>
              <w:t>5.2</w:t>
            </w:r>
          </w:p>
        </w:tc>
      </w:tr>
      <w:tr w:rsidR="0011703E" w:rsidRPr="00120EB6" w14:paraId="122A5417" w14:textId="77777777" w:rsidTr="00F82B99">
        <w:trPr>
          <w:trHeight w:val="60"/>
        </w:trPr>
        <w:tc>
          <w:tcPr>
            <w:tcW w:w="1002" w:type="dxa"/>
          </w:tcPr>
          <w:p w14:paraId="077FECB7" w14:textId="77777777" w:rsidR="0011703E" w:rsidRPr="00D945BD" w:rsidRDefault="0011703E" w:rsidP="00D945BD">
            <w:pPr>
              <w:rPr>
                <w:b/>
                <w:bCs/>
                <w:lang w:val="en-US"/>
              </w:rPr>
            </w:pPr>
            <w:r w:rsidRPr="00D945BD">
              <w:rPr>
                <w:b/>
                <w:bCs/>
                <w:lang w:val="en-US"/>
              </w:rPr>
              <w:t>5.b</w:t>
            </w:r>
          </w:p>
        </w:tc>
        <w:tc>
          <w:tcPr>
            <w:tcW w:w="2334" w:type="dxa"/>
          </w:tcPr>
          <w:p w14:paraId="51A8DF1A" w14:textId="77777777" w:rsidR="0011703E" w:rsidRPr="00120EB6" w:rsidRDefault="0011703E" w:rsidP="00D945BD">
            <w:pPr>
              <w:rPr>
                <w:lang w:val="en-US"/>
              </w:rPr>
            </w:pPr>
            <w:r w:rsidRPr="00120EB6">
              <w:rPr>
                <w:lang w:val="en-US"/>
              </w:rPr>
              <w:t>Undertake research on how agencies can better engage with communities, with an initial focus on climate change and vegetation management</w:t>
            </w:r>
          </w:p>
        </w:tc>
        <w:tc>
          <w:tcPr>
            <w:tcW w:w="1195" w:type="dxa"/>
          </w:tcPr>
          <w:p w14:paraId="5683D23E" w14:textId="77777777" w:rsidR="0011703E" w:rsidRPr="00120EB6" w:rsidRDefault="0011703E" w:rsidP="00D945BD">
            <w:pPr>
              <w:rPr>
                <w:lang w:val="en-US"/>
              </w:rPr>
            </w:pPr>
            <w:r w:rsidRPr="00120EB6">
              <w:rPr>
                <w:lang w:val="en-US"/>
              </w:rPr>
              <w:t>June 2025</w:t>
            </w:r>
          </w:p>
        </w:tc>
        <w:tc>
          <w:tcPr>
            <w:tcW w:w="993" w:type="dxa"/>
          </w:tcPr>
          <w:p w14:paraId="1A2580A6" w14:textId="77777777" w:rsidR="0011703E" w:rsidRPr="00120EB6" w:rsidRDefault="0011703E" w:rsidP="00D945BD">
            <w:pPr>
              <w:rPr>
                <w:lang w:val="en-US"/>
              </w:rPr>
            </w:pPr>
            <w:r w:rsidRPr="00120EB6">
              <w:rPr>
                <w:lang w:val="en-US"/>
              </w:rPr>
              <w:t>DEECA</w:t>
            </w:r>
          </w:p>
          <w:p w14:paraId="2BC517E7" w14:textId="77777777" w:rsidR="0011703E" w:rsidRPr="00120EB6" w:rsidRDefault="0011703E" w:rsidP="00D945BD">
            <w:pPr>
              <w:rPr>
                <w:lang w:val="en-US"/>
              </w:rPr>
            </w:pPr>
            <w:r w:rsidRPr="00120EB6">
              <w:rPr>
                <w:lang w:val="en-US"/>
              </w:rPr>
              <w:t>CFA</w:t>
            </w:r>
          </w:p>
        </w:tc>
        <w:tc>
          <w:tcPr>
            <w:tcW w:w="1984" w:type="dxa"/>
          </w:tcPr>
          <w:p w14:paraId="0E847CE5" w14:textId="5705F083" w:rsidR="0011703E" w:rsidRPr="00120EB6" w:rsidRDefault="0011703E" w:rsidP="00D945BD">
            <w:pPr>
              <w:rPr>
                <w:lang w:val="en-GB"/>
              </w:rPr>
            </w:pPr>
            <w:r w:rsidRPr="00120EB6">
              <w:rPr>
                <w:lang w:val="en-US"/>
              </w:rPr>
              <w:t>Parks Victoria</w:t>
            </w:r>
          </w:p>
        </w:tc>
        <w:tc>
          <w:tcPr>
            <w:tcW w:w="1559" w:type="dxa"/>
          </w:tcPr>
          <w:p w14:paraId="0BB819A9" w14:textId="77777777" w:rsidR="0011703E" w:rsidRPr="00120EB6" w:rsidRDefault="0011703E" w:rsidP="00D945BD">
            <w:pPr>
              <w:rPr>
                <w:lang w:val="en-US"/>
              </w:rPr>
            </w:pPr>
            <w:r w:rsidRPr="00120EB6">
              <w:rPr>
                <w:lang w:val="en-US"/>
              </w:rPr>
              <w:t>1.3</w:t>
            </w:r>
          </w:p>
          <w:p w14:paraId="30BD3246" w14:textId="77777777" w:rsidR="0011703E" w:rsidRPr="00120EB6" w:rsidRDefault="0011703E" w:rsidP="00D945BD">
            <w:pPr>
              <w:rPr>
                <w:lang w:val="en-US"/>
              </w:rPr>
            </w:pPr>
            <w:r w:rsidRPr="00120EB6">
              <w:rPr>
                <w:lang w:val="en-US"/>
              </w:rPr>
              <w:t>1.4</w:t>
            </w:r>
          </w:p>
          <w:p w14:paraId="653E8503" w14:textId="77777777" w:rsidR="0011703E" w:rsidRPr="00120EB6" w:rsidRDefault="0011703E" w:rsidP="00D945BD">
            <w:pPr>
              <w:rPr>
                <w:lang w:val="en-US"/>
              </w:rPr>
            </w:pPr>
            <w:r w:rsidRPr="00120EB6">
              <w:rPr>
                <w:lang w:val="en-US"/>
              </w:rPr>
              <w:t>5.1</w:t>
            </w:r>
          </w:p>
          <w:p w14:paraId="2A81BF46" w14:textId="77777777" w:rsidR="0011703E" w:rsidRPr="00120EB6" w:rsidRDefault="0011703E" w:rsidP="00D945BD">
            <w:pPr>
              <w:rPr>
                <w:lang w:val="en-US"/>
              </w:rPr>
            </w:pPr>
            <w:r w:rsidRPr="00120EB6">
              <w:rPr>
                <w:lang w:val="en-US"/>
              </w:rPr>
              <w:t>5.3</w:t>
            </w:r>
          </w:p>
          <w:p w14:paraId="4E93AB95" w14:textId="77777777" w:rsidR="0011703E" w:rsidRPr="00120EB6" w:rsidRDefault="0011703E" w:rsidP="00D945BD">
            <w:pPr>
              <w:rPr>
                <w:lang w:val="en-US"/>
              </w:rPr>
            </w:pPr>
            <w:r w:rsidRPr="00120EB6">
              <w:rPr>
                <w:lang w:val="en-US"/>
              </w:rPr>
              <w:t>6.1</w:t>
            </w:r>
          </w:p>
        </w:tc>
      </w:tr>
      <w:tr w:rsidR="0011703E" w:rsidRPr="00120EB6" w14:paraId="45B49C1E" w14:textId="77777777" w:rsidTr="00445761">
        <w:trPr>
          <w:trHeight w:val="60"/>
        </w:trPr>
        <w:tc>
          <w:tcPr>
            <w:tcW w:w="1002" w:type="dxa"/>
          </w:tcPr>
          <w:p w14:paraId="7CE8AB7A" w14:textId="77777777" w:rsidR="0011703E" w:rsidRPr="00D945BD" w:rsidRDefault="0011703E" w:rsidP="00D945BD">
            <w:pPr>
              <w:rPr>
                <w:b/>
                <w:bCs/>
                <w:lang w:val="en-US"/>
              </w:rPr>
            </w:pPr>
            <w:r w:rsidRPr="00D945BD">
              <w:rPr>
                <w:b/>
                <w:bCs/>
                <w:lang w:val="en-US"/>
              </w:rPr>
              <w:t>5.c</w:t>
            </w:r>
          </w:p>
        </w:tc>
        <w:tc>
          <w:tcPr>
            <w:tcW w:w="2334" w:type="dxa"/>
          </w:tcPr>
          <w:p w14:paraId="05075F36" w14:textId="77777777" w:rsidR="0011703E" w:rsidRPr="00120EB6" w:rsidRDefault="0011703E" w:rsidP="00D945BD">
            <w:pPr>
              <w:rPr>
                <w:lang w:val="en-US"/>
              </w:rPr>
            </w:pPr>
            <w:r w:rsidRPr="00120EB6">
              <w:rPr>
                <w:lang w:val="en-US"/>
              </w:rPr>
              <w:t>Undertake research into risk reduction strategies, models and approaches that optimise operations related to suppression effectiveness and vegetation management</w:t>
            </w:r>
          </w:p>
        </w:tc>
        <w:tc>
          <w:tcPr>
            <w:tcW w:w="1195" w:type="dxa"/>
          </w:tcPr>
          <w:p w14:paraId="06DC3FB6" w14:textId="77777777" w:rsidR="0011703E" w:rsidRPr="00120EB6" w:rsidRDefault="0011703E" w:rsidP="00D945BD">
            <w:pPr>
              <w:rPr>
                <w:lang w:val="en-US"/>
              </w:rPr>
            </w:pPr>
            <w:r w:rsidRPr="00120EB6">
              <w:rPr>
                <w:lang w:val="en-US"/>
              </w:rPr>
              <w:t>June 2025</w:t>
            </w:r>
          </w:p>
        </w:tc>
        <w:tc>
          <w:tcPr>
            <w:tcW w:w="993" w:type="dxa"/>
          </w:tcPr>
          <w:p w14:paraId="4A84D939" w14:textId="77777777" w:rsidR="0011703E" w:rsidRPr="00120EB6" w:rsidRDefault="0011703E" w:rsidP="00D945BD">
            <w:pPr>
              <w:rPr>
                <w:lang w:val="en-US"/>
              </w:rPr>
            </w:pPr>
            <w:r w:rsidRPr="00120EB6">
              <w:rPr>
                <w:lang w:val="en-US"/>
              </w:rPr>
              <w:t>CFA</w:t>
            </w:r>
          </w:p>
          <w:p w14:paraId="658E2AB5" w14:textId="77777777" w:rsidR="0011703E" w:rsidRPr="00120EB6" w:rsidRDefault="0011703E" w:rsidP="00D945BD">
            <w:pPr>
              <w:rPr>
                <w:lang w:val="en-US"/>
              </w:rPr>
            </w:pPr>
            <w:r w:rsidRPr="00120EB6">
              <w:rPr>
                <w:lang w:val="en-US"/>
              </w:rPr>
              <w:t>DEECA</w:t>
            </w:r>
          </w:p>
        </w:tc>
        <w:tc>
          <w:tcPr>
            <w:tcW w:w="1984" w:type="dxa"/>
          </w:tcPr>
          <w:p w14:paraId="73FA3171" w14:textId="712D91A2" w:rsidR="0011703E" w:rsidRPr="00120EB6" w:rsidRDefault="0011703E" w:rsidP="00D945BD">
            <w:pPr>
              <w:rPr>
                <w:lang w:val="en-GB"/>
              </w:rPr>
            </w:pPr>
            <w:r w:rsidRPr="00120EB6">
              <w:rPr>
                <w:lang w:val="en-US"/>
              </w:rPr>
              <w:t>Parks Victoria</w:t>
            </w:r>
          </w:p>
        </w:tc>
        <w:tc>
          <w:tcPr>
            <w:tcW w:w="1559" w:type="dxa"/>
          </w:tcPr>
          <w:p w14:paraId="6047B32F" w14:textId="77777777" w:rsidR="0011703E" w:rsidRPr="00120EB6" w:rsidRDefault="0011703E" w:rsidP="00D945BD">
            <w:pPr>
              <w:rPr>
                <w:lang w:val="en-US"/>
              </w:rPr>
            </w:pPr>
            <w:r w:rsidRPr="00120EB6">
              <w:rPr>
                <w:lang w:val="en-US"/>
              </w:rPr>
              <w:t>5.1</w:t>
            </w:r>
          </w:p>
          <w:p w14:paraId="39B20B16" w14:textId="77777777" w:rsidR="0011703E" w:rsidRPr="00120EB6" w:rsidRDefault="0011703E" w:rsidP="00D945BD">
            <w:pPr>
              <w:rPr>
                <w:lang w:val="en-US"/>
              </w:rPr>
            </w:pPr>
            <w:r w:rsidRPr="00120EB6">
              <w:rPr>
                <w:lang w:val="en-US"/>
              </w:rPr>
              <w:t>5.2</w:t>
            </w:r>
          </w:p>
          <w:p w14:paraId="7E600BE0" w14:textId="77777777" w:rsidR="0011703E" w:rsidRPr="00120EB6" w:rsidRDefault="0011703E" w:rsidP="00D945BD">
            <w:pPr>
              <w:rPr>
                <w:lang w:val="en-US"/>
              </w:rPr>
            </w:pPr>
            <w:r w:rsidRPr="00120EB6">
              <w:rPr>
                <w:lang w:val="en-US"/>
              </w:rPr>
              <w:t>7.1</w:t>
            </w:r>
          </w:p>
        </w:tc>
      </w:tr>
      <w:tr w:rsidR="0011703E" w:rsidRPr="00120EB6" w14:paraId="6E5AE119" w14:textId="77777777" w:rsidTr="0069026B">
        <w:trPr>
          <w:trHeight w:val="60"/>
        </w:trPr>
        <w:tc>
          <w:tcPr>
            <w:tcW w:w="1002" w:type="dxa"/>
          </w:tcPr>
          <w:p w14:paraId="3CD5FB99" w14:textId="77777777" w:rsidR="0011703E" w:rsidRPr="00D945BD" w:rsidRDefault="0011703E" w:rsidP="00D945BD">
            <w:pPr>
              <w:rPr>
                <w:b/>
                <w:bCs/>
                <w:lang w:val="en-US"/>
              </w:rPr>
            </w:pPr>
            <w:r w:rsidRPr="00D945BD">
              <w:rPr>
                <w:b/>
                <w:bCs/>
                <w:lang w:val="en-US"/>
              </w:rPr>
              <w:t>5.d</w:t>
            </w:r>
          </w:p>
        </w:tc>
        <w:tc>
          <w:tcPr>
            <w:tcW w:w="2334" w:type="dxa"/>
          </w:tcPr>
          <w:p w14:paraId="7821E81B" w14:textId="77777777" w:rsidR="0011703E" w:rsidRPr="00120EB6" w:rsidRDefault="0011703E" w:rsidP="00D945BD">
            <w:pPr>
              <w:rPr>
                <w:lang w:val="en-US"/>
              </w:rPr>
            </w:pPr>
            <w:r w:rsidRPr="00120EB6">
              <w:rPr>
                <w:lang w:val="en-US"/>
              </w:rPr>
              <w:t xml:space="preserve">Undertake research into bushfire behaviour to improve prediction ability, </w:t>
            </w:r>
            <w:r w:rsidRPr="00120EB6">
              <w:rPr>
                <w:lang w:val="en-US"/>
              </w:rPr>
              <w:lastRenderedPageBreak/>
              <w:t>including improvements to the collection, storage and analysis of bushfire behaviour and fuel data to develop models that improve predictions and risk modelling</w:t>
            </w:r>
          </w:p>
        </w:tc>
        <w:tc>
          <w:tcPr>
            <w:tcW w:w="1195" w:type="dxa"/>
          </w:tcPr>
          <w:p w14:paraId="47D2579B" w14:textId="77777777" w:rsidR="0011703E" w:rsidRPr="00120EB6" w:rsidRDefault="0011703E" w:rsidP="00D945BD">
            <w:pPr>
              <w:rPr>
                <w:lang w:val="en-US"/>
              </w:rPr>
            </w:pPr>
            <w:r w:rsidRPr="00120EB6">
              <w:rPr>
                <w:lang w:val="en-US"/>
              </w:rPr>
              <w:lastRenderedPageBreak/>
              <w:t>June 2025</w:t>
            </w:r>
          </w:p>
        </w:tc>
        <w:tc>
          <w:tcPr>
            <w:tcW w:w="993" w:type="dxa"/>
          </w:tcPr>
          <w:p w14:paraId="6B77C2A0" w14:textId="77777777" w:rsidR="0011703E" w:rsidRPr="00120EB6" w:rsidRDefault="0011703E" w:rsidP="00D945BD">
            <w:pPr>
              <w:rPr>
                <w:lang w:val="en-US"/>
              </w:rPr>
            </w:pPr>
            <w:r w:rsidRPr="00120EB6">
              <w:rPr>
                <w:lang w:val="en-US"/>
              </w:rPr>
              <w:t>CFA</w:t>
            </w:r>
          </w:p>
          <w:p w14:paraId="6C7274D9" w14:textId="77777777" w:rsidR="0011703E" w:rsidRPr="00120EB6" w:rsidRDefault="0011703E" w:rsidP="00D945BD">
            <w:pPr>
              <w:rPr>
                <w:lang w:val="en-US"/>
              </w:rPr>
            </w:pPr>
            <w:r w:rsidRPr="00120EB6">
              <w:rPr>
                <w:lang w:val="en-US"/>
              </w:rPr>
              <w:t>DEECA</w:t>
            </w:r>
          </w:p>
        </w:tc>
        <w:tc>
          <w:tcPr>
            <w:tcW w:w="1984" w:type="dxa"/>
          </w:tcPr>
          <w:p w14:paraId="6E328BE0" w14:textId="7DCC989E" w:rsidR="0011703E" w:rsidRPr="00120EB6" w:rsidRDefault="0011703E" w:rsidP="00D945BD">
            <w:pPr>
              <w:rPr>
                <w:lang w:val="en-GB"/>
              </w:rPr>
            </w:pPr>
            <w:r w:rsidRPr="00120EB6">
              <w:rPr>
                <w:lang w:val="en-US"/>
              </w:rPr>
              <w:t>Parks Victoria</w:t>
            </w:r>
          </w:p>
        </w:tc>
        <w:tc>
          <w:tcPr>
            <w:tcW w:w="1559" w:type="dxa"/>
          </w:tcPr>
          <w:p w14:paraId="242D0664" w14:textId="77777777" w:rsidR="0011703E" w:rsidRPr="00120EB6" w:rsidRDefault="0011703E" w:rsidP="00D945BD">
            <w:pPr>
              <w:rPr>
                <w:lang w:val="en-US"/>
              </w:rPr>
            </w:pPr>
            <w:r w:rsidRPr="00120EB6">
              <w:rPr>
                <w:lang w:val="en-US"/>
              </w:rPr>
              <w:t>5.1</w:t>
            </w:r>
          </w:p>
        </w:tc>
      </w:tr>
      <w:tr w:rsidR="0011703E" w:rsidRPr="00120EB6" w14:paraId="0E3EDF0A" w14:textId="77777777" w:rsidTr="00432DBF">
        <w:trPr>
          <w:trHeight w:val="60"/>
        </w:trPr>
        <w:tc>
          <w:tcPr>
            <w:tcW w:w="1002" w:type="dxa"/>
          </w:tcPr>
          <w:p w14:paraId="2F7A73D2" w14:textId="77777777" w:rsidR="0011703E" w:rsidRPr="00D945BD" w:rsidRDefault="0011703E" w:rsidP="00D945BD">
            <w:pPr>
              <w:rPr>
                <w:b/>
                <w:bCs/>
                <w:lang w:val="en-US"/>
              </w:rPr>
            </w:pPr>
            <w:r w:rsidRPr="00D945BD">
              <w:rPr>
                <w:b/>
                <w:bCs/>
                <w:lang w:val="en-US"/>
              </w:rPr>
              <w:t>5.e</w:t>
            </w:r>
          </w:p>
        </w:tc>
        <w:tc>
          <w:tcPr>
            <w:tcW w:w="2334" w:type="dxa"/>
          </w:tcPr>
          <w:p w14:paraId="07B9FCF5" w14:textId="77777777" w:rsidR="0011703E" w:rsidRPr="00120EB6" w:rsidRDefault="0011703E" w:rsidP="00D945BD">
            <w:pPr>
              <w:rPr>
                <w:lang w:val="en-US"/>
              </w:rPr>
            </w:pPr>
            <w:r w:rsidRPr="00120EB6">
              <w:rPr>
                <w:lang w:val="en-US"/>
              </w:rPr>
              <w:t>Deliver fire ecology research, including expanding the species post-fire response dataset to improve estimation of ecosystem resilience</w:t>
            </w:r>
          </w:p>
        </w:tc>
        <w:tc>
          <w:tcPr>
            <w:tcW w:w="1195" w:type="dxa"/>
          </w:tcPr>
          <w:p w14:paraId="052A094A" w14:textId="77777777" w:rsidR="0011703E" w:rsidRPr="00120EB6" w:rsidRDefault="0011703E" w:rsidP="00D945BD">
            <w:pPr>
              <w:rPr>
                <w:lang w:val="en-US"/>
              </w:rPr>
            </w:pPr>
            <w:r w:rsidRPr="00120EB6">
              <w:rPr>
                <w:lang w:val="en-US"/>
              </w:rPr>
              <w:t>June 2025</w:t>
            </w:r>
          </w:p>
        </w:tc>
        <w:tc>
          <w:tcPr>
            <w:tcW w:w="993" w:type="dxa"/>
          </w:tcPr>
          <w:p w14:paraId="38B31DE5" w14:textId="77777777" w:rsidR="0011703E" w:rsidRPr="00120EB6" w:rsidRDefault="0011703E" w:rsidP="00D945BD">
            <w:pPr>
              <w:rPr>
                <w:lang w:val="en-US"/>
              </w:rPr>
            </w:pPr>
            <w:r w:rsidRPr="00120EB6">
              <w:rPr>
                <w:lang w:val="en-US"/>
              </w:rPr>
              <w:t>DEECA</w:t>
            </w:r>
          </w:p>
        </w:tc>
        <w:tc>
          <w:tcPr>
            <w:tcW w:w="1984" w:type="dxa"/>
          </w:tcPr>
          <w:p w14:paraId="445C71E3" w14:textId="77777777" w:rsidR="0011703E" w:rsidRPr="00120EB6" w:rsidRDefault="0011703E" w:rsidP="00D945BD">
            <w:pPr>
              <w:rPr>
                <w:lang w:val="en-US"/>
              </w:rPr>
            </w:pPr>
            <w:r w:rsidRPr="00120EB6">
              <w:rPr>
                <w:lang w:val="en-US"/>
              </w:rPr>
              <w:t>CFA</w:t>
            </w:r>
          </w:p>
          <w:p w14:paraId="4E552FBC" w14:textId="2989FAD1" w:rsidR="0011703E" w:rsidRPr="00120EB6" w:rsidRDefault="0011703E" w:rsidP="00D945BD">
            <w:pPr>
              <w:rPr>
                <w:lang w:val="en-GB"/>
              </w:rPr>
            </w:pPr>
            <w:r w:rsidRPr="00120EB6">
              <w:rPr>
                <w:lang w:val="en-US"/>
              </w:rPr>
              <w:t>Parks Victoria</w:t>
            </w:r>
          </w:p>
        </w:tc>
        <w:tc>
          <w:tcPr>
            <w:tcW w:w="1559" w:type="dxa"/>
          </w:tcPr>
          <w:p w14:paraId="35151265" w14:textId="77777777" w:rsidR="0011703E" w:rsidRPr="00120EB6" w:rsidRDefault="0011703E" w:rsidP="00D945BD">
            <w:pPr>
              <w:rPr>
                <w:lang w:val="en-US"/>
              </w:rPr>
            </w:pPr>
            <w:r w:rsidRPr="00120EB6">
              <w:rPr>
                <w:lang w:val="en-US"/>
              </w:rPr>
              <w:t>5.1</w:t>
            </w:r>
          </w:p>
          <w:p w14:paraId="046F7108" w14:textId="77777777" w:rsidR="0011703E" w:rsidRPr="00120EB6" w:rsidRDefault="0011703E" w:rsidP="00D945BD">
            <w:pPr>
              <w:rPr>
                <w:lang w:val="en-US"/>
              </w:rPr>
            </w:pPr>
            <w:r w:rsidRPr="00120EB6">
              <w:rPr>
                <w:lang w:val="en-US"/>
              </w:rPr>
              <w:t>4.1</w:t>
            </w:r>
          </w:p>
          <w:p w14:paraId="424FE632" w14:textId="77777777" w:rsidR="0011703E" w:rsidRPr="00120EB6" w:rsidRDefault="0011703E" w:rsidP="00D945BD">
            <w:pPr>
              <w:rPr>
                <w:lang w:val="en-US"/>
              </w:rPr>
            </w:pPr>
          </w:p>
        </w:tc>
      </w:tr>
      <w:tr w:rsidR="0011703E" w:rsidRPr="00120EB6" w14:paraId="4B5CDC16" w14:textId="77777777" w:rsidTr="0067628B">
        <w:trPr>
          <w:trHeight w:val="60"/>
        </w:trPr>
        <w:tc>
          <w:tcPr>
            <w:tcW w:w="1002" w:type="dxa"/>
          </w:tcPr>
          <w:p w14:paraId="1CFF3211" w14:textId="77777777" w:rsidR="0011703E" w:rsidRPr="00D945BD" w:rsidRDefault="0011703E" w:rsidP="00D945BD">
            <w:pPr>
              <w:rPr>
                <w:b/>
                <w:bCs/>
                <w:lang w:val="en-US"/>
              </w:rPr>
            </w:pPr>
            <w:r w:rsidRPr="00D945BD">
              <w:rPr>
                <w:b/>
                <w:bCs/>
                <w:lang w:val="en-US"/>
              </w:rPr>
              <w:t>5.f</w:t>
            </w:r>
          </w:p>
        </w:tc>
        <w:tc>
          <w:tcPr>
            <w:tcW w:w="2334" w:type="dxa"/>
          </w:tcPr>
          <w:p w14:paraId="053068D5" w14:textId="77777777" w:rsidR="0011703E" w:rsidRPr="00120EB6" w:rsidRDefault="0011703E" w:rsidP="00D945BD">
            <w:pPr>
              <w:rPr>
                <w:lang w:val="en-US"/>
              </w:rPr>
            </w:pPr>
            <w:r w:rsidRPr="00120EB6">
              <w:rPr>
                <w:lang w:val="en-US"/>
              </w:rPr>
              <w:t>Undertake research into climate change to ensure we are prepared for operations in the future, including understanding how climate change will influence bushfire fuels and what that means for resourcing</w:t>
            </w:r>
          </w:p>
        </w:tc>
        <w:tc>
          <w:tcPr>
            <w:tcW w:w="1195" w:type="dxa"/>
          </w:tcPr>
          <w:p w14:paraId="2D325EC4" w14:textId="77777777" w:rsidR="0011703E" w:rsidRPr="00120EB6" w:rsidRDefault="0011703E" w:rsidP="00D945BD">
            <w:pPr>
              <w:rPr>
                <w:lang w:val="en-US"/>
              </w:rPr>
            </w:pPr>
            <w:r w:rsidRPr="00120EB6">
              <w:rPr>
                <w:lang w:val="en-US"/>
              </w:rPr>
              <w:t>June 2025</w:t>
            </w:r>
          </w:p>
        </w:tc>
        <w:tc>
          <w:tcPr>
            <w:tcW w:w="993" w:type="dxa"/>
          </w:tcPr>
          <w:p w14:paraId="006A3F34" w14:textId="77777777" w:rsidR="0011703E" w:rsidRPr="00120EB6" w:rsidRDefault="0011703E" w:rsidP="00D945BD">
            <w:pPr>
              <w:rPr>
                <w:lang w:val="en-US"/>
              </w:rPr>
            </w:pPr>
            <w:r w:rsidRPr="00120EB6">
              <w:rPr>
                <w:lang w:val="en-US"/>
              </w:rPr>
              <w:t>CFA</w:t>
            </w:r>
          </w:p>
          <w:p w14:paraId="070751A3" w14:textId="77777777" w:rsidR="0011703E" w:rsidRPr="00120EB6" w:rsidRDefault="0011703E" w:rsidP="00D945BD">
            <w:pPr>
              <w:rPr>
                <w:lang w:val="en-US"/>
              </w:rPr>
            </w:pPr>
            <w:r w:rsidRPr="00120EB6">
              <w:rPr>
                <w:lang w:val="en-US"/>
              </w:rPr>
              <w:t>DEECA</w:t>
            </w:r>
          </w:p>
        </w:tc>
        <w:tc>
          <w:tcPr>
            <w:tcW w:w="1984" w:type="dxa"/>
          </w:tcPr>
          <w:p w14:paraId="52E19424" w14:textId="36C7C2D6" w:rsidR="0011703E" w:rsidRPr="00120EB6" w:rsidRDefault="0011703E" w:rsidP="00D945BD">
            <w:pPr>
              <w:rPr>
                <w:lang w:val="en-GB"/>
              </w:rPr>
            </w:pPr>
            <w:r w:rsidRPr="00120EB6">
              <w:rPr>
                <w:lang w:val="en-US"/>
              </w:rPr>
              <w:t>Parks Victoria</w:t>
            </w:r>
          </w:p>
        </w:tc>
        <w:tc>
          <w:tcPr>
            <w:tcW w:w="1559" w:type="dxa"/>
          </w:tcPr>
          <w:p w14:paraId="32FD040B" w14:textId="77777777" w:rsidR="0011703E" w:rsidRPr="00120EB6" w:rsidRDefault="0011703E" w:rsidP="00D945BD">
            <w:pPr>
              <w:rPr>
                <w:lang w:val="en-US"/>
              </w:rPr>
            </w:pPr>
            <w:r w:rsidRPr="00120EB6">
              <w:rPr>
                <w:lang w:val="en-US"/>
              </w:rPr>
              <w:t>1.4</w:t>
            </w:r>
          </w:p>
          <w:p w14:paraId="2F90E11B" w14:textId="77777777" w:rsidR="0011703E" w:rsidRPr="00120EB6" w:rsidRDefault="0011703E" w:rsidP="00D945BD">
            <w:pPr>
              <w:rPr>
                <w:lang w:val="en-US"/>
              </w:rPr>
            </w:pPr>
            <w:r w:rsidRPr="00120EB6">
              <w:rPr>
                <w:lang w:val="en-US"/>
              </w:rPr>
              <w:t>4.2</w:t>
            </w:r>
          </w:p>
          <w:p w14:paraId="64188ABE" w14:textId="77777777" w:rsidR="0011703E" w:rsidRPr="00120EB6" w:rsidRDefault="0011703E" w:rsidP="00D945BD">
            <w:pPr>
              <w:rPr>
                <w:lang w:val="en-US"/>
              </w:rPr>
            </w:pPr>
            <w:r w:rsidRPr="00120EB6">
              <w:rPr>
                <w:lang w:val="en-US"/>
              </w:rPr>
              <w:t>5.1</w:t>
            </w:r>
          </w:p>
          <w:p w14:paraId="1C8F953C" w14:textId="77777777" w:rsidR="0011703E" w:rsidRPr="00120EB6" w:rsidRDefault="0011703E" w:rsidP="00D945BD">
            <w:pPr>
              <w:rPr>
                <w:lang w:val="en-US"/>
              </w:rPr>
            </w:pPr>
            <w:r w:rsidRPr="00120EB6">
              <w:rPr>
                <w:lang w:val="en-US"/>
              </w:rPr>
              <w:t>7.6</w:t>
            </w:r>
          </w:p>
        </w:tc>
      </w:tr>
      <w:tr w:rsidR="0011703E" w:rsidRPr="00120EB6" w14:paraId="28693641" w14:textId="77777777" w:rsidTr="0063658F">
        <w:trPr>
          <w:trHeight w:val="60"/>
        </w:trPr>
        <w:tc>
          <w:tcPr>
            <w:tcW w:w="1002" w:type="dxa"/>
          </w:tcPr>
          <w:p w14:paraId="44742829" w14:textId="77777777" w:rsidR="0011703E" w:rsidRPr="00D945BD" w:rsidRDefault="0011703E" w:rsidP="00D945BD">
            <w:pPr>
              <w:rPr>
                <w:b/>
                <w:bCs/>
                <w:lang w:val="en-US"/>
              </w:rPr>
            </w:pPr>
            <w:r w:rsidRPr="00D945BD">
              <w:rPr>
                <w:b/>
                <w:bCs/>
                <w:lang w:val="en-US"/>
              </w:rPr>
              <w:t>5.g</w:t>
            </w:r>
          </w:p>
        </w:tc>
        <w:tc>
          <w:tcPr>
            <w:tcW w:w="2334" w:type="dxa"/>
          </w:tcPr>
          <w:p w14:paraId="37358383" w14:textId="77777777" w:rsidR="0011703E" w:rsidRPr="00120EB6" w:rsidRDefault="0011703E" w:rsidP="00D945BD">
            <w:pPr>
              <w:rPr>
                <w:lang w:val="en-US"/>
              </w:rPr>
            </w:pPr>
            <w:r w:rsidRPr="00120EB6">
              <w:rPr>
                <w:lang w:val="en-US"/>
              </w:rPr>
              <w:t>Exploring cross-agency, safer technologies for future firefighting and CFA tankers, as part of the Future Firefighting Technologies project</w:t>
            </w:r>
          </w:p>
        </w:tc>
        <w:tc>
          <w:tcPr>
            <w:tcW w:w="1195" w:type="dxa"/>
          </w:tcPr>
          <w:p w14:paraId="1B031188" w14:textId="77777777" w:rsidR="0011703E" w:rsidRPr="00120EB6" w:rsidRDefault="0011703E" w:rsidP="00D945BD">
            <w:pPr>
              <w:rPr>
                <w:lang w:val="en-US"/>
              </w:rPr>
            </w:pPr>
            <w:r w:rsidRPr="00120EB6">
              <w:rPr>
                <w:lang w:val="en-US"/>
              </w:rPr>
              <w:t>June 2025</w:t>
            </w:r>
          </w:p>
        </w:tc>
        <w:tc>
          <w:tcPr>
            <w:tcW w:w="993" w:type="dxa"/>
          </w:tcPr>
          <w:p w14:paraId="5FC4592F" w14:textId="77777777" w:rsidR="0011703E" w:rsidRPr="00120EB6" w:rsidRDefault="0011703E" w:rsidP="00D945BD">
            <w:pPr>
              <w:rPr>
                <w:lang w:val="en-US"/>
              </w:rPr>
            </w:pPr>
            <w:r w:rsidRPr="00120EB6">
              <w:rPr>
                <w:lang w:val="en-US"/>
              </w:rPr>
              <w:t>DEECA</w:t>
            </w:r>
          </w:p>
          <w:p w14:paraId="0A9E448F" w14:textId="77777777" w:rsidR="0011703E" w:rsidRPr="00120EB6" w:rsidRDefault="0011703E" w:rsidP="00D945BD">
            <w:pPr>
              <w:rPr>
                <w:lang w:val="en-US"/>
              </w:rPr>
            </w:pPr>
            <w:r w:rsidRPr="00120EB6">
              <w:rPr>
                <w:lang w:val="en-US"/>
              </w:rPr>
              <w:t>CFA</w:t>
            </w:r>
          </w:p>
        </w:tc>
        <w:tc>
          <w:tcPr>
            <w:tcW w:w="1984" w:type="dxa"/>
          </w:tcPr>
          <w:p w14:paraId="6F768412" w14:textId="77777777" w:rsidR="0011703E" w:rsidRPr="00120EB6" w:rsidRDefault="0011703E" w:rsidP="00D945BD">
            <w:pPr>
              <w:rPr>
                <w:lang w:val="en-GB"/>
              </w:rPr>
            </w:pPr>
          </w:p>
        </w:tc>
        <w:tc>
          <w:tcPr>
            <w:tcW w:w="1559" w:type="dxa"/>
          </w:tcPr>
          <w:p w14:paraId="30B5AA0A" w14:textId="77777777" w:rsidR="0011703E" w:rsidRPr="00120EB6" w:rsidRDefault="0011703E" w:rsidP="00D945BD">
            <w:pPr>
              <w:rPr>
                <w:lang w:val="en-US"/>
              </w:rPr>
            </w:pPr>
            <w:r w:rsidRPr="00120EB6">
              <w:rPr>
                <w:lang w:val="en-US"/>
              </w:rPr>
              <w:t>5.1</w:t>
            </w:r>
          </w:p>
          <w:p w14:paraId="44491314" w14:textId="77777777" w:rsidR="0011703E" w:rsidRPr="00120EB6" w:rsidRDefault="0011703E" w:rsidP="00D945BD">
            <w:pPr>
              <w:rPr>
                <w:lang w:val="en-US"/>
              </w:rPr>
            </w:pPr>
            <w:r w:rsidRPr="00120EB6">
              <w:rPr>
                <w:lang w:val="en-US"/>
              </w:rPr>
              <w:t>6.1</w:t>
            </w:r>
          </w:p>
          <w:p w14:paraId="426DD11D" w14:textId="77777777" w:rsidR="0011703E" w:rsidRPr="00120EB6" w:rsidRDefault="0011703E" w:rsidP="00D945BD">
            <w:pPr>
              <w:rPr>
                <w:lang w:val="en-US"/>
              </w:rPr>
            </w:pPr>
            <w:r w:rsidRPr="00120EB6">
              <w:rPr>
                <w:lang w:val="en-US"/>
              </w:rPr>
              <w:t>7.5</w:t>
            </w:r>
          </w:p>
          <w:p w14:paraId="09FC2021" w14:textId="77777777" w:rsidR="0011703E" w:rsidRPr="00120EB6" w:rsidRDefault="0011703E" w:rsidP="00D945BD">
            <w:pPr>
              <w:rPr>
                <w:lang w:val="en-US"/>
              </w:rPr>
            </w:pPr>
            <w:r w:rsidRPr="00120EB6">
              <w:rPr>
                <w:lang w:val="en-US"/>
              </w:rPr>
              <w:t>7.6</w:t>
            </w:r>
          </w:p>
        </w:tc>
      </w:tr>
      <w:tr w:rsidR="0011703E" w:rsidRPr="00120EB6" w14:paraId="11C8C980" w14:textId="77777777" w:rsidTr="002B2F1F">
        <w:trPr>
          <w:trHeight w:val="60"/>
        </w:trPr>
        <w:tc>
          <w:tcPr>
            <w:tcW w:w="1002" w:type="dxa"/>
          </w:tcPr>
          <w:p w14:paraId="67533227" w14:textId="77777777" w:rsidR="0011703E" w:rsidRPr="00D945BD" w:rsidRDefault="0011703E" w:rsidP="00D945BD">
            <w:pPr>
              <w:rPr>
                <w:b/>
                <w:bCs/>
                <w:lang w:val="en-US"/>
              </w:rPr>
            </w:pPr>
            <w:r w:rsidRPr="00D945BD">
              <w:rPr>
                <w:b/>
                <w:bCs/>
                <w:lang w:val="en-US"/>
              </w:rPr>
              <w:lastRenderedPageBreak/>
              <w:t>5.h</w:t>
            </w:r>
          </w:p>
        </w:tc>
        <w:tc>
          <w:tcPr>
            <w:tcW w:w="2334" w:type="dxa"/>
          </w:tcPr>
          <w:p w14:paraId="7DB7FA80" w14:textId="77777777" w:rsidR="0011703E" w:rsidRPr="00120EB6" w:rsidRDefault="0011703E" w:rsidP="00D945BD">
            <w:pPr>
              <w:rPr>
                <w:lang w:val="en-US"/>
              </w:rPr>
            </w:pPr>
            <w:r w:rsidRPr="00120EB6">
              <w:rPr>
                <w:lang w:val="en-US"/>
              </w:rPr>
              <w:t>Undertake research that informs prioritisation and resource allocation towards the actions that will effectively reduce bushfire risks and impacts to values, including the delivery of the Effectiveness of Bushfire Risk Reduction and Risk 2.0 projects</w:t>
            </w:r>
          </w:p>
        </w:tc>
        <w:tc>
          <w:tcPr>
            <w:tcW w:w="1195" w:type="dxa"/>
          </w:tcPr>
          <w:p w14:paraId="1611F5C4" w14:textId="77777777" w:rsidR="0011703E" w:rsidRPr="00120EB6" w:rsidRDefault="0011703E" w:rsidP="00D945BD">
            <w:pPr>
              <w:rPr>
                <w:lang w:val="en-US"/>
              </w:rPr>
            </w:pPr>
            <w:r w:rsidRPr="00120EB6">
              <w:rPr>
                <w:lang w:val="en-US"/>
              </w:rPr>
              <w:t>June 2025</w:t>
            </w:r>
          </w:p>
        </w:tc>
        <w:tc>
          <w:tcPr>
            <w:tcW w:w="993" w:type="dxa"/>
          </w:tcPr>
          <w:p w14:paraId="4A0E1E05" w14:textId="77777777" w:rsidR="0011703E" w:rsidRPr="00120EB6" w:rsidRDefault="0011703E" w:rsidP="00D945BD">
            <w:pPr>
              <w:rPr>
                <w:lang w:val="en-US"/>
              </w:rPr>
            </w:pPr>
            <w:r w:rsidRPr="00120EB6">
              <w:rPr>
                <w:lang w:val="en-US"/>
              </w:rPr>
              <w:t>CFA</w:t>
            </w:r>
          </w:p>
          <w:p w14:paraId="1AA27A0A" w14:textId="77777777" w:rsidR="0011703E" w:rsidRPr="00120EB6" w:rsidRDefault="0011703E" w:rsidP="00D945BD">
            <w:pPr>
              <w:rPr>
                <w:lang w:val="en-US"/>
              </w:rPr>
            </w:pPr>
            <w:r w:rsidRPr="00120EB6">
              <w:rPr>
                <w:lang w:val="en-US"/>
              </w:rPr>
              <w:t>DEECA</w:t>
            </w:r>
          </w:p>
        </w:tc>
        <w:tc>
          <w:tcPr>
            <w:tcW w:w="1984" w:type="dxa"/>
          </w:tcPr>
          <w:p w14:paraId="6F60C9FA" w14:textId="781844D8" w:rsidR="0011703E" w:rsidRPr="00120EB6" w:rsidRDefault="0011703E" w:rsidP="00D945BD">
            <w:pPr>
              <w:rPr>
                <w:lang w:val="en-GB"/>
              </w:rPr>
            </w:pPr>
            <w:r w:rsidRPr="00120EB6">
              <w:rPr>
                <w:lang w:val="en-US"/>
              </w:rPr>
              <w:t>Parks Victoria</w:t>
            </w:r>
          </w:p>
        </w:tc>
        <w:tc>
          <w:tcPr>
            <w:tcW w:w="1559" w:type="dxa"/>
          </w:tcPr>
          <w:p w14:paraId="6F317AAC" w14:textId="77777777" w:rsidR="0011703E" w:rsidRPr="00120EB6" w:rsidRDefault="0011703E" w:rsidP="00D945BD">
            <w:pPr>
              <w:rPr>
                <w:lang w:val="en-US"/>
              </w:rPr>
            </w:pPr>
            <w:r w:rsidRPr="00120EB6">
              <w:rPr>
                <w:lang w:val="en-US"/>
              </w:rPr>
              <w:t>5.1</w:t>
            </w:r>
          </w:p>
          <w:p w14:paraId="583C0641" w14:textId="77777777" w:rsidR="0011703E" w:rsidRPr="00120EB6" w:rsidRDefault="0011703E" w:rsidP="00D945BD">
            <w:pPr>
              <w:rPr>
                <w:lang w:val="en-US"/>
              </w:rPr>
            </w:pPr>
            <w:r w:rsidRPr="00120EB6">
              <w:rPr>
                <w:lang w:val="en-US"/>
              </w:rPr>
              <w:t>5.2</w:t>
            </w:r>
          </w:p>
        </w:tc>
      </w:tr>
      <w:tr w:rsidR="0011703E" w:rsidRPr="00120EB6" w14:paraId="09BCBFFE" w14:textId="77777777" w:rsidTr="004E4189">
        <w:trPr>
          <w:trHeight w:val="60"/>
        </w:trPr>
        <w:tc>
          <w:tcPr>
            <w:tcW w:w="1002" w:type="dxa"/>
          </w:tcPr>
          <w:p w14:paraId="5EE6FDD4" w14:textId="77777777" w:rsidR="0011703E" w:rsidRPr="00D945BD" w:rsidRDefault="0011703E" w:rsidP="00D945BD">
            <w:pPr>
              <w:rPr>
                <w:b/>
                <w:bCs/>
                <w:lang w:val="en-US"/>
              </w:rPr>
            </w:pPr>
            <w:r w:rsidRPr="00D945BD">
              <w:rPr>
                <w:b/>
                <w:bCs/>
                <w:lang w:val="en-US"/>
              </w:rPr>
              <w:t>5.i</w:t>
            </w:r>
          </w:p>
        </w:tc>
        <w:tc>
          <w:tcPr>
            <w:tcW w:w="2334" w:type="dxa"/>
          </w:tcPr>
          <w:p w14:paraId="5EA48F0C" w14:textId="77777777" w:rsidR="0011703E" w:rsidRPr="00120EB6" w:rsidRDefault="0011703E" w:rsidP="00D945BD">
            <w:pPr>
              <w:rPr>
                <w:lang w:val="en-US"/>
              </w:rPr>
            </w:pPr>
            <w:r w:rsidRPr="00120EB6">
              <w:rPr>
                <w:lang w:val="en-US"/>
              </w:rPr>
              <w:t>Undertake research to improve early warnings and community safety, including the Predictions in Public project</w:t>
            </w:r>
          </w:p>
        </w:tc>
        <w:tc>
          <w:tcPr>
            <w:tcW w:w="1195" w:type="dxa"/>
          </w:tcPr>
          <w:p w14:paraId="6A10A1D0" w14:textId="77777777" w:rsidR="0011703E" w:rsidRPr="00120EB6" w:rsidRDefault="0011703E" w:rsidP="00D945BD">
            <w:pPr>
              <w:rPr>
                <w:lang w:val="en-US"/>
              </w:rPr>
            </w:pPr>
            <w:r w:rsidRPr="00120EB6">
              <w:rPr>
                <w:lang w:val="en-US"/>
              </w:rPr>
              <w:t>June 2025</w:t>
            </w:r>
          </w:p>
        </w:tc>
        <w:tc>
          <w:tcPr>
            <w:tcW w:w="993" w:type="dxa"/>
          </w:tcPr>
          <w:p w14:paraId="1B1C9C54" w14:textId="77777777" w:rsidR="0011703E" w:rsidRPr="00120EB6" w:rsidRDefault="0011703E" w:rsidP="00D945BD">
            <w:pPr>
              <w:rPr>
                <w:lang w:val="en-US"/>
              </w:rPr>
            </w:pPr>
            <w:r w:rsidRPr="00120EB6">
              <w:rPr>
                <w:lang w:val="en-US"/>
              </w:rPr>
              <w:t>CFA</w:t>
            </w:r>
          </w:p>
        </w:tc>
        <w:tc>
          <w:tcPr>
            <w:tcW w:w="1984" w:type="dxa"/>
          </w:tcPr>
          <w:p w14:paraId="048118EB" w14:textId="54733A63" w:rsidR="0011703E" w:rsidRPr="00120EB6" w:rsidRDefault="0011703E" w:rsidP="00D945BD">
            <w:pPr>
              <w:rPr>
                <w:lang w:val="en-GB"/>
              </w:rPr>
            </w:pPr>
            <w:r w:rsidRPr="00120EB6">
              <w:rPr>
                <w:lang w:val="en-US"/>
              </w:rPr>
              <w:t>DEECA</w:t>
            </w:r>
          </w:p>
        </w:tc>
        <w:tc>
          <w:tcPr>
            <w:tcW w:w="1559" w:type="dxa"/>
          </w:tcPr>
          <w:p w14:paraId="67A5A5C4" w14:textId="77777777" w:rsidR="0011703E" w:rsidRPr="00120EB6" w:rsidRDefault="0011703E" w:rsidP="00D945BD">
            <w:pPr>
              <w:rPr>
                <w:lang w:val="en-US"/>
              </w:rPr>
            </w:pPr>
            <w:r w:rsidRPr="00120EB6">
              <w:rPr>
                <w:lang w:val="en-US"/>
              </w:rPr>
              <w:t>1.3</w:t>
            </w:r>
          </w:p>
          <w:p w14:paraId="58D54B75" w14:textId="77777777" w:rsidR="0011703E" w:rsidRPr="00120EB6" w:rsidRDefault="0011703E" w:rsidP="00D945BD">
            <w:pPr>
              <w:rPr>
                <w:lang w:val="en-US"/>
              </w:rPr>
            </w:pPr>
            <w:r w:rsidRPr="00120EB6">
              <w:rPr>
                <w:lang w:val="en-US"/>
              </w:rPr>
              <w:t>5.1</w:t>
            </w:r>
          </w:p>
        </w:tc>
      </w:tr>
      <w:tr w:rsidR="0011703E" w:rsidRPr="00120EB6" w14:paraId="41F9EAF5" w14:textId="77777777" w:rsidTr="00C53B6C">
        <w:trPr>
          <w:trHeight w:val="60"/>
        </w:trPr>
        <w:tc>
          <w:tcPr>
            <w:tcW w:w="1002" w:type="dxa"/>
          </w:tcPr>
          <w:p w14:paraId="291E29BF" w14:textId="77777777" w:rsidR="0011703E" w:rsidRPr="00D945BD" w:rsidRDefault="0011703E" w:rsidP="00D945BD">
            <w:pPr>
              <w:rPr>
                <w:b/>
                <w:bCs/>
                <w:lang w:val="en-US"/>
              </w:rPr>
            </w:pPr>
            <w:r w:rsidRPr="00D945BD">
              <w:rPr>
                <w:b/>
                <w:bCs/>
                <w:lang w:val="en-US"/>
              </w:rPr>
              <w:t>5.j</w:t>
            </w:r>
          </w:p>
        </w:tc>
        <w:tc>
          <w:tcPr>
            <w:tcW w:w="2334" w:type="dxa"/>
          </w:tcPr>
          <w:p w14:paraId="05346041" w14:textId="77777777" w:rsidR="0011703E" w:rsidRPr="00120EB6" w:rsidRDefault="0011703E" w:rsidP="00D945BD">
            <w:pPr>
              <w:rPr>
                <w:lang w:val="en-US"/>
              </w:rPr>
            </w:pPr>
            <w:r w:rsidRPr="00120EB6">
              <w:rPr>
                <w:lang w:val="en-US"/>
              </w:rPr>
              <w:t>Undertake research on predictability and patterns of landscape dryness, including understanding how drought indices link to fire behaviour, prediction of in-forest fuel moisture and the identification of when the landscape can burn</w:t>
            </w:r>
          </w:p>
        </w:tc>
        <w:tc>
          <w:tcPr>
            <w:tcW w:w="1195" w:type="dxa"/>
          </w:tcPr>
          <w:p w14:paraId="455D4540" w14:textId="77777777" w:rsidR="0011703E" w:rsidRPr="00120EB6" w:rsidRDefault="0011703E" w:rsidP="00D945BD">
            <w:pPr>
              <w:rPr>
                <w:lang w:val="en-US"/>
              </w:rPr>
            </w:pPr>
            <w:r w:rsidRPr="00120EB6">
              <w:rPr>
                <w:lang w:val="en-US"/>
              </w:rPr>
              <w:t>June 2025</w:t>
            </w:r>
          </w:p>
        </w:tc>
        <w:tc>
          <w:tcPr>
            <w:tcW w:w="993" w:type="dxa"/>
          </w:tcPr>
          <w:p w14:paraId="26368576" w14:textId="77777777" w:rsidR="0011703E" w:rsidRPr="00120EB6" w:rsidRDefault="0011703E" w:rsidP="00D945BD">
            <w:pPr>
              <w:rPr>
                <w:lang w:val="en-US"/>
              </w:rPr>
            </w:pPr>
            <w:r w:rsidRPr="00120EB6">
              <w:rPr>
                <w:lang w:val="en-US"/>
              </w:rPr>
              <w:t>CFA</w:t>
            </w:r>
          </w:p>
          <w:p w14:paraId="14AAD836" w14:textId="77777777" w:rsidR="0011703E" w:rsidRPr="00120EB6" w:rsidRDefault="0011703E" w:rsidP="00D945BD">
            <w:pPr>
              <w:rPr>
                <w:lang w:val="en-US"/>
              </w:rPr>
            </w:pPr>
            <w:r w:rsidRPr="00120EB6">
              <w:rPr>
                <w:lang w:val="en-US"/>
              </w:rPr>
              <w:t>DEECA</w:t>
            </w:r>
          </w:p>
        </w:tc>
        <w:tc>
          <w:tcPr>
            <w:tcW w:w="1984" w:type="dxa"/>
          </w:tcPr>
          <w:p w14:paraId="0C3ED72D" w14:textId="77777777" w:rsidR="0011703E" w:rsidRPr="00120EB6" w:rsidRDefault="0011703E" w:rsidP="00D945BD">
            <w:pPr>
              <w:rPr>
                <w:lang w:val="en-GB"/>
              </w:rPr>
            </w:pPr>
          </w:p>
        </w:tc>
        <w:tc>
          <w:tcPr>
            <w:tcW w:w="1559" w:type="dxa"/>
          </w:tcPr>
          <w:p w14:paraId="61D1A027" w14:textId="77777777" w:rsidR="0011703E" w:rsidRPr="00120EB6" w:rsidRDefault="0011703E" w:rsidP="00D945BD">
            <w:pPr>
              <w:rPr>
                <w:lang w:val="en-US"/>
              </w:rPr>
            </w:pPr>
            <w:r w:rsidRPr="00120EB6">
              <w:rPr>
                <w:lang w:val="en-US"/>
              </w:rPr>
              <w:t>5.1</w:t>
            </w:r>
          </w:p>
        </w:tc>
      </w:tr>
      <w:tr w:rsidR="0011703E" w:rsidRPr="00120EB6" w14:paraId="13A63A4B" w14:textId="77777777" w:rsidTr="00083750">
        <w:trPr>
          <w:trHeight w:val="60"/>
        </w:trPr>
        <w:tc>
          <w:tcPr>
            <w:tcW w:w="1002" w:type="dxa"/>
          </w:tcPr>
          <w:p w14:paraId="2BB79D56" w14:textId="77777777" w:rsidR="0011703E" w:rsidRPr="00D945BD" w:rsidRDefault="0011703E" w:rsidP="00D945BD">
            <w:pPr>
              <w:rPr>
                <w:b/>
                <w:bCs/>
                <w:lang w:val="en-US"/>
              </w:rPr>
            </w:pPr>
            <w:r w:rsidRPr="00D945BD">
              <w:rPr>
                <w:b/>
                <w:bCs/>
                <w:lang w:val="en-US"/>
              </w:rPr>
              <w:t>5.k</w:t>
            </w:r>
          </w:p>
        </w:tc>
        <w:tc>
          <w:tcPr>
            <w:tcW w:w="2334" w:type="dxa"/>
          </w:tcPr>
          <w:p w14:paraId="3E1BA809" w14:textId="77777777" w:rsidR="0011703E" w:rsidRPr="00120EB6" w:rsidRDefault="0011703E" w:rsidP="00D945BD">
            <w:pPr>
              <w:rPr>
                <w:lang w:val="en-US"/>
              </w:rPr>
            </w:pPr>
            <w:r w:rsidRPr="00120EB6">
              <w:rPr>
                <w:lang w:val="en-US"/>
              </w:rPr>
              <w:t xml:space="preserve">Development of tools for operational fire risk decision support, </w:t>
            </w:r>
            <w:r w:rsidRPr="00120EB6">
              <w:rPr>
                <w:lang w:val="en-US"/>
              </w:rPr>
              <w:lastRenderedPageBreak/>
              <w:t>including the development and evaluation of fire simulators, creation of fuel maps, the development of visualisation systems and the production of models predicting risk</w:t>
            </w:r>
          </w:p>
        </w:tc>
        <w:tc>
          <w:tcPr>
            <w:tcW w:w="1195" w:type="dxa"/>
          </w:tcPr>
          <w:p w14:paraId="460A3929" w14:textId="77777777" w:rsidR="0011703E" w:rsidRPr="00120EB6" w:rsidRDefault="0011703E" w:rsidP="00D945BD">
            <w:pPr>
              <w:rPr>
                <w:lang w:val="en-US"/>
              </w:rPr>
            </w:pPr>
            <w:r w:rsidRPr="00120EB6">
              <w:rPr>
                <w:lang w:val="en-US"/>
              </w:rPr>
              <w:lastRenderedPageBreak/>
              <w:t>June 2025</w:t>
            </w:r>
          </w:p>
        </w:tc>
        <w:tc>
          <w:tcPr>
            <w:tcW w:w="993" w:type="dxa"/>
          </w:tcPr>
          <w:p w14:paraId="113FB636" w14:textId="77777777" w:rsidR="0011703E" w:rsidRPr="00120EB6" w:rsidRDefault="0011703E" w:rsidP="00D945BD">
            <w:pPr>
              <w:rPr>
                <w:lang w:val="en-US"/>
              </w:rPr>
            </w:pPr>
            <w:r w:rsidRPr="00120EB6">
              <w:rPr>
                <w:lang w:val="en-US"/>
              </w:rPr>
              <w:t>CFA</w:t>
            </w:r>
          </w:p>
          <w:p w14:paraId="543DE0B3" w14:textId="77777777" w:rsidR="0011703E" w:rsidRPr="00120EB6" w:rsidRDefault="0011703E" w:rsidP="00D945BD">
            <w:pPr>
              <w:rPr>
                <w:lang w:val="en-US"/>
              </w:rPr>
            </w:pPr>
            <w:r w:rsidRPr="00120EB6">
              <w:rPr>
                <w:lang w:val="en-US"/>
              </w:rPr>
              <w:lastRenderedPageBreak/>
              <w:t>DEECA</w:t>
            </w:r>
          </w:p>
          <w:p w14:paraId="64E21DE0" w14:textId="77777777" w:rsidR="0011703E" w:rsidRPr="00120EB6" w:rsidRDefault="0011703E" w:rsidP="00D945BD">
            <w:pPr>
              <w:rPr>
                <w:lang w:val="en-US"/>
              </w:rPr>
            </w:pPr>
          </w:p>
        </w:tc>
        <w:tc>
          <w:tcPr>
            <w:tcW w:w="1984" w:type="dxa"/>
          </w:tcPr>
          <w:p w14:paraId="26E2725C" w14:textId="420C9B84" w:rsidR="0011703E" w:rsidRPr="00120EB6" w:rsidRDefault="0011703E" w:rsidP="00D945BD">
            <w:pPr>
              <w:rPr>
                <w:lang w:val="en-GB"/>
              </w:rPr>
            </w:pPr>
            <w:r w:rsidRPr="00120EB6">
              <w:rPr>
                <w:lang w:val="en-US"/>
              </w:rPr>
              <w:lastRenderedPageBreak/>
              <w:t>AFAC</w:t>
            </w:r>
          </w:p>
        </w:tc>
        <w:tc>
          <w:tcPr>
            <w:tcW w:w="1559" w:type="dxa"/>
          </w:tcPr>
          <w:p w14:paraId="584A09F7" w14:textId="77777777" w:rsidR="0011703E" w:rsidRPr="00120EB6" w:rsidRDefault="0011703E" w:rsidP="00D945BD">
            <w:pPr>
              <w:rPr>
                <w:lang w:val="en-US"/>
              </w:rPr>
            </w:pPr>
            <w:r w:rsidRPr="00120EB6">
              <w:rPr>
                <w:lang w:val="en-US"/>
              </w:rPr>
              <w:t>4.1</w:t>
            </w:r>
          </w:p>
          <w:p w14:paraId="2B6D1AB4" w14:textId="77777777" w:rsidR="0011703E" w:rsidRPr="00120EB6" w:rsidRDefault="0011703E" w:rsidP="00D945BD">
            <w:pPr>
              <w:rPr>
                <w:lang w:val="en-US"/>
              </w:rPr>
            </w:pPr>
            <w:r w:rsidRPr="00120EB6">
              <w:rPr>
                <w:lang w:val="en-US"/>
              </w:rPr>
              <w:lastRenderedPageBreak/>
              <w:t>5.1</w:t>
            </w:r>
          </w:p>
        </w:tc>
      </w:tr>
      <w:tr w:rsidR="0011703E" w:rsidRPr="00120EB6" w14:paraId="72705B37" w14:textId="77777777" w:rsidTr="000849C9">
        <w:trPr>
          <w:trHeight w:val="60"/>
        </w:trPr>
        <w:tc>
          <w:tcPr>
            <w:tcW w:w="1002" w:type="dxa"/>
          </w:tcPr>
          <w:p w14:paraId="6B170CFC" w14:textId="77777777" w:rsidR="0011703E" w:rsidRPr="00D945BD" w:rsidRDefault="0011703E" w:rsidP="00D945BD">
            <w:pPr>
              <w:rPr>
                <w:b/>
                <w:bCs/>
                <w:lang w:val="en-US"/>
              </w:rPr>
            </w:pPr>
            <w:r w:rsidRPr="00D945BD">
              <w:rPr>
                <w:b/>
                <w:bCs/>
                <w:lang w:val="en-US"/>
              </w:rPr>
              <w:t>5.l</w:t>
            </w:r>
          </w:p>
        </w:tc>
        <w:tc>
          <w:tcPr>
            <w:tcW w:w="2334" w:type="dxa"/>
          </w:tcPr>
          <w:p w14:paraId="6E5A1329" w14:textId="77777777" w:rsidR="0011703E" w:rsidRPr="00120EB6" w:rsidRDefault="0011703E" w:rsidP="00D945BD">
            <w:pPr>
              <w:rPr>
                <w:lang w:val="en-US"/>
              </w:rPr>
            </w:pPr>
            <w:r w:rsidRPr="00120EB6">
              <w:rPr>
                <w:lang w:val="en-US"/>
              </w:rPr>
              <w:t>Research in fuel treatments and how they affect future fire outcomes, including evaluation of how fires interact with burns, roadside burning practices and assessment of fuel treatment outcomes</w:t>
            </w:r>
          </w:p>
        </w:tc>
        <w:tc>
          <w:tcPr>
            <w:tcW w:w="1195" w:type="dxa"/>
          </w:tcPr>
          <w:p w14:paraId="109DF03A" w14:textId="77777777" w:rsidR="0011703E" w:rsidRPr="00120EB6" w:rsidRDefault="0011703E" w:rsidP="00D945BD">
            <w:pPr>
              <w:rPr>
                <w:lang w:val="en-US"/>
              </w:rPr>
            </w:pPr>
            <w:r w:rsidRPr="00120EB6">
              <w:rPr>
                <w:lang w:val="en-US"/>
              </w:rPr>
              <w:t>June 2025</w:t>
            </w:r>
          </w:p>
        </w:tc>
        <w:tc>
          <w:tcPr>
            <w:tcW w:w="993" w:type="dxa"/>
          </w:tcPr>
          <w:p w14:paraId="16159CF1" w14:textId="77777777" w:rsidR="0011703E" w:rsidRPr="00120EB6" w:rsidRDefault="0011703E" w:rsidP="00D945BD">
            <w:pPr>
              <w:rPr>
                <w:lang w:val="en-US"/>
              </w:rPr>
            </w:pPr>
            <w:r w:rsidRPr="00120EB6">
              <w:rPr>
                <w:lang w:val="en-US"/>
              </w:rPr>
              <w:t>CFA</w:t>
            </w:r>
          </w:p>
          <w:p w14:paraId="5632820C" w14:textId="77777777" w:rsidR="0011703E" w:rsidRPr="00120EB6" w:rsidRDefault="0011703E" w:rsidP="00D945BD">
            <w:pPr>
              <w:rPr>
                <w:lang w:val="en-US"/>
              </w:rPr>
            </w:pPr>
            <w:r w:rsidRPr="00120EB6">
              <w:rPr>
                <w:lang w:val="en-US"/>
              </w:rPr>
              <w:t>DEECA</w:t>
            </w:r>
          </w:p>
        </w:tc>
        <w:tc>
          <w:tcPr>
            <w:tcW w:w="1984" w:type="dxa"/>
          </w:tcPr>
          <w:p w14:paraId="116D990C" w14:textId="6E8E1352" w:rsidR="0011703E" w:rsidRPr="00120EB6" w:rsidRDefault="0011703E" w:rsidP="00D945BD">
            <w:pPr>
              <w:rPr>
                <w:lang w:val="en-GB"/>
              </w:rPr>
            </w:pPr>
            <w:r w:rsidRPr="00120EB6">
              <w:rPr>
                <w:lang w:val="en-US"/>
              </w:rPr>
              <w:t>Councils</w:t>
            </w:r>
          </w:p>
        </w:tc>
        <w:tc>
          <w:tcPr>
            <w:tcW w:w="1559" w:type="dxa"/>
          </w:tcPr>
          <w:p w14:paraId="34952253" w14:textId="77777777" w:rsidR="0011703E" w:rsidRPr="00120EB6" w:rsidRDefault="0011703E" w:rsidP="00D945BD">
            <w:pPr>
              <w:rPr>
                <w:lang w:val="en-US"/>
              </w:rPr>
            </w:pPr>
            <w:r w:rsidRPr="00120EB6">
              <w:rPr>
                <w:lang w:val="en-US"/>
              </w:rPr>
              <w:t>4.1</w:t>
            </w:r>
          </w:p>
          <w:p w14:paraId="58529022" w14:textId="77777777" w:rsidR="0011703E" w:rsidRPr="00120EB6" w:rsidRDefault="0011703E" w:rsidP="00D945BD">
            <w:pPr>
              <w:rPr>
                <w:lang w:val="en-US"/>
              </w:rPr>
            </w:pPr>
            <w:r w:rsidRPr="00120EB6">
              <w:rPr>
                <w:lang w:val="en-US"/>
              </w:rPr>
              <w:t>5.1</w:t>
            </w:r>
          </w:p>
        </w:tc>
      </w:tr>
    </w:tbl>
    <w:p w14:paraId="4843D9D4" w14:textId="77777777" w:rsidR="00120EB6" w:rsidRPr="00120EB6" w:rsidRDefault="00120EB6" w:rsidP="00120EB6">
      <w:pPr>
        <w:spacing w:before="0" w:after="0"/>
        <w:rPr>
          <w:lang w:val="en-US"/>
        </w:rPr>
      </w:pPr>
    </w:p>
    <w:p w14:paraId="6E087247" w14:textId="4F28FE1D" w:rsidR="00120EB6" w:rsidRPr="00120EB6" w:rsidRDefault="00120EB6" w:rsidP="009B11A5">
      <w:pPr>
        <w:pStyle w:val="Heading2"/>
        <w:numPr>
          <w:ilvl w:val="0"/>
          <w:numId w:val="4"/>
        </w:numPr>
        <w:rPr>
          <w:lang w:val="en-US"/>
        </w:rPr>
      </w:pPr>
      <w:bookmarkStart w:id="22" w:name="_Toc166682358"/>
      <w:r w:rsidRPr="00120EB6">
        <w:rPr>
          <w:lang w:val="en-US"/>
        </w:rPr>
        <w:t xml:space="preserve">Working together, </w:t>
      </w:r>
      <w:r w:rsidRPr="00D945BD">
        <w:t>accountability</w:t>
      </w:r>
      <w:r w:rsidRPr="00120EB6">
        <w:rPr>
          <w:lang w:val="en-US"/>
        </w:rPr>
        <w:t xml:space="preserve"> and shared responsibility</w:t>
      </w:r>
      <w:bookmarkEnd w:id="22"/>
    </w:p>
    <w:p w14:paraId="131BE27E" w14:textId="6B508185" w:rsidR="00120EB6" w:rsidRPr="00120EB6" w:rsidRDefault="00D945BD" w:rsidP="00D945BD">
      <w:pPr>
        <w:pStyle w:val="BlockText"/>
        <w:rPr>
          <w:lang w:val="en-US"/>
        </w:rPr>
      </w:pPr>
      <w:r w:rsidRPr="00120EB6">
        <w:rPr>
          <w:b/>
          <w:bCs/>
          <w:lang w:val="en-US"/>
        </w:rPr>
        <w:t>Outcome:</w:t>
      </w:r>
      <w:r w:rsidRPr="00120EB6">
        <w:rPr>
          <w:lang w:val="en-US"/>
        </w:rPr>
        <w:t xml:space="preserve"> The sector, land managers, communities and industry work together effectively and share responsibility for managing bushfire risk across public and private land.</w:t>
      </w:r>
    </w:p>
    <w:p w14:paraId="5D06DDEB" w14:textId="77777777" w:rsidR="00120EB6" w:rsidRPr="00120EB6" w:rsidRDefault="00120EB6" w:rsidP="000E1554">
      <w:pPr>
        <w:rPr>
          <w:lang w:val="en-US"/>
        </w:rPr>
      </w:pPr>
      <w:r w:rsidRPr="00120EB6">
        <w:rPr>
          <w:lang w:val="en-US"/>
        </w:rPr>
        <w:t>As the climate changes and bushfire risk increases across the landscape, shared responsibility becomes more important – and all Victorians have a role to play to manage bushfire risk.</w:t>
      </w:r>
    </w:p>
    <w:p w14:paraId="1CFF56E5" w14:textId="5B882899" w:rsidR="00120EB6" w:rsidRPr="00120EB6" w:rsidRDefault="00120EB6" w:rsidP="000E1554">
      <w:pPr>
        <w:rPr>
          <w:lang w:val="en-US"/>
        </w:rPr>
      </w:pPr>
      <w:r w:rsidRPr="00120EB6">
        <w:rPr>
          <w:lang w:val="en-US"/>
        </w:rPr>
        <w:t xml:space="preserve">Over the past 5 years, the sector has progressively implemented the Safer Together program. This work has set new foundations for improved collaboration between agencies and with communities. It has guided the development of innovative engagement programs, </w:t>
      </w:r>
      <w:r w:rsidRPr="00120EB6">
        <w:rPr>
          <w:lang w:val="en-US"/>
        </w:rPr>
        <w:lastRenderedPageBreak/>
        <w:t xml:space="preserve">joint agency planning activities, and seamless integration plans across public and private land. </w:t>
      </w:r>
    </w:p>
    <w:p w14:paraId="0AB54F8F" w14:textId="77777777" w:rsidR="00120EB6" w:rsidRPr="00120EB6" w:rsidRDefault="00120EB6" w:rsidP="000E1554">
      <w:pPr>
        <w:rPr>
          <w:lang w:val="en-US"/>
        </w:rPr>
      </w:pPr>
      <w:r w:rsidRPr="00120EB6">
        <w:rPr>
          <w:lang w:val="en-US"/>
        </w:rPr>
        <w:t>The actions in this domain are designed to improve the way the sector works together and with communities – including 12 different state government agencies, 79 local councils and Victoria’s Traditional Owners – and how the sector is accountable to all Victorians.</w:t>
      </w:r>
    </w:p>
    <w:p w14:paraId="68B9D58C" w14:textId="77777777" w:rsidR="00120EB6" w:rsidRPr="00120EB6" w:rsidRDefault="00120EB6" w:rsidP="000E1554">
      <w:pPr>
        <w:rPr>
          <w:lang w:val="en-US"/>
        </w:rPr>
      </w:pPr>
      <w:r w:rsidRPr="00120EB6">
        <w:rPr>
          <w:lang w:val="en-US"/>
        </w:rPr>
        <w:t>This includes reviewing and updating governance arrangements to ensure that they are fit for purpose and consider the diverse views and needs of all Victorians, as well as ensuring the sector proactively communicates with community about bushfire risk. This will ensure how we operate as a sector is constantly evolving and supported to strengthen communities through collaboration and partnership.</w:t>
      </w:r>
    </w:p>
    <w:tbl>
      <w:tblPr>
        <w:tblStyle w:val="TableGrid"/>
        <w:tblW w:w="8926" w:type="dxa"/>
        <w:tblLayout w:type="fixed"/>
        <w:tblLook w:val="0020" w:firstRow="1" w:lastRow="0" w:firstColumn="0" w:lastColumn="0" w:noHBand="0" w:noVBand="0"/>
      </w:tblPr>
      <w:tblGrid>
        <w:gridCol w:w="1002"/>
        <w:gridCol w:w="2334"/>
        <w:gridCol w:w="1195"/>
        <w:gridCol w:w="993"/>
        <w:gridCol w:w="1984"/>
        <w:gridCol w:w="1418"/>
      </w:tblGrid>
      <w:tr w:rsidR="00120EB6" w:rsidRPr="00120EB6" w14:paraId="37B432FA" w14:textId="77777777" w:rsidTr="0011703E">
        <w:trPr>
          <w:cantSplit/>
          <w:trHeight w:val="1125"/>
          <w:tblHeader/>
        </w:trPr>
        <w:tc>
          <w:tcPr>
            <w:tcW w:w="1002" w:type="dxa"/>
          </w:tcPr>
          <w:p w14:paraId="3C424955" w14:textId="77777777" w:rsidR="00120EB6" w:rsidRPr="000E1554" w:rsidRDefault="00120EB6" w:rsidP="000E1554">
            <w:pPr>
              <w:rPr>
                <w:b/>
                <w:bCs/>
                <w:lang w:val="en-US"/>
              </w:rPr>
            </w:pPr>
            <w:r w:rsidRPr="000E1554">
              <w:rPr>
                <w:b/>
                <w:bCs/>
                <w:lang w:val="en-US"/>
              </w:rPr>
              <w:t>Number</w:t>
            </w:r>
          </w:p>
        </w:tc>
        <w:tc>
          <w:tcPr>
            <w:tcW w:w="2334" w:type="dxa"/>
          </w:tcPr>
          <w:p w14:paraId="560403D1" w14:textId="77777777" w:rsidR="00120EB6" w:rsidRPr="000E1554" w:rsidRDefault="00120EB6" w:rsidP="000E1554">
            <w:pPr>
              <w:rPr>
                <w:b/>
                <w:bCs/>
                <w:lang w:val="en-US"/>
              </w:rPr>
            </w:pPr>
            <w:r w:rsidRPr="000E1554">
              <w:rPr>
                <w:b/>
                <w:bCs/>
                <w:lang w:val="en-US"/>
              </w:rPr>
              <w:t xml:space="preserve">Action </w:t>
            </w:r>
          </w:p>
        </w:tc>
        <w:tc>
          <w:tcPr>
            <w:tcW w:w="1195" w:type="dxa"/>
          </w:tcPr>
          <w:p w14:paraId="73133CC5" w14:textId="77777777" w:rsidR="00120EB6" w:rsidRPr="000E1554" w:rsidRDefault="00120EB6" w:rsidP="000E1554">
            <w:pPr>
              <w:rPr>
                <w:b/>
                <w:bCs/>
                <w:lang w:val="en-US"/>
              </w:rPr>
            </w:pPr>
            <w:r w:rsidRPr="000E1554">
              <w:rPr>
                <w:b/>
                <w:bCs/>
                <w:lang w:val="en-US"/>
              </w:rPr>
              <w:t>Delivery date</w:t>
            </w:r>
          </w:p>
        </w:tc>
        <w:tc>
          <w:tcPr>
            <w:tcW w:w="993" w:type="dxa"/>
          </w:tcPr>
          <w:p w14:paraId="440F3539" w14:textId="77777777" w:rsidR="00120EB6" w:rsidRPr="000E1554" w:rsidRDefault="00120EB6" w:rsidP="000E1554">
            <w:pPr>
              <w:rPr>
                <w:b/>
                <w:bCs/>
                <w:lang w:val="en-US"/>
              </w:rPr>
            </w:pPr>
            <w:r w:rsidRPr="000E1554">
              <w:rPr>
                <w:b/>
                <w:bCs/>
                <w:lang w:val="en-US"/>
              </w:rPr>
              <w:t xml:space="preserve">Leads </w:t>
            </w:r>
          </w:p>
        </w:tc>
        <w:tc>
          <w:tcPr>
            <w:tcW w:w="1984" w:type="dxa"/>
          </w:tcPr>
          <w:p w14:paraId="167995AA" w14:textId="77777777" w:rsidR="00120EB6" w:rsidRPr="000E1554" w:rsidRDefault="00120EB6" w:rsidP="000E1554">
            <w:pPr>
              <w:rPr>
                <w:b/>
                <w:bCs/>
                <w:lang w:val="en-US"/>
              </w:rPr>
            </w:pPr>
            <w:r w:rsidRPr="000E1554">
              <w:rPr>
                <w:b/>
                <w:bCs/>
                <w:lang w:val="en-US"/>
              </w:rPr>
              <w:t>Partners</w:t>
            </w:r>
          </w:p>
        </w:tc>
        <w:tc>
          <w:tcPr>
            <w:tcW w:w="1418" w:type="dxa"/>
          </w:tcPr>
          <w:p w14:paraId="516F58F3" w14:textId="77777777" w:rsidR="00120EB6" w:rsidRPr="000E1554" w:rsidRDefault="00120EB6" w:rsidP="000E1554">
            <w:pPr>
              <w:rPr>
                <w:b/>
                <w:bCs/>
                <w:lang w:val="en-US"/>
              </w:rPr>
            </w:pPr>
            <w:r w:rsidRPr="000E1554">
              <w:rPr>
                <w:b/>
                <w:bCs/>
                <w:lang w:val="en-US"/>
              </w:rPr>
              <w:t>The Strategy‘s strategic directions</w:t>
            </w:r>
          </w:p>
        </w:tc>
      </w:tr>
      <w:tr w:rsidR="0011703E" w:rsidRPr="00120EB6" w14:paraId="0AC9B1D1" w14:textId="77777777" w:rsidTr="0011703E">
        <w:trPr>
          <w:trHeight w:val="1327"/>
        </w:trPr>
        <w:tc>
          <w:tcPr>
            <w:tcW w:w="1002" w:type="dxa"/>
          </w:tcPr>
          <w:p w14:paraId="17146C5A" w14:textId="77777777" w:rsidR="0011703E" w:rsidRPr="000E1554" w:rsidRDefault="0011703E" w:rsidP="000E1554">
            <w:pPr>
              <w:rPr>
                <w:b/>
                <w:bCs/>
                <w:lang w:val="en-US"/>
              </w:rPr>
            </w:pPr>
            <w:r w:rsidRPr="000E1554">
              <w:rPr>
                <w:b/>
                <w:bCs/>
                <w:lang w:val="en-US"/>
              </w:rPr>
              <w:t>6.a</w:t>
            </w:r>
          </w:p>
        </w:tc>
        <w:tc>
          <w:tcPr>
            <w:tcW w:w="2334" w:type="dxa"/>
          </w:tcPr>
          <w:p w14:paraId="058D6FC6" w14:textId="77777777" w:rsidR="0011703E" w:rsidRPr="00120EB6" w:rsidRDefault="0011703E" w:rsidP="000E1554">
            <w:pPr>
              <w:rPr>
                <w:lang w:val="en-US"/>
              </w:rPr>
            </w:pPr>
            <w:r w:rsidRPr="00120EB6">
              <w:rPr>
                <w:lang w:val="en-US"/>
              </w:rPr>
              <w:t>Deliver a review of the multi-agency governance structure to strengthen how the bushfire management sector works together to manage bushfire risk across all public and private land in Victoria</w:t>
            </w:r>
          </w:p>
        </w:tc>
        <w:tc>
          <w:tcPr>
            <w:tcW w:w="1195" w:type="dxa"/>
          </w:tcPr>
          <w:p w14:paraId="1E059F73" w14:textId="630E2877" w:rsidR="0011703E" w:rsidRPr="00120EB6" w:rsidRDefault="0011703E" w:rsidP="000E1554">
            <w:pPr>
              <w:rPr>
                <w:lang w:val="en-US"/>
              </w:rPr>
            </w:pPr>
            <w:r>
              <w:rPr>
                <w:lang w:val="en-US"/>
              </w:rPr>
              <w:t>October</w:t>
            </w:r>
            <w:r w:rsidRPr="00120EB6">
              <w:rPr>
                <w:lang w:val="en-US"/>
              </w:rPr>
              <w:t xml:space="preserve"> 2024</w:t>
            </w:r>
          </w:p>
        </w:tc>
        <w:tc>
          <w:tcPr>
            <w:tcW w:w="993" w:type="dxa"/>
          </w:tcPr>
          <w:p w14:paraId="58C2D22C" w14:textId="77777777" w:rsidR="0011703E" w:rsidRPr="00120EB6" w:rsidRDefault="0011703E" w:rsidP="000E1554">
            <w:pPr>
              <w:rPr>
                <w:lang w:val="en-US"/>
              </w:rPr>
            </w:pPr>
            <w:r w:rsidRPr="00120EB6">
              <w:rPr>
                <w:lang w:val="en-US"/>
              </w:rPr>
              <w:t>DEECA</w:t>
            </w:r>
          </w:p>
          <w:p w14:paraId="4505C231" w14:textId="77777777" w:rsidR="0011703E" w:rsidRPr="00120EB6" w:rsidRDefault="0011703E" w:rsidP="000E1554">
            <w:pPr>
              <w:rPr>
                <w:lang w:val="en-US"/>
              </w:rPr>
            </w:pPr>
            <w:r w:rsidRPr="00120EB6">
              <w:rPr>
                <w:lang w:val="en-US"/>
              </w:rPr>
              <w:t>CFA</w:t>
            </w:r>
          </w:p>
        </w:tc>
        <w:tc>
          <w:tcPr>
            <w:tcW w:w="1984" w:type="dxa"/>
          </w:tcPr>
          <w:p w14:paraId="0F3662A9" w14:textId="77777777" w:rsidR="0011703E" w:rsidRPr="00120EB6" w:rsidRDefault="0011703E" w:rsidP="000E1554">
            <w:pPr>
              <w:rPr>
                <w:lang w:val="en-US"/>
              </w:rPr>
            </w:pPr>
            <w:r w:rsidRPr="00120EB6">
              <w:rPr>
                <w:lang w:val="en-US"/>
              </w:rPr>
              <w:t>EMV</w:t>
            </w:r>
          </w:p>
          <w:p w14:paraId="3473AD02" w14:textId="77777777" w:rsidR="0011703E" w:rsidRPr="00120EB6" w:rsidRDefault="0011703E" w:rsidP="000E1554">
            <w:pPr>
              <w:rPr>
                <w:lang w:val="en-US"/>
              </w:rPr>
            </w:pPr>
            <w:r w:rsidRPr="00120EB6">
              <w:rPr>
                <w:lang w:val="en-US"/>
              </w:rPr>
              <w:t>Parks Victoria</w:t>
            </w:r>
          </w:p>
          <w:p w14:paraId="54C107BB" w14:textId="77777777" w:rsidR="0011703E" w:rsidRPr="00120EB6" w:rsidRDefault="0011703E" w:rsidP="000E1554">
            <w:pPr>
              <w:rPr>
                <w:lang w:val="en-US"/>
              </w:rPr>
            </w:pPr>
            <w:r w:rsidRPr="00120EB6">
              <w:rPr>
                <w:lang w:val="en-US"/>
              </w:rPr>
              <w:t>DTP</w:t>
            </w:r>
          </w:p>
          <w:p w14:paraId="0C528141" w14:textId="77777777" w:rsidR="0011703E" w:rsidRPr="00120EB6" w:rsidRDefault="0011703E" w:rsidP="000E1554">
            <w:pPr>
              <w:rPr>
                <w:lang w:val="en-US"/>
              </w:rPr>
            </w:pPr>
            <w:r w:rsidRPr="00120EB6">
              <w:rPr>
                <w:lang w:val="en-US"/>
              </w:rPr>
              <w:t>FRV</w:t>
            </w:r>
          </w:p>
          <w:p w14:paraId="1D9CA789" w14:textId="77777777" w:rsidR="0011703E" w:rsidRPr="00120EB6" w:rsidRDefault="0011703E" w:rsidP="000E1554">
            <w:pPr>
              <w:rPr>
                <w:lang w:val="en-US"/>
              </w:rPr>
            </w:pPr>
            <w:r w:rsidRPr="00120EB6">
              <w:rPr>
                <w:lang w:val="en-US"/>
              </w:rPr>
              <w:t>Councils</w:t>
            </w:r>
          </w:p>
          <w:p w14:paraId="28809CFB" w14:textId="543558CE" w:rsidR="0011703E" w:rsidRPr="00120EB6" w:rsidRDefault="0011703E" w:rsidP="000E1554">
            <w:pPr>
              <w:rPr>
                <w:lang w:val="en-US"/>
              </w:rPr>
            </w:pPr>
            <w:r w:rsidRPr="00120EB6">
              <w:rPr>
                <w:lang w:val="en-US"/>
              </w:rPr>
              <w:t>ERV</w:t>
            </w:r>
          </w:p>
          <w:p w14:paraId="69131D2D" w14:textId="77777777" w:rsidR="0011703E" w:rsidRPr="00120EB6" w:rsidRDefault="0011703E" w:rsidP="000E1554">
            <w:pPr>
              <w:rPr>
                <w:lang w:val="en-US"/>
              </w:rPr>
            </w:pPr>
            <w:r w:rsidRPr="00120EB6">
              <w:rPr>
                <w:lang w:val="en-US"/>
              </w:rPr>
              <w:t>LGV</w:t>
            </w:r>
          </w:p>
          <w:p w14:paraId="1D5338F1" w14:textId="77777777" w:rsidR="0011703E" w:rsidRPr="00120EB6" w:rsidRDefault="0011703E" w:rsidP="000E1554">
            <w:pPr>
              <w:rPr>
                <w:lang w:val="en-US"/>
              </w:rPr>
            </w:pPr>
            <w:r w:rsidRPr="00120EB6">
              <w:rPr>
                <w:lang w:val="en-US"/>
              </w:rPr>
              <w:t>MAV</w:t>
            </w:r>
          </w:p>
          <w:p w14:paraId="1CBC371E" w14:textId="77777777" w:rsidR="0011703E" w:rsidRPr="00120EB6" w:rsidRDefault="0011703E" w:rsidP="000E1554">
            <w:pPr>
              <w:rPr>
                <w:lang w:val="en-US"/>
              </w:rPr>
            </w:pPr>
            <w:r w:rsidRPr="00120EB6">
              <w:rPr>
                <w:lang w:val="en-US"/>
              </w:rPr>
              <w:t>Traditional Owners</w:t>
            </w:r>
          </w:p>
        </w:tc>
        <w:tc>
          <w:tcPr>
            <w:tcW w:w="1418" w:type="dxa"/>
          </w:tcPr>
          <w:p w14:paraId="7B9B2AE6" w14:textId="77777777" w:rsidR="0011703E" w:rsidRPr="00120EB6" w:rsidRDefault="0011703E" w:rsidP="000E1554">
            <w:pPr>
              <w:rPr>
                <w:lang w:val="en-US"/>
              </w:rPr>
            </w:pPr>
            <w:r w:rsidRPr="00120EB6">
              <w:rPr>
                <w:lang w:val="en-US"/>
              </w:rPr>
              <w:t>6.1</w:t>
            </w:r>
          </w:p>
        </w:tc>
      </w:tr>
      <w:tr w:rsidR="0011703E" w:rsidRPr="00120EB6" w14:paraId="10A61241" w14:textId="77777777" w:rsidTr="0011703E">
        <w:trPr>
          <w:trHeight w:val="60"/>
        </w:trPr>
        <w:tc>
          <w:tcPr>
            <w:tcW w:w="1002" w:type="dxa"/>
          </w:tcPr>
          <w:p w14:paraId="76B766EE" w14:textId="77777777" w:rsidR="0011703E" w:rsidRPr="000E1554" w:rsidRDefault="0011703E" w:rsidP="000E1554">
            <w:pPr>
              <w:rPr>
                <w:b/>
                <w:bCs/>
                <w:lang w:val="en-US"/>
              </w:rPr>
            </w:pPr>
            <w:r w:rsidRPr="000E1554">
              <w:rPr>
                <w:b/>
                <w:bCs/>
                <w:lang w:val="en-US"/>
              </w:rPr>
              <w:t>6.b</w:t>
            </w:r>
          </w:p>
        </w:tc>
        <w:tc>
          <w:tcPr>
            <w:tcW w:w="2334" w:type="dxa"/>
          </w:tcPr>
          <w:p w14:paraId="74F4A7A7" w14:textId="77777777" w:rsidR="0011703E" w:rsidRPr="00120EB6" w:rsidRDefault="0011703E" w:rsidP="000E1554">
            <w:pPr>
              <w:rPr>
                <w:lang w:val="en-US"/>
              </w:rPr>
            </w:pPr>
            <w:r w:rsidRPr="00120EB6">
              <w:rPr>
                <w:lang w:val="en-US"/>
              </w:rPr>
              <w:t>Develop and implement a proactive communications strategy for how Victoria manages bushfire risk</w:t>
            </w:r>
          </w:p>
        </w:tc>
        <w:tc>
          <w:tcPr>
            <w:tcW w:w="1195" w:type="dxa"/>
          </w:tcPr>
          <w:p w14:paraId="68D0A0C9" w14:textId="3A7267B5" w:rsidR="0011703E" w:rsidRPr="00120EB6" w:rsidRDefault="0011703E" w:rsidP="000E1554">
            <w:pPr>
              <w:rPr>
                <w:lang w:val="en-US"/>
              </w:rPr>
            </w:pPr>
            <w:r w:rsidRPr="00120EB6">
              <w:rPr>
                <w:lang w:val="en-US"/>
              </w:rPr>
              <w:t>202</w:t>
            </w:r>
            <w:r>
              <w:rPr>
                <w:lang w:val="en-US"/>
              </w:rPr>
              <w:t>5</w:t>
            </w:r>
          </w:p>
        </w:tc>
        <w:tc>
          <w:tcPr>
            <w:tcW w:w="993" w:type="dxa"/>
          </w:tcPr>
          <w:p w14:paraId="26B5273F" w14:textId="77777777" w:rsidR="0011703E" w:rsidRPr="00120EB6" w:rsidRDefault="0011703E" w:rsidP="000E1554">
            <w:pPr>
              <w:rPr>
                <w:lang w:val="en-US"/>
              </w:rPr>
            </w:pPr>
            <w:r w:rsidRPr="00120EB6">
              <w:rPr>
                <w:lang w:val="en-US"/>
              </w:rPr>
              <w:t>DEECA</w:t>
            </w:r>
          </w:p>
        </w:tc>
        <w:tc>
          <w:tcPr>
            <w:tcW w:w="1984" w:type="dxa"/>
          </w:tcPr>
          <w:p w14:paraId="5DAD262A" w14:textId="77777777" w:rsidR="0011703E" w:rsidRPr="00120EB6" w:rsidRDefault="0011703E" w:rsidP="000E1554">
            <w:pPr>
              <w:rPr>
                <w:lang w:val="en-US"/>
              </w:rPr>
            </w:pPr>
            <w:r w:rsidRPr="00120EB6">
              <w:rPr>
                <w:lang w:val="en-US"/>
              </w:rPr>
              <w:t>CFA</w:t>
            </w:r>
          </w:p>
          <w:p w14:paraId="569E0FDE" w14:textId="77777777" w:rsidR="0011703E" w:rsidRPr="00120EB6" w:rsidRDefault="0011703E" w:rsidP="000E1554">
            <w:pPr>
              <w:rPr>
                <w:lang w:val="en-US"/>
              </w:rPr>
            </w:pPr>
            <w:r w:rsidRPr="00120EB6">
              <w:rPr>
                <w:lang w:val="en-US"/>
              </w:rPr>
              <w:t>FRV</w:t>
            </w:r>
          </w:p>
          <w:p w14:paraId="08D3A619" w14:textId="77777777" w:rsidR="0011703E" w:rsidRPr="00120EB6" w:rsidRDefault="0011703E" w:rsidP="000E1554">
            <w:pPr>
              <w:rPr>
                <w:lang w:val="en-US"/>
              </w:rPr>
            </w:pPr>
            <w:r w:rsidRPr="00120EB6">
              <w:rPr>
                <w:lang w:val="en-US"/>
              </w:rPr>
              <w:t>DTP</w:t>
            </w:r>
          </w:p>
          <w:p w14:paraId="6941D0F3" w14:textId="77777777" w:rsidR="0011703E" w:rsidRPr="00120EB6" w:rsidRDefault="0011703E" w:rsidP="000E1554">
            <w:pPr>
              <w:rPr>
                <w:lang w:val="en-US"/>
              </w:rPr>
            </w:pPr>
            <w:r w:rsidRPr="00120EB6">
              <w:rPr>
                <w:lang w:val="en-US"/>
              </w:rPr>
              <w:t>Councils</w:t>
            </w:r>
          </w:p>
          <w:p w14:paraId="3F7FB6B7" w14:textId="3A97B685" w:rsidR="0011703E" w:rsidRPr="00120EB6" w:rsidRDefault="0011703E" w:rsidP="000E1554">
            <w:pPr>
              <w:rPr>
                <w:lang w:val="en-US"/>
              </w:rPr>
            </w:pPr>
            <w:r w:rsidRPr="00120EB6">
              <w:rPr>
                <w:lang w:val="en-US"/>
              </w:rPr>
              <w:t>MAV</w:t>
            </w:r>
          </w:p>
          <w:p w14:paraId="21915363" w14:textId="77777777" w:rsidR="0011703E" w:rsidRPr="00120EB6" w:rsidRDefault="0011703E" w:rsidP="000E1554">
            <w:pPr>
              <w:rPr>
                <w:lang w:val="en-US"/>
              </w:rPr>
            </w:pPr>
            <w:r w:rsidRPr="00120EB6">
              <w:rPr>
                <w:lang w:val="en-US"/>
              </w:rPr>
              <w:lastRenderedPageBreak/>
              <w:t>LGV</w:t>
            </w:r>
          </w:p>
          <w:p w14:paraId="5F38CCB0" w14:textId="77777777" w:rsidR="0011703E" w:rsidRPr="00120EB6" w:rsidRDefault="0011703E" w:rsidP="000E1554">
            <w:pPr>
              <w:rPr>
                <w:lang w:val="en-US"/>
              </w:rPr>
            </w:pPr>
            <w:r w:rsidRPr="00120EB6">
              <w:rPr>
                <w:lang w:val="en-US"/>
              </w:rPr>
              <w:t>EMV</w:t>
            </w:r>
          </w:p>
          <w:p w14:paraId="21115FF8" w14:textId="77777777" w:rsidR="0011703E" w:rsidRPr="00120EB6" w:rsidRDefault="0011703E" w:rsidP="000E1554">
            <w:pPr>
              <w:rPr>
                <w:lang w:val="en-US"/>
              </w:rPr>
            </w:pPr>
            <w:r w:rsidRPr="00120EB6">
              <w:rPr>
                <w:lang w:val="en-US"/>
              </w:rPr>
              <w:t>Parks Victoria</w:t>
            </w:r>
          </w:p>
        </w:tc>
        <w:tc>
          <w:tcPr>
            <w:tcW w:w="1418" w:type="dxa"/>
          </w:tcPr>
          <w:p w14:paraId="329B7361" w14:textId="77777777" w:rsidR="0011703E" w:rsidRPr="00120EB6" w:rsidRDefault="0011703E" w:rsidP="000E1554">
            <w:pPr>
              <w:rPr>
                <w:lang w:val="en-US"/>
              </w:rPr>
            </w:pPr>
            <w:r w:rsidRPr="00120EB6">
              <w:rPr>
                <w:lang w:val="en-US"/>
              </w:rPr>
              <w:lastRenderedPageBreak/>
              <w:t>6.1</w:t>
            </w:r>
          </w:p>
        </w:tc>
      </w:tr>
      <w:tr w:rsidR="0011703E" w:rsidRPr="00120EB6" w14:paraId="279F3DB1" w14:textId="77777777" w:rsidTr="0011703E">
        <w:trPr>
          <w:trHeight w:val="60"/>
        </w:trPr>
        <w:tc>
          <w:tcPr>
            <w:tcW w:w="1002" w:type="dxa"/>
          </w:tcPr>
          <w:p w14:paraId="4E16FC10" w14:textId="77777777" w:rsidR="0011703E" w:rsidRPr="000E1554" w:rsidRDefault="0011703E" w:rsidP="000E1554">
            <w:pPr>
              <w:rPr>
                <w:b/>
                <w:bCs/>
                <w:lang w:val="en-US"/>
              </w:rPr>
            </w:pPr>
            <w:r w:rsidRPr="000E1554">
              <w:rPr>
                <w:b/>
                <w:bCs/>
                <w:lang w:val="en-US"/>
              </w:rPr>
              <w:t>6.c</w:t>
            </w:r>
          </w:p>
        </w:tc>
        <w:tc>
          <w:tcPr>
            <w:tcW w:w="2334" w:type="dxa"/>
          </w:tcPr>
          <w:p w14:paraId="62D0D158" w14:textId="77777777" w:rsidR="0011703E" w:rsidRPr="00120EB6" w:rsidRDefault="0011703E" w:rsidP="000E1554">
            <w:pPr>
              <w:rPr>
                <w:lang w:val="en-US"/>
              </w:rPr>
            </w:pPr>
            <w:r w:rsidRPr="00120EB6">
              <w:rPr>
                <w:lang w:val="en-US"/>
              </w:rPr>
              <w:t>Deliver an updated Code of Practice for Bushfire Management on Public Land</w:t>
            </w:r>
          </w:p>
        </w:tc>
        <w:tc>
          <w:tcPr>
            <w:tcW w:w="1195" w:type="dxa"/>
          </w:tcPr>
          <w:p w14:paraId="7FFC0D82" w14:textId="77777777" w:rsidR="0011703E" w:rsidRPr="00120EB6" w:rsidRDefault="0011703E" w:rsidP="000E1554">
            <w:pPr>
              <w:rPr>
                <w:lang w:val="en-US"/>
              </w:rPr>
            </w:pPr>
            <w:r w:rsidRPr="00120EB6">
              <w:rPr>
                <w:lang w:val="en-US"/>
              </w:rPr>
              <w:t>December 2024</w:t>
            </w:r>
          </w:p>
        </w:tc>
        <w:tc>
          <w:tcPr>
            <w:tcW w:w="993" w:type="dxa"/>
          </w:tcPr>
          <w:p w14:paraId="039F2DB0" w14:textId="77777777" w:rsidR="0011703E" w:rsidRPr="00120EB6" w:rsidRDefault="0011703E" w:rsidP="000E1554">
            <w:pPr>
              <w:rPr>
                <w:lang w:val="en-US"/>
              </w:rPr>
            </w:pPr>
            <w:r w:rsidRPr="00120EB6">
              <w:rPr>
                <w:lang w:val="en-US"/>
              </w:rPr>
              <w:t>DEECA</w:t>
            </w:r>
          </w:p>
        </w:tc>
        <w:tc>
          <w:tcPr>
            <w:tcW w:w="1984" w:type="dxa"/>
          </w:tcPr>
          <w:p w14:paraId="611A9670" w14:textId="77777777" w:rsidR="0011703E" w:rsidRPr="00120EB6" w:rsidRDefault="0011703E" w:rsidP="000E1554">
            <w:pPr>
              <w:rPr>
                <w:lang w:val="en-US"/>
              </w:rPr>
            </w:pPr>
            <w:r w:rsidRPr="00120EB6">
              <w:rPr>
                <w:lang w:val="en-US"/>
              </w:rPr>
              <w:t>EMV</w:t>
            </w:r>
          </w:p>
          <w:p w14:paraId="540A3D73" w14:textId="77777777" w:rsidR="0011703E" w:rsidRPr="00120EB6" w:rsidRDefault="0011703E" w:rsidP="000E1554">
            <w:pPr>
              <w:rPr>
                <w:lang w:val="en-US"/>
              </w:rPr>
            </w:pPr>
            <w:r w:rsidRPr="00120EB6">
              <w:rPr>
                <w:lang w:val="en-US"/>
              </w:rPr>
              <w:t>Parks Victoria</w:t>
            </w:r>
          </w:p>
          <w:p w14:paraId="27E43ACC" w14:textId="77777777" w:rsidR="0011703E" w:rsidRPr="00120EB6" w:rsidRDefault="0011703E" w:rsidP="000E1554">
            <w:pPr>
              <w:rPr>
                <w:lang w:val="en-US"/>
              </w:rPr>
            </w:pPr>
            <w:r w:rsidRPr="00120EB6">
              <w:rPr>
                <w:lang w:val="en-US"/>
              </w:rPr>
              <w:t>DTP</w:t>
            </w:r>
          </w:p>
          <w:p w14:paraId="001F4482" w14:textId="77777777" w:rsidR="0011703E" w:rsidRPr="00120EB6" w:rsidRDefault="0011703E" w:rsidP="000E1554">
            <w:pPr>
              <w:rPr>
                <w:lang w:val="en-US"/>
              </w:rPr>
            </w:pPr>
            <w:r w:rsidRPr="00120EB6">
              <w:rPr>
                <w:lang w:val="en-US"/>
              </w:rPr>
              <w:t>FRV</w:t>
            </w:r>
          </w:p>
          <w:p w14:paraId="45B198C8" w14:textId="79B06BAA" w:rsidR="0011703E" w:rsidRPr="00120EB6" w:rsidRDefault="0011703E" w:rsidP="000E1554">
            <w:pPr>
              <w:rPr>
                <w:lang w:val="en-US"/>
              </w:rPr>
            </w:pPr>
            <w:r w:rsidRPr="00120EB6">
              <w:rPr>
                <w:lang w:val="en-US"/>
              </w:rPr>
              <w:t>ERV</w:t>
            </w:r>
          </w:p>
          <w:p w14:paraId="493EFBBC" w14:textId="77777777" w:rsidR="0011703E" w:rsidRPr="00120EB6" w:rsidRDefault="0011703E" w:rsidP="000E1554">
            <w:pPr>
              <w:rPr>
                <w:lang w:val="en-US"/>
              </w:rPr>
            </w:pPr>
            <w:r w:rsidRPr="00120EB6">
              <w:rPr>
                <w:lang w:val="en-US"/>
              </w:rPr>
              <w:t>LGV</w:t>
            </w:r>
          </w:p>
          <w:p w14:paraId="104C354A" w14:textId="77777777" w:rsidR="0011703E" w:rsidRPr="00120EB6" w:rsidRDefault="0011703E" w:rsidP="000E1554">
            <w:pPr>
              <w:rPr>
                <w:lang w:val="en-US"/>
              </w:rPr>
            </w:pPr>
            <w:r w:rsidRPr="00120EB6">
              <w:rPr>
                <w:lang w:val="en-US"/>
              </w:rPr>
              <w:t>MAV</w:t>
            </w:r>
          </w:p>
          <w:p w14:paraId="56A51121" w14:textId="77777777" w:rsidR="0011703E" w:rsidRPr="00120EB6" w:rsidRDefault="0011703E" w:rsidP="000E1554">
            <w:pPr>
              <w:rPr>
                <w:lang w:val="en-US"/>
              </w:rPr>
            </w:pPr>
            <w:r w:rsidRPr="00120EB6">
              <w:rPr>
                <w:lang w:val="en-US"/>
              </w:rPr>
              <w:t>Traditional Owners</w:t>
            </w:r>
          </w:p>
        </w:tc>
        <w:tc>
          <w:tcPr>
            <w:tcW w:w="1418" w:type="dxa"/>
          </w:tcPr>
          <w:p w14:paraId="158EF023" w14:textId="77777777" w:rsidR="0011703E" w:rsidRPr="00120EB6" w:rsidRDefault="0011703E" w:rsidP="000E1554">
            <w:pPr>
              <w:rPr>
                <w:lang w:val="en-US"/>
              </w:rPr>
            </w:pPr>
            <w:r w:rsidRPr="00120EB6">
              <w:rPr>
                <w:lang w:val="en-US"/>
              </w:rPr>
              <w:t>6.2</w:t>
            </w:r>
          </w:p>
        </w:tc>
      </w:tr>
      <w:tr w:rsidR="0011703E" w:rsidRPr="00120EB6" w14:paraId="56940A5E" w14:textId="77777777" w:rsidTr="00377774">
        <w:trPr>
          <w:trHeight w:val="60"/>
        </w:trPr>
        <w:tc>
          <w:tcPr>
            <w:tcW w:w="1002" w:type="dxa"/>
          </w:tcPr>
          <w:p w14:paraId="230E7403" w14:textId="77777777" w:rsidR="0011703E" w:rsidRPr="000E1554" w:rsidRDefault="0011703E" w:rsidP="000E1554">
            <w:pPr>
              <w:rPr>
                <w:b/>
                <w:bCs/>
                <w:lang w:val="en-US"/>
              </w:rPr>
            </w:pPr>
            <w:r w:rsidRPr="000E1554">
              <w:rPr>
                <w:b/>
                <w:bCs/>
                <w:lang w:val="en-US"/>
              </w:rPr>
              <w:t>6.d</w:t>
            </w:r>
          </w:p>
        </w:tc>
        <w:tc>
          <w:tcPr>
            <w:tcW w:w="2334" w:type="dxa"/>
          </w:tcPr>
          <w:p w14:paraId="7C856037" w14:textId="77777777" w:rsidR="0011703E" w:rsidRPr="00120EB6" w:rsidRDefault="0011703E" w:rsidP="000E1554">
            <w:pPr>
              <w:rPr>
                <w:lang w:val="en-US"/>
              </w:rPr>
            </w:pPr>
            <w:r w:rsidRPr="00120EB6">
              <w:rPr>
                <w:lang w:val="en-US"/>
              </w:rPr>
              <w:t>Review the legislative framework for fuel management, including land and fire managers’ responsibilities, powers and functions, to:</w:t>
            </w:r>
          </w:p>
          <w:p w14:paraId="23C928F9" w14:textId="77777777" w:rsidR="0011703E" w:rsidRPr="00120EB6" w:rsidRDefault="0011703E" w:rsidP="000E1554">
            <w:pPr>
              <w:rPr>
                <w:lang w:val="en-US"/>
              </w:rPr>
            </w:pPr>
            <w:r w:rsidRPr="00120EB6">
              <w:rPr>
                <w:lang w:val="en-US"/>
              </w:rPr>
              <w:t>support agencies to work together more closely</w:t>
            </w:r>
          </w:p>
          <w:p w14:paraId="7735B032" w14:textId="77777777" w:rsidR="0011703E" w:rsidRPr="00120EB6" w:rsidRDefault="0011703E" w:rsidP="000E1554">
            <w:pPr>
              <w:rPr>
                <w:lang w:val="en-US"/>
              </w:rPr>
            </w:pPr>
            <w:r w:rsidRPr="00120EB6">
              <w:rPr>
                <w:lang w:val="en-US"/>
              </w:rPr>
              <w:t>ensure all firefighters have sufficient legal protections when carrying out fuel management</w:t>
            </w:r>
          </w:p>
          <w:p w14:paraId="61B562E7" w14:textId="77777777" w:rsidR="0011703E" w:rsidRPr="00120EB6" w:rsidRDefault="0011703E" w:rsidP="000E1554">
            <w:pPr>
              <w:rPr>
                <w:lang w:val="en-US"/>
              </w:rPr>
            </w:pPr>
            <w:r w:rsidRPr="00120EB6">
              <w:rPr>
                <w:lang w:val="en-US"/>
              </w:rPr>
              <w:lastRenderedPageBreak/>
              <w:t>consider what statutory support may be required to implement the end-to-end framework effectively.</w:t>
            </w:r>
          </w:p>
        </w:tc>
        <w:tc>
          <w:tcPr>
            <w:tcW w:w="1195" w:type="dxa"/>
          </w:tcPr>
          <w:p w14:paraId="06A011C3" w14:textId="77777777" w:rsidR="0011703E" w:rsidRPr="00120EB6" w:rsidRDefault="0011703E" w:rsidP="000E1554">
            <w:pPr>
              <w:rPr>
                <w:lang w:val="en-US"/>
              </w:rPr>
            </w:pPr>
            <w:r w:rsidRPr="00120EB6">
              <w:rPr>
                <w:lang w:val="en-US"/>
              </w:rPr>
              <w:lastRenderedPageBreak/>
              <w:t>December 2024</w:t>
            </w:r>
          </w:p>
        </w:tc>
        <w:tc>
          <w:tcPr>
            <w:tcW w:w="993" w:type="dxa"/>
          </w:tcPr>
          <w:p w14:paraId="45D61126" w14:textId="77777777" w:rsidR="0011703E" w:rsidRPr="00120EB6" w:rsidRDefault="0011703E" w:rsidP="000E1554">
            <w:pPr>
              <w:rPr>
                <w:lang w:val="en-US"/>
              </w:rPr>
            </w:pPr>
            <w:r w:rsidRPr="00120EB6">
              <w:rPr>
                <w:lang w:val="en-US"/>
              </w:rPr>
              <w:t>DEECA</w:t>
            </w:r>
          </w:p>
          <w:p w14:paraId="405CB832" w14:textId="77777777" w:rsidR="0011703E" w:rsidRPr="00120EB6" w:rsidRDefault="0011703E" w:rsidP="000E1554">
            <w:pPr>
              <w:rPr>
                <w:lang w:val="en-US"/>
              </w:rPr>
            </w:pPr>
            <w:r w:rsidRPr="00120EB6">
              <w:rPr>
                <w:lang w:val="en-US"/>
              </w:rPr>
              <w:t>DJCS</w:t>
            </w:r>
          </w:p>
        </w:tc>
        <w:tc>
          <w:tcPr>
            <w:tcW w:w="1984" w:type="dxa"/>
          </w:tcPr>
          <w:p w14:paraId="7AD862C0" w14:textId="77777777" w:rsidR="0011703E" w:rsidRPr="00120EB6" w:rsidRDefault="0011703E" w:rsidP="000E1554">
            <w:pPr>
              <w:rPr>
                <w:lang w:val="en-US"/>
              </w:rPr>
            </w:pPr>
            <w:r w:rsidRPr="00120EB6">
              <w:rPr>
                <w:lang w:val="en-US"/>
              </w:rPr>
              <w:t>Parks Victoria</w:t>
            </w:r>
          </w:p>
          <w:p w14:paraId="5A516A24" w14:textId="77777777" w:rsidR="0011703E" w:rsidRPr="00120EB6" w:rsidRDefault="0011703E" w:rsidP="000E1554">
            <w:pPr>
              <w:rPr>
                <w:lang w:val="en-US"/>
              </w:rPr>
            </w:pPr>
            <w:r w:rsidRPr="00120EB6">
              <w:rPr>
                <w:lang w:val="en-US"/>
              </w:rPr>
              <w:t>CFA</w:t>
            </w:r>
          </w:p>
          <w:p w14:paraId="0061D3CE" w14:textId="77777777" w:rsidR="0011703E" w:rsidRPr="00120EB6" w:rsidRDefault="0011703E" w:rsidP="000E1554">
            <w:pPr>
              <w:rPr>
                <w:lang w:val="en-US"/>
              </w:rPr>
            </w:pPr>
            <w:r w:rsidRPr="00120EB6">
              <w:rPr>
                <w:lang w:val="en-US"/>
              </w:rPr>
              <w:t>FRV</w:t>
            </w:r>
          </w:p>
          <w:p w14:paraId="61A7C0D5" w14:textId="77777777" w:rsidR="0011703E" w:rsidRPr="00120EB6" w:rsidRDefault="0011703E" w:rsidP="000E1554">
            <w:pPr>
              <w:rPr>
                <w:lang w:val="en-US"/>
              </w:rPr>
            </w:pPr>
            <w:r w:rsidRPr="00120EB6">
              <w:rPr>
                <w:lang w:val="en-US"/>
              </w:rPr>
              <w:t>ERV</w:t>
            </w:r>
          </w:p>
          <w:p w14:paraId="3D8C8052" w14:textId="44072874" w:rsidR="0011703E" w:rsidRPr="00120EB6" w:rsidRDefault="0011703E" w:rsidP="000E1554">
            <w:pPr>
              <w:rPr>
                <w:lang w:val="en-US"/>
              </w:rPr>
            </w:pPr>
            <w:r w:rsidRPr="00120EB6">
              <w:rPr>
                <w:lang w:val="en-US"/>
              </w:rPr>
              <w:t>DTP</w:t>
            </w:r>
          </w:p>
          <w:p w14:paraId="52239F6E" w14:textId="77777777" w:rsidR="0011703E" w:rsidRPr="00120EB6" w:rsidRDefault="0011703E" w:rsidP="000E1554">
            <w:pPr>
              <w:rPr>
                <w:lang w:val="en-US"/>
              </w:rPr>
            </w:pPr>
            <w:r w:rsidRPr="00120EB6">
              <w:rPr>
                <w:lang w:val="en-US"/>
              </w:rPr>
              <w:t>MAV</w:t>
            </w:r>
          </w:p>
          <w:p w14:paraId="3BA83067" w14:textId="77777777" w:rsidR="0011703E" w:rsidRPr="00120EB6" w:rsidRDefault="0011703E" w:rsidP="000E1554">
            <w:pPr>
              <w:rPr>
                <w:lang w:val="en-US"/>
              </w:rPr>
            </w:pPr>
            <w:r w:rsidRPr="00120EB6">
              <w:rPr>
                <w:lang w:val="en-US"/>
              </w:rPr>
              <w:t>LGV</w:t>
            </w:r>
          </w:p>
          <w:p w14:paraId="3E55B968" w14:textId="77777777" w:rsidR="0011703E" w:rsidRPr="00120EB6" w:rsidRDefault="0011703E" w:rsidP="000E1554">
            <w:pPr>
              <w:rPr>
                <w:lang w:val="en-US"/>
              </w:rPr>
            </w:pPr>
            <w:r w:rsidRPr="00120EB6">
              <w:rPr>
                <w:lang w:val="en-US"/>
              </w:rPr>
              <w:t>Councils</w:t>
            </w:r>
          </w:p>
        </w:tc>
        <w:tc>
          <w:tcPr>
            <w:tcW w:w="1418" w:type="dxa"/>
          </w:tcPr>
          <w:p w14:paraId="79B6AA63" w14:textId="77777777" w:rsidR="0011703E" w:rsidRPr="00120EB6" w:rsidRDefault="0011703E" w:rsidP="000E1554">
            <w:pPr>
              <w:rPr>
                <w:lang w:val="en-US"/>
              </w:rPr>
            </w:pPr>
            <w:r w:rsidRPr="00120EB6">
              <w:rPr>
                <w:lang w:val="en-US"/>
              </w:rPr>
              <w:t>6.2</w:t>
            </w:r>
          </w:p>
          <w:p w14:paraId="6FB38F79" w14:textId="77777777" w:rsidR="0011703E" w:rsidRPr="00120EB6" w:rsidRDefault="0011703E" w:rsidP="000E1554">
            <w:pPr>
              <w:rPr>
                <w:lang w:val="en-US"/>
              </w:rPr>
            </w:pPr>
            <w:r w:rsidRPr="00120EB6">
              <w:rPr>
                <w:lang w:val="en-US"/>
              </w:rPr>
              <w:t>6.4</w:t>
            </w:r>
          </w:p>
        </w:tc>
      </w:tr>
      <w:tr w:rsidR="0011703E" w:rsidRPr="00120EB6" w14:paraId="505A4E53" w14:textId="77777777" w:rsidTr="00E06F52">
        <w:trPr>
          <w:trHeight w:val="60"/>
        </w:trPr>
        <w:tc>
          <w:tcPr>
            <w:tcW w:w="1002" w:type="dxa"/>
          </w:tcPr>
          <w:p w14:paraId="085EAA45" w14:textId="77777777" w:rsidR="0011703E" w:rsidRPr="000E1554" w:rsidRDefault="0011703E" w:rsidP="000E1554">
            <w:pPr>
              <w:rPr>
                <w:b/>
                <w:bCs/>
                <w:lang w:val="en-US"/>
              </w:rPr>
            </w:pPr>
            <w:r w:rsidRPr="000E1554">
              <w:rPr>
                <w:b/>
                <w:bCs/>
                <w:lang w:val="en-US"/>
              </w:rPr>
              <w:t>6.e</w:t>
            </w:r>
          </w:p>
        </w:tc>
        <w:tc>
          <w:tcPr>
            <w:tcW w:w="2334" w:type="dxa"/>
          </w:tcPr>
          <w:p w14:paraId="32B6BEAE" w14:textId="77777777" w:rsidR="0011703E" w:rsidRPr="00120EB6" w:rsidRDefault="0011703E" w:rsidP="000E1554">
            <w:pPr>
              <w:rPr>
                <w:lang w:val="en-US"/>
              </w:rPr>
            </w:pPr>
            <w:r w:rsidRPr="00120EB6">
              <w:rPr>
                <w:lang w:val="en-US"/>
              </w:rPr>
              <w:t>Deliver a review of cross-sector bushfire management planning arrangements in Victoria and make recommendations to the Victorian Government on opportunities for improvement</w:t>
            </w:r>
          </w:p>
        </w:tc>
        <w:tc>
          <w:tcPr>
            <w:tcW w:w="1195" w:type="dxa"/>
          </w:tcPr>
          <w:p w14:paraId="27BDFA18" w14:textId="2204571F" w:rsidR="0011703E" w:rsidRPr="00120EB6" w:rsidRDefault="0011703E" w:rsidP="000E1554">
            <w:pPr>
              <w:rPr>
                <w:lang w:val="en-US"/>
              </w:rPr>
            </w:pPr>
            <w:r>
              <w:rPr>
                <w:lang w:val="en-US"/>
              </w:rPr>
              <w:t>December</w:t>
            </w:r>
            <w:r w:rsidRPr="00120EB6">
              <w:rPr>
                <w:lang w:val="en-US"/>
              </w:rPr>
              <w:t xml:space="preserve"> 2024</w:t>
            </w:r>
          </w:p>
        </w:tc>
        <w:tc>
          <w:tcPr>
            <w:tcW w:w="993" w:type="dxa"/>
          </w:tcPr>
          <w:p w14:paraId="3E303F3D" w14:textId="77777777" w:rsidR="0011703E" w:rsidRPr="00120EB6" w:rsidRDefault="0011703E" w:rsidP="000E1554">
            <w:pPr>
              <w:rPr>
                <w:lang w:val="en-US"/>
              </w:rPr>
            </w:pPr>
            <w:r w:rsidRPr="00120EB6">
              <w:rPr>
                <w:lang w:val="en-US"/>
              </w:rPr>
              <w:t>DEECA</w:t>
            </w:r>
          </w:p>
        </w:tc>
        <w:tc>
          <w:tcPr>
            <w:tcW w:w="1984" w:type="dxa"/>
          </w:tcPr>
          <w:p w14:paraId="786F1382" w14:textId="77777777" w:rsidR="0011703E" w:rsidRPr="00120EB6" w:rsidRDefault="0011703E" w:rsidP="000E1554">
            <w:pPr>
              <w:rPr>
                <w:lang w:val="en-US"/>
              </w:rPr>
            </w:pPr>
            <w:r w:rsidRPr="00120EB6">
              <w:rPr>
                <w:lang w:val="en-US"/>
              </w:rPr>
              <w:t>CFA</w:t>
            </w:r>
          </w:p>
          <w:p w14:paraId="584C4C40" w14:textId="77777777" w:rsidR="0011703E" w:rsidRPr="00120EB6" w:rsidRDefault="0011703E" w:rsidP="000E1554">
            <w:pPr>
              <w:rPr>
                <w:lang w:val="en-US"/>
              </w:rPr>
            </w:pPr>
            <w:r w:rsidRPr="00120EB6">
              <w:rPr>
                <w:lang w:val="en-US"/>
              </w:rPr>
              <w:t>FRV</w:t>
            </w:r>
          </w:p>
          <w:p w14:paraId="02160DFE" w14:textId="77777777" w:rsidR="0011703E" w:rsidRPr="00120EB6" w:rsidRDefault="0011703E" w:rsidP="000E1554">
            <w:pPr>
              <w:rPr>
                <w:lang w:val="en-US"/>
              </w:rPr>
            </w:pPr>
            <w:r w:rsidRPr="00120EB6">
              <w:rPr>
                <w:lang w:val="en-US"/>
              </w:rPr>
              <w:t>DTP</w:t>
            </w:r>
          </w:p>
          <w:p w14:paraId="23237B7A" w14:textId="77777777" w:rsidR="0011703E" w:rsidRPr="00120EB6" w:rsidRDefault="0011703E" w:rsidP="000E1554">
            <w:pPr>
              <w:rPr>
                <w:lang w:val="en-US"/>
              </w:rPr>
            </w:pPr>
            <w:r w:rsidRPr="00120EB6">
              <w:rPr>
                <w:lang w:val="en-US"/>
              </w:rPr>
              <w:t>Councils</w:t>
            </w:r>
          </w:p>
          <w:p w14:paraId="205E4E7D" w14:textId="77777777" w:rsidR="0011703E" w:rsidRPr="00120EB6" w:rsidRDefault="0011703E" w:rsidP="000E1554">
            <w:pPr>
              <w:rPr>
                <w:lang w:val="en-US"/>
              </w:rPr>
            </w:pPr>
            <w:r w:rsidRPr="00120EB6">
              <w:rPr>
                <w:lang w:val="en-US"/>
              </w:rPr>
              <w:t>MAV</w:t>
            </w:r>
          </w:p>
          <w:p w14:paraId="65C79F3E" w14:textId="2344C5A0" w:rsidR="0011703E" w:rsidRPr="00120EB6" w:rsidRDefault="0011703E" w:rsidP="000E1554">
            <w:pPr>
              <w:rPr>
                <w:lang w:val="en-US"/>
              </w:rPr>
            </w:pPr>
            <w:r w:rsidRPr="00120EB6">
              <w:rPr>
                <w:lang w:val="en-US"/>
              </w:rPr>
              <w:t>LGV</w:t>
            </w:r>
          </w:p>
          <w:p w14:paraId="3634F899" w14:textId="77777777" w:rsidR="0011703E" w:rsidRPr="00120EB6" w:rsidRDefault="0011703E" w:rsidP="000E1554">
            <w:pPr>
              <w:rPr>
                <w:lang w:val="en-US"/>
              </w:rPr>
            </w:pPr>
            <w:r w:rsidRPr="00120EB6">
              <w:rPr>
                <w:lang w:val="en-US"/>
              </w:rPr>
              <w:t>EMV</w:t>
            </w:r>
          </w:p>
          <w:p w14:paraId="2931CEB7" w14:textId="77777777" w:rsidR="0011703E" w:rsidRPr="00120EB6" w:rsidRDefault="0011703E" w:rsidP="000E1554">
            <w:pPr>
              <w:rPr>
                <w:lang w:val="en-US"/>
              </w:rPr>
            </w:pPr>
            <w:r w:rsidRPr="00120EB6">
              <w:rPr>
                <w:lang w:val="en-US"/>
              </w:rPr>
              <w:t>Parks Victoria</w:t>
            </w:r>
          </w:p>
          <w:p w14:paraId="76D400BE" w14:textId="77777777" w:rsidR="0011703E" w:rsidRPr="00120EB6" w:rsidRDefault="0011703E" w:rsidP="000E1554">
            <w:pPr>
              <w:rPr>
                <w:lang w:val="en-US"/>
              </w:rPr>
            </w:pPr>
            <w:r w:rsidRPr="00120EB6">
              <w:rPr>
                <w:lang w:val="en-US"/>
              </w:rPr>
              <w:t>DTF</w:t>
            </w:r>
          </w:p>
          <w:p w14:paraId="3E2D770E" w14:textId="77777777" w:rsidR="0011703E" w:rsidRPr="00120EB6" w:rsidRDefault="0011703E" w:rsidP="000E1554">
            <w:pPr>
              <w:rPr>
                <w:lang w:val="en-US"/>
              </w:rPr>
            </w:pPr>
            <w:r w:rsidRPr="00120EB6">
              <w:rPr>
                <w:lang w:val="en-US"/>
              </w:rPr>
              <w:t>DPC</w:t>
            </w:r>
          </w:p>
        </w:tc>
        <w:tc>
          <w:tcPr>
            <w:tcW w:w="1418" w:type="dxa"/>
          </w:tcPr>
          <w:p w14:paraId="713D1BA4" w14:textId="77777777" w:rsidR="0011703E" w:rsidRPr="00120EB6" w:rsidRDefault="0011703E" w:rsidP="000E1554">
            <w:pPr>
              <w:rPr>
                <w:lang w:val="en-US"/>
              </w:rPr>
            </w:pPr>
            <w:r w:rsidRPr="00120EB6">
              <w:rPr>
                <w:lang w:val="en-US"/>
              </w:rPr>
              <w:t>6.4</w:t>
            </w:r>
          </w:p>
        </w:tc>
      </w:tr>
    </w:tbl>
    <w:p w14:paraId="337BA7C9" w14:textId="77777777" w:rsidR="00120EB6" w:rsidRPr="00120EB6" w:rsidRDefault="00120EB6" w:rsidP="00120EB6">
      <w:pPr>
        <w:spacing w:before="0" w:after="0"/>
        <w:rPr>
          <w:lang w:val="en-US"/>
        </w:rPr>
      </w:pPr>
    </w:p>
    <w:p w14:paraId="2820B5EF" w14:textId="6C46B006" w:rsidR="00120EB6" w:rsidRPr="00120EB6" w:rsidRDefault="00120EB6" w:rsidP="009B11A5">
      <w:pPr>
        <w:pStyle w:val="Heading2"/>
        <w:numPr>
          <w:ilvl w:val="0"/>
          <w:numId w:val="4"/>
        </w:numPr>
        <w:rPr>
          <w:lang w:val="en-US"/>
        </w:rPr>
      </w:pPr>
      <w:bookmarkStart w:id="23" w:name="_Toc166682359"/>
      <w:r w:rsidRPr="00120EB6">
        <w:rPr>
          <w:lang w:val="en-US"/>
        </w:rPr>
        <w:t>Enhanced capacity and capability</w:t>
      </w:r>
      <w:bookmarkEnd w:id="23"/>
      <w:r w:rsidRPr="00120EB6">
        <w:rPr>
          <w:lang w:val="en-US"/>
        </w:rPr>
        <w:t xml:space="preserve"> </w:t>
      </w:r>
    </w:p>
    <w:p w14:paraId="767CC96B" w14:textId="776DDE37" w:rsidR="00120EB6" w:rsidRPr="000E1554" w:rsidRDefault="000E1554" w:rsidP="000E1554">
      <w:pPr>
        <w:pStyle w:val="BlockText"/>
      </w:pPr>
      <w:r w:rsidRPr="00120EB6">
        <w:rPr>
          <w:b/>
          <w:bCs/>
          <w:lang w:val="en-US"/>
        </w:rPr>
        <w:t>Outcome:</w:t>
      </w:r>
      <w:r w:rsidRPr="00120EB6">
        <w:rPr>
          <w:lang w:val="en-US"/>
        </w:rPr>
        <w:t xml:space="preserve"> Victoria is supported and equipped with the skills, equipment, capability and systems to safely and effectively manage bushfire.</w:t>
      </w:r>
    </w:p>
    <w:p w14:paraId="64D1EF51" w14:textId="77777777" w:rsidR="00120EB6" w:rsidRPr="00120EB6" w:rsidRDefault="00120EB6" w:rsidP="000E1554">
      <w:pPr>
        <w:rPr>
          <w:lang w:val="en-US"/>
        </w:rPr>
      </w:pPr>
      <w:r w:rsidRPr="00120EB6">
        <w:rPr>
          <w:lang w:val="en-US"/>
        </w:rPr>
        <w:t xml:space="preserve">To ensure the sector is better prepared for bushfire events now and into the future, it will develop enhanced systems, processes, tools and programs that offer improved training and support to all sector staff. </w:t>
      </w:r>
    </w:p>
    <w:p w14:paraId="64D6EE02" w14:textId="77777777" w:rsidR="00120EB6" w:rsidRPr="00120EB6" w:rsidRDefault="00120EB6" w:rsidP="000E1554">
      <w:pPr>
        <w:rPr>
          <w:lang w:val="en-US"/>
        </w:rPr>
      </w:pPr>
      <w:r w:rsidRPr="00120EB6">
        <w:rPr>
          <w:lang w:val="en-US"/>
        </w:rPr>
        <w:lastRenderedPageBreak/>
        <w:t>These improvements will be made with consideration of the sector’s increasingly diverse and inclusive workforce and will be consistent with other relevant strategies.</w:t>
      </w:r>
    </w:p>
    <w:p w14:paraId="2475BF09" w14:textId="77777777" w:rsidR="00120EB6" w:rsidRPr="00120EB6" w:rsidRDefault="00120EB6" w:rsidP="000E1554">
      <w:pPr>
        <w:rPr>
          <w:lang w:val="en-US"/>
        </w:rPr>
      </w:pPr>
      <w:r w:rsidRPr="00120EB6">
        <w:rPr>
          <w:lang w:val="en-US"/>
        </w:rPr>
        <w:t xml:space="preserve">The actions in this domain are led by DEECA, EMV and the CFA. This includes investment in training and capability development, improving current standards and resourcing models and delivering pilot programs for new vehicles and fire detection technology. </w:t>
      </w:r>
    </w:p>
    <w:tbl>
      <w:tblPr>
        <w:tblStyle w:val="TableGrid"/>
        <w:tblW w:w="9067" w:type="dxa"/>
        <w:tblLayout w:type="fixed"/>
        <w:tblLook w:val="0020" w:firstRow="1" w:lastRow="0" w:firstColumn="0" w:lastColumn="0" w:noHBand="0" w:noVBand="0"/>
      </w:tblPr>
      <w:tblGrid>
        <w:gridCol w:w="1002"/>
        <w:gridCol w:w="2112"/>
        <w:gridCol w:w="1276"/>
        <w:gridCol w:w="1134"/>
        <w:gridCol w:w="2126"/>
        <w:gridCol w:w="1417"/>
      </w:tblGrid>
      <w:tr w:rsidR="000E1554" w:rsidRPr="00120EB6" w14:paraId="04917CEF" w14:textId="77777777" w:rsidTr="000E1554">
        <w:trPr>
          <w:cantSplit/>
          <w:trHeight w:val="1125"/>
          <w:tblHeader/>
        </w:trPr>
        <w:tc>
          <w:tcPr>
            <w:tcW w:w="1002" w:type="dxa"/>
          </w:tcPr>
          <w:p w14:paraId="542E7CDB" w14:textId="77777777" w:rsidR="00120EB6" w:rsidRPr="000E1554" w:rsidRDefault="00120EB6" w:rsidP="000E1554">
            <w:pPr>
              <w:rPr>
                <w:b/>
                <w:bCs/>
                <w:lang w:val="en-US"/>
              </w:rPr>
            </w:pPr>
            <w:r w:rsidRPr="000E1554">
              <w:rPr>
                <w:b/>
                <w:bCs/>
                <w:lang w:val="en-US"/>
              </w:rPr>
              <w:t>Number</w:t>
            </w:r>
          </w:p>
        </w:tc>
        <w:tc>
          <w:tcPr>
            <w:tcW w:w="2112" w:type="dxa"/>
          </w:tcPr>
          <w:p w14:paraId="1678CD6E" w14:textId="77777777" w:rsidR="00120EB6" w:rsidRPr="000E1554" w:rsidRDefault="00120EB6" w:rsidP="000E1554">
            <w:pPr>
              <w:rPr>
                <w:b/>
                <w:bCs/>
                <w:lang w:val="en-US"/>
              </w:rPr>
            </w:pPr>
            <w:r w:rsidRPr="000E1554">
              <w:rPr>
                <w:b/>
                <w:bCs/>
                <w:lang w:val="en-US"/>
              </w:rPr>
              <w:t xml:space="preserve">Action </w:t>
            </w:r>
          </w:p>
        </w:tc>
        <w:tc>
          <w:tcPr>
            <w:tcW w:w="1276" w:type="dxa"/>
          </w:tcPr>
          <w:p w14:paraId="336DAFB5" w14:textId="77777777" w:rsidR="00120EB6" w:rsidRPr="000E1554" w:rsidRDefault="00120EB6" w:rsidP="000E1554">
            <w:pPr>
              <w:rPr>
                <w:b/>
                <w:bCs/>
                <w:lang w:val="en-US"/>
              </w:rPr>
            </w:pPr>
            <w:r w:rsidRPr="000E1554">
              <w:rPr>
                <w:b/>
                <w:bCs/>
                <w:lang w:val="en-US"/>
              </w:rPr>
              <w:t>Delivery date</w:t>
            </w:r>
          </w:p>
        </w:tc>
        <w:tc>
          <w:tcPr>
            <w:tcW w:w="1134" w:type="dxa"/>
          </w:tcPr>
          <w:p w14:paraId="11FA75D1" w14:textId="77777777" w:rsidR="00120EB6" w:rsidRPr="000E1554" w:rsidRDefault="00120EB6" w:rsidP="000E1554">
            <w:pPr>
              <w:rPr>
                <w:b/>
                <w:bCs/>
                <w:lang w:val="en-US"/>
              </w:rPr>
            </w:pPr>
            <w:r w:rsidRPr="000E1554">
              <w:rPr>
                <w:b/>
                <w:bCs/>
                <w:lang w:val="en-US"/>
              </w:rPr>
              <w:t xml:space="preserve">Leads </w:t>
            </w:r>
          </w:p>
        </w:tc>
        <w:tc>
          <w:tcPr>
            <w:tcW w:w="2126" w:type="dxa"/>
          </w:tcPr>
          <w:p w14:paraId="50869C34" w14:textId="77777777" w:rsidR="00120EB6" w:rsidRPr="000E1554" w:rsidRDefault="00120EB6" w:rsidP="000E1554">
            <w:pPr>
              <w:rPr>
                <w:b/>
                <w:bCs/>
                <w:lang w:val="en-US"/>
              </w:rPr>
            </w:pPr>
            <w:r w:rsidRPr="000E1554">
              <w:rPr>
                <w:b/>
                <w:bCs/>
                <w:lang w:val="en-US"/>
              </w:rPr>
              <w:t>Partners</w:t>
            </w:r>
          </w:p>
        </w:tc>
        <w:tc>
          <w:tcPr>
            <w:tcW w:w="1417" w:type="dxa"/>
          </w:tcPr>
          <w:p w14:paraId="57236974" w14:textId="77777777" w:rsidR="00120EB6" w:rsidRPr="000E1554" w:rsidRDefault="00120EB6" w:rsidP="000E1554">
            <w:pPr>
              <w:rPr>
                <w:b/>
                <w:bCs/>
                <w:lang w:val="en-US"/>
              </w:rPr>
            </w:pPr>
            <w:r w:rsidRPr="000E1554">
              <w:rPr>
                <w:b/>
                <w:bCs/>
                <w:lang w:val="en-US"/>
              </w:rPr>
              <w:t>The Strategy’s strategic directions</w:t>
            </w:r>
          </w:p>
        </w:tc>
      </w:tr>
      <w:tr w:rsidR="0011703E" w:rsidRPr="00120EB6" w14:paraId="26C71C93" w14:textId="77777777" w:rsidTr="00E725F0">
        <w:trPr>
          <w:trHeight w:val="1327"/>
        </w:trPr>
        <w:tc>
          <w:tcPr>
            <w:tcW w:w="1002" w:type="dxa"/>
          </w:tcPr>
          <w:p w14:paraId="5C727E9E" w14:textId="77777777" w:rsidR="0011703E" w:rsidRPr="000E1554" w:rsidRDefault="0011703E" w:rsidP="000E1554">
            <w:pPr>
              <w:rPr>
                <w:b/>
                <w:bCs/>
                <w:lang w:val="en-US"/>
              </w:rPr>
            </w:pPr>
            <w:r w:rsidRPr="000E1554">
              <w:rPr>
                <w:b/>
                <w:bCs/>
                <w:lang w:val="en-US"/>
              </w:rPr>
              <w:t>7.a</w:t>
            </w:r>
          </w:p>
        </w:tc>
        <w:tc>
          <w:tcPr>
            <w:tcW w:w="2112" w:type="dxa"/>
          </w:tcPr>
          <w:p w14:paraId="2F704A2B" w14:textId="77777777" w:rsidR="0011703E" w:rsidRPr="00120EB6" w:rsidRDefault="0011703E" w:rsidP="000E1554">
            <w:pPr>
              <w:rPr>
                <w:lang w:val="en-US"/>
              </w:rPr>
            </w:pPr>
            <w:r w:rsidRPr="00120EB6">
              <w:rPr>
                <w:lang w:val="en-US"/>
              </w:rPr>
              <w:t>Deliver the remote fire detection pilot trial combining satellites and cameras with artificial intelligence to test how it might improve existing fire detection methods (workforce and public observations) and support faster bushfire detection</w:t>
            </w:r>
          </w:p>
        </w:tc>
        <w:tc>
          <w:tcPr>
            <w:tcW w:w="1276" w:type="dxa"/>
          </w:tcPr>
          <w:p w14:paraId="01DA1423" w14:textId="77777777" w:rsidR="0011703E" w:rsidRPr="00120EB6" w:rsidRDefault="0011703E" w:rsidP="000E1554">
            <w:pPr>
              <w:rPr>
                <w:lang w:val="en-US"/>
              </w:rPr>
            </w:pPr>
            <w:r w:rsidRPr="00120EB6">
              <w:rPr>
                <w:lang w:val="en-US"/>
              </w:rPr>
              <w:t>June 2025</w:t>
            </w:r>
          </w:p>
        </w:tc>
        <w:tc>
          <w:tcPr>
            <w:tcW w:w="1134" w:type="dxa"/>
          </w:tcPr>
          <w:p w14:paraId="26434541" w14:textId="77777777" w:rsidR="0011703E" w:rsidRPr="00120EB6" w:rsidRDefault="0011703E" w:rsidP="000E1554">
            <w:pPr>
              <w:rPr>
                <w:lang w:val="en-US"/>
              </w:rPr>
            </w:pPr>
            <w:r w:rsidRPr="00120EB6">
              <w:rPr>
                <w:lang w:val="en-US"/>
              </w:rPr>
              <w:t>DEECA</w:t>
            </w:r>
          </w:p>
        </w:tc>
        <w:tc>
          <w:tcPr>
            <w:tcW w:w="2126" w:type="dxa"/>
          </w:tcPr>
          <w:p w14:paraId="7874815F" w14:textId="13156608" w:rsidR="0011703E" w:rsidRPr="00120EB6" w:rsidRDefault="0011703E" w:rsidP="000E1554">
            <w:pPr>
              <w:rPr>
                <w:lang w:val="en-GB"/>
              </w:rPr>
            </w:pPr>
            <w:r w:rsidRPr="00120EB6">
              <w:rPr>
                <w:lang w:val="en-US"/>
              </w:rPr>
              <w:t>EMV</w:t>
            </w:r>
          </w:p>
        </w:tc>
        <w:tc>
          <w:tcPr>
            <w:tcW w:w="1417" w:type="dxa"/>
          </w:tcPr>
          <w:p w14:paraId="289403B0" w14:textId="77777777" w:rsidR="0011703E" w:rsidRPr="00120EB6" w:rsidRDefault="0011703E" w:rsidP="000E1554">
            <w:pPr>
              <w:rPr>
                <w:lang w:val="en-US"/>
              </w:rPr>
            </w:pPr>
            <w:r w:rsidRPr="00120EB6">
              <w:rPr>
                <w:lang w:val="en-US"/>
              </w:rPr>
              <w:t>7.1</w:t>
            </w:r>
          </w:p>
          <w:p w14:paraId="515E3940" w14:textId="77777777" w:rsidR="0011703E" w:rsidRPr="00120EB6" w:rsidRDefault="0011703E" w:rsidP="000E1554">
            <w:pPr>
              <w:rPr>
                <w:lang w:val="en-US"/>
              </w:rPr>
            </w:pPr>
            <w:r w:rsidRPr="00120EB6">
              <w:rPr>
                <w:lang w:val="en-US"/>
              </w:rPr>
              <w:t>7.6</w:t>
            </w:r>
          </w:p>
        </w:tc>
      </w:tr>
      <w:tr w:rsidR="0011703E" w:rsidRPr="00120EB6" w14:paraId="64C03783" w14:textId="77777777" w:rsidTr="00AC1265">
        <w:trPr>
          <w:trHeight w:val="60"/>
        </w:trPr>
        <w:tc>
          <w:tcPr>
            <w:tcW w:w="1002" w:type="dxa"/>
          </w:tcPr>
          <w:p w14:paraId="3FA00274" w14:textId="77777777" w:rsidR="0011703E" w:rsidRPr="000E1554" w:rsidRDefault="0011703E" w:rsidP="000E1554">
            <w:pPr>
              <w:rPr>
                <w:b/>
                <w:bCs/>
                <w:lang w:val="en-US"/>
              </w:rPr>
            </w:pPr>
            <w:r w:rsidRPr="000E1554">
              <w:rPr>
                <w:b/>
                <w:bCs/>
                <w:lang w:val="en-US"/>
              </w:rPr>
              <w:t>7.b</w:t>
            </w:r>
          </w:p>
        </w:tc>
        <w:tc>
          <w:tcPr>
            <w:tcW w:w="2112" w:type="dxa"/>
          </w:tcPr>
          <w:p w14:paraId="788AE7D1" w14:textId="77777777" w:rsidR="0011703E" w:rsidRPr="00120EB6" w:rsidRDefault="0011703E" w:rsidP="000E1554">
            <w:pPr>
              <w:rPr>
                <w:lang w:val="en-US"/>
              </w:rPr>
            </w:pPr>
            <w:r w:rsidRPr="00120EB6">
              <w:rPr>
                <w:lang w:val="en-US"/>
              </w:rPr>
              <w:t>Transition DEECA and stakeholders to the state digital RMR radio network to enhance multi-agency communication capability</w:t>
            </w:r>
          </w:p>
        </w:tc>
        <w:tc>
          <w:tcPr>
            <w:tcW w:w="1276" w:type="dxa"/>
          </w:tcPr>
          <w:p w14:paraId="03EC284D" w14:textId="77777777" w:rsidR="0011703E" w:rsidRPr="00120EB6" w:rsidRDefault="0011703E" w:rsidP="000E1554">
            <w:pPr>
              <w:rPr>
                <w:lang w:val="en-US"/>
              </w:rPr>
            </w:pPr>
            <w:r w:rsidRPr="00120EB6">
              <w:rPr>
                <w:lang w:val="en-US"/>
              </w:rPr>
              <w:t>June 2025</w:t>
            </w:r>
          </w:p>
        </w:tc>
        <w:tc>
          <w:tcPr>
            <w:tcW w:w="1134" w:type="dxa"/>
          </w:tcPr>
          <w:p w14:paraId="15D2D0B1" w14:textId="77777777" w:rsidR="0011703E" w:rsidRPr="00120EB6" w:rsidRDefault="0011703E" w:rsidP="000E1554">
            <w:pPr>
              <w:rPr>
                <w:lang w:val="en-US"/>
              </w:rPr>
            </w:pPr>
            <w:r w:rsidRPr="00120EB6">
              <w:rPr>
                <w:lang w:val="en-US"/>
              </w:rPr>
              <w:t>DEECA</w:t>
            </w:r>
          </w:p>
        </w:tc>
        <w:tc>
          <w:tcPr>
            <w:tcW w:w="2126" w:type="dxa"/>
          </w:tcPr>
          <w:p w14:paraId="6ED5A810" w14:textId="77777777" w:rsidR="0011703E" w:rsidRPr="00120EB6" w:rsidRDefault="0011703E" w:rsidP="000E1554">
            <w:pPr>
              <w:rPr>
                <w:lang w:val="en-US"/>
              </w:rPr>
            </w:pPr>
            <w:r w:rsidRPr="00120EB6">
              <w:rPr>
                <w:lang w:val="en-US"/>
              </w:rPr>
              <w:t>Parks Victoria</w:t>
            </w:r>
          </w:p>
          <w:p w14:paraId="7E0CED42" w14:textId="159D71D7" w:rsidR="0011703E" w:rsidRPr="00120EB6" w:rsidRDefault="0011703E" w:rsidP="000E1554">
            <w:pPr>
              <w:rPr>
                <w:lang w:val="en-GB"/>
              </w:rPr>
            </w:pPr>
            <w:r w:rsidRPr="00120EB6">
              <w:rPr>
                <w:lang w:val="en-US"/>
              </w:rPr>
              <w:t>ESTA</w:t>
            </w:r>
          </w:p>
        </w:tc>
        <w:tc>
          <w:tcPr>
            <w:tcW w:w="1417" w:type="dxa"/>
          </w:tcPr>
          <w:p w14:paraId="50F6F7EF" w14:textId="77777777" w:rsidR="0011703E" w:rsidRPr="00120EB6" w:rsidRDefault="0011703E" w:rsidP="000E1554">
            <w:pPr>
              <w:rPr>
                <w:lang w:val="en-US"/>
              </w:rPr>
            </w:pPr>
            <w:r w:rsidRPr="00120EB6">
              <w:rPr>
                <w:lang w:val="en-US"/>
              </w:rPr>
              <w:t>7.1</w:t>
            </w:r>
          </w:p>
          <w:p w14:paraId="2D926883" w14:textId="77777777" w:rsidR="0011703E" w:rsidRPr="00120EB6" w:rsidRDefault="0011703E" w:rsidP="000E1554">
            <w:pPr>
              <w:rPr>
                <w:lang w:val="en-US"/>
              </w:rPr>
            </w:pPr>
            <w:r w:rsidRPr="00120EB6">
              <w:rPr>
                <w:lang w:val="en-US"/>
              </w:rPr>
              <w:t>7.6</w:t>
            </w:r>
          </w:p>
        </w:tc>
      </w:tr>
      <w:tr w:rsidR="0011703E" w:rsidRPr="00120EB6" w14:paraId="70327EDE" w14:textId="77777777" w:rsidTr="0042413E">
        <w:trPr>
          <w:trHeight w:val="60"/>
        </w:trPr>
        <w:tc>
          <w:tcPr>
            <w:tcW w:w="1002" w:type="dxa"/>
          </w:tcPr>
          <w:p w14:paraId="3D1E9932" w14:textId="77777777" w:rsidR="0011703E" w:rsidRPr="000E1554" w:rsidRDefault="0011703E" w:rsidP="000E1554">
            <w:pPr>
              <w:rPr>
                <w:b/>
                <w:bCs/>
                <w:lang w:val="en-US"/>
              </w:rPr>
            </w:pPr>
            <w:r w:rsidRPr="000E1554">
              <w:rPr>
                <w:b/>
                <w:bCs/>
                <w:lang w:val="en-US"/>
              </w:rPr>
              <w:t>7.c</w:t>
            </w:r>
          </w:p>
        </w:tc>
        <w:tc>
          <w:tcPr>
            <w:tcW w:w="2112" w:type="dxa"/>
          </w:tcPr>
          <w:p w14:paraId="59E7EFA0" w14:textId="77777777" w:rsidR="0011703E" w:rsidRPr="00120EB6" w:rsidRDefault="0011703E" w:rsidP="000E1554">
            <w:pPr>
              <w:rPr>
                <w:lang w:val="en-US"/>
              </w:rPr>
            </w:pPr>
            <w:r w:rsidRPr="00120EB6">
              <w:rPr>
                <w:lang w:val="en-US"/>
              </w:rPr>
              <w:t xml:space="preserve">Design and develop vehicle falling object protection structures (FOPS) certified to ISO3449 (Level 2) </w:t>
            </w:r>
            <w:r w:rsidRPr="00120EB6">
              <w:rPr>
                <w:lang w:val="en-US"/>
              </w:rPr>
              <w:lastRenderedPageBreak/>
              <w:t>for the broad range of operational vehicles in the forest and fire fleet including firefighting and forward command vehicles</w:t>
            </w:r>
          </w:p>
        </w:tc>
        <w:tc>
          <w:tcPr>
            <w:tcW w:w="1276" w:type="dxa"/>
          </w:tcPr>
          <w:p w14:paraId="31E0AC83" w14:textId="77777777" w:rsidR="0011703E" w:rsidRPr="00120EB6" w:rsidRDefault="0011703E" w:rsidP="000E1554">
            <w:pPr>
              <w:rPr>
                <w:lang w:val="en-US"/>
              </w:rPr>
            </w:pPr>
            <w:r w:rsidRPr="00120EB6">
              <w:rPr>
                <w:lang w:val="en-US"/>
              </w:rPr>
              <w:lastRenderedPageBreak/>
              <w:t>June 2025</w:t>
            </w:r>
          </w:p>
        </w:tc>
        <w:tc>
          <w:tcPr>
            <w:tcW w:w="1134" w:type="dxa"/>
          </w:tcPr>
          <w:p w14:paraId="1346D9D6" w14:textId="77777777" w:rsidR="0011703E" w:rsidRPr="00120EB6" w:rsidRDefault="0011703E" w:rsidP="000E1554">
            <w:pPr>
              <w:rPr>
                <w:lang w:val="en-US"/>
              </w:rPr>
            </w:pPr>
            <w:r w:rsidRPr="00120EB6">
              <w:rPr>
                <w:lang w:val="en-US"/>
              </w:rPr>
              <w:t>DEECA</w:t>
            </w:r>
          </w:p>
        </w:tc>
        <w:tc>
          <w:tcPr>
            <w:tcW w:w="2126" w:type="dxa"/>
          </w:tcPr>
          <w:p w14:paraId="77A5A56D" w14:textId="77777777" w:rsidR="0011703E" w:rsidRPr="00120EB6" w:rsidRDefault="0011703E" w:rsidP="000E1554">
            <w:pPr>
              <w:rPr>
                <w:lang w:val="en-GB"/>
              </w:rPr>
            </w:pPr>
          </w:p>
        </w:tc>
        <w:tc>
          <w:tcPr>
            <w:tcW w:w="1417" w:type="dxa"/>
          </w:tcPr>
          <w:p w14:paraId="28C840A8" w14:textId="77777777" w:rsidR="0011703E" w:rsidRPr="00120EB6" w:rsidRDefault="0011703E" w:rsidP="000E1554">
            <w:pPr>
              <w:rPr>
                <w:lang w:val="en-US"/>
              </w:rPr>
            </w:pPr>
            <w:r w:rsidRPr="00120EB6">
              <w:rPr>
                <w:lang w:val="en-US"/>
              </w:rPr>
              <w:t>7.3</w:t>
            </w:r>
          </w:p>
          <w:p w14:paraId="256542D3" w14:textId="77777777" w:rsidR="0011703E" w:rsidRPr="00120EB6" w:rsidRDefault="0011703E" w:rsidP="000E1554">
            <w:pPr>
              <w:rPr>
                <w:lang w:val="en-US"/>
              </w:rPr>
            </w:pPr>
            <w:r w:rsidRPr="00120EB6">
              <w:rPr>
                <w:lang w:val="en-US"/>
              </w:rPr>
              <w:t>7.6</w:t>
            </w:r>
          </w:p>
          <w:p w14:paraId="38C171AB" w14:textId="77777777" w:rsidR="0011703E" w:rsidRPr="00120EB6" w:rsidRDefault="0011703E" w:rsidP="000E1554">
            <w:pPr>
              <w:rPr>
                <w:lang w:val="en-US"/>
              </w:rPr>
            </w:pPr>
          </w:p>
        </w:tc>
      </w:tr>
      <w:tr w:rsidR="0011703E" w:rsidRPr="00120EB6" w14:paraId="12A5E0E4" w14:textId="77777777" w:rsidTr="00FE6EF4">
        <w:trPr>
          <w:trHeight w:val="60"/>
        </w:trPr>
        <w:tc>
          <w:tcPr>
            <w:tcW w:w="1002" w:type="dxa"/>
          </w:tcPr>
          <w:p w14:paraId="5C39EB01" w14:textId="77777777" w:rsidR="0011703E" w:rsidRPr="000E1554" w:rsidRDefault="0011703E" w:rsidP="000E1554">
            <w:pPr>
              <w:rPr>
                <w:b/>
                <w:bCs/>
                <w:lang w:val="en-US"/>
              </w:rPr>
            </w:pPr>
            <w:r w:rsidRPr="000E1554">
              <w:rPr>
                <w:b/>
                <w:bCs/>
                <w:lang w:val="en-US"/>
              </w:rPr>
              <w:t>7.d</w:t>
            </w:r>
          </w:p>
        </w:tc>
        <w:tc>
          <w:tcPr>
            <w:tcW w:w="2112" w:type="dxa"/>
          </w:tcPr>
          <w:p w14:paraId="34F975FB" w14:textId="77777777" w:rsidR="0011703E" w:rsidRPr="00120EB6" w:rsidRDefault="0011703E" w:rsidP="000E1554">
            <w:pPr>
              <w:rPr>
                <w:lang w:val="en-US"/>
              </w:rPr>
            </w:pPr>
            <w:r w:rsidRPr="00120EB6">
              <w:rPr>
                <w:lang w:val="en-US"/>
              </w:rPr>
              <w:t>Design a more sustainable and reliable resourcing model for state-wide IMT capacity and capability that meets the needs of control agencies</w:t>
            </w:r>
          </w:p>
        </w:tc>
        <w:tc>
          <w:tcPr>
            <w:tcW w:w="1276" w:type="dxa"/>
          </w:tcPr>
          <w:p w14:paraId="612FF83F" w14:textId="77777777" w:rsidR="0011703E" w:rsidRPr="00120EB6" w:rsidRDefault="0011703E" w:rsidP="000E1554">
            <w:pPr>
              <w:rPr>
                <w:lang w:val="en-US"/>
              </w:rPr>
            </w:pPr>
            <w:r w:rsidRPr="00120EB6">
              <w:rPr>
                <w:lang w:val="en-US"/>
              </w:rPr>
              <w:t>June 2024</w:t>
            </w:r>
          </w:p>
        </w:tc>
        <w:tc>
          <w:tcPr>
            <w:tcW w:w="1134" w:type="dxa"/>
          </w:tcPr>
          <w:p w14:paraId="08536F78" w14:textId="77777777" w:rsidR="0011703E" w:rsidRPr="00120EB6" w:rsidRDefault="0011703E" w:rsidP="000E1554">
            <w:pPr>
              <w:rPr>
                <w:lang w:val="en-US"/>
              </w:rPr>
            </w:pPr>
            <w:r w:rsidRPr="00120EB6">
              <w:rPr>
                <w:lang w:val="en-US"/>
              </w:rPr>
              <w:t>DEECA</w:t>
            </w:r>
          </w:p>
          <w:p w14:paraId="03E7F543" w14:textId="77777777" w:rsidR="0011703E" w:rsidRPr="00120EB6" w:rsidRDefault="0011703E" w:rsidP="000E1554">
            <w:pPr>
              <w:rPr>
                <w:lang w:val="en-US"/>
              </w:rPr>
            </w:pPr>
            <w:r w:rsidRPr="00120EB6">
              <w:rPr>
                <w:lang w:val="en-US"/>
              </w:rPr>
              <w:t>EMV</w:t>
            </w:r>
          </w:p>
        </w:tc>
        <w:tc>
          <w:tcPr>
            <w:tcW w:w="2126" w:type="dxa"/>
          </w:tcPr>
          <w:p w14:paraId="5CD86B1F" w14:textId="77777777" w:rsidR="0011703E" w:rsidRPr="00120EB6" w:rsidRDefault="0011703E" w:rsidP="000E1554">
            <w:pPr>
              <w:rPr>
                <w:lang w:val="en-US"/>
              </w:rPr>
            </w:pPr>
            <w:r w:rsidRPr="00120EB6">
              <w:rPr>
                <w:lang w:val="en-US"/>
              </w:rPr>
              <w:t>CFA</w:t>
            </w:r>
          </w:p>
          <w:p w14:paraId="759264D7" w14:textId="77777777" w:rsidR="0011703E" w:rsidRPr="00120EB6" w:rsidRDefault="0011703E" w:rsidP="000E1554">
            <w:pPr>
              <w:rPr>
                <w:lang w:val="en-US"/>
              </w:rPr>
            </w:pPr>
            <w:r w:rsidRPr="00120EB6">
              <w:rPr>
                <w:lang w:val="en-US"/>
              </w:rPr>
              <w:t>DTP</w:t>
            </w:r>
          </w:p>
          <w:p w14:paraId="0C33917B" w14:textId="77777777" w:rsidR="0011703E" w:rsidRPr="00120EB6" w:rsidRDefault="0011703E" w:rsidP="000E1554">
            <w:pPr>
              <w:rPr>
                <w:lang w:val="en-US"/>
              </w:rPr>
            </w:pPr>
            <w:r w:rsidRPr="00120EB6">
              <w:rPr>
                <w:lang w:val="en-US"/>
              </w:rPr>
              <w:t>DH</w:t>
            </w:r>
          </w:p>
          <w:p w14:paraId="6BCF945B" w14:textId="77777777" w:rsidR="0011703E" w:rsidRPr="00120EB6" w:rsidRDefault="0011703E" w:rsidP="000E1554">
            <w:pPr>
              <w:rPr>
                <w:lang w:val="en-US"/>
              </w:rPr>
            </w:pPr>
            <w:r w:rsidRPr="00120EB6">
              <w:rPr>
                <w:lang w:val="en-US"/>
              </w:rPr>
              <w:t>SES</w:t>
            </w:r>
          </w:p>
          <w:p w14:paraId="57281A51" w14:textId="3160DB73" w:rsidR="0011703E" w:rsidRPr="00120EB6" w:rsidRDefault="0011703E" w:rsidP="000E1554">
            <w:pPr>
              <w:rPr>
                <w:lang w:val="en-US"/>
              </w:rPr>
            </w:pPr>
            <w:r w:rsidRPr="00120EB6">
              <w:rPr>
                <w:lang w:val="en-US"/>
              </w:rPr>
              <w:t>FRV</w:t>
            </w:r>
          </w:p>
          <w:p w14:paraId="38868BE3" w14:textId="77777777" w:rsidR="0011703E" w:rsidRPr="00120EB6" w:rsidRDefault="0011703E" w:rsidP="000E1554">
            <w:pPr>
              <w:rPr>
                <w:lang w:val="en-US"/>
              </w:rPr>
            </w:pPr>
            <w:r w:rsidRPr="00120EB6">
              <w:rPr>
                <w:lang w:val="en-US"/>
              </w:rPr>
              <w:t>ERV</w:t>
            </w:r>
          </w:p>
          <w:p w14:paraId="1CB163FA" w14:textId="77777777" w:rsidR="0011703E" w:rsidRPr="00120EB6" w:rsidRDefault="0011703E" w:rsidP="000E1554">
            <w:pPr>
              <w:rPr>
                <w:lang w:val="en-US"/>
              </w:rPr>
            </w:pPr>
            <w:r w:rsidRPr="00120EB6">
              <w:rPr>
                <w:lang w:val="en-US"/>
              </w:rPr>
              <w:t>Parks Victoria</w:t>
            </w:r>
          </w:p>
        </w:tc>
        <w:tc>
          <w:tcPr>
            <w:tcW w:w="1417" w:type="dxa"/>
          </w:tcPr>
          <w:p w14:paraId="5C551F7F" w14:textId="77777777" w:rsidR="0011703E" w:rsidRPr="00120EB6" w:rsidRDefault="0011703E" w:rsidP="000E1554">
            <w:pPr>
              <w:rPr>
                <w:lang w:val="en-US"/>
              </w:rPr>
            </w:pPr>
            <w:r w:rsidRPr="00120EB6">
              <w:rPr>
                <w:lang w:val="en-US"/>
              </w:rPr>
              <w:t>5.2</w:t>
            </w:r>
          </w:p>
          <w:p w14:paraId="48A63563" w14:textId="77777777" w:rsidR="0011703E" w:rsidRPr="00120EB6" w:rsidRDefault="0011703E" w:rsidP="000E1554">
            <w:pPr>
              <w:rPr>
                <w:lang w:val="en-US"/>
              </w:rPr>
            </w:pPr>
            <w:r w:rsidRPr="00120EB6">
              <w:rPr>
                <w:lang w:val="en-US"/>
              </w:rPr>
              <w:t>7.1</w:t>
            </w:r>
          </w:p>
          <w:p w14:paraId="2B5AE02C" w14:textId="77777777" w:rsidR="0011703E" w:rsidRPr="00120EB6" w:rsidRDefault="0011703E" w:rsidP="000E1554">
            <w:pPr>
              <w:rPr>
                <w:lang w:val="en-US"/>
              </w:rPr>
            </w:pPr>
            <w:r w:rsidRPr="00120EB6">
              <w:rPr>
                <w:lang w:val="en-US"/>
              </w:rPr>
              <w:t>7.2</w:t>
            </w:r>
          </w:p>
          <w:p w14:paraId="5856BD38" w14:textId="77777777" w:rsidR="0011703E" w:rsidRPr="00120EB6" w:rsidRDefault="0011703E" w:rsidP="000E1554">
            <w:pPr>
              <w:rPr>
                <w:lang w:val="en-US"/>
              </w:rPr>
            </w:pPr>
            <w:r w:rsidRPr="00120EB6">
              <w:rPr>
                <w:lang w:val="en-US"/>
              </w:rPr>
              <w:t>7.5</w:t>
            </w:r>
          </w:p>
        </w:tc>
      </w:tr>
      <w:tr w:rsidR="0011703E" w:rsidRPr="00120EB6" w14:paraId="36BA21BE" w14:textId="77777777" w:rsidTr="00C44F7C">
        <w:trPr>
          <w:trHeight w:val="60"/>
        </w:trPr>
        <w:tc>
          <w:tcPr>
            <w:tcW w:w="1002" w:type="dxa"/>
          </w:tcPr>
          <w:p w14:paraId="00B1529D" w14:textId="77777777" w:rsidR="0011703E" w:rsidRPr="000E1554" w:rsidRDefault="0011703E" w:rsidP="000E1554">
            <w:pPr>
              <w:rPr>
                <w:b/>
                <w:bCs/>
                <w:lang w:val="en-US"/>
              </w:rPr>
            </w:pPr>
            <w:r w:rsidRPr="000E1554">
              <w:rPr>
                <w:b/>
                <w:bCs/>
                <w:lang w:val="en-US"/>
              </w:rPr>
              <w:t>7.e</w:t>
            </w:r>
          </w:p>
        </w:tc>
        <w:tc>
          <w:tcPr>
            <w:tcW w:w="2112" w:type="dxa"/>
          </w:tcPr>
          <w:p w14:paraId="2DBB04F6" w14:textId="77777777" w:rsidR="0011703E" w:rsidRPr="00120EB6" w:rsidRDefault="0011703E" w:rsidP="000E1554">
            <w:pPr>
              <w:rPr>
                <w:lang w:val="en-US"/>
              </w:rPr>
            </w:pPr>
            <w:r w:rsidRPr="00120EB6">
              <w:rPr>
                <w:lang w:val="en-US"/>
              </w:rPr>
              <w:t>Deliver the heavy tanker suppression effectiveness trial – test devices on vehicles to monitor pump operation, water tank levels and flow rates to determine operational effectiveness of the heavy tanker fleet</w:t>
            </w:r>
          </w:p>
        </w:tc>
        <w:tc>
          <w:tcPr>
            <w:tcW w:w="1276" w:type="dxa"/>
          </w:tcPr>
          <w:p w14:paraId="7ABA267C" w14:textId="77777777" w:rsidR="0011703E" w:rsidRPr="00120EB6" w:rsidRDefault="0011703E" w:rsidP="000E1554">
            <w:pPr>
              <w:rPr>
                <w:lang w:val="en-US"/>
              </w:rPr>
            </w:pPr>
            <w:r w:rsidRPr="00120EB6">
              <w:rPr>
                <w:lang w:val="en-US"/>
              </w:rPr>
              <w:t>December 2025</w:t>
            </w:r>
          </w:p>
        </w:tc>
        <w:tc>
          <w:tcPr>
            <w:tcW w:w="1134" w:type="dxa"/>
          </w:tcPr>
          <w:p w14:paraId="52635593" w14:textId="77777777" w:rsidR="0011703E" w:rsidRPr="00120EB6" w:rsidRDefault="0011703E" w:rsidP="000E1554">
            <w:pPr>
              <w:rPr>
                <w:lang w:val="en-US"/>
              </w:rPr>
            </w:pPr>
            <w:r w:rsidRPr="00120EB6">
              <w:rPr>
                <w:lang w:val="en-US"/>
              </w:rPr>
              <w:t>CFA</w:t>
            </w:r>
          </w:p>
        </w:tc>
        <w:tc>
          <w:tcPr>
            <w:tcW w:w="2126" w:type="dxa"/>
          </w:tcPr>
          <w:p w14:paraId="15B58CE3" w14:textId="08FD5167" w:rsidR="0011703E" w:rsidRPr="00120EB6" w:rsidRDefault="0011703E" w:rsidP="000E1554">
            <w:pPr>
              <w:rPr>
                <w:lang w:val="en-GB"/>
              </w:rPr>
            </w:pPr>
            <w:r w:rsidRPr="00120EB6">
              <w:rPr>
                <w:lang w:val="en-US"/>
              </w:rPr>
              <w:t>DEECA</w:t>
            </w:r>
          </w:p>
        </w:tc>
        <w:tc>
          <w:tcPr>
            <w:tcW w:w="1417" w:type="dxa"/>
          </w:tcPr>
          <w:p w14:paraId="70EA9DAE" w14:textId="77777777" w:rsidR="0011703E" w:rsidRPr="00120EB6" w:rsidRDefault="0011703E" w:rsidP="000E1554">
            <w:pPr>
              <w:rPr>
                <w:lang w:val="en-US"/>
              </w:rPr>
            </w:pPr>
            <w:r w:rsidRPr="00120EB6">
              <w:rPr>
                <w:lang w:val="en-US"/>
              </w:rPr>
              <w:t>7.5</w:t>
            </w:r>
          </w:p>
          <w:p w14:paraId="73B00568" w14:textId="77777777" w:rsidR="0011703E" w:rsidRPr="00120EB6" w:rsidRDefault="0011703E" w:rsidP="000E1554">
            <w:pPr>
              <w:rPr>
                <w:lang w:val="en-US"/>
              </w:rPr>
            </w:pPr>
            <w:r w:rsidRPr="00120EB6">
              <w:rPr>
                <w:lang w:val="en-US"/>
              </w:rPr>
              <w:t>7.6</w:t>
            </w:r>
          </w:p>
          <w:p w14:paraId="42CC67E2" w14:textId="77777777" w:rsidR="0011703E" w:rsidRPr="00120EB6" w:rsidRDefault="0011703E" w:rsidP="000E1554">
            <w:pPr>
              <w:rPr>
                <w:lang w:val="en-US"/>
              </w:rPr>
            </w:pPr>
          </w:p>
        </w:tc>
      </w:tr>
      <w:tr w:rsidR="0011703E" w:rsidRPr="00120EB6" w14:paraId="0C1EB4C0" w14:textId="77777777" w:rsidTr="001C5467">
        <w:trPr>
          <w:trHeight w:val="60"/>
        </w:trPr>
        <w:tc>
          <w:tcPr>
            <w:tcW w:w="1002" w:type="dxa"/>
          </w:tcPr>
          <w:p w14:paraId="1DAD4B4B" w14:textId="77777777" w:rsidR="0011703E" w:rsidRPr="000E1554" w:rsidRDefault="0011703E" w:rsidP="000E1554">
            <w:pPr>
              <w:rPr>
                <w:b/>
                <w:bCs/>
                <w:lang w:val="en-US"/>
              </w:rPr>
            </w:pPr>
            <w:r w:rsidRPr="000E1554">
              <w:rPr>
                <w:b/>
                <w:bCs/>
                <w:lang w:val="en-US"/>
              </w:rPr>
              <w:t>7.f</w:t>
            </w:r>
          </w:p>
        </w:tc>
        <w:tc>
          <w:tcPr>
            <w:tcW w:w="2112" w:type="dxa"/>
          </w:tcPr>
          <w:p w14:paraId="1C2E4AD9" w14:textId="77777777" w:rsidR="0011703E" w:rsidRPr="00120EB6" w:rsidRDefault="0011703E" w:rsidP="000E1554">
            <w:pPr>
              <w:rPr>
                <w:lang w:val="en-US"/>
              </w:rPr>
            </w:pPr>
            <w:r w:rsidRPr="00120EB6">
              <w:rPr>
                <w:lang w:val="en-US"/>
              </w:rPr>
              <w:t xml:space="preserve">Develop and apply alternative crew protection system </w:t>
            </w:r>
            <w:r w:rsidRPr="00120EB6">
              <w:rPr>
                <w:lang w:val="en-US"/>
              </w:rPr>
              <w:lastRenderedPageBreak/>
              <w:t>for the CFA light tanker fleet to increase safety for volunteer firefighters</w:t>
            </w:r>
          </w:p>
        </w:tc>
        <w:tc>
          <w:tcPr>
            <w:tcW w:w="1276" w:type="dxa"/>
          </w:tcPr>
          <w:p w14:paraId="36FA2F10" w14:textId="77777777" w:rsidR="0011703E" w:rsidRPr="00120EB6" w:rsidRDefault="0011703E" w:rsidP="000E1554">
            <w:pPr>
              <w:rPr>
                <w:lang w:val="en-US"/>
              </w:rPr>
            </w:pPr>
            <w:r w:rsidRPr="00120EB6">
              <w:rPr>
                <w:lang w:val="en-US"/>
              </w:rPr>
              <w:lastRenderedPageBreak/>
              <w:t>December 2024</w:t>
            </w:r>
          </w:p>
        </w:tc>
        <w:tc>
          <w:tcPr>
            <w:tcW w:w="1134" w:type="dxa"/>
          </w:tcPr>
          <w:p w14:paraId="36EC568C" w14:textId="77777777" w:rsidR="0011703E" w:rsidRPr="00120EB6" w:rsidRDefault="0011703E" w:rsidP="000E1554">
            <w:pPr>
              <w:rPr>
                <w:lang w:val="en-US"/>
              </w:rPr>
            </w:pPr>
            <w:r w:rsidRPr="00120EB6">
              <w:rPr>
                <w:lang w:val="en-US"/>
              </w:rPr>
              <w:t>CFA</w:t>
            </w:r>
          </w:p>
        </w:tc>
        <w:tc>
          <w:tcPr>
            <w:tcW w:w="2126" w:type="dxa"/>
          </w:tcPr>
          <w:p w14:paraId="424D3F4F" w14:textId="2EAEC6CE" w:rsidR="0011703E" w:rsidRPr="00120EB6" w:rsidRDefault="0011703E" w:rsidP="000E1554">
            <w:pPr>
              <w:rPr>
                <w:lang w:val="en-GB"/>
              </w:rPr>
            </w:pPr>
            <w:r w:rsidRPr="00120EB6">
              <w:rPr>
                <w:lang w:val="en-US"/>
              </w:rPr>
              <w:t>DEECA</w:t>
            </w:r>
          </w:p>
        </w:tc>
        <w:tc>
          <w:tcPr>
            <w:tcW w:w="1417" w:type="dxa"/>
          </w:tcPr>
          <w:p w14:paraId="28829B68" w14:textId="77777777" w:rsidR="0011703E" w:rsidRPr="00120EB6" w:rsidRDefault="0011703E" w:rsidP="000E1554">
            <w:pPr>
              <w:rPr>
                <w:lang w:val="en-US"/>
              </w:rPr>
            </w:pPr>
            <w:r w:rsidRPr="00120EB6">
              <w:rPr>
                <w:lang w:val="en-US"/>
              </w:rPr>
              <w:t>7.5</w:t>
            </w:r>
          </w:p>
          <w:p w14:paraId="3590B93A" w14:textId="77777777" w:rsidR="0011703E" w:rsidRPr="00120EB6" w:rsidRDefault="0011703E" w:rsidP="000E1554">
            <w:pPr>
              <w:rPr>
                <w:lang w:val="en-US"/>
              </w:rPr>
            </w:pPr>
            <w:r w:rsidRPr="00120EB6">
              <w:rPr>
                <w:lang w:val="en-US"/>
              </w:rPr>
              <w:t>7.6</w:t>
            </w:r>
          </w:p>
        </w:tc>
      </w:tr>
      <w:tr w:rsidR="0011703E" w:rsidRPr="00120EB6" w14:paraId="31C58A89" w14:textId="77777777" w:rsidTr="003D506B">
        <w:trPr>
          <w:trHeight w:val="60"/>
        </w:trPr>
        <w:tc>
          <w:tcPr>
            <w:tcW w:w="1002" w:type="dxa"/>
          </w:tcPr>
          <w:p w14:paraId="1108D297" w14:textId="77777777" w:rsidR="0011703E" w:rsidRPr="000E1554" w:rsidRDefault="0011703E" w:rsidP="000E1554">
            <w:pPr>
              <w:rPr>
                <w:b/>
                <w:bCs/>
                <w:lang w:val="en-US"/>
              </w:rPr>
            </w:pPr>
            <w:r w:rsidRPr="000E1554">
              <w:rPr>
                <w:b/>
                <w:bCs/>
                <w:lang w:val="en-US"/>
              </w:rPr>
              <w:t>7.g</w:t>
            </w:r>
          </w:p>
        </w:tc>
        <w:tc>
          <w:tcPr>
            <w:tcW w:w="2112" w:type="dxa"/>
          </w:tcPr>
          <w:p w14:paraId="1A839E1C" w14:textId="77777777" w:rsidR="0011703E" w:rsidRPr="00120EB6" w:rsidRDefault="0011703E" w:rsidP="000E1554">
            <w:pPr>
              <w:rPr>
                <w:lang w:val="en-US"/>
              </w:rPr>
            </w:pPr>
            <w:r w:rsidRPr="00120EB6">
              <w:rPr>
                <w:lang w:val="en-US"/>
              </w:rPr>
              <w:t>Investigate and commence development of the next generation ultralight and light tanker platforms to meet future operational requirements including investigation into alternative cab chassis options</w:t>
            </w:r>
          </w:p>
        </w:tc>
        <w:tc>
          <w:tcPr>
            <w:tcW w:w="1276" w:type="dxa"/>
          </w:tcPr>
          <w:p w14:paraId="465554F0" w14:textId="77777777" w:rsidR="0011703E" w:rsidRPr="00120EB6" w:rsidRDefault="0011703E" w:rsidP="000E1554">
            <w:pPr>
              <w:rPr>
                <w:lang w:val="en-US"/>
              </w:rPr>
            </w:pPr>
            <w:r w:rsidRPr="00120EB6">
              <w:rPr>
                <w:lang w:val="en-US"/>
              </w:rPr>
              <w:t>June 2025</w:t>
            </w:r>
          </w:p>
        </w:tc>
        <w:tc>
          <w:tcPr>
            <w:tcW w:w="1134" w:type="dxa"/>
          </w:tcPr>
          <w:p w14:paraId="52A860F0" w14:textId="77777777" w:rsidR="0011703E" w:rsidRPr="00120EB6" w:rsidRDefault="0011703E" w:rsidP="000E1554">
            <w:pPr>
              <w:rPr>
                <w:lang w:val="en-US"/>
              </w:rPr>
            </w:pPr>
            <w:r w:rsidRPr="00120EB6">
              <w:rPr>
                <w:lang w:val="en-US"/>
              </w:rPr>
              <w:t>DEECA</w:t>
            </w:r>
          </w:p>
        </w:tc>
        <w:tc>
          <w:tcPr>
            <w:tcW w:w="2126" w:type="dxa"/>
          </w:tcPr>
          <w:p w14:paraId="6C56EF0E" w14:textId="77777777" w:rsidR="0011703E" w:rsidRPr="00120EB6" w:rsidRDefault="0011703E" w:rsidP="000E1554">
            <w:pPr>
              <w:rPr>
                <w:lang w:val="en-US"/>
              </w:rPr>
            </w:pPr>
            <w:r w:rsidRPr="00120EB6">
              <w:rPr>
                <w:lang w:val="en-US"/>
              </w:rPr>
              <w:t>Parks Victoria</w:t>
            </w:r>
          </w:p>
          <w:p w14:paraId="5E1DED43" w14:textId="77777777" w:rsidR="0011703E" w:rsidRPr="00120EB6" w:rsidRDefault="0011703E" w:rsidP="000E1554">
            <w:pPr>
              <w:rPr>
                <w:lang w:val="en-US"/>
              </w:rPr>
            </w:pPr>
            <w:r w:rsidRPr="00120EB6">
              <w:rPr>
                <w:lang w:val="en-US"/>
              </w:rPr>
              <w:t>CFA</w:t>
            </w:r>
          </w:p>
          <w:p w14:paraId="403D4E15" w14:textId="77777777" w:rsidR="0011703E" w:rsidRPr="00120EB6" w:rsidRDefault="0011703E" w:rsidP="000E1554">
            <w:pPr>
              <w:rPr>
                <w:lang w:val="en-GB"/>
              </w:rPr>
            </w:pPr>
          </w:p>
        </w:tc>
        <w:tc>
          <w:tcPr>
            <w:tcW w:w="1417" w:type="dxa"/>
          </w:tcPr>
          <w:p w14:paraId="0AE95EC3" w14:textId="77777777" w:rsidR="0011703E" w:rsidRPr="00120EB6" w:rsidRDefault="0011703E" w:rsidP="000E1554">
            <w:pPr>
              <w:rPr>
                <w:lang w:val="en-US"/>
              </w:rPr>
            </w:pPr>
            <w:r w:rsidRPr="00120EB6">
              <w:rPr>
                <w:lang w:val="en-US"/>
              </w:rPr>
              <w:t>7.5</w:t>
            </w:r>
          </w:p>
          <w:p w14:paraId="35E51E3B" w14:textId="77777777" w:rsidR="0011703E" w:rsidRPr="00120EB6" w:rsidRDefault="0011703E" w:rsidP="000E1554">
            <w:pPr>
              <w:rPr>
                <w:lang w:val="en-US"/>
              </w:rPr>
            </w:pPr>
            <w:r w:rsidRPr="00120EB6">
              <w:rPr>
                <w:lang w:val="en-US"/>
              </w:rPr>
              <w:t>7.6</w:t>
            </w:r>
          </w:p>
        </w:tc>
      </w:tr>
    </w:tbl>
    <w:p w14:paraId="61C87350" w14:textId="07706BAD" w:rsidR="00015C1F" w:rsidRDefault="000E1554" w:rsidP="000E1554">
      <w:pPr>
        <w:pStyle w:val="Heading2"/>
        <w:rPr>
          <w:lang w:val="en-US"/>
        </w:rPr>
      </w:pPr>
      <w:bookmarkStart w:id="24" w:name="_Toc166682360"/>
      <w:r w:rsidRPr="000E1554">
        <w:rPr>
          <w:lang w:val="en-US"/>
        </w:rPr>
        <w:t>What we’ve done</w:t>
      </w:r>
      <w:bookmarkEnd w:id="24"/>
    </w:p>
    <w:p w14:paraId="36B88D25" w14:textId="77777777" w:rsidR="000E1554" w:rsidRPr="000E1554" w:rsidRDefault="000E1554" w:rsidP="000E1554">
      <w:pPr>
        <w:pStyle w:val="ListBullet"/>
        <w:rPr>
          <w:lang w:val="en-US"/>
        </w:rPr>
      </w:pPr>
      <w:r w:rsidRPr="000E1554">
        <w:rPr>
          <w:lang w:val="en-US"/>
        </w:rPr>
        <w:t>Record $517 million investment</w:t>
      </w:r>
    </w:p>
    <w:p w14:paraId="610B8E52" w14:textId="77777777" w:rsidR="000E1554" w:rsidRPr="000E1554" w:rsidRDefault="000E1554" w:rsidP="000E1554">
      <w:pPr>
        <w:pStyle w:val="ListBullet"/>
        <w:rPr>
          <w:lang w:val="en-US"/>
        </w:rPr>
      </w:pPr>
      <w:r w:rsidRPr="000E1554">
        <w:rPr>
          <w:lang w:val="en-US"/>
        </w:rPr>
        <w:t>Improved risk management</w:t>
      </w:r>
    </w:p>
    <w:p w14:paraId="135FBD61" w14:textId="77777777" w:rsidR="000E1554" w:rsidRPr="000E1554" w:rsidRDefault="000E1554" w:rsidP="000E1554">
      <w:pPr>
        <w:pStyle w:val="ListBullet"/>
        <w:rPr>
          <w:lang w:val="en-US"/>
        </w:rPr>
      </w:pPr>
      <w:r w:rsidRPr="000E1554">
        <w:rPr>
          <w:lang w:val="en-US"/>
        </w:rPr>
        <w:t>Safer Together program</w:t>
      </w:r>
    </w:p>
    <w:p w14:paraId="5AF0E0B1" w14:textId="77777777" w:rsidR="000E1554" w:rsidRPr="000E1554" w:rsidRDefault="000E1554" w:rsidP="000E1554">
      <w:pPr>
        <w:pStyle w:val="ListBullet"/>
        <w:rPr>
          <w:lang w:val="en-US"/>
        </w:rPr>
      </w:pPr>
      <w:r w:rsidRPr="000E1554">
        <w:rPr>
          <w:lang w:val="en-US"/>
        </w:rPr>
        <w:t>Technology upgrades</w:t>
      </w:r>
    </w:p>
    <w:p w14:paraId="65E8D7D1" w14:textId="77777777" w:rsidR="000E1554" w:rsidRPr="000E1554" w:rsidRDefault="000E1554" w:rsidP="000E1554">
      <w:pPr>
        <w:pStyle w:val="ListBullet"/>
        <w:rPr>
          <w:lang w:val="en-US"/>
        </w:rPr>
      </w:pPr>
      <w:r w:rsidRPr="000E1554">
        <w:rPr>
          <w:lang w:val="en-US"/>
        </w:rPr>
        <w:t>Over 600 new firefighters since 2020</w:t>
      </w:r>
    </w:p>
    <w:p w14:paraId="22C80025" w14:textId="30AC4DE2" w:rsidR="000E1554" w:rsidRDefault="000E1554" w:rsidP="000E1554">
      <w:pPr>
        <w:pStyle w:val="ListBullet"/>
        <w:rPr>
          <w:lang w:val="en-US"/>
        </w:rPr>
      </w:pPr>
      <w:r w:rsidRPr="000E1554">
        <w:rPr>
          <w:lang w:val="en-US"/>
        </w:rPr>
        <w:t>1447km of new or expanded strategic fuel breaks</w:t>
      </w:r>
    </w:p>
    <w:p w14:paraId="3D71E96D" w14:textId="77777777" w:rsidR="000E1554" w:rsidRPr="000E1554" w:rsidRDefault="000E1554" w:rsidP="000E1554">
      <w:pPr>
        <w:pStyle w:val="Heading2"/>
        <w:rPr>
          <w:lang w:val="en-US"/>
        </w:rPr>
      </w:pPr>
      <w:r w:rsidRPr="000E1554">
        <w:rPr>
          <w:lang w:val="en-US"/>
        </w:rPr>
        <w:t>What we’re doing</w:t>
      </w:r>
    </w:p>
    <w:p w14:paraId="2BD1A9E2" w14:textId="77777777" w:rsidR="000E1554" w:rsidRPr="000E1554" w:rsidRDefault="000E1554" w:rsidP="000E1554">
      <w:pPr>
        <w:pStyle w:val="ListBullet"/>
      </w:pPr>
      <w:r w:rsidRPr="000E1554">
        <w:t>Working together to deliver risk-based fuel management</w:t>
      </w:r>
    </w:p>
    <w:p w14:paraId="256F0F3B" w14:textId="77777777" w:rsidR="000E1554" w:rsidRPr="000E1554" w:rsidRDefault="000E1554" w:rsidP="000E1554">
      <w:pPr>
        <w:pStyle w:val="ListBullet"/>
      </w:pPr>
      <w:r w:rsidRPr="000E1554">
        <w:lastRenderedPageBreak/>
        <w:t>Partnering with Traditional Owners</w:t>
      </w:r>
    </w:p>
    <w:p w14:paraId="30A812E4" w14:textId="77777777" w:rsidR="000E1554" w:rsidRPr="000E1554" w:rsidRDefault="000E1554" w:rsidP="000E1554">
      <w:pPr>
        <w:pStyle w:val="ListBullet"/>
      </w:pPr>
      <w:r w:rsidRPr="000E1554">
        <w:t>Roadside vegetation management</w:t>
      </w:r>
    </w:p>
    <w:p w14:paraId="3AE9811B" w14:textId="77777777" w:rsidR="000E1554" w:rsidRPr="000E1554" w:rsidRDefault="000E1554" w:rsidP="000E1554">
      <w:pPr>
        <w:pStyle w:val="ListBullet"/>
      </w:pPr>
      <w:r w:rsidRPr="000E1554">
        <w:t>Research and prevention programs</w:t>
      </w:r>
    </w:p>
    <w:p w14:paraId="20AD8A59" w14:textId="2B0ABF34" w:rsidR="000E1554" w:rsidRDefault="000E1554" w:rsidP="000E1554">
      <w:pPr>
        <w:pStyle w:val="ListBullet"/>
      </w:pPr>
      <w:r w:rsidRPr="000E1554">
        <w:t>Community engagement and preparedness programs</w:t>
      </w:r>
    </w:p>
    <w:p w14:paraId="522A33ED" w14:textId="29B21C32" w:rsidR="000E1554" w:rsidRDefault="000E1554" w:rsidP="000E1554">
      <w:pPr>
        <w:pStyle w:val="Heading2"/>
        <w:rPr>
          <w:lang w:val="en-US"/>
        </w:rPr>
      </w:pPr>
      <w:bookmarkStart w:id="25" w:name="_Toc166682361"/>
      <w:r w:rsidRPr="000E1554">
        <w:rPr>
          <w:lang w:val="en-US"/>
        </w:rPr>
        <w:t>Where we’re going</w:t>
      </w:r>
      <w:bookmarkEnd w:id="25"/>
    </w:p>
    <w:p w14:paraId="20CE2A1F" w14:textId="77777777" w:rsidR="000E1554" w:rsidRPr="000E1554" w:rsidRDefault="000E1554" w:rsidP="000E1554">
      <w:pPr>
        <w:pStyle w:val="ListBullet"/>
        <w:rPr>
          <w:lang w:val="en-US"/>
        </w:rPr>
      </w:pPr>
      <w:r w:rsidRPr="000E1554">
        <w:rPr>
          <w:lang w:val="en-US"/>
        </w:rPr>
        <w:t>Removing barriers to cultural fire</w:t>
      </w:r>
    </w:p>
    <w:p w14:paraId="2032A9F3" w14:textId="77777777" w:rsidR="000E1554" w:rsidRPr="000E1554" w:rsidRDefault="000E1554" w:rsidP="000E1554">
      <w:pPr>
        <w:pStyle w:val="ListBullet"/>
        <w:rPr>
          <w:lang w:val="en-US"/>
        </w:rPr>
      </w:pPr>
      <w:r w:rsidRPr="000E1554">
        <w:rPr>
          <w:lang w:val="en-US"/>
        </w:rPr>
        <w:t>New fuel management targets</w:t>
      </w:r>
    </w:p>
    <w:p w14:paraId="52AE9C14" w14:textId="77777777" w:rsidR="000E1554" w:rsidRPr="000E1554" w:rsidRDefault="000E1554" w:rsidP="000E1554">
      <w:pPr>
        <w:pStyle w:val="ListBullet"/>
        <w:rPr>
          <w:lang w:val="en-US"/>
        </w:rPr>
      </w:pPr>
      <w:r w:rsidRPr="000E1554">
        <w:rPr>
          <w:lang w:val="en-US"/>
        </w:rPr>
        <w:t>Continuously improving our modelling</w:t>
      </w:r>
    </w:p>
    <w:p w14:paraId="0FA68C14" w14:textId="77777777" w:rsidR="000E1554" w:rsidRPr="000E1554" w:rsidRDefault="000E1554" w:rsidP="000E1554">
      <w:pPr>
        <w:pStyle w:val="ListBullet"/>
        <w:rPr>
          <w:lang w:val="en-US"/>
        </w:rPr>
      </w:pPr>
      <w:r w:rsidRPr="000E1554">
        <w:rPr>
          <w:lang w:val="en-US"/>
        </w:rPr>
        <w:t>Delivering grants to communities</w:t>
      </w:r>
    </w:p>
    <w:p w14:paraId="73111D3C" w14:textId="03588275" w:rsidR="000E1554" w:rsidRPr="000E1554" w:rsidRDefault="000E1554" w:rsidP="000E1554">
      <w:pPr>
        <w:pStyle w:val="ListBullet"/>
        <w:rPr>
          <w:lang w:val="en-US"/>
        </w:rPr>
      </w:pPr>
      <w:r w:rsidRPr="000E1554">
        <w:rPr>
          <w:b/>
          <w:bCs/>
          <w:lang w:val="en-US"/>
        </w:rPr>
        <w:t>Over 50 additional actions</w:t>
      </w:r>
    </w:p>
    <w:sectPr w:rsidR="000E1554" w:rsidRPr="000E1554">
      <w:footerReference w:type="even" r:id="rId14"/>
      <w:footerReference w:type="default" r:id="rId15"/>
      <w:footerReference w:type="firs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14BB" w14:textId="77777777" w:rsidR="001109E6" w:rsidRDefault="001109E6" w:rsidP="00A24321">
      <w:pPr>
        <w:spacing w:before="0" w:after="0"/>
      </w:pPr>
      <w:r>
        <w:separator/>
      </w:r>
    </w:p>
  </w:endnote>
  <w:endnote w:type="continuationSeparator" w:id="0">
    <w:p w14:paraId="62FE471C" w14:textId="77777777" w:rsidR="001109E6" w:rsidRDefault="001109E6" w:rsidP="00A243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Italic">
    <w:panose1 w:val="000000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5E5D" w14:textId="5D0DDA4D" w:rsidR="009B11A5" w:rsidRDefault="009B11A5">
    <w:pPr>
      <w:pStyle w:val="Footer"/>
    </w:pPr>
    <w:r>
      <w:rPr>
        <w:noProof/>
      </w:rPr>
      <mc:AlternateContent>
        <mc:Choice Requires="wps">
          <w:drawing>
            <wp:anchor distT="0" distB="0" distL="0" distR="0" simplePos="0" relativeHeight="251659264" behindDoc="0" locked="0" layoutInCell="1" allowOverlap="1" wp14:anchorId="777C9AFB" wp14:editId="07877FDE">
              <wp:simplePos x="635" y="635"/>
              <wp:positionH relativeFrom="page">
                <wp:align>center</wp:align>
              </wp:positionH>
              <wp:positionV relativeFrom="page">
                <wp:align>bottom</wp:align>
              </wp:positionV>
              <wp:extent cx="443865" cy="443865"/>
              <wp:effectExtent l="0" t="0" r="635" b="0"/>
              <wp:wrapNone/>
              <wp:docPr id="18161332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B2687" w14:textId="26F1DADE" w:rsidR="009B11A5" w:rsidRPr="009B11A5" w:rsidRDefault="009B11A5" w:rsidP="009B11A5">
                          <w:pPr>
                            <w:spacing w:after="0"/>
                            <w:rPr>
                              <w:rFonts w:ascii="Calibri" w:eastAsia="Calibri" w:hAnsi="Calibri" w:cs="Calibri"/>
                              <w:noProof/>
                              <w:color w:val="000000"/>
                            </w:rPr>
                          </w:pPr>
                          <w:r w:rsidRPr="009B11A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7C9AF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EAB2687" w14:textId="26F1DADE" w:rsidR="009B11A5" w:rsidRPr="009B11A5" w:rsidRDefault="009B11A5" w:rsidP="009B11A5">
                    <w:pPr>
                      <w:spacing w:after="0"/>
                      <w:rPr>
                        <w:rFonts w:ascii="Calibri" w:eastAsia="Calibri" w:hAnsi="Calibri" w:cs="Calibri"/>
                        <w:noProof/>
                        <w:color w:val="000000"/>
                      </w:rPr>
                    </w:pPr>
                    <w:r w:rsidRPr="009B11A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C751" w14:textId="019D8216" w:rsidR="009B11A5" w:rsidRDefault="009B11A5">
    <w:pPr>
      <w:pStyle w:val="Footer"/>
    </w:pPr>
    <w:r>
      <w:rPr>
        <w:noProof/>
      </w:rPr>
      <mc:AlternateContent>
        <mc:Choice Requires="wps">
          <w:drawing>
            <wp:anchor distT="0" distB="0" distL="0" distR="0" simplePos="0" relativeHeight="251660288" behindDoc="0" locked="0" layoutInCell="1" allowOverlap="1" wp14:anchorId="12942670" wp14:editId="34F73249">
              <wp:simplePos x="914400" y="10058400"/>
              <wp:positionH relativeFrom="page">
                <wp:align>center</wp:align>
              </wp:positionH>
              <wp:positionV relativeFrom="page">
                <wp:align>bottom</wp:align>
              </wp:positionV>
              <wp:extent cx="443865" cy="443865"/>
              <wp:effectExtent l="0" t="0" r="635" b="0"/>
              <wp:wrapNone/>
              <wp:docPr id="114158013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1C3A1" w14:textId="2652EF2D" w:rsidR="009B11A5" w:rsidRPr="009B11A5" w:rsidRDefault="009B11A5" w:rsidP="009B11A5">
                          <w:pPr>
                            <w:spacing w:after="0"/>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4267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9E1C3A1" w14:textId="2652EF2D" w:rsidR="009B11A5" w:rsidRPr="009B11A5" w:rsidRDefault="009B11A5" w:rsidP="009B11A5">
                    <w:pPr>
                      <w:spacing w:after="0"/>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F5CF" w14:textId="260F39B3" w:rsidR="009B11A5" w:rsidRDefault="009B11A5">
    <w:pPr>
      <w:pStyle w:val="Footer"/>
    </w:pPr>
    <w:r>
      <w:rPr>
        <w:noProof/>
      </w:rPr>
      <mc:AlternateContent>
        <mc:Choice Requires="wps">
          <w:drawing>
            <wp:anchor distT="0" distB="0" distL="0" distR="0" simplePos="0" relativeHeight="251658240" behindDoc="0" locked="0" layoutInCell="1" allowOverlap="1" wp14:anchorId="31254AF1" wp14:editId="2CA3DBFA">
              <wp:simplePos x="635" y="635"/>
              <wp:positionH relativeFrom="page">
                <wp:align>center</wp:align>
              </wp:positionH>
              <wp:positionV relativeFrom="page">
                <wp:align>bottom</wp:align>
              </wp:positionV>
              <wp:extent cx="443865" cy="443865"/>
              <wp:effectExtent l="0" t="0" r="635" b="0"/>
              <wp:wrapNone/>
              <wp:docPr id="14229956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FB6F7" w14:textId="58BAF7E6" w:rsidR="009B11A5" w:rsidRPr="009B11A5" w:rsidRDefault="009B11A5" w:rsidP="009B11A5">
                          <w:pPr>
                            <w:spacing w:after="0"/>
                            <w:rPr>
                              <w:rFonts w:ascii="Calibri" w:eastAsia="Calibri" w:hAnsi="Calibri" w:cs="Calibri"/>
                              <w:noProof/>
                              <w:color w:val="000000"/>
                            </w:rPr>
                          </w:pPr>
                          <w:r w:rsidRPr="009B11A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254AF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1FB6F7" w14:textId="58BAF7E6" w:rsidR="009B11A5" w:rsidRPr="009B11A5" w:rsidRDefault="009B11A5" w:rsidP="009B11A5">
                    <w:pPr>
                      <w:spacing w:after="0"/>
                      <w:rPr>
                        <w:rFonts w:ascii="Calibri" w:eastAsia="Calibri" w:hAnsi="Calibri" w:cs="Calibri"/>
                        <w:noProof/>
                        <w:color w:val="000000"/>
                      </w:rPr>
                    </w:pPr>
                    <w:r w:rsidRPr="009B11A5">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90DD" w14:textId="77777777" w:rsidR="001109E6" w:rsidRDefault="001109E6" w:rsidP="00A24321">
      <w:pPr>
        <w:spacing w:before="0" w:after="0"/>
      </w:pPr>
      <w:r>
        <w:separator/>
      </w:r>
    </w:p>
  </w:footnote>
  <w:footnote w:type="continuationSeparator" w:id="0">
    <w:p w14:paraId="5BC2346E" w14:textId="77777777" w:rsidR="001109E6" w:rsidRDefault="001109E6" w:rsidP="00A243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D2A83E"/>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B4EEA3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8441B0"/>
    <w:multiLevelType w:val="hybridMultilevel"/>
    <w:tmpl w:val="7EF0218C"/>
    <w:lvl w:ilvl="0" w:tplc="64DEF3C6">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50255E99"/>
    <w:multiLevelType w:val="hybridMultilevel"/>
    <w:tmpl w:val="B5B2267E"/>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98855">
    <w:abstractNumId w:val="1"/>
  </w:num>
  <w:num w:numId="2" w16cid:durableId="193227402">
    <w:abstractNumId w:val="0"/>
  </w:num>
  <w:num w:numId="3" w16cid:durableId="1189560458">
    <w:abstractNumId w:val="2"/>
  </w:num>
  <w:num w:numId="4" w16cid:durableId="12523516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8"/>
    <w:rsid w:val="00015C1F"/>
    <w:rsid w:val="00051FCA"/>
    <w:rsid w:val="00057CEF"/>
    <w:rsid w:val="00062940"/>
    <w:rsid w:val="000678DC"/>
    <w:rsid w:val="000715AD"/>
    <w:rsid w:val="00077FF9"/>
    <w:rsid w:val="000B0B8F"/>
    <w:rsid w:val="000B4238"/>
    <w:rsid w:val="000E1554"/>
    <w:rsid w:val="000E5231"/>
    <w:rsid w:val="000F2006"/>
    <w:rsid w:val="000F4A3C"/>
    <w:rsid w:val="001109E6"/>
    <w:rsid w:val="00110DE1"/>
    <w:rsid w:val="00115FCB"/>
    <w:rsid w:val="0011703E"/>
    <w:rsid w:val="001170C5"/>
    <w:rsid w:val="00120EB6"/>
    <w:rsid w:val="001354F9"/>
    <w:rsid w:val="00144E2B"/>
    <w:rsid w:val="00154A21"/>
    <w:rsid w:val="0016690D"/>
    <w:rsid w:val="00170D94"/>
    <w:rsid w:val="00196716"/>
    <w:rsid w:val="001B4408"/>
    <w:rsid w:val="001B67D8"/>
    <w:rsid w:val="001C06C2"/>
    <w:rsid w:val="001C1FF7"/>
    <w:rsid w:val="002168A2"/>
    <w:rsid w:val="002348C9"/>
    <w:rsid w:val="00243EF1"/>
    <w:rsid w:val="00253B0A"/>
    <w:rsid w:val="00253EB6"/>
    <w:rsid w:val="0026357B"/>
    <w:rsid w:val="00294391"/>
    <w:rsid w:val="00295F32"/>
    <w:rsid w:val="002962FE"/>
    <w:rsid w:val="00297D48"/>
    <w:rsid w:val="002B6FA6"/>
    <w:rsid w:val="002E2C2B"/>
    <w:rsid w:val="002E6FBD"/>
    <w:rsid w:val="003006DE"/>
    <w:rsid w:val="00303B69"/>
    <w:rsid w:val="00306B06"/>
    <w:rsid w:val="003106BF"/>
    <w:rsid w:val="003151BD"/>
    <w:rsid w:val="00346FEE"/>
    <w:rsid w:val="003479D2"/>
    <w:rsid w:val="00354A72"/>
    <w:rsid w:val="00363104"/>
    <w:rsid w:val="003665DD"/>
    <w:rsid w:val="0037713E"/>
    <w:rsid w:val="003E5D36"/>
    <w:rsid w:val="0045164C"/>
    <w:rsid w:val="004623A8"/>
    <w:rsid w:val="004C6AAE"/>
    <w:rsid w:val="004E3C5D"/>
    <w:rsid w:val="004F2858"/>
    <w:rsid w:val="00517864"/>
    <w:rsid w:val="0052752B"/>
    <w:rsid w:val="00537FB0"/>
    <w:rsid w:val="00562A68"/>
    <w:rsid w:val="00576501"/>
    <w:rsid w:val="00594DF6"/>
    <w:rsid w:val="005A00C0"/>
    <w:rsid w:val="005A763C"/>
    <w:rsid w:val="005F0AD8"/>
    <w:rsid w:val="005F1F51"/>
    <w:rsid w:val="00637F12"/>
    <w:rsid w:val="00642610"/>
    <w:rsid w:val="00670970"/>
    <w:rsid w:val="00677986"/>
    <w:rsid w:val="00682C19"/>
    <w:rsid w:val="00690759"/>
    <w:rsid w:val="0069207E"/>
    <w:rsid w:val="006D6E3C"/>
    <w:rsid w:val="00774DA1"/>
    <w:rsid w:val="007E5B55"/>
    <w:rsid w:val="007E5DFB"/>
    <w:rsid w:val="007F08B3"/>
    <w:rsid w:val="008101C8"/>
    <w:rsid w:val="00811322"/>
    <w:rsid w:val="008307E4"/>
    <w:rsid w:val="00843FB0"/>
    <w:rsid w:val="008504B1"/>
    <w:rsid w:val="008665A2"/>
    <w:rsid w:val="00876174"/>
    <w:rsid w:val="0089136B"/>
    <w:rsid w:val="008A207F"/>
    <w:rsid w:val="008D12E6"/>
    <w:rsid w:val="008F72E0"/>
    <w:rsid w:val="009104CD"/>
    <w:rsid w:val="009303BF"/>
    <w:rsid w:val="009A4D4E"/>
    <w:rsid w:val="009B11A5"/>
    <w:rsid w:val="009C6870"/>
    <w:rsid w:val="00A005A2"/>
    <w:rsid w:val="00A15E36"/>
    <w:rsid w:val="00A22826"/>
    <w:rsid w:val="00A24321"/>
    <w:rsid w:val="00A25BF4"/>
    <w:rsid w:val="00A61499"/>
    <w:rsid w:val="00A640DC"/>
    <w:rsid w:val="00A72DBF"/>
    <w:rsid w:val="00A81062"/>
    <w:rsid w:val="00A851F4"/>
    <w:rsid w:val="00A9307F"/>
    <w:rsid w:val="00AA66EA"/>
    <w:rsid w:val="00AE744D"/>
    <w:rsid w:val="00B21E51"/>
    <w:rsid w:val="00B334F7"/>
    <w:rsid w:val="00B70EAE"/>
    <w:rsid w:val="00C04970"/>
    <w:rsid w:val="00C63485"/>
    <w:rsid w:val="00C7425F"/>
    <w:rsid w:val="00CC5F4E"/>
    <w:rsid w:val="00CD46A6"/>
    <w:rsid w:val="00CE6580"/>
    <w:rsid w:val="00CF6D66"/>
    <w:rsid w:val="00CF7FD9"/>
    <w:rsid w:val="00D278A8"/>
    <w:rsid w:val="00D4037B"/>
    <w:rsid w:val="00D9243B"/>
    <w:rsid w:val="00D945BD"/>
    <w:rsid w:val="00D97527"/>
    <w:rsid w:val="00DA1226"/>
    <w:rsid w:val="00DA2828"/>
    <w:rsid w:val="00DD0076"/>
    <w:rsid w:val="00DF509D"/>
    <w:rsid w:val="00E32DEF"/>
    <w:rsid w:val="00E77F86"/>
    <w:rsid w:val="00EA3A27"/>
    <w:rsid w:val="00EB4088"/>
    <w:rsid w:val="00F3116E"/>
    <w:rsid w:val="00F60953"/>
    <w:rsid w:val="00F856ED"/>
    <w:rsid w:val="00FB22DD"/>
    <w:rsid w:val="00FB3280"/>
    <w:rsid w:val="00FB3A78"/>
    <w:rsid w:val="00FE6C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CB56"/>
  <w15:chartTrackingRefBased/>
  <w15:docId w15:val="{6CD6362A-AD24-CB44-991D-49A5045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6E"/>
    <w:pPr>
      <w:spacing w:before="240" w:after="240"/>
    </w:pPr>
  </w:style>
  <w:style w:type="paragraph" w:styleId="Heading1">
    <w:name w:val="heading 1"/>
    <w:basedOn w:val="Normal"/>
    <w:next w:val="Normal"/>
    <w:link w:val="Heading1Char"/>
    <w:uiPriority w:val="99"/>
    <w:qFormat/>
    <w:rsid w:val="00690759"/>
    <w:pPr>
      <w:keepNext/>
      <w:keepLines/>
      <w:spacing w:before="480" w:line="192" w:lineRule="auto"/>
      <w:outlineLvl w:val="0"/>
    </w:pPr>
    <w:rPr>
      <w:rFonts w:ascii="Calibri" w:eastAsiaTheme="majorEastAsia" w:hAnsi="Calibri" w:cstheme="majorBidi"/>
      <w:b/>
      <w:color w:val="000000" w:themeColor="text1"/>
      <w:sz w:val="60"/>
      <w:szCs w:val="32"/>
    </w:rPr>
  </w:style>
  <w:style w:type="paragraph" w:styleId="Heading2">
    <w:name w:val="heading 2"/>
    <w:basedOn w:val="Normal"/>
    <w:next w:val="Normal"/>
    <w:link w:val="Heading2Char"/>
    <w:uiPriority w:val="99"/>
    <w:unhideWhenUsed/>
    <w:qFormat/>
    <w:rsid w:val="00690759"/>
    <w:pPr>
      <w:keepNext/>
      <w:keepLines/>
      <w:spacing w:before="480" w:line="192" w:lineRule="auto"/>
      <w:outlineLvl w:val="1"/>
    </w:pPr>
    <w:rPr>
      <w:rFonts w:asciiTheme="majorHAnsi" w:eastAsiaTheme="majorEastAsia" w:hAnsiTheme="majorHAnsi" w:cstheme="majorBidi"/>
      <w:color w:val="000000" w:themeColor="text1"/>
      <w:sz w:val="52"/>
      <w:szCs w:val="26"/>
    </w:rPr>
  </w:style>
  <w:style w:type="paragraph" w:styleId="Heading3">
    <w:name w:val="heading 3"/>
    <w:basedOn w:val="Normal"/>
    <w:next w:val="Normal"/>
    <w:link w:val="Heading3Char"/>
    <w:uiPriority w:val="99"/>
    <w:unhideWhenUsed/>
    <w:qFormat/>
    <w:rsid w:val="005A00C0"/>
    <w:pPr>
      <w:keepNext/>
      <w:keepLines/>
      <w:spacing w:before="360" w:line="192" w:lineRule="auto"/>
      <w:outlineLvl w:val="2"/>
    </w:pPr>
    <w:rPr>
      <w:rFonts w:ascii="Calibri" w:eastAsiaTheme="majorEastAsia" w:hAnsi="Calibri" w:cstheme="majorBidi"/>
      <w:color w:val="000000" w:themeColor="text1"/>
      <w:sz w:val="44"/>
    </w:rPr>
  </w:style>
  <w:style w:type="paragraph" w:styleId="Heading4">
    <w:name w:val="heading 4"/>
    <w:basedOn w:val="Normal"/>
    <w:next w:val="Normal"/>
    <w:link w:val="Heading4Char"/>
    <w:uiPriority w:val="99"/>
    <w:unhideWhenUsed/>
    <w:qFormat/>
    <w:rsid w:val="002962FE"/>
    <w:pPr>
      <w:keepNext/>
      <w:keepLines/>
      <w:spacing w:before="40"/>
      <w:outlineLvl w:val="3"/>
    </w:pPr>
    <w:rPr>
      <w:rFonts w:asciiTheme="majorHAnsi" w:eastAsiaTheme="majorEastAsia" w:hAnsiTheme="majorHAnsi" w:cstheme="majorBidi"/>
      <w:i/>
      <w:iCs/>
      <w:color w:val="000000" w:themeColor="text1"/>
      <w:sz w:val="36"/>
    </w:rPr>
  </w:style>
  <w:style w:type="paragraph" w:styleId="Heading5">
    <w:name w:val="heading 5"/>
    <w:basedOn w:val="Normal"/>
    <w:next w:val="Normal"/>
    <w:link w:val="Heading5Char"/>
    <w:uiPriority w:val="9"/>
    <w:unhideWhenUsed/>
    <w:qFormat/>
    <w:rsid w:val="008307E4"/>
    <w:pPr>
      <w:keepNext/>
      <w:keepLines/>
      <w:spacing w:before="40"/>
      <w:outlineLvl w:val="4"/>
    </w:pPr>
    <w:rPr>
      <w:rFonts w:asciiTheme="majorHAnsi" w:eastAsiaTheme="majorEastAsia" w:hAnsiTheme="majorHAnsi" w:cstheme="majorBidi"/>
      <w:color w:val="000000" w:themeColor="text1"/>
      <w:sz w:val="30"/>
    </w:rPr>
  </w:style>
  <w:style w:type="paragraph" w:styleId="Heading6">
    <w:name w:val="heading 6"/>
    <w:next w:val="Normal"/>
    <w:link w:val="Heading6Char"/>
    <w:rsid w:val="00297D48"/>
    <w:pPr>
      <w:outlineLvl w:val="5"/>
    </w:pPr>
    <w:rPr>
      <w:rFonts w:ascii="Arial" w:hAnsi="Arial" w:cs="Arial"/>
      <w:sz w:val="28"/>
      <w:szCs w:val="32"/>
      <w:u w:val="single"/>
    </w:rPr>
  </w:style>
  <w:style w:type="paragraph" w:styleId="Heading7">
    <w:name w:val="heading 7"/>
    <w:basedOn w:val="Normal"/>
    <w:next w:val="Normal"/>
    <w:link w:val="Heading7Char"/>
    <w:uiPriority w:val="9"/>
    <w:unhideWhenUsed/>
    <w:qFormat/>
    <w:rsid w:val="00297D4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297D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97D48"/>
    <w:rPr>
      <w:rFonts w:ascii="Arial" w:hAnsi="Arial" w:cs="Arial"/>
      <w:sz w:val="28"/>
      <w:szCs w:val="32"/>
      <w:u w:val="single"/>
    </w:rPr>
  </w:style>
  <w:style w:type="paragraph" w:styleId="Title">
    <w:name w:val="Title"/>
    <w:basedOn w:val="Normal"/>
    <w:next w:val="Normal"/>
    <w:link w:val="TitleChar"/>
    <w:uiPriority w:val="10"/>
    <w:qFormat/>
    <w:rsid w:val="002B6FA6"/>
    <w:pPr>
      <w:spacing w:after="480" w:line="192" w:lineRule="auto"/>
      <w:contextualSpacing/>
    </w:pPr>
    <w:rPr>
      <w:rFonts w:asciiTheme="majorHAnsi" w:eastAsiaTheme="majorEastAsia" w:hAnsiTheme="majorHAnsi" w:cstheme="majorBidi"/>
      <w:spacing w:val="-10"/>
      <w:kern w:val="28"/>
      <w:sz w:val="88"/>
      <w:szCs w:val="56"/>
    </w:rPr>
  </w:style>
  <w:style w:type="character" w:customStyle="1" w:styleId="TitleChar">
    <w:name w:val="Title Char"/>
    <w:basedOn w:val="DefaultParagraphFont"/>
    <w:link w:val="Title"/>
    <w:uiPriority w:val="10"/>
    <w:rsid w:val="002B6FA6"/>
    <w:rPr>
      <w:rFonts w:asciiTheme="majorHAnsi" w:eastAsiaTheme="majorEastAsia" w:hAnsiTheme="majorHAnsi" w:cstheme="majorBidi"/>
      <w:spacing w:val="-10"/>
      <w:kern w:val="28"/>
      <w:sz w:val="88"/>
      <w:szCs w:val="56"/>
    </w:rPr>
  </w:style>
  <w:style w:type="paragraph" w:styleId="Subtitle">
    <w:name w:val="Subtitle"/>
    <w:basedOn w:val="Normal"/>
    <w:next w:val="Normal"/>
    <w:link w:val="SubtitleChar"/>
    <w:uiPriority w:val="11"/>
    <w:qFormat/>
    <w:rsid w:val="0089136B"/>
    <w:pPr>
      <w:numPr>
        <w:ilvl w:val="1"/>
      </w:numPr>
      <w:spacing w:after="480" w:line="192" w:lineRule="auto"/>
    </w:pPr>
    <w:rPr>
      <w:color w:val="000000" w:themeColor="text1"/>
      <w:spacing w:val="15"/>
      <w:sz w:val="64"/>
      <w:szCs w:val="22"/>
    </w:rPr>
  </w:style>
  <w:style w:type="character" w:customStyle="1" w:styleId="SubtitleChar">
    <w:name w:val="Subtitle Char"/>
    <w:basedOn w:val="DefaultParagraphFont"/>
    <w:link w:val="Subtitle"/>
    <w:uiPriority w:val="11"/>
    <w:rsid w:val="0089136B"/>
    <w:rPr>
      <w:color w:val="000000" w:themeColor="text1"/>
      <w:spacing w:val="15"/>
      <w:sz w:val="64"/>
      <w:szCs w:val="22"/>
    </w:rPr>
  </w:style>
  <w:style w:type="character" w:customStyle="1" w:styleId="Heading1Char">
    <w:name w:val="Heading 1 Char"/>
    <w:basedOn w:val="DefaultParagraphFont"/>
    <w:link w:val="Heading1"/>
    <w:uiPriority w:val="99"/>
    <w:rsid w:val="00690759"/>
    <w:rPr>
      <w:rFonts w:ascii="Calibri" w:eastAsiaTheme="majorEastAsia" w:hAnsi="Calibri" w:cstheme="majorBidi"/>
      <w:b/>
      <w:color w:val="000000" w:themeColor="text1"/>
      <w:sz w:val="60"/>
      <w:szCs w:val="32"/>
    </w:rPr>
  </w:style>
  <w:style w:type="character" w:customStyle="1" w:styleId="Heading2Char">
    <w:name w:val="Heading 2 Char"/>
    <w:basedOn w:val="DefaultParagraphFont"/>
    <w:link w:val="Heading2"/>
    <w:uiPriority w:val="99"/>
    <w:rsid w:val="00690759"/>
    <w:rPr>
      <w:rFonts w:asciiTheme="majorHAnsi" w:eastAsiaTheme="majorEastAsia" w:hAnsiTheme="majorHAnsi" w:cstheme="majorBidi"/>
      <w:color w:val="000000" w:themeColor="text1"/>
      <w:sz w:val="52"/>
      <w:szCs w:val="26"/>
    </w:rPr>
  </w:style>
  <w:style w:type="character" w:customStyle="1" w:styleId="Heading3Char">
    <w:name w:val="Heading 3 Char"/>
    <w:basedOn w:val="DefaultParagraphFont"/>
    <w:link w:val="Heading3"/>
    <w:uiPriority w:val="99"/>
    <w:rsid w:val="005A00C0"/>
    <w:rPr>
      <w:rFonts w:ascii="Calibri" w:eastAsiaTheme="majorEastAsia" w:hAnsi="Calibri" w:cstheme="majorBidi"/>
      <w:color w:val="000000" w:themeColor="text1"/>
      <w:sz w:val="44"/>
    </w:rPr>
  </w:style>
  <w:style w:type="character" w:customStyle="1" w:styleId="Heading4Char">
    <w:name w:val="Heading 4 Char"/>
    <w:basedOn w:val="DefaultParagraphFont"/>
    <w:link w:val="Heading4"/>
    <w:uiPriority w:val="99"/>
    <w:rsid w:val="002962FE"/>
    <w:rPr>
      <w:rFonts w:asciiTheme="majorHAnsi" w:eastAsiaTheme="majorEastAsia" w:hAnsiTheme="majorHAnsi" w:cstheme="majorBidi"/>
      <w:i/>
      <w:iCs/>
      <w:color w:val="000000" w:themeColor="text1"/>
      <w:sz w:val="36"/>
    </w:rPr>
  </w:style>
  <w:style w:type="character" w:customStyle="1" w:styleId="Heading5Char">
    <w:name w:val="Heading 5 Char"/>
    <w:basedOn w:val="DefaultParagraphFont"/>
    <w:link w:val="Heading5"/>
    <w:uiPriority w:val="9"/>
    <w:rsid w:val="008307E4"/>
    <w:rPr>
      <w:rFonts w:asciiTheme="majorHAnsi" w:eastAsiaTheme="majorEastAsia" w:hAnsiTheme="majorHAnsi" w:cstheme="majorBidi"/>
      <w:color w:val="000000" w:themeColor="text1"/>
      <w:sz w:val="30"/>
    </w:rPr>
  </w:style>
  <w:style w:type="character" w:customStyle="1" w:styleId="Heading7Char">
    <w:name w:val="Heading 7 Char"/>
    <w:basedOn w:val="DefaultParagraphFont"/>
    <w:link w:val="Heading7"/>
    <w:uiPriority w:val="9"/>
    <w:rsid w:val="00297D4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297D48"/>
    <w:rPr>
      <w:rFonts w:asciiTheme="majorHAnsi" w:eastAsiaTheme="majorEastAsia" w:hAnsiTheme="majorHAnsi" w:cstheme="majorBidi"/>
      <w:color w:val="272727" w:themeColor="text1" w:themeTint="D8"/>
      <w:sz w:val="21"/>
      <w:szCs w:val="21"/>
    </w:rPr>
  </w:style>
  <w:style w:type="paragraph" w:styleId="BlockText">
    <w:name w:val="Block Text"/>
    <w:basedOn w:val="Normal"/>
    <w:uiPriority w:val="99"/>
    <w:unhideWhenUsed/>
    <w:rsid w:val="002962FE"/>
    <w:pPr>
      <w:pBdr>
        <w:top w:val="single" w:sz="2" w:space="10" w:color="000000" w:themeColor="text1"/>
        <w:left w:val="single" w:sz="2" w:space="10" w:color="000000" w:themeColor="text1"/>
        <w:bottom w:val="single" w:sz="2" w:space="10" w:color="000000" w:themeColor="text1"/>
        <w:right w:val="single" w:sz="2" w:space="10" w:color="000000" w:themeColor="text1"/>
      </w:pBdr>
      <w:ind w:left="1151" w:right="1151"/>
    </w:pPr>
    <w:rPr>
      <w:i/>
      <w:iCs/>
      <w:color w:val="000000" w:themeColor="text1"/>
    </w:rPr>
  </w:style>
  <w:style w:type="paragraph" w:styleId="ListBullet">
    <w:name w:val="List Bullet"/>
    <w:basedOn w:val="Normal"/>
    <w:uiPriority w:val="99"/>
    <w:unhideWhenUsed/>
    <w:rsid w:val="005A00C0"/>
    <w:pPr>
      <w:numPr>
        <w:numId w:val="1"/>
      </w:numPr>
      <w:spacing w:before="120"/>
    </w:pPr>
  </w:style>
  <w:style w:type="paragraph" w:styleId="Caption">
    <w:name w:val="caption"/>
    <w:basedOn w:val="Normal"/>
    <w:next w:val="Normal"/>
    <w:uiPriority w:val="35"/>
    <w:unhideWhenUsed/>
    <w:qFormat/>
    <w:rsid w:val="008504B1"/>
    <w:pPr>
      <w:keepNext/>
      <w:spacing w:after="200"/>
    </w:pPr>
    <w:rPr>
      <w:i/>
      <w:iCs/>
      <w:color w:val="000000" w:themeColor="text1"/>
      <w:szCs w:val="18"/>
    </w:rPr>
  </w:style>
  <w:style w:type="character" w:styleId="Hyperlink">
    <w:name w:val="Hyperlink"/>
    <w:basedOn w:val="DefaultParagraphFont"/>
    <w:uiPriority w:val="99"/>
    <w:unhideWhenUsed/>
    <w:rsid w:val="00A24321"/>
    <w:rPr>
      <w:color w:val="0563C1" w:themeColor="hyperlink"/>
      <w:u w:val="single"/>
    </w:rPr>
  </w:style>
  <w:style w:type="character" w:styleId="UnresolvedMention">
    <w:name w:val="Unresolved Mention"/>
    <w:basedOn w:val="DefaultParagraphFont"/>
    <w:uiPriority w:val="99"/>
    <w:semiHidden/>
    <w:unhideWhenUsed/>
    <w:rsid w:val="00A24321"/>
    <w:rPr>
      <w:color w:val="605E5C"/>
      <w:shd w:val="clear" w:color="auto" w:fill="E1DFDD"/>
    </w:rPr>
  </w:style>
  <w:style w:type="paragraph" w:styleId="Header">
    <w:name w:val="header"/>
    <w:basedOn w:val="Normal"/>
    <w:link w:val="HeaderChar"/>
    <w:uiPriority w:val="99"/>
    <w:unhideWhenUsed/>
    <w:rsid w:val="00A24321"/>
    <w:pPr>
      <w:tabs>
        <w:tab w:val="center" w:pos="4513"/>
        <w:tab w:val="right" w:pos="9026"/>
      </w:tabs>
      <w:spacing w:before="0" w:after="0"/>
    </w:pPr>
  </w:style>
  <w:style w:type="character" w:customStyle="1" w:styleId="HeaderChar">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513"/>
        <w:tab w:val="right" w:pos="9026"/>
      </w:tabs>
      <w:spacing w:before="0" w:after="0"/>
    </w:pPr>
  </w:style>
  <w:style w:type="character" w:customStyle="1" w:styleId="FooterChar">
    <w:name w:val="Footer Char"/>
    <w:basedOn w:val="DefaultParagraphFont"/>
    <w:link w:val="Footer"/>
    <w:uiPriority w:val="99"/>
    <w:rsid w:val="00A24321"/>
  </w:style>
  <w:style w:type="character" w:styleId="FollowedHyperlink">
    <w:name w:val="FollowedHyperlink"/>
    <w:basedOn w:val="DefaultParagraphFont"/>
    <w:uiPriority w:val="99"/>
    <w:semiHidden/>
    <w:unhideWhenUsed/>
    <w:rsid w:val="00A24321"/>
    <w:rPr>
      <w:color w:val="954F72" w:themeColor="followedHyperlink"/>
      <w:u w:val="single"/>
    </w:rPr>
  </w:style>
  <w:style w:type="table" w:styleId="TableGrid">
    <w:name w:val="Table Grid"/>
    <w:basedOn w:val="TableNormal"/>
    <w:uiPriority w:val="39"/>
    <w:rsid w:val="0011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58"/>
    <w:pPr>
      <w:numPr>
        <w:numId w:val="3"/>
      </w:numPr>
      <w:contextualSpacing/>
    </w:pPr>
  </w:style>
  <w:style w:type="paragraph" w:styleId="TOC1">
    <w:name w:val="toc 1"/>
    <w:basedOn w:val="Normal"/>
    <w:next w:val="Normal"/>
    <w:autoRedefine/>
    <w:uiPriority w:val="39"/>
    <w:unhideWhenUsed/>
    <w:rsid w:val="00144E2B"/>
    <w:pPr>
      <w:spacing w:after="100"/>
    </w:pPr>
    <w:rPr>
      <w:lang w:val="en-US"/>
    </w:rPr>
  </w:style>
  <w:style w:type="paragraph" w:styleId="TOC2">
    <w:name w:val="toc 2"/>
    <w:basedOn w:val="Normal"/>
    <w:next w:val="Normal"/>
    <w:autoRedefine/>
    <w:uiPriority w:val="39"/>
    <w:unhideWhenUsed/>
    <w:rsid w:val="00642610"/>
    <w:pPr>
      <w:spacing w:after="100"/>
      <w:ind w:left="240"/>
    </w:pPr>
    <w:rPr>
      <w:lang w:val="en-US"/>
    </w:rPr>
  </w:style>
  <w:style w:type="paragraph" w:customStyle="1" w:styleId="NoParagraphStyle">
    <w:name w:val="[No Paragraph Style]"/>
    <w:rsid w:val="00B334F7"/>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ChapterHeadings">
    <w:name w:val="Chapter (Headings)"/>
    <w:basedOn w:val="NoParagraphStyle"/>
    <w:uiPriority w:val="99"/>
    <w:rsid w:val="00B334F7"/>
    <w:pPr>
      <w:suppressAutoHyphens/>
      <w:spacing w:line="1360" w:lineRule="atLeast"/>
    </w:pPr>
    <w:rPr>
      <w:rFonts w:ascii="VIC SemiBold" w:hAnsi="VIC SemiBold" w:cs="VIC SemiBold"/>
      <w:b/>
      <w:bCs/>
      <w:color w:val="FFFFFF"/>
      <w:sz w:val="140"/>
      <w:szCs w:val="140"/>
    </w:rPr>
  </w:style>
  <w:style w:type="paragraph" w:customStyle="1" w:styleId="IntroText">
    <w:name w:val="Intro Text"/>
    <w:basedOn w:val="NoParagraphStyle"/>
    <w:uiPriority w:val="99"/>
    <w:rsid w:val="00B334F7"/>
    <w:pPr>
      <w:suppressAutoHyphens/>
      <w:spacing w:before="340" w:after="340"/>
      <w:ind w:right="850"/>
    </w:pPr>
    <w:rPr>
      <w:rFonts w:ascii="VIC" w:hAnsi="VIC" w:cs="VIC"/>
      <w:color w:val="00563F"/>
    </w:rPr>
  </w:style>
  <w:style w:type="paragraph" w:customStyle="1" w:styleId="Body">
    <w:name w:val="Body"/>
    <w:basedOn w:val="NoParagraphStyle"/>
    <w:uiPriority w:val="99"/>
    <w:rsid w:val="00B334F7"/>
    <w:pPr>
      <w:suppressAutoHyphens/>
      <w:spacing w:before="113" w:line="260" w:lineRule="atLeast"/>
    </w:pPr>
    <w:rPr>
      <w:rFonts w:ascii="VIC Light" w:hAnsi="VIC Light" w:cs="VIC Light"/>
      <w:sz w:val="19"/>
      <w:szCs w:val="19"/>
    </w:rPr>
  </w:style>
  <w:style w:type="paragraph" w:customStyle="1" w:styleId="Cell">
    <w:name w:val="Cell"/>
    <w:basedOn w:val="Body"/>
    <w:uiPriority w:val="99"/>
    <w:rsid w:val="00B334F7"/>
    <w:pPr>
      <w:spacing w:before="227" w:after="170"/>
    </w:pPr>
  </w:style>
  <w:style w:type="paragraph" w:customStyle="1" w:styleId="Heading1Headings">
    <w:name w:val="Heading 1 (Headings)"/>
    <w:basedOn w:val="NoParagraphStyle"/>
    <w:uiPriority w:val="99"/>
    <w:rsid w:val="00B334F7"/>
    <w:pPr>
      <w:tabs>
        <w:tab w:val="left" w:pos="1020"/>
      </w:tabs>
      <w:suppressAutoHyphens/>
      <w:spacing w:before="454" w:after="340" w:line="460" w:lineRule="atLeast"/>
      <w:ind w:left="1020" w:hanging="1020"/>
    </w:pPr>
    <w:rPr>
      <w:rFonts w:ascii="VIC SemiBold" w:hAnsi="VIC SemiBold" w:cs="VIC SemiBold"/>
      <w:b/>
      <w:bCs/>
      <w:color w:val="100149"/>
      <w:sz w:val="40"/>
      <w:szCs w:val="40"/>
    </w:rPr>
  </w:style>
  <w:style w:type="paragraph" w:customStyle="1" w:styleId="STOPpullout">
    <w:name w:val="STOP pullout"/>
    <w:basedOn w:val="Body"/>
    <w:uiPriority w:val="99"/>
    <w:rsid w:val="00B334F7"/>
    <w:pPr>
      <w:spacing w:before="227" w:after="170"/>
      <w:ind w:left="907"/>
    </w:pPr>
    <w:rPr>
      <w:rFonts w:ascii="VIC Medium Italic" w:hAnsi="VIC Medium Italic" w:cs="VIC Medium Italic"/>
      <w:i/>
      <w:iCs/>
      <w:color w:val="B8222F"/>
    </w:rPr>
  </w:style>
  <w:style w:type="paragraph" w:customStyle="1" w:styleId="TableTitleTable">
    <w:name w:val="Table Title (Table)"/>
    <w:basedOn w:val="NoParagraphStyle"/>
    <w:uiPriority w:val="99"/>
    <w:rsid w:val="00B334F7"/>
    <w:pPr>
      <w:suppressAutoHyphens/>
      <w:spacing w:before="340" w:line="280" w:lineRule="atLeast"/>
    </w:pPr>
    <w:rPr>
      <w:rFonts w:ascii="VIC Medium" w:hAnsi="VIC Medium" w:cs="VIC Medium"/>
      <w:sz w:val="20"/>
      <w:szCs w:val="20"/>
    </w:rPr>
  </w:style>
  <w:style w:type="paragraph" w:customStyle="1" w:styleId="Footnote">
    <w:name w:val="Footnote"/>
    <w:basedOn w:val="NoParagraphStyle"/>
    <w:uiPriority w:val="99"/>
    <w:rsid w:val="00B334F7"/>
    <w:pPr>
      <w:suppressAutoHyphens/>
      <w:spacing w:before="113"/>
    </w:pPr>
    <w:rPr>
      <w:rFonts w:ascii="VIC Light" w:hAnsi="VIC Light" w:cs="VIC Light"/>
      <w:sz w:val="16"/>
      <w:szCs w:val="16"/>
    </w:rPr>
  </w:style>
  <w:style w:type="paragraph" w:customStyle="1" w:styleId="Heading2Headings">
    <w:name w:val="Heading 2 (Headings)"/>
    <w:basedOn w:val="NoParagraphStyle"/>
    <w:uiPriority w:val="99"/>
    <w:rsid w:val="00B334F7"/>
    <w:pPr>
      <w:suppressAutoHyphens/>
      <w:spacing w:before="340"/>
      <w:ind w:left="680" w:hanging="680"/>
    </w:pPr>
    <w:rPr>
      <w:rFonts w:ascii="VIC Light" w:hAnsi="VIC Light" w:cs="VIC Light"/>
      <w:color w:val="100149"/>
      <w:lang w:val="en-GB"/>
    </w:rPr>
  </w:style>
  <w:style w:type="paragraph" w:customStyle="1" w:styleId="BulletsLists">
    <w:name w:val="Bullets (Lists)"/>
    <w:basedOn w:val="Body"/>
    <w:uiPriority w:val="99"/>
    <w:rsid w:val="00B334F7"/>
    <w:pPr>
      <w:spacing w:before="57"/>
      <w:ind w:left="360" w:hanging="360"/>
    </w:pPr>
  </w:style>
  <w:style w:type="paragraph" w:customStyle="1" w:styleId="FigureTitle">
    <w:name w:val="Figure Title"/>
    <w:basedOn w:val="TableTitleTable"/>
    <w:uiPriority w:val="99"/>
    <w:rsid w:val="00B334F7"/>
  </w:style>
  <w:style w:type="paragraph" w:customStyle="1" w:styleId="Photocredit">
    <w:name w:val="Photo credit"/>
    <w:basedOn w:val="NoParagraphStyle"/>
    <w:uiPriority w:val="99"/>
    <w:rsid w:val="00B334F7"/>
    <w:pPr>
      <w:suppressAutoHyphens/>
      <w:spacing w:before="113"/>
    </w:pPr>
    <w:rPr>
      <w:rFonts w:ascii="VIC Light" w:hAnsi="VIC Light" w:cs="VIC Light"/>
      <w:sz w:val="16"/>
      <w:szCs w:val="16"/>
    </w:rPr>
  </w:style>
  <w:style w:type="paragraph" w:customStyle="1" w:styleId="Bulletlevel2Lists">
    <w:name w:val="Bullet level 2 (Lists)"/>
    <w:basedOn w:val="NoParagraphStyle"/>
    <w:uiPriority w:val="99"/>
    <w:rsid w:val="00B334F7"/>
    <w:pPr>
      <w:suppressAutoHyphens/>
      <w:spacing w:before="57" w:line="260" w:lineRule="atLeast"/>
      <w:ind w:left="737" w:hanging="360"/>
    </w:pPr>
    <w:rPr>
      <w:rFonts w:ascii="VIC Light" w:hAnsi="VIC Light" w:cs="VIC Light"/>
      <w:sz w:val="19"/>
      <w:szCs w:val="19"/>
    </w:rPr>
  </w:style>
  <w:style w:type="paragraph" w:customStyle="1" w:styleId="Heading3Headings">
    <w:name w:val="Heading 3 (Headings)"/>
    <w:basedOn w:val="Heading2Headings"/>
    <w:uiPriority w:val="99"/>
    <w:rsid w:val="00B334F7"/>
    <w:pPr>
      <w:spacing w:before="227"/>
      <w:ind w:left="0" w:firstLine="0"/>
    </w:pPr>
    <w:rPr>
      <w:rFonts w:ascii="VIC Medium" w:hAnsi="VIC Medium" w:cs="VIC Medium"/>
      <w:color w:val="00563F"/>
      <w:sz w:val="20"/>
      <w:szCs w:val="20"/>
    </w:rPr>
  </w:style>
  <w:style w:type="paragraph" w:customStyle="1" w:styleId="BulletcheckboxLists">
    <w:name w:val="Bullet check box (Lists)"/>
    <w:basedOn w:val="BulletsLists"/>
    <w:uiPriority w:val="99"/>
    <w:rsid w:val="00B334F7"/>
    <w:pPr>
      <w:spacing w:before="28"/>
    </w:pPr>
  </w:style>
  <w:style w:type="paragraph" w:customStyle="1" w:styleId="Highlighttext">
    <w:name w:val="Highlight text"/>
    <w:basedOn w:val="NoParagraphStyle"/>
    <w:uiPriority w:val="99"/>
    <w:rsid w:val="00B334F7"/>
    <w:pPr>
      <w:suppressAutoHyphens/>
      <w:spacing w:before="340" w:after="340" w:line="300" w:lineRule="atLeast"/>
    </w:pPr>
    <w:rPr>
      <w:rFonts w:ascii="VIC Medium" w:hAnsi="VIC Medium" w:cs="VIC Medium"/>
      <w:color w:val="100149"/>
      <w:sz w:val="22"/>
      <w:szCs w:val="22"/>
    </w:rPr>
  </w:style>
  <w:style w:type="paragraph" w:customStyle="1" w:styleId="TableHeaderTable">
    <w:name w:val="Table Header (Table)"/>
    <w:basedOn w:val="Body"/>
    <w:uiPriority w:val="99"/>
    <w:rsid w:val="00B334F7"/>
    <w:rPr>
      <w:rFonts w:ascii="VIC SemiBold" w:hAnsi="VIC SemiBold" w:cs="VIC SemiBold"/>
      <w:b/>
      <w:bCs/>
      <w:color w:val="FFFFFF"/>
    </w:rPr>
  </w:style>
  <w:style w:type="paragraph" w:customStyle="1" w:styleId="BulletsTableTable">
    <w:name w:val="Bullets Table (Table)"/>
    <w:basedOn w:val="BulletsLists"/>
    <w:uiPriority w:val="99"/>
    <w:rsid w:val="00B334F7"/>
    <w:pPr>
      <w:ind w:left="170" w:hanging="170"/>
    </w:pPr>
  </w:style>
  <w:style w:type="paragraph" w:customStyle="1" w:styleId="Bulletslevel2TableTable">
    <w:name w:val="Bullets level 2 Table (Table)"/>
    <w:basedOn w:val="Bulletlevel2Lists"/>
    <w:uiPriority w:val="99"/>
    <w:rsid w:val="00B334F7"/>
    <w:pPr>
      <w:ind w:left="340" w:hanging="170"/>
    </w:pPr>
  </w:style>
  <w:style w:type="character" w:customStyle="1" w:styleId="ChapterNumberMaster">
    <w:name w:val="Chapter Number (Master)"/>
    <w:uiPriority w:val="99"/>
    <w:rsid w:val="00B334F7"/>
    <w:rPr>
      <w:sz w:val="70"/>
      <w:szCs w:val="70"/>
    </w:rPr>
  </w:style>
  <w:style w:type="character" w:customStyle="1" w:styleId="ItalicItalics">
    <w:name w:val="Italic (Italics)"/>
    <w:uiPriority w:val="99"/>
    <w:rsid w:val="00B334F7"/>
    <w:rPr>
      <w:i/>
      <w:iCs/>
    </w:rPr>
  </w:style>
  <w:style w:type="character" w:customStyle="1" w:styleId="CR">
    <w:name w:val="CR"/>
    <w:uiPriority w:val="99"/>
    <w:rsid w:val="00B334F7"/>
    <w:rPr>
      <w:color w:val="100149"/>
    </w:rPr>
  </w:style>
  <w:style w:type="character" w:customStyle="1" w:styleId="LightItalicItalics">
    <w:name w:val="Light Italic (Italics)"/>
    <w:uiPriority w:val="99"/>
    <w:rsid w:val="00B334F7"/>
    <w:rPr>
      <w:i/>
      <w:iCs/>
    </w:rPr>
  </w:style>
  <w:style w:type="character" w:customStyle="1" w:styleId="MediumitalicItalics">
    <w:name w:val="Medium italic (Italics)"/>
    <w:uiPriority w:val="99"/>
    <w:rsid w:val="00B334F7"/>
    <w:rPr>
      <w:i/>
      <w:iCs/>
    </w:rPr>
  </w:style>
  <w:style w:type="character" w:customStyle="1" w:styleId="Icon">
    <w:name w:val="Icon"/>
    <w:uiPriority w:val="99"/>
    <w:rsid w:val="00B334F7"/>
  </w:style>
  <w:style w:type="character" w:customStyle="1" w:styleId="TableFigure">
    <w:name w:val="Table/Figure #"/>
    <w:uiPriority w:val="99"/>
    <w:rsid w:val="00B334F7"/>
    <w:rPr>
      <w:b/>
      <w:bCs/>
      <w:color w:val="00563F"/>
    </w:rPr>
  </w:style>
  <w:style w:type="character" w:customStyle="1" w:styleId="MediumBolds">
    <w:name w:val="Medium (Bolds)"/>
    <w:uiPriority w:val="99"/>
    <w:rsid w:val="00B334F7"/>
  </w:style>
  <w:style w:type="character" w:customStyle="1" w:styleId="SemiboldItalicItalics">
    <w:name w:val="Semibold Italic (Italics)"/>
    <w:uiPriority w:val="99"/>
    <w:rsid w:val="00B334F7"/>
    <w:rPr>
      <w:b/>
      <w:bCs/>
      <w:i/>
      <w:iCs/>
    </w:rPr>
  </w:style>
  <w:style w:type="paragraph" w:styleId="ListBullet2">
    <w:name w:val="List Bullet 2"/>
    <w:basedOn w:val="Normal"/>
    <w:uiPriority w:val="99"/>
    <w:unhideWhenUsed/>
    <w:rsid w:val="00876174"/>
    <w:pPr>
      <w:numPr>
        <w:numId w:val="2"/>
      </w:numPr>
      <w:spacing w:before="0" w:after="120"/>
      <w:ind w:left="811" w:hanging="357"/>
      <w:contextualSpacing/>
    </w:pPr>
  </w:style>
  <w:style w:type="paragraph" w:customStyle="1" w:styleId="RowheaderTable">
    <w:name w:val="Row header (Table)"/>
    <w:basedOn w:val="NoParagraphStyle"/>
    <w:uiPriority w:val="99"/>
    <w:rsid w:val="00062940"/>
    <w:pPr>
      <w:suppressAutoHyphens/>
      <w:spacing w:before="113" w:line="260" w:lineRule="atLeast"/>
    </w:pPr>
    <w:rPr>
      <w:rFonts w:ascii="VIC Medium" w:hAnsi="VIC Medium" w:cs="VIC Medium"/>
      <w:sz w:val="19"/>
      <w:szCs w:val="19"/>
    </w:rPr>
  </w:style>
  <w:style w:type="character" w:customStyle="1" w:styleId="SemiboldBolds">
    <w:name w:val="Semibold (Bolds)"/>
    <w:uiPriority w:val="99"/>
    <w:rsid w:val="00062940"/>
    <w:rPr>
      <w:b/>
      <w:bCs/>
    </w:rPr>
  </w:style>
  <w:style w:type="paragraph" w:styleId="TOC3">
    <w:name w:val="toc 3"/>
    <w:basedOn w:val="Normal"/>
    <w:next w:val="Normal"/>
    <w:autoRedefine/>
    <w:uiPriority w:val="39"/>
    <w:unhideWhenUsed/>
    <w:rsid w:val="00FE6C26"/>
    <w:pPr>
      <w:spacing w:before="0" w:after="100"/>
      <w:ind w:left="480"/>
    </w:pPr>
  </w:style>
  <w:style w:type="paragraph" w:styleId="TOC4">
    <w:name w:val="toc 4"/>
    <w:basedOn w:val="Normal"/>
    <w:next w:val="Normal"/>
    <w:autoRedefine/>
    <w:uiPriority w:val="39"/>
    <w:unhideWhenUsed/>
    <w:rsid w:val="00FE6C26"/>
    <w:pPr>
      <w:spacing w:before="0" w:after="100"/>
      <w:ind w:left="720"/>
    </w:pPr>
  </w:style>
  <w:style w:type="paragraph" w:styleId="TOC5">
    <w:name w:val="toc 5"/>
    <w:basedOn w:val="Normal"/>
    <w:next w:val="Normal"/>
    <w:autoRedefine/>
    <w:uiPriority w:val="39"/>
    <w:unhideWhenUsed/>
    <w:rsid w:val="00FE6C26"/>
    <w:pPr>
      <w:spacing w:before="0" w:after="100"/>
      <w:ind w:left="960"/>
    </w:pPr>
  </w:style>
  <w:style w:type="paragraph" w:styleId="TOC6">
    <w:name w:val="toc 6"/>
    <w:basedOn w:val="Normal"/>
    <w:next w:val="Normal"/>
    <w:autoRedefine/>
    <w:uiPriority w:val="39"/>
    <w:unhideWhenUsed/>
    <w:rsid w:val="00FE6C26"/>
    <w:pPr>
      <w:spacing w:before="0" w:after="100"/>
      <w:ind w:left="1200"/>
    </w:pPr>
  </w:style>
  <w:style w:type="paragraph" w:styleId="TOC7">
    <w:name w:val="toc 7"/>
    <w:basedOn w:val="Normal"/>
    <w:next w:val="Normal"/>
    <w:autoRedefine/>
    <w:uiPriority w:val="39"/>
    <w:unhideWhenUsed/>
    <w:rsid w:val="00FE6C26"/>
    <w:pPr>
      <w:spacing w:before="0" w:after="100"/>
      <w:ind w:left="1440"/>
    </w:pPr>
  </w:style>
  <w:style w:type="paragraph" w:styleId="TOC8">
    <w:name w:val="toc 8"/>
    <w:basedOn w:val="Normal"/>
    <w:next w:val="Normal"/>
    <w:autoRedefine/>
    <w:uiPriority w:val="39"/>
    <w:unhideWhenUsed/>
    <w:rsid w:val="00FE6C26"/>
    <w:pPr>
      <w:spacing w:before="0" w:after="100"/>
      <w:ind w:left="1680"/>
    </w:pPr>
  </w:style>
  <w:style w:type="paragraph" w:styleId="TOC9">
    <w:name w:val="toc 9"/>
    <w:basedOn w:val="Normal"/>
    <w:next w:val="Normal"/>
    <w:autoRedefine/>
    <w:uiPriority w:val="39"/>
    <w:unhideWhenUsed/>
    <w:rsid w:val="00FE6C26"/>
    <w:pPr>
      <w:spacing w:before="0" w:after="100"/>
      <w:ind w:left="1920"/>
    </w:pPr>
  </w:style>
  <w:style w:type="character" w:customStyle="1" w:styleId="Superscript">
    <w:name w:val="Superscript"/>
    <w:uiPriority w:val="99"/>
    <w:rsid w:val="00253B0A"/>
    <w:rPr>
      <w:vertAlign w:val="superscript"/>
    </w:rPr>
  </w:style>
  <w:style w:type="table" w:styleId="GridTable1Light">
    <w:name w:val="Grid Table 1 Light"/>
    <w:basedOn w:val="TableNormal"/>
    <w:uiPriority w:val="46"/>
    <w:rsid w:val="001354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F4A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AE744D"/>
    <w:rPr>
      <w:w w:val="100"/>
      <w:sz w:val="16"/>
      <w:szCs w:val="16"/>
    </w:rPr>
  </w:style>
  <w:style w:type="character" w:styleId="Emphasis">
    <w:name w:val="Emphasis"/>
    <w:basedOn w:val="DefaultParagraphFont"/>
    <w:uiPriority w:val="99"/>
    <w:qFormat/>
    <w:rsid w:val="00AE744D"/>
    <w:rPr>
      <w:i/>
      <w:iCs/>
      <w:w w:val="100"/>
    </w:rPr>
  </w:style>
  <w:style w:type="paragraph" w:customStyle="1" w:styleId="ImprintbodycopyInsidecover">
    <w:name w:val="Imprint body copy (Inside cover)"/>
    <w:basedOn w:val="Normal"/>
    <w:uiPriority w:val="99"/>
    <w:rsid w:val="00A15E36"/>
    <w:pPr>
      <w:suppressAutoHyphens/>
      <w:autoSpaceDE w:val="0"/>
      <w:autoSpaceDN w:val="0"/>
      <w:adjustRightInd w:val="0"/>
      <w:spacing w:before="0" w:after="57" w:line="200" w:lineRule="atLeast"/>
      <w:textAlignment w:val="center"/>
    </w:pPr>
    <w:rPr>
      <w:rFonts w:ascii="VIC" w:hAnsi="VIC" w:cs="VIC"/>
      <w:color w:val="000000"/>
      <w:kern w:val="0"/>
      <w:sz w:val="16"/>
      <w:szCs w:val="16"/>
      <w:lang w:val="en-US"/>
    </w:rPr>
  </w:style>
  <w:style w:type="paragraph" w:customStyle="1" w:styleId="ImprintheadingInsidecover">
    <w:name w:val="Imprint heading (Inside cover)"/>
    <w:basedOn w:val="ImprintbodycopyInsidecover"/>
    <w:uiPriority w:val="99"/>
    <w:rsid w:val="00A15E36"/>
    <w:pPr>
      <w:spacing w:before="170" w:after="0" w:line="220" w:lineRule="atLeast"/>
    </w:pPr>
    <w:rPr>
      <w:rFonts w:ascii="VIC SemiBold" w:hAnsi="VIC SemiBold" w:cs="VIC SemiBold"/>
      <w:b/>
      <w:bCs/>
      <w:sz w:val="18"/>
      <w:szCs w:val="18"/>
    </w:rPr>
  </w:style>
  <w:style w:type="paragraph" w:customStyle="1" w:styleId="AccessibilityheadingInsidecover">
    <w:name w:val="Accessibility heading (Inside cover)"/>
    <w:basedOn w:val="NoParagraphStyle"/>
    <w:uiPriority w:val="99"/>
    <w:rsid w:val="00A15E36"/>
    <w:pPr>
      <w:suppressAutoHyphens/>
      <w:spacing w:before="142" w:line="280" w:lineRule="atLeast"/>
    </w:pPr>
    <w:rPr>
      <w:rFonts w:ascii="VIC SemiBold" w:hAnsi="VIC SemiBold" w:cs="VIC SemiBold"/>
      <w:b/>
      <w:bCs/>
    </w:rPr>
  </w:style>
  <w:style w:type="paragraph" w:customStyle="1" w:styleId="AccessibilitybodycopyInsidecover">
    <w:name w:val="Accessibility body copy (Inside cover)"/>
    <w:basedOn w:val="ImprintbodycopyInsidecover"/>
    <w:uiPriority w:val="99"/>
    <w:rsid w:val="00A15E36"/>
    <w:pPr>
      <w:spacing w:line="280" w:lineRule="atLeast"/>
    </w:pPr>
    <w:rPr>
      <w:rFonts w:ascii="VIC Light" w:hAnsi="VIC Light" w:cs="VIC Light"/>
      <w:sz w:val="20"/>
      <w:szCs w:val="20"/>
    </w:rPr>
  </w:style>
  <w:style w:type="character" w:customStyle="1" w:styleId="Semibold">
    <w:name w:val="Semibold"/>
    <w:uiPriority w:val="99"/>
    <w:rsid w:val="00A15E36"/>
    <w:rPr>
      <w:b/>
      <w:bCs/>
    </w:rPr>
  </w:style>
  <w:style w:type="character" w:customStyle="1" w:styleId="Update">
    <w:name w:val="Update"/>
    <w:uiPriority w:val="99"/>
    <w:rsid w:val="00A15E36"/>
    <w:rPr>
      <w:color w:val="EC008B"/>
    </w:rPr>
  </w:style>
  <w:style w:type="paragraph" w:styleId="FootnoteText">
    <w:name w:val="footnote text"/>
    <w:basedOn w:val="Normal"/>
    <w:link w:val="FootnoteTextChar"/>
    <w:uiPriority w:val="99"/>
    <w:semiHidden/>
    <w:unhideWhenUsed/>
    <w:rsid w:val="002B6FA6"/>
    <w:pPr>
      <w:spacing w:before="0" w:after="0"/>
    </w:pPr>
    <w:rPr>
      <w:sz w:val="20"/>
      <w:szCs w:val="20"/>
    </w:rPr>
  </w:style>
  <w:style w:type="character" w:customStyle="1" w:styleId="FootnoteTextChar">
    <w:name w:val="Footnote Text Char"/>
    <w:basedOn w:val="DefaultParagraphFont"/>
    <w:link w:val="FootnoteText"/>
    <w:uiPriority w:val="99"/>
    <w:semiHidden/>
    <w:rsid w:val="002B6FA6"/>
    <w:rPr>
      <w:sz w:val="20"/>
      <w:szCs w:val="20"/>
    </w:rPr>
  </w:style>
  <w:style w:type="paragraph" w:styleId="EndnoteText">
    <w:name w:val="endnote text"/>
    <w:basedOn w:val="Normal"/>
    <w:link w:val="EndnoteTextChar"/>
    <w:uiPriority w:val="99"/>
    <w:semiHidden/>
    <w:unhideWhenUsed/>
    <w:rsid w:val="002B6FA6"/>
    <w:pPr>
      <w:spacing w:before="0" w:after="0"/>
    </w:pPr>
    <w:rPr>
      <w:sz w:val="20"/>
      <w:szCs w:val="20"/>
    </w:rPr>
  </w:style>
  <w:style w:type="character" w:customStyle="1" w:styleId="EndnoteTextChar">
    <w:name w:val="Endnote Text Char"/>
    <w:basedOn w:val="DefaultParagraphFont"/>
    <w:link w:val="EndnoteText"/>
    <w:uiPriority w:val="99"/>
    <w:semiHidden/>
    <w:rsid w:val="002B6FA6"/>
    <w:rPr>
      <w:sz w:val="20"/>
      <w:szCs w:val="20"/>
    </w:rPr>
  </w:style>
  <w:style w:type="character" w:styleId="FootnoteReference">
    <w:name w:val="footnote reference"/>
    <w:basedOn w:val="DefaultParagraphFont"/>
    <w:uiPriority w:val="99"/>
    <w:semiHidden/>
    <w:unhideWhenUsed/>
    <w:rsid w:val="002B6FA6"/>
    <w:rPr>
      <w:vertAlign w:val="superscript"/>
    </w:rPr>
  </w:style>
  <w:style w:type="character" w:styleId="EndnoteReference">
    <w:name w:val="endnote reference"/>
    <w:basedOn w:val="DefaultParagraphFont"/>
    <w:uiPriority w:val="99"/>
    <w:semiHidden/>
    <w:unhideWhenUsed/>
    <w:rsid w:val="002B6FA6"/>
    <w:rPr>
      <w:vertAlign w:val="superscript"/>
    </w:rPr>
  </w:style>
  <w:style w:type="paragraph" w:customStyle="1" w:styleId="Figuretitle0">
    <w:name w:val="Figure title"/>
    <w:basedOn w:val="NoParagraphStyle"/>
    <w:uiPriority w:val="99"/>
    <w:rsid w:val="00120EB6"/>
    <w:pPr>
      <w:suppressAutoHyphens/>
      <w:spacing w:before="170" w:after="113" w:line="220" w:lineRule="atLeast"/>
      <w:ind w:left="1134" w:hanging="1134"/>
    </w:pPr>
    <w:rPr>
      <w:rFonts w:ascii="VIC" w:hAnsi="VIC" w:cs="VIC"/>
      <w:sz w:val="18"/>
      <w:szCs w:val="18"/>
    </w:rPr>
  </w:style>
  <w:style w:type="paragraph" w:customStyle="1" w:styleId="TabletitleTable0">
    <w:name w:val="Table title (Table)"/>
    <w:basedOn w:val="Figuretitle0"/>
    <w:uiPriority w:val="99"/>
    <w:rsid w:val="00120EB6"/>
    <w:pPr>
      <w:spacing w:before="283" w:after="0"/>
    </w:pPr>
  </w:style>
  <w:style w:type="paragraph" w:customStyle="1" w:styleId="Bullet1">
    <w:name w:val="Bullet 1"/>
    <w:basedOn w:val="Body"/>
    <w:uiPriority w:val="99"/>
    <w:rsid w:val="00120EB6"/>
    <w:pPr>
      <w:spacing w:line="288" w:lineRule="auto"/>
      <w:ind w:left="227" w:hanging="227"/>
    </w:pPr>
    <w:rPr>
      <w:sz w:val="20"/>
      <w:szCs w:val="20"/>
    </w:rPr>
  </w:style>
  <w:style w:type="paragraph" w:customStyle="1" w:styleId="Intro">
    <w:name w:val="Intro"/>
    <w:basedOn w:val="Body"/>
    <w:uiPriority w:val="99"/>
    <w:rsid w:val="00120EB6"/>
    <w:pPr>
      <w:spacing w:before="227" w:after="454" w:line="288" w:lineRule="auto"/>
    </w:pPr>
    <w:rPr>
      <w:color w:val="201547"/>
      <w:sz w:val="28"/>
      <w:szCs w:val="28"/>
    </w:rPr>
  </w:style>
  <w:style w:type="paragraph" w:customStyle="1" w:styleId="Heading3Numbered">
    <w:name w:val="Heading 3 Numbered"/>
    <w:basedOn w:val="Heading3"/>
    <w:uiPriority w:val="99"/>
    <w:rsid w:val="00120EB6"/>
    <w:pPr>
      <w:keepNext w:val="0"/>
      <w:keepLines w:val="0"/>
      <w:tabs>
        <w:tab w:val="left" w:pos="454"/>
      </w:tabs>
      <w:suppressAutoHyphens/>
      <w:autoSpaceDE w:val="0"/>
      <w:autoSpaceDN w:val="0"/>
      <w:adjustRightInd w:val="0"/>
      <w:spacing w:before="227" w:after="0" w:line="288" w:lineRule="auto"/>
      <w:ind w:left="454" w:hanging="454"/>
      <w:textAlignment w:val="center"/>
      <w:outlineLvl w:val="9"/>
    </w:pPr>
    <w:rPr>
      <w:rFonts w:ascii="VIC SemiBold" w:eastAsiaTheme="minorEastAsia" w:hAnsi="VIC SemiBold" w:cs="VIC SemiBold"/>
      <w:b/>
      <w:bCs/>
      <w:caps/>
      <w:color w:val="201547"/>
      <w:spacing w:val="2"/>
      <w:kern w:val="0"/>
      <w:sz w:val="24"/>
      <w:lang w:val="en-US"/>
    </w:rPr>
  </w:style>
  <w:style w:type="paragraph" w:customStyle="1" w:styleId="TablebodyTable">
    <w:name w:val="Table body (Table)"/>
    <w:basedOn w:val="Body"/>
    <w:uiPriority w:val="99"/>
    <w:rsid w:val="00120EB6"/>
    <w:pPr>
      <w:spacing w:before="227" w:after="113" w:line="288" w:lineRule="auto"/>
    </w:pPr>
    <w:rPr>
      <w:sz w:val="18"/>
      <w:szCs w:val="18"/>
    </w:rPr>
  </w:style>
  <w:style w:type="paragraph" w:customStyle="1" w:styleId="TableheaderTable0">
    <w:name w:val="Table header (Table)"/>
    <w:basedOn w:val="TablebodyTable"/>
    <w:uiPriority w:val="99"/>
    <w:rsid w:val="00120EB6"/>
    <w:rPr>
      <w:rFonts w:ascii="VIC" w:hAnsi="VIC" w:cs="VIC"/>
      <w:b/>
      <w:bCs/>
      <w:color w:val="004EA8"/>
    </w:rPr>
  </w:style>
  <w:style w:type="paragraph" w:customStyle="1" w:styleId="TableBulletsTable">
    <w:name w:val="Table Bullets (Table)"/>
    <w:basedOn w:val="TablebodyTable"/>
    <w:uiPriority w:val="99"/>
    <w:rsid w:val="00120EB6"/>
    <w:pPr>
      <w:spacing w:before="0" w:after="0"/>
      <w:ind w:left="227" w:hanging="227"/>
    </w:pPr>
  </w:style>
  <w:style w:type="paragraph" w:customStyle="1" w:styleId="ShadedpulloutbodyPullout">
    <w:name w:val="Shaded pullout body (Pullout)"/>
    <w:basedOn w:val="Body"/>
    <w:uiPriority w:val="99"/>
    <w:rsid w:val="00120EB6"/>
    <w:pPr>
      <w:spacing w:before="227" w:after="113" w:line="288" w:lineRule="auto"/>
    </w:pPr>
    <w:rPr>
      <w:rFonts w:ascii="VIC" w:hAnsi="VIC" w:cs="VIC"/>
      <w:color w:val="201547"/>
      <w:sz w:val="20"/>
      <w:szCs w:val="20"/>
    </w:rPr>
  </w:style>
  <w:style w:type="character" w:customStyle="1" w:styleId="Bold">
    <w:name w:val="Bold"/>
    <w:uiPriority w:val="99"/>
    <w:rsid w:val="00120EB6"/>
    <w:rPr>
      <w:b/>
      <w:bCs/>
    </w:rPr>
  </w:style>
  <w:style w:type="character" w:customStyle="1" w:styleId="Semiboldbody">
    <w:name w:val="Semibold (body)"/>
    <w:basedOn w:val="Bold"/>
    <w:uiPriority w:val="99"/>
    <w:rsid w:val="00120EB6"/>
    <w:rPr>
      <w:b/>
      <w:bCs/>
    </w:rPr>
  </w:style>
  <w:style w:type="character" w:customStyle="1" w:styleId="Bullet">
    <w:name w:val="Bullet"/>
    <w:uiPriority w:val="99"/>
    <w:rsid w:val="00120EB6"/>
    <w:rPr>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AD665178DEB13E41A7CB5848DA6EF8AD" ma:contentTypeVersion="340" ma:contentTypeDescription="All project related information. The library can be used to manage multiple projects." ma:contentTypeScope="" ma:versionID="022fd27e4055f910a66e8bd77b1a0853">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4240247-5730-42a0-921e-d8bb1e4ca695" xmlns:ns6="87cff1ca-ac70-466e-bde4-5d92114c20f9" targetNamespace="http://schemas.microsoft.com/office/2006/metadata/properties" ma:root="true" ma:fieldsID="b7e84c58d378153c532ae4820811168f" ns1:_="" ns2:_="" ns3:_="" ns4:_="" ns5:_="" ns6:_="">
    <xsd:import namespace="http://schemas.microsoft.com/sharepoint/v3"/>
    <xsd:import namespace="9fd47c19-1c4a-4d7d-b342-c10cef269344"/>
    <xsd:import namespace="a5f32de4-e402-4188-b034-e71ca7d22e54"/>
    <xsd:import namespace="05aa45cf-ed89-4733-97a8-db4ce5c51511"/>
    <xsd:import namespace="d4240247-5730-42a0-921e-d8bb1e4ca695"/>
    <xsd:import namespace="87cff1ca-ac70-466e-bde4-5d92114c20f9"/>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2:ProjName" minOccurs="0"/>
                <xsd:element ref="ns5:MediaServiceDateTaken" minOccurs="0"/>
                <xsd:element ref="ns5:MediaLengthInSeconds" minOccurs="0"/>
                <xsd:element ref="ns5:MediaServiceObjectDetectorVersions" minOccurs="0"/>
                <xsd:element ref="ns5:lcf76f155ced4ddcb4097134ff3c332f"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40247-5730-42a0-921e-d8bb1e4ca69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2" nillable="true" ma:displayName="Location" ma:indexed="true" ma:internalName="MediaServiceLocation"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ff1ca-ac70-466e-bde4-5d92114c20f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53</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lcf76f155ced4ddcb4097134ff3c332f xmlns="d4240247-5730-42a0-921e-d8bb1e4ca695">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DOCID773-1961180394-3799</_dlc_DocId>
    <_dlc_DocIdUrl xmlns="a5f32de4-e402-4188-b034-e71ca7d22e54">
      <Url>https://delwpvicgovau.sharepoint.com/sites/ecm_773/_layouts/15/DocIdRedir.aspx?ID=DOCID773-1961180394-3799</Url>
      <Description>DOCID773-1961180394-3799</Description>
    </_dlc_DocIdUrl>
    <DLCPolicyLabelValue xmlns="05aa45cf-ed89-4733-97a8-db4ce5c51511">Version 0.3</DLCPolicyLabelValue>
  </documentManagement>
</p:properties>
</file>

<file path=customXml/itemProps1.xml><?xml version="1.0" encoding="utf-8"?>
<ds:datastoreItem xmlns:ds="http://schemas.openxmlformats.org/officeDocument/2006/customXml" ds:itemID="{932F9FFF-0A23-4996-AE81-580A6EEB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4240247-5730-42a0-921e-d8bb1e4ca695"/>
    <ds:schemaRef ds:uri="87cff1ca-ac70-466e-bde4-5d92114c2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9837B-AD4D-4145-9018-63CED24432B8}">
  <ds:schemaRefs>
    <ds:schemaRef ds:uri="http://schemas.microsoft.com/sharepoint/v3/contenttype/forms"/>
  </ds:schemaRefs>
</ds:datastoreItem>
</file>

<file path=customXml/itemProps3.xml><?xml version="1.0" encoding="utf-8"?>
<ds:datastoreItem xmlns:ds="http://schemas.openxmlformats.org/officeDocument/2006/customXml" ds:itemID="{150853C7-8F81-4FFE-88ED-233E8A0E2ED0}">
  <ds:schemaRefs>
    <ds:schemaRef ds:uri="http://schemas.microsoft.com/sharepoint/events"/>
  </ds:schemaRefs>
</ds:datastoreItem>
</file>

<file path=customXml/itemProps4.xml><?xml version="1.0" encoding="utf-8"?>
<ds:datastoreItem xmlns:ds="http://schemas.openxmlformats.org/officeDocument/2006/customXml" ds:itemID="{B4C409D2-0302-4FF5-97CC-76E314AA5439}">
  <ds:schemaRefs>
    <ds:schemaRef ds:uri="Microsoft.SharePoint.Taxonomy.ContentTypeSync"/>
  </ds:schemaRefs>
</ds:datastoreItem>
</file>

<file path=customXml/itemProps5.xml><?xml version="1.0" encoding="utf-8"?>
<ds:datastoreItem xmlns:ds="http://schemas.openxmlformats.org/officeDocument/2006/customXml" ds:itemID="{383D7748-0B14-E245-BD53-BE34992EF6DE}">
  <ds:schemaRefs>
    <ds:schemaRef ds:uri="http://schemas.openxmlformats.org/officeDocument/2006/bibliography"/>
  </ds:schemaRefs>
</ds:datastoreItem>
</file>

<file path=customXml/itemProps6.xml><?xml version="1.0" encoding="utf-8"?>
<ds:datastoreItem xmlns:ds="http://schemas.openxmlformats.org/officeDocument/2006/customXml" ds:itemID="{C34E4B23-3F6B-43C2-AE35-7AEB565B1B0B}">
  <ds:schemaRefs>
    <ds:schemaRef ds:uri="office.server.policy"/>
  </ds:schemaRefs>
</ds:datastoreItem>
</file>

<file path=customXml/itemProps7.xml><?xml version="1.0" encoding="utf-8"?>
<ds:datastoreItem xmlns:ds="http://schemas.openxmlformats.org/officeDocument/2006/customXml" ds:itemID="{DAADDA42-0068-4FC0-B794-0E0ABB0C1624}">
  <ds:schemaRefs>
    <ds:schemaRef ds:uri="http://schemas.microsoft.com/office/2006/metadata/properties"/>
    <ds:schemaRef ds:uri="http://schemas.microsoft.com/office/infopath/2007/PartnerControls"/>
    <ds:schemaRef ds:uri="9fd47c19-1c4a-4d7d-b342-c10cef269344"/>
    <ds:schemaRef ds:uri="d4240247-5730-42a0-921e-d8bb1e4ca695"/>
    <ds:schemaRef ds:uri="05aa45cf-ed89-4733-97a8-db4ce5c51511"/>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6987</Words>
  <Characters>39830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dc:creator>
  <cp:keywords/>
  <dc:description/>
  <cp:lastModifiedBy>Andrew T Greenwood (DEECA)</cp:lastModifiedBy>
  <cp:revision>9</cp:revision>
  <dcterms:created xsi:type="dcterms:W3CDTF">2024-05-15T06:21:00Z</dcterms:created>
  <dcterms:modified xsi:type="dcterms:W3CDTF">2024-05-22T01:20:00Z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0x0101009298E819CE1EBB4F8D2096B3E0F0C2911D00AD665178DEB13E41A7CB5848DA6EF8AD</vt:lpwstr>
  </property>
  <property fmtid="{D5CDD505-2E9C-101B-9397-08002B2CF9AE}" pid="3" name="_dlc_DocIdItemGuid">
    <vt:lpwstr>a5d5425b-b634-4449-a4b8-8f723b126587</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g91c59fb10974fa1a03160ad8386f0f4">
    <vt:lpwstr/>
  </property>
  <property fmtid="{D5CDD505-2E9C-101B-9397-08002B2CF9AE}" pid="7" name="MediaServiceImageTags">
    <vt:lpwstr/>
  </property>
  <property fmtid="{D5CDD505-2E9C-101B-9397-08002B2CF9AE}" pid="8" name="Records Class Project">
    <vt:lpwstr>53;#Policies and Procedures|106771be-6573-4a30-b5c8-d3b1f646d5eb</vt:lpwstr>
  </property>
  <property fmtid="{D5CDD505-2E9C-101B-9397-08002B2CF9AE}" pid="9" name="Department Document Type">
    <vt:lpwstr/>
  </property>
  <property fmtid="{D5CDD505-2E9C-101B-9397-08002B2CF9AE}" pid="10" name="Record_x0020_Purpose">
    <vt:lpwstr/>
  </property>
  <property fmtid="{D5CDD505-2E9C-101B-9397-08002B2CF9AE}" pid="11" name="Record Purpose">
    <vt:lpwstr/>
  </property>
  <property fmtid="{D5CDD505-2E9C-101B-9397-08002B2CF9AE}" pid="12" name="ClassificationContentMarkingFooterShapeIds">
    <vt:lpwstr>54d130ed,6c3ffe60,440b216a</vt:lpwstr>
  </property>
  <property fmtid="{D5CDD505-2E9C-101B-9397-08002B2CF9AE}" pid="13" name="ClassificationContentMarkingFooterFontProps">
    <vt:lpwstr>#000000,12,Calibri</vt:lpwstr>
  </property>
  <property fmtid="{D5CDD505-2E9C-101B-9397-08002B2CF9AE}" pid="14" name="ClassificationContentMarkingFooterText">
    <vt:lpwstr>OFFICIAL</vt:lpwstr>
  </property>
  <property fmtid="{D5CDD505-2E9C-101B-9397-08002B2CF9AE}" pid="15" name="MSIP_Label_4257e2ab-f512-40e2-9c9a-c64247360765_Enabled">
    <vt:lpwstr>true</vt:lpwstr>
  </property>
  <property fmtid="{D5CDD505-2E9C-101B-9397-08002B2CF9AE}" pid="16" name="MSIP_Label_4257e2ab-f512-40e2-9c9a-c64247360765_SetDate">
    <vt:lpwstr>2024-05-22T01:14:25Z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dbc1abc0-636d-4f38-ada5-55dd293817bb</vt:lpwstr>
  </property>
  <property fmtid="{D5CDD505-2E9C-101B-9397-08002B2CF9AE}" pid="21" name="MSIP_Label_4257e2ab-f512-40e2-9c9a-c64247360765_ContentBits">
    <vt:lpwstr>2</vt:lpwstr>
  </property>
</Properties>
</file>