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432704">
            <wp:simplePos x="0" y="0"/>
            <wp:positionH relativeFrom="page">
              <wp:posOffset>0</wp:posOffset>
            </wp:positionH>
            <wp:positionV relativeFrom="page">
              <wp:posOffset>0</wp:posOffset>
            </wp:positionV>
            <wp:extent cx="7559293" cy="10693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559293" cy="10693400"/>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4"/>
        </w:rPr>
      </w:pPr>
    </w:p>
    <w:p>
      <w:pPr>
        <w:pStyle w:val="Heading1"/>
        <w:spacing w:line="184" w:lineRule="auto"/>
        <w:rPr>
          <w:b/>
        </w:rPr>
      </w:pPr>
      <w:bookmarkStart w:name="_TOC_250000" w:id="1"/>
      <w:bookmarkEnd w:id="1"/>
      <w:r>
        <w:rPr>
          <w:b/>
          <w:color w:val="09BABF"/>
        </w:rPr>
        <w:t>TIP TRUCK CODE OF PRACTICE</w:t>
      </w:r>
    </w:p>
    <w:p>
      <w:pPr>
        <w:spacing w:after="0" w:line="184" w:lineRule="auto"/>
        <w:sectPr>
          <w:type w:val="continuous"/>
          <w:pgSz w:w="11910" w:h="16840"/>
          <w:pgMar w:top="1600" w:bottom="280" w:left="1300" w:right="620"/>
        </w:sectPr>
      </w:pPr>
    </w:p>
    <w:p>
      <w:pPr>
        <w:pStyle w:val="BodyText"/>
        <w:rPr>
          <w:rFonts w:ascii="VIC SemiBold"/>
          <w:b/>
          <w:sz w:val="20"/>
        </w:rPr>
      </w:pPr>
      <w:r>
        <w:rPr/>
        <w:drawing>
          <wp:anchor distT="0" distB="0" distL="0" distR="0" allowOverlap="1" layoutInCell="1" locked="0" behindDoc="1" simplePos="0" relativeHeight="487433216">
            <wp:simplePos x="0" y="0"/>
            <wp:positionH relativeFrom="page">
              <wp:posOffset>0</wp:posOffset>
            </wp:positionH>
            <wp:positionV relativeFrom="page">
              <wp:posOffset>0</wp:posOffset>
            </wp:positionV>
            <wp:extent cx="850900" cy="17907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850900" cy="1790700"/>
                    </a:xfrm>
                    <a:prstGeom prst="rect">
                      <a:avLst/>
                    </a:prstGeom>
                  </pic:spPr>
                </pic:pic>
              </a:graphicData>
            </a:graphic>
          </wp:anchor>
        </w:drawing>
      </w:r>
    </w:p>
    <w:p>
      <w:pPr>
        <w:pStyle w:val="BodyText"/>
        <w:rPr>
          <w:rFonts w:ascii="VIC SemiBold"/>
          <w:b/>
          <w:sz w:val="20"/>
        </w:rPr>
      </w:pPr>
    </w:p>
    <w:p>
      <w:pPr>
        <w:pStyle w:val="BodyText"/>
        <w:rPr>
          <w:rFonts w:ascii="VIC SemiBold"/>
          <w:b/>
          <w:sz w:val="20"/>
        </w:rPr>
      </w:pPr>
    </w:p>
    <w:p>
      <w:pPr>
        <w:pStyle w:val="BodyText"/>
        <w:rPr>
          <w:rFonts w:ascii="VIC SemiBold"/>
          <w:b/>
          <w:sz w:val="20"/>
        </w:rPr>
      </w:pPr>
    </w:p>
    <w:p>
      <w:pPr>
        <w:pStyle w:val="BodyText"/>
        <w:rPr>
          <w:rFonts w:ascii="VIC SemiBold"/>
          <w:b/>
          <w:sz w:val="20"/>
        </w:rPr>
      </w:pPr>
    </w:p>
    <w:p>
      <w:pPr>
        <w:pStyle w:val="BodyText"/>
        <w:spacing w:before="1"/>
        <w:rPr>
          <w:rFonts w:ascii="VIC SemiBold"/>
          <w:b/>
          <w:sz w:val="27"/>
        </w:rPr>
      </w:pPr>
    </w:p>
    <w:p>
      <w:pPr>
        <w:pStyle w:val="Heading2"/>
        <w:spacing w:before="81"/>
      </w:pPr>
      <w:r>
        <w:rPr>
          <w:color w:val="09BABF"/>
        </w:rPr>
        <w:t>FOREWORD</w:t>
      </w:r>
    </w:p>
    <w:p>
      <w:pPr>
        <w:pStyle w:val="BodyText"/>
        <w:spacing w:line="242" w:lineRule="auto" w:before="240"/>
        <w:ind w:left="115" w:right="877"/>
      </w:pPr>
      <w:r>
        <w:rPr/>
        <w:t>The Tip Truck Code of Practice (</w:t>
      </w:r>
      <w:r>
        <w:rPr>
          <w:b/>
        </w:rPr>
        <w:t>the Code</w:t>
      </w:r>
      <w:r>
        <w:rPr/>
        <w:t>) provides best practice guidance about terms and conditions of engagement of tip truck owner drivers working on building and construction sites in Victoria.</w:t>
      </w:r>
    </w:p>
    <w:p>
      <w:pPr>
        <w:pStyle w:val="BodyText"/>
        <w:spacing w:before="115"/>
        <w:ind w:left="115" w:right="1126"/>
      </w:pPr>
      <w:r>
        <w:rPr/>
        <w:t>It was developed by the Victorian Transport Industry Council and endorsed by the Victorian Minister for Industrial Relations. The Council is established under the </w:t>
      </w:r>
      <w:r>
        <w:rPr>
          <w:i/>
        </w:rPr>
        <w:t>Owner </w:t>
      </w:r>
      <w:r>
        <w:rPr>
          <w:i/>
        </w:rPr>
        <w:t>Drivers and Forestry Contractors Act 2005 </w:t>
      </w:r>
      <w:r>
        <w:rPr/>
        <w:t>(</w:t>
      </w:r>
      <w:r>
        <w:rPr>
          <w:b/>
        </w:rPr>
        <w:t>ODFC Act</w:t>
      </w:r>
      <w:r>
        <w:rPr/>
        <w:t>) and includes representatives from the following organisations:</w:t>
      </w:r>
    </w:p>
    <w:p>
      <w:pPr>
        <w:pStyle w:val="ListParagraph"/>
        <w:numPr>
          <w:ilvl w:val="0"/>
          <w:numId w:val="1"/>
        </w:numPr>
        <w:tabs>
          <w:tab w:pos="835" w:val="left" w:leader="none"/>
          <w:tab w:pos="836" w:val="left" w:leader="none"/>
        </w:tabs>
        <w:spacing w:line="240" w:lineRule="auto" w:before="118" w:after="0"/>
        <w:ind w:left="836" w:right="0" w:hanging="361"/>
        <w:jc w:val="left"/>
        <w:rPr>
          <w:sz w:val="21"/>
        </w:rPr>
      </w:pPr>
      <w:r>
        <w:rPr>
          <w:sz w:val="21"/>
        </w:rPr>
        <w:t>Australian Industry</w:t>
      </w:r>
      <w:r>
        <w:rPr>
          <w:spacing w:val="-4"/>
          <w:sz w:val="21"/>
        </w:rPr>
        <w:t> </w:t>
      </w:r>
      <w:r>
        <w:rPr>
          <w:sz w:val="21"/>
        </w:rPr>
        <w:t>Group</w:t>
      </w:r>
    </w:p>
    <w:p>
      <w:pPr>
        <w:pStyle w:val="ListParagraph"/>
        <w:numPr>
          <w:ilvl w:val="0"/>
          <w:numId w:val="1"/>
        </w:numPr>
        <w:tabs>
          <w:tab w:pos="835" w:val="left" w:leader="none"/>
          <w:tab w:pos="836" w:val="left" w:leader="none"/>
        </w:tabs>
        <w:spacing w:line="240" w:lineRule="auto" w:before="142" w:after="0"/>
        <w:ind w:left="836" w:right="0" w:hanging="361"/>
        <w:jc w:val="left"/>
        <w:rPr>
          <w:sz w:val="21"/>
        </w:rPr>
      </w:pPr>
      <w:r>
        <w:rPr>
          <w:sz w:val="21"/>
        </w:rPr>
        <w:t>Victorian Chamber of Commerce and</w:t>
      </w:r>
      <w:r>
        <w:rPr>
          <w:spacing w:val="-6"/>
          <w:sz w:val="21"/>
        </w:rPr>
        <w:t> </w:t>
      </w:r>
      <w:r>
        <w:rPr>
          <w:sz w:val="21"/>
        </w:rPr>
        <w:t>Industry</w:t>
      </w:r>
    </w:p>
    <w:p>
      <w:pPr>
        <w:pStyle w:val="ListParagraph"/>
        <w:numPr>
          <w:ilvl w:val="0"/>
          <w:numId w:val="1"/>
        </w:numPr>
        <w:tabs>
          <w:tab w:pos="835" w:val="left" w:leader="none"/>
          <w:tab w:pos="836" w:val="left" w:leader="none"/>
        </w:tabs>
        <w:spacing w:line="240" w:lineRule="auto" w:before="138" w:after="0"/>
        <w:ind w:left="836" w:right="0" w:hanging="361"/>
        <w:jc w:val="left"/>
        <w:rPr>
          <w:sz w:val="21"/>
        </w:rPr>
      </w:pPr>
      <w:r>
        <w:rPr>
          <w:sz w:val="21"/>
        </w:rPr>
        <w:t>VicRoads</w:t>
      </w:r>
    </w:p>
    <w:p>
      <w:pPr>
        <w:pStyle w:val="ListParagraph"/>
        <w:numPr>
          <w:ilvl w:val="0"/>
          <w:numId w:val="1"/>
        </w:numPr>
        <w:tabs>
          <w:tab w:pos="835" w:val="left" w:leader="none"/>
          <w:tab w:pos="836" w:val="left" w:leader="none"/>
        </w:tabs>
        <w:spacing w:line="240" w:lineRule="auto" w:before="143" w:after="0"/>
        <w:ind w:left="836" w:right="0" w:hanging="361"/>
        <w:jc w:val="left"/>
        <w:rPr>
          <w:sz w:val="21"/>
        </w:rPr>
      </w:pPr>
      <w:r>
        <w:rPr>
          <w:sz w:val="21"/>
        </w:rPr>
        <w:t>Victorian Trades Hall</w:t>
      </w:r>
      <w:r>
        <w:rPr>
          <w:spacing w:val="-11"/>
          <w:sz w:val="21"/>
        </w:rPr>
        <w:t> </w:t>
      </w:r>
      <w:r>
        <w:rPr>
          <w:sz w:val="21"/>
        </w:rPr>
        <w:t>Council</w:t>
      </w:r>
    </w:p>
    <w:p>
      <w:pPr>
        <w:pStyle w:val="ListParagraph"/>
        <w:numPr>
          <w:ilvl w:val="0"/>
          <w:numId w:val="1"/>
        </w:numPr>
        <w:tabs>
          <w:tab w:pos="835" w:val="left" w:leader="none"/>
          <w:tab w:pos="836" w:val="left" w:leader="none"/>
        </w:tabs>
        <w:spacing w:line="240" w:lineRule="auto" w:before="142" w:after="0"/>
        <w:ind w:left="836" w:right="0" w:hanging="361"/>
        <w:jc w:val="left"/>
        <w:rPr>
          <w:sz w:val="21"/>
        </w:rPr>
      </w:pPr>
      <w:r>
        <w:rPr>
          <w:sz w:val="21"/>
        </w:rPr>
        <w:t>Victorian Transport</w:t>
      </w:r>
      <w:r>
        <w:rPr>
          <w:spacing w:val="-11"/>
          <w:sz w:val="21"/>
        </w:rPr>
        <w:t> </w:t>
      </w:r>
      <w:r>
        <w:rPr>
          <w:sz w:val="21"/>
        </w:rPr>
        <w:t>Association</w:t>
      </w:r>
    </w:p>
    <w:p>
      <w:pPr>
        <w:pStyle w:val="BodyText"/>
        <w:spacing w:before="7"/>
        <w:rPr>
          <w:sz w:val="19"/>
        </w:rPr>
      </w:pPr>
    </w:p>
    <w:p>
      <w:pPr>
        <w:pStyle w:val="BodyText"/>
        <w:ind w:left="115" w:right="890"/>
      </w:pPr>
      <w:r>
        <w:rPr/>
        <w:t>The ODFC Act aims to improve the position of owner driver small businesses in the transport industry by providing them with information and support essential to operate a successful business and access to a low-cost dispute resolution service.</w:t>
      </w:r>
    </w:p>
    <w:p>
      <w:pPr>
        <w:pStyle w:val="BodyText"/>
        <w:spacing w:before="119"/>
        <w:ind w:left="115" w:right="835"/>
      </w:pPr>
      <w:r>
        <w:rPr/>
        <w:t>The Code has been developed in response to Recommendation 30 of the Victorian Inquiry into the Labour Hire Industry and Insecure Work, which states that the Transport Industry Council should consider developing a facilitative, industry-based Code of Practice for the tip truck industry.</w:t>
      </w:r>
    </w:p>
    <w:p>
      <w:pPr>
        <w:pStyle w:val="BodyText"/>
        <w:spacing w:line="242" w:lineRule="auto" w:before="119"/>
        <w:ind w:left="115" w:right="1139"/>
      </w:pPr>
      <w:r>
        <w:rPr/>
        <w:t>While the guidance provided in the Code is not mandatory, hirers who pay tip truck owner drivers in accordance with the Code can be confident they will be paying rates that will enable owner drivers to operate their businesses safely and sustainably.</w:t>
      </w:r>
    </w:p>
    <w:p>
      <w:pPr>
        <w:spacing w:after="0" w:line="242" w:lineRule="auto"/>
        <w:sectPr>
          <w:footerReference w:type="default" r:id="rId6"/>
          <w:footerReference w:type="even" r:id="rId7"/>
          <w:pgSz w:w="11910" w:h="16840"/>
          <w:pgMar w:footer="452" w:header="0" w:top="0" w:bottom="640" w:left="1300" w:right="620"/>
          <w:pgNumType w:start="1"/>
        </w:sectPr>
      </w:pPr>
    </w:p>
    <w:p>
      <w:pPr>
        <w:pStyle w:val="BodyText"/>
        <w:spacing w:before="8"/>
        <w:rPr>
          <w:sz w:val="8"/>
        </w:rPr>
      </w:pPr>
      <w:r>
        <w:rPr/>
        <w:drawing>
          <wp:anchor distT="0" distB="0" distL="0" distR="0" allowOverlap="1" layoutInCell="1" locked="0" behindDoc="1" simplePos="0" relativeHeight="487433728">
            <wp:simplePos x="0" y="0"/>
            <wp:positionH relativeFrom="page">
              <wp:posOffset>5980428</wp:posOffset>
            </wp:positionH>
            <wp:positionV relativeFrom="page">
              <wp:posOffset>7325361</wp:posOffset>
            </wp:positionV>
            <wp:extent cx="1578864" cy="333676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578864" cy="3336760"/>
                    </a:xfrm>
                    <a:prstGeom prst="rect">
                      <a:avLst/>
                    </a:prstGeom>
                  </pic:spPr>
                </pic:pic>
              </a:graphicData>
            </a:graphic>
          </wp:anchor>
        </w:drawing>
      </w:r>
    </w:p>
    <w:p>
      <w:pPr>
        <w:pStyle w:val="Heading2"/>
        <w:spacing w:before="81"/>
      </w:pPr>
      <w:r>
        <w:rPr>
          <w:color w:val="09BABF"/>
        </w:rPr>
        <w:t>OBJECTIVE</w:t>
      </w:r>
    </w:p>
    <w:p>
      <w:pPr>
        <w:pStyle w:val="BodyText"/>
        <w:spacing w:line="242" w:lineRule="auto" w:before="239"/>
        <w:ind w:left="115" w:right="1113"/>
      </w:pPr>
      <w:r>
        <w:rPr/>
        <w:t>The objective of the Code is to ensure tip truck owner drivers working on building and construction sites are paid rates that enable them to operate their businesses safely and sustainably.</w:t>
      </w:r>
    </w:p>
    <w:p>
      <w:pPr>
        <w:pStyle w:val="BodyText"/>
        <w:spacing w:before="6"/>
        <w:rPr>
          <w:sz w:val="17"/>
        </w:rPr>
      </w:pPr>
    </w:p>
    <w:p>
      <w:pPr>
        <w:pStyle w:val="Heading2"/>
      </w:pPr>
      <w:r>
        <w:rPr>
          <w:color w:val="09BABF"/>
        </w:rPr>
        <w:t>APPLICATION</w:t>
      </w:r>
    </w:p>
    <w:p>
      <w:pPr>
        <w:pStyle w:val="ListParagraph"/>
        <w:numPr>
          <w:ilvl w:val="0"/>
          <w:numId w:val="2"/>
        </w:numPr>
        <w:tabs>
          <w:tab w:pos="543" w:val="left" w:leader="none"/>
          <w:tab w:pos="544" w:val="left" w:leader="none"/>
        </w:tabs>
        <w:spacing w:line="259" w:lineRule="auto" w:before="240" w:after="0"/>
        <w:ind w:left="543" w:right="1067" w:hanging="428"/>
        <w:jc w:val="left"/>
        <w:rPr>
          <w:sz w:val="21"/>
        </w:rPr>
      </w:pPr>
      <w:r>
        <w:rPr>
          <w:sz w:val="21"/>
        </w:rPr>
        <w:t>The Code applies to </w:t>
      </w:r>
      <w:r>
        <w:rPr>
          <w:spacing w:val="-2"/>
          <w:sz w:val="21"/>
        </w:rPr>
        <w:t>tip </w:t>
      </w:r>
      <w:r>
        <w:rPr>
          <w:sz w:val="21"/>
        </w:rPr>
        <w:t>truck owner drivers engaged in the removal of soil, rock or debris from excavation work on building </w:t>
      </w:r>
      <w:r>
        <w:rPr>
          <w:spacing w:val="-3"/>
          <w:sz w:val="21"/>
        </w:rPr>
        <w:t>and </w:t>
      </w:r>
      <w:r>
        <w:rPr>
          <w:sz w:val="21"/>
        </w:rPr>
        <w:t>construction projects (building, infrastructure, civil engineering or other capital works projects) in</w:t>
      </w:r>
      <w:r>
        <w:rPr>
          <w:spacing w:val="-29"/>
          <w:sz w:val="21"/>
        </w:rPr>
        <w:t> </w:t>
      </w:r>
      <w:r>
        <w:rPr>
          <w:sz w:val="21"/>
        </w:rPr>
        <w:t>Victoria.</w:t>
      </w:r>
    </w:p>
    <w:p>
      <w:pPr>
        <w:pStyle w:val="ListParagraph"/>
        <w:numPr>
          <w:ilvl w:val="0"/>
          <w:numId w:val="2"/>
        </w:numPr>
        <w:tabs>
          <w:tab w:pos="543" w:val="left" w:leader="none"/>
          <w:tab w:pos="544" w:val="left" w:leader="none"/>
        </w:tabs>
        <w:spacing w:line="259" w:lineRule="auto" w:before="118" w:after="0"/>
        <w:ind w:left="543" w:right="1558" w:hanging="428"/>
        <w:jc w:val="left"/>
        <w:rPr>
          <w:sz w:val="21"/>
        </w:rPr>
      </w:pPr>
      <w:r>
        <w:rPr>
          <w:sz w:val="21"/>
        </w:rPr>
        <w:t>The Code applies to </w:t>
      </w:r>
      <w:r>
        <w:rPr>
          <w:spacing w:val="-2"/>
          <w:sz w:val="21"/>
        </w:rPr>
        <w:t>tip </w:t>
      </w:r>
      <w:r>
        <w:rPr>
          <w:sz w:val="21"/>
        </w:rPr>
        <w:t>truck owner drivers and hirers within the scope of the ODFC Act.</w:t>
      </w:r>
    </w:p>
    <w:p>
      <w:pPr>
        <w:pStyle w:val="ListParagraph"/>
        <w:numPr>
          <w:ilvl w:val="0"/>
          <w:numId w:val="2"/>
        </w:numPr>
        <w:tabs>
          <w:tab w:pos="543" w:val="left" w:leader="none"/>
          <w:tab w:pos="544" w:val="left" w:leader="none"/>
        </w:tabs>
        <w:spacing w:line="259" w:lineRule="auto" w:before="117" w:after="0"/>
        <w:ind w:left="543" w:right="1008" w:hanging="428"/>
        <w:jc w:val="left"/>
        <w:rPr>
          <w:sz w:val="21"/>
        </w:rPr>
      </w:pPr>
      <w:r>
        <w:rPr>
          <w:sz w:val="21"/>
        </w:rPr>
        <w:t>The ODFC Act applies to owner driver businesses that operate </w:t>
      </w:r>
      <w:r>
        <w:rPr>
          <w:spacing w:val="-4"/>
          <w:sz w:val="21"/>
        </w:rPr>
        <w:t>up </w:t>
      </w:r>
      <w:r>
        <w:rPr>
          <w:sz w:val="21"/>
        </w:rPr>
        <w:t>to three vehicles in the transportation of goods. The ODFC Act only applies where the owner of the business, or an officer of the body corporate, drives one of the vehicles. The party engaging the tip truck owner driver to transport goods is regarded as the hirer under the </w:t>
      </w:r>
      <w:r>
        <w:rPr>
          <w:spacing w:val="-3"/>
          <w:sz w:val="21"/>
        </w:rPr>
        <w:t>ODFC</w:t>
      </w:r>
      <w:r>
        <w:rPr>
          <w:spacing w:val="1"/>
          <w:sz w:val="21"/>
        </w:rPr>
        <w:t> </w:t>
      </w:r>
      <w:r>
        <w:rPr>
          <w:sz w:val="21"/>
        </w:rPr>
        <w:t>Act.</w:t>
      </w:r>
    </w:p>
    <w:p>
      <w:pPr>
        <w:pStyle w:val="BodyText"/>
        <w:spacing w:before="12"/>
        <w:rPr>
          <w:sz w:val="17"/>
        </w:rPr>
      </w:pPr>
    </w:p>
    <w:p>
      <w:pPr>
        <w:pStyle w:val="Heading2"/>
      </w:pPr>
      <w:r>
        <w:rPr>
          <w:color w:val="09BABF"/>
        </w:rPr>
        <w:t>BEST PRACTICE GUIDANCE</w:t>
      </w:r>
    </w:p>
    <w:p>
      <w:pPr>
        <w:pStyle w:val="ListParagraph"/>
        <w:numPr>
          <w:ilvl w:val="0"/>
          <w:numId w:val="2"/>
        </w:numPr>
        <w:tabs>
          <w:tab w:pos="544" w:val="left" w:leader="none"/>
        </w:tabs>
        <w:spacing w:line="259" w:lineRule="auto" w:before="239" w:after="0"/>
        <w:ind w:left="543" w:right="1132" w:hanging="428"/>
        <w:jc w:val="both"/>
        <w:rPr>
          <w:sz w:val="21"/>
        </w:rPr>
      </w:pPr>
      <w:r>
        <w:rPr>
          <w:sz w:val="21"/>
        </w:rPr>
        <w:t>The Code sets out best practice guidance for hirers and owner drivers relating to engagement terms and conditions specific to </w:t>
      </w:r>
      <w:r>
        <w:rPr>
          <w:spacing w:val="-3"/>
          <w:sz w:val="21"/>
        </w:rPr>
        <w:t>tip </w:t>
      </w:r>
      <w:r>
        <w:rPr>
          <w:sz w:val="21"/>
        </w:rPr>
        <w:t>truck drivers in the building </w:t>
      </w:r>
      <w:r>
        <w:rPr>
          <w:spacing w:val="-3"/>
          <w:sz w:val="21"/>
        </w:rPr>
        <w:t>and </w:t>
      </w:r>
      <w:r>
        <w:rPr>
          <w:sz w:val="21"/>
        </w:rPr>
        <w:t>construction</w:t>
      </w:r>
      <w:r>
        <w:rPr>
          <w:spacing w:val="-4"/>
          <w:sz w:val="21"/>
        </w:rPr>
        <w:t> </w:t>
      </w:r>
      <w:r>
        <w:rPr>
          <w:sz w:val="21"/>
        </w:rPr>
        <w:t>sector.</w:t>
      </w:r>
    </w:p>
    <w:p>
      <w:pPr>
        <w:pStyle w:val="ListParagraph"/>
        <w:numPr>
          <w:ilvl w:val="0"/>
          <w:numId w:val="2"/>
        </w:numPr>
        <w:tabs>
          <w:tab w:pos="543" w:val="left" w:leader="none"/>
          <w:tab w:pos="544" w:val="left" w:leader="none"/>
        </w:tabs>
        <w:spacing w:line="259" w:lineRule="auto" w:before="119" w:after="0"/>
        <w:ind w:left="543" w:right="916" w:hanging="428"/>
        <w:jc w:val="left"/>
        <w:rPr>
          <w:sz w:val="21"/>
        </w:rPr>
      </w:pPr>
      <w:r>
        <w:rPr>
          <w:sz w:val="21"/>
        </w:rPr>
        <w:t>Hirers that pay </w:t>
      </w:r>
      <w:r>
        <w:rPr>
          <w:spacing w:val="-2"/>
          <w:sz w:val="21"/>
        </w:rPr>
        <w:t>tip </w:t>
      </w:r>
      <w:r>
        <w:rPr>
          <w:sz w:val="21"/>
        </w:rPr>
        <w:t>truck owner drivers in accordance with the best practice guidance can be confident they will be paying </w:t>
      </w:r>
      <w:r>
        <w:rPr>
          <w:spacing w:val="-2"/>
          <w:sz w:val="21"/>
        </w:rPr>
        <w:t>tip </w:t>
      </w:r>
      <w:r>
        <w:rPr>
          <w:sz w:val="21"/>
        </w:rPr>
        <w:t>truck owner drivers rates that will enable </w:t>
      </w:r>
      <w:r>
        <w:rPr>
          <w:spacing w:val="-3"/>
          <w:sz w:val="21"/>
        </w:rPr>
        <w:t>them </w:t>
      </w:r>
      <w:r>
        <w:rPr>
          <w:sz w:val="21"/>
        </w:rPr>
        <w:t>to operate their businesses safely and</w:t>
      </w:r>
      <w:r>
        <w:rPr>
          <w:spacing w:val="-7"/>
          <w:sz w:val="21"/>
        </w:rPr>
        <w:t> </w:t>
      </w:r>
      <w:r>
        <w:rPr>
          <w:sz w:val="21"/>
        </w:rPr>
        <w:t>sustainably.</w:t>
      </w:r>
    </w:p>
    <w:p>
      <w:pPr>
        <w:pStyle w:val="ListParagraph"/>
        <w:numPr>
          <w:ilvl w:val="0"/>
          <w:numId w:val="2"/>
        </w:numPr>
        <w:tabs>
          <w:tab w:pos="543" w:val="left" w:leader="none"/>
          <w:tab w:pos="544" w:val="left" w:leader="none"/>
        </w:tabs>
        <w:spacing w:line="259" w:lineRule="auto" w:before="118" w:after="0"/>
        <w:ind w:left="543" w:right="1070" w:hanging="428"/>
        <w:jc w:val="left"/>
        <w:rPr>
          <w:sz w:val="21"/>
        </w:rPr>
      </w:pPr>
      <w:r>
        <w:rPr>
          <w:sz w:val="21"/>
        </w:rPr>
        <w:t>Having information about the typical operating costs of a tip truck business will assist tip truck owner drivers to assess whether they should accept the rate being offered by hirers, before entering into a contract. It will also allow better-informed negotiations.</w:t>
      </w:r>
    </w:p>
    <w:p>
      <w:pPr>
        <w:pStyle w:val="BodyText"/>
        <w:spacing w:before="11"/>
        <w:rPr>
          <w:sz w:val="17"/>
        </w:rPr>
      </w:pPr>
    </w:p>
    <w:p>
      <w:pPr>
        <w:pStyle w:val="Heading3"/>
        <w:spacing w:before="1"/>
        <w:rPr>
          <w:b/>
        </w:rPr>
      </w:pPr>
      <w:r>
        <w:rPr>
          <w:b/>
          <w:color w:val="57585B"/>
        </w:rPr>
        <w:t>Rates/Payments</w:t>
      </w:r>
    </w:p>
    <w:p>
      <w:pPr>
        <w:pStyle w:val="ListParagraph"/>
        <w:numPr>
          <w:ilvl w:val="0"/>
          <w:numId w:val="2"/>
        </w:numPr>
        <w:tabs>
          <w:tab w:pos="427" w:val="left" w:leader="none"/>
          <w:tab w:pos="544" w:val="left" w:leader="none"/>
        </w:tabs>
        <w:spacing w:line="240" w:lineRule="auto" w:before="119" w:after="0"/>
        <w:ind w:left="543" w:right="4998" w:hanging="544"/>
        <w:jc w:val="right"/>
        <w:rPr>
          <w:sz w:val="21"/>
        </w:rPr>
      </w:pPr>
      <w:r>
        <w:rPr>
          <w:sz w:val="21"/>
        </w:rPr>
        <w:t>Hirers should pay owner drivers a rate</w:t>
      </w:r>
      <w:r>
        <w:rPr>
          <w:spacing w:val="-13"/>
          <w:sz w:val="21"/>
        </w:rPr>
        <w:t> </w:t>
      </w:r>
      <w:r>
        <w:rPr>
          <w:sz w:val="21"/>
        </w:rPr>
        <w:t>that:</w:t>
      </w:r>
    </w:p>
    <w:p>
      <w:pPr>
        <w:pStyle w:val="ListParagraph"/>
        <w:numPr>
          <w:ilvl w:val="1"/>
          <w:numId w:val="2"/>
        </w:numPr>
        <w:tabs>
          <w:tab w:pos="359" w:val="left" w:leader="none"/>
          <w:tab w:pos="360" w:val="left" w:leader="none"/>
        </w:tabs>
        <w:spacing w:line="240" w:lineRule="auto" w:before="142" w:after="0"/>
        <w:ind w:left="836" w:right="5001" w:hanging="836"/>
        <w:jc w:val="right"/>
        <w:rPr>
          <w:sz w:val="21"/>
        </w:rPr>
      </w:pPr>
      <w:r>
        <w:rPr>
          <w:sz w:val="21"/>
        </w:rPr>
        <w:t>covers their vehicle operating costs;</w:t>
      </w:r>
      <w:r>
        <w:rPr>
          <w:spacing w:val="-22"/>
          <w:sz w:val="21"/>
        </w:rPr>
        <w:t> </w:t>
      </w:r>
      <w:r>
        <w:rPr>
          <w:sz w:val="21"/>
        </w:rPr>
        <w:t>and</w:t>
      </w:r>
    </w:p>
    <w:p>
      <w:pPr>
        <w:pStyle w:val="ListParagraph"/>
        <w:numPr>
          <w:ilvl w:val="1"/>
          <w:numId w:val="2"/>
        </w:numPr>
        <w:tabs>
          <w:tab w:pos="835" w:val="left" w:leader="none"/>
          <w:tab w:pos="836" w:val="left" w:leader="none"/>
        </w:tabs>
        <w:spacing w:line="240" w:lineRule="auto" w:before="143" w:after="0"/>
        <w:ind w:left="836" w:right="0" w:hanging="361"/>
        <w:jc w:val="left"/>
        <w:rPr>
          <w:sz w:val="21"/>
        </w:rPr>
      </w:pPr>
      <w:r>
        <w:rPr>
          <w:sz w:val="21"/>
        </w:rPr>
        <w:t>provides a return for their labour;</w:t>
      </w:r>
      <w:r>
        <w:rPr>
          <w:spacing w:val="-11"/>
          <w:sz w:val="21"/>
        </w:rPr>
        <w:t> </w:t>
      </w:r>
      <w:r>
        <w:rPr>
          <w:sz w:val="21"/>
        </w:rPr>
        <w:t>and</w:t>
      </w:r>
    </w:p>
    <w:p>
      <w:pPr>
        <w:pStyle w:val="ListParagraph"/>
        <w:numPr>
          <w:ilvl w:val="1"/>
          <w:numId w:val="2"/>
        </w:numPr>
        <w:tabs>
          <w:tab w:pos="835" w:val="left" w:leader="none"/>
          <w:tab w:pos="836" w:val="left" w:leader="none"/>
        </w:tabs>
        <w:spacing w:line="240" w:lineRule="auto" w:before="143" w:after="0"/>
        <w:ind w:left="836" w:right="0" w:hanging="361"/>
        <w:jc w:val="left"/>
        <w:rPr>
          <w:sz w:val="21"/>
        </w:rPr>
      </w:pPr>
      <w:r>
        <w:rPr>
          <w:sz w:val="21"/>
        </w:rPr>
        <w:t>delivers a return on their business</w:t>
      </w:r>
      <w:r>
        <w:rPr>
          <w:spacing w:val="-19"/>
          <w:sz w:val="21"/>
        </w:rPr>
        <w:t> </w:t>
      </w:r>
      <w:r>
        <w:rPr>
          <w:sz w:val="21"/>
        </w:rPr>
        <w:t>investment.</w:t>
      </w:r>
    </w:p>
    <w:p>
      <w:pPr>
        <w:pStyle w:val="ListParagraph"/>
        <w:numPr>
          <w:ilvl w:val="0"/>
          <w:numId w:val="2"/>
        </w:numPr>
        <w:tabs>
          <w:tab w:pos="543" w:val="left" w:leader="none"/>
          <w:tab w:pos="544" w:val="left" w:leader="none"/>
        </w:tabs>
        <w:spacing w:line="256" w:lineRule="auto" w:before="143" w:after="0"/>
        <w:ind w:left="543" w:right="1838" w:hanging="428"/>
        <w:jc w:val="left"/>
        <w:rPr>
          <w:sz w:val="21"/>
        </w:rPr>
      </w:pPr>
      <w:r>
        <w:rPr>
          <w:sz w:val="21"/>
        </w:rPr>
        <w:t>Hirers and owner drivers should negotiate the terms of their engagements in good</w:t>
      </w:r>
      <w:r>
        <w:rPr>
          <w:spacing w:val="-3"/>
          <w:sz w:val="21"/>
        </w:rPr>
        <w:t> </w:t>
      </w:r>
      <w:r>
        <w:rPr>
          <w:sz w:val="21"/>
        </w:rPr>
        <w:t>faith.</w:t>
      </w:r>
    </w:p>
    <w:p>
      <w:pPr>
        <w:spacing w:after="0" w:line="256" w:lineRule="auto"/>
        <w:jc w:val="left"/>
        <w:rPr>
          <w:sz w:val="21"/>
        </w:rPr>
        <w:sectPr>
          <w:pgSz w:w="11910" w:h="16840"/>
          <w:pgMar w:header="0" w:footer="452" w:top="1600" w:bottom="640" w:left="1300" w:right="620"/>
        </w:sectPr>
      </w:pPr>
    </w:p>
    <w:p>
      <w:pPr>
        <w:pStyle w:val="BodyText"/>
        <w:rPr>
          <w:sz w:val="20"/>
        </w:rPr>
      </w:pPr>
      <w:r>
        <w:rPr/>
        <w:drawing>
          <wp:anchor distT="0" distB="0" distL="0" distR="0" allowOverlap="1" layoutInCell="1" locked="0" behindDoc="1" simplePos="0" relativeHeight="487434240">
            <wp:simplePos x="0" y="0"/>
            <wp:positionH relativeFrom="page">
              <wp:posOffset>0</wp:posOffset>
            </wp:positionH>
            <wp:positionV relativeFrom="page">
              <wp:posOffset>0</wp:posOffset>
            </wp:positionV>
            <wp:extent cx="850900" cy="1790700"/>
            <wp:effectExtent l="0" t="0" r="0" b="0"/>
            <wp:wrapNone/>
            <wp:docPr id="7" name="image2.png"/>
            <wp:cNvGraphicFramePr>
              <a:graphicFrameLocks noChangeAspect="1"/>
            </wp:cNvGraphicFramePr>
            <a:graphic>
              <a:graphicData uri="http://schemas.openxmlformats.org/drawingml/2006/picture">
                <pic:pic>
                  <pic:nvPicPr>
                    <pic:cNvPr id="8" name="image2.png"/>
                    <pic:cNvPicPr/>
                  </pic:nvPicPr>
                  <pic:blipFill>
                    <a:blip r:embed="rId8" cstate="print"/>
                    <a:stretch>
                      <a:fillRect/>
                    </a:stretch>
                  </pic:blipFill>
                  <pic:spPr>
                    <a:xfrm>
                      <a:off x="0" y="0"/>
                      <a:ext cx="850900" cy="179070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Heading4"/>
        <w:spacing w:before="87"/>
        <w:rPr>
          <w:b/>
        </w:rPr>
      </w:pPr>
      <w:r>
        <w:rPr>
          <w:b/>
          <w:color w:val="09BABF"/>
        </w:rPr>
        <w:t>Hourly Rates</w:t>
      </w:r>
    </w:p>
    <w:p>
      <w:pPr>
        <w:pStyle w:val="ListParagraph"/>
        <w:numPr>
          <w:ilvl w:val="0"/>
          <w:numId w:val="2"/>
        </w:numPr>
        <w:tabs>
          <w:tab w:pos="543" w:val="left" w:leader="none"/>
          <w:tab w:pos="544" w:val="left" w:leader="none"/>
        </w:tabs>
        <w:spacing w:line="252" w:lineRule="auto" w:before="121" w:after="0"/>
        <w:ind w:left="543" w:right="975" w:hanging="428"/>
        <w:jc w:val="left"/>
        <w:rPr>
          <w:sz w:val="21"/>
        </w:rPr>
      </w:pPr>
      <w:r>
        <w:rPr>
          <w:sz w:val="21"/>
        </w:rPr>
        <w:t>The Transport Industry Council has developed six advisory rates and costs schedules (Schedules) (</w:t>
      </w:r>
      <w:hyperlink r:id="rId10">
        <w:r>
          <w:rPr>
            <w:sz w:val="21"/>
          </w:rPr>
          <w:t>https://www.business.vic.gov.au/setting-up-a-business/</w:t>
        </w:r>
      </w:hyperlink>
      <w:hyperlink r:id="rId11">
        <w:r>
          <w:rPr>
            <w:sz w:val="21"/>
          </w:rPr>
          <w:t> </w:t>
        </w:r>
        <w:r>
          <w:rPr>
            <w:spacing w:val="-2"/>
            <w:sz w:val="21"/>
          </w:rPr>
          <w:t>owner-drivers-and-forestry-contractors/owner-drivers-and-hirers/tip-truck-rates-</w:t>
        </w:r>
      </w:hyperlink>
      <w:r>
        <w:rPr>
          <w:spacing w:val="-2"/>
          <w:sz w:val="21"/>
        </w:rPr>
        <w:t> </w:t>
      </w:r>
      <w:r>
        <w:rPr>
          <w:sz w:val="21"/>
        </w:rPr>
        <w:t>and-cost-schedules) for the tip truck sector that can be used as the basis for negotiating hourly payments. The Schedules set out indicative costs of owner driver tip truck businesses</w:t>
      </w:r>
      <w:r>
        <w:rPr>
          <w:spacing w:val="-2"/>
          <w:sz w:val="21"/>
        </w:rPr>
        <w:t> </w:t>
      </w:r>
      <w:r>
        <w:rPr>
          <w:sz w:val="21"/>
        </w:rPr>
        <w:t>including:</w:t>
      </w:r>
    </w:p>
    <w:p>
      <w:pPr>
        <w:pStyle w:val="ListParagraph"/>
        <w:numPr>
          <w:ilvl w:val="1"/>
          <w:numId w:val="2"/>
        </w:numPr>
        <w:tabs>
          <w:tab w:pos="965" w:val="left" w:leader="none"/>
          <w:tab w:pos="966" w:val="left" w:leader="none"/>
        </w:tabs>
        <w:spacing w:line="240" w:lineRule="auto" w:before="134" w:after="0"/>
        <w:ind w:left="965" w:right="0" w:hanging="423"/>
        <w:jc w:val="left"/>
        <w:rPr>
          <w:sz w:val="21"/>
        </w:rPr>
      </w:pPr>
      <w:r>
        <w:rPr>
          <w:sz w:val="21"/>
        </w:rPr>
        <w:t>variable costs – including fuel and</w:t>
      </w:r>
      <w:r>
        <w:rPr>
          <w:spacing w:val="-9"/>
          <w:sz w:val="21"/>
        </w:rPr>
        <w:t> </w:t>
      </w:r>
      <w:r>
        <w:rPr>
          <w:sz w:val="21"/>
        </w:rPr>
        <w:t>tyres;</w:t>
      </w:r>
    </w:p>
    <w:p>
      <w:pPr>
        <w:pStyle w:val="ListParagraph"/>
        <w:numPr>
          <w:ilvl w:val="1"/>
          <w:numId w:val="2"/>
        </w:numPr>
        <w:tabs>
          <w:tab w:pos="965" w:val="left" w:leader="none"/>
          <w:tab w:pos="966" w:val="left" w:leader="none"/>
        </w:tabs>
        <w:spacing w:line="240" w:lineRule="auto" w:before="142" w:after="0"/>
        <w:ind w:left="965" w:right="0" w:hanging="423"/>
        <w:jc w:val="left"/>
        <w:rPr>
          <w:sz w:val="21"/>
        </w:rPr>
      </w:pPr>
      <w:r>
        <w:rPr>
          <w:sz w:val="21"/>
        </w:rPr>
        <w:t>fixed costs – including registration and</w:t>
      </w:r>
      <w:r>
        <w:rPr>
          <w:spacing w:val="-8"/>
          <w:sz w:val="21"/>
        </w:rPr>
        <w:t> </w:t>
      </w:r>
      <w:r>
        <w:rPr>
          <w:sz w:val="21"/>
        </w:rPr>
        <w:t>finance;</w:t>
      </w:r>
    </w:p>
    <w:p>
      <w:pPr>
        <w:pStyle w:val="ListParagraph"/>
        <w:numPr>
          <w:ilvl w:val="1"/>
          <w:numId w:val="2"/>
        </w:numPr>
        <w:tabs>
          <w:tab w:pos="965" w:val="left" w:leader="none"/>
          <w:tab w:pos="966" w:val="left" w:leader="none"/>
        </w:tabs>
        <w:spacing w:line="240" w:lineRule="auto" w:before="143" w:after="0"/>
        <w:ind w:left="965" w:right="0" w:hanging="423"/>
        <w:jc w:val="left"/>
        <w:rPr>
          <w:sz w:val="21"/>
        </w:rPr>
      </w:pPr>
      <w:r>
        <w:rPr>
          <w:sz w:val="21"/>
        </w:rPr>
        <w:t>rates for the driver’s labour;</w:t>
      </w:r>
      <w:r>
        <w:rPr>
          <w:spacing w:val="-5"/>
          <w:sz w:val="21"/>
        </w:rPr>
        <w:t> </w:t>
      </w:r>
      <w:r>
        <w:rPr>
          <w:sz w:val="21"/>
        </w:rPr>
        <w:t>and</w:t>
      </w:r>
    </w:p>
    <w:p>
      <w:pPr>
        <w:pStyle w:val="ListParagraph"/>
        <w:numPr>
          <w:ilvl w:val="1"/>
          <w:numId w:val="2"/>
        </w:numPr>
        <w:tabs>
          <w:tab w:pos="965" w:val="left" w:leader="none"/>
          <w:tab w:pos="966" w:val="left" w:leader="none"/>
        </w:tabs>
        <w:spacing w:line="240" w:lineRule="auto" w:before="138" w:after="0"/>
        <w:ind w:left="965" w:right="0" w:hanging="423"/>
        <w:jc w:val="left"/>
        <w:rPr>
          <w:sz w:val="21"/>
        </w:rPr>
      </w:pPr>
      <w:r>
        <w:rPr>
          <w:sz w:val="21"/>
        </w:rPr>
        <w:t>return on business</w:t>
      </w:r>
      <w:r>
        <w:rPr>
          <w:spacing w:val="-9"/>
          <w:sz w:val="21"/>
        </w:rPr>
        <w:t> </w:t>
      </w:r>
      <w:r>
        <w:rPr>
          <w:sz w:val="21"/>
        </w:rPr>
        <w:t>investment.</w:t>
      </w:r>
    </w:p>
    <w:p>
      <w:pPr>
        <w:pStyle w:val="ListParagraph"/>
        <w:numPr>
          <w:ilvl w:val="0"/>
          <w:numId w:val="2"/>
        </w:numPr>
        <w:tabs>
          <w:tab w:pos="544" w:val="left" w:leader="none"/>
        </w:tabs>
        <w:spacing w:line="249" w:lineRule="auto" w:before="94" w:after="0"/>
        <w:ind w:left="543" w:right="1281" w:hanging="428"/>
        <w:jc w:val="left"/>
        <w:rPr>
          <w:sz w:val="22"/>
        </w:rPr>
      </w:pPr>
      <w:r>
        <w:rPr>
          <w:sz w:val="21"/>
        </w:rPr>
        <w:t>The Tip Truck Schedules can be accessed from the following link: </w:t>
      </w:r>
      <w:hyperlink r:id="rId11">
        <w:r>
          <w:rPr>
            <w:sz w:val="22"/>
          </w:rPr>
          <w:t>https://www.business.vic.gov.au/setting-up-a-business/owner-drivers-and- forestry-contractors/owner-drivers-and-hirers/tip-truck-rates-and-cost- schedules</w:t>
        </w:r>
      </w:hyperlink>
    </w:p>
    <w:p>
      <w:pPr>
        <w:pStyle w:val="ListParagraph"/>
        <w:numPr>
          <w:ilvl w:val="0"/>
          <w:numId w:val="2"/>
        </w:numPr>
        <w:tabs>
          <w:tab w:pos="543" w:val="left" w:leader="none"/>
          <w:tab w:pos="544" w:val="left" w:leader="none"/>
        </w:tabs>
        <w:spacing w:line="249" w:lineRule="auto" w:before="91" w:after="0"/>
        <w:ind w:left="543" w:right="1589" w:hanging="428"/>
        <w:jc w:val="left"/>
        <w:rPr>
          <w:sz w:val="21"/>
        </w:rPr>
      </w:pPr>
      <w:r>
        <w:rPr>
          <w:sz w:val="21"/>
        </w:rPr>
        <w:t>Using the Schedules during payment </w:t>
      </w:r>
      <w:r>
        <w:rPr>
          <w:spacing w:val="-3"/>
          <w:sz w:val="21"/>
        </w:rPr>
        <w:t>negotiations </w:t>
      </w:r>
      <w:r>
        <w:rPr>
          <w:sz w:val="21"/>
        </w:rPr>
        <w:t>ensures hirers and owner drivers have considered </w:t>
      </w:r>
      <w:r>
        <w:rPr>
          <w:spacing w:val="-5"/>
          <w:sz w:val="21"/>
        </w:rPr>
        <w:t>the </w:t>
      </w:r>
      <w:r>
        <w:rPr>
          <w:sz w:val="21"/>
        </w:rPr>
        <w:t>full range of</w:t>
      </w:r>
      <w:r>
        <w:rPr>
          <w:spacing w:val="9"/>
          <w:sz w:val="21"/>
        </w:rPr>
        <w:t> </w:t>
      </w:r>
      <w:r>
        <w:rPr>
          <w:sz w:val="21"/>
        </w:rPr>
        <w:t>costs.</w:t>
      </w:r>
    </w:p>
    <w:p>
      <w:pPr>
        <w:pStyle w:val="BodyText"/>
        <w:spacing w:before="11"/>
        <w:rPr>
          <w:sz w:val="17"/>
        </w:rPr>
      </w:pPr>
    </w:p>
    <w:p>
      <w:pPr>
        <w:pStyle w:val="Heading4"/>
        <w:rPr>
          <w:b/>
        </w:rPr>
      </w:pPr>
      <w:r>
        <w:rPr>
          <w:b/>
          <w:color w:val="09BABF"/>
        </w:rPr>
        <w:t>Per-load Daily Rates</w:t>
      </w:r>
    </w:p>
    <w:p>
      <w:pPr>
        <w:pStyle w:val="ListParagraph"/>
        <w:numPr>
          <w:ilvl w:val="0"/>
          <w:numId w:val="2"/>
        </w:numPr>
        <w:tabs>
          <w:tab w:pos="544" w:val="left" w:leader="none"/>
        </w:tabs>
        <w:spacing w:line="259" w:lineRule="auto" w:before="119" w:after="0"/>
        <w:ind w:left="543" w:right="831" w:hanging="428"/>
        <w:jc w:val="left"/>
        <w:rPr>
          <w:sz w:val="21"/>
        </w:rPr>
      </w:pPr>
      <w:r>
        <w:rPr>
          <w:sz w:val="21"/>
        </w:rPr>
        <w:t>The use of per-load payment structures can result in owner drivers being paid a rate that may not fully cover their operating costs. Events beyond a driver’s control, such as traffic conditions or delays at construction sites, could result in a driver being </w:t>
      </w:r>
      <w:r>
        <w:rPr>
          <w:spacing w:val="-2"/>
          <w:sz w:val="21"/>
        </w:rPr>
        <w:t>unable </w:t>
      </w:r>
      <w:r>
        <w:rPr>
          <w:sz w:val="21"/>
        </w:rPr>
        <w:t>to complete the number of loads needed </w:t>
      </w:r>
      <w:r>
        <w:rPr>
          <w:spacing w:val="-4"/>
          <w:sz w:val="21"/>
        </w:rPr>
        <w:t>to </w:t>
      </w:r>
      <w:r>
        <w:rPr>
          <w:sz w:val="21"/>
        </w:rPr>
        <w:t>operate</w:t>
      </w:r>
      <w:r>
        <w:rPr>
          <w:spacing w:val="-2"/>
          <w:sz w:val="21"/>
        </w:rPr>
        <w:t> </w:t>
      </w:r>
      <w:r>
        <w:rPr>
          <w:sz w:val="21"/>
        </w:rPr>
        <w:t>profitably.</w:t>
      </w:r>
    </w:p>
    <w:p>
      <w:pPr>
        <w:pStyle w:val="ListParagraph"/>
        <w:numPr>
          <w:ilvl w:val="0"/>
          <w:numId w:val="2"/>
        </w:numPr>
        <w:tabs>
          <w:tab w:pos="544" w:val="left" w:leader="none"/>
        </w:tabs>
        <w:spacing w:line="259" w:lineRule="auto" w:before="119" w:after="0"/>
        <w:ind w:left="543" w:right="816" w:hanging="428"/>
        <w:jc w:val="left"/>
        <w:rPr>
          <w:sz w:val="21"/>
        </w:rPr>
      </w:pPr>
      <w:r>
        <w:rPr>
          <w:sz w:val="21"/>
        </w:rPr>
        <w:t>These factors need to be considered by hirers </w:t>
      </w:r>
      <w:r>
        <w:rPr>
          <w:spacing w:val="-4"/>
          <w:sz w:val="21"/>
        </w:rPr>
        <w:t>and </w:t>
      </w:r>
      <w:r>
        <w:rPr>
          <w:sz w:val="21"/>
        </w:rPr>
        <w:t>owner drivers when negotiating a realistic and fair per-load daily</w:t>
      </w:r>
      <w:r>
        <w:rPr>
          <w:spacing w:val="-3"/>
          <w:sz w:val="21"/>
        </w:rPr>
        <w:t> </w:t>
      </w:r>
      <w:r>
        <w:rPr>
          <w:sz w:val="21"/>
        </w:rPr>
        <w:t>rate.</w:t>
      </w:r>
    </w:p>
    <w:p>
      <w:pPr>
        <w:pStyle w:val="BodyText"/>
        <w:spacing w:before="1"/>
        <w:rPr>
          <w:sz w:val="18"/>
        </w:rPr>
      </w:pPr>
    </w:p>
    <w:p>
      <w:pPr>
        <w:pStyle w:val="Heading3"/>
        <w:rPr>
          <w:b/>
        </w:rPr>
      </w:pPr>
      <w:r>
        <w:rPr>
          <w:b/>
          <w:color w:val="57585B"/>
        </w:rPr>
        <w:t>Payment of Substitute Drivers</w:t>
      </w:r>
    </w:p>
    <w:p>
      <w:pPr>
        <w:pStyle w:val="Heading4"/>
        <w:spacing w:before="238"/>
        <w:rPr>
          <w:b/>
        </w:rPr>
      </w:pPr>
      <w:r>
        <w:rPr>
          <w:b/>
          <w:color w:val="09BABF"/>
        </w:rPr>
        <w:t>Employee Drivers</w:t>
      </w:r>
    </w:p>
    <w:p>
      <w:pPr>
        <w:pStyle w:val="ListParagraph"/>
        <w:numPr>
          <w:ilvl w:val="0"/>
          <w:numId w:val="2"/>
        </w:numPr>
        <w:tabs>
          <w:tab w:pos="544" w:val="left" w:leader="none"/>
        </w:tabs>
        <w:spacing w:line="259" w:lineRule="auto" w:before="119" w:after="0"/>
        <w:ind w:left="543" w:right="1390" w:hanging="428"/>
        <w:jc w:val="left"/>
        <w:rPr>
          <w:sz w:val="21"/>
        </w:rPr>
      </w:pPr>
      <w:r>
        <w:rPr>
          <w:sz w:val="21"/>
        </w:rPr>
        <w:t>Substitute drivers engaged as employees must be paid in accordance with the relevant modern award, enterprise agreement or employment</w:t>
      </w:r>
      <w:r>
        <w:rPr>
          <w:spacing w:val="-19"/>
          <w:sz w:val="21"/>
        </w:rPr>
        <w:t> </w:t>
      </w:r>
      <w:r>
        <w:rPr>
          <w:sz w:val="21"/>
        </w:rPr>
        <w:t>contract.</w:t>
      </w:r>
    </w:p>
    <w:p>
      <w:pPr>
        <w:pStyle w:val="BodyText"/>
        <w:spacing w:before="11"/>
        <w:rPr>
          <w:sz w:val="17"/>
        </w:rPr>
      </w:pPr>
    </w:p>
    <w:p>
      <w:pPr>
        <w:pStyle w:val="Heading4"/>
        <w:rPr>
          <w:b/>
        </w:rPr>
      </w:pPr>
      <w:r>
        <w:rPr>
          <w:b/>
          <w:color w:val="09BABF"/>
        </w:rPr>
        <w:t>Contractor Drivers</w:t>
      </w:r>
    </w:p>
    <w:p>
      <w:pPr>
        <w:pStyle w:val="ListParagraph"/>
        <w:numPr>
          <w:ilvl w:val="0"/>
          <w:numId w:val="2"/>
        </w:numPr>
        <w:tabs>
          <w:tab w:pos="544" w:val="left" w:leader="none"/>
        </w:tabs>
        <w:spacing w:line="259" w:lineRule="auto" w:before="119" w:after="0"/>
        <w:ind w:left="543" w:right="812" w:hanging="428"/>
        <w:jc w:val="left"/>
        <w:rPr>
          <w:sz w:val="21"/>
        </w:rPr>
      </w:pPr>
      <w:r>
        <w:rPr>
          <w:sz w:val="21"/>
        </w:rPr>
        <w:t>Owner drivers that lawfully engage substitute drivers as contractors are not legally required to pay a minimum wage. However, the labour rates set out in the Schedules should be </w:t>
      </w:r>
      <w:r>
        <w:rPr>
          <w:spacing w:val="-3"/>
          <w:sz w:val="21"/>
        </w:rPr>
        <w:t>used </w:t>
      </w:r>
      <w:r>
        <w:rPr>
          <w:sz w:val="21"/>
        </w:rPr>
        <w:t>to determine the labour rate to be paid </w:t>
      </w:r>
      <w:r>
        <w:rPr>
          <w:spacing w:val="-4"/>
          <w:sz w:val="21"/>
        </w:rPr>
        <w:t>to </w:t>
      </w:r>
      <w:r>
        <w:rPr>
          <w:sz w:val="21"/>
        </w:rPr>
        <w:t>contractors engaged to drive an owner driver’s tip</w:t>
      </w:r>
      <w:r>
        <w:rPr>
          <w:spacing w:val="-4"/>
          <w:sz w:val="21"/>
        </w:rPr>
        <w:t> </w:t>
      </w:r>
      <w:r>
        <w:rPr>
          <w:sz w:val="21"/>
        </w:rPr>
        <w:t>truck.</w:t>
      </w:r>
    </w:p>
    <w:p>
      <w:pPr>
        <w:spacing w:after="0" w:line="259" w:lineRule="auto"/>
        <w:jc w:val="left"/>
        <w:rPr>
          <w:sz w:val="21"/>
        </w:rPr>
        <w:sectPr>
          <w:pgSz w:w="11910" w:h="16840"/>
          <w:pgMar w:header="0" w:footer="452" w:top="0" w:bottom="640" w:left="1300" w:right="620"/>
        </w:sectPr>
      </w:pPr>
    </w:p>
    <w:p>
      <w:pPr>
        <w:pStyle w:val="BodyText"/>
        <w:spacing w:before="7"/>
        <w:rPr>
          <w:sz w:val="8"/>
        </w:rPr>
      </w:pPr>
      <w:r>
        <w:rPr/>
        <w:drawing>
          <wp:anchor distT="0" distB="0" distL="0" distR="0" allowOverlap="1" layoutInCell="1" locked="0" behindDoc="1" simplePos="0" relativeHeight="487434752">
            <wp:simplePos x="0" y="0"/>
            <wp:positionH relativeFrom="page">
              <wp:posOffset>5980428</wp:posOffset>
            </wp:positionH>
            <wp:positionV relativeFrom="page">
              <wp:posOffset>7325361</wp:posOffset>
            </wp:positionV>
            <wp:extent cx="1578864" cy="3336760"/>
            <wp:effectExtent l="0" t="0" r="0" b="0"/>
            <wp:wrapNone/>
            <wp:docPr id="9" name="image3.jpeg"/>
            <wp:cNvGraphicFramePr>
              <a:graphicFrameLocks noChangeAspect="1"/>
            </wp:cNvGraphicFramePr>
            <a:graphic>
              <a:graphicData uri="http://schemas.openxmlformats.org/drawingml/2006/picture">
                <pic:pic>
                  <pic:nvPicPr>
                    <pic:cNvPr id="10" name="image3.jpeg"/>
                    <pic:cNvPicPr/>
                  </pic:nvPicPr>
                  <pic:blipFill>
                    <a:blip r:embed="rId9" cstate="print"/>
                    <a:stretch>
                      <a:fillRect/>
                    </a:stretch>
                  </pic:blipFill>
                  <pic:spPr>
                    <a:xfrm>
                      <a:off x="0" y="0"/>
                      <a:ext cx="1578864" cy="3336760"/>
                    </a:xfrm>
                    <a:prstGeom prst="rect">
                      <a:avLst/>
                    </a:prstGeom>
                  </pic:spPr>
                </pic:pic>
              </a:graphicData>
            </a:graphic>
          </wp:anchor>
        </w:drawing>
      </w:r>
    </w:p>
    <w:p>
      <w:pPr>
        <w:pStyle w:val="Heading3"/>
        <w:spacing w:before="83"/>
        <w:rPr>
          <w:b/>
        </w:rPr>
      </w:pPr>
      <w:r>
        <w:rPr>
          <w:b/>
          <w:color w:val="57585B"/>
        </w:rPr>
        <w:t>Citylink, Eastlink and Westgate Tolls</w:t>
      </w:r>
    </w:p>
    <w:p>
      <w:pPr>
        <w:pStyle w:val="ListParagraph"/>
        <w:numPr>
          <w:ilvl w:val="0"/>
          <w:numId w:val="2"/>
        </w:numPr>
        <w:tabs>
          <w:tab w:pos="544" w:val="left" w:leader="none"/>
        </w:tabs>
        <w:spacing w:line="240" w:lineRule="auto" w:before="119" w:after="0"/>
        <w:ind w:left="543" w:right="0" w:hanging="429"/>
        <w:jc w:val="left"/>
        <w:rPr>
          <w:sz w:val="21"/>
        </w:rPr>
      </w:pPr>
      <w:r>
        <w:rPr>
          <w:sz w:val="21"/>
        </w:rPr>
        <w:t>Hirers should reimburse owner drivers for toll </w:t>
      </w:r>
      <w:r>
        <w:rPr>
          <w:spacing w:val="-3"/>
          <w:sz w:val="21"/>
        </w:rPr>
        <w:t>costs </w:t>
      </w:r>
      <w:r>
        <w:rPr>
          <w:sz w:val="21"/>
        </w:rPr>
        <w:t>incurred</w:t>
      </w:r>
      <w:r>
        <w:rPr>
          <w:spacing w:val="-11"/>
          <w:sz w:val="21"/>
        </w:rPr>
        <w:t> </w:t>
      </w:r>
      <w:r>
        <w:rPr>
          <w:sz w:val="21"/>
        </w:rPr>
        <w:t>if:</w:t>
      </w:r>
    </w:p>
    <w:p>
      <w:pPr>
        <w:pStyle w:val="ListParagraph"/>
        <w:numPr>
          <w:ilvl w:val="1"/>
          <w:numId w:val="2"/>
        </w:numPr>
        <w:tabs>
          <w:tab w:pos="827" w:val="left" w:leader="none"/>
        </w:tabs>
        <w:spacing w:line="240" w:lineRule="auto" w:before="143" w:after="0"/>
        <w:ind w:left="826" w:right="0" w:hanging="284"/>
        <w:jc w:val="left"/>
        <w:rPr>
          <w:sz w:val="21"/>
        </w:rPr>
      </w:pPr>
      <w:r>
        <w:rPr>
          <w:sz w:val="21"/>
        </w:rPr>
        <w:t>the hirer directs the owner driver to </w:t>
      </w:r>
      <w:r>
        <w:rPr>
          <w:spacing w:val="-3"/>
          <w:sz w:val="21"/>
        </w:rPr>
        <w:t>take </w:t>
      </w:r>
      <w:r>
        <w:rPr>
          <w:sz w:val="21"/>
        </w:rPr>
        <w:t>a toll road;</w:t>
      </w:r>
      <w:r>
        <w:rPr>
          <w:spacing w:val="-19"/>
          <w:sz w:val="21"/>
        </w:rPr>
        <w:t> </w:t>
      </w:r>
      <w:r>
        <w:rPr>
          <w:sz w:val="21"/>
        </w:rPr>
        <w:t>or</w:t>
      </w:r>
    </w:p>
    <w:p>
      <w:pPr>
        <w:pStyle w:val="ListParagraph"/>
        <w:numPr>
          <w:ilvl w:val="1"/>
          <w:numId w:val="2"/>
        </w:numPr>
        <w:tabs>
          <w:tab w:pos="827" w:val="left" w:leader="none"/>
        </w:tabs>
        <w:spacing w:line="240" w:lineRule="auto" w:before="142" w:after="0"/>
        <w:ind w:left="826" w:right="0" w:hanging="284"/>
        <w:jc w:val="left"/>
        <w:rPr>
          <w:sz w:val="21"/>
        </w:rPr>
      </w:pPr>
      <w:r>
        <w:rPr>
          <w:sz w:val="21"/>
        </w:rPr>
        <w:t>the owner driver needs to take a toll road to complete their</w:t>
      </w:r>
      <w:r>
        <w:rPr>
          <w:spacing w:val="-6"/>
          <w:sz w:val="21"/>
        </w:rPr>
        <w:t> </w:t>
      </w:r>
      <w:r>
        <w:rPr>
          <w:sz w:val="21"/>
        </w:rPr>
        <w:t>trip.</w:t>
      </w:r>
    </w:p>
    <w:p>
      <w:pPr>
        <w:pStyle w:val="ListParagraph"/>
        <w:numPr>
          <w:ilvl w:val="0"/>
          <w:numId w:val="2"/>
        </w:numPr>
        <w:tabs>
          <w:tab w:pos="543" w:val="left" w:leader="none"/>
          <w:tab w:pos="544" w:val="left" w:leader="none"/>
        </w:tabs>
        <w:spacing w:line="259" w:lineRule="auto" w:before="144" w:after="0"/>
        <w:ind w:left="543" w:right="965" w:hanging="428"/>
        <w:jc w:val="left"/>
        <w:rPr>
          <w:sz w:val="21"/>
        </w:rPr>
      </w:pPr>
      <w:r>
        <w:rPr>
          <w:sz w:val="21"/>
        </w:rPr>
        <w:t>If hirers do not reimburse the toll costs, owner drivers should include </w:t>
      </w:r>
      <w:r>
        <w:rPr>
          <w:spacing w:val="-3"/>
          <w:sz w:val="21"/>
        </w:rPr>
        <w:t>these </w:t>
      </w:r>
      <w:r>
        <w:rPr>
          <w:sz w:val="21"/>
        </w:rPr>
        <w:t>costs as part of their cost calculation. The price of the trip will depend on the following factors:</w:t>
      </w:r>
    </w:p>
    <w:p>
      <w:pPr>
        <w:pStyle w:val="ListParagraph"/>
        <w:numPr>
          <w:ilvl w:val="1"/>
          <w:numId w:val="2"/>
        </w:numPr>
        <w:tabs>
          <w:tab w:pos="827" w:val="left" w:leader="none"/>
        </w:tabs>
        <w:spacing w:line="240" w:lineRule="auto" w:before="117" w:after="0"/>
        <w:ind w:left="826" w:right="0" w:hanging="284"/>
        <w:jc w:val="left"/>
        <w:rPr>
          <w:sz w:val="21"/>
        </w:rPr>
      </w:pPr>
      <w:r>
        <w:rPr>
          <w:sz w:val="21"/>
        </w:rPr>
        <w:t>distance travelled;</w:t>
      </w:r>
    </w:p>
    <w:p>
      <w:pPr>
        <w:pStyle w:val="ListParagraph"/>
        <w:numPr>
          <w:ilvl w:val="1"/>
          <w:numId w:val="2"/>
        </w:numPr>
        <w:tabs>
          <w:tab w:pos="827" w:val="left" w:leader="none"/>
        </w:tabs>
        <w:spacing w:line="240" w:lineRule="auto" w:before="143" w:after="0"/>
        <w:ind w:left="826" w:right="0" w:hanging="284"/>
        <w:jc w:val="left"/>
        <w:rPr>
          <w:sz w:val="21"/>
        </w:rPr>
      </w:pPr>
      <w:r>
        <w:rPr>
          <w:sz w:val="21"/>
        </w:rPr>
        <w:t>the type of vehicle</w:t>
      </w:r>
      <w:r>
        <w:rPr>
          <w:spacing w:val="-2"/>
          <w:sz w:val="21"/>
        </w:rPr>
        <w:t> </w:t>
      </w:r>
      <w:r>
        <w:rPr>
          <w:sz w:val="21"/>
        </w:rPr>
        <w:t>used;</w:t>
      </w:r>
    </w:p>
    <w:p>
      <w:pPr>
        <w:pStyle w:val="ListParagraph"/>
        <w:numPr>
          <w:ilvl w:val="1"/>
          <w:numId w:val="2"/>
        </w:numPr>
        <w:tabs>
          <w:tab w:pos="827" w:val="left" w:leader="none"/>
        </w:tabs>
        <w:spacing w:line="240" w:lineRule="auto" w:before="142" w:after="0"/>
        <w:ind w:left="826" w:right="0" w:hanging="284"/>
        <w:jc w:val="left"/>
        <w:rPr>
          <w:sz w:val="21"/>
        </w:rPr>
      </w:pPr>
      <w:r>
        <w:rPr>
          <w:sz w:val="21"/>
        </w:rPr>
        <w:t>whether travel is during peak or off-peak times;</w:t>
      </w:r>
      <w:r>
        <w:rPr>
          <w:spacing w:val="-24"/>
          <w:sz w:val="21"/>
        </w:rPr>
        <w:t> </w:t>
      </w:r>
      <w:r>
        <w:rPr>
          <w:sz w:val="21"/>
        </w:rPr>
        <w:t>and</w:t>
      </w:r>
    </w:p>
    <w:p>
      <w:pPr>
        <w:pStyle w:val="ListParagraph"/>
        <w:numPr>
          <w:ilvl w:val="1"/>
          <w:numId w:val="2"/>
        </w:numPr>
        <w:tabs>
          <w:tab w:pos="827" w:val="left" w:leader="none"/>
        </w:tabs>
        <w:spacing w:line="240" w:lineRule="auto" w:before="143" w:after="0"/>
        <w:ind w:left="826" w:right="0" w:hanging="284"/>
        <w:jc w:val="left"/>
        <w:rPr>
          <w:sz w:val="21"/>
        </w:rPr>
      </w:pPr>
      <w:r>
        <w:rPr>
          <w:sz w:val="21"/>
        </w:rPr>
        <w:t>the account or pass</w:t>
      </w:r>
      <w:r>
        <w:rPr>
          <w:spacing w:val="-5"/>
          <w:sz w:val="21"/>
        </w:rPr>
        <w:t> </w:t>
      </w:r>
      <w:r>
        <w:rPr>
          <w:sz w:val="21"/>
        </w:rPr>
        <w:t>selected.</w:t>
      </w:r>
    </w:p>
    <w:p>
      <w:pPr>
        <w:pStyle w:val="ListParagraph"/>
        <w:numPr>
          <w:ilvl w:val="0"/>
          <w:numId w:val="2"/>
        </w:numPr>
        <w:tabs>
          <w:tab w:pos="544" w:val="left" w:leader="none"/>
        </w:tabs>
        <w:spacing w:line="259" w:lineRule="auto" w:before="144" w:after="0"/>
        <w:ind w:left="543" w:right="969" w:hanging="428"/>
        <w:jc w:val="left"/>
        <w:rPr>
          <w:sz w:val="21"/>
        </w:rPr>
      </w:pPr>
      <w:r>
        <w:rPr>
          <w:sz w:val="21"/>
        </w:rPr>
        <w:t>Heavy Commercial Vehicles are subject to tolls for travel on Citylink, Eastlink and the Westgate Freeway. The following websites </w:t>
      </w:r>
      <w:r>
        <w:rPr>
          <w:spacing w:val="-3"/>
          <w:sz w:val="21"/>
        </w:rPr>
        <w:t>can </w:t>
      </w:r>
      <w:r>
        <w:rPr>
          <w:sz w:val="21"/>
        </w:rPr>
        <w:t>be used to ascertain current toll rates:</w:t>
      </w:r>
    </w:p>
    <w:p>
      <w:pPr>
        <w:pStyle w:val="BodyText"/>
        <w:spacing w:line="362" w:lineRule="auto" w:before="118"/>
        <w:ind w:left="543" w:right="5781"/>
      </w:pPr>
      <w:hyperlink r:id="rId12">
        <w:r>
          <w:rPr/>
          <w:t>www.linkt.com.au/melbourne</w:t>
        </w:r>
      </w:hyperlink>
      <w:r>
        <w:rPr/>
        <w:t> </w:t>
      </w:r>
      <w:hyperlink r:id="rId13">
        <w:r>
          <w:rPr/>
          <w:t>www.eastlink.com.au/toll-calculator</w:t>
        </w:r>
      </w:hyperlink>
    </w:p>
    <w:p>
      <w:pPr>
        <w:pStyle w:val="BodyText"/>
        <w:spacing w:line="282" w:lineRule="exact"/>
        <w:ind w:left="543"/>
      </w:pPr>
      <w:hyperlink r:id="rId14">
        <w:r>
          <w:rPr/>
          <w:t>http://westgatetunnelproject.vic.gov.au/about/keytopics/tolls</w:t>
        </w:r>
      </w:hyperlink>
    </w:p>
    <w:p>
      <w:pPr>
        <w:pStyle w:val="BodyText"/>
        <w:spacing w:before="4"/>
        <w:rPr>
          <w:sz w:val="19"/>
        </w:rPr>
      </w:pPr>
    </w:p>
    <w:p>
      <w:pPr>
        <w:pStyle w:val="Heading3"/>
        <w:rPr>
          <w:b/>
        </w:rPr>
      </w:pPr>
      <w:r>
        <w:rPr>
          <w:b/>
          <w:color w:val="57585B"/>
        </w:rPr>
        <w:t>Loading and Waiting Time</w:t>
      </w:r>
    </w:p>
    <w:p>
      <w:pPr>
        <w:pStyle w:val="ListParagraph"/>
        <w:numPr>
          <w:ilvl w:val="0"/>
          <w:numId w:val="2"/>
        </w:numPr>
        <w:tabs>
          <w:tab w:pos="544" w:val="left" w:leader="none"/>
        </w:tabs>
        <w:spacing w:line="259" w:lineRule="auto" w:before="120" w:after="0"/>
        <w:ind w:left="543" w:right="854" w:hanging="428"/>
        <w:jc w:val="left"/>
        <w:rPr>
          <w:sz w:val="21"/>
        </w:rPr>
      </w:pPr>
      <w:r>
        <w:rPr>
          <w:sz w:val="21"/>
        </w:rPr>
        <w:t>As loading and waiting </w:t>
      </w:r>
      <w:r>
        <w:rPr>
          <w:spacing w:val="-3"/>
          <w:sz w:val="21"/>
        </w:rPr>
        <w:t>time </w:t>
      </w:r>
      <w:r>
        <w:rPr>
          <w:sz w:val="21"/>
        </w:rPr>
        <w:t>is largely beyond the control of owner drivers, hirers should pay the drivers from the time they arrive on site to the </w:t>
      </w:r>
      <w:r>
        <w:rPr>
          <w:spacing w:val="-3"/>
          <w:sz w:val="21"/>
        </w:rPr>
        <w:t>time </w:t>
      </w:r>
      <w:r>
        <w:rPr>
          <w:sz w:val="21"/>
        </w:rPr>
        <w:t>they depart from site.</w:t>
      </w:r>
    </w:p>
    <w:p>
      <w:pPr>
        <w:pStyle w:val="ListParagraph"/>
        <w:numPr>
          <w:ilvl w:val="0"/>
          <w:numId w:val="2"/>
        </w:numPr>
        <w:tabs>
          <w:tab w:pos="544" w:val="left" w:leader="none"/>
        </w:tabs>
        <w:spacing w:line="259" w:lineRule="auto" w:before="118" w:after="0"/>
        <w:ind w:left="543" w:right="1911" w:hanging="428"/>
        <w:jc w:val="left"/>
        <w:rPr>
          <w:sz w:val="21"/>
        </w:rPr>
      </w:pPr>
      <w:r>
        <w:rPr>
          <w:sz w:val="21"/>
        </w:rPr>
        <w:t>Owner drivers should be paid for the time they spend on site at the hirer’s instruction.</w:t>
      </w:r>
    </w:p>
    <w:p>
      <w:pPr>
        <w:pStyle w:val="ListParagraph"/>
        <w:numPr>
          <w:ilvl w:val="0"/>
          <w:numId w:val="2"/>
        </w:numPr>
        <w:tabs>
          <w:tab w:pos="544" w:val="left" w:leader="none"/>
        </w:tabs>
        <w:spacing w:line="259" w:lineRule="auto" w:before="122" w:after="0"/>
        <w:ind w:left="543" w:right="1525" w:hanging="428"/>
        <w:jc w:val="left"/>
        <w:rPr>
          <w:sz w:val="21"/>
        </w:rPr>
      </w:pPr>
      <w:r>
        <w:rPr>
          <w:sz w:val="21"/>
        </w:rPr>
        <w:t>The payment of an hourly rate provides a predictable </w:t>
      </w:r>
      <w:r>
        <w:rPr>
          <w:spacing w:val="-3"/>
          <w:sz w:val="21"/>
        </w:rPr>
        <w:t>way </w:t>
      </w:r>
      <w:r>
        <w:rPr>
          <w:sz w:val="21"/>
        </w:rPr>
        <w:t>of determining the amount owner drivers should receive for loading and waiting</w:t>
      </w:r>
      <w:r>
        <w:rPr>
          <w:spacing w:val="-12"/>
          <w:sz w:val="21"/>
        </w:rPr>
        <w:t> </w:t>
      </w:r>
      <w:r>
        <w:rPr>
          <w:sz w:val="21"/>
        </w:rPr>
        <w:t>time.</w:t>
      </w:r>
    </w:p>
    <w:p>
      <w:pPr>
        <w:pStyle w:val="ListParagraph"/>
        <w:numPr>
          <w:ilvl w:val="0"/>
          <w:numId w:val="2"/>
        </w:numPr>
        <w:tabs>
          <w:tab w:pos="544" w:val="left" w:leader="none"/>
        </w:tabs>
        <w:spacing w:line="259" w:lineRule="auto" w:before="117" w:after="0"/>
        <w:ind w:left="543" w:right="1023" w:hanging="428"/>
        <w:jc w:val="left"/>
        <w:rPr>
          <w:sz w:val="21"/>
        </w:rPr>
      </w:pPr>
      <w:r>
        <w:rPr>
          <w:sz w:val="21"/>
        </w:rPr>
        <w:t>If per-load payment structures are in place, hirers should agree how owner drivers will be paid for loading and waiting</w:t>
      </w:r>
      <w:r>
        <w:rPr>
          <w:spacing w:val="-1"/>
          <w:sz w:val="21"/>
        </w:rPr>
        <w:t> </w:t>
      </w:r>
      <w:r>
        <w:rPr>
          <w:sz w:val="21"/>
        </w:rPr>
        <w:t>times.</w:t>
      </w:r>
    </w:p>
    <w:p>
      <w:pPr>
        <w:pStyle w:val="BodyText"/>
        <w:spacing w:before="1"/>
        <w:rPr>
          <w:sz w:val="18"/>
        </w:rPr>
      </w:pPr>
    </w:p>
    <w:p>
      <w:pPr>
        <w:pStyle w:val="Heading3"/>
        <w:rPr>
          <w:b/>
        </w:rPr>
      </w:pPr>
      <w:r>
        <w:rPr>
          <w:b/>
          <w:color w:val="57585B"/>
        </w:rPr>
        <w:t>Minimum Hire and Cancellation</w:t>
      </w:r>
    </w:p>
    <w:p>
      <w:pPr>
        <w:pStyle w:val="ListParagraph"/>
        <w:numPr>
          <w:ilvl w:val="0"/>
          <w:numId w:val="2"/>
        </w:numPr>
        <w:tabs>
          <w:tab w:pos="544" w:val="left" w:leader="none"/>
        </w:tabs>
        <w:spacing w:line="259" w:lineRule="auto" w:before="115" w:after="0"/>
        <w:ind w:left="543" w:right="823" w:hanging="428"/>
        <w:jc w:val="left"/>
        <w:rPr>
          <w:sz w:val="21"/>
        </w:rPr>
      </w:pPr>
      <w:r>
        <w:rPr>
          <w:sz w:val="21"/>
        </w:rPr>
        <w:t>Owner drivers should be paid a minimum hire </w:t>
      </w:r>
      <w:r>
        <w:rPr>
          <w:spacing w:val="-3"/>
          <w:sz w:val="21"/>
        </w:rPr>
        <w:t>rate </w:t>
      </w:r>
      <w:r>
        <w:rPr>
          <w:sz w:val="21"/>
        </w:rPr>
        <w:t>if they have been engaged by a hirer and the work is then cancelled at the hirer’s instruction with less than 24 hours’ notice.</w:t>
      </w:r>
    </w:p>
    <w:p>
      <w:pPr>
        <w:pStyle w:val="ListParagraph"/>
        <w:numPr>
          <w:ilvl w:val="0"/>
          <w:numId w:val="2"/>
        </w:numPr>
        <w:tabs>
          <w:tab w:pos="544" w:val="left" w:leader="none"/>
        </w:tabs>
        <w:spacing w:line="259" w:lineRule="auto" w:before="123" w:after="0"/>
        <w:ind w:left="543" w:right="854" w:hanging="428"/>
        <w:jc w:val="left"/>
        <w:rPr>
          <w:sz w:val="21"/>
        </w:rPr>
      </w:pPr>
      <w:r>
        <w:rPr>
          <w:sz w:val="21"/>
        </w:rPr>
        <w:t>The minimum hire rate if work is cancelled with less than 24 hours’ notice is a period of four hours calculated on the hourly fixed rate and labour costs in the applicable Schedule.</w:t>
      </w:r>
    </w:p>
    <w:p>
      <w:pPr>
        <w:spacing w:after="0" w:line="259" w:lineRule="auto"/>
        <w:jc w:val="left"/>
        <w:rPr>
          <w:sz w:val="21"/>
        </w:rPr>
        <w:sectPr>
          <w:pgSz w:w="11910" w:h="16840"/>
          <w:pgMar w:header="0" w:footer="452" w:top="1600" w:bottom="640" w:left="1300" w:right="620"/>
        </w:sectPr>
      </w:pPr>
    </w:p>
    <w:p>
      <w:pPr>
        <w:pStyle w:val="BodyText"/>
        <w:rPr>
          <w:sz w:val="20"/>
        </w:rPr>
      </w:pPr>
      <w:r>
        <w:rPr/>
        <w:drawing>
          <wp:anchor distT="0" distB="0" distL="0" distR="0" allowOverlap="1" layoutInCell="1" locked="0" behindDoc="1" simplePos="0" relativeHeight="487435264">
            <wp:simplePos x="0" y="0"/>
            <wp:positionH relativeFrom="page">
              <wp:posOffset>0</wp:posOffset>
            </wp:positionH>
            <wp:positionV relativeFrom="page">
              <wp:posOffset>0</wp:posOffset>
            </wp:positionV>
            <wp:extent cx="850900" cy="1790700"/>
            <wp:effectExtent l="0" t="0" r="0" b="0"/>
            <wp:wrapNone/>
            <wp:docPr id="11" name="image2.png"/>
            <wp:cNvGraphicFramePr>
              <a:graphicFrameLocks noChangeAspect="1"/>
            </wp:cNvGraphicFramePr>
            <a:graphic>
              <a:graphicData uri="http://schemas.openxmlformats.org/drawingml/2006/picture">
                <pic:pic>
                  <pic:nvPicPr>
                    <pic:cNvPr id="12" name="image2.png"/>
                    <pic:cNvPicPr/>
                  </pic:nvPicPr>
                  <pic:blipFill>
                    <a:blip r:embed="rId8" cstate="print"/>
                    <a:stretch>
                      <a:fillRect/>
                    </a:stretch>
                  </pic:blipFill>
                  <pic:spPr>
                    <a:xfrm>
                      <a:off x="0" y="0"/>
                      <a:ext cx="850900" cy="179070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6"/>
        </w:rPr>
      </w:pPr>
    </w:p>
    <w:p>
      <w:pPr>
        <w:pStyle w:val="ListParagraph"/>
        <w:numPr>
          <w:ilvl w:val="0"/>
          <w:numId w:val="2"/>
        </w:numPr>
        <w:tabs>
          <w:tab w:pos="544" w:val="left" w:leader="none"/>
        </w:tabs>
        <w:spacing w:line="259" w:lineRule="auto" w:before="88" w:after="0"/>
        <w:ind w:left="543" w:right="1149" w:hanging="428"/>
        <w:jc w:val="left"/>
        <w:rPr>
          <w:sz w:val="21"/>
        </w:rPr>
      </w:pPr>
      <w:r>
        <w:rPr>
          <w:sz w:val="21"/>
        </w:rPr>
        <w:t>If hirers provide alternative paid work </w:t>
      </w:r>
      <w:r>
        <w:rPr>
          <w:spacing w:val="-4"/>
          <w:sz w:val="21"/>
        </w:rPr>
        <w:t>to </w:t>
      </w:r>
      <w:r>
        <w:rPr>
          <w:sz w:val="21"/>
        </w:rPr>
        <w:t>owner drivers, the minimum hire rate for cancellation should not be</w:t>
      </w:r>
      <w:r>
        <w:rPr>
          <w:spacing w:val="-3"/>
          <w:sz w:val="21"/>
        </w:rPr>
        <w:t> </w:t>
      </w:r>
      <w:r>
        <w:rPr>
          <w:sz w:val="21"/>
        </w:rPr>
        <w:t>applied.</w:t>
      </w:r>
    </w:p>
    <w:p>
      <w:pPr>
        <w:pStyle w:val="ListParagraph"/>
        <w:numPr>
          <w:ilvl w:val="0"/>
          <w:numId w:val="2"/>
        </w:numPr>
        <w:tabs>
          <w:tab w:pos="544" w:val="left" w:leader="none"/>
        </w:tabs>
        <w:spacing w:line="259" w:lineRule="auto" w:before="122" w:after="0"/>
        <w:ind w:left="543" w:right="1154" w:hanging="428"/>
        <w:jc w:val="left"/>
        <w:rPr>
          <w:sz w:val="21"/>
        </w:rPr>
      </w:pPr>
      <w:r>
        <w:rPr>
          <w:sz w:val="21"/>
        </w:rPr>
        <w:t>The minimum hire rate does not apply </w:t>
      </w:r>
      <w:r>
        <w:rPr>
          <w:spacing w:val="-4"/>
          <w:sz w:val="21"/>
        </w:rPr>
        <w:t>to </w:t>
      </w:r>
      <w:r>
        <w:rPr>
          <w:sz w:val="21"/>
        </w:rPr>
        <w:t>the cancellation of work if the hirer has cancelled work with less than 24 hours’ notice due to events outside their</w:t>
      </w:r>
      <w:r>
        <w:rPr>
          <w:spacing w:val="-33"/>
          <w:sz w:val="21"/>
        </w:rPr>
        <w:t> </w:t>
      </w:r>
      <w:r>
        <w:rPr>
          <w:sz w:val="21"/>
        </w:rPr>
        <w:t>control.</w:t>
      </w:r>
    </w:p>
    <w:p>
      <w:pPr>
        <w:pStyle w:val="BodyText"/>
        <w:spacing w:before="10"/>
        <w:rPr>
          <w:sz w:val="17"/>
        </w:rPr>
      </w:pPr>
    </w:p>
    <w:p>
      <w:pPr>
        <w:pStyle w:val="Heading3"/>
        <w:rPr>
          <w:b/>
        </w:rPr>
      </w:pPr>
      <w:r>
        <w:rPr>
          <w:b/>
          <w:color w:val="57585B"/>
        </w:rPr>
        <w:t>Wet Weather and Cancellation</w:t>
      </w:r>
    </w:p>
    <w:p>
      <w:pPr>
        <w:pStyle w:val="ListParagraph"/>
        <w:numPr>
          <w:ilvl w:val="0"/>
          <w:numId w:val="2"/>
        </w:numPr>
        <w:tabs>
          <w:tab w:pos="544" w:val="left" w:leader="none"/>
        </w:tabs>
        <w:spacing w:line="259" w:lineRule="auto" w:before="119" w:after="0"/>
        <w:ind w:left="543" w:right="824" w:hanging="428"/>
        <w:jc w:val="left"/>
        <w:rPr>
          <w:sz w:val="21"/>
        </w:rPr>
      </w:pPr>
      <w:r>
        <w:rPr>
          <w:sz w:val="21"/>
        </w:rPr>
        <w:t>Owner drivers should be paid a minimum hire </w:t>
      </w:r>
      <w:r>
        <w:rPr>
          <w:spacing w:val="-3"/>
          <w:sz w:val="21"/>
        </w:rPr>
        <w:t>rate </w:t>
      </w:r>
      <w:r>
        <w:rPr>
          <w:sz w:val="21"/>
        </w:rPr>
        <w:t>if they have attended site but are prevented from working due to wet weather and the work is</w:t>
      </w:r>
      <w:r>
        <w:rPr>
          <w:spacing w:val="-20"/>
          <w:sz w:val="21"/>
        </w:rPr>
        <w:t> </w:t>
      </w:r>
      <w:r>
        <w:rPr>
          <w:sz w:val="21"/>
        </w:rPr>
        <w:t>cancelled.</w:t>
      </w:r>
    </w:p>
    <w:p>
      <w:pPr>
        <w:pStyle w:val="ListParagraph"/>
        <w:numPr>
          <w:ilvl w:val="0"/>
          <w:numId w:val="2"/>
        </w:numPr>
        <w:tabs>
          <w:tab w:pos="544" w:val="left" w:leader="none"/>
        </w:tabs>
        <w:spacing w:line="259" w:lineRule="auto" w:before="122" w:after="0"/>
        <w:ind w:left="543" w:right="810" w:hanging="428"/>
        <w:jc w:val="left"/>
        <w:rPr>
          <w:sz w:val="21"/>
        </w:rPr>
      </w:pPr>
      <w:r>
        <w:rPr>
          <w:sz w:val="21"/>
        </w:rPr>
        <w:t>The minimum hire rate if work is cancelled (detailed above) after </w:t>
      </w:r>
      <w:r>
        <w:rPr>
          <w:spacing w:val="-3"/>
          <w:sz w:val="21"/>
        </w:rPr>
        <w:t>site </w:t>
      </w:r>
      <w:r>
        <w:rPr>
          <w:sz w:val="21"/>
        </w:rPr>
        <w:t>attendance should be applied plus one hour calculated on the hourly fixed rate and labour costs in the applicable Schedule. This will compensate the owner driver for their travelling time.</w:t>
      </w:r>
    </w:p>
    <w:p>
      <w:pPr>
        <w:pStyle w:val="BodyText"/>
        <w:spacing w:before="12"/>
        <w:rPr>
          <w:sz w:val="17"/>
        </w:rPr>
      </w:pPr>
    </w:p>
    <w:p>
      <w:pPr>
        <w:pStyle w:val="Heading3"/>
        <w:rPr>
          <w:b/>
        </w:rPr>
      </w:pPr>
      <w:r>
        <w:rPr>
          <w:b/>
          <w:color w:val="57585B"/>
        </w:rPr>
        <w:t>Payment Terms</w:t>
      </w:r>
    </w:p>
    <w:p>
      <w:pPr>
        <w:pStyle w:val="ListParagraph"/>
        <w:numPr>
          <w:ilvl w:val="0"/>
          <w:numId w:val="2"/>
        </w:numPr>
        <w:tabs>
          <w:tab w:pos="544" w:val="left" w:leader="none"/>
        </w:tabs>
        <w:spacing w:line="259" w:lineRule="auto" w:before="114" w:after="0"/>
        <w:ind w:left="543" w:right="1328" w:hanging="428"/>
        <w:jc w:val="left"/>
        <w:rPr>
          <w:sz w:val="21"/>
        </w:rPr>
      </w:pPr>
      <w:r>
        <w:rPr>
          <w:sz w:val="21"/>
        </w:rPr>
        <w:t>Hirers should pay owner drivers’ invoices within 30 days of receipt of an invoice unless there is a dispute over the amount</w:t>
      </w:r>
      <w:r>
        <w:rPr>
          <w:spacing w:val="-12"/>
          <w:sz w:val="21"/>
        </w:rPr>
        <w:t> </w:t>
      </w:r>
      <w:r>
        <w:rPr>
          <w:sz w:val="21"/>
        </w:rPr>
        <w:t>payable.</w:t>
      </w:r>
    </w:p>
    <w:p>
      <w:pPr>
        <w:pStyle w:val="ListParagraph"/>
        <w:numPr>
          <w:ilvl w:val="0"/>
          <w:numId w:val="2"/>
        </w:numPr>
        <w:tabs>
          <w:tab w:pos="544" w:val="left" w:leader="none"/>
        </w:tabs>
        <w:spacing w:line="256" w:lineRule="auto" w:before="122" w:after="0"/>
        <w:ind w:left="543" w:right="963" w:hanging="428"/>
        <w:jc w:val="left"/>
        <w:rPr>
          <w:sz w:val="21"/>
        </w:rPr>
      </w:pPr>
      <w:r>
        <w:rPr>
          <w:sz w:val="21"/>
        </w:rPr>
        <w:t>Hirers and owner drivers can agree on alternative payment arrangements that are fair to both</w:t>
      </w:r>
      <w:r>
        <w:rPr>
          <w:spacing w:val="-5"/>
          <w:sz w:val="21"/>
        </w:rPr>
        <w:t> </w:t>
      </w:r>
      <w:r>
        <w:rPr>
          <w:sz w:val="21"/>
        </w:rPr>
        <w:t>parties.</w:t>
      </w:r>
    </w:p>
    <w:p>
      <w:pPr>
        <w:pStyle w:val="BodyText"/>
        <w:spacing w:before="2"/>
        <w:rPr>
          <w:sz w:val="18"/>
        </w:rPr>
      </w:pPr>
    </w:p>
    <w:p>
      <w:pPr>
        <w:pStyle w:val="Heading3"/>
        <w:rPr>
          <w:b/>
        </w:rPr>
      </w:pPr>
      <w:r>
        <w:rPr>
          <w:b/>
          <w:color w:val="57585B"/>
        </w:rPr>
        <w:t>The Heavy Vehicle National Law (HVNL)</w:t>
      </w:r>
    </w:p>
    <w:p>
      <w:pPr>
        <w:pStyle w:val="ListParagraph"/>
        <w:numPr>
          <w:ilvl w:val="0"/>
          <w:numId w:val="2"/>
        </w:numPr>
        <w:tabs>
          <w:tab w:pos="544" w:val="left" w:leader="none"/>
        </w:tabs>
        <w:spacing w:line="259" w:lineRule="auto" w:before="119" w:after="0"/>
        <w:ind w:left="543" w:right="1077" w:hanging="428"/>
        <w:jc w:val="left"/>
        <w:rPr>
          <w:sz w:val="21"/>
        </w:rPr>
      </w:pPr>
      <w:r>
        <w:rPr>
          <w:sz w:val="21"/>
        </w:rPr>
        <w:t>Owner drivers and hirers must comply with their legal obligations under the </w:t>
      </w:r>
      <w:r>
        <w:rPr>
          <w:spacing w:val="-3"/>
          <w:sz w:val="21"/>
        </w:rPr>
        <w:t>HVNL </w:t>
      </w:r>
      <w:r>
        <w:rPr>
          <w:sz w:val="21"/>
        </w:rPr>
        <w:t>in relation</w:t>
      </w:r>
      <w:r>
        <w:rPr>
          <w:spacing w:val="-6"/>
          <w:sz w:val="21"/>
        </w:rPr>
        <w:t> </w:t>
      </w:r>
      <w:r>
        <w:rPr>
          <w:sz w:val="21"/>
        </w:rPr>
        <w:t>to:</w:t>
      </w:r>
    </w:p>
    <w:p>
      <w:pPr>
        <w:pStyle w:val="ListParagraph"/>
        <w:numPr>
          <w:ilvl w:val="1"/>
          <w:numId w:val="2"/>
        </w:numPr>
        <w:tabs>
          <w:tab w:pos="827" w:val="left" w:leader="none"/>
        </w:tabs>
        <w:spacing w:line="240" w:lineRule="auto" w:before="117" w:after="0"/>
        <w:ind w:left="826" w:right="0" w:hanging="284"/>
        <w:jc w:val="left"/>
        <w:rPr>
          <w:sz w:val="21"/>
        </w:rPr>
      </w:pPr>
      <w:r>
        <w:rPr>
          <w:sz w:val="21"/>
        </w:rPr>
        <w:t>fatigue management for vehicles over 12 tonne Gross Vehicle Mass</w:t>
      </w:r>
      <w:r>
        <w:rPr>
          <w:spacing w:val="-20"/>
          <w:sz w:val="21"/>
        </w:rPr>
        <w:t> </w:t>
      </w:r>
      <w:r>
        <w:rPr>
          <w:sz w:val="21"/>
        </w:rPr>
        <w:t>(GVM);</w:t>
      </w:r>
    </w:p>
    <w:p>
      <w:pPr>
        <w:pStyle w:val="ListParagraph"/>
        <w:numPr>
          <w:ilvl w:val="1"/>
          <w:numId w:val="2"/>
        </w:numPr>
        <w:tabs>
          <w:tab w:pos="827" w:val="left" w:leader="none"/>
        </w:tabs>
        <w:spacing w:line="240" w:lineRule="auto" w:before="142" w:after="0"/>
        <w:ind w:left="826" w:right="0" w:hanging="284"/>
        <w:jc w:val="left"/>
        <w:rPr>
          <w:sz w:val="21"/>
        </w:rPr>
      </w:pPr>
      <w:r>
        <w:rPr>
          <w:sz w:val="21"/>
        </w:rPr>
        <w:t>mass, dimension and loading for vehicles over 12 tonne</w:t>
      </w:r>
      <w:r>
        <w:rPr>
          <w:spacing w:val="-13"/>
          <w:sz w:val="21"/>
        </w:rPr>
        <w:t> </w:t>
      </w:r>
      <w:r>
        <w:rPr>
          <w:sz w:val="21"/>
        </w:rPr>
        <w:t>GVM;</w:t>
      </w:r>
    </w:p>
    <w:p>
      <w:pPr>
        <w:pStyle w:val="ListParagraph"/>
        <w:numPr>
          <w:ilvl w:val="1"/>
          <w:numId w:val="2"/>
        </w:numPr>
        <w:tabs>
          <w:tab w:pos="827" w:val="left" w:leader="none"/>
        </w:tabs>
        <w:spacing w:line="240" w:lineRule="auto" w:before="143" w:after="0"/>
        <w:ind w:left="826" w:right="0" w:hanging="284"/>
        <w:jc w:val="left"/>
        <w:rPr>
          <w:sz w:val="21"/>
        </w:rPr>
      </w:pPr>
      <w:r>
        <w:rPr>
          <w:sz w:val="21"/>
        </w:rPr>
        <w:t>vehicle maintenance and standards for vehicles over 4 tonnes GVM;</w:t>
      </w:r>
      <w:r>
        <w:rPr>
          <w:spacing w:val="-13"/>
          <w:sz w:val="21"/>
        </w:rPr>
        <w:t> </w:t>
      </w:r>
      <w:r>
        <w:rPr>
          <w:sz w:val="21"/>
        </w:rPr>
        <w:t>and</w:t>
      </w:r>
    </w:p>
    <w:p>
      <w:pPr>
        <w:pStyle w:val="ListParagraph"/>
        <w:numPr>
          <w:ilvl w:val="1"/>
          <w:numId w:val="2"/>
        </w:numPr>
        <w:tabs>
          <w:tab w:pos="827" w:val="left" w:leader="none"/>
        </w:tabs>
        <w:spacing w:line="240" w:lineRule="auto" w:before="142" w:after="0"/>
        <w:ind w:left="826" w:right="0" w:hanging="284"/>
        <w:jc w:val="left"/>
        <w:rPr>
          <w:sz w:val="21"/>
        </w:rPr>
      </w:pPr>
      <w:r>
        <w:rPr>
          <w:sz w:val="21"/>
        </w:rPr>
        <w:t>chain of responsibility for vehicles over 4.5 </w:t>
      </w:r>
      <w:r>
        <w:rPr>
          <w:spacing w:val="-3"/>
          <w:sz w:val="21"/>
        </w:rPr>
        <w:t>tonne</w:t>
      </w:r>
      <w:r>
        <w:rPr>
          <w:spacing w:val="-8"/>
          <w:sz w:val="21"/>
        </w:rPr>
        <w:t> </w:t>
      </w:r>
      <w:r>
        <w:rPr>
          <w:sz w:val="21"/>
        </w:rPr>
        <w:t>GVM.</w:t>
      </w:r>
    </w:p>
    <w:p>
      <w:pPr>
        <w:pStyle w:val="BodyText"/>
        <w:spacing w:before="6"/>
        <w:rPr>
          <w:sz w:val="19"/>
        </w:rPr>
      </w:pPr>
    </w:p>
    <w:p>
      <w:pPr>
        <w:pStyle w:val="Heading4"/>
        <w:rPr>
          <w:b/>
        </w:rPr>
      </w:pPr>
      <w:r>
        <w:rPr>
          <w:b/>
          <w:color w:val="09BABF"/>
        </w:rPr>
        <w:t>National Heavy Vehicle Accreditation Scheme (NHVAS)</w:t>
      </w:r>
    </w:p>
    <w:p>
      <w:pPr>
        <w:pStyle w:val="ListParagraph"/>
        <w:numPr>
          <w:ilvl w:val="0"/>
          <w:numId w:val="2"/>
        </w:numPr>
        <w:tabs>
          <w:tab w:pos="544" w:val="left" w:leader="none"/>
        </w:tabs>
        <w:spacing w:line="259" w:lineRule="auto" w:before="124" w:after="0"/>
        <w:ind w:left="543" w:right="917" w:hanging="428"/>
        <w:jc w:val="left"/>
        <w:rPr>
          <w:sz w:val="21"/>
        </w:rPr>
      </w:pPr>
      <w:r>
        <w:rPr>
          <w:sz w:val="21"/>
        </w:rPr>
        <w:t>Operated by the National Heavy Vehicle Regulator, the NHVAS is a compliance scheme for the operation of heavy vehicles. The NVHAS recognises those operators who have robust safety and other management systems in</w:t>
      </w:r>
      <w:r>
        <w:rPr>
          <w:spacing w:val="-21"/>
          <w:sz w:val="21"/>
        </w:rPr>
        <w:t> </w:t>
      </w:r>
      <w:r>
        <w:rPr>
          <w:sz w:val="21"/>
        </w:rPr>
        <w:t>place.</w:t>
      </w:r>
    </w:p>
    <w:p>
      <w:pPr>
        <w:pStyle w:val="BodyText"/>
        <w:spacing w:before="7"/>
        <w:rPr>
          <w:sz w:val="17"/>
        </w:rPr>
      </w:pPr>
    </w:p>
    <w:p>
      <w:pPr>
        <w:pStyle w:val="Heading4"/>
        <w:rPr>
          <w:b/>
        </w:rPr>
      </w:pPr>
      <w:r>
        <w:rPr>
          <w:b/>
          <w:color w:val="09BABF"/>
        </w:rPr>
        <w:t>Monitoring Weight</w:t>
      </w:r>
    </w:p>
    <w:p>
      <w:pPr>
        <w:pStyle w:val="ListParagraph"/>
        <w:numPr>
          <w:ilvl w:val="0"/>
          <w:numId w:val="2"/>
        </w:numPr>
        <w:tabs>
          <w:tab w:pos="544" w:val="left" w:leader="none"/>
        </w:tabs>
        <w:spacing w:line="256" w:lineRule="auto" w:before="124" w:after="0"/>
        <w:ind w:left="543" w:right="1130" w:hanging="428"/>
        <w:jc w:val="left"/>
        <w:rPr>
          <w:sz w:val="21"/>
        </w:rPr>
      </w:pPr>
      <w:r>
        <w:rPr>
          <w:sz w:val="21"/>
        </w:rPr>
        <w:t>Hirers and owner drivers should have systems in place to monitor load weights to ensure compliance with legal requirements relating to gross and axle</w:t>
      </w:r>
      <w:r>
        <w:rPr>
          <w:spacing w:val="-21"/>
          <w:sz w:val="21"/>
        </w:rPr>
        <w:t> </w:t>
      </w:r>
      <w:r>
        <w:rPr>
          <w:sz w:val="21"/>
        </w:rPr>
        <w:t>weights.</w:t>
      </w:r>
    </w:p>
    <w:p>
      <w:pPr>
        <w:pStyle w:val="ListParagraph"/>
        <w:numPr>
          <w:ilvl w:val="0"/>
          <w:numId w:val="2"/>
        </w:numPr>
        <w:tabs>
          <w:tab w:pos="544" w:val="left" w:leader="none"/>
        </w:tabs>
        <w:spacing w:line="259" w:lineRule="auto" w:before="123" w:after="0"/>
        <w:ind w:left="543" w:right="1902" w:hanging="428"/>
        <w:jc w:val="left"/>
        <w:rPr>
          <w:sz w:val="21"/>
        </w:rPr>
      </w:pPr>
      <w:r>
        <w:rPr>
          <w:sz w:val="21"/>
        </w:rPr>
        <w:t>To reduce the risk of owner drivers exceeding mass limits, on-board mass monitoring systems can be</w:t>
      </w:r>
      <w:r>
        <w:rPr>
          <w:spacing w:val="-10"/>
          <w:sz w:val="21"/>
        </w:rPr>
        <w:t> </w:t>
      </w:r>
      <w:r>
        <w:rPr>
          <w:sz w:val="21"/>
        </w:rPr>
        <w:t>used.</w:t>
      </w:r>
    </w:p>
    <w:p>
      <w:pPr>
        <w:spacing w:after="0" w:line="259" w:lineRule="auto"/>
        <w:jc w:val="left"/>
        <w:rPr>
          <w:sz w:val="21"/>
        </w:rPr>
        <w:sectPr>
          <w:pgSz w:w="11910" w:h="16840"/>
          <w:pgMar w:header="0" w:footer="452" w:top="0" w:bottom="640" w:left="1300" w:right="620"/>
        </w:sectPr>
      </w:pPr>
    </w:p>
    <w:p>
      <w:pPr>
        <w:pStyle w:val="BodyText"/>
        <w:rPr>
          <w:sz w:val="8"/>
        </w:rPr>
      </w:pPr>
      <w:r>
        <w:rPr/>
        <w:drawing>
          <wp:anchor distT="0" distB="0" distL="0" distR="0" allowOverlap="1" layoutInCell="1" locked="0" behindDoc="1" simplePos="0" relativeHeight="487435776">
            <wp:simplePos x="0" y="0"/>
            <wp:positionH relativeFrom="page">
              <wp:posOffset>5980428</wp:posOffset>
            </wp:positionH>
            <wp:positionV relativeFrom="page">
              <wp:posOffset>7325361</wp:posOffset>
            </wp:positionV>
            <wp:extent cx="1578864" cy="3336760"/>
            <wp:effectExtent l="0" t="0" r="0" b="0"/>
            <wp:wrapNone/>
            <wp:docPr id="13" name="image3.jpeg"/>
            <wp:cNvGraphicFramePr>
              <a:graphicFrameLocks noChangeAspect="1"/>
            </wp:cNvGraphicFramePr>
            <a:graphic>
              <a:graphicData uri="http://schemas.openxmlformats.org/drawingml/2006/picture">
                <pic:pic>
                  <pic:nvPicPr>
                    <pic:cNvPr id="14" name="image3.jpeg"/>
                    <pic:cNvPicPr/>
                  </pic:nvPicPr>
                  <pic:blipFill>
                    <a:blip r:embed="rId9" cstate="print"/>
                    <a:stretch>
                      <a:fillRect/>
                    </a:stretch>
                  </pic:blipFill>
                  <pic:spPr>
                    <a:xfrm>
                      <a:off x="0" y="0"/>
                      <a:ext cx="1578864" cy="3336760"/>
                    </a:xfrm>
                    <a:prstGeom prst="rect">
                      <a:avLst/>
                    </a:prstGeom>
                  </pic:spPr>
                </pic:pic>
              </a:graphicData>
            </a:graphic>
          </wp:anchor>
        </w:drawing>
      </w:r>
    </w:p>
    <w:p>
      <w:pPr>
        <w:pStyle w:val="Heading4"/>
        <w:spacing w:before="87"/>
        <w:rPr>
          <w:b/>
        </w:rPr>
      </w:pPr>
      <w:r>
        <w:rPr>
          <w:b/>
          <w:color w:val="09BABF"/>
        </w:rPr>
        <w:t>Vehicle Standards</w:t>
      </w:r>
    </w:p>
    <w:p>
      <w:pPr>
        <w:pStyle w:val="ListParagraph"/>
        <w:numPr>
          <w:ilvl w:val="0"/>
          <w:numId w:val="2"/>
        </w:numPr>
        <w:tabs>
          <w:tab w:pos="544" w:val="left" w:leader="none"/>
        </w:tabs>
        <w:spacing w:line="259" w:lineRule="auto" w:before="124" w:after="0"/>
        <w:ind w:left="543" w:right="901" w:hanging="428"/>
        <w:jc w:val="left"/>
        <w:rPr>
          <w:sz w:val="21"/>
        </w:rPr>
      </w:pPr>
      <w:r>
        <w:rPr>
          <w:sz w:val="21"/>
        </w:rPr>
        <w:t>Owner drivers should ensure their vehicles are maintained in good mechanical condition, as heavy vehicles on public roads </w:t>
      </w:r>
      <w:r>
        <w:rPr>
          <w:spacing w:val="-3"/>
          <w:sz w:val="21"/>
        </w:rPr>
        <w:t>must </w:t>
      </w:r>
      <w:r>
        <w:rPr>
          <w:sz w:val="21"/>
        </w:rPr>
        <w:t>be of a roadworthy standard and maintained in a condition that prevents or minimises safety</w:t>
      </w:r>
      <w:r>
        <w:rPr>
          <w:spacing w:val="-25"/>
          <w:sz w:val="21"/>
        </w:rPr>
        <w:t> </w:t>
      </w:r>
      <w:r>
        <w:rPr>
          <w:sz w:val="21"/>
        </w:rPr>
        <w:t>risks.</w:t>
      </w:r>
    </w:p>
    <w:p>
      <w:pPr>
        <w:pStyle w:val="ListParagraph"/>
        <w:numPr>
          <w:ilvl w:val="0"/>
          <w:numId w:val="2"/>
        </w:numPr>
        <w:tabs>
          <w:tab w:pos="544" w:val="left" w:leader="none"/>
        </w:tabs>
        <w:spacing w:line="259" w:lineRule="auto" w:before="118" w:after="0"/>
        <w:ind w:left="543" w:right="1076" w:hanging="428"/>
        <w:jc w:val="left"/>
        <w:rPr>
          <w:sz w:val="21"/>
        </w:rPr>
      </w:pPr>
      <w:r>
        <w:rPr>
          <w:sz w:val="21"/>
        </w:rPr>
        <w:t>Vehicle defects have a significant negative </w:t>
      </w:r>
      <w:r>
        <w:rPr>
          <w:spacing w:val="-3"/>
          <w:sz w:val="21"/>
        </w:rPr>
        <w:t>impact </w:t>
      </w:r>
      <w:r>
        <w:rPr>
          <w:sz w:val="21"/>
        </w:rPr>
        <w:t>on the safe operation of heavy vehicles. Defects in critical components such as brakes, steering, suspension, wheels, tyres and hubs can contribute to the likelihood of drivers losing control of their</w:t>
      </w:r>
      <w:r>
        <w:rPr>
          <w:spacing w:val="-1"/>
          <w:sz w:val="21"/>
        </w:rPr>
        <w:t> </w:t>
      </w:r>
      <w:r>
        <w:rPr>
          <w:sz w:val="21"/>
        </w:rPr>
        <w:t>vehicle.</w:t>
      </w:r>
    </w:p>
    <w:p>
      <w:pPr>
        <w:pStyle w:val="ListParagraph"/>
        <w:numPr>
          <w:ilvl w:val="0"/>
          <w:numId w:val="2"/>
        </w:numPr>
        <w:tabs>
          <w:tab w:pos="544" w:val="left" w:leader="none"/>
        </w:tabs>
        <w:spacing w:line="259" w:lineRule="auto" w:before="119" w:after="0"/>
        <w:ind w:left="543" w:right="996" w:hanging="428"/>
        <w:jc w:val="left"/>
        <w:rPr>
          <w:sz w:val="21"/>
        </w:rPr>
      </w:pPr>
      <w:r>
        <w:rPr>
          <w:sz w:val="21"/>
        </w:rPr>
        <w:t>Owner drivers should ensure mechanical faults are identified, diagnosed and fixed as they arise. Accurate maintenance records </w:t>
      </w:r>
      <w:r>
        <w:rPr>
          <w:spacing w:val="-3"/>
          <w:sz w:val="21"/>
        </w:rPr>
        <w:t>should </w:t>
      </w:r>
      <w:r>
        <w:rPr>
          <w:sz w:val="21"/>
        </w:rPr>
        <w:t>be kept providing evidence that vehicles have been properly</w:t>
      </w:r>
      <w:r>
        <w:rPr>
          <w:spacing w:val="-16"/>
          <w:sz w:val="21"/>
        </w:rPr>
        <w:t> </w:t>
      </w:r>
      <w:r>
        <w:rPr>
          <w:sz w:val="21"/>
        </w:rPr>
        <w:t>maintained.</w:t>
      </w:r>
    </w:p>
    <w:p>
      <w:pPr>
        <w:pStyle w:val="BodyText"/>
        <w:spacing w:before="7"/>
        <w:rPr>
          <w:sz w:val="17"/>
        </w:rPr>
      </w:pPr>
    </w:p>
    <w:p>
      <w:pPr>
        <w:pStyle w:val="Heading4"/>
        <w:spacing w:before="1"/>
        <w:rPr>
          <w:b/>
        </w:rPr>
      </w:pPr>
      <w:r>
        <w:rPr>
          <w:b/>
          <w:color w:val="09BABF"/>
        </w:rPr>
        <w:t>Licensing and Vehicle Registration</w:t>
      </w:r>
    </w:p>
    <w:p>
      <w:pPr>
        <w:pStyle w:val="ListParagraph"/>
        <w:numPr>
          <w:ilvl w:val="0"/>
          <w:numId w:val="2"/>
        </w:numPr>
        <w:tabs>
          <w:tab w:pos="544" w:val="left" w:leader="none"/>
        </w:tabs>
        <w:spacing w:line="240" w:lineRule="auto" w:before="123" w:after="0"/>
        <w:ind w:left="543" w:right="0" w:hanging="429"/>
        <w:jc w:val="left"/>
        <w:rPr>
          <w:sz w:val="21"/>
        </w:rPr>
      </w:pPr>
      <w:r>
        <w:rPr>
          <w:sz w:val="21"/>
        </w:rPr>
        <w:t>Owner drivers</w:t>
      </w:r>
      <w:r>
        <w:rPr>
          <w:spacing w:val="-9"/>
          <w:sz w:val="21"/>
        </w:rPr>
        <w:t> </w:t>
      </w:r>
      <w:r>
        <w:rPr>
          <w:sz w:val="21"/>
        </w:rPr>
        <w:t>must:</w:t>
      </w:r>
    </w:p>
    <w:p>
      <w:pPr>
        <w:pStyle w:val="ListParagraph"/>
        <w:numPr>
          <w:ilvl w:val="1"/>
          <w:numId w:val="2"/>
        </w:numPr>
        <w:tabs>
          <w:tab w:pos="827" w:val="left" w:leader="none"/>
        </w:tabs>
        <w:spacing w:line="240" w:lineRule="auto" w:before="138" w:after="0"/>
        <w:ind w:left="826" w:right="0" w:hanging="284"/>
        <w:jc w:val="left"/>
        <w:rPr>
          <w:sz w:val="21"/>
        </w:rPr>
      </w:pPr>
      <w:r>
        <w:rPr>
          <w:sz w:val="21"/>
        </w:rPr>
        <w:t>hold a valid driver’s licence for the category of vehicle they </w:t>
      </w:r>
      <w:r>
        <w:rPr>
          <w:spacing w:val="-3"/>
          <w:sz w:val="21"/>
        </w:rPr>
        <w:t>are </w:t>
      </w:r>
      <w:r>
        <w:rPr>
          <w:sz w:val="21"/>
        </w:rPr>
        <w:t>operating;</w:t>
      </w:r>
      <w:r>
        <w:rPr>
          <w:spacing w:val="-10"/>
          <w:sz w:val="21"/>
        </w:rPr>
        <w:t> </w:t>
      </w:r>
      <w:r>
        <w:rPr>
          <w:sz w:val="21"/>
        </w:rPr>
        <w:t>and</w:t>
      </w:r>
    </w:p>
    <w:p>
      <w:pPr>
        <w:pStyle w:val="ListParagraph"/>
        <w:numPr>
          <w:ilvl w:val="1"/>
          <w:numId w:val="2"/>
        </w:numPr>
        <w:tabs>
          <w:tab w:pos="827" w:val="left" w:leader="none"/>
        </w:tabs>
        <w:spacing w:line="259" w:lineRule="auto" w:before="143" w:after="0"/>
        <w:ind w:left="826" w:right="941" w:hanging="284"/>
        <w:jc w:val="left"/>
        <w:rPr>
          <w:sz w:val="21"/>
        </w:rPr>
      </w:pPr>
      <w:r>
        <w:rPr>
          <w:sz w:val="21"/>
        </w:rPr>
        <w:t>ensure their vehicle is registered in the correct category </w:t>
      </w:r>
      <w:r>
        <w:rPr>
          <w:spacing w:val="-4"/>
          <w:sz w:val="21"/>
        </w:rPr>
        <w:t>to </w:t>
      </w:r>
      <w:r>
        <w:rPr>
          <w:sz w:val="21"/>
        </w:rPr>
        <w:t>drive on public roads in</w:t>
      </w:r>
      <w:r>
        <w:rPr>
          <w:spacing w:val="-3"/>
          <w:sz w:val="21"/>
        </w:rPr>
        <w:t> </w:t>
      </w:r>
      <w:r>
        <w:rPr>
          <w:sz w:val="21"/>
        </w:rPr>
        <w:t>Victoria.</w:t>
      </w:r>
    </w:p>
    <w:p>
      <w:pPr>
        <w:pStyle w:val="ListParagraph"/>
        <w:numPr>
          <w:ilvl w:val="0"/>
          <w:numId w:val="2"/>
        </w:numPr>
        <w:tabs>
          <w:tab w:pos="544" w:val="left" w:leader="none"/>
        </w:tabs>
        <w:spacing w:line="259" w:lineRule="auto" w:before="122" w:after="0"/>
        <w:ind w:left="543" w:right="921" w:hanging="428"/>
        <w:jc w:val="left"/>
        <w:rPr>
          <w:sz w:val="21"/>
        </w:rPr>
      </w:pPr>
      <w:r>
        <w:rPr>
          <w:sz w:val="21"/>
        </w:rPr>
        <w:t>Victoria has a graduated licensing system, meaning classes of heavy vehicle licences </w:t>
      </w:r>
      <w:r>
        <w:rPr>
          <w:spacing w:val="-3"/>
          <w:sz w:val="21"/>
        </w:rPr>
        <w:t>are </w:t>
      </w:r>
      <w:r>
        <w:rPr>
          <w:sz w:val="21"/>
        </w:rPr>
        <w:t>only available to people who meet the minimum age requirements and have the required experience in the licensing category.</w:t>
      </w:r>
    </w:p>
    <w:p>
      <w:pPr>
        <w:pStyle w:val="ListParagraph"/>
        <w:numPr>
          <w:ilvl w:val="0"/>
          <w:numId w:val="2"/>
        </w:numPr>
        <w:tabs>
          <w:tab w:pos="544" w:val="left" w:leader="none"/>
        </w:tabs>
        <w:spacing w:line="259" w:lineRule="auto" w:before="118" w:after="0"/>
        <w:ind w:left="543" w:right="1003" w:hanging="428"/>
        <w:jc w:val="left"/>
        <w:rPr>
          <w:sz w:val="21"/>
        </w:rPr>
      </w:pPr>
      <w:r>
        <w:rPr>
          <w:sz w:val="21"/>
        </w:rPr>
        <w:t>Hirers should validate the owner driver’s registration, licence category and experience to satisfy themselves the owner driver can legally drive the category of vehicle.</w:t>
      </w:r>
    </w:p>
    <w:p>
      <w:pPr>
        <w:pStyle w:val="ListParagraph"/>
        <w:numPr>
          <w:ilvl w:val="0"/>
          <w:numId w:val="2"/>
        </w:numPr>
        <w:tabs>
          <w:tab w:pos="544" w:val="left" w:leader="none"/>
        </w:tabs>
        <w:spacing w:line="256" w:lineRule="auto" w:before="123" w:after="0"/>
        <w:ind w:left="543" w:right="1191" w:hanging="428"/>
        <w:jc w:val="left"/>
        <w:rPr>
          <w:sz w:val="21"/>
        </w:rPr>
      </w:pPr>
      <w:r>
        <w:rPr>
          <w:sz w:val="21"/>
        </w:rPr>
        <w:t>Owner drivers should immediately notify hirers </w:t>
      </w:r>
      <w:r>
        <w:rPr>
          <w:spacing w:val="-3"/>
          <w:sz w:val="21"/>
        </w:rPr>
        <w:t>if </w:t>
      </w:r>
      <w:r>
        <w:rPr>
          <w:sz w:val="21"/>
        </w:rPr>
        <w:t>the status or conditions of their driver’s licence or registration</w:t>
      </w:r>
      <w:r>
        <w:rPr>
          <w:spacing w:val="-11"/>
          <w:sz w:val="21"/>
        </w:rPr>
        <w:t> </w:t>
      </w:r>
      <w:r>
        <w:rPr>
          <w:sz w:val="21"/>
        </w:rPr>
        <w:t>change.</w:t>
      </w:r>
    </w:p>
    <w:p>
      <w:pPr>
        <w:pStyle w:val="BodyText"/>
        <w:spacing w:before="12"/>
        <w:rPr>
          <w:sz w:val="17"/>
        </w:rPr>
      </w:pPr>
    </w:p>
    <w:p>
      <w:pPr>
        <w:pStyle w:val="Heading4"/>
        <w:rPr>
          <w:b/>
        </w:rPr>
      </w:pPr>
      <w:r>
        <w:rPr>
          <w:b/>
          <w:color w:val="09BABF"/>
        </w:rPr>
        <w:t>Further Information about HVNL</w:t>
      </w:r>
    </w:p>
    <w:p>
      <w:pPr>
        <w:pStyle w:val="ListParagraph"/>
        <w:numPr>
          <w:ilvl w:val="0"/>
          <w:numId w:val="2"/>
        </w:numPr>
        <w:tabs>
          <w:tab w:pos="544" w:val="left" w:leader="none"/>
        </w:tabs>
        <w:spacing w:line="256" w:lineRule="auto" w:before="124" w:after="0"/>
        <w:ind w:left="543" w:right="1361" w:hanging="428"/>
        <w:jc w:val="left"/>
        <w:rPr>
          <w:sz w:val="21"/>
        </w:rPr>
      </w:pPr>
      <w:r>
        <w:rPr>
          <w:sz w:val="21"/>
        </w:rPr>
        <w:t>Further information about legal requirements under the HVNL can be found at: </w:t>
      </w:r>
      <w:hyperlink r:id="rId15">
        <w:r>
          <w:rPr>
            <w:sz w:val="21"/>
          </w:rPr>
          <w:t>www.nhvr.gov.au</w:t>
        </w:r>
      </w:hyperlink>
    </w:p>
    <w:p>
      <w:pPr>
        <w:pStyle w:val="BodyText"/>
        <w:spacing w:before="12"/>
        <w:rPr>
          <w:sz w:val="26"/>
        </w:rPr>
      </w:pPr>
    </w:p>
    <w:p>
      <w:pPr>
        <w:pStyle w:val="Heading2"/>
      </w:pPr>
      <w:r>
        <w:rPr>
          <w:color w:val="09BABF"/>
        </w:rPr>
        <w:t>HELP AND SUPPORT</w:t>
      </w:r>
    </w:p>
    <w:p>
      <w:pPr>
        <w:pStyle w:val="BodyText"/>
        <w:spacing w:line="362" w:lineRule="auto" w:before="120"/>
        <w:ind w:left="115" w:right="1172"/>
      </w:pPr>
      <w:r>
        <w:rPr/>
        <w:t>For further information about or assistance with the application of the Code contact: </w:t>
      </w:r>
      <w:r>
        <w:rPr>
          <w:color w:val="0FB5BA"/>
        </w:rPr>
        <w:t>Industrial Relations Victoria: </w:t>
      </w:r>
      <w:hyperlink r:id="rId16">
        <w:r>
          <w:rPr/>
          <w:t>irv.info@dpc.vic.gov.au</w:t>
        </w:r>
      </w:hyperlink>
    </w:p>
    <w:p>
      <w:pPr>
        <w:pStyle w:val="BodyText"/>
        <w:spacing w:line="357" w:lineRule="auto"/>
        <w:ind w:left="115" w:right="4175"/>
      </w:pPr>
      <w:r>
        <w:rPr>
          <w:color w:val="0FB5BA"/>
        </w:rPr>
        <w:t>Transport Workers Union - Vic Branch: </w:t>
      </w:r>
      <w:hyperlink r:id="rId17">
        <w:r>
          <w:rPr/>
          <w:t>info@twu.asn.au</w:t>
        </w:r>
      </w:hyperlink>
      <w:r>
        <w:rPr/>
        <w:t> </w:t>
      </w:r>
      <w:r>
        <w:rPr>
          <w:color w:val="0FB5BA"/>
        </w:rPr>
        <w:t>Victorian Transport Association: </w:t>
      </w:r>
      <w:hyperlink r:id="rId18">
        <w:r>
          <w:rPr/>
          <w:t>reception@vta.com.au</w:t>
        </w:r>
      </w:hyperlink>
    </w:p>
    <w:p>
      <w:pPr>
        <w:spacing w:after="0" w:line="357" w:lineRule="auto"/>
        <w:sectPr>
          <w:pgSz w:w="11910" w:h="16840"/>
          <w:pgMar w:header="0" w:footer="452" w:top="1600" w:bottom="640" w:left="1300" w:right="620"/>
        </w:sectPr>
      </w:pPr>
    </w:p>
    <w:p>
      <w:pPr>
        <w:pStyle w:val="BodyText"/>
        <w:ind w:left="-1300"/>
        <w:rPr>
          <w:sz w:val="20"/>
        </w:rPr>
      </w:pPr>
      <w:r>
        <w:rPr/>
        <w:pict>
          <v:group style="position:absolute;margin-left:0pt;margin-top:-.2998pt;width:595.25pt;height:841pt;mso-position-horizontal-relative:page;mso-position-vertical-relative:page;z-index:15732224" coordorigin="0,-6" coordsize="11905,16820">
            <v:shape style="position:absolute;left:0;top:4;width:11905;height:16800" type="#_x0000_t75" stroked="false">
              <v:imagedata r:id="rId20" o:title=""/>
            </v:shape>
            <v:shape style="position:absolute;left:0;top:4;width:11905;height:16800" coordorigin="0,4" coordsize="11905,16800" path="m0,4l11904,4m11904,16804l0,16804e" filled="false" stroked="true" strokeweight="1.0pt" strokecolor="#003e2c">
              <v:path arrowok="t"/>
              <v:stroke dashstyle="solid"/>
            </v:shape>
            <w10:wrap type="none"/>
          </v:group>
        </w:pict>
      </w:r>
      <w:r>
        <w:rPr>
          <w:sz w:val="20"/>
        </w:rPr>
        <w:drawing>
          <wp:inline distT="0" distB="0" distL="0" distR="0">
            <wp:extent cx="851624" cy="1792224"/>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8" cstate="print"/>
                    <a:stretch>
                      <a:fillRect/>
                    </a:stretch>
                  </pic:blipFill>
                  <pic:spPr>
                    <a:xfrm>
                      <a:off x="0" y="0"/>
                      <a:ext cx="851624" cy="1792224"/>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2"/>
        </w:rPr>
      </w:pPr>
    </w:p>
    <w:sdt>
      <w:sdtPr>
        <w:docPartObj>
          <w:docPartGallery w:val="Table of Contents"/>
          <w:docPartUnique/>
        </w:docPartObj>
      </w:sdtPr>
      <w:sdtEndPr/>
      <w:sdtContent>
        <w:p>
          <w:pPr>
            <w:pStyle w:val="TOC1"/>
            <w:tabs>
              <w:tab w:pos="9883" w:val="right" w:leader="none"/>
            </w:tabs>
          </w:pPr>
          <w:r>
            <w:fldChar w:fldCharType="begin"/>
          </w:r>
          <w:r>
            <w:instrText>TOC \o "1-1" \h \z \u </w:instrText>
          </w:r>
          <w:r>
            <w:fldChar w:fldCharType="separate"/>
          </w:r>
          <w:hyperlink w:history="true" w:anchor="_TOC_250000">
            <w:r>
              <w:rPr>
                <w:color w:val="57585B"/>
              </w:rPr>
              <w:t>TIP TRUCK CODE</w:t>
            </w:r>
            <w:r>
              <w:rPr>
                <w:color w:val="57585B"/>
                <w:spacing w:val="-3"/>
              </w:rPr>
              <w:t> OF</w:t>
            </w:r>
            <w:r>
              <w:rPr>
                <w:color w:val="57585B"/>
                <w:spacing w:val="4"/>
              </w:rPr>
              <w:t> </w:t>
            </w:r>
            <w:r>
              <w:rPr>
                <w:color w:val="57585B"/>
              </w:rPr>
              <w:t>PRACTICE</w:t>
              <w:tab/>
              <w:t>7</w:t>
            </w:r>
          </w:hyperlink>
        </w:p>
        <w:p>
          <w:pPr/>
          <w:r>
            <w:fldChar w:fldCharType="end"/>
          </w:r>
        </w:p>
      </w:sdtContent>
    </w:sdt>
    <w:sectPr>
      <w:footerReference w:type="even" r:id="rId19"/>
      <w:pgSz w:w="11910" w:h="16840"/>
      <w:pgMar w:footer="0" w:header="0" w:top="0" w:bottom="280" w:left="13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IC">
    <w:altName w:val="VIC"/>
    <w:charset w:val="0"/>
    <w:family w:val="auto"/>
    <w:pitch w:val="variable"/>
  </w:font>
  <w:font w:name="Symbol">
    <w:altName w:val="Symbol"/>
    <w:charset w:val="2"/>
    <w:family w:val="roman"/>
    <w:pitch w:val="variable"/>
  </w:font>
  <w:font w:name="VIC SemiBold">
    <w:altName w:val="VIC SemiBold"/>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33.399994pt;margin-top:808.413818pt;width:103.45pt;height:9.25pt;mso-position-horizontal-relative:page;mso-position-vertical-relative:page;z-index:-15883776" type="#_x0000_t202" filled="false" stroked="false">
          <v:textbox inset="0,0,0,0">
            <w:txbxContent>
              <w:p>
                <w:pPr>
                  <w:spacing w:before="15"/>
                  <w:ind w:left="20" w:right="0" w:firstLine="0"/>
                  <w:jc w:val="left"/>
                  <w:rPr>
                    <w:rFonts w:ascii="Arial"/>
                    <w:b/>
                    <w:sz w:val="13"/>
                  </w:rPr>
                </w:pPr>
                <w:r>
                  <w:rPr>
                    <w:rFonts w:ascii="Arial"/>
                    <w:b/>
                    <w:color w:val="57585B"/>
                    <w:sz w:val="13"/>
                  </w:rPr>
                  <w:t>TIP TRUCK CODE OF PRACTICE</w:t>
                </w:r>
              </w:p>
            </w:txbxContent>
          </v:textbox>
          <w10:wrap type="none"/>
        </v:shape>
      </w:pict>
    </w:r>
    <w:r>
      <w:rPr/>
      <w:pict>
        <v:shape style="position:absolute;margin-left:552.599976pt;margin-top:808.413818pt;width:9.65pt;height:9.25pt;mso-position-horizontal-relative:page;mso-position-vertical-relative:page;z-index:-15883264" type="#_x0000_t202" filled="false" stroked="false">
          <v:textbox inset="0,0,0,0">
            <w:txbxContent>
              <w:p>
                <w:pPr>
                  <w:spacing w:before="15"/>
                  <w:ind w:left="60" w:right="0" w:firstLine="0"/>
                  <w:jc w:val="left"/>
                  <w:rPr>
                    <w:rFonts w:ascii="Arial"/>
                    <w:b/>
                    <w:sz w:val="13"/>
                  </w:rPr>
                </w:pPr>
                <w:r>
                  <w:rPr/>
                  <w:fldChar w:fldCharType="begin"/>
                </w:r>
                <w:r>
                  <w:rPr>
                    <w:rFonts w:ascii="Arial"/>
                    <w:b/>
                    <w:color w:val="57585B"/>
                    <w:w w:val="99"/>
                    <w:sz w:val="13"/>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799999pt;margin-top:808.413818pt;width:9.65pt;height:9.25pt;mso-position-horizontal-relative:page;mso-position-vertical-relative:page;z-index:-15882752" type="#_x0000_t202" filled="false" stroked="false">
          <v:textbox inset="0,0,0,0">
            <w:txbxContent>
              <w:p>
                <w:pPr>
                  <w:spacing w:before="15"/>
                  <w:ind w:left="60" w:right="0" w:firstLine="0"/>
                  <w:jc w:val="left"/>
                  <w:rPr>
                    <w:rFonts w:ascii="Arial"/>
                    <w:b/>
                    <w:sz w:val="13"/>
                  </w:rPr>
                </w:pPr>
                <w:r>
                  <w:rPr/>
                  <w:fldChar w:fldCharType="begin"/>
                </w:r>
                <w:r>
                  <w:rPr>
                    <w:rFonts w:ascii="Arial"/>
                    <w:b/>
                    <w:color w:val="57585B"/>
                    <w:w w:val="99"/>
                    <w:sz w:val="13"/>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43" w:hanging="428"/>
        <w:jc w:val="left"/>
      </w:pPr>
      <w:rPr>
        <w:rFonts w:hint="default" w:ascii="VIC" w:hAnsi="VIC" w:eastAsia="VIC" w:cs="VIC"/>
        <w:spacing w:val="0"/>
        <w:w w:val="100"/>
        <w:sz w:val="21"/>
        <w:szCs w:val="21"/>
      </w:rPr>
    </w:lvl>
    <w:lvl w:ilvl="1">
      <w:start w:val="0"/>
      <w:numFmt w:val="bullet"/>
      <w:lvlText w:val=""/>
      <w:lvlJc w:val="left"/>
      <w:pPr>
        <w:ind w:left="836" w:hanging="360"/>
      </w:pPr>
      <w:rPr>
        <w:rFonts w:hint="default" w:ascii="Symbol" w:hAnsi="Symbol" w:eastAsia="Symbol" w:cs="Symbol"/>
        <w:w w:val="100"/>
        <w:sz w:val="21"/>
        <w:szCs w:val="21"/>
      </w:rPr>
    </w:lvl>
    <w:lvl w:ilvl="2">
      <w:start w:val="0"/>
      <w:numFmt w:val="bullet"/>
      <w:lvlText w:val="•"/>
      <w:lvlJc w:val="left"/>
      <w:pPr>
        <w:ind w:left="840" w:hanging="360"/>
      </w:pPr>
      <w:rPr>
        <w:rFonts w:hint="default"/>
      </w:rPr>
    </w:lvl>
    <w:lvl w:ilvl="3">
      <w:start w:val="0"/>
      <w:numFmt w:val="bullet"/>
      <w:lvlText w:val="•"/>
      <w:lvlJc w:val="left"/>
      <w:pPr>
        <w:ind w:left="960" w:hanging="360"/>
      </w:pPr>
      <w:rPr>
        <w:rFonts w:hint="default"/>
      </w:rPr>
    </w:lvl>
    <w:lvl w:ilvl="4">
      <w:start w:val="0"/>
      <w:numFmt w:val="bullet"/>
      <w:lvlText w:val="•"/>
      <w:lvlJc w:val="left"/>
      <w:pPr>
        <w:ind w:left="2249" w:hanging="360"/>
      </w:pPr>
      <w:rPr>
        <w:rFonts w:hint="default"/>
      </w:rPr>
    </w:lvl>
    <w:lvl w:ilvl="5">
      <w:start w:val="0"/>
      <w:numFmt w:val="bullet"/>
      <w:lvlText w:val="•"/>
      <w:lvlJc w:val="left"/>
      <w:pPr>
        <w:ind w:left="3538" w:hanging="360"/>
      </w:pPr>
      <w:rPr>
        <w:rFonts w:hint="default"/>
      </w:rPr>
    </w:lvl>
    <w:lvl w:ilvl="6">
      <w:start w:val="0"/>
      <w:numFmt w:val="bullet"/>
      <w:lvlText w:val="•"/>
      <w:lvlJc w:val="left"/>
      <w:pPr>
        <w:ind w:left="4827" w:hanging="360"/>
      </w:pPr>
      <w:rPr>
        <w:rFonts w:hint="default"/>
      </w:rPr>
    </w:lvl>
    <w:lvl w:ilvl="7">
      <w:start w:val="0"/>
      <w:numFmt w:val="bullet"/>
      <w:lvlText w:val="•"/>
      <w:lvlJc w:val="left"/>
      <w:pPr>
        <w:ind w:left="6116" w:hanging="360"/>
      </w:pPr>
      <w:rPr>
        <w:rFonts w:hint="default"/>
      </w:rPr>
    </w:lvl>
    <w:lvl w:ilvl="8">
      <w:start w:val="0"/>
      <w:numFmt w:val="bullet"/>
      <w:lvlText w:val="•"/>
      <w:lvlJc w:val="left"/>
      <w:pPr>
        <w:ind w:left="7406" w:hanging="360"/>
      </w:pPr>
      <w:rPr>
        <w:rFonts w:hint="default"/>
      </w:rPr>
    </w:lvl>
  </w:abstractNum>
  <w:abstractNum w:abstractNumId="0">
    <w:multiLevelType w:val="hybridMultilevel"/>
    <w:lvl w:ilvl="0">
      <w:start w:val="0"/>
      <w:numFmt w:val="bullet"/>
      <w:lvlText w:val=""/>
      <w:lvlJc w:val="left"/>
      <w:pPr>
        <w:ind w:left="836" w:hanging="360"/>
      </w:pPr>
      <w:rPr>
        <w:rFonts w:hint="default" w:ascii="Symbol" w:hAnsi="Symbol" w:eastAsia="Symbol" w:cs="Symbol"/>
        <w:w w:val="100"/>
        <w:sz w:val="21"/>
        <w:szCs w:val="21"/>
      </w:rPr>
    </w:lvl>
    <w:lvl w:ilvl="1">
      <w:start w:val="0"/>
      <w:numFmt w:val="bullet"/>
      <w:lvlText w:val="•"/>
      <w:lvlJc w:val="left"/>
      <w:pPr>
        <w:ind w:left="1754" w:hanging="360"/>
      </w:pPr>
      <w:rPr>
        <w:rFonts w:hint="default"/>
      </w:rPr>
    </w:lvl>
    <w:lvl w:ilvl="2">
      <w:start w:val="0"/>
      <w:numFmt w:val="bullet"/>
      <w:lvlText w:val="•"/>
      <w:lvlJc w:val="left"/>
      <w:pPr>
        <w:ind w:left="2668" w:hanging="360"/>
      </w:pPr>
      <w:rPr>
        <w:rFonts w:hint="default"/>
      </w:rPr>
    </w:lvl>
    <w:lvl w:ilvl="3">
      <w:start w:val="0"/>
      <w:numFmt w:val="bullet"/>
      <w:lvlText w:val="•"/>
      <w:lvlJc w:val="left"/>
      <w:pPr>
        <w:ind w:left="3583" w:hanging="360"/>
      </w:pPr>
      <w:rPr>
        <w:rFonts w:hint="default"/>
      </w:rPr>
    </w:lvl>
    <w:lvl w:ilvl="4">
      <w:start w:val="0"/>
      <w:numFmt w:val="bullet"/>
      <w:lvlText w:val="•"/>
      <w:lvlJc w:val="left"/>
      <w:pPr>
        <w:ind w:left="4497" w:hanging="360"/>
      </w:pPr>
      <w:rPr>
        <w:rFonts w:hint="default"/>
      </w:rPr>
    </w:lvl>
    <w:lvl w:ilvl="5">
      <w:start w:val="0"/>
      <w:numFmt w:val="bullet"/>
      <w:lvlText w:val="•"/>
      <w:lvlJc w:val="left"/>
      <w:pPr>
        <w:ind w:left="5412" w:hanging="360"/>
      </w:pPr>
      <w:rPr>
        <w:rFonts w:hint="default"/>
      </w:rPr>
    </w:lvl>
    <w:lvl w:ilvl="6">
      <w:start w:val="0"/>
      <w:numFmt w:val="bullet"/>
      <w:lvlText w:val="•"/>
      <w:lvlJc w:val="left"/>
      <w:pPr>
        <w:ind w:left="6326" w:hanging="360"/>
      </w:pPr>
      <w:rPr>
        <w:rFonts w:hint="default"/>
      </w:rPr>
    </w:lvl>
    <w:lvl w:ilvl="7">
      <w:start w:val="0"/>
      <w:numFmt w:val="bullet"/>
      <w:lvlText w:val="•"/>
      <w:lvlJc w:val="left"/>
      <w:pPr>
        <w:ind w:left="7241" w:hanging="360"/>
      </w:pPr>
      <w:rPr>
        <w:rFonts w:hint="default"/>
      </w:rPr>
    </w:lvl>
    <w:lvl w:ilvl="8">
      <w:start w:val="0"/>
      <w:numFmt w:val="bullet"/>
      <w:lvlText w:val="•"/>
      <w:lvlJc w:val="left"/>
      <w:pPr>
        <w:ind w:left="8155"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IC" w:hAnsi="VIC" w:eastAsia="VIC" w:cs="VIC"/>
    </w:rPr>
  </w:style>
  <w:style w:styleId="TOC1" w:type="paragraph">
    <w:name w:val="TOC 1"/>
    <w:basedOn w:val="Normal"/>
    <w:uiPriority w:val="1"/>
    <w:qFormat/>
    <w:pPr>
      <w:spacing w:before="95"/>
      <w:ind w:left="7388"/>
    </w:pPr>
    <w:rPr>
      <w:rFonts w:ascii="Arial" w:hAnsi="Arial" w:eastAsia="Arial" w:cs="Arial"/>
      <w:b/>
      <w:bCs/>
      <w:sz w:val="13"/>
      <w:szCs w:val="13"/>
    </w:rPr>
  </w:style>
  <w:style w:styleId="BodyText" w:type="paragraph">
    <w:name w:val="Body Text"/>
    <w:basedOn w:val="Normal"/>
    <w:uiPriority w:val="1"/>
    <w:qFormat/>
    <w:pPr/>
    <w:rPr>
      <w:rFonts w:ascii="VIC" w:hAnsi="VIC" w:eastAsia="VIC" w:cs="VIC"/>
      <w:sz w:val="21"/>
      <w:szCs w:val="21"/>
    </w:rPr>
  </w:style>
  <w:style w:styleId="Heading1" w:type="paragraph">
    <w:name w:val="Heading 1"/>
    <w:basedOn w:val="Normal"/>
    <w:uiPriority w:val="1"/>
    <w:qFormat/>
    <w:pPr>
      <w:spacing w:before="200"/>
      <w:ind w:left="6701" w:right="461" w:hanging="92"/>
      <w:jc w:val="both"/>
      <w:outlineLvl w:val="1"/>
    </w:pPr>
    <w:rPr>
      <w:rFonts w:ascii="VIC SemiBold" w:hAnsi="VIC SemiBold" w:eastAsia="VIC SemiBold" w:cs="VIC SemiBold"/>
      <w:sz w:val="56"/>
      <w:szCs w:val="56"/>
    </w:rPr>
  </w:style>
  <w:style w:styleId="Heading2" w:type="paragraph">
    <w:name w:val="Heading 2"/>
    <w:basedOn w:val="Normal"/>
    <w:uiPriority w:val="1"/>
    <w:qFormat/>
    <w:pPr>
      <w:ind w:left="115"/>
      <w:outlineLvl w:val="2"/>
    </w:pPr>
    <w:rPr>
      <w:rFonts w:ascii="VIC" w:hAnsi="VIC" w:eastAsia="VIC" w:cs="VIC"/>
      <w:sz w:val="32"/>
      <w:szCs w:val="32"/>
    </w:rPr>
  </w:style>
  <w:style w:styleId="Heading3" w:type="paragraph">
    <w:name w:val="Heading 3"/>
    <w:basedOn w:val="Normal"/>
    <w:uiPriority w:val="1"/>
    <w:qFormat/>
    <w:pPr>
      <w:ind w:left="115"/>
      <w:outlineLvl w:val="3"/>
    </w:pPr>
    <w:rPr>
      <w:rFonts w:ascii="VIC SemiBold" w:hAnsi="VIC SemiBold" w:eastAsia="VIC SemiBold" w:cs="VIC SemiBold"/>
      <w:sz w:val="28"/>
      <w:szCs w:val="28"/>
    </w:rPr>
  </w:style>
  <w:style w:styleId="Heading4" w:type="paragraph">
    <w:name w:val="Heading 4"/>
    <w:basedOn w:val="Normal"/>
    <w:uiPriority w:val="1"/>
    <w:qFormat/>
    <w:pPr>
      <w:ind w:left="115"/>
      <w:outlineLvl w:val="4"/>
    </w:pPr>
    <w:rPr>
      <w:rFonts w:ascii="VIC SemiBold" w:hAnsi="VIC SemiBold" w:eastAsia="VIC SemiBold" w:cs="VIC SemiBold"/>
      <w:sz w:val="24"/>
      <w:szCs w:val="24"/>
    </w:rPr>
  </w:style>
  <w:style w:styleId="ListParagraph" w:type="paragraph">
    <w:name w:val="List Paragraph"/>
    <w:basedOn w:val="Normal"/>
    <w:uiPriority w:val="1"/>
    <w:qFormat/>
    <w:pPr>
      <w:spacing w:before="119"/>
      <w:ind w:left="543" w:hanging="428"/>
    </w:pPr>
    <w:rPr>
      <w:rFonts w:ascii="VIC" w:hAnsi="VIC" w:eastAsia="VIC" w:cs="VIC"/>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hyperlink" Target="http://www.business.vic.gov.au/setting-up-a-business/" TargetMode="External"/><Relationship Id="rId11" Type="http://schemas.openxmlformats.org/officeDocument/2006/relationships/hyperlink" Target="https://www.business.vic.gov.au/setting-up-a-business/owner-drivers-and-forestry-contractors/owner-drivers-and-hirers/tip-truck-rates-and-cost-schedules" TargetMode="External"/><Relationship Id="rId12" Type="http://schemas.openxmlformats.org/officeDocument/2006/relationships/hyperlink" Target="http://www.linkt.com.au/melbourne" TargetMode="External"/><Relationship Id="rId13" Type="http://schemas.openxmlformats.org/officeDocument/2006/relationships/hyperlink" Target="http://www.eastlink.com.au/toll-calculator" TargetMode="External"/><Relationship Id="rId14" Type="http://schemas.openxmlformats.org/officeDocument/2006/relationships/hyperlink" Target="http://westgatetunnelproject.vic.gov.au/about/keytopics/tolls" TargetMode="External"/><Relationship Id="rId15" Type="http://schemas.openxmlformats.org/officeDocument/2006/relationships/hyperlink" Target="http://www.nhvr.gov.au/" TargetMode="External"/><Relationship Id="rId16" Type="http://schemas.openxmlformats.org/officeDocument/2006/relationships/hyperlink" Target="mailto:irv.info@dpc.vic.gov.au" TargetMode="External"/><Relationship Id="rId17" Type="http://schemas.openxmlformats.org/officeDocument/2006/relationships/hyperlink" Target="mailto:info@twu.asn.au" TargetMode="External"/><Relationship Id="rId18" Type="http://schemas.openxmlformats.org/officeDocument/2006/relationships/hyperlink" Target="mailto:reception@vta.com.au" TargetMode="External"/><Relationship Id="rId19" Type="http://schemas.openxmlformats.org/officeDocument/2006/relationships/footer" Target="footer3.xml"/><Relationship Id="rId20" Type="http://schemas.openxmlformats.org/officeDocument/2006/relationships/image" Target="media/image4.jpeg"/><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Bullock</dc:creator>
  <dc:title>Tip Truck Code of Practice v2 VIC </dc:title>
  <dcterms:created xsi:type="dcterms:W3CDTF">2024-03-26T04:32:00Z</dcterms:created>
  <dcterms:modified xsi:type="dcterms:W3CDTF">2024-03-26T04:32:00Z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Word</vt:lpwstr>
  </property>
  <property fmtid="{D5CDD505-2E9C-101B-9397-08002B2CF9AE}" pid="4" name="LastSaved">
    <vt:filetime>2024-03-26T00:00:00Z</vt:filetime>
  </property>
</Properties>
</file>