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2.xml" ContentType="application/vnd.openxmlformats-officedocument.wordprocessingml.footer+xml"/>
  <Override PartName="/word/header1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30.xml" ContentType="application/vnd.openxmlformats-officedocument.wordprocessingml.footer+xml"/>
  <Override PartName="/word/header2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54.xml" ContentType="application/vnd.openxmlformats-officedocument.wordprocessingml.footer+xml"/>
  <Override PartName="/word/header2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27.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63F0D" w14:textId="512EA0B4" w:rsidR="00865A27" w:rsidRPr="005C724E" w:rsidRDefault="0041464B">
      <w:pPr>
        <w:pStyle w:val="Covertitle"/>
        <w:rPr>
          <w:rFonts w:cs="Segoe UI"/>
          <w:b/>
          <w:color w:val="00264D"/>
          <w:sz w:val="64"/>
          <w:szCs w:val="64"/>
        </w:rPr>
      </w:pPr>
      <w:r>
        <w:rPr>
          <w:rFonts w:cs="Segoe UI"/>
          <w:noProof/>
        </w:rPr>
        <w:drawing>
          <wp:anchor distT="0" distB="0" distL="114300" distR="114300" simplePos="0" relativeHeight="251658245" behindDoc="0" locked="0" layoutInCell="1" allowOverlap="1" wp14:anchorId="697AAB57" wp14:editId="12037A1E">
            <wp:simplePos x="0" y="0"/>
            <wp:positionH relativeFrom="column">
              <wp:posOffset>-1052984</wp:posOffset>
            </wp:positionH>
            <wp:positionV relativeFrom="paragraph">
              <wp:posOffset>-3663950</wp:posOffset>
            </wp:positionV>
            <wp:extent cx="7612639" cy="10763862"/>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12639" cy="10763862"/>
                    </a:xfrm>
                    <a:prstGeom prst="rect">
                      <a:avLst/>
                    </a:prstGeom>
                  </pic:spPr>
                </pic:pic>
              </a:graphicData>
            </a:graphic>
            <wp14:sizeRelH relativeFrom="margin">
              <wp14:pctWidth>0</wp14:pctWidth>
            </wp14:sizeRelH>
            <wp14:sizeRelV relativeFrom="margin">
              <wp14:pctHeight>0</wp14:pctHeight>
            </wp14:sizeRelV>
          </wp:anchor>
        </w:drawing>
      </w:r>
      <w:bookmarkStart w:id="0" w:name="_Ref130824749"/>
      <w:bookmarkEnd w:id="0"/>
      <w:r w:rsidR="00124D96">
        <w:rPr>
          <w:rFonts w:cs="Segoe UI"/>
          <w:b/>
          <w:color w:val="FFFFFF" w:themeColor="background1"/>
          <w:sz w:val="64"/>
          <w:szCs w:val="64"/>
        </w:rPr>
        <w:t>ji</w:t>
      </w:r>
      <w:sdt>
        <w:sdtPr>
          <w:rPr>
            <w:rFonts w:cs="Segoe UI"/>
            <w:b/>
            <w:color w:val="FFFFFF" w:themeColor="background1"/>
            <w:sz w:val="64"/>
            <w:szCs w:val="64"/>
          </w:rPr>
          <w:id w:val="803730555"/>
          <w:docPartObj>
            <w:docPartGallery w:val="Cover Pages"/>
            <w:docPartUnique/>
          </w:docPartObj>
        </w:sdtPr>
        <w:sdtEndPr>
          <w:rPr>
            <w:color w:val="00264D"/>
            <w:sz w:val="36"/>
            <w:szCs w:val="36"/>
          </w:rPr>
        </w:sdtEndPr>
        <w:sdtContent>
          <w:sdt>
            <w:sdtPr>
              <w:rPr>
                <w:rFonts w:cs="Segoe UI"/>
                <w:b/>
                <w:sz w:val="64"/>
                <w:szCs w:val="64"/>
              </w:rPr>
              <w:alias w:val="Title"/>
              <w:tag w:val=""/>
              <w:id w:val="-1850469689"/>
              <w:dataBinding w:prefixMappings="xmlns:ns0='http://purl.org/dc/elements/1.1/' xmlns:ns1='http://schemas.openxmlformats.org/package/2006/metadata/core-properties' " w:xpath="/ns1:coreProperties[1]/ns0:title[1]" w:storeItemID="{6C3C8BC8-F283-45AE-878A-BAB7291924A1}"/>
              <w:text/>
            </w:sdtPr>
            <w:sdtContent>
              <w:r w:rsidR="006C634E">
                <w:rPr>
                  <w:rFonts w:cs="Segoe UI"/>
                  <w:b/>
                  <w:sz w:val="64"/>
                  <w:szCs w:val="64"/>
                </w:rPr>
                <w:t>Building Reform: Paper Two</w:t>
              </w:r>
            </w:sdtContent>
          </w:sdt>
        </w:sdtContent>
      </w:sdt>
    </w:p>
    <w:p w14:paraId="719D89FE" w14:textId="79B48563" w:rsidR="00865A27" w:rsidRPr="0041464B" w:rsidRDefault="00000000" w:rsidP="0041464B">
      <w:pPr>
        <w:pStyle w:val="CoverPage-Client"/>
        <w:spacing w:before="360"/>
        <w:rPr>
          <w:rFonts w:cs="Segoe UI"/>
        </w:rPr>
        <w:sectPr w:rsidR="00865A27" w:rsidRPr="0041464B" w:rsidSect="00865A27">
          <w:headerReference w:type="default" r:id="rId14"/>
          <w:footerReference w:type="default" r:id="rId15"/>
          <w:headerReference w:type="first" r:id="rId16"/>
          <w:footerReference w:type="first" r:id="rId17"/>
          <w:pgSz w:w="11907" w:h="16839" w:code="9"/>
          <w:pgMar w:top="5670" w:right="1418" w:bottom="1701" w:left="1559" w:header="737" w:footer="567" w:gutter="0"/>
          <w:pgNumType w:start="0"/>
          <w:cols w:space="720"/>
          <w:titlePg/>
          <w:docGrid w:linePitch="360"/>
        </w:sectPr>
      </w:pPr>
      <w:sdt>
        <w:sdtPr>
          <w:rPr>
            <w:rStyle w:val="CoverPage-ClientChar"/>
            <w:rFonts w:cs="Segoe UI"/>
          </w:rPr>
          <w:alias w:val="Subject"/>
          <w:tag w:val=""/>
          <w:id w:val="-1755584571"/>
          <w:dataBinding w:prefixMappings="xmlns:ns0='http://purl.org/dc/elements/1.1/' xmlns:ns1='http://schemas.openxmlformats.org/package/2006/metadata/core-properties' " w:xpath="/ns1:coreProperties[1]/ns0:subject[1]" w:storeItemID="{6C3C8BC8-F283-45AE-878A-BAB7291924A1}"/>
          <w:text/>
        </w:sdtPr>
        <w:sdtContent>
          <w:r w:rsidR="00C86782">
            <w:rPr>
              <w:rStyle w:val="CoverPage-ClientChar"/>
              <w:rFonts w:cs="Segoe UI"/>
            </w:rPr>
            <w:t>f</w:t>
          </w:r>
        </w:sdtContent>
      </w:sdt>
    </w:p>
    <w:p w14:paraId="6DA0E168" w14:textId="77777777" w:rsidR="00CF7BA0" w:rsidRPr="00760DDA" w:rsidRDefault="00CF7BA0" w:rsidP="00CF7BA0">
      <w:pPr>
        <w:pStyle w:val="ContentsHeading"/>
      </w:pPr>
      <w:r w:rsidRPr="00760DDA">
        <w:lastRenderedPageBreak/>
        <w:t>Contents</w:t>
      </w:r>
    </w:p>
    <w:p w14:paraId="33E0E5F8" w14:textId="64F7A0CA" w:rsidR="00F760A6" w:rsidRDefault="008A4363">
      <w:pPr>
        <w:pStyle w:val="TOC1"/>
        <w:rPr>
          <w:rFonts w:asciiTheme="minorHAnsi" w:eastAsiaTheme="minorEastAsia" w:hAnsiTheme="minorHAnsi"/>
          <w:lang w:eastAsia="en-AU"/>
        </w:rPr>
      </w:pPr>
      <w:r w:rsidRPr="00760DDA">
        <w:rPr>
          <w:lang w:eastAsia="en-AU"/>
        </w:rPr>
        <w:fldChar w:fldCharType="begin"/>
      </w:r>
      <w:r w:rsidRPr="00760DDA">
        <w:rPr>
          <w:lang w:val="en-AU" w:eastAsia="en-AU"/>
        </w:rPr>
        <w:instrText xml:space="preserve"> TOC \o "1-3" \h \z \u </w:instrText>
      </w:r>
      <w:r w:rsidRPr="00760DDA">
        <w:rPr>
          <w:lang w:eastAsia="en-AU"/>
        </w:rPr>
        <w:fldChar w:fldCharType="separate"/>
      </w:r>
      <w:hyperlink w:anchor="_Toc134356876" w:history="1">
        <w:r w:rsidR="00F760A6" w:rsidRPr="00661DD7">
          <w:rPr>
            <w:rStyle w:val="Hyperlink"/>
            <w:noProof/>
          </w:rPr>
          <w:t>1</w:t>
        </w:r>
        <w:r w:rsidR="00F760A6">
          <w:rPr>
            <w:rFonts w:asciiTheme="minorHAnsi" w:eastAsiaTheme="minorEastAsia" w:hAnsiTheme="minorHAnsi"/>
            <w:noProof/>
            <w:lang w:eastAsia="en-AU"/>
          </w:rPr>
          <w:tab/>
        </w:r>
        <w:r w:rsidR="00F760A6" w:rsidRPr="00661DD7">
          <w:rPr>
            <w:rStyle w:val="Hyperlink"/>
            <w:noProof/>
          </w:rPr>
          <w:t>Background and context for the Review</w:t>
        </w:r>
        <w:r w:rsidR="00F760A6">
          <w:rPr>
            <w:noProof/>
            <w:webHidden/>
          </w:rPr>
          <w:tab/>
        </w:r>
        <w:r w:rsidR="00F760A6">
          <w:rPr>
            <w:noProof/>
            <w:webHidden/>
          </w:rPr>
          <w:fldChar w:fldCharType="begin"/>
        </w:r>
        <w:r w:rsidR="00F760A6">
          <w:rPr>
            <w:noProof/>
            <w:webHidden/>
          </w:rPr>
          <w:instrText xml:space="preserve"> PAGEREF _Toc134356876 \h </w:instrText>
        </w:r>
        <w:r w:rsidR="00F760A6">
          <w:rPr>
            <w:noProof/>
            <w:webHidden/>
          </w:rPr>
        </w:r>
        <w:r w:rsidR="00F760A6">
          <w:rPr>
            <w:noProof/>
            <w:webHidden/>
          </w:rPr>
          <w:fldChar w:fldCharType="separate"/>
        </w:r>
        <w:r w:rsidR="00E15D2D">
          <w:rPr>
            <w:noProof/>
            <w:webHidden/>
          </w:rPr>
          <w:t>5</w:t>
        </w:r>
        <w:r w:rsidR="00F760A6">
          <w:rPr>
            <w:noProof/>
            <w:webHidden/>
          </w:rPr>
          <w:fldChar w:fldCharType="end"/>
        </w:r>
      </w:hyperlink>
    </w:p>
    <w:p w14:paraId="4020757E" w14:textId="691AB2F9" w:rsidR="00F760A6" w:rsidRDefault="00000000">
      <w:pPr>
        <w:pStyle w:val="TOC1"/>
        <w:rPr>
          <w:rFonts w:asciiTheme="minorHAnsi" w:eastAsiaTheme="minorEastAsia" w:hAnsiTheme="minorHAnsi"/>
          <w:lang w:eastAsia="en-AU"/>
        </w:rPr>
      </w:pPr>
      <w:hyperlink w:anchor="_Toc134356881" w:history="1">
        <w:r w:rsidR="00F760A6" w:rsidRPr="00661DD7">
          <w:rPr>
            <w:rStyle w:val="Hyperlink"/>
            <w:noProof/>
          </w:rPr>
          <w:t>2</w:t>
        </w:r>
        <w:r w:rsidR="00F760A6">
          <w:rPr>
            <w:rFonts w:asciiTheme="minorHAnsi" w:eastAsiaTheme="minorEastAsia" w:hAnsiTheme="minorHAnsi"/>
            <w:noProof/>
            <w:lang w:eastAsia="en-AU"/>
          </w:rPr>
          <w:tab/>
        </w:r>
        <w:r w:rsidR="00F760A6" w:rsidRPr="00661DD7">
          <w:rPr>
            <w:rStyle w:val="Hyperlink"/>
            <w:noProof/>
          </w:rPr>
          <w:t>About the Review</w:t>
        </w:r>
        <w:r w:rsidR="00F760A6">
          <w:rPr>
            <w:noProof/>
            <w:webHidden/>
          </w:rPr>
          <w:tab/>
        </w:r>
        <w:r w:rsidR="005D7681">
          <w:rPr>
            <w:noProof/>
            <w:webHidden/>
          </w:rPr>
          <w:t>8</w:t>
        </w:r>
      </w:hyperlink>
    </w:p>
    <w:p w14:paraId="451C5249" w14:textId="65E22BE7" w:rsidR="00F760A6" w:rsidRDefault="00000000">
      <w:pPr>
        <w:pStyle w:val="TOC1"/>
        <w:rPr>
          <w:rFonts w:asciiTheme="minorHAnsi" w:eastAsiaTheme="minorEastAsia" w:hAnsiTheme="minorHAnsi"/>
          <w:lang w:eastAsia="en-AU"/>
        </w:rPr>
      </w:pPr>
      <w:hyperlink w:anchor="_Toc134356883" w:history="1">
        <w:r w:rsidR="00F760A6" w:rsidRPr="00661DD7">
          <w:rPr>
            <w:rStyle w:val="Hyperlink"/>
            <w:noProof/>
          </w:rPr>
          <w:t>3</w:t>
        </w:r>
        <w:r w:rsidR="00F760A6">
          <w:rPr>
            <w:rFonts w:asciiTheme="minorHAnsi" w:eastAsiaTheme="minorEastAsia" w:hAnsiTheme="minorHAnsi"/>
            <w:noProof/>
            <w:lang w:eastAsia="en-AU"/>
          </w:rPr>
          <w:tab/>
        </w:r>
        <w:r w:rsidR="00F760A6" w:rsidRPr="00661DD7">
          <w:rPr>
            <w:rStyle w:val="Hyperlink"/>
            <w:noProof/>
          </w:rPr>
          <w:t>About Stage 2</w:t>
        </w:r>
        <w:r w:rsidR="00F760A6">
          <w:rPr>
            <w:noProof/>
            <w:webHidden/>
          </w:rPr>
          <w:tab/>
        </w:r>
        <w:r w:rsidR="005D7681">
          <w:rPr>
            <w:noProof/>
            <w:webHidden/>
          </w:rPr>
          <w:t>10</w:t>
        </w:r>
      </w:hyperlink>
    </w:p>
    <w:p w14:paraId="6A8D9E9F" w14:textId="4FD2903A" w:rsidR="00F760A6" w:rsidRDefault="00000000">
      <w:pPr>
        <w:pStyle w:val="TOC1"/>
        <w:rPr>
          <w:rFonts w:asciiTheme="minorHAnsi" w:eastAsiaTheme="minorEastAsia" w:hAnsiTheme="minorHAnsi"/>
          <w:lang w:eastAsia="en-AU"/>
        </w:rPr>
      </w:pPr>
      <w:hyperlink w:anchor="_Toc134356884" w:history="1">
        <w:r w:rsidR="00F760A6" w:rsidRPr="00661DD7">
          <w:rPr>
            <w:rStyle w:val="Hyperlink"/>
            <w:noProof/>
          </w:rPr>
          <w:t>4</w:t>
        </w:r>
        <w:r w:rsidR="00F760A6">
          <w:rPr>
            <w:rFonts w:asciiTheme="minorHAnsi" w:eastAsiaTheme="minorEastAsia" w:hAnsiTheme="minorHAnsi"/>
            <w:noProof/>
            <w:lang w:eastAsia="en-AU"/>
          </w:rPr>
          <w:tab/>
        </w:r>
        <w:r w:rsidR="00F760A6" w:rsidRPr="00661DD7">
          <w:rPr>
            <w:rStyle w:val="Hyperlink"/>
            <w:noProof/>
          </w:rPr>
          <w:t>Extending accountability</w:t>
        </w:r>
        <w:r w:rsidR="00F760A6">
          <w:rPr>
            <w:noProof/>
            <w:webHidden/>
          </w:rPr>
          <w:tab/>
        </w:r>
        <w:r w:rsidR="005D7681">
          <w:rPr>
            <w:noProof/>
            <w:webHidden/>
          </w:rPr>
          <w:t>12</w:t>
        </w:r>
      </w:hyperlink>
    </w:p>
    <w:p w14:paraId="5DBC275D" w14:textId="49E3ECEF" w:rsidR="00F760A6" w:rsidRDefault="00000000">
      <w:pPr>
        <w:pStyle w:val="TOC1"/>
        <w:rPr>
          <w:rFonts w:asciiTheme="minorHAnsi" w:eastAsiaTheme="minorEastAsia" w:hAnsiTheme="minorHAnsi"/>
          <w:lang w:eastAsia="en-AU"/>
        </w:rPr>
      </w:pPr>
      <w:hyperlink w:anchor="_Toc134356891" w:history="1">
        <w:r w:rsidR="00F760A6" w:rsidRPr="00661DD7">
          <w:rPr>
            <w:rStyle w:val="Hyperlink"/>
            <w:noProof/>
          </w:rPr>
          <w:t>5</w:t>
        </w:r>
        <w:r w:rsidR="00F760A6">
          <w:rPr>
            <w:rFonts w:asciiTheme="minorHAnsi" w:eastAsiaTheme="minorEastAsia" w:hAnsiTheme="minorHAnsi"/>
            <w:noProof/>
            <w:lang w:eastAsia="en-AU"/>
          </w:rPr>
          <w:tab/>
        </w:r>
        <w:r w:rsidR="00F760A6" w:rsidRPr="00661DD7">
          <w:rPr>
            <w:rStyle w:val="Hyperlink"/>
            <w:noProof/>
          </w:rPr>
          <w:t>Compliance, enforcement and discipline</w:t>
        </w:r>
        <w:r w:rsidR="00F760A6">
          <w:rPr>
            <w:noProof/>
            <w:webHidden/>
          </w:rPr>
          <w:tab/>
        </w:r>
        <w:r w:rsidR="005D7681">
          <w:rPr>
            <w:noProof/>
            <w:webHidden/>
          </w:rPr>
          <w:t>19</w:t>
        </w:r>
      </w:hyperlink>
    </w:p>
    <w:p w14:paraId="1739EFFB" w14:textId="241B5FDB" w:rsidR="00F760A6" w:rsidRDefault="00000000">
      <w:pPr>
        <w:pStyle w:val="TOC1"/>
        <w:rPr>
          <w:rFonts w:asciiTheme="minorHAnsi" w:eastAsiaTheme="minorEastAsia" w:hAnsiTheme="minorHAnsi"/>
          <w:lang w:eastAsia="en-AU"/>
        </w:rPr>
      </w:pPr>
      <w:hyperlink w:anchor="_Toc134356897" w:history="1">
        <w:r w:rsidR="00F760A6" w:rsidRPr="00661DD7">
          <w:rPr>
            <w:rStyle w:val="Hyperlink"/>
            <w:noProof/>
          </w:rPr>
          <w:t>6</w:t>
        </w:r>
        <w:r w:rsidR="00F760A6">
          <w:rPr>
            <w:rFonts w:asciiTheme="minorHAnsi" w:eastAsiaTheme="minorEastAsia" w:hAnsiTheme="minorHAnsi"/>
            <w:noProof/>
            <w:lang w:eastAsia="en-AU"/>
          </w:rPr>
          <w:tab/>
        </w:r>
        <w:r w:rsidR="00F760A6" w:rsidRPr="00661DD7">
          <w:rPr>
            <w:rStyle w:val="Hyperlink"/>
            <w:noProof/>
          </w:rPr>
          <w:t>Insurance</w:t>
        </w:r>
        <w:r w:rsidR="00F760A6">
          <w:rPr>
            <w:noProof/>
            <w:webHidden/>
          </w:rPr>
          <w:tab/>
        </w:r>
        <w:r w:rsidR="005D7681">
          <w:rPr>
            <w:noProof/>
            <w:webHidden/>
          </w:rPr>
          <w:t>27</w:t>
        </w:r>
      </w:hyperlink>
    </w:p>
    <w:p w14:paraId="63467F9A" w14:textId="19A5EF69" w:rsidR="00F760A6" w:rsidRDefault="00000000">
      <w:pPr>
        <w:pStyle w:val="TOC1"/>
        <w:rPr>
          <w:rFonts w:asciiTheme="minorHAnsi" w:eastAsiaTheme="minorEastAsia" w:hAnsiTheme="minorHAnsi"/>
          <w:lang w:eastAsia="en-AU"/>
        </w:rPr>
      </w:pPr>
      <w:hyperlink w:anchor="_Toc134356902" w:history="1">
        <w:r w:rsidR="00F760A6" w:rsidRPr="00661DD7">
          <w:rPr>
            <w:rStyle w:val="Hyperlink"/>
            <w:noProof/>
          </w:rPr>
          <w:t>7</w:t>
        </w:r>
        <w:r w:rsidR="00F760A6">
          <w:rPr>
            <w:rFonts w:asciiTheme="minorHAnsi" w:eastAsiaTheme="minorEastAsia" w:hAnsiTheme="minorHAnsi"/>
            <w:noProof/>
            <w:lang w:eastAsia="en-AU"/>
          </w:rPr>
          <w:tab/>
        </w:r>
        <w:r w:rsidR="00F760A6" w:rsidRPr="00661DD7">
          <w:rPr>
            <w:rStyle w:val="Hyperlink"/>
            <w:noProof/>
          </w:rPr>
          <w:t>Dispute prevention and resolution</w:t>
        </w:r>
        <w:r w:rsidR="00F760A6">
          <w:rPr>
            <w:noProof/>
            <w:webHidden/>
          </w:rPr>
          <w:tab/>
        </w:r>
        <w:r w:rsidR="005D7681">
          <w:rPr>
            <w:noProof/>
            <w:webHidden/>
          </w:rPr>
          <w:t>34</w:t>
        </w:r>
      </w:hyperlink>
    </w:p>
    <w:p w14:paraId="3B0DA897" w14:textId="31FFF1EE" w:rsidR="00F760A6" w:rsidRDefault="00000000">
      <w:pPr>
        <w:pStyle w:val="TOC1"/>
        <w:rPr>
          <w:rFonts w:asciiTheme="minorHAnsi" w:eastAsiaTheme="minorEastAsia" w:hAnsiTheme="minorHAnsi"/>
          <w:lang w:eastAsia="en-AU"/>
        </w:rPr>
      </w:pPr>
      <w:hyperlink w:anchor="_Toc134356910" w:history="1">
        <w:r w:rsidR="00F760A6" w:rsidRPr="00661DD7">
          <w:rPr>
            <w:rStyle w:val="Hyperlink"/>
            <w:noProof/>
          </w:rPr>
          <w:t>8</w:t>
        </w:r>
        <w:r w:rsidR="00F760A6">
          <w:rPr>
            <w:rFonts w:asciiTheme="minorHAnsi" w:eastAsiaTheme="minorEastAsia" w:hAnsiTheme="minorHAnsi"/>
            <w:noProof/>
            <w:lang w:eastAsia="en-AU"/>
          </w:rPr>
          <w:tab/>
        </w:r>
        <w:r w:rsidR="00F760A6" w:rsidRPr="00661DD7">
          <w:rPr>
            <w:rStyle w:val="Hyperlink"/>
            <w:noProof/>
          </w:rPr>
          <w:t>Building maintenance, products and technologies</w:t>
        </w:r>
        <w:r w:rsidR="00F760A6">
          <w:rPr>
            <w:noProof/>
            <w:webHidden/>
          </w:rPr>
          <w:tab/>
        </w:r>
        <w:r w:rsidR="005D7681">
          <w:rPr>
            <w:noProof/>
            <w:webHidden/>
          </w:rPr>
          <w:t>42</w:t>
        </w:r>
      </w:hyperlink>
    </w:p>
    <w:p w14:paraId="375DF9A4" w14:textId="51A44C7C" w:rsidR="00F760A6" w:rsidRDefault="00000000">
      <w:pPr>
        <w:pStyle w:val="TOC1"/>
        <w:rPr>
          <w:rFonts w:asciiTheme="minorHAnsi" w:eastAsiaTheme="minorEastAsia" w:hAnsiTheme="minorHAnsi"/>
          <w:lang w:eastAsia="en-AU"/>
        </w:rPr>
      </w:pPr>
      <w:hyperlink w:anchor="_Toc134356919" w:history="1">
        <w:r w:rsidR="00F760A6" w:rsidRPr="00661DD7">
          <w:rPr>
            <w:rStyle w:val="Hyperlink"/>
            <w:noProof/>
          </w:rPr>
          <w:t>9</w:t>
        </w:r>
        <w:r w:rsidR="00F760A6">
          <w:rPr>
            <w:rFonts w:asciiTheme="minorHAnsi" w:eastAsiaTheme="minorEastAsia" w:hAnsiTheme="minorHAnsi"/>
            <w:noProof/>
            <w:lang w:eastAsia="en-AU"/>
          </w:rPr>
          <w:tab/>
        </w:r>
        <w:r w:rsidR="00F760A6" w:rsidRPr="00661DD7">
          <w:rPr>
            <w:rStyle w:val="Hyperlink"/>
            <w:noProof/>
          </w:rPr>
          <w:t>Next steps</w:t>
        </w:r>
        <w:r w:rsidR="00F760A6">
          <w:rPr>
            <w:noProof/>
            <w:webHidden/>
          </w:rPr>
          <w:tab/>
        </w:r>
        <w:r w:rsidR="005309BD">
          <w:rPr>
            <w:noProof/>
            <w:webHidden/>
          </w:rPr>
          <w:t>57</w:t>
        </w:r>
      </w:hyperlink>
    </w:p>
    <w:p w14:paraId="2B3EE39E" w14:textId="4D7F726F" w:rsidR="00F760A6" w:rsidRDefault="00000000">
      <w:pPr>
        <w:pStyle w:val="TOC1"/>
        <w:tabs>
          <w:tab w:val="left" w:pos="1540"/>
        </w:tabs>
        <w:rPr>
          <w:rFonts w:asciiTheme="minorHAnsi" w:eastAsiaTheme="minorEastAsia" w:hAnsiTheme="minorHAnsi"/>
          <w:lang w:eastAsia="en-AU"/>
        </w:rPr>
      </w:pPr>
      <w:hyperlink w:anchor="_Toc134356920" w:history="1">
        <w:r w:rsidR="00F760A6" w:rsidRPr="00661DD7">
          <w:rPr>
            <w:rStyle w:val="Hyperlink"/>
            <w:noProof/>
          </w:rPr>
          <w:t>Appendix A</w:t>
        </w:r>
        <w:r w:rsidR="00F760A6">
          <w:rPr>
            <w:rFonts w:asciiTheme="minorHAnsi" w:eastAsiaTheme="minorEastAsia" w:hAnsiTheme="minorHAnsi"/>
            <w:noProof/>
            <w:lang w:eastAsia="en-AU"/>
          </w:rPr>
          <w:tab/>
        </w:r>
        <w:r w:rsidR="00F760A6" w:rsidRPr="00661DD7">
          <w:rPr>
            <w:rStyle w:val="Hyperlink"/>
            <w:noProof/>
          </w:rPr>
          <w:t>Early Initiatives</w:t>
        </w:r>
        <w:r w:rsidR="00F760A6">
          <w:rPr>
            <w:noProof/>
            <w:webHidden/>
          </w:rPr>
          <w:tab/>
        </w:r>
        <w:r w:rsidR="005309BD">
          <w:rPr>
            <w:noProof/>
            <w:webHidden/>
          </w:rPr>
          <w:t>59</w:t>
        </w:r>
      </w:hyperlink>
    </w:p>
    <w:p w14:paraId="26AEF27A" w14:textId="29C6F470" w:rsidR="00F760A6" w:rsidRDefault="00000000">
      <w:pPr>
        <w:pStyle w:val="TOC1"/>
        <w:tabs>
          <w:tab w:val="left" w:pos="1540"/>
        </w:tabs>
        <w:rPr>
          <w:rFonts w:asciiTheme="minorHAnsi" w:eastAsiaTheme="minorEastAsia" w:hAnsiTheme="minorHAnsi"/>
          <w:lang w:eastAsia="en-AU"/>
        </w:rPr>
      </w:pPr>
      <w:hyperlink w:anchor="_Toc134356921" w:history="1">
        <w:r w:rsidR="00F760A6" w:rsidRPr="00661DD7">
          <w:rPr>
            <w:rStyle w:val="Hyperlink"/>
            <w:noProof/>
          </w:rPr>
          <w:t>Appendix B</w:t>
        </w:r>
        <w:r w:rsidR="00F760A6">
          <w:rPr>
            <w:rFonts w:asciiTheme="minorHAnsi" w:eastAsiaTheme="minorEastAsia" w:hAnsiTheme="minorHAnsi"/>
            <w:noProof/>
            <w:lang w:eastAsia="en-AU"/>
          </w:rPr>
          <w:tab/>
        </w:r>
        <w:r w:rsidR="00F760A6" w:rsidRPr="00661DD7">
          <w:rPr>
            <w:rStyle w:val="Hyperlink"/>
            <w:noProof/>
          </w:rPr>
          <w:t>The Panel’s Stage 1 recommendations</w:t>
        </w:r>
        <w:r w:rsidR="00F760A6">
          <w:rPr>
            <w:noProof/>
            <w:webHidden/>
          </w:rPr>
          <w:tab/>
        </w:r>
        <w:r w:rsidR="005309BD">
          <w:rPr>
            <w:noProof/>
            <w:webHidden/>
          </w:rPr>
          <w:t>62</w:t>
        </w:r>
      </w:hyperlink>
    </w:p>
    <w:p w14:paraId="2098F023" w14:textId="602972FE" w:rsidR="00F760A6" w:rsidRDefault="00000000">
      <w:pPr>
        <w:pStyle w:val="TOC1"/>
        <w:tabs>
          <w:tab w:val="left" w:pos="1540"/>
        </w:tabs>
        <w:rPr>
          <w:rFonts w:asciiTheme="minorHAnsi" w:eastAsiaTheme="minorEastAsia" w:hAnsiTheme="minorHAnsi"/>
          <w:lang w:eastAsia="en-AU"/>
        </w:rPr>
      </w:pPr>
      <w:hyperlink w:anchor="_Toc134356922" w:history="1">
        <w:r w:rsidR="00F760A6" w:rsidRPr="00661DD7">
          <w:rPr>
            <w:rStyle w:val="Hyperlink"/>
            <w:noProof/>
          </w:rPr>
          <w:t>Appendix C</w:t>
        </w:r>
        <w:r w:rsidR="00F760A6">
          <w:rPr>
            <w:rFonts w:asciiTheme="minorHAnsi" w:eastAsiaTheme="minorEastAsia" w:hAnsiTheme="minorHAnsi"/>
            <w:noProof/>
            <w:lang w:eastAsia="en-AU"/>
          </w:rPr>
          <w:tab/>
        </w:r>
        <w:r w:rsidR="00F760A6" w:rsidRPr="00661DD7">
          <w:rPr>
            <w:rStyle w:val="Hyperlink"/>
            <w:noProof/>
          </w:rPr>
          <w:t>Dispute resolution journey map</w:t>
        </w:r>
        <w:r w:rsidR="00F760A6">
          <w:rPr>
            <w:noProof/>
            <w:webHidden/>
          </w:rPr>
          <w:tab/>
        </w:r>
        <w:r w:rsidR="00525A07">
          <w:rPr>
            <w:noProof/>
            <w:webHidden/>
          </w:rPr>
          <w:t>66</w:t>
        </w:r>
      </w:hyperlink>
    </w:p>
    <w:p w14:paraId="264142F0" w14:textId="35F6E006" w:rsidR="00F760A6" w:rsidRDefault="00000000">
      <w:pPr>
        <w:pStyle w:val="TOC1"/>
        <w:tabs>
          <w:tab w:val="left" w:pos="1540"/>
        </w:tabs>
        <w:rPr>
          <w:rFonts w:asciiTheme="minorHAnsi" w:eastAsiaTheme="minorEastAsia" w:hAnsiTheme="minorHAnsi"/>
          <w:lang w:eastAsia="en-AU"/>
        </w:rPr>
      </w:pPr>
      <w:hyperlink w:anchor="_Toc134356923" w:history="1">
        <w:r w:rsidR="00F760A6" w:rsidRPr="00661DD7">
          <w:rPr>
            <w:rStyle w:val="Hyperlink"/>
            <w:noProof/>
          </w:rPr>
          <w:t>Appendix D</w:t>
        </w:r>
        <w:r w:rsidR="00F760A6">
          <w:rPr>
            <w:rFonts w:asciiTheme="minorHAnsi" w:eastAsiaTheme="minorEastAsia" w:hAnsiTheme="minorHAnsi"/>
            <w:noProof/>
            <w:lang w:eastAsia="en-AU"/>
          </w:rPr>
          <w:tab/>
        </w:r>
        <w:r w:rsidR="00F760A6" w:rsidRPr="00661DD7">
          <w:rPr>
            <w:rStyle w:val="Hyperlink"/>
            <w:noProof/>
          </w:rPr>
          <w:t>Bibliography</w:t>
        </w:r>
        <w:r w:rsidR="00F760A6">
          <w:rPr>
            <w:noProof/>
            <w:webHidden/>
          </w:rPr>
          <w:tab/>
        </w:r>
        <w:r w:rsidR="00525A07">
          <w:rPr>
            <w:noProof/>
            <w:webHidden/>
          </w:rPr>
          <w:t>67</w:t>
        </w:r>
      </w:hyperlink>
    </w:p>
    <w:p w14:paraId="54544384" w14:textId="22BDC0DB" w:rsidR="003D1C00" w:rsidRDefault="008A4363" w:rsidP="00EC08EC">
      <w:pPr>
        <w:rPr>
          <w:lang w:eastAsia="en-AU"/>
        </w:rPr>
        <w:sectPr w:rsidR="003D1C00" w:rsidSect="006407C0">
          <w:headerReference w:type="even" r:id="rId18"/>
          <w:headerReference w:type="default" r:id="rId19"/>
          <w:headerReference w:type="first" r:id="rId20"/>
          <w:footerReference w:type="first" r:id="rId21"/>
          <w:pgSz w:w="11907" w:h="16839" w:code="9"/>
          <w:pgMar w:top="1418" w:right="1418" w:bottom="1701" w:left="1559" w:header="720" w:footer="720" w:gutter="0"/>
          <w:pgNumType w:fmt="lowerRoman" w:start="1"/>
          <w:cols w:space="720"/>
          <w:titlePg/>
          <w:docGrid w:linePitch="360"/>
        </w:sectPr>
      </w:pPr>
      <w:r w:rsidRPr="00760DDA">
        <w:rPr>
          <w:lang w:eastAsia="en-AU"/>
        </w:rPr>
        <w:fldChar w:fldCharType="end"/>
      </w:r>
      <w:r w:rsidR="00A37125">
        <w:rPr>
          <w:lang w:eastAsia="en-AU"/>
        </w:rPr>
        <w:br w:type="page"/>
      </w:r>
    </w:p>
    <w:p w14:paraId="3FAF095A" w14:textId="18D9E7CE" w:rsidR="003D1C00" w:rsidRDefault="003D1C00" w:rsidP="003D1C00">
      <w:pPr>
        <w:spacing w:before="360" w:after="600"/>
        <w:rPr>
          <w:rFonts w:eastAsia="Times New Roman" w:cs="Segoe UI"/>
          <w:b/>
          <w:color w:val="1F2A44" w:themeColor="text2"/>
          <w:sz w:val="36"/>
          <w:szCs w:val="36"/>
          <w:lang w:eastAsia="en-AU"/>
        </w:rPr>
      </w:pPr>
      <w:r w:rsidRPr="002433B4">
        <w:rPr>
          <w:rFonts w:eastAsia="Times New Roman" w:cs="Segoe UI"/>
          <w:b/>
          <w:color w:val="1F2A44" w:themeColor="text2"/>
          <w:sz w:val="36"/>
          <w:szCs w:val="36"/>
          <w:lang w:eastAsia="en-AU"/>
        </w:rPr>
        <w:lastRenderedPageBreak/>
        <w:t>Foreword</w:t>
      </w:r>
    </w:p>
    <w:p w14:paraId="4D222D19" w14:textId="7A9E821B" w:rsidR="003D1C00" w:rsidRPr="002433B4" w:rsidRDefault="003D1C00" w:rsidP="003D1C00">
      <w:pPr>
        <w:suppressAutoHyphens/>
      </w:pPr>
      <w:r w:rsidRPr="002433B4">
        <w:t xml:space="preserve">The Victorian Government has established the independent Building Reform Expert Panel (‘the Panel’ or ‘the Expert Panel’) to lead a review of the building legislative and regulatory system (the Review). The Review is designing a modern building regulatory system for Victoria that: </w:t>
      </w:r>
    </w:p>
    <w:p w14:paraId="3328EC61" w14:textId="77777777" w:rsidR="003D1C00" w:rsidRPr="002433B4" w:rsidRDefault="003D1C00" w:rsidP="00EB723B">
      <w:pPr>
        <w:numPr>
          <w:ilvl w:val="0"/>
          <w:numId w:val="3"/>
        </w:numPr>
        <w:suppressAutoHyphens/>
        <w:rPr>
          <w:rFonts w:eastAsia="Times New Roman" w:cs="Times New Roman"/>
          <w:szCs w:val="19"/>
          <w:lang w:eastAsia="en-AU"/>
        </w:rPr>
      </w:pPr>
      <w:r w:rsidRPr="002433B4">
        <w:rPr>
          <w:rFonts w:eastAsia="Times New Roman" w:cs="Times New Roman"/>
          <w:szCs w:val="19"/>
          <w:lang w:eastAsia="en-AU"/>
        </w:rPr>
        <w:t>delivers safe, compliant, durable, affordable</w:t>
      </w:r>
      <w:r>
        <w:rPr>
          <w:rFonts w:eastAsia="Times New Roman" w:cs="Times New Roman"/>
          <w:szCs w:val="19"/>
          <w:lang w:eastAsia="en-AU"/>
        </w:rPr>
        <w:t>,</w:t>
      </w:r>
      <w:r w:rsidRPr="002433B4">
        <w:rPr>
          <w:rFonts w:eastAsia="Times New Roman" w:cs="Times New Roman"/>
          <w:szCs w:val="19"/>
          <w:lang w:eastAsia="en-AU"/>
        </w:rPr>
        <w:t xml:space="preserve"> and sustainable housing and buildings efficiently and effectively; </w:t>
      </w:r>
    </w:p>
    <w:p w14:paraId="440105FA" w14:textId="77777777" w:rsidR="003D1C00" w:rsidRPr="002433B4" w:rsidRDefault="003D1C00" w:rsidP="00EB723B">
      <w:pPr>
        <w:numPr>
          <w:ilvl w:val="0"/>
          <w:numId w:val="3"/>
        </w:numPr>
        <w:suppressAutoHyphens/>
        <w:rPr>
          <w:rFonts w:eastAsia="Times New Roman" w:cs="Times New Roman"/>
          <w:szCs w:val="19"/>
          <w:lang w:eastAsia="en-AU"/>
        </w:rPr>
      </w:pPr>
      <w:r w:rsidRPr="002433B4">
        <w:rPr>
          <w:rFonts w:eastAsia="Times New Roman" w:cs="Times New Roman"/>
          <w:szCs w:val="19"/>
          <w:lang w:eastAsia="en-AU"/>
        </w:rPr>
        <w:t>protects consumers and boosts consumer confidence in the industry and in regulators</w:t>
      </w:r>
      <w:r>
        <w:rPr>
          <w:rFonts w:eastAsia="Times New Roman" w:cs="Times New Roman"/>
          <w:szCs w:val="19"/>
          <w:lang w:eastAsia="en-AU"/>
        </w:rPr>
        <w:t>;</w:t>
      </w:r>
    </w:p>
    <w:p w14:paraId="764F1F42" w14:textId="77777777" w:rsidR="003D1C00" w:rsidRPr="002433B4" w:rsidRDefault="003D1C00" w:rsidP="00EB723B">
      <w:pPr>
        <w:numPr>
          <w:ilvl w:val="0"/>
          <w:numId w:val="3"/>
        </w:numPr>
        <w:suppressAutoHyphens/>
        <w:rPr>
          <w:rFonts w:eastAsia="Times New Roman" w:cs="Times New Roman"/>
          <w:szCs w:val="19"/>
          <w:lang w:eastAsia="en-AU"/>
        </w:rPr>
      </w:pPr>
      <w:r w:rsidRPr="002433B4">
        <w:rPr>
          <w:rFonts w:eastAsia="Times New Roman" w:cs="Times New Roman"/>
          <w:szCs w:val="19"/>
          <w:lang w:eastAsia="en-AU"/>
        </w:rPr>
        <w:t>supports skilled and experienced practitioners to carry out compliant and safe practices; and</w:t>
      </w:r>
    </w:p>
    <w:p w14:paraId="546F2634" w14:textId="77777777" w:rsidR="003D1C00" w:rsidRPr="002433B4" w:rsidRDefault="003D1C00" w:rsidP="00EB723B">
      <w:pPr>
        <w:numPr>
          <w:ilvl w:val="0"/>
          <w:numId w:val="3"/>
        </w:numPr>
        <w:suppressAutoHyphens/>
        <w:rPr>
          <w:rFonts w:eastAsia="Times New Roman" w:cs="Times New Roman"/>
          <w:szCs w:val="19"/>
          <w:lang w:eastAsia="en-AU"/>
        </w:rPr>
      </w:pPr>
      <w:r w:rsidRPr="002433B4">
        <w:rPr>
          <w:rFonts w:eastAsia="Times New Roman" w:cs="Times New Roman"/>
          <w:szCs w:val="19"/>
          <w:lang w:eastAsia="en-AU"/>
        </w:rPr>
        <w:t xml:space="preserve">supports regulators to enforce compliance effectively and efficiently. </w:t>
      </w:r>
    </w:p>
    <w:p w14:paraId="47198337" w14:textId="4B96F411" w:rsidR="003D1C00" w:rsidRPr="002433B4" w:rsidRDefault="003D1C00" w:rsidP="003D1C00">
      <w:r w:rsidRPr="002433B4">
        <w:t>The Panel’s Review is being undertaken in the context of high-profile regulatory and industry failures, such as the Lacrosse and Neo200 building fires exacerbated by the presence of combustible cladding.</w:t>
      </w:r>
    </w:p>
    <w:p w14:paraId="45047DDC" w14:textId="20E46ABB" w:rsidR="003D1C00" w:rsidRPr="008A676E" w:rsidRDefault="003D1C00" w:rsidP="008A676E">
      <w:r w:rsidRPr="002433B4">
        <w:t xml:space="preserve">The Review follows other </w:t>
      </w:r>
      <w:r w:rsidRPr="002433B4" w:rsidDel="002759F4">
        <w:t>state and national reviews</w:t>
      </w:r>
      <w:r w:rsidR="008A676E">
        <w:t xml:space="preserve"> – the Building Confidence Report and Victorian Cladding Taskforce </w:t>
      </w:r>
      <w:r w:rsidR="00E0055D">
        <w:t>–</w:t>
      </w:r>
      <w:r w:rsidR="008A676E">
        <w:t xml:space="preserve"> </w:t>
      </w:r>
      <w:r w:rsidRPr="002433B4">
        <w:t>which</w:t>
      </w:r>
      <w:r w:rsidR="00E0055D">
        <w:t xml:space="preserve"> </w:t>
      </w:r>
      <w:r w:rsidRPr="002433B4">
        <w:t>pointed to regulatory weaknesses and the need to manage risks much more effectively across Australia</w:t>
      </w:r>
      <w:r w:rsidR="008A676E">
        <w:t xml:space="preserve">. </w:t>
      </w:r>
      <w:r w:rsidRPr="002433B4">
        <w:rPr>
          <w:rFonts w:eastAsia="Times New Roman" w:cs="Times New Roman"/>
          <w:szCs w:val="19"/>
          <w:lang w:eastAsia="en-AU"/>
        </w:rPr>
        <w:t xml:space="preserve">The </w:t>
      </w:r>
      <w:r>
        <w:rPr>
          <w:rFonts w:eastAsia="Times New Roman" w:cs="Times New Roman"/>
          <w:szCs w:val="19"/>
          <w:lang w:eastAsia="en-AU"/>
        </w:rPr>
        <w:t xml:space="preserve">Expert </w:t>
      </w:r>
      <w:r w:rsidRPr="002433B4">
        <w:rPr>
          <w:rFonts w:eastAsia="Times New Roman" w:cs="Times New Roman"/>
          <w:szCs w:val="19"/>
          <w:lang w:eastAsia="en-AU"/>
        </w:rPr>
        <w:t>Panel’s Review was a key recommendation of the Cladding Taskforce in 2019.</w:t>
      </w:r>
      <w:r w:rsidRPr="002433B4">
        <w:rPr>
          <w:rFonts w:eastAsia="Times New Roman" w:cs="Times New Roman"/>
          <w:szCs w:val="19"/>
          <w:vertAlign w:val="superscript"/>
          <w:lang w:eastAsia="en-AU"/>
        </w:rPr>
        <w:endnoteReference w:id="2"/>
      </w:r>
    </w:p>
    <w:p w14:paraId="585D4B8B" w14:textId="77777777" w:rsidR="003D1C00" w:rsidRPr="002433B4" w:rsidRDefault="003D1C00" w:rsidP="003D1C00">
      <w:r w:rsidRPr="002433B4">
        <w:t xml:space="preserve">Given the size and complexity of the reform task, the Panel is delivering reforms over three stages: Stages 1 and 2 are focused on how to improve accountability, oversight, and put consumers first through a range of recommendations. Stage 3 will </w:t>
      </w:r>
      <w:r>
        <w:t>develop a framework for a</w:t>
      </w:r>
      <w:r w:rsidRPr="002433B4">
        <w:t xml:space="preserve"> new Building Act.</w:t>
      </w:r>
    </w:p>
    <w:p w14:paraId="2CDCABBE" w14:textId="513516A2" w:rsidR="00FE0A67" w:rsidRDefault="003D1C00" w:rsidP="009C7FD3">
      <w:r w:rsidRPr="002433B4">
        <w:t xml:space="preserve">In Stage 1, the Panel addressed areas of significant reform across the regulatory </w:t>
      </w:r>
      <w:r w:rsidRPr="002433B4">
        <w:t>system. The proposed reforms include improvements to regulatory oversight and practice; practitioner registration and regulation; building approvals processes</w:t>
      </w:r>
      <w:r>
        <w:t>;</w:t>
      </w:r>
      <w:r w:rsidRPr="002433B4">
        <w:t xml:space="preserve"> and consumer representation and advocacy. In Stage 1, the Panel made 16 recommendations to the </w:t>
      </w:r>
      <w:r w:rsidR="00AE227C">
        <w:t xml:space="preserve">Victorian </w:t>
      </w:r>
      <w:r w:rsidRPr="002433B4">
        <w:t xml:space="preserve">Government which address </w:t>
      </w:r>
      <w:r w:rsidR="00FE0A67">
        <w:t xml:space="preserve">issues </w:t>
      </w:r>
      <w:r w:rsidR="009C7FD3">
        <w:t xml:space="preserve">of </w:t>
      </w:r>
      <w:r w:rsidR="00FE0A67" w:rsidRPr="00004A08">
        <w:rPr>
          <w:lang w:eastAsia="en-AU"/>
        </w:rPr>
        <w:t>system oversight, practitioner accountability</w:t>
      </w:r>
      <w:r w:rsidR="00FE0A67">
        <w:rPr>
          <w:lang w:eastAsia="en-AU"/>
        </w:rPr>
        <w:t>, consumer empowerment</w:t>
      </w:r>
      <w:r w:rsidR="00FE0A67" w:rsidRPr="00004A08">
        <w:rPr>
          <w:lang w:eastAsia="en-AU"/>
        </w:rPr>
        <w:t xml:space="preserve"> and the roles of key decision-makers in the system. These go to the core of how the building system operates.</w:t>
      </w:r>
    </w:p>
    <w:p w14:paraId="0E27FF8C" w14:textId="5ABA019C" w:rsidR="003D1C00" w:rsidRPr="002433B4" w:rsidRDefault="00AF3EF9" w:rsidP="003D1C00">
      <w:r w:rsidRPr="002433B4">
        <w:rPr>
          <w:lang w:eastAsia="en-AU"/>
        </w:rPr>
        <w:t>M</w:t>
      </w:r>
      <w:r>
        <w:rPr>
          <w:lang w:eastAsia="en-AU"/>
        </w:rPr>
        <w:t xml:space="preserve">any of the </w:t>
      </w:r>
      <w:r w:rsidRPr="002433B4">
        <w:rPr>
          <w:lang w:eastAsia="en-AU"/>
        </w:rPr>
        <w:t xml:space="preserve">reforms </w:t>
      </w:r>
      <w:r>
        <w:rPr>
          <w:lang w:eastAsia="en-AU"/>
        </w:rPr>
        <w:t xml:space="preserve">recommended by the Panel in Stage 1 are reflected in the Building Legislation Amendment Bill 2023, which is currently before Parliament. </w:t>
      </w:r>
    </w:p>
    <w:p w14:paraId="0591CEDB" w14:textId="77777777" w:rsidR="008D250A" w:rsidRDefault="003D1C00" w:rsidP="00AF3EF9">
      <w:r w:rsidRPr="002433B4">
        <w:t>In Stage 2 of the Review, the Panel</w:t>
      </w:r>
      <w:r w:rsidR="00AF3EF9">
        <w:t xml:space="preserve"> is looking at reforms across other core components of the regulatory system:</w:t>
      </w:r>
    </w:p>
    <w:p w14:paraId="171C98D7" w14:textId="40D5F1C2" w:rsidR="008D250A" w:rsidRDefault="00DD2F52" w:rsidP="008D250A">
      <w:pPr>
        <w:pStyle w:val="Bullet"/>
      </w:pPr>
      <w:r>
        <w:t>e</w:t>
      </w:r>
      <w:r w:rsidR="008D250A">
        <w:t>xtending accountability</w:t>
      </w:r>
      <w:r w:rsidR="00EF1268">
        <w:t>, including to developers</w:t>
      </w:r>
      <w:r w:rsidR="008D250A">
        <w:t>;</w:t>
      </w:r>
    </w:p>
    <w:p w14:paraId="6DABD4A4" w14:textId="30CB4A46" w:rsidR="008D250A" w:rsidRDefault="00DD2F52" w:rsidP="008D250A">
      <w:pPr>
        <w:pStyle w:val="Bullet"/>
      </w:pPr>
      <w:r>
        <w:t>c</w:t>
      </w:r>
      <w:r w:rsidR="008D250A">
        <w:t>ompliance</w:t>
      </w:r>
      <w:r w:rsidR="00AF3EF9">
        <w:t>, enforcement and discipline</w:t>
      </w:r>
      <w:r w:rsidR="008D250A">
        <w:t>;</w:t>
      </w:r>
    </w:p>
    <w:p w14:paraId="03CFEBD4" w14:textId="01F4DDB0" w:rsidR="008D250A" w:rsidRDefault="00DD2F52" w:rsidP="008D250A">
      <w:pPr>
        <w:pStyle w:val="Bullet"/>
      </w:pPr>
      <w:r>
        <w:t>i</w:t>
      </w:r>
      <w:r w:rsidR="008D250A">
        <w:t>nsurance;</w:t>
      </w:r>
    </w:p>
    <w:p w14:paraId="1812B0D6" w14:textId="75CAF6DC" w:rsidR="008D250A" w:rsidRDefault="00DD2F52" w:rsidP="008D250A">
      <w:pPr>
        <w:pStyle w:val="Bullet"/>
      </w:pPr>
      <w:r>
        <w:t>d</w:t>
      </w:r>
      <w:r w:rsidR="008D250A">
        <w:t>ispute prevention and resolution;</w:t>
      </w:r>
      <w:r w:rsidR="00AF3EF9">
        <w:t xml:space="preserve"> and</w:t>
      </w:r>
    </w:p>
    <w:p w14:paraId="0760AF85" w14:textId="1F4A8911" w:rsidR="008D250A" w:rsidRDefault="00DD2F52" w:rsidP="008D250A">
      <w:pPr>
        <w:pStyle w:val="Bullet"/>
      </w:pPr>
      <w:r>
        <w:t>b</w:t>
      </w:r>
      <w:r w:rsidR="008D250A">
        <w:t>uilding</w:t>
      </w:r>
      <w:r w:rsidR="00AF3EF9">
        <w:t xml:space="preserve"> maintenance</w:t>
      </w:r>
      <w:r w:rsidR="008D250A">
        <w:t>, products,</w:t>
      </w:r>
      <w:r w:rsidR="00AF3EF9">
        <w:t xml:space="preserve"> and </w:t>
      </w:r>
      <w:r w:rsidR="008D250A">
        <w:t>technologies</w:t>
      </w:r>
      <w:r w:rsidR="000C3E2C">
        <w:t>.</w:t>
      </w:r>
    </w:p>
    <w:p w14:paraId="2F834E7D" w14:textId="3CC25C6E" w:rsidR="003D1C00" w:rsidRDefault="00AF3EF9" w:rsidP="00AF3EF9">
      <w:r>
        <w:t xml:space="preserve">These areas </w:t>
      </w:r>
      <w:r w:rsidR="003D1C00" w:rsidRPr="002433B4">
        <w:t>build on the Panel’s recommendations in Stage 1 – as well as the early initiatives recommended in 2020</w:t>
      </w:r>
      <w:r w:rsidR="003D1C00">
        <w:t xml:space="preserve">. Together, they </w:t>
      </w:r>
      <w:r w:rsidR="003D1C00" w:rsidRPr="002433B4">
        <w:t>lead to substantial improvements in the regulatory system and strengthen accountability across the building lifecycle.</w:t>
      </w:r>
    </w:p>
    <w:p w14:paraId="13A67626" w14:textId="404C2BC6" w:rsidR="00F3410B" w:rsidRPr="002433B4" w:rsidRDefault="00F3410B" w:rsidP="00AF3EF9">
      <w:r>
        <w:t>The Panel</w:t>
      </w:r>
      <w:r w:rsidR="00E242FB">
        <w:t>’</w:t>
      </w:r>
      <w:r>
        <w:t>s</w:t>
      </w:r>
      <w:r w:rsidR="00960862">
        <w:t xml:space="preserve"> proposed recommendations for</w:t>
      </w:r>
      <w:r>
        <w:t xml:space="preserve"> Stage 2 </w:t>
      </w:r>
      <w:r w:rsidR="00960862">
        <w:t>a</w:t>
      </w:r>
      <w:r>
        <w:t>re outlined in this Paper.</w:t>
      </w:r>
    </w:p>
    <w:p w14:paraId="01C53BA4" w14:textId="4625F9B6" w:rsidR="003D1C00" w:rsidRDefault="003D1C00" w:rsidP="003D1C00">
      <w:pPr>
        <w:rPr>
          <w:lang w:eastAsia="en-AU"/>
        </w:rPr>
      </w:pPr>
      <w:r w:rsidRPr="002433B4">
        <w:rPr>
          <w:lang w:eastAsia="en-AU"/>
        </w:rPr>
        <w:t xml:space="preserve">Stage 3 </w:t>
      </w:r>
      <w:r w:rsidR="00EE4D66">
        <w:rPr>
          <w:lang w:eastAsia="en-AU"/>
        </w:rPr>
        <w:t xml:space="preserve">of the Panel’s work </w:t>
      </w:r>
      <w:r w:rsidRPr="002433B4">
        <w:rPr>
          <w:lang w:eastAsia="en-AU"/>
        </w:rPr>
        <w:t xml:space="preserve">will finalise </w:t>
      </w:r>
      <w:r w:rsidR="00EE4D66">
        <w:rPr>
          <w:lang w:eastAsia="en-AU"/>
        </w:rPr>
        <w:t xml:space="preserve">our recommended </w:t>
      </w:r>
      <w:r w:rsidRPr="002433B4">
        <w:rPr>
          <w:lang w:eastAsia="en-AU"/>
        </w:rPr>
        <w:t xml:space="preserve">reform package, including advice on the development of a </w:t>
      </w:r>
      <w:r w:rsidR="00EE4D66">
        <w:rPr>
          <w:lang w:eastAsia="en-AU"/>
        </w:rPr>
        <w:t xml:space="preserve">framework for a </w:t>
      </w:r>
      <w:r w:rsidRPr="002433B4">
        <w:rPr>
          <w:lang w:eastAsia="en-AU"/>
        </w:rPr>
        <w:t xml:space="preserve">new Building Act, </w:t>
      </w:r>
      <w:r>
        <w:rPr>
          <w:lang w:eastAsia="en-AU"/>
        </w:rPr>
        <w:t xml:space="preserve">and </w:t>
      </w:r>
      <w:r w:rsidRPr="002433B4">
        <w:rPr>
          <w:lang w:eastAsia="en-AU"/>
        </w:rPr>
        <w:t xml:space="preserve">changes to regulations to align with the outcomes of Stages 1 and 2. </w:t>
      </w:r>
    </w:p>
    <w:p w14:paraId="623EFEF5" w14:textId="77777777" w:rsidR="007117A5" w:rsidRDefault="007117A5">
      <w:pPr>
        <w:spacing w:after="160" w:line="259" w:lineRule="auto"/>
        <w:rPr>
          <w:lang w:eastAsia="en-AU"/>
        </w:rPr>
      </w:pPr>
      <w:r>
        <w:rPr>
          <w:lang w:eastAsia="en-AU"/>
        </w:rPr>
        <w:br w:type="page"/>
      </w:r>
    </w:p>
    <w:p w14:paraId="71D87438" w14:textId="77777777" w:rsidR="003D1C00" w:rsidRDefault="003D1C00" w:rsidP="003D1C00">
      <w:pPr>
        <w:sectPr w:rsidR="003D1C00">
          <w:endnotePr>
            <w:numFmt w:val="decimal"/>
          </w:endnotePr>
          <w:type w:val="continuous"/>
          <w:pgSz w:w="11907" w:h="16839" w:code="9"/>
          <w:pgMar w:top="1418" w:right="1418" w:bottom="1701" w:left="1559" w:header="720" w:footer="720" w:gutter="0"/>
          <w:cols w:num="2" w:space="510"/>
          <w:docGrid w:linePitch="360"/>
        </w:sectPr>
      </w:pPr>
    </w:p>
    <w:p w14:paraId="32BA98F9" w14:textId="1AC8B1F2" w:rsidR="003D1C00" w:rsidRDefault="003D1C00" w:rsidP="003D1C00">
      <w:pPr>
        <w:pStyle w:val="ContentsHeading"/>
      </w:pPr>
      <w:r>
        <w:lastRenderedPageBreak/>
        <w:t>Glossary</w:t>
      </w:r>
    </w:p>
    <w:p w14:paraId="6D200106" w14:textId="77777777" w:rsidR="003D1C00" w:rsidRDefault="003D1C00" w:rsidP="003D1C00">
      <w:r w:rsidRPr="00564164">
        <w:t>ABCB</w:t>
      </w:r>
      <w:r>
        <w:tab/>
      </w:r>
      <w:r>
        <w:tab/>
      </w:r>
      <w:r>
        <w:tab/>
        <w:t>Australian Building Codes Board</w:t>
      </w:r>
    </w:p>
    <w:p w14:paraId="3ED3FC49" w14:textId="14FA4B51" w:rsidR="003D1C00" w:rsidRDefault="003D1C00" w:rsidP="003D1C00">
      <w:r w:rsidRPr="00564164">
        <w:t>ACL</w:t>
      </w:r>
      <w:r>
        <w:tab/>
      </w:r>
      <w:r>
        <w:tab/>
      </w:r>
      <w:r>
        <w:tab/>
        <w:t>Australian Consumer Law</w:t>
      </w:r>
    </w:p>
    <w:p w14:paraId="65824619" w14:textId="77777777" w:rsidR="003D1C00" w:rsidRDefault="003D1C00" w:rsidP="003D1C00">
      <w:r w:rsidRPr="00564164">
        <w:t>AIBS</w:t>
      </w:r>
      <w:r>
        <w:tab/>
      </w:r>
      <w:r>
        <w:tab/>
      </w:r>
      <w:r>
        <w:tab/>
        <w:t>Australian Institute of Building Surveyors</w:t>
      </w:r>
    </w:p>
    <w:p w14:paraId="5754CF65" w14:textId="77777777" w:rsidR="003D1C00" w:rsidRDefault="003D1C00" w:rsidP="003D1C00">
      <w:r w:rsidRPr="00564164">
        <w:t>ARBV</w:t>
      </w:r>
      <w:r>
        <w:tab/>
      </w:r>
      <w:r>
        <w:tab/>
      </w:r>
      <w:r>
        <w:tab/>
        <w:t xml:space="preserve">Architects Registration Board of Victoria </w:t>
      </w:r>
    </w:p>
    <w:p w14:paraId="3E4AC17B" w14:textId="28E8302A" w:rsidR="003D1C00" w:rsidRDefault="003D1C00" w:rsidP="003D1C00">
      <w:r>
        <w:t>BACV</w:t>
      </w:r>
      <w:r>
        <w:tab/>
      </w:r>
      <w:r>
        <w:tab/>
      </w:r>
      <w:r>
        <w:tab/>
        <w:t xml:space="preserve">Building Advice </w:t>
      </w:r>
      <w:r w:rsidR="00321B31">
        <w:t>and</w:t>
      </w:r>
      <w:r>
        <w:t xml:space="preserve"> Conciliation Victoria</w:t>
      </w:r>
    </w:p>
    <w:p w14:paraId="3000F283" w14:textId="77777777" w:rsidR="003D1C00" w:rsidRDefault="003D1C00" w:rsidP="003D1C00">
      <w:r w:rsidRPr="00564164">
        <w:t>BCA</w:t>
      </w:r>
      <w:r>
        <w:tab/>
      </w:r>
      <w:r>
        <w:tab/>
      </w:r>
      <w:r>
        <w:tab/>
        <w:t>Building Code of Australia</w:t>
      </w:r>
    </w:p>
    <w:p w14:paraId="2F64540C" w14:textId="77777777" w:rsidR="003D1C00" w:rsidRDefault="003D1C00" w:rsidP="003D1C00">
      <w:r>
        <w:t>BCC</w:t>
      </w:r>
      <w:r>
        <w:tab/>
      </w:r>
      <w:r>
        <w:tab/>
      </w:r>
      <w:r>
        <w:tab/>
        <w:t>Building Codes Committee</w:t>
      </w:r>
    </w:p>
    <w:p w14:paraId="36F91CA3" w14:textId="77777777" w:rsidR="003D1C00" w:rsidRDefault="003D1C00" w:rsidP="003D1C00">
      <w:r w:rsidRPr="00564164">
        <w:t>BCR</w:t>
      </w:r>
      <w:r w:rsidRPr="00564164">
        <w:tab/>
      </w:r>
      <w:r>
        <w:tab/>
      </w:r>
      <w:r>
        <w:tab/>
        <w:t>Building Confidence Report</w:t>
      </w:r>
    </w:p>
    <w:p w14:paraId="0DCC6F9C" w14:textId="77777777" w:rsidR="003D1C00" w:rsidRDefault="003D1C00" w:rsidP="003D1C00">
      <w:r w:rsidRPr="00564164">
        <w:t>BIL</w:t>
      </w:r>
      <w:r>
        <w:tab/>
      </w:r>
      <w:r>
        <w:tab/>
      </w:r>
      <w:r>
        <w:tab/>
        <w:t>Building Information Line</w:t>
      </w:r>
    </w:p>
    <w:p w14:paraId="76E277B4" w14:textId="77777777" w:rsidR="003D1C00" w:rsidRDefault="003D1C00" w:rsidP="003D1C00">
      <w:r>
        <w:t>BIM</w:t>
      </w:r>
      <w:r>
        <w:tab/>
      </w:r>
      <w:r>
        <w:tab/>
      </w:r>
      <w:r>
        <w:tab/>
        <w:t>Building Information Modelling</w:t>
      </w:r>
    </w:p>
    <w:p w14:paraId="761D6DB5" w14:textId="0D41D0DD" w:rsidR="003D1C00" w:rsidRDefault="003D1C00" w:rsidP="003D1C00">
      <w:r>
        <w:t>BLA</w:t>
      </w:r>
      <w:r>
        <w:tab/>
      </w:r>
      <w:r>
        <w:tab/>
      </w:r>
      <w:r>
        <w:tab/>
        <w:t>Business Licensing Authority</w:t>
      </w:r>
    </w:p>
    <w:p w14:paraId="6206B475" w14:textId="77777777" w:rsidR="003D1C00" w:rsidRDefault="003D1C00" w:rsidP="003D1C00">
      <w:r w:rsidRPr="00564164">
        <w:t>BRAC</w:t>
      </w:r>
      <w:r>
        <w:tab/>
      </w:r>
      <w:r>
        <w:tab/>
      </w:r>
      <w:r>
        <w:tab/>
        <w:t>Building Regulations Advisory Committee</w:t>
      </w:r>
    </w:p>
    <w:p w14:paraId="3645E883" w14:textId="77777777" w:rsidR="003D1C00" w:rsidRDefault="003D1C00" w:rsidP="003D1C00">
      <w:r>
        <w:t>BRV</w:t>
      </w:r>
      <w:r>
        <w:tab/>
      </w:r>
      <w:r>
        <w:tab/>
      </w:r>
      <w:r>
        <w:tab/>
        <w:t>Better Regulation Victoria</w:t>
      </w:r>
      <w:r>
        <w:tab/>
      </w:r>
      <w:r>
        <w:tab/>
      </w:r>
    </w:p>
    <w:p w14:paraId="32F5B4AB" w14:textId="77777777" w:rsidR="003D1C00" w:rsidRDefault="003D1C00" w:rsidP="003D1C00">
      <w:r>
        <w:t>CAV</w:t>
      </w:r>
      <w:r>
        <w:tab/>
      </w:r>
      <w:r>
        <w:tab/>
      </w:r>
      <w:r>
        <w:tab/>
      </w:r>
      <w:bookmarkStart w:id="1" w:name="_Hlk134288298"/>
      <w:r>
        <w:t xml:space="preserve">Consumer Affairs Victoria </w:t>
      </w:r>
      <w:bookmarkEnd w:id="1"/>
    </w:p>
    <w:p w14:paraId="1720DE1D" w14:textId="7E1885A3" w:rsidR="003D1C00" w:rsidRDefault="003D1C00" w:rsidP="003D1C00">
      <w:r>
        <w:t>CFA</w:t>
      </w:r>
      <w:r>
        <w:tab/>
      </w:r>
      <w:r>
        <w:tab/>
      </w:r>
      <w:r>
        <w:tab/>
        <w:t xml:space="preserve">Country Fire </w:t>
      </w:r>
      <w:r w:rsidR="005318E9" w:rsidRPr="005318E9">
        <w:t>Authority</w:t>
      </w:r>
    </w:p>
    <w:p w14:paraId="079844CF" w14:textId="77777777" w:rsidR="003D1C00" w:rsidRDefault="003D1C00" w:rsidP="003D1C00">
      <w:r>
        <w:t>CSV</w:t>
      </w:r>
      <w:r>
        <w:tab/>
      </w:r>
      <w:r>
        <w:tab/>
      </w:r>
      <w:r>
        <w:tab/>
        <w:t>Cladding Safety Victoria</w:t>
      </w:r>
    </w:p>
    <w:p w14:paraId="779461CF" w14:textId="7C959256" w:rsidR="003D1C00" w:rsidRDefault="003D1C00" w:rsidP="003D1C00">
      <w:r w:rsidRPr="00564164">
        <w:t>DBCA</w:t>
      </w:r>
      <w:r w:rsidR="00BD14CC">
        <w:tab/>
      </w:r>
      <w:r>
        <w:tab/>
      </w:r>
      <w:r>
        <w:tab/>
        <w:t>Domestic Building Contracts Act 1995 (Vic)</w:t>
      </w:r>
    </w:p>
    <w:p w14:paraId="12792D46" w14:textId="77777777" w:rsidR="003D1C00" w:rsidRDefault="003D1C00" w:rsidP="003D1C00">
      <w:r w:rsidRPr="00564164">
        <w:t>DBDRV</w:t>
      </w:r>
      <w:r>
        <w:tab/>
      </w:r>
      <w:r>
        <w:tab/>
        <w:t>Domestic Building Dispute Resolution Victoria</w:t>
      </w:r>
    </w:p>
    <w:p w14:paraId="4DCA9FA2" w14:textId="77777777" w:rsidR="003D1C00" w:rsidRDefault="003D1C00" w:rsidP="003D1C00">
      <w:r w:rsidRPr="00564164">
        <w:t>DBI</w:t>
      </w:r>
      <w:r>
        <w:tab/>
      </w:r>
      <w:r>
        <w:tab/>
      </w:r>
      <w:r>
        <w:tab/>
        <w:t>Domestic Building Insurance</w:t>
      </w:r>
    </w:p>
    <w:p w14:paraId="695EF088" w14:textId="5C3B0F4D" w:rsidR="00AF5589" w:rsidRPr="00AF5589" w:rsidRDefault="00AF5589" w:rsidP="003D1C00">
      <w:r w:rsidRPr="00564164">
        <w:t>DBS</w:t>
      </w:r>
      <w:r>
        <w:tab/>
      </w:r>
      <w:r>
        <w:tab/>
      </w:r>
      <w:r>
        <w:tab/>
        <w:t>Developer Bond Scheme</w:t>
      </w:r>
    </w:p>
    <w:p w14:paraId="5D8A0802" w14:textId="77777777" w:rsidR="003D1C00" w:rsidRDefault="003D1C00" w:rsidP="003D1C00">
      <w:r>
        <w:t>DJCS</w:t>
      </w:r>
      <w:r>
        <w:tab/>
      </w:r>
      <w:r>
        <w:tab/>
      </w:r>
      <w:r>
        <w:tab/>
        <w:t>Department of Justice and Community Safety</w:t>
      </w:r>
    </w:p>
    <w:p w14:paraId="21EDD0BF" w14:textId="4398058D" w:rsidR="002C1E1A" w:rsidRDefault="002C1E1A" w:rsidP="003D1C00">
      <w:r>
        <w:t>DRO</w:t>
      </w:r>
      <w:r>
        <w:tab/>
      </w:r>
      <w:r>
        <w:tab/>
      </w:r>
      <w:r>
        <w:tab/>
        <w:t>Dispute Resolution Order</w:t>
      </w:r>
    </w:p>
    <w:p w14:paraId="42CD8A88" w14:textId="70FE37C7" w:rsidR="006D3E5C" w:rsidRPr="006D3E5C" w:rsidRDefault="006D3E5C" w:rsidP="003D1C00">
      <w:r w:rsidRPr="00564164">
        <w:t>DTF</w:t>
      </w:r>
      <w:r w:rsidRPr="00564164">
        <w:tab/>
      </w:r>
      <w:r w:rsidRPr="00564164">
        <w:tab/>
      </w:r>
      <w:r w:rsidRPr="00564164">
        <w:tab/>
      </w:r>
      <w:r>
        <w:t xml:space="preserve">Direction to </w:t>
      </w:r>
      <w:r w:rsidR="0033031D">
        <w:t>F</w:t>
      </w:r>
      <w:r>
        <w:t>ix</w:t>
      </w:r>
    </w:p>
    <w:p w14:paraId="34F2358C" w14:textId="77777777" w:rsidR="003D1C00" w:rsidRDefault="003D1C00" w:rsidP="003D1C00">
      <w:r w:rsidRPr="00564164">
        <w:t>DTP</w:t>
      </w:r>
      <w:r>
        <w:tab/>
      </w:r>
      <w:r>
        <w:tab/>
      </w:r>
      <w:r>
        <w:tab/>
        <w:t>Department of Transport and Planning</w:t>
      </w:r>
    </w:p>
    <w:p w14:paraId="2A11D39C" w14:textId="77777777" w:rsidR="003D1C00" w:rsidRDefault="003D1C00" w:rsidP="003D1C00">
      <w:r>
        <w:t>ESM</w:t>
      </w:r>
      <w:r>
        <w:tab/>
      </w:r>
      <w:r>
        <w:tab/>
      </w:r>
      <w:r>
        <w:tab/>
        <w:t>Essential Safety Measures</w:t>
      </w:r>
    </w:p>
    <w:p w14:paraId="08EFCCFC" w14:textId="77777777" w:rsidR="003D1C00" w:rsidRDefault="003D1C00" w:rsidP="003D1C00">
      <w:r w:rsidRPr="00564164">
        <w:t>ESV</w:t>
      </w:r>
      <w:r>
        <w:tab/>
      </w:r>
      <w:r>
        <w:tab/>
      </w:r>
      <w:r>
        <w:tab/>
        <w:t xml:space="preserve">Energy Safe Victoria </w:t>
      </w:r>
    </w:p>
    <w:p w14:paraId="3C09FDB0" w14:textId="50B6E5F3" w:rsidR="003D1C00" w:rsidRDefault="003D1C00" w:rsidP="003D1C00">
      <w:r w:rsidRPr="00564164">
        <w:t>FFR</w:t>
      </w:r>
      <w:r>
        <w:tab/>
      </w:r>
      <w:r>
        <w:tab/>
      </w:r>
      <w:r>
        <w:tab/>
        <w:t>Framework for Reform</w:t>
      </w:r>
    </w:p>
    <w:p w14:paraId="11A37C6B" w14:textId="77777777" w:rsidR="003D1C00" w:rsidRDefault="003D1C00" w:rsidP="003D1C00">
      <w:r>
        <w:t>FRV</w:t>
      </w:r>
      <w:r>
        <w:tab/>
      </w:r>
      <w:r>
        <w:tab/>
      </w:r>
      <w:r>
        <w:tab/>
        <w:t>Fire Rescue Victoria</w:t>
      </w:r>
    </w:p>
    <w:p w14:paraId="46A023EC" w14:textId="77777777" w:rsidR="003D1C00" w:rsidRDefault="003D1C00" w:rsidP="003D1C00">
      <w:r>
        <w:t>GSP</w:t>
      </w:r>
      <w:r>
        <w:tab/>
      </w:r>
      <w:r>
        <w:tab/>
      </w:r>
      <w:r>
        <w:tab/>
        <w:t>Gross State Product</w:t>
      </w:r>
    </w:p>
    <w:p w14:paraId="6BB16E1C" w14:textId="77777777" w:rsidR="003D1C00" w:rsidRDefault="003D1C00" w:rsidP="003D1C00">
      <w:r>
        <w:t>HGF</w:t>
      </w:r>
      <w:r>
        <w:tab/>
      </w:r>
      <w:r>
        <w:tab/>
      </w:r>
      <w:r>
        <w:tab/>
        <w:t>Housing Guarantee Fund</w:t>
      </w:r>
    </w:p>
    <w:p w14:paraId="10DA1F89" w14:textId="77777777" w:rsidR="003D1C00" w:rsidRDefault="003D1C00" w:rsidP="003D1C00">
      <w:r>
        <w:t>HIA</w:t>
      </w:r>
      <w:r>
        <w:tab/>
      </w:r>
      <w:r>
        <w:tab/>
      </w:r>
      <w:r>
        <w:tab/>
        <w:t>Housing Industry Association</w:t>
      </w:r>
    </w:p>
    <w:p w14:paraId="1AF88BE3" w14:textId="77777777" w:rsidR="003D1C00" w:rsidRDefault="003D1C00" w:rsidP="003D1C00">
      <w:r>
        <w:t>IDI</w:t>
      </w:r>
      <w:r>
        <w:tab/>
      </w:r>
      <w:r>
        <w:tab/>
      </w:r>
      <w:r>
        <w:tab/>
        <w:t>Inherent Defects Insurance</w:t>
      </w:r>
    </w:p>
    <w:p w14:paraId="4A347770" w14:textId="77777777" w:rsidR="003D1C00" w:rsidRDefault="003D1C00" w:rsidP="003D1C00">
      <w:r>
        <w:t>MAV</w:t>
      </w:r>
      <w:r>
        <w:tab/>
      </w:r>
      <w:r>
        <w:tab/>
      </w:r>
      <w:r>
        <w:tab/>
        <w:t>Municipal Association of Victoria</w:t>
      </w:r>
    </w:p>
    <w:p w14:paraId="59D6EFBC" w14:textId="54865284" w:rsidR="003D1C00" w:rsidRDefault="003D1C00" w:rsidP="003D1C00">
      <w:r>
        <w:lastRenderedPageBreak/>
        <w:t>MB</w:t>
      </w:r>
      <w:r w:rsidR="0063037D">
        <w:t>A</w:t>
      </w:r>
      <w:r>
        <w:t>V</w:t>
      </w:r>
      <w:r>
        <w:tab/>
      </w:r>
      <w:r>
        <w:tab/>
      </w:r>
      <w:r>
        <w:tab/>
        <w:t xml:space="preserve">Master Builders </w:t>
      </w:r>
      <w:r w:rsidR="0063037D">
        <w:t xml:space="preserve">Association of </w:t>
      </w:r>
      <w:r>
        <w:t>Victoria</w:t>
      </w:r>
    </w:p>
    <w:p w14:paraId="25B7D64A" w14:textId="77777777" w:rsidR="003D1C00" w:rsidRDefault="003D1C00" w:rsidP="003D1C00">
      <w:r w:rsidRPr="00564164">
        <w:t>MBS</w:t>
      </w:r>
      <w:r w:rsidRPr="00564164">
        <w:tab/>
      </w:r>
      <w:r>
        <w:tab/>
      </w:r>
      <w:r>
        <w:tab/>
        <w:t>Municipal Building Surveyor</w:t>
      </w:r>
    </w:p>
    <w:p w14:paraId="18A4AA4E" w14:textId="77777777" w:rsidR="003D1C00" w:rsidRDefault="003D1C00" w:rsidP="003D1C00">
      <w:r w:rsidRPr="00564164">
        <w:t>NCC</w:t>
      </w:r>
      <w:r>
        <w:tab/>
      </w:r>
      <w:r>
        <w:tab/>
      </w:r>
      <w:r>
        <w:tab/>
        <w:t>National Construction Code</w:t>
      </w:r>
    </w:p>
    <w:p w14:paraId="52ECE994" w14:textId="77777777" w:rsidR="003D1C00" w:rsidRDefault="003D1C00" w:rsidP="003D1C00">
      <w:r w:rsidRPr="00564164">
        <w:t>OC</w:t>
      </w:r>
      <w:r>
        <w:tab/>
      </w:r>
      <w:r>
        <w:tab/>
      </w:r>
      <w:r>
        <w:tab/>
        <w:t>Owners corporation</w:t>
      </w:r>
    </w:p>
    <w:p w14:paraId="2B760DF7" w14:textId="77777777" w:rsidR="003D1C00" w:rsidRDefault="003D1C00" w:rsidP="003D1C00">
      <w:r>
        <w:t>PBS</w:t>
      </w:r>
      <w:r>
        <w:tab/>
      </w:r>
      <w:r>
        <w:tab/>
      </w:r>
      <w:r>
        <w:tab/>
        <w:t>Private Building Surveyor</w:t>
      </w:r>
    </w:p>
    <w:p w14:paraId="6B028A34" w14:textId="77777777" w:rsidR="003D1C00" w:rsidRDefault="003D1C00" w:rsidP="003D1C00">
      <w:r w:rsidRPr="00564164">
        <w:t>PCA</w:t>
      </w:r>
      <w:r>
        <w:tab/>
      </w:r>
      <w:r>
        <w:tab/>
      </w:r>
      <w:r>
        <w:tab/>
        <w:t>Plumbing Code of Australia</w:t>
      </w:r>
    </w:p>
    <w:p w14:paraId="5B7CE60C" w14:textId="77777777" w:rsidR="003D1C00" w:rsidRDefault="003D1C00" w:rsidP="003D1C00">
      <w:r w:rsidRPr="00564164">
        <w:t>PII</w:t>
      </w:r>
      <w:r>
        <w:tab/>
      </w:r>
      <w:r>
        <w:tab/>
      </w:r>
      <w:r>
        <w:tab/>
        <w:t>Professional Indemnity Insurance</w:t>
      </w:r>
    </w:p>
    <w:p w14:paraId="45056ADE" w14:textId="77777777" w:rsidR="003D1C00" w:rsidRDefault="003D1C00" w:rsidP="003D1C00">
      <w:r w:rsidRPr="00564164">
        <w:t>RBS</w:t>
      </w:r>
      <w:r>
        <w:tab/>
      </w:r>
      <w:r>
        <w:tab/>
      </w:r>
      <w:r>
        <w:tab/>
        <w:t>Relevant Building Surveyor</w:t>
      </w:r>
    </w:p>
    <w:p w14:paraId="39839942" w14:textId="14632E24" w:rsidR="00A124EF" w:rsidRPr="00A124EF" w:rsidRDefault="00A124EF" w:rsidP="003D1C00">
      <w:r w:rsidRPr="00564164">
        <w:t>RICS</w:t>
      </w:r>
      <w:r w:rsidRPr="00564164">
        <w:tab/>
      </w:r>
      <w:r w:rsidRPr="00564164">
        <w:tab/>
      </w:r>
      <w:r w:rsidRPr="00564164">
        <w:tab/>
      </w:r>
      <w:r>
        <w:t>Royal Institute of Chartered Surveyors</w:t>
      </w:r>
    </w:p>
    <w:p w14:paraId="7BE193E5" w14:textId="77777777" w:rsidR="003D1C00" w:rsidRDefault="003D1C00" w:rsidP="003D1C00">
      <w:r>
        <w:t>SBS</w:t>
      </w:r>
      <w:r>
        <w:tab/>
      </w:r>
      <w:r>
        <w:tab/>
      </w:r>
      <w:r>
        <w:tab/>
        <w:t xml:space="preserve">State Building Surveyor </w:t>
      </w:r>
    </w:p>
    <w:p w14:paraId="4FDD17A1" w14:textId="4CD5A64D" w:rsidR="00FF6D71" w:rsidRDefault="00FF6D71" w:rsidP="003D1C00">
      <w:r w:rsidRPr="00564164">
        <w:t>SPV</w:t>
      </w:r>
      <w:r>
        <w:tab/>
      </w:r>
      <w:r>
        <w:tab/>
      </w:r>
      <w:r>
        <w:tab/>
        <w:t>Special Purpose Vehicle</w:t>
      </w:r>
    </w:p>
    <w:p w14:paraId="143A1DB1" w14:textId="77777777" w:rsidR="003D1C00" w:rsidRDefault="003D1C00" w:rsidP="003D1C00">
      <w:r w:rsidRPr="00564164">
        <w:t>VBA</w:t>
      </w:r>
      <w:r>
        <w:tab/>
      </w:r>
      <w:r>
        <w:tab/>
      </w:r>
      <w:r>
        <w:tab/>
        <w:t xml:space="preserve">Victorian Building Authority </w:t>
      </w:r>
      <w:r>
        <w:tab/>
      </w:r>
    </w:p>
    <w:p w14:paraId="1491CCAC" w14:textId="77777777" w:rsidR="003D1C00" w:rsidRDefault="003D1C00" w:rsidP="003D1C00">
      <w:r w:rsidRPr="00564164">
        <w:t>VCAT</w:t>
      </w:r>
      <w:r>
        <w:tab/>
      </w:r>
      <w:r>
        <w:tab/>
      </w:r>
      <w:r>
        <w:tab/>
        <w:t xml:space="preserve">Victorian Civil and Administrative Tribunal </w:t>
      </w:r>
    </w:p>
    <w:p w14:paraId="38658CE5" w14:textId="77777777" w:rsidR="003D1C00" w:rsidRDefault="003D1C00" w:rsidP="003D1C00">
      <w:r w:rsidRPr="00564164">
        <w:t>VCT</w:t>
      </w:r>
      <w:r>
        <w:tab/>
      </w:r>
      <w:r>
        <w:tab/>
      </w:r>
      <w:r>
        <w:tab/>
        <w:t>Victorian Cladding Taskforce</w:t>
      </w:r>
    </w:p>
    <w:p w14:paraId="2E8FDC41" w14:textId="77777777" w:rsidR="003D1C00" w:rsidRDefault="003D1C00" w:rsidP="003D1C00">
      <w:r w:rsidRPr="00564164">
        <w:t>VMIA</w:t>
      </w:r>
      <w:r>
        <w:tab/>
      </w:r>
      <w:r>
        <w:tab/>
      </w:r>
      <w:r>
        <w:tab/>
        <w:t>Victorian Managed Insurance Authority</w:t>
      </w:r>
    </w:p>
    <w:p w14:paraId="5866D211" w14:textId="08542DA4" w:rsidR="003D1C00" w:rsidRDefault="003D1C00" w:rsidP="003D1C00">
      <w:r>
        <w:t xml:space="preserve">WMCAB </w:t>
      </w:r>
      <w:r>
        <w:tab/>
      </w:r>
      <w:r>
        <w:tab/>
        <w:t>Water</w:t>
      </w:r>
      <w:r w:rsidR="000563B4">
        <w:t>M</w:t>
      </w:r>
      <w:r>
        <w:t>ark Conformity Assessment Bodies</w:t>
      </w:r>
    </w:p>
    <w:p w14:paraId="6133CF48" w14:textId="77777777" w:rsidR="00801CE5" w:rsidRDefault="003D1C00">
      <w:pPr>
        <w:spacing w:after="160" w:line="259" w:lineRule="auto"/>
      </w:pPr>
      <w:r>
        <w:t>WSV</w:t>
      </w:r>
      <w:r>
        <w:tab/>
      </w:r>
      <w:r>
        <w:tab/>
      </w:r>
      <w:r>
        <w:tab/>
        <w:t>WorkSafe Victoria</w:t>
      </w:r>
    </w:p>
    <w:p w14:paraId="7AA7B30C" w14:textId="77777777" w:rsidR="005C29E1" w:rsidRDefault="005C29E1">
      <w:pPr>
        <w:spacing w:after="160" w:line="259" w:lineRule="auto"/>
      </w:pPr>
    </w:p>
    <w:p w14:paraId="4AFFFE4E" w14:textId="77777777" w:rsidR="00F837A3" w:rsidRDefault="00F837A3">
      <w:pPr>
        <w:spacing w:after="160" w:line="259" w:lineRule="auto"/>
      </w:pPr>
      <w:r>
        <w:br w:type="page"/>
      </w:r>
    </w:p>
    <w:p w14:paraId="4C6C03BF" w14:textId="77777777" w:rsidR="005C29E1" w:rsidRDefault="005C29E1">
      <w:pPr>
        <w:spacing w:after="160" w:line="259" w:lineRule="auto"/>
        <w:sectPr w:rsidR="005C29E1" w:rsidSect="005C29E1">
          <w:headerReference w:type="even" r:id="rId22"/>
          <w:headerReference w:type="default" r:id="rId23"/>
          <w:headerReference w:type="first" r:id="rId24"/>
          <w:endnotePr>
            <w:numFmt w:val="decimal"/>
          </w:endnotePr>
          <w:type w:val="continuous"/>
          <w:pgSz w:w="11907" w:h="16839" w:code="9"/>
          <w:pgMar w:top="1418" w:right="1418" w:bottom="1701" w:left="1559" w:header="720" w:footer="720" w:gutter="0"/>
          <w:pgNumType w:fmt="lowerRoman"/>
          <w:cols w:space="720"/>
          <w:titlePg/>
          <w:docGrid w:linePitch="360"/>
        </w:sectPr>
      </w:pPr>
    </w:p>
    <w:p w14:paraId="6224F47D" w14:textId="7AAD8011" w:rsidR="0016034B" w:rsidRDefault="00F41DAB" w:rsidP="00F41DAB">
      <w:pPr>
        <w:pStyle w:val="Heading1"/>
      </w:pPr>
      <w:bookmarkStart w:id="2" w:name="_Toc134356876"/>
      <w:r>
        <w:lastRenderedPageBreak/>
        <w:t>Background and context</w:t>
      </w:r>
      <w:r w:rsidR="007D1A61">
        <w:t xml:space="preserve"> for the Review</w:t>
      </w:r>
      <w:bookmarkEnd w:id="2"/>
    </w:p>
    <w:p w14:paraId="33B7D557" w14:textId="77777777" w:rsidR="00D54C06" w:rsidRPr="009C70D9" w:rsidRDefault="00D54C06" w:rsidP="00D54C06">
      <w:pPr>
        <w:rPr>
          <w:lang w:eastAsia="en-AU"/>
        </w:rPr>
      </w:pPr>
      <w:r w:rsidRPr="009C70D9">
        <w:rPr>
          <w:lang w:eastAsia="en-AU"/>
        </w:rPr>
        <w:t>The Victorian Government established the independent Building Reform Expert Panel (the Panel or the Expert Panel) to lead a Review of Victoria’s building legislative and regulatory system (the Review). The reasons the Government commissioned this comprehensive Review include the need to:</w:t>
      </w:r>
    </w:p>
    <w:p w14:paraId="2E803EC0" w14:textId="77777777" w:rsidR="00D54C06" w:rsidRPr="009C70D9" w:rsidRDefault="00D54C06" w:rsidP="00EB723B">
      <w:pPr>
        <w:numPr>
          <w:ilvl w:val="0"/>
          <w:numId w:val="3"/>
        </w:numPr>
        <w:suppressAutoHyphens/>
        <w:rPr>
          <w:rFonts w:eastAsia="Times New Roman" w:cs="Times New Roman"/>
          <w:szCs w:val="19"/>
          <w:lang w:eastAsia="en-AU"/>
        </w:rPr>
      </w:pPr>
      <w:r w:rsidRPr="009C70D9">
        <w:rPr>
          <w:rFonts w:eastAsia="Times New Roman" w:cs="Times New Roman"/>
          <w:szCs w:val="19"/>
          <w:lang w:eastAsia="en-AU"/>
        </w:rPr>
        <w:t xml:space="preserve">address risks of regulatory and industry failure, as highlighted by the inappropriate use of combustible cladding material and poor-quality installation of critical building safety elements; </w:t>
      </w:r>
    </w:p>
    <w:p w14:paraId="08F424EB" w14:textId="77777777" w:rsidR="00D54C06" w:rsidRDefault="00D54C06" w:rsidP="00EB723B">
      <w:pPr>
        <w:numPr>
          <w:ilvl w:val="0"/>
          <w:numId w:val="3"/>
        </w:numPr>
        <w:suppressAutoHyphens/>
        <w:rPr>
          <w:rFonts w:eastAsia="Times New Roman" w:cs="Times New Roman"/>
          <w:szCs w:val="19"/>
          <w:lang w:eastAsia="en-AU"/>
        </w:rPr>
      </w:pPr>
      <w:r w:rsidRPr="009C70D9">
        <w:rPr>
          <w:rFonts w:eastAsia="Times New Roman" w:cs="Times New Roman"/>
          <w:szCs w:val="19"/>
          <w:lang w:eastAsia="en-AU"/>
        </w:rPr>
        <w:t>modernise the legislative and regulatory framework to address contemporary building design and construction approaches</w:t>
      </w:r>
      <w:r>
        <w:rPr>
          <w:rFonts w:eastAsia="Times New Roman" w:cs="Times New Roman"/>
          <w:szCs w:val="19"/>
          <w:lang w:eastAsia="en-AU"/>
        </w:rPr>
        <w:t>;</w:t>
      </w:r>
      <w:r w:rsidRPr="009C70D9">
        <w:rPr>
          <w:rFonts w:eastAsia="Times New Roman" w:cs="Times New Roman"/>
          <w:szCs w:val="19"/>
          <w:lang w:eastAsia="en-AU"/>
        </w:rPr>
        <w:t xml:space="preserve"> and </w:t>
      </w:r>
    </w:p>
    <w:p w14:paraId="193904B2" w14:textId="77777777" w:rsidR="00D54C06" w:rsidRPr="009C70D9" w:rsidRDefault="00D54C06" w:rsidP="00EB723B">
      <w:pPr>
        <w:numPr>
          <w:ilvl w:val="0"/>
          <w:numId w:val="3"/>
        </w:numPr>
        <w:suppressAutoHyphens/>
        <w:rPr>
          <w:rFonts w:eastAsia="Times New Roman" w:cs="Times New Roman"/>
          <w:szCs w:val="19"/>
          <w:lang w:eastAsia="en-AU"/>
        </w:rPr>
      </w:pPr>
      <w:r w:rsidRPr="009C70D9">
        <w:rPr>
          <w:rFonts w:eastAsia="Times New Roman" w:cs="Times New Roman"/>
          <w:szCs w:val="19"/>
          <w:lang w:eastAsia="en-AU"/>
        </w:rPr>
        <w:t>to underpin a thriving construction sector committed to safety and quality.</w:t>
      </w:r>
    </w:p>
    <w:p w14:paraId="3B75D26B" w14:textId="77777777" w:rsidR="00D54C06" w:rsidRPr="009C70D9" w:rsidRDefault="00D54C06" w:rsidP="00D54C06">
      <w:pPr>
        <w:rPr>
          <w:lang w:eastAsia="en-AU"/>
        </w:rPr>
      </w:pPr>
      <w:r w:rsidRPr="009C70D9">
        <w:rPr>
          <w:lang w:eastAsia="en-AU"/>
        </w:rPr>
        <w:t>This Review was a recommendation of the Victorian Cladding Taskforce (‘VCT’ or ‘Cladding Taskforce’) in its 2019 Final Report to the Government.</w:t>
      </w:r>
      <w:r w:rsidRPr="009C70D9">
        <w:rPr>
          <w:vertAlign w:val="superscript"/>
          <w:lang w:eastAsia="en-AU"/>
        </w:rPr>
        <w:endnoteReference w:id="3"/>
      </w:r>
    </w:p>
    <w:p w14:paraId="2F065B5A" w14:textId="4A73CB38" w:rsidR="00ED7A38" w:rsidRDefault="00ED7A38" w:rsidP="00D54C06">
      <w:pPr>
        <w:rPr>
          <w:lang w:eastAsia="en-AU"/>
        </w:rPr>
      </w:pPr>
      <w:r>
        <w:rPr>
          <w:lang w:eastAsia="en-AU"/>
        </w:rPr>
        <w:t xml:space="preserve">The Expert Panel released a </w:t>
      </w:r>
      <w:hyperlink r:id="rId25" w:history="1">
        <w:r w:rsidR="00D54C06" w:rsidRPr="009C70D9">
          <w:rPr>
            <w:color w:val="6787B7" w:themeColor="hyperlink"/>
            <w:u w:val="single"/>
            <w:lang w:eastAsia="en-AU"/>
          </w:rPr>
          <w:t>Framework for Reform</w:t>
        </w:r>
      </w:hyperlink>
      <w:r w:rsidR="00D54C06" w:rsidRPr="009C70D9">
        <w:rPr>
          <w:lang w:eastAsia="en-AU"/>
        </w:rPr>
        <w:t xml:space="preserve"> (FFR) paper </w:t>
      </w:r>
      <w:r>
        <w:rPr>
          <w:lang w:eastAsia="en-AU"/>
        </w:rPr>
        <w:t xml:space="preserve">in April 2021, and sought feedback on options for improving practitioner registration, consumer representation, regulatory oversight, and building approvals. After reviewing stakeholder input the Panel provided recommendations relating to Stage 1 of the Review. </w:t>
      </w:r>
      <w:r w:rsidR="00C115BE">
        <w:rPr>
          <w:lang w:eastAsia="en-AU"/>
        </w:rPr>
        <w:t xml:space="preserve">Many of the Panel’s Stage 1 recommendations are now being considered by Parliament </w:t>
      </w:r>
      <w:r w:rsidR="00DD384D">
        <w:rPr>
          <w:lang w:eastAsia="en-AU"/>
        </w:rPr>
        <w:t>in</w:t>
      </w:r>
      <w:r w:rsidR="00C115BE">
        <w:rPr>
          <w:lang w:eastAsia="en-AU"/>
        </w:rPr>
        <w:t xml:space="preserve"> the Building Legislation Amendment Bill 2023. </w:t>
      </w:r>
    </w:p>
    <w:p w14:paraId="651106C7" w14:textId="4FAB5C32" w:rsidR="00C115BE" w:rsidRDefault="00EE4D66" w:rsidP="00D54C06">
      <w:pPr>
        <w:rPr>
          <w:lang w:eastAsia="en-AU"/>
        </w:rPr>
      </w:pPr>
      <w:r>
        <w:rPr>
          <w:lang w:eastAsia="en-AU"/>
        </w:rPr>
        <w:t>The themes of Stage 2 are</w:t>
      </w:r>
      <w:r w:rsidR="00CF2DD7">
        <w:rPr>
          <w:lang w:eastAsia="en-AU"/>
        </w:rPr>
        <w:t>:</w:t>
      </w:r>
    </w:p>
    <w:p w14:paraId="7E9E3457" w14:textId="077D14E4" w:rsidR="00CF2DD7" w:rsidRDefault="003953D0" w:rsidP="00CF2DD7">
      <w:pPr>
        <w:pStyle w:val="Bullet"/>
      </w:pPr>
      <w:r>
        <w:t>e</w:t>
      </w:r>
      <w:r w:rsidR="00CF2DD7">
        <w:t>xtending accountability</w:t>
      </w:r>
      <w:r w:rsidR="00870030">
        <w:t>, including to developers</w:t>
      </w:r>
      <w:r w:rsidR="000E29A7">
        <w:t>;</w:t>
      </w:r>
    </w:p>
    <w:p w14:paraId="3FFA829F" w14:textId="3F16D5DB" w:rsidR="00CF2DD7" w:rsidRDefault="003953D0" w:rsidP="00CF2DD7">
      <w:pPr>
        <w:pStyle w:val="Bullet"/>
      </w:pPr>
      <w:r>
        <w:t>c</w:t>
      </w:r>
      <w:r w:rsidR="00CF2DD7">
        <w:t>ompliance and enforcement</w:t>
      </w:r>
      <w:r w:rsidR="000E29A7">
        <w:t>;</w:t>
      </w:r>
    </w:p>
    <w:p w14:paraId="5C4662B5" w14:textId="10F8BA18" w:rsidR="00CF2DD7" w:rsidRDefault="003953D0" w:rsidP="00CF2DD7">
      <w:pPr>
        <w:pStyle w:val="Bullet"/>
      </w:pPr>
      <w:r>
        <w:t>i</w:t>
      </w:r>
      <w:r w:rsidR="00CF2DD7">
        <w:t>nsurance</w:t>
      </w:r>
      <w:r w:rsidR="000E29A7">
        <w:t>;</w:t>
      </w:r>
    </w:p>
    <w:p w14:paraId="435A5B85" w14:textId="14A20453" w:rsidR="00CF2DD7" w:rsidRDefault="003953D0" w:rsidP="00CF2DD7">
      <w:pPr>
        <w:pStyle w:val="Bullet"/>
      </w:pPr>
      <w:r>
        <w:t>d</w:t>
      </w:r>
      <w:r w:rsidR="00CF2DD7">
        <w:t>ispute prevention and resolution</w:t>
      </w:r>
      <w:r w:rsidR="000E29A7">
        <w:t>; and</w:t>
      </w:r>
    </w:p>
    <w:p w14:paraId="344F2BE9" w14:textId="14101BDA" w:rsidR="00CF2DD7" w:rsidRDefault="003953D0" w:rsidP="00CF2DD7">
      <w:pPr>
        <w:pStyle w:val="Bullet"/>
      </w:pPr>
      <w:r>
        <w:t>b</w:t>
      </w:r>
      <w:r w:rsidR="00CF2DD7">
        <w:t>uilding maintenance, products and technologies</w:t>
      </w:r>
      <w:r w:rsidR="0038786E">
        <w:t>.</w:t>
      </w:r>
      <w:r w:rsidR="00CF2DD7">
        <w:t xml:space="preserve"> </w:t>
      </w:r>
    </w:p>
    <w:p w14:paraId="07BD2ED8" w14:textId="4180A16E" w:rsidR="00702741" w:rsidRDefault="00702741" w:rsidP="00702741">
      <w:pPr>
        <w:rPr>
          <w:lang w:eastAsia="en-AU"/>
        </w:rPr>
      </w:pPr>
      <w:r>
        <w:rPr>
          <w:lang w:eastAsia="en-AU"/>
        </w:rPr>
        <w:t xml:space="preserve">This </w:t>
      </w:r>
      <w:r w:rsidR="00743C46">
        <w:rPr>
          <w:lang w:eastAsia="en-AU"/>
        </w:rPr>
        <w:t>c</w:t>
      </w:r>
      <w:r>
        <w:rPr>
          <w:lang w:eastAsia="en-AU"/>
        </w:rPr>
        <w:t xml:space="preserve">hapter briefly describes the background and context to the </w:t>
      </w:r>
      <w:r w:rsidR="00B047DF">
        <w:rPr>
          <w:lang w:eastAsia="en-AU"/>
        </w:rPr>
        <w:t>R</w:t>
      </w:r>
      <w:r>
        <w:rPr>
          <w:lang w:eastAsia="en-AU"/>
        </w:rPr>
        <w:t xml:space="preserve">eview, including: </w:t>
      </w:r>
    </w:p>
    <w:p w14:paraId="4B074BA4" w14:textId="16AED651" w:rsidR="00D54C06" w:rsidRPr="009C70D9" w:rsidRDefault="00D54C06" w:rsidP="00702741">
      <w:pPr>
        <w:pStyle w:val="Bullet"/>
      </w:pPr>
      <w:r w:rsidRPr="009C70D9">
        <w:t xml:space="preserve">the importance of the building and construction industry to Victoria; </w:t>
      </w:r>
      <w:r w:rsidR="00660172">
        <w:t>and</w:t>
      </w:r>
    </w:p>
    <w:p w14:paraId="71EDA299" w14:textId="23C733A0" w:rsidR="00122A1B" w:rsidRDefault="00D54C06" w:rsidP="00EB723B">
      <w:pPr>
        <w:numPr>
          <w:ilvl w:val="0"/>
          <w:numId w:val="3"/>
        </w:numPr>
        <w:suppressAutoHyphens/>
        <w:rPr>
          <w:rFonts w:eastAsia="Times New Roman" w:cs="Times New Roman"/>
          <w:szCs w:val="19"/>
          <w:lang w:eastAsia="en-AU"/>
        </w:rPr>
      </w:pPr>
      <w:r w:rsidRPr="009C70D9">
        <w:rPr>
          <w:rFonts w:eastAsia="Times New Roman" w:cs="Times New Roman"/>
          <w:szCs w:val="19"/>
          <w:lang w:eastAsia="en-AU"/>
        </w:rPr>
        <w:t xml:space="preserve">the aims </w:t>
      </w:r>
      <w:r w:rsidR="00660172">
        <w:rPr>
          <w:rFonts w:eastAsia="Times New Roman" w:cs="Times New Roman"/>
          <w:szCs w:val="19"/>
          <w:lang w:eastAsia="en-AU"/>
        </w:rPr>
        <w:t xml:space="preserve">and objectives </w:t>
      </w:r>
      <w:r w:rsidRPr="009C70D9">
        <w:rPr>
          <w:rFonts w:eastAsia="Times New Roman" w:cs="Times New Roman"/>
          <w:szCs w:val="19"/>
          <w:lang w:eastAsia="en-AU"/>
        </w:rPr>
        <w:t>of the Review</w:t>
      </w:r>
      <w:r w:rsidR="00660172">
        <w:rPr>
          <w:rFonts w:eastAsia="Times New Roman" w:cs="Times New Roman"/>
          <w:szCs w:val="19"/>
          <w:lang w:eastAsia="en-AU"/>
        </w:rPr>
        <w:t>.</w:t>
      </w:r>
    </w:p>
    <w:p w14:paraId="4D3FCDCE" w14:textId="6B665787" w:rsidR="00D54C06" w:rsidRPr="009C70D9" w:rsidRDefault="00122A1B" w:rsidP="00122A1B">
      <w:pPr>
        <w:spacing w:after="160" w:line="259" w:lineRule="auto"/>
        <w:rPr>
          <w:rFonts w:eastAsia="Times New Roman" w:cs="Times New Roman"/>
          <w:szCs w:val="19"/>
          <w:lang w:eastAsia="en-AU"/>
        </w:rPr>
      </w:pPr>
      <w:r>
        <w:rPr>
          <w:rFonts w:eastAsia="Times New Roman" w:cs="Times New Roman"/>
          <w:szCs w:val="19"/>
          <w:lang w:eastAsia="en-AU"/>
        </w:rPr>
        <w:br w:type="page"/>
      </w:r>
    </w:p>
    <w:p w14:paraId="70ACC94C" w14:textId="77777777" w:rsidR="00E15E1A" w:rsidRPr="009C70D9" w:rsidRDefault="00E15E1A" w:rsidP="00E15E1A">
      <w:pPr>
        <w:keepNext/>
        <w:spacing w:before="480" w:after="240"/>
        <w:outlineLvl w:val="1"/>
        <w:rPr>
          <w:rFonts w:eastAsia="Times New Roman" w:cs="Times New Roman"/>
          <w:b/>
          <w:color w:val="1F2A44" w:themeColor="text2"/>
          <w:sz w:val="30"/>
          <w:szCs w:val="19"/>
          <w:lang w:eastAsia="en-AU"/>
        </w:rPr>
      </w:pPr>
      <w:bookmarkStart w:id="3" w:name="_Toc119066141"/>
      <w:bookmarkStart w:id="4" w:name="_Toc119333003"/>
      <w:bookmarkStart w:id="5" w:name="_Toc119484772"/>
      <w:bookmarkStart w:id="6" w:name="_Toc120530862"/>
      <w:bookmarkStart w:id="7" w:name="_Toc120884016"/>
      <w:bookmarkStart w:id="8" w:name="_Toc128646399"/>
      <w:bookmarkStart w:id="9" w:name="_Toc134352844"/>
      <w:bookmarkStart w:id="10" w:name="_Toc134356771"/>
      <w:bookmarkStart w:id="11" w:name="_Toc134356877"/>
      <w:r w:rsidRPr="009C70D9">
        <w:rPr>
          <w:rFonts w:eastAsia="Times New Roman" w:cs="Times New Roman"/>
          <w:b/>
          <w:color w:val="1F2A44" w:themeColor="text2"/>
          <w:sz w:val="30"/>
          <w:szCs w:val="19"/>
          <w:lang w:eastAsia="en-AU"/>
        </w:rPr>
        <w:lastRenderedPageBreak/>
        <w:t>The building and construction industry is important to Victoria’s economy and society</w:t>
      </w:r>
      <w:bookmarkEnd w:id="3"/>
      <w:bookmarkEnd w:id="4"/>
      <w:bookmarkEnd w:id="5"/>
      <w:bookmarkEnd w:id="6"/>
      <w:bookmarkEnd w:id="7"/>
      <w:bookmarkEnd w:id="8"/>
      <w:bookmarkEnd w:id="9"/>
      <w:bookmarkEnd w:id="10"/>
      <w:bookmarkEnd w:id="11"/>
      <w:r w:rsidRPr="009C70D9">
        <w:rPr>
          <w:rFonts w:eastAsia="Times New Roman" w:cs="Times New Roman"/>
          <w:b/>
          <w:color w:val="1F2A44" w:themeColor="text2"/>
          <w:sz w:val="30"/>
          <w:szCs w:val="19"/>
          <w:lang w:eastAsia="en-AU"/>
        </w:rPr>
        <w:t xml:space="preserve"> </w:t>
      </w:r>
    </w:p>
    <w:p w14:paraId="2FB34F57" w14:textId="4A1064F8" w:rsidR="00E15E1A" w:rsidRPr="009C70D9" w:rsidRDefault="00E15E1A" w:rsidP="00E15E1A">
      <w:pPr>
        <w:rPr>
          <w:lang w:eastAsia="en-AU"/>
        </w:rPr>
      </w:pPr>
      <w:r w:rsidRPr="00192EE8">
        <w:rPr>
          <w:b/>
          <w:bCs/>
        </w:rPr>
        <w:t xml:space="preserve">Victoria’s construction sector is a major contributor to the state’s economy and plays a central role in shaping the future of the </w:t>
      </w:r>
      <w:r w:rsidR="00531752">
        <w:rPr>
          <w:b/>
          <w:bCs/>
        </w:rPr>
        <w:t>s</w:t>
      </w:r>
      <w:r w:rsidRPr="00192EE8">
        <w:rPr>
          <w:b/>
          <w:bCs/>
        </w:rPr>
        <w:t>tate’s built environment, economic growth and prosperity</w:t>
      </w:r>
      <w:r w:rsidRPr="009C70D9">
        <w:rPr>
          <w:lang w:eastAsia="en-AU"/>
        </w:rPr>
        <w:t>. The construction industry contributed $3</w:t>
      </w:r>
      <w:r>
        <w:rPr>
          <w:lang w:eastAsia="en-AU"/>
        </w:rPr>
        <w:t>8</w:t>
      </w:r>
      <w:r w:rsidRPr="009C70D9">
        <w:rPr>
          <w:lang w:eastAsia="en-AU"/>
        </w:rPr>
        <w:t>.</w:t>
      </w:r>
      <w:r>
        <w:rPr>
          <w:lang w:eastAsia="en-AU"/>
        </w:rPr>
        <w:t>1</w:t>
      </w:r>
      <w:r w:rsidRPr="009C70D9">
        <w:rPr>
          <w:lang w:eastAsia="en-AU"/>
        </w:rPr>
        <w:t xml:space="preserve"> billion to Victoria</w:t>
      </w:r>
      <w:r w:rsidR="006F65F5">
        <w:rPr>
          <w:lang w:eastAsia="en-AU"/>
        </w:rPr>
        <w:t>’s</w:t>
      </w:r>
      <w:r w:rsidRPr="009C70D9">
        <w:rPr>
          <w:lang w:eastAsia="en-AU"/>
        </w:rPr>
        <w:t xml:space="preserve"> Gross State Product (GSP) in 202</w:t>
      </w:r>
      <w:r>
        <w:rPr>
          <w:lang w:eastAsia="en-AU"/>
        </w:rPr>
        <w:t>1</w:t>
      </w:r>
      <w:r w:rsidRPr="009C70D9">
        <w:rPr>
          <w:lang w:eastAsia="en-AU"/>
        </w:rPr>
        <w:t>/2</w:t>
      </w:r>
      <w:r>
        <w:rPr>
          <w:lang w:eastAsia="en-AU"/>
        </w:rPr>
        <w:t>2</w:t>
      </w:r>
      <w:r w:rsidRPr="009C70D9">
        <w:rPr>
          <w:lang w:eastAsia="en-AU"/>
        </w:rPr>
        <w:t xml:space="preserve">, equivalent to </w:t>
      </w:r>
      <w:r>
        <w:rPr>
          <w:lang w:eastAsia="en-AU"/>
        </w:rPr>
        <w:t>7.6</w:t>
      </w:r>
      <w:r w:rsidRPr="009C70D9">
        <w:rPr>
          <w:lang w:eastAsia="en-AU"/>
        </w:rPr>
        <w:t xml:space="preserve"> per cent of Victoria’s economy.</w:t>
      </w:r>
      <w:r w:rsidRPr="009C70D9">
        <w:rPr>
          <w:vertAlign w:val="superscript"/>
          <w:lang w:eastAsia="en-AU"/>
        </w:rPr>
        <w:endnoteReference w:id="4"/>
      </w:r>
    </w:p>
    <w:p w14:paraId="0CF77CD3" w14:textId="77777777" w:rsidR="00E15E1A" w:rsidRPr="009C70D9" w:rsidRDefault="00E15E1A" w:rsidP="00E15E1A">
      <w:pPr>
        <w:rPr>
          <w:lang w:eastAsia="en-AU"/>
        </w:rPr>
      </w:pPr>
      <w:r w:rsidRPr="009C70D9">
        <w:rPr>
          <w:lang w:eastAsia="en-AU"/>
        </w:rPr>
        <w:t>Building and construction is a significant employer for the state, making up nearly 10 per cent of Victoria’s jobs. Over 32</w:t>
      </w:r>
      <w:r>
        <w:rPr>
          <w:lang w:eastAsia="en-AU"/>
        </w:rPr>
        <w:t>5</w:t>
      </w:r>
      <w:r w:rsidRPr="009C70D9">
        <w:rPr>
          <w:lang w:eastAsia="en-AU"/>
        </w:rPr>
        <w:t>,000 Victorians are directly employed in the construction industry</w:t>
      </w:r>
      <w:r>
        <w:rPr>
          <w:lang w:eastAsia="en-AU"/>
        </w:rPr>
        <w:t>,</w:t>
      </w:r>
      <w:r w:rsidRPr="009C70D9">
        <w:rPr>
          <w:lang w:eastAsia="en-AU"/>
        </w:rPr>
        <w:t xml:space="preserve"> including architects, draftspersons, building designers, builders, building surveyors</w:t>
      </w:r>
      <w:r>
        <w:rPr>
          <w:lang w:eastAsia="en-AU"/>
        </w:rPr>
        <w:t>, building</w:t>
      </w:r>
      <w:r w:rsidRPr="009C70D9">
        <w:rPr>
          <w:lang w:eastAsia="en-AU"/>
        </w:rPr>
        <w:t xml:space="preserve"> inspectors, engineers, fire safety professionals, planners, project managers, property managers</w:t>
      </w:r>
      <w:r>
        <w:rPr>
          <w:lang w:eastAsia="en-AU"/>
        </w:rPr>
        <w:t>,</w:t>
      </w:r>
      <w:r w:rsidRPr="009C70D9">
        <w:rPr>
          <w:lang w:eastAsia="en-AU"/>
        </w:rPr>
        <w:t xml:space="preserve"> and trades.</w:t>
      </w:r>
      <w:r w:rsidRPr="009C70D9">
        <w:rPr>
          <w:vertAlign w:val="superscript"/>
          <w:lang w:eastAsia="en-AU"/>
        </w:rPr>
        <w:endnoteReference w:id="5"/>
      </w:r>
    </w:p>
    <w:p w14:paraId="0D7C5152" w14:textId="5421E9D4" w:rsidR="00E15E1A" w:rsidRPr="009C70D9" w:rsidRDefault="00E15E1A" w:rsidP="00E15E1A">
      <w:pPr>
        <w:rPr>
          <w:lang w:eastAsia="en-AU"/>
        </w:rPr>
      </w:pPr>
      <w:r w:rsidRPr="00192EE8">
        <w:rPr>
          <w:b/>
          <w:lang w:eastAsia="en-AU"/>
        </w:rPr>
        <w:t>The Victorian Government is investing significantly in the industry.</w:t>
      </w:r>
      <w:r w:rsidRPr="009C70D9">
        <w:rPr>
          <w:lang w:eastAsia="en-AU"/>
        </w:rPr>
        <w:t xml:space="preserve"> The 2022/23 State Budget included the investment of $28 million over the next two years to support and improve the building and construction industry.</w:t>
      </w:r>
      <w:r w:rsidRPr="009C70D9">
        <w:rPr>
          <w:vertAlign w:val="superscript"/>
          <w:lang w:eastAsia="en-AU"/>
        </w:rPr>
        <w:endnoteReference w:id="6"/>
      </w:r>
      <w:r w:rsidRPr="009C70D9">
        <w:rPr>
          <w:lang w:eastAsia="en-AU"/>
        </w:rPr>
        <w:t xml:space="preserve"> This builds on initiatives announced in the 2021/22 State Budget, such as the investment of $5.3 billion in the Big Housing Build to construct more than 12,000 new homes throughout Victoria.</w:t>
      </w:r>
      <w:r w:rsidRPr="009C70D9">
        <w:rPr>
          <w:vertAlign w:val="superscript"/>
          <w:lang w:eastAsia="en-AU"/>
        </w:rPr>
        <w:endnoteReference w:id="7"/>
      </w:r>
      <w:r w:rsidRPr="009C70D9">
        <w:rPr>
          <w:lang w:eastAsia="en-AU"/>
        </w:rPr>
        <w:t xml:space="preserve"> This investment will boost Victoria’s economic recovery, generating an estimated $6.7 billion in economic activity and supporting more than 18,000 jobs.</w:t>
      </w:r>
      <w:r w:rsidRPr="009C70D9">
        <w:rPr>
          <w:vertAlign w:val="superscript"/>
          <w:lang w:eastAsia="en-AU"/>
        </w:rPr>
        <w:endnoteReference w:id="8"/>
      </w:r>
      <w:r w:rsidRPr="009C70D9">
        <w:rPr>
          <w:lang w:eastAsia="en-AU"/>
        </w:rPr>
        <w:t xml:space="preserve"> Construction has already begun on hundreds of dwellings in six ‘fast-start’ sites around Melbourne, due to be completed in 2023.</w:t>
      </w:r>
      <w:r w:rsidRPr="009C70D9">
        <w:rPr>
          <w:vertAlign w:val="superscript"/>
          <w:lang w:eastAsia="en-AU"/>
        </w:rPr>
        <w:endnoteReference w:id="9"/>
      </w:r>
      <w:r w:rsidR="0005225E">
        <w:rPr>
          <w:lang w:eastAsia="en-AU"/>
        </w:rPr>
        <w:t xml:space="preserve"> </w:t>
      </w:r>
    </w:p>
    <w:p w14:paraId="748F167A" w14:textId="7D50157F" w:rsidR="00E15E1A" w:rsidRPr="009C70D9" w:rsidRDefault="00E15E1A" w:rsidP="00E15E1A">
      <w:pPr>
        <w:rPr>
          <w:lang w:eastAsia="en-AU"/>
        </w:rPr>
      </w:pPr>
      <w:r w:rsidRPr="009C70D9">
        <w:rPr>
          <w:lang w:eastAsia="en-AU"/>
        </w:rPr>
        <w:t xml:space="preserve">In addition to its economic importance, </w:t>
      </w:r>
      <w:r w:rsidRPr="005805AE">
        <w:rPr>
          <w:b/>
          <w:lang w:eastAsia="en-AU"/>
        </w:rPr>
        <w:t>the building sector plays an important social role</w:t>
      </w:r>
      <w:r w:rsidRPr="009C70D9">
        <w:rPr>
          <w:lang w:eastAsia="en-AU"/>
        </w:rPr>
        <w:t>. The built environment provides basic needs for shelter</w:t>
      </w:r>
      <w:r>
        <w:rPr>
          <w:lang w:eastAsia="en-AU"/>
        </w:rPr>
        <w:t xml:space="preserve"> and</w:t>
      </w:r>
      <w:r w:rsidRPr="009C70D9">
        <w:rPr>
          <w:lang w:eastAsia="en-AU"/>
        </w:rPr>
        <w:t xml:space="preserve"> is the foundation for family stability and community wellbeing. It also contributes to improved health and educational outcomes.</w:t>
      </w:r>
      <w:r w:rsidRPr="009C70D9">
        <w:rPr>
          <w:vertAlign w:val="superscript"/>
          <w:lang w:eastAsia="en-AU"/>
        </w:rPr>
        <w:endnoteReference w:id="10"/>
      </w:r>
      <w:r w:rsidRPr="009C70D9">
        <w:rPr>
          <w:lang w:eastAsia="en-AU"/>
        </w:rPr>
        <w:t xml:space="preserve"> In these ways it supports civil society to function effectively and</w:t>
      </w:r>
      <w:r>
        <w:rPr>
          <w:lang w:eastAsia="en-AU"/>
        </w:rPr>
        <w:t xml:space="preserve"> supports the </w:t>
      </w:r>
      <w:r w:rsidRPr="009C70D9">
        <w:rPr>
          <w:lang w:eastAsia="en-AU"/>
        </w:rPr>
        <w:t xml:space="preserve">prosperity of people who live in Victoria. </w:t>
      </w:r>
      <w:r w:rsidR="000945C8" w:rsidRPr="000945C8">
        <w:rPr>
          <w:lang w:eastAsia="en-AU"/>
        </w:rPr>
        <w:t xml:space="preserve">The COVID-19 pandemic has underscored the </w:t>
      </w:r>
      <w:r w:rsidRPr="000945C8">
        <w:rPr>
          <w:lang w:eastAsia="en-AU"/>
        </w:rPr>
        <w:t>importance of the built environment</w:t>
      </w:r>
      <w:r w:rsidRPr="009C70D9">
        <w:rPr>
          <w:lang w:eastAsia="en-AU"/>
        </w:rPr>
        <w:t xml:space="preserve">, </w:t>
      </w:r>
      <w:r w:rsidR="000910AF">
        <w:rPr>
          <w:lang w:eastAsia="en-AU"/>
        </w:rPr>
        <w:t xml:space="preserve">which </w:t>
      </w:r>
      <w:r>
        <w:rPr>
          <w:lang w:eastAsia="en-AU"/>
        </w:rPr>
        <w:t>has reshaped the home as a place of work</w:t>
      </w:r>
      <w:r w:rsidRPr="009C70D9">
        <w:rPr>
          <w:lang w:eastAsia="en-AU"/>
        </w:rPr>
        <w:t>.</w:t>
      </w:r>
    </w:p>
    <w:p w14:paraId="0A4E5836" w14:textId="23D61AB5" w:rsidR="00E15E1A" w:rsidRPr="009C70D9" w:rsidRDefault="00E15E1A" w:rsidP="00E15E1A">
      <w:pPr>
        <w:rPr>
          <w:lang w:eastAsia="en-AU"/>
        </w:rPr>
      </w:pPr>
      <w:r w:rsidRPr="009C70D9">
        <w:rPr>
          <w:lang w:eastAsia="en-AU"/>
        </w:rPr>
        <w:t>A modern, proportionate building regulatory system is fundamental to supporting business and jobs growth, strengthening Victoria’s economy</w:t>
      </w:r>
      <w:r>
        <w:rPr>
          <w:lang w:eastAsia="en-AU"/>
        </w:rPr>
        <w:t xml:space="preserve">, </w:t>
      </w:r>
      <w:r w:rsidRPr="009C70D9">
        <w:rPr>
          <w:lang w:eastAsia="en-AU"/>
        </w:rPr>
        <w:t>and restoring consumer and industry confidence. A regulatory system with appropriate safeguards will give government, consumers and industry confidence that buildings are safe, of high quality and compliant.</w:t>
      </w:r>
      <w:r w:rsidR="00923431">
        <w:rPr>
          <w:lang w:eastAsia="en-AU"/>
        </w:rPr>
        <w:t xml:space="preserve"> </w:t>
      </w:r>
      <w:r>
        <w:rPr>
          <w:lang w:eastAsia="en-AU"/>
        </w:rPr>
        <w:t>The intent is to support those who are committed to doing the right thing, and to hold those who seek to take shortcuts</w:t>
      </w:r>
      <w:r w:rsidR="00B9605A">
        <w:rPr>
          <w:lang w:eastAsia="en-AU"/>
        </w:rPr>
        <w:t xml:space="preserve"> to account</w:t>
      </w:r>
      <w:r>
        <w:rPr>
          <w:lang w:eastAsia="en-AU"/>
        </w:rPr>
        <w:t>.</w:t>
      </w:r>
    </w:p>
    <w:p w14:paraId="7A9AB959" w14:textId="77777777" w:rsidR="00E15E1A" w:rsidRPr="009C70D9" w:rsidRDefault="00E15E1A" w:rsidP="00E15E1A">
      <w:pPr>
        <w:keepNext/>
        <w:spacing w:before="480" w:after="240"/>
        <w:outlineLvl w:val="1"/>
        <w:rPr>
          <w:rFonts w:eastAsia="Times New Roman" w:cs="Times New Roman"/>
          <w:b/>
          <w:color w:val="1F2A44" w:themeColor="text2"/>
          <w:sz w:val="30"/>
          <w:szCs w:val="19"/>
          <w:lang w:eastAsia="en-AU"/>
        </w:rPr>
      </w:pPr>
      <w:bookmarkStart w:id="13" w:name="_Toc120530863"/>
      <w:bookmarkStart w:id="14" w:name="_Toc120884017"/>
      <w:bookmarkStart w:id="15" w:name="_Toc128646400"/>
      <w:bookmarkStart w:id="16" w:name="_Toc134352845"/>
      <w:bookmarkStart w:id="17" w:name="_Toc134356772"/>
      <w:bookmarkStart w:id="18" w:name="_Toc134356878"/>
      <w:bookmarkStart w:id="19" w:name="_Toc119066142"/>
      <w:bookmarkStart w:id="20" w:name="_Toc119333004"/>
      <w:bookmarkStart w:id="21" w:name="_Toc119484773"/>
      <w:r w:rsidRPr="009C70D9">
        <w:rPr>
          <w:rFonts w:eastAsia="Times New Roman" w:cs="Times New Roman"/>
          <w:b/>
          <w:color w:val="1F2A44" w:themeColor="text2"/>
          <w:sz w:val="30"/>
          <w:szCs w:val="19"/>
          <w:lang w:eastAsia="en-AU"/>
        </w:rPr>
        <w:t xml:space="preserve">The </w:t>
      </w:r>
      <w:r>
        <w:rPr>
          <w:rFonts w:eastAsia="Times New Roman" w:cs="Times New Roman"/>
          <w:b/>
          <w:color w:val="1F2A44" w:themeColor="text2"/>
          <w:sz w:val="30"/>
          <w:szCs w:val="19"/>
          <w:lang w:eastAsia="en-AU"/>
        </w:rPr>
        <w:t>r</w:t>
      </w:r>
      <w:r w:rsidRPr="009C70D9">
        <w:rPr>
          <w:rFonts w:eastAsia="Times New Roman" w:cs="Times New Roman"/>
          <w:b/>
          <w:color w:val="1F2A44" w:themeColor="text2"/>
          <w:sz w:val="30"/>
          <w:szCs w:val="19"/>
          <w:lang w:eastAsia="en-AU"/>
        </w:rPr>
        <w:t>eview aims to modernise the building regulatory system</w:t>
      </w:r>
      <w:bookmarkEnd w:id="13"/>
      <w:bookmarkEnd w:id="14"/>
      <w:bookmarkEnd w:id="15"/>
      <w:bookmarkEnd w:id="16"/>
      <w:bookmarkEnd w:id="17"/>
      <w:bookmarkEnd w:id="18"/>
      <w:r w:rsidRPr="009C70D9">
        <w:rPr>
          <w:rFonts w:eastAsia="Times New Roman" w:cs="Times New Roman"/>
          <w:b/>
          <w:color w:val="1F2A44" w:themeColor="text2"/>
          <w:sz w:val="30"/>
          <w:szCs w:val="19"/>
          <w:lang w:eastAsia="en-AU"/>
        </w:rPr>
        <w:t xml:space="preserve"> </w:t>
      </w:r>
      <w:bookmarkEnd w:id="19"/>
      <w:bookmarkEnd w:id="20"/>
      <w:bookmarkEnd w:id="21"/>
    </w:p>
    <w:p w14:paraId="63A510B5" w14:textId="17F8CA10" w:rsidR="00E15E1A" w:rsidRPr="00425A64" w:rsidRDefault="00E15E1A" w:rsidP="00E15E1A">
      <w:pPr>
        <w:rPr>
          <w:lang w:eastAsia="en-AU"/>
        </w:rPr>
      </w:pPr>
      <w:r w:rsidRPr="009C70D9">
        <w:rPr>
          <w:lang w:eastAsia="en-AU"/>
        </w:rPr>
        <w:t>Victoria’s current building legislative and regulatory system was developed in the early-1990s</w:t>
      </w:r>
      <w:r w:rsidR="00A74611">
        <w:rPr>
          <w:lang w:eastAsia="en-AU"/>
        </w:rPr>
        <w:t>. It</w:t>
      </w:r>
      <w:r>
        <w:rPr>
          <w:lang w:eastAsia="en-AU"/>
        </w:rPr>
        <w:t xml:space="preserve"> </w:t>
      </w:r>
      <w:r w:rsidRPr="009C70D9">
        <w:rPr>
          <w:lang w:eastAsia="en-AU"/>
        </w:rPr>
        <w:t xml:space="preserve">has evolved over the past </w:t>
      </w:r>
      <w:r w:rsidR="004919B7">
        <w:rPr>
          <w:lang w:eastAsia="en-AU"/>
        </w:rPr>
        <w:t>30</w:t>
      </w:r>
      <w:r w:rsidRPr="009C70D9">
        <w:rPr>
          <w:lang w:eastAsia="en-AU"/>
        </w:rPr>
        <w:t xml:space="preserve"> years through amendments to the </w:t>
      </w:r>
      <w:r w:rsidRPr="009C70D9">
        <w:rPr>
          <w:i/>
          <w:lang w:eastAsia="en-AU"/>
        </w:rPr>
        <w:t>Building Act</w:t>
      </w:r>
      <w:r>
        <w:rPr>
          <w:i/>
          <w:lang w:eastAsia="en-AU"/>
        </w:rPr>
        <w:t xml:space="preserve"> 1993</w:t>
      </w:r>
      <w:r w:rsidRPr="009C70D9">
        <w:rPr>
          <w:lang w:eastAsia="en-AU"/>
        </w:rPr>
        <w:t xml:space="preserve"> </w:t>
      </w:r>
      <w:r w:rsidR="00774280">
        <w:rPr>
          <w:lang w:eastAsia="en-AU"/>
        </w:rPr>
        <w:t xml:space="preserve">(Vic) </w:t>
      </w:r>
      <w:r w:rsidRPr="009C70D9">
        <w:rPr>
          <w:lang w:eastAsia="en-AU"/>
        </w:rPr>
        <w:t xml:space="preserve">and various changes in regulations and practice requirements. Many amendments </w:t>
      </w:r>
      <w:r w:rsidR="00853DAC">
        <w:rPr>
          <w:lang w:eastAsia="en-AU"/>
        </w:rPr>
        <w:t xml:space="preserve">have </w:t>
      </w:r>
      <w:r w:rsidRPr="009C70D9">
        <w:rPr>
          <w:lang w:eastAsia="en-AU"/>
        </w:rPr>
        <w:t>resulted from reviews that identified the need for changes to certain aspects of the regulatory system.</w:t>
      </w:r>
      <w:r w:rsidR="004863EF">
        <w:rPr>
          <w:lang w:eastAsia="en-AU"/>
        </w:rPr>
        <w:t xml:space="preserve"> However, most reforms have been piecemeal</w:t>
      </w:r>
      <w:r w:rsidR="005065AB">
        <w:rPr>
          <w:lang w:eastAsia="en-AU"/>
        </w:rPr>
        <w:t>. H</w:t>
      </w:r>
      <w:r w:rsidR="009E5D2B">
        <w:rPr>
          <w:lang w:eastAsia="en-AU"/>
        </w:rPr>
        <w:t>olistic reform is required to ensure</w:t>
      </w:r>
      <w:r w:rsidR="005065AB">
        <w:rPr>
          <w:lang w:eastAsia="en-AU"/>
        </w:rPr>
        <w:t xml:space="preserve"> –</w:t>
      </w:r>
      <w:r w:rsidR="009E5D2B">
        <w:rPr>
          <w:lang w:eastAsia="en-AU"/>
        </w:rPr>
        <w:t xml:space="preserve"> into the future</w:t>
      </w:r>
      <w:r w:rsidR="005065AB">
        <w:rPr>
          <w:lang w:eastAsia="en-AU"/>
        </w:rPr>
        <w:t xml:space="preserve"> –</w:t>
      </w:r>
      <w:r w:rsidR="009E5D2B">
        <w:rPr>
          <w:lang w:eastAsia="en-AU"/>
        </w:rPr>
        <w:t xml:space="preserve"> the building </w:t>
      </w:r>
      <w:r w:rsidR="00246744">
        <w:rPr>
          <w:lang w:eastAsia="en-AU"/>
        </w:rPr>
        <w:t xml:space="preserve">regulatory </w:t>
      </w:r>
      <w:r w:rsidR="009E5D2B">
        <w:rPr>
          <w:lang w:eastAsia="en-AU"/>
        </w:rPr>
        <w:t xml:space="preserve">system </w:t>
      </w:r>
      <w:r w:rsidR="0066532F">
        <w:rPr>
          <w:lang w:eastAsia="en-AU"/>
        </w:rPr>
        <w:t xml:space="preserve">meets its objectives to </w:t>
      </w:r>
      <w:r w:rsidR="00D57D5B">
        <w:rPr>
          <w:lang w:eastAsia="en-AU"/>
        </w:rPr>
        <w:t xml:space="preserve">promote compliant practices and </w:t>
      </w:r>
      <w:r w:rsidR="00AB312B">
        <w:rPr>
          <w:lang w:eastAsia="en-AU"/>
        </w:rPr>
        <w:t>protect</w:t>
      </w:r>
      <w:r w:rsidR="00273CC9">
        <w:rPr>
          <w:lang w:eastAsia="en-AU"/>
        </w:rPr>
        <w:t>s</w:t>
      </w:r>
      <w:r w:rsidR="00AB312B">
        <w:rPr>
          <w:lang w:eastAsia="en-AU"/>
        </w:rPr>
        <w:t xml:space="preserve"> the health and safety of those who use buildings</w:t>
      </w:r>
      <w:r w:rsidR="00D57D5B">
        <w:rPr>
          <w:lang w:eastAsia="en-AU"/>
        </w:rPr>
        <w:t>.</w:t>
      </w:r>
      <w:r w:rsidR="0018182A">
        <w:rPr>
          <w:lang w:eastAsia="en-AU"/>
        </w:rPr>
        <w:t xml:space="preserve"> </w:t>
      </w:r>
      <w:r w:rsidRPr="009C70D9">
        <w:t xml:space="preserve">The Panel is </w:t>
      </w:r>
      <w:r>
        <w:t>eager</w:t>
      </w:r>
      <w:r w:rsidRPr="009C70D9">
        <w:t xml:space="preserve"> to see the building </w:t>
      </w:r>
      <w:r w:rsidR="00246744">
        <w:t xml:space="preserve">regulatory </w:t>
      </w:r>
      <w:r w:rsidRPr="009C70D9">
        <w:t>system in Victoria modernised and strengthened to ensure regulatory settings cover new technologies and practices, and quality and safety risks are effectively addressed.</w:t>
      </w:r>
    </w:p>
    <w:p w14:paraId="4E7EDF52" w14:textId="382082A6" w:rsidR="00E15E1A" w:rsidRPr="009C70D9" w:rsidRDefault="00E15E1A" w:rsidP="007B2998">
      <w:pPr>
        <w:rPr>
          <w:lang w:eastAsia="en-AU"/>
        </w:rPr>
      </w:pPr>
      <w:r w:rsidRPr="009C70D9">
        <w:t>Key trends</w:t>
      </w:r>
      <w:r w:rsidR="007B2998">
        <w:t xml:space="preserve"> which highlight </w:t>
      </w:r>
      <w:r w:rsidRPr="009C70D9">
        <w:t>the need for</w:t>
      </w:r>
      <w:r w:rsidR="007B2998">
        <w:t xml:space="preserve"> reform </w:t>
      </w:r>
      <w:r w:rsidRPr="009C70D9">
        <w:t>are outlined below.</w:t>
      </w:r>
    </w:p>
    <w:p w14:paraId="744A3862" w14:textId="77777777" w:rsidR="00E15E1A" w:rsidRPr="00706DDA" w:rsidRDefault="00E15E1A" w:rsidP="00E15E1A">
      <w:pPr>
        <w:pStyle w:val="Heading3"/>
        <w:numPr>
          <w:ilvl w:val="0"/>
          <w:numId w:val="0"/>
        </w:numPr>
      </w:pPr>
      <w:bookmarkStart w:id="22" w:name="_Ref120267851"/>
      <w:bookmarkStart w:id="23" w:name="_Toc119066143"/>
      <w:bookmarkStart w:id="24" w:name="_Toc119333005"/>
      <w:bookmarkStart w:id="25" w:name="_Toc119484774"/>
      <w:bookmarkStart w:id="26" w:name="_Toc120530864"/>
      <w:bookmarkStart w:id="27" w:name="_Toc120884018"/>
      <w:bookmarkStart w:id="28" w:name="_Toc128646401"/>
      <w:bookmarkStart w:id="29" w:name="_Toc134352846"/>
      <w:bookmarkStart w:id="30" w:name="_Toc134356773"/>
      <w:bookmarkStart w:id="31" w:name="_Toc134356879"/>
      <w:r w:rsidRPr="00706DDA">
        <w:lastRenderedPageBreak/>
        <w:t>The regulatory system has not kept pace</w:t>
      </w:r>
      <w:bookmarkEnd w:id="22"/>
      <w:bookmarkEnd w:id="23"/>
      <w:bookmarkEnd w:id="24"/>
      <w:bookmarkEnd w:id="25"/>
      <w:bookmarkEnd w:id="26"/>
      <w:bookmarkEnd w:id="27"/>
      <w:bookmarkEnd w:id="28"/>
      <w:bookmarkEnd w:id="29"/>
      <w:bookmarkEnd w:id="30"/>
      <w:bookmarkEnd w:id="31"/>
    </w:p>
    <w:p w14:paraId="5E620182" w14:textId="6843EBC3" w:rsidR="00E15E1A" w:rsidRPr="009C70D9" w:rsidRDefault="00E15E1A" w:rsidP="00E15E1A">
      <w:pPr>
        <w:rPr>
          <w:lang w:eastAsia="en-AU"/>
        </w:rPr>
      </w:pPr>
      <w:r w:rsidRPr="009C70D9">
        <w:rPr>
          <w:lang w:eastAsia="en-AU"/>
        </w:rPr>
        <w:t xml:space="preserve">Over the past three decades, building and construction practices have evolved considerably. This has been driven by industry and technological innovation, economic growth, demographic trends, and changes in Victorians’ living preferences and patterns. </w:t>
      </w:r>
      <w:r w:rsidR="00D47BF0">
        <w:rPr>
          <w:lang w:eastAsia="en-AU"/>
        </w:rPr>
        <w:t>T</w:t>
      </w:r>
      <w:r w:rsidRPr="009C70D9">
        <w:rPr>
          <w:lang w:eastAsia="en-AU"/>
        </w:rPr>
        <w:t xml:space="preserve">rends include: </w:t>
      </w:r>
    </w:p>
    <w:p w14:paraId="70E0C672" w14:textId="77777777" w:rsidR="00E15E1A" w:rsidRPr="009C70D9" w:rsidRDefault="00E15E1A" w:rsidP="00EB723B">
      <w:pPr>
        <w:numPr>
          <w:ilvl w:val="0"/>
          <w:numId w:val="3"/>
        </w:numPr>
        <w:suppressAutoHyphens/>
        <w:rPr>
          <w:rFonts w:eastAsia="Times New Roman" w:cs="Times New Roman"/>
          <w:szCs w:val="19"/>
          <w:lang w:eastAsia="en-AU"/>
        </w:rPr>
      </w:pPr>
      <w:r w:rsidRPr="009C70D9">
        <w:rPr>
          <w:rFonts w:eastAsia="Times New Roman" w:cs="Times New Roman"/>
          <w:szCs w:val="19"/>
          <w:lang w:eastAsia="en-AU"/>
        </w:rPr>
        <w:t>growth in multi-storey residential apartment living;</w:t>
      </w:r>
    </w:p>
    <w:p w14:paraId="7A29E4AB" w14:textId="77777777" w:rsidR="00E15E1A" w:rsidRPr="009C70D9" w:rsidRDefault="00E15E1A" w:rsidP="00EB723B">
      <w:pPr>
        <w:numPr>
          <w:ilvl w:val="0"/>
          <w:numId w:val="3"/>
        </w:numPr>
        <w:suppressAutoHyphens/>
        <w:rPr>
          <w:rFonts w:eastAsia="Times New Roman" w:cs="Times New Roman"/>
          <w:szCs w:val="19"/>
          <w:lang w:eastAsia="en-AU"/>
        </w:rPr>
      </w:pPr>
      <w:r w:rsidRPr="009C70D9">
        <w:rPr>
          <w:rFonts w:eastAsia="Times New Roman" w:cs="Times New Roman"/>
          <w:szCs w:val="19"/>
          <w:lang w:eastAsia="en-AU"/>
        </w:rPr>
        <w:t>an increasingly globalised supply chain for building products, including greater reliance on imported and prefabricated products; and</w:t>
      </w:r>
    </w:p>
    <w:p w14:paraId="34366BA2" w14:textId="77777777" w:rsidR="00E15E1A" w:rsidRPr="009C70D9" w:rsidRDefault="00E15E1A" w:rsidP="00EB723B">
      <w:pPr>
        <w:numPr>
          <w:ilvl w:val="0"/>
          <w:numId w:val="3"/>
        </w:numPr>
        <w:suppressAutoHyphens/>
        <w:rPr>
          <w:rFonts w:eastAsia="Times New Roman" w:cs="Times New Roman"/>
          <w:szCs w:val="19"/>
          <w:lang w:eastAsia="en-AU"/>
        </w:rPr>
      </w:pPr>
      <w:r w:rsidRPr="009C70D9">
        <w:rPr>
          <w:rFonts w:eastAsia="Times New Roman" w:cs="Times New Roman"/>
          <w:szCs w:val="19"/>
          <w:lang w:eastAsia="en-AU"/>
        </w:rPr>
        <w:t xml:space="preserve">increases in the use of new contractual arrangements and practices, such as design and construct contracts. </w:t>
      </w:r>
    </w:p>
    <w:p w14:paraId="005F830F" w14:textId="08A1FD22" w:rsidR="00D54C06" w:rsidRDefault="00730175" w:rsidP="00E15E1A">
      <w:pPr>
        <w:rPr>
          <w:lang w:eastAsia="en-AU"/>
        </w:rPr>
      </w:pPr>
      <w:r>
        <w:rPr>
          <w:lang w:eastAsia="en-AU"/>
        </w:rPr>
        <w:t>T</w:t>
      </w:r>
      <w:r w:rsidR="00E15E1A" w:rsidRPr="009C70D9">
        <w:rPr>
          <w:lang w:eastAsia="en-AU"/>
        </w:rPr>
        <w:t>hese factors present</w:t>
      </w:r>
      <w:r w:rsidR="00E15E1A">
        <w:rPr>
          <w:lang w:eastAsia="en-AU"/>
        </w:rPr>
        <w:t xml:space="preserve"> </w:t>
      </w:r>
      <w:r w:rsidR="00E15E1A" w:rsidRPr="009C70D9">
        <w:rPr>
          <w:lang w:eastAsia="en-AU"/>
        </w:rPr>
        <w:t>specific opportunities and risks that require modern, responsive regulatory framework</w:t>
      </w:r>
      <w:r w:rsidR="00E15E1A">
        <w:rPr>
          <w:lang w:eastAsia="en-AU"/>
        </w:rPr>
        <w:t xml:space="preserve"> </w:t>
      </w:r>
      <w:r w:rsidR="00E15D58" w:rsidRPr="009C70D9">
        <w:rPr>
          <w:lang w:eastAsia="en-AU"/>
        </w:rPr>
        <w:t>development</w:t>
      </w:r>
      <w:r w:rsidR="00E15D58">
        <w:rPr>
          <w:lang w:eastAsia="en-AU"/>
        </w:rPr>
        <w:t>s</w:t>
      </w:r>
      <w:r w:rsidR="00E15E1A" w:rsidRPr="009C70D9">
        <w:rPr>
          <w:lang w:eastAsia="en-AU"/>
        </w:rPr>
        <w:t xml:space="preserve"> that </w:t>
      </w:r>
      <w:r w:rsidR="00E15D58">
        <w:rPr>
          <w:lang w:eastAsia="en-AU"/>
        </w:rPr>
        <w:t>are</w:t>
      </w:r>
      <w:r w:rsidR="00E15E1A" w:rsidRPr="009C70D9">
        <w:rPr>
          <w:lang w:eastAsia="en-AU"/>
        </w:rPr>
        <w:t xml:space="preserve"> tailored to the underlying complexity of different types of buildings and construction practices.</w:t>
      </w:r>
    </w:p>
    <w:p w14:paraId="2779230C" w14:textId="4D8E60E3" w:rsidR="00A76963" w:rsidRPr="006C17C2" w:rsidRDefault="00A76963" w:rsidP="00A76963">
      <w:pPr>
        <w:pStyle w:val="Heading3"/>
        <w:numPr>
          <w:ilvl w:val="0"/>
          <w:numId w:val="0"/>
        </w:numPr>
      </w:pPr>
      <w:bookmarkStart w:id="32" w:name="_Toc119066144"/>
      <w:bookmarkStart w:id="33" w:name="_Toc119333006"/>
      <w:bookmarkStart w:id="34" w:name="_Toc119484775"/>
      <w:bookmarkStart w:id="35" w:name="_Toc120530865"/>
      <w:bookmarkStart w:id="36" w:name="_Toc120884019"/>
      <w:bookmarkStart w:id="37" w:name="_Toc128646402"/>
      <w:bookmarkStart w:id="38" w:name="_Toc134352847"/>
      <w:bookmarkStart w:id="39" w:name="_Toc134356774"/>
      <w:bookmarkStart w:id="40" w:name="_Toc134356880"/>
      <w:r w:rsidRPr="006C17C2">
        <w:t>High profile building failures have contributed to a lack of confidence in the regulatory system</w:t>
      </w:r>
      <w:bookmarkEnd w:id="32"/>
      <w:bookmarkEnd w:id="33"/>
      <w:bookmarkEnd w:id="34"/>
      <w:bookmarkEnd w:id="35"/>
      <w:bookmarkEnd w:id="36"/>
      <w:bookmarkEnd w:id="37"/>
      <w:bookmarkEnd w:id="38"/>
      <w:bookmarkEnd w:id="39"/>
      <w:bookmarkEnd w:id="40"/>
    </w:p>
    <w:p w14:paraId="6D423B07" w14:textId="2D0D2786" w:rsidR="00A76963" w:rsidRPr="009C70D9" w:rsidRDefault="00A76963" w:rsidP="00A76963">
      <w:pPr>
        <w:rPr>
          <w:lang w:eastAsia="en-AU"/>
        </w:rPr>
      </w:pPr>
      <w:r w:rsidRPr="009C70D9">
        <w:rPr>
          <w:lang w:eastAsia="en-AU"/>
        </w:rPr>
        <w:t xml:space="preserve">Several </w:t>
      </w:r>
      <w:r w:rsidR="00187975">
        <w:rPr>
          <w:lang w:eastAsia="en-AU"/>
        </w:rPr>
        <w:t xml:space="preserve">significant </w:t>
      </w:r>
      <w:r w:rsidRPr="009C70D9">
        <w:rPr>
          <w:lang w:eastAsia="en-AU"/>
        </w:rPr>
        <w:t>building failures in Australia and around the world have reduced public</w:t>
      </w:r>
      <w:r w:rsidR="00187975">
        <w:rPr>
          <w:lang w:eastAsia="en-AU"/>
        </w:rPr>
        <w:t xml:space="preserve"> </w:t>
      </w:r>
      <w:r w:rsidRPr="009C70D9">
        <w:rPr>
          <w:lang w:eastAsia="en-AU"/>
        </w:rPr>
        <w:t>confidence in the buil</w:t>
      </w:r>
      <w:r>
        <w:rPr>
          <w:lang w:eastAsia="en-AU"/>
        </w:rPr>
        <w:t>d</w:t>
      </w:r>
      <w:r w:rsidRPr="009C70D9">
        <w:rPr>
          <w:lang w:eastAsia="en-AU"/>
        </w:rPr>
        <w:t xml:space="preserve">ing regulatory system. </w:t>
      </w:r>
      <w:r w:rsidR="0075187E">
        <w:rPr>
          <w:lang w:eastAsia="en-AU"/>
        </w:rPr>
        <w:t xml:space="preserve">These include </w:t>
      </w:r>
      <w:r w:rsidRPr="009C70D9">
        <w:rPr>
          <w:lang w:eastAsia="en-AU"/>
        </w:rPr>
        <w:t>the inappropriate use of combustible cladding</w:t>
      </w:r>
      <w:r w:rsidR="00B358A5">
        <w:rPr>
          <w:lang w:eastAsia="en-AU"/>
        </w:rPr>
        <w:t xml:space="preserve"> which</w:t>
      </w:r>
      <w:r w:rsidRPr="009C70D9">
        <w:rPr>
          <w:lang w:eastAsia="en-AU"/>
        </w:rPr>
        <w:t xml:space="preserve"> led to the 2017 Grenfell fire tragedy in London</w:t>
      </w:r>
      <w:r>
        <w:rPr>
          <w:lang w:eastAsia="en-AU"/>
        </w:rPr>
        <w:t xml:space="preserve">, </w:t>
      </w:r>
      <w:r w:rsidRPr="009C70D9">
        <w:rPr>
          <w:lang w:eastAsia="en-AU"/>
        </w:rPr>
        <w:t>the 2014 fire at the Lacrosse apartment building in Melbourne’s Dockland</w:t>
      </w:r>
      <w:r>
        <w:rPr>
          <w:lang w:eastAsia="en-AU"/>
        </w:rPr>
        <w:t>s</w:t>
      </w:r>
      <w:r w:rsidRPr="009C70D9">
        <w:rPr>
          <w:lang w:eastAsia="en-AU"/>
        </w:rPr>
        <w:t xml:space="preserve"> </w:t>
      </w:r>
      <w:r>
        <w:rPr>
          <w:lang w:eastAsia="en-AU"/>
        </w:rPr>
        <w:t>and</w:t>
      </w:r>
      <w:r w:rsidR="00B358A5" w:rsidRPr="009C70D9" w:rsidDel="00B706BE">
        <w:rPr>
          <w:lang w:eastAsia="en-AU"/>
        </w:rPr>
        <w:t xml:space="preserve"> </w:t>
      </w:r>
      <w:r w:rsidRPr="009C70D9">
        <w:rPr>
          <w:lang w:eastAsia="en-AU"/>
        </w:rPr>
        <w:t>the 2019 fire at Neo200 building in Melbourne’s CBD.</w:t>
      </w:r>
      <w:r w:rsidRPr="009C70D9">
        <w:rPr>
          <w:vertAlign w:val="superscript"/>
          <w:lang w:eastAsia="en-AU"/>
        </w:rPr>
        <w:endnoteReference w:id="11"/>
      </w:r>
      <w:r w:rsidR="00187975">
        <w:rPr>
          <w:lang w:eastAsia="en-AU"/>
        </w:rPr>
        <w:t xml:space="preserve"> </w:t>
      </w:r>
      <w:r w:rsidR="00127B95">
        <w:rPr>
          <w:lang w:eastAsia="en-AU"/>
        </w:rPr>
        <w:t>Recent s</w:t>
      </w:r>
      <w:r w:rsidR="006D2876">
        <w:rPr>
          <w:lang w:eastAsia="en-AU"/>
        </w:rPr>
        <w:t xml:space="preserve">upply chain and inflationary pressures have </w:t>
      </w:r>
      <w:r w:rsidR="0029639C">
        <w:rPr>
          <w:lang w:eastAsia="en-AU"/>
        </w:rPr>
        <w:t xml:space="preserve">contributed </w:t>
      </w:r>
      <w:r w:rsidR="006D2876">
        <w:rPr>
          <w:lang w:eastAsia="en-AU"/>
        </w:rPr>
        <w:t xml:space="preserve">to </w:t>
      </w:r>
      <w:r w:rsidR="0029639C">
        <w:rPr>
          <w:lang w:eastAsia="en-AU"/>
        </w:rPr>
        <w:t>insolvency risk and consumer exposure.</w:t>
      </w:r>
    </w:p>
    <w:p w14:paraId="20DF7A2D" w14:textId="7782B989" w:rsidR="00A76963" w:rsidRPr="009C70D9" w:rsidRDefault="00A76963" w:rsidP="00A76963">
      <w:pPr>
        <w:rPr>
          <w:lang w:eastAsia="en-AU"/>
        </w:rPr>
      </w:pPr>
      <w:r w:rsidRPr="001A515A">
        <w:rPr>
          <w:lang w:eastAsia="en-AU"/>
        </w:rPr>
        <w:t>The Panel notes a broad consensus – from industry, government and consumer stakeholders – that modern, efficient, proportionate and effective regulation is required to restore confidence in the building regulatory syste</w:t>
      </w:r>
      <w:r w:rsidR="00B358A5" w:rsidRPr="001A515A">
        <w:rPr>
          <w:lang w:eastAsia="en-AU"/>
        </w:rPr>
        <w:t>m a</w:t>
      </w:r>
      <w:r w:rsidRPr="001A515A">
        <w:rPr>
          <w:lang w:eastAsia="en-AU"/>
        </w:rPr>
        <w:t>nd ensure those with key responsibilities are held to account.</w:t>
      </w:r>
      <w:r w:rsidRPr="009C70D9">
        <w:rPr>
          <w:lang w:eastAsia="en-AU"/>
        </w:rPr>
        <w:t xml:space="preserve"> </w:t>
      </w:r>
    </w:p>
    <w:p w14:paraId="1DD80E1E" w14:textId="30DE5045" w:rsidR="00050F8B" w:rsidRDefault="00A76963" w:rsidP="00A76963">
      <w:pPr>
        <w:rPr>
          <w:lang w:eastAsia="en-AU"/>
        </w:rPr>
      </w:pPr>
      <w:r w:rsidRPr="00BC5EBE">
        <w:rPr>
          <w:lang w:eastAsia="en-AU"/>
        </w:rPr>
        <w:t>The 2018 Building Confidence Report</w:t>
      </w:r>
      <w:r w:rsidR="00C95CCE" w:rsidRPr="00BC5EBE">
        <w:rPr>
          <w:lang w:eastAsia="en-AU"/>
        </w:rPr>
        <w:t xml:space="preserve"> (BCR)</w:t>
      </w:r>
      <w:r w:rsidRPr="00BC5EBE">
        <w:rPr>
          <w:lang w:eastAsia="en-AU"/>
        </w:rPr>
        <w:t xml:space="preserve"> by Peter Shergold and Bronwyn Weir</w:t>
      </w:r>
      <w:r w:rsidRPr="00BC5EBE">
        <w:rPr>
          <w:vertAlign w:val="superscript"/>
          <w:lang w:eastAsia="en-AU"/>
        </w:rPr>
        <w:endnoteReference w:id="12"/>
      </w:r>
      <w:r w:rsidR="00624C1C" w:rsidRPr="00BC5EBE">
        <w:rPr>
          <w:lang w:eastAsia="en-AU"/>
        </w:rPr>
        <w:t>,</w:t>
      </w:r>
      <w:r w:rsidRPr="00BC5EBE">
        <w:rPr>
          <w:lang w:eastAsia="en-AU"/>
        </w:rPr>
        <w:t xml:space="preserve"> and the 2017 and 2019 Interim and Final reports from the Cladding Taskforce highlighted regulatory system failures and made recommendations for improvements to the regulatory system. The Cladding Taskforce recommended the establishment of this Review.</w:t>
      </w:r>
      <w:r w:rsidRPr="009C70D9">
        <w:rPr>
          <w:lang w:eastAsia="en-AU"/>
        </w:rPr>
        <w:t xml:space="preserve"> </w:t>
      </w:r>
    </w:p>
    <w:p w14:paraId="753C5AED" w14:textId="326EEC70" w:rsidR="00A76963" w:rsidRPr="00D54C06" w:rsidRDefault="00050F8B" w:rsidP="00E15E1A">
      <w:pPr>
        <w:rPr>
          <w:lang w:eastAsia="en-AU"/>
        </w:rPr>
      </w:pPr>
      <w:r>
        <w:rPr>
          <w:lang w:eastAsia="en-AU"/>
        </w:rPr>
        <w:t>Since the B</w:t>
      </w:r>
      <w:r w:rsidR="006979B9">
        <w:rPr>
          <w:lang w:eastAsia="en-AU"/>
        </w:rPr>
        <w:t>CR</w:t>
      </w:r>
      <w:r>
        <w:rPr>
          <w:lang w:eastAsia="en-AU"/>
        </w:rPr>
        <w:t xml:space="preserve">, the </w:t>
      </w:r>
      <w:r w:rsidRPr="009C70D9">
        <w:rPr>
          <w:lang w:eastAsia="en-AU"/>
        </w:rPr>
        <w:t>Australian Building Codes Board (ABCB) has issued a number of consultation documents and proposed specific changes to the National Construction Code (NCC).</w:t>
      </w:r>
      <w:r w:rsidRPr="009C70D9">
        <w:rPr>
          <w:vertAlign w:val="superscript"/>
          <w:lang w:eastAsia="en-AU"/>
        </w:rPr>
        <w:endnoteReference w:id="13"/>
      </w:r>
      <w:r w:rsidR="00A76963" w:rsidRPr="009C70D9">
        <w:rPr>
          <w:lang w:eastAsia="en-AU"/>
        </w:rPr>
        <w:t xml:space="preserve"> </w:t>
      </w:r>
      <w:r w:rsidR="00454F50">
        <w:rPr>
          <w:lang w:eastAsia="en-AU"/>
        </w:rPr>
        <w:t>T</w:t>
      </w:r>
      <w:r w:rsidR="00A76963" w:rsidRPr="009C70D9">
        <w:rPr>
          <w:lang w:eastAsia="en-AU"/>
        </w:rPr>
        <w:t>o support a regulatory approach that is consistent with other jurisdictions and proposed changes to the NCC</w:t>
      </w:r>
      <w:r w:rsidR="00656809">
        <w:rPr>
          <w:lang w:eastAsia="en-AU"/>
        </w:rPr>
        <w:t>, t</w:t>
      </w:r>
      <w:r w:rsidR="00656809" w:rsidRPr="009C70D9">
        <w:rPr>
          <w:lang w:eastAsia="en-AU"/>
        </w:rPr>
        <w:t>he Panel is cognisant of the need to align its recommendations with the ABCB</w:t>
      </w:r>
      <w:r w:rsidR="00656809">
        <w:rPr>
          <w:lang w:eastAsia="en-AU"/>
        </w:rPr>
        <w:t xml:space="preserve">-led </w:t>
      </w:r>
      <w:r w:rsidR="00656809" w:rsidRPr="009C70D9">
        <w:rPr>
          <w:lang w:eastAsia="en-AU"/>
        </w:rPr>
        <w:t>national approaches</w:t>
      </w:r>
      <w:r w:rsidR="00656809">
        <w:rPr>
          <w:lang w:eastAsia="en-AU"/>
        </w:rPr>
        <w:t>.</w:t>
      </w:r>
    </w:p>
    <w:p w14:paraId="6D170987" w14:textId="77777777" w:rsidR="0016034B" w:rsidRDefault="0016034B">
      <w:pPr>
        <w:spacing w:after="160" w:line="259" w:lineRule="auto"/>
        <w:rPr>
          <w:rFonts w:eastAsia="Times New Roman" w:cs="Times New Roman"/>
          <w:b/>
          <w:color w:val="1F2A44" w:themeColor="text2"/>
          <w:sz w:val="36"/>
          <w:szCs w:val="19"/>
          <w:lang w:eastAsia="en-AU"/>
        </w:rPr>
      </w:pPr>
      <w:r>
        <w:br w:type="page"/>
      </w:r>
    </w:p>
    <w:p w14:paraId="2FBCD7BF" w14:textId="6BB0BD7F" w:rsidR="0058219D" w:rsidRDefault="0058219D" w:rsidP="00F41DAB">
      <w:pPr>
        <w:pStyle w:val="Heading1"/>
      </w:pPr>
      <w:bookmarkStart w:id="41" w:name="_Ref130300835"/>
      <w:bookmarkStart w:id="42" w:name="_Toc134356881"/>
      <w:r>
        <w:lastRenderedPageBreak/>
        <w:t>About the Review</w:t>
      </w:r>
      <w:bookmarkEnd w:id="41"/>
      <w:bookmarkEnd w:id="42"/>
    </w:p>
    <w:p w14:paraId="50310840" w14:textId="45C3D996" w:rsidR="00EF173F" w:rsidRPr="00A112AA" w:rsidRDefault="00EF173F" w:rsidP="00EF173F">
      <w:pPr>
        <w:rPr>
          <w:lang w:eastAsia="en-AU"/>
        </w:rPr>
      </w:pPr>
      <w:r w:rsidRPr="00A112AA">
        <w:rPr>
          <w:lang w:eastAsia="en-AU"/>
        </w:rPr>
        <w:t>The objectives of the Review</w:t>
      </w:r>
      <w:r w:rsidR="00050F8B">
        <w:rPr>
          <w:lang w:eastAsia="en-AU"/>
        </w:rPr>
        <w:t xml:space="preserve">, as </w:t>
      </w:r>
      <w:r w:rsidRPr="00A112AA">
        <w:rPr>
          <w:lang w:eastAsia="en-AU"/>
        </w:rPr>
        <w:t>set out in the Panel’s Terms of Reference</w:t>
      </w:r>
      <w:r w:rsidR="00050F8B">
        <w:rPr>
          <w:lang w:eastAsia="en-AU"/>
        </w:rPr>
        <w:t xml:space="preserve">, are to </w:t>
      </w:r>
      <w:r w:rsidRPr="00A112AA">
        <w:rPr>
          <w:lang w:eastAsia="en-AU"/>
        </w:rPr>
        <w:t>provide a building regulatory system tha</w:t>
      </w:r>
      <w:r>
        <w:rPr>
          <w:lang w:eastAsia="en-AU"/>
        </w:rPr>
        <w:t xml:space="preserve">t </w:t>
      </w:r>
      <w:r w:rsidRPr="005D75AF">
        <w:t>d</w:t>
      </w:r>
      <w:r w:rsidRPr="00A112AA">
        <w:t>elivers safe, compliant, durable, affordable and sustainable housing and buildings efficiently and effectively</w:t>
      </w:r>
      <w:r w:rsidR="008458BA">
        <w:t>,</w:t>
      </w:r>
      <w:r>
        <w:t xml:space="preserve"> while holding those with key responsibilities to account. This requires a build</w:t>
      </w:r>
      <w:r w:rsidR="008F6DF2">
        <w:t>ing regulatory</w:t>
      </w:r>
      <w:r>
        <w:t xml:space="preserve"> system that:</w:t>
      </w:r>
    </w:p>
    <w:p w14:paraId="04165858" w14:textId="32FDA9F2" w:rsidR="00EF173F" w:rsidRPr="00A112AA" w:rsidRDefault="00EF173F" w:rsidP="00EF173F">
      <w:pPr>
        <w:pStyle w:val="Bullet"/>
      </w:pPr>
      <w:r w:rsidRPr="005D75AF">
        <w:t>supports skilled and experienced practitioners to carry out compliant</w:t>
      </w:r>
      <w:r w:rsidRPr="00A112AA">
        <w:t xml:space="preserve"> and safe practices</w:t>
      </w:r>
      <w:r w:rsidR="00CB7BEF">
        <w:t>;</w:t>
      </w:r>
      <w:r w:rsidRPr="00A112AA">
        <w:t xml:space="preserve"> </w:t>
      </w:r>
    </w:p>
    <w:p w14:paraId="6847DA52" w14:textId="2C6BF5B8" w:rsidR="00EF173F" w:rsidRDefault="00EF173F" w:rsidP="00EF173F">
      <w:pPr>
        <w:pStyle w:val="Bullet"/>
      </w:pPr>
      <w:r w:rsidRPr="005D75AF">
        <w:t>supports regulators to effectively</w:t>
      </w:r>
      <w:r w:rsidRPr="00A112AA">
        <w:t xml:space="preserve"> and efficiently enforce complianc</w:t>
      </w:r>
      <w:r>
        <w:t>e</w:t>
      </w:r>
      <w:r w:rsidR="00CB7BEF">
        <w:t>;</w:t>
      </w:r>
      <w:r>
        <w:t xml:space="preserve"> and</w:t>
      </w:r>
    </w:p>
    <w:p w14:paraId="35672C08" w14:textId="1D478B3E" w:rsidR="00EF173F" w:rsidRPr="00A112AA" w:rsidRDefault="00EF173F" w:rsidP="00EF173F">
      <w:pPr>
        <w:pStyle w:val="Bullet"/>
      </w:pPr>
      <w:r w:rsidRPr="005D75AF">
        <w:t>protects consumers and improves confidence in the industry and regulators</w:t>
      </w:r>
      <w:r>
        <w:t>.</w:t>
      </w:r>
    </w:p>
    <w:p w14:paraId="4130CF06" w14:textId="0B0A550F" w:rsidR="00EF173F" w:rsidRPr="00A112AA" w:rsidRDefault="00EF173F" w:rsidP="00997C13">
      <w:pPr>
        <w:pStyle w:val="Bullet"/>
        <w:numPr>
          <w:ilvl w:val="0"/>
          <w:numId w:val="0"/>
        </w:numPr>
      </w:pPr>
      <w:r w:rsidRPr="00A112AA">
        <w:t xml:space="preserve">The Review is important to protect and empower Victorian consumers </w:t>
      </w:r>
      <w:r w:rsidR="00144CBA">
        <w:t>who</w:t>
      </w:r>
      <w:r>
        <w:t xml:space="preserve"> make </w:t>
      </w:r>
      <w:r w:rsidRPr="00A112AA">
        <w:t>significant and complex decisions</w:t>
      </w:r>
      <w:r>
        <w:t xml:space="preserve"> when</w:t>
      </w:r>
      <w:r w:rsidRPr="00A112AA">
        <w:t xml:space="preserve"> building or renovating a home</w:t>
      </w:r>
      <w:r w:rsidR="0093737B">
        <w:t>,</w:t>
      </w:r>
      <w:r w:rsidRPr="00A112AA">
        <w:t xml:space="preserve"> including buying off the plan apartments.</w:t>
      </w:r>
    </w:p>
    <w:p w14:paraId="201CB63C" w14:textId="6494512F" w:rsidR="00EF173F" w:rsidRDefault="00EF173F" w:rsidP="00EF173F">
      <w:pPr>
        <w:rPr>
          <w:lang w:eastAsia="en-AU"/>
        </w:rPr>
        <w:sectPr w:rsidR="00EF173F" w:rsidSect="0076226C">
          <w:footerReference w:type="default" r:id="rId26"/>
          <w:footerReference w:type="first" r:id="rId27"/>
          <w:endnotePr>
            <w:numFmt w:val="decimal"/>
          </w:endnotePr>
          <w:type w:val="continuous"/>
          <w:pgSz w:w="11907" w:h="16839" w:code="9"/>
          <w:pgMar w:top="1418" w:right="1418" w:bottom="1701" w:left="1559" w:header="720" w:footer="720" w:gutter="0"/>
          <w:cols w:space="539"/>
          <w:docGrid w:linePitch="360"/>
        </w:sectPr>
      </w:pPr>
      <w:r>
        <w:rPr>
          <w:lang w:eastAsia="en-AU"/>
        </w:rPr>
        <w:fldChar w:fldCharType="begin"/>
      </w:r>
      <w:r>
        <w:rPr>
          <w:lang w:eastAsia="en-AU"/>
        </w:rPr>
        <w:instrText xml:space="preserve"> REF _Ref128494308 \h </w:instrText>
      </w:r>
      <w:r>
        <w:rPr>
          <w:lang w:eastAsia="en-AU"/>
        </w:rPr>
      </w:r>
      <w:r>
        <w:rPr>
          <w:lang w:eastAsia="en-AU"/>
        </w:rPr>
        <w:fldChar w:fldCharType="separate"/>
      </w:r>
      <w:r w:rsidR="00E15D2D" w:rsidRPr="00F411B0">
        <w:t xml:space="preserve">Figure </w:t>
      </w:r>
      <w:r w:rsidR="00E15D2D">
        <w:rPr>
          <w:noProof/>
        </w:rPr>
        <w:t>1</w:t>
      </w:r>
      <w:r>
        <w:rPr>
          <w:lang w:eastAsia="en-AU"/>
        </w:rPr>
        <w:fldChar w:fldCharType="end"/>
      </w:r>
      <w:r>
        <w:rPr>
          <w:lang w:eastAsia="en-AU"/>
        </w:rPr>
        <w:t xml:space="preserve"> </w:t>
      </w:r>
      <w:r w:rsidR="008F136E">
        <w:rPr>
          <w:lang w:eastAsia="en-AU"/>
        </w:rPr>
        <w:t>outlines</w:t>
      </w:r>
      <w:r>
        <w:rPr>
          <w:lang w:eastAsia="en-AU"/>
        </w:rPr>
        <w:t xml:space="preserve"> </w:t>
      </w:r>
      <w:r w:rsidRPr="00A112AA">
        <w:rPr>
          <w:lang w:eastAsia="en-AU"/>
        </w:rPr>
        <w:t>the outcomes the Panel is aiming to deliver and links each outcome to the objectives described above</w:t>
      </w:r>
      <w:r>
        <w:rPr>
          <w:lang w:eastAsia="en-AU"/>
        </w:rPr>
        <w:t xml:space="preserve">. </w:t>
      </w:r>
    </w:p>
    <w:p w14:paraId="0887E9F3" w14:textId="6509DE7D" w:rsidR="00EF173F" w:rsidRDefault="00EF173F" w:rsidP="00EF173F">
      <w:pPr>
        <w:pStyle w:val="Caption"/>
      </w:pPr>
      <w:bookmarkStart w:id="43" w:name="_Ref128494308"/>
      <w:r w:rsidRPr="00F411B0">
        <w:t xml:space="preserve">Figure </w:t>
      </w:r>
      <w:r w:rsidR="00CD291D" w:rsidRPr="00F411B0">
        <w:fldChar w:fldCharType="begin"/>
      </w:r>
      <w:r w:rsidR="00CD291D" w:rsidRPr="00F411B0">
        <w:instrText xml:space="preserve"> SEQ Figure \* ARABIC </w:instrText>
      </w:r>
      <w:r w:rsidR="00CD291D" w:rsidRPr="00F411B0">
        <w:fldChar w:fldCharType="separate"/>
      </w:r>
      <w:r w:rsidR="00E15D2D">
        <w:rPr>
          <w:noProof/>
        </w:rPr>
        <w:t>1</w:t>
      </w:r>
      <w:r w:rsidR="00CD291D" w:rsidRPr="00F411B0">
        <w:fldChar w:fldCharType="end"/>
      </w:r>
      <w:bookmarkEnd w:id="43"/>
      <w:r w:rsidRPr="00F411B0">
        <w:t xml:space="preserve"> | Objectives and outcomes of the Review</w:t>
      </w:r>
    </w:p>
    <w:p w14:paraId="6126D40F" w14:textId="77777777" w:rsidR="00EF173F" w:rsidRDefault="00EF173F" w:rsidP="00EF173F">
      <w:pPr>
        <w:rPr>
          <w:lang w:eastAsia="en-AU"/>
        </w:rPr>
        <w:sectPr w:rsidR="00EF173F" w:rsidSect="0076226C">
          <w:endnotePr>
            <w:numFmt w:val="decimal"/>
          </w:endnotePr>
          <w:type w:val="continuous"/>
          <w:pgSz w:w="11907" w:h="16839" w:code="9"/>
          <w:pgMar w:top="1418" w:right="1418" w:bottom="1701" w:left="1559" w:header="720" w:footer="720" w:gutter="0"/>
          <w:pgNumType w:start="1"/>
          <w:cols w:space="539"/>
          <w:docGrid w:linePitch="360"/>
        </w:sectPr>
      </w:pPr>
      <w:r>
        <w:rPr>
          <w:noProof/>
          <w:lang w:eastAsia="en-AU"/>
        </w:rPr>
        <w:drawing>
          <wp:inline distT="0" distB="0" distL="0" distR="0" wp14:anchorId="5653C451" wp14:editId="697F5762">
            <wp:extent cx="5670000" cy="3017338"/>
            <wp:effectExtent l="0" t="0" r="6985"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70000" cy="3017338"/>
                    </a:xfrm>
                    <a:prstGeom prst="rect">
                      <a:avLst/>
                    </a:prstGeom>
                    <a:noFill/>
                  </pic:spPr>
                </pic:pic>
              </a:graphicData>
            </a:graphic>
          </wp:inline>
        </w:drawing>
      </w:r>
    </w:p>
    <w:p w14:paraId="29A239EA" w14:textId="77777777" w:rsidR="00EF173F" w:rsidRDefault="00EF173F" w:rsidP="00EF173F">
      <w:pPr>
        <w:pStyle w:val="Heading2"/>
        <w:numPr>
          <w:ilvl w:val="0"/>
          <w:numId w:val="0"/>
        </w:numPr>
      </w:pPr>
      <w:bookmarkStart w:id="44" w:name="_Toc119066150"/>
      <w:bookmarkStart w:id="45" w:name="_Toc119333012"/>
      <w:bookmarkStart w:id="46" w:name="_Toc120530871"/>
      <w:bookmarkStart w:id="47" w:name="_Toc120884021"/>
      <w:bookmarkStart w:id="48" w:name="_Toc128646404"/>
      <w:bookmarkStart w:id="49" w:name="_Toc134352849"/>
      <w:bookmarkStart w:id="50" w:name="_Toc134356776"/>
      <w:bookmarkStart w:id="51" w:name="_Toc134356882"/>
      <w:r>
        <w:t>The Panel is taking a staged approach to the Review</w:t>
      </w:r>
      <w:bookmarkEnd w:id="44"/>
      <w:bookmarkEnd w:id="45"/>
      <w:bookmarkEnd w:id="46"/>
      <w:bookmarkEnd w:id="47"/>
      <w:bookmarkEnd w:id="48"/>
      <w:bookmarkEnd w:id="49"/>
      <w:bookmarkEnd w:id="50"/>
      <w:bookmarkEnd w:id="51"/>
    </w:p>
    <w:p w14:paraId="4F948027" w14:textId="2A3F1187" w:rsidR="00EF173F" w:rsidRPr="00004A08" w:rsidRDefault="00EF173F" w:rsidP="00EF173F">
      <w:pPr>
        <w:rPr>
          <w:lang w:eastAsia="en-AU"/>
        </w:rPr>
      </w:pPr>
      <w:r w:rsidRPr="00004A08">
        <w:rPr>
          <w:lang w:eastAsia="en-AU"/>
        </w:rPr>
        <w:t xml:space="preserve">The Panel has recommended that comprehensive reform of the building </w:t>
      </w:r>
      <w:r w:rsidR="00246744">
        <w:rPr>
          <w:lang w:eastAsia="en-AU"/>
        </w:rPr>
        <w:t xml:space="preserve">regulatory </w:t>
      </w:r>
      <w:r w:rsidRPr="00004A08">
        <w:rPr>
          <w:lang w:eastAsia="en-AU"/>
        </w:rPr>
        <w:t>system be delivered over three stages</w:t>
      </w:r>
      <w:r w:rsidR="00C15472">
        <w:rPr>
          <w:lang w:eastAsia="en-AU"/>
        </w:rPr>
        <w:t>.</w:t>
      </w:r>
      <w:r>
        <w:rPr>
          <w:lang w:eastAsia="en-AU"/>
        </w:rPr>
        <w:t xml:space="preserve"> </w:t>
      </w:r>
      <w:r w:rsidRPr="00004A08">
        <w:rPr>
          <w:lang w:eastAsia="en-AU"/>
        </w:rPr>
        <w:t>Stages 1 and 2</w:t>
      </w:r>
      <w:r w:rsidRPr="00004A08" w:rsidDel="001B2D46">
        <w:rPr>
          <w:lang w:eastAsia="en-AU"/>
        </w:rPr>
        <w:t xml:space="preserve"> </w:t>
      </w:r>
      <w:r>
        <w:rPr>
          <w:lang w:eastAsia="en-AU"/>
        </w:rPr>
        <w:t>involve recommending changes to the regulatory framework in light of recent and emerging priorities</w:t>
      </w:r>
      <w:r w:rsidR="00C15472">
        <w:rPr>
          <w:lang w:eastAsia="en-AU"/>
        </w:rPr>
        <w:t>.</w:t>
      </w:r>
      <w:r>
        <w:rPr>
          <w:lang w:eastAsia="en-AU"/>
        </w:rPr>
        <w:t xml:space="preserve"> Stage 3 will culminate from advice on a new Building Act and regulations aligned with the national framework.</w:t>
      </w:r>
    </w:p>
    <w:p w14:paraId="0F053036" w14:textId="4005EC9F" w:rsidR="00EF173F" w:rsidRDefault="00EF173F" w:rsidP="00EF173F">
      <w:pPr>
        <w:rPr>
          <w:lang w:eastAsia="en-AU"/>
        </w:rPr>
      </w:pPr>
      <w:r w:rsidRPr="00004A08">
        <w:rPr>
          <w:lang w:eastAsia="en-AU"/>
        </w:rPr>
        <w:t xml:space="preserve">The staged approach </w:t>
      </w:r>
      <w:r w:rsidR="00697CDD">
        <w:rPr>
          <w:lang w:eastAsia="en-AU"/>
        </w:rPr>
        <w:t>(</w:t>
      </w:r>
      <w:r w:rsidR="00697CDD" w:rsidRPr="00004A08">
        <w:rPr>
          <w:lang w:eastAsia="en-AU"/>
        </w:rPr>
        <w:t xml:space="preserve">set out in </w:t>
      </w:r>
      <w:r w:rsidR="00697CDD">
        <w:rPr>
          <w:lang w:eastAsia="en-AU"/>
        </w:rPr>
        <w:fldChar w:fldCharType="begin"/>
      </w:r>
      <w:r w:rsidR="00697CDD">
        <w:rPr>
          <w:lang w:eastAsia="en-AU"/>
        </w:rPr>
        <w:instrText xml:space="preserve"> REF _Ref131599877 \h </w:instrText>
      </w:r>
      <w:r w:rsidR="00697CDD">
        <w:rPr>
          <w:lang w:eastAsia="en-AU"/>
        </w:rPr>
      </w:r>
      <w:r w:rsidR="00697CDD">
        <w:rPr>
          <w:lang w:eastAsia="en-AU"/>
        </w:rPr>
        <w:fldChar w:fldCharType="separate"/>
      </w:r>
      <w:r w:rsidR="00E15D2D">
        <w:t xml:space="preserve">Figure </w:t>
      </w:r>
      <w:r w:rsidR="00E15D2D">
        <w:rPr>
          <w:noProof/>
        </w:rPr>
        <w:t>2</w:t>
      </w:r>
      <w:r w:rsidR="00697CDD">
        <w:rPr>
          <w:lang w:eastAsia="en-AU"/>
        </w:rPr>
        <w:fldChar w:fldCharType="end"/>
      </w:r>
      <w:r w:rsidR="00697CDD">
        <w:rPr>
          <w:lang w:eastAsia="en-AU"/>
        </w:rPr>
        <w:t xml:space="preserve">) </w:t>
      </w:r>
      <w:r w:rsidRPr="00004A08">
        <w:rPr>
          <w:lang w:eastAsia="en-AU"/>
        </w:rPr>
        <w:t>prioritises the reform steps and provides a pathway for implementation. Each stage will build on the next to deliver a comprehensive suite of reforms which meet the objectives and outcomes of this Review.</w:t>
      </w:r>
      <w:r w:rsidR="009C7FD3">
        <w:rPr>
          <w:lang w:eastAsia="en-AU"/>
        </w:rPr>
        <w:t xml:space="preserve"> This report outlines the Panel’s Stage 2 proposed recommendations. </w:t>
      </w:r>
      <w:r w:rsidR="00E01A46">
        <w:rPr>
          <w:lang w:eastAsia="en-AU"/>
        </w:rPr>
        <w:t>Detail</w:t>
      </w:r>
      <w:r w:rsidR="006E6C86">
        <w:rPr>
          <w:lang w:eastAsia="en-AU"/>
        </w:rPr>
        <w:t>s</w:t>
      </w:r>
      <w:r w:rsidR="00E01A46">
        <w:rPr>
          <w:lang w:eastAsia="en-AU"/>
        </w:rPr>
        <w:t xml:space="preserve"> on the Panel’s Stage 1 recommendations</w:t>
      </w:r>
      <w:r w:rsidR="00DC5F6E">
        <w:rPr>
          <w:lang w:eastAsia="en-AU"/>
        </w:rPr>
        <w:t>,</w:t>
      </w:r>
      <w:r w:rsidR="00E01A46">
        <w:rPr>
          <w:lang w:eastAsia="en-AU"/>
        </w:rPr>
        <w:t xml:space="preserve"> </w:t>
      </w:r>
      <w:r w:rsidR="00FB05D4">
        <w:rPr>
          <w:lang w:eastAsia="en-AU"/>
        </w:rPr>
        <w:t xml:space="preserve">which the Government has </w:t>
      </w:r>
      <w:r w:rsidR="00DC5F6E">
        <w:rPr>
          <w:lang w:eastAsia="en-AU"/>
        </w:rPr>
        <w:t>endorsed,</w:t>
      </w:r>
      <w:r w:rsidR="00E01A46">
        <w:rPr>
          <w:lang w:eastAsia="en-AU"/>
        </w:rPr>
        <w:t xml:space="preserve"> are provided in </w:t>
      </w:r>
      <w:r w:rsidR="00B63F5E">
        <w:rPr>
          <w:lang w:eastAsia="en-AU"/>
        </w:rPr>
        <w:fldChar w:fldCharType="begin"/>
      </w:r>
      <w:r w:rsidR="00B63F5E">
        <w:rPr>
          <w:lang w:eastAsia="en-AU"/>
        </w:rPr>
        <w:instrText xml:space="preserve"> REF _Ref131412560 \r \h </w:instrText>
      </w:r>
      <w:r w:rsidR="00B63F5E">
        <w:rPr>
          <w:lang w:eastAsia="en-AU"/>
        </w:rPr>
      </w:r>
      <w:r w:rsidR="00B63F5E">
        <w:rPr>
          <w:lang w:eastAsia="en-AU"/>
        </w:rPr>
        <w:fldChar w:fldCharType="separate"/>
      </w:r>
      <w:r w:rsidR="00E15D2D">
        <w:rPr>
          <w:lang w:eastAsia="en-AU"/>
        </w:rPr>
        <w:t>Appendix A</w:t>
      </w:r>
      <w:r w:rsidR="00B63F5E">
        <w:rPr>
          <w:lang w:eastAsia="en-AU"/>
        </w:rPr>
        <w:fldChar w:fldCharType="end"/>
      </w:r>
      <w:r w:rsidR="00E01A46">
        <w:rPr>
          <w:lang w:eastAsia="en-AU"/>
        </w:rPr>
        <w:t>.</w:t>
      </w:r>
    </w:p>
    <w:p w14:paraId="4BAA731A" w14:textId="1235B01C" w:rsidR="00EF173F" w:rsidRPr="00364828" w:rsidRDefault="00EF173F" w:rsidP="00EF173F">
      <w:pPr>
        <w:rPr>
          <w:i/>
          <w:lang w:eastAsia="en-AU"/>
        </w:rPr>
      </w:pPr>
      <w:r w:rsidRPr="00004A08">
        <w:rPr>
          <w:lang w:eastAsia="en-AU"/>
        </w:rPr>
        <w:lastRenderedPageBreak/>
        <w:t xml:space="preserve">Stage 3 will finalise the total reform package, including </w:t>
      </w:r>
      <w:r>
        <w:rPr>
          <w:lang w:eastAsia="en-AU"/>
        </w:rPr>
        <w:t>provision of a framework for the drafting</w:t>
      </w:r>
      <w:r w:rsidRPr="00004A08">
        <w:rPr>
          <w:lang w:eastAsia="en-AU"/>
        </w:rPr>
        <w:t xml:space="preserve"> </w:t>
      </w:r>
      <w:r>
        <w:rPr>
          <w:lang w:eastAsia="en-AU"/>
        </w:rPr>
        <w:t>of</w:t>
      </w:r>
      <w:r w:rsidRPr="00004A08">
        <w:rPr>
          <w:lang w:eastAsia="en-AU"/>
        </w:rPr>
        <w:t xml:space="preserve"> a new Building Act. This will involve restructuring the legislative framework and subordinate instruments to align with the outcomes of Stages 1 and 2. Stage 3 will provide the scope to further </w:t>
      </w:r>
      <w:r>
        <w:rPr>
          <w:lang w:eastAsia="en-AU"/>
        </w:rPr>
        <w:t>refine</w:t>
      </w:r>
      <w:r w:rsidRPr="00004A08">
        <w:rPr>
          <w:lang w:eastAsia="en-AU"/>
        </w:rPr>
        <w:t xml:space="preserve"> the reforms to ensure they continue to give effect to the intended objectives and outcomes of the Review. </w:t>
      </w:r>
      <w:r w:rsidRPr="0079796C">
        <w:rPr>
          <w:lang w:eastAsia="en-AU"/>
        </w:rPr>
        <w:t xml:space="preserve">The Panel will also consider potential further improvements required to other legislation that affect the building </w:t>
      </w:r>
      <w:r w:rsidR="00182C2C" w:rsidRPr="0079796C">
        <w:rPr>
          <w:lang w:eastAsia="en-AU"/>
        </w:rPr>
        <w:t xml:space="preserve">regulatory </w:t>
      </w:r>
      <w:r w:rsidRPr="0079796C">
        <w:rPr>
          <w:lang w:eastAsia="en-AU"/>
        </w:rPr>
        <w:t>system</w:t>
      </w:r>
      <w:r w:rsidR="00912D2E">
        <w:rPr>
          <w:lang w:eastAsia="en-AU"/>
        </w:rPr>
        <w:t>,</w:t>
      </w:r>
      <w:r w:rsidRPr="00004A08">
        <w:rPr>
          <w:lang w:eastAsia="en-AU"/>
        </w:rPr>
        <w:t xml:space="preserve"> such as the </w:t>
      </w:r>
      <w:r w:rsidRPr="00927E14">
        <w:rPr>
          <w:i/>
          <w:lang w:eastAsia="en-AU"/>
        </w:rPr>
        <w:t>Domestic Building Contracts Act 1995</w:t>
      </w:r>
      <w:r w:rsidRPr="00004A08">
        <w:rPr>
          <w:lang w:eastAsia="en-AU"/>
        </w:rPr>
        <w:t xml:space="preserve"> (Vic) (DBCA) and the </w:t>
      </w:r>
      <w:r w:rsidRPr="00364828">
        <w:rPr>
          <w:i/>
          <w:lang w:eastAsia="en-AU"/>
        </w:rPr>
        <w:t>Owners Corporations Act</w:t>
      </w:r>
      <w:r>
        <w:rPr>
          <w:i/>
          <w:lang w:eastAsia="en-AU"/>
        </w:rPr>
        <w:t xml:space="preserve"> 2006</w:t>
      </w:r>
      <w:r w:rsidR="005F2B79">
        <w:rPr>
          <w:i/>
          <w:lang w:eastAsia="en-AU"/>
        </w:rPr>
        <w:t xml:space="preserve"> </w:t>
      </w:r>
      <w:r w:rsidR="005F2B79">
        <w:rPr>
          <w:iCs/>
          <w:lang w:eastAsia="en-AU"/>
        </w:rPr>
        <w:t>(Vic)</w:t>
      </w:r>
      <w:r w:rsidRPr="00364828">
        <w:rPr>
          <w:i/>
          <w:lang w:eastAsia="en-AU"/>
        </w:rPr>
        <w:t xml:space="preserve">. </w:t>
      </w:r>
    </w:p>
    <w:p w14:paraId="3723F231" w14:textId="7D0B7E39" w:rsidR="001C46DE" w:rsidRDefault="00DE36C3" w:rsidP="00997C13">
      <w:bookmarkStart w:id="52" w:name="_Ref131599877"/>
      <w:r>
        <w:t xml:space="preserve">Figure </w:t>
      </w:r>
      <w:fldSimple w:instr=" SEQ Figure \* ARABIC ">
        <w:r w:rsidR="00E15D2D">
          <w:rPr>
            <w:noProof/>
          </w:rPr>
          <w:t>2</w:t>
        </w:r>
      </w:fldSimple>
      <w:bookmarkEnd w:id="52"/>
      <w:r>
        <w:t xml:space="preserve"> | Staged approach to Panel's review</w:t>
      </w:r>
    </w:p>
    <w:p w14:paraId="46F545A4" w14:textId="0B29E9D2" w:rsidR="00C65C41" w:rsidRDefault="005F2B79" w:rsidP="00997C13">
      <w:pPr>
        <w:rPr>
          <w:rFonts w:eastAsia="Times New Roman" w:cs="Times New Roman"/>
          <w:b/>
          <w:color w:val="1F2A44" w:themeColor="text2"/>
          <w:sz w:val="36"/>
          <w:szCs w:val="19"/>
          <w:lang w:eastAsia="en-AU"/>
        </w:rPr>
      </w:pPr>
      <w:r w:rsidRPr="005F2B79">
        <w:rPr>
          <w:noProof/>
        </w:rPr>
        <w:drawing>
          <wp:inline distT="0" distB="0" distL="0" distR="0" wp14:anchorId="0E69B838" wp14:editId="363A96FF">
            <wp:extent cx="5670550" cy="2573655"/>
            <wp:effectExtent l="0" t="0" r="6350" b="0"/>
            <wp:docPr id="27936" name="Picture 2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70550" cy="2573655"/>
                    </a:xfrm>
                    <a:prstGeom prst="rect">
                      <a:avLst/>
                    </a:prstGeom>
                    <a:noFill/>
                    <a:ln>
                      <a:noFill/>
                    </a:ln>
                  </pic:spPr>
                </pic:pic>
              </a:graphicData>
            </a:graphic>
          </wp:inline>
        </w:drawing>
      </w:r>
      <w:r w:rsidR="00C65C41">
        <w:br w:type="page"/>
      </w:r>
    </w:p>
    <w:p w14:paraId="2EFCA50D" w14:textId="77777777" w:rsidR="00221780" w:rsidRDefault="00221780" w:rsidP="00F41DAB">
      <w:pPr>
        <w:pStyle w:val="Heading1"/>
        <w:sectPr w:rsidR="00221780" w:rsidSect="00CE7565">
          <w:footerReference w:type="default" r:id="rId30"/>
          <w:endnotePr>
            <w:numFmt w:val="decimal"/>
          </w:endnotePr>
          <w:type w:val="continuous"/>
          <w:pgSz w:w="11907" w:h="16839" w:code="9"/>
          <w:pgMar w:top="1418" w:right="1418" w:bottom="1701" w:left="1559" w:header="720" w:footer="720" w:gutter="0"/>
          <w:cols w:space="539"/>
          <w:docGrid w:linePitch="360"/>
        </w:sectPr>
      </w:pPr>
    </w:p>
    <w:p w14:paraId="521A1023" w14:textId="4C4A8B1D" w:rsidR="00050B5A" w:rsidRPr="00050B5A" w:rsidRDefault="00C57F6D" w:rsidP="00050B5A">
      <w:pPr>
        <w:pStyle w:val="Heading1"/>
      </w:pPr>
      <w:bookmarkStart w:id="53" w:name="_Toc134356883"/>
      <w:r>
        <w:lastRenderedPageBreak/>
        <w:t>About Stage 2</w:t>
      </w:r>
      <w:bookmarkEnd w:id="53"/>
      <w:r>
        <w:t xml:space="preserve"> </w:t>
      </w:r>
    </w:p>
    <w:p w14:paraId="3A459EDC" w14:textId="75314942" w:rsidR="00D41BC5" w:rsidRDefault="00E9454C" w:rsidP="00581E67">
      <w:pPr>
        <w:rPr>
          <w:lang w:eastAsia="en-AU"/>
        </w:rPr>
      </w:pPr>
      <w:r>
        <w:rPr>
          <w:lang w:eastAsia="en-AU"/>
        </w:rPr>
        <w:t>This Paper provides an overview of current mechanisms, key issues and proposed recommendations</w:t>
      </w:r>
      <w:r w:rsidR="005167A0">
        <w:rPr>
          <w:lang w:eastAsia="en-AU"/>
        </w:rPr>
        <w:t xml:space="preserve"> for each of the Stage 2 theme areas</w:t>
      </w:r>
      <w:r w:rsidR="002D5D47">
        <w:rPr>
          <w:lang w:eastAsia="en-AU"/>
        </w:rPr>
        <w:t xml:space="preserve"> of</w:t>
      </w:r>
      <w:r w:rsidR="001413A6">
        <w:rPr>
          <w:lang w:eastAsia="en-AU"/>
        </w:rPr>
        <w:t xml:space="preserve"> </w:t>
      </w:r>
      <w:r w:rsidR="001413A6">
        <w:t>extending accountability, compliance and enforcement, insurance, dispute prevention and resolution, building maintenance</w:t>
      </w:r>
      <w:r w:rsidR="005356FF">
        <w:t xml:space="preserve"> </w:t>
      </w:r>
      <w:r w:rsidR="00581E67">
        <w:t>and</w:t>
      </w:r>
      <w:r w:rsidR="001413A6">
        <w:t xml:space="preserve"> products and technologies. </w:t>
      </w:r>
    </w:p>
    <w:p w14:paraId="26E9F1C3" w14:textId="444E2708" w:rsidR="00C57F6D" w:rsidRDefault="001413A6" w:rsidP="005167A0">
      <w:r>
        <w:rPr>
          <w:lang w:eastAsia="en-AU"/>
        </w:rPr>
        <w:t>T</w:t>
      </w:r>
      <w:r w:rsidRPr="004D1AD7">
        <w:rPr>
          <w:lang w:eastAsia="en-AU"/>
        </w:rPr>
        <w:t xml:space="preserve">here are many interdependencies between the </w:t>
      </w:r>
      <w:r>
        <w:rPr>
          <w:lang w:eastAsia="en-AU"/>
        </w:rPr>
        <w:t>theme</w:t>
      </w:r>
      <w:r w:rsidRPr="004D1AD7">
        <w:rPr>
          <w:lang w:eastAsia="en-AU"/>
        </w:rPr>
        <w:t xml:space="preserve"> areas</w:t>
      </w:r>
      <w:r w:rsidR="00222E57">
        <w:rPr>
          <w:lang w:eastAsia="en-AU"/>
        </w:rPr>
        <w:t>. F</w:t>
      </w:r>
      <w:r w:rsidR="007659B1">
        <w:rPr>
          <w:lang w:eastAsia="en-AU"/>
        </w:rPr>
        <w:t>or example</w:t>
      </w:r>
      <w:r w:rsidR="00222E57">
        <w:rPr>
          <w:lang w:eastAsia="en-AU"/>
        </w:rPr>
        <w:t>,</w:t>
      </w:r>
      <w:r>
        <w:rPr>
          <w:lang w:eastAsia="en-AU"/>
        </w:rPr>
        <w:t xml:space="preserve"> a more </w:t>
      </w:r>
      <w:r w:rsidRPr="004D1AD7">
        <w:rPr>
          <w:lang w:eastAsia="en-AU"/>
        </w:rPr>
        <w:t xml:space="preserve">robust compliance and enforcement framework will reduce </w:t>
      </w:r>
      <w:r>
        <w:rPr>
          <w:lang w:eastAsia="en-AU"/>
        </w:rPr>
        <w:t>defects,</w:t>
      </w:r>
      <w:r w:rsidRPr="004D1AD7">
        <w:rPr>
          <w:lang w:eastAsia="en-AU"/>
        </w:rPr>
        <w:t xml:space="preserve"> </w:t>
      </w:r>
      <w:r>
        <w:rPr>
          <w:lang w:eastAsia="en-AU"/>
        </w:rPr>
        <w:t xml:space="preserve">thereby reducing </w:t>
      </w:r>
      <w:r w:rsidRPr="004D1AD7">
        <w:rPr>
          <w:lang w:eastAsia="en-AU"/>
        </w:rPr>
        <w:t>pressures on the dispute resolution system.</w:t>
      </w:r>
      <w:r>
        <w:rPr>
          <w:lang w:eastAsia="en-AU"/>
        </w:rPr>
        <w:t xml:space="preserve"> </w:t>
      </w:r>
      <w:r w:rsidRPr="004D1AD7">
        <w:rPr>
          <w:lang w:eastAsia="en-AU"/>
        </w:rPr>
        <w:t xml:space="preserve">Together, these </w:t>
      </w:r>
      <w:r>
        <w:rPr>
          <w:lang w:eastAsia="en-AU"/>
        </w:rPr>
        <w:t xml:space="preserve">theme areas </w:t>
      </w:r>
      <w:r w:rsidRPr="004D1AD7">
        <w:rPr>
          <w:lang w:eastAsia="en-AU"/>
        </w:rPr>
        <w:t>will strengthen the regulatory system, prevent harms from occurring and provide for efficient and effective mechanisms to address issues that arise</w:t>
      </w:r>
      <w:r w:rsidR="002E60BF">
        <w:rPr>
          <w:lang w:eastAsia="en-AU"/>
        </w:rPr>
        <w:t xml:space="preserve">. </w:t>
      </w:r>
      <w:r w:rsidR="0046351B">
        <w:rPr>
          <w:lang w:eastAsia="en-AU"/>
        </w:rPr>
        <w:fldChar w:fldCharType="begin"/>
      </w:r>
      <w:r w:rsidR="0046351B">
        <w:rPr>
          <w:lang w:eastAsia="en-AU"/>
        </w:rPr>
        <w:instrText xml:space="preserve"> REF _Ref131492099 \h </w:instrText>
      </w:r>
      <w:r w:rsidR="0046351B">
        <w:rPr>
          <w:lang w:eastAsia="en-AU"/>
        </w:rPr>
      </w:r>
      <w:r w:rsidR="0046351B">
        <w:rPr>
          <w:lang w:eastAsia="en-AU"/>
        </w:rPr>
        <w:fldChar w:fldCharType="separate"/>
      </w:r>
      <w:r w:rsidR="00E15D2D">
        <w:t xml:space="preserve">Figure </w:t>
      </w:r>
      <w:r w:rsidR="00E15D2D">
        <w:rPr>
          <w:noProof/>
        </w:rPr>
        <w:t>3</w:t>
      </w:r>
      <w:r w:rsidR="0046351B">
        <w:rPr>
          <w:lang w:eastAsia="en-AU"/>
        </w:rPr>
        <w:fldChar w:fldCharType="end"/>
      </w:r>
      <w:r w:rsidR="002E60BF">
        <w:rPr>
          <w:lang w:eastAsia="en-AU"/>
        </w:rPr>
        <w:t xml:space="preserve"> gives a summary of the proposed recommendations explored in this Paper</w:t>
      </w:r>
      <w:r w:rsidR="00380C64">
        <w:rPr>
          <w:lang w:eastAsia="en-AU"/>
        </w:rPr>
        <w:t>.</w:t>
      </w:r>
    </w:p>
    <w:p w14:paraId="77EC8FDE" w14:textId="3760D024" w:rsidR="00E83792" w:rsidRDefault="00E83792" w:rsidP="00E83792">
      <w:pPr>
        <w:pStyle w:val="Caption"/>
      </w:pPr>
      <w:bookmarkStart w:id="54" w:name="_Ref131492099"/>
      <w:r>
        <w:t xml:space="preserve">Figure </w:t>
      </w:r>
      <w:r w:rsidR="00CD291D">
        <w:fldChar w:fldCharType="begin"/>
      </w:r>
      <w:r w:rsidR="00CD291D">
        <w:instrText xml:space="preserve"> SEQ Figure \* ARABIC </w:instrText>
      </w:r>
      <w:r w:rsidR="00CD291D">
        <w:fldChar w:fldCharType="separate"/>
      </w:r>
      <w:r w:rsidR="00E15D2D">
        <w:rPr>
          <w:noProof/>
        </w:rPr>
        <w:t>3</w:t>
      </w:r>
      <w:r w:rsidR="00CD291D">
        <w:fldChar w:fldCharType="end"/>
      </w:r>
      <w:bookmarkEnd w:id="54"/>
      <w:r>
        <w:t xml:space="preserve"> | </w:t>
      </w:r>
      <w:r w:rsidR="00C57F6D">
        <w:t xml:space="preserve">Stage 2 </w:t>
      </w:r>
      <w:r w:rsidR="008575E1">
        <w:t xml:space="preserve">proposed </w:t>
      </w:r>
      <w:r w:rsidR="00C57F6D">
        <w:t>recommendations</w:t>
      </w:r>
    </w:p>
    <w:p w14:paraId="7BC0A493" w14:textId="35028615" w:rsidR="007E0C2A" w:rsidRPr="007E0C2A" w:rsidRDefault="007E0C2A" w:rsidP="007E0C2A">
      <w:pPr>
        <w:rPr>
          <w:lang w:val="en-AU"/>
        </w:rPr>
      </w:pPr>
      <w:r>
        <w:rPr>
          <w:noProof/>
          <w:lang w:val="en-AU"/>
        </w:rPr>
        <w:drawing>
          <wp:inline distT="0" distB="0" distL="0" distR="0" wp14:anchorId="6B13C5D8" wp14:editId="7A7D9BD9">
            <wp:extent cx="5670000" cy="4853125"/>
            <wp:effectExtent l="0" t="0" r="6985" b="5080"/>
            <wp:docPr id="27982" name="Picture 2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70000" cy="4853125"/>
                    </a:xfrm>
                    <a:prstGeom prst="rect">
                      <a:avLst/>
                    </a:prstGeom>
                    <a:noFill/>
                  </pic:spPr>
                </pic:pic>
              </a:graphicData>
            </a:graphic>
          </wp:inline>
        </w:drawing>
      </w:r>
    </w:p>
    <w:p w14:paraId="702AA73D" w14:textId="3FD0D11D" w:rsidR="00CE6432" w:rsidRPr="00CE6432" w:rsidRDefault="00CE6432" w:rsidP="00CE6432">
      <w:pPr>
        <w:rPr>
          <w:lang w:val="en-AU"/>
        </w:rPr>
      </w:pPr>
    </w:p>
    <w:p w14:paraId="517A7FE3" w14:textId="1E4EBA49" w:rsidR="00E83792" w:rsidRDefault="00E83792" w:rsidP="003D1ADA">
      <w:pPr>
        <w:rPr>
          <w:lang w:eastAsia="en-AU"/>
        </w:rPr>
      </w:pPr>
    </w:p>
    <w:p w14:paraId="35BFB36E" w14:textId="77777777" w:rsidR="00C57F6D" w:rsidRDefault="00C57F6D" w:rsidP="003D1ADA">
      <w:pPr>
        <w:rPr>
          <w:lang w:eastAsia="en-AU"/>
        </w:rPr>
      </w:pPr>
    </w:p>
    <w:p w14:paraId="2CAAB0E1" w14:textId="344A373A" w:rsidR="00FE621F" w:rsidRPr="00760DDA" w:rsidRDefault="00FA051F" w:rsidP="003D1ADA">
      <w:pPr>
        <w:rPr>
          <w:lang w:eastAsia="en-AU"/>
        </w:rPr>
        <w:sectPr w:rsidR="00FE621F" w:rsidRPr="00760DDA" w:rsidSect="004568EA">
          <w:footerReference w:type="default" r:id="rId32"/>
          <w:footerReference w:type="first" r:id="rId33"/>
          <w:type w:val="continuous"/>
          <w:pgSz w:w="11907" w:h="16839" w:code="9"/>
          <w:pgMar w:top="1418" w:right="1418" w:bottom="1701" w:left="1559" w:header="720" w:footer="720" w:gutter="0"/>
          <w:pgNumType w:start="1"/>
          <w:cols w:space="720"/>
          <w:titlePg/>
          <w:docGrid w:linePitch="360"/>
        </w:sectPr>
      </w:pPr>
      <w:r w:rsidRPr="00FA051F">
        <w:rPr>
          <w:noProof/>
        </w:rPr>
        <w:lastRenderedPageBreak/>
        <w:drawing>
          <wp:inline distT="0" distB="0" distL="0" distR="0" wp14:anchorId="1A93A434" wp14:editId="27B08E56">
            <wp:extent cx="5670550" cy="8526145"/>
            <wp:effectExtent l="0" t="0" r="6350" b="8255"/>
            <wp:docPr id="27948" name="Picture 2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70550" cy="8526145"/>
                    </a:xfrm>
                    <a:prstGeom prst="rect">
                      <a:avLst/>
                    </a:prstGeom>
                    <a:noFill/>
                    <a:ln>
                      <a:noFill/>
                    </a:ln>
                  </pic:spPr>
                </pic:pic>
              </a:graphicData>
            </a:graphic>
          </wp:inline>
        </w:drawing>
      </w:r>
    </w:p>
    <w:p w14:paraId="454D8D4D" w14:textId="7221340A" w:rsidR="00AD26B0" w:rsidRPr="00AE7DA0" w:rsidRDefault="00407B5F">
      <w:pPr>
        <w:pStyle w:val="Heading1"/>
      </w:pPr>
      <w:bookmarkStart w:id="55" w:name="_Toc134356884"/>
      <w:r>
        <w:rPr>
          <w:noProof/>
        </w:rPr>
        <w:lastRenderedPageBreak/>
        <w:drawing>
          <wp:anchor distT="0" distB="0" distL="114300" distR="114300" simplePos="0" relativeHeight="251658244" behindDoc="1" locked="0" layoutInCell="1" allowOverlap="1" wp14:anchorId="4C95C7F4" wp14:editId="5921B925">
            <wp:simplePos x="0" y="0"/>
            <wp:positionH relativeFrom="column">
              <wp:posOffset>-981387</wp:posOffset>
            </wp:positionH>
            <wp:positionV relativeFrom="paragraph">
              <wp:posOffset>-883190</wp:posOffset>
            </wp:positionV>
            <wp:extent cx="7559675" cy="1621790"/>
            <wp:effectExtent l="0" t="0" r="317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59675" cy="1621790"/>
                    </a:xfrm>
                    <a:prstGeom prst="rect">
                      <a:avLst/>
                    </a:prstGeom>
                    <a:noFill/>
                  </pic:spPr>
                </pic:pic>
              </a:graphicData>
            </a:graphic>
            <wp14:sizeRelH relativeFrom="page">
              <wp14:pctWidth>0</wp14:pctWidth>
            </wp14:sizeRelH>
            <wp14:sizeRelV relativeFrom="page">
              <wp14:pctHeight>0</wp14:pctHeight>
            </wp14:sizeRelV>
          </wp:anchor>
        </w:drawing>
      </w:r>
      <w:r w:rsidR="00A875F4" w:rsidRPr="00AE7DA0">
        <w:t>Extending accountability</w:t>
      </w:r>
      <w:bookmarkEnd w:id="55"/>
    </w:p>
    <w:p w14:paraId="65F5EBE8" w14:textId="1BB10FA6" w:rsidR="005A5E9E" w:rsidRDefault="005A5E9E" w:rsidP="005A5E9E">
      <w:pPr>
        <w:rPr>
          <w:lang w:eastAsia="en-AU"/>
        </w:rPr>
      </w:pPr>
    </w:p>
    <w:p w14:paraId="0A78A1F8" w14:textId="77777777" w:rsidR="005D2EB4" w:rsidRDefault="005D2EB4">
      <w:pPr>
        <w:spacing w:after="160" w:line="259" w:lineRule="auto"/>
        <w:rPr>
          <w:lang w:eastAsia="en-AU"/>
        </w:rPr>
      </w:pPr>
    </w:p>
    <w:p w14:paraId="2244BC0B" w14:textId="77777777" w:rsidR="00D02C7B" w:rsidRDefault="00D02C7B" w:rsidP="008879BA"/>
    <w:p w14:paraId="7FCBB2A3" w14:textId="50898064" w:rsidR="00CC28EF" w:rsidRDefault="00587EBF" w:rsidP="00CC28EF">
      <w:r>
        <w:t xml:space="preserve">Many practitioners influence the performance of buildings across the building lifecycle. The work of all participants in the system – including developers, architects, designers, builders, </w:t>
      </w:r>
      <w:r w:rsidR="00451E82">
        <w:t xml:space="preserve">building </w:t>
      </w:r>
      <w:r>
        <w:t>surveyors, plumbers, and other practitioners – are intrinsically linked. Fragmented accountability can compromise building safety and quality and make it difficult for consumers to access recourse for defective or non-compliant work</w:t>
      </w:r>
      <w:r w:rsidR="00CC28EF">
        <w:t xml:space="preserve">. Conversely, clearly defined accountabilities can improve building performance, practitioner conduct and support better outcomes for consumers by: </w:t>
      </w:r>
    </w:p>
    <w:p w14:paraId="44911FA9" w14:textId="77777777" w:rsidR="00CC28EF" w:rsidRDefault="00CC28EF" w:rsidP="00CC28EF">
      <w:pPr>
        <w:pStyle w:val="Bullet"/>
      </w:pPr>
      <w:r>
        <w:t>making it easier to determine the appropriate person to commence proceedings against for defective or non-compliant work;</w:t>
      </w:r>
    </w:p>
    <w:p w14:paraId="0E786765" w14:textId="77777777" w:rsidR="00CC28EF" w:rsidRDefault="00CC28EF" w:rsidP="00CC28EF">
      <w:pPr>
        <w:pStyle w:val="Bullet"/>
      </w:pPr>
      <w:r>
        <w:t xml:space="preserve">enhancing regulatory options to prevent defects arising and – where they do occur – ensuring timely rectification; and </w:t>
      </w:r>
    </w:p>
    <w:p w14:paraId="3C234EBB" w14:textId="77777777" w:rsidR="00CC28EF" w:rsidRDefault="00CC28EF" w:rsidP="00CC28EF">
      <w:pPr>
        <w:pStyle w:val="Bullet"/>
      </w:pPr>
      <w:r>
        <w:t>enhancing opportunities for private litigation to require rectification and/or to compensate consumers for economic loss.</w:t>
      </w:r>
    </w:p>
    <w:p w14:paraId="4A0F463B" w14:textId="35A6BD76" w:rsidR="00403CCB" w:rsidRDefault="00403CCB" w:rsidP="008879BA">
      <w:r>
        <w:t xml:space="preserve">The Panel is </w:t>
      </w:r>
      <w:r w:rsidR="00036A12">
        <w:t xml:space="preserve">conscious of the need for clear accountabilities for all those involved in the building </w:t>
      </w:r>
      <w:r w:rsidR="0003299A">
        <w:t xml:space="preserve">regulatory </w:t>
      </w:r>
      <w:r w:rsidR="00036A12">
        <w:t xml:space="preserve">system, </w:t>
      </w:r>
      <w:r w:rsidR="00AD66B2">
        <w:t>including developers and other parties responsible for compliance</w:t>
      </w:r>
      <w:r w:rsidR="007F7709">
        <w:t xml:space="preserve"> and safety of buildings</w:t>
      </w:r>
      <w:r w:rsidR="00D671BA">
        <w:t xml:space="preserve">. </w:t>
      </w:r>
      <w:r w:rsidR="006E702C">
        <w:t>E</w:t>
      </w:r>
      <w:r w:rsidR="00D671BA">
        <w:t>xtending accountabilities was a focus of the Panel</w:t>
      </w:r>
      <w:r w:rsidR="001D5399">
        <w:t>’</w:t>
      </w:r>
      <w:r w:rsidR="00D671BA">
        <w:t xml:space="preserve">s Stage 1 reforms and continues to be a focus of our Stage 2 </w:t>
      </w:r>
      <w:r w:rsidR="00FC16D7">
        <w:t xml:space="preserve">proposed </w:t>
      </w:r>
      <w:r w:rsidR="00D671BA">
        <w:t xml:space="preserve">recommendations. </w:t>
      </w:r>
    </w:p>
    <w:p w14:paraId="0239B4D7" w14:textId="38899CA6" w:rsidR="00B44EA7" w:rsidRDefault="00383771" w:rsidP="00C06831">
      <w:r>
        <w:t xml:space="preserve">This chapter </w:t>
      </w:r>
      <w:r w:rsidR="00C06831">
        <w:t>describes, in brief</w:t>
      </w:r>
      <w:r w:rsidR="00FC16D7">
        <w:t>,</w:t>
      </w:r>
      <w:r w:rsidR="00C06831">
        <w:t xml:space="preserve"> the current accountability mechanisms</w:t>
      </w:r>
      <w:r w:rsidR="00FC16D7">
        <w:t xml:space="preserve"> and the </w:t>
      </w:r>
      <w:r w:rsidR="00831005">
        <w:t xml:space="preserve">current accountability gaps </w:t>
      </w:r>
      <w:r w:rsidR="007B1474">
        <w:t>which contribute to poor outcomes for consumers, practitioners and the system</w:t>
      </w:r>
      <w:r w:rsidR="00FC16D7">
        <w:t>. It then</w:t>
      </w:r>
      <w:r w:rsidR="00831005">
        <w:t xml:space="preserve"> </w:t>
      </w:r>
      <w:r w:rsidR="00002EA2">
        <w:t>proposes</w:t>
      </w:r>
      <w:r w:rsidR="009630B0">
        <w:t xml:space="preserve"> recommendations to address</w:t>
      </w:r>
      <w:r w:rsidR="00FC16D7">
        <w:t xml:space="preserve"> the issues described</w:t>
      </w:r>
      <w:r w:rsidR="009630B0">
        <w:t xml:space="preserve">. </w:t>
      </w:r>
    </w:p>
    <w:p w14:paraId="70479C5B" w14:textId="122FAE97" w:rsidR="00C06831" w:rsidRDefault="00002EA2" w:rsidP="00C06831">
      <w:r>
        <w:rPr>
          <w:b/>
          <w:bCs/>
        </w:rPr>
        <w:t>Proposed r</w:t>
      </w:r>
      <w:r w:rsidR="007B1474">
        <w:rPr>
          <w:b/>
          <w:bCs/>
        </w:rPr>
        <w:t xml:space="preserve">ecommendations described in this chapter include </w:t>
      </w:r>
      <w:r w:rsidR="009630B0" w:rsidRPr="00123A2D">
        <w:rPr>
          <w:b/>
          <w:bCs/>
        </w:rPr>
        <w:t xml:space="preserve">defining </w:t>
      </w:r>
      <w:r w:rsidR="00492072">
        <w:rPr>
          <w:b/>
          <w:bCs/>
        </w:rPr>
        <w:t>developers in the legislative framework</w:t>
      </w:r>
      <w:r w:rsidR="009630B0" w:rsidRPr="00123A2D">
        <w:rPr>
          <w:b/>
          <w:bCs/>
        </w:rPr>
        <w:t>, increasing oversight for high-risk projects and ensuring that all parties</w:t>
      </w:r>
      <w:r w:rsidR="007D2C72">
        <w:rPr>
          <w:b/>
          <w:bCs/>
        </w:rPr>
        <w:t xml:space="preserve"> </w:t>
      </w:r>
      <w:r w:rsidR="007D2C72">
        <w:t>–</w:t>
      </w:r>
      <w:r w:rsidR="007B1474">
        <w:t xml:space="preserve"> </w:t>
      </w:r>
      <w:r w:rsidR="007B1474">
        <w:rPr>
          <w:b/>
          <w:bCs/>
        </w:rPr>
        <w:t>including developers</w:t>
      </w:r>
      <w:r w:rsidR="007D2C72">
        <w:rPr>
          <w:b/>
          <w:bCs/>
        </w:rPr>
        <w:t xml:space="preserve"> </w:t>
      </w:r>
      <w:r w:rsidR="007D2C72">
        <w:t>–</w:t>
      </w:r>
      <w:r w:rsidR="007B1474">
        <w:rPr>
          <w:b/>
          <w:bCs/>
        </w:rPr>
        <w:t xml:space="preserve"> </w:t>
      </w:r>
      <w:r w:rsidR="006F509E">
        <w:rPr>
          <w:b/>
          <w:bCs/>
        </w:rPr>
        <w:t xml:space="preserve">are appropriately captured in the regulatory system. </w:t>
      </w:r>
    </w:p>
    <w:p w14:paraId="45D9B030" w14:textId="74D04DA5" w:rsidR="00587EBF" w:rsidRDefault="00587EBF" w:rsidP="008879BA">
      <w:pPr>
        <w:sectPr w:rsidR="00587EBF" w:rsidSect="00685E19">
          <w:footerReference w:type="default" r:id="rId36"/>
          <w:endnotePr>
            <w:numFmt w:val="decimal"/>
          </w:endnotePr>
          <w:pgSz w:w="11907" w:h="16839" w:code="9"/>
          <w:pgMar w:top="1418" w:right="1418" w:bottom="1701" w:left="1559" w:header="720" w:footer="720" w:gutter="0"/>
          <w:pgNumType w:start="21"/>
          <w:cols w:space="539"/>
          <w:docGrid w:linePitch="360"/>
        </w:sectPr>
      </w:pPr>
    </w:p>
    <w:p w14:paraId="2331C108" w14:textId="7B6A3689" w:rsidR="00DD1279" w:rsidRDefault="00DD1279" w:rsidP="00E85123">
      <w:pPr>
        <w:pStyle w:val="Heading2"/>
      </w:pPr>
      <w:bookmarkStart w:id="56" w:name="_Toc131428694"/>
      <w:bookmarkStart w:id="57" w:name="_Toc134352852"/>
      <w:bookmarkStart w:id="58" w:name="_Toc134356885"/>
      <w:r>
        <w:t>Overview of current accountability mechanisms</w:t>
      </w:r>
      <w:bookmarkEnd w:id="56"/>
      <w:bookmarkEnd w:id="57"/>
      <w:bookmarkEnd w:id="58"/>
    </w:p>
    <w:p w14:paraId="52C643AD" w14:textId="2A56DD41" w:rsidR="00C071A3" w:rsidRDefault="00B257F8" w:rsidP="00DA7291">
      <w:r>
        <w:t xml:space="preserve">This section provides a brief overview of the current </w:t>
      </w:r>
      <w:r w:rsidR="00C60053">
        <w:t xml:space="preserve">regulatory safeguards and controls </w:t>
      </w:r>
      <w:r w:rsidR="00E61100">
        <w:t xml:space="preserve">in place to protect </w:t>
      </w:r>
      <w:r w:rsidR="00A06EF9">
        <w:t xml:space="preserve">consumers and practitioners and hold responsible parties to account </w:t>
      </w:r>
      <w:r w:rsidR="00685E19">
        <w:t>(</w:t>
      </w:r>
      <w:r w:rsidR="00103BCC">
        <w:t>set out</w:t>
      </w:r>
      <w:r w:rsidR="00685E19">
        <w:t xml:space="preserve"> in</w:t>
      </w:r>
      <w:r w:rsidR="00E10419">
        <w:t xml:space="preserve"> </w:t>
      </w:r>
      <w:r w:rsidR="00E10419">
        <w:rPr>
          <w:highlight w:val="yellow"/>
        </w:rPr>
        <w:fldChar w:fldCharType="begin"/>
      </w:r>
      <w:r w:rsidR="00E10419">
        <w:instrText xml:space="preserve"> REF _Ref130466601 \h </w:instrText>
      </w:r>
      <w:r w:rsidR="00E10419">
        <w:rPr>
          <w:highlight w:val="yellow"/>
        </w:rPr>
      </w:r>
      <w:r w:rsidR="00E10419">
        <w:rPr>
          <w:highlight w:val="yellow"/>
        </w:rPr>
        <w:fldChar w:fldCharType="separate"/>
      </w:r>
      <w:r w:rsidR="00E15D2D">
        <w:t xml:space="preserve">Figure </w:t>
      </w:r>
      <w:r w:rsidR="00E15D2D">
        <w:rPr>
          <w:noProof/>
        </w:rPr>
        <w:t>4</w:t>
      </w:r>
      <w:r w:rsidR="00E10419">
        <w:rPr>
          <w:highlight w:val="yellow"/>
        </w:rPr>
        <w:fldChar w:fldCharType="end"/>
      </w:r>
      <w:r w:rsidR="00CD2BA2">
        <w:t>)</w:t>
      </w:r>
      <w:r w:rsidR="00685E19" w:rsidRPr="00A05282">
        <w:t>.</w:t>
      </w:r>
      <w:r w:rsidR="001D0CA2">
        <w:t xml:space="preserve"> </w:t>
      </w:r>
    </w:p>
    <w:p w14:paraId="33E74A14" w14:textId="016664E9" w:rsidR="002427BE" w:rsidRDefault="002427BE" w:rsidP="002427BE">
      <w:pPr>
        <w:pStyle w:val="Caption"/>
      </w:pPr>
      <w:bookmarkStart w:id="59" w:name="_Ref130466601"/>
      <w:r>
        <w:lastRenderedPageBreak/>
        <w:t xml:space="preserve">Figure </w:t>
      </w:r>
      <w:r w:rsidR="00CD291D">
        <w:fldChar w:fldCharType="begin"/>
      </w:r>
      <w:r w:rsidR="00CD291D">
        <w:instrText xml:space="preserve"> SEQ Figure \* ARABIC </w:instrText>
      </w:r>
      <w:r w:rsidR="00CD291D">
        <w:fldChar w:fldCharType="separate"/>
      </w:r>
      <w:r w:rsidR="00E15D2D">
        <w:rPr>
          <w:noProof/>
        </w:rPr>
        <w:t>4</w:t>
      </w:r>
      <w:r w:rsidR="00CD291D">
        <w:fldChar w:fldCharType="end"/>
      </w:r>
      <w:bookmarkEnd w:id="59"/>
      <w:r>
        <w:t xml:space="preserve"> | Key legislative mechanisms to promote accountability in Victoria's building </w:t>
      </w:r>
      <w:r w:rsidR="00246744">
        <w:t xml:space="preserve">regulatory </w:t>
      </w:r>
      <w:r>
        <w:t>system</w:t>
      </w:r>
    </w:p>
    <w:p w14:paraId="31EA2751" w14:textId="417F8659" w:rsidR="002707BB" w:rsidRPr="007704D1" w:rsidRDefault="00F26572" w:rsidP="002707BB">
      <w:pPr>
        <w:pStyle w:val="Listnumbered"/>
        <w:numPr>
          <w:ilvl w:val="0"/>
          <w:numId w:val="0"/>
        </w:numPr>
        <w:ind w:left="397" w:hanging="397"/>
      </w:pPr>
      <w:r w:rsidRPr="00F26572">
        <w:rPr>
          <w:noProof/>
        </w:rPr>
        <w:drawing>
          <wp:inline distT="0" distB="0" distL="0" distR="0" wp14:anchorId="4FE756BB" wp14:editId="6A9D8064">
            <wp:extent cx="5670550" cy="4893310"/>
            <wp:effectExtent l="0" t="0" r="6350" b="2540"/>
            <wp:docPr id="27968" name="Picture 2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70550" cy="4893310"/>
                    </a:xfrm>
                    <a:prstGeom prst="rect">
                      <a:avLst/>
                    </a:prstGeom>
                    <a:noFill/>
                    <a:ln>
                      <a:noFill/>
                    </a:ln>
                  </pic:spPr>
                </pic:pic>
              </a:graphicData>
            </a:graphic>
          </wp:inline>
        </w:drawing>
      </w:r>
    </w:p>
    <w:p w14:paraId="7298F400" w14:textId="77777777" w:rsidR="00907B5E" w:rsidRDefault="00907B5E" w:rsidP="00954BC8"/>
    <w:p w14:paraId="10D4A164" w14:textId="020887A0" w:rsidR="00907B5E" w:rsidRDefault="00907B5E" w:rsidP="00954BC8">
      <w:r>
        <w:t>The</w:t>
      </w:r>
      <w:r w:rsidR="00513E1A">
        <w:t xml:space="preserve"> </w:t>
      </w:r>
      <w:r w:rsidR="00513E1A" w:rsidRPr="00227353">
        <w:rPr>
          <w:b/>
        </w:rPr>
        <w:t>legislative obligations and duties</w:t>
      </w:r>
      <w:r w:rsidR="00513E1A">
        <w:t xml:space="preserve"> </w:t>
      </w:r>
      <w:r>
        <w:t>outlined above</w:t>
      </w:r>
      <w:r w:rsidR="009A649B">
        <w:t xml:space="preserve"> are intended to</w:t>
      </w:r>
      <w:r>
        <w:t xml:space="preserve"> </w:t>
      </w:r>
      <w:r w:rsidR="009A649B" w:rsidRPr="006542A5">
        <w:t>provide a foundation for determining fair and equitable allocation of risks and responsibilities for building projects</w:t>
      </w:r>
      <w:r w:rsidR="00513E1A">
        <w:t>.</w:t>
      </w:r>
    </w:p>
    <w:p w14:paraId="0B5CED65" w14:textId="433562E8" w:rsidR="00417038" w:rsidRDefault="00417038" w:rsidP="00417038">
      <w:pPr>
        <w:pStyle w:val="Bullet"/>
      </w:pPr>
      <w:r>
        <w:t xml:space="preserve">Section 8 warranties under the DBCA </w:t>
      </w:r>
      <w:r w:rsidR="008113EB">
        <w:t xml:space="preserve">apply to all work carried out under a domestic building contract and provide </w:t>
      </w:r>
      <w:r w:rsidR="000B3120">
        <w:t xml:space="preserve">protections against non-compliant building work and poor practitioner conduct. </w:t>
      </w:r>
      <w:r w:rsidR="00FB6D3D">
        <w:t xml:space="preserve">Any owner (or subsequent owner) can </w:t>
      </w:r>
      <w:r w:rsidR="00BF3EF4">
        <w:t>bring a</w:t>
      </w:r>
      <w:r w:rsidR="002174CD">
        <w:t xml:space="preserve"> dispute/action under the section 8 warranties for up to 10 y</w:t>
      </w:r>
      <w:r w:rsidR="007A14CA">
        <w:t xml:space="preserve">ears after the initial occupation of the building. </w:t>
      </w:r>
      <w:r w:rsidR="00523D20">
        <w:t>Disputes relating to secti</w:t>
      </w:r>
      <w:r w:rsidR="00E62069">
        <w:t>o</w:t>
      </w:r>
      <w:r w:rsidR="00523D20">
        <w:t xml:space="preserve">n 8 warranties are heard in </w:t>
      </w:r>
      <w:r w:rsidR="00E62069">
        <w:t>D</w:t>
      </w:r>
      <w:r w:rsidR="003B006B">
        <w:t xml:space="preserve">omestic Building </w:t>
      </w:r>
      <w:r w:rsidR="00397C2C" w:rsidRPr="00397C2C">
        <w:t>Dispute</w:t>
      </w:r>
      <w:r w:rsidR="003B006B">
        <w:t xml:space="preserve"> Resolution Victoria (</w:t>
      </w:r>
      <w:r w:rsidR="00523D20">
        <w:t>DBDRV</w:t>
      </w:r>
      <w:r w:rsidR="003B006B">
        <w:t>)</w:t>
      </w:r>
      <w:r w:rsidR="00523D20">
        <w:t xml:space="preserve"> or </w:t>
      </w:r>
      <w:r w:rsidR="002556EE">
        <w:t xml:space="preserve">Victorian Civil </w:t>
      </w:r>
      <w:r w:rsidR="008E31AC">
        <w:t>and</w:t>
      </w:r>
      <w:r w:rsidR="002556EE">
        <w:t xml:space="preserve"> Administrative Tribunal (</w:t>
      </w:r>
      <w:r w:rsidR="00523D20">
        <w:t>VCAT</w:t>
      </w:r>
      <w:r w:rsidR="002556EE">
        <w:t>)</w:t>
      </w:r>
      <w:r w:rsidR="00523D20">
        <w:t xml:space="preserve">. </w:t>
      </w:r>
    </w:p>
    <w:p w14:paraId="0904F6DD" w14:textId="04FF872D" w:rsidR="00523D20" w:rsidRDefault="006F5981" w:rsidP="00417038">
      <w:pPr>
        <w:pStyle w:val="Bullet"/>
      </w:pPr>
      <w:r>
        <w:t xml:space="preserve">The Australian Consumer Law </w:t>
      </w:r>
      <w:r w:rsidR="00940398">
        <w:t xml:space="preserve">(ACL) </w:t>
      </w:r>
      <w:r w:rsidR="00B50C50">
        <w:t>give</w:t>
      </w:r>
      <w:r w:rsidR="00940398">
        <w:t>s</w:t>
      </w:r>
      <w:r w:rsidR="00B50C50">
        <w:t xml:space="preserve"> general protections for consumers </w:t>
      </w:r>
      <w:r w:rsidR="00BA4D4A" w:rsidRPr="00797672">
        <w:t xml:space="preserve">that products are of acceptable quality, free from defects, and that services are provided with due care and skill within a reasonable </w:t>
      </w:r>
      <w:r w:rsidR="00773A50" w:rsidRPr="00797672">
        <w:t>time and</w:t>
      </w:r>
      <w:r w:rsidR="00BA4D4A" w:rsidRPr="00797672">
        <w:t xml:space="preserve"> are fit for purpose</w:t>
      </w:r>
      <w:r w:rsidR="00BA4D4A">
        <w:t xml:space="preserve"> </w:t>
      </w:r>
      <w:r w:rsidR="00B50C50">
        <w:t xml:space="preserve">for up to </w:t>
      </w:r>
      <w:r w:rsidR="00E10FF1">
        <w:t>six</w:t>
      </w:r>
      <w:r w:rsidR="00B50C50">
        <w:t xml:space="preserve"> years </w:t>
      </w:r>
      <w:r w:rsidR="00D36EC7">
        <w:t xml:space="preserve">from when the defects are found. Disputes relating to the ACL are heard under VCAT. </w:t>
      </w:r>
    </w:p>
    <w:p w14:paraId="620448DB" w14:textId="77777777" w:rsidR="008B2E27" w:rsidRDefault="004A7E78" w:rsidP="00227353">
      <w:pPr>
        <w:pStyle w:val="Bullet"/>
        <w:sectPr w:rsidR="008B2E27" w:rsidSect="00B272D7">
          <w:headerReference w:type="even" r:id="rId38"/>
          <w:headerReference w:type="default" r:id="rId39"/>
          <w:footerReference w:type="default" r:id="rId40"/>
          <w:headerReference w:type="first" r:id="rId41"/>
          <w:endnotePr>
            <w:numFmt w:val="decimal"/>
          </w:endnotePr>
          <w:type w:val="continuous"/>
          <w:pgSz w:w="11907" w:h="16839" w:code="9"/>
          <w:pgMar w:top="1418" w:right="1418" w:bottom="1701" w:left="1559" w:header="720" w:footer="720" w:gutter="0"/>
          <w:cols w:space="720"/>
          <w:docGrid w:linePitch="360"/>
        </w:sectPr>
      </w:pPr>
      <w:r>
        <w:t>T</w:t>
      </w:r>
      <w:r w:rsidR="007C1D70">
        <w:t xml:space="preserve">he Building Act and Regulations include a range of general enforceable obligations on practitioners that seek to ensure that building work complies with the Act, Regulations, </w:t>
      </w:r>
    </w:p>
    <w:p w14:paraId="4378391A" w14:textId="0884ED4A" w:rsidR="00907B5E" w:rsidRDefault="00C441A1" w:rsidP="00227353">
      <w:pPr>
        <w:pStyle w:val="Bullet"/>
      </w:pPr>
      <w:r>
        <w:lastRenderedPageBreak/>
        <w:t>NCC</w:t>
      </w:r>
      <w:r w:rsidR="007C1D70">
        <w:t xml:space="preserve"> and the building permit. These are enforced by the regulator</w:t>
      </w:r>
      <w:r w:rsidR="00247308">
        <w:t>s</w:t>
      </w:r>
      <w:r w:rsidR="007C1D70" w:rsidRPr="00D8635A">
        <w:t xml:space="preserve">. </w:t>
      </w:r>
      <w:r w:rsidR="004A7E78" w:rsidRPr="00D8635A">
        <w:t>Further detail on compliance</w:t>
      </w:r>
      <w:r w:rsidR="00A766D5">
        <w:t xml:space="preserve">, </w:t>
      </w:r>
      <w:r w:rsidR="004A7E78" w:rsidRPr="00D8635A">
        <w:t xml:space="preserve">enforcement </w:t>
      </w:r>
      <w:r w:rsidR="00A766D5">
        <w:t>and discipline</w:t>
      </w:r>
      <w:r w:rsidR="004A7E78" w:rsidRPr="00D8635A">
        <w:t xml:space="preserve"> is </w:t>
      </w:r>
      <w:r w:rsidR="009876FF" w:rsidRPr="00D8635A">
        <w:t xml:space="preserve">provided </w:t>
      </w:r>
      <w:r w:rsidR="004A16E5">
        <w:t>in</w:t>
      </w:r>
      <w:r w:rsidR="009876FF" w:rsidRPr="00D8635A">
        <w:t xml:space="preserve"> </w:t>
      </w:r>
      <w:r w:rsidR="00743C46">
        <w:t>c</w:t>
      </w:r>
      <w:r w:rsidR="00456C64" w:rsidRPr="00D8635A">
        <w:t xml:space="preserve">hapter </w:t>
      </w:r>
      <w:r w:rsidR="00456C64" w:rsidRPr="00D8635A">
        <w:fldChar w:fldCharType="begin"/>
      </w:r>
      <w:r w:rsidR="00456C64" w:rsidRPr="00D8635A">
        <w:instrText xml:space="preserve"> REF _Ref130555488 \r \h </w:instrText>
      </w:r>
      <w:r w:rsidR="00D8635A">
        <w:instrText xml:space="preserve"> \* MERGEFORMAT </w:instrText>
      </w:r>
      <w:r w:rsidR="00456C64" w:rsidRPr="00D8635A">
        <w:fldChar w:fldCharType="separate"/>
      </w:r>
      <w:r w:rsidR="00E15D2D">
        <w:t>5</w:t>
      </w:r>
      <w:r w:rsidR="00456C64" w:rsidRPr="00D8635A">
        <w:fldChar w:fldCharType="end"/>
      </w:r>
      <w:r w:rsidR="009876FF" w:rsidRPr="00D8635A">
        <w:t>.</w:t>
      </w:r>
    </w:p>
    <w:p w14:paraId="69B42CC2" w14:textId="40ADB12B" w:rsidR="00CD6FEE" w:rsidRDefault="00521A94" w:rsidP="00613BD1">
      <w:r>
        <w:t xml:space="preserve">The regulatory system </w:t>
      </w:r>
      <w:r w:rsidR="000305C7">
        <w:t xml:space="preserve">also </w:t>
      </w:r>
      <w:r w:rsidR="00613BD1">
        <w:t xml:space="preserve">includes a range of other mechanisms to </w:t>
      </w:r>
      <w:r w:rsidR="006F4BD8">
        <w:t xml:space="preserve">increase </w:t>
      </w:r>
      <w:r w:rsidR="00CC44D2">
        <w:t xml:space="preserve">accountability of system participants. </w:t>
      </w:r>
      <w:r w:rsidR="002633B3">
        <w:t>Regulators have a</w:t>
      </w:r>
      <w:r w:rsidR="009C190C">
        <w:t xml:space="preserve"> range of </w:t>
      </w:r>
      <w:r w:rsidR="00654B94" w:rsidRPr="00255CEB">
        <w:rPr>
          <w:b/>
        </w:rPr>
        <w:t>tools and powers</w:t>
      </w:r>
      <w:r w:rsidR="00654B94">
        <w:t xml:space="preserve"> to</w:t>
      </w:r>
      <w:r w:rsidR="009C190C">
        <w:t xml:space="preserve"> </w:t>
      </w:r>
      <w:r w:rsidR="00290151">
        <w:t xml:space="preserve">take proactive action and </w:t>
      </w:r>
      <w:r w:rsidR="009876FF" w:rsidRPr="00255CEB">
        <w:rPr>
          <w:b/>
        </w:rPr>
        <w:t>oversee</w:t>
      </w:r>
      <w:r w:rsidR="009876FF">
        <w:t xml:space="preserve"> the</w:t>
      </w:r>
      <w:r w:rsidR="00290151">
        <w:t xml:space="preserve"> safety and compliance of building work</w:t>
      </w:r>
      <w:r w:rsidR="0078215C">
        <w:t>. This includes</w:t>
      </w:r>
      <w:r w:rsidR="00290151">
        <w:t xml:space="preserve"> </w:t>
      </w:r>
      <w:r w:rsidR="009C190C">
        <w:t>investigative powers under Part 13 of the Act</w:t>
      </w:r>
      <w:r w:rsidR="00022007">
        <w:t xml:space="preserve"> and </w:t>
      </w:r>
      <w:r w:rsidR="00450EAC">
        <w:t xml:space="preserve">power under Part 8 of the Act </w:t>
      </w:r>
      <w:r w:rsidR="00AE53B1">
        <w:t>to</w:t>
      </w:r>
      <w:r w:rsidR="00FD6244">
        <w:t xml:space="preserve"> issue </w:t>
      </w:r>
      <w:r w:rsidR="00022007">
        <w:t>building rectification orders</w:t>
      </w:r>
      <w:r w:rsidR="00FD6244">
        <w:t>. The</w:t>
      </w:r>
      <w:r w:rsidR="005E10FA">
        <w:t xml:space="preserve"> </w:t>
      </w:r>
      <w:r w:rsidR="005E10FA" w:rsidRPr="00255CEB">
        <w:rPr>
          <w:b/>
        </w:rPr>
        <w:t>r</w:t>
      </w:r>
      <w:r w:rsidR="00A249D5" w:rsidRPr="00255CEB">
        <w:rPr>
          <w:b/>
        </w:rPr>
        <w:t>egistration and lice</w:t>
      </w:r>
      <w:r w:rsidR="001C37E3" w:rsidRPr="00255CEB">
        <w:rPr>
          <w:b/>
        </w:rPr>
        <w:t>n</w:t>
      </w:r>
      <w:r w:rsidR="00EC6274" w:rsidRPr="00255CEB">
        <w:rPr>
          <w:b/>
        </w:rPr>
        <w:t>sing</w:t>
      </w:r>
      <w:r w:rsidR="00D20A9D" w:rsidRPr="00255CEB">
        <w:rPr>
          <w:b/>
        </w:rPr>
        <w:t xml:space="preserve"> schemes</w:t>
      </w:r>
      <w:r w:rsidR="00D20A9D">
        <w:t xml:space="preserve"> </w:t>
      </w:r>
      <w:r w:rsidR="001F4A48">
        <w:t xml:space="preserve">under Part 11 of the Act </w:t>
      </w:r>
      <w:r w:rsidR="00D20A9D">
        <w:t>ensure</w:t>
      </w:r>
      <w:r w:rsidR="005E10FA">
        <w:t xml:space="preserve"> work is undertaken by people with </w:t>
      </w:r>
      <w:r w:rsidR="000F34CF">
        <w:t xml:space="preserve">the </w:t>
      </w:r>
      <w:r w:rsidR="005E10FA">
        <w:t>necessary skills</w:t>
      </w:r>
      <w:r w:rsidR="00E50FFA">
        <w:t xml:space="preserve">. </w:t>
      </w:r>
      <w:r w:rsidR="00E50FFA" w:rsidRPr="009408E3">
        <w:t xml:space="preserve">Disciplinary action is available to regulators (both the </w:t>
      </w:r>
      <w:r w:rsidR="00416E2E">
        <w:t>Victorian Building Authority (</w:t>
      </w:r>
      <w:r w:rsidR="00E50FFA" w:rsidRPr="009408E3">
        <w:t>VBA</w:t>
      </w:r>
      <w:r w:rsidR="00416E2E">
        <w:t>)</w:t>
      </w:r>
      <w:r w:rsidR="00E50FFA" w:rsidRPr="009408E3">
        <w:t xml:space="preserve"> and </w:t>
      </w:r>
      <w:r w:rsidR="00E50FFA">
        <w:t>Architects Registration Board of Victoria</w:t>
      </w:r>
      <w:r w:rsidR="00E50FFA" w:rsidRPr="009408E3">
        <w:t xml:space="preserve"> </w:t>
      </w:r>
      <w:r w:rsidR="00E50FFA">
        <w:t>(</w:t>
      </w:r>
      <w:r w:rsidR="00E50FFA" w:rsidRPr="009408E3">
        <w:t>ARBV</w:t>
      </w:r>
      <w:r w:rsidR="00E50FFA">
        <w:t>)</w:t>
      </w:r>
      <w:r w:rsidR="00E50FFA" w:rsidRPr="009408E3">
        <w:t>) where conduct raises significant concerns about competency, professionalism and/or compliance with legislative requirements</w:t>
      </w:r>
      <w:r w:rsidR="00E50FFA">
        <w:t xml:space="preserve">. </w:t>
      </w:r>
    </w:p>
    <w:p w14:paraId="2CDF674C" w14:textId="2176AD92" w:rsidR="00844F8C" w:rsidRDefault="00541DB0" w:rsidP="00613BD1">
      <w:r>
        <w:t>Lastly,</w:t>
      </w:r>
      <w:r w:rsidR="00A66B61">
        <w:t xml:space="preserve"> </w:t>
      </w:r>
      <w:r w:rsidR="00A66B61" w:rsidRPr="008514C4">
        <w:rPr>
          <w:b/>
        </w:rPr>
        <w:t>insurance arrangements</w:t>
      </w:r>
      <w:r w:rsidR="00A66B61">
        <w:t xml:space="preserve"> help to manage and mitigate risks faced by practitioners</w:t>
      </w:r>
      <w:r w:rsidR="00B55E7C">
        <w:t xml:space="preserve"> and consumers and enable rectification of defective building work.</w:t>
      </w:r>
      <w:r w:rsidR="004A7E78">
        <w:t xml:space="preserve"> </w:t>
      </w:r>
      <w:r w:rsidR="004A7E78" w:rsidRPr="004968F7">
        <w:t>The</w:t>
      </w:r>
      <w:r w:rsidR="004968F7" w:rsidRPr="008514C4">
        <w:t xml:space="preserve">re </w:t>
      </w:r>
      <w:r w:rsidR="00EE72A0">
        <w:t>is</w:t>
      </w:r>
      <w:r w:rsidR="004968F7" w:rsidRPr="008514C4">
        <w:t xml:space="preserve"> a range of mandatory and optional building insurance products available in the Victorian market. </w:t>
      </w:r>
      <w:r w:rsidR="004A7E78" w:rsidRPr="00D8635A">
        <w:t xml:space="preserve">These are described further at </w:t>
      </w:r>
      <w:r w:rsidR="00743C46">
        <w:t>c</w:t>
      </w:r>
      <w:r w:rsidR="00456C64" w:rsidRPr="00D8635A">
        <w:t xml:space="preserve">hapter </w:t>
      </w:r>
      <w:r w:rsidR="00456C64" w:rsidRPr="00D8635A">
        <w:fldChar w:fldCharType="begin"/>
      </w:r>
      <w:r w:rsidR="00456C64" w:rsidRPr="00D8635A">
        <w:instrText xml:space="preserve"> REF _Ref131167047 \r \h </w:instrText>
      </w:r>
      <w:r w:rsidR="00D8635A">
        <w:instrText xml:space="preserve"> \* MERGEFORMAT </w:instrText>
      </w:r>
      <w:r w:rsidR="00456C64" w:rsidRPr="00D8635A">
        <w:fldChar w:fldCharType="separate"/>
      </w:r>
      <w:r w:rsidR="00E15D2D">
        <w:t>6.1</w:t>
      </w:r>
      <w:r w:rsidR="00456C64" w:rsidRPr="00D8635A">
        <w:fldChar w:fldCharType="end"/>
      </w:r>
      <w:r w:rsidR="004A7E78" w:rsidRPr="00D8635A">
        <w:t>.</w:t>
      </w:r>
    </w:p>
    <w:p w14:paraId="23BA9C77" w14:textId="47CB6EC8" w:rsidR="002A2868" w:rsidRDefault="0080701C" w:rsidP="00E631E9">
      <w:pPr>
        <w:pStyle w:val="Heading2"/>
      </w:pPr>
      <w:bookmarkStart w:id="60" w:name="_Toc131428695"/>
      <w:bookmarkStart w:id="61" w:name="_Ref134177468"/>
      <w:bookmarkStart w:id="62" w:name="_Toc134352853"/>
      <w:bookmarkStart w:id="63" w:name="_Toc134356886"/>
      <w:r>
        <w:t>Key issues</w:t>
      </w:r>
      <w:bookmarkEnd w:id="60"/>
      <w:bookmarkEnd w:id="61"/>
      <w:bookmarkEnd w:id="62"/>
      <w:bookmarkEnd w:id="63"/>
      <w:r>
        <w:t xml:space="preserve"> </w:t>
      </w:r>
    </w:p>
    <w:p w14:paraId="63C969AF" w14:textId="2DE67FC8" w:rsidR="00EC0A1F" w:rsidRDefault="00EC0A1F" w:rsidP="00EC0A1F">
      <w:r>
        <w:t xml:space="preserve">The accountabilities of different parties involved in a building project are determined both by private contracts and legislative requirements. Differences in power between building </w:t>
      </w:r>
      <w:r w:rsidR="0003299A">
        <w:t xml:space="preserve">regulatory </w:t>
      </w:r>
      <w:r>
        <w:t>system participants can lead to unfair allocations of risk and responsibility. In this context, it is important that legislation provides a framework for fair and reasonable allocation of accountabilities.</w:t>
      </w:r>
    </w:p>
    <w:p w14:paraId="7419CC65" w14:textId="6A4CBAB8" w:rsidR="00E631E9" w:rsidRDefault="00003727" w:rsidP="00E631E9">
      <w:r w:rsidRPr="007C520F">
        <w:t>The Panel has identified two key issues in relation to accountability</w:t>
      </w:r>
      <w:r w:rsidR="00885AAA">
        <w:t xml:space="preserve"> which the </w:t>
      </w:r>
      <w:r w:rsidR="001B0268">
        <w:t xml:space="preserve">proposed </w:t>
      </w:r>
      <w:r w:rsidR="00885AAA">
        <w:t>recommendations aim to address</w:t>
      </w:r>
      <w:r w:rsidR="00885AAA" w:rsidDel="00AA4B0B">
        <w:t>:</w:t>
      </w:r>
    </w:p>
    <w:p w14:paraId="35C5A3EC" w14:textId="74B6EB38" w:rsidR="002F78E3" w:rsidRDefault="002F78E3" w:rsidP="00EB723B">
      <w:pPr>
        <w:pStyle w:val="Listnumbered"/>
        <w:numPr>
          <w:ilvl w:val="0"/>
          <w:numId w:val="5"/>
        </w:numPr>
        <w:rPr>
          <w:lang w:eastAsia="en-AU"/>
        </w:rPr>
      </w:pPr>
      <w:r w:rsidRPr="002F78E3">
        <w:rPr>
          <w:lang w:eastAsia="en-AU"/>
        </w:rPr>
        <w:t>Current regulatory controls do not apply to all participants in the building system – especially ‘upstream’ participants – leading to gaps in accountability and responsibility.</w:t>
      </w:r>
    </w:p>
    <w:p w14:paraId="32DE29CC" w14:textId="12DCA57F" w:rsidR="00885AAA" w:rsidRPr="00885AAA" w:rsidRDefault="00885AAA" w:rsidP="00EB723B">
      <w:pPr>
        <w:pStyle w:val="Listnumbered"/>
        <w:numPr>
          <w:ilvl w:val="0"/>
          <w:numId w:val="5"/>
        </w:numPr>
        <w:rPr>
          <w:lang w:eastAsia="en-AU"/>
        </w:rPr>
      </w:pPr>
      <w:r>
        <w:rPr>
          <w:lang w:eastAsia="en-AU"/>
        </w:rPr>
        <w:t xml:space="preserve">Current pathways for </w:t>
      </w:r>
      <w:r w:rsidR="00F309D8">
        <w:rPr>
          <w:lang w:eastAsia="en-AU"/>
        </w:rPr>
        <w:t>consumers to obtain recourse in relation to defective building work are limited.</w:t>
      </w:r>
    </w:p>
    <w:p w14:paraId="395F175E" w14:textId="641F7C97" w:rsidR="00EE4F2B" w:rsidRDefault="00EE4F2B" w:rsidP="00EE4F2B">
      <w:pPr>
        <w:pStyle w:val="Heading4"/>
      </w:pPr>
      <w:bookmarkStart w:id="64" w:name="_Hlk134199061"/>
      <w:r>
        <w:t>Current regulatory controls do not apply to all participants in the building system – especially ‘upstream’ participants – leading to gaps in accountability and responsibility</w:t>
      </w:r>
    </w:p>
    <w:bookmarkEnd w:id="64"/>
    <w:p w14:paraId="1D426B9E" w14:textId="39BF236C" w:rsidR="00EE4F2B" w:rsidRDefault="008372B0" w:rsidP="00EE4F2B">
      <w:r>
        <w:rPr>
          <w:lang w:eastAsia="en-AU"/>
        </w:rPr>
        <w:t xml:space="preserve">Many participants in the building system influence the safety and quality of </w:t>
      </w:r>
      <w:r w:rsidR="00F1179A">
        <w:rPr>
          <w:lang w:eastAsia="en-AU"/>
        </w:rPr>
        <w:t>buildings.</w:t>
      </w:r>
      <w:r w:rsidR="00386339">
        <w:rPr>
          <w:lang w:eastAsia="en-AU"/>
        </w:rPr>
        <w:t xml:space="preserve"> </w:t>
      </w:r>
      <w:r w:rsidR="00D36049" w:rsidRPr="003B2BE4">
        <w:t>These include practitioners who work on building sites during construction, building surveyors who issue permits and conduct inspections, and participants responsible for maintenance and upkeep of buildings. There are also participants that are ‘upstream’ in the supply chain</w:t>
      </w:r>
      <w:r w:rsidR="000C798C">
        <w:t>,</w:t>
      </w:r>
      <w:r w:rsidR="00D36049" w:rsidRPr="003B2BE4">
        <w:t xml:space="preserve"> such as product manufacturers and suppliers, financiers, designers, and property developers.</w:t>
      </w:r>
      <w:r w:rsidR="00386339" w:rsidRPr="00386339">
        <w:rPr>
          <w:rStyle w:val="EndnoteReference"/>
        </w:rPr>
        <w:endnoteReference w:id="14"/>
      </w:r>
      <w:r w:rsidR="00D36049" w:rsidRPr="00386339">
        <w:t xml:space="preserve"> </w:t>
      </w:r>
    </w:p>
    <w:p w14:paraId="3B954737" w14:textId="40A1CD27" w:rsidR="00D36049" w:rsidRDefault="001B7290" w:rsidP="00EE4F2B">
      <w:r>
        <w:rPr>
          <w:b/>
          <w:bCs/>
        </w:rPr>
        <w:t xml:space="preserve">Upstream </w:t>
      </w:r>
      <w:r w:rsidR="00D36049" w:rsidRPr="003F1BAD">
        <w:rPr>
          <w:b/>
          <w:bCs/>
        </w:rPr>
        <w:t>participants</w:t>
      </w:r>
      <w:r w:rsidR="00E153BB" w:rsidRPr="003F1BAD">
        <w:rPr>
          <w:b/>
          <w:bCs/>
        </w:rPr>
        <w:t xml:space="preserve"> are not specifically regulated under the Building Act and Regulations</w:t>
      </w:r>
      <w:r w:rsidR="00E153BB" w:rsidRPr="000C798C">
        <w:t>,</w:t>
      </w:r>
      <w:r w:rsidR="00E153BB">
        <w:t xml:space="preserve"> aside from general provisions that apply to any person or registered corporation undertaking building work</w:t>
      </w:r>
      <w:r w:rsidR="006D24A1">
        <w:t xml:space="preserve"> and building orders</w:t>
      </w:r>
      <w:r w:rsidR="00D92099">
        <w:t xml:space="preserve"> </w:t>
      </w:r>
      <w:r w:rsidR="006D24A1">
        <w:t>as</w:t>
      </w:r>
      <w:r w:rsidR="00D92099">
        <w:t xml:space="preserve"> an</w:t>
      </w:r>
      <w:r w:rsidR="006D24A1">
        <w:t xml:space="preserve"> owner</w:t>
      </w:r>
      <w:r w:rsidR="00E153BB">
        <w:t>.</w:t>
      </w:r>
      <w:r w:rsidR="00E153BB">
        <w:rPr>
          <w:rStyle w:val="EndnoteReference"/>
        </w:rPr>
        <w:endnoteReference w:id="15"/>
      </w:r>
    </w:p>
    <w:p w14:paraId="44CC9466" w14:textId="0D0BFCC4" w:rsidR="00D52FCD" w:rsidRPr="004061C9" w:rsidRDefault="002D5EA1" w:rsidP="00EE4F2B">
      <w:r>
        <w:t xml:space="preserve">While these participants </w:t>
      </w:r>
      <w:r w:rsidRPr="003B2BE4">
        <w:t xml:space="preserve">are not typically directly involved on building sites, their decisions can </w:t>
      </w:r>
      <w:r w:rsidR="00D92099" w:rsidRPr="003B2BE4">
        <w:t>influence</w:t>
      </w:r>
      <w:r w:rsidRPr="00516936">
        <w:t xml:space="preserve"> building outcomes, including safety and quality. For example, p</w:t>
      </w:r>
      <w:r w:rsidR="0066081F" w:rsidRPr="00516936">
        <w:t xml:space="preserve">roperty developers provide the capital to finance building projects and </w:t>
      </w:r>
      <w:r w:rsidR="00D52FCD">
        <w:t xml:space="preserve">can </w:t>
      </w:r>
      <w:r w:rsidR="00795850">
        <w:t xml:space="preserve">have control over </w:t>
      </w:r>
      <w:r w:rsidR="00D52FCD">
        <w:t xml:space="preserve">decisions relating to design, costs and contractual arrangements that influence the overall outcomes of the building project. </w:t>
      </w:r>
    </w:p>
    <w:p w14:paraId="78C9275A" w14:textId="05AEF352" w:rsidR="00B043FC" w:rsidRDefault="00154E20" w:rsidP="00EE4F2B">
      <w:r>
        <w:lastRenderedPageBreak/>
        <w:t>Additionally</w:t>
      </w:r>
      <w:r w:rsidR="00B043FC">
        <w:t xml:space="preserve">, </w:t>
      </w:r>
      <w:r w:rsidR="006502A5">
        <w:t xml:space="preserve">developers and </w:t>
      </w:r>
      <w:r w:rsidR="004C1D6D">
        <w:t>builders</w:t>
      </w:r>
      <w:r w:rsidR="006502A5">
        <w:t xml:space="preserve"> may establish Special Purpose Vehicles (SPVs) for a particular building project to attract investor</w:t>
      </w:r>
      <w:r w:rsidR="00A4339F">
        <w:t>s and to separate project finances from the parent company</w:t>
      </w:r>
      <w:r>
        <w:t>.</w:t>
      </w:r>
      <w:r w:rsidR="00AE28A2">
        <w:t xml:space="preserve"> SPV</w:t>
      </w:r>
      <w:r w:rsidR="008C3B7F">
        <w:t xml:space="preserve">s are </w:t>
      </w:r>
      <w:r w:rsidR="00A4339F">
        <w:t xml:space="preserve">then liquidated when the project is </w:t>
      </w:r>
      <w:r w:rsidR="000A64AD">
        <w:t>completed</w:t>
      </w:r>
      <w:r w:rsidR="00193D18">
        <w:t>.</w:t>
      </w:r>
      <w:r w:rsidR="000A64AD">
        <w:rPr>
          <w:rStyle w:val="EndnoteReference"/>
        </w:rPr>
        <w:endnoteReference w:id="16"/>
      </w:r>
      <w:r w:rsidR="00193D18">
        <w:t xml:space="preserve"> </w:t>
      </w:r>
      <w:r w:rsidR="000A64AD">
        <w:t>This can leave consumers with no access to recourse if the building is non-compliant</w:t>
      </w:r>
      <w:r w:rsidR="00795850">
        <w:t xml:space="preserve"> after it is built and the SPV </w:t>
      </w:r>
      <w:r w:rsidR="003C5981">
        <w:t>no longer exists.</w:t>
      </w:r>
    </w:p>
    <w:p w14:paraId="7B83A2EA" w14:textId="4676B09F" w:rsidR="000A64AD" w:rsidRDefault="002D5EA1" w:rsidP="00EE4F2B">
      <w:r w:rsidRPr="003B2BE4">
        <w:t>To deliver an effective regulatory system, it is necessary</w:t>
      </w:r>
      <w:r>
        <w:t xml:space="preserve"> that all participants, including </w:t>
      </w:r>
      <w:r w:rsidRPr="003B2BE4">
        <w:t>upstream participants</w:t>
      </w:r>
      <w:r w:rsidR="00D66C69">
        <w:t xml:space="preserve">, </w:t>
      </w:r>
      <w:r w:rsidRPr="003B2BE4">
        <w:t>are directly accountable for their activities and decisions</w:t>
      </w:r>
      <w:r>
        <w:t>.</w:t>
      </w:r>
      <w:r w:rsidR="00BA1958">
        <w:t xml:space="preserve"> </w:t>
      </w:r>
    </w:p>
    <w:p w14:paraId="786E210F" w14:textId="1E8319D4" w:rsidR="007C14F5" w:rsidRDefault="00294920" w:rsidP="00FC49D7">
      <w:pPr>
        <w:pStyle w:val="Heading4"/>
      </w:pPr>
      <w:r>
        <w:t>Current pathways for consumers to obtain recourse in relation to defective building work are limited</w:t>
      </w:r>
    </w:p>
    <w:p w14:paraId="0BAF7B5F" w14:textId="38AC1A61" w:rsidR="005E4F66" w:rsidRDefault="005E4F66" w:rsidP="0010045C">
      <w:r w:rsidRPr="008C2E4A">
        <w:t xml:space="preserve">The existing </w:t>
      </w:r>
      <w:r w:rsidR="00665E20" w:rsidRPr="008C2E4A">
        <w:t xml:space="preserve">protections </w:t>
      </w:r>
      <w:r w:rsidRPr="008C2E4A">
        <w:t>under the common law duty of care</w:t>
      </w:r>
      <w:r w:rsidR="008E476B" w:rsidRPr="008C2E4A">
        <w:t xml:space="preserve">, </w:t>
      </w:r>
      <w:r w:rsidRPr="008C2E4A">
        <w:t xml:space="preserve">the </w:t>
      </w:r>
      <w:r w:rsidR="00F43340" w:rsidRPr="008C2E4A">
        <w:t xml:space="preserve">consumer guarantees and implied warranties provide limited avenues for consumers to </w:t>
      </w:r>
      <w:r w:rsidR="00665E20" w:rsidRPr="008C2E4A">
        <w:t>hold the relevant participants to account for non-compliant building work.</w:t>
      </w:r>
    </w:p>
    <w:p w14:paraId="16058F54" w14:textId="09C45D41" w:rsidR="009F730C" w:rsidRDefault="009B0736" w:rsidP="009F730C">
      <w:r>
        <w:t>B</w:t>
      </w:r>
      <w:r w:rsidR="0010045C">
        <w:t>oth builders and building surveyors</w:t>
      </w:r>
      <w:r>
        <w:t xml:space="preserve"> have a duty to prevent pure economic loss.</w:t>
      </w:r>
      <w:r w:rsidR="00A32C08">
        <w:t xml:space="preserve"> </w:t>
      </w:r>
      <w:r w:rsidR="009F730C">
        <w:t xml:space="preserve">However, </w:t>
      </w:r>
      <w:r w:rsidR="009F730C" w:rsidRPr="001733CA">
        <w:t xml:space="preserve">building owners </w:t>
      </w:r>
      <w:r w:rsidR="00BD27DD">
        <w:t>can only</w:t>
      </w:r>
      <w:r w:rsidR="009F730C" w:rsidRPr="001733CA">
        <w:t xml:space="preserve"> establish a duty of care to prevent economic loss from building work if an owner is able to show that a standard of vulnerability, responsibility and reliance existed in the relationship between the owner and builder</w:t>
      </w:r>
      <w:r w:rsidR="009F730C">
        <w:t>. It will generally be difficult and costly for building owners, particularly Owners Corporations (OCs)</w:t>
      </w:r>
      <w:r w:rsidR="00694B58">
        <w:t>,</w:t>
      </w:r>
      <w:r w:rsidR="009F730C">
        <w:t xml:space="preserve"> to satisfy the Court that they were vulnerable and owed a duty of care.</w:t>
      </w:r>
      <w:r w:rsidR="009F730C">
        <w:rPr>
          <w:rStyle w:val="EndnoteReference"/>
        </w:rPr>
        <w:endnoteReference w:id="17"/>
      </w:r>
      <w:r w:rsidR="009F730C">
        <w:t xml:space="preserve"> </w:t>
      </w:r>
    </w:p>
    <w:p w14:paraId="727D1586" w14:textId="44953250" w:rsidR="0010045C" w:rsidRDefault="009F730C" w:rsidP="0010045C">
      <w:r w:rsidRPr="009F730C">
        <w:t xml:space="preserve">Further, </w:t>
      </w:r>
      <w:r w:rsidR="0010045C" w:rsidRPr="009F730C">
        <w:rPr>
          <w:b/>
          <w:bCs/>
        </w:rPr>
        <w:t xml:space="preserve">the common law duty of care under negligence provides </w:t>
      </w:r>
      <w:r w:rsidR="005E4F66" w:rsidRPr="009F730C">
        <w:rPr>
          <w:b/>
          <w:bCs/>
        </w:rPr>
        <w:t>limited</w:t>
      </w:r>
      <w:r w:rsidR="0010045C" w:rsidRPr="009F730C">
        <w:rPr>
          <w:b/>
          <w:bCs/>
        </w:rPr>
        <w:t xml:space="preserve"> recourse for consumers</w:t>
      </w:r>
      <w:r w:rsidR="0010045C" w:rsidRPr="009F730C">
        <w:t xml:space="preserve"> when economic loss is </w:t>
      </w:r>
      <w:r w:rsidR="005E4F66" w:rsidRPr="009F730C">
        <w:t>caused by the negligence of a person who does not have a direct duty of care to them (i.e., developers, engineers and other building participants)</w:t>
      </w:r>
      <w:r w:rsidR="0010045C" w:rsidRPr="009F730C">
        <w:t xml:space="preserve">. </w:t>
      </w:r>
    </w:p>
    <w:p w14:paraId="039D4987" w14:textId="77777777" w:rsidR="008B2E27" w:rsidRDefault="00801324" w:rsidP="00801324">
      <w:pPr>
        <w:sectPr w:rsidR="008B2E27" w:rsidSect="00B272D7">
          <w:footerReference w:type="default" r:id="rId42"/>
          <w:endnotePr>
            <w:numFmt w:val="decimal"/>
          </w:endnotePr>
          <w:type w:val="continuous"/>
          <w:pgSz w:w="11907" w:h="16839" w:code="9"/>
          <w:pgMar w:top="1418" w:right="1418" w:bottom="1701" w:left="1559" w:header="720" w:footer="720" w:gutter="0"/>
          <w:cols w:space="720"/>
          <w:docGrid w:linePitch="360"/>
        </w:sectPr>
      </w:pPr>
      <w:r w:rsidRPr="008E68F5">
        <w:rPr>
          <w:b/>
          <w:bCs/>
        </w:rPr>
        <w:t>Other accountabilities, such as implied warranties and consumer guarantees</w:t>
      </w:r>
      <w:r>
        <w:t xml:space="preserve">, while </w:t>
      </w:r>
      <w:r w:rsidRPr="008E68F5">
        <w:t>providing important pathways for consumers to obtain recourse,</w:t>
      </w:r>
      <w:r w:rsidR="00D11E82">
        <w:rPr>
          <w:b/>
        </w:rPr>
        <w:t xml:space="preserve"> </w:t>
      </w:r>
      <w:r w:rsidR="008E68F5">
        <w:rPr>
          <w:b/>
        </w:rPr>
        <w:t>are narrow in their application and can be complex to enforce</w:t>
      </w:r>
      <w:r>
        <w:rPr>
          <w:b/>
        </w:rPr>
        <w:t xml:space="preserve">. </w:t>
      </w:r>
      <w:r w:rsidR="008A37F0" w:rsidRPr="005B232E">
        <w:t xml:space="preserve">For instance, implied warranties in the DBCA only apply to the building practitioner </w:t>
      </w:r>
      <w:r w:rsidR="008C400C" w:rsidRPr="005B232E">
        <w:t>with whom</w:t>
      </w:r>
      <w:r w:rsidR="008C400C">
        <w:t xml:space="preserve"> the owner has a domestic building contract but not to other participants involved in building work. </w:t>
      </w:r>
      <w:r w:rsidR="0076581D">
        <w:t>While t</w:t>
      </w:r>
      <w:r w:rsidR="005432F5">
        <w:t>he</w:t>
      </w:r>
      <w:r w:rsidR="00CD169C" w:rsidDel="005432F5">
        <w:t xml:space="preserve"> </w:t>
      </w:r>
      <w:r w:rsidR="00CD169C">
        <w:t>ACL guarantees apply more broadly</w:t>
      </w:r>
      <w:r w:rsidR="002006BD">
        <w:t xml:space="preserve"> </w:t>
      </w:r>
      <w:r w:rsidR="00BD532B">
        <w:t>–</w:t>
      </w:r>
      <w:r w:rsidR="002006BD">
        <w:t xml:space="preserve"> </w:t>
      </w:r>
      <w:r w:rsidR="002006BD" w:rsidRPr="00F93013">
        <w:t>such</w:t>
      </w:r>
      <w:r w:rsidR="00BD532B">
        <w:t xml:space="preserve"> </w:t>
      </w:r>
      <w:r w:rsidR="002006BD" w:rsidRPr="00F93013">
        <w:t>as for disputes relating to a single trade contractor</w:t>
      </w:r>
      <w:r w:rsidR="002006BD">
        <w:t xml:space="preserve"> </w:t>
      </w:r>
      <w:r w:rsidR="00BD532B">
        <w:t>–</w:t>
      </w:r>
      <w:r w:rsidR="0003400A">
        <w:t xml:space="preserve"> </w:t>
      </w:r>
      <w:r w:rsidR="004C0930" w:rsidRPr="00F93013">
        <w:t xml:space="preserve">consumers rarely </w:t>
      </w:r>
      <w:r w:rsidR="007864D6">
        <w:t xml:space="preserve">use </w:t>
      </w:r>
      <w:r w:rsidR="00F245D4">
        <w:t xml:space="preserve">this pathway </w:t>
      </w:r>
      <w:r w:rsidR="00BB4394">
        <w:t>to enforce</w:t>
      </w:r>
      <w:r w:rsidR="004C0930" w:rsidRPr="00F93013">
        <w:t xml:space="preserve"> consumer guarantees</w:t>
      </w:r>
      <w:r w:rsidR="00F245D4">
        <w:t xml:space="preserve"> due to cost issues</w:t>
      </w:r>
      <w:r w:rsidR="004C0930">
        <w:t>.</w:t>
      </w:r>
      <w:r w:rsidR="004C0930">
        <w:rPr>
          <w:rStyle w:val="EndnoteReference"/>
        </w:rPr>
        <w:endnoteReference w:id="18"/>
      </w:r>
    </w:p>
    <w:p w14:paraId="3DCC3E83" w14:textId="6382614F" w:rsidR="000703D3" w:rsidRPr="000703D3" w:rsidRDefault="000703D3" w:rsidP="00801324">
      <w:pPr>
        <w:rPr>
          <w:lang w:eastAsia="en-AU"/>
        </w:rPr>
      </w:pPr>
    </w:p>
    <w:p w14:paraId="353DC1DE" w14:textId="6BCC0815" w:rsidR="001F0D06" w:rsidRDefault="001F0D06">
      <w:pPr>
        <w:spacing w:after="160" w:line="259" w:lineRule="auto"/>
        <w:rPr>
          <w:rFonts w:eastAsia="Times New Roman" w:cs="Times New Roman"/>
          <w:b/>
          <w:color w:val="1F2A44" w:themeColor="text2"/>
          <w:sz w:val="30"/>
          <w:szCs w:val="19"/>
          <w:lang w:eastAsia="en-AU"/>
        </w:rPr>
      </w:pPr>
      <w:r>
        <w:br w:type="page"/>
      </w:r>
    </w:p>
    <w:p w14:paraId="0A2192B9" w14:textId="13182F25" w:rsidR="00E85123" w:rsidRDefault="00442662" w:rsidP="00E85123">
      <w:pPr>
        <w:pStyle w:val="Heading2"/>
      </w:pPr>
      <w:bookmarkStart w:id="65" w:name="_Ref130377239"/>
      <w:bookmarkStart w:id="66" w:name="_Toc131428696"/>
      <w:bookmarkStart w:id="67" w:name="_Toc134352854"/>
      <w:bookmarkStart w:id="68" w:name="_Toc134356887"/>
      <w:r>
        <w:lastRenderedPageBreak/>
        <w:t>Proposed r</w:t>
      </w:r>
      <w:r w:rsidR="00E85123">
        <w:t>ecommendations</w:t>
      </w:r>
      <w:bookmarkEnd w:id="65"/>
      <w:r w:rsidR="00E85123">
        <w:t xml:space="preserve"> </w:t>
      </w:r>
      <w:r w:rsidR="00E6270A">
        <w:t xml:space="preserve">to </w:t>
      </w:r>
      <w:r w:rsidR="00CE4394">
        <w:t>extend accountabilities to developers and other responsible parties</w:t>
      </w:r>
      <w:bookmarkEnd w:id="66"/>
      <w:bookmarkEnd w:id="67"/>
      <w:bookmarkEnd w:id="68"/>
      <w:r w:rsidR="00CE4394">
        <w:t xml:space="preserve"> </w:t>
      </w:r>
    </w:p>
    <w:p w14:paraId="40CD7D23" w14:textId="070103C3" w:rsidR="006D4C11" w:rsidRPr="006D4C11" w:rsidRDefault="006D4C11" w:rsidP="006D4C11">
      <w:pPr>
        <w:rPr>
          <w:lang w:eastAsia="en-AU"/>
        </w:rPr>
      </w:pPr>
      <w:r>
        <w:rPr>
          <w:lang w:eastAsia="en-AU"/>
        </w:rPr>
        <w:t xml:space="preserve">The Panel </w:t>
      </w:r>
      <w:r w:rsidR="0020302A">
        <w:rPr>
          <w:lang w:eastAsia="en-AU"/>
        </w:rPr>
        <w:t xml:space="preserve">proposes </w:t>
      </w:r>
      <w:r>
        <w:rPr>
          <w:lang w:eastAsia="en-AU"/>
        </w:rPr>
        <w:t>three recommendations to</w:t>
      </w:r>
      <w:r w:rsidR="002E1C48">
        <w:rPr>
          <w:lang w:eastAsia="en-AU"/>
        </w:rPr>
        <w:t xml:space="preserve"> </w:t>
      </w:r>
      <w:r w:rsidR="00AD69A6">
        <w:t xml:space="preserve">ensure that </w:t>
      </w:r>
      <w:r w:rsidR="00393D81">
        <w:t xml:space="preserve">responsibilities </w:t>
      </w:r>
      <w:r w:rsidR="00AD69A6">
        <w:t>for design, construction and maintenance work are clear and fair</w:t>
      </w:r>
      <w:r w:rsidR="00CE4394">
        <w:t xml:space="preserve"> for all practitioners</w:t>
      </w:r>
      <w:r w:rsidR="00375326">
        <w:t>.</w:t>
      </w:r>
      <w:r w:rsidR="00AD69A6">
        <w:t xml:space="preserve"> </w:t>
      </w:r>
    </w:p>
    <w:p w14:paraId="015F09D7" w14:textId="3737F1BB" w:rsidR="00D17529" w:rsidRDefault="00E85123" w:rsidP="00E85123">
      <w:pPr>
        <w:pStyle w:val="Heading3"/>
      </w:pPr>
      <w:bookmarkStart w:id="69" w:name="_Toc131428697"/>
      <w:bookmarkStart w:id="70" w:name="_Toc134352855"/>
      <w:bookmarkStart w:id="71" w:name="_Toc134356782"/>
      <w:bookmarkStart w:id="72" w:name="_Toc134356888"/>
      <w:r w:rsidRPr="00E72C3A">
        <w:t xml:space="preserve">Recommendation 1 | </w:t>
      </w:r>
      <w:r w:rsidR="00F42C8D" w:rsidRPr="00E72C3A">
        <w:t>D</w:t>
      </w:r>
      <w:r w:rsidR="00CD0C28" w:rsidRPr="00E72C3A">
        <w:t>efine developer</w:t>
      </w:r>
      <w:r w:rsidR="0004739A" w:rsidRPr="00E72C3A">
        <w:t xml:space="preserve"> in the Building Act, the DBCA and in other relevant legislation</w:t>
      </w:r>
      <w:r w:rsidR="0004739A">
        <w:t xml:space="preserve"> </w:t>
      </w:r>
      <w:r w:rsidR="00D17529">
        <w:t xml:space="preserve"> </w:t>
      </w:r>
      <w:bookmarkEnd w:id="69"/>
      <w:bookmarkEnd w:id="70"/>
      <w:bookmarkEnd w:id="71"/>
      <w:bookmarkEnd w:id="72"/>
    </w:p>
    <w:p w14:paraId="00A24663" w14:textId="08C30137" w:rsidR="00D17529" w:rsidRDefault="00D17529" w:rsidP="00D17529">
      <w:pPr>
        <w:pStyle w:val="Heading4"/>
      </w:pPr>
      <w:r>
        <w:t>Description</w:t>
      </w:r>
    </w:p>
    <w:p w14:paraId="24CF42BC" w14:textId="5E350115" w:rsidR="00E750D0" w:rsidRDefault="00CC75A2" w:rsidP="00CC75A2">
      <w:pPr>
        <w:rPr>
          <w:lang w:eastAsia="en-AU"/>
        </w:rPr>
      </w:pPr>
      <w:r>
        <w:rPr>
          <w:lang w:eastAsia="en-AU"/>
        </w:rPr>
        <w:t xml:space="preserve">The </w:t>
      </w:r>
      <w:r w:rsidR="003676CE">
        <w:rPr>
          <w:lang w:eastAsia="en-AU"/>
        </w:rPr>
        <w:t xml:space="preserve">Panel recommends </w:t>
      </w:r>
      <w:r w:rsidR="003611F9">
        <w:rPr>
          <w:lang w:eastAsia="en-AU"/>
        </w:rPr>
        <w:t>that</w:t>
      </w:r>
      <w:r w:rsidR="003676CE">
        <w:rPr>
          <w:lang w:eastAsia="en-AU"/>
        </w:rPr>
        <w:t xml:space="preserve"> a </w:t>
      </w:r>
      <w:r>
        <w:rPr>
          <w:lang w:eastAsia="en-AU"/>
        </w:rPr>
        <w:t xml:space="preserve">definition of </w:t>
      </w:r>
      <w:r w:rsidR="003676CE">
        <w:rPr>
          <w:lang w:eastAsia="en-AU"/>
        </w:rPr>
        <w:t xml:space="preserve">a </w:t>
      </w:r>
      <w:r>
        <w:rPr>
          <w:lang w:eastAsia="en-AU"/>
        </w:rPr>
        <w:t xml:space="preserve">developer </w:t>
      </w:r>
      <w:r w:rsidR="00BF2E91">
        <w:rPr>
          <w:lang w:eastAsia="en-AU"/>
        </w:rPr>
        <w:t xml:space="preserve">is added </w:t>
      </w:r>
      <w:r w:rsidR="003676CE">
        <w:rPr>
          <w:lang w:eastAsia="en-AU"/>
        </w:rPr>
        <w:t>into the Building Act and DBC</w:t>
      </w:r>
      <w:r w:rsidR="00EC5409">
        <w:rPr>
          <w:lang w:eastAsia="en-AU"/>
        </w:rPr>
        <w:t>A</w:t>
      </w:r>
      <w:r w:rsidR="001A023F">
        <w:rPr>
          <w:lang w:eastAsia="en-AU"/>
        </w:rPr>
        <w:t xml:space="preserve"> </w:t>
      </w:r>
      <w:r w:rsidR="00417AE7">
        <w:rPr>
          <w:lang w:eastAsia="en-AU"/>
        </w:rPr>
        <w:t>along with</w:t>
      </w:r>
      <w:r w:rsidR="001A023F">
        <w:rPr>
          <w:lang w:eastAsia="en-AU"/>
        </w:rPr>
        <w:t xml:space="preserve"> any other relevant </w:t>
      </w:r>
      <w:r w:rsidR="008E1E54">
        <w:rPr>
          <w:lang w:eastAsia="en-AU"/>
        </w:rPr>
        <w:t xml:space="preserve">laws. The </w:t>
      </w:r>
      <w:r w:rsidR="0038563F">
        <w:rPr>
          <w:lang w:eastAsia="en-AU"/>
        </w:rPr>
        <w:t xml:space="preserve">definition </w:t>
      </w:r>
      <w:r w:rsidR="007249C4">
        <w:rPr>
          <w:lang w:eastAsia="en-AU"/>
        </w:rPr>
        <w:t>intends</w:t>
      </w:r>
      <w:r w:rsidR="0038563F">
        <w:rPr>
          <w:lang w:eastAsia="en-AU"/>
        </w:rPr>
        <w:t xml:space="preserve"> to capture all developers and should include</w:t>
      </w:r>
      <w:r w:rsidR="00D977F9">
        <w:rPr>
          <w:lang w:eastAsia="en-AU"/>
        </w:rPr>
        <w:t>:</w:t>
      </w:r>
    </w:p>
    <w:p w14:paraId="76871465" w14:textId="7950F2C7" w:rsidR="005E2B56" w:rsidRDefault="00CE4394" w:rsidP="005E2B56">
      <w:pPr>
        <w:pStyle w:val="Bullet"/>
      </w:pPr>
      <w:r>
        <w:t>a</w:t>
      </w:r>
      <w:r w:rsidR="005E2B56">
        <w:t>n</w:t>
      </w:r>
      <w:r w:rsidR="00CC75A2">
        <w:t xml:space="preserve"> individual or partnership on whose </w:t>
      </w:r>
      <w:r w:rsidR="005E2B56">
        <w:t>behalf</w:t>
      </w:r>
      <w:r w:rsidR="00CC75A2">
        <w:t xml:space="preserve"> the work was done</w:t>
      </w:r>
      <w:r>
        <w:t>;</w:t>
      </w:r>
      <w:r w:rsidR="00EC5409">
        <w:t xml:space="preserve"> and </w:t>
      </w:r>
    </w:p>
    <w:p w14:paraId="13709BA9" w14:textId="6043A31D" w:rsidR="00B14A82" w:rsidRDefault="00CE4394" w:rsidP="005E2B56">
      <w:pPr>
        <w:pStyle w:val="Bullet"/>
      </w:pPr>
      <w:r>
        <w:t>t</w:t>
      </w:r>
      <w:r w:rsidR="00B14A82">
        <w:t xml:space="preserve">he </w:t>
      </w:r>
      <w:r w:rsidR="00CC75A2">
        <w:t xml:space="preserve">owner of the land (if </w:t>
      </w:r>
      <w:r w:rsidR="00500965">
        <w:t xml:space="preserve">this is </w:t>
      </w:r>
      <w:r w:rsidR="00CC75A2">
        <w:t xml:space="preserve">different to the </w:t>
      </w:r>
      <w:r w:rsidR="00500965">
        <w:t>individual or partnership</w:t>
      </w:r>
      <w:r w:rsidR="00CC75A2">
        <w:t xml:space="preserve"> on whose behalf the work was done</w:t>
      </w:r>
      <w:r w:rsidR="00500965">
        <w:t>)</w:t>
      </w:r>
      <w:r w:rsidR="00EC5409">
        <w:t>.</w:t>
      </w:r>
    </w:p>
    <w:p w14:paraId="3C12422B" w14:textId="3C51AC8C" w:rsidR="00CC75A2" w:rsidRDefault="00CC75A2" w:rsidP="00BC7378">
      <w:pPr>
        <w:pStyle w:val="Bullet"/>
        <w:numPr>
          <w:ilvl w:val="0"/>
          <w:numId w:val="0"/>
        </w:numPr>
      </w:pPr>
      <w:r>
        <w:t xml:space="preserve">Any definition of </w:t>
      </w:r>
      <w:r w:rsidR="00BC7378">
        <w:t xml:space="preserve">a </w:t>
      </w:r>
      <w:r>
        <w:t xml:space="preserve">developer </w:t>
      </w:r>
      <w:r w:rsidR="00BC7378">
        <w:t>should</w:t>
      </w:r>
      <w:r>
        <w:t xml:space="preserve"> be consistent with</w:t>
      </w:r>
      <w:r w:rsidR="00953AB2">
        <w:t xml:space="preserve"> and compatible with </w:t>
      </w:r>
      <w:r w:rsidR="00BC7378">
        <w:t>equivalent</w:t>
      </w:r>
      <w:r w:rsidR="00953AB2">
        <w:t xml:space="preserve"> </w:t>
      </w:r>
      <w:r w:rsidR="00BC7378">
        <w:t>definitions</w:t>
      </w:r>
      <w:r w:rsidR="00953AB2">
        <w:t xml:space="preserve"> in other jurisdictions.</w:t>
      </w:r>
    </w:p>
    <w:p w14:paraId="11471EB0" w14:textId="554EC525" w:rsidR="00B3352E" w:rsidRDefault="00881A1F" w:rsidP="00CC75A2">
      <w:pPr>
        <w:rPr>
          <w:lang w:eastAsia="en-AU"/>
        </w:rPr>
      </w:pPr>
      <w:r>
        <w:rPr>
          <w:lang w:eastAsia="en-AU"/>
        </w:rPr>
        <w:t>T</w:t>
      </w:r>
      <w:r w:rsidR="00B3352E">
        <w:rPr>
          <w:lang w:eastAsia="en-AU"/>
        </w:rPr>
        <w:t>h</w:t>
      </w:r>
      <w:r w:rsidR="00187BCA">
        <w:rPr>
          <w:lang w:eastAsia="en-AU"/>
        </w:rPr>
        <w:t xml:space="preserve">e introduction of </w:t>
      </w:r>
      <w:r w:rsidR="00850048">
        <w:rPr>
          <w:lang w:eastAsia="en-AU"/>
        </w:rPr>
        <w:t xml:space="preserve">a </w:t>
      </w:r>
      <w:r w:rsidR="00187BCA">
        <w:rPr>
          <w:lang w:eastAsia="en-AU"/>
        </w:rPr>
        <w:t>statutory definition</w:t>
      </w:r>
      <w:r>
        <w:rPr>
          <w:lang w:eastAsia="en-AU"/>
        </w:rPr>
        <w:t xml:space="preserve"> constitutes </w:t>
      </w:r>
      <w:r w:rsidR="00937ECE">
        <w:rPr>
          <w:lang w:eastAsia="en-AU"/>
        </w:rPr>
        <w:t xml:space="preserve">the first step in </w:t>
      </w:r>
      <w:r w:rsidR="00143EA7">
        <w:rPr>
          <w:lang w:eastAsia="en-AU"/>
        </w:rPr>
        <w:t xml:space="preserve">considering </w:t>
      </w:r>
      <w:r w:rsidR="00937ECE">
        <w:rPr>
          <w:lang w:eastAsia="en-AU"/>
        </w:rPr>
        <w:t>a system of registration for developers</w:t>
      </w:r>
      <w:r w:rsidR="00850048">
        <w:rPr>
          <w:lang w:eastAsia="en-AU"/>
        </w:rPr>
        <w:t xml:space="preserve"> </w:t>
      </w:r>
      <w:r>
        <w:rPr>
          <w:lang w:eastAsia="en-AU"/>
        </w:rPr>
        <w:t>that</w:t>
      </w:r>
      <w:r w:rsidR="00034A6D">
        <w:rPr>
          <w:lang w:eastAsia="en-AU"/>
        </w:rPr>
        <w:t xml:space="preserve"> the Government </w:t>
      </w:r>
      <w:r w:rsidR="00F977E6">
        <w:rPr>
          <w:lang w:eastAsia="en-AU"/>
        </w:rPr>
        <w:t>c</w:t>
      </w:r>
      <w:r w:rsidR="00034A6D">
        <w:rPr>
          <w:lang w:eastAsia="en-AU"/>
        </w:rPr>
        <w:t xml:space="preserve">ould also explore. </w:t>
      </w:r>
    </w:p>
    <w:p w14:paraId="2979D51C" w14:textId="54A5C443" w:rsidR="0031423A" w:rsidRDefault="00D17529" w:rsidP="00D17529">
      <w:pPr>
        <w:pStyle w:val="Heading4"/>
      </w:pPr>
      <w:r>
        <w:t>Rationale</w:t>
      </w:r>
    </w:p>
    <w:p w14:paraId="766729DC" w14:textId="07FECDA8" w:rsidR="001471AF" w:rsidRDefault="00FD7BF6" w:rsidP="000B502C">
      <w:pPr>
        <w:rPr>
          <w:lang w:eastAsia="en-AU"/>
        </w:rPr>
      </w:pPr>
      <w:r>
        <w:rPr>
          <w:lang w:eastAsia="en-AU"/>
        </w:rPr>
        <w:t xml:space="preserve">A definition </w:t>
      </w:r>
      <w:r w:rsidR="006A007B">
        <w:rPr>
          <w:lang w:eastAsia="en-AU"/>
        </w:rPr>
        <w:t>of</w:t>
      </w:r>
      <w:r>
        <w:rPr>
          <w:lang w:eastAsia="en-AU"/>
        </w:rPr>
        <w:t xml:space="preserve"> developer</w:t>
      </w:r>
      <w:r w:rsidR="002278F5">
        <w:rPr>
          <w:lang w:eastAsia="en-AU"/>
        </w:rPr>
        <w:t xml:space="preserve"> </w:t>
      </w:r>
      <w:r>
        <w:rPr>
          <w:lang w:eastAsia="en-AU"/>
        </w:rPr>
        <w:t xml:space="preserve"> </w:t>
      </w:r>
      <w:r w:rsidR="00881A1F">
        <w:rPr>
          <w:lang w:eastAsia="en-AU"/>
        </w:rPr>
        <w:t xml:space="preserve">in the </w:t>
      </w:r>
      <w:r w:rsidR="00A9723B">
        <w:rPr>
          <w:lang w:eastAsia="en-AU"/>
        </w:rPr>
        <w:t>building framework is the foundation for the effective implementation of</w:t>
      </w:r>
      <w:r w:rsidR="00881A1F">
        <w:rPr>
          <w:lang w:eastAsia="en-AU"/>
        </w:rPr>
        <w:t xml:space="preserve"> Recommendations </w:t>
      </w:r>
      <w:r w:rsidR="000B502C">
        <w:rPr>
          <w:lang w:eastAsia="en-AU"/>
        </w:rPr>
        <w:t xml:space="preserve">2 and 3 in this report. The developer definition </w:t>
      </w:r>
      <w:r w:rsidR="009F2D90">
        <w:rPr>
          <w:lang w:eastAsia="en-AU"/>
        </w:rPr>
        <w:t>ensures that appropriate distinctions and accountabilities are drawn between developers, building o</w:t>
      </w:r>
      <w:r w:rsidR="00B12AE9">
        <w:rPr>
          <w:lang w:eastAsia="en-AU"/>
        </w:rPr>
        <w:t>wners, builders and others in the system</w:t>
      </w:r>
      <w:r w:rsidR="00A9723B">
        <w:rPr>
          <w:lang w:eastAsia="en-AU"/>
        </w:rPr>
        <w:t>.</w:t>
      </w:r>
      <w:r w:rsidR="007D79B1">
        <w:rPr>
          <w:lang w:eastAsia="en-AU"/>
        </w:rPr>
        <w:t>.</w:t>
      </w:r>
      <w:r w:rsidR="00BE74D2">
        <w:rPr>
          <w:lang w:eastAsia="en-AU"/>
        </w:rPr>
        <w:t xml:space="preserve"> </w:t>
      </w:r>
    </w:p>
    <w:p w14:paraId="7B50C27D" w14:textId="6C0810D1" w:rsidR="00F7143D" w:rsidRDefault="00F7143D" w:rsidP="00F7143D">
      <w:pPr>
        <w:pStyle w:val="Heading4"/>
      </w:pPr>
      <w:r>
        <w:t>Outcome</w:t>
      </w:r>
    </w:p>
    <w:p w14:paraId="02BF98DE" w14:textId="44F1DB04" w:rsidR="00DC204F" w:rsidRPr="00F7143D" w:rsidRDefault="00DC204F" w:rsidP="00F7143D">
      <w:pPr>
        <w:rPr>
          <w:lang w:eastAsia="en-AU"/>
        </w:rPr>
      </w:pPr>
      <w:r>
        <w:rPr>
          <w:lang w:eastAsia="en-AU"/>
        </w:rPr>
        <w:t xml:space="preserve">Developers </w:t>
      </w:r>
      <w:r w:rsidR="00F73148">
        <w:rPr>
          <w:lang w:eastAsia="en-AU"/>
        </w:rPr>
        <w:t xml:space="preserve">will </w:t>
      </w:r>
      <w:r>
        <w:rPr>
          <w:lang w:eastAsia="en-AU"/>
        </w:rPr>
        <w:t>have clear and specific accountability within the statutory framework</w:t>
      </w:r>
      <w:r w:rsidR="00034A6D">
        <w:rPr>
          <w:lang w:eastAsia="en-AU"/>
        </w:rPr>
        <w:t>.</w:t>
      </w:r>
    </w:p>
    <w:p w14:paraId="014F2A34" w14:textId="6E3C04E3" w:rsidR="002A1086" w:rsidRDefault="002A1086" w:rsidP="002A1086">
      <w:pPr>
        <w:pStyle w:val="Heading3"/>
      </w:pPr>
      <w:bookmarkStart w:id="73" w:name="_Ref130977813"/>
      <w:bookmarkStart w:id="74" w:name="_Toc131428698"/>
      <w:bookmarkStart w:id="75" w:name="_Ref134179883"/>
      <w:bookmarkStart w:id="76" w:name="_Toc134352856"/>
      <w:bookmarkStart w:id="77" w:name="_Toc134356783"/>
      <w:bookmarkStart w:id="78" w:name="_Toc134356889"/>
      <w:r>
        <w:t xml:space="preserve">Recommendation 2 | Increase oversight for residential apartments and </w:t>
      </w:r>
      <w:r w:rsidR="009E3B53">
        <w:t>high</w:t>
      </w:r>
      <w:r w:rsidR="00356181">
        <w:t>-</w:t>
      </w:r>
      <w:r w:rsidR="009E3B53">
        <w:t>risk</w:t>
      </w:r>
      <w:r>
        <w:t xml:space="preserve"> projects</w:t>
      </w:r>
      <w:bookmarkEnd w:id="73"/>
      <w:bookmarkEnd w:id="74"/>
      <w:bookmarkEnd w:id="75"/>
      <w:bookmarkEnd w:id="76"/>
      <w:bookmarkEnd w:id="77"/>
      <w:bookmarkEnd w:id="78"/>
    </w:p>
    <w:p w14:paraId="6E9BED29" w14:textId="45E4F9AF" w:rsidR="00A14B55" w:rsidRDefault="00A14B55" w:rsidP="00A14B55">
      <w:pPr>
        <w:pStyle w:val="Heading4"/>
      </w:pPr>
      <w:r>
        <w:t>Desc</w:t>
      </w:r>
      <w:r w:rsidR="00465D50">
        <w:t>r</w:t>
      </w:r>
      <w:r>
        <w:t>iption</w:t>
      </w:r>
    </w:p>
    <w:p w14:paraId="41354D30" w14:textId="506CF857" w:rsidR="00856C0C" w:rsidRDefault="00150F73" w:rsidP="00856C0C">
      <w:pPr>
        <w:rPr>
          <w:lang w:eastAsia="en-AU"/>
        </w:rPr>
      </w:pPr>
      <w:r>
        <w:rPr>
          <w:lang w:eastAsia="en-AU"/>
        </w:rPr>
        <w:t>In Stage 1, the Panel recommended three additional inspections for residential high</w:t>
      </w:r>
      <w:r w:rsidR="001E1E77">
        <w:rPr>
          <w:lang w:eastAsia="en-AU"/>
        </w:rPr>
        <w:t>-</w:t>
      </w:r>
      <w:r>
        <w:rPr>
          <w:lang w:eastAsia="en-AU"/>
        </w:rPr>
        <w:t xml:space="preserve">risk buildings: pre-plastering, pre-waterproofing, and a pre-occupancy permit </w:t>
      </w:r>
      <w:r w:rsidR="001A7716">
        <w:rPr>
          <w:lang w:eastAsia="en-AU"/>
        </w:rPr>
        <w:t>inspection. In Stage 2, t</w:t>
      </w:r>
      <w:r w:rsidR="00856C0C">
        <w:rPr>
          <w:lang w:eastAsia="en-AU"/>
        </w:rPr>
        <w:t xml:space="preserve">he Panel </w:t>
      </w:r>
      <w:r w:rsidR="00C06BD4">
        <w:rPr>
          <w:lang w:eastAsia="en-AU"/>
        </w:rPr>
        <w:t>recommends</w:t>
      </w:r>
      <w:r w:rsidR="001A7716">
        <w:rPr>
          <w:lang w:eastAsia="en-AU"/>
        </w:rPr>
        <w:t xml:space="preserve"> further measures to increase </w:t>
      </w:r>
      <w:r w:rsidR="00EA1CBB">
        <w:rPr>
          <w:lang w:eastAsia="en-AU"/>
        </w:rPr>
        <w:t xml:space="preserve">oversight and protection for residential apartments and prescribed projects </w:t>
      </w:r>
      <w:r w:rsidR="00971A75">
        <w:rPr>
          <w:lang w:eastAsia="en-AU"/>
        </w:rPr>
        <w:t>by</w:t>
      </w:r>
      <w:r w:rsidR="00123292">
        <w:rPr>
          <w:lang w:eastAsia="en-AU"/>
        </w:rPr>
        <w:t>:</w:t>
      </w:r>
    </w:p>
    <w:p w14:paraId="1ACE71D5" w14:textId="2094F869" w:rsidR="008B2E27" w:rsidRDefault="00EA1CBB" w:rsidP="005900A8">
      <w:pPr>
        <w:pStyle w:val="ListParagraph"/>
        <w:numPr>
          <w:ilvl w:val="0"/>
          <w:numId w:val="10"/>
        </w:numPr>
        <w:ind w:left="340" w:hanging="340"/>
        <w:sectPr w:rsidR="008B2E27" w:rsidSect="00B272D7">
          <w:footerReference w:type="default" r:id="rId43"/>
          <w:endnotePr>
            <w:numFmt w:val="decimal"/>
          </w:endnotePr>
          <w:type w:val="continuous"/>
          <w:pgSz w:w="11907" w:h="16839" w:code="9"/>
          <w:pgMar w:top="1418" w:right="1418" w:bottom="1701" w:left="1559" w:header="720" w:footer="720" w:gutter="0"/>
          <w:cols w:space="720"/>
          <w:docGrid w:linePitch="360"/>
        </w:sectPr>
      </w:pPr>
      <w:r>
        <w:rPr>
          <w:b/>
          <w:lang w:eastAsia="en-AU"/>
        </w:rPr>
        <w:t>Introduc</w:t>
      </w:r>
      <w:r w:rsidR="00A06B1D">
        <w:rPr>
          <w:b/>
          <w:lang w:eastAsia="en-AU"/>
        </w:rPr>
        <w:t>e</w:t>
      </w:r>
      <w:r w:rsidR="00123292" w:rsidRPr="00123292">
        <w:rPr>
          <w:b/>
          <w:lang w:eastAsia="en-AU"/>
        </w:rPr>
        <w:t xml:space="preserve"> a Developer Bond Scheme</w:t>
      </w:r>
      <w:r w:rsidR="00AF5589">
        <w:rPr>
          <w:b/>
          <w:lang w:eastAsia="en-AU"/>
        </w:rPr>
        <w:t xml:space="preserve"> (DBS)</w:t>
      </w:r>
      <w:r w:rsidR="00123292" w:rsidRPr="00123292">
        <w:rPr>
          <w:b/>
          <w:lang w:eastAsia="en-AU"/>
        </w:rPr>
        <w:t xml:space="preserve"> for multi-storey residential apartment buildings.</w:t>
      </w:r>
      <w:r w:rsidR="00123292">
        <w:rPr>
          <w:lang w:eastAsia="en-AU"/>
        </w:rPr>
        <w:t xml:space="preserve"> </w:t>
      </w:r>
      <w:r w:rsidR="00893A96">
        <w:t xml:space="preserve"> The bond scheme </w:t>
      </w:r>
      <w:r w:rsidR="00CF6812">
        <w:t>would require</w:t>
      </w:r>
      <w:r w:rsidR="0025051A">
        <w:t xml:space="preserve"> developers responsible</w:t>
      </w:r>
      <w:r w:rsidR="004A3D6D">
        <w:t xml:space="preserve"> for new </w:t>
      </w:r>
      <w:r w:rsidR="00971A75">
        <w:t xml:space="preserve">residential </w:t>
      </w:r>
      <w:r w:rsidR="004A3D6D">
        <w:t xml:space="preserve">developments </w:t>
      </w:r>
      <w:r w:rsidR="00971A75">
        <w:t xml:space="preserve">over 3 storeys </w:t>
      </w:r>
      <w:r w:rsidR="002278F5">
        <w:t xml:space="preserve">and prescribed high risk projects </w:t>
      </w:r>
      <w:r w:rsidR="00CF6812">
        <w:t xml:space="preserve">to </w:t>
      </w:r>
      <w:r w:rsidR="00061B7C">
        <w:t>pay a bond</w:t>
      </w:r>
      <w:r w:rsidR="00EE4D66">
        <w:t xml:space="preserve"> </w:t>
      </w:r>
      <w:r w:rsidR="00971A75">
        <w:t xml:space="preserve">(which </w:t>
      </w:r>
      <w:r w:rsidR="00EE4D66">
        <w:t>could</w:t>
      </w:r>
      <w:r w:rsidR="00971A75">
        <w:t xml:space="preserve"> be in the form of a bank guarantee as in NSW)</w:t>
      </w:r>
      <w:r w:rsidR="00061B7C">
        <w:t>to a government authority</w:t>
      </w:r>
      <w:r w:rsidR="004A3D6D">
        <w:t xml:space="preserve">. The bond </w:t>
      </w:r>
      <w:r w:rsidR="00061B7C">
        <w:t xml:space="preserve">would be held for a fixed period </w:t>
      </w:r>
      <w:r w:rsidR="00614CD1">
        <w:t>to cover the costs of rectifying s</w:t>
      </w:r>
      <w:r w:rsidR="0085281E">
        <w:t xml:space="preserve">pecified </w:t>
      </w:r>
      <w:r w:rsidR="00614CD1">
        <w:t xml:space="preserve">defects. </w:t>
      </w:r>
      <w:r w:rsidR="00B20BA0">
        <w:t xml:space="preserve">The bond would be set as a percentage of the contract price and be returned to the developer </w:t>
      </w:r>
      <w:r w:rsidR="00D85E1F">
        <w:t xml:space="preserve">should no defects be found before the </w:t>
      </w:r>
      <w:r w:rsidR="00741989">
        <w:t>fixed</w:t>
      </w:r>
      <w:r w:rsidR="000D79FD">
        <w:t xml:space="preserve"> </w:t>
      </w:r>
      <w:r w:rsidR="00D85E1F">
        <w:t xml:space="preserve">period </w:t>
      </w:r>
      <w:r w:rsidR="000D79FD">
        <w:t xml:space="preserve">expires. </w:t>
      </w:r>
    </w:p>
    <w:p w14:paraId="26310BE9" w14:textId="77777182" w:rsidR="0080710E" w:rsidRDefault="00EE4D66" w:rsidP="00FF1D25">
      <w:pPr>
        <w:rPr>
          <w:lang w:eastAsia="en-AU"/>
        </w:rPr>
      </w:pPr>
      <w:r>
        <w:lastRenderedPageBreak/>
        <w:t>For example, a</w:t>
      </w:r>
      <w:r w:rsidR="00971A75">
        <w:t xml:space="preserve"> </w:t>
      </w:r>
      <w:r w:rsidR="000D79FD">
        <w:t xml:space="preserve">DBS scheme could be introduced at </w:t>
      </w:r>
      <w:r w:rsidR="005C5045">
        <w:t>five</w:t>
      </w:r>
      <w:r w:rsidR="000D79FD">
        <w:t xml:space="preserve"> per cent of the contract price </w:t>
      </w:r>
      <w:r w:rsidR="000D79FD" w:rsidRPr="00B803E9">
        <w:t xml:space="preserve">to be held for a period of </w:t>
      </w:r>
      <w:r w:rsidR="00E72AB3">
        <w:t>ten</w:t>
      </w:r>
      <w:r w:rsidR="000D79FD" w:rsidRPr="00B803E9">
        <w:t xml:space="preserve"> years</w:t>
      </w:r>
      <w:r>
        <w:t xml:space="preserve"> (consistent with the DBCA)</w:t>
      </w:r>
      <w:r w:rsidR="000D79FD">
        <w:t xml:space="preserve"> after the </w:t>
      </w:r>
      <w:r w:rsidR="005F180D">
        <w:t>completion of the building project.</w:t>
      </w:r>
    </w:p>
    <w:p w14:paraId="67105977" w14:textId="5A958DA0" w:rsidR="0080710E" w:rsidRPr="0080710E" w:rsidRDefault="00BD3D10" w:rsidP="005900A8">
      <w:pPr>
        <w:pStyle w:val="ListParagraph"/>
        <w:numPr>
          <w:ilvl w:val="0"/>
          <w:numId w:val="10"/>
        </w:numPr>
        <w:ind w:left="340" w:hanging="340"/>
        <w:rPr>
          <w:lang w:eastAsia="en-AU"/>
        </w:rPr>
      </w:pPr>
      <w:r w:rsidRPr="00903783">
        <w:rPr>
          <w:b/>
          <w:lang w:eastAsia="en-AU"/>
        </w:rPr>
        <w:t>R</w:t>
      </w:r>
      <w:r w:rsidR="0080710E" w:rsidRPr="00903783">
        <w:rPr>
          <w:b/>
          <w:lang w:eastAsia="en-AU"/>
        </w:rPr>
        <w:t>equir</w:t>
      </w:r>
      <w:r w:rsidR="00A06B1D">
        <w:rPr>
          <w:b/>
          <w:lang w:eastAsia="en-AU"/>
        </w:rPr>
        <w:t>e</w:t>
      </w:r>
      <w:r w:rsidR="0080710E" w:rsidRPr="00903783">
        <w:rPr>
          <w:b/>
          <w:lang w:eastAsia="en-AU"/>
        </w:rPr>
        <w:t xml:space="preserve"> developers to engage a</w:t>
      </w:r>
      <w:r w:rsidR="00DC7E5C" w:rsidRPr="00903783">
        <w:rPr>
          <w:b/>
          <w:lang w:eastAsia="en-AU"/>
        </w:rPr>
        <w:t>n</w:t>
      </w:r>
      <w:r w:rsidR="0080710E" w:rsidRPr="00903783">
        <w:rPr>
          <w:b/>
          <w:lang w:eastAsia="en-AU"/>
        </w:rPr>
        <w:t xml:space="preserve"> agent</w:t>
      </w:r>
      <w:r w:rsidR="00971A75" w:rsidRPr="00903783">
        <w:rPr>
          <w:b/>
          <w:lang w:eastAsia="en-AU"/>
        </w:rPr>
        <w:t xml:space="preserve"> such as a superintendent, site architect,</w:t>
      </w:r>
      <w:r w:rsidR="00EE4D66" w:rsidRPr="00903783">
        <w:rPr>
          <w:b/>
          <w:lang w:eastAsia="en-AU"/>
        </w:rPr>
        <w:t xml:space="preserve"> </w:t>
      </w:r>
      <w:r w:rsidR="00971A75" w:rsidRPr="00903783">
        <w:rPr>
          <w:b/>
          <w:lang w:eastAsia="en-AU"/>
        </w:rPr>
        <w:t>or clerk of works</w:t>
      </w:r>
      <w:r w:rsidR="0080710E" w:rsidRPr="00903783">
        <w:rPr>
          <w:b/>
          <w:lang w:eastAsia="en-AU"/>
        </w:rPr>
        <w:t xml:space="preserve"> to be regularly onsite for prescribed buildings or projects</w:t>
      </w:r>
      <w:r w:rsidR="0080710E" w:rsidRPr="0080710E">
        <w:rPr>
          <w:b/>
          <w:lang w:eastAsia="en-AU"/>
        </w:rPr>
        <w:t xml:space="preserve">. </w:t>
      </w:r>
      <w:r w:rsidR="008D0199">
        <w:rPr>
          <w:lang w:eastAsia="en-AU"/>
        </w:rPr>
        <w:t xml:space="preserve">Under this reform, the </w:t>
      </w:r>
      <w:r w:rsidR="00E02789">
        <w:rPr>
          <w:lang w:eastAsia="en-AU"/>
        </w:rPr>
        <w:t xml:space="preserve">developer would </w:t>
      </w:r>
      <w:r w:rsidR="00AF7DEF">
        <w:rPr>
          <w:lang w:eastAsia="en-AU"/>
        </w:rPr>
        <w:t xml:space="preserve">engage an </w:t>
      </w:r>
      <w:r w:rsidR="0080710E" w:rsidRPr="0080710E">
        <w:rPr>
          <w:rFonts w:eastAsia="Arial" w:cs="Arial"/>
        </w:rPr>
        <w:t>agent such as a superintendent, site architect or clerk of works to regularly monitor compliance and quality on site for the developer.</w:t>
      </w:r>
      <w:r w:rsidR="00AF7DEF">
        <w:rPr>
          <w:rFonts w:eastAsia="Arial" w:cs="Arial"/>
        </w:rPr>
        <w:t xml:space="preserve"> The agent wou</w:t>
      </w:r>
      <w:r w:rsidR="00796437">
        <w:rPr>
          <w:rFonts w:eastAsia="Arial" w:cs="Arial"/>
        </w:rPr>
        <w:t xml:space="preserve">ld </w:t>
      </w:r>
      <w:r w:rsidR="004109C8">
        <w:rPr>
          <w:rFonts w:eastAsia="Arial" w:cs="Arial"/>
        </w:rPr>
        <w:t xml:space="preserve">conduct inspections and report to the developer so the developer is aware of, and maintains, shared responsibility for </w:t>
      </w:r>
      <w:r w:rsidR="00DB629D">
        <w:rPr>
          <w:rFonts w:eastAsia="Arial" w:cs="Arial"/>
        </w:rPr>
        <w:t>the whole construction process</w:t>
      </w:r>
      <w:r w:rsidR="009D4A3A">
        <w:rPr>
          <w:rFonts w:eastAsia="Arial" w:cs="Arial"/>
        </w:rPr>
        <w:t xml:space="preserve">. </w:t>
      </w:r>
      <w:r w:rsidR="00C4374A">
        <w:rPr>
          <w:rFonts w:eastAsia="Arial" w:cs="Arial"/>
        </w:rPr>
        <w:t xml:space="preserve">The agent </w:t>
      </w:r>
      <w:r w:rsidR="006153ED">
        <w:rPr>
          <w:rFonts w:eastAsia="Arial" w:cs="Arial"/>
        </w:rPr>
        <w:t>w</w:t>
      </w:r>
      <w:r w:rsidR="00CD2FA9">
        <w:rPr>
          <w:rFonts w:eastAsia="Arial" w:cs="Arial"/>
        </w:rPr>
        <w:t>ould</w:t>
      </w:r>
      <w:r w:rsidR="002278F5">
        <w:rPr>
          <w:rFonts w:eastAsia="Arial" w:cs="Arial"/>
        </w:rPr>
        <w:t xml:space="preserve"> not</w:t>
      </w:r>
      <w:r w:rsidR="00CD2FA9">
        <w:rPr>
          <w:rFonts w:eastAsia="Arial" w:cs="Arial"/>
        </w:rPr>
        <w:t xml:space="preserve"> have statutory powers or certification function</w:t>
      </w:r>
      <w:r w:rsidR="002278F5">
        <w:rPr>
          <w:rFonts w:eastAsia="Arial" w:cs="Arial"/>
        </w:rPr>
        <w:t>s</w:t>
      </w:r>
      <w:r w:rsidR="0080710E" w:rsidRPr="0080710E">
        <w:rPr>
          <w:rFonts w:eastAsia="Arial" w:cs="Arial"/>
        </w:rPr>
        <w:t>.</w:t>
      </w:r>
    </w:p>
    <w:p w14:paraId="2AA87226" w14:textId="77777777" w:rsidR="00BD27F2" w:rsidRDefault="00BD27F2" w:rsidP="00BD27F2">
      <w:pPr>
        <w:pStyle w:val="Heading4"/>
      </w:pPr>
      <w:r>
        <w:t xml:space="preserve">Rationale </w:t>
      </w:r>
    </w:p>
    <w:p w14:paraId="2B4C1BA9" w14:textId="70619B97" w:rsidR="004A3239" w:rsidRDefault="0019553C" w:rsidP="004A3239">
      <w:pPr>
        <w:pStyle w:val="ListParagraph"/>
        <w:ind w:left="0"/>
        <w:rPr>
          <w:rFonts w:eastAsia="Arial" w:cs="Arial"/>
        </w:rPr>
      </w:pPr>
      <w:r>
        <w:rPr>
          <w:rFonts w:eastAsia="Arial" w:cs="Arial"/>
        </w:rPr>
        <w:t>The proposed recommendations would</w:t>
      </w:r>
      <w:r w:rsidR="004A3239">
        <w:rPr>
          <w:rFonts w:eastAsia="Arial" w:cs="Arial"/>
        </w:rPr>
        <w:t xml:space="preserve"> improve the </w:t>
      </w:r>
      <w:r w:rsidR="004A3239" w:rsidRPr="4D7FF03A">
        <w:rPr>
          <w:rFonts w:eastAsia="Arial" w:cs="Arial"/>
        </w:rPr>
        <w:t xml:space="preserve">quality and </w:t>
      </w:r>
      <w:r w:rsidR="004A3239" w:rsidRPr="7BE756BF">
        <w:rPr>
          <w:rFonts w:eastAsia="Arial" w:cs="Arial"/>
        </w:rPr>
        <w:t>standards</w:t>
      </w:r>
      <w:r w:rsidR="004A3239" w:rsidRPr="4D7FF03A">
        <w:rPr>
          <w:rFonts w:eastAsia="Arial" w:cs="Arial"/>
        </w:rPr>
        <w:t xml:space="preserve"> of </w:t>
      </w:r>
      <w:r w:rsidR="004A3239" w:rsidRPr="63373B04">
        <w:rPr>
          <w:rFonts w:eastAsia="Arial" w:cs="Arial"/>
        </w:rPr>
        <w:t xml:space="preserve">building </w:t>
      </w:r>
      <w:r w:rsidR="004A3239" w:rsidRPr="4D7FF03A">
        <w:rPr>
          <w:rFonts w:eastAsia="Arial" w:cs="Arial"/>
        </w:rPr>
        <w:t xml:space="preserve">work </w:t>
      </w:r>
      <w:r w:rsidR="00907AC3">
        <w:rPr>
          <w:rFonts w:eastAsia="Arial" w:cs="Arial"/>
        </w:rPr>
        <w:t>for residential apartments and prescribed projects that are at highest risk of non-compliance</w:t>
      </w:r>
      <w:r w:rsidR="00867BD1">
        <w:rPr>
          <w:rFonts w:eastAsia="Arial" w:cs="Arial"/>
        </w:rPr>
        <w:t xml:space="preserve">. Further, they would </w:t>
      </w:r>
      <w:r w:rsidR="006F492B">
        <w:rPr>
          <w:rFonts w:eastAsia="Arial" w:cs="Arial"/>
        </w:rPr>
        <w:t>address gaps in consumer protections that currently exist for lot owners</w:t>
      </w:r>
      <w:r w:rsidR="0049376C">
        <w:rPr>
          <w:rFonts w:eastAsia="Arial" w:cs="Arial"/>
        </w:rPr>
        <w:t>, s</w:t>
      </w:r>
      <w:r w:rsidR="008A73E0">
        <w:rPr>
          <w:rFonts w:eastAsia="Arial" w:cs="Arial"/>
        </w:rPr>
        <w:t>pecifically:</w:t>
      </w:r>
    </w:p>
    <w:p w14:paraId="51CA4294" w14:textId="607E238F" w:rsidR="00DA040F" w:rsidRPr="00721F95" w:rsidRDefault="00A958D0" w:rsidP="00AA6FA9">
      <w:pPr>
        <w:pStyle w:val="Bullet"/>
        <w:rPr>
          <w:rFonts w:eastAsia="Arial"/>
        </w:rPr>
      </w:pPr>
      <w:r w:rsidRPr="00760529">
        <w:t xml:space="preserve">A </w:t>
      </w:r>
      <w:r w:rsidR="00E52F92">
        <w:t>DBS</w:t>
      </w:r>
      <w:r w:rsidRPr="00760529">
        <w:t xml:space="preserve"> </w:t>
      </w:r>
      <w:r>
        <w:t>would</w:t>
      </w:r>
      <w:r w:rsidRPr="00760529">
        <w:t xml:space="preserve"> address the</w:t>
      </w:r>
      <w:r w:rsidR="00867BD1">
        <w:t xml:space="preserve"> current gap in </w:t>
      </w:r>
      <w:r w:rsidRPr="00760529">
        <w:t>consumer protection</w:t>
      </w:r>
      <w:r w:rsidR="00867BD1">
        <w:t>s</w:t>
      </w:r>
      <w:r w:rsidRPr="00760529">
        <w:t xml:space="preserve"> for lot owners</w:t>
      </w:r>
      <w:r w:rsidR="00FD1B1A">
        <w:t xml:space="preserve"> of apartments over three storeys. </w:t>
      </w:r>
      <w:r w:rsidR="0012227A">
        <w:t>While</w:t>
      </w:r>
      <w:r w:rsidR="00DA040F">
        <w:t xml:space="preserve"> the bond is held, the scheme may also </w:t>
      </w:r>
      <w:r w:rsidR="00DA040F" w:rsidRPr="00760529">
        <w:t>encourage</w:t>
      </w:r>
      <w:r w:rsidR="00DA040F">
        <w:t xml:space="preserve"> developers to </w:t>
      </w:r>
      <w:r w:rsidR="00DA040F" w:rsidRPr="00760529">
        <w:t>remain an active and registered company</w:t>
      </w:r>
      <w:r w:rsidR="00DA040F">
        <w:t xml:space="preserve"> and reduce instances of SPVs that </w:t>
      </w:r>
      <w:r w:rsidR="009A114F">
        <w:t>are discontinued</w:t>
      </w:r>
      <w:r w:rsidR="00DA040F">
        <w:t xml:space="preserve"> post</w:t>
      </w:r>
      <w:r w:rsidR="00AA6FA9">
        <w:t>-</w:t>
      </w:r>
      <w:r w:rsidR="00DA040F">
        <w:t xml:space="preserve">completion of building work. </w:t>
      </w:r>
    </w:p>
    <w:p w14:paraId="5CEA6813" w14:textId="2557A524" w:rsidR="00785642" w:rsidRPr="00785642" w:rsidRDefault="00721F95" w:rsidP="00785642">
      <w:pPr>
        <w:pStyle w:val="Bullet"/>
        <w:rPr>
          <w:rFonts w:eastAsia="Arial"/>
        </w:rPr>
      </w:pPr>
      <w:r>
        <w:t xml:space="preserve">Requirement to engage an agent </w:t>
      </w:r>
      <w:r w:rsidR="00785642">
        <w:t>could</w:t>
      </w:r>
      <w:r w:rsidR="002278F5">
        <w:t xml:space="preserve"> address </w:t>
      </w:r>
      <w:r w:rsidR="00785642">
        <w:t xml:space="preserve"> the f</w:t>
      </w:r>
      <w:r w:rsidR="00785642" w:rsidRPr="00B36CF3">
        <w:t>ragmentation</w:t>
      </w:r>
      <w:r w:rsidR="00785642">
        <w:t xml:space="preserve"> </w:t>
      </w:r>
      <w:r w:rsidR="00785642" w:rsidRPr="00B36CF3">
        <w:t xml:space="preserve">between different contractors and professionals </w:t>
      </w:r>
      <w:r w:rsidR="004A19AE">
        <w:t>involved</w:t>
      </w:r>
      <w:r w:rsidR="00785642" w:rsidRPr="00B36CF3">
        <w:t xml:space="preserve"> in the design, development and construction process which </w:t>
      </w:r>
      <w:r w:rsidR="00AA6FA9">
        <w:t xml:space="preserve">currently </w:t>
      </w:r>
      <w:r w:rsidR="00957987">
        <w:t xml:space="preserve"> results in lack of clear </w:t>
      </w:r>
      <w:r w:rsidR="00785642" w:rsidRPr="00B36CF3">
        <w:t>responsibility</w:t>
      </w:r>
      <w:r w:rsidR="00785642">
        <w:t xml:space="preserve"> and reduces quality building outcomes.</w:t>
      </w:r>
      <w:r w:rsidR="004E0785" w:rsidRPr="004E0785">
        <w:rPr>
          <w:rStyle w:val="CommentReference"/>
        </w:rPr>
        <w:t xml:space="preserve"> </w:t>
      </w:r>
      <w:r w:rsidR="004E0785">
        <w:rPr>
          <w:rStyle w:val="EndnoteReference"/>
        </w:rPr>
        <w:endnoteReference w:id="19"/>
      </w:r>
      <w:r w:rsidR="00785642">
        <w:t xml:space="preserve"> </w:t>
      </w:r>
      <w:r w:rsidR="00923DB8">
        <w:t xml:space="preserve"> </w:t>
      </w:r>
      <w:r w:rsidR="00957987">
        <w:t xml:space="preserve">Monitoring of compliance throughout the project </w:t>
      </w:r>
      <w:r w:rsidR="00923DB8">
        <w:t xml:space="preserve">by the agent would </w:t>
      </w:r>
      <w:r w:rsidR="00EA0577">
        <w:t xml:space="preserve">support </w:t>
      </w:r>
      <w:r w:rsidR="00923DB8">
        <w:t xml:space="preserve">early identification </w:t>
      </w:r>
      <w:r w:rsidR="00957987">
        <w:t xml:space="preserve">and rectification </w:t>
      </w:r>
      <w:r w:rsidR="00923DB8">
        <w:t xml:space="preserve">of potential compliance problems before </w:t>
      </w:r>
      <w:r w:rsidR="0012227A">
        <w:t>they</w:t>
      </w:r>
      <w:r w:rsidR="00923DB8">
        <w:t xml:space="preserve"> escalate into</w:t>
      </w:r>
      <w:r w:rsidR="00EA0577">
        <w:t xml:space="preserve"> </w:t>
      </w:r>
      <w:r w:rsidR="00957987">
        <w:t xml:space="preserve">safety and other </w:t>
      </w:r>
      <w:r w:rsidR="00EA0577">
        <w:t xml:space="preserve">costly </w:t>
      </w:r>
      <w:r w:rsidR="007563A2">
        <w:t>issues</w:t>
      </w:r>
      <w:r w:rsidR="00957987">
        <w:t xml:space="preserve"> for the subsequent purchasers</w:t>
      </w:r>
      <w:r w:rsidR="000F3476">
        <w:t xml:space="preserve"> to address</w:t>
      </w:r>
      <w:r w:rsidR="007563A2">
        <w:t xml:space="preserve">. </w:t>
      </w:r>
    </w:p>
    <w:p w14:paraId="02A5BA77" w14:textId="77777777" w:rsidR="00D76905" w:rsidRDefault="00D76905" w:rsidP="00D76905">
      <w:pPr>
        <w:pStyle w:val="Heading4"/>
      </w:pPr>
      <w:r>
        <w:t>Outcome</w:t>
      </w:r>
    </w:p>
    <w:p w14:paraId="3BB5B306" w14:textId="70D81DF2" w:rsidR="00976CC4" w:rsidRPr="009C668D" w:rsidRDefault="00281850" w:rsidP="002D772D">
      <w:pPr>
        <w:rPr>
          <w:rFonts w:eastAsia="Arial" w:cs="Arial"/>
        </w:rPr>
      </w:pPr>
      <w:r>
        <w:rPr>
          <w:lang w:eastAsia="en-AU"/>
        </w:rPr>
        <w:t>Compliance of residential apartment buildings and high</w:t>
      </w:r>
      <w:r w:rsidR="00EA0577">
        <w:rPr>
          <w:lang w:eastAsia="en-AU"/>
        </w:rPr>
        <w:t>-</w:t>
      </w:r>
      <w:r>
        <w:rPr>
          <w:lang w:eastAsia="en-AU"/>
        </w:rPr>
        <w:t xml:space="preserve">risk </w:t>
      </w:r>
      <w:r w:rsidR="00EA0577">
        <w:rPr>
          <w:lang w:eastAsia="en-AU"/>
        </w:rPr>
        <w:t xml:space="preserve">prescribed </w:t>
      </w:r>
      <w:r>
        <w:rPr>
          <w:lang w:eastAsia="en-AU"/>
        </w:rPr>
        <w:t xml:space="preserve">projects </w:t>
      </w:r>
      <w:r w:rsidR="00003DBE">
        <w:rPr>
          <w:lang w:eastAsia="en-AU"/>
        </w:rPr>
        <w:t>will be</w:t>
      </w:r>
      <w:r>
        <w:rPr>
          <w:lang w:eastAsia="en-AU"/>
        </w:rPr>
        <w:t xml:space="preserve"> improved with increased oversight and protections for consumers where non-compliance occurs. </w:t>
      </w:r>
    </w:p>
    <w:p w14:paraId="4C4A069F" w14:textId="2729B225" w:rsidR="00811082" w:rsidRDefault="00101CE4" w:rsidP="00936705">
      <w:pPr>
        <w:pStyle w:val="Heading3"/>
      </w:pPr>
      <w:bookmarkStart w:id="79" w:name="_Toc131428699"/>
      <w:bookmarkStart w:id="80" w:name="_Toc134352857"/>
      <w:bookmarkStart w:id="81" w:name="_Toc134356784"/>
      <w:bookmarkStart w:id="82" w:name="_Toc134356890"/>
      <w:r>
        <w:t xml:space="preserve">Recommendation 3 | </w:t>
      </w:r>
      <w:r w:rsidR="00811082">
        <w:t>Extend existing accountability mechanisms to developers</w:t>
      </w:r>
      <w:r w:rsidR="002A4AC4">
        <w:t>, builders and other parties</w:t>
      </w:r>
      <w:bookmarkEnd w:id="79"/>
      <w:bookmarkEnd w:id="80"/>
      <w:bookmarkEnd w:id="81"/>
      <w:bookmarkEnd w:id="82"/>
    </w:p>
    <w:p w14:paraId="3B7AD5FC" w14:textId="01190B43" w:rsidR="00426342" w:rsidRDefault="00426342" w:rsidP="00811082">
      <w:pPr>
        <w:pStyle w:val="Heading4"/>
      </w:pPr>
      <w:r>
        <w:t>Description</w:t>
      </w:r>
    </w:p>
    <w:p w14:paraId="30C7D8D3" w14:textId="7C771E51" w:rsidR="00151B61" w:rsidRDefault="000100DF" w:rsidP="002A4AC4">
      <w:pPr>
        <w:rPr>
          <w:lang w:eastAsia="en-AU"/>
        </w:rPr>
      </w:pPr>
      <w:r>
        <w:rPr>
          <w:lang w:eastAsia="en-AU"/>
        </w:rPr>
        <w:t>The Panel</w:t>
      </w:r>
      <w:r w:rsidR="004E65D7">
        <w:rPr>
          <w:lang w:eastAsia="en-AU"/>
        </w:rPr>
        <w:t xml:space="preserve"> </w:t>
      </w:r>
      <w:r w:rsidR="006225D2">
        <w:rPr>
          <w:lang w:eastAsia="en-AU"/>
        </w:rPr>
        <w:t>recommends considering</w:t>
      </w:r>
      <w:r w:rsidR="004E65D7">
        <w:rPr>
          <w:lang w:eastAsia="en-AU"/>
        </w:rPr>
        <w:t xml:space="preserve"> </w:t>
      </w:r>
      <w:r>
        <w:rPr>
          <w:lang w:eastAsia="en-AU"/>
        </w:rPr>
        <w:t>t</w:t>
      </w:r>
      <w:r w:rsidR="00F60EA7">
        <w:rPr>
          <w:lang w:eastAsia="en-AU"/>
        </w:rPr>
        <w:t>wo</w:t>
      </w:r>
      <w:r>
        <w:rPr>
          <w:lang w:eastAsia="en-AU"/>
        </w:rPr>
        <w:t xml:space="preserve"> </w:t>
      </w:r>
      <w:r w:rsidR="006225D2">
        <w:rPr>
          <w:lang w:eastAsia="en-AU"/>
        </w:rPr>
        <w:t>additional</w:t>
      </w:r>
      <w:r>
        <w:rPr>
          <w:lang w:eastAsia="en-AU"/>
        </w:rPr>
        <w:t xml:space="preserve"> actions to increase</w:t>
      </w:r>
      <w:r w:rsidR="002A4AC4">
        <w:rPr>
          <w:lang w:eastAsia="en-AU"/>
        </w:rPr>
        <w:t xml:space="preserve"> accountability </w:t>
      </w:r>
      <w:r>
        <w:rPr>
          <w:lang w:eastAsia="en-AU"/>
        </w:rPr>
        <w:t xml:space="preserve">for </w:t>
      </w:r>
      <w:r w:rsidR="00151B61">
        <w:rPr>
          <w:lang w:eastAsia="en-AU"/>
        </w:rPr>
        <w:t>developers, builders and other parties</w:t>
      </w:r>
      <w:r w:rsidR="006225D2">
        <w:rPr>
          <w:lang w:eastAsia="en-AU"/>
        </w:rPr>
        <w:t xml:space="preserve"> under existing mechanisms</w:t>
      </w:r>
      <w:r w:rsidR="00151B61">
        <w:rPr>
          <w:lang w:eastAsia="en-AU"/>
        </w:rPr>
        <w:t>:</w:t>
      </w:r>
    </w:p>
    <w:p w14:paraId="036AC3F5" w14:textId="6A252B4E" w:rsidR="00E975B7" w:rsidRDefault="003757B5" w:rsidP="005900A8">
      <w:pPr>
        <w:pStyle w:val="ListParagraph"/>
        <w:numPr>
          <w:ilvl w:val="0"/>
          <w:numId w:val="11"/>
        </w:numPr>
        <w:ind w:left="340" w:hanging="340"/>
        <w:rPr>
          <w:lang w:eastAsia="en-AU"/>
        </w:rPr>
      </w:pPr>
      <w:r w:rsidRPr="00E7010D">
        <w:rPr>
          <w:b/>
          <w:lang w:eastAsia="en-AU"/>
        </w:rPr>
        <w:t>Consider e</w:t>
      </w:r>
      <w:r w:rsidR="00E975B7" w:rsidRPr="00E7010D">
        <w:rPr>
          <w:b/>
          <w:lang w:eastAsia="en-AU"/>
        </w:rPr>
        <w:t>xtend</w:t>
      </w:r>
      <w:r w:rsidRPr="00E7010D">
        <w:rPr>
          <w:b/>
          <w:lang w:eastAsia="en-AU"/>
        </w:rPr>
        <w:t>ing</w:t>
      </w:r>
      <w:r w:rsidR="00E975B7" w:rsidRPr="00E7010D">
        <w:rPr>
          <w:b/>
          <w:lang w:eastAsia="en-AU"/>
        </w:rPr>
        <w:t xml:space="preserve"> the warranties under section 8 of the DBC</w:t>
      </w:r>
      <w:r w:rsidR="00A97FCC" w:rsidRPr="00E7010D">
        <w:rPr>
          <w:b/>
          <w:lang w:eastAsia="en-AU"/>
        </w:rPr>
        <w:t>A</w:t>
      </w:r>
      <w:r w:rsidR="00136734" w:rsidRPr="00E7010D">
        <w:rPr>
          <w:b/>
          <w:lang w:eastAsia="en-AU"/>
        </w:rPr>
        <w:t xml:space="preserve"> </w:t>
      </w:r>
      <w:r w:rsidR="00281566" w:rsidRPr="00E7010D">
        <w:rPr>
          <w:b/>
          <w:lang w:eastAsia="en-AU"/>
        </w:rPr>
        <w:t>to include developers</w:t>
      </w:r>
      <w:r w:rsidR="003371BC">
        <w:rPr>
          <w:b/>
          <w:lang w:eastAsia="en-AU"/>
        </w:rPr>
        <w:t>.</w:t>
      </w:r>
      <w:r w:rsidR="00281566" w:rsidRPr="00E7010D">
        <w:rPr>
          <w:b/>
          <w:lang w:eastAsia="en-AU"/>
        </w:rPr>
        <w:t xml:space="preserve"> </w:t>
      </w:r>
      <w:r w:rsidR="00151B61">
        <w:rPr>
          <w:lang w:eastAsia="en-AU"/>
        </w:rPr>
        <w:t xml:space="preserve">Extending </w:t>
      </w:r>
      <w:r w:rsidR="00240030">
        <w:rPr>
          <w:lang w:eastAsia="en-AU"/>
        </w:rPr>
        <w:t xml:space="preserve">the application of implied </w:t>
      </w:r>
      <w:r w:rsidR="00151B61">
        <w:rPr>
          <w:lang w:eastAsia="en-AU"/>
        </w:rPr>
        <w:t xml:space="preserve">warranties under </w:t>
      </w:r>
      <w:r w:rsidR="00550C89">
        <w:rPr>
          <w:lang w:eastAsia="en-AU"/>
        </w:rPr>
        <w:t>s</w:t>
      </w:r>
      <w:r w:rsidR="00151B61">
        <w:rPr>
          <w:lang w:eastAsia="en-AU"/>
        </w:rPr>
        <w:t>ection 8 of the DBCA</w:t>
      </w:r>
      <w:r w:rsidR="003C4626">
        <w:rPr>
          <w:lang w:eastAsia="en-AU"/>
        </w:rPr>
        <w:t xml:space="preserve"> </w:t>
      </w:r>
      <w:r w:rsidR="00151B61">
        <w:rPr>
          <w:lang w:eastAsia="en-AU"/>
        </w:rPr>
        <w:t>will hold the developer (in addition to the builder) liable to the initial and subsequent</w:t>
      </w:r>
      <w:r w:rsidR="00136734">
        <w:rPr>
          <w:lang w:eastAsia="en-AU"/>
        </w:rPr>
        <w:t xml:space="preserve"> purchasers</w:t>
      </w:r>
      <w:r w:rsidR="00151B61">
        <w:rPr>
          <w:lang w:eastAsia="en-AU"/>
        </w:rPr>
        <w:t xml:space="preserve"> of </w:t>
      </w:r>
      <w:r w:rsidR="00F5584A">
        <w:rPr>
          <w:lang w:eastAsia="en-AU"/>
        </w:rPr>
        <w:t xml:space="preserve">a building for defective work. </w:t>
      </w:r>
      <w:r w:rsidR="00AF630E">
        <w:rPr>
          <w:lang w:eastAsia="en-AU"/>
        </w:rPr>
        <w:t xml:space="preserve">Actions alleging breach of </w:t>
      </w:r>
      <w:r w:rsidR="00BD1800">
        <w:rPr>
          <w:lang w:eastAsia="en-AU"/>
        </w:rPr>
        <w:t xml:space="preserve">such </w:t>
      </w:r>
      <w:r w:rsidR="00AF630E">
        <w:rPr>
          <w:lang w:eastAsia="en-AU"/>
        </w:rPr>
        <w:t xml:space="preserve">warranties could </w:t>
      </w:r>
      <w:r w:rsidR="00F5584A">
        <w:rPr>
          <w:lang w:eastAsia="en-AU"/>
        </w:rPr>
        <w:t>then be brought against the developer</w:t>
      </w:r>
      <w:r w:rsidR="00880435">
        <w:rPr>
          <w:lang w:eastAsia="en-AU"/>
        </w:rPr>
        <w:t>.</w:t>
      </w:r>
    </w:p>
    <w:p w14:paraId="745C4BB7" w14:textId="0FFD1C9F" w:rsidR="008B2E27" w:rsidRDefault="00F5584A" w:rsidP="005900A8">
      <w:pPr>
        <w:pStyle w:val="ListParagraph"/>
        <w:numPr>
          <w:ilvl w:val="0"/>
          <w:numId w:val="11"/>
        </w:numPr>
        <w:ind w:left="340" w:hanging="340"/>
        <w:sectPr w:rsidR="008B2E27" w:rsidSect="00B272D7">
          <w:footerReference w:type="default" r:id="rId44"/>
          <w:endnotePr>
            <w:numFmt w:val="decimal"/>
          </w:endnotePr>
          <w:type w:val="continuous"/>
          <w:pgSz w:w="11907" w:h="16839" w:code="9"/>
          <w:pgMar w:top="1418" w:right="1418" w:bottom="1701" w:left="1559" w:header="720" w:footer="720" w:gutter="0"/>
          <w:cols w:space="720"/>
          <w:docGrid w:linePitch="360"/>
        </w:sectPr>
      </w:pPr>
      <w:r w:rsidRPr="00E975B7">
        <w:rPr>
          <w:b/>
          <w:bCs/>
          <w:color w:val="000000" w:themeColor="text1"/>
        </w:rPr>
        <w:t>Introduce a statutory duty of care to strengthen building owners’ abilities to seek recourse through negligence claims</w:t>
      </w:r>
      <w:r w:rsidR="00403CB2">
        <w:rPr>
          <w:b/>
          <w:bCs/>
          <w:color w:val="000000" w:themeColor="text1"/>
        </w:rPr>
        <w:t>.</w:t>
      </w:r>
      <w:r w:rsidR="00E975B7">
        <w:rPr>
          <w:b/>
          <w:bCs/>
          <w:color w:val="000000" w:themeColor="text1"/>
        </w:rPr>
        <w:t xml:space="preserve"> </w:t>
      </w:r>
      <w:r w:rsidR="00942764">
        <w:t xml:space="preserve">Building owners already have a cause of action </w:t>
      </w:r>
      <w:r w:rsidR="009B193E">
        <w:t>for</w:t>
      </w:r>
      <w:r w:rsidR="0044639E">
        <w:t xml:space="preserve"> negligence</w:t>
      </w:r>
      <w:r w:rsidR="009B193E">
        <w:t xml:space="preserve"> at common law</w:t>
      </w:r>
      <w:r w:rsidR="008E0BA9">
        <w:t xml:space="preserve">, but </w:t>
      </w:r>
      <w:r w:rsidR="009B53F4">
        <w:t xml:space="preserve">success in </w:t>
      </w:r>
      <w:r w:rsidR="007428B8">
        <w:t xml:space="preserve">claims </w:t>
      </w:r>
      <w:r w:rsidR="009B53F4">
        <w:t>for economic loss requires an owner to prove ‘vulnerability’, which</w:t>
      </w:r>
      <w:r w:rsidR="00DC345A">
        <w:t xml:space="preserve"> can be </w:t>
      </w:r>
      <w:r w:rsidR="00515BE3">
        <w:t>difficult to prove</w:t>
      </w:r>
      <w:r w:rsidR="006D5F77">
        <w:t xml:space="preserve"> in relation to upstream </w:t>
      </w:r>
      <w:r w:rsidR="006D5F77">
        <w:lastRenderedPageBreak/>
        <w:t>participants</w:t>
      </w:r>
      <w:r w:rsidR="00515BE3">
        <w:t xml:space="preserve">. </w:t>
      </w:r>
      <w:r w:rsidR="00AD1A75">
        <w:t>Th</w:t>
      </w:r>
      <w:r w:rsidR="00E061AB">
        <w:t>e</w:t>
      </w:r>
      <w:r w:rsidR="00AD1A75">
        <w:t xml:space="preserve"> statutory duty of care </w:t>
      </w:r>
      <w:r w:rsidR="00515BE3">
        <w:t xml:space="preserve">could </w:t>
      </w:r>
      <w:r w:rsidR="00E061AB">
        <w:t>be capture</w:t>
      </w:r>
      <w:r w:rsidR="00136734">
        <w:t xml:space="preserve">d in all relevant </w:t>
      </w:r>
      <w:r w:rsidR="0006146B">
        <w:t>legislation. The</w:t>
      </w:r>
      <w:r w:rsidR="00F96484">
        <w:t xml:space="preserve"> Government </w:t>
      </w:r>
      <w:r w:rsidR="00136734">
        <w:t xml:space="preserve"> c</w:t>
      </w:r>
      <w:r w:rsidR="00F96484">
        <w:t xml:space="preserve">ould consider a statutory duty of care with the </w:t>
      </w:r>
      <w:r w:rsidR="004F23EF">
        <w:t>following feature</w:t>
      </w:r>
      <w:r w:rsidR="0006146B">
        <w:t>s:</w:t>
      </w:r>
    </w:p>
    <w:p w14:paraId="47D06D5A" w14:textId="3580DCF3" w:rsidR="004F23EF" w:rsidRPr="0043215B" w:rsidRDefault="004F23EF" w:rsidP="0043215B">
      <w:pPr>
        <w:rPr>
          <w:b/>
          <w:lang w:eastAsia="en-AU"/>
        </w:rPr>
      </w:pPr>
    </w:p>
    <w:p w14:paraId="222C7C66" w14:textId="55E16936" w:rsidR="005761F9" w:rsidRDefault="005761F9" w:rsidP="005900A8">
      <w:pPr>
        <w:pStyle w:val="Bullet"/>
        <w:numPr>
          <w:ilvl w:val="2"/>
          <w:numId w:val="3"/>
        </w:numPr>
        <w:ind w:left="680" w:hanging="340"/>
      </w:pPr>
      <w:r>
        <w:t>The duty would be owed to each owner of the land in relation to which construction work is carried out and to each subsequent owner of the land</w:t>
      </w:r>
      <w:r w:rsidR="0008446D">
        <w:t>.</w:t>
      </w:r>
    </w:p>
    <w:p w14:paraId="1FAD2A66" w14:textId="127C9E74" w:rsidR="005761F9" w:rsidRDefault="005761F9" w:rsidP="005900A8">
      <w:pPr>
        <w:pStyle w:val="Bullet"/>
        <w:numPr>
          <w:ilvl w:val="2"/>
          <w:numId w:val="3"/>
        </w:numPr>
        <w:ind w:left="680" w:hanging="340"/>
      </w:pPr>
      <w:r>
        <w:t>The duty would be non-delegable and parties would not be able to contract out of it</w:t>
      </w:r>
      <w:r w:rsidR="0008446D">
        <w:t>.</w:t>
      </w:r>
    </w:p>
    <w:p w14:paraId="5140609F" w14:textId="3F9BFA47" w:rsidR="005761F9" w:rsidRDefault="005761F9" w:rsidP="005900A8">
      <w:pPr>
        <w:pStyle w:val="Bullet"/>
        <w:numPr>
          <w:ilvl w:val="2"/>
          <w:numId w:val="3"/>
        </w:numPr>
        <w:ind w:left="680" w:hanging="340"/>
      </w:pPr>
      <w:r>
        <w:t>The duty would relate to a broad range of work, including building work</w:t>
      </w:r>
      <w:r w:rsidR="00D330B9">
        <w:t>;</w:t>
      </w:r>
      <w:r>
        <w:t xml:space="preserve"> preparation of designs</w:t>
      </w:r>
      <w:r w:rsidR="00D330B9">
        <w:t>;</w:t>
      </w:r>
      <w:r>
        <w:t xml:space="preserve"> manufacture and supply of building products</w:t>
      </w:r>
      <w:r w:rsidR="00D330B9">
        <w:t>;</w:t>
      </w:r>
      <w:r>
        <w:t xml:space="preserve"> and supervising, coordinating and project managing design and construction</w:t>
      </w:r>
      <w:r w:rsidR="0008446D">
        <w:t>.</w:t>
      </w:r>
      <w:r>
        <w:rPr>
          <w:rStyle w:val="EndnoteReference"/>
        </w:rPr>
        <w:endnoteReference w:id="20"/>
      </w:r>
    </w:p>
    <w:p w14:paraId="2A3034FE" w14:textId="5C8AACE5" w:rsidR="004F23EF" w:rsidRPr="004F23EF" w:rsidRDefault="005761F9" w:rsidP="005900A8">
      <w:pPr>
        <w:pStyle w:val="Bullet"/>
        <w:numPr>
          <w:ilvl w:val="2"/>
          <w:numId w:val="3"/>
        </w:numPr>
        <w:ind w:left="680" w:hanging="340"/>
      </w:pPr>
      <w:r>
        <w:t>The duty of care could apply to building work</w:t>
      </w:r>
      <w:r w:rsidR="004D4FFD">
        <w:t xml:space="preserve">, </w:t>
      </w:r>
      <w:r>
        <w:t>or other kinds of work</w:t>
      </w:r>
      <w:r w:rsidR="004D4FFD">
        <w:t>,</w:t>
      </w:r>
      <w:r>
        <w:t xml:space="preserve"> for a 10-year period (consistent with statutory warranties in the DBCA).</w:t>
      </w:r>
      <w:r>
        <w:rPr>
          <w:rStyle w:val="EndnoteReference"/>
        </w:rPr>
        <w:endnoteReference w:id="21"/>
      </w:r>
    </w:p>
    <w:p w14:paraId="1E800334" w14:textId="2C610ECD" w:rsidR="00426342" w:rsidRDefault="00426342" w:rsidP="00811082">
      <w:pPr>
        <w:pStyle w:val="Heading4"/>
      </w:pPr>
      <w:r>
        <w:t>Rationale</w:t>
      </w:r>
    </w:p>
    <w:p w14:paraId="47776134" w14:textId="34E59D62" w:rsidR="0028121E" w:rsidRDefault="009D63C7" w:rsidP="006644B9">
      <w:pPr>
        <w:rPr>
          <w:lang w:eastAsia="en-AU"/>
        </w:rPr>
      </w:pPr>
      <w:r>
        <w:rPr>
          <w:lang w:eastAsia="en-AU"/>
        </w:rPr>
        <w:t>Increasing statutory accountability for</w:t>
      </w:r>
      <w:r w:rsidR="006644B9">
        <w:rPr>
          <w:lang w:eastAsia="en-AU"/>
        </w:rPr>
        <w:t xml:space="preserve"> developers </w:t>
      </w:r>
      <w:r>
        <w:rPr>
          <w:lang w:eastAsia="en-AU"/>
        </w:rPr>
        <w:t>through implied warranties</w:t>
      </w:r>
      <w:r w:rsidR="003F7056">
        <w:rPr>
          <w:lang w:eastAsia="en-AU"/>
        </w:rPr>
        <w:t xml:space="preserve"> and </w:t>
      </w:r>
      <w:r>
        <w:rPr>
          <w:lang w:eastAsia="en-AU"/>
        </w:rPr>
        <w:t xml:space="preserve">a duty of care </w:t>
      </w:r>
      <w:r w:rsidR="00F027F9">
        <w:rPr>
          <w:lang w:eastAsia="en-AU"/>
        </w:rPr>
        <w:t>will</w:t>
      </w:r>
      <w:r w:rsidR="006644B9">
        <w:rPr>
          <w:lang w:eastAsia="en-AU"/>
        </w:rPr>
        <w:t xml:space="preserve"> clarify and </w:t>
      </w:r>
      <w:r w:rsidR="006644B9" w:rsidRPr="2079D5CB">
        <w:rPr>
          <w:lang w:eastAsia="en-AU"/>
        </w:rPr>
        <w:t>streng</w:t>
      </w:r>
      <w:r w:rsidR="006644B9">
        <w:rPr>
          <w:lang w:eastAsia="en-AU"/>
        </w:rPr>
        <w:t>t</w:t>
      </w:r>
      <w:r w:rsidR="006644B9" w:rsidRPr="2079D5CB">
        <w:rPr>
          <w:lang w:eastAsia="en-AU"/>
        </w:rPr>
        <w:t>hen the</w:t>
      </w:r>
      <w:r w:rsidR="006644B9">
        <w:rPr>
          <w:lang w:eastAsia="en-AU"/>
        </w:rPr>
        <w:t xml:space="preserve"> developer’s </w:t>
      </w:r>
      <w:r w:rsidR="00595178">
        <w:rPr>
          <w:lang w:eastAsia="en-AU"/>
        </w:rPr>
        <w:t>responsibility for</w:t>
      </w:r>
      <w:r w:rsidR="006644B9" w:rsidRPr="2079D5CB">
        <w:rPr>
          <w:lang w:eastAsia="en-AU"/>
        </w:rPr>
        <w:t xml:space="preserve"> </w:t>
      </w:r>
      <w:r w:rsidR="006644B9">
        <w:rPr>
          <w:lang w:eastAsia="en-AU"/>
        </w:rPr>
        <w:t>delivering safe and compliant buildings</w:t>
      </w:r>
      <w:r w:rsidR="00E637FD">
        <w:rPr>
          <w:lang w:eastAsia="en-AU"/>
        </w:rPr>
        <w:t>,</w:t>
      </w:r>
      <w:r w:rsidR="00020D2E">
        <w:rPr>
          <w:lang w:eastAsia="en-AU"/>
        </w:rPr>
        <w:t xml:space="preserve"> thereby</w:t>
      </w:r>
      <w:r w:rsidR="004A2D55">
        <w:rPr>
          <w:lang w:eastAsia="en-AU"/>
        </w:rPr>
        <w:t xml:space="preserve"> increasing</w:t>
      </w:r>
      <w:r w:rsidR="00DA2C19">
        <w:rPr>
          <w:lang w:eastAsia="en-AU"/>
        </w:rPr>
        <w:t xml:space="preserve"> both</w:t>
      </w:r>
      <w:r w:rsidR="004A2D55">
        <w:rPr>
          <w:lang w:eastAsia="en-AU"/>
        </w:rPr>
        <w:t xml:space="preserve"> the incentive to comply and the consequences for non-compliance</w:t>
      </w:r>
      <w:r w:rsidR="006644B9" w:rsidRPr="5B1EDB60">
        <w:rPr>
          <w:lang w:eastAsia="en-AU"/>
        </w:rPr>
        <w:t xml:space="preserve">. </w:t>
      </w:r>
      <w:r w:rsidR="00B92257">
        <w:rPr>
          <w:lang w:eastAsia="en-AU"/>
        </w:rPr>
        <w:t xml:space="preserve">Developers would also benefit from a </w:t>
      </w:r>
      <w:r w:rsidR="00136734">
        <w:rPr>
          <w:lang w:eastAsia="en-AU"/>
        </w:rPr>
        <w:t>duty of care</w:t>
      </w:r>
      <w:r w:rsidR="00B92257">
        <w:rPr>
          <w:lang w:eastAsia="en-AU"/>
        </w:rPr>
        <w:t>.</w:t>
      </w:r>
      <w:r w:rsidR="00136734">
        <w:rPr>
          <w:lang w:eastAsia="en-AU"/>
        </w:rPr>
        <w:t xml:space="preserve"> </w:t>
      </w:r>
      <w:r w:rsidR="0028121E" w:rsidRPr="00131923">
        <w:rPr>
          <w:lang w:eastAsia="en-AU"/>
        </w:rPr>
        <w:t xml:space="preserve">These extensions </w:t>
      </w:r>
      <w:r w:rsidR="00FC4EB4" w:rsidRPr="00131923">
        <w:rPr>
          <w:lang w:eastAsia="en-AU"/>
        </w:rPr>
        <w:t xml:space="preserve">would </w:t>
      </w:r>
      <w:r w:rsidR="00214528" w:rsidRPr="00131923">
        <w:rPr>
          <w:lang w:eastAsia="en-AU"/>
        </w:rPr>
        <w:t xml:space="preserve">better reflect </w:t>
      </w:r>
      <w:r w:rsidR="005E5A0F" w:rsidRPr="00131923">
        <w:rPr>
          <w:lang w:eastAsia="en-AU"/>
        </w:rPr>
        <w:t>shared responsibility in the building constructio</w:t>
      </w:r>
      <w:r w:rsidR="00192467" w:rsidRPr="00131923">
        <w:rPr>
          <w:lang w:eastAsia="en-AU"/>
        </w:rPr>
        <w:t xml:space="preserve">n </w:t>
      </w:r>
      <w:r w:rsidR="00AB5799" w:rsidRPr="00131923">
        <w:rPr>
          <w:lang w:eastAsia="en-AU"/>
        </w:rPr>
        <w:t>chain</w:t>
      </w:r>
      <w:r w:rsidR="00B92257">
        <w:rPr>
          <w:lang w:eastAsia="en-AU"/>
        </w:rPr>
        <w:t>,</w:t>
      </w:r>
      <w:r w:rsidR="000A7509" w:rsidRPr="00131923">
        <w:rPr>
          <w:lang w:eastAsia="en-AU"/>
        </w:rPr>
        <w:t xml:space="preserve"> ensure procedural fairness and </w:t>
      </w:r>
      <w:r w:rsidR="00136734">
        <w:rPr>
          <w:lang w:eastAsia="en-AU"/>
        </w:rPr>
        <w:t xml:space="preserve">improve </w:t>
      </w:r>
      <w:r w:rsidR="000A7509" w:rsidRPr="00131923">
        <w:rPr>
          <w:lang w:eastAsia="en-AU"/>
        </w:rPr>
        <w:t>avenues for appeal.</w:t>
      </w:r>
    </w:p>
    <w:p w14:paraId="71C3BD7E" w14:textId="77777777" w:rsidR="000C6E58" w:rsidRDefault="000C6E58" w:rsidP="000C6E58">
      <w:pPr>
        <w:pStyle w:val="Heading4"/>
      </w:pPr>
      <w:r>
        <w:t>Outcome</w:t>
      </w:r>
    </w:p>
    <w:p w14:paraId="7B16FB18" w14:textId="6616E7D3" w:rsidR="00A31025" w:rsidRDefault="00B92257" w:rsidP="009554FD">
      <w:pPr>
        <w:rPr>
          <w:lang w:eastAsia="en-AU"/>
        </w:rPr>
        <w:sectPr w:rsidR="00A31025" w:rsidSect="00B272D7">
          <w:footerReference w:type="default" r:id="rId45"/>
          <w:endnotePr>
            <w:numFmt w:val="decimal"/>
          </w:endnotePr>
          <w:type w:val="continuous"/>
          <w:pgSz w:w="11907" w:h="16839" w:code="9"/>
          <w:pgMar w:top="1418" w:right="1418" w:bottom="1701" w:left="1559" w:header="720" w:footer="720" w:gutter="0"/>
          <w:cols w:space="720"/>
          <w:docGrid w:linePitch="360"/>
        </w:sectPr>
      </w:pPr>
      <w:r>
        <w:rPr>
          <w:lang w:eastAsia="en-AU"/>
        </w:rPr>
        <w:t>Defective work should be reduced. With a duty of care in place  b</w:t>
      </w:r>
      <w:r w:rsidR="008C0C44">
        <w:rPr>
          <w:lang w:eastAsia="en-AU"/>
        </w:rPr>
        <w:t>uilding owners</w:t>
      </w:r>
      <w:r w:rsidR="00B15899">
        <w:rPr>
          <w:lang w:eastAsia="en-AU"/>
        </w:rPr>
        <w:t xml:space="preserve"> </w:t>
      </w:r>
      <w:r w:rsidR="00820623">
        <w:rPr>
          <w:lang w:eastAsia="en-AU"/>
        </w:rPr>
        <w:t xml:space="preserve">will </w:t>
      </w:r>
      <w:r w:rsidR="00B15899">
        <w:rPr>
          <w:lang w:eastAsia="en-AU"/>
        </w:rPr>
        <w:t xml:space="preserve">have </w:t>
      </w:r>
      <w:r w:rsidR="00AB47A4">
        <w:rPr>
          <w:lang w:eastAsia="en-AU"/>
        </w:rPr>
        <w:t>improved</w:t>
      </w:r>
      <w:r w:rsidR="00B15899">
        <w:rPr>
          <w:lang w:eastAsia="en-AU"/>
        </w:rPr>
        <w:t xml:space="preserve"> access to recourse for defective work</w:t>
      </w:r>
      <w:r w:rsidR="00632E27">
        <w:rPr>
          <w:lang w:eastAsia="en-AU"/>
        </w:rPr>
        <w:t xml:space="preserve">, </w:t>
      </w:r>
      <w:r>
        <w:rPr>
          <w:lang w:eastAsia="en-AU"/>
        </w:rPr>
        <w:t xml:space="preserve">with clear </w:t>
      </w:r>
      <w:r w:rsidR="008C51CA">
        <w:rPr>
          <w:lang w:eastAsia="en-AU"/>
        </w:rPr>
        <w:t xml:space="preserve"> </w:t>
      </w:r>
      <w:r w:rsidR="00632E27">
        <w:rPr>
          <w:lang w:eastAsia="en-AU"/>
        </w:rPr>
        <w:t>apportionment</w:t>
      </w:r>
      <w:r w:rsidR="008C51CA">
        <w:rPr>
          <w:lang w:eastAsia="en-AU"/>
        </w:rPr>
        <w:t xml:space="preserve"> of responsibility</w:t>
      </w:r>
      <w:r w:rsidR="00632E27">
        <w:rPr>
          <w:lang w:eastAsia="en-AU"/>
        </w:rPr>
        <w:t xml:space="preserve"> between developers, builders and other persons involved in building construction.</w:t>
      </w:r>
      <w:r>
        <w:rPr>
          <w:lang w:eastAsia="en-AU"/>
        </w:rPr>
        <w:t xml:space="preserve"> </w:t>
      </w:r>
    </w:p>
    <w:p w14:paraId="4CF544D1" w14:textId="77777777" w:rsidR="008B2E27" w:rsidRDefault="008B2E27" w:rsidP="009554FD">
      <w:pPr>
        <w:rPr>
          <w:lang w:eastAsia="en-AU"/>
        </w:rPr>
        <w:sectPr w:rsidR="008B2E27" w:rsidSect="00B272D7">
          <w:endnotePr>
            <w:numFmt w:val="decimal"/>
          </w:endnotePr>
          <w:type w:val="continuous"/>
          <w:pgSz w:w="11907" w:h="16839" w:code="9"/>
          <w:pgMar w:top="1418" w:right="1418" w:bottom="1701" w:left="1559" w:header="720" w:footer="720" w:gutter="0"/>
          <w:cols w:space="720"/>
          <w:docGrid w:linePitch="360"/>
        </w:sectPr>
      </w:pPr>
    </w:p>
    <w:p w14:paraId="333F7CAD" w14:textId="4C979A5C" w:rsidR="00632E27" w:rsidRDefault="00632E27" w:rsidP="009554FD">
      <w:pPr>
        <w:rPr>
          <w:lang w:eastAsia="en-AU"/>
        </w:rPr>
      </w:pPr>
    </w:p>
    <w:p w14:paraId="2D572118" w14:textId="1BA4CF46" w:rsidR="009F5844" w:rsidRDefault="009F5844" w:rsidP="009554FD">
      <w:pPr>
        <w:rPr>
          <w:lang w:eastAsia="en-AU"/>
        </w:rPr>
      </w:pPr>
    </w:p>
    <w:p w14:paraId="4BF49C4D" w14:textId="260823DA" w:rsidR="009554FD" w:rsidRPr="009554FD" w:rsidRDefault="008C0C44" w:rsidP="009554FD">
      <w:pPr>
        <w:rPr>
          <w:lang w:eastAsia="en-AU"/>
        </w:rPr>
        <w:sectPr w:rsidR="009554FD" w:rsidRPr="009554FD" w:rsidSect="00B272D7">
          <w:endnotePr>
            <w:numFmt w:val="decimal"/>
          </w:endnotePr>
          <w:type w:val="continuous"/>
          <w:pgSz w:w="11907" w:h="16839" w:code="9"/>
          <w:pgMar w:top="1418" w:right="1418" w:bottom="1701" w:left="1559" w:header="720" w:footer="720" w:gutter="0"/>
          <w:cols w:space="720"/>
          <w:docGrid w:linePitch="360"/>
        </w:sectPr>
      </w:pPr>
      <w:r>
        <w:rPr>
          <w:lang w:eastAsia="en-AU"/>
        </w:rPr>
        <w:t xml:space="preserve"> </w:t>
      </w:r>
    </w:p>
    <w:p w14:paraId="7BBE0D15" w14:textId="2E4715E6" w:rsidR="005A5E9E" w:rsidRDefault="00C3645D">
      <w:pPr>
        <w:pStyle w:val="Heading1"/>
        <w:rPr>
          <w:color w:val="FFFFFF" w:themeColor="background1"/>
        </w:rPr>
      </w:pPr>
      <w:bookmarkStart w:id="83" w:name="_Ref130555488"/>
      <w:bookmarkStart w:id="84" w:name="_Ref134298422"/>
      <w:bookmarkStart w:id="85" w:name="_Ref134298442"/>
      <w:bookmarkStart w:id="86" w:name="_Toc134356891"/>
      <w:r>
        <w:rPr>
          <w:noProof/>
          <w:color w:val="FFFFFF" w:themeColor="background1"/>
        </w:rPr>
        <w:lastRenderedPageBreak/>
        <w:drawing>
          <wp:anchor distT="0" distB="0" distL="114300" distR="114300" simplePos="0" relativeHeight="251658247" behindDoc="1" locked="0" layoutInCell="1" allowOverlap="1" wp14:anchorId="10F401F6" wp14:editId="50D90E49">
            <wp:simplePos x="0" y="0"/>
            <wp:positionH relativeFrom="column">
              <wp:posOffset>-990572</wp:posOffset>
            </wp:positionH>
            <wp:positionV relativeFrom="paragraph">
              <wp:posOffset>-884472</wp:posOffset>
            </wp:positionV>
            <wp:extent cx="7559675" cy="1621790"/>
            <wp:effectExtent l="0" t="0" r="317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59675" cy="1621790"/>
                    </a:xfrm>
                    <a:prstGeom prst="rect">
                      <a:avLst/>
                    </a:prstGeom>
                    <a:noFill/>
                  </pic:spPr>
                </pic:pic>
              </a:graphicData>
            </a:graphic>
            <wp14:sizeRelH relativeFrom="page">
              <wp14:pctWidth>0</wp14:pctWidth>
            </wp14:sizeRelH>
            <wp14:sizeRelV relativeFrom="page">
              <wp14:pctHeight>0</wp14:pctHeight>
            </wp14:sizeRelV>
          </wp:anchor>
        </w:drawing>
      </w:r>
      <w:r w:rsidR="00C26DB2" w:rsidRPr="00EE1AB1">
        <w:rPr>
          <w:color w:val="FFFFFF" w:themeColor="background1"/>
        </w:rPr>
        <w:t>Compliance</w:t>
      </w:r>
      <w:r w:rsidR="001F287B">
        <w:rPr>
          <w:color w:val="FFFFFF" w:themeColor="background1"/>
        </w:rPr>
        <w:t xml:space="preserve">, </w:t>
      </w:r>
      <w:r w:rsidR="00C26DB2" w:rsidRPr="00EE1AB1">
        <w:rPr>
          <w:color w:val="FFFFFF" w:themeColor="background1"/>
        </w:rPr>
        <w:t>enforcement</w:t>
      </w:r>
      <w:bookmarkEnd w:id="83"/>
      <w:r w:rsidR="001F287B">
        <w:rPr>
          <w:color w:val="FFFFFF" w:themeColor="background1"/>
        </w:rPr>
        <w:t xml:space="preserve"> and discipline</w:t>
      </w:r>
      <w:bookmarkEnd w:id="84"/>
      <w:bookmarkEnd w:id="85"/>
      <w:bookmarkEnd w:id="86"/>
    </w:p>
    <w:p w14:paraId="44CC7820" w14:textId="7F2AF43D" w:rsidR="00694E70" w:rsidRPr="00694E70" w:rsidRDefault="00694E70" w:rsidP="00694E70">
      <w:pPr>
        <w:rPr>
          <w:lang w:eastAsia="en-AU"/>
        </w:rPr>
      </w:pPr>
    </w:p>
    <w:p w14:paraId="3348EDF1" w14:textId="6AEC917F" w:rsidR="004F0C53" w:rsidRDefault="004F0C53" w:rsidP="004F0C53"/>
    <w:p w14:paraId="0CA484B3" w14:textId="1C9378C6" w:rsidR="0055486F" w:rsidRDefault="00154201" w:rsidP="00D34D57">
      <w:r w:rsidRPr="0002182B">
        <w:t xml:space="preserve">Compliance monitoring, enforcement and discipline are </w:t>
      </w:r>
      <w:r w:rsidR="0012227A" w:rsidRPr="0002182B">
        <w:t>critical</w:t>
      </w:r>
      <w:r w:rsidRPr="0002182B">
        <w:t xml:space="preserve"> tools to identify and respond to non-compliant building work and poor practitioner conduct</w:t>
      </w:r>
      <w:r w:rsidR="00E61805" w:rsidRPr="0002182B">
        <w:t>,</w:t>
      </w:r>
      <w:r w:rsidRPr="0002182B">
        <w:t xml:space="preserve"> and to encourage industry to proactively comply with legislative requirements. </w:t>
      </w:r>
      <w:r w:rsidR="0055486F" w:rsidRPr="0002182B">
        <w:t xml:space="preserve">Victoria’s building </w:t>
      </w:r>
      <w:r w:rsidR="008B709B" w:rsidRPr="0002182B">
        <w:t xml:space="preserve">regulatory </w:t>
      </w:r>
      <w:r w:rsidR="0055486F" w:rsidRPr="0002182B">
        <w:t>system includes a range of entities with co-regulatory responsibilities for monitoring</w:t>
      </w:r>
      <w:r w:rsidR="00033113" w:rsidRPr="0002182B">
        <w:t xml:space="preserve"> and </w:t>
      </w:r>
      <w:r w:rsidR="0055486F" w:rsidRPr="0002182B">
        <w:t>enforcing compliance</w:t>
      </w:r>
      <w:r w:rsidR="00033113" w:rsidRPr="0002182B">
        <w:t>. The Act further provides specific tools and powers in building approvals and disciplinary processes to respond to non-compliance and rectify defective building work.</w:t>
      </w:r>
    </w:p>
    <w:p w14:paraId="0B1B7AE7" w14:textId="41CA65C7" w:rsidR="008B6215" w:rsidRDefault="00F6761C" w:rsidP="00F6761C">
      <w:r w:rsidRPr="00D5201D">
        <w:t>These tools can also have a substantial impact in preventing the occurrence and escalation of building disputes</w:t>
      </w:r>
      <w:r w:rsidR="008B6215" w:rsidRPr="00D5201D">
        <w:t>. As domestic building disputes commonly involve legislative non-compliance, dealing with non-compliant building work through the regulatory system should reduce the need for consumers to take time-consuming and expensive private action to address defective building work.</w:t>
      </w:r>
      <w:r w:rsidR="008B6215">
        <w:t xml:space="preserve"> </w:t>
      </w:r>
    </w:p>
    <w:p w14:paraId="2843EF41" w14:textId="574DFE47" w:rsidR="000A754D" w:rsidRDefault="000A754D" w:rsidP="00E945CD">
      <w:r>
        <w:t xml:space="preserve">In Stage 1, the Panel made recommendations to strengthen regulatory oversight of </w:t>
      </w:r>
      <w:r w:rsidR="005F6CC2">
        <w:t xml:space="preserve">building practitioners and </w:t>
      </w:r>
      <w:r w:rsidR="005D7049">
        <w:t xml:space="preserve">proposed </w:t>
      </w:r>
      <w:r w:rsidR="00EF6D5D">
        <w:t xml:space="preserve">that </w:t>
      </w:r>
      <w:r w:rsidR="009471B9">
        <w:t>the</w:t>
      </w:r>
      <w:r w:rsidR="00EF6D5D">
        <w:t xml:space="preserve"> VBA is supported to become a contemporary best practice regulator. In Stage 2</w:t>
      </w:r>
      <w:r w:rsidR="00A571B3">
        <w:t>,</w:t>
      </w:r>
      <w:r w:rsidR="00EF6D5D">
        <w:t xml:space="preserve"> the Panel is focused on the tools and powers that </w:t>
      </w:r>
      <w:r w:rsidR="00094C4F">
        <w:t xml:space="preserve">are needed to </w:t>
      </w:r>
      <w:r w:rsidR="004E0600">
        <w:t>enforce compliance</w:t>
      </w:r>
      <w:r w:rsidR="0099772A">
        <w:t>.</w:t>
      </w:r>
      <w:r w:rsidR="00CB6F53">
        <w:t xml:space="preserve"> </w:t>
      </w:r>
    </w:p>
    <w:p w14:paraId="3A565235" w14:textId="79EB9E8C" w:rsidR="00A11C62" w:rsidRDefault="00B80CA0" w:rsidP="00B80CA0">
      <w:r>
        <w:t>This</w:t>
      </w:r>
      <w:r w:rsidR="0099772A">
        <w:t xml:space="preserve"> chapter</w:t>
      </w:r>
      <w:r>
        <w:t xml:space="preserve"> provides an overview of </w:t>
      </w:r>
      <w:r w:rsidR="0015042C">
        <w:t xml:space="preserve">compliance, enforcement and discipline in the building </w:t>
      </w:r>
      <w:r w:rsidR="006C3C50">
        <w:t xml:space="preserve">regulatory </w:t>
      </w:r>
      <w:r w:rsidR="0015042C">
        <w:t>system</w:t>
      </w:r>
      <w:r w:rsidR="00A33D14">
        <w:t>, specifically</w:t>
      </w:r>
      <w:r w:rsidR="0015042C">
        <w:t xml:space="preserve"> the roles, responsibilities, tools and powers. </w:t>
      </w:r>
      <w:r>
        <w:t xml:space="preserve">It sets out the key issues </w:t>
      </w:r>
      <w:r w:rsidR="00375AF3">
        <w:t>of</w:t>
      </w:r>
      <w:r>
        <w:t xml:space="preserve"> the current system and</w:t>
      </w:r>
      <w:r w:rsidR="00154201">
        <w:t xml:space="preserve"> </w:t>
      </w:r>
      <w:r w:rsidR="0015042C">
        <w:t xml:space="preserve">proposes two </w:t>
      </w:r>
      <w:r w:rsidR="003918E4">
        <w:t xml:space="preserve">recommendations </w:t>
      </w:r>
      <w:r w:rsidR="009745E8">
        <w:t xml:space="preserve">related to compliance, enforcement and discipline. </w:t>
      </w:r>
    </w:p>
    <w:p w14:paraId="02D4F4D5" w14:textId="10F8A170" w:rsidR="002141FE" w:rsidRDefault="002141FE" w:rsidP="002141FE">
      <w:r>
        <w:rPr>
          <w:b/>
          <w:bCs/>
        </w:rPr>
        <w:t>Proposed recommendations described in this chapter include</w:t>
      </w:r>
      <w:r w:rsidR="00AE7BF9">
        <w:rPr>
          <w:b/>
          <w:bCs/>
        </w:rPr>
        <w:t xml:space="preserve"> reforms to the Building Act to </w:t>
      </w:r>
      <w:r w:rsidR="002C6CA0">
        <w:rPr>
          <w:b/>
          <w:bCs/>
        </w:rPr>
        <w:t>amend existing tools and powers to address accountability gaps</w:t>
      </w:r>
      <w:r w:rsidR="006615CE">
        <w:rPr>
          <w:b/>
          <w:bCs/>
        </w:rPr>
        <w:t>,</w:t>
      </w:r>
      <w:r w:rsidR="002C6CA0">
        <w:rPr>
          <w:b/>
          <w:bCs/>
        </w:rPr>
        <w:t xml:space="preserve"> </w:t>
      </w:r>
      <w:r w:rsidR="0002032E">
        <w:rPr>
          <w:b/>
          <w:bCs/>
        </w:rPr>
        <w:t>and practice reforms to improve the transparency and timelines</w:t>
      </w:r>
      <w:r w:rsidR="006E47C0">
        <w:rPr>
          <w:b/>
          <w:bCs/>
        </w:rPr>
        <w:t>s</w:t>
      </w:r>
      <w:r w:rsidR="0002032E">
        <w:rPr>
          <w:b/>
          <w:bCs/>
        </w:rPr>
        <w:t xml:space="preserve"> of disciplinary outcomes.</w:t>
      </w:r>
    </w:p>
    <w:p w14:paraId="2CBDA7A3" w14:textId="77777777" w:rsidR="002141FE" w:rsidRDefault="002141FE" w:rsidP="00B80CA0"/>
    <w:p w14:paraId="44E95A27" w14:textId="6859ECA2" w:rsidR="00496833" w:rsidRDefault="00496833" w:rsidP="00496833">
      <w:pPr>
        <w:pStyle w:val="Heading2"/>
      </w:pPr>
      <w:bookmarkStart w:id="87" w:name="_Toc131428701"/>
      <w:bookmarkStart w:id="88" w:name="_Toc134352859"/>
      <w:bookmarkStart w:id="89" w:name="_Toc134356892"/>
      <w:r>
        <w:t xml:space="preserve">Overview of current </w:t>
      </w:r>
      <w:r w:rsidR="00807640">
        <w:t>compliance</w:t>
      </w:r>
      <w:r w:rsidR="009745E8">
        <w:t xml:space="preserve">, </w:t>
      </w:r>
      <w:r w:rsidR="00807640">
        <w:t xml:space="preserve">enforcement </w:t>
      </w:r>
      <w:r w:rsidR="009745E8">
        <w:t>and disciplinary processes</w:t>
      </w:r>
      <w:bookmarkEnd w:id="87"/>
      <w:bookmarkEnd w:id="88"/>
      <w:bookmarkEnd w:id="89"/>
      <w:r w:rsidR="009745E8">
        <w:t xml:space="preserve"> </w:t>
      </w:r>
    </w:p>
    <w:p w14:paraId="1049EAF1" w14:textId="4CAA9505" w:rsidR="004E35DD" w:rsidRDefault="004E35DD" w:rsidP="004E35DD">
      <w:pPr>
        <w:rPr>
          <w:lang w:eastAsia="en-AU"/>
        </w:rPr>
      </w:pPr>
      <w:r>
        <w:rPr>
          <w:lang w:eastAsia="en-AU"/>
        </w:rPr>
        <w:t>This section provides an overview of the current roles, responsibilities and powers for compliance</w:t>
      </w:r>
      <w:r w:rsidR="00D443ED">
        <w:rPr>
          <w:lang w:eastAsia="en-AU"/>
        </w:rPr>
        <w:t xml:space="preserve"> and enforcement</w:t>
      </w:r>
      <w:r w:rsidR="00C772A9">
        <w:rPr>
          <w:lang w:eastAsia="en-AU"/>
        </w:rPr>
        <w:t xml:space="preserve">. It outlines: </w:t>
      </w:r>
    </w:p>
    <w:p w14:paraId="17BE3D15" w14:textId="14734D4A" w:rsidR="00EA3037" w:rsidRDefault="00EA3037" w:rsidP="00EA3037">
      <w:pPr>
        <w:pStyle w:val="Bullet"/>
      </w:pPr>
      <w:r>
        <w:t xml:space="preserve">the entities with compliance </w:t>
      </w:r>
      <w:r w:rsidR="00BE7110">
        <w:t>and enforcement</w:t>
      </w:r>
      <w:r>
        <w:t xml:space="preserve"> roles and responsibilities; and</w:t>
      </w:r>
    </w:p>
    <w:p w14:paraId="783A1E6D" w14:textId="1D1A0BCC" w:rsidR="00EA3037" w:rsidRDefault="00EA3037" w:rsidP="00EA3037">
      <w:pPr>
        <w:pStyle w:val="Bullet"/>
      </w:pPr>
      <w:r>
        <w:t>the tools and powers available to co-regulators across building approvals, enforcement and disciplinary processes to ensure compliant practitioner conduct and building work.</w:t>
      </w:r>
    </w:p>
    <w:p w14:paraId="3FF9197F" w14:textId="03F4F399" w:rsidR="00C772A9" w:rsidRDefault="00F22819" w:rsidP="00F22819">
      <w:pPr>
        <w:pStyle w:val="Heading4"/>
      </w:pPr>
      <w:r>
        <w:t xml:space="preserve">The building system has a range of </w:t>
      </w:r>
      <w:r w:rsidR="0012227A">
        <w:t>entities</w:t>
      </w:r>
      <w:r>
        <w:t xml:space="preserve"> with co-regulatory responsibilities</w:t>
      </w:r>
    </w:p>
    <w:p w14:paraId="5BB6BFF6" w14:textId="0179F096" w:rsidR="00A31025" w:rsidRDefault="00F22819" w:rsidP="00F22819">
      <w:pPr>
        <w:rPr>
          <w:lang w:eastAsia="en-AU"/>
        </w:rPr>
        <w:sectPr w:rsidR="00A31025" w:rsidSect="00C332AB">
          <w:headerReference w:type="even" r:id="rId47"/>
          <w:headerReference w:type="default" r:id="rId48"/>
          <w:footerReference w:type="default" r:id="rId49"/>
          <w:headerReference w:type="first" r:id="rId50"/>
          <w:endnotePr>
            <w:numFmt w:val="decimal"/>
          </w:endnotePr>
          <w:pgSz w:w="11907" w:h="16839" w:code="9"/>
          <w:pgMar w:top="1418" w:right="1418" w:bottom="1701" w:left="1559" w:header="720" w:footer="720" w:gutter="0"/>
          <w:cols w:space="720"/>
          <w:docGrid w:linePitch="360"/>
        </w:sectPr>
      </w:pPr>
      <w:r>
        <w:rPr>
          <w:lang w:eastAsia="en-AU"/>
        </w:rPr>
        <w:t xml:space="preserve">Victoria’s building regulatory system is overseen by a broad range of </w:t>
      </w:r>
      <w:r w:rsidR="0012227A">
        <w:rPr>
          <w:lang w:eastAsia="en-AU"/>
        </w:rPr>
        <w:t>entities</w:t>
      </w:r>
      <w:r>
        <w:rPr>
          <w:lang w:eastAsia="en-AU"/>
        </w:rPr>
        <w:t xml:space="preserve"> </w:t>
      </w:r>
      <w:r w:rsidR="002B7F3C">
        <w:rPr>
          <w:lang w:eastAsia="en-AU"/>
        </w:rPr>
        <w:t>with</w:t>
      </w:r>
      <w:r>
        <w:rPr>
          <w:lang w:eastAsia="en-AU"/>
        </w:rPr>
        <w:t xml:space="preserve"> different co-regulatory responsibilities for monitoring and enforcing compliance. The roles of key entities </w:t>
      </w:r>
      <w:r w:rsidR="00F0797E">
        <w:rPr>
          <w:lang w:eastAsia="en-AU"/>
        </w:rPr>
        <w:t>are</w:t>
      </w:r>
      <w:r>
        <w:rPr>
          <w:lang w:eastAsia="en-AU"/>
        </w:rPr>
        <w:t xml:space="preserve"> depicted in</w:t>
      </w:r>
      <w:r w:rsidR="003A7ECE">
        <w:rPr>
          <w:lang w:eastAsia="en-AU"/>
        </w:rPr>
        <w:t xml:space="preserve"> </w:t>
      </w:r>
      <w:r w:rsidR="003A7ECE">
        <w:rPr>
          <w:lang w:eastAsia="en-AU"/>
        </w:rPr>
        <w:fldChar w:fldCharType="begin"/>
      </w:r>
      <w:r w:rsidR="003A7ECE">
        <w:rPr>
          <w:lang w:eastAsia="en-AU"/>
        </w:rPr>
        <w:instrText xml:space="preserve"> REF _Ref130470554 \h </w:instrText>
      </w:r>
      <w:r w:rsidR="003A7ECE">
        <w:rPr>
          <w:lang w:eastAsia="en-AU"/>
        </w:rPr>
      </w:r>
      <w:r w:rsidR="003A7ECE">
        <w:rPr>
          <w:lang w:eastAsia="en-AU"/>
        </w:rPr>
        <w:fldChar w:fldCharType="separate"/>
      </w:r>
      <w:r w:rsidR="00E15D2D">
        <w:t xml:space="preserve">Figure </w:t>
      </w:r>
      <w:r w:rsidR="00E15D2D">
        <w:rPr>
          <w:noProof/>
        </w:rPr>
        <w:t>5</w:t>
      </w:r>
      <w:r w:rsidR="003A7ECE">
        <w:rPr>
          <w:lang w:eastAsia="en-AU"/>
        </w:rPr>
        <w:fldChar w:fldCharType="end"/>
      </w:r>
      <w:r w:rsidR="00070F90">
        <w:rPr>
          <w:lang w:eastAsia="en-AU"/>
        </w:rPr>
        <w:t>.</w:t>
      </w:r>
    </w:p>
    <w:p w14:paraId="1CE08EF1" w14:textId="77777777" w:rsidR="00A31025" w:rsidRDefault="00A31025" w:rsidP="00F22819">
      <w:pPr>
        <w:rPr>
          <w:lang w:eastAsia="en-AU"/>
        </w:rPr>
        <w:sectPr w:rsidR="00A31025" w:rsidSect="00A31025">
          <w:endnotePr>
            <w:numFmt w:val="decimal"/>
          </w:endnotePr>
          <w:type w:val="continuous"/>
          <w:pgSz w:w="11907" w:h="16839" w:code="9"/>
          <w:pgMar w:top="1418" w:right="1418" w:bottom="1701" w:left="1559" w:header="720" w:footer="720" w:gutter="0"/>
          <w:cols w:space="720"/>
          <w:docGrid w:linePitch="360"/>
        </w:sectPr>
      </w:pPr>
    </w:p>
    <w:p w14:paraId="3DC0A436" w14:textId="12669036" w:rsidR="00F22819" w:rsidRDefault="00F22819" w:rsidP="00F22819">
      <w:pPr>
        <w:rPr>
          <w:lang w:eastAsia="en-AU"/>
        </w:rPr>
      </w:pPr>
    </w:p>
    <w:p w14:paraId="433E21FC" w14:textId="3158771B" w:rsidR="00CD7A45" w:rsidRDefault="00CD7A45" w:rsidP="00CD7A45">
      <w:pPr>
        <w:pStyle w:val="Caption"/>
      </w:pPr>
      <w:bookmarkStart w:id="90" w:name="_Ref130470554"/>
      <w:r>
        <w:lastRenderedPageBreak/>
        <w:t xml:space="preserve">Figure </w:t>
      </w:r>
      <w:r w:rsidR="00CD291D">
        <w:fldChar w:fldCharType="begin"/>
      </w:r>
      <w:r w:rsidR="00CD291D">
        <w:instrText xml:space="preserve"> SEQ Figure \* ARABIC </w:instrText>
      </w:r>
      <w:r w:rsidR="00CD291D">
        <w:fldChar w:fldCharType="separate"/>
      </w:r>
      <w:r w:rsidR="00E15D2D">
        <w:rPr>
          <w:noProof/>
        </w:rPr>
        <w:t>5</w:t>
      </w:r>
      <w:r w:rsidR="00CD291D">
        <w:fldChar w:fldCharType="end"/>
      </w:r>
      <w:bookmarkEnd w:id="90"/>
      <w:r>
        <w:t xml:space="preserve"> | Co-regulatory </w:t>
      </w:r>
      <w:r w:rsidR="0012227A">
        <w:t>entities</w:t>
      </w:r>
      <w:r>
        <w:t xml:space="preserve"> in Victoria's building </w:t>
      </w:r>
      <w:r w:rsidR="0073490F">
        <w:t xml:space="preserve">regulatory </w:t>
      </w:r>
      <w:r>
        <w:t>system</w:t>
      </w:r>
    </w:p>
    <w:p w14:paraId="42E85309" w14:textId="709EB57F" w:rsidR="00CD7A45" w:rsidRDefault="0090011B" w:rsidP="00F22819">
      <w:pPr>
        <w:rPr>
          <w:lang w:eastAsia="en-AU"/>
        </w:rPr>
      </w:pPr>
      <w:r w:rsidRPr="0090011B">
        <w:rPr>
          <w:noProof/>
        </w:rPr>
        <w:drawing>
          <wp:inline distT="0" distB="0" distL="0" distR="0" wp14:anchorId="7DBCCD6B" wp14:editId="7A003C58">
            <wp:extent cx="5670550" cy="3214370"/>
            <wp:effectExtent l="0" t="0" r="6350" b="5080"/>
            <wp:docPr id="27969" name="Picture 2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70550" cy="3214370"/>
                    </a:xfrm>
                    <a:prstGeom prst="rect">
                      <a:avLst/>
                    </a:prstGeom>
                    <a:noFill/>
                    <a:ln>
                      <a:noFill/>
                    </a:ln>
                  </pic:spPr>
                </pic:pic>
              </a:graphicData>
            </a:graphic>
          </wp:inline>
        </w:drawing>
      </w:r>
    </w:p>
    <w:p w14:paraId="480675D9" w14:textId="5E1D03F0" w:rsidR="003A7ECE" w:rsidRDefault="003E1A8F" w:rsidP="00F22819">
      <w:r w:rsidRPr="003E1A8F">
        <w:rPr>
          <w:b/>
          <w:lang w:eastAsia="en-AU"/>
        </w:rPr>
        <w:t>The VBA</w:t>
      </w:r>
      <w:r>
        <w:t xml:space="preserve"> is the p</w:t>
      </w:r>
      <w:r w:rsidR="00153A64">
        <w:t>rincipal</w:t>
      </w:r>
      <w:r>
        <w:t xml:space="preserve"> regulator of building and plumbing practitioners in Victoria</w:t>
      </w:r>
      <w:r w:rsidR="00063BCB">
        <w:t>. The VBA</w:t>
      </w:r>
      <w:r w:rsidR="000C7D7E">
        <w:t>’</w:t>
      </w:r>
      <w:r w:rsidR="00063BCB">
        <w:t xml:space="preserve">s functions are established under section 197 of the Building Act and include </w:t>
      </w:r>
      <w:r w:rsidR="00EB0AB8">
        <w:t xml:space="preserve">monitoring and enforcing compliance and supervising </w:t>
      </w:r>
      <w:r w:rsidR="008143A0">
        <w:t xml:space="preserve">and monitoring the conduct of registered practitioners, including </w:t>
      </w:r>
      <w:r w:rsidR="00F66C11">
        <w:t xml:space="preserve">through </w:t>
      </w:r>
      <w:r w:rsidR="008143A0">
        <w:t xml:space="preserve">disciplinary action. </w:t>
      </w:r>
    </w:p>
    <w:p w14:paraId="49E6DB26" w14:textId="10C1E441" w:rsidR="006A295B" w:rsidRDefault="006A295B" w:rsidP="00F22819">
      <w:r w:rsidRPr="0055797B">
        <w:rPr>
          <w:b/>
          <w:bCs/>
        </w:rPr>
        <w:t>Local Councils (through the Munic</w:t>
      </w:r>
      <w:r w:rsidR="006C1394" w:rsidRPr="0055797B">
        <w:rPr>
          <w:b/>
          <w:bCs/>
        </w:rPr>
        <w:t>ipal Building Surveyor</w:t>
      </w:r>
      <w:r w:rsidR="00C40419" w:rsidRPr="0055797B">
        <w:rPr>
          <w:b/>
          <w:bCs/>
        </w:rPr>
        <w:t xml:space="preserve"> (MBS)</w:t>
      </w:r>
      <w:r w:rsidR="006C1394" w:rsidRPr="0055797B">
        <w:rPr>
          <w:b/>
          <w:bCs/>
        </w:rPr>
        <w:t>)</w:t>
      </w:r>
      <w:r w:rsidR="00C40419">
        <w:t xml:space="preserve"> are responsible for </w:t>
      </w:r>
      <w:r w:rsidR="00B424B3">
        <w:t xml:space="preserve">administration and the enforcement </w:t>
      </w:r>
      <w:r w:rsidR="00C40419">
        <w:t>of</w:t>
      </w:r>
      <w:r w:rsidR="00BD3ECC">
        <w:t xml:space="preserve"> Parts 3, 4, 5, 7 and 8 of the Act and Regulations within their municipality. Their role is</w:t>
      </w:r>
      <w:r w:rsidR="0055797B">
        <w:t xml:space="preserve"> outlined in section 212 of the Building Act.</w:t>
      </w:r>
    </w:p>
    <w:p w14:paraId="5D61E217" w14:textId="2A5E5298" w:rsidR="00686E5D" w:rsidRDefault="00686E5D" w:rsidP="00F22819">
      <w:r w:rsidRPr="00686E5D">
        <w:rPr>
          <w:b/>
          <w:bCs/>
        </w:rPr>
        <w:t>The Relevant Building Surveyor (RBS)</w:t>
      </w:r>
      <w:r>
        <w:t xml:space="preserve"> </w:t>
      </w:r>
      <w:r w:rsidR="009D294C">
        <w:t xml:space="preserve">. </w:t>
      </w:r>
      <w:r w:rsidR="00531437" w:rsidRPr="00A35D79">
        <w:t>In addition to issuing permits, certifying compliance of building work and designs</w:t>
      </w:r>
      <w:r w:rsidR="00531437">
        <w:t>,</w:t>
      </w:r>
      <w:r w:rsidR="00531437" w:rsidRPr="00A35D79">
        <w:t xml:space="preserve"> and conducting inspections</w:t>
      </w:r>
      <w:r w:rsidR="00531437">
        <w:t>, th</w:t>
      </w:r>
      <w:r w:rsidR="00531437" w:rsidRPr="00A35D79">
        <w:t xml:space="preserve">e RBS has powers under the Act to </w:t>
      </w:r>
      <w:r w:rsidR="00531437">
        <w:t>require</w:t>
      </w:r>
      <w:r w:rsidR="00531437" w:rsidRPr="00A35D79">
        <w:t xml:space="preserve"> building work </w:t>
      </w:r>
      <w:r w:rsidR="00531437">
        <w:t>to be brought</w:t>
      </w:r>
      <w:r w:rsidR="00531437" w:rsidRPr="00A35D79">
        <w:t xml:space="preserve"> into compliance during building approval</w:t>
      </w:r>
      <w:r w:rsidR="00531437">
        <w:t xml:space="preserve"> </w:t>
      </w:r>
      <w:r w:rsidR="00531437" w:rsidRPr="00A35D79">
        <w:t>processes.</w:t>
      </w:r>
    </w:p>
    <w:p w14:paraId="455F0CBB" w14:textId="5405C2A4" w:rsidR="00FD49CA" w:rsidRPr="00686E5D" w:rsidRDefault="00531437" w:rsidP="00F22819">
      <w:r>
        <w:t xml:space="preserve">Other entities also play a role in the building regulatory system. </w:t>
      </w:r>
      <w:r w:rsidR="00281566">
        <w:t>These include</w:t>
      </w:r>
      <w:r w:rsidR="00FD49CA" w:rsidDel="00531437">
        <w:t xml:space="preserve"> </w:t>
      </w:r>
      <w:r w:rsidR="003C0492">
        <w:t xml:space="preserve">the </w:t>
      </w:r>
      <w:r w:rsidR="00AE7430" w:rsidRPr="00CC216A">
        <w:rPr>
          <w:b/>
        </w:rPr>
        <w:t>ARBV</w:t>
      </w:r>
      <w:r w:rsidR="00121D2C">
        <w:t>,</w:t>
      </w:r>
      <w:r w:rsidR="00AE7430">
        <w:t xml:space="preserve"> </w:t>
      </w:r>
      <w:r w:rsidR="00140440">
        <w:t>which</w:t>
      </w:r>
      <w:r w:rsidR="00AE7430">
        <w:t xml:space="preserve"> </w:t>
      </w:r>
      <w:r w:rsidR="00880E48">
        <w:t>regulate</w:t>
      </w:r>
      <w:r w:rsidR="005D7049">
        <w:t>s</w:t>
      </w:r>
      <w:r w:rsidR="00880E48">
        <w:t xml:space="preserve"> the conduct of architects</w:t>
      </w:r>
      <w:r w:rsidR="00121D2C">
        <w:t>;</w:t>
      </w:r>
      <w:r w:rsidR="00880E48">
        <w:t xml:space="preserve"> </w:t>
      </w:r>
      <w:r w:rsidR="00880E48" w:rsidRPr="00456B1E">
        <w:rPr>
          <w:b/>
          <w:bCs/>
        </w:rPr>
        <w:t>Energy Safe Victoria</w:t>
      </w:r>
      <w:r w:rsidR="00880E48">
        <w:t xml:space="preserve"> (ESV)</w:t>
      </w:r>
      <w:r w:rsidR="00121D2C">
        <w:t>,</w:t>
      </w:r>
      <w:r w:rsidR="00880E48">
        <w:t xml:space="preserve"> </w:t>
      </w:r>
      <w:r w:rsidR="00140440">
        <w:t>which</w:t>
      </w:r>
      <w:r w:rsidR="00880E48">
        <w:t xml:space="preserve"> regulate</w:t>
      </w:r>
      <w:r w:rsidR="005D7049">
        <w:t>s</w:t>
      </w:r>
      <w:r w:rsidR="00880E48">
        <w:t xml:space="preserve"> electricity and gas in Victoria</w:t>
      </w:r>
      <w:r w:rsidR="00121D2C">
        <w:t>;</w:t>
      </w:r>
      <w:r w:rsidR="00880E48">
        <w:t xml:space="preserve"> </w:t>
      </w:r>
      <w:r w:rsidR="00880E48" w:rsidRPr="00456B1E">
        <w:rPr>
          <w:b/>
          <w:bCs/>
        </w:rPr>
        <w:t>relevant fire authoritie</w:t>
      </w:r>
      <w:r w:rsidR="00B861F3" w:rsidRPr="00456B1E">
        <w:rPr>
          <w:b/>
          <w:bCs/>
        </w:rPr>
        <w:t>s</w:t>
      </w:r>
      <w:r w:rsidR="00121D2C" w:rsidRPr="00121D2C">
        <w:t>,</w:t>
      </w:r>
      <w:r w:rsidR="00B861F3">
        <w:t xml:space="preserve"> </w:t>
      </w:r>
      <w:r w:rsidR="00140440">
        <w:t>which</w:t>
      </w:r>
      <w:r w:rsidR="00B861F3">
        <w:t xml:space="preserve"> oversee fire safety elements of building work</w:t>
      </w:r>
      <w:r w:rsidR="00121D2C">
        <w:t>;</w:t>
      </w:r>
      <w:r w:rsidR="00B861F3">
        <w:t xml:space="preserve"> and </w:t>
      </w:r>
      <w:r w:rsidR="00B861F3" w:rsidRPr="00456B1E">
        <w:rPr>
          <w:b/>
          <w:bCs/>
        </w:rPr>
        <w:t>WorkSafe</w:t>
      </w:r>
      <w:r w:rsidR="00456B1E">
        <w:t xml:space="preserve"> </w:t>
      </w:r>
      <w:r w:rsidR="00456B1E" w:rsidRPr="00456B1E">
        <w:rPr>
          <w:b/>
          <w:bCs/>
        </w:rPr>
        <w:t>Victoria</w:t>
      </w:r>
      <w:r w:rsidR="000B449C">
        <w:rPr>
          <w:b/>
          <w:bCs/>
        </w:rPr>
        <w:t xml:space="preserve"> </w:t>
      </w:r>
      <w:r w:rsidR="000B449C">
        <w:t>(WSV)</w:t>
      </w:r>
      <w:r w:rsidR="00121D2C" w:rsidRPr="00121D2C">
        <w:t>,</w:t>
      </w:r>
      <w:r w:rsidR="00B861F3">
        <w:t xml:space="preserve"> </w:t>
      </w:r>
      <w:r w:rsidR="0017789A">
        <w:t>which</w:t>
      </w:r>
      <w:r w:rsidR="00B861F3">
        <w:t xml:space="preserve"> </w:t>
      </w:r>
      <w:r w:rsidR="005D7049">
        <w:t xml:space="preserve">is the workplace health and safety regulator </w:t>
      </w:r>
      <w:r w:rsidR="00456B1E">
        <w:t>.</w:t>
      </w:r>
      <w:r w:rsidR="00B861F3">
        <w:t xml:space="preserve"> </w:t>
      </w:r>
    </w:p>
    <w:p w14:paraId="192F5C8E" w14:textId="01C0905B" w:rsidR="0046267F" w:rsidRDefault="008C4BB3" w:rsidP="00D2431C">
      <w:pPr>
        <w:pStyle w:val="Heading4"/>
      </w:pPr>
      <w:r>
        <w:t xml:space="preserve">The </w:t>
      </w:r>
      <w:r w:rsidR="005D7049">
        <w:t xml:space="preserve">Building </w:t>
      </w:r>
      <w:r w:rsidR="006C2AAB">
        <w:t>Act</w:t>
      </w:r>
      <w:r>
        <w:t xml:space="preserve"> contains a broad </w:t>
      </w:r>
      <w:r w:rsidR="006C2AAB">
        <w:t xml:space="preserve">scope of </w:t>
      </w:r>
      <w:r>
        <w:t>tools and powers to monitor and enforce compliance of building work, buildings, and practitioner conduct</w:t>
      </w:r>
      <w:r w:rsidR="005D7049">
        <w:t xml:space="preserve"> T</w:t>
      </w:r>
      <w:r w:rsidR="009B3FD4">
        <w:t>ools and powers under t</w:t>
      </w:r>
      <w:r w:rsidR="006C2AAB">
        <w:t xml:space="preserve">he </w:t>
      </w:r>
      <w:r w:rsidR="004126C6">
        <w:t>Building Act and Regulations enable regulators to carry out their statutory responsibilities and monitor and enforce compliance</w:t>
      </w:r>
      <w:r w:rsidR="00277143">
        <w:t xml:space="preserve"> of practitioners and the built environment.</w:t>
      </w:r>
    </w:p>
    <w:p w14:paraId="2D2B537F" w14:textId="7B9436A2" w:rsidR="00A31025" w:rsidRDefault="00BF4C15" w:rsidP="002E1406">
      <w:pPr>
        <w:rPr>
          <w:lang w:eastAsia="en-AU"/>
        </w:rPr>
        <w:sectPr w:rsidR="00A31025" w:rsidSect="00A31025">
          <w:footerReference w:type="default" r:id="rId52"/>
          <w:endnotePr>
            <w:numFmt w:val="decimal"/>
          </w:endnotePr>
          <w:type w:val="continuous"/>
          <w:pgSz w:w="11907" w:h="16839" w:code="9"/>
          <w:pgMar w:top="1418" w:right="1418" w:bottom="1701" w:left="1559" w:header="720" w:footer="720" w:gutter="0"/>
          <w:cols w:space="720"/>
          <w:docGrid w:linePitch="360"/>
        </w:sectPr>
      </w:pPr>
      <w:r>
        <w:rPr>
          <w:lang w:eastAsia="en-AU"/>
        </w:rPr>
        <w:t>Tools and powers can be used by regulators as part of</w:t>
      </w:r>
      <w:r w:rsidR="003C74F9">
        <w:rPr>
          <w:lang w:eastAsia="en-AU"/>
        </w:rPr>
        <w:t xml:space="preserve"> the </w:t>
      </w:r>
      <w:r>
        <w:rPr>
          <w:lang w:eastAsia="en-AU"/>
        </w:rPr>
        <w:t xml:space="preserve"> </w:t>
      </w:r>
      <w:r>
        <w:rPr>
          <w:b/>
          <w:lang w:eastAsia="en-AU"/>
        </w:rPr>
        <w:t>building approvals, compliance and enforcement, and discipline</w:t>
      </w:r>
      <w:r w:rsidR="003C74F9">
        <w:rPr>
          <w:b/>
          <w:lang w:eastAsia="en-AU"/>
        </w:rPr>
        <w:t xml:space="preserve"> processes</w:t>
      </w:r>
      <w:r>
        <w:rPr>
          <w:b/>
          <w:lang w:eastAsia="en-AU"/>
        </w:rPr>
        <w:t>.</w:t>
      </w:r>
      <w:r w:rsidR="0046400D">
        <w:rPr>
          <w:b/>
          <w:lang w:eastAsia="en-AU"/>
        </w:rPr>
        <w:t xml:space="preserve"> </w:t>
      </w:r>
      <w:r w:rsidR="002E1406">
        <w:rPr>
          <w:lang w:eastAsia="en-AU"/>
        </w:rPr>
        <w:t>Some tools and powers relate to the relevant wrongdoer and seek to deter non-compliance across the industry</w:t>
      </w:r>
      <w:r w:rsidR="00D96B58">
        <w:rPr>
          <w:lang w:eastAsia="en-AU"/>
        </w:rPr>
        <w:t xml:space="preserve">. For example, </w:t>
      </w:r>
      <w:r w:rsidR="002E1406">
        <w:rPr>
          <w:lang w:eastAsia="en-AU"/>
        </w:rPr>
        <w:t>powers to suspend and cancel practitioner registration</w:t>
      </w:r>
      <w:r w:rsidR="008C5A51">
        <w:rPr>
          <w:lang w:eastAsia="en-AU"/>
        </w:rPr>
        <w:t xml:space="preserve"> </w:t>
      </w:r>
      <w:r w:rsidR="002E1406">
        <w:rPr>
          <w:lang w:eastAsia="en-AU"/>
        </w:rPr>
        <w:t>while other tools focus on fixing defective building work. Some tools and powers can be used for both purposes.</w:t>
      </w:r>
    </w:p>
    <w:p w14:paraId="6A2EBCA4" w14:textId="5F0DDFC3" w:rsidR="002E1406" w:rsidRDefault="002E1406" w:rsidP="002E1406">
      <w:pPr>
        <w:rPr>
          <w:lang w:eastAsia="en-AU"/>
        </w:rPr>
      </w:pPr>
    </w:p>
    <w:p w14:paraId="250B1985" w14:textId="7CB65239" w:rsidR="00BF4C15" w:rsidRDefault="002B798C" w:rsidP="0046267F">
      <w:pPr>
        <w:rPr>
          <w:lang w:eastAsia="en-AU"/>
        </w:rPr>
      </w:pPr>
      <w:r>
        <w:rPr>
          <w:lang w:eastAsia="en-AU"/>
        </w:rPr>
        <w:lastRenderedPageBreak/>
        <w:t>A</w:t>
      </w:r>
      <w:r w:rsidR="0046400D" w:rsidRPr="0046400D">
        <w:rPr>
          <w:lang w:eastAsia="en-AU"/>
        </w:rPr>
        <w:t xml:space="preserve">n overview of the </w:t>
      </w:r>
      <w:r w:rsidR="002E1406">
        <w:rPr>
          <w:lang w:eastAsia="en-AU"/>
        </w:rPr>
        <w:t xml:space="preserve">co-regulatory roles in the system, and </w:t>
      </w:r>
      <w:r w:rsidR="0046400D" w:rsidRPr="0046400D">
        <w:rPr>
          <w:lang w:eastAsia="en-AU"/>
        </w:rPr>
        <w:t xml:space="preserve">tools and powers </w:t>
      </w:r>
      <w:r w:rsidR="002E1406">
        <w:rPr>
          <w:lang w:eastAsia="en-AU"/>
        </w:rPr>
        <w:t>that enable those statutory roles</w:t>
      </w:r>
      <w:r>
        <w:rPr>
          <w:lang w:eastAsia="en-AU"/>
        </w:rPr>
        <w:t xml:space="preserve"> is provided in </w:t>
      </w:r>
      <w:r>
        <w:rPr>
          <w:highlight w:val="yellow"/>
          <w:lang w:eastAsia="en-AU"/>
        </w:rPr>
        <w:fldChar w:fldCharType="begin"/>
      </w:r>
      <w:r>
        <w:rPr>
          <w:b/>
          <w:bCs/>
          <w:lang w:eastAsia="en-AU"/>
        </w:rPr>
        <w:instrText xml:space="preserve"> REF _Ref130804982 \h </w:instrText>
      </w:r>
      <w:r>
        <w:rPr>
          <w:highlight w:val="yellow"/>
          <w:lang w:eastAsia="en-AU"/>
        </w:rPr>
      </w:r>
      <w:r>
        <w:rPr>
          <w:highlight w:val="yellow"/>
          <w:lang w:eastAsia="en-AU"/>
        </w:rPr>
        <w:fldChar w:fldCharType="separate"/>
      </w:r>
      <w:r w:rsidR="00E15D2D" w:rsidRPr="00E01F7E">
        <w:t xml:space="preserve">Figure </w:t>
      </w:r>
      <w:r w:rsidR="00E15D2D">
        <w:rPr>
          <w:noProof/>
        </w:rPr>
        <w:t>6</w:t>
      </w:r>
      <w:r>
        <w:rPr>
          <w:highlight w:val="yellow"/>
          <w:lang w:eastAsia="en-AU"/>
        </w:rPr>
        <w:fldChar w:fldCharType="end"/>
      </w:r>
      <w:r>
        <w:rPr>
          <w:lang w:eastAsia="en-AU"/>
        </w:rPr>
        <w:t>.</w:t>
      </w:r>
    </w:p>
    <w:p w14:paraId="7FFDB53F" w14:textId="1363F04E" w:rsidR="004520C6" w:rsidRDefault="004520C6" w:rsidP="004520C6">
      <w:pPr>
        <w:pStyle w:val="Caption"/>
      </w:pPr>
      <w:bookmarkStart w:id="91" w:name="_Ref130804982"/>
      <w:r w:rsidRPr="00E01F7E">
        <w:t xml:space="preserve">Figure </w:t>
      </w:r>
      <w:r w:rsidR="00CD291D" w:rsidRPr="00E01F7E">
        <w:fldChar w:fldCharType="begin"/>
      </w:r>
      <w:r w:rsidR="00CD291D" w:rsidRPr="00E01F7E">
        <w:instrText xml:space="preserve"> SEQ Figure \* ARABIC </w:instrText>
      </w:r>
      <w:r w:rsidR="00CD291D" w:rsidRPr="00E01F7E">
        <w:fldChar w:fldCharType="separate"/>
      </w:r>
      <w:r w:rsidR="00E15D2D">
        <w:rPr>
          <w:noProof/>
        </w:rPr>
        <w:t>6</w:t>
      </w:r>
      <w:r w:rsidR="00CD291D" w:rsidRPr="00E01F7E">
        <w:fldChar w:fldCharType="end"/>
      </w:r>
      <w:bookmarkEnd w:id="91"/>
      <w:r w:rsidRPr="00E01F7E">
        <w:t xml:space="preserve"> | Roles, responsibilities, tools and powers across the building </w:t>
      </w:r>
      <w:r w:rsidR="0073490F" w:rsidRPr="00E01F7E">
        <w:t xml:space="preserve">regulatory </w:t>
      </w:r>
      <w:r w:rsidRPr="00E01F7E">
        <w:t>system</w:t>
      </w:r>
    </w:p>
    <w:p w14:paraId="76265A99" w14:textId="77777777" w:rsidR="002B798C" w:rsidRDefault="002B798C" w:rsidP="0046267F">
      <w:pPr>
        <w:rPr>
          <w:noProof/>
          <w:lang w:eastAsia="en-AU"/>
        </w:rPr>
      </w:pPr>
    </w:p>
    <w:p w14:paraId="54D5B8A7" w14:textId="30E46B37" w:rsidR="0045421D" w:rsidRDefault="00687F4B" w:rsidP="0046267F">
      <w:pPr>
        <w:rPr>
          <w:lang w:eastAsia="en-AU"/>
        </w:rPr>
      </w:pPr>
      <w:r w:rsidRPr="00687F4B">
        <w:rPr>
          <w:noProof/>
        </w:rPr>
        <w:drawing>
          <wp:inline distT="0" distB="0" distL="0" distR="0" wp14:anchorId="2ECDBC4A" wp14:editId="236B0F3B">
            <wp:extent cx="5670550" cy="5454015"/>
            <wp:effectExtent l="0" t="0" r="6350" b="0"/>
            <wp:docPr id="27970" name="Picture 2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70550" cy="5454015"/>
                    </a:xfrm>
                    <a:prstGeom prst="rect">
                      <a:avLst/>
                    </a:prstGeom>
                    <a:noFill/>
                    <a:ln>
                      <a:noFill/>
                    </a:ln>
                  </pic:spPr>
                </pic:pic>
              </a:graphicData>
            </a:graphic>
          </wp:inline>
        </w:drawing>
      </w:r>
    </w:p>
    <w:p w14:paraId="50760877" w14:textId="194E181D" w:rsidR="00BF4C15" w:rsidRPr="000A1D60" w:rsidRDefault="001917E3" w:rsidP="00BF4C15">
      <w:pPr>
        <w:pStyle w:val="Heading5"/>
        <w:rPr>
          <w:color w:val="40C1AC" w:themeColor="accent5"/>
        </w:rPr>
      </w:pPr>
      <w:r w:rsidRPr="000A1D60">
        <w:rPr>
          <w:color w:val="40C1AC" w:themeColor="accent5"/>
        </w:rPr>
        <w:t>Building approvals</w:t>
      </w:r>
    </w:p>
    <w:p w14:paraId="333C86C5" w14:textId="0000D27A" w:rsidR="009A24E9" w:rsidRDefault="001917E3" w:rsidP="001917E3">
      <w:pPr>
        <w:sectPr w:rsidR="009A24E9" w:rsidSect="00A31025">
          <w:footerReference w:type="default" r:id="rId54"/>
          <w:endnotePr>
            <w:numFmt w:val="decimal"/>
          </w:endnotePr>
          <w:type w:val="continuous"/>
          <w:pgSz w:w="11907" w:h="16839" w:code="9"/>
          <w:pgMar w:top="1418" w:right="1418" w:bottom="1701" w:left="1559" w:header="720" w:footer="720" w:gutter="0"/>
          <w:cols w:space="720"/>
          <w:docGrid w:linePitch="360"/>
        </w:sectPr>
      </w:pPr>
      <w:r w:rsidRPr="00066DCC">
        <w:rPr>
          <w:lang w:eastAsia="en-AU"/>
        </w:rPr>
        <w:t>As part of the building approvals p</w:t>
      </w:r>
      <w:r w:rsidR="008B45D9" w:rsidRPr="00066DCC">
        <w:rPr>
          <w:lang w:eastAsia="en-AU"/>
        </w:rPr>
        <w:t xml:space="preserve">rocess, </w:t>
      </w:r>
      <w:r w:rsidR="00FE1737" w:rsidRPr="00066DCC">
        <w:rPr>
          <w:lang w:eastAsia="en-AU"/>
        </w:rPr>
        <w:t xml:space="preserve">powers are used to </w:t>
      </w:r>
      <w:r w:rsidR="00E40958" w:rsidRPr="00066DCC">
        <w:rPr>
          <w:lang w:eastAsia="en-AU"/>
        </w:rPr>
        <w:t xml:space="preserve">bring </w:t>
      </w:r>
      <w:r w:rsidR="00E83E34" w:rsidRPr="00066DCC">
        <w:rPr>
          <w:lang w:eastAsia="en-AU"/>
        </w:rPr>
        <w:t>building works into compliance prior to issuing an occupancy permit or certificate of final inspection.</w:t>
      </w:r>
      <w:r w:rsidR="00E71F60" w:rsidRPr="00066DCC">
        <w:rPr>
          <w:lang w:eastAsia="en-AU"/>
        </w:rPr>
        <w:t xml:space="preserve"> Powers to bring about compliance of building work </w:t>
      </w:r>
      <w:r w:rsidR="00F63DCE" w:rsidRPr="00066DCC">
        <w:rPr>
          <w:lang w:eastAsia="en-AU"/>
        </w:rPr>
        <w:t>are</w:t>
      </w:r>
      <w:r w:rsidR="00E71F60" w:rsidRPr="00066DCC">
        <w:rPr>
          <w:lang w:eastAsia="en-AU"/>
        </w:rPr>
        <w:t xml:space="preserve"> generally the responsibility of </w:t>
      </w:r>
      <w:r w:rsidR="004034C5" w:rsidRPr="00066DCC">
        <w:rPr>
          <w:lang w:eastAsia="en-AU"/>
        </w:rPr>
        <w:t xml:space="preserve">the </w:t>
      </w:r>
      <w:r w:rsidR="00E71F60" w:rsidRPr="00066DCC">
        <w:rPr>
          <w:lang w:eastAsia="en-AU"/>
        </w:rPr>
        <w:t xml:space="preserve">RBS. </w:t>
      </w:r>
      <w:r w:rsidR="004034C5" w:rsidRPr="00066DCC">
        <w:rPr>
          <w:lang w:eastAsia="en-AU"/>
        </w:rPr>
        <w:t>The</w:t>
      </w:r>
      <w:r w:rsidR="00E71F60" w:rsidRPr="00066DCC">
        <w:rPr>
          <w:lang w:eastAsia="en-AU"/>
        </w:rPr>
        <w:t xml:space="preserve"> RBS</w:t>
      </w:r>
      <w:r w:rsidR="00C661B5" w:rsidRPr="00066DCC">
        <w:rPr>
          <w:lang w:eastAsia="en-AU"/>
        </w:rPr>
        <w:t xml:space="preserve"> may</w:t>
      </w:r>
      <w:r w:rsidR="00C661B5" w:rsidRPr="00066DCC" w:rsidDel="00270D0E">
        <w:rPr>
          <w:lang w:eastAsia="en-AU"/>
        </w:rPr>
        <w:t xml:space="preserve"> </w:t>
      </w:r>
      <w:r w:rsidR="00C661B5" w:rsidRPr="00066DCC">
        <w:rPr>
          <w:lang w:eastAsia="en-AU"/>
        </w:rPr>
        <w:t xml:space="preserve">use specific </w:t>
      </w:r>
      <w:r w:rsidR="003C74F9">
        <w:rPr>
          <w:lang w:eastAsia="en-AU"/>
        </w:rPr>
        <w:t xml:space="preserve"> powers </w:t>
      </w:r>
      <w:r w:rsidR="00C661B5" w:rsidRPr="00066DCC">
        <w:rPr>
          <w:lang w:eastAsia="en-AU"/>
        </w:rPr>
        <w:t xml:space="preserve"> to bring building work into compliance</w:t>
      </w:r>
      <w:r w:rsidR="00F00220">
        <w:rPr>
          <w:lang w:eastAsia="en-AU"/>
        </w:rPr>
        <w:t>,</w:t>
      </w:r>
      <w:r w:rsidR="00C661B5" w:rsidRPr="00066DCC">
        <w:rPr>
          <w:lang w:eastAsia="en-AU"/>
        </w:rPr>
        <w:t xml:space="preserve"> including a Direction to Fix (DTF), building notices and </w:t>
      </w:r>
      <w:r w:rsidR="003B2DBA" w:rsidRPr="00066DCC">
        <w:rPr>
          <w:lang w:eastAsia="en-AU"/>
        </w:rPr>
        <w:t>orders</w:t>
      </w:r>
      <w:r w:rsidR="00C661B5" w:rsidRPr="00066DCC">
        <w:rPr>
          <w:lang w:eastAsia="en-AU"/>
        </w:rPr>
        <w:t xml:space="preserve"> and minor work orders.</w:t>
      </w:r>
      <w:r w:rsidR="00E26174" w:rsidRPr="00066DCC">
        <w:rPr>
          <w:lang w:eastAsia="en-AU"/>
        </w:rPr>
        <w:t xml:space="preserve"> If the orders are not </w:t>
      </w:r>
      <w:r w:rsidR="00C44BDB" w:rsidRPr="00066DCC">
        <w:rPr>
          <w:lang w:eastAsia="en-AU"/>
        </w:rPr>
        <w:t>followed</w:t>
      </w:r>
      <w:r w:rsidR="00E26174" w:rsidRPr="00066DCC">
        <w:rPr>
          <w:lang w:eastAsia="en-AU"/>
        </w:rPr>
        <w:t>, the RBS must refer the matter to the VBA for enforcement</w:t>
      </w:r>
      <w:r w:rsidR="002D3181" w:rsidRPr="00066DCC">
        <w:rPr>
          <w:lang w:eastAsia="en-AU"/>
        </w:rPr>
        <w:t xml:space="preserve">. </w:t>
      </w:r>
      <w:r w:rsidR="00875E4E" w:rsidRPr="00066DCC">
        <w:t>Following an inspection of building work, the VBA can issue a DTF and the MBS can issue a building notice or order.</w:t>
      </w:r>
      <w:r w:rsidR="00875E4E">
        <w:t xml:space="preserve"> </w:t>
      </w:r>
    </w:p>
    <w:p w14:paraId="68E997E9" w14:textId="25EDFB1A" w:rsidR="001917E3" w:rsidRDefault="001917E3" w:rsidP="001917E3"/>
    <w:p w14:paraId="487F7C3A" w14:textId="1A97B5EB" w:rsidR="002D3181" w:rsidRPr="000A1D60" w:rsidRDefault="002D3181" w:rsidP="002D3181">
      <w:pPr>
        <w:pStyle w:val="Heading5"/>
        <w:rPr>
          <w:color w:val="87189D" w:themeColor="accent2"/>
        </w:rPr>
      </w:pPr>
      <w:r w:rsidRPr="000A1D60">
        <w:rPr>
          <w:color w:val="87189D" w:themeColor="accent2"/>
        </w:rPr>
        <w:lastRenderedPageBreak/>
        <w:t>Enforcement</w:t>
      </w:r>
    </w:p>
    <w:p w14:paraId="6DA95ADC" w14:textId="71934ECA" w:rsidR="00C42998" w:rsidRDefault="00EC2D30" w:rsidP="00B73148">
      <w:pPr>
        <w:rPr>
          <w:lang w:eastAsia="en-AU"/>
        </w:rPr>
      </w:pPr>
      <w:r w:rsidRPr="00E9763D">
        <w:rPr>
          <w:lang w:eastAsia="en-AU"/>
        </w:rPr>
        <w:t>Compliance and enforcement processes regulate practitioner conduct, rectify non-compliant building work</w:t>
      </w:r>
      <w:r>
        <w:rPr>
          <w:lang w:eastAsia="en-AU"/>
        </w:rPr>
        <w:t>,</w:t>
      </w:r>
      <w:r w:rsidRPr="00E9763D">
        <w:rPr>
          <w:lang w:eastAsia="en-AU"/>
        </w:rPr>
        <w:t xml:space="preserve"> and ensure that buildings do not pose a threat to the health and safety of people who live in and use them. Enforcement tools and powers </w:t>
      </w:r>
      <w:r w:rsidR="00D87BFB" w:rsidRPr="00E9763D">
        <w:rPr>
          <w:lang w:eastAsia="en-AU"/>
        </w:rPr>
        <w:t xml:space="preserve">are primarily </w:t>
      </w:r>
      <w:r w:rsidR="00025AF3" w:rsidRPr="00E9763D">
        <w:rPr>
          <w:lang w:eastAsia="en-AU"/>
        </w:rPr>
        <w:t>used in relation to buildings to make them</w:t>
      </w:r>
      <w:r w:rsidRPr="00E9763D">
        <w:rPr>
          <w:lang w:eastAsia="en-AU"/>
        </w:rPr>
        <w:t xml:space="preserve"> safe during building approvals processes or</w:t>
      </w:r>
      <w:r w:rsidR="008B45D9" w:rsidRPr="00E9763D">
        <w:rPr>
          <w:lang w:eastAsia="en-AU"/>
        </w:rPr>
        <w:t xml:space="preserve"> after the building is built. </w:t>
      </w:r>
      <w:r w:rsidRPr="00E9763D">
        <w:rPr>
          <w:lang w:eastAsia="en-AU"/>
        </w:rPr>
        <w:t>The VBA</w:t>
      </w:r>
      <w:r w:rsidR="00580614" w:rsidRPr="00E9763D">
        <w:rPr>
          <w:lang w:eastAsia="en-AU"/>
        </w:rPr>
        <w:t xml:space="preserve"> and </w:t>
      </w:r>
      <w:r w:rsidR="00B73148" w:rsidRPr="00E9763D">
        <w:rPr>
          <w:lang w:eastAsia="en-AU"/>
        </w:rPr>
        <w:t xml:space="preserve">Local </w:t>
      </w:r>
      <w:r w:rsidR="00F54049" w:rsidRPr="00E9763D">
        <w:rPr>
          <w:lang w:eastAsia="en-AU"/>
        </w:rPr>
        <w:t xml:space="preserve">Councils </w:t>
      </w:r>
      <w:r w:rsidR="00B73148" w:rsidRPr="00E9763D">
        <w:rPr>
          <w:lang w:eastAsia="en-AU"/>
        </w:rPr>
        <w:t>(MBS)</w:t>
      </w:r>
      <w:r w:rsidR="00C42998" w:rsidRPr="00E9763D" w:rsidDel="00B73148">
        <w:rPr>
          <w:lang w:eastAsia="en-AU"/>
        </w:rPr>
        <w:t xml:space="preserve"> </w:t>
      </w:r>
      <w:r w:rsidR="00C42998" w:rsidRPr="00E9763D">
        <w:rPr>
          <w:lang w:eastAsia="en-AU"/>
        </w:rPr>
        <w:t xml:space="preserve">have </w:t>
      </w:r>
      <w:r w:rsidR="0011697B" w:rsidRPr="00E9763D">
        <w:rPr>
          <w:lang w:eastAsia="en-AU"/>
        </w:rPr>
        <w:t xml:space="preserve">a range of </w:t>
      </w:r>
      <w:r w:rsidR="00957CE1" w:rsidRPr="00E9763D">
        <w:rPr>
          <w:lang w:eastAsia="en-AU"/>
        </w:rPr>
        <w:t xml:space="preserve">powers outlined in </w:t>
      </w:r>
      <w:r w:rsidR="00C613A1" w:rsidRPr="00E9763D">
        <w:rPr>
          <w:lang w:eastAsia="en-AU"/>
        </w:rPr>
        <w:t xml:space="preserve">sections 8, 12A and 13 of the Act which </w:t>
      </w:r>
      <w:r w:rsidR="000750F3" w:rsidRPr="00E9763D">
        <w:rPr>
          <w:lang w:eastAsia="en-AU"/>
        </w:rPr>
        <w:t xml:space="preserve">include information gathering, powers of entry, </w:t>
      </w:r>
      <w:r w:rsidR="00F446E5" w:rsidRPr="00E9763D">
        <w:rPr>
          <w:lang w:eastAsia="en-AU"/>
        </w:rPr>
        <w:t xml:space="preserve">ability to issue emergency orders or infringement notices, </w:t>
      </w:r>
      <w:r w:rsidR="00302256" w:rsidRPr="00E9763D">
        <w:rPr>
          <w:lang w:eastAsia="en-AU"/>
        </w:rPr>
        <w:t>ability to apply for injunctions and to commence criminal proceedings against individuals who contravene offence provisions.</w:t>
      </w:r>
    </w:p>
    <w:p w14:paraId="5C58D707" w14:textId="5D0C6DBD" w:rsidR="00AB71A0" w:rsidRPr="000A1D60" w:rsidRDefault="00AB71A0" w:rsidP="00AB71A0">
      <w:pPr>
        <w:pStyle w:val="Heading5"/>
        <w:rPr>
          <w:color w:val="4298B5" w:themeColor="accent6"/>
        </w:rPr>
      </w:pPr>
      <w:r w:rsidRPr="000A1D60">
        <w:rPr>
          <w:color w:val="4298B5" w:themeColor="accent6"/>
        </w:rPr>
        <w:t>Disciplinary action</w:t>
      </w:r>
    </w:p>
    <w:p w14:paraId="78E5BCDC" w14:textId="6A166D6B" w:rsidR="002A2B58" w:rsidRPr="007B699E" w:rsidRDefault="00654FCF" w:rsidP="002A2B58">
      <w:r>
        <w:rPr>
          <w:lang w:eastAsia="en-AU"/>
        </w:rPr>
        <w:t>Disciplinary actio</w:t>
      </w:r>
      <w:r w:rsidR="00F35F9F">
        <w:rPr>
          <w:lang w:eastAsia="en-AU"/>
        </w:rPr>
        <w:t xml:space="preserve">n </w:t>
      </w:r>
      <w:r w:rsidR="004B74FB">
        <w:rPr>
          <w:lang w:eastAsia="en-AU"/>
        </w:rPr>
        <w:t xml:space="preserve"> </w:t>
      </w:r>
      <w:r w:rsidR="006D40B2">
        <w:rPr>
          <w:lang w:eastAsia="en-AU"/>
        </w:rPr>
        <w:t>applies</w:t>
      </w:r>
      <w:r w:rsidR="004B74FB">
        <w:rPr>
          <w:lang w:eastAsia="en-AU"/>
        </w:rPr>
        <w:t xml:space="preserve"> to registered practitioners where conduct raises </w:t>
      </w:r>
      <w:r w:rsidR="002A2B58" w:rsidRPr="007B699E">
        <w:t>significant concerns about competency, professionalism and/or compliance with legislative requirements.</w:t>
      </w:r>
      <w:r w:rsidR="002A2B58">
        <w:rPr>
          <w:rStyle w:val="EndnoteReference"/>
        </w:rPr>
        <w:endnoteReference w:id="22"/>
      </w:r>
      <w:r w:rsidR="002A2B58" w:rsidRPr="007B699E">
        <w:t xml:space="preserve"> </w:t>
      </w:r>
    </w:p>
    <w:p w14:paraId="791E598C" w14:textId="77777777" w:rsidR="009A24E9" w:rsidRDefault="00321147" w:rsidP="005D3F52">
      <w:pPr>
        <w:sectPr w:rsidR="009A24E9" w:rsidSect="00A31025">
          <w:footerReference w:type="default" r:id="rId55"/>
          <w:endnotePr>
            <w:numFmt w:val="decimal"/>
          </w:endnotePr>
          <w:type w:val="continuous"/>
          <w:pgSz w:w="11907" w:h="16839" w:code="9"/>
          <w:pgMar w:top="1418" w:right="1418" w:bottom="1701" w:left="1559" w:header="720" w:footer="720" w:gutter="0"/>
          <w:cols w:space="720"/>
          <w:docGrid w:linePitch="360"/>
        </w:sectPr>
      </w:pPr>
      <w:r>
        <w:rPr>
          <w:lang w:eastAsia="en-AU"/>
        </w:rPr>
        <w:t>Disciplinary action primarily sanctions practition</w:t>
      </w:r>
      <w:r w:rsidR="005F02A1">
        <w:rPr>
          <w:lang w:eastAsia="en-AU"/>
        </w:rPr>
        <w:t>e</w:t>
      </w:r>
      <w:r>
        <w:rPr>
          <w:lang w:eastAsia="en-AU"/>
        </w:rPr>
        <w:t>rs for non-compliance but can also be used to require rectification of building non-compliance.</w:t>
      </w:r>
      <w:r w:rsidR="00784286">
        <w:rPr>
          <w:lang w:eastAsia="en-AU"/>
        </w:rPr>
        <w:t xml:space="preserve"> </w:t>
      </w:r>
      <w:r w:rsidR="002A2B58">
        <w:rPr>
          <w:lang w:eastAsia="en-AU"/>
        </w:rPr>
        <w:t xml:space="preserve">Disciplinary action </w:t>
      </w:r>
      <w:r w:rsidR="007C5602">
        <w:rPr>
          <w:lang w:eastAsia="en-AU"/>
        </w:rPr>
        <w:t xml:space="preserve">against builders and plumbers </w:t>
      </w:r>
      <w:r w:rsidR="002A2B58">
        <w:rPr>
          <w:lang w:eastAsia="en-AU"/>
        </w:rPr>
        <w:t xml:space="preserve">is </w:t>
      </w:r>
      <w:r w:rsidR="001E21B9">
        <w:rPr>
          <w:lang w:eastAsia="en-AU"/>
        </w:rPr>
        <w:t xml:space="preserve">the sole </w:t>
      </w:r>
      <w:r w:rsidR="00A70244">
        <w:rPr>
          <w:lang w:eastAsia="en-AU"/>
        </w:rPr>
        <w:t>responsibility of the VBA</w:t>
      </w:r>
      <w:r w:rsidR="007C5602">
        <w:rPr>
          <w:lang w:eastAsia="en-AU"/>
        </w:rPr>
        <w:t>, while the ARBV is responsible for taking disciplinary action against registered architects.</w:t>
      </w:r>
      <w:r w:rsidR="005D3F52">
        <w:rPr>
          <w:lang w:eastAsia="en-AU"/>
        </w:rPr>
        <w:t xml:space="preserve"> Grounds for disciplinary action are defined under section 178 of the Act.</w:t>
      </w:r>
      <w:r w:rsidR="005D3F52" w:rsidRPr="00D44D66">
        <w:rPr>
          <w:rStyle w:val="CommentReference"/>
        </w:rPr>
        <w:t xml:space="preserve"> </w:t>
      </w:r>
      <w:r w:rsidR="005D3F52">
        <w:rPr>
          <w:rStyle w:val="EndnoteReference"/>
        </w:rPr>
        <w:endnoteReference w:id="23"/>
      </w:r>
      <w:r w:rsidR="009C2FB1">
        <w:rPr>
          <w:rStyle w:val="CommentReference"/>
        </w:rPr>
        <w:t xml:space="preserve"> </w:t>
      </w:r>
      <w:r w:rsidR="009C2FB1">
        <w:t>This includes powers to require rectification of defective work, variations, suspension or cancellations to a practitioner’s registration and financial penalties.</w:t>
      </w:r>
    </w:p>
    <w:p w14:paraId="204A1385" w14:textId="2CA32E36" w:rsidR="00D3076D" w:rsidRPr="007F7EEB" w:rsidRDefault="00D3076D" w:rsidP="005D3F52">
      <w:pPr>
        <w:rPr>
          <w:rStyle w:val="CommentReference"/>
          <w:sz w:val="22"/>
          <w:szCs w:val="22"/>
        </w:rPr>
      </w:pPr>
    </w:p>
    <w:p w14:paraId="3CE958BA" w14:textId="45C404F5" w:rsidR="00D3076D" w:rsidRDefault="00D3076D" w:rsidP="005D3F52">
      <w:pPr>
        <w:rPr>
          <w:rStyle w:val="CommentReference"/>
        </w:rPr>
      </w:pPr>
    </w:p>
    <w:p w14:paraId="0F1CE041" w14:textId="474D2660" w:rsidR="00941695" w:rsidRDefault="00941695" w:rsidP="005D3F52">
      <w:pPr>
        <w:rPr>
          <w:lang w:eastAsia="en-AU"/>
        </w:rPr>
      </w:pPr>
    </w:p>
    <w:p w14:paraId="559C8D30" w14:textId="31647094" w:rsidR="00802C4B" w:rsidRPr="00AB71A0" w:rsidRDefault="00941695" w:rsidP="00F65E61">
      <w:pPr>
        <w:spacing w:after="160" w:line="259" w:lineRule="auto"/>
        <w:rPr>
          <w:lang w:eastAsia="en-AU"/>
        </w:rPr>
      </w:pPr>
      <w:r>
        <w:rPr>
          <w:lang w:eastAsia="en-AU"/>
        </w:rPr>
        <w:br w:type="page"/>
      </w:r>
    </w:p>
    <w:p w14:paraId="47345984" w14:textId="63E9211B" w:rsidR="00496833" w:rsidRDefault="00496833" w:rsidP="00496833">
      <w:pPr>
        <w:pStyle w:val="Heading2"/>
      </w:pPr>
      <w:bookmarkStart w:id="92" w:name="_Toc131428702"/>
      <w:bookmarkStart w:id="93" w:name="_Ref134085770"/>
      <w:bookmarkStart w:id="94" w:name="_Ref134177419"/>
      <w:bookmarkStart w:id="95" w:name="_Toc134352860"/>
      <w:bookmarkStart w:id="96" w:name="_Toc134356893"/>
      <w:r>
        <w:lastRenderedPageBreak/>
        <w:t>Key issues</w:t>
      </w:r>
      <w:bookmarkEnd w:id="92"/>
      <w:bookmarkEnd w:id="93"/>
      <w:bookmarkEnd w:id="94"/>
      <w:bookmarkEnd w:id="95"/>
      <w:bookmarkEnd w:id="96"/>
      <w:r>
        <w:t xml:space="preserve"> </w:t>
      </w:r>
    </w:p>
    <w:p w14:paraId="4E6334A2" w14:textId="3CFF7649" w:rsidR="00503ACA" w:rsidRDefault="00503ACA" w:rsidP="00503ACA">
      <w:r>
        <w:t xml:space="preserve">Through its Review, the Panel has found that entities with regulatory oversight responsibilities do not always achieve compliance objectives. </w:t>
      </w:r>
      <w:r w:rsidR="00C474BD">
        <w:t>This is</w:t>
      </w:r>
      <w:r w:rsidR="00CA0878">
        <w:t xml:space="preserve"> driven by </w:t>
      </w:r>
      <w:r>
        <w:t xml:space="preserve">four distinct </w:t>
      </w:r>
      <w:r w:rsidR="00E76DF4">
        <w:t>issues:</w:t>
      </w:r>
    </w:p>
    <w:p w14:paraId="4EE70DAE" w14:textId="77777777" w:rsidR="00503ACA" w:rsidRDefault="00503ACA" w:rsidP="00EB723B">
      <w:pPr>
        <w:pStyle w:val="Listnumbered"/>
        <w:numPr>
          <w:ilvl w:val="0"/>
          <w:numId w:val="8"/>
        </w:numPr>
      </w:pPr>
      <w:r>
        <w:t>System-wide roles and responsibilities are not clearly articulated in legislation or understood in practice.</w:t>
      </w:r>
    </w:p>
    <w:p w14:paraId="47338CCA" w14:textId="42CAF170" w:rsidR="00436B27" w:rsidRDefault="00436B27" w:rsidP="00436B27">
      <w:pPr>
        <w:pStyle w:val="Listnumbered"/>
      </w:pPr>
      <w:r>
        <w:t>Regulators</w:t>
      </w:r>
      <w:r w:rsidR="0050305B">
        <w:t xml:space="preserve">’ </w:t>
      </w:r>
      <w:r>
        <w:t xml:space="preserve">powers to achieve </w:t>
      </w:r>
      <w:r w:rsidR="00610E65">
        <w:t xml:space="preserve">regulatory </w:t>
      </w:r>
      <w:r>
        <w:t>objectives</w:t>
      </w:r>
      <w:r w:rsidR="00610E65">
        <w:t xml:space="preserve"> are not well utilised</w:t>
      </w:r>
      <w:r>
        <w:t>.</w:t>
      </w:r>
    </w:p>
    <w:p w14:paraId="7DBE8BB9" w14:textId="77777777" w:rsidR="00503ACA" w:rsidRDefault="00503ACA" w:rsidP="00503ACA">
      <w:pPr>
        <w:pStyle w:val="Listnumbered"/>
      </w:pPr>
      <w:r>
        <w:t>Regulators do not have the full suite of appropriate compliance tools and powers to achieve their intended objectives.</w:t>
      </w:r>
    </w:p>
    <w:p w14:paraId="12033364" w14:textId="24B4045E" w:rsidR="00503ACA" w:rsidRDefault="00503ACA" w:rsidP="00503ACA">
      <w:pPr>
        <w:pStyle w:val="Listnumbered"/>
      </w:pPr>
      <w:r>
        <w:t xml:space="preserve">Disciplinary </w:t>
      </w:r>
      <w:r w:rsidR="00816406">
        <w:t>and enforcement</w:t>
      </w:r>
      <w:r>
        <w:t xml:space="preserve"> processes are perceived to be slow and opaque to consumers, practitioners and the general public.</w:t>
      </w:r>
    </w:p>
    <w:p w14:paraId="79A1C72E" w14:textId="639851F8" w:rsidR="00503ACA" w:rsidRDefault="001C3DFB" w:rsidP="001C3DFB">
      <w:pPr>
        <w:pStyle w:val="Heading4"/>
      </w:pPr>
      <w:r>
        <w:t>System-wide roles and responsibilities are not clearly articulated in legislation or understood in practice</w:t>
      </w:r>
    </w:p>
    <w:p w14:paraId="364BD461" w14:textId="490448C6" w:rsidR="00394A01" w:rsidRDefault="00007189" w:rsidP="001C3DFB">
      <w:pPr>
        <w:rPr>
          <w:lang w:eastAsia="en-AU"/>
        </w:rPr>
      </w:pPr>
      <w:r>
        <w:rPr>
          <w:lang w:eastAsia="en-AU"/>
        </w:rPr>
        <w:t>S</w:t>
      </w:r>
      <w:r w:rsidR="000E6859">
        <w:rPr>
          <w:lang w:eastAsia="en-AU"/>
        </w:rPr>
        <w:t>tatutory roles and responsibilities of the VBA and local councils are unclear</w:t>
      </w:r>
      <w:r w:rsidR="00252B05">
        <w:rPr>
          <w:lang w:eastAsia="en-AU"/>
        </w:rPr>
        <w:t>. While section 212 gives local co</w:t>
      </w:r>
      <w:r w:rsidR="008C26DB">
        <w:rPr>
          <w:lang w:eastAsia="en-AU"/>
        </w:rPr>
        <w:t>u</w:t>
      </w:r>
      <w:r w:rsidR="00252B05">
        <w:rPr>
          <w:lang w:eastAsia="en-AU"/>
        </w:rPr>
        <w:t xml:space="preserve">ncils responsibility for administering and enforcing Parts 3, 4, 5, 6, and 8 of the Building Act within their municipal district, it is not clear how this role interacts with </w:t>
      </w:r>
      <w:r w:rsidR="002F3D9C">
        <w:rPr>
          <w:lang w:eastAsia="en-AU"/>
        </w:rPr>
        <w:t xml:space="preserve">the VBA’s </w:t>
      </w:r>
      <w:r w:rsidR="00C1432F">
        <w:rPr>
          <w:lang w:eastAsia="en-AU"/>
        </w:rPr>
        <w:t xml:space="preserve">broader role to monitor and enforce compliance as the state’s building regulator. </w:t>
      </w:r>
      <w:r w:rsidR="003C74F9">
        <w:rPr>
          <w:lang w:eastAsia="en-AU"/>
        </w:rPr>
        <w:t xml:space="preserve"> R</w:t>
      </w:r>
      <w:r w:rsidR="00C1432F">
        <w:rPr>
          <w:lang w:eastAsia="en-AU"/>
        </w:rPr>
        <w:t>esponsibility for taking enforcement action can be fragmented.</w:t>
      </w:r>
      <w:r w:rsidR="001F7223">
        <w:rPr>
          <w:lang w:eastAsia="en-AU"/>
        </w:rPr>
        <w:t xml:space="preserve"> </w:t>
      </w:r>
      <w:r w:rsidR="0099764A">
        <w:t xml:space="preserve">This </w:t>
      </w:r>
      <w:r w:rsidR="003C74F9">
        <w:t xml:space="preserve">lack of clarity </w:t>
      </w:r>
      <w:r w:rsidR="0099764A">
        <w:t>has</w:t>
      </w:r>
      <w:r w:rsidR="00D52F94">
        <w:t xml:space="preserve"> contributed to </w:t>
      </w:r>
      <w:r w:rsidR="0099764A">
        <w:t>‘</w:t>
      </w:r>
      <w:r w:rsidR="0099764A" w:rsidRPr="00764269">
        <w:t>numerous and ongoing disagreements between the VBA and local councils</w:t>
      </w:r>
      <w:r w:rsidR="0099764A">
        <w:t>’</w:t>
      </w:r>
      <w:r w:rsidR="0099764A">
        <w:rPr>
          <w:rStyle w:val="EndnoteReference"/>
        </w:rPr>
        <w:endnoteReference w:id="24"/>
      </w:r>
      <w:r w:rsidR="0099764A">
        <w:t xml:space="preserve"> about who is responsible (and when) for acting in response to non-compliance.</w:t>
      </w:r>
    </w:p>
    <w:p w14:paraId="14807740" w14:textId="7AAA7F00" w:rsidR="00012A93" w:rsidRPr="00805EA0" w:rsidRDefault="007F5F4B" w:rsidP="001C3DFB">
      <w:pPr>
        <w:rPr>
          <w:lang w:eastAsia="en-AU"/>
        </w:rPr>
      </w:pPr>
      <w:r>
        <w:rPr>
          <w:lang w:eastAsia="en-AU"/>
        </w:rPr>
        <w:t xml:space="preserve">Further, </w:t>
      </w:r>
      <w:r w:rsidR="001F7223">
        <w:rPr>
          <w:lang w:eastAsia="en-AU"/>
        </w:rPr>
        <w:t xml:space="preserve">enforcement action during the building approvals process is poorly </w:t>
      </w:r>
      <w:r w:rsidR="003B2DBA">
        <w:rPr>
          <w:lang w:eastAsia="en-AU"/>
        </w:rPr>
        <w:t>coordinated</w:t>
      </w:r>
      <w:r w:rsidR="00910DD2">
        <w:rPr>
          <w:lang w:eastAsia="en-AU"/>
        </w:rPr>
        <w:t>,</w:t>
      </w:r>
      <w:r w:rsidR="001D4FF0">
        <w:rPr>
          <w:lang w:eastAsia="en-AU"/>
        </w:rPr>
        <w:t xml:space="preserve"> with the </w:t>
      </w:r>
      <w:r w:rsidR="00FB74CF">
        <w:rPr>
          <w:lang w:eastAsia="en-AU"/>
        </w:rPr>
        <w:t xml:space="preserve">Private Building Surveyor </w:t>
      </w:r>
      <w:r w:rsidR="003C74F9">
        <w:rPr>
          <w:lang w:eastAsia="en-AU"/>
        </w:rPr>
        <w:t xml:space="preserve">as Relevant Building Surveyor </w:t>
      </w:r>
      <w:r w:rsidR="00FB74CF">
        <w:rPr>
          <w:lang w:eastAsia="en-AU"/>
        </w:rPr>
        <w:t>(</w:t>
      </w:r>
      <w:r w:rsidR="003C74F9">
        <w:rPr>
          <w:lang w:eastAsia="en-AU"/>
        </w:rPr>
        <w:t xml:space="preserve"> R</w:t>
      </w:r>
      <w:r w:rsidR="001D4FF0">
        <w:rPr>
          <w:lang w:eastAsia="en-AU"/>
        </w:rPr>
        <w:t>BS</w:t>
      </w:r>
      <w:r w:rsidR="00FB74CF">
        <w:rPr>
          <w:lang w:eastAsia="en-AU"/>
        </w:rPr>
        <w:t>)</w:t>
      </w:r>
      <w:r w:rsidR="001D4FF0">
        <w:rPr>
          <w:lang w:eastAsia="en-AU"/>
        </w:rPr>
        <w:t xml:space="preserve">, </w:t>
      </w:r>
      <w:r w:rsidR="003C74F9">
        <w:rPr>
          <w:lang w:eastAsia="en-AU"/>
        </w:rPr>
        <w:t xml:space="preserve">the </w:t>
      </w:r>
      <w:r w:rsidR="001D4FF0">
        <w:rPr>
          <w:lang w:eastAsia="en-AU"/>
        </w:rPr>
        <w:t xml:space="preserve">MBS and </w:t>
      </w:r>
      <w:r w:rsidR="00F56855">
        <w:rPr>
          <w:lang w:eastAsia="en-AU"/>
        </w:rPr>
        <w:t xml:space="preserve">the </w:t>
      </w:r>
      <w:r w:rsidR="001D4FF0">
        <w:rPr>
          <w:lang w:eastAsia="en-AU"/>
        </w:rPr>
        <w:t>VBA all playing a role at different stages</w:t>
      </w:r>
      <w:r w:rsidR="00546E11">
        <w:rPr>
          <w:lang w:eastAsia="en-AU"/>
        </w:rPr>
        <w:t>. For instance, where a person does not comply with a</w:t>
      </w:r>
      <w:r w:rsidR="007963A9">
        <w:rPr>
          <w:lang w:eastAsia="en-AU"/>
        </w:rPr>
        <w:t xml:space="preserve">n </w:t>
      </w:r>
      <w:r w:rsidR="00546E11">
        <w:rPr>
          <w:lang w:eastAsia="en-AU"/>
        </w:rPr>
        <w:t>order issued by a</w:t>
      </w:r>
      <w:r w:rsidR="003C74F9">
        <w:rPr>
          <w:lang w:eastAsia="en-AU"/>
        </w:rPr>
        <w:t>n</w:t>
      </w:r>
      <w:r w:rsidR="00546E11">
        <w:rPr>
          <w:lang w:eastAsia="en-AU"/>
        </w:rPr>
        <w:t xml:space="preserve"> </w:t>
      </w:r>
      <w:r w:rsidR="003C74F9">
        <w:rPr>
          <w:lang w:eastAsia="en-AU"/>
        </w:rPr>
        <w:t xml:space="preserve"> R</w:t>
      </w:r>
      <w:r w:rsidR="00546E11">
        <w:rPr>
          <w:lang w:eastAsia="en-AU"/>
        </w:rPr>
        <w:t>BS, the</w:t>
      </w:r>
      <w:r w:rsidR="007963A9">
        <w:rPr>
          <w:lang w:eastAsia="en-AU"/>
        </w:rPr>
        <w:t xml:space="preserve">y </w:t>
      </w:r>
      <w:r w:rsidR="00546E11">
        <w:rPr>
          <w:lang w:eastAsia="en-AU"/>
        </w:rPr>
        <w:t xml:space="preserve">must refer the matter to the VBA </w:t>
      </w:r>
      <w:r w:rsidR="008411FA">
        <w:rPr>
          <w:lang w:eastAsia="en-AU"/>
        </w:rPr>
        <w:t xml:space="preserve">who is then responsible </w:t>
      </w:r>
      <w:r w:rsidR="00340BD3">
        <w:rPr>
          <w:lang w:eastAsia="en-AU"/>
        </w:rPr>
        <w:t>for taking enforcement action</w:t>
      </w:r>
      <w:r w:rsidR="008411FA">
        <w:rPr>
          <w:lang w:eastAsia="en-AU"/>
        </w:rPr>
        <w:t xml:space="preserve">. </w:t>
      </w:r>
      <w:r w:rsidR="006D2F2B">
        <w:t xml:space="preserve">Despite continuing to play an oversight role for the building project, the </w:t>
      </w:r>
      <w:r w:rsidR="00F43B20">
        <w:t xml:space="preserve"> R</w:t>
      </w:r>
      <w:r w:rsidR="006D2F2B">
        <w:t xml:space="preserve">BS may not have </w:t>
      </w:r>
      <w:r w:rsidR="00142642">
        <w:t>a line of sight over the VBA enforcement response</w:t>
      </w:r>
      <w:r w:rsidR="00805EA0">
        <w:t xml:space="preserve"> and the implications for the construction process. </w:t>
      </w:r>
    </w:p>
    <w:p w14:paraId="6D3AB7B4" w14:textId="79D7199C" w:rsidR="00774000" w:rsidRDefault="003552D0" w:rsidP="001C3DFB">
      <w:pPr>
        <w:rPr>
          <w:lang w:eastAsia="en-AU"/>
        </w:rPr>
      </w:pPr>
      <w:r w:rsidRPr="003E2158">
        <w:t xml:space="preserve">The Panel agrees with the Cladding Taskforce’s observation that it is </w:t>
      </w:r>
      <w:r w:rsidRPr="00764269">
        <w:t xml:space="preserve">‘timely to recalibrate and clarify the role of the VBA/Local Government/MBS and the </w:t>
      </w:r>
      <w:r w:rsidR="00F43B20">
        <w:t xml:space="preserve"> R</w:t>
      </w:r>
      <w:r w:rsidRPr="00764269">
        <w:t>BS’</w:t>
      </w:r>
      <w:r w:rsidR="00825B1D">
        <w:t>.</w:t>
      </w:r>
      <w:r w:rsidRPr="003E2158">
        <w:rPr>
          <w:rStyle w:val="EndnoteReference"/>
        </w:rPr>
        <w:endnoteReference w:id="25"/>
      </w:r>
      <w:r w:rsidRPr="003E2158">
        <w:t xml:space="preserve"> Greater clarity is</w:t>
      </w:r>
      <w:r w:rsidR="00AB01D6" w:rsidRPr="003E2158">
        <w:t xml:space="preserve"> </w:t>
      </w:r>
      <w:r w:rsidRPr="003E2158">
        <w:t>required on the roles and responsibilities of the RBS, MBS and VBA under a future regulatory model.</w:t>
      </w:r>
      <w:r w:rsidR="00CD5A6E" w:rsidRPr="003E2158">
        <w:t xml:space="preserve"> </w:t>
      </w:r>
      <w:r w:rsidR="00AE4B30" w:rsidRPr="003E2158">
        <w:t xml:space="preserve">The Panel will look at the role of </w:t>
      </w:r>
      <w:r w:rsidR="00AB01D6" w:rsidRPr="003E2158">
        <w:t xml:space="preserve">local </w:t>
      </w:r>
      <w:r w:rsidR="00AE4B30" w:rsidRPr="003E2158">
        <w:t xml:space="preserve">councils in the building </w:t>
      </w:r>
      <w:r w:rsidR="00186FF0" w:rsidRPr="003E2158">
        <w:t xml:space="preserve">regulatory </w:t>
      </w:r>
      <w:r w:rsidR="00AE4B30" w:rsidRPr="003E2158">
        <w:t>system as part of Stage 3 of the Review</w:t>
      </w:r>
      <w:r w:rsidR="003C3E3D" w:rsidRPr="003E2158">
        <w:t>. T</w:t>
      </w:r>
      <w:r w:rsidR="00AE4B30" w:rsidRPr="003E2158">
        <w:t xml:space="preserve">his will enable the Panel to reflect </w:t>
      </w:r>
      <w:r w:rsidR="003E2158" w:rsidRPr="003E2158">
        <w:t xml:space="preserve">on </w:t>
      </w:r>
      <w:r w:rsidR="00AE4B30" w:rsidRPr="003E2158">
        <w:t>the impact of reforms on the building system</w:t>
      </w:r>
      <w:r w:rsidR="00F43B20">
        <w:t xml:space="preserve"> framework</w:t>
      </w:r>
      <w:r w:rsidR="00AE4B30" w:rsidRPr="003E2158">
        <w:t xml:space="preserve"> as </w:t>
      </w:r>
      <w:r w:rsidR="00733AA2" w:rsidRPr="003E2158">
        <w:t>a whole.</w:t>
      </w:r>
      <w:r w:rsidR="00733AA2">
        <w:t xml:space="preserve"> </w:t>
      </w:r>
    </w:p>
    <w:p w14:paraId="32DD99F3" w14:textId="24F806C1" w:rsidR="002907CF" w:rsidRDefault="008A79D4" w:rsidP="002907CF">
      <w:pPr>
        <w:pStyle w:val="Heading4"/>
      </w:pPr>
      <w:r>
        <w:t>R</w:t>
      </w:r>
      <w:r w:rsidR="002907CF">
        <w:t>egulators</w:t>
      </w:r>
      <w:r>
        <w:t>’</w:t>
      </w:r>
      <w:r w:rsidR="002907CF">
        <w:t xml:space="preserve"> powers to achieve regulatory objectives</w:t>
      </w:r>
      <w:r w:rsidRPr="008A79D4">
        <w:t xml:space="preserve"> are not well utilised</w:t>
      </w:r>
    </w:p>
    <w:p w14:paraId="7999D6F5" w14:textId="4BFE6431" w:rsidR="002907CF" w:rsidRDefault="00B07FE5" w:rsidP="002907CF">
      <w:pPr>
        <w:rPr>
          <w:lang w:eastAsia="en-AU"/>
        </w:rPr>
      </w:pPr>
      <w:r>
        <w:t>The Panel has heard that the current suite of powers available to regulators are not being used effectively</w:t>
      </w:r>
      <w:r>
        <w:rPr>
          <w:lang w:eastAsia="en-AU"/>
        </w:rPr>
        <w:t>. Ineffective use of current  powers is driven by a culmination of unclear roles and responsibilities (outlined above</w:t>
      </w:r>
      <w:r w:rsidR="006E1227">
        <w:rPr>
          <w:lang w:eastAsia="en-AU"/>
        </w:rPr>
        <w:t>),</w:t>
      </w:r>
      <w:r>
        <w:rPr>
          <w:lang w:eastAsia="en-AU"/>
        </w:rPr>
        <w:t xml:space="preserve"> and resourcing, capacity and capability constraints in the current system. </w:t>
      </w:r>
      <w:r w:rsidR="00025D15">
        <w:rPr>
          <w:lang w:eastAsia="en-AU"/>
        </w:rPr>
        <w:t>The following issues have been identified</w:t>
      </w:r>
      <w:r w:rsidR="00A536E8">
        <w:rPr>
          <w:lang w:eastAsia="en-AU"/>
        </w:rPr>
        <w:t>:</w:t>
      </w:r>
    </w:p>
    <w:p w14:paraId="715B5F74" w14:textId="77777777" w:rsidR="00D2431C" w:rsidRDefault="00A536E8" w:rsidP="00D2431C">
      <w:pPr>
        <w:pStyle w:val="Bullet"/>
      </w:pPr>
      <w:r w:rsidRPr="00014099">
        <w:rPr>
          <w:b/>
        </w:rPr>
        <w:t xml:space="preserve">The </w:t>
      </w:r>
      <w:r w:rsidR="0035126E" w:rsidRPr="00014099">
        <w:rPr>
          <w:b/>
        </w:rPr>
        <w:t xml:space="preserve">VBA has the power to issue a </w:t>
      </w:r>
      <w:r w:rsidR="00F56855" w:rsidRPr="00066DCC">
        <w:rPr>
          <w:b/>
        </w:rPr>
        <w:t>DTF</w:t>
      </w:r>
      <w:r w:rsidR="0035126E" w:rsidRPr="00014099">
        <w:rPr>
          <w:b/>
        </w:rPr>
        <w:t xml:space="preserve"> </w:t>
      </w:r>
      <w:r w:rsidR="00E875DD">
        <w:rPr>
          <w:b/>
        </w:rPr>
        <w:t>and</w:t>
      </w:r>
      <w:r w:rsidR="0035126E" w:rsidRPr="00014099">
        <w:rPr>
          <w:b/>
        </w:rPr>
        <w:t xml:space="preserve"> only uses this power ‘</w:t>
      </w:r>
      <w:r w:rsidR="0035126E" w:rsidRPr="00764269">
        <w:rPr>
          <w:b/>
        </w:rPr>
        <w:t>in exceptional circumstances’</w:t>
      </w:r>
      <w:r w:rsidR="001C5406">
        <w:t>, preferring to refer non-compliance to the RBS or MBS for enforcement.</w:t>
      </w:r>
      <w:r w:rsidR="00221532">
        <w:t xml:space="preserve"> </w:t>
      </w:r>
      <w:r w:rsidR="00E22CB9">
        <w:t>This reflects the VBA</w:t>
      </w:r>
      <w:r w:rsidR="00753E7D">
        <w:t>’</w:t>
      </w:r>
      <w:r w:rsidR="00E22CB9">
        <w:t>s role as a state-wide regulator, focused primarily on systemic issues, rather than local matters.</w:t>
      </w:r>
      <w:r w:rsidR="00E875DD">
        <w:t xml:space="preserve"> Where this is not clearly communicated it can cause confusion and </w:t>
      </w:r>
      <w:r w:rsidR="00F43B20">
        <w:t xml:space="preserve"> result in </w:t>
      </w:r>
      <w:r w:rsidR="009D0699">
        <w:t>passing</w:t>
      </w:r>
      <w:r w:rsidR="00F43B20">
        <w:t xml:space="preserve"> </w:t>
      </w:r>
      <w:r w:rsidR="00E875DD">
        <w:t xml:space="preserve"> responsibility for compliance action</w:t>
      </w:r>
      <w:r w:rsidR="00F43B20">
        <w:t xml:space="preserve"> from one party to the other</w:t>
      </w:r>
      <w:r w:rsidR="00E875DD">
        <w:t xml:space="preserve">. </w:t>
      </w:r>
    </w:p>
    <w:p w14:paraId="22ADD2CE" w14:textId="30CADBB4" w:rsidR="004D5C7F" w:rsidRPr="00D2431C" w:rsidRDefault="00D831F6" w:rsidP="00D2431C">
      <w:pPr>
        <w:pStyle w:val="Bullet"/>
      </w:pPr>
      <w:r w:rsidRPr="00D2431C">
        <w:rPr>
          <w:b/>
        </w:rPr>
        <w:t xml:space="preserve">Injunctions are not </w:t>
      </w:r>
      <w:r w:rsidR="000B5BCD" w:rsidRPr="00D2431C">
        <w:rPr>
          <w:b/>
        </w:rPr>
        <w:t xml:space="preserve">widely used </w:t>
      </w:r>
      <w:r w:rsidR="00F25164" w:rsidRPr="00D2431C">
        <w:rPr>
          <w:b/>
        </w:rPr>
        <w:t>by the VBA or MBS</w:t>
      </w:r>
      <w:r w:rsidR="00EA430B" w:rsidRPr="00D2431C">
        <w:rPr>
          <w:b/>
        </w:rPr>
        <w:t>.</w:t>
      </w:r>
      <w:r w:rsidR="00EA430B">
        <w:t xml:space="preserve"> </w:t>
      </w:r>
      <w:r w:rsidR="00EA28AE">
        <w:t>Some</w:t>
      </w:r>
      <w:r w:rsidR="00741420">
        <w:t xml:space="preserve"> MBSs use</w:t>
      </w:r>
      <w:r w:rsidR="00F43B20">
        <w:t xml:space="preserve"> </w:t>
      </w:r>
      <w:r w:rsidR="00741420">
        <w:t xml:space="preserve"> </w:t>
      </w:r>
      <w:r w:rsidR="00EA28AE">
        <w:t xml:space="preserve">the </w:t>
      </w:r>
      <w:r w:rsidR="00741420">
        <w:t>power</w:t>
      </w:r>
      <w:r w:rsidR="00C65FA3">
        <w:t xml:space="preserve"> in specific circumstances</w:t>
      </w:r>
      <w:r w:rsidR="00EA28AE">
        <w:t>, such as</w:t>
      </w:r>
      <w:r w:rsidR="00F8788E">
        <w:t xml:space="preserve"> </w:t>
      </w:r>
      <w:r w:rsidR="00B93E14" w:rsidDel="00F8788E">
        <w:t xml:space="preserve">to </w:t>
      </w:r>
      <w:r w:rsidR="00B93E14">
        <w:t xml:space="preserve">require building work to be performed or to stop </w:t>
      </w:r>
      <w:r w:rsidR="00B93E14">
        <w:lastRenderedPageBreak/>
        <w:t>building work</w:t>
      </w:r>
      <w:r w:rsidR="00F8788E">
        <w:t xml:space="preserve">. </w:t>
      </w:r>
      <w:r w:rsidR="00C65FA3">
        <w:t xml:space="preserve">However, the Panel </w:t>
      </w:r>
      <w:r w:rsidR="00F718E2">
        <w:t>believes</w:t>
      </w:r>
      <w:r w:rsidR="00C65FA3">
        <w:t xml:space="preserve"> that injunctions are not </w:t>
      </w:r>
      <w:r w:rsidR="00A46A0E">
        <w:t>utilised</w:t>
      </w:r>
      <w:r w:rsidR="00F8788E">
        <w:t xml:space="preserve"> </w:t>
      </w:r>
      <w:r w:rsidR="00B363A2">
        <w:t xml:space="preserve">by the VBA </w:t>
      </w:r>
      <w:r w:rsidR="00F8788E">
        <w:t xml:space="preserve">to </w:t>
      </w:r>
      <w:r w:rsidR="00C65FA3">
        <w:t xml:space="preserve">their </w:t>
      </w:r>
      <w:r w:rsidR="00446659">
        <w:t xml:space="preserve">full </w:t>
      </w:r>
      <w:r w:rsidR="00F8788E">
        <w:t>capacity in other circumstances</w:t>
      </w:r>
      <w:r w:rsidR="00A46A0E">
        <w:t>, such as</w:t>
      </w:r>
      <w:r w:rsidR="00F8788E">
        <w:t xml:space="preserve"> </w:t>
      </w:r>
      <w:r w:rsidR="00845312" w:rsidDel="00A65918">
        <w:t>t</w:t>
      </w:r>
      <w:r w:rsidR="00845312">
        <w:t>o require the payment of costs for rectification, enable the Court to ‘pierce the corporate veil’, or to respond to multiple wrongdoers.</w:t>
      </w:r>
      <w:r w:rsidR="00845312">
        <w:rPr>
          <w:rStyle w:val="EndnoteReference"/>
        </w:rPr>
        <w:endnoteReference w:id="26"/>
      </w:r>
      <w:r w:rsidR="00845312">
        <w:t xml:space="preserve"> </w:t>
      </w:r>
    </w:p>
    <w:p w14:paraId="1573782D" w14:textId="250A344C" w:rsidR="004D5C7F" w:rsidRDefault="00E955E8" w:rsidP="00E955E8">
      <w:pPr>
        <w:pStyle w:val="Bullet"/>
      </w:pPr>
      <w:r w:rsidRPr="007067F9">
        <w:rPr>
          <w:b/>
        </w:rPr>
        <w:t>While</w:t>
      </w:r>
      <w:r w:rsidRPr="007067F9" w:rsidDel="005023B0">
        <w:rPr>
          <w:b/>
        </w:rPr>
        <w:t xml:space="preserve"> </w:t>
      </w:r>
      <w:r w:rsidRPr="007067F9">
        <w:rPr>
          <w:b/>
        </w:rPr>
        <w:t>enforcement functions such as building notices and building orders are intended to be used as a last resort,</w:t>
      </w:r>
      <w:r w:rsidRPr="007067F9">
        <w:rPr>
          <w:rStyle w:val="EndnoteReference"/>
          <w:b/>
        </w:rPr>
        <w:endnoteReference w:id="27"/>
      </w:r>
      <w:r w:rsidRPr="007067F9">
        <w:rPr>
          <w:b/>
        </w:rPr>
        <w:t xml:space="preserve"> they</w:t>
      </w:r>
      <w:r w:rsidR="004A3801" w:rsidRPr="007067F9">
        <w:rPr>
          <w:b/>
        </w:rPr>
        <w:t xml:space="preserve"> are often </w:t>
      </w:r>
      <w:r w:rsidRPr="007067F9">
        <w:rPr>
          <w:b/>
        </w:rPr>
        <w:t>issued by an RBS immediately following non-compliance with a DTF.</w:t>
      </w:r>
      <w:r w:rsidR="000B2C83">
        <w:t xml:space="preserve"> </w:t>
      </w:r>
      <w:r w:rsidR="00C65FA3">
        <w:t xml:space="preserve">Building notices and orders </w:t>
      </w:r>
      <w:r w:rsidR="00A35B2E">
        <w:t xml:space="preserve">are issued to building owners </w:t>
      </w:r>
      <w:r w:rsidR="005C69D8">
        <w:t>(regardless of their level of involvement in building work) and can place undue accountability on an owner to resolve a matter.</w:t>
      </w:r>
    </w:p>
    <w:p w14:paraId="24180335" w14:textId="69F47581" w:rsidR="00BB5980" w:rsidRDefault="00BB5980" w:rsidP="00BB5980">
      <w:pPr>
        <w:pStyle w:val="Heading4"/>
      </w:pPr>
      <w:r>
        <w:t>Regulators do not have the full suite of appropriate compliance tools and powers to achieve their intended outcomes</w:t>
      </w:r>
    </w:p>
    <w:p w14:paraId="16A8C852" w14:textId="44BD1324" w:rsidR="004A0F93" w:rsidRDefault="00AB415C" w:rsidP="004A0F93">
      <w:pPr>
        <w:rPr>
          <w:lang w:eastAsia="en-AU"/>
        </w:rPr>
      </w:pPr>
      <w:r>
        <w:rPr>
          <w:lang w:eastAsia="en-AU"/>
        </w:rPr>
        <w:t>Despite recent amendments to the Building Act to strengthen enforcement tools and powers, there are still gaps in the tools and powers available to regulators</w:t>
      </w:r>
      <w:r w:rsidR="002E10BC">
        <w:rPr>
          <w:lang w:eastAsia="en-AU"/>
        </w:rPr>
        <w:t>. For example</w:t>
      </w:r>
      <w:r w:rsidR="004A0F93">
        <w:rPr>
          <w:lang w:eastAsia="en-AU"/>
        </w:rPr>
        <w:t>:</w:t>
      </w:r>
    </w:p>
    <w:p w14:paraId="742D8022" w14:textId="41161095" w:rsidR="00ED429E" w:rsidRPr="00ED429E" w:rsidRDefault="008E262B" w:rsidP="005A741C">
      <w:pPr>
        <w:pStyle w:val="Bullet"/>
        <w:rPr>
          <w:rFonts w:eastAsiaTheme="minorHAnsi" w:cstheme="minorBidi"/>
          <w:szCs w:val="22"/>
        </w:rPr>
      </w:pPr>
      <w:r w:rsidRPr="008E262B">
        <w:rPr>
          <w:b/>
        </w:rPr>
        <w:t xml:space="preserve">A builder cannot be issued </w:t>
      </w:r>
      <w:r w:rsidR="002E10BC" w:rsidRPr="008D4994">
        <w:rPr>
          <w:b/>
        </w:rPr>
        <w:t>administrative directions by a building surveyor</w:t>
      </w:r>
      <w:r w:rsidR="006B3444" w:rsidRPr="008D4994">
        <w:rPr>
          <w:b/>
        </w:rPr>
        <w:t xml:space="preserve"> or</w:t>
      </w:r>
      <w:r w:rsidR="002E10BC" w:rsidRPr="008D4994">
        <w:rPr>
          <w:b/>
        </w:rPr>
        <w:t xml:space="preserve"> the VBA to rectify non-compliant work after </w:t>
      </w:r>
      <w:r w:rsidR="005A741C" w:rsidRPr="008D4994">
        <w:rPr>
          <w:b/>
        </w:rPr>
        <w:t>an occupancy permit or certificate of final inspection has been issued</w:t>
      </w:r>
      <w:r w:rsidR="002E10BC" w:rsidRPr="008D4994">
        <w:rPr>
          <w:b/>
        </w:rPr>
        <w:t>.</w:t>
      </w:r>
      <w:r w:rsidR="002E10BC">
        <w:t xml:space="preserve"> </w:t>
      </w:r>
      <w:r w:rsidR="006B3444">
        <w:t>Post</w:t>
      </w:r>
      <w:r w:rsidR="00634C2D">
        <w:t>-</w:t>
      </w:r>
      <w:r w:rsidR="006B3444">
        <w:t>occupancy, t</w:t>
      </w:r>
      <w:r w:rsidR="000218B6">
        <w:t>he RBS and MBS must rely on building notices and orders which are issued to the building owner, thereby shifting responsibility for compliance from the builder to the owner</w:t>
      </w:r>
      <w:r w:rsidR="006B3444">
        <w:t>. Further</w:t>
      </w:r>
      <w:r w:rsidR="004B5268">
        <w:t>,</w:t>
      </w:r>
      <w:r w:rsidR="006B3444">
        <w:t xml:space="preserve"> the VBA can only issue</w:t>
      </w:r>
      <w:r w:rsidR="00857494">
        <w:t xml:space="preserve"> a building notice or order when performing the functions of the MBS.</w:t>
      </w:r>
      <w:r w:rsidR="00451540">
        <w:t xml:space="preserve"> </w:t>
      </w:r>
      <w:r w:rsidR="001B1B99">
        <w:t xml:space="preserve">Otherwise, </w:t>
      </w:r>
      <w:r w:rsidR="00451540">
        <w:t>the VBA</w:t>
      </w:r>
      <w:r w:rsidR="001B1B99">
        <w:t>’</w:t>
      </w:r>
      <w:r w:rsidR="00451540">
        <w:t>s only power to bring about compliance post-occupancy is</w:t>
      </w:r>
      <w:r w:rsidR="00285C58">
        <w:t xml:space="preserve"> the injunction power, which </w:t>
      </w:r>
      <w:r w:rsidR="001B1B99">
        <w:t>is rarely used (as noted above)</w:t>
      </w:r>
      <w:r w:rsidR="00285C58">
        <w:t xml:space="preserve">. </w:t>
      </w:r>
      <w:r w:rsidR="00B363A2">
        <w:t>As a r</w:t>
      </w:r>
      <w:r w:rsidR="002E0175">
        <w:t>esult</w:t>
      </w:r>
      <w:r w:rsidR="00B363A2">
        <w:t xml:space="preserve"> </w:t>
      </w:r>
      <w:r w:rsidR="00D74E44">
        <w:t xml:space="preserve">, there are limited avenues for regulators to rectify defective building work after the building is built. </w:t>
      </w:r>
      <w:r w:rsidR="00285C58">
        <w:t xml:space="preserve">This issue </w:t>
      </w:r>
      <w:r w:rsidR="00D74E44">
        <w:t xml:space="preserve">was </w:t>
      </w:r>
      <w:r w:rsidR="00285C58">
        <w:t xml:space="preserve">previously raised </w:t>
      </w:r>
      <w:r w:rsidR="00D27B8C">
        <w:t xml:space="preserve">by </w:t>
      </w:r>
      <w:r w:rsidR="00990DD5">
        <w:t>t</w:t>
      </w:r>
      <w:r w:rsidR="00D27B8C">
        <w:t xml:space="preserve">he Cladding Taskforce, who </w:t>
      </w:r>
      <w:r w:rsidR="005023B0">
        <w:t>found that a lack of enforcement powers post-occupancy present</w:t>
      </w:r>
      <w:r w:rsidR="00D74E44">
        <w:t>ed</w:t>
      </w:r>
      <w:r w:rsidR="005023B0">
        <w:t xml:space="preserve"> a ‘</w:t>
      </w:r>
      <w:r w:rsidR="005023B0" w:rsidRPr="000A0B1B">
        <w:t>significant barrier’</w:t>
      </w:r>
      <w:r w:rsidR="005023B0">
        <w:t xml:space="preserve"> to the VBA’s </w:t>
      </w:r>
      <w:r w:rsidR="00D74E44">
        <w:t>compliance function</w:t>
      </w:r>
      <w:r w:rsidR="005023B0">
        <w:t>.</w:t>
      </w:r>
      <w:r w:rsidR="005023B0">
        <w:rPr>
          <w:rStyle w:val="EndnoteReference"/>
        </w:rPr>
        <w:endnoteReference w:id="28"/>
      </w:r>
    </w:p>
    <w:p w14:paraId="5137A652" w14:textId="5E93B73B" w:rsidR="00464E38" w:rsidRPr="008D4994" w:rsidRDefault="008252B5" w:rsidP="00446C5C">
      <w:pPr>
        <w:pStyle w:val="Bullet"/>
      </w:pPr>
      <w:r w:rsidRPr="008252B5">
        <w:rPr>
          <w:b/>
          <w:bCs/>
        </w:rPr>
        <w:t>The Building Act does not provide any</w:t>
      </w:r>
      <w:r w:rsidR="00BA438E" w:rsidRPr="008D4994">
        <w:rPr>
          <w:b/>
        </w:rPr>
        <w:t xml:space="preserve"> administrative enforcement tools that can be imposed on developers after </w:t>
      </w:r>
      <w:r w:rsidRPr="008252B5">
        <w:rPr>
          <w:b/>
          <w:bCs/>
        </w:rPr>
        <w:t xml:space="preserve">they sell </w:t>
      </w:r>
      <w:r w:rsidR="00BA438E" w:rsidRPr="008D4994">
        <w:rPr>
          <w:b/>
        </w:rPr>
        <w:t>the building</w:t>
      </w:r>
      <w:r w:rsidRPr="008252B5">
        <w:rPr>
          <w:b/>
          <w:bCs/>
        </w:rPr>
        <w:t>.</w:t>
      </w:r>
      <w:r w:rsidR="00464E38">
        <w:t xml:space="preserve"> </w:t>
      </w:r>
      <w:r w:rsidR="00D74E44">
        <w:t>D</w:t>
      </w:r>
      <w:r w:rsidR="00464E38">
        <w:t>evelopers play a direct role in influencing building project outcomes and compliance.</w:t>
      </w:r>
      <w:r w:rsidR="005D1422">
        <w:t xml:space="preserve"> Despite their influence, </w:t>
      </w:r>
      <w:r w:rsidR="008408F6">
        <w:t>once the developer sells the building</w:t>
      </w:r>
      <w:r w:rsidR="00D74E44">
        <w:t xml:space="preserve"> and is no longer deemed the building owner</w:t>
      </w:r>
      <w:r w:rsidR="00B610BD">
        <w:t xml:space="preserve">. </w:t>
      </w:r>
      <w:r w:rsidR="002613E3" w:rsidRPr="002613E3">
        <w:t xml:space="preserve">There </w:t>
      </w:r>
      <w:r w:rsidR="008408F6">
        <w:t xml:space="preserve">is no administrative order that can </w:t>
      </w:r>
      <w:r w:rsidR="002A25E6">
        <w:t xml:space="preserve">require </w:t>
      </w:r>
      <w:r w:rsidR="002613E3" w:rsidRPr="002613E3">
        <w:t>developers</w:t>
      </w:r>
      <w:r w:rsidR="002A25E6">
        <w:t xml:space="preserve"> to rectify non-compliant work.</w:t>
      </w:r>
    </w:p>
    <w:p w14:paraId="6A038609" w14:textId="6951366A" w:rsidR="0097689C" w:rsidRDefault="003276CC" w:rsidP="003276CC">
      <w:pPr>
        <w:pStyle w:val="Heading4"/>
      </w:pPr>
      <w:r>
        <w:t xml:space="preserve">Disciplinary </w:t>
      </w:r>
      <w:r w:rsidR="00B365CF">
        <w:t xml:space="preserve">and enforcement </w:t>
      </w:r>
      <w:r>
        <w:t>processes are perceived to be slow and opaque to consumers, practitioners and the general public</w:t>
      </w:r>
    </w:p>
    <w:p w14:paraId="2FC67F12" w14:textId="7A8EFEC4" w:rsidR="00446C5C" w:rsidRPr="009A71A5" w:rsidRDefault="00875D27" w:rsidP="00875D27">
      <w:r>
        <w:t xml:space="preserve">Current disciplinary processes overseen by the VBA may not effectively deter </w:t>
      </w:r>
      <w:r w:rsidR="00027C83">
        <w:t>practitioners</w:t>
      </w:r>
      <w:r>
        <w:t xml:space="preserve"> from non-compliant conduct or provide adequate mechanisms to sanction offending practitioners for serious misconduct.</w:t>
      </w:r>
      <w:r w:rsidR="00027C83">
        <w:t xml:space="preserve"> </w:t>
      </w:r>
      <w:r w:rsidR="00E76FC6">
        <w:t>The</w:t>
      </w:r>
      <w:r w:rsidR="00446C5C">
        <w:t xml:space="preserve"> Cladding Taskforce </w:t>
      </w:r>
      <w:r w:rsidR="00E76FC6">
        <w:t xml:space="preserve">previously raised this issue, </w:t>
      </w:r>
      <w:r w:rsidR="00446C5C">
        <w:t>not</w:t>
      </w:r>
      <w:r w:rsidR="00E76FC6">
        <w:t>ing</w:t>
      </w:r>
      <w:r w:rsidR="00446C5C">
        <w:t xml:space="preserve"> </w:t>
      </w:r>
      <w:r w:rsidR="009A71A5">
        <w:t>ongoing concerns ‘</w:t>
      </w:r>
      <w:r w:rsidR="009A71A5" w:rsidRPr="00E76FC6">
        <w:t xml:space="preserve">with the adequacy of disciplinary processes’ </w:t>
      </w:r>
      <w:r w:rsidR="009A71A5" w:rsidRPr="007C2B30">
        <w:t>which</w:t>
      </w:r>
      <w:r w:rsidR="009A71A5" w:rsidRPr="00E76FC6">
        <w:t xml:space="preserve"> ‘continue to be slow and largely opaque to consumers and the general public’</w:t>
      </w:r>
      <w:r w:rsidR="009A71A5">
        <w:rPr>
          <w:i/>
          <w:iCs/>
        </w:rPr>
        <w:t>.</w:t>
      </w:r>
      <w:r w:rsidR="000F6193">
        <w:rPr>
          <w:rStyle w:val="EndnoteReference"/>
        </w:rPr>
        <w:endnoteReference w:id="29"/>
      </w:r>
      <w:r w:rsidR="009A71A5">
        <w:rPr>
          <w:i/>
          <w:iCs/>
        </w:rPr>
        <w:t xml:space="preserve"> </w:t>
      </w:r>
    </w:p>
    <w:p w14:paraId="110DD434" w14:textId="77777777" w:rsidR="009A24E9" w:rsidRDefault="000F6193" w:rsidP="00875D27">
      <w:pPr>
        <w:sectPr w:rsidR="009A24E9" w:rsidSect="00A31025">
          <w:footerReference w:type="default" r:id="rId56"/>
          <w:endnotePr>
            <w:numFmt w:val="decimal"/>
          </w:endnotePr>
          <w:type w:val="continuous"/>
          <w:pgSz w:w="11907" w:h="16839" w:code="9"/>
          <w:pgMar w:top="1418" w:right="1418" w:bottom="1701" w:left="1559" w:header="720" w:footer="720" w:gutter="0"/>
          <w:cols w:space="720"/>
          <w:docGrid w:linePitch="360"/>
        </w:sectPr>
      </w:pPr>
      <w:r>
        <w:t xml:space="preserve">Specific issues include the timeliness of disciplinary action, </w:t>
      </w:r>
      <w:r w:rsidR="00565917">
        <w:t xml:space="preserve">the use of available </w:t>
      </w:r>
      <w:r w:rsidR="00C27173">
        <w:t>s</w:t>
      </w:r>
      <w:r w:rsidR="00565917">
        <w:t>a</w:t>
      </w:r>
      <w:r w:rsidR="00C27173">
        <w:t>n</w:t>
      </w:r>
      <w:r w:rsidR="00565917">
        <w:t xml:space="preserve">ctions in the disciplinary process </w:t>
      </w:r>
      <w:r w:rsidR="00E023E6">
        <w:t>(namely, a perceived overreliance on fines and reprimands</w:t>
      </w:r>
      <w:r w:rsidR="000D1925">
        <w:t xml:space="preserve"> rather than on rectificatio</w:t>
      </w:r>
      <w:r w:rsidR="007912D8">
        <w:t>n</w:t>
      </w:r>
      <w:r w:rsidR="00E023E6">
        <w:t xml:space="preserve">) </w:t>
      </w:r>
      <w:r w:rsidR="00D0534E">
        <w:t xml:space="preserve">and </w:t>
      </w:r>
      <w:r w:rsidR="0002199A">
        <w:t xml:space="preserve">a lack of transparency in reporting on disciplinary processes and outcomes. </w:t>
      </w:r>
    </w:p>
    <w:p w14:paraId="3E5B0481" w14:textId="23A0EFBB" w:rsidR="00496833" w:rsidRPr="00C962F2" w:rsidRDefault="00496833" w:rsidP="00875D27">
      <w:r>
        <w:br w:type="page"/>
      </w:r>
    </w:p>
    <w:p w14:paraId="33AC1E9F" w14:textId="7EF32706" w:rsidR="00AE00FB" w:rsidRDefault="00A140B4" w:rsidP="00AE00FB">
      <w:pPr>
        <w:pStyle w:val="Heading2"/>
      </w:pPr>
      <w:bookmarkStart w:id="97" w:name="_Toc131428703"/>
      <w:bookmarkStart w:id="98" w:name="_Toc134352861"/>
      <w:bookmarkStart w:id="99" w:name="_Toc134356894"/>
      <w:r>
        <w:lastRenderedPageBreak/>
        <w:t>Proposed r</w:t>
      </w:r>
      <w:r w:rsidR="00694E70">
        <w:t xml:space="preserve">ecommendations </w:t>
      </w:r>
      <w:r w:rsidR="00005AAF">
        <w:t xml:space="preserve">to </w:t>
      </w:r>
      <w:r w:rsidR="00F453C4">
        <w:t xml:space="preserve">make </w:t>
      </w:r>
      <w:r w:rsidR="00130818">
        <w:t>compliance</w:t>
      </w:r>
      <w:r w:rsidR="00F453C4">
        <w:t xml:space="preserve"> and</w:t>
      </w:r>
      <w:r w:rsidR="00DC03F1">
        <w:t xml:space="preserve"> </w:t>
      </w:r>
      <w:r w:rsidR="00130818">
        <w:t>enforcement</w:t>
      </w:r>
      <w:r w:rsidR="00DC03F1">
        <w:t xml:space="preserve"> </w:t>
      </w:r>
      <w:bookmarkEnd w:id="97"/>
      <w:r w:rsidR="00F453C4">
        <w:t>effective</w:t>
      </w:r>
      <w:bookmarkEnd w:id="98"/>
      <w:bookmarkEnd w:id="99"/>
    </w:p>
    <w:p w14:paraId="19A3601C" w14:textId="01D934FB" w:rsidR="0020302A" w:rsidRPr="000F354C" w:rsidRDefault="0020302A" w:rsidP="00DC03F1">
      <w:r>
        <w:rPr>
          <w:lang w:eastAsia="en-AU"/>
        </w:rPr>
        <w:t xml:space="preserve">The Panel proposes two reforms to </w:t>
      </w:r>
      <w:r w:rsidR="000F354C">
        <w:rPr>
          <w:lang w:eastAsia="en-AU"/>
        </w:rPr>
        <w:t>address the current issues in compliance, enforcement and discipline</w:t>
      </w:r>
      <w:r w:rsidR="0077685E">
        <w:rPr>
          <w:lang w:eastAsia="en-AU"/>
        </w:rPr>
        <w:t>,</w:t>
      </w:r>
      <w:r w:rsidR="00E508D5">
        <w:rPr>
          <w:lang w:eastAsia="en-AU"/>
        </w:rPr>
        <w:t xml:space="preserve"> </w:t>
      </w:r>
      <w:r w:rsidR="0077685E">
        <w:rPr>
          <w:lang w:eastAsia="en-AU"/>
        </w:rPr>
        <w:t xml:space="preserve">including the </w:t>
      </w:r>
      <w:r w:rsidR="00E508D5">
        <w:rPr>
          <w:lang w:eastAsia="en-AU"/>
        </w:rPr>
        <w:t>increased use of prosecution</w:t>
      </w:r>
      <w:r w:rsidR="0077685E">
        <w:rPr>
          <w:lang w:eastAsia="en-AU"/>
        </w:rPr>
        <w:t xml:space="preserve"> powers</w:t>
      </w:r>
      <w:r w:rsidR="000F354C">
        <w:rPr>
          <w:lang w:eastAsia="en-AU"/>
        </w:rPr>
        <w:t>. These recommendations</w:t>
      </w:r>
      <w:r w:rsidR="000F354C">
        <w:t xml:space="preserve"> </w:t>
      </w:r>
      <w:r>
        <w:t xml:space="preserve">build on the Panel’s Stage 1 reforms in strengthening building compliance and accountability across the system. They </w:t>
      </w:r>
      <w:r w:rsidR="000F354C">
        <w:t xml:space="preserve">seek </w:t>
      </w:r>
      <w:r w:rsidR="00302A1D">
        <w:t xml:space="preserve">to provide each regulator with the </w:t>
      </w:r>
      <w:r>
        <w:t xml:space="preserve">appropriate tools to undertake their functions. Proposed reforms to the disciplinary </w:t>
      </w:r>
      <w:r w:rsidR="00D7026B">
        <w:t xml:space="preserve">and enforcement </w:t>
      </w:r>
      <w:r>
        <w:t>process</w:t>
      </w:r>
      <w:r w:rsidR="00D7026B">
        <w:t>es</w:t>
      </w:r>
      <w:r>
        <w:t xml:space="preserve"> </w:t>
      </w:r>
      <w:r w:rsidR="00302A1D">
        <w:t xml:space="preserve">aim to improve </w:t>
      </w:r>
      <w:r w:rsidR="00DC03F1">
        <w:t xml:space="preserve">their effectiveness in deterring </w:t>
      </w:r>
      <w:r>
        <w:t>poor conduct and promot</w:t>
      </w:r>
      <w:r w:rsidR="00DC03F1">
        <w:t>ing</w:t>
      </w:r>
      <w:r>
        <w:t xml:space="preserve"> a </w:t>
      </w:r>
      <w:r w:rsidR="00520F16">
        <w:t xml:space="preserve">compliant </w:t>
      </w:r>
      <w:r>
        <w:t>culture</w:t>
      </w:r>
      <w:r w:rsidR="00DC03F1">
        <w:t>.</w:t>
      </w:r>
    </w:p>
    <w:p w14:paraId="707C8075" w14:textId="5F42F5ED" w:rsidR="00AE00FB" w:rsidRPr="007B00CA" w:rsidRDefault="001C42E3" w:rsidP="00AE00FB">
      <w:pPr>
        <w:pStyle w:val="Heading3"/>
      </w:pPr>
      <w:bookmarkStart w:id="100" w:name="_Ref130984300"/>
      <w:bookmarkStart w:id="101" w:name="_Toc131428704"/>
      <w:bookmarkStart w:id="102" w:name="_Ref134308303"/>
      <w:bookmarkStart w:id="103" w:name="_Toc134352862"/>
      <w:bookmarkStart w:id="104" w:name="_Toc134356789"/>
      <w:bookmarkStart w:id="105" w:name="_Toc134356895"/>
      <w:r w:rsidRPr="007B00CA">
        <w:t xml:space="preserve">Recommendation </w:t>
      </w:r>
      <w:r w:rsidR="008A395A" w:rsidRPr="007B00CA">
        <w:t>4</w:t>
      </w:r>
      <w:r w:rsidRPr="007B00CA">
        <w:t xml:space="preserve"> | </w:t>
      </w:r>
      <w:r w:rsidR="00AE00FB" w:rsidRPr="007B00CA">
        <w:t xml:space="preserve">Expand </w:t>
      </w:r>
      <w:r w:rsidR="00B363A2" w:rsidRPr="007B00CA">
        <w:t xml:space="preserve">regulatory </w:t>
      </w:r>
      <w:r w:rsidR="00AE00FB" w:rsidRPr="007B00CA">
        <w:t>tools and powers to</w:t>
      </w:r>
      <w:r w:rsidR="00B363A2" w:rsidRPr="007B00CA">
        <w:t xml:space="preserve"> address</w:t>
      </w:r>
      <w:r w:rsidR="00AE00FB" w:rsidRPr="007B00CA">
        <w:t xml:space="preserve"> identified </w:t>
      </w:r>
      <w:r w:rsidR="00B363A2" w:rsidRPr="007B00CA">
        <w:t xml:space="preserve">compliance and enforcement </w:t>
      </w:r>
      <w:r w:rsidR="00AE00FB" w:rsidRPr="007B00CA">
        <w:t xml:space="preserve">gaps in the building </w:t>
      </w:r>
      <w:r w:rsidR="00B363A2" w:rsidRPr="007B00CA">
        <w:t>system</w:t>
      </w:r>
      <w:bookmarkEnd w:id="100"/>
      <w:bookmarkEnd w:id="101"/>
      <w:r w:rsidR="007B00CA">
        <w:t>,</w:t>
      </w:r>
      <w:r w:rsidR="004101E2" w:rsidRPr="007B00CA">
        <w:t xml:space="preserve"> including post-occupancy</w:t>
      </w:r>
      <w:bookmarkEnd w:id="102"/>
      <w:bookmarkEnd w:id="103"/>
      <w:bookmarkEnd w:id="104"/>
      <w:bookmarkEnd w:id="105"/>
    </w:p>
    <w:p w14:paraId="0553763B" w14:textId="2BB3ADFD" w:rsidR="00AE00FB" w:rsidRDefault="00AE00FB" w:rsidP="00AE00FB">
      <w:pPr>
        <w:pStyle w:val="Heading4"/>
      </w:pPr>
      <w:r>
        <w:t>Desc</w:t>
      </w:r>
      <w:r w:rsidR="00101CE4">
        <w:t>ription</w:t>
      </w:r>
    </w:p>
    <w:p w14:paraId="10B2AF4A" w14:textId="30BD8415" w:rsidR="00010E0D" w:rsidRPr="00AC7E43" w:rsidRDefault="00010E0D" w:rsidP="00010E0D">
      <w:pPr>
        <w:rPr>
          <w:lang w:eastAsia="en-AU"/>
        </w:rPr>
      </w:pPr>
      <w:bookmarkStart w:id="106" w:name="_Hlk130975031"/>
      <w:r w:rsidRPr="00AC7E43">
        <w:rPr>
          <w:lang w:eastAsia="en-AU"/>
        </w:rPr>
        <w:t xml:space="preserve">The Panel recommends amendments to the Building Act to enable </w:t>
      </w:r>
      <w:r>
        <w:rPr>
          <w:lang w:eastAsia="en-AU"/>
        </w:rPr>
        <w:t xml:space="preserve">the regulator or regulators to require rectification of </w:t>
      </w:r>
      <w:r w:rsidRPr="00AC7E43">
        <w:rPr>
          <w:lang w:eastAsia="en-AU"/>
        </w:rPr>
        <w:t xml:space="preserve">non-compliant building work </w:t>
      </w:r>
      <w:r>
        <w:rPr>
          <w:lang w:eastAsia="en-AU"/>
        </w:rPr>
        <w:t>following</w:t>
      </w:r>
      <w:r w:rsidRPr="00AC7E43">
        <w:rPr>
          <w:lang w:eastAsia="en-AU"/>
        </w:rPr>
        <w:t xml:space="preserve"> the issuing of an occupancy permit or certificate of final inspection. The regulations could specify whether the power should exist for all non-compliance o</w:t>
      </w:r>
      <w:r>
        <w:rPr>
          <w:lang w:eastAsia="en-AU"/>
        </w:rPr>
        <w:t>r</w:t>
      </w:r>
      <w:r w:rsidRPr="00AC7E43">
        <w:rPr>
          <w:lang w:eastAsia="en-AU"/>
        </w:rPr>
        <w:t xml:space="preserve"> </w:t>
      </w:r>
      <w:r w:rsidR="00B363A2">
        <w:rPr>
          <w:lang w:eastAsia="en-AU"/>
        </w:rPr>
        <w:t xml:space="preserve"> particular </w:t>
      </w:r>
      <w:r w:rsidRPr="00AC7E43">
        <w:rPr>
          <w:lang w:eastAsia="en-AU"/>
        </w:rPr>
        <w:t>serious non-compliance.</w:t>
      </w:r>
    </w:p>
    <w:p w14:paraId="1CD3F2A3" w14:textId="6DDE3479" w:rsidR="00222FA5" w:rsidRDefault="006247AF" w:rsidP="003C5117">
      <w:pPr>
        <w:rPr>
          <w:lang w:eastAsia="en-AU"/>
        </w:rPr>
      </w:pPr>
      <w:r w:rsidRPr="00AC7E43">
        <w:rPr>
          <w:lang w:eastAsia="en-AU"/>
        </w:rPr>
        <w:t xml:space="preserve">In addition to </w:t>
      </w:r>
      <w:r w:rsidR="005F50C9">
        <w:rPr>
          <w:lang w:eastAsia="en-AU"/>
        </w:rPr>
        <w:t>this rectification power</w:t>
      </w:r>
      <w:r w:rsidRPr="00AC7E43">
        <w:rPr>
          <w:lang w:eastAsia="en-AU"/>
        </w:rPr>
        <w:t xml:space="preserve">, </w:t>
      </w:r>
      <w:r w:rsidR="00C715E6" w:rsidRPr="00AC7E43">
        <w:rPr>
          <w:lang w:eastAsia="en-AU"/>
        </w:rPr>
        <w:t>the Panel recommends</w:t>
      </w:r>
      <w:r w:rsidR="00D74A38" w:rsidRPr="00AC7E43">
        <w:rPr>
          <w:lang w:eastAsia="en-AU"/>
        </w:rPr>
        <w:t xml:space="preserve"> enabl</w:t>
      </w:r>
      <w:r w:rsidR="00C715E6" w:rsidRPr="00AC7E43">
        <w:rPr>
          <w:lang w:eastAsia="en-AU"/>
        </w:rPr>
        <w:t>ing</w:t>
      </w:r>
      <w:r w:rsidR="00D74A38" w:rsidRPr="00AC7E43">
        <w:rPr>
          <w:lang w:eastAsia="en-AU"/>
        </w:rPr>
        <w:t xml:space="preserve"> the </w:t>
      </w:r>
      <w:r w:rsidR="00D2238F">
        <w:rPr>
          <w:lang w:eastAsia="en-AU"/>
        </w:rPr>
        <w:t>regulator</w:t>
      </w:r>
      <w:r w:rsidR="00D74A38" w:rsidRPr="00AC7E43">
        <w:rPr>
          <w:lang w:eastAsia="en-AU"/>
        </w:rPr>
        <w:t xml:space="preserve"> </w:t>
      </w:r>
      <w:r w:rsidR="003B0621" w:rsidRPr="00AC7E43">
        <w:rPr>
          <w:lang w:eastAsia="en-AU"/>
        </w:rPr>
        <w:t xml:space="preserve">to </w:t>
      </w:r>
      <w:r w:rsidR="005F50C9">
        <w:rPr>
          <w:lang w:eastAsia="en-AU"/>
        </w:rPr>
        <w:t>direct</w:t>
      </w:r>
      <w:r w:rsidR="005A1D0C" w:rsidRPr="00AC7E43">
        <w:rPr>
          <w:lang w:eastAsia="en-AU"/>
        </w:rPr>
        <w:t xml:space="preserve"> the</w:t>
      </w:r>
      <w:r w:rsidR="005D1EAD" w:rsidRPr="00AC7E43">
        <w:rPr>
          <w:lang w:eastAsia="en-AU"/>
        </w:rPr>
        <w:t xml:space="preserve"> builder, developer or other responsible </w:t>
      </w:r>
      <w:r w:rsidR="005F50C9">
        <w:rPr>
          <w:lang w:eastAsia="en-AU"/>
        </w:rPr>
        <w:t>part</w:t>
      </w:r>
      <w:r w:rsidR="004E7D88">
        <w:rPr>
          <w:lang w:eastAsia="en-AU"/>
        </w:rPr>
        <w:t>y</w:t>
      </w:r>
      <w:r w:rsidR="005D1EAD" w:rsidRPr="00AC7E43">
        <w:rPr>
          <w:lang w:eastAsia="en-AU"/>
        </w:rPr>
        <w:t xml:space="preserve"> to pay </w:t>
      </w:r>
      <w:r w:rsidR="00222FA5" w:rsidRPr="00AC7E43">
        <w:rPr>
          <w:lang w:eastAsia="en-AU"/>
        </w:rPr>
        <w:t>fo</w:t>
      </w:r>
      <w:r w:rsidR="005D1EAD" w:rsidRPr="00AC7E43">
        <w:rPr>
          <w:lang w:eastAsia="en-AU"/>
        </w:rPr>
        <w:t xml:space="preserve">r the costs incurred with rectification. </w:t>
      </w:r>
      <w:r w:rsidR="00214FBB">
        <w:rPr>
          <w:lang w:eastAsia="en-AU"/>
        </w:rPr>
        <w:t>This could operate similar</w:t>
      </w:r>
      <w:r w:rsidR="008911AD">
        <w:rPr>
          <w:lang w:eastAsia="en-AU"/>
        </w:rPr>
        <w:t>ly</w:t>
      </w:r>
      <w:r w:rsidR="00214FBB">
        <w:rPr>
          <w:lang w:eastAsia="en-AU"/>
        </w:rPr>
        <w:t xml:space="preserve"> to the </w:t>
      </w:r>
      <w:r w:rsidR="0053585A">
        <w:rPr>
          <w:lang w:eastAsia="en-AU"/>
        </w:rPr>
        <w:t>rectification and cost orders</w:t>
      </w:r>
      <w:r w:rsidR="008911AD">
        <w:rPr>
          <w:lang w:eastAsia="en-AU"/>
        </w:rPr>
        <w:t xml:space="preserve"> in NSW</w:t>
      </w:r>
      <w:r w:rsidR="0053585A">
        <w:rPr>
          <w:lang w:eastAsia="en-AU"/>
        </w:rPr>
        <w:t>.</w:t>
      </w:r>
    </w:p>
    <w:p w14:paraId="3824183A" w14:textId="1CB86C7F" w:rsidR="00AC7E43" w:rsidRPr="00AC7E43" w:rsidRDefault="00AC7E43" w:rsidP="003C5117">
      <w:pPr>
        <w:rPr>
          <w:lang w:eastAsia="en-AU"/>
        </w:rPr>
      </w:pPr>
      <w:r w:rsidRPr="00AC7E43">
        <w:rPr>
          <w:lang w:eastAsia="en-AU"/>
        </w:rPr>
        <w:t>Any new administrative order or direction would need to include procedural fairness to the recipient</w:t>
      </w:r>
      <w:r w:rsidR="001F11EE">
        <w:rPr>
          <w:lang w:eastAsia="en-AU"/>
        </w:rPr>
        <w:t>,</w:t>
      </w:r>
      <w:r w:rsidRPr="00AC7E43">
        <w:rPr>
          <w:lang w:eastAsia="en-AU"/>
        </w:rPr>
        <w:t xml:space="preserve"> including appropriate appeal rights.</w:t>
      </w:r>
    </w:p>
    <w:bookmarkEnd w:id="106"/>
    <w:p w14:paraId="5ACDCCA4" w14:textId="49A8C799" w:rsidR="00101CE4" w:rsidRDefault="00101CE4" w:rsidP="00101CE4">
      <w:pPr>
        <w:pStyle w:val="Heading4"/>
      </w:pPr>
      <w:r w:rsidRPr="00AC7E43">
        <w:t>Rationale</w:t>
      </w:r>
    </w:p>
    <w:p w14:paraId="43ACDB18" w14:textId="7D449BBE" w:rsidR="007C3E67" w:rsidRDefault="007C3E67" w:rsidP="007C3E67">
      <w:pPr>
        <w:rPr>
          <w:lang w:eastAsia="en-AU"/>
        </w:rPr>
      </w:pPr>
      <w:r>
        <w:rPr>
          <w:lang w:eastAsia="en-AU"/>
        </w:rPr>
        <w:t>Currently</w:t>
      </w:r>
      <w:r w:rsidR="0067305F">
        <w:rPr>
          <w:lang w:eastAsia="en-AU"/>
        </w:rPr>
        <w:t xml:space="preserve">, </w:t>
      </w:r>
      <w:r w:rsidRPr="0E35D909">
        <w:rPr>
          <w:lang w:eastAsia="en-AU"/>
        </w:rPr>
        <w:t>other than building orders on the current owner</w:t>
      </w:r>
      <w:r>
        <w:rPr>
          <w:lang w:eastAsia="en-AU"/>
        </w:rPr>
        <w:t xml:space="preserve"> there are no administrative enforcement tools </w:t>
      </w:r>
      <w:r w:rsidRPr="12626BAE">
        <w:rPr>
          <w:lang w:eastAsia="en-AU"/>
        </w:rPr>
        <w:t xml:space="preserve">for </w:t>
      </w:r>
      <w:r w:rsidRPr="13C4164C">
        <w:rPr>
          <w:lang w:eastAsia="en-AU"/>
        </w:rPr>
        <w:t>rectification</w:t>
      </w:r>
      <w:r w:rsidRPr="12626BAE">
        <w:rPr>
          <w:lang w:eastAsia="en-AU"/>
        </w:rPr>
        <w:t xml:space="preserve"> </w:t>
      </w:r>
      <w:r>
        <w:rPr>
          <w:lang w:eastAsia="en-AU"/>
        </w:rPr>
        <w:t xml:space="preserve">available to the regulators once a building has been </w:t>
      </w:r>
      <w:r w:rsidR="00976F71">
        <w:rPr>
          <w:lang w:eastAsia="en-AU"/>
        </w:rPr>
        <w:t>completed</w:t>
      </w:r>
      <w:r w:rsidR="0067305F">
        <w:rPr>
          <w:lang w:eastAsia="en-AU"/>
        </w:rPr>
        <w:t>.</w:t>
      </w:r>
      <w:r>
        <w:rPr>
          <w:lang w:eastAsia="en-AU"/>
        </w:rPr>
        <w:t xml:space="preserve"> Regulators can seek an injunction to bring about compliant work, but these are relatively costly and time-consuming. Because of the lack of regulator power to </w:t>
      </w:r>
      <w:r w:rsidR="00B6766F">
        <w:rPr>
          <w:lang w:eastAsia="en-AU"/>
        </w:rPr>
        <w:t>require rectification</w:t>
      </w:r>
      <w:r>
        <w:rPr>
          <w:lang w:eastAsia="en-AU"/>
        </w:rPr>
        <w:t xml:space="preserve"> of defective building work post-occupancy, building owners must seek dispute resolution outcomes and/or take legal action</w:t>
      </w:r>
      <w:r w:rsidR="004C6343">
        <w:rPr>
          <w:lang w:eastAsia="en-AU"/>
        </w:rPr>
        <w:t xml:space="preserve">. This often results in substantial costs </w:t>
      </w:r>
      <w:r w:rsidR="002A7D6F">
        <w:rPr>
          <w:lang w:eastAsia="en-AU"/>
        </w:rPr>
        <w:t>for current and subsequent owners.</w:t>
      </w:r>
      <w:r>
        <w:rPr>
          <w:lang w:eastAsia="en-AU"/>
        </w:rPr>
        <w:t xml:space="preserve"> </w:t>
      </w:r>
    </w:p>
    <w:p w14:paraId="5D3D2F7F" w14:textId="47BCED1B" w:rsidR="005D40E7" w:rsidRDefault="005D40E7" w:rsidP="005D40E7">
      <w:pPr>
        <w:pStyle w:val="Heading4"/>
      </w:pPr>
      <w:r>
        <w:t>Outcome</w:t>
      </w:r>
    </w:p>
    <w:p w14:paraId="22CFE565" w14:textId="5969E7E4" w:rsidR="00B62622" w:rsidRDefault="00696A9A" w:rsidP="00B62622">
      <w:pPr>
        <w:rPr>
          <w:lang w:eastAsia="en-AU"/>
        </w:rPr>
      </w:pPr>
      <w:r>
        <w:rPr>
          <w:lang w:eastAsia="en-AU"/>
        </w:rPr>
        <w:t>These n</w:t>
      </w:r>
      <w:r w:rsidR="00435E04">
        <w:rPr>
          <w:lang w:eastAsia="en-AU"/>
        </w:rPr>
        <w:t xml:space="preserve">ew enforcement tools and powers will </w:t>
      </w:r>
      <w:r w:rsidR="00982027">
        <w:rPr>
          <w:lang w:eastAsia="en-AU"/>
        </w:rPr>
        <w:t xml:space="preserve">reduce regulatory </w:t>
      </w:r>
      <w:r w:rsidR="00435E04" w:rsidRPr="00973A2D">
        <w:rPr>
          <w:lang w:eastAsia="en-AU"/>
        </w:rPr>
        <w:t>barriers</w:t>
      </w:r>
      <w:r>
        <w:rPr>
          <w:lang w:eastAsia="en-AU"/>
        </w:rPr>
        <w:t>, support</w:t>
      </w:r>
      <w:r w:rsidR="00982027">
        <w:rPr>
          <w:lang w:eastAsia="en-AU"/>
        </w:rPr>
        <w:t>efficient</w:t>
      </w:r>
      <w:r>
        <w:rPr>
          <w:lang w:eastAsia="en-AU"/>
        </w:rPr>
        <w:t xml:space="preserve"> </w:t>
      </w:r>
      <w:r w:rsidR="00435E04" w:rsidRPr="00973A2D">
        <w:rPr>
          <w:lang w:eastAsia="en-AU"/>
        </w:rPr>
        <w:t xml:space="preserve"> </w:t>
      </w:r>
      <w:r w:rsidR="003B2DBA" w:rsidRPr="00973A2D">
        <w:rPr>
          <w:lang w:eastAsia="en-AU"/>
        </w:rPr>
        <w:t>rectification</w:t>
      </w:r>
      <w:r w:rsidR="00435E04" w:rsidRPr="00973A2D">
        <w:rPr>
          <w:lang w:eastAsia="en-AU"/>
        </w:rPr>
        <w:t xml:space="preserve"> of defective building work</w:t>
      </w:r>
      <w:r w:rsidR="00B62622">
        <w:rPr>
          <w:lang w:eastAsia="en-AU"/>
        </w:rPr>
        <w:t>,</w:t>
      </w:r>
      <w:r w:rsidR="00B62622" w:rsidRPr="00A441B8">
        <w:rPr>
          <w:lang w:eastAsia="en-AU"/>
        </w:rPr>
        <w:t xml:space="preserve"> enable the appropriate apportionment of liability across the building construction chain</w:t>
      </w:r>
      <w:r w:rsidR="00B62622">
        <w:rPr>
          <w:lang w:eastAsia="en-AU"/>
        </w:rPr>
        <w:t xml:space="preserve"> and </w:t>
      </w:r>
      <w:r>
        <w:rPr>
          <w:lang w:eastAsia="en-AU"/>
        </w:rPr>
        <w:t xml:space="preserve"> reduce or eliminate the need for </w:t>
      </w:r>
      <w:r w:rsidR="00B62622">
        <w:rPr>
          <w:lang w:eastAsia="en-AU"/>
        </w:rPr>
        <w:t xml:space="preserve">  building owners to pursue legal action. </w:t>
      </w:r>
    </w:p>
    <w:p w14:paraId="708D7C24" w14:textId="76B45815" w:rsidR="00101CE4" w:rsidRDefault="001C42E3" w:rsidP="00101CE4">
      <w:pPr>
        <w:pStyle w:val="Heading3"/>
      </w:pPr>
      <w:bookmarkStart w:id="107" w:name="_Toc131428705"/>
      <w:bookmarkStart w:id="108" w:name="_Toc134352863"/>
      <w:bookmarkStart w:id="109" w:name="_Toc134356790"/>
      <w:bookmarkStart w:id="110" w:name="_Toc134356896"/>
      <w:r>
        <w:t xml:space="preserve">Recommendation </w:t>
      </w:r>
      <w:r w:rsidR="00C1409D">
        <w:t>5</w:t>
      </w:r>
      <w:r>
        <w:t xml:space="preserve"> | </w:t>
      </w:r>
      <w:r w:rsidR="00101CE4">
        <w:t xml:space="preserve">Make changes </w:t>
      </w:r>
      <w:r w:rsidR="00CF2619">
        <w:t>to</w:t>
      </w:r>
      <w:r w:rsidR="006F17E4">
        <w:t xml:space="preserve"> how</w:t>
      </w:r>
      <w:r w:rsidR="00CF2619">
        <w:t xml:space="preserve"> the </w:t>
      </w:r>
      <w:r w:rsidR="00B64F0E">
        <w:t>regulators</w:t>
      </w:r>
      <w:r w:rsidR="00503DDF">
        <w:t xml:space="preserve"> </w:t>
      </w:r>
      <w:r w:rsidR="001F22C1">
        <w:t xml:space="preserve">deliver, </w:t>
      </w:r>
      <w:r w:rsidR="00503DDF">
        <w:t>communicate</w:t>
      </w:r>
      <w:r w:rsidR="007C3E67">
        <w:t xml:space="preserve"> and report on</w:t>
      </w:r>
      <w:r w:rsidR="00503DDF">
        <w:t xml:space="preserve"> </w:t>
      </w:r>
      <w:r w:rsidR="00D34D1F">
        <w:t>their</w:t>
      </w:r>
      <w:r w:rsidR="00CF2619">
        <w:t xml:space="preserve"> </w:t>
      </w:r>
      <w:bookmarkEnd w:id="107"/>
      <w:r w:rsidR="00286A9C">
        <w:t>enforcement activity</w:t>
      </w:r>
      <w:bookmarkEnd w:id="108"/>
      <w:bookmarkEnd w:id="109"/>
      <w:bookmarkEnd w:id="110"/>
    </w:p>
    <w:p w14:paraId="45AF0A43" w14:textId="1DA07E6D" w:rsidR="005725A9" w:rsidRDefault="00173EBD" w:rsidP="00B45468">
      <w:pPr>
        <w:pStyle w:val="Heading4"/>
      </w:pPr>
      <w:r>
        <w:t>Description</w:t>
      </w:r>
    </w:p>
    <w:p w14:paraId="742CF0B3" w14:textId="294942D8" w:rsidR="009A24E9" w:rsidRDefault="00B45468" w:rsidP="004F2775">
      <w:pPr>
        <w:sectPr w:rsidR="009A24E9" w:rsidSect="00A31025">
          <w:footerReference w:type="default" r:id="rId57"/>
          <w:endnotePr>
            <w:numFmt w:val="decimal"/>
          </w:endnotePr>
          <w:type w:val="continuous"/>
          <w:pgSz w:w="11907" w:h="16839" w:code="9"/>
          <w:pgMar w:top="1418" w:right="1418" w:bottom="1701" w:left="1559" w:header="720" w:footer="720" w:gutter="0"/>
          <w:cols w:space="720"/>
          <w:docGrid w:linePitch="360"/>
        </w:sectPr>
      </w:pPr>
      <w:r>
        <w:t xml:space="preserve">The Panel recommends that the </w:t>
      </w:r>
      <w:r w:rsidR="00D2238F">
        <w:t>regulator</w:t>
      </w:r>
      <w:r>
        <w:t xml:space="preserve"> develop guidance and information on </w:t>
      </w:r>
      <w:r w:rsidR="005E0143">
        <w:t xml:space="preserve">its enforcement tools. This would include what </w:t>
      </w:r>
      <w:r>
        <w:t xml:space="preserve">is expected of practitioners during the </w:t>
      </w:r>
      <w:r w:rsidR="00AA2729">
        <w:t xml:space="preserve">disciplinary </w:t>
      </w:r>
      <w:r>
        <w:t>process</w:t>
      </w:r>
      <w:r w:rsidR="00AA2729">
        <w:t>es</w:t>
      </w:r>
      <w:r>
        <w:t>, required documentation and expected timelines. The</w:t>
      </w:r>
      <w:r w:rsidR="00D2238F">
        <w:t xml:space="preserve"> regulator</w:t>
      </w:r>
      <w:r>
        <w:t xml:space="preserve"> </w:t>
      </w:r>
      <w:r>
        <w:lastRenderedPageBreak/>
        <w:t>should also publish guidelines on disciplinary sanctions that may apply in different circumstances</w:t>
      </w:r>
      <w:r w:rsidR="00EB23D8">
        <w:t>,</w:t>
      </w:r>
      <w:r>
        <w:t xml:space="preserve"> the process for undertaking disciplinary proceedings</w:t>
      </w:r>
      <w:r w:rsidR="00654D53">
        <w:t xml:space="preserve"> and report on </w:t>
      </w:r>
    </w:p>
    <w:p w14:paraId="2C0C923E" w14:textId="3D896797" w:rsidR="00B45468" w:rsidRDefault="00654D53" w:rsidP="004F2775">
      <w:r>
        <w:t xml:space="preserve">outcomes and timelines </w:t>
      </w:r>
      <w:r w:rsidR="006F55FD">
        <w:t xml:space="preserve">achieved. The necessary improvements to information sharing (including with local councils) recommended earlier by the Panel will support regulators’ awareness of </w:t>
      </w:r>
      <w:r w:rsidR="007F449A">
        <w:t>practitioner non-compliance</w:t>
      </w:r>
      <w:r w:rsidR="00CF0260">
        <w:t xml:space="preserve"> </w:t>
      </w:r>
      <w:r w:rsidR="00F77D62">
        <w:t>and facilitate effective enforcement</w:t>
      </w:r>
      <w:r w:rsidR="0002424D">
        <w:t>.</w:t>
      </w:r>
    </w:p>
    <w:p w14:paraId="052D9B3C" w14:textId="6B260CC2" w:rsidR="00173EBD" w:rsidRDefault="00173EBD" w:rsidP="00173EBD">
      <w:pPr>
        <w:pStyle w:val="Heading4"/>
      </w:pPr>
      <w:r>
        <w:t>Rationale</w:t>
      </w:r>
    </w:p>
    <w:p w14:paraId="6409D381" w14:textId="6B597AFF" w:rsidR="00EC5B9A" w:rsidRDefault="00300735" w:rsidP="00F54744">
      <w:r>
        <w:rPr>
          <w:lang w:eastAsia="en-AU"/>
        </w:rPr>
        <w:t>The Cladding Taskforce,</w:t>
      </w:r>
      <w:r w:rsidR="00C53808">
        <w:rPr>
          <w:lang w:eastAsia="en-AU"/>
        </w:rPr>
        <w:t xml:space="preserve"> in its final report</w:t>
      </w:r>
      <w:r w:rsidR="00EB25AA">
        <w:rPr>
          <w:lang w:eastAsia="en-AU"/>
        </w:rPr>
        <w:t>,</w:t>
      </w:r>
      <w:r>
        <w:rPr>
          <w:lang w:eastAsia="en-AU"/>
        </w:rPr>
        <w:t xml:space="preserve"> noted ongoing concerns with the </w:t>
      </w:r>
      <w:r w:rsidR="00EC5B9A" w:rsidRPr="00A453CC">
        <w:rPr>
          <w:lang w:eastAsia="en-AU"/>
        </w:rPr>
        <w:t>‘</w:t>
      </w:r>
      <w:r w:rsidR="00EC5B9A" w:rsidRPr="00A453CC">
        <w:t>adequacy of</w:t>
      </w:r>
      <w:r w:rsidR="00EC5B9A">
        <w:t xml:space="preserve"> </w:t>
      </w:r>
      <w:r w:rsidR="00EC5B9A" w:rsidRPr="00A453CC">
        <w:t xml:space="preserve">disciplinary processes’ </w:t>
      </w:r>
      <w:r w:rsidR="00EC5B9A" w:rsidRPr="007C2B30">
        <w:t>which</w:t>
      </w:r>
      <w:r w:rsidR="00EC5B9A" w:rsidRPr="00A453CC">
        <w:t xml:space="preserve"> ‘continue to be slow and largely opaque to consumers and the general public’</w:t>
      </w:r>
      <w:r w:rsidR="00A453CC">
        <w:t xml:space="preserve"> in its final report</w:t>
      </w:r>
      <w:r w:rsidR="00EC5B9A">
        <w:t>.</w:t>
      </w:r>
      <w:r w:rsidR="00EC5B9A">
        <w:rPr>
          <w:rStyle w:val="EndnoteReference"/>
        </w:rPr>
        <w:endnoteReference w:id="30"/>
      </w:r>
      <w:r w:rsidR="00EC5B9A">
        <w:t xml:space="preserve"> </w:t>
      </w:r>
      <w:r w:rsidR="003E2093">
        <w:t xml:space="preserve">Transparent </w:t>
      </w:r>
      <w:r w:rsidR="00E4368C">
        <w:t xml:space="preserve">disciplinary processes are important </w:t>
      </w:r>
      <w:r w:rsidR="00EF686C">
        <w:t xml:space="preserve">to </w:t>
      </w:r>
      <w:r w:rsidR="00542A9A">
        <w:t xml:space="preserve">promote industry improvement among practitioners who understand what is expected of them,  to </w:t>
      </w:r>
      <w:r w:rsidR="00596508">
        <w:t xml:space="preserve">   better understand the nature of issues that are identified</w:t>
      </w:r>
      <w:r w:rsidR="00696A9A">
        <w:t xml:space="preserve"> and </w:t>
      </w:r>
      <w:r w:rsidR="001F22C1">
        <w:t>to inform appropriate practitioner</w:t>
      </w:r>
      <w:r w:rsidR="00696A9A">
        <w:t xml:space="preserve"> </w:t>
      </w:r>
      <w:r w:rsidR="001F22C1">
        <w:t xml:space="preserve">guidelines and </w:t>
      </w:r>
      <w:r w:rsidR="00696A9A">
        <w:t>training.</w:t>
      </w:r>
      <w:r w:rsidR="00596508">
        <w:t xml:space="preserve">. Further, timely processes are critical to a </w:t>
      </w:r>
      <w:r w:rsidR="001F22C1">
        <w:t xml:space="preserve"> robust </w:t>
      </w:r>
      <w:r w:rsidR="00596508">
        <w:t>egulatory system so that those who pose unsafe, non-compliant practices are swiftly removed and prohibited from entering</w:t>
      </w:r>
      <w:r w:rsidR="001F22C1">
        <w:t xml:space="preserve"> into</w:t>
      </w:r>
      <w:r w:rsidR="00596508">
        <w:t xml:space="preserve"> new building contracts. </w:t>
      </w:r>
    </w:p>
    <w:p w14:paraId="5BEF53BC" w14:textId="30BB625A" w:rsidR="001460FB" w:rsidRDefault="00194E43" w:rsidP="00194E43">
      <w:pPr>
        <w:pStyle w:val="Heading4"/>
      </w:pPr>
      <w:r>
        <w:t>Outcome</w:t>
      </w:r>
    </w:p>
    <w:p w14:paraId="08862D71" w14:textId="62D074FC" w:rsidR="007D15C6" w:rsidRDefault="00A31491" w:rsidP="007D1DF6">
      <w:pPr>
        <w:spacing w:after="160" w:line="259" w:lineRule="auto"/>
        <w:rPr>
          <w:lang w:eastAsia="en-AU"/>
        </w:rPr>
        <w:sectPr w:rsidR="007D15C6" w:rsidSect="00A31025">
          <w:footerReference w:type="default" r:id="rId58"/>
          <w:endnotePr>
            <w:numFmt w:val="decimal"/>
          </w:endnotePr>
          <w:type w:val="continuous"/>
          <w:pgSz w:w="11907" w:h="16839" w:code="9"/>
          <w:pgMar w:top="1418" w:right="1418" w:bottom="1701" w:left="1559" w:header="720" w:footer="720" w:gutter="0"/>
          <w:cols w:space="720"/>
          <w:docGrid w:linePitch="360"/>
        </w:sectPr>
      </w:pPr>
      <w:r w:rsidRPr="009F23C8">
        <w:rPr>
          <w:lang w:eastAsia="en-AU"/>
        </w:rPr>
        <w:t xml:space="preserve">This recommendation will </w:t>
      </w:r>
      <w:r w:rsidR="00E1094F">
        <w:rPr>
          <w:lang w:eastAsia="en-AU"/>
        </w:rPr>
        <w:t>increase</w:t>
      </w:r>
      <w:r w:rsidRPr="009F23C8">
        <w:rPr>
          <w:lang w:eastAsia="en-AU"/>
        </w:rPr>
        <w:t xml:space="preserve"> the</w:t>
      </w:r>
      <w:r w:rsidR="007724F9" w:rsidRPr="009F23C8">
        <w:rPr>
          <w:lang w:eastAsia="en-AU"/>
        </w:rPr>
        <w:t xml:space="preserve"> standard of</w:t>
      </w:r>
      <w:r w:rsidRPr="009F23C8">
        <w:rPr>
          <w:lang w:eastAsia="en-AU"/>
        </w:rPr>
        <w:t xml:space="preserve"> </w:t>
      </w:r>
      <w:r w:rsidR="00BA5865" w:rsidRPr="009F23C8">
        <w:rPr>
          <w:lang w:eastAsia="en-AU"/>
        </w:rPr>
        <w:t xml:space="preserve">information </w:t>
      </w:r>
      <w:r w:rsidR="0000415F" w:rsidRPr="009F23C8">
        <w:rPr>
          <w:lang w:eastAsia="en-AU"/>
        </w:rPr>
        <w:t xml:space="preserve">available to building practitioners and policy makers about disciplinary processes, </w:t>
      </w:r>
      <w:r w:rsidR="007D1DF6" w:rsidRPr="009F23C8">
        <w:rPr>
          <w:lang w:eastAsia="en-AU"/>
        </w:rPr>
        <w:t xml:space="preserve">outcomes and </w:t>
      </w:r>
      <w:r w:rsidR="0040421E">
        <w:rPr>
          <w:lang w:eastAsia="en-AU"/>
        </w:rPr>
        <w:t xml:space="preserve">the </w:t>
      </w:r>
      <w:r w:rsidR="007D1DF6" w:rsidRPr="009F23C8">
        <w:rPr>
          <w:lang w:eastAsia="en-AU"/>
        </w:rPr>
        <w:t>nature o</w:t>
      </w:r>
      <w:r w:rsidR="007D1DF6">
        <w:rPr>
          <w:lang w:eastAsia="en-AU"/>
        </w:rPr>
        <w:t xml:space="preserve">f </w:t>
      </w:r>
      <w:r w:rsidR="00942CE3">
        <w:rPr>
          <w:lang w:eastAsia="en-AU"/>
        </w:rPr>
        <w:t>non-compliance</w:t>
      </w:r>
      <w:r w:rsidR="007D1DF6" w:rsidRPr="009F23C8">
        <w:rPr>
          <w:lang w:eastAsia="en-AU"/>
        </w:rPr>
        <w:t xml:space="preserve">. </w:t>
      </w:r>
      <w:r w:rsidR="00E249A8" w:rsidRPr="009F23C8">
        <w:rPr>
          <w:lang w:eastAsia="en-AU"/>
        </w:rPr>
        <w:t xml:space="preserve">Guidelines </w:t>
      </w:r>
      <w:r w:rsidR="00CE0699" w:rsidRPr="009F23C8">
        <w:rPr>
          <w:lang w:eastAsia="en-AU"/>
        </w:rPr>
        <w:t xml:space="preserve">will </w:t>
      </w:r>
      <w:r w:rsidR="00DD4583" w:rsidRPr="009F23C8">
        <w:rPr>
          <w:lang w:eastAsia="en-AU"/>
        </w:rPr>
        <w:t xml:space="preserve">increase </w:t>
      </w:r>
      <w:r w:rsidR="00954120" w:rsidRPr="009F23C8">
        <w:rPr>
          <w:lang w:eastAsia="en-AU"/>
        </w:rPr>
        <w:t xml:space="preserve">the </w:t>
      </w:r>
      <w:r w:rsidR="00DD4583" w:rsidRPr="009F23C8">
        <w:rPr>
          <w:lang w:eastAsia="en-AU"/>
        </w:rPr>
        <w:t xml:space="preserve">consistency of decision making, increase practitioner understanding of sanctions that are likely to apply in various scenarios, and enable the </w:t>
      </w:r>
      <w:r w:rsidR="00D2238F">
        <w:rPr>
          <w:lang w:eastAsia="en-AU"/>
        </w:rPr>
        <w:t>building regulator</w:t>
      </w:r>
      <w:r w:rsidR="00DD4583" w:rsidRPr="009F23C8">
        <w:rPr>
          <w:lang w:eastAsia="en-AU"/>
        </w:rPr>
        <w:t xml:space="preserve"> to better ensure disciplinary sanctions reflect </w:t>
      </w:r>
      <w:r w:rsidR="009205E6" w:rsidRPr="009F23C8">
        <w:rPr>
          <w:lang w:eastAsia="en-AU"/>
        </w:rPr>
        <w:t xml:space="preserve">the policy intent of </w:t>
      </w:r>
      <w:r w:rsidR="009F23C8" w:rsidRPr="009F23C8">
        <w:rPr>
          <w:lang w:eastAsia="en-AU"/>
        </w:rPr>
        <w:t>achieving a robust disciplinary system to support delivery of safe, compliant and quality building work.</w:t>
      </w:r>
    </w:p>
    <w:p w14:paraId="7B1AF12B" w14:textId="77777777" w:rsidR="009A24E9" w:rsidRDefault="009A24E9" w:rsidP="007D1DF6">
      <w:pPr>
        <w:spacing w:after="160" w:line="259" w:lineRule="auto"/>
        <w:rPr>
          <w:lang w:eastAsia="en-AU"/>
        </w:rPr>
        <w:sectPr w:rsidR="009A24E9" w:rsidSect="00A31025">
          <w:endnotePr>
            <w:numFmt w:val="decimal"/>
          </w:endnotePr>
          <w:type w:val="continuous"/>
          <w:pgSz w:w="11907" w:h="16839" w:code="9"/>
          <w:pgMar w:top="1418" w:right="1418" w:bottom="1701" w:left="1559" w:header="720" w:footer="720" w:gutter="0"/>
          <w:cols w:space="720"/>
          <w:docGrid w:linePitch="360"/>
        </w:sectPr>
      </w:pPr>
    </w:p>
    <w:p w14:paraId="14380E15" w14:textId="27C199FE" w:rsidR="001460FB" w:rsidRDefault="001460FB" w:rsidP="007D1DF6">
      <w:pPr>
        <w:spacing w:after="160" w:line="259" w:lineRule="auto"/>
        <w:rPr>
          <w:lang w:eastAsia="en-AU"/>
        </w:rPr>
      </w:pPr>
      <w:r>
        <w:rPr>
          <w:lang w:eastAsia="en-AU"/>
        </w:rPr>
        <w:br w:type="page"/>
      </w:r>
    </w:p>
    <w:p w14:paraId="1EA3D231" w14:textId="77777777" w:rsidR="008E29BA" w:rsidRDefault="008E29BA" w:rsidP="00173EBD">
      <w:pPr>
        <w:rPr>
          <w:lang w:eastAsia="en-AU"/>
        </w:rPr>
        <w:sectPr w:rsidR="008E29BA" w:rsidSect="00A31025">
          <w:endnotePr>
            <w:numFmt w:val="decimal"/>
          </w:endnotePr>
          <w:type w:val="continuous"/>
          <w:pgSz w:w="11907" w:h="16839" w:code="9"/>
          <w:pgMar w:top="1418" w:right="1418" w:bottom="1701" w:left="1559" w:header="720" w:footer="720" w:gutter="0"/>
          <w:cols w:space="720"/>
          <w:docGrid w:linePitch="360"/>
        </w:sectPr>
      </w:pPr>
    </w:p>
    <w:p w14:paraId="6B69E141" w14:textId="57183F73" w:rsidR="00173EBD" w:rsidRDefault="009F6491" w:rsidP="009F6491">
      <w:pPr>
        <w:pStyle w:val="Heading1"/>
      </w:pPr>
      <w:bookmarkStart w:id="111" w:name="_Toc134356897"/>
      <w:r>
        <w:rPr>
          <w:noProof/>
        </w:rPr>
        <w:lastRenderedPageBreak/>
        <w:drawing>
          <wp:anchor distT="0" distB="0" distL="114300" distR="114300" simplePos="0" relativeHeight="251658240" behindDoc="1" locked="0" layoutInCell="1" allowOverlap="1" wp14:anchorId="7AC5AD8B" wp14:editId="10C416CB">
            <wp:simplePos x="0" y="0"/>
            <wp:positionH relativeFrom="column">
              <wp:posOffset>-990132</wp:posOffset>
            </wp:positionH>
            <wp:positionV relativeFrom="paragraph">
              <wp:posOffset>-891696</wp:posOffset>
            </wp:positionV>
            <wp:extent cx="7559675" cy="1627505"/>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59675" cy="1627505"/>
                    </a:xfrm>
                    <a:prstGeom prst="rect">
                      <a:avLst/>
                    </a:prstGeom>
                    <a:noFill/>
                  </pic:spPr>
                </pic:pic>
              </a:graphicData>
            </a:graphic>
            <wp14:sizeRelH relativeFrom="page">
              <wp14:pctWidth>0</wp14:pctWidth>
            </wp14:sizeRelH>
            <wp14:sizeRelV relativeFrom="page">
              <wp14:pctHeight>0</wp14:pctHeight>
            </wp14:sizeRelV>
          </wp:anchor>
        </w:drawing>
      </w:r>
      <w:r>
        <w:t>Insurance</w:t>
      </w:r>
      <w:bookmarkEnd w:id="111"/>
    </w:p>
    <w:p w14:paraId="5846F1A6" w14:textId="77777777" w:rsidR="00A8625A" w:rsidRPr="00A8625A" w:rsidRDefault="00A8625A" w:rsidP="00A8625A">
      <w:pPr>
        <w:rPr>
          <w:lang w:eastAsia="en-AU"/>
        </w:rPr>
      </w:pPr>
    </w:p>
    <w:p w14:paraId="45F9FC9A" w14:textId="77777777" w:rsidR="00284916" w:rsidRDefault="00284916" w:rsidP="00800F79"/>
    <w:p w14:paraId="7D0979C7" w14:textId="17F514ED" w:rsidR="005502A0" w:rsidRDefault="005502A0" w:rsidP="005502A0">
      <w:r>
        <w:t>Insurance is an important safeguard to help ensure that consumers and practitioners are protected from financial loss. It plays a</w:t>
      </w:r>
      <w:r w:rsidR="009858A8">
        <w:t xml:space="preserve"> significan</w:t>
      </w:r>
      <w:r>
        <w:t xml:space="preserve">t role in the building </w:t>
      </w:r>
      <w:r w:rsidR="00FD161B">
        <w:t xml:space="preserve">regulatory </w:t>
      </w:r>
      <w:r>
        <w:t xml:space="preserve">system in managing and mitigating risks faced by practitioners and consumers and enabling rectification of defective building work. In Victoria, there </w:t>
      </w:r>
      <w:r w:rsidR="009A376F">
        <w:t>are</w:t>
      </w:r>
      <w:r>
        <w:t xml:space="preserve"> a range of mandatory and optional building insurance products which can protect homeowners and industry participants from financial loss across the building lifecycle. </w:t>
      </w:r>
    </w:p>
    <w:p w14:paraId="1D548E6E" w14:textId="7224CB20" w:rsidR="00697FF0" w:rsidRDefault="00697FF0" w:rsidP="005502A0">
      <w:r>
        <w:t>The Panel’s early initiatives recommended the establishment of a pathway to project-based insurance. Project-based insurance policies provide a single insurance instrument that unites the interests of all parties involved in a single building project and strengthens protection for consumers and practitioners against defects.</w:t>
      </w:r>
      <w:r w:rsidR="00755E8D">
        <w:t xml:space="preserve"> </w:t>
      </w:r>
    </w:p>
    <w:p w14:paraId="01B49AC5" w14:textId="37B73E60" w:rsidR="00CA024A" w:rsidRDefault="002A37D2" w:rsidP="00715AA3">
      <w:r>
        <w:t>R</w:t>
      </w:r>
      <w:r w:rsidR="00807CA6">
        <w:t>ecent regulatory failures</w:t>
      </w:r>
      <w:r w:rsidR="00BE416D">
        <w:t xml:space="preserve"> and subsequent loss of confidence by the insurance sector </w:t>
      </w:r>
      <w:r w:rsidR="00AD103E">
        <w:t xml:space="preserve">has </w:t>
      </w:r>
      <w:r w:rsidR="00BE416D">
        <w:t xml:space="preserve">led to </w:t>
      </w:r>
      <w:r w:rsidR="00715AA3" w:rsidRPr="00B338C1">
        <w:t xml:space="preserve">high </w:t>
      </w:r>
      <w:r w:rsidR="000A630F">
        <w:t>P</w:t>
      </w:r>
      <w:r w:rsidR="00715AA3" w:rsidRPr="00B338C1">
        <w:t xml:space="preserve">rofessional </w:t>
      </w:r>
      <w:r w:rsidR="000A630F">
        <w:t>I</w:t>
      </w:r>
      <w:r w:rsidR="00715AA3" w:rsidRPr="00B338C1">
        <w:t xml:space="preserve">ndemnity </w:t>
      </w:r>
      <w:r w:rsidR="000A630F">
        <w:t>I</w:t>
      </w:r>
      <w:r w:rsidR="00715AA3" w:rsidRPr="00B338C1">
        <w:t xml:space="preserve">nsurance </w:t>
      </w:r>
      <w:r w:rsidR="000A630F">
        <w:t>(PII)</w:t>
      </w:r>
      <w:r w:rsidR="00715AA3" w:rsidRPr="00B338C1">
        <w:t xml:space="preserve"> costs</w:t>
      </w:r>
      <w:r w:rsidR="005502A0" w:rsidRPr="00B338C1">
        <w:t xml:space="preserve"> and the widespread use of exclusions.</w:t>
      </w:r>
      <w:r w:rsidR="000007AF">
        <w:t xml:space="preserve"> </w:t>
      </w:r>
      <w:r w:rsidR="00CA024A">
        <w:t>A robust regulatory system, competent practitioners</w:t>
      </w:r>
      <w:r w:rsidR="00B12824">
        <w:t>,</w:t>
      </w:r>
      <w:r w:rsidR="00CA024A">
        <w:t xml:space="preserve"> quality building products, effective dispute resolution and accessible information are all critical to the successful development of a market-led insurance product. </w:t>
      </w:r>
      <w:r w:rsidR="00CA024A" w:rsidRPr="008D4994">
        <w:t xml:space="preserve">That is why the Panel has recommended reforms to increase accountabilities in the system and strengthen compliance and enforcement. </w:t>
      </w:r>
      <w:r w:rsidR="00CA024A">
        <w:t xml:space="preserve">These are foundational to the successful implementation of a new </w:t>
      </w:r>
      <w:r w:rsidR="00755E8D">
        <w:t>decennial liability</w:t>
      </w:r>
      <w:r w:rsidR="00CA024A">
        <w:t xml:space="preserve"> insurance system.</w:t>
      </w:r>
    </w:p>
    <w:p w14:paraId="09D20DF3" w14:textId="007EDF87" w:rsidR="005502A0" w:rsidRDefault="005502A0" w:rsidP="005502A0">
      <w:r>
        <w:t xml:space="preserve">This </w:t>
      </w:r>
      <w:r w:rsidR="00B45D0F">
        <w:t>c</w:t>
      </w:r>
      <w:r w:rsidR="00C2134E">
        <w:t xml:space="preserve">hapter </w:t>
      </w:r>
      <w:r>
        <w:t xml:space="preserve">builds on </w:t>
      </w:r>
      <w:r w:rsidR="00B677C0">
        <w:t xml:space="preserve">the Panel’s early initiative. </w:t>
      </w:r>
      <w:r>
        <w:t xml:space="preserve">It outlines the role of insurance in the building </w:t>
      </w:r>
      <w:r w:rsidR="001733B7">
        <w:t>regulatory</w:t>
      </w:r>
      <w:r>
        <w:t xml:space="preserve"> system and existing insurance arrangements; key issues related to the building insurance framework; and </w:t>
      </w:r>
      <w:r w:rsidR="000255E1">
        <w:t xml:space="preserve">recommends a path forward for </w:t>
      </w:r>
      <w:r w:rsidR="00415F1E">
        <w:t xml:space="preserve">an </w:t>
      </w:r>
      <w:r>
        <w:t>insurance framework focused on strengthening consumer protection mechanisms</w:t>
      </w:r>
      <w:r w:rsidR="00C2134E">
        <w:t xml:space="preserve"> for rectification of defects.</w:t>
      </w:r>
    </w:p>
    <w:p w14:paraId="05972BC9" w14:textId="73F9537A" w:rsidR="00807640" w:rsidRDefault="00807640" w:rsidP="00B11B00">
      <w:pPr>
        <w:pStyle w:val="Heading2"/>
      </w:pPr>
      <w:bookmarkStart w:id="112" w:name="_Ref131167047"/>
      <w:bookmarkStart w:id="113" w:name="_Toc131428707"/>
      <w:bookmarkStart w:id="114" w:name="_Toc134352865"/>
      <w:bookmarkStart w:id="115" w:name="_Toc134356898"/>
      <w:r>
        <w:t>Overview of current insurance framework</w:t>
      </w:r>
      <w:bookmarkEnd w:id="112"/>
      <w:bookmarkEnd w:id="113"/>
      <w:bookmarkEnd w:id="114"/>
      <w:bookmarkEnd w:id="115"/>
    </w:p>
    <w:p w14:paraId="51260542" w14:textId="42DFA573" w:rsidR="00115B05" w:rsidRPr="0015412C" w:rsidRDefault="00115B05" w:rsidP="00115B05">
      <w:r w:rsidRPr="0015412C">
        <w:t xml:space="preserve">This section provides background and context on insurance arrangements in Victoria’s building </w:t>
      </w:r>
      <w:r w:rsidR="00CC18C2" w:rsidRPr="00682631">
        <w:t>regulatory</w:t>
      </w:r>
      <w:r w:rsidR="00CC18C2">
        <w:t xml:space="preserve"> </w:t>
      </w:r>
      <w:r w:rsidRPr="0015412C">
        <w:t xml:space="preserve">system. It outlines: </w:t>
      </w:r>
    </w:p>
    <w:p w14:paraId="3AA4A5E5" w14:textId="24612B94" w:rsidR="00115B05" w:rsidRPr="0015412C" w:rsidRDefault="00115B05" w:rsidP="00115B05">
      <w:pPr>
        <w:pStyle w:val="Bullet"/>
      </w:pPr>
      <w:r w:rsidRPr="0015412C">
        <w:t xml:space="preserve">the role that insurance plays in the building </w:t>
      </w:r>
      <w:r w:rsidR="00CC18C2" w:rsidRPr="00682631">
        <w:t>regulatory</w:t>
      </w:r>
      <w:r w:rsidR="00CC18C2">
        <w:t xml:space="preserve"> </w:t>
      </w:r>
      <w:r w:rsidRPr="0015412C">
        <w:t xml:space="preserve">system; </w:t>
      </w:r>
    </w:p>
    <w:p w14:paraId="597D11C4" w14:textId="77777777" w:rsidR="00115B05" w:rsidRPr="0015412C" w:rsidRDefault="00115B05" w:rsidP="00115B05">
      <w:pPr>
        <w:pStyle w:val="Bullet"/>
      </w:pPr>
      <w:r w:rsidRPr="0015412C">
        <w:t>insurance products available in the Victorian market; and</w:t>
      </w:r>
    </w:p>
    <w:p w14:paraId="2E1F624C" w14:textId="77777777" w:rsidR="00115B05" w:rsidRPr="0015412C" w:rsidRDefault="00115B05" w:rsidP="00115B05">
      <w:pPr>
        <w:pStyle w:val="Bullet"/>
      </w:pPr>
      <w:r w:rsidRPr="0015412C">
        <w:t xml:space="preserve">the evolution of Victoria’s insurance framework. </w:t>
      </w:r>
    </w:p>
    <w:p w14:paraId="21EE61AE" w14:textId="2938E7CE" w:rsidR="00115B05" w:rsidRDefault="00115B05" w:rsidP="00115B05">
      <w:pPr>
        <w:pStyle w:val="Heading4"/>
      </w:pPr>
      <w:r>
        <w:t>Insurance can manage</w:t>
      </w:r>
      <w:r w:rsidR="004A2AEE">
        <w:t xml:space="preserve"> certain risks and </w:t>
      </w:r>
      <w:r w:rsidR="00882C37">
        <w:t xml:space="preserve">plays varying roles in the building regulatory system </w:t>
      </w:r>
    </w:p>
    <w:p w14:paraId="07A53252" w14:textId="0A235B38" w:rsidR="007D7B46" w:rsidRDefault="007D7B46" w:rsidP="007D7B46">
      <w:pPr>
        <w:rPr>
          <w:lang w:eastAsia="en-AU"/>
        </w:rPr>
      </w:pPr>
      <w:r>
        <w:rPr>
          <w:lang w:eastAsia="en-AU"/>
        </w:rPr>
        <w:t>Insurance is a means of managing and transferring risk</w:t>
      </w:r>
      <w:r w:rsidR="00C5103F">
        <w:rPr>
          <w:lang w:eastAsia="en-AU"/>
        </w:rPr>
        <w:t xml:space="preserve">. Insurance in domestic building projects </w:t>
      </w:r>
      <w:r w:rsidR="00882C37">
        <w:t xml:space="preserve">has </w:t>
      </w:r>
      <w:r w:rsidR="0034640B" w:rsidRPr="0015412C">
        <w:t xml:space="preserve">two distinct goals: </w:t>
      </w:r>
      <w:r w:rsidR="00F308A5">
        <w:rPr>
          <w:lang w:eastAsia="en-AU"/>
        </w:rPr>
        <w:t>to fund rectification work, and to compensate consumers for economic loss associated with defective building work.</w:t>
      </w:r>
    </w:p>
    <w:p w14:paraId="478440A1" w14:textId="59144D6A" w:rsidR="00520DAE" w:rsidRDefault="001D4A05" w:rsidP="001D4A05">
      <w:r w:rsidRPr="0015412C">
        <w:t xml:space="preserve">The role of insurance in building </w:t>
      </w:r>
      <w:r w:rsidR="006E6D9D" w:rsidRPr="00682631">
        <w:t>regulatory</w:t>
      </w:r>
      <w:r w:rsidR="006E6D9D">
        <w:t xml:space="preserve"> </w:t>
      </w:r>
      <w:r w:rsidRPr="0015412C">
        <w:t>systems differs across jurisdictions in Australia and around the world. Some jurisdictions have first resort schemes</w:t>
      </w:r>
      <w:r>
        <w:t xml:space="preserve"> </w:t>
      </w:r>
      <w:r w:rsidRPr="0015412C">
        <w:t>while others (including Victoria) have last resort schemes.</w:t>
      </w:r>
      <w:r w:rsidR="0034276F">
        <w:t xml:space="preserve"> </w:t>
      </w:r>
    </w:p>
    <w:p w14:paraId="2D1EEB57" w14:textId="77777777" w:rsidR="007D15C6" w:rsidRDefault="0034276F" w:rsidP="001D4A05">
      <w:pPr>
        <w:sectPr w:rsidR="007D15C6" w:rsidSect="0053216C">
          <w:headerReference w:type="even" r:id="rId60"/>
          <w:headerReference w:type="default" r:id="rId61"/>
          <w:footerReference w:type="default" r:id="rId62"/>
          <w:headerReference w:type="first" r:id="rId63"/>
          <w:footerReference w:type="first" r:id="rId64"/>
          <w:endnotePr>
            <w:numFmt w:val="decimal"/>
          </w:endnotePr>
          <w:pgSz w:w="11907" w:h="16839" w:code="9"/>
          <w:pgMar w:top="1418" w:right="1418" w:bottom="1701" w:left="1559" w:header="720" w:footer="720" w:gutter="0"/>
          <w:cols w:space="720"/>
          <w:titlePg/>
          <w:docGrid w:linePitch="360"/>
        </w:sectPr>
      </w:pPr>
      <w:r w:rsidRPr="00520DAE">
        <w:rPr>
          <w:b/>
          <w:bCs/>
        </w:rPr>
        <w:t>A last resort system is one where insurance coverage exists only after all other avenues of recovery or rectification have been sought.</w:t>
      </w:r>
      <w:r>
        <w:t xml:space="preserve"> In Victoria, </w:t>
      </w:r>
      <w:r w:rsidR="006D6823">
        <w:t>Domestic Building</w:t>
      </w:r>
    </w:p>
    <w:p w14:paraId="4402F93C" w14:textId="77777777" w:rsidR="009A24E9" w:rsidRDefault="009A24E9" w:rsidP="001D4A05">
      <w:pPr>
        <w:sectPr w:rsidR="009A24E9" w:rsidSect="007D15C6">
          <w:endnotePr>
            <w:numFmt w:val="decimal"/>
          </w:endnotePr>
          <w:type w:val="continuous"/>
          <w:pgSz w:w="11907" w:h="16839" w:code="9"/>
          <w:pgMar w:top="1418" w:right="1418" w:bottom="1701" w:left="1559" w:header="720" w:footer="720" w:gutter="0"/>
          <w:cols w:space="720"/>
          <w:titlePg/>
          <w:docGrid w:linePitch="360"/>
        </w:sectPr>
      </w:pPr>
    </w:p>
    <w:p w14:paraId="2AC0588D" w14:textId="79B03A1C" w:rsidR="001D4A05" w:rsidRDefault="006D6823" w:rsidP="001D4A05">
      <w:r>
        <w:lastRenderedPageBreak/>
        <w:t xml:space="preserve"> Insurance (</w:t>
      </w:r>
      <w:r w:rsidR="0034276F">
        <w:t>DBI</w:t>
      </w:r>
      <w:r>
        <w:t>)</w:t>
      </w:r>
      <w:r w:rsidR="0034276F">
        <w:t xml:space="preserve"> is a last resort scheme.</w:t>
      </w:r>
      <w:r w:rsidR="0034276F">
        <w:rPr>
          <w:rStyle w:val="EndnoteReference"/>
        </w:rPr>
        <w:endnoteReference w:id="31"/>
      </w:r>
      <w:r w:rsidR="0034276F">
        <w:t xml:space="preserve"> Dispute resolution mechanisms to assist consumers and builders to resolve disputes have a greater role in last resort systems. </w:t>
      </w:r>
    </w:p>
    <w:p w14:paraId="1D7BA046" w14:textId="390FC969" w:rsidR="001D4A05" w:rsidRDefault="00520DAE" w:rsidP="007D7B46">
      <w:r w:rsidRPr="00520DAE">
        <w:rPr>
          <w:b/>
          <w:bCs/>
        </w:rPr>
        <w:t xml:space="preserve">A first resort system is one where consumers can progress to an insurance claim earlier than under a last resort scheme. </w:t>
      </w:r>
      <w:r>
        <w:t>In a first resort scheme, the insurer may be the first port of call for the claimant, and they may have greater responsibility (earlier in the process) to resolve the dispute. Insurers can pursue costs from practitioners in a first resort scheme. In a first resort system, consumers tend to be compensated in a timelier manner. Normally</w:t>
      </w:r>
      <w:r w:rsidR="00F73C5C">
        <w:t>,</w:t>
      </w:r>
      <w:r>
        <w:t xml:space="preserve"> the original builder will be given an opportunity to rectify work before insurance is triggered, </w:t>
      </w:r>
      <w:r w:rsidR="003B6B39">
        <w:t xml:space="preserve">which </w:t>
      </w:r>
      <w:r>
        <w:t>provid</w:t>
      </w:r>
      <w:r w:rsidR="003B6B39">
        <w:t>es</w:t>
      </w:r>
      <w:r>
        <w:t xml:space="preserve"> funding for rectification by an alternative builder.</w:t>
      </w:r>
    </w:p>
    <w:p w14:paraId="20A59C80" w14:textId="6414BFE4" w:rsidR="008520AF" w:rsidRDefault="008520AF" w:rsidP="008520AF">
      <w:pPr>
        <w:pStyle w:val="Heading4"/>
      </w:pPr>
      <w:r>
        <w:t xml:space="preserve">There </w:t>
      </w:r>
      <w:r w:rsidR="00E0516A">
        <w:t>is</w:t>
      </w:r>
      <w:r>
        <w:t xml:space="preserve"> a range of insurance products available in Victoria, some of which are required by legislation</w:t>
      </w:r>
    </w:p>
    <w:p w14:paraId="643A83E5" w14:textId="2FC170E0" w:rsidR="008520AF" w:rsidRDefault="008520AF" w:rsidP="008520AF">
      <w:pPr>
        <w:rPr>
          <w:lang w:eastAsia="en-AU"/>
        </w:rPr>
      </w:pPr>
      <w:r>
        <w:rPr>
          <w:lang w:eastAsia="en-AU"/>
        </w:rPr>
        <w:t xml:space="preserve">Victoria’s building regulatory </w:t>
      </w:r>
      <w:r w:rsidR="00572DF5" w:rsidRPr="00EC497E">
        <w:rPr>
          <w:lang w:eastAsia="en-AU"/>
        </w:rPr>
        <w:t>system</w:t>
      </w:r>
      <w:r w:rsidR="00572DF5">
        <w:rPr>
          <w:lang w:eastAsia="en-AU"/>
        </w:rPr>
        <w:t xml:space="preserve"> </w:t>
      </w:r>
      <w:r>
        <w:rPr>
          <w:lang w:eastAsia="en-AU"/>
        </w:rPr>
        <w:t xml:space="preserve">includes several mandatory </w:t>
      </w:r>
      <w:r w:rsidR="004B608F">
        <w:rPr>
          <w:lang w:eastAsia="en-AU"/>
        </w:rPr>
        <w:t>insurance products which seek to establish a minimum level of protection for consumers and practitioners when engaging in building work.</w:t>
      </w:r>
      <w:r w:rsidR="00DE1B39">
        <w:rPr>
          <w:lang w:eastAsia="en-AU"/>
        </w:rPr>
        <w:t xml:space="preserve"> </w:t>
      </w:r>
      <w:r w:rsidR="00CA6E55">
        <w:rPr>
          <w:lang w:eastAsia="en-AU"/>
        </w:rPr>
        <w:t xml:space="preserve">Insurance products relevant to the Review are illustrated in </w:t>
      </w:r>
      <w:r w:rsidR="00BB14DE">
        <w:rPr>
          <w:lang w:eastAsia="en-AU"/>
        </w:rPr>
        <w:fldChar w:fldCharType="begin"/>
      </w:r>
      <w:r w:rsidR="00BB14DE">
        <w:rPr>
          <w:lang w:eastAsia="en-AU"/>
        </w:rPr>
        <w:instrText xml:space="preserve"> REF _Ref130482479 \h </w:instrText>
      </w:r>
      <w:r w:rsidR="00BB14DE">
        <w:rPr>
          <w:lang w:eastAsia="en-AU"/>
        </w:rPr>
      </w:r>
      <w:r w:rsidR="00BB14DE">
        <w:rPr>
          <w:lang w:eastAsia="en-AU"/>
        </w:rPr>
        <w:fldChar w:fldCharType="separate"/>
      </w:r>
      <w:r w:rsidR="00E15D2D">
        <w:t xml:space="preserve">Figure </w:t>
      </w:r>
      <w:r w:rsidR="00E15D2D">
        <w:rPr>
          <w:noProof/>
        </w:rPr>
        <w:t>7</w:t>
      </w:r>
      <w:r w:rsidR="00BB14DE">
        <w:rPr>
          <w:lang w:eastAsia="en-AU"/>
        </w:rPr>
        <w:fldChar w:fldCharType="end"/>
      </w:r>
      <w:r w:rsidR="00CA6E55">
        <w:rPr>
          <w:lang w:eastAsia="en-AU"/>
        </w:rPr>
        <w:t xml:space="preserve"> and explained below</w:t>
      </w:r>
      <w:r w:rsidR="00BB14DE" w:rsidDel="00CA6E55">
        <w:rPr>
          <w:lang w:eastAsia="en-AU"/>
        </w:rPr>
        <w:t>.</w:t>
      </w:r>
    </w:p>
    <w:p w14:paraId="51E30B95" w14:textId="1FE20FBE" w:rsidR="00BB14DE" w:rsidRDefault="00BB14DE" w:rsidP="00BB14DE">
      <w:pPr>
        <w:pStyle w:val="Caption"/>
      </w:pPr>
      <w:bookmarkStart w:id="116" w:name="_Ref130482479"/>
      <w:r>
        <w:t xml:space="preserve">Figure </w:t>
      </w:r>
      <w:r w:rsidR="00CD291D">
        <w:fldChar w:fldCharType="begin"/>
      </w:r>
      <w:r w:rsidR="00CD291D">
        <w:instrText xml:space="preserve"> SEQ Figure \* ARABIC </w:instrText>
      </w:r>
      <w:r w:rsidR="00CD291D">
        <w:fldChar w:fldCharType="separate"/>
      </w:r>
      <w:r w:rsidR="00E15D2D">
        <w:rPr>
          <w:noProof/>
        </w:rPr>
        <w:t>7</w:t>
      </w:r>
      <w:r w:rsidR="00CD291D">
        <w:fldChar w:fldCharType="end"/>
      </w:r>
      <w:bookmarkEnd w:id="116"/>
      <w:r>
        <w:t xml:space="preserve"> | Mandatory insurance products in Victoria's building </w:t>
      </w:r>
      <w:r w:rsidR="00ED07FA" w:rsidRPr="00EC497E">
        <w:t>regulatory</w:t>
      </w:r>
      <w:r w:rsidR="00ED07FA">
        <w:t xml:space="preserve"> </w:t>
      </w:r>
      <w:r>
        <w:t>system</w:t>
      </w:r>
    </w:p>
    <w:p w14:paraId="1F912184" w14:textId="2F2A4F62" w:rsidR="00BB14DE" w:rsidRDefault="00FC5A62" w:rsidP="008520AF">
      <w:pPr>
        <w:rPr>
          <w:lang w:eastAsia="en-AU"/>
        </w:rPr>
      </w:pPr>
      <w:r w:rsidRPr="00FC5A62">
        <w:rPr>
          <w:noProof/>
        </w:rPr>
        <w:drawing>
          <wp:inline distT="0" distB="0" distL="0" distR="0" wp14:anchorId="0B59AF12" wp14:editId="7776BDC6">
            <wp:extent cx="5670550" cy="4187825"/>
            <wp:effectExtent l="0" t="0" r="6350" b="3175"/>
            <wp:docPr id="27971" name="Picture 2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70550" cy="4187825"/>
                    </a:xfrm>
                    <a:prstGeom prst="rect">
                      <a:avLst/>
                    </a:prstGeom>
                    <a:noFill/>
                    <a:ln>
                      <a:noFill/>
                    </a:ln>
                  </pic:spPr>
                </pic:pic>
              </a:graphicData>
            </a:graphic>
          </wp:inline>
        </w:drawing>
      </w:r>
    </w:p>
    <w:p w14:paraId="31B70DD3" w14:textId="1D5ED0F0" w:rsidR="00BB14DE" w:rsidRDefault="00BB14DE" w:rsidP="00BC1CB4">
      <w:r w:rsidRPr="002F73E3">
        <w:rPr>
          <w:b/>
          <w:color w:val="B580D1" w:themeColor="accent3"/>
          <w:lang w:eastAsia="en-AU"/>
        </w:rPr>
        <w:t>P</w:t>
      </w:r>
      <w:r>
        <w:rPr>
          <w:b/>
          <w:color w:val="B580D1" w:themeColor="accent3"/>
          <w:lang w:eastAsia="en-AU"/>
        </w:rPr>
        <w:t xml:space="preserve">II </w:t>
      </w:r>
      <w:r>
        <w:rPr>
          <w:lang w:eastAsia="en-AU"/>
        </w:rPr>
        <w:t xml:space="preserve">is </w:t>
      </w:r>
      <w:r w:rsidR="00623F60">
        <w:rPr>
          <w:lang w:eastAsia="en-AU"/>
        </w:rPr>
        <w:t xml:space="preserve">a mandatory insurance </w:t>
      </w:r>
      <w:r w:rsidR="00BA360D">
        <w:rPr>
          <w:lang w:eastAsia="en-AU"/>
        </w:rPr>
        <w:t xml:space="preserve">requirement </w:t>
      </w:r>
      <w:r w:rsidR="00623F60">
        <w:rPr>
          <w:lang w:eastAsia="en-AU"/>
        </w:rPr>
        <w:t>for</w:t>
      </w:r>
      <w:r w:rsidR="00BA360D">
        <w:rPr>
          <w:lang w:eastAsia="en-AU"/>
        </w:rPr>
        <w:t xml:space="preserve"> building surveyors, building inspectors, </w:t>
      </w:r>
      <w:r w:rsidR="00BC1CB4">
        <w:rPr>
          <w:lang w:eastAsia="en-AU"/>
        </w:rPr>
        <w:t xml:space="preserve">quantity surveyors, engineers and draftspersons. </w:t>
      </w:r>
      <w:r w:rsidR="00623F60">
        <w:rPr>
          <w:lang w:eastAsia="en-AU"/>
        </w:rPr>
        <w:t xml:space="preserve">Requirements for PII are set out in the Building Act </w:t>
      </w:r>
      <w:r>
        <w:rPr>
          <w:lang w:eastAsia="en-AU"/>
        </w:rPr>
        <w:t>(and related Ministerial Orders</w:t>
      </w:r>
      <w:r>
        <w:rPr>
          <w:rStyle w:val="EndnoteReference"/>
        </w:rPr>
        <w:endnoteReference w:id="32"/>
      </w:r>
      <w:r>
        <w:rPr>
          <w:lang w:eastAsia="en-AU"/>
        </w:rPr>
        <w:t>)</w:t>
      </w:r>
      <w:r w:rsidR="00623F60">
        <w:rPr>
          <w:lang w:eastAsia="en-AU"/>
        </w:rPr>
        <w:t>. PII</w:t>
      </w:r>
      <w:r w:rsidR="00112361" w:rsidDel="00623F60">
        <w:rPr>
          <w:lang w:eastAsia="en-AU"/>
        </w:rPr>
        <w:t xml:space="preserve"> </w:t>
      </w:r>
      <w:r w:rsidR="00112361">
        <w:rPr>
          <w:lang w:eastAsia="en-AU"/>
        </w:rPr>
        <w:t>indemnifies practitioners against civil liability associated with negligence and breaches of professional duties.</w:t>
      </w:r>
      <w:r w:rsidR="00816A6B">
        <w:rPr>
          <w:lang w:eastAsia="en-AU"/>
        </w:rPr>
        <w:t xml:space="preserve"> </w:t>
      </w:r>
      <w:r w:rsidR="00816A6B" w:rsidRPr="008B63CA">
        <w:t>Common examples of claims include negligent design, the provision of inaccurate or incomplete advice and failure to perform duties to a reasonable standard of care.</w:t>
      </w:r>
      <w:r w:rsidR="00873900">
        <w:t xml:space="preserve"> Under the Architects Act (section 17A) architects </w:t>
      </w:r>
      <w:r w:rsidR="005F04B0">
        <w:t>must</w:t>
      </w:r>
      <w:r w:rsidR="00873900">
        <w:t xml:space="preserve"> also purchase PII as a condition of registration. </w:t>
      </w:r>
    </w:p>
    <w:p w14:paraId="319E3D57" w14:textId="7A051B03" w:rsidR="00712A2C" w:rsidRDefault="009F14A3" w:rsidP="00712A2C">
      <w:r w:rsidRPr="002F73E3">
        <w:rPr>
          <w:b/>
          <w:color w:val="4298B5" w:themeColor="accent6"/>
          <w:lang w:eastAsia="en-AU"/>
        </w:rPr>
        <w:lastRenderedPageBreak/>
        <w:t>D</w:t>
      </w:r>
      <w:r>
        <w:rPr>
          <w:b/>
          <w:color w:val="4298B5" w:themeColor="accent6"/>
          <w:lang w:eastAsia="en-AU"/>
        </w:rPr>
        <w:t xml:space="preserve">BI </w:t>
      </w:r>
      <w:r w:rsidR="00712A2C" w:rsidRPr="008B63CA">
        <w:t>is a last resort insurance that is mandatory for all domestic building projects of three storeys or less and above $16,000 in value. The builder takes out the policy on behalf of the consumer.</w:t>
      </w:r>
      <w:r w:rsidR="00434DD9">
        <w:t xml:space="preserve"> DBI coverage is triggered only if all the following conditions are met: </w:t>
      </w:r>
    </w:p>
    <w:p w14:paraId="6BF1481D" w14:textId="739ECFDA" w:rsidR="007A1A81" w:rsidRPr="008B63CA" w:rsidRDefault="00CE4E4D" w:rsidP="007A1A81">
      <w:pPr>
        <w:pStyle w:val="Bullet"/>
      </w:pPr>
      <w:r>
        <w:t>T</w:t>
      </w:r>
      <w:r w:rsidR="007A1A81" w:rsidRPr="008B63CA">
        <w:t>he domestic building work is defective or incomplete</w:t>
      </w:r>
      <w:r>
        <w:t>.</w:t>
      </w:r>
    </w:p>
    <w:p w14:paraId="226872F4" w14:textId="2E2311A7" w:rsidR="007A1A81" w:rsidRPr="008B63CA" w:rsidRDefault="00CE4E4D" w:rsidP="007A1A81">
      <w:pPr>
        <w:pStyle w:val="Bullet"/>
      </w:pPr>
      <w:r>
        <w:t>T</w:t>
      </w:r>
      <w:r w:rsidR="007A1A81" w:rsidRPr="008B63CA">
        <w:t xml:space="preserve">he builder </w:t>
      </w:r>
      <w:r w:rsidR="007A1A81">
        <w:t xml:space="preserve">has </w:t>
      </w:r>
      <w:r w:rsidR="007A1A81" w:rsidRPr="008B63CA">
        <w:t>died, disappeared, or become insolvent</w:t>
      </w:r>
      <w:r w:rsidR="007A1A81">
        <w:t xml:space="preserve">, </w:t>
      </w:r>
      <w:r w:rsidR="007A1A81" w:rsidRPr="008B63CA">
        <w:t xml:space="preserve">or they have not complied with a court of tribunal order (only if the DBI policy has been issued by </w:t>
      </w:r>
      <w:r w:rsidR="007A1A81">
        <w:t>the</w:t>
      </w:r>
      <w:r w:rsidR="007A1A81" w:rsidRPr="008B63CA">
        <w:t xml:space="preserve"> </w:t>
      </w:r>
      <w:r w:rsidR="007A1A81">
        <w:t xml:space="preserve">Victorian Managed Insurance </w:t>
      </w:r>
      <w:r w:rsidR="00E43E65">
        <w:t>Authority</w:t>
      </w:r>
      <w:r w:rsidR="007A1A81">
        <w:t xml:space="preserve"> (</w:t>
      </w:r>
      <w:r w:rsidR="007A1A81" w:rsidRPr="008B63CA">
        <w:t>VMIA</w:t>
      </w:r>
      <w:r w:rsidR="007A1A81">
        <w:t>)</w:t>
      </w:r>
      <w:r w:rsidR="007A1A81" w:rsidRPr="008B63CA">
        <w:t>)</w:t>
      </w:r>
      <w:r>
        <w:t>.</w:t>
      </w:r>
      <w:r w:rsidR="007A1A81">
        <w:rPr>
          <w:rStyle w:val="EndnoteReference"/>
        </w:rPr>
        <w:endnoteReference w:id="33"/>
      </w:r>
    </w:p>
    <w:p w14:paraId="65708056" w14:textId="391791D8" w:rsidR="007A1A81" w:rsidRDefault="00CE4E4D" w:rsidP="00712A2C">
      <w:pPr>
        <w:pStyle w:val="Bullet"/>
      </w:pPr>
      <w:r>
        <w:t>The</w:t>
      </w:r>
      <w:r w:rsidR="007A1A81" w:rsidRPr="008B63CA">
        <w:t xml:space="preserve"> loss occurs within </w:t>
      </w:r>
      <w:r>
        <w:t>six</w:t>
      </w:r>
      <w:r w:rsidR="007A1A81" w:rsidRPr="008B63CA">
        <w:t xml:space="preserve"> years of completion of the home (or </w:t>
      </w:r>
      <w:r>
        <w:t>two</w:t>
      </w:r>
      <w:r w:rsidR="007A1A81" w:rsidRPr="008B63CA">
        <w:t xml:space="preserve"> years for non-structural defects).</w:t>
      </w:r>
    </w:p>
    <w:p w14:paraId="1C1C33E2" w14:textId="0D85D471" w:rsidR="00F50E8A" w:rsidRPr="007A1A81" w:rsidRDefault="00F50E8A" w:rsidP="00DE5DCB">
      <w:pPr>
        <w:pStyle w:val="Bullet"/>
        <w:numPr>
          <w:ilvl w:val="0"/>
          <w:numId w:val="0"/>
        </w:numPr>
      </w:pPr>
      <w:r w:rsidRPr="008B63CA">
        <w:t>Claims for incomplete building work are limited to 20 per cent of the total contract value, with any insurance payout (for incomplete work, defective work and losses) capped at $300,000. The VMIA provides the vast majority of DBI cover in Victoria (estimated at 90-95 per cent of the total market).</w:t>
      </w:r>
      <w:r>
        <w:rPr>
          <w:rStyle w:val="EndnoteReference"/>
        </w:rPr>
        <w:endnoteReference w:id="34"/>
      </w:r>
      <w:r w:rsidRPr="008B63CA">
        <w:t xml:space="preserve"> </w:t>
      </w:r>
    </w:p>
    <w:p w14:paraId="0753B05E" w14:textId="7E575E9B" w:rsidR="00495A29" w:rsidRDefault="00495A29" w:rsidP="008520AF">
      <w:r w:rsidRPr="002F73E3">
        <w:rPr>
          <w:b/>
          <w:color w:val="92C1E9" w:themeColor="accent1"/>
          <w:lang w:eastAsia="en-AU"/>
        </w:rPr>
        <w:t>Plumbing insurance</w:t>
      </w:r>
      <w:r w:rsidRPr="002F73E3">
        <w:rPr>
          <w:color w:val="92C1E9" w:themeColor="accent1"/>
          <w:lang w:eastAsia="en-AU"/>
        </w:rPr>
        <w:t xml:space="preserve"> </w:t>
      </w:r>
      <w:r w:rsidR="0014115D">
        <w:rPr>
          <w:lang w:eastAsia="en-AU"/>
        </w:rPr>
        <w:t>is mandatory for a</w:t>
      </w:r>
      <w:r w:rsidR="00972321">
        <w:rPr>
          <w:lang w:eastAsia="en-AU"/>
        </w:rPr>
        <w:t>ll licensed plumbers as a condition of undertaking plumbing work</w:t>
      </w:r>
      <w:r w:rsidR="00972321" w:rsidRPr="008B63CA">
        <w:t>.</w:t>
      </w:r>
      <w:r w:rsidR="00972321">
        <w:rPr>
          <w:rStyle w:val="EndnoteReference"/>
        </w:rPr>
        <w:endnoteReference w:id="35"/>
      </w:r>
      <w:r w:rsidR="00DE0BB0">
        <w:t xml:space="preserve"> Plumbers are indemnified under the policy for defects, public liability, completed work liability, consequent</w:t>
      </w:r>
      <w:r w:rsidR="009F19A5">
        <w:t>ial financial loss and non-completion of work.</w:t>
      </w:r>
      <w:r w:rsidR="00463C0D">
        <w:t xml:space="preserve"> </w:t>
      </w:r>
      <w:r w:rsidR="00463C0D" w:rsidRPr="008B63CA">
        <w:t xml:space="preserve">Where an owner encounters defective plumbing work </w:t>
      </w:r>
      <w:r w:rsidR="00463C0D">
        <w:t>and the plumber cannot resolve the issue in the first instance,</w:t>
      </w:r>
      <w:r w:rsidR="00463C0D" w:rsidRPr="008B63CA">
        <w:t xml:space="preserve"> the owner may make an insurance claim.</w:t>
      </w:r>
    </w:p>
    <w:p w14:paraId="740EA368" w14:textId="464610BC" w:rsidR="00487088" w:rsidRDefault="009F19A5" w:rsidP="003E4C39">
      <w:r w:rsidRPr="002F73E3">
        <w:rPr>
          <w:b/>
          <w:color w:val="40C1AC" w:themeColor="accent5"/>
        </w:rPr>
        <w:t>Owners Corporations Insurance</w:t>
      </w:r>
      <w:r w:rsidRPr="002F73E3">
        <w:rPr>
          <w:color w:val="40C1AC" w:themeColor="accent5"/>
        </w:rPr>
        <w:t xml:space="preserve"> </w:t>
      </w:r>
      <w:r>
        <w:t xml:space="preserve">is legislated under the Owners Corporations Act and </w:t>
      </w:r>
      <w:r w:rsidR="0010723B">
        <w:t xml:space="preserve">is a requirement for all </w:t>
      </w:r>
      <w:r>
        <w:t>OCs with common property</w:t>
      </w:r>
      <w:r w:rsidR="007F5A61">
        <w:t>.</w:t>
      </w:r>
      <w:r>
        <w:rPr>
          <w:rStyle w:val="EndnoteReference"/>
        </w:rPr>
        <w:endnoteReference w:id="36"/>
      </w:r>
      <w:r w:rsidR="0010723B">
        <w:t xml:space="preserve"> Reinstatement and replacement insurance for </w:t>
      </w:r>
      <w:r w:rsidR="00646BFB">
        <w:t>buildings on common properties insures the cost of replacing, repairing or rebuilding common property</w:t>
      </w:r>
      <w:r w:rsidR="003E4C39">
        <w:t>. P</w:t>
      </w:r>
      <w:r w:rsidR="00646BFB">
        <w:t xml:space="preserve">ublic liability insurance </w:t>
      </w:r>
      <w:r w:rsidR="00BB2FB0">
        <w:t xml:space="preserve">protects owners in case of </w:t>
      </w:r>
      <w:r w:rsidR="002A0926">
        <w:t>unexpected damage to</w:t>
      </w:r>
      <w:r w:rsidR="003E4C39">
        <w:t xml:space="preserve"> (or loss of) property, and any injuries, death or illnesses that occur in connection to common property.</w:t>
      </w:r>
    </w:p>
    <w:p w14:paraId="6BC3CB80" w14:textId="4983CDDA" w:rsidR="00770080" w:rsidRDefault="00770080" w:rsidP="00770080">
      <w:pPr>
        <w:pStyle w:val="Heading4"/>
      </w:pPr>
      <w:r>
        <w:t>Victoria’s insurance framework for building has evolved in response to market pressures</w:t>
      </w:r>
    </w:p>
    <w:p w14:paraId="5EED4B26" w14:textId="39F424CA" w:rsidR="000A248C" w:rsidRDefault="000A248C" w:rsidP="000A248C">
      <w:pPr>
        <w:rPr>
          <w:rStyle w:val="CommentReference"/>
        </w:rPr>
      </w:pPr>
      <w:r>
        <w:rPr>
          <w:lang w:eastAsia="en-AU"/>
        </w:rPr>
        <w:t xml:space="preserve">In </w:t>
      </w:r>
      <w:r w:rsidR="009C69C9">
        <w:rPr>
          <w:lang w:eastAsia="en-AU"/>
        </w:rPr>
        <w:t>response to market pressures, Victoria’s insurance framework for the building sector has shifted substantially over the last 50 years.</w:t>
      </w:r>
      <w:r w:rsidR="00DD33D6">
        <w:rPr>
          <w:lang w:eastAsia="en-AU"/>
        </w:rPr>
        <w:t xml:space="preserve"> Compulsory building insurance for new homes in </w:t>
      </w:r>
      <w:r w:rsidR="003B2DBA">
        <w:rPr>
          <w:lang w:eastAsia="en-AU"/>
        </w:rPr>
        <w:t>Victoria</w:t>
      </w:r>
      <w:r w:rsidR="00DD33D6">
        <w:rPr>
          <w:lang w:eastAsia="en-AU"/>
        </w:rPr>
        <w:t xml:space="preserve"> was introduced in the 1970s</w:t>
      </w:r>
      <w:r w:rsidR="001B70A5">
        <w:rPr>
          <w:rStyle w:val="EndnoteReference"/>
        </w:rPr>
        <w:endnoteReference w:id="37"/>
      </w:r>
      <w:r w:rsidR="001B70A5" w:rsidRPr="00E3321C">
        <w:t xml:space="preserve"> </w:t>
      </w:r>
      <w:r w:rsidR="00DD33D6">
        <w:rPr>
          <w:lang w:eastAsia="en-AU"/>
        </w:rPr>
        <w:t>as a first resort scheme</w:t>
      </w:r>
      <w:r w:rsidR="00BB3DE4">
        <w:rPr>
          <w:lang w:eastAsia="en-AU"/>
        </w:rPr>
        <w:t xml:space="preserve"> and covered the owner</w:t>
      </w:r>
      <w:r w:rsidR="001B70A5">
        <w:rPr>
          <w:lang w:eastAsia="en-AU"/>
        </w:rPr>
        <w:t xml:space="preserve"> for any loss arising from incomplete or defective building work</w:t>
      </w:r>
      <w:r w:rsidR="00386F2D">
        <w:rPr>
          <w:lang w:eastAsia="en-AU"/>
        </w:rPr>
        <w:t>.</w:t>
      </w:r>
      <w:r w:rsidR="00386F2D">
        <w:rPr>
          <w:rStyle w:val="EndnoteReference"/>
        </w:rPr>
        <w:endnoteReference w:id="38"/>
      </w:r>
      <w:r w:rsidR="00696DCE">
        <w:rPr>
          <w:rStyle w:val="CommentReference"/>
        </w:rPr>
        <w:t xml:space="preserve"> </w:t>
      </w:r>
    </w:p>
    <w:p w14:paraId="1C9C5DC0" w14:textId="53B2CAA5" w:rsidR="006B4E28" w:rsidRDefault="00696DCE" w:rsidP="00696DCE">
      <w:pPr>
        <w:sectPr w:rsidR="006B4E28" w:rsidSect="009A24E9">
          <w:footerReference w:type="default" r:id="rId66"/>
          <w:footerReference w:type="first" r:id="rId67"/>
          <w:endnotePr>
            <w:numFmt w:val="decimal"/>
          </w:endnotePr>
          <w:type w:val="continuous"/>
          <w:pgSz w:w="11907" w:h="16839" w:code="9"/>
          <w:pgMar w:top="1418" w:right="1418" w:bottom="1701" w:left="1559" w:header="720" w:footer="720" w:gutter="0"/>
          <w:cols w:space="720"/>
          <w:titlePg/>
          <w:docGrid w:linePitch="360"/>
        </w:sectPr>
      </w:pPr>
      <w:r w:rsidRPr="00FD66B3">
        <w:rPr>
          <w:lang w:eastAsia="en-AU"/>
        </w:rPr>
        <w:t xml:space="preserve">In the </w:t>
      </w:r>
      <w:r>
        <w:rPr>
          <w:lang w:eastAsia="en-AU"/>
        </w:rPr>
        <w:t>1990s</w:t>
      </w:r>
      <w:r w:rsidR="005903B1">
        <w:rPr>
          <w:lang w:eastAsia="en-AU"/>
        </w:rPr>
        <w:t>, the government</w:t>
      </w:r>
      <w:r w:rsidR="0063016E">
        <w:rPr>
          <w:lang w:eastAsia="en-AU"/>
        </w:rPr>
        <w:t>-</w:t>
      </w:r>
      <w:r w:rsidR="005903B1">
        <w:rPr>
          <w:lang w:eastAsia="en-AU"/>
        </w:rPr>
        <w:t>administere</w:t>
      </w:r>
      <w:r w:rsidR="00742C8B">
        <w:rPr>
          <w:lang w:eastAsia="en-AU"/>
        </w:rPr>
        <w:t xml:space="preserve">d </w:t>
      </w:r>
      <w:r w:rsidR="005A1CB1" w:rsidRPr="00E3321C">
        <w:t>H</w:t>
      </w:r>
      <w:r w:rsidR="00A273FB">
        <w:t xml:space="preserve">ousing </w:t>
      </w:r>
      <w:r w:rsidR="005A1CB1" w:rsidRPr="00E3321C">
        <w:t>G</w:t>
      </w:r>
      <w:r w:rsidR="00A273FB">
        <w:t xml:space="preserve">uarantee </w:t>
      </w:r>
      <w:r w:rsidR="005A1CB1" w:rsidRPr="00E3321C">
        <w:t>F</w:t>
      </w:r>
      <w:r w:rsidR="00A273FB">
        <w:t>und (HGF)</w:t>
      </w:r>
      <w:r w:rsidR="005A1CB1" w:rsidRPr="00E3321C">
        <w:t xml:space="preserve"> was replaced with a market-run </w:t>
      </w:r>
      <w:r w:rsidR="005A1CB1">
        <w:t>scheme</w:t>
      </w:r>
      <w:r w:rsidR="005A1CB1" w:rsidRPr="00E3321C">
        <w:t xml:space="preserve"> that </w:t>
      </w:r>
      <w:r w:rsidR="005A1CB1">
        <w:t>was</w:t>
      </w:r>
      <w:r w:rsidR="005A1CB1" w:rsidRPr="00E3321C">
        <w:t xml:space="preserve"> privately underwritten</w:t>
      </w:r>
      <w:r w:rsidR="005A1CB1">
        <w:t>. Subsequently, market pressures led to shifts in the insurance arrangements for domestic building work. Most notably in 2002 following the collapse of a major provider (</w:t>
      </w:r>
      <w:r w:rsidR="00217BF7">
        <w:t xml:space="preserve">HIH insurance) and withdrawal of others from the market, the scheme was narrowed to a last resort scheme for buildings three storeys or below (as the product exists today). </w:t>
      </w:r>
      <w:r w:rsidR="00572DF5">
        <w:t xml:space="preserve">Further changes in </w:t>
      </w:r>
      <w:r w:rsidR="00217BF7" w:rsidRPr="00EC497E">
        <w:t xml:space="preserve">2010 </w:t>
      </w:r>
      <w:r w:rsidR="00217BF7">
        <w:t xml:space="preserve">saw another major market leader exiting due to complexity of the product and poor profitability. This led to the current last-resort scheme being primarily administered by </w:t>
      </w:r>
      <w:r w:rsidR="00BD1E86">
        <w:t xml:space="preserve">the </w:t>
      </w:r>
      <w:r w:rsidR="00055043">
        <w:t xml:space="preserve">VMIA. </w:t>
      </w:r>
      <w:r w:rsidR="0072357B">
        <w:t xml:space="preserve">The evolution of Victoria’s insurance landscape is shown in </w:t>
      </w:r>
      <w:r w:rsidR="0072357B">
        <w:fldChar w:fldCharType="begin"/>
      </w:r>
      <w:r w:rsidR="0072357B">
        <w:instrText xml:space="preserve"> REF _Ref131420769 \h </w:instrText>
      </w:r>
      <w:r w:rsidR="0072357B">
        <w:fldChar w:fldCharType="separate"/>
      </w:r>
      <w:r w:rsidR="00E15D2D">
        <w:t xml:space="preserve">Figure </w:t>
      </w:r>
      <w:r w:rsidR="00E15D2D">
        <w:rPr>
          <w:noProof/>
        </w:rPr>
        <w:t>8</w:t>
      </w:r>
      <w:r w:rsidR="0072357B">
        <w:fldChar w:fldCharType="end"/>
      </w:r>
      <w:r w:rsidR="0072357B">
        <w:t>.</w:t>
      </w:r>
    </w:p>
    <w:p w14:paraId="7B2B0758" w14:textId="77777777" w:rsidR="00A47556" w:rsidRDefault="00A47556" w:rsidP="00696DCE">
      <w:pPr>
        <w:sectPr w:rsidR="00A47556" w:rsidSect="009A24E9">
          <w:footerReference w:type="default" r:id="rId68"/>
          <w:endnotePr>
            <w:numFmt w:val="decimal"/>
          </w:endnotePr>
          <w:type w:val="continuous"/>
          <w:pgSz w:w="11907" w:h="16839" w:code="9"/>
          <w:pgMar w:top="1418" w:right="1418" w:bottom="1701" w:left="1559" w:header="720" w:footer="720" w:gutter="0"/>
          <w:cols w:space="720"/>
          <w:titlePg/>
          <w:docGrid w:linePitch="360"/>
        </w:sectPr>
      </w:pPr>
    </w:p>
    <w:p w14:paraId="07B829BA" w14:textId="30CC2FE9" w:rsidR="00696DCE" w:rsidRDefault="00696DCE" w:rsidP="00696DCE"/>
    <w:p w14:paraId="37DBE195" w14:textId="07287DFC" w:rsidR="00D546B3" w:rsidRDefault="00D546B3" w:rsidP="00696DCE"/>
    <w:p w14:paraId="22832A33" w14:textId="2DC43957" w:rsidR="00D546B3" w:rsidRDefault="00D546B3" w:rsidP="00D546B3">
      <w:pPr>
        <w:pStyle w:val="Caption"/>
      </w:pPr>
      <w:bookmarkStart w:id="117" w:name="_Ref131420769"/>
      <w:r>
        <w:lastRenderedPageBreak/>
        <w:t xml:space="preserve">Figure </w:t>
      </w:r>
      <w:r>
        <w:fldChar w:fldCharType="begin"/>
      </w:r>
      <w:r>
        <w:instrText xml:space="preserve"> SEQ Figure \* ARABIC </w:instrText>
      </w:r>
      <w:r>
        <w:fldChar w:fldCharType="separate"/>
      </w:r>
      <w:r w:rsidR="00E15D2D">
        <w:rPr>
          <w:noProof/>
        </w:rPr>
        <w:t>8</w:t>
      </w:r>
      <w:r>
        <w:fldChar w:fldCharType="end"/>
      </w:r>
      <w:bookmarkEnd w:id="117"/>
      <w:r>
        <w:t xml:space="preserve"> | </w:t>
      </w:r>
      <w:r w:rsidR="003B2DBA">
        <w:t>Evolution</w:t>
      </w:r>
      <w:r>
        <w:t xml:space="preserve"> of Victoria's insurance landscape over last 50 years</w:t>
      </w:r>
    </w:p>
    <w:p w14:paraId="3775E4F8" w14:textId="1A7F85DE" w:rsidR="00D546B3" w:rsidRPr="00FD66B3" w:rsidRDefault="00D546B3" w:rsidP="00D546B3">
      <w:pPr>
        <w:keepNext/>
      </w:pPr>
      <w:r>
        <w:rPr>
          <w:noProof/>
        </w:rPr>
        <w:drawing>
          <wp:inline distT="0" distB="0" distL="0" distR="0" wp14:anchorId="18672C5F" wp14:editId="491DF91A">
            <wp:extent cx="5670000" cy="2907348"/>
            <wp:effectExtent l="0" t="0" r="6985" b="7620"/>
            <wp:docPr id="27786" name="Picture 2778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6" name="Picture 27786" descr="Timeline&#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70000" cy="2907348"/>
                    </a:xfrm>
                    <a:prstGeom prst="rect">
                      <a:avLst/>
                    </a:prstGeom>
                    <a:noFill/>
                  </pic:spPr>
                </pic:pic>
              </a:graphicData>
            </a:graphic>
          </wp:inline>
        </w:drawing>
      </w:r>
    </w:p>
    <w:p w14:paraId="32E3E902" w14:textId="365A8388" w:rsidR="002F2CA7" w:rsidRDefault="00A8625A" w:rsidP="00B11B00">
      <w:pPr>
        <w:pStyle w:val="Heading2"/>
      </w:pPr>
      <w:bookmarkStart w:id="118" w:name="_Toc131428708"/>
      <w:bookmarkStart w:id="119" w:name="_Toc134352866"/>
      <w:bookmarkStart w:id="120" w:name="_Toc134356899"/>
      <w:r>
        <w:t>Key issues</w:t>
      </w:r>
      <w:bookmarkEnd w:id="118"/>
      <w:bookmarkEnd w:id="119"/>
      <w:bookmarkEnd w:id="120"/>
      <w:r>
        <w:t xml:space="preserve"> </w:t>
      </w:r>
    </w:p>
    <w:p w14:paraId="2866A97D" w14:textId="77777777" w:rsidR="009D2F47" w:rsidRPr="00E3321C" w:rsidRDefault="009D2F47" w:rsidP="009D2F47">
      <w:r w:rsidRPr="00E3321C">
        <w:t xml:space="preserve">Insurance is one component of the broader building system. Insurance can be used to manage risks, provide financial protection for consumers and practitioners, and provide for rectification of defective building work. The insurance market is influenced by how well the regulatory framework manages risks related to non-compliant and/or defective building work. </w:t>
      </w:r>
    </w:p>
    <w:p w14:paraId="0580EFEA" w14:textId="77777777" w:rsidR="009D2F47" w:rsidRPr="00E3321C" w:rsidRDefault="009D2F47" w:rsidP="009D2F47">
      <w:r w:rsidRPr="00E3321C">
        <w:t xml:space="preserve">The Panel has identified two key issues: </w:t>
      </w:r>
    </w:p>
    <w:p w14:paraId="3E808CC5" w14:textId="089173D4" w:rsidR="009D2F47" w:rsidRPr="009D2F47" w:rsidRDefault="009D2F47" w:rsidP="00EB723B">
      <w:pPr>
        <w:pStyle w:val="Listnumbered"/>
        <w:numPr>
          <w:ilvl w:val="0"/>
          <w:numId w:val="9"/>
        </w:numPr>
      </w:pPr>
      <w:r w:rsidRPr="009D2F47">
        <w:t>D</w:t>
      </w:r>
      <w:r w:rsidR="00E52F92">
        <w:t>BI</w:t>
      </w:r>
      <w:r>
        <w:t xml:space="preserve"> </w:t>
      </w:r>
      <w:r w:rsidRPr="009D2F47">
        <w:t xml:space="preserve">provides </w:t>
      </w:r>
      <w:r w:rsidR="00446659">
        <w:t>some</w:t>
      </w:r>
      <w:r w:rsidR="00446659" w:rsidRPr="009D2F47">
        <w:t xml:space="preserve"> </w:t>
      </w:r>
      <w:r w:rsidRPr="009D2F47">
        <w:t>protections to consumers to rectify defects</w:t>
      </w:r>
      <w:r w:rsidR="008E4A04">
        <w:t>.</w:t>
      </w:r>
    </w:p>
    <w:p w14:paraId="64A53436" w14:textId="77777777" w:rsidR="009D2F47" w:rsidRPr="00E3321C" w:rsidRDefault="009D2F47" w:rsidP="009D2F47">
      <w:pPr>
        <w:pStyle w:val="Listnumbered"/>
      </w:pPr>
      <w:r w:rsidRPr="00E3321C">
        <w:t xml:space="preserve">A lack of confidence in the regulatory system has led to declining coverage and increasing cost of insurance over time. </w:t>
      </w:r>
    </w:p>
    <w:p w14:paraId="02A6C6BC" w14:textId="1DB2637E" w:rsidR="00CD4F53" w:rsidRDefault="00E52F92" w:rsidP="00CD4F53">
      <w:pPr>
        <w:pStyle w:val="Heading4"/>
      </w:pPr>
      <w:r>
        <w:t>DBI</w:t>
      </w:r>
      <w:r w:rsidR="008F4D95">
        <w:t>,</w:t>
      </w:r>
      <w:r w:rsidR="00CD4F53">
        <w:t xml:space="preserve"> </w:t>
      </w:r>
      <w:r w:rsidR="008F4D95">
        <w:t xml:space="preserve">for buildings of three storeys or less, </w:t>
      </w:r>
      <w:r w:rsidR="00CD4F53">
        <w:t>provides</w:t>
      </w:r>
      <w:r w:rsidR="008F4D95">
        <w:t xml:space="preserve"> some</w:t>
      </w:r>
      <w:r w:rsidR="00CD4F53">
        <w:t xml:space="preserve"> </w:t>
      </w:r>
      <w:r w:rsidR="008F4D95">
        <w:t xml:space="preserve">  </w:t>
      </w:r>
      <w:r w:rsidR="00CD4F53">
        <w:t xml:space="preserve"> protections </w:t>
      </w:r>
      <w:r w:rsidR="008F4D95">
        <w:t xml:space="preserve">for </w:t>
      </w:r>
      <w:r w:rsidR="00CD4F53">
        <w:t>consumers</w:t>
      </w:r>
    </w:p>
    <w:p w14:paraId="7D76A155" w14:textId="65D9DF5C" w:rsidR="00483D1E" w:rsidRDefault="00483D1E" w:rsidP="00483D1E">
      <w:r>
        <w:rPr>
          <w:lang w:eastAsia="en-AU"/>
        </w:rPr>
        <w:t xml:space="preserve">DBI is the only mandatory insurance product in Victoria that provides direct protections for building owners. DBI is a last resort scheme that applies only to buildings that are three storeys or less and where the builder has died, disappeared, </w:t>
      </w:r>
      <w:r w:rsidR="00FC50B2" w:rsidRPr="00E3321C">
        <w:t>or become insolvent or, if insured by the VMIA, has not complied with a tribunal or court order.</w:t>
      </w:r>
      <w:r w:rsidR="00FC50B2">
        <w:rPr>
          <w:rStyle w:val="EndnoteReference"/>
        </w:rPr>
        <w:endnoteReference w:id="39"/>
      </w:r>
    </w:p>
    <w:p w14:paraId="72652113" w14:textId="5665BF2A" w:rsidR="00C01036" w:rsidRPr="00E3321C" w:rsidRDefault="00C01036" w:rsidP="00C01036">
      <w:r w:rsidRPr="00E3321C">
        <w:t>The increase in residential apartment living means more Victorian homeowners do not have the safety net of this last resort insurance product. The th</w:t>
      </w:r>
      <w:r>
        <w:t>r</w:t>
      </w:r>
      <w:r w:rsidRPr="00E3321C">
        <w:t>ee</w:t>
      </w:r>
      <w:r>
        <w:t>-</w:t>
      </w:r>
      <w:r w:rsidRPr="00E3321C">
        <w:t>storey limitation means that many consumers do not have access to recourse</w:t>
      </w:r>
      <w:r>
        <w:t xml:space="preserve"> </w:t>
      </w:r>
      <w:r w:rsidRPr="00E3321C">
        <w:t>even where the triggers of DBI are met</w:t>
      </w:r>
      <w:r w:rsidR="005232EC">
        <w:t xml:space="preserve">, </w:t>
      </w:r>
      <w:r w:rsidRPr="00E3321C">
        <w:t xml:space="preserve"> which leads to costly, time-consuming legal processes to seek </w:t>
      </w:r>
      <w:r>
        <w:t>recourse</w:t>
      </w:r>
      <w:r w:rsidRPr="00E3321C">
        <w:t xml:space="preserve"> against building practitioners.</w:t>
      </w:r>
      <w:r>
        <w:rPr>
          <w:rStyle w:val="EndnoteReference"/>
        </w:rPr>
        <w:endnoteReference w:id="40"/>
      </w:r>
      <w:r w:rsidRPr="00E3321C">
        <w:t xml:space="preserve"> </w:t>
      </w:r>
      <w:r w:rsidR="00CC1EB4">
        <w:t xml:space="preserve">Further, non-mandatory </w:t>
      </w:r>
      <w:r w:rsidR="00CC1EB4" w:rsidRPr="00E3321C">
        <w:t>policies that cover damage or loss resulting from structural defects are rarely available in the Victorian market.</w:t>
      </w:r>
    </w:p>
    <w:p w14:paraId="1BA05EE4" w14:textId="55146847" w:rsidR="00C01036" w:rsidRDefault="00C01036" w:rsidP="00483D1E">
      <w:pPr>
        <w:rPr>
          <w:lang w:eastAsia="en-AU"/>
        </w:rPr>
      </w:pPr>
      <w:r>
        <w:rPr>
          <w:lang w:eastAsia="en-AU"/>
        </w:rPr>
        <w:t xml:space="preserve">In addition to gaps in coverage, the Panel has also heard that there is limited understanding about the protection </w:t>
      </w:r>
      <w:r w:rsidR="007D22FD">
        <w:rPr>
          <w:lang w:eastAsia="en-AU"/>
        </w:rPr>
        <w:t>provided by DBI</w:t>
      </w:r>
      <w:r w:rsidR="005241E6">
        <w:rPr>
          <w:lang w:eastAsia="en-AU"/>
        </w:rPr>
        <w:t>,</w:t>
      </w:r>
      <w:r w:rsidR="007D22FD">
        <w:rPr>
          <w:lang w:eastAsia="en-AU"/>
        </w:rPr>
        <w:t xml:space="preserve"> including:</w:t>
      </w:r>
    </w:p>
    <w:p w14:paraId="5CC3FD83" w14:textId="553A734C" w:rsidR="007D22FD" w:rsidRDefault="007D22FD" w:rsidP="007D22FD">
      <w:pPr>
        <w:pStyle w:val="Bullet"/>
      </w:pPr>
      <w:r>
        <w:t>Consumers may not fully understand the limitations of cover provided by DBI and the nature of building work that is covered</w:t>
      </w:r>
      <w:r w:rsidR="00C36B97">
        <w:t>.</w:t>
      </w:r>
    </w:p>
    <w:p w14:paraId="01F22398" w14:textId="111E2875" w:rsidR="007D22FD" w:rsidRDefault="007D22FD" w:rsidP="007D22FD">
      <w:pPr>
        <w:pStyle w:val="Bullet"/>
      </w:pPr>
      <w:r>
        <w:lastRenderedPageBreak/>
        <w:t>Anecdotally, some practitioners assume that DBI will respond in instances where their work is defective and may not be aware that the policy cannot be access</w:t>
      </w:r>
      <w:r w:rsidR="00C36B97">
        <w:t>ed</w:t>
      </w:r>
      <w:r>
        <w:t xml:space="preserve"> unless a prescribed trigger is met (</w:t>
      </w:r>
      <w:r w:rsidR="008A617A">
        <w:t>e.g.</w:t>
      </w:r>
      <w:r w:rsidR="005D5034">
        <w:t>,</w:t>
      </w:r>
      <w:r>
        <w:t xml:space="preserve"> the builder is insolvent)</w:t>
      </w:r>
      <w:r w:rsidR="00C36B97">
        <w:t>.</w:t>
      </w:r>
    </w:p>
    <w:p w14:paraId="7353D1AE" w14:textId="360294E5" w:rsidR="007D22FD" w:rsidRDefault="007D22FD" w:rsidP="007D22FD">
      <w:pPr>
        <w:pStyle w:val="Bullet"/>
      </w:pPr>
      <w:r>
        <w:t xml:space="preserve">DBI is not </w:t>
      </w:r>
      <w:r w:rsidR="005D5F89">
        <w:t xml:space="preserve">triggered by failure of a builder to </w:t>
      </w:r>
      <w:r w:rsidR="003B2DBA">
        <w:t>comply</w:t>
      </w:r>
      <w:r w:rsidR="005D5F89">
        <w:t xml:space="preserve"> with a Dispute Resolution Order</w:t>
      </w:r>
      <w:r w:rsidR="00514FF9">
        <w:t xml:space="preserve"> </w:t>
      </w:r>
      <w:r w:rsidR="006D57A3">
        <w:t xml:space="preserve">(DRO) </w:t>
      </w:r>
      <w:r w:rsidR="00514FF9">
        <w:t xml:space="preserve">through the dispute resolution system </w:t>
      </w:r>
      <w:r w:rsidR="005D3988">
        <w:t xml:space="preserve">(see </w:t>
      </w:r>
      <w:r w:rsidR="00B45D0F">
        <w:t>c</w:t>
      </w:r>
      <w:r w:rsidR="005D3988">
        <w:t xml:space="preserve">hapter </w:t>
      </w:r>
      <w:r w:rsidR="005D3988">
        <w:fldChar w:fldCharType="begin"/>
      </w:r>
      <w:r w:rsidR="005D3988">
        <w:instrText xml:space="preserve"> REF _Ref130391254 \r \h </w:instrText>
      </w:r>
      <w:r w:rsidR="005D3988">
        <w:fldChar w:fldCharType="separate"/>
      </w:r>
      <w:r w:rsidR="00E15D2D">
        <w:t>7</w:t>
      </w:r>
      <w:r w:rsidR="005D3988">
        <w:fldChar w:fldCharType="end"/>
      </w:r>
      <w:r w:rsidR="005D3988">
        <w:t>).</w:t>
      </w:r>
    </w:p>
    <w:p w14:paraId="6D5B6CF0" w14:textId="217990FB" w:rsidR="005D3988" w:rsidRDefault="005D3988" w:rsidP="005D3988">
      <w:pPr>
        <w:pStyle w:val="Heading4"/>
      </w:pPr>
      <w:r>
        <w:t xml:space="preserve">A lack of confidence in the regulatory environment has led to declining coverage and increasing cost of </w:t>
      </w:r>
      <w:r w:rsidR="00FB74CF">
        <w:t>PII</w:t>
      </w:r>
    </w:p>
    <w:p w14:paraId="6007DDFD" w14:textId="13C52ECD" w:rsidR="0042639A" w:rsidRPr="00E3321C" w:rsidRDefault="00B34A4B" w:rsidP="0042639A">
      <w:r w:rsidRPr="00E3321C">
        <w:t>In recent years, there has been increasing pressure on PII driven in part by a lack of confidence in the regulatory system to prevent harms and manage risks.</w:t>
      </w:r>
      <w:r>
        <w:rPr>
          <w:rStyle w:val="EndnoteReference"/>
        </w:rPr>
        <w:endnoteReference w:id="41"/>
      </w:r>
      <w:r w:rsidRPr="00E3321C">
        <w:t xml:space="preserve"> This has resulted in a significant increase in PII premiums and some insurers leaving the market.</w:t>
      </w:r>
      <w:r>
        <w:rPr>
          <w:rStyle w:val="EndnoteReference"/>
        </w:rPr>
        <w:endnoteReference w:id="42"/>
      </w:r>
      <w:r w:rsidR="00E663A8">
        <w:t xml:space="preserve"> </w:t>
      </w:r>
      <w:r w:rsidR="0042639A" w:rsidRPr="00E3321C">
        <w:t>As a result, practitioners are being exposed to a greater risk when undertaking building work</w:t>
      </w:r>
      <w:r w:rsidR="0042639A">
        <w:t>.</w:t>
      </w:r>
      <w:r w:rsidR="0042639A">
        <w:rPr>
          <w:rStyle w:val="EndnoteReference"/>
        </w:rPr>
        <w:endnoteReference w:id="43"/>
      </w:r>
      <w:r w:rsidR="0005225E">
        <w:t xml:space="preserve"> </w:t>
      </w:r>
    </w:p>
    <w:p w14:paraId="7FC00D2B" w14:textId="5F9FAB91" w:rsidR="00A47556" w:rsidRDefault="0042639A" w:rsidP="0042639A">
      <w:pPr>
        <w:sectPr w:rsidR="00A47556" w:rsidSect="009A24E9">
          <w:footerReference w:type="default" r:id="rId70"/>
          <w:endnotePr>
            <w:numFmt w:val="decimal"/>
          </w:endnotePr>
          <w:type w:val="continuous"/>
          <w:pgSz w:w="11907" w:h="16839" w:code="9"/>
          <w:pgMar w:top="1418" w:right="1418" w:bottom="1701" w:left="1559" w:header="720" w:footer="720" w:gutter="0"/>
          <w:cols w:space="720"/>
          <w:titlePg/>
          <w:docGrid w:linePitch="360"/>
        </w:sectPr>
      </w:pPr>
      <w:r w:rsidRPr="00E3321C">
        <w:t>This issue highlights limited protections under existing insurance arrangements as well as the broad challenges in developing new insurance products that are commercially viable for insurers to underwrite</w:t>
      </w:r>
      <w:r>
        <w:t>.</w:t>
      </w:r>
      <w:r w:rsidR="007375CC">
        <w:t xml:space="preserve"> It is important to note</w:t>
      </w:r>
      <w:r w:rsidR="00F44B00">
        <w:t xml:space="preserve"> recent improvements in the PII market for building surveyors. </w:t>
      </w:r>
      <w:r w:rsidR="006D7AF6">
        <w:t>The Australian Institute of Building Surveyors (AIBS) has received a liability cap of $2 million for some of their members. The Royal Institute of Chartered Surveyors (RICS) has  obtained an exclusion free PII policy for some of their members.</w:t>
      </w:r>
    </w:p>
    <w:p w14:paraId="28DC2D0C" w14:textId="4CE27CEB" w:rsidR="0042639A" w:rsidRDefault="0042639A" w:rsidP="0042639A"/>
    <w:p w14:paraId="5AADFE76" w14:textId="77777777" w:rsidR="0042639A" w:rsidRPr="00B34A4B" w:rsidRDefault="0042639A" w:rsidP="0042639A">
      <w:pPr>
        <w:pStyle w:val="Bullet"/>
        <w:numPr>
          <w:ilvl w:val="0"/>
          <w:numId w:val="0"/>
        </w:numPr>
        <w:ind w:left="340" w:hanging="340"/>
      </w:pPr>
    </w:p>
    <w:p w14:paraId="137BBCD7" w14:textId="77777777" w:rsidR="004B4EB9" w:rsidRDefault="004B4EB9">
      <w:pPr>
        <w:spacing w:after="160" w:line="259" w:lineRule="auto"/>
        <w:rPr>
          <w:rFonts w:eastAsia="Times New Roman" w:cs="Times New Roman"/>
          <w:b/>
          <w:color w:val="1F2A44" w:themeColor="text2"/>
          <w:sz w:val="30"/>
          <w:szCs w:val="19"/>
          <w:lang w:eastAsia="en-AU"/>
        </w:rPr>
      </w:pPr>
      <w:r>
        <w:br w:type="page"/>
      </w:r>
    </w:p>
    <w:p w14:paraId="620E75B0" w14:textId="284DF461" w:rsidR="00A8625A" w:rsidRDefault="007C1132" w:rsidP="00A8625A">
      <w:pPr>
        <w:pStyle w:val="Heading2"/>
      </w:pPr>
      <w:bookmarkStart w:id="121" w:name="_Toc131428709"/>
      <w:bookmarkStart w:id="122" w:name="_Toc134352867"/>
      <w:bookmarkStart w:id="123" w:name="_Toc134356900"/>
      <w:r>
        <w:lastRenderedPageBreak/>
        <w:t>Proposed recommendations</w:t>
      </w:r>
      <w:r w:rsidR="00203FC9">
        <w:t xml:space="preserve"> to introduce insurance mechanisms that meet the needs of consumers</w:t>
      </w:r>
      <w:bookmarkEnd w:id="121"/>
      <w:bookmarkEnd w:id="122"/>
      <w:bookmarkEnd w:id="123"/>
    </w:p>
    <w:p w14:paraId="0F35D91D" w14:textId="0B85CEDE" w:rsidR="00203FC9" w:rsidRPr="00203FC9" w:rsidRDefault="00396E96" w:rsidP="00203FC9">
      <w:pPr>
        <w:rPr>
          <w:lang w:eastAsia="en-AU"/>
        </w:rPr>
      </w:pPr>
      <w:r>
        <w:t>Victoria’s building regulatory system could be strengthened</w:t>
      </w:r>
      <w:r w:rsidR="00A94C4A">
        <w:t xml:space="preserve"> through developing </w:t>
      </w:r>
      <w:r>
        <w:t xml:space="preserve">a </w:t>
      </w:r>
      <w:r w:rsidR="00DD613E">
        <w:t>decennial liability</w:t>
      </w:r>
      <w:r>
        <w:t xml:space="preserve">, first resort insurance scheme. </w:t>
      </w:r>
      <w:r w:rsidR="00477435">
        <w:t>T</w:t>
      </w:r>
      <w:r w:rsidR="00AE543C">
        <w:t xml:space="preserve">he Panel recommends a pathway towards a </w:t>
      </w:r>
      <w:r w:rsidR="00DD613E">
        <w:t>decennial liability</w:t>
      </w:r>
      <w:r w:rsidR="00AE543C">
        <w:t xml:space="preserve"> insurance model.</w:t>
      </w:r>
    </w:p>
    <w:p w14:paraId="1F3045BD" w14:textId="789024A1" w:rsidR="00407AF8" w:rsidRDefault="002D134B" w:rsidP="00407AF8">
      <w:pPr>
        <w:pStyle w:val="Heading3"/>
      </w:pPr>
      <w:bookmarkStart w:id="124" w:name="_Toc131428710"/>
      <w:bookmarkStart w:id="125" w:name="_Toc134352868"/>
      <w:bookmarkStart w:id="126" w:name="_Toc134356795"/>
      <w:bookmarkStart w:id="127" w:name="_Toc134356901"/>
      <w:r>
        <w:t xml:space="preserve">Recommendation </w:t>
      </w:r>
      <w:r w:rsidR="00C1409D">
        <w:t>6</w:t>
      </w:r>
      <w:r>
        <w:t xml:space="preserve"> | </w:t>
      </w:r>
      <w:r w:rsidR="008802FE">
        <w:t>Establish</w:t>
      </w:r>
      <w:r>
        <w:t xml:space="preserve"> a </w:t>
      </w:r>
      <w:r w:rsidR="00060120">
        <w:t xml:space="preserve">framework to </w:t>
      </w:r>
      <w:r w:rsidR="008802FE">
        <w:t>implement</w:t>
      </w:r>
      <w:r w:rsidR="00060120">
        <w:t xml:space="preserve"> a </w:t>
      </w:r>
      <w:r>
        <w:t xml:space="preserve">mandatory </w:t>
      </w:r>
      <w:r w:rsidR="00DF77BA">
        <w:t>decennial liability</w:t>
      </w:r>
      <w:r>
        <w:t xml:space="preserve"> insurance </w:t>
      </w:r>
      <w:r w:rsidR="00DF77BA">
        <w:t xml:space="preserve">scheme </w:t>
      </w:r>
      <w:r>
        <w:t xml:space="preserve">for </w:t>
      </w:r>
      <w:r w:rsidR="008802FE">
        <w:t xml:space="preserve">certain </w:t>
      </w:r>
      <w:r>
        <w:t>residential buildings</w:t>
      </w:r>
      <w:r w:rsidR="007C1132">
        <w:t xml:space="preserve"> </w:t>
      </w:r>
      <w:r w:rsidR="00DF77BA">
        <w:t>which</w:t>
      </w:r>
      <w:r w:rsidR="007C1132">
        <w:t xml:space="preserve"> meets the needs of consumers and industry</w:t>
      </w:r>
      <w:bookmarkEnd w:id="124"/>
      <w:bookmarkEnd w:id="125"/>
      <w:bookmarkEnd w:id="126"/>
      <w:bookmarkEnd w:id="127"/>
    </w:p>
    <w:p w14:paraId="4D9808C2" w14:textId="487DF844" w:rsidR="00954363" w:rsidRDefault="002D134B" w:rsidP="001D224C">
      <w:pPr>
        <w:pStyle w:val="Heading4"/>
      </w:pPr>
      <w:r>
        <w:t>Description</w:t>
      </w:r>
    </w:p>
    <w:p w14:paraId="69DC1653" w14:textId="13561072" w:rsidR="00D42643" w:rsidRDefault="0000670F" w:rsidP="00D42643">
      <w:r>
        <w:rPr>
          <w:lang w:eastAsia="en-AU"/>
        </w:rPr>
        <w:t>The Panel recommends the establishment of an Advisory Committee to develop a staged introduction plan for mandatory, decennial liability insurance</w:t>
      </w:r>
      <w:r w:rsidR="00DF77BA">
        <w:rPr>
          <w:lang w:eastAsia="en-AU"/>
        </w:rPr>
        <w:t xml:space="preserve"> for certain residential buildings</w:t>
      </w:r>
      <w:r w:rsidR="00DF77BA">
        <w:t>.</w:t>
      </w:r>
      <w:r w:rsidR="00954363">
        <w:t xml:space="preserve"> </w:t>
      </w:r>
      <w:r w:rsidR="001A6CC0">
        <w:t xml:space="preserve">It is critical that the establishment of </w:t>
      </w:r>
      <w:r w:rsidR="007752D7">
        <w:t xml:space="preserve">decennial liability </w:t>
      </w:r>
      <w:r w:rsidR="001A6CC0">
        <w:t>insurance is economically viable, that stakeholders a</w:t>
      </w:r>
      <w:r w:rsidR="00AE543C">
        <w:t xml:space="preserve">re </w:t>
      </w:r>
      <w:r w:rsidR="001A6CC0">
        <w:t>engaged on the details of the scheme and that it aligns with the legislative reform agenda.</w:t>
      </w:r>
      <w:r w:rsidR="00A03890">
        <w:rPr>
          <w:rStyle w:val="EndnoteReference"/>
        </w:rPr>
        <w:endnoteReference w:id="44"/>
      </w:r>
      <w:r w:rsidR="00A03890">
        <w:t xml:space="preserve"> </w:t>
      </w:r>
      <w:r w:rsidR="006B778F">
        <w:t xml:space="preserve">The Committee should </w:t>
      </w:r>
      <w:r w:rsidR="00DD0F2A">
        <w:t>develop a plan</w:t>
      </w:r>
      <w:r w:rsidR="000114AD">
        <w:t xml:space="preserve"> including the specifications </w:t>
      </w:r>
      <w:r w:rsidR="00D8066C">
        <w:t xml:space="preserve">set out in </w:t>
      </w:r>
      <w:r w:rsidR="00302F77">
        <w:fldChar w:fldCharType="begin"/>
      </w:r>
      <w:r w:rsidR="00302F77">
        <w:instrText xml:space="preserve"> REF _Ref131417171 \h </w:instrText>
      </w:r>
      <w:r w:rsidR="00302F77">
        <w:fldChar w:fldCharType="separate"/>
      </w:r>
      <w:r w:rsidR="00E15D2D">
        <w:t xml:space="preserve">Figure </w:t>
      </w:r>
      <w:r w:rsidR="00E15D2D">
        <w:rPr>
          <w:noProof/>
        </w:rPr>
        <w:t>9</w:t>
      </w:r>
      <w:r w:rsidR="00302F77">
        <w:fldChar w:fldCharType="end"/>
      </w:r>
      <w:r w:rsidR="00620579">
        <w:t>.</w:t>
      </w:r>
    </w:p>
    <w:p w14:paraId="402E3D5F" w14:textId="65E662A9" w:rsidR="00983869" w:rsidRDefault="00983869" w:rsidP="00983869">
      <w:pPr>
        <w:pStyle w:val="Caption"/>
      </w:pPr>
      <w:bookmarkStart w:id="128" w:name="_Ref131417171"/>
      <w:bookmarkStart w:id="129" w:name="_Ref131417167"/>
      <w:r>
        <w:t xml:space="preserve">Figure </w:t>
      </w:r>
      <w:r>
        <w:fldChar w:fldCharType="begin"/>
      </w:r>
      <w:r>
        <w:instrText xml:space="preserve"> SEQ Figure \* ARABIC </w:instrText>
      </w:r>
      <w:r>
        <w:fldChar w:fldCharType="separate"/>
      </w:r>
      <w:r w:rsidR="00E15D2D">
        <w:rPr>
          <w:noProof/>
        </w:rPr>
        <w:t>9</w:t>
      </w:r>
      <w:r>
        <w:fldChar w:fldCharType="end"/>
      </w:r>
      <w:bookmarkEnd w:id="128"/>
      <w:r>
        <w:t xml:space="preserve"> | Param</w:t>
      </w:r>
      <w:r w:rsidR="002B3ED1">
        <w:t>e</w:t>
      </w:r>
      <w:r>
        <w:t xml:space="preserve">ters for a </w:t>
      </w:r>
      <w:r w:rsidR="00DD613E">
        <w:t>decennial liability</w:t>
      </w:r>
      <w:r>
        <w:t xml:space="preserve"> insurance m</w:t>
      </w:r>
      <w:r w:rsidR="00BB2FDE">
        <w:t>od</w:t>
      </w:r>
      <w:r>
        <w:t>el</w:t>
      </w:r>
      <w:bookmarkEnd w:id="129"/>
    </w:p>
    <w:p w14:paraId="39F8994A" w14:textId="77777777" w:rsidR="00D42643" w:rsidRDefault="00983869" w:rsidP="00D42643">
      <w:r>
        <w:rPr>
          <w:noProof/>
        </w:rPr>
        <w:drawing>
          <wp:inline distT="0" distB="0" distL="0" distR="0" wp14:anchorId="24FE3F89" wp14:editId="6F7C7019">
            <wp:extent cx="5670000" cy="2484832"/>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70000" cy="2484832"/>
                    </a:xfrm>
                    <a:prstGeom prst="rect">
                      <a:avLst/>
                    </a:prstGeom>
                    <a:noFill/>
                  </pic:spPr>
                </pic:pic>
              </a:graphicData>
            </a:graphic>
          </wp:inline>
        </w:drawing>
      </w:r>
    </w:p>
    <w:p w14:paraId="028D372C" w14:textId="275DD16C" w:rsidR="00A47556" w:rsidRDefault="002B79C0" w:rsidP="00D42643">
      <w:pPr>
        <w:sectPr w:rsidR="00A47556" w:rsidSect="009A24E9">
          <w:footerReference w:type="default" r:id="rId72"/>
          <w:endnotePr>
            <w:numFmt w:val="decimal"/>
          </w:endnotePr>
          <w:type w:val="continuous"/>
          <w:pgSz w:w="11907" w:h="16839" w:code="9"/>
          <w:pgMar w:top="1418" w:right="1418" w:bottom="1701" w:left="1559" w:header="720" w:footer="720" w:gutter="0"/>
          <w:cols w:space="720"/>
          <w:titlePg/>
          <w:docGrid w:linePitch="360"/>
        </w:sectPr>
      </w:pPr>
      <w:r>
        <w:t xml:space="preserve">The Committee should comprise  experts from </w:t>
      </w:r>
      <w:r w:rsidR="00CA1965">
        <w:t xml:space="preserve">the building and construction industry, the insurance sector, </w:t>
      </w:r>
      <w:r w:rsidR="008709F2">
        <w:t xml:space="preserve">consumer groups </w:t>
      </w:r>
      <w:r w:rsidR="003C77E0">
        <w:t>and</w:t>
      </w:r>
      <w:r w:rsidR="008709F2">
        <w:t xml:space="preserve"> the government.</w:t>
      </w:r>
    </w:p>
    <w:p w14:paraId="33E9D7CE" w14:textId="0F01557C" w:rsidR="002B79C0" w:rsidRDefault="002B79C0" w:rsidP="00D42643"/>
    <w:p w14:paraId="12F0DD9E" w14:textId="5DA33730" w:rsidR="007752D7" w:rsidRDefault="00983869" w:rsidP="00D42643">
      <w:r w:rsidRPr="00D917A1">
        <w:rPr>
          <w:rFonts w:eastAsia="Calibri" w:cs="Arial"/>
          <w:noProof/>
          <w:szCs w:val="24"/>
        </w:rPr>
        <w:lastRenderedPageBreak/>
        <mc:AlternateContent>
          <mc:Choice Requires="wps">
            <w:drawing>
              <wp:anchor distT="0" distB="0" distL="114300" distR="114300" simplePos="0" relativeHeight="251658242" behindDoc="1" locked="0" layoutInCell="1" allowOverlap="1" wp14:anchorId="37D9110E" wp14:editId="62A19B82">
                <wp:simplePos x="0" y="0"/>
                <wp:positionH relativeFrom="page">
                  <wp:posOffset>956945</wp:posOffset>
                </wp:positionH>
                <wp:positionV relativeFrom="paragraph">
                  <wp:posOffset>537845</wp:posOffset>
                </wp:positionV>
                <wp:extent cx="5651500" cy="2000250"/>
                <wp:effectExtent l="0" t="0" r="6350" b="0"/>
                <wp:wrapTight wrapText="bothSides">
                  <wp:wrapPolygon edited="0">
                    <wp:start x="0" y="0"/>
                    <wp:lineTo x="0" y="21394"/>
                    <wp:lineTo x="21551" y="21394"/>
                    <wp:lineTo x="21551" y="0"/>
                    <wp:lineTo x="0" y="0"/>
                  </wp:wrapPolygon>
                </wp:wrapTight>
                <wp:docPr id="27794" name="Text Box 27794"/>
                <wp:cNvGraphicFramePr/>
                <a:graphic xmlns:a="http://schemas.openxmlformats.org/drawingml/2006/main">
                  <a:graphicData uri="http://schemas.microsoft.com/office/word/2010/wordprocessingShape">
                    <wps:wsp>
                      <wps:cNvSpPr txBox="1"/>
                      <wps:spPr>
                        <a:xfrm>
                          <a:off x="0" y="0"/>
                          <a:ext cx="5651500" cy="2000250"/>
                        </a:xfrm>
                        <a:prstGeom prst="rect">
                          <a:avLst/>
                        </a:prstGeom>
                        <a:solidFill>
                          <a:srgbClr val="40C1AC">
                            <a:lumMod val="20000"/>
                            <a:lumOff val="80000"/>
                          </a:srgbClr>
                        </a:solidFill>
                        <a:ln w="6350">
                          <a:noFill/>
                        </a:ln>
                      </wps:spPr>
                      <wps:txbx>
                        <w:txbxContent>
                          <w:p w14:paraId="7C90DC25" w14:textId="34A3E0E8" w:rsidR="00064EED" w:rsidRPr="00064EED" w:rsidRDefault="001C239D" w:rsidP="00064EED">
                            <w:pPr>
                              <w:pStyle w:val="Bullet"/>
                              <w:numPr>
                                <w:ilvl w:val="0"/>
                                <w:numId w:val="0"/>
                              </w:numPr>
                            </w:pPr>
                            <w:r w:rsidRPr="00064EED">
                              <w:rPr>
                                <w:color w:val="000000" w:themeColor="text1"/>
                              </w:rPr>
                              <w:t xml:space="preserve">Developer rating systems are voluntary schemes which rank and identify risk of a developer’s business and practice based on their </w:t>
                            </w:r>
                            <w:r w:rsidRPr="00064EED">
                              <w:t xml:space="preserve">track records, capital, risk management and ownership structure. </w:t>
                            </w:r>
                          </w:p>
                          <w:p w14:paraId="7F0C826A" w14:textId="48355D00" w:rsidR="0030582C" w:rsidRPr="003D5F03" w:rsidRDefault="00064EED" w:rsidP="003D5F03">
                            <w:pPr>
                              <w:pStyle w:val="Bullet"/>
                              <w:numPr>
                                <w:ilvl w:val="0"/>
                                <w:numId w:val="0"/>
                              </w:numPr>
                              <w:rPr>
                                <w:rFonts w:eastAsia="Arial"/>
                              </w:rPr>
                            </w:pPr>
                            <w:r w:rsidRPr="00064EED">
                              <w:rPr>
                                <w:rFonts w:eastAsia="Arial"/>
                              </w:rPr>
                              <w:t xml:space="preserve">Implementation of a developer rating system </w:t>
                            </w:r>
                            <w:r w:rsidRPr="00064EED">
                              <w:rPr>
                                <w:lang w:val="en-US"/>
                              </w:rPr>
                              <w:t>enables practitioners to understand the relative trustworthiness of the developer they are working for, the financiers to accurately price risk when selecting projects to fund</w:t>
                            </w:r>
                            <w:r w:rsidR="00FE590B">
                              <w:rPr>
                                <w:lang w:val="en-US"/>
                              </w:rPr>
                              <w:t xml:space="preserve"> </w:t>
                            </w:r>
                            <w:r w:rsidRPr="00064EED">
                              <w:rPr>
                                <w:lang w:val="en-US"/>
                              </w:rPr>
                              <w:t xml:space="preserve">and gives insurers independent verification of the risk of an operator based on past performance. </w:t>
                            </w:r>
                            <w:r w:rsidR="00477435">
                              <w:t xml:space="preserve">In NSW the </w:t>
                            </w:r>
                            <w:r w:rsidR="00446659">
                              <w:t>iCIRT</w:t>
                            </w:r>
                            <w:r w:rsidR="00477435">
                              <w:t xml:space="preserve"> developer rating system has been taken up by a number of developers.  </w:t>
                            </w:r>
                            <w:r w:rsidR="001C239D" w:rsidRPr="00064EED">
                              <w:t xml:space="preserve"> </w:t>
                            </w:r>
                            <w:r w:rsidRPr="00064EED">
                              <w:t>Further analysis of a Developer Rating System could be included as part of the Advisory Committees terms of reference</w:t>
                            </w:r>
                            <w:r w:rsidR="00FE590B">
                              <w:t>.</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9110E" id="_x0000_t202" coordsize="21600,21600" o:spt="202" path="m,l,21600r21600,l21600,xe">
                <v:stroke joinstyle="miter"/>
                <v:path gradientshapeok="t" o:connecttype="rect"/>
              </v:shapetype>
              <v:shape id="Text Box 27794" o:spid="_x0000_s1026" type="#_x0000_t202" style="position:absolute;margin-left:75.35pt;margin-top:42.35pt;width:445pt;height:157.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" fillcolor="#d9f3ee" stroked="f" strokeweight=".5pt">
                <v:textbox inset="2mm,2mm,2mm,2mm">
                  <w:txbxContent>
                    <w:p w14:paraId="7C90DC25" w14:textId="34A3E0E8" w:rsidR="00064EED" w:rsidRPr="00064EED" w:rsidRDefault="001C239D" w:rsidP="00064EED">
                      <w:pPr>
                        <w:pStyle w:val="Bullet"/>
                        <w:numPr>
                          <w:ilvl w:val="0"/>
                          <w:numId w:val="0"/>
                        </w:numPr>
                      </w:pPr>
                      <w:r w:rsidRPr="00064EED">
                        <w:rPr>
                          <w:color w:val="000000" w:themeColor="text1"/>
                        </w:rPr>
                        <w:t xml:space="preserve">Developer rating systems are voluntary schemes which rank and identify risk of a developer’s business and practice based on their </w:t>
                      </w:r>
                      <w:r w:rsidRPr="00064EED">
                        <w:t xml:space="preserve">track records, capital, risk management and ownership structure. </w:t>
                      </w:r>
                    </w:p>
                    <w:p w14:paraId="7F0C826A" w14:textId="48355D00" w:rsidR="0030582C" w:rsidRPr="003D5F03" w:rsidRDefault="00064EED" w:rsidP="003D5F03">
                      <w:pPr>
                        <w:pStyle w:val="Bullet"/>
                        <w:numPr>
                          <w:ilvl w:val="0"/>
                          <w:numId w:val="0"/>
                        </w:numPr>
                        <w:rPr>
                          <w:rFonts w:eastAsia="Arial"/>
                        </w:rPr>
                      </w:pPr>
                      <w:r w:rsidRPr="00064EED">
                        <w:rPr>
                          <w:rFonts w:eastAsia="Arial"/>
                        </w:rPr>
                        <w:t xml:space="preserve">Implementation of a developer rating system </w:t>
                      </w:r>
                      <w:r w:rsidRPr="00064EED">
                        <w:rPr>
                          <w:lang w:val="en-US"/>
                        </w:rPr>
                        <w:t>enables practitioners to understand the relative trustworthiness of the developer they are working for, the financiers to accurately price risk when selecting projects to fund</w:t>
                      </w:r>
                      <w:r w:rsidR="00FE590B">
                        <w:rPr>
                          <w:lang w:val="en-US"/>
                        </w:rPr>
                        <w:t xml:space="preserve"> </w:t>
                      </w:r>
                      <w:r w:rsidRPr="00064EED">
                        <w:rPr>
                          <w:lang w:val="en-US"/>
                        </w:rPr>
                        <w:t xml:space="preserve">and gives insurers independent verification of the risk of an operator based on past performance. </w:t>
                      </w:r>
                      <w:r w:rsidR="00477435">
                        <w:t xml:space="preserve">In NSW the </w:t>
                      </w:r>
                      <w:r w:rsidR="00446659">
                        <w:t>iCIRT</w:t>
                      </w:r>
                      <w:r w:rsidR="00477435">
                        <w:t xml:space="preserve"> developer rating system has been taken up by a number of developers.  </w:t>
                      </w:r>
                      <w:r w:rsidR="001C239D" w:rsidRPr="00064EED">
                        <w:t xml:space="preserve"> </w:t>
                      </w:r>
                      <w:r w:rsidRPr="00064EED">
                        <w:t>Further analysis of a Developer Rating System could be included as part of the Advisory Committees terms of reference</w:t>
                      </w:r>
                      <w:r w:rsidR="00FE590B">
                        <w:t>.</w:t>
                      </w:r>
                    </w:p>
                  </w:txbxContent>
                </v:textbox>
                <w10:wrap type="tight" anchorx="page"/>
              </v:shape>
            </w:pict>
          </mc:Fallback>
        </mc:AlternateContent>
      </w:r>
      <w:r w:rsidR="00842C3A">
        <w:t xml:space="preserve">As part of </w:t>
      </w:r>
      <w:r w:rsidR="007752D7">
        <w:t xml:space="preserve">this plan, </w:t>
      </w:r>
      <w:r w:rsidR="008A4763">
        <w:t xml:space="preserve">the Government </w:t>
      </w:r>
      <w:r w:rsidR="00477435">
        <w:t xml:space="preserve"> c</w:t>
      </w:r>
      <w:r w:rsidR="008A4763">
        <w:t>ould support a developer rating system to rank and identify the risk of a developer’s business based on their track record, capital, risk management and ownership structure.</w:t>
      </w:r>
    </w:p>
    <w:p w14:paraId="509C006F" w14:textId="065C6C15" w:rsidR="00035A0D" w:rsidRPr="00E269AA" w:rsidRDefault="00035A0D" w:rsidP="00001EB5">
      <w:r w:rsidRPr="00706AB0">
        <w:rPr>
          <w:lang w:eastAsia="en-AU"/>
        </w:rPr>
        <w:t>A developer bond (see</w:t>
      </w:r>
      <w:r>
        <w:rPr>
          <w:lang w:eastAsia="en-AU"/>
        </w:rPr>
        <w:t xml:space="preserve"> </w:t>
      </w:r>
      <w:r w:rsidR="00AC10AF">
        <w:rPr>
          <w:lang w:eastAsia="en-AU"/>
        </w:rPr>
        <w:fldChar w:fldCharType="begin"/>
      </w:r>
      <w:r w:rsidR="00AC10AF">
        <w:rPr>
          <w:lang w:eastAsia="en-AU"/>
        </w:rPr>
        <w:instrText xml:space="preserve"> REF _Ref134179883 \r \h </w:instrText>
      </w:r>
      <w:r w:rsidR="00AC10AF">
        <w:rPr>
          <w:lang w:eastAsia="en-AU"/>
        </w:rPr>
      </w:r>
      <w:r w:rsidR="00AC10AF">
        <w:rPr>
          <w:lang w:eastAsia="en-AU"/>
        </w:rPr>
        <w:fldChar w:fldCharType="separate"/>
      </w:r>
      <w:r w:rsidR="00E15D2D">
        <w:rPr>
          <w:lang w:eastAsia="en-AU"/>
        </w:rPr>
        <w:t>4.3.2</w:t>
      </w:r>
      <w:r w:rsidR="00AC10AF">
        <w:rPr>
          <w:lang w:eastAsia="en-AU"/>
        </w:rPr>
        <w:fldChar w:fldCharType="end"/>
      </w:r>
      <w:r w:rsidR="0085681C">
        <w:rPr>
          <w:lang w:eastAsia="en-AU"/>
        </w:rPr>
        <w:t xml:space="preserve"> </w:t>
      </w:r>
      <w:r w:rsidRPr="00706AB0">
        <w:rPr>
          <w:lang w:eastAsia="en-AU"/>
        </w:rPr>
        <w:t xml:space="preserve">Recommendation 2) could be considered as part of the </w:t>
      </w:r>
      <w:r>
        <w:rPr>
          <w:lang w:eastAsia="en-AU"/>
        </w:rPr>
        <w:t xml:space="preserve">transition to mandatory decennial liability insurance. </w:t>
      </w:r>
    </w:p>
    <w:p w14:paraId="7577BE28" w14:textId="37129783" w:rsidR="002D134B" w:rsidRDefault="002D134B" w:rsidP="002D134B">
      <w:pPr>
        <w:pStyle w:val="Heading4"/>
      </w:pPr>
      <w:r>
        <w:t>Rationale</w:t>
      </w:r>
    </w:p>
    <w:p w14:paraId="54F4F623" w14:textId="25DA36FB" w:rsidR="004E46E0" w:rsidRDefault="003669BE" w:rsidP="001D224C">
      <w:pPr>
        <w:rPr>
          <w:lang w:eastAsia="en-AU"/>
        </w:rPr>
      </w:pPr>
      <w:r>
        <w:rPr>
          <w:lang w:eastAsia="en-AU"/>
        </w:rPr>
        <w:t xml:space="preserve">Mandatory first resort </w:t>
      </w:r>
      <w:r w:rsidR="00354AB7">
        <w:rPr>
          <w:lang w:eastAsia="en-AU"/>
        </w:rPr>
        <w:t xml:space="preserve">decennial </w:t>
      </w:r>
      <w:r>
        <w:rPr>
          <w:lang w:eastAsia="en-AU"/>
        </w:rPr>
        <w:t xml:space="preserve">insurance </w:t>
      </w:r>
      <w:r w:rsidR="00195D79">
        <w:rPr>
          <w:lang w:eastAsia="en-AU"/>
        </w:rPr>
        <w:t xml:space="preserve">for </w:t>
      </w:r>
      <w:r w:rsidR="00180172">
        <w:rPr>
          <w:lang w:eastAsia="en-AU"/>
        </w:rPr>
        <w:t xml:space="preserve">residential apartments </w:t>
      </w:r>
      <w:r w:rsidR="00551E22">
        <w:rPr>
          <w:lang w:eastAsia="en-AU"/>
        </w:rPr>
        <w:t>four</w:t>
      </w:r>
      <w:r w:rsidR="00180172">
        <w:rPr>
          <w:lang w:eastAsia="en-AU"/>
        </w:rPr>
        <w:t xml:space="preserve"> storeys and above</w:t>
      </w:r>
      <w:r w:rsidR="00A37D8B">
        <w:rPr>
          <w:lang w:eastAsia="en-AU"/>
        </w:rPr>
        <w:t xml:space="preserve"> </w:t>
      </w:r>
      <w:r>
        <w:rPr>
          <w:lang w:eastAsia="en-AU"/>
        </w:rPr>
        <w:t xml:space="preserve">will provide consumers with quicker and improved access to rectification when serious defects occur. Insurers would provide consumers with </w:t>
      </w:r>
      <w:r w:rsidR="002971BF">
        <w:rPr>
          <w:lang w:eastAsia="en-AU"/>
        </w:rPr>
        <w:t>more immediate</w:t>
      </w:r>
      <w:r>
        <w:rPr>
          <w:lang w:eastAsia="en-AU"/>
        </w:rPr>
        <w:t xml:space="preserve"> rectification of defects, and then work with liable parties to recover costs. This will give insurers a strong incentive to drive quality and compliance improvements. It will also help to reduce pressure on other insurance products, including </w:t>
      </w:r>
      <w:r w:rsidR="009832CC">
        <w:rPr>
          <w:lang w:eastAsia="en-AU"/>
        </w:rPr>
        <w:t>PII</w:t>
      </w:r>
      <w:r>
        <w:rPr>
          <w:lang w:eastAsia="en-AU"/>
        </w:rPr>
        <w:t>.</w:t>
      </w:r>
    </w:p>
    <w:p w14:paraId="05CBA798" w14:textId="6BAB016E" w:rsidR="006A37A9" w:rsidRPr="001030FB" w:rsidRDefault="00D546A2" w:rsidP="001D224C">
      <w:r>
        <w:rPr>
          <w:lang w:eastAsia="en-AU"/>
        </w:rPr>
        <w:t xml:space="preserve">Supporting </w:t>
      </w:r>
      <w:r w:rsidR="00D33B80" w:rsidRPr="00D33B80">
        <w:rPr>
          <w:lang w:eastAsia="en-AU"/>
        </w:rPr>
        <w:t xml:space="preserve">the </w:t>
      </w:r>
      <w:r w:rsidRPr="00D33B80">
        <w:rPr>
          <w:lang w:eastAsia="en-AU"/>
        </w:rPr>
        <w:t xml:space="preserve">establishment of </w:t>
      </w:r>
      <w:r w:rsidR="006A37A9" w:rsidRPr="00D33B80">
        <w:rPr>
          <w:lang w:eastAsia="en-AU"/>
        </w:rPr>
        <w:t xml:space="preserve">a developer rating system </w:t>
      </w:r>
      <w:r w:rsidR="00D33B80" w:rsidRPr="00D33B80">
        <w:rPr>
          <w:lang w:eastAsia="en-AU"/>
        </w:rPr>
        <w:t>enables</w:t>
      </w:r>
      <w:r w:rsidRPr="00D33B80">
        <w:rPr>
          <w:lang w:eastAsia="en-AU"/>
        </w:rPr>
        <w:t xml:space="preserve"> </w:t>
      </w:r>
      <w:r w:rsidR="006A37A9" w:rsidRPr="00D33B80">
        <w:rPr>
          <w:lang w:eastAsia="en-AU"/>
        </w:rPr>
        <w:t xml:space="preserve">practitioners to understand the relative trustworthiness of the developer they are working for, </w:t>
      </w:r>
      <w:r w:rsidR="00D33B80" w:rsidRPr="00D33B80">
        <w:rPr>
          <w:lang w:eastAsia="en-AU"/>
        </w:rPr>
        <w:t>allows</w:t>
      </w:r>
      <w:r w:rsidR="006A37A9" w:rsidRPr="00D33B80">
        <w:rPr>
          <w:lang w:eastAsia="en-AU"/>
        </w:rPr>
        <w:t xml:space="preserve"> financiers to accurately price risk</w:t>
      </w:r>
      <w:r w:rsidR="00C15888" w:rsidRPr="00D33B80">
        <w:rPr>
          <w:lang w:eastAsia="en-AU"/>
        </w:rPr>
        <w:t xml:space="preserve"> when selecting projects to fund, and gives insurers independent verification of the risk of an operator based on past performance.</w:t>
      </w:r>
      <w:r w:rsidR="00A86E9F">
        <w:rPr>
          <w:lang w:eastAsia="en-AU"/>
        </w:rPr>
        <w:t xml:space="preserve"> </w:t>
      </w:r>
      <w:r w:rsidR="001030FB">
        <w:t xml:space="preserve">A rating tool </w:t>
      </w:r>
      <w:r w:rsidR="00D7370D">
        <w:t xml:space="preserve">would improve </w:t>
      </w:r>
      <w:r w:rsidR="00831DF8">
        <w:t>data and transparency on developers operating in the market.</w:t>
      </w:r>
    </w:p>
    <w:p w14:paraId="6C16EA00" w14:textId="0D86E2FF" w:rsidR="003669BE" w:rsidRDefault="003669BE" w:rsidP="003669BE">
      <w:pPr>
        <w:pStyle w:val="Heading4"/>
      </w:pPr>
      <w:r>
        <w:t>Outcome</w:t>
      </w:r>
    </w:p>
    <w:p w14:paraId="6923E950" w14:textId="164FAA36" w:rsidR="0052294F" w:rsidRDefault="0052294F" w:rsidP="0052294F">
      <w:pPr>
        <w:rPr>
          <w:lang w:eastAsia="en-AU"/>
        </w:rPr>
      </w:pPr>
      <w:r>
        <w:rPr>
          <w:lang w:eastAsia="en-AU"/>
        </w:rPr>
        <w:t>The staged introduction plan</w:t>
      </w:r>
      <w:r w:rsidR="00FF2747">
        <w:rPr>
          <w:lang w:eastAsia="en-AU"/>
        </w:rPr>
        <w:t xml:space="preserve"> –</w:t>
      </w:r>
      <w:r>
        <w:rPr>
          <w:lang w:eastAsia="en-AU"/>
        </w:rPr>
        <w:t xml:space="preserve"> with </w:t>
      </w:r>
      <w:r w:rsidR="006B2E62">
        <w:rPr>
          <w:lang w:eastAsia="en-AU"/>
        </w:rPr>
        <w:t xml:space="preserve">the involvement of </w:t>
      </w:r>
      <w:r>
        <w:rPr>
          <w:lang w:eastAsia="en-AU"/>
        </w:rPr>
        <w:t xml:space="preserve">an </w:t>
      </w:r>
      <w:r w:rsidR="00D546A2">
        <w:rPr>
          <w:lang w:eastAsia="en-AU"/>
        </w:rPr>
        <w:t>A</w:t>
      </w:r>
      <w:r>
        <w:rPr>
          <w:lang w:eastAsia="en-AU"/>
        </w:rPr>
        <w:t xml:space="preserve">dvisory </w:t>
      </w:r>
      <w:r w:rsidR="00D546A2">
        <w:rPr>
          <w:lang w:eastAsia="en-AU"/>
        </w:rPr>
        <w:t>C</w:t>
      </w:r>
      <w:r>
        <w:rPr>
          <w:lang w:eastAsia="en-AU"/>
        </w:rPr>
        <w:t>ommittee</w:t>
      </w:r>
      <w:r w:rsidR="00FF2747">
        <w:rPr>
          <w:lang w:eastAsia="en-AU"/>
        </w:rPr>
        <w:t xml:space="preserve"> –</w:t>
      </w:r>
      <w:r>
        <w:rPr>
          <w:lang w:eastAsia="en-AU"/>
        </w:rPr>
        <w:t xml:space="preserve"> will ensure that all key </w:t>
      </w:r>
      <w:r w:rsidR="006B2E62">
        <w:rPr>
          <w:lang w:eastAsia="en-AU"/>
        </w:rPr>
        <w:t xml:space="preserve">stakeholders </w:t>
      </w:r>
      <w:r>
        <w:rPr>
          <w:lang w:eastAsia="en-AU"/>
        </w:rPr>
        <w:t>have input into the design and operation of the new insurance system. This ensure</w:t>
      </w:r>
      <w:r w:rsidR="00850D34">
        <w:rPr>
          <w:lang w:eastAsia="en-AU"/>
        </w:rPr>
        <w:t xml:space="preserve">s </w:t>
      </w:r>
      <w:r>
        <w:rPr>
          <w:lang w:eastAsia="en-AU"/>
        </w:rPr>
        <w:t>consumer</w:t>
      </w:r>
      <w:r w:rsidR="00850D34">
        <w:rPr>
          <w:lang w:eastAsia="en-AU"/>
        </w:rPr>
        <w:t xml:space="preserve"> protection</w:t>
      </w:r>
      <w:r>
        <w:rPr>
          <w:lang w:eastAsia="en-AU"/>
        </w:rPr>
        <w:t xml:space="preserve">, </w:t>
      </w:r>
      <w:r w:rsidR="00850D34">
        <w:rPr>
          <w:lang w:eastAsia="en-AU"/>
        </w:rPr>
        <w:t xml:space="preserve">affordability and </w:t>
      </w:r>
      <w:r w:rsidR="008B13CC">
        <w:rPr>
          <w:lang w:eastAsia="en-AU"/>
        </w:rPr>
        <w:t xml:space="preserve">the </w:t>
      </w:r>
      <w:r w:rsidR="00850D34">
        <w:rPr>
          <w:lang w:eastAsia="en-AU"/>
        </w:rPr>
        <w:t>promotion of</w:t>
      </w:r>
      <w:r>
        <w:rPr>
          <w:lang w:eastAsia="en-AU"/>
        </w:rPr>
        <w:t xml:space="preserve"> best practice</w:t>
      </w:r>
      <w:r w:rsidR="00850D34">
        <w:rPr>
          <w:lang w:eastAsia="en-AU"/>
        </w:rPr>
        <w:t>s</w:t>
      </w:r>
      <w:r>
        <w:rPr>
          <w:lang w:eastAsia="en-AU"/>
        </w:rPr>
        <w:t xml:space="preserve">. </w:t>
      </w:r>
      <w:r w:rsidR="00F75FEB">
        <w:rPr>
          <w:lang w:eastAsia="en-AU"/>
        </w:rPr>
        <w:t xml:space="preserve">Once the insurance scheme is made mandatory, regular reviews </w:t>
      </w:r>
      <w:r w:rsidR="008B13CC">
        <w:rPr>
          <w:lang w:eastAsia="en-AU"/>
        </w:rPr>
        <w:t>should</w:t>
      </w:r>
      <w:r w:rsidR="00F75FEB">
        <w:rPr>
          <w:lang w:eastAsia="en-AU"/>
        </w:rPr>
        <w:t xml:space="preserve"> be undertaken to ensure that it is meeting the </w:t>
      </w:r>
      <w:r w:rsidR="006B2E62">
        <w:rPr>
          <w:lang w:eastAsia="en-AU"/>
        </w:rPr>
        <w:t xml:space="preserve">Government’s requirements and objectives. </w:t>
      </w:r>
    </w:p>
    <w:p w14:paraId="60442D5D" w14:textId="77777777" w:rsidR="00A47556" w:rsidRDefault="0052294F" w:rsidP="00343862">
      <w:pPr>
        <w:rPr>
          <w:lang w:eastAsia="en-AU"/>
        </w:rPr>
        <w:sectPr w:rsidR="00A47556" w:rsidSect="009A24E9">
          <w:footerReference w:type="default" r:id="rId73"/>
          <w:endnotePr>
            <w:numFmt w:val="decimal"/>
          </w:endnotePr>
          <w:type w:val="continuous"/>
          <w:pgSz w:w="11907" w:h="16839" w:code="9"/>
          <w:pgMar w:top="1418" w:right="1418" w:bottom="1701" w:left="1559" w:header="720" w:footer="720" w:gutter="0"/>
          <w:cols w:space="720"/>
          <w:titlePg/>
          <w:docGrid w:linePitch="360"/>
        </w:sectPr>
      </w:pPr>
      <w:r w:rsidRPr="00066DCC">
        <w:rPr>
          <w:lang w:eastAsia="en-AU"/>
        </w:rPr>
        <w:t xml:space="preserve">The viability of a </w:t>
      </w:r>
      <w:r w:rsidR="00DD613E">
        <w:rPr>
          <w:lang w:eastAsia="en-AU"/>
        </w:rPr>
        <w:t>decennial liability</w:t>
      </w:r>
      <w:r w:rsidRPr="00066DCC">
        <w:rPr>
          <w:lang w:eastAsia="en-AU"/>
        </w:rPr>
        <w:t xml:space="preserve"> insurance </w:t>
      </w:r>
      <w:r w:rsidR="00DD613E">
        <w:rPr>
          <w:lang w:eastAsia="en-AU"/>
        </w:rPr>
        <w:t>model</w:t>
      </w:r>
      <w:r w:rsidR="00FE7222" w:rsidRPr="00066DCC">
        <w:rPr>
          <w:lang w:eastAsia="en-AU"/>
        </w:rPr>
        <w:t xml:space="preserve"> </w:t>
      </w:r>
      <w:r w:rsidRPr="00066DCC">
        <w:rPr>
          <w:lang w:eastAsia="en-AU"/>
        </w:rPr>
        <w:t>will be strengthened when industry and insurance markets recognise the regulatory framework is robust and the regulator will act swiftly and pro-actively against poor performance by all practitioners.</w:t>
      </w:r>
    </w:p>
    <w:p w14:paraId="54EDA92C" w14:textId="528BB476" w:rsidR="0052294F" w:rsidRDefault="0052294F" w:rsidP="00343862">
      <w:pPr>
        <w:rPr>
          <w:lang w:eastAsia="en-AU"/>
        </w:rPr>
        <w:sectPr w:rsidR="0052294F" w:rsidSect="009A24E9">
          <w:endnotePr>
            <w:numFmt w:val="decimal"/>
          </w:endnotePr>
          <w:type w:val="continuous"/>
          <w:pgSz w:w="11907" w:h="16839" w:code="9"/>
          <w:pgMar w:top="1418" w:right="1418" w:bottom="1701" w:left="1559" w:header="720" w:footer="720" w:gutter="0"/>
          <w:cols w:space="720"/>
          <w:titlePg/>
          <w:docGrid w:linePitch="360"/>
        </w:sectPr>
      </w:pPr>
    </w:p>
    <w:p w14:paraId="7FDE3371" w14:textId="04B72787" w:rsidR="00343862" w:rsidRDefault="0001207F" w:rsidP="00C86B68">
      <w:pPr>
        <w:pStyle w:val="Heading1"/>
      </w:pPr>
      <w:bookmarkStart w:id="130" w:name="_Ref130391254"/>
      <w:bookmarkStart w:id="131" w:name="_Toc134356902"/>
      <w:r>
        <w:rPr>
          <w:noProof/>
        </w:rPr>
        <w:lastRenderedPageBreak/>
        <w:drawing>
          <wp:anchor distT="0" distB="0" distL="114300" distR="114300" simplePos="0" relativeHeight="251658241" behindDoc="1" locked="0" layoutInCell="1" allowOverlap="1" wp14:anchorId="5C0E7744" wp14:editId="7971CCFB">
            <wp:simplePos x="0" y="0"/>
            <wp:positionH relativeFrom="column">
              <wp:posOffset>-998747</wp:posOffset>
            </wp:positionH>
            <wp:positionV relativeFrom="paragraph">
              <wp:posOffset>-899843</wp:posOffset>
            </wp:positionV>
            <wp:extent cx="7566025" cy="162179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566025" cy="1621790"/>
                    </a:xfrm>
                    <a:prstGeom prst="rect">
                      <a:avLst/>
                    </a:prstGeom>
                    <a:noFill/>
                  </pic:spPr>
                </pic:pic>
              </a:graphicData>
            </a:graphic>
            <wp14:sizeRelH relativeFrom="page">
              <wp14:pctWidth>0</wp14:pctWidth>
            </wp14:sizeRelH>
            <wp14:sizeRelV relativeFrom="page">
              <wp14:pctHeight>0</wp14:pctHeight>
            </wp14:sizeRelV>
          </wp:anchor>
        </w:drawing>
      </w:r>
      <w:r w:rsidR="00C86B68">
        <w:t>Dispute prevention and resolution</w:t>
      </w:r>
      <w:bookmarkEnd w:id="130"/>
      <w:bookmarkEnd w:id="131"/>
    </w:p>
    <w:p w14:paraId="73EB8F4A" w14:textId="73F38D3C" w:rsidR="00F32072" w:rsidRDefault="00F32072" w:rsidP="00F32072">
      <w:pPr>
        <w:rPr>
          <w:lang w:eastAsia="en-AU"/>
        </w:rPr>
      </w:pPr>
    </w:p>
    <w:p w14:paraId="3547E140" w14:textId="77777777" w:rsidR="00E65D2E" w:rsidRDefault="00E65D2E" w:rsidP="00F32072">
      <w:pPr>
        <w:rPr>
          <w:lang w:eastAsia="en-AU"/>
        </w:rPr>
      </w:pPr>
    </w:p>
    <w:p w14:paraId="35D4F785" w14:textId="0ED6A45B" w:rsidR="00F223EE" w:rsidRDefault="00E65D2E" w:rsidP="00E65D2E">
      <w:r>
        <w:t>Domestic building disputes can arise across the building lifecycle and may involve non-compliance with legislative and regulatory requirements, breach of contract under the DBC</w:t>
      </w:r>
      <w:r w:rsidR="0062044C">
        <w:t>A</w:t>
      </w:r>
      <w:r>
        <w:t xml:space="preserve">, a breach of consumer laws, or a claim </w:t>
      </w:r>
      <w:r w:rsidR="00C51C2D">
        <w:t>in</w:t>
      </w:r>
      <w:r>
        <w:t xml:space="preserve"> negligence. Disputes between building owners and practitioners can be expensive, time consuming and stressful. It is important to have robust systems in place both to prevent disputes from happening and ensure their timely, fair and cost-effective resolution. </w:t>
      </w:r>
    </w:p>
    <w:p w14:paraId="5464A092" w14:textId="194FC5AF" w:rsidR="00F4254F" w:rsidRDefault="00F4254F" w:rsidP="00E65D2E">
      <w:r w:rsidRPr="00E27E91">
        <w:t>In the Stage 1</w:t>
      </w:r>
      <w:r w:rsidR="00865FE4">
        <w:t xml:space="preserve"> R</w:t>
      </w:r>
      <w:r w:rsidRPr="00E27E91">
        <w:t xml:space="preserve">eport, the Panel made clear that consumer </w:t>
      </w:r>
      <w:r w:rsidR="00716278" w:rsidRPr="00E27E91">
        <w:t xml:space="preserve">protection </w:t>
      </w:r>
      <w:r w:rsidR="009A3698" w:rsidRPr="00E27E91">
        <w:rPr>
          <w:lang w:eastAsia="en-AU"/>
        </w:rPr>
        <w:t>should be a central focus of Victoria’s building regulatory system</w:t>
      </w:r>
      <w:r w:rsidR="00AD13B0">
        <w:rPr>
          <w:lang w:eastAsia="en-AU"/>
        </w:rPr>
        <w:t xml:space="preserve">. </w:t>
      </w:r>
      <w:r w:rsidR="00AD13B0">
        <w:t>t</w:t>
      </w:r>
      <w:r w:rsidR="00AD13B0" w:rsidRPr="00E27E91">
        <w:t>he Panel</w:t>
      </w:r>
      <w:r w:rsidR="001E5B6A" w:rsidRPr="00E27E91">
        <w:t xml:space="preserve"> </w:t>
      </w:r>
      <w:r w:rsidR="001E5B6A" w:rsidRPr="00E27E91">
        <w:rPr>
          <w:lang w:eastAsia="en-AU"/>
        </w:rPr>
        <w:t xml:space="preserve">made recommendations to </w:t>
      </w:r>
      <w:r w:rsidR="00425F7F" w:rsidRPr="00E27E91">
        <w:t>strengthen</w:t>
      </w:r>
      <w:r w:rsidR="00304FE3" w:rsidRPr="00E27E91">
        <w:t xml:space="preserve"> systemic </w:t>
      </w:r>
      <w:r w:rsidR="00425F7F" w:rsidRPr="00E27E91">
        <w:t>understand</w:t>
      </w:r>
      <w:r w:rsidR="00150AD9" w:rsidRPr="00E27E91">
        <w:t>ing</w:t>
      </w:r>
      <w:r w:rsidR="00425F7F" w:rsidRPr="00E27E91">
        <w:t xml:space="preserve"> of consumer issues </w:t>
      </w:r>
      <w:r w:rsidR="00BA27DF" w:rsidRPr="00E27E91">
        <w:t xml:space="preserve">through the Building Monitor </w:t>
      </w:r>
      <w:r w:rsidR="00304FE3" w:rsidRPr="00E27E91">
        <w:t xml:space="preserve">and increase the scope for consumers to access individual advocacy services. </w:t>
      </w:r>
      <w:r w:rsidR="00827C5B" w:rsidRPr="00E27E91">
        <w:t>Reforms to the dispute prevention and resolution system is the next step</w:t>
      </w:r>
      <w:r w:rsidR="00CA024A" w:rsidRPr="00E27E91">
        <w:t xml:space="preserve"> to strengthen consumer protections</w:t>
      </w:r>
      <w:r w:rsidR="00751866" w:rsidRPr="00E27E91">
        <w:t>.</w:t>
      </w:r>
      <w:r w:rsidR="00751866">
        <w:t xml:space="preserve"> </w:t>
      </w:r>
    </w:p>
    <w:p w14:paraId="7EE3A3DE" w14:textId="64D17C8F" w:rsidR="00E322EE" w:rsidRDefault="00D15C3F" w:rsidP="00E65D2E">
      <w:r>
        <w:t>R</w:t>
      </w:r>
      <w:r w:rsidR="0070623B">
        <w:t xml:space="preserve">ecommendations in this chapter </w:t>
      </w:r>
      <w:r w:rsidR="005D673A">
        <w:t>focus</w:t>
      </w:r>
      <w:r w:rsidR="0070623B">
        <w:t xml:space="preserve"> </w:t>
      </w:r>
      <w:r w:rsidR="00E65D2E">
        <w:t xml:space="preserve">on </w:t>
      </w:r>
      <w:r w:rsidR="00E322EE">
        <w:t xml:space="preserve">the regulatory settings and practices that enable building owners and practitioners to resolve building issues before they escalate and the </w:t>
      </w:r>
      <w:r w:rsidR="00104EB4">
        <w:t xml:space="preserve">systems and processes for resolving disputes when they escalate. </w:t>
      </w:r>
    </w:p>
    <w:p w14:paraId="14609338" w14:textId="07CFB7FF" w:rsidR="00DC1E18" w:rsidRDefault="00E41B94" w:rsidP="00E65D2E">
      <w:r>
        <w:t xml:space="preserve">As other elements of the regulatory framework </w:t>
      </w:r>
      <w:r w:rsidR="008F60FF">
        <w:t>(</w:t>
      </w:r>
      <w:r w:rsidR="00227793">
        <w:t>i.e.,</w:t>
      </w:r>
      <w:r>
        <w:t xml:space="preserve"> compliance</w:t>
      </w:r>
      <w:r w:rsidR="00227793">
        <w:t>,</w:t>
      </w:r>
      <w:r>
        <w:t xml:space="preserve"> enforcement</w:t>
      </w:r>
      <w:r w:rsidR="00227793">
        <w:t>,</w:t>
      </w:r>
      <w:r>
        <w:t xml:space="preserve"> and insurance</w:t>
      </w:r>
      <w:r w:rsidR="00227793">
        <w:t xml:space="preserve">) </w:t>
      </w:r>
      <w:r>
        <w:t>improve</w:t>
      </w:r>
      <w:r w:rsidR="00227793">
        <w:t>,</w:t>
      </w:r>
      <w:r>
        <w:t xml:space="preserve"> </w:t>
      </w:r>
      <w:r w:rsidR="00E65D2E">
        <w:t>reliance</w:t>
      </w:r>
      <w:r w:rsidR="00ED5025">
        <w:t xml:space="preserve"> </w:t>
      </w:r>
      <w:r w:rsidR="00E65D2E">
        <w:t xml:space="preserve">on dispute resolution will be alleviated for new buildings. Nevertheless, there will always be </w:t>
      </w:r>
      <w:r w:rsidR="00A77C6C">
        <w:t>disputes in the system</w:t>
      </w:r>
      <w:r w:rsidR="00E65D2E">
        <w:t>, which require</w:t>
      </w:r>
      <w:r w:rsidR="002C74B3">
        <w:t xml:space="preserve"> </w:t>
      </w:r>
      <w:r w:rsidR="00267612">
        <w:t xml:space="preserve">timely and effective services to resolve issues </w:t>
      </w:r>
      <w:r w:rsidR="00D96D66" w:rsidRPr="00A30A7F">
        <w:rPr>
          <w:lang w:eastAsia="en-AU"/>
        </w:rPr>
        <w:t>in a manner ‘</w:t>
      </w:r>
      <w:r w:rsidR="00D96D66" w:rsidRPr="007553E0">
        <w:rPr>
          <w:lang w:eastAsia="en-AU"/>
        </w:rPr>
        <w:t>that is fair and balanced for both consumers and building practitioners</w:t>
      </w:r>
      <w:r w:rsidR="00D96D66">
        <w:rPr>
          <w:lang w:eastAsia="en-AU"/>
        </w:rPr>
        <w:t>.</w:t>
      </w:r>
      <w:r w:rsidR="00D96D66" w:rsidRPr="007553E0">
        <w:rPr>
          <w:lang w:eastAsia="en-AU"/>
        </w:rPr>
        <w:t>’</w:t>
      </w:r>
      <w:r w:rsidR="00D96D66">
        <w:rPr>
          <w:rStyle w:val="EndnoteReference"/>
          <w:lang w:eastAsia="en-AU"/>
        </w:rPr>
        <w:endnoteReference w:id="45"/>
      </w:r>
    </w:p>
    <w:p w14:paraId="34B4B24F" w14:textId="13C0918F" w:rsidR="00E65D2E" w:rsidRDefault="00E65D2E" w:rsidP="00E65D2E">
      <w:r>
        <w:t>This</w:t>
      </w:r>
      <w:r w:rsidR="00E41B94">
        <w:t xml:space="preserve"> </w:t>
      </w:r>
      <w:r w:rsidR="00664993">
        <w:t>c</w:t>
      </w:r>
      <w:r w:rsidR="00E41B94">
        <w:t>hapter</w:t>
      </w:r>
      <w:r>
        <w:t xml:space="preserve"> provides an overview of how dispute prevention and resolution in Victoria’s building regulatory system </w:t>
      </w:r>
      <w:r w:rsidR="003B2DBA">
        <w:t>works</w:t>
      </w:r>
      <w:r w:rsidR="00060603">
        <w:t>,</w:t>
      </w:r>
      <w:r w:rsidR="00664993">
        <w:t xml:space="preserve"> the key issues in it and the </w:t>
      </w:r>
      <w:r w:rsidR="00766FE5">
        <w:t>p</w:t>
      </w:r>
      <w:r w:rsidR="00B71EA8">
        <w:t xml:space="preserve">roposed </w:t>
      </w:r>
      <w:r w:rsidR="00766FE5">
        <w:t>recommendations to address them.</w:t>
      </w:r>
    </w:p>
    <w:p w14:paraId="6B17F2D3" w14:textId="6B671AFF" w:rsidR="00317503" w:rsidRDefault="00317503" w:rsidP="00E65D2E">
      <w:pPr>
        <w:rPr>
          <w:b/>
          <w:bCs/>
        </w:rPr>
      </w:pPr>
      <w:r>
        <w:rPr>
          <w:b/>
          <w:bCs/>
        </w:rPr>
        <w:t>Proposed recommendations described in this chapter include</w:t>
      </w:r>
      <w:r w:rsidR="0061469A">
        <w:rPr>
          <w:b/>
          <w:bCs/>
        </w:rPr>
        <w:t xml:space="preserve"> several actions to improve the prevention of disputes and </w:t>
      </w:r>
      <w:r w:rsidR="00A205E8">
        <w:rPr>
          <w:b/>
          <w:bCs/>
        </w:rPr>
        <w:t>strengthen the current dispute resolution model. The Panel also presents a potential recommendation for larger structural reform to dispute resolution institutional arrangements</w:t>
      </w:r>
      <w:r w:rsidR="0032505D">
        <w:rPr>
          <w:b/>
          <w:bCs/>
        </w:rPr>
        <w:t>.</w:t>
      </w:r>
      <w:r w:rsidR="0005225E">
        <w:rPr>
          <w:b/>
          <w:bCs/>
        </w:rPr>
        <w:t xml:space="preserve"> </w:t>
      </w:r>
    </w:p>
    <w:p w14:paraId="65C93179" w14:textId="0059D9E1" w:rsidR="007222F4" w:rsidRPr="007222F4" w:rsidRDefault="007222F4" w:rsidP="008F10E3">
      <w:r>
        <w:t xml:space="preserve">The recommendations </w:t>
      </w:r>
      <w:r w:rsidR="00F97FF0">
        <w:t xml:space="preserve">in this chapter </w:t>
      </w:r>
      <w:r>
        <w:t xml:space="preserve">build on the Stage </w:t>
      </w:r>
      <w:r w:rsidR="002B7CE0">
        <w:t>1</w:t>
      </w:r>
      <w:r>
        <w:t xml:space="preserve"> recommendation</w:t>
      </w:r>
      <w:r w:rsidR="00BF5C56">
        <w:t>s</w:t>
      </w:r>
      <w:r>
        <w:t xml:space="preserve"> to </w:t>
      </w:r>
      <w:r w:rsidR="008F10E3">
        <w:t xml:space="preserve">increase availability of consumer </w:t>
      </w:r>
      <w:r w:rsidR="00E40A2B">
        <w:t xml:space="preserve">representation, </w:t>
      </w:r>
      <w:r w:rsidR="008F10E3">
        <w:t>support and advocacy services.</w:t>
      </w:r>
    </w:p>
    <w:p w14:paraId="29FA0990" w14:textId="45E9C037" w:rsidR="00807640" w:rsidRDefault="00807640" w:rsidP="00F32072">
      <w:pPr>
        <w:pStyle w:val="Heading2"/>
      </w:pPr>
      <w:bookmarkStart w:id="132" w:name="_Ref130566599"/>
      <w:bookmarkStart w:id="133" w:name="_Ref130566603"/>
      <w:bookmarkStart w:id="134" w:name="_Ref130566604"/>
      <w:bookmarkStart w:id="135" w:name="_Ref130566608"/>
      <w:bookmarkStart w:id="136" w:name="_Toc131428712"/>
      <w:bookmarkStart w:id="137" w:name="_Toc134352870"/>
      <w:bookmarkStart w:id="138" w:name="_Toc134356903"/>
      <w:r>
        <w:t>Overview of dispute prevention and resolution</w:t>
      </w:r>
      <w:bookmarkEnd w:id="132"/>
      <w:bookmarkEnd w:id="133"/>
      <w:bookmarkEnd w:id="134"/>
      <w:bookmarkEnd w:id="135"/>
      <w:bookmarkEnd w:id="136"/>
      <w:bookmarkEnd w:id="137"/>
      <w:bookmarkEnd w:id="138"/>
      <w:r>
        <w:t xml:space="preserve"> </w:t>
      </w:r>
    </w:p>
    <w:p w14:paraId="09331397" w14:textId="07834EF7" w:rsidR="00B51533" w:rsidRDefault="00B51533" w:rsidP="00B51533">
      <w:r>
        <w:t>This section provides an overview of how Victoria’s building regulatory system aims to prevent domestic building disputes from occurring. It then describes the dispute resolution system, including the legislative framework, the roles of entities in the system and the process for resolving disputes.</w:t>
      </w:r>
    </w:p>
    <w:p w14:paraId="7C163716" w14:textId="5388482A" w:rsidR="00B51533" w:rsidRDefault="00B51533" w:rsidP="00B51533">
      <w:pPr>
        <w:pStyle w:val="Heading4"/>
      </w:pPr>
      <w:r>
        <w:t>Overview of current dispute prevention mechanisms</w:t>
      </w:r>
    </w:p>
    <w:p w14:paraId="5AE50EF7" w14:textId="0A675E3A" w:rsidR="00C93D83" w:rsidRDefault="00C44CE6" w:rsidP="00B51533">
      <w:pPr>
        <w:rPr>
          <w:lang w:eastAsia="en-AU"/>
        </w:rPr>
      </w:pPr>
      <w:r>
        <w:rPr>
          <w:lang w:eastAsia="en-AU"/>
        </w:rPr>
        <w:t xml:space="preserve">There </w:t>
      </w:r>
      <w:r w:rsidR="00BC7143">
        <w:rPr>
          <w:lang w:eastAsia="en-AU"/>
        </w:rPr>
        <w:t>are</w:t>
      </w:r>
      <w:r>
        <w:rPr>
          <w:lang w:eastAsia="en-AU"/>
        </w:rPr>
        <w:t xml:space="preserve"> a range of mechanisms and tools within the building regulatory system that seek – directly or indirectly – to prevent disputes from occurring.</w:t>
      </w:r>
      <w:r w:rsidR="00A53003">
        <w:rPr>
          <w:lang w:eastAsia="en-AU"/>
        </w:rPr>
        <w:t xml:space="preserve"> Th</w:t>
      </w:r>
      <w:r w:rsidR="00C93D83">
        <w:rPr>
          <w:lang w:eastAsia="en-AU"/>
        </w:rPr>
        <w:t xml:space="preserve">is includes </w:t>
      </w:r>
      <w:r w:rsidR="00DD03F6">
        <w:t xml:space="preserve">several online tools and information resources available to assist building owners and practitioners to resolve disputes themselves: </w:t>
      </w:r>
    </w:p>
    <w:p w14:paraId="69BBFF5E" w14:textId="0C03ED33" w:rsidR="002D5A80" w:rsidRDefault="00A516B0" w:rsidP="002D5A80">
      <w:pPr>
        <w:pStyle w:val="Bullet"/>
      </w:pPr>
      <w:r w:rsidRPr="00A516B0">
        <w:t xml:space="preserve">Consumer Affairs Victoria </w:t>
      </w:r>
      <w:r>
        <w:t>(</w:t>
      </w:r>
      <w:r w:rsidR="002D5A80">
        <w:t>CAV</w:t>
      </w:r>
      <w:r>
        <w:t>)</w:t>
      </w:r>
      <w:r w:rsidR="002D5A80">
        <w:t xml:space="preserve"> provides information to support consumers and builders understand the requirements and terms of a domestic building contracts</w:t>
      </w:r>
      <w:r w:rsidR="005E3840">
        <w:t>.</w:t>
      </w:r>
      <w:r w:rsidR="002D5A80">
        <w:rPr>
          <w:rStyle w:val="EndnoteReference"/>
        </w:rPr>
        <w:endnoteReference w:id="46"/>
      </w:r>
      <w:r w:rsidR="00B12616">
        <w:t xml:space="preserve"> </w:t>
      </w:r>
    </w:p>
    <w:p w14:paraId="5EDFF6D2" w14:textId="6E29ABFC" w:rsidR="00814A58" w:rsidRDefault="00680DD1" w:rsidP="00573930">
      <w:pPr>
        <w:pStyle w:val="Bullet"/>
      </w:pPr>
      <w:r>
        <w:lastRenderedPageBreak/>
        <w:t>T</w:t>
      </w:r>
      <w:r w:rsidR="00814A58">
        <w:t xml:space="preserve">he VBA, CAV and DBDRV websites </w:t>
      </w:r>
      <w:r w:rsidR="00DD03F6">
        <w:t xml:space="preserve">provide </w:t>
      </w:r>
      <w:r w:rsidR="00814A58">
        <w:t xml:space="preserve">information </w:t>
      </w:r>
      <w:r w:rsidR="00573930">
        <w:t>strategies to self-resolve disputes, eligibility for different dispute services and details on the process</w:t>
      </w:r>
      <w:r w:rsidR="007B78B4">
        <w:t>.</w:t>
      </w:r>
      <w:r w:rsidR="007B78B4">
        <w:rPr>
          <w:rStyle w:val="EndnoteReference"/>
        </w:rPr>
        <w:endnoteReference w:id="47"/>
      </w:r>
    </w:p>
    <w:p w14:paraId="3DEB32C1" w14:textId="2C9937FD" w:rsidR="00C8094F" w:rsidRDefault="00EA33EC" w:rsidP="00EA33EC">
      <w:r>
        <w:t xml:space="preserve">Recent legislative reforms have sought </w:t>
      </w:r>
      <w:r w:rsidR="003B2DBA">
        <w:t>to</w:t>
      </w:r>
      <w:r>
        <w:t xml:space="preserve"> improve consumer education and awareness around the building contract and building practitioners by:</w:t>
      </w:r>
    </w:p>
    <w:p w14:paraId="13CBA1A4" w14:textId="518E6F51" w:rsidR="00EA33EC" w:rsidRDefault="00EA33EC" w:rsidP="00EA33EC">
      <w:pPr>
        <w:pStyle w:val="Bullet"/>
      </w:pPr>
      <w:r>
        <w:t>Requiring builders to provide consumers with information on domestic building work before entering a major domestic building contract</w:t>
      </w:r>
      <w:r w:rsidR="005E3840">
        <w:t>.</w:t>
      </w:r>
      <w:r w:rsidR="00B40C13">
        <w:rPr>
          <w:rStyle w:val="EndnoteReference"/>
        </w:rPr>
        <w:endnoteReference w:id="48"/>
      </w:r>
      <w:r w:rsidR="00B00357">
        <w:t xml:space="preserve"> </w:t>
      </w:r>
    </w:p>
    <w:p w14:paraId="446876E7" w14:textId="1CE709C4" w:rsidR="00B40C13" w:rsidRPr="00483177" w:rsidRDefault="00B40C13" w:rsidP="00EA33EC">
      <w:pPr>
        <w:pStyle w:val="Bullet"/>
        <w:rPr>
          <w:rStyle w:val="CommentReference"/>
          <w:sz w:val="22"/>
          <w:szCs w:val="19"/>
        </w:rPr>
      </w:pPr>
      <w:r>
        <w:t xml:space="preserve">Establishing the Register of Building Practitioners which publishes information on the registration status of building practitioners and any </w:t>
      </w:r>
      <w:r w:rsidR="003B2DBA">
        <w:t>disciplinary</w:t>
      </w:r>
      <w:r>
        <w:t xml:space="preserve"> </w:t>
      </w:r>
      <w:r w:rsidR="004442EC">
        <w:t>actions taken against them. The Register was introduced to ‘</w:t>
      </w:r>
      <w:r w:rsidR="004442EC" w:rsidRPr="006942CA">
        <w:t xml:space="preserve">assist consumers to </w:t>
      </w:r>
      <w:r w:rsidR="00BA250B" w:rsidRPr="006942CA">
        <w:t>make more</w:t>
      </w:r>
      <w:r w:rsidR="004442EC" w:rsidRPr="006942CA">
        <w:t xml:space="preserve"> informed </w:t>
      </w:r>
      <w:r w:rsidR="0048680D" w:rsidRPr="006942CA">
        <w:t>decisions</w:t>
      </w:r>
      <w:r w:rsidR="004442EC" w:rsidRPr="006942CA">
        <w:t xml:space="preserve"> about their choice in building practitioner</w:t>
      </w:r>
      <w:r w:rsidR="000C7C87" w:rsidRPr="006942CA">
        <w:t>.</w:t>
      </w:r>
      <w:r w:rsidR="00483177" w:rsidRPr="006942CA">
        <w:t>’</w:t>
      </w:r>
      <w:r w:rsidR="00483177" w:rsidRPr="00483177">
        <w:rPr>
          <w:rStyle w:val="CommentReference"/>
        </w:rPr>
        <w:t xml:space="preserve"> </w:t>
      </w:r>
      <w:r w:rsidR="00483177">
        <w:rPr>
          <w:rStyle w:val="EndnoteReference"/>
        </w:rPr>
        <w:endnoteReference w:id="49"/>
      </w:r>
    </w:p>
    <w:p w14:paraId="3E262029" w14:textId="6C3F4FAA" w:rsidR="00A91C05" w:rsidRDefault="0093687B" w:rsidP="00483177">
      <w:r>
        <w:rPr>
          <w:rStyle w:val="CommentReference"/>
          <w:sz w:val="22"/>
          <w:szCs w:val="22"/>
        </w:rPr>
        <w:t xml:space="preserve">In response to the Panel’s early initiatives, </w:t>
      </w:r>
      <w:r w:rsidR="008D5D16">
        <w:rPr>
          <w:rStyle w:val="CommentReference"/>
          <w:sz w:val="22"/>
          <w:szCs w:val="22"/>
        </w:rPr>
        <w:t xml:space="preserve">the </w:t>
      </w:r>
      <w:r>
        <w:rPr>
          <w:rStyle w:val="CommentReference"/>
          <w:sz w:val="22"/>
          <w:szCs w:val="22"/>
        </w:rPr>
        <w:t xml:space="preserve">Department </w:t>
      </w:r>
      <w:r w:rsidR="008B1DFE">
        <w:rPr>
          <w:rStyle w:val="CommentReference"/>
          <w:sz w:val="22"/>
          <w:szCs w:val="22"/>
        </w:rPr>
        <w:t>of</w:t>
      </w:r>
      <w:r>
        <w:rPr>
          <w:rStyle w:val="CommentReference"/>
          <w:sz w:val="22"/>
          <w:szCs w:val="22"/>
        </w:rPr>
        <w:t xml:space="preserve"> Transport and Planning (DTP) have </w:t>
      </w:r>
      <w:r w:rsidR="006B620D">
        <w:rPr>
          <w:rStyle w:val="CommentReference"/>
          <w:sz w:val="22"/>
          <w:szCs w:val="22"/>
        </w:rPr>
        <w:t>streamlined building information relevant to consumers and practitioners into a sing</w:t>
      </w:r>
      <w:r w:rsidR="00D04E08">
        <w:rPr>
          <w:rStyle w:val="CommentReference"/>
          <w:sz w:val="22"/>
          <w:szCs w:val="22"/>
        </w:rPr>
        <w:t>l</w:t>
      </w:r>
      <w:r w:rsidR="006B620D">
        <w:rPr>
          <w:rStyle w:val="CommentReference"/>
          <w:sz w:val="22"/>
          <w:szCs w:val="22"/>
        </w:rPr>
        <w:t xml:space="preserve">e </w:t>
      </w:r>
      <w:hyperlink r:id="rId75" w:history="1">
        <w:r w:rsidR="006B620D" w:rsidRPr="00D04E08">
          <w:rPr>
            <w:rStyle w:val="Hyperlink"/>
          </w:rPr>
          <w:t>front door website</w:t>
        </w:r>
      </w:hyperlink>
      <w:r w:rsidR="006B620D">
        <w:rPr>
          <w:rStyle w:val="CommentReference"/>
          <w:sz w:val="22"/>
          <w:szCs w:val="22"/>
        </w:rPr>
        <w:t xml:space="preserve">. </w:t>
      </w:r>
      <w:r w:rsidR="005D382A">
        <w:rPr>
          <w:rStyle w:val="CommentReference"/>
          <w:sz w:val="22"/>
          <w:szCs w:val="22"/>
        </w:rPr>
        <w:t xml:space="preserve">The website is the first stage in the </w:t>
      </w:r>
      <w:r w:rsidR="00A91C05">
        <w:rPr>
          <w:rStyle w:val="CommentReference"/>
          <w:sz w:val="22"/>
          <w:szCs w:val="22"/>
        </w:rPr>
        <w:t>Building Consumer Information and Support Program</w:t>
      </w:r>
      <w:r w:rsidR="005D382A">
        <w:rPr>
          <w:rStyle w:val="CommentReference"/>
          <w:sz w:val="22"/>
          <w:szCs w:val="22"/>
        </w:rPr>
        <w:t>. This program</w:t>
      </w:r>
      <w:r w:rsidR="00A91C05">
        <w:rPr>
          <w:rStyle w:val="CommentReference"/>
          <w:sz w:val="22"/>
          <w:szCs w:val="22"/>
        </w:rPr>
        <w:t xml:space="preserve"> </w:t>
      </w:r>
      <w:r w:rsidR="00A91C05" w:rsidRPr="00A91C05">
        <w:t>aims to improve the consumer and practitioner experience navigating the Victorian building regulatory system</w:t>
      </w:r>
      <w:r w:rsidR="00682288">
        <w:t xml:space="preserve">, </w:t>
      </w:r>
      <w:r w:rsidR="00A91C05">
        <w:t xml:space="preserve">improve </w:t>
      </w:r>
      <w:r w:rsidR="00A91C05" w:rsidRPr="00A91C05">
        <w:t>upfront informatio</w:t>
      </w:r>
      <w:r w:rsidR="00682288">
        <w:t xml:space="preserve">n, early access to </w:t>
      </w:r>
      <w:r w:rsidR="00682288" w:rsidRPr="00682288">
        <w:t>self-resolution pathways</w:t>
      </w:r>
      <w:r w:rsidR="00682288">
        <w:t xml:space="preserve"> and early dispute resolution by </w:t>
      </w:r>
      <w:r w:rsidR="00682288" w:rsidRPr="00682288">
        <w:t>navigating consumers to the right agency at the right time</w:t>
      </w:r>
      <w:r w:rsidR="00682288">
        <w:t xml:space="preserve">. </w:t>
      </w:r>
    </w:p>
    <w:p w14:paraId="3628A65C" w14:textId="583D0791" w:rsidR="00155455" w:rsidRDefault="004957EB" w:rsidP="00155455">
      <w:pPr>
        <w:pStyle w:val="Heading4"/>
      </w:pPr>
      <w:r>
        <w:t>Overview of the current dispute resolution system</w:t>
      </w:r>
    </w:p>
    <w:p w14:paraId="399335B1" w14:textId="40ABD7D7" w:rsidR="001A5C68" w:rsidRDefault="00AB3253" w:rsidP="00AB3253">
      <w:pPr>
        <w:rPr>
          <w:lang w:eastAsia="en-AU"/>
        </w:rPr>
      </w:pPr>
      <w:r>
        <w:rPr>
          <w:lang w:eastAsia="en-AU"/>
        </w:rPr>
        <w:t xml:space="preserve">Where disputes </w:t>
      </w:r>
      <w:r w:rsidR="00D8568A">
        <w:rPr>
          <w:lang w:eastAsia="en-AU"/>
        </w:rPr>
        <w:t xml:space="preserve">escalate beyond </w:t>
      </w:r>
      <w:r w:rsidR="00F042D4">
        <w:rPr>
          <w:lang w:eastAsia="en-AU"/>
        </w:rPr>
        <w:t>local</w:t>
      </w:r>
      <w:r w:rsidR="00D8568A">
        <w:rPr>
          <w:lang w:eastAsia="en-AU"/>
        </w:rPr>
        <w:t>-resolution, consumers or practitioners</w:t>
      </w:r>
      <w:r w:rsidR="00616234">
        <w:rPr>
          <w:lang w:eastAsia="en-AU"/>
        </w:rPr>
        <w:t xml:space="preserve"> can access </w:t>
      </w:r>
      <w:r w:rsidR="00A75E46">
        <w:rPr>
          <w:lang w:eastAsia="en-AU"/>
        </w:rPr>
        <w:t xml:space="preserve">support </w:t>
      </w:r>
      <w:r w:rsidR="00BA250B">
        <w:rPr>
          <w:lang w:eastAsia="en-AU"/>
        </w:rPr>
        <w:t>through</w:t>
      </w:r>
      <w:r w:rsidR="00A75E46">
        <w:rPr>
          <w:lang w:eastAsia="en-AU"/>
        </w:rPr>
        <w:t xml:space="preserve"> a number of agencies. </w:t>
      </w:r>
      <w:r w:rsidR="006F405B" w:rsidRPr="00134EAD">
        <w:rPr>
          <w:lang w:eastAsia="en-AU"/>
        </w:rPr>
        <w:t>DBDRV</w:t>
      </w:r>
      <w:r w:rsidR="0010564C">
        <w:rPr>
          <w:lang w:eastAsia="en-AU"/>
        </w:rPr>
        <w:t>,</w:t>
      </w:r>
      <w:r w:rsidR="006F405B" w:rsidRPr="00134EAD" w:rsidDel="0010564C">
        <w:rPr>
          <w:lang w:eastAsia="en-AU"/>
        </w:rPr>
        <w:t xml:space="preserve"> </w:t>
      </w:r>
      <w:r w:rsidR="006F405B" w:rsidRPr="00134EAD">
        <w:rPr>
          <w:lang w:eastAsia="en-AU"/>
        </w:rPr>
        <w:t>CAV</w:t>
      </w:r>
      <w:r w:rsidR="00C46DDB">
        <w:rPr>
          <w:lang w:eastAsia="en-AU"/>
        </w:rPr>
        <w:t>, the Courts, the VBA and VCAT</w:t>
      </w:r>
      <w:r w:rsidR="006F405B" w:rsidRPr="00134EAD">
        <w:rPr>
          <w:lang w:eastAsia="en-AU"/>
        </w:rPr>
        <w:t xml:space="preserve"> are all involved in the resolution of domestic building disputes</w:t>
      </w:r>
      <w:r w:rsidR="006F405B">
        <w:rPr>
          <w:lang w:eastAsia="en-AU"/>
        </w:rPr>
        <w:t>.</w:t>
      </w:r>
      <w:r w:rsidR="006F405B">
        <w:rPr>
          <w:rStyle w:val="EndnoteReference"/>
          <w:lang w:eastAsia="en-AU"/>
        </w:rPr>
        <w:endnoteReference w:id="50"/>
      </w:r>
      <w:r w:rsidR="006F405B">
        <w:rPr>
          <w:lang w:eastAsia="en-AU"/>
        </w:rPr>
        <w:t xml:space="preserve"> </w:t>
      </w:r>
      <w:r w:rsidR="00452E0C">
        <w:rPr>
          <w:lang w:eastAsia="en-AU"/>
        </w:rPr>
        <w:t xml:space="preserve">This section </w:t>
      </w:r>
      <w:r w:rsidR="00616234">
        <w:rPr>
          <w:lang w:eastAsia="en-AU"/>
        </w:rPr>
        <w:t>briefly outlines the legislative framework, key agencies and processes that make up the dispute resolution system</w:t>
      </w:r>
      <w:r w:rsidR="00A75E46">
        <w:rPr>
          <w:lang w:eastAsia="en-AU"/>
        </w:rPr>
        <w:t xml:space="preserve">. </w:t>
      </w:r>
    </w:p>
    <w:p w14:paraId="646EDAA3" w14:textId="3CCD8927" w:rsidR="00D07C92" w:rsidRDefault="00621F6A" w:rsidP="00621F6A">
      <w:r w:rsidRPr="00AC6E5F">
        <w:rPr>
          <w:rStyle w:val="Heading5Char"/>
          <w:rFonts w:eastAsiaTheme="minorHAnsi"/>
        </w:rPr>
        <w:t>The DBCA sets out the consumer protection framework for Victoria’s building regulatory system for domestic building work</w:t>
      </w:r>
    </w:p>
    <w:p w14:paraId="3A7E9E9E" w14:textId="6D562EB8" w:rsidR="00802C4B" w:rsidRDefault="00980B85" w:rsidP="00AB3253">
      <w:pPr>
        <w:rPr>
          <w:lang w:eastAsia="en-AU"/>
        </w:rPr>
      </w:pPr>
      <w:r>
        <w:rPr>
          <w:lang w:eastAsia="en-AU"/>
        </w:rPr>
        <w:t xml:space="preserve">The consumer protection framework for Victoria’s building regulatory system – including the mechanisms and </w:t>
      </w:r>
      <w:r w:rsidR="00BA250B">
        <w:rPr>
          <w:lang w:eastAsia="en-AU"/>
        </w:rPr>
        <w:t>processes</w:t>
      </w:r>
      <w:r>
        <w:rPr>
          <w:lang w:eastAsia="en-AU"/>
        </w:rPr>
        <w:t xml:space="preserve"> for consumer recourse – are established under </w:t>
      </w:r>
      <w:r w:rsidR="000471DD">
        <w:rPr>
          <w:lang w:eastAsia="en-AU"/>
        </w:rPr>
        <w:t>various Acts, including the DBCA and the Building Act</w:t>
      </w:r>
      <w:r w:rsidR="00635BB0">
        <w:rPr>
          <w:lang w:eastAsia="en-AU"/>
        </w:rPr>
        <w:t>. The DBCA sets the remit for both DBDRV and VCAT through the following sections:</w:t>
      </w:r>
    </w:p>
    <w:p w14:paraId="473F61FD" w14:textId="5978A090" w:rsidR="00980B85" w:rsidRDefault="00980B85" w:rsidP="00980B85">
      <w:pPr>
        <w:pStyle w:val="Bullet"/>
      </w:pPr>
      <w:r>
        <w:t>Parts 2 and 3 regulat</w:t>
      </w:r>
      <w:r w:rsidR="00635BB0">
        <w:t>e domestic building contracts and the statutory warranties that apply to all domestic building contracts</w:t>
      </w:r>
      <w:r w:rsidR="003F0E8A">
        <w:t>.</w:t>
      </w:r>
      <w:r w:rsidR="00F23D62">
        <w:rPr>
          <w:rStyle w:val="EndnoteReference"/>
        </w:rPr>
        <w:endnoteReference w:id="51"/>
      </w:r>
    </w:p>
    <w:p w14:paraId="3A51F7C8" w14:textId="44D0A396" w:rsidR="00F23D62" w:rsidRDefault="00F23D62" w:rsidP="00980B85">
      <w:pPr>
        <w:pStyle w:val="Bullet"/>
      </w:pPr>
      <w:r>
        <w:t>Part 4 defines a ‘</w:t>
      </w:r>
      <w:r w:rsidRPr="00A917F0">
        <w:t>domestic building work dispute’</w:t>
      </w:r>
      <w:r>
        <w:rPr>
          <w:i/>
          <w:iCs/>
        </w:rPr>
        <w:t xml:space="preserve"> </w:t>
      </w:r>
      <w:r>
        <w:t xml:space="preserve">and sets out the powers and </w:t>
      </w:r>
      <w:r w:rsidR="00BA250B">
        <w:t>functions</w:t>
      </w:r>
      <w:r>
        <w:t xml:space="preserve"> of DBDRV and the mechanisms for dispute resolution</w:t>
      </w:r>
      <w:r w:rsidR="003F0E8A">
        <w:t>.</w:t>
      </w:r>
    </w:p>
    <w:p w14:paraId="6D4278D5" w14:textId="43F02324" w:rsidR="00F23D62" w:rsidRDefault="00F23D62" w:rsidP="00980B85">
      <w:pPr>
        <w:pStyle w:val="Bullet"/>
      </w:pPr>
      <w:r>
        <w:t>Part 5 outlines VCAT’s jurisdiction in hearing and settling domestic building disputes.</w:t>
      </w:r>
    </w:p>
    <w:p w14:paraId="23FD5987" w14:textId="2FA2B648" w:rsidR="0028500B" w:rsidRDefault="0028500B" w:rsidP="0028500B">
      <w:r w:rsidRPr="001418E6">
        <w:t>Fairness to all parties in a dispute – both practitioners and building owners – is a key objective of the DBCA. Th</w:t>
      </w:r>
      <w:r w:rsidR="004D458D">
        <w:t>e</w:t>
      </w:r>
      <w:r w:rsidRPr="001418E6">
        <w:t xml:space="preserve"> </w:t>
      </w:r>
      <w:r w:rsidR="00C46DDB">
        <w:t xml:space="preserve">Building </w:t>
      </w:r>
      <w:r w:rsidRPr="001418E6">
        <w:t>Act also requires builders carrying out domestic building work to be covered by insurance</w:t>
      </w:r>
      <w:r>
        <w:t>.</w:t>
      </w:r>
      <w:r>
        <w:rPr>
          <w:rStyle w:val="EndnoteReference"/>
          <w:lang w:eastAsia="en-AU"/>
        </w:rPr>
        <w:endnoteReference w:id="52"/>
      </w:r>
    </w:p>
    <w:p w14:paraId="2A6A11E2" w14:textId="18A03B1F" w:rsidR="00802C4B" w:rsidRDefault="0028500B" w:rsidP="0028500B">
      <w:r>
        <w:t xml:space="preserve">In addition, section 16 of the </w:t>
      </w:r>
      <w:r w:rsidRPr="005001D0">
        <w:t>Building Act protects consumers through registration process</w:t>
      </w:r>
      <w:r>
        <w:t>es</w:t>
      </w:r>
      <w:r w:rsidRPr="005001D0">
        <w:t>,</w:t>
      </w:r>
      <w:r>
        <w:t xml:space="preserve"> practitioner obligations and</w:t>
      </w:r>
      <w:r w:rsidRPr="005001D0">
        <w:t xml:space="preserve"> </w:t>
      </w:r>
      <w:r>
        <w:t>building compliance</w:t>
      </w:r>
      <w:r w:rsidRPr="005001D0">
        <w:t xml:space="preserve"> </w:t>
      </w:r>
      <w:r>
        <w:t xml:space="preserve">requirements. This is detailed in </w:t>
      </w:r>
      <w:r w:rsidR="00B45D0F">
        <w:t>c</w:t>
      </w:r>
      <w:r>
        <w:t xml:space="preserve">hapter </w:t>
      </w:r>
      <w:r w:rsidR="00BC433A">
        <w:fldChar w:fldCharType="begin"/>
      </w:r>
      <w:r w:rsidR="00BC433A">
        <w:instrText xml:space="preserve"> REF _Ref134298442 \r \h </w:instrText>
      </w:r>
      <w:r w:rsidR="00BC433A">
        <w:fldChar w:fldCharType="separate"/>
      </w:r>
      <w:r w:rsidR="00E15D2D">
        <w:t>5</w:t>
      </w:r>
      <w:r w:rsidR="00BC433A">
        <w:fldChar w:fldCharType="end"/>
      </w:r>
      <w:r>
        <w:t>.</w:t>
      </w:r>
    </w:p>
    <w:p w14:paraId="326BFB00" w14:textId="3EF15FCE" w:rsidR="00CF5FA8" w:rsidRDefault="00CF5FA8" w:rsidP="0028500B">
      <w:r w:rsidRPr="00735C2E">
        <w:t>The</w:t>
      </w:r>
      <w:r w:rsidR="00EA36F8" w:rsidRPr="009A027D">
        <w:t>re</w:t>
      </w:r>
      <w:r w:rsidRPr="00735C2E">
        <w:t xml:space="preserve"> are opportunities to </w:t>
      </w:r>
      <w:r w:rsidR="00EA36F8" w:rsidRPr="00735C2E">
        <w:t>modernise</w:t>
      </w:r>
      <w:r w:rsidRPr="00735C2E">
        <w:t xml:space="preserve"> and </w:t>
      </w:r>
      <w:r w:rsidR="00EA36F8" w:rsidRPr="00735C2E">
        <w:t>improve</w:t>
      </w:r>
      <w:r w:rsidRPr="00735C2E">
        <w:t xml:space="preserve"> the DBCA</w:t>
      </w:r>
      <w:r w:rsidR="00EA36F8" w:rsidRPr="00735C2E">
        <w:t xml:space="preserve"> to address gaps in the system and</w:t>
      </w:r>
      <w:r w:rsidR="00074261">
        <w:t xml:space="preserve"> address</w:t>
      </w:r>
      <w:r w:rsidR="00EA36F8" w:rsidRPr="00735C2E">
        <w:t xml:space="preserve"> modern construction practices.</w:t>
      </w:r>
      <w:r w:rsidR="00EA36F8">
        <w:t xml:space="preserve"> </w:t>
      </w:r>
    </w:p>
    <w:p w14:paraId="2EBB8992" w14:textId="77777777" w:rsidR="00126BC0" w:rsidRDefault="007E7190" w:rsidP="006D72BE">
      <w:pPr>
        <w:pStyle w:val="Heading5"/>
      </w:pPr>
      <w:r>
        <w:t>DBDRV</w:t>
      </w:r>
      <w:r w:rsidR="00126BC0">
        <w:t xml:space="preserve"> is the primary dispute resolution agency in the system </w:t>
      </w:r>
    </w:p>
    <w:p w14:paraId="14947200" w14:textId="77777777" w:rsidR="00A47556" w:rsidRDefault="00BD2283" w:rsidP="00AB7AC5">
      <w:pPr>
        <w:rPr>
          <w:lang w:eastAsia="en-AU"/>
        </w:rPr>
        <w:sectPr w:rsidR="00A47556" w:rsidSect="0053216C">
          <w:headerReference w:type="even" r:id="rId76"/>
          <w:headerReference w:type="default" r:id="rId77"/>
          <w:footerReference w:type="default" r:id="rId78"/>
          <w:headerReference w:type="first" r:id="rId79"/>
          <w:footerReference w:type="first" r:id="rId80"/>
          <w:endnotePr>
            <w:numFmt w:val="decimal"/>
          </w:endnotePr>
          <w:pgSz w:w="11907" w:h="16839" w:code="9"/>
          <w:pgMar w:top="1418" w:right="1418" w:bottom="1701" w:left="1559" w:header="720" w:footer="720" w:gutter="0"/>
          <w:cols w:space="720"/>
          <w:titlePg/>
          <w:docGrid w:linePitch="360"/>
        </w:sectPr>
      </w:pPr>
      <w:r w:rsidRPr="00E241D4">
        <w:rPr>
          <w:lang w:eastAsia="en-AU"/>
        </w:rPr>
        <w:t>DBDRV</w:t>
      </w:r>
      <w:r>
        <w:rPr>
          <w:lang w:eastAsia="en-AU"/>
        </w:rPr>
        <w:t xml:space="preserve"> is a free conciliation service and the primary resolution body for disputes involving domestic building </w:t>
      </w:r>
      <w:r w:rsidR="00BA250B">
        <w:rPr>
          <w:lang w:eastAsia="en-AU"/>
        </w:rPr>
        <w:t>contracts</w:t>
      </w:r>
      <w:r>
        <w:rPr>
          <w:lang w:eastAsia="en-AU"/>
        </w:rPr>
        <w:t xml:space="preserve"> under the DBCA.</w:t>
      </w:r>
      <w:r w:rsidR="00AB7AC5">
        <w:rPr>
          <w:lang w:eastAsia="en-AU"/>
        </w:rPr>
        <w:t xml:space="preserve"> </w:t>
      </w:r>
      <w:r w:rsidR="003852D8">
        <w:rPr>
          <w:lang w:eastAsia="en-AU"/>
        </w:rPr>
        <w:t xml:space="preserve">DBDRV </w:t>
      </w:r>
      <w:r w:rsidR="006455A2">
        <w:rPr>
          <w:lang w:eastAsia="en-AU"/>
        </w:rPr>
        <w:t xml:space="preserve">was established in </w:t>
      </w:r>
      <w:r w:rsidR="006455A2">
        <w:t xml:space="preserve">2017 under the </w:t>
      </w:r>
      <w:r w:rsidR="006455A2">
        <w:rPr>
          <w:i/>
          <w:iCs/>
        </w:rPr>
        <w:t>Building Legislation Amendment (Consumer Protection) Act 2016</w:t>
      </w:r>
      <w:r w:rsidR="006455A2">
        <w:t xml:space="preserve"> (Vic</w:t>
      </w:r>
      <w:r w:rsidR="003852D8">
        <w:t xml:space="preserve">) </w:t>
      </w:r>
      <w:r w:rsidR="003852D8">
        <w:rPr>
          <w:lang w:eastAsia="en-AU"/>
        </w:rPr>
        <w:t xml:space="preserve">to </w:t>
      </w:r>
      <w:r w:rsidR="006455A2" w:rsidRPr="00565FE8">
        <w:rPr>
          <w:lang w:eastAsia="en-AU"/>
        </w:rPr>
        <w:t>address barriers</w:t>
      </w:r>
      <w:r w:rsidR="003852D8">
        <w:rPr>
          <w:lang w:eastAsia="en-AU"/>
        </w:rPr>
        <w:t xml:space="preserve"> </w:t>
      </w:r>
    </w:p>
    <w:p w14:paraId="671E970D" w14:textId="6C769A75" w:rsidR="0077371F" w:rsidRDefault="003852D8" w:rsidP="00AB7AC5">
      <w:r>
        <w:rPr>
          <w:lang w:eastAsia="en-AU"/>
        </w:rPr>
        <w:lastRenderedPageBreak/>
        <w:t xml:space="preserve">for </w:t>
      </w:r>
      <w:r w:rsidR="006455A2" w:rsidRPr="00565FE8">
        <w:rPr>
          <w:lang w:eastAsia="en-AU"/>
        </w:rPr>
        <w:t xml:space="preserve">consumers accessing low-cost mechanisms to </w:t>
      </w:r>
      <w:r>
        <w:rPr>
          <w:lang w:eastAsia="en-AU"/>
        </w:rPr>
        <w:t xml:space="preserve">resolve issues in the sector. </w:t>
      </w:r>
      <w:r w:rsidR="00AB7AC5">
        <w:t xml:space="preserve">It came about </w:t>
      </w:r>
      <w:r w:rsidR="008D6F2D">
        <w:t xml:space="preserve">in response to </w:t>
      </w:r>
      <w:r w:rsidR="00AB7AC5">
        <w:t>increasing criticism</w:t>
      </w:r>
      <w:r w:rsidR="008D6F2D">
        <w:t xml:space="preserve"> of the ineffective and voluntary scheme under </w:t>
      </w:r>
      <w:r w:rsidR="00AB7AC5">
        <w:t>B</w:t>
      </w:r>
      <w:r w:rsidR="007C5A95">
        <w:t xml:space="preserve">uilding </w:t>
      </w:r>
      <w:r w:rsidR="00AB7AC5">
        <w:t>A</w:t>
      </w:r>
      <w:r w:rsidR="007C5A95">
        <w:t xml:space="preserve">dvice </w:t>
      </w:r>
      <w:r w:rsidR="00F05FA5">
        <w:t xml:space="preserve">and </w:t>
      </w:r>
      <w:r w:rsidR="00AB7AC5">
        <w:t>C</w:t>
      </w:r>
      <w:r w:rsidR="007C5A95">
        <w:t xml:space="preserve">onciliation </w:t>
      </w:r>
      <w:r w:rsidR="00AB7AC5">
        <w:t>V</w:t>
      </w:r>
      <w:r w:rsidR="007C5A95">
        <w:t>ictoria (BACV)</w:t>
      </w:r>
      <w:r w:rsidR="00AB7AC5">
        <w:t xml:space="preserve">. </w:t>
      </w:r>
    </w:p>
    <w:p w14:paraId="671C611E" w14:textId="1F7BB013" w:rsidR="00AB7AC5" w:rsidRDefault="00BF0B43" w:rsidP="00AB7AC5">
      <w:pPr>
        <w:rPr>
          <w:lang w:eastAsia="en-AU"/>
        </w:rPr>
      </w:pPr>
      <w:r>
        <w:t xml:space="preserve">As noted in the </w:t>
      </w:r>
      <w:r w:rsidR="00AB7AC5" w:rsidRPr="00A30A7F">
        <w:rPr>
          <w:lang w:eastAsia="en-AU"/>
        </w:rPr>
        <w:t>second reading speech</w:t>
      </w:r>
      <w:r>
        <w:rPr>
          <w:lang w:eastAsia="en-AU"/>
        </w:rPr>
        <w:t xml:space="preserve"> </w:t>
      </w:r>
      <w:r>
        <w:rPr>
          <w:i/>
          <w:iCs/>
        </w:rPr>
        <w:t>Building Legislation Amendment (Consumer Protection) Act 2016</w:t>
      </w:r>
      <w:r>
        <w:t xml:space="preserve"> (Vic)</w:t>
      </w:r>
      <w:r>
        <w:rPr>
          <w:lang w:eastAsia="en-AU"/>
        </w:rPr>
        <w:t>,</w:t>
      </w:r>
      <w:r w:rsidR="00AB7AC5" w:rsidRPr="00A30A7F">
        <w:rPr>
          <w:lang w:eastAsia="en-AU"/>
        </w:rPr>
        <w:t xml:space="preserve"> DBDRV </w:t>
      </w:r>
      <w:r>
        <w:rPr>
          <w:lang w:eastAsia="en-AU"/>
        </w:rPr>
        <w:t xml:space="preserve">was </w:t>
      </w:r>
      <w:r w:rsidR="00AB7AC5" w:rsidRPr="00A30A7F">
        <w:rPr>
          <w:lang w:eastAsia="en-AU"/>
        </w:rPr>
        <w:t>intended to ‘</w:t>
      </w:r>
      <w:r w:rsidR="00AB7AC5" w:rsidRPr="001D1677">
        <w:rPr>
          <w:i/>
          <w:lang w:eastAsia="en-AU"/>
        </w:rPr>
        <w:t>respond as early, quickly and inexpensively as possible’</w:t>
      </w:r>
      <w:r w:rsidR="00AB7AC5" w:rsidRPr="00A30A7F">
        <w:rPr>
          <w:lang w:eastAsia="en-AU"/>
        </w:rPr>
        <w:t xml:space="preserve"> to resolve disputes in a manner ‘</w:t>
      </w:r>
      <w:r w:rsidR="00AB7AC5" w:rsidRPr="001D1677">
        <w:rPr>
          <w:i/>
          <w:lang w:eastAsia="en-AU"/>
        </w:rPr>
        <w:t>that is fair and balanced for both consumers and building practitioners.</w:t>
      </w:r>
      <w:r w:rsidR="00AB7AC5" w:rsidRPr="00A30A7F">
        <w:rPr>
          <w:lang w:eastAsia="en-AU"/>
        </w:rPr>
        <w:t>’</w:t>
      </w:r>
      <w:r w:rsidR="00AB7AC5">
        <w:rPr>
          <w:rStyle w:val="EndnoteReference"/>
          <w:lang w:eastAsia="en-AU"/>
        </w:rPr>
        <w:endnoteReference w:id="53"/>
      </w:r>
      <w:r>
        <w:rPr>
          <w:lang w:eastAsia="en-AU"/>
        </w:rPr>
        <w:t xml:space="preserve"> </w:t>
      </w:r>
    </w:p>
    <w:p w14:paraId="4BEFBBF7" w14:textId="5B03BDF3" w:rsidR="00B81563" w:rsidRPr="008A5C07" w:rsidRDefault="00B81563" w:rsidP="00B81563">
      <w:pPr>
        <w:rPr>
          <w:lang w:eastAsia="en-AU"/>
        </w:rPr>
      </w:pPr>
      <w:r w:rsidRPr="008A5C07">
        <w:rPr>
          <w:lang w:eastAsia="en-AU"/>
        </w:rPr>
        <w:t xml:space="preserve">DBDRV can </w:t>
      </w:r>
      <w:r>
        <w:rPr>
          <w:lang w:eastAsia="en-AU"/>
        </w:rPr>
        <w:t>assist to resolve</w:t>
      </w:r>
      <w:r w:rsidRPr="008A5C07">
        <w:rPr>
          <w:lang w:eastAsia="en-AU"/>
        </w:rPr>
        <w:t xml:space="preserve"> disputes between a building owner and building practitioner, subcontractor, </w:t>
      </w:r>
      <w:r>
        <w:rPr>
          <w:lang w:eastAsia="en-AU"/>
        </w:rPr>
        <w:t>engineer</w:t>
      </w:r>
      <w:r w:rsidRPr="008A5C07">
        <w:rPr>
          <w:lang w:eastAsia="en-AU"/>
        </w:rPr>
        <w:t xml:space="preserve"> or architect where the dispute is a contractual issue, or where it relates to an allegation of defective building work (i.e., a breach of the Section 8 warranties)</w:t>
      </w:r>
      <w:r>
        <w:rPr>
          <w:lang w:eastAsia="en-AU"/>
        </w:rPr>
        <w:t>.</w:t>
      </w:r>
      <w:r>
        <w:rPr>
          <w:rStyle w:val="EndnoteReference"/>
          <w:lang w:eastAsia="en-AU"/>
        </w:rPr>
        <w:endnoteReference w:id="54"/>
      </w:r>
    </w:p>
    <w:p w14:paraId="470ADEA1" w14:textId="584122DA" w:rsidR="00B81563" w:rsidRDefault="00B81563" w:rsidP="00B81563">
      <w:pPr>
        <w:rPr>
          <w:lang w:eastAsia="en-AU"/>
        </w:rPr>
      </w:pPr>
      <w:r w:rsidRPr="008A5C07">
        <w:rPr>
          <w:lang w:eastAsia="en-AU"/>
        </w:rPr>
        <w:t>Under the DBC</w:t>
      </w:r>
      <w:r w:rsidR="00DB7EDA">
        <w:rPr>
          <w:lang w:eastAsia="en-AU"/>
        </w:rPr>
        <w:t>A</w:t>
      </w:r>
      <w:r w:rsidRPr="008A5C07">
        <w:rPr>
          <w:lang w:eastAsia="en-AU"/>
        </w:rPr>
        <w:t>, a client</w:t>
      </w:r>
      <w:r>
        <w:rPr>
          <w:rStyle w:val="EndnoteReference"/>
          <w:lang w:eastAsia="en-AU"/>
        </w:rPr>
        <w:endnoteReference w:id="55"/>
      </w:r>
      <w:r w:rsidRPr="008A5C07">
        <w:rPr>
          <w:lang w:eastAsia="en-AU"/>
        </w:rPr>
        <w:t xml:space="preserve"> must lodge a dispute with DBDRV before they can apply to VCAT.</w:t>
      </w:r>
      <w:r>
        <w:rPr>
          <w:rStyle w:val="EndnoteReference"/>
          <w:lang w:eastAsia="en-AU"/>
        </w:rPr>
        <w:endnoteReference w:id="56"/>
      </w:r>
      <w:r w:rsidRPr="008A5C07">
        <w:rPr>
          <w:lang w:eastAsia="en-AU"/>
        </w:rPr>
        <w:t xml:space="preserve"> Before a building owner or practitioner can access DBDRV’s services, they are </w:t>
      </w:r>
      <w:r>
        <w:rPr>
          <w:lang w:eastAsia="en-AU"/>
        </w:rPr>
        <w:t>expected</w:t>
      </w:r>
      <w:r w:rsidRPr="008A5C07">
        <w:rPr>
          <w:lang w:eastAsia="en-AU"/>
        </w:rPr>
        <w:t xml:space="preserve"> to attempt to resolve the dispute directly with the other party</w:t>
      </w:r>
      <w:r>
        <w:rPr>
          <w:lang w:eastAsia="en-AU"/>
        </w:rPr>
        <w:t xml:space="preserve">. </w:t>
      </w:r>
      <w:r>
        <w:rPr>
          <w:rFonts w:eastAsia="Calibri" w:cs="Arial"/>
          <w:lang w:eastAsia="en-AU"/>
        </w:rPr>
        <w:t xml:space="preserve">The Chief Dispute Resolution Officer has </w:t>
      </w:r>
      <w:r w:rsidRPr="00C242F6">
        <w:rPr>
          <w:rFonts w:eastAsia="Calibri" w:cs="Arial"/>
          <w:lang w:eastAsia="en-AU"/>
        </w:rPr>
        <w:t xml:space="preserve">discretion to assess a matter as unsuitable for conciliation if the </w:t>
      </w:r>
      <w:r>
        <w:rPr>
          <w:rFonts w:eastAsia="Calibri" w:cs="Arial"/>
          <w:lang w:eastAsia="en-AU"/>
        </w:rPr>
        <w:t>a</w:t>
      </w:r>
      <w:r w:rsidRPr="00C242F6">
        <w:rPr>
          <w:rFonts w:eastAsia="Calibri" w:cs="Arial"/>
          <w:lang w:eastAsia="en-AU"/>
        </w:rPr>
        <w:t>pplicant has</w:t>
      </w:r>
      <w:r w:rsidR="00826CB1">
        <w:rPr>
          <w:rFonts w:eastAsia="Calibri" w:cs="Arial"/>
          <w:lang w:eastAsia="en-AU"/>
        </w:rPr>
        <w:t>,</w:t>
      </w:r>
      <w:r w:rsidRPr="00C242F6">
        <w:rPr>
          <w:rFonts w:eastAsia="Calibri" w:cs="Arial"/>
          <w:lang w:eastAsia="en-AU"/>
        </w:rPr>
        <w:t xml:space="preserve"> without reasonable excuse</w:t>
      </w:r>
      <w:r w:rsidR="00826CB1">
        <w:rPr>
          <w:rFonts w:eastAsia="Calibri" w:cs="Arial"/>
          <w:lang w:eastAsia="en-AU"/>
        </w:rPr>
        <w:t>,</w:t>
      </w:r>
      <w:r w:rsidRPr="00C242F6">
        <w:rPr>
          <w:rFonts w:eastAsia="Calibri" w:cs="Arial"/>
          <w:lang w:eastAsia="en-AU"/>
        </w:rPr>
        <w:t xml:space="preserve"> failed to attempt to resolve the dispute before seeking DBDRV’s assistance</w:t>
      </w:r>
      <w:r w:rsidR="007B043E">
        <w:rPr>
          <w:rFonts w:eastAsia="Calibri" w:cs="Arial"/>
          <w:lang w:eastAsia="en-AU"/>
        </w:rPr>
        <w:t>.</w:t>
      </w:r>
    </w:p>
    <w:p w14:paraId="070B8F8C" w14:textId="3154C302" w:rsidR="00B81563" w:rsidRDefault="007B043E" w:rsidP="00B81563">
      <w:pPr>
        <w:rPr>
          <w:lang w:eastAsia="en-AU"/>
        </w:rPr>
      </w:pPr>
      <w:r w:rsidRPr="00942833">
        <w:rPr>
          <w:rFonts w:eastAsia="Calibri" w:cs="Arial"/>
          <w:noProof/>
          <w:sz w:val="24"/>
          <w:szCs w:val="24"/>
          <w:lang w:eastAsia="en-AU"/>
        </w:rPr>
        <mc:AlternateContent>
          <mc:Choice Requires="wps">
            <w:drawing>
              <wp:anchor distT="0" distB="0" distL="114300" distR="114300" simplePos="0" relativeHeight="251658243" behindDoc="0" locked="0" layoutInCell="1" allowOverlap="1" wp14:anchorId="2C2F154F" wp14:editId="691370E8">
                <wp:simplePos x="0" y="0"/>
                <wp:positionH relativeFrom="column">
                  <wp:posOffset>2912110</wp:posOffset>
                </wp:positionH>
                <wp:positionV relativeFrom="paragraph">
                  <wp:posOffset>48895</wp:posOffset>
                </wp:positionV>
                <wp:extent cx="3631565" cy="1041400"/>
                <wp:effectExtent l="0" t="0" r="6985" b="6350"/>
                <wp:wrapThrough wrapText="bothSides">
                  <wp:wrapPolygon edited="0">
                    <wp:start x="0" y="0"/>
                    <wp:lineTo x="0" y="21337"/>
                    <wp:lineTo x="21528" y="21337"/>
                    <wp:lineTo x="21528" y="0"/>
                    <wp:lineTo x="0" y="0"/>
                  </wp:wrapPolygon>
                </wp:wrapThrough>
                <wp:docPr id="38" name="Text Box 38"/>
                <wp:cNvGraphicFramePr/>
                <a:graphic xmlns:a="http://schemas.openxmlformats.org/drawingml/2006/main">
                  <a:graphicData uri="http://schemas.microsoft.com/office/word/2010/wordprocessingShape">
                    <wps:wsp>
                      <wps:cNvSpPr txBox="1"/>
                      <wps:spPr>
                        <a:xfrm>
                          <a:off x="0" y="0"/>
                          <a:ext cx="3631565" cy="1041400"/>
                        </a:xfrm>
                        <a:prstGeom prst="rect">
                          <a:avLst/>
                        </a:prstGeom>
                        <a:solidFill>
                          <a:srgbClr val="40C1AC">
                            <a:lumMod val="20000"/>
                            <a:lumOff val="80000"/>
                          </a:srgbClr>
                        </a:solidFill>
                        <a:ln w="6350">
                          <a:noFill/>
                        </a:ln>
                      </wps:spPr>
                      <wps:txbx>
                        <w:txbxContent>
                          <w:p w14:paraId="310FE6A8" w14:textId="6FE4077E" w:rsidR="007B043E" w:rsidRPr="00942833" w:rsidRDefault="007B043E" w:rsidP="007B043E">
                            <w:pPr>
                              <w:rPr>
                                <w:color w:val="1F2A44"/>
                              </w:rPr>
                            </w:pPr>
                            <w:r w:rsidRPr="00942833">
                              <w:rPr>
                                <w:color w:val="1F2A44"/>
                              </w:rPr>
                              <w:t xml:space="preserve">DBDRV received </w:t>
                            </w:r>
                            <w:r w:rsidRPr="00942833">
                              <w:rPr>
                                <w:b/>
                                <w:bCs/>
                                <w:color w:val="1F2A44"/>
                                <w:sz w:val="28"/>
                                <w:szCs w:val="28"/>
                              </w:rPr>
                              <w:t>5</w:t>
                            </w:r>
                            <w:r>
                              <w:rPr>
                                <w:b/>
                                <w:bCs/>
                                <w:color w:val="1F2A44"/>
                                <w:sz w:val="28"/>
                                <w:szCs w:val="28"/>
                              </w:rPr>
                              <w:t>,605</w:t>
                            </w:r>
                            <w:r w:rsidRPr="00942833">
                              <w:rPr>
                                <w:color w:val="1F2A44"/>
                                <w:sz w:val="28"/>
                                <w:szCs w:val="28"/>
                              </w:rPr>
                              <w:t xml:space="preserve"> </w:t>
                            </w:r>
                            <w:r w:rsidRPr="00942833">
                              <w:rPr>
                                <w:color w:val="1F2A44"/>
                                <w:sz w:val="28"/>
                                <w:szCs w:val="28"/>
                              </w:rPr>
                              <w:br/>
                            </w:r>
                            <w:r w:rsidRPr="00942833">
                              <w:rPr>
                                <w:color w:val="1F2A44"/>
                              </w:rPr>
                              <w:t>disputes in 202</w:t>
                            </w:r>
                            <w:r>
                              <w:rPr>
                                <w:color w:val="1F2A44"/>
                              </w:rPr>
                              <w:t>1</w:t>
                            </w:r>
                            <w:r w:rsidRPr="00942833">
                              <w:rPr>
                                <w:color w:val="1F2A44"/>
                              </w:rPr>
                              <w:t>-2</w:t>
                            </w:r>
                            <w:r>
                              <w:rPr>
                                <w:color w:val="1F2A44"/>
                              </w:rPr>
                              <w:t>2</w:t>
                            </w:r>
                            <w:r w:rsidRPr="00942833">
                              <w:rPr>
                                <w:color w:val="1F2A44"/>
                              </w:rPr>
                              <w:t xml:space="preserve"> </w:t>
                            </w:r>
                            <w:r w:rsidRPr="00942833">
                              <w:rPr>
                                <w:color w:val="1F2A44"/>
                              </w:rPr>
                              <w:br/>
                              <w:t>(</w:t>
                            </w:r>
                            <w:r>
                              <w:rPr>
                                <w:color w:val="1F2A44"/>
                              </w:rPr>
                              <w:t xml:space="preserve">equivalent to </w:t>
                            </w:r>
                            <w:r w:rsidR="00FE4AD0">
                              <w:rPr>
                                <w:color w:val="1F2A44"/>
                              </w:rPr>
                              <w:t>five</w:t>
                            </w:r>
                            <w:r w:rsidRPr="00942833">
                              <w:rPr>
                                <w:color w:val="1F2A44"/>
                              </w:rPr>
                              <w:t xml:space="preserve"> per cent of all building permits).</w:t>
                            </w:r>
                          </w:p>
                          <w:p w14:paraId="4A109086" w14:textId="2C7EFDA5" w:rsidR="007B043E" w:rsidRPr="00942833" w:rsidRDefault="007B043E" w:rsidP="007B043E">
                            <w:pPr>
                              <w:pStyle w:val="Source"/>
                              <w:jc w:val="left"/>
                              <w:rPr>
                                <w:color w:val="1F2A44"/>
                              </w:rPr>
                            </w:pPr>
                            <w:r w:rsidRPr="00942833">
                              <w:rPr>
                                <w:color w:val="1F2A44"/>
                              </w:rPr>
                              <w:t xml:space="preserve">Department of Justice and Community </w:t>
                            </w:r>
                            <w:r w:rsidR="006D57A3">
                              <w:rPr>
                                <w:color w:val="1F2A44"/>
                              </w:rPr>
                              <w:t xml:space="preserve">Safety </w:t>
                            </w:r>
                            <w:r w:rsidR="00E8131C">
                              <w:rPr>
                                <w:color w:val="1F2A44"/>
                              </w:rPr>
                              <w:t>(DJCS)</w:t>
                            </w:r>
                            <w:r w:rsidRPr="00942833">
                              <w:rPr>
                                <w:color w:val="1F2A44"/>
                              </w:rPr>
                              <w:br/>
                              <w:t xml:space="preserve">Safety </w:t>
                            </w:r>
                            <w:r>
                              <w:rPr>
                                <w:color w:val="1F2A44"/>
                              </w:rPr>
                              <w:t xml:space="preserve">(DJCS) </w:t>
                            </w:r>
                            <w:r w:rsidRPr="00942833">
                              <w:rPr>
                                <w:color w:val="1F2A44"/>
                              </w:rPr>
                              <w:t>Annual Report 202</w:t>
                            </w:r>
                            <w:r>
                              <w:rPr>
                                <w:color w:val="1F2A44"/>
                              </w:rPr>
                              <w:t>1</w:t>
                            </w:r>
                            <w:r w:rsidRPr="00942833">
                              <w:rPr>
                                <w:color w:val="1F2A44"/>
                              </w:rPr>
                              <w:t>-2</w:t>
                            </w:r>
                            <w:r>
                              <w:rPr>
                                <w:color w:val="1F2A44"/>
                              </w:rPr>
                              <w:t>2</w:t>
                            </w:r>
                            <w:r w:rsidRPr="00942833">
                              <w:rPr>
                                <w:color w:val="1F2A44"/>
                              </w:rPr>
                              <w:t xml:space="preserve"> p. </w:t>
                            </w:r>
                            <w:r>
                              <w:rPr>
                                <w:color w:val="1F2A44"/>
                              </w:rPr>
                              <w:t>134</w:t>
                            </w:r>
                            <w:r w:rsidRPr="00942833">
                              <w:rPr>
                                <w:color w:val="1F2A44"/>
                              </w:rPr>
                              <w:t>.</w:t>
                            </w:r>
                          </w:p>
                        </w:txbxContent>
                      </wps:txbx>
                      <wps:bodyPr rot="0" spcFirstLastPara="0" vertOverflow="overflow" horzOverflow="overflow" vert="horz" wrap="square" lIns="72000" tIns="72000" rIns="900000" bIns="72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2F154F" id="Text Box 38" o:spid="_x0000_s1027" type="#_x0000_t202" style="position:absolute;margin-left:229.3pt;margin-top:3.85pt;width:285.95pt;height:82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" fillcolor="#d9f3ee" stroked="f" strokeweight=".5pt">
                <v:textbox inset="2mm,2mm,25mm,2mm">
                  <w:txbxContent>
                    <w:p w14:paraId="310FE6A8" w14:textId="6FE4077E" w:rsidR="007B043E" w:rsidRPr="00942833" w:rsidRDefault="007B043E" w:rsidP="007B043E">
                      <w:pPr>
                        <w:rPr>
                          <w:color w:val="1F2A44"/>
                        </w:rPr>
                      </w:pPr>
                      <w:r w:rsidRPr="00942833">
                        <w:rPr>
                          <w:color w:val="1F2A44"/>
                        </w:rPr>
                        <w:t xml:space="preserve">DBDRV received </w:t>
                      </w:r>
                      <w:r w:rsidRPr="00942833">
                        <w:rPr>
                          <w:b/>
                          <w:bCs/>
                          <w:color w:val="1F2A44"/>
                          <w:sz w:val="28"/>
                          <w:szCs w:val="28"/>
                        </w:rPr>
                        <w:t>5</w:t>
                      </w:r>
                      <w:r>
                        <w:rPr>
                          <w:b/>
                          <w:bCs/>
                          <w:color w:val="1F2A44"/>
                          <w:sz w:val="28"/>
                          <w:szCs w:val="28"/>
                        </w:rPr>
                        <w:t>,605</w:t>
                      </w:r>
                      <w:r w:rsidRPr="00942833">
                        <w:rPr>
                          <w:color w:val="1F2A44"/>
                          <w:sz w:val="28"/>
                          <w:szCs w:val="28"/>
                        </w:rPr>
                        <w:t xml:space="preserve"> </w:t>
                      </w:r>
                      <w:r w:rsidRPr="00942833">
                        <w:rPr>
                          <w:color w:val="1F2A44"/>
                          <w:sz w:val="28"/>
                          <w:szCs w:val="28"/>
                        </w:rPr>
                        <w:br/>
                      </w:r>
                      <w:r w:rsidRPr="00942833">
                        <w:rPr>
                          <w:color w:val="1F2A44"/>
                        </w:rPr>
                        <w:t>disputes in 202</w:t>
                      </w:r>
                      <w:r>
                        <w:rPr>
                          <w:color w:val="1F2A44"/>
                        </w:rPr>
                        <w:t>1</w:t>
                      </w:r>
                      <w:r w:rsidRPr="00942833">
                        <w:rPr>
                          <w:color w:val="1F2A44"/>
                        </w:rPr>
                        <w:t>-2</w:t>
                      </w:r>
                      <w:r>
                        <w:rPr>
                          <w:color w:val="1F2A44"/>
                        </w:rPr>
                        <w:t>2</w:t>
                      </w:r>
                      <w:r w:rsidRPr="00942833">
                        <w:rPr>
                          <w:color w:val="1F2A44"/>
                        </w:rPr>
                        <w:t xml:space="preserve"> </w:t>
                      </w:r>
                      <w:r w:rsidRPr="00942833">
                        <w:rPr>
                          <w:color w:val="1F2A44"/>
                        </w:rPr>
                        <w:br/>
                        <w:t>(</w:t>
                      </w:r>
                      <w:r>
                        <w:rPr>
                          <w:color w:val="1F2A44"/>
                        </w:rPr>
                        <w:t xml:space="preserve">equivalent to </w:t>
                      </w:r>
                      <w:r w:rsidR="00FE4AD0">
                        <w:rPr>
                          <w:color w:val="1F2A44"/>
                        </w:rPr>
                        <w:t>five</w:t>
                      </w:r>
                      <w:r w:rsidRPr="00942833">
                        <w:rPr>
                          <w:color w:val="1F2A44"/>
                        </w:rPr>
                        <w:t xml:space="preserve"> per cent of all building permits).</w:t>
                      </w:r>
                    </w:p>
                    <w:p w14:paraId="4A109086" w14:textId="2C7EFDA5" w:rsidR="007B043E" w:rsidRPr="00942833" w:rsidRDefault="007B043E" w:rsidP="007B043E">
                      <w:pPr>
                        <w:pStyle w:val="Source"/>
                        <w:jc w:val="left"/>
                        <w:rPr>
                          <w:color w:val="1F2A44"/>
                        </w:rPr>
                      </w:pPr>
                      <w:r w:rsidRPr="00942833">
                        <w:rPr>
                          <w:color w:val="1F2A44"/>
                        </w:rPr>
                        <w:t xml:space="preserve">Department of Justice and Community </w:t>
                      </w:r>
                      <w:r w:rsidR="006D57A3">
                        <w:rPr>
                          <w:color w:val="1F2A44"/>
                        </w:rPr>
                        <w:t xml:space="preserve">Safety </w:t>
                      </w:r>
                      <w:r w:rsidR="00E8131C">
                        <w:rPr>
                          <w:color w:val="1F2A44"/>
                        </w:rPr>
                        <w:t>(DJCS)</w:t>
                      </w:r>
                      <w:r w:rsidRPr="00942833">
                        <w:rPr>
                          <w:color w:val="1F2A44"/>
                        </w:rPr>
                        <w:br/>
                        <w:t xml:space="preserve">Safety </w:t>
                      </w:r>
                      <w:r>
                        <w:rPr>
                          <w:color w:val="1F2A44"/>
                        </w:rPr>
                        <w:t xml:space="preserve">(DJCS) </w:t>
                      </w:r>
                      <w:r w:rsidRPr="00942833">
                        <w:rPr>
                          <w:color w:val="1F2A44"/>
                        </w:rPr>
                        <w:t>Annual Report 202</w:t>
                      </w:r>
                      <w:r>
                        <w:rPr>
                          <w:color w:val="1F2A44"/>
                        </w:rPr>
                        <w:t>1</w:t>
                      </w:r>
                      <w:r w:rsidRPr="00942833">
                        <w:rPr>
                          <w:color w:val="1F2A44"/>
                        </w:rPr>
                        <w:t>-2</w:t>
                      </w:r>
                      <w:r>
                        <w:rPr>
                          <w:color w:val="1F2A44"/>
                        </w:rPr>
                        <w:t>2</w:t>
                      </w:r>
                      <w:r w:rsidRPr="00942833">
                        <w:rPr>
                          <w:color w:val="1F2A44"/>
                        </w:rPr>
                        <w:t xml:space="preserve"> p. </w:t>
                      </w:r>
                      <w:r>
                        <w:rPr>
                          <w:color w:val="1F2A44"/>
                        </w:rPr>
                        <w:t>134</w:t>
                      </w:r>
                      <w:r w:rsidRPr="00942833">
                        <w:rPr>
                          <w:color w:val="1F2A44"/>
                        </w:rPr>
                        <w:t>.</w:t>
                      </w:r>
                    </w:p>
                  </w:txbxContent>
                </v:textbox>
                <w10:wrap type="through"/>
              </v:shape>
            </w:pict>
          </mc:Fallback>
        </mc:AlternateContent>
      </w:r>
      <w:r w:rsidR="00B81563" w:rsidRPr="00EE46B8">
        <w:rPr>
          <w:lang w:eastAsia="en-AU"/>
        </w:rPr>
        <w:t xml:space="preserve">Where conciliation is not possible, or the parties are unable to </w:t>
      </w:r>
      <w:r w:rsidR="00B81563">
        <w:rPr>
          <w:lang w:eastAsia="en-AU"/>
        </w:rPr>
        <w:t xml:space="preserve">resolve the dispute via </w:t>
      </w:r>
      <w:r w:rsidR="00B81563" w:rsidRPr="00EE46B8">
        <w:rPr>
          <w:lang w:eastAsia="en-AU"/>
        </w:rPr>
        <w:t>conciliat</w:t>
      </w:r>
      <w:r w:rsidR="00B81563">
        <w:rPr>
          <w:lang w:eastAsia="en-AU"/>
        </w:rPr>
        <w:t>ion</w:t>
      </w:r>
      <w:r w:rsidR="00B81563" w:rsidRPr="00EE46B8">
        <w:rPr>
          <w:lang w:eastAsia="en-AU"/>
        </w:rPr>
        <w:t xml:space="preserve">, DBDRV will issue a certificate of conciliation to enable the parties to apply to VCAT. </w:t>
      </w:r>
      <w:r w:rsidR="00B81563">
        <w:rPr>
          <w:lang w:eastAsia="en-AU"/>
        </w:rPr>
        <w:t>If a matter is not resolved through conciliation, i</w:t>
      </w:r>
      <w:r w:rsidR="00B81563" w:rsidRPr="00EE46B8">
        <w:rPr>
          <w:lang w:eastAsia="en-AU"/>
        </w:rPr>
        <w:t>n some circumstances, DBDRV will issue a DRO. A DRO can order a practitioner to complete</w:t>
      </w:r>
      <w:r w:rsidR="00B81563">
        <w:rPr>
          <w:lang w:eastAsia="en-AU"/>
        </w:rPr>
        <w:t>,</w:t>
      </w:r>
      <w:r w:rsidR="00B81563" w:rsidRPr="00EE46B8">
        <w:rPr>
          <w:lang w:eastAsia="en-AU"/>
        </w:rPr>
        <w:t xml:space="preserve"> rectify </w:t>
      </w:r>
      <w:r w:rsidR="00B81563">
        <w:rPr>
          <w:lang w:eastAsia="en-AU"/>
        </w:rPr>
        <w:t xml:space="preserve">or to pay for the rectification of </w:t>
      </w:r>
      <w:r w:rsidR="00B81563" w:rsidRPr="00EE46B8">
        <w:rPr>
          <w:lang w:eastAsia="en-AU"/>
        </w:rPr>
        <w:t>building work.</w:t>
      </w:r>
      <w:r w:rsidR="00B81563">
        <w:rPr>
          <w:rStyle w:val="EndnoteReference"/>
          <w:lang w:eastAsia="en-AU"/>
        </w:rPr>
        <w:endnoteReference w:id="57"/>
      </w:r>
      <w:r w:rsidR="00B81563" w:rsidRPr="00EE46B8">
        <w:rPr>
          <w:lang w:eastAsia="en-AU"/>
        </w:rPr>
        <w:t xml:space="preserve"> It can also require a consumer to pay for the completion of work or refrain from any actions that would inhibit a builder’s compliance</w:t>
      </w:r>
      <w:r w:rsidR="00B81563">
        <w:rPr>
          <w:lang w:eastAsia="en-AU"/>
        </w:rPr>
        <w:t>.</w:t>
      </w:r>
      <w:r w:rsidR="00B81563">
        <w:rPr>
          <w:rStyle w:val="EndnoteReference"/>
          <w:lang w:eastAsia="en-AU"/>
        </w:rPr>
        <w:endnoteReference w:id="58"/>
      </w:r>
      <w:r w:rsidR="00654C81">
        <w:rPr>
          <w:vertAlign w:val="superscript"/>
          <w:lang w:eastAsia="en-AU"/>
        </w:rPr>
        <w:t>,</w:t>
      </w:r>
      <w:r w:rsidR="00B81563">
        <w:rPr>
          <w:rStyle w:val="EndnoteReference"/>
          <w:lang w:eastAsia="en-AU"/>
        </w:rPr>
        <w:endnoteReference w:id="59"/>
      </w:r>
    </w:p>
    <w:p w14:paraId="76E3596A" w14:textId="2B02E267" w:rsidR="00126BC0" w:rsidRPr="00B81563" w:rsidRDefault="00B81563" w:rsidP="00B81563">
      <w:pPr>
        <w:rPr>
          <w:lang w:eastAsia="en-AU"/>
        </w:rPr>
      </w:pPr>
      <w:r w:rsidRPr="009E5DA6">
        <w:rPr>
          <w:lang w:eastAsia="en-AU"/>
        </w:rPr>
        <w:t>A</w:t>
      </w:r>
      <w:r>
        <w:rPr>
          <w:lang w:eastAsia="en-AU"/>
        </w:rPr>
        <w:t>n application to DBDRV</w:t>
      </w:r>
      <w:r w:rsidRPr="009E5DA6">
        <w:rPr>
          <w:lang w:eastAsia="en-AU"/>
        </w:rPr>
        <w:t xml:space="preserve"> must be made within </w:t>
      </w:r>
      <w:r w:rsidR="00CA22E3">
        <w:rPr>
          <w:lang w:eastAsia="en-AU"/>
        </w:rPr>
        <w:t>ten</w:t>
      </w:r>
      <w:r w:rsidRPr="009E5DA6">
        <w:rPr>
          <w:lang w:eastAsia="en-AU"/>
        </w:rPr>
        <w:t xml:space="preserve"> years of the date of the occupancy permit, or – where there is no occupancy permit – </w:t>
      </w:r>
      <w:r w:rsidR="00CA22E3">
        <w:rPr>
          <w:lang w:eastAsia="en-AU"/>
        </w:rPr>
        <w:t>ten</w:t>
      </w:r>
      <w:r w:rsidRPr="009E5DA6">
        <w:rPr>
          <w:lang w:eastAsia="en-AU"/>
        </w:rPr>
        <w:t xml:space="preserve"> years from the date of issue of the certificate of final inspection</w:t>
      </w:r>
      <w:r>
        <w:rPr>
          <w:lang w:eastAsia="en-AU"/>
        </w:rPr>
        <w:t>.</w:t>
      </w:r>
      <w:r>
        <w:rPr>
          <w:rStyle w:val="EndnoteReference"/>
          <w:lang w:eastAsia="en-AU"/>
        </w:rPr>
        <w:endnoteReference w:id="60"/>
      </w:r>
      <w:r>
        <w:rPr>
          <w:lang w:eastAsia="en-AU"/>
        </w:rPr>
        <w:t xml:space="preserve"> </w:t>
      </w:r>
      <w:r w:rsidR="00BD2283">
        <w:t xml:space="preserve">A detailed journey map </w:t>
      </w:r>
      <w:r w:rsidR="002F19E5">
        <w:t>is provided a</w:t>
      </w:r>
      <w:r w:rsidR="002F19E5" w:rsidRPr="007473DD">
        <w:t xml:space="preserve">t </w:t>
      </w:r>
      <w:r w:rsidR="00757AD1" w:rsidRPr="007473DD">
        <w:fldChar w:fldCharType="begin"/>
      </w:r>
      <w:r w:rsidR="00757AD1" w:rsidRPr="007473DD">
        <w:instrText xml:space="preserve"> REF _Ref131407393 \r \h </w:instrText>
      </w:r>
      <w:r w:rsidR="007473DD">
        <w:instrText xml:space="preserve"> \* MERGEFORMAT </w:instrText>
      </w:r>
      <w:r w:rsidR="00757AD1" w:rsidRPr="007473DD">
        <w:fldChar w:fldCharType="separate"/>
      </w:r>
      <w:r w:rsidR="00E15D2D">
        <w:t>Appendix C</w:t>
      </w:r>
      <w:r w:rsidR="00757AD1" w:rsidRPr="007473DD">
        <w:fldChar w:fldCharType="end"/>
      </w:r>
      <w:r w:rsidR="002F19E5" w:rsidRPr="007473DD">
        <w:t xml:space="preserve"> for</w:t>
      </w:r>
      <w:r w:rsidR="002F19E5">
        <w:t xml:space="preserve"> how a consumer interacts with DBDRV and the key stages.</w:t>
      </w:r>
    </w:p>
    <w:p w14:paraId="282DB848" w14:textId="0766A755" w:rsidR="008D6F2D" w:rsidRDefault="008D6F2D" w:rsidP="00BD2283">
      <w:r>
        <w:rPr>
          <w:lang w:eastAsia="en-AU"/>
        </w:rPr>
        <w:t>Since its inception, DBDRV has been working to fulfil its mandate</w:t>
      </w:r>
      <w:r w:rsidR="00B81563">
        <w:rPr>
          <w:lang w:eastAsia="en-AU"/>
        </w:rPr>
        <w:t>. It has recently</w:t>
      </w:r>
      <w:r>
        <w:rPr>
          <w:lang w:eastAsia="en-AU"/>
        </w:rPr>
        <w:t xml:space="preserve"> invested in the triaging and early assessment of disputes by developing an online application process that helps clients identify the suitability of their dispute for DBDRV.</w:t>
      </w:r>
      <w:r>
        <w:rPr>
          <w:rStyle w:val="EndnoteReference"/>
          <w:lang w:eastAsia="en-AU"/>
        </w:rPr>
        <w:endnoteReference w:id="61"/>
      </w:r>
      <w:r>
        <w:rPr>
          <w:lang w:eastAsia="en-AU"/>
        </w:rPr>
        <w:t xml:space="preserve"> This has reduced the number of applications made that are out of </w:t>
      </w:r>
      <w:r w:rsidRPr="002847C8">
        <w:rPr>
          <w:lang w:eastAsia="en-AU"/>
        </w:rPr>
        <w:t>jurisdiction.</w:t>
      </w:r>
      <w:r>
        <w:rPr>
          <w:rStyle w:val="EndnoteReference"/>
          <w:lang w:eastAsia="en-AU"/>
        </w:rPr>
        <w:endnoteReference w:id="62"/>
      </w:r>
      <w:r w:rsidR="00DC4377">
        <w:rPr>
          <w:lang w:eastAsia="en-AU"/>
        </w:rPr>
        <w:t xml:space="preserve"> DBDRV is currently expanding its use of DROs and technical assessments, </w:t>
      </w:r>
      <w:r w:rsidR="00B50D39">
        <w:rPr>
          <w:lang w:eastAsia="en-AU"/>
        </w:rPr>
        <w:t xml:space="preserve">which should </w:t>
      </w:r>
      <w:r w:rsidR="00356571">
        <w:rPr>
          <w:lang w:eastAsia="en-AU"/>
        </w:rPr>
        <w:t>lead to</w:t>
      </w:r>
      <w:r w:rsidR="000C45F8">
        <w:rPr>
          <w:lang w:eastAsia="en-AU"/>
        </w:rPr>
        <w:t xml:space="preserve"> more effective dispute resolution</w:t>
      </w:r>
      <w:r w:rsidR="00DC4377">
        <w:rPr>
          <w:lang w:eastAsia="en-AU"/>
        </w:rPr>
        <w:t xml:space="preserve">. </w:t>
      </w:r>
    </w:p>
    <w:p w14:paraId="2F1B6478" w14:textId="5C991F86" w:rsidR="00497065" w:rsidRPr="003F7896" w:rsidRDefault="00497065" w:rsidP="003F7896">
      <w:pPr>
        <w:pStyle w:val="Heading5"/>
      </w:pPr>
      <w:r w:rsidRPr="003F7896">
        <w:t>VCAT is a</w:t>
      </w:r>
      <w:r w:rsidR="000D63B7" w:rsidRPr="003F7896">
        <w:t>n administrative tribunal that can hear matters relating to domestic building disputes, in circumstances where the matter cannot be conciliated</w:t>
      </w:r>
    </w:p>
    <w:p w14:paraId="4BB872F5" w14:textId="77777777" w:rsidR="00A47556" w:rsidRDefault="00B33DE6" w:rsidP="0028500B">
      <w:pPr>
        <w:rPr>
          <w:lang w:eastAsia="en-AU"/>
        </w:rPr>
        <w:sectPr w:rsidR="00A47556" w:rsidSect="00A47556">
          <w:footerReference w:type="first" r:id="rId81"/>
          <w:endnotePr>
            <w:numFmt w:val="decimal"/>
          </w:endnotePr>
          <w:type w:val="continuous"/>
          <w:pgSz w:w="11907" w:h="16839" w:code="9"/>
          <w:pgMar w:top="1418" w:right="1418" w:bottom="1701" w:left="1559" w:header="720" w:footer="720" w:gutter="0"/>
          <w:cols w:space="720"/>
          <w:titlePg/>
          <w:docGrid w:linePitch="360"/>
        </w:sectPr>
      </w:pPr>
      <w:r w:rsidRPr="0082433D">
        <w:rPr>
          <w:lang w:eastAsia="en-AU"/>
        </w:rPr>
        <w:t>VCAT may hear domestic building disputes involving the building owner only after the matter has progressed through DBDRV or where it has been expedited.</w:t>
      </w:r>
      <w:r>
        <w:rPr>
          <w:rStyle w:val="EndnoteReference"/>
          <w:lang w:eastAsia="en-AU"/>
        </w:rPr>
        <w:endnoteReference w:id="63"/>
      </w:r>
      <w:r w:rsidR="0005225E">
        <w:rPr>
          <w:lang w:eastAsia="en-AU"/>
        </w:rPr>
        <w:t xml:space="preserve"> </w:t>
      </w:r>
      <w:r w:rsidRPr="0082433D">
        <w:rPr>
          <w:lang w:eastAsia="en-AU"/>
        </w:rPr>
        <w:t xml:space="preserve">Disputes between practitioners, </w:t>
      </w:r>
      <w:r>
        <w:rPr>
          <w:lang w:eastAsia="en-AU"/>
        </w:rPr>
        <w:t>or disputes between an owner and a DBI insurer,</w:t>
      </w:r>
      <w:r w:rsidRPr="0082433D">
        <w:rPr>
          <w:lang w:eastAsia="en-AU"/>
        </w:rPr>
        <w:t xml:space="preserve"> on the other hand, can be heard directly by VCAT. </w:t>
      </w:r>
      <w:r w:rsidR="00384B22">
        <w:rPr>
          <w:lang w:eastAsia="en-AU"/>
        </w:rPr>
        <w:t>They</w:t>
      </w:r>
      <w:r w:rsidR="00384B22" w:rsidRPr="0082433D">
        <w:rPr>
          <w:lang w:eastAsia="en-AU"/>
        </w:rPr>
        <w:t xml:space="preserve"> </w:t>
      </w:r>
      <w:r w:rsidRPr="0082433D">
        <w:rPr>
          <w:lang w:eastAsia="en-AU"/>
        </w:rPr>
        <w:t>may also hear building disputes relating to a breach of the ACL or where the dispute relates to matters outside of DBDRV’s jurisdiction (including single trades).</w:t>
      </w:r>
      <w:r>
        <w:rPr>
          <w:rStyle w:val="EndnoteReference"/>
          <w:lang w:eastAsia="en-AU"/>
        </w:rPr>
        <w:endnoteReference w:id="64"/>
      </w:r>
      <w:r w:rsidRPr="0082433D">
        <w:rPr>
          <w:lang w:eastAsia="en-AU"/>
        </w:rPr>
        <w:t xml:space="preserve"> In 2021</w:t>
      </w:r>
      <w:r>
        <w:rPr>
          <w:lang w:eastAsia="en-AU"/>
        </w:rPr>
        <w:t>-22</w:t>
      </w:r>
      <w:r w:rsidRPr="0082433D">
        <w:rPr>
          <w:lang w:eastAsia="en-AU"/>
        </w:rPr>
        <w:t>, VCAT heard 1,</w:t>
      </w:r>
      <w:r>
        <w:rPr>
          <w:lang w:eastAsia="en-AU"/>
        </w:rPr>
        <w:t>128</w:t>
      </w:r>
      <w:r w:rsidRPr="0082433D">
        <w:rPr>
          <w:lang w:eastAsia="en-AU"/>
        </w:rPr>
        <w:t xml:space="preserve"> building dispute-related matters brought under the DBCA.</w:t>
      </w:r>
      <w:r>
        <w:rPr>
          <w:rStyle w:val="EndnoteReference"/>
          <w:lang w:eastAsia="en-AU"/>
        </w:rPr>
        <w:endnoteReference w:id="65"/>
      </w:r>
      <w:r w:rsidRPr="0082433D">
        <w:rPr>
          <w:lang w:eastAsia="en-AU"/>
        </w:rPr>
        <w:t xml:space="preserve"> </w:t>
      </w:r>
      <w:r w:rsidR="00384B22">
        <w:rPr>
          <w:lang w:eastAsia="en-AU"/>
        </w:rPr>
        <w:t xml:space="preserve">They </w:t>
      </w:r>
      <w:r w:rsidRPr="0082433D">
        <w:rPr>
          <w:lang w:eastAsia="en-AU"/>
        </w:rPr>
        <w:t>will attempt to resolve a dispute through mediation or compulsory conference. VCAT also has the power to direct a dispute to a hearing and to issue a monetary or non-monetary order on either party</w:t>
      </w:r>
      <w:r>
        <w:rPr>
          <w:lang w:eastAsia="en-AU"/>
        </w:rPr>
        <w:t>.</w:t>
      </w:r>
    </w:p>
    <w:p w14:paraId="0095B140" w14:textId="355092CB" w:rsidR="0066233E" w:rsidRDefault="0066233E" w:rsidP="0028500B">
      <w:pPr>
        <w:rPr>
          <w:lang w:eastAsia="en-AU"/>
        </w:rPr>
      </w:pPr>
    </w:p>
    <w:p w14:paraId="7E889F88" w14:textId="6B1D7426" w:rsidR="005D771C" w:rsidRDefault="00E82DE6" w:rsidP="00E82DE6">
      <w:pPr>
        <w:pStyle w:val="Heading5"/>
      </w:pPr>
      <w:r w:rsidRPr="00F11102">
        <w:lastRenderedPageBreak/>
        <w:t>CAV</w:t>
      </w:r>
      <w:r w:rsidR="00852F76">
        <w:t xml:space="preserve"> can receive complaints and offer limited dispute resolution and triage services </w:t>
      </w:r>
    </w:p>
    <w:p w14:paraId="00B855B5" w14:textId="63FDC6B8" w:rsidR="00372F71" w:rsidRPr="00F11102" w:rsidRDefault="00372F71" w:rsidP="00372F71">
      <w:pPr>
        <w:rPr>
          <w:lang w:eastAsia="en-AU"/>
        </w:rPr>
      </w:pPr>
      <w:r w:rsidRPr="00F11102">
        <w:rPr>
          <w:lang w:eastAsia="en-AU"/>
        </w:rPr>
        <w:t xml:space="preserve">CAV is Victoria’s consumer affairs regulator under the </w:t>
      </w:r>
      <w:r w:rsidRPr="00927E14">
        <w:rPr>
          <w:i/>
          <w:lang w:eastAsia="en-AU"/>
        </w:rPr>
        <w:t>Australian Consumer Law and Fair Trading Act 2012</w:t>
      </w:r>
      <w:r w:rsidRPr="00F11102">
        <w:rPr>
          <w:lang w:eastAsia="en-AU"/>
        </w:rPr>
        <w:t xml:space="preserve"> (Vic). CAV can receive and investigate building issues and complaints relating to breaches of the ACL consumer guarantees and matters relating to single trades that are outside of DBDRV’s </w:t>
      </w:r>
      <w:r w:rsidRPr="00E97D5C">
        <w:rPr>
          <w:rFonts w:eastAsia="Calibri" w:cs="Arial"/>
          <w:lang w:eastAsia="en-AU"/>
        </w:rPr>
        <w:t xml:space="preserve">jurisdiction. </w:t>
      </w:r>
    </w:p>
    <w:p w14:paraId="56B60E44" w14:textId="5CDFC42F" w:rsidR="003C4284" w:rsidRDefault="00372F71" w:rsidP="00372F71">
      <w:pPr>
        <w:rPr>
          <w:lang w:eastAsia="en-AU"/>
        </w:rPr>
      </w:pPr>
      <w:r w:rsidRPr="00F11102">
        <w:rPr>
          <w:lang w:eastAsia="en-AU"/>
        </w:rPr>
        <w:t xml:space="preserve">CAV also oversees </w:t>
      </w:r>
      <w:r>
        <w:rPr>
          <w:lang w:eastAsia="en-AU"/>
        </w:rPr>
        <w:t xml:space="preserve">the </w:t>
      </w:r>
      <w:r w:rsidRPr="00F11102">
        <w:rPr>
          <w:lang w:eastAsia="en-AU"/>
        </w:rPr>
        <w:t>administration of the DBCA. As part of this role, CAV provides information to consumers regarding disputes and offers</w:t>
      </w:r>
      <w:r>
        <w:rPr>
          <w:lang w:eastAsia="en-AU"/>
        </w:rPr>
        <w:t xml:space="preserve"> initial triage and</w:t>
      </w:r>
      <w:r w:rsidRPr="00F11102">
        <w:rPr>
          <w:lang w:eastAsia="en-AU"/>
        </w:rPr>
        <w:t xml:space="preserve"> limited dispute resolution </w:t>
      </w:r>
      <w:r>
        <w:rPr>
          <w:lang w:eastAsia="en-AU"/>
        </w:rPr>
        <w:t>advice</w:t>
      </w:r>
      <w:r w:rsidRPr="00F11102">
        <w:rPr>
          <w:lang w:eastAsia="en-AU"/>
        </w:rPr>
        <w:t xml:space="preserve"> through the Building Information Line (BIL). </w:t>
      </w:r>
      <w:r w:rsidR="003C4284">
        <w:rPr>
          <w:lang w:eastAsia="en-AU"/>
        </w:rPr>
        <w:t xml:space="preserve">The BIL can </w:t>
      </w:r>
      <w:r w:rsidR="007B528A">
        <w:rPr>
          <w:lang w:eastAsia="en-AU"/>
        </w:rPr>
        <w:t xml:space="preserve">provide advice to property owners and tradespeople on small building matters. </w:t>
      </w:r>
      <w:r w:rsidR="001C70EE">
        <w:rPr>
          <w:lang w:eastAsia="en-AU"/>
        </w:rPr>
        <w:t xml:space="preserve">Where it cannot resolve the issue, it </w:t>
      </w:r>
      <w:r w:rsidR="00BA250B">
        <w:rPr>
          <w:lang w:eastAsia="en-AU"/>
        </w:rPr>
        <w:t>will</w:t>
      </w:r>
      <w:r w:rsidR="001C70EE">
        <w:rPr>
          <w:lang w:eastAsia="en-AU"/>
        </w:rPr>
        <w:t xml:space="preserve"> advise consumers to apply to DBDRV or VCAT. </w:t>
      </w:r>
    </w:p>
    <w:p w14:paraId="6FED5680" w14:textId="77777777" w:rsidR="0007219A" w:rsidRDefault="00F32072">
      <w:pPr>
        <w:pStyle w:val="Heading2"/>
        <w:spacing w:after="160" w:line="259" w:lineRule="auto"/>
      </w:pPr>
      <w:bookmarkStart w:id="139" w:name="_Ref130999207"/>
      <w:bookmarkStart w:id="140" w:name="_Toc131428713"/>
      <w:bookmarkStart w:id="141" w:name="_Toc134352871"/>
      <w:bookmarkStart w:id="142" w:name="_Toc134356904"/>
      <w:r>
        <w:t>Key issues</w:t>
      </w:r>
      <w:bookmarkEnd w:id="139"/>
      <w:bookmarkEnd w:id="140"/>
      <w:bookmarkEnd w:id="141"/>
      <w:bookmarkEnd w:id="142"/>
    </w:p>
    <w:p w14:paraId="09402148" w14:textId="04E6B75A" w:rsidR="0007219A" w:rsidRDefault="002476B6" w:rsidP="00BE28A8">
      <w:r>
        <w:t>This section</w:t>
      </w:r>
      <w:r w:rsidR="00AE1D96">
        <w:t xml:space="preserve"> describes</w:t>
      </w:r>
      <w:r w:rsidR="00AB57F9">
        <w:t xml:space="preserve"> </w:t>
      </w:r>
      <w:r w:rsidR="006E4E70">
        <w:t xml:space="preserve">the key issues with current elements of </w:t>
      </w:r>
      <w:r w:rsidR="005E09FB">
        <w:t xml:space="preserve">dispute prevention (i.e., preventing disputes from arising) and dispute resolution (i.e., resolving disputes when they arise). These elements influence one another </w:t>
      </w:r>
      <w:r w:rsidR="00E46453">
        <w:t>as</w:t>
      </w:r>
      <w:r w:rsidR="005E09FB">
        <w:t xml:space="preserve"> robust dispute prevention mechanisms empower consumers to resolve </w:t>
      </w:r>
      <w:r w:rsidR="00BC39C8">
        <w:t xml:space="preserve">issues early and </w:t>
      </w:r>
      <w:r w:rsidR="004F14A0">
        <w:t xml:space="preserve">reduce the </w:t>
      </w:r>
      <w:r w:rsidR="005E09FB">
        <w:t>reliance on dispute resolution mechanisms.</w:t>
      </w:r>
    </w:p>
    <w:p w14:paraId="5E4C7C07" w14:textId="77777777" w:rsidR="00D232E8" w:rsidRDefault="00727BCE" w:rsidP="00727BCE">
      <w:pPr>
        <w:pStyle w:val="Heading4"/>
      </w:pPr>
      <w:r>
        <w:t>Key issues relating to dispute prevention</w:t>
      </w:r>
    </w:p>
    <w:p w14:paraId="73F01BCB" w14:textId="49E4C0B1" w:rsidR="00402590" w:rsidRPr="007B043E" w:rsidRDefault="00D232E8" w:rsidP="00402590">
      <w:pPr>
        <w:rPr>
          <w:lang w:eastAsia="en-AU"/>
        </w:rPr>
      </w:pPr>
      <w:r w:rsidRPr="007204B2">
        <w:rPr>
          <w:lang w:eastAsia="en-AU"/>
        </w:rPr>
        <w:t xml:space="preserve">Despite available consumer information, the complexity of the building </w:t>
      </w:r>
      <w:r w:rsidR="0022231D">
        <w:rPr>
          <w:lang w:eastAsia="en-AU"/>
        </w:rPr>
        <w:t xml:space="preserve">regulatory </w:t>
      </w:r>
      <w:r w:rsidRPr="007204B2">
        <w:rPr>
          <w:lang w:eastAsia="en-AU"/>
        </w:rPr>
        <w:t xml:space="preserve">system contributes to a lack of understanding of roles and responsibilities which can exacerbate disputes. Where disputes arise between a building owner and practitioner, the system </w:t>
      </w:r>
      <w:r>
        <w:rPr>
          <w:lang w:eastAsia="en-AU"/>
        </w:rPr>
        <w:t xml:space="preserve">does not </w:t>
      </w:r>
      <w:r w:rsidR="00290739">
        <w:rPr>
          <w:lang w:eastAsia="en-AU"/>
        </w:rPr>
        <w:t xml:space="preserve">effectively </w:t>
      </w:r>
      <w:r>
        <w:rPr>
          <w:lang w:eastAsia="en-AU"/>
        </w:rPr>
        <w:t xml:space="preserve">enable early resolution </w:t>
      </w:r>
      <w:r w:rsidRPr="007204B2">
        <w:rPr>
          <w:lang w:eastAsia="en-AU"/>
        </w:rPr>
        <w:t xml:space="preserve">to prevent </w:t>
      </w:r>
      <w:r w:rsidR="007B043E">
        <w:rPr>
          <w:lang w:eastAsia="en-AU"/>
        </w:rPr>
        <w:t>issues</w:t>
      </w:r>
      <w:r w:rsidRPr="007204B2">
        <w:rPr>
          <w:lang w:eastAsia="en-AU"/>
        </w:rPr>
        <w:t xml:space="preserve"> </w:t>
      </w:r>
      <w:r w:rsidR="00D548A5">
        <w:rPr>
          <w:lang w:eastAsia="en-AU"/>
        </w:rPr>
        <w:t xml:space="preserve">from </w:t>
      </w:r>
      <w:r w:rsidRPr="007204B2">
        <w:rPr>
          <w:lang w:eastAsia="en-AU"/>
        </w:rPr>
        <w:t>escalating</w:t>
      </w:r>
      <w:r w:rsidR="007B043E">
        <w:rPr>
          <w:lang w:eastAsia="en-AU"/>
        </w:rPr>
        <w:t xml:space="preserve">. </w:t>
      </w:r>
      <w:r w:rsidR="00402590">
        <w:t xml:space="preserve">The </w:t>
      </w:r>
      <w:r w:rsidR="007B043E">
        <w:t>P</w:t>
      </w:r>
      <w:r w:rsidR="00402590">
        <w:t xml:space="preserve">anel has identified three issues relating to dispute prevention in the building </w:t>
      </w:r>
      <w:r w:rsidR="0022231D">
        <w:t xml:space="preserve">regulatory </w:t>
      </w:r>
      <w:r w:rsidR="00402590">
        <w:t>system</w:t>
      </w:r>
      <w:r w:rsidR="007B043E">
        <w:t>, described below.</w:t>
      </w:r>
    </w:p>
    <w:p w14:paraId="5BBFFFEE" w14:textId="5A2C3E99" w:rsidR="00402590" w:rsidRDefault="00402590" w:rsidP="00402590">
      <w:pPr>
        <w:pStyle w:val="Heading5"/>
      </w:pPr>
      <w:r>
        <w:t>Disputes can be caused or exacerbated by limited engagement with the terms of a domestic building contract</w:t>
      </w:r>
    </w:p>
    <w:p w14:paraId="12262C46" w14:textId="597DF543" w:rsidR="00B40BBD" w:rsidRDefault="00B40BBD" w:rsidP="00B40BBD">
      <w:pPr>
        <w:rPr>
          <w:lang w:eastAsia="en-AU"/>
        </w:rPr>
      </w:pPr>
      <w:r w:rsidRPr="00DF2EB3">
        <w:rPr>
          <w:lang w:eastAsia="en-AU"/>
        </w:rPr>
        <w:t xml:space="preserve">Consumers may feel that they are not empowered to vary terms in the domestic building contract, either due to a lack of familiarity with the issues, or to maintain a good relationship with the builder. </w:t>
      </w:r>
      <w:r w:rsidR="006243FD">
        <w:rPr>
          <w:lang w:eastAsia="en-AU"/>
        </w:rPr>
        <w:t>Resultantly</w:t>
      </w:r>
      <w:r w:rsidRPr="00DF2EB3">
        <w:rPr>
          <w:lang w:eastAsia="en-AU"/>
        </w:rPr>
        <w:t xml:space="preserve">, few building </w:t>
      </w:r>
      <w:r>
        <w:rPr>
          <w:lang w:eastAsia="en-AU"/>
        </w:rPr>
        <w:t>owners</w:t>
      </w:r>
      <w:r w:rsidRPr="00DF2EB3">
        <w:rPr>
          <w:lang w:eastAsia="en-AU"/>
        </w:rPr>
        <w:t xml:space="preserve"> meaningfully engage with the contract documents, or fully understand their rights and responsibilities under the contract.</w:t>
      </w:r>
      <w:r>
        <w:rPr>
          <w:rStyle w:val="EndnoteReference"/>
          <w:lang w:eastAsia="en-AU"/>
        </w:rPr>
        <w:endnoteReference w:id="66"/>
      </w:r>
      <w:r w:rsidR="007B043E" w:rsidRPr="00DF2EB3">
        <w:rPr>
          <w:lang w:eastAsia="en-AU"/>
        </w:rPr>
        <w:t xml:space="preserve"> </w:t>
      </w:r>
      <w:r w:rsidRPr="00DF2EB3">
        <w:rPr>
          <w:lang w:eastAsia="en-AU"/>
        </w:rPr>
        <w:t>Instead, building owners often rely on their practitioners, family and friends for information</w:t>
      </w:r>
      <w:r>
        <w:rPr>
          <w:lang w:eastAsia="en-AU"/>
        </w:rPr>
        <w:t>.</w:t>
      </w:r>
      <w:r>
        <w:rPr>
          <w:rStyle w:val="EndnoteReference"/>
          <w:lang w:eastAsia="en-AU"/>
        </w:rPr>
        <w:endnoteReference w:id="67"/>
      </w:r>
    </w:p>
    <w:p w14:paraId="0A86DE13" w14:textId="66B7D818" w:rsidR="00461128" w:rsidRPr="00D715D5" w:rsidDel="005573DD" w:rsidRDefault="00A83AF5" w:rsidP="00402590">
      <w:pPr>
        <w:rPr>
          <w:lang w:eastAsia="en-AU"/>
        </w:rPr>
      </w:pPr>
      <w:r>
        <w:rPr>
          <w:lang w:eastAsia="en-AU"/>
        </w:rPr>
        <w:t>Recent amendments to the DBCA require a builder entering into a domestic building contract to provide a building owner with a</w:t>
      </w:r>
      <w:r w:rsidR="00721D3B" w:rsidRPr="00E24B1B">
        <w:rPr>
          <w:lang w:eastAsia="en-AU"/>
        </w:rPr>
        <w:t xml:space="preserve"> </w:t>
      </w:r>
      <w:hyperlink r:id="rId82" w:history="1">
        <w:r w:rsidR="00721D3B" w:rsidRPr="00450692">
          <w:rPr>
            <w:rStyle w:val="Hyperlink"/>
            <w:lang w:eastAsia="en-AU"/>
          </w:rPr>
          <w:t>Domestic Building Consumer Guide</w:t>
        </w:r>
      </w:hyperlink>
      <w:r w:rsidR="00721D3B" w:rsidRPr="00E24B1B">
        <w:rPr>
          <w:lang w:eastAsia="en-AU"/>
        </w:rPr>
        <w:t xml:space="preserve"> and </w:t>
      </w:r>
      <w:hyperlink r:id="rId83" w:history="1">
        <w:r w:rsidR="00721D3B" w:rsidRPr="0097419A">
          <w:rPr>
            <w:rStyle w:val="Hyperlink"/>
            <w:lang w:eastAsia="en-AU"/>
          </w:rPr>
          <w:t>Domestic Building Contract Checklist</w:t>
        </w:r>
      </w:hyperlink>
      <w:r w:rsidR="00721D3B" w:rsidRPr="00E24B1B">
        <w:rPr>
          <w:lang w:eastAsia="en-AU"/>
        </w:rPr>
        <w:t>.</w:t>
      </w:r>
      <w:r w:rsidR="00721D3B">
        <w:rPr>
          <w:rStyle w:val="EndnoteReference"/>
          <w:lang w:eastAsia="en-AU"/>
        </w:rPr>
        <w:endnoteReference w:id="68"/>
      </w:r>
      <w:r w:rsidR="00721D3B" w:rsidRPr="00E24B1B">
        <w:rPr>
          <w:lang w:eastAsia="en-AU"/>
        </w:rPr>
        <w:t xml:space="preserve"> The guide sets out owners’ rights and responsibilities, the roles of the builder and building surveyor, the requirements of a building contract, and the avenues available to consumers if things go wrong.</w:t>
      </w:r>
      <w:r w:rsidR="00721D3B">
        <w:rPr>
          <w:rStyle w:val="EndnoteReference"/>
          <w:lang w:eastAsia="en-AU"/>
        </w:rPr>
        <w:endnoteReference w:id="69"/>
      </w:r>
      <w:r w:rsidR="00030D87">
        <w:rPr>
          <w:lang w:eastAsia="en-AU"/>
        </w:rPr>
        <w:t xml:space="preserve"> The guiding documents </w:t>
      </w:r>
      <w:r w:rsidR="007B043E">
        <w:rPr>
          <w:lang w:eastAsia="en-AU"/>
        </w:rPr>
        <w:t xml:space="preserve">seek </w:t>
      </w:r>
      <w:r w:rsidR="00030D87">
        <w:rPr>
          <w:lang w:eastAsia="en-AU"/>
        </w:rPr>
        <w:t xml:space="preserve">to </w:t>
      </w:r>
      <w:r w:rsidR="007B043E">
        <w:rPr>
          <w:lang w:eastAsia="en-AU"/>
        </w:rPr>
        <w:t xml:space="preserve">support </w:t>
      </w:r>
      <w:r w:rsidR="00030D87">
        <w:rPr>
          <w:lang w:eastAsia="en-AU"/>
        </w:rPr>
        <w:t xml:space="preserve">consumers to engage with the terms </w:t>
      </w:r>
      <w:r w:rsidR="00BA250B">
        <w:rPr>
          <w:lang w:eastAsia="en-AU"/>
        </w:rPr>
        <w:t>of</w:t>
      </w:r>
      <w:r w:rsidR="00030D87">
        <w:rPr>
          <w:lang w:eastAsia="en-AU"/>
        </w:rPr>
        <w:t xml:space="preserve"> the building contract and understand their rights and responsibilities under it.</w:t>
      </w:r>
      <w:r w:rsidR="0081660F">
        <w:rPr>
          <w:lang w:eastAsia="en-AU"/>
        </w:rPr>
        <w:t xml:space="preserve"> </w:t>
      </w:r>
      <w:r w:rsidR="002165F5" w:rsidRPr="007617E9">
        <w:rPr>
          <w:lang w:eastAsia="en-AU"/>
        </w:rPr>
        <w:t xml:space="preserve">There are opportunities to improve </w:t>
      </w:r>
      <w:r w:rsidR="00D752A3" w:rsidRPr="007617E9">
        <w:rPr>
          <w:lang w:eastAsia="en-AU"/>
        </w:rPr>
        <w:t>this guidance to be more user-centric</w:t>
      </w:r>
      <w:r w:rsidR="007A6FA2" w:rsidRPr="007617E9">
        <w:rPr>
          <w:lang w:eastAsia="en-AU"/>
        </w:rPr>
        <w:t xml:space="preserve"> and</w:t>
      </w:r>
      <w:r w:rsidR="007617E9" w:rsidRPr="00561B01">
        <w:rPr>
          <w:lang w:eastAsia="en-AU"/>
        </w:rPr>
        <w:t xml:space="preserve"> to</w:t>
      </w:r>
      <w:r w:rsidR="007A6FA2" w:rsidRPr="007617E9">
        <w:rPr>
          <w:lang w:eastAsia="en-AU"/>
        </w:rPr>
        <w:t xml:space="preserve"> better communicate roles and responsibilities.</w:t>
      </w:r>
      <w:r w:rsidR="00F45CB1">
        <w:rPr>
          <w:lang w:eastAsia="en-AU"/>
        </w:rPr>
        <w:t xml:space="preserve"> </w:t>
      </w:r>
      <w:r w:rsidR="00461128">
        <w:rPr>
          <w:lang w:eastAsia="en-AU"/>
        </w:rPr>
        <w:t>There are also opportunities to modernise the DBCA</w:t>
      </w:r>
      <w:r w:rsidR="005C65F9">
        <w:rPr>
          <w:lang w:eastAsia="en-AU"/>
        </w:rPr>
        <w:t xml:space="preserve"> </w:t>
      </w:r>
      <w:r w:rsidR="005C4FAD">
        <w:rPr>
          <w:lang w:eastAsia="en-AU"/>
        </w:rPr>
        <w:t xml:space="preserve">and address </w:t>
      </w:r>
      <w:r w:rsidR="005573DD">
        <w:rPr>
          <w:lang w:eastAsia="en-AU"/>
        </w:rPr>
        <w:t xml:space="preserve">known </w:t>
      </w:r>
      <w:r w:rsidR="005C4FAD">
        <w:rPr>
          <w:lang w:eastAsia="en-AU"/>
        </w:rPr>
        <w:t>issues</w:t>
      </w:r>
      <w:r w:rsidR="005573DD">
        <w:rPr>
          <w:lang w:eastAsia="en-AU"/>
        </w:rPr>
        <w:t>.</w:t>
      </w:r>
      <w:r w:rsidR="005C4FAD">
        <w:rPr>
          <w:lang w:eastAsia="en-AU"/>
        </w:rPr>
        <w:t xml:space="preserve"> </w:t>
      </w:r>
    </w:p>
    <w:p w14:paraId="763FEDAA" w14:textId="799CF476" w:rsidR="00472780" w:rsidRDefault="00402590" w:rsidP="00F45CB1">
      <w:pPr>
        <w:pStyle w:val="Heading5"/>
      </w:pPr>
      <w:r>
        <w:t xml:space="preserve">There are few mechanisms </w:t>
      </w:r>
      <w:r w:rsidR="00472780">
        <w:t>to assist building owners and practitioners to resolve disputes early and avoid engaging with the dispute resolution system</w:t>
      </w:r>
    </w:p>
    <w:p w14:paraId="581B9670" w14:textId="77777777" w:rsidR="00A47556" w:rsidRDefault="00C50B47" w:rsidP="009D6FFA">
      <w:pPr>
        <w:rPr>
          <w:lang w:eastAsia="en-AU"/>
        </w:rPr>
        <w:sectPr w:rsidR="00A47556" w:rsidSect="00A47556">
          <w:footerReference w:type="default" r:id="rId84"/>
          <w:endnotePr>
            <w:numFmt w:val="decimal"/>
          </w:endnotePr>
          <w:type w:val="continuous"/>
          <w:pgSz w:w="11907" w:h="16839" w:code="9"/>
          <w:pgMar w:top="1418" w:right="1418" w:bottom="1701" w:left="1559" w:header="720" w:footer="720" w:gutter="0"/>
          <w:cols w:space="720"/>
          <w:titlePg/>
          <w:docGrid w:linePitch="360"/>
        </w:sectPr>
      </w:pPr>
      <w:r w:rsidRPr="005B7904">
        <w:rPr>
          <w:lang w:eastAsia="en-AU"/>
        </w:rPr>
        <w:t xml:space="preserve">Where a dispute arises, building owners and practitioners have few mechanisms to assist </w:t>
      </w:r>
      <w:r>
        <w:rPr>
          <w:lang w:eastAsia="en-AU"/>
        </w:rPr>
        <w:t xml:space="preserve">in </w:t>
      </w:r>
      <w:r w:rsidRPr="005B7904">
        <w:rPr>
          <w:lang w:eastAsia="en-AU"/>
        </w:rPr>
        <w:t>resolv</w:t>
      </w:r>
      <w:r>
        <w:rPr>
          <w:lang w:eastAsia="en-AU"/>
        </w:rPr>
        <w:t>ing</w:t>
      </w:r>
      <w:r w:rsidRPr="005B7904">
        <w:rPr>
          <w:lang w:eastAsia="en-AU"/>
        </w:rPr>
        <w:t xml:space="preserve"> </w:t>
      </w:r>
      <w:r>
        <w:rPr>
          <w:lang w:eastAsia="en-AU"/>
        </w:rPr>
        <w:t>a dispute themselves</w:t>
      </w:r>
      <w:r w:rsidR="006670FF">
        <w:rPr>
          <w:lang w:eastAsia="en-AU"/>
        </w:rPr>
        <w:t xml:space="preserve"> (locally)</w:t>
      </w:r>
      <w:r>
        <w:rPr>
          <w:lang w:eastAsia="en-AU"/>
        </w:rPr>
        <w:t xml:space="preserve">, before engaging with </w:t>
      </w:r>
      <w:r w:rsidRPr="005B7904">
        <w:rPr>
          <w:lang w:eastAsia="en-AU"/>
        </w:rPr>
        <w:t xml:space="preserve">dispute resolution </w:t>
      </w:r>
      <w:r>
        <w:rPr>
          <w:lang w:eastAsia="en-AU"/>
        </w:rPr>
        <w:t>services</w:t>
      </w:r>
      <w:r w:rsidRPr="005B7904">
        <w:rPr>
          <w:lang w:eastAsia="en-AU"/>
        </w:rPr>
        <w:t xml:space="preserve">. While building owners can access information online and receive advice through the BIL, </w:t>
      </w:r>
      <w:r w:rsidR="007057B2">
        <w:rPr>
          <w:lang w:eastAsia="en-AU"/>
        </w:rPr>
        <w:t>they</w:t>
      </w:r>
      <w:r w:rsidR="007057B2" w:rsidRPr="005B7904">
        <w:rPr>
          <w:lang w:eastAsia="en-AU"/>
        </w:rPr>
        <w:t xml:space="preserve"> </w:t>
      </w:r>
      <w:r w:rsidRPr="005B7904">
        <w:rPr>
          <w:lang w:eastAsia="en-AU"/>
        </w:rPr>
        <w:t>often do</w:t>
      </w:r>
      <w:r w:rsidR="00F51B0C">
        <w:rPr>
          <w:lang w:eastAsia="en-AU"/>
        </w:rPr>
        <w:t>n’t</w:t>
      </w:r>
      <w:r w:rsidRPr="005B7904">
        <w:rPr>
          <w:lang w:eastAsia="en-AU"/>
        </w:rPr>
        <w:t xml:space="preserve"> know where to go to understand how to resolve their dispute, or the different role played by each agency in the system.</w:t>
      </w:r>
      <w:r>
        <w:rPr>
          <w:rStyle w:val="EndnoteReference"/>
          <w:lang w:eastAsia="en-AU"/>
        </w:rPr>
        <w:endnoteReference w:id="70"/>
      </w:r>
      <w:r w:rsidRPr="005B7904">
        <w:rPr>
          <w:lang w:eastAsia="en-AU"/>
        </w:rPr>
        <w:t xml:space="preserve"> Frustration with the system can </w:t>
      </w:r>
    </w:p>
    <w:p w14:paraId="163D9E03" w14:textId="58A515EB" w:rsidR="00472780" w:rsidRDefault="00C50B47" w:rsidP="009D6FFA">
      <w:r w:rsidRPr="005B7904">
        <w:rPr>
          <w:lang w:eastAsia="en-AU"/>
        </w:rPr>
        <w:lastRenderedPageBreak/>
        <w:t xml:space="preserve">worsen where an owner contacts an agency and is referred to another service. </w:t>
      </w:r>
      <w:r>
        <w:rPr>
          <w:lang w:eastAsia="en-AU"/>
        </w:rPr>
        <w:t>While</w:t>
      </w:r>
      <w:r w:rsidRPr="005B7904">
        <w:rPr>
          <w:lang w:eastAsia="en-AU"/>
        </w:rPr>
        <w:t xml:space="preserve"> building owners and practitioner</w:t>
      </w:r>
      <w:r>
        <w:rPr>
          <w:lang w:eastAsia="en-AU"/>
        </w:rPr>
        <w:t>s are encouraged</w:t>
      </w:r>
      <w:r w:rsidRPr="005B7904">
        <w:rPr>
          <w:lang w:eastAsia="en-AU"/>
        </w:rPr>
        <w:t xml:space="preserve"> to attempt to resolve their dispute before they can access DBDRV</w:t>
      </w:r>
      <w:r>
        <w:rPr>
          <w:lang w:eastAsia="en-AU"/>
        </w:rPr>
        <w:t>,</w:t>
      </w:r>
      <w:r w:rsidRPr="005B7904">
        <w:rPr>
          <w:lang w:eastAsia="en-AU"/>
        </w:rPr>
        <w:t xml:space="preserve"> support </w:t>
      </w:r>
      <w:r w:rsidR="00F51B0C">
        <w:rPr>
          <w:lang w:eastAsia="en-AU"/>
        </w:rPr>
        <w:t>p</w:t>
      </w:r>
      <w:r w:rsidRPr="005B7904">
        <w:rPr>
          <w:lang w:eastAsia="en-AU"/>
        </w:rPr>
        <w:t xml:space="preserve">rovided in the system to support initial </w:t>
      </w:r>
      <w:r w:rsidR="00532EA5">
        <w:rPr>
          <w:lang w:eastAsia="en-AU"/>
        </w:rPr>
        <w:t xml:space="preserve">(local) </w:t>
      </w:r>
      <w:r w:rsidRPr="005B7904">
        <w:rPr>
          <w:lang w:eastAsia="en-AU"/>
        </w:rPr>
        <w:t>resolution</w:t>
      </w:r>
      <w:r w:rsidR="00F51B0C">
        <w:rPr>
          <w:lang w:eastAsia="en-AU"/>
        </w:rPr>
        <w:t xml:space="preserve"> could be improved.</w:t>
      </w:r>
      <w:r w:rsidR="00E07F83">
        <w:rPr>
          <w:lang w:eastAsia="en-AU"/>
        </w:rPr>
        <w:t xml:space="preserve"> This includes access to </w:t>
      </w:r>
      <w:r w:rsidR="007C5552">
        <w:rPr>
          <w:lang w:eastAsia="en-AU"/>
        </w:rPr>
        <w:t>the Domestic Building Legal Service before entering DBDRV</w:t>
      </w:r>
      <w:r w:rsidR="0065184C">
        <w:rPr>
          <w:lang w:eastAsia="en-AU"/>
        </w:rPr>
        <w:t xml:space="preserve">, as recommended in Stage </w:t>
      </w:r>
      <w:r w:rsidR="00962740">
        <w:rPr>
          <w:lang w:eastAsia="en-AU"/>
        </w:rPr>
        <w:t>1</w:t>
      </w:r>
      <w:r w:rsidR="0065184C">
        <w:rPr>
          <w:lang w:eastAsia="en-AU"/>
        </w:rPr>
        <w:t>,</w:t>
      </w:r>
      <w:r w:rsidR="007C5552">
        <w:rPr>
          <w:lang w:eastAsia="en-AU"/>
        </w:rPr>
        <w:t xml:space="preserve"> and better guidance for consumers and industry on resolving d</w:t>
      </w:r>
      <w:r w:rsidR="00290FDD">
        <w:rPr>
          <w:lang w:eastAsia="en-AU"/>
        </w:rPr>
        <w:t xml:space="preserve">isputes. </w:t>
      </w:r>
    </w:p>
    <w:p w14:paraId="31A00E08" w14:textId="77777777" w:rsidR="00472780" w:rsidRDefault="00472780" w:rsidP="00472780">
      <w:pPr>
        <w:pStyle w:val="Heading4"/>
      </w:pPr>
      <w:r>
        <w:t>Key issues relating to dispute resolution</w:t>
      </w:r>
    </w:p>
    <w:p w14:paraId="3FA0085B" w14:textId="40D0FE4B" w:rsidR="00DE4347" w:rsidRPr="005B7904" w:rsidRDefault="00DE4347" w:rsidP="00DE4347">
      <w:pPr>
        <w:rPr>
          <w:lang w:eastAsia="en-AU"/>
        </w:rPr>
      </w:pPr>
      <w:r w:rsidRPr="005B7904">
        <w:rPr>
          <w:lang w:eastAsia="en-AU"/>
        </w:rPr>
        <w:t xml:space="preserve">Where building owners and practitioners seek </w:t>
      </w:r>
      <w:r>
        <w:rPr>
          <w:lang w:eastAsia="en-AU"/>
        </w:rPr>
        <w:t>resolution</w:t>
      </w:r>
      <w:r w:rsidR="00D87C36">
        <w:rPr>
          <w:lang w:eastAsia="en-AU"/>
        </w:rPr>
        <w:t xml:space="preserve"> services</w:t>
      </w:r>
      <w:r w:rsidR="00F51B0C">
        <w:rPr>
          <w:lang w:eastAsia="en-AU"/>
        </w:rPr>
        <w:t xml:space="preserve">, </w:t>
      </w:r>
      <w:r w:rsidRPr="005B7904">
        <w:rPr>
          <w:lang w:eastAsia="en-AU"/>
        </w:rPr>
        <w:t xml:space="preserve">several issues can cause delays, uncertainty and add to the stress of the resolution process. The Panel has identified </w:t>
      </w:r>
      <w:r w:rsidR="00325C58">
        <w:rPr>
          <w:lang w:eastAsia="en-AU"/>
        </w:rPr>
        <w:t>two</w:t>
      </w:r>
      <w:r w:rsidRPr="005B7904">
        <w:rPr>
          <w:lang w:eastAsia="en-AU"/>
        </w:rPr>
        <w:t xml:space="preserve"> </w:t>
      </w:r>
      <w:r w:rsidR="0050197B">
        <w:rPr>
          <w:lang w:eastAsia="en-AU"/>
        </w:rPr>
        <w:t xml:space="preserve">primary </w:t>
      </w:r>
      <w:r w:rsidRPr="005B7904">
        <w:rPr>
          <w:lang w:eastAsia="en-AU"/>
        </w:rPr>
        <w:t>issues</w:t>
      </w:r>
      <w:r w:rsidR="00F51B0C">
        <w:rPr>
          <w:lang w:eastAsia="en-AU"/>
        </w:rPr>
        <w:t>.</w:t>
      </w:r>
    </w:p>
    <w:p w14:paraId="4D8B15C6" w14:textId="34EFEF9B" w:rsidR="00DE4347" w:rsidRDefault="00D87C36" w:rsidP="00DE4347">
      <w:pPr>
        <w:pStyle w:val="Heading5"/>
      </w:pPr>
      <w:r>
        <w:t xml:space="preserve">Current dispute resolution </w:t>
      </w:r>
      <w:r w:rsidR="00163870">
        <w:t xml:space="preserve">pathways </w:t>
      </w:r>
      <w:r w:rsidR="00DE4347">
        <w:t>may not result in timely or effective outcomes for consumers and building practitioners</w:t>
      </w:r>
    </w:p>
    <w:p w14:paraId="0A3B0D82" w14:textId="741D5CB9" w:rsidR="00A113C4" w:rsidRDefault="00BD6CEC" w:rsidP="00BD6CEC">
      <w:pPr>
        <w:rPr>
          <w:lang w:eastAsia="en-AU"/>
        </w:rPr>
      </w:pPr>
      <w:r w:rsidRPr="00AE60DB">
        <w:rPr>
          <w:lang w:eastAsia="en-AU"/>
        </w:rPr>
        <w:t xml:space="preserve">Since </w:t>
      </w:r>
      <w:r w:rsidRPr="004419CB">
        <w:rPr>
          <w:lang w:eastAsia="en-AU"/>
        </w:rPr>
        <w:t xml:space="preserve">its establishment, DBDRV has </w:t>
      </w:r>
      <w:r w:rsidR="004419CB" w:rsidRPr="004419CB">
        <w:rPr>
          <w:lang w:eastAsia="en-AU"/>
        </w:rPr>
        <w:t xml:space="preserve">effectively provided </w:t>
      </w:r>
      <w:r w:rsidRPr="004419CB">
        <w:rPr>
          <w:lang w:eastAsia="en-AU"/>
        </w:rPr>
        <w:t xml:space="preserve">building owners and practitioners </w:t>
      </w:r>
      <w:r w:rsidR="004419CB" w:rsidRPr="004419CB">
        <w:rPr>
          <w:lang w:eastAsia="en-AU"/>
        </w:rPr>
        <w:t xml:space="preserve">with a free avenue to </w:t>
      </w:r>
      <w:r w:rsidRPr="004419CB">
        <w:rPr>
          <w:lang w:eastAsia="en-AU"/>
        </w:rPr>
        <w:t xml:space="preserve">resolve disputes </w:t>
      </w:r>
      <w:r>
        <w:rPr>
          <w:lang w:eastAsia="en-AU"/>
        </w:rPr>
        <w:t>across</w:t>
      </w:r>
      <w:r w:rsidRPr="004419CB">
        <w:rPr>
          <w:lang w:eastAsia="en-AU"/>
        </w:rPr>
        <w:t xml:space="preserve"> the building lifecycle</w:t>
      </w:r>
      <w:r w:rsidRPr="00AE60DB">
        <w:rPr>
          <w:lang w:eastAsia="en-AU"/>
        </w:rPr>
        <w:t xml:space="preserve">. </w:t>
      </w:r>
      <w:r>
        <w:rPr>
          <w:lang w:eastAsia="en-AU"/>
        </w:rPr>
        <w:t>However, as</w:t>
      </w:r>
      <w:r w:rsidRPr="00AE60DB">
        <w:rPr>
          <w:lang w:eastAsia="en-AU"/>
        </w:rPr>
        <w:t xml:space="preserve"> the </w:t>
      </w:r>
      <w:r>
        <w:rPr>
          <w:lang w:eastAsia="en-AU"/>
        </w:rPr>
        <w:t>nature</w:t>
      </w:r>
      <w:r w:rsidRPr="00AE60DB">
        <w:rPr>
          <w:lang w:eastAsia="en-AU"/>
        </w:rPr>
        <w:t xml:space="preserve"> of </w:t>
      </w:r>
      <w:r>
        <w:rPr>
          <w:lang w:eastAsia="en-AU"/>
        </w:rPr>
        <w:t>buildings and disputes change,</w:t>
      </w:r>
      <w:r w:rsidRPr="00AE60DB">
        <w:rPr>
          <w:lang w:eastAsia="en-AU"/>
        </w:rPr>
        <w:t xml:space="preserve"> the current </w:t>
      </w:r>
      <w:r>
        <w:rPr>
          <w:lang w:eastAsia="en-AU"/>
        </w:rPr>
        <w:t>model may no longer be fit for purpose.</w:t>
      </w:r>
      <w:r w:rsidRPr="00AE60DB">
        <w:rPr>
          <w:lang w:eastAsia="en-AU"/>
        </w:rPr>
        <w:t xml:space="preserve"> </w:t>
      </w:r>
      <w:r w:rsidR="00A113C4">
        <w:rPr>
          <w:lang w:eastAsia="en-AU"/>
        </w:rPr>
        <w:t>Specific issues include:</w:t>
      </w:r>
    </w:p>
    <w:p w14:paraId="01F6AE0B" w14:textId="797D7B0E" w:rsidR="00B403AA" w:rsidRPr="00B646E2" w:rsidRDefault="0071345D" w:rsidP="00B403AA">
      <w:pPr>
        <w:pStyle w:val="Bullet"/>
        <w:rPr>
          <w:b/>
          <w:bCs/>
        </w:rPr>
      </w:pPr>
      <w:r w:rsidRPr="00B646E2">
        <w:rPr>
          <w:b/>
          <w:bCs/>
        </w:rPr>
        <w:t>Triaging processes are not well coordinated or clear to users</w:t>
      </w:r>
      <w:r w:rsidR="00A113C4" w:rsidRPr="00B646E2">
        <w:rPr>
          <w:b/>
          <w:bCs/>
        </w:rPr>
        <w:t>.</w:t>
      </w:r>
      <w:r w:rsidRPr="00B646E2">
        <w:t xml:space="preserve"> </w:t>
      </w:r>
      <w:r w:rsidR="00732487" w:rsidRPr="00B646E2">
        <w:t xml:space="preserve">There </w:t>
      </w:r>
      <w:r w:rsidR="00B646E2" w:rsidRPr="00B646E2">
        <w:t>is</w:t>
      </w:r>
      <w:r w:rsidR="00732487" w:rsidRPr="00B646E2">
        <w:t xml:space="preserve"> no single front-door triaging service </w:t>
      </w:r>
      <w:r w:rsidR="0056310D">
        <w:t>for consumer</w:t>
      </w:r>
      <w:r w:rsidR="007617E9">
        <w:t>s</w:t>
      </w:r>
      <w:r w:rsidR="0056310D">
        <w:t xml:space="preserve"> and industry </w:t>
      </w:r>
      <w:r w:rsidR="00732487" w:rsidRPr="00B646E2">
        <w:t>with</w:t>
      </w:r>
      <w:r w:rsidR="0056310D">
        <w:t>in</w:t>
      </w:r>
      <w:r w:rsidR="00732487" w:rsidRPr="00B646E2">
        <w:t xml:space="preserve"> the </w:t>
      </w:r>
      <w:r w:rsidR="0056310D">
        <w:t xml:space="preserve">building </w:t>
      </w:r>
      <w:r w:rsidR="00732487" w:rsidRPr="00B646E2">
        <w:t xml:space="preserve">system. </w:t>
      </w:r>
      <w:r w:rsidR="00FC4D27" w:rsidRPr="00B646E2">
        <w:t>This leads to situations where consumers reach out to multiple agencies for support</w:t>
      </w:r>
      <w:r w:rsidR="005770DA" w:rsidRPr="00B646E2">
        <w:t xml:space="preserve">, </w:t>
      </w:r>
      <w:r w:rsidR="00FC4D27" w:rsidRPr="00B646E2">
        <w:t>often repeating the same information</w:t>
      </w:r>
      <w:r w:rsidR="00F4742C" w:rsidRPr="00B646E2">
        <w:t>.</w:t>
      </w:r>
      <w:r w:rsidR="00F4742C" w:rsidRPr="00B646E2">
        <w:rPr>
          <w:rStyle w:val="EndnoteReference"/>
        </w:rPr>
        <w:endnoteReference w:id="71"/>
      </w:r>
      <w:r w:rsidR="00FC4D27" w:rsidRPr="00B646E2">
        <w:rPr>
          <w:b/>
          <w:bCs/>
        </w:rPr>
        <w:t xml:space="preserve"> </w:t>
      </w:r>
      <w:r w:rsidR="00012BEA" w:rsidRPr="00B646E2">
        <w:t xml:space="preserve"> This can then contribute to the escalation of disputes by the time they reach DBDRV and </w:t>
      </w:r>
      <w:r w:rsidR="00FB11DD">
        <w:t xml:space="preserve">may </w:t>
      </w:r>
      <w:r w:rsidR="00012BEA" w:rsidRPr="00B646E2">
        <w:t>limit the effectiveness of conciliation.</w:t>
      </w:r>
      <w:r w:rsidR="00012BEA" w:rsidRPr="00B646E2">
        <w:rPr>
          <w:rStyle w:val="EndnoteReference"/>
        </w:rPr>
        <w:endnoteReference w:id="72"/>
      </w:r>
      <w:r w:rsidR="00012BEA" w:rsidRPr="00B646E2">
        <w:t xml:space="preserve"> </w:t>
      </w:r>
      <w:r w:rsidR="00105636" w:rsidRPr="00B646E2">
        <w:t>DTP</w:t>
      </w:r>
      <w:r w:rsidR="00002E19" w:rsidRPr="00B646E2">
        <w:t>’</w:t>
      </w:r>
      <w:r w:rsidR="00105636" w:rsidRPr="00B646E2">
        <w:t>s single front</w:t>
      </w:r>
      <w:r w:rsidR="00002E19" w:rsidRPr="00B646E2">
        <w:t>-</w:t>
      </w:r>
      <w:r w:rsidR="00105636" w:rsidRPr="00B646E2">
        <w:t xml:space="preserve">door website is the first step in a new </w:t>
      </w:r>
      <w:r w:rsidR="005D4F54" w:rsidRPr="00B646E2">
        <w:t xml:space="preserve">coordinated triaging service to address this issue. </w:t>
      </w:r>
    </w:p>
    <w:p w14:paraId="6445AF9B" w14:textId="43881C2A" w:rsidR="00B403AA" w:rsidRPr="00B403AA" w:rsidRDefault="00A80322" w:rsidP="009D6FFA">
      <w:pPr>
        <w:pStyle w:val="Bullet"/>
        <w:rPr>
          <w:b/>
          <w:bCs/>
        </w:rPr>
      </w:pPr>
      <w:r w:rsidRPr="00B403AA">
        <w:rPr>
          <w:b/>
          <w:bCs/>
        </w:rPr>
        <w:t xml:space="preserve">A </w:t>
      </w:r>
      <w:r w:rsidR="00B403AA">
        <w:rPr>
          <w:b/>
          <w:bCs/>
        </w:rPr>
        <w:t xml:space="preserve">number of the </w:t>
      </w:r>
      <w:r w:rsidRPr="00B403AA">
        <w:rPr>
          <w:b/>
          <w:bCs/>
        </w:rPr>
        <w:t>cases DBDRV receives are not suitable for conciliation</w:t>
      </w:r>
      <w:r w:rsidR="00B26040" w:rsidRPr="00B403AA">
        <w:rPr>
          <w:b/>
          <w:bCs/>
        </w:rPr>
        <w:t xml:space="preserve">. </w:t>
      </w:r>
      <w:r w:rsidR="00B26040" w:rsidRPr="00B403AA">
        <w:t>Currently, DBDRV issues a Record of Agreement for 29 per cent of the total applications it receives.</w:t>
      </w:r>
      <w:r w:rsidR="00B26040" w:rsidRPr="000C7C3E">
        <w:rPr>
          <w:rStyle w:val="EndnoteReference"/>
        </w:rPr>
        <w:endnoteReference w:id="73"/>
      </w:r>
      <w:r w:rsidR="0005225E">
        <w:t xml:space="preserve"> </w:t>
      </w:r>
      <w:r w:rsidR="00B26040" w:rsidRPr="00B403AA">
        <w:t xml:space="preserve"> This indicates that many of the matters that go to DBDRV are not suitable for conciliation or resolution.</w:t>
      </w:r>
      <w:r w:rsidR="00B403AA">
        <w:t xml:space="preserve"> </w:t>
      </w:r>
      <w:r w:rsidR="00B403AA" w:rsidRPr="00B403AA">
        <w:t>Some stakeholders note that the percentage of ‘not suitable’ matters can be linked to the growth in the construction of multi-storey apartment dwellings and complexity in disputes brought to DBDRV.</w:t>
      </w:r>
      <w:r w:rsidR="00B403AA">
        <w:rPr>
          <w:rStyle w:val="EndnoteReference"/>
        </w:rPr>
        <w:endnoteReference w:id="74"/>
      </w:r>
      <w:r w:rsidR="00B403AA" w:rsidRPr="00B403AA">
        <w:t xml:space="preserve"> Conciliation is often not appropriate to resolve disputes involving multiple apartment owners or for issues with a high level of technical complexity (such as cladding or water ingress). Instead, these matters often require a VCAT hearing and determination. However, due to the mandatory requirement that parties attend DBDRV prior to commencing litigation at VCAT, these applications must first be assessed and triaged through DBDRV.</w:t>
      </w:r>
      <w:r w:rsidR="00B403AA">
        <w:t xml:space="preserve"> </w:t>
      </w:r>
    </w:p>
    <w:p w14:paraId="356731D6" w14:textId="77777777" w:rsidR="00A47556" w:rsidRDefault="00CF7424" w:rsidP="009D6FFA">
      <w:pPr>
        <w:pStyle w:val="Bullet"/>
        <w:sectPr w:rsidR="00A47556" w:rsidSect="00A47556">
          <w:footerReference w:type="first" r:id="rId85"/>
          <w:endnotePr>
            <w:numFmt w:val="decimal"/>
          </w:endnotePr>
          <w:type w:val="continuous"/>
          <w:pgSz w:w="11907" w:h="16839" w:code="9"/>
          <w:pgMar w:top="1418" w:right="1418" w:bottom="1701" w:left="1559" w:header="720" w:footer="720" w:gutter="0"/>
          <w:cols w:space="720"/>
          <w:titlePg/>
          <w:docGrid w:linePitch="360"/>
        </w:sectPr>
      </w:pPr>
      <w:r w:rsidRPr="00B403AA">
        <w:rPr>
          <w:b/>
          <w:bCs/>
        </w:rPr>
        <w:t>Technical assessments are</w:t>
      </w:r>
      <w:r w:rsidR="00005FC6">
        <w:rPr>
          <w:b/>
          <w:bCs/>
        </w:rPr>
        <w:t xml:space="preserve"> not used to their full potential</w:t>
      </w:r>
      <w:r w:rsidR="00B403AA">
        <w:rPr>
          <w:b/>
          <w:bCs/>
        </w:rPr>
        <w:t xml:space="preserve">. </w:t>
      </w:r>
      <w:r w:rsidRPr="00B403AA">
        <w:t>There is substantial value in the use of technical building assessments to help ‘settle the facts’, clarify the underlying cause of a dispute, and determine whether the building work is non-compliant</w:t>
      </w:r>
      <w:r w:rsidR="00B403AA">
        <w:t xml:space="preserve">. </w:t>
      </w:r>
      <w:r w:rsidR="005449F1">
        <w:t xml:space="preserve">However, </w:t>
      </w:r>
      <w:r w:rsidR="005449F1" w:rsidRPr="006B3B01">
        <w:t>on average</w:t>
      </w:r>
      <w:r w:rsidR="005449F1">
        <w:t xml:space="preserve"> only</w:t>
      </w:r>
      <w:r w:rsidR="005449F1" w:rsidRPr="006B3B01">
        <w:t xml:space="preserve"> </w:t>
      </w:r>
      <w:r w:rsidR="005449F1" w:rsidRPr="00C4647D">
        <w:t>14 per cent</w:t>
      </w:r>
      <w:r w:rsidR="005449F1" w:rsidRPr="006B3B01">
        <w:t xml:space="preserve"> of cases that progress to conciliation receive a technical assessment</w:t>
      </w:r>
      <w:r w:rsidR="005449F1">
        <w:t>, while</w:t>
      </w:r>
      <w:r w:rsidR="005449F1" w:rsidRPr="006B3B01">
        <w:t xml:space="preserve"> 50 per cent of applications to DBDRV includ</w:t>
      </w:r>
      <w:r w:rsidR="005449F1">
        <w:t>e</w:t>
      </w:r>
      <w:r w:rsidR="005449F1" w:rsidRPr="006B3B01">
        <w:t xml:space="preserve"> an allegation of defective building work.</w:t>
      </w:r>
      <w:r w:rsidR="005449F1">
        <w:rPr>
          <w:rStyle w:val="EndnoteReference"/>
        </w:rPr>
        <w:endnoteReference w:id="75"/>
      </w:r>
      <w:r w:rsidR="005449F1" w:rsidRPr="006B3B01">
        <w:t xml:space="preserve"> Industry stakeholders consider that too few disputes appropriately engage building assessors, and that greater use of technical assessments early in the process would reduce the time taken to resolve disputes.</w:t>
      </w:r>
      <w:r w:rsidR="005449F1">
        <w:rPr>
          <w:rStyle w:val="EndnoteReference"/>
        </w:rPr>
        <w:endnoteReference w:id="76"/>
      </w:r>
      <w:r w:rsidR="005449F1" w:rsidRPr="006B3B01">
        <w:t xml:space="preserve"> </w:t>
      </w:r>
      <w:r w:rsidR="005449F1">
        <w:t xml:space="preserve">DBDRV note labour market </w:t>
      </w:r>
      <w:r w:rsidR="005449F1" w:rsidRPr="006B3B01">
        <w:t xml:space="preserve">challenges in </w:t>
      </w:r>
      <w:r w:rsidR="005449F1">
        <w:t>obtaining a sufficient number of</w:t>
      </w:r>
      <w:r w:rsidR="005449F1" w:rsidRPr="006B3B01">
        <w:t xml:space="preserve"> qualified building assessors </w:t>
      </w:r>
      <w:r w:rsidR="005449F1">
        <w:t>to increase the number of technical assessments</w:t>
      </w:r>
      <w:r w:rsidR="005449F1" w:rsidRPr="006B3B01">
        <w:t xml:space="preserve">. </w:t>
      </w:r>
      <w:r w:rsidR="009F0B38">
        <w:t xml:space="preserve">The Panel understands that DBDRV is currently recruiting </w:t>
      </w:r>
      <w:r w:rsidR="00E30CCD">
        <w:t xml:space="preserve">more building assessors and is considering establishing an independent panel of assessors. </w:t>
      </w:r>
    </w:p>
    <w:p w14:paraId="4BBBD0FD" w14:textId="2D2FD339" w:rsidR="004668EC" w:rsidRPr="00A47556" w:rsidRDefault="004668EC" w:rsidP="009D6FFA">
      <w:pPr>
        <w:pStyle w:val="Bullet"/>
        <w:rPr>
          <w:b/>
        </w:rPr>
      </w:pPr>
      <w:r>
        <w:rPr>
          <w:b/>
          <w:bCs/>
        </w:rPr>
        <w:t>D</w:t>
      </w:r>
      <w:r w:rsidR="006D57A3">
        <w:rPr>
          <w:b/>
          <w:bCs/>
        </w:rPr>
        <w:t>ROs</w:t>
      </w:r>
      <w:r w:rsidR="00B30773">
        <w:rPr>
          <w:b/>
          <w:bCs/>
        </w:rPr>
        <w:t xml:space="preserve"> have been </w:t>
      </w:r>
      <w:r>
        <w:rPr>
          <w:b/>
          <w:bCs/>
        </w:rPr>
        <w:t xml:space="preserve">used infrequently. </w:t>
      </w:r>
      <w:r w:rsidRPr="006B3B01">
        <w:t xml:space="preserve">In 2020, </w:t>
      </w:r>
      <w:r>
        <w:t xml:space="preserve">DBDRV issued </w:t>
      </w:r>
      <w:r w:rsidRPr="006B3B01">
        <w:t>35 DROs</w:t>
      </w:r>
      <w:r>
        <w:t xml:space="preserve">. Less than </w:t>
      </w:r>
      <w:r w:rsidR="00FC3373">
        <w:t>on</w:t>
      </w:r>
      <w:r w:rsidR="000F0248">
        <w:t xml:space="preserve">e </w:t>
      </w:r>
      <w:r>
        <w:t>per cent</w:t>
      </w:r>
      <w:r w:rsidRPr="00BD5A37">
        <w:t xml:space="preserve"> of DBDRV’s cases between April 2017 to December 2020</w:t>
      </w:r>
      <w:r w:rsidRPr="006B3B01">
        <w:t xml:space="preserve"> were </w:t>
      </w:r>
      <w:r w:rsidRPr="00BD5A37">
        <w:t>resolved through a DRO</w:t>
      </w:r>
      <w:r>
        <w:t>.</w:t>
      </w:r>
      <w:r>
        <w:rPr>
          <w:rStyle w:val="EndnoteReference"/>
        </w:rPr>
        <w:endnoteReference w:id="77"/>
      </w:r>
      <w:r>
        <w:rPr>
          <w:rFonts w:eastAsiaTheme="minorHAnsi" w:cstheme="minorBidi"/>
          <w:szCs w:val="22"/>
          <w:lang w:val="en-US" w:eastAsia="en-US"/>
        </w:rPr>
        <w:t xml:space="preserve"> </w:t>
      </w:r>
      <w:r w:rsidR="004949BE" w:rsidRPr="006B3B01">
        <w:t xml:space="preserve">The Panel is of the view that </w:t>
      </w:r>
      <w:r w:rsidR="004949BE">
        <w:t>increased</w:t>
      </w:r>
      <w:r w:rsidR="004949BE" w:rsidRPr="006B3B01">
        <w:t xml:space="preserve"> use of DROs </w:t>
      </w:r>
      <w:r w:rsidR="004949BE">
        <w:t xml:space="preserve">would improve </w:t>
      </w:r>
      <w:r w:rsidR="004949BE">
        <w:lastRenderedPageBreak/>
        <w:t>the effectiveness of the dispute resolution process</w:t>
      </w:r>
      <w:r w:rsidR="004949BE" w:rsidRPr="006B3B01">
        <w:t>.</w:t>
      </w:r>
      <w:r>
        <w:t xml:space="preserve"> </w:t>
      </w:r>
      <w:r w:rsidR="004949BE">
        <w:t>DBDRV is currently reviewing its DRO making function, including analysing its case data to determine whether there are legislative barriers preventing it from issuing DROs in more matters.</w:t>
      </w:r>
      <w:r w:rsidR="00C82B34">
        <w:t xml:space="preserve"> </w:t>
      </w:r>
      <w:r w:rsidR="005F2E92">
        <w:t>I</w:t>
      </w:r>
      <w:r w:rsidR="00C82B34">
        <w:t>n recent months</w:t>
      </w:r>
      <w:r w:rsidR="008B140F">
        <w:t>,</w:t>
      </w:r>
      <w:r w:rsidR="00C82B34">
        <w:t xml:space="preserve"> DBDRV has significantly increased </w:t>
      </w:r>
      <w:r w:rsidR="00092F05">
        <w:t>their use of DROs</w:t>
      </w:r>
      <w:r w:rsidR="00A9326B">
        <w:t xml:space="preserve"> with </w:t>
      </w:r>
      <w:r w:rsidR="003672B7">
        <w:t xml:space="preserve">over twice as many issued so far in 2023 compared to the same time in 2022. </w:t>
      </w:r>
    </w:p>
    <w:p w14:paraId="0AE03DE1" w14:textId="1DDE7B45" w:rsidR="00BD6686" w:rsidRPr="004668EC" w:rsidRDefault="00156B20" w:rsidP="009D6FFA">
      <w:pPr>
        <w:pStyle w:val="Bullet"/>
      </w:pPr>
      <w:r w:rsidRPr="004668EC">
        <w:rPr>
          <w:b/>
          <w:bCs/>
        </w:rPr>
        <w:t>There are limited powers to resolve disputes between building owners and non-registered practitioners</w:t>
      </w:r>
      <w:r w:rsidR="004668EC">
        <w:rPr>
          <w:b/>
          <w:bCs/>
        </w:rPr>
        <w:t>.</w:t>
      </w:r>
      <w:r w:rsidR="004668EC">
        <w:t xml:space="preserve"> </w:t>
      </w:r>
      <w:r w:rsidR="00BD6686" w:rsidRPr="004668EC">
        <w:t xml:space="preserve">DBDRV has the remit to conciliate disputes between consumers and unregistered </w:t>
      </w:r>
      <w:r w:rsidR="00D20B04" w:rsidRPr="004668EC">
        <w:t>practitioners</w:t>
      </w:r>
      <w:r w:rsidR="00BD6686" w:rsidRPr="004668EC">
        <w:t xml:space="preserve">. However, resolution processes in these instances are restricted in their effectiveness. This is in part due to limited incentive for unregistered </w:t>
      </w:r>
      <w:r w:rsidR="0048680D" w:rsidRPr="004668EC">
        <w:t>practitioners</w:t>
      </w:r>
      <w:r w:rsidR="00BD6686" w:rsidRPr="004668EC">
        <w:t xml:space="preserve"> to participate in resolution processes. In addition, stakeholders note difficulties in </w:t>
      </w:r>
      <w:r w:rsidR="0048680D" w:rsidRPr="004668EC">
        <w:t>contacting</w:t>
      </w:r>
      <w:r w:rsidR="00BD6686" w:rsidRPr="004668EC">
        <w:t xml:space="preserve"> unregistered builders during the conciliation process which limits the possibility of resolution.</w:t>
      </w:r>
    </w:p>
    <w:p w14:paraId="7BF9DFA3" w14:textId="52664252" w:rsidR="009D6FFA" w:rsidRDefault="00DE4347" w:rsidP="00DE4347">
      <w:pPr>
        <w:pStyle w:val="Heading5"/>
      </w:pPr>
      <w:r>
        <w:t>The</w:t>
      </w:r>
      <w:r w:rsidR="00A001A1">
        <w:t>re is scope to improve the</w:t>
      </w:r>
      <w:r>
        <w:t xml:space="preserve"> DBCA </w:t>
      </w:r>
      <w:r w:rsidR="00A001A1">
        <w:t xml:space="preserve">to </w:t>
      </w:r>
      <w:r>
        <w:t xml:space="preserve">provide </w:t>
      </w:r>
      <w:r w:rsidR="00A001A1">
        <w:t xml:space="preserve">more </w:t>
      </w:r>
      <w:r>
        <w:t xml:space="preserve">effective consumer protection and </w:t>
      </w:r>
      <w:r w:rsidR="00A001A1">
        <w:t xml:space="preserve">a better </w:t>
      </w:r>
      <w:r>
        <w:t xml:space="preserve">dispute resolution framework </w:t>
      </w:r>
    </w:p>
    <w:p w14:paraId="797A7E6A" w14:textId="597706A0" w:rsidR="004B55A9" w:rsidRDefault="004B55A9" w:rsidP="004B55A9">
      <w:pPr>
        <w:rPr>
          <w:lang w:eastAsia="en-AU"/>
        </w:rPr>
      </w:pPr>
      <w:r w:rsidRPr="00AE60DB">
        <w:rPr>
          <w:lang w:eastAsia="en-AU"/>
        </w:rPr>
        <w:t xml:space="preserve">The intention of the DBCA was to make the processes for engaging in domestic building work and resolving domestic building disputes </w:t>
      </w:r>
      <w:r w:rsidRPr="00093E95">
        <w:rPr>
          <w:lang w:eastAsia="en-AU"/>
        </w:rPr>
        <w:t>‘as speedy and cost efficient as possible’</w:t>
      </w:r>
      <w:r w:rsidRPr="00AE60DB">
        <w:rPr>
          <w:lang w:eastAsia="en-AU"/>
        </w:rPr>
        <w:t xml:space="preserve"> to keep pace with industry changes</w:t>
      </w:r>
      <w:r>
        <w:rPr>
          <w:lang w:eastAsia="en-AU"/>
        </w:rPr>
        <w:t>.</w:t>
      </w:r>
      <w:r>
        <w:rPr>
          <w:rStyle w:val="EndnoteReference"/>
          <w:lang w:eastAsia="en-AU"/>
        </w:rPr>
        <w:endnoteReference w:id="78"/>
      </w:r>
      <w:r w:rsidRPr="00AE60DB">
        <w:rPr>
          <w:lang w:eastAsia="en-AU"/>
        </w:rPr>
        <w:t xml:space="preserve"> The Panel is conscious that the DBCA may no longer provide appropriate protection and recourse for disputes that arise in modern residential construction. </w:t>
      </w:r>
    </w:p>
    <w:p w14:paraId="1A2D586B" w14:textId="77777777" w:rsidR="00A47556" w:rsidRDefault="004B55A9" w:rsidP="004B55A9">
      <w:pPr>
        <w:sectPr w:rsidR="00A47556" w:rsidSect="00A47556">
          <w:footerReference w:type="first" r:id="rId86"/>
          <w:endnotePr>
            <w:numFmt w:val="decimal"/>
          </w:endnotePr>
          <w:type w:val="continuous"/>
          <w:pgSz w:w="11907" w:h="16839" w:code="9"/>
          <w:pgMar w:top="1418" w:right="1418" w:bottom="1701" w:left="1559" w:header="720" w:footer="720" w:gutter="0"/>
          <w:cols w:space="720"/>
          <w:titlePg/>
          <w:docGrid w:linePitch="360"/>
        </w:sectPr>
      </w:pPr>
      <w:r w:rsidRPr="008B2796">
        <w:rPr>
          <w:lang w:eastAsia="en-AU"/>
        </w:rPr>
        <w:t>For example, the definition of ‘domestic building work’ is not clear or fit for purpose.</w:t>
      </w:r>
      <w:r>
        <w:rPr>
          <w:lang w:eastAsia="en-AU"/>
        </w:rPr>
        <w:t xml:space="preserve"> </w:t>
      </w:r>
      <w:r w:rsidRPr="00AE60DB">
        <w:t>Stakeholders note that there are often uncertainties as to whether building disputes fit within the definition of domestic building work</w:t>
      </w:r>
      <w:r>
        <w:t xml:space="preserve"> and</w:t>
      </w:r>
      <w:r w:rsidRPr="00AE60DB">
        <w:t xml:space="preserve"> are therefore within DBDRV’s jurisdiction. This causes administrative delays in appropriately triaging disputes. </w:t>
      </w:r>
      <w:r w:rsidR="00694953">
        <w:t xml:space="preserve">For example, </w:t>
      </w:r>
      <w:r w:rsidRPr="00AE60DB">
        <w:t xml:space="preserve">disputes between building owners and single trades </w:t>
      </w:r>
      <w:r w:rsidR="00FC4E87">
        <w:t>(</w:t>
      </w:r>
      <w:r w:rsidRPr="00AE60DB">
        <w:t>i.e., til</w:t>
      </w:r>
      <w:r>
        <w:t>ers</w:t>
      </w:r>
      <w:r w:rsidRPr="00AE60DB">
        <w:t xml:space="preserve"> or carpenters</w:t>
      </w:r>
      <w:r w:rsidR="00FC4E87">
        <w:t>)</w:t>
      </w:r>
      <w:r w:rsidRPr="00AE60DB">
        <w:t xml:space="preserve"> do not fall within the definition of domestic building work and are unable to be brought to DBDRV. The circumstances where work by a single trade can be classified as domestic building work is unclear to consumers and causes confusion. This limits the avenues for recourse where single trades are accountable for building defects. In such cases, the building owner </w:t>
      </w:r>
      <w:r w:rsidR="00E01349">
        <w:t>needs</w:t>
      </w:r>
      <w:r w:rsidRPr="00AE60DB">
        <w:t xml:space="preserve"> to take legal action in the more costly VCAT process.</w:t>
      </w:r>
      <w:r w:rsidR="00B3625B">
        <w:t xml:space="preserve"> Other </w:t>
      </w:r>
      <w:r w:rsidR="00D216F5">
        <w:t xml:space="preserve">areas that could </w:t>
      </w:r>
      <w:r w:rsidR="00FB1037">
        <w:t xml:space="preserve">be </w:t>
      </w:r>
      <w:r w:rsidR="00D216F5">
        <w:t>clarified or improved include requirements related to design work and emerging technologies</w:t>
      </w:r>
      <w:r w:rsidR="004F5A18">
        <w:t>,</w:t>
      </w:r>
      <w:r w:rsidR="00D216F5">
        <w:t xml:space="preserve"> including </w:t>
      </w:r>
      <w:r w:rsidR="00265ADB">
        <w:t xml:space="preserve">for </w:t>
      </w:r>
      <w:r w:rsidR="00D216F5">
        <w:t>prefabricated building</w:t>
      </w:r>
      <w:r w:rsidR="00265ADB">
        <w:t>s</w:t>
      </w:r>
      <w:r w:rsidR="00D216F5">
        <w:t xml:space="preserve">. </w:t>
      </w:r>
      <w:r w:rsidR="00A238FC">
        <w:t>There are also opportunities to clarify and improve the Order making process and requirements</w:t>
      </w:r>
      <w:r w:rsidR="00791DDE">
        <w:t>, including for owner builders.</w:t>
      </w:r>
      <w:r w:rsidR="00A238FC">
        <w:t xml:space="preserve"> </w:t>
      </w:r>
    </w:p>
    <w:p w14:paraId="6019FE5F" w14:textId="77777777" w:rsidR="00A47556" w:rsidRDefault="00A47556" w:rsidP="004B55A9">
      <w:pPr>
        <w:sectPr w:rsidR="00A47556" w:rsidSect="00A47556">
          <w:endnotePr>
            <w:numFmt w:val="decimal"/>
          </w:endnotePr>
          <w:type w:val="continuous"/>
          <w:pgSz w:w="11907" w:h="16839" w:code="9"/>
          <w:pgMar w:top="1418" w:right="1418" w:bottom="1701" w:left="1559" w:header="720" w:footer="720" w:gutter="0"/>
          <w:cols w:space="720"/>
          <w:titlePg/>
          <w:docGrid w:linePitch="360"/>
        </w:sectPr>
      </w:pPr>
    </w:p>
    <w:p w14:paraId="6B509514" w14:textId="10B46966" w:rsidR="004B55A9" w:rsidRPr="008B2796" w:rsidRDefault="004B55A9" w:rsidP="004B55A9">
      <w:pPr>
        <w:rPr>
          <w:lang w:eastAsia="en-AU"/>
        </w:rPr>
      </w:pPr>
    </w:p>
    <w:p w14:paraId="6825A370" w14:textId="27B593F5" w:rsidR="00917115" w:rsidRPr="00807640" w:rsidRDefault="00917115" w:rsidP="009D6FFA">
      <w:r>
        <w:br w:type="page"/>
      </w:r>
    </w:p>
    <w:p w14:paraId="243987AC" w14:textId="2B2978F1" w:rsidR="00294740" w:rsidRDefault="00F760A6" w:rsidP="00294740">
      <w:pPr>
        <w:pStyle w:val="Heading2"/>
      </w:pPr>
      <w:bookmarkStart w:id="143" w:name="_Toc131428714"/>
      <w:bookmarkStart w:id="144" w:name="_Ref134177584"/>
      <w:bookmarkStart w:id="145" w:name="_Toc134352872"/>
      <w:bookmarkStart w:id="146" w:name="_Toc134356905"/>
      <w:r>
        <w:lastRenderedPageBreak/>
        <w:t>Proposed r</w:t>
      </w:r>
      <w:r w:rsidR="00294740">
        <w:t xml:space="preserve">ecommendations </w:t>
      </w:r>
      <w:r w:rsidR="003A6A84">
        <w:t xml:space="preserve">for a timely, </w:t>
      </w:r>
      <w:r w:rsidR="005F078E">
        <w:t>equitable</w:t>
      </w:r>
      <w:r w:rsidR="003A6A84">
        <w:t xml:space="preserve"> and cost-effective dispute resolution system</w:t>
      </w:r>
      <w:bookmarkEnd w:id="143"/>
      <w:bookmarkEnd w:id="144"/>
      <w:bookmarkEnd w:id="145"/>
      <w:bookmarkEnd w:id="146"/>
      <w:r w:rsidR="003A6A84">
        <w:t xml:space="preserve"> </w:t>
      </w:r>
    </w:p>
    <w:p w14:paraId="248CB201" w14:textId="09CA781A" w:rsidR="00942FD9" w:rsidRDefault="00942FD9" w:rsidP="00942FD9">
      <w:r>
        <w:t xml:space="preserve">The Expert </w:t>
      </w:r>
      <w:r w:rsidR="00033CFF" w:rsidRPr="00033CFF">
        <w:t>Panel's</w:t>
      </w:r>
      <w:r>
        <w:t xml:space="preserve"> review </w:t>
      </w:r>
      <w:r w:rsidR="00033CFF" w:rsidRPr="00033CFF">
        <w:t>aims</w:t>
      </w:r>
      <w:r>
        <w:t xml:space="preserve"> to improve building quality and reduce domestic building disputes</w:t>
      </w:r>
      <w:r w:rsidR="00033CFF" w:rsidRPr="00033CFF">
        <w:t>.</w:t>
      </w:r>
      <w:r>
        <w:t xml:space="preserve"> However, the Panel acknowledges that </w:t>
      </w:r>
      <w:r w:rsidR="00B41087">
        <w:t xml:space="preserve">disputes will </w:t>
      </w:r>
      <w:r w:rsidR="00B41087" w:rsidRPr="00E97D5C">
        <w:rPr>
          <w:rFonts w:eastAsia="Calibri" w:cs="Arial"/>
        </w:rPr>
        <w:t>arise</w:t>
      </w:r>
      <w:r w:rsidR="00B41087">
        <w:t xml:space="preserve"> </w:t>
      </w:r>
      <w:r>
        <w:t>regardless of significant reform and improvements</w:t>
      </w:r>
      <w:r w:rsidRPr="00E97D5C">
        <w:rPr>
          <w:rFonts w:eastAsia="Calibri" w:cs="Arial"/>
        </w:rPr>
        <w:t xml:space="preserve">. </w:t>
      </w:r>
      <w:r>
        <w:t>Therefore, improvements to the dispute resolution system are critical for a well-functioning, high</w:t>
      </w:r>
      <w:r w:rsidR="009774AE">
        <w:t>-</w:t>
      </w:r>
      <w:r>
        <w:t xml:space="preserve">quality building </w:t>
      </w:r>
      <w:r w:rsidR="009774AE">
        <w:t xml:space="preserve">regulatory </w:t>
      </w:r>
      <w:r>
        <w:t>system that protects consumers</w:t>
      </w:r>
      <w:r w:rsidRPr="00FE0C09">
        <w:t xml:space="preserve"> and improves </w:t>
      </w:r>
      <w:r>
        <w:t>consumer agency.</w:t>
      </w:r>
    </w:p>
    <w:p w14:paraId="50323D4A" w14:textId="33F1B315" w:rsidR="00A94C4A" w:rsidRPr="00A94C4A" w:rsidRDefault="00942FD9" w:rsidP="00A94C4A">
      <w:pPr>
        <w:rPr>
          <w:lang w:eastAsia="en-AU"/>
        </w:rPr>
      </w:pPr>
      <w:r>
        <w:rPr>
          <w:lang w:eastAsia="en-AU"/>
        </w:rPr>
        <w:t xml:space="preserve">The Panel proposes </w:t>
      </w:r>
      <w:r w:rsidR="008E569E">
        <w:rPr>
          <w:lang w:eastAsia="en-AU"/>
        </w:rPr>
        <w:t>four</w:t>
      </w:r>
      <w:r>
        <w:rPr>
          <w:lang w:eastAsia="en-AU"/>
        </w:rPr>
        <w:t xml:space="preserve"> recommendations </w:t>
      </w:r>
      <w:r w:rsidR="00FB4567">
        <w:rPr>
          <w:lang w:eastAsia="en-AU"/>
        </w:rPr>
        <w:t>to</w:t>
      </w:r>
      <w:r w:rsidR="00FB4567">
        <w:t xml:space="preserve"> </w:t>
      </w:r>
      <w:r w:rsidR="00FE0D72">
        <w:t>better prevent disputes from arising and – where they do occur – to resolve them in a timely, equitable and cost-effective manner.</w:t>
      </w:r>
      <w:r w:rsidR="00FE0D72">
        <w:rPr>
          <w:lang w:eastAsia="en-AU"/>
        </w:rPr>
        <w:t xml:space="preserve"> These are described below. </w:t>
      </w:r>
    </w:p>
    <w:p w14:paraId="5BCF975E" w14:textId="540A576E" w:rsidR="00294740" w:rsidRPr="008231B1" w:rsidRDefault="00CB705F" w:rsidP="00294740">
      <w:pPr>
        <w:pStyle w:val="Heading3"/>
      </w:pPr>
      <w:bookmarkStart w:id="147" w:name="_Toc131428715"/>
      <w:bookmarkStart w:id="148" w:name="_Toc134352873"/>
      <w:bookmarkStart w:id="149" w:name="_Toc134356800"/>
      <w:bookmarkStart w:id="150" w:name="_Toc134356906"/>
      <w:r w:rsidRPr="008231B1">
        <w:t xml:space="preserve">Recommendation </w:t>
      </w:r>
      <w:r w:rsidR="00021908" w:rsidRPr="008231B1">
        <w:t>7</w:t>
      </w:r>
      <w:r w:rsidRPr="008231B1">
        <w:t xml:space="preserve"> | </w:t>
      </w:r>
      <w:r w:rsidR="00363809" w:rsidRPr="008231B1">
        <w:t xml:space="preserve">Streamline </w:t>
      </w:r>
      <w:r w:rsidR="008923A9" w:rsidRPr="008231B1">
        <w:t>information and</w:t>
      </w:r>
      <w:r w:rsidR="004764BC" w:rsidRPr="008231B1">
        <w:t xml:space="preserve"> reporting</w:t>
      </w:r>
      <w:r w:rsidR="008923A9" w:rsidRPr="008231B1">
        <w:t xml:space="preserve"> processes</w:t>
      </w:r>
      <w:r w:rsidR="004764BC" w:rsidRPr="008231B1">
        <w:t xml:space="preserve">, develop a practitioner information portal and </w:t>
      </w:r>
      <w:r w:rsidR="008923A9" w:rsidRPr="008231B1">
        <w:t xml:space="preserve"> </w:t>
      </w:r>
      <w:r w:rsidR="009C7FF2" w:rsidRPr="008231B1">
        <w:t>encourage more local resolution</w:t>
      </w:r>
      <w:bookmarkEnd w:id="147"/>
      <w:bookmarkEnd w:id="148"/>
      <w:bookmarkEnd w:id="149"/>
      <w:bookmarkEnd w:id="150"/>
      <w:r w:rsidR="004764BC" w:rsidRPr="008231B1">
        <w:t xml:space="preserve"> of disputes by co-designing training and guidance materials </w:t>
      </w:r>
    </w:p>
    <w:p w14:paraId="53E26436" w14:textId="7694660C" w:rsidR="00995620" w:rsidRDefault="0048680D" w:rsidP="00EE4177">
      <w:pPr>
        <w:pStyle w:val="Heading4"/>
      </w:pPr>
      <w:r>
        <w:t>Description</w:t>
      </w:r>
    </w:p>
    <w:p w14:paraId="02018A2E" w14:textId="6FCF70A8" w:rsidR="00EE4177" w:rsidRDefault="00F75CCD" w:rsidP="00EE4177">
      <w:r>
        <w:t>All of the Panel’s recommendations a</w:t>
      </w:r>
      <w:r w:rsidR="008904ED">
        <w:t>re</w:t>
      </w:r>
      <w:r>
        <w:t xml:space="preserve"> </w:t>
      </w:r>
      <w:r w:rsidR="0069176A">
        <w:t>tailored to</w:t>
      </w:r>
      <w:r>
        <w:t xml:space="preserve"> a more robust regulatory system and these changes will prevent defects from rising.</w:t>
      </w:r>
      <w:r w:rsidR="006242B6">
        <w:t xml:space="preserve"> </w:t>
      </w:r>
      <w:r>
        <w:t xml:space="preserve">Moreover, the Panel recommends </w:t>
      </w:r>
      <w:r w:rsidR="00FD4749">
        <w:t xml:space="preserve">two </w:t>
      </w:r>
      <w:r w:rsidR="000528D2">
        <w:t>more</w:t>
      </w:r>
      <w:r w:rsidR="00FD4749">
        <w:t xml:space="preserve"> actions to</w:t>
      </w:r>
      <w:r w:rsidR="001A678D">
        <w:t xml:space="preserve"> </w:t>
      </w:r>
      <w:r w:rsidR="008509B0">
        <w:t xml:space="preserve">streamline </w:t>
      </w:r>
      <w:r w:rsidR="00363809">
        <w:t>available information</w:t>
      </w:r>
      <w:r w:rsidR="005D4F54">
        <w:t xml:space="preserve">: </w:t>
      </w:r>
    </w:p>
    <w:p w14:paraId="249D0E9B" w14:textId="1C238638" w:rsidR="009202CC" w:rsidRDefault="009202CC" w:rsidP="00414B54">
      <w:pPr>
        <w:pStyle w:val="ListParagraph"/>
        <w:numPr>
          <w:ilvl w:val="0"/>
          <w:numId w:val="4"/>
        </w:numPr>
        <w:ind w:left="340" w:hanging="340"/>
        <w:rPr>
          <w:b/>
          <w:bCs/>
        </w:rPr>
      </w:pPr>
      <w:r w:rsidRPr="007726A7">
        <w:rPr>
          <w:b/>
        </w:rPr>
        <w:t xml:space="preserve">DBDRV </w:t>
      </w:r>
      <w:r w:rsidR="008237C6" w:rsidRPr="007726A7">
        <w:rPr>
          <w:b/>
        </w:rPr>
        <w:t>to</w:t>
      </w:r>
      <w:r w:rsidR="007A7FF6" w:rsidRPr="007726A7">
        <w:rPr>
          <w:b/>
        </w:rPr>
        <w:t xml:space="preserve"> set and</w:t>
      </w:r>
      <w:r w:rsidRPr="007726A7">
        <w:rPr>
          <w:b/>
        </w:rPr>
        <w:t xml:space="preserve"> </w:t>
      </w:r>
      <w:r w:rsidR="00EE4177" w:rsidRPr="007726A7">
        <w:rPr>
          <w:b/>
        </w:rPr>
        <w:t xml:space="preserve">publish regular reports </w:t>
      </w:r>
      <w:r w:rsidR="007A7FF6" w:rsidRPr="007726A7">
        <w:rPr>
          <w:b/>
        </w:rPr>
        <w:t xml:space="preserve">on </w:t>
      </w:r>
      <w:r w:rsidR="002420F9" w:rsidRPr="007726A7">
        <w:rPr>
          <w:b/>
        </w:rPr>
        <w:t xml:space="preserve">achievement of </w:t>
      </w:r>
      <w:r w:rsidR="007A7FF6" w:rsidRPr="007726A7">
        <w:rPr>
          <w:b/>
        </w:rPr>
        <w:t xml:space="preserve">performance targets, </w:t>
      </w:r>
      <w:r w:rsidR="00EE4177" w:rsidRPr="007726A7">
        <w:rPr>
          <w:b/>
        </w:rPr>
        <w:t>timeliness</w:t>
      </w:r>
      <w:r w:rsidR="007A7FF6" w:rsidRPr="007726A7">
        <w:rPr>
          <w:b/>
        </w:rPr>
        <w:t xml:space="preserve"> and outcomes</w:t>
      </w:r>
      <w:r>
        <w:rPr>
          <w:b/>
          <w:bCs/>
        </w:rPr>
        <w:t xml:space="preserve">. </w:t>
      </w:r>
      <w:r w:rsidR="00D302DA">
        <w:t>This would compl</w:t>
      </w:r>
      <w:r w:rsidR="006E37B0">
        <w:t>e</w:t>
      </w:r>
      <w:r w:rsidR="00D302DA">
        <w:t>ment the systemic reporting on common defects and emerging trends by the Building Monitor</w:t>
      </w:r>
      <w:r w:rsidR="00447108">
        <w:t xml:space="preserve"> and contribute to a better </w:t>
      </w:r>
      <w:r w:rsidR="005B7FDF">
        <w:t>dispute prevention system</w:t>
      </w:r>
      <w:r w:rsidR="00D20955">
        <w:t xml:space="preserve">. </w:t>
      </w:r>
    </w:p>
    <w:p w14:paraId="03F6AAD8" w14:textId="3FEB3A0A" w:rsidR="00EE4177" w:rsidRPr="005D4F54" w:rsidRDefault="00227704" w:rsidP="00414B54">
      <w:pPr>
        <w:pStyle w:val="ListParagraph"/>
        <w:numPr>
          <w:ilvl w:val="0"/>
          <w:numId w:val="4"/>
        </w:numPr>
        <w:ind w:left="340" w:hanging="340"/>
        <w:rPr>
          <w:b/>
          <w:bCs/>
        </w:rPr>
      </w:pPr>
      <w:r>
        <w:rPr>
          <w:b/>
          <w:bCs/>
        </w:rPr>
        <w:t xml:space="preserve">The relevant agencies </w:t>
      </w:r>
      <w:r w:rsidR="00EE4177" w:rsidRPr="005D4F54">
        <w:rPr>
          <w:b/>
          <w:bCs/>
        </w:rPr>
        <w:t>(</w:t>
      </w:r>
      <w:r>
        <w:rPr>
          <w:b/>
          <w:bCs/>
        </w:rPr>
        <w:t>the</w:t>
      </w:r>
      <w:r w:rsidR="00EE4177" w:rsidRPr="005D4F54">
        <w:rPr>
          <w:b/>
          <w:bCs/>
        </w:rPr>
        <w:t xml:space="preserve"> VBA, C</w:t>
      </w:r>
      <w:r>
        <w:rPr>
          <w:b/>
          <w:bCs/>
        </w:rPr>
        <w:t>AV</w:t>
      </w:r>
      <w:r w:rsidR="00EE4177" w:rsidRPr="005D4F54">
        <w:rPr>
          <w:b/>
          <w:bCs/>
        </w:rPr>
        <w:t>, DBDRV and VMIA)</w:t>
      </w:r>
      <w:r w:rsidR="00BC0B5A">
        <w:rPr>
          <w:b/>
          <w:bCs/>
        </w:rPr>
        <w:t xml:space="preserve"> and DTP</w:t>
      </w:r>
      <w:r>
        <w:rPr>
          <w:b/>
          <w:bCs/>
        </w:rPr>
        <w:t xml:space="preserve"> to</w:t>
      </w:r>
      <w:r w:rsidR="00567A40">
        <w:rPr>
          <w:b/>
          <w:bCs/>
        </w:rPr>
        <w:t xml:space="preserve"> establish a single, integrated portal and to develop a consumer communications strategy for building issues</w:t>
      </w:r>
      <w:r>
        <w:rPr>
          <w:b/>
          <w:bCs/>
        </w:rPr>
        <w:t>:</w:t>
      </w:r>
    </w:p>
    <w:p w14:paraId="2904C5EF" w14:textId="7A261DC2" w:rsidR="00EE4177" w:rsidRPr="001B5E5A" w:rsidRDefault="00CE7B0A" w:rsidP="00414B54">
      <w:pPr>
        <w:pStyle w:val="Bullet"/>
        <w:ind w:left="680"/>
      </w:pPr>
      <w:r w:rsidRPr="001B5E5A">
        <w:t xml:space="preserve">Establish </w:t>
      </w:r>
      <w:r w:rsidR="00EE4177" w:rsidRPr="001B5E5A">
        <w:t>a single, integrated portal including relevant practitioner details, registration classes, insurance coverage and claims, discipline history and outcomes and other relevant information</w:t>
      </w:r>
      <w:r w:rsidR="008455FF">
        <w:t>.</w:t>
      </w:r>
    </w:p>
    <w:p w14:paraId="372A34C5" w14:textId="65464168" w:rsidR="00EE4177" w:rsidRPr="001B5E5A" w:rsidRDefault="00CE7B0A" w:rsidP="00414B54">
      <w:pPr>
        <w:pStyle w:val="Bullet"/>
        <w:ind w:left="680"/>
      </w:pPr>
      <w:r w:rsidRPr="001B5E5A">
        <w:t>Develop a</w:t>
      </w:r>
      <w:r w:rsidR="00EE4177" w:rsidRPr="001B5E5A">
        <w:t xml:space="preserve"> consumer communications strategy detailing the importance of using registered practitioners, checking the portal and using Domestic Building Contracts</w:t>
      </w:r>
      <w:r w:rsidR="008455FF">
        <w:t>.</w:t>
      </w:r>
    </w:p>
    <w:p w14:paraId="33BC2A44" w14:textId="0CCA7BD3" w:rsidR="00EE4177" w:rsidRPr="001B5E5A" w:rsidRDefault="00EE4177" w:rsidP="00414B54">
      <w:pPr>
        <w:pStyle w:val="Bullet"/>
        <w:ind w:left="680"/>
      </w:pPr>
      <w:r w:rsidRPr="001B5E5A">
        <w:t>Co-design with industry</w:t>
      </w:r>
      <w:r w:rsidR="00D166EC">
        <w:t xml:space="preserve"> and consumer groups</w:t>
      </w:r>
      <w:r w:rsidRPr="001B5E5A">
        <w:t>, materials and training on building contracts and dispute resolution</w:t>
      </w:r>
      <w:r w:rsidR="00D166EC">
        <w:t xml:space="preserve"> for industry</w:t>
      </w:r>
      <w:r w:rsidR="008455FF" w:rsidDel="00D166EC">
        <w:t>.</w:t>
      </w:r>
    </w:p>
    <w:p w14:paraId="3C239330" w14:textId="425D8246" w:rsidR="005354BF" w:rsidRPr="001B5E5A" w:rsidRDefault="00EE4177" w:rsidP="00414B54">
      <w:pPr>
        <w:pStyle w:val="Bullet"/>
        <w:ind w:left="680"/>
      </w:pPr>
      <w:r w:rsidRPr="001B5E5A">
        <w:t xml:space="preserve">Co-design with </w:t>
      </w:r>
      <w:r w:rsidR="00D166EC">
        <w:t xml:space="preserve">industry and </w:t>
      </w:r>
      <w:r w:rsidRPr="001B5E5A">
        <w:t xml:space="preserve">consumer groups, dispute resolution </w:t>
      </w:r>
      <w:r w:rsidR="00EF5732">
        <w:t xml:space="preserve">and contract </w:t>
      </w:r>
      <w:r w:rsidRPr="001B5E5A">
        <w:t>guidance and materials.</w:t>
      </w:r>
    </w:p>
    <w:p w14:paraId="023FD73D" w14:textId="339535A1" w:rsidR="004B058F" w:rsidRDefault="004B058F" w:rsidP="004B058F">
      <w:pPr>
        <w:pStyle w:val="Heading4"/>
      </w:pPr>
      <w:r>
        <w:t>Rationale</w:t>
      </w:r>
    </w:p>
    <w:p w14:paraId="062E2B44" w14:textId="26D27275" w:rsidR="00325809" w:rsidRDefault="00555DBC" w:rsidP="00EC61DF">
      <w:pPr>
        <w:rPr>
          <w:lang w:eastAsia="en-AU"/>
        </w:rPr>
      </w:pPr>
      <w:r>
        <w:rPr>
          <w:lang w:eastAsia="en-AU"/>
        </w:rPr>
        <w:t xml:space="preserve">Disputes in the building </w:t>
      </w:r>
      <w:r w:rsidR="000F6CDA">
        <w:rPr>
          <w:lang w:eastAsia="en-AU"/>
        </w:rPr>
        <w:t xml:space="preserve">regulatory </w:t>
      </w:r>
      <w:r>
        <w:rPr>
          <w:lang w:eastAsia="en-AU"/>
        </w:rPr>
        <w:t xml:space="preserve">system are exacerbated by poor consumer understanding of </w:t>
      </w:r>
      <w:r w:rsidR="009438CF">
        <w:rPr>
          <w:lang w:eastAsia="en-AU"/>
        </w:rPr>
        <w:t xml:space="preserve">building issues and the roles and responsibilities of different agencies. Regular reporting by DBDRV will </w:t>
      </w:r>
      <w:r w:rsidR="005B7FDF">
        <w:rPr>
          <w:lang w:eastAsia="en-AU"/>
        </w:rPr>
        <w:t xml:space="preserve">increase </w:t>
      </w:r>
      <w:r w:rsidR="00FC745D">
        <w:rPr>
          <w:lang w:eastAsia="en-AU"/>
        </w:rPr>
        <w:t>information on issues, including emerging trends and defects</w:t>
      </w:r>
      <w:r w:rsidR="00782578">
        <w:rPr>
          <w:lang w:eastAsia="en-AU"/>
        </w:rPr>
        <w:t xml:space="preserve"> and support the prevention of these issues arising into the future. </w:t>
      </w:r>
      <w:r w:rsidR="00EC61DF">
        <w:rPr>
          <w:lang w:eastAsia="en-AU"/>
        </w:rPr>
        <w:t xml:space="preserve">Further, </w:t>
      </w:r>
      <w:r w:rsidR="002D36AB">
        <w:rPr>
          <w:lang w:eastAsia="en-AU"/>
        </w:rPr>
        <w:t>in a complex co-regulatory environment with multiple agencies responsible for resolving building issues, coordinated and co-design responses are required.</w:t>
      </w:r>
    </w:p>
    <w:p w14:paraId="58A5D038" w14:textId="77777777" w:rsidR="00A47556" w:rsidRDefault="002D36AB" w:rsidP="00EC61DF">
      <w:pPr>
        <w:rPr>
          <w:lang w:eastAsia="en-AU"/>
        </w:rPr>
        <w:sectPr w:rsidR="00A47556" w:rsidSect="00A47556">
          <w:footerReference w:type="default" r:id="rId87"/>
          <w:endnotePr>
            <w:numFmt w:val="decimal"/>
          </w:endnotePr>
          <w:type w:val="continuous"/>
          <w:pgSz w:w="11907" w:h="16839" w:code="9"/>
          <w:pgMar w:top="1418" w:right="1418" w:bottom="1701" w:left="1559" w:header="720" w:footer="720" w:gutter="0"/>
          <w:cols w:space="720"/>
          <w:titlePg/>
          <w:docGrid w:linePitch="360"/>
        </w:sectPr>
      </w:pPr>
      <w:r>
        <w:rPr>
          <w:lang w:eastAsia="en-AU"/>
        </w:rPr>
        <w:t xml:space="preserve">An integrated consumer portal and improved consumer materials </w:t>
      </w:r>
      <w:r w:rsidR="005D3393" w:rsidRPr="005D3393">
        <w:rPr>
          <w:lang w:eastAsia="en-AU"/>
        </w:rPr>
        <w:t>will improve the experience of consumer</w:t>
      </w:r>
      <w:r w:rsidR="005D3393">
        <w:rPr>
          <w:lang w:eastAsia="en-AU"/>
        </w:rPr>
        <w:t xml:space="preserve">s </w:t>
      </w:r>
      <w:r w:rsidR="005D3393" w:rsidRPr="005D3393">
        <w:rPr>
          <w:lang w:eastAsia="en-AU"/>
        </w:rPr>
        <w:t xml:space="preserve">and their understanding of the </w:t>
      </w:r>
      <w:r w:rsidR="005D3393" w:rsidDel="003E22B7">
        <w:rPr>
          <w:lang w:eastAsia="en-AU"/>
        </w:rPr>
        <w:t>system</w:t>
      </w:r>
      <w:r w:rsidR="003E22B7">
        <w:rPr>
          <w:lang w:eastAsia="en-AU"/>
        </w:rPr>
        <w:t xml:space="preserve">, </w:t>
      </w:r>
      <w:r w:rsidR="00CE6941">
        <w:rPr>
          <w:lang w:eastAsia="en-AU"/>
        </w:rPr>
        <w:t>along</w:t>
      </w:r>
      <w:r w:rsidR="003E22B7">
        <w:rPr>
          <w:lang w:eastAsia="en-AU"/>
        </w:rPr>
        <w:t xml:space="preserve"> with</w:t>
      </w:r>
      <w:r w:rsidR="005D3393">
        <w:rPr>
          <w:lang w:eastAsia="en-AU"/>
        </w:rPr>
        <w:t xml:space="preserve"> </w:t>
      </w:r>
      <w:r w:rsidR="003E22B7">
        <w:rPr>
          <w:lang w:eastAsia="en-AU"/>
        </w:rPr>
        <w:t>b</w:t>
      </w:r>
      <w:r w:rsidR="000044F6">
        <w:rPr>
          <w:lang w:eastAsia="en-AU"/>
        </w:rPr>
        <w:t xml:space="preserve">etter access to </w:t>
      </w:r>
      <w:r w:rsidR="000044F6">
        <w:rPr>
          <w:lang w:eastAsia="en-AU"/>
        </w:rPr>
        <w:lastRenderedPageBreak/>
        <w:t xml:space="preserve">information about a </w:t>
      </w:r>
      <w:r w:rsidR="005F14E9">
        <w:rPr>
          <w:lang w:eastAsia="en-AU"/>
        </w:rPr>
        <w:t>practitioner’s</w:t>
      </w:r>
      <w:r w:rsidR="000044F6">
        <w:rPr>
          <w:lang w:eastAsia="en-AU"/>
        </w:rPr>
        <w:t xml:space="preserve"> history and insurance coverag</w:t>
      </w:r>
      <w:r w:rsidR="00256C5B">
        <w:rPr>
          <w:lang w:eastAsia="en-AU"/>
        </w:rPr>
        <w:t>e</w:t>
      </w:r>
      <w:r w:rsidR="005F14E9">
        <w:rPr>
          <w:lang w:eastAsia="en-AU"/>
        </w:rPr>
        <w:t>. There are also opportunities for training</w:t>
      </w:r>
      <w:r w:rsidR="002F41AD">
        <w:rPr>
          <w:lang w:eastAsia="en-AU"/>
        </w:rPr>
        <w:t xml:space="preserve">, including </w:t>
      </w:r>
      <w:r w:rsidR="00171AC2">
        <w:rPr>
          <w:lang w:eastAsia="en-AU"/>
        </w:rPr>
        <w:t xml:space="preserve">mandating </w:t>
      </w:r>
      <w:r w:rsidR="002F41AD">
        <w:rPr>
          <w:lang w:eastAsia="en-AU"/>
        </w:rPr>
        <w:t>Continuous Professional Development</w:t>
      </w:r>
      <w:r w:rsidR="005F14E9">
        <w:rPr>
          <w:lang w:eastAsia="en-AU"/>
        </w:rPr>
        <w:t xml:space="preserve"> for </w:t>
      </w:r>
    </w:p>
    <w:p w14:paraId="49543DF2" w14:textId="1A5D7889" w:rsidR="005F14E9" w:rsidRDefault="005F14E9" w:rsidP="00EC61DF">
      <w:pPr>
        <w:rPr>
          <w:lang w:eastAsia="en-AU"/>
        </w:rPr>
      </w:pPr>
      <w:r>
        <w:rPr>
          <w:lang w:eastAsia="en-AU"/>
        </w:rPr>
        <w:t>building practitioners</w:t>
      </w:r>
      <w:r w:rsidR="002F41AD">
        <w:rPr>
          <w:lang w:eastAsia="en-AU"/>
        </w:rPr>
        <w:t>,</w:t>
      </w:r>
      <w:r>
        <w:rPr>
          <w:lang w:eastAsia="en-AU"/>
        </w:rPr>
        <w:t xml:space="preserve"> to </w:t>
      </w:r>
      <w:r w:rsidR="00171AC2">
        <w:rPr>
          <w:lang w:eastAsia="en-AU"/>
        </w:rPr>
        <w:t xml:space="preserve">include a </w:t>
      </w:r>
      <w:r>
        <w:rPr>
          <w:lang w:eastAsia="en-AU"/>
        </w:rPr>
        <w:t xml:space="preserve">focus on dispute resolution best practice, including </w:t>
      </w:r>
      <w:r w:rsidR="00322A9F">
        <w:rPr>
          <w:lang w:eastAsia="en-AU"/>
        </w:rPr>
        <w:t>prevention</w:t>
      </w:r>
      <w:r>
        <w:rPr>
          <w:lang w:eastAsia="en-AU"/>
        </w:rPr>
        <w:t xml:space="preserve"> and early resolution.</w:t>
      </w:r>
    </w:p>
    <w:p w14:paraId="286F59F3" w14:textId="2A03B80B" w:rsidR="005D3393" w:rsidRPr="00483EA3" w:rsidRDefault="005D3393" w:rsidP="00EC61DF">
      <w:pPr>
        <w:rPr>
          <w:lang w:eastAsia="en-AU"/>
        </w:rPr>
      </w:pPr>
      <w:r>
        <w:rPr>
          <w:lang w:eastAsia="en-AU"/>
        </w:rPr>
        <w:t xml:space="preserve">Together, these reforms will empower consumers and practitioners to self-resolve issues, thereby reducing pressure on dispute resolution agencies. </w:t>
      </w:r>
    </w:p>
    <w:p w14:paraId="4352D9B0" w14:textId="45A6E751" w:rsidR="00FA4621" w:rsidRDefault="00FA4621" w:rsidP="00FA4621">
      <w:pPr>
        <w:pStyle w:val="Heading4"/>
      </w:pPr>
      <w:r>
        <w:t>Outcome</w:t>
      </w:r>
    </w:p>
    <w:p w14:paraId="2F04F1D9" w14:textId="0A0B4E91" w:rsidR="005D3393" w:rsidRPr="005D3393" w:rsidRDefault="005D3393" w:rsidP="005D3393">
      <w:pPr>
        <w:rPr>
          <w:lang w:eastAsia="en-AU"/>
        </w:rPr>
      </w:pPr>
      <w:r>
        <w:rPr>
          <w:lang w:eastAsia="en-AU"/>
        </w:rPr>
        <w:t>Building consumers and practitioners are provided the</w:t>
      </w:r>
      <w:r w:rsidR="006878F7">
        <w:rPr>
          <w:lang w:eastAsia="en-AU"/>
        </w:rPr>
        <w:t xml:space="preserve"> right</w:t>
      </w:r>
      <w:r>
        <w:rPr>
          <w:lang w:eastAsia="en-AU"/>
        </w:rPr>
        <w:t xml:space="preserve"> information and tools to </w:t>
      </w:r>
      <w:r w:rsidR="00150BAE">
        <w:rPr>
          <w:lang w:eastAsia="en-AU"/>
        </w:rPr>
        <w:t xml:space="preserve">proactively resolve issues </w:t>
      </w:r>
      <w:r w:rsidR="00CC0372">
        <w:rPr>
          <w:lang w:eastAsia="en-AU"/>
        </w:rPr>
        <w:t xml:space="preserve">and </w:t>
      </w:r>
      <w:r w:rsidR="006878F7">
        <w:rPr>
          <w:lang w:eastAsia="en-AU"/>
        </w:rPr>
        <w:t xml:space="preserve">understand their rights and responsibilities. </w:t>
      </w:r>
      <w:r w:rsidR="00F62E9D">
        <w:rPr>
          <w:lang w:eastAsia="en-AU"/>
        </w:rPr>
        <w:t xml:space="preserve">Pressure on existing services is reduced as consumers and practitioners are empowered to self-resolve issues. </w:t>
      </w:r>
    </w:p>
    <w:p w14:paraId="5B8BC018" w14:textId="31FF4115" w:rsidR="005A1F52" w:rsidRPr="00C23562" w:rsidRDefault="00CA4CCF" w:rsidP="004B058F">
      <w:pPr>
        <w:pStyle w:val="Heading3"/>
      </w:pPr>
      <w:bookmarkStart w:id="151" w:name="_Ref134308224"/>
      <w:bookmarkStart w:id="152" w:name="_Toc134352874"/>
      <w:bookmarkStart w:id="153" w:name="_Toc134356801"/>
      <w:bookmarkStart w:id="154" w:name="_Toc134356907"/>
      <w:bookmarkStart w:id="155" w:name="_Toc131428716"/>
      <w:r w:rsidRPr="00C23562">
        <w:t xml:space="preserve">Recommendation </w:t>
      </w:r>
      <w:r w:rsidR="00B71EC7" w:rsidRPr="00C23562">
        <w:t>8</w:t>
      </w:r>
      <w:r w:rsidRPr="00C23562">
        <w:t xml:space="preserve"> |</w:t>
      </w:r>
      <w:r w:rsidR="005A1F52" w:rsidRPr="00C23562">
        <w:t xml:space="preserve"> Identify and address immediate process improvements </w:t>
      </w:r>
      <w:r w:rsidR="001B298A" w:rsidRPr="00C23562">
        <w:t>in dispute resolution</w:t>
      </w:r>
      <w:bookmarkEnd w:id="151"/>
      <w:bookmarkEnd w:id="152"/>
      <w:bookmarkEnd w:id="153"/>
      <w:bookmarkEnd w:id="154"/>
      <w:r w:rsidR="0043142D" w:rsidRPr="00C23562">
        <w:t xml:space="preserve"> by reviewing </w:t>
      </w:r>
      <w:r w:rsidR="004764BC" w:rsidRPr="00C23562">
        <w:t>application and assessment processes and developing a triaging model for all building disputes</w:t>
      </w:r>
    </w:p>
    <w:p w14:paraId="1DBADF66" w14:textId="0177E7EC" w:rsidR="0042602A" w:rsidRDefault="0042602A" w:rsidP="0042602A">
      <w:pPr>
        <w:pStyle w:val="Heading4"/>
      </w:pPr>
      <w:r>
        <w:t>Description</w:t>
      </w:r>
    </w:p>
    <w:p w14:paraId="47B8B7C6" w14:textId="7E9D17A6" w:rsidR="00CF2EBF" w:rsidRDefault="0042602A" w:rsidP="00CF2EBF">
      <w:pPr>
        <w:rPr>
          <w:lang w:eastAsia="en-AU"/>
        </w:rPr>
      </w:pPr>
      <w:r>
        <w:rPr>
          <w:lang w:eastAsia="en-AU"/>
        </w:rPr>
        <w:t>The Panel recommends</w:t>
      </w:r>
      <w:r w:rsidR="00AA3B1C">
        <w:rPr>
          <w:lang w:eastAsia="en-AU"/>
        </w:rPr>
        <w:t xml:space="preserve"> two actions to improve existing processes </w:t>
      </w:r>
      <w:r w:rsidR="00AD35C6">
        <w:rPr>
          <w:lang w:eastAsia="en-AU"/>
        </w:rPr>
        <w:t>for the early and efficient resolution of disputes. These are:</w:t>
      </w:r>
    </w:p>
    <w:p w14:paraId="2415B4BC" w14:textId="3E26B548" w:rsidR="00AD35C6" w:rsidRDefault="00DB50CA" w:rsidP="00414B54">
      <w:pPr>
        <w:pStyle w:val="Bullet"/>
        <w:numPr>
          <w:ilvl w:val="0"/>
          <w:numId w:val="20"/>
        </w:numPr>
        <w:ind w:left="340" w:hanging="340"/>
        <w:rPr>
          <w:b/>
          <w:bCs/>
        </w:rPr>
      </w:pPr>
      <w:r>
        <w:rPr>
          <w:b/>
          <w:bCs/>
        </w:rPr>
        <w:t xml:space="preserve">Better Regulation Victoria </w:t>
      </w:r>
      <w:r w:rsidR="00D8475C">
        <w:rPr>
          <w:b/>
          <w:bCs/>
        </w:rPr>
        <w:t xml:space="preserve">(BRV) </w:t>
      </w:r>
      <w:r>
        <w:rPr>
          <w:b/>
          <w:bCs/>
        </w:rPr>
        <w:t>to</w:t>
      </w:r>
      <w:r w:rsidR="00C66F6C">
        <w:rPr>
          <w:b/>
          <w:bCs/>
        </w:rPr>
        <w:t xml:space="preserve"> work with DBDRV to</w:t>
      </w:r>
      <w:r>
        <w:rPr>
          <w:b/>
          <w:bCs/>
        </w:rPr>
        <w:t xml:space="preserve"> identify </w:t>
      </w:r>
      <w:r w:rsidR="006E4028">
        <w:rPr>
          <w:b/>
          <w:bCs/>
        </w:rPr>
        <w:t xml:space="preserve">improvements to </w:t>
      </w:r>
      <w:r w:rsidR="00C66F6C">
        <w:rPr>
          <w:b/>
          <w:bCs/>
        </w:rPr>
        <w:t xml:space="preserve">dispute resolution </w:t>
      </w:r>
      <w:r w:rsidR="006E4028">
        <w:rPr>
          <w:b/>
          <w:bCs/>
        </w:rPr>
        <w:t xml:space="preserve">processes which can be implemented to make a difference in the immediate term. </w:t>
      </w:r>
      <w:r w:rsidR="00AD35C6" w:rsidRPr="00EE2E2B">
        <w:t>This includes a review of the application and assessment process</w:t>
      </w:r>
      <w:r w:rsidR="002420F9">
        <w:t>es</w:t>
      </w:r>
      <w:r w:rsidR="002F7D3E" w:rsidRPr="00EE2E2B">
        <w:t>.</w:t>
      </w:r>
    </w:p>
    <w:p w14:paraId="4DC2ED44" w14:textId="26FB1E92" w:rsidR="00AD35C6" w:rsidRPr="002F7D3E" w:rsidRDefault="002F7D3E" w:rsidP="00414B54">
      <w:pPr>
        <w:pStyle w:val="Bullet"/>
        <w:numPr>
          <w:ilvl w:val="0"/>
          <w:numId w:val="20"/>
        </w:numPr>
        <w:ind w:left="340" w:hanging="340"/>
        <w:rPr>
          <w:b/>
          <w:bCs/>
        </w:rPr>
      </w:pPr>
      <w:r>
        <w:rPr>
          <w:b/>
          <w:bCs/>
        </w:rPr>
        <w:t xml:space="preserve">Develop an </w:t>
      </w:r>
      <w:r w:rsidRPr="00C80E2B">
        <w:rPr>
          <w:b/>
          <w:bCs/>
        </w:rPr>
        <w:t>effective triaging model for all building disputes</w:t>
      </w:r>
      <w:r>
        <w:t xml:space="preserve">. </w:t>
      </w:r>
      <w:r w:rsidR="00D751B2">
        <w:t>E</w:t>
      </w:r>
      <w:r w:rsidRPr="00984566">
        <w:t>arly upfront triaging, categorisation and lodg</w:t>
      </w:r>
      <w:r w:rsidR="002C446C">
        <w:t>e</w:t>
      </w:r>
      <w:r w:rsidRPr="00984566">
        <w:t>ment process</w:t>
      </w:r>
      <w:r w:rsidR="00CE7E32">
        <w:t>es</w:t>
      </w:r>
      <w:r>
        <w:t xml:space="preserve"> would enable the efficient </w:t>
      </w:r>
      <w:r w:rsidR="004B01AF">
        <w:t>resolution of disputes</w:t>
      </w:r>
      <w:r>
        <w:t xml:space="preserve">. The </w:t>
      </w:r>
      <w:r w:rsidR="00CE3A9C">
        <w:t>service w</w:t>
      </w:r>
      <w:r>
        <w:t xml:space="preserve">ould categorise </w:t>
      </w:r>
      <w:r w:rsidR="004B01AF">
        <w:t xml:space="preserve">cases </w:t>
      </w:r>
      <w:r w:rsidRPr="00C80E2B">
        <w:t xml:space="preserve">based on the nature of the issue and </w:t>
      </w:r>
      <w:r w:rsidR="002412A3">
        <w:t xml:space="preserve">would allocate </w:t>
      </w:r>
      <w:r w:rsidR="00E3178E">
        <w:t xml:space="preserve">a </w:t>
      </w:r>
      <w:r w:rsidRPr="00C80E2B">
        <w:t xml:space="preserve">technical </w:t>
      </w:r>
      <w:r w:rsidR="00E3178E">
        <w:t xml:space="preserve">assessment </w:t>
      </w:r>
      <w:r w:rsidR="002412A3">
        <w:t xml:space="preserve">if </w:t>
      </w:r>
      <w:r w:rsidRPr="00C80E2B">
        <w:t xml:space="preserve">required to resolve </w:t>
      </w:r>
      <w:r w:rsidR="002412A3">
        <w:t>the dispute</w:t>
      </w:r>
      <w:r w:rsidRPr="00C80E2B">
        <w:t>. It would also complete a jurisdictional check</w:t>
      </w:r>
      <w:r w:rsidR="00CE3A9C">
        <w:t xml:space="preserve"> and</w:t>
      </w:r>
      <w:r w:rsidR="00DE7447">
        <w:t xml:space="preserve"> decide on </w:t>
      </w:r>
      <w:r w:rsidR="008A1D89">
        <w:t xml:space="preserve">what </w:t>
      </w:r>
      <w:r w:rsidR="00CE3A9C">
        <w:t xml:space="preserve">initial </w:t>
      </w:r>
      <w:r w:rsidR="008A1D89">
        <w:t>resolution pathway is most appropriate (</w:t>
      </w:r>
      <w:r w:rsidR="00045794" w:rsidRPr="00292852">
        <w:t>O</w:t>
      </w:r>
      <w:r w:rsidR="008A1D89" w:rsidRPr="00292852">
        <w:t>rders</w:t>
      </w:r>
      <w:r w:rsidR="008A1D89">
        <w:t xml:space="preserve">, mediation or </w:t>
      </w:r>
      <w:r w:rsidR="00DE7447">
        <w:t>other</w:t>
      </w:r>
      <w:r w:rsidR="008A1D89">
        <w:t>)</w:t>
      </w:r>
      <w:r w:rsidR="007C23D7">
        <w:t xml:space="preserve"> and </w:t>
      </w:r>
      <w:r w:rsidR="004B01AF">
        <w:t xml:space="preserve">place the dispute into the appropriate </w:t>
      </w:r>
      <w:r w:rsidR="007C23D7">
        <w:t xml:space="preserve">resolution </w:t>
      </w:r>
      <w:r w:rsidR="004B01AF">
        <w:t xml:space="preserve">pathway </w:t>
      </w:r>
      <w:r w:rsidR="007C23D7">
        <w:t xml:space="preserve">(see </w:t>
      </w:r>
      <w:r w:rsidR="000F2D64">
        <w:fldChar w:fldCharType="begin"/>
      </w:r>
      <w:r w:rsidR="000F2D64">
        <w:instrText xml:space="preserve"> REF _Ref134307992 \r \h </w:instrText>
      </w:r>
      <w:r w:rsidR="000F2D64">
        <w:fldChar w:fldCharType="separate"/>
      </w:r>
      <w:r w:rsidR="00E15D2D">
        <w:t>7.3.4</w:t>
      </w:r>
      <w:r w:rsidR="000F2D64">
        <w:fldChar w:fldCharType="end"/>
      </w:r>
      <w:r w:rsidR="000F2D64">
        <w:t xml:space="preserve"> </w:t>
      </w:r>
      <w:r w:rsidR="007C23D7">
        <w:t xml:space="preserve">Recommendation 10). </w:t>
      </w:r>
      <w:r>
        <w:t>Triaging of disputes would be done through a simple, user-friendly online system and phone service, accessible by both building owners and practitioners.</w:t>
      </w:r>
      <w:r w:rsidR="000A4352">
        <w:t xml:space="preserve"> </w:t>
      </w:r>
    </w:p>
    <w:p w14:paraId="19E8703C" w14:textId="77777777" w:rsidR="002F7D3E" w:rsidRDefault="002F7D3E" w:rsidP="002F7D3E">
      <w:pPr>
        <w:pStyle w:val="Heading4"/>
      </w:pPr>
      <w:r>
        <w:t>Rationale</w:t>
      </w:r>
    </w:p>
    <w:p w14:paraId="01B1B7E5" w14:textId="1A00591C" w:rsidR="002F7D3E" w:rsidRDefault="007037BF" w:rsidP="00743368">
      <w:r>
        <w:t xml:space="preserve">The proposed recommendations are </w:t>
      </w:r>
      <w:r w:rsidRPr="00E17738">
        <w:t xml:space="preserve">intended to address current process issues and delays experienced by consumers and practitioners </w:t>
      </w:r>
      <w:r w:rsidR="00743368" w:rsidRPr="00E17738">
        <w:t>at DBDRV</w:t>
      </w:r>
      <w:r w:rsidR="00743368" w:rsidRPr="00E17738">
        <w:rPr>
          <w:lang w:eastAsia="en-AU"/>
        </w:rPr>
        <w:t xml:space="preserve"> </w:t>
      </w:r>
      <w:r w:rsidR="00FA1741">
        <w:rPr>
          <w:lang w:eastAsia="en-AU"/>
        </w:rPr>
        <w:t>Improvements to the</w:t>
      </w:r>
      <w:r w:rsidR="00743368" w:rsidRPr="00E17738">
        <w:rPr>
          <w:lang w:eastAsia="en-AU"/>
        </w:rPr>
        <w:t xml:space="preserve"> triaging system </w:t>
      </w:r>
      <w:r w:rsidR="00FF0248">
        <w:rPr>
          <w:lang w:eastAsia="en-AU"/>
        </w:rPr>
        <w:t>will assist</w:t>
      </w:r>
      <w:r w:rsidR="00743368" w:rsidRPr="00E17738">
        <w:rPr>
          <w:lang w:eastAsia="en-AU"/>
        </w:rPr>
        <w:t xml:space="preserve"> </w:t>
      </w:r>
      <w:r w:rsidR="00EE7D01">
        <w:rPr>
          <w:lang w:eastAsia="en-AU"/>
        </w:rPr>
        <w:t>resol</w:t>
      </w:r>
      <w:r w:rsidR="00FF0248">
        <w:rPr>
          <w:lang w:eastAsia="en-AU"/>
        </w:rPr>
        <w:t xml:space="preserve">ution of </w:t>
      </w:r>
      <w:r w:rsidR="00EE7D01">
        <w:rPr>
          <w:lang w:eastAsia="en-AU"/>
        </w:rPr>
        <w:t>disputes more efficientl</w:t>
      </w:r>
      <w:r w:rsidR="006F51B8">
        <w:rPr>
          <w:lang w:eastAsia="en-AU"/>
        </w:rPr>
        <w:t>y in a way that b</w:t>
      </w:r>
      <w:r w:rsidR="008372C7">
        <w:rPr>
          <w:lang w:eastAsia="en-AU"/>
        </w:rPr>
        <w:t>uild</w:t>
      </w:r>
      <w:r w:rsidR="006F51B8">
        <w:rPr>
          <w:lang w:eastAsia="en-AU"/>
        </w:rPr>
        <w:t>s</w:t>
      </w:r>
      <w:r w:rsidR="008372C7">
        <w:rPr>
          <w:lang w:eastAsia="en-AU"/>
        </w:rPr>
        <w:t xml:space="preserve"> on existing services.</w:t>
      </w:r>
    </w:p>
    <w:p w14:paraId="320A1D45" w14:textId="77777777" w:rsidR="002F7D3E" w:rsidRPr="007528F5" w:rsidRDefault="002F7D3E" w:rsidP="002F7D3E">
      <w:pPr>
        <w:pStyle w:val="Heading4"/>
      </w:pPr>
      <w:r>
        <w:t>Outcome</w:t>
      </w:r>
    </w:p>
    <w:p w14:paraId="7B959BC5" w14:textId="7F4FA252" w:rsidR="002F7D3E" w:rsidRPr="00171D5C" w:rsidRDefault="00E02A77" w:rsidP="00171D5C">
      <w:pPr>
        <w:rPr>
          <w:lang w:eastAsia="en-AU"/>
        </w:rPr>
      </w:pPr>
      <w:r>
        <w:rPr>
          <w:lang w:eastAsia="en-AU"/>
        </w:rPr>
        <w:t xml:space="preserve">Improvements to </w:t>
      </w:r>
      <w:r w:rsidR="00D03373">
        <w:rPr>
          <w:lang w:eastAsia="en-AU"/>
        </w:rPr>
        <w:t xml:space="preserve">DBDRV’s processes and triaging model </w:t>
      </w:r>
      <w:r w:rsidR="003F2A59">
        <w:rPr>
          <w:lang w:eastAsia="en-AU"/>
        </w:rPr>
        <w:t xml:space="preserve">will </w:t>
      </w:r>
      <w:r w:rsidR="00D03373">
        <w:rPr>
          <w:lang w:eastAsia="en-AU"/>
        </w:rPr>
        <w:t>enable</w:t>
      </w:r>
      <w:r w:rsidR="005134F5">
        <w:rPr>
          <w:lang w:eastAsia="en-AU"/>
        </w:rPr>
        <w:t xml:space="preserve"> </w:t>
      </w:r>
      <w:r w:rsidR="00D91374">
        <w:rPr>
          <w:lang w:eastAsia="en-AU"/>
        </w:rPr>
        <w:t xml:space="preserve">issues to </w:t>
      </w:r>
      <w:r w:rsidR="00171D5C">
        <w:rPr>
          <w:lang w:eastAsia="en-AU"/>
        </w:rPr>
        <w:t xml:space="preserve">be </w:t>
      </w:r>
      <w:r w:rsidR="00D91374">
        <w:rPr>
          <w:lang w:eastAsia="en-AU"/>
        </w:rPr>
        <w:t xml:space="preserve">addressed quickly, </w:t>
      </w:r>
      <w:r w:rsidR="0070573C">
        <w:rPr>
          <w:lang w:eastAsia="en-AU"/>
        </w:rPr>
        <w:t xml:space="preserve">technical assessments </w:t>
      </w:r>
      <w:r w:rsidR="00F22A6C">
        <w:rPr>
          <w:lang w:eastAsia="en-AU"/>
        </w:rPr>
        <w:t>assigned</w:t>
      </w:r>
      <w:r w:rsidR="0089494D">
        <w:rPr>
          <w:lang w:eastAsia="en-AU"/>
        </w:rPr>
        <w:t xml:space="preserve"> </w:t>
      </w:r>
      <w:r w:rsidR="0070573C">
        <w:rPr>
          <w:lang w:eastAsia="en-AU"/>
        </w:rPr>
        <w:t>as required</w:t>
      </w:r>
      <w:r w:rsidR="00EE7D01">
        <w:rPr>
          <w:lang w:eastAsia="en-AU"/>
        </w:rPr>
        <w:t xml:space="preserve"> and</w:t>
      </w:r>
      <w:r w:rsidR="0070573C">
        <w:rPr>
          <w:lang w:eastAsia="en-AU"/>
        </w:rPr>
        <w:t xml:space="preserve"> </w:t>
      </w:r>
      <w:r w:rsidR="00F22A6C">
        <w:rPr>
          <w:lang w:eastAsia="en-AU"/>
        </w:rPr>
        <w:t xml:space="preserve">cases </w:t>
      </w:r>
      <w:r w:rsidR="00B53031">
        <w:rPr>
          <w:lang w:eastAsia="en-AU"/>
        </w:rPr>
        <w:t xml:space="preserve">more effectively </w:t>
      </w:r>
      <w:r w:rsidR="00F22A6C">
        <w:rPr>
          <w:lang w:eastAsia="en-AU"/>
        </w:rPr>
        <w:t xml:space="preserve">allocated </w:t>
      </w:r>
      <w:r w:rsidR="007037BF">
        <w:rPr>
          <w:lang w:eastAsia="en-AU"/>
        </w:rPr>
        <w:t xml:space="preserve">to </w:t>
      </w:r>
      <w:r w:rsidR="00F81FE8">
        <w:rPr>
          <w:lang w:eastAsia="en-AU"/>
        </w:rPr>
        <w:t xml:space="preserve">the </w:t>
      </w:r>
      <w:r w:rsidR="001F7CCA">
        <w:rPr>
          <w:lang w:eastAsia="en-AU"/>
        </w:rPr>
        <w:t xml:space="preserve">right </w:t>
      </w:r>
      <w:r w:rsidR="00EE7D01">
        <w:rPr>
          <w:lang w:eastAsia="en-AU"/>
        </w:rPr>
        <w:t xml:space="preserve">resolution </w:t>
      </w:r>
      <w:r w:rsidR="001F7CCA">
        <w:rPr>
          <w:lang w:eastAsia="en-AU"/>
        </w:rPr>
        <w:t>pathway</w:t>
      </w:r>
      <w:r w:rsidR="00F81FE8">
        <w:rPr>
          <w:lang w:eastAsia="en-AU"/>
        </w:rPr>
        <w:t xml:space="preserve"> (e.g.</w:t>
      </w:r>
      <w:r w:rsidR="001E5970">
        <w:rPr>
          <w:lang w:eastAsia="en-AU"/>
        </w:rPr>
        <w:t>,</w:t>
      </w:r>
      <w:r w:rsidR="00F81FE8">
        <w:rPr>
          <w:lang w:eastAsia="en-AU"/>
        </w:rPr>
        <w:t xml:space="preserve"> </w:t>
      </w:r>
      <w:r w:rsidR="00F81FE8" w:rsidRPr="00351FC4">
        <w:rPr>
          <w:lang w:eastAsia="en-AU"/>
        </w:rPr>
        <w:t>Orders</w:t>
      </w:r>
      <w:r w:rsidR="00F81FE8">
        <w:rPr>
          <w:lang w:eastAsia="en-AU"/>
        </w:rPr>
        <w:t>)</w:t>
      </w:r>
      <w:r w:rsidR="007037BF">
        <w:rPr>
          <w:lang w:eastAsia="en-AU"/>
        </w:rPr>
        <w:t xml:space="preserve">. </w:t>
      </w:r>
      <w:r w:rsidR="004D6200">
        <w:rPr>
          <w:lang w:eastAsia="en-AU"/>
        </w:rPr>
        <w:t>The</w:t>
      </w:r>
      <w:r w:rsidR="00572FD0">
        <w:rPr>
          <w:lang w:eastAsia="en-AU"/>
        </w:rPr>
        <w:t>se</w:t>
      </w:r>
      <w:r w:rsidR="004D6200">
        <w:rPr>
          <w:lang w:eastAsia="en-AU"/>
        </w:rPr>
        <w:t xml:space="preserve"> improvements </w:t>
      </w:r>
      <w:r w:rsidR="008372C7">
        <w:rPr>
          <w:lang w:eastAsia="en-AU"/>
        </w:rPr>
        <w:t xml:space="preserve">will result in faster resolution and a better experience for consumers and practitioners. </w:t>
      </w:r>
    </w:p>
    <w:p w14:paraId="41CA13CB" w14:textId="21C35111" w:rsidR="004B058F" w:rsidRPr="0099446B" w:rsidRDefault="005A1F52" w:rsidP="004B058F">
      <w:pPr>
        <w:pStyle w:val="Heading3"/>
      </w:pPr>
      <w:bookmarkStart w:id="156" w:name="_Toc134352875"/>
      <w:bookmarkStart w:id="157" w:name="_Toc134356802"/>
      <w:bookmarkStart w:id="158" w:name="_Toc134356908"/>
      <w:r w:rsidRPr="0099446B">
        <w:lastRenderedPageBreak/>
        <w:t>Recommendation 9 |</w:t>
      </w:r>
      <w:r w:rsidR="00CA4CCF" w:rsidRPr="0099446B">
        <w:t xml:space="preserve"> </w:t>
      </w:r>
      <w:r w:rsidR="009C7FF2" w:rsidRPr="0099446B">
        <w:t xml:space="preserve">Improve </w:t>
      </w:r>
      <w:r w:rsidR="00713034" w:rsidRPr="0099446B">
        <w:t>the effectiveness of</w:t>
      </w:r>
      <w:r w:rsidR="008F0D63" w:rsidRPr="0099446B">
        <w:t xml:space="preserve"> </w:t>
      </w:r>
      <w:r w:rsidR="009C7FF2" w:rsidRPr="0099446B">
        <w:t>dispute resolution services</w:t>
      </w:r>
      <w:bookmarkEnd w:id="155"/>
      <w:bookmarkEnd w:id="156"/>
      <w:bookmarkEnd w:id="157"/>
      <w:bookmarkEnd w:id="158"/>
      <w:r w:rsidR="009C7FF2" w:rsidRPr="0099446B">
        <w:t xml:space="preserve"> </w:t>
      </w:r>
      <w:r w:rsidR="0043142D" w:rsidRPr="0099446B">
        <w:t>by increasing the use of technical assessments and rectification orders, allowing single trade disputes to be heard at DBDRV and removing any process duplication with VCAT</w:t>
      </w:r>
    </w:p>
    <w:p w14:paraId="3BF8A700" w14:textId="0AE5F23D" w:rsidR="00CA4CCF" w:rsidRDefault="00CA4CCF" w:rsidP="00CA4CCF">
      <w:pPr>
        <w:pStyle w:val="Heading4"/>
      </w:pPr>
      <w:r>
        <w:t>Description</w:t>
      </w:r>
    </w:p>
    <w:p w14:paraId="774F5B31" w14:textId="42DDA6C4" w:rsidR="00E942F4" w:rsidRDefault="009A2DA2" w:rsidP="00E942F4">
      <w:pPr>
        <w:rPr>
          <w:lang w:eastAsia="en-AU"/>
        </w:rPr>
      </w:pPr>
      <w:r>
        <w:t xml:space="preserve">The Panel further recommends several reforms to </w:t>
      </w:r>
      <w:r w:rsidR="008509B0">
        <w:t>improve</w:t>
      </w:r>
      <w:r w:rsidR="0042602A">
        <w:t xml:space="preserve"> building dispute resolution services </w:t>
      </w:r>
      <w:r w:rsidR="00363147">
        <w:rPr>
          <w:lang w:eastAsia="en-AU"/>
        </w:rPr>
        <w:t>to better meet community expectations.</w:t>
      </w:r>
      <w:r w:rsidR="00C80E2B">
        <w:rPr>
          <w:lang w:eastAsia="en-AU"/>
        </w:rPr>
        <w:t xml:space="preserve"> </w:t>
      </w:r>
      <w:r w:rsidR="00363147">
        <w:rPr>
          <w:lang w:eastAsia="en-AU"/>
        </w:rPr>
        <w:t xml:space="preserve">These </w:t>
      </w:r>
      <w:r w:rsidR="00481860">
        <w:rPr>
          <w:lang w:eastAsia="en-AU"/>
        </w:rPr>
        <w:t>include</w:t>
      </w:r>
      <w:r w:rsidR="00E942F4">
        <w:rPr>
          <w:lang w:eastAsia="en-AU"/>
        </w:rPr>
        <w:t>:</w:t>
      </w:r>
    </w:p>
    <w:p w14:paraId="3E847C01" w14:textId="0110D215" w:rsidR="00EC6CE3" w:rsidRDefault="00481860" w:rsidP="00414B54">
      <w:pPr>
        <w:pStyle w:val="ListParagraph"/>
        <w:numPr>
          <w:ilvl w:val="0"/>
          <w:numId w:val="13"/>
        </w:numPr>
        <w:ind w:left="340" w:hanging="340"/>
      </w:pPr>
      <w:r>
        <w:rPr>
          <w:b/>
        </w:rPr>
        <w:t>Embed</w:t>
      </w:r>
      <w:r w:rsidR="004B7A85">
        <w:rPr>
          <w:b/>
        </w:rPr>
        <w:t xml:space="preserve"> the use of </w:t>
      </w:r>
      <w:r w:rsidR="00E942F4" w:rsidRPr="00363147">
        <w:rPr>
          <w:b/>
        </w:rPr>
        <w:t xml:space="preserve">technical assessments </w:t>
      </w:r>
      <w:r w:rsidR="00AD1F20">
        <w:rPr>
          <w:b/>
        </w:rPr>
        <w:t xml:space="preserve">as a core function </w:t>
      </w:r>
      <w:r w:rsidR="006B303C">
        <w:rPr>
          <w:b/>
        </w:rPr>
        <w:t>where disputes relate to defective building work</w:t>
      </w:r>
      <w:r w:rsidR="00966D7E" w:rsidRPr="00363147">
        <w:rPr>
          <w:b/>
        </w:rPr>
        <w:t>.</w:t>
      </w:r>
      <w:r w:rsidR="00966D7E">
        <w:t xml:space="preserve"> </w:t>
      </w:r>
      <w:r w:rsidR="001208A5">
        <w:t>Technical assessments can be effective across the whole dispute resolution process</w:t>
      </w:r>
      <w:r w:rsidR="00B567D0">
        <w:t xml:space="preserve"> where there are technical issues, </w:t>
      </w:r>
      <w:r w:rsidR="00670968">
        <w:t>such as</w:t>
      </w:r>
      <w:r w:rsidR="001208A5">
        <w:t xml:space="preserve"> to inform the application of an </w:t>
      </w:r>
      <w:r w:rsidR="00F84E5A" w:rsidRPr="00351FC4">
        <w:t>O</w:t>
      </w:r>
      <w:r w:rsidR="001208A5" w:rsidRPr="00351FC4">
        <w:t>rder</w:t>
      </w:r>
      <w:r w:rsidR="001208A5">
        <w:t xml:space="preserve">. </w:t>
      </w:r>
      <w:r w:rsidR="00F32634">
        <w:t>Where appropriate</w:t>
      </w:r>
      <w:r w:rsidR="00266105">
        <w:t>,</w:t>
      </w:r>
      <w:r w:rsidR="00CE5763">
        <w:t xml:space="preserve"> technical assessments should be used proactively to resolve disputes where </w:t>
      </w:r>
      <w:r w:rsidR="006B303C">
        <w:t xml:space="preserve">the primary issue </w:t>
      </w:r>
      <w:r w:rsidR="00E44E88">
        <w:t>is non-compliance</w:t>
      </w:r>
      <w:r w:rsidR="004963E2">
        <w:t>. Increased resourcing would be required to support additional building assessments.</w:t>
      </w:r>
      <w:r w:rsidR="00D1249F">
        <w:t xml:space="preserve"> </w:t>
      </w:r>
      <w:r w:rsidR="00D1249F" w:rsidRPr="00D1249F">
        <w:t xml:space="preserve">To facilitate this, consideration could be given to pooling assessors from across the </w:t>
      </w:r>
      <w:r w:rsidR="00D2238F">
        <w:t>relevant agencies (the</w:t>
      </w:r>
      <w:r w:rsidR="00D1249F" w:rsidRPr="00D1249F">
        <w:t xml:space="preserve"> VBA, DBDRV, VMIA and other agencies with building assessors</w:t>
      </w:r>
      <w:r w:rsidR="00D2238F">
        <w:t>)</w:t>
      </w:r>
      <w:r w:rsidR="00FF560B">
        <w:t xml:space="preserve"> or increasing the availability of technical asses</w:t>
      </w:r>
      <w:r w:rsidR="00BC1458">
        <w:t xml:space="preserve">sors </w:t>
      </w:r>
      <w:r w:rsidR="006E3FBA">
        <w:t>and assessments by</w:t>
      </w:r>
      <w:r w:rsidR="00A8334B">
        <w:t xml:space="preserve"> </w:t>
      </w:r>
      <w:r w:rsidR="00FF560B">
        <w:t>DBDRV</w:t>
      </w:r>
      <w:r w:rsidR="00D1249F">
        <w:t>.</w:t>
      </w:r>
      <w:r w:rsidR="00FF560B">
        <w:t xml:space="preserve"> </w:t>
      </w:r>
      <w:r w:rsidR="00C55F9D">
        <w:t>Technical</w:t>
      </w:r>
      <w:r w:rsidR="00133D90">
        <w:t xml:space="preserve"> assessments </w:t>
      </w:r>
      <w:r w:rsidR="00FF560B">
        <w:t>w</w:t>
      </w:r>
      <w:r w:rsidR="00133D90">
        <w:t xml:space="preserve">ould be allocated with an improved triage service (see </w:t>
      </w:r>
      <w:r w:rsidR="001C298F" w:rsidRPr="00351FC4">
        <w:fldChar w:fldCharType="begin"/>
      </w:r>
      <w:r w:rsidR="001C298F" w:rsidRPr="00351FC4">
        <w:instrText xml:space="preserve"> REF _Ref134308224 \r \h </w:instrText>
      </w:r>
      <w:r w:rsidR="00351FC4">
        <w:instrText xml:space="preserve"> \* MERGEFORMAT </w:instrText>
      </w:r>
      <w:r w:rsidR="001C298F" w:rsidRPr="00351FC4">
        <w:fldChar w:fldCharType="separate"/>
      </w:r>
      <w:r w:rsidR="00E15D2D">
        <w:t>7.3.2</w:t>
      </w:r>
      <w:r w:rsidR="001C298F" w:rsidRPr="00351FC4">
        <w:fldChar w:fldCharType="end"/>
      </w:r>
      <w:r w:rsidR="001C298F" w:rsidRPr="00351FC4">
        <w:t xml:space="preserve"> </w:t>
      </w:r>
      <w:r w:rsidR="00133D90" w:rsidRPr="00351FC4">
        <w:t>Recommendation 8B)</w:t>
      </w:r>
    </w:p>
    <w:p w14:paraId="28303740" w14:textId="4BF235BD" w:rsidR="0070358A" w:rsidRDefault="00670424" w:rsidP="00414B54">
      <w:pPr>
        <w:pStyle w:val="ListParagraph"/>
        <w:numPr>
          <w:ilvl w:val="0"/>
          <w:numId w:val="13"/>
        </w:numPr>
        <w:ind w:left="340" w:hanging="340"/>
      </w:pPr>
      <w:r w:rsidRPr="00670424">
        <w:rPr>
          <w:b/>
        </w:rPr>
        <w:t>Increas</w:t>
      </w:r>
      <w:r w:rsidR="008D03E9">
        <w:rPr>
          <w:b/>
        </w:rPr>
        <w:t>e</w:t>
      </w:r>
      <w:r w:rsidRPr="00670424">
        <w:rPr>
          <w:b/>
        </w:rPr>
        <w:t xml:space="preserve"> use of </w:t>
      </w:r>
      <w:r w:rsidR="009B201A" w:rsidRPr="00351FC4">
        <w:rPr>
          <w:b/>
        </w:rPr>
        <w:t>Orders</w:t>
      </w:r>
      <w:r w:rsidRPr="004A2717">
        <w:rPr>
          <w:b/>
        </w:rPr>
        <w:t xml:space="preserve"> </w:t>
      </w:r>
      <w:r w:rsidRPr="00670424">
        <w:rPr>
          <w:b/>
        </w:rPr>
        <w:t xml:space="preserve">to rectify non-compliance where conciliation is not </w:t>
      </w:r>
      <w:r w:rsidR="00E44E88">
        <w:rPr>
          <w:b/>
        </w:rPr>
        <w:t>appropriate</w:t>
      </w:r>
      <w:r>
        <w:t xml:space="preserve">. </w:t>
      </w:r>
      <w:r w:rsidR="007A58B8">
        <w:t xml:space="preserve">Currently, dispute resolution processes are heavily reliant on conciliation mechanisms. There is an opportunity to increase the use of </w:t>
      </w:r>
      <w:r w:rsidR="00B55A9A">
        <w:t>O</w:t>
      </w:r>
      <w:r w:rsidR="008C1445">
        <w:t xml:space="preserve">rders to </w:t>
      </w:r>
      <w:r w:rsidR="007A58B8">
        <w:t>resolve disputes, particularly where there are clear instances of non-compliance</w:t>
      </w:r>
      <w:r w:rsidR="00164815">
        <w:t xml:space="preserve">. </w:t>
      </w:r>
      <w:r w:rsidR="00EB3BAF">
        <w:t xml:space="preserve">This may </w:t>
      </w:r>
      <w:r w:rsidR="00816AE1">
        <w:t xml:space="preserve">involve amending the criteria </w:t>
      </w:r>
      <w:r w:rsidR="003424C2">
        <w:t xml:space="preserve">which </w:t>
      </w:r>
      <w:r w:rsidR="00EB3BAF">
        <w:t xml:space="preserve">DBDRV </w:t>
      </w:r>
      <w:r w:rsidR="003424C2">
        <w:t xml:space="preserve">can </w:t>
      </w:r>
      <w:r w:rsidR="00EB3BAF">
        <w:t xml:space="preserve">consider when making an </w:t>
      </w:r>
      <w:r w:rsidR="00EB3BAF" w:rsidRPr="00351FC4">
        <w:t>Order</w:t>
      </w:r>
      <w:r w:rsidR="0092334C">
        <w:t xml:space="preserve"> (</w:t>
      </w:r>
      <w:r w:rsidR="00DF676A">
        <w:t>e.g.,</w:t>
      </w:r>
      <w:r w:rsidR="0092334C">
        <w:t xml:space="preserve"> the process for owner-builders)</w:t>
      </w:r>
      <w:r w:rsidR="00EB3BAF">
        <w:t xml:space="preserve">. </w:t>
      </w:r>
      <w:r w:rsidR="0075593F">
        <w:t xml:space="preserve">Note the use of </w:t>
      </w:r>
      <w:r w:rsidR="00DE48C7">
        <w:t>O</w:t>
      </w:r>
      <w:r w:rsidR="0075593F">
        <w:t xml:space="preserve">rders in the dispute resolution system may </w:t>
      </w:r>
      <w:r w:rsidR="00635E03">
        <w:t xml:space="preserve">become less critical if post-occupancy enforcement functions are introduced so that non-compliance with the building </w:t>
      </w:r>
      <w:r w:rsidR="0026451D">
        <w:t xml:space="preserve">regulatory system </w:t>
      </w:r>
      <w:r w:rsidR="00635E03">
        <w:t>is dealt with by the regulator</w:t>
      </w:r>
      <w:r w:rsidR="00EC3228">
        <w:t>s</w:t>
      </w:r>
      <w:r w:rsidR="00635E03">
        <w:t xml:space="preserve"> (see </w:t>
      </w:r>
      <w:r w:rsidR="00A370E0" w:rsidRPr="00351FC4">
        <w:fldChar w:fldCharType="begin"/>
      </w:r>
      <w:r w:rsidR="00A370E0" w:rsidRPr="00351FC4">
        <w:instrText xml:space="preserve"> REF _Ref134308303 \r \h </w:instrText>
      </w:r>
      <w:r w:rsidR="00351FC4">
        <w:instrText xml:space="preserve"> \* MERGEFORMAT </w:instrText>
      </w:r>
      <w:r w:rsidR="00A370E0" w:rsidRPr="00351FC4">
        <w:fldChar w:fldCharType="separate"/>
      </w:r>
      <w:r w:rsidR="00E15D2D">
        <w:t>5.3.1</w:t>
      </w:r>
      <w:r w:rsidR="00A370E0" w:rsidRPr="00351FC4">
        <w:fldChar w:fldCharType="end"/>
      </w:r>
      <w:r w:rsidR="00A370E0" w:rsidRPr="00351FC4">
        <w:t xml:space="preserve"> </w:t>
      </w:r>
      <w:r w:rsidR="00635E03" w:rsidRPr="00351FC4">
        <w:t>Recommendation 4).</w:t>
      </w:r>
      <w:r w:rsidR="00C55F9D" w:rsidRPr="00351FC4">
        <w:t xml:space="preserve"> </w:t>
      </w:r>
      <w:r w:rsidR="00C55F9D">
        <w:t xml:space="preserve">The improved triage service </w:t>
      </w:r>
      <w:r w:rsidR="004C05F2">
        <w:t xml:space="preserve">could determine, initially, whether an </w:t>
      </w:r>
      <w:r w:rsidR="004C05F2" w:rsidRPr="00351FC4">
        <w:t>Order</w:t>
      </w:r>
      <w:r w:rsidR="004C05F2">
        <w:t xml:space="preserve"> may be more appropriate (see </w:t>
      </w:r>
      <w:r w:rsidR="001B6612">
        <w:fldChar w:fldCharType="begin"/>
      </w:r>
      <w:r w:rsidR="001B6612">
        <w:instrText xml:space="preserve"> REF _Ref134308224 \r \h </w:instrText>
      </w:r>
      <w:r w:rsidR="001B6612">
        <w:fldChar w:fldCharType="separate"/>
      </w:r>
      <w:r w:rsidR="00E15D2D">
        <w:t>7.3.2</w:t>
      </w:r>
      <w:r w:rsidR="001B6612">
        <w:fldChar w:fldCharType="end"/>
      </w:r>
      <w:r w:rsidR="004C05F2">
        <w:t xml:space="preserve"> Recommendation 8B). </w:t>
      </w:r>
    </w:p>
    <w:p w14:paraId="49A68343" w14:textId="3990300A" w:rsidR="00D1249F" w:rsidRDefault="00E942F4" w:rsidP="00414B54">
      <w:pPr>
        <w:pStyle w:val="ListParagraph"/>
        <w:numPr>
          <w:ilvl w:val="0"/>
          <w:numId w:val="13"/>
        </w:numPr>
        <w:ind w:left="340" w:hanging="340"/>
      </w:pPr>
      <w:r w:rsidRPr="0070358A">
        <w:rPr>
          <w:b/>
          <w:bCs/>
        </w:rPr>
        <w:t>Allow single trade disputes</w:t>
      </w:r>
      <w:r w:rsidR="0070358A">
        <w:rPr>
          <w:b/>
          <w:bCs/>
        </w:rPr>
        <w:t xml:space="preserve"> to be </w:t>
      </w:r>
      <w:r w:rsidR="009B201A">
        <w:rPr>
          <w:b/>
          <w:bCs/>
        </w:rPr>
        <w:t xml:space="preserve">considered by </w:t>
      </w:r>
      <w:r w:rsidR="00495F0B">
        <w:rPr>
          <w:b/>
          <w:bCs/>
        </w:rPr>
        <w:t xml:space="preserve">the building dispute resolution agency. </w:t>
      </w:r>
      <w:r w:rsidR="008C233C">
        <w:t>Single tra</w:t>
      </w:r>
      <w:r w:rsidR="00592351">
        <w:t>de work refers to situations where a tradesperson has carried out only a single type of work</w:t>
      </w:r>
      <w:r w:rsidR="00C52930">
        <w:t>. Currently this is outside the scope of DBDRV</w:t>
      </w:r>
      <w:r w:rsidR="00D2174E">
        <w:t>. In the event of disputes,</w:t>
      </w:r>
      <w:r w:rsidR="00DE69ED">
        <w:t xml:space="preserve"> the building owner is </w:t>
      </w:r>
      <w:r w:rsidR="00D2174E">
        <w:t>therefore required to take legal action through the more costly VCAT process</w:t>
      </w:r>
      <w:r w:rsidR="00F068CD">
        <w:t>. Th</w:t>
      </w:r>
      <w:r w:rsidR="0070358A">
        <w:t xml:space="preserve">is should be amended to </w:t>
      </w:r>
      <w:r w:rsidR="00CC152A">
        <w:t>ensure the future dispute resolution system adequately captures all issues in the system</w:t>
      </w:r>
      <w:r w:rsidR="00D1249F">
        <w:t xml:space="preserve"> </w:t>
      </w:r>
      <w:r w:rsidR="00D1249F" w:rsidRPr="00D1249F">
        <w:t>and provide better protection for consumers, many of whom engage single trades</w:t>
      </w:r>
      <w:r w:rsidR="00560639">
        <w:t xml:space="preserve"> </w:t>
      </w:r>
      <w:r w:rsidR="00560639" w:rsidRPr="00D1249F">
        <w:t>only</w:t>
      </w:r>
      <w:r w:rsidR="00D1249F" w:rsidRPr="00D1249F">
        <w:t>.</w:t>
      </w:r>
    </w:p>
    <w:p w14:paraId="17E9DB1E" w14:textId="78BB85FA" w:rsidR="00E942F4" w:rsidRDefault="006D2F87" w:rsidP="00414B54">
      <w:pPr>
        <w:pStyle w:val="ListParagraph"/>
        <w:numPr>
          <w:ilvl w:val="0"/>
          <w:numId w:val="13"/>
        </w:numPr>
        <w:ind w:left="340" w:hanging="340"/>
      </w:pPr>
      <w:r w:rsidRPr="006E4245">
        <w:rPr>
          <w:b/>
        </w:rPr>
        <w:t xml:space="preserve">Reduce </w:t>
      </w:r>
      <w:r w:rsidR="002420F9" w:rsidRPr="006E4245">
        <w:rPr>
          <w:b/>
        </w:rPr>
        <w:t xml:space="preserve">any </w:t>
      </w:r>
      <w:r w:rsidRPr="006E4245">
        <w:rPr>
          <w:b/>
        </w:rPr>
        <w:t>duplication between VCAT and DBDRV and make their processes more effective and efficient.</w:t>
      </w:r>
      <w:r w:rsidR="00AA4778">
        <w:t xml:space="preserve"> </w:t>
      </w:r>
      <w:r w:rsidR="00333A77">
        <w:t>Ensure that when cases proceed to VCAT, that DBDRV and VCAT implement processes to remove any duplication and to facilitate efficient resolution of disputes.</w:t>
      </w:r>
      <w:r w:rsidR="00AC4F92">
        <w:t xml:space="preserve"> This would include </w:t>
      </w:r>
      <w:r w:rsidR="00355CE7">
        <w:t xml:space="preserve">ensuring that </w:t>
      </w:r>
      <w:r w:rsidR="00DA76DF">
        <w:t xml:space="preserve">DBDRV technical reports </w:t>
      </w:r>
      <w:r w:rsidR="002266A7">
        <w:t xml:space="preserve">continue </w:t>
      </w:r>
      <w:r w:rsidR="00F724DA">
        <w:t xml:space="preserve">to </w:t>
      </w:r>
      <w:r w:rsidR="002266A7">
        <w:t xml:space="preserve">meet </w:t>
      </w:r>
      <w:r w:rsidR="00F724DA">
        <w:t xml:space="preserve">VCAT’s standards. </w:t>
      </w:r>
    </w:p>
    <w:p w14:paraId="63DE3363" w14:textId="2A3A164A" w:rsidR="00CA4CCF" w:rsidRDefault="00CA4CCF" w:rsidP="00E942F4">
      <w:pPr>
        <w:pStyle w:val="Heading4"/>
      </w:pPr>
      <w:r>
        <w:t>Rationale</w:t>
      </w:r>
    </w:p>
    <w:p w14:paraId="7AA27BD6" w14:textId="0C1447B1" w:rsidR="000828B7" w:rsidRDefault="000828B7" w:rsidP="007528F5">
      <w:pPr>
        <w:rPr>
          <w:lang w:eastAsia="en-AU"/>
        </w:rPr>
      </w:pPr>
      <w:r>
        <w:rPr>
          <w:lang w:eastAsia="en-AU"/>
        </w:rPr>
        <w:t>The proposed recommendations above intend to address a number of issues with the current dispute resolution system</w:t>
      </w:r>
      <w:r w:rsidR="007037BF">
        <w:rPr>
          <w:lang w:eastAsia="en-AU"/>
        </w:rPr>
        <w:t>.</w:t>
      </w:r>
      <w:r w:rsidR="00503D85">
        <w:rPr>
          <w:lang w:eastAsia="en-AU"/>
        </w:rPr>
        <w:t xml:space="preserve"> Increasing the </w:t>
      </w:r>
      <w:r w:rsidR="00275B58">
        <w:rPr>
          <w:lang w:eastAsia="en-AU"/>
        </w:rPr>
        <w:t xml:space="preserve">use </w:t>
      </w:r>
      <w:r w:rsidR="00503D85">
        <w:rPr>
          <w:lang w:eastAsia="en-AU"/>
        </w:rPr>
        <w:t>of technical assessments</w:t>
      </w:r>
      <w:r w:rsidR="00275B58">
        <w:rPr>
          <w:lang w:eastAsia="en-AU"/>
        </w:rPr>
        <w:t xml:space="preserve"> </w:t>
      </w:r>
      <w:r w:rsidR="00275B58" w:rsidRPr="00186C43">
        <w:rPr>
          <w:lang w:eastAsia="en-AU"/>
        </w:rPr>
        <w:t xml:space="preserve">will give a better understanding </w:t>
      </w:r>
      <w:r w:rsidR="00275B58">
        <w:rPr>
          <w:lang w:eastAsia="en-AU"/>
        </w:rPr>
        <w:t>of</w:t>
      </w:r>
      <w:r w:rsidR="00275B58" w:rsidRPr="00186C43">
        <w:rPr>
          <w:lang w:eastAsia="en-AU"/>
        </w:rPr>
        <w:t xml:space="preserve"> the </w:t>
      </w:r>
      <w:r w:rsidR="00275B58">
        <w:rPr>
          <w:lang w:eastAsia="en-AU"/>
        </w:rPr>
        <w:t>potential</w:t>
      </w:r>
      <w:r w:rsidR="00275B58" w:rsidRPr="00186C43">
        <w:rPr>
          <w:lang w:eastAsia="en-AU"/>
        </w:rPr>
        <w:t xml:space="preserve"> </w:t>
      </w:r>
      <w:r w:rsidR="00275B58">
        <w:rPr>
          <w:lang w:eastAsia="en-AU"/>
        </w:rPr>
        <w:t>defect</w:t>
      </w:r>
      <w:r w:rsidR="00DC187B">
        <w:rPr>
          <w:lang w:eastAsia="en-AU"/>
        </w:rPr>
        <w:t>,</w:t>
      </w:r>
      <w:r w:rsidR="00275B58">
        <w:rPr>
          <w:lang w:eastAsia="en-AU"/>
        </w:rPr>
        <w:t xml:space="preserve"> </w:t>
      </w:r>
      <w:r w:rsidR="00275B58" w:rsidRPr="00186C43">
        <w:rPr>
          <w:lang w:eastAsia="en-AU"/>
        </w:rPr>
        <w:t>dispute</w:t>
      </w:r>
      <w:r w:rsidR="00275B58">
        <w:rPr>
          <w:lang w:eastAsia="en-AU"/>
        </w:rPr>
        <w:t xml:space="preserve"> </w:t>
      </w:r>
      <w:r w:rsidR="00275B58" w:rsidRPr="00186C43">
        <w:rPr>
          <w:lang w:eastAsia="en-AU"/>
        </w:rPr>
        <w:t xml:space="preserve">and </w:t>
      </w:r>
      <w:r w:rsidR="00275B58" w:rsidRPr="4CED2F25">
        <w:rPr>
          <w:lang w:eastAsia="en-AU"/>
        </w:rPr>
        <w:t>expedite a</w:t>
      </w:r>
      <w:r w:rsidR="00275B58" w:rsidRPr="00186C43">
        <w:rPr>
          <w:lang w:eastAsia="en-AU"/>
        </w:rPr>
        <w:t xml:space="preserve"> resolution.</w:t>
      </w:r>
      <w:r w:rsidR="00275B58">
        <w:rPr>
          <w:lang w:eastAsia="en-AU"/>
        </w:rPr>
        <w:t xml:space="preserve"> Coupled with the use of </w:t>
      </w:r>
      <w:r w:rsidR="00B55A9A">
        <w:rPr>
          <w:lang w:eastAsia="en-AU"/>
        </w:rPr>
        <w:t>O</w:t>
      </w:r>
      <w:r w:rsidR="00275B58">
        <w:rPr>
          <w:lang w:eastAsia="en-AU"/>
        </w:rPr>
        <w:t xml:space="preserve">rders, building disputes relating to defective work will be resolved quickly and effectively. </w:t>
      </w:r>
      <w:r w:rsidR="00E17DB2">
        <w:rPr>
          <w:lang w:eastAsia="en-AU"/>
        </w:rPr>
        <w:t>A</w:t>
      </w:r>
      <w:r w:rsidR="00F048AF">
        <w:rPr>
          <w:lang w:eastAsia="en-AU"/>
        </w:rPr>
        <w:t xml:space="preserve">mending </w:t>
      </w:r>
      <w:r w:rsidR="00275B58">
        <w:rPr>
          <w:lang w:eastAsia="en-AU"/>
        </w:rPr>
        <w:t xml:space="preserve">the jurisdiction of </w:t>
      </w:r>
      <w:r w:rsidR="008A78F2">
        <w:rPr>
          <w:lang w:eastAsia="en-AU"/>
        </w:rPr>
        <w:t xml:space="preserve">DBDRV to </w:t>
      </w:r>
      <w:r w:rsidR="003424C2">
        <w:rPr>
          <w:lang w:eastAsia="en-AU"/>
        </w:rPr>
        <w:t>cover</w:t>
      </w:r>
      <w:r w:rsidR="008A78F2">
        <w:rPr>
          <w:lang w:eastAsia="en-AU"/>
        </w:rPr>
        <w:t xml:space="preserve"> single trade disputes will </w:t>
      </w:r>
      <w:r w:rsidR="00275B58">
        <w:rPr>
          <w:lang w:eastAsia="en-AU"/>
        </w:rPr>
        <w:t xml:space="preserve">more closely align its scope and powers with the types of disputes occurring in the system. </w:t>
      </w:r>
      <w:r w:rsidR="00386D24">
        <w:rPr>
          <w:lang w:eastAsia="en-AU"/>
        </w:rPr>
        <w:t xml:space="preserve">Removing </w:t>
      </w:r>
      <w:r w:rsidR="00E00488">
        <w:rPr>
          <w:lang w:eastAsia="en-AU"/>
        </w:rPr>
        <w:t xml:space="preserve">any </w:t>
      </w:r>
      <w:r w:rsidR="00386D24">
        <w:rPr>
          <w:lang w:eastAsia="en-AU"/>
        </w:rPr>
        <w:t xml:space="preserve">duplication between VCAT and DBDRV will </w:t>
      </w:r>
      <w:r w:rsidR="0011422B">
        <w:rPr>
          <w:lang w:eastAsia="en-AU"/>
        </w:rPr>
        <w:t xml:space="preserve">improve the experience for </w:t>
      </w:r>
      <w:r w:rsidR="001A2D1F">
        <w:rPr>
          <w:lang w:eastAsia="en-AU"/>
        </w:rPr>
        <w:t>practitioners and consumers</w:t>
      </w:r>
      <w:r w:rsidR="00F432A9">
        <w:rPr>
          <w:lang w:eastAsia="en-AU"/>
        </w:rPr>
        <w:t>.</w:t>
      </w:r>
      <w:r w:rsidR="004627F5">
        <w:rPr>
          <w:lang w:eastAsia="en-AU"/>
        </w:rPr>
        <w:t xml:space="preserve"> </w:t>
      </w:r>
    </w:p>
    <w:p w14:paraId="392128AA" w14:textId="6B679B0D" w:rsidR="00B60C95" w:rsidRPr="007528F5" w:rsidRDefault="00B60C95" w:rsidP="00B60C95">
      <w:pPr>
        <w:pStyle w:val="Heading4"/>
      </w:pPr>
      <w:r>
        <w:lastRenderedPageBreak/>
        <w:t>Outcome</w:t>
      </w:r>
    </w:p>
    <w:p w14:paraId="11607247" w14:textId="77777777" w:rsidR="0073715E" w:rsidRDefault="00983254" w:rsidP="00493B05">
      <w:pPr>
        <w:rPr>
          <w:lang w:eastAsia="en-AU"/>
        </w:rPr>
        <w:sectPr w:rsidR="0073715E" w:rsidSect="00A47556">
          <w:footerReference w:type="default" r:id="rId88"/>
          <w:endnotePr>
            <w:numFmt w:val="decimal"/>
          </w:endnotePr>
          <w:type w:val="continuous"/>
          <w:pgSz w:w="11907" w:h="16839" w:code="9"/>
          <w:pgMar w:top="1418" w:right="1418" w:bottom="1701" w:left="1559" w:header="720" w:footer="720" w:gutter="0"/>
          <w:cols w:space="720"/>
          <w:titlePg/>
          <w:docGrid w:linePitch="360"/>
        </w:sectPr>
      </w:pPr>
      <w:r>
        <w:rPr>
          <w:lang w:eastAsia="en-AU"/>
        </w:rPr>
        <w:t>C</w:t>
      </w:r>
      <w:r w:rsidR="003D1466">
        <w:rPr>
          <w:lang w:eastAsia="en-AU"/>
        </w:rPr>
        <w:t xml:space="preserve">onsumers and practitioners </w:t>
      </w:r>
      <w:r>
        <w:rPr>
          <w:lang w:eastAsia="en-AU"/>
        </w:rPr>
        <w:t xml:space="preserve">can </w:t>
      </w:r>
      <w:r w:rsidR="00394FF6">
        <w:rPr>
          <w:lang w:eastAsia="en-AU"/>
        </w:rPr>
        <w:t>resolve</w:t>
      </w:r>
      <w:r w:rsidR="003D1466">
        <w:rPr>
          <w:lang w:eastAsia="en-AU"/>
        </w:rPr>
        <w:t xml:space="preserve"> disputes</w:t>
      </w:r>
      <w:r w:rsidR="00394FF6">
        <w:rPr>
          <w:lang w:eastAsia="en-AU"/>
        </w:rPr>
        <w:t xml:space="preserve"> in a timely, equitable and cost-effective manner</w:t>
      </w:r>
      <w:r w:rsidR="00F62E9D">
        <w:rPr>
          <w:lang w:eastAsia="en-AU"/>
        </w:rPr>
        <w:t>.</w:t>
      </w:r>
      <w:r w:rsidR="0000467B">
        <w:rPr>
          <w:lang w:eastAsia="en-AU"/>
        </w:rPr>
        <w:t xml:space="preserve"> </w:t>
      </w:r>
      <w:r w:rsidR="00F432A9">
        <w:rPr>
          <w:lang w:eastAsia="en-AU"/>
        </w:rPr>
        <w:t xml:space="preserve">This recommendation will help support more effective, </w:t>
      </w:r>
      <w:r w:rsidR="00670F7E">
        <w:rPr>
          <w:lang w:eastAsia="en-AU"/>
        </w:rPr>
        <w:t>low</w:t>
      </w:r>
      <w:r w:rsidR="008B268A">
        <w:rPr>
          <w:lang w:eastAsia="en-AU"/>
        </w:rPr>
        <w:t>-</w:t>
      </w:r>
      <w:r w:rsidR="00F432A9">
        <w:rPr>
          <w:lang w:eastAsia="en-AU"/>
        </w:rPr>
        <w:t>cost</w:t>
      </w:r>
      <w:r w:rsidR="00670F7E">
        <w:rPr>
          <w:lang w:eastAsia="en-AU"/>
        </w:rPr>
        <w:t xml:space="preserve"> dispute</w:t>
      </w:r>
      <w:r w:rsidR="00F432A9">
        <w:rPr>
          <w:lang w:eastAsia="en-AU"/>
        </w:rPr>
        <w:t xml:space="preserve"> </w:t>
      </w:r>
      <w:r w:rsidR="00670F7E">
        <w:rPr>
          <w:lang w:eastAsia="en-AU"/>
        </w:rPr>
        <w:t>resolution, and support earlier, more conclusive resolution of disputes.</w:t>
      </w:r>
    </w:p>
    <w:p w14:paraId="5AE4BBE8" w14:textId="356EC63E" w:rsidR="00F432A9" w:rsidRDefault="00F432A9" w:rsidP="00493B05">
      <w:pPr>
        <w:rPr>
          <w:lang w:eastAsia="en-AU"/>
        </w:rPr>
      </w:pPr>
    </w:p>
    <w:p w14:paraId="0F4CF0CB" w14:textId="378DBF82" w:rsidR="00CA4CCF" w:rsidRPr="008D59DF" w:rsidRDefault="00CA4CCF" w:rsidP="00670F7E">
      <w:pPr>
        <w:pStyle w:val="Heading3"/>
      </w:pPr>
      <w:bookmarkStart w:id="159" w:name="_Toc131428717"/>
      <w:bookmarkStart w:id="160" w:name="_Ref134307992"/>
      <w:bookmarkStart w:id="161" w:name="_Toc134352876"/>
      <w:bookmarkStart w:id="162" w:name="_Toc134356803"/>
      <w:bookmarkStart w:id="163" w:name="_Toc134356909"/>
      <w:bookmarkStart w:id="164" w:name="_Ref134371519"/>
      <w:r w:rsidRPr="008D59DF">
        <w:t xml:space="preserve">Recommendation </w:t>
      </w:r>
      <w:r w:rsidR="0006120B">
        <w:t>10</w:t>
      </w:r>
      <w:r w:rsidRPr="008D59DF">
        <w:t xml:space="preserve"> | </w:t>
      </w:r>
      <w:r w:rsidR="009C7FF2" w:rsidRPr="008D59DF">
        <w:t xml:space="preserve">Consider </w:t>
      </w:r>
      <w:r w:rsidR="00A857A1">
        <w:t xml:space="preserve">structural reforms to the dispute resolution </w:t>
      </w:r>
      <w:r w:rsidR="00321D90">
        <w:t>institutional arrangements</w:t>
      </w:r>
      <w:bookmarkEnd w:id="159"/>
      <w:bookmarkEnd w:id="160"/>
      <w:bookmarkEnd w:id="161"/>
      <w:bookmarkEnd w:id="162"/>
      <w:bookmarkEnd w:id="163"/>
      <w:bookmarkEnd w:id="164"/>
    </w:p>
    <w:p w14:paraId="58A27B00" w14:textId="4A5E492F" w:rsidR="000A59B6" w:rsidRPr="008D59DF" w:rsidRDefault="000A59B6" w:rsidP="000A59B6">
      <w:pPr>
        <w:pStyle w:val="Heading4"/>
      </w:pPr>
      <w:r w:rsidRPr="008D59DF">
        <w:t>Description</w:t>
      </w:r>
    </w:p>
    <w:p w14:paraId="6737F54E" w14:textId="440EE272" w:rsidR="005B1AB3" w:rsidRDefault="005B5445" w:rsidP="00BA66A6">
      <w:r>
        <w:rPr>
          <w:lang w:eastAsia="en-AU"/>
        </w:rPr>
        <w:t xml:space="preserve">While the issues outlined in this chapter can be addressed through changes to the current dispute resolution </w:t>
      </w:r>
      <w:r w:rsidR="006D2F87">
        <w:rPr>
          <w:lang w:eastAsia="en-AU"/>
        </w:rPr>
        <w:t>approach</w:t>
      </w:r>
      <w:r>
        <w:rPr>
          <w:lang w:eastAsia="en-AU"/>
        </w:rPr>
        <w:t>, t</w:t>
      </w:r>
      <w:r w:rsidR="00335FEE" w:rsidRPr="008D59DF">
        <w:rPr>
          <w:lang w:eastAsia="en-AU"/>
        </w:rPr>
        <w:t xml:space="preserve">he </w:t>
      </w:r>
      <w:r w:rsidR="00FD54CC" w:rsidRPr="008D59DF">
        <w:rPr>
          <w:lang w:eastAsia="en-AU"/>
        </w:rPr>
        <w:t>Panel also recommends that</w:t>
      </w:r>
      <w:r w:rsidR="00FB2359">
        <w:rPr>
          <w:lang w:eastAsia="en-AU"/>
        </w:rPr>
        <w:t>, in the longer term,</w:t>
      </w:r>
      <w:r w:rsidR="00FD54CC" w:rsidRPr="008D59DF">
        <w:rPr>
          <w:lang w:eastAsia="en-AU"/>
        </w:rPr>
        <w:t xml:space="preserve"> the </w:t>
      </w:r>
      <w:r w:rsidR="00335FEE" w:rsidRPr="008D59DF">
        <w:rPr>
          <w:lang w:eastAsia="en-AU"/>
        </w:rPr>
        <w:t xml:space="preserve">Government consider </w:t>
      </w:r>
      <w:r w:rsidR="00D65813">
        <w:rPr>
          <w:lang w:eastAsia="en-AU"/>
        </w:rPr>
        <w:t xml:space="preserve">major reforms to the institutional arrangements for </w:t>
      </w:r>
      <w:r w:rsidR="00102B40">
        <w:rPr>
          <w:lang w:eastAsia="en-AU"/>
        </w:rPr>
        <w:t xml:space="preserve">building </w:t>
      </w:r>
      <w:r w:rsidR="00D65813">
        <w:rPr>
          <w:lang w:eastAsia="en-AU"/>
        </w:rPr>
        <w:t>dispute resolution</w:t>
      </w:r>
      <w:r w:rsidR="0041244C">
        <w:rPr>
          <w:lang w:eastAsia="en-AU"/>
        </w:rPr>
        <w:t xml:space="preserve">. </w:t>
      </w:r>
      <w:r w:rsidR="00102B40">
        <w:rPr>
          <w:lang w:eastAsia="en-AU"/>
        </w:rPr>
        <w:t xml:space="preserve">For example, the establishment </w:t>
      </w:r>
      <w:r w:rsidR="00BA66A6">
        <w:rPr>
          <w:lang w:eastAsia="en-AU"/>
        </w:rPr>
        <w:t>of a</w:t>
      </w:r>
      <w:r w:rsidR="0041244C" w:rsidRPr="008D59DF">
        <w:t xml:space="preserve"> new single </w:t>
      </w:r>
      <w:r w:rsidR="00C06970">
        <w:t xml:space="preserve">organisation to </w:t>
      </w:r>
      <w:r w:rsidR="0041244C">
        <w:t>receive</w:t>
      </w:r>
      <w:r w:rsidR="00321D90">
        <w:t xml:space="preserve">, </w:t>
      </w:r>
      <w:r w:rsidR="0042564F">
        <w:t xml:space="preserve">triage </w:t>
      </w:r>
      <w:r w:rsidR="00321D90">
        <w:t xml:space="preserve">and resolve disputes. </w:t>
      </w:r>
      <w:r w:rsidR="0041244C" w:rsidRPr="008D59DF">
        <w:t>A single body would make the system simpler for consumers and industry and could allocate cases more efficiently</w:t>
      </w:r>
      <w:r w:rsidR="00452707">
        <w:t xml:space="preserve"> to different pathways</w:t>
      </w:r>
      <w:r w:rsidR="0041244C" w:rsidRPr="008D59DF">
        <w:t>.</w:t>
      </w:r>
      <w:r w:rsidR="00BA66A6">
        <w:t xml:space="preserve"> </w:t>
      </w:r>
      <w:r w:rsidR="009F0B5C">
        <w:t xml:space="preserve">It could involve combining DBDRV and </w:t>
      </w:r>
      <w:r w:rsidR="00C06970">
        <w:t xml:space="preserve">relevant </w:t>
      </w:r>
      <w:r w:rsidR="00ED22D0">
        <w:t xml:space="preserve">domestic building </w:t>
      </w:r>
      <w:r w:rsidR="009F0B5C">
        <w:t xml:space="preserve">disputes from the VCAT Building &amp; Property List. </w:t>
      </w:r>
    </w:p>
    <w:p w14:paraId="3536F630" w14:textId="232198AF" w:rsidR="0041244C" w:rsidRPr="00BA66A6" w:rsidRDefault="0009743B" w:rsidP="00BA66A6">
      <w:pPr>
        <w:rPr>
          <w:lang w:eastAsia="en-AU"/>
        </w:rPr>
      </w:pPr>
      <w:r>
        <w:t>In addition</w:t>
      </w:r>
      <w:r w:rsidR="001E5970">
        <w:t>,</w:t>
      </w:r>
      <w:r>
        <w:t xml:space="preserve"> </w:t>
      </w:r>
      <w:r w:rsidR="009E7804">
        <w:t>new resolution pathways</w:t>
      </w:r>
      <w:r>
        <w:t xml:space="preserve"> </w:t>
      </w:r>
      <w:r w:rsidR="00321D90">
        <w:t xml:space="preserve">could </w:t>
      </w:r>
      <w:r w:rsidR="005B1AB3">
        <w:t xml:space="preserve">also </w:t>
      </w:r>
      <w:r w:rsidR="00321D90">
        <w:t>be considered</w:t>
      </w:r>
      <w:r>
        <w:t>, including</w:t>
      </w:r>
      <w:r w:rsidR="00321D90">
        <w:t>:</w:t>
      </w:r>
    </w:p>
    <w:p w14:paraId="70BF1840" w14:textId="76CC896D" w:rsidR="00EC7546" w:rsidRPr="00F6072E" w:rsidRDefault="00EC7546" w:rsidP="00EC7546">
      <w:pPr>
        <w:pStyle w:val="Bullet"/>
      </w:pPr>
      <w:r>
        <w:t>Enable the new resolution agency to inquire into the circumstances of the dispute (i.e., request information</w:t>
      </w:r>
      <w:r w:rsidR="0084689E">
        <w:t xml:space="preserve"> and</w:t>
      </w:r>
      <w:r>
        <w:t xml:space="preserve"> seek documents)</w:t>
      </w:r>
      <w:r w:rsidR="00BA66A6" w:rsidRPr="00BA66A6">
        <w:t xml:space="preserve"> </w:t>
      </w:r>
      <w:r w:rsidR="00BA66A6">
        <w:t>and the power to decide a dispute following an investigation.</w:t>
      </w:r>
    </w:p>
    <w:p w14:paraId="22149C68" w14:textId="6F00115B" w:rsidR="00D725B7" w:rsidRPr="00DF2CFF" w:rsidRDefault="000353C0" w:rsidP="00F97A6C">
      <w:pPr>
        <w:pStyle w:val="Bullet"/>
      </w:pPr>
      <w:r w:rsidRPr="00DF2CFF">
        <w:t xml:space="preserve">Create </w:t>
      </w:r>
      <w:r w:rsidR="00C53771" w:rsidRPr="001E5970">
        <w:t xml:space="preserve">additional </w:t>
      </w:r>
      <w:r w:rsidR="00A4785D" w:rsidRPr="001E5970">
        <w:t>powers (e.g., arbitration</w:t>
      </w:r>
      <w:r w:rsidR="006F1B64" w:rsidRPr="001E5970">
        <w:t xml:space="preserve"> processes) to provide for more effective resolution</w:t>
      </w:r>
      <w:r w:rsidR="0078234B">
        <w:t xml:space="preserve">, for certain disputes. </w:t>
      </w:r>
    </w:p>
    <w:p w14:paraId="52126920" w14:textId="56486D2D" w:rsidR="00D725B7" w:rsidRDefault="00E2727D" w:rsidP="001E5970">
      <w:pPr>
        <w:pStyle w:val="Bullet"/>
      </w:pPr>
      <w:r>
        <w:t>D</w:t>
      </w:r>
      <w:r w:rsidR="00287B48">
        <w:t xml:space="preserve">ispute avoidance </w:t>
      </w:r>
      <w:r w:rsidR="00E25B9D">
        <w:t>mechanism</w:t>
      </w:r>
      <w:r w:rsidR="00D725B7">
        <w:t>s</w:t>
      </w:r>
      <w:r w:rsidR="00D26896">
        <w:t>, including contract facilitation support</w:t>
      </w:r>
      <w:r w:rsidR="001A38E4">
        <w:t xml:space="preserve"> could also be </w:t>
      </w:r>
      <w:r w:rsidR="00451B06">
        <w:t>considered</w:t>
      </w:r>
      <w:r w:rsidR="00D26896">
        <w:t xml:space="preserve">. </w:t>
      </w:r>
    </w:p>
    <w:p w14:paraId="4DD96E5E" w14:textId="6C41A212" w:rsidR="006A45C3" w:rsidRDefault="006A45C3" w:rsidP="00321D90">
      <w:pPr>
        <w:pStyle w:val="Bullet"/>
        <w:numPr>
          <w:ilvl w:val="0"/>
          <w:numId w:val="0"/>
        </w:numPr>
      </w:pPr>
      <w:r>
        <w:t xml:space="preserve">These additional </w:t>
      </w:r>
      <w:r w:rsidR="0009743B">
        <w:t>pathways</w:t>
      </w:r>
      <w:r>
        <w:t xml:space="preserve"> </w:t>
      </w:r>
      <w:r w:rsidR="001A38E4">
        <w:t xml:space="preserve">and structure </w:t>
      </w:r>
      <w:r w:rsidR="00577449">
        <w:t xml:space="preserve">could </w:t>
      </w:r>
      <w:r>
        <w:t xml:space="preserve">be considered as part of </w:t>
      </w:r>
      <w:r w:rsidR="002D22B9">
        <w:t xml:space="preserve">the </w:t>
      </w:r>
      <w:r w:rsidR="008F643A">
        <w:t xml:space="preserve">domestic </w:t>
      </w:r>
      <w:r w:rsidR="002D22B9">
        <w:t xml:space="preserve">building consumer </w:t>
      </w:r>
      <w:r w:rsidR="004934DF">
        <w:t xml:space="preserve">framework. </w:t>
      </w:r>
    </w:p>
    <w:p w14:paraId="65909560" w14:textId="77777777" w:rsidR="001F3C59" w:rsidRPr="008D59DF" w:rsidRDefault="001F3C59" w:rsidP="001F3C59">
      <w:pPr>
        <w:pStyle w:val="Heading4"/>
      </w:pPr>
      <w:r w:rsidRPr="008D59DF">
        <w:t>Rationale</w:t>
      </w:r>
    </w:p>
    <w:p w14:paraId="7A68C08C" w14:textId="5BA3DBB8" w:rsidR="009E7804" w:rsidRDefault="0099420D" w:rsidP="002168A8">
      <w:pPr>
        <w:rPr>
          <w:lang w:eastAsia="en-AU"/>
        </w:rPr>
      </w:pPr>
      <w:r>
        <w:rPr>
          <w:rFonts w:eastAsia="Arial" w:cs="Arial"/>
        </w:rPr>
        <w:t xml:space="preserve">An effective pathway to resolve building disputes is critical to a well-functioning building regulatory system. As described above, the current model was established with the intent </w:t>
      </w:r>
      <w:r w:rsidR="005665CF">
        <w:rPr>
          <w:rFonts w:eastAsia="Arial" w:cs="Arial"/>
        </w:rPr>
        <w:t>to</w:t>
      </w:r>
      <w:r>
        <w:rPr>
          <w:rFonts w:eastAsia="Arial" w:cs="Arial"/>
        </w:rPr>
        <w:t xml:space="preserve"> </w:t>
      </w:r>
      <w:r w:rsidR="00101CF1" w:rsidRPr="005665CF">
        <w:rPr>
          <w:lang w:eastAsia="en-AU"/>
        </w:rPr>
        <w:t>‘significantly reduce the costs [and] stresses that come with formal legal proceedings</w:t>
      </w:r>
      <w:r w:rsidR="00043425" w:rsidRPr="005665CF">
        <w:rPr>
          <w:lang w:eastAsia="en-AU"/>
        </w:rPr>
        <w:t>.</w:t>
      </w:r>
      <w:r w:rsidR="005665CF" w:rsidRPr="005665CF">
        <w:rPr>
          <w:lang w:eastAsia="en-AU"/>
        </w:rPr>
        <w:t>’</w:t>
      </w:r>
      <w:r w:rsidR="00101CF1">
        <w:rPr>
          <w:rStyle w:val="EndnoteReference"/>
          <w:lang w:eastAsia="en-AU"/>
        </w:rPr>
        <w:endnoteReference w:id="79"/>
      </w:r>
      <w:r w:rsidR="00101CF1">
        <w:rPr>
          <w:lang w:eastAsia="en-AU"/>
        </w:rPr>
        <w:t xml:space="preserve"> Since its establishment,</w:t>
      </w:r>
      <w:r w:rsidR="002168A8">
        <w:rPr>
          <w:lang w:eastAsia="en-AU"/>
        </w:rPr>
        <w:t xml:space="preserve"> </w:t>
      </w:r>
      <w:r w:rsidR="00756910">
        <w:rPr>
          <w:lang w:eastAsia="en-AU"/>
        </w:rPr>
        <w:t xml:space="preserve">the nature of building disputes has changed with a greater number of complex </w:t>
      </w:r>
      <w:r w:rsidR="00F25D5B">
        <w:rPr>
          <w:lang w:eastAsia="en-AU"/>
        </w:rPr>
        <w:t xml:space="preserve">defect issues multiple stakeholders </w:t>
      </w:r>
      <w:r w:rsidR="00B716CF">
        <w:rPr>
          <w:lang w:eastAsia="en-AU"/>
        </w:rPr>
        <w:t>–</w:t>
      </w:r>
      <w:r w:rsidR="00F25D5B">
        <w:rPr>
          <w:lang w:eastAsia="en-AU"/>
        </w:rPr>
        <w:t xml:space="preserve"> </w:t>
      </w:r>
      <w:r w:rsidR="00756910">
        <w:rPr>
          <w:lang w:eastAsia="en-AU"/>
        </w:rPr>
        <w:t>apartment</w:t>
      </w:r>
      <w:r w:rsidR="00B716CF">
        <w:rPr>
          <w:lang w:eastAsia="en-AU"/>
        </w:rPr>
        <w:t xml:space="preserve"> </w:t>
      </w:r>
      <w:r w:rsidR="00756910">
        <w:rPr>
          <w:lang w:eastAsia="en-AU"/>
        </w:rPr>
        <w:t xml:space="preserve">dwellers, </w:t>
      </w:r>
      <w:r w:rsidR="00F25D5B">
        <w:rPr>
          <w:lang w:eastAsia="en-AU"/>
        </w:rPr>
        <w:t xml:space="preserve">building practitioners and other accountable parties. </w:t>
      </w:r>
      <w:r w:rsidR="005736D0">
        <w:rPr>
          <w:lang w:eastAsia="en-AU"/>
        </w:rPr>
        <w:t xml:space="preserve">The current model </w:t>
      </w:r>
      <w:r w:rsidR="002420F9">
        <w:rPr>
          <w:lang w:eastAsia="en-AU"/>
        </w:rPr>
        <w:t xml:space="preserve">can be improved but </w:t>
      </w:r>
      <w:r w:rsidR="005736D0">
        <w:rPr>
          <w:lang w:eastAsia="en-AU"/>
        </w:rPr>
        <w:t>may no longer be fit</w:t>
      </w:r>
      <w:r w:rsidR="005C0582">
        <w:rPr>
          <w:lang w:eastAsia="en-AU"/>
        </w:rPr>
        <w:t>-</w:t>
      </w:r>
      <w:r w:rsidR="005736D0">
        <w:rPr>
          <w:lang w:eastAsia="en-AU"/>
        </w:rPr>
        <w:t>for</w:t>
      </w:r>
      <w:r w:rsidR="005C0582">
        <w:rPr>
          <w:lang w:eastAsia="en-AU"/>
        </w:rPr>
        <w:t>-</w:t>
      </w:r>
      <w:r w:rsidR="005736D0">
        <w:rPr>
          <w:lang w:eastAsia="en-AU"/>
        </w:rPr>
        <w:t xml:space="preserve">purpose to address the broad range of disputes and issues in the building system. </w:t>
      </w:r>
      <w:r w:rsidR="005C0582" w:rsidRPr="006A268A">
        <w:rPr>
          <w:lang w:eastAsia="en-AU"/>
        </w:rPr>
        <w:t>Therefore</w:t>
      </w:r>
      <w:r w:rsidR="005C0582">
        <w:rPr>
          <w:lang w:eastAsia="en-AU"/>
        </w:rPr>
        <w:t>, t</w:t>
      </w:r>
      <w:r w:rsidR="004849D1">
        <w:rPr>
          <w:lang w:eastAsia="en-AU"/>
        </w:rPr>
        <w:t xml:space="preserve">here is a desire among stakeholders </w:t>
      </w:r>
      <w:r w:rsidR="004A4B42">
        <w:rPr>
          <w:lang w:eastAsia="en-AU"/>
        </w:rPr>
        <w:t xml:space="preserve">to ensure arrangements are in place to resolve building disputes in a way which </w:t>
      </w:r>
      <w:r w:rsidR="009C0822">
        <w:rPr>
          <w:lang w:eastAsia="en-AU"/>
        </w:rPr>
        <w:t xml:space="preserve">embeds confidence in the outcomes </w:t>
      </w:r>
      <w:r w:rsidR="00580CF4">
        <w:rPr>
          <w:lang w:eastAsia="en-AU"/>
        </w:rPr>
        <w:t xml:space="preserve">for consumers and practitioners alike. </w:t>
      </w:r>
    </w:p>
    <w:p w14:paraId="04009087" w14:textId="77777777" w:rsidR="003068B2" w:rsidRPr="008D59DF" w:rsidRDefault="003068B2" w:rsidP="003068B2">
      <w:pPr>
        <w:pStyle w:val="Heading4"/>
      </w:pPr>
      <w:r w:rsidRPr="008D59DF">
        <w:t>Outcome</w:t>
      </w:r>
    </w:p>
    <w:p w14:paraId="059D54C3" w14:textId="34BF2F63" w:rsidR="0073715E" w:rsidRDefault="002C4ECD" w:rsidP="001C2C5B">
      <w:pPr>
        <w:rPr>
          <w:lang w:eastAsia="en-AU"/>
        </w:rPr>
        <w:sectPr w:rsidR="0073715E" w:rsidSect="00A47556">
          <w:footerReference w:type="default" r:id="rId89"/>
          <w:endnotePr>
            <w:numFmt w:val="decimal"/>
          </w:endnotePr>
          <w:type w:val="continuous"/>
          <w:pgSz w:w="11907" w:h="16839" w:code="9"/>
          <w:pgMar w:top="1418" w:right="1418" w:bottom="1701" w:left="1559" w:header="720" w:footer="720" w:gutter="0"/>
          <w:cols w:space="720"/>
          <w:titlePg/>
          <w:docGrid w:linePitch="360"/>
        </w:sectPr>
      </w:pPr>
      <w:r>
        <w:rPr>
          <w:lang w:eastAsia="en-AU"/>
        </w:rPr>
        <w:t xml:space="preserve">The Panel </w:t>
      </w:r>
      <w:r w:rsidR="00F051E7">
        <w:rPr>
          <w:lang w:eastAsia="en-AU"/>
        </w:rPr>
        <w:t xml:space="preserve">believes </w:t>
      </w:r>
      <w:r>
        <w:rPr>
          <w:lang w:eastAsia="en-AU"/>
        </w:rPr>
        <w:t>that a</w:t>
      </w:r>
      <w:r w:rsidR="008E2A5C">
        <w:rPr>
          <w:lang w:eastAsia="en-AU"/>
        </w:rPr>
        <w:t xml:space="preserve"> </w:t>
      </w:r>
      <w:r w:rsidR="00203ED5" w:rsidRPr="008D59DF">
        <w:rPr>
          <w:lang w:eastAsia="en-AU"/>
        </w:rPr>
        <w:t>single dispute resolution body</w:t>
      </w:r>
      <w:r w:rsidR="009952F7">
        <w:rPr>
          <w:lang w:eastAsia="en-AU"/>
        </w:rPr>
        <w:t xml:space="preserve"> (e.g.,</w:t>
      </w:r>
      <w:r w:rsidR="00DB0B8B">
        <w:rPr>
          <w:lang w:eastAsia="en-AU"/>
        </w:rPr>
        <w:t xml:space="preserve"> a separate tribunal</w:t>
      </w:r>
      <w:r w:rsidR="009952F7">
        <w:rPr>
          <w:lang w:eastAsia="en-AU"/>
        </w:rPr>
        <w:t>)</w:t>
      </w:r>
      <w:r w:rsidR="00203ED5">
        <w:rPr>
          <w:lang w:eastAsia="en-AU"/>
        </w:rPr>
        <w:t xml:space="preserve"> </w:t>
      </w:r>
      <w:r w:rsidR="005736D0">
        <w:rPr>
          <w:lang w:eastAsia="en-AU"/>
        </w:rPr>
        <w:t xml:space="preserve">would reduce complexity in the system by creating a </w:t>
      </w:r>
      <w:r w:rsidR="006A3601">
        <w:rPr>
          <w:lang w:eastAsia="en-AU"/>
        </w:rPr>
        <w:t>central</w:t>
      </w:r>
      <w:r w:rsidR="00B13C38">
        <w:rPr>
          <w:lang w:eastAsia="en-AU"/>
        </w:rPr>
        <w:t>ised</w:t>
      </w:r>
      <w:r w:rsidR="00203ED5" w:rsidRPr="008D59DF">
        <w:rPr>
          <w:lang w:eastAsia="en-AU"/>
        </w:rPr>
        <w:t xml:space="preserve"> entry point </w:t>
      </w:r>
      <w:r w:rsidR="005736D0">
        <w:rPr>
          <w:lang w:eastAsia="en-AU"/>
        </w:rPr>
        <w:t xml:space="preserve">that can allocate and resolve issues more </w:t>
      </w:r>
      <w:r w:rsidR="00203ED5" w:rsidRPr="008D59DF">
        <w:rPr>
          <w:lang w:eastAsia="en-AU"/>
        </w:rPr>
        <w:t xml:space="preserve">efficiently. </w:t>
      </w:r>
      <w:r w:rsidR="008E13D6">
        <w:rPr>
          <w:lang w:eastAsia="en-AU"/>
        </w:rPr>
        <w:t>Additional</w:t>
      </w:r>
      <w:r w:rsidR="00451B06">
        <w:rPr>
          <w:lang w:eastAsia="en-AU"/>
        </w:rPr>
        <w:t xml:space="preserve"> </w:t>
      </w:r>
      <w:r w:rsidR="005562FA">
        <w:rPr>
          <w:lang w:eastAsia="en-AU"/>
        </w:rPr>
        <w:t xml:space="preserve">pathways, </w:t>
      </w:r>
      <w:r w:rsidR="008E13D6">
        <w:rPr>
          <w:lang w:eastAsia="en-AU"/>
        </w:rPr>
        <w:t xml:space="preserve">including </w:t>
      </w:r>
      <w:r w:rsidR="008E2A5C">
        <w:rPr>
          <w:lang w:eastAsia="en-AU"/>
        </w:rPr>
        <w:t>inquiry</w:t>
      </w:r>
      <w:r w:rsidR="008E13D6">
        <w:rPr>
          <w:lang w:eastAsia="en-AU"/>
        </w:rPr>
        <w:t xml:space="preserve">, arbitration and dispute avoidance, </w:t>
      </w:r>
      <w:r w:rsidR="008E2A5C">
        <w:rPr>
          <w:lang w:eastAsia="en-AU"/>
        </w:rPr>
        <w:t>w</w:t>
      </w:r>
      <w:r w:rsidR="002420F9">
        <w:rPr>
          <w:lang w:eastAsia="en-AU"/>
        </w:rPr>
        <w:t xml:space="preserve">ould </w:t>
      </w:r>
      <w:r w:rsidR="008E2A5C">
        <w:rPr>
          <w:lang w:eastAsia="en-AU"/>
        </w:rPr>
        <w:t xml:space="preserve"> facilitate the efficient resolution of issues and may </w:t>
      </w:r>
      <w:r w:rsidR="008E2A5C" w:rsidRPr="008D59DF">
        <w:rPr>
          <w:lang w:eastAsia="en-AU"/>
        </w:rPr>
        <w:t>produce more satisfactory outcomes for both consumers and practitioners</w:t>
      </w:r>
      <w:r w:rsidR="008E2A5C">
        <w:rPr>
          <w:lang w:eastAsia="en-AU"/>
        </w:rPr>
        <w:t>.</w:t>
      </w:r>
    </w:p>
    <w:p w14:paraId="395091B5" w14:textId="662C0979" w:rsidR="003068B2" w:rsidRDefault="003068B2" w:rsidP="001C2C5B">
      <w:pPr>
        <w:rPr>
          <w:lang w:eastAsia="en-AU"/>
        </w:rPr>
      </w:pPr>
    </w:p>
    <w:p w14:paraId="3250300C" w14:textId="722649BE" w:rsidR="001728FE" w:rsidRPr="001728FE" w:rsidRDefault="001728FE" w:rsidP="001728FE">
      <w:pPr>
        <w:rPr>
          <w:lang w:eastAsia="en-AU"/>
        </w:rPr>
        <w:sectPr w:rsidR="001728FE" w:rsidRPr="001728FE" w:rsidSect="00A47556">
          <w:endnotePr>
            <w:numFmt w:val="decimal"/>
          </w:endnotePr>
          <w:type w:val="continuous"/>
          <w:pgSz w:w="11907" w:h="16839" w:code="9"/>
          <w:pgMar w:top="1418" w:right="1418" w:bottom="1701" w:left="1559" w:header="720" w:footer="720" w:gutter="0"/>
          <w:cols w:space="720"/>
          <w:titlePg/>
          <w:docGrid w:linePitch="360"/>
        </w:sectPr>
      </w:pPr>
    </w:p>
    <w:p w14:paraId="355FABD7" w14:textId="24F4F7B7" w:rsidR="003010D6" w:rsidRDefault="00DF7130" w:rsidP="002C25B5">
      <w:pPr>
        <w:pStyle w:val="Heading1"/>
      </w:pPr>
      <w:bookmarkStart w:id="165" w:name="_Toc134356910"/>
      <w:r>
        <w:rPr>
          <w:noProof/>
        </w:rPr>
        <w:lastRenderedPageBreak/>
        <w:drawing>
          <wp:anchor distT="0" distB="0" distL="114300" distR="114300" simplePos="0" relativeHeight="251658248" behindDoc="1" locked="0" layoutInCell="1" allowOverlap="1" wp14:anchorId="2AF270D8" wp14:editId="4A359F7D">
            <wp:simplePos x="0" y="0"/>
            <wp:positionH relativeFrom="column">
              <wp:posOffset>-990572</wp:posOffset>
            </wp:positionH>
            <wp:positionV relativeFrom="paragraph">
              <wp:posOffset>-884638</wp:posOffset>
            </wp:positionV>
            <wp:extent cx="7566025" cy="162179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566025" cy="1621790"/>
                    </a:xfrm>
                    <a:prstGeom prst="rect">
                      <a:avLst/>
                    </a:prstGeom>
                    <a:noFill/>
                  </pic:spPr>
                </pic:pic>
              </a:graphicData>
            </a:graphic>
            <wp14:sizeRelH relativeFrom="page">
              <wp14:pctWidth>0</wp14:pctWidth>
            </wp14:sizeRelH>
            <wp14:sizeRelV relativeFrom="page">
              <wp14:pctHeight>0</wp14:pctHeight>
            </wp14:sizeRelV>
          </wp:anchor>
        </w:drawing>
      </w:r>
      <w:r w:rsidR="002C25B5">
        <w:t>Building maintenance</w:t>
      </w:r>
      <w:r w:rsidR="00936E97">
        <w:t>, products and technologies</w:t>
      </w:r>
      <w:bookmarkEnd w:id="165"/>
    </w:p>
    <w:p w14:paraId="2BC31A97" w14:textId="76DFCDE6" w:rsidR="002C25B5" w:rsidRDefault="002C25B5" w:rsidP="002C25B5">
      <w:pPr>
        <w:rPr>
          <w:lang w:eastAsia="en-AU"/>
        </w:rPr>
      </w:pPr>
    </w:p>
    <w:p w14:paraId="685A461C" w14:textId="77777777" w:rsidR="001B3389" w:rsidRDefault="001B3389" w:rsidP="001B3389"/>
    <w:p w14:paraId="2094E4FE" w14:textId="611614E3" w:rsidR="003E0776" w:rsidRDefault="001B3389" w:rsidP="006550FA">
      <w:pPr>
        <w:rPr>
          <w:lang w:eastAsia="en-AU"/>
        </w:rPr>
      </w:pPr>
      <w:r>
        <w:t xml:space="preserve">The building legislative framework aims to protect the health and safety of people who live in and use buildings across the building lifecycle. This includes during the design and construction of buildings but also extends to the maintenance of completed buildings. The primary regulatory safeguards to oversee building maintenance are Essential Safety Measures (ESMs). ESMs include active fire systems (i.e., sprinklers, fire hydrants) and passive fire safety systems (i.e., smoke alarms, emergency exits and lifts). </w:t>
      </w:r>
      <w:r w:rsidR="003E0776">
        <w:rPr>
          <w:lang w:eastAsia="en-AU"/>
        </w:rPr>
        <w:t xml:space="preserve">The ongoing maintenance and compliance of these ESMs helps to </w:t>
      </w:r>
      <w:r w:rsidR="006550FA">
        <w:rPr>
          <w:lang w:eastAsia="en-AU"/>
        </w:rPr>
        <w:t>ensure our buildings, and those that live in them</w:t>
      </w:r>
      <w:r w:rsidR="009D10AD">
        <w:rPr>
          <w:lang w:eastAsia="en-AU"/>
        </w:rPr>
        <w:t>,</w:t>
      </w:r>
      <w:r w:rsidR="006550FA">
        <w:rPr>
          <w:lang w:eastAsia="en-AU"/>
        </w:rPr>
        <w:t xml:space="preserve"> </w:t>
      </w:r>
      <w:r w:rsidR="0048680D">
        <w:rPr>
          <w:lang w:eastAsia="en-AU"/>
        </w:rPr>
        <w:t>remain</w:t>
      </w:r>
      <w:r w:rsidR="006550FA">
        <w:rPr>
          <w:lang w:eastAsia="en-AU"/>
        </w:rPr>
        <w:t xml:space="preserve"> safe. </w:t>
      </w:r>
    </w:p>
    <w:p w14:paraId="31B9D8BB" w14:textId="09DF3FC0" w:rsidR="009F58FB" w:rsidRDefault="00706DF1" w:rsidP="006550FA">
      <w:pPr>
        <w:rPr>
          <w:lang w:eastAsia="en-AU"/>
        </w:rPr>
      </w:pPr>
      <w:r>
        <w:t>Part of maintenance is ensuring that building and plumbing products, whether they are imported or manufactured in Victoria</w:t>
      </w:r>
      <w:r w:rsidR="00B6242D">
        <w:t>,</w:t>
      </w:r>
      <w:r>
        <w:t xml:space="preserve"> are safe and compliant. </w:t>
      </w:r>
      <w:r w:rsidR="000931E1">
        <w:t xml:space="preserve">Innovations in product manufacturing and construction processes present </w:t>
      </w:r>
      <w:r w:rsidR="000931E1" w:rsidRPr="00CE7C73">
        <w:rPr>
          <w:lang w:eastAsia="en-AU"/>
        </w:rPr>
        <w:t>opportunities for a more efficient</w:t>
      </w:r>
      <w:r w:rsidR="000931E1">
        <w:rPr>
          <w:lang w:eastAsia="en-AU"/>
        </w:rPr>
        <w:t>, higher-performing,</w:t>
      </w:r>
      <w:r w:rsidR="000931E1" w:rsidRPr="00CE7C73">
        <w:rPr>
          <w:lang w:eastAsia="en-AU"/>
        </w:rPr>
        <w:t xml:space="preserve"> and cost-effective building sector.</w:t>
      </w:r>
      <w:r w:rsidR="000931E1">
        <w:rPr>
          <w:lang w:eastAsia="en-AU"/>
        </w:rPr>
        <w:t xml:space="preserve"> Further, </w:t>
      </w:r>
      <w:r w:rsidR="002343A5">
        <w:t>recycled</w:t>
      </w:r>
      <w:r w:rsidR="00646838">
        <w:t xml:space="preserve"> </w:t>
      </w:r>
      <w:r w:rsidR="00E04E3B" w:rsidRPr="001C7CAF">
        <w:t>materials</w:t>
      </w:r>
      <w:r w:rsidR="009D10AD">
        <w:t xml:space="preserve"> in building products</w:t>
      </w:r>
      <w:r w:rsidR="00E04E3B">
        <w:t xml:space="preserve"> can</w:t>
      </w:r>
      <w:r w:rsidR="00E04E3B" w:rsidRPr="001C7CAF">
        <w:t xml:space="preserve"> reduce waste and the environmental footprint of construction and building work</w:t>
      </w:r>
      <w:r w:rsidR="00E04E3B">
        <w:t>.</w:t>
      </w:r>
      <w:r w:rsidR="002B0E16">
        <w:rPr>
          <w:rStyle w:val="EndnoteReference"/>
          <w:lang w:eastAsia="en-AU"/>
        </w:rPr>
        <w:endnoteReference w:id="80"/>
      </w:r>
      <w:r w:rsidR="00031437">
        <w:rPr>
          <w:lang w:eastAsia="en-AU"/>
        </w:rPr>
        <w:t xml:space="preserve"> </w:t>
      </w:r>
      <w:r w:rsidR="007A62A4">
        <w:rPr>
          <w:lang w:eastAsia="en-AU"/>
        </w:rPr>
        <w:t xml:space="preserve">The adoption of </w:t>
      </w:r>
      <w:r w:rsidR="009F58FB">
        <w:rPr>
          <w:lang w:eastAsia="en-AU"/>
        </w:rPr>
        <w:t xml:space="preserve">new innovative technologies and practices </w:t>
      </w:r>
      <w:r w:rsidR="007A62A4">
        <w:rPr>
          <w:lang w:eastAsia="en-AU"/>
        </w:rPr>
        <w:t xml:space="preserve">should be supported </w:t>
      </w:r>
      <w:r w:rsidR="002B0E16">
        <w:rPr>
          <w:lang w:eastAsia="en-AU"/>
        </w:rPr>
        <w:t>without compromising safe and compliant construction processes and our built environment.</w:t>
      </w:r>
    </w:p>
    <w:p w14:paraId="5D426C34" w14:textId="30087C3C" w:rsidR="00937550" w:rsidRPr="00B10DC1" w:rsidRDefault="00B700D8" w:rsidP="00937550">
      <w:pPr>
        <w:rPr>
          <w:lang w:eastAsia="en-AU"/>
        </w:rPr>
      </w:pPr>
      <w:r>
        <w:rPr>
          <w:lang w:eastAsia="en-AU"/>
        </w:rPr>
        <w:t>This chapter provides an overview of current regulatory framework for building maintenance</w:t>
      </w:r>
      <w:r w:rsidR="00EF1842">
        <w:rPr>
          <w:lang w:eastAsia="en-AU"/>
        </w:rPr>
        <w:t xml:space="preserve"> and</w:t>
      </w:r>
      <w:r>
        <w:rPr>
          <w:lang w:eastAsia="en-AU"/>
        </w:rPr>
        <w:t xml:space="preserve"> </w:t>
      </w:r>
      <w:r w:rsidR="00360B50">
        <w:rPr>
          <w:lang w:eastAsia="en-AU"/>
        </w:rPr>
        <w:t xml:space="preserve">a brief description of new and emerging plumbing and building practices. It then describes key issues in the oversight of maintenance and regulation of new practices and </w:t>
      </w:r>
      <w:r w:rsidR="00EF1842">
        <w:rPr>
          <w:lang w:eastAsia="en-AU"/>
        </w:rPr>
        <w:t xml:space="preserve">proposes </w:t>
      </w:r>
      <w:r w:rsidR="00360B50">
        <w:rPr>
          <w:lang w:eastAsia="en-AU"/>
        </w:rPr>
        <w:t xml:space="preserve">several recommendations to </w:t>
      </w:r>
      <w:r w:rsidR="005D238D">
        <w:rPr>
          <w:lang w:eastAsia="en-AU"/>
        </w:rPr>
        <w:t xml:space="preserve">ensure our regulatory system for plumbing and building remains fit for purpose now, and into the future. </w:t>
      </w:r>
      <w:r w:rsidR="00487205">
        <w:rPr>
          <w:lang w:eastAsia="en-AU"/>
        </w:rPr>
        <w:t>A building regulatory system that supports the safe adoption of new technologies will continue to be a focus of the Panel in Stage 3</w:t>
      </w:r>
      <w:r w:rsidR="00C92FD5">
        <w:rPr>
          <w:lang w:eastAsia="en-AU"/>
        </w:rPr>
        <w:t>, when the Panel will turn its mind to a new, technology neutral Building Act.</w:t>
      </w:r>
    </w:p>
    <w:p w14:paraId="1CF4FCA4" w14:textId="373E3F09" w:rsidR="00D529AB" w:rsidRPr="005F7890" w:rsidRDefault="00937550" w:rsidP="00B10DC1">
      <w:pPr>
        <w:pStyle w:val="Heading2"/>
      </w:pPr>
      <w:bookmarkStart w:id="166" w:name="_Toc131428719"/>
      <w:bookmarkStart w:id="167" w:name="_Toc134352878"/>
      <w:bookmarkStart w:id="168" w:name="_Toc134356911"/>
      <w:r w:rsidRPr="005F7890">
        <w:t xml:space="preserve">Overview of building product </w:t>
      </w:r>
      <w:r w:rsidR="00D529AB" w:rsidRPr="005F7890">
        <w:t>compliance and emerging technologies and practices</w:t>
      </w:r>
      <w:bookmarkEnd w:id="166"/>
      <w:bookmarkEnd w:id="167"/>
      <w:bookmarkEnd w:id="168"/>
      <w:r w:rsidR="00D529AB" w:rsidRPr="005F7890">
        <w:t xml:space="preserve"> </w:t>
      </w:r>
    </w:p>
    <w:p w14:paraId="180533BB" w14:textId="1743D076" w:rsidR="008F235A" w:rsidRPr="005F7890" w:rsidRDefault="008F235A" w:rsidP="008F235A">
      <w:r w:rsidRPr="005F7890">
        <w:t>This section describes the</w:t>
      </w:r>
      <w:r w:rsidR="00063681">
        <w:t xml:space="preserve"> </w:t>
      </w:r>
      <w:r w:rsidRPr="005F7890">
        <w:t xml:space="preserve">regulatory controls and safeguards for building technologies and processes </w:t>
      </w:r>
      <w:r w:rsidR="00063681">
        <w:t xml:space="preserve">and the </w:t>
      </w:r>
      <w:r w:rsidRPr="005F7890">
        <w:t>Victorian Government</w:t>
      </w:r>
      <w:r w:rsidR="0034630A">
        <w:t xml:space="preserve">’s current investments </w:t>
      </w:r>
      <w:r w:rsidR="00063681">
        <w:t>in new technologies and practices.</w:t>
      </w:r>
      <w:r w:rsidRPr="005F7890">
        <w:t xml:space="preserve"> It outlines:</w:t>
      </w:r>
    </w:p>
    <w:p w14:paraId="1A9E450F" w14:textId="58B2153F" w:rsidR="008F235A" w:rsidRPr="005F7890" w:rsidRDefault="008F235A" w:rsidP="008F235A">
      <w:pPr>
        <w:pStyle w:val="Bullet"/>
      </w:pPr>
      <w:r w:rsidRPr="005F7890">
        <w:t xml:space="preserve">the role of the performance-based NCC; </w:t>
      </w:r>
    </w:p>
    <w:p w14:paraId="42E60820" w14:textId="42FB5F60" w:rsidR="00BB19C5" w:rsidRPr="005F7890" w:rsidRDefault="00BB19C5" w:rsidP="008F235A">
      <w:pPr>
        <w:pStyle w:val="Bullet"/>
      </w:pPr>
      <w:r w:rsidRPr="005F7890">
        <w:t xml:space="preserve">the role of the </w:t>
      </w:r>
      <w:r w:rsidR="00882A55" w:rsidRPr="005F7890">
        <w:t>P</w:t>
      </w:r>
      <w:r w:rsidR="004D43C1">
        <w:t xml:space="preserve">lumbing </w:t>
      </w:r>
      <w:r w:rsidR="00882A55" w:rsidRPr="005F7890">
        <w:t>C</w:t>
      </w:r>
      <w:r w:rsidR="004D43C1">
        <w:t xml:space="preserve">ode of </w:t>
      </w:r>
      <w:r w:rsidR="00882A55" w:rsidRPr="005F7890">
        <w:t>A</w:t>
      </w:r>
      <w:r w:rsidR="004D43C1">
        <w:t>ustralia (</w:t>
      </w:r>
      <w:r w:rsidR="00882A55" w:rsidRPr="005F7890">
        <w:t>PCA</w:t>
      </w:r>
      <w:r w:rsidR="004D43C1">
        <w:t>)</w:t>
      </w:r>
      <w:r w:rsidR="00882A55" w:rsidRPr="005F7890">
        <w:t xml:space="preserve"> in plumbing accreditation</w:t>
      </w:r>
      <w:r w:rsidR="0034630A">
        <w:t>;</w:t>
      </w:r>
    </w:p>
    <w:p w14:paraId="44CC05CC" w14:textId="3C25F526" w:rsidR="008F235A" w:rsidRPr="005F7890" w:rsidRDefault="008F235A" w:rsidP="008F235A">
      <w:pPr>
        <w:pStyle w:val="Bullet"/>
      </w:pPr>
      <w:r w:rsidRPr="005F7890">
        <w:t xml:space="preserve">the process for building </w:t>
      </w:r>
      <w:r w:rsidR="00C329AF" w:rsidRPr="005F7890">
        <w:t>and plumbing product accreditation</w:t>
      </w:r>
      <w:r w:rsidRPr="005F7890">
        <w:t>; and</w:t>
      </w:r>
    </w:p>
    <w:p w14:paraId="436F1001" w14:textId="04D249C6" w:rsidR="00260C57" w:rsidRPr="00414B54" w:rsidRDefault="008F235A" w:rsidP="00414B54">
      <w:pPr>
        <w:pStyle w:val="Bullet"/>
      </w:pPr>
      <w:r w:rsidRPr="005F7890">
        <w:t xml:space="preserve">recent investments in innovative approaches to improve efficiencies and support improved regulatory practice. </w:t>
      </w:r>
    </w:p>
    <w:p w14:paraId="4016E666" w14:textId="3E821C36" w:rsidR="00260C57" w:rsidRPr="005D4CDB" w:rsidRDefault="005D4CDB" w:rsidP="005D4CDB">
      <w:pPr>
        <w:pStyle w:val="Heading4"/>
      </w:pPr>
      <w:r w:rsidRPr="005D4CDB">
        <w:t xml:space="preserve">The NCC </w:t>
      </w:r>
      <w:r w:rsidR="0034630A">
        <w:t xml:space="preserve">sets the technical standards and performance requirements for building and plumbing work in Australia </w:t>
      </w:r>
    </w:p>
    <w:p w14:paraId="6D9AAEAD" w14:textId="4877DC45" w:rsidR="0073715E" w:rsidRDefault="00EA27F2" w:rsidP="003D4809">
      <w:pPr>
        <w:sectPr w:rsidR="0073715E" w:rsidSect="0053216C">
          <w:headerReference w:type="even" r:id="rId91"/>
          <w:headerReference w:type="default" r:id="rId92"/>
          <w:headerReference w:type="first" r:id="rId93"/>
          <w:footerReference w:type="first" r:id="rId94"/>
          <w:endnotePr>
            <w:numFmt w:val="decimal"/>
          </w:endnotePr>
          <w:pgSz w:w="11907" w:h="16839" w:code="9"/>
          <w:pgMar w:top="1418" w:right="1418" w:bottom="1701" w:left="1559" w:header="720" w:footer="720" w:gutter="0"/>
          <w:cols w:space="720"/>
          <w:titlePg/>
          <w:docGrid w:linePitch="360"/>
        </w:sectPr>
      </w:pPr>
      <w:r>
        <w:t xml:space="preserve">The NCC aims to ensure </w:t>
      </w:r>
      <w:r w:rsidR="00461C60">
        <w:t>that all building and plumbin</w:t>
      </w:r>
      <w:r w:rsidR="0034630A">
        <w:t>g</w:t>
      </w:r>
      <w:r w:rsidR="00461C60">
        <w:t xml:space="preserve"> work meets nationally approved standards for the design, construction, performance and </w:t>
      </w:r>
      <w:r w:rsidR="0046198F">
        <w:t>livability</w:t>
      </w:r>
      <w:r w:rsidR="00461C60">
        <w:t xml:space="preserve"> of all buildings. </w:t>
      </w:r>
      <w:r w:rsidR="00990850">
        <w:t>The NCC is a performance-based building code</w:t>
      </w:r>
      <w:r w:rsidR="00F942FA">
        <w:t>. This</w:t>
      </w:r>
      <w:r w:rsidR="00990850">
        <w:t xml:space="preserve"> means it sets mandatory minimum performance requirements for buildings with which practitioners must be able to demonstrate </w:t>
      </w:r>
    </w:p>
    <w:p w14:paraId="1DD55D14" w14:textId="63D68B7B" w:rsidR="003D4809" w:rsidRDefault="00990850" w:rsidP="003D4809">
      <w:r>
        <w:lastRenderedPageBreak/>
        <w:t>compliance.</w:t>
      </w:r>
      <w:r w:rsidR="00457F9D">
        <w:t xml:space="preserve"> Its aim to is efficiently enable </w:t>
      </w:r>
      <w:r w:rsidR="003D4809">
        <w:t>the achievement of minimum necessary standards for health, safety (including structural safety and safety from fire), amenity and sustainability objectives.</w:t>
      </w:r>
    </w:p>
    <w:p w14:paraId="589F681C" w14:textId="06B25E86" w:rsidR="00240869" w:rsidRPr="0089724C" w:rsidRDefault="00240869" w:rsidP="00B10DC1">
      <w:r w:rsidRPr="0089724C">
        <w:t>The NCC is split into three volumes. Volumes 1 and 2 – which collectively set the performance standards for all ten building classes – and Volume 3 which covers plumbing and drainage standards.</w:t>
      </w:r>
      <w:r w:rsidR="0078612B" w:rsidRPr="0089724C">
        <w:t xml:space="preserve"> There are four levels in the NCC that demonstrate how objectives are translated into standards for the construction of buildings. Broadly, levels 1 and 2 are ‘guidance levels’, and levels 3 and 4 are ‘compliance levels’.</w:t>
      </w:r>
      <w:r w:rsidR="003D4809" w:rsidRPr="0089724C">
        <w:t xml:space="preserve"> </w:t>
      </w:r>
      <w:r w:rsidR="007A49BF" w:rsidRPr="0089724C">
        <w:fldChar w:fldCharType="begin"/>
      </w:r>
      <w:r w:rsidR="007A49BF" w:rsidRPr="0089724C">
        <w:instrText xml:space="preserve"> REF _Ref131420823 \h </w:instrText>
      </w:r>
      <w:r w:rsidR="007A49BF" w:rsidRPr="0089724C">
        <w:fldChar w:fldCharType="separate"/>
      </w:r>
      <w:r w:rsidR="00E15D2D">
        <w:t xml:space="preserve">Figure </w:t>
      </w:r>
      <w:r w:rsidR="00E15D2D">
        <w:rPr>
          <w:noProof/>
        </w:rPr>
        <w:t>10</w:t>
      </w:r>
      <w:r w:rsidR="007A49BF" w:rsidRPr="0089724C">
        <w:fldChar w:fldCharType="end"/>
      </w:r>
      <w:r w:rsidR="003D4809" w:rsidRPr="0089724C">
        <w:t xml:space="preserve"> depicts the hierarchy of the NCC.</w:t>
      </w:r>
    </w:p>
    <w:p w14:paraId="3C431387" w14:textId="78A6FA99" w:rsidR="00A339E7" w:rsidRDefault="00A339E7" w:rsidP="00A339E7">
      <w:pPr>
        <w:pStyle w:val="Caption"/>
      </w:pPr>
      <w:bookmarkStart w:id="169" w:name="_Ref131420823"/>
      <w:r>
        <w:t xml:space="preserve">Figure </w:t>
      </w:r>
      <w:r>
        <w:fldChar w:fldCharType="begin"/>
      </w:r>
      <w:r>
        <w:instrText xml:space="preserve"> SEQ Figure \* ARABIC </w:instrText>
      </w:r>
      <w:r>
        <w:fldChar w:fldCharType="separate"/>
      </w:r>
      <w:r w:rsidR="00E15D2D">
        <w:rPr>
          <w:noProof/>
        </w:rPr>
        <w:t>10</w:t>
      </w:r>
      <w:r>
        <w:fldChar w:fldCharType="end"/>
      </w:r>
      <w:bookmarkEnd w:id="169"/>
      <w:r>
        <w:t xml:space="preserve"> | Hierarchy of the NCC</w:t>
      </w:r>
    </w:p>
    <w:p w14:paraId="4337FA56" w14:textId="365BEC3C" w:rsidR="00A339E7" w:rsidRDefault="00A339E7" w:rsidP="00B10DC1">
      <w:r>
        <w:rPr>
          <w:noProof/>
        </w:rPr>
        <w:drawing>
          <wp:inline distT="0" distB="0" distL="0" distR="0" wp14:anchorId="64F19653" wp14:editId="0E27D5C3">
            <wp:extent cx="5670000" cy="3604068"/>
            <wp:effectExtent l="0" t="0" r="6985"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70000" cy="3604068"/>
                    </a:xfrm>
                    <a:prstGeom prst="rect">
                      <a:avLst/>
                    </a:prstGeom>
                    <a:noFill/>
                  </pic:spPr>
                </pic:pic>
              </a:graphicData>
            </a:graphic>
          </wp:inline>
        </w:drawing>
      </w:r>
    </w:p>
    <w:p w14:paraId="0226FF66" w14:textId="77777777" w:rsidR="006F7190" w:rsidRPr="0089724C" w:rsidRDefault="006F7190" w:rsidP="006F7190">
      <w:r w:rsidRPr="0089724C">
        <w:t xml:space="preserve">The NCC performance framework enables building and plumbing practitioners to incorporate new practices as they arise while still meeting compliance requirements. </w:t>
      </w:r>
    </w:p>
    <w:p w14:paraId="2D209C3C" w14:textId="1711B05A" w:rsidR="006F7190" w:rsidRPr="0089724C" w:rsidRDefault="006F7190" w:rsidP="006F7190">
      <w:r w:rsidRPr="0089724C">
        <w:t xml:space="preserve">The NCC is amended in </w:t>
      </w:r>
      <w:r w:rsidR="006D32FC">
        <w:t>three</w:t>
      </w:r>
      <w:r w:rsidRPr="0089724C">
        <w:t>-year cycles through a public consultation process to ensure it is updated in response to new technologies and practices. Specific amendments can also be proposed by the public at any time.</w:t>
      </w:r>
    </w:p>
    <w:p w14:paraId="2E7B1E1E" w14:textId="77777777" w:rsidR="00CD65EB" w:rsidRDefault="00CD65EB" w:rsidP="00CD65EB">
      <w:pPr>
        <w:pStyle w:val="Heading4"/>
      </w:pPr>
      <w:r>
        <w:t xml:space="preserve">The PCA prescribes the technical requirements for the design, construction, installation, repair and maintenance of plumbing systems </w:t>
      </w:r>
    </w:p>
    <w:p w14:paraId="7C1ADF0C" w14:textId="77777777" w:rsidR="0073715E" w:rsidRDefault="00752581" w:rsidP="00B10DC1">
      <w:pPr>
        <w:sectPr w:rsidR="0073715E" w:rsidSect="0073715E">
          <w:footerReference w:type="first" r:id="rId96"/>
          <w:endnotePr>
            <w:numFmt w:val="decimal"/>
          </w:endnotePr>
          <w:type w:val="continuous"/>
          <w:pgSz w:w="11907" w:h="16839" w:code="9"/>
          <w:pgMar w:top="1418" w:right="1418" w:bottom="1701" w:left="1559" w:header="720" w:footer="720" w:gutter="0"/>
          <w:cols w:space="720"/>
          <w:titlePg/>
          <w:docGrid w:linePitch="360"/>
        </w:sectPr>
      </w:pPr>
      <w:r>
        <w:t>The PCA sets out the technical standards for plumbing work and the scheme for authori</w:t>
      </w:r>
      <w:r w:rsidR="000605B4">
        <w:t>s</w:t>
      </w:r>
      <w:r>
        <w:t>ation and certification of plumbing products. Under Part 5A of the PCA</w:t>
      </w:r>
      <w:r w:rsidR="00F574D7">
        <w:t>, plumbing practitioners must not install any plumbing or drainage products listed in the technical standards unless there is evidence</w:t>
      </w:r>
      <w:r w:rsidR="00643FE3">
        <w:t xml:space="preserve"> the product is fit for its intended purpose to achieve the relevant requirements of the NCC</w:t>
      </w:r>
      <w:r w:rsidR="00E729BC">
        <w:t>.</w:t>
      </w:r>
      <w:r w:rsidR="0015326F">
        <w:t xml:space="preserve"> The</w:t>
      </w:r>
      <w:r w:rsidR="00CD0B59">
        <w:t xml:space="preserve"> WaterMark Certification Scheme certifies products that meet PCA requirements. Further</w:t>
      </w:r>
      <w:r w:rsidR="00C55AB4">
        <w:t xml:space="preserve"> detail on WaterMark Certification scheme is provided </w:t>
      </w:r>
    </w:p>
    <w:p w14:paraId="7F828B2A" w14:textId="527E0A47" w:rsidR="00CA7724" w:rsidRDefault="00C55AB4" w:rsidP="00B10DC1">
      <w:r>
        <w:t>below</w:t>
      </w:r>
      <w:r w:rsidR="00C6505A">
        <w:t>.</w:t>
      </w:r>
    </w:p>
    <w:p w14:paraId="01F7F866" w14:textId="5993171C" w:rsidR="00D10B88" w:rsidRDefault="00D10B88" w:rsidP="00D10B88">
      <w:pPr>
        <w:pStyle w:val="Heading4"/>
        <w:rPr>
          <w:rFonts w:eastAsiaTheme="minorHAnsi"/>
        </w:rPr>
      </w:pPr>
      <w:r>
        <w:rPr>
          <w:rFonts w:eastAsiaTheme="minorHAnsi"/>
        </w:rPr>
        <w:lastRenderedPageBreak/>
        <w:t>There are national and state-based product accreditation processes for building</w:t>
      </w:r>
      <w:r w:rsidR="00E908FC">
        <w:rPr>
          <w:rFonts w:eastAsiaTheme="minorHAnsi"/>
        </w:rPr>
        <w:t xml:space="preserve"> and plumbing</w:t>
      </w:r>
      <w:r>
        <w:rPr>
          <w:rFonts w:eastAsiaTheme="minorHAnsi"/>
        </w:rPr>
        <w:t xml:space="preserve"> products</w:t>
      </w:r>
    </w:p>
    <w:p w14:paraId="3BC41C66" w14:textId="1C19D133" w:rsidR="00404EC1" w:rsidRPr="00CC36A3" w:rsidRDefault="00404EC1" w:rsidP="00404EC1">
      <w:r w:rsidRPr="00CC36A3">
        <w:t>Product accreditation is the process of verifying that new products can be used by building and plumbing practitioners and meet the performance requirements of the NCC. A building surveyor must accept an accredited product if the use complies with the certificate of accreditation.</w:t>
      </w:r>
      <w:r>
        <w:rPr>
          <w:rStyle w:val="EndnoteReference"/>
        </w:rPr>
        <w:endnoteReference w:id="81"/>
      </w:r>
      <w:r w:rsidR="0005225E">
        <w:t xml:space="preserve"> </w:t>
      </w:r>
    </w:p>
    <w:p w14:paraId="6D823C02" w14:textId="67CCA0A9" w:rsidR="00404EC1" w:rsidRDefault="00404EC1" w:rsidP="00404EC1">
      <w:r w:rsidRPr="00CC36A3">
        <w:t>There are three entities in Victoria’s building regulatory system that have a role in accrediting new building products and practices:</w:t>
      </w:r>
    </w:p>
    <w:p w14:paraId="303C5BEC" w14:textId="5AD9C85A" w:rsidR="00404EC1" w:rsidRDefault="00404EC1" w:rsidP="00404EC1">
      <w:pPr>
        <w:pStyle w:val="Bullet"/>
        <w:rPr>
          <w:rStyle w:val="CommentReference"/>
          <w:sz w:val="22"/>
          <w:szCs w:val="22"/>
        </w:rPr>
      </w:pPr>
      <w:r w:rsidRPr="00042492">
        <w:rPr>
          <w:b/>
          <w:bCs/>
          <w:szCs w:val="22"/>
        </w:rPr>
        <w:t>Building Regulations Advisory Committee (BRAC)</w:t>
      </w:r>
      <w:r w:rsidRPr="00042492">
        <w:rPr>
          <w:szCs w:val="22"/>
        </w:rPr>
        <w:t xml:space="preserve"> </w:t>
      </w:r>
      <w:r w:rsidRPr="006867DF">
        <w:rPr>
          <w:szCs w:val="22"/>
        </w:rPr>
        <w:t>can accredit building products under the Building Act, including construction methods, design components or systems connected with building products on application. Any product that is accredited by BRAC automatically fulfills the compliance requirements under the NCC.</w:t>
      </w:r>
      <w:r w:rsidR="00ED5B9D" w:rsidRPr="006867DF">
        <w:rPr>
          <w:rStyle w:val="EndnoteReference"/>
          <w:szCs w:val="22"/>
        </w:rPr>
        <w:endnoteReference w:id="82"/>
      </w:r>
      <w:r w:rsidR="00ED5B9D" w:rsidRPr="006867DF">
        <w:rPr>
          <w:rStyle w:val="CommentReference"/>
          <w:sz w:val="22"/>
          <w:szCs w:val="22"/>
        </w:rPr>
        <w:t xml:space="preserve"> Accreditation is voluntary and must be renewed every </w:t>
      </w:r>
      <w:r w:rsidR="004502F0">
        <w:rPr>
          <w:rStyle w:val="CommentReference"/>
          <w:sz w:val="22"/>
          <w:szCs w:val="22"/>
        </w:rPr>
        <w:t>three</w:t>
      </w:r>
      <w:r w:rsidR="00ED5B9D" w:rsidRPr="006867DF">
        <w:rPr>
          <w:rStyle w:val="CommentReference"/>
          <w:sz w:val="22"/>
          <w:szCs w:val="22"/>
        </w:rPr>
        <w:t xml:space="preserve"> years. A register of accredited products is available on the VBA website, which also outli</w:t>
      </w:r>
      <w:r w:rsidR="00371CBC">
        <w:rPr>
          <w:rStyle w:val="CommentReference"/>
          <w:sz w:val="22"/>
          <w:szCs w:val="22"/>
        </w:rPr>
        <w:t>ne</w:t>
      </w:r>
      <w:r w:rsidR="00ED5B9D" w:rsidRPr="006867DF">
        <w:rPr>
          <w:rStyle w:val="CommentReference"/>
          <w:sz w:val="22"/>
          <w:szCs w:val="22"/>
        </w:rPr>
        <w:t>s revoked accreditations.</w:t>
      </w:r>
      <w:r w:rsidR="006867DF" w:rsidRPr="006867DF">
        <w:rPr>
          <w:rStyle w:val="EndnoteReference"/>
          <w:szCs w:val="22"/>
        </w:rPr>
        <w:endnoteReference w:id="83"/>
      </w:r>
      <w:r w:rsidR="006867DF" w:rsidRPr="006867DF">
        <w:rPr>
          <w:rStyle w:val="CommentReference"/>
          <w:sz w:val="22"/>
          <w:szCs w:val="22"/>
        </w:rPr>
        <w:t xml:space="preserve"> BRAC also has a role in advising the Minister for Planning on building product regulation</w:t>
      </w:r>
      <w:r w:rsidR="006867DF">
        <w:rPr>
          <w:rStyle w:val="CommentReference"/>
          <w:sz w:val="22"/>
          <w:szCs w:val="22"/>
        </w:rPr>
        <w:t>.</w:t>
      </w:r>
    </w:p>
    <w:p w14:paraId="06DC71B0" w14:textId="2E8D0B30" w:rsidR="00370273" w:rsidRPr="00CC36A3" w:rsidRDefault="00792B09" w:rsidP="00370273">
      <w:pPr>
        <w:pStyle w:val="Bullet"/>
      </w:pPr>
      <w:r>
        <w:rPr>
          <w:b/>
          <w:bCs/>
          <w:szCs w:val="22"/>
        </w:rPr>
        <w:t>CodeMark</w:t>
      </w:r>
      <w:r>
        <w:rPr>
          <w:szCs w:val="22"/>
        </w:rPr>
        <w:t xml:space="preserve"> is a national </w:t>
      </w:r>
      <w:r w:rsidR="00B31941">
        <w:rPr>
          <w:szCs w:val="22"/>
        </w:rPr>
        <w:t>non-mandatory building product certification scheme that provides a method for verifying that a building product meets the nominated requirements of the NCC</w:t>
      </w:r>
      <w:r w:rsidR="00B31941" w:rsidRPr="00CC36A3">
        <w:t>.</w:t>
      </w:r>
      <w:r w:rsidR="00370273">
        <w:rPr>
          <w:rStyle w:val="EndnoteReference"/>
        </w:rPr>
        <w:endnoteReference w:id="84"/>
      </w:r>
      <w:r w:rsidR="00370273" w:rsidRPr="00CC36A3">
        <w:t xml:space="preserve"> It is managed by the ABCB. A building product can be accredited with either BRAC or CodeMark.</w:t>
      </w:r>
    </w:p>
    <w:p w14:paraId="2DEBB770" w14:textId="35ACA1B3" w:rsidR="0073715E" w:rsidRDefault="006C1CD1" w:rsidP="00404EC1">
      <w:pPr>
        <w:pStyle w:val="Bullet"/>
        <w:rPr>
          <w:rStyle w:val="CommentReference"/>
          <w:sz w:val="22"/>
          <w:szCs w:val="22"/>
        </w:rPr>
        <w:sectPr w:rsidR="0073715E" w:rsidSect="0073715E">
          <w:footerReference w:type="default" r:id="rId97"/>
          <w:endnotePr>
            <w:numFmt w:val="decimal"/>
          </w:endnotePr>
          <w:type w:val="continuous"/>
          <w:pgSz w:w="11907" w:h="16839" w:code="9"/>
          <w:pgMar w:top="1418" w:right="1418" w:bottom="1701" w:left="1559" w:header="720" w:footer="720" w:gutter="0"/>
          <w:cols w:space="720"/>
          <w:titlePg/>
          <w:docGrid w:linePitch="360"/>
        </w:sectPr>
      </w:pPr>
      <w:r w:rsidRPr="000453A1">
        <w:rPr>
          <w:b/>
        </w:rPr>
        <w:t>Water</w:t>
      </w:r>
      <w:r w:rsidR="00E01F7E" w:rsidRPr="000453A1">
        <w:rPr>
          <w:b/>
        </w:rPr>
        <w:t>M</w:t>
      </w:r>
      <w:r w:rsidRPr="000453A1">
        <w:rPr>
          <w:b/>
        </w:rPr>
        <w:t>ark</w:t>
      </w:r>
      <w:r>
        <w:t xml:space="preserve"> is a mandatory certification scheme for plumbing and drainage products used in plumbing work in Victoria</w:t>
      </w:r>
      <w:r w:rsidR="00A319D7">
        <w:t>.</w:t>
      </w:r>
      <w:r w:rsidR="00A319D7">
        <w:rPr>
          <w:rStyle w:val="EndnoteReference"/>
        </w:rPr>
        <w:endnoteReference w:id="85"/>
      </w:r>
      <w:r w:rsidR="006E3ED3">
        <w:rPr>
          <w:rStyle w:val="CommentReference"/>
        </w:rPr>
        <w:t xml:space="preserve"> </w:t>
      </w:r>
      <w:r w:rsidR="006E3ED3" w:rsidRPr="00546910">
        <w:rPr>
          <w:rStyle w:val="CommentReference"/>
          <w:sz w:val="22"/>
          <w:szCs w:val="22"/>
        </w:rPr>
        <w:t>Any new plumbing or drainage product introduced into the market will be assessed by Water</w:t>
      </w:r>
      <w:r w:rsidR="000303C6" w:rsidRPr="00546910">
        <w:rPr>
          <w:rStyle w:val="CommentReference"/>
          <w:sz w:val="22"/>
          <w:szCs w:val="22"/>
        </w:rPr>
        <w:t>Mark Conformity Assessment Bodies</w:t>
      </w:r>
      <w:r w:rsidR="00546910">
        <w:rPr>
          <w:rStyle w:val="CommentReference"/>
          <w:sz w:val="22"/>
          <w:szCs w:val="22"/>
        </w:rPr>
        <w:t xml:space="preserve"> (WMCAB)</w:t>
      </w:r>
      <w:r w:rsidR="00ED66DA">
        <w:rPr>
          <w:rStyle w:val="CommentReference"/>
          <w:sz w:val="22"/>
          <w:szCs w:val="22"/>
        </w:rPr>
        <w:t xml:space="preserve">. If the product is part </w:t>
      </w:r>
      <w:r w:rsidR="005C0613">
        <w:rPr>
          <w:rStyle w:val="CommentReference"/>
          <w:sz w:val="22"/>
          <w:szCs w:val="22"/>
        </w:rPr>
        <w:t>of an existing category of regulated products it will be assessed against existing technical specifications. If it is a new product not currently listed on the WaterMark Schedule of Products</w:t>
      </w:r>
      <w:r w:rsidR="000C4CF6">
        <w:rPr>
          <w:rStyle w:val="CommentReference"/>
          <w:sz w:val="22"/>
          <w:szCs w:val="22"/>
        </w:rPr>
        <w:t xml:space="preserve"> or Schedule of Excluded Products, ABCB will undertake a risk assessment to determine if the product should be regulated by WaterMark and, if so, a technical specification will need to be developed.</w:t>
      </w:r>
      <w:r w:rsidR="00844196">
        <w:rPr>
          <w:rStyle w:val="CommentReference"/>
          <w:sz w:val="22"/>
          <w:szCs w:val="22"/>
        </w:rPr>
        <w:t xml:space="preserve"> The process for WaterMark accreditation is </w:t>
      </w:r>
      <w:r w:rsidR="003E05AC">
        <w:rPr>
          <w:rStyle w:val="CommentReference"/>
          <w:sz w:val="22"/>
          <w:szCs w:val="22"/>
        </w:rPr>
        <w:t xml:space="preserve">illustrated </w:t>
      </w:r>
      <w:r w:rsidR="00DE199E">
        <w:rPr>
          <w:rStyle w:val="CommentReference"/>
          <w:sz w:val="22"/>
          <w:szCs w:val="22"/>
        </w:rPr>
        <w:t xml:space="preserve">in </w:t>
      </w:r>
      <w:r w:rsidR="00DE199E">
        <w:rPr>
          <w:rStyle w:val="CommentReference"/>
          <w:sz w:val="22"/>
          <w:szCs w:val="22"/>
        </w:rPr>
        <w:fldChar w:fldCharType="begin"/>
      </w:r>
      <w:r w:rsidR="00DE199E">
        <w:rPr>
          <w:rStyle w:val="CommentReference"/>
          <w:sz w:val="22"/>
          <w:szCs w:val="22"/>
        </w:rPr>
        <w:instrText xml:space="preserve"> REF _Ref131420841 \h </w:instrText>
      </w:r>
      <w:r w:rsidR="00DE199E">
        <w:rPr>
          <w:rStyle w:val="CommentReference"/>
          <w:sz w:val="22"/>
          <w:szCs w:val="22"/>
        </w:rPr>
      </w:r>
      <w:r w:rsidR="00DE199E">
        <w:rPr>
          <w:rStyle w:val="CommentReference"/>
          <w:sz w:val="22"/>
          <w:szCs w:val="22"/>
        </w:rPr>
        <w:fldChar w:fldCharType="separate"/>
      </w:r>
      <w:r w:rsidR="00E15D2D">
        <w:t xml:space="preserve">Figure </w:t>
      </w:r>
      <w:r w:rsidR="00E15D2D">
        <w:rPr>
          <w:noProof/>
        </w:rPr>
        <w:t>11</w:t>
      </w:r>
      <w:r w:rsidR="00DE199E">
        <w:rPr>
          <w:rStyle w:val="CommentReference"/>
          <w:sz w:val="22"/>
          <w:szCs w:val="22"/>
        </w:rPr>
        <w:fldChar w:fldCharType="end"/>
      </w:r>
      <w:r w:rsidR="00844196">
        <w:rPr>
          <w:rStyle w:val="CommentReference"/>
          <w:sz w:val="22"/>
          <w:szCs w:val="22"/>
        </w:rPr>
        <w:t>.</w:t>
      </w:r>
    </w:p>
    <w:p w14:paraId="73935E83" w14:textId="37892F17" w:rsidR="00792B09" w:rsidRPr="006867DF" w:rsidRDefault="00792B09" w:rsidP="003D6BA8">
      <w:pPr>
        <w:pStyle w:val="Bullet"/>
        <w:numPr>
          <w:ilvl w:val="0"/>
          <w:numId w:val="0"/>
        </w:numPr>
      </w:pPr>
    </w:p>
    <w:p w14:paraId="01A1421F" w14:textId="06C140F1" w:rsidR="00A011D7" w:rsidRDefault="00A011D7" w:rsidP="00A011D7">
      <w:pPr>
        <w:pStyle w:val="Caption"/>
      </w:pPr>
      <w:bookmarkStart w:id="170" w:name="_Ref131420841"/>
      <w:r>
        <w:lastRenderedPageBreak/>
        <w:t xml:space="preserve">Figure </w:t>
      </w:r>
      <w:r>
        <w:fldChar w:fldCharType="begin"/>
      </w:r>
      <w:r>
        <w:instrText xml:space="preserve"> SEQ Figure \* ARABIC </w:instrText>
      </w:r>
      <w:r>
        <w:fldChar w:fldCharType="separate"/>
      </w:r>
      <w:r w:rsidR="00E15D2D">
        <w:rPr>
          <w:noProof/>
        </w:rPr>
        <w:t>11</w:t>
      </w:r>
      <w:r>
        <w:fldChar w:fldCharType="end"/>
      </w:r>
      <w:bookmarkEnd w:id="170"/>
      <w:r>
        <w:t xml:space="preserve"> | Flow chart for product certification in Victoria</w:t>
      </w:r>
      <w:r w:rsidR="0078201A">
        <w:rPr>
          <w:rStyle w:val="EndnoteReference"/>
        </w:rPr>
        <w:endnoteReference w:id="86"/>
      </w:r>
    </w:p>
    <w:p w14:paraId="3C19905D" w14:textId="7D76A3A9" w:rsidR="00404EC1" w:rsidRPr="00404EC1" w:rsidRDefault="00DF7DFA" w:rsidP="00404EC1">
      <w:pPr>
        <w:rPr>
          <w:lang w:eastAsia="en-AU"/>
        </w:rPr>
      </w:pPr>
      <w:r w:rsidRPr="00DF7DFA">
        <w:rPr>
          <w:noProof/>
        </w:rPr>
        <w:drawing>
          <wp:inline distT="0" distB="0" distL="0" distR="0" wp14:anchorId="1A8EEA1D" wp14:editId="4CFC8958">
            <wp:extent cx="5670550" cy="5021580"/>
            <wp:effectExtent l="0" t="0" r="6350" b="7620"/>
            <wp:docPr id="27972" name="Picture 2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670550" cy="5021580"/>
                    </a:xfrm>
                    <a:prstGeom prst="rect">
                      <a:avLst/>
                    </a:prstGeom>
                    <a:noFill/>
                    <a:ln>
                      <a:noFill/>
                    </a:ln>
                  </pic:spPr>
                </pic:pic>
              </a:graphicData>
            </a:graphic>
          </wp:inline>
        </w:drawing>
      </w:r>
    </w:p>
    <w:p w14:paraId="52C847C8" w14:textId="1B306C2F" w:rsidR="007B123C" w:rsidRDefault="007B123C" w:rsidP="007B123C">
      <w:pPr>
        <w:pStyle w:val="Heading4"/>
        <w:rPr>
          <w:rFonts w:eastAsiaTheme="minorHAnsi"/>
        </w:rPr>
      </w:pPr>
      <w:r>
        <w:rPr>
          <w:rFonts w:eastAsiaTheme="minorHAnsi"/>
        </w:rPr>
        <w:t>Government has invested in building innovation to support regulatory compliance and meet industry and community expectations</w:t>
      </w:r>
    </w:p>
    <w:p w14:paraId="369790A8" w14:textId="5CE2715E" w:rsidR="003E0E15" w:rsidRDefault="00877253" w:rsidP="007B123C">
      <w:pPr>
        <w:rPr>
          <w:lang w:eastAsia="en-AU"/>
        </w:rPr>
      </w:pPr>
      <w:r>
        <w:rPr>
          <w:lang w:eastAsia="en-AU"/>
        </w:rPr>
        <w:t xml:space="preserve">The Government is investing in building innovation to reduce waste and support </w:t>
      </w:r>
      <w:r w:rsidR="00DF49F3">
        <w:rPr>
          <w:lang w:eastAsia="en-AU"/>
        </w:rPr>
        <w:t xml:space="preserve">industry wide </w:t>
      </w:r>
      <w:r w:rsidR="0048680D">
        <w:rPr>
          <w:lang w:eastAsia="en-AU"/>
        </w:rPr>
        <w:t>digitisation</w:t>
      </w:r>
      <w:r w:rsidR="00DF49F3">
        <w:rPr>
          <w:lang w:eastAsia="en-AU"/>
        </w:rPr>
        <w:t xml:space="preserve"> of construction processes and compliance</w:t>
      </w:r>
      <w:r w:rsidR="003E05AC">
        <w:rPr>
          <w:lang w:eastAsia="en-AU"/>
        </w:rPr>
        <w:t>.</w:t>
      </w:r>
    </w:p>
    <w:p w14:paraId="1343EF1C" w14:textId="4BFFC97B" w:rsidR="00D8291F" w:rsidRPr="00042492" w:rsidRDefault="0080249D" w:rsidP="005777A3">
      <w:pPr>
        <w:pStyle w:val="Heading5"/>
      </w:pPr>
      <w:r w:rsidRPr="00042492">
        <w:t xml:space="preserve">Investment in </w:t>
      </w:r>
      <w:r w:rsidR="00317F23" w:rsidRPr="00042492">
        <w:t xml:space="preserve">the </w:t>
      </w:r>
      <w:r w:rsidRPr="00042492">
        <w:t xml:space="preserve">Building Information Modelling </w:t>
      </w:r>
      <w:r w:rsidR="006979B9">
        <w:t xml:space="preserve">(BIM) </w:t>
      </w:r>
      <w:r w:rsidRPr="00042492">
        <w:t xml:space="preserve">and the Digital Twin will create efficiencies across the planning and building approvals </w:t>
      </w:r>
      <w:r w:rsidR="0048680D" w:rsidRPr="00042492">
        <w:t>process</w:t>
      </w:r>
      <w:r w:rsidRPr="00042492">
        <w:t xml:space="preserve"> </w:t>
      </w:r>
    </w:p>
    <w:p w14:paraId="28B5F8CC" w14:textId="35E237A3" w:rsidR="00F44DA5" w:rsidRDefault="005777A3" w:rsidP="005777A3">
      <w:r>
        <w:rPr>
          <w:lang w:eastAsia="en-AU"/>
        </w:rPr>
        <w:t>BIM is a digital representation of the physical and functional characteristics of a building</w:t>
      </w:r>
      <w:r w:rsidR="00FB6CF3">
        <w:rPr>
          <w:lang w:eastAsia="en-AU"/>
        </w:rPr>
        <w:t xml:space="preserve">. </w:t>
      </w:r>
      <w:r>
        <w:t>BIM is one tool that can inform the creation of a Digital Twin. Digital Twin refers to the digital replication of physical assets, construction and systems. It is an online database that can store live information across the building lifecycle, including permit approvals, construction processes and materials, and post-occupancy usage details (such as energy use) in a user-friendly format.</w:t>
      </w:r>
      <w:r w:rsidR="00FA4975">
        <w:t xml:space="preserve"> </w:t>
      </w:r>
    </w:p>
    <w:p w14:paraId="46E902B4" w14:textId="77777777" w:rsidR="0073715E" w:rsidRDefault="00FA4975" w:rsidP="00070EEB">
      <w:pPr>
        <w:sectPr w:rsidR="0073715E" w:rsidSect="0073715E">
          <w:footerReference w:type="default" r:id="rId99"/>
          <w:endnotePr>
            <w:numFmt w:val="decimal"/>
          </w:endnotePr>
          <w:type w:val="continuous"/>
          <w:pgSz w:w="11907" w:h="16839" w:code="9"/>
          <w:pgMar w:top="1418" w:right="1418" w:bottom="1701" w:left="1559" w:header="720" w:footer="720" w:gutter="0"/>
          <w:cols w:space="720"/>
          <w:titlePg/>
          <w:docGrid w:linePitch="360"/>
        </w:sectPr>
      </w:pPr>
      <w:r w:rsidRPr="00042492">
        <w:rPr>
          <w:b/>
          <w:bCs/>
        </w:rPr>
        <w:t xml:space="preserve">BIM and, more broadly, a Digital Twin, </w:t>
      </w:r>
      <w:r w:rsidR="00F44DA5" w:rsidRPr="00042492">
        <w:rPr>
          <w:b/>
          <w:lang w:eastAsia="en-AU"/>
        </w:rPr>
        <w:t>has clear consumer benefits.</w:t>
      </w:r>
      <w:r w:rsidR="00F44DA5" w:rsidRPr="00042492">
        <w:rPr>
          <w:lang w:eastAsia="en-AU"/>
        </w:rPr>
        <w:t xml:space="preserve"> As noted in the Panels’ Stage 1 recommendations report, the availability and quality of documentation across the building lifecycle during design, construction and maintenance is a critical enabler of an effective building approvals process. Without clear documentation, </w:t>
      </w:r>
      <w:r w:rsidR="00F44DA5" w:rsidRPr="00042492">
        <w:t xml:space="preserve">consumers have little oversight on what is occurring (or has occurred) in their building project. The Panel has heard that where defects or complaints arise, consumers may be </w:t>
      </w:r>
    </w:p>
    <w:p w14:paraId="279B51CD" w14:textId="7296B701" w:rsidR="00070EEB" w:rsidRPr="00042492" w:rsidRDefault="00F44DA5" w:rsidP="00070EEB">
      <w:r w:rsidRPr="00042492">
        <w:lastRenderedPageBreak/>
        <w:t>unable to trace the documentation to determine the relevant responsible practitioner. The Digital Twin can help to improve record keeping for building projects</w:t>
      </w:r>
      <w:r w:rsidR="00D27190" w:rsidRPr="00042492">
        <w:t xml:space="preserve"> and </w:t>
      </w:r>
      <w:r w:rsidRPr="00042492">
        <w:t xml:space="preserve">maintenance requirements </w:t>
      </w:r>
      <w:r w:rsidR="00651ADC" w:rsidRPr="00042492">
        <w:t xml:space="preserve">and </w:t>
      </w:r>
      <w:r w:rsidR="00070EEB" w:rsidRPr="00042492">
        <w:t xml:space="preserve">better empower consumers </w:t>
      </w:r>
      <w:r w:rsidR="00F24987" w:rsidRPr="00042492">
        <w:t xml:space="preserve">to oversee ongoing compliance during and after the construction process. </w:t>
      </w:r>
    </w:p>
    <w:p w14:paraId="2B450E33" w14:textId="2AF35DAF" w:rsidR="00F24987" w:rsidRDefault="00946850" w:rsidP="00E955DF">
      <w:r w:rsidRPr="006C5AB1">
        <w:rPr>
          <w:b/>
          <w:lang w:eastAsia="en-AU"/>
        </w:rPr>
        <w:t xml:space="preserve">A Digital Twin also </w:t>
      </w:r>
      <w:r w:rsidR="00E955DF" w:rsidRPr="006C5AB1">
        <w:rPr>
          <w:b/>
          <w:bCs/>
        </w:rPr>
        <w:t>support more streamlined and accurate compliance activity</w:t>
      </w:r>
      <w:r w:rsidR="00E955DF">
        <w:t>. For example, DTP in partnership with Development Victoria, the VBA, the Office of Projects Victoria and Brimbank City Council have successfully completed the Proof of Concept testing of a planning and building assessment tool as a trial of the Digital Twin technology</w:t>
      </w:r>
      <w:r w:rsidR="006C5AB1">
        <w:t xml:space="preserve"> (illustrated in </w:t>
      </w:r>
      <w:r w:rsidR="00DE199E">
        <w:fldChar w:fldCharType="begin"/>
      </w:r>
      <w:r w:rsidR="00DE199E">
        <w:instrText xml:space="preserve"> REF _Ref131420857 \h </w:instrText>
      </w:r>
      <w:r w:rsidR="00DE199E">
        <w:fldChar w:fldCharType="separate"/>
      </w:r>
      <w:r w:rsidR="00E15D2D">
        <w:t xml:space="preserve">Figure </w:t>
      </w:r>
      <w:r w:rsidR="00E15D2D">
        <w:rPr>
          <w:noProof/>
        </w:rPr>
        <w:t>12</w:t>
      </w:r>
      <w:r w:rsidR="00DE199E">
        <w:fldChar w:fldCharType="end"/>
      </w:r>
      <w:r w:rsidR="006C5AB1">
        <w:t xml:space="preserve">). </w:t>
      </w:r>
    </w:p>
    <w:p w14:paraId="1C49F184" w14:textId="5D24E5D7" w:rsidR="00E955DF" w:rsidRDefault="00E955DF" w:rsidP="00E955DF">
      <w:pPr>
        <w:pStyle w:val="Caption"/>
      </w:pPr>
      <w:bookmarkStart w:id="171" w:name="_Ref131420857"/>
      <w:r>
        <w:t xml:space="preserve">Figure </w:t>
      </w:r>
      <w:r>
        <w:fldChar w:fldCharType="begin"/>
      </w:r>
      <w:r>
        <w:instrText xml:space="preserve"> SEQ Figure \* ARABIC </w:instrText>
      </w:r>
      <w:r>
        <w:fldChar w:fldCharType="separate"/>
      </w:r>
      <w:r w:rsidR="00E15D2D">
        <w:rPr>
          <w:noProof/>
        </w:rPr>
        <w:t>12</w:t>
      </w:r>
      <w:r>
        <w:fldChar w:fldCharType="end"/>
      </w:r>
      <w:bookmarkEnd w:id="171"/>
      <w:r>
        <w:t xml:space="preserve"> | DTP's eComply trial</w:t>
      </w:r>
      <w:r>
        <w:rPr>
          <w:rStyle w:val="EndnoteReference"/>
        </w:rPr>
        <w:endnoteReference w:id="87"/>
      </w:r>
    </w:p>
    <w:p w14:paraId="6EF22B69" w14:textId="453E52AE" w:rsidR="006C5AB1" w:rsidRDefault="00E955DF" w:rsidP="006C5AB1">
      <w:r>
        <w:rPr>
          <w:noProof/>
        </w:rPr>
        <w:drawing>
          <wp:inline distT="0" distB="0" distL="0" distR="0" wp14:anchorId="3F1157E0" wp14:editId="176504CB">
            <wp:extent cx="5670000" cy="3209567"/>
            <wp:effectExtent l="0" t="0" r="6985" b="0"/>
            <wp:docPr id="24" name="Picture 24" descr="A picture containing text, screenshot, electronics,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5" name="Picture 27815" descr="A picture containing text, screenshot, electronics, display&#10;&#10;Description automatically generated"/>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2484" t="13833" r="3693" b="11702"/>
                    <a:stretch/>
                  </pic:blipFill>
                  <pic:spPr bwMode="auto">
                    <a:xfrm>
                      <a:off x="0" y="0"/>
                      <a:ext cx="5670000" cy="3209567"/>
                    </a:xfrm>
                    <a:prstGeom prst="rect">
                      <a:avLst/>
                    </a:prstGeom>
                    <a:noFill/>
                    <a:ln>
                      <a:noFill/>
                    </a:ln>
                    <a:extLst>
                      <a:ext uri="{53640926-AAD7-44D8-BBD7-CCE9431645EC}">
                        <a14:shadowObscured xmlns:a14="http://schemas.microsoft.com/office/drawing/2010/main"/>
                      </a:ext>
                    </a:extLst>
                  </pic:spPr>
                </pic:pic>
              </a:graphicData>
            </a:graphic>
          </wp:inline>
        </w:drawing>
      </w:r>
    </w:p>
    <w:p w14:paraId="66C217A1" w14:textId="3750B579" w:rsidR="00E955DF" w:rsidRPr="006C5AB1" w:rsidRDefault="006C5AB1" w:rsidP="00E955DF">
      <w:pPr>
        <w:rPr>
          <w:lang w:eastAsia="en-AU"/>
        </w:rPr>
      </w:pPr>
      <w:r>
        <w:t xml:space="preserve">eComply uses BIM to assess the compliance of digital building designs with the Small Lot Housing Code. BIM models can be uploaded to the system by builders, developers or architects which are then examined against compliance criteria and can be approved in real-time. </w:t>
      </w:r>
      <w:r w:rsidR="00E955DF">
        <w:t xml:space="preserve">This technology is now currently entering its second development phase for public release in 2023. </w:t>
      </w:r>
    </w:p>
    <w:p w14:paraId="65C7443E" w14:textId="71D46C31" w:rsidR="00C543FA" w:rsidRDefault="00C543FA" w:rsidP="0080249D">
      <w:pPr>
        <w:rPr>
          <w:lang w:eastAsia="en-AU"/>
        </w:rPr>
      </w:pPr>
    </w:p>
    <w:p w14:paraId="380FDD8D" w14:textId="77777777" w:rsidR="00C543FA" w:rsidRDefault="00C543FA" w:rsidP="0080249D">
      <w:pPr>
        <w:rPr>
          <w:lang w:eastAsia="en-AU"/>
        </w:rPr>
      </w:pPr>
    </w:p>
    <w:p w14:paraId="5FF459EA" w14:textId="24C6355E" w:rsidR="00C543FA" w:rsidRDefault="00C543FA" w:rsidP="0080249D">
      <w:pPr>
        <w:rPr>
          <w:lang w:eastAsia="en-AU"/>
        </w:rPr>
      </w:pPr>
    </w:p>
    <w:p w14:paraId="7EA1F678" w14:textId="77777777" w:rsidR="00C543FA" w:rsidRDefault="00C543FA" w:rsidP="0080249D">
      <w:pPr>
        <w:rPr>
          <w:lang w:eastAsia="en-AU"/>
        </w:rPr>
      </w:pPr>
    </w:p>
    <w:p w14:paraId="4239F191" w14:textId="77777777" w:rsidR="00C543FA" w:rsidRDefault="00C543FA" w:rsidP="0080249D">
      <w:pPr>
        <w:rPr>
          <w:lang w:eastAsia="en-AU"/>
        </w:rPr>
      </w:pPr>
    </w:p>
    <w:p w14:paraId="1A66558C" w14:textId="77777777" w:rsidR="00183F7B" w:rsidRDefault="00183F7B" w:rsidP="0080249D">
      <w:pPr>
        <w:rPr>
          <w:lang w:eastAsia="en-AU"/>
        </w:rPr>
      </w:pPr>
    </w:p>
    <w:p w14:paraId="76AB60A4" w14:textId="77777777" w:rsidR="001467BD" w:rsidRDefault="001467BD" w:rsidP="0080249D">
      <w:pPr>
        <w:rPr>
          <w:lang w:eastAsia="en-AU"/>
        </w:rPr>
      </w:pPr>
    </w:p>
    <w:p w14:paraId="6D00B9EF" w14:textId="77777777" w:rsidR="00C543FA" w:rsidRDefault="00C543FA" w:rsidP="0080249D">
      <w:pPr>
        <w:rPr>
          <w:lang w:eastAsia="en-AU"/>
        </w:rPr>
      </w:pPr>
    </w:p>
    <w:p w14:paraId="62FD129D" w14:textId="77777777" w:rsidR="00C543FA" w:rsidRDefault="00C543FA" w:rsidP="0080249D">
      <w:pPr>
        <w:rPr>
          <w:lang w:eastAsia="en-AU"/>
        </w:rPr>
      </w:pPr>
    </w:p>
    <w:p w14:paraId="2DD704C6" w14:textId="4CAD97E6" w:rsidR="0080249D" w:rsidRDefault="003F4476" w:rsidP="00F65E61">
      <w:pPr>
        <w:pStyle w:val="Heading5"/>
      </w:pPr>
      <w:r>
        <w:lastRenderedPageBreak/>
        <w:t xml:space="preserve">New </w:t>
      </w:r>
      <w:r w:rsidR="00B16804">
        <w:t xml:space="preserve">processes and practices in the building sector can reduce waste and contribute to Victoria’s broader sustainability </w:t>
      </w:r>
      <w:r w:rsidR="00C543FA">
        <w:t>targets</w:t>
      </w:r>
    </w:p>
    <w:p w14:paraId="7EE4CE93" w14:textId="77777777" w:rsidR="007A235E" w:rsidRDefault="00FA088E" w:rsidP="007A235E">
      <w:pPr>
        <w:rPr>
          <w:lang w:eastAsia="en-AU"/>
        </w:rPr>
      </w:pPr>
      <w:r w:rsidRPr="000A7BA9">
        <w:rPr>
          <w:lang w:eastAsia="en-AU"/>
        </w:rPr>
        <w:t>Construction is a leading contributor of landfill waste, producing 20 million tonnes of waste each year.</w:t>
      </w:r>
      <w:r>
        <w:rPr>
          <w:rStyle w:val="EndnoteReference"/>
          <w:lang w:eastAsia="en-AU"/>
        </w:rPr>
        <w:endnoteReference w:id="88"/>
      </w:r>
      <w:r w:rsidRPr="000A7BA9">
        <w:rPr>
          <w:lang w:eastAsia="en-AU"/>
        </w:rPr>
        <w:t xml:space="preserve"> Just over 40 per cent of this waste is recycled, with the rest going to landfill, illegally dumped, reprocessed</w:t>
      </w:r>
      <w:r>
        <w:rPr>
          <w:lang w:eastAsia="en-AU"/>
        </w:rPr>
        <w:t>,</w:t>
      </w:r>
      <w:r w:rsidRPr="000A7BA9">
        <w:rPr>
          <w:lang w:eastAsia="en-AU"/>
        </w:rPr>
        <w:t xml:space="preserve"> or stockpiled.</w:t>
      </w:r>
      <w:r>
        <w:rPr>
          <w:rStyle w:val="EndnoteReference"/>
          <w:lang w:eastAsia="en-AU"/>
        </w:rPr>
        <w:endnoteReference w:id="89"/>
      </w:r>
      <w:r w:rsidRPr="000A7BA9">
        <w:rPr>
          <w:lang w:eastAsia="en-AU"/>
        </w:rPr>
        <w:t xml:space="preserve"> </w:t>
      </w:r>
      <w:r w:rsidR="009B3B4B">
        <w:rPr>
          <w:lang w:eastAsia="en-AU"/>
        </w:rPr>
        <w:t xml:space="preserve">Reduction of construction waste and the support for recycled building materials has been a focus of recent reform in Victoria. </w:t>
      </w:r>
      <w:r w:rsidR="007A235E">
        <w:rPr>
          <w:lang w:eastAsia="en-AU"/>
        </w:rPr>
        <w:t xml:space="preserve">The Victoria’s Built Environment Adaption Action Plan aims to embed climate change adaptation into the building environment. </w:t>
      </w:r>
      <w:r w:rsidR="007A235E" w:rsidRPr="0079080A">
        <w:rPr>
          <w:lang w:eastAsia="en-AU"/>
        </w:rPr>
        <w:t xml:space="preserve">Over the next 5 years, </w:t>
      </w:r>
      <w:r w:rsidR="007A235E">
        <w:rPr>
          <w:lang w:eastAsia="en-AU"/>
        </w:rPr>
        <w:t>the</w:t>
      </w:r>
      <w:r w:rsidR="007A235E" w:rsidRPr="0079080A">
        <w:rPr>
          <w:lang w:eastAsia="en-AU"/>
        </w:rPr>
        <w:t xml:space="preserve"> plan </w:t>
      </w:r>
      <w:r w:rsidR="007A235E">
        <w:rPr>
          <w:lang w:eastAsia="en-AU"/>
        </w:rPr>
        <w:t>aims to</w:t>
      </w:r>
      <w:r w:rsidR="007A235E" w:rsidRPr="0079080A">
        <w:rPr>
          <w:lang w:eastAsia="en-AU"/>
        </w:rPr>
        <w:t xml:space="preserve"> strengthen and extend existing climate change responses; build adaptation capacity across government, the private sector</w:t>
      </w:r>
      <w:r w:rsidR="007A235E">
        <w:rPr>
          <w:lang w:eastAsia="en-AU"/>
        </w:rPr>
        <w:t>,</w:t>
      </w:r>
      <w:r w:rsidR="007A235E" w:rsidRPr="0079080A">
        <w:rPr>
          <w:lang w:eastAsia="en-AU"/>
        </w:rPr>
        <w:t xml:space="preserve"> and the community; and establish regulatory and other frameworks needed for long-term transformative action. </w:t>
      </w:r>
      <w:r w:rsidR="007A235E">
        <w:rPr>
          <w:lang w:eastAsia="en-AU"/>
        </w:rPr>
        <w:t>This includes embedding the use of adaptive building products and infrastructure.</w:t>
      </w:r>
    </w:p>
    <w:p w14:paraId="530DB156" w14:textId="2023A6E3" w:rsidR="009B3B4B" w:rsidRDefault="007A235E" w:rsidP="00FA088E">
      <w:pPr>
        <w:rPr>
          <w:lang w:eastAsia="en-AU"/>
        </w:rPr>
      </w:pPr>
      <w:r>
        <w:rPr>
          <w:lang w:eastAsia="en-AU"/>
        </w:rPr>
        <w:t xml:space="preserve">Further, </w:t>
      </w:r>
      <w:r w:rsidR="009B3B4B">
        <w:rPr>
          <w:lang w:eastAsia="en-AU"/>
        </w:rPr>
        <w:t xml:space="preserve">the </w:t>
      </w:r>
      <w:r w:rsidR="009B3B4B" w:rsidRPr="000A7BA9">
        <w:rPr>
          <w:lang w:eastAsia="en-AU"/>
        </w:rPr>
        <w:t xml:space="preserve">Victorian </w:t>
      </w:r>
      <w:hyperlink r:id="rId101" w:history="1">
        <w:r w:rsidR="009B3B4B" w:rsidRPr="00850660">
          <w:rPr>
            <w:rStyle w:val="Hyperlink"/>
            <w:lang w:eastAsia="en-AU"/>
          </w:rPr>
          <w:t>Supply Chain Review</w:t>
        </w:r>
      </w:hyperlink>
      <w:r w:rsidR="009B3B4B">
        <w:rPr>
          <w:lang w:eastAsia="en-AU"/>
        </w:rPr>
        <w:t xml:space="preserve"> found that </w:t>
      </w:r>
      <w:r w:rsidR="009B3B4B" w:rsidRPr="000A7BA9">
        <w:rPr>
          <w:lang w:eastAsia="en-AU"/>
        </w:rPr>
        <w:t xml:space="preserve">increased research and development in the use of recycled materials is necessary to address </w:t>
      </w:r>
      <w:r w:rsidR="009B3B4B">
        <w:rPr>
          <w:lang w:eastAsia="en-AU"/>
        </w:rPr>
        <w:t>these</w:t>
      </w:r>
      <w:r w:rsidR="009B3B4B" w:rsidRPr="000A7BA9">
        <w:rPr>
          <w:lang w:eastAsia="en-AU"/>
        </w:rPr>
        <w:t xml:space="preserve"> constraints and support Victoria’s transition to a circular economy.</w:t>
      </w:r>
      <w:r w:rsidR="009B3B4B">
        <w:rPr>
          <w:rStyle w:val="EndnoteReference"/>
          <w:lang w:eastAsia="en-AU"/>
        </w:rPr>
        <w:endnoteReference w:id="90"/>
      </w:r>
      <w:r w:rsidR="009B3B4B" w:rsidRPr="009F4C44">
        <w:t xml:space="preserve"> </w:t>
      </w:r>
      <w:r w:rsidR="009B3B4B">
        <w:t>The</w:t>
      </w:r>
      <w:r w:rsidR="009B3B4B">
        <w:rPr>
          <w:lang w:eastAsia="en-AU"/>
        </w:rPr>
        <w:t xml:space="preserve"> i</w:t>
      </w:r>
      <w:r w:rsidR="009B3B4B" w:rsidRPr="001112E3">
        <w:rPr>
          <w:lang w:eastAsia="en-AU"/>
        </w:rPr>
        <w:t>ncrease</w:t>
      </w:r>
      <w:r w:rsidR="009B3B4B">
        <w:rPr>
          <w:lang w:eastAsia="en-AU"/>
        </w:rPr>
        <w:t>d</w:t>
      </w:r>
      <w:r w:rsidR="009B3B4B" w:rsidRPr="001112E3">
        <w:rPr>
          <w:lang w:eastAsia="en-AU"/>
        </w:rPr>
        <w:t xml:space="preserve"> use of </w:t>
      </w:r>
      <w:r w:rsidR="009B3B4B">
        <w:rPr>
          <w:lang w:eastAsia="en-AU"/>
        </w:rPr>
        <w:t>recycled materials, particularly recycled bricks and timber, can improve the supply of materials and strengthen the supply chain in case of future market shocks.</w:t>
      </w:r>
    </w:p>
    <w:p w14:paraId="6773A988" w14:textId="77777777" w:rsidR="0073715E" w:rsidRDefault="007A235E" w:rsidP="007A235E">
      <w:pPr>
        <w:rPr>
          <w:lang w:eastAsia="en-AU"/>
        </w:rPr>
        <w:sectPr w:rsidR="0073715E" w:rsidSect="0073715E">
          <w:footerReference w:type="default" r:id="rId102"/>
          <w:footerReference w:type="first" r:id="rId103"/>
          <w:endnotePr>
            <w:numFmt w:val="decimal"/>
          </w:endnotePr>
          <w:type w:val="continuous"/>
          <w:pgSz w:w="11907" w:h="16839" w:code="9"/>
          <w:pgMar w:top="1418" w:right="1418" w:bottom="1701" w:left="1559" w:header="720" w:footer="720" w:gutter="0"/>
          <w:cols w:space="720"/>
          <w:titlePg/>
          <w:docGrid w:linePitch="360"/>
        </w:sectPr>
      </w:pPr>
      <w:r>
        <w:rPr>
          <w:rStyle w:val="CommentReference"/>
          <w:sz w:val="22"/>
          <w:szCs w:val="22"/>
          <w:lang w:eastAsia="en-AU"/>
        </w:rPr>
        <w:t xml:space="preserve">The </w:t>
      </w:r>
      <w:r w:rsidR="002C41F7">
        <w:rPr>
          <w:rStyle w:val="CommentReference"/>
          <w:sz w:val="22"/>
          <w:szCs w:val="22"/>
          <w:lang w:eastAsia="en-AU"/>
        </w:rPr>
        <w:t xml:space="preserve">Victorian Government is supporting research and </w:t>
      </w:r>
      <w:r w:rsidR="00844867">
        <w:rPr>
          <w:rStyle w:val="CommentReference"/>
          <w:sz w:val="22"/>
          <w:szCs w:val="22"/>
          <w:lang w:eastAsia="en-AU"/>
        </w:rPr>
        <w:t xml:space="preserve">private sector development of new construction </w:t>
      </w:r>
      <w:r w:rsidR="002C41F7">
        <w:rPr>
          <w:rStyle w:val="CommentReference"/>
          <w:sz w:val="22"/>
          <w:szCs w:val="22"/>
          <w:lang w:eastAsia="en-AU"/>
        </w:rPr>
        <w:t xml:space="preserve">initiatives </w:t>
      </w:r>
      <w:r w:rsidR="0042758B">
        <w:rPr>
          <w:rStyle w:val="CommentReference"/>
          <w:sz w:val="22"/>
          <w:szCs w:val="22"/>
          <w:lang w:eastAsia="en-AU"/>
        </w:rPr>
        <w:t xml:space="preserve">and practices. </w:t>
      </w:r>
      <w:r w:rsidR="002C41F7">
        <w:rPr>
          <w:rStyle w:val="CommentReference"/>
          <w:sz w:val="22"/>
          <w:szCs w:val="22"/>
          <w:lang w:eastAsia="en-AU"/>
        </w:rPr>
        <w:t xml:space="preserve">This includes Building 4.0 CRC, an industry-led research initiative which aims to identify and encourage the use of new sustainable </w:t>
      </w:r>
      <w:r w:rsidR="00C76F22">
        <w:rPr>
          <w:rStyle w:val="CommentReference"/>
          <w:sz w:val="22"/>
          <w:szCs w:val="22"/>
          <w:lang w:eastAsia="en-AU"/>
        </w:rPr>
        <w:t>building products.</w:t>
      </w:r>
      <w:r w:rsidR="00494B8E">
        <w:rPr>
          <w:rStyle w:val="EndnoteReference"/>
          <w:lang w:eastAsia="en-AU"/>
        </w:rPr>
        <w:endnoteReference w:id="91"/>
      </w:r>
      <w:r w:rsidR="00424CA9">
        <w:rPr>
          <w:rStyle w:val="CommentReference"/>
          <w:sz w:val="22"/>
          <w:szCs w:val="22"/>
          <w:lang w:eastAsia="en-AU"/>
        </w:rPr>
        <w:t xml:space="preserve"> This work is supported by the VBA.</w:t>
      </w:r>
      <w:r w:rsidR="004B6631">
        <w:rPr>
          <w:rStyle w:val="CommentReference"/>
          <w:sz w:val="22"/>
          <w:szCs w:val="22"/>
          <w:lang w:eastAsia="en-AU"/>
        </w:rPr>
        <w:t xml:space="preserve"> Similarly, the </w:t>
      </w:r>
      <w:r w:rsidR="004B6631">
        <w:t xml:space="preserve">Victorian Government’s </w:t>
      </w:r>
      <w:r w:rsidR="004B6631" w:rsidRPr="0006150D">
        <w:rPr>
          <w:lang w:eastAsia="en-AU"/>
        </w:rPr>
        <w:t>Recycling Victoria Innovation Fund</w:t>
      </w:r>
      <w:r w:rsidR="004B6631">
        <w:rPr>
          <w:lang w:eastAsia="en-AU"/>
        </w:rPr>
        <w:t xml:space="preserve"> has </w:t>
      </w:r>
      <w:r w:rsidR="000F1C11">
        <w:rPr>
          <w:lang w:eastAsia="en-AU"/>
        </w:rPr>
        <w:t>supported the use of recycled materials in prefabricated methods through grants programs.</w:t>
      </w:r>
      <w:r w:rsidR="000F1C11">
        <w:rPr>
          <w:rStyle w:val="EndnoteReference"/>
          <w:lang w:eastAsia="en-AU"/>
        </w:rPr>
        <w:endnoteReference w:id="92"/>
      </w:r>
      <w:r w:rsidR="000F1C11">
        <w:rPr>
          <w:lang w:eastAsia="en-AU"/>
        </w:rPr>
        <w:t xml:space="preserve"> </w:t>
      </w:r>
    </w:p>
    <w:p w14:paraId="10AF51F1" w14:textId="5D3787F8" w:rsidR="00E84D02" w:rsidRDefault="00E84D02" w:rsidP="007A235E">
      <w:pPr>
        <w:rPr>
          <w:lang w:eastAsia="en-AU"/>
        </w:rPr>
      </w:pPr>
    </w:p>
    <w:p w14:paraId="366817C6" w14:textId="77777777" w:rsidR="00E84D02" w:rsidRDefault="00E84D02">
      <w:pPr>
        <w:spacing w:after="160" w:line="259" w:lineRule="auto"/>
        <w:rPr>
          <w:lang w:eastAsia="en-AU"/>
        </w:rPr>
      </w:pPr>
      <w:r>
        <w:rPr>
          <w:lang w:eastAsia="en-AU"/>
        </w:rPr>
        <w:br w:type="page"/>
      </w:r>
    </w:p>
    <w:p w14:paraId="7432D58D" w14:textId="77777777" w:rsidR="007B123C" w:rsidRDefault="007B123C" w:rsidP="007A235E">
      <w:pPr>
        <w:rPr>
          <w:rStyle w:val="CommentReference"/>
          <w:lang w:eastAsia="en-AU"/>
        </w:rPr>
      </w:pPr>
    </w:p>
    <w:p w14:paraId="69C2E1EE" w14:textId="7580B908" w:rsidR="00807640" w:rsidRDefault="00807640" w:rsidP="002C25B5">
      <w:pPr>
        <w:pStyle w:val="Heading2"/>
      </w:pPr>
      <w:bookmarkStart w:id="172" w:name="_Toc131428720"/>
      <w:bookmarkStart w:id="173" w:name="_Toc134352879"/>
      <w:bookmarkStart w:id="174" w:name="_Toc134356912"/>
      <w:r>
        <w:t>Overview of building maintenance</w:t>
      </w:r>
      <w:bookmarkEnd w:id="172"/>
      <w:bookmarkEnd w:id="173"/>
      <w:bookmarkEnd w:id="174"/>
    </w:p>
    <w:p w14:paraId="7206272C" w14:textId="28D098C9" w:rsidR="00F063B4" w:rsidRPr="00F063B4" w:rsidRDefault="00F063B4" w:rsidP="00F063B4">
      <w:pPr>
        <w:rPr>
          <w:lang w:eastAsia="en-AU"/>
        </w:rPr>
      </w:pPr>
      <w:r w:rsidRPr="000F13CF">
        <w:rPr>
          <w:lang w:eastAsia="en-AU"/>
        </w:rPr>
        <w:t xml:space="preserve">Legislative requirements for building maintenance are primarily set out in the Building Regulations and </w:t>
      </w:r>
      <w:r>
        <w:rPr>
          <w:lang w:eastAsia="en-AU"/>
        </w:rPr>
        <w:t xml:space="preserve">the </w:t>
      </w:r>
      <w:r w:rsidRPr="000F13CF">
        <w:rPr>
          <w:lang w:eastAsia="en-AU"/>
        </w:rPr>
        <w:t xml:space="preserve">Owners Corporations Act. These two legislative frameworks are summarised in </w:t>
      </w:r>
      <w:r w:rsidR="00DE199E">
        <w:rPr>
          <w:lang w:eastAsia="en-AU"/>
        </w:rPr>
        <w:fldChar w:fldCharType="begin"/>
      </w:r>
      <w:r w:rsidR="00DE199E">
        <w:rPr>
          <w:lang w:eastAsia="en-AU"/>
        </w:rPr>
        <w:instrText xml:space="preserve"> REF _Ref131420874 \h </w:instrText>
      </w:r>
      <w:r w:rsidR="00DE199E">
        <w:rPr>
          <w:lang w:eastAsia="en-AU"/>
        </w:rPr>
      </w:r>
      <w:r w:rsidR="00DE199E">
        <w:rPr>
          <w:lang w:eastAsia="en-AU"/>
        </w:rPr>
        <w:fldChar w:fldCharType="separate"/>
      </w:r>
      <w:r w:rsidR="00E15D2D">
        <w:t xml:space="preserve">Figure </w:t>
      </w:r>
      <w:r w:rsidR="00E15D2D">
        <w:rPr>
          <w:noProof/>
        </w:rPr>
        <w:t>13</w:t>
      </w:r>
      <w:r w:rsidR="00DE199E">
        <w:rPr>
          <w:lang w:eastAsia="en-AU"/>
        </w:rPr>
        <w:fldChar w:fldCharType="end"/>
      </w:r>
      <w:r w:rsidRPr="000F13CF">
        <w:rPr>
          <w:lang w:eastAsia="en-AU"/>
        </w:rPr>
        <w:t xml:space="preserve"> and explained below</w:t>
      </w:r>
      <w:r>
        <w:rPr>
          <w:lang w:eastAsia="en-AU"/>
        </w:rPr>
        <w:t>.</w:t>
      </w:r>
    </w:p>
    <w:p w14:paraId="173863AC" w14:textId="0AEFE082" w:rsidR="005041E6" w:rsidRDefault="005041E6" w:rsidP="005041E6">
      <w:pPr>
        <w:pStyle w:val="Caption"/>
      </w:pPr>
      <w:bookmarkStart w:id="175" w:name="_Ref131420874"/>
      <w:r>
        <w:t xml:space="preserve">Figure </w:t>
      </w:r>
      <w:r w:rsidR="00CD291D">
        <w:fldChar w:fldCharType="begin"/>
      </w:r>
      <w:r w:rsidR="00CD291D">
        <w:instrText xml:space="preserve"> SEQ Figure \* ARABIC </w:instrText>
      </w:r>
      <w:r w:rsidR="00CD291D">
        <w:fldChar w:fldCharType="separate"/>
      </w:r>
      <w:r w:rsidR="00E15D2D">
        <w:rPr>
          <w:noProof/>
        </w:rPr>
        <w:t>13</w:t>
      </w:r>
      <w:r w:rsidR="00CD291D">
        <w:fldChar w:fldCharType="end"/>
      </w:r>
      <w:bookmarkEnd w:id="175"/>
      <w:r>
        <w:t xml:space="preserve"> | Regulatory parameters of ESMs and maintenance</w:t>
      </w:r>
    </w:p>
    <w:p w14:paraId="05035A60" w14:textId="41F2D237" w:rsidR="0073715E" w:rsidRDefault="005A0BCE" w:rsidP="00D0266D">
      <w:pPr>
        <w:sectPr w:rsidR="0073715E" w:rsidSect="0073715E">
          <w:footerReference w:type="default" r:id="rId104"/>
          <w:endnotePr>
            <w:numFmt w:val="decimal"/>
          </w:endnotePr>
          <w:type w:val="continuous"/>
          <w:pgSz w:w="11907" w:h="16839" w:code="9"/>
          <w:pgMar w:top="1418" w:right="1418" w:bottom="1701" w:left="1559" w:header="720" w:footer="720" w:gutter="0"/>
          <w:cols w:space="720"/>
          <w:titlePg/>
          <w:docGrid w:linePitch="360"/>
        </w:sectPr>
      </w:pPr>
      <w:r w:rsidRPr="005A0BCE">
        <w:rPr>
          <w:noProof/>
        </w:rPr>
        <w:drawing>
          <wp:inline distT="0" distB="0" distL="0" distR="0" wp14:anchorId="39CE85F1" wp14:editId="3335FC0A">
            <wp:extent cx="5670550" cy="6442075"/>
            <wp:effectExtent l="0" t="0" r="6350" b="0"/>
            <wp:docPr id="27973" name="Picture 2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670550" cy="6442075"/>
                    </a:xfrm>
                    <a:prstGeom prst="rect">
                      <a:avLst/>
                    </a:prstGeom>
                    <a:noFill/>
                    <a:ln>
                      <a:noFill/>
                    </a:ln>
                  </pic:spPr>
                </pic:pic>
              </a:graphicData>
            </a:graphic>
          </wp:inline>
        </w:drawing>
      </w:r>
    </w:p>
    <w:p w14:paraId="15E70B9E" w14:textId="1C4AAF47" w:rsidR="005041E6" w:rsidRDefault="005041E6" w:rsidP="00D0266D"/>
    <w:p w14:paraId="78330ADC" w14:textId="3BB4A650" w:rsidR="00D20460" w:rsidRDefault="00D20460" w:rsidP="00D0266D"/>
    <w:p w14:paraId="1B6CBE36" w14:textId="77777777" w:rsidR="00D20460" w:rsidRDefault="00D20460" w:rsidP="00D20460">
      <w:pPr>
        <w:pStyle w:val="Heading4"/>
      </w:pPr>
      <w:r>
        <w:lastRenderedPageBreak/>
        <w:t>The Building Regulations and the NCC set out the building regulatory framework for ESMs</w:t>
      </w:r>
    </w:p>
    <w:p w14:paraId="35C9E660" w14:textId="2C980224" w:rsidR="00D20460" w:rsidRDefault="00D20460" w:rsidP="00D20460">
      <w:pPr>
        <w:rPr>
          <w:lang w:eastAsia="en-AU"/>
        </w:rPr>
      </w:pPr>
      <w:r>
        <w:rPr>
          <w:lang w:eastAsia="en-AU"/>
        </w:rPr>
        <w:t>ESMs are the safety systems that must be installed in buildings to ensure the health and safety of those who occupy the building. ESMs are designed to operate as a networked system to safeguard the occupants and provide a coordinated response to specific emergencies. The maintenance of ESMs helps to ensure that a building’s safety systems are working at the required operational level throughout the life of a building.</w:t>
      </w:r>
    </w:p>
    <w:p w14:paraId="1D97B2AA" w14:textId="793F0599" w:rsidR="00D20460" w:rsidRDefault="00D20460" w:rsidP="00D20460">
      <w:pPr>
        <w:rPr>
          <w:lang w:eastAsia="en-AU"/>
        </w:rPr>
      </w:pPr>
      <w:r w:rsidRPr="00D211F1">
        <w:rPr>
          <w:b/>
          <w:lang w:eastAsia="en-AU"/>
        </w:rPr>
        <w:t>ESM maintenance requirements apply to all buildings apart from a house or outbuilding</w:t>
      </w:r>
      <w:r w:rsidR="005A3B66">
        <w:rPr>
          <w:b/>
          <w:lang w:eastAsia="en-AU"/>
        </w:rPr>
        <w:t>.</w:t>
      </w:r>
      <w:r>
        <w:rPr>
          <w:rStyle w:val="EndnoteReference"/>
          <w:lang w:eastAsia="en-AU"/>
        </w:rPr>
        <w:endnoteReference w:id="93"/>
      </w:r>
      <w:r w:rsidR="005A3B66">
        <w:rPr>
          <w:b/>
          <w:lang w:eastAsia="en-AU"/>
        </w:rPr>
        <w:t xml:space="preserve"> </w:t>
      </w:r>
      <w:r w:rsidR="005A3B66">
        <w:rPr>
          <w:lang w:eastAsia="en-AU"/>
        </w:rPr>
        <w:t>T</w:t>
      </w:r>
      <w:r w:rsidRPr="005360E0">
        <w:rPr>
          <w:lang w:eastAsia="en-AU"/>
        </w:rPr>
        <w:t xml:space="preserve">hat is, </w:t>
      </w:r>
      <w:r>
        <w:rPr>
          <w:lang w:eastAsia="en-AU"/>
        </w:rPr>
        <w:t xml:space="preserve">they apply to </w:t>
      </w:r>
      <w:r w:rsidRPr="005360E0">
        <w:rPr>
          <w:lang w:eastAsia="en-AU"/>
        </w:rPr>
        <w:t>Class 1b and Class 2-9 buildings.</w:t>
      </w:r>
      <w:r>
        <w:rPr>
          <w:rStyle w:val="EndnoteReference"/>
          <w:lang w:eastAsia="en-AU"/>
        </w:rPr>
        <w:endnoteReference w:id="94"/>
      </w:r>
      <w:r w:rsidRPr="005360E0">
        <w:rPr>
          <w:lang w:eastAsia="en-AU"/>
        </w:rPr>
        <w:t xml:space="preserve"> The NCC sets out which ESMs must be installed for each type of building. Installation requirements for ESMs vary across building class, based on the size, potential risks and intended use of buildings. This recognises that different types of buildings are susceptible to different threats.</w:t>
      </w:r>
    </w:p>
    <w:p w14:paraId="1480186C" w14:textId="68865287" w:rsidR="00E24A56" w:rsidRDefault="00291703" w:rsidP="00E24A56">
      <w:pPr>
        <w:rPr>
          <w:lang w:eastAsia="en-AU"/>
        </w:rPr>
      </w:pPr>
      <w:r>
        <w:rPr>
          <w:lang w:eastAsia="en-AU"/>
        </w:rPr>
        <w:t xml:space="preserve">Part 13 of the </w:t>
      </w:r>
      <w:r w:rsidR="00EA64D9">
        <w:rPr>
          <w:lang w:eastAsia="en-AU"/>
        </w:rPr>
        <w:t xml:space="preserve">Building </w:t>
      </w:r>
      <w:r>
        <w:rPr>
          <w:lang w:eastAsia="en-AU"/>
        </w:rPr>
        <w:t xml:space="preserve">Regulations require the RBS to </w:t>
      </w:r>
      <w:r w:rsidR="00D20460">
        <w:rPr>
          <w:lang w:eastAsia="en-AU"/>
        </w:rPr>
        <w:t>specif</w:t>
      </w:r>
      <w:r w:rsidR="00AB1F63">
        <w:rPr>
          <w:lang w:eastAsia="en-AU"/>
        </w:rPr>
        <w:t xml:space="preserve">y, in the occupancy permit, all required </w:t>
      </w:r>
      <w:r w:rsidR="00D20460">
        <w:rPr>
          <w:lang w:eastAsia="en-AU"/>
        </w:rPr>
        <w:t>ESMs</w:t>
      </w:r>
      <w:r w:rsidR="00805A34">
        <w:rPr>
          <w:lang w:eastAsia="en-AU"/>
        </w:rPr>
        <w:t>;</w:t>
      </w:r>
      <w:r w:rsidR="00AB1F63">
        <w:rPr>
          <w:lang w:eastAsia="en-AU"/>
        </w:rPr>
        <w:t xml:space="preserve"> how they must perform</w:t>
      </w:r>
      <w:r w:rsidR="00805A34">
        <w:rPr>
          <w:lang w:eastAsia="en-AU"/>
        </w:rPr>
        <w:t>;</w:t>
      </w:r>
      <w:r w:rsidR="00AB1F63">
        <w:rPr>
          <w:lang w:eastAsia="en-AU"/>
        </w:rPr>
        <w:t xml:space="preserve"> the frequency and type of inspection</w:t>
      </w:r>
      <w:r w:rsidR="00E43592">
        <w:rPr>
          <w:lang w:eastAsia="en-AU"/>
        </w:rPr>
        <w:t>; and the</w:t>
      </w:r>
      <w:r w:rsidR="00AB1F63">
        <w:rPr>
          <w:lang w:eastAsia="en-AU"/>
        </w:rPr>
        <w:t xml:space="preserve"> testing and maintenance that is necessary.</w:t>
      </w:r>
      <w:r w:rsidR="00E24A56">
        <w:rPr>
          <w:rStyle w:val="EndnoteReference"/>
        </w:rPr>
        <w:endnoteReference w:id="95"/>
      </w:r>
      <w:r w:rsidR="00AB1F63">
        <w:rPr>
          <w:lang w:eastAsia="en-AU"/>
        </w:rPr>
        <w:t xml:space="preserve"> </w:t>
      </w:r>
      <w:r w:rsidR="00E24A56">
        <w:rPr>
          <w:lang w:eastAsia="en-AU"/>
        </w:rPr>
        <w:t xml:space="preserve">Part 15 </w:t>
      </w:r>
      <w:r w:rsidR="006A0A4F">
        <w:rPr>
          <w:lang w:eastAsia="en-AU"/>
        </w:rPr>
        <w:t xml:space="preserve">outlines </w:t>
      </w:r>
      <w:r w:rsidR="00E24A56">
        <w:rPr>
          <w:lang w:eastAsia="en-AU"/>
        </w:rPr>
        <w:t xml:space="preserve">the </w:t>
      </w:r>
      <w:r w:rsidR="00D20460">
        <w:rPr>
          <w:lang w:eastAsia="en-AU"/>
        </w:rPr>
        <w:t xml:space="preserve">ongoing maintenance requirements </w:t>
      </w:r>
      <w:r w:rsidR="008832F7">
        <w:rPr>
          <w:lang w:eastAsia="en-AU"/>
        </w:rPr>
        <w:t xml:space="preserve">which </w:t>
      </w:r>
      <w:r w:rsidR="007A29FC" w:rsidRPr="005360E0">
        <w:t xml:space="preserve">must be listed in a maintenance schedule </w:t>
      </w:r>
      <w:r w:rsidR="00550FEB">
        <w:t xml:space="preserve">that </w:t>
      </w:r>
      <w:r w:rsidR="007A29FC" w:rsidRPr="005360E0">
        <w:t>captures all ESM requirements specified in the occupancy permit</w:t>
      </w:r>
      <w:r w:rsidR="00084648">
        <w:t xml:space="preserve">. </w:t>
      </w:r>
    </w:p>
    <w:p w14:paraId="283F2018" w14:textId="20D7A25C" w:rsidR="001F65F8" w:rsidRPr="00D211F1" w:rsidRDefault="00B373B1" w:rsidP="00B373B1">
      <w:pPr>
        <w:rPr>
          <w:sz w:val="16"/>
          <w:szCs w:val="16"/>
          <w:lang w:eastAsia="en-AU"/>
        </w:rPr>
      </w:pPr>
      <w:r w:rsidRPr="00D211F1">
        <w:rPr>
          <w:b/>
          <w:lang w:eastAsia="en-AU"/>
        </w:rPr>
        <w:t xml:space="preserve">Building owners and occupiers have maintenance obligations under the Building Regulations. </w:t>
      </w:r>
      <w:r>
        <w:rPr>
          <w:lang w:eastAsia="en-AU"/>
        </w:rPr>
        <w:t>O</w:t>
      </w:r>
      <w:r w:rsidR="00D20460">
        <w:rPr>
          <w:lang w:eastAsia="en-AU"/>
        </w:rPr>
        <w:t xml:space="preserve">wners </w:t>
      </w:r>
      <w:r>
        <w:rPr>
          <w:lang w:eastAsia="en-AU"/>
        </w:rPr>
        <w:t>are required</w:t>
      </w:r>
      <w:r w:rsidR="008F5083">
        <w:rPr>
          <w:lang w:eastAsia="en-AU"/>
        </w:rPr>
        <w:t xml:space="preserve"> maintain all ESMs and ensure they operate satisfactorily. Owners must also </w:t>
      </w:r>
      <w:r w:rsidR="00D20460">
        <w:rPr>
          <w:lang w:eastAsia="en-AU"/>
        </w:rPr>
        <w:t>prepare an annual ESM report and keep records of maintenance checks, safety measures, and repair work</w:t>
      </w:r>
      <w:r w:rsidR="00800824">
        <w:rPr>
          <w:lang w:eastAsia="en-AU"/>
        </w:rPr>
        <w:t>.</w:t>
      </w:r>
      <w:r w:rsidR="00D20460">
        <w:rPr>
          <w:rStyle w:val="EndnoteReference"/>
          <w:lang w:eastAsia="en-AU"/>
        </w:rPr>
        <w:endnoteReference w:id="96"/>
      </w:r>
      <w:r w:rsidR="00D20460">
        <w:rPr>
          <w:lang w:eastAsia="en-AU"/>
        </w:rPr>
        <w:t xml:space="preserve"> </w:t>
      </w:r>
      <w:r w:rsidR="00800824">
        <w:rPr>
          <w:lang w:eastAsia="en-AU"/>
        </w:rPr>
        <w:t xml:space="preserve">Occupiers also have obligations to </w:t>
      </w:r>
      <w:r w:rsidR="00D20460">
        <w:rPr>
          <w:lang w:eastAsia="en-AU"/>
        </w:rPr>
        <w:t>maintain ESMs in their lot and keep all exits and paths of travel clear of obstructions.</w:t>
      </w:r>
      <w:r w:rsidR="00D20460">
        <w:rPr>
          <w:rStyle w:val="EndnoteReference"/>
          <w:lang w:eastAsia="en-AU"/>
        </w:rPr>
        <w:endnoteReference w:id="97"/>
      </w:r>
      <w:r w:rsidR="00D20460">
        <w:rPr>
          <w:rStyle w:val="CommentReference"/>
          <w:lang w:eastAsia="en-AU"/>
        </w:rPr>
        <w:t xml:space="preserve"> </w:t>
      </w:r>
      <w:r w:rsidR="001F65F8" w:rsidRPr="005360E0">
        <w:rPr>
          <w:lang w:eastAsia="en-AU"/>
        </w:rPr>
        <w:t>In apartment buildings, OCs are responsible for ESMs in common property</w:t>
      </w:r>
      <w:r w:rsidR="001F65F8">
        <w:rPr>
          <w:lang w:eastAsia="en-AU"/>
        </w:rPr>
        <w:t xml:space="preserve">, this is described in further detail below. </w:t>
      </w:r>
    </w:p>
    <w:p w14:paraId="5FADE9AA" w14:textId="30A073A3" w:rsidR="00D20460" w:rsidRPr="00B57705" w:rsidRDefault="00207AD7" w:rsidP="00B373B1">
      <w:pPr>
        <w:rPr>
          <w:lang w:eastAsia="en-AU"/>
        </w:rPr>
      </w:pPr>
      <w:r w:rsidRPr="00D211F1">
        <w:rPr>
          <w:rStyle w:val="CommentReference"/>
          <w:b/>
          <w:sz w:val="22"/>
          <w:szCs w:val="22"/>
          <w:lang w:eastAsia="en-AU"/>
        </w:rPr>
        <w:t xml:space="preserve">MBSs and fire authorities have co-regulatory responsibilities for overseeing ESM compliance and maintenance. </w:t>
      </w:r>
      <w:r w:rsidR="00915AE2" w:rsidRPr="00D211F1">
        <w:rPr>
          <w:rStyle w:val="CommentReference"/>
          <w:sz w:val="22"/>
          <w:szCs w:val="22"/>
          <w:lang w:eastAsia="en-AU"/>
        </w:rPr>
        <w:t>The</w:t>
      </w:r>
      <w:r w:rsidR="00915AE2">
        <w:rPr>
          <w:rStyle w:val="CommentReference"/>
          <w:b/>
          <w:sz w:val="22"/>
          <w:szCs w:val="22"/>
          <w:lang w:eastAsia="en-AU"/>
        </w:rPr>
        <w:t xml:space="preserve"> </w:t>
      </w:r>
      <w:r w:rsidR="00D20460">
        <w:rPr>
          <w:rStyle w:val="CommentReference"/>
          <w:sz w:val="22"/>
          <w:szCs w:val="22"/>
          <w:lang w:eastAsia="en-AU"/>
        </w:rPr>
        <w:t xml:space="preserve">RBS </w:t>
      </w:r>
      <w:r w:rsidR="008E178E">
        <w:rPr>
          <w:rStyle w:val="CommentReference"/>
          <w:sz w:val="22"/>
          <w:szCs w:val="22"/>
          <w:lang w:eastAsia="en-AU"/>
        </w:rPr>
        <w:t xml:space="preserve">is </w:t>
      </w:r>
      <w:r w:rsidR="00D20460">
        <w:rPr>
          <w:rStyle w:val="CommentReference"/>
          <w:sz w:val="22"/>
          <w:szCs w:val="22"/>
          <w:lang w:eastAsia="en-AU"/>
        </w:rPr>
        <w:t>responsible for ensuring compliance with the NCC during the building approvals process</w:t>
      </w:r>
      <w:r w:rsidR="00096A2D">
        <w:rPr>
          <w:rStyle w:val="CommentReference"/>
          <w:sz w:val="22"/>
          <w:szCs w:val="22"/>
          <w:lang w:eastAsia="en-AU"/>
        </w:rPr>
        <w:t>.</w:t>
      </w:r>
      <w:r w:rsidR="00B57705">
        <w:rPr>
          <w:rStyle w:val="CommentReference"/>
          <w:sz w:val="22"/>
          <w:szCs w:val="22"/>
          <w:lang w:eastAsia="en-AU"/>
        </w:rPr>
        <w:t xml:space="preserve"> The </w:t>
      </w:r>
      <w:r w:rsidR="00D20460">
        <w:rPr>
          <w:rStyle w:val="CommentReference"/>
          <w:sz w:val="22"/>
          <w:szCs w:val="22"/>
          <w:lang w:eastAsia="en-AU"/>
        </w:rPr>
        <w:t>MBS and fire authorities are responsible for enforcing maintenance provisions and may inspect properties and ESM maintenance either jointly or separately.</w:t>
      </w:r>
      <w:r w:rsidR="00D20460">
        <w:rPr>
          <w:rStyle w:val="EndnoteReference"/>
        </w:rPr>
        <w:endnoteReference w:id="98"/>
      </w:r>
      <w:r w:rsidR="00D20460" w:rsidRPr="005360E0">
        <w:t xml:space="preserve"> </w:t>
      </w:r>
      <w:r w:rsidR="00BD50DF">
        <w:t xml:space="preserve">Non-compliance with ESM </w:t>
      </w:r>
      <w:r w:rsidR="0048680D">
        <w:t>maintenance</w:t>
      </w:r>
      <w:r w:rsidR="00BD50DF">
        <w:t xml:space="preserve"> requirements </w:t>
      </w:r>
      <w:r w:rsidR="00D62A1E">
        <w:t>may result</w:t>
      </w:r>
      <w:r w:rsidR="00BD50DF">
        <w:t xml:space="preserve"> in infringement notices, building orders, emergency orders, fines or </w:t>
      </w:r>
      <w:r w:rsidR="0048680D">
        <w:t>prosecution</w:t>
      </w:r>
      <w:r w:rsidR="001A3EA5">
        <w:t xml:space="preserve"> on the responsible parties (building owners</w:t>
      </w:r>
      <w:r w:rsidR="000C6414">
        <w:t>)</w:t>
      </w:r>
      <w:r w:rsidR="008E178E">
        <w:t>.</w:t>
      </w:r>
      <w:r w:rsidR="00BD50DF">
        <w:t xml:space="preserve"> </w:t>
      </w:r>
    </w:p>
    <w:p w14:paraId="2DEA0AA8" w14:textId="77777777" w:rsidR="00D20460" w:rsidRDefault="00D20460" w:rsidP="00D20460">
      <w:pPr>
        <w:pStyle w:val="Heading4"/>
      </w:pPr>
      <w:r>
        <w:t>The Owners Corporations Act places additional maintenance responsibilities on OCs</w:t>
      </w:r>
    </w:p>
    <w:p w14:paraId="06A79817" w14:textId="07CAA9BE" w:rsidR="00D20460" w:rsidRPr="005360E0" w:rsidRDefault="00D20460" w:rsidP="00D20460">
      <w:pPr>
        <w:rPr>
          <w:lang w:eastAsia="en-AU"/>
        </w:rPr>
      </w:pPr>
      <w:r w:rsidRPr="005360E0">
        <w:rPr>
          <w:lang w:eastAsia="en-AU"/>
        </w:rPr>
        <w:t>The Owners Corporations Act sets out management, powers and functions of OCs, including relating to building maintenance. Under the Act, OCs are responsible for maintaining all common property and services</w:t>
      </w:r>
      <w:r>
        <w:rPr>
          <w:lang w:eastAsia="en-AU"/>
        </w:rPr>
        <w:t xml:space="preserve"> that benefit more than one lot</w:t>
      </w:r>
      <w:r w:rsidRPr="005360E0">
        <w:rPr>
          <w:lang w:eastAsia="en-AU"/>
        </w:rPr>
        <w:t xml:space="preserve">, including </w:t>
      </w:r>
      <w:r>
        <w:rPr>
          <w:lang w:eastAsia="en-AU"/>
        </w:rPr>
        <w:t xml:space="preserve">any </w:t>
      </w:r>
      <w:r w:rsidRPr="005360E0">
        <w:rPr>
          <w:lang w:eastAsia="en-AU"/>
        </w:rPr>
        <w:t>ESMs</w:t>
      </w:r>
      <w:r>
        <w:rPr>
          <w:lang w:eastAsia="en-AU"/>
        </w:rPr>
        <w:t xml:space="preserve"> that are ‘</w:t>
      </w:r>
      <w:r>
        <w:t>services’</w:t>
      </w:r>
      <w:r w:rsidRPr="005360E0">
        <w:rPr>
          <w:lang w:eastAsia="en-AU"/>
        </w:rPr>
        <w:t>.</w:t>
      </w:r>
      <w:r>
        <w:rPr>
          <w:rStyle w:val="EndnoteReference"/>
          <w:lang w:eastAsia="en-AU"/>
        </w:rPr>
        <w:endnoteReference w:id="99"/>
      </w:r>
      <w:r w:rsidR="0005225E">
        <w:rPr>
          <w:lang w:eastAsia="en-AU"/>
        </w:rPr>
        <w:t xml:space="preserve"> </w:t>
      </w:r>
      <w:r w:rsidRPr="005360E0">
        <w:rPr>
          <w:lang w:eastAsia="en-AU"/>
        </w:rPr>
        <w:t xml:space="preserve">Individual lot owners in an OC remain responsible for maintaining any ESMs that exist in their individual lot. </w:t>
      </w:r>
    </w:p>
    <w:p w14:paraId="668261A7" w14:textId="69752DB0" w:rsidR="00D20460" w:rsidRDefault="00D20460" w:rsidP="00D20460">
      <w:pPr>
        <w:rPr>
          <w:lang w:eastAsia="en-AU"/>
        </w:rPr>
      </w:pPr>
      <w:r w:rsidRPr="005360E0">
        <w:rPr>
          <w:lang w:eastAsia="en-AU"/>
        </w:rPr>
        <w:t>The Owners Corporations Act also regulates building maintenance beyond ESMs. For instance, OCs with more than 50 lots are required to prepare and approve maintenance plans to fulfil their obligations.</w:t>
      </w:r>
      <w:r>
        <w:rPr>
          <w:rStyle w:val="EndnoteReference"/>
          <w:lang w:eastAsia="en-AU"/>
        </w:rPr>
        <w:endnoteReference w:id="100"/>
      </w:r>
      <w:r w:rsidRPr="005360E0">
        <w:rPr>
          <w:lang w:eastAsia="en-AU"/>
        </w:rPr>
        <w:t xml:space="preserve"> Maintenance plans have a much broader scope than ESM maintenance schedules.</w:t>
      </w:r>
      <w:r>
        <w:rPr>
          <w:rStyle w:val="EndnoteReference"/>
          <w:lang w:eastAsia="en-AU"/>
        </w:rPr>
        <w:endnoteReference w:id="101"/>
      </w:r>
      <w:r w:rsidRPr="005360E0">
        <w:rPr>
          <w:lang w:eastAsia="en-AU"/>
        </w:rPr>
        <w:t xml:space="preserve"> Along with the maintenance plans, these OCs must establish a maintenance fund – into which all lot owners contribute – to cover anticipated maintenance and repair works outlined in the plan.</w:t>
      </w:r>
      <w:r>
        <w:rPr>
          <w:rStyle w:val="EndnoteReference"/>
          <w:lang w:eastAsia="en-AU"/>
        </w:rPr>
        <w:endnoteReference w:id="102"/>
      </w:r>
      <w:r w:rsidR="0005225E">
        <w:rPr>
          <w:lang w:eastAsia="en-AU"/>
        </w:rPr>
        <w:t xml:space="preserve"> </w:t>
      </w:r>
    </w:p>
    <w:p w14:paraId="6CAEDA08" w14:textId="77777777" w:rsidR="0073715E" w:rsidRDefault="002822BD" w:rsidP="00D20460">
      <w:pPr>
        <w:rPr>
          <w:lang w:eastAsia="en-AU"/>
        </w:rPr>
        <w:sectPr w:rsidR="0073715E" w:rsidSect="0073715E">
          <w:footerReference w:type="default" r:id="rId106"/>
          <w:endnotePr>
            <w:numFmt w:val="decimal"/>
          </w:endnotePr>
          <w:type w:val="continuous"/>
          <w:pgSz w:w="11907" w:h="16839" w:code="9"/>
          <w:pgMar w:top="1418" w:right="1418" w:bottom="1701" w:left="1559" w:header="720" w:footer="720" w:gutter="0"/>
          <w:cols w:space="720"/>
          <w:titlePg/>
          <w:docGrid w:linePitch="360"/>
        </w:sectPr>
      </w:pPr>
      <w:r w:rsidRPr="005360E0">
        <w:rPr>
          <w:lang w:eastAsia="en-AU"/>
        </w:rPr>
        <w:t>Often large OCs will hire an OC manager to deliver the maintenance plan.</w:t>
      </w:r>
      <w:r>
        <w:rPr>
          <w:rStyle w:val="EndnoteReference"/>
          <w:lang w:eastAsia="en-AU"/>
        </w:rPr>
        <w:endnoteReference w:id="103"/>
      </w:r>
      <w:r w:rsidRPr="005360E0">
        <w:rPr>
          <w:lang w:eastAsia="en-AU"/>
        </w:rPr>
        <w:t xml:space="preserve"> The OC manager is responsible for overseeing maintenance and repairs (including of ESMs</w:t>
      </w:r>
      <w:r>
        <w:rPr>
          <w:lang w:eastAsia="en-AU"/>
        </w:rPr>
        <w:t xml:space="preserve"> in shared spaces</w:t>
      </w:r>
      <w:r w:rsidRPr="005360E0">
        <w:rPr>
          <w:lang w:eastAsia="en-AU"/>
        </w:rPr>
        <w:t>);</w:t>
      </w:r>
      <w:r w:rsidR="00E958C4">
        <w:rPr>
          <w:lang w:eastAsia="en-AU"/>
        </w:rPr>
        <w:t xml:space="preserve"> managing the maintenance fund; and maintaining insurance. </w:t>
      </w:r>
      <w:r w:rsidR="00AF5C94" w:rsidRPr="005360E0">
        <w:rPr>
          <w:lang w:eastAsia="en-AU"/>
        </w:rPr>
        <w:t>OC managers must be registered with the Business Licensing Authority</w:t>
      </w:r>
      <w:r w:rsidR="004D41C9">
        <w:rPr>
          <w:lang w:eastAsia="en-AU"/>
        </w:rPr>
        <w:t xml:space="preserve"> (BLA</w:t>
      </w:r>
      <w:r w:rsidR="0096421C">
        <w:rPr>
          <w:lang w:eastAsia="en-AU"/>
        </w:rPr>
        <w:t>)</w:t>
      </w:r>
      <w:r w:rsidR="00AF5C94" w:rsidRPr="005360E0">
        <w:rPr>
          <w:lang w:eastAsia="en-AU"/>
        </w:rPr>
        <w:t>.</w:t>
      </w:r>
      <w:r w:rsidR="00AF5C94">
        <w:rPr>
          <w:rStyle w:val="EndnoteReference"/>
          <w:lang w:eastAsia="en-AU"/>
        </w:rPr>
        <w:endnoteReference w:id="104"/>
      </w:r>
      <w:r w:rsidR="00AF5C94">
        <w:rPr>
          <w:lang w:eastAsia="en-AU"/>
        </w:rPr>
        <w:t xml:space="preserve"> </w:t>
      </w:r>
    </w:p>
    <w:p w14:paraId="34726CAE" w14:textId="735FB1EB" w:rsidR="002822BD" w:rsidRDefault="002822BD" w:rsidP="00D20460">
      <w:pPr>
        <w:rPr>
          <w:lang w:eastAsia="en-AU"/>
        </w:rPr>
      </w:pPr>
    </w:p>
    <w:p w14:paraId="7E9FE201" w14:textId="40578DF8" w:rsidR="00AF5C94" w:rsidRPr="005360E0" w:rsidRDefault="00052370" w:rsidP="00D20460">
      <w:pPr>
        <w:rPr>
          <w:lang w:eastAsia="en-AU"/>
        </w:rPr>
      </w:pPr>
      <w:r>
        <w:rPr>
          <w:lang w:eastAsia="en-AU"/>
        </w:rPr>
        <w:lastRenderedPageBreak/>
        <w:t xml:space="preserve">The Owners Corporations Act has recently been subject to substantial reform which has sought to increase the rights of owners and increase accountability of developers and OC managers. </w:t>
      </w:r>
    </w:p>
    <w:p w14:paraId="02EADAFF" w14:textId="30FDC5DB" w:rsidR="002C25B5" w:rsidRDefault="002C25B5" w:rsidP="002C25B5">
      <w:pPr>
        <w:pStyle w:val="Heading2"/>
      </w:pPr>
      <w:bookmarkStart w:id="176" w:name="_Toc131428721"/>
      <w:bookmarkStart w:id="177" w:name="_Toc134352880"/>
      <w:bookmarkStart w:id="178" w:name="_Toc134356913"/>
      <w:r>
        <w:t>Key issues</w:t>
      </w:r>
      <w:bookmarkEnd w:id="176"/>
      <w:bookmarkEnd w:id="177"/>
      <w:bookmarkEnd w:id="178"/>
      <w:r>
        <w:t xml:space="preserve"> </w:t>
      </w:r>
    </w:p>
    <w:p w14:paraId="15DFD801" w14:textId="410DB184" w:rsidR="00BE06F5" w:rsidRDefault="005536A2" w:rsidP="00303D2E">
      <w:pPr>
        <w:rPr>
          <w:lang w:eastAsia="en-AU"/>
        </w:rPr>
      </w:pPr>
      <w:r w:rsidRPr="005360E0">
        <w:rPr>
          <w:lang w:eastAsia="en-AU"/>
        </w:rPr>
        <w:t xml:space="preserve">The Building Regulations currently rely on ESM maintenance as the key regulatory safeguard after building work is complete. Safety risks arise where ESMs are not appropriately maintained due to poor understanding of maintenance obligations and minimal compliance monitoring. </w:t>
      </w:r>
      <w:r w:rsidR="00BE06F5">
        <w:rPr>
          <w:lang w:eastAsia="en-AU"/>
        </w:rPr>
        <w:t>A</w:t>
      </w:r>
      <w:r w:rsidRPr="005360E0">
        <w:rPr>
          <w:lang w:eastAsia="en-AU"/>
        </w:rPr>
        <w:t xml:space="preserve">s buildings age, normal deterioration can cause health and safety risks to those who occupy and use them. ESM requirements specified in an occupancy permit may not remain applicable </w:t>
      </w:r>
      <w:r>
        <w:rPr>
          <w:lang w:eastAsia="en-AU"/>
        </w:rPr>
        <w:t>over time</w:t>
      </w:r>
      <w:r w:rsidR="00B80571">
        <w:rPr>
          <w:lang w:eastAsia="en-AU"/>
        </w:rPr>
        <w:t>,</w:t>
      </w:r>
      <w:r w:rsidRPr="005360E0">
        <w:rPr>
          <w:lang w:eastAsia="en-AU"/>
        </w:rPr>
        <w:t xml:space="preserve"> either through natural deterioration, significant events such as natural disasters or changes in </w:t>
      </w:r>
      <w:r w:rsidR="004E5E64">
        <w:rPr>
          <w:lang w:eastAsia="en-AU"/>
        </w:rPr>
        <w:t xml:space="preserve">the </w:t>
      </w:r>
      <w:r w:rsidRPr="005360E0">
        <w:rPr>
          <w:lang w:eastAsia="en-AU"/>
        </w:rPr>
        <w:t>use of buildings.</w:t>
      </w:r>
      <w:r w:rsidR="00303D2E">
        <w:rPr>
          <w:lang w:eastAsia="en-AU"/>
        </w:rPr>
        <w:t xml:space="preserve"> </w:t>
      </w:r>
    </w:p>
    <w:p w14:paraId="31479DBC" w14:textId="2B071464" w:rsidR="005536A2" w:rsidRDefault="00303D2E" w:rsidP="00303D2E">
      <w:pPr>
        <w:rPr>
          <w:lang w:eastAsia="en-AU"/>
        </w:rPr>
      </w:pPr>
      <w:r>
        <w:rPr>
          <w:lang w:eastAsia="en-AU"/>
        </w:rPr>
        <w:t xml:space="preserve">The Panel has identified </w:t>
      </w:r>
      <w:r w:rsidR="00297B91">
        <w:rPr>
          <w:lang w:eastAsia="en-AU"/>
        </w:rPr>
        <w:t>fives</w:t>
      </w:r>
      <w:r>
        <w:rPr>
          <w:lang w:eastAsia="en-AU"/>
        </w:rPr>
        <w:t xml:space="preserve"> issues below which contribute to poor oversight and maintenance of buildings post occupancy. These are described below. </w:t>
      </w:r>
    </w:p>
    <w:p w14:paraId="275B69D4" w14:textId="5E94906E" w:rsidR="004F59C5" w:rsidRDefault="004F59C5" w:rsidP="004F59C5">
      <w:pPr>
        <w:pStyle w:val="Heading4"/>
      </w:pPr>
      <w:r>
        <w:t>There are overlapping obligations in relation to ESMs and maintenance, particularly for OCs</w:t>
      </w:r>
    </w:p>
    <w:p w14:paraId="72FCA6CD" w14:textId="42AD3884" w:rsidR="00B06726" w:rsidRDefault="00520431" w:rsidP="00B06726">
      <w:pPr>
        <w:rPr>
          <w:lang w:eastAsia="en-AU"/>
        </w:rPr>
      </w:pPr>
      <w:r>
        <w:rPr>
          <w:lang w:eastAsia="en-AU"/>
        </w:rPr>
        <w:t xml:space="preserve">ESM maintenance </w:t>
      </w:r>
      <w:r w:rsidR="0048680D">
        <w:rPr>
          <w:lang w:eastAsia="en-AU"/>
        </w:rPr>
        <w:t>schedules</w:t>
      </w:r>
      <w:r>
        <w:rPr>
          <w:lang w:eastAsia="en-AU"/>
        </w:rPr>
        <w:t xml:space="preserve"> can be comple</w:t>
      </w:r>
      <w:r w:rsidR="002823B3">
        <w:rPr>
          <w:lang w:eastAsia="en-AU"/>
        </w:rPr>
        <w:t>x</w:t>
      </w:r>
      <w:r>
        <w:rPr>
          <w:lang w:eastAsia="en-AU"/>
        </w:rPr>
        <w:t xml:space="preserve"> and include a range of different safety requirements</w:t>
      </w:r>
      <w:r w:rsidR="00302C6F">
        <w:rPr>
          <w:lang w:eastAsia="en-AU"/>
        </w:rPr>
        <w:t>.</w:t>
      </w:r>
      <w:r w:rsidR="003179D9">
        <w:rPr>
          <w:lang w:eastAsia="en-AU"/>
        </w:rPr>
        <w:t xml:space="preserve"> </w:t>
      </w:r>
      <w:r w:rsidR="009749EE">
        <w:rPr>
          <w:lang w:eastAsia="en-AU"/>
        </w:rPr>
        <w:t>Failure to comply with ESM maintenance requirements can cause significant health and safety risks</w:t>
      </w:r>
      <w:r w:rsidR="00CC7722">
        <w:rPr>
          <w:lang w:eastAsia="en-AU"/>
        </w:rPr>
        <w:t>. T</w:t>
      </w:r>
      <w:r w:rsidR="003179D9">
        <w:rPr>
          <w:lang w:eastAsia="en-AU"/>
        </w:rPr>
        <w:t xml:space="preserve">he Neo200 apartment tower fire is an example where inadequate maintenance of ESMs by contractors led to substantial fire </w:t>
      </w:r>
      <w:r w:rsidR="00B30010" w:rsidRPr="005360E0">
        <w:rPr>
          <w:lang w:eastAsia="en-AU"/>
        </w:rPr>
        <w:t>damage.</w:t>
      </w:r>
      <w:r w:rsidR="00B30010">
        <w:rPr>
          <w:rStyle w:val="EndnoteReference"/>
          <w:lang w:eastAsia="en-AU"/>
        </w:rPr>
        <w:endnoteReference w:id="105"/>
      </w:r>
      <w:r w:rsidR="00EB15D9">
        <w:rPr>
          <w:lang w:eastAsia="en-AU"/>
        </w:rPr>
        <w:t xml:space="preserve"> Anecdotally, building owners often do not understand their obligations and how to discharge them</w:t>
      </w:r>
      <w:r w:rsidR="007E7A13">
        <w:rPr>
          <w:lang w:eastAsia="en-AU"/>
        </w:rPr>
        <w:t>. Regulatory entities i</w:t>
      </w:r>
      <w:r w:rsidR="00DD25B1">
        <w:rPr>
          <w:lang w:eastAsia="en-AU"/>
        </w:rPr>
        <w:t>n</w:t>
      </w:r>
      <w:r w:rsidR="007E7A13">
        <w:rPr>
          <w:lang w:eastAsia="en-AU"/>
        </w:rPr>
        <w:t xml:space="preserve"> the system also note ongoing concerns with compliance of ESMs</w:t>
      </w:r>
      <w:r w:rsidR="00EB15D9">
        <w:rPr>
          <w:lang w:eastAsia="en-AU"/>
        </w:rPr>
        <w:t>.</w:t>
      </w:r>
      <w:r w:rsidR="00A036D2">
        <w:rPr>
          <w:lang w:eastAsia="en-AU"/>
        </w:rPr>
        <w:t xml:space="preserve"> </w:t>
      </w:r>
    </w:p>
    <w:p w14:paraId="6003BA34" w14:textId="6E2B1E8B" w:rsidR="00B04E98" w:rsidRPr="00B06726" w:rsidRDefault="00A036D2" w:rsidP="00B06726">
      <w:pPr>
        <w:rPr>
          <w:lang w:eastAsia="en-AU"/>
        </w:rPr>
      </w:pPr>
      <w:r>
        <w:rPr>
          <w:lang w:eastAsia="en-AU"/>
        </w:rPr>
        <w:t xml:space="preserve">This is further complicated in apartment </w:t>
      </w:r>
      <w:r w:rsidR="004A10FD">
        <w:rPr>
          <w:lang w:eastAsia="en-AU"/>
        </w:rPr>
        <w:t xml:space="preserve">buildings where </w:t>
      </w:r>
      <w:r w:rsidR="00BD5B5B">
        <w:rPr>
          <w:lang w:eastAsia="en-AU"/>
        </w:rPr>
        <w:t>OC</w:t>
      </w:r>
      <w:r w:rsidR="00B06726">
        <w:rPr>
          <w:lang w:eastAsia="en-AU"/>
        </w:rPr>
        <w:t xml:space="preserve">s engage managers to maintain the property. In such cases, </w:t>
      </w:r>
      <w:r w:rsidR="00B04E98">
        <w:t xml:space="preserve">lot owners often assume the responsibility for </w:t>
      </w:r>
      <w:r w:rsidR="00751634" w:rsidRPr="005360E0">
        <w:t>maintenance shifts to the OC manager where</w:t>
      </w:r>
      <w:r w:rsidR="00C4766B">
        <w:t>,</w:t>
      </w:r>
      <w:r w:rsidR="00751634" w:rsidRPr="005360E0">
        <w:t xml:space="preserve"> in fact</w:t>
      </w:r>
      <w:r w:rsidR="00DF6C88">
        <w:t>,</w:t>
      </w:r>
      <w:r w:rsidR="00751634" w:rsidRPr="005360E0">
        <w:t xml:space="preserve"> </w:t>
      </w:r>
      <w:r w:rsidR="00751634" w:rsidRPr="005225BB">
        <w:t>the</w:t>
      </w:r>
      <w:r w:rsidR="00751634" w:rsidRPr="005360E0">
        <w:t xml:space="preserve"> owners </w:t>
      </w:r>
      <w:r w:rsidR="00751634" w:rsidRPr="005225BB">
        <w:t xml:space="preserve">of a building </w:t>
      </w:r>
      <w:r w:rsidR="00751634" w:rsidRPr="005360E0">
        <w:t>remain responsible for non-compliance with the ESM maintenance schedule</w:t>
      </w:r>
      <w:r w:rsidR="00751634" w:rsidRPr="005225BB">
        <w:t xml:space="preserve"> under the Building Regulations</w:t>
      </w:r>
      <w:r w:rsidR="00751634">
        <w:t>.</w:t>
      </w:r>
      <w:r w:rsidR="00A50553">
        <w:t xml:space="preserve"> Further, </w:t>
      </w:r>
      <w:r w:rsidR="00B76BB0">
        <w:t>there are no competency requirements for OC managers in relation to ESM maintenance or requirements to support owners to understand their obligations.</w:t>
      </w:r>
    </w:p>
    <w:p w14:paraId="4AE4B54C" w14:textId="528455A4" w:rsidR="00751634" w:rsidRDefault="00751634" w:rsidP="00751634">
      <w:pPr>
        <w:pStyle w:val="Heading4"/>
      </w:pPr>
      <w:r>
        <w:t>In practice, there is limited compliance monitoring of ESMs and maintenance requirements</w:t>
      </w:r>
    </w:p>
    <w:p w14:paraId="674B80EF" w14:textId="21EE2928" w:rsidR="00021858" w:rsidRDefault="00021858" w:rsidP="00021858">
      <w:pPr>
        <w:rPr>
          <w:lang w:eastAsia="en-AU"/>
        </w:rPr>
      </w:pPr>
      <w:r w:rsidRPr="005360E0">
        <w:rPr>
          <w:lang w:eastAsia="en-AU"/>
        </w:rPr>
        <w:t>MBSs and fire authorities are primarily responsible for monitoring and enforcing compliance of ESMs and maintenance requirements.</w:t>
      </w:r>
      <w:r w:rsidR="00DD25B1">
        <w:rPr>
          <w:lang w:eastAsia="en-AU"/>
        </w:rPr>
        <w:t xml:space="preserve"> The</w:t>
      </w:r>
      <w:r w:rsidR="00077E75">
        <w:rPr>
          <w:lang w:eastAsia="en-AU"/>
        </w:rPr>
        <w:t xml:space="preserve"> following reasons contribute to poor oversight of ESMs by the regulatory authorities: </w:t>
      </w:r>
    </w:p>
    <w:p w14:paraId="5E9DC590" w14:textId="77EF4DED" w:rsidR="00885F5C" w:rsidRDefault="00340D4B" w:rsidP="00340D4B">
      <w:pPr>
        <w:pStyle w:val="Bullet"/>
      </w:pPr>
      <w:r>
        <w:t xml:space="preserve">Local councils and fire authorities do not have sufficient resources to carry out quality inspections of the 800,000 buildings in Victoria with ESM maintenance </w:t>
      </w:r>
      <w:r w:rsidR="00314F81" w:rsidRPr="005360E0">
        <w:t>requirements.</w:t>
      </w:r>
      <w:r w:rsidR="00314F81">
        <w:rPr>
          <w:rStyle w:val="EndnoteReference"/>
        </w:rPr>
        <w:endnoteReference w:id="106"/>
      </w:r>
      <w:r w:rsidR="002D5E85">
        <w:t xml:space="preserve"> For example, </w:t>
      </w:r>
      <w:r w:rsidR="00DC36A7">
        <w:t xml:space="preserve">there are currently ten Fire Safety Inspectors (FSIs) operating across Victoria. Due to these resource constraints, </w:t>
      </w:r>
      <w:r w:rsidR="0063479E">
        <w:t>Fire Rescue Victoria</w:t>
      </w:r>
      <w:r w:rsidR="00DC36A7">
        <w:t xml:space="preserve"> </w:t>
      </w:r>
      <w:r w:rsidR="0063479E">
        <w:t>(</w:t>
      </w:r>
      <w:r w:rsidR="00DC36A7">
        <w:t>FRV</w:t>
      </w:r>
      <w:r w:rsidR="0063479E">
        <w:t>)</w:t>
      </w:r>
      <w:r w:rsidR="00DC36A7">
        <w:t xml:space="preserve"> can only inspect approximately 260 buildings per year</w:t>
      </w:r>
      <w:r w:rsidR="00D45DD5">
        <w:t>.</w:t>
      </w:r>
    </w:p>
    <w:p w14:paraId="63BE635D" w14:textId="4A277964" w:rsidR="00314F81" w:rsidRDefault="00314F81" w:rsidP="00340D4B">
      <w:pPr>
        <w:pStyle w:val="Bullet"/>
      </w:pPr>
      <w:r>
        <w:t>MBSs and fire authorities rely on maintenance records to be completed accurately for their inspections</w:t>
      </w:r>
      <w:r w:rsidR="007F2055">
        <w:t xml:space="preserve">. </w:t>
      </w:r>
      <w:r w:rsidR="00746453" w:rsidRPr="005360E0">
        <w:t xml:space="preserve">Certain ESMs, such as sprinkler systems, are difficult to properly test </w:t>
      </w:r>
      <w:r w:rsidR="00746453">
        <w:t>and require up</w:t>
      </w:r>
      <w:r w:rsidR="00574187">
        <w:t>-</w:t>
      </w:r>
      <w:r w:rsidR="00746453">
        <w:t>to</w:t>
      </w:r>
      <w:r w:rsidR="00574187">
        <w:t>-</w:t>
      </w:r>
      <w:r w:rsidR="00746453">
        <w:t xml:space="preserve">date reporting to effectively test. </w:t>
      </w:r>
      <w:r w:rsidR="00EB4540">
        <w:t xml:space="preserve">Records of ESM maintenance can differ substantially in quality and accuracy and often </w:t>
      </w:r>
      <w:r w:rsidR="006F0851" w:rsidRPr="005360E0">
        <w:t>fail to reflect upgrades to the property and ESMs. The lack of up-to-date information on building performance can affect the response of emergency services in case of an emergency</w:t>
      </w:r>
      <w:r w:rsidR="00D45DD5">
        <w:t>.</w:t>
      </w:r>
    </w:p>
    <w:p w14:paraId="7BAF6DDF" w14:textId="77777777" w:rsidR="0073715E" w:rsidRDefault="0003496D" w:rsidP="00972C9C">
      <w:pPr>
        <w:pStyle w:val="Bullet"/>
        <w:sectPr w:rsidR="0073715E" w:rsidSect="0073715E">
          <w:footerReference w:type="default" r:id="rId107"/>
          <w:endnotePr>
            <w:numFmt w:val="decimal"/>
          </w:endnotePr>
          <w:type w:val="continuous"/>
          <w:pgSz w:w="11907" w:h="16839" w:code="9"/>
          <w:pgMar w:top="1418" w:right="1418" w:bottom="1701" w:left="1559" w:header="720" w:footer="720" w:gutter="0"/>
          <w:cols w:space="720"/>
          <w:titlePg/>
          <w:docGrid w:linePitch="360"/>
        </w:sectPr>
      </w:pPr>
      <w:r>
        <w:t>There are different maintenance obligations for buildings constructed before the introduction of ESM requirements</w:t>
      </w:r>
      <w:r w:rsidR="004C442B">
        <w:t xml:space="preserve"> with amendments to the Regulations in July 199</w:t>
      </w:r>
      <w:r w:rsidR="003E27EC">
        <w:t>4</w:t>
      </w:r>
      <w:r w:rsidR="002A6ADC">
        <w:t>.</w:t>
      </w:r>
      <w:r w:rsidR="002A6ADC">
        <w:rPr>
          <w:rStyle w:val="EndnoteReference"/>
        </w:rPr>
        <w:endnoteReference w:id="107"/>
      </w:r>
    </w:p>
    <w:p w14:paraId="11AD979E" w14:textId="1416FFDF" w:rsidR="008542EA" w:rsidRDefault="00972C9C" w:rsidP="00972C9C">
      <w:pPr>
        <w:pStyle w:val="Bullet"/>
      </w:pPr>
      <w:r w:rsidRPr="005360E0">
        <w:lastRenderedPageBreak/>
        <w:t>As such, installed ESMs may not be appropriate and maintenance obligations of existing</w:t>
      </w:r>
      <w:r w:rsidR="00B8664D">
        <w:t xml:space="preserve"> ESMs may be unclear</w:t>
      </w:r>
      <w:r w:rsidR="00D45DD5">
        <w:t>.</w:t>
      </w:r>
    </w:p>
    <w:p w14:paraId="4E7CB873" w14:textId="69520C14" w:rsidR="00F75C12" w:rsidRDefault="008542EA" w:rsidP="00972C9C">
      <w:pPr>
        <w:pStyle w:val="Bullet"/>
      </w:pPr>
      <w:r>
        <w:t>There is little oversight by the regulatory authorities on ESM maintenance and whether obligations are being met. For example, while MBSs and fire authorities can request annual ESM reports, there is no requirement in the Regulations for owners to periodically provide these.</w:t>
      </w:r>
      <w:r w:rsidR="00972C9C">
        <w:t xml:space="preserve"> </w:t>
      </w:r>
      <w:r>
        <w:t xml:space="preserve">Stakeholders note systemic non-compliance by owners and OCs in completing annual ESM reports and </w:t>
      </w:r>
      <w:r w:rsidR="00F82278">
        <w:t xml:space="preserve">compliance checks. </w:t>
      </w:r>
    </w:p>
    <w:p w14:paraId="3D2FAC0B" w14:textId="6B6A6DAE" w:rsidR="002A6ADC" w:rsidRDefault="002A6ADC" w:rsidP="002A6ADC">
      <w:pPr>
        <w:pStyle w:val="Heading4"/>
      </w:pPr>
      <w:r>
        <w:t>ESMs and maintenance requirements for buildings are largely determined at the point of occupancy and may not be flexible to changing circumstances</w:t>
      </w:r>
    </w:p>
    <w:p w14:paraId="7E0FD3F2" w14:textId="3031FCFF" w:rsidR="002A6ADC" w:rsidRDefault="00B64778" w:rsidP="002A6ADC">
      <w:pPr>
        <w:rPr>
          <w:lang w:eastAsia="en-AU"/>
        </w:rPr>
      </w:pPr>
      <w:r>
        <w:rPr>
          <w:lang w:eastAsia="en-AU"/>
        </w:rPr>
        <w:t>General enforcement provisions in the Building Act allow for the MBS (or the PBS on the MBS’ behalf) to review any risk to the life, safety, or health of any occupan</w:t>
      </w:r>
      <w:r w:rsidR="00204A34">
        <w:rPr>
          <w:lang w:eastAsia="en-AU"/>
        </w:rPr>
        <w:t>t</w:t>
      </w:r>
      <w:r>
        <w:rPr>
          <w:lang w:eastAsia="en-AU"/>
        </w:rPr>
        <w:t xml:space="preserve"> in a building.</w:t>
      </w:r>
      <w:r w:rsidR="005761F2">
        <w:rPr>
          <w:rStyle w:val="EndnoteReference"/>
          <w:lang w:eastAsia="en-AU"/>
        </w:rPr>
        <w:endnoteReference w:id="108"/>
      </w:r>
      <w:r w:rsidR="006E39F7" w:rsidRPr="006E39F7">
        <w:rPr>
          <w:lang w:eastAsia="en-AU"/>
        </w:rPr>
        <w:t xml:space="preserve"> </w:t>
      </w:r>
      <w:r w:rsidR="006E39F7" w:rsidRPr="005360E0">
        <w:rPr>
          <w:lang w:eastAsia="en-AU"/>
        </w:rPr>
        <w:t>This includes upgrading ESMs of older buildings to current standards and practices where necessary to protect occupants, including where new hazards and risks have emerged or new technologies are available.</w:t>
      </w:r>
      <w:r w:rsidR="006E39F7">
        <w:rPr>
          <w:rStyle w:val="EndnoteReference"/>
          <w:lang w:eastAsia="en-AU"/>
        </w:rPr>
        <w:endnoteReference w:id="109"/>
      </w:r>
      <w:r w:rsidR="006E39F7" w:rsidRPr="005360E0">
        <w:rPr>
          <w:lang w:eastAsia="en-AU"/>
        </w:rPr>
        <w:t xml:space="preserve"> ESM requirements will also be reviewed and amended if the class or use of the building changes. Building owners (including OCs) are required to provide annual ESM reports and confirm th</w:t>
      </w:r>
      <w:r w:rsidR="006E39F7">
        <w:rPr>
          <w:lang w:eastAsia="en-AU"/>
        </w:rPr>
        <w:t>at</w:t>
      </w:r>
      <w:r w:rsidR="006E39F7" w:rsidRPr="005360E0">
        <w:rPr>
          <w:lang w:eastAsia="en-AU"/>
        </w:rPr>
        <w:t xml:space="preserve"> ESMs are maintained appropriately.</w:t>
      </w:r>
    </w:p>
    <w:p w14:paraId="59E56BE7" w14:textId="27D2A9AE" w:rsidR="00297B91" w:rsidRDefault="006E39F7" w:rsidP="00161D35">
      <w:pPr>
        <w:rPr>
          <w:lang w:eastAsia="en-AU"/>
        </w:rPr>
      </w:pPr>
      <w:r>
        <w:rPr>
          <w:lang w:eastAsia="en-AU"/>
        </w:rPr>
        <w:t xml:space="preserve">These reports only focus on demonstrating the compliance of ESMs, not whether the maintenance schedule remains fit for purpose against changing circumstances. This is likely to be an increasingly significant issue given the environmental effects of climate change, for example </w:t>
      </w:r>
      <w:r w:rsidR="001C1FEA">
        <w:rPr>
          <w:lang w:eastAsia="en-AU"/>
        </w:rPr>
        <w:t xml:space="preserve">greater severity and frequency of natural disasters. Improving the </w:t>
      </w:r>
      <w:r w:rsidR="005E41D9">
        <w:rPr>
          <w:lang w:eastAsia="en-AU"/>
        </w:rPr>
        <w:t>adaptability of the building environment in response to climate impacts is</w:t>
      </w:r>
      <w:r w:rsidR="00F234A6">
        <w:rPr>
          <w:lang w:eastAsia="en-AU"/>
        </w:rPr>
        <w:t xml:space="preserve"> the focus of the Victorian Governments’ Built Environment Action Plan</w:t>
      </w:r>
      <w:r w:rsidR="008860FC">
        <w:rPr>
          <w:lang w:eastAsia="en-AU"/>
        </w:rPr>
        <w:t xml:space="preserve">. </w:t>
      </w:r>
      <w:r w:rsidR="00F234A6">
        <w:rPr>
          <w:lang w:eastAsia="en-AU"/>
        </w:rPr>
        <w:t xml:space="preserve">The Panel is cognisant of </w:t>
      </w:r>
      <w:r w:rsidR="00FC2EF3">
        <w:rPr>
          <w:lang w:eastAsia="en-AU"/>
        </w:rPr>
        <w:t>such reforms and recognises the need for improvement</w:t>
      </w:r>
      <w:r w:rsidR="00161D35">
        <w:rPr>
          <w:lang w:eastAsia="en-AU"/>
        </w:rPr>
        <w:t xml:space="preserve"> in these areas.</w:t>
      </w:r>
    </w:p>
    <w:p w14:paraId="5DB9C980" w14:textId="12BE268A" w:rsidR="00E767C8" w:rsidRDefault="00E767C8" w:rsidP="00E767C8">
      <w:pPr>
        <w:pStyle w:val="Heading4"/>
      </w:pPr>
      <w:r>
        <w:t xml:space="preserve">The plumbing </w:t>
      </w:r>
      <w:r w:rsidR="0043723E">
        <w:t>legislative framework</w:t>
      </w:r>
      <w:r>
        <w:t xml:space="preserve"> may no</w:t>
      </w:r>
      <w:r w:rsidR="00125C2B">
        <w:t xml:space="preserve"> </w:t>
      </w:r>
      <w:r>
        <w:t>longer be fit for purpose</w:t>
      </w:r>
    </w:p>
    <w:p w14:paraId="00C782E3" w14:textId="40BCB911" w:rsidR="007D5D74" w:rsidRPr="007D5D74" w:rsidRDefault="0043723E" w:rsidP="007D5D74">
      <w:pPr>
        <w:rPr>
          <w:lang w:eastAsia="en-AU"/>
        </w:rPr>
      </w:pPr>
      <w:r>
        <w:rPr>
          <w:lang w:eastAsia="en-AU"/>
        </w:rPr>
        <w:t>The</w:t>
      </w:r>
      <w:r w:rsidR="00BA53C1">
        <w:rPr>
          <w:lang w:eastAsia="en-AU"/>
        </w:rPr>
        <w:t xml:space="preserve"> growth of more complex plumbing systems, prefabricated bathroom and kitchen modules and the use of new plumbing products and technology present challenges for the sector and regulators to ensure that plumbing work is safe and fit for purpose.</w:t>
      </w:r>
      <w:r w:rsidR="004A5CBE">
        <w:rPr>
          <w:lang w:eastAsia="en-AU"/>
        </w:rPr>
        <w:t xml:space="preserve"> The Panel has identified three key issues:</w:t>
      </w:r>
    </w:p>
    <w:p w14:paraId="7E5C5DA6" w14:textId="1238632D" w:rsidR="009348B6" w:rsidRDefault="00297B91" w:rsidP="00E767C8">
      <w:pPr>
        <w:pStyle w:val="Heading5"/>
      </w:pPr>
      <w:r>
        <w:t>The regulatory framework is</w:t>
      </w:r>
      <w:r w:rsidR="00C517CC">
        <w:t xml:space="preserve"> </w:t>
      </w:r>
      <w:r>
        <w:t>not equipped to address the growth of complex plumbing systems</w:t>
      </w:r>
      <w:r w:rsidR="006F2C70">
        <w:t xml:space="preserve"> </w:t>
      </w:r>
    </w:p>
    <w:p w14:paraId="3881B1C0" w14:textId="307FC550" w:rsidR="009348B6" w:rsidRDefault="009348B6" w:rsidP="009348B6">
      <w:pPr>
        <w:rPr>
          <w:lang w:eastAsia="en-AU"/>
        </w:rPr>
      </w:pPr>
      <w:r w:rsidRPr="00803EA4">
        <w:rPr>
          <w:lang w:eastAsia="en-AU"/>
        </w:rPr>
        <w:t>Compared to plumbing systems used in single-storey building or homes, those used in multi-storey residential buildings and non-residential settings – such as schools, hospitals and shopping centres – are sophisticated and complex to design and install. Due to their technical nature, these systems can present serious health and safety risks to building occupants if inappropriately designed or installed.</w:t>
      </w:r>
    </w:p>
    <w:p w14:paraId="30C16129" w14:textId="5213069D" w:rsidR="009348B6" w:rsidRDefault="009348B6" w:rsidP="009348B6">
      <w:pPr>
        <w:rPr>
          <w:lang w:eastAsia="en-AU"/>
        </w:rPr>
      </w:pPr>
      <w:r>
        <w:rPr>
          <w:lang w:eastAsia="en-AU"/>
        </w:rPr>
        <w:t>Currently, the Building Act and Plumbing Regulations do not distinguish between complex and non-complex plumbing work and the same regulatory requirements broadly apply to all plumbing work. Stakeholders suggest that this approach is no longer appropriate and that there are inadequate regulatory controls to oversee the design and installation of complex plumbing work.</w:t>
      </w:r>
      <w:r w:rsidR="00F35F73">
        <w:rPr>
          <w:lang w:eastAsia="en-AU"/>
        </w:rPr>
        <w:t xml:space="preserve"> S</w:t>
      </w:r>
      <w:r w:rsidR="002213DE">
        <w:rPr>
          <w:lang w:eastAsia="en-AU"/>
        </w:rPr>
        <w:t xml:space="preserve">pecific issues are: </w:t>
      </w:r>
    </w:p>
    <w:p w14:paraId="735F4C34" w14:textId="57F580B3" w:rsidR="00F35F73" w:rsidRDefault="00F35F73" w:rsidP="00F35F73">
      <w:pPr>
        <w:pStyle w:val="Bullet"/>
      </w:pPr>
      <w:r>
        <w:rPr>
          <w:b/>
          <w:bCs/>
        </w:rPr>
        <w:t xml:space="preserve">All licensed plumbers can certify </w:t>
      </w:r>
      <w:r w:rsidR="00D11DDE">
        <w:rPr>
          <w:b/>
          <w:bCs/>
        </w:rPr>
        <w:t xml:space="preserve">complex plumbing systems, despite no additional training or qualifications. </w:t>
      </w:r>
      <w:r w:rsidR="00C517CC">
        <w:t>While some licensed plumbers are suitably experienced to prepare design</w:t>
      </w:r>
      <w:r w:rsidR="00317EF5">
        <w:t>s</w:t>
      </w:r>
      <w:r w:rsidR="00C517CC">
        <w:t>, or assess compliance of complex plumbing designs, including multi-storey plumbing and drainage systems, others may not be</w:t>
      </w:r>
      <w:r w:rsidR="003020A1">
        <w:t>.</w:t>
      </w:r>
      <w:r w:rsidR="003020A1" w:rsidRPr="003020A1">
        <w:rPr>
          <w:rStyle w:val="CommentReference"/>
        </w:rPr>
        <w:t xml:space="preserve"> </w:t>
      </w:r>
      <w:r w:rsidR="003020A1">
        <w:rPr>
          <w:rStyle w:val="EndnoteReference"/>
        </w:rPr>
        <w:endnoteReference w:id="110"/>
      </w:r>
    </w:p>
    <w:p w14:paraId="5162CB3A" w14:textId="4351123F" w:rsidR="0073715E" w:rsidRDefault="003020A1" w:rsidP="00F35F73">
      <w:pPr>
        <w:pStyle w:val="Bullet"/>
        <w:sectPr w:rsidR="0073715E" w:rsidSect="0073715E">
          <w:footerReference w:type="first" r:id="rId108"/>
          <w:endnotePr>
            <w:numFmt w:val="decimal"/>
          </w:endnotePr>
          <w:type w:val="continuous"/>
          <w:pgSz w:w="11907" w:h="16839" w:code="9"/>
          <w:pgMar w:top="1418" w:right="1418" w:bottom="1701" w:left="1559" w:header="720" w:footer="720" w:gutter="0"/>
          <w:cols w:space="720"/>
          <w:titlePg/>
          <w:docGrid w:linePitch="360"/>
        </w:sectPr>
      </w:pPr>
      <w:r>
        <w:rPr>
          <w:b/>
          <w:bCs/>
        </w:rPr>
        <w:t>Complex plumbing systems are often designed by hydraulic engineers who are not required to be registered or licensed.</w:t>
      </w:r>
      <w:r w:rsidR="00AD1BEF" w:rsidRPr="00AD1BEF">
        <w:t xml:space="preserve"> </w:t>
      </w:r>
      <w:r w:rsidR="00AD1BEF" w:rsidRPr="00803EA4">
        <w:t xml:space="preserve">Where issues arise that are the fault of poor design, liability for non-compliance rests solely with the licensed plumber who </w:t>
      </w:r>
      <w:r w:rsidR="00865FEC">
        <w:t>provided</w:t>
      </w:r>
      <w:r w:rsidR="00AD1BEF" w:rsidRPr="00803EA4">
        <w:t xml:space="preserve"> the </w:t>
      </w:r>
      <w:r w:rsidR="00AD1BEF">
        <w:t>compliance certificate</w:t>
      </w:r>
      <w:r w:rsidR="005C2F1A">
        <w:t>.</w:t>
      </w:r>
    </w:p>
    <w:p w14:paraId="0E0EBD3A" w14:textId="0C65C345" w:rsidR="003020A1" w:rsidRPr="00803EA4" w:rsidRDefault="003020A1" w:rsidP="005C2F1A">
      <w:pPr>
        <w:pStyle w:val="Bullet"/>
        <w:numPr>
          <w:ilvl w:val="0"/>
          <w:numId w:val="0"/>
        </w:numPr>
      </w:pPr>
    </w:p>
    <w:p w14:paraId="1E020D45" w14:textId="63E61557" w:rsidR="00917115" w:rsidRDefault="00AD1BEF" w:rsidP="00E767C8">
      <w:pPr>
        <w:pStyle w:val="Heading5"/>
      </w:pPr>
      <w:r>
        <w:t>The regulat</w:t>
      </w:r>
      <w:r w:rsidR="00D01FD9">
        <w:t>ion of</w:t>
      </w:r>
      <w:r>
        <w:t xml:space="preserve"> prefabricated plumbing work is unclear</w:t>
      </w:r>
      <w:r w:rsidR="00AB156C">
        <w:t xml:space="preserve"> and may place undue liability on plumbers</w:t>
      </w:r>
    </w:p>
    <w:p w14:paraId="3BD1E1E5" w14:textId="2C4965F8" w:rsidR="002737E8" w:rsidRDefault="002737E8" w:rsidP="002737E8">
      <w:pPr>
        <w:rPr>
          <w:lang w:eastAsia="en-AU"/>
        </w:rPr>
      </w:pPr>
      <w:r w:rsidRPr="00803EA4">
        <w:rPr>
          <w:lang w:eastAsia="en-AU"/>
        </w:rPr>
        <w:t xml:space="preserve">In 2016, the VBA </w:t>
      </w:r>
      <w:r>
        <w:rPr>
          <w:lang w:eastAsia="en-AU"/>
        </w:rPr>
        <w:t>published a fact sheet providing guidance on the regulatory requirements for the off-site construction of</w:t>
      </w:r>
      <w:r w:rsidRPr="00803EA4">
        <w:rPr>
          <w:lang w:eastAsia="en-AU"/>
        </w:rPr>
        <w:t xml:space="preserve"> prefabricated plumbing systems. </w:t>
      </w:r>
      <w:r>
        <w:rPr>
          <w:lang w:eastAsia="en-AU"/>
        </w:rPr>
        <w:t>The fact sheet outlines that o</w:t>
      </w:r>
      <w:r w:rsidRPr="00803EA4">
        <w:rPr>
          <w:lang w:eastAsia="en-AU"/>
        </w:rPr>
        <w:t xml:space="preserve">ff-site construction of plumbing systems can be classified as </w:t>
      </w:r>
      <w:r w:rsidRPr="00317EF5">
        <w:rPr>
          <w:lang w:eastAsia="en-AU"/>
        </w:rPr>
        <w:t>either</w:t>
      </w:r>
      <w:r w:rsidRPr="00CC39AE">
        <w:rPr>
          <w:lang w:eastAsia="en-AU"/>
        </w:rPr>
        <w:t xml:space="preserve"> </w:t>
      </w:r>
      <w:r w:rsidR="00CC39AE" w:rsidRPr="00CC39AE">
        <w:rPr>
          <w:lang w:eastAsia="en-AU"/>
        </w:rPr>
        <w:t>‘</w:t>
      </w:r>
      <w:r w:rsidRPr="00CC39AE">
        <w:rPr>
          <w:lang w:eastAsia="en-AU"/>
        </w:rPr>
        <w:t>regulated plumbing work</w:t>
      </w:r>
      <w:r w:rsidR="00CC39AE" w:rsidRPr="00CC39AE">
        <w:rPr>
          <w:lang w:eastAsia="en-AU"/>
        </w:rPr>
        <w:t>’</w:t>
      </w:r>
      <w:r w:rsidRPr="00803EA4">
        <w:rPr>
          <w:lang w:eastAsia="en-AU"/>
        </w:rPr>
        <w:t xml:space="preserve"> (if carried out in Victoria), or as </w:t>
      </w:r>
      <w:r w:rsidR="00CC39AE" w:rsidRPr="00CC39AE">
        <w:rPr>
          <w:lang w:eastAsia="en-AU"/>
        </w:rPr>
        <w:t>‘</w:t>
      </w:r>
      <w:r w:rsidRPr="00CC39AE">
        <w:rPr>
          <w:lang w:eastAsia="en-AU"/>
        </w:rPr>
        <w:t>work involved in the construction of a plumbing product</w:t>
      </w:r>
      <w:r w:rsidRPr="00803EA4">
        <w:rPr>
          <w:lang w:eastAsia="en-AU"/>
        </w:rPr>
        <w:t>.</w:t>
      </w:r>
      <w:r w:rsidR="00CC39AE" w:rsidRPr="00CC39AE">
        <w:rPr>
          <w:lang w:eastAsia="en-AU"/>
        </w:rPr>
        <w:t>’</w:t>
      </w:r>
      <w:r w:rsidRPr="00803EA4">
        <w:rPr>
          <w:lang w:eastAsia="en-AU"/>
        </w:rPr>
        <w:t xml:space="preserve"> The relevant licensed plumber is responsible for determining how the work is classified and ensuring it complies with </w:t>
      </w:r>
      <w:r w:rsidR="009B2D78">
        <w:rPr>
          <w:lang w:eastAsia="en-AU"/>
        </w:rPr>
        <w:t xml:space="preserve">the plumbing laws. </w:t>
      </w:r>
    </w:p>
    <w:p w14:paraId="7DD3EFAB" w14:textId="0183267E" w:rsidR="002737E8" w:rsidRPr="00803EA4" w:rsidRDefault="002737E8" w:rsidP="002737E8">
      <w:pPr>
        <w:rPr>
          <w:lang w:eastAsia="en-AU"/>
        </w:rPr>
      </w:pPr>
      <w:r>
        <w:rPr>
          <w:lang w:eastAsia="en-AU"/>
        </w:rPr>
        <w:t xml:space="preserve">In late 2016, the ABCB published a Notice of Direction providing similar guidance in relation to prefabricated plumbing modules. </w:t>
      </w:r>
      <w:r w:rsidRPr="00803EA4">
        <w:rPr>
          <w:lang w:eastAsia="en-AU"/>
        </w:rPr>
        <w:t xml:space="preserve">These two </w:t>
      </w:r>
      <w:r>
        <w:rPr>
          <w:lang w:eastAsia="en-AU"/>
        </w:rPr>
        <w:t>compliance pathways</w:t>
      </w:r>
      <w:r w:rsidRPr="00803EA4">
        <w:rPr>
          <w:lang w:eastAsia="en-AU"/>
        </w:rPr>
        <w:t xml:space="preserve"> involve</w:t>
      </w:r>
      <w:r>
        <w:rPr>
          <w:lang w:eastAsia="en-AU"/>
        </w:rPr>
        <w:t xml:space="preserve"> substantially</w:t>
      </w:r>
      <w:r w:rsidRPr="00803EA4">
        <w:rPr>
          <w:lang w:eastAsia="en-AU"/>
        </w:rPr>
        <w:t xml:space="preserve"> different processes and regulatory safeguards: </w:t>
      </w:r>
    </w:p>
    <w:p w14:paraId="469E7F63" w14:textId="650E83F6" w:rsidR="002737E8" w:rsidRPr="00803EA4" w:rsidRDefault="002737E8" w:rsidP="002737E8">
      <w:pPr>
        <w:pStyle w:val="Bullet"/>
        <w:numPr>
          <w:ilvl w:val="0"/>
          <w:numId w:val="3"/>
        </w:numPr>
      </w:pPr>
      <w:r w:rsidRPr="00EC219D">
        <w:rPr>
          <w:b/>
          <w:bCs/>
        </w:rPr>
        <w:t>Regulat</w:t>
      </w:r>
      <w:r>
        <w:rPr>
          <w:b/>
          <w:bCs/>
        </w:rPr>
        <w:t>ed</w:t>
      </w:r>
      <w:r w:rsidRPr="00EC219D">
        <w:rPr>
          <w:b/>
          <w:bCs/>
        </w:rPr>
        <w:t xml:space="preserve"> plumbing work</w:t>
      </w:r>
      <w:r>
        <w:t>.</w:t>
      </w:r>
      <w:r w:rsidRPr="00803EA4">
        <w:t xml:space="preserve"> Prefabricated plumbing systems </w:t>
      </w:r>
      <w:r w:rsidR="00D02753">
        <w:t>defined</w:t>
      </w:r>
      <w:r w:rsidRPr="00803EA4">
        <w:t xml:space="preserve"> as regulated plumbing work must be carried out by a registered or licensed plumber. All products and materials used in the work must be fit for purpose</w:t>
      </w:r>
      <w:r>
        <w:t xml:space="preserve">, including </w:t>
      </w:r>
      <w:r w:rsidR="00E61620">
        <w:t xml:space="preserve">a </w:t>
      </w:r>
      <w:r w:rsidRPr="00803EA4">
        <w:t xml:space="preserve">WaterMark </w:t>
      </w:r>
      <w:r>
        <w:t>certification where required</w:t>
      </w:r>
      <w:r w:rsidR="009B7789">
        <w:t>. A</w:t>
      </w:r>
      <w:r w:rsidRPr="00803EA4">
        <w:t xml:space="preserve"> compliance certificate must be issued at the completion of the work by a licensed plumber.</w:t>
      </w:r>
    </w:p>
    <w:p w14:paraId="4989D401" w14:textId="1C2E0F23" w:rsidR="002737E8" w:rsidRPr="00803EA4" w:rsidRDefault="002737E8" w:rsidP="002737E8">
      <w:pPr>
        <w:pStyle w:val="Bullet"/>
        <w:numPr>
          <w:ilvl w:val="0"/>
          <w:numId w:val="3"/>
        </w:numPr>
      </w:pPr>
      <w:r w:rsidRPr="00EC219D">
        <w:rPr>
          <w:b/>
          <w:bCs/>
        </w:rPr>
        <w:t>Work involved in the construction of a plumbing product</w:t>
      </w:r>
      <w:r>
        <w:t>.</w:t>
      </w:r>
      <w:r w:rsidRPr="00803EA4">
        <w:t xml:space="preserve"> </w:t>
      </w:r>
      <w:r w:rsidR="00D02753">
        <w:t xml:space="preserve">Prefabricated plumbing systems </w:t>
      </w:r>
      <w:r w:rsidR="00E61620">
        <w:t xml:space="preserve">– </w:t>
      </w:r>
      <w:r w:rsidR="00D02753">
        <w:t>defined</w:t>
      </w:r>
      <w:r>
        <w:t xml:space="preserve"> </w:t>
      </w:r>
      <w:r w:rsidRPr="00803EA4">
        <w:t>as a plumbing product</w:t>
      </w:r>
      <w:r w:rsidR="00E61620">
        <w:t xml:space="preserve"> –</w:t>
      </w:r>
      <w:r w:rsidRPr="00803EA4">
        <w:t xml:space="preserve"> </w:t>
      </w:r>
      <w:r w:rsidR="004747C5">
        <w:t xml:space="preserve">require </w:t>
      </w:r>
      <w:r w:rsidR="001353B5">
        <w:t>a</w:t>
      </w:r>
      <w:r>
        <w:t xml:space="preserve"> licensed plumber </w:t>
      </w:r>
      <w:r w:rsidR="001353B5">
        <w:t>to cert</w:t>
      </w:r>
      <w:r w:rsidR="005F0DD1">
        <w:t>ify</w:t>
      </w:r>
      <w:r>
        <w:t xml:space="preserve"> compliance in respect to the onsite installation of the system. </w:t>
      </w:r>
    </w:p>
    <w:p w14:paraId="4796F870" w14:textId="1270B1B0" w:rsidR="002737E8" w:rsidRPr="00803EA4" w:rsidRDefault="002737E8" w:rsidP="002737E8">
      <w:pPr>
        <w:rPr>
          <w:lang w:eastAsia="en-AU"/>
        </w:rPr>
      </w:pPr>
      <w:r>
        <w:rPr>
          <w:lang w:eastAsia="en-AU"/>
        </w:rPr>
        <w:t>Some s</w:t>
      </w:r>
      <w:r w:rsidRPr="00803EA4">
        <w:rPr>
          <w:lang w:eastAsia="en-AU"/>
        </w:rPr>
        <w:t xml:space="preserve">takeholders </w:t>
      </w:r>
      <w:r w:rsidR="00E96A5F">
        <w:rPr>
          <w:lang w:eastAsia="en-AU"/>
        </w:rPr>
        <w:t>note</w:t>
      </w:r>
      <w:r w:rsidRPr="00803EA4">
        <w:rPr>
          <w:lang w:eastAsia="en-AU"/>
        </w:rPr>
        <w:t xml:space="preserve"> approach </w:t>
      </w:r>
      <w:r w:rsidR="009D24EE">
        <w:rPr>
          <w:lang w:eastAsia="en-AU"/>
        </w:rPr>
        <w:t xml:space="preserve">to define </w:t>
      </w:r>
      <w:r w:rsidR="00317EF5">
        <w:rPr>
          <w:lang w:eastAsia="en-AU"/>
        </w:rPr>
        <w:t>prefabricated</w:t>
      </w:r>
      <w:r w:rsidR="009D24EE">
        <w:rPr>
          <w:lang w:eastAsia="en-AU"/>
        </w:rPr>
        <w:t xml:space="preserve"> plumbing work as a plumbing product </w:t>
      </w:r>
      <w:r w:rsidRPr="00803EA4">
        <w:rPr>
          <w:lang w:eastAsia="en-AU"/>
        </w:rPr>
        <w:t>can lead to inappropriate concentration of liability and risk on the plumber installing the system. This is because the plumber generally only makes the connections leading to and from the prefabricated system. Any failure of a plumbing product lies with the manufacturer to resolve, but some stakeholders believe that blurring the line between prefabricated plumbing work and products may result in plumbers being blamed for defective work that is the fault of the product manufacturer.</w:t>
      </w:r>
    </w:p>
    <w:p w14:paraId="05C5C4DF" w14:textId="59293E3E" w:rsidR="002737E8" w:rsidRDefault="005E0B20" w:rsidP="002737E8">
      <w:pPr>
        <w:rPr>
          <w:lang w:eastAsia="en-AU"/>
        </w:rPr>
      </w:pPr>
      <w:r>
        <w:rPr>
          <w:lang w:eastAsia="en-AU"/>
        </w:rPr>
        <w:t>S</w:t>
      </w:r>
      <w:r w:rsidR="002737E8" w:rsidRPr="00803EA4">
        <w:rPr>
          <w:lang w:eastAsia="en-AU"/>
        </w:rPr>
        <w:t>takeholders argue that as the distinction between prefabricated plumbing products and plumbing work becomes less clear, it may be more difficult to objectively establish the source of non-compliance for prefabricated systems. This can limit the ability for consumers to obtain adequate and timely recourse for non-compliant work.</w:t>
      </w:r>
    </w:p>
    <w:p w14:paraId="62567C7F" w14:textId="547E4498" w:rsidR="007D5D74" w:rsidRPr="00803EA4" w:rsidRDefault="005E0B20" w:rsidP="007D5D74">
      <w:pPr>
        <w:pStyle w:val="Heading5"/>
      </w:pPr>
      <w:r>
        <w:t>The p</w:t>
      </w:r>
      <w:r w:rsidR="00603D6C">
        <w:t>lumbing certification process may</w:t>
      </w:r>
      <w:r w:rsidR="007D5D74">
        <w:t xml:space="preserve"> not effectively </w:t>
      </w:r>
      <w:r w:rsidR="00603D6C">
        <w:t>regulate</w:t>
      </w:r>
      <w:r w:rsidR="007D5D74">
        <w:t xml:space="preserve"> plumbing products</w:t>
      </w:r>
      <w:r w:rsidR="00603D6C">
        <w:t xml:space="preserve"> </w:t>
      </w:r>
    </w:p>
    <w:p w14:paraId="55031490" w14:textId="6AA08F65" w:rsidR="00E06DEE" w:rsidRDefault="00E06DEE" w:rsidP="000E73A7">
      <w:pPr>
        <w:rPr>
          <w:lang w:eastAsia="en-AU"/>
        </w:rPr>
      </w:pPr>
      <w:r>
        <w:rPr>
          <w:lang w:eastAsia="en-AU"/>
        </w:rPr>
        <w:t xml:space="preserve">Since </w:t>
      </w:r>
      <w:r w:rsidR="00603D6C">
        <w:rPr>
          <w:lang w:eastAsia="en-AU"/>
        </w:rPr>
        <w:t>WaterMark</w:t>
      </w:r>
      <w:r>
        <w:rPr>
          <w:lang w:eastAsia="en-AU"/>
        </w:rPr>
        <w:t xml:space="preserve"> began cer</w:t>
      </w:r>
      <w:r w:rsidR="00EF3935">
        <w:rPr>
          <w:lang w:eastAsia="en-AU"/>
        </w:rPr>
        <w:t>tifying prefabricated plumbing work in 2018, the scope of prefabricated systems has significantly expanded from small all-in-one shower cubicles to large bathroom modules</w:t>
      </w:r>
      <w:r w:rsidR="00DC3106">
        <w:rPr>
          <w:lang w:eastAsia="en-AU"/>
        </w:rPr>
        <w:t>,</w:t>
      </w:r>
      <w:r w:rsidR="00EF3935">
        <w:rPr>
          <w:lang w:eastAsia="en-AU"/>
        </w:rPr>
        <w:t xml:space="preserve"> and modules containing a combination of laundry, bathroom and/or kitchen elements.</w:t>
      </w:r>
    </w:p>
    <w:p w14:paraId="61A66F82" w14:textId="4FD557B6" w:rsidR="0049651A" w:rsidRPr="00803EA4" w:rsidRDefault="0049651A" w:rsidP="0049651A">
      <w:pPr>
        <w:rPr>
          <w:lang w:eastAsia="en-AU"/>
        </w:rPr>
      </w:pPr>
      <w:r w:rsidRPr="00803EA4">
        <w:rPr>
          <w:lang w:eastAsia="en-AU"/>
        </w:rPr>
        <w:t xml:space="preserve">Some stakeholders suggest that </w:t>
      </w:r>
      <w:r>
        <w:rPr>
          <w:lang w:eastAsia="en-AU"/>
        </w:rPr>
        <w:t>prefabricated</w:t>
      </w:r>
      <w:r w:rsidRPr="00803EA4">
        <w:rPr>
          <w:lang w:eastAsia="en-AU"/>
        </w:rPr>
        <w:t xml:space="preserve"> modules are more aligned to plumbing work than plumbing products</w:t>
      </w:r>
      <w:r>
        <w:rPr>
          <w:lang w:eastAsia="en-AU"/>
        </w:rPr>
        <w:t xml:space="preserve"> and that t</w:t>
      </w:r>
      <w:r w:rsidRPr="00803EA4">
        <w:rPr>
          <w:lang w:eastAsia="en-AU"/>
        </w:rPr>
        <w:t>here may not be appropriate regulatory controls through the WaterMark Certification Scheme to adequately ensure safety and compliance</w:t>
      </w:r>
      <w:r w:rsidR="00603D6C">
        <w:rPr>
          <w:lang w:eastAsia="en-AU"/>
        </w:rPr>
        <w:t xml:space="preserve"> of complex prefabricated systems</w:t>
      </w:r>
      <w:r w:rsidRPr="00803EA4">
        <w:rPr>
          <w:lang w:eastAsia="en-AU"/>
        </w:rPr>
        <w:t>. S</w:t>
      </w:r>
      <w:r w:rsidR="00603D6C">
        <w:rPr>
          <w:lang w:eastAsia="en-AU"/>
        </w:rPr>
        <w:t>pecifically</w:t>
      </w:r>
      <w:r w:rsidRPr="00803EA4">
        <w:rPr>
          <w:lang w:eastAsia="en-AU"/>
        </w:rPr>
        <w:t xml:space="preserve">: </w:t>
      </w:r>
    </w:p>
    <w:p w14:paraId="7167F479" w14:textId="77777777" w:rsidR="0073715E" w:rsidRDefault="0049651A" w:rsidP="0049651A">
      <w:pPr>
        <w:pStyle w:val="Bullet"/>
        <w:sectPr w:rsidR="0073715E" w:rsidSect="0073715E">
          <w:footerReference w:type="first" r:id="rId109"/>
          <w:endnotePr>
            <w:numFmt w:val="decimal"/>
          </w:endnotePr>
          <w:type w:val="continuous"/>
          <w:pgSz w:w="11907" w:h="16839" w:code="9"/>
          <w:pgMar w:top="1418" w:right="1418" w:bottom="1701" w:left="1559" w:header="720" w:footer="720" w:gutter="0"/>
          <w:cols w:space="720"/>
          <w:titlePg/>
          <w:docGrid w:linePitch="360"/>
        </w:sectPr>
      </w:pPr>
      <w:r w:rsidRPr="00EC219D">
        <w:rPr>
          <w:b/>
          <w:bCs/>
        </w:rPr>
        <w:t>The WaterMark Certification Scheme may not have the expertise</w:t>
      </w:r>
      <w:r>
        <w:rPr>
          <w:b/>
          <w:bCs/>
        </w:rPr>
        <w:t xml:space="preserve"> required</w:t>
      </w:r>
      <w:r w:rsidRPr="00EC219D">
        <w:rPr>
          <w:b/>
          <w:bCs/>
        </w:rPr>
        <w:t xml:space="preserve"> to assess compliance of larger modules</w:t>
      </w:r>
      <w:r>
        <w:t>.</w:t>
      </w:r>
      <w:r w:rsidRPr="00803EA4">
        <w:t xml:space="preserve"> </w:t>
      </w:r>
      <w:r w:rsidRPr="00F64302">
        <w:t xml:space="preserve">Prefabricated plumbing </w:t>
      </w:r>
      <w:r>
        <w:t>modules</w:t>
      </w:r>
      <w:r w:rsidRPr="00F64302">
        <w:t xml:space="preserve">, such as bathroom pods, are constructed complete with all </w:t>
      </w:r>
      <w:r>
        <w:t xml:space="preserve">internal </w:t>
      </w:r>
      <w:r w:rsidRPr="00F64302">
        <w:t xml:space="preserve">plumbing </w:t>
      </w:r>
      <w:r>
        <w:t>pipework and fixtures already installed before the module arrives on-site for installation</w:t>
      </w:r>
      <w:r w:rsidRPr="00F64302">
        <w:t>.</w:t>
      </w:r>
      <w:r w:rsidRPr="0026759E">
        <w:t xml:space="preserve"> </w:t>
      </w:r>
      <w:r w:rsidR="00603D6C">
        <w:t>Where</w:t>
      </w:r>
      <w:r>
        <w:t xml:space="preserve"> prefabricated plumbing modules are completed as plumbing work, these connections are completed by a registered or </w:t>
      </w:r>
      <w:r w:rsidRPr="00F64302">
        <w:t>licensed plumber.</w:t>
      </w:r>
      <w:r>
        <w:rPr>
          <w:rStyle w:val="EndnoteReference"/>
        </w:rPr>
        <w:endnoteReference w:id="111"/>
      </w:r>
      <w:r w:rsidRPr="00803EA4">
        <w:t xml:space="preserve"> </w:t>
      </w:r>
      <w:r w:rsidR="00603D6C" w:rsidRPr="00772920">
        <w:t xml:space="preserve">However, </w:t>
      </w:r>
      <w:r w:rsidR="00772920" w:rsidRPr="00772920">
        <w:t>when</w:t>
      </w:r>
      <w:r w:rsidR="00603D6C" w:rsidRPr="00772920">
        <w:t xml:space="preserve"> they are certified products, the</w:t>
      </w:r>
      <w:r w:rsidR="009F5298" w:rsidRPr="00772920">
        <w:t>ir compliance as a product is assessed by the WMCAB.</w:t>
      </w:r>
      <w:r w:rsidR="00603D6C">
        <w:t xml:space="preserve"> </w:t>
      </w:r>
      <w:r w:rsidRPr="00F64302">
        <w:t xml:space="preserve">Some plumbing stakeholders raise doubts about whether the </w:t>
      </w:r>
      <w:r>
        <w:t>WMCAB</w:t>
      </w:r>
      <w:r w:rsidRPr="00F64302">
        <w:t xml:space="preserve"> have </w:t>
      </w:r>
      <w:r>
        <w:t xml:space="preserve">the required </w:t>
      </w:r>
      <w:r w:rsidRPr="00F64302">
        <w:t xml:space="preserve">technical </w:t>
      </w:r>
    </w:p>
    <w:p w14:paraId="4910AE6F" w14:textId="27BBD667" w:rsidR="0049651A" w:rsidRPr="00803EA4" w:rsidRDefault="0049651A" w:rsidP="0049651A">
      <w:pPr>
        <w:pStyle w:val="Bullet"/>
      </w:pPr>
      <w:r w:rsidRPr="00F64302">
        <w:lastRenderedPageBreak/>
        <w:t>expertise to assess the compliance o</w:t>
      </w:r>
      <w:r>
        <w:t>f these internal plumbing works on a prefabricated module during the product certification process.</w:t>
      </w:r>
      <w:r w:rsidRPr="00F64302">
        <w:t xml:space="preserve"> </w:t>
      </w:r>
      <w:r>
        <w:t xml:space="preserve">In addition, it is difficult for the </w:t>
      </w:r>
      <w:r w:rsidRPr="00F64302">
        <w:t>installing plumber</w:t>
      </w:r>
      <w:r>
        <w:t xml:space="preserve"> onsite to </w:t>
      </w:r>
      <w:r w:rsidRPr="00F64302">
        <w:t xml:space="preserve">assess </w:t>
      </w:r>
      <w:r>
        <w:t>the compliance of the internal works within the module prior to making connections to and from the system.</w:t>
      </w:r>
    </w:p>
    <w:p w14:paraId="62EA156A" w14:textId="61AC8C37" w:rsidR="0049651A" w:rsidRPr="000E73A7" w:rsidRDefault="0049651A" w:rsidP="0049651A">
      <w:pPr>
        <w:pStyle w:val="Bullet"/>
      </w:pPr>
      <w:r w:rsidRPr="00EC219D">
        <w:rPr>
          <w:b/>
          <w:bCs/>
        </w:rPr>
        <w:t>There may be insufficient regulatory oversight of prefabricated systems during manufacturing</w:t>
      </w:r>
      <w:r>
        <w:t>.</w:t>
      </w:r>
      <w:r w:rsidRPr="00803EA4">
        <w:t xml:space="preserve"> </w:t>
      </w:r>
      <w:r>
        <w:t xml:space="preserve">There are no requirements that registered or licensed plumbers are involved in the manufacture of a prefabricated plumbing product. </w:t>
      </w:r>
      <w:r>
        <w:rPr>
          <w:lang w:val="en-US"/>
        </w:rPr>
        <w:t>The Panel understands that currently</w:t>
      </w:r>
      <w:r w:rsidRPr="00540F06">
        <w:rPr>
          <w:lang w:val="en-US"/>
        </w:rPr>
        <w:t xml:space="preserve"> the role of plumbers in the manufacturing of prefabricated modules</w:t>
      </w:r>
      <w:r>
        <w:rPr>
          <w:lang w:val="en-US"/>
        </w:rPr>
        <w:t xml:space="preserve"> </w:t>
      </w:r>
      <w:r w:rsidRPr="00540F06">
        <w:rPr>
          <w:lang w:val="en-US"/>
        </w:rPr>
        <w:t xml:space="preserve">varies </w:t>
      </w:r>
      <w:r>
        <w:rPr>
          <w:lang w:val="en-US"/>
        </w:rPr>
        <w:t>between</w:t>
      </w:r>
      <w:r w:rsidRPr="00540F06">
        <w:rPr>
          <w:lang w:val="en-US"/>
        </w:rPr>
        <w:t xml:space="preserve"> manufacturer</w:t>
      </w:r>
      <w:r>
        <w:rPr>
          <w:lang w:val="en-US"/>
        </w:rPr>
        <w:t>s. While s</w:t>
      </w:r>
      <w:r w:rsidRPr="00540F06">
        <w:rPr>
          <w:lang w:val="en-US"/>
        </w:rPr>
        <w:t xml:space="preserve">ome </w:t>
      </w:r>
      <w:r>
        <w:rPr>
          <w:lang w:val="en-US"/>
        </w:rPr>
        <w:t>manufactu</w:t>
      </w:r>
      <w:r w:rsidRPr="00540F06">
        <w:rPr>
          <w:lang w:val="en-US"/>
        </w:rPr>
        <w:t>re</w:t>
      </w:r>
      <w:r>
        <w:rPr>
          <w:lang w:val="en-US"/>
        </w:rPr>
        <w:t>r</w:t>
      </w:r>
      <w:r w:rsidRPr="00540F06">
        <w:rPr>
          <w:lang w:val="en-US"/>
        </w:rPr>
        <w:t>s</w:t>
      </w:r>
      <w:r>
        <w:rPr>
          <w:lang w:val="en-US"/>
        </w:rPr>
        <w:t xml:space="preserve"> use</w:t>
      </w:r>
      <w:r w:rsidRPr="00540F06">
        <w:rPr>
          <w:lang w:val="en-US"/>
        </w:rPr>
        <w:t xml:space="preserve"> registered and licensed</w:t>
      </w:r>
      <w:r>
        <w:rPr>
          <w:lang w:val="en-US"/>
        </w:rPr>
        <w:t xml:space="preserve"> </w:t>
      </w:r>
      <w:r w:rsidRPr="00540F06">
        <w:rPr>
          <w:lang w:val="en-US"/>
        </w:rPr>
        <w:t>plumbers to construct</w:t>
      </w:r>
      <w:r>
        <w:rPr>
          <w:lang w:val="en-US"/>
        </w:rPr>
        <w:t>, or oversee the construction of,</w:t>
      </w:r>
      <w:r w:rsidRPr="00540F06">
        <w:rPr>
          <w:lang w:val="en-US"/>
        </w:rPr>
        <w:t xml:space="preserve"> prefabricated systems, others</w:t>
      </w:r>
      <w:r>
        <w:rPr>
          <w:lang w:val="en-US"/>
        </w:rPr>
        <w:t xml:space="preserve"> </w:t>
      </w:r>
      <w:r w:rsidR="009F5298">
        <w:rPr>
          <w:lang w:val="en-US"/>
        </w:rPr>
        <w:t xml:space="preserve">do not. </w:t>
      </w:r>
      <w:r w:rsidR="00E732C6">
        <w:rPr>
          <w:lang w:val="en-US"/>
        </w:rPr>
        <w:t>This raises further concerns among</w:t>
      </w:r>
      <w:r>
        <w:rPr>
          <w:lang w:val="en-US"/>
        </w:rPr>
        <w:t xml:space="preserve"> stakeholders </w:t>
      </w:r>
      <w:r w:rsidR="00E732C6">
        <w:rPr>
          <w:lang w:val="en-US"/>
        </w:rPr>
        <w:t xml:space="preserve">as to the </w:t>
      </w:r>
      <w:r>
        <w:rPr>
          <w:lang w:val="en-US"/>
        </w:rPr>
        <w:t xml:space="preserve">compliance of </w:t>
      </w:r>
      <w:r w:rsidR="00E732C6">
        <w:rPr>
          <w:lang w:val="en-US"/>
        </w:rPr>
        <w:t>prefabricated plumbing systems</w:t>
      </w:r>
      <w:r>
        <w:rPr>
          <w:lang w:val="en-US"/>
        </w:rPr>
        <w:t xml:space="preserve"> about the suitability of the WaterMark Certification Scheme for certifying these products as an alternative compliance pathway</w:t>
      </w:r>
      <w:r w:rsidR="001D59AE">
        <w:rPr>
          <w:lang w:val="en-US"/>
        </w:rPr>
        <w:t>.</w:t>
      </w:r>
    </w:p>
    <w:p w14:paraId="2E5920B2" w14:textId="3A32618E" w:rsidR="002C25B5" w:rsidRDefault="00F760A6" w:rsidP="002C25B5">
      <w:pPr>
        <w:pStyle w:val="Heading2"/>
      </w:pPr>
      <w:bookmarkStart w:id="179" w:name="_Toc131428722"/>
      <w:bookmarkStart w:id="180" w:name="_Toc134352881"/>
      <w:bookmarkStart w:id="181" w:name="_Toc134356914"/>
      <w:r>
        <w:t>Proposed r</w:t>
      </w:r>
      <w:r w:rsidR="002C25B5">
        <w:t>ecommendations to improve building maintenance</w:t>
      </w:r>
      <w:r w:rsidR="001E1CE4">
        <w:t xml:space="preserve"> and support a digitally enabled building </w:t>
      </w:r>
      <w:r w:rsidR="00E70E37">
        <w:t xml:space="preserve">regulatory </w:t>
      </w:r>
      <w:r w:rsidR="001E1CE4">
        <w:t>system</w:t>
      </w:r>
      <w:bookmarkEnd w:id="179"/>
      <w:bookmarkEnd w:id="180"/>
      <w:bookmarkEnd w:id="181"/>
      <w:r w:rsidR="001E1CE4">
        <w:t xml:space="preserve"> </w:t>
      </w:r>
    </w:p>
    <w:p w14:paraId="25454F9C" w14:textId="45967B91" w:rsidR="009E6F13" w:rsidRDefault="00241A23" w:rsidP="001E1CE4">
      <w:r>
        <w:rPr>
          <w:lang w:eastAsia="en-AU"/>
        </w:rPr>
        <w:t xml:space="preserve">The Panel </w:t>
      </w:r>
      <w:r w:rsidR="00FC31A7">
        <w:rPr>
          <w:lang w:eastAsia="en-AU"/>
        </w:rPr>
        <w:t xml:space="preserve">is proposing </w:t>
      </w:r>
      <w:r w:rsidR="00BE6475">
        <w:rPr>
          <w:lang w:eastAsia="en-AU"/>
        </w:rPr>
        <w:t>four</w:t>
      </w:r>
      <w:r w:rsidR="00FC31A7">
        <w:rPr>
          <w:lang w:eastAsia="en-AU"/>
        </w:rPr>
        <w:t xml:space="preserve"> recommendations to strengthen regulatory safeguards f</w:t>
      </w:r>
      <w:r w:rsidR="00E907F2">
        <w:rPr>
          <w:lang w:eastAsia="en-AU"/>
        </w:rPr>
        <w:t xml:space="preserve">or building maintenance, improve operations of </w:t>
      </w:r>
      <w:r w:rsidR="00F97425">
        <w:rPr>
          <w:lang w:eastAsia="en-AU"/>
        </w:rPr>
        <w:t xml:space="preserve">OCs </w:t>
      </w:r>
      <w:r w:rsidR="00E907F2">
        <w:rPr>
          <w:lang w:eastAsia="en-AU"/>
        </w:rPr>
        <w:t xml:space="preserve">and to </w:t>
      </w:r>
      <w:r w:rsidR="009E6F13">
        <w:t xml:space="preserve">facilitate the use of new building </w:t>
      </w:r>
      <w:r w:rsidR="00473116">
        <w:t xml:space="preserve">and plumbing </w:t>
      </w:r>
      <w:r w:rsidR="009E6F13">
        <w:t>technologies</w:t>
      </w:r>
      <w:r w:rsidR="003A713C">
        <w:t xml:space="preserve"> and practices.</w:t>
      </w:r>
    </w:p>
    <w:p w14:paraId="60214C91" w14:textId="4433AB2B" w:rsidR="00E75029" w:rsidRDefault="00E75029" w:rsidP="001E1CE4">
      <w:pPr>
        <w:rPr>
          <w:lang w:eastAsia="en-AU"/>
        </w:rPr>
      </w:pPr>
      <w:r>
        <w:rPr>
          <w:lang w:eastAsia="en-AU"/>
        </w:rPr>
        <w:t>A</w:t>
      </w:r>
      <w:r w:rsidRPr="00E75029">
        <w:rPr>
          <w:lang w:eastAsia="en-AU"/>
        </w:rPr>
        <w:t>s new technologies, materials and building practices emerge, the regulatory framework will need to be flexible and responsive to support innovation, while maintaining compliance and safety. A key focus of the Panel’s work in Stage 3 of its Review will be to make recommendations to support a future-proof, technology-neutral Building Act. To inform its deliberations in Stage 3 of the Review and to identify early opportunities to address key issues, the Panel is interested in stakeholders’ perspectives on current barriers to the development and uptake of new building technologies, information, practices and materials.</w:t>
      </w:r>
    </w:p>
    <w:p w14:paraId="1D54AFE2" w14:textId="0527F378" w:rsidR="00B61A8A" w:rsidRDefault="00784604" w:rsidP="00B61A8A">
      <w:pPr>
        <w:pStyle w:val="Heading3"/>
      </w:pPr>
      <w:bookmarkStart w:id="182" w:name="_Toc131428723"/>
      <w:bookmarkStart w:id="183" w:name="_Toc134352882"/>
      <w:bookmarkStart w:id="184" w:name="_Toc134356809"/>
      <w:bookmarkStart w:id="185" w:name="_Toc134356915"/>
      <w:r>
        <w:t>Recommendation 1</w:t>
      </w:r>
      <w:r w:rsidR="0006120B">
        <w:t>1</w:t>
      </w:r>
      <w:r>
        <w:t xml:space="preserve"> | Strengthen compliance monitoring and enforcement of existing maintenance schedule requirements</w:t>
      </w:r>
      <w:bookmarkEnd w:id="182"/>
      <w:bookmarkEnd w:id="183"/>
      <w:bookmarkEnd w:id="184"/>
      <w:bookmarkEnd w:id="185"/>
    </w:p>
    <w:p w14:paraId="4CF11ECC" w14:textId="2DB92AFF" w:rsidR="00784604" w:rsidRDefault="00784604" w:rsidP="00784604">
      <w:pPr>
        <w:pStyle w:val="Heading4"/>
      </w:pPr>
      <w:r>
        <w:t>Description</w:t>
      </w:r>
    </w:p>
    <w:p w14:paraId="7564A32D" w14:textId="7C0FF898" w:rsidR="0088404C" w:rsidRDefault="00A34B42" w:rsidP="004C728A">
      <w:pPr>
        <w:rPr>
          <w:lang w:eastAsia="en-AU"/>
        </w:rPr>
      </w:pPr>
      <w:r>
        <w:rPr>
          <w:lang w:eastAsia="en-AU"/>
        </w:rPr>
        <w:t xml:space="preserve">The Panel recommends </w:t>
      </w:r>
      <w:r w:rsidR="003B11E0">
        <w:rPr>
          <w:lang w:eastAsia="en-AU"/>
        </w:rPr>
        <w:t xml:space="preserve">increasing the oversight of building maintenance </w:t>
      </w:r>
      <w:r w:rsidR="00E76C61">
        <w:rPr>
          <w:lang w:eastAsia="en-AU"/>
        </w:rPr>
        <w:t>by</w:t>
      </w:r>
      <w:r w:rsidR="00276656" w:rsidRPr="000662A6">
        <w:rPr>
          <w:lang w:eastAsia="en-AU"/>
        </w:rPr>
        <w:t xml:space="preserve">: </w:t>
      </w:r>
    </w:p>
    <w:p w14:paraId="41462604" w14:textId="047F2D01" w:rsidR="000724CA" w:rsidRPr="00F65E61" w:rsidRDefault="00291630" w:rsidP="00CC664B">
      <w:pPr>
        <w:pStyle w:val="ListParagraph"/>
        <w:numPr>
          <w:ilvl w:val="0"/>
          <w:numId w:val="7"/>
        </w:numPr>
        <w:ind w:left="340" w:hanging="340"/>
        <w:rPr>
          <w:b/>
          <w:bCs/>
        </w:rPr>
      </w:pPr>
      <w:r w:rsidRPr="009D4183">
        <w:rPr>
          <w:rStyle w:val="Heading5Char"/>
          <w:rFonts w:eastAsiaTheme="minorHAnsi"/>
          <w:color w:val="auto"/>
        </w:rPr>
        <w:t>Increas</w:t>
      </w:r>
      <w:r w:rsidR="00E76C61" w:rsidRPr="009D4183">
        <w:rPr>
          <w:rStyle w:val="Heading5Char"/>
          <w:rFonts w:eastAsiaTheme="minorHAnsi"/>
          <w:color w:val="auto"/>
        </w:rPr>
        <w:t>ing the focus on ESMs and other maintenance requirements</w:t>
      </w:r>
      <w:r w:rsidR="006F6C57">
        <w:rPr>
          <w:rStyle w:val="Heading5Char"/>
          <w:rFonts w:eastAsiaTheme="minorHAnsi"/>
          <w:color w:val="auto"/>
        </w:rPr>
        <w:t xml:space="preserve"> and strengthen sanctions where ESM</w:t>
      </w:r>
      <w:r w:rsidR="00D2780C">
        <w:rPr>
          <w:rStyle w:val="Heading5Char"/>
          <w:rFonts w:eastAsiaTheme="minorHAnsi"/>
          <w:color w:val="auto"/>
        </w:rPr>
        <w:t xml:space="preserve"> maintenance has </w:t>
      </w:r>
      <w:r w:rsidR="006F6C57">
        <w:rPr>
          <w:rStyle w:val="Heading5Char"/>
          <w:rFonts w:eastAsiaTheme="minorHAnsi"/>
          <w:color w:val="auto"/>
        </w:rPr>
        <w:t>not been complied with</w:t>
      </w:r>
      <w:r w:rsidR="00FB650C" w:rsidRPr="009D4183">
        <w:rPr>
          <w:rStyle w:val="Heading5Char"/>
          <w:rFonts w:eastAsiaTheme="minorHAnsi"/>
          <w:color w:val="auto"/>
        </w:rPr>
        <w:t>.</w:t>
      </w:r>
      <w:r w:rsidR="00354DE8" w:rsidRPr="009D4183">
        <w:rPr>
          <w:rStyle w:val="Heading5Char"/>
          <w:rFonts w:eastAsiaTheme="minorHAnsi"/>
          <w:color w:val="auto"/>
        </w:rPr>
        <w:t xml:space="preserve"> </w:t>
      </w:r>
      <w:r>
        <w:t xml:space="preserve">This </w:t>
      </w:r>
      <w:r w:rsidR="00C00287">
        <w:t>c</w:t>
      </w:r>
      <w:r w:rsidR="003A5887">
        <w:t>ould</w:t>
      </w:r>
      <w:r w:rsidR="003A5887" w:rsidRPr="00512730">
        <w:t xml:space="preserve"> </w:t>
      </w:r>
      <w:r w:rsidR="003A5887">
        <w:t xml:space="preserve">be </w:t>
      </w:r>
      <w:r w:rsidR="003A5887" w:rsidRPr="00512730">
        <w:t>supported by improving the coordination between the MBS, FRV and C</w:t>
      </w:r>
      <w:r w:rsidR="00F0281E">
        <w:t xml:space="preserve">ountry </w:t>
      </w:r>
      <w:r w:rsidR="003A5887" w:rsidRPr="00512730">
        <w:t>F</w:t>
      </w:r>
      <w:r w:rsidR="00F0281E">
        <w:t xml:space="preserve">ire </w:t>
      </w:r>
      <w:r w:rsidR="003A5887" w:rsidRPr="00512730">
        <w:t>A</w:t>
      </w:r>
      <w:r w:rsidR="00F0281E">
        <w:t>uthority (</w:t>
      </w:r>
      <w:r w:rsidR="003A5887" w:rsidRPr="00512730">
        <w:t>CFA</w:t>
      </w:r>
      <w:r w:rsidR="00F0281E">
        <w:t>)</w:t>
      </w:r>
      <w:r w:rsidR="003A5887" w:rsidRPr="00512730">
        <w:t xml:space="preserve"> to develop a risk-based ESMs maintenance approach.</w:t>
      </w:r>
    </w:p>
    <w:p w14:paraId="65302CD7" w14:textId="4363DEB2" w:rsidR="000724CA" w:rsidRPr="00DA7CCC" w:rsidRDefault="007C6366" w:rsidP="00CC664B">
      <w:pPr>
        <w:pStyle w:val="ListParagraph"/>
        <w:numPr>
          <w:ilvl w:val="0"/>
          <w:numId w:val="7"/>
        </w:numPr>
        <w:ind w:left="340" w:hanging="340"/>
      </w:pPr>
      <w:r>
        <w:rPr>
          <w:rStyle w:val="Heading5Char"/>
          <w:rFonts w:eastAsiaTheme="minorHAnsi"/>
          <w:color w:val="auto"/>
        </w:rPr>
        <w:t xml:space="preserve">In addition to the annual ESM inspection introduce </w:t>
      </w:r>
      <w:r w:rsidR="00E76C61" w:rsidRPr="009D4183">
        <w:rPr>
          <w:rStyle w:val="Heading5Char"/>
          <w:rFonts w:eastAsiaTheme="minorHAnsi"/>
          <w:color w:val="auto"/>
        </w:rPr>
        <w:t xml:space="preserve">regular (such as </w:t>
      </w:r>
      <w:r w:rsidR="00AA68BE" w:rsidRPr="009D4183">
        <w:rPr>
          <w:rStyle w:val="Heading5Char"/>
          <w:rFonts w:eastAsiaTheme="minorHAnsi"/>
          <w:color w:val="auto"/>
        </w:rPr>
        <w:t xml:space="preserve">five </w:t>
      </w:r>
      <w:r w:rsidR="00E76C61" w:rsidRPr="009D4183">
        <w:rPr>
          <w:rStyle w:val="Heading5Char"/>
          <w:rFonts w:eastAsiaTheme="minorHAnsi"/>
          <w:color w:val="auto"/>
        </w:rPr>
        <w:t xml:space="preserve">year) </w:t>
      </w:r>
      <w:r w:rsidR="00CA4EC4">
        <w:rPr>
          <w:rStyle w:val="Heading5Char"/>
          <w:rFonts w:eastAsiaTheme="minorHAnsi"/>
          <w:color w:val="auto"/>
        </w:rPr>
        <w:t xml:space="preserve">inspection periods </w:t>
      </w:r>
      <w:r w:rsidR="00762C35">
        <w:rPr>
          <w:rStyle w:val="Heading5Char"/>
          <w:rFonts w:eastAsiaTheme="minorHAnsi"/>
          <w:color w:val="auto"/>
        </w:rPr>
        <w:t>to assess whether ESMs remain fit for purpose</w:t>
      </w:r>
      <w:r w:rsidR="00A31E66">
        <w:rPr>
          <w:rStyle w:val="Heading5Char"/>
          <w:rFonts w:eastAsiaTheme="minorHAnsi"/>
          <w:color w:val="auto"/>
        </w:rPr>
        <w:t xml:space="preserve">. </w:t>
      </w:r>
      <w:r w:rsidR="00A405D3" w:rsidRPr="00F65E61">
        <w:t>As part of this new inspection, MBSs or the private inspect</w:t>
      </w:r>
      <w:r w:rsidR="00DA7CCC">
        <w:t>or</w:t>
      </w:r>
      <w:r w:rsidR="00A405D3" w:rsidRPr="00F65E61">
        <w:t xml:space="preserve"> would assess whether ESMs have been compromised by refurbishment</w:t>
      </w:r>
      <w:r w:rsidR="00506DF9" w:rsidRPr="00F65E61">
        <w:t xml:space="preserve">s, </w:t>
      </w:r>
      <w:r w:rsidR="00506DF9" w:rsidRPr="000724CA">
        <w:rPr>
          <w:lang w:eastAsia="en-AU"/>
        </w:rPr>
        <w:t>test if they remain effective and appropriate, and determine whether they must be altered in response to changing building requirements</w:t>
      </w:r>
      <w:r w:rsidR="001E53B4">
        <w:rPr>
          <w:lang w:eastAsia="en-AU"/>
        </w:rPr>
        <w:t>.</w:t>
      </w:r>
      <w:r w:rsidR="00506DF9" w:rsidRPr="00506DF9" w:rsidDel="0088404C">
        <w:t xml:space="preserve"> </w:t>
      </w:r>
    </w:p>
    <w:p w14:paraId="6AB785D2" w14:textId="5FC393D6" w:rsidR="0073715E" w:rsidRDefault="00847B83" w:rsidP="00CC664B">
      <w:pPr>
        <w:pStyle w:val="ListParagraph"/>
        <w:numPr>
          <w:ilvl w:val="0"/>
          <w:numId w:val="7"/>
        </w:numPr>
        <w:ind w:left="340" w:hanging="340"/>
        <w:rPr>
          <w:lang w:eastAsia="en-AU"/>
        </w:rPr>
        <w:sectPr w:rsidR="0073715E" w:rsidSect="0073715E">
          <w:footerReference w:type="first" r:id="rId110"/>
          <w:endnotePr>
            <w:numFmt w:val="decimal"/>
          </w:endnotePr>
          <w:type w:val="continuous"/>
          <w:pgSz w:w="11907" w:h="16839" w:code="9"/>
          <w:pgMar w:top="1418" w:right="1418" w:bottom="1701" w:left="1559" w:header="720" w:footer="720" w:gutter="0"/>
          <w:cols w:space="720"/>
          <w:titlePg/>
          <w:docGrid w:linePitch="360"/>
        </w:sectPr>
      </w:pPr>
      <w:r w:rsidRPr="009D4183">
        <w:rPr>
          <w:b/>
        </w:rPr>
        <w:t>Requir</w:t>
      </w:r>
      <w:r w:rsidR="007031E8">
        <w:rPr>
          <w:b/>
        </w:rPr>
        <w:t>e</w:t>
      </w:r>
      <w:r w:rsidR="002E4583">
        <w:rPr>
          <w:b/>
        </w:rPr>
        <w:t xml:space="preserve"> OCs to implement recommended changes from the ESM inspections</w:t>
      </w:r>
      <w:r w:rsidRPr="009D4183">
        <w:rPr>
          <w:b/>
          <w:bCs/>
        </w:rPr>
        <w:t>.</w:t>
      </w:r>
      <w:r w:rsidRPr="009D4183">
        <w:rPr>
          <w:lang w:eastAsia="en-AU"/>
        </w:rPr>
        <w:t xml:space="preserve"> This would involve introducing a requirement for OCs in apartment buildings to implement any changes to ESMs and maintenance requirements that arise from the proposed inspections detailed </w:t>
      </w:r>
      <w:r w:rsidR="00A71904">
        <w:rPr>
          <w:lang w:eastAsia="en-AU"/>
        </w:rPr>
        <w:t>above in this recommendation</w:t>
      </w:r>
      <w:r w:rsidRPr="009D4183">
        <w:rPr>
          <w:lang w:eastAsia="en-AU"/>
        </w:rPr>
        <w:t>. This could include altered maintenance requirements in response to environmental change, refurbishments, or the natural aging of buildings.</w:t>
      </w:r>
    </w:p>
    <w:p w14:paraId="01E98A83" w14:textId="12693BEB" w:rsidR="00784604" w:rsidRDefault="00784604" w:rsidP="00784604">
      <w:pPr>
        <w:pStyle w:val="Heading4"/>
      </w:pPr>
      <w:r>
        <w:lastRenderedPageBreak/>
        <w:t>Rationale</w:t>
      </w:r>
    </w:p>
    <w:p w14:paraId="06D5EA1D" w14:textId="265F51C6" w:rsidR="000724CA" w:rsidRDefault="00407378" w:rsidP="00DC211B">
      <w:pPr>
        <w:rPr>
          <w:lang w:eastAsia="en-AU"/>
        </w:rPr>
      </w:pPr>
      <w:r>
        <w:rPr>
          <w:lang w:eastAsia="en-AU"/>
        </w:rPr>
        <w:t>The investigation of the 2019 Neo200 fire found t</w:t>
      </w:r>
      <w:r w:rsidR="00FF63A1">
        <w:rPr>
          <w:lang w:eastAsia="en-AU"/>
        </w:rPr>
        <w:t>hat t</w:t>
      </w:r>
      <w:r>
        <w:rPr>
          <w:lang w:eastAsia="en-AU"/>
        </w:rPr>
        <w:t>he fire was exacerbated by issues with the building’s</w:t>
      </w:r>
      <w:r w:rsidRPr="00E5170F">
        <w:rPr>
          <w:lang w:eastAsia="en-AU"/>
        </w:rPr>
        <w:t xml:space="preserve"> ESMs</w:t>
      </w:r>
      <w:r>
        <w:rPr>
          <w:lang w:eastAsia="en-AU"/>
        </w:rPr>
        <w:t>. ESMs</w:t>
      </w:r>
      <w:r w:rsidRPr="00E5170F">
        <w:rPr>
          <w:lang w:eastAsia="en-AU"/>
        </w:rPr>
        <w:t xml:space="preserve"> had not been adequately maintained</w:t>
      </w:r>
      <w:r>
        <w:rPr>
          <w:lang w:eastAsia="en-AU"/>
        </w:rPr>
        <w:t>,</w:t>
      </w:r>
      <w:r w:rsidRPr="00E5170F">
        <w:rPr>
          <w:lang w:eastAsia="en-AU"/>
        </w:rPr>
        <w:t xml:space="preserve"> </w:t>
      </w:r>
      <w:r>
        <w:rPr>
          <w:lang w:eastAsia="en-AU"/>
        </w:rPr>
        <w:t>and</w:t>
      </w:r>
      <w:r w:rsidRPr="00E5170F">
        <w:rPr>
          <w:lang w:eastAsia="en-AU"/>
        </w:rPr>
        <w:t xml:space="preserve"> </w:t>
      </w:r>
      <w:r>
        <w:rPr>
          <w:lang w:eastAsia="en-AU"/>
        </w:rPr>
        <w:t>residents</w:t>
      </w:r>
      <w:r w:rsidRPr="00E5170F">
        <w:rPr>
          <w:lang w:eastAsia="en-AU"/>
        </w:rPr>
        <w:t xml:space="preserve"> had tampered with passive systems such as smoke alarms</w:t>
      </w:r>
      <w:r>
        <w:rPr>
          <w:lang w:eastAsia="en-AU"/>
        </w:rPr>
        <w:t>.</w:t>
      </w:r>
      <w:r w:rsidR="00654A87">
        <w:rPr>
          <w:lang w:eastAsia="en-AU"/>
        </w:rPr>
        <w:t xml:space="preserve"> </w:t>
      </w:r>
      <w:r w:rsidR="00654A87" w:rsidRPr="00E5170F">
        <w:rPr>
          <w:lang w:eastAsia="en-AU"/>
        </w:rPr>
        <w:t>Cladding Safety Victoria</w:t>
      </w:r>
      <w:r w:rsidR="00654A87">
        <w:rPr>
          <w:lang w:eastAsia="en-AU"/>
        </w:rPr>
        <w:t xml:space="preserve">’s (CSV) investigation of Victoria’s building safety systems also revealed widespread issues with ESMs in common areas, including instances where </w:t>
      </w:r>
      <w:r w:rsidR="00654A87" w:rsidRPr="00E5170F">
        <w:rPr>
          <w:lang w:eastAsia="en-AU"/>
        </w:rPr>
        <w:t xml:space="preserve">fire hoses </w:t>
      </w:r>
      <w:r w:rsidR="00654A87">
        <w:rPr>
          <w:lang w:eastAsia="en-AU"/>
        </w:rPr>
        <w:t>were</w:t>
      </w:r>
      <w:r w:rsidR="003E3A23">
        <w:rPr>
          <w:lang w:eastAsia="en-AU"/>
        </w:rPr>
        <w:t xml:space="preserve"> </w:t>
      </w:r>
      <w:r w:rsidR="00654A87">
        <w:rPr>
          <w:lang w:eastAsia="en-AU"/>
        </w:rPr>
        <w:t>n</w:t>
      </w:r>
      <w:r w:rsidR="003E3A23">
        <w:rPr>
          <w:lang w:eastAsia="en-AU"/>
        </w:rPr>
        <w:t>o</w:t>
      </w:r>
      <w:r w:rsidR="00654A87">
        <w:rPr>
          <w:lang w:eastAsia="en-AU"/>
        </w:rPr>
        <w:t>t</w:t>
      </w:r>
      <w:r w:rsidR="00654A87" w:rsidRPr="00E5170F">
        <w:rPr>
          <w:lang w:eastAsia="en-AU"/>
        </w:rPr>
        <w:t xml:space="preserve"> attached to a water supply</w:t>
      </w:r>
      <w:r w:rsidR="00654A87">
        <w:rPr>
          <w:lang w:eastAsia="en-AU"/>
        </w:rPr>
        <w:t>,</w:t>
      </w:r>
      <w:r w:rsidR="00654A87" w:rsidRPr="00E5170F">
        <w:rPr>
          <w:lang w:eastAsia="en-AU"/>
        </w:rPr>
        <w:t xml:space="preserve"> non-compliant fire doors had been installed</w:t>
      </w:r>
      <w:r w:rsidR="00654A87">
        <w:rPr>
          <w:lang w:eastAsia="en-AU"/>
        </w:rPr>
        <w:t>, or</w:t>
      </w:r>
      <w:r w:rsidR="00654A87" w:rsidRPr="00E5170F">
        <w:rPr>
          <w:lang w:eastAsia="en-AU"/>
        </w:rPr>
        <w:t xml:space="preserve"> there was an inadequate number of fire exits</w:t>
      </w:r>
      <w:r w:rsidR="00245AF9">
        <w:rPr>
          <w:lang w:eastAsia="en-AU"/>
        </w:rPr>
        <w:t>.</w:t>
      </w:r>
      <w:r w:rsidR="00792B62">
        <w:rPr>
          <w:lang w:eastAsia="en-AU"/>
        </w:rPr>
        <w:t xml:space="preserve"> </w:t>
      </w:r>
      <w:r w:rsidR="0048680D">
        <w:rPr>
          <w:lang w:eastAsia="en-AU"/>
        </w:rPr>
        <w:t>Adequate</w:t>
      </w:r>
      <w:r w:rsidR="00594729">
        <w:rPr>
          <w:lang w:eastAsia="en-AU"/>
        </w:rPr>
        <w:t xml:space="preserve"> oversight of ESMs after a building is occupied is critical to keeping those inside safe. </w:t>
      </w:r>
    </w:p>
    <w:p w14:paraId="2D5EEACC" w14:textId="26A13B93" w:rsidR="00594729" w:rsidRDefault="00201907" w:rsidP="00DC211B">
      <w:pPr>
        <w:rPr>
          <w:lang w:eastAsia="en-AU"/>
        </w:rPr>
      </w:pPr>
      <w:r>
        <w:rPr>
          <w:lang w:eastAsia="en-AU"/>
        </w:rPr>
        <w:t>ESMs must keep pace</w:t>
      </w:r>
      <w:r w:rsidRPr="002238EB">
        <w:rPr>
          <w:lang w:eastAsia="en-AU"/>
        </w:rPr>
        <w:t xml:space="preserve"> </w:t>
      </w:r>
      <w:r>
        <w:rPr>
          <w:lang w:eastAsia="en-AU"/>
        </w:rPr>
        <w:t>as</w:t>
      </w:r>
      <w:r w:rsidR="002238EB" w:rsidRPr="002238EB">
        <w:rPr>
          <w:lang w:eastAsia="en-AU"/>
        </w:rPr>
        <w:t xml:space="preserve"> buildings are refurbished, retrofitted or upgraded</w:t>
      </w:r>
      <w:r w:rsidR="005D2DAF">
        <w:rPr>
          <w:lang w:eastAsia="en-AU"/>
        </w:rPr>
        <w:t>.</w:t>
      </w:r>
      <w:r w:rsidR="00A30E04">
        <w:rPr>
          <w:lang w:eastAsia="en-AU"/>
        </w:rPr>
        <w:t xml:space="preserve"> </w:t>
      </w:r>
      <w:r w:rsidR="00933681">
        <w:rPr>
          <w:lang w:eastAsia="en-AU"/>
        </w:rPr>
        <w:t xml:space="preserve">In light of evolving technologies, </w:t>
      </w:r>
      <w:r w:rsidR="00594729">
        <w:rPr>
          <w:lang w:eastAsia="en-AU"/>
        </w:rPr>
        <w:t xml:space="preserve">many domestic buildings are being </w:t>
      </w:r>
      <w:r w:rsidR="0048680D">
        <w:rPr>
          <w:lang w:eastAsia="en-AU"/>
        </w:rPr>
        <w:t>retrofitted</w:t>
      </w:r>
      <w:r w:rsidR="00594729">
        <w:rPr>
          <w:lang w:eastAsia="en-AU"/>
        </w:rPr>
        <w:t xml:space="preserve"> to include the </w:t>
      </w:r>
      <w:r w:rsidR="00A30E04">
        <w:rPr>
          <w:lang w:eastAsia="en-AU"/>
        </w:rPr>
        <w:t xml:space="preserve">installation of EV batteries </w:t>
      </w:r>
      <w:r w:rsidR="00594729">
        <w:rPr>
          <w:lang w:eastAsia="en-AU"/>
        </w:rPr>
        <w:t>and</w:t>
      </w:r>
      <w:r w:rsidR="00A30E04">
        <w:rPr>
          <w:lang w:eastAsia="en-AU"/>
        </w:rPr>
        <w:t xml:space="preserve"> solar panels</w:t>
      </w:r>
      <w:r w:rsidR="00594729">
        <w:rPr>
          <w:lang w:eastAsia="en-AU"/>
        </w:rPr>
        <w:t xml:space="preserve">. These additions can change the safety profile of the building and what is required from ESMs. </w:t>
      </w:r>
    </w:p>
    <w:p w14:paraId="0E8F29F7" w14:textId="1D708778" w:rsidR="002B6F1B" w:rsidRDefault="002B6F1B" w:rsidP="002B6F1B">
      <w:pPr>
        <w:pStyle w:val="Heading4"/>
      </w:pPr>
      <w:r>
        <w:t>Outcome</w:t>
      </w:r>
    </w:p>
    <w:p w14:paraId="6EB7826C" w14:textId="61DD0104" w:rsidR="005D2DAF" w:rsidRDefault="00A64DCB" w:rsidP="00DC211B">
      <w:pPr>
        <w:rPr>
          <w:lang w:eastAsia="en-AU"/>
        </w:rPr>
      </w:pPr>
      <w:r>
        <w:rPr>
          <w:lang w:eastAsia="en-AU"/>
        </w:rPr>
        <w:t xml:space="preserve">Strengthened compliance monitoring and enforcement of maintenance requirements will ensure that buildings remain </w:t>
      </w:r>
      <w:r w:rsidR="00C46E53">
        <w:rPr>
          <w:lang w:eastAsia="en-AU"/>
        </w:rPr>
        <w:t>safe overtime, especially in response to changing circumstances</w:t>
      </w:r>
      <w:r w:rsidR="00070443">
        <w:rPr>
          <w:lang w:eastAsia="en-AU"/>
        </w:rPr>
        <w:t xml:space="preserve">, environmental changes </w:t>
      </w:r>
      <w:r w:rsidR="00933681">
        <w:rPr>
          <w:lang w:eastAsia="en-AU"/>
        </w:rPr>
        <w:t>and</w:t>
      </w:r>
      <w:r w:rsidR="00070443">
        <w:rPr>
          <w:lang w:eastAsia="en-AU"/>
        </w:rPr>
        <w:t xml:space="preserve"> natural ageing</w:t>
      </w:r>
      <w:r w:rsidR="00C46E53">
        <w:rPr>
          <w:lang w:eastAsia="en-AU"/>
        </w:rPr>
        <w:t>.</w:t>
      </w:r>
    </w:p>
    <w:p w14:paraId="7B388FEF" w14:textId="1CCC99CB" w:rsidR="00784604" w:rsidRDefault="009D47C3" w:rsidP="00784604">
      <w:pPr>
        <w:pStyle w:val="Heading3"/>
      </w:pPr>
      <w:bookmarkStart w:id="186" w:name="_Toc131428724"/>
      <w:bookmarkStart w:id="187" w:name="_Toc134352883"/>
      <w:bookmarkStart w:id="188" w:name="_Toc134356810"/>
      <w:bookmarkStart w:id="189" w:name="_Toc134356916"/>
      <w:r>
        <w:t>Recommendation 1</w:t>
      </w:r>
      <w:r w:rsidR="0006120B">
        <w:t>2</w:t>
      </w:r>
      <w:r>
        <w:t xml:space="preserve"> | Strengthen competencies </w:t>
      </w:r>
      <w:r w:rsidR="000B324B">
        <w:t xml:space="preserve">and </w:t>
      </w:r>
      <w:r w:rsidR="000D23F6">
        <w:t xml:space="preserve">obligations </w:t>
      </w:r>
      <w:r w:rsidR="00692A67">
        <w:t xml:space="preserve">of OC managers </w:t>
      </w:r>
      <w:r w:rsidR="000D23F6">
        <w:t>and O</w:t>
      </w:r>
      <w:r w:rsidR="00F97425">
        <w:t>Cs</w:t>
      </w:r>
      <w:r w:rsidR="000D23F6">
        <w:t xml:space="preserve"> </w:t>
      </w:r>
      <w:r w:rsidR="00692A67">
        <w:t>in relation to ESMs and maintenance</w:t>
      </w:r>
      <w:r w:rsidR="000D23F6">
        <w:t xml:space="preserve"> requirements</w:t>
      </w:r>
      <w:bookmarkEnd w:id="186"/>
      <w:bookmarkEnd w:id="187"/>
      <w:bookmarkEnd w:id="188"/>
      <w:bookmarkEnd w:id="189"/>
    </w:p>
    <w:p w14:paraId="4EF1A3ED" w14:textId="69A44FBC" w:rsidR="00692A67" w:rsidRDefault="00692A67" w:rsidP="00692A67">
      <w:pPr>
        <w:pStyle w:val="Heading4"/>
      </w:pPr>
      <w:r>
        <w:t>Description</w:t>
      </w:r>
    </w:p>
    <w:p w14:paraId="5AF38621" w14:textId="471087C0" w:rsidR="004A40EB" w:rsidRDefault="00E16403" w:rsidP="004A40EB">
      <w:pPr>
        <w:rPr>
          <w:lang w:eastAsia="en-AU"/>
        </w:rPr>
      </w:pPr>
      <w:r>
        <w:rPr>
          <w:lang w:eastAsia="en-AU"/>
        </w:rPr>
        <w:t xml:space="preserve">The Panel recommends increasing the required competencies of OC managers with respect to ESMs and other maintenance </w:t>
      </w:r>
      <w:r w:rsidR="00114130">
        <w:rPr>
          <w:lang w:eastAsia="en-AU"/>
        </w:rPr>
        <w:t xml:space="preserve">requirements. </w:t>
      </w:r>
      <w:r w:rsidR="004A40EB">
        <w:rPr>
          <w:lang w:eastAsia="en-AU"/>
        </w:rPr>
        <w:t>OCs must be informed of their obligations in relation to ESMs and maintenance requirements to ensure they remain effective and fit-for-purpose. This includes their obligations to produce an annual ESM maintenance report with a statement of compliance.</w:t>
      </w:r>
    </w:p>
    <w:p w14:paraId="54635124" w14:textId="7F90394F" w:rsidR="00A17F6E" w:rsidRPr="00916296" w:rsidRDefault="0088330B" w:rsidP="004A40EB">
      <w:pPr>
        <w:rPr>
          <w:lang w:eastAsia="en-AU"/>
        </w:rPr>
      </w:pPr>
      <w:r>
        <w:rPr>
          <w:lang w:eastAsia="en-AU"/>
        </w:rPr>
        <w:t xml:space="preserve">As part of </w:t>
      </w:r>
      <w:r w:rsidR="00107678">
        <w:rPr>
          <w:lang w:eastAsia="en-AU"/>
        </w:rPr>
        <w:t xml:space="preserve">obtaining registration, OC managers could be required to undertake professional development </w:t>
      </w:r>
      <w:r w:rsidR="00B7397A">
        <w:rPr>
          <w:lang w:eastAsia="en-AU"/>
        </w:rPr>
        <w:t xml:space="preserve">in ESM obligations and record keeping. </w:t>
      </w:r>
      <w:r w:rsidR="00BD70B5">
        <w:t xml:space="preserve">Materials could also be developed to support OCs to employ OC managers that understand ESM requirements and their ongoing </w:t>
      </w:r>
      <w:r w:rsidR="00BD70B5" w:rsidRPr="00916296">
        <w:t>regulatory obligations in relation to building maintenance.</w:t>
      </w:r>
    </w:p>
    <w:p w14:paraId="77277FDC" w14:textId="0126A25B" w:rsidR="00692A67" w:rsidRPr="00916296" w:rsidRDefault="00692A67" w:rsidP="00692A67">
      <w:pPr>
        <w:pStyle w:val="Heading4"/>
      </w:pPr>
      <w:r w:rsidRPr="00916296">
        <w:t>Rationale</w:t>
      </w:r>
    </w:p>
    <w:p w14:paraId="740D79C3" w14:textId="052A17B4" w:rsidR="0055105A" w:rsidRPr="00916296" w:rsidRDefault="0055105A" w:rsidP="00E5170F">
      <w:pPr>
        <w:rPr>
          <w:lang w:eastAsia="en-AU"/>
        </w:rPr>
      </w:pPr>
      <w:r w:rsidRPr="00916296">
        <w:rPr>
          <w:lang w:eastAsia="en-AU"/>
        </w:rPr>
        <w:t xml:space="preserve">MBSs and fire authorities rely on </w:t>
      </w:r>
      <w:r w:rsidR="00784821" w:rsidRPr="00916296">
        <w:rPr>
          <w:lang w:eastAsia="en-AU"/>
        </w:rPr>
        <w:t>completed and up</w:t>
      </w:r>
      <w:r w:rsidR="004D4F33">
        <w:rPr>
          <w:lang w:eastAsia="en-AU"/>
        </w:rPr>
        <w:t>-</w:t>
      </w:r>
      <w:r w:rsidR="00784821" w:rsidRPr="00916296">
        <w:rPr>
          <w:lang w:eastAsia="en-AU"/>
        </w:rPr>
        <w:t>to</w:t>
      </w:r>
      <w:r w:rsidR="004D4F33">
        <w:rPr>
          <w:lang w:eastAsia="en-AU"/>
        </w:rPr>
        <w:t>-</w:t>
      </w:r>
      <w:r w:rsidR="00784821" w:rsidRPr="00916296">
        <w:rPr>
          <w:lang w:eastAsia="en-AU"/>
        </w:rPr>
        <w:t xml:space="preserve">date maintenance records to accurately assess compliance. In </w:t>
      </w:r>
      <w:r w:rsidR="00A74DD6" w:rsidRPr="00916296">
        <w:rPr>
          <w:lang w:eastAsia="en-AU"/>
        </w:rPr>
        <w:t>practice, these often vary in quality and fail to reflect upg</w:t>
      </w:r>
      <w:r w:rsidR="004A31A2" w:rsidRPr="00916296">
        <w:rPr>
          <w:lang w:eastAsia="en-AU"/>
        </w:rPr>
        <w:t xml:space="preserve">rades to the property and ESMs. </w:t>
      </w:r>
      <w:r w:rsidR="001412E7" w:rsidRPr="00916296">
        <w:rPr>
          <w:lang w:eastAsia="en-AU"/>
        </w:rPr>
        <w:t xml:space="preserve">Where owners engage OC </w:t>
      </w:r>
      <w:r w:rsidR="00E704BC" w:rsidRPr="00916296">
        <w:rPr>
          <w:lang w:eastAsia="en-AU"/>
        </w:rPr>
        <w:t>managers,</w:t>
      </w:r>
      <w:r w:rsidR="00431D5F" w:rsidRPr="00916296">
        <w:rPr>
          <w:lang w:eastAsia="en-AU"/>
        </w:rPr>
        <w:t xml:space="preserve"> they are re</w:t>
      </w:r>
      <w:r w:rsidR="00210360" w:rsidRPr="00916296">
        <w:rPr>
          <w:lang w:eastAsia="en-AU"/>
        </w:rPr>
        <w:t xml:space="preserve">sponsible for ESMs in common property. However, </w:t>
      </w:r>
      <w:r w:rsidR="001412E7" w:rsidRPr="00916296">
        <w:rPr>
          <w:lang w:eastAsia="en-AU"/>
        </w:rPr>
        <w:t xml:space="preserve">owners remain responsible for </w:t>
      </w:r>
      <w:r w:rsidR="00A85663" w:rsidRPr="00916296">
        <w:rPr>
          <w:lang w:eastAsia="en-AU"/>
        </w:rPr>
        <w:t xml:space="preserve">ESM compliance in individual lots. </w:t>
      </w:r>
      <w:r w:rsidR="00431D5F" w:rsidRPr="00916296">
        <w:rPr>
          <w:lang w:eastAsia="en-AU"/>
        </w:rPr>
        <w:t>As part of their role, OC managers should have an ongoing responsibility to inform and educate lot owners</w:t>
      </w:r>
      <w:r w:rsidR="00210360" w:rsidRPr="00916296">
        <w:rPr>
          <w:lang w:eastAsia="en-AU"/>
        </w:rPr>
        <w:t xml:space="preserve"> about maintenance and compliance obligations. Currently, there are </w:t>
      </w:r>
      <w:r w:rsidR="003F3EAF" w:rsidRPr="00916296">
        <w:rPr>
          <w:lang w:eastAsia="en-AU"/>
        </w:rPr>
        <w:t>no competency requirements for OC managers in relation to ESMs. This</w:t>
      </w:r>
      <w:r w:rsidR="00916296" w:rsidRPr="00916296">
        <w:rPr>
          <w:lang w:eastAsia="en-AU"/>
        </w:rPr>
        <w:t xml:space="preserve"> leads to </w:t>
      </w:r>
      <w:r w:rsidR="003F3EAF" w:rsidRPr="00916296">
        <w:rPr>
          <w:lang w:eastAsia="en-AU"/>
        </w:rPr>
        <w:t>a lack of understanding by OCs and individual lot owners about ESM maintenance requirements</w:t>
      </w:r>
      <w:r w:rsidR="00201F4B">
        <w:rPr>
          <w:lang w:eastAsia="en-AU"/>
        </w:rPr>
        <w:t>,</w:t>
      </w:r>
      <w:r w:rsidR="00916296" w:rsidRPr="00916296">
        <w:rPr>
          <w:lang w:eastAsia="en-AU"/>
        </w:rPr>
        <w:t xml:space="preserve"> and contributes to inconsistent reporting and poor compliance. </w:t>
      </w:r>
    </w:p>
    <w:p w14:paraId="601CAEFD" w14:textId="1CD0F645" w:rsidR="00EF15D1" w:rsidRDefault="00EF15D1" w:rsidP="00EF15D1">
      <w:pPr>
        <w:pStyle w:val="Heading4"/>
      </w:pPr>
      <w:r>
        <w:t>Outcome</w:t>
      </w:r>
    </w:p>
    <w:p w14:paraId="0FA3CF3B" w14:textId="77777777" w:rsidR="0073715E" w:rsidRDefault="00C417A6" w:rsidP="00E5170F">
      <w:pPr>
        <w:rPr>
          <w:lang w:eastAsia="en-AU"/>
        </w:rPr>
        <w:sectPr w:rsidR="0073715E" w:rsidSect="0073715E">
          <w:footerReference w:type="first" r:id="rId111"/>
          <w:endnotePr>
            <w:numFmt w:val="decimal"/>
          </w:endnotePr>
          <w:type w:val="continuous"/>
          <w:pgSz w:w="11907" w:h="16839" w:code="9"/>
          <w:pgMar w:top="1418" w:right="1418" w:bottom="1701" w:left="1559" w:header="720" w:footer="720" w:gutter="0"/>
          <w:cols w:space="720"/>
          <w:titlePg/>
          <w:docGrid w:linePitch="360"/>
        </w:sectPr>
      </w:pPr>
      <w:r>
        <w:rPr>
          <w:lang w:eastAsia="en-AU"/>
        </w:rPr>
        <w:t xml:space="preserve">Strengthening competencies and obligations of OCs and OC managers </w:t>
      </w:r>
      <w:r w:rsidR="00584CCA">
        <w:rPr>
          <w:lang w:eastAsia="en-AU"/>
        </w:rPr>
        <w:t>will better ensure ongoing safety throughout a building’s lifespan.</w:t>
      </w:r>
      <w:r w:rsidR="00AF09F4">
        <w:rPr>
          <w:lang w:eastAsia="en-AU"/>
        </w:rPr>
        <w:t xml:space="preserve"> Increasing competencies of</w:t>
      </w:r>
      <w:r w:rsidR="00584CCA">
        <w:rPr>
          <w:lang w:eastAsia="en-AU"/>
        </w:rPr>
        <w:t xml:space="preserve"> </w:t>
      </w:r>
      <w:r w:rsidR="00E5170F" w:rsidRPr="00E5170F">
        <w:rPr>
          <w:lang w:eastAsia="en-AU"/>
        </w:rPr>
        <w:t>OC managers</w:t>
      </w:r>
      <w:r w:rsidR="00155AA8">
        <w:rPr>
          <w:lang w:eastAsia="en-AU"/>
        </w:rPr>
        <w:t xml:space="preserve"> </w:t>
      </w:r>
    </w:p>
    <w:p w14:paraId="6BFC8F50" w14:textId="34E30CD3" w:rsidR="008F4C9B" w:rsidRDefault="00AF09F4" w:rsidP="00E5170F">
      <w:pPr>
        <w:rPr>
          <w:lang w:eastAsia="en-AU"/>
        </w:rPr>
      </w:pPr>
      <w:r>
        <w:rPr>
          <w:lang w:eastAsia="en-AU"/>
        </w:rPr>
        <w:lastRenderedPageBreak/>
        <w:t xml:space="preserve">will contribute to more informed </w:t>
      </w:r>
      <w:r w:rsidR="008F4C9B">
        <w:rPr>
          <w:lang w:eastAsia="en-AU"/>
        </w:rPr>
        <w:t>building owners and more accurate annual ESM maintenance report</w:t>
      </w:r>
      <w:r w:rsidR="006D3836">
        <w:rPr>
          <w:lang w:eastAsia="en-AU"/>
        </w:rPr>
        <w:t>s</w:t>
      </w:r>
      <w:r w:rsidR="008F4C9B">
        <w:rPr>
          <w:lang w:eastAsia="en-AU"/>
        </w:rPr>
        <w:t xml:space="preserve">. </w:t>
      </w:r>
    </w:p>
    <w:p w14:paraId="0685A55A" w14:textId="02968296" w:rsidR="00200645" w:rsidRDefault="009442BC" w:rsidP="00200645">
      <w:pPr>
        <w:pStyle w:val="Heading3"/>
      </w:pPr>
      <w:bookmarkStart w:id="190" w:name="_Toc134352884"/>
      <w:bookmarkStart w:id="191" w:name="_Toc134356811"/>
      <w:bookmarkStart w:id="192" w:name="_Toc134356917"/>
      <w:r>
        <w:t>Recommendation 1</w:t>
      </w:r>
      <w:r w:rsidR="00B70BCA">
        <w:t>3</w:t>
      </w:r>
      <w:r>
        <w:t xml:space="preserve"> | </w:t>
      </w:r>
      <w:r w:rsidR="000F7258">
        <w:t xml:space="preserve">Strengthen regulatory requirements relating to complex </w:t>
      </w:r>
      <w:r w:rsidR="004B7276">
        <w:t>plumbing work</w:t>
      </w:r>
      <w:bookmarkEnd w:id="190"/>
      <w:bookmarkEnd w:id="191"/>
      <w:bookmarkEnd w:id="192"/>
    </w:p>
    <w:p w14:paraId="452AAEB9" w14:textId="2C0CC39B" w:rsidR="00C4791E" w:rsidRDefault="00C4791E" w:rsidP="00C4791E">
      <w:pPr>
        <w:pStyle w:val="Heading4"/>
      </w:pPr>
      <w:r>
        <w:t>Description</w:t>
      </w:r>
    </w:p>
    <w:p w14:paraId="510F9D2E" w14:textId="0C9AE78B" w:rsidR="00F1067A" w:rsidRDefault="00F1067A" w:rsidP="00F1067A">
      <w:r>
        <w:rPr>
          <w:lang w:eastAsia="en-AU"/>
        </w:rPr>
        <w:t xml:space="preserve">The Panel proposes four recommendations to strengthen the regulatory requirements for complex plumbing and shift away from the current one-size-fits-all approach to support a modern, future-proof regulatory framework that tailors oversight to risk. These recommendations build on the Panel’s Stage 1 Report which recommended </w:t>
      </w:r>
      <w:r>
        <w:t>that specialist design services</w:t>
      </w:r>
      <w:r w:rsidR="00A86272">
        <w:t xml:space="preserve"> (</w:t>
      </w:r>
      <w:r>
        <w:t>including plumbing design</w:t>
      </w:r>
      <w:r w:rsidR="00AF327A">
        <w:t>)</w:t>
      </w:r>
      <w:r>
        <w:t xml:space="preserve"> be considered as a practitioner class under the Plumbing Regulations. Plumbers or designers performing hydraulic design work would be required to be registered or licensed, hold relevant </w:t>
      </w:r>
      <w:r w:rsidR="009832CC">
        <w:t>PII</w:t>
      </w:r>
      <w:r>
        <w:t>, meet certain competence and qualification requirements, and be subject to regulatory oversight by the regulator.</w:t>
      </w:r>
    </w:p>
    <w:p w14:paraId="0DC802C9" w14:textId="267B6E61" w:rsidR="0036784E" w:rsidRDefault="0036784E" w:rsidP="00865FE4">
      <w:pPr>
        <w:pStyle w:val="Bullet"/>
        <w:numPr>
          <w:ilvl w:val="0"/>
          <w:numId w:val="21"/>
        </w:numPr>
        <w:ind w:left="340" w:hanging="340"/>
      </w:pPr>
      <w:r w:rsidRPr="00C452B0">
        <w:rPr>
          <w:b/>
          <w:bCs/>
        </w:rPr>
        <w:t xml:space="preserve">Introduce </w:t>
      </w:r>
      <w:r>
        <w:rPr>
          <w:b/>
          <w:bCs/>
        </w:rPr>
        <w:t>a</w:t>
      </w:r>
      <w:r w:rsidRPr="00C452B0">
        <w:rPr>
          <w:b/>
          <w:bCs/>
        </w:rPr>
        <w:t xml:space="preserve"> definition of complex plumbing wor</w:t>
      </w:r>
      <w:r w:rsidR="00CC16AD">
        <w:rPr>
          <w:b/>
          <w:bCs/>
        </w:rPr>
        <w:t>k</w:t>
      </w:r>
      <w:r>
        <w:t xml:space="preserve">. Complex plumbing work could be defined in the Act and Plumbing Regulations to provide clarity about the activities and types of services that would fall under any changed regulatory requirements. </w:t>
      </w:r>
    </w:p>
    <w:p w14:paraId="4D1F9E07" w14:textId="2E9CE901" w:rsidR="0036784E" w:rsidRPr="00A40B88" w:rsidRDefault="0036784E" w:rsidP="00865FE4">
      <w:pPr>
        <w:pStyle w:val="Bullet"/>
        <w:numPr>
          <w:ilvl w:val="0"/>
          <w:numId w:val="21"/>
        </w:numPr>
        <w:ind w:left="340" w:hanging="340"/>
      </w:pPr>
      <w:r>
        <w:rPr>
          <w:b/>
        </w:rPr>
        <w:t>Require n</w:t>
      </w:r>
      <w:r w:rsidRPr="009F287A">
        <w:rPr>
          <w:b/>
        </w:rPr>
        <w:t>otification</w:t>
      </w:r>
      <w:r w:rsidRPr="009F287A">
        <w:rPr>
          <w:b/>
          <w:bCs/>
        </w:rPr>
        <w:t xml:space="preserve"> </w:t>
      </w:r>
      <w:r>
        <w:rPr>
          <w:b/>
          <w:bCs/>
        </w:rPr>
        <w:t>to</w:t>
      </w:r>
      <w:r w:rsidRPr="009F287A">
        <w:rPr>
          <w:b/>
          <w:bCs/>
        </w:rPr>
        <w:t xml:space="preserve"> </w:t>
      </w:r>
      <w:r>
        <w:rPr>
          <w:b/>
        </w:rPr>
        <w:t xml:space="preserve">regulator of </w:t>
      </w:r>
      <w:r w:rsidRPr="009F287A">
        <w:rPr>
          <w:b/>
          <w:bCs/>
        </w:rPr>
        <w:t>complex</w:t>
      </w:r>
      <w:r w:rsidR="00CC16AD">
        <w:rPr>
          <w:b/>
          <w:bCs/>
        </w:rPr>
        <w:t xml:space="preserve"> plumbing</w:t>
      </w:r>
      <w:r w:rsidRPr="009F287A">
        <w:rPr>
          <w:b/>
          <w:bCs/>
        </w:rPr>
        <w:t xml:space="preserve"> work</w:t>
      </w:r>
      <w:r>
        <w:t xml:space="preserve">. Persons licensed in a new class of work for hydraulic design could be required to notify the </w:t>
      </w:r>
      <w:r w:rsidR="00D2238F">
        <w:t xml:space="preserve">regulator </w:t>
      </w:r>
      <w:r>
        <w:t xml:space="preserve">of complex plumbing work before it commences. This could improve information available to the regulator and enable the </w:t>
      </w:r>
      <w:r w:rsidR="00D2238F">
        <w:t>regulator</w:t>
      </w:r>
      <w:r>
        <w:t xml:space="preserve"> </w:t>
      </w:r>
      <w:r w:rsidRPr="002957DD">
        <w:t xml:space="preserve">to focus its compliance activities to inspect </w:t>
      </w:r>
      <w:r>
        <w:t xml:space="preserve">work </w:t>
      </w:r>
      <w:r w:rsidRPr="002957DD">
        <w:t>during the construction process.</w:t>
      </w:r>
    </w:p>
    <w:p w14:paraId="50FE578C" w14:textId="64DF0118" w:rsidR="0036784E" w:rsidRDefault="0007718B" w:rsidP="00865FE4">
      <w:pPr>
        <w:pStyle w:val="Bullet"/>
        <w:numPr>
          <w:ilvl w:val="0"/>
          <w:numId w:val="21"/>
        </w:numPr>
        <w:ind w:left="340" w:hanging="340"/>
      </w:pPr>
      <w:r>
        <w:rPr>
          <w:b/>
          <w:bCs/>
        </w:rPr>
        <w:t>Consider introducing requirements for</w:t>
      </w:r>
      <w:r w:rsidR="0036784E" w:rsidRPr="00C452B0">
        <w:rPr>
          <w:b/>
          <w:bCs/>
        </w:rPr>
        <w:t xml:space="preserve"> inspection of complex </w:t>
      </w:r>
      <w:r w:rsidR="00CC16AD">
        <w:rPr>
          <w:b/>
          <w:bCs/>
        </w:rPr>
        <w:t xml:space="preserve">plumbing </w:t>
      </w:r>
      <w:r>
        <w:rPr>
          <w:b/>
          <w:bCs/>
        </w:rPr>
        <w:t>work</w:t>
      </w:r>
      <w:r w:rsidR="0036784E">
        <w:rPr>
          <w:b/>
        </w:rPr>
        <w:t>.</w:t>
      </w:r>
      <w:r w:rsidR="00804567">
        <w:t xml:space="preserve"> The Government should consider introducing requirements for </w:t>
      </w:r>
      <w:r w:rsidR="001D11AC" w:rsidRPr="001D11AC">
        <w:t xml:space="preserve">inspecting </w:t>
      </w:r>
      <w:r w:rsidR="00804567">
        <w:t>these</w:t>
      </w:r>
      <w:r w:rsidR="0036784E">
        <w:t xml:space="preserve"> complex </w:t>
      </w:r>
      <w:r w:rsidR="00804567">
        <w:t xml:space="preserve">works at key stages of the </w:t>
      </w:r>
      <w:r w:rsidR="0036784E">
        <w:t xml:space="preserve">construction </w:t>
      </w:r>
      <w:r w:rsidR="00804567">
        <w:t>process</w:t>
      </w:r>
      <w:r w:rsidR="001D11AC" w:rsidRPr="001D11AC">
        <w:t>. This</w:t>
      </w:r>
      <w:r w:rsidR="00804567">
        <w:t xml:space="preserve"> could be done by l</w:t>
      </w:r>
      <w:r w:rsidR="0036784E">
        <w:t>icensed</w:t>
      </w:r>
      <w:r>
        <w:t xml:space="preserve"> practitioners</w:t>
      </w:r>
      <w:r w:rsidR="00804567">
        <w:t xml:space="preserve"> or the building regulator</w:t>
      </w:r>
      <w:r w:rsidR="0036784E">
        <w:t xml:space="preserve"> to ensure that any issues can be detected and rectified prior to commissioning of the system. </w:t>
      </w:r>
    </w:p>
    <w:p w14:paraId="29409608" w14:textId="2F80D24A" w:rsidR="00023C9F" w:rsidRPr="0036784E" w:rsidRDefault="0036784E" w:rsidP="00865FE4">
      <w:pPr>
        <w:pStyle w:val="ListParagraph"/>
        <w:numPr>
          <w:ilvl w:val="0"/>
          <w:numId w:val="21"/>
        </w:numPr>
        <w:ind w:left="340" w:hanging="340"/>
        <w:rPr>
          <w:lang w:eastAsia="en-AU"/>
        </w:rPr>
      </w:pPr>
      <w:r w:rsidRPr="0036784E">
        <w:rPr>
          <w:b/>
          <w:bCs/>
        </w:rPr>
        <w:t>Introduce certification of designs</w:t>
      </w:r>
      <w:r>
        <w:t>.</w:t>
      </w:r>
      <w:r w:rsidR="0005225E">
        <w:t xml:space="preserve"> </w:t>
      </w:r>
      <w:r>
        <w:t>Licensed hydraulic designers could be required to certify their designs to more appropriately apportion risk between the installing plumber and the design practitioner</w:t>
      </w:r>
      <w:r w:rsidR="001D59AE">
        <w:t>.</w:t>
      </w:r>
    </w:p>
    <w:p w14:paraId="1494FC6F" w14:textId="178AAF10" w:rsidR="00C4791E" w:rsidRDefault="00C4791E" w:rsidP="00C4791E">
      <w:pPr>
        <w:pStyle w:val="Heading4"/>
      </w:pPr>
      <w:r>
        <w:t>Rationale</w:t>
      </w:r>
    </w:p>
    <w:p w14:paraId="3AA2C746" w14:textId="424C4E92" w:rsidR="00B95AFF" w:rsidRDefault="00E706E0" w:rsidP="0036784E">
      <w:pPr>
        <w:rPr>
          <w:lang w:eastAsia="en-AU"/>
        </w:rPr>
      </w:pPr>
      <w:r>
        <w:rPr>
          <w:lang w:eastAsia="en-AU"/>
        </w:rPr>
        <w:t xml:space="preserve">The current regulatory framework </w:t>
      </w:r>
      <w:r w:rsidR="009F195D">
        <w:rPr>
          <w:lang w:eastAsia="en-AU"/>
        </w:rPr>
        <w:t xml:space="preserve">for Victoria’s plumbing sector – including the compliance certification and registration and licensing processes – is broadly robust and effective. However, it is not </w:t>
      </w:r>
      <w:r w:rsidR="00460B42">
        <w:rPr>
          <w:lang w:eastAsia="en-AU"/>
        </w:rPr>
        <w:t xml:space="preserve">equipped to address the growth of complex plumbing systems. </w:t>
      </w:r>
      <w:r w:rsidR="00905585">
        <w:rPr>
          <w:lang w:eastAsia="en-AU"/>
        </w:rPr>
        <w:t xml:space="preserve">The Building Act and Plumbing Regulations do not distinguish between complex and non-complex plumbing work and the same regulatory requirements </w:t>
      </w:r>
      <w:r w:rsidR="00DD6570">
        <w:rPr>
          <w:lang w:eastAsia="en-AU"/>
        </w:rPr>
        <w:t xml:space="preserve">broadly apply to all plumbing work. Moreover, </w:t>
      </w:r>
      <w:r w:rsidR="005E2F2C">
        <w:rPr>
          <w:lang w:eastAsia="en-AU"/>
        </w:rPr>
        <w:t xml:space="preserve">the scope of prefabricated </w:t>
      </w:r>
      <w:r w:rsidR="00F071F9">
        <w:rPr>
          <w:lang w:eastAsia="en-AU"/>
        </w:rPr>
        <w:t>plumbing work certified under WaterMark has expanded significantly since 2018</w:t>
      </w:r>
      <w:r w:rsidR="0061374A">
        <w:rPr>
          <w:lang w:eastAsia="en-AU"/>
        </w:rPr>
        <w:t xml:space="preserve">, increasing the need for clarity over </w:t>
      </w:r>
      <w:r w:rsidR="007051FC">
        <w:rPr>
          <w:lang w:eastAsia="en-AU"/>
        </w:rPr>
        <w:t>prefabricated plumbing work that it otherwise defined as a pluming product.</w:t>
      </w:r>
    </w:p>
    <w:p w14:paraId="7CCE93DB" w14:textId="77777777" w:rsidR="00C4791E" w:rsidRDefault="00C4791E" w:rsidP="00C4791E">
      <w:pPr>
        <w:pStyle w:val="Heading4"/>
      </w:pPr>
      <w:r>
        <w:t>Outcom</w:t>
      </w:r>
      <w:r w:rsidR="00250302">
        <w:t>e</w:t>
      </w:r>
    </w:p>
    <w:p w14:paraId="3730FC93" w14:textId="77777777" w:rsidR="0073715E" w:rsidRDefault="006154E5" w:rsidP="00250302">
      <w:pPr>
        <w:rPr>
          <w:lang w:eastAsia="en-AU"/>
        </w:rPr>
        <w:sectPr w:rsidR="0073715E" w:rsidSect="0073715E">
          <w:footerReference w:type="first" r:id="rId112"/>
          <w:endnotePr>
            <w:numFmt w:val="decimal"/>
          </w:endnotePr>
          <w:type w:val="continuous"/>
          <w:pgSz w:w="11907" w:h="16839" w:code="9"/>
          <w:pgMar w:top="1418" w:right="1418" w:bottom="1701" w:left="1559" w:header="720" w:footer="720" w:gutter="0"/>
          <w:cols w:space="720"/>
          <w:titlePg/>
          <w:docGrid w:linePitch="360"/>
        </w:sectPr>
      </w:pPr>
      <w:r>
        <w:rPr>
          <w:lang w:eastAsia="en-AU"/>
        </w:rPr>
        <w:t xml:space="preserve">Complex and prefabricated plumbing systems will be adequately captured </w:t>
      </w:r>
      <w:r w:rsidR="009B3A1B">
        <w:rPr>
          <w:lang w:eastAsia="en-AU"/>
        </w:rPr>
        <w:t xml:space="preserve">and regulated to address gaps in accountability and to keep pace with the </w:t>
      </w:r>
      <w:r w:rsidR="007505EB">
        <w:rPr>
          <w:lang w:eastAsia="en-AU"/>
        </w:rPr>
        <w:t>production and design of new products</w:t>
      </w:r>
      <w:r w:rsidR="007051FC">
        <w:rPr>
          <w:lang w:eastAsia="en-AU"/>
        </w:rPr>
        <w:t xml:space="preserve"> and processes</w:t>
      </w:r>
      <w:r w:rsidR="007505EB">
        <w:rPr>
          <w:lang w:eastAsia="en-AU"/>
        </w:rPr>
        <w:t>.</w:t>
      </w:r>
    </w:p>
    <w:p w14:paraId="0ECC36B7" w14:textId="714312D7" w:rsidR="00250302" w:rsidRDefault="00250302" w:rsidP="00250302">
      <w:pPr>
        <w:rPr>
          <w:lang w:eastAsia="en-AU"/>
        </w:rPr>
      </w:pPr>
    </w:p>
    <w:p w14:paraId="4B5BB710" w14:textId="40319636" w:rsidR="00B70BCA" w:rsidRPr="00090D83" w:rsidRDefault="00B70BCA" w:rsidP="00B70BCA">
      <w:pPr>
        <w:pStyle w:val="Heading3"/>
      </w:pPr>
      <w:bookmarkStart w:id="193" w:name="_Toc131428725"/>
      <w:bookmarkStart w:id="194" w:name="_Toc134352885"/>
      <w:bookmarkStart w:id="195" w:name="_Toc134356812"/>
      <w:bookmarkStart w:id="196" w:name="_Toc134356918"/>
      <w:r w:rsidRPr="00090D83">
        <w:lastRenderedPageBreak/>
        <w:t>Recommendation 1</w:t>
      </w:r>
      <w:r>
        <w:t>4</w:t>
      </w:r>
      <w:r w:rsidRPr="00090D83">
        <w:t xml:space="preserve"> | </w:t>
      </w:r>
      <w:r w:rsidR="00C02001" w:rsidRPr="00090D83">
        <w:t>Enable the</w:t>
      </w:r>
      <w:r w:rsidR="00C02001">
        <w:t xml:space="preserve"> adoption </w:t>
      </w:r>
      <w:r w:rsidR="00C02001" w:rsidRPr="00090D83">
        <w:t xml:space="preserve">of new technologies, practices and </w:t>
      </w:r>
      <w:r w:rsidRPr="00090D83" w:rsidDel="00C02001">
        <w:t>products</w:t>
      </w:r>
      <w:bookmarkEnd w:id="193"/>
      <w:bookmarkEnd w:id="194"/>
      <w:bookmarkEnd w:id="195"/>
      <w:bookmarkEnd w:id="196"/>
    </w:p>
    <w:p w14:paraId="188ABD94" w14:textId="77777777" w:rsidR="00B70BCA" w:rsidRPr="00090D83" w:rsidRDefault="00B70BCA" w:rsidP="00B70BCA">
      <w:pPr>
        <w:pStyle w:val="Heading4"/>
      </w:pPr>
      <w:r w:rsidRPr="00090D83">
        <w:t>Description</w:t>
      </w:r>
    </w:p>
    <w:p w14:paraId="1D97854C" w14:textId="77777777" w:rsidR="00B70BCA" w:rsidRPr="00090D83" w:rsidRDefault="00B70BCA" w:rsidP="00B70BCA">
      <w:pPr>
        <w:rPr>
          <w:lang w:eastAsia="en-AU"/>
        </w:rPr>
      </w:pPr>
      <w:r w:rsidRPr="00090D83">
        <w:rPr>
          <w:lang w:eastAsia="en-AU"/>
        </w:rPr>
        <w:t>The Panel recommends the regulatory system enables:</w:t>
      </w:r>
    </w:p>
    <w:p w14:paraId="58E186BB" w14:textId="77777777" w:rsidR="00B70BCA" w:rsidRPr="004A66A3" w:rsidRDefault="00B70BCA" w:rsidP="00B70BCA">
      <w:pPr>
        <w:pStyle w:val="Bullet"/>
        <w:rPr>
          <w:b/>
          <w:bCs/>
        </w:rPr>
      </w:pPr>
      <w:r>
        <w:t>t</w:t>
      </w:r>
      <w:r w:rsidRPr="00090D83">
        <w:t>he increased use of recyclable materials, where appropriate</w:t>
      </w:r>
      <w:r>
        <w:t>; and</w:t>
      </w:r>
      <w:r w:rsidRPr="00090D83">
        <w:t xml:space="preserve"> </w:t>
      </w:r>
    </w:p>
    <w:p w14:paraId="5EFA90C5" w14:textId="5BAC1CE8" w:rsidR="00B70BCA" w:rsidRPr="005031CD" w:rsidRDefault="00B70BCA" w:rsidP="00B70BCA">
      <w:pPr>
        <w:pStyle w:val="Bullet"/>
        <w:rPr>
          <w:b/>
          <w:bCs/>
        </w:rPr>
      </w:pPr>
      <w:r>
        <w:t>t</w:t>
      </w:r>
      <w:r w:rsidRPr="004A66A3">
        <w:t>he adoption of B</w:t>
      </w:r>
      <w:r w:rsidR="006979B9">
        <w:t>IM</w:t>
      </w:r>
      <w:r w:rsidRPr="004A66A3">
        <w:t xml:space="preserve"> (3D technology)</w:t>
      </w:r>
      <w:r w:rsidR="008A5E26">
        <w:t xml:space="preserve"> and</w:t>
      </w:r>
      <w:r w:rsidRPr="004A66A3">
        <w:t xml:space="preserve"> Digital Twin by the industry and regulatory entities. </w:t>
      </w:r>
    </w:p>
    <w:p w14:paraId="4D90B16E" w14:textId="77777777" w:rsidR="00B70BCA" w:rsidRPr="00AE4408" w:rsidRDefault="00B70BCA" w:rsidP="00B70BCA">
      <w:pPr>
        <w:pStyle w:val="Bullet"/>
        <w:numPr>
          <w:ilvl w:val="0"/>
          <w:numId w:val="0"/>
        </w:numPr>
        <w:rPr>
          <w:b/>
          <w:bCs/>
        </w:rPr>
      </w:pPr>
      <w:r>
        <w:t xml:space="preserve">Ongoing support should be provided </w:t>
      </w:r>
      <w:r w:rsidRPr="00090D83">
        <w:t xml:space="preserve">for existing programs to incentivise the uptake of alternate building materials and additional programs which align with the targets of the National Waste </w:t>
      </w:r>
      <w:r w:rsidRPr="004A66A3">
        <w:t xml:space="preserve">Policy Action Plan. </w:t>
      </w:r>
      <w:r w:rsidRPr="00090D83">
        <w:t>This can reduce construction waste and relieve supply chain constraints</w:t>
      </w:r>
      <w:r>
        <w:t>.</w:t>
      </w:r>
      <w:r w:rsidRPr="00AE4408">
        <w:t xml:space="preserve"> </w:t>
      </w:r>
      <w:r w:rsidRPr="004A66A3">
        <w:t>Both safety and quality will need to be assured with the adoption of new construction practices.</w:t>
      </w:r>
      <w:r w:rsidRPr="004A66A3">
        <w:rPr>
          <w:rStyle w:val="EndnoteReference"/>
        </w:rPr>
        <w:endnoteReference w:id="112"/>
      </w:r>
      <w:r>
        <w:rPr>
          <w:b/>
          <w:bCs/>
        </w:rPr>
        <w:t xml:space="preserve"> </w:t>
      </w:r>
      <w:r w:rsidRPr="004A66A3">
        <w:t>Regulatory settings must therefore be done in a way that is outcomes focused.</w:t>
      </w:r>
    </w:p>
    <w:p w14:paraId="42F396F6" w14:textId="77777777" w:rsidR="00B70BCA" w:rsidRPr="00090D83" w:rsidRDefault="00B70BCA" w:rsidP="00B70BCA">
      <w:pPr>
        <w:pStyle w:val="Bullet"/>
        <w:numPr>
          <w:ilvl w:val="0"/>
          <w:numId w:val="0"/>
        </w:numPr>
      </w:pPr>
      <w:r w:rsidRPr="004A66A3">
        <w:t xml:space="preserve">This may include amendments to the </w:t>
      </w:r>
      <w:r>
        <w:t xml:space="preserve">legislative framework </w:t>
      </w:r>
      <w:r w:rsidRPr="004A66A3">
        <w:t>to remove</w:t>
      </w:r>
      <w:r w:rsidRPr="00090D83">
        <w:t xml:space="preserve"> regulatory barriers that otherwise prevent the adoption of new technologies, practices and products. </w:t>
      </w:r>
    </w:p>
    <w:p w14:paraId="15F33895" w14:textId="77777777" w:rsidR="00B70BCA" w:rsidRPr="004E608B" w:rsidRDefault="00B70BCA" w:rsidP="00B70BCA">
      <w:pPr>
        <w:pStyle w:val="Heading4"/>
      </w:pPr>
      <w:r w:rsidRPr="004E608B">
        <w:t>Rationale</w:t>
      </w:r>
    </w:p>
    <w:p w14:paraId="2ECE5E1C" w14:textId="04F714D8" w:rsidR="00B70BCA" w:rsidRPr="004E608B" w:rsidRDefault="00B70BCA" w:rsidP="00B70BCA">
      <w:pPr>
        <w:rPr>
          <w:lang w:eastAsia="en-AU"/>
        </w:rPr>
      </w:pPr>
      <w:r w:rsidRPr="004E608B">
        <w:t xml:space="preserve">Improvements to the regulatory framework can incentivise innovation. </w:t>
      </w:r>
      <w:r w:rsidRPr="004E608B">
        <w:rPr>
          <w:lang w:eastAsia="en-AU"/>
        </w:rPr>
        <w:t xml:space="preserve">The new regulatory system needs to enable innovative building practices and digital technologies and be responsive to increased demand for recycled products and greater sustainability of the built environment overall. </w:t>
      </w:r>
      <w:r w:rsidRPr="004E608B">
        <w:t>In the longer-term, there is an opportunity to further embed new building software in regulatory compliance processes. For example, 3D modelling and project-management software can collate data from a building site to create real-time version of projects during construction.</w:t>
      </w:r>
      <w:r w:rsidRPr="004E608B">
        <w:rPr>
          <w:rStyle w:val="EndnoteReference"/>
        </w:rPr>
        <w:endnoteReference w:id="113"/>
      </w:r>
      <w:r w:rsidRPr="004E608B">
        <w:t xml:space="preserve"> This gives the regulator a clearer line of sight to determine whether non-compliance arises as a result of the designs in the building permit, or failure by a builder to build to the building permit. In Stage 3 of the Review, the Panel will propose a new building legislative framework. A key feature of this will be technological neutrality to ensure that it is sufficiently flexible to support future advancements in building technologies.</w:t>
      </w:r>
    </w:p>
    <w:p w14:paraId="3DFD1191" w14:textId="77777777" w:rsidR="00B70BCA" w:rsidRPr="0027009A" w:rsidRDefault="00B70BCA" w:rsidP="00B70BCA">
      <w:pPr>
        <w:pStyle w:val="Heading4"/>
      </w:pPr>
      <w:r w:rsidRPr="0027009A">
        <w:t xml:space="preserve">Outcome </w:t>
      </w:r>
    </w:p>
    <w:p w14:paraId="4D04051A" w14:textId="76AFCBFA" w:rsidR="00B70BCA" w:rsidRPr="00250302" w:rsidRDefault="00B70BCA" w:rsidP="00250302">
      <w:pPr>
        <w:rPr>
          <w:lang w:eastAsia="en-AU"/>
        </w:rPr>
        <w:sectPr w:rsidR="00B70BCA" w:rsidRPr="00250302" w:rsidSect="0073715E">
          <w:footerReference w:type="default" r:id="rId113"/>
          <w:endnotePr>
            <w:numFmt w:val="decimal"/>
          </w:endnotePr>
          <w:type w:val="continuous"/>
          <w:pgSz w:w="11907" w:h="16839" w:code="9"/>
          <w:pgMar w:top="1418" w:right="1418" w:bottom="1701" w:left="1559" w:header="720" w:footer="720" w:gutter="0"/>
          <w:cols w:space="720"/>
          <w:titlePg/>
          <w:docGrid w:linePitch="360"/>
        </w:sectPr>
      </w:pPr>
      <w:r w:rsidRPr="0027009A">
        <w:rPr>
          <w:lang w:eastAsia="en-AU"/>
        </w:rPr>
        <w:t>The regulatory environment will be flexible to new building technologies and practices</w:t>
      </w:r>
      <w:r w:rsidR="00C6666C">
        <w:rPr>
          <w:lang w:eastAsia="en-AU"/>
        </w:rPr>
        <w:t xml:space="preserve"> –</w:t>
      </w:r>
      <w:r w:rsidRPr="0027009A">
        <w:rPr>
          <w:lang w:eastAsia="en-AU"/>
        </w:rPr>
        <w:t xml:space="preserve"> such as the use of recycled, alternate materials and prefabricated building work</w:t>
      </w:r>
      <w:r w:rsidR="00C6666C">
        <w:rPr>
          <w:lang w:eastAsia="en-AU"/>
        </w:rPr>
        <w:t xml:space="preserve"> –</w:t>
      </w:r>
      <w:r w:rsidRPr="0027009A">
        <w:rPr>
          <w:lang w:eastAsia="en-AU"/>
        </w:rPr>
        <w:t xml:space="preserve"> while ensuring compliance and protecting the health and safety of those who occupy and use buildings. </w:t>
      </w:r>
    </w:p>
    <w:p w14:paraId="57D9C779" w14:textId="7A049CF7" w:rsidR="002C5AF8" w:rsidRDefault="0097136F" w:rsidP="002C5AF8">
      <w:pPr>
        <w:pStyle w:val="Heading1"/>
      </w:pPr>
      <w:bookmarkStart w:id="197" w:name="_Toc134356813"/>
      <w:bookmarkStart w:id="198" w:name="_Toc134356919"/>
      <w:r>
        <w:rPr>
          <w:noProof/>
        </w:rPr>
        <w:lastRenderedPageBreak/>
        <w:drawing>
          <wp:anchor distT="0" distB="0" distL="114300" distR="114300" simplePos="0" relativeHeight="251658249" behindDoc="1" locked="0" layoutInCell="1" allowOverlap="1" wp14:anchorId="0E93C2C3" wp14:editId="14D5F650">
            <wp:simplePos x="0" y="0"/>
            <wp:positionH relativeFrom="column">
              <wp:posOffset>3038475</wp:posOffset>
            </wp:positionH>
            <wp:positionV relativeFrom="paragraph">
              <wp:posOffset>-883285</wp:posOffset>
            </wp:positionV>
            <wp:extent cx="3556635" cy="10887075"/>
            <wp:effectExtent l="0" t="0" r="5715" b="9525"/>
            <wp:wrapNone/>
            <wp:docPr id="27859" name="Picture 2785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pic:nvPicPr>
                  <pic:blipFill rotWithShape="1">
                    <a:blip r:embed="rId114" cstate="print">
                      <a:extLst>
                        <a:ext uri="{28A0092B-C50C-407E-A947-70E740481C1C}">
                          <a14:useLocalDpi xmlns:a14="http://schemas.microsoft.com/office/drawing/2010/main" val="0"/>
                        </a:ext>
                      </a:extLst>
                    </a:blip>
                    <a:srcRect l="46687" t="292" r="7119" b="-292"/>
                    <a:stretch/>
                  </pic:blipFill>
                  <pic:spPr bwMode="auto">
                    <a:xfrm>
                      <a:off x="0" y="0"/>
                      <a:ext cx="3556635" cy="1088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5AF8">
        <w:t>Next steps</w:t>
      </w:r>
      <w:bookmarkEnd w:id="197"/>
      <w:bookmarkEnd w:id="198"/>
    </w:p>
    <w:p w14:paraId="001A1850" w14:textId="565D73C5" w:rsidR="00365AF6" w:rsidRDefault="00365AF6" w:rsidP="00DB0104">
      <w:pPr>
        <w:rPr>
          <w:noProof/>
        </w:rPr>
        <w:sectPr w:rsidR="00365AF6" w:rsidSect="0053216C">
          <w:endnotePr>
            <w:numFmt w:val="decimal"/>
          </w:endnotePr>
          <w:pgSz w:w="11907" w:h="16839" w:code="9"/>
          <w:pgMar w:top="1418" w:right="1418" w:bottom="1701" w:left="1559" w:header="720" w:footer="720" w:gutter="0"/>
          <w:cols w:num="2" w:space="539"/>
          <w:docGrid w:linePitch="360"/>
        </w:sectPr>
      </w:pPr>
      <w:r w:rsidRPr="003C5BF1">
        <w:rPr>
          <w:lang w:eastAsia="en-AU"/>
        </w:rPr>
        <w:t>In Stage 3, the Panel will look to develop a new Building Act that is technology neutral and responsive to a modern construction sector. In establishing a new Building Act, the Panel will consider how the form and operation of the Building Act and Regulations might be reformed for the benefit of the Victorian building industry, consumers and the economy.</w:t>
      </w:r>
      <w:r w:rsidRPr="003C5BF1">
        <w:rPr>
          <w:rStyle w:val="EndnoteReference"/>
          <w:lang w:eastAsia="en-AU"/>
        </w:rPr>
        <w:endnoteReference w:id="114"/>
      </w:r>
    </w:p>
    <w:p w14:paraId="12D0AC67" w14:textId="28782BCC" w:rsidR="003E2DF1" w:rsidRPr="00740CF7" w:rsidRDefault="003E2DF1" w:rsidP="00790F5E">
      <w:pPr>
        <w:rPr>
          <w:highlight w:val="lightGray"/>
          <w14:scene3d>
            <w14:camera w14:prst="orthographicFront"/>
            <w14:lightRig w14:rig="threePt" w14:dir="t">
              <w14:rot w14:lat="0" w14:lon="0" w14:rev="0"/>
            </w14:lightRig>
          </w14:scene3d>
        </w:rPr>
      </w:pPr>
      <w:bookmarkStart w:id="199" w:name="_Ref128509763"/>
      <w:bookmarkStart w:id="200" w:name="_Ref128509791"/>
      <w:bookmarkStart w:id="201" w:name="_Ref128509821"/>
      <w:bookmarkStart w:id="202" w:name="_Ref128509826"/>
      <w:bookmarkStart w:id="203" w:name="_Toc128646445"/>
    </w:p>
    <w:p w14:paraId="6F3C4D6F" w14:textId="77777777" w:rsidR="00D160EC" w:rsidRDefault="00D160EC" w:rsidP="00BF5BD8">
      <w:pPr>
        <w:pStyle w:val="xAppendixLevel1"/>
        <w:numPr>
          <w:ilvl w:val="0"/>
          <w:numId w:val="19"/>
        </w:numPr>
      </w:pPr>
      <w:bookmarkStart w:id="204" w:name="_Ref64456330"/>
      <w:bookmarkStart w:id="205" w:name="_Toc66807581"/>
      <w:bookmarkStart w:id="206" w:name="_Toc134356814"/>
      <w:bookmarkStart w:id="207" w:name="_Toc134356920"/>
      <w:bookmarkStart w:id="208" w:name="_Ref131412560"/>
      <w:r>
        <w:lastRenderedPageBreak/>
        <w:t>- Early Initiatives</w:t>
      </w:r>
      <w:bookmarkEnd w:id="204"/>
      <w:bookmarkEnd w:id="205"/>
      <w:bookmarkEnd w:id="206"/>
      <w:bookmarkEnd w:id="207"/>
    </w:p>
    <w:p w14:paraId="777393E1" w14:textId="77777777" w:rsidR="00D160EC" w:rsidRPr="00513E9D" w:rsidRDefault="00D160EC" w:rsidP="00D160EC">
      <w:r w:rsidRPr="00513E9D">
        <w:t>As requested in the Terms of Reference, the Panel has advised the Minister for Planning on some Early Initiatives to improve the building system.</w:t>
      </w:r>
    </w:p>
    <w:p w14:paraId="27FD28FC" w14:textId="7A11BEA4" w:rsidR="00D160EC" w:rsidRPr="00513E9D" w:rsidRDefault="00D160EC" w:rsidP="00D160EC">
      <w:pPr>
        <w:pStyle w:val="Listnumbered"/>
        <w:numPr>
          <w:ilvl w:val="0"/>
          <w:numId w:val="0"/>
        </w:numPr>
        <w:spacing w:before="240"/>
        <w:ind w:left="360" w:hanging="360"/>
        <w:rPr>
          <w:rStyle w:val="Strong"/>
        </w:rPr>
      </w:pPr>
      <w:r w:rsidRPr="00513E9D">
        <w:rPr>
          <w:rStyle w:val="Strong"/>
        </w:rPr>
        <w:t xml:space="preserve">Establish a centralised building consumer information and support service </w:t>
      </w:r>
    </w:p>
    <w:p w14:paraId="361A03F8" w14:textId="77777777" w:rsidR="00D160EC" w:rsidRPr="00513E9D" w:rsidRDefault="00D160EC" w:rsidP="00D160EC">
      <w:r w:rsidRPr="00513E9D">
        <w:t xml:space="preserve">There are five key Victorian government agencies which interact with consumers of building services: </w:t>
      </w:r>
    </w:p>
    <w:p w14:paraId="1F171251" w14:textId="77777777" w:rsidR="00D160EC" w:rsidRPr="00513E9D" w:rsidRDefault="00D160EC" w:rsidP="00D160EC">
      <w:pPr>
        <w:pStyle w:val="ListBullet"/>
        <w:numPr>
          <w:ilvl w:val="0"/>
          <w:numId w:val="17"/>
        </w:numPr>
        <w:spacing w:before="120" w:line="240" w:lineRule="atLeast"/>
        <w:ind w:left="357" w:hanging="357"/>
        <w:contextualSpacing w:val="0"/>
        <w:rPr>
          <w:sz w:val="22"/>
          <w:szCs w:val="22"/>
        </w:rPr>
      </w:pPr>
      <w:r w:rsidRPr="00513E9D">
        <w:rPr>
          <w:sz w:val="22"/>
          <w:szCs w:val="22"/>
        </w:rPr>
        <w:t xml:space="preserve">ARBV; </w:t>
      </w:r>
    </w:p>
    <w:p w14:paraId="5326835E" w14:textId="77777777" w:rsidR="00D160EC" w:rsidRPr="00513E9D" w:rsidRDefault="00D160EC" w:rsidP="00D160EC">
      <w:pPr>
        <w:pStyle w:val="ListBullet"/>
        <w:numPr>
          <w:ilvl w:val="0"/>
          <w:numId w:val="17"/>
        </w:numPr>
        <w:spacing w:before="120" w:line="240" w:lineRule="atLeast"/>
        <w:ind w:left="357" w:hanging="357"/>
        <w:contextualSpacing w:val="0"/>
        <w:rPr>
          <w:sz w:val="22"/>
          <w:szCs w:val="22"/>
        </w:rPr>
      </w:pPr>
      <w:r w:rsidRPr="00513E9D">
        <w:rPr>
          <w:sz w:val="22"/>
          <w:szCs w:val="22"/>
        </w:rPr>
        <w:t>CAV;</w:t>
      </w:r>
    </w:p>
    <w:p w14:paraId="078A941B" w14:textId="77777777" w:rsidR="00D160EC" w:rsidRPr="00513E9D" w:rsidRDefault="00D160EC" w:rsidP="00D160EC">
      <w:pPr>
        <w:pStyle w:val="ListBullet"/>
        <w:numPr>
          <w:ilvl w:val="0"/>
          <w:numId w:val="17"/>
        </w:numPr>
        <w:spacing w:before="120" w:line="240" w:lineRule="atLeast"/>
        <w:ind w:left="357" w:hanging="357"/>
        <w:contextualSpacing w:val="0"/>
        <w:rPr>
          <w:sz w:val="22"/>
          <w:szCs w:val="22"/>
        </w:rPr>
      </w:pPr>
      <w:r w:rsidRPr="00513E9D">
        <w:rPr>
          <w:sz w:val="22"/>
          <w:szCs w:val="22"/>
        </w:rPr>
        <w:t>DBDRV;</w:t>
      </w:r>
    </w:p>
    <w:p w14:paraId="6A6072F3" w14:textId="77777777" w:rsidR="00D160EC" w:rsidRPr="00513E9D" w:rsidRDefault="00D160EC" w:rsidP="00D160EC">
      <w:pPr>
        <w:pStyle w:val="ListBullet"/>
        <w:numPr>
          <w:ilvl w:val="0"/>
          <w:numId w:val="17"/>
        </w:numPr>
        <w:spacing w:before="120" w:line="240" w:lineRule="atLeast"/>
        <w:ind w:left="357" w:hanging="357"/>
        <w:contextualSpacing w:val="0"/>
        <w:rPr>
          <w:sz w:val="22"/>
          <w:szCs w:val="22"/>
        </w:rPr>
      </w:pPr>
      <w:r w:rsidRPr="00513E9D">
        <w:rPr>
          <w:sz w:val="22"/>
          <w:szCs w:val="22"/>
        </w:rPr>
        <w:t>VBA; and</w:t>
      </w:r>
    </w:p>
    <w:p w14:paraId="1126B563" w14:textId="77777777" w:rsidR="00D160EC" w:rsidRPr="00513E9D" w:rsidRDefault="00D160EC" w:rsidP="00D160EC">
      <w:pPr>
        <w:pStyle w:val="ListBullet"/>
        <w:numPr>
          <w:ilvl w:val="0"/>
          <w:numId w:val="17"/>
        </w:numPr>
        <w:spacing w:before="120" w:line="240" w:lineRule="atLeast"/>
        <w:ind w:left="357" w:hanging="357"/>
        <w:contextualSpacing w:val="0"/>
        <w:rPr>
          <w:sz w:val="22"/>
          <w:szCs w:val="22"/>
        </w:rPr>
      </w:pPr>
      <w:r w:rsidRPr="00513E9D">
        <w:rPr>
          <w:sz w:val="22"/>
          <w:szCs w:val="22"/>
        </w:rPr>
        <w:t xml:space="preserve">VMIA. </w:t>
      </w:r>
    </w:p>
    <w:p w14:paraId="15095A07" w14:textId="14BB8E25" w:rsidR="00D160EC" w:rsidRPr="00513E9D" w:rsidRDefault="00D160EC" w:rsidP="00D160EC">
      <w:r w:rsidRPr="00513E9D">
        <w:t xml:space="preserve">Consumers often find it difficult to identify which body they should contact to seek information, make a complaint or resolve a dispute. </w:t>
      </w:r>
    </w:p>
    <w:p w14:paraId="22CF87D3" w14:textId="77777777" w:rsidR="00D160EC" w:rsidRPr="00513E9D" w:rsidRDefault="00D160EC" w:rsidP="00D160EC">
      <w:r w:rsidRPr="00513E9D">
        <w:t xml:space="preserve">The centralised service would support consumers by: </w:t>
      </w:r>
    </w:p>
    <w:p w14:paraId="0E9A75DC" w14:textId="77777777" w:rsidR="00D160EC" w:rsidRPr="00513E9D" w:rsidRDefault="00D160EC" w:rsidP="00D160EC">
      <w:pPr>
        <w:pStyle w:val="ListBullet"/>
        <w:numPr>
          <w:ilvl w:val="0"/>
          <w:numId w:val="17"/>
        </w:numPr>
        <w:spacing w:before="120" w:line="240" w:lineRule="atLeast"/>
        <w:ind w:left="357" w:hanging="357"/>
        <w:contextualSpacing w:val="0"/>
        <w:rPr>
          <w:sz w:val="22"/>
          <w:szCs w:val="22"/>
        </w:rPr>
      </w:pPr>
      <w:r w:rsidRPr="00513E9D">
        <w:rPr>
          <w:sz w:val="22"/>
          <w:szCs w:val="22"/>
        </w:rPr>
        <w:t xml:space="preserve">providing a single, easily accessible first point of contact; </w:t>
      </w:r>
    </w:p>
    <w:p w14:paraId="56A821FB" w14:textId="77777777" w:rsidR="00D160EC" w:rsidRPr="00513E9D" w:rsidRDefault="00D160EC" w:rsidP="00D160EC">
      <w:pPr>
        <w:pStyle w:val="ListBullet"/>
        <w:numPr>
          <w:ilvl w:val="0"/>
          <w:numId w:val="17"/>
        </w:numPr>
        <w:spacing w:before="120" w:line="240" w:lineRule="atLeast"/>
        <w:ind w:left="357" w:hanging="357"/>
        <w:contextualSpacing w:val="0"/>
        <w:rPr>
          <w:sz w:val="22"/>
          <w:szCs w:val="22"/>
        </w:rPr>
      </w:pPr>
      <w:r w:rsidRPr="00513E9D">
        <w:rPr>
          <w:sz w:val="22"/>
          <w:szCs w:val="22"/>
        </w:rPr>
        <w:t>assisting them to navigate the building system by directing them to the correct organisation more efficiently;</w:t>
      </w:r>
    </w:p>
    <w:p w14:paraId="0B2C88B5" w14:textId="1B15A73D" w:rsidR="00D160EC" w:rsidRPr="00513E9D" w:rsidRDefault="00D160EC" w:rsidP="00D160EC">
      <w:pPr>
        <w:pStyle w:val="ListBullet"/>
        <w:numPr>
          <w:ilvl w:val="0"/>
          <w:numId w:val="17"/>
        </w:numPr>
        <w:spacing w:before="120" w:line="240" w:lineRule="atLeast"/>
        <w:ind w:left="357" w:hanging="357"/>
        <w:contextualSpacing w:val="0"/>
        <w:rPr>
          <w:sz w:val="22"/>
          <w:szCs w:val="22"/>
        </w:rPr>
      </w:pPr>
      <w:r w:rsidRPr="00513E9D">
        <w:rPr>
          <w:sz w:val="22"/>
          <w:szCs w:val="22"/>
        </w:rPr>
        <w:t>cutting down delay, misinformation and unnecessary referrals; and</w:t>
      </w:r>
    </w:p>
    <w:p w14:paraId="46853828" w14:textId="28BD87F5" w:rsidR="00D160EC" w:rsidRPr="00513E9D" w:rsidRDefault="00D160EC" w:rsidP="00D160EC">
      <w:pPr>
        <w:pStyle w:val="ListBullet"/>
        <w:numPr>
          <w:ilvl w:val="0"/>
          <w:numId w:val="17"/>
        </w:numPr>
        <w:spacing w:before="120" w:line="240" w:lineRule="atLeast"/>
        <w:ind w:left="357" w:hanging="357"/>
        <w:contextualSpacing w:val="0"/>
        <w:rPr>
          <w:sz w:val="22"/>
          <w:szCs w:val="22"/>
        </w:rPr>
      </w:pPr>
      <w:r w:rsidRPr="00513E9D">
        <w:rPr>
          <w:sz w:val="22"/>
          <w:szCs w:val="22"/>
        </w:rPr>
        <w:t xml:space="preserve">providing easy access to basic information about the building system targeted to the consumer’s particular circumstances. </w:t>
      </w:r>
    </w:p>
    <w:p w14:paraId="7FC83D67" w14:textId="77777777" w:rsidR="00D160EC" w:rsidRPr="00513E9D" w:rsidRDefault="00D160EC" w:rsidP="00D160EC">
      <w:r w:rsidRPr="00513E9D">
        <w:t>The service could also provide information for consumers on the importance of regular building maintenance.</w:t>
      </w:r>
    </w:p>
    <w:p w14:paraId="3FE8A7AE" w14:textId="6A735F2E" w:rsidR="00D160EC" w:rsidRPr="00513E9D" w:rsidRDefault="00D160EC" w:rsidP="00D160EC">
      <w:r w:rsidRPr="00513E9D">
        <w:t>This initiative would have a number of benefits, including increasing consumer confidence, addressing information asymmetry</w:t>
      </w:r>
      <w:r w:rsidR="004C1FFE">
        <w:t>,</w:t>
      </w:r>
      <w:r w:rsidRPr="00513E9D">
        <w:t xml:space="preserve"> and improving consumer awareness and education effectively and efficiently in accessing the sector.</w:t>
      </w:r>
    </w:p>
    <w:p w14:paraId="5B75A370" w14:textId="77777777" w:rsidR="00D160EC" w:rsidRPr="00502A28" w:rsidRDefault="00D160EC" w:rsidP="00D160EC">
      <w:pPr>
        <w:pStyle w:val="Listnumbered"/>
        <w:numPr>
          <w:ilvl w:val="0"/>
          <w:numId w:val="0"/>
        </w:numPr>
        <w:ind w:left="360" w:hanging="360"/>
        <w:rPr>
          <w:rStyle w:val="Strong"/>
        </w:rPr>
      </w:pPr>
      <w:r w:rsidRPr="00502A28">
        <w:rPr>
          <w:rStyle w:val="Strong"/>
        </w:rPr>
        <w:t>Consider a pathway to project-based insurance in Victoria</w:t>
      </w:r>
    </w:p>
    <w:p w14:paraId="4B0BE8BD" w14:textId="16C1E0C9" w:rsidR="00D160EC" w:rsidRDefault="00D160EC" w:rsidP="00D160EC">
      <w:r>
        <w:t>PB insurance policies can provide a single, first resort, insurance instrument that unites the interests and strengthens the accountability of all parties involved in a single building project such as owners, financiers, consultants, designers, engineers, surveyors, builders</w:t>
      </w:r>
      <w:r w:rsidR="002528B5">
        <w:t xml:space="preserve"> and</w:t>
      </w:r>
      <w:r>
        <w:t xml:space="preserve"> other trades. PB insurance models are common in other jurisdictions such as Europe and can include decennial liability or </w:t>
      </w:r>
      <w:r w:rsidR="0047720B">
        <w:t>I</w:t>
      </w:r>
      <w:r>
        <w:t xml:space="preserve">nherent </w:t>
      </w:r>
      <w:r w:rsidR="0047720B">
        <w:t>D</w:t>
      </w:r>
      <w:r>
        <w:t xml:space="preserve">efects </w:t>
      </w:r>
      <w:r w:rsidR="0047720B">
        <w:t>I</w:t>
      </w:r>
      <w:r>
        <w:t>nsurance</w:t>
      </w:r>
      <w:r w:rsidR="000C21F3">
        <w:t xml:space="preserve"> (IDI)</w:t>
      </w:r>
      <w:r>
        <w:t xml:space="preserve">. Currently, Victoria has last resort DBI for buildings up to and including three storeys and is over reliant on the PI insurance of building surveyors. For class 2 buildings, including residential high rise above three storeys, there is no DBI. </w:t>
      </w:r>
    </w:p>
    <w:p w14:paraId="22EC6777" w14:textId="77777777" w:rsidR="00D160EC" w:rsidRDefault="00D160EC" w:rsidP="00D160EC">
      <w:r>
        <w:t xml:space="preserve">The Panel advised that the Government to investigate the viability of adopting first resort project-based insurance models for the Victorian building regulatory system. </w:t>
      </w:r>
    </w:p>
    <w:p w14:paraId="6249FAAC" w14:textId="77777777" w:rsidR="00D160EC" w:rsidRPr="00502A28" w:rsidRDefault="00D160EC" w:rsidP="00D160EC">
      <w:pPr>
        <w:pStyle w:val="Listnumbered"/>
        <w:numPr>
          <w:ilvl w:val="0"/>
          <w:numId w:val="0"/>
        </w:numPr>
        <w:ind w:left="360" w:hanging="360"/>
        <w:rPr>
          <w:rStyle w:val="Strong"/>
        </w:rPr>
      </w:pPr>
      <w:r>
        <w:rPr>
          <w:rStyle w:val="Strong"/>
        </w:rPr>
        <w:t>P</w:t>
      </w:r>
      <w:r w:rsidRPr="00502A28">
        <w:rPr>
          <w:rStyle w:val="Strong"/>
        </w:rPr>
        <w:t>romote consumer awareness about building consultants</w:t>
      </w:r>
    </w:p>
    <w:p w14:paraId="22FF2D8A" w14:textId="77777777" w:rsidR="0073715E" w:rsidRDefault="00D160EC" w:rsidP="00D160EC">
      <w:pPr>
        <w:sectPr w:rsidR="0073715E" w:rsidSect="0053216C">
          <w:headerReference w:type="even" r:id="rId115"/>
          <w:headerReference w:type="default" r:id="rId116"/>
          <w:footerReference w:type="default" r:id="rId117"/>
          <w:headerReference w:type="first" r:id="rId118"/>
          <w:footerReference w:type="first" r:id="rId119"/>
          <w:pgSz w:w="11907" w:h="16839" w:code="9"/>
          <w:pgMar w:top="1418" w:right="1418" w:bottom="1701" w:left="1559" w:header="720" w:footer="720" w:gutter="0"/>
          <w:cols w:space="720"/>
          <w:titlePg/>
          <w:docGrid w:linePitch="360"/>
        </w:sectPr>
      </w:pPr>
      <w:r>
        <w:t>Building consultants are engaged by consumers to check on quality at defined stages of the build. Alternatively, they can be engaged post-occupation to investigate potential defects in a building. They are not a registered category of practitioner, although some may be registered as builders or architects</w:t>
      </w:r>
      <w:r w:rsidR="00055269">
        <w:t>, for example</w:t>
      </w:r>
      <w:r>
        <w:t xml:space="preserve">. These consultants, whether registered </w:t>
      </w:r>
    </w:p>
    <w:p w14:paraId="4B228C66" w14:textId="49AA4683" w:rsidR="00D160EC" w:rsidRPr="004C5508" w:rsidRDefault="00D160EC" w:rsidP="00D160EC">
      <w:pPr>
        <w:rPr>
          <w:i/>
        </w:rPr>
      </w:pPr>
      <w:r w:rsidRPr="004C5508">
        <w:lastRenderedPageBreak/>
        <w:t>practitioners or not, are not subject to regulatory oversight since they are not carrying out building work as defined under the Building Act.</w:t>
      </w:r>
    </w:p>
    <w:p w14:paraId="0770FED3" w14:textId="77777777" w:rsidR="00D160EC" w:rsidRPr="004C5508" w:rsidRDefault="00D160EC" w:rsidP="00D160EC">
      <w:r w:rsidRPr="004C5508">
        <w:t>The rise in use of building consultants as third-party quality checkers in part stems from an increasing lack of trust in building professionals. Consumers can fear unscrupulous builders will take shortcuts and leave them with a need to remedy defective work. Building consultants can exploit this lack of confidence by advising their potential clients an independent consultant is needed to protect their interests. In some cases, consultants issue reports that detail potential non-compliance issues with little or no reference to the breaches of the NCC or Standards.</w:t>
      </w:r>
    </w:p>
    <w:p w14:paraId="14EC88FF" w14:textId="5D555E45" w:rsidR="00D160EC" w:rsidRPr="004C5508" w:rsidRDefault="00D160EC" w:rsidP="00D160EC">
      <w:r w:rsidRPr="004C5508">
        <w:t>The Panel advised the Minister that a consumer awareness campaign was necessary to improve consumer knowledge about building consultants</w:t>
      </w:r>
      <w:r w:rsidR="00640A0D">
        <w:t>,</w:t>
      </w:r>
      <w:r w:rsidRPr="004C5508">
        <w:t xml:space="preserve"> and to help consumers avoid unnecessary disputes over building work. In addition, it was suggested the Government investigate options for registration or licensing of building consultants, including the potential development of a code of conduct.</w:t>
      </w:r>
    </w:p>
    <w:p w14:paraId="515055C9" w14:textId="6C269811" w:rsidR="00D160EC" w:rsidRPr="004C5508" w:rsidRDefault="00D160EC" w:rsidP="00D160EC">
      <w:pPr>
        <w:pStyle w:val="Listnumbered"/>
        <w:numPr>
          <w:ilvl w:val="0"/>
          <w:numId w:val="0"/>
        </w:numPr>
        <w:ind w:left="360" w:hanging="360"/>
        <w:rPr>
          <w:rStyle w:val="Strong"/>
        </w:rPr>
      </w:pPr>
      <w:r w:rsidRPr="004C5508">
        <w:rPr>
          <w:rStyle w:val="Strong"/>
        </w:rPr>
        <w:t xml:space="preserve">Strengthen the role of the </w:t>
      </w:r>
      <w:r w:rsidR="00306402" w:rsidRPr="00306402">
        <w:rPr>
          <w:rStyle w:val="Strong"/>
        </w:rPr>
        <w:t>State Building Surveyor (</w:t>
      </w:r>
      <w:r w:rsidRPr="004C5508">
        <w:rPr>
          <w:rStyle w:val="Strong"/>
        </w:rPr>
        <w:t>SBS</w:t>
      </w:r>
      <w:r w:rsidR="00306402" w:rsidRPr="00306402">
        <w:rPr>
          <w:rStyle w:val="Strong"/>
        </w:rPr>
        <w:t>)</w:t>
      </w:r>
      <w:r w:rsidRPr="004C5508">
        <w:rPr>
          <w:rStyle w:val="Strong"/>
        </w:rPr>
        <w:t xml:space="preserve"> </w:t>
      </w:r>
    </w:p>
    <w:p w14:paraId="11F7CDE0" w14:textId="77777777" w:rsidR="00D160EC" w:rsidRPr="004C5508" w:rsidRDefault="00D160EC" w:rsidP="00D160EC">
      <w:r w:rsidRPr="004C5508">
        <w:t xml:space="preserve">The Panel identified and advised that the role of the SBS could be strengthened to provide greater clarity, advice and guidance on the roles and responsibilities of the building surveyor. The role of the SBS could be expanded to include: </w:t>
      </w:r>
    </w:p>
    <w:p w14:paraId="6AA1B349" w14:textId="77777777" w:rsidR="00D160EC" w:rsidRPr="004C5508" w:rsidRDefault="00D160EC" w:rsidP="00D160EC">
      <w:pPr>
        <w:pStyle w:val="ListBullet"/>
        <w:numPr>
          <w:ilvl w:val="0"/>
          <w:numId w:val="17"/>
        </w:numPr>
        <w:spacing w:before="120" w:line="240" w:lineRule="atLeast"/>
        <w:ind w:left="357" w:hanging="357"/>
        <w:contextualSpacing w:val="0"/>
        <w:rPr>
          <w:sz w:val="22"/>
          <w:szCs w:val="22"/>
        </w:rPr>
      </w:pPr>
      <w:r w:rsidRPr="004C5508">
        <w:rPr>
          <w:sz w:val="22"/>
          <w:szCs w:val="22"/>
        </w:rPr>
        <w:t>monitoring and reporting on the performance of building surveyors and compliance with their regulatory duties;</w:t>
      </w:r>
    </w:p>
    <w:p w14:paraId="5867D81A" w14:textId="1DACE64F" w:rsidR="00D160EC" w:rsidRPr="004C5508" w:rsidRDefault="00D160EC" w:rsidP="00D160EC">
      <w:pPr>
        <w:pStyle w:val="ListBullet"/>
        <w:numPr>
          <w:ilvl w:val="0"/>
          <w:numId w:val="17"/>
        </w:numPr>
        <w:spacing w:before="120" w:line="240" w:lineRule="atLeast"/>
        <w:ind w:left="357" w:hanging="357"/>
        <w:contextualSpacing w:val="0"/>
        <w:rPr>
          <w:sz w:val="22"/>
          <w:szCs w:val="22"/>
        </w:rPr>
      </w:pPr>
      <w:r w:rsidRPr="004C5508">
        <w:rPr>
          <w:sz w:val="22"/>
          <w:szCs w:val="22"/>
        </w:rPr>
        <w:t xml:space="preserve">provision of technical advice and guidance to the surveying profession including on areas that have been recommended in the </w:t>
      </w:r>
      <w:r w:rsidR="006979B9">
        <w:rPr>
          <w:sz w:val="22"/>
          <w:szCs w:val="22"/>
        </w:rPr>
        <w:t>BCR</w:t>
      </w:r>
      <w:r w:rsidRPr="004C5508">
        <w:rPr>
          <w:sz w:val="22"/>
          <w:szCs w:val="22"/>
        </w:rPr>
        <w:t>;</w:t>
      </w:r>
    </w:p>
    <w:p w14:paraId="22DA3C75" w14:textId="148A1494" w:rsidR="00D160EC" w:rsidRPr="004C5508" w:rsidRDefault="00D160EC" w:rsidP="00D160EC">
      <w:pPr>
        <w:pStyle w:val="ListBullet"/>
        <w:numPr>
          <w:ilvl w:val="0"/>
          <w:numId w:val="17"/>
        </w:numPr>
        <w:spacing w:before="120" w:line="240" w:lineRule="atLeast"/>
        <w:ind w:left="357" w:hanging="357"/>
        <w:contextualSpacing w:val="0"/>
        <w:rPr>
          <w:sz w:val="22"/>
          <w:szCs w:val="22"/>
        </w:rPr>
      </w:pPr>
      <w:r w:rsidRPr="004C5508">
        <w:rPr>
          <w:sz w:val="22"/>
          <w:szCs w:val="22"/>
        </w:rPr>
        <w:t>acting as decision maker (under delegation) when the VBA is declared a MBS for certain buildings;</w:t>
      </w:r>
    </w:p>
    <w:p w14:paraId="294E1445" w14:textId="77777777" w:rsidR="00D160EC" w:rsidRPr="004C5508" w:rsidRDefault="00D160EC" w:rsidP="00D160EC">
      <w:pPr>
        <w:pStyle w:val="ListBullet"/>
        <w:numPr>
          <w:ilvl w:val="0"/>
          <w:numId w:val="17"/>
        </w:numPr>
        <w:spacing w:before="120" w:line="240" w:lineRule="atLeast"/>
        <w:ind w:left="357" w:hanging="357"/>
        <w:contextualSpacing w:val="0"/>
        <w:rPr>
          <w:sz w:val="22"/>
          <w:szCs w:val="22"/>
        </w:rPr>
      </w:pPr>
      <w:r w:rsidRPr="004C5508">
        <w:rPr>
          <w:sz w:val="22"/>
          <w:szCs w:val="22"/>
        </w:rPr>
        <w:t>acting as the decision maker (under delegation) in cases where an application has been made to the VBA for termination of the appointment of a PBS; and</w:t>
      </w:r>
    </w:p>
    <w:p w14:paraId="336C64A6" w14:textId="77777777" w:rsidR="00D160EC" w:rsidRPr="004C5508" w:rsidRDefault="00D160EC" w:rsidP="00D160EC">
      <w:pPr>
        <w:pStyle w:val="ListBullet"/>
        <w:numPr>
          <w:ilvl w:val="0"/>
          <w:numId w:val="17"/>
        </w:numPr>
        <w:spacing w:before="120" w:line="240" w:lineRule="atLeast"/>
        <w:ind w:left="357" w:hanging="357"/>
        <w:contextualSpacing w:val="0"/>
        <w:rPr>
          <w:sz w:val="22"/>
          <w:szCs w:val="22"/>
        </w:rPr>
      </w:pPr>
      <w:r w:rsidRPr="004C5508">
        <w:rPr>
          <w:sz w:val="22"/>
          <w:szCs w:val="22"/>
        </w:rPr>
        <w:t>obtaining agreement on a protocol which clarifies roles and responsibilities and facilitates effective compliance and enforcement activity between the VBA and local councils/MBSs and PBSs.</w:t>
      </w:r>
    </w:p>
    <w:p w14:paraId="605DF604" w14:textId="77777777" w:rsidR="00D160EC" w:rsidRPr="004C5508" w:rsidRDefault="00D160EC" w:rsidP="00D160EC">
      <w:r w:rsidRPr="004C5508">
        <w:t>To implement this change in a meaningful and effective manner, the role of the SBS would need to be clarified, strengthened and enhanced. Initially, this could be partially achieved by refining the specifications of the role and having this approved by the VBA Board. In addition, the Government’s view on the role and responsibilities of the SBS could be set out in the Minister’s Statement of Expectations provided to the VBA. It may be of benefit to also consider if a degree of autonomy within the VBA’s operational structure would result in the more effective discharging of the SBS’ strengthened functions, and how this could be achieved.</w:t>
      </w:r>
    </w:p>
    <w:p w14:paraId="0FB3DCC2" w14:textId="77777777" w:rsidR="00D160EC" w:rsidRPr="004C5508" w:rsidRDefault="00D160EC" w:rsidP="00D160EC">
      <w:pPr>
        <w:pStyle w:val="Listnumbered"/>
        <w:numPr>
          <w:ilvl w:val="0"/>
          <w:numId w:val="0"/>
        </w:numPr>
        <w:ind w:left="360" w:hanging="360"/>
        <w:rPr>
          <w:rStyle w:val="Strong"/>
        </w:rPr>
      </w:pPr>
      <w:r w:rsidRPr="004C5508">
        <w:rPr>
          <w:rStyle w:val="Strong"/>
        </w:rPr>
        <w:t>Support higher education and training system reform</w:t>
      </w:r>
    </w:p>
    <w:p w14:paraId="0228C823" w14:textId="77777777" w:rsidR="00D160EC" w:rsidRPr="004C5508" w:rsidRDefault="00D160EC" w:rsidP="00D160EC">
      <w:r w:rsidRPr="004C5508">
        <w:t xml:space="preserve">The Panel considered the need to increase current pipeline of qualified building surveyors to be one of the most acute skills issues confronting the sector. The Panel therefore proposed a suite of short-term changes to the training system in Victoria that would increase the supply of building surveyors to meet current and future needs and help support occupational mobility. This early initiative advised the Government to consider working with the Victorian Skills Commissioner and universities to: </w:t>
      </w:r>
    </w:p>
    <w:p w14:paraId="10246B2D" w14:textId="77777777" w:rsidR="0073715E" w:rsidRDefault="00D160EC" w:rsidP="00D160EC">
      <w:pPr>
        <w:pStyle w:val="ListBullet"/>
        <w:numPr>
          <w:ilvl w:val="0"/>
          <w:numId w:val="17"/>
        </w:numPr>
        <w:spacing w:before="120" w:line="240" w:lineRule="atLeast"/>
        <w:ind w:left="357" w:hanging="357"/>
        <w:contextualSpacing w:val="0"/>
        <w:rPr>
          <w:sz w:val="22"/>
          <w:szCs w:val="22"/>
        </w:rPr>
        <w:sectPr w:rsidR="0073715E" w:rsidSect="0073715E">
          <w:footerReference w:type="first" r:id="rId120"/>
          <w:type w:val="continuous"/>
          <w:pgSz w:w="11907" w:h="16839" w:code="9"/>
          <w:pgMar w:top="1418" w:right="1418" w:bottom="1701" w:left="1559" w:header="720" w:footer="720" w:gutter="0"/>
          <w:cols w:space="720"/>
          <w:titlePg/>
          <w:docGrid w:linePitch="360"/>
        </w:sectPr>
      </w:pPr>
      <w:r w:rsidRPr="004C5508">
        <w:rPr>
          <w:sz w:val="22"/>
          <w:szCs w:val="22"/>
        </w:rPr>
        <w:t>develop bridging courses and a pilot Recognition of Prior Learning (RPL) project for appropriately qualified building professionals (e.g., architects and engineers) who are interested in completing building surveyor qualifications and removing the Building</w:t>
      </w:r>
    </w:p>
    <w:p w14:paraId="71928908" w14:textId="77777777" w:rsidR="00D160EC" w:rsidRPr="004C5508" w:rsidRDefault="00D160EC" w:rsidP="00D160EC">
      <w:pPr>
        <w:pStyle w:val="ListBullet"/>
        <w:numPr>
          <w:ilvl w:val="0"/>
          <w:numId w:val="17"/>
        </w:numPr>
        <w:spacing w:before="120" w:line="240" w:lineRule="atLeast"/>
        <w:ind w:left="357" w:hanging="357"/>
        <w:contextualSpacing w:val="0"/>
        <w:rPr>
          <w:sz w:val="22"/>
          <w:szCs w:val="22"/>
        </w:rPr>
      </w:pPr>
      <w:r w:rsidRPr="004C5508">
        <w:rPr>
          <w:sz w:val="22"/>
          <w:szCs w:val="22"/>
        </w:rPr>
        <w:lastRenderedPageBreak/>
        <w:t xml:space="preserve"> Regulations which do not recognise building surveyors’ and inspectors’ qualifications unless they have completed courses at either Holmesglen or Victoria University;</w:t>
      </w:r>
    </w:p>
    <w:p w14:paraId="1D9FD918" w14:textId="77777777" w:rsidR="00D160EC" w:rsidRPr="004C5508" w:rsidRDefault="00D160EC" w:rsidP="00D160EC">
      <w:pPr>
        <w:pStyle w:val="ListBullet"/>
        <w:numPr>
          <w:ilvl w:val="0"/>
          <w:numId w:val="17"/>
        </w:numPr>
        <w:spacing w:before="120" w:line="240" w:lineRule="atLeast"/>
        <w:ind w:left="357" w:hanging="357"/>
        <w:contextualSpacing w:val="0"/>
        <w:rPr>
          <w:sz w:val="22"/>
          <w:szCs w:val="22"/>
        </w:rPr>
      </w:pPr>
      <w:r w:rsidRPr="004C5508">
        <w:rPr>
          <w:sz w:val="22"/>
          <w:szCs w:val="22"/>
        </w:rPr>
        <w:t>develop a pathway for experienced builders who would like to qualify as registered building surveyors;</w:t>
      </w:r>
    </w:p>
    <w:p w14:paraId="18582864" w14:textId="77777777" w:rsidR="00D160EC" w:rsidRPr="004C5508" w:rsidRDefault="00D160EC" w:rsidP="00D160EC">
      <w:pPr>
        <w:pStyle w:val="ListBullet"/>
        <w:numPr>
          <w:ilvl w:val="0"/>
          <w:numId w:val="17"/>
        </w:numPr>
        <w:spacing w:before="120" w:line="240" w:lineRule="atLeast"/>
        <w:ind w:left="357" w:hanging="357"/>
        <w:contextualSpacing w:val="0"/>
        <w:rPr>
          <w:sz w:val="22"/>
          <w:szCs w:val="22"/>
        </w:rPr>
      </w:pPr>
      <w:r w:rsidRPr="004C5508">
        <w:rPr>
          <w:sz w:val="22"/>
          <w:szCs w:val="22"/>
        </w:rPr>
        <w:t>remove the barriers to accessing Free TAFE assistance if a potential student already has a degree or has commenced and not completed a degree course;</w:t>
      </w:r>
    </w:p>
    <w:p w14:paraId="0912406D" w14:textId="77777777" w:rsidR="00D160EC" w:rsidRPr="004C5508" w:rsidRDefault="00D160EC" w:rsidP="00D160EC">
      <w:pPr>
        <w:pStyle w:val="ListBullet"/>
        <w:numPr>
          <w:ilvl w:val="0"/>
          <w:numId w:val="17"/>
        </w:numPr>
        <w:spacing w:before="120" w:line="240" w:lineRule="atLeast"/>
        <w:ind w:left="357" w:hanging="357"/>
        <w:contextualSpacing w:val="0"/>
        <w:rPr>
          <w:sz w:val="22"/>
          <w:szCs w:val="22"/>
        </w:rPr>
      </w:pPr>
      <w:r w:rsidRPr="004C5508">
        <w:rPr>
          <w:sz w:val="22"/>
          <w:szCs w:val="22"/>
        </w:rPr>
        <w:t>recognise a broader suite of appropriate qualifications that are acceptable to register as a building surveyor or inspector in Victoria; and</w:t>
      </w:r>
    </w:p>
    <w:p w14:paraId="1C3E3CA3" w14:textId="77777777" w:rsidR="00D160EC" w:rsidRPr="004C5508" w:rsidRDefault="00D160EC" w:rsidP="00D160EC">
      <w:pPr>
        <w:pStyle w:val="ListBullet"/>
        <w:numPr>
          <w:ilvl w:val="0"/>
          <w:numId w:val="17"/>
        </w:numPr>
        <w:spacing w:before="120" w:line="240" w:lineRule="atLeast"/>
        <w:ind w:left="357" w:hanging="357"/>
        <w:contextualSpacing w:val="0"/>
        <w:rPr>
          <w:sz w:val="22"/>
          <w:szCs w:val="22"/>
        </w:rPr>
      </w:pPr>
      <w:r w:rsidRPr="004C5508">
        <w:rPr>
          <w:sz w:val="22"/>
          <w:szCs w:val="22"/>
        </w:rPr>
        <w:t xml:space="preserve">work with universities to promote building surveyor post graduate courses to attract architects, engineers and other professionals to a career in building surveying. </w:t>
      </w:r>
    </w:p>
    <w:p w14:paraId="1AA9050B" w14:textId="77777777" w:rsidR="00D160EC" w:rsidRPr="004C5508" w:rsidRDefault="00D160EC" w:rsidP="00D160EC">
      <w:r w:rsidRPr="004C5508">
        <w:t>The Panel also advised that a supervised practical training scheme could be established for both TAFE and post graduate building surveying graduates.</w:t>
      </w:r>
    </w:p>
    <w:p w14:paraId="613349F1" w14:textId="77777777" w:rsidR="00D160EC" w:rsidRPr="004C5508" w:rsidRDefault="00D160EC" w:rsidP="00D160EC">
      <w:pPr>
        <w:pStyle w:val="Listnumbered"/>
        <w:numPr>
          <w:ilvl w:val="0"/>
          <w:numId w:val="0"/>
        </w:numPr>
        <w:ind w:left="360" w:hanging="360"/>
        <w:rPr>
          <w:rStyle w:val="Strong"/>
        </w:rPr>
      </w:pPr>
      <w:r w:rsidRPr="004C5508">
        <w:rPr>
          <w:rStyle w:val="Strong"/>
        </w:rPr>
        <w:t>The Panel has also made recommendations to support industry compliance</w:t>
      </w:r>
    </w:p>
    <w:p w14:paraId="07A87F51" w14:textId="77777777" w:rsidR="00D160EC" w:rsidRPr="004C5508" w:rsidRDefault="00D160EC" w:rsidP="00D160EC">
      <w:r w:rsidRPr="004C5508">
        <w:t xml:space="preserve">In response to persistent concerns of non-compliance across the industry, the Panel suggested that improvements to industry compliance could be supported through: </w:t>
      </w:r>
    </w:p>
    <w:p w14:paraId="6628F4F4" w14:textId="77777777" w:rsidR="00D160EC" w:rsidRPr="004C5508" w:rsidRDefault="00D160EC" w:rsidP="00D160EC">
      <w:pPr>
        <w:pStyle w:val="ListBullet"/>
        <w:numPr>
          <w:ilvl w:val="0"/>
          <w:numId w:val="17"/>
        </w:numPr>
        <w:spacing w:before="120" w:line="240" w:lineRule="atLeast"/>
        <w:ind w:left="357" w:hanging="357"/>
        <w:contextualSpacing w:val="0"/>
        <w:rPr>
          <w:sz w:val="22"/>
          <w:szCs w:val="22"/>
        </w:rPr>
      </w:pPr>
      <w:r w:rsidRPr="004C5508">
        <w:rPr>
          <w:sz w:val="22"/>
          <w:szCs w:val="22"/>
        </w:rPr>
        <w:t>The VBA publishing guidelines and inspection checklists to be used and certified by RBSs and inspectors for mandatory inspections.</w:t>
      </w:r>
    </w:p>
    <w:p w14:paraId="4C4A2D20" w14:textId="77777777" w:rsidR="00D160EC" w:rsidRPr="004C5508" w:rsidRDefault="00D160EC" w:rsidP="00D160EC">
      <w:pPr>
        <w:pStyle w:val="ListBullet"/>
        <w:numPr>
          <w:ilvl w:val="0"/>
          <w:numId w:val="17"/>
        </w:numPr>
        <w:spacing w:before="120" w:line="240" w:lineRule="atLeast"/>
        <w:ind w:left="357" w:hanging="357"/>
        <w:contextualSpacing w:val="0"/>
        <w:rPr>
          <w:sz w:val="22"/>
          <w:szCs w:val="22"/>
        </w:rPr>
      </w:pPr>
      <w:r w:rsidRPr="004C5508">
        <w:rPr>
          <w:sz w:val="22"/>
          <w:szCs w:val="22"/>
        </w:rPr>
        <w:t>The VBA publishing existing checklists and ongoing findings from their Proactive Inspection Program (PIP).</w:t>
      </w:r>
    </w:p>
    <w:p w14:paraId="4BB88019" w14:textId="77777777" w:rsidR="0073715E" w:rsidRDefault="00D160EC" w:rsidP="00D160EC">
      <w:pPr>
        <w:pStyle w:val="ListBullet"/>
        <w:numPr>
          <w:ilvl w:val="0"/>
          <w:numId w:val="17"/>
        </w:numPr>
        <w:spacing w:before="120" w:line="240" w:lineRule="atLeast"/>
        <w:ind w:left="357" w:hanging="357"/>
        <w:contextualSpacing w:val="0"/>
        <w:rPr>
          <w:sz w:val="22"/>
          <w:szCs w:val="22"/>
        </w:rPr>
        <w:sectPr w:rsidR="0073715E" w:rsidSect="0073715E">
          <w:footerReference w:type="first" r:id="rId121"/>
          <w:type w:val="continuous"/>
          <w:pgSz w:w="11907" w:h="16839" w:code="9"/>
          <w:pgMar w:top="1418" w:right="1418" w:bottom="1701" w:left="1559" w:header="720" w:footer="720" w:gutter="0"/>
          <w:cols w:space="720"/>
          <w:titlePg/>
          <w:docGrid w:linePitch="360"/>
        </w:sectPr>
      </w:pPr>
      <w:r w:rsidRPr="004C5508">
        <w:rPr>
          <w:sz w:val="22"/>
          <w:szCs w:val="22"/>
        </w:rPr>
        <w:t>The ABCB and the VBA prioritising NCC usability enhancement projects and improving access to and understanding of Australian Standards.</w:t>
      </w:r>
    </w:p>
    <w:p w14:paraId="5F2D0271" w14:textId="77777777" w:rsidR="0073715E" w:rsidRDefault="0073715E" w:rsidP="00D160EC">
      <w:pPr>
        <w:pStyle w:val="ListBullet"/>
        <w:numPr>
          <w:ilvl w:val="0"/>
          <w:numId w:val="17"/>
        </w:numPr>
        <w:spacing w:before="120" w:line="240" w:lineRule="atLeast"/>
        <w:ind w:left="357" w:hanging="357"/>
        <w:contextualSpacing w:val="0"/>
        <w:rPr>
          <w:sz w:val="22"/>
          <w:szCs w:val="22"/>
        </w:rPr>
        <w:sectPr w:rsidR="0073715E" w:rsidSect="0073715E">
          <w:type w:val="continuous"/>
          <w:pgSz w:w="11907" w:h="16839" w:code="9"/>
          <w:pgMar w:top="1418" w:right="1418" w:bottom="1701" w:left="1559" w:header="720" w:footer="720" w:gutter="0"/>
          <w:cols w:space="720"/>
          <w:titlePg/>
          <w:docGrid w:linePitch="360"/>
        </w:sectPr>
      </w:pPr>
    </w:p>
    <w:p w14:paraId="54B20176" w14:textId="77777777" w:rsidR="00D160EC" w:rsidRPr="004C5508" w:rsidRDefault="00D160EC" w:rsidP="0073715E">
      <w:pPr>
        <w:pStyle w:val="ListBullet"/>
        <w:numPr>
          <w:ilvl w:val="0"/>
          <w:numId w:val="0"/>
        </w:numPr>
        <w:spacing w:before="120" w:line="240" w:lineRule="atLeast"/>
        <w:ind w:left="357"/>
        <w:contextualSpacing w:val="0"/>
        <w:rPr>
          <w:sz w:val="22"/>
          <w:szCs w:val="22"/>
        </w:rPr>
      </w:pPr>
    </w:p>
    <w:p w14:paraId="626A2714" w14:textId="32CB0D8B" w:rsidR="00E01A46" w:rsidRDefault="00E01A46" w:rsidP="00BF5BD8">
      <w:pPr>
        <w:pStyle w:val="xAppendixLevel1"/>
        <w:numPr>
          <w:ilvl w:val="0"/>
          <w:numId w:val="19"/>
        </w:numPr>
      </w:pPr>
      <w:bookmarkStart w:id="209" w:name="_Ref131680051"/>
      <w:bookmarkStart w:id="210" w:name="_Toc134356815"/>
      <w:bookmarkStart w:id="211" w:name="_Toc134356921"/>
      <w:r>
        <w:lastRenderedPageBreak/>
        <w:t>The Panel’s Stage 1 recommendations</w:t>
      </w:r>
      <w:bookmarkEnd w:id="208"/>
      <w:bookmarkEnd w:id="209"/>
      <w:bookmarkEnd w:id="210"/>
      <w:bookmarkEnd w:id="211"/>
      <w:r>
        <w:t xml:space="preserve"> </w:t>
      </w:r>
    </w:p>
    <w:p w14:paraId="0645F54B" w14:textId="21F2FB86" w:rsidR="00E01A46" w:rsidRPr="004C5508" w:rsidRDefault="00E01A46" w:rsidP="00E01A46">
      <w:pPr>
        <w:rPr>
          <w:lang w:eastAsia="en-AU"/>
        </w:rPr>
      </w:pPr>
      <w:r w:rsidRPr="004C5508">
        <w:rPr>
          <w:lang w:eastAsia="en-AU"/>
        </w:rPr>
        <w:t>As part of Stage 1 of the Review, the Panel release</w:t>
      </w:r>
      <w:r>
        <w:rPr>
          <w:lang w:eastAsia="en-AU"/>
        </w:rPr>
        <w:t xml:space="preserve">d a </w:t>
      </w:r>
      <w:r w:rsidRPr="004C5508">
        <w:rPr>
          <w:lang w:eastAsia="en-AU"/>
        </w:rPr>
        <w:t>FFR</w:t>
      </w:r>
      <w:r>
        <w:rPr>
          <w:lang w:eastAsia="en-AU"/>
        </w:rPr>
        <w:t xml:space="preserve"> </w:t>
      </w:r>
      <w:r w:rsidRPr="004C5508">
        <w:rPr>
          <w:lang w:eastAsia="en-AU"/>
        </w:rPr>
        <w:t>paper in April 2021. The FFR paper set out the key issues in the building regulatory system and possible improvements to address these issues across four primary focus areas:</w:t>
      </w:r>
    </w:p>
    <w:p w14:paraId="44E000C8" w14:textId="4D43363D" w:rsidR="00E01A46" w:rsidRPr="00C76E2F" w:rsidRDefault="00493A52" w:rsidP="00E01A46">
      <w:pPr>
        <w:pStyle w:val="Bullet"/>
      </w:pPr>
      <w:r>
        <w:t>p</w:t>
      </w:r>
      <w:r w:rsidR="00E01A46" w:rsidRPr="00C76E2F">
        <w:t>ractitioner registration and regulation</w:t>
      </w:r>
      <w:r w:rsidR="004C5508">
        <w:rPr>
          <w:szCs w:val="22"/>
        </w:rPr>
        <w:t>;</w:t>
      </w:r>
    </w:p>
    <w:p w14:paraId="608ADDE2" w14:textId="510E4256" w:rsidR="00E01A46" w:rsidRPr="006C1CD8" w:rsidRDefault="00342E5F" w:rsidP="00E01A46">
      <w:pPr>
        <w:pStyle w:val="Bullet"/>
      </w:pPr>
      <w:r>
        <w:t>c</w:t>
      </w:r>
      <w:r w:rsidR="00E01A46" w:rsidRPr="006C1CD8">
        <w:t>onsumer protection and advocacy</w:t>
      </w:r>
      <w:r w:rsidR="004C5508">
        <w:rPr>
          <w:szCs w:val="22"/>
        </w:rPr>
        <w:t>;</w:t>
      </w:r>
    </w:p>
    <w:p w14:paraId="4A6F1027" w14:textId="30409CD5" w:rsidR="00E01A46" w:rsidRPr="006C1CD8" w:rsidRDefault="00342E5F" w:rsidP="00E01A46">
      <w:pPr>
        <w:pStyle w:val="Bullet"/>
      </w:pPr>
      <w:r>
        <w:t>r</w:t>
      </w:r>
      <w:r w:rsidR="00E01A46" w:rsidRPr="006C1CD8">
        <w:t>egulatory oversight</w:t>
      </w:r>
      <w:r w:rsidR="004C5508">
        <w:rPr>
          <w:szCs w:val="22"/>
        </w:rPr>
        <w:t xml:space="preserve">; and </w:t>
      </w:r>
    </w:p>
    <w:p w14:paraId="21CB74F9" w14:textId="1A6338AC" w:rsidR="00E01A46" w:rsidRPr="006C1CD8" w:rsidRDefault="00342E5F" w:rsidP="00E01A46">
      <w:pPr>
        <w:pStyle w:val="Bullet"/>
      </w:pPr>
      <w:r>
        <w:t>b</w:t>
      </w:r>
      <w:r w:rsidR="00E01A46" w:rsidRPr="006C1CD8">
        <w:t>uilding approvals</w:t>
      </w:r>
      <w:r w:rsidR="000224F4">
        <w:t>.</w:t>
      </w:r>
    </w:p>
    <w:p w14:paraId="15532EE7" w14:textId="6B81E118" w:rsidR="00E01A46" w:rsidRPr="004C5508" w:rsidRDefault="00E01A46" w:rsidP="00E01A46">
      <w:pPr>
        <w:rPr>
          <w:lang w:eastAsia="en-AU"/>
        </w:rPr>
      </w:pPr>
      <w:r w:rsidRPr="004C5508">
        <w:rPr>
          <w:lang w:eastAsia="en-AU"/>
        </w:rPr>
        <w:t xml:space="preserve">The Panel invited written submissions on the FFR paper and conducted an eight-week consultation period on the issues and improvements canvassed in the paper. The Panel received 142 written submissions from stakeholders including consumers, practitioners, unions, industry groups and local government. The Panel also engaged with over 40 key stakeholders in one-on-one discussions and facilitated eight workshops with different stakeholder groups. </w:t>
      </w:r>
    </w:p>
    <w:p w14:paraId="333B2178" w14:textId="635ABB7B" w:rsidR="00E01A46" w:rsidRPr="004C5508" w:rsidRDefault="00E01A46" w:rsidP="00E01A46">
      <w:pPr>
        <w:rPr>
          <w:lang w:eastAsia="en-AU"/>
        </w:rPr>
      </w:pPr>
      <w:r w:rsidRPr="004C5508">
        <w:rPr>
          <w:lang w:eastAsia="en-AU"/>
        </w:rPr>
        <w:t xml:space="preserve">Following extensive consultation, the Panel developed its final Stage 1 </w:t>
      </w:r>
      <w:r w:rsidR="00865FE4" w:rsidRPr="004C5508">
        <w:rPr>
          <w:lang w:eastAsia="en-AU"/>
        </w:rPr>
        <w:t>R</w:t>
      </w:r>
      <w:r w:rsidRPr="004C5508">
        <w:rPr>
          <w:lang w:eastAsia="en-AU"/>
        </w:rPr>
        <w:t>eport to government with reform recommendations for each of the key focus areas. The Panel also made foundational recommendations to improve data collection, information sharing and the quality of documentation across the building lifecycle. These foundational recommendations will enable whole-of-system improvements and underpin the successful implementation of the Panel’s reform package and the implementation of Stage 2 reforms.</w:t>
      </w:r>
    </w:p>
    <w:p w14:paraId="67BF6C22" w14:textId="21E4555E" w:rsidR="0073715E" w:rsidRDefault="00E01A46" w:rsidP="00E01A46">
      <w:pPr>
        <w:rPr>
          <w:lang w:eastAsia="en-AU"/>
        </w:rPr>
        <w:sectPr w:rsidR="0073715E" w:rsidSect="0073715E">
          <w:footerReference w:type="default" r:id="rId122"/>
          <w:type w:val="continuous"/>
          <w:pgSz w:w="11907" w:h="16839" w:code="9"/>
          <w:pgMar w:top="1418" w:right="1418" w:bottom="1701" w:left="1559" w:header="720" w:footer="720" w:gutter="0"/>
          <w:cols w:space="720"/>
          <w:titlePg/>
          <w:docGrid w:linePitch="360"/>
        </w:sectPr>
      </w:pPr>
      <w:r w:rsidRPr="004C5508">
        <w:rPr>
          <w:lang w:eastAsia="en-AU"/>
        </w:rPr>
        <w:t xml:space="preserve">The Stage 1 recommendations lay the foundations for a fundamental reshaping of the regulatory landscape in Victoria, by strengthening regulatory oversight, modernising the building approvals process, increasing accountability in practitioner licensing and registration schemes, and enhancing consumer representation and advocacy. </w:t>
      </w:r>
      <w:r w:rsidR="00B53FD1" w:rsidRPr="004C5508">
        <w:rPr>
          <w:highlight w:val="yellow"/>
          <w:lang w:eastAsia="en-AU"/>
        </w:rPr>
        <w:fldChar w:fldCharType="begin"/>
      </w:r>
      <w:r w:rsidR="00B53FD1" w:rsidRPr="004C5508">
        <w:rPr>
          <w:lang w:eastAsia="en-AU"/>
        </w:rPr>
        <w:instrText xml:space="preserve"> REF _Ref131493621 \h </w:instrText>
      </w:r>
      <w:r w:rsidR="004C5508">
        <w:rPr>
          <w:highlight w:val="yellow"/>
          <w:lang w:eastAsia="en-AU"/>
        </w:rPr>
        <w:instrText xml:space="preserve"> \* MERGEFORMAT </w:instrText>
      </w:r>
      <w:r w:rsidR="00B53FD1" w:rsidRPr="004C5508">
        <w:rPr>
          <w:highlight w:val="yellow"/>
          <w:lang w:eastAsia="en-AU"/>
        </w:rPr>
      </w:r>
      <w:r w:rsidR="00B53FD1" w:rsidRPr="004C5508">
        <w:rPr>
          <w:highlight w:val="yellow"/>
          <w:lang w:eastAsia="en-AU"/>
        </w:rPr>
        <w:fldChar w:fldCharType="separate"/>
      </w:r>
      <w:r w:rsidR="00E15D2D">
        <w:t xml:space="preserve">Figure </w:t>
      </w:r>
      <w:r w:rsidR="00E15D2D">
        <w:rPr>
          <w:noProof/>
        </w:rPr>
        <w:t>14</w:t>
      </w:r>
      <w:r w:rsidR="00B53FD1" w:rsidRPr="004C5508">
        <w:rPr>
          <w:highlight w:val="yellow"/>
          <w:lang w:eastAsia="en-AU"/>
        </w:rPr>
        <w:fldChar w:fldCharType="end"/>
      </w:r>
      <w:r w:rsidRPr="004C5508">
        <w:rPr>
          <w:highlight w:val="yellow"/>
          <w:lang w:eastAsia="en-AU"/>
        </w:rPr>
        <w:t xml:space="preserve"> </w:t>
      </w:r>
      <w:r w:rsidRPr="004C5508">
        <w:rPr>
          <w:lang w:eastAsia="en-AU"/>
        </w:rPr>
        <w:t>summarises the Stage 1 recommendations.</w:t>
      </w:r>
    </w:p>
    <w:p w14:paraId="7E7FD25B" w14:textId="6B5798C7" w:rsidR="00E01A46" w:rsidRPr="004C5508" w:rsidRDefault="00E01A46" w:rsidP="00E01A46">
      <w:pPr>
        <w:rPr>
          <w:lang w:eastAsia="en-AU"/>
        </w:rPr>
      </w:pPr>
    </w:p>
    <w:p w14:paraId="1C2FD47E" w14:textId="4915BA18" w:rsidR="00E01A46" w:rsidRPr="004C5508" w:rsidRDefault="00AD3FB2">
      <w:pPr>
        <w:spacing w:after="160" w:line="259" w:lineRule="auto"/>
        <w:rPr>
          <w:lang w:eastAsia="en-AU"/>
        </w:rPr>
      </w:pPr>
      <w:r w:rsidRPr="004C5508">
        <w:rPr>
          <w:lang w:eastAsia="en-AU"/>
        </w:rPr>
        <w:br w:type="page"/>
      </w:r>
    </w:p>
    <w:p w14:paraId="67F845E7" w14:textId="379EFCE9" w:rsidR="00B53FD1" w:rsidRDefault="00B53FD1" w:rsidP="00B53FD1">
      <w:pPr>
        <w:pStyle w:val="Caption"/>
      </w:pPr>
      <w:bookmarkStart w:id="212" w:name="_Ref131493621"/>
      <w:r>
        <w:lastRenderedPageBreak/>
        <w:t xml:space="preserve">Figure </w:t>
      </w:r>
      <w:r>
        <w:fldChar w:fldCharType="begin"/>
      </w:r>
      <w:r>
        <w:instrText xml:space="preserve"> SEQ Figure \* ARABIC </w:instrText>
      </w:r>
      <w:r>
        <w:fldChar w:fldCharType="separate"/>
      </w:r>
      <w:r w:rsidR="00E15D2D">
        <w:rPr>
          <w:noProof/>
        </w:rPr>
        <w:t>14</w:t>
      </w:r>
      <w:r>
        <w:fldChar w:fldCharType="end"/>
      </w:r>
      <w:bookmarkEnd w:id="212"/>
      <w:r>
        <w:t xml:space="preserve"> | Stage 1 recommendations</w:t>
      </w:r>
    </w:p>
    <w:p w14:paraId="390DBDC0" w14:textId="77777777" w:rsidR="0073715E" w:rsidRDefault="00AD3FB2" w:rsidP="00E01A46">
      <w:pPr>
        <w:rPr>
          <w:lang w:eastAsia="en-AU"/>
        </w:rPr>
        <w:sectPr w:rsidR="0073715E" w:rsidSect="0073715E">
          <w:footerReference w:type="default" r:id="rId123"/>
          <w:type w:val="continuous"/>
          <w:pgSz w:w="11907" w:h="16839" w:code="9"/>
          <w:pgMar w:top="1418" w:right="1418" w:bottom="1701" w:left="1559" w:header="720" w:footer="720" w:gutter="0"/>
          <w:cols w:space="720"/>
          <w:titlePg/>
          <w:docGrid w:linePitch="360"/>
        </w:sectPr>
      </w:pPr>
      <w:r>
        <w:rPr>
          <w:noProof/>
          <w:lang w:eastAsia="en-AU"/>
        </w:rPr>
        <w:drawing>
          <wp:inline distT="0" distB="0" distL="0" distR="0" wp14:anchorId="7D91AF60" wp14:editId="20795B50">
            <wp:extent cx="5670000" cy="7942056"/>
            <wp:effectExtent l="0" t="0" r="6985" b="1905"/>
            <wp:docPr id="27777" name="Picture 2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670000" cy="7942056"/>
                    </a:xfrm>
                    <a:prstGeom prst="rect">
                      <a:avLst/>
                    </a:prstGeom>
                    <a:noFill/>
                  </pic:spPr>
                </pic:pic>
              </a:graphicData>
            </a:graphic>
          </wp:inline>
        </w:drawing>
      </w:r>
    </w:p>
    <w:p w14:paraId="6190F87E" w14:textId="10C86D11" w:rsidR="00E01A46" w:rsidRDefault="00E01A46" w:rsidP="00E01A46">
      <w:pPr>
        <w:rPr>
          <w:lang w:eastAsia="en-AU"/>
        </w:rPr>
      </w:pPr>
    </w:p>
    <w:p w14:paraId="141F9634" w14:textId="03738A6E" w:rsidR="00E01A46" w:rsidRPr="006C1CD8" w:rsidRDefault="00E01A46">
      <w:pPr>
        <w:spacing w:after="160" w:line="259" w:lineRule="auto"/>
        <w:rPr>
          <w:lang w:eastAsia="en-AU"/>
        </w:rPr>
      </w:pPr>
    </w:p>
    <w:p w14:paraId="0A0A1D97" w14:textId="393FBF12" w:rsidR="00E01A46" w:rsidRPr="006C1CD8" w:rsidRDefault="00AD3FB2" w:rsidP="00E01A46">
      <w:pPr>
        <w:rPr>
          <w:lang w:eastAsia="en-AU"/>
        </w:rPr>
      </w:pPr>
      <w:r>
        <w:rPr>
          <w:noProof/>
          <w:lang w:eastAsia="en-AU"/>
        </w:rPr>
        <w:lastRenderedPageBreak/>
        <w:drawing>
          <wp:inline distT="0" distB="0" distL="0" distR="0" wp14:anchorId="3050E81B" wp14:editId="5734C566">
            <wp:extent cx="5670000" cy="6859922"/>
            <wp:effectExtent l="0" t="0" r="6985" b="0"/>
            <wp:docPr id="27778" name="Picture 2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670000" cy="6859922"/>
                    </a:xfrm>
                    <a:prstGeom prst="rect">
                      <a:avLst/>
                    </a:prstGeom>
                    <a:noFill/>
                  </pic:spPr>
                </pic:pic>
              </a:graphicData>
            </a:graphic>
          </wp:inline>
        </w:drawing>
      </w:r>
    </w:p>
    <w:p w14:paraId="5C4633D7" w14:textId="72EBEBED" w:rsidR="00E01A46" w:rsidRPr="00EE60E8" w:rsidRDefault="00E01A46" w:rsidP="00E01A46">
      <w:pPr>
        <w:rPr>
          <w:highlight w:val="yellow"/>
          <w:lang w:eastAsia="en-AU"/>
        </w:rPr>
      </w:pPr>
      <w:r>
        <w:rPr>
          <w:lang w:eastAsia="en-AU"/>
        </w:rPr>
        <w:t xml:space="preserve">The Stage 1 recommendations were accepted and have been incorporated into the </w:t>
      </w:r>
      <w:r>
        <w:rPr>
          <w:i/>
          <w:lang w:eastAsia="en-AU"/>
        </w:rPr>
        <w:t>Building Legislation Amendment Bill 202</w:t>
      </w:r>
      <w:r w:rsidR="00EE60E8">
        <w:rPr>
          <w:i/>
          <w:lang w:eastAsia="en-AU"/>
        </w:rPr>
        <w:t>3</w:t>
      </w:r>
      <w:r w:rsidRPr="00304449">
        <w:rPr>
          <w:lang w:eastAsia="en-AU"/>
        </w:rPr>
        <w:t xml:space="preserve"> as part of a broader suite of changes in the building industry.</w:t>
      </w:r>
      <w:r w:rsidR="00906C07">
        <w:rPr>
          <w:lang w:eastAsia="en-AU"/>
        </w:rPr>
        <w:t xml:space="preserve"> These reforms </w:t>
      </w:r>
      <w:r w:rsidR="0076175C">
        <w:rPr>
          <w:lang w:eastAsia="en-AU"/>
        </w:rPr>
        <w:t xml:space="preserve">will “reshape the regulatory landscape in Victoria, with a key focus on consumer protection” as part of the Government’s </w:t>
      </w:r>
      <w:r w:rsidR="0040427B">
        <w:rPr>
          <w:lang w:eastAsia="en-AU"/>
        </w:rPr>
        <w:t>larger commitment to delivering a building system that provides safe, compliant and durable housing and buildings</w:t>
      </w:r>
      <w:r w:rsidR="0040427B">
        <w:rPr>
          <w:rStyle w:val="EndnoteReference"/>
          <w:lang w:eastAsia="en-AU"/>
        </w:rPr>
        <w:endnoteReference w:id="115"/>
      </w:r>
    </w:p>
    <w:p w14:paraId="477C4DBB" w14:textId="2E5F48CD" w:rsidR="00EE60E8" w:rsidRPr="003B7C07" w:rsidRDefault="00DF4696" w:rsidP="00E01A46">
      <w:pPr>
        <w:rPr>
          <w:lang w:eastAsia="en-AU"/>
        </w:rPr>
      </w:pPr>
      <w:r w:rsidRPr="003B7C07">
        <w:rPr>
          <w:lang w:eastAsia="en-AU"/>
        </w:rPr>
        <w:t xml:space="preserve">The amendments </w:t>
      </w:r>
      <w:r w:rsidR="00A3075B" w:rsidRPr="003B7C07">
        <w:rPr>
          <w:lang w:eastAsia="en-AU"/>
        </w:rPr>
        <w:t>will create the following reforms</w:t>
      </w:r>
      <w:r w:rsidR="00EE60E8" w:rsidRPr="003B7C07">
        <w:rPr>
          <w:lang w:eastAsia="en-AU"/>
        </w:rPr>
        <w:t xml:space="preserve">: </w:t>
      </w:r>
    </w:p>
    <w:p w14:paraId="64C7B8DB" w14:textId="408BF276" w:rsidR="00EE60E8" w:rsidRPr="003B7C07" w:rsidRDefault="00F837A3" w:rsidP="0033515D">
      <w:pPr>
        <w:pStyle w:val="Bullet"/>
      </w:pPr>
      <w:r>
        <w:t>f</w:t>
      </w:r>
      <w:r w:rsidR="00C81C1A" w:rsidRPr="003B7C07">
        <w:t xml:space="preserve">ormalising and strengthening the role of the </w:t>
      </w:r>
      <w:r w:rsidR="00FB74CF">
        <w:t>SBS</w:t>
      </w:r>
      <w:r>
        <w:t>;</w:t>
      </w:r>
    </w:p>
    <w:p w14:paraId="3BEC50FB" w14:textId="71488E56" w:rsidR="00C81C1A" w:rsidRPr="003B7C07" w:rsidRDefault="00F837A3" w:rsidP="0033515D">
      <w:pPr>
        <w:pStyle w:val="Bullet"/>
      </w:pPr>
      <w:r>
        <w:t>e</w:t>
      </w:r>
      <w:r w:rsidR="00C81C1A" w:rsidRPr="003B7C07">
        <w:t>stablishing a Building Monitor</w:t>
      </w:r>
      <w:r>
        <w:t>;</w:t>
      </w:r>
    </w:p>
    <w:p w14:paraId="4C365C36" w14:textId="77777777" w:rsidR="0073715E" w:rsidRDefault="00F837A3" w:rsidP="00E01A46">
      <w:pPr>
        <w:pStyle w:val="Bullet"/>
        <w:sectPr w:rsidR="0073715E" w:rsidSect="0073715E">
          <w:footerReference w:type="default" r:id="rId126"/>
          <w:type w:val="continuous"/>
          <w:pgSz w:w="11907" w:h="16839" w:code="9"/>
          <w:pgMar w:top="1418" w:right="1418" w:bottom="1701" w:left="1559" w:header="720" w:footer="720" w:gutter="0"/>
          <w:cols w:space="720"/>
          <w:titlePg/>
          <w:docGrid w:linePitch="360"/>
        </w:sectPr>
      </w:pPr>
      <w:r>
        <w:t>e</w:t>
      </w:r>
      <w:r w:rsidR="00C81C1A" w:rsidRPr="003B7C07">
        <w:t>xpanding the categories of building practitioner that will be required to be registered</w:t>
      </w:r>
      <w:r>
        <w:t>;</w:t>
      </w:r>
    </w:p>
    <w:p w14:paraId="7F3D9F49" w14:textId="5635FB9E" w:rsidR="00BA704D" w:rsidRPr="003B7C07" w:rsidRDefault="00F837A3" w:rsidP="00E01A46">
      <w:pPr>
        <w:pStyle w:val="Bullet"/>
      </w:pPr>
      <w:r>
        <w:lastRenderedPageBreak/>
        <w:t>e</w:t>
      </w:r>
      <w:r w:rsidR="00BA704D" w:rsidRPr="003B7C07">
        <w:t>nhancing the building approvals process by introducing further safeguards to better inform consumers</w:t>
      </w:r>
      <w:r>
        <w:t>;</w:t>
      </w:r>
    </w:p>
    <w:p w14:paraId="6D292C50" w14:textId="2FE33F19" w:rsidR="00BA704D" w:rsidRPr="003B7C07" w:rsidRDefault="00F837A3" w:rsidP="00E01A46">
      <w:pPr>
        <w:pStyle w:val="Bullet"/>
      </w:pPr>
      <w:r>
        <w:t>s</w:t>
      </w:r>
      <w:r w:rsidR="00BA704D" w:rsidRPr="003B7C07">
        <w:t xml:space="preserve">trengthening information sharing </w:t>
      </w:r>
      <w:r w:rsidR="005A302D" w:rsidRPr="003B7C07">
        <w:t>between statutory entities with a role in the building regulatory framework</w:t>
      </w:r>
      <w:r>
        <w:t>;</w:t>
      </w:r>
    </w:p>
    <w:p w14:paraId="07AC7E82" w14:textId="32834DA3" w:rsidR="005A302D" w:rsidRPr="003B7C07" w:rsidRDefault="00F837A3" w:rsidP="00E01A46">
      <w:pPr>
        <w:pStyle w:val="Bullet"/>
      </w:pPr>
      <w:r>
        <w:t>a</w:t>
      </w:r>
      <w:r w:rsidR="005A302D" w:rsidRPr="003B7C07">
        <w:t>mending the distribution of the cladding rectification levy</w:t>
      </w:r>
      <w:r w:rsidR="007129AE" w:rsidRPr="003B7C07">
        <w:t>; and</w:t>
      </w:r>
    </w:p>
    <w:p w14:paraId="6DF9234F" w14:textId="5941A544" w:rsidR="007129AE" w:rsidRPr="003B7C07" w:rsidRDefault="00F837A3" w:rsidP="00E01A46">
      <w:pPr>
        <w:pStyle w:val="Bullet"/>
      </w:pPr>
      <w:r>
        <w:t>s</w:t>
      </w:r>
      <w:r w:rsidR="009400A4" w:rsidRPr="003B7C07">
        <w:t>trengthening and improving the governance arrangements of the A</w:t>
      </w:r>
      <w:r w:rsidR="00CC216A">
        <w:t>RBV</w:t>
      </w:r>
      <w:r w:rsidR="009400A4" w:rsidRPr="003B7C07">
        <w:t xml:space="preserve"> under the Architects Act</w:t>
      </w:r>
      <w:r w:rsidR="00EC5C94">
        <w:t>.</w:t>
      </w:r>
    </w:p>
    <w:p w14:paraId="47861375" w14:textId="77777777" w:rsidR="00956DC1" w:rsidRDefault="00956DC1">
      <w:pPr>
        <w:spacing w:after="160" w:line="259" w:lineRule="auto"/>
        <w:rPr>
          <w:highlight w:val="yellow"/>
          <w:lang w:eastAsia="en-AU"/>
        </w:rPr>
      </w:pPr>
      <w:r>
        <w:rPr>
          <w:highlight w:val="yellow"/>
          <w:lang w:eastAsia="en-AU"/>
        </w:rPr>
        <w:br w:type="page"/>
      </w:r>
    </w:p>
    <w:p w14:paraId="68AA6504" w14:textId="14E56EF5" w:rsidR="00EE60E8" w:rsidRPr="00C9666C" w:rsidRDefault="009173A2" w:rsidP="00790F5E">
      <w:pPr>
        <w:pStyle w:val="xAppendixLevel1"/>
        <w:numPr>
          <w:ilvl w:val="0"/>
          <w:numId w:val="19"/>
        </w:numPr>
      </w:pPr>
      <w:bookmarkStart w:id="213" w:name="_Ref131407393"/>
      <w:bookmarkStart w:id="214" w:name="_Toc134356816"/>
      <w:bookmarkStart w:id="215" w:name="_Toc134356922"/>
      <w:r>
        <w:rPr>
          <w:noProof/>
        </w:rPr>
        <w:lastRenderedPageBreak/>
        <w:drawing>
          <wp:anchor distT="0" distB="0" distL="114300" distR="114300" simplePos="0" relativeHeight="251658246" behindDoc="0" locked="0" layoutInCell="1" allowOverlap="1" wp14:anchorId="1779C1FD" wp14:editId="1917A6B1">
            <wp:simplePos x="0" y="0"/>
            <wp:positionH relativeFrom="column">
              <wp:posOffset>-986790</wp:posOffset>
            </wp:positionH>
            <wp:positionV relativeFrom="paragraph">
              <wp:posOffset>-911225</wp:posOffset>
            </wp:positionV>
            <wp:extent cx="7619843" cy="10686553"/>
            <wp:effectExtent l="0" t="0" r="635"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7619843" cy="10686553"/>
                    </a:xfrm>
                    <a:prstGeom prst="rect">
                      <a:avLst/>
                    </a:prstGeom>
                  </pic:spPr>
                </pic:pic>
              </a:graphicData>
            </a:graphic>
            <wp14:sizeRelH relativeFrom="page">
              <wp14:pctWidth>0</wp14:pctWidth>
            </wp14:sizeRelH>
            <wp14:sizeRelV relativeFrom="page">
              <wp14:pctHeight>0</wp14:pctHeight>
            </wp14:sizeRelV>
          </wp:anchor>
        </w:drawing>
      </w:r>
      <w:r w:rsidR="00956DC1" w:rsidRPr="00C9666C">
        <w:t xml:space="preserve">Dispute resolution </w:t>
      </w:r>
      <w:r w:rsidR="00D46B52" w:rsidRPr="00C9666C">
        <w:t>journey map</w:t>
      </w:r>
      <w:bookmarkEnd w:id="213"/>
      <w:bookmarkEnd w:id="214"/>
      <w:bookmarkEnd w:id="215"/>
    </w:p>
    <w:bookmarkEnd w:id="199"/>
    <w:bookmarkEnd w:id="200"/>
    <w:bookmarkEnd w:id="201"/>
    <w:bookmarkEnd w:id="202"/>
    <w:bookmarkEnd w:id="203"/>
    <w:p w14:paraId="0F49ADFD" w14:textId="3F9E9CE9" w:rsidR="001E2023" w:rsidRPr="0047702D" w:rsidRDefault="001E2023" w:rsidP="0047702D">
      <w:pPr>
        <w:pStyle w:val="xAppendixLevel1"/>
        <w:numPr>
          <w:ilvl w:val="0"/>
          <w:numId w:val="0"/>
        </w:numPr>
        <w:sectPr w:rsidR="001E2023" w:rsidRPr="0047702D" w:rsidSect="0073715E">
          <w:footerReference w:type="first" r:id="rId128"/>
          <w:type w:val="continuous"/>
          <w:pgSz w:w="11907" w:h="16839" w:code="9"/>
          <w:pgMar w:top="1418" w:right="1418" w:bottom="1701" w:left="1559" w:header="720" w:footer="720" w:gutter="0"/>
          <w:cols w:space="720"/>
          <w:titlePg/>
          <w:docGrid w:linePitch="360"/>
        </w:sectPr>
      </w:pPr>
    </w:p>
    <w:p w14:paraId="1385A651" w14:textId="2F63F874" w:rsidR="001E2023" w:rsidRPr="001E2023" w:rsidRDefault="008C375B" w:rsidP="00790F5E">
      <w:pPr>
        <w:pStyle w:val="xAppendixLevel1"/>
        <w:numPr>
          <w:ilvl w:val="0"/>
          <w:numId w:val="19"/>
        </w:numPr>
      </w:pPr>
      <w:bookmarkStart w:id="216" w:name="_Toc134356817"/>
      <w:bookmarkStart w:id="217" w:name="_Toc134356923"/>
      <w:r>
        <w:lastRenderedPageBreak/>
        <w:t>Bibliography</w:t>
      </w:r>
      <w:bookmarkEnd w:id="216"/>
      <w:bookmarkEnd w:id="217"/>
    </w:p>
    <w:sectPr w:rsidR="001E2023" w:rsidRPr="001E2023" w:rsidSect="006F736F">
      <w:headerReference w:type="default" r:id="rId129"/>
      <w:footerReference w:type="default" r:id="rId130"/>
      <w:footerReference w:type="first" r:id="rId131"/>
      <w:pgSz w:w="11907" w:h="16839" w:code="9"/>
      <w:pgMar w:top="1418" w:right="1418" w:bottom="1701" w:left="1559" w:header="720" w:footer="720" w:gutter="0"/>
      <w:pgNumType w:start="6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F6D7A" w14:textId="77777777" w:rsidR="00E43207" w:rsidRDefault="00E43207" w:rsidP="00302076">
      <w:pPr>
        <w:spacing w:after="0"/>
      </w:pPr>
      <w:r>
        <w:separator/>
      </w:r>
    </w:p>
  </w:endnote>
  <w:endnote w:type="continuationSeparator" w:id="0">
    <w:p w14:paraId="3882301E" w14:textId="77777777" w:rsidR="00E43207" w:rsidRDefault="00E43207" w:rsidP="00302076">
      <w:pPr>
        <w:spacing w:after="0"/>
      </w:pPr>
      <w:r>
        <w:continuationSeparator/>
      </w:r>
    </w:p>
  </w:endnote>
  <w:endnote w:type="continuationNotice" w:id="1">
    <w:p w14:paraId="4B53D8B1" w14:textId="77777777" w:rsidR="00E43207" w:rsidRDefault="00E43207">
      <w:pPr>
        <w:spacing w:after="0"/>
      </w:pPr>
    </w:p>
  </w:endnote>
  <w:endnote w:id="2">
    <w:p w14:paraId="45F3D824" w14:textId="041DC164" w:rsidR="003D1C00" w:rsidRPr="00D310A2" w:rsidRDefault="003D1C00" w:rsidP="003D1C00">
      <w:pPr>
        <w:pStyle w:val="EndnoteText"/>
      </w:pPr>
      <w:r w:rsidRPr="00D310A2">
        <w:rPr>
          <w:rStyle w:val="EndnoteReference"/>
        </w:rPr>
        <w:endnoteRef/>
      </w:r>
      <w:r w:rsidRPr="00D310A2">
        <w:t xml:space="preserve"> </w:t>
      </w:r>
      <w:r w:rsidR="009E1735" w:rsidRPr="00D310A2">
        <w:t xml:space="preserve">Victorian Cladding Taskforce, </w:t>
      </w:r>
      <w:r w:rsidR="009E1735" w:rsidRPr="00D310A2">
        <w:rPr>
          <w:i/>
        </w:rPr>
        <w:t>Report from the C</w:t>
      </w:r>
      <w:r w:rsidR="009E1735" w:rsidRPr="00D310A2">
        <w:rPr>
          <w:i/>
          <w:iCs/>
        </w:rPr>
        <w:t>o</w:t>
      </w:r>
      <w:r w:rsidR="009E1735" w:rsidRPr="00D310A2">
        <w:rPr>
          <w:i/>
        </w:rPr>
        <w:t>-Chairs</w:t>
      </w:r>
      <w:r w:rsidR="009E1735" w:rsidRPr="00D310A2">
        <w:rPr>
          <w:i/>
          <w:iCs/>
        </w:rPr>
        <w:t>, (</w:t>
      </w:r>
      <w:r w:rsidR="009E1735" w:rsidRPr="00D310A2">
        <w:rPr>
          <w:rFonts w:cs="Segoe UI"/>
        </w:rPr>
        <w:t>Melbourne:</w:t>
      </w:r>
      <w:r w:rsidR="009E1735" w:rsidRPr="00D310A2">
        <w:rPr>
          <w:i/>
        </w:rPr>
        <w:t xml:space="preserve"> </w:t>
      </w:r>
      <w:r w:rsidR="009E1735" w:rsidRPr="00D310A2">
        <w:rPr>
          <w:rFonts w:cs="Segoe UI"/>
        </w:rPr>
        <w:t xml:space="preserve">Department of </w:t>
      </w:r>
      <w:r w:rsidR="009E1735">
        <w:rPr>
          <w:rFonts w:cs="Segoe UI"/>
        </w:rPr>
        <w:t>Transport</w:t>
      </w:r>
      <w:r w:rsidR="009E1735" w:rsidRPr="00D310A2">
        <w:rPr>
          <w:rFonts w:cs="Segoe UI"/>
        </w:rPr>
        <w:t xml:space="preserve"> and Planning, 2019</w:t>
      </w:r>
      <w:r w:rsidR="009E1735" w:rsidRPr="00D310A2">
        <w:rPr>
          <w:i/>
          <w:iCs/>
        </w:rPr>
        <w:t xml:space="preserve">), </w:t>
      </w:r>
      <w:r w:rsidR="009E1735" w:rsidRPr="00D310A2">
        <w:rPr>
          <w:rFonts w:cs="Segoe UI"/>
        </w:rPr>
        <w:t>p. 7-8</w:t>
      </w:r>
      <w:r w:rsidR="009E1735">
        <w:rPr>
          <w:rFonts w:cs="Segoe UI"/>
        </w:rPr>
        <w:t xml:space="preserve">. </w:t>
      </w:r>
      <w:hyperlink r:id="rId1" w:history="1">
        <w:r w:rsidR="009E1735" w:rsidRPr="00D310A2">
          <w:rPr>
            <w:rStyle w:val="Hyperlink"/>
          </w:rPr>
          <w:t>https://www.planning.vic.gov.au/__data/assets/pdf_file/0019/426034/</w:t>
        </w:r>
        <w:r w:rsidR="009E1735">
          <w:rPr>
            <w:rStyle w:val="Hyperlink"/>
          </w:rPr>
          <w:t>DTP</w:t>
        </w:r>
        <w:r w:rsidR="009E1735" w:rsidRPr="00D310A2">
          <w:rPr>
            <w:rStyle w:val="Hyperlink"/>
          </w:rPr>
          <w:t>0124_Victorian_Cladding_Taskforce_Final_Report_July_2019_v9.pdf</w:t>
        </w:r>
      </w:hyperlink>
      <w:r w:rsidR="009E1735" w:rsidRPr="00D310A2">
        <w:t>.</w:t>
      </w:r>
    </w:p>
  </w:endnote>
  <w:endnote w:id="3">
    <w:p w14:paraId="1895539C" w14:textId="4600ED19" w:rsidR="00D54C06" w:rsidRPr="00D310A2" w:rsidRDefault="00D54C06" w:rsidP="00D54C06">
      <w:pPr>
        <w:pStyle w:val="EndnoteText"/>
      </w:pPr>
      <w:r w:rsidRPr="00D310A2">
        <w:rPr>
          <w:rStyle w:val="EndnoteReference"/>
        </w:rPr>
        <w:endnoteRef/>
      </w:r>
      <w:r w:rsidRPr="00D310A2">
        <w:t xml:space="preserve"> </w:t>
      </w:r>
      <w:r w:rsidR="009E1735">
        <w:t xml:space="preserve">Ibid </w:t>
      </w:r>
      <w:r w:rsidRPr="00D310A2">
        <w:rPr>
          <w:rFonts w:cs="Segoe UI"/>
        </w:rPr>
        <w:t xml:space="preserve">p. 7-8. </w:t>
      </w:r>
      <w:r w:rsidRPr="00D310A2">
        <w:t xml:space="preserve"> </w:t>
      </w:r>
    </w:p>
  </w:endnote>
  <w:endnote w:id="4">
    <w:p w14:paraId="797F0D98" w14:textId="77777777" w:rsidR="00E15E1A" w:rsidRPr="00712D15" w:rsidRDefault="00E15E1A" w:rsidP="00E15E1A">
      <w:pPr>
        <w:pStyle w:val="EndnoteText"/>
      </w:pPr>
      <w:r w:rsidRPr="00D310A2">
        <w:rPr>
          <w:rStyle w:val="EndnoteReference"/>
        </w:rPr>
        <w:endnoteRef/>
      </w:r>
      <w:r w:rsidRPr="00D310A2">
        <w:t xml:space="preserve"> </w:t>
      </w:r>
      <w:r>
        <w:t xml:space="preserve">Australian Bureau of Statistics, </w:t>
      </w:r>
      <w:r>
        <w:rPr>
          <w:i/>
          <w:iCs/>
        </w:rPr>
        <w:t xml:space="preserve">Australian National Accounts: State Accounts, </w:t>
      </w:r>
      <w:r>
        <w:t xml:space="preserve">published November 18, 2022. </w:t>
      </w:r>
      <w:hyperlink r:id="rId2" w:history="1">
        <w:r w:rsidRPr="009C36BB">
          <w:rPr>
            <w:rStyle w:val="Hyperlink"/>
          </w:rPr>
          <w:t>https://www.abs.gov.au/statistics/economy/national-accounts/australian-national-accounts-state-accounts/latest-release</w:t>
        </w:r>
      </w:hyperlink>
      <w:r>
        <w:t xml:space="preserve"> </w:t>
      </w:r>
    </w:p>
  </w:endnote>
  <w:endnote w:id="5">
    <w:p w14:paraId="1A396B98" w14:textId="77777777" w:rsidR="00E15E1A" w:rsidRPr="00D310A2" w:rsidRDefault="00E15E1A" w:rsidP="00E15E1A">
      <w:pPr>
        <w:pStyle w:val="EndnoteText"/>
      </w:pPr>
      <w:r w:rsidRPr="00D310A2">
        <w:rPr>
          <w:rStyle w:val="EndnoteReference"/>
        </w:rPr>
        <w:endnoteRef/>
      </w:r>
      <w:r w:rsidRPr="00D310A2">
        <w:t xml:space="preserve"> </w:t>
      </w:r>
      <w:r w:rsidRPr="00D310A2">
        <w:rPr>
          <w:rFonts w:cs="Segoe UI"/>
        </w:rPr>
        <w:t>“Regional Labour Market Data Dashboard – November 2021: Victoria,” Australian Government Labour Market Information Portal, data current as of 2</w:t>
      </w:r>
      <w:r>
        <w:rPr>
          <w:rFonts w:cs="Segoe UI"/>
        </w:rPr>
        <w:t>7</w:t>
      </w:r>
      <w:r w:rsidRPr="00D310A2">
        <w:rPr>
          <w:rFonts w:cs="Segoe UI"/>
        </w:rPr>
        <w:t xml:space="preserve"> October 202</w:t>
      </w:r>
      <w:r>
        <w:rPr>
          <w:rFonts w:cs="Segoe UI"/>
        </w:rPr>
        <w:t>2</w:t>
      </w:r>
      <w:r w:rsidRPr="00D310A2">
        <w:rPr>
          <w:rFonts w:cs="Segoe UI"/>
        </w:rPr>
        <w:t xml:space="preserve">. </w:t>
      </w:r>
      <w:hyperlink r:id="rId3" w:history="1">
        <w:r w:rsidRPr="00D310A2">
          <w:rPr>
            <w:rStyle w:val="Hyperlink"/>
            <w:rFonts w:cs="Segoe UI"/>
          </w:rPr>
          <w:t>https://lmip.gov.au/default.aspx?LMIP/Downloads/EmploymentRegion</w:t>
        </w:r>
      </w:hyperlink>
      <w:r w:rsidRPr="00D310A2">
        <w:rPr>
          <w:rFonts w:cs="Segoe UI"/>
        </w:rPr>
        <w:t>.</w:t>
      </w:r>
      <w:hyperlink r:id="rId4" w:history="1">
        <w:r w:rsidRPr="00D310A2">
          <w:rPr>
            <w:rStyle w:val="Hyperlink"/>
            <w:rFonts w:cs="Segoe UI"/>
          </w:rPr>
          <w:t>https://lmip.gov.au/default.aspx?LMIP/Downloads/EmploymentRegion</w:t>
        </w:r>
      </w:hyperlink>
      <w:r w:rsidRPr="00D310A2">
        <w:rPr>
          <w:rFonts w:cs="Segoe UI"/>
        </w:rPr>
        <w:t>.</w:t>
      </w:r>
    </w:p>
  </w:endnote>
  <w:endnote w:id="6">
    <w:p w14:paraId="27E164EF" w14:textId="1098F7E8" w:rsidR="00E15E1A" w:rsidRPr="0008751F" w:rsidRDefault="00E15E1A" w:rsidP="00E15E1A">
      <w:pPr>
        <w:pStyle w:val="EndnoteText"/>
      </w:pPr>
      <w:r>
        <w:rPr>
          <w:rStyle w:val="EndnoteReference"/>
        </w:rPr>
        <w:endnoteRef/>
      </w:r>
      <w:r>
        <w:t xml:space="preserve"> “Strengthening industry – Victorian Budget 2022/23,” Victorian State Government, published May 3, 2022. </w:t>
      </w:r>
      <w:hyperlink r:id="rId5" w:history="1">
        <w:r w:rsidRPr="004D7DF2">
          <w:rPr>
            <w:rStyle w:val="Hyperlink"/>
          </w:rPr>
          <w:t>https://www.budget.vic.gov.au/strengthening-industry</w:t>
        </w:r>
      </w:hyperlink>
      <w:r>
        <w:t xml:space="preserve"> </w:t>
      </w:r>
    </w:p>
  </w:endnote>
  <w:endnote w:id="7">
    <w:p w14:paraId="0CE9FFF1" w14:textId="77777777" w:rsidR="00E15E1A" w:rsidRPr="00D310A2" w:rsidRDefault="00E15E1A" w:rsidP="00E15E1A">
      <w:pPr>
        <w:pStyle w:val="EndnoteText"/>
      </w:pPr>
      <w:r w:rsidRPr="00D310A2">
        <w:rPr>
          <w:rStyle w:val="EndnoteReference"/>
        </w:rPr>
        <w:endnoteRef/>
      </w:r>
      <w:r w:rsidRPr="00D310A2">
        <w:t xml:space="preserve"> </w:t>
      </w:r>
      <w:r w:rsidRPr="00D310A2">
        <w:rPr>
          <w:rFonts w:cs="Segoe UI"/>
        </w:rPr>
        <w:t>“Victoria’s Big Housing Build,” Premier of Victoria,</w:t>
      </w:r>
      <w:r w:rsidRPr="00D310A2">
        <w:rPr>
          <w:rFonts w:cs="Segoe UI"/>
          <w:i/>
        </w:rPr>
        <w:t xml:space="preserve"> </w:t>
      </w:r>
      <w:r w:rsidRPr="00D310A2">
        <w:rPr>
          <w:rFonts w:cs="Segoe UI"/>
        </w:rPr>
        <w:t>published</w:t>
      </w:r>
      <w:r w:rsidRPr="00D310A2">
        <w:rPr>
          <w:rFonts w:cs="Segoe UI"/>
          <w:i/>
        </w:rPr>
        <w:t xml:space="preserve"> </w:t>
      </w:r>
      <w:r w:rsidRPr="00D310A2">
        <w:rPr>
          <w:rFonts w:cs="Segoe UI"/>
        </w:rPr>
        <w:t xml:space="preserve">November 15, 2020.  </w:t>
      </w:r>
      <w:hyperlink r:id="rId6" w:history="1">
        <w:r w:rsidRPr="00D310A2">
          <w:rPr>
            <w:rStyle w:val="Hyperlink"/>
            <w:rFonts w:cs="Segoe UI"/>
          </w:rPr>
          <w:t>https://www.premier.vic.gov.au/victorias-big-housing-build</w:t>
        </w:r>
      </w:hyperlink>
      <w:hyperlink r:id="rId7" w:history="1">
        <w:r w:rsidRPr="00D310A2">
          <w:rPr>
            <w:rStyle w:val="Hyperlink"/>
            <w:rFonts w:cs="Segoe UI"/>
          </w:rPr>
          <w:t>https://www.premier.vic.gov.au/victorias-big-housing-build</w:t>
        </w:r>
      </w:hyperlink>
    </w:p>
  </w:endnote>
  <w:endnote w:id="8">
    <w:p w14:paraId="080C6F3C" w14:textId="77777777" w:rsidR="00E15E1A" w:rsidRPr="00D310A2" w:rsidRDefault="00E15E1A" w:rsidP="00E15E1A">
      <w:pPr>
        <w:pStyle w:val="EndnoteText"/>
      </w:pPr>
      <w:r w:rsidRPr="00D310A2">
        <w:rPr>
          <w:rStyle w:val="EndnoteReference"/>
        </w:rPr>
        <w:endnoteRef/>
      </w:r>
      <w:r w:rsidRPr="00D310A2">
        <w:t xml:space="preserve"> Ibid.</w:t>
      </w:r>
    </w:p>
  </w:endnote>
  <w:endnote w:id="9">
    <w:p w14:paraId="60140A7D" w14:textId="77777777" w:rsidR="00E15E1A" w:rsidRPr="00D310A2" w:rsidRDefault="00E15E1A" w:rsidP="00E15E1A">
      <w:pPr>
        <w:pStyle w:val="EndnoteText"/>
      </w:pPr>
      <w:r w:rsidRPr="00D310A2">
        <w:rPr>
          <w:rStyle w:val="EndnoteReference"/>
        </w:rPr>
        <w:endnoteRef/>
      </w:r>
      <w:r w:rsidRPr="00D310A2">
        <w:t xml:space="preserve"> “Fast-start projects,” Victorian State Government, updated December 7, 2021.  </w:t>
      </w:r>
      <w:hyperlink r:id="rId8" w:history="1">
        <w:r w:rsidRPr="00D310A2">
          <w:rPr>
            <w:rStyle w:val="Hyperlink"/>
          </w:rPr>
          <w:t>https://www.vic.gov.au/homes-victoria-fast-start-projects</w:t>
        </w:r>
      </w:hyperlink>
      <w:hyperlink r:id="rId9" w:history="1">
        <w:r w:rsidRPr="00D310A2">
          <w:rPr>
            <w:rStyle w:val="Hyperlink"/>
          </w:rPr>
          <w:t>https://www.vic.gov.au/homes-victoria-fast-start-projects</w:t>
        </w:r>
      </w:hyperlink>
    </w:p>
  </w:endnote>
  <w:endnote w:id="10">
    <w:p w14:paraId="395801CC" w14:textId="77777777" w:rsidR="00E15E1A" w:rsidRPr="00D310A2" w:rsidRDefault="00E15E1A" w:rsidP="00E15E1A">
      <w:pPr>
        <w:pStyle w:val="EndnoteText"/>
      </w:pPr>
      <w:r w:rsidRPr="00D310A2">
        <w:rPr>
          <w:rStyle w:val="EndnoteReference"/>
        </w:rPr>
        <w:endnoteRef/>
      </w:r>
      <w:r w:rsidRPr="00D310A2">
        <w:t xml:space="preserve"> </w:t>
      </w:r>
      <w:bookmarkStart w:id="12" w:name="_Hlk38976971"/>
      <w:r w:rsidRPr="00D310A2">
        <w:t xml:space="preserve">The Productivity Commission (2004) notes that: </w:t>
      </w:r>
      <w:r w:rsidRPr="00D310A2">
        <w:rPr>
          <w:i/>
          <w:lang w:eastAsia="en-AU"/>
        </w:rPr>
        <w:t xml:space="preserve">“Access to affordable and quality housing is central to community wellbeing. Apart from meeting the basic needs for shelter, it provides the foundation for family and social stability, and contributes to improved health and educational outcomes and a productive workforce. Thus, it enhances both economic performance and ‘social capital’. </w:t>
      </w:r>
      <w:bookmarkEnd w:id="12"/>
      <w:r w:rsidRPr="00D310A2">
        <w:rPr>
          <w:i/>
          <w:lang w:eastAsia="en-AU"/>
        </w:rPr>
        <w:t xml:space="preserve">See </w:t>
      </w:r>
      <w:r w:rsidRPr="00D310A2">
        <w:t xml:space="preserve">Australian Government Productivity Commission, 2004, ‘First Home Ownership’, </w:t>
      </w:r>
      <w:hyperlink r:id="rId10" w:history="1">
        <w:r w:rsidRPr="00D310A2">
          <w:rPr>
            <w:rStyle w:val="Hyperlink"/>
          </w:rPr>
          <w:t>https://www.pc.gov.au/inquiries/completed/first-home-ownership/report/housing.pdf</w:t>
        </w:r>
      </w:hyperlink>
      <w:r w:rsidRPr="00D310A2">
        <w:t>, p.3.</w:t>
      </w:r>
    </w:p>
  </w:endnote>
  <w:endnote w:id="11">
    <w:p w14:paraId="1C59244A" w14:textId="77777777" w:rsidR="00A76963" w:rsidRPr="00D310A2" w:rsidRDefault="00A76963" w:rsidP="00A76963">
      <w:pPr>
        <w:pStyle w:val="EndnoteText"/>
      </w:pPr>
      <w:r w:rsidRPr="00D310A2">
        <w:rPr>
          <w:rStyle w:val="EndnoteReference"/>
        </w:rPr>
        <w:endnoteRef/>
      </w:r>
      <w:r w:rsidRPr="00D310A2">
        <w:t xml:space="preserve"> Nicolas Cecil, “Grenfell Tower cladding helped fire spread faster than 'match in petrol,' inquiry hears,” </w:t>
      </w:r>
      <w:r w:rsidRPr="00D310A2">
        <w:rPr>
          <w:i/>
          <w:iCs/>
        </w:rPr>
        <w:t>Evening Standard</w:t>
      </w:r>
      <w:r w:rsidRPr="00D310A2">
        <w:t xml:space="preserve">, June 5, 2018, </w:t>
      </w:r>
      <w:hyperlink r:id="rId11" w:history="1">
        <w:r w:rsidRPr="00D310A2">
          <w:rPr>
            <w:rStyle w:val="Hyperlink"/>
          </w:rPr>
          <w:t>https://www.standard.co.uk/news/london/grenfell-tower-cladding-helped-fire-spread-faster-than-match-in-barrel-of-petrol-inquiry-hears-a3855671.html</w:t>
        </w:r>
      </w:hyperlink>
      <w:r w:rsidRPr="00D310A2">
        <w:t xml:space="preserve">; Nick Toscano and Rania Spooner, “Docklands apartment tower fire fuelled by material in building's walls, says MFB,” </w:t>
      </w:r>
      <w:r w:rsidRPr="00D310A2">
        <w:rPr>
          <w:i/>
          <w:iCs/>
        </w:rPr>
        <w:t>The Age</w:t>
      </w:r>
      <w:r w:rsidRPr="00D310A2">
        <w:t xml:space="preserve">, April 28, 2015, </w:t>
      </w:r>
      <w:hyperlink r:id="rId12" w:history="1">
        <w:r w:rsidRPr="00D310A2">
          <w:rPr>
            <w:rStyle w:val="Hyperlink"/>
          </w:rPr>
          <w:t>https://www.abc.net.au/news/2019-02-28/lacrosse-apartment-owners-win-5.7-million-cladding-fire-damages/10857060</w:t>
        </w:r>
      </w:hyperlink>
      <w:r w:rsidRPr="00D310A2">
        <w:t xml:space="preserve">; “Melbourne apartment tower fire fuelled by combustible cladding on Spencer St high-rise,” </w:t>
      </w:r>
      <w:r w:rsidRPr="00D310A2">
        <w:rPr>
          <w:i/>
          <w:iCs/>
        </w:rPr>
        <w:t xml:space="preserve">ABC News, </w:t>
      </w:r>
      <w:r w:rsidRPr="00D310A2">
        <w:t xml:space="preserve">February 4, 2019, </w:t>
      </w:r>
      <w:hyperlink r:id="rId13" w:history="1">
        <w:r w:rsidRPr="00D310A2">
          <w:rPr>
            <w:rStyle w:val="Hyperlink"/>
          </w:rPr>
          <w:t>https://www.abc.net.au/news/2019-02-04/spencer-street-apartment-fire-melbourne/10776018</w:t>
        </w:r>
      </w:hyperlink>
      <w:r w:rsidRPr="00D310A2">
        <w:t xml:space="preserve"> </w:t>
      </w:r>
    </w:p>
  </w:endnote>
  <w:endnote w:id="12">
    <w:p w14:paraId="22D1FA89" w14:textId="77777777" w:rsidR="00A76963" w:rsidRPr="00D310A2" w:rsidRDefault="00A76963" w:rsidP="00A76963">
      <w:pPr>
        <w:pStyle w:val="EndnoteText"/>
      </w:pPr>
      <w:r w:rsidRPr="00D310A2">
        <w:rPr>
          <w:rStyle w:val="EndnoteReference"/>
        </w:rPr>
        <w:endnoteRef/>
      </w:r>
      <w:r w:rsidRPr="00D310A2">
        <w:t xml:space="preserve"> Peter Shergold and Bronwyn Weir,</w:t>
      </w:r>
      <w:r w:rsidRPr="00D310A2">
        <w:rPr>
          <w:i/>
        </w:rPr>
        <w:t xml:space="preserve"> </w:t>
      </w:r>
      <w:r w:rsidRPr="00D310A2">
        <w:rPr>
          <w:i/>
          <w:iCs/>
        </w:rPr>
        <w:t>Building confidence</w:t>
      </w:r>
      <w:r w:rsidRPr="00D310A2">
        <w:t xml:space="preserve">: </w:t>
      </w:r>
      <w:r w:rsidRPr="00D310A2">
        <w:rPr>
          <w:i/>
          <w:iCs/>
        </w:rPr>
        <w:t>Improving the effectiveness of compliance and enforcement systems for the building and construction industr</w:t>
      </w:r>
      <w:r>
        <w:rPr>
          <w:i/>
          <w:iCs/>
        </w:rPr>
        <w:t xml:space="preserve">y </w:t>
      </w:r>
      <w:r w:rsidRPr="00D310A2">
        <w:t xml:space="preserve">(2018). </w:t>
      </w:r>
      <w:hyperlink r:id="rId14" w:history="1">
        <w:r w:rsidRPr="00D310A2">
          <w:rPr>
            <w:rStyle w:val="Hyperlink"/>
            <w:i/>
            <w:iCs/>
          </w:rPr>
          <w:t>https://www.industry.gov.au/sites/default/files/July%202018/document/pdf/building_ministers_forum_expert_assessment_-_building_confidence.pdf</w:t>
        </w:r>
      </w:hyperlink>
      <w:r w:rsidRPr="00D310A2">
        <w:rPr>
          <w:i/>
          <w:iCs/>
        </w:rPr>
        <w:t xml:space="preserve"> </w:t>
      </w:r>
      <w:r w:rsidRPr="00D310A2">
        <w:t xml:space="preserve"> </w:t>
      </w:r>
    </w:p>
  </w:endnote>
  <w:endnote w:id="13">
    <w:p w14:paraId="542EFB9A" w14:textId="7EC99165" w:rsidR="00050F8B" w:rsidRPr="00D310A2" w:rsidRDefault="00050F8B" w:rsidP="00050F8B">
      <w:pPr>
        <w:pStyle w:val="EndnoteText"/>
      </w:pPr>
      <w:r w:rsidRPr="00D310A2">
        <w:rPr>
          <w:rStyle w:val="EndnoteReference"/>
        </w:rPr>
        <w:endnoteRef/>
      </w:r>
      <w:r w:rsidRPr="00D310A2">
        <w:t xml:space="preserve"> </w:t>
      </w:r>
      <w:r w:rsidRPr="00D310A2">
        <w:rPr>
          <w:rFonts w:cs="Segoe UI"/>
        </w:rPr>
        <w:t xml:space="preserve">The Building Code of Australia (BCA) Volume 1 and 2 are part of the </w:t>
      </w:r>
      <w:r w:rsidR="00F81457">
        <w:rPr>
          <w:rFonts w:cs="Segoe UI"/>
        </w:rPr>
        <w:t>NCC</w:t>
      </w:r>
      <w:r w:rsidRPr="00D310A2">
        <w:rPr>
          <w:rFonts w:cs="Segoe UI"/>
        </w:rPr>
        <w:t xml:space="preserve"> series published by the Australian Building Codes Board. The Building Codes Committee (BCC) is one of the technical advisory committees that is supporting the ABCB.</w:t>
      </w:r>
    </w:p>
  </w:endnote>
  <w:endnote w:id="14">
    <w:p w14:paraId="6F155F00" w14:textId="0AD884AD" w:rsidR="00386339" w:rsidRPr="00D310A2" w:rsidRDefault="00386339" w:rsidP="00386339">
      <w:pPr>
        <w:pStyle w:val="EndnoteText"/>
      </w:pPr>
      <w:r w:rsidRPr="00D310A2">
        <w:rPr>
          <w:rStyle w:val="EndnoteReference"/>
        </w:rPr>
        <w:endnoteRef/>
      </w:r>
      <w:r w:rsidRPr="00D310A2">
        <w:t xml:space="preserve"> </w:t>
      </w:r>
      <w:r w:rsidRPr="00D310A2">
        <w:rPr>
          <w:rFonts w:cs="Arial"/>
        </w:rPr>
        <w:t xml:space="preserve">Product manufacturers and suppliers are partially liable for their work under the ACL, including s106 of Schedule 2 of the ACL </w:t>
      </w:r>
      <w:r>
        <w:rPr>
          <w:rFonts w:cs="Arial"/>
        </w:rPr>
        <w:t xml:space="preserve">which </w:t>
      </w:r>
      <w:r w:rsidRPr="00D310A2">
        <w:rPr>
          <w:rFonts w:cs="Arial"/>
        </w:rPr>
        <w:t>prohibits the support of ‘consumer goods’ and s106(3) which prohibits a person from manufacturing or having control of such goods.</w:t>
      </w:r>
    </w:p>
  </w:endnote>
  <w:endnote w:id="15">
    <w:p w14:paraId="7CF1745F" w14:textId="0986993D" w:rsidR="00E153BB" w:rsidRPr="00D310A2" w:rsidRDefault="00E153BB" w:rsidP="00E153BB">
      <w:pPr>
        <w:pStyle w:val="EndnoteText"/>
      </w:pPr>
      <w:r w:rsidRPr="00D310A2">
        <w:rPr>
          <w:rStyle w:val="EndnoteReference"/>
        </w:rPr>
        <w:endnoteRef/>
      </w:r>
      <w:r w:rsidRPr="00D310A2">
        <w:t xml:space="preserve"> </w:t>
      </w:r>
      <w:r w:rsidRPr="00D310A2">
        <w:rPr>
          <w:rFonts w:cs="Arial"/>
          <w:color w:val="000000" w:themeColor="text1"/>
        </w:rPr>
        <w:t xml:space="preserve">Amendments to the Building Act in 2017 introduced the registration of corporations as building surveyors and builders. Under the corporate registration framework, any company that wishes to enter into a domestic building contract with a building owner or be engaged as the RBS by the owner, must be a registered corporation; </w:t>
      </w:r>
      <w:r w:rsidRPr="00D310A2">
        <w:rPr>
          <w:rFonts w:cs="Arial"/>
          <w:i/>
          <w:color w:val="000000" w:themeColor="text1"/>
        </w:rPr>
        <w:t>Building Act 1993</w:t>
      </w:r>
      <w:r w:rsidRPr="00D310A2">
        <w:rPr>
          <w:rFonts w:cs="Arial"/>
          <w:color w:val="000000" w:themeColor="text1"/>
        </w:rPr>
        <w:t xml:space="preserve"> (Vic), s 171A and 171C. In addition, </w:t>
      </w:r>
      <w:r w:rsidRPr="00D310A2">
        <w:rPr>
          <w:rFonts w:cs="Arial"/>
        </w:rPr>
        <w:t xml:space="preserve">the injunction power </w:t>
      </w:r>
      <w:r w:rsidRPr="009B30C9">
        <w:rPr>
          <w:rFonts w:cs="Arial"/>
        </w:rPr>
        <w:t>(discussed further in section</w:t>
      </w:r>
      <w:r w:rsidR="00BF3426" w:rsidRPr="009B30C9">
        <w:rPr>
          <w:rFonts w:cs="Arial"/>
        </w:rPr>
        <w:t xml:space="preserve"> </w:t>
      </w:r>
      <w:r w:rsidR="009B30C9" w:rsidRPr="009B30C9">
        <w:rPr>
          <w:rFonts w:cs="Arial"/>
        </w:rPr>
        <w:fldChar w:fldCharType="begin"/>
      </w:r>
      <w:r w:rsidR="009B30C9" w:rsidRPr="009B30C9">
        <w:rPr>
          <w:rFonts w:cs="Arial"/>
        </w:rPr>
        <w:instrText xml:space="preserve"> REF _Ref134177419 \r \h </w:instrText>
      </w:r>
      <w:r w:rsidR="009B30C9">
        <w:rPr>
          <w:rFonts w:cs="Arial"/>
        </w:rPr>
        <w:instrText xml:space="preserve"> \* MERGEFORMAT </w:instrText>
      </w:r>
      <w:r w:rsidR="009B30C9" w:rsidRPr="009B30C9">
        <w:rPr>
          <w:rFonts w:cs="Arial"/>
        </w:rPr>
      </w:r>
      <w:r w:rsidR="009B30C9" w:rsidRPr="009B30C9">
        <w:rPr>
          <w:rFonts w:cs="Arial"/>
        </w:rPr>
        <w:fldChar w:fldCharType="separate"/>
      </w:r>
      <w:r w:rsidR="00E15D2D">
        <w:rPr>
          <w:rFonts w:cs="Arial"/>
        </w:rPr>
        <w:t>5.2</w:t>
      </w:r>
      <w:r w:rsidR="009B30C9" w:rsidRPr="009B30C9">
        <w:rPr>
          <w:rFonts w:cs="Arial"/>
        </w:rPr>
        <w:fldChar w:fldCharType="end"/>
      </w:r>
      <w:r w:rsidRPr="009B30C9">
        <w:rPr>
          <w:rFonts w:cs="Arial"/>
        </w:rPr>
        <w:t xml:space="preserve"> of this Paper)</w:t>
      </w:r>
      <w:r w:rsidRPr="00D310A2">
        <w:rPr>
          <w:rFonts w:cs="Arial"/>
        </w:rPr>
        <w:t xml:space="preserve"> is wide-ranging and can be sought in relation to anyone who has – or proposes to – breach the building laws, or any person who aids and abets another person doing so. This is broad enough to capture upstream participants (such as developers).</w:t>
      </w:r>
    </w:p>
  </w:endnote>
  <w:endnote w:id="16">
    <w:p w14:paraId="70947EEE" w14:textId="6AF88EC3" w:rsidR="000A64AD" w:rsidRPr="005E0934" w:rsidRDefault="000A64AD" w:rsidP="000A64AD">
      <w:pPr>
        <w:pStyle w:val="EndnoteText"/>
      </w:pPr>
      <w:r>
        <w:rPr>
          <w:rStyle w:val="EndnoteReference"/>
        </w:rPr>
        <w:endnoteRef/>
      </w:r>
      <w:r>
        <w:t xml:space="preserve"> A SPV is a separate legal entity create to undertake a specific business purpose or activity.</w:t>
      </w:r>
    </w:p>
  </w:endnote>
  <w:endnote w:id="17">
    <w:p w14:paraId="10FE6281" w14:textId="6E01FF71" w:rsidR="009F730C" w:rsidRPr="00A67EB4" w:rsidRDefault="009F730C" w:rsidP="009F730C">
      <w:pPr>
        <w:rPr>
          <w:rFonts w:cstheme="minorHAnsi"/>
          <w:color w:val="000000"/>
          <w:sz w:val="20"/>
          <w:szCs w:val="20"/>
        </w:rPr>
      </w:pPr>
      <w:r w:rsidRPr="00A67EB4">
        <w:rPr>
          <w:rStyle w:val="EndnoteReference"/>
          <w:sz w:val="20"/>
          <w:szCs w:val="20"/>
        </w:rPr>
        <w:endnoteRef/>
      </w:r>
      <w:r w:rsidRPr="00A67EB4">
        <w:rPr>
          <w:sz w:val="20"/>
          <w:szCs w:val="20"/>
        </w:rPr>
        <w:t xml:space="preserve"> For instance, i</w:t>
      </w:r>
      <w:r w:rsidRPr="00A67EB4">
        <w:rPr>
          <w:rFonts w:cstheme="minorHAnsi"/>
          <w:color w:val="000000"/>
          <w:sz w:val="20"/>
          <w:szCs w:val="20"/>
        </w:rPr>
        <w:t xml:space="preserve">n </w:t>
      </w:r>
      <w:r w:rsidRPr="00A67EB4">
        <w:rPr>
          <w:rFonts w:cstheme="minorHAnsi"/>
          <w:i/>
          <w:iCs/>
          <w:color w:val="333333"/>
          <w:sz w:val="20"/>
          <w:szCs w:val="20"/>
        </w:rPr>
        <w:t>Brookfield Multiplex Ltd v Owners Corporation Strata Plan 61288 &amp; Anor </w:t>
      </w:r>
      <w:r w:rsidRPr="00A67EB4">
        <w:rPr>
          <w:rFonts w:cstheme="minorHAnsi"/>
          <w:color w:val="606060"/>
          <w:sz w:val="20"/>
          <w:szCs w:val="20"/>
          <w:shd w:val="clear" w:color="auto" w:fill="F1F5F6"/>
        </w:rPr>
        <w:t>[</w:t>
      </w:r>
      <w:r w:rsidRPr="00A67EB4">
        <w:rPr>
          <w:rFonts w:cstheme="minorHAnsi"/>
          <w:color w:val="000000"/>
          <w:sz w:val="20"/>
          <w:szCs w:val="20"/>
        </w:rPr>
        <w:t>2014] HCA 36 the High Court held that no duty of care existed between a builder and an owner’s corporation. Considering the sophisticated contractual arrangements in place, the owner’s corporation was not regarded as ‘vulnerable’. At common law, the duty of care can only apply to a subsequent owner if it is found to exist in relation to the original owner. As the decision in Brookfield demonstrates this can be disadvantageous for subsequent purchasers of high-rise residential apartments. The problem is that the original developer or owners’ corporation is unlikely to be regarded as having sufficient “vulnerability” to attract the duty, as they are assumed to be capable of managing risks through relevant contracts or other commercial arrangements. Yet a subsequent owner of a residential apartment is unable to do this.</w:t>
      </w:r>
    </w:p>
  </w:endnote>
  <w:endnote w:id="18">
    <w:p w14:paraId="6632EA21" w14:textId="77777777" w:rsidR="004C0930" w:rsidRPr="00D310A2" w:rsidRDefault="004C0930" w:rsidP="004C0930">
      <w:pPr>
        <w:pStyle w:val="EndnoteText"/>
      </w:pPr>
      <w:r w:rsidRPr="00D310A2">
        <w:rPr>
          <w:rStyle w:val="EndnoteReference"/>
        </w:rPr>
        <w:endnoteRef/>
      </w:r>
      <w:r w:rsidRPr="00D310A2">
        <w:t xml:space="preserve"> For example, cases of breach in ACL are often difficult to prove and must be brought in VCAT, often involving lengthy legal engagement.</w:t>
      </w:r>
    </w:p>
  </w:endnote>
  <w:endnote w:id="19">
    <w:p w14:paraId="52E6EAD9" w14:textId="77777777" w:rsidR="004E0785" w:rsidRPr="00CC0246" w:rsidRDefault="004E0785" w:rsidP="004E0785">
      <w:pPr>
        <w:pStyle w:val="EndnoteText"/>
      </w:pPr>
      <w:r>
        <w:rPr>
          <w:rStyle w:val="EndnoteReference"/>
        </w:rPr>
        <w:endnoteRef/>
      </w:r>
      <w:r>
        <w:t xml:space="preserve"> </w:t>
      </w:r>
      <w:r w:rsidRPr="00E9524C">
        <w:t>Victorian Cladding Taskforce</w:t>
      </w:r>
      <w:r w:rsidRPr="00E9524C">
        <w:rPr>
          <w:i/>
          <w:iCs/>
        </w:rPr>
        <w:t>, Interim report</w:t>
      </w:r>
      <w:r w:rsidRPr="00E9524C">
        <w:t xml:space="preserve">, (Melbourne: Department of </w:t>
      </w:r>
      <w:r>
        <w:t>Transport</w:t>
      </w:r>
      <w:r w:rsidRPr="00E9524C">
        <w:t xml:space="preserve"> and Planning, 2017), p.2</w:t>
      </w:r>
      <w:r>
        <w:t>9</w:t>
      </w:r>
      <w:r w:rsidRPr="00E9524C">
        <w:t xml:space="preserve">. </w:t>
      </w:r>
      <w:hyperlink r:id="rId15" w:history="1">
        <w:r w:rsidRPr="00FE3CC5">
          <w:rPr>
            <w:rStyle w:val="Hyperlink"/>
          </w:rPr>
          <w:t>https://www.planning.vic.gov.au/__data/assets/pdf_file/0012/110316/Victorian-Cladding-Taskforce-Interim-Report-November-2017.pdf</w:t>
        </w:r>
      </w:hyperlink>
    </w:p>
  </w:endnote>
  <w:endnote w:id="20">
    <w:p w14:paraId="5E0E41E8" w14:textId="77777777" w:rsidR="005761F9" w:rsidRPr="00CC1C33" w:rsidRDefault="005761F9" w:rsidP="005761F9">
      <w:pPr>
        <w:pStyle w:val="EndnoteText"/>
      </w:pPr>
      <w:r>
        <w:rPr>
          <w:rStyle w:val="EndnoteReference"/>
        </w:rPr>
        <w:endnoteRef/>
      </w:r>
      <w:r>
        <w:t xml:space="preserve"> </w:t>
      </w:r>
      <w:r w:rsidRPr="00E91EB2">
        <w:t>The statutory duty of care in NSW includes a broad range of building and related work, and includes having “substantive control” over the carrying out of any of these kinds of work.</w:t>
      </w:r>
    </w:p>
  </w:endnote>
  <w:endnote w:id="21">
    <w:p w14:paraId="64034083" w14:textId="77777777" w:rsidR="005761F9" w:rsidRPr="00E91EB2" w:rsidRDefault="005761F9" w:rsidP="005761F9">
      <w:pPr>
        <w:pStyle w:val="EndnoteText"/>
      </w:pPr>
      <w:r>
        <w:rPr>
          <w:rStyle w:val="EndnoteReference"/>
        </w:rPr>
        <w:endnoteRef/>
      </w:r>
      <w:r w:rsidRPr="000F470E">
        <w:t>Of note, there is no intention that the duty would apply retrospectively</w:t>
      </w:r>
      <w:r>
        <w:t xml:space="preserve"> </w:t>
      </w:r>
    </w:p>
  </w:endnote>
  <w:endnote w:id="22">
    <w:p w14:paraId="191D78D2" w14:textId="77777777" w:rsidR="002A2B58" w:rsidRPr="00C82163" w:rsidRDefault="002A2B58" w:rsidP="002A2B58">
      <w:pPr>
        <w:pStyle w:val="EndnoteText"/>
      </w:pPr>
      <w:r>
        <w:rPr>
          <w:rStyle w:val="EndnoteReference"/>
        </w:rPr>
        <w:endnoteRef/>
      </w:r>
      <w:r>
        <w:t xml:space="preserve"> </w:t>
      </w:r>
      <w:r w:rsidRPr="00F10888">
        <w:t>Corporations registered under the Building Act are also subject to disciplinary proceedings.</w:t>
      </w:r>
    </w:p>
  </w:endnote>
  <w:endnote w:id="23">
    <w:p w14:paraId="181FFDAF" w14:textId="77777777" w:rsidR="005D3F52" w:rsidRPr="00AB5702" w:rsidRDefault="005D3F52" w:rsidP="005D3F52">
      <w:pPr>
        <w:pStyle w:val="EndnoteText"/>
      </w:pPr>
      <w:r>
        <w:rPr>
          <w:rStyle w:val="EndnoteReference"/>
        </w:rPr>
        <w:endnoteRef/>
      </w:r>
      <w:r>
        <w:t xml:space="preserve"> </w:t>
      </w:r>
      <w:r w:rsidRPr="00AB5702">
        <w:t>The Act also contains grounds for immediate suspension whereby suspension can take effect before the completion of the normal show cause process that applies for the disciplining of practitioners.</w:t>
      </w:r>
    </w:p>
  </w:endnote>
  <w:endnote w:id="24">
    <w:p w14:paraId="5444EA72" w14:textId="02E0BF99" w:rsidR="0099764A" w:rsidRPr="00F57688" w:rsidRDefault="0099764A" w:rsidP="0099764A">
      <w:pPr>
        <w:pStyle w:val="EndnoteText"/>
      </w:pPr>
      <w:r>
        <w:rPr>
          <w:rStyle w:val="EndnoteReference"/>
        </w:rPr>
        <w:endnoteRef/>
      </w:r>
      <w:r>
        <w:t xml:space="preserve"> </w:t>
      </w:r>
      <w:r w:rsidRPr="00DB0F8E">
        <w:t xml:space="preserve">Municipal Association of Victoria, </w:t>
      </w:r>
      <w:r w:rsidRPr="00DB0F8E">
        <w:rPr>
          <w:i/>
          <w:iCs/>
        </w:rPr>
        <w:t xml:space="preserve">Building a better system: discussion paper on reforms to Victoria’s building regulatory system </w:t>
      </w:r>
      <w:r w:rsidRPr="00DB0F8E">
        <w:t>(</w:t>
      </w:r>
      <w:r w:rsidR="00CC64AE" w:rsidRPr="00DB0F8E">
        <w:t>Municipal Association of Victoria</w:t>
      </w:r>
      <w:r w:rsidRPr="00DB0F8E">
        <w:t>, 2020).</w:t>
      </w:r>
    </w:p>
  </w:endnote>
  <w:endnote w:id="25">
    <w:p w14:paraId="2E2685F1" w14:textId="77777777" w:rsidR="003552D0" w:rsidRPr="00DB0F8E" w:rsidRDefault="003552D0" w:rsidP="003552D0">
      <w:pPr>
        <w:pStyle w:val="EndnoteText"/>
      </w:pPr>
      <w:r>
        <w:rPr>
          <w:rStyle w:val="EndnoteReference"/>
        </w:rPr>
        <w:endnoteRef/>
      </w:r>
      <w:r>
        <w:t xml:space="preserve"> </w:t>
      </w:r>
      <w:r w:rsidRPr="00E9524C">
        <w:t>Victorian Cladding Taskforce</w:t>
      </w:r>
      <w:r w:rsidRPr="00E9524C">
        <w:rPr>
          <w:i/>
          <w:iCs/>
        </w:rPr>
        <w:t>, Interim report</w:t>
      </w:r>
      <w:r w:rsidRPr="00E9524C">
        <w:t xml:space="preserve">, (Melbourne: Department of </w:t>
      </w:r>
      <w:r>
        <w:t>Transport</w:t>
      </w:r>
      <w:r w:rsidRPr="00E9524C">
        <w:t xml:space="preserve"> and Planning, 2017), p.24. </w:t>
      </w:r>
      <w:hyperlink r:id="rId16" w:history="1">
        <w:r w:rsidRPr="00FE3CC5">
          <w:rPr>
            <w:rStyle w:val="Hyperlink"/>
          </w:rPr>
          <w:t>https://www.planning.vic.gov.au/__data/assets/pdf_file/0012/110316/Victorian-Cladding-Taskforce-Interim-Report-November-2017.pdf</w:t>
        </w:r>
      </w:hyperlink>
      <w:r>
        <w:t xml:space="preserve"> </w:t>
      </w:r>
    </w:p>
  </w:endnote>
  <w:endnote w:id="26">
    <w:p w14:paraId="191B68D8" w14:textId="77777777" w:rsidR="00845312" w:rsidRPr="00AB1A54" w:rsidRDefault="00845312" w:rsidP="00845312">
      <w:pPr>
        <w:pStyle w:val="EndnoteText"/>
      </w:pPr>
      <w:r>
        <w:rPr>
          <w:rStyle w:val="EndnoteReference"/>
        </w:rPr>
        <w:endnoteRef/>
      </w:r>
      <w:r>
        <w:t xml:space="preserve"> </w:t>
      </w:r>
      <w:r w:rsidRPr="00153C05">
        <w:t>This is particularly where a Court would make orders based on proportionate or joint liability principles.</w:t>
      </w:r>
    </w:p>
  </w:endnote>
  <w:endnote w:id="27">
    <w:p w14:paraId="7FCCFC94" w14:textId="77777777" w:rsidR="00E955E8" w:rsidRPr="00153C05" w:rsidRDefault="00E955E8" w:rsidP="00E955E8">
      <w:pPr>
        <w:pStyle w:val="EndnoteText"/>
      </w:pPr>
      <w:r>
        <w:rPr>
          <w:rStyle w:val="EndnoteReference"/>
        </w:rPr>
        <w:endnoteRef/>
      </w:r>
      <w:r>
        <w:t xml:space="preserve"> </w:t>
      </w:r>
      <w:r w:rsidRPr="000077A6">
        <w:rPr>
          <w:i/>
          <w:iCs/>
        </w:rPr>
        <w:t>Building Act 1993</w:t>
      </w:r>
      <w:r w:rsidRPr="000077A6">
        <w:t xml:space="preserve"> (Vic) s118A.</w:t>
      </w:r>
    </w:p>
  </w:endnote>
  <w:endnote w:id="28">
    <w:p w14:paraId="2F69B4EF" w14:textId="77777777" w:rsidR="005023B0" w:rsidRPr="00372A28" w:rsidRDefault="005023B0" w:rsidP="005023B0">
      <w:pPr>
        <w:pStyle w:val="EndnoteText"/>
      </w:pPr>
      <w:r>
        <w:rPr>
          <w:rStyle w:val="EndnoteReference"/>
        </w:rPr>
        <w:endnoteRef/>
      </w:r>
      <w:r>
        <w:t xml:space="preserve"> </w:t>
      </w:r>
      <w:r w:rsidRPr="00BD7E3D">
        <w:t xml:space="preserve">Victorian Cladding Taskforce, </w:t>
      </w:r>
      <w:r w:rsidRPr="00BD7E3D">
        <w:rPr>
          <w:i/>
          <w:iCs/>
        </w:rPr>
        <w:t>Report from the Co-Chairs</w:t>
      </w:r>
      <w:r w:rsidRPr="00BD7E3D">
        <w:t xml:space="preserve"> (Melbourne: Department of </w:t>
      </w:r>
      <w:r>
        <w:t>Transport</w:t>
      </w:r>
      <w:r w:rsidRPr="00BD7E3D">
        <w:t xml:space="preserve"> and Planning, 2019), p.29.</w:t>
      </w:r>
    </w:p>
  </w:endnote>
  <w:endnote w:id="29">
    <w:p w14:paraId="2F1237AC" w14:textId="77777777" w:rsidR="000F6193" w:rsidRPr="00C20836" w:rsidRDefault="000F6193" w:rsidP="000F6193">
      <w:pPr>
        <w:pStyle w:val="EndnoteText"/>
      </w:pPr>
      <w:r>
        <w:rPr>
          <w:rStyle w:val="EndnoteReference"/>
        </w:rPr>
        <w:endnoteRef/>
      </w:r>
      <w:r>
        <w:t xml:space="preserve"> </w:t>
      </w:r>
      <w:r w:rsidRPr="00BB4164">
        <w:t xml:space="preserve">Victorian Cladding Taskforce, </w:t>
      </w:r>
      <w:r w:rsidRPr="00BB4164">
        <w:rPr>
          <w:i/>
          <w:iCs/>
        </w:rPr>
        <w:t>Report from the Co-Chairs</w:t>
      </w:r>
      <w:r w:rsidRPr="00BB4164">
        <w:t xml:space="preserve"> (Melbourne: Department of </w:t>
      </w:r>
      <w:r>
        <w:t>Transport</w:t>
      </w:r>
      <w:r w:rsidRPr="00BB4164">
        <w:t xml:space="preserve"> and Planning, 2019), p. 31.</w:t>
      </w:r>
    </w:p>
  </w:endnote>
  <w:endnote w:id="30">
    <w:p w14:paraId="476FB5BF" w14:textId="77777777" w:rsidR="00EC5B9A" w:rsidRPr="00C20836" w:rsidRDefault="00EC5B9A" w:rsidP="00EC5B9A">
      <w:pPr>
        <w:pStyle w:val="EndnoteText"/>
      </w:pPr>
      <w:r>
        <w:rPr>
          <w:rStyle w:val="EndnoteReference"/>
        </w:rPr>
        <w:endnoteRef/>
      </w:r>
      <w:r>
        <w:t xml:space="preserve"> </w:t>
      </w:r>
      <w:r w:rsidRPr="00BB4164">
        <w:t xml:space="preserve">Victorian Cladding Taskforce, </w:t>
      </w:r>
      <w:r w:rsidRPr="00BB4164">
        <w:rPr>
          <w:i/>
          <w:iCs/>
        </w:rPr>
        <w:t>Report from the Co-Chairs</w:t>
      </w:r>
      <w:r w:rsidRPr="00BB4164">
        <w:t xml:space="preserve"> (Melbourne: Department of </w:t>
      </w:r>
      <w:r>
        <w:t>Transport</w:t>
      </w:r>
      <w:r w:rsidRPr="00BB4164">
        <w:t xml:space="preserve"> and Planning, 2019), p. 31.</w:t>
      </w:r>
    </w:p>
  </w:endnote>
  <w:endnote w:id="31">
    <w:p w14:paraId="75410279" w14:textId="332CEC36" w:rsidR="0034276F" w:rsidRPr="002253A9" w:rsidRDefault="0034276F" w:rsidP="0034276F">
      <w:pPr>
        <w:pStyle w:val="EndnoteText"/>
      </w:pPr>
      <w:r>
        <w:rPr>
          <w:rStyle w:val="EndnoteReference"/>
        </w:rPr>
        <w:endnoteRef/>
      </w:r>
      <w:r>
        <w:t xml:space="preserve"> </w:t>
      </w:r>
      <w:r w:rsidRPr="00C7554E">
        <w:t xml:space="preserve">Note, in addition to applying where a builder is DDI, DBI is available in Victoria if coverage is with the VMIA where a builder fails to comply with a Tribunal or Court </w:t>
      </w:r>
      <w:r w:rsidR="0062568E">
        <w:t>O</w:t>
      </w:r>
      <w:r w:rsidRPr="00C7554E">
        <w:t>rder.</w:t>
      </w:r>
    </w:p>
  </w:endnote>
  <w:endnote w:id="32">
    <w:p w14:paraId="54A9B6DF" w14:textId="77777777" w:rsidR="00BB14DE" w:rsidRPr="0058369E" w:rsidRDefault="00BB14DE" w:rsidP="00BB14DE">
      <w:pPr>
        <w:pStyle w:val="EndnoteText"/>
      </w:pPr>
      <w:r>
        <w:rPr>
          <w:rStyle w:val="EndnoteReference"/>
        </w:rPr>
        <w:endnoteRef/>
      </w:r>
      <w:r>
        <w:t xml:space="preserve"> </w:t>
      </w:r>
      <w:r w:rsidRPr="0058369E">
        <w:t xml:space="preserve">This is the Building Practitioners’ and Endorsed Building Engineers’ Insurance Ministerial Order. See: Richard Wynne (Minister for Planning), ‘Building Practitioners’ And Endorsed Building Engineers’ Insurance Ministerial Order,’ in Victoria, </w:t>
      </w:r>
      <w:r w:rsidRPr="0058369E">
        <w:rPr>
          <w:i/>
          <w:iCs/>
        </w:rPr>
        <w:t>Victoria Government Gazette</w:t>
      </w:r>
      <w:r w:rsidRPr="0058369E">
        <w:t>, No G 26, July 1, 2021, 1389-1393.</w:t>
      </w:r>
    </w:p>
  </w:endnote>
  <w:endnote w:id="33">
    <w:p w14:paraId="7C56EE41" w14:textId="78B3C22D" w:rsidR="007A1A81" w:rsidRPr="005F3AC3" w:rsidRDefault="007A1A81" w:rsidP="007A1A81">
      <w:pPr>
        <w:pStyle w:val="EndnoteText"/>
      </w:pPr>
      <w:r>
        <w:rPr>
          <w:rStyle w:val="EndnoteReference"/>
        </w:rPr>
        <w:endnoteRef/>
      </w:r>
      <w:r>
        <w:t xml:space="preserve"> </w:t>
      </w:r>
      <w:r w:rsidRPr="00C2144A">
        <w:t xml:space="preserve">The VMIA policy is to pay DBI claims where a builder has not complied with a court </w:t>
      </w:r>
      <w:r w:rsidR="0062568E">
        <w:t>O</w:t>
      </w:r>
      <w:r w:rsidRPr="00C2144A">
        <w:t>rder</w:t>
      </w:r>
      <w:r>
        <w:t>.</w:t>
      </w:r>
    </w:p>
  </w:endnote>
  <w:endnote w:id="34">
    <w:p w14:paraId="7268AE33" w14:textId="77777777" w:rsidR="00F50E8A" w:rsidRPr="00880D4B" w:rsidRDefault="00F50E8A" w:rsidP="00F50E8A">
      <w:pPr>
        <w:pStyle w:val="EndnoteText"/>
      </w:pPr>
      <w:r>
        <w:rPr>
          <w:rStyle w:val="EndnoteReference"/>
        </w:rPr>
        <w:endnoteRef/>
      </w:r>
      <w:r>
        <w:t xml:space="preserve"> </w:t>
      </w:r>
      <w:r w:rsidRPr="00C7554E">
        <w:t xml:space="preserve">Department of </w:t>
      </w:r>
      <w:r>
        <w:t>Transport</w:t>
      </w:r>
      <w:r w:rsidRPr="00C7554E">
        <w:t xml:space="preserve"> and Planning, ‘</w:t>
      </w:r>
      <w:r w:rsidRPr="00C7554E">
        <w:rPr>
          <w:i/>
          <w:iCs/>
        </w:rPr>
        <w:t>Insurance in Victoria’s Building System: Review and Analysis</w:t>
      </w:r>
      <w:r w:rsidRPr="00C7554E">
        <w:t>’ (internal document)</w:t>
      </w:r>
      <w:r>
        <w:t xml:space="preserve"> (2020), p. 83.</w:t>
      </w:r>
    </w:p>
  </w:endnote>
  <w:endnote w:id="35">
    <w:p w14:paraId="44981CF3" w14:textId="77777777" w:rsidR="00972321" w:rsidRPr="00F72FC9" w:rsidRDefault="00972321" w:rsidP="00972321">
      <w:pPr>
        <w:pStyle w:val="EndnoteText"/>
      </w:pPr>
      <w:r>
        <w:rPr>
          <w:rStyle w:val="EndnoteReference"/>
        </w:rPr>
        <w:endnoteRef/>
      </w:r>
      <w:r>
        <w:t xml:space="preserve"> </w:t>
      </w:r>
      <w:r w:rsidRPr="00880D4B">
        <w:t xml:space="preserve">The Building Act authorises a minister to specify requirement for insurance coverage. This requirement is specified in a Ministerial Order. </w:t>
      </w:r>
      <w:r w:rsidRPr="00880D4B">
        <w:rPr>
          <w:i/>
          <w:iCs/>
        </w:rPr>
        <w:t>Building Act 1993</w:t>
      </w:r>
      <w:r w:rsidRPr="00880D4B">
        <w:t xml:space="preserve"> (Vic) s 221ZQ, s221ZT.</w:t>
      </w:r>
    </w:p>
  </w:endnote>
  <w:endnote w:id="36">
    <w:p w14:paraId="35060189" w14:textId="77777777" w:rsidR="009F19A5" w:rsidRPr="00307282" w:rsidRDefault="009F19A5" w:rsidP="009F19A5">
      <w:pPr>
        <w:pStyle w:val="EndnoteText"/>
      </w:pPr>
      <w:r>
        <w:rPr>
          <w:rStyle w:val="EndnoteReference"/>
        </w:rPr>
        <w:endnoteRef/>
      </w:r>
      <w:r>
        <w:t xml:space="preserve"> </w:t>
      </w:r>
      <w:r w:rsidRPr="0072234A">
        <w:t>This does not include two</w:t>
      </w:r>
      <w:r>
        <w:t>-</w:t>
      </w:r>
      <w:r w:rsidRPr="0072234A">
        <w:t>lot</w:t>
      </w:r>
      <w:r>
        <w:t xml:space="preserve"> </w:t>
      </w:r>
      <w:r w:rsidRPr="0072234A">
        <w:t>subdivisions.</w:t>
      </w:r>
    </w:p>
  </w:endnote>
  <w:endnote w:id="37">
    <w:p w14:paraId="73992C13" w14:textId="77777777" w:rsidR="001B70A5" w:rsidRPr="006324FF" w:rsidRDefault="001B70A5" w:rsidP="001B70A5">
      <w:pPr>
        <w:pStyle w:val="EndnoteText"/>
      </w:pPr>
      <w:r>
        <w:rPr>
          <w:rStyle w:val="EndnoteReference"/>
        </w:rPr>
        <w:endnoteRef/>
      </w:r>
      <w:r>
        <w:t xml:space="preserve"> </w:t>
      </w:r>
      <w:r w:rsidRPr="001D0F94">
        <w:rPr>
          <w:i/>
          <w:iCs/>
        </w:rPr>
        <w:t>House Contracts Guarantee Act 1987</w:t>
      </w:r>
      <w:r>
        <w:rPr>
          <w:i/>
          <w:iCs/>
        </w:rPr>
        <w:t xml:space="preserve"> </w:t>
      </w:r>
      <w:r>
        <w:t>(Vic)</w:t>
      </w:r>
      <w:r>
        <w:rPr>
          <w:i/>
          <w:iCs/>
        </w:rPr>
        <w:t>.</w:t>
      </w:r>
    </w:p>
  </w:endnote>
  <w:endnote w:id="38">
    <w:p w14:paraId="4D21778D" w14:textId="77777777" w:rsidR="00386F2D" w:rsidRPr="004603B7" w:rsidRDefault="00386F2D" w:rsidP="00386F2D">
      <w:pPr>
        <w:pStyle w:val="EndnoteText"/>
      </w:pPr>
      <w:r>
        <w:rPr>
          <w:rStyle w:val="EndnoteReference"/>
        </w:rPr>
        <w:endnoteRef/>
      </w:r>
      <w:r>
        <w:t xml:space="preserve"> </w:t>
      </w:r>
      <w:r w:rsidRPr="00934539">
        <w:t xml:space="preserve">Senate Standing Committee on Economics, </w:t>
      </w:r>
      <w:r w:rsidRPr="00934539">
        <w:rPr>
          <w:i/>
          <w:iCs/>
        </w:rPr>
        <w:t>Australia’s mandatory Last Resort Home Warranty Insurance Scheme</w:t>
      </w:r>
      <w:r w:rsidRPr="00934539">
        <w:t xml:space="preserve"> (Canberra: Senate Printing Unit, Parliament House, 2008), p.7-15. </w:t>
      </w:r>
      <w:hyperlink r:id="rId17" w:history="1">
        <w:r w:rsidRPr="00FE3CC5">
          <w:rPr>
            <w:rStyle w:val="Hyperlink"/>
          </w:rPr>
          <w:t>https://www.aph.gov.au/Parliamentary_Business/Committees/Senate/Economics/Completed_inquiries/2008-10/home_warranty_08/report/index</w:t>
        </w:r>
      </w:hyperlink>
      <w:r>
        <w:t xml:space="preserve"> </w:t>
      </w:r>
    </w:p>
  </w:endnote>
  <w:endnote w:id="39">
    <w:p w14:paraId="4652FAE5" w14:textId="4D2380DF" w:rsidR="00FC50B2" w:rsidRPr="00F27452" w:rsidRDefault="00FC50B2" w:rsidP="00FC50B2">
      <w:pPr>
        <w:pStyle w:val="EndnoteText"/>
      </w:pPr>
      <w:r>
        <w:rPr>
          <w:rStyle w:val="EndnoteReference"/>
        </w:rPr>
        <w:endnoteRef/>
      </w:r>
      <w:r>
        <w:t xml:space="preserve"> This does not include </w:t>
      </w:r>
      <w:r w:rsidR="006D57A3">
        <w:t>DROs</w:t>
      </w:r>
      <w:r>
        <w:t xml:space="preserve"> received by DBDRV.</w:t>
      </w:r>
    </w:p>
  </w:endnote>
  <w:endnote w:id="40">
    <w:p w14:paraId="2CB2C459" w14:textId="168A4156" w:rsidR="00C01036" w:rsidRPr="005743F0" w:rsidRDefault="00C01036" w:rsidP="00C01036">
      <w:pPr>
        <w:pStyle w:val="EndnoteText"/>
      </w:pPr>
      <w:r>
        <w:rPr>
          <w:rStyle w:val="EndnoteReference"/>
        </w:rPr>
        <w:endnoteRef/>
      </w:r>
      <w:r>
        <w:t xml:space="preserve"> </w:t>
      </w:r>
      <w:r w:rsidRPr="004E3DBC">
        <w:t xml:space="preserve">See section </w:t>
      </w:r>
      <w:r w:rsidR="00D16DDB">
        <w:t>7.2</w:t>
      </w:r>
      <w:r>
        <w:t xml:space="preserve"> </w:t>
      </w:r>
      <w:r w:rsidRPr="004E3DBC">
        <w:t>for a discussion on key issues across dispute resolution processes</w:t>
      </w:r>
      <w:r>
        <w:t>.</w:t>
      </w:r>
    </w:p>
  </w:endnote>
  <w:endnote w:id="41">
    <w:p w14:paraId="28D70C05" w14:textId="77777777" w:rsidR="00B34A4B" w:rsidRPr="00751735" w:rsidRDefault="00B34A4B" w:rsidP="00B34A4B">
      <w:pPr>
        <w:pStyle w:val="EndnoteText"/>
      </w:pPr>
      <w:r>
        <w:rPr>
          <w:rStyle w:val="EndnoteReference"/>
        </w:rPr>
        <w:endnoteRef/>
      </w:r>
      <w:r>
        <w:t xml:space="preserve"> </w:t>
      </w:r>
      <w:r w:rsidRPr="005275F4">
        <w:t>Importantly, the Victorian construction industry is not alone in experiencing a tight PII market. Across the world, and for different professionals and industries, there has been a significant tightening of the PII market in recent years.</w:t>
      </w:r>
    </w:p>
  </w:endnote>
  <w:endnote w:id="42">
    <w:p w14:paraId="5CF4EEE9" w14:textId="77777777" w:rsidR="00B34A4B" w:rsidRPr="005275F4" w:rsidRDefault="00B34A4B" w:rsidP="00B34A4B">
      <w:pPr>
        <w:pStyle w:val="EndnoteText"/>
      </w:pPr>
      <w:r>
        <w:rPr>
          <w:rStyle w:val="EndnoteReference"/>
        </w:rPr>
        <w:endnoteRef/>
      </w:r>
      <w:r>
        <w:t xml:space="preserve"> </w:t>
      </w:r>
      <w:r w:rsidRPr="00445359">
        <w:t>Building surveyors and engineers are identified as occupations where the number of insurers willing to write PI policies has decreased significantly in the past 12-18 months, though these pressures also extend to architects and design professionals.</w:t>
      </w:r>
    </w:p>
  </w:endnote>
  <w:endnote w:id="43">
    <w:p w14:paraId="21B8DBAF" w14:textId="77777777" w:rsidR="0042639A" w:rsidRPr="00D152DA" w:rsidRDefault="0042639A" w:rsidP="0042639A">
      <w:pPr>
        <w:pStyle w:val="EndnoteText"/>
      </w:pPr>
      <w:r>
        <w:rPr>
          <w:rStyle w:val="EndnoteReference"/>
        </w:rPr>
        <w:endnoteRef/>
      </w:r>
      <w:r>
        <w:t xml:space="preserve"> </w:t>
      </w:r>
      <w:r w:rsidRPr="00486091">
        <w:t>Higher premiums also affect the viability of small and medium construction businesses, as practitioners are unable to absorb or pass additional costs onto consumers.</w:t>
      </w:r>
    </w:p>
  </w:endnote>
  <w:endnote w:id="44">
    <w:p w14:paraId="51B4313C" w14:textId="77777777" w:rsidR="00A03890" w:rsidRPr="00EB4542" w:rsidRDefault="00A03890" w:rsidP="00A03890">
      <w:pPr>
        <w:pStyle w:val="EndnoteText"/>
      </w:pPr>
      <w:r>
        <w:rPr>
          <w:rStyle w:val="EndnoteReference"/>
        </w:rPr>
        <w:endnoteRef/>
      </w:r>
      <w:r>
        <w:t xml:space="preserve"> </w:t>
      </w:r>
      <w:r w:rsidRPr="00BC1873">
        <w:t xml:space="preserve">A 2020 report prepared by Lockton on behalf of </w:t>
      </w:r>
      <w:r>
        <w:t>DTP</w:t>
      </w:r>
      <w:r w:rsidRPr="00BC1873">
        <w:t xml:space="preserve"> noted that establishing project-based insurance </w:t>
      </w:r>
      <w:r w:rsidRPr="00BC1873">
        <w:rPr>
          <w:i/>
          <w:iCs/>
        </w:rPr>
        <w:t>“will require the Victorian government to invest significant time and energy working with (re)insurers, building practitioners and other stakeholders … Any potential solution would need to be considered holistically alongside broader issues in the building system, other proposed legislative reforms and the government’s objectives for the building system review.”</w:t>
      </w:r>
    </w:p>
  </w:endnote>
  <w:endnote w:id="45">
    <w:p w14:paraId="07C36B14" w14:textId="77777777" w:rsidR="00D96D66" w:rsidRPr="00D310A2" w:rsidRDefault="00D96D66" w:rsidP="00D96D66">
      <w:pPr>
        <w:pStyle w:val="FootnoteText"/>
        <w:rPr>
          <w:i/>
        </w:rPr>
      </w:pPr>
      <w:r w:rsidRPr="00D310A2">
        <w:rPr>
          <w:rStyle w:val="EndnoteReference"/>
        </w:rPr>
        <w:endnoteRef/>
      </w:r>
      <w:r w:rsidRPr="00D310A2">
        <w:t xml:space="preserve"> Victoria, </w:t>
      </w:r>
      <w:r w:rsidRPr="00D310A2">
        <w:rPr>
          <w:i/>
          <w:iCs/>
        </w:rPr>
        <w:t>Parliamentary Debates,</w:t>
      </w:r>
      <w:r w:rsidRPr="00D310A2">
        <w:t xml:space="preserve"> Assembly, December 10, 2015, 5541, (</w:t>
      </w:r>
      <w:r w:rsidRPr="00D310A2">
        <w:rPr>
          <w:rFonts w:cs="Segoe UI"/>
        </w:rPr>
        <w:t xml:space="preserve">Richard Wynne, Minister for Planning) </w:t>
      </w:r>
      <w:r w:rsidRPr="00D310A2">
        <w:rPr>
          <w:rFonts w:cs="Segoe UI"/>
          <w:i/>
        </w:rPr>
        <w:t>(‘</w:t>
      </w:r>
      <w:r w:rsidRPr="00D310A2">
        <w:rPr>
          <w:i/>
        </w:rPr>
        <w:t xml:space="preserve">Building Legislation Amendment (Consumer Protection) Bill 2015 </w:t>
      </w:r>
      <w:r w:rsidRPr="00D310A2">
        <w:rPr>
          <w:i/>
          <w:iCs/>
        </w:rPr>
        <w:t>Second Reading Speech’)</w:t>
      </w:r>
    </w:p>
  </w:endnote>
  <w:endnote w:id="46">
    <w:p w14:paraId="0A55A065" w14:textId="77777777" w:rsidR="002D5A80" w:rsidRPr="00D310A2" w:rsidRDefault="002D5A80" w:rsidP="002D5A80">
      <w:pPr>
        <w:pStyle w:val="EndnoteText"/>
      </w:pPr>
      <w:r w:rsidRPr="00D310A2">
        <w:rPr>
          <w:rStyle w:val="EndnoteReference"/>
        </w:rPr>
        <w:endnoteRef/>
      </w:r>
      <w:r w:rsidRPr="00D310A2">
        <w:t xml:space="preserve"> “Building contracts,” CAV, updated April 22, 2021. </w:t>
      </w:r>
      <w:hyperlink r:id="rId18" w:history="1">
        <w:r w:rsidRPr="00D310A2">
          <w:rPr>
            <w:rStyle w:val="Hyperlink"/>
          </w:rPr>
          <w:t>https://www.consumer.vic.gov.au/housing/building-and-renovating/plan-and-manage-your-building-project/contracts</w:t>
        </w:r>
      </w:hyperlink>
      <w:r w:rsidRPr="00D310A2">
        <w:t xml:space="preserve"> </w:t>
      </w:r>
    </w:p>
  </w:endnote>
  <w:endnote w:id="47">
    <w:p w14:paraId="0F1D44F4" w14:textId="77777777" w:rsidR="007B78B4" w:rsidRPr="00D310A2" w:rsidRDefault="007B78B4" w:rsidP="007B78B4">
      <w:pPr>
        <w:pStyle w:val="EndnoteText"/>
      </w:pPr>
      <w:r w:rsidRPr="00D310A2">
        <w:rPr>
          <w:rStyle w:val="EndnoteReference"/>
        </w:rPr>
        <w:endnoteRef/>
      </w:r>
      <w:r w:rsidRPr="00D310A2">
        <w:t xml:space="preserve"> “Tips to help you resolve your dispute,” DBDRV, accessed December 8, 2021. </w:t>
      </w:r>
      <w:hyperlink r:id="rId19" w:history="1">
        <w:r w:rsidRPr="00D310A2">
          <w:rPr>
            <w:rStyle w:val="Hyperlink"/>
          </w:rPr>
          <w:t>https://dbdrv.vic.gov.au/tips-to-resolve-dispute</w:t>
        </w:r>
      </w:hyperlink>
      <w:r w:rsidRPr="00D310A2">
        <w:t xml:space="preserve">; “Is our service right for you?” DBDRV, accessed December 8, 2021. </w:t>
      </w:r>
      <w:hyperlink r:id="rId20" w:history="1">
        <w:r w:rsidRPr="00D310A2">
          <w:rPr>
            <w:rStyle w:val="Hyperlink"/>
          </w:rPr>
          <w:t>https://dbdrv.vic.gov.au/is-our-service-right-for-you</w:t>
        </w:r>
      </w:hyperlink>
      <w:r w:rsidRPr="00D310A2">
        <w:t xml:space="preserve">; “Our dispute resolution process” DBDRV, accessed December 8, 2021. </w:t>
      </w:r>
      <w:hyperlink r:id="rId21" w:history="1">
        <w:r w:rsidRPr="00D310A2">
          <w:rPr>
            <w:rStyle w:val="Hyperlink"/>
          </w:rPr>
          <w:t>https://dbdrv.vic.gov.au/dispute-resolution-process</w:t>
        </w:r>
      </w:hyperlink>
      <w:r w:rsidRPr="00D310A2">
        <w:t xml:space="preserve"> </w:t>
      </w:r>
      <w:r w:rsidRPr="00D310A2" w:rsidDel="008B7495">
        <w:t xml:space="preserve"> </w:t>
      </w:r>
    </w:p>
  </w:endnote>
  <w:endnote w:id="48">
    <w:p w14:paraId="4E32B99B" w14:textId="7CEE90D9" w:rsidR="00B40C13" w:rsidRPr="00D310A2" w:rsidRDefault="00B40C13" w:rsidP="00B40C13">
      <w:pPr>
        <w:pStyle w:val="EndnoteText"/>
      </w:pPr>
      <w:r w:rsidRPr="00D310A2">
        <w:rPr>
          <w:rStyle w:val="EndnoteReference"/>
        </w:rPr>
        <w:endnoteRef/>
      </w:r>
      <w:r w:rsidRPr="00D310A2">
        <w:t xml:space="preserve"> Major domestic building contracts are defined as contracts for domestic building work valued over $10,000. The DBC</w:t>
      </w:r>
      <w:r w:rsidR="00BD14CC">
        <w:t>A</w:t>
      </w:r>
      <w:r w:rsidRPr="00D310A2">
        <w:t xml:space="preserve"> requires registered practitioners and building owners to enter into a major domestic building contract in this instance. This is outlined in </w:t>
      </w:r>
      <w:r w:rsidRPr="00D310A2">
        <w:rPr>
          <w:i/>
        </w:rPr>
        <w:t>Domestic Buildings Contracts Act 1995</w:t>
      </w:r>
      <w:r w:rsidRPr="00D310A2">
        <w:t xml:space="preserve"> (Vic) s3 and s5.</w:t>
      </w:r>
    </w:p>
  </w:endnote>
  <w:endnote w:id="49">
    <w:p w14:paraId="4870EAC0" w14:textId="77777777" w:rsidR="00483177" w:rsidRPr="00D310A2" w:rsidRDefault="00483177" w:rsidP="00483177">
      <w:pPr>
        <w:pStyle w:val="EndnoteText"/>
      </w:pPr>
      <w:r w:rsidRPr="00D310A2">
        <w:rPr>
          <w:rStyle w:val="EndnoteReference"/>
        </w:rPr>
        <w:endnoteRef/>
      </w:r>
      <w:r w:rsidRPr="00D310A2">
        <w:t xml:space="preserve"> </w:t>
      </w:r>
      <w:r w:rsidRPr="00D16DDB">
        <w:rPr>
          <w:iCs/>
        </w:rPr>
        <w:t xml:space="preserve">Building Amendment (Enforcement and Other Measures) Bill </w:t>
      </w:r>
      <w:r w:rsidRPr="00D310A2">
        <w:rPr>
          <w:i/>
        </w:rPr>
        <w:t>2016</w:t>
      </w:r>
      <w:r w:rsidRPr="00D310A2">
        <w:t xml:space="preserve"> (Vic)</w:t>
      </w:r>
    </w:p>
  </w:endnote>
  <w:endnote w:id="50">
    <w:p w14:paraId="6F90C953" w14:textId="77777777" w:rsidR="006F405B" w:rsidRPr="00D310A2" w:rsidRDefault="006F405B" w:rsidP="006F405B">
      <w:pPr>
        <w:pStyle w:val="EndnoteText"/>
      </w:pPr>
      <w:r w:rsidRPr="00D310A2">
        <w:rPr>
          <w:rStyle w:val="EndnoteReference"/>
        </w:rPr>
        <w:endnoteRef/>
      </w:r>
      <w:r w:rsidRPr="00D310A2">
        <w:t xml:space="preserve"> In certain circumstances building disputes are heard by the Magistrate’s Court of Victoria instead of VCAT, including where a dispute involves an interstate party. This is outlined under the </w:t>
      </w:r>
      <w:r w:rsidRPr="00D310A2">
        <w:rPr>
          <w:i/>
          <w:iCs/>
        </w:rPr>
        <w:t xml:space="preserve">Victorian Civil and Administrative Tribunal Act 1998 </w:t>
      </w:r>
      <w:r w:rsidRPr="00D310A2">
        <w:rPr>
          <w:iCs/>
        </w:rPr>
        <w:t xml:space="preserve">(Vic), </w:t>
      </w:r>
      <w:r w:rsidRPr="00D310A2">
        <w:rPr>
          <w:i/>
        </w:rPr>
        <w:t>p3A.</w:t>
      </w:r>
    </w:p>
  </w:endnote>
  <w:endnote w:id="51">
    <w:p w14:paraId="3A41E745" w14:textId="77777777" w:rsidR="00F23D62" w:rsidRPr="00D310A2" w:rsidRDefault="00F23D62" w:rsidP="00F23D62">
      <w:pPr>
        <w:pStyle w:val="EndnoteText"/>
      </w:pPr>
      <w:r w:rsidRPr="00D310A2">
        <w:rPr>
          <w:rStyle w:val="EndnoteReference"/>
        </w:rPr>
        <w:endnoteRef/>
      </w:r>
      <w:r w:rsidRPr="00D310A2">
        <w:t xml:space="preserve"> Further detail on the role and use of domestic building contracts is set out in</w:t>
      </w:r>
      <w:r>
        <w:t xml:space="preserve"> the box</w:t>
      </w:r>
      <w:r w:rsidRPr="00D310A2">
        <w:t xml:space="preserve"> below.</w:t>
      </w:r>
    </w:p>
  </w:endnote>
  <w:endnote w:id="52">
    <w:p w14:paraId="0E3049CD" w14:textId="77777777" w:rsidR="0028500B" w:rsidRPr="00D310A2" w:rsidRDefault="0028500B" w:rsidP="0028500B">
      <w:pPr>
        <w:pStyle w:val="EndnoteText"/>
      </w:pPr>
      <w:r w:rsidRPr="00D310A2">
        <w:rPr>
          <w:rStyle w:val="EndnoteReference"/>
        </w:rPr>
        <w:endnoteRef/>
      </w:r>
      <w:r w:rsidRPr="00D310A2">
        <w:t xml:space="preserve"> Note, insurance requirements as a prerequisite for practitioner registration and licensing is set out in the Building Act and Regulations.</w:t>
      </w:r>
    </w:p>
  </w:endnote>
  <w:endnote w:id="53">
    <w:p w14:paraId="0A0E8695" w14:textId="77777777" w:rsidR="00AB7AC5" w:rsidRPr="00D310A2" w:rsidRDefault="00AB7AC5" w:rsidP="00AB7AC5">
      <w:pPr>
        <w:pStyle w:val="FootnoteText"/>
        <w:rPr>
          <w:i/>
        </w:rPr>
      </w:pPr>
      <w:r w:rsidRPr="00D310A2">
        <w:rPr>
          <w:rStyle w:val="EndnoteReference"/>
        </w:rPr>
        <w:endnoteRef/>
      </w:r>
      <w:r w:rsidRPr="00D310A2">
        <w:t xml:space="preserve"> Victoria, </w:t>
      </w:r>
      <w:r w:rsidRPr="00D310A2">
        <w:rPr>
          <w:i/>
          <w:iCs/>
        </w:rPr>
        <w:t>Parliamentary Debates,</w:t>
      </w:r>
      <w:r w:rsidRPr="00D310A2">
        <w:t xml:space="preserve"> Assembly, December 10, 2015, 5541, (</w:t>
      </w:r>
      <w:r w:rsidRPr="00D310A2">
        <w:rPr>
          <w:rFonts w:cs="Segoe UI"/>
        </w:rPr>
        <w:t xml:space="preserve">Richard Wynne, Minister for Planning) </w:t>
      </w:r>
      <w:r w:rsidRPr="00D310A2">
        <w:rPr>
          <w:rFonts w:cs="Segoe UI"/>
          <w:i/>
        </w:rPr>
        <w:t>(‘</w:t>
      </w:r>
      <w:r w:rsidRPr="00D310A2">
        <w:rPr>
          <w:i/>
        </w:rPr>
        <w:t xml:space="preserve">Building Legislation Amendment (Consumer Protection) Bill 2015 </w:t>
      </w:r>
      <w:r w:rsidRPr="00D310A2">
        <w:rPr>
          <w:i/>
          <w:iCs/>
        </w:rPr>
        <w:t>Second Reading Speech’)</w:t>
      </w:r>
    </w:p>
  </w:endnote>
  <w:endnote w:id="54">
    <w:p w14:paraId="3862CB52" w14:textId="77777777" w:rsidR="00B81563" w:rsidRPr="00D310A2" w:rsidRDefault="00B81563" w:rsidP="00B81563">
      <w:pPr>
        <w:pStyle w:val="FootnoteText"/>
      </w:pPr>
      <w:r w:rsidRPr="00D310A2">
        <w:rPr>
          <w:rStyle w:val="EndnoteReference"/>
        </w:rPr>
        <w:endnoteRef/>
      </w:r>
      <w:r w:rsidRPr="00D310A2">
        <w:t xml:space="preserve"> Contractual issues include: failure to complete work, failure to complete work in a specified time, failure to pay money under the contract, and failure to maintain the standard or quality of the building work specified in the contract. </w:t>
      </w:r>
    </w:p>
  </w:endnote>
  <w:endnote w:id="55">
    <w:p w14:paraId="411ECFD2" w14:textId="77777777" w:rsidR="00B81563" w:rsidRPr="00D310A2" w:rsidRDefault="00B81563" w:rsidP="00B81563">
      <w:pPr>
        <w:pStyle w:val="EndnoteText"/>
      </w:pPr>
      <w:r w:rsidRPr="00D310A2">
        <w:rPr>
          <w:rStyle w:val="EndnoteReference"/>
        </w:rPr>
        <w:endnoteRef/>
      </w:r>
      <w:r w:rsidRPr="00D310A2">
        <w:t xml:space="preserve"> 81% of applicants to DBDRV are building owners. Department of </w:t>
      </w:r>
      <w:r>
        <w:t>Transport</w:t>
      </w:r>
      <w:r w:rsidRPr="00D310A2">
        <w:t xml:space="preserve"> and Planning</w:t>
      </w:r>
      <w:r w:rsidRPr="00D310A2">
        <w:rPr>
          <w:i/>
          <w:iCs/>
        </w:rPr>
        <w:t>, Victorian Building System Review - Evidence Improvement Project</w:t>
      </w:r>
      <w:r w:rsidRPr="00D310A2">
        <w:t xml:space="preserve">  (internal document) (2021),.</w:t>
      </w:r>
    </w:p>
  </w:endnote>
  <w:endnote w:id="56">
    <w:p w14:paraId="56178C9F" w14:textId="77777777" w:rsidR="00B81563" w:rsidRPr="00D310A2" w:rsidRDefault="00B81563" w:rsidP="00B81563">
      <w:pPr>
        <w:pStyle w:val="FootnoteText"/>
      </w:pPr>
      <w:r w:rsidRPr="00D310A2">
        <w:rPr>
          <w:rStyle w:val="EndnoteReference"/>
        </w:rPr>
        <w:endnoteRef/>
      </w:r>
      <w:r w:rsidRPr="00D310A2">
        <w:t xml:space="preserve"> A building owner may apply directly to VCAT if they are seeking injunctive relief.</w:t>
      </w:r>
    </w:p>
  </w:endnote>
  <w:endnote w:id="57">
    <w:p w14:paraId="607A87BA" w14:textId="77777777" w:rsidR="00B81563" w:rsidRPr="00BB4C08" w:rsidRDefault="00B81563" w:rsidP="00B81563">
      <w:pPr>
        <w:pStyle w:val="EndnoteText"/>
      </w:pPr>
      <w:r>
        <w:rPr>
          <w:rStyle w:val="EndnoteReference"/>
        </w:rPr>
        <w:endnoteRef/>
      </w:r>
      <w:r>
        <w:t xml:space="preserve"> The Chief Dispute Resolution Officer can also issue stop work orders.</w:t>
      </w:r>
    </w:p>
  </w:endnote>
  <w:endnote w:id="58">
    <w:p w14:paraId="57B5CDD9" w14:textId="188B1E2C" w:rsidR="00B81563" w:rsidRPr="0049335F" w:rsidRDefault="00B81563" w:rsidP="00B81563">
      <w:pPr>
        <w:pStyle w:val="EndnoteText"/>
      </w:pPr>
      <w:r w:rsidRPr="00D310A2">
        <w:rPr>
          <w:rStyle w:val="EndnoteReference"/>
        </w:rPr>
        <w:endnoteRef/>
      </w:r>
      <w:r>
        <w:t xml:space="preserve"> </w:t>
      </w:r>
      <w:r w:rsidRPr="0049335F">
        <w:t>Orders can also be issued against a Builder t</w:t>
      </w:r>
      <w:r w:rsidR="00692BF4">
        <w:t>o</w:t>
      </w:r>
      <w:r w:rsidRPr="0049335F">
        <w:t xml:space="preserve"> make payment to an Owner for a claim or entitlement under the contract</w:t>
      </w:r>
    </w:p>
  </w:endnote>
  <w:endnote w:id="59">
    <w:p w14:paraId="74A6F185" w14:textId="2C51CA98" w:rsidR="00B81563" w:rsidRPr="00D310A2" w:rsidRDefault="00B81563" w:rsidP="00B81563">
      <w:pPr>
        <w:pStyle w:val="FootnoteText"/>
      </w:pPr>
      <w:r w:rsidRPr="00D310A2">
        <w:rPr>
          <w:rStyle w:val="EndnoteReference"/>
        </w:rPr>
        <w:endnoteRef/>
      </w:r>
      <w:r w:rsidRPr="00D310A2">
        <w:t xml:space="preserve"> In FY2020, 0.8% of settled cases were settled with a </w:t>
      </w:r>
      <w:r w:rsidR="006D57A3">
        <w:t>DRO</w:t>
      </w:r>
      <w:r w:rsidRPr="00D310A2">
        <w:t xml:space="preserve">. Department of </w:t>
      </w:r>
      <w:r>
        <w:t>Transport</w:t>
      </w:r>
      <w:r w:rsidRPr="00D310A2">
        <w:t xml:space="preserve"> and Planning</w:t>
      </w:r>
      <w:r w:rsidRPr="00D310A2">
        <w:rPr>
          <w:i/>
          <w:iCs/>
        </w:rPr>
        <w:t>, Victorian Building System Review - Evidence Improvement Project</w:t>
      </w:r>
      <w:r w:rsidRPr="00D310A2">
        <w:t xml:space="preserve">  (internal document) (2021); “Our dispute resolution process” DBDRV, accessed December 8, 2021. </w:t>
      </w:r>
      <w:hyperlink r:id="rId22" w:history="1">
        <w:r w:rsidRPr="00D310A2">
          <w:rPr>
            <w:rStyle w:val="Hyperlink"/>
          </w:rPr>
          <w:t>https://dbdrv.vic.gov.au/dispute-resolution-process</w:t>
        </w:r>
      </w:hyperlink>
      <w:r w:rsidRPr="00D310A2">
        <w:t xml:space="preserve">    </w:t>
      </w:r>
    </w:p>
  </w:endnote>
  <w:endnote w:id="60">
    <w:p w14:paraId="438C668A" w14:textId="77777777" w:rsidR="00B81563" w:rsidRPr="00D310A2" w:rsidRDefault="00B81563" w:rsidP="00B81563">
      <w:pPr>
        <w:pStyle w:val="EndnoteText"/>
      </w:pPr>
      <w:r w:rsidRPr="00D310A2">
        <w:rPr>
          <w:rStyle w:val="EndnoteReference"/>
        </w:rPr>
        <w:endnoteRef/>
      </w:r>
      <w:r w:rsidRPr="00D310A2">
        <w:t xml:space="preserve"> </w:t>
      </w:r>
      <w:r w:rsidRPr="00D310A2">
        <w:rPr>
          <w:i/>
          <w:iCs/>
        </w:rPr>
        <w:t xml:space="preserve">Domestic Building Contracts Act 1995 </w:t>
      </w:r>
      <w:r w:rsidRPr="00D310A2">
        <w:t>(Vic).</w:t>
      </w:r>
    </w:p>
  </w:endnote>
  <w:endnote w:id="61">
    <w:p w14:paraId="075A329A" w14:textId="77777777" w:rsidR="008D6F2D" w:rsidRPr="00D310A2" w:rsidRDefault="008D6F2D" w:rsidP="008D6F2D">
      <w:pPr>
        <w:pStyle w:val="FootnoteText"/>
      </w:pPr>
      <w:r w:rsidRPr="00D310A2">
        <w:rPr>
          <w:rStyle w:val="EndnoteReference"/>
        </w:rPr>
        <w:endnoteRef/>
      </w:r>
      <w:r w:rsidRPr="00D310A2">
        <w:t xml:space="preserve"> This includes excluding disputes where both parties are yet to attempt resolution.</w:t>
      </w:r>
    </w:p>
  </w:endnote>
  <w:endnote w:id="62">
    <w:p w14:paraId="2A53E43C" w14:textId="77777777" w:rsidR="008D6F2D" w:rsidRPr="00D310A2" w:rsidRDefault="008D6F2D" w:rsidP="008D6F2D">
      <w:pPr>
        <w:pStyle w:val="FootnoteText"/>
      </w:pPr>
      <w:r w:rsidRPr="00D310A2">
        <w:rPr>
          <w:rStyle w:val="EndnoteReference"/>
        </w:rPr>
        <w:endnoteRef/>
      </w:r>
      <w:r w:rsidRPr="00D310A2">
        <w:t xml:space="preserve"> Only 5.6% of DBDRV’s cases in FY21 were out of jurisdiction, compared to 19.1% in FY17. Department of </w:t>
      </w:r>
      <w:r>
        <w:t>Transport</w:t>
      </w:r>
      <w:r w:rsidRPr="00D310A2">
        <w:t xml:space="preserve"> and Planning</w:t>
      </w:r>
      <w:r w:rsidRPr="00D310A2">
        <w:rPr>
          <w:i/>
          <w:iCs/>
        </w:rPr>
        <w:t>, Victorian Building System Review - Evidence Improvement Project</w:t>
      </w:r>
      <w:r w:rsidRPr="00D310A2">
        <w:t xml:space="preserve">  (internal document) (2021).</w:t>
      </w:r>
    </w:p>
  </w:endnote>
  <w:endnote w:id="63">
    <w:p w14:paraId="4D9B8E16" w14:textId="3CB75073" w:rsidR="00B33DE6" w:rsidRPr="00D310A2" w:rsidRDefault="00B33DE6" w:rsidP="00B33DE6">
      <w:pPr>
        <w:pStyle w:val="EndnoteText"/>
      </w:pPr>
      <w:r w:rsidRPr="00D310A2">
        <w:rPr>
          <w:rStyle w:val="EndnoteReference"/>
        </w:rPr>
        <w:endnoteRef/>
      </w:r>
      <w:r w:rsidRPr="00D310A2">
        <w:t xml:space="preserve"> This could occur where an injunction is needed to immediately stop another party from doing building work. VCAT is considered “chiefly responsible” for resolving ‘domestic building disputes’, noting this is a term defined under the DBCA to encompass disputes between both owners, builders, architects and subcontractors; </w:t>
      </w:r>
      <w:r w:rsidRPr="00D310A2">
        <w:rPr>
          <w:i/>
          <w:iCs/>
        </w:rPr>
        <w:t xml:space="preserve">Domestic Building Contracts Act 1995 </w:t>
      </w:r>
      <w:r w:rsidRPr="00D310A2">
        <w:t>(Vic), s57.</w:t>
      </w:r>
    </w:p>
  </w:endnote>
  <w:endnote w:id="64">
    <w:p w14:paraId="63A6CC77" w14:textId="77777777" w:rsidR="00B33DE6" w:rsidRPr="00D310A2" w:rsidRDefault="00B33DE6" w:rsidP="00B33DE6">
      <w:pPr>
        <w:pStyle w:val="FootnoteText"/>
      </w:pPr>
      <w:r w:rsidRPr="00D310A2">
        <w:rPr>
          <w:rStyle w:val="EndnoteReference"/>
        </w:rPr>
        <w:endnoteRef/>
      </w:r>
      <w:r w:rsidRPr="00D310A2">
        <w:t xml:space="preserve"> The Dispute Settlement Centre of Victoria assists VCAT with mediation of these disputes through their Fast Track Mediation and Hearing Program. VCAT’s building and property list received 195 applications enabled by the ACL in 2020-21. VCAT, </w:t>
      </w:r>
      <w:r w:rsidRPr="00D310A2">
        <w:rPr>
          <w:i/>
          <w:iCs/>
        </w:rPr>
        <w:t xml:space="preserve">Annual Report 2020-21, </w:t>
      </w:r>
      <w:r w:rsidRPr="00D310A2">
        <w:t>(Melbourne: VCAT, 2021), p. 69. https://www.vcat.vic.gov.au/about-vcat/annual-reports-and-strategic-plan.</w:t>
      </w:r>
    </w:p>
  </w:endnote>
  <w:endnote w:id="65">
    <w:p w14:paraId="10FECF58" w14:textId="22278389" w:rsidR="00B33DE6" w:rsidRPr="00D310A2" w:rsidRDefault="00B33DE6" w:rsidP="00B33DE6">
      <w:pPr>
        <w:pStyle w:val="EndnoteText"/>
      </w:pPr>
      <w:r w:rsidRPr="00D310A2">
        <w:rPr>
          <w:rStyle w:val="EndnoteReference"/>
        </w:rPr>
        <w:endnoteRef/>
      </w:r>
      <w:r w:rsidRPr="00D310A2">
        <w:t xml:space="preserve"> VCAT’s building and property list received 2406 cases in 2020-21. This figure includes disputes enabled by the DBCA, ACL, </w:t>
      </w:r>
      <w:r w:rsidRPr="00D310A2">
        <w:rPr>
          <w:i/>
          <w:iCs/>
        </w:rPr>
        <w:t xml:space="preserve">Property Law </w:t>
      </w:r>
      <w:r w:rsidRPr="00D310A2">
        <w:rPr>
          <w:i/>
        </w:rPr>
        <w:t>Act</w:t>
      </w:r>
      <w:r w:rsidRPr="00D310A2">
        <w:rPr>
          <w:i/>
          <w:iCs/>
        </w:rPr>
        <w:t xml:space="preserve"> 1958, Water Act 1989, </w:t>
      </w:r>
      <w:r w:rsidRPr="00D310A2">
        <w:t xml:space="preserve">and the </w:t>
      </w:r>
      <w:r w:rsidRPr="00D310A2">
        <w:rPr>
          <w:i/>
          <w:iCs/>
        </w:rPr>
        <w:t>Retail Leases Act 2003.</w:t>
      </w:r>
      <w:r w:rsidRPr="00D310A2">
        <w:rPr>
          <w:i/>
        </w:rPr>
        <w:t xml:space="preserve"> </w:t>
      </w:r>
      <w:r w:rsidRPr="00D310A2">
        <w:t xml:space="preserve">VCAT, </w:t>
      </w:r>
      <w:r w:rsidRPr="00D310A2">
        <w:rPr>
          <w:i/>
          <w:iCs/>
        </w:rPr>
        <w:t xml:space="preserve">Annual Report 2020-21, </w:t>
      </w:r>
      <w:r w:rsidRPr="00D310A2">
        <w:t>(Melbourne: VCAT, 2021), p. 69. https://www.vcat.vic.gov.au/about-vcat/annual-reports-and-strategic-plan.</w:t>
      </w:r>
    </w:p>
  </w:endnote>
  <w:endnote w:id="66">
    <w:p w14:paraId="5D7D3E36" w14:textId="05CF3F95" w:rsidR="00B40BBD" w:rsidRPr="00660052" w:rsidRDefault="00B40BBD" w:rsidP="00B40BBD">
      <w:pPr>
        <w:pStyle w:val="EndnoteText"/>
      </w:pPr>
      <w:r>
        <w:rPr>
          <w:rStyle w:val="EndnoteReference"/>
        </w:rPr>
        <w:endnoteRef/>
      </w:r>
      <w:r>
        <w:t xml:space="preserve"> </w:t>
      </w:r>
      <w:r w:rsidRPr="00E931D2">
        <w:t>Consumers also have statutory rights in the DBCA in addition to contractual rights</w:t>
      </w:r>
    </w:p>
  </w:endnote>
  <w:endnote w:id="67">
    <w:p w14:paraId="31E5A3C6" w14:textId="77777777" w:rsidR="00B40BBD" w:rsidRPr="00D310A2" w:rsidRDefault="00B40BBD" w:rsidP="00B40BBD">
      <w:pPr>
        <w:pStyle w:val="EndnoteText"/>
      </w:pPr>
      <w:r w:rsidRPr="00D310A2">
        <w:rPr>
          <w:rStyle w:val="EndnoteReference"/>
        </w:rPr>
        <w:endnoteRef/>
      </w:r>
      <w:r w:rsidRPr="00D310A2">
        <w:t xml:space="preserve"> In a consumer survey, the most common source that respondents used to understand and resolve a dispute were informal networks (friends, family, and colleagues). This accounted for 12% of responses.</w:t>
      </w:r>
    </w:p>
  </w:endnote>
  <w:endnote w:id="68">
    <w:p w14:paraId="204FB0AD" w14:textId="77777777" w:rsidR="00721D3B" w:rsidRPr="00D310A2" w:rsidRDefault="00721D3B" w:rsidP="00721D3B">
      <w:pPr>
        <w:pStyle w:val="EndnoteText"/>
      </w:pPr>
      <w:r w:rsidRPr="00D310A2">
        <w:rPr>
          <w:rStyle w:val="EndnoteReference"/>
        </w:rPr>
        <w:endnoteRef/>
      </w:r>
      <w:r w:rsidRPr="00D310A2">
        <w:t xml:space="preserve"> </w:t>
      </w:r>
      <w:r w:rsidRPr="00D310A2">
        <w:rPr>
          <w:i/>
        </w:rPr>
        <w:t>Building Legislation Amendment (Consumer Protection) Act 2016 (No. 15 of 2016)</w:t>
      </w:r>
      <w:r w:rsidRPr="00D310A2">
        <w:rPr>
          <w:i/>
          <w:iCs/>
        </w:rPr>
        <w:t xml:space="preserve"> </w:t>
      </w:r>
      <w:r w:rsidRPr="00D310A2">
        <w:t>(Vic).</w:t>
      </w:r>
    </w:p>
  </w:endnote>
  <w:endnote w:id="69">
    <w:p w14:paraId="2C39B09E" w14:textId="77777777" w:rsidR="00721D3B" w:rsidRPr="00D310A2" w:rsidRDefault="00721D3B" w:rsidP="00721D3B">
      <w:pPr>
        <w:pStyle w:val="FootnoteText"/>
      </w:pPr>
      <w:r w:rsidRPr="00D310A2">
        <w:rPr>
          <w:rStyle w:val="EndnoteReference"/>
        </w:rPr>
        <w:endnoteRef/>
      </w:r>
      <w:r w:rsidRPr="00D310A2">
        <w:t xml:space="preserve"> </w:t>
      </w:r>
      <w:r w:rsidRPr="00D310A2">
        <w:rPr>
          <w:i/>
          <w:iCs/>
        </w:rPr>
        <w:t xml:space="preserve">Domestic Building Contracts Act 1995 </w:t>
      </w:r>
      <w:r w:rsidRPr="00D310A2">
        <w:t>(Vic), s29A.</w:t>
      </w:r>
    </w:p>
  </w:endnote>
  <w:endnote w:id="70">
    <w:p w14:paraId="1277826C" w14:textId="77777777" w:rsidR="00C50B47" w:rsidRPr="00454B45" w:rsidRDefault="00C50B47" w:rsidP="00C50B47">
      <w:pPr>
        <w:pStyle w:val="EndnoteText"/>
      </w:pPr>
      <w:r>
        <w:rPr>
          <w:rStyle w:val="EndnoteReference"/>
        </w:rPr>
        <w:endnoteRef/>
      </w:r>
      <w:r>
        <w:t xml:space="preserve"> This is intended to be resolved by the implementation of DTP’S building information </w:t>
      </w:r>
      <w:r w:rsidRPr="00AF793A">
        <w:t xml:space="preserve">‘front-door’ </w:t>
      </w:r>
      <w:r>
        <w:t xml:space="preserve">website, detailed on page </w:t>
      </w:r>
      <w:r>
        <w:fldChar w:fldCharType="begin"/>
      </w:r>
      <w:r>
        <w:instrText xml:space="preserve"> PAGEREF _Ref121674040 \h </w:instrText>
      </w:r>
      <w:r>
        <w:fldChar w:fldCharType="separate"/>
      </w:r>
      <w:r>
        <w:rPr>
          <w:noProof/>
        </w:rPr>
        <w:t>130</w:t>
      </w:r>
      <w:r>
        <w:fldChar w:fldCharType="end"/>
      </w:r>
      <w:r>
        <w:t>.</w:t>
      </w:r>
    </w:p>
  </w:endnote>
  <w:endnote w:id="71">
    <w:p w14:paraId="4C757104" w14:textId="77777777" w:rsidR="00F4742C" w:rsidRPr="006E3337" w:rsidRDefault="00F4742C" w:rsidP="00F4742C">
      <w:pPr>
        <w:pStyle w:val="EndnoteText"/>
      </w:pPr>
      <w:r>
        <w:rPr>
          <w:rStyle w:val="EndnoteReference"/>
        </w:rPr>
        <w:endnoteRef/>
      </w:r>
      <w:r>
        <w:t xml:space="preserve"> ‘Warm referral’ refers to the process by which a service discusses the services of another organisation with a client, and gains</w:t>
      </w:r>
      <w:r w:rsidRPr="006E3337">
        <w:t xml:space="preserve"> client consent to contact the other organisation</w:t>
      </w:r>
      <w:r>
        <w:t xml:space="preserve"> and pass on relevant information.</w:t>
      </w:r>
    </w:p>
  </w:endnote>
  <w:endnote w:id="72">
    <w:p w14:paraId="26865E1C" w14:textId="77777777" w:rsidR="00012BEA" w:rsidRPr="003F69E8" w:rsidRDefault="00012BEA" w:rsidP="00012BEA">
      <w:pPr>
        <w:pStyle w:val="EndnoteText"/>
      </w:pPr>
      <w:r>
        <w:rPr>
          <w:rStyle w:val="EndnoteReference"/>
        </w:rPr>
        <w:endnoteRef/>
      </w:r>
      <w:r>
        <w:t xml:space="preserve"> Department of Transport and Planning</w:t>
      </w:r>
      <w:r w:rsidRPr="00D310A2">
        <w:rPr>
          <w:i/>
          <w:iCs/>
        </w:rPr>
        <w:t>, Victorian Building System Review - Evidence Improvement Project</w:t>
      </w:r>
      <w:r w:rsidRPr="00D310A2">
        <w:t xml:space="preserve"> (internal document) (2021).</w:t>
      </w:r>
    </w:p>
  </w:endnote>
  <w:endnote w:id="73">
    <w:p w14:paraId="0FA10401" w14:textId="77777777" w:rsidR="00B26040" w:rsidRPr="00D310A2" w:rsidRDefault="00B26040" w:rsidP="00B26040">
      <w:pPr>
        <w:pStyle w:val="FootnoteText"/>
      </w:pPr>
      <w:r w:rsidRPr="00D310A2">
        <w:rPr>
          <w:rStyle w:val="EndnoteReference"/>
        </w:rPr>
        <w:endnoteRef/>
      </w:r>
      <w:r w:rsidRPr="00D310A2">
        <w:t xml:space="preserve"> This figure represents the number of cases resolved or partially resolved by DBDRV </w:t>
      </w:r>
      <w:r>
        <w:t>from July 2021 to November 2022.</w:t>
      </w:r>
      <w:r w:rsidRPr="00D310A2">
        <w:t xml:space="preserve"> In addition, </w:t>
      </w:r>
      <w:r>
        <w:t>396</w:t>
      </w:r>
      <w:r w:rsidRPr="00D310A2">
        <w:t xml:space="preserve"> cases were withdrawn in CY2020 as a DBDRV assisted settlement had been reached prior to conciliation.</w:t>
      </w:r>
      <w:r>
        <w:t xml:space="preserve"> Withdrawal figures for 2021-2022 are not currently available.</w:t>
      </w:r>
    </w:p>
  </w:endnote>
  <w:endnote w:id="74">
    <w:p w14:paraId="213B566A" w14:textId="77777777" w:rsidR="00B403AA" w:rsidRPr="00D310A2" w:rsidRDefault="00B403AA" w:rsidP="00B403AA">
      <w:pPr>
        <w:pStyle w:val="EndnoteText"/>
      </w:pPr>
      <w:r w:rsidRPr="00D310A2">
        <w:rPr>
          <w:rStyle w:val="EndnoteReference"/>
        </w:rPr>
        <w:endnoteRef/>
      </w:r>
      <w:r w:rsidRPr="00D310A2">
        <w:t xml:space="preserve"> 21 per cent of disputes at DBDRV in FY20-21 related to multi-storey apartments. Department of </w:t>
      </w:r>
      <w:r>
        <w:t>Transport</w:t>
      </w:r>
      <w:r w:rsidRPr="00D310A2">
        <w:t xml:space="preserve"> and Planning</w:t>
      </w:r>
      <w:r w:rsidRPr="00D310A2">
        <w:rPr>
          <w:i/>
          <w:iCs/>
        </w:rPr>
        <w:t>, Victorian Building System Review - Evidence Improvement Project</w:t>
      </w:r>
      <w:r w:rsidRPr="00D310A2">
        <w:t xml:space="preserve"> (internal document) (2021).</w:t>
      </w:r>
    </w:p>
  </w:endnote>
  <w:endnote w:id="75">
    <w:p w14:paraId="2049A54A" w14:textId="77777777" w:rsidR="005449F1" w:rsidRPr="00D310A2" w:rsidRDefault="005449F1" w:rsidP="005449F1">
      <w:pPr>
        <w:pStyle w:val="FootnoteText"/>
        <w:rPr>
          <w:rFonts w:cs="Segoe UI"/>
        </w:rPr>
      </w:pPr>
      <w:r w:rsidRPr="00D310A2">
        <w:rPr>
          <w:rStyle w:val="EndnoteReference"/>
        </w:rPr>
        <w:endnoteRef/>
      </w:r>
      <w:r w:rsidRPr="00D310A2">
        <w:t xml:space="preserve"> </w:t>
      </w:r>
      <w:r w:rsidRPr="00D310A2">
        <w:rPr>
          <w:rFonts w:cs="Segoe UI"/>
        </w:rPr>
        <w:t xml:space="preserve">This figure represents the percentage of conciliated cases that received a technical assessment in 2021. </w:t>
      </w:r>
      <w:r w:rsidRPr="00D310A2">
        <w:t>It should be noted that the COVID-19 environment limited the ability of DBDRV to undertake building assessments.</w:t>
      </w:r>
    </w:p>
  </w:endnote>
  <w:endnote w:id="76">
    <w:p w14:paraId="4456BC2F" w14:textId="77777777" w:rsidR="005449F1" w:rsidRPr="00D310A2" w:rsidRDefault="005449F1" w:rsidP="005449F1">
      <w:pPr>
        <w:pStyle w:val="FootnoteText"/>
      </w:pPr>
      <w:r w:rsidRPr="00D310A2">
        <w:rPr>
          <w:rStyle w:val="EndnoteReference"/>
        </w:rPr>
        <w:endnoteRef/>
      </w:r>
      <w:r w:rsidRPr="00D310A2">
        <w:t xml:space="preserve"> Average time to resolve building disputes at DBDRV is currently between 90 – 100 days.</w:t>
      </w:r>
    </w:p>
  </w:endnote>
  <w:endnote w:id="77">
    <w:p w14:paraId="097FFC73" w14:textId="77777777" w:rsidR="004668EC" w:rsidRPr="00D310A2" w:rsidRDefault="004668EC" w:rsidP="004668EC">
      <w:pPr>
        <w:pStyle w:val="FootnoteText"/>
      </w:pPr>
      <w:r w:rsidRPr="00D310A2">
        <w:rPr>
          <w:rStyle w:val="EndnoteReference"/>
        </w:rPr>
        <w:endnoteRef/>
      </w:r>
      <w:r w:rsidRPr="00D310A2">
        <w:t xml:space="preserve"> Department of </w:t>
      </w:r>
      <w:r>
        <w:t>Transport</w:t>
      </w:r>
      <w:r w:rsidRPr="00D310A2">
        <w:t xml:space="preserve"> and Planning</w:t>
      </w:r>
      <w:r w:rsidRPr="00D310A2">
        <w:rPr>
          <w:i/>
          <w:iCs/>
        </w:rPr>
        <w:t>, Victorian Building System Review - Evidence Improvement Project</w:t>
      </w:r>
      <w:r w:rsidRPr="00D310A2">
        <w:t xml:space="preserve"> (internal document) (2021).</w:t>
      </w:r>
    </w:p>
  </w:endnote>
  <w:endnote w:id="78">
    <w:p w14:paraId="3673E25D" w14:textId="77777777" w:rsidR="004B55A9" w:rsidRPr="00D310A2" w:rsidRDefault="004B55A9" w:rsidP="004B55A9">
      <w:pPr>
        <w:pStyle w:val="EndnoteText"/>
      </w:pPr>
      <w:r w:rsidRPr="00D310A2">
        <w:rPr>
          <w:rStyle w:val="EndnoteReference"/>
        </w:rPr>
        <w:endnoteRef/>
      </w:r>
      <w:r w:rsidRPr="00D310A2">
        <w:t xml:space="preserve"> Victoria, </w:t>
      </w:r>
      <w:r w:rsidRPr="00D310A2">
        <w:rPr>
          <w:i/>
          <w:iCs/>
        </w:rPr>
        <w:t xml:space="preserve">Parliamentary Debates, </w:t>
      </w:r>
      <w:r w:rsidRPr="00D310A2">
        <w:t xml:space="preserve">Assembly, October 24, 1995, 697 (Jan Wade, Attorney-General), (‘Domestic Building Contracts </w:t>
      </w:r>
      <w:r>
        <w:t>a</w:t>
      </w:r>
      <w:r w:rsidRPr="00D310A2">
        <w:t>nd Tribunal Bill Second Reading Speech’).</w:t>
      </w:r>
    </w:p>
  </w:endnote>
  <w:endnote w:id="79">
    <w:p w14:paraId="06D225BD" w14:textId="77777777" w:rsidR="00101CF1" w:rsidRPr="00D310A2" w:rsidRDefault="00101CF1" w:rsidP="00101CF1">
      <w:pPr>
        <w:pStyle w:val="FootnoteText"/>
      </w:pPr>
      <w:r w:rsidRPr="00D310A2">
        <w:rPr>
          <w:rStyle w:val="EndnoteReference"/>
        </w:rPr>
        <w:endnoteRef/>
      </w:r>
      <w:r w:rsidRPr="00D310A2">
        <w:t xml:space="preserve"> Victoria, </w:t>
      </w:r>
      <w:r w:rsidRPr="00D310A2">
        <w:rPr>
          <w:i/>
          <w:iCs/>
        </w:rPr>
        <w:t>Parliamentary Debates</w:t>
      </w:r>
      <w:r w:rsidRPr="00D310A2">
        <w:rPr>
          <w:i/>
        </w:rPr>
        <w:t>,</w:t>
      </w:r>
      <w:r w:rsidRPr="00D310A2">
        <w:t xml:space="preserve"> Assembly, December 10, 2015, 5541, (</w:t>
      </w:r>
      <w:r w:rsidRPr="00D310A2">
        <w:rPr>
          <w:rFonts w:cs="Segoe UI"/>
        </w:rPr>
        <w:t xml:space="preserve">Richard Wynne, Minister for Planning) </w:t>
      </w:r>
      <w:r w:rsidRPr="00D310A2">
        <w:rPr>
          <w:rFonts w:cs="Segoe UI"/>
          <w:i/>
        </w:rPr>
        <w:t>(‘</w:t>
      </w:r>
      <w:r w:rsidRPr="00D310A2">
        <w:rPr>
          <w:i/>
          <w:iCs/>
        </w:rPr>
        <w:t>Building Legislation Amendment (Consumer Protection) Bill 2015 Second Reading Speech’)</w:t>
      </w:r>
    </w:p>
  </w:endnote>
  <w:endnote w:id="80">
    <w:p w14:paraId="49F29C85" w14:textId="77777777" w:rsidR="002B0E16" w:rsidRPr="00A61C95" w:rsidRDefault="002B0E16" w:rsidP="002B0E16">
      <w:pPr>
        <w:pStyle w:val="EndnoteText"/>
      </w:pPr>
      <w:r>
        <w:rPr>
          <w:rStyle w:val="EndnoteReference"/>
        </w:rPr>
        <w:endnoteRef/>
      </w:r>
      <w:r>
        <w:t xml:space="preserve"> </w:t>
      </w:r>
      <w:r w:rsidRPr="00142B59">
        <w:t xml:space="preserve">Victoria State Government, </w:t>
      </w:r>
      <w:r w:rsidRPr="00142B59">
        <w:rPr>
          <w:i/>
          <w:iCs/>
        </w:rPr>
        <w:t>Construction Technologies: Sector Strategy</w:t>
      </w:r>
      <w:r w:rsidRPr="00142B59">
        <w:t xml:space="preserve"> (Melbourne: State of Victoria, 2016) </w:t>
      </w:r>
      <w:hyperlink r:id="rId23" w:history="1">
        <w:r w:rsidRPr="00FE3CC5">
          <w:rPr>
            <w:rStyle w:val="Hyperlink"/>
          </w:rPr>
          <w:t>https://business.vic.gov.au/__data/assets/pdf_file/0006/1275495/Construction-Technologies-Strategy-web-version-20160310.pdf</w:t>
        </w:r>
      </w:hyperlink>
      <w:r>
        <w:t xml:space="preserve"> </w:t>
      </w:r>
    </w:p>
  </w:endnote>
  <w:endnote w:id="81">
    <w:p w14:paraId="38451974" w14:textId="77777777" w:rsidR="00404EC1" w:rsidRPr="006C3973" w:rsidRDefault="00404EC1" w:rsidP="00404EC1">
      <w:pPr>
        <w:pStyle w:val="EndnoteText"/>
      </w:pPr>
      <w:r>
        <w:rPr>
          <w:rStyle w:val="EndnoteReference"/>
        </w:rPr>
        <w:endnoteRef/>
      </w:r>
      <w:r>
        <w:t xml:space="preserve"> </w:t>
      </w:r>
      <w:r w:rsidRPr="00983848">
        <w:rPr>
          <w:i/>
          <w:iCs/>
        </w:rPr>
        <w:t>Building Act 1993</w:t>
      </w:r>
      <w:r w:rsidRPr="00983848">
        <w:t xml:space="preserve"> (Vic), s15; “Building product accreditation,” Victorian Building Authority, accessed December 10, 2021. https://www.vba.vic.gov.au/building/building-regulations-advisory-committee/building-product-accreditation</w:t>
      </w:r>
    </w:p>
  </w:endnote>
  <w:endnote w:id="82">
    <w:p w14:paraId="0B935424" w14:textId="77777777" w:rsidR="00ED5B9D" w:rsidRPr="00983848" w:rsidRDefault="00ED5B9D" w:rsidP="00ED5B9D">
      <w:pPr>
        <w:pStyle w:val="EndnoteText"/>
      </w:pPr>
      <w:r>
        <w:rPr>
          <w:rStyle w:val="EndnoteReference"/>
        </w:rPr>
        <w:endnoteRef/>
      </w:r>
      <w:r>
        <w:t xml:space="preserve"> </w:t>
      </w:r>
      <w:r w:rsidRPr="005E08A4">
        <w:t>Of note, some products are accredited when they are used / installed in a particular way. Where accredited products are installed incorrectly they no longer meet the compliance requirements under the NCC.</w:t>
      </w:r>
    </w:p>
  </w:endnote>
  <w:endnote w:id="83">
    <w:p w14:paraId="1EBB1DCD" w14:textId="77777777" w:rsidR="006867DF" w:rsidRPr="00820A46" w:rsidRDefault="006867DF" w:rsidP="006867DF">
      <w:pPr>
        <w:pStyle w:val="EndnoteText"/>
      </w:pPr>
      <w:r>
        <w:rPr>
          <w:rStyle w:val="EndnoteReference"/>
        </w:rPr>
        <w:endnoteRef/>
      </w:r>
      <w:r>
        <w:t xml:space="preserve"> </w:t>
      </w:r>
      <w:r w:rsidRPr="00820A46">
        <w:t xml:space="preserve">Over the last twelve months, 6 products have been submitted for accreditation; 4 have been approved; </w:t>
      </w:r>
      <w:r>
        <w:t xml:space="preserve">and </w:t>
      </w:r>
      <w:r w:rsidRPr="00820A46">
        <w:t>2 have been refused.</w:t>
      </w:r>
    </w:p>
  </w:endnote>
  <w:endnote w:id="84">
    <w:p w14:paraId="35690247" w14:textId="28FA20C8" w:rsidR="00370273" w:rsidRPr="00C4625F" w:rsidRDefault="00370273" w:rsidP="00370273">
      <w:pPr>
        <w:pStyle w:val="EndnoteText"/>
      </w:pPr>
      <w:r>
        <w:rPr>
          <w:rStyle w:val="EndnoteReference"/>
        </w:rPr>
        <w:endnoteRef/>
      </w:r>
      <w:r>
        <w:t xml:space="preserve"> </w:t>
      </w:r>
      <w:r w:rsidRPr="00B111DD">
        <w:t xml:space="preserve">“Building Regulations Advisory Committee,” Victorian Building Authority, accessed December 8, 2021. https://www.vba.vic.gov.au/about/building-regulations-advisory-committee; </w:t>
      </w:r>
      <w:r w:rsidRPr="00B111DD">
        <w:rPr>
          <w:i/>
          <w:iCs/>
        </w:rPr>
        <w:t>Building Act 1993</w:t>
      </w:r>
      <w:r w:rsidRPr="00B111DD">
        <w:t xml:space="preserve"> (Vic) s211.</w:t>
      </w:r>
      <w:r w:rsidR="003130F5" w:rsidRPr="003130F5">
        <w:rPr>
          <w:noProof/>
        </w:rPr>
        <w:t xml:space="preserve"> </w:t>
      </w:r>
    </w:p>
  </w:endnote>
  <w:endnote w:id="85">
    <w:p w14:paraId="0EDD5016" w14:textId="524ACB6C" w:rsidR="00A319D7" w:rsidRPr="00B111DD" w:rsidRDefault="00A319D7" w:rsidP="00A319D7">
      <w:pPr>
        <w:pStyle w:val="EndnoteText"/>
      </w:pPr>
      <w:r>
        <w:rPr>
          <w:rStyle w:val="EndnoteReference"/>
        </w:rPr>
        <w:endnoteRef/>
      </w:r>
      <w:r>
        <w:t xml:space="preserve"> </w:t>
      </w:r>
      <w:r w:rsidRPr="00A41732">
        <w:t xml:space="preserve">“What is CodeMark?” CodeMark Australia, accessed December 8, 2021. </w:t>
      </w:r>
      <w:hyperlink r:id="rId24" w:history="1">
        <w:r w:rsidRPr="00FE3CC5">
          <w:rPr>
            <w:rStyle w:val="Hyperlink"/>
          </w:rPr>
          <w:t>https://codemark.abcb.gov.au/building-practitioners/what-codemark</w:t>
        </w:r>
      </w:hyperlink>
      <w:r>
        <w:t xml:space="preserve"> </w:t>
      </w:r>
      <w:r w:rsidRPr="00A41732">
        <w:t xml:space="preserve">   </w:t>
      </w:r>
    </w:p>
  </w:endnote>
  <w:endnote w:id="86">
    <w:p w14:paraId="29016A73" w14:textId="77777777" w:rsidR="0078201A" w:rsidRPr="00946DD6" w:rsidRDefault="0078201A" w:rsidP="0078201A">
      <w:pPr>
        <w:pStyle w:val="EndnoteText"/>
      </w:pPr>
      <w:r>
        <w:rPr>
          <w:rStyle w:val="EndnoteReference"/>
        </w:rPr>
        <w:endnoteRef/>
      </w:r>
      <w:r>
        <w:t xml:space="preserve"> </w:t>
      </w:r>
      <w:r w:rsidRPr="00945FB1">
        <w:t xml:space="preserve">ABCB, </w:t>
      </w:r>
      <w:r w:rsidRPr="00945FB1">
        <w:rPr>
          <w:i/>
          <w:iCs/>
        </w:rPr>
        <w:t>Manual for the Watermark Scheme</w:t>
      </w:r>
      <w:r w:rsidRPr="00945FB1">
        <w:t xml:space="preserve"> (Canberra: ABCB, 2017), p. 20. </w:t>
      </w:r>
      <w:hyperlink r:id="rId25" w:history="1">
        <w:r w:rsidRPr="00FA405C">
          <w:rPr>
            <w:rStyle w:val="Hyperlink"/>
          </w:rPr>
          <w:t>https://watermark.abcb.gov.au/sites/default/files/resources/2020//Manual_for_the_WaterMark_Certification_Scheme.pdf</w:t>
        </w:r>
      </w:hyperlink>
      <w:r>
        <w:t xml:space="preserve"> </w:t>
      </w:r>
    </w:p>
  </w:endnote>
  <w:endnote w:id="87">
    <w:p w14:paraId="1975A01D" w14:textId="77777777" w:rsidR="00E955DF" w:rsidRPr="006C09F7" w:rsidRDefault="00E955DF" w:rsidP="00E955DF">
      <w:pPr>
        <w:pStyle w:val="EndnoteText"/>
      </w:pPr>
      <w:r>
        <w:rPr>
          <w:rStyle w:val="EndnoteReference"/>
        </w:rPr>
        <w:endnoteRef/>
      </w:r>
      <w:r>
        <w:t xml:space="preserve"> </w:t>
      </w:r>
      <w:r w:rsidRPr="00CF55BC">
        <w:t xml:space="preserve">“Digital Twin Victoria,” Department of </w:t>
      </w:r>
      <w:r>
        <w:t>Transport</w:t>
      </w:r>
      <w:r w:rsidRPr="00CF55BC">
        <w:t xml:space="preserve"> and Planning, updated July 23, 2021. </w:t>
      </w:r>
      <w:hyperlink r:id="rId26" w:history="1">
        <w:r w:rsidRPr="00FE3CC5">
          <w:rPr>
            <w:rStyle w:val="Hyperlink"/>
          </w:rPr>
          <w:t>https://www.land.vic.gov.au/maps-and-spatial/projects-and-programs/digital-twin-victoria</w:t>
        </w:r>
      </w:hyperlink>
      <w:r>
        <w:t xml:space="preserve">  </w:t>
      </w:r>
    </w:p>
  </w:endnote>
  <w:endnote w:id="88">
    <w:p w14:paraId="2E449230" w14:textId="77777777" w:rsidR="00FA088E" w:rsidRPr="003A7D48" w:rsidRDefault="00FA088E" w:rsidP="00FA088E">
      <w:pPr>
        <w:pStyle w:val="EndnoteText"/>
      </w:pPr>
      <w:r>
        <w:rPr>
          <w:rStyle w:val="EndnoteReference"/>
        </w:rPr>
        <w:endnoteRef/>
      </w:r>
      <w:r>
        <w:t xml:space="preserve"> Salman Shooshtarian et al, “</w:t>
      </w:r>
      <w:r w:rsidRPr="000B7218">
        <w:t>We create 20m tons of construction industry waste each year. Here’s how to stop it going to landfill</w:t>
      </w:r>
      <w:r>
        <w:t xml:space="preserve">” </w:t>
      </w:r>
      <w:r>
        <w:rPr>
          <w:i/>
          <w:iCs/>
        </w:rPr>
        <w:t xml:space="preserve">The Conversation, </w:t>
      </w:r>
      <w:r>
        <w:t xml:space="preserve">July 12, 2019. </w:t>
      </w:r>
      <w:hyperlink r:id="rId27" w:history="1">
        <w:r w:rsidRPr="005E2D3E">
          <w:rPr>
            <w:rStyle w:val="Hyperlink"/>
          </w:rPr>
          <w:t>https://theconversation.com/we-create-20m-tons-of-construction-industry-waste-each-year-heres-how-to-stop-it-going-to-landfill-114602</w:t>
        </w:r>
      </w:hyperlink>
      <w:r>
        <w:t xml:space="preserve">; Arthur Kyriakopoulos, </w:t>
      </w:r>
      <w:r>
        <w:rPr>
          <w:i/>
          <w:iCs/>
        </w:rPr>
        <w:t xml:space="preserve">Solid Waste Collection Services in Australia, </w:t>
      </w:r>
      <w:r>
        <w:t xml:space="preserve">(IbisWorld, 2021), p. 10. </w:t>
      </w:r>
    </w:p>
  </w:endnote>
  <w:endnote w:id="89">
    <w:p w14:paraId="17A907CB" w14:textId="77777777" w:rsidR="00FA088E" w:rsidRPr="00F63BD6" w:rsidRDefault="00FA088E" w:rsidP="00FA088E">
      <w:pPr>
        <w:pStyle w:val="EndnoteText"/>
      </w:pPr>
      <w:r>
        <w:rPr>
          <w:rStyle w:val="EndnoteReference"/>
        </w:rPr>
        <w:endnoteRef/>
      </w:r>
      <w:r>
        <w:t xml:space="preserve"> Salman Shooshtarian et al, “</w:t>
      </w:r>
      <w:r w:rsidRPr="000B7218">
        <w:t>We create 20m tons of construction industry waste each year. Here’s how to stop it going to landfill</w:t>
      </w:r>
      <w:r>
        <w:t xml:space="preserve">” </w:t>
      </w:r>
      <w:r>
        <w:rPr>
          <w:i/>
          <w:iCs/>
        </w:rPr>
        <w:t xml:space="preserve">The Conversation, </w:t>
      </w:r>
      <w:r>
        <w:t xml:space="preserve">July 12, 2019. </w:t>
      </w:r>
      <w:hyperlink r:id="rId28" w:history="1">
        <w:r w:rsidRPr="005E2D3E">
          <w:rPr>
            <w:rStyle w:val="Hyperlink"/>
          </w:rPr>
          <w:t>https://theconversation.com/we-create-20m-tons-of-construction-industry-waste-each-year-heres-how-to-stop-it-going-to-landfill-114602</w:t>
        </w:r>
      </w:hyperlink>
    </w:p>
  </w:endnote>
  <w:endnote w:id="90">
    <w:p w14:paraId="25D919D2" w14:textId="77777777" w:rsidR="009B3B4B" w:rsidRPr="00BE6AEA" w:rsidRDefault="009B3B4B" w:rsidP="009B3B4B">
      <w:pPr>
        <w:pStyle w:val="EndnoteText"/>
      </w:pPr>
      <w:r>
        <w:rPr>
          <w:rStyle w:val="EndnoteReference"/>
        </w:rPr>
        <w:endnoteRef/>
      </w:r>
      <w:r>
        <w:t xml:space="preserve"> Commissioner for Better Regulation Victoria, </w:t>
      </w:r>
      <w:r>
        <w:rPr>
          <w:i/>
          <w:iCs/>
        </w:rPr>
        <w:t xml:space="preserve">Addressing Supply Chain Challenges </w:t>
      </w:r>
      <w:r>
        <w:t>(Melbourne: Better Regulation Victoria, 2021), p. 31.</w:t>
      </w:r>
    </w:p>
  </w:endnote>
  <w:endnote w:id="91">
    <w:p w14:paraId="2755FE90" w14:textId="77777777" w:rsidR="00494B8E" w:rsidRPr="0074164C" w:rsidRDefault="00494B8E" w:rsidP="00494B8E">
      <w:pPr>
        <w:pStyle w:val="EndnoteText"/>
      </w:pPr>
      <w:r>
        <w:rPr>
          <w:rStyle w:val="EndnoteReference"/>
        </w:rPr>
        <w:endnoteRef/>
      </w:r>
      <w:r>
        <w:t xml:space="preserve"> Victoria State Government, </w:t>
      </w:r>
      <w:r w:rsidRPr="0074164C">
        <w:rPr>
          <w:i/>
          <w:iCs/>
        </w:rPr>
        <w:t>Victorian Government Response to the  Commissioner for Better Regulation’s Final Report on Addressing Supply Chain Challenges</w:t>
      </w:r>
      <w:r>
        <w:rPr>
          <w:i/>
          <w:iCs/>
        </w:rPr>
        <w:t xml:space="preserve"> </w:t>
      </w:r>
      <w:r>
        <w:t xml:space="preserve">(Melbourne: State of Victoria, 2022) p. 6. </w:t>
      </w:r>
      <w:hyperlink r:id="rId29" w:history="1">
        <w:r w:rsidRPr="005E2D3E">
          <w:rPr>
            <w:rStyle w:val="Hyperlink"/>
          </w:rPr>
          <w:t>https://www.vic.gov.au/supply-chain-review</w:t>
        </w:r>
      </w:hyperlink>
      <w:r>
        <w:t xml:space="preserve"> </w:t>
      </w:r>
      <w:hyperlink r:id="rId30" w:history="1">
        <w:r w:rsidRPr="005E2D3E">
          <w:rPr>
            <w:rStyle w:val="Hyperlink"/>
          </w:rPr>
          <w:t>https://www.vic.gov.au/supply-chain-review</w:t>
        </w:r>
      </w:hyperlink>
      <w:r>
        <w:t xml:space="preserve"> </w:t>
      </w:r>
    </w:p>
  </w:endnote>
  <w:endnote w:id="92">
    <w:p w14:paraId="496E3DD3" w14:textId="77777777" w:rsidR="000F1C11" w:rsidRPr="00BD6963" w:rsidRDefault="000F1C11" w:rsidP="000F1C11">
      <w:pPr>
        <w:pStyle w:val="EndnoteText"/>
      </w:pPr>
      <w:r>
        <w:rPr>
          <w:rStyle w:val="EndnoteReference"/>
        </w:rPr>
        <w:endnoteRef/>
      </w:r>
      <w:r>
        <w:t xml:space="preserve"> Premier of Victoria, “Innovative Business Cutting Waste and Costs,” </w:t>
      </w:r>
      <w:r>
        <w:rPr>
          <w:i/>
        </w:rPr>
        <w:t xml:space="preserve">The National Tribune, </w:t>
      </w:r>
      <w:r>
        <w:t xml:space="preserve">May 14, 2022. </w:t>
      </w:r>
      <w:hyperlink r:id="rId31" w:history="1">
        <w:r w:rsidRPr="00FD10BC">
          <w:rPr>
            <w:rStyle w:val="Hyperlink"/>
          </w:rPr>
          <w:t>https://www.nationaltribune.com.au/innovative-businesses-cutting-waste-and-costs/</w:t>
        </w:r>
      </w:hyperlink>
      <w:r>
        <w:t xml:space="preserve"> </w:t>
      </w:r>
    </w:p>
  </w:endnote>
  <w:endnote w:id="93">
    <w:p w14:paraId="32E91F75" w14:textId="77777777" w:rsidR="00D20460" w:rsidRPr="00760452" w:rsidRDefault="00D20460" w:rsidP="00D20460">
      <w:pPr>
        <w:pStyle w:val="EndnoteText"/>
      </w:pPr>
      <w:r>
        <w:rPr>
          <w:rStyle w:val="EndnoteReference"/>
        </w:rPr>
        <w:endnoteRef/>
      </w:r>
      <w:r>
        <w:t xml:space="preserve"> </w:t>
      </w:r>
      <w:r w:rsidRPr="009F0315">
        <w:t xml:space="preserve">“Essential safety measures,” </w:t>
      </w:r>
      <w:r w:rsidRPr="009F0315">
        <w:rPr>
          <w:i/>
          <w:iCs/>
        </w:rPr>
        <w:t>Victorian Building Authority</w:t>
      </w:r>
      <w:r w:rsidRPr="009F0315">
        <w:t xml:space="preserve">, accessed December 15, 2021. </w:t>
      </w:r>
      <w:hyperlink r:id="rId32" w:history="1">
        <w:r w:rsidRPr="00DD51F1">
          <w:rPr>
            <w:rStyle w:val="Hyperlink"/>
          </w:rPr>
          <w:t>https://www.vba.vic.gov.au/consumers/guides/essential-safety-measures</w:t>
        </w:r>
      </w:hyperlink>
      <w:r>
        <w:t xml:space="preserve"> </w:t>
      </w:r>
    </w:p>
  </w:endnote>
  <w:endnote w:id="94">
    <w:p w14:paraId="34689289" w14:textId="77777777" w:rsidR="00D20460" w:rsidRPr="009F0315" w:rsidRDefault="00D20460" w:rsidP="00D20460">
      <w:pPr>
        <w:pStyle w:val="EndnoteText"/>
      </w:pPr>
      <w:r>
        <w:rPr>
          <w:rStyle w:val="EndnoteReference"/>
        </w:rPr>
        <w:endnoteRef/>
      </w:r>
      <w:r>
        <w:t xml:space="preserve"> </w:t>
      </w:r>
      <w:r w:rsidRPr="009F0315">
        <w:t>While detached houses, units, and townhouses may have ESMs installed, there is no legislative requirement for these to be maintained.</w:t>
      </w:r>
    </w:p>
  </w:endnote>
  <w:endnote w:id="95">
    <w:p w14:paraId="6223C31F" w14:textId="77777777" w:rsidR="00E24A56" w:rsidRPr="000614C6" w:rsidRDefault="00E24A56" w:rsidP="00E24A56">
      <w:pPr>
        <w:pStyle w:val="EndnoteText"/>
      </w:pPr>
      <w:r>
        <w:rPr>
          <w:rStyle w:val="EndnoteReference"/>
        </w:rPr>
        <w:endnoteRef/>
      </w:r>
      <w:r>
        <w:t xml:space="preserve"> </w:t>
      </w:r>
      <w:r w:rsidRPr="00F760A6">
        <w:t>Building Regulations 2018</w:t>
      </w:r>
      <w:r>
        <w:rPr>
          <w:i/>
          <w:iCs/>
        </w:rPr>
        <w:t xml:space="preserve"> </w:t>
      </w:r>
      <w:r>
        <w:t>(Vic)</w:t>
      </w:r>
      <w:r w:rsidRPr="000614C6">
        <w:rPr>
          <w:i/>
          <w:iCs/>
        </w:rPr>
        <w:t>,</w:t>
      </w:r>
      <w:r w:rsidRPr="000614C6">
        <w:t xml:space="preserve"> r194</w:t>
      </w:r>
      <w:r>
        <w:t>.</w:t>
      </w:r>
    </w:p>
  </w:endnote>
  <w:endnote w:id="96">
    <w:p w14:paraId="2ACA731A" w14:textId="445A98B7" w:rsidR="00D20460" w:rsidRPr="0014656E" w:rsidRDefault="00D20460" w:rsidP="00D20460">
      <w:pPr>
        <w:pStyle w:val="EndnoteText"/>
      </w:pPr>
      <w:r>
        <w:rPr>
          <w:rStyle w:val="EndnoteReference"/>
        </w:rPr>
        <w:endnoteRef/>
      </w:r>
      <w:r>
        <w:t xml:space="preserve"> </w:t>
      </w:r>
      <w:r w:rsidR="00F760A6">
        <w:t>Ibid</w:t>
      </w:r>
      <w:r w:rsidRPr="00425090">
        <w:t>, r22</w:t>
      </w:r>
      <w:r>
        <w:t>3-4</w:t>
      </w:r>
      <w:r w:rsidRPr="00425090">
        <w:t>.</w:t>
      </w:r>
    </w:p>
  </w:endnote>
  <w:endnote w:id="97">
    <w:p w14:paraId="33AE846A" w14:textId="15BFC988" w:rsidR="00D20460" w:rsidRPr="007D2E41" w:rsidRDefault="00D20460" w:rsidP="00D20460">
      <w:pPr>
        <w:pStyle w:val="EndnoteText"/>
      </w:pPr>
      <w:r>
        <w:rPr>
          <w:rStyle w:val="EndnoteReference"/>
        </w:rPr>
        <w:endnoteRef/>
      </w:r>
      <w:r>
        <w:t xml:space="preserve"> </w:t>
      </w:r>
      <w:r w:rsidR="00F760A6">
        <w:t>Ibid</w:t>
      </w:r>
      <w:r w:rsidRPr="00425090">
        <w:t>, r22</w:t>
      </w:r>
      <w:r>
        <w:t xml:space="preserve">8. </w:t>
      </w:r>
      <w:r w:rsidRPr="007D2E41">
        <w:t>Building occupiers in this instance refer to both building owners and renting occupants in apartment buildings,</w:t>
      </w:r>
    </w:p>
  </w:endnote>
  <w:endnote w:id="98">
    <w:p w14:paraId="491A936D" w14:textId="77777777" w:rsidR="00D20460" w:rsidRPr="007D2E41" w:rsidRDefault="00D20460" w:rsidP="00D20460">
      <w:pPr>
        <w:pStyle w:val="EndnoteText"/>
      </w:pPr>
      <w:r>
        <w:rPr>
          <w:rStyle w:val="EndnoteReference"/>
        </w:rPr>
        <w:endnoteRef/>
      </w:r>
      <w:r>
        <w:t xml:space="preserve"> </w:t>
      </w:r>
      <w:r w:rsidRPr="007D2E41">
        <w:t xml:space="preserve">The CFA are responsible for enforcing provisions of the Regulations where a building is located outside FRVs operational area. </w:t>
      </w:r>
      <w:r w:rsidRPr="007D2E41">
        <w:rPr>
          <w:i/>
          <w:iCs/>
        </w:rPr>
        <w:t>Building Act 1993</w:t>
      </w:r>
      <w:r w:rsidRPr="007D2E41">
        <w:t xml:space="preserve"> (Vic) s227E.</w:t>
      </w:r>
    </w:p>
  </w:endnote>
  <w:endnote w:id="99">
    <w:p w14:paraId="1B9689ED" w14:textId="77777777" w:rsidR="00D20460" w:rsidRPr="00352910" w:rsidRDefault="00D20460" w:rsidP="00D20460">
      <w:pPr>
        <w:pStyle w:val="EndnoteText"/>
      </w:pPr>
      <w:r>
        <w:rPr>
          <w:rStyle w:val="EndnoteReference"/>
        </w:rPr>
        <w:endnoteRef/>
      </w:r>
      <w:r>
        <w:t xml:space="preserve"> </w:t>
      </w:r>
      <w:r w:rsidRPr="006D528A">
        <w:t xml:space="preserve">Common property includes chattels, fixtures, and services that benefit more than one lot owner, </w:t>
      </w:r>
      <w:r w:rsidRPr="006D528A">
        <w:rPr>
          <w:i/>
          <w:iCs/>
        </w:rPr>
        <w:t>Owners Corporations Act 2006</w:t>
      </w:r>
      <w:r w:rsidRPr="006D528A">
        <w:t xml:space="preserve"> (Vic) s46-47.</w:t>
      </w:r>
    </w:p>
  </w:endnote>
  <w:endnote w:id="100">
    <w:p w14:paraId="79360DF4" w14:textId="0A79F3A6" w:rsidR="00D20460" w:rsidRPr="006D528A" w:rsidRDefault="00D20460" w:rsidP="00D20460">
      <w:pPr>
        <w:pStyle w:val="EndnoteText"/>
      </w:pPr>
      <w:r>
        <w:rPr>
          <w:rStyle w:val="EndnoteReference"/>
        </w:rPr>
        <w:endnoteRef/>
      </w:r>
      <w:r>
        <w:t xml:space="preserve"> </w:t>
      </w:r>
      <w:r w:rsidRPr="006D528A">
        <w:t xml:space="preserve">While only tier 1 and 2 </w:t>
      </w:r>
      <w:r w:rsidR="00F97425">
        <w:t>OCs</w:t>
      </w:r>
      <w:r w:rsidRPr="006D528A">
        <w:t xml:space="preserve"> are required to develop a maintenance plan, other </w:t>
      </w:r>
      <w:r w:rsidR="00F97425">
        <w:t>OCs</w:t>
      </w:r>
      <w:r w:rsidRPr="006D528A">
        <w:t xml:space="preserve"> may choose to. </w:t>
      </w:r>
      <w:r w:rsidRPr="006D528A">
        <w:rPr>
          <w:i/>
          <w:iCs/>
        </w:rPr>
        <w:t>Owners Corporations Act 2006</w:t>
      </w:r>
      <w:r w:rsidRPr="006D528A">
        <w:t xml:space="preserve"> (Vic) s36.</w:t>
      </w:r>
    </w:p>
  </w:endnote>
  <w:endnote w:id="101">
    <w:p w14:paraId="29C24713" w14:textId="77777777" w:rsidR="00D20460" w:rsidRPr="006D528A" w:rsidRDefault="00D20460" w:rsidP="00D20460">
      <w:pPr>
        <w:pStyle w:val="EndnoteText"/>
      </w:pPr>
      <w:r>
        <w:rPr>
          <w:rStyle w:val="EndnoteReference"/>
        </w:rPr>
        <w:endnoteRef/>
      </w:r>
      <w:r>
        <w:t xml:space="preserve"> </w:t>
      </w:r>
      <w:r w:rsidRPr="009A358D">
        <w:t xml:space="preserve">For example, maintenance plans must set out the major capital items anticipated to be repaired within the next 10 years, such as lifts, pools, and water tanks, </w:t>
      </w:r>
      <w:r w:rsidRPr="009A358D">
        <w:rPr>
          <w:i/>
          <w:iCs/>
        </w:rPr>
        <w:t>Owners Corporations Act 2006</w:t>
      </w:r>
      <w:r w:rsidRPr="009A358D">
        <w:t xml:space="preserve"> (Vic) s37; </w:t>
      </w:r>
      <w:r w:rsidRPr="009A358D">
        <w:rPr>
          <w:i/>
          <w:iCs/>
        </w:rPr>
        <w:t>Owners Corporations Regulations 2018</w:t>
      </w:r>
      <w:r w:rsidRPr="009A358D">
        <w:t xml:space="preserve"> (Vic) r7.</w:t>
      </w:r>
    </w:p>
  </w:endnote>
  <w:endnote w:id="102">
    <w:p w14:paraId="1D2D5A14" w14:textId="77777777" w:rsidR="00D20460" w:rsidRPr="009A358D" w:rsidRDefault="00D20460" w:rsidP="00D20460">
      <w:pPr>
        <w:pStyle w:val="EndnoteText"/>
      </w:pPr>
      <w:r>
        <w:rPr>
          <w:rStyle w:val="EndnoteReference"/>
        </w:rPr>
        <w:endnoteRef/>
      </w:r>
      <w:r>
        <w:t xml:space="preserve"> </w:t>
      </w:r>
      <w:r w:rsidRPr="009A358D">
        <w:rPr>
          <w:i/>
          <w:iCs/>
        </w:rPr>
        <w:t>Owners Corporations Act 2006</w:t>
      </w:r>
      <w:r w:rsidRPr="009A358D">
        <w:t xml:space="preserve"> (Vic) s40.</w:t>
      </w:r>
    </w:p>
  </w:endnote>
  <w:endnote w:id="103">
    <w:p w14:paraId="0AEDD2B3" w14:textId="7854BF27" w:rsidR="002822BD" w:rsidRPr="00D01CC2" w:rsidRDefault="002822BD" w:rsidP="002822BD">
      <w:pPr>
        <w:pStyle w:val="EndnoteText"/>
      </w:pPr>
      <w:r>
        <w:rPr>
          <w:rStyle w:val="EndnoteReference"/>
        </w:rPr>
        <w:endnoteRef/>
      </w:r>
      <w:r>
        <w:t xml:space="preserve"> </w:t>
      </w:r>
      <w:r w:rsidRPr="00D01CC2">
        <w:t xml:space="preserve">Tier 1 </w:t>
      </w:r>
      <w:r w:rsidR="00F97425">
        <w:t>OCs</w:t>
      </w:r>
      <w:r w:rsidRPr="00D01CC2">
        <w:t xml:space="preserve"> (which consist of more than 100 occupiable lots) are required by legislation to appoint a manager. Other tiers are not required to buy may choose to. See: </w:t>
      </w:r>
      <w:r w:rsidRPr="00D01CC2">
        <w:rPr>
          <w:i/>
          <w:iCs/>
        </w:rPr>
        <w:t xml:space="preserve">Owners Corporations Act 2006 </w:t>
      </w:r>
      <w:r w:rsidRPr="00D01CC2">
        <w:t>(Vic) s119.</w:t>
      </w:r>
    </w:p>
  </w:endnote>
  <w:endnote w:id="104">
    <w:p w14:paraId="1472CD57" w14:textId="1CE95544" w:rsidR="00AF5C94" w:rsidRPr="00A8227D" w:rsidRDefault="00AF5C94" w:rsidP="00AF5C94">
      <w:pPr>
        <w:pStyle w:val="EndnoteText"/>
      </w:pPr>
      <w:r>
        <w:rPr>
          <w:rStyle w:val="EndnoteReference"/>
        </w:rPr>
        <w:endnoteRef/>
      </w:r>
      <w:r>
        <w:t xml:space="preserve"> </w:t>
      </w:r>
      <w:r w:rsidRPr="00A8227D">
        <w:rPr>
          <w:i/>
          <w:iCs/>
        </w:rPr>
        <w:t>Owners Corporations Act 2006</w:t>
      </w:r>
      <w:r w:rsidRPr="00A8227D">
        <w:t xml:space="preserve"> (Vic) s119(2), s180, to be eligible, managers must hold </w:t>
      </w:r>
      <w:r w:rsidR="00FB74CF">
        <w:t>PII</w:t>
      </w:r>
      <w:r w:rsidRPr="00A8227D">
        <w:t xml:space="preserve"> with a minimum coverage of $2 million, </w:t>
      </w:r>
      <w:r w:rsidRPr="00A8227D">
        <w:rPr>
          <w:i/>
          <w:iCs/>
        </w:rPr>
        <w:t>Owners Corporations Act 2006</w:t>
      </w:r>
      <w:r w:rsidRPr="00A8227D">
        <w:t xml:space="preserve"> (Vic) s119(5).</w:t>
      </w:r>
    </w:p>
  </w:endnote>
  <w:endnote w:id="105">
    <w:p w14:paraId="71F24C0E" w14:textId="77777777" w:rsidR="00B30010" w:rsidRPr="0064597F" w:rsidRDefault="00B30010" w:rsidP="00B30010">
      <w:pPr>
        <w:pStyle w:val="EndnoteText"/>
      </w:pPr>
      <w:r>
        <w:rPr>
          <w:rStyle w:val="EndnoteReference"/>
        </w:rPr>
        <w:endnoteRef/>
      </w:r>
      <w:r>
        <w:t xml:space="preserve"> </w:t>
      </w:r>
      <w:r w:rsidRPr="0064597F">
        <w:t xml:space="preserve">Michael Blelby, “Melbourne’s Neo200 tower ‘in a serious state of dysfunction,” </w:t>
      </w:r>
      <w:r w:rsidRPr="0064597F">
        <w:rPr>
          <w:i/>
          <w:iCs/>
        </w:rPr>
        <w:t>Australian Financial Review</w:t>
      </w:r>
      <w:r w:rsidRPr="0064597F">
        <w:t xml:space="preserve">, September 4, 2019. </w:t>
      </w:r>
      <w:hyperlink r:id="rId33" w:history="1">
        <w:r w:rsidRPr="00B37F31">
          <w:rPr>
            <w:rStyle w:val="Hyperlink"/>
          </w:rPr>
          <w:t>https://www.afr.com/property/residential/melbourne-s-neo200-tower-in-a-serious-state-of-dysfunction-20190903-p52nmo</w:t>
        </w:r>
      </w:hyperlink>
      <w:r>
        <w:t xml:space="preserve"> </w:t>
      </w:r>
    </w:p>
  </w:endnote>
  <w:endnote w:id="106">
    <w:p w14:paraId="5AE715E4" w14:textId="77777777" w:rsidR="00314F81" w:rsidRPr="0064597F" w:rsidRDefault="00314F81" w:rsidP="00314F81">
      <w:pPr>
        <w:pStyle w:val="EndnoteText"/>
      </w:pPr>
      <w:r>
        <w:rPr>
          <w:rStyle w:val="EndnoteReference"/>
        </w:rPr>
        <w:endnoteRef/>
      </w:r>
      <w:r>
        <w:t xml:space="preserve"> </w:t>
      </w:r>
      <w:r w:rsidRPr="000F7B08">
        <w:t>Approximately 2 million buildings have some form of ESMs installed in Victoria, 1.2 million of which are Class 1a buildings which are not required to maintain ESMs.</w:t>
      </w:r>
    </w:p>
  </w:endnote>
  <w:endnote w:id="107">
    <w:p w14:paraId="7B80234D" w14:textId="5D51F4EB" w:rsidR="002A6ADC" w:rsidRPr="002B0106" w:rsidRDefault="002A6ADC" w:rsidP="002A6ADC">
      <w:pPr>
        <w:pStyle w:val="EndnoteText"/>
      </w:pPr>
      <w:r>
        <w:rPr>
          <w:rStyle w:val="EndnoteReference"/>
        </w:rPr>
        <w:endnoteRef/>
      </w:r>
      <w:r>
        <w:t xml:space="preserve"> </w:t>
      </w:r>
      <w:r w:rsidRPr="002B0106">
        <w:t xml:space="preserve">If the building was built before 1 July 1994, the owner is responsible for ensuring that any safety equipment, safety fittings or safety measures are maintained and fulfilling their purpose. All commercial, public industrial and some residential buildings built before 1994 require an annual ESM report to be produced. The report includes a compliance statement confirming that </w:t>
      </w:r>
      <w:r w:rsidR="007660E0">
        <w:t>ESMs</w:t>
      </w:r>
      <w:r w:rsidRPr="002B0106">
        <w:t xml:space="preserve"> within the building have been maintained for the past 12 months.</w:t>
      </w:r>
    </w:p>
  </w:endnote>
  <w:endnote w:id="108">
    <w:p w14:paraId="402C735C" w14:textId="77777777" w:rsidR="005761F2" w:rsidRPr="002B0106" w:rsidRDefault="005761F2" w:rsidP="005761F2">
      <w:pPr>
        <w:pStyle w:val="EndnoteText"/>
      </w:pPr>
      <w:r>
        <w:rPr>
          <w:rStyle w:val="EndnoteReference"/>
        </w:rPr>
        <w:endnoteRef/>
      </w:r>
      <w:r>
        <w:t xml:space="preserve"> </w:t>
      </w:r>
      <w:r w:rsidRPr="00933C8D">
        <w:rPr>
          <w:i/>
          <w:iCs/>
        </w:rPr>
        <w:t>Building Act 1993</w:t>
      </w:r>
      <w:r w:rsidRPr="00933C8D">
        <w:t xml:space="preserve"> (Vic), p</w:t>
      </w:r>
      <w:r>
        <w:t>t</w:t>
      </w:r>
      <w:r w:rsidRPr="00933C8D">
        <w:t>8.</w:t>
      </w:r>
    </w:p>
  </w:endnote>
  <w:endnote w:id="109">
    <w:p w14:paraId="5FA6FA07" w14:textId="77777777" w:rsidR="006E39F7" w:rsidRPr="00933C8D" w:rsidRDefault="006E39F7" w:rsidP="006E39F7">
      <w:pPr>
        <w:pStyle w:val="EndnoteText"/>
      </w:pPr>
      <w:r>
        <w:rPr>
          <w:rStyle w:val="EndnoteReference"/>
        </w:rPr>
        <w:endnoteRef/>
      </w:r>
      <w:r>
        <w:t xml:space="preserve"> </w:t>
      </w:r>
      <w:r w:rsidRPr="00933C8D">
        <w:t xml:space="preserve">“Maintenance of Essential Safety Measures,” </w:t>
      </w:r>
      <w:r w:rsidRPr="00933C8D">
        <w:rPr>
          <w:i/>
          <w:iCs/>
        </w:rPr>
        <w:t>Victorian Building Authority</w:t>
      </w:r>
      <w:r w:rsidRPr="00933C8D">
        <w:t xml:space="preserve">, published February 2018. </w:t>
      </w:r>
      <w:hyperlink r:id="rId34" w:history="1">
        <w:r w:rsidRPr="00B37F31">
          <w:rPr>
            <w:rStyle w:val="Hyperlink"/>
          </w:rPr>
          <w:t>https://www.vba.vic.gov.au/__data/assets/pdf_file/0008/99368/PN-23-Maintenance-of-Essential-Safety-Measures.pdf</w:t>
        </w:r>
      </w:hyperlink>
    </w:p>
  </w:endnote>
  <w:endnote w:id="110">
    <w:p w14:paraId="52999247" w14:textId="77777777" w:rsidR="003020A1" w:rsidRPr="00945FB1" w:rsidRDefault="003020A1" w:rsidP="003020A1">
      <w:pPr>
        <w:pStyle w:val="EndnoteText"/>
      </w:pPr>
      <w:r>
        <w:rPr>
          <w:rStyle w:val="EndnoteReference"/>
        </w:rPr>
        <w:endnoteRef/>
      </w:r>
      <w:r>
        <w:t xml:space="preserve"> </w:t>
      </w:r>
      <w:r w:rsidRPr="00754E11">
        <w:t xml:space="preserve">These issues have been primarily raised – and brought to the Panel’s attention – through the work of the Plumbing Advisory Council’s Complex Plumbing Subcommittee and the Prefabricated Plumbing Working Group. Both initiatives are supported by </w:t>
      </w:r>
      <w:r>
        <w:t>DTP</w:t>
      </w:r>
      <w:r w:rsidRPr="00754E11">
        <w:t>.</w:t>
      </w:r>
    </w:p>
  </w:endnote>
  <w:endnote w:id="111">
    <w:p w14:paraId="504AEC91" w14:textId="77777777" w:rsidR="0049651A" w:rsidRPr="00754E11" w:rsidRDefault="0049651A" w:rsidP="0049651A">
      <w:pPr>
        <w:pStyle w:val="EndnoteText"/>
      </w:pPr>
      <w:r>
        <w:rPr>
          <w:rStyle w:val="EndnoteReference"/>
        </w:rPr>
        <w:endnoteRef/>
      </w:r>
      <w:r>
        <w:t xml:space="preserve"> AS/NZS 3500.</w:t>
      </w:r>
    </w:p>
  </w:endnote>
  <w:endnote w:id="112">
    <w:p w14:paraId="49B0ED92" w14:textId="77777777" w:rsidR="00B70BCA" w:rsidRPr="007F3A3C" w:rsidRDefault="00B70BCA" w:rsidP="00B70BCA">
      <w:pPr>
        <w:pStyle w:val="EndnoteText"/>
      </w:pPr>
      <w:r>
        <w:rPr>
          <w:rStyle w:val="EndnoteReference"/>
        </w:rPr>
        <w:endnoteRef/>
      </w:r>
      <w:r>
        <w:t xml:space="preserve"> This will include ensuring that materials can be safely recycled.  </w:t>
      </w:r>
    </w:p>
  </w:endnote>
  <w:endnote w:id="113">
    <w:p w14:paraId="2396E5DD" w14:textId="77777777" w:rsidR="00B70BCA" w:rsidRPr="00E1490A" w:rsidRDefault="00B70BCA" w:rsidP="00B70BCA">
      <w:pPr>
        <w:pStyle w:val="EndnoteText"/>
      </w:pPr>
      <w:r>
        <w:rPr>
          <w:rStyle w:val="EndnoteReference"/>
        </w:rPr>
        <w:endnoteRef/>
      </w:r>
      <w:r>
        <w:t xml:space="preserve"> </w:t>
      </w:r>
      <w:r w:rsidRPr="00F62778">
        <w:t xml:space="preserve">Rob Bryant, “Accelerating the construction sector’s digital transformation will help Australia meet net zero by 2050,” </w:t>
      </w:r>
      <w:r w:rsidRPr="00F62778">
        <w:rPr>
          <w:i/>
          <w:iCs/>
        </w:rPr>
        <w:t>The Mandarin</w:t>
      </w:r>
      <w:r w:rsidRPr="00F62778">
        <w:t xml:space="preserve">, November 25, 2021. </w:t>
      </w:r>
      <w:hyperlink r:id="rId35" w:history="1">
        <w:r w:rsidRPr="00FE3CC5">
          <w:rPr>
            <w:rStyle w:val="Hyperlink"/>
          </w:rPr>
          <w:t>https://www.themandarin.com.au/176101-accelerating-the-construction-sectors-digital-transformation-will-help-australia-meet-net-zero-by-2050/</w:t>
        </w:r>
      </w:hyperlink>
      <w:r>
        <w:t xml:space="preserve"> </w:t>
      </w:r>
    </w:p>
  </w:endnote>
  <w:endnote w:id="114">
    <w:p w14:paraId="04235C7B" w14:textId="77777777" w:rsidR="00365AF6" w:rsidRPr="00733E03" w:rsidRDefault="00365AF6" w:rsidP="00365AF6">
      <w:pPr>
        <w:pStyle w:val="EndnoteText"/>
      </w:pPr>
      <w:r>
        <w:rPr>
          <w:rStyle w:val="EndnoteReference"/>
        </w:rPr>
        <w:endnoteRef/>
      </w:r>
      <w:r>
        <w:t xml:space="preserve"> </w:t>
      </w:r>
      <w:r w:rsidRPr="00733E03">
        <w:t xml:space="preserve">This include access to building related standards. Professor Ian Bailey AM SC, </w:t>
      </w:r>
      <w:r w:rsidRPr="00733E03">
        <w:rPr>
          <w:i/>
          <w:iCs/>
        </w:rPr>
        <w:t>Note concerning the position in Victoria, as to the form, extent, content and possible reform of the law relating to the building industry</w:t>
      </w:r>
      <w:r w:rsidRPr="00733E03">
        <w:t xml:space="preserve"> (November 24 2021).</w:t>
      </w:r>
    </w:p>
  </w:endnote>
  <w:endnote w:id="115">
    <w:p w14:paraId="278E7C47" w14:textId="033756AA" w:rsidR="0040427B" w:rsidRPr="0040427B" w:rsidRDefault="0040427B">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Nirmala UI Semilight">
    <w:panose1 w:val="020B0402040204020203"/>
    <w:charset w:val="00"/>
    <w:family w:val="swiss"/>
    <w:pitch w:val="variable"/>
    <w:sig w:usb0="80FF8023" w:usb1="0200004A" w:usb2="000002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F800E" w14:textId="126CBBBF" w:rsidR="00865A27" w:rsidRPr="00FD4AB1" w:rsidRDefault="008E041E" w:rsidP="00FD4AB1">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114300" distR="114300" simplePos="0" relativeHeight="251659472" behindDoc="0" locked="0" layoutInCell="0" allowOverlap="1" wp14:anchorId="706B4CE0" wp14:editId="4AF9AE86">
              <wp:simplePos x="0" y="0"/>
              <wp:positionH relativeFrom="page">
                <wp:posOffset>0</wp:posOffset>
              </wp:positionH>
              <wp:positionV relativeFrom="page">
                <wp:posOffset>10228580</wp:posOffset>
              </wp:positionV>
              <wp:extent cx="7560945" cy="273050"/>
              <wp:effectExtent l="0" t="0" r="0" b="12700"/>
              <wp:wrapNone/>
              <wp:docPr id="27975" name="MSIPCMebf040199c92db77236802a0"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B61A98" w14:textId="5EDEE916" w:rsidR="008E041E" w:rsidRPr="008E041E" w:rsidRDefault="008E041E" w:rsidP="008E041E">
                          <w:pPr>
                            <w:spacing w:after="0"/>
                            <w:rPr>
                              <w:rFonts w:ascii="Calibri" w:hAnsi="Calibri" w:cs="Calibri"/>
                              <w:color w:val="000000"/>
                            </w:rPr>
                          </w:pPr>
                          <w:r w:rsidRPr="008E041E">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06B4CE0" id="_x0000_t202" coordsize="21600,21600" o:spt="202" path="m,l,21600r21600,l21600,xe">
              <v:stroke joinstyle="miter"/>
              <v:path gradientshapeok="t" o:connecttype="rect"/>
            </v:shapetype>
            <v:shape id="MSIPCMebf040199c92db77236802a0" o:spid="_x0000_s1028" type="#_x0000_t202" alt="{&quot;HashCode&quot;:-1267603503,&quot;Height&quot;:841.0,&quot;Width&quot;:595.0,&quot;Placement&quot;:&quot;Footer&quot;,&quot;Index&quot;:&quot;Primary&quot;,&quot;Section&quot;:1,&quot;Top&quot;:0.0,&quot;Left&quot;:0.0}" style="position:absolute;margin-left:0;margin-top:805.4pt;width:595.35pt;height:21.5pt;z-index:2516594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" o:allowincell="f" filled="f" stroked="f" strokeweight=".5pt">
              <v:textbox inset="20pt,0,,0">
                <w:txbxContent>
                  <w:p w14:paraId="5DB61A98" w14:textId="5EDEE916" w:rsidR="008E041E" w:rsidRPr="008E041E" w:rsidRDefault="008E041E" w:rsidP="008E041E">
                    <w:pPr>
                      <w:spacing w:after="0"/>
                      <w:rPr>
                        <w:rFonts w:ascii="Calibri" w:hAnsi="Calibri" w:cs="Calibri"/>
                        <w:color w:val="000000"/>
                      </w:rPr>
                    </w:pPr>
                    <w:r w:rsidRPr="008E041E">
                      <w:rPr>
                        <w:rFonts w:ascii="Calibri" w:hAnsi="Calibri" w:cs="Calibri"/>
                        <w:color w:val="000000"/>
                      </w:rPr>
                      <w:t>OFFICIAL</w:t>
                    </w:r>
                  </w:p>
                </w:txbxContent>
              </v:textbox>
              <w10:wrap anchorx="page" anchory="page"/>
            </v:shape>
          </w:pict>
        </mc:Fallback>
      </mc:AlternateContent>
    </w:r>
    <w:r w:rsidR="000D6207">
      <w:rPr>
        <w:noProof/>
        <w:color w:val="808080" w:themeColor="background1" w:themeShade="80"/>
        <w:szCs w:val="15"/>
        <w:lang w:eastAsia="en-AU"/>
      </w:rPr>
      <mc:AlternateContent>
        <mc:Choice Requires="wps">
          <w:drawing>
            <wp:anchor distT="0" distB="0" distL="114300" distR="114300" simplePos="0" relativeHeight="251658427" behindDoc="0" locked="0" layoutInCell="0" allowOverlap="1" wp14:anchorId="52500CC2" wp14:editId="3AF7BA6F">
              <wp:simplePos x="0" y="0"/>
              <wp:positionH relativeFrom="page">
                <wp:posOffset>0</wp:posOffset>
              </wp:positionH>
              <wp:positionV relativeFrom="page">
                <wp:posOffset>10228580</wp:posOffset>
              </wp:positionV>
              <wp:extent cx="7560945" cy="273050"/>
              <wp:effectExtent l="0" t="0" r="0" b="12700"/>
              <wp:wrapNone/>
              <wp:docPr id="3" name="Text Box 3"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16F2E9" w14:textId="646F2BB9" w:rsidR="000D6207" w:rsidRPr="000D6207" w:rsidRDefault="000D6207" w:rsidP="000D6207">
                          <w:pPr>
                            <w:spacing w:after="0"/>
                            <w:rPr>
                              <w:rFonts w:ascii="Calibri" w:hAnsi="Calibri" w:cs="Calibri"/>
                              <w:color w:val="000000"/>
                            </w:rPr>
                          </w:pPr>
                          <w:r w:rsidRPr="000D620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52500CC2" id="Text Box 3" o:spid="_x0000_s1029" type="#_x0000_t202" alt="{&quot;HashCode&quot;:-1267603503,&quot;Height&quot;:841.0,&quot;Width&quot;:595.0,&quot;Placement&quot;:&quot;Footer&quot;,&quot;Index&quot;:&quot;Primary&quot;,&quot;Section&quot;:1,&quot;Top&quot;:0.0,&quot;Left&quot;:0.0}" style="position:absolute;margin-left:0;margin-top:805.4pt;width:595.35pt;height:21.5pt;z-index:25165842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" o:allowincell="f" filled="f" stroked="f" strokeweight=".5pt">
              <v:textbox inset="20pt,0,,0">
                <w:txbxContent>
                  <w:p w14:paraId="6416F2E9" w14:textId="646F2BB9" w:rsidR="000D6207" w:rsidRPr="000D6207" w:rsidRDefault="000D6207" w:rsidP="000D6207">
                    <w:pPr>
                      <w:spacing w:after="0"/>
                      <w:rPr>
                        <w:rFonts w:ascii="Calibri" w:hAnsi="Calibri" w:cs="Calibri"/>
                        <w:color w:val="000000"/>
                      </w:rPr>
                    </w:pPr>
                    <w:r w:rsidRPr="000D6207">
                      <w:rPr>
                        <w:rFonts w:ascii="Calibri" w:hAnsi="Calibri" w:cs="Calibri"/>
                        <w:color w:val="000000"/>
                      </w:rPr>
                      <w:t>OFFICIAL</w:t>
                    </w:r>
                  </w:p>
                </w:txbxContent>
              </v:textbox>
              <w10:wrap anchorx="page" anchory="page"/>
            </v:shape>
          </w:pict>
        </mc:Fallback>
      </mc:AlternateContent>
    </w:r>
    <w:r w:rsidR="003C2FDB">
      <w:rPr>
        <w:noProof/>
        <w:color w:val="808080" w:themeColor="background1" w:themeShade="80"/>
        <w:szCs w:val="15"/>
        <w:lang w:eastAsia="en-AU"/>
      </w:rPr>
      <mc:AlternateContent>
        <mc:Choice Requires="wps">
          <w:drawing>
            <wp:anchor distT="0" distB="0" distL="114300" distR="114300" simplePos="0" relativeHeight="251658252" behindDoc="0" locked="0" layoutInCell="0" allowOverlap="1" wp14:anchorId="28DCD652" wp14:editId="6EF39F77">
              <wp:simplePos x="0" y="0"/>
              <wp:positionH relativeFrom="page">
                <wp:posOffset>0</wp:posOffset>
              </wp:positionH>
              <wp:positionV relativeFrom="page">
                <wp:posOffset>10228580</wp:posOffset>
              </wp:positionV>
              <wp:extent cx="7560945" cy="273050"/>
              <wp:effectExtent l="0" t="0" r="0" b="12700"/>
              <wp:wrapNone/>
              <wp:docPr id="27779" name="Text Box 27779"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D18924" w14:textId="3A1784B8" w:rsidR="003C2FDB" w:rsidRPr="003C2FDB" w:rsidRDefault="003C2FDB"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28DCD652" id="Text Box 27779" o:spid="_x0000_s1030" type="#_x0000_t202" alt="{&quot;HashCode&quot;:-1267603503,&quot;Height&quot;:841.0,&quot;Width&quot;:595.0,&quot;Placement&quot;:&quot;Footer&quot;,&quot;Index&quot;:&quot;Primary&quot;,&quot;Section&quot;:1,&quot;Top&quot;:0.0,&quot;Left&quot;:0.0}" style="position:absolute;margin-left:0;margin-top:805.4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7AHQIAACw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TDHjuoTrieg555b/la4Qwb&#10;5sMzc0g1boTyDU94SA3YC84WJTW4H3/zx3xkAKOUtCidkvrvB+YEJfqrQW4ms2meR7GlGxouGbfj&#10;6RQvu8FrDs09oCzH+EIsT2bMDXowpYPmFeW9iu0wxAzHpiXdDeZ96JWMz4OL1SoloawsCxuztTyW&#10;jqBFaF+6V+bsGf+AzD3CoC5WvKOhz+3hXh0CSJU4igD3cJ5xR0km6s7PJ2r+13vKujzy5U8A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NF6nsAdAgAALAQAAA4AAAAAAAAAAAAAAAAALgIAAGRycy9lMm9Eb2MueG1sUEsB&#10;Ai0AFAAGAAgAAAAhAANaherfAAAACwEAAA8AAAAAAAAAAAAAAAAAdwQAAGRycy9kb3ducmV2Lnht&#10;bFBLBQYAAAAABAAEAPMAAACDBQAAAAA=&#10;" o:allowincell="f" filled="f" stroked="f" strokeweight=".5pt">
              <v:textbox inset="20pt,0,,0">
                <w:txbxContent>
                  <w:p w14:paraId="48D18924" w14:textId="3A1784B8" w:rsidR="003C2FDB" w:rsidRPr="003C2FDB" w:rsidRDefault="003C2FDB"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sidR="007E53BD">
      <w:rPr>
        <w:noProof/>
        <w:color w:val="808080" w:themeColor="background1" w:themeShade="80"/>
        <w:szCs w:val="15"/>
        <w:lang w:eastAsia="en-AU"/>
      </w:rPr>
      <mc:AlternateContent>
        <mc:Choice Requires="wps">
          <w:drawing>
            <wp:anchor distT="0" distB="0" distL="114300" distR="114300" simplePos="0" relativeHeight="251658243" behindDoc="0" locked="0" layoutInCell="0" allowOverlap="1" wp14:anchorId="06884921" wp14:editId="08468991">
              <wp:simplePos x="0" y="0"/>
              <wp:positionH relativeFrom="page">
                <wp:posOffset>0</wp:posOffset>
              </wp:positionH>
              <wp:positionV relativeFrom="page">
                <wp:posOffset>10228580</wp:posOffset>
              </wp:positionV>
              <wp:extent cx="7560945" cy="273050"/>
              <wp:effectExtent l="0" t="0" r="0" b="12700"/>
              <wp:wrapNone/>
              <wp:docPr id="19" name="Text Box 19"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B473A5" w14:textId="6415D020" w:rsidR="007E53BD" w:rsidRPr="007E53BD" w:rsidRDefault="007E53BD"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06884921" id="Text Box 19" o:spid="_x0000_s1031" type="#_x0000_t202" alt="{&quot;HashCode&quot;:-1267603503,&quot;Height&quot;:841.0,&quot;Width&quot;:595.0,&quot;Placement&quot;:&quot;Footer&quot;,&quot;Index&quot;:&quot;Primary&quot;,&quot;Section&quot;:1,&quot;Top&quot;:0.0,&quot;Left&quot;:0.0}" style="position:absolute;margin-left:0;margin-top:805.4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EIJq30dAgAALAQAAA4AAAAAAAAAAAAAAAAALgIAAGRycy9lMm9Eb2MueG1sUEsB&#10;Ai0AFAAGAAgAAAAhAANaherfAAAACwEAAA8AAAAAAAAAAAAAAAAAdwQAAGRycy9kb3ducmV2Lnht&#10;bFBLBQYAAAAABAAEAPMAAACDBQAAAAA=&#10;" o:allowincell="f" filled="f" stroked="f" strokeweight=".5pt">
              <v:textbox inset="20pt,0,,0">
                <w:txbxContent>
                  <w:p w14:paraId="01B473A5" w14:textId="6415D020" w:rsidR="007E53BD" w:rsidRPr="007E53BD" w:rsidRDefault="007E53BD"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sidR="006E4028">
      <w:rPr>
        <w:noProof/>
        <w:color w:val="808080" w:themeColor="background1" w:themeShade="80"/>
        <w:szCs w:val="15"/>
        <w:lang w:eastAsia="en-AU"/>
      </w:rPr>
      <mc:AlternateContent>
        <mc:Choice Requires="wps">
          <w:drawing>
            <wp:anchor distT="0" distB="0" distL="114300" distR="114300" simplePos="0" relativeHeight="251658241" behindDoc="0" locked="0" layoutInCell="0" allowOverlap="1" wp14:anchorId="3348E8CA" wp14:editId="4B1D7A48">
              <wp:simplePos x="0" y="0"/>
              <wp:positionH relativeFrom="page">
                <wp:posOffset>0</wp:posOffset>
              </wp:positionH>
              <wp:positionV relativeFrom="page">
                <wp:posOffset>10228580</wp:posOffset>
              </wp:positionV>
              <wp:extent cx="7560945" cy="273050"/>
              <wp:effectExtent l="0" t="0" r="0" b="12700"/>
              <wp:wrapNone/>
              <wp:docPr id="7" name="Text Box 7"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66F83B" w14:textId="466F71CF" w:rsidR="006E4028" w:rsidRPr="006E4028" w:rsidRDefault="006E4028"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3348E8CA" id="Text Box 7" o:spid="_x0000_s1032" type="#_x0000_t202" alt="{&quot;HashCode&quot;:-1267603503,&quot;Height&quot;:841.0,&quot;Width&quot;:595.0,&quot;Placement&quot;:&quot;Footer&quot;,&quot;Index&quot;:&quot;Primary&quot;,&quot;Section&quot;:1,&quot;Top&quot;:0.0,&quot;Left&quot;:0.0}"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8P4HQIAACw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lXQ67LGD6oTrOeiZ95avFc6w&#10;YT48M4dU40Yo3/CEh9SAveBsUVKD+/E3f8xHBjBKSYvSKan/fmBOUKK/GuRmMpvmeRRbuqHhknE7&#10;nk7xshu85tDcA8pyjC/E8mTG3KAHUzpoXlHeq9gOQ8xwbFrS3WDeh17J+Dy4WK1SEsrKsrAxW8tj&#10;6QhahPale2XOnvEPyNwjDOpixTsa+twe7tUhgFSJowhwD+cZd5Rkou78fKLmf72nrMsjX/4E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Dlfw/gdAgAALAQAAA4AAAAAAAAAAAAAAAAALgIAAGRycy9lMm9Eb2MueG1sUEsB&#10;Ai0AFAAGAAgAAAAhAANaherfAAAACwEAAA8AAAAAAAAAAAAAAAAAdwQAAGRycy9kb3ducmV2Lnht&#10;bFBLBQYAAAAABAAEAPMAAACDBQAAAAA=&#10;" o:allowincell="f" filled="f" stroked="f" strokeweight=".5pt">
              <v:textbox inset="20pt,0,,0">
                <w:txbxContent>
                  <w:p w14:paraId="1D66F83B" w14:textId="466F71CF" w:rsidR="006E4028" w:rsidRPr="006E4028" w:rsidRDefault="006E4028"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1274856872"/>
        <w:dataBinding w:prefixMappings="xmlns:ns0='http://purl.org/dc/elements/1.1/' xmlns:ns1='http://schemas.openxmlformats.org/package/2006/metadata/core-properties' " w:xpath="/ns1:coreProperties[1]/ns0:title[1]" w:storeItemID="{6C3C8BC8-F283-45AE-878A-BAB7291924A1}"/>
        <w:text/>
      </w:sdtPr>
      <w:sdtContent>
        <w:r w:rsidR="006C634E">
          <w:rPr>
            <w:color w:val="808080" w:themeColor="background1" w:themeShade="80"/>
            <w:szCs w:val="15"/>
            <w:lang w:eastAsia="en-AU"/>
          </w:rPr>
          <w:t>Building Reform: Paper Two</w:t>
        </w:r>
      </w:sdtContent>
    </w:sdt>
    <w:r w:rsidR="00865A27">
      <w:rPr>
        <w:color w:val="808080" w:themeColor="background1" w:themeShade="80"/>
        <w:szCs w:val="15"/>
        <w:lang w:eastAsia="en-AU"/>
      </w:rPr>
      <w:t xml:space="preserve"> </w:t>
    </w:r>
    <w:r w:rsidR="006C634E">
      <w:rPr>
        <w:color w:val="808080" w:themeColor="background1" w:themeShade="80"/>
        <w:szCs w:val="15"/>
        <w:lang w:eastAsia="en-AU"/>
      </w:rPr>
      <w:t>| Expert Panel on Building Reform</w:t>
    </w:r>
    <w:r w:rsidR="00865A27" w:rsidRPr="00FD4AB1">
      <w:rPr>
        <w:rFonts w:ascii="Segoe UI Semibold" w:hAnsi="Segoe UI Semibold" w:cs="Segoe UI"/>
        <w:color w:val="A5A5A5"/>
      </w:rPr>
      <w:ptab w:relativeTo="margin" w:alignment="right" w:leader="none"/>
    </w:r>
    <w:r w:rsidR="00865A27" w:rsidRPr="00FD4AB1">
      <w:rPr>
        <w:rFonts w:cs="Segoe UI"/>
        <w:color w:val="A5A5A5"/>
      </w:rPr>
      <w:t xml:space="preserve">| </w:t>
    </w:r>
    <w:r w:rsidR="00865A27" w:rsidRPr="003B464C">
      <w:rPr>
        <w:rFonts w:cs="Segoe UI"/>
        <w:b/>
        <w:color w:val="A5A5A5"/>
        <w:sz w:val="16"/>
        <w:szCs w:val="16"/>
      </w:rPr>
      <w:fldChar w:fldCharType="begin"/>
    </w:r>
    <w:r w:rsidR="00865A27" w:rsidRPr="003B464C">
      <w:rPr>
        <w:rFonts w:cs="Segoe UI"/>
        <w:color w:val="A5A5A5"/>
        <w:sz w:val="16"/>
        <w:szCs w:val="16"/>
      </w:rPr>
      <w:instrText xml:space="preserve"> PAGE  \* roman  \* MERGEFORMAT </w:instrText>
    </w:r>
    <w:r w:rsidR="00865A27" w:rsidRPr="003B464C">
      <w:rPr>
        <w:rFonts w:cs="Segoe UI"/>
        <w:b/>
        <w:color w:val="A5A5A5"/>
        <w:sz w:val="16"/>
        <w:szCs w:val="16"/>
      </w:rPr>
      <w:fldChar w:fldCharType="separate"/>
    </w:r>
    <w:r w:rsidR="00865A27" w:rsidRPr="00F75386">
      <w:rPr>
        <w:rFonts w:cs="Segoe UI"/>
        <w:b/>
        <w:noProof/>
        <w:color w:val="A5A5A5"/>
        <w:sz w:val="16"/>
        <w:szCs w:val="16"/>
      </w:rPr>
      <w:t>i</w:t>
    </w:r>
    <w:r w:rsidR="00865A27" w:rsidRPr="003B464C">
      <w:rPr>
        <w:rFonts w:cs="Segoe UI"/>
        <w:b/>
        <w:color w:val="A5A5A5"/>
        <w:sz w:val="16"/>
        <w:szCs w:val="16"/>
      </w:rPr>
      <w:fldChar w:fldCharType="end"/>
    </w:r>
    <w:r w:rsidR="00865A27" w:rsidRPr="003B464C">
      <w:rPr>
        <w:rFonts w:cs="Segoe UI"/>
        <w:color w:val="A5A5A5"/>
        <w:sz w:val="16"/>
        <w:szCs w:val="16"/>
      </w:rPr>
      <w:t xml:space="preserve"> </w:t>
    </w:r>
    <w:r w:rsidR="00865A27" w:rsidRPr="00FD4AB1">
      <w:rPr>
        <w:rFonts w:cs="Segoe UI"/>
        <w:color w:val="A5A5A5"/>
      </w:rP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13DD0" w14:textId="099B6AB7" w:rsidR="003B464C" w:rsidRPr="00285FE4" w:rsidRDefault="000D6207"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0" relativeHeight="251658435" behindDoc="0" locked="0" layoutInCell="0" allowOverlap="1" wp14:anchorId="2A59B2AB" wp14:editId="7F57450C">
              <wp:simplePos x="0" y="0"/>
              <wp:positionH relativeFrom="page">
                <wp:posOffset>0</wp:posOffset>
              </wp:positionH>
              <wp:positionV relativeFrom="page">
                <wp:posOffset>10228580</wp:posOffset>
              </wp:positionV>
              <wp:extent cx="7560945" cy="273050"/>
              <wp:effectExtent l="0" t="0" r="0" b="12700"/>
              <wp:wrapNone/>
              <wp:docPr id="23" name="Text Box 23" descr="{&quot;HashCode&quot;:-1267603503,&quot;Height&quot;:841.0,&quot;Width&quot;:595.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DDAA9B" w14:textId="3D698FD9" w:rsidR="000D6207" w:rsidRPr="000D6207" w:rsidRDefault="000D6207" w:rsidP="000D6207">
                          <w:pPr>
                            <w:spacing w:after="0"/>
                            <w:rPr>
                              <w:rFonts w:ascii="Calibri" w:hAnsi="Calibri" w:cs="Calibri"/>
                              <w:color w:val="000000"/>
                            </w:rPr>
                          </w:pPr>
                          <w:r w:rsidRPr="000D620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A59B2AB" id="_x0000_t202" coordsize="21600,21600" o:spt="202" path="m,l,21600r21600,l21600,xe">
              <v:stroke joinstyle="miter"/>
              <v:path gradientshapeok="t" o:connecttype="rect"/>
            </v:shapetype>
            <v:shape id="Text Box 23" o:spid="_x0000_s1067" type="#_x0000_t202" alt="{&quot;HashCode&quot;:-1267603503,&quot;Height&quot;:841.0,&quot;Width&quot;:595.0,&quot;Placement&quot;:&quot;Footer&quot;,&quot;Index&quot;:&quot;Primary&quot;,&quot;Section&quot;:10,&quot;Top&quot;:0.0,&quot;Left&quot;:0.0}" style="position:absolute;margin-left:0;margin-top:805.4pt;width:595.35pt;height:21.5pt;z-index:2516584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Abbs+6HgIAAC0EAAAOAAAAAAAAAAAAAAAAAC4CAABkcnMvZTJvRG9jLnhtbFBL&#10;AQItABQABgAIAAAAIQADWoXq3wAAAAsBAAAPAAAAAAAAAAAAAAAAAHgEAABkcnMvZG93bnJldi54&#10;bWxQSwUGAAAAAAQABADzAAAAhAUAAAAA&#10;" o:allowincell="f" filled="f" stroked="f" strokeweight=".5pt">
              <v:textbox inset="20pt,0,,0">
                <w:txbxContent>
                  <w:p w14:paraId="08DDAA9B" w14:textId="3D698FD9" w:rsidR="000D6207" w:rsidRPr="000D6207" w:rsidRDefault="000D6207" w:rsidP="000D6207">
                    <w:pPr>
                      <w:spacing w:after="0"/>
                      <w:rPr>
                        <w:rFonts w:ascii="Calibri" w:hAnsi="Calibri" w:cs="Calibri"/>
                        <w:color w:val="000000"/>
                      </w:rPr>
                    </w:pPr>
                    <w:r w:rsidRPr="000D6207">
                      <w:rPr>
                        <w:rFonts w:ascii="Calibri" w:hAnsi="Calibri" w:cs="Calibri"/>
                        <w:color w:val="000000"/>
                      </w:rPr>
                      <w:t>OFFICIAL</w:t>
                    </w:r>
                  </w:p>
                </w:txbxContent>
              </v:textbox>
              <w10:wrap anchorx="page" anchory="page"/>
            </v:shape>
          </w:pict>
        </mc:Fallback>
      </mc:AlternateContent>
    </w:r>
    <w:r w:rsidR="003C2FDB">
      <w:rPr>
        <w:noProof/>
        <w:color w:val="808080" w:themeColor="background1" w:themeShade="80"/>
        <w:szCs w:val="15"/>
        <w:lang w:eastAsia="en-AU"/>
      </w:rPr>
      <mc:AlternateContent>
        <mc:Choice Requires="wps">
          <w:drawing>
            <wp:anchor distT="0" distB="0" distL="114300" distR="114300" simplePos="0" relativeHeight="251658254" behindDoc="0" locked="0" layoutInCell="0" allowOverlap="1" wp14:anchorId="75CDAA43" wp14:editId="65AB43F9">
              <wp:simplePos x="0" y="0"/>
              <wp:positionH relativeFrom="page">
                <wp:posOffset>0</wp:posOffset>
              </wp:positionH>
              <wp:positionV relativeFrom="page">
                <wp:posOffset>10228580</wp:posOffset>
              </wp:positionV>
              <wp:extent cx="7560945" cy="273050"/>
              <wp:effectExtent l="0" t="0" r="0" b="12700"/>
              <wp:wrapNone/>
              <wp:docPr id="32" name="Text Box 32"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D7D832" w14:textId="4100A0E0" w:rsidR="003C2FDB" w:rsidRPr="003C2FDB" w:rsidRDefault="003C2FDB"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75CDAA43" id="Text Box 32" o:spid="_x0000_s1068" type="#_x0000_t202" alt="{&quot;HashCode&quot;:-1267603503,&quot;Height&quot;:841.0,&quot;Width&quot;:595.0,&quot;Placement&quot;:&quot;Footer&quot;,&quot;Index&quot;:&quot;Primary&quot;,&quot;Section&quot;:11,&quot;Top&quot;:0.0,&quot;Left&quot;:0.0}" style="position:absolute;margin-left:0;margin-top:805.4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" o:allowincell="f" filled="f" stroked="f" strokeweight=".5pt">
              <v:textbox inset="20pt,0,,0">
                <w:txbxContent>
                  <w:p w14:paraId="79D7D832" w14:textId="4100A0E0" w:rsidR="003C2FDB" w:rsidRPr="003C2FDB" w:rsidRDefault="003C2FDB"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sidR="007E53BD">
      <w:rPr>
        <w:noProof/>
        <w:color w:val="808080" w:themeColor="background1" w:themeShade="80"/>
        <w:szCs w:val="15"/>
        <w:lang w:eastAsia="en-AU"/>
      </w:rPr>
      <mc:AlternateContent>
        <mc:Choice Requires="wps">
          <w:drawing>
            <wp:anchor distT="0" distB="0" distL="114300" distR="114300" simplePos="0" relativeHeight="251658249" behindDoc="0" locked="0" layoutInCell="0" allowOverlap="1" wp14:anchorId="15252C8F" wp14:editId="61BCFF2D">
              <wp:simplePos x="0" y="0"/>
              <wp:positionH relativeFrom="page">
                <wp:posOffset>0</wp:posOffset>
              </wp:positionH>
              <wp:positionV relativeFrom="page">
                <wp:posOffset>10228580</wp:posOffset>
              </wp:positionV>
              <wp:extent cx="7560945" cy="273050"/>
              <wp:effectExtent l="0" t="0" r="0" b="12700"/>
              <wp:wrapNone/>
              <wp:docPr id="33" name="Text Box 33"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39C21D" w14:textId="365AF6EA" w:rsidR="007E53BD" w:rsidRPr="007E53BD" w:rsidRDefault="007E53BD"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15252C8F" id="Text Box 33" o:spid="_x0000_s1069" type="#_x0000_t202" alt="{&quot;HashCode&quot;:-1267603503,&quot;Height&quot;:841.0,&quot;Width&quot;:595.0,&quot;Placement&quot;:&quot;Footer&quot;,&quot;Index&quot;:&quot;Primary&quot;,&quot;Section&quot;:11,&quot;Top&quot;:0.0,&quot;Left&quot;:0.0}" style="position:absolute;margin-left:0;margin-top:805.4pt;width:595.3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KYhYZQdAgAALQQAAA4AAAAAAAAAAAAAAAAALgIAAGRycy9lMm9Eb2MueG1sUEsB&#10;Ai0AFAAGAAgAAAAhAANaherfAAAACwEAAA8AAAAAAAAAAAAAAAAAdwQAAGRycy9kb3ducmV2Lnht&#10;bFBLBQYAAAAABAAEAPMAAACDBQAAAAA=&#10;" o:allowincell="f" filled="f" stroked="f" strokeweight=".5pt">
              <v:textbox inset="20pt,0,,0">
                <w:txbxContent>
                  <w:p w14:paraId="1339C21D" w14:textId="365AF6EA" w:rsidR="007E53BD" w:rsidRPr="007E53BD" w:rsidRDefault="007E53BD"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sidR="006E4028">
      <w:rPr>
        <w:noProof/>
        <w:color w:val="808080" w:themeColor="background1" w:themeShade="80"/>
        <w:szCs w:val="15"/>
        <w:lang w:eastAsia="en-AU"/>
      </w:rPr>
      <mc:AlternateContent>
        <mc:Choice Requires="wps">
          <w:drawing>
            <wp:anchor distT="0" distB="0" distL="114300" distR="114300" simplePos="0" relativeHeight="251658246" behindDoc="0" locked="0" layoutInCell="0" allowOverlap="1" wp14:anchorId="32B6B597" wp14:editId="41BFCD29">
              <wp:simplePos x="0" y="0"/>
              <wp:positionH relativeFrom="page">
                <wp:posOffset>0</wp:posOffset>
              </wp:positionH>
              <wp:positionV relativeFrom="page">
                <wp:posOffset>10228580</wp:posOffset>
              </wp:positionV>
              <wp:extent cx="7560945" cy="273050"/>
              <wp:effectExtent l="0" t="0" r="0" b="12700"/>
              <wp:wrapNone/>
              <wp:docPr id="34" name="Text Box 34"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A408DF" w14:textId="281834F6" w:rsidR="006E4028" w:rsidRPr="006E4028" w:rsidRDefault="006E4028"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32B6B597" id="Text Box 34" o:spid="_x0000_s1070" type="#_x0000_t202" alt="{&quot;HashCode&quot;:-1267603503,&quot;Height&quot;:841.0,&quot;Width&quot;:595.0,&quot;Placement&quot;:&quot;Footer&quot;,&quot;Index&quot;:&quot;Primary&quot;,&quot;Section&quot;:11,&quot;Top&quot;:0.0,&quot;Left&quot;:0.0}" style="position:absolute;margin-left:0;margin-top:805.4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IHgIAAC0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lXQ6GRbZQXXC/Rz01HvL1wqH&#10;2DAfnplDrnEl1G94wkNqwGZwtiipwf34mz/mIwUYpaRF7ZTUfz8wJyjRXw2SM5lN8zyqLd3QcMm4&#10;HU+neNkNXnNo7gF1OcYnYnkyY27QgykdNK+o71VshyFmODYt6W4w70MvZXwfXKxWKQl1ZVnYmK3l&#10;sXRELWL70r0yZ88EBKTuEQZ5seIdD31uj/fqEECqRFJEuIfzDDxqMnF3fj9R9L/eU9bllS9/Ag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Ss0+IHgIAAC0EAAAOAAAAAAAAAAAAAAAAAC4CAABkcnMvZTJvRG9jLnhtbFBL&#10;AQItABQABgAIAAAAIQADWoXq3wAAAAsBAAAPAAAAAAAAAAAAAAAAAHgEAABkcnMvZG93bnJldi54&#10;bWxQSwUGAAAAAAQABADzAAAAhAUAAAAA&#10;" o:allowincell="f" filled="f" stroked="f" strokeweight=".5pt">
              <v:textbox inset="20pt,0,,0">
                <w:txbxContent>
                  <w:p w14:paraId="74A408DF" w14:textId="281834F6" w:rsidR="006E4028" w:rsidRPr="006E4028" w:rsidRDefault="006E4028"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1281952618"/>
        <w:dataBinding w:prefixMappings="xmlns:ns0='http://purl.org/dc/elements/1.1/' xmlns:ns1='http://schemas.openxmlformats.org/package/2006/metadata/core-properties' " w:xpath="/ns1:coreProperties[1]/ns0:title[1]" w:storeItemID="{6C3C8BC8-F283-45AE-878A-BAB7291924A1}"/>
        <w:text/>
      </w:sdtPr>
      <w:sdtContent>
        <w:r w:rsidR="006C634E" w:rsidRPr="00285FE4">
          <w:rPr>
            <w:color w:val="808080" w:themeColor="background1" w:themeShade="80"/>
            <w:szCs w:val="15"/>
            <w:lang w:eastAsia="en-AU"/>
          </w:rPr>
          <w:t>Building Reform: Paper Two</w:t>
        </w:r>
      </w:sdtContent>
    </w:sdt>
    <w:r w:rsidR="00A37125" w:rsidRPr="00285FE4">
      <w:rPr>
        <w:color w:val="808080" w:themeColor="background1" w:themeShade="80"/>
        <w:szCs w:val="15"/>
        <w:lang w:eastAsia="en-AU"/>
      </w:rPr>
      <w:t xml:space="preserve"> | Expert Panel on Building Reform</w:t>
    </w:r>
    <w:r w:rsidR="003B464C" w:rsidRPr="00285FE4">
      <w:rPr>
        <w:rFonts w:cs="Segoe UI"/>
        <w:color w:val="A5A5A5"/>
        <w:szCs w:val="15"/>
      </w:rPr>
      <w:ptab w:relativeTo="margin" w:alignment="right" w:leader="none"/>
    </w:r>
    <w:r w:rsidR="003B464C" w:rsidRPr="00285FE4">
      <w:rPr>
        <w:rFonts w:cs="Segoe UI"/>
        <w:color w:val="A5A5A5"/>
        <w:szCs w:val="15"/>
      </w:rPr>
      <w:t>|</w:t>
    </w:r>
    <w:r w:rsidR="003B464C" w:rsidRPr="00285FE4">
      <w:rPr>
        <w:rFonts w:cs="Segoe UI"/>
        <w:color w:val="808080" w:themeColor="background1" w:themeShade="80"/>
        <w:szCs w:val="15"/>
      </w:rPr>
      <w:t xml:space="preserve"> </w:t>
    </w:r>
    <w:r w:rsidR="004F44C0">
      <w:rPr>
        <w:rFonts w:cs="Segoe UI"/>
        <w:color w:val="808080" w:themeColor="background1" w:themeShade="80"/>
        <w:szCs w:val="15"/>
      </w:rPr>
      <w:t>13</w:t>
    </w:r>
    <w:r w:rsidR="003B464C" w:rsidRPr="00285FE4">
      <w:rPr>
        <w:rFonts w:cs="Segoe UI"/>
        <w:b/>
        <w:color w:val="808080" w:themeColor="background1" w:themeShade="80"/>
        <w:szCs w:val="15"/>
      </w:rPr>
      <w:t xml:space="preserve"> </w:t>
    </w:r>
    <w:r w:rsidR="003B464C" w:rsidRPr="00285FE4">
      <w:rPr>
        <w:rFonts w:cs="Segoe UI"/>
        <w:color w:val="A5A5A5"/>
        <w:szCs w:val="15"/>
      </w:rPr>
      <w: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E7C70" w14:textId="080C9A5F" w:rsidR="008B2E27" w:rsidRPr="00285FE4" w:rsidRDefault="000D6207"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0" relativeHeight="251658436" behindDoc="0" locked="0" layoutInCell="0" allowOverlap="1" wp14:anchorId="668AE150" wp14:editId="2451EF13">
              <wp:simplePos x="0" y="0"/>
              <wp:positionH relativeFrom="page">
                <wp:posOffset>0</wp:posOffset>
              </wp:positionH>
              <wp:positionV relativeFrom="page">
                <wp:posOffset>10228580</wp:posOffset>
              </wp:positionV>
              <wp:extent cx="7560945" cy="273050"/>
              <wp:effectExtent l="0" t="0" r="0" b="12700"/>
              <wp:wrapNone/>
              <wp:docPr id="25" name="Text Box 25"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497BB7" w14:textId="6F2AB8CA" w:rsidR="000D6207" w:rsidRPr="000D6207" w:rsidRDefault="000D6207" w:rsidP="000D6207">
                          <w:pPr>
                            <w:spacing w:after="0"/>
                            <w:rPr>
                              <w:rFonts w:ascii="Calibri" w:hAnsi="Calibri" w:cs="Calibri"/>
                              <w:color w:val="000000"/>
                            </w:rPr>
                          </w:pPr>
                          <w:r w:rsidRPr="000D620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68AE150" id="_x0000_t202" coordsize="21600,21600" o:spt="202" path="m,l,21600r21600,l21600,xe">
              <v:stroke joinstyle="miter"/>
              <v:path gradientshapeok="t" o:connecttype="rect"/>
            </v:shapetype>
            <v:shape id="Text Box 25" o:spid="_x0000_s1071" type="#_x0000_t202" alt="{&quot;HashCode&quot;:-1267603503,&quot;Height&quot;:841.0,&quot;Width&quot;:595.0,&quot;Placement&quot;:&quot;Footer&quot;,&quot;Index&quot;:&quot;Primary&quot;,&quot;Section&quot;:11,&quot;Top&quot;:0.0,&quot;Left&quot;:0.0}" style="position:absolute;margin-left:0;margin-top:805.4pt;width:595.35pt;height:21.5pt;z-index:2516584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MHAejUdAgAALQQAAA4AAAAAAAAAAAAAAAAALgIAAGRycy9lMm9Eb2MueG1sUEsB&#10;Ai0AFAAGAAgAAAAhAANaherfAAAACwEAAA8AAAAAAAAAAAAAAAAAdwQAAGRycy9kb3ducmV2Lnht&#10;bFBLBQYAAAAABAAEAPMAAACDBQAAAAA=&#10;" o:allowincell="f" filled="f" stroked="f" strokeweight=".5pt">
              <v:textbox inset="20pt,0,,0">
                <w:txbxContent>
                  <w:p w14:paraId="59497BB7" w14:textId="6F2AB8CA" w:rsidR="000D6207" w:rsidRPr="000D6207" w:rsidRDefault="000D6207" w:rsidP="000D6207">
                    <w:pPr>
                      <w:spacing w:after="0"/>
                      <w:rPr>
                        <w:rFonts w:ascii="Calibri" w:hAnsi="Calibri" w:cs="Calibri"/>
                        <w:color w:val="000000"/>
                      </w:rPr>
                    </w:pPr>
                    <w:r w:rsidRPr="000D6207">
                      <w:rPr>
                        <w:rFonts w:ascii="Calibri" w:hAnsi="Calibri" w:cs="Calibri"/>
                        <w:color w:val="000000"/>
                      </w:rPr>
                      <w:t>OFFICIAL</w:t>
                    </w:r>
                  </w:p>
                </w:txbxContent>
              </v:textbox>
              <w10:wrap anchorx="page" anchory="page"/>
            </v:shape>
          </w:pict>
        </mc:Fallback>
      </mc:AlternateContent>
    </w:r>
    <w:r w:rsidR="008B2E27">
      <w:rPr>
        <w:noProof/>
        <w:color w:val="808080" w:themeColor="background1" w:themeShade="80"/>
        <w:szCs w:val="15"/>
        <w:lang w:eastAsia="en-AU"/>
      </w:rPr>
      <mc:AlternateContent>
        <mc:Choice Requires="wps">
          <w:drawing>
            <wp:anchor distT="0" distB="0" distL="114300" distR="114300" simplePos="0" relativeHeight="251658288" behindDoc="0" locked="0" layoutInCell="0" allowOverlap="1" wp14:anchorId="2DC89AD2" wp14:editId="03E844BB">
              <wp:simplePos x="0" y="0"/>
              <wp:positionH relativeFrom="page">
                <wp:posOffset>0</wp:posOffset>
              </wp:positionH>
              <wp:positionV relativeFrom="page">
                <wp:posOffset>10228580</wp:posOffset>
              </wp:positionV>
              <wp:extent cx="7560945" cy="273050"/>
              <wp:effectExtent l="0" t="0" r="0" b="12700"/>
              <wp:wrapNone/>
              <wp:docPr id="27787" name="Text Box 27787"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809267" w14:textId="77777777" w:rsidR="008B2E27" w:rsidRPr="003C2FDB" w:rsidRDefault="008B2E27"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2DC89AD2" id="Text Box 27787" o:spid="_x0000_s1072" type="#_x0000_t202" alt="{&quot;HashCode&quot;:-1267603503,&quot;Height&quot;:841.0,&quot;Width&quot;:595.0,&quot;Placement&quot;:&quot;Footer&quot;,&quot;Index&quot;:&quot;Primary&quot;,&quot;Section&quot;:11,&quot;Top&quot;:0.0,&quot;Left&quot;:0.0}" style="position:absolute;margin-left:0;margin-top:805.4pt;width:595.35pt;height:21.5pt;z-index:251658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C6lhKwHgIAAC0EAAAOAAAAAAAAAAAAAAAAAC4CAABkcnMvZTJvRG9jLnhtbFBL&#10;AQItABQABgAIAAAAIQADWoXq3wAAAAsBAAAPAAAAAAAAAAAAAAAAAHgEAABkcnMvZG93bnJldi54&#10;bWxQSwUGAAAAAAQABADzAAAAhAUAAAAA&#10;" o:allowincell="f" filled="f" stroked="f" strokeweight=".5pt">
              <v:textbox inset="20pt,0,,0">
                <w:txbxContent>
                  <w:p w14:paraId="2C809267" w14:textId="77777777" w:rsidR="008B2E27" w:rsidRPr="003C2FDB" w:rsidRDefault="008B2E27"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sidR="008B2E27">
      <w:rPr>
        <w:noProof/>
        <w:color w:val="808080" w:themeColor="background1" w:themeShade="80"/>
        <w:szCs w:val="15"/>
        <w:lang w:eastAsia="en-AU"/>
      </w:rPr>
      <mc:AlternateContent>
        <mc:Choice Requires="wps">
          <w:drawing>
            <wp:anchor distT="0" distB="0" distL="114300" distR="114300" simplePos="0" relativeHeight="251658287" behindDoc="0" locked="0" layoutInCell="0" allowOverlap="1" wp14:anchorId="00A176A1" wp14:editId="4D50B6E9">
              <wp:simplePos x="0" y="0"/>
              <wp:positionH relativeFrom="page">
                <wp:posOffset>0</wp:posOffset>
              </wp:positionH>
              <wp:positionV relativeFrom="page">
                <wp:posOffset>10228580</wp:posOffset>
              </wp:positionV>
              <wp:extent cx="7560945" cy="273050"/>
              <wp:effectExtent l="0" t="0" r="0" b="12700"/>
              <wp:wrapNone/>
              <wp:docPr id="27788" name="Text Box 27788"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011BDF" w14:textId="77777777" w:rsidR="008B2E27" w:rsidRPr="007E53BD" w:rsidRDefault="008B2E27"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00A176A1" id="Text Box 27788" o:spid="_x0000_s1073" type="#_x0000_t202" alt="{&quot;HashCode&quot;:-1267603503,&quot;Height&quot;:841.0,&quot;Width&quot;:595.0,&quot;Placement&quot;:&quot;Footer&quot;,&quot;Index&quot;:&quot;Primary&quot;,&quot;Section&quot;:11,&quot;Top&quot;:0.0,&quot;Left&quot;:0.0}" style="position:absolute;margin-left:0;margin-top:805.4pt;width:595.35pt;height:21.5pt;z-index:2516582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Ap5ScNHgIAAC0EAAAOAAAAAAAAAAAAAAAAAC4CAABkcnMvZTJvRG9jLnhtbFBL&#10;AQItABQABgAIAAAAIQADWoXq3wAAAAsBAAAPAAAAAAAAAAAAAAAAAHgEAABkcnMvZG93bnJldi54&#10;bWxQSwUGAAAAAAQABADzAAAAhAUAAAAA&#10;" o:allowincell="f" filled="f" stroked="f" strokeweight=".5pt">
              <v:textbox inset="20pt,0,,0">
                <w:txbxContent>
                  <w:p w14:paraId="72011BDF" w14:textId="77777777" w:rsidR="008B2E27" w:rsidRPr="007E53BD" w:rsidRDefault="008B2E27"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sidR="008B2E27">
      <w:rPr>
        <w:noProof/>
        <w:color w:val="808080" w:themeColor="background1" w:themeShade="80"/>
        <w:szCs w:val="15"/>
        <w:lang w:eastAsia="en-AU"/>
      </w:rPr>
      <mc:AlternateContent>
        <mc:Choice Requires="wps">
          <w:drawing>
            <wp:anchor distT="0" distB="0" distL="114300" distR="114300" simplePos="0" relativeHeight="251658286" behindDoc="0" locked="0" layoutInCell="0" allowOverlap="1" wp14:anchorId="2C85D9DF" wp14:editId="2603FB0F">
              <wp:simplePos x="0" y="0"/>
              <wp:positionH relativeFrom="page">
                <wp:posOffset>0</wp:posOffset>
              </wp:positionH>
              <wp:positionV relativeFrom="page">
                <wp:posOffset>10228580</wp:posOffset>
              </wp:positionV>
              <wp:extent cx="7560945" cy="273050"/>
              <wp:effectExtent l="0" t="0" r="0" b="12700"/>
              <wp:wrapNone/>
              <wp:docPr id="27789" name="Text Box 27789"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DB4D2E" w14:textId="77777777" w:rsidR="008B2E27" w:rsidRPr="006E4028" w:rsidRDefault="008B2E27"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2C85D9DF" id="Text Box 27789" o:spid="_x0000_s1074" type="#_x0000_t202" alt="{&quot;HashCode&quot;:-1267603503,&quot;Height&quot;:841.0,&quot;Width&quot;:595.0,&quot;Placement&quot;:&quot;Footer&quot;,&quot;Index&quot;:&quot;Primary&quot;,&quot;Section&quot;:11,&quot;Top&quot;:0.0,&quot;Left&quot;:0.0}" style="position:absolute;margin-left:0;margin-top:805.4pt;width:595.35pt;height:21.5pt;z-index:25165828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kRHgIAAC0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lXQ6HxbZQXXC/Rz01HvL1wqH&#10;2DAfnplDrnEl1G94wkNqwGZwtiipwf34mz/mIwUYpaRF7ZTUfz8wJyjRXw2SM5lN8zyqLd3QcMm4&#10;HU+neNkNXnNo7gF1OcYnYnkyY27QgykdNK+o71VshyFmODYt6W4w70MvZXwfXKxWKQl1ZVnYmK3l&#10;sXRELWL70r0yZ88EBKTuEQZ5seIdD31uj/fqEECqRFJEuIfzDDxqMnF3fj9R9L/eU9bllS9/Ag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ddwkRHgIAAC0EAAAOAAAAAAAAAAAAAAAAAC4CAABkcnMvZTJvRG9jLnhtbFBL&#10;AQItABQABgAIAAAAIQADWoXq3wAAAAsBAAAPAAAAAAAAAAAAAAAAAHgEAABkcnMvZG93bnJldi54&#10;bWxQSwUGAAAAAAQABADzAAAAhAUAAAAA&#10;" o:allowincell="f" filled="f" stroked="f" strokeweight=".5pt">
              <v:textbox inset="20pt,0,,0">
                <w:txbxContent>
                  <w:p w14:paraId="53DB4D2E" w14:textId="77777777" w:rsidR="008B2E27" w:rsidRPr="006E4028" w:rsidRDefault="008B2E27"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948856587"/>
        <w:dataBinding w:prefixMappings="xmlns:ns0='http://purl.org/dc/elements/1.1/' xmlns:ns1='http://schemas.openxmlformats.org/package/2006/metadata/core-properties' " w:xpath="/ns1:coreProperties[1]/ns0:title[1]" w:storeItemID="{6C3C8BC8-F283-45AE-878A-BAB7291924A1}"/>
        <w:text/>
      </w:sdtPr>
      <w:sdtContent>
        <w:r w:rsidR="008B2E27" w:rsidRPr="00285FE4">
          <w:rPr>
            <w:color w:val="808080" w:themeColor="background1" w:themeShade="80"/>
            <w:szCs w:val="15"/>
            <w:lang w:eastAsia="en-AU"/>
          </w:rPr>
          <w:t>Building Reform: Paper Two</w:t>
        </w:r>
      </w:sdtContent>
    </w:sdt>
    <w:r w:rsidR="008B2E27" w:rsidRPr="00285FE4">
      <w:rPr>
        <w:color w:val="808080" w:themeColor="background1" w:themeShade="80"/>
        <w:szCs w:val="15"/>
        <w:lang w:eastAsia="en-AU"/>
      </w:rPr>
      <w:t xml:space="preserve"> | Expert Panel on Building Reform</w:t>
    </w:r>
    <w:r w:rsidR="008B2E27" w:rsidRPr="00285FE4">
      <w:rPr>
        <w:rFonts w:cs="Segoe UI"/>
        <w:color w:val="A5A5A5"/>
        <w:szCs w:val="15"/>
      </w:rPr>
      <w:ptab w:relativeTo="margin" w:alignment="right" w:leader="none"/>
    </w:r>
    <w:r w:rsidR="008B2E27" w:rsidRPr="00285FE4">
      <w:rPr>
        <w:rFonts w:cs="Segoe UI"/>
        <w:color w:val="A5A5A5"/>
        <w:szCs w:val="15"/>
      </w:rPr>
      <w:t>|</w:t>
    </w:r>
    <w:r w:rsidR="008B2E27" w:rsidRPr="00285FE4">
      <w:rPr>
        <w:rFonts w:cs="Segoe UI"/>
        <w:color w:val="808080" w:themeColor="background1" w:themeShade="80"/>
        <w:szCs w:val="15"/>
      </w:rPr>
      <w:t xml:space="preserve"> </w:t>
    </w:r>
    <w:r w:rsidR="008B2E27">
      <w:rPr>
        <w:rFonts w:cs="Segoe UI"/>
        <w:color w:val="808080" w:themeColor="background1" w:themeShade="80"/>
        <w:szCs w:val="15"/>
      </w:rPr>
      <w:t>1</w:t>
    </w:r>
    <w:r w:rsidR="006619EC">
      <w:rPr>
        <w:rFonts w:cs="Segoe UI"/>
        <w:color w:val="808080" w:themeColor="background1" w:themeShade="80"/>
        <w:szCs w:val="15"/>
      </w:rPr>
      <w:t>5</w:t>
    </w:r>
    <w:r w:rsidR="008B2E27" w:rsidRPr="00285FE4">
      <w:rPr>
        <w:rFonts w:cs="Segoe UI"/>
        <w:b/>
        <w:color w:val="808080" w:themeColor="background1" w:themeShade="80"/>
        <w:szCs w:val="15"/>
      </w:rPr>
      <w:t xml:space="preserve"> </w:t>
    </w:r>
    <w:r w:rsidR="008B2E27" w:rsidRPr="00285FE4">
      <w:rPr>
        <w:rFonts w:cs="Segoe UI"/>
        <w:color w:val="A5A5A5"/>
        <w:szCs w:val="15"/>
      </w:rPr>
      <w: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AFB0E" w14:textId="14367C8C" w:rsidR="008B2E27" w:rsidRPr="00285FE4" w:rsidRDefault="000D6207"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0" relativeHeight="251658437" behindDoc="0" locked="0" layoutInCell="0" allowOverlap="1" wp14:anchorId="0954C4D4" wp14:editId="5F9F1652">
              <wp:simplePos x="0" y="0"/>
              <wp:positionH relativeFrom="page">
                <wp:posOffset>0</wp:posOffset>
              </wp:positionH>
              <wp:positionV relativeFrom="page">
                <wp:posOffset>10228580</wp:posOffset>
              </wp:positionV>
              <wp:extent cx="7560945" cy="273050"/>
              <wp:effectExtent l="0" t="0" r="0" b="12700"/>
              <wp:wrapNone/>
              <wp:docPr id="29" name="Text Box 29" descr="{&quot;HashCode&quot;:-1267603503,&quot;Height&quot;:841.0,&quot;Width&quot;:595.0,&quot;Placement&quot;:&quot;Foot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05EBAB" w14:textId="37A9B5B5" w:rsidR="000D6207" w:rsidRPr="000D6207" w:rsidRDefault="000D6207" w:rsidP="000D6207">
                          <w:pPr>
                            <w:spacing w:after="0"/>
                            <w:rPr>
                              <w:rFonts w:ascii="Calibri" w:hAnsi="Calibri" w:cs="Calibri"/>
                              <w:color w:val="000000"/>
                            </w:rPr>
                          </w:pPr>
                          <w:r w:rsidRPr="000D620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954C4D4" id="_x0000_t202" coordsize="21600,21600" o:spt="202" path="m,l,21600r21600,l21600,xe">
              <v:stroke joinstyle="miter"/>
              <v:path gradientshapeok="t" o:connecttype="rect"/>
            </v:shapetype>
            <v:shape id="Text Box 29" o:spid="_x0000_s1075" type="#_x0000_t202" alt="{&quot;HashCode&quot;:-1267603503,&quot;Height&quot;:841.0,&quot;Width&quot;:595.0,&quot;Placement&quot;:&quot;Footer&quot;,&quot;Index&quot;:&quot;Primary&quot;,&quot;Section&quot;:12,&quot;Top&quot;:0.0,&quot;Left&quot;:0.0}" style="position:absolute;margin-left:0;margin-top:805.4pt;width:595.35pt;height:21.5pt;z-index:25165843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OBDysHgIAAC0EAAAOAAAAAAAAAAAAAAAAAC4CAABkcnMvZTJvRG9jLnhtbFBL&#10;AQItABQABgAIAAAAIQADWoXq3wAAAAsBAAAPAAAAAAAAAAAAAAAAAHgEAABkcnMvZG93bnJldi54&#10;bWxQSwUGAAAAAAQABADzAAAAhAUAAAAA&#10;" o:allowincell="f" filled="f" stroked="f" strokeweight=".5pt">
              <v:textbox inset="20pt,0,,0">
                <w:txbxContent>
                  <w:p w14:paraId="2105EBAB" w14:textId="37A9B5B5" w:rsidR="000D6207" w:rsidRPr="000D6207" w:rsidRDefault="000D6207" w:rsidP="000D6207">
                    <w:pPr>
                      <w:spacing w:after="0"/>
                      <w:rPr>
                        <w:rFonts w:ascii="Calibri" w:hAnsi="Calibri" w:cs="Calibri"/>
                        <w:color w:val="000000"/>
                      </w:rPr>
                    </w:pPr>
                    <w:r w:rsidRPr="000D6207">
                      <w:rPr>
                        <w:rFonts w:ascii="Calibri" w:hAnsi="Calibri" w:cs="Calibri"/>
                        <w:color w:val="000000"/>
                      </w:rPr>
                      <w:t>OFFICIAL</w:t>
                    </w:r>
                  </w:p>
                </w:txbxContent>
              </v:textbox>
              <w10:wrap anchorx="page" anchory="page"/>
            </v:shape>
          </w:pict>
        </mc:Fallback>
      </mc:AlternateContent>
    </w:r>
    <w:r w:rsidR="008B2E27">
      <w:rPr>
        <w:noProof/>
        <w:color w:val="808080" w:themeColor="background1" w:themeShade="80"/>
        <w:szCs w:val="15"/>
        <w:lang w:eastAsia="en-AU"/>
      </w:rPr>
      <mc:AlternateContent>
        <mc:Choice Requires="wps">
          <w:drawing>
            <wp:anchor distT="0" distB="0" distL="114300" distR="114300" simplePos="0" relativeHeight="251658291" behindDoc="0" locked="0" layoutInCell="0" allowOverlap="1" wp14:anchorId="64DE2F8F" wp14:editId="3AD37B3C">
              <wp:simplePos x="0" y="0"/>
              <wp:positionH relativeFrom="page">
                <wp:posOffset>0</wp:posOffset>
              </wp:positionH>
              <wp:positionV relativeFrom="page">
                <wp:posOffset>10228580</wp:posOffset>
              </wp:positionV>
              <wp:extent cx="7560945" cy="273050"/>
              <wp:effectExtent l="0" t="0" r="0" b="12700"/>
              <wp:wrapNone/>
              <wp:docPr id="27790" name="Text Box 27790"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D2E1FB" w14:textId="77777777" w:rsidR="008B2E27" w:rsidRPr="003C2FDB" w:rsidRDefault="008B2E27"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4DE2F8F" id="Text Box 27790" o:spid="_x0000_s1076" type="#_x0000_t202" alt="{&quot;HashCode&quot;:-1267603503,&quot;Height&quot;:841.0,&quot;Width&quot;:595.0,&quot;Placement&quot;:&quot;Footer&quot;,&quot;Index&quot;:&quot;Primary&quot;,&quot;Section&quot;:11,&quot;Top&quot;:0.0,&quot;Left&quot;:0.0}" style="position:absolute;margin-left:0;margin-top:805.4pt;width:595.35pt;height:21.5pt;z-index:25165829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q3ajAHgIAAC0EAAAOAAAAAAAAAAAAAAAAAC4CAABkcnMvZTJvRG9jLnhtbFBL&#10;AQItABQABgAIAAAAIQADWoXq3wAAAAsBAAAPAAAAAAAAAAAAAAAAAHgEAABkcnMvZG93bnJldi54&#10;bWxQSwUGAAAAAAQABADzAAAAhAUAAAAA&#10;" o:allowincell="f" filled="f" stroked="f" strokeweight=".5pt">
              <v:textbox inset="20pt,0,,0">
                <w:txbxContent>
                  <w:p w14:paraId="5CD2E1FB" w14:textId="77777777" w:rsidR="008B2E27" w:rsidRPr="003C2FDB" w:rsidRDefault="008B2E27"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sidR="008B2E27">
      <w:rPr>
        <w:noProof/>
        <w:color w:val="808080" w:themeColor="background1" w:themeShade="80"/>
        <w:szCs w:val="15"/>
        <w:lang w:eastAsia="en-AU"/>
      </w:rPr>
      <mc:AlternateContent>
        <mc:Choice Requires="wps">
          <w:drawing>
            <wp:anchor distT="0" distB="0" distL="114300" distR="114300" simplePos="0" relativeHeight="251658290" behindDoc="0" locked="0" layoutInCell="0" allowOverlap="1" wp14:anchorId="5E2B710E" wp14:editId="439D1222">
              <wp:simplePos x="0" y="0"/>
              <wp:positionH relativeFrom="page">
                <wp:posOffset>0</wp:posOffset>
              </wp:positionH>
              <wp:positionV relativeFrom="page">
                <wp:posOffset>10228580</wp:posOffset>
              </wp:positionV>
              <wp:extent cx="7560945" cy="273050"/>
              <wp:effectExtent l="0" t="0" r="0" b="12700"/>
              <wp:wrapNone/>
              <wp:docPr id="27791" name="Text Box 27791"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B06E54" w14:textId="77777777" w:rsidR="008B2E27" w:rsidRPr="007E53BD" w:rsidRDefault="008B2E27"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5E2B710E" id="Text Box 27791" o:spid="_x0000_s1077" type="#_x0000_t202" alt="{&quot;HashCode&quot;:-1267603503,&quot;Height&quot;:841.0,&quot;Width&quot;:595.0,&quot;Placement&quot;:&quot;Footer&quot;,&quot;Index&quot;:&quot;Primary&quot;,&quot;Section&quot;:11,&quot;Top&quot;:0.0,&quot;Left&quot;:0.0}" style="position:absolute;margin-left:0;margin-top:805.4pt;width:595.35pt;height:21.5pt;z-index:25165829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5rp19HgIAAC0EAAAOAAAAAAAAAAAAAAAAAC4CAABkcnMvZTJvRG9jLnhtbFBL&#10;AQItABQABgAIAAAAIQADWoXq3wAAAAsBAAAPAAAAAAAAAAAAAAAAAHgEAABkcnMvZG93bnJldi54&#10;bWxQSwUGAAAAAAQABADzAAAAhAUAAAAA&#10;" o:allowincell="f" filled="f" stroked="f" strokeweight=".5pt">
              <v:textbox inset="20pt,0,,0">
                <w:txbxContent>
                  <w:p w14:paraId="6EB06E54" w14:textId="77777777" w:rsidR="008B2E27" w:rsidRPr="007E53BD" w:rsidRDefault="008B2E27"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sidR="008B2E27">
      <w:rPr>
        <w:noProof/>
        <w:color w:val="808080" w:themeColor="background1" w:themeShade="80"/>
        <w:szCs w:val="15"/>
        <w:lang w:eastAsia="en-AU"/>
      </w:rPr>
      <mc:AlternateContent>
        <mc:Choice Requires="wps">
          <w:drawing>
            <wp:anchor distT="0" distB="0" distL="114300" distR="114300" simplePos="0" relativeHeight="251658289" behindDoc="0" locked="0" layoutInCell="0" allowOverlap="1" wp14:anchorId="7BCD7957" wp14:editId="14B4FA64">
              <wp:simplePos x="0" y="0"/>
              <wp:positionH relativeFrom="page">
                <wp:posOffset>0</wp:posOffset>
              </wp:positionH>
              <wp:positionV relativeFrom="page">
                <wp:posOffset>10228580</wp:posOffset>
              </wp:positionV>
              <wp:extent cx="7560945" cy="273050"/>
              <wp:effectExtent l="0" t="0" r="0" b="12700"/>
              <wp:wrapNone/>
              <wp:docPr id="27792" name="Text Box 27792"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B7372A" w14:textId="77777777" w:rsidR="008B2E27" w:rsidRPr="006E4028" w:rsidRDefault="008B2E27"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7BCD7957" id="Text Box 27792" o:spid="_x0000_s1078" type="#_x0000_t202" alt="{&quot;HashCode&quot;:-1267603503,&quot;Height&quot;:841.0,&quot;Width&quot;:595.0,&quot;Placement&quot;:&quot;Footer&quot;,&quot;Index&quot;:&quot;Primary&quot;,&quot;Section&quot;:11,&quot;Top&quot;:0.0,&quot;Left&quot;:0.0}" style="position:absolute;margin-left:0;margin-top:805.4pt;width:595.35pt;height:21.5pt;z-index:25165828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" o:allowincell="f" filled="f" stroked="f" strokeweight=".5pt">
              <v:textbox inset="20pt,0,,0">
                <w:txbxContent>
                  <w:p w14:paraId="76B7372A" w14:textId="77777777" w:rsidR="008B2E27" w:rsidRPr="006E4028" w:rsidRDefault="008B2E27"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1730419567"/>
        <w:dataBinding w:prefixMappings="xmlns:ns0='http://purl.org/dc/elements/1.1/' xmlns:ns1='http://schemas.openxmlformats.org/package/2006/metadata/core-properties' " w:xpath="/ns1:coreProperties[1]/ns0:title[1]" w:storeItemID="{6C3C8BC8-F283-45AE-878A-BAB7291924A1}"/>
        <w:text/>
      </w:sdtPr>
      <w:sdtContent>
        <w:r w:rsidR="008B2E27" w:rsidRPr="00285FE4">
          <w:rPr>
            <w:color w:val="808080" w:themeColor="background1" w:themeShade="80"/>
            <w:szCs w:val="15"/>
            <w:lang w:eastAsia="en-AU"/>
          </w:rPr>
          <w:t>Building Reform: Paper Two</w:t>
        </w:r>
      </w:sdtContent>
    </w:sdt>
    <w:r w:rsidR="008B2E27" w:rsidRPr="00285FE4">
      <w:rPr>
        <w:color w:val="808080" w:themeColor="background1" w:themeShade="80"/>
        <w:szCs w:val="15"/>
        <w:lang w:eastAsia="en-AU"/>
      </w:rPr>
      <w:t xml:space="preserve"> | Expert Panel on Building Reform</w:t>
    </w:r>
    <w:r w:rsidR="008B2E27" w:rsidRPr="00285FE4">
      <w:rPr>
        <w:rFonts w:cs="Segoe UI"/>
        <w:color w:val="A5A5A5"/>
        <w:szCs w:val="15"/>
      </w:rPr>
      <w:ptab w:relativeTo="margin" w:alignment="right" w:leader="none"/>
    </w:r>
    <w:r w:rsidR="008B2E27" w:rsidRPr="00285FE4">
      <w:rPr>
        <w:rFonts w:cs="Segoe UI"/>
        <w:color w:val="A5A5A5"/>
        <w:szCs w:val="15"/>
      </w:rPr>
      <w:t>|</w:t>
    </w:r>
    <w:r w:rsidR="008B2E27" w:rsidRPr="00285FE4">
      <w:rPr>
        <w:rFonts w:cs="Segoe UI"/>
        <w:color w:val="808080" w:themeColor="background1" w:themeShade="80"/>
        <w:szCs w:val="15"/>
      </w:rPr>
      <w:t xml:space="preserve"> </w:t>
    </w:r>
    <w:r w:rsidR="008B2E27">
      <w:rPr>
        <w:rFonts w:cs="Segoe UI"/>
        <w:color w:val="808080" w:themeColor="background1" w:themeShade="80"/>
        <w:szCs w:val="15"/>
      </w:rPr>
      <w:t>16</w:t>
    </w:r>
    <w:r w:rsidR="008B2E27" w:rsidRPr="00285FE4">
      <w:rPr>
        <w:rFonts w:cs="Segoe UI"/>
        <w:b/>
        <w:color w:val="808080" w:themeColor="background1" w:themeShade="80"/>
        <w:szCs w:val="15"/>
      </w:rPr>
      <w:t xml:space="preserve"> </w:t>
    </w:r>
    <w:r w:rsidR="008B2E27" w:rsidRPr="00285FE4">
      <w:rPr>
        <w:rFonts w:cs="Segoe UI"/>
        <w:color w:val="A5A5A5"/>
        <w:szCs w:val="15"/>
      </w:rPr>
      <w: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EBB03" w14:textId="224B1062" w:rsidR="008B2E27" w:rsidRPr="00285FE4" w:rsidRDefault="000D6207"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0" relativeHeight="251658438" behindDoc="0" locked="0" layoutInCell="0" allowOverlap="1" wp14:anchorId="34C04343" wp14:editId="67F7AA24">
              <wp:simplePos x="0" y="0"/>
              <wp:positionH relativeFrom="page">
                <wp:posOffset>0</wp:posOffset>
              </wp:positionH>
              <wp:positionV relativeFrom="page">
                <wp:posOffset>10228580</wp:posOffset>
              </wp:positionV>
              <wp:extent cx="7560945" cy="273050"/>
              <wp:effectExtent l="0" t="0" r="0" b="12700"/>
              <wp:wrapNone/>
              <wp:docPr id="27776" name="Text Box 27776" descr="{&quot;HashCode&quot;:-1267603503,&quot;Height&quot;:841.0,&quot;Width&quot;:595.0,&quot;Placement&quot;:&quot;Foot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B586CA" w14:textId="2327535F" w:rsidR="000D6207" w:rsidRPr="000D6207" w:rsidRDefault="000D6207" w:rsidP="000D6207">
                          <w:pPr>
                            <w:spacing w:after="0"/>
                            <w:rPr>
                              <w:rFonts w:ascii="Calibri" w:hAnsi="Calibri" w:cs="Calibri"/>
                              <w:color w:val="000000"/>
                            </w:rPr>
                          </w:pPr>
                          <w:r w:rsidRPr="000D620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4C04343" id="_x0000_t202" coordsize="21600,21600" o:spt="202" path="m,l,21600r21600,l21600,xe">
              <v:stroke joinstyle="miter"/>
              <v:path gradientshapeok="t" o:connecttype="rect"/>
            </v:shapetype>
            <v:shape id="Text Box 27776" o:spid="_x0000_s1079" type="#_x0000_t202" alt="{&quot;HashCode&quot;:-1267603503,&quot;Height&quot;:841.0,&quot;Width&quot;:595.0,&quot;Placement&quot;:&quot;Footer&quot;,&quot;Index&quot;:&quot;Primary&quot;,&quot;Section&quot;:13,&quot;Top&quot;:0.0,&quot;Left&quot;:0.0}" style="position:absolute;margin-left:0;margin-top:805.4pt;width:595.35pt;height:21.5pt;z-index:25165843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CvW2v0dAgAALQQAAA4AAAAAAAAAAAAAAAAALgIAAGRycy9lMm9Eb2MueG1sUEsB&#10;Ai0AFAAGAAgAAAAhAANaherfAAAACwEAAA8AAAAAAAAAAAAAAAAAdwQAAGRycy9kb3ducmV2Lnht&#10;bFBLBQYAAAAABAAEAPMAAACDBQAAAAA=&#10;" o:allowincell="f" filled="f" stroked="f" strokeweight=".5pt">
              <v:textbox inset="20pt,0,,0">
                <w:txbxContent>
                  <w:p w14:paraId="57B586CA" w14:textId="2327535F" w:rsidR="000D6207" w:rsidRPr="000D6207" w:rsidRDefault="000D6207" w:rsidP="000D6207">
                    <w:pPr>
                      <w:spacing w:after="0"/>
                      <w:rPr>
                        <w:rFonts w:ascii="Calibri" w:hAnsi="Calibri" w:cs="Calibri"/>
                        <w:color w:val="000000"/>
                      </w:rPr>
                    </w:pPr>
                    <w:r w:rsidRPr="000D6207">
                      <w:rPr>
                        <w:rFonts w:ascii="Calibri" w:hAnsi="Calibri" w:cs="Calibri"/>
                        <w:color w:val="000000"/>
                      </w:rPr>
                      <w:t>OFFICIAL</w:t>
                    </w:r>
                  </w:p>
                </w:txbxContent>
              </v:textbox>
              <w10:wrap anchorx="page" anchory="page"/>
            </v:shape>
          </w:pict>
        </mc:Fallback>
      </mc:AlternateContent>
    </w:r>
    <w:r w:rsidR="008B2E27">
      <w:rPr>
        <w:noProof/>
        <w:color w:val="808080" w:themeColor="background1" w:themeShade="80"/>
        <w:szCs w:val="15"/>
        <w:lang w:eastAsia="en-AU"/>
      </w:rPr>
      <mc:AlternateContent>
        <mc:Choice Requires="wps">
          <w:drawing>
            <wp:anchor distT="0" distB="0" distL="114300" distR="114300" simplePos="0" relativeHeight="251658294" behindDoc="0" locked="0" layoutInCell="0" allowOverlap="1" wp14:anchorId="0CD91738" wp14:editId="7F5C6A80">
              <wp:simplePos x="0" y="0"/>
              <wp:positionH relativeFrom="page">
                <wp:posOffset>0</wp:posOffset>
              </wp:positionH>
              <wp:positionV relativeFrom="page">
                <wp:posOffset>10228580</wp:posOffset>
              </wp:positionV>
              <wp:extent cx="7560945" cy="273050"/>
              <wp:effectExtent l="0" t="0" r="0" b="12700"/>
              <wp:wrapNone/>
              <wp:docPr id="27793" name="Text Box 27793"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92566A" w14:textId="77777777" w:rsidR="008B2E27" w:rsidRPr="003C2FDB" w:rsidRDefault="008B2E27"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0CD91738" id="Text Box 27793" o:spid="_x0000_s1080" type="#_x0000_t202" alt="{&quot;HashCode&quot;:-1267603503,&quot;Height&quot;:841.0,&quot;Width&quot;:595.0,&quot;Placement&quot;:&quot;Footer&quot;,&quot;Index&quot;:&quot;Primary&quot;,&quot;Section&quot;:11,&quot;Top&quot;:0.0,&quot;Left&quot;:0.0}" style="position:absolute;margin-left:0;margin-top:805.4pt;width:595.35pt;height:21.5pt;z-index:25165829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ThHgIAAC0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lXQ2GRbZQXXC/Rz01HvL1wqH&#10;2DAfnplDrnEl1G94wkNqwGZwtiipwf34mz/mIwUYpaRF7ZTUfz8wJyjRXw2SM5lN8zyqLd3QcMm4&#10;HU+neNkNXnNo7gF1OcYnYnkyY27QgykdNK+o71VshyFmODYt6W4w70MvZXwfXKxWKQl1ZVnYmK3l&#10;sXRELWL70r0yZ88EBKTuEQZ5seIdD31uj/fqEECqRFJEuIfzDDxqMnF3fj9R9L/eU9bllS9/Ag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fRPThHgIAAC0EAAAOAAAAAAAAAAAAAAAAAC4CAABkcnMvZTJvRG9jLnhtbFBL&#10;AQItABQABgAIAAAAIQADWoXq3wAAAAsBAAAPAAAAAAAAAAAAAAAAAHgEAABkcnMvZG93bnJldi54&#10;bWxQSwUGAAAAAAQABADzAAAAhAUAAAAA&#10;" o:allowincell="f" filled="f" stroked="f" strokeweight=".5pt">
              <v:textbox inset="20pt,0,,0">
                <w:txbxContent>
                  <w:p w14:paraId="3C92566A" w14:textId="77777777" w:rsidR="008B2E27" w:rsidRPr="003C2FDB" w:rsidRDefault="008B2E27"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sidR="008B2E27">
      <w:rPr>
        <w:noProof/>
        <w:color w:val="808080" w:themeColor="background1" w:themeShade="80"/>
        <w:szCs w:val="15"/>
        <w:lang w:eastAsia="en-AU"/>
      </w:rPr>
      <mc:AlternateContent>
        <mc:Choice Requires="wps">
          <w:drawing>
            <wp:anchor distT="0" distB="0" distL="114300" distR="114300" simplePos="0" relativeHeight="251658293" behindDoc="0" locked="0" layoutInCell="0" allowOverlap="1" wp14:anchorId="176EA252" wp14:editId="0A55D3F9">
              <wp:simplePos x="0" y="0"/>
              <wp:positionH relativeFrom="page">
                <wp:posOffset>0</wp:posOffset>
              </wp:positionH>
              <wp:positionV relativeFrom="page">
                <wp:posOffset>10228580</wp:posOffset>
              </wp:positionV>
              <wp:extent cx="7560945" cy="273050"/>
              <wp:effectExtent l="0" t="0" r="0" b="12700"/>
              <wp:wrapNone/>
              <wp:docPr id="27795" name="Text Box 27795"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B90FC9" w14:textId="77777777" w:rsidR="008B2E27" w:rsidRPr="007E53BD" w:rsidRDefault="008B2E27"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176EA252" id="Text Box 27795" o:spid="_x0000_s1081" type="#_x0000_t202" alt="{&quot;HashCode&quot;:-1267603503,&quot;Height&quot;:841.0,&quot;Width&quot;:595.0,&quot;Placement&quot;:&quot;Footer&quot;,&quot;Index&quot;:&quot;Primary&quot;,&quot;Section&quot;:11,&quot;Top&quot;:0.0,&quot;Left&quot;:0.0}" style="position:absolute;margin-left:0;margin-top:805.4pt;width:595.35pt;height:21.5pt;z-index:25165829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Ew3wVwdAgAALQQAAA4AAAAAAAAAAAAAAAAALgIAAGRycy9lMm9Eb2MueG1sUEsB&#10;Ai0AFAAGAAgAAAAhAANaherfAAAACwEAAA8AAAAAAAAAAAAAAAAAdwQAAGRycy9kb3ducmV2Lnht&#10;bFBLBQYAAAAABAAEAPMAAACDBQAAAAA=&#10;" o:allowincell="f" filled="f" stroked="f" strokeweight=".5pt">
              <v:textbox inset="20pt,0,,0">
                <w:txbxContent>
                  <w:p w14:paraId="7BB90FC9" w14:textId="77777777" w:rsidR="008B2E27" w:rsidRPr="007E53BD" w:rsidRDefault="008B2E27"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sidR="008B2E27">
      <w:rPr>
        <w:noProof/>
        <w:color w:val="808080" w:themeColor="background1" w:themeShade="80"/>
        <w:szCs w:val="15"/>
        <w:lang w:eastAsia="en-AU"/>
      </w:rPr>
      <mc:AlternateContent>
        <mc:Choice Requires="wps">
          <w:drawing>
            <wp:anchor distT="0" distB="0" distL="114300" distR="114300" simplePos="0" relativeHeight="251658292" behindDoc="0" locked="0" layoutInCell="0" allowOverlap="1" wp14:anchorId="19B1A311" wp14:editId="4EC99213">
              <wp:simplePos x="0" y="0"/>
              <wp:positionH relativeFrom="page">
                <wp:posOffset>0</wp:posOffset>
              </wp:positionH>
              <wp:positionV relativeFrom="page">
                <wp:posOffset>10228580</wp:posOffset>
              </wp:positionV>
              <wp:extent cx="7560945" cy="273050"/>
              <wp:effectExtent l="0" t="0" r="0" b="12700"/>
              <wp:wrapNone/>
              <wp:docPr id="27796" name="Text Box 27796"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DC675B" w14:textId="77777777" w:rsidR="008B2E27" w:rsidRPr="006E4028" w:rsidRDefault="008B2E27"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19B1A311" id="Text Box 27796" o:spid="_x0000_s1082" type="#_x0000_t202" alt="{&quot;HashCode&quot;:-1267603503,&quot;Height&quot;:841.0,&quot;Width&quot;:595.0,&quot;Placement&quot;:&quot;Footer&quot;,&quot;Index&quot;:&quot;Primary&quot;,&quot;Section&quot;:11,&quot;Top&quot;:0.0,&quot;Left&quot;:0.0}" style="position:absolute;margin-left:0;margin-top:805.4pt;width:595.35pt;height:21.5pt;z-index:2516582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anZHgIAAC0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lXQ2HRbZQXXC/Rz01HvL1wqH&#10;2DAfnplDrnEl1G94wkNqwGZwtiipwf34mz/mIwUYpaRF7ZTUfz8wJyjRXw2SM5lN8zyqLd3QcMm4&#10;HU+neNkNXnNo7gF1OcYnYnkyY27QgykdNK+o71VshyFmODYt6W4w70MvZXwfXKxWKQl1ZVnYmK3l&#10;sXRELWL70r0yZ88EBKTuEQZ5seIdD31uj/fqEECqRFJEuIfzDDxqMnF3fj9R9L/eU9bllS9/Ag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A3YanZHgIAAC0EAAAOAAAAAAAAAAAAAAAAAC4CAABkcnMvZTJvRG9jLnhtbFBL&#10;AQItABQABgAIAAAAIQADWoXq3wAAAAsBAAAPAAAAAAAAAAAAAAAAAHgEAABkcnMvZG93bnJldi54&#10;bWxQSwUGAAAAAAQABADzAAAAhAUAAAAA&#10;" o:allowincell="f" filled="f" stroked="f" strokeweight=".5pt">
              <v:textbox inset="20pt,0,,0">
                <w:txbxContent>
                  <w:p w14:paraId="52DC675B" w14:textId="77777777" w:rsidR="008B2E27" w:rsidRPr="006E4028" w:rsidRDefault="008B2E27"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693070699"/>
        <w:dataBinding w:prefixMappings="xmlns:ns0='http://purl.org/dc/elements/1.1/' xmlns:ns1='http://schemas.openxmlformats.org/package/2006/metadata/core-properties' " w:xpath="/ns1:coreProperties[1]/ns0:title[1]" w:storeItemID="{6C3C8BC8-F283-45AE-878A-BAB7291924A1}"/>
        <w:text/>
      </w:sdtPr>
      <w:sdtContent>
        <w:r w:rsidR="008B2E27" w:rsidRPr="00285FE4">
          <w:rPr>
            <w:color w:val="808080" w:themeColor="background1" w:themeShade="80"/>
            <w:szCs w:val="15"/>
            <w:lang w:eastAsia="en-AU"/>
          </w:rPr>
          <w:t>Building Reform: Paper Two</w:t>
        </w:r>
      </w:sdtContent>
    </w:sdt>
    <w:r w:rsidR="008B2E27" w:rsidRPr="00285FE4">
      <w:rPr>
        <w:color w:val="808080" w:themeColor="background1" w:themeShade="80"/>
        <w:szCs w:val="15"/>
        <w:lang w:eastAsia="en-AU"/>
      </w:rPr>
      <w:t xml:space="preserve"> | Expert Panel on Building Reform</w:t>
    </w:r>
    <w:r w:rsidR="008B2E27" w:rsidRPr="00285FE4">
      <w:rPr>
        <w:rFonts w:cs="Segoe UI"/>
        <w:color w:val="A5A5A5"/>
        <w:szCs w:val="15"/>
      </w:rPr>
      <w:ptab w:relativeTo="margin" w:alignment="right" w:leader="none"/>
    </w:r>
    <w:r w:rsidR="008B2E27" w:rsidRPr="00285FE4">
      <w:rPr>
        <w:rFonts w:cs="Segoe UI"/>
        <w:color w:val="A5A5A5"/>
        <w:szCs w:val="15"/>
      </w:rPr>
      <w:t>|</w:t>
    </w:r>
    <w:r w:rsidR="008B2E27" w:rsidRPr="00285FE4">
      <w:rPr>
        <w:rFonts w:cs="Segoe UI"/>
        <w:color w:val="808080" w:themeColor="background1" w:themeShade="80"/>
        <w:szCs w:val="15"/>
      </w:rPr>
      <w:t xml:space="preserve"> </w:t>
    </w:r>
    <w:r w:rsidR="008B2E27">
      <w:rPr>
        <w:rFonts w:cs="Segoe UI"/>
        <w:color w:val="808080" w:themeColor="background1" w:themeShade="80"/>
        <w:szCs w:val="15"/>
      </w:rPr>
      <w:t>17</w:t>
    </w:r>
    <w:r w:rsidR="008B2E27" w:rsidRPr="00285FE4">
      <w:rPr>
        <w:rFonts w:cs="Segoe UI"/>
        <w:b/>
        <w:color w:val="808080" w:themeColor="background1" w:themeShade="80"/>
        <w:szCs w:val="15"/>
      </w:rPr>
      <w:t xml:space="preserve"> </w:t>
    </w:r>
    <w:r w:rsidR="008B2E27" w:rsidRPr="00285FE4">
      <w:rPr>
        <w:rFonts w:cs="Segoe UI"/>
        <w:color w:val="A5A5A5"/>
        <w:szCs w:val="15"/>
      </w:rPr>
      <w: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AA67C" w14:textId="6124427D" w:rsidR="008B2E27" w:rsidRPr="00285FE4" w:rsidRDefault="005601F0"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1" relativeHeight="251658439" behindDoc="0" locked="0" layoutInCell="0" allowOverlap="1" wp14:anchorId="471793AB" wp14:editId="37515778">
              <wp:simplePos x="0" y="10228818"/>
              <wp:positionH relativeFrom="page">
                <wp:posOffset>0</wp:posOffset>
              </wp:positionH>
              <wp:positionV relativeFrom="page">
                <wp:posOffset>10228580</wp:posOffset>
              </wp:positionV>
              <wp:extent cx="7560945" cy="273050"/>
              <wp:effectExtent l="0" t="0" r="0" b="12700"/>
              <wp:wrapNone/>
              <wp:docPr id="27783" name="Text Box 27783" descr="{&quot;HashCode&quot;:-1267603503,&quot;Height&quot;:841.0,&quot;Width&quot;:595.0,&quot;Placement&quot;:&quot;Foot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E383CF" w14:textId="49E8D543" w:rsidR="005601F0" w:rsidRPr="005601F0" w:rsidRDefault="005601F0" w:rsidP="005601F0">
                          <w:pPr>
                            <w:spacing w:after="0"/>
                            <w:rPr>
                              <w:rFonts w:ascii="Calibri" w:hAnsi="Calibri" w:cs="Calibri"/>
                              <w:color w:val="000000"/>
                            </w:rPr>
                          </w:pPr>
                          <w:r w:rsidRPr="005601F0">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71793AB" id="_x0000_t202" coordsize="21600,21600" o:spt="202" path="m,l,21600r21600,l21600,xe">
              <v:stroke joinstyle="miter"/>
              <v:path gradientshapeok="t" o:connecttype="rect"/>
            </v:shapetype>
            <v:shape id="Text Box 27783" o:spid="_x0000_s1083" type="#_x0000_t202" alt="{&quot;HashCode&quot;:-1267603503,&quot;Height&quot;:841.0,&quot;Width&quot;:595.0,&quot;Placement&quot;:&quot;Footer&quot;,&quot;Index&quot;:&quot;Primary&quot;,&quot;Section&quot;:14,&quot;Top&quot;:0.0,&quot;Left&quot;:0.0}" style="position:absolute;margin-left:0;margin-top:805.4pt;width:595.35pt;height:21.5pt;z-index:25165843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CkEpxkHgIAAC0EAAAOAAAAAAAAAAAAAAAAAC4CAABkcnMvZTJvRG9jLnhtbFBL&#10;AQItABQABgAIAAAAIQADWoXq3wAAAAsBAAAPAAAAAAAAAAAAAAAAAHgEAABkcnMvZG93bnJldi54&#10;bWxQSwUGAAAAAAQABADzAAAAhAUAAAAA&#10;" o:allowincell="f" filled="f" stroked="f" strokeweight=".5pt">
              <v:textbox inset="20pt,0,,0">
                <w:txbxContent>
                  <w:p w14:paraId="75E383CF" w14:textId="49E8D543" w:rsidR="005601F0" w:rsidRPr="005601F0" w:rsidRDefault="005601F0" w:rsidP="005601F0">
                    <w:pPr>
                      <w:spacing w:after="0"/>
                      <w:rPr>
                        <w:rFonts w:ascii="Calibri" w:hAnsi="Calibri" w:cs="Calibri"/>
                        <w:color w:val="000000"/>
                      </w:rPr>
                    </w:pPr>
                    <w:r w:rsidRPr="005601F0">
                      <w:rPr>
                        <w:rFonts w:ascii="Calibri" w:hAnsi="Calibri" w:cs="Calibri"/>
                        <w:color w:val="000000"/>
                      </w:rPr>
                      <w:t>OFFICIAL</w:t>
                    </w:r>
                  </w:p>
                </w:txbxContent>
              </v:textbox>
              <w10:wrap anchorx="page" anchory="page"/>
            </v:shape>
          </w:pict>
        </mc:Fallback>
      </mc:AlternateContent>
    </w:r>
    <w:r w:rsidR="008B2E27">
      <w:rPr>
        <w:noProof/>
        <w:color w:val="808080" w:themeColor="background1" w:themeShade="80"/>
        <w:szCs w:val="15"/>
        <w:lang w:eastAsia="en-AU"/>
      </w:rPr>
      <mc:AlternateContent>
        <mc:Choice Requires="wps">
          <w:drawing>
            <wp:anchor distT="0" distB="0" distL="114300" distR="114300" simplePos="0" relativeHeight="251658297" behindDoc="0" locked="0" layoutInCell="0" allowOverlap="1" wp14:anchorId="25A196C0" wp14:editId="432103F7">
              <wp:simplePos x="0" y="0"/>
              <wp:positionH relativeFrom="page">
                <wp:posOffset>0</wp:posOffset>
              </wp:positionH>
              <wp:positionV relativeFrom="page">
                <wp:posOffset>10228580</wp:posOffset>
              </wp:positionV>
              <wp:extent cx="7560945" cy="273050"/>
              <wp:effectExtent l="0" t="0" r="0" b="12700"/>
              <wp:wrapNone/>
              <wp:docPr id="27797" name="Text Box 27797"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6BF73D" w14:textId="77777777" w:rsidR="008B2E27" w:rsidRPr="003C2FDB" w:rsidRDefault="008B2E27"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25A196C0" id="Text Box 27797" o:spid="_x0000_s1084" type="#_x0000_t202" alt="{&quot;HashCode&quot;:-1267603503,&quot;Height&quot;:841.0,&quot;Width&quot;:595.0,&quot;Placement&quot;:&quot;Footer&quot;,&quot;Index&quot;:&quot;Primary&quot;,&quot;Section&quot;:11,&quot;Top&quot;:0.0,&quot;Left&quot;:0.0}" style="position:absolute;margin-left:0;margin-top:805.4pt;width:595.35pt;height:21.5pt;z-index:25165829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J4HgIAAC0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lXQ2HxbZQXXC/Rz01HvL1wqH&#10;2DAfnplDrnEl1G94wkNqwGZwtiipwf34mz/mIwUYpaRF7ZTUfz8wJyjRXw2SM5lN8zyqLd3QcMm4&#10;HU+neNkNXnNo7gF1OcYnYnkyY27QgykdNK+o71VshyFmODYt6W4w70MvZXwfXKxWKQl1ZVnYmK3l&#10;sXRELWL70r0yZ88EBKTuEQZ5seIdD31uj/fqEECqRFJEuIfzDDxqMnF3fj9R9L/eU9bllS9/Ag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QgLJ4HgIAAC0EAAAOAAAAAAAAAAAAAAAAAC4CAABkcnMvZTJvRG9jLnhtbFBL&#10;AQItABQABgAIAAAAIQADWoXq3wAAAAsBAAAPAAAAAAAAAAAAAAAAAHgEAABkcnMvZG93bnJldi54&#10;bWxQSwUGAAAAAAQABADzAAAAhAUAAAAA&#10;" o:allowincell="f" filled="f" stroked="f" strokeweight=".5pt">
              <v:textbox inset="20pt,0,,0">
                <w:txbxContent>
                  <w:p w14:paraId="266BF73D" w14:textId="77777777" w:rsidR="008B2E27" w:rsidRPr="003C2FDB" w:rsidRDefault="008B2E27"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sidR="008B2E27">
      <w:rPr>
        <w:noProof/>
        <w:color w:val="808080" w:themeColor="background1" w:themeShade="80"/>
        <w:szCs w:val="15"/>
        <w:lang w:eastAsia="en-AU"/>
      </w:rPr>
      <mc:AlternateContent>
        <mc:Choice Requires="wps">
          <w:drawing>
            <wp:anchor distT="0" distB="0" distL="114300" distR="114300" simplePos="0" relativeHeight="251658296" behindDoc="0" locked="0" layoutInCell="0" allowOverlap="1" wp14:anchorId="64A1E7C1" wp14:editId="3244CCD4">
              <wp:simplePos x="0" y="0"/>
              <wp:positionH relativeFrom="page">
                <wp:posOffset>0</wp:posOffset>
              </wp:positionH>
              <wp:positionV relativeFrom="page">
                <wp:posOffset>10228580</wp:posOffset>
              </wp:positionV>
              <wp:extent cx="7560945" cy="273050"/>
              <wp:effectExtent l="0" t="0" r="0" b="12700"/>
              <wp:wrapNone/>
              <wp:docPr id="27798" name="Text Box 27798"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48CFE9" w14:textId="77777777" w:rsidR="008B2E27" w:rsidRPr="007E53BD" w:rsidRDefault="008B2E27"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4A1E7C1" id="Text Box 27798" o:spid="_x0000_s1085" type="#_x0000_t202" alt="{&quot;HashCode&quot;:-1267603503,&quot;Height&quot;:841.0,&quot;Width&quot;:595.0,&quot;Placement&quot;:&quot;Footer&quot;,&quot;Index&quot;:&quot;Primary&quot;,&quot;Section&quot;:11,&quot;Top&quot;:0.0,&quot;Left&quot;:0.0}" style="position:absolute;margin-left:0;margin-top:805.4pt;width:595.35pt;height:21.5pt;z-index:2516582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D84fFHgIAAC0EAAAOAAAAAAAAAAAAAAAAAC4CAABkcnMvZTJvRG9jLnhtbFBL&#10;AQItABQABgAIAAAAIQADWoXq3wAAAAsBAAAPAAAAAAAAAAAAAAAAAHgEAABkcnMvZG93bnJldi54&#10;bWxQSwUGAAAAAAQABADzAAAAhAUAAAAA&#10;" o:allowincell="f" filled="f" stroked="f" strokeweight=".5pt">
              <v:textbox inset="20pt,0,,0">
                <w:txbxContent>
                  <w:p w14:paraId="5D48CFE9" w14:textId="77777777" w:rsidR="008B2E27" w:rsidRPr="007E53BD" w:rsidRDefault="008B2E27"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sidR="008B2E27">
      <w:rPr>
        <w:noProof/>
        <w:color w:val="808080" w:themeColor="background1" w:themeShade="80"/>
        <w:szCs w:val="15"/>
        <w:lang w:eastAsia="en-AU"/>
      </w:rPr>
      <mc:AlternateContent>
        <mc:Choice Requires="wps">
          <w:drawing>
            <wp:anchor distT="0" distB="0" distL="114300" distR="114300" simplePos="0" relativeHeight="251658295" behindDoc="0" locked="0" layoutInCell="0" allowOverlap="1" wp14:anchorId="1472A235" wp14:editId="0CC57FC8">
              <wp:simplePos x="0" y="0"/>
              <wp:positionH relativeFrom="page">
                <wp:posOffset>0</wp:posOffset>
              </wp:positionH>
              <wp:positionV relativeFrom="page">
                <wp:posOffset>10228580</wp:posOffset>
              </wp:positionV>
              <wp:extent cx="7560945" cy="273050"/>
              <wp:effectExtent l="0" t="0" r="0" b="12700"/>
              <wp:wrapNone/>
              <wp:docPr id="27799" name="Text Box 27799"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F9A873" w14:textId="77777777" w:rsidR="008B2E27" w:rsidRPr="006E4028" w:rsidRDefault="008B2E27"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1472A235" id="Text Box 27799" o:spid="_x0000_s1086" type="#_x0000_t202" alt="{&quot;HashCode&quot;:-1267603503,&quot;Height&quot;:841.0,&quot;Width&quot;:595.0,&quot;Placement&quot;:&quot;Footer&quot;,&quot;Index&quot;:&quot;Primary&quot;,&quot;Section&quot;:11,&quot;Top&quot;:0.0,&quot;Left&quot;:0.0}" style="position:absolute;margin-left:0;margin-top:805.4pt;width:595.35pt;height:21.5pt;z-index:25165829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nKhOpHgIAAC0EAAAOAAAAAAAAAAAAAAAAAC4CAABkcnMvZTJvRG9jLnhtbFBL&#10;AQItABQABgAIAAAAIQADWoXq3wAAAAsBAAAPAAAAAAAAAAAAAAAAAHgEAABkcnMvZG93bnJldi54&#10;bWxQSwUGAAAAAAQABADzAAAAhAUAAAAA&#10;" o:allowincell="f" filled="f" stroked="f" strokeweight=".5pt">
              <v:textbox inset="20pt,0,,0">
                <w:txbxContent>
                  <w:p w14:paraId="01F9A873" w14:textId="77777777" w:rsidR="008B2E27" w:rsidRPr="006E4028" w:rsidRDefault="008B2E27"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923075488"/>
        <w:dataBinding w:prefixMappings="xmlns:ns0='http://purl.org/dc/elements/1.1/' xmlns:ns1='http://schemas.openxmlformats.org/package/2006/metadata/core-properties' " w:xpath="/ns1:coreProperties[1]/ns0:title[1]" w:storeItemID="{6C3C8BC8-F283-45AE-878A-BAB7291924A1}"/>
        <w:text/>
      </w:sdtPr>
      <w:sdtContent>
        <w:r w:rsidR="008B2E27" w:rsidRPr="00285FE4">
          <w:rPr>
            <w:color w:val="808080" w:themeColor="background1" w:themeShade="80"/>
            <w:szCs w:val="15"/>
            <w:lang w:eastAsia="en-AU"/>
          </w:rPr>
          <w:t>Building Reform: Paper Two</w:t>
        </w:r>
      </w:sdtContent>
    </w:sdt>
    <w:r w:rsidR="008B2E27" w:rsidRPr="00285FE4">
      <w:rPr>
        <w:color w:val="808080" w:themeColor="background1" w:themeShade="80"/>
        <w:szCs w:val="15"/>
        <w:lang w:eastAsia="en-AU"/>
      </w:rPr>
      <w:t xml:space="preserve"> | Expert Panel on Building Reform</w:t>
    </w:r>
    <w:r w:rsidR="008B2E27" w:rsidRPr="00285FE4">
      <w:rPr>
        <w:rFonts w:cs="Segoe UI"/>
        <w:color w:val="A5A5A5"/>
        <w:szCs w:val="15"/>
      </w:rPr>
      <w:ptab w:relativeTo="margin" w:alignment="right" w:leader="none"/>
    </w:r>
    <w:r w:rsidR="008B2E27" w:rsidRPr="00285FE4">
      <w:rPr>
        <w:rFonts w:cs="Segoe UI"/>
        <w:color w:val="A5A5A5"/>
        <w:szCs w:val="15"/>
      </w:rPr>
      <w:t>|</w:t>
    </w:r>
    <w:r w:rsidR="008B2E27" w:rsidRPr="00285FE4">
      <w:rPr>
        <w:rFonts w:cs="Segoe UI"/>
        <w:color w:val="808080" w:themeColor="background1" w:themeShade="80"/>
        <w:szCs w:val="15"/>
      </w:rPr>
      <w:t xml:space="preserve"> </w:t>
    </w:r>
    <w:r w:rsidR="008B2E27">
      <w:rPr>
        <w:rFonts w:cs="Segoe UI"/>
        <w:color w:val="808080" w:themeColor="background1" w:themeShade="80"/>
        <w:szCs w:val="15"/>
      </w:rPr>
      <w:t>18</w:t>
    </w:r>
    <w:r w:rsidR="008B2E27" w:rsidRPr="00285FE4">
      <w:rPr>
        <w:rFonts w:cs="Segoe UI"/>
        <w:b/>
        <w:color w:val="808080" w:themeColor="background1" w:themeShade="80"/>
        <w:szCs w:val="15"/>
      </w:rPr>
      <w:t xml:space="preserve"> </w:t>
    </w:r>
    <w:r w:rsidR="008B2E27" w:rsidRPr="00285FE4">
      <w:rPr>
        <w:rFonts w:cs="Segoe UI"/>
        <w:color w:val="A5A5A5"/>
        <w:szCs w:val="15"/>
      </w:rPr>
      <w: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E09AE" w14:textId="6AABAAAA" w:rsidR="00854E9D" w:rsidRPr="00285FE4" w:rsidRDefault="005601F0"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0" relativeHeight="251658440" behindDoc="0" locked="0" layoutInCell="0" allowOverlap="1" wp14:anchorId="56BF19B8" wp14:editId="756C46A2">
              <wp:simplePos x="0" y="0"/>
              <wp:positionH relativeFrom="page">
                <wp:posOffset>0</wp:posOffset>
              </wp:positionH>
              <wp:positionV relativeFrom="page">
                <wp:posOffset>10228580</wp:posOffset>
              </wp:positionV>
              <wp:extent cx="7560945" cy="273050"/>
              <wp:effectExtent l="0" t="0" r="0" b="12700"/>
              <wp:wrapNone/>
              <wp:docPr id="35" name="Text Box 35" descr="{&quot;HashCode&quot;:-1267603503,&quot;Height&quot;:841.0,&quot;Width&quot;:595.0,&quot;Placement&quot;:&quot;Foot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486ABD" w14:textId="6F7670A2" w:rsidR="005601F0" w:rsidRPr="005601F0" w:rsidRDefault="005601F0" w:rsidP="005601F0">
                          <w:pPr>
                            <w:spacing w:after="0"/>
                            <w:rPr>
                              <w:rFonts w:ascii="Calibri" w:hAnsi="Calibri" w:cs="Calibri"/>
                              <w:color w:val="000000"/>
                            </w:rPr>
                          </w:pPr>
                          <w:r w:rsidRPr="005601F0">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6BF19B8" id="_x0000_t202" coordsize="21600,21600" o:spt="202" path="m,l,21600r21600,l21600,xe">
              <v:stroke joinstyle="miter"/>
              <v:path gradientshapeok="t" o:connecttype="rect"/>
            </v:shapetype>
            <v:shape id="Text Box 35" o:spid="_x0000_s1087" type="#_x0000_t202" alt="{&quot;HashCode&quot;:-1267603503,&quot;Height&quot;:841.0,&quot;Width&quot;:595.0,&quot;Placement&quot;:&quot;Footer&quot;,&quot;Index&quot;:&quot;Primary&quot;,&quot;Section&quot;:17,&quot;Top&quot;:0.0,&quot;Left&quot;:0.0}" style="position:absolute;margin-left:0;margin-top:805.4pt;width:595.35pt;height:21.5pt;z-index:2516584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0WSYUHgIAAC0EAAAOAAAAAAAAAAAAAAAAAC4CAABkcnMvZTJvRG9jLnhtbFBL&#10;AQItABQABgAIAAAAIQADWoXq3wAAAAsBAAAPAAAAAAAAAAAAAAAAAHgEAABkcnMvZG93bnJldi54&#10;bWxQSwUGAAAAAAQABADzAAAAhAUAAAAA&#10;" o:allowincell="f" filled="f" stroked="f" strokeweight=".5pt">
              <v:textbox inset="20pt,0,,0">
                <w:txbxContent>
                  <w:p w14:paraId="7F486ABD" w14:textId="6F7670A2" w:rsidR="005601F0" w:rsidRPr="005601F0" w:rsidRDefault="005601F0" w:rsidP="005601F0">
                    <w:pPr>
                      <w:spacing w:after="0"/>
                      <w:rPr>
                        <w:rFonts w:ascii="Calibri" w:hAnsi="Calibri" w:cs="Calibri"/>
                        <w:color w:val="000000"/>
                      </w:rPr>
                    </w:pPr>
                    <w:r w:rsidRPr="005601F0">
                      <w:rPr>
                        <w:rFonts w:ascii="Calibri" w:hAnsi="Calibri" w:cs="Calibri"/>
                        <w:color w:val="000000"/>
                      </w:rPr>
                      <w:t>OFFICIAL</w:t>
                    </w:r>
                  </w:p>
                </w:txbxContent>
              </v:textbox>
              <w10:wrap anchorx="page" anchory="page"/>
            </v:shape>
          </w:pict>
        </mc:Fallback>
      </mc:AlternateContent>
    </w:r>
    <w:r w:rsidR="00854E9D">
      <w:rPr>
        <w:noProof/>
        <w:color w:val="808080" w:themeColor="background1" w:themeShade="80"/>
        <w:szCs w:val="15"/>
        <w:lang w:eastAsia="en-AU"/>
      </w:rPr>
      <mc:AlternateContent>
        <mc:Choice Requires="wps">
          <w:drawing>
            <wp:anchor distT="0" distB="0" distL="114300" distR="114300" simplePos="0" relativeHeight="251658270" behindDoc="0" locked="0" layoutInCell="0" allowOverlap="1" wp14:anchorId="6705FD39" wp14:editId="6BD06991">
              <wp:simplePos x="0" y="0"/>
              <wp:positionH relativeFrom="page">
                <wp:posOffset>0</wp:posOffset>
              </wp:positionH>
              <wp:positionV relativeFrom="page">
                <wp:posOffset>10228580</wp:posOffset>
              </wp:positionV>
              <wp:extent cx="7560945" cy="273050"/>
              <wp:effectExtent l="0" t="0" r="0" b="12700"/>
              <wp:wrapNone/>
              <wp:docPr id="37" name="Text Box 37"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BA4C55" w14:textId="77777777" w:rsidR="00854E9D" w:rsidRPr="003C2FDB" w:rsidRDefault="00854E9D"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705FD39" id="Text Box 37" o:spid="_x0000_s1088" type="#_x0000_t202" alt="{&quot;HashCode&quot;:-1267603503,&quot;Height&quot;:841.0,&quot;Width&quot;:595.0,&quot;Placement&quot;:&quot;Footer&quot;,&quot;Index&quot;:&quot;Primary&quot;,&quot;Section&quot;:11,&quot;Top&quot;:0.0,&quot;Left&quot;:0.0}" style="position:absolute;margin-left:0;margin-top:805.4pt;width:595.35pt;height:21.5pt;z-index:25165827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" o:allowincell="f" filled="f" stroked="f" strokeweight=".5pt">
              <v:textbox inset="20pt,0,,0">
                <w:txbxContent>
                  <w:p w14:paraId="60BA4C55" w14:textId="77777777" w:rsidR="00854E9D" w:rsidRPr="003C2FDB" w:rsidRDefault="00854E9D"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sidR="00854E9D">
      <w:rPr>
        <w:noProof/>
        <w:color w:val="808080" w:themeColor="background1" w:themeShade="80"/>
        <w:szCs w:val="15"/>
        <w:lang w:eastAsia="en-AU"/>
      </w:rPr>
      <mc:AlternateContent>
        <mc:Choice Requires="wps">
          <w:drawing>
            <wp:anchor distT="0" distB="0" distL="114300" distR="114300" simplePos="0" relativeHeight="251658269" behindDoc="0" locked="0" layoutInCell="0" allowOverlap="1" wp14:anchorId="356EE38D" wp14:editId="7A1C6612">
              <wp:simplePos x="0" y="0"/>
              <wp:positionH relativeFrom="page">
                <wp:posOffset>0</wp:posOffset>
              </wp:positionH>
              <wp:positionV relativeFrom="page">
                <wp:posOffset>10228580</wp:posOffset>
              </wp:positionV>
              <wp:extent cx="7560945" cy="273050"/>
              <wp:effectExtent l="0" t="0" r="0" b="12700"/>
              <wp:wrapNone/>
              <wp:docPr id="39" name="Text Box 39"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A5E5A5" w14:textId="77777777" w:rsidR="00854E9D" w:rsidRPr="007E53BD" w:rsidRDefault="00854E9D"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356EE38D" id="Text Box 39" o:spid="_x0000_s1089" type="#_x0000_t202" alt="{&quot;HashCode&quot;:-1267603503,&quot;Height&quot;:841.0,&quot;Width&quot;:595.0,&quot;Placement&quot;:&quot;Footer&quot;,&quot;Index&quot;:&quot;Primary&quot;,&quot;Section&quot;:11,&quot;Top&quot;:0.0,&quot;Left&quot;:0.0}" style="position:absolute;margin-left:0;margin-top:805.4pt;width:595.35pt;height:21.5pt;z-index:25165826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" o:allowincell="f" filled="f" stroked="f" strokeweight=".5pt">
              <v:textbox inset="20pt,0,,0">
                <w:txbxContent>
                  <w:p w14:paraId="73A5E5A5" w14:textId="77777777" w:rsidR="00854E9D" w:rsidRPr="007E53BD" w:rsidRDefault="00854E9D"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sidR="00854E9D">
      <w:rPr>
        <w:noProof/>
        <w:color w:val="808080" w:themeColor="background1" w:themeShade="80"/>
        <w:szCs w:val="15"/>
        <w:lang w:eastAsia="en-AU"/>
      </w:rPr>
      <mc:AlternateContent>
        <mc:Choice Requires="wps">
          <w:drawing>
            <wp:anchor distT="0" distB="0" distL="114300" distR="114300" simplePos="0" relativeHeight="251658268" behindDoc="0" locked="0" layoutInCell="0" allowOverlap="1" wp14:anchorId="2E84B62E" wp14:editId="344DBD15">
              <wp:simplePos x="0" y="0"/>
              <wp:positionH relativeFrom="page">
                <wp:posOffset>0</wp:posOffset>
              </wp:positionH>
              <wp:positionV relativeFrom="page">
                <wp:posOffset>10228580</wp:posOffset>
              </wp:positionV>
              <wp:extent cx="7560945" cy="273050"/>
              <wp:effectExtent l="0" t="0" r="0" b="12700"/>
              <wp:wrapNone/>
              <wp:docPr id="40" name="Text Box 40"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F3F958" w14:textId="77777777" w:rsidR="00854E9D" w:rsidRPr="006E4028" w:rsidRDefault="00854E9D"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2E84B62E" id="Text Box 40" o:spid="_x0000_s1090" type="#_x0000_t202" alt="{&quot;HashCode&quot;:-1267603503,&quot;Height&quot;:841.0,&quot;Width&quot;:595.0,&quot;Placement&quot;:&quot;Footer&quot;,&quot;Index&quot;:&quot;Primary&quot;,&quot;Section&quot;:11,&quot;Top&quot;:0.0,&quot;Left&quot;:0.0}" style="position:absolute;margin-left:0;margin-top:805.4pt;width:595.35pt;height:21.5pt;z-index:2516582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EhcOFsdAgAALQQAAA4AAAAAAAAAAAAAAAAALgIAAGRycy9lMm9Eb2MueG1sUEsB&#10;Ai0AFAAGAAgAAAAhAANaherfAAAACwEAAA8AAAAAAAAAAAAAAAAAdwQAAGRycy9kb3ducmV2Lnht&#10;bFBLBQYAAAAABAAEAPMAAACDBQAAAAA=&#10;" o:allowincell="f" filled="f" stroked="f" strokeweight=".5pt">
              <v:textbox inset="20pt,0,,0">
                <w:txbxContent>
                  <w:p w14:paraId="33F3F958" w14:textId="77777777" w:rsidR="00854E9D" w:rsidRPr="006E4028" w:rsidRDefault="00854E9D"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1849986152"/>
        <w:dataBinding w:prefixMappings="xmlns:ns0='http://purl.org/dc/elements/1.1/' xmlns:ns1='http://schemas.openxmlformats.org/package/2006/metadata/core-properties' " w:xpath="/ns1:coreProperties[1]/ns0:title[1]" w:storeItemID="{6C3C8BC8-F283-45AE-878A-BAB7291924A1}"/>
        <w:text/>
      </w:sdtPr>
      <w:sdtContent>
        <w:r w:rsidR="00854E9D" w:rsidRPr="00285FE4">
          <w:rPr>
            <w:color w:val="808080" w:themeColor="background1" w:themeShade="80"/>
            <w:szCs w:val="15"/>
            <w:lang w:eastAsia="en-AU"/>
          </w:rPr>
          <w:t>Building Reform: Paper Two</w:t>
        </w:r>
      </w:sdtContent>
    </w:sdt>
    <w:r w:rsidR="00854E9D" w:rsidRPr="00285FE4">
      <w:rPr>
        <w:color w:val="808080" w:themeColor="background1" w:themeShade="80"/>
        <w:szCs w:val="15"/>
        <w:lang w:eastAsia="en-AU"/>
      </w:rPr>
      <w:t xml:space="preserve"> | Expert Panel on Building Reform</w:t>
    </w:r>
    <w:r w:rsidR="00854E9D" w:rsidRPr="00285FE4">
      <w:rPr>
        <w:rFonts w:cs="Segoe UI"/>
        <w:color w:val="A5A5A5"/>
        <w:szCs w:val="15"/>
      </w:rPr>
      <w:ptab w:relativeTo="margin" w:alignment="right" w:leader="none"/>
    </w:r>
    <w:r w:rsidR="00854E9D" w:rsidRPr="00285FE4">
      <w:rPr>
        <w:rFonts w:cs="Segoe UI"/>
        <w:color w:val="A5A5A5"/>
        <w:szCs w:val="15"/>
      </w:rPr>
      <w:t>|</w:t>
    </w:r>
    <w:r w:rsidR="00854E9D" w:rsidRPr="00285FE4">
      <w:rPr>
        <w:rFonts w:cs="Segoe UI"/>
        <w:color w:val="808080" w:themeColor="background1" w:themeShade="80"/>
        <w:szCs w:val="15"/>
      </w:rPr>
      <w:t xml:space="preserve"> </w:t>
    </w:r>
    <w:r w:rsidR="00A31025">
      <w:rPr>
        <w:rFonts w:cs="Segoe UI"/>
        <w:color w:val="808080" w:themeColor="background1" w:themeShade="80"/>
        <w:szCs w:val="15"/>
      </w:rPr>
      <w:t>19</w:t>
    </w:r>
    <w:r w:rsidR="00854E9D" w:rsidRPr="00285FE4">
      <w:rPr>
        <w:rFonts w:cs="Segoe UI"/>
        <w:b/>
        <w:color w:val="808080" w:themeColor="background1" w:themeShade="80"/>
        <w:szCs w:val="15"/>
      </w:rPr>
      <w:t xml:space="preserve"> </w:t>
    </w:r>
    <w:r w:rsidR="00854E9D" w:rsidRPr="00285FE4">
      <w:rPr>
        <w:rFonts w:cs="Segoe UI"/>
        <w:color w:val="A5A5A5"/>
        <w:szCs w:val="15"/>
      </w:rPr>
      <w: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5FBCF" w14:textId="59A424FA" w:rsidR="00A31025" w:rsidRPr="00285FE4" w:rsidRDefault="005601F0"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0" relativeHeight="251658441" behindDoc="0" locked="0" layoutInCell="0" allowOverlap="1" wp14:anchorId="092B6231" wp14:editId="2D01BEE4">
              <wp:simplePos x="0" y="0"/>
              <wp:positionH relativeFrom="page">
                <wp:posOffset>0</wp:posOffset>
              </wp:positionH>
              <wp:positionV relativeFrom="page">
                <wp:posOffset>10228580</wp:posOffset>
              </wp:positionV>
              <wp:extent cx="7560945" cy="273050"/>
              <wp:effectExtent l="0" t="0" r="0" b="12700"/>
              <wp:wrapNone/>
              <wp:docPr id="36" name="Text Box 36" descr="{&quot;HashCode&quot;:-1267603503,&quot;Height&quot;:841.0,&quot;Width&quot;:595.0,&quot;Placement&quot;:&quot;Foot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1EE435" w14:textId="5C565D51" w:rsidR="005601F0" w:rsidRPr="005601F0" w:rsidRDefault="005601F0" w:rsidP="005601F0">
                          <w:pPr>
                            <w:spacing w:after="0"/>
                            <w:rPr>
                              <w:rFonts w:ascii="Calibri" w:hAnsi="Calibri" w:cs="Calibri"/>
                              <w:color w:val="000000"/>
                            </w:rPr>
                          </w:pPr>
                          <w:r w:rsidRPr="005601F0">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92B6231" id="_x0000_t202" coordsize="21600,21600" o:spt="202" path="m,l,21600r21600,l21600,xe">
              <v:stroke joinstyle="miter"/>
              <v:path gradientshapeok="t" o:connecttype="rect"/>
            </v:shapetype>
            <v:shape id="Text Box 36" o:spid="_x0000_s1091" type="#_x0000_t202" alt="{&quot;HashCode&quot;:-1267603503,&quot;Height&quot;:841.0,&quot;Width&quot;:595.0,&quot;Placement&quot;:&quot;Footer&quot;,&quot;Index&quot;:&quot;Primary&quot;,&quot;Section&quot;:19,&quot;Top&quot;:0.0,&quot;Left&quot;:0.0}" style="position:absolute;margin-left:0;margin-top:805.4pt;width:595.35pt;height:21.5pt;z-index:2516584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" o:allowincell="f" filled="f" stroked="f" strokeweight=".5pt">
              <v:textbox inset="20pt,0,,0">
                <w:txbxContent>
                  <w:p w14:paraId="611EE435" w14:textId="5C565D51" w:rsidR="005601F0" w:rsidRPr="005601F0" w:rsidRDefault="005601F0" w:rsidP="005601F0">
                    <w:pPr>
                      <w:spacing w:after="0"/>
                      <w:rPr>
                        <w:rFonts w:ascii="Calibri" w:hAnsi="Calibri" w:cs="Calibri"/>
                        <w:color w:val="000000"/>
                      </w:rPr>
                    </w:pPr>
                    <w:r w:rsidRPr="005601F0">
                      <w:rPr>
                        <w:rFonts w:ascii="Calibri" w:hAnsi="Calibri" w:cs="Calibri"/>
                        <w:color w:val="000000"/>
                      </w:rPr>
                      <w:t>OFFICIAL</w:t>
                    </w:r>
                  </w:p>
                </w:txbxContent>
              </v:textbox>
              <w10:wrap anchorx="page" anchory="page"/>
            </v:shape>
          </w:pict>
        </mc:Fallback>
      </mc:AlternateContent>
    </w:r>
    <w:r w:rsidR="00A31025">
      <w:rPr>
        <w:noProof/>
        <w:color w:val="808080" w:themeColor="background1" w:themeShade="80"/>
        <w:szCs w:val="15"/>
        <w:lang w:eastAsia="en-AU"/>
      </w:rPr>
      <mc:AlternateContent>
        <mc:Choice Requires="wps">
          <w:drawing>
            <wp:anchor distT="0" distB="0" distL="114300" distR="114300" simplePos="0" relativeHeight="251658300" behindDoc="0" locked="0" layoutInCell="0" allowOverlap="1" wp14:anchorId="304A020D" wp14:editId="223D7C00">
              <wp:simplePos x="0" y="0"/>
              <wp:positionH relativeFrom="page">
                <wp:posOffset>0</wp:posOffset>
              </wp:positionH>
              <wp:positionV relativeFrom="page">
                <wp:posOffset>10228580</wp:posOffset>
              </wp:positionV>
              <wp:extent cx="7560945" cy="273050"/>
              <wp:effectExtent l="0" t="0" r="0" b="12700"/>
              <wp:wrapNone/>
              <wp:docPr id="27800" name="Text Box 27800"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576326" w14:textId="77777777" w:rsidR="00A31025" w:rsidRPr="003C2FDB" w:rsidRDefault="00A31025"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304A020D" id="Text Box 27800" o:spid="_x0000_s1092" type="#_x0000_t202" alt="{&quot;HashCode&quot;:-1267603503,&quot;Height&quot;:841.0,&quot;Width&quot;:595.0,&quot;Placement&quot;:&quot;Footer&quot;,&quot;Index&quot;:&quot;Primary&quot;,&quot;Section&quot;:11,&quot;Top&quot;:0.0,&quot;Left&quot;:0.0}" style="position:absolute;margin-left:0;margin-top:805.4pt;width:595.35pt;height:21.5pt;z-index:2516583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KB5ZWMdAgAALQQAAA4AAAAAAAAAAAAAAAAALgIAAGRycy9lMm9Eb2MueG1sUEsB&#10;Ai0AFAAGAAgAAAAhAANaherfAAAACwEAAA8AAAAAAAAAAAAAAAAAdwQAAGRycy9kb3ducmV2Lnht&#10;bFBLBQYAAAAABAAEAPMAAACDBQAAAAA=&#10;" o:allowincell="f" filled="f" stroked="f" strokeweight=".5pt">
              <v:textbox inset="20pt,0,,0">
                <w:txbxContent>
                  <w:p w14:paraId="6A576326" w14:textId="77777777" w:rsidR="00A31025" w:rsidRPr="003C2FDB" w:rsidRDefault="00A31025"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sidR="00A31025">
      <w:rPr>
        <w:noProof/>
        <w:color w:val="808080" w:themeColor="background1" w:themeShade="80"/>
        <w:szCs w:val="15"/>
        <w:lang w:eastAsia="en-AU"/>
      </w:rPr>
      <mc:AlternateContent>
        <mc:Choice Requires="wps">
          <w:drawing>
            <wp:anchor distT="0" distB="0" distL="114300" distR="114300" simplePos="0" relativeHeight="251658299" behindDoc="0" locked="0" layoutInCell="0" allowOverlap="1" wp14:anchorId="2BCAC639" wp14:editId="1D23315B">
              <wp:simplePos x="0" y="0"/>
              <wp:positionH relativeFrom="page">
                <wp:posOffset>0</wp:posOffset>
              </wp:positionH>
              <wp:positionV relativeFrom="page">
                <wp:posOffset>10228580</wp:posOffset>
              </wp:positionV>
              <wp:extent cx="7560945" cy="273050"/>
              <wp:effectExtent l="0" t="0" r="0" b="12700"/>
              <wp:wrapNone/>
              <wp:docPr id="27801" name="Text Box 27801"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17A482" w14:textId="77777777" w:rsidR="00A31025" w:rsidRPr="007E53BD" w:rsidRDefault="00A31025"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2BCAC639" id="Text Box 27801" o:spid="_x0000_s1093" type="#_x0000_t202" alt="{&quot;HashCode&quot;:-1267603503,&quot;Height&quot;:841.0,&quot;Width&quot;:595.0,&quot;Placement&quot;:&quot;Footer&quot;,&quot;Index&quot;:&quot;Primary&quot;,&quot;Section&quot;:11,&quot;Top&quot;:0.0,&quot;Left&quot;:0.0}" style="position:absolute;margin-left:0;margin-top:805.4pt;width:595.35pt;height:21.5pt;z-index:25165829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DMKUN4dAgAALQQAAA4AAAAAAAAAAAAAAAAALgIAAGRycy9lMm9Eb2MueG1sUEsB&#10;Ai0AFAAGAAgAAAAhAANaherfAAAACwEAAA8AAAAAAAAAAAAAAAAAdwQAAGRycy9kb3ducmV2Lnht&#10;bFBLBQYAAAAABAAEAPMAAACDBQAAAAA=&#10;" o:allowincell="f" filled="f" stroked="f" strokeweight=".5pt">
              <v:textbox inset="20pt,0,,0">
                <w:txbxContent>
                  <w:p w14:paraId="1417A482" w14:textId="77777777" w:rsidR="00A31025" w:rsidRPr="007E53BD" w:rsidRDefault="00A31025"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sidR="00A31025">
      <w:rPr>
        <w:noProof/>
        <w:color w:val="808080" w:themeColor="background1" w:themeShade="80"/>
        <w:szCs w:val="15"/>
        <w:lang w:eastAsia="en-AU"/>
      </w:rPr>
      <mc:AlternateContent>
        <mc:Choice Requires="wps">
          <w:drawing>
            <wp:anchor distT="0" distB="0" distL="114300" distR="114300" simplePos="0" relativeHeight="251658298" behindDoc="0" locked="0" layoutInCell="0" allowOverlap="1" wp14:anchorId="6A292FD2" wp14:editId="491C7B3B">
              <wp:simplePos x="0" y="0"/>
              <wp:positionH relativeFrom="page">
                <wp:posOffset>0</wp:posOffset>
              </wp:positionH>
              <wp:positionV relativeFrom="page">
                <wp:posOffset>10228580</wp:posOffset>
              </wp:positionV>
              <wp:extent cx="7560945" cy="273050"/>
              <wp:effectExtent l="0" t="0" r="0" b="12700"/>
              <wp:wrapNone/>
              <wp:docPr id="27802" name="Text Box 27802"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1EE4BB" w14:textId="77777777" w:rsidR="00A31025" w:rsidRPr="006E4028" w:rsidRDefault="00A31025"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A292FD2" id="Text Box 27802" o:spid="_x0000_s1094" type="#_x0000_t202" alt="{&quot;HashCode&quot;:-1267603503,&quot;Height&quot;:841.0,&quot;Width&quot;:595.0,&quot;Placement&quot;:&quot;Footer&quot;,&quot;Index&quot;:&quot;Primary&quot;,&quot;Section&quot;:11,&quot;Top&quot;:0.0,&quot;Left&quot;:0.0}" style="position:absolute;margin-left:0;margin-top:805.4pt;width:595.35pt;height:21.5pt;z-index:25165829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MeYfsIdAgAALQQAAA4AAAAAAAAAAAAAAAAALgIAAGRycy9lMm9Eb2MueG1sUEsB&#10;Ai0AFAAGAAgAAAAhAANaherfAAAACwEAAA8AAAAAAAAAAAAAAAAAdwQAAGRycy9kb3ducmV2Lnht&#10;bFBLBQYAAAAABAAEAPMAAACDBQAAAAA=&#10;" o:allowincell="f" filled="f" stroked="f" strokeweight=".5pt">
              <v:textbox inset="20pt,0,,0">
                <w:txbxContent>
                  <w:p w14:paraId="561EE4BB" w14:textId="77777777" w:rsidR="00A31025" w:rsidRPr="006E4028" w:rsidRDefault="00A31025"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1218400819"/>
        <w:dataBinding w:prefixMappings="xmlns:ns0='http://purl.org/dc/elements/1.1/' xmlns:ns1='http://schemas.openxmlformats.org/package/2006/metadata/core-properties' " w:xpath="/ns1:coreProperties[1]/ns0:title[1]" w:storeItemID="{6C3C8BC8-F283-45AE-878A-BAB7291924A1}"/>
        <w:text/>
      </w:sdtPr>
      <w:sdtContent>
        <w:r w:rsidR="00A31025" w:rsidRPr="00285FE4">
          <w:rPr>
            <w:color w:val="808080" w:themeColor="background1" w:themeShade="80"/>
            <w:szCs w:val="15"/>
            <w:lang w:eastAsia="en-AU"/>
          </w:rPr>
          <w:t>Building Reform: Paper Two</w:t>
        </w:r>
      </w:sdtContent>
    </w:sdt>
    <w:r w:rsidR="00A31025" w:rsidRPr="00285FE4">
      <w:rPr>
        <w:color w:val="808080" w:themeColor="background1" w:themeShade="80"/>
        <w:szCs w:val="15"/>
        <w:lang w:eastAsia="en-AU"/>
      </w:rPr>
      <w:t xml:space="preserve"> | Expert Panel on Building Reform</w:t>
    </w:r>
    <w:r w:rsidR="00A31025" w:rsidRPr="00285FE4">
      <w:rPr>
        <w:rFonts w:cs="Segoe UI"/>
        <w:color w:val="A5A5A5"/>
        <w:szCs w:val="15"/>
      </w:rPr>
      <w:ptab w:relativeTo="margin" w:alignment="right" w:leader="none"/>
    </w:r>
    <w:r w:rsidR="00A31025" w:rsidRPr="00285FE4">
      <w:rPr>
        <w:rFonts w:cs="Segoe UI"/>
        <w:color w:val="A5A5A5"/>
        <w:szCs w:val="15"/>
      </w:rPr>
      <w:t>|</w:t>
    </w:r>
    <w:r w:rsidR="00A31025" w:rsidRPr="00285FE4">
      <w:rPr>
        <w:rFonts w:cs="Segoe UI"/>
        <w:color w:val="808080" w:themeColor="background1" w:themeShade="80"/>
        <w:szCs w:val="15"/>
      </w:rPr>
      <w:t xml:space="preserve"> </w:t>
    </w:r>
    <w:r w:rsidR="00A31025">
      <w:rPr>
        <w:rFonts w:cs="Segoe UI"/>
        <w:color w:val="808080" w:themeColor="background1" w:themeShade="80"/>
        <w:szCs w:val="15"/>
      </w:rPr>
      <w:t>20</w:t>
    </w:r>
    <w:r w:rsidR="00A31025" w:rsidRPr="00285FE4">
      <w:rPr>
        <w:rFonts w:cs="Segoe UI"/>
        <w:b/>
        <w:color w:val="808080" w:themeColor="background1" w:themeShade="80"/>
        <w:szCs w:val="15"/>
      </w:rPr>
      <w:t xml:space="preserve"> </w:t>
    </w:r>
    <w:r w:rsidR="00A31025" w:rsidRPr="00285FE4">
      <w:rPr>
        <w:rFonts w:cs="Segoe UI"/>
        <w:color w:val="A5A5A5"/>
        <w:szCs w:val="15"/>
      </w:rPr>
      <w:t>|</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66FB3" w14:textId="559149A6" w:rsidR="00A31025" w:rsidRPr="00285FE4" w:rsidRDefault="005601F0"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0" relativeHeight="251658442" behindDoc="0" locked="0" layoutInCell="0" allowOverlap="1" wp14:anchorId="41C3449D" wp14:editId="7C0C8155">
              <wp:simplePos x="0" y="0"/>
              <wp:positionH relativeFrom="page">
                <wp:posOffset>0</wp:posOffset>
              </wp:positionH>
              <wp:positionV relativeFrom="page">
                <wp:posOffset>10228580</wp:posOffset>
              </wp:positionV>
              <wp:extent cx="7560945" cy="273050"/>
              <wp:effectExtent l="0" t="0" r="0" b="12700"/>
              <wp:wrapNone/>
              <wp:docPr id="49" name="Text Box 49" descr="{&quot;HashCode&quot;:-1267603503,&quot;Height&quot;:841.0,&quot;Width&quot;:595.0,&quot;Placement&quot;:&quot;Footer&quot;,&quot;Index&quot;:&quot;Primary&quot;,&quot;Section&quot;:20,&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943E46" w14:textId="5F69CB1F" w:rsidR="005601F0" w:rsidRPr="005601F0" w:rsidRDefault="005601F0" w:rsidP="005601F0">
                          <w:pPr>
                            <w:spacing w:after="0"/>
                            <w:rPr>
                              <w:rFonts w:ascii="Calibri" w:hAnsi="Calibri" w:cs="Calibri"/>
                              <w:color w:val="000000"/>
                            </w:rPr>
                          </w:pPr>
                          <w:r w:rsidRPr="005601F0">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1C3449D" id="_x0000_t202" coordsize="21600,21600" o:spt="202" path="m,l,21600r21600,l21600,xe">
              <v:stroke joinstyle="miter"/>
              <v:path gradientshapeok="t" o:connecttype="rect"/>
            </v:shapetype>
            <v:shape id="Text Box 49" o:spid="_x0000_s1095" type="#_x0000_t202" alt="{&quot;HashCode&quot;:-1267603503,&quot;Height&quot;:841.0,&quot;Width&quot;:595.0,&quot;Placement&quot;:&quot;Footer&quot;,&quot;Index&quot;:&quot;Primary&quot;,&quot;Section&quot;:20,&quot;Top&quot;:0.0,&quot;Left&quot;:0.0}" style="position:absolute;margin-left:0;margin-top:805.4pt;width:595.35pt;height:21.5pt;z-index:2516584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FTrS38dAgAALQQAAA4AAAAAAAAAAAAAAAAALgIAAGRycy9lMm9Eb2MueG1sUEsB&#10;Ai0AFAAGAAgAAAAhAANaherfAAAACwEAAA8AAAAAAAAAAAAAAAAAdwQAAGRycy9kb3ducmV2Lnht&#10;bFBLBQYAAAAABAAEAPMAAACDBQAAAAA=&#10;" o:allowincell="f" filled="f" stroked="f" strokeweight=".5pt">
              <v:textbox inset="20pt,0,,0">
                <w:txbxContent>
                  <w:p w14:paraId="60943E46" w14:textId="5F69CB1F" w:rsidR="005601F0" w:rsidRPr="005601F0" w:rsidRDefault="005601F0" w:rsidP="005601F0">
                    <w:pPr>
                      <w:spacing w:after="0"/>
                      <w:rPr>
                        <w:rFonts w:ascii="Calibri" w:hAnsi="Calibri" w:cs="Calibri"/>
                        <w:color w:val="000000"/>
                      </w:rPr>
                    </w:pPr>
                    <w:r w:rsidRPr="005601F0">
                      <w:rPr>
                        <w:rFonts w:ascii="Calibri" w:hAnsi="Calibri" w:cs="Calibri"/>
                        <w:color w:val="000000"/>
                      </w:rPr>
                      <w:t>OFFICIAL</w:t>
                    </w:r>
                  </w:p>
                </w:txbxContent>
              </v:textbox>
              <w10:wrap anchorx="page" anchory="page"/>
            </v:shape>
          </w:pict>
        </mc:Fallback>
      </mc:AlternateContent>
    </w:r>
    <w:r w:rsidR="00A31025">
      <w:rPr>
        <w:noProof/>
        <w:color w:val="808080" w:themeColor="background1" w:themeShade="80"/>
        <w:szCs w:val="15"/>
        <w:lang w:eastAsia="en-AU"/>
      </w:rPr>
      <mc:AlternateContent>
        <mc:Choice Requires="wps">
          <w:drawing>
            <wp:anchor distT="0" distB="0" distL="114300" distR="114300" simplePos="0" relativeHeight="251658303" behindDoc="0" locked="0" layoutInCell="0" allowOverlap="1" wp14:anchorId="1EE7CFEA" wp14:editId="3E200C17">
              <wp:simplePos x="0" y="0"/>
              <wp:positionH relativeFrom="page">
                <wp:posOffset>0</wp:posOffset>
              </wp:positionH>
              <wp:positionV relativeFrom="page">
                <wp:posOffset>10228580</wp:posOffset>
              </wp:positionV>
              <wp:extent cx="7560945" cy="273050"/>
              <wp:effectExtent l="0" t="0" r="0" b="12700"/>
              <wp:wrapNone/>
              <wp:docPr id="27803" name="Text Box 27803"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9C118A" w14:textId="77777777" w:rsidR="00A31025" w:rsidRPr="003C2FDB" w:rsidRDefault="00A31025"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1EE7CFEA" id="Text Box 27803" o:spid="_x0000_s1096" type="#_x0000_t202" alt="{&quot;HashCode&quot;:-1267603503,&quot;Height&quot;:841.0,&quot;Width&quot;:595.0,&quot;Placement&quot;:&quot;Footer&quot;,&quot;Index&quot;:&quot;Primary&quot;,&quot;Section&quot;:11,&quot;Top&quot;:0.0,&quot;Left&quot;:0.0}" style="position:absolute;margin-left:0;margin-top:805.4pt;width:595.35pt;height:21.5pt;z-index:25165830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HAy3xMdAgAALQQAAA4AAAAAAAAAAAAAAAAALgIAAGRycy9lMm9Eb2MueG1sUEsB&#10;Ai0AFAAGAAgAAAAhAANaherfAAAACwEAAA8AAAAAAAAAAAAAAAAAdwQAAGRycy9kb3ducmV2Lnht&#10;bFBLBQYAAAAABAAEAPMAAACDBQAAAAA=&#10;" o:allowincell="f" filled="f" stroked="f" strokeweight=".5pt">
              <v:textbox inset="20pt,0,,0">
                <w:txbxContent>
                  <w:p w14:paraId="339C118A" w14:textId="77777777" w:rsidR="00A31025" w:rsidRPr="003C2FDB" w:rsidRDefault="00A31025"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sidR="00A31025">
      <w:rPr>
        <w:noProof/>
        <w:color w:val="808080" w:themeColor="background1" w:themeShade="80"/>
        <w:szCs w:val="15"/>
        <w:lang w:eastAsia="en-AU"/>
      </w:rPr>
      <mc:AlternateContent>
        <mc:Choice Requires="wps">
          <w:drawing>
            <wp:anchor distT="0" distB="0" distL="114300" distR="114300" simplePos="0" relativeHeight="251658302" behindDoc="0" locked="0" layoutInCell="0" allowOverlap="1" wp14:anchorId="6E7C9E27" wp14:editId="3DCC292B">
              <wp:simplePos x="0" y="0"/>
              <wp:positionH relativeFrom="page">
                <wp:posOffset>0</wp:posOffset>
              </wp:positionH>
              <wp:positionV relativeFrom="page">
                <wp:posOffset>10228580</wp:posOffset>
              </wp:positionV>
              <wp:extent cx="7560945" cy="273050"/>
              <wp:effectExtent l="0" t="0" r="0" b="12700"/>
              <wp:wrapNone/>
              <wp:docPr id="27804" name="Text Box 27804"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525CB0" w14:textId="77777777" w:rsidR="00A31025" w:rsidRPr="007E53BD" w:rsidRDefault="00A31025"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E7C9E27" id="Text Box 27804" o:spid="_x0000_s1097" type="#_x0000_t202" alt="{&quot;HashCode&quot;:-1267603503,&quot;Height&quot;:841.0,&quot;Width&quot;:595.0,&quot;Placement&quot;:&quot;Footer&quot;,&quot;Index&quot;:&quot;Primary&quot;,&quot;Section&quot;:11,&quot;Top&quot;:0.0,&quot;Left&quot;:0.0}" style="position:absolute;margin-left:0;margin-top:805.4pt;width:595.35pt;height:21.5pt;z-index:25165830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ONB6q4dAgAALQQAAA4AAAAAAAAAAAAAAAAALgIAAGRycy9lMm9Eb2MueG1sUEsB&#10;Ai0AFAAGAAgAAAAhAANaherfAAAACwEAAA8AAAAAAAAAAAAAAAAAdwQAAGRycy9kb3ducmV2Lnht&#10;bFBLBQYAAAAABAAEAPMAAACDBQAAAAA=&#10;" o:allowincell="f" filled="f" stroked="f" strokeweight=".5pt">
              <v:textbox inset="20pt,0,,0">
                <w:txbxContent>
                  <w:p w14:paraId="5E525CB0" w14:textId="77777777" w:rsidR="00A31025" w:rsidRPr="007E53BD" w:rsidRDefault="00A31025"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sidR="00A31025">
      <w:rPr>
        <w:noProof/>
        <w:color w:val="808080" w:themeColor="background1" w:themeShade="80"/>
        <w:szCs w:val="15"/>
        <w:lang w:eastAsia="en-AU"/>
      </w:rPr>
      <mc:AlternateContent>
        <mc:Choice Requires="wps">
          <w:drawing>
            <wp:anchor distT="0" distB="0" distL="114300" distR="114300" simplePos="0" relativeHeight="251658301" behindDoc="0" locked="0" layoutInCell="0" allowOverlap="1" wp14:anchorId="5C5418C8" wp14:editId="21479968">
              <wp:simplePos x="0" y="0"/>
              <wp:positionH relativeFrom="page">
                <wp:posOffset>0</wp:posOffset>
              </wp:positionH>
              <wp:positionV relativeFrom="page">
                <wp:posOffset>10228580</wp:posOffset>
              </wp:positionV>
              <wp:extent cx="7560945" cy="273050"/>
              <wp:effectExtent l="0" t="0" r="0" b="12700"/>
              <wp:wrapNone/>
              <wp:docPr id="27805" name="Text Box 27805"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4E2B44" w14:textId="77777777" w:rsidR="00A31025" w:rsidRPr="006E4028" w:rsidRDefault="00A31025"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5C5418C8" id="Text Box 27805" o:spid="_x0000_s1098" type="#_x0000_t202" alt="{&quot;HashCode&quot;:-1267603503,&quot;Height&quot;:841.0,&quot;Width&quot;:595.0,&quot;Placement&quot;:&quot;Footer&quot;,&quot;Index&quot;:&quot;Primary&quot;,&quot;Section&quot;:11,&quot;Top&quot;:0.0,&quot;Left&quot;:0.0}" style="position:absolute;margin-left:0;margin-top:805.4pt;width:595.35pt;height:21.5pt;z-index:25165830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" o:allowincell="f" filled="f" stroked="f" strokeweight=".5pt">
              <v:textbox inset="20pt,0,,0">
                <w:txbxContent>
                  <w:p w14:paraId="4C4E2B44" w14:textId="77777777" w:rsidR="00A31025" w:rsidRPr="006E4028" w:rsidRDefault="00A31025"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323206509"/>
        <w:dataBinding w:prefixMappings="xmlns:ns0='http://purl.org/dc/elements/1.1/' xmlns:ns1='http://schemas.openxmlformats.org/package/2006/metadata/core-properties' " w:xpath="/ns1:coreProperties[1]/ns0:title[1]" w:storeItemID="{6C3C8BC8-F283-45AE-878A-BAB7291924A1}"/>
        <w:text/>
      </w:sdtPr>
      <w:sdtContent>
        <w:r w:rsidR="00A31025" w:rsidRPr="00285FE4">
          <w:rPr>
            <w:color w:val="808080" w:themeColor="background1" w:themeShade="80"/>
            <w:szCs w:val="15"/>
            <w:lang w:eastAsia="en-AU"/>
          </w:rPr>
          <w:t>Building Reform: Paper Two</w:t>
        </w:r>
      </w:sdtContent>
    </w:sdt>
    <w:r w:rsidR="00A31025" w:rsidRPr="00285FE4">
      <w:rPr>
        <w:color w:val="808080" w:themeColor="background1" w:themeShade="80"/>
        <w:szCs w:val="15"/>
        <w:lang w:eastAsia="en-AU"/>
      </w:rPr>
      <w:t xml:space="preserve"> | Expert Panel on Building Reform</w:t>
    </w:r>
    <w:r w:rsidR="00A31025" w:rsidRPr="00285FE4">
      <w:rPr>
        <w:rFonts w:cs="Segoe UI"/>
        <w:color w:val="A5A5A5"/>
        <w:szCs w:val="15"/>
      </w:rPr>
      <w:ptab w:relativeTo="margin" w:alignment="right" w:leader="none"/>
    </w:r>
    <w:r w:rsidR="00A31025" w:rsidRPr="00285FE4">
      <w:rPr>
        <w:rFonts w:cs="Segoe UI"/>
        <w:color w:val="A5A5A5"/>
        <w:szCs w:val="15"/>
      </w:rPr>
      <w:t>|</w:t>
    </w:r>
    <w:r w:rsidR="00A31025" w:rsidRPr="00285FE4">
      <w:rPr>
        <w:rFonts w:cs="Segoe UI"/>
        <w:color w:val="808080" w:themeColor="background1" w:themeShade="80"/>
        <w:szCs w:val="15"/>
      </w:rPr>
      <w:t xml:space="preserve"> </w:t>
    </w:r>
    <w:r w:rsidR="00A31025">
      <w:rPr>
        <w:rFonts w:cs="Segoe UI"/>
        <w:color w:val="808080" w:themeColor="background1" w:themeShade="80"/>
        <w:szCs w:val="15"/>
      </w:rPr>
      <w:t>21</w:t>
    </w:r>
    <w:r w:rsidR="00A31025" w:rsidRPr="00285FE4">
      <w:rPr>
        <w:rFonts w:cs="Segoe UI"/>
        <w:b/>
        <w:color w:val="808080" w:themeColor="background1" w:themeShade="80"/>
        <w:szCs w:val="15"/>
      </w:rPr>
      <w:t xml:space="preserve"> </w:t>
    </w:r>
    <w:r w:rsidR="00A31025" w:rsidRPr="00285FE4">
      <w:rPr>
        <w:rFonts w:cs="Segoe UI"/>
        <w:color w:val="A5A5A5"/>
        <w:szCs w:val="15"/>
      </w:rPr>
      <w: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CA2B2" w14:textId="6A78A2D5" w:rsidR="009A24E9" w:rsidRPr="00285FE4" w:rsidRDefault="000F3476"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0" relativeHeight="251658443" behindDoc="0" locked="0" layoutInCell="0" allowOverlap="1" wp14:anchorId="310BAAAF" wp14:editId="3A61D518">
              <wp:simplePos x="0" y="0"/>
              <wp:positionH relativeFrom="page">
                <wp:posOffset>0</wp:posOffset>
              </wp:positionH>
              <wp:positionV relativeFrom="page">
                <wp:posOffset>10228580</wp:posOffset>
              </wp:positionV>
              <wp:extent cx="7560945" cy="273050"/>
              <wp:effectExtent l="0" t="0" r="0" b="12700"/>
              <wp:wrapNone/>
              <wp:docPr id="27937" name="Text Box 27937" descr="{&quot;HashCode&quot;:-1267603503,&quot;Height&quot;:841.0,&quot;Width&quot;:595.0,&quot;Placement&quot;:&quot;Footer&quot;,&quot;Index&quot;:&quot;Primary&quot;,&quot;Section&quot;:2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8F06B8" w14:textId="3FEAEF2E" w:rsidR="000F3476" w:rsidRPr="000F3476" w:rsidRDefault="000F3476" w:rsidP="000F3476">
                          <w:pPr>
                            <w:spacing w:after="0"/>
                            <w:rPr>
                              <w:rFonts w:ascii="Calibri" w:hAnsi="Calibri" w:cs="Calibri"/>
                              <w:color w:val="000000"/>
                            </w:rPr>
                          </w:pPr>
                          <w:r w:rsidRPr="000F3476">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10BAAAF" id="_x0000_t202" coordsize="21600,21600" o:spt="202" path="m,l,21600r21600,l21600,xe">
              <v:stroke joinstyle="miter"/>
              <v:path gradientshapeok="t" o:connecttype="rect"/>
            </v:shapetype>
            <v:shape id="Text Box 27937" o:spid="_x0000_s1099" type="#_x0000_t202" alt="{&quot;HashCode&quot;:-1267603503,&quot;Height&quot;:841.0,&quot;Width&quot;:595.0,&quot;Placement&quot;:&quot;Footer&quot;,&quot;Index&quot;:&quot;Primary&quot;,&quot;Section&quot;:21,&quot;Top&quot;:0.0,&quot;Left&quot;:0.0}" style="position:absolute;margin-left:0;margin-top:805.4pt;width:595.35pt;height:21.5pt;z-index:2516584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DE5rS4dAgAALQQAAA4AAAAAAAAAAAAAAAAALgIAAGRycy9lMm9Eb2MueG1sUEsB&#10;Ai0AFAAGAAgAAAAhAANaherfAAAACwEAAA8AAAAAAAAAAAAAAAAAdwQAAGRycy9kb3ducmV2Lnht&#10;bFBLBQYAAAAABAAEAPMAAACDBQAAAAA=&#10;" o:allowincell="f" filled="f" stroked="f" strokeweight=".5pt">
              <v:textbox inset="20pt,0,,0">
                <w:txbxContent>
                  <w:p w14:paraId="338F06B8" w14:textId="3FEAEF2E" w:rsidR="000F3476" w:rsidRPr="000F3476" w:rsidRDefault="000F3476" w:rsidP="000F3476">
                    <w:pPr>
                      <w:spacing w:after="0"/>
                      <w:rPr>
                        <w:rFonts w:ascii="Calibri" w:hAnsi="Calibri" w:cs="Calibri"/>
                        <w:color w:val="000000"/>
                      </w:rPr>
                    </w:pPr>
                    <w:r w:rsidRPr="000F3476">
                      <w:rPr>
                        <w:rFonts w:ascii="Calibri" w:hAnsi="Calibri" w:cs="Calibri"/>
                        <w:color w:val="000000"/>
                      </w:rPr>
                      <w:t>OFFICIAL</w:t>
                    </w:r>
                  </w:p>
                </w:txbxContent>
              </v:textbox>
              <w10:wrap anchorx="page" anchory="page"/>
            </v:shape>
          </w:pict>
        </mc:Fallback>
      </mc:AlternateContent>
    </w:r>
    <w:r w:rsidR="009A24E9">
      <w:rPr>
        <w:noProof/>
        <w:color w:val="808080" w:themeColor="background1" w:themeShade="80"/>
        <w:szCs w:val="15"/>
        <w:lang w:eastAsia="en-AU"/>
      </w:rPr>
      <mc:AlternateContent>
        <mc:Choice Requires="wps">
          <w:drawing>
            <wp:anchor distT="0" distB="0" distL="114300" distR="114300" simplePos="0" relativeHeight="251658306" behindDoc="0" locked="0" layoutInCell="0" allowOverlap="1" wp14:anchorId="354A4DFF" wp14:editId="7E9F067A">
              <wp:simplePos x="0" y="0"/>
              <wp:positionH relativeFrom="page">
                <wp:posOffset>0</wp:posOffset>
              </wp:positionH>
              <wp:positionV relativeFrom="page">
                <wp:posOffset>10228580</wp:posOffset>
              </wp:positionV>
              <wp:extent cx="7560945" cy="273050"/>
              <wp:effectExtent l="0" t="0" r="0" b="12700"/>
              <wp:wrapNone/>
              <wp:docPr id="27806" name="Text Box 27806"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52103C" w14:textId="77777777" w:rsidR="009A24E9" w:rsidRPr="003C2FDB" w:rsidRDefault="009A24E9"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354A4DFF" id="Text Box 27806" o:spid="_x0000_s1100" type="#_x0000_t202" alt="{&quot;HashCode&quot;:-1267603503,&quot;Height&quot;:841.0,&quot;Width&quot;:595.0,&quot;Placement&quot;:&quot;Footer&quot;,&quot;Index&quot;:&quot;Primary&quot;,&quot;Section&quot;:11,&quot;Top&quot;:0.0,&quot;Left&quot;:0.0}" style="position:absolute;margin-left:0;margin-top:805.4pt;width:595.35pt;height:21.5pt;z-index:25165830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4MyHgIAAC0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UiTYZEdVCfcz0FPvbd8rXCI&#10;DfPhmTnkGldC/YYnPKQGbAZni5Ia3I+/+WM+UoBRSlrUTkn99wNzghL91SA5k9k0z6Pa0g0Nl4zb&#10;8XSKl93gNYfmHlCXY3wilicz5gY9mNJB84r6XsV2GGKGY9OS7gbzPvRSxvfBxWqVklBXloWN2Voe&#10;S0fUIrYv3Stz9kxAQOoeYZAXK97x0Of2eK8OAaRKJEWEezjPwKMmE3fn9xNF/+s9ZV1e+fIn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Fq4MyHgIAAC0EAAAOAAAAAAAAAAAAAAAAAC4CAABkcnMvZTJvRG9jLnhtbFBL&#10;AQItABQABgAIAAAAIQADWoXq3wAAAAsBAAAPAAAAAAAAAAAAAAAAAHgEAABkcnMvZG93bnJldi54&#10;bWxQSwUGAAAAAAQABADzAAAAhAUAAAAA&#10;" o:allowincell="f" filled="f" stroked="f" strokeweight=".5pt">
              <v:textbox inset="20pt,0,,0">
                <w:txbxContent>
                  <w:p w14:paraId="6A52103C" w14:textId="77777777" w:rsidR="009A24E9" w:rsidRPr="003C2FDB" w:rsidRDefault="009A24E9"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sidR="009A24E9">
      <w:rPr>
        <w:noProof/>
        <w:color w:val="808080" w:themeColor="background1" w:themeShade="80"/>
        <w:szCs w:val="15"/>
        <w:lang w:eastAsia="en-AU"/>
      </w:rPr>
      <mc:AlternateContent>
        <mc:Choice Requires="wps">
          <w:drawing>
            <wp:anchor distT="0" distB="0" distL="114300" distR="114300" simplePos="0" relativeHeight="251658305" behindDoc="0" locked="0" layoutInCell="0" allowOverlap="1" wp14:anchorId="35C8642B" wp14:editId="63B7842F">
              <wp:simplePos x="0" y="0"/>
              <wp:positionH relativeFrom="page">
                <wp:posOffset>0</wp:posOffset>
              </wp:positionH>
              <wp:positionV relativeFrom="page">
                <wp:posOffset>10228580</wp:posOffset>
              </wp:positionV>
              <wp:extent cx="7560945" cy="273050"/>
              <wp:effectExtent l="0" t="0" r="0" b="12700"/>
              <wp:wrapNone/>
              <wp:docPr id="27807" name="Text Box 27807"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395BFA" w14:textId="77777777" w:rsidR="009A24E9" w:rsidRPr="007E53BD" w:rsidRDefault="009A24E9"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35C8642B" id="Text Box 27807" o:spid="_x0000_s1101" type="#_x0000_t202" alt="{&quot;HashCode&quot;:-1267603503,&quot;Height&quot;:841.0,&quot;Width&quot;:595.0,&quot;Placement&quot;:&quot;Footer&quot;,&quot;Index&quot;:&quot;Primary&quot;,&quot;Section&quot;:11,&quot;Top&quot;:0.0,&quot;Left&quot;:0.0}" style="position:absolute;margin-left:0;margin-top:805.4pt;width:595.35pt;height:21.5pt;z-index:25165830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FbYto8dAgAALQQAAA4AAAAAAAAAAAAAAAAALgIAAGRycy9lMm9Eb2MueG1sUEsB&#10;Ai0AFAAGAAgAAAAhAANaherfAAAACwEAAA8AAAAAAAAAAAAAAAAAdwQAAGRycy9kb3ducmV2Lnht&#10;bFBLBQYAAAAABAAEAPMAAACDBQAAAAA=&#10;" o:allowincell="f" filled="f" stroked="f" strokeweight=".5pt">
              <v:textbox inset="20pt,0,,0">
                <w:txbxContent>
                  <w:p w14:paraId="34395BFA" w14:textId="77777777" w:rsidR="009A24E9" w:rsidRPr="007E53BD" w:rsidRDefault="009A24E9"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sidR="009A24E9">
      <w:rPr>
        <w:noProof/>
        <w:color w:val="808080" w:themeColor="background1" w:themeShade="80"/>
        <w:szCs w:val="15"/>
        <w:lang w:eastAsia="en-AU"/>
      </w:rPr>
      <mc:AlternateContent>
        <mc:Choice Requires="wps">
          <w:drawing>
            <wp:anchor distT="0" distB="0" distL="114300" distR="114300" simplePos="0" relativeHeight="251658304" behindDoc="0" locked="0" layoutInCell="0" allowOverlap="1" wp14:anchorId="1256F29E" wp14:editId="2CA64E53">
              <wp:simplePos x="0" y="0"/>
              <wp:positionH relativeFrom="page">
                <wp:posOffset>0</wp:posOffset>
              </wp:positionH>
              <wp:positionV relativeFrom="page">
                <wp:posOffset>10228580</wp:posOffset>
              </wp:positionV>
              <wp:extent cx="7560945" cy="273050"/>
              <wp:effectExtent l="0" t="0" r="0" b="12700"/>
              <wp:wrapNone/>
              <wp:docPr id="27808" name="Text Box 27808"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AD11C4" w14:textId="77777777" w:rsidR="009A24E9" w:rsidRPr="006E4028" w:rsidRDefault="009A24E9"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1256F29E" id="Text Box 27808" o:spid="_x0000_s1102" type="#_x0000_t202" alt="{&quot;HashCode&quot;:-1267603503,&quot;Height&quot;:841.0,&quot;Width&quot;:595.0,&quot;Placement&quot;:&quot;Footer&quot;,&quot;Index&quot;:&quot;Primary&quot;,&quot;Section&quot;:11,&quot;Top&quot;:0.0,&quot;Left&quot;:0.0}" style="position:absolute;margin-left:0;margin-top:805.4pt;width:595.35pt;height:21.5pt;z-index:2516583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4KHgIAAC0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UjTYZEdVCfcz0FPvbd8rXCI&#10;DfPhmTnkGldC/YYnPKQGbAZni5Ia3I+/+WM+UoBRSlrUTkn99wNzghL91SA5k9k0z6Pa0g0Nl4zb&#10;8XSKl93gNYfmHlCXY3wilicz5gY9mNJB84r6XsV2GGKGY9OS7gbzPvRSxvfBxWqVklBXloWN2Voe&#10;S0fUIrYv3Stz9kxAQOoeYZAXK97x0Of2eK8OAaRKJEWEezjPwKMmE3fn9xNF/+s9ZV1e+fIn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Atjt4KHgIAAC0EAAAOAAAAAAAAAAAAAAAAAC4CAABkcnMvZTJvRG9jLnhtbFBL&#10;AQItABQABgAIAAAAIQADWoXq3wAAAAsBAAAPAAAAAAAAAAAAAAAAAHgEAABkcnMvZG93bnJldi54&#10;bWxQSwUGAAAAAAQABADzAAAAhAUAAAAA&#10;" o:allowincell="f" filled="f" stroked="f" strokeweight=".5pt">
              <v:textbox inset="20pt,0,,0">
                <w:txbxContent>
                  <w:p w14:paraId="31AD11C4" w14:textId="77777777" w:rsidR="009A24E9" w:rsidRPr="006E4028" w:rsidRDefault="009A24E9"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1406218761"/>
        <w:dataBinding w:prefixMappings="xmlns:ns0='http://purl.org/dc/elements/1.1/' xmlns:ns1='http://schemas.openxmlformats.org/package/2006/metadata/core-properties' " w:xpath="/ns1:coreProperties[1]/ns0:title[1]" w:storeItemID="{6C3C8BC8-F283-45AE-878A-BAB7291924A1}"/>
        <w:text/>
      </w:sdtPr>
      <w:sdtContent>
        <w:r w:rsidR="009A24E9" w:rsidRPr="00285FE4">
          <w:rPr>
            <w:color w:val="808080" w:themeColor="background1" w:themeShade="80"/>
            <w:szCs w:val="15"/>
            <w:lang w:eastAsia="en-AU"/>
          </w:rPr>
          <w:t>Building Reform: Paper Two</w:t>
        </w:r>
      </w:sdtContent>
    </w:sdt>
    <w:r w:rsidR="009A24E9" w:rsidRPr="00285FE4">
      <w:rPr>
        <w:color w:val="808080" w:themeColor="background1" w:themeShade="80"/>
        <w:szCs w:val="15"/>
        <w:lang w:eastAsia="en-AU"/>
      </w:rPr>
      <w:t xml:space="preserve"> | Expert Panel on Building Reform</w:t>
    </w:r>
    <w:r w:rsidR="009A24E9" w:rsidRPr="00285FE4">
      <w:rPr>
        <w:rFonts w:cs="Segoe UI"/>
        <w:color w:val="A5A5A5"/>
        <w:szCs w:val="15"/>
      </w:rPr>
      <w:ptab w:relativeTo="margin" w:alignment="right" w:leader="none"/>
    </w:r>
    <w:r w:rsidR="009A24E9" w:rsidRPr="00285FE4">
      <w:rPr>
        <w:rFonts w:cs="Segoe UI"/>
        <w:color w:val="A5A5A5"/>
        <w:szCs w:val="15"/>
      </w:rPr>
      <w:t>|</w:t>
    </w:r>
    <w:r w:rsidR="009A24E9" w:rsidRPr="00285FE4">
      <w:rPr>
        <w:rFonts w:cs="Segoe UI"/>
        <w:color w:val="808080" w:themeColor="background1" w:themeShade="80"/>
        <w:szCs w:val="15"/>
      </w:rPr>
      <w:t xml:space="preserve"> </w:t>
    </w:r>
    <w:r w:rsidR="009A24E9">
      <w:rPr>
        <w:rFonts w:cs="Segoe UI"/>
        <w:color w:val="808080" w:themeColor="background1" w:themeShade="80"/>
        <w:szCs w:val="15"/>
      </w:rPr>
      <w:t>22</w:t>
    </w:r>
    <w:r w:rsidR="009A24E9" w:rsidRPr="00285FE4">
      <w:rPr>
        <w:rFonts w:cs="Segoe UI"/>
        <w:b/>
        <w:color w:val="808080" w:themeColor="background1" w:themeShade="80"/>
        <w:szCs w:val="15"/>
      </w:rPr>
      <w:t xml:space="preserve"> </w:t>
    </w:r>
    <w:r w:rsidR="009A24E9" w:rsidRPr="00285FE4">
      <w:rPr>
        <w:rFonts w:cs="Segoe UI"/>
        <w:color w:val="A5A5A5"/>
        <w:szCs w:val="15"/>
      </w:rPr>
      <w:t>|</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187CF" w14:textId="48ABD0D7" w:rsidR="009A24E9" w:rsidRPr="00285FE4" w:rsidRDefault="000F3476"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0" relativeHeight="251658444" behindDoc="0" locked="0" layoutInCell="0" allowOverlap="1" wp14:anchorId="027792BD" wp14:editId="78B4D22B">
              <wp:simplePos x="0" y="0"/>
              <wp:positionH relativeFrom="page">
                <wp:posOffset>0</wp:posOffset>
              </wp:positionH>
              <wp:positionV relativeFrom="page">
                <wp:posOffset>10228580</wp:posOffset>
              </wp:positionV>
              <wp:extent cx="7560945" cy="273050"/>
              <wp:effectExtent l="0" t="0" r="0" b="12700"/>
              <wp:wrapNone/>
              <wp:docPr id="27939" name="Text Box 27939" descr="{&quot;HashCode&quot;:-1267603503,&quot;Height&quot;:841.0,&quot;Width&quot;:595.0,&quot;Placement&quot;:&quot;Footer&quot;,&quot;Index&quot;:&quot;Primary&quot;,&quot;Section&quot;:2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FAF32C" w14:textId="6C00BAC2" w:rsidR="000F3476" w:rsidRPr="000F3476" w:rsidRDefault="000F3476" w:rsidP="000F3476">
                          <w:pPr>
                            <w:spacing w:after="0"/>
                            <w:rPr>
                              <w:rFonts w:ascii="Calibri" w:hAnsi="Calibri" w:cs="Calibri"/>
                              <w:color w:val="000000"/>
                            </w:rPr>
                          </w:pPr>
                          <w:r w:rsidRPr="000F3476">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27792BD" id="_x0000_t202" coordsize="21600,21600" o:spt="202" path="m,l,21600r21600,l21600,xe">
              <v:stroke joinstyle="miter"/>
              <v:path gradientshapeok="t" o:connecttype="rect"/>
            </v:shapetype>
            <v:shape id="Text Box 27939" o:spid="_x0000_s1103" type="#_x0000_t202" alt="{&quot;HashCode&quot;:-1267603503,&quot;Height&quot;:841.0,&quot;Width&quot;:595.0,&quot;Placement&quot;:&quot;Footer&quot;,&quot;Index&quot;:&quot;Primary&quot;,&quot;Section&quot;:23,&quot;Top&quot;:0.0,&quot;Left&quot;:0.0}" style="position:absolute;margin-left:0;margin-top:805.4pt;width:595.35pt;height:21.5pt;z-index:2516584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3HQIAAC0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xZGGRXZQnXA/Bz313vK1wiE2&#10;zIdn5pBrXAn1G57wkBqwGZwtSmpwP/7mj/lIAUYpaVE7JfXfD8wJSvRXg+RMZtM8j2pLNzRcMm7H&#10;0yledoPXHJp7QF2O8YlYnsyYG/RgSgfNK+p7FdthiBmOTUu6G8z70EsZ3wcXq1VKQl1ZFjZma3ks&#10;HVGL2L50r8zZMwEBqXuEQV6seMdDn9vjvToEkCqRFBHu4TwDj5pM3J3fTxT9r/eUdXnly58A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L7967cdAgAALQQAAA4AAAAAAAAAAAAAAAAALgIAAGRycy9lMm9Eb2MueG1sUEsB&#10;Ai0AFAAGAAgAAAAhAANaherfAAAACwEAAA8AAAAAAAAAAAAAAAAAdwQAAGRycy9kb3ducmV2Lnht&#10;bFBLBQYAAAAABAAEAPMAAACDBQAAAAA=&#10;" o:allowincell="f" filled="f" stroked="f" strokeweight=".5pt">
              <v:textbox inset="20pt,0,,0">
                <w:txbxContent>
                  <w:p w14:paraId="0DFAF32C" w14:textId="6C00BAC2" w:rsidR="000F3476" w:rsidRPr="000F3476" w:rsidRDefault="000F3476" w:rsidP="000F3476">
                    <w:pPr>
                      <w:spacing w:after="0"/>
                      <w:rPr>
                        <w:rFonts w:ascii="Calibri" w:hAnsi="Calibri" w:cs="Calibri"/>
                        <w:color w:val="000000"/>
                      </w:rPr>
                    </w:pPr>
                    <w:r w:rsidRPr="000F3476">
                      <w:rPr>
                        <w:rFonts w:ascii="Calibri" w:hAnsi="Calibri" w:cs="Calibri"/>
                        <w:color w:val="000000"/>
                      </w:rPr>
                      <w:t>OFFICIAL</w:t>
                    </w:r>
                  </w:p>
                </w:txbxContent>
              </v:textbox>
              <w10:wrap anchorx="page" anchory="page"/>
            </v:shape>
          </w:pict>
        </mc:Fallback>
      </mc:AlternateContent>
    </w:r>
    <w:r w:rsidR="009A24E9">
      <w:rPr>
        <w:noProof/>
        <w:color w:val="808080" w:themeColor="background1" w:themeShade="80"/>
        <w:szCs w:val="15"/>
        <w:lang w:eastAsia="en-AU"/>
      </w:rPr>
      <mc:AlternateContent>
        <mc:Choice Requires="wps">
          <w:drawing>
            <wp:anchor distT="0" distB="0" distL="114300" distR="114300" simplePos="0" relativeHeight="251658309" behindDoc="0" locked="0" layoutInCell="0" allowOverlap="1" wp14:anchorId="6B54126C" wp14:editId="1353ADC0">
              <wp:simplePos x="0" y="0"/>
              <wp:positionH relativeFrom="page">
                <wp:posOffset>0</wp:posOffset>
              </wp:positionH>
              <wp:positionV relativeFrom="page">
                <wp:posOffset>10228580</wp:posOffset>
              </wp:positionV>
              <wp:extent cx="7560945" cy="273050"/>
              <wp:effectExtent l="0" t="0" r="0" b="12700"/>
              <wp:wrapNone/>
              <wp:docPr id="27812" name="Text Box 27812"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EBF90E" w14:textId="77777777" w:rsidR="009A24E9" w:rsidRPr="003C2FDB" w:rsidRDefault="009A24E9"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B54126C" id="Text Box 27812" o:spid="_x0000_s1104" type="#_x0000_t202" alt="{&quot;HashCode&quot;:-1267603503,&quot;Height&quot;:841.0,&quot;Width&quot;:595.0,&quot;Placement&quot;:&quot;Footer&quot;,&quot;Index&quot;:&quot;Primary&quot;,&quot;Section&quot;:11,&quot;Top&quot;:0.0,&quot;Left&quot;:0.0}" style="position:absolute;margin-left:0;margin-top:805.4pt;width:595.35pt;height:21.5pt;z-index:25165830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8WrHgIAAC0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UjzYZEdVCfcz0FPvbd8rXCI&#10;DfPhmTnkGldC/YYnPKQGbAZni5Ia3I+/+WM+UoBRSlrUTkn99wNzghL91SA5k9k0z6Pa0g0Nl4zb&#10;8XSKl93gNYfmHlCXY3wilicz5gY9mNJB84r6XsV2GGKGY9OS7gbzPvRSxvfBxWqVklBXloWN2Voe&#10;S0fUIrYv3Stz9kxAQOoeYZAXK97x0Of2eK8OAaRKJEWEezjPwKMmE3fn9xNF/+s9ZV1e+fIn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Kb8WrHgIAAC0EAAAOAAAAAAAAAAAAAAAAAC4CAABkcnMvZTJvRG9jLnhtbFBL&#10;AQItABQABgAIAAAAIQADWoXq3wAAAAsBAAAPAAAAAAAAAAAAAAAAAHgEAABkcnMvZG93bnJldi54&#10;bWxQSwUGAAAAAAQABADzAAAAhAUAAAAA&#10;" o:allowincell="f" filled="f" stroked="f" strokeweight=".5pt">
              <v:textbox inset="20pt,0,,0">
                <w:txbxContent>
                  <w:p w14:paraId="0DEBF90E" w14:textId="77777777" w:rsidR="009A24E9" w:rsidRPr="003C2FDB" w:rsidRDefault="009A24E9"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sidR="009A24E9">
      <w:rPr>
        <w:noProof/>
        <w:color w:val="808080" w:themeColor="background1" w:themeShade="80"/>
        <w:szCs w:val="15"/>
        <w:lang w:eastAsia="en-AU"/>
      </w:rPr>
      <mc:AlternateContent>
        <mc:Choice Requires="wps">
          <w:drawing>
            <wp:anchor distT="0" distB="0" distL="114300" distR="114300" simplePos="0" relativeHeight="251658308" behindDoc="0" locked="0" layoutInCell="0" allowOverlap="1" wp14:anchorId="0C3D639D" wp14:editId="2A232EBD">
              <wp:simplePos x="0" y="0"/>
              <wp:positionH relativeFrom="page">
                <wp:posOffset>0</wp:posOffset>
              </wp:positionH>
              <wp:positionV relativeFrom="page">
                <wp:posOffset>10228580</wp:posOffset>
              </wp:positionV>
              <wp:extent cx="7560945" cy="273050"/>
              <wp:effectExtent l="0" t="0" r="0" b="12700"/>
              <wp:wrapNone/>
              <wp:docPr id="27813" name="Text Box 27813"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CC7B2C" w14:textId="77777777" w:rsidR="009A24E9" w:rsidRPr="007E53BD" w:rsidRDefault="009A24E9"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0C3D639D" id="Text Box 27813" o:spid="_x0000_s1105" type="#_x0000_t202" alt="{&quot;HashCode&quot;:-1267603503,&quot;Height&quot;:841.0,&quot;Width&quot;:595.0,&quot;Placement&quot;:&quot;Footer&quot;,&quot;Index&quot;:&quot;Primary&quot;,&quot;Section&quot;:11,&quot;Top&quot;:0.0,&quot;Left&quot;:0.0}" style="position:absolute;margin-left:0;margin-top:805.4pt;width:595.35pt;height:21.5pt;z-index:2516583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ZHPAWHgIAAC0EAAAOAAAAAAAAAAAAAAAAAC4CAABkcnMvZTJvRG9jLnhtbFBL&#10;AQItABQABgAIAAAAIQADWoXq3wAAAAsBAAAPAAAAAAAAAAAAAAAAAHgEAABkcnMvZG93bnJldi54&#10;bWxQSwUGAAAAAAQABADzAAAAhAUAAAAA&#10;" o:allowincell="f" filled="f" stroked="f" strokeweight=".5pt">
              <v:textbox inset="20pt,0,,0">
                <w:txbxContent>
                  <w:p w14:paraId="0BCC7B2C" w14:textId="77777777" w:rsidR="009A24E9" w:rsidRPr="007E53BD" w:rsidRDefault="009A24E9"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sidR="009A24E9">
      <w:rPr>
        <w:noProof/>
        <w:color w:val="808080" w:themeColor="background1" w:themeShade="80"/>
        <w:szCs w:val="15"/>
        <w:lang w:eastAsia="en-AU"/>
      </w:rPr>
      <mc:AlternateContent>
        <mc:Choice Requires="wps">
          <w:drawing>
            <wp:anchor distT="0" distB="0" distL="114300" distR="114300" simplePos="0" relativeHeight="251658307" behindDoc="0" locked="0" layoutInCell="0" allowOverlap="1" wp14:anchorId="22C4E50D" wp14:editId="7693D5C6">
              <wp:simplePos x="0" y="0"/>
              <wp:positionH relativeFrom="page">
                <wp:posOffset>0</wp:posOffset>
              </wp:positionH>
              <wp:positionV relativeFrom="page">
                <wp:posOffset>10228580</wp:posOffset>
              </wp:positionV>
              <wp:extent cx="7560945" cy="273050"/>
              <wp:effectExtent l="0" t="0" r="0" b="12700"/>
              <wp:wrapNone/>
              <wp:docPr id="27814" name="Text Box 27814"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0E6D7F" w14:textId="77777777" w:rsidR="009A24E9" w:rsidRPr="006E4028" w:rsidRDefault="009A24E9"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22C4E50D" id="Text Box 27814" o:spid="_x0000_s1106" type="#_x0000_t202" alt="{&quot;HashCode&quot;:-1267603503,&quot;Height&quot;:841.0,&quot;Width&quot;:595.0,&quot;Placement&quot;:&quot;Footer&quot;,&quot;Index&quot;:&quot;Primary&quot;,&quot;Section&quot;:11,&quot;Top&quot;:0.0,&quot;Left&quot;:0.0}" style="position:absolute;margin-left:0;margin-top:805.4pt;width:595.35pt;height:21.5pt;z-index:25165830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9xWR6HgIAAC0EAAAOAAAAAAAAAAAAAAAAAC4CAABkcnMvZTJvRG9jLnhtbFBL&#10;AQItABQABgAIAAAAIQADWoXq3wAAAAsBAAAPAAAAAAAAAAAAAAAAAHgEAABkcnMvZG93bnJldi54&#10;bWxQSwUGAAAAAAQABADzAAAAhAUAAAAA&#10;" o:allowincell="f" filled="f" stroked="f" strokeweight=".5pt">
              <v:textbox inset="20pt,0,,0">
                <w:txbxContent>
                  <w:p w14:paraId="4E0E6D7F" w14:textId="77777777" w:rsidR="009A24E9" w:rsidRPr="006E4028" w:rsidRDefault="009A24E9"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198676049"/>
        <w:dataBinding w:prefixMappings="xmlns:ns0='http://purl.org/dc/elements/1.1/' xmlns:ns1='http://schemas.openxmlformats.org/package/2006/metadata/core-properties' " w:xpath="/ns1:coreProperties[1]/ns0:title[1]" w:storeItemID="{6C3C8BC8-F283-45AE-878A-BAB7291924A1}"/>
        <w:text/>
      </w:sdtPr>
      <w:sdtContent>
        <w:r w:rsidR="009A24E9" w:rsidRPr="00285FE4">
          <w:rPr>
            <w:color w:val="808080" w:themeColor="background1" w:themeShade="80"/>
            <w:szCs w:val="15"/>
            <w:lang w:eastAsia="en-AU"/>
          </w:rPr>
          <w:t>Building Reform: Paper Two</w:t>
        </w:r>
      </w:sdtContent>
    </w:sdt>
    <w:r w:rsidR="009A24E9" w:rsidRPr="00285FE4">
      <w:rPr>
        <w:color w:val="808080" w:themeColor="background1" w:themeShade="80"/>
        <w:szCs w:val="15"/>
        <w:lang w:eastAsia="en-AU"/>
      </w:rPr>
      <w:t xml:space="preserve"> | Expert Panel on Building Reform</w:t>
    </w:r>
    <w:r w:rsidR="009A24E9" w:rsidRPr="00285FE4">
      <w:rPr>
        <w:rFonts w:cs="Segoe UI"/>
        <w:color w:val="A5A5A5"/>
        <w:szCs w:val="15"/>
      </w:rPr>
      <w:ptab w:relativeTo="margin" w:alignment="right" w:leader="none"/>
    </w:r>
    <w:r w:rsidR="009A24E9" w:rsidRPr="00285FE4">
      <w:rPr>
        <w:rFonts w:cs="Segoe UI"/>
        <w:color w:val="A5A5A5"/>
        <w:szCs w:val="15"/>
      </w:rPr>
      <w:t>|</w:t>
    </w:r>
    <w:r w:rsidR="009A24E9" w:rsidRPr="00285FE4">
      <w:rPr>
        <w:rFonts w:cs="Segoe UI"/>
        <w:color w:val="808080" w:themeColor="background1" w:themeShade="80"/>
        <w:szCs w:val="15"/>
      </w:rPr>
      <w:t xml:space="preserve"> </w:t>
    </w:r>
    <w:r w:rsidR="009A24E9">
      <w:rPr>
        <w:rFonts w:cs="Segoe UI"/>
        <w:color w:val="808080" w:themeColor="background1" w:themeShade="80"/>
        <w:szCs w:val="15"/>
      </w:rPr>
      <w:t>24</w:t>
    </w:r>
    <w:r w:rsidR="009A24E9" w:rsidRPr="00285FE4">
      <w:rPr>
        <w:rFonts w:cs="Segoe UI"/>
        <w:b/>
        <w:color w:val="808080" w:themeColor="background1" w:themeShade="80"/>
        <w:szCs w:val="15"/>
      </w:rPr>
      <w:t xml:space="preserve"> </w:t>
    </w:r>
    <w:r w:rsidR="009A24E9" w:rsidRPr="00285FE4">
      <w:rPr>
        <w:rFonts w:cs="Segoe UI"/>
        <w:color w:val="A5A5A5"/>
        <w:szCs w:val="15"/>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EF33A" w14:textId="60B6BF4B" w:rsidR="00A168A0" w:rsidRDefault="008E041E">
    <w:pPr>
      <w:pStyle w:val="Footer"/>
      <w:jc w:val="right"/>
    </w:pPr>
    <w:r>
      <w:rPr>
        <w:noProof/>
      </w:rPr>
      <mc:AlternateContent>
        <mc:Choice Requires="wps">
          <w:drawing>
            <wp:anchor distT="0" distB="0" distL="114300" distR="114300" simplePos="0" relativeHeight="251660496" behindDoc="0" locked="0" layoutInCell="0" allowOverlap="1" wp14:anchorId="5DD598CE" wp14:editId="4E4713C6">
              <wp:simplePos x="0" y="0"/>
              <wp:positionH relativeFrom="page">
                <wp:posOffset>0</wp:posOffset>
              </wp:positionH>
              <wp:positionV relativeFrom="page">
                <wp:posOffset>10228580</wp:posOffset>
              </wp:positionV>
              <wp:extent cx="7560945" cy="273050"/>
              <wp:effectExtent l="0" t="0" r="0" b="12700"/>
              <wp:wrapNone/>
              <wp:docPr id="27976" name="MSIPCM340e4888b5c45b2a58c1a054"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14412A" w14:textId="7B61CC60" w:rsidR="008E041E" w:rsidRPr="008E041E" w:rsidRDefault="008E041E" w:rsidP="008E041E">
                          <w:pPr>
                            <w:spacing w:after="0"/>
                            <w:rPr>
                              <w:rFonts w:ascii="Calibri" w:hAnsi="Calibri" w:cs="Calibri"/>
                              <w:color w:val="000000"/>
                            </w:rPr>
                          </w:pPr>
                          <w:r w:rsidRPr="008E041E">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DD598CE" id="_x0000_t202" coordsize="21600,21600" o:spt="202" path="m,l,21600r21600,l21600,xe">
              <v:stroke joinstyle="miter"/>
              <v:path gradientshapeok="t" o:connecttype="rect"/>
            </v:shapetype>
            <v:shape id="MSIPCM340e4888b5c45b2a58c1a054" o:spid="_x0000_s1033" type="#_x0000_t202" alt="{&quot;HashCode&quot;:-1267603503,&quot;Height&quot;:841.0,&quot;Width&quot;:595.0,&quot;Placement&quot;:&quot;Footer&quot;,&quot;Index&quot;:&quot;FirstPage&quot;,&quot;Section&quot;:1,&quot;Top&quot;:0.0,&quot;Left&quot;:0.0}" style="position:absolute;left:0;text-align:left;margin-left:0;margin-top:805.4pt;width:595.35pt;height:21.5pt;z-index:2516604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PZFHQIAACw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lXQ27LGD6oTrOeiZ95avFc6w&#10;YT48M4dU40Yo3/CEh9SAveBsUVKD+/E3f8xHBjBKSYvSKan/fmBOUKK/GuRmMpvmeRRbuqHhknE7&#10;nk7xshu85tDcA8pyjC/E8mTG3KAHUzpoXlHeq9gOQ8xwbFrS3WDeh17J+Dy4WK1SEsrKsrAxW8tj&#10;6QhahPale2XOnvEPyNwjDOpixTsa+twe7tUhgFSJowhwD+cZd5Rkou78fKLmf72nrMsjX/4E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Kos9kUdAgAALAQAAA4AAAAAAAAAAAAAAAAALgIAAGRycy9lMm9Eb2MueG1sUEsB&#10;Ai0AFAAGAAgAAAAhAANaherfAAAACwEAAA8AAAAAAAAAAAAAAAAAdwQAAGRycy9kb3ducmV2Lnht&#10;bFBLBQYAAAAABAAEAPMAAACDBQAAAAA=&#10;" o:allowincell="f" filled="f" stroked="f" strokeweight=".5pt">
              <v:textbox inset="20pt,0,,0">
                <w:txbxContent>
                  <w:p w14:paraId="6314412A" w14:textId="7B61CC60" w:rsidR="008E041E" w:rsidRPr="008E041E" w:rsidRDefault="008E041E" w:rsidP="008E041E">
                    <w:pPr>
                      <w:spacing w:after="0"/>
                      <w:rPr>
                        <w:rFonts w:ascii="Calibri" w:hAnsi="Calibri" w:cs="Calibri"/>
                        <w:color w:val="000000"/>
                      </w:rPr>
                    </w:pPr>
                    <w:r w:rsidRPr="008E041E">
                      <w:rPr>
                        <w:rFonts w:ascii="Calibri" w:hAnsi="Calibri" w:cs="Calibri"/>
                        <w:color w:val="000000"/>
                      </w:rPr>
                      <w:t>OFFICIAL</w:t>
                    </w:r>
                  </w:p>
                </w:txbxContent>
              </v:textbox>
              <w10:wrap anchorx="page" anchory="page"/>
            </v:shape>
          </w:pict>
        </mc:Fallback>
      </mc:AlternateContent>
    </w:r>
    <w:r w:rsidR="000D6207">
      <w:rPr>
        <w:noProof/>
      </w:rPr>
      <mc:AlternateContent>
        <mc:Choice Requires="wps">
          <w:drawing>
            <wp:anchor distT="0" distB="0" distL="114300" distR="114300" simplePos="0" relativeHeight="251658428" behindDoc="0" locked="0" layoutInCell="0" allowOverlap="1" wp14:anchorId="30C29C66" wp14:editId="03CBFC15">
              <wp:simplePos x="0" y="0"/>
              <wp:positionH relativeFrom="page">
                <wp:posOffset>0</wp:posOffset>
              </wp:positionH>
              <wp:positionV relativeFrom="page">
                <wp:posOffset>10228580</wp:posOffset>
              </wp:positionV>
              <wp:extent cx="7560945" cy="273050"/>
              <wp:effectExtent l="0" t="0" r="0" b="12700"/>
              <wp:wrapNone/>
              <wp:docPr id="12" name="Text Box 12"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B49B5A" w14:textId="1D45F9DF" w:rsidR="000D6207" w:rsidRPr="000D6207" w:rsidRDefault="000D6207" w:rsidP="000D6207">
                          <w:pPr>
                            <w:spacing w:after="0"/>
                            <w:rPr>
                              <w:rFonts w:ascii="Calibri" w:hAnsi="Calibri" w:cs="Calibri"/>
                              <w:color w:val="000000"/>
                            </w:rPr>
                          </w:pPr>
                          <w:r w:rsidRPr="000D620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30C29C66" id="Text Box 12" o:spid="_x0000_s1034" type="#_x0000_t202" alt="{&quot;HashCode&quot;:-1267603503,&quot;Height&quot;:841.0,&quot;Width&quot;:595.0,&quot;Placement&quot;:&quot;Footer&quot;,&quot;Index&quot;:&quot;FirstPage&quot;,&quot;Section&quot;:1,&quot;Top&quot;:0.0,&quot;Left&quot;:0.0}" style="position:absolute;left:0;text-align:left;margin-left:0;margin-top:805.4pt;width:595.35pt;height:21.5pt;z-index:2516584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" o:allowincell="f" filled="f" stroked="f" strokeweight=".5pt">
              <v:textbox inset="20pt,0,,0">
                <w:txbxContent>
                  <w:p w14:paraId="6EB49B5A" w14:textId="1D45F9DF" w:rsidR="000D6207" w:rsidRPr="000D6207" w:rsidRDefault="000D6207" w:rsidP="000D6207">
                    <w:pPr>
                      <w:spacing w:after="0"/>
                      <w:rPr>
                        <w:rFonts w:ascii="Calibri" w:hAnsi="Calibri" w:cs="Calibri"/>
                        <w:color w:val="000000"/>
                      </w:rPr>
                    </w:pPr>
                    <w:r w:rsidRPr="000D6207">
                      <w:rPr>
                        <w:rFonts w:ascii="Calibri" w:hAnsi="Calibri" w:cs="Calibri"/>
                        <w:color w:val="000000"/>
                      </w:rPr>
                      <w:t>OFFICIAL</w:t>
                    </w:r>
                  </w:p>
                </w:txbxContent>
              </v:textbox>
              <w10:wrap anchorx="page" anchory="page"/>
            </v:shape>
          </w:pict>
        </mc:Fallback>
      </mc:AlternateContent>
    </w:r>
    <w:r w:rsidR="003C2FDB">
      <w:rPr>
        <w:noProof/>
      </w:rPr>
      <mc:AlternateContent>
        <mc:Choice Requires="wps">
          <w:drawing>
            <wp:anchor distT="0" distB="0" distL="114300" distR="114300" simplePos="0" relativeHeight="251658255" behindDoc="0" locked="0" layoutInCell="0" allowOverlap="1" wp14:anchorId="1F08F4AE" wp14:editId="70C135AF">
              <wp:simplePos x="0" y="0"/>
              <wp:positionH relativeFrom="page">
                <wp:posOffset>0</wp:posOffset>
              </wp:positionH>
              <wp:positionV relativeFrom="page">
                <wp:posOffset>10228580</wp:posOffset>
              </wp:positionV>
              <wp:extent cx="7560945" cy="273050"/>
              <wp:effectExtent l="0" t="0" r="0" b="12700"/>
              <wp:wrapNone/>
              <wp:docPr id="27780" name="Text Box 27780"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85E1A8" w14:textId="2A5D042C" w:rsidR="003C2FDB" w:rsidRPr="003C2FDB" w:rsidRDefault="003C2FDB"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1F08F4AE" id="Text Box 27780" o:spid="_x0000_s1035" type="#_x0000_t202" alt="{&quot;HashCode&quot;:-1267603503,&quot;Height&quot;:841.0,&quot;Width&quot;:595.0,&quot;Placement&quot;:&quot;Footer&quot;,&quot;Index&quot;:&quot;FirstPage&quot;,&quot;Section&quot;:1,&quot;Top&quot;:0.0,&quot;Left&quot;:0.0}" style="position:absolute;left:0;text-align:left;margin-left:0;margin-top:805.4pt;width:595.3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3kHQIAACw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UjDHjuoTrieg555b/la4Qwb&#10;5sMzc0g1boTyDU94SA3YC84WJTW4H3/zx3xkAKOUtCidkvrvB+YEJfqrQW4ms2meR7GlGxouGbfj&#10;6RQvu8FrDs09oCzH+EIsT2bMDXowpYPmFeW9iu0wxAzHpiXdDeZ96JWMz4OL1SoloawsCxuztTyW&#10;jqBFaF+6V+bsGf+AzD3CoC5WvKOhz+3hXh0CSJU4igD3cJ5xR0km6s7PJ2r+13vKujzy5U8A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M3N7eQdAgAALAQAAA4AAAAAAAAAAAAAAAAALgIAAGRycy9lMm9Eb2MueG1sUEsB&#10;Ai0AFAAGAAgAAAAhAANaherfAAAACwEAAA8AAAAAAAAAAAAAAAAAdwQAAGRycy9kb3ducmV2Lnht&#10;bFBLBQYAAAAABAAEAPMAAACDBQAAAAA=&#10;" o:allowincell="f" filled="f" stroked="f" strokeweight=".5pt">
              <v:textbox inset="20pt,0,,0">
                <w:txbxContent>
                  <w:p w14:paraId="1385E1A8" w14:textId="2A5D042C" w:rsidR="003C2FDB" w:rsidRPr="003C2FDB" w:rsidRDefault="003C2FDB"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sidR="007E53BD">
      <w:rPr>
        <w:noProof/>
      </w:rPr>
      <mc:AlternateContent>
        <mc:Choice Requires="wps">
          <w:drawing>
            <wp:anchor distT="0" distB="0" distL="114300" distR="114300" simplePos="0" relativeHeight="251658250" behindDoc="0" locked="0" layoutInCell="0" allowOverlap="1" wp14:anchorId="5F8E0618" wp14:editId="4FC769BA">
              <wp:simplePos x="0" y="0"/>
              <wp:positionH relativeFrom="page">
                <wp:posOffset>0</wp:posOffset>
              </wp:positionH>
              <wp:positionV relativeFrom="page">
                <wp:posOffset>10228580</wp:posOffset>
              </wp:positionV>
              <wp:extent cx="7560945" cy="273050"/>
              <wp:effectExtent l="0" t="0" r="0" b="12700"/>
              <wp:wrapNone/>
              <wp:docPr id="22" name="Text Box 22"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51E216" w14:textId="4554089C" w:rsidR="007E53BD" w:rsidRPr="007E53BD" w:rsidRDefault="007E53BD"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5F8E0618" id="Text Box 22" o:spid="_x0000_s1036" type="#_x0000_t202" alt="{&quot;HashCode&quot;:-1267603503,&quot;Height&quot;:841.0,&quot;Width&quot;:595.0,&quot;Placement&quot;:&quot;Footer&quot;,&quot;Index&quot;:&quot;FirstPage&quot;,&quot;Section&quot;:1,&quot;Top&quot;:0.0,&quot;Left&quot;:0.0}" style="position:absolute;left:0;text-align:left;margin-left:0;margin-top:805.4pt;width:595.3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OkUeYgdAgAALAQAAA4AAAAAAAAAAAAAAAAALgIAAGRycy9lMm9Eb2MueG1sUEsB&#10;Ai0AFAAGAAgAAAAhAANaherfAAAACwEAAA8AAAAAAAAAAAAAAAAAdwQAAGRycy9kb3ducmV2Lnht&#10;bFBLBQYAAAAABAAEAPMAAACDBQAAAAA=&#10;" o:allowincell="f" filled="f" stroked="f" strokeweight=".5pt">
              <v:textbox inset="20pt,0,,0">
                <w:txbxContent>
                  <w:p w14:paraId="5B51E216" w14:textId="4554089C" w:rsidR="007E53BD" w:rsidRPr="007E53BD" w:rsidRDefault="007E53BD"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sidR="006E4028">
      <w:rPr>
        <w:noProof/>
      </w:rPr>
      <mc:AlternateContent>
        <mc:Choice Requires="wps">
          <w:drawing>
            <wp:anchor distT="0" distB="0" distL="114300" distR="114300" simplePos="0" relativeHeight="251658242" behindDoc="0" locked="0" layoutInCell="0" allowOverlap="1" wp14:anchorId="2B39283A" wp14:editId="0BE128A9">
              <wp:simplePos x="0" y="0"/>
              <wp:positionH relativeFrom="page">
                <wp:posOffset>0</wp:posOffset>
              </wp:positionH>
              <wp:positionV relativeFrom="page">
                <wp:posOffset>10228580</wp:posOffset>
              </wp:positionV>
              <wp:extent cx="7560945" cy="273050"/>
              <wp:effectExtent l="0" t="0" r="0" b="12700"/>
              <wp:wrapNone/>
              <wp:docPr id="8" name="Text Box 8"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75F561" w14:textId="7DC373EF" w:rsidR="006E4028" w:rsidRPr="006E4028" w:rsidRDefault="006E4028"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2B39283A" id="Text Box 8" o:spid="_x0000_s1037" type="#_x0000_t202" alt="{&quot;HashCode&quot;:-1267603503,&quot;Height&quot;:841.0,&quot;Width&quot;:595.0,&quot;Placement&quot;:&quot;Footer&quot;,&quot;Index&quot;:&quot;FirstPage&quot;,&quot;Section&quot;:1,&quot;Top&quot;:0.0,&quot;Left&quot;:0.0}" style="position:absolute;left:0;text-align:left;margin-left:0;margin-top:805.4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HpnTDUdAgAALAQAAA4AAAAAAAAAAAAAAAAALgIAAGRycy9lMm9Eb2MueG1sUEsB&#10;Ai0AFAAGAAgAAAAhAANaherfAAAACwEAAA8AAAAAAAAAAAAAAAAAdwQAAGRycy9kb3ducmV2Lnht&#10;bFBLBQYAAAAABAAEAPMAAACDBQAAAAA=&#10;" o:allowincell="f" filled="f" stroked="f" strokeweight=".5pt">
              <v:textbox inset="20pt,0,,0">
                <w:txbxContent>
                  <w:p w14:paraId="5975F561" w14:textId="7DC373EF" w:rsidR="006E4028" w:rsidRPr="006E4028" w:rsidRDefault="006E4028"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r w:rsidR="00A168A0">
      <w:fldChar w:fldCharType="begin"/>
    </w:r>
    <w:r w:rsidR="00A168A0">
      <w:instrText xml:space="preserve"> PAGE   \* MERGEFORMAT </w:instrText>
    </w:r>
    <w:r w:rsidR="00A168A0">
      <w:fldChar w:fldCharType="separate"/>
    </w:r>
    <w:r w:rsidR="00A168A0">
      <w:rPr>
        <w:noProof/>
      </w:rPr>
      <w:t>2</w:t>
    </w:r>
    <w:r w:rsidR="00A168A0">
      <w:rPr>
        <w:noProof/>
      </w:rPr>
      <w:fldChar w:fldCharType="end"/>
    </w:r>
  </w:p>
  <w:p w14:paraId="2A5AE9A3" w14:textId="77777777" w:rsidR="00A168A0" w:rsidRDefault="00A168A0">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DCABC" w14:textId="4350CA14" w:rsidR="009A24E9" w:rsidRPr="00285FE4" w:rsidRDefault="000F3476"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0" relativeHeight="251658445" behindDoc="0" locked="0" layoutInCell="0" allowOverlap="1" wp14:anchorId="0D652C7F" wp14:editId="4C43DF58">
              <wp:simplePos x="0" y="0"/>
              <wp:positionH relativeFrom="page">
                <wp:posOffset>0</wp:posOffset>
              </wp:positionH>
              <wp:positionV relativeFrom="page">
                <wp:posOffset>10228580</wp:posOffset>
              </wp:positionV>
              <wp:extent cx="7560945" cy="273050"/>
              <wp:effectExtent l="0" t="0" r="0" b="12700"/>
              <wp:wrapNone/>
              <wp:docPr id="27940" name="Text Box 27940" descr="{&quot;HashCode&quot;:-1267603503,&quot;Height&quot;:841.0,&quot;Width&quot;:595.0,&quot;Placement&quot;:&quot;Footer&quot;,&quot;Index&quot;:&quot;Primary&quot;,&quot;Section&quot;:2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7463BD" w14:textId="1153774E" w:rsidR="000F3476" w:rsidRPr="000F3476" w:rsidRDefault="000F3476" w:rsidP="000F3476">
                          <w:pPr>
                            <w:spacing w:after="0"/>
                            <w:rPr>
                              <w:rFonts w:ascii="Calibri" w:hAnsi="Calibri" w:cs="Calibri"/>
                              <w:color w:val="000000"/>
                            </w:rPr>
                          </w:pPr>
                          <w:r w:rsidRPr="000F3476">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D652C7F" id="_x0000_t202" coordsize="21600,21600" o:spt="202" path="m,l,21600r21600,l21600,xe">
              <v:stroke joinstyle="miter"/>
              <v:path gradientshapeok="t" o:connecttype="rect"/>
            </v:shapetype>
            <v:shape id="Text Box 27940" o:spid="_x0000_s1107" type="#_x0000_t202" alt="{&quot;HashCode&quot;:-1267603503,&quot;Height&quot;:841.0,&quot;Width&quot;:595.0,&quot;Placement&quot;:&quot;Footer&quot;,&quot;Index&quot;:&quot;Primary&quot;,&quot;Section&quot;:24,&quot;Top&quot;:0.0,&quot;Left&quot;:0.0}" style="position:absolute;margin-left:0;margin-top:805.4pt;width:595.35pt;height:21.5pt;z-index:2516584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utlHHHgIAAC0EAAAOAAAAAAAAAAAAAAAAAC4CAABkcnMvZTJvRG9jLnhtbFBL&#10;AQItABQABgAIAAAAIQADWoXq3wAAAAsBAAAPAAAAAAAAAAAAAAAAAHgEAABkcnMvZG93bnJldi54&#10;bWxQSwUGAAAAAAQABADzAAAAhAUAAAAA&#10;" o:allowincell="f" filled="f" stroked="f" strokeweight=".5pt">
              <v:textbox inset="20pt,0,,0">
                <w:txbxContent>
                  <w:p w14:paraId="277463BD" w14:textId="1153774E" w:rsidR="000F3476" w:rsidRPr="000F3476" w:rsidRDefault="000F3476" w:rsidP="000F3476">
                    <w:pPr>
                      <w:spacing w:after="0"/>
                      <w:rPr>
                        <w:rFonts w:ascii="Calibri" w:hAnsi="Calibri" w:cs="Calibri"/>
                        <w:color w:val="000000"/>
                      </w:rPr>
                    </w:pPr>
                    <w:r w:rsidRPr="000F3476">
                      <w:rPr>
                        <w:rFonts w:ascii="Calibri" w:hAnsi="Calibri" w:cs="Calibri"/>
                        <w:color w:val="000000"/>
                      </w:rPr>
                      <w:t>OFFICIAL</w:t>
                    </w:r>
                  </w:p>
                </w:txbxContent>
              </v:textbox>
              <w10:wrap anchorx="page" anchory="page"/>
            </v:shape>
          </w:pict>
        </mc:Fallback>
      </mc:AlternateContent>
    </w:r>
    <w:r w:rsidR="009A24E9">
      <w:rPr>
        <w:noProof/>
        <w:color w:val="808080" w:themeColor="background1" w:themeShade="80"/>
        <w:szCs w:val="15"/>
        <w:lang w:eastAsia="en-AU"/>
      </w:rPr>
      <mc:AlternateContent>
        <mc:Choice Requires="wps">
          <w:drawing>
            <wp:anchor distT="0" distB="0" distL="114300" distR="114300" simplePos="0" relativeHeight="251658312" behindDoc="0" locked="0" layoutInCell="0" allowOverlap="1" wp14:anchorId="6D8794B7" wp14:editId="05612B97">
              <wp:simplePos x="0" y="0"/>
              <wp:positionH relativeFrom="page">
                <wp:posOffset>0</wp:posOffset>
              </wp:positionH>
              <wp:positionV relativeFrom="page">
                <wp:posOffset>10228580</wp:posOffset>
              </wp:positionV>
              <wp:extent cx="7560945" cy="273050"/>
              <wp:effectExtent l="0" t="0" r="0" b="12700"/>
              <wp:wrapNone/>
              <wp:docPr id="27815" name="Text Box 27815"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EA7612" w14:textId="77777777" w:rsidR="009A24E9" w:rsidRPr="003C2FDB" w:rsidRDefault="009A24E9"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D8794B7" id="Text Box 27815" o:spid="_x0000_s1108" type="#_x0000_t202" alt="{&quot;HashCode&quot;:-1267603503,&quot;Height&quot;:841.0,&quot;Width&quot;:595.0,&quot;Placement&quot;:&quot;Footer&quot;,&quot;Index&quot;:&quot;Primary&quot;,&quot;Section&quot;:11,&quot;Top&quot;:0.0,&quot;Left&quot;:0.0}" style="position:absolute;margin-left:0;margin-top:805.4pt;width:595.35pt;height:21.5pt;z-index:251658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" o:allowincell="f" filled="f" stroked="f" strokeweight=".5pt">
              <v:textbox inset="20pt,0,,0">
                <w:txbxContent>
                  <w:p w14:paraId="09EA7612" w14:textId="77777777" w:rsidR="009A24E9" w:rsidRPr="003C2FDB" w:rsidRDefault="009A24E9"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sidR="009A24E9">
      <w:rPr>
        <w:noProof/>
        <w:color w:val="808080" w:themeColor="background1" w:themeShade="80"/>
        <w:szCs w:val="15"/>
        <w:lang w:eastAsia="en-AU"/>
      </w:rPr>
      <mc:AlternateContent>
        <mc:Choice Requires="wps">
          <w:drawing>
            <wp:anchor distT="0" distB="0" distL="114300" distR="114300" simplePos="0" relativeHeight="251658311" behindDoc="0" locked="0" layoutInCell="0" allowOverlap="1" wp14:anchorId="7BD2041D" wp14:editId="42F4B895">
              <wp:simplePos x="0" y="0"/>
              <wp:positionH relativeFrom="page">
                <wp:posOffset>0</wp:posOffset>
              </wp:positionH>
              <wp:positionV relativeFrom="page">
                <wp:posOffset>10228580</wp:posOffset>
              </wp:positionV>
              <wp:extent cx="7560945" cy="273050"/>
              <wp:effectExtent l="0" t="0" r="0" b="12700"/>
              <wp:wrapNone/>
              <wp:docPr id="27816" name="Text Box 27816"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A80E84" w14:textId="77777777" w:rsidR="009A24E9" w:rsidRPr="007E53BD" w:rsidRDefault="009A24E9"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7BD2041D" id="Text Box 27816" o:spid="_x0000_s1109" type="#_x0000_t202" alt="{&quot;HashCode&quot;:-1267603503,&quot;Height&quot;:841.0,&quot;Width&quot;:595.0,&quot;Placement&quot;:&quot;Footer&quot;,&quot;Index&quot;:&quot;Primary&quot;,&quot;Section&quot;:11,&quot;Top&quot;:0.0,&quot;Left&quot;:0.0}" style="position:absolute;margin-left:0;margin-top:805.4pt;width:595.35pt;height:21.5pt;z-index:25165831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DlJwhIdAgAALQQAAA4AAAAAAAAAAAAAAAAALgIAAGRycy9lMm9Eb2MueG1sUEsB&#10;Ai0AFAAGAAgAAAAhAANaherfAAAACwEAAA8AAAAAAAAAAAAAAAAAdwQAAGRycy9kb3ducmV2Lnht&#10;bFBLBQYAAAAABAAEAPMAAACDBQAAAAA=&#10;" o:allowincell="f" filled="f" stroked="f" strokeweight=".5pt">
              <v:textbox inset="20pt,0,,0">
                <w:txbxContent>
                  <w:p w14:paraId="23A80E84" w14:textId="77777777" w:rsidR="009A24E9" w:rsidRPr="007E53BD" w:rsidRDefault="009A24E9"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sidR="009A24E9">
      <w:rPr>
        <w:noProof/>
        <w:color w:val="808080" w:themeColor="background1" w:themeShade="80"/>
        <w:szCs w:val="15"/>
        <w:lang w:eastAsia="en-AU"/>
      </w:rPr>
      <mc:AlternateContent>
        <mc:Choice Requires="wps">
          <w:drawing>
            <wp:anchor distT="0" distB="0" distL="114300" distR="114300" simplePos="0" relativeHeight="251658310" behindDoc="0" locked="0" layoutInCell="0" allowOverlap="1" wp14:anchorId="415A0345" wp14:editId="353C516C">
              <wp:simplePos x="0" y="0"/>
              <wp:positionH relativeFrom="page">
                <wp:posOffset>0</wp:posOffset>
              </wp:positionH>
              <wp:positionV relativeFrom="page">
                <wp:posOffset>10228580</wp:posOffset>
              </wp:positionV>
              <wp:extent cx="7560945" cy="273050"/>
              <wp:effectExtent l="0" t="0" r="0" b="12700"/>
              <wp:wrapNone/>
              <wp:docPr id="27817" name="Text Box 27817"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E47E8D" w14:textId="77777777" w:rsidR="009A24E9" w:rsidRPr="006E4028" w:rsidRDefault="009A24E9"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415A0345" id="Text Box 27817" o:spid="_x0000_s1110" type="#_x0000_t202" alt="{&quot;HashCode&quot;:-1267603503,&quot;Height&quot;:841.0,&quot;Width&quot;:595.0,&quot;Placement&quot;:&quot;Footer&quot;,&quot;Index&quot;:&quot;Primary&quot;,&quot;Section&quot;:11,&quot;Top&quot;:0.0,&quot;Left&quot;:0.0}" style="position:absolute;margin-left:0;margin-top:805.4pt;width:595.35pt;height:21.5pt;z-index:25165831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N2+wOHgIAAC0EAAAOAAAAAAAAAAAAAAAAAC4CAABkcnMvZTJvRG9jLnhtbFBL&#10;AQItABQABgAIAAAAIQADWoXq3wAAAAsBAAAPAAAAAAAAAAAAAAAAAHgEAABkcnMvZG93bnJldi54&#10;bWxQSwUGAAAAAAQABADzAAAAhAUAAAAA&#10;" o:allowincell="f" filled="f" stroked="f" strokeweight=".5pt">
              <v:textbox inset="20pt,0,,0">
                <w:txbxContent>
                  <w:p w14:paraId="4FE47E8D" w14:textId="77777777" w:rsidR="009A24E9" w:rsidRPr="006E4028" w:rsidRDefault="009A24E9"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178015894"/>
        <w:dataBinding w:prefixMappings="xmlns:ns0='http://purl.org/dc/elements/1.1/' xmlns:ns1='http://schemas.openxmlformats.org/package/2006/metadata/core-properties' " w:xpath="/ns1:coreProperties[1]/ns0:title[1]" w:storeItemID="{6C3C8BC8-F283-45AE-878A-BAB7291924A1}"/>
        <w:text/>
      </w:sdtPr>
      <w:sdtContent>
        <w:r w:rsidR="009A24E9" w:rsidRPr="00285FE4">
          <w:rPr>
            <w:color w:val="808080" w:themeColor="background1" w:themeShade="80"/>
            <w:szCs w:val="15"/>
            <w:lang w:eastAsia="en-AU"/>
          </w:rPr>
          <w:t>Building Reform: Paper Two</w:t>
        </w:r>
      </w:sdtContent>
    </w:sdt>
    <w:r w:rsidR="009A24E9" w:rsidRPr="00285FE4">
      <w:rPr>
        <w:color w:val="808080" w:themeColor="background1" w:themeShade="80"/>
        <w:szCs w:val="15"/>
        <w:lang w:eastAsia="en-AU"/>
      </w:rPr>
      <w:t xml:space="preserve"> | Expert Panel on Building Reform</w:t>
    </w:r>
    <w:r w:rsidR="009A24E9" w:rsidRPr="00285FE4">
      <w:rPr>
        <w:rFonts w:cs="Segoe UI"/>
        <w:color w:val="A5A5A5"/>
        <w:szCs w:val="15"/>
      </w:rPr>
      <w:ptab w:relativeTo="margin" w:alignment="right" w:leader="none"/>
    </w:r>
    <w:r w:rsidR="009A24E9" w:rsidRPr="00285FE4">
      <w:rPr>
        <w:rFonts w:cs="Segoe UI"/>
        <w:color w:val="A5A5A5"/>
        <w:szCs w:val="15"/>
      </w:rPr>
      <w:t>|</w:t>
    </w:r>
    <w:r w:rsidR="009A24E9" w:rsidRPr="00285FE4">
      <w:rPr>
        <w:rFonts w:cs="Segoe UI"/>
        <w:color w:val="808080" w:themeColor="background1" w:themeShade="80"/>
        <w:szCs w:val="15"/>
      </w:rPr>
      <w:t xml:space="preserve"> </w:t>
    </w:r>
    <w:r w:rsidR="009A24E9">
      <w:rPr>
        <w:rFonts w:cs="Segoe UI"/>
        <w:color w:val="808080" w:themeColor="background1" w:themeShade="80"/>
        <w:szCs w:val="15"/>
      </w:rPr>
      <w:t>25</w:t>
    </w:r>
    <w:r w:rsidR="009A24E9" w:rsidRPr="00285FE4">
      <w:rPr>
        <w:rFonts w:cs="Segoe UI"/>
        <w:b/>
        <w:color w:val="808080" w:themeColor="background1" w:themeShade="80"/>
        <w:szCs w:val="15"/>
      </w:rPr>
      <w:t xml:space="preserve"> </w:t>
    </w:r>
    <w:r w:rsidR="009A24E9" w:rsidRPr="00285FE4">
      <w:rPr>
        <w:rFonts w:cs="Segoe UI"/>
        <w:color w:val="A5A5A5"/>
        <w:szCs w:val="15"/>
      </w:rPr>
      <w:t>|</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8D3E9" w14:textId="2FCD0866" w:rsidR="009A24E9" w:rsidRPr="00285FE4" w:rsidRDefault="000F3476"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0" relativeHeight="251658446" behindDoc="0" locked="0" layoutInCell="0" allowOverlap="1" wp14:anchorId="67C7EF8B" wp14:editId="0587F5F1">
              <wp:simplePos x="0" y="0"/>
              <wp:positionH relativeFrom="page">
                <wp:posOffset>0</wp:posOffset>
              </wp:positionH>
              <wp:positionV relativeFrom="page">
                <wp:posOffset>10228580</wp:posOffset>
              </wp:positionV>
              <wp:extent cx="7560945" cy="273050"/>
              <wp:effectExtent l="0" t="0" r="0" b="12700"/>
              <wp:wrapNone/>
              <wp:docPr id="27941" name="Text Box 27941" descr="{&quot;HashCode&quot;:-1267603503,&quot;Height&quot;:841.0,&quot;Width&quot;:595.0,&quot;Placement&quot;:&quot;Footer&quot;,&quot;Index&quot;:&quot;Primary&quot;,&quot;Section&quot;:2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890011" w14:textId="050FA46A" w:rsidR="000F3476" w:rsidRPr="000F3476" w:rsidRDefault="000F3476" w:rsidP="000F3476">
                          <w:pPr>
                            <w:spacing w:after="0"/>
                            <w:rPr>
                              <w:rFonts w:ascii="Calibri" w:hAnsi="Calibri" w:cs="Calibri"/>
                              <w:color w:val="000000"/>
                            </w:rPr>
                          </w:pPr>
                          <w:r w:rsidRPr="000F3476">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7C7EF8B" id="_x0000_t202" coordsize="21600,21600" o:spt="202" path="m,l,21600r21600,l21600,xe">
              <v:stroke joinstyle="miter"/>
              <v:path gradientshapeok="t" o:connecttype="rect"/>
            </v:shapetype>
            <v:shape id="Text Box 27941" o:spid="_x0000_s1111" type="#_x0000_t202" alt="{&quot;HashCode&quot;:-1267603503,&quot;Height&quot;:841.0,&quot;Width&quot;:595.0,&quot;Placement&quot;:&quot;Footer&quot;,&quot;Index&quot;:&quot;Primary&quot;,&quot;Section&quot;:25,&quot;Top&quot;:0.0,&quot;Left&quot;:0.0}" style="position:absolute;margin-left:0;margin-top:805.4pt;width:595.35pt;height:21.5pt;z-index:2516584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eqNmzHgIAAC0EAAAOAAAAAAAAAAAAAAAAAC4CAABkcnMvZTJvRG9jLnhtbFBL&#10;AQItABQABgAIAAAAIQADWoXq3wAAAAsBAAAPAAAAAAAAAAAAAAAAAHgEAABkcnMvZG93bnJldi54&#10;bWxQSwUGAAAAAAQABADzAAAAhAUAAAAA&#10;" o:allowincell="f" filled="f" stroked="f" strokeweight=".5pt">
              <v:textbox inset="20pt,0,,0">
                <w:txbxContent>
                  <w:p w14:paraId="28890011" w14:textId="050FA46A" w:rsidR="000F3476" w:rsidRPr="000F3476" w:rsidRDefault="000F3476" w:rsidP="000F3476">
                    <w:pPr>
                      <w:spacing w:after="0"/>
                      <w:rPr>
                        <w:rFonts w:ascii="Calibri" w:hAnsi="Calibri" w:cs="Calibri"/>
                        <w:color w:val="000000"/>
                      </w:rPr>
                    </w:pPr>
                    <w:r w:rsidRPr="000F3476">
                      <w:rPr>
                        <w:rFonts w:ascii="Calibri" w:hAnsi="Calibri" w:cs="Calibri"/>
                        <w:color w:val="000000"/>
                      </w:rPr>
                      <w:t>OFFICIAL</w:t>
                    </w:r>
                  </w:p>
                </w:txbxContent>
              </v:textbox>
              <w10:wrap anchorx="page" anchory="page"/>
            </v:shape>
          </w:pict>
        </mc:Fallback>
      </mc:AlternateContent>
    </w:r>
    <w:r w:rsidR="009A24E9">
      <w:rPr>
        <w:noProof/>
        <w:color w:val="808080" w:themeColor="background1" w:themeShade="80"/>
        <w:szCs w:val="15"/>
        <w:lang w:eastAsia="en-AU"/>
      </w:rPr>
      <mc:AlternateContent>
        <mc:Choice Requires="wps">
          <w:drawing>
            <wp:anchor distT="0" distB="0" distL="114300" distR="114300" simplePos="0" relativeHeight="251658315" behindDoc="0" locked="0" layoutInCell="0" allowOverlap="1" wp14:anchorId="6306682F" wp14:editId="07D7CB6A">
              <wp:simplePos x="0" y="0"/>
              <wp:positionH relativeFrom="page">
                <wp:posOffset>0</wp:posOffset>
              </wp:positionH>
              <wp:positionV relativeFrom="page">
                <wp:posOffset>10228580</wp:posOffset>
              </wp:positionV>
              <wp:extent cx="7560945" cy="273050"/>
              <wp:effectExtent l="0" t="0" r="0" b="12700"/>
              <wp:wrapNone/>
              <wp:docPr id="27818" name="Text Box 27818"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BE639D" w14:textId="77777777" w:rsidR="009A24E9" w:rsidRPr="003C2FDB" w:rsidRDefault="009A24E9"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306682F" id="Text Box 27818" o:spid="_x0000_s1112" type="#_x0000_t202" alt="{&quot;HashCode&quot;:-1267603503,&quot;Height&quot;:841.0,&quot;Width&quot;:595.0,&quot;Placement&quot;:&quot;Footer&quot;,&quot;Index&quot;:&quot;Primary&quot;,&quot;Section&quot;:11,&quot;Top&quot;:0.0,&quot;Left&quot;:0.0}" style="position:absolute;margin-left:0;margin-top:805.4pt;width:595.35pt;height:21.5pt;z-index:25165831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Al/rE2HgIAAC0EAAAOAAAAAAAAAAAAAAAAAC4CAABkcnMvZTJvRG9jLnhtbFBL&#10;AQItABQABgAIAAAAIQADWoXq3wAAAAsBAAAPAAAAAAAAAAAAAAAAAHgEAABkcnMvZG93bnJldi54&#10;bWxQSwUGAAAAAAQABADzAAAAhAUAAAAA&#10;" o:allowincell="f" filled="f" stroked="f" strokeweight=".5pt">
              <v:textbox inset="20pt,0,,0">
                <w:txbxContent>
                  <w:p w14:paraId="64BE639D" w14:textId="77777777" w:rsidR="009A24E9" w:rsidRPr="003C2FDB" w:rsidRDefault="009A24E9"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sidR="009A24E9">
      <w:rPr>
        <w:noProof/>
        <w:color w:val="808080" w:themeColor="background1" w:themeShade="80"/>
        <w:szCs w:val="15"/>
        <w:lang w:eastAsia="en-AU"/>
      </w:rPr>
      <mc:AlternateContent>
        <mc:Choice Requires="wps">
          <w:drawing>
            <wp:anchor distT="0" distB="0" distL="114300" distR="114300" simplePos="0" relativeHeight="251658314" behindDoc="0" locked="0" layoutInCell="0" allowOverlap="1" wp14:anchorId="7CA34A0A" wp14:editId="1F5C6C1A">
              <wp:simplePos x="0" y="0"/>
              <wp:positionH relativeFrom="page">
                <wp:posOffset>0</wp:posOffset>
              </wp:positionH>
              <wp:positionV relativeFrom="page">
                <wp:posOffset>10228580</wp:posOffset>
              </wp:positionV>
              <wp:extent cx="7560945" cy="273050"/>
              <wp:effectExtent l="0" t="0" r="0" b="12700"/>
              <wp:wrapNone/>
              <wp:docPr id="27819" name="Text Box 27819"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ACFF31" w14:textId="77777777" w:rsidR="009A24E9" w:rsidRPr="007E53BD" w:rsidRDefault="009A24E9"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7CA34A0A" id="Text Box 27819" o:spid="_x0000_s1113" type="#_x0000_t202" alt="{&quot;HashCode&quot;:-1267603503,&quot;Height&quot;:841.0,&quot;Width&quot;:595.0,&quot;Placement&quot;:&quot;Footer&quot;,&quot;Index&quot;:&quot;Primary&quot;,&quot;Section&quot;:11,&quot;Top&quot;:0.0,&quot;Left&quot;:0.0}" style="position:absolute;margin-left:0;margin-top:805.4pt;width:595.35pt;height:21.5pt;z-index:25165831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C2jYSLHgIAAC0EAAAOAAAAAAAAAAAAAAAAAC4CAABkcnMvZTJvRG9jLnhtbFBL&#10;AQItABQABgAIAAAAIQADWoXq3wAAAAsBAAAPAAAAAAAAAAAAAAAAAHgEAABkcnMvZG93bnJldi54&#10;bWxQSwUGAAAAAAQABADzAAAAhAUAAAAA&#10;" o:allowincell="f" filled="f" stroked="f" strokeweight=".5pt">
              <v:textbox inset="20pt,0,,0">
                <w:txbxContent>
                  <w:p w14:paraId="68ACFF31" w14:textId="77777777" w:rsidR="009A24E9" w:rsidRPr="007E53BD" w:rsidRDefault="009A24E9"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sidR="009A24E9">
      <w:rPr>
        <w:noProof/>
        <w:color w:val="808080" w:themeColor="background1" w:themeShade="80"/>
        <w:szCs w:val="15"/>
        <w:lang w:eastAsia="en-AU"/>
      </w:rPr>
      <mc:AlternateContent>
        <mc:Choice Requires="wps">
          <w:drawing>
            <wp:anchor distT="0" distB="0" distL="114300" distR="114300" simplePos="0" relativeHeight="251658313" behindDoc="0" locked="0" layoutInCell="0" allowOverlap="1" wp14:anchorId="37ABEEB2" wp14:editId="59F106EB">
              <wp:simplePos x="0" y="0"/>
              <wp:positionH relativeFrom="page">
                <wp:posOffset>0</wp:posOffset>
              </wp:positionH>
              <wp:positionV relativeFrom="page">
                <wp:posOffset>10228580</wp:posOffset>
              </wp:positionV>
              <wp:extent cx="7560945" cy="273050"/>
              <wp:effectExtent l="0" t="0" r="0" b="12700"/>
              <wp:wrapNone/>
              <wp:docPr id="27820" name="Text Box 27820"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563586" w14:textId="77777777" w:rsidR="009A24E9" w:rsidRPr="006E4028" w:rsidRDefault="009A24E9"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37ABEEB2" id="Text Box 27820" o:spid="_x0000_s1114" type="#_x0000_t202" alt="{&quot;HashCode&quot;:-1267603503,&quot;Height&quot;:841.0,&quot;Width&quot;:595.0,&quot;Placement&quot;:&quot;Footer&quot;,&quot;Index&quot;:&quot;Primary&quot;,&quot;Section&quot;:11,&quot;Top&quot;:0.0,&quot;Left&quot;:0.0}" style="position:absolute;margin-left:0;margin-top:805.4pt;width:595.35pt;height:21.5pt;z-index:25165831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CH6qXHgIAAC0EAAAOAAAAAAAAAAAAAAAAAC4CAABkcnMvZTJvRG9jLnhtbFBL&#10;AQItABQABgAIAAAAIQADWoXq3wAAAAsBAAAPAAAAAAAAAAAAAAAAAHgEAABkcnMvZG93bnJldi54&#10;bWxQSwUGAAAAAAQABADzAAAAhAUAAAAA&#10;" o:allowincell="f" filled="f" stroked="f" strokeweight=".5pt">
              <v:textbox inset="20pt,0,,0">
                <w:txbxContent>
                  <w:p w14:paraId="1E563586" w14:textId="77777777" w:rsidR="009A24E9" w:rsidRPr="006E4028" w:rsidRDefault="009A24E9"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739795790"/>
        <w:dataBinding w:prefixMappings="xmlns:ns0='http://purl.org/dc/elements/1.1/' xmlns:ns1='http://schemas.openxmlformats.org/package/2006/metadata/core-properties' " w:xpath="/ns1:coreProperties[1]/ns0:title[1]" w:storeItemID="{6C3C8BC8-F283-45AE-878A-BAB7291924A1}"/>
        <w:text/>
      </w:sdtPr>
      <w:sdtContent>
        <w:r w:rsidR="009A24E9" w:rsidRPr="00285FE4">
          <w:rPr>
            <w:color w:val="808080" w:themeColor="background1" w:themeShade="80"/>
            <w:szCs w:val="15"/>
            <w:lang w:eastAsia="en-AU"/>
          </w:rPr>
          <w:t>Building Reform: Paper Two</w:t>
        </w:r>
      </w:sdtContent>
    </w:sdt>
    <w:r w:rsidR="009A24E9" w:rsidRPr="00285FE4">
      <w:rPr>
        <w:color w:val="808080" w:themeColor="background1" w:themeShade="80"/>
        <w:szCs w:val="15"/>
        <w:lang w:eastAsia="en-AU"/>
      </w:rPr>
      <w:t xml:space="preserve"> | Expert Panel on Building Reform</w:t>
    </w:r>
    <w:r w:rsidR="009A24E9" w:rsidRPr="00285FE4">
      <w:rPr>
        <w:rFonts w:cs="Segoe UI"/>
        <w:color w:val="A5A5A5"/>
        <w:szCs w:val="15"/>
      </w:rPr>
      <w:ptab w:relativeTo="margin" w:alignment="right" w:leader="none"/>
    </w:r>
    <w:r w:rsidR="009A24E9" w:rsidRPr="00285FE4">
      <w:rPr>
        <w:rFonts w:cs="Segoe UI"/>
        <w:color w:val="A5A5A5"/>
        <w:szCs w:val="15"/>
      </w:rPr>
      <w:t>|</w:t>
    </w:r>
    <w:r w:rsidR="009A24E9" w:rsidRPr="00285FE4">
      <w:rPr>
        <w:rFonts w:cs="Segoe UI"/>
        <w:color w:val="808080" w:themeColor="background1" w:themeShade="80"/>
        <w:szCs w:val="15"/>
      </w:rPr>
      <w:t xml:space="preserve"> </w:t>
    </w:r>
    <w:r w:rsidR="009A24E9">
      <w:rPr>
        <w:rFonts w:cs="Segoe UI"/>
        <w:color w:val="808080" w:themeColor="background1" w:themeShade="80"/>
        <w:szCs w:val="15"/>
      </w:rPr>
      <w:t>26</w:t>
    </w:r>
    <w:r w:rsidR="009A24E9" w:rsidRPr="00285FE4">
      <w:rPr>
        <w:rFonts w:cs="Segoe UI"/>
        <w:b/>
        <w:color w:val="808080" w:themeColor="background1" w:themeShade="80"/>
        <w:szCs w:val="15"/>
      </w:rPr>
      <w:t xml:space="preserve"> </w:t>
    </w:r>
    <w:r w:rsidR="009A24E9" w:rsidRPr="00285FE4">
      <w:rPr>
        <w:rFonts w:cs="Segoe UI"/>
        <w:color w:val="A5A5A5"/>
        <w:szCs w:val="15"/>
      </w:rPr>
      <w:t>|</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8B9E1" w14:textId="3E339F6C" w:rsidR="00763C7F" w:rsidRPr="00285FE4" w:rsidRDefault="000F3476"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1" relativeHeight="251658447" behindDoc="0" locked="0" layoutInCell="0" allowOverlap="1" wp14:anchorId="5D77BFEF" wp14:editId="76653CC5">
              <wp:simplePos x="0" y="10228818"/>
              <wp:positionH relativeFrom="page">
                <wp:posOffset>0</wp:posOffset>
              </wp:positionH>
              <wp:positionV relativeFrom="page">
                <wp:posOffset>10228580</wp:posOffset>
              </wp:positionV>
              <wp:extent cx="7560945" cy="273050"/>
              <wp:effectExtent l="0" t="0" r="0" b="12700"/>
              <wp:wrapNone/>
              <wp:docPr id="27945" name="Text Box 27945" descr="{&quot;HashCode&quot;:-1267603503,&quot;Height&quot;:841.0,&quot;Width&quot;:595.0,&quot;Placement&quot;:&quot;Footer&quot;,&quot;Index&quot;:&quot;Primary&quot;,&quot;Section&quot;:28,&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514F20" w14:textId="1C2E5ACE" w:rsidR="000F3476" w:rsidRPr="000F3476" w:rsidRDefault="000F3476" w:rsidP="000F3476">
                          <w:pPr>
                            <w:spacing w:after="0"/>
                            <w:rPr>
                              <w:rFonts w:ascii="Calibri" w:hAnsi="Calibri" w:cs="Calibri"/>
                              <w:color w:val="000000"/>
                            </w:rPr>
                          </w:pPr>
                          <w:r w:rsidRPr="000F3476">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D77BFEF" id="_x0000_t202" coordsize="21600,21600" o:spt="202" path="m,l,21600r21600,l21600,xe">
              <v:stroke joinstyle="miter"/>
              <v:path gradientshapeok="t" o:connecttype="rect"/>
            </v:shapetype>
            <v:shape id="Text Box 27945" o:spid="_x0000_s1115" type="#_x0000_t202" alt="{&quot;HashCode&quot;:-1267603503,&quot;Height&quot;:841.0,&quot;Width&quot;:595.0,&quot;Placement&quot;:&quot;Footer&quot;,&quot;Index&quot;:&quot;Primary&quot;,&quot;Section&quot;:28,&quot;Top&quot;:0.0,&quot;Left&quot;:0.0}" style="position:absolute;margin-left:0;margin-top:805.4pt;width:595.35pt;height:21.5pt;z-index:2516584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RbJ8qHgIAAC0EAAAOAAAAAAAAAAAAAAAAAC4CAABkcnMvZTJvRG9jLnhtbFBL&#10;AQItABQABgAIAAAAIQADWoXq3wAAAAsBAAAPAAAAAAAAAAAAAAAAAHgEAABkcnMvZG93bnJldi54&#10;bWxQSwUGAAAAAAQABADzAAAAhAUAAAAA&#10;" o:allowincell="f" filled="f" stroked="f" strokeweight=".5pt">
              <v:textbox inset="20pt,0,,0">
                <w:txbxContent>
                  <w:p w14:paraId="42514F20" w14:textId="1C2E5ACE" w:rsidR="000F3476" w:rsidRPr="000F3476" w:rsidRDefault="000F3476" w:rsidP="000F3476">
                    <w:pPr>
                      <w:spacing w:after="0"/>
                      <w:rPr>
                        <w:rFonts w:ascii="Calibri" w:hAnsi="Calibri" w:cs="Calibri"/>
                        <w:color w:val="000000"/>
                      </w:rPr>
                    </w:pPr>
                    <w:r w:rsidRPr="000F3476">
                      <w:rPr>
                        <w:rFonts w:ascii="Calibri" w:hAnsi="Calibri" w:cs="Calibri"/>
                        <w:color w:val="000000"/>
                      </w:rPr>
                      <w:t>OFFICIAL</w:t>
                    </w:r>
                  </w:p>
                </w:txbxContent>
              </v:textbox>
              <w10:wrap anchorx="page" anchory="page"/>
            </v:shape>
          </w:pict>
        </mc:Fallback>
      </mc:AlternateContent>
    </w:r>
    <w:r w:rsidR="00763C7F">
      <w:rPr>
        <w:noProof/>
        <w:color w:val="808080" w:themeColor="background1" w:themeShade="80"/>
        <w:szCs w:val="15"/>
        <w:lang w:eastAsia="en-AU"/>
      </w:rPr>
      <mc:AlternateContent>
        <mc:Choice Requires="wps">
          <w:drawing>
            <wp:anchor distT="0" distB="0" distL="114300" distR="114300" simplePos="0" relativeHeight="251658276" behindDoc="0" locked="0" layoutInCell="0" allowOverlap="1" wp14:anchorId="76FFA29C" wp14:editId="480E2B84">
              <wp:simplePos x="0" y="0"/>
              <wp:positionH relativeFrom="page">
                <wp:posOffset>0</wp:posOffset>
              </wp:positionH>
              <wp:positionV relativeFrom="page">
                <wp:posOffset>10228580</wp:posOffset>
              </wp:positionV>
              <wp:extent cx="7560945" cy="273050"/>
              <wp:effectExtent l="0" t="0" r="0" b="12700"/>
              <wp:wrapNone/>
              <wp:docPr id="53" name="Text Box 53"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A2D46F" w14:textId="77777777" w:rsidR="00763C7F" w:rsidRPr="003C2FDB" w:rsidRDefault="00763C7F"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76FFA29C" id="Text Box 53" o:spid="_x0000_s1116" type="#_x0000_t202" alt="{&quot;HashCode&quot;:-1267603503,&quot;Height&quot;:841.0,&quot;Width&quot;:595.0,&quot;Placement&quot;:&quot;Footer&quot;,&quot;Index&quot;:&quot;Primary&quot;,&quot;Section&quot;:11,&quot;Top&quot;:0.0,&quot;Left&quot;:0.0}" style="position:absolute;margin-left:0;margin-top:805.4pt;width:595.35pt;height:21.5pt;z-index:2516582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1tQtGHgIAAC0EAAAOAAAAAAAAAAAAAAAAAC4CAABkcnMvZTJvRG9jLnhtbFBL&#10;AQItABQABgAIAAAAIQADWoXq3wAAAAsBAAAPAAAAAAAAAAAAAAAAAHgEAABkcnMvZG93bnJldi54&#10;bWxQSwUGAAAAAAQABADzAAAAhAUAAAAA&#10;" o:allowincell="f" filled="f" stroked="f" strokeweight=".5pt">
              <v:textbox inset="20pt,0,,0">
                <w:txbxContent>
                  <w:p w14:paraId="33A2D46F" w14:textId="77777777" w:rsidR="00763C7F" w:rsidRPr="003C2FDB" w:rsidRDefault="00763C7F"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sidR="00763C7F">
      <w:rPr>
        <w:noProof/>
        <w:color w:val="808080" w:themeColor="background1" w:themeShade="80"/>
        <w:szCs w:val="15"/>
        <w:lang w:eastAsia="en-AU"/>
      </w:rPr>
      <mc:AlternateContent>
        <mc:Choice Requires="wps">
          <w:drawing>
            <wp:anchor distT="0" distB="0" distL="114300" distR="114300" simplePos="0" relativeHeight="251658275" behindDoc="0" locked="0" layoutInCell="0" allowOverlap="1" wp14:anchorId="62A82FB5" wp14:editId="693B1AE7">
              <wp:simplePos x="0" y="0"/>
              <wp:positionH relativeFrom="page">
                <wp:posOffset>0</wp:posOffset>
              </wp:positionH>
              <wp:positionV relativeFrom="page">
                <wp:posOffset>10228580</wp:posOffset>
              </wp:positionV>
              <wp:extent cx="7560945" cy="273050"/>
              <wp:effectExtent l="0" t="0" r="0" b="12700"/>
              <wp:wrapNone/>
              <wp:docPr id="54" name="Text Box 54"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D5A535" w14:textId="77777777" w:rsidR="00763C7F" w:rsidRPr="007E53BD" w:rsidRDefault="00763C7F"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2A82FB5" id="Text Box 54" o:spid="_x0000_s1117" type="#_x0000_t202" alt="{&quot;HashCode&quot;:-1267603503,&quot;Height&quot;:841.0,&quot;Width&quot;:595.0,&quot;Placement&quot;:&quot;Footer&quot;,&quot;Index&quot;:&quot;Primary&quot;,&quot;Section&quot;:11,&quot;Top&quot;:0.0,&quot;Left&quot;:0.0}" style="position:absolute;margin-left:0;margin-top:805.4pt;width:595.35pt;height:21.5pt;z-index:25165827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mxj77HgIAAC0EAAAOAAAAAAAAAAAAAAAAAC4CAABkcnMvZTJvRG9jLnhtbFBL&#10;AQItABQABgAIAAAAIQADWoXq3wAAAAsBAAAPAAAAAAAAAAAAAAAAAHgEAABkcnMvZG93bnJldi54&#10;bWxQSwUGAAAAAAQABADzAAAAhAUAAAAA&#10;" o:allowincell="f" filled="f" stroked="f" strokeweight=".5pt">
              <v:textbox inset="20pt,0,,0">
                <w:txbxContent>
                  <w:p w14:paraId="41D5A535" w14:textId="77777777" w:rsidR="00763C7F" w:rsidRPr="007E53BD" w:rsidRDefault="00763C7F"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sidR="00763C7F">
      <w:rPr>
        <w:noProof/>
        <w:color w:val="808080" w:themeColor="background1" w:themeShade="80"/>
        <w:szCs w:val="15"/>
        <w:lang w:eastAsia="en-AU"/>
      </w:rPr>
      <mc:AlternateContent>
        <mc:Choice Requires="wps">
          <w:drawing>
            <wp:anchor distT="0" distB="0" distL="114300" distR="114300" simplePos="0" relativeHeight="251658274" behindDoc="0" locked="0" layoutInCell="0" allowOverlap="1" wp14:anchorId="1B83FC31" wp14:editId="316EA956">
              <wp:simplePos x="0" y="0"/>
              <wp:positionH relativeFrom="page">
                <wp:posOffset>0</wp:posOffset>
              </wp:positionH>
              <wp:positionV relativeFrom="page">
                <wp:posOffset>10228580</wp:posOffset>
              </wp:positionV>
              <wp:extent cx="7560945" cy="273050"/>
              <wp:effectExtent l="0" t="0" r="0" b="12700"/>
              <wp:wrapNone/>
              <wp:docPr id="55" name="Text Box 55"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867F72" w14:textId="77777777" w:rsidR="00763C7F" w:rsidRPr="006E4028" w:rsidRDefault="00763C7F"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1B83FC31" id="Text Box 55" o:spid="_x0000_s1118" type="#_x0000_t202" alt="{&quot;HashCode&quot;:-1267603503,&quot;Height&quot;:841.0,&quot;Width&quot;:595.0,&quot;Placement&quot;:&quot;Footer&quot;,&quot;Index&quot;:&quot;Primary&quot;,&quot;Section&quot;:11,&quot;Top&quot;:0.0,&quot;Left&quot;:0.0}" style="position:absolute;margin-left:0;margin-top:805.4pt;width:595.35pt;height:21.5pt;z-index:25165827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CfNTMYdAgAALQQAAA4AAAAAAAAAAAAAAAAALgIAAGRycy9lMm9Eb2MueG1sUEsB&#10;Ai0AFAAGAAgAAAAhAANaherfAAAACwEAAA8AAAAAAAAAAAAAAAAAdwQAAGRycy9kb3ducmV2Lnht&#10;bFBLBQYAAAAABAAEAPMAAACDBQAAAAA=&#10;" o:allowincell="f" filled="f" stroked="f" strokeweight=".5pt">
              <v:textbox inset="20pt,0,,0">
                <w:txbxContent>
                  <w:p w14:paraId="0D867F72" w14:textId="77777777" w:rsidR="00763C7F" w:rsidRPr="006E4028" w:rsidRDefault="00763C7F"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785194750"/>
        <w:dataBinding w:prefixMappings="xmlns:ns0='http://purl.org/dc/elements/1.1/' xmlns:ns1='http://schemas.openxmlformats.org/package/2006/metadata/core-properties' " w:xpath="/ns1:coreProperties[1]/ns0:title[1]" w:storeItemID="{6C3C8BC8-F283-45AE-878A-BAB7291924A1}"/>
        <w:text/>
      </w:sdtPr>
      <w:sdtContent>
        <w:r w:rsidR="00763C7F" w:rsidRPr="00285FE4">
          <w:rPr>
            <w:color w:val="808080" w:themeColor="background1" w:themeShade="80"/>
            <w:szCs w:val="15"/>
            <w:lang w:eastAsia="en-AU"/>
          </w:rPr>
          <w:t>Building Reform: Paper Two</w:t>
        </w:r>
      </w:sdtContent>
    </w:sdt>
    <w:r w:rsidR="00763C7F" w:rsidRPr="00285FE4">
      <w:rPr>
        <w:color w:val="808080" w:themeColor="background1" w:themeShade="80"/>
        <w:szCs w:val="15"/>
        <w:lang w:eastAsia="en-AU"/>
      </w:rPr>
      <w:t xml:space="preserve"> | Expert Panel on Building Reform</w:t>
    </w:r>
    <w:r w:rsidR="00763C7F" w:rsidRPr="00285FE4">
      <w:rPr>
        <w:rFonts w:cs="Segoe UI"/>
        <w:color w:val="A5A5A5"/>
        <w:szCs w:val="15"/>
      </w:rPr>
      <w:ptab w:relativeTo="margin" w:alignment="right" w:leader="none"/>
    </w:r>
    <w:r w:rsidR="00763C7F" w:rsidRPr="00285FE4">
      <w:rPr>
        <w:rFonts w:cs="Segoe UI"/>
        <w:color w:val="A5A5A5"/>
        <w:szCs w:val="15"/>
      </w:rPr>
      <w:t>|</w:t>
    </w:r>
    <w:r w:rsidR="00763C7F" w:rsidRPr="00285FE4">
      <w:rPr>
        <w:rFonts w:cs="Segoe UI"/>
        <w:color w:val="808080" w:themeColor="background1" w:themeShade="80"/>
        <w:szCs w:val="15"/>
      </w:rPr>
      <w:t xml:space="preserve"> </w:t>
    </w:r>
    <w:r w:rsidR="00763C7F">
      <w:rPr>
        <w:rFonts w:cs="Segoe UI"/>
        <w:color w:val="808080" w:themeColor="background1" w:themeShade="80"/>
        <w:szCs w:val="15"/>
      </w:rPr>
      <w:t>16</w:t>
    </w:r>
    <w:r w:rsidR="00763C7F" w:rsidRPr="00285FE4">
      <w:rPr>
        <w:rFonts w:cs="Segoe UI"/>
        <w:b/>
        <w:color w:val="808080" w:themeColor="background1" w:themeShade="80"/>
        <w:szCs w:val="15"/>
      </w:rPr>
      <w:t xml:space="preserve"> </w:t>
    </w:r>
    <w:r w:rsidR="00763C7F" w:rsidRPr="00285FE4">
      <w:rPr>
        <w:rFonts w:cs="Segoe UI"/>
        <w:color w:val="A5A5A5"/>
        <w:szCs w:val="15"/>
      </w:rPr>
      <w:t>|</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4C4F6" w14:textId="3E7F1732" w:rsidR="00763C7F" w:rsidRPr="005C29E1" w:rsidRDefault="000F3476" w:rsidP="005C29E1">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114300" distR="114300" simplePos="0" relativeHeight="251658448" behindDoc="0" locked="0" layoutInCell="0" allowOverlap="1" wp14:anchorId="2CA9AD63" wp14:editId="05A4C62B">
              <wp:simplePos x="0" y="0"/>
              <wp:positionH relativeFrom="page">
                <wp:posOffset>0</wp:posOffset>
              </wp:positionH>
              <wp:positionV relativeFrom="page">
                <wp:posOffset>10228580</wp:posOffset>
              </wp:positionV>
              <wp:extent cx="7560945" cy="273050"/>
              <wp:effectExtent l="0" t="0" r="0" b="12700"/>
              <wp:wrapNone/>
              <wp:docPr id="27946" name="Text Box 27946" descr="{&quot;HashCode&quot;:-1267603503,&quot;Height&quot;:841.0,&quot;Width&quot;:595.0,&quot;Placement&quot;:&quot;Footer&quot;,&quot;Index&quot;:&quot;FirstPage&quot;,&quot;Section&quot;:28,&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CE0369" w14:textId="41C955F1" w:rsidR="000F3476" w:rsidRPr="000F3476" w:rsidRDefault="000F3476" w:rsidP="000F3476">
                          <w:pPr>
                            <w:spacing w:after="0"/>
                            <w:rPr>
                              <w:rFonts w:ascii="Calibri" w:hAnsi="Calibri" w:cs="Calibri"/>
                              <w:color w:val="000000"/>
                            </w:rPr>
                          </w:pPr>
                          <w:r w:rsidRPr="000F3476">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CA9AD63" id="_x0000_t202" coordsize="21600,21600" o:spt="202" path="m,l,21600r21600,l21600,xe">
              <v:stroke joinstyle="miter"/>
              <v:path gradientshapeok="t" o:connecttype="rect"/>
            </v:shapetype>
            <v:shape id="Text Box 27946" o:spid="_x0000_s1119" type="#_x0000_t202" alt="{&quot;HashCode&quot;:-1267603503,&quot;Height&quot;:841.0,&quot;Width&quot;:595.0,&quot;Placement&quot;:&quot;Footer&quot;,&quot;Index&quot;:&quot;FirstPage&quot;,&quot;Section&quot;:28,&quot;Top&quot;:0.0,&quot;Left&quot;:0.0}" style="position:absolute;margin-left:0;margin-top:805.4pt;width:595.35pt;height:21.5pt;z-index:251658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LS+eXsdAgAALQQAAA4AAAAAAAAAAAAAAAAALgIAAGRycy9lMm9Eb2MueG1sUEsB&#10;Ai0AFAAGAAgAAAAhAANaherfAAAACwEAAA8AAAAAAAAAAAAAAAAAdwQAAGRycy9kb3ducmV2Lnht&#10;bFBLBQYAAAAABAAEAPMAAACDBQAAAAA=&#10;" o:allowincell="f" filled="f" stroked="f" strokeweight=".5pt">
              <v:textbox inset="20pt,0,,0">
                <w:txbxContent>
                  <w:p w14:paraId="67CE0369" w14:textId="41C955F1" w:rsidR="000F3476" w:rsidRPr="000F3476" w:rsidRDefault="000F3476" w:rsidP="000F3476">
                    <w:pPr>
                      <w:spacing w:after="0"/>
                      <w:rPr>
                        <w:rFonts w:ascii="Calibri" w:hAnsi="Calibri" w:cs="Calibri"/>
                        <w:color w:val="000000"/>
                      </w:rPr>
                    </w:pPr>
                    <w:r w:rsidRPr="000F3476">
                      <w:rPr>
                        <w:rFonts w:ascii="Calibri" w:hAnsi="Calibri" w:cs="Calibri"/>
                        <w:color w:val="000000"/>
                      </w:rPr>
                      <w:t>OFFICIAL</w:t>
                    </w:r>
                  </w:p>
                </w:txbxContent>
              </v:textbox>
              <w10:wrap anchorx="page" anchory="page"/>
            </v:shape>
          </w:pict>
        </mc:Fallback>
      </mc:AlternateContent>
    </w:r>
    <w:r w:rsidR="00763C7F">
      <w:rPr>
        <w:noProof/>
        <w:color w:val="808080" w:themeColor="background1" w:themeShade="80"/>
        <w:szCs w:val="15"/>
        <w:lang w:eastAsia="en-AU"/>
      </w:rPr>
      <mc:AlternateContent>
        <mc:Choice Requires="wps">
          <w:drawing>
            <wp:anchor distT="0" distB="0" distL="114300" distR="114300" simplePos="0" relativeHeight="251658273" behindDoc="0" locked="0" layoutInCell="0" allowOverlap="1" wp14:anchorId="5894D7B9" wp14:editId="6124C38C">
              <wp:simplePos x="0" y="0"/>
              <wp:positionH relativeFrom="page">
                <wp:posOffset>0</wp:posOffset>
              </wp:positionH>
              <wp:positionV relativeFrom="page">
                <wp:posOffset>10228580</wp:posOffset>
              </wp:positionV>
              <wp:extent cx="7560945" cy="273050"/>
              <wp:effectExtent l="0" t="0" r="0" b="12700"/>
              <wp:wrapNone/>
              <wp:docPr id="42" name="Text Box 42"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0E154B" w14:textId="77777777" w:rsidR="00763C7F" w:rsidRPr="003C2FDB" w:rsidRDefault="00763C7F"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5894D7B9" id="Text Box 42" o:spid="_x0000_s1120" type="#_x0000_t202" alt="{&quot;HashCode&quot;:-1267603503,&quot;Height&quot;:841.0,&quot;Width&quot;:595.0,&quot;Placement&quot;:&quot;Footer&quot;,&quot;Index&quot;:&quot;FirstPage&quot;,&quot;Section&quot;:5,&quot;Top&quot;:0.0,&quot;Left&quot;:0.0}" style="position:absolute;margin-left:0;margin-top:805.4pt;width:595.35pt;height:21.5pt;z-index:25165827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ALFdnHgIAAC0EAAAOAAAAAAAAAAAAAAAAAC4CAABkcnMvZTJvRG9jLnhtbFBL&#10;AQItABQABgAIAAAAIQADWoXq3wAAAAsBAAAPAAAAAAAAAAAAAAAAAHgEAABkcnMvZG93bnJldi54&#10;bWxQSwUGAAAAAAQABADzAAAAhAUAAAAA&#10;" o:allowincell="f" filled="f" stroked="f" strokeweight=".5pt">
              <v:textbox inset="20pt,0,,0">
                <w:txbxContent>
                  <w:p w14:paraId="7C0E154B" w14:textId="77777777" w:rsidR="00763C7F" w:rsidRPr="003C2FDB" w:rsidRDefault="00763C7F"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sidR="00763C7F">
      <w:rPr>
        <w:noProof/>
        <w:color w:val="808080" w:themeColor="background1" w:themeShade="80"/>
        <w:szCs w:val="15"/>
        <w:lang w:eastAsia="en-AU"/>
      </w:rPr>
      <mc:AlternateContent>
        <mc:Choice Requires="wps">
          <w:drawing>
            <wp:anchor distT="0" distB="0" distL="114300" distR="114300" simplePos="0" relativeHeight="251658272" behindDoc="0" locked="0" layoutInCell="0" allowOverlap="1" wp14:anchorId="5A6ECEEA" wp14:editId="6804C6EA">
              <wp:simplePos x="0" y="0"/>
              <wp:positionH relativeFrom="page">
                <wp:posOffset>0</wp:posOffset>
              </wp:positionH>
              <wp:positionV relativeFrom="page">
                <wp:posOffset>10228580</wp:posOffset>
              </wp:positionV>
              <wp:extent cx="7560945" cy="273050"/>
              <wp:effectExtent l="0" t="0" r="0" b="12700"/>
              <wp:wrapNone/>
              <wp:docPr id="51" name="Text Box 51"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6A977B" w14:textId="77777777" w:rsidR="00763C7F" w:rsidRPr="007E53BD" w:rsidRDefault="00763C7F"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5A6ECEEA" id="Text Box 51" o:spid="_x0000_s1121" type="#_x0000_t202" alt="{&quot;HashCode&quot;:-1267603503,&quot;Height&quot;:841.0,&quot;Width&quot;:595.0,&quot;Placement&quot;:&quot;Footer&quot;,&quot;Index&quot;:&quot;FirstPage&quot;,&quot;Section&quot;:5,&quot;Top&quot;:0.0,&quot;Left&quot;:0.0}" style="position:absolute;margin-left:0;margin-top:805.4pt;width:595.35pt;height:21.5pt;z-index:2516582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TX2LaHgIAAC0EAAAOAAAAAAAAAAAAAAAAAC4CAABkcnMvZTJvRG9jLnhtbFBL&#10;AQItABQABgAIAAAAIQADWoXq3wAAAAsBAAAPAAAAAAAAAAAAAAAAAHgEAABkcnMvZG93bnJldi54&#10;bWxQSwUGAAAAAAQABADzAAAAhAUAAAAA&#10;" o:allowincell="f" filled="f" stroked="f" strokeweight=".5pt">
              <v:textbox inset="20pt,0,,0">
                <w:txbxContent>
                  <w:p w14:paraId="006A977B" w14:textId="77777777" w:rsidR="00763C7F" w:rsidRPr="007E53BD" w:rsidRDefault="00763C7F"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sidR="00763C7F">
      <w:rPr>
        <w:noProof/>
        <w:color w:val="808080" w:themeColor="background1" w:themeShade="80"/>
        <w:szCs w:val="15"/>
        <w:lang w:eastAsia="en-AU"/>
      </w:rPr>
      <mc:AlternateContent>
        <mc:Choice Requires="wps">
          <w:drawing>
            <wp:anchor distT="0" distB="0" distL="114300" distR="114300" simplePos="0" relativeHeight="251658271" behindDoc="0" locked="0" layoutInCell="0" allowOverlap="1" wp14:anchorId="1A4FEC08" wp14:editId="071EAD66">
              <wp:simplePos x="0" y="0"/>
              <wp:positionH relativeFrom="page">
                <wp:posOffset>0</wp:posOffset>
              </wp:positionH>
              <wp:positionV relativeFrom="page">
                <wp:posOffset>10228580</wp:posOffset>
              </wp:positionV>
              <wp:extent cx="7560945" cy="273050"/>
              <wp:effectExtent l="0" t="0" r="0" b="12700"/>
              <wp:wrapNone/>
              <wp:docPr id="52" name="Text Box 52"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CABD5F" w14:textId="77777777" w:rsidR="00763C7F" w:rsidRPr="006E4028" w:rsidRDefault="00763C7F"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1A4FEC08" id="Text Box 52" o:spid="_x0000_s1122" type="#_x0000_t202" alt="{&quot;HashCode&quot;:-1267603503,&quot;Height&quot;:841.0,&quot;Width&quot;:595.0,&quot;Placement&quot;:&quot;Footer&quot;,&quot;Index&quot;:&quot;FirstPage&quot;,&quot;Section&quot;:5,&quot;Top&quot;:0.0,&quot;Left&quot;:0.0}" style="position:absolute;margin-left:0;margin-top:805.4pt;width:595.35pt;height:21.5pt;z-index:25165827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CoCQpfHgIAAC0EAAAOAAAAAAAAAAAAAAAAAC4CAABkcnMvZTJvRG9jLnhtbFBL&#10;AQItABQABgAIAAAAIQADWoXq3wAAAAsBAAAPAAAAAAAAAAAAAAAAAHgEAABkcnMvZG93bnJldi54&#10;bWxQSwUGAAAAAAQABADzAAAAhAUAAAAA&#10;" o:allowincell="f" filled="f" stroked="f" strokeweight=".5pt">
              <v:textbox inset="20pt,0,,0">
                <w:txbxContent>
                  <w:p w14:paraId="42CABD5F" w14:textId="77777777" w:rsidR="00763C7F" w:rsidRPr="006E4028" w:rsidRDefault="00763C7F"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1680851276"/>
        <w:dataBinding w:prefixMappings="xmlns:ns0='http://purl.org/dc/elements/1.1/' xmlns:ns1='http://schemas.openxmlformats.org/package/2006/metadata/core-properties' " w:xpath="/ns1:coreProperties[1]/ns0:title[1]" w:storeItemID="{6C3C8BC8-F283-45AE-878A-BAB7291924A1}"/>
        <w:text/>
      </w:sdtPr>
      <w:sdtContent>
        <w:r w:rsidR="00763C7F">
          <w:rPr>
            <w:color w:val="808080" w:themeColor="background1" w:themeShade="80"/>
            <w:szCs w:val="15"/>
            <w:lang w:eastAsia="en-AU"/>
          </w:rPr>
          <w:t>Building Reform: Paper Two</w:t>
        </w:r>
      </w:sdtContent>
    </w:sdt>
    <w:r w:rsidR="00763C7F">
      <w:rPr>
        <w:color w:val="808080" w:themeColor="background1" w:themeShade="80"/>
        <w:szCs w:val="15"/>
        <w:lang w:eastAsia="en-AU"/>
      </w:rPr>
      <w:t xml:space="preserve"> | Expert Panel on Building Reform</w:t>
    </w:r>
    <w:r w:rsidR="00763C7F" w:rsidRPr="00FD4AB1">
      <w:rPr>
        <w:rFonts w:ascii="Segoe UI Semibold" w:hAnsi="Segoe UI Semibold" w:cs="Segoe UI"/>
        <w:color w:val="A5A5A5"/>
      </w:rPr>
      <w:ptab w:relativeTo="margin" w:alignment="right" w:leader="none"/>
    </w:r>
    <w:r w:rsidR="00763C7F" w:rsidRPr="00FD4AB1">
      <w:rPr>
        <w:rFonts w:cs="Segoe UI"/>
        <w:color w:val="A5A5A5"/>
      </w:rPr>
      <w:t xml:space="preserve">| </w:t>
    </w:r>
    <w:r w:rsidR="006B4E28">
      <w:rPr>
        <w:rFonts w:cs="Segoe UI"/>
        <w:color w:val="A5A5A5"/>
      </w:rPr>
      <w:t>27</w:t>
    </w:r>
    <w:r w:rsidR="00763C7F">
      <w:rPr>
        <w:rFonts w:cs="Segoe UI"/>
        <w:noProof/>
        <w:color w:val="A5A5A5"/>
      </w:rPr>
      <w:t xml:space="preserve"> </w:t>
    </w:r>
    <w:r w:rsidR="00763C7F" w:rsidRPr="00FD4AB1">
      <w:rPr>
        <w:rFonts w:cs="Segoe UI"/>
        <w:color w:val="A5A5A5"/>
      </w:rPr>
      <w:t>|</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E3980" w14:textId="36DD376F" w:rsidR="006B4E28" w:rsidRPr="00285FE4" w:rsidRDefault="006B4E28"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0" relativeHeight="251658321" behindDoc="0" locked="0" layoutInCell="0" allowOverlap="1" wp14:anchorId="2BA0EC3F" wp14:editId="5793F365">
              <wp:simplePos x="0" y="0"/>
              <wp:positionH relativeFrom="page">
                <wp:posOffset>0</wp:posOffset>
              </wp:positionH>
              <wp:positionV relativeFrom="page">
                <wp:posOffset>10228580</wp:posOffset>
              </wp:positionV>
              <wp:extent cx="7560945" cy="273050"/>
              <wp:effectExtent l="0" t="0" r="0" b="12700"/>
              <wp:wrapNone/>
              <wp:docPr id="27824" name="Text Box 27824"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50F370" w14:textId="77777777" w:rsidR="006B4E28" w:rsidRPr="003C2FDB" w:rsidRDefault="006B4E28"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BA0EC3F" id="_x0000_t202" coordsize="21600,21600" o:spt="202" path="m,l,21600r21600,l21600,xe">
              <v:stroke joinstyle="miter"/>
              <v:path gradientshapeok="t" o:connecttype="rect"/>
            </v:shapetype>
            <v:shape id="Text Box 27824" o:spid="_x0000_s1123" type="#_x0000_t202" alt="{&quot;HashCode&quot;:-1267603503,&quot;Height&quot;:841.0,&quot;Width&quot;:595.0,&quot;Placement&quot;:&quot;Footer&quot;,&quot;Index&quot;:&quot;Primary&quot;,&quot;Section&quot;:11,&quot;Top&quot;:0.0,&quot;Left&quot;:0.0}" style="position:absolute;margin-left:0;margin-top:805.4pt;width:595.35pt;height:21.5pt;z-index:25165832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A7ej/iHgIAAC0EAAAOAAAAAAAAAAAAAAAAAC4CAABkcnMvZTJvRG9jLnhtbFBL&#10;AQItABQABgAIAAAAIQADWoXq3wAAAAsBAAAPAAAAAAAAAAAAAAAAAHgEAABkcnMvZG93bnJldi54&#10;bWxQSwUGAAAAAAQABADzAAAAhAUAAAAA&#10;" o:allowincell="f" filled="f" stroked="f" strokeweight=".5pt">
              <v:textbox inset="20pt,0,,0">
                <w:txbxContent>
                  <w:p w14:paraId="4F50F370" w14:textId="77777777" w:rsidR="006B4E28" w:rsidRPr="003C2FDB" w:rsidRDefault="006B4E28"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20" behindDoc="0" locked="0" layoutInCell="0" allowOverlap="1" wp14:anchorId="61ED409B" wp14:editId="65D46F1F">
              <wp:simplePos x="0" y="0"/>
              <wp:positionH relativeFrom="page">
                <wp:posOffset>0</wp:posOffset>
              </wp:positionH>
              <wp:positionV relativeFrom="page">
                <wp:posOffset>10228580</wp:posOffset>
              </wp:positionV>
              <wp:extent cx="7560945" cy="273050"/>
              <wp:effectExtent l="0" t="0" r="0" b="12700"/>
              <wp:wrapNone/>
              <wp:docPr id="27825" name="Text Box 27825"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53ECCD" w14:textId="77777777" w:rsidR="006B4E28" w:rsidRPr="007E53BD" w:rsidRDefault="006B4E28"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1ED409B" id="Text Box 27825" o:spid="_x0000_s1124" type="#_x0000_t202" alt="{&quot;HashCode&quot;:-1267603503,&quot;Height&quot;:841.0,&quot;Width&quot;:595.0,&quot;Placement&quot;:&quot;Footer&quot;,&quot;Index&quot;:&quot;Primary&quot;,&quot;Section&quot;:11,&quot;Top&quot;:0.0,&quot;Left&quot;:0.0}" style="position:absolute;margin-left:0;margin-top:805.4pt;width:595.35pt;height:21.5pt;z-index:2516583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P6BH+HgIAAC0EAAAOAAAAAAAAAAAAAAAAAC4CAABkcnMvZTJvRG9jLnhtbFBL&#10;AQItABQABgAIAAAAIQADWoXq3wAAAAsBAAAPAAAAAAAAAAAAAAAAAHgEAABkcnMvZG93bnJldi54&#10;bWxQSwUGAAAAAAQABADzAAAAhAUAAAAA&#10;" o:allowincell="f" filled="f" stroked="f" strokeweight=".5pt">
              <v:textbox inset="20pt,0,,0">
                <w:txbxContent>
                  <w:p w14:paraId="3253ECCD" w14:textId="77777777" w:rsidR="006B4E28" w:rsidRPr="007E53BD" w:rsidRDefault="006B4E28"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19" behindDoc="0" locked="0" layoutInCell="0" allowOverlap="1" wp14:anchorId="21B7D8EC" wp14:editId="2509955A">
              <wp:simplePos x="0" y="0"/>
              <wp:positionH relativeFrom="page">
                <wp:posOffset>0</wp:posOffset>
              </wp:positionH>
              <wp:positionV relativeFrom="page">
                <wp:posOffset>10228580</wp:posOffset>
              </wp:positionV>
              <wp:extent cx="7560945" cy="273050"/>
              <wp:effectExtent l="0" t="0" r="0" b="12700"/>
              <wp:wrapNone/>
              <wp:docPr id="27826" name="Text Box 27826"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2F2AF0" w14:textId="77777777" w:rsidR="006B4E28" w:rsidRPr="006E4028" w:rsidRDefault="006B4E28"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21B7D8EC" id="Text Box 27826" o:spid="_x0000_s1125" type="#_x0000_t202" alt="{&quot;HashCode&quot;:-1267603503,&quot;Height&quot;:841.0,&quot;Width&quot;:595.0,&quot;Placement&quot;:&quot;Footer&quot;,&quot;Index&quot;:&quot;Primary&quot;,&quot;Section&quot;:11,&quot;Top&quot;:0.0,&quot;Left&quot;:0.0}" style="position:absolute;margin-left:0;margin-top:805.4pt;width:595.35pt;height:21.5pt;z-index:25165831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cmyRDHgIAAC0EAAAOAAAAAAAAAAAAAAAAAC4CAABkcnMvZTJvRG9jLnhtbFBL&#10;AQItABQABgAIAAAAIQADWoXq3wAAAAsBAAAPAAAAAAAAAAAAAAAAAHgEAABkcnMvZG93bnJldi54&#10;bWxQSwUGAAAAAAQABADzAAAAhAUAAAAA&#10;" o:allowincell="f" filled="f" stroked="f" strokeweight=".5pt">
              <v:textbox inset="20pt,0,,0">
                <w:txbxContent>
                  <w:p w14:paraId="7E2F2AF0" w14:textId="77777777" w:rsidR="006B4E28" w:rsidRPr="006E4028" w:rsidRDefault="006B4E28"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1341311577"/>
        <w:dataBinding w:prefixMappings="xmlns:ns0='http://purl.org/dc/elements/1.1/' xmlns:ns1='http://schemas.openxmlformats.org/package/2006/metadata/core-properties' " w:xpath="/ns1:coreProperties[1]/ns0:title[1]" w:storeItemID="{6C3C8BC8-F283-45AE-878A-BAB7291924A1}"/>
        <w:text/>
      </w:sdtPr>
      <w:sdtContent>
        <w:r w:rsidRPr="00285FE4">
          <w:rPr>
            <w:color w:val="808080" w:themeColor="background1" w:themeShade="80"/>
            <w:szCs w:val="15"/>
            <w:lang w:eastAsia="en-AU"/>
          </w:rPr>
          <w:t>Building Reform: Paper Two</w:t>
        </w:r>
      </w:sdtContent>
    </w:sdt>
    <w:r w:rsidRPr="00285FE4">
      <w:rPr>
        <w:color w:val="808080" w:themeColor="background1" w:themeShade="80"/>
        <w:szCs w:val="15"/>
        <w:lang w:eastAsia="en-AU"/>
      </w:rPr>
      <w:t xml:space="preserve"> | Expert Panel on Building Reform</w:t>
    </w:r>
    <w:r w:rsidRPr="00285FE4">
      <w:rPr>
        <w:rFonts w:cs="Segoe UI"/>
        <w:color w:val="A5A5A5"/>
        <w:szCs w:val="15"/>
      </w:rPr>
      <w:ptab w:relativeTo="margin" w:alignment="right" w:leader="none"/>
    </w:r>
    <w:r w:rsidRPr="00285FE4">
      <w:rPr>
        <w:rFonts w:cs="Segoe UI"/>
        <w:color w:val="A5A5A5"/>
        <w:szCs w:val="15"/>
      </w:rPr>
      <w:t>|</w:t>
    </w:r>
    <w:r w:rsidRPr="00285FE4">
      <w:rPr>
        <w:rFonts w:cs="Segoe UI"/>
        <w:color w:val="808080" w:themeColor="background1" w:themeShade="80"/>
        <w:szCs w:val="15"/>
      </w:rPr>
      <w:t xml:space="preserve"> </w:t>
    </w:r>
    <w:r>
      <w:rPr>
        <w:rFonts w:cs="Segoe UI"/>
        <w:color w:val="808080" w:themeColor="background1" w:themeShade="80"/>
        <w:szCs w:val="15"/>
      </w:rPr>
      <w:t>29</w:t>
    </w:r>
    <w:r w:rsidRPr="00285FE4">
      <w:rPr>
        <w:rFonts w:cs="Segoe UI"/>
        <w:b/>
        <w:color w:val="808080" w:themeColor="background1" w:themeShade="80"/>
        <w:szCs w:val="15"/>
      </w:rPr>
      <w:t xml:space="preserve"> </w:t>
    </w:r>
    <w:r w:rsidRPr="00285FE4">
      <w:rPr>
        <w:rFonts w:cs="Segoe UI"/>
        <w:color w:val="A5A5A5"/>
        <w:szCs w:val="15"/>
      </w:rPr>
      <w:t>|</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84E07" w14:textId="095C0010" w:rsidR="006B4E28" w:rsidRPr="005C29E1" w:rsidRDefault="006B4E28" w:rsidP="005C29E1">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114300" distR="114300" simplePos="0" relativeHeight="251658318" behindDoc="0" locked="0" layoutInCell="0" allowOverlap="1" wp14:anchorId="4B163EEE" wp14:editId="2F7908E1">
              <wp:simplePos x="0" y="0"/>
              <wp:positionH relativeFrom="page">
                <wp:posOffset>0</wp:posOffset>
              </wp:positionH>
              <wp:positionV relativeFrom="page">
                <wp:posOffset>10228580</wp:posOffset>
              </wp:positionV>
              <wp:extent cx="7560945" cy="273050"/>
              <wp:effectExtent l="0" t="0" r="0" b="12700"/>
              <wp:wrapNone/>
              <wp:docPr id="27821" name="Text Box 27821"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09026E" w14:textId="77777777" w:rsidR="006B4E28" w:rsidRPr="003C2FDB" w:rsidRDefault="006B4E28"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B163EEE" id="_x0000_t202" coordsize="21600,21600" o:spt="202" path="m,l,21600r21600,l21600,xe">
              <v:stroke joinstyle="miter"/>
              <v:path gradientshapeok="t" o:connecttype="rect"/>
            </v:shapetype>
            <v:shape id="Text Box 27821" o:spid="_x0000_s1126" type="#_x0000_t202" alt="{&quot;HashCode&quot;:-1267603503,&quot;Height&quot;:841.0,&quot;Width&quot;:595.0,&quot;Placement&quot;:&quot;Footer&quot;,&quot;Index&quot;:&quot;FirstPage&quot;,&quot;Section&quot;:5,&quot;Top&quot;:0.0,&quot;Left&quot;:0.0}" style="position:absolute;margin-left:0;margin-top:805.4pt;width:595.35pt;height:21.5pt;z-index:25165831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4QrAvHgIAAC0EAAAOAAAAAAAAAAAAAAAAAC4CAABkcnMvZTJvRG9jLnhtbFBL&#10;AQItABQABgAIAAAAIQADWoXq3wAAAAsBAAAPAAAAAAAAAAAAAAAAAHgEAABkcnMvZG93bnJldi54&#10;bWxQSwUGAAAAAAQABADzAAAAhAUAAAAA&#10;" o:allowincell="f" filled="f" stroked="f" strokeweight=".5pt">
              <v:textbox inset="20pt,0,,0">
                <w:txbxContent>
                  <w:p w14:paraId="7909026E" w14:textId="77777777" w:rsidR="006B4E28" w:rsidRPr="003C2FDB" w:rsidRDefault="006B4E28"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17" behindDoc="0" locked="0" layoutInCell="0" allowOverlap="1" wp14:anchorId="5156601A" wp14:editId="79B1A068">
              <wp:simplePos x="0" y="0"/>
              <wp:positionH relativeFrom="page">
                <wp:posOffset>0</wp:posOffset>
              </wp:positionH>
              <wp:positionV relativeFrom="page">
                <wp:posOffset>10228580</wp:posOffset>
              </wp:positionV>
              <wp:extent cx="7560945" cy="273050"/>
              <wp:effectExtent l="0" t="0" r="0" b="12700"/>
              <wp:wrapNone/>
              <wp:docPr id="27822" name="Text Box 27822"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9E1C5B" w14:textId="77777777" w:rsidR="006B4E28" w:rsidRPr="007E53BD" w:rsidRDefault="006B4E28"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5156601A" id="Text Box 27822" o:spid="_x0000_s1127" type="#_x0000_t202" alt="{&quot;HashCode&quot;:-1267603503,&quot;Height&quot;:841.0,&quot;Width&quot;:595.0,&quot;Placement&quot;:&quot;Footer&quot;,&quot;Index&quot;:&quot;FirstPage&quot;,&quot;Section&quot;:5,&quot;Top&quot;:0.0,&quot;Left&quot;:0.0}" style="position:absolute;margin-left:0;margin-top:805.4pt;width:595.35pt;height:21.5pt;z-index:25165831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rMYWSHgIAAC0EAAAOAAAAAAAAAAAAAAAAAC4CAABkcnMvZTJvRG9jLnhtbFBL&#10;AQItABQABgAIAAAAIQADWoXq3wAAAAsBAAAPAAAAAAAAAAAAAAAAAHgEAABkcnMvZG93bnJldi54&#10;bWxQSwUGAAAAAAQABADzAAAAhAUAAAAA&#10;" o:allowincell="f" filled="f" stroked="f" strokeweight=".5pt">
              <v:textbox inset="20pt,0,,0">
                <w:txbxContent>
                  <w:p w14:paraId="019E1C5B" w14:textId="77777777" w:rsidR="006B4E28" w:rsidRPr="007E53BD" w:rsidRDefault="006B4E28"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16" behindDoc="0" locked="0" layoutInCell="0" allowOverlap="1" wp14:anchorId="2E63A341" wp14:editId="3F7AB6A0">
              <wp:simplePos x="0" y="0"/>
              <wp:positionH relativeFrom="page">
                <wp:posOffset>0</wp:posOffset>
              </wp:positionH>
              <wp:positionV relativeFrom="page">
                <wp:posOffset>10228580</wp:posOffset>
              </wp:positionV>
              <wp:extent cx="7560945" cy="273050"/>
              <wp:effectExtent l="0" t="0" r="0" b="12700"/>
              <wp:wrapNone/>
              <wp:docPr id="27823" name="Text Box 27823"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40A831" w14:textId="77777777" w:rsidR="006B4E28" w:rsidRPr="006E4028" w:rsidRDefault="006B4E28"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2E63A341" id="Text Box 27823" o:spid="_x0000_s1128" type="#_x0000_t202" alt="{&quot;HashCode&quot;:-1267603503,&quot;Height&quot;:841.0,&quot;Width&quot;:595.0,&quot;Placement&quot;:&quot;Footer&quot;,&quot;Index&quot;:&quot;FirstPage&quot;,&quot;Section&quot;:5,&quot;Top&quot;:0.0,&quot;Left&quot;:0.0}" style="position:absolute;margin-left:0;margin-top:805.4pt;width:595.35pt;height:21.5pt;z-index:2516583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BLWQZMdAgAALgQAAA4AAAAAAAAAAAAAAAAALgIAAGRycy9lMm9Eb2MueG1sUEsB&#10;Ai0AFAAGAAgAAAAhAANaherfAAAACwEAAA8AAAAAAAAAAAAAAAAAdwQAAGRycy9kb3ducmV2Lnht&#10;bFBLBQYAAAAABAAEAPMAAACDBQAAAAA=&#10;" o:allowincell="f" filled="f" stroked="f" strokeweight=".5pt">
              <v:textbox inset="20pt,0,,0">
                <w:txbxContent>
                  <w:p w14:paraId="4140A831" w14:textId="77777777" w:rsidR="006B4E28" w:rsidRPr="006E4028" w:rsidRDefault="006B4E28"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1553917432"/>
        <w:dataBinding w:prefixMappings="xmlns:ns0='http://purl.org/dc/elements/1.1/' xmlns:ns1='http://schemas.openxmlformats.org/package/2006/metadata/core-properties' " w:xpath="/ns1:coreProperties[1]/ns0:title[1]" w:storeItemID="{6C3C8BC8-F283-45AE-878A-BAB7291924A1}"/>
        <w:text/>
      </w:sdtPr>
      <w:sdtContent>
        <w:r>
          <w:rPr>
            <w:color w:val="808080" w:themeColor="background1" w:themeShade="80"/>
            <w:szCs w:val="15"/>
            <w:lang w:eastAsia="en-AU"/>
          </w:rPr>
          <w:t>Building Reform: Paper Two</w:t>
        </w:r>
      </w:sdtContent>
    </w:sdt>
    <w:r>
      <w:rPr>
        <w:color w:val="808080" w:themeColor="background1" w:themeShade="80"/>
        <w:szCs w:val="15"/>
        <w:lang w:eastAsia="en-AU"/>
      </w:rPr>
      <w:t xml:space="preserve"> | Expert Panel on Building Reform</w:t>
    </w:r>
    <w:r w:rsidRPr="00FD4AB1">
      <w:rPr>
        <w:rFonts w:ascii="Segoe UI Semibold" w:hAnsi="Segoe UI Semibold" w:cs="Segoe UI"/>
        <w:color w:val="A5A5A5"/>
      </w:rPr>
      <w:ptab w:relativeTo="margin" w:alignment="right" w:leader="none"/>
    </w:r>
    <w:r w:rsidRPr="00FD4AB1">
      <w:rPr>
        <w:rFonts w:cs="Segoe UI"/>
        <w:color w:val="A5A5A5"/>
      </w:rPr>
      <w:t xml:space="preserve">| </w:t>
    </w:r>
    <w:r>
      <w:rPr>
        <w:rFonts w:cs="Segoe UI"/>
        <w:color w:val="A5A5A5"/>
      </w:rPr>
      <w:t>28</w:t>
    </w:r>
    <w:r>
      <w:rPr>
        <w:rFonts w:cs="Segoe UI"/>
        <w:noProof/>
        <w:color w:val="A5A5A5"/>
      </w:rPr>
      <w:t xml:space="preserve"> </w:t>
    </w:r>
    <w:r w:rsidRPr="00FD4AB1">
      <w:rPr>
        <w:rFonts w:cs="Segoe UI"/>
        <w:color w:val="A5A5A5"/>
      </w:rPr>
      <w:t>|</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1F31" w14:textId="40F7DC02" w:rsidR="00A47556" w:rsidRPr="00285FE4" w:rsidRDefault="00A47556"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0" relativeHeight="251658324" behindDoc="0" locked="0" layoutInCell="0" allowOverlap="1" wp14:anchorId="73FE7649" wp14:editId="040CC669">
              <wp:simplePos x="0" y="0"/>
              <wp:positionH relativeFrom="page">
                <wp:posOffset>0</wp:posOffset>
              </wp:positionH>
              <wp:positionV relativeFrom="page">
                <wp:posOffset>10228580</wp:posOffset>
              </wp:positionV>
              <wp:extent cx="7560945" cy="273050"/>
              <wp:effectExtent l="0" t="0" r="0" b="12700"/>
              <wp:wrapNone/>
              <wp:docPr id="27827" name="Text Box 27827"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BFC612" w14:textId="77777777" w:rsidR="00A47556" w:rsidRPr="003C2FDB" w:rsidRDefault="00A47556"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3FE7649" id="_x0000_t202" coordsize="21600,21600" o:spt="202" path="m,l,21600r21600,l21600,xe">
              <v:stroke joinstyle="miter"/>
              <v:path gradientshapeok="t" o:connecttype="rect"/>
            </v:shapetype>
            <v:shape id="Text Box 27827" o:spid="_x0000_s1129" type="#_x0000_t202" alt="{&quot;HashCode&quot;:-1267603503,&quot;Height&quot;:841.0,&quot;Width&quot;:595.0,&quot;Placement&quot;:&quot;Footer&quot;,&quot;Index&quot;:&quot;Primary&quot;,&quot;Section&quot;:11,&quot;Top&quot;:0.0,&quot;Left&quot;:0.0}" style="position:absolute;margin-left:0;margin-top:805.4pt;width:595.35pt;height:21.5pt;z-index:2516583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CBpXQuHgIAAC4EAAAOAAAAAAAAAAAAAAAAAC4CAABkcnMvZTJvRG9jLnhtbFBL&#10;AQItABQABgAIAAAAIQADWoXq3wAAAAsBAAAPAAAAAAAAAAAAAAAAAHgEAABkcnMvZG93bnJldi54&#10;bWxQSwUGAAAAAAQABADzAAAAhAUAAAAA&#10;" o:allowincell="f" filled="f" stroked="f" strokeweight=".5pt">
              <v:textbox inset="20pt,0,,0">
                <w:txbxContent>
                  <w:p w14:paraId="4BBFC612" w14:textId="77777777" w:rsidR="00A47556" w:rsidRPr="003C2FDB" w:rsidRDefault="00A47556"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23" behindDoc="0" locked="0" layoutInCell="0" allowOverlap="1" wp14:anchorId="79244F3B" wp14:editId="01008745">
              <wp:simplePos x="0" y="0"/>
              <wp:positionH relativeFrom="page">
                <wp:posOffset>0</wp:posOffset>
              </wp:positionH>
              <wp:positionV relativeFrom="page">
                <wp:posOffset>10228580</wp:posOffset>
              </wp:positionV>
              <wp:extent cx="7560945" cy="273050"/>
              <wp:effectExtent l="0" t="0" r="0" b="12700"/>
              <wp:wrapNone/>
              <wp:docPr id="27828" name="Text Box 27828"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2F8286" w14:textId="77777777" w:rsidR="00A47556" w:rsidRPr="007E53BD" w:rsidRDefault="00A47556"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79244F3B" id="Text Box 27828" o:spid="_x0000_s1130" type="#_x0000_t202" alt="{&quot;HashCode&quot;:-1267603503,&quot;Height&quot;:841.0,&quot;Width&quot;:595.0,&quot;Placement&quot;:&quot;Footer&quot;,&quot;Index&quot;:&quot;Primary&quot;,&quot;Section&quot;:11,&quot;Top&quot;:0.0,&quot;Left&quot;:0.0}" style="position:absolute;margin-left:0;margin-top:805.4pt;width:595.35pt;height:21.5pt;z-index:25165832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1oyHgIAAC4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75ZNhkB9UJF3TQc+8tXyuc&#10;YsN8eGYOycadUMDhCQ+pAbvB2aKkBvfjb/6YjxxglJIWxVNS//3AnKBEfzXIzmQ2zfMot3RDwyXj&#10;djyd4mU3eM2huQcU5hjfiOXJjLlBD6Z00LyiwFexHYaY4di0pLvBvA+9lvGBcLFapSQUlmVhY7aW&#10;x9IRtgjuS/fKnD0zEJC7Rxj0xYp3RPS5PeCrQwCpEksR4h7OM/IoykTe+QFF1f96T1mXZ778CQ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1N1oyHgIAAC4EAAAOAAAAAAAAAAAAAAAAAC4CAABkcnMvZTJvRG9jLnhtbFBL&#10;AQItABQABgAIAAAAIQADWoXq3wAAAAsBAAAPAAAAAAAAAAAAAAAAAHgEAABkcnMvZG93bnJldi54&#10;bWxQSwUGAAAAAAQABADzAAAAhAUAAAAA&#10;" o:allowincell="f" filled="f" stroked="f" strokeweight=".5pt">
              <v:textbox inset="20pt,0,,0">
                <w:txbxContent>
                  <w:p w14:paraId="092F8286" w14:textId="77777777" w:rsidR="00A47556" w:rsidRPr="007E53BD" w:rsidRDefault="00A47556"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22" behindDoc="0" locked="0" layoutInCell="0" allowOverlap="1" wp14:anchorId="0C5206DC" wp14:editId="41DDE084">
              <wp:simplePos x="0" y="0"/>
              <wp:positionH relativeFrom="page">
                <wp:posOffset>0</wp:posOffset>
              </wp:positionH>
              <wp:positionV relativeFrom="page">
                <wp:posOffset>10228580</wp:posOffset>
              </wp:positionV>
              <wp:extent cx="7560945" cy="273050"/>
              <wp:effectExtent l="0" t="0" r="0" b="12700"/>
              <wp:wrapNone/>
              <wp:docPr id="27829" name="Text Box 27829"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CAA309" w14:textId="77777777" w:rsidR="00A47556" w:rsidRPr="006E4028" w:rsidRDefault="00A47556"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0C5206DC" id="Text Box 27829" o:spid="_x0000_s1131" type="#_x0000_t202" alt="{&quot;HashCode&quot;:-1267603503,&quot;Height&quot;:841.0,&quot;Width&quot;:595.0,&quot;Placement&quot;:&quot;Footer&quot;,&quot;Index&quot;:&quot;Primary&quot;,&quot;Section&quot;:11,&quot;Top&quot;:0.0,&quot;Left&quot;:0.0}" style="position:absolute;margin-left:0;margin-top:805.4pt;width:595.35pt;height:21.5pt;z-index:25165832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mRG+PHgIAAC4EAAAOAAAAAAAAAAAAAAAAAC4CAABkcnMvZTJvRG9jLnhtbFBL&#10;AQItABQABgAIAAAAIQADWoXq3wAAAAsBAAAPAAAAAAAAAAAAAAAAAHgEAABkcnMvZG93bnJldi54&#10;bWxQSwUGAAAAAAQABADzAAAAhAUAAAAA&#10;" o:allowincell="f" filled="f" stroked="f" strokeweight=".5pt">
              <v:textbox inset="20pt,0,,0">
                <w:txbxContent>
                  <w:p w14:paraId="18CAA309" w14:textId="77777777" w:rsidR="00A47556" w:rsidRPr="006E4028" w:rsidRDefault="00A47556"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1073087267"/>
        <w:dataBinding w:prefixMappings="xmlns:ns0='http://purl.org/dc/elements/1.1/' xmlns:ns1='http://schemas.openxmlformats.org/package/2006/metadata/core-properties' " w:xpath="/ns1:coreProperties[1]/ns0:title[1]" w:storeItemID="{6C3C8BC8-F283-45AE-878A-BAB7291924A1}"/>
        <w:text/>
      </w:sdtPr>
      <w:sdtContent>
        <w:r w:rsidRPr="00285FE4">
          <w:rPr>
            <w:color w:val="808080" w:themeColor="background1" w:themeShade="80"/>
            <w:szCs w:val="15"/>
            <w:lang w:eastAsia="en-AU"/>
          </w:rPr>
          <w:t>Building Reform: Paper Two</w:t>
        </w:r>
      </w:sdtContent>
    </w:sdt>
    <w:r w:rsidRPr="00285FE4">
      <w:rPr>
        <w:color w:val="808080" w:themeColor="background1" w:themeShade="80"/>
        <w:szCs w:val="15"/>
        <w:lang w:eastAsia="en-AU"/>
      </w:rPr>
      <w:t xml:space="preserve"> | Expert Panel on Building Reform</w:t>
    </w:r>
    <w:r w:rsidRPr="00285FE4">
      <w:rPr>
        <w:rFonts w:cs="Segoe UI"/>
        <w:color w:val="A5A5A5"/>
        <w:szCs w:val="15"/>
      </w:rPr>
      <w:ptab w:relativeTo="margin" w:alignment="right" w:leader="none"/>
    </w:r>
    <w:r w:rsidRPr="00285FE4">
      <w:rPr>
        <w:rFonts w:cs="Segoe UI"/>
        <w:color w:val="A5A5A5"/>
        <w:szCs w:val="15"/>
      </w:rPr>
      <w:t>|</w:t>
    </w:r>
    <w:r w:rsidRPr="00285FE4">
      <w:rPr>
        <w:rFonts w:cs="Segoe UI"/>
        <w:color w:val="808080" w:themeColor="background1" w:themeShade="80"/>
        <w:szCs w:val="15"/>
      </w:rPr>
      <w:t xml:space="preserve"> </w:t>
    </w:r>
    <w:r>
      <w:rPr>
        <w:rFonts w:cs="Segoe UI"/>
        <w:color w:val="808080" w:themeColor="background1" w:themeShade="80"/>
        <w:szCs w:val="15"/>
      </w:rPr>
      <w:t>30</w:t>
    </w:r>
    <w:r w:rsidRPr="00285FE4">
      <w:rPr>
        <w:rFonts w:cs="Segoe UI"/>
        <w:b/>
        <w:color w:val="808080" w:themeColor="background1" w:themeShade="80"/>
        <w:szCs w:val="15"/>
      </w:rPr>
      <w:t xml:space="preserve"> </w:t>
    </w:r>
    <w:r w:rsidRPr="00285FE4">
      <w:rPr>
        <w:rFonts w:cs="Segoe UI"/>
        <w:color w:val="A5A5A5"/>
        <w:szCs w:val="15"/>
      </w:rPr>
      <w:t>|</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51CB6" w14:textId="30E1C427" w:rsidR="00A47556" w:rsidRPr="00285FE4" w:rsidRDefault="00A47556"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0" relativeHeight="251658327" behindDoc="0" locked="0" layoutInCell="0" allowOverlap="1" wp14:anchorId="1AFB4D88" wp14:editId="35DA24F6">
              <wp:simplePos x="0" y="0"/>
              <wp:positionH relativeFrom="page">
                <wp:posOffset>0</wp:posOffset>
              </wp:positionH>
              <wp:positionV relativeFrom="page">
                <wp:posOffset>10228580</wp:posOffset>
              </wp:positionV>
              <wp:extent cx="7560945" cy="273050"/>
              <wp:effectExtent l="0" t="0" r="0" b="12700"/>
              <wp:wrapNone/>
              <wp:docPr id="27830" name="Text Box 27830"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666C3E" w14:textId="77777777" w:rsidR="00A47556" w:rsidRPr="003C2FDB" w:rsidRDefault="00A47556"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AFB4D88" id="_x0000_t202" coordsize="21600,21600" o:spt="202" path="m,l,21600r21600,l21600,xe">
              <v:stroke joinstyle="miter"/>
              <v:path gradientshapeok="t" o:connecttype="rect"/>
            </v:shapetype>
            <v:shape id="Text Box 27830" o:spid="_x0000_s1132" type="#_x0000_t202" alt="{&quot;HashCode&quot;:-1267603503,&quot;Height&quot;:841.0,&quot;Width&quot;:595.0,&quot;Placement&quot;:&quot;Footer&quot;,&quot;Index&quot;:&quot;Primary&quot;,&quot;Section&quot;:11,&quot;Top&quot;:0.0,&quot;Left&quot;:0.0}" style="position:absolute;margin-left:0;margin-top:805.4pt;width:595.35pt;height:21.5pt;z-index:25165832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cKHgIAAC4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75dNhkB9UJF3TQc+8tXyuc&#10;YsN8eGYOycadUMDhCQ+pAbvB2aKkBvfjb/6YjxxglJIWxVNS//3AnKBEfzXIzmQ2zfMot3RDwyXj&#10;djyd4mU3eM2huQcU5hjfiOXJjLlBD6Z00LyiwFexHYaY4di0pLvBvA+9lvGBcLFapSQUlmVhY7aW&#10;x9IRtgjuS/fKnD0zEJC7Rxj0xYp3RPS5PeCrQwCpEksR4h7OM/IoykTe+QFF1f96T1mXZ778CQ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CdEgcKHgIAAC4EAAAOAAAAAAAAAAAAAAAAAC4CAABkcnMvZTJvRG9jLnhtbFBL&#10;AQItABQABgAIAAAAIQADWoXq3wAAAAsBAAAPAAAAAAAAAAAAAAAAAHgEAABkcnMvZG93bnJldi54&#10;bWxQSwUGAAAAAAQABADzAAAAhAUAAAAA&#10;" o:allowincell="f" filled="f" stroked="f" strokeweight=".5pt">
              <v:textbox inset="20pt,0,,0">
                <w:txbxContent>
                  <w:p w14:paraId="39666C3E" w14:textId="77777777" w:rsidR="00A47556" w:rsidRPr="003C2FDB" w:rsidRDefault="00A47556"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26" behindDoc="0" locked="0" layoutInCell="0" allowOverlap="1" wp14:anchorId="0CC8C0F2" wp14:editId="0C9EB3A6">
              <wp:simplePos x="0" y="0"/>
              <wp:positionH relativeFrom="page">
                <wp:posOffset>0</wp:posOffset>
              </wp:positionH>
              <wp:positionV relativeFrom="page">
                <wp:posOffset>10228580</wp:posOffset>
              </wp:positionV>
              <wp:extent cx="7560945" cy="273050"/>
              <wp:effectExtent l="0" t="0" r="0" b="12700"/>
              <wp:wrapNone/>
              <wp:docPr id="27831" name="Text Box 27831"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87B73D" w14:textId="77777777" w:rsidR="00A47556" w:rsidRPr="007E53BD" w:rsidRDefault="00A47556"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0CC8C0F2" id="Text Box 27831" o:spid="_x0000_s1133" type="#_x0000_t202" alt="{&quot;HashCode&quot;:-1267603503,&quot;Height&quot;:841.0,&quot;Width&quot;:595.0,&quot;Placement&quot;:&quot;Footer&quot;,&quot;Index&quot;:&quot;Primary&quot;,&quot;Section&quot;:11,&quot;Top&quot;:0.0,&quot;Left&quot;:0.0}" style="position:absolute;margin-left:0;margin-top:805.4pt;width:595.35pt;height:21.5pt;z-index:25165832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K3HgIAAC4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75bNhkB9UJF3TQc+8tXyuc&#10;YsN8eGYOycadUMDhCQ+pAbvB2aKkBvfjb/6YjxxglJIWxVNS//3AnKBEfzXIzmQ2zfMot3RDwyXj&#10;djyd4mU3eM2huQcU5hjfiOXJjLlBD6Z00LyiwFexHYaY4di0pLvBvA+9lvGBcLFapSQUlmVhY7aW&#10;x9IRtgjuS/fKnD0zEJC7Rxj0xYp3RPS5PeCrQwCpEksR4h7OM/IoykTe+QFF1f96T1mXZ778CQ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AOYTK3HgIAAC4EAAAOAAAAAAAAAAAAAAAAAC4CAABkcnMvZTJvRG9jLnhtbFBL&#10;AQItABQABgAIAAAAIQADWoXq3wAAAAsBAAAPAAAAAAAAAAAAAAAAAHgEAABkcnMvZG93bnJldi54&#10;bWxQSwUGAAAAAAQABADzAAAAhAUAAAAA&#10;" o:allowincell="f" filled="f" stroked="f" strokeweight=".5pt">
              <v:textbox inset="20pt,0,,0">
                <w:txbxContent>
                  <w:p w14:paraId="7F87B73D" w14:textId="77777777" w:rsidR="00A47556" w:rsidRPr="007E53BD" w:rsidRDefault="00A47556"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25" behindDoc="0" locked="0" layoutInCell="0" allowOverlap="1" wp14:anchorId="3F5E8F77" wp14:editId="29B2AFDC">
              <wp:simplePos x="0" y="0"/>
              <wp:positionH relativeFrom="page">
                <wp:posOffset>0</wp:posOffset>
              </wp:positionH>
              <wp:positionV relativeFrom="page">
                <wp:posOffset>10228580</wp:posOffset>
              </wp:positionV>
              <wp:extent cx="7560945" cy="273050"/>
              <wp:effectExtent l="0" t="0" r="0" b="12700"/>
              <wp:wrapNone/>
              <wp:docPr id="27832" name="Text Box 27832"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4A8570" w14:textId="77777777" w:rsidR="00A47556" w:rsidRPr="006E4028" w:rsidRDefault="00A47556"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3F5E8F77" id="Text Box 27832" o:spid="_x0000_s1134" type="#_x0000_t202" alt="{&quot;HashCode&quot;:-1267603503,&quot;Height&quot;:841.0,&quot;Width&quot;:595.0,&quot;Placement&quot;:&quot;Footer&quot;,&quot;Index&quot;:&quot;Primary&quot;,&quot;Section&quot;:11,&quot;Top&quot;:0.0,&quot;Left&quot;:0.0}" style="position:absolute;margin-left:0;margin-top:805.4pt;width:595.35pt;height:21.5pt;z-index:25165832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xyrHgIAAC4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75fNhkB9UJF3TQc+8tXyuc&#10;YsN8eGYOycadUMDhCQ+pAbvB2aKkBvfjb/6YjxxglJIWxVNS//3AnKBEfzXIzmQ2zfMot3RDwyXj&#10;djyd4mU3eM2huQcU5hjfiOXJjLlBD6Z00LyiwFexHYaY4di0pLvBvA+9lvGBcLFapSQUlmVhY7aW&#10;x9IRtgjuS/fKnD0zEJC7Rxj0xYp3RPS5PeCrQwCpEksR4h7OM/IoykTe+QFF1f96T1mXZ778CQ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68xyrHgIAAC4EAAAOAAAAAAAAAAAAAAAAAC4CAABkcnMvZTJvRG9jLnhtbFBL&#10;AQItABQABgAIAAAAIQADWoXq3wAAAAsBAAAPAAAAAAAAAAAAAAAAAHgEAABkcnMvZG93bnJldi54&#10;bWxQSwUGAAAAAAQABADzAAAAhAUAAAAA&#10;" o:allowincell="f" filled="f" stroked="f" strokeweight=".5pt">
              <v:textbox inset="20pt,0,,0">
                <w:txbxContent>
                  <w:p w14:paraId="154A8570" w14:textId="77777777" w:rsidR="00A47556" w:rsidRPr="006E4028" w:rsidRDefault="00A47556"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428046625"/>
        <w:dataBinding w:prefixMappings="xmlns:ns0='http://purl.org/dc/elements/1.1/' xmlns:ns1='http://schemas.openxmlformats.org/package/2006/metadata/core-properties' " w:xpath="/ns1:coreProperties[1]/ns0:title[1]" w:storeItemID="{6C3C8BC8-F283-45AE-878A-BAB7291924A1}"/>
        <w:text/>
      </w:sdtPr>
      <w:sdtContent>
        <w:r w:rsidRPr="00285FE4">
          <w:rPr>
            <w:color w:val="808080" w:themeColor="background1" w:themeShade="80"/>
            <w:szCs w:val="15"/>
            <w:lang w:eastAsia="en-AU"/>
          </w:rPr>
          <w:t>Building Reform: Paper Two</w:t>
        </w:r>
      </w:sdtContent>
    </w:sdt>
    <w:r w:rsidRPr="00285FE4">
      <w:rPr>
        <w:color w:val="808080" w:themeColor="background1" w:themeShade="80"/>
        <w:szCs w:val="15"/>
        <w:lang w:eastAsia="en-AU"/>
      </w:rPr>
      <w:t xml:space="preserve"> | Expert Panel on Building Reform</w:t>
    </w:r>
    <w:r w:rsidRPr="00285FE4">
      <w:rPr>
        <w:rFonts w:cs="Segoe UI"/>
        <w:color w:val="A5A5A5"/>
        <w:szCs w:val="15"/>
      </w:rPr>
      <w:ptab w:relativeTo="margin" w:alignment="right" w:leader="none"/>
    </w:r>
    <w:r w:rsidRPr="00285FE4">
      <w:rPr>
        <w:rFonts w:cs="Segoe UI"/>
        <w:color w:val="A5A5A5"/>
        <w:szCs w:val="15"/>
      </w:rPr>
      <w:t>|</w:t>
    </w:r>
    <w:r w:rsidRPr="00285FE4">
      <w:rPr>
        <w:rFonts w:cs="Segoe UI"/>
        <w:color w:val="808080" w:themeColor="background1" w:themeShade="80"/>
        <w:szCs w:val="15"/>
      </w:rPr>
      <w:t xml:space="preserve"> </w:t>
    </w:r>
    <w:r>
      <w:rPr>
        <w:rFonts w:cs="Segoe UI"/>
        <w:color w:val="808080" w:themeColor="background1" w:themeShade="80"/>
        <w:szCs w:val="15"/>
      </w:rPr>
      <w:t>3</w:t>
    </w:r>
    <w:r w:rsidR="006619EC">
      <w:rPr>
        <w:rFonts w:cs="Segoe UI"/>
        <w:color w:val="808080" w:themeColor="background1" w:themeShade="80"/>
        <w:szCs w:val="15"/>
      </w:rPr>
      <w:t>1</w:t>
    </w:r>
    <w:r w:rsidRPr="00285FE4">
      <w:rPr>
        <w:rFonts w:cs="Segoe UI"/>
        <w:b/>
        <w:color w:val="808080" w:themeColor="background1" w:themeShade="80"/>
        <w:szCs w:val="15"/>
      </w:rPr>
      <w:t xml:space="preserve"> </w:t>
    </w:r>
    <w:r w:rsidRPr="00285FE4">
      <w:rPr>
        <w:rFonts w:cs="Segoe UI"/>
        <w:color w:val="A5A5A5"/>
        <w:szCs w:val="15"/>
      </w:rPr>
      <w:t>|</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CA5DD" w14:textId="409CF3DD" w:rsidR="00A47556" w:rsidRPr="00285FE4" w:rsidRDefault="00A47556"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0" relativeHeight="251658330" behindDoc="0" locked="0" layoutInCell="0" allowOverlap="1" wp14:anchorId="1C53D08D" wp14:editId="56746CB7">
              <wp:simplePos x="0" y="0"/>
              <wp:positionH relativeFrom="page">
                <wp:posOffset>0</wp:posOffset>
              </wp:positionH>
              <wp:positionV relativeFrom="page">
                <wp:posOffset>10228580</wp:posOffset>
              </wp:positionV>
              <wp:extent cx="7560945" cy="273050"/>
              <wp:effectExtent l="0" t="0" r="0" b="12700"/>
              <wp:wrapNone/>
              <wp:docPr id="27833" name="Text Box 27833"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52ADF3" w14:textId="77777777" w:rsidR="00A47556" w:rsidRPr="003C2FDB" w:rsidRDefault="00A47556"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C53D08D" id="_x0000_t202" coordsize="21600,21600" o:spt="202" path="m,l,21600r21600,l21600,xe">
              <v:stroke joinstyle="miter"/>
              <v:path gradientshapeok="t" o:connecttype="rect"/>
            </v:shapetype>
            <v:shape id="Text Box 27833" o:spid="_x0000_s1135" type="#_x0000_t202" alt="{&quot;HashCode&quot;:-1267603503,&quot;Height&quot;:841.0,&quot;Width&quot;:595.0,&quot;Placement&quot;:&quot;Footer&quot;,&quot;Index&quot;:&quot;Primary&quot;,&quot;Section&quot;:11,&quot;Top&quot;:0.0,&quot;Left&quot;:0.0}" style="position:absolute;margin-left:0;margin-top:805.4pt;width:595.35pt;height:21.5pt;z-index:25165833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pgCkWHgIAAC4EAAAOAAAAAAAAAAAAAAAAAC4CAABkcnMvZTJvRG9jLnhtbFBL&#10;AQItABQABgAIAAAAIQADWoXq3wAAAAsBAAAPAAAAAAAAAAAAAAAAAHgEAABkcnMvZG93bnJldi54&#10;bWxQSwUGAAAAAAQABADzAAAAhAUAAAAA&#10;" o:allowincell="f" filled="f" stroked="f" strokeweight=".5pt">
              <v:textbox inset="20pt,0,,0">
                <w:txbxContent>
                  <w:p w14:paraId="6152ADF3" w14:textId="77777777" w:rsidR="00A47556" w:rsidRPr="003C2FDB" w:rsidRDefault="00A47556"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29" behindDoc="0" locked="0" layoutInCell="0" allowOverlap="1" wp14:anchorId="4B7B8ADC" wp14:editId="5D8B06B7">
              <wp:simplePos x="0" y="0"/>
              <wp:positionH relativeFrom="page">
                <wp:posOffset>0</wp:posOffset>
              </wp:positionH>
              <wp:positionV relativeFrom="page">
                <wp:posOffset>10228580</wp:posOffset>
              </wp:positionV>
              <wp:extent cx="7560945" cy="273050"/>
              <wp:effectExtent l="0" t="0" r="0" b="12700"/>
              <wp:wrapNone/>
              <wp:docPr id="27834" name="Text Box 27834"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E28BDC" w14:textId="77777777" w:rsidR="00A47556" w:rsidRPr="007E53BD" w:rsidRDefault="00A47556"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4B7B8ADC" id="Text Box 27834" o:spid="_x0000_s1136" type="#_x0000_t202" alt="{&quot;HashCode&quot;:-1267603503,&quot;Height&quot;:841.0,&quot;Width&quot;:595.0,&quot;Placement&quot;:&quot;Footer&quot;,&quot;Index&quot;:&quot;Primary&quot;,&quot;Section&quot;:11,&quot;Top&quot;:0.0,&quot;Left&quot;:0.0}" style="position:absolute;margin-left:0;margin-top:805.4pt;width:595.35pt;height:21.5pt;z-index:25165832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NWb16HgIAAC4EAAAOAAAAAAAAAAAAAAAAAC4CAABkcnMvZTJvRG9jLnhtbFBL&#10;AQItABQABgAIAAAAIQADWoXq3wAAAAsBAAAPAAAAAAAAAAAAAAAAAHgEAABkcnMvZG93bnJldi54&#10;bWxQSwUGAAAAAAQABADzAAAAhAUAAAAA&#10;" o:allowincell="f" filled="f" stroked="f" strokeweight=".5pt">
              <v:textbox inset="20pt,0,,0">
                <w:txbxContent>
                  <w:p w14:paraId="53E28BDC" w14:textId="77777777" w:rsidR="00A47556" w:rsidRPr="007E53BD" w:rsidRDefault="00A47556"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28" behindDoc="0" locked="0" layoutInCell="0" allowOverlap="1" wp14:anchorId="398D90CB" wp14:editId="06F88E52">
              <wp:simplePos x="0" y="0"/>
              <wp:positionH relativeFrom="page">
                <wp:posOffset>0</wp:posOffset>
              </wp:positionH>
              <wp:positionV relativeFrom="page">
                <wp:posOffset>10228580</wp:posOffset>
              </wp:positionV>
              <wp:extent cx="7560945" cy="273050"/>
              <wp:effectExtent l="0" t="0" r="0" b="12700"/>
              <wp:wrapNone/>
              <wp:docPr id="27835" name="Text Box 27835"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C872AF" w14:textId="77777777" w:rsidR="00A47556" w:rsidRPr="006E4028" w:rsidRDefault="00A47556"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398D90CB" id="Text Box 27835" o:spid="_x0000_s1137" type="#_x0000_t202" alt="{&quot;HashCode&quot;:-1267603503,&quot;Height&quot;:841.0,&quot;Width&quot;:595.0,&quot;Placement&quot;:&quot;Footer&quot;,&quot;Index&quot;:&quot;Primary&quot;,&quot;Section&quot;:11,&quot;Top&quot;:0.0,&quot;Left&quot;:0.0}" style="position:absolute;margin-left:0;margin-top:805.4pt;width:595.35pt;height:21.5pt;z-index:2516583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eKojHHgIAAC4EAAAOAAAAAAAAAAAAAAAAAC4CAABkcnMvZTJvRG9jLnhtbFBL&#10;AQItABQABgAIAAAAIQADWoXq3wAAAAsBAAAPAAAAAAAAAAAAAAAAAHgEAABkcnMvZG93bnJldi54&#10;bWxQSwUGAAAAAAQABADzAAAAhAUAAAAA&#10;" o:allowincell="f" filled="f" stroked="f" strokeweight=".5pt">
              <v:textbox inset="20pt,0,,0">
                <w:txbxContent>
                  <w:p w14:paraId="1DC872AF" w14:textId="77777777" w:rsidR="00A47556" w:rsidRPr="006E4028" w:rsidRDefault="00A47556"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910810422"/>
        <w:dataBinding w:prefixMappings="xmlns:ns0='http://purl.org/dc/elements/1.1/' xmlns:ns1='http://schemas.openxmlformats.org/package/2006/metadata/core-properties' " w:xpath="/ns1:coreProperties[1]/ns0:title[1]" w:storeItemID="{6C3C8BC8-F283-45AE-878A-BAB7291924A1}"/>
        <w:text/>
      </w:sdtPr>
      <w:sdtContent>
        <w:r w:rsidRPr="00285FE4">
          <w:rPr>
            <w:color w:val="808080" w:themeColor="background1" w:themeShade="80"/>
            <w:szCs w:val="15"/>
            <w:lang w:eastAsia="en-AU"/>
          </w:rPr>
          <w:t>Building Reform: Paper Two</w:t>
        </w:r>
      </w:sdtContent>
    </w:sdt>
    <w:r w:rsidRPr="00285FE4">
      <w:rPr>
        <w:color w:val="808080" w:themeColor="background1" w:themeShade="80"/>
        <w:szCs w:val="15"/>
        <w:lang w:eastAsia="en-AU"/>
      </w:rPr>
      <w:t xml:space="preserve"> | Expert Panel on Building Reform</w:t>
    </w:r>
    <w:r w:rsidRPr="00285FE4">
      <w:rPr>
        <w:rFonts w:cs="Segoe UI"/>
        <w:color w:val="A5A5A5"/>
        <w:szCs w:val="15"/>
      </w:rPr>
      <w:ptab w:relativeTo="margin" w:alignment="right" w:leader="none"/>
    </w:r>
    <w:r w:rsidRPr="00285FE4">
      <w:rPr>
        <w:rFonts w:cs="Segoe UI"/>
        <w:color w:val="A5A5A5"/>
        <w:szCs w:val="15"/>
      </w:rPr>
      <w:t>|</w:t>
    </w:r>
    <w:r w:rsidRPr="00285FE4">
      <w:rPr>
        <w:rFonts w:cs="Segoe UI"/>
        <w:color w:val="808080" w:themeColor="background1" w:themeShade="80"/>
        <w:szCs w:val="15"/>
      </w:rPr>
      <w:t xml:space="preserve"> </w:t>
    </w:r>
    <w:r>
      <w:rPr>
        <w:rFonts w:cs="Segoe UI"/>
        <w:color w:val="808080" w:themeColor="background1" w:themeShade="80"/>
        <w:szCs w:val="15"/>
      </w:rPr>
      <w:t>32</w:t>
    </w:r>
    <w:r w:rsidRPr="00285FE4">
      <w:rPr>
        <w:rFonts w:cs="Segoe UI"/>
        <w:b/>
        <w:color w:val="808080" w:themeColor="background1" w:themeShade="80"/>
        <w:szCs w:val="15"/>
      </w:rPr>
      <w:t xml:space="preserve"> </w:t>
    </w:r>
    <w:r w:rsidRPr="00285FE4">
      <w:rPr>
        <w:rFonts w:cs="Segoe UI"/>
        <w:color w:val="A5A5A5"/>
        <w:szCs w:val="15"/>
      </w:rPr>
      <w:t>|</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25E05" w14:textId="62B1E1D5" w:rsidR="00A47556" w:rsidRPr="00285FE4" w:rsidRDefault="00A47556"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0" relativeHeight="251658333" behindDoc="0" locked="0" layoutInCell="0" allowOverlap="1" wp14:anchorId="727DC905" wp14:editId="5E95B189">
              <wp:simplePos x="0" y="0"/>
              <wp:positionH relativeFrom="page">
                <wp:posOffset>0</wp:posOffset>
              </wp:positionH>
              <wp:positionV relativeFrom="page">
                <wp:posOffset>10228580</wp:posOffset>
              </wp:positionV>
              <wp:extent cx="7560945" cy="273050"/>
              <wp:effectExtent l="0" t="0" r="0" b="12700"/>
              <wp:wrapNone/>
              <wp:docPr id="27836" name="Text Box 27836"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79825D" w14:textId="77777777" w:rsidR="00A47556" w:rsidRPr="003C2FDB" w:rsidRDefault="00A47556"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27DC905" id="_x0000_t202" coordsize="21600,21600" o:spt="202" path="m,l,21600r21600,l21600,xe">
              <v:stroke joinstyle="miter"/>
              <v:path gradientshapeok="t" o:connecttype="rect"/>
            </v:shapetype>
            <v:shape id="Text Box 27836" o:spid="_x0000_s1138" type="#_x0000_t202" alt="{&quot;HashCode&quot;:-1267603503,&quot;Height&quot;:841.0,&quot;Width&quot;:595.0,&quot;Placement&quot;:&quot;Footer&quot;,&quot;Index&quot;:&quot;Primary&quot;,&quot;Section&quot;:11,&quot;Top&quot;:0.0,&quot;Left&quot;:0.0}" style="position:absolute;margin-left:0;margin-top:805.4pt;width:595.35pt;height:21.5pt;z-index:25165833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J8h+vodAgAALgQAAA4AAAAAAAAAAAAAAAAALgIAAGRycy9lMm9Eb2MueG1sUEsB&#10;Ai0AFAAGAAgAAAAhAANaherfAAAACwEAAA8AAAAAAAAAAAAAAAAAdwQAAGRycy9kb3ducmV2Lnht&#10;bFBLBQYAAAAABAAEAPMAAACDBQAAAAA=&#10;" o:allowincell="f" filled="f" stroked="f" strokeweight=".5pt">
              <v:textbox inset="20pt,0,,0">
                <w:txbxContent>
                  <w:p w14:paraId="4779825D" w14:textId="77777777" w:rsidR="00A47556" w:rsidRPr="003C2FDB" w:rsidRDefault="00A47556"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32" behindDoc="0" locked="0" layoutInCell="0" allowOverlap="1" wp14:anchorId="2FC8C430" wp14:editId="441B4319">
              <wp:simplePos x="0" y="0"/>
              <wp:positionH relativeFrom="page">
                <wp:posOffset>0</wp:posOffset>
              </wp:positionH>
              <wp:positionV relativeFrom="page">
                <wp:posOffset>10228580</wp:posOffset>
              </wp:positionV>
              <wp:extent cx="7560945" cy="273050"/>
              <wp:effectExtent l="0" t="0" r="0" b="12700"/>
              <wp:wrapNone/>
              <wp:docPr id="27837" name="Text Box 27837"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DCE2DB" w14:textId="77777777" w:rsidR="00A47556" w:rsidRPr="007E53BD" w:rsidRDefault="00A47556"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2FC8C430" id="Text Box 27837" o:spid="_x0000_s1139" type="#_x0000_t202" alt="{&quot;HashCode&quot;:-1267603503,&quot;Height&quot;:841.0,&quot;Width&quot;:595.0,&quot;Placement&quot;:&quot;Footer&quot;,&quot;Index&quot;:&quot;Primary&quot;,&quot;Section&quot;:11,&quot;Top&quot;:0.0,&quot;Left&quot;:0.0}" style="position:absolute;margin-left:0;margin-top:805.4pt;width:595.35pt;height:21.5pt;z-index:2516583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AMUs9HHgIAAC4EAAAOAAAAAAAAAAAAAAAAAC4CAABkcnMvZTJvRG9jLnhtbFBL&#10;AQItABQABgAIAAAAIQADWoXq3wAAAAsBAAAPAAAAAAAAAAAAAAAAAHgEAABkcnMvZG93bnJldi54&#10;bWxQSwUGAAAAAAQABADzAAAAhAUAAAAA&#10;" o:allowincell="f" filled="f" stroked="f" strokeweight=".5pt">
              <v:textbox inset="20pt,0,,0">
                <w:txbxContent>
                  <w:p w14:paraId="41DCE2DB" w14:textId="77777777" w:rsidR="00A47556" w:rsidRPr="007E53BD" w:rsidRDefault="00A47556"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31" behindDoc="0" locked="0" layoutInCell="0" allowOverlap="1" wp14:anchorId="64E9F1DE" wp14:editId="7DF0BF0A">
              <wp:simplePos x="0" y="0"/>
              <wp:positionH relativeFrom="page">
                <wp:posOffset>0</wp:posOffset>
              </wp:positionH>
              <wp:positionV relativeFrom="page">
                <wp:posOffset>10228580</wp:posOffset>
              </wp:positionV>
              <wp:extent cx="7560945" cy="273050"/>
              <wp:effectExtent l="0" t="0" r="0" b="12700"/>
              <wp:wrapNone/>
              <wp:docPr id="27838" name="Text Box 27838"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3AAFCF" w14:textId="77777777" w:rsidR="00A47556" w:rsidRPr="006E4028" w:rsidRDefault="00A47556"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4E9F1DE" id="Text Box 27838" o:spid="_x0000_s1140" type="#_x0000_t202" alt="{&quot;HashCode&quot;:-1267603503,&quot;Height&quot;:841.0,&quot;Width&quot;:595.0,&quot;Placement&quot;:&quot;Footer&quot;,&quot;Index&quot;:&quot;Primary&quot;,&quot;Section&quot;:11,&quot;Top&quot;:0.0,&quot;Left&quot;:0.0}" style="position:absolute;margin-left:0;margin-top:805.4pt;width:595.35pt;height:21.5pt;z-index:25165833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OFbHgIAAC4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7jybDJDqoTLuig595bvlY4&#10;xYb58Mwcko07oYDDEx5SA3aDs0VJDe7H3/wxHznAKCUtiqek/vuBOUGJ/mqQnclsmudRbumGhkvG&#10;7Xg6xctu8JpDcw8ozDG+EcuTGXODHkzpoHlFga9iOwwxw7FpSXeDeR96LeMD4WK1SkkoLMvCxmwt&#10;j6UjbBHcl+6VOXtmICB3jzDoixXviOhze8BXhwBSJZYixD2cZ+RRlIm88wOKqv/1nrIuz3z5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4wOFbHgIAAC4EAAAOAAAAAAAAAAAAAAAAAC4CAABkcnMvZTJvRG9jLnhtbFBL&#10;AQItABQABgAIAAAAIQADWoXq3wAAAAsBAAAPAAAAAAAAAAAAAAAAAHgEAABkcnMvZG93bnJldi54&#10;bWxQSwUGAAAAAAQABADzAAAAhAUAAAAA&#10;" o:allowincell="f" filled="f" stroked="f" strokeweight=".5pt">
              <v:textbox inset="20pt,0,,0">
                <w:txbxContent>
                  <w:p w14:paraId="263AAFCF" w14:textId="77777777" w:rsidR="00A47556" w:rsidRPr="006E4028" w:rsidRDefault="00A47556"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1587187491"/>
        <w:dataBinding w:prefixMappings="xmlns:ns0='http://purl.org/dc/elements/1.1/' xmlns:ns1='http://schemas.openxmlformats.org/package/2006/metadata/core-properties' " w:xpath="/ns1:coreProperties[1]/ns0:title[1]" w:storeItemID="{6C3C8BC8-F283-45AE-878A-BAB7291924A1}"/>
        <w:text/>
      </w:sdtPr>
      <w:sdtContent>
        <w:r w:rsidRPr="00285FE4">
          <w:rPr>
            <w:color w:val="808080" w:themeColor="background1" w:themeShade="80"/>
            <w:szCs w:val="15"/>
            <w:lang w:eastAsia="en-AU"/>
          </w:rPr>
          <w:t>Building Reform: Paper Two</w:t>
        </w:r>
      </w:sdtContent>
    </w:sdt>
    <w:r w:rsidRPr="00285FE4">
      <w:rPr>
        <w:color w:val="808080" w:themeColor="background1" w:themeShade="80"/>
        <w:szCs w:val="15"/>
        <w:lang w:eastAsia="en-AU"/>
      </w:rPr>
      <w:t xml:space="preserve"> | Expert Panel on Building Reform</w:t>
    </w:r>
    <w:r w:rsidRPr="00285FE4">
      <w:rPr>
        <w:rFonts w:cs="Segoe UI"/>
        <w:color w:val="A5A5A5"/>
        <w:szCs w:val="15"/>
      </w:rPr>
      <w:ptab w:relativeTo="margin" w:alignment="right" w:leader="none"/>
    </w:r>
    <w:r w:rsidRPr="00285FE4">
      <w:rPr>
        <w:rFonts w:cs="Segoe UI"/>
        <w:color w:val="A5A5A5"/>
        <w:szCs w:val="15"/>
      </w:rPr>
      <w:t>|</w:t>
    </w:r>
    <w:r w:rsidRPr="00285FE4">
      <w:rPr>
        <w:rFonts w:cs="Segoe UI"/>
        <w:color w:val="808080" w:themeColor="background1" w:themeShade="80"/>
        <w:szCs w:val="15"/>
      </w:rPr>
      <w:t xml:space="preserve"> </w:t>
    </w:r>
    <w:r>
      <w:rPr>
        <w:rFonts w:cs="Segoe UI"/>
        <w:color w:val="808080" w:themeColor="background1" w:themeShade="80"/>
        <w:szCs w:val="15"/>
      </w:rPr>
      <w:t>33</w:t>
    </w:r>
    <w:r w:rsidRPr="00285FE4">
      <w:rPr>
        <w:rFonts w:cs="Segoe UI"/>
        <w:b/>
        <w:color w:val="808080" w:themeColor="background1" w:themeShade="80"/>
        <w:szCs w:val="15"/>
      </w:rPr>
      <w:t xml:space="preserve"> </w:t>
    </w:r>
    <w:r w:rsidRPr="00285FE4">
      <w:rPr>
        <w:rFonts w:cs="Segoe UI"/>
        <w:color w:val="A5A5A5"/>
        <w:szCs w:val="15"/>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1F763" w14:textId="77777777" w:rsidR="003526B0" w:rsidRPr="003526B0" w:rsidRDefault="00000000">
    <w:pPr>
      <w:pStyle w:val="Footer"/>
      <w:rPr>
        <w:rFonts w:ascii="Segoe UI Semibold" w:hAnsi="Segoe UI Semibold" w:cs="Segoe UI"/>
        <w:b/>
      </w:rPr>
    </w:pPr>
    <w:sdt>
      <w:sdtPr>
        <w:rPr>
          <w:color w:val="808080" w:themeColor="background1" w:themeShade="80"/>
          <w:szCs w:val="15"/>
          <w:lang w:eastAsia="en-AU"/>
        </w:rPr>
        <w:alias w:val="Title"/>
        <w:id w:val="-54774055"/>
        <w:dataBinding w:prefixMappings="xmlns:ns0='http://purl.org/dc/elements/1.1/' xmlns:ns1='http://schemas.openxmlformats.org/package/2006/metadata/core-properties' " w:xpath="/ns1:coreProperties[1]/ns0:title[1]" w:storeItemID="{6C3C8BC8-F283-45AE-878A-BAB7291924A1}"/>
        <w:text/>
      </w:sdtPr>
      <w:sdtContent>
        <w:r w:rsidR="003526B0">
          <w:rPr>
            <w:color w:val="808080" w:themeColor="background1" w:themeShade="80"/>
            <w:szCs w:val="15"/>
            <w:lang w:eastAsia="en-AU"/>
          </w:rPr>
          <w:t>Building Reform: Paper Two</w:t>
        </w:r>
      </w:sdtContent>
    </w:sdt>
    <w:r w:rsidR="003526B0">
      <w:rPr>
        <w:color w:val="808080" w:themeColor="background1" w:themeShade="80"/>
        <w:szCs w:val="15"/>
        <w:lang w:eastAsia="en-AU"/>
      </w:rPr>
      <w:t xml:space="preserve"> | Expert Panel on Building Reform</w:t>
    </w:r>
    <w:r w:rsidR="003526B0" w:rsidRPr="00FD4AB1">
      <w:rPr>
        <w:rFonts w:ascii="Segoe UI Semibold" w:hAnsi="Segoe UI Semibold" w:cs="Segoe UI"/>
        <w:color w:val="A5A5A5"/>
      </w:rPr>
      <w:ptab w:relativeTo="margin" w:alignment="right" w:leader="none"/>
    </w:r>
    <w:r w:rsidR="003526B0" w:rsidRPr="00FD4AB1">
      <w:rPr>
        <w:rFonts w:cs="Segoe UI"/>
        <w:color w:val="A5A5A5"/>
      </w:rPr>
      <w:t xml:space="preserve">| </w:t>
    </w:r>
    <w:r w:rsidR="003526B0" w:rsidRPr="003B464C">
      <w:rPr>
        <w:rFonts w:cs="Segoe UI"/>
        <w:b/>
        <w:color w:val="A5A5A5"/>
        <w:sz w:val="16"/>
        <w:szCs w:val="16"/>
      </w:rPr>
      <w:fldChar w:fldCharType="begin"/>
    </w:r>
    <w:r w:rsidR="003526B0" w:rsidRPr="003B464C">
      <w:rPr>
        <w:rFonts w:cs="Segoe UI"/>
        <w:color w:val="A5A5A5"/>
        <w:sz w:val="16"/>
        <w:szCs w:val="16"/>
      </w:rPr>
      <w:instrText xml:space="preserve"> PAGE  \* roman  \* MERGEFORMAT </w:instrText>
    </w:r>
    <w:r w:rsidR="003526B0" w:rsidRPr="003B464C">
      <w:rPr>
        <w:rFonts w:cs="Segoe UI"/>
        <w:b/>
        <w:color w:val="A5A5A5"/>
        <w:sz w:val="16"/>
        <w:szCs w:val="16"/>
      </w:rPr>
      <w:fldChar w:fldCharType="separate"/>
    </w:r>
    <w:r w:rsidR="003526B0">
      <w:rPr>
        <w:rFonts w:cs="Segoe UI"/>
        <w:b/>
        <w:color w:val="A5A5A5"/>
        <w:sz w:val="16"/>
        <w:szCs w:val="16"/>
      </w:rPr>
      <w:t>ii</w:t>
    </w:r>
    <w:r w:rsidR="003526B0" w:rsidRPr="003B464C">
      <w:rPr>
        <w:rFonts w:cs="Segoe UI"/>
        <w:b/>
        <w:color w:val="A5A5A5"/>
        <w:sz w:val="16"/>
        <w:szCs w:val="16"/>
      </w:rPr>
      <w:fldChar w:fldCharType="end"/>
    </w:r>
    <w:r w:rsidR="003526B0" w:rsidRPr="003B464C">
      <w:rPr>
        <w:rFonts w:cs="Segoe UI"/>
        <w:color w:val="A5A5A5"/>
        <w:sz w:val="16"/>
        <w:szCs w:val="16"/>
      </w:rPr>
      <w:t xml:space="preserve"> </w:t>
    </w:r>
    <w:r w:rsidR="003526B0" w:rsidRPr="00FD4AB1">
      <w:rPr>
        <w:rFonts w:cs="Segoe UI"/>
        <w:color w:val="A5A5A5"/>
      </w:rPr>
      <w:t>|</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A39F5" w14:textId="5F355323" w:rsidR="00763C7F" w:rsidRPr="00285FE4" w:rsidRDefault="00763C7F"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0" relativeHeight="251658282" behindDoc="0" locked="0" layoutInCell="0" allowOverlap="1" wp14:anchorId="71BE55E0" wp14:editId="2DF173DA">
              <wp:simplePos x="0" y="0"/>
              <wp:positionH relativeFrom="page">
                <wp:posOffset>0</wp:posOffset>
              </wp:positionH>
              <wp:positionV relativeFrom="page">
                <wp:posOffset>10228580</wp:posOffset>
              </wp:positionV>
              <wp:extent cx="7560945" cy="273050"/>
              <wp:effectExtent l="0" t="0" r="0" b="12700"/>
              <wp:wrapNone/>
              <wp:docPr id="59" name="Text Box 59"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D7F62B" w14:textId="77777777" w:rsidR="00763C7F" w:rsidRPr="003C2FDB" w:rsidRDefault="00763C7F"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1BE55E0" id="_x0000_t202" coordsize="21600,21600" o:spt="202" path="m,l,21600r21600,l21600,xe">
              <v:stroke joinstyle="miter"/>
              <v:path gradientshapeok="t" o:connecttype="rect"/>
            </v:shapetype>
            <v:shape id="Text Box 59" o:spid="_x0000_s1141" type="#_x0000_t202" alt="{&quot;HashCode&quot;:-1267603503,&quot;Height&quot;:841.0,&quot;Width&quot;:595.0,&quot;Placement&quot;:&quot;Footer&quot;,&quot;Index&quot;:&quot;Primary&quot;,&quot;Section&quot;:11,&quot;Top&quot;:0.0,&quot;Left&quot;:0.0}" style="position:absolute;margin-left:0;margin-top:805.4pt;width:595.35pt;height:21.5pt;z-index:25165828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rs9TmHgIAAC4EAAAOAAAAAAAAAAAAAAAAAC4CAABkcnMvZTJvRG9jLnhtbFBL&#10;AQItABQABgAIAAAAIQADWoXq3wAAAAsBAAAPAAAAAAAAAAAAAAAAAHgEAABkcnMvZG93bnJldi54&#10;bWxQSwUGAAAAAAQABADzAAAAhAUAAAAA&#10;" o:allowincell="f" filled="f" stroked="f" strokeweight=".5pt">
              <v:textbox inset="20pt,0,,0">
                <w:txbxContent>
                  <w:p w14:paraId="45D7F62B" w14:textId="77777777" w:rsidR="00763C7F" w:rsidRPr="003C2FDB" w:rsidRDefault="00763C7F"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281" behindDoc="0" locked="0" layoutInCell="0" allowOverlap="1" wp14:anchorId="22F6473E" wp14:editId="5D17CF37">
              <wp:simplePos x="0" y="0"/>
              <wp:positionH relativeFrom="page">
                <wp:posOffset>0</wp:posOffset>
              </wp:positionH>
              <wp:positionV relativeFrom="page">
                <wp:posOffset>10228580</wp:posOffset>
              </wp:positionV>
              <wp:extent cx="7560945" cy="273050"/>
              <wp:effectExtent l="0" t="0" r="0" b="12700"/>
              <wp:wrapNone/>
              <wp:docPr id="60" name="Text Box 60"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31FF68" w14:textId="77777777" w:rsidR="00763C7F" w:rsidRPr="007E53BD" w:rsidRDefault="00763C7F"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22F6473E" id="Text Box 60" o:spid="_x0000_s1142" type="#_x0000_t202" alt="{&quot;HashCode&quot;:-1267603503,&quot;Height&quot;:841.0,&quot;Width&quot;:595.0,&quot;Placement&quot;:&quot;Footer&quot;,&quot;Index&quot;:&quot;Primary&quot;,&quot;Section&quot;:11,&quot;Top&quot;:0.0,&quot;Left&quot;:0.0}" style="position:absolute;margin-left:0;margin-top:805.4pt;width:595.35pt;height:21.5pt;z-index:25165828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bxjHgIAAC4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7j6bDJDqoTLuig595bvlY4&#10;xYb58Mwcko07oYDDEx5SA3aDs0VJDe7H3/wxHznAKCUtiqek/vuBOUGJ/mqQnclsmudRbumGhkvG&#10;7Xg6xctu8JpDcw8ozDG+EcuTGXODHkzpoHlFga9iOwwxw7FpSXeDeR96LeMD4WK1SkkoLMvCxmwt&#10;j6UjbBHcl+6VOXtmICB3jzDoixXviOhze8BXhwBSJZYixD2cZ+RRlIm88wOKqv/1nrIuz3z5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AQ5bxjHgIAAC4EAAAOAAAAAAAAAAAAAAAAAC4CAABkcnMvZTJvRG9jLnhtbFBL&#10;AQItABQABgAIAAAAIQADWoXq3wAAAAsBAAAPAAAAAAAAAAAAAAAAAHgEAABkcnMvZG93bnJldi54&#10;bWxQSwUGAAAAAAQABADzAAAAhAUAAAAA&#10;" o:allowincell="f" filled="f" stroked="f" strokeweight=".5pt">
              <v:textbox inset="20pt,0,,0">
                <w:txbxContent>
                  <w:p w14:paraId="1D31FF68" w14:textId="77777777" w:rsidR="00763C7F" w:rsidRPr="007E53BD" w:rsidRDefault="00763C7F"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280" behindDoc="0" locked="0" layoutInCell="0" allowOverlap="1" wp14:anchorId="75756BEF" wp14:editId="34BAB2CD">
              <wp:simplePos x="0" y="0"/>
              <wp:positionH relativeFrom="page">
                <wp:posOffset>0</wp:posOffset>
              </wp:positionH>
              <wp:positionV relativeFrom="page">
                <wp:posOffset>10228580</wp:posOffset>
              </wp:positionV>
              <wp:extent cx="7560945" cy="273050"/>
              <wp:effectExtent l="0" t="0" r="0" b="12700"/>
              <wp:wrapNone/>
              <wp:docPr id="62" name="Text Box 62"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6F125A" w14:textId="77777777" w:rsidR="00763C7F" w:rsidRPr="006E4028" w:rsidRDefault="00763C7F"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75756BEF" id="Text Box 62" o:spid="_x0000_s1143" type="#_x0000_t202" alt="{&quot;HashCode&quot;:-1267603503,&quot;Height&quot;:841.0,&quot;Width&quot;:595.0,&quot;Placement&quot;:&quot;Footer&quot;,&quot;Index&quot;:&quot;Primary&quot;,&quot;Section&quot;:11,&quot;Top&quot;:0.0,&quot;Left&quot;:0.0}" style="position:absolute;margin-left:0;margin-top:805.4pt;width:595.35pt;height:21.5pt;z-index:2516582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neHgIAAC4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7j2bDJDqoTLuig595bvlY4&#10;xYb58Mwcko07oYDDEx5SA3aDs0VJDe7H3/wxHznAKCUtiqek/vuBOUGJ/mqQnclsmudRbumGhkvG&#10;7Xg6xctu8JpDcw8ozDG+EcuTGXODHkzpoHlFga9iOwwxw7FpSXeDeR96LeMD4WK1SkkoLMvCxmwt&#10;j6UjbBHcl+6VOXtmICB3jzDoixXviOhze8BXhwBSJZYixD2cZ+RRlIm88wOKqv/1nrIuz3z5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CDloneHgIAAC4EAAAOAAAAAAAAAAAAAAAAAC4CAABkcnMvZTJvRG9jLnhtbFBL&#10;AQItABQABgAIAAAAIQADWoXq3wAAAAsBAAAPAAAAAAAAAAAAAAAAAHgEAABkcnMvZG93bnJldi54&#10;bWxQSwUGAAAAAAQABADzAAAAhAUAAAAA&#10;" o:allowincell="f" filled="f" stroked="f" strokeweight=".5pt">
              <v:textbox inset="20pt,0,,0">
                <w:txbxContent>
                  <w:p w14:paraId="406F125A" w14:textId="77777777" w:rsidR="00763C7F" w:rsidRPr="006E4028" w:rsidRDefault="00763C7F"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1751655549"/>
        <w:dataBinding w:prefixMappings="xmlns:ns0='http://purl.org/dc/elements/1.1/' xmlns:ns1='http://schemas.openxmlformats.org/package/2006/metadata/core-properties' " w:xpath="/ns1:coreProperties[1]/ns0:title[1]" w:storeItemID="{6C3C8BC8-F283-45AE-878A-BAB7291924A1}"/>
        <w:text/>
      </w:sdtPr>
      <w:sdtContent>
        <w:r w:rsidRPr="00285FE4">
          <w:rPr>
            <w:color w:val="808080" w:themeColor="background1" w:themeShade="80"/>
            <w:szCs w:val="15"/>
            <w:lang w:eastAsia="en-AU"/>
          </w:rPr>
          <w:t>Building Reform: Paper Two</w:t>
        </w:r>
      </w:sdtContent>
    </w:sdt>
    <w:r w:rsidRPr="00285FE4">
      <w:rPr>
        <w:color w:val="808080" w:themeColor="background1" w:themeShade="80"/>
        <w:szCs w:val="15"/>
        <w:lang w:eastAsia="en-AU"/>
      </w:rPr>
      <w:t xml:space="preserve"> | Expert Panel on Building Reform</w:t>
    </w:r>
    <w:r w:rsidRPr="00285FE4">
      <w:rPr>
        <w:rFonts w:cs="Segoe UI"/>
        <w:color w:val="A5A5A5"/>
        <w:szCs w:val="15"/>
      </w:rPr>
      <w:ptab w:relativeTo="margin" w:alignment="right" w:leader="none"/>
    </w:r>
    <w:r w:rsidRPr="00285FE4">
      <w:rPr>
        <w:rFonts w:cs="Segoe UI"/>
        <w:color w:val="A5A5A5"/>
        <w:szCs w:val="15"/>
      </w:rPr>
      <w:t>|</w:t>
    </w:r>
    <w:r w:rsidRPr="00285FE4">
      <w:rPr>
        <w:rFonts w:cs="Segoe UI"/>
        <w:color w:val="808080" w:themeColor="background1" w:themeShade="80"/>
        <w:szCs w:val="15"/>
      </w:rPr>
      <w:t xml:space="preserve"> </w:t>
    </w:r>
    <w:r w:rsidR="00A47556">
      <w:rPr>
        <w:rFonts w:cs="Segoe UI"/>
        <w:color w:val="808080" w:themeColor="background1" w:themeShade="80"/>
        <w:szCs w:val="15"/>
      </w:rPr>
      <w:t>35</w:t>
    </w:r>
    <w:r w:rsidRPr="00285FE4">
      <w:rPr>
        <w:rFonts w:cs="Segoe UI"/>
        <w:b/>
        <w:color w:val="808080" w:themeColor="background1" w:themeShade="80"/>
        <w:szCs w:val="15"/>
      </w:rPr>
      <w:t xml:space="preserve"> </w:t>
    </w:r>
    <w:r w:rsidRPr="00285FE4">
      <w:rPr>
        <w:rFonts w:cs="Segoe UI"/>
        <w:color w:val="A5A5A5"/>
        <w:szCs w:val="15"/>
      </w:rPr>
      <w:t>|</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09F51" w14:textId="50B5061D" w:rsidR="00763C7F" w:rsidRPr="005C29E1" w:rsidRDefault="00763C7F" w:rsidP="005C29E1">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114300" distR="114300" simplePos="0" relativeHeight="251658279" behindDoc="0" locked="0" layoutInCell="0" allowOverlap="1" wp14:anchorId="732CAE6E" wp14:editId="142CA128">
              <wp:simplePos x="0" y="0"/>
              <wp:positionH relativeFrom="page">
                <wp:posOffset>0</wp:posOffset>
              </wp:positionH>
              <wp:positionV relativeFrom="page">
                <wp:posOffset>10228580</wp:posOffset>
              </wp:positionV>
              <wp:extent cx="7560945" cy="273050"/>
              <wp:effectExtent l="0" t="0" r="0" b="12700"/>
              <wp:wrapNone/>
              <wp:docPr id="56" name="Text Box 56"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D5BE2B" w14:textId="77777777" w:rsidR="00763C7F" w:rsidRPr="003C2FDB" w:rsidRDefault="00763C7F"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32CAE6E" id="_x0000_t202" coordsize="21600,21600" o:spt="202" path="m,l,21600r21600,l21600,xe">
              <v:stroke joinstyle="miter"/>
              <v:path gradientshapeok="t" o:connecttype="rect"/>
            </v:shapetype>
            <v:shape id="Text Box 56" o:spid="_x0000_s1144" type="#_x0000_t202" alt="{&quot;HashCode&quot;:-1267603503,&quot;Height&quot;:841.0,&quot;Width&quot;:595.0,&quot;Placement&quot;:&quot;Footer&quot;,&quot;Index&quot;:&quot;FirstPage&quot;,&quot;Section&quot;:5,&quot;Top&quot;:0.0,&quot;Left&quot;:0.0}" style="position:absolute;margin-left:0;margin-top:805.4pt;width:595.35pt;height:21.5pt;z-index:25165827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KfCHgIAAC4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7j+bDJDqoTLuig595bvlY4&#10;xYb58Mwcko07oYDDEx5SA3aDs0VJDe7H3/wxHznAKCUtiqek/vuBOUGJ/mqQnclsmudRbumGhkvG&#10;7Xg6xctu8JpDcw8ozDG+EcuTGXODHkzpoHlFga9iOwwxw7FpSXeDeR96LeMD4WK1SkkoLMvCxmwt&#10;j6UjbBHcl+6VOXtmICB3jzDoixXviOhze8BXhwBSJZYixD2cZ+RRlIm88wOKqv/1nrIuz3z5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3BKfCHgIAAC4EAAAOAAAAAAAAAAAAAAAAAC4CAABkcnMvZTJvRG9jLnhtbFBL&#10;AQItABQABgAIAAAAIQADWoXq3wAAAAsBAAAPAAAAAAAAAAAAAAAAAHgEAABkcnMvZG93bnJldi54&#10;bWxQSwUGAAAAAAQABADzAAAAhAUAAAAA&#10;" o:allowincell="f" filled="f" stroked="f" strokeweight=".5pt">
              <v:textbox inset="20pt,0,,0">
                <w:txbxContent>
                  <w:p w14:paraId="36D5BE2B" w14:textId="77777777" w:rsidR="00763C7F" w:rsidRPr="003C2FDB" w:rsidRDefault="00763C7F"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278" behindDoc="0" locked="0" layoutInCell="0" allowOverlap="1" wp14:anchorId="0F2F444A" wp14:editId="235B8CAC">
              <wp:simplePos x="0" y="0"/>
              <wp:positionH relativeFrom="page">
                <wp:posOffset>0</wp:posOffset>
              </wp:positionH>
              <wp:positionV relativeFrom="page">
                <wp:posOffset>10228580</wp:posOffset>
              </wp:positionV>
              <wp:extent cx="7560945" cy="273050"/>
              <wp:effectExtent l="0" t="0" r="0" b="12700"/>
              <wp:wrapNone/>
              <wp:docPr id="57" name="Text Box 57"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FC9456" w14:textId="77777777" w:rsidR="00763C7F" w:rsidRPr="007E53BD" w:rsidRDefault="00763C7F"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0F2F444A" id="Text Box 57" o:spid="_x0000_s1145" type="#_x0000_t202" alt="{&quot;HashCode&quot;:-1267603503,&quot;Height&quot;:841.0,&quot;Width&quot;:595.0,&quot;Placement&quot;:&quot;Footer&quot;,&quot;Index&quot;:&quot;FirstPage&quot;,&quot;Section&quot;:5,&quot;Top&quot;:0.0,&quot;Left&quot;:0.0}" style="position:absolute;margin-left:0;margin-top:805.4pt;width:595.35pt;height:21.5pt;z-index:25165827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" o:allowincell="f" filled="f" stroked="f" strokeweight=".5pt">
              <v:textbox inset="20pt,0,,0">
                <w:txbxContent>
                  <w:p w14:paraId="67FC9456" w14:textId="77777777" w:rsidR="00763C7F" w:rsidRPr="007E53BD" w:rsidRDefault="00763C7F"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277" behindDoc="0" locked="0" layoutInCell="0" allowOverlap="1" wp14:anchorId="0A306865" wp14:editId="7E21B039">
              <wp:simplePos x="0" y="0"/>
              <wp:positionH relativeFrom="page">
                <wp:posOffset>0</wp:posOffset>
              </wp:positionH>
              <wp:positionV relativeFrom="page">
                <wp:posOffset>10228580</wp:posOffset>
              </wp:positionV>
              <wp:extent cx="7560945" cy="273050"/>
              <wp:effectExtent l="0" t="0" r="0" b="12700"/>
              <wp:wrapNone/>
              <wp:docPr id="58" name="Text Box 58"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480613" w14:textId="77777777" w:rsidR="00763C7F" w:rsidRPr="006E4028" w:rsidRDefault="00763C7F"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0A306865" id="Text Box 58" o:spid="_x0000_s1146" type="#_x0000_t202" alt="{&quot;HashCode&quot;:-1267603503,&quot;Height&quot;:841.0,&quot;Width&quot;:595.0,&quot;Placement&quot;:&quot;Footer&quot;,&quot;Index&quot;:&quot;FirstPage&quot;,&quot;Section&quot;:5,&quot;Top&quot;:0.0,&quot;Left&quot;:0.0}" style="position:absolute;margin-left:0;margin-top:805.4pt;width:595.35pt;height:21.5pt;z-index:25165827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" o:allowincell="f" filled="f" stroked="f" strokeweight=".5pt">
              <v:textbox inset="20pt,0,,0">
                <w:txbxContent>
                  <w:p w14:paraId="51480613" w14:textId="77777777" w:rsidR="00763C7F" w:rsidRPr="006E4028" w:rsidRDefault="00763C7F"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2132158681"/>
        <w:dataBinding w:prefixMappings="xmlns:ns0='http://purl.org/dc/elements/1.1/' xmlns:ns1='http://schemas.openxmlformats.org/package/2006/metadata/core-properties' " w:xpath="/ns1:coreProperties[1]/ns0:title[1]" w:storeItemID="{6C3C8BC8-F283-45AE-878A-BAB7291924A1}"/>
        <w:text/>
      </w:sdtPr>
      <w:sdtContent>
        <w:r>
          <w:rPr>
            <w:color w:val="808080" w:themeColor="background1" w:themeShade="80"/>
            <w:szCs w:val="15"/>
            <w:lang w:eastAsia="en-AU"/>
          </w:rPr>
          <w:t>Building Reform: Paper Two</w:t>
        </w:r>
      </w:sdtContent>
    </w:sdt>
    <w:r>
      <w:rPr>
        <w:color w:val="808080" w:themeColor="background1" w:themeShade="80"/>
        <w:szCs w:val="15"/>
        <w:lang w:eastAsia="en-AU"/>
      </w:rPr>
      <w:t xml:space="preserve"> | Expert Panel on Building Reform</w:t>
    </w:r>
    <w:r w:rsidRPr="00FD4AB1">
      <w:rPr>
        <w:rFonts w:ascii="Segoe UI Semibold" w:hAnsi="Segoe UI Semibold" w:cs="Segoe UI"/>
        <w:color w:val="A5A5A5"/>
      </w:rPr>
      <w:ptab w:relativeTo="margin" w:alignment="right" w:leader="none"/>
    </w:r>
    <w:r w:rsidRPr="00FD4AB1">
      <w:rPr>
        <w:rFonts w:cs="Segoe UI"/>
        <w:color w:val="A5A5A5"/>
      </w:rPr>
      <w:t xml:space="preserve">| </w:t>
    </w:r>
    <w:r w:rsidR="00A47556">
      <w:rPr>
        <w:rFonts w:cs="Segoe UI"/>
        <w:color w:val="A5A5A5"/>
      </w:rPr>
      <w:t>34</w:t>
    </w:r>
    <w:r>
      <w:rPr>
        <w:rFonts w:cs="Segoe UI"/>
        <w:noProof/>
        <w:color w:val="A5A5A5"/>
      </w:rPr>
      <w:t xml:space="preserve"> </w:t>
    </w:r>
    <w:r w:rsidRPr="00FD4AB1">
      <w:rPr>
        <w:rFonts w:cs="Segoe UI"/>
        <w:color w:val="A5A5A5"/>
      </w:rPr>
      <w:t>|</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AB24D" w14:textId="77777777" w:rsidR="00A47556" w:rsidRPr="005C29E1" w:rsidRDefault="00A47556" w:rsidP="005C29E1">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114300" distR="114300" simplePos="0" relativeHeight="251658336" behindDoc="0" locked="0" layoutInCell="0" allowOverlap="1" wp14:anchorId="18972185" wp14:editId="78EDB438">
              <wp:simplePos x="0" y="0"/>
              <wp:positionH relativeFrom="page">
                <wp:posOffset>0</wp:posOffset>
              </wp:positionH>
              <wp:positionV relativeFrom="page">
                <wp:posOffset>10228580</wp:posOffset>
              </wp:positionV>
              <wp:extent cx="7560945" cy="273050"/>
              <wp:effectExtent l="0" t="0" r="0" b="12700"/>
              <wp:wrapNone/>
              <wp:docPr id="27840" name="Text Box 27840"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628ABD" w14:textId="77777777" w:rsidR="00A47556" w:rsidRPr="003C2FDB" w:rsidRDefault="00A47556"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8972185" id="_x0000_t202" coordsize="21600,21600" o:spt="202" path="m,l,21600r21600,l21600,xe">
              <v:stroke joinstyle="miter"/>
              <v:path gradientshapeok="t" o:connecttype="rect"/>
            </v:shapetype>
            <v:shape id="Text Box 27840" o:spid="_x0000_s1147" type="#_x0000_t202" alt="{&quot;HashCode&quot;:-1267603503,&quot;Height&quot;:841.0,&quot;Width&quot;:595.0,&quot;Placement&quot;:&quot;Footer&quot;,&quot;Index&quot;:&quot;FirstPage&quot;,&quot;Section&quot;:5,&quot;Top&quot;:0.0,&quot;Left&quot;:0.0}" style="position:absolute;margin-left:0;margin-top:805.4pt;width:595.35pt;height:21.5pt;z-index:251658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T3TOuHgIAAC4EAAAOAAAAAAAAAAAAAAAAAC4CAABkcnMvZTJvRG9jLnhtbFBL&#10;AQItABQABgAIAAAAIQADWoXq3wAAAAsBAAAPAAAAAAAAAAAAAAAAAHgEAABkcnMvZG93bnJldi54&#10;bWxQSwUGAAAAAAQABADzAAAAhAUAAAAA&#10;" o:allowincell="f" filled="f" stroked="f" strokeweight=".5pt">
              <v:textbox inset="20pt,0,,0">
                <w:txbxContent>
                  <w:p w14:paraId="73628ABD" w14:textId="77777777" w:rsidR="00A47556" w:rsidRPr="003C2FDB" w:rsidRDefault="00A47556"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35" behindDoc="0" locked="0" layoutInCell="0" allowOverlap="1" wp14:anchorId="5227BE6E" wp14:editId="59C165FD">
              <wp:simplePos x="0" y="0"/>
              <wp:positionH relativeFrom="page">
                <wp:posOffset>0</wp:posOffset>
              </wp:positionH>
              <wp:positionV relativeFrom="page">
                <wp:posOffset>10228580</wp:posOffset>
              </wp:positionV>
              <wp:extent cx="7560945" cy="273050"/>
              <wp:effectExtent l="0" t="0" r="0" b="12700"/>
              <wp:wrapNone/>
              <wp:docPr id="27841" name="Text Box 27841"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0DB184" w14:textId="77777777" w:rsidR="00A47556" w:rsidRPr="007E53BD" w:rsidRDefault="00A47556"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5227BE6E" id="Text Box 27841" o:spid="_x0000_s1148" type="#_x0000_t202" alt="{&quot;HashCode&quot;:-1267603503,&quot;Height&quot;:841.0,&quot;Width&quot;:595.0,&quot;Placement&quot;:&quot;Footer&quot;,&quot;Index&quot;:&quot;FirstPage&quot;,&quot;Section&quot;:5,&quot;Top&quot;:0.0,&quot;Left&quot;:0.0}" style="position:absolute;margin-left:0;margin-top:805.4pt;width:595.35pt;height:21.5pt;z-index:2516583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Ag5NkAdAgAALgQAAA4AAAAAAAAAAAAAAAAALgIAAGRycy9lMm9Eb2MueG1sUEsB&#10;Ai0AFAAGAAgAAAAhAANaherfAAAACwEAAA8AAAAAAAAAAAAAAAAAdwQAAGRycy9kb3ducmV2Lnht&#10;bFBLBQYAAAAABAAEAPMAAACDBQAAAAA=&#10;" o:allowincell="f" filled="f" stroked="f" strokeweight=".5pt">
              <v:textbox inset="20pt,0,,0">
                <w:txbxContent>
                  <w:p w14:paraId="670DB184" w14:textId="77777777" w:rsidR="00A47556" w:rsidRPr="007E53BD" w:rsidRDefault="00A47556"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34" behindDoc="0" locked="0" layoutInCell="0" allowOverlap="1" wp14:anchorId="6B72878E" wp14:editId="23C73AF7">
              <wp:simplePos x="0" y="0"/>
              <wp:positionH relativeFrom="page">
                <wp:posOffset>0</wp:posOffset>
              </wp:positionH>
              <wp:positionV relativeFrom="page">
                <wp:posOffset>10228580</wp:posOffset>
              </wp:positionV>
              <wp:extent cx="7560945" cy="273050"/>
              <wp:effectExtent l="0" t="0" r="0" b="12700"/>
              <wp:wrapNone/>
              <wp:docPr id="27842" name="Text Box 27842"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272793" w14:textId="77777777" w:rsidR="00A47556" w:rsidRPr="006E4028" w:rsidRDefault="00A47556"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B72878E" id="Text Box 27842" o:spid="_x0000_s1149" type="#_x0000_t202" alt="{&quot;HashCode&quot;:-1267603503,&quot;Height&quot;:841.0,&quot;Width&quot;:595.0,&quot;Placement&quot;:&quot;Footer&quot;,&quot;Index&quot;:&quot;FirstPage&quot;,&quot;Section&quot;:5,&quot;Top&quot;:0.0,&quot;Left&quot;:0.0}" style="position:absolute;margin-left:0;margin-top:805.4pt;width:595.35pt;height:21.5pt;z-index:25165833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CbSgP9HgIAAC4EAAAOAAAAAAAAAAAAAAAAAC4CAABkcnMvZTJvRG9jLnhtbFBL&#10;AQItABQABgAIAAAAIQADWoXq3wAAAAsBAAAPAAAAAAAAAAAAAAAAAHgEAABkcnMvZG93bnJldi54&#10;bWxQSwUGAAAAAAQABADzAAAAhAUAAAAA&#10;" o:allowincell="f" filled="f" stroked="f" strokeweight=".5pt">
              <v:textbox inset="20pt,0,,0">
                <w:txbxContent>
                  <w:p w14:paraId="66272793" w14:textId="77777777" w:rsidR="00A47556" w:rsidRPr="006E4028" w:rsidRDefault="00A47556"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2003036541"/>
        <w:dataBinding w:prefixMappings="xmlns:ns0='http://purl.org/dc/elements/1.1/' xmlns:ns1='http://schemas.openxmlformats.org/package/2006/metadata/core-properties' " w:xpath="/ns1:coreProperties[1]/ns0:title[1]" w:storeItemID="{6C3C8BC8-F283-45AE-878A-BAB7291924A1}"/>
        <w:text/>
      </w:sdtPr>
      <w:sdtContent>
        <w:r>
          <w:rPr>
            <w:color w:val="808080" w:themeColor="background1" w:themeShade="80"/>
            <w:szCs w:val="15"/>
            <w:lang w:eastAsia="en-AU"/>
          </w:rPr>
          <w:t>Building Reform: Paper Two</w:t>
        </w:r>
      </w:sdtContent>
    </w:sdt>
    <w:r>
      <w:rPr>
        <w:color w:val="808080" w:themeColor="background1" w:themeShade="80"/>
        <w:szCs w:val="15"/>
        <w:lang w:eastAsia="en-AU"/>
      </w:rPr>
      <w:t xml:space="preserve"> | Expert Panel on Building Reform</w:t>
    </w:r>
    <w:r w:rsidRPr="00FD4AB1">
      <w:rPr>
        <w:rFonts w:ascii="Segoe UI Semibold" w:hAnsi="Segoe UI Semibold" w:cs="Segoe UI"/>
        <w:color w:val="A5A5A5"/>
      </w:rPr>
      <w:ptab w:relativeTo="margin" w:alignment="right" w:leader="none"/>
    </w:r>
    <w:r w:rsidRPr="00FD4AB1">
      <w:rPr>
        <w:rFonts w:cs="Segoe UI"/>
        <w:color w:val="A5A5A5"/>
      </w:rPr>
      <w:t xml:space="preserve">| </w:t>
    </w:r>
    <w:r>
      <w:rPr>
        <w:rFonts w:cs="Segoe UI"/>
        <w:color w:val="A5A5A5"/>
      </w:rPr>
      <w:t>36</w:t>
    </w:r>
    <w:r>
      <w:rPr>
        <w:rFonts w:cs="Segoe UI"/>
        <w:noProof/>
        <w:color w:val="A5A5A5"/>
      </w:rPr>
      <w:t xml:space="preserve"> </w:t>
    </w:r>
    <w:r w:rsidRPr="00FD4AB1">
      <w:rPr>
        <w:rFonts w:cs="Segoe UI"/>
        <w:color w:val="A5A5A5"/>
      </w:rPr>
      <w:t>|</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6523A" w14:textId="0CD38F93" w:rsidR="00A47556" w:rsidRPr="00285FE4" w:rsidRDefault="00A47556"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0" relativeHeight="251658339" behindDoc="0" locked="0" layoutInCell="0" allowOverlap="1" wp14:anchorId="0CED6206" wp14:editId="09D649B0">
              <wp:simplePos x="0" y="0"/>
              <wp:positionH relativeFrom="page">
                <wp:posOffset>0</wp:posOffset>
              </wp:positionH>
              <wp:positionV relativeFrom="page">
                <wp:posOffset>10228580</wp:posOffset>
              </wp:positionV>
              <wp:extent cx="7560945" cy="273050"/>
              <wp:effectExtent l="0" t="0" r="0" b="12700"/>
              <wp:wrapNone/>
              <wp:docPr id="27843" name="Text Box 27843"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FCD5C4" w14:textId="77777777" w:rsidR="00A47556" w:rsidRPr="003C2FDB" w:rsidRDefault="00A47556"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CED6206" id="_x0000_t202" coordsize="21600,21600" o:spt="202" path="m,l,21600r21600,l21600,xe">
              <v:stroke joinstyle="miter"/>
              <v:path gradientshapeok="t" o:connecttype="rect"/>
            </v:shapetype>
            <v:shape id="Text Box 27843" o:spid="_x0000_s1150" type="#_x0000_t202" alt="{&quot;HashCode&quot;:-1267603503,&quot;Height&quot;:841.0,&quot;Width&quot;:595.0,&quot;Placement&quot;:&quot;Footer&quot;,&quot;Index&quot;:&quot;Primary&quot;,&quot;Section&quot;:11,&quot;Top&quot;:0.0,&quot;Left&quot;:0.0}" style="position:absolute;margin-left:0;margin-top:805.4pt;width:595.35pt;height:21.5pt;z-index:25165833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v2C3hHgIAAC4EAAAOAAAAAAAAAAAAAAAAAC4CAABkcnMvZTJvRG9jLnhtbFBL&#10;AQItABQABgAIAAAAIQADWoXq3wAAAAsBAAAPAAAAAAAAAAAAAAAAAHgEAABkcnMvZG93bnJldi54&#10;bWxQSwUGAAAAAAQABADzAAAAhAUAAAAA&#10;" o:allowincell="f" filled="f" stroked="f" strokeweight=".5pt">
              <v:textbox inset="20pt,0,,0">
                <w:txbxContent>
                  <w:p w14:paraId="7CFCD5C4" w14:textId="77777777" w:rsidR="00A47556" w:rsidRPr="003C2FDB" w:rsidRDefault="00A47556"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38" behindDoc="0" locked="0" layoutInCell="0" allowOverlap="1" wp14:anchorId="7CD59FAE" wp14:editId="2A5BBFA3">
              <wp:simplePos x="0" y="0"/>
              <wp:positionH relativeFrom="page">
                <wp:posOffset>0</wp:posOffset>
              </wp:positionH>
              <wp:positionV relativeFrom="page">
                <wp:posOffset>10228580</wp:posOffset>
              </wp:positionV>
              <wp:extent cx="7560945" cy="273050"/>
              <wp:effectExtent l="0" t="0" r="0" b="12700"/>
              <wp:wrapNone/>
              <wp:docPr id="27844" name="Text Box 27844"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2B954A" w14:textId="77777777" w:rsidR="00A47556" w:rsidRPr="007E53BD" w:rsidRDefault="00A47556"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7CD59FAE" id="Text Box 27844" o:spid="_x0000_s1151" type="#_x0000_t202" alt="{&quot;HashCode&quot;:-1267603503,&quot;Height&quot;:841.0,&quot;Width&quot;:595.0,&quot;Placement&quot;:&quot;Footer&quot;,&quot;Index&quot;:&quot;Primary&quot;,&quot;Section&quot;:11,&quot;Top&quot;:0.0,&quot;Left&quot;:0.0}" style="position:absolute;margin-left:0;margin-top:805.4pt;width:595.35pt;height:21.5pt;z-index:25165833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8qxhcHgIAAC4EAAAOAAAAAAAAAAAAAAAAAC4CAABkcnMvZTJvRG9jLnhtbFBL&#10;AQItABQABgAIAAAAIQADWoXq3wAAAAsBAAAPAAAAAAAAAAAAAAAAAHgEAABkcnMvZG93bnJldi54&#10;bWxQSwUGAAAAAAQABADzAAAAhAUAAAAA&#10;" o:allowincell="f" filled="f" stroked="f" strokeweight=".5pt">
              <v:textbox inset="20pt,0,,0">
                <w:txbxContent>
                  <w:p w14:paraId="792B954A" w14:textId="77777777" w:rsidR="00A47556" w:rsidRPr="007E53BD" w:rsidRDefault="00A47556"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37" behindDoc="0" locked="0" layoutInCell="0" allowOverlap="1" wp14:anchorId="1CD39992" wp14:editId="7CB74935">
              <wp:simplePos x="0" y="0"/>
              <wp:positionH relativeFrom="page">
                <wp:posOffset>0</wp:posOffset>
              </wp:positionH>
              <wp:positionV relativeFrom="page">
                <wp:posOffset>10228580</wp:posOffset>
              </wp:positionV>
              <wp:extent cx="7560945" cy="273050"/>
              <wp:effectExtent l="0" t="0" r="0" b="12700"/>
              <wp:wrapNone/>
              <wp:docPr id="27845" name="Text Box 27845"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79B815" w14:textId="77777777" w:rsidR="00A47556" w:rsidRPr="006E4028" w:rsidRDefault="00A47556"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1CD39992" id="Text Box 27845" o:spid="_x0000_s1152" type="#_x0000_t202" alt="{&quot;HashCode&quot;:-1267603503,&quot;Height&quot;:841.0,&quot;Width&quot;:595.0,&quot;Placement&quot;:&quot;Footer&quot;,&quot;Index&quot;:&quot;Primary&quot;,&quot;Section&quot;:11,&quot;Top&quot;:0.0,&quot;Left&quot;:0.0}" style="position:absolute;margin-left:0;margin-top:805.4pt;width:595.35pt;height:21.5pt;z-index:25165833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ZHgIAAC4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6T6bDJDqoTLuig595bvlY4&#10;xYb58Mwcko07oYDDEx5SA3aDs0VJDe7H3/wxHznAKCUtiqek/vuBOUGJ/mqQnclsmudRbumGhkvG&#10;7Xg6xctu8JpDcw8ozDG+EcuTGXODHkzpoHlFga9iOwwxw7FpSXeDeR96LeMD4WK1SkkoLMvCxmwt&#10;j6UjbBHcl+6VOXtmICB3jzDoixXviOhze8BXhwBSJZYixD2cZ+RRlIm88wOKqv/1nrIuz3z5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CH/XDZHgIAAC4EAAAOAAAAAAAAAAAAAAAAAC4CAABkcnMvZTJvRG9jLnhtbFBL&#10;AQItABQABgAIAAAAIQADWoXq3wAAAAsBAAAPAAAAAAAAAAAAAAAAAHgEAABkcnMvZG93bnJldi54&#10;bWxQSwUGAAAAAAQABADzAAAAhAUAAAAA&#10;" o:allowincell="f" filled="f" stroked="f" strokeweight=".5pt">
              <v:textbox inset="20pt,0,,0">
                <w:txbxContent>
                  <w:p w14:paraId="7E79B815" w14:textId="77777777" w:rsidR="00A47556" w:rsidRPr="006E4028" w:rsidRDefault="00A47556"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33585324"/>
        <w:dataBinding w:prefixMappings="xmlns:ns0='http://purl.org/dc/elements/1.1/' xmlns:ns1='http://schemas.openxmlformats.org/package/2006/metadata/core-properties' " w:xpath="/ns1:coreProperties[1]/ns0:title[1]" w:storeItemID="{6C3C8BC8-F283-45AE-878A-BAB7291924A1}"/>
        <w:text/>
      </w:sdtPr>
      <w:sdtContent>
        <w:r w:rsidRPr="00285FE4">
          <w:rPr>
            <w:color w:val="808080" w:themeColor="background1" w:themeShade="80"/>
            <w:szCs w:val="15"/>
            <w:lang w:eastAsia="en-AU"/>
          </w:rPr>
          <w:t>Building Reform: Paper Two</w:t>
        </w:r>
      </w:sdtContent>
    </w:sdt>
    <w:r w:rsidRPr="00285FE4">
      <w:rPr>
        <w:color w:val="808080" w:themeColor="background1" w:themeShade="80"/>
        <w:szCs w:val="15"/>
        <w:lang w:eastAsia="en-AU"/>
      </w:rPr>
      <w:t xml:space="preserve"> | Expert Panel on Building Reform</w:t>
    </w:r>
    <w:r w:rsidRPr="00285FE4">
      <w:rPr>
        <w:rFonts w:cs="Segoe UI"/>
        <w:color w:val="A5A5A5"/>
        <w:szCs w:val="15"/>
      </w:rPr>
      <w:ptab w:relativeTo="margin" w:alignment="right" w:leader="none"/>
    </w:r>
    <w:r w:rsidRPr="00285FE4">
      <w:rPr>
        <w:rFonts w:cs="Segoe UI"/>
        <w:color w:val="A5A5A5"/>
        <w:szCs w:val="15"/>
      </w:rPr>
      <w:t>|</w:t>
    </w:r>
    <w:r w:rsidRPr="00285FE4">
      <w:rPr>
        <w:rFonts w:cs="Segoe UI"/>
        <w:color w:val="808080" w:themeColor="background1" w:themeShade="80"/>
        <w:szCs w:val="15"/>
      </w:rPr>
      <w:t xml:space="preserve"> </w:t>
    </w:r>
    <w:r>
      <w:rPr>
        <w:rFonts w:cs="Segoe UI"/>
        <w:color w:val="808080" w:themeColor="background1" w:themeShade="80"/>
        <w:szCs w:val="15"/>
      </w:rPr>
      <w:t>3</w:t>
    </w:r>
    <w:r w:rsidR="002505C1">
      <w:rPr>
        <w:rFonts w:cs="Segoe UI"/>
        <w:color w:val="808080" w:themeColor="background1" w:themeShade="80"/>
        <w:szCs w:val="15"/>
      </w:rPr>
      <w:t>9</w:t>
    </w:r>
    <w:r w:rsidRPr="00285FE4">
      <w:rPr>
        <w:rFonts w:cs="Segoe UI"/>
        <w:b/>
        <w:color w:val="808080" w:themeColor="background1" w:themeShade="80"/>
        <w:szCs w:val="15"/>
      </w:rPr>
      <w:t xml:space="preserve"> </w:t>
    </w:r>
    <w:r w:rsidRPr="00285FE4">
      <w:rPr>
        <w:rFonts w:cs="Segoe UI"/>
        <w:color w:val="A5A5A5"/>
        <w:szCs w:val="15"/>
      </w:rPr>
      <w:t>|</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87F5F" w14:textId="558811A6" w:rsidR="00A47556" w:rsidRPr="005C29E1" w:rsidRDefault="00A47556" w:rsidP="005C29E1">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114300" distR="114300" simplePos="0" relativeHeight="251658342" behindDoc="0" locked="0" layoutInCell="0" allowOverlap="1" wp14:anchorId="119B48F0" wp14:editId="0D49E879">
              <wp:simplePos x="0" y="0"/>
              <wp:positionH relativeFrom="page">
                <wp:posOffset>0</wp:posOffset>
              </wp:positionH>
              <wp:positionV relativeFrom="page">
                <wp:posOffset>10228580</wp:posOffset>
              </wp:positionV>
              <wp:extent cx="7560945" cy="273050"/>
              <wp:effectExtent l="0" t="0" r="0" b="12700"/>
              <wp:wrapNone/>
              <wp:docPr id="27846" name="Text Box 27846"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2F6EFF" w14:textId="77777777" w:rsidR="00A47556" w:rsidRPr="003C2FDB" w:rsidRDefault="00A47556"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19B48F0" id="_x0000_t202" coordsize="21600,21600" o:spt="202" path="m,l,21600r21600,l21600,xe">
              <v:stroke joinstyle="miter"/>
              <v:path gradientshapeok="t" o:connecttype="rect"/>
            </v:shapetype>
            <v:shape id="Text Box 27846" o:spid="_x0000_s1153" type="#_x0000_t202" alt="{&quot;HashCode&quot;:-1267603503,&quot;Height&quot;:841.0,&quot;Width&quot;:595.0,&quot;Placement&quot;:&quot;Footer&quot;,&quot;Index&quot;:&quot;FirstPage&quot;,&quot;Section&quot;:5,&quot;Top&quot;:0.0,&quot;Left&quot;:0.0}" style="position:absolute;margin-left:0;margin-top:805.4pt;width:595.35pt;height:21.5pt;z-index:2516583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kVkHgIAAC4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6T2bDJDqoTLuig595bvlY4&#10;xYb58Mwcko07oYDDEx5SA3aDs0VJDe7H3/wxHznAKCUtiqek/vuBOUGJ/mqQnclsmudRbumGhkvG&#10;7Xg6xctu8JpDcw8ozDG+EcuTGXODHkzpoHlFga9iOwwxw7FpSXeDeR96LeMD4WK1SkkoLMvCxmwt&#10;j6UjbBHcl+6VOXtmICB3jzDoixXviOhze8BXhwBSJZYixD2cZ+RRlIm88wOKqv/1nrIuz3z5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AUjkVkHgIAAC4EAAAOAAAAAAAAAAAAAAAAAC4CAABkcnMvZTJvRG9jLnhtbFBL&#10;AQItABQABgAIAAAAIQADWoXq3wAAAAsBAAAPAAAAAAAAAAAAAAAAAHgEAABkcnMvZG93bnJldi54&#10;bWxQSwUGAAAAAAQABADzAAAAhAUAAAAA&#10;" o:allowincell="f" filled="f" stroked="f" strokeweight=".5pt">
              <v:textbox inset="20pt,0,,0">
                <w:txbxContent>
                  <w:p w14:paraId="3C2F6EFF" w14:textId="77777777" w:rsidR="00A47556" w:rsidRPr="003C2FDB" w:rsidRDefault="00A47556"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41" behindDoc="0" locked="0" layoutInCell="0" allowOverlap="1" wp14:anchorId="67680FCB" wp14:editId="1E32D489">
              <wp:simplePos x="0" y="0"/>
              <wp:positionH relativeFrom="page">
                <wp:posOffset>0</wp:posOffset>
              </wp:positionH>
              <wp:positionV relativeFrom="page">
                <wp:posOffset>10228580</wp:posOffset>
              </wp:positionV>
              <wp:extent cx="7560945" cy="273050"/>
              <wp:effectExtent l="0" t="0" r="0" b="12700"/>
              <wp:wrapNone/>
              <wp:docPr id="27847" name="Text Box 27847"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B2DA27" w14:textId="77777777" w:rsidR="00A47556" w:rsidRPr="007E53BD" w:rsidRDefault="00A47556"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7680FCB" id="Text Box 27847" o:spid="_x0000_s1154" type="#_x0000_t202" alt="{&quot;HashCode&quot;:-1267603503,&quot;Height&quot;:841.0,&quot;Width&quot;:595.0,&quot;Placement&quot;:&quot;Footer&quot;,&quot;Index&quot;:&quot;FirstPage&quot;,&quot;Section&quot;:5,&quot;Top&quot;:0.0,&quot;Left&quot;:0.0}" style="position:absolute;margin-left:0;margin-top:805.4pt;width:595.35pt;height:21.5pt;z-index:2516583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Gt4HgIAAC4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6T+bDJDqoTLuig595bvlY4&#10;xYb58Mwcko07oYDDEx5SA3aDs0VJDe7H3/wxHznAKCUtiqek/vuBOUGJ/mqQnclsmudRbumGhkvG&#10;7Xg6xctu8JpDcw8ozDG+EcuTGXODHkzpoHlFga9iOwwxw7FpSXeDeR96LeMD4WK1SkkoLMvCxmwt&#10;j6UjbBHcl+6VOXtmICB3jzDoixXviOhze8BXhwBSJZYixD2cZ+RRlIm88wOKqv/1nrIuz3z5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gHGt4HgIAAC4EAAAOAAAAAAAAAAAAAAAAAC4CAABkcnMvZTJvRG9jLnhtbFBL&#10;AQItABQABgAIAAAAIQADWoXq3wAAAAsBAAAPAAAAAAAAAAAAAAAAAHgEAABkcnMvZG93bnJldi54&#10;bWxQSwUGAAAAAAQABADzAAAAhAUAAAAA&#10;" o:allowincell="f" filled="f" stroked="f" strokeweight=".5pt">
              <v:textbox inset="20pt,0,,0">
                <w:txbxContent>
                  <w:p w14:paraId="69B2DA27" w14:textId="77777777" w:rsidR="00A47556" w:rsidRPr="007E53BD" w:rsidRDefault="00A47556"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40" behindDoc="0" locked="0" layoutInCell="0" allowOverlap="1" wp14:anchorId="1F1053EE" wp14:editId="507081DD">
              <wp:simplePos x="0" y="0"/>
              <wp:positionH relativeFrom="page">
                <wp:posOffset>0</wp:posOffset>
              </wp:positionH>
              <wp:positionV relativeFrom="page">
                <wp:posOffset>10228580</wp:posOffset>
              </wp:positionV>
              <wp:extent cx="7560945" cy="273050"/>
              <wp:effectExtent l="0" t="0" r="0" b="12700"/>
              <wp:wrapNone/>
              <wp:docPr id="27848" name="Text Box 27848"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7A48AE" w14:textId="77777777" w:rsidR="00A47556" w:rsidRPr="006E4028" w:rsidRDefault="00A47556"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1F1053EE" id="Text Box 27848" o:spid="_x0000_s1155" type="#_x0000_t202" alt="{&quot;HashCode&quot;:-1267603503,&quot;Height&quot;:841.0,&quot;Width&quot;:595.0,&quot;Placement&quot;:&quot;Footer&quot;,&quot;Index&quot;:&quot;FirstPage&quot;,&quot;Section&quot;:5,&quot;Top&quot;:0.0,&quot;Left&quot;:0.0}" style="position:absolute;margin-left:0;margin-top:805.4pt;width:595.35pt;height:21.5pt;z-index:2516583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" o:allowincell="f" filled="f" stroked="f" strokeweight=".5pt">
              <v:textbox inset="20pt,0,,0">
                <w:txbxContent>
                  <w:p w14:paraId="687A48AE" w14:textId="77777777" w:rsidR="00A47556" w:rsidRPr="006E4028" w:rsidRDefault="00A47556"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1592039630"/>
        <w:dataBinding w:prefixMappings="xmlns:ns0='http://purl.org/dc/elements/1.1/' xmlns:ns1='http://schemas.openxmlformats.org/package/2006/metadata/core-properties' " w:xpath="/ns1:coreProperties[1]/ns0:title[1]" w:storeItemID="{6C3C8BC8-F283-45AE-878A-BAB7291924A1}"/>
        <w:text/>
      </w:sdtPr>
      <w:sdtContent>
        <w:r>
          <w:rPr>
            <w:color w:val="808080" w:themeColor="background1" w:themeShade="80"/>
            <w:szCs w:val="15"/>
            <w:lang w:eastAsia="en-AU"/>
          </w:rPr>
          <w:t>Building Reform: Paper Two</w:t>
        </w:r>
      </w:sdtContent>
    </w:sdt>
    <w:r>
      <w:rPr>
        <w:color w:val="808080" w:themeColor="background1" w:themeShade="80"/>
        <w:szCs w:val="15"/>
        <w:lang w:eastAsia="en-AU"/>
      </w:rPr>
      <w:t xml:space="preserve"> | Expert Panel on Building Reform</w:t>
    </w:r>
    <w:r w:rsidRPr="00FD4AB1">
      <w:rPr>
        <w:rFonts w:ascii="Segoe UI Semibold" w:hAnsi="Segoe UI Semibold" w:cs="Segoe UI"/>
        <w:color w:val="A5A5A5"/>
      </w:rPr>
      <w:ptab w:relativeTo="margin" w:alignment="right" w:leader="none"/>
    </w:r>
    <w:r w:rsidRPr="00FD4AB1">
      <w:rPr>
        <w:rFonts w:cs="Segoe UI"/>
        <w:color w:val="A5A5A5"/>
      </w:rPr>
      <w:t xml:space="preserve">| </w:t>
    </w:r>
    <w:r>
      <w:rPr>
        <w:rFonts w:cs="Segoe UI"/>
        <w:color w:val="A5A5A5"/>
      </w:rPr>
      <w:t>38</w:t>
    </w:r>
    <w:r>
      <w:rPr>
        <w:rFonts w:cs="Segoe UI"/>
        <w:noProof/>
        <w:color w:val="A5A5A5"/>
      </w:rPr>
      <w:t xml:space="preserve"> </w:t>
    </w:r>
    <w:r w:rsidRPr="00FD4AB1">
      <w:rPr>
        <w:rFonts w:cs="Segoe UI"/>
        <w:color w:val="A5A5A5"/>
      </w:rPr>
      <w:t>|</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75579" w14:textId="166FD6B9" w:rsidR="00A47556" w:rsidRPr="005C29E1" w:rsidRDefault="00A47556" w:rsidP="005C29E1">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114300" distR="114300" simplePos="0" relativeHeight="251658345" behindDoc="0" locked="0" layoutInCell="0" allowOverlap="1" wp14:anchorId="73F6C68A" wp14:editId="5D2B9631">
              <wp:simplePos x="0" y="0"/>
              <wp:positionH relativeFrom="page">
                <wp:posOffset>0</wp:posOffset>
              </wp:positionH>
              <wp:positionV relativeFrom="page">
                <wp:posOffset>10228580</wp:posOffset>
              </wp:positionV>
              <wp:extent cx="7560945" cy="273050"/>
              <wp:effectExtent l="0" t="0" r="0" b="12700"/>
              <wp:wrapNone/>
              <wp:docPr id="27849" name="Text Box 27849"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ACC5D5" w14:textId="77777777" w:rsidR="00A47556" w:rsidRPr="003C2FDB" w:rsidRDefault="00A47556"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3F6C68A" id="_x0000_t202" coordsize="21600,21600" o:spt="202" path="m,l,21600r21600,l21600,xe">
              <v:stroke joinstyle="miter"/>
              <v:path gradientshapeok="t" o:connecttype="rect"/>
            </v:shapetype>
            <v:shape id="Text Box 27849" o:spid="_x0000_s1156" type="#_x0000_t202" alt="{&quot;HashCode&quot;:-1267603503,&quot;Height&quot;:841.0,&quot;Width&quot;:595.0,&quot;Placement&quot;:&quot;Footer&quot;,&quot;Index&quot;:&quot;FirstPage&quot;,&quot;Section&quot;:5,&quot;Top&quot;:0.0,&quot;Left&quot;:0.0}" style="position:absolute;margin-left:0;margin-top:805.4pt;width:595.35pt;height:21.5pt;z-index:2516583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" o:allowincell="f" filled="f" stroked="f" strokeweight=".5pt">
              <v:textbox inset="20pt,0,,0">
                <w:txbxContent>
                  <w:p w14:paraId="6BACC5D5" w14:textId="77777777" w:rsidR="00A47556" w:rsidRPr="003C2FDB" w:rsidRDefault="00A47556"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44" behindDoc="0" locked="0" layoutInCell="0" allowOverlap="1" wp14:anchorId="6C2DAB97" wp14:editId="2F1CBF3C">
              <wp:simplePos x="0" y="0"/>
              <wp:positionH relativeFrom="page">
                <wp:posOffset>0</wp:posOffset>
              </wp:positionH>
              <wp:positionV relativeFrom="page">
                <wp:posOffset>10228580</wp:posOffset>
              </wp:positionV>
              <wp:extent cx="7560945" cy="273050"/>
              <wp:effectExtent l="0" t="0" r="0" b="12700"/>
              <wp:wrapNone/>
              <wp:docPr id="27850" name="Text Box 27850"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523823" w14:textId="77777777" w:rsidR="00A47556" w:rsidRPr="007E53BD" w:rsidRDefault="00A47556"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C2DAB97" id="Text Box 27850" o:spid="_x0000_s1157" type="#_x0000_t202" alt="{&quot;HashCode&quot;:-1267603503,&quot;Height&quot;:841.0,&quot;Width&quot;:595.0,&quot;Placement&quot;:&quot;Footer&quot;,&quot;Index&quot;:&quot;FirstPage&quot;,&quot;Section&quot;:5,&quot;Top&quot;:0.0,&quot;Left&quot;:0.0}" style="position:absolute;margin-left:0;margin-top:805.4pt;width:595.35pt;height:21.5pt;z-index:2516583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Exf8UHgIAAC4EAAAOAAAAAAAAAAAAAAAAAC4CAABkcnMvZTJvRG9jLnhtbFBL&#10;AQItABQABgAIAAAAIQADWoXq3wAAAAsBAAAPAAAAAAAAAAAAAAAAAHgEAABkcnMvZG93bnJldi54&#10;bWxQSwUGAAAAAAQABADzAAAAhAUAAAAA&#10;" o:allowincell="f" filled="f" stroked="f" strokeweight=".5pt">
              <v:textbox inset="20pt,0,,0">
                <w:txbxContent>
                  <w:p w14:paraId="34523823" w14:textId="77777777" w:rsidR="00A47556" w:rsidRPr="007E53BD" w:rsidRDefault="00A47556"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43" behindDoc="0" locked="0" layoutInCell="0" allowOverlap="1" wp14:anchorId="7CE1328A" wp14:editId="665CDEDA">
              <wp:simplePos x="0" y="0"/>
              <wp:positionH relativeFrom="page">
                <wp:posOffset>0</wp:posOffset>
              </wp:positionH>
              <wp:positionV relativeFrom="page">
                <wp:posOffset>10228580</wp:posOffset>
              </wp:positionV>
              <wp:extent cx="7560945" cy="273050"/>
              <wp:effectExtent l="0" t="0" r="0" b="12700"/>
              <wp:wrapNone/>
              <wp:docPr id="27851" name="Text Box 27851"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8F64BC" w14:textId="77777777" w:rsidR="00A47556" w:rsidRPr="006E4028" w:rsidRDefault="00A47556"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7CE1328A" id="Text Box 27851" o:spid="_x0000_s1158" type="#_x0000_t202" alt="{&quot;HashCode&quot;:-1267603503,&quot;Height&quot;:841.0,&quot;Width&quot;:595.0,&quot;Placement&quot;:&quot;Footer&quot;,&quot;Index&quot;:&quot;FirstPage&quot;,&quot;Section&quot;:5,&quot;Top&quot;:0.0,&quot;Left&quot;:0.0}" style="position:absolute;margin-left:0;margin-top:805.4pt;width:595.35pt;height:21.5pt;z-index:2516583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" o:allowincell="f" filled="f" stroked="f" strokeweight=".5pt">
              <v:textbox inset="20pt,0,,0">
                <w:txbxContent>
                  <w:p w14:paraId="308F64BC" w14:textId="77777777" w:rsidR="00A47556" w:rsidRPr="006E4028" w:rsidRDefault="00A47556"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558368152"/>
        <w:dataBinding w:prefixMappings="xmlns:ns0='http://purl.org/dc/elements/1.1/' xmlns:ns1='http://schemas.openxmlformats.org/package/2006/metadata/core-properties' " w:xpath="/ns1:coreProperties[1]/ns0:title[1]" w:storeItemID="{6C3C8BC8-F283-45AE-878A-BAB7291924A1}"/>
        <w:text/>
      </w:sdtPr>
      <w:sdtContent>
        <w:r>
          <w:rPr>
            <w:color w:val="808080" w:themeColor="background1" w:themeShade="80"/>
            <w:szCs w:val="15"/>
            <w:lang w:eastAsia="en-AU"/>
          </w:rPr>
          <w:t>Building Reform: Paper Two</w:t>
        </w:r>
      </w:sdtContent>
    </w:sdt>
    <w:r>
      <w:rPr>
        <w:color w:val="808080" w:themeColor="background1" w:themeShade="80"/>
        <w:szCs w:val="15"/>
        <w:lang w:eastAsia="en-AU"/>
      </w:rPr>
      <w:t xml:space="preserve"> | Expert Panel on Building Reform</w:t>
    </w:r>
    <w:r w:rsidRPr="00FD4AB1">
      <w:rPr>
        <w:rFonts w:ascii="Segoe UI Semibold" w:hAnsi="Segoe UI Semibold" w:cs="Segoe UI"/>
        <w:color w:val="A5A5A5"/>
      </w:rPr>
      <w:ptab w:relativeTo="margin" w:alignment="right" w:leader="none"/>
    </w:r>
    <w:r w:rsidRPr="00FD4AB1">
      <w:rPr>
        <w:rFonts w:cs="Segoe UI"/>
        <w:color w:val="A5A5A5"/>
      </w:rPr>
      <w:t xml:space="preserve">| </w:t>
    </w:r>
    <w:r w:rsidR="006619EC">
      <w:rPr>
        <w:rFonts w:cs="Segoe UI"/>
        <w:color w:val="A5A5A5"/>
      </w:rPr>
      <w:t>41</w:t>
    </w:r>
    <w:r>
      <w:rPr>
        <w:rFonts w:cs="Segoe UI"/>
        <w:noProof/>
        <w:color w:val="A5A5A5"/>
      </w:rPr>
      <w:t xml:space="preserve"> </w:t>
    </w:r>
    <w:r w:rsidRPr="00FD4AB1">
      <w:rPr>
        <w:rFonts w:cs="Segoe UI"/>
        <w:color w:val="A5A5A5"/>
      </w:rPr>
      <w:t>|</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C7885" w14:textId="235F2A5A" w:rsidR="00A47556" w:rsidRPr="00285FE4" w:rsidRDefault="00A47556"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0" relativeHeight="251658348" behindDoc="0" locked="0" layoutInCell="0" allowOverlap="1" wp14:anchorId="2F188313" wp14:editId="5A693403">
              <wp:simplePos x="0" y="0"/>
              <wp:positionH relativeFrom="page">
                <wp:posOffset>0</wp:posOffset>
              </wp:positionH>
              <wp:positionV relativeFrom="page">
                <wp:posOffset>10228580</wp:posOffset>
              </wp:positionV>
              <wp:extent cx="7560945" cy="273050"/>
              <wp:effectExtent l="0" t="0" r="0" b="12700"/>
              <wp:wrapNone/>
              <wp:docPr id="27852" name="Text Box 27852"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22D7C6" w14:textId="77777777" w:rsidR="00A47556" w:rsidRPr="003C2FDB" w:rsidRDefault="00A47556"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F188313" id="_x0000_t202" coordsize="21600,21600" o:spt="202" path="m,l,21600r21600,l21600,xe">
              <v:stroke joinstyle="miter"/>
              <v:path gradientshapeok="t" o:connecttype="rect"/>
            </v:shapetype>
            <v:shape id="Text Box 27852" o:spid="_x0000_s1159" type="#_x0000_t202" alt="{&quot;HashCode&quot;:-1267603503,&quot;Height&quot;:841.0,&quot;Width&quot;:595.0,&quot;Placement&quot;:&quot;Footer&quot;,&quot;Index&quot;:&quot;Primary&quot;,&quot;Section&quot;:11,&quot;Top&quot;:0.0,&quot;Left&quot;:0.0}" style="position:absolute;margin-left:0;margin-top:805.4pt;width:595.35pt;height:21.5pt;z-index:2516583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Ba9uJQdAgAALgQAAA4AAAAAAAAAAAAAAAAALgIAAGRycy9lMm9Eb2MueG1sUEsB&#10;Ai0AFAAGAAgAAAAhAANaherfAAAACwEAAA8AAAAAAAAAAAAAAAAAdwQAAGRycy9kb3ducmV2Lnht&#10;bFBLBQYAAAAABAAEAPMAAACDBQAAAAA=&#10;" o:allowincell="f" filled="f" stroked="f" strokeweight=".5pt">
              <v:textbox inset="20pt,0,,0">
                <w:txbxContent>
                  <w:p w14:paraId="7B22D7C6" w14:textId="77777777" w:rsidR="00A47556" w:rsidRPr="003C2FDB" w:rsidRDefault="00A47556"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47" behindDoc="0" locked="0" layoutInCell="0" allowOverlap="1" wp14:anchorId="10FD3534" wp14:editId="5CEEC4C2">
              <wp:simplePos x="0" y="0"/>
              <wp:positionH relativeFrom="page">
                <wp:posOffset>0</wp:posOffset>
              </wp:positionH>
              <wp:positionV relativeFrom="page">
                <wp:posOffset>10228580</wp:posOffset>
              </wp:positionV>
              <wp:extent cx="7560945" cy="273050"/>
              <wp:effectExtent l="0" t="0" r="0" b="12700"/>
              <wp:wrapNone/>
              <wp:docPr id="27853" name="Text Box 27853"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8F3C58" w14:textId="77777777" w:rsidR="00A47556" w:rsidRPr="007E53BD" w:rsidRDefault="00A47556"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10FD3534" id="Text Box 27853" o:spid="_x0000_s1160" type="#_x0000_t202" alt="{&quot;HashCode&quot;:-1267603503,&quot;Height&quot;:841.0,&quot;Width&quot;:595.0,&quot;Placement&quot;:&quot;Footer&quot;,&quot;Index&quot;:&quot;Primary&quot;,&quot;Section&quot;:11,&quot;Top&quot;:0.0,&quot;Left&quot;:0.0}" style="position:absolute;margin-left:0;margin-top:805.4pt;width:595.35pt;height:21.5pt;z-index:2516583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iL5aIHgIAAC4EAAAOAAAAAAAAAAAAAAAAAC4CAABkcnMvZTJvRG9jLnhtbFBL&#10;AQItABQABgAIAAAAIQADWoXq3wAAAAsBAAAPAAAAAAAAAAAAAAAAAHgEAABkcnMvZG93bnJldi54&#10;bWxQSwUGAAAAAAQABADzAAAAhAUAAAAA&#10;" o:allowincell="f" filled="f" stroked="f" strokeweight=".5pt">
              <v:textbox inset="20pt,0,,0">
                <w:txbxContent>
                  <w:p w14:paraId="1E8F3C58" w14:textId="77777777" w:rsidR="00A47556" w:rsidRPr="007E53BD" w:rsidRDefault="00A47556"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46" behindDoc="0" locked="0" layoutInCell="0" allowOverlap="1" wp14:anchorId="4EFF4182" wp14:editId="3180FBCF">
              <wp:simplePos x="0" y="0"/>
              <wp:positionH relativeFrom="page">
                <wp:posOffset>0</wp:posOffset>
              </wp:positionH>
              <wp:positionV relativeFrom="page">
                <wp:posOffset>10228580</wp:posOffset>
              </wp:positionV>
              <wp:extent cx="7560945" cy="273050"/>
              <wp:effectExtent l="0" t="0" r="0" b="12700"/>
              <wp:wrapNone/>
              <wp:docPr id="27854" name="Text Box 27854"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0AA4CD" w14:textId="77777777" w:rsidR="00A47556" w:rsidRPr="006E4028" w:rsidRDefault="00A47556"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4EFF4182" id="Text Box 27854" o:spid="_x0000_s1161" type="#_x0000_t202" alt="{&quot;HashCode&quot;:-1267603503,&quot;Height&quot;:841.0,&quot;Width&quot;:595.0,&quot;Placement&quot;:&quot;Footer&quot;,&quot;Index&quot;:&quot;Primary&quot;,&quot;Section&quot;:11,&quot;Top&quot;:0.0,&quot;Left&quot;:0.0}" style="position:absolute;margin-left:0;margin-top:805.4pt;width:595.35pt;height:21.5pt;z-index:2516583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xXKM1HgIAAC4EAAAOAAAAAAAAAAAAAAAAAC4CAABkcnMvZTJvRG9jLnhtbFBL&#10;AQItABQABgAIAAAAIQADWoXq3wAAAAsBAAAPAAAAAAAAAAAAAAAAAHgEAABkcnMvZG93bnJldi54&#10;bWxQSwUGAAAAAAQABADzAAAAhAUAAAAA&#10;" o:allowincell="f" filled="f" stroked="f" strokeweight=".5pt">
              <v:textbox inset="20pt,0,,0">
                <w:txbxContent>
                  <w:p w14:paraId="4E0AA4CD" w14:textId="77777777" w:rsidR="00A47556" w:rsidRPr="006E4028" w:rsidRDefault="00A47556"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1920591133"/>
        <w:dataBinding w:prefixMappings="xmlns:ns0='http://purl.org/dc/elements/1.1/' xmlns:ns1='http://schemas.openxmlformats.org/package/2006/metadata/core-properties' " w:xpath="/ns1:coreProperties[1]/ns0:title[1]" w:storeItemID="{6C3C8BC8-F283-45AE-878A-BAB7291924A1}"/>
        <w:text/>
      </w:sdtPr>
      <w:sdtContent>
        <w:r w:rsidRPr="00285FE4">
          <w:rPr>
            <w:color w:val="808080" w:themeColor="background1" w:themeShade="80"/>
            <w:szCs w:val="15"/>
            <w:lang w:eastAsia="en-AU"/>
          </w:rPr>
          <w:t>Building Reform: Paper Two</w:t>
        </w:r>
      </w:sdtContent>
    </w:sdt>
    <w:r w:rsidRPr="00285FE4">
      <w:rPr>
        <w:color w:val="808080" w:themeColor="background1" w:themeShade="80"/>
        <w:szCs w:val="15"/>
        <w:lang w:eastAsia="en-AU"/>
      </w:rPr>
      <w:t xml:space="preserve"> | Expert Panel on Building Reform</w:t>
    </w:r>
    <w:r w:rsidRPr="00285FE4">
      <w:rPr>
        <w:rFonts w:cs="Segoe UI"/>
        <w:color w:val="A5A5A5"/>
        <w:szCs w:val="15"/>
      </w:rPr>
      <w:ptab w:relativeTo="margin" w:alignment="right" w:leader="none"/>
    </w:r>
    <w:r w:rsidRPr="00285FE4">
      <w:rPr>
        <w:rFonts w:cs="Segoe UI"/>
        <w:color w:val="A5A5A5"/>
        <w:szCs w:val="15"/>
      </w:rPr>
      <w:t>|</w:t>
    </w:r>
    <w:r w:rsidRPr="00285FE4">
      <w:rPr>
        <w:rFonts w:cs="Segoe UI"/>
        <w:color w:val="808080" w:themeColor="background1" w:themeShade="80"/>
        <w:szCs w:val="15"/>
      </w:rPr>
      <w:t xml:space="preserve"> </w:t>
    </w:r>
    <w:r>
      <w:rPr>
        <w:rFonts w:cs="Segoe UI"/>
        <w:color w:val="808080" w:themeColor="background1" w:themeShade="80"/>
        <w:szCs w:val="15"/>
      </w:rPr>
      <w:t>4</w:t>
    </w:r>
    <w:r w:rsidR="00473553">
      <w:rPr>
        <w:rFonts w:cs="Segoe UI"/>
        <w:color w:val="808080" w:themeColor="background1" w:themeShade="80"/>
        <w:szCs w:val="15"/>
      </w:rPr>
      <w:t>1</w:t>
    </w:r>
    <w:r w:rsidRPr="00285FE4">
      <w:rPr>
        <w:rFonts w:cs="Segoe UI"/>
        <w:b/>
        <w:color w:val="808080" w:themeColor="background1" w:themeShade="80"/>
        <w:szCs w:val="15"/>
      </w:rPr>
      <w:t xml:space="preserve"> </w:t>
    </w:r>
    <w:r w:rsidRPr="00285FE4">
      <w:rPr>
        <w:rFonts w:cs="Segoe UI"/>
        <w:color w:val="A5A5A5"/>
        <w:szCs w:val="15"/>
      </w:rPr>
      <w:t>|</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F7BDC" w14:textId="6A1E75CB" w:rsidR="0073715E" w:rsidRPr="00285FE4" w:rsidRDefault="0073715E"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0" relativeHeight="251658351" behindDoc="0" locked="0" layoutInCell="0" allowOverlap="1" wp14:anchorId="189F632B" wp14:editId="35AC1D99">
              <wp:simplePos x="0" y="0"/>
              <wp:positionH relativeFrom="page">
                <wp:posOffset>0</wp:posOffset>
              </wp:positionH>
              <wp:positionV relativeFrom="page">
                <wp:posOffset>10228580</wp:posOffset>
              </wp:positionV>
              <wp:extent cx="7560945" cy="273050"/>
              <wp:effectExtent l="0" t="0" r="0" b="12700"/>
              <wp:wrapNone/>
              <wp:docPr id="27855" name="Text Box 27855"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2EBF73"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89F632B" id="_x0000_t202" coordsize="21600,21600" o:spt="202" path="m,l,21600r21600,l21600,xe">
              <v:stroke joinstyle="miter"/>
              <v:path gradientshapeok="t" o:connecttype="rect"/>
            </v:shapetype>
            <v:shape id="Text Box 27855" o:spid="_x0000_s1162" type="#_x0000_t202" alt="{&quot;HashCode&quot;:-1267603503,&quot;Height&quot;:841.0,&quot;Width&quot;:595.0,&quot;Placement&quot;:&quot;Footer&quot;,&quot;Index&quot;:&quot;Primary&quot;,&quot;Section&quot;:11,&quot;Top&quot;:0.0,&quot;Left&quot;:0.0}" style="position:absolute;margin-left:0;margin-top:805.4pt;width:595.35pt;height:21.5pt;z-index:2516583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AKCsuwHgIAAC4EAAAOAAAAAAAAAAAAAAAAAC4CAABkcnMvZTJvRG9jLnhtbFBL&#10;AQItABQABgAIAAAAIQADWoXq3wAAAAsBAAAPAAAAAAAAAAAAAAAAAHgEAABkcnMvZG93bnJldi54&#10;bWxQSwUGAAAAAAQABADzAAAAhAUAAAAA&#10;" o:allowincell="f" filled="f" stroked="f" strokeweight=".5pt">
              <v:textbox inset="20pt,0,,0">
                <w:txbxContent>
                  <w:p w14:paraId="272EBF73"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50" behindDoc="0" locked="0" layoutInCell="0" allowOverlap="1" wp14:anchorId="26F845AC" wp14:editId="1D95936E">
              <wp:simplePos x="0" y="0"/>
              <wp:positionH relativeFrom="page">
                <wp:posOffset>0</wp:posOffset>
              </wp:positionH>
              <wp:positionV relativeFrom="page">
                <wp:posOffset>10228580</wp:posOffset>
              </wp:positionV>
              <wp:extent cx="7560945" cy="273050"/>
              <wp:effectExtent l="0" t="0" r="0" b="12700"/>
              <wp:wrapNone/>
              <wp:docPr id="27856" name="Text Box 27856"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FE418C"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26F845AC" id="Text Box 27856" o:spid="_x0000_s1163" type="#_x0000_t202" alt="{&quot;HashCode&quot;:-1267603503,&quot;Height&quot;:841.0,&quot;Width&quot;:595.0,&quot;Placement&quot;:&quot;Footer&quot;,&quot;Index&quot;:&quot;Primary&quot;,&quot;Section&quot;:11,&quot;Top&quot;:0.0,&quot;Left&quot;:0.0}" style="position:absolute;margin-left:0;margin-top:805.4pt;width:595.35pt;height:21.5pt;z-index:2516583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CZef4NHgIAAC4EAAAOAAAAAAAAAAAAAAAAAC4CAABkcnMvZTJvRG9jLnhtbFBL&#10;AQItABQABgAIAAAAIQADWoXq3wAAAAsBAAAPAAAAAAAAAAAAAAAAAHgEAABkcnMvZG93bnJldi54&#10;bWxQSwUGAAAAAAQABADzAAAAhAUAAAAA&#10;" o:allowincell="f" filled="f" stroked="f" strokeweight=".5pt">
              <v:textbox inset="20pt,0,,0">
                <w:txbxContent>
                  <w:p w14:paraId="32FE418C"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49" behindDoc="0" locked="0" layoutInCell="0" allowOverlap="1" wp14:anchorId="0E45A26E" wp14:editId="207503AB">
              <wp:simplePos x="0" y="0"/>
              <wp:positionH relativeFrom="page">
                <wp:posOffset>0</wp:posOffset>
              </wp:positionH>
              <wp:positionV relativeFrom="page">
                <wp:posOffset>10228580</wp:posOffset>
              </wp:positionV>
              <wp:extent cx="7560945" cy="273050"/>
              <wp:effectExtent l="0" t="0" r="0" b="12700"/>
              <wp:wrapNone/>
              <wp:docPr id="27857" name="Text Box 27857"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BEA643"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0E45A26E" id="Text Box 27857" o:spid="_x0000_s1164" type="#_x0000_t202" alt="{&quot;HashCode&quot;:-1267603503,&quot;Height&quot;:841.0,&quot;Width&quot;:595.0,&quot;Placement&quot;:&quot;Footer&quot;,&quot;Index&quot;:&quot;Primary&quot;,&quot;Section&quot;:11,&quot;Top&quot;:0.0,&quot;Left&quot;:0.0}" style="position:absolute;margin-left:0;margin-top:805.4pt;width:595.35pt;height:21.5pt;z-index:2516583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t69ARHgIAAC4EAAAOAAAAAAAAAAAAAAAAAC4CAABkcnMvZTJvRG9jLnhtbFBL&#10;AQItABQABgAIAAAAIQADWoXq3wAAAAsBAAAPAAAAAAAAAAAAAAAAAHgEAABkcnMvZG93bnJldi54&#10;bWxQSwUGAAAAAAQABADzAAAAhAUAAAAA&#10;" o:allowincell="f" filled="f" stroked="f" strokeweight=".5pt">
              <v:textbox inset="20pt,0,,0">
                <w:txbxContent>
                  <w:p w14:paraId="38BEA643"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502019253"/>
        <w:dataBinding w:prefixMappings="xmlns:ns0='http://purl.org/dc/elements/1.1/' xmlns:ns1='http://schemas.openxmlformats.org/package/2006/metadata/core-properties' " w:xpath="/ns1:coreProperties[1]/ns0:title[1]" w:storeItemID="{6C3C8BC8-F283-45AE-878A-BAB7291924A1}"/>
        <w:text/>
      </w:sdtPr>
      <w:sdtContent>
        <w:r w:rsidRPr="00285FE4">
          <w:rPr>
            <w:color w:val="808080" w:themeColor="background1" w:themeShade="80"/>
            <w:szCs w:val="15"/>
            <w:lang w:eastAsia="en-AU"/>
          </w:rPr>
          <w:t>Building Reform: Paper Two</w:t>
        </w:r>
      </w:sdtContent>
    </w:sdt>
    <w:r w:rsidRPr="00285FE4">
      <w:rPr>
        <w:color w:val="808080" w:themeColor="background1" w:themeShade="80"/>
        <w:szCs w:val="15"/>
        <w:lang w:eastAsia="en-AU"/>
      </w:rPr>
      <w:t xml:space="preserve"> | Expert Panel on Building Reform</w:t>
    </w:r>
    <w:r w:rsidRPr="00285FE4">
      <w:rPr>
        <w:rFonts w:cs="Segoe UI"/>
        <w:color w:val="A5A5A5"/>
        <w:szCs w:val="15"/>
      </w:rPr>
      <w:ptab w:relativeTo="margin" w:alignment="right" w:leader="none"/>
    </w:r>
    <w:r w:rsidRPr="00285FE4">
      <w:rPr>
        <w:rFonts w:cs="Segoe UI"/>
        <w:color w:val="A5A5A5"/>
        <w:szCs w:val="15"/>
      </w:rPr>
      <w:t>|</w:t>
    </w:r>
    <w:r w:rsidRPr="00285FE4">
      <w:rPr>
        <w:rFonts w:cs="Segoe UI"/>
        <w:color w:val="808080" w:themeColor="background1" w:themeShade="80"/>
        <w:szCs w:val="15"/>
      </w:rPr>
      <w:t xml:space="preserve"> </w:t>
    </w:r>
    <w:r>
      <w:rPr>
        <w:rFonts w:cs="Segoe UI"/>
        <w:color w:val="808080" w:themeColor="background1" w:themeShade="80"/>
        <w:szCs w:val="15"/>
      </w:rPr>
      <w:t>4</w:t>
    </w:r>
    <w:r w:rsidR="001A64FB">
      <w:rPr>
        <w:rFonts w:cs="Segoe UI"/>
        <w:color w:val="808080" w:themeColor="background1" w:themeShade="80"/>
        <w:szCs w:val="15"/>
      </w:rPr>
      <w:t>2</w:t>
    </w:r>
    <w:r w:rsidRPr="00285FE4">
      <w:rPr>
        <w:rFonts w:cs="Segoe UI"/>
        <w:b/>
        <w:color w:val="808080" w:themeColor="background1" w:themeShade="80"/>
        <w:szCs w:val="15"/>
      </w:rPr>
      <w:t xml:space="preserve"> </w:t>
    </w:r>
    <w:r w:rsidRPr="00285FE4">
      <w:rPr>
        <w:rFonts w:cs="Segoe UI"/>
        <w:color w:val="A5A5A5"/>
        <w:szCs w:val="15"/>
      </w:rPr>
      <w:t>|</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EFCA6" w14:textId="37A07236" w:rsidR="0073715E" w:rsidRPr="00285FE4" w:rsidRDefault="0073715E"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0" relativeHeight="251658354" behindDoc="0" locked="0" layoutInCell="0" allowOverlap="1" wp14:anchorId="672F17D6" wp14:editId="14B25B0A">
              <wp:simplePos x="0" y="0"/>
              <wp:positionH relativeFrom="page">
                <wp:posOffset>0</wp:posOffset>
              </wp:positionH>
              <wp:positionV relativeFrom="page">
                <wp:posOffset>10228580</wp:posOffset>
              </wp:positionV>
              <wp:extent cx="7560945" cy="273050"/>
              <wp:effectExtent l="0" t="0" r="0" b="12700"/>
              <wp:wrapNone/>
              <wp:docPr id="27858" name="Text Box 27858"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60FF4B"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72F17D6" id="_x0000_t202" coordsize="21600,21600" o:spt="202" path="m,l,21600r21600,l21600,xe">
              <v:stroke joinstyle="miter"/>
              <v:path gradientshapeok="t" o:connecttype="rect"/>
            </v:shapetype>
            <v:shape id="Text Box 27858" o:spid="_x0000_s1165" type="#_x0000_t202" alt="{&quot;HashCode&quot;:-1267603503,&quot;Height&quot;:841.0,&quot;Width&quot;:595.0,&quot;Placement&quot;:&quot;Footer&quot;,&quot;Index&quot;:&quot;Primary&quot;,&quot;Section&quot;:11,&quot;Top&quot;:0.0,&quot;Left&quot;:0.0}" style="position:absolute;margin-left:0;margin-top:805.4pt;width:595.35pt;height:21.5pt;z-index:2516583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mOWsHgIAAC4EAAAOAAAAAAAAAAAAAAAAAC4CAABkcnMvZTJvRG9jLnhtbFBL&#10;AQItABQABgAIAAAAIQADWoXq3wAAAAsBAAAPAAAAAAAAAAAAAAAAAHgEAABkcnMvZG93bnJldi54&#10;bWxQSwUGAAAAAAQABADzAAAAhAUAAAAA&#10;" o:allowincell="f" filled="f" stroked="f" strokeweight=".5pt">
              <v:textbox inset="20pt,0,,0">
                <w:txbxContent>
                  <w:p w14:paraId="3160FF4B"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53" behindDoc="0" locked="0" layoutInCell="0" allowOverlap="1" wp14:anchorId="195B507F" wp14:editId="5F2BE503">
              <wp:simplePos x="0" y="0"/>
              <wp:positionH relativeFrom="page">
                <wp:posOffset>0</wp:posOffset>
              </wp:positionH>
              <wp:positionV relativeFrom="page">
                <wp:posOffset>10228580</wp:posOffset>
              </wp:positionV>
              <wp:extent cx="7560945" cy="273050"/>
              <wp:effectExtent l="0" t="0" r="0" b="12700"/>
              <wp:wrapNone/>
              <wp:docPr id="27860" name="Text Box 27860"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32E059"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195B507F" id="Text Box 27860" o:spid="_x0000_s1166" type="#_x0000_t202" alt="{&quot;HashCode&quot;:-1267603503,&quot;Height&quot;:841.0,&quot;Width&quot;:595.0,&quot;Placement&quot;:&quot;Footer&quot;,&quot;Index&quot;:&quot;Primary&quot;,&quot;Section&quot;:11,&quot;Top&quot;:0.0,&quot;Left&quot;:0.0}" style="position:absolute;margin-left:0;margin-top:805.4pt;width:595.35pt;height:21.5pt;z-index:2516583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aQXHAHgIAAC4EAAAOAAAAAAAAAAAAAAAAAC4CAABkcnMvZTJvRG9jLnhtbFBL&#10;AQItABQABgAIAAAAIQADWoXq3wAAAAsBAAAPAAAAAAAAAAAAAAAAAHgEAABkcnMvZG93bnJldi54&#10;bWxQSwUGAAAAAAQABADzAAAAhAUAAAAA&#10;" o:allowincell="f" filled="f" stroked="f" strokeweight=".5pt">
              <v:textbox inset="20pt,0,,0">
                <w:txbxContent>
                  <w:p w14:paraId="2732E059"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52" behindDoc="0" locked="0" layoutInCell="0" allowOverlap="1" wp14:anchorId="31FD8BDE" wp14:editId="66EB8D13">
              <wp:simplePos x="0" y="0"/>
              <wp:positionH relativeFrom="page">
                <wp:posOffset>0</wp:posOffset>
              </wp:positionH>
              <wp:positionV relativeFrom="page">
                <wp:posOffset>10228580</wp:posOffset>
              </wp:positionV>
              <wp:extent cx="7560945" cy="273050"/>
              <wp:effectExtent l="0" t="0" r="0" b="12700"/>
              <wp:wrapNone/>
              <wp:docPr id="27861" name="Text Box 27861"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2883BE"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31FD8BDE" id="Text Box 27861" o:spid="_x0000_s1167" type="#_x0000_t202" alt="{&quot;HashCode&quot;:-1267603503,&quot;Height&quot;:841.0,&quot;Width&quot;:595.0,&quot;Placement&quot;:&quot;Footer&quot;,&quot;Index&quot;:&quot;Primary&quot;,&quot;Section&quot;:11,&quot;Top&quot;:0.0,&quot;Left&quot;:0.0}" style="position:absolute;margin-left:0;margin-top:805.4pt;width:595.35pt;height:21.5pt;z-index:2516583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JMkR9HgIAAC4EAAAOAAAAAAAAAAAAAAAAAC4CAABkcnMvZTJvRG9jLnhtbFBL&#10;AQItABQABgAIAAAAIQADWoXq3wAAAAsBAAAPAAAAAAAAAAAAAAAAAHgEAABkcnMvZG93bnJldi54&#10;bWxQSwUGAAAAAAQABADzAAAAhAUAAAAA&#10;" o:allowincell="f" filled="f" stroked="f" strokeweight=".5pt">
              <v:textbox inset="20pt,0,,0">
                <w:txbxContent>
                  <w:p w14:paraId="4C2883BE"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427584237"/>
        <w:dataBinding w:prefixMappings="xmlns:ns0='http://purl.org/dc/elements/1.1/' xmlns:ns1='http://schemas.openxmlformats.org/package/2006/metadata/core-properties' " w:xpath="/ns1:coreProperties[1]/ns0:title[1]" w:storeItemID="{6C3C8BC8-F283-45AE-878A-BAB7291924A1}"/>
        <w:text/>
      </w:sdtPr>
      <w:sdtContent>
        <w:r w:rsidRPr="00285FE4">
          <w:rPr>
            <w:color w:val="808080" w:themeColor="background1" w:themeShade="80"/>
            <w:szCs w:val="15"/>
            <w:lang w:eastAsia="en-AU"/>
          </w:rPr>
          <w:t>Building Reform: Paper Two</w:t>
        </w:r>
      </w:sdtContent>
    </w:sdt>
    <w:r w:rsidRPr="00285FE4">
      <w:rPr>
        <w:color w:val="808080" w:themeColor="background1" w:themeShade="80"/>
        <w:szCs w:val="15"/>
        <w:lang w:eastAsia="en-AU"/>
      </w:rPr>
      <w:t xml:space="preserve"> | Expert Panel on Building Reform</w:t>
    </w:r>
    <w:r w:rsidRPr="00285FE4">
      <w:rPr>
        <w:rFonts w:cs="Segoe UI"/>
        <w:color w:val="A5A5A5"/>
        <w:szCs w:val="15"/>
      </w:rPr>
      <w:ptab w:relativeTo="margin" w:alignment="right" w:leader="none"/>
    </w:r>
    <w:r w:rsidRPr="00285FE4">
      <w:rPr>
        <w:rFonts w:cs="Segoe UI"/>
        <w:color w:val="A5A5A5"/>
        <w:szCs w:val="15"/>
      </w:rPr>
      <w:t>|</w:t>
    </w:r>
    <w:r w:rsidRPr="00285FE4">
      <w:rPr>
        <w:rFonts w:cs="Segoe UI"/>
        <w:color w:val="808080" w:themeColor="background1" w:themeShade="80"/>
        <w:szCs w:val="15"/>
      </w:rPr>
      <w:t xml:space="preserve"> </w:t>
    </w:r>
    <w:r>
      <w:rPr>
        <w:rFonts w:cs="Segoe UI"/>
        <w:color w:val="808080" w:themeColor="background1" w:themeShade="80"/>
        <w:szCs w:val="15"/>
      </w:rPr>
      <w:t>4</w:t>
    </w:r>
    <w:r w:rsidR="001A64FB">
      <w:rPr>
        <w:rFonts w:cs="Segoe UI"/>
        <w:color w:val="808080" w:themeColor="background1" w:themeShade="80"/>
        <w:szCs w:val="15"/>
      </w:rPr>
      <w:t>3</w:t>
    </w:r>
    <w:r w:rsidRPr="00285FE4">
      <w:rPr>
        <w:rFonts w:cs="Segoe UI"/>
        <w:b/>
        <w:color w:val="808080" w:themeColor="background1" w:themeShade="80"/>
        <w:szCs w:val="15"/>
      </w:rPr>
      <w:t xml:space="preserve"> </w:t>
    </w:r>
    <w:r w:rsidRPr="00285FE4">
      <w:rPr>
        <w:rFonts w:cs="Segoe UI"/>
        <w:color w:val="A5A5A5"/>
        <w:szCs w:val="15"/>
      </w:rPr>
      <w:t>|</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759A6" w14:textId="27938509" w:rsidR="00763C7F" w:rsidRPr="005C29E1" w:rsidRDefault="00763C7F" w:rsidP="005C29E1">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114300" distR="114300" simplePos="0" relativeHeight="251658285" behindDoc="0" locked="0" layoutInCell="0" allowOverlap="1" wp14:anchorId="29270ED9" wp14:editId="5A7150A1">
              <wp:simplePos x="0" y="0"/>
              <wp:positionH relativeFrom="page">
                <wp:posOffset>0</wp:posOffset>
              </wp:positionH>
              <wp:positionV relativeFrom="page">
                <wp:posOffset>10228580</wp:posOffset>
              </wp:positionV>
              <wp:extent cx="7560945" cy="273050"/>
              <wp:effectExtent l="0" t="0" r="0" b="12700"/>
              <wp:wrapNone/>
              <wp:docPr id="63" name="Text Box 63"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91F94B" w14:textId="77777777" w:rsidR="00763C7F" w:rsidRPr="003C2FDB" w:rsidRDefault="00763C7F"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9270ED9" id="_x0000_t202" coordsize="21600,21600" o:spt="202" path="m,l,21600r21600,l21600,xe">
              <v:stroke joinstyle="miter"/>
              <v:path gradientshapeok="t" o:connecttype="rect"/>
            </v:shapetype>
            <v:shape id="Text Box 63" o:spid="_x0000_s1168" type="#_x0000_t202" alt="{&quot;HashCode&quot;:-1267603503,&quot;Height&quot;:841.0,&quot;Width&quot;:595.0,&quot;Placement&quot;:&quot;Footer&quot;,&quot;Index&quot;:&quot;FirstPage&quot;,&quot;Section&quot;:5,&quot;Top&quot;:0.0,&quot;Left&quot;:0.0}" style="position:absolute;margin-left:0;margin-top:805.4pt;width:595.35pt;height:21.5pt;z-index:25165828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GcO3+4dAgAALgQAAA4AAAAAAAAAAAAAAAAALgIAAGRycy9lMm9Eb2MueG1sUEsB&#10;Ai0AFAAGAAgAAAAhAANaherfAAAACwEAAA8AAAAAAAAAAAAAAAAAdwQAAGRycy9kb3ducmV2Lnht&#10;bFBLBQYAAAAABAAEAPMAAACDBQAAAAA=&#10;" o:allowincell="f" filled="f" stroked="f" strokeweight=".5pt">
              <v:textbox inset="20pt,0,,0">
                <w:txbxContent>
                  <w:p w14:paraId="1991F94B" w14:textId="77777777" w:rsidR="00763C7F" w:rsidRPr="003C2FDB" w:rsidRDefault="00763C7F"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284" behindDoc="0" locked="0" layoutInCell="0" allowOverlap="1" wp14:anchorId="482F1A5D" wp14:editId="52132E83">
              <wp:simplePos x="0" y="0"/>
              <wp:positionH relativeFrom="page">
                <wp:posOffset>0</wp:posOffset>
              </wp:positionH>
              <wp:positionV relativeFrom="page">
                <wp:posOffset>10228580</wp:posOffset>
              </wp:positionV>
              <wp:extent cx="7560945" cy="273050"/>
              <wp:effectExtent l="0" t="0" r="0" b="12700"/>
              <wp:wrapNone/>
              <wp:docPr id="27784" name="Text Box 27784"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199746" w14:textId="77777777" w:rsidR="00763C7F" w:rsidRPr="007E53BD" w:rsidRDefault="00763C7F"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482F1A5D" id="Text Box 27784" o:spid="_x0000_s1169" type="#_x0000_t202" alt="{&quot;HashCode&quot;:-1267603503,&quot;Height&quot;:841.0,&quot;Width&quot;:595.0,&quot;Placement&quot;:&quot;Footer&quot;,&quot;Index&quot;:&quot;FirstPage&quot;,&quot;Section&quot;:5,&quot;Top&quot;:0.0,&quot;Left&quot;:0.0}" style="position:absolute;margin-left:0;margin-top:805.4pt;width:595.35pt;height:21.5pt;z-index:2516582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0fepTHgIAAC4EAAAOAAAAAAAAAAAAAAAAAC4CAABkcnMvZTJvRG9jLnhtbFBL&#10;AQItABQABgAIAAAAIQADWoXq3wAAAAsBAAAPAAAAAAAAAAAAAAAAAHgEAABkcnMvZG93bnJldi54&#10;bWxQSwUGAAAAAAQABADzAAAAhAUAAAAA&#10;" o:allowincell="f" filled="f" stroked="f" strokeweight=".5pt">
              <v:textbox inset="20pt,0,,0">
                <w:txbxContent>
                  <w:p w14:paraId="24199746" w14:textId="77777777" w:rsidR="00763C7F" w:rsidRPr="007E53BD" w:rsidRDefault="00763C7F"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283" behindDoc="0" locked="0" layoutInCell="0" allowOverlap="1" wp14:anchorId="44EC316E" wp14:editId="34311AA2">
              <wp:simplePos x="0" y="0"/>
              <wp:positionH relativeFrom="page">
                <wp:posOffset>0</wp:posOffset>
              </wp:positionH>
              <wp:positionV relativeFrom="page">
                <wp:posOffset>10228580</wp:posOffset>
              </wp:positionV>
              <wp:extent cx="7560945" cy="273050"/>
              <wp:effectExtent l="0" t="0" r="0" b="12700"/>
              <wp:wrapNone/>
              <wp:docPr id="27785" name="Text Box 27785"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A8C9DC" w14:textId="77777777" w:rsidR="00763C7F" w:rsidRPr="006E4028" w:rsidRDefault="00763C7F"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44EC316E" id="Text Box 27785" o:spid="_x0000_s1170" type="#_x0000_t202" alt="{&quot;HashCode&quot;:-1267603503,&quot;Height&quot;:841.0,&quot;Width&quot;:595.0,&quot;Placement&quot;:&quot;Footer&quot;,&quot;Index&quot;:&quot;FirstPage&quot;,&quot;Section&quot;:5,&quot;Top&quot;:0.0,&quot;Left&quot;:0.0}" style="position:absolute;margin-left:0;margin-top:805.4pt;width:595.35pt;height:21.5pt;z-index:25165828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8RPHgIAAC4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7TybDJDqoTLuig595bvlY4&#10;xYb58Mwcko07oYDDEx5SA3aDs0VJDe7H3/wxHznAKCUtiqek/vuBOUGJ/mqQnclsmudRbumGhkvG&#10;7Xg6xctu8JpDcw8ozDG+EcuTGXODHkzpoHlFga9iOwwxw7FpSXeDeR96LeMD4WK1SkkoLMvCxmwt&#10;j6UjbBHcl+6VOXtmICB3jzDoixXviOhze8BXhwBSJZYixD2cZ+RRlIm88wOKqv/1nrIuz3z5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AA78RPHgIAAC4EAAAOAAAAAAAAAAAAAAAAAC4CAABkcnMvZTJvRG9jLnhtbFBL&#10;AQItABQABgAIAAAAIQADWoXq3wAAAAsBAAAPAAAAAAAAAAAAAAAAAHgEAABkcnMvZG93bnJldi54&#10;bWxQSwUGAAAAAAQABADzAAAAhAUAAAAA&#10;" o:allowincell="f" filled="f" stroked="f" strokeweight=".5pt">
              <v:textbox inset="20pt,0,,0">
                <w:txbxContent>
                  <w:p w14:paraId="4BA8C9DC" w14:textId="77777777" w:rsidR="00763C7F" w:rsidRPr="006E4028" w:rsidRDefault="00763C7F"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r>
      <w:rPr>
        <w:color w:val="808080" w:themeColor="background1" w:themeShade="80"/>
        <w:szCs w:val="15"/>
        <w:lang w:eastAsia="en-AU"/>
      </w:rPr>
      <w:t>19</w:t>
    </w:r>
    <w:sdt>
      <w:sdtPr>
        <w:rPr>
          <w:color w:val="808080" w:themeColor="background1" w:themeShade="80"/>
          <w:szCs w:val="15"/>
          <w:lang w:eastAsia="en-AU"/>
        </w:rPr>
        <w:alias w:val="Title"/>
        <w:id w:val="-1484455716"/>
        <w:dataBinding w:prefixMappings="xmlns:ns0='http://purl.org/dc/elements/1.1/' xmlns:ns1='http://schemas.openxmlformats.org/package/2006/metadata/core-properties' " w:xpath="/ns1:coreProperties[1]/ns0:title[1]" w:storeItemID="{6C3C8BC8-F283-45AE-878A-BAB7291924A1}"/>
        <w:text/>
      </w:sdtPr>
      <w:sdtContent>
        <w:r>
          <w:rPr>
            <w:color w:val="808080" w:themeColor="background1" w:themeShade="80"/>
            <w:szCs w:val="15"/>
            <w:lang w:eastAsia="en-AU"/>
          </w:rPr>
          <w:t>Building Reform: Paper Two</w:t>
        </w:r>
      </w:sdtContent>
    </w:sdt>
    <w:r>
      <w:rPr>
        <w:color w:val="808080" w:themeColor="background1" w:themeShade="80"/>
        <w:szCs w:val="15"/>
        <w:lang w:eastAsia="en-AU"/>
      </w:rPr>
      <w:t xml:space="preserve"> | Expert Panel on Building Reform</w:t>
    </w:r>
    <w:r w:rsidRPr="00FD4AB1">
      <w:rPr>
        <w:rFonts w:ascii="Segoe UI Semibold" w:hAnsi="Segoe UI Semibold" w:cs="Segoe UI"/>
        <w:color w:val="A5A5A5"/>
      </w:rPr>
      <w:ptab w:relativeTo="margin" w:alignment="right" w:leader="none"/>
    </w:r>
    <w:r w:rsidRPr="00FD4AB1">
      <w:rPr>
        <w:rFonts w:cs="Segoe UI"/>
        <w:color w:val="A5A5A5"/>
      </w:rPr>
      <w:t xml:space="preserve">| </w:t>
    </w:r>
    <w:r w:rsidR="0073715E">
      <w:rPr>
        <w:rFonts w:cs="Segoe UI"/>
        <w:color w:val="A5A5A5"/>
      </w:rPr>
      <w:t>4</w:t>
    </w:r>
    <w:r w:rsidR="001A64FB">
      <w:rPr>
        <w:rFonts w:cs="Segoe UI"/>
        <w:color w:val="A5A5A5"/>
      </w:rPr>
      <w:t>4</w:t>
    </w:r>
    <w:r>
      <w:rPr>
        <w:rFonts w:cs="Segoe UI"/>
        <w:noProof/>
        <w:color w:val="A5A5A5"/>
      </w:rPr>
      <w:t xml:space="preserve"> </w:t>
    </w:r>
    <w:r w:rsidRPr="00FD4AB1">
      <w:rPr>
        <w:rFonts w:cs="Segoe UI"/>
        <w:color w:val="A5A5A5"/>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2FAD6" w14:textId="682F10B5" w:rsidR="00DD48ED" w:rsidRPr="00FD4AB1" w:rsidRDefault="008E041E" w:rsidP="00FD4AB1">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114300" distR="114300" simplePos="0" relativeHeight="251661520" behindDoc="0" locked="0" layoutInCell="0" allowOverlap="1" wp14:anchorId="70A0D55B" wp14:editId="54C42FB1">
              <wp:simplePos x="0" y="0"/>
              <wp:positionH relativeFrom="page">
                <wp:posOffset>0</wp:posOffset>
              </wp:positionH>
              <wp:positionV relativeFrom="page">
                <wp:posOffset>10228580</wp:posOffset>
              </wp:positionV>
              <wp:extent cx="7560945" cy="273050"/>
              <wp:effectExtent l="0" t="0" r="0" b="12700"/>
              <wp:wrapNone/>
              <wp:docPr id="27977" name="MSIPCMf1b84132904593dfbe4da7b2" descr="{&quot;HashCode&quot;:-1267603503,&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E7FB45" w14:textId="5E1FAF8E" w:rsidR="008E041E" w:rsidRPr="008E041E" w:rsidRDefault="008E041E" w:rsidP="008E041E">
                          <w:pPr>
                            <w:spacing w:after="0"/>
                            <w:rPr>
                              <w:rFonts w:ascii="Calibri" w:hAnsi="Calibri" w:cs="Calibri"/>
                              <w:color w:val="000000"/>
                            </w:rPr>
                          </w:pPr>
                          <w:r w:rsidRPr="008E041E">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0A0D55B" id="_x0000_t202" coordsize="21600,21600" o:spt="202" path="m,l,21600r21600,l21600,xe">
              <v:stroke joinstyle="miter"/>
              <v:path gradientshapeok="t" o:connecttype="rect"/>
            </v:shapetype>
            <v:shape id="MSIPCMf1b84132904593dfbe4da7b2" o:spid="_x0000_s1038" type="#_x0000_t202" alt="{&quot;HashCode&quot;:-1267603503,&quot;Height&quot;:841.0,&quot;Width&quot;:595.0,&quot;Placement&quot;:&quot;Footer&quot;,&quot;Index&quot;:&quot;Primary&quot;,&quot;Section&quot;:5,&quot;Top&quot;:0.0,&quot;Left&quot;:0.0}" style="position:absolute;margin-left:0;margin-top:805.4pt;width:595.35pt;height:21.5pt;z-index:2516615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" o:allowincell="f" filled="f" stroked="f" strokeweight=".5pt">
              <v:textbox inset="20pt,0,,0">
                <w:txbxContent>
                  <w:p w14:paraId="74E7FB45" w14:textId="5E1FAF8E" w:rsidR="008E041E" w:rsidRPr="008E041E" w:rsidRDefault="008E041E" w:rsidP="008E041E">
                    <w:pPr>
                      <w:spacing w:after="0"/>
                      <w:rPr>
                        <w:rFonts w:ascii="Calibri" w:hAnsi="Calibri" w:cs="Calibri"/>
                        <w:color w:val="000000"/>
                      </w:rPr>
                    </w:pPr>
                    <w:r w:rsidRPr="008E041E">
                      <w:rPr>
                        <w:rFonts w:ascii="Calibri" w:hAnsi="Calibri" w:cs="Calibri"/>
                        <w:color w:val="000000"/>
                      </w:rPr>
                      <w:t>OFFICIAL</w:t>
                    </w:r>
                  </w:p>
                </w:txbxContent>
              </v:textbox>
              <w10:wrap anchorx="page" anchory="page"/>
            </v:shape>
          </w:pict>
        </mc:Fallback>
      </mc:AlternateContent>
    </w:r>
    <w:r w:rsidR="000D6207">
      <w:rPr>
        <w:noProof/>
        <w:color w:val="808080" w:themeColor="background1" w:themeShade="80"/>
        <w:szCs w:val="15"/>
        <w:lang w:eastAsia="en-AU"/>
      </w:rPr>
      <mc:AlternateContent>
        <mc:Choice Requires="wps">
          <w:drawing>
            <wp:anchor distT="0" distB="0" distL="114300" distR="114300" simplePos="0" relativeHeight="251658429" behindDoc="0" locked="0" layoutInCell="0" allowOverlap="1" wp14:anchorId="1BA49BB8" wp14:editId="524884A7">
              <wp:simplePos x="0" y="0"/>
              <wp:positionH relativeFrom="page">
                <wp:posOffset>0</wp:posOffset>
              </wp:positionH>
              <wp:positionV relativeFrom="page">
                <wp:posOffset>10228580</wp:posOffset>
              </wp:positionV>
              <wp:extent cx="7560945" cy="273050"/>
              <wp:effectExtent l="0" t="0" r="0" b="12700"/>
              <wp:wrapNone/>
              <wp:docPr id="13" name="Text Box 13" descr="{&quot;HashCode&quot;:-1267603503,&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A0EB6D" w14:textId="7C05EE71" w:rsidR="000D6207" w:rsidRPr="000D6207" w:rsidRDefault="000D6207" w:rsidP="000D6207">
                          <w:pPr>
                            <w:spacing w:after="0"/>
                            <w:rPr>
                              <w:rFonts w:ascii="Calibri" w:hAnsi="Calibri" w:cs="Calibri"/>
                              <w:color w:val="000000"/>
                            </w:rPr>
                          </w:pPr>
                          <w:r w:rsidRPr="000D620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1BA49BB8" id="Text Box 13" o:spid="_x0000_s1039" type="#_x0000_t202" alt="{&quot;HashCode&quot;:-1267603503,&quot;Height&quot;:841.0,&quot;Width&quot;:595.0,&quot;Placement&quot;:&quot;Footer&quot;,&quot;Index&quot;:&quot;Primary&quot;,&quot;Section&quot;:5,&quot;Top&quot;:0.0,&quot;Left&quot;:0.0}" style="position:absolute;margin-left:0;margin-top:805.4pt;width:595.35pt;height:21.5pt;z-index:25165842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F4ORIAdAgAALQQAAA4AAAAAAAAAAAAAAAAALgIAAGRycy9lMm9Eb2MueG1sUEsB&#10;Ai0AFAAGAAgAAAAhAANaherfAAAACwEAAA8AAAAAAAAAAAAAAAAAdwQAAGRycy9kb3ducmV2Lnht&#10;bFBLBQYAAAAABAAEAPMAAACDBQAAAAA=&#10;" o:allowincell="f" filled="f" stroked="f" strokeweight=".5pt">
              <v:textbox inset="20pt,0,,0">
                <w:txbxContent>
                  <w:p w14:paraId="76A0EB6D" w14:textId="7C05EE71" w:rsidR="000D6207" w:rsidRPr="000D6207" w:rsidRDefault="000D6207" w:rsidP="000D6207">
                    <w:pPr>
                      <w:spacing w:after="0"/>
                      <w:rPr>
                        <w:rFonts w:ascii="Calibri" w:hAnsi="Calibri" w:cs="Calibri"/>
                        <w:color w:val="000000"/>
                      </w:rPr>
                    </w:pPr>
                    <w:r w:rsidRPr="000D6207">
                      <w:rPr>
                        <w:rFonts w:ascii="Calibri" w:hAnsi="Calibri" w:cs="Calibri"/>
                        <w:color w:val="000000"/>
                      </w:rPr>
                      <w:t>OFFICIAL</w:t>
                    </w:r>
                  </w:p>
                </w:txbxContent>
              </v:textbox>
              <w10:wrap anchorx="page" anchory="page"/>
            </v:shape>
          </w:pict>
        </mc:Fallback>
      </mc:AlternateContent>
    </w:r>
    <w:r w:rsidR="003C2FDB">
      <w:rPr>
        <w:noProof/>
        <w:color w:val="808080" w:themeColor="background1" w:themeShade="80"/>
        <w:szCs w:val="15"/>
        <w:lang w:eastAsia="en-AU"/>
      </w:rPr>
      <mc:AlternateContent>
        <mc:Choice Requires="wps">
          <w:drawing>
            <wp:anchor distT="0" distB="0" distL="114300" distR="114300" simplePos="0" relativeHeight="251658251" behindDoc="0" locked="0" layoutInCell="0" allowOverlap="1" wp14:anchorId="6A3E9C9A" wp14:editId="0F969A67">
              <wp:simplePos x="0" y="0"/>
              <wp:positionH relativeFrom="page">
                <wp:posOffset>0</wp:posOffset>
              </wp:positionH>
              <wp:positionV relativeFrom="page">
                <wp:posOffset>10228580</wp:posOffset>
              </wp:positionV>
              <wp:extent cx="7560945" cy="273050"/>
              <wp:effectExtent l="0" t="0" r="0" b="12700"/>
              <wp:wrapNone/>
              <wp:docPr id="27781" name="Text Box 27781" descr="{&quot;HashCode&quot;:-1267603503,&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313D83" w14:textId="42E60036" w:rsidR="003C2FDB" w:rsidRPr="003C2FDB" w:rsidRDefault="003C2FDB"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A3E9C9A" id="Text Box 27781" o:spid="_x0000_s1040" type="#_x0000_t202" alt="{&quot;HashCode&quot;:-1267603503,&quot;Height&quot;:841.0,&quot;Width&quot;:595.0,&quot;Placement&quot;:&quot;Footer&quot;,&quot;Index&quot;:&quot;Primary&quot;,&quot;Section&quot;:5,&quot;Top&quot;:0.0,&quot;Left&quot;:0.0}" style="position:absolute;margin-left:0;margin-top:805.4pt;width:595.35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qcHgIAAC0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6TYZEdVCfcz0FPvbd8rXCI&#10;DfPhmTnkGldC/YYnPKQGbAZni5Ia3I+/+WM+UoBRSlrUTkn99wNzghL91SA5k9k0z6Pa0g0Nl4zb&#10;8XSKl93gNYfmHlCXY3wilicz5gY9mNJB84r6XsV2GGKGY9OS7gbzPvRSxvfBxWqVklBXloWN2Voe&#10;S0fUIrYv3Stz9kxAQOoeYZAXK97x0Of2eK8OAaRKJEWEezjPwKMmE3fn9xNF/+s9ZV1e+fIn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CqnGqcHgIAAC0EAAAOAAAAAAAAAAAAAAAAAC4CAABkcnMvZTJvRG9jLnhtbFBL&#10;AQItABQABgAIAAAAIQADWoXq3wAAAAsBAAAPAAAAAAAAAAAAAAAAAHgEAABkcnMvZG93bnJldi54&#10;bWxQSwUGAAAAAAQABADzAAAAhAUAAAAA&#10;" o:allowincell="f" filled="f" stroked="f" strokeweight=".5pt">
              <v:textbox inset="20pt,0,,0">
                <w:txbxContent>
                  <w:p w14:paraId="14313D83" w14:textId="42E60036" w:rsidR="003C2FDB" w:rsidRPr="003C2FDB" w:rsidRDefault="003C2FDB"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sidR="007E53BD">
      <w:rPr>
        <w:noProof/>
        <w:color w:val="808080" w:themeColor="background1" w:themeShade="80"/>
        <w:szCs w:val="15"/>
        <w:lang w:eastAsia="en-AU"/>
      </w:rPr>
      <mc:AlternateContent>
        <mc:Choice Requires="wps">
          <w:drawing>
            <wp:anchor distT="0" distB="0" distL="114300" distR="114300" simplePos="0" relativeHeight="251658247" behindDoc="0" locked="0" layoutInCell="0" allowOverlap="1" wp14:anchorId="25108863" wp14:editId="1B710F15">
              <wp:simplePos x="0" y="0"/>
              <wp:positionH relativeFrom="page">
                <wp:posOffset>0</wp:posOffset>
              </wp:positionH>
              <wp:positionV relativeFrom="page">
                <wp:posOffset>10228580</wp:posOffset>
              </wp:positionV>
              <wp:extent cx="7560945" cy="273050"/>
              <wp:effectExtent l="0" t="0" r="0" b="12700"/>
              <wp:wrapNone/>
              <wp:docPr id="26" name="Text Box 26" descr="{&quot;HashCode&quot;:-1267603503,&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E2D4DE" w14:textId="7D038596" w:rsidR="007E53BD" w:rsidRPr="007E53BD" w:rsidRDefault="007E53BD"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25108863" id="Text Box 26" o:spid="_x0000_s1041" type="#_x0000_t202" alt="{&quot;HashCode&quot;:-1267603503,&quot;Height&quot;:841.0,&quot;Width&quot;:595.0,&quot;Placement&quot;:&quot;Footer&quot;,&quot;Index&quot;:&quot;Primary&quot;,&quot;Section&quot;:5,&quot;Top&quot;:0.0,&quot;Left&quot;:0.0}" style="position:absolute;margin-left:0;margin-top:805.4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DnvXyEdAgAALQQAAA4AAAAAAAAAAAAAAAAALgIAAGRycy9lMm9Eb2MueG1sUEsB&#10;Ai0AFAAGAAgAAAAhAANaherfAAAACwEAAA8AAAAAAAAAAAAAAAAAdwQAAGRycy9kb3ducmV2Lnht&#10;bFBLBQYAAAAABAAEAPMAAACDBQAAAAA=&#10;" o:allowincell="f" filled="f" stroked="f" strokeweight=".5pt">
              <v:textbox inset="20pt,0,,0">
                <w:txbxContent>
                  <w:p w14:paraId="56E2D4DE" w14:textId="7D038596" w:rsidR="007E53BD" w:rsidRPr="007E53BD" w:rsidRDefault="007E53BD"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sidR="006E4028">
      <w:rPr>
        <w:noProof/>
        <w:color w:val="808080" w:themeColor="background1" w:themeShade="80"/>
        <w:szCs w:val="15"/>
        <w:lang w:eastAsia="en-AU"/>
      </w:rPr>
      <mc:AlternateContent>
        <mc:Choice Requires="wps">
          <w:drawing>
            <wp:anchor distT="0" distB="0" distL="114300" distR="114300" simplePos="0" relativeHeight="251658244" behindDoc="0" locked="0" layoutInCell="0" allowOverlap="1" wp14:anchorId="28C6A2D5" wp14:editId="2D02B693">
              <wp:simplePos x="0" y="0"/>
              <wp:positionH relativeFrom="page">
                <wp:posOffset>0</wp:posOffset>
              </wp:positionH>
              <wp:positionV relativeFrom="page">
                <wp:posOffset>10228580</wp:posOffset>
              </wp:positionV>
              <wp:extent cx="7560945" cy="273050"/>
              <wp:effectExtent l="0" t="0" r="0" b="12700"/>
              <wp:wrapNone/>
              <wp:docPr id="10" name="Text Box 10" descr="{&quot;HashCode&quot;:-1267603503,&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7FF45B" w14:textId="2772E6FF" w:rsidR="006E4028" w:rsidRPr="006E4028" w:rsidRDefault="006E4028"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28C6A2D5" id="Text Box 10" o:spid="_x0000_s1042" type="#_x0000_t202" alt="{&quot;HashCode&quot;:-1267603503,&quot;Height&quot;:841.0,&quot;Width&quot;:595.0,&quot;Placement&quot;:&quot;Footer&quot;,&quot;Index&quot;:&quot;Primary&quot;,&quot;Section&quot;:5,&quot;Top&quot;:0.0,&quot;Left&quot;:0.0}" style="position:absolute;margin-left:0;margin-top:805.4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ekHgIAAC0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7TYZEdVCfcz0FPvbd8rXCI&#10;DfPhmTnkGldC/YYnPKQGbAZni5Ia3I+/+WM+UoBRSlrUTkn99wNzghL91SA5k9k0z6Pa0g0Nl4zb&#10;8XSKl93gNYfmHlCXY3wilicz5gY9mNJB84r6XsV2GGKGY9OS7gbzPvRSxvfBxWqVklBXloWN2Voe&#10;S0fUIrYv3Stz9kxAQOoeYZAXK97x0Of2eK8OAaRKJEWEezjPwKMmE3fn9xNF/+s9ZV1e+fIn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CuTekHgIAAC0EAAAOAAAAAAAAAAAAAAAAAC4CAABkcnMvZTJvRG9jLnhtbFBL&#10;AQItABQABgAIAAAAIQADWoXq3wAAAAsBAAAPAAAAAAAAAAAAAAAAAHgEAABkcnMvZG93bnJldi54&#10;bWxQSwUGAAAAAAQABADzAAAAhAUAAAAA&#10;" o:allowincell="f" filled="f" stroked="f" strokeweight=".5pt">
              <v:textbox inset="20pt,0,,0">
                <w:txbxContent>
                  <w:p w14:paraId="0A7FF45B" w14:textId="2772E6FF" w:rsidR="006E4028" w:rsidRPr="006E4028" w:rsidRDefault="006E4028"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458265599"/>
        <w:dataBinding w:prefixMappings="xmlns:ns0='http://purl.org/dc/elements/1.1/' xmlns:ns1='http://schemas.openxmlformats.org/package/2006/metadata/core-properties' " w:xpath="/ns1:coreProperties[1]/ns0:title[1]" w:storeItemID="{6C3C8BC8-F283-45AE-878A-BAB7291924A1}"/>
        <w:text/>
      </w:sdtPr>
      <w:sdtContent>
        <w:r w:rsidR="00DD48ED">
          <w:rPr>
            <w:color w:val="808080" w:themeColor="background1" w:themeShade="80"/>
            <w:szCs w:val="15"/>
            <w:lang w:eastAsia="en-AU"/>
          </w:rPr>
          <w:t>Building Reform: Paper Two</w:t>
        </w:r>
      </w:sdtContent>
    </w:sdt>
    <w:r w:rsidR="00DD48ED">
      <w:rPr>
        <w:color w:val="808080" w:themeColor="background1" w:themeShade="80"/>
        <w:szCs w:val="15"/>
        <w:lang w:eastAsia="en-AU"/>
      </w:rPr>
      <w:t xml:space="preserve"> | Expert Panel on Building Reform</w:t>
    </w:r>
    <w:r w:rsidR="00DD48ED" w:rsidRPr="00FD4AB1">
      <w:rPr>
        <w:rFonts w:ascii="Segoe UI Semibold" w:hAnsi="Segoe UI Semibold" w:cs="Segoe UI"/>
        <w:color w:val="A5A5A5"/>
      </w:rPr>
      <w:ptab w:relativeTo="margin" w:alignment="right" w:leader="none"/>
    </w:r>
    <w:r w:rsidR="00DD48ED" w:rsidRPr="00FD4AB1">
      <w:rPr>
        <w:rFonts w:cs="Segoe UI"/>
        <w:color w:val="A5A5A5"/>
      </w:rPr>
      <w:t xml:space="preserve">| </w:t>
    </w:r>
    <w:r w:rsidR="001654BE" w:rsidRPr="001654BE">
      <w:rPr>
        <w:rFonts w:cs="Segoe UI"/>
        <w:color w:val="A5A5A5"/>
      </w:rPr>
      <w:fldChar w:fldCharType="begin"/>
    </w:r>
    <w:r w:rsidR="001654BE" w:rsidRPr="001654BE">
      <w:rPr>
        <w:rFonts w:cs="Segoe UI"/>
        <w:color w:val="A5A5A5"/>
      </w:rPr>
      <w:instrText xml:space="preserve"> PAGE   \* MERGEFORMAT </w:instrText>
    </w:r>
    <w:r w:rsidR="001654BE" w:rsidRPr="001654BE">
      <w:rPr>
        <w:rFonts w:cs="Segoe UI"/>
        <w:color w:val="A5A5A5"/>
      </w:rPr>
      <w:fldChar w:fldCharType="separate"/>
    </w:r>
    <w:r w:rsidR="001654BE" w:rsidRPr="001654BE">
      <w:rPr>
        <w:rFonts w:cs="Segoe UI"/>
        <w:noProof/>
        <w:color w:val="A5A5A5"/>
      </w:rPr>
      <w:t>1</w:t>
    </w:r>
    <w:r w:rsidR="001654BE" w:rsidRPr="001654BE">
      <w:rPr>
        <w:rFonts w:cs="Segoe UI"/>
        <w:noProof/>
        <w:color w:val="A5A5A5"/>
      </w:rPr>
      <w:fldChar w:fldCharType="end"/>
    </w:r>
    <w:r w:rsidR="001654BE">
      <w:rPr>
        <w:rFonts w:cs="Segoe UI"/>
        <w:noProof/>
        <w:color w:val="A5A5A5"/>
      </w:rPr>
      <w:t xml:space="preserve"> </w:t>
    </w:r>
    <w:r w:rsidR="001654BE" w:rsidRPr="00FD4AB1">
      <w:rPr>
        <w:rFonts w:cs="Segoe UI"/>
        <w:color w:val="A5A5A5"/>
      </w:rPr>
      <w:t>|</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160AF" w14:textId="6274397E" w:rsidR="0073715E" w:rsidRPr="005C29E1" w:rsidRDefault="0073715E" w:rsidP="005C29E1">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114300" distR="114300" simplePos="0" relativeHeight="251658357" behindDoc="0" locked="0" layoutInCell="0" allowOverlap="1" wp14:anchorId="3B16DAD6" wp14:editId="76D62598">
              <wp:simplePos x="0" y="0"/>
              <wp:positionH relativeFrom="page">
                <wp:posOffset>0</wp:posOffset>
              </wp:positionH>
              <wp:positionV relativeFrom="page">
                <wp:posOffset>10228580</wp:posOffset>
              </wp:positionV>
              <wp:extent cx="7560945" cy="273050"/>
              <wp:effectExtent l="0" t="0" r="0" b="12700"/>
              <wp:wrapNone/>
              <wp:docPr id="27862" name="Text Box 27862"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1610F6"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B16DAD6" id="_x0000_t202" coordsize="21600,21600" o:spt="202" path="m,l,21600r21600,l21600,xe">
              <v:stroke joinstyle="miter"/>
              <v:path gradientshapeok="t" o:connecttype="rect"/>
            </v:shapetype>
            <v:shape id="Text Box 27862" o:spid="_x0000_s1171" type="#_x0000_t202" alt="{&quot;HashCode&quot;:-1267603503,&quot;Height&quot;:841.0,&quot;Width&quot;:595.0,&quot;Placement&quot;:&quot;Footer&quot;,&quot;Index&quot;:&quot;FirstPage&quot;,&quot;Section&quot;:5,&quot;Top&quot;:0.0,&quot;Left&quot;:0.0}" style="position:absolute;margin-left:0;margin-top:805.4pt;width:595.35pt;height:21.5pt;z-index:2516583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CTnPHyHgIAAC4EAAAOAAAAAAAAAAAAAAAAAC4CAABkcnMvZTJvRG9jLnhtbFBL&#10;AQItABQABgAIAAAAIQADWoXq3wAAAAsBAAAPAAAAAAAAAAAAAAAAAHgEAABkcnMvZG93bnJldi54&#10;bWxQSwUGAAAAAAQABADzAAAAhAUAAAAA&#10;" o:allowincell="f" filled="f" stroked="f" strokeweight=".5pt">
              <v:textbox inset="20pt,0,,0">
                <w:txbxContent>
                  <w:p w14:paraId="501610F6"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56" behindDoc="0" locked="0" layoutInCell="0" allowOverlap="1" wp14:anchorId="106D40F7" wp14:editId="4A620A3D">
              <wp:simplePos x="0" y="0"/>
              <wp:positionH relativeFrom="page">
                <wp:posOffset>0</wp:posOffset>
              </wp:positionH>
              <wp:positionV relativeFrom="page">
                <wp:posOffset>10228580</wp:posOffset>
              </wp:positionV>
              <wp:extent cx="7560945" cy="273050"/>
              <wp:effectExtent l="0" t="0" r="0" b="12700"/>
              <wp:wrapNone/>
              <wp:docPr id="27863" name="Text Box 27863"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424D76"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106D40F7" id="Text Box 27863" o:spid="_x0000_s1172" type="#_x0000_t202" alt="{&quot;HashCode&quot;:-1267603503,&quot;Height&quot;:841.0,&quot;Width&quot;:595.0,&quot;Placement&quot;:&quot;Footer&quot;,&quot;Index&quot;:&quot;FirstPage&quot;,&quot;Section&quot;:5,&quot;Top&quot;:0.0,&quot;Left&quot;:0.0}" style="position:absolute;margin-left:0;margin-top:805.4pt;width:595.35pt;height:21.5pt;z-index:2516583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oypl3HgIAAC4EAAAOAAAAAAAAAAAAAAAAAC4CAABkcnMvZTJvRG9jLnhtbFBL&#10;AQItABQABgAIAAAAIQADWoXq3wAAAAsBAAAPAAAAAAAAAAAAAAAAAHgEAABkcnMvZG93bnJldi54&#10;bWxQSwUGAAAAAAQABADzAAAAhAUAAAAA&#10;" o:allowincell="f" filled="f" stroked="f" strokeweight=".5pt">
              <v:textbox inset="20pt,0,,0">
                <w:txbxContent>
                  <w:p w14:paraId="7B424D76"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55" behindDoc="0" locked="0" layoutInCell="0" allowOverlap="1" wp14:anchorId="2E2F9D14" wp14:editId="73A9D6B6">
              <wp:simplePos x="0" y="0"/>
              <wp:positionH relativeFrom="page">
                <wp:posOffset>0</wp:posOffset>
              </wp:positionH>
              <wp:positionV relativeFrom="page">
                <wp:posOffset>10228580</wp:posOffset>
              </wp:positionV>
              <wp:extent cx="7560945" cy="273050"/>
              <wp:effectExtent l="0" t="0" r="0" b="12700"/>
              <wp:wrapNone/>
              <wp:docPr id="27864" name="Text Box 27864"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3ECA7A"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2E2F9D14" id="Text Box 27864" o:spid="_x0000_s1173" type="#_x0000_t202" alt="{&quot;HashCode&quot;:-1267603503,&quot;Height&quot;:841.0,&quot;Width&quot;:595.0,&quot;Placement&quot;:&quot;Footer&quot;,&quot;Index&quot;:&quot;FirstPage&quot;,&quot;Section&quot;:5,&quot;Top&quot;:0.0,&quot;Left&quot;:0.0}" style="position:absolute;margin-left:0;margin-top:805.4pt;width:595.35pt;height:21.5pt;z-index:2516583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7uazKHgIAAC4EAAAOAAAAAAAAAAAAAAAAAC4CAABkcnMvZTJvRG9jLnhtbFBL&#10;AQItABQABgAIAAAAIQADWoXq3wAAAAsBAAAPAAAAAAAAAAAAAAAAAHgEAABkcnMvZG93bnJldi54&#10;bWxQSwUGAAAAAAQABADzAAAAhAUAAAAA&#10;" o:allowincell="f" filled="f" stroked="f" strokeweight=".5pt">
              <v:textbox inset="20pt,0,,0">
                <w:txbxContent>
                  <w:p w14:paraId="303ECA7A"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r>
      <w:rPr>
        <w:color w:val="808080" w:themeColor="background1" w:themeShade="80"/>
        <w:szCs w:val="15"/>
        <w:lang w:eastAsia="en-AU"/>
      </w:rPr>
      <w:t>19</w:t>
    </w:r>
    <w:sdt>
      <w:sdtPr>
        <w:rPr>
          <w:color w:val="808080" w:themeColor="background1" w:themeShade="80"/>
          <w:szCs w:val="15"/>
          <w:lang w:eastAsia="en-AU"/>
        </w:rPr>
        <w:alias w:val="Title"/>
        <w:id w:val="-1045212862"/>
        <w:dataBinding w:prefixMappings="xmlns:ns0='http://purl.org/dc/elements/1.1/' xmlns:ns1='http://schemas.openxmlformats.org/package/2006/metadata/core-properties' " w:xpath="/ns1:coreProperties[1]/ns0:title[1]" w:storeItemID="{6C3C8BC8-F283-45AE-878A-BAB7291924A1}"/>
        <w:text/>
      </w:sdtPr>
      <w:sdtContent>
        <w:r>
          <w:rPr>
            <w:color w:val="808080" w:themeColor="background1" w:themeShade="80"/>
            <w:szCs w:val="15"/>
            <w:lang w:eastAsia="en-AU"/>
          </w:rPr>
          <w:t>Building Reform: Paper Two</w:t>
        </w:r>
      </w:sdtContent>
    </w:sdt>
    <w:r>
      <w:rPr>
        <w:color w:val="808080" w:themeColor="background1" w:themeShade="80"/>
        <w:szCs w:val="15"/>
        <w:lang w:eastAsia="en-AU"/>
      </w:rPr>
      <w:t xml:space="preserve"> | Expert Panel on Building Reform</w:t>
    </w:r>
    <w:r w:rsidRPr="00FD4AB1">
      <w:rPr>
        <w:rFonts w:ascii="Segoe UI Semibold" w:hAnsi="Segoe UI Semibold" w:cs="Segoe UI"/>
        <w:color w:val="A5A5A5"/>
      </w:rPr>
      <w:ptab w:relativeTo="margin" w:alignment="right" w:leader="none"/>
    </w:r>
    <w:r w:rsidRPr="00FD4AB1">
      <w:rPr>
        <w:rFonts w:cs="Segoe UI"/>
        <w:color w:val="A5A5A5"/>
      </w:rPr>
      <w:t xml:space="preserve">| </w:t>
    </w:r>
    <w:r>
      <w:rPr>
        <w:rFonts w:cs="Segoe UI"/>
        <w:color w:val="A5A5A5"/>
      </w:rPr>
      <w:t>4</w:t>
    </w:r>
    <w:r w:rsidR="001A64FB">
      <w:rPr>
        <w:rFonts w:cs="Segoe UI"/>
        <w:color w:val="A5A5A5"/>
      </w:rPr>
      <w:t>5</w:t>
    </w:r>
    <w:r>
      <w:rPr>
        <w:rFonts w:cs="Segoe UI"/>
        <w:noProof/>
        <w:color w:val="A5A5A5"/>
      </w:rPr>
      <w:t xml:space="preserve"> </w:t>
    </w:r>
    <w:r w:rsidRPr="00FD4AB1">
      <w:rPr>
        <w:rFonts w:cs="Segoe UI"/>
        <w:color w:val="A5A5A5"/>
      </w:rPr>
      <w:t>|</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42452" w14:textId="09F842BD" w:rsidR="0073715E" w:rsidRPr="00285FE4" w:rsidRDefault="0073715E"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0" relativeHeight="251658360" behindDoc="0" locked="0" layoutInCell="0" allowOverlap="1" wp14:anchorId="27D20C79" wp14:editId="403537A7">
              <wp:simplePos x="0" y="0"/>
              <wp:positionH relativeFrom="page">
                <wp:posOffset>0</wp:posOffset>
              </wp:positionH>
              <wp:positionV relativeFrom="page">
                <wp:posOffset>10228580</wp:posOffset>
              </wp:positionV>
              <wp:extent cx="7560945" cy="273050"/>
              <wp:effectExtent l="0" t="0" r="0" b="12700"/>
              <wp:wrapNone/>
              <wp:docPr id="27865" name="Text Box 27865"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2D36CD"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7D20C79" id="_x0000_t202" coordsize="21600,21600" o:spt="202" path="m,l,21600r21600,l21600,xe">
              <v:stroke joinstyle="miter"/>
              <v:path gradientshapeok="t" o:connecttype="rect"/>
            </v:shapetype>
            <v:shape id="Text Box 27865" o:spid="_x0000_s1174" type="#_x0000_t202" alt="{&quot;HashCode&quot;:-1267603503,&quot;Height&quot;:841.0,&quot;Width&quot;:595.0,&quot;Placement&quot;:&quot;Footer&quot;,&quot;Index&quot;:&quot;Primary&quot;,&quot;Section&quot;:11,&quot;Top&quot;:0.0,&quot;Left&quot;:0.0}" style="position:absolute;margin-left:0;margin-top:805.4pt;width:595.35pt;height:21.5pt;z-index:251658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4LWHgIAAC4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7T+bDJDqoTLuig595bvlY4&#10;xYb58Mwcko07oYDDEx5SA3aDs0VJDe7H3/wxHznAKCUtiqek/vuBOUGJ/mqQnclsmudRbumGhkvG&#10;7Xg6xctu8JpDcw8ozDG+EcuTGXODHkzpoHlFga9iOwwxw7FpSXeDeR96LeMD4WK1SkkoLMvCxmwt&#10;j6UjbBHcl+6VOXtmICB3jzDoixXviOhze8BXhwBSJZYixD2cZ+RRlIm88wOKqv/1nrIuz3z5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CPK4LWHgIAAC4EAAAOAAAAAAAAAAAAAAAAAC4CAABkcnMvZTJvRG9jLnhtbFBL&#10;AQItABQABgAIAAAAIQADWoXq3wAAAAsBAAAPAAAAAAAAAAAAAAAAAHgEAABkcnMvZG93bnJldi54&#10;bWxQSwUGAAAAAAQABADzAAAAhAUAAAAA&#10;" o:allowincell="f" filled="f" stroked="f" strokeweight=".5pt">
              <v:textbox inset="20pt,0,,0">
                <w:txbxContent>
                  <w:p w14:paraId="282D36CD"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59" behindDoc="0" locked="0" layoutInCell="0" allowOverlap="1" wp14:anchorId="54A4D643" wp14:editId="52BCA4F3">
              <wp:simplePos x="0" y="0"/>
              <wp:positionH relativeFrom="page">
                <wp:posOffset>0</wp:posOffset>
              </wp:positionH>
              <wp:positionV relativeFrom="page">
                <wp:posOffset>10228580</wp:posOffset>
              </wp:positionV>
              <wp:extent cx="7560945" cy="273050"/>
              <wp:effectExtent l="0" t="0" r="0" b="12700"/>
              <wp:wrapNone/>
              <wp:docPr id="27866" name="Text Box 27866"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3629EE"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54A4D643" id="Text Box 27866" o:spid="_x0000_s1175" type="#_x0000_t202" alt="{&quot;HashCode&quot;:-1267603503,&quot;Height&quot;:841.0,&quot;Width&quot;:595.0,&quot;Placement&quot;:&quot;Footer&quot;,&quot;Index&quot;:&quot;Primary&quot;,&quot;Section&quot;:11,&quot;Top&quot;:0.0,&quot;Left&quot;:0.0}" style="position:absolute;margin-left:0;margin-top:805.4pt;width:595.35pt;height:21.5pt;z-index:2516583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" o:allowincell="f" filled="f" stroked="f" strokeweight=".5pt">
              <v:textbox inset="20pt,0,,0">
                <w:txbxContent>
                  <w:p w14:paraId="243629EE"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58" behindDoc="0" locked="0" layoutInCell="0" allowOverlap="1" wp14:anchorId="2A10EB99" wp14:editId="662B26F2">
              <wp:simplePos x="0" y="0"/>
              <wp:positionH relativeFrom="page">
                <wp:posOffset>0</wp:posOffset>
              </wp:positionH>
              <wp:positionV relativeFrom="page">
                <wp:posOffset>10228580</wp:posOffset>
              </wp:positionV>
              <wp:extent cx="7560945" cy="273050"/>
              <wp:effectExtent l="0" t="0" r="0" b="12700"/>
              <wp:wrapNone/>
              <wp:docPr id="27867" name="Text Box 27867"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580971"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2A10EB99" id="Text Box 27867" o:spid="_x0000_s1176" type="#_x0000_t202" alt="{&quot;HashCode&quot;:-1267603503,&quot;Height&quot;:841.0,&quot;Width&quot;:595.0,&quot;Placement&quot;:&quot;Footer&quot;,&quot;Index&quot;:&quot;Primary&quot;,&quot;Section&quot;:11,&quot;Top&quot;:0.0,&quot;Left&quot;:0.0}" style="position:absolute;margin-left:0;margin-top:805.4pt;width:595.35pt;height:21.5pt;z-index:2516583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" o:allowincell="f" filled="f" stroked="f" strokeweight=".5pt">
              <v:textbox inset="20pt,0,,0">
                <w:txbxContent>
                  <w:p w14:paraId="30580971"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805903653"/>
        <w:dataBinding w:prefixMappings="xmlns:ns0='http://purl.org/dc/elements/1.1/' xmlns:ns1='http://schemas.openxmlformats.org/package/2006/metadata/core-properties' " w:xpath="/ns1:coreProperties[1]/ns0:title[1]" w:storeItemID="{6C3C8BC8-F283-45AE-878A-BAB7291924A1}"/>
        <w:text/>
      </w:sdtPr>
      <w:sdtContent>
        <w:r w:rsidRPr="00285FE4">
          <w:rPr>
            <w:color w:val="808080" w:themeColor="background1" w:themeShade="80"/>
            <w:szCs w:val="15"/>
            <w:lang w:eastAsia="en-AU"/>
          </w:rPr>
          <w:t>Building Reform: Paper Two</w:t>
        </w:r>
      </w:sdtContent>
    </w:sdt>
    <w:r w:rsidRPr="00285FE4">
      <w:rPr>
        <w:color w:val="808080" w:themeColor="background1" w:themeShade="80"/>
        <w:szCs w:val="15"/>
        <w:lang w:eastAsia="en-AU"/>
      </w:rPr>
      <w:t xml:space="preserve"> | Expert Panel on Building Reform</w:t>
    </w:r>
    <w:r w:rsidRPr="00285FE4">
      <w:rPr>
        <w:rFonts w:cs="Segoe UI"/>
        <w:color w:val="A5A5A5"/>
        <w:szCs w:val="15"/>
      </w:rPr>
      <w:ptab w:relativeTo="margin" w:alignment="right" w:leader="none"/>
    </w:r>
    <w:r w:rsidRPr="00285FE4">
      <w:rPr>
        <w:rFonts w:cs="Segoe UI"/>
        <w:color w:val="A5A5A5"/>
        <w:szCs w:val="15"/>
      </w:rPr>
      <w:t>|</w:t>
    </w:r>
    <w:r w:rsidRPr="00285FE4">
      <w:rPr>
        <w:rFonts w:cs="Segoe UI"/>
        <w:color w:val="808080" w:themeColor="background1" w:themeShade="80"/>
        <w:szCs w:val="15"/>
      </w:rPr>
      <w:t xml:space="preserve"> </w:t>
    </w:r>
    <w:r>
      <w:rPr>
        <w:rFonts w:cs="Segoe UI"/>
        <w:color w:val="808080" w:themeColor="background1" w:themeShade="80"/>
        <w:szCs w:val="15"/>
      </w:rPr>
      <w:t>4</w:t>
    </w:r>
    <w:r w:rsidR="001A64FB">
      <w:rPr>
        <w:rFonts w:cs="Segoe UI"/>
        <w:color w:val="808080" w:themeColor="background1" w:themeShade="80"/>
        <w:szCs w:val="15"/>
      </w:rPr>
      <w:t>6</w:t>
    </w:r>
    <w:r w:rsidRPr="00285FE4">
      <w:rPr>
        <w:rFonts w:cs="Segoe UI"/>
        <w:b/>
        <w:color w:val="808080" w:themeColor="background1" w:themeShade="80"/>
        <w:szCs w:val="15"/>
      </w:rPr>
      <w:t xml:space="preserve"> </w:t>
    </w:r>
    <w:r w:rsidRPr="00285FE4">
      <w:rPr>
        <w:rFonts w:cs="Segoe UI"/>
        <w:color w:val="A5A5A5"/>
        <w:szCs w:val="15"/>
      </w:rPr>
      <w:t>|</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A4DE8" w14:textId="509BA442" w:rsidR="0073715E" w:rsidRPr="00285FE4" w:rsidRDefault="0073715E"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0" relativeHeight="251658363" behindDoc="0" locked="0" layoutInCell="0" allowOverlap="1" wp14:anchorId="4FDB95C5" wp14:editId="360D9443">
              <wp:simplePos x="0" y="0"/>
              <wp:positionH relativeFrom="page">
                <wp:posOffset>0</wp:posOffset>
              </wp:positionH>
              <wp:positionV relativeFrom="page">
                <wp:posOffset>10228580</wp:posOffset>
              </wp:positionV>
              <wp:extent cx="7560945" cy="273050"/>
              <wp:effectExtent l="0" t="0" r="0" b="12700"/>
              <wp:wrapNone/>
              <wp:docPr id="27868" name="Text Box 27868"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26CA4D"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FDB95C5" id="_x0000_t202" coordsize="21600,21600" o:spt="202" path="m,l,21600r21600,l21600,xe">
              <v:stroke joinstyle="miter"/>
              <v:path gradientshapeok="t" o:connecttype="rect"/>
            </v:shapetype>
            <v:shape id="Text Box 27868" o:spid="_x0000_s1177" type="#_x0000_t202" alt="{&quot;HashCode&quot;:-1267603503,&quot;Height&quot;:841.0,&quot;Width&quot;:595.0,&quot;Placement&quot;:&quot;Footer&quot;,&quot;Index&quot;:&quot;Primary&quot;,&quot;Section&quot;:11,&quot;Top&quot;:0.0,&quot;Left&quot;:0.0}" style="position:absolute;margin-left:0;margin-top:805.4pt;width:595.35pt;height:21.5pt;z-index:25165836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Cr8ha6HgIAAC4EAAAOAAAAAAAAAAAAAAAAAC4CAABkcnMvZTJvRG9jLnhtbFBL&#10;AQItABQABgAIAAAAIQADWoXq3wAAAAsBAAAPAAAAAAAAAAAAAAAAAHgEAABkcnMvZG93bnJldi54&#10;bWxQSwUGAAAAAAQABADzAAAAhAUAAAAA&#10;" o:allowincell="f" filled="f" stroked="f" strokeweight=".5pt">
              <v:textbox inset="20pt,0,,0">
                <w:txbxContent>
                  <w:p w14:paraId="2C26CA4D"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62" behindDoc="0" locked="0" layoutInCell="0" allowOverlap="1" wp14:anchorId="41FDA52F" wp14:editId="3AB6C38E">
              <wp:simplePos x="0" y="0"/>
              <wp:positionH relativeFrom="page">
                <wp:posOffset>0</wp:posOffset>
              </wp:positionH>
              <wp:positionV relativeFrom="page">
                <wp:posOffset>10228580</wp:posOffset>
              </wp:positionV>
              <wp:extent cx="7560945" cy="273050"/>
              <wp:effectExtent l="0" t="0" r="0" b="12700"/>
              <wp:wrapNone/>
              <wp:docPr id="27869" name="Text Box 27869"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08B178"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41FDA52F" id="Text Box 27869" o:spid="_x0000_s1178" type="#_x0000_t202" alt="{&quot;HashCode&quot;:-1267603503,&quot;Height&quot;:841.0,&quot;Width&quot;:595.0,&quot;Placement&quot;:&quot;Footer&quot;,&quot;Index&quot;:&quot;Primary&quot;,&quot;Section&quot;:11,&quot;Top&quot;:0.0,&quot;Left&quot;:0.0}" style="position:absolute;margin-left:0;margin-top:805.4pt;width:595.35pt;height:21.5pt;z-index:25165836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" o:allowincell="f" filled="f" stroked="f" strokeweight=".5pt">
              <v:textbox inset="20pt,0,,0">
                <w:txbxContent>
                  <w:p w14:paraId="1508B178"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61" behindDoc="0" locked="0" layoutInCell="0" allowOverlap="1" wp14:anchorId="1079035E" wp14:editId="0D82EC64">
              <wp:simplePos x="0" y="0"/>
              <wp:positionH relativeFrom="page">
                <wp:posOffset>0</wp:posOffset>
              </wp:positionH>
              <wp:positionV relativeFrom="page">
                <wp:posOffset>10228580</wp:posOffset>
              </wp:positionV>
              <wp:extent cx="7560945" cy="273050"/>
              <wp:effectExtent l="0" t="0" r="0" b="12700"/>
              <wp:wrapNone/>
              <wp:docPr id="27870" name="Text Box 27870"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8EC399"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1079035E" id="Text Box 27870" o:spid="_x0000_s1179" type="#_x0000_t202" alt="{&quot;HashCode&quot;:-1267603503,&quot;Height&quot;:841.0,&quot;Width&quot;:595.0,&quot;Placement&quot;:&quot;Footer&quot;,&quot;Index&quot;:&quot;Primary&quot;,&quot;Section&quot;:11,&quot;Top&quot;:0.0,&quot;Left&quot;:0.0}" style="position:absolute;margin-left:0;margin-top:805.4pt;width:595.35pt;height:21.5pt;z-index:25165836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5ilE6HgIAAC4EAAAOAAAAAAAAAAAAAAAAAC4CAABkcnMvZTJvRG9jLnhtbFBL&#10;AQItABQABgAIAAAAIQADWoXq3wAAAAsBAAAPAAAAAAAAAAAAAAAAAHgEAABkcnMvZG93bnJldi54&#10;bWxQSwUGAAAAAAQABADzAAAAhAUAAAAA&#10;" o:allowincell="f" filled="f" stroked="f" strokeweight=".5pt">
              <v:textbox inset="20pt,0,,0">
                <w:txbxContent>
                  <w:p w14:paraId="048EC399"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264385597"/>
        <w:dataBinding w:prefixMappings="xmlns:ns0='http://purl.org/dc/elements/1.1/' xmlns:ns1='http://schemas.openxmlformats.org/package/2006/metadata/core-properties' " w:xpath="/ns1:coreProperties[1]/ns0:title[1]" w:storeItemID="{6C3C8BC8-F283-45AE-878A-BAB7291924A1}"/>
        <w:text/>
      </w:sdtPr>
      <w:sdtContent>
        <w:r w:rsidRPr="00285FE4">
          <w:rPr>
            <w:color w:val="808080" w:themeColor="background1" w:themeShade="80"/>
            <w:szCs w:val="15"/>
            <w:lang w:eastAsia="en-AU"/>
          </w:rPr>
          <w:t>Building Reform: Paper Two</w:t>
        </w:r>
      </w:sdtContent>
    </w:sdt>
    <w:r w:rsidRPr="00285FE4">
      <w:rPr>
        <w:color w:val="808080" w:themeColor="background1" w:themeShade="80"/>
        <w:szCs w:val="15"/>
        <w:lang w:eastAsia="en-AU"/>
      </w:rPr>
      <w:t xml:space="preserve"> | Expert Panel on Building Reform</w:t>
    </w:r>
    <w:r w:rsidRPr="00285FE4">
      <w:rPr>
        <w:rFonts w:cs="Segoe UI"/>
        <w:color w:val="A5A5A5"/>
        <w:szCs w:val="15"/>
      </w:rPr>
      <w:ptab w:relativeTo="margin" w:alignment="right" w:leader="none"/>
    </w:r>
    <w:r w:rsidRPr="00285FE4">
      <w:rPr>
        <w:rFonts w:cs="Segoe UI"/>
        <w:color w:val="A5A5A5"/>
        <w:szCs w:val="15"/>
      </w:rPr>
      <w:t>|</w:t>
    </w:r>
    <w:r w:rsidRPr="00285FE4">
      <w:rPr>
        <w:rFonts w:cs="Segoe UI"/>
        <w:color w:val="808080" w:themeColor="background1" w:themeShade="80"/>
        <w:szCs w:val="15"/>
      </w:rPr>
      <w:t xml:space="preserve"> </w:t>
    </w:r>
    <w:r>
      <w:rPr>
        <w:rFonts w:cs="Segoe UI"/>
        <w:color w:val="808080" w:themeColor="background1" w:themeShade="80"/>
        <w:szCs w:val="15"/>
      </w:rPr>
      <w:t>4</w:t>
    </w:r>
    <w:r w:rsidR="001A64FB">
      <w:rPr>
        <w:rFonts w:cs="Segoe UI"/>
        <w:color w:val="808080" w:themeColor="background1" w:themeShade="80"/>
        <w:szCs w:val="15"/>
      </w:rPr>
      <w:t>7</w:t>
    </w:r>
    <w:r w:rsidRPr="00285FE4">
      <w:rPr>
        <w:rFonts w:cs="Segoe UI"/>
        <w:b/>
        <w:color w:val="808080" w:themeColor="background1" w:themeShade="80"/>
        <w:szCs w:val="15"/>
      </w:rPr>
      <w:t xml:space="preserve"> </w:t>
    </w:r>
    <w:r w:rsidRPr="00285FE4">
      <w:rPr>
        <w:rFonts w:cs="Segoe UI"/>
        <w:color w:val="A5A5A5"/>
        <w:szCs w:val="15"/>
      </w:rPr>
      <w:t>|</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DC46F" w14:textId="679D6966" w:rsidR="0073715E" w:rsidRPr="00285FE4" w:rsidRDefault="0073715E"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0" relativeHeight="251658369" behindDoc="0" locked="0" layoutInCell="0" allowOverlap="1" wp14:anchorId="6835B69B" wp14:editId="6FAB41CE">
              <wp:simplePos x="0" y="0"/>
              <wp:positionH relativeFrom="page">
                <wp:posOffset>0</wp:posOffset>
              </wp:positionH>
              <wp:positionV relativeFrom="page">
                <wp:posOffset>10228580</wp:posOffset>
              </wp:positionV>
              <wp:extent cx="7560945" cy="273050"/>
              <wp:effectExtent l="0" t="0" r="0" b="12700"/>
              <wp:wrapNone/>
              <wp:docPr id="27874" name="Text Box 27874"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11B55A"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835B69B" id="_x0000_t202" coordsize="21600,21600" o:spt="202" path="m,l,21600r21600,l21600,xe">
              <v:stroke joinstyle="miter"/>
              <v:path gradientshapeok="t" o:connecttype="rect"/>
            </v:shapetype>
            <v:shape id="Text Box 27874" o:spid="_x0000_s1180" type="#_x0000_t202" alt="{&quot;HashCode&quot;:-1267603503,&quot;Height&quot;:841.0,&quot;Width&quot;:595.0,&quot;Placement&quot;:&quot;Footer&quot;,&quot;Index&quot;:&quot;Primary&quot;,&quot;Section&quot;:11,&quot;Top&quot;:0.0,&quot;Left&quot;:0.0}" style="position:absolute;margin-left:0;margin-top:805.4pt;width:595.35pt;height:21.5pt;z-index:25165836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8mHgIAAC4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6zybDJDqoTLuig595bvlY4&#10;xYb58Mwcko07oYDDEx5SA3aDs0VJDe7H3/wxHznAKCUtiqek/vuBOUGJ/mqQnclsmudRbumGhkvG&#10;7Xg6xctu8JpDcw8ozDG+EcuTGXODHkzpoHlFga9iOwwxw7FpSXeDeR96LeMD4WK1SkkoLMvCxmwt&#10;j6UjbBHcl+6VOXtmICB3jzDoixXviOhze8BXhwBSJZYixD2cZ+RRlIm88wOKqv/1nrIuz3z5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CNGH8mHgIAAC4EAAAOAAAAAAAAAAAAAAAAAC4CAABkcnMvZTJvRG9jLnhtbFBL&#10;AQItABQABgAIAAAAIQADWoXq3wAAAAsBAAAPAAAAAAAAAAAAAAAAAHgEAABkcnMvZG93bnJldi54&#10;bWxQSwUGAAAAAAQABADzAAAAhAUAAAAA&#10;" o:allowincell="f" filled="f" stroked="f" strokeweight=".5pt">
              <v:textbox inset="20pt,0,,0">
                <w:txbxContent>
                  <w:p w14:paraId="1F11B55A"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68" behindDoc="0" locked="0" layoutInCell="0" allowOverlap="1" wp14:anchorId="18087273" wp14:editId="171B6DF0">
              <wp:simplePos x="0" y="0"/>
              <wp:positionH relativeFrom="page">
                <wp:posOffset>0</wp:posOffset>
              </wp:positionH>
              <wp:positionV relativeFrom="page">
                <wp:posOffset>10228580</wp:posOffset>
              </wp:positionV>
              <wp:extent cx="7560945" cy="273050"/>
              <wp:effectExtent l="0" t="0" r="0" b="12700"/>
              <wp:wrapNone/>
              <wp:docPr id="27875" name="Text Box 27875"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362B88"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18087273" id="Text Box 27875" o:spid="_x0000_s1181" type="#_x0000_t202" alt="{&quot;HashCode&quot;:-1267603503,&quot;Height&quot;:841.0,&quot;Width&quot;:595.0,&quot;Placement&quot;:&quot;Footer&quot;,&quot;Index&quot;:&quot;Primary&quot;,&quot;Section&quot;:11,&quot;Top&quot;:0.0,&quot;Left&quot;:0.0}" style="position:absolute;margin-left:0;margin-top:805.4pt;width:595.35pt;height:21.5pt;z-index:2516583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Aea0qbHgIAAC4EAAAOAAAAAAAAAAAAAAAAAC4CAABkcnMvZTJvRG9jLnhtbFBL&#10;AQItABQABgAIAAAAIQADWoXq3wAAAAsBAAAPAAAAAAAAAAAAAAAAAHgEAABkcnMvZG93bnJldi54&#10;bWxQSwUGAAAAAAQABADzAAAAhAUAAAAA&#10;" o:allowincell="f" filled="f" stroked="f" strokeweight=".5pt">
              <v:textbox inset="20pt,0,,0">
                <w:txbxContent>
                  <w:p w14:paraId="5A362B88"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67" behindDoc="0" locked="0" layoutInCell="0" allowOverlap="1" wp14:anchorId="12554098" wp14:editId="6B9BC7BB">
              <wp:simplePos x="0" y="0"/>
              <wp:positionH relativeFrom="page">
                <wp:posOffset>0</wp:posOffset>
              </wp:positionH>
              <wp:positionV relativeFrom="page">
                <wp:posOffset>10228580</wp:posOffset>
              </wp:positionV>
              <wp:extent cx="7560945" cy="273050"/>
              <wp:effectExtent l="0" t="0" r="0" b="12700"/>
              <wp:wrapNone/>
              <wp:docPr id="27876" name="Text Box 27876"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8142E6"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12554098" id="Text Box 27876" o:spid="_x0000_s1182" type="#_x0000_t202" alt="{&quot;HashCode&quot;:-1267603503,&quot;Height&quot;:841.0,&quot;Width&quot;:595.0,&quot;Placement&quot;:&quot;Footer&quot;,&quot;Index&quot;:&quot;Primary&quot;,&quot;Section&quot;:11,&quot;Top&quot;:0.0,&quot;Left&quot;:0.0}" style="position:absolute;margin-left:0;margin-top:805.4pt;width:595.35pt;height:21.5pt;z-index:25165836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IeHgIAAC4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6z6bDJDqoTLuig595bvlY4&#10;xYb58Mwcko07oYDDEx5SA3aDs0VJDe7H3/wxHznAKCUtiqek/vuBOUGJ/mqQnclsmudRbumGhkvG&#10;7Xg6xctu8JpDcw8ozDG+EcuTGXODHkzpoHlFga9iOwwxw7FpSXeDeR96LeMD4WK1SkkoLMvCxmwt&#10;j6UjbBHcl+6VOXtmICB3jzDoixXviOhze8BXhwBSJZYixD2cZ+RRlIm88wOKqv/1nrIuz3z5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lPSIeHgIAAC4EAAAOAAAAAAAAAAAAAAAAAC4CAABkcnMvZTJvRG9jLnhtbFBL&#10;AQItABQABgAIAAAAIQADWoXq3wAAAAsBAAAPAAAAAAAAAAAAAAAAAHgEAABkcnMvZG93bnJldi54&#10;bWxQSwUGAAAAAAQABADzAAAAhAUAAAAA&#10;" o:allowincell="f" filled="f" stroked="f" strokeweight=".5pt">
              <v:textbox inset="20pt,0,,0">
                <w:txbxContent>
                  <w:p w14:paraId="508142E6"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1081330866"/>
        <w:dataBinding w:prefixMappings="xmlns:ns0='http://purl.org/dc/elements/1.1/' xmlns:ns1='http://schemas.openxmlformats.org/package/2006/metadata/core-properties' " w:xpath="/ns1:coreProperties[1]/ns0:title[1]" w:storeItemID="{6C3C8BC8-F283-45AE-878A-BAB7291924A1}"/>
        <w:text/>
      </w:sdtPr>
      <w:sdtContent>
        <w:r w:rsidRPr="00285FE4">
          <w:rPr>
            <w:color w:val="808080" w:themeColor="background1" w:themeShade="80"/>
            <w:szCs w:val="15"/>
            <w:lang w:eastAsia="en-AU"/>
          </w:rPr>
          <w:t>Building Reform: Paper Two</w:t>
        </w:r>
      </w:sdtContent>
    </w:sdt>
    <w:r w:rsidRPr="00285FE4">
      <w:rPr>
        <w:color w:val="808080" w:themeColor="background1" w:themeShade="80"/>
        <w:szCs w:val="15"/>
        <w:lang w:eastAsia="en-AU"/>
      </w:rPr>
      <w:t xml:space="preserve"> | Expert Panel on Building Reform</w:t>
    </w:r>
    <w:r w:rsidRPr="00285FE4">
      <w:rPr>
        <w:rFonts w:cs="Segoe UI"/>
        <w:color w:val="A5A5A5"/>
        <w:szCs w:val="15"/>
      </w:rPr>
      <w:ptab w:relativeTo="margin" w:alignment="right" w:leader="none"/>
    </w:r>
    <w:r w:rsidRPr="00285FE4">
      <w:rPr>
        <w:rFonts w:cs="Segoe UI"/>
        <w:color w:val="A5A5A5"/>
        <w:szCs w:val="15"/>
      </w:rPr>
      <w:t>|</w:t>
    </w:r>
    <w:r w:rsidRPr="00285FE4">
      <w:rPr>
        <w:rFonts w:cs="Segoe UI"/>
        <w:color w:val="808080" w:themeColor="background1" w:themeShade="80"/>
        <w:szCs w:val="15"/>
      </w:rPr>
      <w:t xml:space="preserve"> </w:t>
    </w:r>
    <w:r>
      <w:rPr>
        <w:rFonts w:cs="Segoe UI"/>
        <w:color w:val="808080" w:themeColor="background1" w:themeShade="80"/>
        <w:szCs w:val="15"/>
      </w:rPr>
      <w:t>4</w:t>
    </w:r>
    <w:r w:rsidR="001A64FB">
      <w:rPr>
        <w:rFonts w:cs="Segoe UI"/>
        <w:color w:val="808080" w:themeColor="background1" w:themeShade="80"/>
        <w:szCs w:val="15"/>
      </w:rPr>
      <w:t>9</w:t>
    </w:r>
    <w:r w:rsidRPr="00285FE4">
      <w:rPr>
        <w:rFonts w:cs="Segoe UI"/>
        <w:b/>
        <w:color w:val="808080" w:themeColor="background1" w:themeShade="80"/>
        <w:szCs w:val="15"/>
      </w:rPr>
      <w:t xml:space="preserve"> </w:t>
    </w:r>
    <w:r w:rsidRPr="00285FE4">
      <w:rPr>
        <w:rFonts w:cs="Segoe UI"/>
        <w:color w:val="A5A5A5"/>
        <w:szCs w:val="15"/>
      </w:rPr>
      <w:t>|</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A3117" w14:textId="66134C56" w:rsidR="0073715E" w:rsidRPr="005C29E1" w:rsidRDefault="0073715E" w:rsidP="005C29E1">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114300" distR="114300" simplePos="0" relativeHeight="251658366" behindDoc="0" locked="0" layoutInCell="0" allowOverlap="1" wp14:anchorId="023A475B" wp14:editId="10D01540">
              <wp:simplePos x="0" y="0"/>
              <wp:positionH relativeFrom="page">
                <wp:posOffset>0</wp:posOffset>
              </wp:positionH>
              <wp:positionV relativeFrom="page">
                <wp:posOffset>10228580</wp:posOffset>
              </wp:positionV>
              <wp:extent cx="7560945" cy="273050"/>
              <wp:effectExtent l="0" t="0" r="0" b="12700"/>
              <wp:wrapNone/>
              <wp:docPr id="27871" name="Text Box 27871"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F78084"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23A475B" id="_x0000_t202" coordsize="21600,21600" o:spt="202" path="m,l,21600r21600,l21600,xe">
              <v:stroke joinstyle="miter"/>
              <v:path gradientshapeok="t" o:connecttype="rect"/>
            </v:shapetype>
            <v:shape id="Text Box 27871" o:spid="_x0000_s1183" type="#_x0000_t202" alt="{&quot;HashCode&quot;:-1267603503,&quot;Height&quot;:841.0,&quot;Width&quot;:595.0,&quot;Placement&quot;:&quot;Footer&quot;,&quot;Index&quot;:&quot;FirstPage&quot;,&quot;Section&quot;:5,&quot;Top&quot;:0.0,&quot;Left&quot;:0.0}" style="position:absolute;margin-left:0;margin-top:805.4pt;width:595.35pt;height:21.5pt;z-index:25165836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2ThejHgIAAC4EAAAOAAAAAAAAAAAAAAAAAC4CAABkcnMvZTJvRG9jLnhtbFBL&#10;AQItABQABgAIAAAAIQADWoXq3wAAAAsBAAAPAAAAAAAAAAAAAAAAAHgEAABkcnMvZG93bnJldi54&#10;bWxQSwUGAAAAAAQABADzAAAAhAUAAAAA&#10;" o:allowincell="f" filled="f" stroked="f" strokeweight=".5pt">
              <v:textbox inset="20pt,0,,0">
                <w:txbxContent>
                  <w:p w14:paraId="78F78084"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65" behindDoc="0" locked="0" layoutInCell="0" allowOverlap="1" wp14:anchorId="19CBEBA8" wp14:editId="3F1C4760">
              <wp:simplePos x="0" y="0"/>
              <wp:positionH relativeFrom="page">
                <wp:posOffset>0</wp:posOffset>
              </wp:positionH>
              <wp:positionV relativeFrom="page">
                <wp:posOffset>10228580</wp:posOffset>
              </wp:positionV>
              <wp:extent cx="7560945" cy="273050"/>
              <wp:effectExtent l="0" t="0" r="0" b="12700"/>
              <wp:wrapNone/>
              <wp:docPr id="27872" name="Text Box 27872"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232801"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19CBEBA8" id="Text Box 27872" o:spid="_x0000_s1184" type="#_x0000_t202" alt="{&quot;HashCode&quot;:-1267603503,&quot;Height&quot;:841.0,&quot;Width&quot;:595.0,&quot;Placement&quot;:&quot;Footer&quot;,&quot;Index&quot;:&quot;FirstPage&quot;,&quot;Section&quot;:5,&quot;Top&quot;:0.0,&quot;Left&quot;:0.0}" style="position:absolute;margin-left:0;margin-top:805.4pt;width:595.35pt;height:21.5pt;z-index:25165836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m/HgIAAC4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6z+bDJDqoTLuig595bvlY4&#10;xYb58Mwcko07oYDDEx5SA3aDs0VJDe7H3/wxHznAKCUtiqek/vuBOUGJ/mqQnclsmudRbumGhkvG&#10;7Xg6xctu8JpDcw8ozDG+EcuTGXODHkzpoHlFga9iOwwxw7FpSXeDeR96LeMD4WK1SkkoLMvCxmwt&#10;j6UjbBHcl+6VOXtmICB3jzDoixXviOhze8BXhwBSJZYixD2cZ+RRlIm88wOKqv/1nrIuz3z5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AC3Dm/HgIAAC4EAAAOAAAAAAAAAAAAAAAAAC4CAABkcnMvZTJvRG9jLnhtbFBL&#10;AQItABQABgAIAAAAIQADWoXq3wAAAAsBAAAPAAAAAAAAAAAAAAAAAHgEAABkcnMvZG93bnJldi54&#10;bWxQSwUGAAAAAAQABADzAAAAhAUAAAAA&#10;" o:allowincell="f" filled="f" stroked="f" strokeweight=".5pt">
              <v:textbox inset="20pt,0,,0">
                <w:txbxContent>
                  <w:p w14:paraId="06232801"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64" behindDoc="0" locked="0" layoutInCell="0" allowOverlap="1" wp14:anchorId="3AEB0252" wp14:editId="64C4D276">
              <wp:simplePos x="0" y="0"/>
              <wp:positionH relativeFrom="page">
                <wp:posOffset>0</wp:posOffset>
              </wp:positionH>
              <wp:positionV relativeFrom="page">
                <wp:posOffset>10228580</wp:posOffset>
              </wp:positionV>
              <wp:extent cx="7560945" cy="273050"/>
              <wp:effectExtent l="0" t="0" r="0" b="12700"/>
              <wp:wrapNone/>
              <wp:docPr id="27873" name="Text Box 27873"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32CFA0"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3AEB0252" id="Text Box 27873" o:spid="_x0000_s1185" type="#_x0000_t202" alt="{&quot;HashCode&quot;:-1267603503,&quot;Height&quot;:841.0,&quot;Width&quot;:595.0,&quot;Placement&quot;:&quot;Footer&quot;,&quot;Index&quot;:&quot;FirstPage&quot;,&quot;Section&quot;:5,&quot;Top&quot;:0.0,&quot;Left&quot;:0.0}" style="position:absolute;margin-left:0;margin-top:805.4pt;width:595.35pt;height:21.5pt;z-index:2516583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" o:allowincell="f" filled="f" stroked="f" strokeweight=".5pt">
              <v:textbox inset="20pt,0,,0">
                <w:txbxContent>
                  <w:p w14:paraId="7732CFA0"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r>
      <w:rPr>
        <w:color w:val="808080" w:themeColor="background1" w:themeShade="80"/>
        <w:szCs w:val="15"/>
        <w:lang w:eastAsia="en-AU"/>
      </w:rPr>
      <w:t>19</w:t>
    </w:r>
    <w:sdt>
      <w:sdtPr>
        <w:rPr>
          <w:color w:val="808080" w:themeColor="background1" w:themeShade="80"/>
          <w:szCs w:val="15"/>
          <w:lang w:eastAsia="en-AU"/>
        </w:rPr>
        <w:alias w:val="Title"/>
        <w:id w:val="641166552"/>
        <w:dataBinding w:prefixMappings="xmlns:ns0='http://purl.org/dc/elements/1.1/' xmlns:ns1='http://schemas.openxmlformats.org/package/2006/metadata/core-properties' " w:xpath="/ns1:coreProperties[1]/ns0:title[1]" w:storeItemID="{6C3C8BC8-F283-45AE-878A-BAB7291924A1}"/>
        <w:text/>
      </w:sdtPr>
      <w:sdtContent>
        <w:r>
          <w:rPr>
            <w:color w:val="808080" w:themeColor="background1" w:themeShade="80"/>
            <w:szCs w:val="15"/>
            <w:lang w:eastAsia="en-AU"/>
          </w:rPr>
          <w:t>Building Reform: Paper Two</w:t>
        </w:r>
      </w:sdtContent>
    </w:sdt>
    <w:r>
      <w:rPr>
        <w:color w:val="808080" w:themeColor="background1" w:themeShade="80"/>
        <w:szCs w:val="15"/>
        <w:lang w:eastAsia="en-AU"/>
      </w:rPr>
      <w:t xml:space="preserve"> | Expert Panel on Building Reform</w:t>
    </w:r>
    <w:r w:rsidRPr="00FD4AB1">
      <w:rPr>
        <w:rFonts w:ascii="Segoe UI Semibold" w:hAnsi="Segoe UI Semibold" w:cs="Segoe UI"/>
        <w:color w:val="A5A5A5"/>
      </w:rPr>
      <w:ptab w:relativeTo="margin" w:alignment="right" w:leader="none"/>
    </w:r>
    <w:r w:rsidRPr="00FD4AB1">
      <w:rPr>
        <w:rFonts w:cs="Segoe UI"/>
        <w:color w:val="A5A5A5"/>
      </w:rPr>
      <w:t xml:space="preserve">| </w:t>
    </w:r>
    <w:r>
      <w:rPr>
        <w:rFonts w:cs="Segoe UI"/>
        <w:color w:val="A5A5A5"/>
      </w:rPr>
      <w:t>4</w:t>
    </w:r>
    <w:r w:rsidR="001A64FB">
      <w:rPr>
        <w:rFonts w:cs="Segoe UI"/>
        <w:color w:val="A5A5A5"/>
      </w:rPr>
      <w:t>8</w:t>
    </w:r>
    <w:r>
      <w:rPr>
        <w:rFonts w:cs="Segoe UI"/>
        <w:noProof/>
        <w:color w:val="A5A5A5"/>
      </w:rPr>
      <w:t xml:space="preserve"> </w:t>
    </w:r>
    <w:r w:rsidRPr="00FD4AB1">
      <w:rPr>
        <w:rFonts w:cs="Segoe UI"/>
        <w:color w:val="A5A5A5"/>
      </w:rPr>
      <w:t>|</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2157" w14:textId="06BE434B" w:rsidR="0073715E" w:rsidRPr="00285FE4" w:rsidRDefault="0073715E"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0" relativeHeight="251658372" behindDoc="0" locked="0" layoutInCell="0" allowOverlap="1" wp14:anchorId="53E3C3E5" wp14:editId="63DF185B">
              <wp:simplePos x="0" y="0"/>
              <wp:positionH relativeFrom="page">
                <wp:posOffset>0</wp:posOffset>
              </wp:positionH>
              <wp:positionV relativeFrom="page">
                <wp:posOffset>10228580</wp:posOffset>
              </wp:positionV>
              <wp:extent cx="7560945" cy="273050"/>
              <wp:effectExtent l="0" t="0" r="0" b="12700"/>
              <wp:wrapNone/>
              <wp:docPr id="27877" name="Text Box 27877"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8843FB"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3E3C3E5" id="_x0000_t202" coordsize="21600,21600" o:spt="202" path="m,l,21600r21600,l21600,xe">
              <v:stroke joinstyle="miter"/>
              <v:path gradientshapeok="t" o:connecttype="rect"/>
            </v:shapetype>
            <v:shape id="Text Box 27877" o:spid="_x0000_s1186" type="#_x0000_t202" alt="{&quot;HashCode&quot;:-1267603503,&quot;Height&quot;:841.0,&quot;Width&quot;:595.0,&quot;Placement&quot;:&quot;Footer&quot;,&quot;Index&quot;:&quot;Primary&quot;,&quot;Section&quot;:11,&quot;Top&quot;:0.0,&quot;Left&quot;:0.0}" style="position:absolute;margin-left:0;margin-top:805.4pt;width:595.35pt;height:21.5pt;z-index:2516583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" o:allowincell="f" filled="f" stroked="f" strokeweight=".5pt">
              <v:textbox inset="20pt,0,,0">
                <w:txbxContent>
                  <w:p w14:paraId="3C8843FB"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71" behindDoc="0" locked="0" layoutInCell="0" allowOverlap="1" wp14:anchorId="00B6580B" wp14:editId="6E5C5092">
              <wp:simplePos x="0" y="0"/>
              <wp:positionH relativeFrom="page">
                <wp:posOffset>0</wp:posOffset>
              </wp:positionH>
              <wp:positionV relativeFrom="page">
                <wp:posOffset>10228580</wp:posOffset>
              </wp:positionV>
              <wp:extent cx="7560945" cy="273050"/>
              <wp:effectExtent l="0" t="0" r="0" b="12700"/>
              <wp:wrapNone/>
              <wp:docPr id="27878" name="Text Box 27878"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49F050"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00B6580B" id="Text Box 27878" o:spid="_x0000_s1187" type="#_x0000_t202" alt="{&quot;HashCode&quot;:-1267603503,&quot;Height&quot;:841.0,&quot;Width&quot;:595.0,&quot;Placement&quot;:&quot;Footer&quot;,&quot;Index&quot;:&quot;Primary&quot;,&quot;Section&quot;:11,&quot;Top&quot;:0.0,&quot;Left&quot;:0.0}" style="position:absolute;margin-left:0;margin-top:805.4pt;width:595.35pt;height:21.5pt;z-index:25165837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AmBa3THgIAAC4EAAAOAAAAAAAAAAAAAAAAAC4CAABkcnMvZTJvRG9jLnhtbFBL&#10;AQItABQABgAIAAAAIQADWoXq3wAAAAsBAAAPAAAAAAAAAAAAAAAAAHgEAABkcnMvZG93bnJldi54&#10;bWxQSwUGAAAAAAQABADzAAAAhAUAAAAA&#10;" o:allowincell="f" filled="f" stroked="f" strokeweight=".5pt">
              <v:textbox inset="20pt,0,,0">
                <w:txbxContent>
                  <w:p w14:paraId="1749F050"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70" behindDoc="0" locked="0" layoutInCell="0" allowOverlap="1" wp14:anchorId="668BE22E" wp14:editId="1F70EEBB">
              <wp:simplePos x="0" y="0"/>
              <wp:positionH relativeFrom="page">
                <wp:posOffset>0</wp:posOffset>
              </wp:positionH>
              <wp:positionV relativeFrom="page">
                <wp:posOffset>10228580</wp:posOffset>
              </wp:positionV>
              <wp:extent cx="7560945" cy="273050"/>
              <wp:effectExtent l="0" t="0" r="0" b="12700"/>
              <wp:wrapNone/>
              <wp:docPr id="27879" name="Text Box 27879"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A1FDDE"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68BE22E" id="Text Box 27879" o:spid="_x0000_s1188" type="#_x0000_t202" alt="{&quot;HashCode&quot;:-1267603503,&quot;Height&quot;:841.0,&quot;Width&quot;:595.0,&quot;Placement&quot;:&quot;Footer&quot;,&quot;Index&quot;:&quot;Primary&quot;,&quot;Section&quot;:11,&quot;Top&quot;:0.0,&quot;Left&quot;:0.0}" style="position:absolute;margin-left:0;margin-top:805.4pt;width:595.35pt;height:21.5pt;z-index:25165837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H3hqD0dAgAALgQAAA4AAAAAAAAAAAAAAAAALgIAAGRycy9lMm9Eb2MueG1sUEsB&#10;Ai0AFAAGAAgAAAAhAANaherfAAAACwEAAA8AAAAAAAAAAAAAAAAAdwQAAGRycy9kb3ducmV2Lnht&#10;bFBLBQYAAAAABAAEAPMAAACDBQAAAAA=&#10;" o:allowincell="f" filled="f" stroked="f" strokeweight=".5pt">
              <v:textbox inset="20pt,0,,0">
                <w:txbxContent>
                  <w:p w14:paraId="0CA1FDDE"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2067869633"/>
        <w:dataBinding w:prefixMappings="xmlns:ns0='http://purl.org/dc/elements/1.1/' xmlns:ns1='http://schemas.openxmlformats.org/package/2006/metadata/core-properties' " w:xpath="/ns1:coreProperties[1]/ns0:title[1]" w:storeItemID="{6C3C8BC8-F283-45AE-878A-BAB7291924A1}"/>
        <w:text/>
      </w:sdtPr>
      <w:sdtContent>
        <w:r w:rsidRPr="00285FE4">
          <w:rPr>
            <w:color w:val="808080" w:themeColor="background1" w:themeShade="80"/>
            <w:szCs w:val="15"/>
            <w:lang w:eastAsia="en-AU"/>
          </w:rPr>
          <w:t>Building Reform: Paper Two</w:t>
        </w:r>
      </w:sdtContent>
    </w:sdt>
    <w:r w:rsidRPr="00285FE4">
      <w:rPr>
        <w:color w:val="808080" w:themeColor="background1" w:themeShade="80"/>
        <w:szCs w:val="15"/>
        <w:lang w:eastAsia="en-AU"/>
      </w:rPr>
      <w:t xml:space="preserve"> | Expert Panel on Building Reform</w:t>
    </w:r>
    <w:r w:rsidRPr="00285FE4">
      <w:rPr>
        <w:rFonts w:cs="Segoe UI"/>
        <w:color w:val="A5A5A5"/>
        <w:szCs w:val="15"/>
      </w:rPr>
      <w:ptab w:relativeTo="margin" w:alignment="right" w:leader="none"/>
    </w:r>
    <w:r w:rsidRPr="00285FE4">
      <w:rPr>
        <w:rFonts w:cs="Segoe UI"/>
        <w:color w:val="A5A5A5"/>
        <w:szCs w:val="15"/>
      </w:rPr>
      <w:t>|</w:t>
    </w:r>
    <w:r w:rsidRPr="00285FE4">
      <w:rPr>
        <w:rFonts w:cs="Segoe UI"/>
        <w:color w:val="808080" w:themeColor="background1" w:themeShade="80"/>
        <w:szCs w:val="15"/>
      </w:rPr>
      <w:t xml:space="preserve"> </w:t>
    </w:r>
    <w:r w:rsidR="001A64FB">
      <w:rPr>
        <w:rFonts w:cs="Segoe UI"/>
        <w:color w:val="808080" w:themeColor="background1" w:themeShade="80"/>
        <w:szCs w:val="15"/>
      </w:rPr>
      <w:t>50</w:t>
    </w:r>
    <w:r w:rsidRPr="00285FE4">
      <w:rPr>
        <w:rFonts w:cs="Segoe UI"/>
        <w:b/>
        <w:color w:val="808080" w:themeColor="background1" w:themeShade="80"/>
        <w:szCs w:val="15"/>
      </w:rPr>
      <w:t xml:space="preserve"> </w:t>
    </w:r>
    <w:r w:rsidRPr="00285FE4">
      <w:rPr>
        <w:rFonts w:cs="Segoe UI"/>
        <w:color w:val="A5A5A5"/>
        <w:szCs w:val="15"/>
      </w:rPr>
      <w:t>|</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14BF0" w14:textId="434A2B7D" w:rsidR="0073715E" w:rsidRPr="00285FE4" w:rsidRDefault="0073715E"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0" relativeHeight="251658375" behindDoc="0" locked="0" layoutInCell="0" allowOverlap="1" wp14:anchorId="50CB0B3B" wp14:editId="187AB67F">
              <wp:simplePos x="0" y="0"/>
              <wp:positionH relativeFrom="page">
                <wp:posOffset>0</wp:posOffset>
              </wp:positionH>
              <wp:positionV relativeFrom="page">
                <wp:posOffset>10228580</wp:posOffset>
              </wp:positionV>
              <wp:extent cx="7560945" cy="273050"/>
              <wp:effectExtent l="0" t="0" r="0" b="12700"/>
              <wp:wrapNone/>
              <wp:docPr id="27880" name="Text Box 27880"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1F8343"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0CB0B3B" id="_x0000_t202" coordsize="21600,21600" o:spt="202" path="m,l,21600r21600,l21600,xe">
              <v:stroke joinstyle="miter"/>
              <v:path gradientshapeok="t" o:connecttype="rect"/>
            </v:shapetype>
            <v:shape id="Text Box 27880" o:spid="_x0000_s1189" type="#_x0000_t202" alt="{&quot;HashCode&quot;:-1267603503,&quot;Height&quot;:841.0,&quot;Width&quot;:595.0,&quot;Placement&quot;:&quot;Footer&quot;,&quot;Index&quot;:&quot;Primary&quot;,&quot;Section&quot;:11,&quot;Top&quot;:0.0,&quot;Left&quot;:0.0}" style="position:absolute;margin-left:0;margin-top:805.4pt;width:595.35pt;height:21.5pt;z-index:25165837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ukp2AHgIAAC4EAAAOAAAAAAAAAAAAAAAAAC4CAABkcnMvZTJvRG9jLnhtbFBL&#10;AQItABQABgAIAAAAIQADWoXq3wAAAAsBAAAPAAAAAAAAAAAAAAAAAHgEAABkcnMvZG93bnJldi54&#10;bWxQSwUGAAAAAAQABADzAAAAhAUAAAAA&#10;" o:allowincell="f" filled="f" stroked="f" strokeweight=".5pt">
              <v:textbox inset="20pt,0,,0">
                <w:txbxContent>
                  <w:p w14:paraId="5A1F8343"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74" behindDoc="0" locked="0" layoutInCell="0" allowOverlap="1" wp14:anchorId="36B7D45E" wp14:editId="455AF6C3">
              <wp:simplePos x="0" y="0"/>
              <wp:positionH relativeFrom="page">
                <wp:posOffset>0</wp:posOffset>
              </wp:positionH>
              <wp:positionV relativeFrom="page">
                <wp:posOffset>10228580</wp:posOffset>
              </wp:positionV>
              <wp:extent cx="7560945" cy="273050"/>
              <wp:effectExtent l="0" t="0" r="0" b="12700"/>
              <wp:wrapNone/>
              <wp:docPr id="27881" name="Text Box 27881"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B10E5D"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36B7D45E" id="Text Box 27881" o:spid="_x0000_s1190" type="#_x0000_t202" alt="{&quot;HashCode&quot;:-1267603503,&quot;Height&quot;:841.0,&quot;Width&quot;:595.0,&quot;Placement&quot;:&quot;Footer&quot;,&quot;Index&quot;:&quot;Primary&quot;,&quot;Section&quot;:11,&quot;Top&quot;:0.0,&quot;Left&quot;:0.0}" style="position:absolute;margin-left:0;margin-top:805.4pt;width:595.35pt;height:21.5pt;z-index:25165837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OcHgIAAC4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7zybDJDqoTLuig595bvlY4&#10;xYb58Mwcko07oYDDEx5SA3aDs0VJDe7H3/wxHznAKCUtiqek/vuBOUGJ/mqQnclsmudRbumGhkvG&#10;7Xg6xctu8JpDcw8ozDG+EcuTGXODHkzpoHlFga9iOwwxw7FpSXeDeR96LeMD4WK1SkkoLMvCxmwt&#10;j6UjbBHcl+6VOXtmICB3jzDoixXviOhze8BXhwBSJZYixD2cZ+RRlIm88wOKqv/1nrIuz3z5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AaALOcHgIAAC4EAAAOAAAAAAAAAAAAAAAAAC4CAABkcnMvZTJvRG9jLnhtbFBL&#10;AQItABQABgAIAAAAIQADWoXq3wAAAAsBAAAPAAAAAAAAAAAAAAAAAHgEAABkcnMvZG93bnJldi54&#10;bWxQSwUGAAAAAAQABADzAAAAhAUAAAAA&#10;" o:allowincell="f" filled="f" stroked="f" strokeweight=".5pt">
              <v:textbox inset="20pt,0,,0">
                <w:txbxContent>
                  <w:p w14:paraId="1DB10E5D"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73" behindDoc="0" locked="0" layoutInCell="0" allowOverlap="1" wp14:anchorId="4DB95DCC" wp14:editId="5B503579">
              <wp:simplePos x="0" y="0"/>
              <wp:positionH relativeFrom="page">
                <wp:posOffset>0</wp:posOffset>
              </wp:positionH>
              <wp:positionV relativeFrom="page">
                <wp:posOffset>10228580</wp:posOffset>
              </wp:positionV>
              <wp:extent cx="7560945" cy="273050"/>
              <wp:effectExtent l="0" t="0" r="0" b="12700"/>
              <wp:wrapNone/>
              <wp:docPr id="27882" name="Text Box 27882"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4C5797"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4DB95DCC" id="Text Box 27882" o:spid="_x0000_s1191" type="#_x0000_t202" alt="{&quot;HashCode&quot;:-1267603503,&quot;Height&quot;:841.0,&quot;Width&quot;:595.0,&quot;Placement&quot;:&quot;Footer&quot;,&quot;Index&quot;:&quot;Primary&quot;,&quot;Section&quot;:11,&quot;Top&quot;:0.0,&quot;Left&quot;:0.0}" style="position:absolute;margin-left:0;margin-top:805.4pt;width:595.35pt;height:21.5pt;z-index:25165837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CJc4YhHgIAAC4EAAAOAAAAAAAAAAAAAAAAAC4CAABkcnMvZTJvRG9jLnhtbFBL&#10;AQItABQABgAIAAAAIQADWoXq3wAAAAsBAAAPAAAAAAAAAAAAAAAAAHgEAABkcnMvZG93bnJldi54&#10;bWxQSwUGAAAAAAQABADzAAAAhAUAAAAA&#10;" o:allowincell="f" filled="f" stroked="f" strokeweight=".5pt">
              <v:textbox inset="20pt,0,,0">
                <w:txbxContent>
                  <w:p w14:paraId="664C5797"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1371758050"/>
        <w:dataBinding w:prefixMappings="xmlns:ns0='http://purl.org/dc/elements/1.1/' xmlns:ns1='http://schemas.openxmlformats.org/package/2006/metadata/core-properties' " w:xpath="/ns1:coreProperties[1]/ns0:title[1]" w:storeItemID="{6C3C8BC8-F283-45AE-878A-BAB7291924A1}"/>
        <w:text/>
      </w:sdtPr>
      <w:sdtContent>
        <w:r w:rsidRPr="00285FE4">
          <w:rPr>
            <w:color w:val="808080" w:themeColor="background1" w:themeShade="80"/>
            <w:szCs w:val="15"/>
            <w:lang w:eastAsia="en-AU"/>
          </w:rPr>
          <w:t>Building Reform: Paper Two</w:t>
        </w:r>
      </w:sdtContent>
    </w:sdt>
    <w:r w:rsidRPr="00285FE4">
      <w:rPr>
        <w:color w:val="808080" w:themeColor="background1" w:themeShade="80"/>
        <w:szCs w:val="15"/>
        <w:lang w:eastAsia="en-AU"/>
      </w:rPr>
      <w:t xml:space="preserve"> | Expert Panel on Building Reform</w:t>
    </w:r>
    <w:r w:rsidRPr="00285FE4">
      <w:rPr>
        <w:rFonts w:cs="Segoe UI"/>
        <w:color w:val="A5A5A5"/>
        <w:szCs w:val="15"/>
      </w:rPr>
      <w:ptab w:relativeTo="margin" w:alignment="right" w:leader="none"/>
    </w:r>
    <w:r w:rsidRPr="00285FE4">
      <w:rPr>
        <w:rFonts w:cs="Segoe UI"/>
        <w:color w:val="A5A5A5"/>
        <w:szCs w:val="15"/>
      </w:rPr>
      <w:t>|</w:t>
    </w:r>
    <w:r w:rsidRPr="00285FE4">
      <w:rPr>
        <w:rFonts w:cs="Segoe UI"/>
        <w:color w:val="808080" w:themeColor="background1" w:themeShade="80"/>
        <w:szCs w:val="15"/>
      </w:rPr>
      <w:t xml:space="preserve"> </w:t>
    </w:r>
    <w:r w:rsidR="001A64FB">
      <w:rPr>
        <w:rFonts w:cs="Segoe UI"/>
        <w:color w:val="808080" w:themeColor="background1" w:themeShade="80"/>
        <w:szCs w:val="15"/>
      </w:rPr>
      <w:t>51</w:t>
    </w:r>
    <w:r w:rsidRPr="00285FE4">
      <w:rPr>
        <w:rFonts w:cs="Segoe UI"/>
        <w:b/>
        <w:color w:val="808080" w:themeColor="background1" w:themeShade="80"/>
        <w:szCs w:val="15"/>
      </w:rPr>
      <w:t xml:space="preserve"> </w:t>
    </w:r>
    <w:r w:rsidRPr="00285FE4">
      <w:rPr>
        <w:rFonts w:cs="Segoe UI"/>
        <w:color w:val="A5A5A5"/>
        <w:szCs w:val="15"/>
      </w:rPr>
      <w:t>|</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34370" w14:textId="1AF47401" w:rsidR="0073715E" w:rsidRPr="00285FE4" w:rsidRDefault="0073715E"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0" relativeHeight="251658378" behindDoc="0" locked="0" layoutInCell="0" allowOverlap="1" wp14:anchorId="151F1B52" wp14:editId="6567E763">
              <wp:simplePos x="0" y="0"/>
              <wp:positionH relativeFrom="page">
                <wp:posOffset>0</wp:posOffset>
              </wp:positionH>
              <wp:positionV relativeFrom="page">
                <wp:posOffset>10228580</wp:posOffset>
              </wp:positionV>
              <wp:extent cx="7560945" cy="273050"/>
              <wp:effectExtent l="0" t="0" r="0" b="12700"/>
              <wp:wrapNone/>
              <wp:docPr id="27883" name="Text Box 27883"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4974BE"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51F1B52" id="_x0000_t202" coordsize="21600,21600" o:spt="202" path="m,l,21600r21600,l21600,xe">
              <v:stroke joinstyle="miter"/>
              <v:path gradientshapeok="t" o:connecttype="rect"/>
            </v:shapetype>
            <v:shape id="Text Box 27883" o:spid="_x0000_s1192" type="#_x0000_t202" alt="{&quot;HashCode&quot;:-1267603503,&quot;Height&quot;:841.0,&quot;Width&quot;:595.0,&quot;Placement&quot;:&quot;Footer&quot;,&quot;Index&quot;:&quot;Primary&quot;,&quot;Section&quot;:11,&quot;Top&quot;:0.0,&quot;Left&quot;:0.0}" style="position:absolute;margin-left:0;margin-top:805.4pt;width:595.35pt;height:21.5pt;z-index:25165837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6kHgIAAC4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7z6bDJDqoTLuig595bvlY4&#10;xYb58Mwcko07oYDDEx5SA3aDs0VJDe7H3/wxHznAKCUtiqek/vuBOUGJ/mqQnclsmudRbumGhkvG&#10;7Xg6xctu8JpDcw8ozDG+EcuTGXODHkzpoHlFga9iOwwxw7FpSXeDeR96LeMD4WK1SkkoLMvCxmwt&#10;j6UjbBHcl+6VOXtmICB3jzDoixXviOhze8BXhwBSJZYixD2cZ+RRlIm88wOKqv/1nrIuz3z5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yJe6kHgIAAC4EAAAOAAAAAAAAAAAAAAAAAC4CAABkcnMvZTJvRG9jLnhtbFBL&#10;AQItABQABgAIAAAAIQADWoXq3wAAAAsBAAAPAAAAAAAAAAAAAAAAAHgEAABkcnMvZG93bnJldi54&#10;bWxQSwUGAAAAAAQABADzAAAAhAUAAAAA&#10;" o:allowincell="f" filled="f" stroked="f" strokeweight=".5pt">
              <v:textbox inset="20pt,0,,0">
                <w:txbxContent>
                  <w:p w14:paraId="4D4974BE"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77" behindDoc="0" locked="0" layoutInCell="0" allowOverlap="1" wp14:anchorId="5E24AF8F" wp14:editId="406FDEAF">
              <wp:simplePos x="0" y="0"/>
              <wp:positionH relativeFrom="page">
                <wp:posOffset>0</wp:posOffset>
              </wp:positionH>
              <wp:positionV relativeFrom="page">
                <wp:posOffset>10228580</wp:posOffset>
              </wp:positionV>
              <wp:extent cx="7560945" cy="273050"/>
              <wp:effectExtent l="0" t="0" r="0" b="12700"/>
              <wp:wrapNone/>
              <wp:docPr id="27884" name="Text Box 27884"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E98244"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5E24AF8F" id="Text Box 27884" o:spid="_x0000_s1193" type="#_x0000_t202" alt="{&quot;HashCode&quot;:-1267603503,&quot;Height&quot;:841.0,&quot;Width&quot;:595.0,&quot;Placement&quot;:&quot;Footer&quot;,&quot;Index&quot;:&quot;Primary&quot;,&quot;Section&quot;:11,&quot;Top&quot;:0.0,&quot;Left&quot;:0.0}" style="position:absolute;margin-left:0;margin-top:805.4pt;width:595.35pt;height:21.5pt;z-index:25165837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sZHgIAAC4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7z2bDJDqoTLuig595bvlY4&#10;xYb58Mwcko07oYDDEx5SA3aDs0VJDe7H3/wxHznAKCUtiqek/vuBOUGJ/mqQnclsmudRbumGhkvG&#10;7Xg6xctu8JpDcw8ozDG+EcuTGXODHkzpoHlFga9iOwwxw7FpSXeDeR96LeMD4WK1SkkoLMvCxmwt&#10;j6UjbBHcl+6VOXtmICB3jzDoixXviOhze8BXhwBSJZYixD2cZ+RRlIm88wOKqv/1nrIuz3z5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hVtsZHgIAAC4EAAAOAAAAAAAAAAAAAAAAAC4CAABkcnMvZTJvRG9jLnhtbFBL&#10;AQItABQABgAIAAAAIQADWoXq3wAAAAsBAAAPAAAAAAAAAAAAAAAAAHgEAABkcnMvZG93bnJldi54&#10;bWxQSwUGAAAAAAQABADzAAAAhAUAAAAA&#10;" o:allowincell="f" filled="f" stroked="f" strokeweight=".5pt">
              <v:textbox inset="20pt,0,,0">
                <w:txbxContent>
                  <w:p w14:paraId="0EE98244"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76" behindDoc="0" locked="0" layoutInCell="0" allowOverlap="1" wp14:anchorId="1EBEC255" wp14:editId="1731F9CB">
              <wp:simplePos x="0" y="0"/>
              <wp:positionH relativeFrom="page">
                <wp:posOffset>0</wp:posOffset>
              </wp:positionH>
              <wp:positionV relativeFrom="page">
                <wp:posOffset>10228580</wp:posOffset>
              </wp:positionV>
              <wp:extent cx="7560945" cy="273050"/>
              <wp:effectExtent l="0" t="0" r="0" b="12700"/>
              <wp:wrapNone/>
              <wp:docPr id="27885" name="Text Box 27885"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B60614"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1EBEC255" id="Text Box 27885" o:spid="_x0000_s1194" type="#_x0000_t202" alt="{&quot;HashCode&quot;:-1267603503,&quot;Height&quot;:841.0,&quot;Width&quot;:595.0,&quot;Placement&quot;:&quot;Footer&quot;,&quot;Index&quot;:&quot;Primary&quot;,&quot;Section&quot;:11,&quot;Top&quot;:0.0,&quot;Left&quot;:0.0}" style="position:absolute;margin-left:0;margin-top:805.4pt;width:595.35pt;height:21.5pt;z-index:2516583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UFHgIAAC4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7z+bDJDqoTLuig595bvlY4&#10;xYb58Mwcko07oYDDEx5SA3aDs0VJDe7H3/wxHznAKCUtiqek/vuBOUGJ/mqQnclsmudRbumGhkvG&#10;7Xg6xctu8JpDcw8ozDG+EcuTGXODHkzpoHlFga9iOwwxw7FpSXeDeR96LeMD4WK1SkkoLMvCxmwt&#10;j6UjbBHcl+6VOXtmICB3jzDoixXviOhze8BXhwBSJZYixD2cZ+RRlIm88wOKqv/1nrIuz3z5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CVxPUFHgIAAC4EAAAOAAAAAAAAAAAAAAAAAC4CAABkcnMvZTJvRG9jLnhtbFBL&#10;AQItABQABgAIAAAAIQADWoXq3wAAAAsBAAAPAAAAAAAAAAAAAAAAAHgEAABkcnMvZG93bnJldi54&#10;bWxQSwUGAAAAAAQABADzAAAAhAUAAAAA&#10;" o:allowincell="f" filled="f" stroked="f" strokeweight=".5pt">
              <v:textbox inset="20pt,0,,0">
                <w:txbxContent>
                  <w:p w14:paraId="6FB60614"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1401794502"/>
        <w:dataBinding w:prefixMappings="xmlns:ns0='http://purl.org/dc/elements/1.1/' xmlns:ns1='http://schemas.openxmlformats.org/package/2006/metadata/core-properties' " w:xpath="/ns1:coreProperties[1]/ns0:title[1]" w:storeItemID="{6C3C8BC8-F283-45AE-878A-BAB7291924A1}"/>
        <w:text/>
      </w:sdtPr>
      <w:sdtContent>
        <w:r w:rsidRPr="00285FE4">
          <w:rPr>
            <w:color w:val="808080" w:themeColor="background1" w:themeShade="80"/>
            <w:szCs w:val="15"/>
            <w:lang w:eastAsia="en-AU"/>
          </w:rPr>
          <w:t>Building Reform: Paper Two</w:t>
        </w:r>
      </w:sdtContent>
    </w:sdt>
    <w:r w:rsidRPr="00285FE4">
      <w:rPr>
        <w:color w:val="808080" w:themeColor="background1" w:themeShade="80"/>
        <w:szCs w:val="15"/>
        <w:lang w:eastAsia="en-AU"/>
      </w:rPr>
      <w:t xml:space="preserve"> | Expert Panel on Building Reform</w:t>
    </w:r>
    <w:r w:rsidRPr="00285FE4">
      <w:rPr>
        <w:rFonts w:cs="Segoe UI"/>
        <w:color w:val="A5A5A5"/>
        <w:szCs w:val="15"/>
      </w:rPr>
      <w:ptab w:relativeTo="margin" w:alignment="right" w:leader="none"/>
    </w:r>
    <w:r w:rsidRPr="00285FE4">
      <w:rPr>
        <w:rFonts w:cs="Segoe UI"/>
        <w:color w:val="A5A5A5"/>
        <w:szCs w:val="15"/>
      </w:rPr>
      <w:t>|</w:t>
    </w:r>
    <w:r w:rsidRPr="00285FE4">
      <w:rPr>
        <w:rFonts w:cs="Segoe UI"/>
        <w:color w:val="808080" w:themeColor="background1" w:themeShade="80"/>
        <w:szCs w:val="15"/>
      </w:rPr>
      <w:t xml:space="preserve"> </w:t>
    </w:r>
    <w:r>
      <w:rPr>
        <w:rFonts w:cs="Segoe UI"/>
        <w:color w:val="808080" w:themeColor="background1" w:themeShade="80"/>
        <w:szCs w:val="15"/>
      </w:rPr>
      <w:t>5</w:t>
    </w:r>
    <w:r w:rsidR="001A64FB">
      <w:rPr>
        <w:rFonts w:cs="Segoe UI"/>
        <w:color w:val="808080" w:themeColor="background1" w:themeShade="80"/>
        <w:szCs w:val="15"/>
      </w:rPr>
      <w:t>2</w:t>
    </w:r>
    <w:r w:rsidRPr="00285FE4">
      <w:rPr>
        <w:rFonts w:cs="Segoe UI"/>
        <w:b/>
        <w:color w:val="808080" w:themeColor="background1" w:themeShade="80"/>
        <w:szCs w:val="15"/>
      </w:rPr>
      <w:t xml:space="preserve"> </w:t>
    </w:r>
    <w:r w:rsidRPr="00285FE4">
      <w:rPr>
        <w:rFonts w:cs="Segoe UI"/>
        <w:color w:val="A5A5A5"/>
        <w:szCs w:val="15"/>
      </w:rPr>
      <w:t>|</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C6C2B" w14:textId="3CFDC33F" w:rsidR="0073715E" w:rsidRPr="005C29E1" w:rsidRDefault="0073715E" w:rsidP="005C29E1">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114300" distR="114300" simplePos="0" relativeHeight="251658381" behindDoc="0" locked="0" layoutInCell="0" allowOverlap="1" wp14:anchorId="533E92C6" wp14:editId="22919803">
              <wp:simplePos x="0" y="0"/>
              <wp:positionH relativeFrom="page">
                <wp:posOffset>0</wp:posOffset>
              </wp:positionH>
              <wp:positionV relativeFrom="page">
                <wp:posOffset>10228580</wp:posOffset>
              </wp:positionV>
              <wp:extent cx="7560945" cy="273050"/>
              <wp:effectExtent l="0" t="0" r="0" b="12700"/>
              <wp:wrapNone/>
              <wp:docPr id="27886" name="Text Box 27886"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02A991"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33E92C6" id="_x0000_t202" coordsize="21600,21600" o:spt="202" path="m,l,21600r21600,l21600,xe">
              <v:stroke joinstyle="miter"/>
              <v:path gradientshapeok="t" o:connecttype="rect"/>
            </v:shapetype>
            <v:shape id="Text Box 27886" o:spid="_x0000_s1195" type="#_x0000_t202" alt="{&quot;HashCode&quot;:-1267603503,&quot;Height&quot;:841.0,&quot;Width&quot;:595.0,&quot;Placement&quot;:&quot;Footer&quot;,&quot;Index&quot;:&quot;FirstPage&quot;,&quot;Section&quot;:5,&quot;Top&quot;:0.0,&quot;Left&quot;:0.0}" style="position:absolute;margin-left:0;margin-top:805.4pt;width:595.35pt;height:21.5pt;z-index:25165838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" o:allowincell="f" filled="f" stroked="f" strokeweight=".5pt">
              <v:textbox inset="20pt,0,,0">
                <w:txbxContent>
                  <w:p w14:paraId="5F02A991"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80" behindDoc="0" locked="0" layoutInCell="0" allowOverlap="1" wp14:anchorId="46817C03" wp14:editId="707F5F85">
              <wp:simplePos x="0" y="0"/>
              <wp:positionH relativeFrom="page">
                <wp:posOffset>0</wp:posOffset>
              </wp:positionH>
              <wp:positionV relativeFrom="page">
                <wp:posOffset>10228580</wp:posOffset>
              </wp:positionV>
              <wp:extent cx="7560945" cy="273050"/>
              <wp:effectExtent l="0" t="0" r="0" b="12700"/>
              <wp:wrapNone/>
              <wp:docPr id="27887" name="Text Box 27887"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C2C940"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46817C03" id="Text Box 27887" o:spid="_x0000_s1196" type="#_x0000_t202" alt="{&quot;HashCode&quot;:-1267603503,&quot;Height&quot;:841.0,&quot;Width&quot;:595.0,&quot;Placement&quot;:&quot;Footer&quot;,&quot;Index&quot;:&quot;FirstPage&quot;,&quot;Section&quot;:5,&quot;Top&quot;:0.0,&quot;Left&quot;:0.0}" style="position:absolute;margin-left:0;margin-top:805.4pt;width:595.35pt;height:21.5pt;z-index:2516583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" o:allowincell="f" filled="f" stroked="f" strokeweight=".5pt">
              <v:textbox inset="20pt,0,,0">
                <w:txbxContent>
                  <w:p w14:paraId="42C2C940"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79" behindDoc="0" locked="0" layoutInCell="0" allowOverlap="1" wp14:anchorId="618068C0" wp14:editId="163F7C46">
              <wp:simplePos x="0" y="0"/>
              <wp:positionH relativeFrom="page">
                <wp:posOffset>0</wp:posOffset>
              </wp:positionH>
              <wp:positionV relativeFrom="page">
                <wp:posOffset>10228580</wp:posOffset>
              </wp:positionV>
              <wp:extent cx="7560945" cy="273050"/>
              <wp:effectExtent l="0" t="0" r="0" b="12700"/>
              <wp:wrapNone/>
              <wp:docPr id="27888" name="Text Box 27888"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FEC5C6"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18068C0" id="Text Box 27888" o:spid="_x0000_s1197" type="#_x0000_t202" alt="{&quot;HashCode&quot;:-1267603503,&quot;Height&quot;:841.0,&quot;Width&quot;:595.0,&quot;Placement&quot;:&quot;Footer&quot;,&quot;Index&quot;:&quot;FirstPage&quot;,&quot;Section&quot;:5,&quot;Top&quot;:0.0,&quot;Left&quot;:0.0}" style="position:absolute;margin-left:0;margin-top:805.4pt;width:595.35pt;height:21.5pt;z-index:25165837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CxHWFpHgIAAC4EAAAOAAAAAAAAAAAAAAAAAC4CAABkcnMvZTJvRG9jLnhtbFBL&#10;AQItABQABgAIAAAAIQADWoXq3wAAAAsBAAAPAAAAAAAAAAAAAAAAAHgEAABkcnMvZG93bnJldi54&#10;bWxQSwUGAAAAAAQABADzAAAAhAUAAAAA&#10;" o:allowincell="f" filled="f" stroked="f" strokeweight=".5pt">
              <v:textbox inset="20pt,0,,0">
                <w:txbxContent>
                  <w:p w14:paraId="76FEC5C6"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r>
      <w:rPr>
        <w:color w:val="808080" w:themeColor="background1" w:themeShade="80"/>
        <w:szCs w:val="15"/>
        <w:lang w:eastAsia="en-AU"/>
      </w:rPr>
      <w:t>19</w:t>
    </w:r>
    <w:sdt>
      <w:sdtPr>
        <w:rPr>
          <w:color w:val="808080" w:themeColor="background1" w:themeShade="80"/>
          <w:szCs w:val="15"/>
          <w:lang w:eastAsia="en-AU"/>
        </w:rPr>
        <w:alias w:val="Title"/>
        <w:id w:val="1304663171"/>
        <w:dataBinding w:prefixMappings="xmlns:ns0='http://purl.org/dc/elements/1.1/' xmlns:ns1='http://schemas.openxmlformats.org/package/2006/metadata/core-properties' " w:xpath="/ns1:coreProperties[1]/ns0:title[1]" w:storeItemID="{6C3C8BC8-F283-45AE-878A-BAB7291924A1}"/>
        <w:text/>
      </w:sdtPr>
      <w:sdtContent>
        <w:r>
          <w:rPr>
            <w:color w:val="808080" w:themeColor="background1" w:themeShade="80"/>
            <w:szCs w:val="15"/>
            <w:lang w:eastAsia="en-AU"/>
          </w:rPr>
          <w:t>Building Reform: Paper Two</w:t>
        </w:r>
      </w:sdtContent>
    </w:sdt>
    <w:r>
      <w:rPr>
        <w:color w:val="808080" w:themeColor="background1" w:themeShade="80"/>
        <w:szCs w:val="15"/>
        <w:lang w:eastAsia="en-AU"/>
      </w:rPr>
      <w:t xml:space="preserve"> | Expert Panel on Building Reform</w:t>
    </w:r>
    <w:r w:rsidRPr="00FD4AB1">
      <w:rPr>
        <w:rFonts w:ascii="Segoe UI Semibold" w:hAnsi="Segoe UI Semibold" w:cs="Segoe UI"/>
        <w:color w:val="A5A5A5"/>
      </w:rPr>
      <w:ptab w:relativeTo="margin" w:alignment="right" w:leader="none"/>
    </w:r>
    <w:r w:rsidRPr="00FD4AB1">
      <w:rPr>
        <w:rFonts w:cs="Segoe UI"/>
        <w:color w:val="A5A5A5"/>
      </w:rPr>
      <w:t xml:space="preserve">| </w:t>
    </w:r>
    <w:r>
      <w:rPr>
        <w:rFonts w:cs="Segoe UI"/>
        <w:color w:val="A5A5A5"/>
      </w:rPr>
      <w:t>5</w:t>
    </w:r>
    <w:r w:rsidR="001A64FB">
      <w:rPr>
        <w:rFonts w:cs="Segoe UI"/>
        <w:color w:val="A5A5A5"/>
      </w:rPr>
      <w:t>3</w:t>
    </w:r>
    <w:r>
      <w:rPr>
        <w:rFonts w:cs="Segoe UI"/>
        <w:noProof/>
        <w:color w:val="A5A5A5"/>
      </w:rPr>
      <w:t xml:space="preserve"> </w:t>
    </w:r>
    <w:r w:rsidRPr="00FD4AB1">
      <w:rPr>
        <w:rFonts w:cs="Segoe UI"/>
        <w:color w:val="A5A5A5"/>
      </w:rPr>
      <w:t>|</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B2D64" w14:textId="5932687D" w:rsidR="0073715E" w:rsidRPr="005C29E1" w:rsidRDefault="0073715E" w:rsidP="005C29E1">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114300" distR="114300" simplePos="0" relativeHeight="251658384" behindDoc="0" locked="0" layoutInCell="0" allowOverlap="1" wp14:anchorId="5D192114" wp14:editId="2816EE9C">
              <wp:simplePos x="0" y="0"/>
              <wp:positionH relativeFrom="page">
                <wp:posOffset>0</wp:posOffset>
              </wp:positionH>
              <wp:positionV relativeFrom="page">
                <wp:posOffset>10228580</wp:posOffset>
              </wp:positionV>
              <wp:extent cx="7560945" cy="273050"/>
              <wp:effectExtent l="0" t="0" r="0" b="12700"/>
              <wp:wrapNone/>
              <wp:docPr id="27889" name="Text Box 27889"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75B4E5"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D192114" id="_x0000_t202" coordsize="21600,21600" o:spt="202" path="m,l,21600r21600,l21600,xe">
              <v:stroke joinstyle="miter"/>
              <v:path gradientshapeok="t" o:connecttype="rect"/>
            </v:shapetype>
            <v:shape id="Text Box 27889" o:spid="_x0000_s1198" type="#_x0000_t202" alt="{&quot;HashCode&quot;:-1267603503,&quot;Height&quot;:841.0,&quot;Width&quot;:595.0,&quot;Placement&quot;:&quot;Footer&quot;,&quot;Index&quot;:&quot;FirstPage&quot;,&quot;Section&quot;:5,&quot;Top&quot;:0.0,&quot;Left&quot;:0.0}" style="position:absolute;margin-left:0;margin-top:805.4pt;width:595.35pt;height:21.5pt;z-index:251658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PAWE1QdAgAALgQAAA4AAAAAAAAAAAAAAAAALgIAAGRycy9lMm9Eb2MueG1sUEsB&#10;Ai0AFAAGAAgAAAAhAANaherfAAAACwEAAA8AAAAAAAAAAAAAAAAAdwQAAGRycy9kb3ducmV2Lnht&#10;bFBLBQYAAAAABAAEAPMAAACDBQAAAAA=&#10;" o:allowincell="f" filled="f" stroked="f" strokeweight=".5pt">
              <v:textbox inset="20pt,0,,0">
                <w:txbxContent>
                  <w:p w14:paraId="4C75B4E5"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83" behindDoc="0" locked="0" layoutInCell="0" allowOverlap="1" wp14:anchorId="12CC9132" wp14:editId="4CEAD952">
              <wp:simplePos x="0" y="0"/>
              <wp:positionH relativeFrom="page">
                <wp:posOffset>0</wp:posOffset>
              </wp:positionH>
              <wp:positionV relativeFrom="page">
                <wp:posOffset>10228580</wp:posOffset>
              </wp:positionV>
              <wp:extent cx="7560945" cy="273050"/>
              <wp:effectExtent l="0" t="0" r="0" b="12700"/>
              <wp:wrapNone/>
              <wp:docPr id="27890" name="Text Box 27890"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481BE7"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12CC9132" id="Text Box 27890" o:spid="_x0000_s1199" type="#_x0000_t202" alt="{&quot;HashCode&quot;:-1267603503,&quot;Height&quot;:841.0,&quot;Width&quot;:595.0,&quot;Placement&quot;:&quot;Footer&quot;,&quot;Index&quot;:&quot;FirstPage&quot;,&quot;Section&quot;:5,&quot;Top&quot;:0.0,&quot;Left&quot;:0.0}" style="position:absolute;margin-left:0;margin-top:805.4pt;width:595.35pt;height:21.5pt;z-index:25165838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GNlJukdAgAALgQAAA4AAAAAAAAAAAAAAAAALgIAAGRycy9lMm9Eb2MueG1sUEsB&#10;Ai0AFAAGAAgAAAAhAANaherfAAAACwEAAA8AAAAAAAAAAAAAAAAAdwQAAGRycy9kb3ducmV2Lnht&#10;bFBLBQYAAAAABAAEAPMAAACDBQAAAAA=&#10;" o:allowincell="f" filled="f" stroked="f" strokeweight=".5pt">
              <v:textbox inset="20pt,0,,0">
                <w:txbxContent>
                  <w:p w14:paraId="38481BE7"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82" behindDoc="0" locked="0" layoutInCell="0" allowOverlap="1" wp14:anchorId="689FF46E" wp14:editId="5B711167">
              <wp:simplePos x="0" y="0"/>
              <wp:positionH relativeFrom="page">
                <wp:posOffset>0</wp:posOffset>
              </wp:positionH>
              <wp:positionV relativeFrom="page">
                <wp:posOffset>10228580</wp:posOffset>
              </wp:positionV>
              <wp:extent cx="7560945" cy="273050"/>
              <wp:effectExtent l="0" t="0" r="0" b="12700"/>
              <wp:wrapNone/>
              <wp:docPr id="27891" name="Text Box 27891"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9E5227"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89FF46E" id="Text Box 27891" o:spid="_x0000_s1200" type="#_x0000_t202" alt="{&quot;HashCode&quot;:-1267603503,&quot;Height&quot;:841.0,&quot;Width&quot;:595.0,&quot;Placement&quot;:&quot;Footer&quot;,&quot;Index&quot;:&quot;FirstPage&quot;,&quot;Section&quot;:5,&quot;Top&quot;:0.0,&quot;Left&quot;:0.0}" style="position:absolute;margin-left:0;margin-top:805.4pt;width:595.35pt;height:21.5pt;z-index:25165838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" o:allowincell="f" filled="f" stroked="f" strokeweight=".5pt">
              <v:textbox inset="20pt,0,,0">
                <w:txbxContent>
                  <w:p w14:paraId="189E5227"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r>
      <w:rPr>
        <w:color w:val="808080" w:themeColor="background1" w:themeShade="80"/>
        <w:szCs w:val="15"/>
        <w:lang w:eastAsia="en-AU"/>
      </w:rPr>
      <w:t>19</w:t>
    </w:r>
    <w:sdt>
      <w:sdtPr>
        <w:rPr>
          <w:color w:val="808080" w:themeColor="background1" w:themeShade="80"/>
          <w:szCs w:val="15"/>
          <w:lang w:eastAsia="en-AU"/>
        </w:rPr>
        <w:alias w:val="Title"/>
        <w:id w:val="2082634586"/>
        <w:dataBinding w:prefixMappings="xmlns:ns0='http://purl.org/dc/elements/1.1/' xmlns:ns1='http://schemas.openxmlformats.org/package/2006/metadata/core-properties' " w:xpath="/ns1:coreProperties[1]/ns0:title[1]" w:storeItemID="{6C3C8BC8-F283-45AE-878A-BAB7291924A1}"/>
        <w:text/>
      </w:sdtPr>
      <w:sdtContent>
        <w:r>
          <w:rPr>
            <w:color w:val="808080" w:themeColor="background1" w:themeShade="80"/>
            <w:szCs w:val="15"/>
            <w:lang w:eastAsia="en-AU"/>
          </w:rPr>
          <w:t>Building Reform: Paper Two</w:t>
        </w:r>
      </w:sdtContent>
    </w:sdt>
    <w:r>
      <w:rPr>
        <w:color w:val="808080" w:themeColor="background1" w:themeShade="80"/>
        <w:szCs w:val="15"/>
        <w:lang w:eastAsia="en-AU"/>
      </w:rPr>
      <w:t xml:space="preserve"> | Expert Panel on Building Reform</w:t>
    </w:r>
    <w:r w:rsidRPr="00FD4AB1">
      <w:rPr>
        <w:rFonts w:ascii="Segoe UI Semibold" w:hAnsi="Segoe UI Semibold" w:cs="Segoe UI"/>
        <w:color w:val="A5A5A5"/>
      </w:rPr>
      <w:ptab w:relativeTo="margin" w:alignment="right" w:leader="none"/>
    </w:r>
    <w:r w:rsidRPr="00FD4AB1">
      <w:rPr>
        <w:rFonts w:cs="Segoe UI"/>
        <w:color w:val="A5A5A5"/>
      </w:rPr>
      <w:t xml:space="preserve">| </w:t>
    </w:r>
    <w:r>
      <w:rPr>
        <w:rFonts w:cs="Segoe UI"/>
        <w:color w:val="A5A5A5"/>
      </w:rPr>
      <w:t>5</w:t>
    </w:r>
    <w:r w:rsidR="001A64FB">
      <w:rPr>
        <w:rFonts w:cs="Segoe UI"/>
        <w:color w:val="A5A5A5"/>
      </w:rPr>
      <w:t>4</w:t>
    </w:r>
    <w:r>
      <w:rPr>
        <w:rFonts w:cs="Segoe UI"/>
        <w:noProof/>
        <w:color w:val="A5A5A5"/>
      </w:rPr>
      <w:t xml:space="preserve"> </w:t>
    </w:r>
    <w:r w:rsidRPr="00FD4AB1">
      <w:rPr>
        <w:rFonts w:cs="Segoe UI"/>
        <w:color w:val="A5A5A5"/>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E673A" w14:textId="4A2D51C7" w:rsidR="003526B0" w:rsidRPr="005C29E1" w:rsidRDefault="008E041E" w:rsidP="005C29E1">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114300" distR="114300" simplePos="1" relativeHeight="251662544" behindDoc="0" locked="0" layoutInCell="0" allowOverlap="1" wp14:anchorId="47A72AF7" wp14:editId="5BEB0C91">
              <wp:simplePos x="0" y="10228818"/>
              <wp:positionH relativeFrom="page">
                <wp:posOffset>0</wp:posOffset>
              </wp:positionH>
              <wp:positionV relativeFrom="page">
                <wp:posOffset>10228580</wp:posOffset>
              </wp:positionV>
              <wp:extent cx="7560945" cy="273050"/>
              <wp:effectExtent l="0" t="0" r="0" b="12700"/>
              <wp:wrapNone/>
              <wp:docPr id="27978" name="MSIPCM25934cec991a432afb462eea"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0BD999" w14:textId="54044C2A" w:rsidR="008E041E" w:rsidRPr="008E041E" w:rsidRDefault="008E041E" w:rsidP="008E041E">
                          <w:pPr>
                            <w:spacing w:after="0"/>
                            <w:rPr>
                              <w:rFonts w:ascii="Calibri" w:hAnsi="Calibri" w:cs="Calibri"/>
                              <w:color w:val="000000"/>
                            </w:rPr>
                          </w:pPr>
                          <w:r w:rsidRPr="008E041E">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7A72AF7" id="_x0000_t202" coordsize="21600,21600" o:spt="202" path="m,l,21600r21600,l21600,xe">
              <v:stroke joinstyle="miter"/>
              <v:path gradientshapeok="t" o:connecttype="rect"/>
            </v:shapetype>
            <v:shape id="MSIPCM25934cec991a432afb462eea" o:spid="_x0000_s1043" type="#_x0000_t202" alt="{&quot;HashCode&quot;:-1267603503,&quot;Height&quot;:841.0,&quot;Width&quot;:595.0,&quot;Placement&quot;:&quot;Footer&quot;,&quot;Index&quot;:&quot;FirstPage&quot;,&quot;Section&quot;:5,&quot;Top&quot;:0.0,&quot;Left&quot;:0.0}" style="position:absolute;margin-left:0;margin-top:805.4pt;width:595.35pt;height:21.5pt;z-index:2516625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gIZHgIAAC0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6zYZEdVCfcz0FPvbd8rXCI&#10;DfPhmTnkGldC/YYnPKQGbAZni5Ia3I+/+WM+UoBRSlrUTkn99wNzghL91SA5k9k0z6Pa0g0Nl4zb&#10;8XSKl93gNYfmHlCXY3wilicz5gY9mNJB84r6XsV2GGKGY9OS7gbzPvRSxvfBxWqVklBXloWN2Voe&#10;S0fUIrYv3Stz9kxAQOoeYZAXK97x0Of2eK8OAaRKJEWEezjPwKMmE3fn9xNF/+s9ZV1e+fIn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RygIZHgIAAC0EAAAOAAAAAAAAAAAAAAAAAC4CAABkcnMvZTJvRG9jLnhtbFBL&#10;AQItABQABgAIAAAAIQADWoXq3wAAAAsBAAAPAAAAAAAAAAAAAAAAAHgEAABkcnMvZG93bnJldi54&#10;bWxQSwUGAAAAAAQABADzAAAAhAUAAAAA&#10;" o:allowincell="f" filled="f" stroked="f" strokeweight=".5pt">
              <v:textbox inset="20pt,0,,0">
                <w:txbxContent>
                  <w:p w14:paraId="280BD999" w14:textId="54044C2A" w:rsidR="008E041E" w:rsidRPr="008E041E" w:rsidRDefault="008E041E" w:rsidP="008E041E">
                    <w:pPr>
                      <w:spacing w:after="0"/>
                      <w:rPr>
                        <w:rFonts w:ascii="Calibri" w:hAnsi="Calibri" w:cs="Calibri"/>
                        <w:color w:val="000000"/>
                      </w:rPr>
                    </w:pPr>
                    <w:r w:rsidRPr="008E041E">
                      <w:rPr>
                        <w:rFonts w:ascii="Calibri" w:hAnsi="Calibri" w:cs="Calibri"/>
                        <w:color w:val="000000"/>
                      </w:rPr>
                      <w:t>OFFICIAL</w:t>
                    </w:r>
                  </w:p>
                </w:txbxContent>
              </v:textbox>
              <w10:wrap anchorx="page" anchory="page"/>
            </v:shape>
          </w:pict>
        </mc:Fallback>
      </mc:AlternateContent>
    </w:r>
    <w:r w:rsidR="000D6207">
      <w:rPr>
        <w:noProof/>
        <w:color w:val="808080" w:themeColor="background1" w:themeShade="80"/>
        <w:szCs w:val="15"/>
        <w:lang w:eastAsia="en-AU"/>
      </w:rPr>
      <mc:AlternateContent>
        <mc:Choice Requires="wps">
          <w:drawing>
            <wp:anchor distT="0" distB="0" distL="114300" distR="114300" simplePos="1" relativeHeight="251658430" behindDoc="0" locked="0" layoutInCell="0" allowOverlap="1" wp14:anchorId="231AC9AB" wp14:editId="52AAC477">
              <wp:simplePos x="0" y="10228818"/>
              <wp:positionH relativeFrom="page">
                <wp:posOffset>0</wp:posOffset>
              </wp:positionH>
              <wp:positionV relativeFrom="page">
                <wp:posOffset>10228580</wp:posOffset>
              </wp:positionV>
              <wp:extent cx="7560945" cy="273050"/>
              <wp:effectExtent l="0" t="0" r="0" b="12700"/>
              <wp:wrapNone/>
              <wp:docPr id="14" name="Text Box 14"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F9008C" w14:textId="534C140F" w:rsidR="000D6207" w:rsidRPr="000D6207" w:rsidRDefault="000D6207" w:rsidP="000D6207">
                          <w:pPr>
                            <w:spacing w:after="0"/>
                            <w:rPr>
                              <w:rFonts w:ascii="Calibri" w:hAnsi="Calibri" w:cs="Calibri"/>
                              <w:color w:val="000000"/>
                            </w:rPr>
                          </w:pPr>
                          <w:r w:rsidRPr="000D620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231AC9AB" id="Text Box 14" o:spid="_x0000_s1044" type="#_x0000_t202" alt="{&quot;HashCode&quot;:-1267603503,&quot;Height&quot;:841.0,&quot;Width&quot;:595.0,&quot;Placement&quot;:&quot;Footer&quot;,&quot;Index&quot;:&quot;FirstPage&quot;,&quot;Section&quot;:5,&quot;Top&quot;:0.0,&quot;Left&quot;:0.0}" style="position:absolute;margin-left:0;margin-top:805.4pt;width:595.35pt;height:21.5pt;z-index:25165843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wFHgIAAC0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7zYZEdVCfcz0FPvbd8rXCI&#10;DfPhmTnkGldC/YYnPKQGbAZni5Ia3I+/+WM+UoBRSlrUTkn99wNzghL91SA5k9k0z6Pa0g0Nl4zb&#10;8XSKl93gNYfmHlCXY3wilicz5gY9mNJB84r6XsV2GGKGY9OS7gbzPvRSxvfBxWqVklBXloWN2Voe&#10;S0fUIrYv3Stz9kxAQOoeYZAXK97x0Of2eK8OAaRKJEWEezjPwKMmE3fn9xNF/+s9ZV1e+fIn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AlWCwFHgIAAC0EAAAOAAAAAAAAAAAAAAAAAC4CAABkcnMvZTJvRG9jLnhtbFBL&#10;AQItABQABgAIAAAAIQADWoXq3wAAAAsBAAAPAAAAAAAAAAAAAAAAAHgEAABkcnMvZG93bnJldi54&#10;bWxQSwUGAAAAAAQABADzAAAAhAUAAAAA&#10;" o:allowincell="f" filled="f" stroked="f" strokeweight=".5pt">
              <v:textbox inset="20pt,0,,0">
                <w:txbxContent>
                  <w:p w14:paraId="6EF9008C" w14:textId="534C140F" w:rsidR="000D6207" w:rsidRPr="000D6207" w:rsidRDefault="000D6207" w:rsidP="000D6207">
                    <w:pPr>
                      <w:spacing w:after="0"/>
                      <w:rPr>
                        <w:rFonts w:ascii="Calibri" w:hAnsi="Calibri" w:cs="Calibri"/>
                        <w:color w:val="000000"/>
                      </w:rPr>
                    </w:pPr>
                    <w:r w:rsidRPr="000D6207">
                      <w:rPr>
                        <w:rFonts w:ascii="Calibri" w:hAnsi="Calibri" w:cs="Calibri"/>
                        <w:color w:val="000000"/>
                      </w:rPr>
                      <w:t>OFFICIAL</w:t>
                    </w:r>
                  </w:p>
                </w:txbxContent>
              </v:textbox>
              <w10:wrap anchorx="page" anchory="page"/>
            </v:shape>
          </w:pict>
        </mc:Fallback>
      </mc:AlternateContent>
    </w:r>
    <w:r w:rsidR="003C2FDB">
      <w:rPr>
        <w:noProof/>
        <w:color w:val="808080" w:themeColor="background1" w:themeShade="80"/>
        <w:szCs w:val="15"/>
        <w:lang w:eastAsia="en-AU"/>
      </w:rPr>
      <mc:AlternateContent>
        <mc:Choice Requires="wps">
          <w:drawing>
            <wp:anchor distT="0" distB="0" distL="114300" distR="114300" simplePos="0" relativeHeight="251658253" behindDoc="0" locked="0" layoutInCell="0" allowOverlap="1" wp14:anchorId="2F31A3ED" wp14:editId="03358B13">
              <wp:simplePos x="0" y="0"/>
              <wp:positionH relativeFrom="page">
                <wp:posOffset>0</wp:posOffset>
              </wp:positionH>
              <wp:positionV relativeFrom="page">
                <wp:posOffset>10228580</wp:posOffset>
              </wp:positionV>
              <wp:extent cx="7560945" cy="273050"/>
              <wp:effectExtent l="0" t="0" r="0" b="12700"/>
              <wp:wrapNone/>
              <wp:docPr id="27782" name="Text Box 27782"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2E1167" w14:textId="006D44A2" w:rsidR="003C2FDB" w:rsidRPr="003C2FDB" w:rsidRDefault="003C2FDB"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2F31A3ED" id="Text Box 27782" o:spid="_x0000_s1045" type="#_x0000_t202" alt="{&quot;HashCode&quot;:-1267603503,&quot;Height&quot;:841.0,&quot;Width&quot;:595.0,&quot;Placement&quot;:&quot;Footer&quot;,&quot;Index&quot;:&quot;FirstPage&quot;,&quot;Section&quot;:5,&quot;Top&quot;:0.0,&quot;Left&quot;:0.0}" style="position:absolute;margin-left:0;margin-top:805.4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C2Kxm4HgIAAC0EAAAOAAAAAAAAAAAAAAAAAC4CAABkcnMvZTJvRG9jLnhtbFBL&#10;AQItABQABgAIAAAAIQADWoXq3wAAAAsBAAAPAAAAAAAAAAAAAAAAAHgEAABkcnMvZG93bnJldi54&#10;bWxQSwUGAAAAAAQABADzAAAAhAUAAAAA&#10;" o:allowincell="f" filled="f" stroked="f" strokeweight=".5pt">
              <v:textbox inset="20pt,0,,0">
                <w:txbxContent>
                  <w:p w14:paraId="562E1167" w14:textId="006D44A2" w:rsidR="003C2FDB" w:rsidRPr="003C2FDB" w:rsidRDefault="003C2FDB"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sidR="007E53BD">
      <w:rPr>
        <w:noProof/>
        <w:color w:val="808080" w:themeColor="background1" w:themeShade="80"/>
        <w:szCs w:val="15"/>
        <w:lang w:eastAsia="en-AU"/>
      </w:rPr>
      <mc:AlternateContent>
        <mc:Choice Requires="wps">
          <w:drawing>
            <wp:anchor distT="0" distB="0" distL="114300" distR="114300" simplePos="0" relativeHeight="251658248" behindDoc="0" locked="0" layoutInCell="0" allowOverlap="1" wp14:anchorId="198D09C7" wp14:editId="1E184FFD">
              <wp:simplePos x="0" y="0"/>
              <wp:positionH relativeFrom="page">
                <wp:posOffset>0</wp:posOffset>
              </wp:positionH>
              <wp:positionV relativeFrom="page">
                <wp:posOffset>10228580</wp:posOffset>
              </wp:positionV>
              <wp:extent cx="7560945" cy="273050"/>
              <wp:effectExtent l="0" t="0" r="0" b="12700"/>
              <wp:wrapNone/>
              <wp:docPr id="30" name="Text Box 30"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AE353F" w14:textId="0672B833" w:rsidR="007E53BD" w:rsidRPr="007E53BD" w:rsidRDefault="007E53BD"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198D09C7" id="Text Box 30" o:spid="_x0000_s1046" type="#_x0000_t202" alt="{&quot;HashCode&quot;:-1267603503,&quot;Height&quot;:841.0,&quot;Width&quot;:595.0,&quot;Placement&quot;:&quot;Footer&quot;,&quot;Index&quot;:&quot;FirstPage&quot;,&quot;Section&quot;:5,&quot;Top&quot;:0.0,&quot;Left&quot;:0.0}" style="position:absolute;margin-left:0;margin-top:805.4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CS8o3UHgIAAC0EAAAOAAAAAAAAAAAAAAAAAC4CAABkcnMvZTJvRG9jLnhtbFBL&#10;AQItABQABgAIAAAAIQADWoXq3wAAAAsBAAAPAAAAAAAAAAAAAAAAAHgEAABkcnMvZG93bnJldi54&#10;bWxQSwUGAAAAAAQABADzAAAAhAUAAAAA&#10;" o:allowincell="f" filled="f" stroked="f" strokeweight=".5pt">
              <v:textbox inset="20pt,0,,0">
                <w:txbxContent>
                  <w:p w14:paraId="50AE353F" w14:textId="0672B833" w:rsidR="007E53BD" w:rsidRPr="007E53BD" w:rsidRDefault="007E53BD"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sidR="006E4028">
      <w:rPr>
        <w:noProof/>
        <w:color w:val="808080" w:themeColor="background1" w:themeShade="80"/>
        <w:szCs w:val="15"/>
        <w:lang w:eastAsia="en-AU"/>
      </w:rPr>
      <mc:AlternateContent>
        <mc:Choice Requires="wps">
          <w:drawing>
            <wp:anchor distT="0" distB="0" distL="114300" distR="114300" simplePos="0" relativeHeight="251658245" behindDoc="0" locked="0" layoutInCell="0" allowOverlap="1" wp14:anchorId="42B4383D" wp14:editId="27E2EE36">
              <wp:simplePos x="0" y="0"/>
              <wp:positionH relativeFrom="page">
                <wp:posOffset>0</wp:posOffset>
              </wp:positionH>
              <wp:positionV relativeFrom="page">
                <wp:posOffset>10228580</wp:posOffset>
              </wp:positionV>
              <wp:extent cx="7560945" cy="273050"/>
              <wp:effectExtent l="0" t="0" r="0" b="12700"/>
              <wp:wrapNone/>
              <wp:docPr id="11" name="Text Box 11"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923244" w14:textId="154D1CB9" w:rsidR="006E4028" w:rsidRPr="006E4028" w:rsidRDefault="006E4028"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42B4383D" id="Text Box 11" o:spid="_x0000_s1047" type="#_x0000_t202" alt="{&quot;HashCode&quot;:-1267603503,&quot;Height&quot;:841.0,&quot;Width&quot;:595.0,&quot;Placement&quot;:&quot;Footer&quot;,&quot;Index&quot;:&quot;FirstPage&quot;,&quot;Section&quot;:5,&quot;Top&quot;:0.0,&quot;Left&quot;:0.0}" style="position:absolute;margin-left:0;margin-top:805.4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ABgbhpHgIAAC0EAAAOAAAAAAAAAAAAAAAAAC4CAABkcnMvZTJvRG9jLnhtbFBL&#10;AQItABQABgAIAAAAIQADWoXq3wAAAAsBAAAPAAAAAAAAAAAAAAAAAHgEAABkcnMvZG93bnJldi54&#10;bWxQSwUGAAAAAAQABADzAAAAhAUAAAAA&#10;" o:allowincell="f" filled="f" stroked="f" strokeweight=".5pt">
              <v:textbox inset="20pt,0,,0">
                <w:txbxContent>
                  <w:p w14:paraId="62923244" w14:textId="154D1CB9" w:rsidR="006E4028" w:rsidRPr="006E4028" w:rsidRDefault="006E4028"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1426728414"/>
        <w:dataBinding w:prefixMappings="xmlns:ns0='http://purl.org/dc/elements/1.1/' xmlns:ns1='http://schemas.openxmlformats.org/package/2006/metadata/core-properties' " w:xpath="/ns1:coreProperties[1]/ns0:title[1]" w:storeItemID="{6C3C8BC8-F283-45AE-878A-BAB7291924A1}"/>
        <w:text/>
      </w:sdtPr>
      <w:sdtContent>
        <w:r w:rsidR="005C29E1">
          <w:rPr>
            <w:color w:val="808080" w:themeColor="background1" w:themeShade="80"/>
            <w:szCs w:val="15"/>
            <w:lang w:eastAsia="en-AU"/>
          </w:rPr>
          <w:t>Building Reform: Paper Two</w:t>
        </w:r>
      </w:sdtContent>
    </w:sdt>
    <w:r w:rsidR="005C29E1">
      <w:rPr>
        <w:color w:val="808080" w:themeColor="background1" w:themeShade="80"/>
        <w:szCs w:val="15"/>
        <w:lang w:eastAsia="en-AU"/>
      </w:rPr>
      <w:t xml:space="preserve"> | Expert Panel on Building Reform</w:t>
    </w:r>
    <w:r w:rsidR="005C29E1" w:rsidRPr="00FD4AB1">
      <w:rPr>
        <w:rFonts w:ascii="Segoe UI Semibold" w:hAnsi="Segoe UI Semibold" w:cs="Segoe UI"/>
        <w:color w:val="A5A5A5"/>
      </w:rPr>
      <w:ptab w:relativeTo="margin" w:alignment="right" w:leader="none"/>
    </w:r>
    <w:r w:rsidR="005C29E1" w:rsidRPr="00FD4AB1">
      <w:rPr>
        <w:rFonts w:cs="Segoe UI"/>
        <w:color w:val="A5A5A5"/>
      </w:rPr>
      <w:t xml:space="preserve">| </w:t>
    </w:r>
    <w:r w:rsidR="001654BE" w:rsidRPr="001654BE">
      <w:rPr>
        <w:rFonts w:cs="Segoe UI"/>
        <w:color w:val="A5A5A5"/>
      </w:rPr>
      <w:fldChar w:fldCharType="begin"/>
    </w:r>
    <w:r w:rsidR="001654BE" w:rsidRPr="001654BE">
      <w:rPr>
        <w:rFonts w:cs="Segoe UI"/>
        <w:color w:val="A5A5A5"/>
      </w:rPr>
      <w:instrText xml:space="preserve"> PAGE   \* MERGEFORMAT </w:instrText>
    </w:r>
    <w:r w:rsidR="001654BE" w:rsidRPr="001654BE">
      <w:rPr>
        <w:rFonts w:cs="Segoe UI"/>
        <w:color w:val="A5A5A5"/>
      </w:rPr>
      <w:fldChar w:fldCharType="separate"/>
    </w:r>
    <w:r w:rsidR="001654BE" w:rsidRPr="001654BE">
      <w:rPr>
        <w:rFonts w:cs="Segoe UI"/>
        <w:noProof/>
        <w:color w:val="A5A5A5"/>
      </w:rPr>
      <w:t>1</w:t>
    </w:r>
    <w:r w:rsidR="001654BE" w:rsidRPr="001654BE">
      <w:rPr>
        <w:rFonts w:cs="Segoe UI"/>
        <w:noProof/>
        <w:color w:val="A5A5A5"/>
      </w:rPr>
      <w:fldChar w:fldCharType="end"/>
    </w:r>
    <w:r w:rsidR="001654BE">
      <w:rPr>
        <w:rFonts w:cs="Segoe UI"/>
        <w:noProof/>
        <w:color w:val="A5A5A5"/>
      </w:rPr>
      <w:t xml:space="preserve"> </w:t>
    </w:r>
    <w:r w:rsidR="005C29E1" w:rsidRPr="00FD4AB1">
      <w:rPr>
        <w:rFonts w:cs="Segoe UI"/>
        <w:color w:val="A5A5A5"/>
      </w:rPr>
      <w:t>|</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95A80" w14:textId="21F6102E" w:rsidR="0073715E" w:rsidRPr="005C29E1" w:rsidRDefault="0073715E" w:rsidP="005C29E1">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114300" distR="114300" simplePos="0" relativeHeight="251658387" behindDoc="0" locked="0" layoutInCell="0" allowOverlap="1" wp14:anchorId="1881C535" wp14:editId="45773A86">
              <wp:simplePos x="0" y="0"/>
              <wp:positionH relativeFrom="page">
                <wp:posOffset>0</wp:posOffset>
              </wp:positionH>
              <wp:positionV relativeFrom="page">
                <wp:posOffset>10228580</wp:posOffset>
              </wp:positionV>
              <wp:extent cx="7560945" cy="273050"/>
              <wp:effectExtent l="0" t="0" r="0" b="12700"/>
              <wp:wrapNone/>
              <wp:docPr id="27892" name="Text Box 27892"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E6F909"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881C535" id="_x0000_t202" coordsize="21600,21600" o:spt="202" path="m,l,21600r21600,l21600,xe">
              <v:stroke joinstyle="miter"/>
              <v:path gradientshapeok="t" o:connecttype="rect"/>
            </v:shapetype>
            <v:shape id="Text Box 27892" o:spid="_x0000_s1201" type="#_x0000_t202" alt="{&quot;HashCode&quot;:-1267603503,&quot;Height&quot;:841.0,&quot;Width&quot;:595.0,&quot;Placement&quot;:&quot;Footer&quot;,&quot;Index&quot;:&quot;FirstPage&quot;,&quot;Section&quot;:5,&quot;Top&quot;:0.0,&quot;Left&quot;:0.0}" style="position:absolute;margin-left:0;margin-top:805.4pt;width:595.35pt;height:21.5pt;z-index:2516583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AEhD1IHgIAAC4EAAAOAAAAAAAAAAAAAAAAAC4CAABkcnMvZTJvRG9jLnhtbFBL&#10;AQItABQABgAIAAAAIQADWoXq3wAAAAsBAAAPAAAAAAAAAAAAAAAAAHgEAABkcnMvZG93bnJldi54&#10;bWxQSwUGAAAAAAQABADzAAAAhAUAAAAA&#10;" o:allowincell="f" filled="f" stroked="f" strokeweight=".5pt">
              <v:textbox inset="20pt,0,,0">
                <w:txbxContent>
                  <w:p w14:paraId="5FE6F909"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86" behindDoc="0" locked="0" layoutInCell="0" allowOverlap="1" wp14:anchorId="0A0D1055" wp14:editId="323844B4">
              <wp:simplePos x="0" y="0"/>
              <wp:positionH relativeFrom="page">
                <wp:posOffset>0</wp:posOffset>
              </wp:positionH>
              <wp:positionV relativeFrom="page">
                <wp:posOffset>10228580</wp:posOffset>
              </wp:positionV>
              <wp:extent cx="7560945" cy="273050"/>
              <wp:effectExtent l="0" t="0" r="0" b="12700"/>
              <wp:wrapNone/>
              <wp:docPr id="27893" name="Text Box 27893"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A321AF"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0A0D1055" id="Text Box 27893" o:spid="_x0000_s1202" type="#_x0000_t202" alt="{&quot;HashCode&quot;:-1267603503,&quot;Height&quot;:841.0,&quot;Width&quot;:595.0,&quot;Placement&quot;:&quot;Footer&quot;,&quot;Index&quot;:&quot;FirstPage&quot;,&quot;Section&quot;:5,&quot;Top&quot;:0.0,&quot;Left&quot;:0.0}" style="position:absolute;margin-left:0;margin-top:805.4pt;width:595.35pt;height:21.5pt;z-index:25165838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" o:allowincell="f" filled="f" stroked="f" strokeweight=".5pt">
              <v:textbox inset="20pt,0,,0">
                <w:txbxContent>
                  <w:p w14:paraId="27A321AF"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85" behindDoc="0" locked="0" layoutInCell="0" allowOverlap="1" wp14:anchorId="33B06D3B" wp14:editId="125B40FC">
              <wp:simplePos x="0" y="0"/>
              <wp:positionH relativeFrom="page">
                <wp:posOffset>0</wp:posOffset>
              </wp:positionH>
              <wp:positionV relativeFrom="page">
                <wp:posOffset>10228580</wp:posOffset>
              </wp:positionV>
              <wp:extent cx="7560945" cy="273050"/>
              <wp:effectExtent l="0" t="0" r="0" b="12700"/>
              <wp:wrapNone/>
              <wp:docPr id="27894" name="Text Box 27894"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64863F"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33B06D3B" id="Text Box 27894" o:spid="_x0000_s1203" type="#_x0000_t202" alt="{&quot;HashCode&quot;:-1267603503,&quot;Height&quot;:841.0,&quot;Width&quot;:595.0,&quot;Placement&quot;:&quot;Footer&quot;,&quot;Index&quot;:&quot;FirstPage&quot;,&quot;Section&quot;:5,&quot;Top&quot;:0.0,&quot;Left&quot;:0.0}" style="position:absolute;margin-left:0;margin-top:805.4pt;width:595.35pt;height:21.5pt;z-index:25165838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" o:allowincell="f" filled="f" stroked="f" strokeweight=".5pt">
              <v:textbox inset="20pt,0,,0">
                <w:txbxContent>
                  <w:p w14:paraId="7264863F"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r>
      <w:rPr>
        <w:color w:val="808080" w:themeColor="background1" w:themeShade="80"/>
        <w:szCs w:val="15"/>
        <w:lang w:eastAsia="en-AU"/>
      </w:rPr>
      <w:t>19</w:t>
    </w:r>
    <w:sdt>
      <w:sdtPr>
        <w:rPr>
          <w:color w:val="808080" w:themeColor="background1" w:themeShade="80"/>
          <w:szCs w:val="15"/>
          <w:lang w:eastAsia="en-AU"/>
        </w:rPr>
        <w:alias w:val="Title"/>
        <w:id w:val="-1468276876"/>
        <w:dataBinding w:prefixMappings="xmlns:ns0='http://purl.org/dc/elements/1.1/' xmlns:ns1='http://schemas.openxmlformats.org/package/2006/metadata/core-properties' " w:xpath="/ns1:coreProperties[1]/ns0:title[1]" w:storeItemID="{6C3C8BC8-F283-45AE-878A-BAB7291924A1}"/>
        <w:text/>
      </w:sdtPr>
      <w:sdtContent>
        <w:r>
          <w:rPr>
            <w:color w:val="808080" w:themeColor="background1" w:themeShade="80"/>
            <w:szCs w:val="15"/>
            <w:lang w:eastAsia="en-AU"/>
          </w:rPr>
          <w:t>Building Reform: Paper Two</w:t>
        </w:r>
      </w:sdtContent>
    </w:sdt>
    <w:r>
      <w:rPr>
        <w:color w:val="808080" w:themeColor="background1" w:themeShade="80"/>
        <w:szCs w:val="15"/>
        <w:lang w:eastAsia="en-AU"/>
      </w:rPr>
      <w:t xml:space="preserve"> | Expert Panel on Building Reform</w:t>
    </w:r>
    <w:r w:rsidRPr="00FD4AB1">
      <w:rPr>
        <w:rFonts w:ascii="Segoe UI Semibold" w:hAnsi="Segoe UI Semibold" w:cs="Segoe UI"/>
        <w:color w:val="A5A5A5"/>
      </w:rPr>
      <w:ptab w:relativeTo="margin" w:alignment="right" w:leader="none"/>
    </w:r>
    <w:r w:rsidRPr="00FD4AB1">
      <w:rPr>
        <w:rFonts w:cs="Segoe UI"/>
        <w:color w:val="A5A5A5"/>
      </w:rPr>
      <w:t xml:space="preserve">| </w:t>
    </w:r>
    <w:r>
      <w:rPr>
        <w:rFonts w:cs="Segoe UI"/>
        <w:color w:val="A5A5A5"/>
      </w:rPr>
      <w:t>5</w:t>
    </w:r>
    <w:r w:rsidR="001A64FB">
      <w:rPr>
        <w:rFonts w:cs="Segoe UI"/>
        <w:color w:val="A5A5A5"/>
      </w:rPr>
      <w:t>5</w:t>
    </w:r>
    <w:r>
      <w:rPr>
        <w:rFonts w:cs="Segoe UI"/>
        <w:noProof/>
        <w:color w:val="A5A5A5"/>
      </w:rPr>
      <w:t xml:space="preserve"> </w:t>
    </w:r>
    <w:r w:rsidRPr="00FD4AB1">
      <w:rPr>
        <w:rFonts w:cs="Segoe UI"/>
        <w:color w:val="A5A5A5"/>
      </w:rPr>
      <w:t>|</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664B7" w14:textId="2F818F71" w:rsidR="0073715E" w:rsidRPr="005C29E1" w:rsidRDefault="0073715E" w:rsidP="005C29E1">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114300" distR="114300" simplePos="0" relativeHeight="251658390" behindDoc="0" locked="0" layoutInCell="0" allowOverlap="1" wp14:anchorId="33D2A8A2" wp14:editId="339C14E9">
              <wp:simplePos x="0" y="0"/>
              <wp:positionH relativeFrom="page">
                <wp:posOffset>0</wp:posOffset>
              </wp:positionH>
              <wp:positionV relativeFrom="page">
                <wp:posOffset>10228580</wp:posOffset>
              </wp:positionV>
              <wp:extent cx="7560945" cy="273050"/>
              <wp:effectExtent l="0" t="0" r="0" b="12700"/>
              <wp:wrapNone/>
              <wp:docPr id="27895" name="Text Box 27895"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7BE2F2"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3D2A8A2" id="_x0000_t202" coordsize="21600,21600" o:spt="202" path="m,l,21600r21600,l21600,xe">
              <v:stroke joinstyle="miter"/>
              <v:path gradientshapeok="t" o:connecttype="rect"/>
            </v:shapetype>
            <v:shape id="Text Box 27895" o:spid="_x0000_s1204" type="#_x0000_t202" alt="{&quot;HashCode&quot;:-1267603503,&quot;Height&quot;:841.0,&quot;Width&quot;:595.0,&quot;Placement&quot;:&quot;Footer&quot;,&quot;Index&quot;:&quot;FirstPage&quot;,&quot;Section&quot;:5,&quot;Top&quot;:0.0,&quot;Left&quot;:0.0}" style="position:absolute;margin-left:0;margin-top:805.4pt;width:595.35pt;height:21.5pt;z-index:25165839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" o:allowincell="f" filled="f" stroked="f" strokeweight=".5pt">
              <v:textbox inset="20pt,0,,0">
                <w:txbxContent>
                  <w:p w14:paraId="0A7BE2F2"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89" behindDoc="0" locked="0" layoutInCell="0" allowOverlap="1" wp14:anchorId="05DB021E" wp14:editId="3DECF9B6">
              <wp:simplePos x="0" y="0"/>
              <wp:positionH relativeFrom="page">
                <wp:posOffset>0</wp:posOffset>
              </wp:positionH>
              <wp:positionV relativeFrom="page">
                <wp:posOffset>10228580</wp:posOffset>
              </wp:positionV>
              <wp:extent cx="7560945" cy="273050"/>
              <wp:effectExtent l="0" t="0" r="0" b="12700"/>
              <wp:wrapNone/>
              <wp:docPr id="27896" name="Text Box 27896"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57EA65"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05DB021E" id="Text Box 27896" o:spid="_x0000_s1205" type="#_x0000_t202" alt="{&quot;HashCode&quot;:-1267603503,&quot;Height&quot;:841.0,&quot;Width&quot;:595.0,&quot;Placement&quot;:&quot;Footer&quot;,&quot;Index&quot;:&quot;FirstPage&quot;,&quot;Section&quot;:5,&quot;Top&quot;:0.0,&quot;Left&quot;:0.0}" style="position:absolute;margin-left:0;margin-top:805.4pt;width:595.35pt;height:21.5pt;z-index:25165838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" o:allowincell="f" filled="f" stroked="f" strokeweight=".5pt">
              <v:textbox inset="20pt,0,,0">
                <w:txbxContent>
                  <w:p w14:paraId="0E57EA65"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88" behindDoc="0" locked="0" layoutInCell="0" allowOverlap="1" wp14:anchorId="47349987" wp14:editId="47F2A4C9">
              <wp:simplePos x="0" y="0"/>
              <wp:positionH relativeFrom="page">
                <wp:posOffset>0</wp:posOffset>
              </wp:positionH>
              <wp:positionV relativeFrom="page">
                <wp:posOffset>10228580</wp:posOffset>
              </wp:positionV>
              <wp:extent cx="7560945" cy="273050"/>
              <wp:effectExtent l="0" t="0" r="0" b="12700"/>
              <wp:wrapNone/>
              <wp:docPr id="27897" name="Text Box 27897"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6C6A6C"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47349987" id="Text Box 27897" o:spid="_x0000_s1206" type="#_x0000_t202" alt="{&quot;HashCode&quot;:-1267603503,&quot;Height&quot;:841.0,&quot;Width&quot;:595.0,&quot;Placement&quot;:&quot;Footer&quot;,&quot;Index&quot;:&quot;FirstPage&quot;,&quot;Section&quot;:5,&quot;Top&quot;:0.0,&quot;Left&quot;:0.0}" style="position:absolute;margin-left:0;margin-top:805.4pt;width:595.35pt;height:21.5pt;z-index:2516583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" o:allowincell="f" filled="f" stroked="f" strokeweight=".5pt">
              <v:textbox inset="20pt,0,,0">
                <w:txbxContent>
                  <w:p w14:paraId="556C6A6C"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r>
      <w:rPr>
        <w:color w:val="808080" w:themeColor="background1" w:themeShade="80"/>
        <w:szCs w:val="15"/>
        <w:lang w:eastAsia="en-AU"/>
      </w:rPr>
      <w:t>19</w:t>
    </w:r>
    <w:sdt>
      <w:sdtPr>
        <w:rPr>
          <w:color w:val="808080" w:themeColor="background1" w:themeShade="80"/>
          <w:szCs w:val="15"/>
          <w:lang w:eastAsia="en-AU"/>
        </w:rPr>
        <w:alias w:val="Title"/>
        <w:id w:val="307371179"/>
        <w:dataBinding w:prefixMappings="xmlns:ns0='http://purl.org/dc/elements/1.1/' xmlns:ns1='http://schemas.openxmlformats.org/package/2006/metadata/core-properties' " w:xpath="/ns1:coreProperties[1]/ns0:title[1]" w:storeItemID="{6C3C8BC8-F283-45AE-878A-BAB7291924A1}"/>
        <w:text/>
      </w:sdtPr>
      <w:sdtContent>
        <w:r>
          <w:rPr>
            <w:color w:val="808080" w:themeColor="background1" w:themeShade="80"/>
            <w:szCs w:val="15"/>
            <w:lang w:eastAsia="en-AU"/>
          </w:rPr>
          <w:t>Building Reform: Paper Two</w:t>
        </w:r>
      </w:sdtContent>
    </w:sdt>
    <w:r>
      <w:rPr>
        <w:color w:val="808080" w:themeColor="background1" w:themeShade="80"/>
        <w:szCs w:val="15"/>
        <w:lang w:eastAsia="en-AU"/>
      </w:rPr>
      <w:t xml:space="preserve"> | Expert Panel on Building Reform</w:t>
    </w:r>
    <w:r w:rsidRPr="00FD4AB1">
      <w:rPr>
        <w:rFonts w:ascii="Segoe UI Semibold" w:hAnsi="Segoe UI Semibold" w:cs="Segoe UI"/>
        <w:color w:val="A5A5A5"/>
      </w:rPr>
      <w:ptab w:relativeTo="margin" w:alignment="right" w:leader="none"/>
    </w:r>
    <w:r w:rsidRPr="00FD4AB1">
      <w:rPr>
        <w:rFonts w:cs="Segoe UI"/>
        <w:color w:val="A5A5A5"/>
      </w:rPr>
      <w:t xml:space="preserve">| </w:t>
    </w:r>
    <w:r>
      <w:rPr>
        <w:rFonts w:cs="Segoe UI"/>
        <w:color w:val="A5A5A5"/>
      </w:rPr>
      <w:t>5</w:t>
    </w:r>
    <w:r w:rsidR="001A64FB">
      <w:rPr>
        <w:rFonts w:cs="Segoe UI"/>
        <w:color w:val="A5A5A5"/>
      </w:rPr>
      <w:t>6</w:t>
    </w:r>
    <w:r>
      <w:rPr>
        <w:rFonts w:cs="Segoe UI"/>
        <w:noProof/>
        <w:color w:val="A5A5A5"/>
      </w:rPr>
      <w:t xml:space="preserve"> </w:t>
    </w:r>
    <w:r w:rsidRPr="00FD4AB1">
      <w:rPr>
        <w:rFonts w:cs="Segoe UI"/>
        <w:color w:val="A5A5A5"/>
      </w:rPr>
      <w:t>|</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67E5E" w14:textId="13EBBB7E" w:rsidR="0073715E" w:rsidRPr="005C29E1" w:rsidRDefault="0073715E" w:rsidP="005C29E1">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114300" distR="114300" simplePos="0" relativeHeight="251658393" behindDoc="0" locked="0" layoutInCell="0" allowOverlap="1" wp14:anchorId="619ABBD5" wp14:editId="0824B280">
              <wp:simplePos x="0" y="0"/>
              <wp:positionH relativeFrom="page">
                <wp:posOffset>0</wp:posOffset>
              </wp:positionH>
              <wp:positionV relativeFrom="page">
                <wp:posOffset>10228580</wp:posOffset>
              </wp:positionV>
              <wp:extent cx="7560945" cy="273050"/>
              <wp:effectExtent l="0" t="0" r="0" b="12700"/>
              <wp:wrapNone/>
              <wp:docPr id="27898" name="Text Box 27898"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59ADB6"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19ABBD5" id="_x0000_t202" coordsize="21600,21600" o:spt="202" path="m,l,21600r21600,l21600,xe">
              <v:stroke joinstyle="miter"/>
              <v:path gradientshapeok="t" o:connecttype="rect"/>
            </v:shapetype>
            <v:shape id="Text Box 27898" o:spid="_x0000_s1207" type="#_x0000_t202" alt="{&quot;HashCode&quot;:-1267603503,&quot;Height&quot;:841.0,&quot;Width&quot;:595.0,&quot;Placement&quot;:&quot;Footer&quot;,&quot;Index&quot;:&quot;FirstPage&quot;,&quot;Section&quot;:5,&quot;Top&quot;:0.0,&quot;Left&quot;:0.0}" style="position:absolute;margin-left:0;margin-top:805.4pt;width:595.35pt;height:21.5pt;z-index:25165839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" o:allowincell="f" filled="f" stroked="f" strokeweight=".5pt">
              <v:textbox inset="20pt,0,,0">
                <w:txbxContent>
                  <w:p w14:paraId="1C59ADB6"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92" behindDoc="0" locked="0" layoutInCell="0" allowOverlap="1" wp14:anchorId="02E07CFE" wp14:editId="7927E15B">
              <wp:simplePos x="0" y="0"/>
              <wp:positionH relativeFrom="page">
                <wp:posOffset>0</wp:posOffset>
              </wp:positionH>
              <wp:positionV relativeFrom="page">
                <wp:posOffset>10228580</wp:posOffset>
              </wp:positionV>
              <wp:extent cx="7560945" cy="273050"/>
              <wp:effectExtent l="0" t="0" r="0" b="12700"/>
              <wp:wrapNone/>
              <wp:docPr id="27899" name="Text Box 27899"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920B68"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02E07CFE" id="Text Box 27899" o:spid="_x0000_s1208" type="#_x0000_t202" alt="{&quot;HashCode&quot;:-1267603503,&quot;Height&quot;:841.0,&quot;Width&quot;:595.0,&quot;Placement&quot;:&quot;Footer&quot;,&quot;Index&quot;:&quot;FirstPage&quot;,&quot;Section&quot;:5,&quot;Top&quot;:0.0,&quot;Left&quot;:0.0}" style="position:absolute;margin-left:0;margin-top:805.4pt;width:595.35pt;height:21.5pt;z-index:2516583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PhmfGgdAgAALgQAAA4AAAAAAAAAAAAAAAAALgIAAGRycy9lMm9Eb2MueG1sUEsB&#10;Ai0AFAAGAAgAAAAhAANaherfAAAACwEAAA8AAAAAAAAAAAAAAAAAdwQAAGRycy9kb3ducmV2Lnht&#10;bFBLBQYAAAAABAAEAPMAAACDBQAAAAA=&#10;" o:allowincell="f" filled="f" stroked="f" strokeweight=".5pt">
              <v:textbox inset="20pt,0,,0">
                <w:txbxContent>
                  <w:p w14:paraId="76920B68"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91" behindDoc="0" locked="0" layoutInCell="0" allowOverlap="1" wp14:anchorId="09FD4C09" wp14:editId="555AB5EF">
              <wp:simplePos x="0" y="0"/>
              <wp:positionH relativeFrom="page">
                <wp:posOffset>0</wp:posOffset>
              </wp:positionH>
              <wp:positionV relativeFrom="page">
                <wp:posOffset>10228580</wp:posOffset>
              </wp:positionV>
              <wp:extent cx="7560945" cy="273050"/>
              <wp:effectExtent l="0" t="0" r="0" b="12700"/>
              <wp:wrapNone/>
              <wp:docPr id="27900" name="Text Box 27900"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EF7FB4"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09FD4C09" id="Text Box 27900" o:spid="_x0000_s1209" type="#_x0000_t202" alt="{&quot;HashCode&quot;:-1267603503,&quot;Height&quot;:841.0,&quot;Width&quot;:595.0,&quot;Placement&quot;:&quot;Footer&quot;,&quot;Index&quot;:&quot;FirstPage&quot;,&quot;Section&quot;:5,&quot;Top&quot;:0.0,&quot;Left&quot;:0.0}" style="position:absolute;margin-left:0;margin-top:805.4pt;width:595.35pt;height:21.5pt;z-index:25165839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rFUnVHgIAAC4EAAAOAAAAAAAAAAAAAAAAAC4CAABkcnMvZTJvRG9jLnhtbFBL&#10;AQItABQABgAIAAAAIQADWoXq3wAAAAsBAAAPAAAAAAAAAAAAAAAAAHgEAABkcnMvZG93bnJldi54&#10;bWxQSwUGAAAAAAQABADzAAAAhAUAAAAA&#10;" o:allowincell="f" filled="f" stroked="f" strokeweight=".5pt">
              <v:textbox inset="20pt,0,,0">
                <w:txbxContent>
                  <w:p w14:paraId="51EF7FB4"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r>
      <w:rPr>
        <w:color w:val="808080" w:themeColor="background1" w:themeShade="80"/>
        <w:szCs w:val="15"/>
        <w:lang w:eastAsia="en-AU"/>
      </w:rPr>
      <w:t>19</w:t>
    </w:r>
    <w:sdt>
      <w:sdtPr>
        <w:rPr>
          <w:color w:val="808080" w:themeColor="background1" w:themeShade="80"/>
          <w:szCs w:val="15"/>
          <w:lang w:eastAsia="en-AU"/>
        </w:rPr>
        <w:alias w:val="Title"/>
        <w:id w:val="903499615"/>
        <w:dataBinding w:prefixMappings="xmlns:ns0='http://purl.org/dc/elements/1.1/' xmlns:ns1='http://schemas.openxmlformats.org/package/2006/metadata/core-properties' " w:xpath="/ns1:coreProperties[1]/ns0:title[1]" w:storeItemID="{6C3C8BC8-F283-45AE-878A-BAB7291924A1}"/>
        <w:text/>
      </w:sdtPr>
      <w:sdtContent>
        <w:r>
          <w:rPr>
            <w:color w:val="808080" w:themeColor="background1" w:themeShade="80"/>
            <w:szCs w:val="15"/>
            <w:lang w:eastAsia="en-AU"/>
          </w:rPr>
          <w:t>Building Reform: Paper Two</w:t>
        </w:r>
      </w:sdtContent>
    </w:sdt>
    <w:r>
      <w:rPr>
        <w:color w:val="808080" w:themeColor="background1" w:themeShade="80"/>
        <w:szCs w:val="15"/>
        <w:lang w:eastAsia="en-AU"/>
      </w:rPr>
      <w:t xml:space="preserve"> | Expert Panel on Building Reform</w:t>
    </w:r>
    <w:r w:rsidRPr="00FD4AB1">
      <w:rPr>
        <w:rFonts w:ascii="Segoe UI Semibold" w:hAnsi="Segoe UI Semibold" w:cs="Segoe UI"/>
        <w:color w:val="A5A5A5"/>
      </w:rPr>
      <w:ptab w:relativeTo="margin" w:alignment="right" w:leader="none"/>
    </w:r>
    <w:r w:rsidRPr="00FD4AB1">
      <w:rPr>
        <w:rFonts w:cs="Segoe UI"/>
        <w:color w:val="A5A5A5"/>
      </w:rPr>
      <w:t xml:space="preserve">| </w:t>
    </w:r>
    <w:r>
      <w:rPr>
        <w:rFonts w:cs="Segoe UI"/>
        <w:color w:val="A5A5A5"/>
      </w:rPr>
      <w:t>5</w:t>
    </w:r>
    <w:r w:rsidR="001A64FB">
      <w:rPr>
        <w:rFonts w:cs="Segoe UI"/>
        <w:color w:val="A5A5A5"/>
      </w:rPr>
      <w:t>7</w:t>
    </w:r>
    <w:r>
      <w:rPr>
        <w:rFonts w:cs="Segoe UI"/>
        <w:noProof/>
        <w:color w:val="A5A5A5"/>
      </w:rPr>
      <w:t xml:space="preserve"> </w:t>
    </w:r>
    <w:r w:rsidRPr="00FD4AB1">
      <w:rPr>
        <w:rFonts w:cs="Segoe UI"/>
        <w:color w:val="A5A5A5"/>
      </w:rPr>
      <w:t>|</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9DA18" w14:textId="7ECBF5A7" w:rsidR="003A4F7F" w:rsidRPr="00285FE4" w:rsidRDefault="0073715E">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0" relativeHeight="251658396" behindDoc="0" locked="0" layoutInCell="0" allowOverlap="1" wp14:anchorId="531B68D1" wp14:editId="5D90FBC8">
              <wp:simplePos x="0" y="0"/>
              <wp:positionH relativeFrom="page">
                <wp:posOffset>0</wp:posOffset>
              </wp:positionH>
              <wp:positionV relativeFrom="page">
                <wp:posOffset>10228580</wp:posOffset>
              </wp:positionV>
              <wp:extent cx="7560945" cy="273050"/>
              <wp:effectExtent l="0" t="0" r="0" b="12700"/>
              <wp:wrapNone/>
              <wp:docPr id="27928" name="Text Box 27928"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C98378"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31B68D1" id="_x0000_t202" coordsize="21600,21600" o:spt="202" path="m,l,21600r21600,l21600,xe">
              <v:stroke joinstyle="miter"/>
              <v:path gradientshapeok="t" o:connecttype="rect"/>
            </v:shapetype>
            <v:shape id="Text Box 27928" o:spid="_x0000_s1210" type="#_x0000_t202" alt="{&quot;HashCode&quot;:-1267603503,&quot;Height&quot;:841.0,&quot;Width&quot;:595.0,&quot;Placement&quot;:&quot;Footer&quot;,&quot;Index&quot;:&quot;Primary&quot;,&quot;Section&quot;:11,&quot;Top&quot;:0.0,&quot;Left&quot;:0.0}" style="position:absolute;margin-left:0;margin-top:805.4pt;width:595.35pt;height:21.5pt;z-index:2516583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" o:allowincell="f" filled="f" stroked="f" strokeweight=".5pt">
              <v:textbox inset="20pt,0,,0">
                <w:txbxContent>
                  <w:p w14:paraId="27C98378"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95" behindDoc="0" locked="0" layoutInCell="0" allowOverlap="1" wp14:anchorId="1E180A0A" wp14:editId="1B45E811">
              <wp:simplePos x="0" y="0"/>
              <wp:positionH relativeFrom="page">
                <wp:posOffset>0</wp:posOffset>
              </wp:positionH>
              <wp:positionV relativeFrom="page">
                <wp:posOffset>10228580</wp:posOffset>
              </wp:positionV>
              <wp:extent cx="7560945" cy="273050"/>
              <wp:effectExtent l="0" t="0" r="0" b="12700"/>
              <wp:wrapNone/>
              <wp:docPr id="27929" name="Text Box 27929"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56C196"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1E180A0A" id="Text Box 27929" o:spid="_x0000_s1211" type="#_x0000_t202" alt="{&quot;HashCode&quot;:-1267603503,&quot;Height&quot;:841.0,&quot;Width&quot;:595.0,&quot;Placement&quot;:&quot;Footer&quot;,&quot;Index&quot;:&quot;Primary&quot;,&quot;Section&quot;:11,&quot;Top&quot;:0.0,&quot;Left&quot;:0.0}" style="position:absolute;margin-left:0;margin-top:805.4pt;width:595.35pt;height:21.5pt;z-index:25165839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AM9FJ0HgIAAC4EAAAOAAAAAAAAAAAAAAAAAC4CAABkcnMvZTJvRG9jLnhtbFBL&#10;AQItABQABgAIAAAAIQADWoXq3wAAAAsBAAAPAAAAAAAAAAAAAAAAAHgEAABkcnMvZG93bnJldi54&#10;bWxQSwUGAAAAAAQABADzAAAAhAUAAAAA&#10;" o:allowincell="f" filled="f" stroked="f" strokeweight=".5pt">
              <v:textbox inset="20pt,0,,0">
                <w:txbxContent>
                  <w:p w14:paraId="4756C196"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94" behindDoc="0" locked="0" layoutInCell="0" allowOverlap="1" wp14:anchorId="63E4A41F" wp14:editId="55793232">
              <wp:simplePos x="0" y="0"/>
              <wp:positionH relativeFrom="page">
                <wp:posOffset>0</wp:posOffset>
              </wp:positionH>
              <wp:positionV relativeFrom="page">
                <wp:posOffset>10228580</wp:posOffset>
              </wp:positionV>
              <wp:extent cx="7560945" cy="273050"/>
              <wp:effectExtent l="0" t="0" r="0" b="12700"/>
              <wp:wrapNone/>
              <wp:docPr id="27930" name="Text Box 27930"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B735EF"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3E4A41F" id="Text Box 27930" o:spid="_x0000_s1212" type="#_x0000_t202" alt="{&quot;HashCode&quot;:-1267603503,&quot;Height&quot;:841.0,&quot;Width&quot;:595.0,&quot;Placement&quot;:&quot;Footer&quot;,&quot;Index&quot;:&quot;Primary&quot;,&quot;Section&quot;:11,&quot;Top&quot;:0.0,&quot;Left&quot;:0.0}" style="position:absolute;margin-left:0;margin-top:805.4pt;width:595.35pt;height:21.5pt;z-index:25165839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" o:allowincell="f" filled="f" stroked="f" strokeweight=".5pt">
              <v:textbox inset="20pt,0,,0">
                <w:txbxContent>
                  <w:p w14:paraId="41B735EF"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635455013"/>
        <w:dataBinding w:prefixMappings="xmlns:ns0='http://purl.org/dc/elements/1.1/' xmlns:ns1='http://schemas.openxmlformats.org/package/2006/metadata/core-properties' " w:xpath="/ns1:coreProperties[1]/ns0:title[1]" w:storeItemID="{6C3C8BC8-F283-45AE-878A-BAB7291924A1}"/>
        <w:text/>
      </w:sdtPr>
      <w:sdtContent>
        <w:r w:rsidRPr="00285FE4">
          <w:rPr>
            <w:color w:val="808080" w:themeColor="background1" w:themeShade="80"/>
            <w:szCs w:val="15"/>
            <w:lang w:eastAsia="en-AU"/>
          </w:rPr>
          <w:t>Building Reform: Paper Two</w:t>
        </w:r>
      </w:sdtContent>
    </w:sdt>
    <w:r w:rsidRPr="00285FE4">
      <w:rPr>
        <w:color w:val="808080" w:themeColor="background1" w:themeShade="80"/>
        <w:szCs w:val="15"/>
        <w:lang w:eastAsia="en-AU"/>
      </w:rPr>
      <w:t xml:space="preserve"> | Expert Panel on Building Reform</w:t>
    </w:r>
    <w:r w:rsidRPr="00285FE4">
      <w:rPr>
        <w:rFonts w:cs="Segoe UI"/>
        <w:color w:val="A5A5A5"/>
        <w:szCs w:val="15"/>
      </w:rPr>
      <w:ptab w:relativeTo="margin" w:alignment="right" w:leader="none"/>
    </w:r>
    <w:r w:rsidRPr="00285FE4">
      <w:rPr>
        <w:rFonts w:cs="Segoe UI"/>
        <w:color w:val="A5A5A5"/>
        <w:szCs w:val="15"/>
      </w:rPr>
      <w:t>|</w:t>
    </w:r>
    <w:r w:rsidRPr="00285FE4">
      <w:rPr>
        <w:rFonts w:cs="Segoe UI"/>
        <w:color w:val="808080" w:themeColor="background1" w:themeShade="80"/>
        <w:szCs w:val="15"/>
      </w:rPr>
      <w:t xml:space="preserve"> </w:t>
    </w:r>
    <w:r>
      <w:rPr>
        <w:rFonts w:cs="Segoe UI"/>
        <w:color w:val="808080" w:themeColor="background1" w:themeShade="80"/>
        <w:szCs w:val="15"/>
      </w:rPr>
      <w:t>5</w:t>
    </w:r>
    <w:r w:rsidR="001A64FB">
      <w:rPr>
        <w:rFonts w:cs="Segoe UI"/>
        <w:color w:val="808080" w:themeColor="background1" w:themeShade="80"/>
        <w:szCs w:val="15"/>
      </w:rPr>
      <w:t>8</w:t>
    </w:r>
    <w:r w:rsidRPr="00285FE4">
      <w:rPr>
        <w:rFonts w:cs="Segoe UI"/>
        <w:b/>
        <w:color w:val="808080" w:themeColor="background1" w:themeShade="80"/>
        <w:szCs w:val="15"/>
      </w:rPr>
      <w:t xml:space="preserve"> </w:t>
    </w:r>
    <w:r w:rsidRPr="00285FE4">
      <w:rPr>
        <w:rFonts w:cs="Segoe UI"/>
        <w:color w:val="A5A5A5"/>
        <w:szCs w:val="15"/>
      </w:rPr>
      <w:t>|</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A4732" w14:textId="77ABDFB1" w:rsidR="0073715E" w:rsidRPr="00285FE4" w:rsidRDefault="0073715E"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0" relativeHeight="251658402" behindDoc="0" locked="0" layoutInCell="0" allowOverlap="1" wp14:anchorId="70FA08ED" wp14:editId="43355C0B">
              <wp:simplePos x="0" y="0"/>
              <wp:positionH relativeFrom="page">
                <wp:posOffset>0</wp:posOffset>
              </wp:positionH>
              <wp:positionV relativeFrom="page">
                <wp:posOffset>10228580</wp:posOffset>
              </wp:positionV>
              <wp:extent cx="7560945" cy="273050"/>
              <wp:effectExtent l="0" t="0" r="0" b="12700"/>
              <wp:wrapNone/>
              <wp:docPr id="27907" name="Text Box 27907"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76876E"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0FA08ED" id="_x0000_t202" coordsize="21600,21600" o:spt="202" path="m,l,21600r21600,l21600,xe">
              <v:stroke joinstyle="miter"/>
              <v:path gradientshapeok="t" o:connecttype="rect"/>
            </v:shapetype>
            <v:shape id="Text Box 27907" o:spid="_x0000_s1213" type="#_x0000_t202" alt="{&quot;HashCode&quot;:-1267603503,&quot;Height&quot;:841.0,&quot;Width&quot;:595.0,&quot;Placement&quot;:&quot;Footer&quot;,&quot;Index&quot;:&quot;Primary&quot;,&quot;Section&quot;:11,&quot;Top&quot;:0.0,&quot;Left&quot;:0.0}" style="position:absolute;margin-left:0;margin-top:805.4pt;width:595.35pt;height:21.5pt;z-index:25165840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" o:allowincell="f" filled="f" stroked="f" strokeweight=".5pt">
              <v:textbox inset="20pt,0,,0">
                <w:txbxContent>
                  <w:p w14:paraId="0076876E"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401" behindDoc="0" locked="0" layoutInCell="0" allowOverlap="1" wp14:anchorId="7118E217" wp14:editId="62A69339">
              <wp:simplePos x="0" y="0"/>
              <wp:positionH relativeFrom="page">
                <wp:posOffset>0</wp:posOffset>
              </wp:positionH>
              <wp:positionV relativeFrom="page">
                <wp:posOffset>10228580</wp:posOffset>
              </wp:positionV>
              <wp:extent cx="7560945" cy="273050"/>
              <wp:effectExtent l="0" t="0" r="0" b="12700"/>
              <wp:wrapNone/>
              <wp:docPr id="27908" name="Text Box 27908"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3F30F5"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7118E217" id="Text Box 27908" o:spid="_x0000_s1214" type="#_x0000_t202" alt="{&quot;HashCode&quot;:-1267603503,&quot;Height&quot;:841.0,&quot;Width&quot;:595.0,&quot;Placement&quot;:&quot;Footer&quot;,&quot;Index&quot;:&quot;Primary&quot;,&quot;Section&quot;:11,&quot;Top&quot;:0.0,&quot;Left&quot;:0.0}" style="position:absolute;margin-left:0;margin-top:805.4pt;width:595.35pt;height:21.5pt;z-index:25165840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" o:allowincell="f" filled="f" stroked="f" strokeweight=".5pt">
              <v:textbox inset="20pt,0,,0">
                <w:txbxContent>
                  <w:p w14:paraId="5E3F30F5"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400" behindDoc="0" locked="0" layoutInCell="0" allowOverlap="1" wp14:anchorId="2B6AF01D" wp14:editId="408A4C6C">
              <wp:simplePos x="0" y="0"/>
              <wp:positionH relativeFrom="page">
                <wp:posOffset>0</wp:posOffset>
              </wp:positionH>
              <wp:positionV relativeFrom="page">
                <wp:posOffset>10228580</wp:posOffset>
              </wp:positionV>
              <wp:extent cx="7560945" cy="273050"/>
              <wp:effectExtent l="0" t="0" r="0" b="12700"/>
              <wp:wrapNone/>
              <wp:docPr id="27909" name="Text Box 27909"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8F029E"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2B6AF01D" id="Text Box 27909" o:spid="_x0000_s1215" type="#_x0000_t202" alt="{&quot;HashCode&quot;:-1267603503,&quot;Height&quot;:841.0,&quot;Width&quot;:595.0,&quot;Placement&quot;:&quot;Footer&quot;,&quot;Index&quot;:&quot;Primary&quot;,&quot;Section&quot;:11,&quot;Top&quot;:0.0,&quot;Left&quot;:0.0}" style="position:absolute;margin-left:0;margin-top:805.4pt;width:595.35pt;height:21.5pt;z-index:2516584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" o:allowincell="f" filled="f" stroked="f" strokeweight=".5pt">
              <v:textbox inset="20pt,0,,0">
                <w:txbxContent>
                  <w:p w14:paraId="518F029E"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1440208221"/>
        <w:dataBinding w:prefixMappings="xmlns:ns0='http://purl.org/dc/elements/1.1/' xmlns:ns1='http://schemas.openxmlformats.org/package/2006/metadata/core-properties' " w:xpath="/ns1:coreProperties[1]/ns0:title[1]" w:storeItemID="{6C3C8BC8-F283-45AE-878A-BAB7291924A1}"/>
        <w:text/>
      </w:sdtPr>
      <w:sdtContent>
        <w:r w:rsidRPr="00285FE4">
          <w:rPr>
            <w:color w:val="808080" w:themeColor="background1" w:themeShade="80"/>
            <w:szCs w:val="15"/>
            <w:lang w:eastAsia="en-AU"/>
          </w:rPr>
          <w:t>Building Reform: Paper Two</w:t>
        </w:r>
      </w:sdtContent>
    </w:sdt>
    <w:r w:rsidRPr="00285FE4">
      <w:rPr>
        <w:color w:val="808080" w:themeColor="background1" w:themeShade="80"/>
        <w:szCs w:val="15"/>
        <w:lang w:eastAsia="en-AU"/>
      </w:rPr>
      <w:t xml:space="preserve"> | Expert Panel on Building Reform</w:t>
    </w:r>
    <w:r w:rsidRPr="00285FE4">
      <w:rPr>
        <w:rFonts w:cs="Segoe UI"/>
        <w:color w:val="A5A5A5"/>
        <w:szCs w:val="15"/>
      </w:rPr>
      <w:ptab w:relativeTo="margin" w:alignment="right" w:leader="none"/>
    </w:r>
    <w:r w:rsidRPr="00285FE4">
      <w:rPr>
        <w:rFonts w:cs="Segoe UI"/>
        <w:color w:val="A5A5A5"/>
        <w:szCs w:val="15"/>
      </w:rPr>
      <w:t>|</w:t>
    </w:r>
    <w:r w:rsidRPr="00285FE4">
      <w:rPr>
        <w:rFonts w:cs="Segoe UI"/>
        <w:color w:val="808080" w:themeColor="background1" w:themeShade="80"/>
        <w:szCs w:val="15"/>
      </w:rPr>
      <w:t xml:space="preserve"> </w:t>
    </w:r>
    <w:r w:rsidR="001A64FB">
      <w:rPr>
        <w:rFonts w:cs="Segoe UI"/>
        <w:color w:val="808080" w:themeColor="background1" w:themeShade="80"/>
        <w:szCs w:val="15"/>
      </w:rPr>
      <w:t>61</w:t>
    </w:r>
    <w:r w:rsidRPr="00285FE4">
      <w:rPr>
        <w:rFonts w:cs="Segoe UI"/>
        <w:b/>
        <w:color w:val="808080" w:themeColor="background1" w:themeShade="80"/>
        <w:szCs w:val="15"/>
      </w:rPr>
      <w:t xml:space="preserve"> </w:t>
    </w:r>
    <w:r w:rsidRPr="00285FE4">
      <w:rPr>
        <w:rFonts w:cs="Segoe UI"/>
        <w:color w:val="A5A5A5"/>
        <w:szCs w:val="15"/>
      </w:rPr>
      <w:t>|</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404A6" w14:textId="61CC7EA2" w:rsidR="0073715E" w:rsidRPr="005C29E1" w:rsidRDefault="0073715E" w:rsidP="005C29E1">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114300" distR="114300" simplePos="0" relativeHeight="251658399" behindDoc="0" locked="0" layoutInCell="0" allowOverlap="1" wp14:anchorId="183318DE" wp14:editId="7B4DB7D7">
              <wp:simplePos x="0" y="0"/>
              <wp:positionH relativeFrom="page">
                <wp:posOffset>0</wp:posOffset>
              </wp:positionH>
              <wp:positionV relativeFrom="page">
                <wp:posOffset>10228580</wp:posOffset>
              </wp:positionV>
              <wp:extent cx="7560945" cy="273050"/>
              <wp:effectExtent l="0" t="0" r="0" b="12700"/>
              <wp:wrapNone/>
              <wp:docPr id="27904" name="Text Box 27904"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AD6C30"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83318DE" id="_x0000_t202" coordsize="21600,21600" o:spt="202" path="m,l,21600r21600,l21600,xe">
              <v:stroke joinstyle="miter"/>
              <v:path gradientshapeok="t" o:connecttype="rect"/>
            </v:shapetype>
            <v:shape id="Text Box 27904" o:spid="_x0000_s1216" type="#_x0000_t202" alt="{&quot;HashCode&quot;:-1267603503,&quot;Height&quot;:841.0,&quot;Width&quot;:595.0,&quot;Placement&quot;:&quot;Footer&quot;,&quot;Index&quot;:&quot;FirstPage&quot;,&quot;Section&quot;:5,&quot;Top&quot;:0.0,&quot;Left&quot;:0.0}" style="position:absolute;margin-left:0;margin-top:805.4pt;width:595.35pt;height:21.5pt;z-index:25165839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" o:allowincell="f" filled="f" stroked="f" strokeweight=".5pt">
              <v:textbox inset="20pt,0,,0">
                <w:txbxContent>
                  <w:p w14:paraId="41AD6C30"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98" behindDoc="0" locked="0" layoutInCell="0" allowOverlap="1" wp14:anchorId="6F929FF9" wp14:editId="671010CF">
              <wp:simplePos x="0" y="0"/>
              <wp:positionH relativeFrom="page">
                <wp:posOffset>0</wp:posOffset>
              </wp:positionH>
              <wp:positionV relativeFrom="page">
                <wp:posOffset>10228580</wp:posOffset>
              </wp:positionV>
              <wp:extent cx="7560945" cy="273050"/>
              <wp:effectExtent l="0" t="0" r="0" b="12700"/>
              <wp:wrapNone/>
              <wp:docPr id="27905" name="Text Box 27905"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5A9251"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F929FF9" id="Text Box 27905" o:spid="_x0000_s1217" type="#_x0000_t202" alt="{&quot;HashCode&quot;:-1267603503,&quot;Height&quot;:841.0,&quot;Width&quot;:595.0,&quot;Placement&quot;:&quot;Footer&quot;,&quot;Index&quot;:&quot;FirstPage&quot;,&quot;Section&quot;:5,&quot;Top&quot;:0.0,&quot;Left&quot;:0.0}" style="position:absolute;margin-left:0;margin-top:805.4pt;width:595.35pt;height:21.5pt;z-index:25165839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" o:allowincell="f" filled="f" stroked="f" strokeweight=".5pt">
              <v:textbox inset="20pt,0,,0">
                <w:txbxContent>
                  <w:p w14:paraId="175A9251"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397" behindDoc="0" locked="0" layoutInCell="0" allowOverlap="1" wp14:anchorId="6E61D10E" wp14:editId="399DE997">
              <wp:simplePos x="0" y="0"/>
              <wp:positionH relativeFrom="page">
                <wp:posOffset>0</wp:posOffset>
              </wp:positionH>
              <wp:positionV relativeFrom="page">
                <wp:posOffset>10228580</wp:posOffset>
              </wp:positionV>
              <wp:extent cx="7560945" cy="273050"/>
              <wp:effectExtent l="0" t="0" r="0" b="12700"/>
              <wp:wrapNone/>
              <wp:docPr id="27906" name="Text Box 27906"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CBDC01"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E61D10E" id="Text Box 27906" o:spid="_x0000_s1218" type="#_x0000_t202" alt="{&quot;HashCode&quot;:-1267603503,&quot;Height&quot;:841.0,&quot;Width&quot;:595.0,&quot;Placement&quot;:&quot;Footer&quot;,&quot;Index&quot;:&quot;FirstPage&quot;,&quot;Section&quot;:5,&quot;Top&quot;:0.0,&quot;Left&quot;:0.0}" style="position:absolute;margin-left:0;margin-top:805.4pt;width:595.35pt;height:21.5pt;z-index:25165839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HWRxwEdAgAALgQAAA4AAAAAAAAAAAAAAAAALgIAAGRycy9lMm9Eb2MueG1sUEsB&#10;Ai0AFAAGAAgAAAAhAANaherfAAAACwEAAA8AAAAAAAAAAAAAAAAAdwQAAGRycy9kb3ducmV2Lnht&#10;bFBLBQYAAAAABAAEAPMAAACDBQAAAAA=&#10;" o:allowincell="f" filled="f" stroked="f" strokeweight=".5pt">
              <v:textbox inset="20pt,0,,0">
                <w:txbxContent>
                  <w:p w14:paraId="43CBDC01"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r>
      <w:rPr>
        <w:color w:val="808080" w:themeColor="background1" w:themeShade="80"/>
        <w:szCs w:val="15"/>
        <w:lang w:eastAsia="en-AU"/>
      </w:rPr>
      <w:t>19</w:t>
    </w:r>
    <w:sdt>
      <w:sdtPr>
        <w:rPr>
          <w:color w:val="808080" w:themeColor="background1" w:themeShade="80"/>
          <w:szCs w:val="15"/>
          <w:lang w:eastAsia="en-AU"/>
        </w:rPr>
        <w:alias w:val="Title"/>
        <w:id w:val="-935974153"/>
        <w:dataBinding w:prefixMappings="xmlns:ns0='http://purl.org/dc/elements/1.1/' xmlns:ns1='http://schemas.openxmlformats.org/package/2006/metadata/core-properties' " w:xpath="/ns1:coreProperties[1]/ns0:title[1]" w:storeItemID="{6C3C8BC8-F283-45AE-878A-BAB7291924A1}"/>
        <w:text/>
      </w:sdtPr>
      <w:sdtContent>
        <w:r>
          <w:rPr>
            <w:color w:val="808080" w:themeColor="background1" w:themeShade="80"/>
            <w:szCs w:val="15"/>
            <w:lang w:eastAsia="en-AU"/>
          </w:rPr>
          <w:t>Building Reform: Paper Two</w:t>
        </w:r>
      </w:sdtContent>
    </w:sdt>
    <w:r>
      <w:rPr>
        <w:color w:val="808080" w:themeColor="background1" w:themeShade="80"/>
        <w:szCs w:val="15"/>
        <w:lang w:eastAsia="en-AU"/>
      </w:rPr>
      <w:t xml:space="preserve"> | Expert Panel on Building Reform</w:t>
    </w:r>
    <w:r w:rsidRPr="00FD4AB1">
      <w:rPr>
        <w:rFonts w:ascii="Segoe UI Semibold" w:hAnsi="Segoe UI Semibold" w:cs="Segoe UI"/>
        <w:color w:val="A5A5A5"/>
      </w:rPr>
      <w:ptab w:relativeTo="margin" w:alignment="right" w:leader="none"/>
    </w:r>
    <w:r w:rsidRPr="00FD4AB1">
      <w:rPr>
        <w:rFonts w:cs="Segoe UI"/>
        <w:color w:val="A5A5A5"/>
      </w:rPr>
      <w:t xml:space="preserve">| </w:t>
    </w:r>
    <w:r w:rsidR="001A64FB">
      <w:rPr>
        <w:rFonts w:cs="Segoe UI"/>
        <w:color w:val="A5A5A5"/>
      </w:rPr>
      <w:t>60</w:t>
    </w:r>
    <w:r>
      <w:rPr>
        <w:rFonts w:cs="Segoe UI"/>
        <w:noProof/>
        <w:color w:val="A5A5A5"/>
      </w:rPr>
      <w:t xml:space="preserve"> </w:t>
    </w:r>
    <w:r w:rsidRPr="00FD4AB1">
      <w:rPr>
        <w:rFonts w:cs="Segoe UI"/>
        <w:color w:val="A5A5A5"/>
      </w:rPr>
      <w:t>|</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149A2" w14:textId="52C44BA1" w:rsidR="0073715E" w:rsidRPr="005C29E1" w:rsidRDefault="0073715E" w:rsidP="005C29E1">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114300" distR="114300" simplePos="0" relativeHeight="251658405" behindDoc="0" locked="0" layoutInCell="0" allowOverlap="1" wp14:anchorId="27229DAD" wp14:editId="7607B6CF">
              <wp:simplePos x="0" y="0"/>
              <wp:positionH relativeFrom="page">
                <wp:posOffset>0</wp:posOffset>
              </wp:positionH>
              <wp:positionV relativeFrom="page">
                <wp:posOffset>10228580</wp:posOffset>
              </wp:positionV>
              <wp:extent cx="7560945" cy="273050"/>
              <wp:effectExtent l="0" t="0" r="0" b="12700"/>
              <wp:wrapNone/>
              <wp:docPr id="27910" name="Text Box 27910"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DCEDE7"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7229DAD" id="_x0000_t202" coordsize="21600,21600" o:spt="202" path="m,l,21600r21600,l21600,xe">
              <v:stroke joinstyle="miter"/>
              <v:path gradientshapeok="t" o:connecttype="rect"/>
            </v:shapetype>
            <v:shape id="Text Box 27910" o:spid="_x0000_s1219" type="#_x0000_t202" alt="{&quot;HashCode&quot;:-1267603503,&quot;Height&quot;:841.0,&quot;Width&quot;:595.0,&quot;Placement&quot;:&quot;Footer&quot;,&quot;Index&quot;:&quot;FirstPage&quot;,&quot;Section&quot;:5,&quot;Top&quot;:0.0,&quot;Left&quot;:0.0}" style="position:absolute;margin-left:0;margin-top:805.4pt;width:595.35pt;height:21.5pt;z-index:25165840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m4vK8HgIAAC4EAAAOAAAAAAAAAAAAAAAAAC4CAABkcnMvZTJvRG9jLnhtbFBL&#10;AQItABQABgAIAAAAIQADWoXq3wAAAAsBAAAPAAAAAAAAAAAAAAAAAHgEAABkcnMvZG93bnJldi54&#10;bWxQSwUGAAAAAAQABADzAAAAhAUAAAAA&#10;" o:allowincell="f" filled="f" stroked="f" strokeweight=".5pt">
              <v:textbox inset="20pt,0,,0">
                <w:txbxContent>
                  <w:p w14:paraId="7CDCEDE7"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404" behindDoc="0" locked="0" layoutInCell="0" allowOverlap="1" wp14:anchorId="20FD0F8C" wp14:editId="274A3A83">
              <wp:simplePos x="0" y="0"/>
              <wp:positionH relativeFrom="page">
                <wp:posOffset>0</wp:posOffset>
              </wp:positionH>
              <wp:positionV relativeFrom="page">
                <wp:posOffset>10228580</wp:posOffset>
              </wp:positionV>
              <wp:extent cx="7560945" cy="273050"/>
              <wp:effectExtent l="0" t="0" r="0" b="12700"/>
              <wp:wrapNone/>
              <wp:docPr id="27911" name="Text Box 27911"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9479C6"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20FD0F8C" id="Text Box 27911" o:spid="_x0000_s1220" type="#_x0000_t202" alt="{&quot;HashCode&quot;:-1267603503,&quot;Height&quot;:841.0,&quot;Width&quot;:595.0,&quot;Placement&quot;:&quot;Footer&quot;,&quot;Index&quot;:&quot;FirstPage&quot;,&quot;Section&quot;:5,&quot;Top&quot;:0.0,&quot;Left&quot;:0.0}" style="position:absolute;margin-left:0;margin-top:805.4pt;width:595.35pt;height:21.5pt;z-index:2516584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AScNygHgIAAC4EAAAOAAAAAAAAAAAAAAAAAC4CAABkcnMvZTJvRG9jLnhtbFBL&#10;AQItABQABgAIAAAAIQADWoXq3wAAAAsBAAAPAAAAAAAAAAAAAAAAAHgEAABkcnMvZG93bnJldi54&#10;bWxQSwUGAAAAAAQABADzAAAAhAUAAAAA&#10;" o:allowincell="f" filled="f" stroked="f" strokeweight=".5pt">
              <v:textbox inset="20pt,0,,0">
                <w:txbxContent>
                  <w:p w14:paraId="039479C6"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403" behindDoc="0" locked="0" layoutInCell="0" allowOverlap="1" wp14:anchorId="65B38675" wp14:editId="333A32A9">
              <wp:simplePos x="0" y="0"/>
              <wp:positionH relativeFrom="page">
                <wp:posOffset>0</wp:posOffset>
              </wp:positionH>
              <wp:positionV relativeFrom="page">
                <wp:posOffset>10228580</wp:posOffset>
              </wp:positionV>
              <wp:extent cx="7560945" cy="273050"/>
              <wp:effectExtent l="0" t="0" r="0" b="12700"/>
              <wp:wrapNone/>
              <wp:docPr id="27912" name="Text Box 27912"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4CA4ED"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5B38675" id="Text Box 27912" o:spid="_x0000_s1221" type="#_x0000_t202" alt="{&quot;HashCode&quot;:-1267603503,&quot;Height&quot;:841.0,&quot;Width&quot;:595.0,&quot;Placement&quot;:&quot;Footer&quot;,&quot;Index&quot;:&quot;FirstPage&quot;,&quot;Section&quot;:5,&quot;Top&quot;:0.0,&quot;Left&quot;:0.0}" style="position:absolute;margin-left:0;margin-top:805.4pt;width:595.35pt;height:21.5pt;z-index:25165840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CBA+kdHgIAAC4EAAAOAAAAAAAAAAAAAAAAAC4CAABkcnMvZTJvRG9jLnhtbFBL&#10;AQItABQABgAIAAAAIQADWoXq3wAAAAsBAAAPAAAAAAAAAAAAAAAAAHgEAABkcnMvZG93bnJldi54&#10;bWxQSwUGAAAAAAQABADzAAAAhAUAAAAA&#10;" o:allowincell="f" filled="f" stroked="f" strokeweight=".5pt">
              <v:textbox inset="20pt,0,,0">
                <w:txbxContent>
                  <w:p w14:paraId="754CA4ED"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r>
      <w:rPr>
        <w:color w:val="808080" w:themeColor="background1" w:themeShade="80"/>
        <w:szCs w:val="15"/>
        <w:lang w:eastAsia="en-AU"/>
      </w:rPr>
      <w:t>19</w:t>
    </w:r>
    <w:sdt>
      <w:sdtPr>
        <w:rPr>
          <w:color w:val="808080" w:themeColor="background1" w:themeShade="80"/>
          <w:szCs w:val="15"/>
          <w:lang w:eastAsia="en-AU"/>
        </w:rPr>
        <w:alias w:val="Title"/>
        <w:id w:val="-622463353"/>
        <w:dataBinding w:prefixMappings="xmlns:ns0='http://purl.org/dc/elements/1.1/' xmlns:ns1='http://schemas.openxmlformats.org/package/2006/metadata/core-properties' " w:xpath="/ns1:coreProperties[1]/ns0:title[1]" w:storeItemID="{6C3C8BC8-F283-45AE-878A-BAB7291924A1}"/>
        <w:text/>
      </w:sdtPr>
      <w:sdtContent>
        <w:r>
          <w:rPr>
            <w:color w:val="808080" w:themeColor="background1" w:themeShade="80"/>
            <w:szCs w:val="15"/>
            <w:lang w:eastAsia="en-AU"/>
          </w:rPr>
          <w:t>Building Reform: Paper Two</w:t>
        </w:r>
      </w:sdtContent>
    </w:sdt>
    <w:r>
      <w:rPr>
        <w:color w:val="808080" w:themeColor="background1" w:themeShade="80"/>
        <w:szCs w:val="15"/>
        <w:lang w:eastAsia="en-AU"/>
      </w:rPr>
      <w:t xml:space="preserve"> | Expert Panel on Building Reform</w:t>
    </w:r>
    <w:r w:rsidRPr="00FD4AB1">
      <w:rPr>
        <w:rFonts w:ascii="Segoe UI Semibold" w:hAnsi="Segoe UI Semibold" w:cs="Segoe UI"/>
        <w:color w:val="A5A5A5"/>
      </w:rPr>
      <w:ptab w:relativeTo="margin" w:alignment="right" w:leader="none"/>
    </w:r>
    <w:r w:rsidRPr="00FD4AB1">
      <w:rPr>
        <w:rFonts w:cs="Segoe UI"/>
        <w:color w:val="A5A5A5"/>
      </w:rPr>
      <w:t xml:space="preserve">| </w:t>
    </w:r>
    <w:r>
      <w:rPr>
        <w:rFonts w:cs="Segoe UI"/>
        <w:color w:val="A5A5A5"/>
      </w:rPr>
      <w:t>6</w:t>
    </w:r>
    <w:r w:rsidR="001A64FB">
      <w:rPr>
        <w:rFonts w:cs="Segoe UI"/>
        <w:color w:val="A5A5A5"/>
      </w:rPr>
      <w:t>2</w:t>
    </w:r>
    <w:r>
      <w:rPr>
        <w:rFonts w:cs="Segoe UI"/>
        <w:noProof/>
        <w:color w:val="A5A5A5"/>
      </w:rPr>
      <w:t xml:space="preserve"> </w:t>
    </w:r>
    <w:r w:rsidRPr="00FD4AB1">
      <w:rPr>
        <w:rFonts w:cs="Segoe UI"/>
        <w:color w:val="A5A5A5"/>
      </w:rPr>
      <w:t>|</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97400" w14:textId="21388D2D" w:rsidR="0073715E" w:rsidRPr="005C29E1" w:rsidRDefault="0073715E" w:rsidP="005C29E1">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114300" distR="114300" simplePos="0" relativeHeight="251658408" behindDoc="0" locked="0" layoutInCell="0" allowOverlap="1" wp14:anchorId="573425B3" wp14:editId="06972E0E">
              <wp:simplePos x="0" y="0"/>
              <wp:positionH relativeFrom="page">
                <wp:posOffset>0</wp:posOffset>
              </wp:positionH>
              <wp:positionV relativeFrom="page">
                <wp:posOffset>10228580</wp:posOffset>
              </wp:positionV>
              <wp:extent cx="7560945" cy="273050"/>
              <wp:effectExtent l="0" t="0" r="0" b="12700"/>
              <wp:wrapNone/>
              <wp:docPr id="27913" name="Text Box 27913"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0815C5"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73425B3" id="_x0000_t202" coordsize="21600,21600" o:spt="202" path="m,l,21600r21600,l21600,xe">
              <v:stroke joinstyle="miter"/>
              <v:path gradientshapeok="t" o:connecttype="rect"/>
            </v:shapetype>
            <v:shape id="Text Box 27913" o:spid="_x0000_s1222" type="#_x0000_t202" alt="{&quot;HashCode&quot;:-1267603503,&quot;Height&quot;:841.0,&quot;Width&quot;:595.0,&quot;Placement&quot;:&quot;Footer&quot;,&quot;Index&quot;:&quot;FirstPage&quot;,&quot;Section&quot;:5,&quot;Top&quot;:0.0,&quot;Left&quot;:0.0}" style="position:absolute;margin-left:0;margin-top:805.4pt;width:595.35pt;height:21.5pt;z-index:251658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6VYGYHgIAAC4EAAAOAAAAAAAAAAAAAAAAAC4CAABkcnMvZTJvRG9jLnhtbFBL&#10;AQItABQABgAIAAAAIQADWoXq3wAAAAsBAAAPAAAAAAAAAAAAAAAAAHgEAABkcnMvZG93bnJldi54&#10;bWxQSwUGAAAAAAQABADzAAAAhAUAAAAA&#10;" o:allowincell="f" filled="f" stroked="f" strokeweight=".5pt">
              <v:textbox inset="20pt,0,,0">
                <w:txbxContent>
                  <w:p w14:paraId="6C0815C5"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407" behindDoc="0" locked="0" layoutInCell="0" allowOverlap="1" wp14:anchorId="70CE8362" wp14:editId="3D933E90">
              <wp:simplePos x="0" y="0"/>
              <wp:positionH relativeFrom="page">
                <wp:posOffset>0</wp:posOffset>
              </wp:positionH>
              <wp:positionV relativeFrom="page">
                <wp:posOffset>10228580</wp:posOffset>
              </wp:positionV>
              <wp:extent cx="7560945" cy="273050"/>
              <wp:effectExtent l="0" t="0" r="0" b="12700"/>
              <wp:wrapNone/>
              <wp:docPr id="27914" name="Text Box 27914"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4B2447"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70CE8362" id="Text Box 27914" o:spid="_x0000_s1223" type="#_x0000_t202" alt="{&quot;HashCode&quot;:-1267603503,&quot;Height&quot;:841.0,&quot;Width&quot;:595.0,&quot;Placement&quot;:&quot;Footer&quot;,&quot;Index&quot;:&quot;FirstPage&quot;,&quot;Section&quot;:5,&quot;Top&quot;:0.0,&quot;Left&quot;:0.0}" style="position:absolute;margin-left:0;margin-top:805.4pt;width:595.35pt;height:21.5pt;z-index:25165840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pJrQlHgIAAC4EAAAOAAAAAAAAAAAAAAAAAC4CAABkcnMvZTJvRG9jLnhtbFBL&#10;AQItABQABgAIAAAAIQADWoXq3wAAAAsBAAAPAAAAAAAAAAAAAAAAAHgEAABkcnMvZG93bnJldi54&#10;bWxQSwUGAAAAAAQABADzAAAAhAUAAAAA&#10;" o:allowincell="f" filled="f" stroked="f" strokeweight=".5pt">
              <v:textbox inset="20pt,0,,0">
                <w:txbxContent>
                  <w:p w14:paraId="3E4B2447"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406" behindDoc="0" locked="0" layoutInCell="0" allowOverlap="1" wp14:anchorId="54D3ECCF" wp14:editId="61309A83">
              <wp:simplePos x="0" y="0"/>
              <wp:positionH relativeFrom="page">
                <wp:posOffset>0</wp:posOffset>
              </wp:positionH>
              <wp:positionV relativeFrom="page">
                <wp:posOffset>10228580</wp:posOffset>
              </wp:positionV>
              <wp:extent cx="7560945" cy="273050"/>
              <wp:effectExtent l="0" t="0" r="0" b="12700"/>
              <wp:wrapNone/>
              <wp:docPr id="27915" name="Text Box 27915"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97D0F6"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54D3ECCF" id="Text Box 27915" o:spid="_x0000_s1224" type="#_x0000_t202" alt="{&quot;HashCode&quot;:-1267603503,&quot;Height&quot;:841.0,&quot;Width&quot;:595.0,&quot;Placement&quot;:&quot;Footer&quot;,&quot;Index&quot;:&quot;FirstPage&quot;,&quot;Section&quot;:5,&quot;Top&quot;:0.0,&quot;Left&quot;:0.0}" style="position:absolute;margin-left:0;margin-top:805.4pt;width:595.35pt;height:21.5pt;z-index:25165840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CdtJo5HgIAAC4EAAAOAAAAAAAAAAAAAAAAAC4CAABkcnMvZTJvRG9jLnhtbFBL&#10;AQItABQABgAIAAAAIQADWoXq3wAAAAsBAAAPAAAAAAAAAAAAAAAAAHgEAABkcnMvZG93bnJldi54&#10;bWxQSwUGAAAAAAQABADzAAAAhAUAAAAA&#10;" o:allowincell="f" filled="f" stroked="f" strokeweight=".5pt">
              <v:textbox inset="20pt,0,,0">
                <w:txbxContent>
                  <w:p w14:paraId="2F97D0F6"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r>
      <w:rPr>
        <w:color w:val="808080" w:themeColor="background1" w:themeShade="80"/>
        <w:szCs w:val="15"/>
        <w:lang w:eastAsia="en-AU"/>
      </w:rPr>
      <w:t>19</w:t>
    </w:r>
    <w:sdt>
      <w:sdtPr>
        <w:rPr>
          <w:color w:val="808080" w:themeColor="background1" w:themeShade="80"/>
          <w:szCs w:val="15"/>
          <w:lang w:eastAsia="en-AU"/>
        </w:rPr>
        <w:alias w:val="Title"/>
        <w:id w:val="387619118"/>
        <w:dataBinding w:prefixMappings="xmlns:ns0='http://purl.org/dc/elements/1.1/' xmlns:ns1='http://schemas.openxmlformats.org/package/2006/metadata/core-properties' " w:xpath="/ns1:coreProperties[1]/ns0:title[1]" w:storeItemID="{6C3C8BC8-F283-45AE-878A-BAB7291924A1}"/>
        <w:text/>
      </w:sdtPr>
      <w:sdtContent>
        <w:r>
          <w:rPr>
            <w:color w:val="808080" w:themeColor="background1" w:themeShade="80"/>
            <w:szCs w:val="15"/>
            <w:lang w:eastAsia="en-AU"/>
          </w:rPr>
          <w:t>Building Reform: Paper Two</w:t>
        </w:r>
      </w:sdtContent>
    </w:sdt>
    <w:r>
      <w:rPr>
        <w:color w:val="808080" w:themeColor="background1" w:themeShade="80"/>
        <w:szCs w:val="15"/>
        <w:lang w:eastAsia="en-AU"/>
      </w:rPr>
      <w:t xml:space="preserve"> | Expert Panel on Building Reform</w:t>
    </w:r>
    <w:r w:rsidRPr="00FD4AB1">
      <w:rPr>
        <w:rFonts w:ascii="Segoe UI Semibold" w:hAnsi="Segoe UI Semibold" w:cs="Segoe UI"/>
        <w:color w:val="A5A5A5"/>
      </w:rPr>
      <w:ptab w:relativeTo="margin" w:alignment="right" w:leader="none"/>
    </w:r>
    <w:r w:rsidRPr="00FD4AB1">
      <w:rPr>
        <w:rFonts w:cs="Segoe UI"/>
        <w:color w:val="A5A5A5"/>
      </w:rPr>
      <w:t xml:space="preserve">| </w:t>
    </w:r>
    <w:r>
      <w:rPr>
        <w:rFonts w:cs="Segoe UI"/>
        <w:color w:val="A5A5A5"/>
      </w:rPr>
      <w:t>6</w:t>
    </w:r>
    <w:r w:rsidR="001A64FB">
      <w:rPr>
        <w:rFonts w:cs="Segoe UI"/>
        <w:color w:val="A5A5A5"/>
      </w:rPr>
      <w:t>3</w:t>
    </w:r>
    <w:r>
      <w:rPr>
        <w:rFonts w:cs="Segoe UI"/>
        <w:noProof/>
        <w:color w:val="A5A5A5"/>
      </w:rPr>
      <w:t xml:space="preserve"> </w:t>
    </w:r>
    <w:r w:rsidRPr="00FD4AB1">
      <w:rPr>
        <w:rFonts w:cs="Segoe UI"/>
        <w:color w:val="A5A5A5"/>
      </w:rPr>
      <w:t>|</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1CDA5" w14:textId="1ED21DA7" w:rsidR="0073715E" w:rsidRPr="00285FE4" w:rsidRDefault="0073715E"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0" relativeHeight="251658411" behindDoc="0" locked="0" layoutInCell="0" allowOverlap="1" wp14:anchorId="1F9AF70E" wp14:editId="17048BD6">
              <wp:simplePos x="0" y="0"/>
              <wp:positionH relativeFrom="page">
                <wp:posOffset>0</wp:posOffset>
              </wp:positionH>
              <wp:positionV relativeFrom="page">
                <wp:posOffset>10228580</wp:posOffset>
              </wp:positionV>
              <wp:extent cx="7560945" cy="273050"/>
              <wp:effectExtent l="0" t="0" r="0" b="12700"/>
              <wp:wrapNone/>
              <wp:docPr id="27916" name="Text Box 27916"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BF1FF4"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F9AF70E" id="_x0000_t202" coordsize="21600,21600" o:spt="202" path="m,l,21600r21600,l21600,xe">
              <v:stroke joinstyle="miter"/>
              <v:path gradientshapeok="t" o:connecttype="rect"/>
            </v:shapetype>
            <v:shape id="Text Box 27916" o:spid="_x0000_s1225" type="#_x0000_t202" alt="{&quot;HashCode&quot;:-1267603503,&quot;Height&quot;:841.0,&quot;Width&quot;:595.0,&quot;Placement&quot;:&quot;Footer&quot;,&quot;Index&quot;:&quot;Primary&quot;,&quot;Section&quot;:11,&quot;Top&quot;:0.0,&quot;Left&quot;:0.0}" style="position:absolute;margin-left:0;margin-top:805.4pt;width:595.35pt;height:21.5pt;z-index:25165841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" o:allowincell="f" filled="f" stroked="f" strokeweight=".5pt">
              <v:textbox inset="20pt,0,,0">
                <w:txbxContent>
                  <w:p w14:paraId="5EBF1FF4"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410" behindDoc="0" locked="0" layoutInCell="0" allowOverlap="1" wp14:anchorId="2475499D" wp14:editId="4295E0B4">
              <wp:simplePos x="0" y="0"/>
              <wp:positionH relativeFrom="page">
                <wp:posOffset>0</wp:posOffset>
              </wp:positionH>
              <wp:positionV relativeFrom="page">
                <wp:posOffset>10228580</wp:posOffset>
              </wp:positionV>
              <wp:extent cx="7560945" cy="273050"/>
              <wp:effectExtent l="0" t="0" r="0" b="12700"/>
              <wp:wrapNone/>
              <wp:docPr id="27917" name="Text Box 27917"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A940D6"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2475499D" id="Text Box 27917" o:spid="_x0000_s1226" type="#_x0000_t202" alt="{&quot;HashCode&quot;:-1267603503,&quot;Height&quot;:841.0,&quot;Width&quot;:595.0,&quot;Placement&quot;:&quot;Footer&quot;,&quot;Index&quot;:&quot;Primary&quot;,&quot;Section&quot;:11,&quot;Top&quot;:0.0,&quot;Left&quot;:0.0}" style="position:absolute;margin-left:0;margin-top:805.4pt;width:595.35pt;height:21.5pt;z-index:25165841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" o:allowincell="f" filled="f" stroked="f" strokeweight=".5pt">
              <v:textbox inset="20pt,0,,0">
                <w:txbxContent>
                  <w:p w14:paraId="75A940D6"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409" behindDoc="0" locked="0" layoutInCell="0" allowOverlap="1" wp14:anchorId="0ADA3CF9" wp14:editId="7161DF4A">
              <wp:simplePos x="0" y="0"/>
              <wp:positionH relativeFrom="page">
                <wp:posOffset>0</wp:posOffset>
              </wp:positionH>
              <wp:positionV relativeFrom="page">
                <wp:posOffset>10228580</wp:posOffset>
              </wp:positionV>
              <wp:extent cx="7560945" cy="273050"/>
              <wp:effectExtent l="0" t="0" r="0" b="12700"/>
              <wp:wrapNone/>
              <wp:docPr id="27918" name="Text Box 27918"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7B9FC3"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0ADA3CF9" id="Text Box 27918" o:spid="_x0000_s1227" type="#_x0000_t202" alt="{&quot;HashCode&quot;:-1267603503,&quot;Height&quot;:841.0,&quot;Width&quot;:595.0,&quot;Placement&quot;:&quot;Footer&quot;,&quot;Index&quot;:&quot;Primary&quot;,&quot;Section&quot;:11,&quot;Top&quot;:0.0,&quot;Left&quot;:0.0}" style="position:absolute;margin-left:0;margin-top:805.4pt;width:595.35pt;height:21.5pt;z-index:25165840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C5bQ5VHgIAAC4EAAAOAAAAAAAAAAAAAAAAAC4CAABkcnMvZTJvRG9jLnhtbFBL&#10;AQItABQABgAIAAAAIQADWoXq3wAAAAsBAAAPAAAAAAAAAAAAAAAAAHgEAABkcnMvZG93bnJldi54&#10;bWxQSwUGAAAAAAQABADzAAAAhAUAAAAA&#10;" o:allowincell="f" filled="f" stroked="f" strokeweight=".5pt">
              <v:textbox inset="20pt,0,,0">
                <w:txbxContent>
                  <w:p w14:paraId="417B9FC3"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1318491095"/>
        <w:dataBinding w:prefixMappings="xmlns:ns0='http://purl.org/dc/elements/1.1/' xmlns:ns1='http://schemas.openxmlformats.org/package/2006/metadata/core-properties' " w:xpath="/ns1:coreProperties[1]/ns0:title[1]" w:storeItemID="{6C3C8BC8-F283-45AE-878A-BAB7291924A1}"/>
        <w:text/>
      </w:sdtPr>
      <w:sdtContent>
        <w:r w:rsidRPr="00285FE4">
          <w:rPr>
            <w:color w:val="808080" w:themeColor="background1" w:themeShade="80"/>
            <w:szCs w:val="15"/>
            <w:lang w:eastAsia="en-AU"/>
          </w:rPr>
          <w:t>Building Reform: Paper Two</w:t>
        </w:r>
      </w:sdtContent>
    </w:sdt>
    <w:r w:rsidRPr="00285FE4">
      <w:rPr>
        <w:color w:val="808080" w:themeColor="background1" w:themeShade="80"/>
        <w:szCs w:val="15"/>
        <w:lang w:eastAsia="en-AU"/>
      </w:rPr>
      <w:t xml:space="preserve"> | Expert Panel on Building Reform</w:t>
    </w:r>
    <w:r w:rsidRPr="00285FE4">
      <w:rPr>
        <w:rFonts w:cs="Segoe UI"/>
        <w:color w:val="A5A5A5"/>
        <w:szCs w:val="15"/>
      </w:rPr>
      <w:ptab w:relativeTo="margin" w:alignment="right" w:leader="none"/>
    </w:r>
    <w:r w:rsidRPr="00285FE4">
      <w:rPr>
        <w:rFonts w:cs="Segoe UI"/>
        <w:color w:val="A5A5A5"/>
        <w:szCs w:val="15"/>
      </w:rPr>
      <w:t>|</w:t>
    </w:r>
    <w:r w:rsidRPr="00285FE4">
      <w:rPr>
        <w:rFonts w:cs="Segoe UI"/>
        <w:color w:val="808080" w:themeColor="background1" w:themeShade="80"/>
        <w:szCs w:val="15"/>
      </w:rPr>
      <w:t xml:space="preserve"> </w:t>
    </w:r>
    <w:r>
      <w:rPr>
        <w:rFonts w:cs="Segoe UI"/>
        <w:color w:val="808080" w:themeColor="background1" w:themeShade="80"/>
        <w:szCs w:val="15"/>
      </w:rPr>
      <w:t>6</w:t>
    </w:r>
    <w:r w:rsidR="001A64FB">
      <w:rPr>
        <w:rFonts w:cs="Segoe UI"/>
        <w:color w:val="808080" w:themeColor="background1" w:themeShade="80"/>
        <w:szCs w:val="15"/>
      </w:rPr>
      <w:t>4</w:t>
    </w:r>
    <w:r w:rsidRPr="00285FE4">
      <w:rPr>
        <w:rFonts w:cs="Segoe UI"/>
        <w:b/>
        <w:color w:val="808080" w:themeColor="background1" w:themeShade="80"/>
        <w:szCs w:val="15"/>
      </w:rPr>
      <w:t xml:space="preserve"> </w:t>
    </w:r>
    <w:r w:rsidRPr="00285FE4">
      <w:rPr>
        <w:rFonts w:cs="Segoe UI"/>
        <w:color w:val="A5A5A5"/>
        <w:szCs w:val="15"/>
      </w:rPr>
      <w:t>|</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198C5" w14:textId="02B4F0FE" w:rsidR="0073715E" w:rsidRPr="00285FE4" w:rsidRDefault="0073715E"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0" relativeHeight="251658414" behindDoc="0" locked="0" layoutInCell="0" allowOverlap="1" wp14:anchorId="28AEA199" wp14:editId="4E7A30DD">
              <wp:simplePos x="0" y="0"/>
              <wp:positionH relativeFrom="page">
                <wp:posOffset>0</wp:posOffset>
              </wp:positionH>
              <wp:positionV relativeFrom="page">
                <wp:posOffset>10228580</wp:posOffset>
              </wp:positionV>
              <wp:extent cx="7560945" cy="273050"/>
              <wp:effectExtent l="0" t="0" r="0" b="12700"/>
              <wp:wrapNone/>
              <wp:docPr id="27919" name="Text Box 27919"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2406AA"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8AEA199" id="_x0000_t202" coordsize="21600,21600" o:spt="202" path="m,l,21600r21600,l21600,xe">
              <v:stroke joinstyle="miter"/>
              <v:path gradientshapeok="t" o:connecttype="rect"/>
            </v:shapetype>
            <v:shape id="Text Box 27919" o:spid="_x0000_s1228" type="#_x0000_t202" alt="{&quot;HashCode&quot;:-1267603503,&quot;Height&quot;:841.0,&quot;Width&quot;:595.0,&quot;Placement&quot;:&quot;Footer&quot;,&quot;Index&quot;:&quot;Primary&quot;,&quot;Section&quot;:11,&quot;Top&quot;:0.0,&quot;Left&quot;:0.0}" style="position:absolute;margin-left:0;margin-top:805.4pt;width:595.35pt;height:21.5pt;z-index:25165841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O0ckP0dAgAALgQAAA4AAAAAAAAAAAAAAAAALgIAAGRycy9lMm9Eb2MueG1sUEsB&#10;Ai0AFAAGAAgAAAAhAANaherfAAAACwEAAA8AAAAAAAAAAAAAAAAAdwQAAGRycy9kb3ducmV2Lnht&#10;bFBLBQYAAAAABAAEAPMAAACDBQAAAAA=&#10;" o:allowincell="f" filled="f" stroked="f" strokeweight=".5pt">
              <v:textbox inset="20pt,0,,0">
                <w:txbxContent>
                  <w:p w14:paraId="302406AA"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413" behindDoc="0" locked="0" layoutInCell="0" allowOverlap="1" wp14:anchorId="40B176A9" wp14:editId="73220C34">
              <wp:simplePos x="0" y="0"/>
              <wp:positionH relativeFrom="page">
                <wp:posOffset>0</wp:posOffset>
              </wp:positionH>
              <wp:positionV relativeFrom="page">
                <wp:posOffset>10228580</wp:posOffset>
              </wp:positionV>
              <wp:extent cx="7560945" cy="273050"/>
              <wp:effectExtent l="0" t="0" r="0" b="12700"/>
              <wp:wrapNone/>
              <wp:docPr id="27920" name="Text Box 27920"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D373DA"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40B176A9" id="Text Box 27920" o:spid="_x0000_s1229" type="#_x0000_t202" alt="{&quot;HashCode&quot;:-1267603503,&quot;Height&quot;:841.0,&quot;Width&quot;:595.0,&quot;Placement&quot;:&quot;Footer&quot;,&quot;Index&quot;:&quot;Primary&quot;,&quot;Section&quot;:11,&quot;Top&quot;:0.0,&quot;Left&quot;:0.0}" style="position:absolute;margin-left:0;margin-top:805.4pt;width:595.35pt;height:21.5pt;z-index:25165841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b6VAHgIAAC4EAAAOAAAAAAAAAAAAAAAAAC4CAABkcnMvZTJvRG9jLnhtbFBL&#10;AQItABQABgAIAAAAIQADWoXq3wAAAAsBAAAPAAAAAAAAAAAAAAAAAHgEAABkcnMvZG93bnJldi54&#10;bWxQSwUGAAAAAAQABADzAAAAhAUAAAAA&#10;" o:allowincell="f" filled="f" stroked="f" strokeweight=".5pt">
              <v:textbox inset="20pt,0,,0">
                <w:txbxContent>
                  <w:p w14:paraId="07D373DA"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412" behindDoc="0" locked="0" layoutInCell="0" allowOverlap="1" wp14:anchorId="7C3B2CC9" wp14:editId="05320BA4">
              <wp:simplePos x="0" y="0"/>
              <wp:positionH relativeFrom="page">
                <wp:posOffset>0</wp:posOffset>
              </wp:positionH>
              <wp:positionV relativeFrom="page">
                <wp:posOffset>10228580</wp:posOffset>
              </wp:positionV>
              <wp:extent cx="7560945" cy="273050"/>
              <wp:effectExtent l="0" t="0" r="0" b="12700"/>
              <wp:wrapNone/>
              <wp:docPr id="27921" name="Text Box 27921"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8D88A4"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7C3B2CC9" id="Text Box 27921" o:spid="_x0000_s1230" type="#_x0000_t202" alt="{&quot;HashCode&quot;:-1267603503,&quot;Height&quot;:841.0,&quot;Width&quot;:595.0,&quot;Placement&quot;:&quot;Footer&quot;,&quot;Index&quot;:&quot;Primary&quot;,&quot;Section&quot;:11,&quot;Top&quot;:0.0,&quot;Left&quot;:0.0}" style="position:absolute;margin-left:0;margin-top:805.4pt;width:595.35pt;height:21.5pt;z-index:2516584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cHgIAAC4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T5ZNhkB9UJF3TQc+8tXyuc&#10;YsN8eGYOycadUMDhCQ+pAbvB2aKkBvfjb/6YjxxglJIWxVNS//3AnKBEfzXIzmQ2zfMot3RDwyXj&#10;djyd4mU3eM2huQcU5hjfiOXJjLlBD6Z00LyiwFexHYaY4di0pLvBvA+9lvGBcLFapSQUlmVhY7aW&#10;x9IRtgjuS/fKnD0zEJC7Rxj0xYp3RPS5PeCrQwCpEksR4h7OM/IoykTe+QFF1f96T1mXZ778CQ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CK/YtcHgIAAC4EAAAOAAAAAAAAAAAAAAAAAC4CAABkcnMvZTJvRG9jLnhtbFBL&#10;AQItABQABgAIAAAAIQADWoXq3wAAAAsBAAAPAAAAAAAAAAAAAAAAAHgEAABkcnMvZG93bnJldi54&#10;bWxQSwUGAAAAAAQABADzAAAAhAUAAAAA&#10;" o:allowincell="f" filled="f" stroked="f" strokeweight=".5pt">
              <v:textbox inset="20pt,0,,0">
                <w:txbxContent>
                  <w:p w14:paraId="448D88A4"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1161350056"/>
        <w:dataBinding w:prefixMappings="xmlns:ns0='http://purl.org/dc/elements/1.1/' xmlns:ns1='http://schemas.openxmlformats.org/package/2006/metadata/core-properties' " w:xpath="/ns1:coreProperties[1]/ns0:title[1]" w:storeItemID="{6C3C8BC8-F283-45AE-878A-BAB7291924A1}"/>
        <w:text/>
      </w:sdtPr>
      <w:sdtContent>
        <w:r w:rsidRPr="00285FE4">
          <w:rPr>
            <w:color w:val="808080" w:themeColor="background1" w:themeShade="80"/>
            <w:szCs w:val="15"/>
            <w:lang w:eastAsia="en-AU"/>
          </w:rPr>
          <w:t>Building Reform: Paper Two</w:t>
        </w:r>
      </w:sdtContent>
    </w:sdt>
    <w:r w:rsidRPr="00285FE4">
      <w:rPr>
        <w:color w:val="808080" w:themeColor="background1" w:themeShade="80"/>
        <w:szCs w:val="15"/>
        <w:lang w:eastAsia="en-AU"/>
      </w:rPr>
      <w:t xml:space="preserve"> | Expert Panel on Building Reform</w:t>
    </w:r>
    <w:r w:rsidRPr="00285FE4">
      <w:rPr>
        <w:rFonts w:cs="Segoe UI"/>
        <w:color w:val="A5A5A5"/>
        <w:szCs w:val="15"/>
      </w:rPr>
      <w:ptab w:relativeTo="margin" w:alignment="right" w:leader="none"/>
    </w:r>
    <w:r w:rsidRPr="00285FE4">
      <w:rPr>
        <w:rFonts w:cs="Segoe UI"/>
        <w:color w:val="A5A5A5"/>
        <w:szCs w:val="15"/>
      </w:rPr>
      <w:t>|</w:t>
    </w:r>
    <w:r w:rsidRPr="00285FE4">
      <w:rPr>
        <w:rFonts w:cs="Segoe UI"/>
        <w:color w:val="808080" w:themeColor="background1" w:themeShade="80"/>
        <w:szCs w:val="15"/>
      </w:rPr>
      <w:t xml:space="preserve"> </w:t>
    </w:r>
    <w:r>
      <w:rPr>
        <w:rFonts w:cs="Segoe UI"/>
        <w:color w:val="808080" w:themeColor="background1" w:themeShade="80"/>
        <w:szCs w:val="15"/>
      </w:rPr>
      <w:t>6</w:t>
    </w:r>
    <w:r w:rsidR="001A64FB">
      <w:rPr>
        <w:rFonts w:cs="Segoe UI"/>
        <w:color w:val="808080" w:themeColor="background1" w:themeShade="80"/>
        <w:szCs w:val="15"/>
      </w:rPr>
      <w:t>5</w:t>
    </w:r>
    <w:r w:rsidRPr="00285FE4">
      <w:rPr>
        <w:rFonts w:cs="Segoe UI"/>
        <w:b/>
        <w:color w:val="808080" w:themeColor="background1" w:themeShade="80"/>
        <w:szCs w:val="15"/>
      </w:rPr>
      <w:t xml:space="preserve"> </w:t>
    </w:r>
    <w:r w:rsidRPr="00285FE4">
      <w:rPr>
        <w:rFonts w:cs="Segoe UI"/>
        <w:color w:val="A5A5A5"/>
        <w:szCs w:val="15"/>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68590" w14:textId="40306834" w:rsidR="003A4F7F" w:rsidRPr="00FD4AB1" w:rsidRDefault="008E041E">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114300" distR="114300" simplePos="0" relativeHeight="251663568" behindDoc="0" locked="0" layoutInCell="0" allowOverlap="1" wp14:anchorId="1C1A6550" wp14:editId="6F5D1A44">
              <wp:simplePos x="0" y="0"/>
              <wp:positionH relativeFrom="page">
                <wp:posOffset>0</wp:posOffset>
              </wp:positionH>
              <wp:positionV relativeFrom="page">
                <wp:posOffset>10228580</wp:posOffset>
              </wp:positionV>
              <wp:extent cx="7560945" cy="273050"/>
              <wp:effectExtent l="0" t="0" r="0" b="12700"/>
              <wp:wrapNone/>
              <wp:docPr id="27979" name="MSIPCM0d80471a9cfc9f5c28bbbe2f" descr="{&quot;HashCode&quot;:-1267603503,&quot;Height&quot;:841.0,&quot;Width&quot;:595.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416F2E" w14:textId="0BDBF902" w:rsidR="008E041E" w:rsidRPr="008E041E" w:rsidRDefault="008E041E" w:rsidP="008E041E">
                          <w:pPr>
                            <w:spacing w:after="0"/>
                            <w:rPr>
                              <w:rFonts w:ascii="Calibri" w:hAnsi="Calibri" w:cs="Calibri"/>
                              <w:color w:val="000000"/>
                            </w:rPr>
                          </w:pPr>
                          <w:r w:rsidRPr="008E041E">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C1A6550" id="_x0000_t202" coordsize="21600,21600" o:spt="202" path="m,l,21600r21600,l21600,xe">
              <v:stroke joinstyle="miter"/>
              <v:path gradientshapeok="t" o:connecttype="rect"/>
            </v:shapetype>
            <v:shape id="MSIPCM0d80471a9cfc9f5c28bbbe2f" o:spid="_x0000_s1048" type="#_x0000_t202" alt="{&quot;HashCode&quot;:-1267603503,&quot;Height&quot;:841.0,&quot;Width&quot;:595.0,&quot;Placement&quot;:&quot;Footer&quot;,&quot;Index&quot;:&quot;Primary&quot;,&quot;Section&quot;:7,&quot;Top&quot;:0.0,&quot;Left&quot;:0.0}" style="position:absolute;margin-left:0;margin-top:805.4pt;width:595.35pt;height:21.5pt;z-index:25166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" o:allowincell="f" filled="f" stroked="f" strokeweight=".5pt">
              <v:textbox inset="20pt,0,,0">
                <w:txbxContent>
                  <w:p w14:paraId="23416F2E" w14:textId="0BDBF902" w:rsidR="008E041E" w:rsidRPr="008E041E" w:rsidRDefault="008E041E" w:rsidP="008E041E">
                    <w:pPr>
                      <w:spacing w:after="0"/>
                      <w:rPr>
                        <w:rFonts w:ascii="Calibri" w:hAnsi="Calibri" w:cs="Calibri"/>
                        <w:color w:val="000000"/>
                      </w:rPr>
                    </w:pPr>
                    <w:r w:rsidRPr="008E041E">
                      <w:rPr>
                        <w:rFonts w:ascii="Calibri" w:hAnsi="Calibri" w:cs="Calibri"/>
                        <w:color w:val="000000"/>
                      </w:rPr>
                      <w:t>OFFICIAL</w:t>
                    </w:r>
                  </w:p>
                </w:txbxContent>
              </v:textbox>
              <w10:wrap anchorx="page" anchory="page"/>
            </v:shape>
          </w:pict>
        </mc:Fallback>
      </mc:AlternateContent>
    </w:r>
    <w:r w:rsidR="000D6207">
      <w:rPr>
        <w:noProof/>
        <w:color w:val="808080" w:themeColor="background1" w:themeShade="80"/>
        <w:szCs w:val="15"/>
        <w:lang w:eastAsia="en-AU"/>
      </w:rPr>
      <mc:AlternateContent>
        <mc:Choice Requires="wps">
          <w:drawing>
            <wp:anchor distT="0" distB="0" distL="114300" distR="114300" simplePos="0" relativeHeight="251658431" behindDoc="0" locked="0" layoutInCell="0" allowOverlap="1" wp14:anchorId="0A04A94C" wp14:editId="1FFFEEAB">
              <wp:simplePos x="0" y="0"/>
              <wp:positionH relativeFrom="page">
                <wp:posOffset>0</wp:posOffset>
              </wp:positionH>
              <wp:positionV relativeFrom="page">
                <wp:posOffset>10228580</wp:posOffset>
              </wp:positionV>
              <wp:extent cx="7560945" cy="273050"/>
              <wp:effectExtent l="0" t="0" r="0" b="12700"/>
              <wp:wrapNone/>
              <wp:docPr id="15" name="Text Box 15" descr="{&quot;HashCode&quot;:-1267603503,&quot;Height&quot;:841.0,&quot;Width&quot;:595.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A40193" w14:textId="39BAB216" w:rsidR="000D6207" w:rsidRPr="000D6207" w:rsidRDefault="000D6207" w:rsidP="000D6207">
                          <w:pPr>
                            <w:spacing w:after="0"/>
                            <w:rPr>
                              <w:rFonts w:ascii="Calibri" w:hAnsi="Calibri" w:cs="Calibri"/>
                              <w:color w:val="000000"/>
                            </w:rPr>
                          </w:pPr>
                          <w:r w:rsidRPr="000D620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0A04A94C" id="Text Box 15" o:spid="_x0000_s1049" type="#_x0000_t202" alt="{&quot;HashCode&quot;:-1267603503,&quot;Height&quot;:841.0,&quot;Width&quot;:595.0,&quot;Placement&quot;:&quot;Footer&quot;,&quot;Index&quot;:&quot;Primary&quot;,&quot;Section&quot;:7,&quot;Top&quot;:0.0,&quot;Left&quot;:0.0}" style="position:absolute;margin-left:0;margin-top:805.4pt;width:595.35pt;height:21.5pt;z-index:25165843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MkWiDodAgAALQQAAA4AAAAAAAAAAAAAAAAALgIAAGRycy9lMm9Eb2MueG1sUEsB&#10;Ai0AFAAGAAgAAAAhAANaherfAAAACwEAAA8AAAAAAAAAAAAAAAAAdwQAAGRycy9kb3ducmV2Lnht&#10;bFBLBQYAAAAABAAEAPMAAACDBQAAAAA=&#10;" o:allowincell="f" filled="f" stroked="f" strokeweight=".5pt">
              <v:textbox inset="20pt,0,,0">
                <w:txbxContent>
                  <w:p w14:paraId="6EA40193" w14:textId="39BAB216" w:rsidR="000D6207" w:rsidRPr="000D6207" w:rsidRDefault="000D6207" w:rsidP="000D6207">
                    <w:pPr>
                      <w:spacing w:after="0"/>
                      <w:rPr>
                        <w:rFonts w:ascii="Calibri" w:hAnsi="Calibri" w:cs="Calibri"/>
                        <w:color w:val="000000"/>
                      </w:rPr>
                    </w:pPr>
                    <w:r w:rsidRPr="000D6207">
                      <w:rPr>
                        <w:rFonts w:ascii="Calibri" w:hAnsi="Calibri" w:cs="Calibri"/>
                        <w:color w:val="000000"/>
                      </w:rPr>
                      <w:t>OFFICIAL</w:t>
                    </w:r>
                  </w:p>
                </w:txbxContent>
              </v:textbox>
              <w10:wrap anchorx="page" anchory="page"/>
            </v:shape>
          </w:pict>
        </mc:Fallback>
      </mc:AlternateContent>
    </w:r>
    <w:r w:rsidR="004F44C0">
      <w:rPr>
        <w:noProof/>
        <w:color w:val="808080" w:themeColor="background1" w:themeShade="80"/>
        <w:szCs w:val="15"/>
        <w:lang w:eastAsia="en-AU"/>
      </w:rPr>
      <mc:AlternateContent>
        <mc:Choice Requires="wps">
          <w:drawing>
            <wp:anchor distT="0" distB="0" distL="114300" distR="114300" simplePos="0" relativeHeight="251658258" behindDoc="0" locked="0" layoutInCell="0" allowOverlap="1" wp14:anchorId="3841E19D" wp14:editId="527912C9">
              <wp:simplePos x="0" y="0"/>
              <wp:positionH relativeFrom="page">
                <wp:posOffset>0</wp:posOffset>
              </wp:positionH>
              <wp:positionV relativeFrom="page">
                <wp:posOffset>10228580</wp:posOffset>
              </wp:positionV>
              <wp:extent cx="7560945" cy="273050"/>
              <wp:effectExtent l="0" t="0" r="0" b="12700"/>
              <wp:wrapNone/>
              <wp:docPr id="44" name="Text Box 44" descr="{&quot;HashCode&quot;:-1267603503,&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91CCA6" w14:textId="77777777" w:rsidR="004F44C0" w:rsidRPr="003C2FDB" w:rsidRDefault="004F44C0"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3841E19D" id="Text Box 44" o:spid="_x0000_s1050" type="#_x0000_t202" alt="{&quot;HashCode&quot;:-1267603503,&quot;Height&quot;:841.0,&quot;Width&quot;:595.0,&quot;Placement&quot;:&quot;Footer&quot;,&quot;Index&quot;:&quot;Primary&quot;,&quot;Section&quot;:5,&quot;Top&quot;:0.0,&quot;Left&quot;:0.0}" style="position:absolute;margin-left:0;margin-top:805.4pt;width:595.3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KYmHgIAAC0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STYZEdVCfcz0FPvbd8rXCI&#10;DfPhmTnkGldC/YYnPKQGbAZni5Ia3I+/+WM+UoBRSlrUTkn99wNzghL91SA5k9k0z6Pa0g0Nl4zb&#10;8XSKl93gNYfmHlCXY3wilicz5gY9mNJB84r6XsV2GGKGY9OS7gbzPvRSxvfBxWqVklBXloWN2Voe&#10;S0fUIrYv3Stz9kxAQOoeYZAXK97x0Of2eK8OAaRKJEWEezjPwKMmE3fn9xNF/+s9ZV1e+fIn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A9hKYmHgIAAC0EAAAOAAAAAAAAAAAAAAAAAC4CAABkcnMvZTJvRG9jLnhtbFBL&#10;AQItABQABgAIAAAAIQADWoXq3wAAAAsBAAAPAAAAAAAAAAAAAAAAAHgEAABkcnMvZG93bnJldi54&#10;bWxQSwUGAAAAAAQABADzAAAAhAUAAAAA&#10;" o:allowincell="f" filled="f" stroked="f" strokeweight=".5pt">
              <v:textbox inset="20pt,0,,0">
                <w:txbxContent>
                  <w:p w14:paraId="2191CCA6" w14:textId="77777777" w:rsidR="004F44C0" w:rsidRPr="003C2FDB" w:rsidRDefault="004F44C0"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sidR="004F44C0">
      <w:rPr>
        <w:noProof/>
        <w:color w:val="808080" w:themeColor="background1" w:themeShade="80"/>
        <w:szCs w:val="15"/>
        <w:lang w:eastAsia="en-AU"/>
      </w:rPr>
      <mc:AlternateContent>
        <mc:Choice Requires="wps">
          <w:drawing>
            <wp:anchor distT="0" distB="0" distL="114300" distR="114300" simplePos="0" relativeHeight="251658257" behindDoc="0" locked="0" layoutInCell="0" allowOverlap="1" wp14:anchorId="09D27F31" wp14:editId="6B6629EE">
              <wp:simplePos x="0" y="0"/>
              <wp:positionH relativeFrom="page">
                <wp:posOffset>0</wp:posOffset>
              </wp:positionH>
              <wp:positionV relativeFrom="page">
                <wp:posOffset>10228580</wp:posOffset>
              </wp:positionV>
              <wp:extent cx="7560945" cy="273050"/>
              <wp:effectExtent l="0" t="0" r="0" b="12700"/>
              <wp:wrapNone/>
              <wp:docPr id="45" name="Text Box 45" descr="{&quot;HashCode&quot;:-1267603503,&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C0FCF1" w14:textId="77777777" w:rsidR="004F44C0" w:rsidRPr="007E53BD" w:rsidRDefault="004F44C0"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09D27F31" id="Text Box 45" o:spid="_x0000_s1051" type="#_x0000_t202" alt="{&quot;HashCode&quot;:-1267603503,&quot;Height&quot;:841.0,&quot;Width&quot;:595.0,&quot;Placement&quot;:&quot;Footer&quot;,&quot;Index&quot;:&quot;Primary&quot;,&quot;Section&quot;:5,&quot;Top&quot;:0.0,&quot;Left&quot;:0.0}" style="position:absolute;margin-left:0;margin-top:805.4pt;width:595.35pt;height:21.5pt;z-index:2516582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K73k5sdAgAALQQAAA4AAAAAAAAAAAAAAAAALgIAAGRycy9lMm9Eb2MueG1sUEsB&#10;Ai0AFAAGAAgAAAAhAANaherfAAAACwEAAA8AAAAAAAAAAAAAAAAAdwQAAGRycy9kb3ducmV2Lnht&#10;bFBLBQYAAAAABAAEAPMAAACDBQAAAAA=&#10;" o:allowincell="f" filled="f" stroked="f" strokeweight=".5pt">
              <v:textbox inset="20pt,0,,0">
                <w:txbxContent>
                  <w:p w14:paraId="3EC0FCF1" w14:textId="77777777" w:rsidR="004F44C0" w:rsidRPr="007E53BD" w:rsidRDefault="004F44C0"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sidR="004F44C0">
      <w:rPr>
        <w:noProof/>
        <w:color w:val="808080" w:themeColor="background1" w:themeShade="80"/>
        <w:szCs w:val="15"/>
        <w:lang w:eastAsia="en-AU"/>
      </w:rPr>
      <mc:AlternateContent>
        <mc:Choice Requires="wps">
          <w:drawing>
            <wp:anchor distT="0" distB="0" distL="114300" distR="114300" simplePos="0" relativeHeight="251658256" behindDoc="0" locked="0" layoutInCell="0" allowOverlap="1" wp14:anchorId="496372F7" wp14:editId="073E4FF7">
              <wp:simplePos x="0" y="0"/>
              <wp:positionH relativeFrom="page">
                <wp:posOffset>0</wp:posOffset>
              </wp:positionH>
              <wp:positionV relativeFrom="page">
                <wp:posOffset>10228580</wp:posOffset>
              </wp:positionV>
              <wp:extent cx="7560945" cy="273050"/>
              <wp:effectExtent l="0" t="0" r="0" b="12700"/>
              <wp:wrapNone/>
              <wp:docPr id="46" name="Text Box 46" descr="{&quot;HashCode&quot;:-1267603503,&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38BAFD" w14:textId="77777777" w:rsidR="004F44C0" w:rsidRPr="006E4028" w:rsidRDefault="004F44C0"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496372F7" id="Text Box 46" o:spid="_x0000_s1052" type="#_x0000_t202" alt="{&quot;HashCode&quot;:-1267603503,&quot;Height&quot;:841.0,&quot;Width&quot;:595.0,&quot;Placement&quot;:&quot;Footer&quot;,&quot;Index&quot;:&quot;Primary&quot;,&quot;Section&quot;:5,&quot;Top&quot;:0.0,&quot;Left&quot;:0.0}" style="position:absolute;margin-left:0;margin-top:805.4pt;width:595.35pt;height:21.5pt;z-index:251658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seHgIAAC0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TTYZEdVCfcz0FPvbd8rXCI&#10;DfPhmTnkGldC/YYnPKQGbAZni5Ia3I+/+WM+UoBRSlrUTkn99wNzghL91SA5k9k0z6Pa0g0Nl4zb&#10;8XSKl93gNYfmHlCXY3wilicz5gY9mNJB84r6XsV2GGKGY9OS7gbzPvRSxvfBxWqVklBXloWN2Voe&#10;S0fUIrYv3Stz9kxAQOoeYZAXK97x0Of2eK8OAaRKJEWEezjPwKMmE3fn9xNF/+s9ZV1e+fIn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VofseHgIAAC0EAAAOAAAAAAAAAAAAAAAAAC4CAABkcnMvZTJvRG9jLnhtbFBL&#10;AQItABQABgAIAAAAIQADWoXq3wAAAAsBAAAPAAAAAAAAAAAAAAAAAHgEAABkcnMvZG93bnJldi54&#10;bWxQSwUGAAAAAAQABADzAAAAhAUAAAAA&#10;" o:allowincell="f" filled="f" stroked="f" strokeweight=".5pt">
              <v:textbox inset="20pt,0,,0">
                <w:txbxContent>
                  <w:p w14:paraId="0238BAFD" w14:textId="77777777" w:rsidR="004F44C0" w:rsidRPr="006E4028" w:rsidRDefault="004F44C0"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614519681"/>
        <w:dataBinding w:prefixMappings="xmlns:ns0='http://purl.org/dc/elements/1.1/' xmlns:ns1='http://schemas.openxmlformats.org/package/2006/metadata/core-properties' " w:xpath="/ns1:coreProperties[1]/ns0:title[1]" w:storeItemID="{6C3C8BC8-F283-45AE-878A-BAB7291924A1}"/>
        <w:text/>
      </w:sdtPr>
      <w:sdtContent>
        <w:r w:rsidR="004F44C0">
          <w:rPr>
            <w:color w:val="808080" w:themeColor="background1" w:themeShade="80"/>
            <w:szCs w:val="15"/>
            <w:lang w:eastAsia="en-AU"/>
          </w:rPr>
          <w:t>Building Reform: Paper Two</w:t>
        </w:r>
      </w:sdtContent>
    </w:sdt>
    <w:r w:rsidR="004F44C0">
      <w:rPr>
        <w:color w:val="808080" w:themeColor="background1" w:themeShade="80"/>
        <w:szCs w:val="15"/>
        <w:lang w:eastAsia="en-AU"/>
      </w:rPr>
      <w:t xml:space="preserve"> | Expert Panel on Building Reform</w:t>
    </w:r>
    <w:r w:rsidR="004F44C0" w:rsidRPr="00FD4AB1">
      <w:rPr>
        <w:rFonts w:ascii="Segoe UI Semibold" w:hAnsi="Segoe UI Semibold" w:cs="Segoe UI"/>
        <w:color w:val="A5A5A5"/>
      </w:rPr>
      <w:ptab w:relativeTo="margin" w:alignment="right" w:leader="none"/>
    </w:r>
    <w:r w:rsidR="004F44C0" w:rsidRPr="00FD4AB1">
      <w:rPr>
        <w:rFonts w:cs="Segoe UI"/>
        <w:color w:val="A5A5A5"/>
      </w:rPr>
      <w:t xml:space="preserve">| </w:t>
    </w:r>
    <w:r w:rsidR="004F44C0">
      <w:rPr>
        <w:rFonts w:cs="Segoe UI"/>
        <w:noProof/>
        <w:color w:val="A5A5A5"/>
      </w:rPr>
      <w:t xml:space="preserve">9 </w:t>
    </w:r>
    <w:r w:rsidR="004F44C0" w:rsidRPr="00FD4AB1">
      <w:rPr>
        <w:rFonts w:cs="Segoe UI"/>
        <w:color w:val="A5A5A5"/>
      </w:rPr>
      <w:t>|</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3EE6A" w14:textId="16E39D75" w:rsidR="0073715E" w:rsidRPr="00285FE4" w:rsidRDefault="0073715E" w:rsidP="00FD4AB1">
    <w:pPr>
      <w:pStyle w:val="Footer"/>
      <w:rPr>
        <w:rFonts w:cs="Segoe UI"/>
        <w:b/>
        <w:szCs w:val="15"/>
      </w:rPr>
    </w:pPr>
    <w:r>
      <w:rPr>
        <w:noProof/>
        <w:color w:val="808080" w:themeColor="background1" w:themeShade="80"/>
        <w:szCs w:val="15"/>
        <w:lang w:eastAsia="en-AU"/>
      </w:rPr>
      <mc:AlternateContent>
        <mc:Choice Requires="wps">
          <w:drawing>
            <wp:anchor distT="0" distB="0" distL="114300" distR="114300" simplePos="0" relativeHeight="251658417" behindDoc="0" locked="0" layoutInCell="0" allowOverlap="1" wp14:anchorId="33EE2C47" wp14:editId="53257C7A">
              <wp:simplePos x="0" y="0"/>
              <wp:positionH relativeFrom="page">
                <wp:posOffset>0</wp:posOffset>
              </wp:positionH>
              <wp:positionV relativeFrom="page">
                <wp:posOffset>10228580</wp:posOffset>
              </wp:positionV>
              <wp:extent cx="7560945" cy="273050"/>
              <wp:effectExtent l="0" t="0" r="0" b="12700"/>
              <wp:wrapNone/>
              <wp:docPr id="27922" name="Text Box 27922"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F36A26"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3EE2C47" id="_x0000_t202" coordsize="21600,21600" o:spt="202" path="m,l,21600r21600,l21600,xe">
              <v:stroke joinstyle="miter"/>
              <v:path gradientshapeok="t" o:connecttype="rect"/>
            </v:shapetype>
            <v:shape id="Text Box 27922" o:spid="_x0000_s1231" type="#_x0000_t202" alt="{&quot;HashCode&quot;:-1267603503,&quot;Height&quot;:841.0,&quot;Width&quot;:595.0,&quot;Placement&quot;:&quot;Footer&quot;,&quot;Index&quot;:&quot;Primary&quot;,&quot;Section&quot;:11,&quot;Top&quot;:0.0,&quot;Left&quot;:0.0}" style="position:absolute;margin-left:0;margin-top:805.4pt;width:595.35pt;height:21.5pt;z-index:25165841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AZjr7hHgIAAC4EAAAOAAAAAAAAAAAAAAAAAC4CAABkcnMvZTJvRG9jLnhtbFBL&#10;AQItABQABgAIAAAAIQADWoXq3wAAAAsBAAAPAAAAAAAAAAAAAAAAAHgEAABkcnMvZG93bnJldi54&#10;bWxQSwUGAAAAAAQABADzAAAAhAUAAAAA&#10;" o:allowincell="f" filled="f" stroked="f" strokeweight=".5pt">
              <v:textbox inset="20pt,0,,0">
                <w:txbxContent>
                  <w:p w14:paraId="61F36A26"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416" behindDoc="0" locked="0" layoutInCell="0" allowOverlap="1" wp14:anchorId="6025489B" wp14:editId="115F5EEB">
              <wp:simplePos x="0" y="0"/>
              <wp:positionH relativeFrom="page">
                <wp:posOffset>0</wp:posOffset>
              </wp:positionH>
              <wp:positionV relativeFrom="page">
                <wp:posOffset>10228580</wp:posOffset>
              </wp:positionV>
              <wp:extent cx="7560945" cy="273050"/>
              <wp:effectExtent l="0" t="0" r="0" b="12700"/>
              <wp:wrapNone/>
              <wp:docPr id="27923" name="Text Box 27923"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D02584"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025489B" id="Text Box 27923" o:spid="_x0000_s1232" type="#_x0000_t202" alt="{&quot;HashCode&quot;:-1267603503,&quot;Height&quot;:841.0,&quot;Width&quot;:595.0,&quot;Placement&quot;:&quot;Footer&quot;,&quot;Index&quot;:&quot;Primary&quot;,&quot;Section&quot;:11,&quot;Top&quot;:0.0,&quot;Left&quot;:0.0}" style="position:absolute;margin-left:0;margin-top:805.4pt;width:595.35pt;height:21.5pt;z-index:2516584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NZkHgIAAC4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T5dNhkB9UJF3TQc+8tXyuc&#10;YsN8eGYOycadUMDhCQ+pAbvB2aKkBvfjb/6YjxxglJIWxVNS//3AnKBEfzXIzmQ2zfMot3RDwyXj&#10;djyd4mU3eM2huQcU5hjfiOXJjLlBD6Z00LyiwFexHYaY4di0pLvBvA+9lvGBcLFapSQUlmVhY7aW&#10;x9IRtgjuS/fKnD0zEJC7Rxj0xYp3RPS5PeCrQwCpEksR4h7OM/IoykTe+QFF1f96T1mXZ778CQ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i2NZkHgIAAC4EAAAOAAAAAAAAAAAAAAAAAC4CAABkcnMvZTJvRG9jLnhtbFBL&#10;AQItABQABgAIAAAAIQADWoXq3wAAAAsBAAAPAAAAAAAAAAAAAAAAAHgEAABkcnMvZG93bnJldi54&#10;bWxQSwUGAAAAAAQABADzAAAAhAUAAAAA&#10;" o:allowincell="f" filled="f" stroked="f" strokeweight=".5pt">
              <v:textbox inset="20pt,0,,0">
                <w:txbxContent>
                  <w:p w14:paraId="64D02584"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415" behindDoc="0" locked="0" layoutInCell="0" allowOverlap="1" wp14:anchorId="12C91379" wp14:editId="46FCC1FA">
              <wp:simplePos x="0" y="0"/>
              <wp:positionH relativeFrom="page">
                <wp:posOffset>0</wp:posOffset>
              </wp:positionH>
              <wp:positionV relativeFrom="page">
                <wp:posOffset>10228580</wp:posOffset>
              </wp:positionV>
              <wp:extent cx="7560945" cy="273050"/>
              <wp:effectExtent l="0" t="0" r="0" b="12700"/>
              <wp:wrapNone/>
              <wp:docPr id="27924" name="Text Box 27924" descr="{&quot;HashCode&quot;:-1267603503,&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EB3667"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12C91379" id="Text Box 27924" o:spid="_x0000_s1233" type="#_x0000_t202" alt="{&quot;HashCode&quot;:-1267603503,&quot;Height&quot;:841.0,&quot;Width&quot;:595.0,&quot;Placement&quot;:&quot;Footer&quot;,&quot;Index&quot;:&quot;Primary&quot;,&quot;Section&quot;:11,&quot;Top&quot;:0.0,&quot;Left&quot;:0.0}" style="position:absolute;margin-left:0;margin-top:805.4pt;width:595.35pt;height:21.5pt;z-index:25165841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ZHgIAAC4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T5bNhkB9UJF3TQc+8tXyuc&#10;YsN8eGYOycadUMDhCQ+pAbvB2aKkBvfjb/6YjxxglJIWxVNS//3AnKBEfzXIzmQ2zfMot3RDwyXj&#10;djyd4mU3eM2huQcU5hjfiOXJjLlBD6Z00LyiwFexHYaY4di0pLvBvA+9lvGBcLFapSQUlmVhY7aW&#10;x9IRtgjuS/fKnD0zEJC7Rxj0xYp3RPS5PeCrQwCpEksR4h7OM/IoykTe+QFF1f96T1mXZ778CQ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xq+PZHgIAAC4EAAAOAAAAAAAAAAAAAAAAAC4CAABkcnMvZTJvRG9jLnhtbFBL&#10;AQItABQABgAIAAAAIQADWoXq3wAAAAsBAAAPAAAAAAAAAAAAAAAAAHgEAABkcnMvZG93bnJldi54&#10;bWxQSwUGAAAAAAQABADzAAAAhAUAAAAA&#10;" o:allowincell="f" filled="f" stroked="f" strokeweight=".5pt">
              <v:textbox inset="20pt,0,,0">
                <w:txbxContent>
                  <w:p w14:paraId="3FEB3667"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1450816705"/>
        <w:dataBinding w:prefixMappings="xmlns:ns0='http://purl.org/dc/elements/1.1/' xmlns:ns1='http://schemas.openxmlformats.org/package/2006/metadata/core-properties' " w:xpath="/ns1:coreProperties[1]/ns0:title[1]" w:storeItemID="{6C3C8BC8-F283-45AE-878A-BAB7291924A1}"/>
        <w:text/>
      </w:sdtPr>
      <w:sdtContent>
        <w:r w:rsidRPr="00285FE4">
          <w:rPr>
            <w:color w:val="808080" w:themeColor="background1" w:themeShade="80"/>
            <w:szCs w:val="15"/>
            <w:lang w:eastAsia="en-AU"/>
          </w:rPr>
          <w:t>Building Reform: Paper Two</w:t>
        </w:r>
      </w:sdtContent>
    </w:sdt>
    <w:r w:rsidRPr="00285FE4">
      <w:rPr>
        <w:color w:val="808080" w:themeColor="background1" w:themeShade="80"/>
        <w:szCs w:val="15"/>
        <w:lang w:eastAsia="en-AU"/>
      </w:rPr>
      <w:t xml:space="preserve"> | Expert Panel on Building Reform</w:t>
    </w:r>
    <w:r w:rsidRPr="00285FE4">
      <w:rPr>
        <w:rFonts w:cs="Segoe UI"/>
        <w:color w:val="A5A5A5"/>
        <w:szCs w:val="15"/>
      </w:rPr>
      <w:ptab w:relativeTo="margin" w:alignment="right" w:leader="none"/>
    </w:r>
    <w:r w:rsidRPr="00285FE4">
      <w:rPr>
        <w:rFonts w:cs="Segoe UI"/>
        <w:color w:val="A5A5A5"/>
        <w:szCs w:val="15"/>
      </w:rPr>
      <w:t>|</w:t>
    </w:r>
    <w:r w:rsidRPr="00285FE4">
      <w:rPr>
        <w:rFonts w:cs="Segoe UI"/>
        <w:color w:val="808080" w:themeColor="background1" w:themeShade="80"/>
        <w:szCs w:val="15"/>
      </w:rPr>
      <w:t xml:space="preserve"> </w:t>
    </w:r>
    <w:r w:rsidR="009E5B89">
      <w:rPr>
        <w:rFonts w:cs="Segoe UI"/>
        <w:color w:val="808080" w:themeColor="background1" w:themeShade="80"/>
        <w:szCs w:val="15"/>
      </w:rPr>
      <w:t>6</w:t>
    </w:r>
    <w:r w:rsidR="001A64FB">
      <w:rPr>
        <w:rFonts w:cs="Segoe UI"/>
        <w:color w:val="808080" w:themeColor="background1" w:themeShade="80"/>
        <w:szCs w:val="15"/>
      </w:rPr>
      <w:t>6</w:t>
    </w:r>
    <w:r w:rsidRPr="00285FE4">
      <w:rPr>
        <w:rFonts w:cs="Segoe UI"/>
        <w:b/>
        <w:color w:val="808080" w:themeColor="background1" w:themeShade="80"/>
        <w:szCs w:val="15"/>
      </w:rPr>
      <w:t xml:space="preserve"> </w:t>
    </w:r>
    <w:r w:rsidRPr="00285FE4">
      <w:rPr>
        <w:rFonts w:cs="Segoe UI"/>
        <w:color w:val="A5A5A5"/>
        <w:szCs w:val="15"/>
      </w:rPr>
      <w:t>|</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797F" w14:textId="620F3D97" w:rsidR="003A4F7F" w:rsidRPr="005C29E1" w:rsidRDefault="0073715E">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114300" distR="114300" simplePos="0" relativeHeight="251658420" behindDoc="0" locked="0" layoutInCell="0" allowOverlap="1" wp14:anchorId="00FB57FB" wp14:editId="456AF77F">
              <wp:simplePos x="0" y="0"/>
              <wp:positionH relativeFrom="page">
                <wp:posOffset>0</wp:posOffset>
              </wp:positionH>
              <wp:positionV relativeFrom="page">
                <wp:posOffset>10228580</wp:posOffset>
              </wp:positionV>
              <wp:extent cx="7560945" cy="273050"/>
              <wp:effectExtent l="0" t="0" r="0" b="12700"/>
              <wp:wrapNone/>
              <wp:docPr id="27931" name="Text Box 27931"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A3A1DD"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0FB57FB" id="_x0000_t202" coordsize="21600,21600" o:spt="202" path="m,l,21600r21600,l21600,xe">
              <v:stroke joinstyle="miter"/>
              <v:path gradientshapeok="t" o:connecttype="rect"/>
            </v:shapetype>
            <v:shape id="Text Box 27931" o:spid="_x0000_s1234" type="#_x0000_t202" alt="{&quot;HashCode&quot;:-1267603503,&quot;Height&quot;:841.0,&quot;Width&quot;:595.0,&quot;Placement&quot;:&quot;Footer&quot;,&quot;Index&quot;:&quot;FirstPage&quot;,&quot;Section&quot;:5,&quot;Top&quot;:0.0,&quot;Left&quot;:0.0}" style="position:absolute;margin-left:0;margin-top:805.4pt;width:595.35pt;height:21.5pt;z-index:2516584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3FHgIAAC4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T5fNhkB9UJF3TQc+8tXyuc&#10;YsN8eGYOycadUMDhCQ+pAbvB2aKkBvfjb/6YjxxglJIWxVNS//3AnKBEfzXIzmQ2zfMot3RDwyXj&#10;djyd4mU3eM2huQcU5hjfiOXJjLlBD6Z00LyiwFexHYaY4di0pLvBvA+9lvGBcLFapSQUlmVhY7aW&#10;x9IRtgjuS/fKnD0zEJC7Rxj0xYp3RPS5PeCrQwCpEksR4h7OM/IoykTe+QFF1f96T1mXZ778CQ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AFOc3FHgIAAC4EAAAOAAAAAAAAAAAAAAAAAC4CAABkcnMvZTJvRG9jLnhtbFBL&#10;AQItABQABgAIAAAAIQADWoXq3wAAAAsBAAAPAAAAAAAAAAAAAAAAAHgEAABkcnMvZG93bnJldi54&#10;bWxQSwUGAAAAAAQABADzAAAAhAUAAAAA&#10;" o:allowincell="f" filled="f" stroked="f" strokeweight=".5pt">
              <v:textbox inset="20pt,0,,0">
                <w:txbxContent>
                  <w:p w14:paraId="74A3A1DD" w14:textId="77777777" w:rsidR="0073715E" w:rsidRPr="003C2FDB" w:rsidRDefault="0073715E"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419" behindDoc="0" locked="0" layoutInCell="0" allowOverlap="1" wp14:anchorId="33A5AFA3" wp14:editId="764FBFC0">
              <wp:simplePos x="0" y="0"/>
              <wp:positionH relativeFrom="page">
                <wp:posOffset>0</wp:posOffset>
              </wp:positionH>
              <wp:positionV relativeFrom="page">
                <wp:posOffset>10228580</wp:posOffset>
              </wp:positionV>
              <wp:extent cx="7560945" cy="273050"/>
              <wp:effectExtent l="0" t="0" r="0" b="12700"/>
              <wp:wrapNone/>
              <wp:docPr id="27932" name="Text Box 27932"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CB28D9"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33A5AFA3" id="Text Box 27932" o:spid="_x0000_s1235" type="#_x0000_t202" alt="{&quot;HashCode&quot;:-1267603503,&quot;Height&quot;:841.0,&quot;Width&quot;:595.0,&quot;Placement&quot;:&quot;Footer&quot;,&quot;Index&quot;:&quot;FirstPage&quot;,&quot;Section&quot;:5,&quot;Top&quot;:0.0,&quot;Left&quot;:0.0}" style="position:absolute;margin-left:0;margin-top:805.4pt;width:595.35pt;height:21.5pt;z-index:25165841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CWSvh4HgIAAC4EAAAOAAAAAAAAAAAAAAAAAC4CAABkcnMvZTJvRG9jLnhtbFBL&#10;AQItABQABgAIAAAAIQADWoXq3wAAAAsBAAAPAAAAAAAAAAAAAAAAAHgEAABkcnMvZG93bnJldi54&#10;bWxQSwUGAAAAAAQABADzAAAAhAUAAAAA&#10;" o:allowincell="f" filled="f" stroked="f" strokeweight=".5pt">
              <v:textbox inset="20pt,0,,0">
                <w:txbxContent>
                  <w:p w14:paraId="50CB28D9" w14:textId="77777777" w:rsidR="0073715E" w:rsidRPr="007E53BD" w:rsidRDefault="0073715E"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418" behindDoc="0" locked="0" layoutInCell="0" allowOverlap="1" wp14:anchorId="6C7C2A26" wp14:editId="7269E851">
              <wp:simplePos x="0" y="0"/>
              <wp:positionH relativeFrom="page">
                <wp:posOffset>0</wp:posOffset>
              </wp:positionH>
              <wp:positionV relativeFrom="page">
                <wp:posOffset>10228580</wp:posOffset>
              </wp:positionV>
              <wp:extent cx="7560945" cy="273050"/>
              <wp:effectExtent l="0" t="0" r="0" b="12700"/>
              <wp:wrapNone/>
              <wp:docPr id="27933" name="Text Box 27933"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FEAADD"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C7C2A26" id="Text Box 27933" o:spid="_x0000_s1236" type="#_x0000_t202" alt="{&quot;HashCode&quot;:-1267603503,&quot;Height&quot;:841.0,&quot;Width&quot;:595.0,&quot;Placement&quot;:&quot;Footer&quot;,&quot;Index&quot;:&quot;FirstPage&quot;,&quot;Section&quot;:5,&quot;Top&quot;:0.0,&quot;Left&quot;:0.0}" style="position:absolute;margin-left:0;margin-top:805.4pt;width:595.35pt;height:21.5pt;z-index:25165841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Cyk2wUHgIAAC4EAAAOAAAAAAAAAAAAAAAAAC4CAABkcnMvZTJvRG9jLnhtbFBL&#10;AQItABQABgAIAAAAIQADWoXq3wAAAAsBAAAPAAAAAAAAAAAAAAAAAHgEAABkcnMvZG93bnJldi54&#10;bWxQSwUGAAAAAAQABADzAAAAhAUAAAAA&#10;" o:allowincell="f" filled="f" stroked="f" strokeweight=".5pt">
              <v:textbox inset="20pt,0,,0">
                <w:txbxContent>
                  <w:p w14:paraId="7CFEAADD" w14:textId="77777777" w:rsidR="0073715E" w:rsidRPr="006E4028" w:rsidRDefault="0073715E"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498654992"/>
        <w:dataBinding w:prefixMappings="xmlns:ns0='http://purl.org/dc/elements/1.1/' xmlns:ns1='http://schemas.openxmlformats.org/package/2006/metadata/core-properties' " w:xpath="/ns1:coreProperties[1]/ns0:title[1]" w:storeItemID="{6C3C8BC8-F283-45AE-878A-BAB7291924A1}"/>
        <w:text/>
      </w:sdtPr>
      <w:sdtContent>
        <w:r>
          <w:rPr>
            <w:color w:val="808080" w:themeColor="background1" w:themeShade="80"/>
            <w:szCs w:val="15"/>
            <w:lang w:eastAsia="en-AU"/>
          </w:rPr>
          <w:t>Building Reform: Paper Two</w:t>
        </w:r>
      </w:sdtContent>
    </w:sdt>
    <w:r>
      <w:rPr>
        <w:color w:val="808080" w:themeColor="background1" w:themeShade="80"/>
        <w:szCs w:val="15"/>
        <w:lang w:eastAsia="en-AU"/>
      </w:rPr>
      <w:t xml:space="preserve"> | Expert Panel on Building Reform</w:t>
    </w:r>
    <w:r w:rsidRPr="00FD4AB1">
      <w:rPr>
        <w:rFonts w:ascii="Segoe UI Semibold" w:hAnsi="Segoe UI Semibold" w:cs="Segoe UI"/>
        <w:color w:val="A5A5A5"/>
      </w:rPr>
      <w:ptab w:relativeTo="margin" w:alignment="right" w:leader="none"/>
    </w:r>
    <w:r w:rsidRPr="00FD4AB1">
      <w:rPr>
        <w:rFonts w:cs="Segoe UI"/>
        <w:color w:val="A5A5A5"/>
      </w:rPr>
      <w:t xml:space="preserve">| </w:t>
    </w:r>
    <w:r>
      <w:rPr>
        <w:rFonts w:cs="Segoe UI"/>
        <w:color w:val="A5A5A5"/>
      </w:rPr>
      <w:t>6</w:t>
    </w:r>
    <w:r w:rsidR="001A64FB">
      <w:rPr>
        <w:rFonts w:cs="Segoe UI"/>
        <w:color w:val="A5A5A5"/>
      </w:rPr>
      <w:t>7</w:t>
    </w:r>
    <w:r>
      <w:rPr>
        <w:rFonts w:cs="Segoe UI"/>
        <w:noProof/>
        <w:color w:val="A5A5A5"/>
      </w:rPr>
      <w:t xml:space="preserve"> </w:t>
    </w:r>
    <w:r w:rsidRPr="00FD4AB1">
      <w:rPr>
        <w:rFonts w:cs="Segoe UI"/>
        <w:color w:val="A5A5A5"/>
      </w:rPr>
      <w:t>|</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FFE54" w14:textId="6EF84081" w:rsidR="002E018E" w:rsidRPr="00D27F75" w:rsidRDefault="002E018E" w:rsidP="00F8341D">
    <w:pPr>
      <w:pStyle w:val="Footer"/>
      <w:rPr>
        <w:rFonts w:ascii="Segoe UI Semibold" w:hAnsi="Segoe UI Semibold" w:cs="Segoe UI"/>
        <w:b/>
        <w:color w:val="BFBFBF" w:themeColor="background1" w:themeShade="BF"/>
      </w:rPr>
    </w:pPr>
    <w:r>
      <w:rPr>
        <w:noProof/>
        <w:color w:val="808080" w:themeColor="background1" w:themeShade="80"/>
        <w:szCs w:val="15"/>
        <w:lang w:eastAsia="en-AU"/>
      </w:rPr>
      <mc:AlternateContent>
        <mc:Choice Requires="wps">
          <w:drawing>
            <wp:anchor distT="0" distB="0" distL="114300" distR="114300" simplePos="0" relativeHeight="251658426" behindDoc="0" locked="0" layoutInCell="0" allowOverlap="1" wp14:anchorId="2B4BAC72" wp14:editId="11235D65">
              <wp:simplePos x="0" y="0"/>
              <wp:positionH relativeFrom="page">
                <wp:posOffset>0</wp:posOffset>
              </wp:positionH>
              <wp:positionV relativeFrom="page">
                <wp:posOffset>10228580</wp:posOffset>
              </wp:positionV>
              <wp:extent cx="7560945" cy="273050"/>
              <wp:effectExtent l="0" t="0" r="0" b="12700"/>
              <wp:wrapNone/>
              <wp:docPr id="27951" name="Text Box 27951"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3F608F" w14:textId="77777777" w:rsidR="002E018E" w:rsidRPr="003C2FDB" w:rsidRDefault="002E018E" w:rsidP="002E018E">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B4BAC72" id="_x0000_t202" coordsize="21600,21600" o:spt="202" path="m,l,21600r21600,l21600,xe">
              <v:stroke joinstyle="miter"/>
              <v:path gradientshapeok="t" o:connecttype="rect"/>
            </v:shapetype>
            <v:shape id="Text Box 27951" o:spid="_x0000_s1237" type="#_x0000_t202" alt="{&quot;HashCode&quot;:-1267603503,&quot;Height&quot;:841.0,&quot;Width&quot;:595.0,&quot;Placement&quot;:&quot;Footer&quot;,&quot;Index&quot;:&quot;FirstPage&quot;,&quot;Section&quot;:5,&quot;Top&quot;:0.0,&quot;Left&quot;:0.0}" style="position:absolute;margin-left:0;margin-top:805.4pt;width:595.35pt;height:21.5pt;z-index:25165842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Ah4FmpHgIAAC4EAAAOAAAAAAAAAAAAAAAAAC4CAABkcnMvZTJvRG9jLnhtbFBL&#10;AQItABQABgAIAAAAIQADWoXq3wAAAAsBAAAPAAAAAAAAAAAAAAAAAHgEAABkcnMvZG93bnJldi54&#10;bWxQSwUGAAAAAAQABADzAAAAhAUAAAAA&#10;" o:allowincell="f" filled="f" stroked="f" strokeweight=".5pt">
              <v:textbox inset="20pt,0,,0">
                <w:txbxContent>
                  <w:p w14:paraId="363F608F" w14:textId="77777777" w:rsidR="002E018E" w:rsidRPr="003C2FDB" w:rsidRDefault="002E018E" w:rsidP="002E018E">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425" behindDoc="0" locked="0" layoutInCell="0" allowOverlap="1" wp14:anchorId="14C2A637" wp14:editId="0A6F3A24">
              <wp:simplePos x="0" y="0"/>
              <wp:positionH relativeFrom="page">
                <wp:posOffset>0</wp:posOffset>
              </wp:positionH>
              <wp:positionV relativeFrom="page">
                <wp:posOffset>10228580</wp:posOffset>
              </wp:positionV>
              <wp:extent cx="7560945" cy="273050"/>
              <wp:effectExtent l="0" t="0" r="0" b="12700"/>
              <wp:wrapNone/>
              <wp:docPr id="27952" name="Text Box 27952"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681F9F" w14:textId="77777777" w:rsidR="002E018E" w:rsidRPr="007E53BD" w:rsidRDefault="002E018E" w:rsidP="002E018E">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14C2A637" id="Text Box 27952" o:spid="_x0000_s1238" type="#_x0000_t202" alt="{&quot;HashCode&quot;:-1267603503,&quot;Height&quot;:841.0,&quot;Width&quot;:595.0,&quot;Placement&quot;:&quot;Footer&quot;,&quot;Index&quot;:&quot;FirstPage&quot;,&quot;Section&quot;:5,&quot;Top&quot;:0.0,&quot;Left&quot;:0.0}" style="position:absolute;margin-left:0;margin-top:805.4pt;width:595.35pt;height:21.5pt;z-index:25165842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GDrK5QdAgAALgQAAA4AAAAAAAAAAAAAAAAALgIAAGRycy9lMm9Eb2MueG1sUEsB&#10;Ai0AFAAGAAgAAAAhAANaherfAAAACwEAAA8AAAAAAAAAAAAAAAAAdwQAAGRycy9kb3ducmV2Lnht&#10;bFBLBQYAAAAABAAEAPMAAACDBQAAAAA=&#10;" o:allowincell="f" filled="f" stroked="f" strokeweight=".5pt">
              <v:textbox inset="20pt,0,,0">
                <w:txbxContent>
                  <w:p w14:paraId="38681F9F" w14:textId="77777777" w:rsidR="002E018E" w:rsidRPr="007E53BD" w:rsidRDefault="002E018E" w:rsidP="002E018E">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424" behindDoc="0" locked="0" layoutInCell="0" allowOverlap="1" wp14:anchorId="6816265B" wp14:editId="34CA6280">
              <wp:simplePos x="0" y="0"/>
              <wp:positionH relativeFrom="page">
                <wp:posOffset>0</wp:posOffset>
              </wp:positionH>
              <wp:positionV relativeFrom="page">
                <wp:posOffset>10228580</wp:posOffset>
              </wp:positionV>
              <wp:extent cx="7560945" cy="273050"/>
              <wp:effectExtent l="0" t="0" r="0" b="12700"/>
              <wp:wrapNone/>
              <wp:docPr id="27953" name="Text Box 27953"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91F028" w14:textId="77777777" w:rsidR="002E018E" w:rsidRPr="006E4028" w:rsidRDefault="002E018E" w:rsidP="002E018E">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816265B" id="Text Box 27953" o:spid="_x0000_s1239" type="#_x0000_t202" alt="{&quot;HashCode&quot;:-1267603503,&quot;Height&quot;:841.0,&quot;Width&quot;:595.0,&quot;Placement&quot;:&quot;Footer&quot;,&quot;Index&quot;:&quot;FirstPage&quot;,&quot;Section&quot;:5,&quot;Top&quot;:0.0,&quot;Left&quot;:0.0}" style="position:absolute;margin-left:0;margin-top:805.4pt;width:595.35pt;height:21.5pt;z-index:2516584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zmB4pHgIAAC4EAAAOAAAAAAAAAAAAAAAAAC4CAABkcnMvZTJvRG9jLnhtbFBL&#10;AQItABQABgAIAAAAIQADWoXq3wAAAAsBAAAPAAAAAAAAAAAAAAAAAHgEAABkcnMvZG93bnJldi54&#10;bWxQSwUGAAAAAAQABADzAAAAhAUAAAAA&#10;" o:allowincell="f" filled="f" stroked="f" strokeweight=".5pt">
              <v:textbox inset="20pt,0,,0">
                <w:txbxContent>
                  <w:p w14:paraId="0D91F028" w14:textId="77777777" w:rsidR="002E018E" w:rsidRPr="006E4028" w:rsidRDefault="002E018E" w:rsidP="002E018E">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258446657"/>
        <w:dataBinding w:prefixMappings="xmlns:ns0='http://purl.org/dc/elements/1.1/' xmlns:ns1='http://schemas.openxmlformats.org/package/2006/metadata/core-properties' " w:xpath="/ns1:coreProperties[1]/ns0:title[1]" w:storeItemID="{6C3C8BC8-F283-45AE-878A-BAB7291924A1}"/>
        <w:text/>
      </w:sdtPr>
      <w:sdtContent>
        <w:r>
          <w:rPr>
            <w:color w:val="808080" w:themeColor="background1" w:themeShade="80"/>
            <w:szCs w:val="15"/>
            <w:lang w:eastAsia="en-AU"/>
          </w:rPr>
          <w:t>Building Reform: Paper Two</w:t>
        </w:r>
      </w:sdtContent>
    </w:sdt>
    <w:r>
      <w:rPr>
        <w:color w:val="808080" w:themeColor="background1" w:themeShade="80"/>
        <w:szCs w:val="15"/>
        <w:lang w:eastAsia="en-AU"/>
      </w:rPr>
      <w:t xml:space="preserve"> | Expert Panel on Building Reform</w:t>
    </w:r>
    <w:r w:rsidRPr="00FD4AB1">
      <w:rPr>
        <w:rFonts w:ascii="Segoe UI Semibold" w:hAnsi="Segoe UI Semibold" w:cs="Segoe UI"/>
        <w:color w:val="A5A5A5"/>
      </w:rPr>
      <w:ptab w:relativeTo="margin" w:alignment="right" w:leader="none"/>
    </w:r>
    <w:r w:rsidR="00F8341D" w:rsidRPr="00D27F75">
      <w:rPr>
        <w:color w:val="BFBFBF" w:themeColor="background1" w:themeShade="BF"/>
      </w:rPr>
      <w:t xml:space="preserve">| </w:t>
    </w:r>
    <w:sdt>
      <w:sdtPr>
        <w:rPr>
          <w:color w:val="BFBFBF" w:themeColor="background1" w:themeShade="BF"/>
        </w:rPr>
        <w:id w:val="-185902517"/>
        <w:docPartObj>
          <w:docPartGallery w:val="Page Numbers (Bottom of Page)"/>
          <w:docPartUnique/>
        </w:docPartObj>
      </w:sdtPr>
      <w:sdtEndPr>
        <w:rPr>
          <w:noProof/>
        </w:rPr>
      </w:sdtEndPr>
      <w:sdtContent>
        <w:r w:rsidR="001A64FB">
          <w:rPr>
            <w:color w:val="BFBFBF" w:themeColor="background1" w:themeShade="BF"/>
          </w:rPr>
          <w:t>73</w:t>
        </w:r>
        <w:r w:rsidR="00F8341D" w:rsidRPr="00D27F75">
          <w:rPr>
            <w:noProof/>
            <w:color w:val="BFBFBF" w:themeColor="background1" w:themeShade="BF"/>
          </w:rPr>
          <w:t xml:space="preserve"> |</w:t>
        </w:r>
      </w:sdtContent>
    </w:sdt>
  </w:p>
  <w:p w14:paraId="5839352B" w14:textId="0FD9FA30" w:rsidR="003A4F7F" w:rsidRDefault="003A4F7F">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270771"/>
      <w:docPartObj>
        <w:docPartGallery w:val="Page Numbers (Bottom of Page)"/>
        <w:docPartUnique/>
      </w:docPartObj>
    </w:sdtPr>
    <w:sdtEndPr>
      <w:rPr>
        <w:noProof/>
      </w:rPr>
    </w:sdtEndPr>
    <w:sdtContent>
      <w:p w14:paraId="34B924E4" w14:textId="3AE018D4" w:rsidR="005135F7" w:rsidRPr="005135F7" w:rsidRDefault="005135F7" w:rsidP="005135F7">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114300" distR="114300" simplePos="0" relativeHeight="251658423" behindDoc="0" locked="0" layoutInCell="0" allowOverlap="1" wp14:anchorId="13709793" wp14:editId="6173A2EA">
                  <wp:simplePos x="0" y="0"/>
                  <wp:positionH relativeFrom="page">
                    <wp:posOffset>0</wp:posOffset>
                  </wp:positionH>
                  <wp:positionV relativeFrom="page">
                    <wp:posOffset>10228580</wp:posOffset>
                  </wp:positionV>
                  <wp:extent cx="7560945" cy="273050"/>
                  <wp:effectExtent l="0" t="0" r="0" b="12700"/>
                  <wp:wrapNone/>
                  <wp:docPr id="27942" name="Text Box 27942"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C7B3D8" w14:textId="77777777" w:rsidR="005135F7" w:rsidRPr="003C2FDB" w:rsidRDefault="005135F7" w:rsidP="005135F7">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3709793" id="_x0000_t202" coordsize="21600,21600" o:spt="202" path="m,l,21600r21600,l21600,xe">
                  <v:stroke joinstyle="miter"/>
                  <v:path gradientshapeok="t" o:connecttype="rect"/>
                </v:shapetype>
                <v:shape id="Text Box 27942" o:spid="_x0000_s1240" type="#_x0000_t202" alt="{&quot;HashCode&quot;:-1267603503,&quot;Height&quot;:841.0,&quot;Width&quot;:595.0,&quot;Placement&quot;:&quot;Footer&quot;,&quot;Index&quot;:&quot;FirstPage&quot;,&quot;Section&quot;:5,&quot;Top&quot;:0.0,&quot;Left&quot;:0.0}" style="position:absolute;margin-left:0;margin-top:805.4pt;width:595.35pt;height:21.5pt;z-index:25165842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A1HgIAAC4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TjybDJDqoTLuig595bvlY4&#10;xYb58Mwcko07oYDDEx5SA3aDs0VJDe7H3/wxHznAKCUtiqek/vuBOUGJ/mqQnclsmudRbumGhkvG&#10;7Xg6xctu8JpDcw8ozDG+EcuTGXODHkzpoHlFga9iOwwxw7FpSXeDeR96LeMD4WK1SkkoLMvCxmwt&#10;j6UjbBHcl+6VOXtmICB3jzDoixXviOhze8BXhwBSJZYixD2cZ+RRlIm88wOKqv/1nrIuz3z5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AHCjA1HgIAAC4EAAAOAAAAAAAAAAAAAAAAAC4CAABkcnMvZTJvRG9jLnhtbFBL&#10;AQItABQABgAIAAAAIQADWoXq3wAAAAsBAAAPAAAAAAAAAAAAAAAAAHgEAABkcnMvZG93bnJldi54&#10;bWxQSwUGAAAAAAQABADzAAAAhAUAAAAA&#10;" o:allowincell="f" filled="f" stroked="f" strokeweight=".5pt">
                  <v:textbox inset="20pt,0,,0">
                    <w:txbxContent>
                      <w:p w14:paraId="59C7B3D8" w14:textId="77777777" w:rsidR="005135F7" w:rsidRPr="003C2FDB" w:rsidRDefault="005135F7" w:rsidP="005135F7">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422" behindDoc="0" locked="0" layoutInCell="0" allowOverlap="1" wp14:anchorId="2C3DD3E9" wp14:editId="5AF75082">
                  <wp:simplePos x="0" y="0"/>
                  <wp:positionH relativeFrom="page">
                    <wp:posOffset>0</wp:posOffset>
                  </wp:positionH>
                  <wp:positionV relativeFrom="page">
                    <wp:posOffset>10228580</wp:posOffset>
                  </wp:positionV>
                  <wp:extent cx="7560945" cy="273050"/>
                  <wp:effectExtent l="0" t="0" r="0" b="12700"/>
                  <wp:wrapNone/>
                  <wp:docPr id="27943" name="Text Box 27943"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4B551C" w14:textId="77777777" w:rsidR="005135F7" w:rsidRPr="007E53BD" w:rsidRDefault="005135F7" w:rsidP="005135F7">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2C3DD3E9" id="Text Box 27943" o:spid="_x0000_s1241" type="#_x0000_t202" alt="{&quot;HashCode&quot;:-1267603503,&quot;Height&quot;:841.0,&quot;Width&quot;:595.0,&quot;Placement&quot;:&quot;Footer&quot;,&quot;Index&quot;:&quot;FirstPage&quot;,&quot;Section&quot;:5,&quot;Top&quot;:0.0,&quot;Left&quot;:0.0}" style="position:absolute;margin-left:0;margin-top:805.4pt;width:595.35pt;height:21.5pt;z-index:25165842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CUeQWIHgIAAC4EAAAOAAAAAAAAAAAAAAAAAC4CAABkcnMvZTJvRG9jLnhtbFBL&#10;AQItABQABgAIAAAAIQADWoXq3wAAAAsBAAAPAAAAAAAAAAAAAAAAAHgEAABkcnMvZG93bnJldi54&#10;bWxQSwUGAAAAAAQABADzAAAAhAUAAAAA&#10;" o:allowincell="f" filled="f" stroked="f" strokeweight=".5pt">
                  <v:textbox inset="20pt,0,,0">
                    <w:txbxContent>
                      <w:p w14:paraId="5D4B551C" w14:textId="77777777" w:rsidR="005135F7" w:rsidRPr="007E53BD" w:rsidRDefault="005135F7" w:rsidP="005135F7">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Pr>
            <w:noProof/>
            <w:color w:val="808080" w:themeColor="background1" w:themeShade="80"/>
            <w:szCs w:val="15"/>
            <w:lang w:eastAsia="en-AU"/>
          </w:rPr>
          <mc:AlternateContent>
            <mc:Choice Requires="wps">
              <w:drawing>
                <wp:anchor distT="0" distB="0" distL="114300" distR="114300" simplePos="0" relativeHeight="251658421" behindDoc="0" locked="0" layoutInCell="0" allowOverlap="1" wp14:anchorId="5CD87446" wp14:editId="76F19497">
                  <wp:simplePos x="0" y="0"/>
                  <wp:positionH relativeFrom="page">
                    <wp:posOffset>0</wp:posOffset>
                  </wp:positionH>
                  <wp:positionV relativeFrom="page">
                    <wp:posOffset>10228580</wp:posOffset>
                  </wp:positionV>
                  <wp:extent cx="7560945" cy="273050"/>
                  <wp:effectExtent l="0" t="0" r="0" b="12700"/>
                  <wp:wrapNone/>
                  <wp:docPr id="27944" name="Text Box 27944"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0D05BD" w14:textId="77777777" w:rsidR="005135F7" w:rsidRPr="006E4028" w:rsidRDefault="005135F7" w:rsidP="005135F7">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5CD87446" id="Text Box 27944" o:spid="_x0000_s1242" type="#_x0000_t202" alt="{&quot;HashCode&quot;:-1267603503,&quot;Height&quot;:841.0,&quot;Width&quot;:595.0,&quot;Placement&quot;:&quot;Footer&quot;,&quot;Index&quot;:&quot;FirstPage&quot;,&quot;Section&quot;:5,&quot;Top&quot;:0.0,&quot;Left&quot;:0.0}" style="position:absolute;margin-left:0;margin-top:805.4pt;width:595.35pt;height:21.5pt;z-index:25165842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20NHgIAAC4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Tj6bDJDqoTLuig595bvlY4&#10;xYb58Mwcko07oYDDEx5SA3aDs0VJDe7H3/wxHznAKCUtiqek/vuBOUGJ/mqQnclsmudRbumGhkvG&#10;7Xg6xctu8JpDcw8ozDG+EcuTGXODHkzpoHlFga9iOwwxw7FpSXeDeR96LeMD4WK1SkkoLMvCxmwt&#10;j6UjbBHcl+6VOXtmICB3jzDoixXviOhze8BXhwBSJZYixD2cZ+RRlIm88wOKqv/1nrIuz3z5Ew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DvL20NHgIAAC4EAAAOAAAAAAAAAAAAAAAAAC4CAABkcnMvZTJvRG9jLnhtbFBL&#10;AQItABQABgAIAAAAIQADWoXq3wAAAAsBAAAPAAAAAAAAAAAAAAAAAHgEAABkcnMvZG93bnJldi54&#10;bWxQSwUGAAAAAAQABADzAAAAhAUAAAAA&#10;" o:allowincell="f" filled="f" stroked="f" strokeweight=".5pt">
                  <v:textbox inset="20pt,0,,0">
                    <w:txbxContent>
                      <w:p w14:paraId="2E0D05BD" w14:textId="77777777" w:rsidR="005135F7" w:rsidRPr="006E4028" w:rsidRDefault="005135F7" w:rsidP="005135F7">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2131464995"/>
            <w:dataBinding w:prefixMappings="xmlns:ns0='http://purl.org/dc/elements/1.1/' xmlns:ns1='http://schemas.openxmlformats.org/package/2006/metadata/core-properties' " w:xpath="/ns1:coreProperties[1]/ns0:title[1]" w:storeItemID="{6C3C8BC8-F283-45AE-878A-BAB7291924A1}"/>
            <w:text/>
          </w:sdtPr>
          <w:sdtContent>
            <w:r>
              <w:rPr>
                <w:color w:val="808080" w:themeColor="background1" w:themeShade="80"/>
                <w:szCs w:val="15"/>
                <w:lang w:eastAsia="en-AU"/>
              </w:rPr>
              <w:t>Building Reform: Paper Two</w:t>
            </w:r>
          </w:sdtContent>
        </w:sdt>
        <w:r>
          <w:rPr>
            <w:color w:val="808080" w:themeColor="background1" w:themeShade="80"/>
            <w:szCs w:val="15"/>
            <w:lang w:eastAsia="en-AU"/>
          </w:rPr>
          <w:t xml:space="preserve"> | Expert Panel on Building Reform</w:t>
        </w:r>
        <w:r w:rsidRPr="00FD4AB1">
          <w:rPr>
            <w:rFonts w:ascii="Segoe UI Semibold" w:hAnsi="Segoe UI Semibold" w:cs="Segoe UI"/>
            <w:color w:val="A5A5A5"/>
          </w:rPr>
          <w:ptab w:relativeTo="margin" w:alignment="right" w:leader="none"/>
        </w:r>
        <w:r w:rsidRPr="00FD4AB1">
          <w:rPr>
            <w:rFonts w:cs="Segoe UI"/>
            <w:color w:val="A5A5A5"/>
          </w:rPr>
          <w:t xml:space="preserve">| </w:t>
        </w:r>
        <w:r>
          <w:rPr>
            <w:rFonts w:cs="Segoe UI"/>
            <w:color w:val="A5A5A5"/>
          </w:rPr>
          <w:t>6</w:t>
        </w:r>
        <w:r w:rsidR="001A64FB">
          <w:rPr>
            <w:rFonts w:cs="Segoe UI"/>
            <w:color w:val="A5A5A5"/>
          </w:rPr>
          <w:t>9</w:t>
        </w:r>
        <w:r>
          <w:rPr>
            <w:rFonts w:cs="Segoe UI"/>
            <w:noProof/>
            <w:color w:val="A5A5A5"/>
          </w:rPr>
          <w:t xml:space="preserve"> </w:t>
        </w:r>
        <w:r w:rsidRPr="00FD4AB1">
          <w:rPr>
            <w:rFonts w:cs="Segoe UI"/>
            <w:color w:val="A5A5A5"/>
          </w:rPr>
          <w:t>|</w:t>
        </w:r>
      </w:p>
    </w:sdtContent>
  </w:sdt>
  <w:p w14:paraId="0428C7C8" w14:textId="2F002C88" w:rsidR="003A4F7F" w:rsidRDefault="003A4F7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97354" w14:textId="71C8E0E9" w:rsidR="003A4F7F" w:rsidRPr="00FD4AB1" w:rsidRDefault="008E041E">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114300" distR="114300" simplePos="0" relativeHeight="251664592" behindDoc="0" locked="0" layoutInCell="0" allowOverlap="1" wp14:anchorId="4269423B" wp14:editId="7622AB1B">
              <wp:simplePos x="0" y="0"/>
              <wp:positionH relativeFrom="page">
                <wp:posOffset>0</wp:posOffset>
              </wp:positionH>
              <wp:positionV relativeFrom="page">
                <wp:posOffset>10228580</wp:posOffset>
              </wp:positionV>
              <wp:extent cx="7560945" cy="273050"/>
              <wp:effectExtent l="0" t="0" r="0" b="12700"/>
              <wp:wrapNone/>
              <wp:docPr id="27980" name="MSIPCM67804927aa6c53b94c03bc67" descr="{&quot;HashCode&quot;:-1267603503,&quot;Height&quot;:841.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483285" w14:textId="7FA5FD21" w:rsidR="008E041E" w:rsidRPr="008E041E" w:rsidRDefault="008E041E" w:rsidP="008E041E">
                          <w:pPr>
                            <w:spacing w:after="0"/>
                            <w:rPr>
                              <w:rFonts w:ascii="Calibri" w:hAnsi="Calibri" w:cs="Calibri"/>
                              <w:color w:val="000000"/>
                            </w:rPr>
                          </w:pPr>
                          <w:r w:rsidRPr="008E041E">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269423B" id="_x0000_t202" coordsize="21600,21600" o:spt="202" path="m,l,21600r21600,l21600,xe">
              <v:stroke joinstyle="miter"/>
              <v:path gradientshapeok="t" o:connecttype="rect"/>
            </v:shapetype>
            <v:shape id="MSIPCM67804927aa6c53b94c03bc67" o:spid="_x0000_s1053" type="#_x0000_t202" alt="{&quot;HashCode&quot;:-1267603503,&quot;Height&quot;:841.0,&quot;Width&quot;:595.0,&quot;Placement&quot;:&quot;Footer&quot;,&quot;Index&quot;:&quot;Primary&quot;,&quot;Section&quot;:8,&quot;Top&quot;:0.0,&quot;Left&quot;:0.0}" style="position:absolute;margin-left:0;margin-top:805.4pt;width:595.35pt;height:21.5pt;z-index:2516645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s6jHgIAAC0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SzYZEdVCfcz0FPvbd8rXCI&#10;DfPhmTnkGldC/YYnPKQGbAZni5Ia3I+/+WM+UoBRSlrUTkn99wNzghL91SA5k9k0z6Pa0g0Nl4zb&#10;8XSKl93gNYfmHlCXY3wilicz5gY9mNJB84r6XsV2GGKGY9OS7gbzPvRSxvfBxWqVklBXloWN2Voe&#10;S0fUIrYv3Stz9kxAQOoeYZAXK97x0Of2eK8OAaRKJEWEezjPwKMmE3fn9xNF/+s9ZV1e+fIn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BG0s6jHgIAAC0EAAAOAAAAAAAAAAAAAAAAAC4CAABkcnMvZTJvRG9jLnhtbFBL&#10;AQItABQABgAIAAAAIQADWoXq3wAAAAsBAAAPAAAAAAAAAAAAAAAAAHgEAABkcnMvZG93bnJldi54&#10;bWxQSwUGAAAAAAQABADzAAAAhAUAAAAA&#10;" o:allowincell="f" filled="f" stroked="f" strokeweight=".5pt">
              <v:textbox inset="20pt,0,,0">
                <w:txbxContent>
                  <w:p w14:paraId="46483285" w14:textId="7FA5FD21" w:rsidR="008E041E" w:rsidRPr="008E041E" w:rsidRDefault="008E041E" w:rsidP="008E041E">
                    <w:pPr>
                      <w:spacing w:after="0"/>
                      <w:rPr>
                        <w:rFonts w:ascii="Calibri" w:hAnsi="Calibri" w:cs="Calibri"/>
                        <w:color w:val="000000"/>
                      </w:rPr>
                    </w:pPr>
                    <w:r w:rsidRPr="008E041E">
                      <w:rPr>
                        <w:rFonts w:ascii="Calibri" w:hAnsi="Calibri" w:cs="Calibri"/>
                        <w:color w:val="000000"/>
                      </w:rPr>
                      <w:t>OFFICIAL</w:t>
                    </w:r>
                  </w:p>
                </w:txbxContent>
              </v:textbox>
              <w10:wrap anchorx="page" anchory="page"/>
            </v:shape>
          </w:pict>
        </mc:Fallback>
      </mc:AlternateContent>
    </w:r>
    <w:r w:rsidR="000D6207">
      <w:rPr>
        <w:noProof/>
        <w:color w:val="808080" w:themeColor="background1" w:themeShade="80"/>
        <w:szCs w:val="15"/>
        <w:lang w:eastAsia="en-AU"/>
      </w:rPr>
      <mc:AlternateContent>
        <mc:Choice Requires="wps">
          <w:drawing>
            <wp:anchor distT="0" distB="0" distL="114300" distR="114300" simplePos="0" relativeHeight="251658432" behindDoc="0" locked="0" layoutInCell="0" allowOverlap="1" wp14:anchorId="22482A6A" wp14:editId="67CFD687">
              <wp:simplePos x="0" y="0"/>
              <wp:positionH relativeFrom="page">
                <wp:posOffset>0</wp:posOffset>
              </wp:positionH>
              <wp:positionV relativeFrom="page">
                <wp:posOffset>10228580</wp:posOffset>
              </wp:positionV>
              <wp:extent cx="7560945" cy="273050"/>
              <wp:effectExtent l="0" t="0" r="0" b="12700"/>
              <wp:wrapNone/>
              <wp:docPr id="17" name="Text Box 17" descr="{&quot;HashCode&quot;:-1267603503,&quot;Height&quot;:841.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5EEDB8" w14:textId="22A55906" w:rsidR="000D6207" w:rsidRPr="000D6207" w:rsidRDefault="000D6207" w:rsidP="000D6207">
                          <w:pPr>
                            <w:spacing w:after="0"/>
                            <w:rPr>
                              <w:rFonts w:ascii="Calibri" w:hAnsi="Calibri" w:cs="Calibri"/>
                              <w:color w:val="000000"/>
                            </w:rPr>
                          </w:pPr>
                          <w:r w:rsidRPr="000D620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22482A6A" id="Text Box 17" o:spid="_x0000_s1054" type="#_x0000_t202" alt="{&quot;HashCode&quot;:-1267603503,&quot;Height&quot;:841.0,&quot;Width&quot;:595.0,&quot;Placement&quot;:&quot;Footer&quot;,&quot;Index&quot;:&quot;Primary&quot;,&quot;Section&quot;:8,&quot;Top&quot;:0.0,&quot;Left&quot;:0.0}" style="position:absolute;margin-left:0;margin-top:805.4pt;width:595.35pt;height:21.5pt;z-index:251658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C/HgIAAC0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4RTzYZEdVCfcz0FPvbd8rXCI&#10;DfPhmTnkGldC/YYnPKQGbAZni5Ia3I+/+WM+UoBRSlrUTkn99wNzghL91SA5k9k0z6Pa0g0Nl4zb&#10;8XSKl93gNYfmHlCXY3wilicz5gY9mNJB84r6XsV2GGKGY9OS7gbzPvRSxvfBxWqVklBXloWN2Voe&#10;S0fUIrYv3Stz9kxAQOoeYZAXK97x0Of2eK8OAaRKJEWEezjPwKMmE3fn9xNF/+s9ZV1e+fIn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CyQOC/HgIAAC0EAAAOAAAAAAAAAAAAAAAAAC4CAABkcnMvZTJvRG9jLnhtbFBL&#10;AQItABQABgAIAAAAIQADWoXq3wAAAAsBAAAPAAAAAAAAAAAAAAAAAHgEAABkcnMvZG93bnJldi54&#10;bWxQSwUGAAAAAAQABADzAAAAhAUAAAAA&#10;" o:allowincell="f" filled="f" stroked="f" strokeweight=".5pt">
              <v:textbox inset="20pt,0,,0">
                <w:txbxContent>
                  <w:p w14:paraId="685EEDB8" w14:textId="22A55906" w:rsidR="000D6207" w:rsidRPr="000D6207" w:rsidRDefault="000D6207" w:rsidP="000D6207">
                    <w:pPr>
                      <w:spacing w:after="0"/>
                      <w:rPr>
                        <w:rFonts w:ascii="Calibri" w:hAnsi="Calibri" w:cs="Calibri"/>
                        <w:color w:val="000000"/>
                      </w:rPr>
                    </w:pPr>
                    <w:r w:rsidRPr="000D6207">
                      <w:rPr>
                        <w:rFonts w:ascii="Calibri" w:hAnsi="Calibri" w:cs="Calibri"/>
                        <w:color w:val="000000"/>
                      </w:rPr>
                      <w:t>OFFICIAL</w:t>
                    </w:r>
                  </w:p>
                </w:txbxContent>
              </v:textbox>
              <w10:wrap anchorx="page" anchory="page"/>
            </v:shape>
          </w:pict>
        </mc:Fallback>
      </mc:AlternateContent>
    </w:r>
    <w:r w:rsidR="004F44C0">
      <w:rPr>
        <w:noProof/>
        <w:color w:val="808080" w:themeColor="background1" w:themeShade="80"/>
        <w:szCs w:val="15"/>
        <w:lang w:eastAsia="en-AU"/>
      </w:rPr>
      <mc:AlternateContent>
        <mc:Choice Requires="wps">
          <w:drawing>
            <wp:anchor distT="0" distB="0" distL="114300" distR="114300" simplePos="0" relativeHeight="251658264" behindDoc="0" locked="0" layoutInCell="0" allowOverlap="1" wp14:anchorId="14E749EC" wp14:editId="080B9504">
              <wp:simplePos x="0" y="0"/>
              <wp:positionH relativeFrom="page">
                <wp:posOffset>0</wp:posOffset>
              </wp:positionH>
              <wp:positionV relativeFrom="page">
                <wp:posOffset>10228580</wp:posOffset>
              </wp:positionV>
              <wp:extent cx="7560945" cy="273050"/>
              <wp:effectExtent l="0" t="0" r="0" b="12700"/>
              <wp:wrapNone/>
              <wp:docPr id="47" name="Text Box 47" descr="{&quot;HashCode&quot;:-1267603503,&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6074FA" w14:textId="77777777" w:rsidR="004F44C0" w:rsidRPr="003C2FDB" w:rsidRDefault="004F44C0"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14E749EC" id="Text Box 47" o:spid="_x0000_s1055" type="#_x0000_t202" alt="{&quot;HashCode&quot;:-1267603503,&quot;Height&quot;:841.0,&quot;Width&quot;:595.0,&quot;Placement&quot;:&quot;Footer&quot;,&quot;Index&quot;:&quot;Primary&quot;,&quot;Section&quot;:5,&quot;Top&quot;:0.0,&quot;Left&quot;:0.0}" style="position:absolute;margin-left:0;margin-top:805.4pt;width:595.35pt;height:21.5pt;z-index:251658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CEz1QIdAgAALQQAAA4AAAAAAAAAAAAAAAAALgIAAGRycy9lMm9Eb2MueG1sUEsB&#10;Ai0AFAAGAAgAAAAhAANaherfAAAACwEAAA8AAAAAAAAAAAAAAAAAdwQAAGRycy9kb3ducmV2Lnht&#10;bFBLBQYAAAAABAAEAPMAAACDBQAAAAA=&#10;" o:allowincell="f" filled="f" stroked="f" strokeweight=".5pt">
              <v:textbox inset="20pt,0,,0">
                <w:txbxContent>
                  <w:p w14:paraId="0E6074FA" w14:textId="77777777" w:rsidR="004F44C0" w:rsidRPr="003C2FDB" w:rsidRDefault="004F44C0"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sidR="004F44C0">
      <w:rPr>
        <w:noProof/>
        <w:color w:val="808080" w:themeColor="background1" w:themeShade="80"/>
        <w:szCs w:val="15"/>
        <w:lang w:eastAsia="en-AU"/>
      </w:rPr>
      <mc:AlternateContent>
        <mc:Choice Requires="wps">
          <w:drawing>
            <wp:anchor distT="0" distB="0" distL="114300" distR="114300" simplePos="0" relativeHeight="251658263" behindDoc="0" locked="0" layoutInCell="0" allowOverlap="1" wp14:anchorId="3F60695C" wp14:editId="70B6BD05">
              <wp:simplePos x="0" y="0"/>
              <wp:positionH relativeFrom="page">
                <wp:posOffset>0</wp:posOffset>
              </wp:positionH>
              <wp:positionV relativeFrom="page">
                <wp:posOffset>10228580</wp:posOffset>
              </wp:positionV>
              <wp:extent cx="7560945" cy="273050"/>
              <wp:effectExtent l="0" t="0" r="0" b="12700"/>
              <wp:wrapNone/>
              <wp:docPr id="48" name="Text Box 48" descr="{&quot;HashCode&quot;:-1267603503,&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CCC131" w14:textId="77777777" w:rsidR="004F44C0" w:rsidRPr="007E53BD" w:rsidRDefault="004F44C0"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3F60695C" id="Text Box 48" o:spid="_x0000_s1056" type="#_x0000_t202" alt="{&quot;HashCode&quot;:-1267603503,&quot;Height&quot;:841.0,&quot;Width&quot;:595.0,&quot;Placement&quot;:&quot;Footer&quot;,&quot;Index&quot;:&quot;Primary&quot;,&quot;Section&quot;:5,&quot;Top&quot;:0.0,&quot;Left&quot;:0.0}" style="position:absolute;margin-left:0;margin-top:805.4pt;width:595.35pt;height:21.5pt;z-index:25165826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AF6kFuHgIAAC0EAAAOAAAAAAAAAAAAAAAAAC4CAABkcnMvZTJvRG9jLnhtbFBL&#10;AQItABQABgAIAAAAIQADWoXq3wAAAAsBAAAPAAAAAAAAAAAAAAAAAHgEAABkcnMvZG93bnJldi54&#10;bWxQSwUGAAAAAAQABADzAAAAhAUAAAAA&#10;" o:allowincell="f" filled="f" stroked="f" strokeweight=".5pt">
              <v:textbox inset="20pt,0,,0">
                <w:txbxContent>
                  <w:p w14:paraId="7ACCC131" w14:textId="77777777" w:rsidR="004F44C0" w:rsidRPr="007E53BD" w:rsidRDefault="004F44C0"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sidR="004F44C0">
      <w:rPr>
        <w:noProof/>
        <w:color w:val="808080" w:themeColor="background1" w:themeShade="80"/>
        <w:szCs w:val="15"/>
        <w:lang w:eastAsia="en-AU"/>
      </w:rPr>
      <mc:AlternateContent>
        <mc:Choice Requires="wps">
          <w:drawing>
            <wp:anchor distT="0" distB="0" distL="114300" distR="114300" simplePos="0" relativeHeight="251658262" behindDoc="0" locked="0" layoutInCell="0" allowOverlap="1" wp14:anchorId="2D7E5769" wp14:editId="62EC34E1">
              <wp:simplePos x="0" y="0"/>
              <wp:positionH relativeFrom="page">
                <wp:posOffset>0</wp:posOffset>
              </wp:positionH>
              <wp:positionV relativeFrom="page">
                <wp:posOffset>10228580</wp:posOffset>
              </wp:positionV>
              <wp:extent cx="7560945" cy="273050"/>
              <wp:effectExtent l="0" t="0" r="0" b="12700"/>
              <wp:wrapNone/>
              <wp:docPr id="50" name="Text Box 50" descr="{&quot;HashCode&quot;:-1267603503,&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8292FB" w14:textId="77777777" w:rsidR="004F44C0" w:rsidRPr="006E4028" w:rsidRDefault="004F44C0"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2D7E5769" id="Text Box 50" o:spid="_x0000_s1057" type="#_x0000_t202" alt="{&quot;HashCode&quot;:-1267603503,&quot;Height&quot;:841.0,&quot;Width&quot;:595.0,&quot;Placement&quot;:&quot;Footer&quot;,&quot;Index&quot;:&quot;Primary&quot;,&quot;Section&quot;:5,&quot;Top&quot;:0.0,&quot;Left&quot;:0.0}" style="position:absolute;margin-left:0;margin-top:805.4pt;width:595.35pt;height:21.5pt;z-index:25165826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CWmXTTHgIAAC0EAAAOAAAAAAAAAAAAAAAAAC4CAABkcnMvZTJvRG9jLnhtbFBL&#10;AQItABQABgAIAAAAIQADWoXq3wAAAAsBAAAPAAAAAAAAAAAAAAAAAHgEAABkcnMvZG93bnJldi54&#10;bWxQSwUGAAAAAAQABADzAAAAhAUAAAAA&#10;" o:allowincell="f" filled="f" stroked="f" strokeweight=".5pt">
              <v:textbox inset="20pt,0,,0">
                <w:txbxContent>
                  <w:p w14:paraId="088292FB" w14:textId="77777777" w:rsidR="004F44C0" w:rsidRPr="006E4028" w:rsidRDefault="004F44C0"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797297431"/>
        <w:dataBinding w:prefixMappings="xmlns:ns0='http://purl.org/dc/elements/1.1/' xmlns:ns1='http://schemas.openxmlformats.org/package/2006/metadata/core-properties' " w:xpath="/ns1:coreProperties[1]/ns0:title[1]" w:storeItemID="{6C3C8BC8-F283-45AE-878A-BAB7291924A1}"/>
        <w:text/>
      </w:sdtPr>
      <w:sdtContent>
        <w:r w:rsidR="004F44C0">
          <w:rPr>
            <w:color w:val="808080" w:themeColor="background1" w:themeShade="80"/>
            <w:szCs w:val="15"/>
            <w:lang w:eastAsia="en-AU"/>
          </w:rPr>
          <w:t>Building Reform: Paper Two</w:t>
        </w:r>
      </w:sdtContent>
    </w:sdt>
    <w:r w:rsidR="004F44C0">
      <w:rPr>
        <w:color w:val="808080" w:themeColor="background1" w:themeShade="80"/>
        <w:szCs w:val="15"/>
        <w:lang w:eastAsia="en-AU"/>
      </w:rPr>
      <w:t xml:space="preserve"> | Expert Panel on Building Reform</w:t>
    </w:r>
    <w:r w:rsidR="004F44C0" w:rsidRPr="00FD4AB1">
      <w:rPr>
        <w:rFonts w:ascii="Segoe UI Semibold" w:hAnsi="Segoe UI Semibold" w:cs="Segoe UI"/>
        <w:color w:val="A5A5A5"/>
      </w:rPr>
      <w:ptab w:relativeTo="margin" w:alignment="right" w:leader="none"/>
    </w:r>
    <w:r w:rsidR="004F44C0" w:rsidRPr="00FD4AB1">
      <w:rPr>
        <w:rFonts w:cs="Segoe UI"/>
        <w:color w:val="A5A5A5"/>
      </w:rPr>
      <w:t xml:space="preserve">| </w:t>
    </w:r>
    <w:r w:rsidR="004F44C0">
      <w:rPr>
        <w:rFonts w:cs="Segoe UI"/>
        <w:noProof/>
        <w:color w:val="A5A5A5"/>
      </w:rPr>
      <w:t xml:space="preserve">11 </w:t>
    </w:r>
    <w:r w:rsidR="004F44C0" w:rsidRPr="00FD4AB1">
      <w:rPr>
        <w:rFonts w:cs="Segoe UI"/>
        <w:color w:val="A5A5A5"/>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E2927" w14:textId="67021DE3" w:rsidR="003A4F7F" w:rsidRPr="005C29E1" w:rsidRDefault="008E041E">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114300" distR="114300" simplePos="0" relativeHeight="251665616" behindDoc="0" locked="0" layoutInCell="0" allowOverlap="1" wp14:anchorId="57417012" wp14:editId="389977AB">
              <wp:simplePos x="0" y="0"/>
              <wp:positionH relativeFrom="page">
                <wp:posOffset>0</wp:posOffset>
              </wp:positionH>
              <wp:positionV relativeFrom="page">
                <wp:posOffset>10228580</wp:posOffset>
              </wp:positionV>
              <wp:extent cx="7560945" cy="273050"/>
              <wp:effectExtent l="0" t="0" r="0" b="12700"/>
              <wp:wrapNone/>
              <wp:docPr id="27981" name="MSIPCM41884a3f97d0e4dd1222fea4" descr="{&quot;HashCode&quot;:-1267603503,&quot;Height&quot;:841.0,&quot;Width&quot;:595.0,&quot;Placement&quot;:&quot;Foot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53D7D8" w14:textId="3E4D619F" w:rsidR="008E041E" w:rsidRPr="008E041E" w:rsidRDefault="008E041E" w:rsidP="008E041E">
                          <w:pPr>
                            <w:spacing w:after="0"/>
                            <w:rPr>
                              <w:rFonts w:ascii="Calibri" w:hAnsi="Calibri" w:cs="Calibri"/>
                              <w:color w:val="000000"/>
                            </w:rPr>
                          </w:pPr>
                          <w:r w:rsidRPr="008E041E">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7417012" id="_x0000_t202" coordsize="21600,21600" o:spt="202" path="m,l,21600r21600,l21600,xe">
              <v:stroke joinstyle="miter"/>
              <v:path gradientshapeok="t" o:connecttype="rect"/>
            </v:shapetype>
            <v:shape id="MSIPCM41884a3f97d0e4dd1222fea4" o:spid="_x0000_s1058" type="#_x0000_t202" alt="{&quot;HashCode&quot;:-1267603503,&quot;Height&quot;:841.0,&quot;Width&quot;:595.0,&quot;Placement&quot;:&quot;Footer&quot;,&quot;Index&quot;:&quot;FirstPage&quot;,&quot;Section&quot;:8,&quot;Top&quot;:0.0,&quot;Left&quot;:0.0}" style="position:absolute;margin-left:0;margin-top:805.4pt;width:595.35pt;height:21.5pt;z-index:2516656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" o:allowincell="f" filled="f" stroked="f" strokeweight=".5pt">
              <v:textbox inset="20pt,0,,0">
                <w:txbxContent>
                  <w:p w14:paraId="7253D7D8" w14:textId="3E4D619F" w:rsidR="008E041E" w:rsidRPr="008E041E" w:rsidRDefault="008E041E" w:rsidP="008E041E">
                    <w:pPr>
                      <w:spacing w:after="0"/>
                      <w:rPr>
                        <w:rFonts w:ascii="Calibri" w:hAnsi="Calibri" w:cs="Calibri"/>
                        <w:color w:val="000000"/>
                      </w:rPr>
                    </w:pPr>
                    <w:r w:rsidRPr="008E041E">
                      <w:rPr>
                        <w:rFonts w:ascii="Calibri" w:hAnsi="Calibri" w:cs="Calibri"/>
                        <w:color w:val="000000"/>
                      </w:rPr>
                      <w:t>OFFICIAL</w:t>
                    </w:r>
                  </w:p>
                </w:txbxContent>
              </v:textbox>
              <w10:wrap anchorx="page" anchory="page"/>
            </v:shape>
          </w:pict>
        </mc:Fallback>
      </mc:AlternateContent>
    </w:r>
    <w:r w:rsidR="000D6207">
      <w:rPr>
        <w:noProof/>
        <w:color w:val="808080" w:themeColor="background1" w:themeShade="80"/>
        <w:szCs w:val="15"/>
        <w:lang w:eastAsia="en-AU"/>
      </w:rPr>
      <mc:AlternateContent>
        <mc:Choice Requires="wps">
          <w:drawing>
            <wp:anchor distT="0" distB="0" distL="114300" distR="114300" simplePos="0" relativeHeight="251658433" behindDoc="0" locked="0" layoutInCell="0" allowOverlap="1" wp14:anchorId="3C25426C" wp14:editId="51BCD8BF">
              <wp:simplePos x="0" y="0"/>
              <wp:positionH relativeFrom="page">
                <wp:posOffset>0</wp:posOffset>
              </wp:positionH>
              <wp:positionV relativeFrom="page">
                <wp:posOffset>10228580</wp:posOffset>
              </wp:positionV>
              <wp:extent cx="7560945" cy="273050"/>
              <wp:effectExtent l="0" t="0" r="0" b="12700"/>
              <wp:wrapNone/>
              <wp:docPr id="18" name="Text Box 18" descr="{&quot;HashCode&quot;:-1267603503,&quot;Height&quot;:841.0,&quot;Width&quot;:595.0,&quot;Placement&quot;:&quot;Foot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14233E" w14:textId="59C65717" w:rsidR="000D6207" w:rsidRPr="000D6207" w:rsidRDefault="000D6207" w:rsidP="000D6207">
                          <w:pPr>
                            <w:spacing w:after="0"/>
                            <w:rPr>
                              <w:rFonts w:ascii="Calibri" w:hAnsi="Calibri" w:cs="Calibri"/>
                              <w:color w:val="000000"/>
                            </w:rPr>
                          </w:pPr>
                          <w:r w:rsidRPr="000D620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3C25426C" id="Text Box 18" o:spid="_x0000_s1059" type="#_x0000_t202" alt="{&quot;HashCode&quot;:-1267603503,&quot;Height&quot;:841.0,&quot;Width&quot;:595.0,&quot;Placement&quot;:&quot;Footer&quot;,&quot;Index&quot;:&quot;FirstPage&quot;,&quot;Section&quot;:8,&quot;Top&quot;:0.0,&quot;Left&quot;:0.0}" style="position:absolute;margin-left:0;margin-top:805.4pt;width:595.35pt;height:21.5pt;z-index:25165843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" o:allowincell="f" filled="f" stroked="f" strokeweight=".5pt">
              <v:textbox inset="20pt,0,,0">
                <w:txbxContent>
                  <w:p w14:paraId="7014233E" w14:textId="59C65717" w:rsidR="000D6207" w:rsidRPr="000D6207" w:rsidRDefault="000D6207" w:rsidP="000D6207">
                    <w:pPr>
                      <w:spacing w:after="0"/>
                      <w:rPr>
                        <w:rFonts w:ascii="Calibri" w:hAnsi="Calibri" w:cs="Calibri"/>
                        <w:color w:val="000000"/>
                      </w:rPr>
                    </w:pPr>
                    <w:r w:rsidRPr="000D6207">
                      <w:rPr>
                        <w:rFonts w:ascii="Calibri" w:hAnsi="Calibri" w:cs="Calibri"/>
                        <w:color w:val="000000"/>
                      </w:rPr>
                      <w:t>OFFICIAL</w:t>
                    </w:r>
                  </w:p>
                </w:txbxContent>
              </v:textbox>
              <w10:wrap anchorx="page" anchory="page"/>
            </v:shape>
          </w:pict>
        </mc:Fallback>
      </mc:AlternateContent>
    </w:r>
    <w:r w:rsidR="004F44C0">
      <w:rPr>
        <w:noProof/>
        <w:color w:val="808080" w:themeColor="background1" w:themeShade="80"/>
        <w:szCs w:val="15"/>
        <w:lang w:eastAsia="en-AU"/>
      </w:rPr>
      <mc:AlternateContent>
        <mc:Choice Requires="wps">
          <w:drawing>
            <wp:anchor distT="0" distB="0" distL="114300" distR="114300" simplePos="0" relativeHeight="251658261" behindDoc="0" locked="0" layoutInCell="0" allowOverlap="1" wp14:anchorId="1CFBBAE7" wp14:editId="003E01F8">
              <wp:simplePos x="0" y="0"/>
              <wp:positionH relativeFrom="page">
                <wp:posOffset>0</wp:posOffset>
              </wp:positionH>
              <wp:positionV relativeFrom="page">
                <wp:posOffset>10228580</wp:posOffset>
              </wp:positionV>
              <wp:extent cx="7560945" cy="273050"/>
              <wp:effectExtent l="0" t="0" r="0" b="12700"/>
              <wp:wrapNone/>
              <wp:docPr id="27901" name="Text Box 27901"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EDD19C" w14:textId="77777777" w:rsidR="004F44C0" w:rsidRPr="003C2FDB" w:rsidRDefault="004F44C0"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1CFBBAE7" id="Text Box 27901" o:spid="_x0000_s1060" type="#_x0000_t202" alt="{&quot;HashCode&quot;:-1267603503,&quot;Height&quot;:841.0,&quot;Width&quot;:595.0,&quot;Placement&quot;:&quot;Footer&quot;,&quot;Index&quot;:&quot;FirstPage&quot;,&quot;Section&quot;:5,&quot;Top&quot;:0.0,&quot;Left&quot;:0.0}" style="position:absolute;margin-left:0;margin-top:805.4pt;width:595.35pt;height:21.5pt;z-index:25165826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LBzHU8dAgAALQQAAA4AAAAAAAAAAAAAAAAALgIAAGRycy9lMm9Eb2MueG1sUEsB&#10;Ai0AFAAGAAgAAAAhAANaherfAAAACwEAAA8AAAAAAAAAAAAAAAAAdwQAAGRycy9kb3ducmV2Lnht&#10;bFBLBQYAAAAABAAEAPMAAACDBQAAAAA=&#10;" o:allowincell="f" filled="f" stroked="f" strokeweight=".5pt">
              <v:textbox inset="20pt,0,,0">
                <w:txbxContent>
                  <w:p w14:paraId="0CEDD19C" w14:textId="77777777" w:rsidR="004F44C0" w:rsidRPr="003C2FDB" w:rsidRDefault="004F44C0"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sidR="004F44C0">
      <w:rPr>
        <w:noProof/>
        <w:color w:val="808080" w:themeColor="background1" w:themeShade="80"/>
        <w:szCs w:val="15"/>
        <w:lang w:eastAsia="en-AU"/>
      </w:rPr>
      <mc:AlternateContent>
        <mc:Choice Requires="wps">
          <w:drawing>
            <wp:anchor distT="0" distB="0" distL="114300" distR="114300" simplePos="0" relativeHeight="251658260" behindDoc="0" locked="0" layoutInCell="0" allowOverlap="1" wp14:anchorId="65DE3699" wp14:editId="18E16B92">
              <wp:simplePos x="0" y="0"/>
              <wp:positionH relativeFrom="page">
                <wp:posOffset>0</wp:posOffset>
              </wp:positionH>
              <wp:positionV relativeFrom="page">
                <wp:posOffset>10228580</wp:posOffset>
              </wp:positionV>
              <wp:extent cx="7560945" cy="273050"/>
              <wp:effectExtent l="0" t="0" r="0" b="12700"/>
              <wp:wrapNone/>
              <wp:docPr id="27902" name="Text Box 27902"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433675" w14:textId="77777777" w:rsidR="004F44C0" w:rsidRPr="007E53BD" w:rsidRDefault="004F44C0"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5DE3699" id="Text Box 27902" o:spid="_x0000_s1061" type="#_x0000_t202" alt="{&quot;HashCode&quot;:-1267603503,&quot;Height&quot;:841.0,&quot;Width&quot;:595.0,&quot;Placement&quot;:&quot;Footer&quot;,&quot;Index&quot;:&quot;FirstPage&quot;,&quot;Section&quot;:5,&quot;Top&quot;:0.0,&quot;Left&quot;:0.0}" style="position:absolute;margin-left:0;margin-top:805.4pt;width:595.3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CMAKPIdAgAALQQAAA4AAAAAAAAAAAAAAAAALgIAAGRycy9lMm9Eb2MueG1sUEsB&#10;Ai0AFAAGAAgAAAAhAANaherfAAAACwEAAA8AAAAAAAAAAAAAAAAAdwQAAGRycy9kb3ducmV2Lnht&#10;bFBLBQYAAAAABAAEAPMAAACDBQAAAAA=&#10;" o:allowincell="f" filled="f" stroked="f" strokeweight=".5pt">
              <v:textbox inset="20pt,0,,0">
                <w:txbxContent>
                  <w:p w14:paraId="79433675" w14:textId="77777777" w:rsidR="004F44C0" w:rsidRPr="007E53BD" w:rsidRDefault="004F44C0"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sidR="004F44C0">
      <w:rPr>
        <w:noProof/>
        <w:color w:val="808080" w:themeColor="background1" w:themeShade="80"/>
        <w:szCs w:val="15"/>
        <w:lang w:eastAsia="en-AU"/>
      </w:rPr>
      <mc:AlternateContent>
        <mc:Choice Requires="wps">
          <w:drawing>
            <wp:anchor distT="0" distB="0" distL="114300" distR="114300" simplePos="0" relativeHeight="251658259" behindDoc="0" locked="0" layoutInCell="0" allowOverlap="1" wp14:anchorId="1AE875B1" wp14:editId="62F7BCDF">
              <wp:simplePos x="0" y="0"/>
              <wp:positionH relativeFrom="page">
                <wp:posOffset>0</wp:posOffset>
              </wp:positionH>
              <wp:positionV relativeFrom="page">
                <wp:posOffset>10228580</wp:posOffset>
              </wp:positionV>
              <wp:extent cx="7560945" cy="273050"/>
              <wp:effectExtent l="0" t="0" r="0" b="12700"/>
              <wp:wrapNone/>
              <wp:docPr id="27903" name="Text Box 27903" descr="{&quot;HashCode&quot;:-1267603503,&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82AEF3" w14:textId="77777777" w:rsidR="004F44C0" w:rsidRPr="006E4028" w:rsidRDefault="004F44C0"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1AE875B1" id="Text Box 27903" o:spid="_x0000_s1062" type="#_x0000_t202" alt="{&quot;HashCode&quot;:-1267603503,&quot;Height&quot;:841.0,&quot;Width&quot;:595.0,&quot;Placement&quot;:&quot;Footer&quot;,&quot;Index&quot;:&quot;FirstPage&quot;,&quot;Section&quot;:5,&quot;Top&quot;:0.0,&quot;Left&quot;:0.0}" style="position:absolute;margin-left:0;margin-top:805.4pt;width:595.3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FhWQHcdAgAALQQAAA4AAAAAAAAAAAAAAAAALgIAAGRycy9lMm9Eb2MueG1sUEsB&#10;Ai0AFAAGAAgAAAAhAANaherfAAAACwEAAA8AAAAAAAAAAAAAAAAAdwQAAGRycy9kb3ducmV2Lnht&#10;bFBLBQYAAAAABAAEAPMAAACDBQAAAAA=&#10;" o:allowincell="f" filled="f" stroked="f" strokeweight=".5pt">
              <v:textbox inset="20pt,0,,0">
                <w:txbxContent>
                  <w:p w14:paraId="1D82AEF3" w14:textId="77777777" w:rsidR="004F44C0" w:rsidRPr="006E4028" w:rsidRDefault="004F44C0"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2132000531"/>
        <w:dataBinding w:prefixMappings="xmlns:ns0='http://purl.org/dc/elements/1.1/' xmlns:ns1='http://schemas.openxmlformats.org/package/2006/metadata/core-properties' " w:xpath="/ns1:coreProperties[1]/ns0:title[1]" w:storeItemID="{6C3C8BC8-F283-45AE-878A-BAB7291924A1}"/>
        <w:text/>
      </w:sdtPr>
      <w:sdtContent>
        <w:r w:rsidR="004F44C0">
          <w:rPr>
            <w:color w:val="808080" w:themeColor="background1" w:themeShade="80"/>
            <w:szCs w:val="15"/>
            <w:lang w:eastAsia="en-AU"/>
          </w:rPr>
          <w:t>Building Reform: Paper Two</w:t>
        </w:r>
      </w:sdtContent>
    </w:sdt>
    <w:r w:rsidR="004F44C0">
      <w:rPr>
        <w:color w:val="808080" w:themeColor="background1" w:themeShade="80"/>
        <w:szCs w:val="15"/>
        <w:lang w:eastAsia="en-AU"/>
      </w:rPr>
      <w:t xml:space="preserve"> | Expert Panel on Building Reform</w:t>
    </w:r>
    <w:r w:rsidR="004F44C0" w:rsidRPr="00FD4AB1">
      <w:rPr>
        <w:rFonts w:ascii="Segoe UI Semibold" w:hAnsi="Segoe UI Semibold" w:cs="Segoe UI"/>
        <w:color w:val="A5A5A5"/>
      </w:rPr>
      <w:ptab w:relativeTo="margin" w:alignment="right" w:leader="none"/>
    </w:r>
    <w:r w:rsidR="004F44C0" w:rsidRPr="00FD4AB1">
      <w:rPr>
        <w:rFonts w:cs="Segoe UI"/>
        <w:color w:val="A5A5A5"/>
      </w:rPr>
      <w:t xml:space="preserve">| </w:t>
    </w:r>
    <w:r w:rsidR="005A51B0">
      <w:rPr>
        <w:rFonts w:cs="Segoe UI"/>
        <w:color w:val="A5A5A5"/>
      </w:rPr>
      <w:t>10</w:t>
    </w:r>
    <w:r w:rsidR="004F44C0">
      <w:rPr>
        <w:rFonts w:cs="Segoe UI"/>
        <w:noProof/>
        <w:color w:val="A5A5A5"/>
      </w:rPr>
      <w:t xml:space="preserve"> </w:t>
    </w:r>
    <w:r w:rsidR="004F44C0" w:rsidRPr="00FD4AB1">
      <w:rPr>
        <w:rFonts w:cs="Segoe UI"/>
        <w:color w:val="A5A5A5"/>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655B" w14:textId="63C2B9C1" w:rsidR="003A4F7F" w:rsidRPr="00FD4AB1" w:rsidRDefault="000D6207">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114300" distR="114300" simplePos="0" relativeHeight="251658434" behindDoc="0" locked="0" layoutInCell="0" allowOverlap="1" wp14:anchorId="405D16D3" wp14:editId="6BE720DD">
              <wp:simplePos x="0" y="0"/>
              <wp:positionH relativeFrom="page">
                <wp:posOffset>0</wp:posOffset>
              </wp:positionH>
              <wp:positionV relativeFrom="page">
                <wp:posOffset>10228580</wp:posOffset>
              </wp:positionV>
              <wp:extent cx="7560945" cy="273050"/>
              <wp:effectExtent l="0" t="0" r="0" b="12700"/>
              <wp:wrapNone/>
              <wp:docPr id="20" name="Text Box 20" descr="{&quot;HashCode&quot;:-1267603503,&quot;Height&quot;:841.0,&quot;Width&quot;:595.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0D4DCB" w14:textId="790CE9E1" w:rsidR="000D6207" w:rsidRPr="000D6207" w:rsidRDefault="000D6207" w:rsidP="000D6207">
                          <w:pPr>
                            <w:spacing w:after="0"/>
                            <w:rPr>
                              <w:rFonts w:ascii="Calibri" w:hAnsi="Calibri" w:cs="Calibri"/>
                              <w:color w:val="000000"/>
                            </w:rPr>
                          </w:pPr>
                          <w:r w:rsidRPr="000D620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05D16D3" id="_x0000_t202" coordsize="21600,21600" o:spt="202" path="m,l,21600r21600,l21600,xe">
              <v:stroke joinstyle="miter"/>
              <v:path gradientshapeok="t" o:connecttype="rect"/>
            </v:shapetype>
            <v:shape id="Text Box 20" o:spid="_x0000_s1063" type="#_x0000_t202" alt="{&quot;HashCode&quot;:-1267603503,&quot;Height&quot;:841.0,&quot;Width&quot;:595.0,&quot;Placement&quot;:&quot;Footer&quot;,&quot;Index&quot;:&quot;Primary&quot;,&quot;Section&quot;:9,&quot;Top&quot;:0.0,&quot;Left&quot;:0.0}" style="position:absolute;margin-left:0;margin-top:805.4pt;width:595.35pt;height:21.5pt;z-index:25165843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MsldcodAgAALQQAAA4AAAAAAAAAAAAAAAAALgIAAGRycy9lMm9Eb2MueG1sUEsB&#10;Ai0AFAAGAAgAAAAhAANaherfAAAACwEAAA8AAAAAAAAAAAAAAAAAdwQAAGRycy9kb3ducmV2Lnht&#10;bFBLBQYAAAAABAAEAPMAAACDBQAAAAA=&#10;" o:allowincell="f" filled="f" stroked="f" strokeweight=".5pt">
              <v:textbox inset="20pt,0,,0">
                <w:txbxContent>
                  <w:p w14:paraId="4E0D4DCB" w14:textId="790CE9E1" w:rsidR="000D6207" w:rsidRPr="000D6207" w:rsidRDefault="000D6207" w:rsidP="000D6207">
                    <w:pPr>
                      <w:spacing w:after="0"/>
                      <w:rPr>
                        <w:rFonts w:ascii="Calibri" w:hAnsi="Calibri" w:cs="Calibri"/>
                        <w:color w:val="000000"/>
                      </w:rPr>
                    </w:pPr>
                    <w:r w:rsidRPr="000D6207">
                      <w:rPr>
                        <w:rFonts w:ascii="Calibri" w:hAnsi="Calibri" w:cs="Calibri"/>
                        <w:color w:val="000000"/>
                      </w:rPr>
                      <w:t>OFFICIAL</w:t>
                    </w:r>
                  </w:p>
                </w:txbxContent>
              </v:textbox>
              <w10:wrap anchorx="page" anchory="page"/>
            </v:shape>
          </w:pict>
        </mc:Fallback>
      </mc:AlternateContent>
    </w:r>
    <w:r w:rsidR="004F44C0">
      <w:rPr>
        <w:noProof/>
        <w:color w:val="808080" w:themeColor="background1" w:themeShade="80"/>
        <w:szCs w:val="15"/>
        <w:lang w:eastAsia="en-AU"/>
      </w:rPr>
      <mc:AlternateContent>
        <mc:Choice Requires="wps">
          <w:drawing>
            <wp:anchor distT="0" distB="0" distL="114300" distR="114300" simplePos="0" relativeHeight="251658267" behindDoc="0" locked="0" layoutInCell="0" allowOverlap="1" wp14:anchorId="4C3DCB5E" wp14:editId="79AFA937">
              <wp:simplePos x="0" y="0"/>
              <wp:positionH relativeFrom="page">
                <wp:posOffset>0</wp:posOffset>
              </wp:positionH>
              <wp:positionV relativeFrom="page">
                <wp:posOffset>10228580</wp:posOffset>
              </wp:positionV>
              <wp:extent cx="7560945" cy="273050"/>
              <wp:effectExtent l="0" t="0" r="0" b="12700"/>
              <wp:wrapNone/>
              <wp:docPr id="27925" name="Text Box 27925" descr="{&quot;HashCode&quot;:-1267603503,&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ABB47C" w14:textId="77777777" w:rsidR="004F44C0" w:rsidRPr="003C2FDB" w:rsidRDefault="004F44C0" w:rsidP="003C2FDB">
                          <w:pPr>
                            <w:spacing w:after="0"/>
                            <w:rPr>
                              <w:rFonts w:ascii="Calibri" w:hAnsi="Calibri" w:cs="Calibri"/>
                              <w:color w:val="000000"/>
                            </w:rPr>
                          </w:pPr>
                          <w:r w:rsidRPr="003C2FDB">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4C3DCB5E" id="Text Box 27925" o:spid="_x0000_s1064" type="#_x0000_t202" alt="{&quot;HashCode&quot;:-1267603503,&quot;Height&quot;:841.0,&quot;Width&quot;:595.0,&quot;Placement&quot;:&quot;Footer&quot;,&quot;Index&quot;:&quot;Primary&quot;,&quot;Section&quot;:5,&quot;Top&quot;:0.0,&quot;Left&quot;:0.0}" style="position:absolute;margin-left:0;margin-top:805.4pt;width:595.35pt;height:21.5pt;z-index:25165826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D+3W9YdAgAALQQAAA4AAAAAAAAAAAAAAAAALgIAAGRycy9lMm9Eb2MueG1sUEsB&#10;Ai0AFAAGAAgAAAAhAANaherfAAAACwEAAA8AAAAAAAAAAAAAAAAAdwQAAGRycy9kb3ducmV2Lnht&#10;bFBLBQYAAAAABAAEAPMAAACDBQAAAAA=&#10;" o:allowincell="f" filled="f" stroked="f" strokeweight=".5pt">
              <v:textbox inset="20pt,0,,0">
                <w:txbxContent>
                  <w:p w14:paraId="22ABB47C" w14:textId="77777777" w:rsidR="004F44C0" w:rsidRPr="003C2FDB" w:rsidRDefault="004F44C0" w:rsidP="003C2FDB">
                    <w:pPr>
                      <w:spacing w:after="0"/>
                      <w:rPr>
                        <w:rFonts w:ascii="Calibri" w:hAnsi="Calibri" w:cs="Calibri"/>
                        <w:color w:val="000000"/>
                      </w:rPr>
                    </w:pPr>
                    <w:r w:rsidRPr="003C2FDB">
                      <w:rPr>
                        <w:rFonts w:ascii="Calibri" w:hAnsi="Calibri" w:cs="Calibri"/>
                        <w:color w:val="000000"/>
                      </w:rPr>
                      <w:t>OFFICIAL</w:t>
                    </w:r>
                  </w:p>
                </w:txbxContent>
              </v:textbox>
              <w10:wrap anchorx="page" anchory="page"/>
            </v:shape>
          </w:pict>
        </mc:Fallback>
      </mc:AlternateContent>
    </w:r>
    <w:r w:rsidR="004F44C0">
      <w:rPr>
        <w:noProof/>
        <w:color w:val="808080" w:themeColor="background1" w:themeShade="80"/>
        <w:szCs w:val="15"/>
        <w:lang w:eastAsia="en-AU"/>
      </w:rPr>
      <mc:AlternateContent>
        <mc:Choice Requires="wps">
          <w:drawing>
            <wp:anchor distT="0" distB="0" distL="114300" distR="114300" simplePos="0" relativeHeight="251658266" behindDoc="0" locked="0" layoutInCell="0" allowOverlap="1" wp14:anchorId="62FB9B8A" wp14:editId="698AE103">
              <wp:simplePos x="0" y="0"/>
              <wp:positionH relativeFrom="page">
                <wp:posOffset>0</wp:posOffset>
              </wp:positionH>
              <wp:positionV relativeFrom="page">
                <wp:posOffset>10228580</wp:posOffset>
              </wp:positionV>
              <wp:extent cx="7560945" cy="273050"/>
              <wp:effectExtent l="0" t="0" r="0" b="12700"/>
              <wp:wrapNone/>
              <wp:docPr id="27926" name="Text Box 27926" descr="{&quot;HashCode&quot;:-1267603503,&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9A5A13" w14:textId="77777777" w:rsidR="004F44C0" w:rsidRPr="007E53BD" w:rsidRDefault="004F44C0" w:rsidP="007E53BD">
                          <w:pPr>
                            <w:spacing w:after="0"/>
                            <w:rPr>
                              <w:rFonts w:ascii="Calibri" w:hAnsi="Calibri" w:cs="Calibri"/>
                              <w:color w:val="000000"/>
                            </w:rPr>
                          </w:pPr>
                          <w:r w:rsidRPr="007E53BD">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2FB9B8A" id="Text Box 27926" o:spid="_x0000_s1065" type="#_x0000_t202" alt="{&quot;HashCode&quot;:-1267603503,&quot;Height&quot;:841.0,&quot;Width&quot;:595.0,&quot;Placement&quot;:&quot;Footer&quot;,&quot;Index&quot;:&quot;Primary&quot;,&quot;Section&quot;:5,&quot;Top&quot;:0.0,&quot;Left&quot;:0.0}" style="position:absolute;margin-left:0;margin-top:805.4pt;width:595.35pt;height:21.5pt;z-index:25165826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" o:allowincell="f" filled="f" stroked="f" strokeweight=".5pt">
              <v:textbox inset="20pt,0,,0">
                <w:txbxContent>
                  <w:p w14:paraId="639A5A13" w14:textId="77777777" w:rsidR="004F44C0" w:rsidRPr="007E53BD" w:rsidRDefault="004F44C0" w:rsidP="007E53BD">
                    <w:pPr>
                      <w:spacing w:after="0"/>
                      <w:rPr>
                        <w:rFonts w:ascii="Calibri" w:hAnsi="Calibri" w:cs="Calibri"/>
                        <w:color w:val="000000"/>
                      </w:rPr>
                    </w:pPr>
                    <w:r w:rsidRPr="007E53BD">
                      <w:rPr>
                        <w:rFonts w:ascii="Calibri" w:hAnsi="Calibri" w:cs="Calibri"/>
                        <w:color w:val="000000"/>
                      </w:rPr>
                      <w:t>OFFICIAL</w:t>
                    </w:r>
                  </w:p>
                </w:txbxContent>
              </v:textbox>
              <w10:wrap anchorx="page" anchory="page"/>
            </v:shape>
          </w:pict>
        </mc:Fallback>
      </mc:AlternateContent>
    </w:r>
    <w:r w:rsidR="004F44C0">
      <w:rPr>
        <w:noProof/>
        <w:color w:val="808080" w:themeColor="background1" w:themeShade="80"/>
        <w:szCs w:val="15"/>
        <w:lang w:eastAsia="en-AU"/>
      </w:rPr>
      <mc:AlternateContent>
        <mc:Choice Requires="wps">
          <w:drawing>
            <wp:anchor distT="0" distB="0" distL="114300" distR="114300" simplePos="0" relativeHeight="251658265" behindDoc="0" locked="0" layoutInCell="0" allowOverlap="1" wp14:anchorId="0FE70ECD" wp14:editId="2E2F98BA">
              <wp:simplePos x="0" y="0"/>
              <wp:positionH relativeFrom="page">
                <wp:posOffset>0</wp:posOffset>
              </wp:positionH>
              <wp:positionV relativeFrom="page">
                <wp:posOffset>10228580</wp:posOffset>
              </wp:positionV>
              <wp:extent cx="7560945" cy="273050"/>
              <wp:effectExtent l="0" t="0" r="0" b="12700"/>
              <wp:wrapNone/>
              <wp:docPr id="27927" name="Text Box 27927" descr="{&quot;HashCode&quot;:-1267603503,&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25733" w14:textId="77777777" w:rsidR="004F44C0" w:rsidRPr="006E4028" w:rsidRDefault="004F44C0" w:rsidP="006E4028">
                          <w:pPr>
                            <w:spacing w:after="0"/>
                            <w:rPr>
                              <w:rFonts w:ascii="Calibri" w:hAnsi="Calibri" w:cs="Calibri"/>
                              <w:color w:val="000000"/>
                            </w:rPr>
                          </w:pPr>
                          <w:r w:rsidRPr="006E4028">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0FE70ECD" id="Text Box 27927" o:spid="_x0000_s1066" type="#_x0000_t202" alt="{&quot;HashCode&quot;:-1267603503,&quot;Height&quot;:841.0,&quot;Width&quot;:595.0,&quot;Placement&quot;:&quot;Footer&quot;,&quot;Index&quot;:&quot;Primary&quot;,&quot;Section&quot;:5,&quot;Top&quot;:0.0,&quot;Left&quot;:0.0}" style="position:absolute;margin-left:0;margin-top:805.4pt;width:595.35pt;height:21.5pt;z-index:25165826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" o:allowincell="f" filled="f" stroked="f" strokeweight=".5pt">
              <v:textbox inset="20pt,0,,0">
                <w:txbxContent>
                  <w:p w14:paraId="13925733" w14:textId="77777777" w:rsidR="004F44C0" w:rsidRPr="006E4028" w:rsidRDefault="004F44C0" w:rsidP="006E4028">
                    <w:pPr>
                      <w:spacing w:after="0"/>
                      <w:rPr>
                        <w:rFonts w:ascii="Calibri" w:hAnsi="Calibri" w:cs="Calibri"/>
                        <w:color w:val="000000"/>
                      </w:rPr>
                    </w:pPr>
                    <w:r w:rsidRPr="006E4028">
                      <w:rPr>
                        <w:rFonts w:ascii="Calibri" w:hAnsi="Calibri" w:cs="Calibri"/>
                        <w:color w:val="000000"/>
                      </w:rPr>
                      <w:t>OFFICIAL</w:t>
                    </w:r>
                  </w:p>
                </w:txbxContent>
              </v:textbox>
              <w10:wrap anchorx="page" anchory="page"/>
            </v:shape>
          </w:pict>
        </mc:Fallback>
      </mc:AlternateContent>
    </w:r>
    <w:sdt>
      <w:sdtPr>
        <w:rPr>
          <w:color w:val="808080" w:themeColor="background1" w:themeShade="80"/>
          <w:szCs w:val="15"/>
          <w:lang w:eastAsia="en-AU"/>
        </w:rPr>
        <w:alias w:val="Title"/>
        <w:id w:val="339283589"/>
        <w:dataBinding w:prefixMappings="xmlns:ns0='http://purl.org/dc/elements/1.1/' xmlns:ns1='http://schemas.openxmlformats.org/package/2006/metadata/core-properties' " w:xpath="/ns1:coreProperties[1]/ns0:title[1]" w:storeItemID="{6C3C8BC8-F283-45AE-878A-BAB7291924A1}"/>
        <w:text/>
      </w:sdtPr>
      <w:sdtContent>
        <w:r w:rsidR="004F44C0">
          <w:rPr>
            <w:color w:val="808080" w:themeColor="background1" w:themeShade="80"/>
            <w:szCs w:val="15"/>
            <w:lang w:eastAsia="en-AU"/>
          </w:rPr>
          <w:t>Building Reform: Paper Two</w:t>
        </w:r>
      </w:sdtContent>
    </w:sdt>
    <w:r w:rsidR="004F44C0">
      <w:rPr>
        <w:color w:val="808080" w:themeColor="background1" w:themeShade="80"/>
        <w:szCs w:val="15"/>
        <w:lang w:eastAsia="en-AU"/>
      </w:rPr>
      <w:t xml:space="preserve"> | Expert Panel on Building Reform</w:t>
    </w:r>
    <w:r w:rsidR="004F44C0" w:rsidRPr="00FD4AB1">
      <w:rPr>
        <w:rFonts w:ascii="Segoe UI Semibold" w:hAnsi="Segoe UI Semibold" w:cs="Segoe UI"/>
        <w:color w:val="A5A5A5"/>
      </w:rPr>
      <w:ptab w:relativeTo="margin" w:alignment="right" w:leader="none"/>
    </w:r>
    <w:r w:rsidR="004F44C0" w:rsidRPr="00FD4AB1">
      <w:rPr>
        <w:rFonts w:cs="Segoe UI"/>
        <w:color w:val="A5A5A5"/>
      </w:rPr>
      <w:t xml:space="preserve">| </w:t>
    </w:r>
    <w:r w:rsidR="004F44C0">
      <w:rPr>
        <w:rFonts w:cs="Segoe UI"/>
        <w:noProof/>
        <w:color w:val="A5A5A5"/>
      </w:rPr>
      <w:t xml:space="preserve">12 </w:t>
    </w:r>
    <w:r w:rsidR="004F44C0" w:rsidRPr="00FD4AB1">
      <w:rPr>
        <w:rFonts w:cs="Segoe UI"/>
        <w:color w:val="A5A5A5"/>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489E2" w14:textId="77777777" w:rsidR="00E43207" w:rsidRDefault="00E43207" w:rsidP="00302076">
      <w:pPr>
        <w:spacing w:after="0"/>
      </w:pPr>
      <w:r>
        <w:separator/>
      </w:r>
    </w:p>
  </w:footnote>
  <w:footnote w:type="continuationSeparator" w:id="0">
    <w:p w14:paraId="1B6DAA7D" w14:textId="77777777" w:rsidR="00E43207" w:rsidRDefault="00E43207" w:rsidP="00302076">
      <w:pPr>
        <w:spacing w:after="0"/>
      </w:pPr>
      <w:r>
        <w:continuationSeparator/>
      </w:r>
    </w:p>
  </w:footnote>
  <w:footnote w:type="continuationNotice" w:id="1">
    <w:p w14:paraId="76B8188E" w14:textId="77777777" w:rsidR="00E43207" w:rsidRDefault="00E4320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C7F22" w14:textId="02786539" w:rsidR="00865A27" w:rsidRDefault="00865A27">
    <w:r>
      <w:rPr>
        <w:noProof/>
        <w:sz w:val="20"/>
        <w:szCs w:val="20"/>
        <w:lang w:eastAsia="en-AU"/>
      </w:rPr>
      <w:drawing>
        <wp:anchor distT="0" distB="0" distL="114300" distR="114300" simplePos="0" relativeHeight="251658240" behindDoc="0" locked="0" layoutInCell="1" allowOverlap="1" wp14:anchorId="0436A3E2" wp14:editId="3F39C821">
          <wp:simplePos x="0" y="0"/>
          <wp:positionH relativeFrom="page">
            <wp:posOffset>3337</wp:posOffset>
          </wp:positionH>
          <wp:positionV relativeFrom="page">
            <wp:posOffset>-6985</wp:posOffset>
          </wp:positionV>
          <wp:extent cx="7559749" cy="116958"/>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3E7E2" w14:textId="56062171" w:rsidR="00424851" w:rsidRDefault="00424851" w:rsidP="00552FEA">
    <w:pPr>
      <w:jc w:val="right"/>
      <w:rPr>
        <w:noProof/>
      </w:rPr>
    </w:pPr>
  </w:p>
  <w:p w14:paraId="7F810082" w14:textId="4C401935" w:rsidR="004E46E0" w:rsidRDefault="00424851" w:rsidP="00552FEA">
    <w:pPr>
      <w:jc w:val="right"/>
    </w:pPr>
    <w:r>
      <w:rPr>
        <w:noProof/>
      </w:rPr>
      <w:drawing>
        <wp:inline distT="0" distB="0" distL="0" distR="0" wp14:anchorId="6E12ECF7" wp14:editId="24FB44A0">
          <wp:extent cx="1818313" cy="36000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8313" cy="360000"/>
                  </a:xfrm>
                  <a:prstGeom prst="rect">
                    <a:avLst/>
                  </a:prstGeom>
                  <a:noFill/>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0810A" w14:textId="2DF3A599" w:rsidR="00302F0B" w:rsidRDefault="00302F0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41AB3" w14:textId="11508855" w:rsidR="00302F0B" w:rsidRDefault="00302F0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33775" w14:textId="598ACC84" w:rsidR="0069476D" w:rsidRDefault="00AB06D4" w:rsidP="00552FEA">
    <w:pPr>
      <w:jc w:val="right"/>
    </w:pPr>
    <w:r>
      <w:rPr>
        <w:noProof/>
      </w:rPr>
      <w:drawing>
        <wp:inline distT="0" distB="0" distL="0" distR="0" wp14:anchorId="0B90B523" wp14:editId="2DB1DEC9">
          <wp:extent cx="2637469" cy="36000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7469" cy="360000"/>
                  </a:xfrm>
                  <a:prstGeom prst="rect">
                    <a:avLst/>
                  </a:prstGeom>
                  <a:noFill/>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8B01F" w14:textId="443DC8E3" w:rsidR="00302F0B" w:rsidRDefault="00302F0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D9A94" w14:textId="49034099" w:rsidR="00302F0B" w:rsidRDefault="00302F0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CB19C" w14:textId="1CD20D58" w:rsidR="004A50B3" w:rsidRDefault="00F935DE" w:rsidP="006B18A7">
    <w:pPr>
      <w:pStyle w:val="Header"/>
      <w:jc w:val="right"/>
    </w:pPr>
    <w:r>
      <w:rPr>
        <w:noProof/>
      </w:rPr>
      <w:drawing>
        <wp:inline distT="0" distB="0" distL="0" distR="0" wp14:anchorId="5027AEA8" wp14:editId="57281CAC">
          <wp:extent cx="1968934" cy="36000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934" cy="360000"/>
                  </a:xfrm>
                  <a:prstGeom prst="rect">
                    <a:avLst/>
                  </a:prstGeom>
                  <a:noFill/>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19F74" w14:textId="3CD4C12A" w:rsidR="00302F0B" w:rsidRDefault="00302F0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ECFD4" w14:textId="3385CA09" w:rsidR="00302F0B" w:rsidRDefault="00302F0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26E83" w14:textId="2EA480BB" w:rsidR="00F935DE" w:rsidRDefault="00426BD1" w:rsidP="006B18A7">
    <w:pPr>
      <w:pStyle w:val="Header"/>
      <w:jc w:val="right"/>
    </w:pPr>
    <w:r>
      <w:rPr>
        <w:noProof/>
      </w:rPr>
      <w:drawing>
        <wp:inline distT="0" distB="0" distL="0" distR="0" wp14:anchorId="6CD8A147" wp14:editId="041DDAC3">
          <wp:extent cx="2359197" cy="360000"/>
          <wp:effectExtent l="0" t="0" r="3175" b="2540"/>
          <wp:docPr id="27839" name="Picture 27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9197" cy="3600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AAC1E" w14:textId="07A70749" w:rsidR="00865A27" w:rsidRDefault="00865A27">
    <w:pPr>
      <w:tabs>
        <w:tab w:val="left" w:pos="1758"/>
      </w:tabs>
    </w:pPr>
    <w: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209A7" w14:textId="4156A1B1" w:rsidR="00302F0B" w:rsidRDefault="00302F0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35BA1" w14:textId="1836C99A" w:rsidR="00302F0B" w:rsidRDefault="00302F0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F00C9" w14:textId="08E0CE13" w:rsidR="0001207F" w:rsidRDefault="0001207F" w:rsidP="00B77896">
    <w:pPr>
      <w:pStyle w:val="Header"/>
      <w:jc w:val="righ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A2861" w14:textId="77EB4804" w:rsidR="00302F0B" w:rsidRDefault="00302F0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691CB" w14:textId="5FE1E343" w:rsidR="00302F0B" w:rsidRDefault="00302F0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C36D0" w14:textId="77D87E2B" w:rsidR="00ED3A21" w:rsidRDefault="00ED3A2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A3904" w14:textId="334E5A10" w:rsidR="00302F0B" w:rsidRDefault="00302F0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D7FDC" w14:textId="77777777" w:rsidR="003A4F7F" w:rsidRDefault="003A4F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CB950" w14:textId="47F225EB" w:rsidR="00302F0B" w:rsidRDefault="00302F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26023" w14:textId="2FA59279" w:rsidR="00480E68" w:rsidRDefault="00480E68" w:rsidP="00552FEA">
    <w:pP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2AFE8" w14:textId="5FCFF4E0" w:rsidR="00302F0B" w:rsidRDefault="00302F0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6A385" w14:textId="1DE3698C" w:rsidR="00302F0B" w:rsidRDefault="00302F0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7DCB3" w14:textId="3854F2CE" w:rsidR="009E5C39" w:rsidRDefault="009E5C3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87A0F" w14:textId="7DF0E739" w:rsidR="00302F0B" w:rsidRDefault="00302F0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761E1" w14:textId="7724B379" w:rsidR="00302F0B" w:rsidRDefault="00302F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48B61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9A31A2"/>
    <w:multiLevelType w:val="multilevel"/>
    <w:tmpl w:val="AA787042"/>
    <w:lvl w:ilvl="0">
      <w:start w:val="1"/>
      <w:numFmt w:val="decimal"/>
      <w:pStyle w:val="Heading1"/>
      <w:lvlText w:val="%1"/>
      <w:lvlJc w:val="left"/>
      <w:pPr>
        <w:ind w:left="432" w:hanging="432"/>
      </w:pPr>
      <w:rPr>
        <w:rFonts w:hint="default"/>
        <w:color w:val="1F2A44" w:themeColor="text2"/>
        <w:sz w:val="36"/>
        <w:szCs w:val="3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13625D8B"/>
    <w:multiLevelType w:val="hybridMultilevel"/>
    <w:tmpl w:val="F4482672"/>
    <w:lvl w:ilvl="0" w:tplc="608E9972">
      <w:start w:val="1"/>
      <w:numFmt w:val="decimal"/>
      <w:pStyle w:val="Listnumbered"/>
      <w:lvlText w:val="%1."/>
      <w:lvlJc w:val="left"/>
      <w:pPr>
        <w:ind w:left="397" w:hanging="397"/>
      </w:pPr>
      <w:rPr>
        <w:rFonts w:hint="default"/>
      </w:rPr>
    </w:lvl>
    <w:lvl w:ilvl="1" w:tplc="0C090019">
      <w:start w:val="1"/>
      <w:numFmt w:val="lowerLetter"/>
      <w:lvlText w:val="%2."/>
      <w:lvlJc w:val="left"/>
      <w:pPr>
        <w:ind w:left="794" w:hanging="397"/>
      </w:pPr>
      <w:rPr>
        <w:rFonts w:hint="default"/>
      </w:rPr>
    </w:lvl>
    <w:lvl w:ilvl="2" w:tplc="0C09001B">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927E39"/>
    <w:multiLevelType w:val="hybridMultilevel"/>
    <w:tmpl w:val="413ABF2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F8D1461"/>
    <w:multiLevelType w:val="hybridMultilevel"/>
    <w:tmpl w:val="798095D2"/>
    <w:lvl w:ilvl="0" w:tplc="FFFFFFFF">
      <w:start w:val="1"/>
      <w:numFmt w:val="upperLetter"/>
      <w:lvlText w:val="%1."/>
      <w:lvlJc w:val="left"/>
      <w:pPr>
        <w:ind w:left="720" w:hanging="360"/>
      </w:pPr>
      <w:rPr>
        <w:rFonts w:hint="default"/>
        <w:b/>
        <w:bCs/>
      </w:rPr>
    </w:lvl>
    <w:lvl w:ilvl="1" w:tplc="3D506FDA">
      <w:start w:val="1"/>
      <w:numFmt w:val="bullet"/>
      <w:pStyle w:val="Bullet"/>
      <w:lvlText w:val=""/>
      <w:lvlJc w:val="left"/>
      <w:pPr>
        <w:ind w:left="340" w:hanging="340"/>
      </w:pPr>
      <w:rPr>
        <w:rFonts w:ascii="Symbol" w:hAnsi="Symbol" w:hint="default"/>
        <w:sz w:val="16"/>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68C0C34"/>
    <w:multiLevelType w:val="hybridMultilevel"/>
    <w:tmpl w:val="0F5A71EC"/>
    <w:lvl w:ilvl="0" w:tplc="24EAA1DC">
      <w:start w:val="1"/>
      <w:numFmt w:val="bullet"/>
      <w:lvlText w:val="-"/>
      <w:lvlJc w:val="left"/>
      <w:pPr>
        <w:ind w:left="720" w:hanging="360"/>
      </w:pPr>
      <w:rPr>
        <w:rFonts w:ascii="Arial" w:eastAsiaTheme="minorHAnsi" w:hAnsi="Arial" w:cs="Aria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C27FBE"/>
    <w:multiLevelType w:val="hybridMultilevel"/>
    <w:tmpl w:val="F918D50E"/>
    <w:lvl w:ilvl="0" w:tplc="766A551E">
      <w:numFmt w:val="bullet"/>
      <w:lvlText w:val=""/>
      <w:lvlJc w:val="left"/>
      <w:pPr>
        <w:ind w:left="410" w:hanging="360"/>
      </w:pPr>
      <w:rPr>
        <w:rFonts w:ascii="Symbol" w:eastAsia="Times New Roman" w:hAnsi="Symbol" w:cs="Calibri" w:hint="default"/>
      </w:rPr>
    </w:lvl>
    <w:lvl w:ilvl="1" w:tplc="0C090003">
      <w:start w:val="1"/>
      <w:numFmt w:val="bullet"/>
      <w:lvlText w:val="o"/>
      <w:lvlJc w:val="left"/>
      <w:pPr>
        <w:ind w:left="1130" w:hanging="360"/>
      </w:pPr>
      <w:rPr>
        <w:rFonts w:ascii="Courier New" w:hAnsi="Courier New" w:cs="Courier New" w:hint="default"/>
      </w:rPr>
    </w:lvl>
    <w:lvl w:ilvl="2" w:tplc="0C090005">
      <w:start w:val="1"/>
      <w:numFmt w:val="bullet"/>
      <w:lvlText w:val=""/>
      <w:lvlJc w:val="left"/>
      <w:pPr>
        <w:ind w:left="1850" w:hanging="360"/>
      </w:pPr>
      <w:rPr>
        <w:rFonts w:ascii="Wingdings" w:hAnsi="Wingdings" w:hint="default"/>
      </w:rPr>
    </w:lvl>
    <w:lvl w:ilvl="3" w:tplc="0C090001">
      <w:start w:val="1"/>
      <w:numFmt w:val="bullet"/>
      <w:lvlText w:val=""/>
      <w:lvlJc w:val="left"/>
      <w:pPr>
        <w:ind w:left="2570" w:hanging="360"/>
      </w:pPr>
      <w:rPr>
        <w:rFonts w:ascii="Symbol" w:hAnsi="Symbol" w:hint="default"/>
      </w:rPr>
    </w:lvl>
    <w:lvl w:ilvl="4" w:tplc="0C090003">
      <w:start w:val="1"/>
      <w:numFmt w:val="bullet"/>
      <w:lvlText w:val="o"/>
      <w:lvlJc w:val="left"/>
      <w:pPr>
        <w:ind w:left="3290" w:hanging="360"/>
      </w:pPr>
      <w:rPr>
        <w:rFonts w:ascii="Courier New" w:hAnsi="Courier New" w:cs="Courier New" w:hint="default"/>
      </w:rPr>
    </w:lvl>
    <w:lvl w:ilvl="5" w:tplc="0C090005">
      <w:start w:val="1"/>
      <w:numFmt w:val="bullet"/>
      <w:lvlText w:val=""/>
      <w:lvlJc w:val="left"/>
      <w:pPr>
        <w:ind w:left="4010" w:hanging="360"/>
      </w:pPr>
      <w:rPr>
        <w:rFonts w:ascii="Wingdings" w:hAnsi="Wingdings" w:hint="default"/>
      </w:rPr>
    </w:lvl>
    <w:lvl w:ilvl="6" w:tplc="0C090001">
      <w:start w:val="1"/>
      <w:numFmt w:val="bullet"/>
      <w:lvlText w:val=""/>
      <w:lvlJc w:val="left"/>
      <w:pPr>
        <w:ind w:left="4730" w:hanging="360"/>
      </w:pPr>
      <w:rPr>
        <w:rFonts w:ascii="Symbol" w:hAnsi="Symbol" w:hint="default"/>
      </w:rPr>
    </w:lvl>
    <w:lvl w:ilvl="7" w:tplc="0C090003">
      <w:start w:val="1"/>
      <w:numFmt w:val="bullet"/>
      <w:lvlText w:val="o"/>
      <w:lvlJc w:val="left"/>
      <w:pPr>
        <w:ind w:left="5450" w:hanging="360"/>
      </w:pPr>
      <w:rPr>
        <w:rFonts w:ascii="Courier New" w:hAnsi="Courier New" w:cs="Courier New" w:hint="default"/>
      </w:rPr>
    </w:lvl>
    <w:lvl w:ilvl="8" w:tplc="0C090005">
      <w:start w:val="1"/>
      <w:numFmt w:val="bullet"/>
      <w:lvlText w:val=""/>
      <w:lvlJc w:val="left"/>
      <w:pPr>
        <w:ind w:left="6170" w:hanging="360"/>
      </w:pPr>
      <w:rPr>
        <w:rFonts w:ascii="Wingdings" w:hAnsi="Wingdings" w:hint="default"/>
      </w:rPr>
    </w:lvl>
  </w:abstractNum>
  <w:abstractNum w:abstractNumId="7" w15:restartNumberingAfterBreak="0">
    <w:nsid w:val="30C8138E"/>
    <w:multiLevelType w:val="hybridMultilevel"/>
    <w:tmpl w:val="BC06C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D038B1"/>
    <w:multiLevelType w:val="hybridMultilevel"/>
    <w:tmpl w:val="3D704F8E"/>
    <w:lvl w:ilvl="0" w:tplc="7166D640">
      <w:start w:val="1"/>
      <w:numFmt w:val="upp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D85625B"/>
    <w:multiLevelType w:val="hybridMultilevel"/>
    <w:tmpl w:val="873EDAC6"/>
    <w:lvl w:ilvl="0" w:tplc="CE6C99B4">
      <w:start w:val="1"/>
      <w:numFmt w:val="upperLetter"/>
      <w:pStyle w:val="Appendix"/>
      <w:lvlText w:val="Appendix %1"/>
      <w:lvlJc w:val="left"/>
      <w:pPr>
        <w:ind w:left="360" w:hanging="360"/>
      </w:pPr>
      <w:rPr>
        <w:rFonts w:hint="default"/>
      </w:rPr>
    </w:lvl>
    <w:lvl w:ilvl="1" w:tplc="0F7ED7D4">
      <w:start w:val="1"/>
      <w:numFmt w:val="lowerLetter"/>
      <w:lvlText w:val="%2)"/>
      <w:lvlJc w:val="left"/>
      <w:pPr>
        <w:ind w:left="720" w:hanging="360"/>
      </w:pPr>
      <w:rPr>
        <w:rFonts w:hint="default"/>
      </w:rPr>
    </w:lvl>
    <w:lvl w:ilvl="2" w:tplc="A23ED020">
      <w:start w:val="1"/>
      <w:numFmt w:val="lowerRoman"/>
      <w:lvlText w:val="%3)"/>
      <w:lvlJc w:val="left"/>
      <w:pPr>
        <w:ind w:left="1080" w:hanging="360"/>
      </w:pPr>
      <w:rPr>
        <w:rFonts w:hint="default"/>
      </w:rPr>
    </w:lvl>
    <w:lvl w:ilvl="3" w:tplc="195AE20E">
      <w:start w:val="1"/>
      <w:numFmt w:val="decimal"/>
      <w:lvlText w:val="(%4)"/>
      <w:lvlJc w:val="left"/>
      <w:pPr>
        <w:ind w:left="1440" w:hanging="360"/>
      </w:pPr>
      <w:rPr>
        <w:rFonts w:hint="default"/>
      </w:rPr>
    </w:lvl>
    <w:lvl w:ilvl="4" w:tplc="BEFC54FE">
      <w:start w:val="1"/>
      <w:numFmt w:val="lowerLetter"/>
      <w:lvlText w:val="(%5)"/>
      <w:lvlJc w:val="left"/>
      <w:pPr>
        <w:ind w:left="1800" w:hanging="360"/>
      </w:pPr>
      <w:rPr>
        <w:rFonts w:hint="default"/>
      </w:rPr>
    </w:lvl>
    <w:lvl w:ilvl="5" w:tplc="1256B450">
      <w:start w:val="1"/>
      <w:numFmt w:val="lowerRoman"/>
      <w:lvlText w:val="(%6)"/>
      <w:lvlJc w:val="left"/>
      <w:pPr>
        <w:ind w:left="2160" w:hanging="360"/>
      </w:pPr>
      <w:rPr>
        <w:rFonts w:hint="default"/>
      </w:rPr>
    </w:lvl>
    <w:lvl w:ilvl="6" w:tplc="CDE0A1EC">
      <w:start w:val="1"/>
      <w:numFmt w:val="decimal"/>
      <w:lvlText w:val="%7."/>
      <w:lvlJc w:val="left"/>
      <w:pPr>
        <w:ind w:left="2520" w:hanging="360"/>
      </w:pPr>
      <w:rPr>
        <w:rFonts w:hint="default"/>
      </w:rPr>
    </w:lvl>
    <w:lvl w:ilvl="7" w:tplc="42BEDB08">
      <w:start w:val="1"/>
      <w:numFmt w:val="lowerLetter"/>
      <w:lvlText w:val="%8."/>
      <w:lvlJc w:val="left"/>
      <w:pPr>
        <w:ind w:left="2880" w:hanging="360"/>
      </w:pPr>
      <w:rPr>
        <w:rFonts w:hint="default"/>
      </w:rPr>
    </w:lvl>
    <w:lvl w:ilvl="8" w:tplc="416E797E">
      <w:start w:val="1"/>
      <w:numFmt w:val="lowerRoman"/>
      <w:lvlText w:val="%9."/>
      <w:lvlJc w:val="left"/>
      <w:pPr>
        <w:ind w:left="3240" w:hanging="360"/>
      </w:pPr>
      <w:rPr>
        <w:rFonts w:hint="default"/>
      </w:rPr>
    </w:lvl>
  </w:abstractNum>
  <w:abstractNum w:abstractNumId="10" w15:restartNumberingAfterBreak="0">
    <w:nsid w:val="43002A26"/>
    <w:multiLevelType w:val="hybridMultilevel"/>
    <w:tmpl w:val="76DC5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C0392D"/>
    <w:multiLevelType w:val="hybridMultilevel"/>
    <w:tmpl w:val="1E40EADE"/>
    <w:lvl w:ilvl="0" w:tplc="E9FE79FC">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E7D671E"/>
    <w:multiLevelType w:val="hybridMultilevel"/>
    <w:tmpl w:val="8444AEE6"/>
    <w:lvl w:ilvl="0" w:tplc="49361CBA">
      <w:start w:val="1"/>
      <w:numFmt w:val="upp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ED16419"/>
    <w:multiLevelType w:val="hybridMultilevel"/>
    <w:tmpl w:val="174405D0"/>
    <w:lvl w:ilvl="0" w:tplc="660E9064">
      <w:start w:val="1"/>
      <w:numFmt w:val="upp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58C358E"/>
    <w:multiLevelType w:val="hybridMultilevel"/>
    <w:tmpl w:val="AD3E9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035523"/>
    <w:multiLevelType w:val="hybridMultilevel"/>
    <w:tmpl w:val="D298A3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0207FB"/>
    <w:multiLevelType w:val="hybridMultilevel"/>
    <w:tmpl w:val="53B0190C"/>
    <w:lvl w:ilvl="0" w:tplc="C0DA0B0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3E1DDD"/>
    <w:multiLevelType w:val="hybridMultilevel"/>
    <w:tmpl w:val="110A262A"/>
    <w:lvl w:ilvl="0" w:tplc="F2B8033A">
      <w:start w:val="1"/>
      <w:numFmt w:val="upperLetter"/>
      <w:lvlText w:val="%1."/>
      <w:lvlJc w:val="left"/>
      <w:pPr>
        <w:ind w:left="720" w:hanging="360"/>
      </w:pPr>
      <w:rPr>
        <w:rFonts w:hint="default"/>
        <w:b/>
        <w:bCs/>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01A7760"/>
    <w:multiLevelType w:val="hybridMultilevel"/>
    <w:tmpl w:val="2564C942"/>
    <w:lvl w:ilvl="0" w:tplc="8C5C4F60">
      <w:start w:val="1"/>
      <w:numFmt w:val="decimal"/>
      <w:lvlText w:val="%1."/>
      <w:lvlJc w:val="left"/>
      <w:pPr>
        <w:ind w:left="360" w:hanging="360"/>
      </w:pPr>
      <w:rPr>
        <w:rFonts w:ascii="Arial" w:eastAsiaTheme="minorHAnsi" w:hAnsi="Arial" w:cstheme="minorBidi"/>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71A16EBA"/>
    <w:multiLevelType w:val="multilevel"/>
    <w:tmpl w:val="0A081872"/>
    <w:lvl w:ilvl="0">
      <w:start w:val="1"/>
      <w:numFmt w:val="upperLetter"/>
      <w:pStyle w:val="xAppendixLevel1"/>
      <w:lvlText w:val="Appendix %1"/>
      <w:lvlJc w:val="left"/>
      <w:rPr>
        <w:specVanish w:val="0"/>
      </w:rPr>
    </w:lvl>
    <w:lvl w:ilvl="1">
      <w:start w:val="1"/>
      <w:numFmt w:val="decimal"/>
      <w:pStyle w:val="xAppendixLevel2"/>
      <w:lvlText w:val="%1.%2"/>
      <w:lvlJc w:val="left"/>
      <w:pPr>
        <w:ind w:left="993" w:hanging="851"/>
      </w:pPr>
      <w:rPr>
        <w:rFonts w:hint="default"/>
        <w:color w:val="00264D"/>
        <w:sz w:val="34"/>
        <w:szCs w:val="34"/>
      </w:rPr>
    </w:lvl>
    <w:lvl w:ilvl="2">
      <w:start w:val="1"/>
      <w:numFmt w:val="decimal"/>
      <w:pStyle w:val="xAppendixLevel3"/>
      <w:lvlText w:val="%1.%2.%3"/>
      <w:lvlJc w:val="left"/>
      <w:pPr>
        <w:ind w:left="993" w:hanging="851"/>
      </w:pPr>
      <w:rPr>
        <w:rFonts w:hint="default"/>
        <w:color w:val="00264D"/>
        <w:sz w:val="28"/>
        <w:szCs w:val="28"/>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20" w15:restartNumberingAfterBreak="0">
    <w:nsid w:val="79B7218E"/>
    <w:multiLevelType w:val="hybridMultilevel"/>
    <w:tmpl w:val="0AB8B262"/>
    <w:lvl w:ilvl="0" w:tplc="3D506FDA">
      <w:start w:val="1"/>
      <w:numFmt w:val="bullet"/>
      <w:lvlText w:val=""/>
      <w:lvlJc w:val="left"/>
      <w:pPr>
        <w:ind w:left="340" w:hanging="340"/>
      </w:pPr>
      <w:rPr>
        <w:rFonts w:ascii="Symbol" w:hAnsi="Symbol"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3068EE"/>
    <w:multiLevelType w:val="hybridMultilevel"/>
    <w:tmpl w:val="DC7C2906"/>
    <w:lvl w:ilvl="0" w:tplc="261C43D8">
      <w:start w:val="1"/>
      <w:numFmt w:val="upperLetter"/>
      <w:lvlText w:val="%1."/>
      <w:lvlJc w:val="left"/>
      <w:pPr>
        <w:ind w:left="720" w:hanging="360"/>
      </w:pPr>
      <w:rPr>
        <w:rFonts w:hint="default"/>
        <w:b/>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A9F7E1B"/>
    <w:multiLevelType w:val="hybridMultilevel"/>
    <w:tmpl w:val="B2D64E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56820653">
    <w:abstractNumId w:val="2"/>
  </w:num>
  <w:num w:numId="2" w16cid:durableId="444037720">
    <w:abstractNumId w:val="1"/>
  </w:num>
  <w:num w:numId="3" w16cid:durableId="584345660">
    <w:abstractNumId w:val="20"/>
  </w:num>
  <w:num w:numId="4" w16cid:durableId="1958759967">
    <w:abstractNumId w:val="17"/>
  </w:num>
  <w:num w:numId="5" w16cid:durableId="1748531304">
    <w:abstractNumId w:val="2"/>
    <w:lvlOverride w:ilvl="0">
      <w:startOverride w:val="1"/>
    </w:lvlOverride>
  </w:num>
  <w:num w:numId="6" w16cid:durableId="106699810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41807027">
    <w:abstractNumId w:val="21"/>
  </w:num>
  <w:num w:numId="8" w16cid:durableId="230240718">
    <w:abstractNumId w:val="2"/>
    <w:lvlOverride w:ilvl="0">
      <w:startOverride w:val="1"/>
    </w:lvlOverride>
  </w:num>
  <w:num w:numId="9" w16cid:durableId="1705713559">
    <w:abstractNumId w:val="2"/>
    <w:lvlOverride w:ilvl="0">
      <w:startOverride w:val="1"/>
    </w:lvlOverride>
  </w:num>
  <w:num w:numId="10" w16cid:durableId="1621303097">
    <w:abstractNumId w:val="12"/>
  </w:num>
  <w:num w:numId="11" w16cid:durableId="230772300">
    <w:abstractNumId w:val="13"/>
  </w:num>
  <w:num w:numId="12" w16cid:durableId="307126449">
    <w:abstractNumId w:val="4"/>
  </w:num>
  <w:num w:numId="13" w16cid:durableId="466778970">
    <w:abstractNumId w:val="11"/>
  </w:num>
  <w:num w:numId="14" w16cid:durableId="2216740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09974761">
    <w:abstractNumId w:val="0"/>
  </w:num>
  <w:num w:numId="16" w16cid:durableId="712534150">
    <w:abstractNumId w:val="18"/>
    <w:lvlOverride w:ilvl="0">
      <w:startOverride w:val="1"/>
    </w:lvlOverride>
  </w:num>
  <w:num w:numId="17" w16cid:durableId="1704593162">
    <w:abstractNumId w:val="15"/>
  </w:num>
  <w:num w:numId="18" w16cid:durableId="1030838358">
    <w:abstractNumId w:val="9"/>
  </w:num>
  <w:num w:numId="19" w16cid:durableId="12799920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7560921">
    <w:abstractNumId w:val="3"/>
  </w:num>
  <w:num w:numId="21" w16cid:durableId="1725568362">
    <w:abstractNumId w:val="8"/>
  </w:num>
  <w:num w:numId="22" w16cid:durableId="1952777458">
    <w:abstractNumId w:val="6"/>
  </w:num>
  <w:num w:numId="23" w16cid:durableId="1450322124">
    <w:abstractNumId w:val="16"/>
  </w:num>
  <w:num w:numId="24" w16cid:durableId="1595168812">
    <w:abstractNumId w:val="22"/>
  </w:num>
  <w:num w:numId="25" w16cid:durableId="1530602431">
    <w:abstractNumId w:val="5"/>
  </w:num>
  <w:num w:numId="26" w16cid:durableId="382874896">
    <w:abstractNumId w:val="1"/>
  </w:num>
  <w:num w:numId="27" w16cid:durableId="67970222">
    <w:abstractNumId w:val="7"/>
  </w:num>
  <w:num w:numId="28" w16cid:durableId="1667005749">
    <w:abstractNumId w:val="14"/>
  </w:num>
  <w:num w:numId="29" w16cid:durableId="857741631">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8CF"/>
    <w:rsid w:val="000007AF"/>
    <w:rsid w:val="0000085A"/>
    <w:rsid w:val="00000CD0"/>
    <w:rsid w:val="00001AD8"/>
    <w:rsid w:val="00001EB5"/>
    <w:rsid w:val="000021BF"/>
    <w:rsid w:val="00002C22"/>
    <w:rsid w:val="00002E19"/>
    <w:rsid w:val="00002EA2"/>
    <w:rsid w:val="0000302D"/>
    <w:rsid w:val="00003727"/>
    <w:rsid w:val="00003B63"/>
    <w:rsid w:val="00003D38"/>
    <w:rsid w:val="00003DBE"/>
    <w:rsid w:val="0000415F"/>
    <w:rsid w:val="0000440B"/>
    <w:rsid w:val="000044F3"/>
    <w:rsid w:val="000044F6"/>
    <w:rsid w:val="00004655"/>
    <w:rsid w:val="0000467B"/>
    <w:rsid w:val="000047BF"/>
    <w:rsid w:val="00004964"/>
    <w:rsid w:val="00004B2B"/>
    <w:rsid w:val="000052EC"/>
    <w:rsid w:val="00005564"/>
    <w:rsid w:val="00005AAF"/>
    <w:rsid w:val="00005FC6"/>
    <w:rsid w:val="00006198"/>
    <w:rsid w:val="00006232"/>
    <w:rsid w:val="000064F2"/>
    <w:rsid w:val="0000659E"/>
    <w:rsid w:val="0000670F"/>
    <w:rsid w:val="0000706A"/>
    <w:rsid w:val="00007189"/>
    <w:rsid w:val="000100DF"/>
    <w:rsid w:val="0001092B"/>
    <w:rsid w:val="00010E0D"/>
    <w:rsid w:val="00010FE5"/>
    <w:rsid w:val="000113CE"/>
    <w:rsid w:val="0001141A"/>
    <w:rsid w:val="000114AD"/>
    <w:rsid w:val="0001171C"/>
    <w:rsid w:val="00011B4E"/>
    <w:rsid w:val="00011CF5"/>
    <w:rsid w:val="0001206C"/>
    <w:rsid w:val="0001207F"/>
    <w:rsid w:val="00012262"/>
    <w:rsid w:val="00012A93"/>
    <w:rsid w:val="00012B86"/>
    <w:rsid w:val="00012BEA"/>
    <w:rsid w:val="00012E8F"/>
    <w:rsid w:val="00013017"/>
    <w:rsid w:val="0001320E"/>
    <w:rsid w:val="000137FA"/>
    <w:rsid w:val="000139F0"/>
    <w:rsid w:val="00014099"/>
    <w:rsid w:val="0001469D"/>
    <w:rsid w:val="0001483F"/>
    <w:rsid w:val="00014BD3"/>
    <w:rsid w:val="0001519C"/>
    <w:rsid w:val="0001558B"/>
    <w:rsid w:val="00015931"/>
    <w:rsid w:val="00016486"/>
    <w:rsid w:val="00016558"/>
    <w:rsid w:val="00016956"/>
    <w:rsid w:val="00016B74"/>
    <w:rsid w:val="000175EE"/>
    <w:rsid w:val="00017686"/>
    <w:rsid w:val="00017BCB"/>
    <w:rsid w:val="00017DFC"/>
    <w:rsid w:val="0002032E"/>
    <w:rsid w:val="000209F8"/>
    <w:rsid w:val="00020BE1"/>
    <w:rsid w:val="00020BFC"/>
    <w:rsid w:val="00020D2E"/>
    <w:rsid w:val="000210F6"/>
    <w:rsid w:val="0002182B"/>
    <w:rsid w:val="00021858"/>
    <w:rsid w:val="000218B6"/>
    <w:rsid w:val="00021908"/>
    <w:rsid w:val="00021938"/>
    <w:rsid w:val="0002199A"/>
    <w:rsid w:val="00022007"/>
    <w:rsid w:val="00022186"/>
    <w:rsid w:val="000224F4"/>
    <w:rsid w:val="00022A49"/>
    <w:rsid w:val="00022D54"/>
    <w:rsid w:val="0002378D"/>
    <w:rsid w:val="00023C9F"/>
    <w:rsid w:val="0002424D"/>
    <w:rsid w:val="000244AE"/>
    <w:rsid w:val="00024FB3"/>
    <w:rsid w:val="000250F2"/>
    <w:rsid w:val="000255E1"/>
    <w:rsid w:val="00025AF3"/>
    <w:rsid w:val="00025C62"/>
    <w:rsid w:val="00025D15"/>
    <w:rsid w:val="00026561"/>
    <w:rsid w:val="00026890"/>
    <w:rsid w:val="00026A2F"/>
    <w:rsid w:val="000278B0"/>
    <w:rsid w:val="00027C83"/>
    <w:rsid w:val="00027E40"/>
    <w:rsid w:val="00027FAF"/>
    <w:rsid w:val="00030115"/>
    <w:rsid w:val="000302C3"/>
    <w:rsid w:val="000303C6"/>
    <w:rsid w:val="000305C7"/>
    <w:rsid w:val="000307E0"/>
    <w:rsid w:val="00030D87"/>
    <w:rsid w:val="00031437"/>
    <w:rsid w:val="00031A6B"/>
    <w:rsid w:val="00031E0C"/>
    <w:rsid w:val="0003299A"/>
    <w:rsid w:val="00032B02"/>
    <w:rsid w:val="00033113"/>
    <w:rsid w:val="000334BC"/>
    <w:rsid w:val="000334E3"/>
    <w:rsid w:val="00033596"/>
    <w:rsid w:val="00033CFF"/>
    <w:rsid w:val="0003400A"/>
    <w:rsid w:val="00034359"/>
    <w:rsid w:val="000343F5"/>
    <w:rsid w:val="0003496D"/>
    <w:rsid w:val="00034A6D"/>
    <w:rsid w:val="00034B8A"/>
    <w:rsid w:val="000353C0"/>
    <w:rsid w:val="00035A0D"/>
    <w:rsid w:val="00036271"/>
    <w:rsid w:val="000363D3"/>
    <w:rsid w:val="000363DA"/>
    <w:rsid w:val="00036825"/>
    <w:rsid w:val="00036A12"/>
    <w:rsid w:val="00037139"/>
    <w:rsid w:val="00037408"/>
    <w:rsid w:val="000374C4"/>
    <w:rsid w:val="00037977"/>
    <w:rsid w:val="0003799A"/>
    <w:rsid w:val="00037C03"/>
    <w:rsid w:val="00037DA4"/>
    <w:rsid w:val="00037E04"/>
    <w:rsid w:val="0004033A"/>
    <w:rsid w:val="000409E3"/>
    <w:rsid w:val="000410D1"/>
    <w:rsid w:val="00041362"/>
    <w:rsid w:val="0004176F"/>
    <w:rsid w:val="00042149"/>
    <w:rsid w:val="00042492"/>
    <w:rsid w:val="000424AB"/>
    <w:rsid w:val="00042F87"/>
    <w:rsid w:val="000431EE"/>
    <w:rsid w:val="00043425"/>
    <w:rsid w:val="00043553"/>
    <w:rsid w:val="000445C9"/>
    <w:rsid w:val="00044CD4"/>
    <w:rsid w:val="000450DF"/>
    <w:rsid w:val="000453A1"/>
    <w:rsid w:val="000454C9"/>
    <w:rsid w:val="000455AF"/>
    <w:rsid w:val="00045794"/>
    <w:rsid w:val="000458E3"/>
    <w:rsid w:val="000459EA"/>
    <w:rsid w:val="00045D6B"/>
    <w:rsid w:val="000461D3"/>
    <w:rsid w:val="00046720"/>
    <w:rsid w:val="00046B31"/>
    <w:rsid w:val="000471B8"/>
    <w:rsid w:val="000471DD"/>
    <w:rsid w:val="0004739A"/>
    <w:rsid w:val="00047D2E"/>
    <w:rsid w:val="00050370"/>
    <w:rsid w:val="00050449"/>
    <w:rsid w:val="00050684"/>
    <w:rsid w:val="000506DD"/>
    <w:rsid w:val="000509D6"/>
    <w:rsid w:val="00050B5A"/>
    <w:rsid w:val="00050F8B"/>
    <w:rsid w:val="000510E2"/>
    <w:rsid w:val="00051141"/>
    <w:rsid w:val="00051335"/>
    <w:rsid w:val="00051550"/>
    <w:rsid w:val="00051801"/>
    <w:rsid w:val="00051EAB"/>
    <w:rsid w:val="00051FE8"/>
    <w:rsid w:val="0005225E"/>
    <w:rsid w:val="000522F7"/>
    <w:rsid w:val="00052370"/>
    <w:rsid w:val="0005264B"/>
    <w:rsid w:val="000528D2"/>
    <w:rsid w:val="000528EE"/>
    <w:rsid w:val="000529BE"/>
    <w:rsid w:val="000530C1"/>
    <w:rsid w:val="00053124"/>
    <w:rsid w:val="0005344F"/>
    <w:rsid w:val="0005417B"/>
    <w:rsid w:val="000543A8"/>
    <w:rsid w:val="00054A4A"/>
    <w:rsid w:val="00054DAD"/>
    <w:rsid w:val="00054EE7"/>
    <w:rsid w:val="00055043"/>
    <w:rsid w:val="00055269"/>
    <w:rsid w:val="000563B4"/>
    <w:rsid w:val="00056439"/>
    <w:rsid w:val="000570DD"/>
    <w:rsid w:val="00057403"/>
    <w:rsid w:val="00057825"/>
    <w:rsid w:val="00057EC5"/>
    <w:rsid w:val="00060120"/>
    <w:rsid w:val="00060172"/>
    <w:rsid w:val="0006033C"/>
    <w:rsid w:val="000605B4"/>
    <w:rsid w:val="00060603"/>
    <w:rsid w:val="000609CB"/>
    <w:rsid w:val="00060BCE"/>
    <w:rsid w:val="000610D7"/>
    <w:rsid w:val="00061166"/>
    <w:rsid w:val="0006120B"/>
    <w:rsid w:val="00061260"/>
    <w:rsid w:val="0006146B"/>
    <w:rsid w:val="000618AB"/>
    <w:rsid w:val="00061B7C"/>
    <w:rsid w:val="00061BA2"/>
    <w:rsid w:val="00061CF2"/>
    <w:rsid w:val="00062760"/>
    <w:rsid w:val="000629A9"/>
    <w:rsid w:val="00062C7C"/>
    <w:rsid w:val="00063681"/>
    <w:rsid w:val="0006393A"/>
    <w:rsid w:val="00063B7C"/>
    <w:rsid w:val="00063BCB"/>
    <w:rsid w:val="00063EC0"/>
    <w:rsid w:val="000640D2"/>
    <w:rsid w:val="0006444E"/>
    <w:rsid w:val="000644D6"/>
    <w:rsid w:val="00064562"/>
    <w:rsid w:val="00064634"/>
    <w:rsid w:val="00064DAE"/>
    <w:rsid w:val="00064E89"/>
    <w:rsid w:val="00064EED"/>
    <w:rsid w:val="0006572A"/>
    <w:rsid w:val="000660E5"/>
    <w:rsid w:val="000662A6"/>
    <w:rsid w:val="000663B0"/>
    <w:rsid w:val="00066A10"/>
    <w:rsid w:val="00066DCC"/>
    <w:rsid w:val="00066FB4"/>
    <w:rsid w:val="00067218"/>
    <w:rsid w:val="00067316"/>
    <w:rsid w:val="0006740B"/>
    <w:rsid w:val="000676B1"/>
    <w:rsid w:val="000703D3"/>
    <w:rsid w:val="00070443"/>
    <w:rsid w:val="00070480"/>
    <w:rsid w:val="00070EEB"/>
    <w:rsid w:val="00070F90"/>
    <w:rsid w:val="00071896"/>
    <w:rsid w:val="00071DFF"/>
    <w:rsid w:val="0007219A"/>
    <w:rsid w:val="000724CA"/>
    <w:rsid w:val="0007281B"/>
    <w:rsid w:val="00072F5E"/>
    <w:rsid w:val="00073432"/>
    <w:rsid w:val="00074261"/>
    <w:rsid w:val="000745DA"/>
    <w:rsid w:val="00074A52"/>
    <w:rsid w:val="00074CF6"/>
    <w:rsid w:val="00074E0B"/>
    <w:rsid w:val="000750F3"/>
    <w:rsid w:val="00075B00"/>
    <w:rsid w:val="00075CC7"/>
    <w:rsid w:val="00075F20"/>
    <w:rsid w:val="00076E2F"/>
    <w:rsid w:val="00076ECB"/>
    <w:rsid w:val="0007700F"/>
    <w:rsid w:val="0007718B"/>
    <w:rsid w:val="00077346"/>
    <w:rsid w:val="00077E46"/>
    <w:rsid w:val="00077E75"/>
    <w:rsid w:val="0008037E"/>
    <w:rsid w:val="00080A5A"/>
    <w:rsid w:val="000812C9"/>
    <w:rsid w:val="0008192E"/>
    <w:rsid w:val="00081B85"/>
    <w:rsid w:val="00081D2C"/>
    <w:rsid w:val="00081EAD"/>
    <w:rsid w:val="00082092"/>
    <w:rsid w:val="000828B7"/>
    <w:rsid w:val="00082E41"/>
    <w:rsid w:val="0008376C"/>
    <w:rsid w:val="0008390A"/>
    <w:rsid w:val="00084249"/>
    <w:rsid w:val="00084390"/>
    <w:rsid w:val="000843E2"/>
    <w:rsid w:val="0008446D"/>
    <w:rsid w:val="00084648"/>
    <w:rsid w:val="000848B4"/>
    <w:rsid w:val="00084B80"/>
    <w:rsid w:val="00084CBA"/>
    <w:rsid w:val="00084CC1"/>
    <w:rsid w:val="00084D53"/>
    <w:rsid w:val="00085079"/>
    <w:rsid w:val="00085287"/>
    <w:rsid w:val="00085373"/>
    <w:rsid w:val="00085805"/>
    <w:rsid w:val="00085A56"/>
    <w:rsid w:val="00085F03"/>
    <w:rsid w:val="00086094"/>
    <w:rsid w:val="000860C2"/>
    <w:rsid w:val="00087968"/>
    <w:rsid w:val="00090305"/>
    <w:rsid w:val="0009050D"/>
    <w:rsid w:val="00090A7F"/>
    <w:rsid w:val="00090D83"/>
    <w:rsid w:val="000910AF"/>
    <w:rsid w:val="00091927"/>
    <w:rsid w:val="00091BDF"/>
    <w:rsid w:val="00092270"/>
    <w:rsid w:val="00092A57"/>
    <w:rsid w:val="00092F05"/>
    <w:rsid w:val="000931E1"/>
    <w:rsid w:val="00093E95"/>
    <w:rsid w:val="000945C8"/>
    <w:rsid w:val="00094C4F"/>
    <w:rsid w:val="00094DD2"/>
    <w:rsid w:val="00095083"/>
    <w:rsid w:val="0009527A"/>
    <w:rsid w:val="000954E4"/>
    <w:rsid w:val="00096022"/>
    <w:rsid w:val="00096474"/>
    <w:rsid w:val="0009664A"/>
    <w:rsid w:val="00096A2D"/>
    <w:rsid w:val="00096DA1"/>
    <w:rsid w:val="00096EFA"/>
    <w:rsid w:val="00097070"/>
    <w:rsid w:val="000970F6"/>
    <w:rsid w:val="0009728C"/>
    <w:rsid w:val="0009743B"/>
    <w:rsid w:val="000975CE"/>
    <w:rsid w:val="000A0400"/>
    <w:rsid w:val="000A0701"/>
    <w:rsid w:val="000A0B1B"/>
    <w:rsid w:val="000A0BF9"/>
    <w:rsid w:val="000A1074"/>
    <w:rsid w:val="000A18E9"/>
    <w:rsid w:val="000A1944"/>
    <w:rsid w:val="000A1D60"/>
    <w:rsid w:val="000A1FA0"/>
    <w:rsid w:val="000A225C"/>
    <w:rsid w:val="000A248C"/>
    <w:rsid w:val="000A31BA"/>
    <w:rsid w:val="000A395E"/>
    <w:rsid w:val="000A3B36"/>
    <w:rsid w:val="000A3EE3"/>
    <w:rsid w:val="000A4352"/>
    <w:rsid w:val="000A4B4F"/>
    <w:rsid w:val="000A542D"/>
    <w:rsid w:val="000A59B6"/>
    <w:rsid w:val="000A5D3E"/>
    <w:rsid w:val="000A5EB2"/>
    <w:rsid w:val="000A630F"/>
    <w:rsid w:val="000A64AD"/>
    <w:rsid w:val="000A719F"/>
    <w:rsid w:val="000A71F8"/>
    <w:rsid w:val="000A7362"/>
    <w:rsid w:val="000A7509"/>
    <w:rsid w:val="000A754D"/>
    <w:rsid w:val="000A7825"/>
    <w:rsid w:val="000A7EF2"/>
    <w:rsid w:val="000B002D"/>
    <w:rsid w:val="000B00DE"/>
    <w:rsid w:val="000B02F4"/>
    <w:rsid w:val="000B0440"/>
    <w:rsid w:val="000B046A"/>
    <w:rsid w:val="000B0878"/>
    <w:rsid w:val="000B1168"/>
    <w:rsid w:val="000B138E"/>
    <w:rsid w:val="000B1758"/>
    <w:rsid w:val="000B189C"/>
    <w:rsid w:val="000B1914"/>
    <w:rsid w:val="000B1A55"/>
    <w:rsid w:val="000B20D6"/>
    <w:rsid w:val="000B26D8"/>
    <w:rsid w:val="000B2962"/>
    <w:rsid w:val="000B297D"/>
    <w:rsid w:val="000B2C83"/>
    <w:rsid w:val="000B2EF1"/>
    <w:rsid w:val="000B3120"/>
    <w:rsid w:val="000B324B"/>
    <w:rsid w:val="000B32B6"/>
    <w:rsid w:val="000B3B94"/>
    <w:rsid w:val="000B3C0D"/>
    <w:rsid w:val="000B42C0"/>
    <w:rsid w:val="000B449C"/>
    <w:rsid w:val="000B4632"/>
    <w:rsid w:val="000B502C"/>
    <w:rsid w:val="000B5196"/>
    <w:rsid w:val="000B57AE"/>
    <w:rsid w:val="000B59F3"/>
    <w:rsid w:val="000B5B54"/>
    <w:rsid w:val="000B5BCD"/>
    <w:rsid w:val="000B76D6"/>
    <w:rsid w:val="000B7815"/>
    <w:rsid w:val="000B79E2"/>
    <w:rsid w:val="000B7BEC"/>
    <w:rsid w:val="000C00E7"/>
    <w:rsid w:val="000C00EA"/>
    <w:rsid w:val="000C1D28"/>
    <w:rsid w:val="000C1E88"/>
    <w:rsid w:val="000C20C6"/>
    <w:rsid w:val="000C21F3"/>
    <w:rsid w:val="000C276C"/>
    <w:rsid w:val="000C2A8A"/>
    <w:rsid w:val="000C350D"/>
    <w:rsid w:val="000C3664"/>
    <w:rsid w:val="000C3978"/>
    <w:rsid w:val="000C3AC7"/>
    <w:rsid w:val="000C3E2C"/>
    <w:rsid w:val="000C45F8"/>
    <w:rsid w:val="000C48A4"/>
    <w:rsid w:val="000C4B57"/>
    <w:rsid w:val="000C4CF6"/>
    <w:rsid w:val="000C5566"/>
    <w:rsid w:val="000C583F"/>
    <w:rsid w:val="000C5A99"/>
    <w:rsid w:val="000C5B42"/>
    <w:rsid w:val="000C62E1"/>
    <w:rsid w:val="000C6414"/>
    <w:rsid w:val="000C668E"/>
    <w:rsid w:val="000C6B09"/>
    <w:rsid w:val="000C6E58"/>
    <w:rsid w:val="000C70D9"/>
    <w:rsid w:val="000C749F"/>
    <w:rsid w:val="000C78F9"/>
    <w:rsid w:val="000C798C"/>
    <w:rsid w:val="000C7C87"/>
    <w:rsid w:val="000C7D7E"/>
    <w:rsid w:val="000D0126"/>
    <w:rsid w:val="000D05C1"/>
    <w:rsid w:val="000D0671"/>
    <w:rsid w:val="000D0A16"/>
    <w:rsid w:val="000D0CBC"/>
    <w:rsid w:val="000D1925"/>
    <w:rsid w:val="000D1E78"/>
    <w:rsid w:val="000D23F6"/>
    <w:rsid w:val="000D24D1"/>
    <w:rsid w:val="000D2983"/>
    <w:rsid w:val="000D2AC9"/>
    <w:rsid w:val="000D2CE5"/>
    <w:rsid w:val="000D2F40"/>
    <w:rsid w:val="000D2F54"/>
    <w:rsid w:val="000D30A2"/>
    <w:rsid w:val="000D319D"/>
    <w:rsid w:val="000D3DAD"/>
    <w:rsid w:val="000D3E07"/>
    <w:rsid w:val="000D4191"/>
    <w:rsid w:val="000D4196"/>
    <w:rsid w:val="000D4539"/>
    <w:rsid w:val="000D4B15"/>
    <w:rsid w:val="000D4DF5"/>
    <w:rsid w:val="000D4F9E"/>
    <w:rsid w:val="000D4FEE"/>
    <w:rsid w:val="000D52AE"/>
    <w:rsid w:val="000D556C"/>
    <w:rsid w:val="000D5CE3"/>
    <w:rsid w:val="000D5DBE"/>
    <w:rsid w:val="000D6002"/>
    <w:rsid w:val="000D6207"/>
    <w:rsid w:val="000D63B7"/>
    <w:rsid w:val="000D6A2A"/>
    <w:rsid w:val="000D6AAE"/>
    <w:rsid w:val="000D6F16"/>
    <w:rsid w:val="000D6F71"/>
    <w:rsid w:val="000D6FD8"/>
    <w:rsid w:val="000D79FD"/>
    <w:rsid w:val="000D7A24"/>
    <w:rsid w:val="000D7BC9"/>
    <w:rsid w:val="000D7BCC"/>
    <w:rsid w:val="000D7BF5"/>
    <w:rsid w:val="000E0686"/>
    <w:rsid w:val="000E1196"/>
    <w:rsid w:val="000E14D6"/>
    <w:rsid w:val="000E1885"/>
    <w:rsid w:val="000E1DF4"/>
    <w:rsid w:val="000E1EB3"/>
    <w:rsid w:val="000E20C9"/>
    <w:rsid w:val="000E28CA"/>
    <w:rsid w:val="000E29A7"/>
    <w:rsid w:val="000E30D6"/>
    <w:rsid w:val="000E3AB5"/>
    <w:rsid w:val="000E4713"/>
    <w:rsid w:val="000E479E"/>
    <w:rsid w:val="000E4C1F"/>
    <w:rsid w:val="000E570B"/>
    <w:rsid w:val="000E591A"/>
    <w:rsid w:val="000E60BB"/>
    <w:rsid w:val="000E617C"/>
    <w:rsid w:val="000E6859"/>
    <w:rsid w:val="000E6885"/>
    <w:rsid w:val="000E6908"/>
    <w:rsid w:val="000E73A7"/>
    <w:rsid w:val="000F0248"/>
    <w:rsid w:val="000F0338"/>
    <w:rsid w:val="000F0457"/>
    <w:rsid w:val="000F0781"/>
    <w:rsid w:val="000F0B4F"/>
    <w:rsid w:val="000F1A59"/>
    <w:rsid w:val="000F1BB2"/>
    <w:rsid w:val="000F1C11"/>
    <w:rsid w:val="000F2910"/>
    <w:rsid w:val="000F2D64"/>
    <w:rsid w:val="000F30E5"/>
    <w:rsid w:val="000F3476"/>
    <w:rsid w:val="000F34CF"/>
    <w:rsid w:val="000F354C"/>
    <w:rsid w:val="000F359F"/>
    <w:rsid w:val="000F38EA"/>
    <w:rsid w:val="000F48F5"/>
    <w:rsid w:val="000F56A6"/>
    <w:rsid w:val="000F589D"/>
    <w:rsid w:val="000F6025"/>
    <w:rsid w:val="000F6193"/>
    <w:rsid w:val="000F6B0F"/>
    <w:rsid w:val="000F6CDA"/>
    <w:rsid w:val="000F7258"/>
    <w:rsid w:val="000F767D"/>
    <w:rsid w:val="000F7B86"/>
    <w:rsid w:val="001003A1"/>
    <w:rsid w:val="00100450"/>
    <w:rsid w:val="0010045C"/>
    <w:rsid w:val="00100532"/>
    <w:rsid w:val="00100685"/>
    <w:rsid w:val="00100A43"/>
    <w:rsid w:val="00100F59"/>
    <w:rsid w:val="0010120A"/>
    <w:rsid w:val="0010167A"/>
    <w:rsid w:val="0010176C"/>
    <w:rsid w:val="00101CE4"/>
    <w:rsid w:val="00101CF1"/>
    <w:rsid w:val="00101E57"/>
    <w:rsid w:val="001027AD"/>
    <w:rsid w:val="00102992"/>
    <w:rsid w:val="00102B40"/>
    <w:rsid w:val="001030FB"/>
    <w:rsid w:val="001032ED"/>
    <w:rsid w:val="00103B02"/>
    <w:rsid w:val="00103BCC"/>
    <w:rsid w:val="0010462B"/>
    <w:rsid w:val="00104D33"/>
    <w:rsid w:val="00104EB4"/>
    <w:rsid w:val="001051E0"/>
    <w:rsid w:val="00105636"/>
    <w:rsid w:val="0010564C"/>
    <w:rsid w:val="00105701"/>
    <w:rsid w:val="00105F2E"/>
    <w:rsid w:val="00105F2F"/>
    <w:rsid w:val="0010723B"/>
    <w:rsid w:val="0010738D"/>
    <w:rsid w:val="00107678"/>
    <w:rsid w:val="00107C2B"/>
    <w:rsid w:val="00107C67"/>
    <w:rsid w:val="00107FAD"/>
    <w:rsid w:val="0011003A"/>
    <w:rsid w:val="001100CA"/>
    <w:rsid w:val="001108D7"/>
    <w:rsid w:val="00111060"/>
    <w:rsid w:val="0011120C"/>
    <w:rsid w:val="001120EC"/>
    <w:rsid w:val="00112361"/>
    <w:rsid w:val="00112703"/>
    <w:rsid w:val="00112C25"/>
    <w:rsid w:val="00113A21"/>
    <w:rsid w:val="00113E52"/>
    <w:rsid w:val="00114130"/>
    <w:rsid w:val="0011422B"/>
    <w:rsid w:val="001142EC"/>
    <w:rsid w:val="001143C8"/>
    <w:rsid w:val="00114643"/>
    <w:rsid w:val="001146CF"/>
    <w:rsid w:val="00114774"/>
    <w:rsid w:val="0011484D"/>
    <w:rsid w:val="00115244"/>
    <w:rsid w:val="00115B05"/>
    <w:rsid w:val="00115B75"/>
    <w:rsid w:val="00115D95"/>
    <w:rsid w:val="00115F1C"/>
    <w:rsid w:val="0011686A"/>
    <w:rsid w:val="0011697B"/>
    <w:rsid w:val="00116D3C"/>
    <w:rsid w:val="00116DEB"/>
    <w:rsid w:val="00116F21"/>
    <w:rsid w:val="00117052"/>
    <w:rsid w:val="001170E3"/>
    <w:rsid w:val="0011713A"/>
    <w:rsid w:val="001171E8"/>
    <w:rsid w:val="00117644"/>
    <w:rsid w:val="00117B2D"/>
    <w:rsid w:val="00117D44"/>
    <w:rsid w:val="00120549"/>
    <w:rsid w:val="001208A5"/>
    <w:rsid w:val="00121B6B"/>
    <w:rsid w:val="00121D2C"/>
    <w:rsid w:val="00122177"/>
    <w:rsid w:val="0012227A"/>
    <w:rsid w:val="0012227D"/>
    <w:rsid w:val="001229EE"/>
    <w:rsid w:val="00122A1B"/>
    <w:rsid w:val="00122B07"/>
    <w:rsid w:val="00123292"/>
    <w:rsid w:val="00123A2D"/>
    <w:rsid w:val="00124435"/>
    <w:rsid w:val="00124AE5"/>
    <w:rsid w:val="00124B65"/>
    <w:rsid w:val="00124D96"/>
    <w:rsid w:val="00124E82"/>
    <w:rsid w:val="00125329"/>
    <w:rsid w:val="00125369"/>
    <w:rsid w:val="00125487"/>
    <w:rsid w:val="00125805"/>
    <w:rsid w:val="00125C2B"/>
    <w:rsid w:val="00125C7E"/>
    <w:rsid w:val="00125D16"/>
    <w:rsid w:val="00125E7C"/>
    <w:rsid w:val="00126123"/>
    <w:rsid w:val="001267ED"/>
    <w:rsid w:val="00126ADC"/>
    <w:rsid w:val="00126B2F"/>
    <w:rsid w:val="00126B9A"/>
    <w:rsid w:val="00126BC0"/>
    <w:rsid w:val="00126D0E"/>
    <w:rsid w:val="00126D4C"/>
    <w:rsid w:val="00127920"/>
    <w:rsid w:val="001279E1"/>
    <w:rsid w:val="00127B95"/>
    <w:rsid w:val="00130818"/>
    <w:rsid w:val="001308C0"/>
    <w:rsid w:val="00130931"/>
    <w:rsid w:val="00130FFF"/>
    <w:rsid w:val="00131208"/>
    <w:rsid w:val="00131681"/>
    <w:rsid w:val="001318CC"/>
    <w:rsid w:val="00131923"/>
    <w:rsid w:val="001319A1"/>
    <w:rsid w:val="00132820"/>
    <w:rsid w:val="00133D90"/>
    <w:rsid w:val="00133E13"/>
    <w:rsid w:val="0013473D"/>
    <w:rsid w:val="00134A2E"/>
    <w:rsid w:val="00134D0A"/>
    <w:rsid w:val="00134E0C"/>
    <w:rsid w:val="001353B5"/>
    <w:rsid w:val="0013544A"/>
    <w:rsid w:val="00136102"/>
    <w:rsid w:val="001362FC"/>
    <w:rsid w:val="00136734"/>
    <w:rsid w:val="0013679B"/>
    <w:rsid w:val="00136EF4"/>
    <w:rsid w:val="00137232"/>
    <w:rsid w:val="00137521"/>
    <w:rsid w:val="001376D3"/>
    <w:rsid w:val="001379CE"/>
    <w:rsid w:val="00137AA1"/>
    <w:rsid w:val="00137BE3"/>
    <w:rsid w:val="00137FB4"/>
    <w:rsid w:val="00140440"/>
    <w:rsid w:val="0014115D"/>
    <w:rsid w:val="001412E7"/>
    <w:rsid w:val="001413A6"/>
    <w:rsid w:val="00141AA6"/>
    <w:rsid w:val="00142642"/>
    <w:rsid w:val="00142EB0"/>
    <w:rsid w:val="001430AB"/>
    <w:rsid w:val="00143EA7"/>
    <w:rsid w:val="001448E0"/>
    <w:rsid w:val="00144C1A"/>
    <w:rsid w:val="00144CBA"/>
    <w:rsid w:val="00144E85"/>
    <w:rsid w:val="00145637"/>
    <w:rsid w:val="00145733"/>
    <w:rsid w:val="00145D9D"/>
    <w:rsid w:val="001460FB"/>
    <w:rsid w:val="00146243"/>
    <w:rsid w:val="0014666F"/>
    <w:rsid w:val="00146697"/>
    <w:rsid w:val="001467BD"/>
    <w:rsid w:val="00146A96"/>
    <w:rsid w:val="001470B2"/>
    <w:rsid w:val="001471AF"/>
    <w:rsid w:val="001474CC"/>
    <w:rsid w:val="001478A8"/>
    <w:rsid w:val="00147E74"/>
    <w:rsid w:val="0015042C"/>
    <w:rsid w:val="00150546"/>
    <w:rsid w:val="00150A8D"/>
    <w:rsid w:val="00150AD9"/>
    <w:rsid w:val="00150BAE"/>
    <w:rsid w:val="00150EE2"/>
    <w:rsid w:val="00150F73"/>
    <w:rsid w:val="0015185B"/>
    <w:rsid w:val="00151B61"/>
    <w:rsid w:val="00152305"/>
    <w:rsid w:val="00152E58"/>
    <w:rsid w:val="0015320E"/>
    <w:rsid w:val="0015326F"/>
    <w:rsid w:val="00153A64"/>
    <w:rsid w:val="00153B5F"/>
    <w:rsid w:val="00154201"/>
    <w:rsid w:val="001542AC"/>
    <w:rsid w:val="00154C6E"/>
    <w:rsid w:val="00154E05"/>
    <w:rsid w:val="00154E20"/>
    <w:rsid w:val="00155455"/>
    <w:rsid w:val="001555CF"/>
    <w:rsid w:val="00155AA8"/>
    <w:rsid w:val="001569E0"/>
    <w:rsid w:val="00156B20"/>
    <w:rsid w:val="00156B32"/>
    <w:rsid w:val="00156B74"/>
    <w:rsid w:val="001577DA"/>
    <w:rsid w:val="001578CA"/>
    <w:rsid w:val="00157D76"/>
    <w:rsid w:val="0016034B"/>
    <w:rsid w:val="0016049E"/>
    <w:rsid w:val="001608F0"/>
    <w:rsid w:val="00160C2D"/>
    <w:rsid w:val="00161086"/>
    <w:rsid w:val="001617EA"/>
    <w:rsid w:val="00161A2D"/>
    <w:rsid w:val="00161CB3"/>
    <w:rsid w:val="00161D35"/>
    <w:rsid w:val="00161E0C"/>
    <w:rsid w:val="00162559"/>
    <w:rsid w:val="00162FEA"/>
    <w:rsid w:val="001636A3"/>
    <w:rsid w:val="00163870"/>
    <w:rsid w:val="001645AB"/>
    <w:rsid w:val="00164815"/>
    <w:rsid w:val="00164A6E"/>
    <w:rsid w:val="00165318"/>
    <w:rsid w:val="001654BE"/>
    <w:rsid w:val="00165D77"/>
    <w:rsid w:val="00165F34"/>
    <w:rsid w:val="0016609F"/>
    <w:rsid w:val="00166109"/>
    <w:rsid w:val="001666CD"/>
    <w:rsid w:val="00166730"/>
    <w:rsid w:val="0016691B"/>
    <w:rsid w:val="00166CAF"/>
    <w:rsid w:val="00166F22"/>
    <w:rsid w:val="00171378"/>
    <w:rsid w:val="00171458"/>
    <w:rsid w:val="001714B7"/>
    <w:rsid w:val="00171AC2"/>
    <w:rsid w:val="00171D5C"/>
    <w:rsid w:val="00171EB6"/>
    <w:rsid w:val="00171F68"/>
    <w:rsid w:val="00171F78"/>
    <w:rsid w:val="001724E0"/>
    <w:rsid w:val="0017268F"/>
    <w:rsid w:val="001728FE"/>
    <w:rsid w:val="0017305B"/>
    <w:rsid w:val="001732FB"/>
    <w:rsid w:val="001733B7"/>
    <w:rsid w:val="001736B7"/>
    <w:rsid w:val="00173895"/>
    <w:rsid w:val="00173EBD"/>
    <w:rsid w:val="0017423B"/>
    <w:rsid w:val="00174C86"/>
    <w:rsid w:val="001752FD"/>
    <w:rsid w:val="00175B5E"/>
    <w:rsid w:val="0017660C"/>
    <w:rsid w:val="001775A1"/>
    <w:rsid w:val="0017789A"/>
    <w:rsid w:val="00177F4D"/>
    <w:rsid w:val="00180172"/>
    <w:rsid w:val="00180209"/>
    <w:rsid w:val="001811BE"/>
    <w:rsid w:val="0018130D"/>
    <w:rsid w:val="0018182A"/>
    <w:rsid w:val="00181895"/>
    <w:rsid w:val="001822D4"/>
    <w:rsid w:val="001826DE"/>
    <w:rsid w:val="001828A4"/>
    <w:rsid w:val="00182C2C"/>
    <w:rsid w:val="0018343C"/>
    <w:rsid w:val="00183839"/>
    <w:rsid w:val="00183BE3"/>
    <w:rsid w:val="00183D6C"/>
    <w:rsid w:val="00183F7B"/>
    <w:rsid w:val="00184527"/>
    <w:rsid w:val="0018457F"/>
    <w:rsid w:val="001845DA"/>
    <w:rsid w:val="00184687"/>
    <w:rsid w:val="00184868"/>
    <w:rsid w:val="00184B5D"/>
    <w:rsid w:val="00184D85"/>
    <w:rsid w:val="001850BB"/>
    <w:rsid w:val="001851A7"/>
    <w:rsid w:val="0018550C"/>
    <w:rsid w:val="00185661"/>
    <w:rsid w:val="00185B0C"/>
    <w:rsid w:val="00185C3C"/>
    <w:rsid w:val="00185C77"/>
    <w:rsid w:val="00186975"/>
    <w:rsid w:val="00186C43"/>
    <w:rsid w:val="00186F86"/>
    <w:rsid w:val="00186FF0"/>
    <w:rsid w:val="00187975"/>
    <w:rsid w:val="00187BCA"/>
    <w:rsid w:val="00190815"/>
    <w:rsid w:val="0019178A"/>
    <w:rsid w:val="001917E3"/>
    <w:rsid w:val="001918EB"/>
    <w:rsid w:val="00191D59"/>
    <w:rsid w:val="00192467"/>
    <w:rsid w:val="001925D7"/>
    <w:rsid w:val="00192E1C"/>
    <w:rsid w:val="00192EE8"/>
    <w:rsid w:val="00193079"/>
    <w:rsid w:val="0019328E"/>
    <w:rsid w:val="0019396B"/>
    <w:rsid w:val="00193D18"/>
    <w:rsid w:val="00193D44"/>
    <w:rsid w:val="001943BC"/>
    <w:rsid w:val="00194897"/>
    <w:rsid w:val="00194C60"/>
    <w:rsid w:val="00194E43"/>
    <w:rsid w:val="0019553C"/>
    <w:rsid w:val="001956EE"/>
    <w:rsid w:val="00195B94"/>
    <w:rsid w:val="00195D79"/>
    <w:rsid w:val="00196090"/>
    <w:rsid w:val="00196351"/>
    <w:rsid w:val="00196BD8"/>
    <w:rsid w:val="00196E9A"/>
    <w:rsid w:val="00196FE0"/>
    <w:rsid w:val="001971D1"/>
    <w:rsid w:val="001972EC"/>
    <w:rsid w:val="001A0213"/>
    <w:rsid w:val="001A023F"/>
    <w:rsid w:val="001A0CF2"/>
    <w:rsid w:val="001A115E"/>
    <w:rsid w:val="001A142B"/>
    <w:rsid w:val="001A1C1E"/>
    <w:rsid w:val="001A1D62"/>
    <w:rsid w:val="001A1E3B"/>
    <w:rsid w:val="001A1EA1"/>
    <w:rsid w:val="001A22B5"/>
    <w:rsid w:val="001A2AB7"/>
    <w:rsid w:val="001A2D1F"/>
    <w:rsid w:val="001A38E4"/>
    <w:rsid w:val="001A3EA5"/>
    <w:rsid w:val="001A4758"/>
    <w:rsid w:val="001A4767"/>
    <w:rsid w:val="001A4B0B"/>
    <w:rsid w:val="001A4C5D"/>
    <w:rsid w:val="001A4D4F"/>
    <w:rsid w:val="001A4E56"/>
    <w:rsid w:val="001A4E6D"/>
    <w:rsid w:val="001A4F87"/>
    <w:rsid w:val="001A515A"/>
    <w:rsid w:val="001A5B5F"/>
    <w:rsid w:val="001A5C01"/>
    <w:rsid w:val="001A5C68"/>
    <w:rsid w:val="001A618C"/>
    <w:rsid w:val="001A64FB"/>
    <w:rsid w:val="001A678D"/>
    <w:rsid w:val="001A6945"/>
    <w:rsid w:val="001A6CC0"/>
    <w:rsid w:val="001A704B"/>
    <w:rsid w:val="001A718F"/>
    <w:rsid w:val="001A7298"/>
    <w:rsid w:val="001A738E"/>
    <w:rsid w:val="001A7716"/>
    <w:rsid w:val="001A785D"/>
    <w:rsid w:val="001A79AA"/>
    <w:rsid w:val="001A7E8D"/>
    <w:rsid w:val="001A7F44"/>
    <w:rsid w:val="001B0268"/>
    <w:rsid w:val="001B0E39"/>
    <w:rsid w:val="001B1870"/>
    <w:rsid w:val="001B1B99"/>
    <w:rsid w:val="001B2102"/>
    <w:rsid w:val="001B240A"/>
    <w:rsid w:val="001B25A9"/>
    <w:rsid w:val="001B27B1"/>
    <w:rsid w:val="001B284C"/>
    <w:rsid w:val="001B298A"/>
    <w:rsid w:val="001B2F17"/>
    <w:rsid w:val="001B3389"/>
    <w:rsid w:val="001B3636"/>
    <w:rsid w:val="001B39F9"/>
    <w:rsid w:val="001B3B95"/>
    <w:rsid w:val="001B3D80"/>
    <w:rsid w:val="001B459F"/>
    <w:rsid w:val="001B5313"/>
    <w:rsid w:val="001B5C47"/>
    <w:rsid w:val="001B5E5A"/>
    <w:rsid w:val="001B64AA"/>
    <w:rsid w:val="001B6612"/>
    <w:rsid w:val="001B6873"/>
    <w:rsid w:val="001B699F"/>
    <w:rsid w:val="001B6ABF"/>
    <w:rsid w:val="001B70A5"/>
    <w:rsid w:val="001B7290"/>
    <w:rsid w:val="001B7BE9"/>
    <w:rsid w:val="001C1461"/>
    <w:rsid w:val="001C1DC9"/>
    <w:rsid w:val="001C1FEA"/>
    <w:rsid w:val="001C2181"/>
    <w:rsid w:val="001C239D"/>
    <w:rsid w:val="001C2855"/>
    <w:rsid w:val="001C285F"/>
    <w:rsid w:val="001C2946"/>
    <w:rsid w:val="001C298F"/>
    <w:rsid w:val="001C2C5B"/>
    <w:rsid w:val="001C2C80"/>
    <w:rsid w:val="001C2E21"/>
    <w:rsid w:val="001C3400"/>
    <w:rsid w:val="001C37E3"/>
    <w:rsid w:val="001C399F"/>
    <w:rsid w:val="001C3AE9"/>
    <w:rsid w:val="001C3D5E"/>
    <w:rsid w:val="001C3DFB"/>
    <w:rsid w:val="001C3E36"/>
    <w:rsid w:val="001C42E3"/>
    <w:rsid w:val="001C46DE"/>
    <w:rsid w:val="001C4F13"/>
    <w:rsid w:val="001C4FD2"/>
    <w:rsid w:val="001C5032"/>
    <w:rsid w:val="001C5406"/>
    <w:rsid w:val="001C5D8D"/>
    <w:rsid w:val="001C5E08"/>
    <w:rsid w:val="001C5EC4"/>
    <w:rsid w:val="001C616A"/>
    <w:rsid w:val="001C63F4"/>
    <w:rsid w:val="001C651C"/>
    <w:rsid w:val="001C66DD"/>
    <w:rsid w:val="001C6D2D"/>
    <w:rsid w:val="001C70EE"/>
    <w:rsid w:val="001C7EB9"/>
    <w:rsid w:val="001D0107"/>
    <w:rsid w:val="001D07C3"/>
    <w:rsid w:val="001D0C27"/>
    <w:rsid w:val="001D0CA2"/>
    <w:rsid w:val="001D1159"/>
    <w:rsid w:val="001D11AC"/>
    <w:rsid w:val="001D1214"/>
    <w:rsid w:val="001D1D6B"/>
    <w:rsid w:val="001D1F0E"/>
    <w:rsid w:val="001D1F2F"/>
    <w:rsid w:val="001D217D"/>
    <w:rsid w:val="001D224C"/>
    <w:rsid w:val="001D2806"/>
    <w:rsid w:val="001D2BC1"/>
    <w:rsid w:val="001D2FA3"/>
    <w:rsid w:val="001D3027"/>
    <w:rsid w:val="001D364F"/>
    <w:rsid w:val="001D3A10"/>
    <w:rsid w:val="001D46D1"/>
    <w:rsid w:val="001D47F3"/>
    <w:rsid w:val="001D4841"/>
    <w:rsid w:val="001D4A05"/>
    <w:rsid w:val="001D4B2F"/>
    <w:rsid w:val="001D4D29"/>
    <w:rsid w:val="001D4FF0"/>
    <w:rsid w:val="001D5399"/>
    <w:rsid w:val="001D5750"/>
    <w:rsid w:val="001D57AC"/>
    <w:rsid w:val="001D5941"/>
    <w:rsid w:val="001D59AE"/>
    <w:rsid w:val="001D5C14"/>
    <w:rsid w:val="001D5CAF"/>
    <w:rsid w:val="001D688C"/>
    <w:rsid w:val="001D6F7E"/>
    <w:rsid w:val="001D71BA"/>
    <w:rsid w:val="001D74A6"/>
    <w:rsid w:val="001D74C8"/>
    <w:rsid w:val="001D76C4"/>
    <w:rsid w:val="001D7734"/>
    <w:rsid w:val="001D7744"/>
    <w:rsid w:val="001D77D2"/>
    <w:rsid w:val="001D7921"/>
    <w:rsid w:val="001E0799"/>
    <w:rsid w:val="001E0A6E"/>
    <w:rsid w:val="001E10EB"/>
    <w:rsid w:val="001E14AD"/>
    <w:rsid w:val="001E1CE4"/>
    <w:rsid w:val="001E1E77"/>
    <w:rsid w:val="001E2023"/>
    <w:rsid w:val="001E21B9"/>
    <w:rsid w:val="001E236C"/>
    <w:rsid w:val="001E2B0A"/>
    <w:rsid w:val="001E2FB4"/>
    <w:rsid w:val="001E3A40"/>
    <w:rsid w:val="001E3F48"/>
    <w:rsid w:val="001E4237"/>
    <w:rsid w:val="001E49E3"/>
    <w:rsid w:val="001E5326"/>
    <w:rsid w:val="001E53B4"/>
    <w:rsid w:val="001E5970"/>
    <w:rsid w:val="001E5AE2"/>
    <w:rsid w:val="001E5B6A"/>
    <w:rsid w:val="001E5E41"/>
    <w:rsid w:val="001E5E88"/>
    <w:rsid w:val="001E679B"/>
    <w:rsid w:val="001E7515"/>
    <w:rsid w:val="001E773B"/>
    <w:rsid w:val="001E7D4F"/>
    <w:rsid w:val="001E7F1E"/>
    <w:rsid w:val="001F044C"/>
    <w:rsid w:val="001F0D06"/>
    <w:rsid w:val="001F0F61"/>
    <w:rsid w:val="001F11EE"/>
    <w:rsid w:val="001F126F"/>
    <w:rsid w:val="001F129E"/>
    <w:rsid w:val="001F1F38"/>
    <w:rsid w:val="001F2091"/>
    <w:rsid w:val="001F22C1"/>
    <w:rsid w:val="001F2529"/>
    <w:rsid w:val="001F27B7"/>
    <w:rsid w:val="001F287B"/>
    <w:rsid w:val="001F2AC2"/>
    <w:rsid w:val="001F30E6"/>
    <w:rsid w:val="001F33F8"/>
    <w:rsid w:val="001F38CE"/>
    <w:rsid w:val="001F3B23"/>
    <w:rsid w:val="001F3C59"/>
    <w:rsid w:val="001F4102"/>
    <w:rsid w:val="001F4826"/>
    <w:rsid w:val="001F4926"/>
    <w:rsid w:val="001F4A48"/>
    <w:rsid w:val="001F4F89"/>
    <w:rsid w:val="001F5022"/>
    <w:rsid w:val="001F5283"/>
    <w:rsid w:val="001F5A3A"/>
    <w:rsid w:val="001F6076"/>
    <w:rsid w:val="001F65F8"/>
    <w:rsid w:val="001F6A65"/>
    <w:rsid w:val="001F6B64"/>
    <w:rsid w:val="001F7223"/>
    <w:rsid w:val="001F73E8"/>
    <w:rsid w:val="001F7CCA"/>
    <w:rsid w:val="001F7F2C"/>
    <w:rsid w:val="0020000D"/>
    <w:rsid w:val="0020024E"/>
    <w:rsid w:val="00200645"/>
    <w:rsid w:val="002006BD"/>
    <w:rsid w:val="002010E3"/>
    <w:rsid w:val="00201381"/>
    <w:rsid w:val="002017A2"/>
    <w:rsid w:val="002018D3"/>
    <w:rsid w:val="00201907"/>
    <w:rsid w:val="00201C01"/>
    <w:rsid w:val="00201E47"/>
    <w:rsid w:val="00201F4B"/>
    <w:rsid w:val="0020302A"/>
    <w:rsid w:val="00203285"/>
    <w:rsid w:val="0020384E"/>
    <w:rsid w:val="00203ED5"/>
    <w:rsid w:val="00203EFE"/>
    <w:rsid w:val="00203FC9"/>
    <w:rsid w:val="00204346"/>
    <w:rsid w:val="00204A34"/>
    <w:rsid w:val="00204F91"/>
    <w:rsid w:val="0020511E"/>
    <w:rsid w:val="00205C39"/>
    <w:rsid w:val="0020628F"/>
    <w:rsid w:val="00206636"/>
    <w:rsid w:val="002069D0"/>
    <w:rsid w:val="00207616"/>
    <w:rsid w:val="002076A4"/>
    <w:rsid w:val="00207AD7"/>
    <w:rsid w:val="00207D9D"/>
    <w:rsid w:val="0021019D"/>
    <w:rsid w:val="00210360"/>
    <w:rsid w:val="0021037C"/>
    <w:rsid w:val="00210ECF"/>
    <w:rsid w:val="0021102A"/>
    <w:rsid w:val="0021143C"/>
    <w:rsid w:val="00211609"/>
    <w:rsid w:val="002125B1"/>
    <w:rsid w:val="002126E0"/>
    <w:rsid w:val="00212749"/>
    <w:rsid w:val="00212F4E"/>
    <w:rsid w:val="002135D0"/>
    <w:rsid w:val="00213A50"/>
    <w:rsid w:val="00213B58"/>
    <w:rsid w:val="0021418A"/>
    <w:rsid w:val="002141FE"/>
    <w:rsid w:val="00214528"/>
    <w:rsid w:val="00214A01"/>
    <w:rsid w:val="00214AA4"/>
    <w:rsid w:val="00214C96"/>
    <w:rsid w:val="00214E59"/>
    <w:rsid w:val="00214EE5"/>
    <w:rsid w:val="00214FBB"/>
    <w:rsid w:val="00215340"/>
    <w:rsid w:val="002165F5"/>
    <w:rsid w:val="0021665C"/>
    <w:rsid w:val="00216839"/>
    <w:rsid w:val="002168A8"/>
    <w:rsid w:val="00216A93"/>
    <w:rsid w:val="00216DD0"/>
    <w:rsid w:val="00216F83"/>
    <w:rsid w:val="002174CD"/>
    <w:rsid w:val="002179F4"/>
    <w:rsid w:val="00217AE1"/>
    <w:rsid w:val="00217BF7"/>
    <w:rsid w:val="00217C4E"/>
    <w:rsid w:val="00220FF4"/>
    <w:rsid w:val="002213DE"/>
    <w:rsid w:val="00221532"/>
    <w:rsid w:val="0022158A"/>
    <w:rsid w:val="00221780"/>
    <w:rsid w:val="002219CD"/>
    <w:rsid w:val="00221D0F"/>
    <w:rsid w:val="00221E55"/>
    <w:rsid w:val="0022231D"/>
    <w:rsid w:val="0022254C"/>
    <w:rsid w:val="00222BCE"/>
    <w:rsid w:val="00222E57"/>
    <w:rsid w:val="00222FA5"/>
    <w:rsid w:val="00223095"/>
    <w:rsid w:val="002238EB"/>
    <w:rsid w:val="00223B8F"/>
    <w:rsid w:val="002245C6"/>
    <w:rsid w:val="00224E70"/>
    <w:rsid w:val="0022540E"/>
    <w:rsid w:val="00225686"/>
    <w:rsid w:val="00225C6B"/>
    <w:rsid w:val="00226100"/>
    <w:rsid w:val="002266A7"/>
    <w:rsid w:val="00226859"/>
    <w:rsid w:val="00227353"/>
    <w:rsid w:val="00227704"/>
    <w:rsid w:val="00227793"/>
    <w:rsid w:val="00227815"/>
    <w:rsid w:val="002278F5"/>
    <w:rsid w:val="00227E7C"/>
    <w:rsid w:val="00230279"/>
    <w:rsid w:val="00230CB4"/>
    <w:rsid w:val="002311F5"/>
    <w:rsid w:val="00231327"/>
    <w:rsid w:val="002324CB"/>
    <w:rsid w:val="00232686"/>
    <w:rsid w:val="002326E3"/>
    <w:rsid w:val="00233779"/>
    <w:rsid w:val="00233EFE"/>
    <w:rsid w:val="00233F8A"/>
    <w:rsid w:val="0023411A"/>
    <w:rsid w:val="002341B5"/>
    <w:rsid w:val="002342E2"/>
    <w:rsid w:val="002343A5"/>
    <w:rsid w:val="002344CD"/>
    <w:rsid w:val="00234991"/>
    <w:rsid w:val="00235254"/>
    <w:rsid w:val="0023544C"/>
    <w:rsid w:val="00235845"/>
    <w:rsid w:val="002358A1"/>
    <w:rsid w:val="00235A01"/>
    <w:rsid w:val="00235A93"/>
    <w:rsid w:val="00235FB9"/>
    <w:rsid w:val="002360C1"/>
    <w:rsid w:val="002361D6"/>
    <w:rsid w:val="0023682C"/>
    <w:rsid w:val="002368A9"/>
    <w:rsid w:val="00236941"/>
    <w:rsid w:val="00236B42"/>
    <w:rsid w:val="00236D00"/>
    <w:rsid w:val="00237B25"/>
    <w:rsid w:val="00240030"/>
    <w:rsid w:val="002402A5"/>
    <w:rsid w:val="002405DA"/>
    <w:rsid w:val="00240869"/>
    <w:rsid w:val="00240BE2"/>
    <w:rsid w:val="002412A3"/>
    <w:rsid w:val="00241669"/>
    <w:rsid w:val="00241973"/>
    <w:rsid w:val="00241A23"/>
    <w:rsid w:val="00241F41"/>
    <w:rsid w:val="002420F9"/>
    <w:rsid w:val="00242128"/>
    <w:rsid w:val="002427BE"/>
    <w:rsid w:val="0024367D"/>
    <w:rsid w:val="002442D2"/>
    <w:rsid w:val="00245AF9"/>
    <w:rsid w:val="00245E7A"/>
    <w:rsid w:val="0024656C"/>
    <w:rsid w:val="002466FB"/>
    <w:rsid w:val="00246744"/>
    <w:rsid w:val="002469A4"/>
    <w:rsid w:val="00246DC9"/>
    <w:rsid w:val="00247070"/>
    <w:rsid w:val="00247122"/>
    <w:rsid w:val="002471F5"/>
    <w:rsid w:val="00247308"/>
    <w:rsid w:val="002476B6"/>
    <w:rsid w:val="00247B7E"/>
    <w:rsid w:val="002502CE"/>
    <w:rsid w:val="00250302"/>
    <w:rsid w:val="0025051A"/>
    <w:rsid w:val="002505C1"/>
    <w:rsid w:val="00250AAA"/>
    <w:rsid w:val="002515A7"/>
    <w:rsid w:val="002522AB"/>
    <w:rsid w:val="0025238A"/>
    <w:rsid w:val="002528B5"/>
    <w:rsid w:val="00252B05"/>
    <w:rsid w:val="0025384C"/>
    <w:rsid w:val="0025388D"/>
    <w:rsid w:val="00253B03"/>
    <w:rsid w:val="00253ECB"/>
    <w:rsid w:val="00253F54"/>
    <w:rsid w:val="002545F4"/>
    <w:rsid w:val="00255072"/>
    <w:rsid w:val="002556EE"/>
    <w:rsid w:val="002558D6"/>
    <w:rsid w:val="0025598B"/>
    <w:rsid w:val="00255BCC"/>
    <w:rsid w:val="00255CEB"/>
    <w:rsid w:val="00255FE7"/>
    <w:rsid w:val="00256412"/>
    <w:rsid w:val="002565E2"/>
    <w:rsid w:val="00256694"/>
    <w:rsid w:val="00256A7C"/>
    <w:rsid w:val="00256C4E"/>
    <w:rsid w:val="00256C5B"/>
    <w:rsid w:val="002573D0"/>
    <w:rsid w:val="00257A2F"/>
    <w:rsid w:val="00257DD7"/>
    <w:rsid w:val="00260A99"/>
    <w:rsid w:val="00260C57"/>
    <w:rsid w:val="00260E86"/>
    <w:rsid w:val="002613E3"/>
    <w:rsid w:val="002614C0"/>
    <w:rsid w:val="002617F9"/>
    <w:rsid w:val="00262379"/>
    <w:rsid w:val="00262831"/>
    <w:rsid w:val="0026312A"/>
    <w:rsid w:val="002632C8"/>
    <w:rsid w:val="0026330C"/>
    <w:rsid w:val="002633B3"/>
    <w:rsid w:val="00263BFC"/>
    <w:rsid w:val="00263DEF"/>
    <w:rsid w:val="002644D5"/>
    <w:rsid w:val="0026451D"/>
    <w:rsid w:val="0026453A"/>
    <w:rsid w:val="00264546"/>
    <w:rsid w:val="0026469C"/>
    <w:rsid w:val="00264BC7"/>
    <w:rsid w:val="00264FE2"/>
    <w:rsid w:val="00265718"/>
    <w:rsid w:val="0026587F"/>
    <w:rsid w:val="00265ADB"/>
    <w:rsid w:val="00265D75"/>
    <w:rsid w:val="00265E0F"/>
    <w:rsid w:val="00266105"/>
    <w:rsid w:val="0026619F"/>
    <w:rsid w:val="0026622A"/>
    <w:rsid w:val="00266396"/>
    <w:rsid w:val="0026639B"/>
    <w:rsid w:val="00267058"/>
    <w:rsid w:val="00267612"/>
    <w:rsid w:val="0026767F"/>
    <w:rsid w:val="00267751"/>
    <w:rsid w:val="002677FB"/>
    <w:rsid w:val="00267A0B"/>
    <w:rsid w:val="00267AA1"/>
    <w:rsid w:val="00267C36"/>
    <w:rsid w:val="0027009A"/>
    <w:rsid w:val="00270433"/>
    <w:rsid w:val="00270799"/>
    <w:rsid w:val="002707BB"/>
    <w:rsid w:val="002708A1"/>
    <w:rsid w:val="00270D0E"/>
    <w:rsid w:val="00270E7F"/>
    <w:rsid w:val="00270EC2"/>
    <w:rsid w:val="00271726"/>
    <w:rsid w:val="00271A20"/>
    <w:rsid w:val="00272633"/>
    <w:rsid w:val="00272C51"/>
    <w:rsid w:val="0027362E"/>
    <w:rsid w:val="00273633"/>
    <w:rsid w:val="002737E8"/>
    <w:rsid w:val="00273C96"/>
    <w:rsid w:val="00273CC9"/>
    <w:rsid w:val="002741E7"/>
    <w:rsid w:val="00274548"/>
    <w:rsid w:val="0027467A"/>
    <w:rsid w:val="002747FF"/>
    <w:rsid w:val="00274ED9"/>
    <w:rsid w:val="0027506A"/>
    <w:rsid w:val="00275859"/>
    <w:rsid w:val="00275B58"/>
    <w:rsid w:val="00275B91"/>
    <w:rsid w:val="00275EE7"/>
    <w:rsid w:val="00276656"/>
    <w:rsid w:val="002770EC"/>
    <w:rsid w:val="00277143"/>
    <w:rsid w:val="00277823"/>
    <w:rsid w:val="00277956"/>
    <w:rsid w:val="002802CD"/>
    <w:rsid w:val="00280CD0"/>
    <w:rsid w:val="00280CFB"/>
    <w:rsid w:val="00281022"/>
    <w:rsid w:val="0028121E"/>
    <w:rsid w:val="00281566"/>
    <w:rsid w:val="00281850"/>
    <w:rsid w:val="00281D2F"/>
    <w:rsid w:val="002822BD"/>
    <w:rsid w:val="002823B3"/>
    <w:rsid w:val="002824DF"/>
    <w:rsid w:val="002826F6"/>
    <w:rsid w:val="002830FE"/>
    <w:rsid w:val="0028371F"/>
    <w:rsid w:val="00283766"/>
    <w:rsid w:val="002841F6"/>
    <w:rsid w:val="00284433"/>
    <w:rsid w:val="00284916"/>
    <w:rsid w:val="0028500B"/>
    <w:rsid w:val="002850E1"/>
    <w:rsid w:val="00285852"/>
    <w:rsid w:val="00285C58"/>
    <w:rsid w:val="00285FE4"/>
    <w:rsid w:val="00286227"/>
    <w:rsid w:val="002868B1"/>
    <w:rsid w:val="00286A9C"/>
    <w:rsid w:val="00286AB8"/>
    <w:rsid w:val="00286B82"/>
    <w:rsid w:val="00286F03"/>
    <w:rsid w:val="00287391"/>
    <w:rsid w:val="00287B48"/>
    <w:rsid w:val="00287BEA"/>
    <w:rsid w:val="00287EEB"/>
    <w:rsid w:val="00290151"/>
    <w:rsid w:val="00290176"/>
    <w:rsid w:val="0029025D"/>
    <w:rsid w:val="00290739"/>
    <w:rsid w:val="002907CF"/>
    <w:rsid w:val="002908B3"/>
    <w:rsid w:val="0029090B"/>
    <w:rsid w:val="00290A3C"/>
    <w:rsid w:val="00290F9F"/>
    <w:rsid w:val="00290FDD"/>
    <w:rsid w:val="00291630"/>
    <w:rsid w:val="00291703"/>
    <w:rsid w:val="002917F1"/>
    <w:rsid w:val="0029273D"/>
    <w:rsid w:val="00292852"/>
    <w:rsid w:val="00292D90"/>
    <w:rsid w:val="00293038"/>
    <w:rsid w:val="0029320C"/>
    <w:rsid w:val="002933AD"/>
    <w:rsid w:val="0029379F"/>
    <w:rsid w:val="00293CAA"/>
    <w:rsid w:val="00294214"/>
    <w:rsid w:val="00294740"/>
    <w:rsid w:val="00294920"/>
    <w:rsid w:val="00294C7F"/>
    <w:rsid w:val="00294E4B"/>
    <w:rsid w:val="00294F01"/>
    <w:rsid w:val="002950A0"/>
    <w:rsid w:val="00295837"/>
    <w:rsid w:val="00295D37"/>
    <w:rsid w:val="00295D7E"/>
    <w:rsid w:val="0029639C"/>
    <w:rsid w:val="00296605"/>
    <w:rsid w:val="0029660A"/>
    <w:rsid w:val="00296DEA"/>
    <w:rsid w:val="002971BF"/>
    <w:rsid w:val="00297536"/>
    <w:rsid w:val="00297811"/>
    <w:rsid w:val="00297832"/>
    <w:rsid w:val="00297B91"/>
    <w:rsid w:val="00297C8C"/>
    <w:rsid w:val="00297E52"/>
    <w:rsid w:val="002A01D4"/>
    <w:rsid w:val="002A0926"/>
    <w:rsid w:val="002A0A55"/>
    <w:rsid w:val="002A1023"/>
    <w:rsid w:val="002A1086"/>
    <w:rsid w:val="002A1172"/>
    <w:rsid w:val="002A17F5"/>
    <w:rsid w:val="002A1835"/>
    <w:rsid w:val="002A2509"/>
    <w:rsid w:val="002A25E6"/>
    <w:rsid w:val="002A2868"/>
    <w:rsid w:val="002A2B58"/>
    <w:rsid w:val="002A37D2"/>
    <w:rsid w:val="002A412E"/>
    <w:rsid w:val="002A41E8"/>
    <w:rsid w:val="002A485E"/>
    <w:rsid w:val="002A4A1B"/>
    <w:rsid w:val="002A4AB8"/>
    <w:rsid w:val="002A4AC4"/>
    <w:rsid w:val="002A4CC5"/>
    <w:rsid w:val="002A571D"/>
    <w:rsid w:val="002A5B0E"/>
    <w:rsid w:val="002A5E35"/>
    <w:rsid w:val="002A5FC6"/>
    <w:rsid w:val="002A6572"/>
    <w:rsid w:val="002A6ADC"/>
    <w:rsid w:val="002A71D7"/>
    <w:rsid w:val="002A72D8"/>
    <w:rsid w:val="002A73F0"/>
    <w:rsid w:val="002A77B3"/>
    <w:rsid w:val="002A7917"/>
    <w:rsid w:val="002A7B5C"/>
    <w:rsid w:val="002A7D6F"/>
    <w:rsid w:val="002B0099"/>
    <w:rsid w:val="002B0E16"/>
    <w:rsid w:val="002B0EEE"/>
    <w:rsid w:val="002B15D4"/>
    <w:rsid w:val="002B1638"/>
    <w:rsid w:val="002B17EB"/>
    <w:rsid w:val="002B19F1"/>
    <w:rsid w:val="002B1DE5"/>
    <w:rsid w:val="002B1F31"/>
    <w:rsid w:val="002B213F"/>
    <w:rsid w:val="002B2CF4"/>
    <w:rsid w:val="002B2D1C"/>
    <w:rsid w:val="002B315B"/>
    <w:rsid w:val="002B3268"/>
    <w:rsid w:val="002B3ED1"/>
    <w:rsid w:val="002B421E"/>
    <w:rsid w:val="002B4286"/>
    <w:rsid w:val="002B4E5A"/>
    <w:rsid w:val="002B574B"/>
    <w:rsid w:val="002B5822"/>
    <w:rsid w:val="002B65E6"/>
    <w:rsid w:val="002B6F1B"/>
    <w:rsid w:val="002B72C1"/>
    <w:rsid w:val="002B748C"/>
    <w:rsid w:val="002B798C"/>
    <w:rsid w:val="002B79C0"/>
    <w:rsid w:val="002B7CE0"/>
    <w:rsid w:val="002B7F3C"/>
    <w:rsid w:val="002C095D"/>
    <w:rsid w:val="002C0D3B"/>
    <w:rsid w:val="002C1D01"/>
    <w:rsid w:val="002C1E1A"/>
    <w:rsid w:val="002C1FD0"/>
    <w:rsid w:val="002C25B5"/>
    <w:rsid w:val="002C3066"/>
    <w:rsid w:val="002C30A1"/>
    <w:rsid w:val="002C30AD"/>
    <w:rsid w:val="002C3244"/>
    <w:rsid w:val="002C325D"/>
    <w:rsid w:val="002C3424"/>
    <w:rsid w:val="002C37D8"/>
    <w:rsid w:val="002C38AA"/>
    <w:rsid w:val="002C38AF"/>
    <w:rsid w:val="002C3901"/>
    <w:rsid w:val="002C3A9D"/>
    <w:rsid w:val="002C3E9A"/>
    <w:rsid w:val="002C41CE"/>
    <w:rsid w:val="002C41F7"/>
    <w:rsid w:val="002C446C"/>
    <w:rsid w:val="002C4D9D"/>
    <w:rsid w:val="002C4ECD"/>
    <w:rsid w:val="002C50F9"/>
    <w:rsid w:val="002C5AF8"/>
    <w:rsid w:val="002C6B23"/>
    <w:rsid w:val="002C6CA0"/>
    <w:rsid w:val="002C74B3"/>
    <w:rsid w:val="002C7719"/>
    <w:rsid w:val="002C7A5F"/>
    <w:rsid w:val="002C7C57"/>
    <w:rsid w:val="002D0302"/>
    <w:rsid w:val="002D06F7"/>
    <w:rsid w:val="002D0751"/>
    <w:rsid w:val="002D0ECF"/>
    <w:rsid w:val="002D134B"/>
    <w:rsid w:val="002D17AD"/>
    <w:rsid w:val="002D1B13"/>
    <w:rsid w:val="002D1DD2"/>
    <w:rsid w:val="002D1E5C"/>
    <w:rsid w:val="002D1E83"/>
    <w:rsid w:val="002D1F55"/>
    <w:rsid w:val="002D2168"/>
    <w:rsid w:val="002D22B9"/>
    <w:rsid w:val="002D23AC"/>
    <w:rsid w:val="002D2510"/>
    <w:rsid w:val="002D271A"/>
    <w:rsid w:val="002D29CD"/>
    <w:rsid w:val="002D3009"/>
    <w:rsid w:val="002D3181"/>
    <w:rsid w:val="002D36AB"/>
    <w:rsid w:val="002D371D"/>
    <w:rsid w:val="002D38F4"/>
    <w:rsid w:val="002D3951"/>
    <w:rsid w:val="002D3ACD"/>
    <w:rsid w:val="002D4A65"/>
    <w:rsid w:val="002D5A53"/>
    <w:rsid w:val="002D5A80"/>
    <w:rsid w:val="002D5D47"/>
    <w:rsid w:val="002D5E85"/>
    <w:rsid w:val="002D5EA1"/>
    <w:rsid w:val="002D5F30"/>
    <w:rsid w:val="002D65AE"/>
    <w:rsid w:val="002D6976"/>
    <w:rsid w:val="002D6A45"/>
    <w:rsid w:val="002D772D"/>
    <w:rsid w:val="002E0175"/>
    <w:rsid w:val="002E018E"/>
    <w:rsid w:val="002E09DD"/>
    <w:rsid w:val="002E0AF9"/>
    <w:rsid w:val="002E0BD2"/>
    <w:rsid w:val="002E0E94"/>
    <w:rsid w:val="002E0F1C"/>
    <w:rsid w:val="002E10BC"/>
    <w:rsid w:val="002E1406"/>
    <w:rsid w:val="002E1C48"/>
    <w:rsid w:val="002E1DD2"/>
    <w:rsid w:val="002E23E5"/>
    <w:rsid w:val="002E24F4"/>
    <w:rsid w:val="002E25DB"/>
    <w:rsid w:val="002E26C7"/>
    <w:rsid w:val="002E2A3F"/>
    <w:rsid w:val="002E32FE"/>
    <w:rsid w:val="002E3772"/>
    <w:rsid w:val="002E3828"/>
    <w:rsid w:val="002E38C7"/>
    <w:rsid w:val="002E3A91"/>
    <w:rsid w:val="002E3ECD"/>
    <w:rsid w:val="002E3F22"/>
    <w:rsid w:val="002E4583"/>
    <w:rsid w:val="002E486E"/>
    <w:rsid w:val="002E4B32"/>
    <w:rsid w:val="002E4D63"/>
    <w:rsid w:val="002E4F94"/>
    <w:rsid w:val="002E555F"/>
    <w:rsid w:val="002E5D94"/>
    <w:rsid w:val="002E5FCA"/>
    <w:rsid w:val="002E6090"/>
    <w:rsid w:val="002E60BF"/>
    <w:rsid w:val="002E6AD4"/>
    <w:rsid w:val="002E6DC9"/>
    <w:rsid w:val="002E733C"/>
    <w:rsid w:val="002E75B3"/>
    <w:rsid w:val="002E75C2"/>
    <w:rsid w:val="002E7687"/>
    <w:rsid w:val="002F032A"/>
    <w:rsid w:val="002F07EE"/>
    <w:rsid w:val="002F0B06"/>
    <w:rsid w:val="002F0D29"/>
    <w:rsid w:val="002F154D"/>
    <w:rsid w:val="002F1590"/>
    <w:rsid w:val="002F1861"/>
    <w:rsid w:val="002F1939"/>
    <w:rsid w:val="002F19E5"/>
    <w:rsid w:val="002F1EAE"/>
    <w:rsid w:val="002F20B9"/>
    <w:rsid w:val="002F2241"/>
    <w:rsid w:val="002F25F6"/>
    <w:rsid w:val="002F2793"/>
    <w:rsid w:val="002F2CA7"/>
    <w:rsid w:val="002F3357"/>
    <w:rsid w:val="002F3410"/>
    <w:rsid w:val="002F35DB"/>
    <w:rsid w:val="002F3D9C"/>
    <w:rsid w:val="002F41AD"/>
    <w:rsid w:val="002F4CCD"/>
    <w:rsid w:val="002F5700"/>
    <w:rsid w:val="002F5984"/>
    <w:rsid w:val="002F5C3F"/>
    <w:rsid w:val="002F5E04"/>
    <w:rsid w:val="002F5F8D"/>
    <w:rsid w:val="002F638E"/>
    <w:rsid w:val="002F7082"/>
    <w:rsid w:val="002F72F2"/>
    <w:rsid w:val="002F73E3"/>
    <w:rsid w:val="002F78E3"/>
    <w:rsid w:val="002F7B52"/>
    <w:rsid w:val="002F7BF2"/>
    <w:rsid w:val="002F7D3E"/>
    <w:rsid w:val="003005AA"/>
    <w:rsid w:val="00300617"/>
    <w:rsid w:val="00300735"/>
    <w:rsid w:val="00300A28"/>
    <w:rsid w:val="00300D15"/>
    <w:rsid w:val="00300EF3"/>
    <w:rsid w:val="003010D6"/>
    <w:rsid w:val="00302076"/>
    <w:rsid w:val="003020A1"/>
    <w:rsid w:val="00302256"/>
    <w:rsid w:val="003022D9"/>
    <w:rsid w:val="0030252B"/>
    <w:rsid w:val="00302A1D"/>
    <w:rsid w:val="00302C6F"/>
    <w:rsid w:val="00302F0B"/>
    <w:rsid w:val="00302F77"/>
    <w:rsid w:val="00303662"/>
    <w:rsid w:val="00303D2E"/>
    <w:rsid w:val="00303EFE"/>
    <w:rsid w:val="003041C6"/>
    <w:rsid w:val="00304449"/>
    <w:rsid w:val="00304FE3"/>
    <w:rsid w:val="0030582C"/>
    <w:rsid w:val="0030597A"/>
    <w:rsid w:val="00305AA8"/>
    <w:rsid w:val="00306402"/>
    <w:rsid w:val="0030650C"/>
    <w:rsid w:val="003066F3"/>
    <w:rsid w:val="003067DB"/>
    <w:rsid w:val="003067DD"/>
    <w:rsid w:val="003068B2"/>
    <w:rsid w:val="00306EB4"/>
    <w:rsid w:val="0030763C"/>
    <w:rsid w:val="003076D1"/>
    <w:rsid w:val="003100DD"/>
    <w:rsid w:val="003102EB"/>
    <w:rsid w:val="003108DD"/>
    <w:rsid w:val="00310987"/>
    <w:rsid w:val="003111BF"/>
    <w:rsid w:val="003114C7"/>
    <w:rsid w:val="00311828"/>
    <w:rsid w:val="003124E9"/>
    <w:rsid w:val="003125CB"/>
    <w:rsid w:val="00312932"/>
    <w:rsid w:val="00312C6B"/>
    <w:rsid w:val="00312EB9"/>
    <w:rsid w:val="003130F5"/>
    <w:rsid w:val="003131B1"/>
    <w:rsid w:val="003134C2"/>
    <w:rsid w:val="00313DB7"/>
    <w:rsid w:val="003141DC"/>
    <w:rsid w:val="0031423A"/>
    <w:rsid w:val="00314937"/>
    <w:rsid w:val="00314AA6"/>
    <w:rsid w:val="00314B7C"/>
    <w:rsid w:val="00314F81"/>
    <w:rsid w:val="003155FC"/>
    <w:rsid w:val="0031565D"/>
    <w:rsid w:val="00315CD4"/>
    <w:rsid w:val="003161C7"/>
    <w:rsid w:val="003164B7"/>
    <w:rsid w:val="0031677D"/>
    <w:rsid w:val="00316835"/>
    <w:rsid w:val="00316B4C"/>
    <w:rsid w:val="00316E38"/>
    <w:rsid w:val="00316F9A"/>
    <w:rsid w:val="0031745A"/>
    <w:rsid w:val="00317503"/>
    <w:rsid w:val="0031752E"/>
    <w:rsid w:val="003179D9"/>
    <w:rsid w:val="00317A51"/>
    <w:rsid w:val="00317EF5"/>
    <w:rsid w:val="00317F23"/>
    <w:rsid w:val="0032047F"/>
    <w:rsid w:val="00320552"/>
    <w:rsid w:val="00320942"/>
    <w:rsid w:val="0032099F"/>
    <w:rsid w:val="00321147"/>
    <w:rsid w:val="003219A9"/>
    <w:rsid w:val="00321B31"/>
    <w:rsid w:val="00321D90"/>
    <w:rsid w:val="00321E38"/>
    <w:rsid w:val="0032229D"/>
    <w:rsid w:val="00322A9F"/>
    <w:rsid w:val="00322B37"/>
    <w:rsid w:val="00323944"/>
    <w:rsid w:val="00323F0A"/>
    <w:rsid w:val="00324608"/>
    <w:rsid w:val="00324C2D"/>
    <w:rsid w:val="0032505D"/>
    <w:rsid w:val="00325123"/>
    <w:rsid w:val="00325809"/>
    <w:rsid w:val="00325937"/>
    <w:rsid w:val="00325C58"/>
    <w:rsid w:val="00326283"/>
    <w:rsid w:val="0032629D"/>
    <w:rsid w:val="0032745A"/>
    <w:rsid w:val="003276CC"/>
    <w:rsid w:val="00327749"/>
    <w:rsid w:val="00327968"/>
    <w:rsid w:val="00327CD5"/>
    <w:rsid w:val="0033031D"/>
    <w:rsid w:val="00330FF8"/>
    <w:rsid w:val="00331062"/>
    <w:rsid w:val="003313AF"/>
    <w:rsid w:val="00331409"/>
    <w:rsid w:val="00331562"/>
    <w:rsid w:val="003315C4"/>
    <w:rsid w:val="003315FB"/>
    <w:rsid w:val="003321B3"/>
    <w:rsid w:val="00332B52"/>
    <w:rsid w:val="00332B5E"/>
    <w:rsid w:val="00333195"/>
    <w:rsid w:val="0033335B"/>
    <w:rsid w:val="00333412"/>
    <w:rsid w:val="0033343E"/>
    <w:rsid w:val="00333A77"/>
    <w:rsid w:val="003346CC"/>
    <w:rsid w:val="00334EE1"/>
    <w:rsid w:val="0033515D"/>
    <w:rsid w:val="003355BE"/>
    <w:rsid w:val="003356A9"/>
    <w:rsid w:val="00335A69"/>
    <w:rsid w:val="00335B6D"/>
    <w:rsid w:val="00335FEE"/>
    <w:rsid w:val="003364FA"/>
    <w:rsid w:val="00336737"/>
    <w:rsid w:val="00336DE1"/>
    <w:rsid w:val="00337027"/>
    <w:rsid w:val="003371BC"/>
    <w:rsid w:val="0033726E"/>
    <w:rsid w:val="00337713"/>
    <w:rsid w:val="00337AC5"/>
    <w:rsid w:val="00337FB8"/>
    <w:rsid w:val="00340913"/>
    <w:rsid w:val="00340BD3"/>
    <w:rsid w:val="00340D4B"/>
    <w:rsid w:val="00340EB3"/>
    <w:rsid w:val="003412B0"/>
    <w:rsid w:val="0034219A"/>
    <w:rsid w:val="00342251"/>
    <w:rsid w:val="00342416"/>
    <w:rsid w:val="003424C2"/>
    <w:rsid w:val="00342766"/>
    <w:rsid w:val="0034276F"/>
    <w:rsid w:val="00342C0F"/>
    <w:rsid w:val="00342E5F"/>
    <w:rsid w:val="0034307F"/>
    <w:rsid w:val="003432AA"/>
    <w:rsid w:val="00343341"/>
    <w:rsid w:val="00343862"/>
    <w:rsid w:val="00343DB9"/>
    <w:rsid w:val="00343E75"/>
    <w:rsid w:val="0034486C"/>
    <w:rsid w:val="00344EF3"/>
    <w:rsid w:val="00344F17"/>
    <w:rsid w:val="003453A6"/>
    <w:rsid w:val="0034593A"/>
    <w:rsid w:val="0034597B"/>
    <w:rsid w:val="003461B2"/>
    <w:rsid w:val="0034630A"/>
    <w:rsid w:val="0034633D"/>
    <w:rsid w:val="0034640B"/>
    <w:rsid w:val="003465AE"/>
    <w:rsid w:val="00346A43"/>
    <w:rsid w:val="00346A75"/>
    <w:rsid w:val="00347571"/>
    <w:rsid w:val="00347671"/>
    <w:rsid w:val="00347D22"/>
    <w:rsid w:val="00347D98"/>
    <w:rsid w:val="003500E2"/>
    <w:rsid w:val="003505D1"/>
    <w:rsid w:val="003510EF"/>
    <w:rsid w:val="0035126E"/>
    <w:rsid w:val="00351746"/>
    <w:rsid w:val="00351FC4"/>
    <w:rsid w:val="00351FE9"/>
    <w:rsid w:val="003526B0"/>
    <w:rsid w:val="003528EA"/>
    <w:rsid w:val="00352A19"/>
    <w:rsid w:val="00353F2B"/>
    <w:rsid w:val="00353F32"/>
    <w:rsid w:val="0035416F"/>
    <w:rsid w:val="003544FD"/>
    <w:rsid w:val="00354AB7"/>
    <w:rsid w:val="00354AC6"/>
    <w:rsid w:val="00354B14"/>
    <w:rsid w:val="00354DE8"/>
    <w:rsid w:val="00354E69"/>
    <w:rsid w:val="00354F7D"/>
    <w:rsid w:val="003552D0"/>
    <w:rsid w:val="00355386"/>
    <w:rsid w:val="003555E0"/>
    <w:rsid w:val="00355999"/>
    <w:rsid w:val="00355AA9"/>
    <w:rsid w:val="00355CE7"/>
    <w:rsid w:val="00356165"/>
    <w:rsid w:val="00356181"/>
    <w:rsid w:val="003562FA"/>
    <w:rsid w:val="00356571"/>
    <w:rsid w:val="00356B0E"/>
    <w:rsid w:val="00357201"/>
    <w:rsid w:val="003577D3"/>
    <w:rsid w:val="0035790F"/>
    <w:rsid w:val="00357EB4"/>
    <w:rsid w:val="00357EFD"/>
    <w:rsid w:val="00360232"/>
    <w:rsid w:val="00360B50"/>
    <w:rsid w:val="00360B9A"/>
    <w:rsid w:val="00360C00"/>
    <w:rsid w:val="003611F9"/>
    <w:rsid w:val="00361B25"/>
    <w:rsid w:val="00361FBD"/>
    <w:rsid w:val="003622A2"/>
    <w:rsid w:val="00362442"/>
    <w:rsid w:val="00362B47"/>
    <w:rsid w:val="00362E4C"/>
    <w:rsid w:val="00363147"/>
    <w:rsid w:val="003636FF"/>
    <w:rsid w:val="00363809"/>
    <w:rsid w:val="00363901"/>
    <w:rsid w:val="00363E5B"/>
    <w:rsid w:val="00364407"/>
    <w:rsid w:val="00364755"/>
    <w:rsid w:val="0036497A"/>
    <w:rsid w:val="00364B25"/>
    <w:rsid w:val="00365048"/>
    <w:rsid w:val="003653D9"/>
    <w:rsid w:val="003654BD"/>
    <w:rsid w:val="00365AAC"/>
    <w:rsid w:val="00365AF6"/>
    <w:rsid w:val="00366081"/>
    <w:rsid w:val="003660C9"/>
    <w:rsid w:val="00366377"/>
    <w:rsid w:val="00366701"/>
    <w:rsid w:val="003669BE"/>
    <w:rsid w:val="00366B28"/>
    <w:rsid w:val="00367072"/>
    <w:rsid w:val="003672B7"/>
    <w:rsid w:val="003676CE"/>
    <w:rsid w:val="0036784E"/>
    <w:rsid w:val="00367B2A"/>
    <w:rsid w:val="00367EAC"/>
    <w:rsid w:val="00370273"/>
    <w:rsid w:val="00370BC8"/>
    <w:rsid w:val="00370C07"/>
    <w:rsid w:val="00370DD3"/>
    <w:rsid w:val="0037135A"/>
    <w:rsid w:val="003717FD"/>
    <w:rsid w:val="00371A9A"/>
    <w:rsid w:val="00371CBC"/>
    <w:rsid w:val="00371CDB"/>
    <w:rsid w:val="00372876"/>
    <w:rsid w:val="00372C59"/>
    <w:rsid w:val="00372F56"/>
    <w:rsid w:val="00372F71"/>
    <w:rsid w:val="003736AA"/>
    <w:rsid w:val="00374582"/>
    <w:rsid w:val="0037461B"/>
    <w:rsid w:val="00374BC7"/>
    <w:rsid w:val="00374F0D"/>
    <w:rsid w:val="00375273"/>
    <w:rsid w:val="00375326"/>
    <w:rsid w:val="003756AE"/>
    <w:rsid w:val="003757B5"/>
    <w:rsid w:val="00375A5D"/>
    <w:rsid w:val="00375AF3"/>
    <w:rsid w:val="00375B6F"/>
    <w:rsid w:val="00375C27"/>
    <w:rsid w:val="0037646D"/>
    <w:rsid w:val="00376F09"/>
    <w:rsid w:val="00377225"/>
    <w:rsid w:val="00377651"/>
    <w:rsid w:val="00377D54"/>
    <w:rsid w:val="00377EBB"/>
    <w:rsid w:val="003807CF"/>
    <w:rsid w:val="003808BE"/>
    <w:rsid w:val="00380C64"/>
    <w:rsid w:val="00380D7C"/>
    <w:rsid w:val="00380EBE"/>
    <w:rsid w:val="00380F12"/>
    <w:rsid w:val="0038161D"/>
    <w:rsid w:val="00381A43"/>
    <w:rsid w:val="00381BD2"/>
    <w:rsid w:val="00381C38"/>
    <w:rsid w:val="0038229C"/>
    <w:rsid w:val="00382BBF"/>
    <w:rsid w:val="00382D9C"/>
    <w:rsid w:val="00382FD5"/>
    <w:rsid w:val="0038346C"/>
    <w:rsid w:val="00383771"/>
    <w:rsid w:val="003841BD"/>
    <w:rsid w:val="003849F9"/>
    <w:rsid w:val="00384ABD"/>
    <w:rsid w:val="00384B22"/>
    <w:rsid w:val="00384C51"/>
    <w:rsid w:val="003852D8"/>
    <w:rsid w:val="003853DE"/>
    <w:rsid w:val="0038563F"/>
    <w:rsid w:val="003861E3"/>
    <w:rsid w:val="00386339"/>
    <w:rsid w:val="0038686B"/>
    <w:rsid w:val="00386D24"/>
    <w:rsid w:val="00386F2D"/>
    <w:rsid w:val="0038786E"/>
    <w:rsid w:val="003911F6"/>
    <w:rsid w:val="003918E4"/>
    <w:rsid w:val="00391A97"/>
    <w:rsid w:val="00391DBF"/>
    <w:rsid w:val="00391DC0"/>
    <w:rsid w:val="00392349"/>
    <w:rsid w:val="00393545"/>
    <w:rsid w:val="00393D6D"/>
    <w:rsid w:val="00393D81"/>
    <w:rsid w:val="003940A5"/>
    <w:rsid w:val="00394398"/>
    <w:rsid w:val="00394732"/>
    <w:rsid w:val="0039490E"/>
    <w:rsid w:val="00394A01"/>
    <w:rsid w:val="00394B16"/>
    <w:rsid w:val="00394FF6"/>
    <w:rsid w:val="003953D0"/>
    <w:rsid w:val="00395628"/>
    <w:rsid w:val="003959E4"/>
    <w:rsid w:val="00395D8E"/>
    <w:rsid w:val="00396416"/>
    <w:rsid w:val="003965D4"/>
    <w:rsid w:val="00396E96"/>
    <w:rsid w:val="00397608"/>
    <w:rsid w:val="00397C2C"/>
    <w:rsid w:val="00397EAC"/>
    <w:rsid w:val="003A048F"/>
    <w:rsid w:val="003A08C8"/>
    <w:rsid w:val="003A0AA2"/>
    <w:rsid w:val="003A14DA"/>
    <w:rsid w:val="003A16C8"/>
    <w:rsid w:val="003A1E61"/>
    <w:rsid w:val="003A1FC6"/>
    <w:rsid w:val="003A2671"/>
    <w:rsid w:val="003A28AA"/>
    <w:rsid w:val="003A2B4C"/>
    <w:rsid w:val="003A3A91"/>
    <w:rsid w:val="003A3B3A"/>
    <w:rsid w:val="003A3CA4"/>
    <w:rsid w:val="003A4648"/>
    <w:rsid w:val="003A4974"/>
    <w:rsid w:val="003A4F7F"/>
    <w:rsid w:val="003A519D"/>
    <w:rsid w:val="003A5887"/>
    <w:rsid w:val="003A5B27"/>
    <w:rsid w:val="003A5F8C"/>
    <w:rsid w:val="003A5FAE"/>
    <w:rsid w:val="003A63AB"/>
    <w:rsid w:val="003A64E3"/>
    <w:rsid w:val="003A680A"/>
    <w:rsid w:val="003A6836"/>
    <w:rsid w:val="003A68B8"/>
    <w:rsid w:val="003A6A84"/>
    <w:rsid w:val="003A6F68"/>
    <w:rsid w:val="003A713C"/>
    <w:rsid w:val="003A73AE"/>
    <w:rsid w:val="003A769D"/>
    <w:rsid w:val="003A7ECE"/>
    <w:rsid w:val="003B006B"/>
    <w:rsid w:val="003B0413"/>
    <w:rsid w:val="003B0621"/>
    <w:rsid w:val="003B0C46"/>
    <w:rsid w:val="003B0D57"/>
    <w:rsid w:val="003B11A2"/>
    <w:rsid w:val="003B11E0"/>
    <w:rsid w:val="003B14A0"/>
    <w:rsid w:val="003B153D"/>
    <w:rsid w:val="003B1BA7"/>
    <w:rsid w:val="003B1FED"/>
    <w:rsid w:val="003B2120"/>
    <w:rsid w:val="003B233C"/>
    <w:rsid w:val="003B2371"/>
    <w:rsid w:val="003B25B8"/>
    <w:rsid w:val="003B268E"/>
    <w:rsid w:val="003B27F0"/>
    <w:rsid w:val="003B2DBA"/>
    <w:rsid w:val="003B32DD"/>
    <w:rsid w:val="003B3577"/>
    <w:rsid w:val="003B3821"/>
    <w:rsid w:val="003B3A1F"/>
    <w:rsid w:val="003B3AA0"/>
    <w:rsid w:val="003B44D0"/>
    <w:rsid w:val="003B464C"/>
    <w:rsid w:val="003B4AC1"/>
    <w:rsid w:val="003B52C6"/>
    <w:rsid w:val="003B5629"/>
    <w:rsid w:val="003B562A"/>
    <w:rsid w:val="003B6112"/>
    <w:rsid w:val="003B6B39"/>
    <w:rsid w:val="003B6D41"/>
    <w:rsid w:val="003B7492"/>
    <w:rsid w:val="003B7B06"/>
    <w:rsid w:val="003B7B10"/>
    <w:rsid w:val="003B7C07"/>
    <w:rsid w:val="003C018A"/>
    <w:rsid w:val="003C0492"/>
    <w:rsid w:val="003C060C"/>
    <w:rsid w:val="003C0A4E"/>
    <w:rsid w:val="003C0C25"/>
    <w:rsid w:val="003C1580"/>
    <w:rsid w:val="003C178B"/>
    <w:rsid w:val="003C1B12"/>
    <w:rsid w:val="003C2604"/>
    <w:rsid w:val="003C2A54"/>
    <w:rsid w:val="003C2ED0"/>
    <w:rsid w:val="003C2FDB"/>
    <w:rsid w:val="003C3203"/>
    <w:rsid w:val="003C341F"/>
    <w:rsid w:val="003C3644"/>
    <w:rsid w:val="003C3723"/>
    <w:rsid w:val="003C3E3D"/>
    <w:rsid w:val="003C4284"/>
    <w:rsid w:val="003C44D1"/>
    <w:rsid w:val="003C4626"/>
    <w:rsid w:val="003C4759"/>
    <w:rsid w:val="003C491D"/>
    <w:rsid w:val="003C49D0"/>
    <w:rsid w:val="003C5117"/>
    <w:rsid w:val="003C5981"/>
    <w:rsid w:val="003C5BF1"/>
    <w:rsid w:val="003C5E6E"/>
    <w:rsid w:val="003C6103"/>
    <w:rsid w:val="003C62E8"/>
    <w:rsid w:val="003C6BCB"/>
    <w:rsid w:val="003C7239"/>
    <w:rsid w:val="003C7394"/>
    <w:rsid w:val="003C74F9"/>
    <w:rsid w:val="003C7746"/>
    <w:rsid w:val="003C77E0"/>
    <w:rsid w:val="003C79DB"/>
    <w:rsid w:val="003C7CE1"/>
    <w:rsid w:val="003C7E89"/>
    <w:rsid w:val="003D0435"/>
    <w:rsid w:val="003D058C"/>
    <w:rsid w:val="003D0593"/>
    <w:rsid w:val="003D05A6"/>
    <w:rsid w:val="003D06B4"/>
    <w:rsid w:val="003D139F"/>
    <w:rsid w:val="003D1466"/>
    <w:rsid w:val="003D1ADA"/>
    <w:rsid w:val="003D1C00"/>
    <w:rsid w:val="003D1CCE"/>
    <w:rsid w:val="003D206F"/>
    <w:rsid w:val="003D350F"/>
    <w:rsid w:val="003D4109"/>
    <w:rsid w:val="003D4809"/>
    <w:rsid w:val="003D4A16"/>
    <w:rsid w:val="003D4D66"/>
    <w:rsid w:val="003D4E05"/>
    <w:rsid w:val="003D55F9"/>
    <w:rsid w:val="003D5C1E"/>
    <w:rsid w:val="003D5F03"/>
    <w:rsid w:val="003D5F55"/>
    <w:rsid w:val="003D616C"/>
    <w:rsid w:val="003D6488"/>
    <w:rsid w:val="003D67F0"/>
    <w:rsid w:val="003D6963"/>
    <w:rsid w:val="003D6BA8"/>
    <w:rsid w:val="003D7194"/>
    <w:rsid w:val="003D790F"/>
    <w:rsid w:val="003D7DFA"/>
    <w:rsid w:val="003E00CD"/>
    <w:rsid w:val="003E00F3"/>
    <w:rsid w:val="003E05AC"/>
    <w:rsid w:val="003E0776"/>
    <w:rsid w:val="003E0797"/>
    <w:rsid w:val="003E07CE"/>
    <w:rsid w:val="003E09AE"/>
    <w:rsid w:val="003E0A9B"/>
    <w:rsid w:val="003E0E15"/>
    <w:rsid w:val="003E0FB4"/>
    <w:rsid w:val="003E1316"/>
    <w:rsid w:val="003E15FB"/>
    <w:rsid w:val="003E1903"/>
    <w:rsid w:val="003E1925"/>
    <w:rsid w:val="003E1A8F"/>
    <w:rsid w:val="003E1BE4"/>
    <w:rsid w:val="003E1F3C"/>
    <w:rsid w:val="003E1FF4"/>
    <w:rsid w:val="003E2093"/>
    <w:rsid w:val="003E2158"/>
    <w:rsid w:val="003E22B7"/>
    <w:rsid w:val="003E2446"/>
    <w:rsid w:val="003E27EC"/>
    <w:rsid w:val="003E2AD8"/>
    <w:rsid w:val="003E2DF1"/>
    <w:rsid w:val="003E33D6"/>
    <w:rsid w:val="003E3A23"/>
    <w:rsid w:val="003E3C15"/>
    <w:rsid w:val="003E3E42"/>
    <w:rsid w:val="003E4162"/>
    <w:rsid w:val="003E41E8"/>
    <w:rsid w:val="003E4272"/>
    <w:rsid w:val="003E4281"/>
    <w:rsid w:val="003E443A"/>
    <w:rsid w:val="003E44C3"/>
    <w:rsid w:val="003E4674"/>
    <w:rsid w:val="003E4C39"/>
    <w:rsid w:val="003E4C3E"/>
    <w:rsid w:val="003E504A"/>
    <w:rsid w:val="003E5359"/>
    <w:rsid w:val="003E539C"/>
    <w:rsid w:val="003E5CDF"/>
    <w:rsid w:val="003E5EB6"/>
    <w:rsid w:val="003E6060"/>
    <w:rsid w:val="003E61E3"/>
    <w:rsid w:val="003E6D47"/>
    <w:rsid w:val="003F0E8A"/>
    <w:rsid w:val="003F1A6C"/>
    <w:rsid w:val="003F1BAD"/>
    <w:rsid w:val="003F1D49"/>
    <w:rsid w:val="003F2A59"/>
    <w:rsid w:val="003F3122"/>
    <w:rsid w:val="003F3EAF"/>
    <w:rsid w:val="003F4063"/>
    <w:rsid w:val="003F4068"/>
    <w:rsid w:val="003F4476"/>
    <w:rsid w:val="003F46A8"/>
    <w:rsid w:val="003F4965"/>
    <w:rsid w:val="003F54F3"/>
    <w:rsid w:val="003F5B43"/>
    <w:rsid w:val="003F5B45"/>
    <w:rsid w:val="003F5D4A"/>
    <w:rsid w:val="003F65A4"/>
    <w:rsid w:val="003F65AA"/>
    <w:rsid w:val="003F68E6"/>
    <w:rsid w:val="003F6B18"/>
    <w:rsid w:val="003F6C1F"/>
    <w:rsid w:val="003F7056"/>
    <w:rsid w:val="003F787E"/>
    <w:rsid w:val="003F7896"/>
    <w:rsid w:val="003F7C63"/>
    <w:rsid w:val="00400096"/>
    <w:rsid w:val="00400516"/>
    <w:rsid w:val="00400805"/>
    <w:rsid w:val="004013BE"/>
    <w:rsid w:val="00402590"/>
    <w:rsid w:val="0040336F"/>
    <w:rsid w:val="004034C5"/>
    <w:rsid w:val="00403A16"/>
    <w:rsid w:val="00403CB2"/>
    <w:rsid w:val="00403CCB"/>
    <w:rsid w:val="0040405F"/>
    <w:rsid w:val="0040421E"/>
    <w:rsid w:val="0040427B"/>
    <w:rsid w:val="0040440B"/>
    <w:rsid w:val="00404820"/>
    <w:rsid w:val="00404EC1"/>
    <w:rsid w:val="00404EC5"/>
    <w:rsid w:val="0040531A"/>
    <w:rsid w:val="004056D5"/>
    <w:rsid w:val="00405852"/>
    <w:rsid w:val="004061C9"/>
    <w:rsid w:val="00406CD2"/>
    <w:rsid w:val="004070E3"/>
    <w:rsid w:val="00407378"/>
    <w:rsid w:val="004077F2"/>
    <w:rsid w:val="00407AF8"/>
    <w:rsid w:val="00407B5F"/>
    <w:rsid w:val="00407CBA"/>
    <w:rsid w:val="00407EB2"/>
    <w:rsid w:val="00407F0F"/>
    <w:rsid w:val="004101E2"/>
    <w:rsid w:val="00410265"/>
    <w:rsid w:val="004108F3"/>
    <w:rsid w:val="004109C8"/>
    <w:rsid w:val="0041115F"/>
    <w:rsid w:val="00411669"/>
    <w:rsid w:val="00411D85"/>
    <w:rsid w:val="00411DC4"/>
    <w:rsid w:val="00411FEE"/>
    <w:rsid w:val="00411FFC"/>
    <w:rsid w:val="0041244C"/>
    <w:rsid w:val="004126C6"/>
    <w:rsid w:val="00412B0D"/>
    <w:rsid w:val="00413791"/>
    <w:rsid w:val="00414187"/>
    <w:rsid w:val="0041464B"/>
    <w:rsid w:val="004147D6"/>
    <w:rsid w:val="00414B54"/>
    <w:rsid w:val="00414D3C"/>
    <w:rsid w:val="004153D4"/>
    <w:rsid w:val="004156DC"/>
    <w:rsid w:val="00415A4F"/>
    <w:rsid w:val="00415ADC"/>
    <w:rsid w:val="00415B78"/>
    <w:rsid w:val="00415F1E"/>
    <w:rsid w:val="00416047"/>
    <w:rsid w:val="004166DE"/>
    <w:rsid w:val="00416E2E"/>
    <w:rsid w:val="00417038"/>
    <w:rsid w:val="00417AE7"/>
    <w:rsid w:val="00417BC9"/>
    <w:rsid w:val="004200DA"/>
    <w:rsid w:val="004202B4"/>
    <w:rsid w:val="00420AB3"/>
    <w:rsid w:val="00421477"/>
    <w:rsid w:val="00421513"/>
    <w:rsid w:val="00421D8F"/>
    <w:rsid w:val="00421FCE"/>
    <w:rsid w:val="00422776"/>
    <w:rsid w:val="004229AD"/>
    <w:rsid w:val="00422FE4"/>
    <w:rsid w:val="00423626"/>
    <w:rsid w:val="0042382D"/>
    <w:rsid w:val="00423A3E"/>
    <w:rsid w:val="00423B2D"/>
    <w:rsid w:val="00423DB7"/>
    <w:rsid w:val="0042429A"/>
    <w:rsid w:val="004243D2"/>
    <w:rsid w:val="004246C4"/>
    <w:rsid w:val="004247F4"/>
    <w:rsid w:val="00424851"/>
    <w:rsid w:val="00424CA9"/>
    <w:rsid w:val="0042506A"/>
    <w:rsid w:val="004250F0"/>
    <w:rsid w:val="004252F6"/>
    <w:rsid w:val="0042564F"/>
    <w:rsid w:val="00425A64"/>
    <w:rsid w:val="00425CDB"/>
    <w:rsid w:val="00425D77"/>
    <w:rsid w:val="00425F7F"/>
    <w:rsid w:val="0042602A"/>
    <w:rsid w:val="00426342"/>
    <w:rsid w:val="0042639A"/>
    <w:rsid w:val="00426700"/>
    <w:rsid w:val="00426BD1"/>
    <w:rsid w:val="004271CC"/>
    <w:rsid w:val="004273D9"/>
    <w:rsid w:val="0042758B"/>
    <w:rsid w:val="00427778"/>
    <w:rsid w:val="004279CB"/>
    <w:rsid w:val="004303B2"/>
    <w:rsid w:val="00430555"/>
    <w:rsid w:val="00430A5F"/>
    <w:rsid w:val="00430BA3"/>
    <w:rsid w:val="00431307"/>
    <w:rsid w:val="0043142D"/>
    <w:rsid w:val="00431956"/>
    <w:rsid w:val="004319AA"/>
    <w:rsid w:val="00431D5F"/>
    <w:rsid w:val="0043215B"/>
    <w:rsid w:val="004321A2"/>
    <w:rsid w:val="00432998"/>
    <w:rsid w:val="00432B13"/>
    <w:rsid w:val="0043302E"/>
    <w:rsid w:val="0043312E"/>
    <w:rsid w:val="004332C9"/>
    <w:rsid w:val="00433BA5"/>
    <w:rsid w:val="004340D5"/>
    <w:rsid w:val="00434AD6"/>
    <w:rsid w:val="00434D0B"/>
    <w:rsid w:val="00434DD9"/>
    <w:rsid w:val="0043529E"/>
    <w:rsid w:val="00435590"/>
    <w:rsid w:val="00435E04"/>
    <w:rsid w:val="0043637C"/>
    <w:rsid w:val="00436842"/>
    <w:rsid w:val="00436B27"/>
    <w:rsid w:val="00437150"/>
    <w:rsid w:val="0043723E"/>
    <w:rsid w:val="004402BE"/>
    <w:rsid w:val="00440570"/>
    <w:rsid w:val="00440603"/>
    <w:rsid w:val="00440C41"/>
    <w:rsid w:val="0044101C"/>
    <w:rsid w:val="004415A1"/>
    <w:rsid w:val="0044191D"/>
    <w:rsid w:val="004419CB"/>
    <w:rsid w:val="00441A62"/>
    <w:rsid w:val="00442662"/>
    <w:rsid w:val="00442A82"/>
    <w:rsid w:val="00443322"/>
    <w:rsid w:val="00443492"/>
    <w:rsid w:val="0044393F"/>
    <w:rsid w:val="004442EC"/>
    <w:rsid w:val="00444587"/>
    <w:rsid w:val="004448B5"/>
    <w:rsid w:val="00445983"/>
    <w:rsid w:val="0044639E"/>
    <w:rsid w:val="004464F6"/>
    <w:rsid w:val="00446659"/>
    <w:rsid w:val="004468B1"/>
    <w:rsid w:val="00446B59"/>
    <w:rsid w:val="00446B8D"/>
    <w:rsid w:val="00446C5C"/>
    <w:rsid w:val="00446CDC"/>
    <w:rsid w:val="00447108"/>
    <w:rsid w:val="00447DC2"/>
    <w:rsid w:val="00447E22"/>
    <w:rsid w:val="004502F0"/>
    <w:rsid w:val="00450466"/>
    <w:rsid w:val="00450730"/>
    <w:rsid w:val="00450CD1"/>
    <w:rsid w:val="00450CE6"/>
    <w:rsid w:val="00450D5D"/>
    <w:rsid w:val="00450EAC"/>
    <w:rsid w:val="00450F59"/>
    <w:rsid w:val="004511C3"/>
    <w:rsid w:val="004514B9"/>
    <w:rsid w:val="00451540"/>
    <w:rsid w:val="00451B06"/>
    <w:rsid w:val="00451E82"/>
    <w:rsid w:val="004520C6"/>
    <w:rsid w:val="004526FD"/>
    <w:rsid w:val="00452707"/>
    <w:rsid w:val="00452D9E"/>
    <w:rsid w:val="00452E0C"/>
    <w:rsid w:val="00452EF6"/>
    <w:rsid w:val="004536B6"/>
    <w:rsid w:val="004536FC"/>
    <w:rsid w:val="00453730"/>
    <w:rsid w:val="00453A7B"/>
    <w:rsid w:val="0045412B"/>
    <w:rsid w:val="0045421D"/>
    <w:rsid w:val="00454E82"/>
    <w:rsid w:val="00454F50"/>
    <w:rsid w:val="00455586"/>
    <w:rsid w:val="00455587"/>
    <w:rsid w:val="00455CD3"/>
    <w:rsid w:val="00456474"/>
    <w:rsid w:val="004568EA"/>
    <w:rsid w:val="00456B1E"/>
    <w:rsid w:val="00456C64"/>
    <w:rsid w:val="004573D6"/>
    <w:rsid w:val="00457DA8"/>
    <w:rsid w:val="00457F9D"/>
    <w:rsid w:val="00460246"/>
    <w:rsid w:val="0046064B"/>
    <w:rsid w:val="00460A48"/>
    <w:rsid w:val="00460B42"/>
    <w:rsid w:val="00460D10"/>
    <w:rsid w:val="00461128"/>
    <w:rsid w:val="004611DC"/>
    <w:rsid w:val="0046198F"/>
    <w:rsid w:val="00461A99"/>
    <w:rsid w:val="00461C60"/>
    <w:rsid w:val="0046254B"/>
    <w:rsid w:val="0046267F"/>
    <w:rsid w:val="004627F5"/>
    <w:rsid w:val="00462B32"/>
    <w:rsid w:val="00462C5A"/>
    <w:rsid w:val="0046351B"/>
    <w:rsid w:val="00463670"/>
    <w:rsid w:val="00463C0D"/>
    <w:rsid w:val="0046400D"/>
    <w:rsid w:val="004643FA"/>
    <w:rsid w:val="004646EA"/>
    <w:rsid w:val="00464D67"/>
    <w:rsid w:val="00464E38"/>
    <w:rsid w:val="00465012"/>
    <w:rsid w:val="00465608"/>
    <w:rsid w:val="0046586B"/>
    <w:rsid w:val="00465D50"/>
    <w:rsid w:val="0046639D"/>
    <w:rsid w:val="004663C3"/>
    <w:rsid w:val="004663E1"/>
    <w:rsid w:val="00466447"/>
    <w:rsid w:val="004666B9"/>
    <w:rsid w:val="0046672A"/>
    <w:rsid w:val="0046677D"/>
    <w:rsid w:val="004668EC"/>
    <w:rsid w:val="00466D4F"/>
    <w:rsid w:val="004670FB"/>
    <w:rsid w:val="00467159"/>
    <w:rsid w:val="004700D6"/>
    <w:rsid w:val="004708CE"/>
    <w:rsid w:val="0047093D"/>
    <w:rsid w:val="004709F9"/>
    <w:rsid w:val="00470A92"/>
    <w:rsid w:val="00470C29"/>
    <w:rsid w:val="00471608"/>
    <w:rsid w:val="00471649"/>
    <w:rsid w:val="00471A05"/>
    <w:rsid w:val="00471D3C"/>
    <w:rsid w:val="004721CB"/>
    <w:rsid w:val="00472780"/>
    <w:rsid w:val="0047295A"/>
    <w:rsid w:val="004730B9"/>
    <w:rsid w:val="00473116"/>
    <w:rsid w:val="00473553"/>
    <w:rsid w:val="00473A0E"/>
    <w:rsid w:val="00473AE4"/>
    <w:rsid w:val="00473BE6"/>
    <w:rsid w:val="004741EC"/>
    <w:rsid w:val="0047453F"/>
    <w:rsid w:val="004747C5"/>
    <w:rsid w:val="004748F5"/>
    <w:rsid w:val="00475BEC"/>
    <w:rsid w:val="00475E3F"/>
    <w:rsid w:val="00476029"/>
    <w:rsid w:val="004761F0"/>
    <w:rsid w:val="0047634A"/>
    <w:rsid w:val="0047642C"/>
    <w:rsid w:val="00476458"/>
    <w:rsid w:val="004764BC"/>
    <w:rsid w:val="004765B0"/>
    <w:rsid w:val="0047678E"/>
    <w:rsid w:val="0047702D"/>
    <w:rsid w:val="004770EB"/>
    <w:rsid w:val="0047720B"/>
    <w:rsid w:val="004772FB"/>
    <w:rsid w:val="0047737A"/>
    <w:rsid w:val="00477435"/>
    <w:rsid w:val="00477997"/>
    <w:rsid w:val="00477C30"/>
    <w:rsid w:val="004806A3"/>
    <w:rsid w:val="00480E41"/>
    <w:rsid w:val="00480E68"/>
    <w:rsid w:val="00480F52"/>
    <w:rsid w:val="00481353"/>
    <w:rsid w:val="00481860"/>
    <w:rsid w:val="00481B57"/>
    <w:rsid w:val="00481F72"/>
    <w:rsid w:val="0048258D"/>
    <w:rsid w:val="00482C5D"/>
    <w:rsid w:val="00482E1B"/>
    <w:rsid w:val="00483177"/>
    <w:rsid w:val="00483D1E"/>
    <w:rsid w:val="00484083"/>
    <w:rsid w:val="0048436B"/>
    <w:rsid w:val="0048459E"/>
    <w:rsid w:val="004849D1"/>
    <w:rsid w:val="00484AA6"/>
    <w:rsid w:val="00484E02"/>
    <w:rsid w:val="0048525B"/>
    <w:rsid w:val="00485993"/>
    <w:rsid w:val="00485BB5"/>
    <w:rsid w:val="00485DF9"/>
    <w:rsid w:val="00485EDE"/>
    <w:rsid w:val="00485F81"/>
    <w:rsid w:val="004863EF"/>
    <w:rsid w:val="0048680D"/>
    <w:rsid w:val="00486854"/>
    <w:rsid w:val="004869F9"/>
    <w:rsid w:val="00487088"/>
    <w:rsid w:val="004871A0"/>
    <w:rsid w:val="00487205"/>
    <w:rsid w:val="00487A68"/>
    <w:rsid w:val="00487CB3"/>
    <w:rsid w:val="00490127"/>
    <w:rsid w:val="00490302"/>
    <w:rsid w:val="00490556"/>
    <w:rsid w:val="00490951"/>
    <w:rsid w:val="00490974"/>
    <w:rsid w:val="004919B7"/>
    <w:rsid w:val="00491BFA"/>
    <w:rsid w:val="00491FFC"/>
    <w:rsid w:val="00492072"/>
    <w:rsid w:val="004921D2"/>
    <w:rsid w:val="004924D8"/>
    <w:rsid w:val="004924E6"/>
    <w:rsid w:val="004925AD"/>
    <w:rsid w:val="004934DF"/>
    <w:rsid w:val="00493563"/>
    <w:rsid w:val="0049376C"/>
    <w:rsid w:val="00493812"/>
    <w:rsid w:val="0049394D"/>
    <w:rsid w:val="00493975"/>
    <w:rsid w:val="00493A52"/>
    <w:rsid w:val="00493AEF"/>
    <w:rsid w:val="00493B05"/>
    <w:rsid w:val="00493BEC"/>
    <w:rsid w:val="00493D05"/>
    <w:rsid w:val="004949BE"/>
    <w:rsid w:val="00494B8E"/>
    <w:rsid w:val="00494EDC"/>
    <w:rsid w:val="00495543"/>
    <w:rsid w:val="00495666"/>
    <w:rsid w:val="00495717"/>
    <w:rsid w:val="004957EB"/>
    <w:rsid w:val="00495A29"/>
    <w:rsid w:val="00495B3A"/>
    <w:rsid w:val="00495EBF"/>
    <w:rsid w:val="00495F0B"/>
    <w:rsid w:val="004963E2"/>
    <w:rsid w:val="0049651A"/>
    <w:rsid w:val="004965BE"/>
    <w:rsid w:val="004966D8"/>
    <w:rsid w:val="00496833"/>
    <w:rsid w:val="004968F7"/>
    <w:rsid w:val="00496C0A"/>
    <w:rsid w:val="00496CA9"/>
    <w:rsid w:val="00496D6A"/>
    <w:rsid w:val="00497065"/>
    <w:rsid w:val="004971D7"/>
    <w:rsid w:val="00497AFD"/>
    <w:rsid w:val="00497BA7"/>
    <w:rsid w:val="00497DD2"/>
    <w:rsid w:val="004A073F"/>
    <w:rsid w:val="004A0978"/>
    <w:rsid w:val="004A0AA9"/>
    <w:rsid w:val="004A0BD8"/>
    <w:rsid w:val="004A0F93"/>
    <w:rsid w:val="004A10FD"/>
    <w:rsid w:val="004A1128"/>
    <w:rsid w:val="004A16E5"/>
    <w:rsid w:val="004A18DC"/>
    <w:rsid w:val="004A19AE"/>
    <w:rsid w:val="004A1B76"/>
    <w:rsid w:val="004A1F17"/>
    <w:rsid w:val="004A1FF7"/>
    <w:rsid w:val="004A2717"/>
    <w:rsid w:val="004A2742"/>
    <w:rsid w:val="004A2AEE"/>
    <w:rsid w:val="004A2CAD"/>
    <w:rsid w:val="004A2D55"/>
    <w:rsid w:val="004A307A"/>
    <w:rsid w:val="004A31A2"/>
    <w:rsid w:val="004A3239"/>
    <w:rsid w:val="004A324F"/>
    <w:rsid w:val="004A358D"/>
    <w:rsid w:val="004A3801"/>
    <w:rsid w:val="004A3AC4"/>
    <w:rsid w:val="004A3D6D"/>
    <w:rsid w:val="004A40EB"/>
    <w:rsid w:val="004A4396"/>
    <w:rsid w:val="004A47D4"/>
    <w:rsid w:val="004A4853"/>
    <w:rsid w:val="004A495F"/>
    <w:rsid w:val="004A4B42"/>
    <w:rsid w:val="004A4BA6"/>
    <w:rsid w:val="004A4C45"/>
    <w:rsid w:val="004A50B3"/>
    <w:rsid w:val="004A5CBE"/>
    <w:rsid w:val="004A6129"/>
    <w:rsid w:val="004A63DA"/>
    <w:rsid w:val="004A6476"/>
    <w:rsid w:val="004A66A3"/>
    <w:rsid w:val="004A6BEF"/>
    <w:rsid w:val="004A6DF8"/>
    <w:rsid w:val="004A728B"/>
    <w:rsid w:val="004A786E"/>
    <w:rsid w:val="004A7E78"/>
    <w:rsid w:val="004A7EB7"/>
    <w:rsid w:val="004B0091"/>
    <w:rsid w:val="004B01AF"/>
    <w:rsid w:val="004B058F"/>
    <w:rsid w:val="004B06BB"/>
    <w:rsid w:val="004B102C"/>
    <w:rsid w:val="004B1336"/>
    <w:rsid w:val="004B1467"/>
    <w:rsid w:val="004B158F"/>
    <w:rsid w:val="004B1ACF"/>
    <w:rsid w:val="004B1CC3"/>
    <w:rsid w:val="004B2602"/>
    <w:rsid w:val="004B2960"/>
    <w:rsid w:val="004B2A9E"/>
    <w:rsid w:val="004B33C5"/>
    <w:rsid w:val="004B39D5"/>
    <w:rsid w:val="004B4499"/>
    <w:rsid w:val="004B4EB9"/>
    <w:rsid w:val="004B514F"/>
    <w:rsid w:val="004B5268"/>
    <w:rsid w:val="004B55A9"/>
    <w:rsid w:val="004B5FA8"/>
    <w:rsid w:val="004B608F"/>
    <w:rsid w:val="004B6631"/>
    <w:rsid w:val="004B66D1"/>
    <w:rsid w:val="004B7276"/>
    <w:rsid w:val="004B74FB"/>
    <w:rsid w:val="004B7A85"/>
    <w:rsid w:val="004B7FD5"/>
    <w:rsid w:val="004C05F2"/>
    <w:rsid w:val="004C07B8"/>
    <w:rsid w:val="004C0930"/>
    <w:rsid w:val="004C1D27"/>
    <w:rsid w:val="004C1D6D"/>
    <w:rsid w:val="004C1FFE"/>
    <w:rsid w:val="004C23B0"/>
    <w:rsid w:val="004C2426"/>
    <w:rsid w:val="004C242E"/>
    <w:rsid w:val="004C24C5"/>
    <w:rsid w:val="004C30E2"/>
    <w:rsid w:val="004C34C0"/>
    <w:rsid w:val="004C36F1"/>
    <w:rsid w:val="004C3E2F"/>
    <w:rsid w:val="004C442B"/>
    <w:rsid w:val="004C46DD"/>
    <w:rsid w:val="004C4F9D"/>
    <w:rsid w:val="004C5508"/>
    <w:rsid w:val="004C6343"/>
    <w:rsid w:val="004C6763"/>
    <w:rsid w:val="004C6ACA"/>
    <w:rsid w:val="004C6ACC"/>
    <w:rsid w:val="004C7106"/>
    <w:rsid w:val="004C728A"/>
    <w:rsid w:val="004C7A95"/>
    <w:rsid w:val="004C7B90"/>
    <w:rsid w:val="004C7FE5"/>
    <w:rsid w:val="004D025E"/>
    <w:rsid w:val="004D0762"/>
    <w:rsid w:val="004D14F7"/>
    <w:rsid w:val="004D1534"/>
    <w:rsid w:val="004D165D"/>
    <w:rsid w:val="004D1D00"/>
    <w:rsid w:val="004D25E1"/>
    <w:rsid w:val="004D2601"/>
    <w:rsid w:val="004D2818"/>
    <w:rsid w:val="004D2A57"/>
    <w:rsid w:val="004D2F45"/>
    <w:rsid w:val="004D3590"/>
    <w:rsid w:val="004D35E0"/>
    <w:rsid w:val="004D381A"/>
    <w:rsid w:val="004D39F1"/>
    <w:rsid w:val="004D41C9"/>
    <w:rsid w:val="004D43C1"/>
    <w:rsid w:val="004D458D"/>
    <w:rsid w:val="004D4F33"/>
    <w:rsid w:val="004D4FFD"/>
    <w:rsid w:val="004D50A5"/>
    <w:rsid w:val="004D523C"/>
    <w:rsid w:val="004D54B6"/>
    <w:rsid w:val="004D568E"/>
    <w:rsid w:val="004D5C7F"/>
    <w:rsid w:val="004D60FC"/>
    <w:rsid w:val="004D6200"/>
    <w:rsid w:val="004D68E2"/>
    <w:rsid w:val="004D692E"/>
    <w:rsid w:val="004D6BF9"/>
    <w:rsid w:val="004D70D3"/>
    <w:rsid w:val="004D723B"/>
    <w:rsid w:val="004D74EF"/>
    <w:rsid w:val="004D74F7"/>
    <w:rsid w:val="004D769C"/>
    <w:rsid w:val="004D7DD5"/>
    <w:rsid w:val="004D7FD8"/>
    <w:rsid w:val="004E0102"/>
    <w:rsid w:val="004E0317"/>
    <w:rsid w:val="004E0323"/>
    <w:rsid w:val="004E0600"/>
    <w:rsid w:val="004E0785"/>
    <w:rsid w:val="004E0822"/>
    <w:rsid w:val="004E1263"/>
    <w:rsid w:val="004E1DA6"/>
    <w:rsid w:val="004E23AE"/>
    <w:rsid w:val="004E25E6"/>
    <w:rsid w:val="004E27F7"/>
    <w:rsid w:val="004E35DD"/>
    <w:rsid w:val="004E3775"/>
    <w:rsid w:val="004E38E5"/>
    <w:rsid w:val="004E40D4"/>
    <w:rsid w:val="004E46E0"/>
    <w:rsid w:val="004E46FD"/>
    <w:rsid w:val="004E4E85"/>
    <w:rsid w:val="004E5045"/>
    <w:rsid w:val="004E597B"/>
    <w:rsid w:val="004E5E64"/>
    <w:rsid w:val="004E6030"/>
    <w:rsid w:val="004E608B"/>
    <w:rsid w:val="004E608C"/>
    <w:rsid w:val="004E6102"/>
    <w:rsid w:val="004E65D7"/>
    <w:rsid w:val="004E6628"/>
    <w:rsid w:val="004E6E1E"/>
    <w:rsid w:val="004E6FCD"/>
    <w:rsid w:val="004E7470"/>
    <w:rsid w:val="004E7D88"/>
    <w:rsid w:val="004F08E9"/>
    <w:rsid w:val="004F0C53"/>
    <w:rsid w:val="004F14A0"/>
    <w:rsid w:val="004F1892"/>
    <w:rsid w:val="004F193C"/>
    <w:rsid w:val="004F1C2D"/>
    <w:rsid w:val="004F1C31"/>
    <w:rsid w:val="004F1CC1"/>
    <w:rsid w:val="004F1F00"/>
    <w:rsid w:val="004F23EF"/>
    <w:rsid w:val="004F2775"/>
    <w:rsid w:val="004F2FA9"/>
    <w:rsid w:val="004F3662"/>
    <w:rsid w:val="004F3946"/>
    <w:rsid w:val="004F3D6F"/>
    <w:rsid w:val="004F3FC9"/>
    <w:rsid w:val="004F44C0"/>
    <w:rsid w:val="004F485A"/>
    <w:rsid w:val="004F490F"/>
    <w:rsid w:val="004F4A5F"/>
    <w:rsid w:val="004F4E79"/>
    <w:rsid w:val="004F58FB"/>
    <w:rsid w:val="004F59C5"/>
    <w:rsid w:val="004F5A18"/>
    <w:rsid w:val="004F5D39"/>
    <w:rsid w:val="004F5DB9"/>
    <w:rsid w:val="004F5EA7"/>
    <w:rsid w:val="004F5EF7"/>
    <w:rsid w:val="004F6741"/>
    <w:rsid w:val="004F68AC"/>
    <w:rsid w:val="004F748A"/>
    <w:rsid w:val="004F7E52"/>
    <w:rsid w:val="00500469"/>
    <w:rsid w:val="00500965"/>
    <w:rsid w:val="00500A1F"/>
    <w:rsid w:val="00500AD9"/>
    <w:rsid w:val="00500D50"/>
    <w:rsid w:val="005014DE"/>
    <w:rsid w:val="005015D2"/>
    <w:rsid w:val="00501657"/>
    <w:rsid w:val="0050197B"/>
    <w:rsid w:val="00501D07"/>
    <w:rsid w:val="00502015"/>
    <w:rsid w:val="00502187"/>
    <w:rsid w:val="005023B0"/>
    <w:rsid w:val="00502F1F"/>
    <w:rsid w:val="0050305B"/>
    <w:rsid w:val="005031CD"/>
    <w:rsid w:val="005034C0"/>
    <w:rsid w:val="00503ACA"/>
    <w:rsid w:val="00503D53"/>
    <w:rsid w:val="00503D85"/>
    <w:rsid w:val="00503DDF"/>
    <w:rsid w:val="005041E6"/>
    <w:rsid w:val="00504204"/>
    <w:rsid w:val="00504213"/>
    <w:rsid w:val="00504520"/>
    <w:rsid w:val="005045AC"/>
    <w:rsid w:val="005047D3"/>
    <w:rsid w:val="00505341"/>
    <w:rsid w:val="00505358"/>
    <w:rsid w:val="005059DF"/>
    <w:rsid w:val="00505EC9"/>
    <w:rsid w:val="005065AB"/>
    <w:rsid w:val="005066CB"/>
    <w:rsid w:val="00506DF9"/>
    <w:rsid w:val="00507178"/>
    <w:rsid w:val="00507D32"/>
    <w:rsid w:val="00507D3D"/>
    <w:rsid w:val="0051057A"/>
    <w:rsid w:val="00510585"/>
    <w:rsid w:val="00510AFD"/>
    <w:rsid w:val="00510FB4"/>
    <w:rsid w:val="005114F8"/>
    <w:rsid w:val="0051182A"/>
    <w:rsid w:val="00512227"/>
    <w:rsid w:val="00512656"/>
    <w:rsid w:val="00512730"/>
    <w:rsid w:val="005129E3"/>
    <w:rsid w:val="005134F5"/>
    <w:rsid w:val="005135F7"/>
    <w:rsid w:val="00513BED"/>
    <w:rsid w:val="00513E1A"/>
    <w:rsid w:val="00513E9D"/>
    <w:rsid w:val="00514746"/>
    <w:rsid w:val="0051476E"/>
    <w:rsid w:val="00514DF6"/>
    <w:rsid w:val="00514FF9"/>
    <w:rsid w:val="00515575"/>
    <w:rsid w:val="0051598B"/>
    <w:rsid w:val="00515A96"/>
    <w:rsid w:val="00515BE3"/>
    <w:rsid w:val="005167A0"/>
    <w:rsid w:val="005167EF"/>
    <w:rsid w:val="00516936"/>
    <w:rsid w:val="00516C47"/>
    <w:rsid w:val="00517709"/>
    <w:rsid w:val="005177BC"/>
    <w:rsid w:val="00517886"/>
    <w:rsid w:val="00517CEF"/>
    <w:rsid w:val="00517E3E"/>
    <w:rsid w:val="00517E52"/>
    <w:rsid w:val="005200C5"/>
    <w:rsid w:val="005200FD"/>
    <w:rsid w:val="0052041E"/>
    <w:rsid w:val="00520431"/>
    <w:rsid w:val="0052078F"/>
    <w:rsid w:val="00520DAE"/>
    <w:rsid w:val="00520DE1"/>
    <w:rsid w:val="00520F16"/>
    <w:rsid w:val="00521431"/>
    <w:rsid w:val="00521530"/>
    <w:rsid w:val="00521A94"/>
    <w:rsid w:val="00521EF6"/>
    <w:rsid w:val="0052200F"/>
    <w:rsid w:val="0052294F"/>
    <w:rsid w:val="0052314D"/>
    <w:rsid w:val="0052316B"/>
    <w:rsid w:val="005232EC"/>
    <w:rsid w:val="00523B2D"/>
    <w:rsid w:val="00523D20"/>
    <w:rsid w:val="0052400E"/>
    <w:rsid w:val="005241E6"/>
    <w:rsid w:val="00524280"/>
    <w:rsid w:val="00524391"/>
    <w:rsid w:val="0052472B"/>
    <w:rsid w:val="00524D60"/>
    <w:rsid w:val="00525A07"/>
    <w:rsid w:val="00525CC7"/>
    <w:rsid w:val="0052608A"/>
    <w:rsid w:val="005265AD"/>
    <w:rsid w:val="00526830"/>
    <w:rsid w:val="005269C0"/>
    <w:rsid w:val="00526FAB"/>
    <w:rsid w:val="0052710E"/>
    <w:rsid w:val="00527A5B"/>
    <w:rsid w:val="00527ADB"/>
    <w:rsid w:val="0053019E"/>
    <w:rsid w:val="00530973"/>
    <w:rsid w:val="005309BD"/>
    <w:rsid w:val="00530CEE"/>
    <w:rsid w:val="00530E19"/>
    <w:rsid w:val="005310F9"/>
    <w:rsid w:val="00531437"/>
    <w:rsid w:val="00531752"/>
    <w:rsid w:val="005318E9"/>
    <w:rsid w:val="00531A26"/>
    <w:rsid w:val="00531EDE"/>
    <w:rsid w:val="00531F4F"/>
    <w:rsid w:val="0053216C"/>
    <w:rsid w:val="0053246C"/>
    <w:rsid w:val="00532E64"/>
    <w:rsid w:val="00532EA5"/>
    <w:rsid w:val="00533433"/>
    <w:rsid w:val="0053370F"/>
    <w:rsid w:val="0053375A"/>
    <w:rsid w:val="00533847"/>
    <w:rsid w:val="00533A6E"/>
    <w:rsid w:val="00533D10"/>
    <w:rsid w:val="0053425B"/>
    <w:rsid w:val="00534385"/>
    <w:rsid w:val="005343C6"/>
    <w:rsid w:val="00534D95"/>
    <w:rsid w:val="005354BF"/>
    <w:rsid w:val="005356FF"/>
    <w:rsid w:val="0053585A"/>
    <w:rsid w:val="00535AF2"/>
    <w:rsid w:val="00535D6D"/>
    <w:rsid w:val="00535F81"/>
    <w:rsid w:val="005361C8"/>
    <w:rsid w:val="00536278"/>
    <w:rsid w:val="005362E0"/>
    <w:rsid w:val="005364E6"/>
    <w:rsid w:val="005368B3"/>
    <w:rsid w:val="00536CE4"/>
    <w:rsid w:val="00536E0C"/>
    <w:rsid w:val="00536EF2"/>
    <w:rsid w:val="00537733"/>
    <w:rsid w:val="00537749"/>
    <w:rsid w:val="00537B0B"/>
    <w:rsid w:val="00540AFE"/>
    <w:rsid w:val="00540D02"/>
    <w:rsid w:val="005414B6"/>
    <w:rsid w:val="00541841"/>
    <w:rsid w:val="00541DB0"/>
    <w:rsid w:val="0054220D"/>
    <w:rsid w:val="00542A69"/>
    <w:rsid w:val="00542A9A"/>
    <w:rsid w:val="00542E2C"/>
    <w:rsid w:val="005432F5"/>
    <w:rsid w:val="0054332B"/>
    <w:rsid w:val="00543565"/>
    <w:rsid w:val="005438B1"/>
    <w:rsid w:val="005439B6"/>
    <w:rsid w:val="00544127"/>
    <w:rsid w:val="0054438B"/>
    <w:rsid w:val="005443E1"/>
    <w:rsid w:val="00544570"/>
    <w:rsid w:val="00544919"/>
    <w:rsid w:val="005449F1"/>
    <w:rsid w:val="00545B21"/>
    <w:rsid w:val="00545BAD"/>
    <w:rsid w:val="00545FE0"/>
    <w:rsid w:val="00546592"/>
    <w:rsid w:val="005466BB"/>
    <w:rsid w:val="00546910"/>
    <w:rsid w:val="00546E11"/>
    <w:rsid w:val="0054715D"/>
    <w:rsid w:val="00547E00"/>
    <w:rsid w:val="00547F40"/>
    <w:rsid w:val="005502A0"/>
    <w:rsid w:val="005507AC"/>
    <w:rsid w:val="00550C89"/>
    <w:rsid w:val="00550FEB"/>
    <w:rsid w:val="0055105A"/>
    <w:rsid w:val="0055167A"/>
    <w:rsid w:val="00551E22"/>
    <w:rsid w:val="00551F9E"/>
    <w:rsid w:val="0055200B"/>
    <w:rsid w:val="00552C67"/>
    <w:rsid w:val="00552FEA"/>
    <w:rsid w:val="00553158"/>
    <w:rsid w:val="005531F7"/>
    <w:rsid w:val="005536A2"/>
    <w:rsid w:val="005539B4"/>
    <w:rsid w:val="00553EE3"/>
    <w:rsid w:val="00554608"/>
    <w:rsid w:val="0055486F"/>
    <w:rsid w:val="00554CDB"/>
    <w:rsid w:val="005553F3"/>
    <w:rsid w:val="00555623"/>
    <w:rsid w:val="00555DBC"/>
    <w:rsid w:val="00555FC9"/>
    <w:rsid w:val="005562FA"/>
    <w:rsid w:val="00556692"/>
    <w:rsid w:val="0055727C"/>
    <w:rsid w:val="005573DD"/>
    <w:rsid w:val="00557401"/>
    <w:rsid w:val="005575A4"/>
    <w:rsid w:val="0055797B"/>
    <w:rsid w:val="00557ACD"/>
    <w:rsid w:val="00557E4D"/>
    <w:rsid w:val="00557E69"/>
    <w:rsid w:val="005601F0"/>
    <w:rsid w:val="005605D5"/>
    <w:rsid w:val="00560639"/>
    <w:rsid w:val="00560B4B"/>
    <w:rsid w:val="00560C2D"/>
    <w:rsid w:val="00560FC2"/>
    <w:rsid w:val="00561B01"/>
    <w:rsid w:val="00561E8E"/>
    <w:rsid w:val="0056218D"/>
    <w:rsid w:val="00562F10"/>
    <w:rsid w:val="0056310D"/>
    <w:rsid w:val="005637BA"/>
    <w:rsid w:val="00564164"/>
    <w:rsid w:val="005641AE"/>
    <w:rsid w:val="0056496D"/>
    <w:rsid w:val="00564B11"/>
    <w:rsid w:val="005650F7"/>
    <w:rsid w:val="00565186"/>
    <w:rsid w:val="005653B3"/>
    <w:rsid w:val="00565917"/>
    <w:rsid w:val="005660C5"/>
    <w:rsid w:val="0056632B"/>
    <w:rsid w:val="005665CF"/>
    <w:rsid w:val="00566D93"/>
    <w:rsid w:val="005670B3"/>
    <w:rsid w:val="00567A40"/>
    <w:rsid w:val="00567E02"/>
    <w:rsid w:val="00570288"/>
    <w:rsid w:val="0057066A"/>
    <w:rsid w:val="0057096F"/>
    <w:rsid w:val="005719EE"/>
    <w:rsid w:val="00571F35"/>
    <w:rsid w:val="005725A9"/>
    <w:rsid w:val="0057293B"/>
    <w:rsid w:val="00572DF5"/>
    <w:rsid w:val="00572FD0"/>
    <w:rsid w:val="005736D0"/>
    <w:rsid w:val="00573930"/>
    <w:rsid w:val="00573997"/>
    <w:rsid w:val="00573F5E"/>
    <w:rsid w:val="00574134"/>
    <w:rsid w:val="00574187"/>
    <w:rsid w:val="0057447B"/>
    <w:rsid w:val="00574F69"/>
    <w:rsid w:val="00574FE7"/>
    <w:rsid w:val="00575211"/>
    <w:rsid w:val="005761F2"/>
    <w:rsid w:val="005761F9"/>
    <w:rsid w:val="0057633F"/>
    <w:rsid w:val="00576375"/>
    <w:rsid w:val="00576AE4"/>
    <w:rsid w:val="00576DB4"/>
    <w:rsid w:val="005770DA"/>
    <w:rsid w:val="0057714D"/>
    <w:rsid w:val="00577446"/>
    <w:rsid w:val="00577449"/>
    <w:rsid w:val="005777A3"/>
    <w:rsid w:val="00577E8B"/>
    <w:rsid w:val="00580071"/>
    <w:rsid w:val="005805AE"/>
    <w:rsid w:val="00580614"/>
    <w:rsid w:val="0058099E"/>
    <w:rsid w:val="00580C91"/>
    <w:rsid w:val="00580CF4"/>
    <w:rsid w:val="0058142E"/>
    <w:rsid w:val="00581941"/>
    <w:rsid w:val="00581E67"/>
    <w:rsid w:val="0058219D"/>
    <w:rsid w:val="005821A9"/>
    <w:rsid w:val="005821CB"/>
    <w:rsid w:val="00582952"/>
    <w:rsid w:val="00582FA9"/>
    <w:rsid w:val="00583125"/>
    <w:rsid w:val="00583329"/>
    <w:rsid w:val="00583D12"/>
    <w:rsid w:val="0058472D"/>
    <w:rsid w:val="0058486B"/>
    <w:rsid w:val="00584CCA"/>
    <w:rsid w:val="00584E53"/>
    <w:rsid w:val="00585258"/>
    <w:rsid w:val="00585E27"/>
    <w:rsid w:val="00585E6C"/>
    <w:rsid w:val="005861EA"/>
    <w:rsid w:val="00586423"/>
    <w:rsid w:val="00586556"/>
    <w:rsid w:val="00587072"/>
    <w:rsid w:val="005876BB"/>
    <w:rsid w:val="00587A6D"/>
    <w:rsid w:val="00587EBF"/>
    <w:rsid w:val="00590079"/>
    <w:rsid w:val="005900A8"/>
    <w:rsid w:val="005900D4"/>
    <w:rsid w:val="00590150"/>
    <w:rsid w:val="005903B1"/>
    <w:rsid w:val="00590825"/>
    <w:rsid w:val="00590D74"/>
    <w:rsid w:val="00590E92"/>
    <w:rsid w:val="00591102"/>
    <w:rsid w:val="00591121"/>
    <w:rsid w:val="005912AD"/>
    <w:rsid w:val="005916F6"/>
    <w:rsid w:val="00591742"/>
    <w:rsid w:val="00591CEA"/>
    <w:rsid w:val="00591ED8"/>
    <w:rsid w:val="00591FC2"/>
    <w:rsid w:val="00592032"/>
    <w:rsid w:val="0059207E"/>
    <w:rsid w:val="005922DA"/>
    <w:rsid w:val="00592351"/>
    <w:rsid w:val="00592400"/>
    <w:rsid w:val="00592C6D"/>
    <w:rsid w:val="00592E3D"/>
    <w:rsid w:val="00593F3D"/>
    <w:rsid w:val="005940EC"/>
    <w:rsid w:val="0059439C"/>
    <w:rsid w:val="00594729"/>
    <w:rsid w:val="00594963"/>
    <w:rsid w:val="00594A8F"/>
    <w:rsid w:val="00594E66"/>
    <w:rsid w:val="00595178"/>
    <w:rsid w:val="00595431"/>
    <w:rsid w:val="00595854"/>
    <w:rsid w:val="00596174"/>
    <w:rsid w:val="00596508"/>
    <w:rsid w:val="00597180"/>
    <w:rsid w:val="00597258"/>
    <w:rsid w:val="00597A54"/>
    <w:rsid w:val="00597D9F"/>
    <w:rsid w:val="00597F36"/>
    <w:rsid w:val="005A009C"/>
    <w:rsid w:val="005A0379"/>
    <w:rsid w:val="005A0655"/>
    <w:rsid w:val="005A0BCE"/>
    <w:rsid w:val="005A0E5D"/>
    <w:rsid w:val="005A1632"/>
    <w:rsid w:val="005A1756"/>
    <w:rsid w:val="005A1B57"/>
    <w:rsid w:val="005A1BD4"/>
    <w:rsid w:val="005A1CB1"/>
    <w:rsid w:val="005A1CB7"/>
    <w:rsid w:val="005A1D0C"/>
    <w:rsid w:val="005A1F52"/>
    <w:rsid w:val="005A2176"/>
    <w:rsid w:val="005A26DF"/>
    <w:rsid w:val="005A2B2B"/>
    <w:rsid w:val="005A2C69"/>
    <w:rsid w:val="005A302D"/>
    <w:rsid w:val="005A3369"/>
    <w:rsid w:val="005A3618"/>
    <w:rsid w:val="005A3B66"/>
    <w:rsid w:val="005A4965"/>
    <w:rsid w:val="005A51B0"/>
    <w:rsid w:val="005A5315"/>
    <w:rsid w:val="005A5E9E"/>
    <w:rsid w:val="005A5F8C"/>
    <w:rsid w:val="005A632C"/>
    <w:rsid w:val="005A63FE"/>
    <w:rsid w:val="005A6A8C"/>
    <w:rsid w:val="005A6B5A"/>
    <w:rsid w:val="005A6E1A"/>
    <w:rsid w:val="005A6F9B"/>
    <w:rsid w:val="005A702A"/>
    <w:rsid w:val="005A741C"/>
    <w:rsid w:val="005A77F2"/>
    <w:rsid w:val="005A7BD6"/>
    <w:rsid w:val="005A7BFB"/>
    <w:rsid w:val="005B03C3"/>
    <w:rsid w:val="005B03D5"/>
    <w:rsid w:val="005B05A3"/>
    <w:rsid w:val="005B0617"/>
    <w:rsid w:val="005B0B53"/>
    <w:rsid w:val="005B1AAC"/>
    <w:rsid w:val="005B1AB3"/>
    <w:rsid w:val="005B1E09"/>
    <w:rsid w:val="005B232E"/>
    <w:rsid w:val="005B2DA7"/>
    <w:rsid w:val="005B2DC0"/>
    <w:rsid w:val="005B3154"/>
    <w:rsid w:val="005B3283"/>
    <w:rsid w:val="005B3701"/>
    <w:rsid w:val="005B387B"/>
    <w:rsid w:val="005B4984"/>
    <w:rsid w:val="005B4AD8"/>
    <w:rsid w:val="005B5445"/>
    <w:rsid w:val="005B5FFC"/>
    <w:rsid w:val="005B6315"/>
    <w:rsid w:val="005B6567"/>
    <w:rsid w:val="005B6C11"/>
    <w:rsid w:val="005B6ECD"/>
    <w:rsid w:val="005B7F9B"/>
    <w:rsid w:val="005B7FDF"/>
    <w:rsid w:val="005C032F"/>
    <w:rsid w:val="005C0582"/>
    <w:rsid w:val="005C0613"/>
    <w:rsid w:val="005C0708"/>
    <w:rsid w:val="005C0E93"/>
    <w:rsid w:val="005C1434"/>
    <w:rsid w:val="005C1996"/>
    <w:rsid w:val="005C1B90"/>
    <w:rsid w:val="005C2254"/>
    <w:rsid w:val="005C242E"/>
    <w:rsid w:val="005C251B"/>
    <w:rsid w:val="005C29E1"/>
    <w:rsid w:val="005C2F1A"/>
    <w:rsid w:val="005C31BE"/>
    <w:rsid w:val="005C3BD1"/>
    <w:rsid w:val="005C3F64"/>
    <w:rsid w:val="005C40E3"/>
    <w:rsid w:val="005C4CC1"/>
    <w:rsid w:val="005C4FAD"/>
    <w:rsid w:val="005C5045"/>
    <w:rsid w:val="005C50DF"/>
    <w:rsid w:val="005C5250"/>
    <w:rsid w:val="005C553F"/>
    <w:rsid w:val="005C59C4"/>
    <w:rsid w:val="005C6024"/>
    <w:rsid w:val="005C6557"/>
    <w:rsid w:val="005C65F9"/>
    <w:rsid w:val="005C69D8"/>
    <w:rsid w:val="005C70F4"/>
    <w:rsid w:val="005C7125"/>
    <w:rsid w:val="005C71CC"/>
    <w:rsid w:val="005C7B11"/>
    <w:rsid w:val="005D07B1"/>
    <w:rsid w:val="005D1422"/>
    <w:rsid w:val="005D16B5"/>
    <w:rsid w:val="005D199C"/>
    <w:rsid w:val="005D19CE"/>
    <w:rsid w:val="005D1B5E"/>
    <w:rsid w:val="005D1E32"/>
    <w:rsid w:val="005D1EAD"/>
    <w:rsid w:val="005D2207"/>
    <w:rsid w:val="005D238D"/>
    <w:rsid w:val="005D263A"/>
    <w:rsid w:val="005D26B0"/>
    <w:rsid w:val="005D2810"/>
    <w:rsid w:val="005D2980"/>
    <w:rsid w:val="005D2DAF"/>
    <w:rsid w:val="005D2EB4"/>
    <w:rsid w:val="005D3393"/>
    <w:rsid w:val="005D3750"/>
    <w:rsid w:val="005D382A"/>
    <w:rsid w:val="005D3988"/>
    <w:rsid w:val="005D3F52"/>
    <w:rsid w:val="005D40E7"/>
    <w:rsid w:val="005D42C6"/>
    <w:rsid w:val="005D4CDB"/>
    <w:rsid w:val="005D4F54"/>
    <w:rsid w:val="005D5034"/>
    <w:rsid w:val="005D56FB"/>
    <w:rsid w:val="005D5DF9"/>
    <w:rsid w:val="005D5EF9"/>
    <w:rsid w:val="005D5F89"/>
    <w:rsid w:val="005D60F7"/>
    <w:rsid w:val="005D63EA"/>
    <w:rsid w:val="005D6679"/>
    <w:rsid w:val="005D673A"/>
    <w:rsid w:val="005D6FFA"/>
    <w:rsid w:val="005D7049"/>
    <w:rsid w:val="005D70B1"/>
    <w:rsid w:val="005D7625"/>
    <w:rsid w:val="005D7681"/>
    <w:rsid w:val="005D771C"/>
    <w:rsid w:val="005D79F5"/>
    <w:rsid w:val="005D7B31"/>
    <w:rsid w:val="005D7BAE"/>
    <w:rsid w:val="005D7C19"/>
    <w:rsid w:val="005D7D00"/>
    <w:rsid w:val="005D7D3D"/>
    <w:rsid w:val="005E0143"/>
    <w:rsid w:val="005E01BD"/>
    <w:rsid w:val="005E05E3"/>
    <w:rsid w:val="005E07CB"/>
    <w:rsid w:val="005E09CA"/>
    <w:rsid w:val="005E09FB"/>
    <w:rsid w:val="005E0B20"/>
    <w:rsid w:val="005E0DA5"/>
    <w:rsid w:val="005E0E63"/>
    <w:rsid w:val="005E0EF1"/>
    <w:rsid w:val="005E0EFB"/>
    <w:rsid w:val="005E0F48"/>
    <w:rsid w:val="005E105C"/>
    <w:rsid w:val="005E10FA"/>
    <w:rsid w:val="005E17CE"/>
    <w:rsid w:val="005E1AF0"/>
    <w:rsid w:val="005E208B"/>
    <w:rsid w:val="005E249C"/>
    <w:rsid w:val="005E292C"/>
    <w:rsid w:val="005E2A5E"/>
    <w:rsid w:val="005E2B56"/>
    <w:rsid w:val="005E2F2C"/>
    <w:rsid w:val="005E318F"/>
    <w:rsid w:val="005E36DE"/>
    <w:rsid w:val="005E3840"/>
    <w:rsid w:val="005E3ADD"/>
    <w:rsid w:val="005E41D9"/>
    <w:rsid w:val="005E4584"/>
    <w:rsid w:val="005E4EF1"/>
    <w:rsid w:val="005E4F66"/>
    <w:rsid w:val="005E50DF"/>
    <w:rsid w:val="005E5899"/>
    <w:rsid w:val="005E5A0F"/>
    <w:rsid w:val="005E6883"/>
    <w:rsid w:val="005E68D3"/>
    <w:rsid w:val="005E6DDC"/>
    <w:rsid w:val="005E7919"/>
    <w:rsid w:val="005E7A22"/>
    <w:rsid w:val="005F02A1"/>
    <w:rsid w:val="005F04B0"/>
    <w:rsid w:val="005F078E"/>
    <w:rsid w:val="005F0A25"/>
    <w:rsid w:val="005F0DD1"/>
    <w:rsid w:val="005F14E9"/>
    <w:rsid w:val="005F180D"/>
    <w:rsid w:val="005F18CC"/>
    <w:rsid w:val="005F1D0B"/>
    <w:rsid w:val="005F222A"/>
    <w:rsid w:val="005F2B79"/>
    <w:rsid w:val="005F2D2D"/>
    <w:rsid w:val="005F2E92"/>
    <w:rsid w:val="005F3354"/>
    <w:rsid w:val="005F3644"/>
    <w:rsid w:val="005F36A7"/>
    <w:rsid w:val="005F3BCA"/>
    <w:rsid w:val="005F3CF1"/>
    <w:rsid w:val="005F3E6E"/>
    <w:rsid w:val="005F4222"/>
    <w:rsid w:val="005F4236"/>
    <w:rsid w:val="005F4288"/>
    <w:rsid w:val="005F4509"/>
    <w:rsid w:val="005F5081"/>
    <w:rsid w:val="005F50C9"/>
    <w:rsid w:val="005F57A9"/>
    <w:rsid w:val="005F5B0D"/>
    <w:rsid w:val="005F60E1"/>
    <w:rsid w:val="005F6567"/>
    <w:rsid w:val="005F6582"/>
    <w:rsid w:val="005F66B4"/>
    <w:rsid w:val="005F67F0"/>
    <w:rsid w:val="005F6816"/>
    <w:rsid w:val="005F68E9"/>
    <w:rsid w:val="005F6987"/>
    <w:rsid w:val="005F6CC2"/>
    <w:rsid w:val="005F716C"/>
    <w:rsid w:val="005F7890"/>
    <w:rsid w:val="005F79AB"/>
    <w:rsid w:val="005F79EF"/>
    <w:rsid w:val="006002A2"/>
    <w:rsid w:val="00600534"/>
    <w:rsid w:val="00600C14"/>
    <w:rsid w:val="00601BEB"/>
    <w:rsid w:val="00601DFC"/>
    <w:rsid w:val="00601E86"/>
    <w:rsid w:val="00602008"/>
    <w:rsid w:val="00602138"/>
    <w:rsid w:val="00602146"/>
    <w:rsid w:val="00602537"/>
    <w:rsid w:val="0060265E"/>
    <w:rsid w:val="00602A23"/>
    <w:rsid w:val="00602C13"/>
    <w:rsid w:val="00602D22"/>
    <w:rsid w:val="00602EE3"/>
    <w:rsid w:val="006038C3"/>
    <w:rsid w:val="00603D6C"/>
    <w:rsid w:val="006041B4"/>
    <w:rsid w:val="006048B7"/>
    <w:rsid w:val="00606403"/>
    <w:rsid w:val="00607784"/>
    <w:rsid w:val="00607962"/>
    <w:rsid w:val="00610256"/>
    <w:rsid w:val="00610D7C"/>
    <w:rsid w:val="00610E65"/>
    <w:rsid w:val="00611B3E"/>
    <w:rsid w:val="00611F3B"/>
    <w:rsid w:val="0061256A"/>
    <w:rsid w:val="00612886"/>
    <w:rsid w:val="006128A6"/>
    <w:rsid w:val="00612E72"/>
    <w:rsid w:val="0061374A"/>
    <w:rsid w:val="006138CD"/>
    <w:rsid w:val="00613A33"/>
    <w:rsid w:val="00613BD1"/>
    <w:rsid w:val="006141B8"/>
    <w:rsid w:val="0061429C"/>
    <w:rsid w:val="006145E8"/>
    <w:rsid w:val="0061469A"/>
    <w:rsid w:val="00614CD1"/>
    <w:rsid w:val="00614DF1"/>
    <w:rsid w:val="006153ED"/>
    <w:rsid w:val="006154E5"/>
    <w:rsid w:val="00615711"/>
    <w:rsid w:val="00615B22"/>
    <w:rsid w:val="00615C1B"/>
    <w:rsid w:val="00616234"/>
    <w:rsid w:val="00616CA5"/>
    <w:rsid w:val="006171CA"/>
    <w:rsid w:val="0062044C"/>
    <w:rsid w:val="00620579"/>
    <w:rsid w:val="00620E65"/>
    <w:rsid w:val="0062130B"/>
    <w:rsid w:val="006213BF"/>
    <w:rsid w:val="00621CEB"/>
    <w:rsid w:val="00621ED1"/>
    <w:rsid w:val="00621F6A"/>
    <w:rsid w:val="006225D2"/>
    <w:rsid w:val="00622E7D"/>
    <w:rsid w:val="00623173"/>
    <w:rsid w:val="006231E0"/>
    <w:rsid w:val="006232BC"/>
    <w:rsid w:val="006233CA"/>
    <w:rsid w:val="00623474"/>
    <w:rsid w:val="00623F60"/>
    <w:rsid w:val="006242B6"/>
    <w:rsid w:val="006243FD"/>
    <w:rsid w:val="006247AF"/>
    <w:rsid w:val="00624C1C"/>
    <w:rsid w:val="00625426"/>
    <w:rsid w:val="0062553A"/>
    <w:rsid w:val="0062568E"/>
    <w:rsid w:val="00625A87"/>
    <w:rsid w:val="00625AE6"/>
    <w:rsid w:val="00625C38"/>
    <w:rsid w:val="00626A63"/>
    <w:rsid w:val="00626DDD"/>
    <w:rsid w:val="00627083"/>
    <w:rsid w:val="00627D9E"/>
    <w:rsid w:val="0063016E"/>
    <w:rsid w:val="0063037D"/>
    <w:rsid w:val="00630927"/>
    <w:rsid w:val="00630F3F"/>
    <w:rsid w:val="006312EE"/>
    <w:rsid w:val="0063161F"/>
    <w:rsid w:val="00631BE7"/>
    <w:rsid w:val="00631F8F"/>
    <w:rsid w:val="0063201B"/>
    <w:rsid w:val="00632975"/>
    <w:rsid w:val="00632BEF"/>
    <w:rsid w:val="00632E27"/>
    <w:rsid w:val="00632E29"/>
    <w:rsid w:val="006332E3"/>
    <w:rsid w:val="00633B03"/>
    <w:rsid w:val="00633D53"/>
    <w:rsid w:val="00633D7E"/>
    <w:rsid w:val="00633DAE"/>
    <w:rsid w:val="006343EB"/>
    <w:rsid w:val="00634405"/>
    <w:rsid w:val="006344F3"/>
    <w:rsid w:val="0063479E"/>
    <w:rsid w:val="00634B21"/>
    <w:rsid w:val="00634BF6"/>
    <w:rsid w:val="00634C2D"/>
    <w:rsid w:val="006350D7"/>
    <w:rsid w:val="00635BB0"/>
    <w:rsid w:val="00635C9C"/>
    <w:rsid w:val="00635E03"/>
    <w:rsid w:val="00636447"/>
    <w:rsid w:val="006367A0"/>
    <w:rsid w:val="00636C41"/>
    <w:rsid w:val="00636E1C"/>
    <w:rsid w:val="00637F3F"/>
    <w:rsid w:val="00637FA8"/>
    <w:rsid w:val="00640033"/>
    <w:rsid w:val="00640398"/>
    <w:rsid w:val="0064064A"/>
    <w:rsid w:val="00640658"/>
    <w:rsid w:val="006406BB"/>
    <w:rsid w:val="006407C0"/>
    <w:rsid w:val="006409B6"/>
    <w:rsid w:val="00640A0D"/>
    <w:rsid w:val="00640F32"/>
    <w:rsid w:val="006412F3"/>
    <w:rsid w:val="00641823"/>
    <w:rsid w:val="00641926"/>
    <w:rsid w:val="00641E2D"/>
    <w:rsid w:val="00643062"/>
    <w:rsid w:val="006431C9"/>
    <w:rsid w:val="006434EC"/>
    <w:rsid w:val="00643856"/>
    <w:rsid w:val="00643FE3"/>
    <w:rsid w:val="00644D0C"/>
    <w:rsid w:val="006455A2"/>
    <w:rsid w:val="006466BE"/>
    <w:rsid w:val="00646768"/>
    <w:rsid w:val="00646838"/>
    <w:rsid w:val="00646BFB"/>
    <w:rsid w:val="00646D18"/>
    <w:rsid w:val="00646EEC"/>
    <w:rsid w:val="006472F4"/>
    <w:rsid w:val="006478C0"/>
    <w:rsid w:val="006502A5"/>
    <w:rsid w:val="006511C5"/>
    <w:rsid w:val="006512E1"/>
    <w:rsid w:val="00651749"/>
    <w:rsid w:val="0065184C"/>
    <w:rsid w:val="00651ADC"/>
    <w:rsid w:val="00652074"/>
    <w:rsid w:val="00652497"/>
    <w:rsid w:val="00652848"/>
    <w:rsid w:val="00652959"/>
    <w:rsid w:val="00652B40"/>
    <w:rsid w:val="00652BF0"/>
    <w:rsid w:val="00652C64"/>
    <w:rsid w:val="0065316B"/>
    <w:rsid w:val="006531EA"/>
    <w:rsid w:val="00653916"/>
    <w:rsid w:val="006542A5"/>
    <w:rsid w:val="00654A87"/>
    <w:rsid w:val="00654B94"/>
    <w:rsid w:val="00654C81"/>
    <w:rsid w:val="00654D53"/>
    <w:rsid w:val="00654FCF"/>
    <w:rsid w:val="0065507C"/>
    <w:rsid w:val="006550C0"/>
    <w:rsid w:val="006550FA"/>
    <w:rsid w:val="00655303"/>
    <w:rsid w:val="006564BB"/>
    <w:rsid w:val="006565E7"/>
    <w:rsid w:val="00656809"/>
    <w:rsid w:val="00657603"/>
    <w:rsid w:val="00657872"/>
    <w:rsid w:val="00657973"/>
    <w:rsid w:val="00657B6D"/>
    <w:rsid w:val="00657F48"/>
    <w:rsid w:val="00660172"/>
    <w:rsid w:val="006605DD"/>
    <w:rsid w:val="00660796"/>
    <w:rsid w:val="0066081F"/>
    <w:rsid w:val="00660DC8"/>
    <w:rsid w:val="00660F5A"/>
    <w:rsid w:val="0066111F"/>
    <w:rsid w:val="006615CE"/>
    <w:rsid w:val="0066182D"/>
    <w:rsid w:val="006619EC"/>
    <w:rsid w:val="00661B89"/>
    <w:rsid w:val="0066233E"/>
    <w:rsid w:val="006623A9"/>
    <w:rsid w:val="00662873"/>
    <w:rsid w:val="0066294F"/>
    <w:rsid w:val="00663367"/>
    <w:rsid w:val="00663613"/>
    <w:rsid w:val="0066379F"/>
    <w:rsid w:val="0066383A"/>
    <w:rsid w:val="00663920"/>
    <w:rsid w:val="00663A04"/>
    <w:rsid w:val="00663EEE"/>
    <w:rsid w:val="00663F2E"/>
    <w:rsid w:val="0066404B"/>
    <w:rsid w:val="00664063"/>
    <w:rsid w:val="0066418D"/>
    <w:rsid w:val="006644B9"/>
    <w:rsid w:val="00664571"/>
    <w:rsid w:val="006645A2"/>
    <w:rsid w:val="00664993"/>
    <w:rsid w:val="0066532F"/>
    <w:rsid w:val="006659E1"/>
    <w:rsid w:val="00665E20"/>
    <w:rsid w:val="0066614F"/>
    <w:rsid w:val="00666639"/>
    <w:rsid w:val="006670FF"/>
    <w:rsid w:val="0066730F"/>
    <w:rsid w:val="00667902"/>
    <w:rsid w:val="00670424"/>
    <w:rsid w:val="00670968"/>
    <w:rsid w:val="006709B5"/>
    <w:rsid w:val="00670AB1"/>
    <w:rsid w:val="00670F7E"/>
    <w:rsid w:val="006717D2"/>
    <w:rsid w:val="00671DF3"/>
    <w:rsid w:val="006722AC"/>
    <w:rsid w:val="0067276D"/>
    <w:rsid w:val="0067305F"/>
    <w:rsid w:val="006730C2"/>
    <w:rsid w:val="00673180"/>
    <w:rsid w:val="00674672"/>
    <w:rsid w:val="0067489F"/>
    <w:rsid w:val="006751C0"/>
    <w:rsid w:val="006757B2"/>
    <w:rsid w:val="00675C07"/>
    <w:rsid w:val="00675CE3"/>
    <w:rsid w:val="006765D0"/>
    <w:rsid w:val="00676876"/>
    <w:rsid w:val="006768AC"/>
    <w:rsid w:val="0067699E"/>
    <w:rsid w:val="00676B33"/>
    <w:rsid w:val="00676EC0"/>
    <w:rsid w:val="006774C3"/>
    <w:rsid w:val="00677DD9"/>
    <w:rsid w:val="0068004E"/>
    <w:rsid w:val="006805FA"/>
    <w:rsid w:val="00680DD1"/>
    <w:rsid w:val="00681115"/>
    <w:rsid w:val="006819EC"/>
    <w:rsid w:val="00681FDB"/>
    <w:rsid w:val="006820A4"/>
    <w:rsid w:val="00682288"/>
    <w:rsid w:val="00682548"/>
    <w:rsid w:val="00682631"/>
    <w:rsid w:val="006826E8"/>
    <w:rsid w:val="00682BB9"/>
    <w:rsid w:val="00682D64"/>
    <w:rsid w:val="00683145"/>
    <w:rsid w:val="006832CB"/>
    <w:rsid w:val="00683420"/>
    <w:rsid w:val="00683967"/>
    <w:rsid w:val="00683A3E"/>
    <w:rsid w:val="00683B34"/>
    <w:rsid w:val="00683FCA"/>
    <w:rsid w:val="0068501B"/>
    <w:rsid w:val="00685453"/>
    <w:rsid w:val="00685842"/>
    <w:rsid w:val="00685E19"/>
    <w:rsid w:val="00685ED1"/>
    <w:rsid w:val="006867CD"/>
    <w:rsid w:val="006867DF"/>
    <w:rsid w:val="006868F9"/>
    <w:rsid w:val="00686C8B"/>
    <w:rsid w:val="00686E5D"/>
    <w:rsid w:val="006875A1"/>
    <w:rsid w:val="00687648"/>
    <w:rsid w:val="006878F7"/>
    <w:rsid w:val="00687F4B"/>
    <w:rsid w:val="0069006A"/>
    <w:rsid w:val="00690187"/>
    <w:rsid w:val="006907AB"/>
    <w:rsid w:val="00690AC0"/>
    <w:rsid w:val="00690D7E"/>
    <w:rsid w:val="00691351"/>
    <w:rsid w:val="0069176A"/>
    <w:rsid w:val="00692182"/>
    <w:rsid w:val="006922BF"/>
    <w:rsid w:val="0069241E"/>
    <w:rsid w:val="0069288C"/>
    <w:rsid w:val="00692A67"/>
    <w:rsid w:val="00692BD7"/>
    <w:rsid w:val="00692BF4"/>
    <w:rsid w:val="006932DC"/>
    <w:rsid w:val="0069379C"/>
    <w:rsid w:val="006937F2"/>
    <w:rsid w:val="00693E59"/>
    <w:rsid w:val="00693FBF"/>
    <w:rsid w:val="00694119"/>
    <w:rsid w:val="006942CA"/>
    <w:rsid w:val="0069433F"/>
    <w:rsid w:val="0069476D"/>
    <w:rsid w:val="00694953"/>
    <w:rsid w:val="00694B58"/>
    <w:rsid w:val="00694CBD"/>
    <w:rsid w:val="00694E70"/>
    <w:rsid w:val="00695E07"/>
    <w:rsid w:val="00695EEC"/>
    <w:rsid w:val="0069625D"/>
    <w:rsid w:val="006963DA"/>
    <w:rsid w:val="00696436"/>
    <w:rsid w:val="00696A9A"/>
    <w:rsid w:val="00696DCE"/>
    <w:rsid w:val="00697423"/>
    <w:rsid w:val="006979B9"/>
    <w:rsid w:val="00697CDD"/>
    <w:rsid w:val="00697FDB"/>
    <w:rsid w:val="00697FF0"/>
    <w:rsid w:val="006A007B"/>
    <w:rsid w:val="006A0381"/>
    <w:rsid w:val="006A0423"/>
    <w:rsid w:val="006A0633"/>
    <w:rsid w:val="006A080A"/>
    <w:rsid w:val="006A0A4F"/>
    <w:rsid w:val="006A0A62"/>
    <w:rsid w:val="006A108A"/>
    <w:rsid w:val="006A10D8"/>
    <w:rsid w:val="006A1CBA"/>
    <w:rsid w:val="006A1FFB"/>
    <w:rsid w:val="006A2291"/>
    <w:rsid w:val="006A2409"/>
    <w:rsid w:val="006A268A"/>
    <w:rsid w:val="006A288E"/>
    <w:rsid w:val="006A295B"/>
    <w:rsid w:val="006A2BC0"/>
    <w:rsid w:val="006A3022"/>
    <w:rsid w:val="006A30A2"/>
    <w:rsid w:val="006A310E"/>
    <w:rsid w:val="006A3601"/>
    <w:rsid w:val="006A37A9"/>
    <w:rsid w:val="006A45C3"/>
    <w:rsid w:val="006A46BE"/>
    <w:rsid w:val="006A4C70"/>
    <w:rsid w:val="006A5D4C"/>
    <w:rsid w:val="006A5DF8"/>
    <w:rsid w:val="006A5FA0"/>
    <w:rsid w:val="006A6512"/>
    <w:rsid w:val="006A6D18"/>
    <w:rsid w:val="006A7046"/>
    <w:rsid w:val="006A720E"/>
    <w:rsid w:val="006A72F5"/>
    <w:rsid w:val="006A7314"/>
    <w:rsid w:val="006A7487"/>
    <w:rsid w:val="006B061D"/>
    <w:rsid w:val="006B0717"/>
    <w:rsid w:val="006B0756"/>
    <w:rsid w:val="006B080D"/>
    <w:rsid w:val="006B0854"/>
    <w:rsid w:val="006B09F5"/>
    <w:rsid w:val="006B18A7"/>
    <w:rsid w:val="006B198D"/>
    <w:rsid w:val="006B2689"/>
    <w:rsid w:val="006B2E62"/>
    <w:rsid w:val="006B2F47"/>
    <w:rsid w:val="006B303C"/>
    <w:rsid w:val="006B3214"/>
    <w:rsid w:val="006B3444"/>
    <w:rsid w:val="006B3C6D"/>
    <w:rsid w:val="006B3D9D"/>
    <w:rsid w:val="006B44EC"/>
    <w:rsid w:val="006B4868"/>
    <w:rsid w:val="006B4E28"/>
    <w:rsid w:val="006B4E52"/>
    <w:rsid w:val="006B510C"/>
    <w:rsid w:val="006B5295"/>
    <w:rsid w:val="006B57F5"/>
    <w:rsid w:val="006B6017"/>
    <w:rsid w:val="006B620D"/>
    <w:rsid w:val="006B6602"/>
    <w:rsid w:val="006B6DA5"/>
    <w:rsid w:val="006B76B3"/>
    <w:rsid w:val="006B778F"/>
    <w:rsid w:val="006B7792"/>
    <w:rsid w:val="006B79A2"/>
    <w:rsid w:val="006B7A16"/>
    <w:rsid w:val="006B7BC3"/>
    <w:rsid w:val="006C01DC"/>
    <w:rsid w:val="006C0317"/>
    <w:rsid w:val="006C03A2"/>
    <w:rsid w:val="006C08FF"/>
    <w:rsid w:val="006C0BB9"/>
    <w:rsid w:val="006C1394"/>
    <w:rsid w:val="006C1CD1"/>
    <w:rsid w:val="006C20A9"/>
    <w:rsid w:val="006C22FE"/>
    <w:rsid w:val="006C27E9"/>
    <w:rsid w:val="006C2830"/>
    <w:rsid w:val="006C2AAB"/>
    <w:rsid w:val="006C2BF4"/>
    <w:rsid w:val="006C2EFB"/>
    <w:rsid w:val="006C2FC1"/>
    <w:rsid w:val="006C31B9"/>
    <w:rsid w:val="006C3726"/>
    <w:rsid w:val="006C37C4"/>
    <w:rsid w:val="006C3C50"/>
    <w:rsid w:val="006C3C87"/>
    <w:rsid w:val="006C3CD9"/>
    <w:rsid w:val="006C3E47"/>
    <w:rsid w:val="006C4C41"/>
    <w:rsid w:val="006C53A3"/>
    <w:rsid w:val="006C5732"/>
    <w:rsid w:val="006C5AB1"/>
    <w:rsid w:val="006C5D08"/>
    <w:rsid w:val="006C634E"/>
    <w:rsid w:val="006C63EB"/>
    <w:rsid w:val="006C6634"/>
    <w:rsid w:val="006C6932"/>
    <w:rsid w:val="006C723E"/>
    <w:rsid w:val="006C750D"/>
    <w:rsid w:val="006C7712"/>
    <w:rsid w:val="006C7E8B"/>
    <w:rsid w:val="006C7F72"/>
    <w:rsid w:val="006D03A9"/>
    <w:rsid w:val="006D10F2"/>
    <w:rsid w:val="006D127A"/>
    <w:rsid w:val="006D1519"/>
    <w:rsid w:val="006D1B62"/>
    <w:rsid w:val="006D1EC8"/>
    <w:rsid w:val="006D201A"/>
    <w:rsid w:val="006D2115"/>
    <w:rsid w:val="006D243C"/>
    <w:rsid w:val="006D24A1"/>
    <w:rsid w:val="006D26C3"/>
    <w:rsid w:val="006D2876"/>
    <w:rsid w:val="006D29E8"/>
    <w:rsid w:val="006D2DE9"/>
    <w:rsid w:val="006D2F2B"/>
    <w:rsid w:val="006D2F87"/>
    <w:rsid w:val="006D32FC"/>
    <w:rsid w:val="006D3579"/>
    <w:rsid w:val="006D3836"/>
    <w:rsid w:val="006D3E5C"/>
    <w:rsid w:val="006D40B2"/>
    <w:rsid w:val="006D453E"/>
    <w:rsid w:val="006D48B6"/>
    <w:rsid w:val="006D4C11"/>
    <w:rsid w:val="006D51C5"/>
    <w:rsid w:val="006D57A3"/>
    <w:rsid w:val="006D581C"/>
    <w:rsid w:val="006D5B24"/>
    <w:rsid w:val="006D5D32"/>
    <w:rsid w:val="006D5E05"/>
    <w:rsid w:val="006D5F77"/>
    <w:rsid w:val="006D61DC"/>
    <w:rsid w:val="006D67EB"/>
    <w:rsid w:val="006D6823"/>
    <w:rsid w:val="006D6D08"/>
    <w:rsid w:val="006D6F22"/>
    <w:rsid w:val="006D72BE"/>
    <w:rsid w:val="006D78BF"/>
    <w:rsid w:val="006D7AF6"/>
    <w:rsid w:val="006E1227"/>
    <w:rsid w:val="006E16C6"/>
    <w:rsid w:val="006E2016"/>
    <w:rsid w:val="006E266F"/>
    <w:rsid w:val="006E2D72"/>
    <w:rsid w:val="006E2DFC"/>
    <w:rsid w:val="006E3341"/>
    <w:rsid w:val="006E37B0"/>
    <w:rsid w:val="006E39F7"/>
    <w:rsid w:val="006E3A9A"/>
    <w:rsid w:val="006E3ED3"/>
    <w:rsid w:val="006E3FBA"/>
    <w:rsid w:val="006E4028"/>
    <w:rsid w:val="006E4245"/>
    <w:rsid w:val="006E44C6"/>
    <w:rsid w:val="006E47C0"/>
    <w:rsid w:val="006E491C"/>
    <w:rsid w:val="006E4B48"/>
    <w:rsid w:val="006E4B67"/>
    <w:rsid w:val="006E4B99"/>
    <w:rsid w:val="006E4C8E"/>
    <w:rsid w:val="006E4E67"/>
    <w:rsid w:val="006E4E70"/>
    <w:rsid w:val="006E5210"/>
    <w:rsid w:val="006E5264"/>
    <w:rsid w:val="006E54D3"/>
    <w:rsid w:val="006E5AA0"/>
    <w:rsid w:val="006E606A"/>
    <w:rsid w:val="006E6408"/>
    <w:rsid w:val="006E65ED"/>
    <w:rsid w:val="006E67DC"/>
    <w:rsid w:val="006E689C"/>
    <w:rsid w:val="006E6C86"/>
    <w:rsid w:val="006E6D9D"/>
    <w:rsid w:val="006E6F7E"/>
    <w:rsid w:val="006E702C"/>
    <w:rsid w:val="006E755F"/>
    <w:rsid w:val="006E78AC"/>
    <w:rsid w:val="006E78E4"/>
    <w:rsid w:val="006E796A"/>
    <w:rsid w:val="006F01AA"/>
    <w:rsid w:val="006F0851"/>
    <w:rsid w:val="006F09EF"/>
    <w:rsid w:val="006F0EA3"/>
    <w:rsid w:val="006F17E4"/>
    <w:rsid w:val="006F1B64"/>
    <w:rsid w:val="006F1DE2"/>
    <w:rsid w:val="006F20C3"/>
    <w:rsid w:val="006F2307"/>
    <w:rsid w:val="006F26EE"/>
    <w:rsid w:val="006F2890"/>
    <w:rsid w:val="006F2C70"/>
    <w:rsid w:val="006F2DF7"/>
    <w:rsid w:val="006F31B5"/>
    <w:rsid w:val="006F3885"/>
    <w:rsid w:val="006F3CB4"/>
    <w:rsid w:val="006F405B"/>
    <w:rsid w:val="006F4378"/>
    <w:rsid w:val="006F4838"/>
    <w:rsid w:val="006F492B"/>
    <w:rsid w:val="006F4BD8"/>
    <w:rsid w:val="006F4F2C"/>
    <w:rsid w:val="006F509E"/>
    <w:rsid w:val="006F51B8"/>
    <w:rsid w:val="006F55FD"/>
    <w:rsid w:val="006F5981"/>
    <w:rsid w:val="006F5F6A"/>
    <w:rsid w:val="006F65F5"/>
    <w:rsid w:val="006F6B67"/>
    <w:rsid w:val="006F6C57"/>
    <w:rsid w:val="006F7190"/>
    <w:rsid w:val="006F736F"/>
    <w:rsid w:val="006F745B"/>
    <w:rsid w:val="006F75B0"/>
    <w:rsid w:val="006F7799"/>
    <w:rsid w:val="006F7EAC"/>
    <w:rsid w:val="0070033E"/>
    <w:rsid w:val="0070098A"/>
    <w:rsid w:val="00700A39"/>
    <w:rsid w:val="00700D43"/>
    <w:rsid w:val="00701168"/>
    <w:rsid w:val="00701CD5"/>
    <w:rsid w:val="0070236F"/>
    <w:rsid w:val="00702741"/>
    <w:rsid w:val="00702FB9"/>
    <w:rsid w:val="007031E8"/>
    <w:rsid w:val="0070358A"/>
    <w:rsid w:val="007037BF"/>
    <w:rsid w:val="0070399E"/>
    <w:rsid w:val="00703E44"/>
    <w:rsid w:val="00703F58"/>
    <w:rsid w:val="00704CA4"/>
    <w:rsid w:val="00704DAB"/>
    <w:rsid w:val="00704DCE"/>
    <w:rsid w:val="00704EFD"/>
    <w:rsid w:val="007051FC"/>
    <w:rsid w:val="007053C0"/>
    <w:rsid w:val="007056EA"/>
    <w:rsid w:val="0070573C"/>
    <w:rsid w:val="007057B2"/>
    <w:rsid w:val="00705BEF"/>
    <w:rsid w:val="0070623B"/>
    <w:rsid w:val="007063C5"/>
    <w:rsid w:val="007067F9"/>
    <w:rsid w:val="007068C6"/>
    <w:rsid w:val="00706AB0"/>
    <w:rsid w:val="00706DF1"/>
    <w:rsid w:val="007071E1"/>
    <w:rsid w:val="00707B78"/>
    <w:rsid w:val="00707CED"/>
    <w:rsid w:val="00707E8A"/>
    <w:rsid w:val="007106C4"/>
    <w:rsid w:val="00710924"/>
    <w:rsid w:val="007117A5"/>
    <w:rsid w:val="007119EA"/>
    <w:rsid w:val="00711A4C"/>
    <w:rsid w:val="00711AA0"/>
    <w:rsid w:val="00711B7E"/>
    <w:rsid w:val="00711DF3"/>
    <w:rsid w:val="007126C3"/>
    <w:rsid w:val="00712902"/>
    <w:rsid w:val="007129AE"/>
    <w:rsid w:val="00712A2C"/>
    <w:rsid w:val="00712B6B"/>
    <w:rsid w:val="00712BD9"/>
    <w:rsid w:val="00712D56"/>
    <w:rsid w:val="00713034"/>
    <w:rsid w:val="00713133"/>
    <w:rsid w:val="007132A5"/>
    <w:rsid w:val="00713308"/>
    <w:rsid w:val="0071345D"/>
    <w:rsid w:val="00714079"/>
    <w:rsid w:val="0071458F"/>
    <w:rsid w:val="00714D20"/>
    <w:rsid w:val="00714E7D"/>
    <w:rsid w:val="00715273"/>
    <w:rsid w:val="0071576C"/>
    <w:rsid w:val="00715AA3"/>
    <w:rsid w:val="00716278"/>
    <w:rsid w:val="007164B7"/>
    <w:rsid w:val="00717025"/>
    <w:rsid w:val="007170CA"/>
    <w:rsid w:val="0071736F"/>
    <w:rsid w:val="007177D5"/>
    <w:rsid w:val="00717C9B"/>
    <w:rsid w:val="00717CF1"/>
    <w:rsid w:val="00717DD4"/>
    <w:rsid w:val="00717E9A"/>
    <w:rsid w:val="007203C5"/>
    <w:rsid w:val="007209CC"/>
    <w:rsid w:val="00721D3B"/>
    <w:rsid w:val="00721D4C"/>
    <w:rsid w:val="00721EF0"/>
    <w:rsid w:val="00721F95"/>
    <w:rsid w:val="0072217A"/>
    <w:rsid w:val="007222F4"/>
    <w:rsid w:val="00722CD6"/>
    <w:rsid w:val="0072328A"/>
    <w:rsid w:val="0072357B"/>
    <w:rsid w:val="00723FFF"/>
    <w:rsid w:val="007249C4"/>
    <w:rsid w:val="00724E6A"/>
    <w:rsid w:val="00725AA6"/>
    <w:rsid w:val="00725EEA"/>
    <w:rsid w:val="007261CB"/>
    <w:rsid w:val="00726744"/>
    <w:rsid w:val="00726E05"/>
    <w:rsid w:val="00727799"/>
    <w:rsid w:val="0072788E"/>
    <w:rsid w:val="00727BCE"/>
    <w:rsid w:val="00727DE8"/>
    <w:rsid w:val="00730175"/>
    <w:rsid w:val="0073030E"/>
    <w:rsid w:val="007305AA"/>
    <w:rsid w:val="007307FC"/>
    <w:rsid w:val="00731292"/>
    <w:rsid w:val="007314E4"/>
    <w:rsid w:val="007314EB"/>
    <w:rsid w:val="00731645"/>
    <w:rsid w:val="00731A0D"/>
    <w:rsid w:val="00732487"/>
    <w:rsid w:val="0073263E"/>
    <w:rsid w:val="007328A3"/>
    <w:rsid w:val="00732B2A"/>
    <w:rsid w:val="00732E6D"/>
    <w:rsid w:val="007338A6"/>
    <w:rsid w:val="00733AA2"/>
    <w:rsid w:val="00733B98"/>
    <w:rsid w:val="00733D9B"/>
    <w:rsid w:val="00734176"/>
    <w:rsid w:val="0073490F"/>
    <w:rsid w:val="00734A34"/>
    <w:rsid w:val="00734BAF"/>
    <w:rsid w:val="007351A5"/>
    <w:rsid w:val="00735368"/>
    <w:rsid w:val="0073556C"/>
    <w:rsid w:val="0073559C"/>
    <w:rsid w:val="0073560E"/>
    <w:rsid w:val="007356BD"/>
    <w:rsid w:val="00735C2E"/>
    <w:rsid w:val="00737038"/>
    <w:rsid w:val="0073715E"/>
    <w:rsid w:val="007375CC"/>
    <w:rsid w:val="00737D40"/>
    <w:rsid w:val="007401D3"/>
    <w:rsid w:val="00740A90"/>
    <w:rsid w:val="00740CF7"/>
    <w:rsid w:val="00740D99"/>
    <w:rsid w:val="00740E1E"/>
    <w:rsid w:val="007410E6"/>
    <w:rsid w:val="0074115A"/>
    <w:rsid w:val="00741292"/>
    <w:rsid w:val="007413E2"/>
    <w:rsid w:val="00741420"/>
    <w:rsid w:val="00741511"/>
    <w:rsid w:val="00741989"/>
    <w:rsid w:val="007419C9"/>
    <w:rsid w:val="00741C8C"/>
    <w:rsid w:val="0074227E"/>
    <w:rsid w:val="007428B8"/>
    <w:rsid w:val="00742B5B"/>
    <w:rsid w:val="00742C8B"/>
    <w:rsid w:val="00743368"/>
    <w:rsid w:val="0074355C"/>
    <w:rsid w:val="00743C46"/>
    <w:rsid w:val="00743D6C"/>
    <w:rsid w:val="007444B1"/>
    <w:rsid w:val="00744573"/>
    <w:rsid w:val="0074462E"/>
    <w:rsid w:val="00744BFA"/>
    <w:rsid w:val="00745232"/>
    <w:rsid w:val="00745E3A"/>
    <w:rsid w:val="00746393"/>
    <w:rsid w:val="00746453"/>
    <w:rsid w:val="007467AB"/>
    <w:rsid w:val="007467F6"/>
    <w:rsid w:val="00746908"/>
    <w:rsid w:val="00746B31"/>
    <w:rsid w:val="00746F98"/>
    <w:rsid w:val="007473DD"/>
    <w:rsid w:val="007500AC"/>
    <w:rsid w:val="007505EB"/>
    <w:rsid w:val="00750938"/>
    <w:rsid w:val="007509CC"/>
    <w:rsid w:val="00750D72"/>
    <w:rsid w:val="00751594"/>
    <w:rsid w:val="00751634"/>
    <w:rsid w:val="00751866"/>
    <w:rsid w:val="0075187E"/>
    <w:rsid w:val="00751D5B"/>
    <w:rsid w:val="0075238A"/>
    <w:rsid w:val="00752581"/>
    <w:rsid w:val="00752856"/>
    <w:rsid w:val="007528F5"/>
    <w:rsid w:val="007531A4"/>
    <w:rsid w:val="007533ED"/>
    <w:rsid w:val="00753E7D"/>
    <w:rsid w:val="007540D9"/>
    <w:rsid w:val="007542F9"/>
    <w:rsid w:val="00754B94"/>
    <w:rsid w:val="00754EA6"/>
    <w:rsid w:val="007552F8"/>
    <w:rsid w:val="007553E0"/>
    <w:rsid w:val="0075569F"/>
    <w:rsid w:val="0075593F"/>
    <w:rsid w:val="007559C2"/>
    <w:rsid w:val="00755BF4"/>
    <w:rsid w:val="00755E8D"/>
    <w:rsid w:val="007563A2"/>
    <w:rsid w:val="007563CB"/>
    <w:rsid w:val="00756465"/>
    <w:rsid w:val="00756571"/>
    <w:rsid w:val="007566E5"/>
    <w:rsid w:val="007568FC"/>
    <w:rsid w:val="00756910"/>
    <w:rsid w:val="00756C2B"/>
    <w:rsid w:val="00756F2F"/>
    <w:rsid w:val="007578E8"/>
    <w:rsid w:val="00757AD1"/>
    <w:rsid w:val="007604CA"/>
    <w:rsid w:val="007604F4"/>
    <w:rsid w:val="00760647"/>
    <w:rsid w:val="00760DDA"/>
    <w:rsid w:val="00760E62"/>
    <w:rsid w:val="00760F0A"/>
    <w:rsid w:val="0076175C"/>
    <w:rsid w:val="007617E9"/>
    <w:rsid w:val="00761CBE"/>
    <w:rsid w:val="0076226C"/>
    <w:rsid w:val="007628D5"/>
    <w:rsid w:val="0076290B"/>
    <w:rsid w:val="00762C35"/>
    <w:rsid w:val="007633A8"/>
    <w:rsid w:val="00763C7F"/>
    <w:rsid w:val="00763D72"/>
    <w:rsid w:val="00764269"/>
    <w:rsid w:val="00765034"/>
    <w:rsid w:val="0076556C"/>
    <w:rsid w:val="007655F0"/>
    <w:rsid w:val="0076581D"/>
    <w:rsid w:val="007659B1"/>
    <w:rsid w:val="007660E0"/>
    <w:rsid w:val="00766478"/>
    <w:rsid w:val="007664D8"/>
    <w:rsid w:val="00766FE5"/>
    <w:rsid w:val="00767067"/>
    <w:rsid w:val="00767B1E"/>
    <w:rsid w:val="00767B57"/>
    <w:rsid w:val="00767C9D"/>
    <w:rsid w:val="00770080"/>
    <w:rsid w:val="007704D1"/>
    <w:rsid w:val="00770567"/>
    <w:rsid w:val="007709BA"/>
    <w:rsid w:val="00770FB2"/>
    <w:rsid w:val="00771562"/>
    <w:rsid w:val="00771567"/>
    <w:rsid w:val="00771597"/>
    <w:rsid w:val="00771B0E"/>
    <w:rsid w:val="00771F5A"/>
    <w:rsid w:val="00771F86"/>
    <w:rsid w:val="0077241A"/>
    <w:rsid w:val="0077243C"/>
    <w:rsid w:val="007724F9"/>
    <w:rsid w:val="007726A7"/>
    <w:rsid w:val="00772920"/>
    <w:rsid w:val="007729DA"/>
    <w:rsid w:val="00772FE4"/>
    <w:rsid w:val="00773249"/>
    <w:rsid w:val="0077360D"/>
    <w:rsid w:val="0077371F"/>
    <w:rsid w:val="00773730"/>
    <w:rsid w:val="00773764"/>
    <w:rsid w:val="00773A50"/>
    <w:rsid w:val="00774000"/>
    <w:rsid w:val="0077418B"/>
    <w:rsid w:val="00774280"/>
    <w:rsid w:val="007752D7"/>
    <w:rsid w:val="007758E1"/>
    <w:rsid w:val="00775ABF"/>
    <w:rsid w:val="00775D8D"/>
    <w:rsid w:val="00776849"/>
    <w:rsid w:val="0077685E"/>
    <w:rsid w:val="00776EB0"/>
    <w:rsid w:val="007771C7"/>
    <w:rsid w:val="00777819"/>
    <w:rsid w:val="0077788A"/>
    <w:rsid w:val="007778B3"/>
    <w:rsid w:val="00777B1E"/>
    <w:rsid w:val="00777B24"/>
    <w:rsid w:val="00780282"/>
    <w:rsid w:val="007802A0"/>
    <w:rsid w:val="00780DA7"/>
    <w:rsid w:val="00781200"/>
    <w:rsid w:val="007813EF"/>
    <w:rsid w:val="0078194A"/>
    <w:rsid w:val="00781B01"/>
    <w:rsid w:val="00781B86"/>
    <w:rsid w:val="00781EFA"/>
    <w:rsid w:val="0078201A"/>
    <w:rsid w:val="0078215C"/>
    <w:rsid w:val="00782247"/>
    <w:rsid w:val="0078234B"/>
    <w:rsid w:val="00782578"/>
    <w:rsid w:val="007828DA"/>
    <w:rsid w:val="007830A6"/>
    <w:rsid w:val="00783451"/>
    <w:rsid w:val="00783482"/>
    <w:rsid w:val="00784286"/>
    <w:rsid w:val="007842C4"/>
    <w:rsid w:val="0078431F"/>
    <w:rsid w:val="00784353"/>
    <w:rsid w:val="00784604"/>
    <w:rsid w:val="00784821"/>
    <w:rsid w:val="007848E2"/>
    <w:rsid w:val="00785642"/>
    <w:rsid w:val="00785688"/>
    <w:rsid w:val="0078576D"/>
    <w:rsid w:val="00785843"/>
    <w:rsid w:val="007858F0"/>
    <w:rsid w:val="0078612B"/>
    <w:rsid w:val="007864D6"/>
    <w:rsid w:val="00786F3F"/>
    <w:rsid w:val="007870CF"/>
    <w:rsid w:val="00787364"/>
    <w:rsid w:val="0078736B"/>
    <w:rsid w:val="007873DE"/>
    <w:rsid w:val="007874F6"/>
    <w:rsid w:val="007877A1"/>
    <w:rsid w:val="00790220"/>
    <w:rsid w:val="00790F5E"/>
    <w:rsid w:val="00790FD4"/>
    <w:rsid w:val="007912D8"/>
    <w:rsid w:val="0079144F"/>
    <w:rsid w:val="00791BDE"/>
    <w:rsid w:val="00791DDE"/>
    <w:rsid w:val="00791E3B"/>
    <w:rsid w:val="007921EF"/>
    <w:rsid w:val="00792B09"/>
    <w:rsid w:val="00792B62"/>
    <w:rsid w:val="007930CF"/>
    <w:rsid w:val="00793CB1"/>
    <w:rsid w:val="00794C9C"/>
    <w:rsid w:val="00795024"/>
    <w:rsid w:val="00795766"/>
    <w:rsid w:val="00795850"/>
    <w:rsid w:val="00795A17"/>
    <w:rsid w:val="00795BF3"/>
    <w:rsid w:val="007963A9"/>
    <w:rsid w:val="00796437"/>
    <w:rsid w:val="00796F99"/>
    <w:rsid w:val="00797003"/>
    <w:rsid w:val="00797672"/>
    <w:rsid w:val="0079796C"/>
    <w:rsid w:val="00797983"/>
    <w:rsid w:val="007A04E9"/>
    <w:rsid w:val="007A078F"/>
    <w:rsid w:val="007A0B54"/>
    <w:rsid w:val="007A134C"/>
    <w:rsid w:val="007A14CA"/>
    <w:rsid w:val="007A19B2"/>
    <w:rsid w:val="007A1A81"/>
    <w:rsid w:val="007A1DB7"/>
    <w:rsid w:val="007A234C"/>
    <w:rsid w:val="007A235E"/>
    <w:rsid w:val="007A25EE"/>
    <w:rsid w:val="007A27BD"/>
    <w:rsid w:val="007A28D4"/>
    <w:rsid w:val="007A29FC"/>
    <w:rsid w:val="007A2C07"/>
    <w:rsid w:val="007A38F9"/>
    <w:rsid w:val="007A4198"/>
    <w:rsid w:val="007A452F"/>
    <w:rsid w:val="007A4587"/>
    <w:rsid w:val="007A49BF"/>
    <w:rsid w:val="007A4C29"/>
    <w:rsid w:val="007A4D4D"/>
    <w:rsid w:val="007A4F95"/>
    <w:rsid w:val="007A506F"/>
    <w:rsid w:val="007A52EF"/>
    <w:rsid w:val="007A577C"/>
    <w:rsid w:val="007A58B8"/>
    <w:rsid w:val="007A5E4F"/>
    <w:rsid w:val="007A60F9"/>
    <w:rsid w:val="007A618B"/>
    <w:rsid w:val="007A62A4"/>
    <w:rsid w:val="007A6468"/>
    <w:rsid w:val="007A6868"/>
    <w:rsid w:val="007A6FA2"/>
    <w:rsid w:val="007A705B"/>
    <w:rsid w:val="007A7FF6"/>
    <w:rsid w:val="007B00CA"/>
    <w:rsid w:val="007B043E"/>
    <w:rsid w:val="007B08AA"/>
    <w:rsid w:val="007B0991"/>
    <w:rsid w:val="007B10E8"/>
    <w:rsid w:val="007B123C"/>
    <w:rsid w:val="007B129C"/>
    <w:rsid w:val="007B1474"/>
    <w:rsid w:val="007B261C"/>
    <w:rsid w:val="007B26B8"/>
    <w:rsid w:val="007B2998"/>
    <w:rsid w:val="007B30EE"/>
    <w:rsid w:val="007B314F"/>
    <w:rsid w:val="007B326B"/>
    <w:rsid w:val="007B3635"/>
    <w:rsid w:val="007B3821"/>
    <w:rsid w:val="007B3B47"/>
    <w:rsid w:val="007B3C23"/>
    <w:rsid w:val="007B528A"/>
    <w:rsid w:val="007B59A8"/>
    <w:rsid w:val="007B64D5"/>
    <w:rsid w:val="007B65FC"/>
    <w:rsid w:val="007B67C6"/>
    <w:rsid w:val="007B78B4"/>
    <w:rsid w:val="007B7B6F"/>
    <w:rsid w:val="007B7CF4"/>
    <w:rsid w:val="007C0C57"/>
    <w:rsid w:val="007C0EB5"/>
    <w:rsid w:val="007C0ECC"/>
    <w:rsid w:val="007C1132"/>
    <w:rsid w:val="007C14F5"/>
    <w:rsid w:val="007C158B"/>
    <w:rsid w:val="007C1C16"/>
    <w:rsid w:val="007C1D70"/>
    <w:rsid w:val="007C1F62"/>
    <w:rsid w:val="007C23D7"/>
    <w:rsid w:val="007C2464"/>
    <w:rsid w:val="007C2478"/>
    <w:rsid w:val="007C2C64"/>
    <w:rsid w:val="007C35FA"/>
    <w:rsid w:val="007C37D6"/>
    <w:rsid w:val="007C37E2"/>
    <w:rsid w:val="007C3B76"/>
    <w:rsid w:val="007C3E67"/>
    <w:rsid w:val="007C476D"/>
    <w:rsid w:val="007C4BCC"/>
    <w:rsid w:val="007C4E38"/>
    <w:rsid w:val="007C4EE5"/>
    <w:rsid w:val="007C515B"/>
    <w:rsid w:val="007C529E"/>
    <w:rsid w:val="007C5552"/>
    <w:rsid w:val="007C5602"/>
    <w:rsid w:val="007C56C3"/>
    <w:rsid w:val="007C5A95"/>
    <w:rsid w:val="007C5DE4"/>
    <w:rsid w:val="007C6366"/>
    <w:rsid w:val="007C6A88"/>
    <w:rsid w:val="007C6DE4"/>
    <w:rsid w:val="007C6F3C"/>
    <w:rsid w:val="007C7B7A"/>
    <w:rsid w:val="007D0290"/>
    <w:rsid w:val="007D0595"/>
    <w:rsid w:val="007D0A47"/>
    <w:rsid w:val="007D0AF4"/>
    <w:rsid w:val="007D0D31"/>
    <w:rsid w:val="007D0ECF"/>
    <w:rsid w:val="007D10E2"/>
    <w:rsid w:val="007D13AA"/>
    <w:rsid w:val="007D1486"/>
    <w:rsid w:val="007D15C6"/>
    <w:rsid w:val="007D1A61"/>
    <w:rsid w:val="007D1B52"/>
    <w:rsid w:val="007D1DB0"/>
    <w:rsid w:val="007D1DF6"/>
    <w:rsid w:val="007D1FBB"/>
    <w:rsid w:val="007D22FD"/>
    <w:rsid w:val="007D2BBA"/>
    <w:rsid w:val="007D2C72"/>
    <w:rsid w:val="007D30DC"/>
    <w:rsid w:val="007D3CEA"/>
    <w:rsid w:val="007D3D8E"/>
    <w:rsid w:val="007D3FBE"/>
    <w:rsid w:val="007D473F"/>
    <w:rsid w:val="007D4A8E"/>
    <w:rsid w:val="007D50E9"/>
    <w:rsid w:val="007D5D74"/>
    <w:rsid w:val="007D5F60"/>
    <w:rsid w:val="007D6700"/>
    <w:rsid w:val="007D673A"/>
    <w:rsid w:val="007D6A48"/>
    <w:rsid w:val="007D78EF"/>
    <w:rsid w:val="007D79B1"/>
    <w:rsid w:val="007D7AFB"/>
    <w:rsid w:val="007D7B46"/>
    <w:rsid w:val="007D7C75"/>
    <w:rsid w:val="007E0144"/>
    <w:rsid w:val="007E0205"/>
    <w:rsid w:val="007E08F5"/>
    <w:rsid w:val="007E0AAE"/>
    <w:rsid w:val="007E0C2A"/>
    <w:rsid w:val="007E1077"/>
    <w:rsid w:val="007E134D"/>
    <w:rsid w:val="007E3AA4"/>
    <w:rsid w:val="007E4130"/>
    <w:rsid w:val="007E4799"/>
    <w:rsid w:val="007E53BD"/>
    <w:rsid w:val="007E5692"/>
    <w:rsid w:val="007E5709"/>
    <w:rsid w:val="007E5F7F"/>
    <w:rsid w:val="007E626A"/>
    <w:rsid w:val="007E6C2B"/>
    <w:rsid w:val="007E6CA9"/>
    <w:rsid w:val="007E6EE1"/>
    <w:rsid w:val="007E7103"/>
    <w:rsid w:val="007E7190"/>
    <w:rsid w:val="007E774C"/>
    <w:rsid w:val="007E7A13"/>
    <w:rsid w:val="007E7EFE"/>
    <w:rsid w:val="007F0047"/>
    <w:rsid w:val="007F019B"/>
    <w:rsid w:val="007F01C2"/>
    <w:rsid w:val="007F0CBA"/>
    <w:rsid w:val="007F0EE2"/>
    <w:rsid w:val="007F0FC6"/>
    <w:rsid w:val="007F13FF"/>
    <w:rsid w:val="007F160C"/>
    <w:rsid w:val="007F1787"/>
    <w:rsid w:val="007F1797"/>
    <w:rsid w:val="007F1A21"/>
    <w:rsid w:val="007F2055"/>
    <w:rsid w:val="007F22D4"/>
    <w:rsid w:val="007F24B5"/>
    <w:rsid w:val="007F26D0"/>
    <w:rsid w:val="007F27F7"/>
    <w:rsid w:val="007F2C63"/>
    <w:rsid w:val="007F39BA"/>
    <w:rsid w:val="007F3F64"/>
    <w:rsid w:val="007F4417"/>
    <w:rsid w:val="007F449A"/>
    <w:rsid w:val="007F49D0"/>
    <w:rsid w:val="007F4EC3"/>
    <w:rsid w:val="007F513A"/>
    <w:rsid w:val="007F51F8"/>
    <w:rsid w:val="007F5841"/>
    <w:rsid w:val="007F5A61"/>
    <w:rsid w:val="007F5F4B"/>
    <w:rsid w:val="007F62B2"/>
    <w:rsid w:val="007F640F"/>
    <w:rsid w:val="007F67AC"/>
    <w:rsid w:val="007F6F20"/>
    <w:rsid w:val="007F76CD"/>
    <w:rsid w:val="007F7709"/>
    <w:rsid w:val="007F7EEB"/>
    <w:rsid w:val="00800824"/>
    <w:rsid w:val="00800AF3"/>
    <w:rsid w:val="00800F79"/>
    <w:rsid w:val="00801324"/>
    <w:rsid w:val="00801490"/>
    <w:rsid w:val="00801CE5"/>
    <w:rsid w:val="00801CE7"/>
    <w:rsid w:val="008022D7"/>
    <w:rsid w:val="0080249D"/>
    <w:rsid w:val="008029DE"/>
    <w:rsid w:val="00802BB6"/>
    <w:rsid w:val="00802C4B"/>
    <w:rsid w:val="0080309D"/>
    <w:rsid w:val="0080368A"/>
    <w:rsid w:val="00803A61"/>
    <w:rsid w:val="00803CAF"/>
    <w:rsid w:val="00803EF6"/>
    <w:rsid w:val="00804567"/>
    <w:rsid w:val="008048E1"/>
    <w:rsid w:val="00804D90"/>
    <w:rsid w:val="0080511D"/>
    <w:rsid w:val="00805343"/>
    <w:rsid w:val="00805A34"/>
    <w:rsid w:val="00805EA0"/>
    <w:rsid w:val="008062E9"/>
    <w:rsid w:val="008064FC"/>
    <w:rsid w:val="0080674A"/>
    <w:rsid w:val="0080674F"/>
    <w:rsid w:val="00806852"/>
    <w:rsid w:val="0080691C"/>
    <w:rsid w:val="00806A70"/>
    <w:rsid w:val="0080701C"/>
    <w:rsid w:val="0080710E"/>
    <w:rsid w:val="00807640"/>
    <w:rsid w:val="00807A31"/>
    <w:rsid w:val="00807AC5"/>
    <w:rsid w:val="00807CA6"/>
    <w:rsid w:val="008102C3"/>
    <w:rsid w:val="0081039B"/>
    <w:rsid w:val="00811082"/>
    <w:rsid w:val="008113EB"/>
    <w:rsid w:val="00811555"/>
    <w:rsid w:val="00811E56"/>
    <w:rsid w:val="00812DE2"/>
    <w:rsid w:val="00813B53"/>
    <w:rsid w:val="00814261"/>
    <w:rsid w:val="008143A0"/>
    <w:rsid w:val="00814A58"/>
    <w:rsid w:val="00815550"/>
    <w:rsid w:val="00816406"/>
    <w:rsid w:val="0081660F"/>
    <w:rsid w:val="00816A6B"/>
    <w:rsid w:val="00816AE1"/>
    <w:rsid w:val="00817281"/>
    <w:rsid w:val="008204E6"/>
    <w:rsid w:val="00820623"/>
    <w:rsid w:val="008206E2"/>
    <w:rsid w:val="00820847"/>
    <w:rsid w:val="00820D8C"/>
    <w:rsid w:val="0082156D"/>
    <w:rsid w:val="0082214A"/>
    <w:rsid w:val="008224CA"/>
    <w:rsid w:val="008225C0"/>
    <w:rsid w:val="00822F93"/>
    <w:rsid w:val="008231B1"/>
    <w:rsid w:val="00823712"/>
    <w:rsid w:val="008237C6"/>
    <w:rsid w:val="00823887"/>
    <w:rsid w:val="00823C98"/>
    <w:rsid w:val="008249B1"/>
    <w:rsid w:val="00824DEE"/>
    <w:rsid w:val="008252B5"/>
    <w:rsid w:val="00825B1D"/>
    <w:rsid w:val="008261DE"/>
    <w:rsid w:val="0082643A"/>
    <w:rsid w:val="00826473"/>
    <w:rsid w:val="00826561"/>
    <w:rsid w:val="00826BCB"/>
    <w:rsid w:val="00826CB1"/>
    <w:rsid w:val="00826D4D"/>
    <w:rsid w:val="00827264"/>
    <w:rsid w:val="0082766C"/>
    <w:rsid w:val="008276B5"/>
    <w:rsid w:val="008277FE"/>
    <w:rsid w:val="00827C5B"/>
    <w:rsid w:val="00830090"/>
    <w:rsid w:val="0083036B"/>
    <w:rsid w:val="008307B2"/>
    <w:rsid w:val="00830DA5"/>
    <w:rsid w:val="00831005"/>
    <w:rsid w:val="00831279"/>
    <w:rsid w:val="00831CEC"/>
    <w:rsid w:val="00831D33"/>
    <w:rsid w:val="00831DF8"/>
    <w:rsid w:val="00832AB0"/>
    <w:rsid w:val="0083387A"/>
    <w:rsid w:val="008338DD"/>
    <w:rsid w:val="00833B88"/>
    <w:rsid w:val="008342E7"/>
    <w:rsid w:val="008343EF"/>
    <w:rsid w:val="00834BAE"/>
    <w:rsid w:val="00835332"/>
    <w:rsid w:val="00835446"/>
    <w:rsid w:val="0083586F"/>
    <w:rsid w:val="00835AE7"/>
    <w:rsid w:val="008364BC"/>
    <w:rsid w:val="00836AA0"/>
    <w:rsid w:val="008372B0"/>
    <w:rsid w:val="008372C7"/>
    <w:rsid w:val="00840227"/>
    <w:rsid w:val="008406FD"/>
    <w:rsid w:val="008407F5"/>
    <w:rsid w:val="008408F6"/>
    <w:rsid w:val="008409A5"/>
    <w:rsid w:val="00840CC5"/>
    <w:rsid w:val="008411FA"/>
    <w:rsid w:val="00841A85"/>
    <w:rsid w:val="00842281"/>
    <w:rsid w:val="00842377"/>
    <w:rsid w:val="00842A61"/>
    <w:rsid w:val="00842C3A"/>
    <w:rsid w:val="00842D4E"/>
    <w:rsid w:val="00842D6F"/>
    <w:rsid w:val="00842E64"/>
    <w:rsid w:val="00842E8A"/>
    <w:rsid w:val="00842F3A"/>
    <w:rsid w:val="0084350E"/>
    <w:rsid w:val="00843E9F"/>
    <w:rsid w:val="00844196"/>
    <w:rsid w:val="0084424E"/>
    <w:rsid w:val="008442C4"/>
    <w:rsid w:val="0084436B"/>
    <w:rsid w:val="00844867"/>
    <w:rsid w:val="00844F8C"/>
    <w:rsid w:val="00845312"/>
    <w:rsid w:val="008455FF"/>
    <w:rsid w:val="008458BA"/>
    <w:rsid w:val="0084633D"/>
    <w:rsid w:val="0084689E"/>
    <w:rsid w:val="00846E05"/>
    <w:rsid w:val="00847B83"/>
    <w:rsid w:val="00847BE9"/>
    <w:rsid w:val="00850048"/>
    <w:rsid w:val="00850534"/>
    <w:rsid w:val="008509B0"/>
    <w:rsid w:val="00850D34"/>
    <w:rsid w:val="0085106F"/>
    <w:rsid w:val="008514C4"/>
    <w:rsid w:val="00851D41"/>
    <w:rsid w:val="00851F3C"/>
    <w:rsid w:val="008520AF"/>
    <w:rsid w:val="0085281E"/>
    <w:rsid w:val="00852CEE"/>
    <w:rsid w:val="00852F76"/>
    <w:rsid w:val="00853778"/>
    <w:rsid w:val="00853DAC"/>
    <w:rsid w:val="008542EA"/>
    <w:rsid w:val="00854405"/>
    <w:rsid w:val="00854E9D"/>
    <w:rsid w:val="008551D5"/>
    <w:rsid w:val="00855755"/>
    <w:rsid w:val="0085575B"/>
    <w:rsid w:val="00855B4A"/>
    <w:rsid w:val="00855F2A"/>
    <w:rsid w:val="0085681C"/>
    <w:rsid w:val="00856911"/>
    <w:rsid w:val="00856914"/>
    <w:rsid w:val="00856AC5"/>
    <w:rsid w:val="00856C0C"/>
    <w:rsid w:val="008572CD"/>
    <w:rsid w:val="00857494"/>
    <w:rsid w:val="008575DE"/>
    <w:rsid w:val="008575E1"/>
    <w:rsid w:val="00857803"/>
    <w:rsid w:val="00857C60"/>
    <w:rsid w:val="00857C99"/>
    <w:rsid w:val="00857CDC"/>
    <w:rsid w:val="00857F11"/>
    <w:rsid w:val="00860323"/>
    <w:rsid w:val="008603EF"/>
    <w:rsid w:val="00860701"/>
    <w:rsid w:val="008609D4"/>
    <w:rsid w:val="00860B73"/>
    <w:rsid w:val="00861078"/>
    <w:rsid w:val="00861D29"/>
    <w:rsid w:val="008624B5"/>
    <w:rsid w:val="00862861"/>
    <w:rsid w:val="00862DA4"/>
    <w:rsid w:val="00863E52"/>
    <w:rsid w:val="008641E5"/>
    <w:rsid w:val="008647F0"/>
    <w:rsid w:val="00864E53"/>
    <w:rsid w:val="00864F0C"/>
    <w:rsid w:val="008654C2"/>
    <w:rsid w:val="00865775"/>
    <w:rsid w:val="00865A27"/>
    <w:rsid w:val="00865A50"/>
    <w:rsid w:val="00865D65"/>
    <w:rsid w:val="00865FE4"/>
    <w:rsid w:val="00865FEC"/>
    <w:rsid w:val="0086601A"/>
    <w:rsid w:val="0086608C"/>
    <w:rsid w:val="00866104"/>
    <w:rsid w:val="00866448"/>
    <w:rsid w:val="0086649A"/>
    <w:rsid w:val="008664C4"/>
    <w:rsid w:val="00866539"/>
    <w:rsid w:val="00866937"/>
    <w:rsid w:val="008669C9"/>
    <w:rsid w:val="00866ADF"/>
    <w:rsid w:val="0086700A"/>
    <w:rsid w:val="00867569"/>
    <w:rsid w:val="00867BD1"/>
    <w:rsid w:val="00867F84"/>
    <w:rsid w:val="00870030"/>
    <w:rsid w:val="008703F3"/>
    <w:rsid w:val="0087045A"/>
    <w:rsid w:val="008706E3"/>
    <w:rsid w:val="00870846"/>
    <w:rsid w:val="008709F2"/>
    <w:rsid w:val="00871844"/>
    <w:rsid w:val="00871A3A"/>
    <w:rsid w:val="00871FDB"/>
    <w:rsid w:val="0087280C"/>
    <w:rsid w:val="00872BFE"/>
    <w:rsid w:val="00872D42"/>
    <w:rsid w:val="00873900"/>
    <w:rsid w:val="0087396F"/>
    <w:rsid w:val="008748F8"/>
    <w:rsid w:val="00874DA6"/>
    <w:rsid w:val="00874FD6"/>
    <w:rsid w:val="00874FE8"/>
    <w:rsid w:val="00875697"/>
    <w:rsid w:val="008756BF"/>
    <w:rsid w:val="008758E9"/>
    <w:rsid w:val="00875D27"/>
    <w:rsid w:val="00875E4E"/>
    <w:rsid w:val="0087640F"/>
    <w:rsid w:val="00876BA9"/>
    <w:rsid w:val="00876C0F"/>
    <w:rsid w:val="00876D1F"/>
    <w:rsid w:val="00877253"/>
    <w:rsid w:val="0087742E"/>
    <w:rsid w:val="0087775F"/>
    <w:rsid w:val="00877DB8"/>
    <w:rsid w:val="00877FAE"/>
    <w:rsid w:val="008802FE"/>
    <w:rsid w:val="00880435"/>
    <w:rsid w:val="00880E48"/>
    <w:rsid w:val="008814AF"/>
    <w:rsid w:val="00881608"/>
    <w:rsid w:val="00881A1F"/>
    <w:rsid w:val="00881A61"/>
    <w:rsid w:val="00881C23"/>
    <w:rsid w:val="0088219F"/>
    <w:rsid w:val="008828E0"/>
    <w:rsid w:val="00882A55"/>
    <w:rsid w:val="00882B7B"/>
    <w:rsid w:val="00882C37"/>
    <w:rsid w:val="0088307A"/>
    <w:rsid w:val="008832F7"/>
    <w:rsid w:val="0088330B"/>
    <w:rsid w:val="0088382A"/>
    <w:rsid w:val="00883BA4"/>
    <w:rsid w:val="00883EC2"/>
    <w:rsid w:val="0088404C"/>
    <w:rsid w:val="008840D3"/>
    <w:rsid w:val="008844D8"/>
    <w:rsid w:val="0088453E"/>
    <w:rsid w:val="00885AAA"/>
    <w:rsid w:val="00885BB5"/>
    <w:rsid w:val="00885F5C"/>
    <w:rsid w:val="008860FC"/>
    <w:rsid w:val="00886254"/>
    <w:rsid w:val="0088637A"/>
    <w:rsid w:val="00886650"/>
    <w:rsid w:val="008866E8"/>
    <w:rsid w:val="00887266"/>
    <w:rsid w:val="008873FF"/>
    <w:rsid w:val="00887616"/>
    <w:rsid w:val="008879BA"/>
    <w:rsid w:val="008904ED"/>
    <w:rsid w:val="00890E77"/>
    <w:rsid w:val="008911AD"/>
    <w:rsid w:val="0089172B"/>
    <w:rsid w:val="008917AE"/>
    <w:rsid w:val="00891986"/>
    <w:rsid w:val="00891B1C"/>
    <w:rsid w:val="00891DE3"/>
    <w:rsid w:val="008923A9"/>
    <w:rsid w:val="008923B7"/>
    <w:rsid w:val="00892575"/>
    <w:rsid w:val="00892D3D"/>
    <w:rsid w:val="008931D4"/>
    <w:rsid w:val="00893522"/>
    <w:rsid w:val="008937FB"/>
    <w:rsid w:val="00893945"/>
    <w:rsid w:val="00893A96"/>
    <w:rsid w:val="00893E45"/>
    <w:rsid w:val="0089427D"/>
    <w:rsid w:val="00894297"/>
    <w:rsid w:val="008947C2"/>
    <w:rsid w:val="0089494D"/>
    <w:rsid w:val="00894E25"/>
    <w:rsid w:val="00894EB9"/>
    <w:rsid w:val="00895297"/>
    <w:rsid w:val="008952E8"/>
    <w:rsid w:val="00895B5E"/>
    <w:rsid w:val="00895C8B"/>
    <w:rsid w:val="00896570"/>
    <w:rsid w:val="00896809"/>
    <w:rsid w:val="00896CAC"/>
    <w:rsid w:val="00896D86"/>
    <w:rsid w:val="00896FF7"/>
    <w:rsid w:val="00897199"/>
    <w:rsid w:val="0089724C"/>
    <w:rsid w:val="008973AA"/>
    <w:rsid w:val="008977FA"/>
    <w:rsid w:val="00897CB1"/>
    <w:rsid w:val="008A05F3"/>
    <w:rsid w:val="008A0B8F"/>
    <w:rsid w:val="008A0FED"/>
    <w:rsid w:val="008A11AB"/>
    <w:rsid w:val="008A1350"/>
    <w:rsid w:val="008A14B2"/>
    <w:rsid w:val="008A191D"/>
    <w:rsid w:val="008A1D89"/>
    <w:rsid w:val="008A1E08"/>
    <w:rsid w:val="008A2678"/>
    <w:rsid w:val="008A26BE"/>
    <w:rsid w:val="008A2810"/>
    <w:rsid w:val="008A352C"/>
    <w:rsid w:val="008A37F0"/>
    <w:rsid w:val="008A395A"/>
    <w:rsid w:val="008A39C6"/>
    <w:rsid w:val="008A3E65"/>
    <w:rsid w:val="008A416E"/>
    <w:rsid w:val="008A4363"/>
    <w:rsid w:val="008A4763"/>
    <w:rsid w:val="008A4EFD"/>
    <w:rsid w:val="008A5BE3"/>
    <w:rsid w:val="008A5C49"/>
    <w:rsid w:val="008A5E26"/>
    <w:rsid w:val="008A617A"/>
    <w:rsid w:val="008A676E"/>
    <w:rsid w:val="008A6E67"/>
    <w:rsid w:val="008A73E0"/>
    <w:rsid w:val="008A78F2"/>
    <w:rsid w:val="008A79D4"/>
    <w:rsid w:val="008A7B0F"/>
    <w:rsid w:val="008A7EDB"/>
    <w:rsid w:val="008A7F1C"/>
    <w:rsid w:val="008B01D0"/>
    <w:rsid w:val="008B07F7"/>
    <w:rsid w:val="008B0C31"/>
    <w:rsid w:val="008B113A"/>
    <w:rsid w:val="008B13CC"/>
    <w:rsid w:val="008B140F"/>
    <w:rsid w:val="008B1981"/>
    <w:rsid w:val="008B1B05"/>
    <w:rsid w:val="008B1D49"/>
    <w:rsid w:val="008B1DFE"/>
    <w:rsid w:val="008B2270"/>
    <w:rsid w:val="008B2391"/>
    <w:rsid w:val="008B24E6"/>
    <w:rsid w:val="008B268A"/>
    <w:rsid w:val="008B2739"/>
    <w:rsid w:val="008B2A0F"/>
    <w:rsid w:val="008B2E27"/>
    <w:rsid w:val="008B3381"/>
    <w:rsid w:val="008B38A9"/>
    <w:rsid w:val="008B3980"/>
    <w:rsid w:val="008B39FB"/>
    <w:rsid w:val="008B3AE5"/>
    <w:rsid w:val="008B45D9"/>
    <w:rsid w:val="008B46D7"/>
    <w:rsid w:val="008B49E9"/>
    <w:rsid w:val="008B4EE5"/>
    <w:rsid w:val="008B579E"/>
    <w:rsid w:val="008B5D3E"/>
    <w:rsid w:val="008B5D9C"/>
    <w:rsid w:val="008B6215"/>
    <w:rsid w:val="008B660C"/>
    <w:rsid w:val="008B709B"/>
    <w:rsid w:val="008B723A"/>
    <w:rsid w:val="008B7AD6"/>
    <w:rsid w:val="008B7EBC"/>
    <w:rsid w:val="008C0180"/>
    <w:rsid w:val="008C0416"/>
    <w:rsid w:val="008C0449"/>
    <w:rsid w:val="008C0553"/>
    <w:rsid w:val="008C0C44"/>
    <w:rsid w:val="008C1445"/>
    <w:rsid w:val="008C19F4"/>
    <w:rsid w:val="008C1EB1"/>
    <w:rsid w:val="008C22F5"/>
    <w:rsid w:val="008C233C"/>
    <w:rsid w:val="008C248E"/>
    <w:rsid w:val="008C257A"/>
    <w:rsid w:val="008C26DB"/>
    <w:rsid w:val="008C272E"/>
    <w:rsid w:val="008C2E4A"/>
    <w:rsid w:val="008C36D7"/>
    <w:rsid w:val="008C375B"/>
    <w:rsid w:val="008C3945"/>
    <w:rsid w:val="008C3B7F"/>
    <w:rsid w:val="008C3FD0"/>
    <w:rsid w:val="008C400C"/>
    <w:rsid w:val="008C409E"/>
    <w:rsid w:val="008C431F"/>
    <w:rsid w:val="008C4BB3"/>
    <w:rsid w:val="008C51CA"/>
    <w:rsid w:val="008C59BD"/>
    <w:rsid w:val="008C5A51"/>
    <w:rsid w:val="008C7297"/>
    <w:rsid w:val="008C795E"/>
    <w:rsid w:val="008D0199"/>
    <w:rsid w:val="008D03E9"/>
    <w:rsid w:val="008D100C"/>
    <w:rsid w:val="008D197C"/>
    <w:rsid w:val="008D1A0F"/>
    <w:rsid w:val="008D1A7E"/>
    <w:rsid w:val="008D1B27"/>
    <w:rsid w:val="008D250A"/>
    <w:rsid w:val="008D2AB8"/>
    <w:rsid w:val="008D3542"/>
    <w:rsid w:val="008D3BF8"/>
    <w:rsid w:val="008D4111"/>
    <w:rsid w:val="008D4994"/>
    <w:rsid w:val="008D57E7"/>
    <w:rsid w:val="008D59DF"/>
    <w:rsid w:val="008D5D16"/>
    <w:rsid w:val="008D5E0B"/>
    <w:rsid w:val="008D6308"/>
    <w:rsid w:val="008D6477"/>
    <w:rsid w:val="008D6677"/>
    <w:rsid w:val="008D6B93"/>
    <w:rsid w:val="008D6BD1"/>
    <w:rsid w:val="008D6EF6"/>
    <w:rsid w:val="008D6F2D"/>
    <w:rsid w:val="008D7602"/>
    <w:rsid w:val="008D76B1"/>
    <w:rsid w:val="008D7D1B"/>
    <w:rsid w:val="008E00C4"/>
    <w:rsid w:val="008E041E"/>
    <w:rsid w:val="008E057D"/>
    <w:rsid w:val="008E0BA9"/>
    <w:rsid w:val="008E13D6"/>
    <w:rsid w:val="008E178E"/>
    <w:rsid w:val="008E1E54"/>
    <w:rsid w:val="008E262B"/>
    <w:rsid w:val="008E285F"/>
    <w:rsid w:val="008E29BA"/>
    <w:rsid w:val="008E2A3A"/>
    <w:rsid w:val="008E2A49"/>
    <w:rsid w:val="008E2A5C"/>
    <w:rsid w:val="008E30E6"/>
    <w:rsid w:val="008E31AC"/>
    <w:rsid w:val="008E359D"/>
    <w:rsid w:val="008E3B5D"/>
    <w:rsid w:val="008E3ECE"/>
    <w:rsid w:val="008E44DF"/>
    <w:rsid w:val="008E476B"/>
    <w:rsid w:val="008E4A04"/>
    <w:rsid w:val="008E527B"/>
    <w:rsid w:val="008E569E"/>
    <w:rsid w:val="008E5BED"/>
    <w:rsid w:val="008E63C8"/>
    <w:rsid w:val="008E6436"/>
    <w:rsid w:val="008E68F5"/>
    <w:rsid w:val="008E6933"/>
    <w:rsid w:val="008E742F"/>
    <w:rsid w:val="008E7B78"/>
    <w:rsid w:val="008E7DEB"/>
    <w:rsid w:val="008F0176"/>
    <w:rsid w:val="008F034F"/>
    <w:rsid w:val="008F0B3E"/>
    <w:rsid w:val="008F0D63"/>
    <w:rsid w:val="008F10E3"/>
    <w:rsid w:val="008F136E"/>
    <w:rsid w:val="008F1380"/>
    <w:rsid w:val="008F18E6"/>
    <w:rsid w:val="008F1B85"/>
    <w:rsid w:val="008F1C1B"/>
    <w:rsid w:val="008F204E"/>
    <w:rsid w:val="008F235A"/>
    <w:rsid w:val="008F2C31"/>
    <w:rsid w:val="008F2D69"/>
    <w:rsid w:val="008F39B3"/>
    <w:rsid w:val="008F3E81"/>
    <w:rsid w:val="008F410D"/>
    <w:rsid w:val="008F435E"/>
    <w:rsid w:val="008F4C9B"/>
    <w:rsid w:val="008F4D43"/>
    <w:rsid w:val="008F4D95"/>
    <w:rsid w:val="008F5083"/>
    <w:rsid w:val="008F5126"/>
    <w:rsid w:val="008F523F"/>
    <w:rsid w:val="008F5420"/>
    <w:rsid w:val="008F567C"/>
    <w:rsid w:val="008F5811"/>
    <w:rsid w:val="008F58EA"/>
    <w:rsid w:val="008F5D0E"/>
    <w:rsid w:val="008F5DFA"/>
    <w:rsid w:val="008F5F79"/>
    <w:rsid w:val="008F60FF"/>
    <w:rsid w:val="008F643A"/>
    <w:rsid w:val="008F65F6"/>
    <w:rsid w:val="008F6DF2"/>
    <w:rsid w:val="008F6E4B"/>
    <w:rsid w:val="008F71AA"/>
    <w:rsid w:val="008F71B7"/>
    <w:rsid w:val="008F72C9"/>
    <w:rsid w:val="008F7819"/>
    <w:rsid w:val="008F7992"/>
    <w:rsid w:val="008F7A09"/>
    <w:rsid w:val="008F7EF6"/>
    <w:rsid w:val="008F7F1F"/>
    <w:rsid w:val="0090011B"/>
    <w:rsid w:val="00900157"/>
    <w:rsid w:val="0090030A"/>
    <w:rsid w:val="00900396"/>
    <w:rsid w:val="009003E6"/>
    <w:rsid w:val="009007B5"/>
    <w:rsid w:val="009009AF"/>
    <w:rsid w:val="0090129A"/>
    <w:rsid w:val="009021D5"/>
    <w:rsid w:val="0090290D"/>
    <w:rsid w:val="009034A8"/>
    <w:rsid w:val="00903783"/>
    <w:rsid w:val="00903A05"/>
    <w:rsid w:val="00903A87"/>
    <w:rsid w:val="00904114"/>
    <w:rsid w:val="00905169"/>
    <w:rsid w:val="00905426"/>
    <w:rsid w:val="009054C5"/>
    <w:rsid w:val="00905538"/>
    <w:rsid w:val="00905585"/>
    <w:rsid w:val="0090576F"/>
    <w:rsid w:val="00905C70"/>
    <w:rsid w:val="00905DE2"/>
    <w:rsid w:val="00905F5B"/>
    <w:rsid w:val="0090646D"/>
    <w:rsid w:val="009067CA"/>
    <w:rsid w:val="00906C07"/>
    <w:rsid w:val="009078C1"/>
    <w:rsid w:val="00907AC3"/>
    <w:rsid w:val="00907B5E"/>
    <w:rsid w:val="0091031F"/>
    <w:rsid w:val="009106EA"/>
    <w:rsid w:val="00910DD2"/>
    <w:rsid w:val="00910DE9"/>
    <w:rsid w:val="009119D2"/>
    <w:rsid w:val="00911FBD"/>
    <w:rsid w:val="0091217B"/>
    <w:rsid w:val="00912252"/>
    <w:rsid w:val="00912D2E"/>
    <w:rsid w:val="009141D1"/>
    <w:rsid w:val="009141FF"/>
    <w:rsid w:val="00914677"/>
    <w:rsid w:val="009146A9"/>
    <w:rsid w:val="00914895"/>
    <w:rsid w:val="00914A3B"/>
    <w:rsid w:val="00914A46"/>
    <w:rsid w:val="00914DEB"/>
    <w:rsid w:val="00914E5E"/>
    <w:rsid w:val="00914FB8"/>
    <w:rsid w:val="0091526B"/>
    <w:rsid w:val="00915692"/>
    <w:rsid w:val="009156DF"/>
    <w:rsid w:val="00915A16"/>
    <w:rsid w:val="00915AE2"/>
    <w:rsid w:val="00916296"/>
    <w:rsid w:val="009166C3"/>
    <w:rsid w:val="009168D2"/>
    <w:rsid w:val="00916D04"/>
    <w:rsid w:val="00917086"/>
    <w:rsid w:val="00917115"/>
    <w:rsid w:val="009173A2"/>
    <w:rsid w:val="00917620"/>
    <w:rsid w:val="009178A4"/>
    <w:rsid w:val="00917C22"/>
    <w:rsid w:val="009202CC"/>
    <w:rsid w:val="009205E6"/>
    <w:rsid w:val="0092070E"/>
    <w:rsid w:val="00920819"/>
    <w:rsid w:val="00920DC6"/>
    <w:rsid w:val="009213A7"/>
    <w:rsid w:val="00921C7C"/>
    <w:rsid w:val="00922CD8"/>
    <w:rsid w:val="00922D07"/>
    <w:rsid w:val="00922EDD"/>
    <w:rsid w:val="00922FC5"/>
    <w:rsid w:val="009232A6"/>
    <w:rsid w:val="0092334C"/>
    <w:rsid w:val="00923431"/>
    <w:rsid w:val="009238F3"/>
    <w:rsid w:val="00923A6F"/>
    <w:rsid w:val="00923DB8"/>
    <w:rsid w:val="00923E62"/>
    <w:rsid w:val="0092521F"/>
    <w:rsid w:val="009253D3"/>
    <w:rsid w:val="00925E1E"/>
    <w:rsid w:val="00926800"/>
    <w:rsid w:val="00926828"/>
    <w:rsid w:val="00926A8B"/>
    <w:rsid w:val="00926E0A"/>
    <w:rsid w:val="00931914"/>
    <w:rsid w:val="009328AA"/>
    <w:rsid w:val="00933290"/>
    <w:rsid w:val="00933681"/>
    <w:rsid w:val="00933B64"/>
    <w:rsid w:val="00933B68"/>
    <w:rsid w:val="00933DC4"/>
    <w:rsid w:val="00934026"/>
    <w:rsid w:val="00934058"/>
    <w:rsid w:val="00934146"/>
    <w:rsid w:val="009348B6"/>
    <w:rsid w:val="00934BCD"/>
    <w:rsid w:val="00935345"/>
    <w:rsid w:val="00935850"/>
    <w:rsid w:val="00935899"/>
    <w:rsid w:val="00935D1C"/>
    <w:rsid w:val="0093632B"/>
    <w:rsid w:val="00936705"/>
    <w:rsid w:val="0093687B"/>
    <w:rsid w:val="00936A85"/>
    <w:rsid w:val="00936DCC"/>
    <w:rsid w:val="00936E77"/>
    <w:rsid w:val="00936E97"/>
    <w:rsid w:val="00937061"/>
    <w:rsid w:val="0093737B"/>
    <w:rsid w:val="00937550"/>
    <w:rsid w:val="00937DA7"/>
    <w:rsid w:val="00937ECE"/>
    <w:rsid w:val="009400A4"/>
    <w:rsid w:val="00940398"/>
    <w:rsid w:val="009413EF"/>
    <w:rsid w:val="00941695"/>
    <w:rsid w:val="00941961"/>
    <w:rsid w:val="00941AFB"/>
    <w:rsid w:val="00942764"/>
    <w:rsid w:val="00942A42"/>
    <w:rsid w:val="00942CBE"/>
    <w:rsid w:val="00942CE3"/>
    <w:rsid w:val="00942FD9"/>
    <w:rsid w:val="009438CF"/>
    <w:rsid w:val="009438E4"/>
    <w:rsid w:val="0094394E"/>
    <w:rsid w:val="00943F3F"/>
    <w:rsid w:val="009442BC"/>
    <w:rsid w:val="00945246"/>
    <w:rsid w:val="00945358"/>
    <w:rsid w:val="00945710"/>
    <w:rsid w:val="00945A0C"/>
    <w:rsid w:val="00945C31"/>
    <w:rsid w:val="0094631D"/>
    <w:rsid w:val="00946850"/>
    <w:rsid w:val="009468DB"/>
    <w:rsid w:val="00946EF4"/>
    <w:rsid w:val="009471B9"/>
    <w:rsid w:val="009478FF"/>
    <w:rsid w:val="00947924"/>
    <w:rsid w:val="009479C3"/>
    <w:rsid w:val="0095007B"/>
    <w:rsid w:val="009508C6"/>
    <w:rsid w:val="00950F56"/>
    <w:rsid w:val="00951BA6"/>
    <w:rsid w:val="00951EF4"/>
    <w:rsid w:val="00951F53"/>
    <w:rsid w:val="00952496"/>
    <w:rsid w:val="00952A86"/>
    <w:rsid w:val="0095332B"/>
    <w:rsid w:val="00953AB2"/>
    <w:rsid w:val="00953D12"/>
    <w:rsid w:val="00953F38"/>
    <w:rsid w:val="00953FE6"/>
    <w:rsid w:val="00954120"/>
    <w:rsid w:val="00954363"/>
    <w:rsid w:val="00954536"/>
    <w:rsid w:val="00954964"/>
    <w:rsid w:val="00954BC8"/>
    <w:rsid w:val="0095545F"/>
    <w:rsid w:val="009554FD"/>
    <w:rsid w:val="009559F9"/>
    <w:rsid w:val="00955AFD"/>
    <w:rsid w:val="00955EF7"/>
    <w:rsid w:val="00956DC1"/>
    <w:rsid w:val="009578AA"/>
    <w:rsid w:val="00957987"/>
    <w:rsid w:val="00957CE1"/>
    <w:rsid w:val="00960627"/>
    <w:rsid w:val="009606B0"/>
    <w:rsid w:val="00960862"/>
    <w:rsid w:val="00960C7E"/>
    <w:rsid w:val="009610ED"/>
    <w:rsid w:val="00961878"/>
    <w:rsid w:val="009619F0"/>
    <w:rsid w:val="009622FE"/>
    <w:rsid w:val="00962740"/>
    <w:rsid w:val="0096291B"/>
    <w:rsid w:val="00962A16"/>
    <w:rsid w:val="00962BF2"/>
    <w:rsid w:val="00962D6F"/>
    <w:rsid w:val="00962FCD"/>
    <w:rsid w:val="009630B0"/>
    <w:rsid w:val="0096334A"/>
    <w:rsid w:val="00963743"/>
    <w:rsid w:val="0096399B"/>
    <w:rsid w:val="00963E7F"/>
    <w:rsid w:val="0096421C"/>
    <w:rsid w:val="009642C4"/>
    <w:rsid w:val="009643B4"/>
    <w:rsid w:val="00964683"/>
    <w:rsid w:val="009646DD"/>
    <w:rsid w:val="009648D8"/>
    <w:rsid w:val="009648F7"/>
    <w:rsid w:val="00964AAE"/>
    <w:rsid w:val="00965285"/>
    <w:rsid w:val="00965CFF"/>
    <w:rsid w:val="00966D7E"/>
    <w:rsid w:val="00967020"/>
    <w:rsid w:val="00967D2A"/>
    <w:rsid w:val="009701BE"/>
    <w:rsid w:val="0097066E"/>
    <w:rsid w:val="00970853"/>
    <w:rsid w:val="0097088A"/>
    <w:rsid w:val="00971024"/>
    <w:rsid w:val="0097132A"/>
    <w:rsid w:val="0097136F"/>
    <w:rsid w:val="00971505"/>
    <w:rsid w:val="00971A75"/>
    <w:rsid w:val="00971B12"/>
    <w:rsid w:val="00971D43"/>
    <w:rsid w:val="00972029"/>
    <w:rsid w:val="00972321"/>
    <w:rsid w:val="00972C9C"/>
    <w:rsid w:val="00972F1C"/>
    <w:rsid w:val="0097364F"/>
    <w:rsid w:val="00973A2D"/>
    <w:rsid w:val="0097415B"/>
    <w:rsid w:val="009745E8"/>
    <w:rsid w:val="009749EE"/>
    <w:rsid w:val="00974A88"/>
    <w:rsid w:val="00974D02"/>
    <w:rsid w:val="009759E1"/>
    <w:rsid w:val="009764EA"/>
    <w:rsid w:val="00976626"/>
    <w:rsid w:val="00976664"/>
    <w:rsid w:val="00976708"/>
    <w:rsid w:val="0097689C"/>
    <w:rsid w:val="00976B95"/>
    <w:rsid w:val="00976CC4"/>
    <w:rsid w:val="00976F71"/>
    <w:rsid w:val="00976FC1"/>
    <w:rsid w:val="00977021"/>
    <w:rsid w:val="009770A6"/>
    <w:rsid w:val="009774AE"/>
    <w:rsid w:val="009777DB"/>
    <w:rsid w:val="00980169"/>
    <w:rsid w:val="009802A5"/>
    <w:rsid w:val="009802E3"/>
    <w:rsid w:val="0098070D"/>
    <w:rsid w:val="009807E4"/>
    <w:rsid w:val="00980882"/>
    <w:rsid w:val="00980B85"/>
    <w:rsid w:val="00980BB6"/>
    <w:rsid w:val="00981C98"/>
    <w:rsid w:val="00982027"/>
    <w:rsid w:val="0098214F"/>
    <w:rsid w:val="009826B2"/>
    <w:rsid w:val="00982978"/>
    <w:rsid w:val="00983254"/>
    <w:rsid w:val="009832CC"/>
    <w:rsid w:val="00983869"/>
    <w:rsid w:val="00983EE1"/>
    <w:rsid w:val="00984092"/>
    <w:rsid w:val="00984543"/>
    <w:rsid w:val="009846AB"/>
    <w:rsid w:val="0098488A"/>
    <w:rsid w:val="00984A1A"/>
    <w:rsid w:val="00984E95"/>
    <w:rsid w:val="00985128"/>
    <w:rsid w:val="00985427"/>
    <w:rsid w:val="00985712"/>
    <w:rsid w:val="009858A8"/>
    <w:rsid w:val="0098682D"/>
    <w:rsid w:val="00986A8F"/>
    <w:rsid w:val="00986B02"/>
    <w:rsid w:val="00986EC6"/>
    <w:rsid w:val="00986F16"/>
    <w:rsid w:val="009870F5"/>
    <w:rsid w:val="009876FF"/>
    <w:rsid w:val="00987851"/>
    <w:rsid w:val="00987EB9"/>
    <w:rsid w:val="00990021"/>
    <w:rsid w:val="009904BD"/>
    <w:rsid w:val="00990850"/>
    <w:rsid w:val="00990DD5"/>
    <w:rsid w:val="00991197"/>
    <w:rsid w:val="009913D4"/>
    <w:rsid w:val="0099161F"/>
    <w:rsid w:val="00991D48"/>
    <w:rsid w:val="00992675"/>
    <w:rsid w:val="009927B6"/>
    <w:rsid w:val="00992BF7"/>
    <w:rsid w:val="00992FD6"/>
    <w:rsid w:val="00993379"/>
    <w:rsid w:val="0099367C"/>
    <w:rsid w:val="00993889"/>
    <w:rsid w:val="0099420D"/>
    <w:rsid w:val="00994454"/>
    <w:rsid w:val="0099446B"/>
    <w:rsid w:val="009945B7"/>
    <w:rsid w:val="0099468D"/>
    <w:rsid w:val="009946F3"/>
    <w:rsid w:val="00994D7F"/>
    <w:rsid w:val="00994DFD"/>
    <w:rsid w:val="009952F7"/>
    <w:rsid w:val="00995620"/>
    <w:rsid w:val="00995BC3"/>
    <w:rsid w:val="00995EC1"/>
    <w:rsid w:val="009960D5"/>
    <w:rsid w:val="00996373"/>
    <w:rsid w:val="009968B1"/>
    <w:rsid w:val="009968DD"/>
    <w:rsid w:val="00996BE5"/>
    <w:rsid w:val="00996CB7"/>
    <w:rsid w:val="00997433"/>
    <w:rsid w:val="0099762F"/>
    <w:rsid w:val="0099764A"/>
    <w:rsid w:val="0099772A"/>
    <w:rsid w:val="00997932"/>
    <w:rsid w:val="00997C13"/>
    <w:rsid w:val="009A027D"/>
    <w:rsid w:val="009A035A"/>
    <w:rsid w:val="009A0409"/>
    <w:rsid w:val="009A058F"/>
    <w:rsid w:val="009A0756"/>
    <w:rsid w:val="009A0B44"/>
    <w:rsid w:val="009A0C84"/>
    <w:rsid w:val="009A0EB2"/>
    <w:rsid w:val="009A1058"/>
    <w:rsid w:val="009A107E"/>
    <w:rsid w:val="009A114F"/>
    <w:rsid w:val="009A1260"/>
    <w:rsid w:val="009A1316"/>
    <w:rsid w:val="009A2124"/>
    <w:rsid w:val="009A24E9"/>
    <w:rsid w:val="009A298C"/>
    <w:rsid w:val="009A2DA2"/>
    <w:rsid w:val="009A3356"/>
    <w:rsid w:val="009A3698"/>
    <w:rsid w:val="009A376F"/>
    <w:rsid w:val="009A3DAC"/>
    <w:rsid w:val="009A3EEA"/>
    <w:rsid w:val="009A420F"/>
    <w:rsid w:val="009A431B"/>
    <w:rsid w:val="009A49A0"/>
    <w:rsid w:val="009A4D2A"/>
    <w:rsid w:val="009A4D9A"/>
    <w:rsid w:val="009A57AB"/>
    <w:rsid w:val="009A5BBF"/>
    <w:rsid w:val="009A60F9"/>
    <w:rsid w:val="009A6190"/>
    <w:rsid w:val="009A649B"/>
    <w:rsid w:val="009A66D0"/>
    <w:rsid w:val="009A6725"/>
    <w:rsid w:val="009A6C25"/>
    <w:rsid w:val="009A6EEC"/>
    <w:rsid w:val="009A71A5"/>
    <w:rsid w:val="009A7524"/>
    <w:rsid w:val="009A78DB"/>
    <w:rsid w:val="009A79AD"/>
    <w:rsid w:val="009A7FF5"/>
    <w:rsid w:val="009B0736"/>
    <w:rsid w:val="009B0BBB"/>
    <w:rsid w:val="009B193E"/>
    <w:rsid w:val="009B1FEF"/>
    <w:rsid w:val="009B201A"/>
    <w:rsid w:val="009B2B4E"/>
    <w:rsid w:val="009B2CA5"/>
    <w:rsid w:val="009B2D78"/>
    <w:rsid w:val="009B30C9"/>
    <w:rsid w:val="009B326F"/>
    <w:rsid w:val="009B3388"/>
    <w:rsid w:val="009B33FA"/>
    <w:rsid w:val="009B375E"/>
    <w:rsid w:val="009B3794"/>
    <w:rsid w:val="009B3A1B"/>
    <w:rsid w:val="009B3B4B"/>
    <w:rsid w:val="009B3C1A"/>
    <w:rsid w:val="009B3E58"/>
    <w:rsid w:val="009B3FD4"/>
    <w:rsid w:val="009B4DD5"/>
    <w:rsid w:val="009B53F4"/>
    <w:rsid w:val="009B5575"/>
    <w:rsid w:val="009B5D4A"/>
    <w:rsid w:val="009B5E4D"/>
    <w:rsid w:val="009B5E62"/>
    <w:rsid w:val="009B6232"/>
    <w:rsid w:val="009B7255"/>
    <w:rsid w:val="009B754A"/>
    <w:rsid w:val="009B75E3"/>
    <w:rsid w:val="009B7789"/>
    <w:rsid w:val="009B7859"/>
    <w:rsid w:val="009B7CBF"/>
    <w:rsid w:val="009C0775"/>
    <w:rsid w:val="009C0822"/>
    <w:rsid w:val="009C0AA3"/>
    <w:rsid w:val="009C1654"/>
    <w:rsid w:val="009C190C"/>
    <w:rsid w:val="009C2292"/>
    <w:rsid w:val="009C2328"/>
    <w:rsid w:val="009C2524"/>
    <w:rsid w:val="009C2A91"/>
    <w:rsid w:val="009C2F81"/>
    <w:rsid w:val="009C2FB1"/>
    <w:rsid w:val="009C33ED"/>
    <w:rsid w:val="009C3E43"/>
    <w:rsid w:val="009C4092"/>
    <w:rsid w:val="009C4CF7"/>
    <w:rsid w:val="009C50FE"/>
    <w:rsid w:val="009C5604"/>
    <w:rsid w:val="009C5EAE"/>
    <w:rsid w:val="009C5F7C"/>
    <w:rsid w:val="009C5FF5"/>
    <w:rsid w:val="009C616D"/>
    <w:rsid w:val="009C63FE"/>
    <w:rsid w:val="009C6580"/>
    <w:rsid w:val="009C668D"/>
    <w:rsid w:val="009C69C9"/>
    <w:rsid w:val="009C6BFB"/>
    <w:rsid w:val="009C6E95"/>
    <w:rsid w:val="009C725E"/>
    <w:rsid w:val="009C7806"/>
    <w:rsid w:val="009C7FD3"/>
    <w:rsid w:val="009C7FF2"/>
    <w:rsid w:val="009D0699"/>
    <w:rsid w:val="009D0701"/>
    <w:rsid w:val="009D0DFB"/>
    <w:rsid w:val="009D10AD"/>
    <w:rsid w:val="009D10B0"/>
    <w:rsid w:val="009D1327"/>
    <w:rsid w:val="009D164D"/>
    <w:rsid w:val="009D24EE"/>
    <w:rsid w:val="009D294C"/>
    <w:rsid w:val="009D2F47"/>
    <w:rsid w:val="009D3790"/>
    <w:rsid w:val="009D39EC"/>
    <w:rsid w:val="009D4183"/>
    <w:rsid w:val="009D47C3"/>
    <w:rsid w:val="009D4876"/>
    <w:rsid w:val="009D4A3A"/>
    <w:rsid w:val="009D4C8A"/>
    <w:rsid w:val="009D5351"/>
    <w:rsid w:val="009D63C7"/>
    <w:rsid w:val="009D6523"/>
    <w:rsid w:val="009D6B3F"/>
    <w:rsid w:val="009D6BA2"/>
    <w:rsid w:val="009D6D55"/>
    <w:rsid w:val="009D6FFA"/>
    <w:rsid w:val="009D72C7"/>
    <w:rsid w:val="009D73FC"/>
    <w:rsid w:val="009D782E"/>
    <w:rsid w:val="009D7A4F"/>
    <w:rsid w:val="009E039D"/>
    <w:rsid w:val="009E05C1"/>
    <w:rsid w:val="009E08E9"/>
    <w:rsid w:val="009E0F59"/>
    <w:rsid w:val="009E15D9"/>
    <w:rsid w:val="009E1735"/>
    <w:rsid w:val="009E1E97"/>
    <w:rsid w:val="009E2052"/>
    <w:rsid w:val="009E285B"/>
    <w:rsid w:val="009E345A"/>
    <w:rsid w:val="009E3710"/>
    <w:rsid w:val="009E3B53"/>
    <w:rsid w:val="009E3CBB"/>
    <w:rsid w:val="009E3F21"/>
    <w:rsid w:val="009E41BE"/>
    <w:rsid w:val="009E4527"/>
    <w:rsid w:val="009E47C9"/>
    <w:rsid w:val="009E4812"/>
    <w:rsid w:val="009E4CBD"/>
    <w:rsid w:val="009E4DCC"/>
    <w:rsid w:val="009E4E2C"/>
    <w:rsid w:val="009E4E63"/>
    <w:rsid w:val="009E503D"/>
    <w:rsid w:val="009E520F"/>
    <w:rsid w:val="009E5515"/>
    <w:rsid w:val="009E5695"/>
    <w:rsid w:val="009E5880"/>
    <w:rsid w:val="009E5B89"/>
    <w:rsid w:val="009E5C39"/>
    <w:rsid w:val="009E5C53"/>
    <w:rsid w:val="009E5D00"/>
    <w:rsid w:val="009E5D2B"/>
    <w:rsid w:val="009E6BB8"/>
    <w:rsid w:val="009E6D3C"/>
    <w:rsid w:val="009E6D73"/>
    <w:rsid w:val="009E6F13"/>
    <w:rsid w:val="009E7692"/>
    <w:rsid w:val="009E7751"/>
    <w:rsid w:val="009E7804"/>
    <w:rsid w:val="009E791F"/>
    <w:rsid w:val="009E7A68"/>
    <w:rsid w:val="009E7AE1"/>
    <w:rsid w:val="009F0B38"/>
    <w:rsid w:val="009F0B5C"/>
    <w:rsid w:val="009F11BF"/>
    <w:rsid w:val="009F14A3"/>
    <w:rsid w:val="009F195D"/>
    <w:rsid w:val="009F19A5"/>
    <w:rsid w:val="009F23C8"/>
    <w:rsid w:val="009F2726"/>
    <w:rsid w:val="009F29BA"/>
    <w:rsid w:val="009F2D90"/>
    <w:rsid w:val="009F2DDC"/>
    <w:rsid w:val="009F35A2"/>
    <w:rsid w:val="009F3714"/>
    <w:rsid w:val="009F3D55"/>
    <w:rsid w:val="009F4353"/>
    <w:rsid w:val="009F44CA"/>
    <w:rsid w:val="009F4561"/>
    <w:rsid w:val="009F4B43"/>
    <w:rsid w:val="009F4C8D"/>
    <w:rsid w:val="009F5040"/>
    <w:rsid w:val="009F504C"/>
    <w:rsid w:val="009F5298"/>
    <w:rsid w:val="009F536E"/>
    <w:rsid w:val="009F57C3"/>
    <w:rsid w:val="009F5844"/>
    <w:rsid w:val="009F58D6"/>
    <w:rsid w:val="009F58FB"/>
    <w:rsid w:val="009F6491"/>
    <w:rsid w:val="009F66A7"/>
    <w:rsid w:val="009F6926"/>
    <w:rsid w:val="009F730C"/>
    <w:rsid w:val="009F763F"/>
    <w:rsid w:val="00A001A1"/>
    <w:rsid w:val="00A005B0"/>
    <w:rsid w:val="00A008F1"/>
    <w:rsid w:val="00A00A63"/>
    <w:rsid w:val="00A01153"/>
    <w:rsid w:val="00A01185"/>
    <w:rsid w:val="00A011D7"/>
    <w:rsid w:val="00A014C0"/>
    <w:rsid w:val="00A01658"/>
    <w:rsid w:val="00A019F1"/>
    <w:rsid w:val="00A01BA6"/>
    <w:rsid w:val="00A01FD9"/>
    <w:rsid w:val="00A0200A"/>
    <w:rsid w:val="00A027DB"/>
    <w:rsid w:val="00A02E27"/>
    <w:rsid w:val="00A02F29"/>
    <w:rsid w:val="00A0325D"/>
    <w:rsid w:val="00A03293"/>
    <w:rsid w:val="00A0359B"/>
    <w:rsid w:val="00A036D2"/>
    <w:rsid w:val="00A0377E"/>
    <w:rsid w:val="00A03811"/>
    <w:rsid w:val="00A03890"/>
    <w:rsid w:val="00A03BCF"/>
    <w:rsid w:val="00A03DC9"/>
    <w:rsid w:val="00A04526"/>
    <w:rsid w:val="00A04DCC"/>
    <w:rsid w:val="00A05091"/>
    <w:rsid w:val="00A057E0"/>
    <w:rsid w:val="00A05ECB"/>
    <w:rsid w:val="00A064D3"/>
    <w:rsid w:val="00A06B1D"/>
    <w:rsid w:val="00A06EF9"/>
    <w:rsid w:val="00A07197"/>
    <w:rsid w:val="00A071B8"/>
    <w:rsid w:val="00A07839"/>
    <w:rsid w:val="00A10219"/>
    <w:rsid w:val="00A10340"/>
    <w:rsid w:val="00A109D8"/>
    <w:rsid w:val="00A10DB9"/>
    <w:rsid w:val="00A113C4"/>
    <w:rsid w:val="00A116F7"/>
    <w:rsid w:val="00A11A85"/>
    <w:rsid w:val="00A11AC4"/>
    <w:rsid w:val="00A11C62"/>
    <w:rsid w:val="00A11EDA"/>
    <w:rsid w:val="00A12219"/>
    <w:rsid w:val="00A12278"/>
    <w:rsid w:val="00A124EF"/>
    <w:rsid w:val="00A12BE9"/>
    <w:rsid w:val="00A1334E"/>
    <w:rsid w:val="00A1358E"/>
    <w:rsid w:val="00A13821"/>
    <w:rsid w:val="00A13CE5"/>
    <w:rsid w:val="00A13D2F"/>
    <w:rsid w:val="00A140B4"/>
    <w:rsid w:val="00A14AB2"/>
    <w:rsid w:val="00A14B55"/>
    <w:rsid w:val="00A15421"/>
    <w:rsid w:val="00A15456"/>
    <w:rsid w:val="00A156C4"/>
    <w:rsid w:val="00A158E6"/>
    <w:rsid w:val="00A159AB"/>
    <w:rsid w:val="00A16134"/>
    <w:rsid w:val="00A16355"/>
    <w:rsid w:val="00A16812"/>
    <w:rsid w:val="00A168A0"/>
    <w:rsid w:val="00A17419"/>
    <w:rsid w:val="00A17F6E"/>
    <w:rsid w:val="00A205E8"/>
    <w:rsid w:val="00A20CF6"/>
    <w:rsid w:val="00A20D1A"/>
    <w:rsid w:val="00A20E6D"/>
    <w:rsid w:val="00A21014"/>
    <w:rsid w:val="00A21BE2"/>
    <w:rsid w:val="00A221A3"/>
    <w:rsid w:val="00A2229E"/>
    <w:rsid w:val="00A223D9"/>
    <w:rsid w:val="00A224DB"/>
    <w:rsid w:val="00A22ED1"/>
    <w:rsid w:val="00A233F9"/>
    <w:rsid w:val="00A238FC"/>
    <w:rsid w:val="00A245F1"/>
    <w:rsid w:val="00A2480A"/>
    <w:rsid w:val="00A249D5"/>
    <w:rsid w:val="00A24A1B"/>
    <w:rsid w:val="00A24D13"/>
    <w:rsid w:val="00A25D2B"/>
    <w:rsid w:val="00A266A1"/>
    <w:rsid w:val="00A269B4"/>
    <w:rsid w:val="00A26BDB"/>
    <w:rsid w:val="00A273FB"/>
    <w:rsid w:val="00A27759"/>
    <w:rsid w:val="00A27ABA"/>
    <w:rsid w:val="00A27C85"/>
    <w:rsid w:val="00A27D18"/>
    <w:rsid w:val="00A301E4"/>
    <w:rsid w:val="00A304E2"/>
    <w:rsid w:val="00A3075B"/>
    <w:rsid w:val="00A3076C"/>
    <w:rsid w:val="00A30B2C"/>
    <w:rsid w:val="00A30E04"/>
    <w:rsid w:val="00A31025"/>
    <w:rsid w:val="00A31123"/>
    <w:rsid w:val="00A31491"/>
    <w:rsid w:val="00A3197E"/>
    <w:rsid w:val="00A319D7"/>
    <w:rsid w:val="00A31D57"/>
    <w:rsid w:val="00A31D5C"/>
    <w:rsid w:val="00A31E66"/>
    <w:rsid w:val="00A325D2"/>
    <w:rsid w:val="00A329BE"/>
    <w:rsid w:val="00A32C08"/>
    <w:rsid w:val="00A330DC"/>
    <w:rsid w:val="00A331DC"/>
    <w:rsid w:val="00A339E7"/>
    <w:rsid w:val="00A33D14"/>
    <w:rsid w:val="00A33E95"/>
    <w:rsid w:val="00A345E1"/>
    <w:rsid w:val="00A348DE"/>
    <w:rsid w:val="00A34B42"/>
    <w:rsid w:val="00A34C8C"/>
    <w:rsid w:val="00A358CC"/>
    <w:rsid w:val="00A35B2E"/>
    <w:rsid w:val="00A35D19"/>
    <w:rsid w:val="00A366EB"/>
    <w:rsid w:val="00A36CC2"/>
    <w:rsid w:val="00A36F71"/>
    <w:rsid w:val="00A36FC9"/>
    <w:rsid w:val="00A370E0"/>
    <w:rsid w:val="00A37125"/>
    <w:rsid w:val="00A37951"/>
    <w:rsid w:val="00A37D8B"/>
    <w:rsid w:val="00A37E2F"/>
    <w:rsid w:val="00A37FE0"/>
    <w:rsid w:val="00A405D3"/>
    <w:rsid w:val="00A40A74"/>
    <w:rsid w:val="00A411C4"/>
    <w:rsid w:val="00A4135E"/>
    <w:rsid w:val="00A4144D"/>
    <w:rsid w:val="00A41750"/>
    <w:rsid w:val="00A4208F"/>
    <w:rsid w:val="00A42365"/>
    <w:rsid w:val="00A42748"/>
    <w:rsid w:val="00A42C25"/>
    <w:rsid w:val="00A43394"/>
    <w:rsid w:val="00A4339F"/>
    <w:rsid w:val="00A43760"/>
    <w:rsid w:val="00A44102"/>
    <w:rsid w:val="00A441B8"/>
    <w:rsid w:val="00A442BE"/>
    <w:rsid w:val="00A445E2"/>
    <w:rsid w:val="00A447F3"/>
    <w:rsid w:val="00A44939"/>
    <w:rsid w:val="00A44954"/>
    <w:rsid w:val="00A4534E"/>
    <w:rsid w:val="00A45350"/>
    <w:rsid w:val="00A453CC"/>
    <w:rsid w:val="00A455E7"/>
    <w:rsid w:val="00A457EC"/>
    <w:rsid w:val="00A45B17"/>
    <w:rsid w:val="00A46A0E"/>
    <w:rsid w:val="00A46A2E"/>
    <w:rsid w:val="00A46F78"/>
    <w:rsid w:val="00A47547"/>
    <w:rsid w:val="00A47556"/>
    <w:rsid w:val="00A4785D"/>
    <w:rsid w:val="00A478B4"/>
    <w:rsid w:val="00A47C03"/>
    <w:rsid w:val="00A47CA6"/>
    <w:rsid w:val="00A50004"/>
    <w:rsid w:val="00A50553"/>
    <w:rsid w:val="00A50A3A"/>
    <w:rsid w:val="00A50B70"/>
    <w:rsid w:val="00A516B0"/>
    <w:rsid w:val="00A51798"/>
    <w:rsid w:val="00A518AB"/>
    <w:rsid w:val="00A51E2D"/>
    <w:rsid w:val="00A52C6F"/>
    <w:rsid w:val="00A52F42"/>
    <w:rsid w:val="00A53003"/>
    <w:rsid w:val="00A536E8"/>
    <w:rsid w:val="00A53956"/>
    <w:rsid w:val="00A53E72"/>
    <w:rsid w:val="00A5443A"/>
    <w:rsid w:val="00A54B3A"/>
    <w:rsid w:val="00A55328"/>
    <w:rsid w:val="00A55521"/>
    <w:rsid w:val="00A55ACA"/>
    <w:rsid w:val="00A55DDE"/>
    <w:rsid w:val="00A563CE"/>
    <w:rsid w:val="00A571B3"/>
    <w:rsid w:val="00A57481"/>
    <w:rsid w:val="00A57A0B"/>
    <w:rsid w:val="00A60024"/>
    <w:rsid w:val="00A60352"/>
    <w:rsid w:val="00A604BB"/>
    <w:rsid w:val="00A61036"/>
    <w:rsid w:val="00A611AD"/>
    <w:rsid w:val="00A61D9C"/>
    <w:rsid w:val="00A62144"/>
    <w:rsid w:val="00A622BE"/>
    <w:rsid w:val="00A62CCC"/>
    <w:rsid w:val="00A62EFA"/>
    <w:rsid w:val="00A6303C"/>
    <w:rsid w:val="00A6362F"/>
    <w:rsid w:val="00A63D97"/>
    <w:rsid w:val="00A63E64"/>
    <w:rsid w:val="00A63ECF"/>
    <w:rsid w:val="00A640D7"/>
    <w:rsid w:val="00A647D7"/>
    <w:rsid w:val="00A649EC"/>
    <w:rsid w:val="00A64B00"/>
    <w:rsid w:val="00A64DCB"/>
    <w:rsid w:val="00A656BE"/>
    <w:rsid w:val="00A65918"/>
    <w:rsid w:val="00A65AB2"/>
    <w:rsid w:val="00A65EB3"/>
    <w:rsid w:val="00A65F60"/>
    <w:rsid w:val="00A66B61"/>
    <w:rsid w:val="00A67118"/>
    <w:rsid w:val="00A6738E"/>
    <w:rsid w:val="00A70244"/>
    <w:rsid w:val="00A705C2"/>
    <w:rsid w:val="00A70D43"/>
    <w:rsid w:val="00A71120"/>
    <w:rsid w:val="00A71769"/>
    <w:rsid w:val="00A71904"/>
    <w:rsid w:val="00A71BB0"/>
    <w:rsid w:val="00A71F0D"/>
    <w:rsid w:val="00A71F2D"/>
    <w:rsid w:val="00A71F8E"/>
    <w:rsid w:val="00A727DB"/>
    <w:rsid w:val="00A72A09"/>
    <w:rsid w:val="00A73341"/>
    <w:rsid w:val="00A733A8"/>
    <w:rsid w:val="00A73529"/>
    <w:rsid w:val="00A738C6"/>
    <w:rsid w:val="00A73A2D"/>
    <w:rsid w:val="00A73E2A"/>
    <w:rsid w:val="00A74192"/>
    <w:rsid w:val="00A74214"/>
    <w:rsid w:val="00A74245"/>
    <w:rsid w:val="00A74611"/>
    <w:rsid w:val="00A7493F"/>
    <w:rsid w:val="00A74DD6"/>
    <w:rsid w:val="00A753D6"/>
    <w:rsid w:val="00A75461"/>
    <w:rsid w:val="00A75E46"/>
    <w:rsid w:val="00A763A0"/>
    <w:rsid w:val="00A766D5"/>
    <w:rsid w:val="00A76963"/>
    <w:rsid w:val="00A77705"/>
    <w:rsid w:val="00A77789"/>
    <w:rsid w:val="00A77C6C"/>
    <w:rsid w:val="00A80322"/>
    <w:rsid w:val="00A803A8"/>
    <w:rsid w:val="00A80548"/>
    <w:rsid w:val="00A80781"/>
    <w:rsid w:val="00A80FB1"/>
    <w:rsid w:val="00A81678"/>
    <w:rsid w:val="00A81713"/>
    <w:rsid w:val="00A81CC1"/>
    <w:rsid w:val="00A81CC8"/>
    <w:rsid w:val="00A81DE8"/>
    <w:rsid w:val="00A829AB"/>
    <w:rsid w:val="00A82A14"/>
    <w:rsid w:val="00A82D5A"/>
    <w:rsid w:val="00A8334B"/>
    <w:rsid w:val="00A837C4"/>
    <w:rsid w:val="00A83AEA"/>
    <w:rsid w:val="00A83AF5"/>
    <w:rsid w:val="00A83B7C"/>
    <w:rsid w:val="00A83CAE"/>
    <w:rsid w:val="00A83F76"/>
    <w:rsid w:val="00A84079"/>
    <w:rsid w:val="00A841FE"/>
    <w:rsid w:val="00A84413"/>
    <w:rsid w:val="00A844AB"/>
    <w:rsid w:val="00A85663"/>
    <w:rsid w:val="00A857A1"/>
    <w:rsid w:val="00A857A6"/>
    <w:rsid w:val="00A85D34"/>
    <w:rsid w:val="00A85F0F"/>
    <w:rsid w:val="00A85FCD"/>
    <w:rsid w:val="00A8625A"/>
    <w:rsid w:val="00A86272"/>
    <w:rsid w:val="00A86747"/>
    <w:rsid w:val="00A86E9F"/>
    <w:rsid w:val="00A875F4"/>
    <w:rsid w:val="00A879AB"/>
    <w:rsid w:val="00A879CC"/>
    <w:rsid w:val="00A87BEB"/>
    <w:rsid w:val="00A9158D"/>
    <w:rsid w:val="00A917F0"/>
    <w:rsid w:val="00A91B87"/>
    <w:rsid w:val="00A91C05"/>
    <w:rsid w:val="00A91C21"/>
    <w:rsid w:val="00A92847"/>
    <w:rsid w:val="00A92950"/>
    <w:rsid w:val="00A9326B"/>
    <w:rsid w:val="00A933E4"/>
    <w:rsid w:val="00A9346E"/>
    <w:rsid w:val="00A937C9"/>
    <w:rsid w:val="00A93BD0"/>
    <w:rsid w:val="00A93D12"/>
    <w:rsid w:val="00A9427F"/>
    <w:rsid w:val="00A94C4A"/>
    <w:rsid w:val="00A954EC"/>
    <w:rsid w:val="00A958D0"/>
    <w:rsid w:val="00A9599B"/>
    <w:rsid w:val="00A964C2"/>
    <w:rsid w:val="00A96B36"/>
    <w:rsid w:val="00A96BA3"/>
    <w:rsid w:val="00A96E90"/>
    <w:rsid w:val="00A9723B"/>
    <w:rsid w:val="00A977FE"/>
    <w:rsid w:val="00A979E4"/>
    <w:rsid w:val="00A97B4D"/>
    <w:rsid w:val="00A97BAA"/>
    <w:rsid w:val="00A97BFC"/>
    <w:rsid w:val="00A97FCC"/>
    <w:rsid w:val="00AA007A"/>
    <w:rsid w:val="00AA00F2"/>
    <w:rsid w:val="00AA02E3"/>
    <w:rsid w:val="00AA0313"/>
    <w:rsid w:val="00AA053F"/>
    <w:rsid w:val="00AA0936"/>
    <w:rsid w:val="00AA1A52"/>
    <w:rsid w:val="00AA1D08"/>
    <w:rsid w:val="00AA1F57"/>
    <w:rsid w:val="00AA2492"/>
    <w:rsid w:val="00AA25AB"/>
    <w:rsid w:val="00AA2729"/>
    <w:rsid w:val="00AA3637"/>
    <w:rsid w:val="00AA3B1C"/>
    <w:rsid w:val="00AA4778"/>
    <w:rsid w:val="00AA488D"/>
    <w:rsid w:val="00AA4B0B"/>
    <w:rsid w:val="00AA4B9B"/>
    <w:rsid w:val="00AA4C16"/>
    <w:rsid w:val="00AA507E"/>
    <w:rsid w:val="00AA5A6B"/>
    <w:rsid w:val="00AA5ABC"/>
    <w:rsid w:val="00AA5FE1"/>
    <w:rsid w:val="00AA63BD"/>
    <w:rsid w:val="00AA68BE"/>
    <w:rsid w:val="00AA6D3C"/>
    <w:rsid w:val="00AA6DED"/>
    <w:rsid w:val="00AA6FA9"/>
    <w:rsid w:val="00AA7668"/>
    <w:rsid w:val="00AA7A44"/>
    <w:rsid w:val="00AA7E34"/>
    <w:rsid w:val="00AA7EC6"/>
    <w:rsid w:val="00AB01D6"/>
    <w:rsid w:val="00AB067E"/>
    <w:rsid w:val="00AB06D4"/>
    <w:rsid w:val="00AB078B"/>
    <w:rsid w:val="00AB0AAD"/>
    <w:rsid w:val="00AB156C"/>
    <w:rsid w:val="00AB191A"/>
    <w:rsid w:val="00AB1B85"/>
    <w:rsid w:val="00AB1F63"/>
    <w:rsid w:val="00AB295A"/>
    <w:rsid w:val="00AB2FA0"/>
    <w:rsid w:val="00AB312B"/>
    <w:rsid w:val="00AB320A"/>
    <w:rsid w:val="00AB3253"/>
    <w:rsid w:val="00AB33E7"/>
    <w:rsid w:val="00AB3421"/>
    <w:rsid w:val="00AB34C4"/>
    <w:rsid w:val="00AB38B1"/>
    <w:rsid w:val="00AB3DD2"/>
    <w:rsid w:val="00AB3FB2"/>
    <w:rsid w:val="00AB415C"/>
    <w:rsid w:val="00AB4634"/>
    <w:rsid w:val="00AB47A4"/>
    <w:rsid w:val="00AB48EC"/>
    <w:rsid w:val="00AB4E3B"/>
    <w:rsid w:val="00AB4F8C"/>
    <w:rsid w:val="00AB4FB3"/>
    <w:rsid w:val="00AB5117"/>
    <w:rsid w:val="00AB55B2"/>
    <w:rsid w:val="00AB5799"/>
    <w:rsid w:val="00AB57F9"/>
    <w:rsid w:val="00AB61C9"/>
    <w:rsid w:val="00AB64FA"/>
    <w:rsid w:val="00AB6A49"/>
    <w:rsid w:val="00AB71A0"/>
    <w:rsid w:val="00AB72D1"/>
    <w:rsid w:val="00AB7402"/>
    <w:rsid w:val="00AB7AC5"/>
    <w:rsid w:val="00AC0301"/>
    <w:rsid w:val="00AC03D7"/>
    <w:rsid w:val="00AC048C"/>
    <w:rsid w:val="00AC0B58"/>
    <w:rsid w:val="00AC10AF"/>
    <w:rsid w:val="00AC110C"/>
    <w:rsid w:val="00AC11F7"/>
    <w:rsid w:val="00AC394C"/>
    <w:rsid w:val="00AC3CAB"/>
    <w:rsid w:val="00AC45C1"/>
    <w:rsid w:val="00AC4721"/>
    <w:rsid w:val="00AC4AA0"/>
    <w:rsid w:val="00AC4F92"/>
    <w:rsid w:val="00AC5867"/>
    <w:rsid w:val="00AC606C"/>
    <w:rsid w:val="00AC62DC"/>
    <w:rsid w:val="00AC63E5"/>
    <w:rsid w:val="00AC67E1"/>
    <w:rsid w:val="00AC686D"/>
    <w:rsid w:val="00AC6CF6"/>
    <w:rsid w:val="00AC75DE"/>
    <w:rsid w:val="00AC7693"/>
    <w:rsid w:val="00AC7E43"/>
    <w:rsid w:val="00AD038F"/>
    <w:rsid w:val="00AD08CD"/>
    <w:rsid w:val="00AD0B7B"/>
    <w:rsid w:val="00AD103E"/>
    <w:rsid w:val="00AD114D"/>
    <w:rsid w:val="00AD1372"/>
    <w:rsid w:val="00AD13B0"/>
    <w:rsid w:val="00AD14B5"/>
    <w:rsid w:val="00AD1782"/>
    <w:rsid w:val="00AD1A75"/>
    <w:rsid w:val="00AD1BEF"/>
    <w:rsid w:val="00AD1F20"/>
    <w:rsid w:val="00AD215F"/>
    <w:rsid w:val="00AD25BE"/>
    <w:rsid w:val="00AD26B0"/>
    <w:rsid w:val="00AD2F3C"/>
    <w:rsid w:val="00AD35C6"/>
    <w:rsid w:val="00AD3667"/>
    <w:rsid w:val="00AD36BD"/>
    <w:rsid w:val="00AD392C"/>
    <w:rsid w:val="00AD393D"/>
    <w:rsid w:val="00AD3A80"/>
    <w:rsid w:val="00AD3DED"/>
    <w:rsid w:val="00AD3F16"/>
    <w:rsid w:val="00AD3FB2"/>
    <w:rsid w:val="00AD5635"/>
    <w:rsid w:val="00AD56AA"/>
    <w:rsid w:val="00AD5CC9"/>
    <w:rsid w:val="00AD66B2"/>
    <w:rsid w:val="00AD690D"/>
    <w:rsid w:val="00AD69A6"/>
    <w:rsid w:val="00AD6EF5"/>
    <w:rsid w:val="00AD7434"/>
    <w:rsid w:val="00AD74FD"/>
    <w:rsid w:val="00AD7BA3"/>
    <w:rsid w:val="00AD7C1B"/>
    <w:rsid w:val="00AD7F53"/>
    <w:rsid w:val="00AE00FB"/>
    <w:rsid w:val="00AE0703"/>
    <w:rsid w:val="00AE0B00"/>
    <w:rsid w:val="00AE0C61"/>
    <w:rsid w:val="00AE0CDC"/>
    <w:rsid w:val="00AE1401"/>
    <w:rsid w:val="00AE1B57"/>
    <w:rsid w:val="00AE1D96"/>
    <w:rsid w:val="00AE1E09"/>
    <w:rsid w:val="00AE1F38"/>
    <w:rsid w:val="00AE2070"/>
    <w:rsid w:val="00AE2071"/>
    <w:rsid w:val="00AE227C"/>
    <w:rsid w:val="00AE28A2"/>
    <w:rsid w:val="00AE28E0"/>
    <w:rsid w:val="00AE2A53"/>
    <w:rsid w:val="00AE2E00"/>
    <w:rsid w:val="00AE2EA6"/>
    <w:rsid w:val="00AE3465"/>
    <w:rsid w:val="00AE3525"/>
    <w:rsid w:val="00AE3A57"/>
    <w:rsid w:val="00AE41DA"/>
    <w:rsid w:val="00AE4295"/>
    <w:rsid w:val="00AE435E"/>
    <w:rsid w:val="00AE4408"/>
    <w:rsid w:val="00AE473D"/>
    <w:rsid w:val="00AE4A9C"/>
    <w:rsid w:val="00AE4B30"/>
    <w:rsid w:val="00AE4CC8"/>
    <w:rsid w:val="00AE4EF8"/>
    <w:rsid w:val="00AE53B1"/>
    <w:rsid w:val="00AE543C"/>
    <w:rsid w:val="00AE64DC"/>
    <w:rsid w:val="00AE68E2"/>
    <w:rsid w:val="00AE6BB6"/>
    <w:rsid w:val="00AE716D"/>
    <w:rsid w:val="00AE73BC"/>
    <w:rsid w:val="00AE7430"/>
    <w:rsid w:val="00AE75D2"/>
    <w:rsid w:val="00AE79DB"/>
    <w:rsid w:val="00AE7B80"/>
    <w:rsid w:val="00AE7BF9"/>
    <w:rsid w:val="00AE7DA0"/>
    <w:rsid w:val="00AF03CD"/>
    <w:rsid w:val="00AF058F"/>
    <w:rsid w:val="00AF0986"/>
    <w:rsid w:val="00AF09F4"/>
    <w:rsid w:val="00AF0F4B"/>
    <w:rsid w:val="00AF1088"/>
    <w:rsid w:val="00AF15A5"/>
    <w:rsid w:val="00AF19ED"/>
    <w:rsid w:val="00AF1AFF"/>
    <w:rsid w:val="00AF1E9D"/>
    <w:rsid w:val="00AF1F5C"/>
    <w:rsid w:val="00AF212D"/>
    <w:rsid w:val="00AF23CE"/>
    <w:rsid w:val="00AF253B"/>
    <w:rsid w:val="00AF2B5B"/>
    <w:rsid w:val="00AF327A"/>
    <w:rsid w:val="00AF3478"/>
    <w:rsid w:val="00AF39D5"/>
    <w:rsid w:val="00AF3EF9"/>
    <w:rsid w:val="00AF4856"/>
    <w:rsid w:val="00AF4E62"/>
    <w:rsid w:val="00AF517F"/>
    <w:rsid w:val="00AF5589"/>
    <w:rsid w:val="00AF5C94"/>
    <w:rsid w:val="00AF5E03"/>
    <w:rsid w:val="00AF60B7"/>
    <w:rsid w:val="00AF6171"/>
    <w:rsid w:val="00AF6271"/>
    <w:rsid w:val="00AF62F3"/>
    <w:rsid w:val="00AF630E"/>
    <w:rsid w:val="00AF6604"/>
    <w:rsid w:val="00AF6945"/>
    <w:rsid w:val="00AF69C3"/>
    <w:rsid w:val="00AF7DD4"/>
    <w:rsid w:val="00AF7DEF"/>
    <w:rsid w:val="00B001D6"/>
    <w:rsid w:val="00B00357"/>
    <w:rsid w:val="00B00661"/>
    <w:rsid w:val="00B00716"/>
    <w:rsid w:val="00B01950"/>
    <w:rsid w:val="00B01A3F"/>
    <w:rsid w:val="00B01EB9"/>
    <w:rsid w:val="00B02037"/>
    <w:rsid w:val="00B02F2D"/>
    <w:rsid w:val="00B032A5"/>
    <w:rsid w:val="00B03E3C"/>
    <w:rsid w:val="00B03FD8"/>
    <w:rsid w:val="00B043FC"/>
    <w:rsid w:val="00B04523"/>
    <w:rsid w:val="00B0458F"/>
    <w:rsid w:val="00B0473C"/>
    <w:rsid w:val="00B047DF"/>
    <w:rsid w:val="00B04E98"/>
    <w:rsid w:val="00B06084"/>
    <w:rsid w:val="00B061F7"/>
    <w:rsid w:val="00B0645C"/>
    <w:rsid w:val="00B06726"/>
    <w:rsid w:val="00B06A60"/>
    <w:rsid w:val="00B06B76"/>
    <w:rsid w:val="00B06D72"/>
    <w:rsid w:val="00B0792D"/>
    <w:rsid w:val="00B07A0D"/>
    <w:rsid w:val="00B07FE5"/>
    <w:rsid w:val="00B100AC"/>
    <w:rsid w:val="00B101A1"/>
    <w:rsid w:val="00B10279"/>
    <w:rsid w:val="00B10490"/>
    <w:rsid w:val="00B10897"/>
    <w:rsid w:val="00B10DC1"/>
    <w:rsid w:val="00B10EBA"/>
    <w:rsid w:val="00B117A7"/>
    <w:rsid w:val="00B11B00"/>
    <w:rsid w:val="00B12616"/>
    <w:rsid w:val="00B1271D"/>
    <w:rsid w:val="00B1274F"/>
    <w:rsid w:val="00B12824"/>
    <w:rsid w:val="00B1293C"/>
    <w:rsid w:val="00B12965"/>
    <w:rsid w:val="00B12AE9"/>
    <w:rsid w:val="00B13418"/>
    <w:rsid w:val="00B13991"/>
    <w:rsid w:val="00B13B28"/>
    <w:rsid w:val="00B13C38"/>
    <w:rsid w:val="00B14658"/>
    <w:rsid w:val="00B149F1"/>
    <w:rsid w:val="00B14A82"/>
    <w:rsid w:val="00B15744"/>
    <w:rsid w:val="00B15899"/>
    <w:rsid w:val="00B15A5D"/>
    <w:rsid w:val="00B15C28"/>
    <w:rsid w:val="00B165F0"/>
    <w:rsid w:val="00B16772"/>
    <w:rsid w:val="00B16804"/>
    <w:rsid w:val="00B16E89"/>
    <w:rsid w:val="00B1782C"/>
    <w:rsid w:val="00B17C14"/>
    <w:rsid w:val="00B2061E"/>
    <w:rsid w:val="00B206BA"/>
    <w:rsid w:val="00B20B6C"/>
    <w:rsid w:val="00B20BA0"/>
    <w:rsid w:val="00B21845"/>
    <w:rsid w:val="00B220C5"/>
    <w:rsid w:val="00B2224D"/>
    <w:rsid w:val="00B23D81"/>
    <w:rsid w:val="00B25213"/>
    <w:rsid w:val="00B254FB"/>
    <w:rsid w:val="00B257F8"/>
    <w:rsid w:val="00B258C5"/>
    <w:rsid w:val="00B26040"/>
    <w:rsid w:val="00B261E9"/>
    <w:rsid w:val="00B262AD"/>
    <w:rsid w:val="00B26B7F"/>
    <w:rsid w:val="00B26FE0"/>
    <w:rsid w:val="00B27098"/>
    <w:rsid w:val="00B272D7"/>
    <w:rsid w:val="00B27320"/>
    <w:rsid w:val="00B27359"/>
    <w:rsid w:val="00B27821"/>
    <w:rsid w:val="00B27A31"/>
    <w:rsid w:val="00B27B94"/>
    <w:rsid w:val="00B30010"/>
    <w:rsid w:val="00B3014B"/>
    <w:rsid w:val="00B30773"/>
    <w:rsid w:val="00B30C08"/>
    <w:rsid w:val="00B30DD0"/>
    <w:rsid w:val="00B31561"/>
    <w:rsid w:val="00B315E7"/>
    <w:rsid w:val="00B3179D"/>
    <w:rsid w:val="00B31941"/>
    <w:rsid w:val="00B31FB9"/>
    <w:rsid w:val="00B3212E"/>
    <w:rsid w:val="00B324E5"/>
    <w:rsid w:val="00B32877"/>
    <w:rsid w:val="00B3352E"/>
    <w:rsid w:val="00B3375E"/>
    <w:rsid w:val="00B337E1"/>
    <w:rsid w:val="00B33854"/>
    <w:rsid w:val="00B338C1"/>
    <w:rsid w:val="00B338CF"/>
    <w:rsid w:val="00B33905"/>
    <w:rsid w:val="00B33DE6"/>
    <w:rsid w:val="00B34377"/>
    <w:rsid w:val="00B34A4B"/>
    <w:rsid w:val="00B34C6F"/>
    <w:rsid w:val="00B34DBB"/>
    <w:rsid w:val="00B35350"/>
    <w:rsid w:val="00B353E5"/>
    <w:rsid w:val="00B358A5"/>
    <w:rsid w:val="00B359C7"/>
    <w:rsid w:val="00B3625B"/>
    <w:rsid w:val="00B363A2"/>
    <w:rsid w:val="00B365CF"/>
    <w:rsid w:val="00B36A7C"/>
    <w:rsid w:val="00B36D0E"/>
    <w:rsid w:val="00B373B1"/>
    <w:rsid w:val="00B376DB"/>
    <w:rsid w:val="00B37977"/>
    <w:rsid w:val="00B37BEA"/>
    <w:rsid w:val="00B401EC"/>
    <w:rsid w:val="00B403AA"/>
    <w:rsid w:val="00B40BBD"/>
    <w:rsid w:val="00B40C13"/>
    <w:rsid w:val="00B41087"/>
    <w:rsid w:val="00B4120A"/>
    <w:rsid w:val="00B412D2"/>
    <w:rsid w:val="00B41458"/>
    <w:rsid w:val="00B41537"/>
    <w:rsid w:val="00B41F80"/>
    <w:rsid w:val="00B420A2"/>
    <w:rsid w:val="00B424B3"/>
    <w:rsid w:val="00B42D04"/>
    <w:rsid w:val="00B42E4F"/>
    <w:rsid w:val="00B4343F"/>
    <w:rsid w:val="00B435C4"/>
    <w:rsid w:val="00B43856"/>
    <w:rsid w:val="00B438C4"/>
    <w:rsid w:val="00B43A7B"/>
    <w:rsid w:val="00B43C0B"/>
    <w:rsid w:val="00B443B9"/>
    <w:rsid w:val="00B443CA"/>
    <w:rsid w:val="00B44501"/>
    <w:rsid w:val="00B4466D"/>
    <w:rsid w:val="00B44725"/>
    <w:rsid w:val="00B4498F"/>
    <w:rsid w:val="00B44EA7"/>
    <w:rsid w:val="00B45468"/>
    <w:rsid w:val="00B45656"/>
    <w:rsid w:val="00B45707"/>
    <w:rsid w:val="00B45D0F"/>
    <w:rsid w:val="00B4664B"/>
    <w:rsid w:val="00B46D2C"/>
    <w:rsid w:val="00B46E6E"/>
    <w:rsid w:val="00B47747"/>
    <w:rsid w:val="00B47750"/>
    <w:rsid w:val="00B47AA0"/>
    <w:rsid w:val="00B47AF4"/>
    <w:rsid w:val="00B503AC"/>
    <w:rsid w:val="00B505D8"/>
    <w:rsid w:val="00B50A8F"/>
    <w:rsid w:val="00B50C50"/>
    <w:rsid w:val="00B50D39"/>
    <w:rsid w:val="00B510F1"/>
    <w:rsid w:val="00B51221"/>
    <w:rsid w:val="00B5124D"/>
    <w:rsid w:val="00B514AB"/>
    <w:rsid w:val="00B51533"/>
    <w:rsid w:val="00B5166F"/>
    <w:rsid w:val="00B519C1"/>
    <w:rsid w:val="00B51E39"/>
    <w:rsid w:val="00B51EC8"/>
    <w:rsid w:val="00B529BD"/>
    <w:rsid w:val="00B52B99"/>
    <w:rsid w:val="00B53031"/>
    <w:rsid w:val="00B5328C"/>
    <w:rsid w:val="00B5343F"/>
    <w:rsid w:val="00B538CB"/>
    <w:rsid w:val="00B538F4"/>
    <w:rsid w:val="00B53ECB"/>
    <w:rsid w:val="00B53FD1"/>
    <w:rsid w:val="00B54FF9"/>
    <w:rsid w:val="00B5552F"/>
    <w:rsid w:val="00B5553D"/>
    <w:rsid w:val="00B55A9A"/>
    <w:rsid w:val="00B55E51"/>
    <w:rsid w:val="00B55E7C"/>
    <w:rsid w:val="00B562E3"/>
    <w:rsid w:val="00B567D0"/>
    <w:rsid w:val="00B569C1"/>
    <w:rsid w:val="00B56B02"/>
    <w:rsid w:val="00B57199"/>
    <w:rsid w:val="00B57705"/>
    <w:rsid w:val="00B5798B"/>
    <w:rsid w:val="00B57DC3"/>
    <w:rsid w:val="00B600E2"/>
    <w:rsid w:val="00B60341"/>
    <w:rsid w:val="00B604D6"/>
    <w:rsid w:val="00B60529"/>
    <w:rsid w:val="00B60C95"/>
    <w:rsid w:val="00B610BD"/>
    <w:rsid w:val="00B613D4"/>
    <w:rsid w:val="00B61A8A"/>
    <w:rsid w:val="00B61B6A"/>
    <w:rsid w:val="00B61BE0"/>
    <w:rsid w:val="00B61C04"/>
    <w:rsid w:val="00B61E57"/>
    <w:rsid w:val="00B61F46"/>
    <w:rsid w:val="00B6242D"/>
    <w:rsid w:val="00B62622"/>
    <w:rsid w:val="00B6292B"/>
    <w:rsid w:val="00B6293D"/>
    <w:rsid w:val="00B62E2E"/>
    <w:rsid w:val="00B63103"/>
    <w:rsid w:val="00B6324C"/>
    <w:rsid w:val="00B63D29"/>
    <w:rsid w:val="00B63EB9"/>
    <w:rsid w:val="00B63F5E"/>
    <w:rsid w:val="00B64149"/>
    <w:rsid w:val="00B646E2"/>
    <w:rsid w:val="00B64778"/>
    <w:rsid w:val="00B64E70"/>
    <w:rsid w:val="00B64F0E"/>
    <w:rsid w:val="00B6525A"/>
    <w:rsid w:val="00B65497"/>
    <w:rsid w:val="00B65664"/>
    <w:rsid w:val="00B666EA"/>
    <w:rsid w:val="00B66903"/>
    <w:rsid w:val="00B67507"/>
    <w:rsid w:val="00B6766F"/>
    <w:rsid w:val="00B677C0"/>
    <w:rsid w:val="00B67B6C"/>
    <w:rsid w:val="00B67C8A"/>
    <w:rsid w:val="00B70050"/>
    <w:rsid w:val="00B700D8"/>
    <w:rsid w:val="00B7015B"/>
    <w:rsid w:val="00B705E9"/>
    <w:rsid w:val="00B706BE"/>
    <w:rsid w:val="00B707DD"/>
    <w:rsid w:val="00B70A3B"/>
    <w:rsid w:val="00B70B8B"/>
    <w:rsid w:val="00B70BCA"/>
    <w:rsid w:val="00B70EFD"/>
    <w:rsid w:val="00B711FE"/>
    <w:rsid w:val="00B716CF"/>
    <w:rsid w:val="00B71742"/>
    <w:rsid w:val="00B71A3C"/>
    <w:rsid w:val="00B71BC0"/>
    <w:rsid w:val="00B71EA8"/>
    <w:rsid w:val="00B71EC7"/>
    <w:rsid w:val="00B72494"/>
    <w:rsid w:val="00B72875"/>
    <w:rsid w:val="00B7299B"/>
    <w:rsid w:val="00B73148"/>
    <w:rsid w:val="00B73506"/>
    <w:rsid w:val="00B737E3"/>
    <w:rsid w:val="00B7397A"/>
    <w:rsid w:val="00B73B9C"/>
    <w:rsid w:val="00B73C64"/>
    <w:rsid w:val="00B7405C"/>
    <w:rsid w:val="00B74C1E"/>
    <w:rsid w:val="00B74C27"/>
    <w:rsid w:val="00B74D5F"/>
    <w:rsid w:val="00B751D8"/>
    <w:rsid w:val="00B751F1"/>
    <w:rsid w:val="00B7593E"/>
    <w:rsid w:val="00B75CE1"/>
    <w:rsid w:val="00B75E62"/>
    <w:rsid w:val="00B76193"/>
    <w:rsid w:val="00B768E0"/>
    <w:rsid w:val="00B76954"/>
    <w:rsid w:val="00B769B7"/>
    <w:rsid w:val="00B769F7"/>
    <w:rsid w:val="00B76BB0"/>
    <w:rsid w:val="00B7738A"/>
    <w:rsid w:val="00B7767D"/>
    <w:rsid w:val="00B77896"/>
    <w:rsid w:val="00B779F0"/>
    <w:rsid w:val="00B77D1F"/>
    <w:rsid w:val="00B77F26"/>
    <w:rsid w:val="00B803E9"/>
    <w:rsid w:val="00B804A5"/>
    <w:rsid w:val="00B80571"/>
    <w:rsid w:val="00B806FB"/>
    <w:rsid w:val="00B80CA0"/>
    <w:rsid w:val="00B80D87"/>
    <w:rsid w:val="00B80DD4"/>
    <w:rsid w:val="00B811CB"/>
    <w:rsid w:val="00B81563"/>
    <w:rsid w:val="00B81AD0"/>
    <w:rsid w:val="00B81CCE"/>
    <w:rsid w:val="00B82800"/>
    <w:rsid w:val="00B82CEE"/>
    <w:rsid w:val="00B8498F"/>
    <w:rsid w:val="00B84D02"/>
    <w:rsid w:val="00B85217"/>
    <w:rsid w:val="00B859A7"/>
    <w:rsid w:val="00B85F57"/>
    <w:rsid w:val="00B861F3"/>
    <w:rsid w:val="00B86236"/>
    <w:rsid w:val="00B8664D"/>
    <w:rsid w:val="00B86650"/>
    <w:rsid w:val="00B868E2"/>
    <w:rsid w:val="00B86E61"/>
    <w:rsid w:val="00B878CC"/>
    <w:rsid w:val="00B87D2E"/>
    <w:rsid w:val="00B9016A"/>
    <w:rsid w:val="00B917B4"/>
    <w:rsid w:val="00B9190A"/>
    <w:rsid w:val="00B91F86"/>
    <w:rsid w:val="00B92257"/>
    <w:rsid w:val="00B92913"/>
    <w:rsid w:val="00B92A97"/>
    <w:rsid w:val="00B92C0E"/>
    <w:rsid w:val="00B92FA1"/>
    <w:rsid w:val="00B93196"/>
    <w:rsid w:val="00B93672"/>
    <w:rsid w:val="00B9370A"/>
    <w:rsid w:val="00B93E14"/>
    <w:rsid w:val="00B93F47"/>
    <w:rsid w:val="00B940F5"/>
    <w:rsid w:val="00B9458E"/>
    <w:rsid w:val="00B94679"/>
    <w:rsid w:val="00B9493F"/>
    <w:rsid w:val="00B94BAA"/>
    <w:rsid w:val="00B94F46"/>
    <w:rsid w:val="00B9503E"/>
    <w:rsid w:val="00B95424"/>
    <w:rsid w:val="00B95AFF"/>
    <w:rsid w:val="00B95D26"/>
    <w:rsid w:val="00B9605A"/>
    <w:rsid w:val="00B9643F"/>
    <w:rsid w:val="00B96B6B"/>
    <w:rsid w:val="00B9766A"/>
    <w:rsid w:val="00B9770E"/>
    <w:rsid w:val="00B97774"/>
    <w:rsid w:val="00B97AC0"/>
    <w:rsid w:val="00BA009C"/>
    <w:rsid w:val="00BA04ED"/>
    <w:rsid w:val="00BA0CF8"/>
    <w:rsid w:val="00BA129A"/>
    <w:rsid w:val="00BA140A"/>
    <w:rsid w:val="00BA180C"/>
    <w:rsid w:val="00BA1958"/>
    <w:rsid w:val="00BA1F70"/>
    <w:rsid w:val="00BA250B"/>
    <w:rsid w:val="00BA25FC"/>
    <w:rsid w:val="00BA2673"/>
    <w:rsid w:val="00BA2677"/>
    <w:rsid w:val="00BA27DF"/>
    <w:rsid w:val="00BA2AB1"/>
    <w:rsid w:val="00BA2DB8"/>
    <w:rsid w:val="00BA2ECD"/>
    <w:rsid w:val="00BA3279"/>
    <w:rsid w:val="00BA32CB"/>
    <w:rsid w:val="00BA360D"/>
    <w:rsid w:val="00BA3DAA"/>
    <w:rsid w:val="00BA3DB6"/>
    <w:rsid w:val="00BA438E"/>
    <w:rsid w:val="00BA4D31"/>
    <w:rsid w:val="00BA4D4A"/>
    <w:rsid w:val="00BA53C1"/>
    <w:rsid w:val="00BA5865"/>
    <w:rsid w:val="00BA5D20"/>
    <w:rsid w:val="00BA5EBB"/>
    <w:rsid w:val="00BA5EF9"/>
    <w:rsid w:val="00BA66A6"/>
    <w:rsid w:val="00BA673C"/>
    <w:rsid w:val="00BA6E12"/>
    <w:rsid w:val="00BA6E26"/>
    <w:rsid w:val="00BA6EDB"/>
    <w:rsid w:val="00BA6F31"/>
    <w:rsid w:val="00BA704D"/>
    <w:rsid w:val="00BA70A4"/>
    <w:rsid w:val="00BA78B6"/>
    <w:rsid w:val="00BA7A13"/>
    <w:rsid w:val="00BA7AC6"/>
    <w:rsid w:val="00BB0007"/>
    <w:rsid w:val="00BB0096"/>
    <w:rsid w:val="00BB0997"/>
    <w:rsid w:val="00BB14DE"/>
    <w:rsid w:val="00BB1541"/>
    <w:rsid w:val="00BB19C5"/>
    <w:rsid w:val="00BB2134"/>
    <w:rsid w:val="00BB250E"/>
    <w:rsid w:val="00BB2542"/>
    <w:rsid w:val="00BB28ED"/>
    <w:rsid w:val="00BB29C9"/>
    <w:rsid w:val="00BB2C90"/>
    <w:rsid w:val="00BB2FB0"/>
    <w:rsid w:val="00BB2FDE"/>
    <w:rsid w:val="00BB3226"/>
    <w:rsid w:val="00BB32C5"/>
    <w:rsid w:val="00BB35B9"/>
    <w:rsid w:val="00BB3C36"/>
    <w:rsid w:val="00BB3DE4"/>
    <w:rsid w:val="00BB3EC5"/>
    <w:rsid w:val="00BB421C"/>
    <w:rsid w:val="00BB4394"/>
    <w:rsid w:val="00BB4820"/>
    <w:rsid w:val="00BB4C86"/>
    <w:rsid w:val="00BB4F68"/>
    <w:rsid w:val="00BB5414"/>
    <w:rsid w:val="00BB5851"/>
    <w:rsid w:val="00BB5980"/>
    <w:rsid w:val="00BB5EDA"/>
    <w:rsid w:val="00BB63E8"/>
    <w:rsid w:val="00BB67BE"/>
    <w:rsid w:val="00BB74F4"/>
    <w:rsid w:val="00BB7539"/>
    <w:rsid w:val="00BB76D7"/>
    <w:rsid w:val="00BB79AA"/>
    <w:rsid w:val="00BB7AE7"/>
    <w:rsid w:val="00BB7EFF"/>
    <w:rsid w:val="00BC06B9"/>
    <w:rsid w:val="00BC0AB1"/>
    <w:rsid w:val="00BC0B5A"/>
    <w:rsid w:val="00BC0F96"/>
    <w:rsid w:val="00BC12D5"/>
    <w:rsid w:val="00BC1458"/>
    <w:rsid w:val="00BC1CB4"/>
    <w:rsid w:val="00BC2A81"/>
    <w:rsid w:val="00BC2EFE"/>
    <w:rsid w:val="00BC304C"/>
    <w:rsid w:val="00BC39A6"/>
    <w:rsid w:val="00BC39C8"/>
    <w:rsid w:val="00BC3A41"/>
    <w:rsid w:val="00BC433A"/>
    <w:rsid w:val="00BC467B"/>
    <w:rsid w:val="00BC491C"/>
    <w:rsid w:val="00BC4CD8"/>
    <w:rsid w:val="00BC5EBE"/>
    <w:rsid w:val="00BC65BC"/>
    <w:rsid w:val="00BC6C66"/>
    <w:rsid w:val="00BC6D41"/>
    <w:rsid w:val="00BC7143"/>
    <w:rsid w:val="00BC7378"/>
    <w:rsid w:val="00BC75E4"/>
    <w:rsid w:val="00BC7CF9"/>
    <w:rsid w:val="00BC7F5D"/>
    <w:rsid w:val="00BC7FDF"/>
    <w:rsid w:val="00BD05BF"/>
    <w:rsid w:val="00BD071F"/>
    <w:rsid w:val="00BD0F24"/>
    <w:rsid w:val="00BD14CC"/>
    <w:rsid w:val="00BD1800"/>
    <w:rsid w:val="00BD18ED"/>
    <w:rsid w:val="00BD1CA6"/>
    <w:rsid w:val="00BD1E86"/>
    <w:rsid w:val="00BD2283"/>
    <w:rsid w:val="00BD2659"/>
    <w:rsid w:val="00BD27DD"/>
    <w:rsid w:val="00BD27F2"/>
    <w:rsid w:val="00BD3D10"/>
    <w:rsid w:val="00BD3D49"/>
    <w:rsid w:val="00BD3D98"/>
    <w:rsid w:val="00BD3ECC"/>
    <w:rsid w:val="00BD4842"/>
    <w:rsid w:val="00BD4AB2"/>
    <w:rsid w:val="00BD4D4D"/>
    <w:rsid w:val="00BD50DF"/>
    <w:rsid w:val="00BD532B"/>
    <w:rsid w:val="00BD5B5B"/>
    <w:rsid w:val="00BD61C4"/>
    <w:rsid w:val="00BD65E3"/>
    <w:rsid w:val="00BD6639"/>
    <w:rsid w:val="00BD6686"/>
    <w:rsid w:val="00BD6791"/>
    <w:rsid w:val="00BD6CEC"/>
    <w:rsid w:val="00BD70B5"/>
    <w:rsid w:val="00BD721D"/>
    <w:rsid w:val="00BD7407"/>
    <w:rsid w:val="00BD747D"/>
    <w:rsid w:val="00BD7616"/>
    <w:rsid w:val="00BE06F5"/>
    <w:rsid w:val="00BE08AA"/>
    <w:rsid w:val="00BE0B3C"/>
    <w:rsid w:val="00BE1734"/>
    <w:rsid w:val="00BE185B"/>
    <w:rsid w:val="00BE28A8"/>
    <w:rsid w:val="00BE2B09"/>
    <w:rsid w:val="00BE2BD2"/>
    <w:rsid w:val="00BE2E2F"/>
    <w:rsid w:val="00BE352E"/>
    <w:rsid w:val="00BE3746"/>
    <w:rsid w:val="00BE380A"/>
    <w:rsid w:val="00BE3953"/>
    <w:rsid w:val="00BE3A1F"/>
    <w:rsid w:val="00BE416D"/>
    <w:rsid w:val="00BE4AFF"/>
    <w:rsid w:val="00BE4BDC"/>
    <w:rsid w:val="00BE4FA1"/>
    <w:rsid w:val="00BE53FC"/>
    <w:rsid w:val="00BE6475"/>
    <w:rsid w:val="00BE7110"/>
    <w:rsid w:val="00BE71BE"/>
    <w:rsid w:val="00BE74D2"/>
    <w:rsid w:val="00BE7A50"/>
    <w:rsid w:val="00BE7AB9"/>
    <w:rsid w:val="00BF0011"/>
    <w:rsid w:val="00BF0166"/>
    <w:rsid w:val="00BF0B43"/>
    <w:rsid w:val="00BF106D"/>
    <w:rsid w:val="00BF1159"/>
    <w:rsid w:val="00BF1687"/>
    <w:rsid w:val="00BF267D"/>
    <w:rsid w:val="00BF27D5"/>
    <w:rsid w:val="00BF2C6C"/>
    <w:rsid w:val="00BF2E91"/>
    <w:rsid w:val="00BF3426"/>
    <w:rsid w:val="00BF37CF"/>
    <w:rsid w:val="00BF3C83"/>
    <w:rsid w:val="00BF3EF4"/>
    <w:rsid w:val="00BF4187"/>
    <w:rsid w:val="00BF4445"/>
    <w:rsid w:val="00BF4A25"/>
    <w:rsid w:val="00BF4C15"/>
    <w:rsid w:val="00BF5316"/>
    <w:rsid w:val="00BF5486"/>
    <w:rsid w:val="00BF5823"/>
    <w:rsid w:val="00BF5BD8"/>
    <w:rsid w:val="00BF5C56"/>
    <w:rsid w:val="00BF5E94"/>
    <w:rsid w:val="00BF68A0"/>
    <w:rsid w:val="00BF6DEA"/>
    <w:rsid w:val="00C00287"/>
    <w:rsid w:val="00C00633"/>
    <w:rsid w:val="00C00883"/>
    <w:rsid w:val="00C00C26"/>
    <w:rsid w:val="00C00ECC"/>
    <w:rsid w:val="00C01036"/>
    <w:rsid w:val="00C0120D"/>
    <w:rsid w:val="00C018A1"/>
    <w:rsid w:val="00C01A72"/>
    <w:rsid w:val="00C02001"/>
    <w:rsid w:val="00C0234B"/>
    <w:rsid w:val="00C024C9"/>
    <w:rsid w:val="00C026A4"/>
    <w:rsid w:val="00C02A75"/>
    <w:rsid w:val="00C02DA6"/>
    <w:rsid w:val="00C032E8"/>
    <w:rsid w:val="00C034A0"/>
    <w:rsid w:val="00C03B60"/>
    <w:rsid w:val="00C03C2F"/>
    <w:rsid w:val="00C043FE"/>
    <w:rsid w:val="00C05200"/>
    <w:rsid w:val="00C05FCE"/>
    <w:rsid w:val="00C061D4"/>
    <w:rsid w:val="00C0635E"/>
    <w:rsid w:val="00C06831"/>
    <w:rsid w:val="00C06970"/>
    <w:rsid w:val="00C06BD4"/>
    <w:rsid w:val="00C06D0C"/>
    <w:rsid w:val="00C06F1E"/>
    <w:rsid w:val="00C0719B"/>
    <w:rsid w:val="00C071A3"/>
    <w:rsid w:val="00C0728E"/>
    <w:rsid w:val="00C07382"/>
    <w:rsid w:val="00C074D2"/>
    <w:rsid w:val="00C0760E"/>
    <w:rsid w:val="00C077B5"/>
    <w:rsid w:val="00C07A73"/>
    <w:rsid w:val="00C07BD4"/>
    <w:rsid w:val="00C07C56"/>
    <w:rsid w:val="00C1031E"/>
    <w:rsid w:val="00C10972"/>
    <w:rsid w:val="00C10D40"/>
    <w:rsid w:val="00C10EFA"/>
    <w:rsid w:val="00C11216"/>
    <w:rsid w:val="00C113B6"/>
    <w:rsid w:val="00C114C1"/>
    <w:rsid w:val="00C115BE"/>
    <w:rsid w:val="00C117F4"/>
    <w:rsid w:val="00C11B51"/>
    <w:rsid w:val="00C127DF"/>
    <w:rsid w:val="00C12801"/>
    <w:rsid w:val="00C12F2E"/>
    <w:rsid w:val="00C13435"/>
    <w:rsid w:val="00C13614"/>
    <w:rsid w:val="00C13ADA"/>
    <w:rsid w:val="00C13AED"/>
    <w:rsid w:val="00C14006"/>
    <w:rsid w:val="00C1409D"/>
    <w:rsid w:val="00C1432F"/>
    <w:rsid w:val="00C148E3"/>
    <w:rsid w:val="00C149B5"/>
    <w:rsid w:val="00C14E9C"/>
    <w:rsid w:val="00C152CE"/>
    <w:rsid w:val="00C15472"/>
    <w:rsid w:val="00C15888"/>
    <w:rsid w:val="00C15D8A"/>
    <w:rsid w:val="00C160F8"/>
    <w:rsid w:val="00C16875"/>
    <w:rsid w:val="00C16992"/>
    <w:rsid w:val="00C16E30"/>
    <w:rsid w:val="00C16F08"/>
    <w:rsid w:val="00C16FAF"/>
    <w:rsid w:val="00C171E1"/>
    <w:rsid w:val="00C17658"/>
    <w:rsid w:val="00C179E2"/>
    <w:rsid w:val="00C17B30"/>
    <w:rsid w:val="00C17EB8"/>
    <w:rsid w:val="00C204D2"/>
    <w:rsid w:val="00C206A7"/>
    <w:rsid w:val="00C20748"/>
    <w:rsid w:val="00C209CC"/>
    <w:rsid w:val="00C20DE1"/>
    <w:rsid w:val="00C21154"/>
    <w:rsid w:val="00C2134E"/>
    <w:rsid w:val="00C21D2A"/>
    <w:rsid w:val="00C21F15"/>
    <w:rsid w:val="00C2201D"/>
    <w:rsid w:val="00C22286"/>
    <w:rsid w:val="00C22B92"/>
    <w:rsid w:val="00C22D98"/>
    <w:rsid w:val="00C22F4B"/>
    <w:rsid w:val="00C23562"/>
    <w:rsid w:val="00C2377A"/>
    <w:rsid w:val="00C23D6D"/>
    <w:rsid w:val="00C23FC7"/>
    <w:rsid w:val="00C2403F"/>
    <w:rsid w:val="00C24125"/>
    <w:rsid w:val="00C24924"/>
    <w:rsid w:val="00C24A00"/>
    <w:rsid w:val="00C2529C"/>
    <w:rsid w:val="00C25695"/>
    <w:rsid w:val="00C26249"/>
    <w:rsid w:val="00C26D06"/>
    <w:rsid w:val="00C26D7C"/>
    <w:rsid w:val="00C26DB2"/>
    <w:rsid w:val="00C26FEF"/>
    <w:rsid w:val="00C27173"/>
    <w:rsid w:val="00C2775A"/>
    <w:rsid w:val="00C279B5"/>
    <w:rsid w:val="00C30342"/>
    <w:rsid w:val="00C30917"/>
    <w:rsid w:val="00C30E8A"/>
    <w:rsid w:val="00C327AE"/>
    <w:rsid w:val="00C329AF"/>
    <w:rsid w:val="00C32E16"/>
    <w:rsid w:val="00C32EBF"/>
    <w:rsid w:val="00C332AB"/>
    <w:rsid w:val="00C333DA"/>
    <w:rsid w:val="00C333FD"/>
    <w:rsid w:val="00C3459E"/>
    <w:rsid w:val="00C34914"/>
    <w:rsid w:val="00C35A88"/>
    <w:rsid w:val="00C35AC2"/>
    <w:rsid w:val="00C35B6D"/>
    <w:rsid w:val="00C361AB"/>
    <w:rsid w:val="00C36327"/>
    <w:rsid w:val="00C3645D"/>
    <w:rsid w:val="00C36550"/>
    <w:rsid w:val="00C3679E"/>
    <w:rsid w:val="00C368FE"/>
    <w:rsid w:val="00C36B97"/>
    <w:rsid w:val="00C37203"/>
    <w:rsid w:val="00C375A4"/>
    <w:rsid w:val="00C377B9"/>
    <w:rsid w:val="00C4008A"/>
    <w:rsid w:val="00C40335"/>
    <w:rsid w:val="00C40419"/>
    <w:rsid w:val="00C40557"/>
    <w:rsid w:val="00C406CC"/>
    <w:rsid w:val="00C40840"/>
    <w:rsid w:val="00C40AD6"/>
    <w:rsid w:val="00C40E46"/>
    <w:rsid w:val="00C417A6"/>
    <w:rsid w:val="00C419F7"/>
    <w:rsid w:val="00C42853"/>
    <w:rsid w:val="00C42998"/>
    <w:rsid w:val="00C42CA7"/>
    <w:rsid w:val="00C42DE4"/>
    <w:rsid w:val="00C42F22"/>
    <w:rsid w:val="00C430E8"/>
    <w:rsid w:val="00C4321F"/>
    <w:rsid w:val="00C4374A"/>
    <w:rsid w:val="00C43B19"/>
    <w:rsid w:val="00C43B7D"/>
    <w:rsid w:val="00C43C67"/>
    <w:rsid w:val="00C43CEA"/>
    <w:rsid w:val="00C43F6C"/>
    <w:rsid w:val="00C43FA6"/>
    <w:rsid w:val="00C441A1"/>
    <w:rsid w:val="00C44BDB"/>
    <w:rsid w:val="00C44CE6"/>
    <w:rsid w:val="00C452B1"/>
    <w:rsid w:val="00C458E9"/>
    <w:rsid w:val="00C4593A"/>
    <w:rsid w:val="00C465DB"/>
    <w:rsid w:val="00C46911"/>
    <w:rsid w:val="00C46AFD"/>
    <w:rsid w:val="00C46DDB"/>
    <w:rsid w:val="00C46E53"/>
    <w:rsid w:val="00C46F47"/>
    <w:rsid w:val="00C472A4"/>
    <w:rsid w:val="00C474BD"/>
    <w:rsid w:val="00C4766B"/>
    <w:rsid w:val="00C4791E"/>
    <w:rsid w:val="00C479A1"/>
    <w:rsid w:val="00C50433"/>
    <w:rsid w:val="00C50628"/>
    <w:rsid w:val="00C50B47"/>
    <w:rsid w:val="00C50D16"/>
    <w:rsid w:val="00C5103F"/>
    <w:rsid w:val="00C5175D"/>
    <w:rsid w:val="00C517CC"/>
    <w:rsid w:val="00C518B1"/>
    <w:rsid w:val="00C51C2D"/>
    <w:rsid w:val="00C5232E"/>
    <w:rsid w:val="00C527F2"/>
    <w:rsid w:val="00C52893"/>
    <w:rsid w:val="00C52930"/>
    <w:rsid w:val="00C52A3F"/>
    <w:rsid w:val="00C5308A"/>
    <w:rsid w:val="00C53771"/>
    <w:rsid w:val="00C53808"/>
    <w:rsid w:val="00C541CD"/>
    <w:rsid w:val="00C543FA"/>
    <w:rsid w:val="00C54804"/>
    <w:rsid w:val="00C54BB4"/>
    <w:rsid w:val="00C54D9A"/>
    <w:rsid w:val="00C552B7"/>
    <w:rsid w:val="00C55813"/>
    <w:rsid w:val="00C55A05"/>
    <w:rsid w:val="00C55AB4"/>
    <w:rsid w:val="00C55E74"/>
    <w:rsid w:val="00C55F9D"/>
    <w:rsid w:val="00C56A84"/>
    <w:rsid w:val="00C56C1B"/>
    <w:rsid w:val="00C56CB5"/>
    <w:rsid w:val="00C579EA"/>
    <w:rsid w:val="00C57EB2"/>
    <w:rsid w:val="00C57F6D"/>
    <w:rsid w:val="00C60053"/>
    <w:rsid w:val="00C60174"/>
    <w:rsid w:val="00C602DF"/>
    <w:rsid w:val="00C609C4"/>
    <w:rsid w:val="00C613A1"/>
    <w:rsid w:val="00C613EB"/>
    <w:rsid w:val="00C6212F"/>
    <w:rsid w:val="00C62449"/>
    <w:rsid w:val="00C6307D"/>
    <w:rsid w:val="00C63E9D"/>
    <w:rsid w:val="00C64014"/>
    <w:rsid w:val="00C643A1"/>
    <w:rsid w:val="00C647F1"/>
    <w:rsid w:val="00C64A02"/>
    <w:rsid w:val="00C64F9F"/>
    <w:rsid w:val="00C6505A"/>
    <w:rsid w:val="00C65795"/>
    <w:rsid w:val="00C65C41"/>
    <w:rsid w:val="00C65FA3"/>
    <w:rsid w:val="00C65FC4"/>
    <w:rsid w:val="00C661B5"/>
    <w:rsid w:val="00C6666C"/>
    <w:rsid w:val="00C66A8D"/>
    <w:rsid w:val="00C66F6C"/>
    <w:rsid w:val="00C67F70"/>
    <w:rsid w:val="00C7041A"/>
    <w:rsid w:val="00C707BD"/>
    <w:rsid w:val="00C70BD4"/>
    <w:rsid w:val="00C715E6"/>
    <w:rsid w:val="00C719FC"/>
    <w:rsid w:val="00C71F47"/>
    <w:rsid w:val="00C71FA0"/>
    <w:rsid w:val="00C729CA"/>
    <w:rsid w:val="00C730D9"/>
    <w:rsid w:val="00C741FD"/>
    <w:rsid w:val="00C7456D"/>
    <w:rsid w:val="00C7467B"/>
    <w:rsid w:val="00C74B36"/>
    <w:rsid w:val="00C74BBE"/>
    <w:rsid w:val="00C74E93"/>
    <w:rsid w:val="00C75256"/>
    <w:rsid w:val="00C757C3"/>
    <w:rsid w:val="00C75A47"/>
    <w:rsid w:val="00C75B84"/>
    <w:rsid w:val="00C76252"/>
    <w:rsid w:val="00C764D3"/>
    <w:rsid w:val="00C76552"/>
    <w:rsid w:val="00C7693C"/>
    <w:rsid w:val="00C76A71"/>
    <w:rsid w:val="00C76AEB"/>
    <w:rsid w:val="00C76B4C"/>
    <w:rsid w:val="00C76C68"/>
    <w:rsid w:val="00C76D11"/>
    <w:rsid w:val="00C76F22"/>
    <w:rsid w:val="00C772A9"/>
    <w:rsid w:val="00C77566"/>
    <w:rsid w:val="00C7762D"/>
    <w:rsid w:val="00C778FA"/>
    <w:rsid w:val="00C77C83"/>
    <w:rsid w:val="00C80024"/>
    <w:rsid w:val="00C80109"/>
    <w:rsid w:val="00C80220"/>
    <w:rsid w:val="00C80945"/>
    <w:rsid w:val="00C8094F"/>
    <w:rsid w:val="00C80E2B"/>
    <w:rsid w:val="00C80F07"/>
    <w:rsid w:val="00C81B0D"/>
    <w:rsid w:val="00C81BD1"/>
    <w:rsid w:val="00C81C1A"/>
    <w:rsid w:val="00C81E96"/>
    <w:rsid w:val="00C8200E"/>
    <w:rsid w:val="00C82440"/>
    <w:rsid w:val="00C8276C"/>
    <w:rsid w:val="00C829E5"/>
    <w:rsid w:val="00C82B34"/>
    <w:rsid w:val="00C82B69"/>
    <w:rsid w:val="00C835B0"/>
    <w:rsid w:val="00C835C9"/>
    <w:rsid w:val="00C8515B"/>
    <w:rsid w:val="00C85AAD"/>
    <w:rsid w:val="00C86782"/>
    <w:rsid w:val="00C868A0"/>
    <w:rsid w:val="00C86B68"/>
    <w:rsid w:val="00C86BCF"/>
    <w:rsid w:val="00C86BFE"/>
    <w:rsid w:val="00C86CD7"/>
    <w:rsid w:val="00C86D70"/>
    <w:rsid w:val="00C86F41"/>
    <w:rsid w:val="00C87272"/>
    <w:rsid w:val="00C87580"/>
    <w:rsid w:val="00C87782"/>
    <w:rsid w:val="00C87B86"/>
    <w:rsid w:val="00C87F81"/>
    <w:rsid w:val="00C903C7"/>
    <w:rsid w:val="00C90513"/>
    <w:rsid w:val="00C907ED"/>
    <w:rsid w:val="00C90B0F"/>
    <w:rsid w:val="00C90C5B"/>
    <w:rsid w:val="00C9102E"/>
    <w:rsid w:val="00C911F9"/>
    <w:rsid w:val="00C9135C"/>
    <w:rsid w:val="00C91B78"/>
    <w:rsid w:val="00C9200B"/>
    <w:rsid w:val="00C9266C"/>
    <w:rsid w:val="00C92FD5"/>
    <w:rsid w:val="00C93315"/>
    <w:rsid w:val="00C93ACB"/>
    <w:rsid w:val="00C93D83"/>
    <w:rsid w:val="00C93F57"/>
    <w:rsid w:val="00C944FC"/>
    <w:rsid w:val="00C94801"/>
    <w:rsid w:val="00C95031"/>
    <w:rsid w:val="00C95683"/>
    <w:rsid w:val="00C95CCE"/>
    <w:rsid w:val="00C95E2A"/>
    <w:rsid w:val="00C962D8"/>
    <w:rsid w:val="00C962F2"/>
    <w:rsid w:val="00C9666C"/>
    <w:rsid w:val="00C966A4"/>
    <w:rsid w:val="00C966FF"/>
    <w:rsid w:val="00C96E56"/>
    <w:rsid w:val="00C96EBF"/>
    <w:rsid w:val="00C96F55"/>
    <w:rsid w:val="00C977AF"/>
    <w:rsid w:val="00C977B6"/>
    <w:rsid w:val="00C97DC8"/>
    <w:rsid w:val="00CA010B"/>
    <w:rsid w:val="00CA024A"/>
    <w:rsid w:val="00CA02B0"/>
    <w:rsid w:val="00CA0337"/>
    <w:rsid w:val="00CA0690"/>
    <w:rsid w:val="00CA07D6"/>
    <w:rsid w:val="00CA07EE"/>
    <w:rsid w:val="00CA0878"/>
    <w:rsid w:val="00CA0A44"/>
    <w:rsid w:val="00CA11E0"/>
    <w:rsid w:val="00CA1965"/>
    <w:rsid w:val="00CA1F58"/>
    <w:rsid w:val="00CA22E3"/>
    <w:rsid w:val="00CA2303"/>
    <w:rsid w:val="00CA287B"/>
    <w:rsid w:val="00CA2AF2"/>
    <w:rsid w:val="00CA3D19"/>
    <w:rsid w:val="00CA40C2"/>
    <w:rsid w:val="00CA4693"/>
    <w:rsid w:val="00CA469E"/>
    <w:rsid w:val="00CA47AC"/>
    <w:rsid w:val="00CA4CCF"/>
    <w:rsid w:val="00CA4EC4"/>
    <w:rsid w:val="00CA54B2"/>
    <w:rsid w:val="00CA642B"/>
    <w:rsid w:val="00CA6A70"/>
    <w:rsid w:val="00CA6E55"/>
    <w:rsid w:val="00CA7724"/>
    <w:rsid w:val="00CB0335"/>
    <w:rsid w:val="00CB0738"/>
    <w:rsid w:val="00CB075B"/>
    <w:rsid w:val="00CB0E14"/>
    <w:rsid w:val="00CB0E28"/>
    <w:rsid w:val="00CB1106"/>
    <w:rsid w:val="00CB11B6"/>
    <w:rsid w:val="00CB13F8"/>
    <w:rsid w:val="00CB144B"/>
    <w:rsid w:val="00CB1F77"/>
    <w:rsid w:val="00CB20C5"/>
    <w:rsid w:val="00CB2726"/>
    <w:rsid w:val="00CB286A"/>
    <w:rsid w:val="00CB2AB5"/>
    <w:rsid w:val="00CB2CC5"/>
    <w:rsid w:val="00CB2E63"/>
    <w:rsid w:val="00CB312F"/>
    <w:rsid w:val="00CB36D1"/>
    <w:rsid w:val="00CB3787"/>
    <w:rsid w:val="00CB3905"/>
    <w:rsid w:val="00CB39AF"/>
    <w:rsid w:val="00CB41DB"/>
    <w:rsid w:val="00CB495E"/>
    <w:rsid w:val="00CB4E39"/>
    <w:rsid w:val="00CB4F9D"/>
    <w:rsid w:val="00CB52E8"/>
    <w:rsid w:val="00CB57A1"/>
    <w:rsid w:val="00CB6794"/>
    <w:rsid w:val="00CB680A"/>
    <w:rsid w:val="00CB6CD6"/>
    <w:rsid w:val="00CB6F53"/>
    <w:rsid w:val="00CB705F"/>
    <w:rsid w:val="00CB7273"/>
    <w:rsid w:val="00CB7864"/>
    <w:rsid w:val="00CB792F"/>
    <w:rsid w:val="00CB7AAB"/>
    <w:rsid w:val="00CB7BEF"/>
    <w:rsid w:val="00CC0372"/>
    <w:rsid w:val="00CC037F"/>
    <w:rsid w:val="00CC08CA"/>
    <w:rsid w:val="00CC0934"/>
    <w:rsid w:val="00CC1084"/>
    <w:rsid w:val="00CC152A"/>
    <w:rsid w:val="00CC16AD"/>
    <w:rsid w:val="00CC18C2"/>
    <w:rsid w:val="00CC1EB4"/>
    <w:rsid w:val="00CC210D"/>
    <w:rsid w:val="00CC216A"/>
    <w:rsid w:val="00CC2567"/>
    <w:rsid w:val="00CC28EF"/>
    <w:rsid w:val="00CC388E"/>
    <w:rsid w:val="00CC39AE"/>
    <w:rsid w:val="00CC42A4"/>
    <w:rsid w:val="00CC42AD"/>
    <w:rsid w:val="00CC44D2"/>
    <w:rsid w:val="00CC4B4B"/>
    <w:rsid w:val="00CC52F7"/>
    <w:rsid w:val="00CC596A"/>
    <w:rsid w:val="00CC5CF1"/>
    <w:rsid w:val="00CC5DC4"/>
    <w:rsid w:val="00CC6017"/>
    <w:rsid w:val="00CC63C6"/>
    <w:rsid w:val="00CC64AE"/>
    <w:rsid w:val="00CC664B"/>
    <w:rsid w:val="00CC6B07"/>
    <w:rsid w:val="00CC6B78"/>
    <w:rsid w:val="00CC75A2"/>
    <w:rsid w:val="00CC7722"/>
    <w:rsid w:val="00CC7982"/>
    <w:rsid w:val="00CC7985"/>
    <w:rsid w:val="00CD0449"/>
    <w:rsid w:val="00CD049E"/>
    <w:rsid w:val="00CD0A1C"/>
    <w:rsid w:val="00CD0B59"/>
    <w:rsid w:val="00CD0C28"/>
    <w:rsid w:val="00CD0E6E"/>
    <w:rsid w:val="00CD122F"/>
    <w:rsid w:val="00CD169C"/>
    <w:rsid w:val="00CD1868"/>
    <w:rsid w:val="00CD186A"/>
    <w:rsid w:val="00CD1ABA"/>
    <w:rsid w:val="00CD1AD0"/>
    <w:rsid w:val="00CD1C11"/>
    <w:rsid w:val="00CD2540"/>
    <w:rsid w:val="00CD291D"/>
    <w:rsid w:val="00CD2BA2"/>
    <w:rsid w:val="00CD2FA9"/>
    <w:rsid w:val="00CD3237"/>
    <w:rsid w:val="00CD32DD"/>
    <w:rsid w:val="00CD3C91"/>
    <w:rsid w:val="00CD45F6"/>
    <w:rsid w:val="00CD4815"/>
    <w:rsid w:val="00CD4970"/>
    <w:rsid w:val="00CD4F53"/>
    <w:rsid w:val="00CD4F71"/>
    <w:rsid w:val="00CD5668"/>
    <w:rsid w:val="00CD57F3"/>
    <w:rsid w:val="00CD5A6E"/>
    <w:rsid w:val="00CD5B56"/>
    <w:rsid w:val="00CD643D"/>
    <w:rsid w:val="00CD65EB"/>
    <w:rsid w:val="00CD6880"/>
    <w:rsid w:val="00CD6A38"/>
    <w:rsid w:val="00CD6FEE"/>
    <w:rsid w:val="00CD717C"/>
    <w:rsid w:val="00CD72CD"/>
    <w:rsid w:val="00CD773D"/>
    <w:rsid w:val="00CD792D"/>
    <w:rsid w:val="00CD7A45"/>
    <w:rsid w:val="00CD7DF1"/>
    <w:rsid w:val="00CE0178"/>
    <w:rsid w:val="00CE02BB"/>
    <w:rsid w:val="00CE0699"/>
    <w:rsid w:val="00CE0774"/>
    <w:rsid w:val="00CE0B75"/>
    <w:rsid w:val="00CE0BD9"/>
    <w:rsid w:val="00CE0C40"/>
    <w:rsid w:val="00CE181B"/>
    <w:rsid w:val="00CE1F88"/>
    <w:rsid w:val="00CE24CC"/>
    <w:rsid w:val="00CE2755"/>
    <w:rsid w:val="00CE2974"/>
    <w:rsid w:val="00CE3123"/>
    <w:rsid w:val="00CE3135"/>
    <w:rsid w:val="00CE33AF"/>
    <w:rsid w:val="00CE37A2"/>
    <w:rsid w:val="00CE3866"/>
    <w:rsid w:val="00CE3A9C"/>
    <w:rsid w:val="00CE4394"/>
    <w:rsid w:val="00CE4E4D"/>
    <w:rsid w:val="00CE5540"/>
    <w:rsid w:val="00CE5763"/>
    <w:rsid w:val="00CE5819"/>
    <w:rsid w:val="00CE5B7F"/>
    <w:rsid w:val="00CE5D0F"/>
    <w:rsid w:val="00CE5DE8"/>
    <w:rsid w:val="00CE6432"/>
    <w:rsid w:val="00CE6941"/>
    <w:rsid w:val="00CE6B56"/>
    <w:rsid w:val="00CE6B62"/>
    <w:rsid w:val="00CE7292"/>
    <w:rsid w:val="00CE7565"/>
    <w:rsid w:val="00CE7652"/>
    <w:rsid w:val="00CE7B0A"/>
    <w:rsid w:val="00CE7E32"/>
    <w:rsid w:val="00CE7E6C"/>
    <w:rsid w:val="00CF0223"/>
    <w:rsid w:val="00CF0260"/>
    <w:rsid w:val="00CF07F6"/>
    <w:rsid w:val="00CF08CB"/>
    <w:rsid w:val="00CF0D69"/>
    <w:rsid w:val="00CF22D6"/>
    <w:rsid w:val="00CF2619"/>
    <w:rsid w:val="00CF28C0"/>
    <w:rsid w:val="00CF29CB"/>
    <w:rsid w:val="00CF2DD7"/>
    <w:rsid w:val="00CF2EBF"/>
    <w:rsid w:val="00CF33A3"/>
    <w:rsid w:val="00CF3410"/>
    <w:rsid w:val="00CF3755"/>
    <w:rsid w:val="00CF382B"/>
    <w:rsid w:val="00CF38BB"/>
    <w:rsid w:val="00CF3FBB"/>
    <w:rsid w:val="00CF430A"/>
    <w:rsid w:val="00CF5176"/>
    <w:rsid w:val="00CF5819"/>
    <w:rsid w:val="00CF5FA8"/>
    <w:rsid w:val="00CF6812"/>
    <w:rsid w:val="00CF6B9C"/>
    <w:rsid w:val="00CF6DA3"/>
    <w:rsid w:val="00CF7424"/>
    <w:rsid w:val="00CF7BA0"/>
    <w:rsid w:val="00CF7E2C"/>
    <w:rsid w:val="00D002F7"/>
    <w:rsid w:val="00D01F8A"/>
    <w:rsid w:val="00D01FD9"/>
    <w:rsid w:val="00D02665"/>
    <w:rsid w:val="00D0266D"/>
    <w:rsid w:val="00D026CC"/>
    <w:rsid w:val="00D02753"/>
    <w:rsid w:val="00D02C7B"/>
    <w:rsid w:val="00D02F48"/>
    <w:rsid w:val="00D03373"/>
    <w:rsid w:val="00D03435"/>
    <w:rsid w:val="00D042D4"/>
    <w:rsid w:val="00D048E5"/>
    <w:rsid w:val="00D04E08"/>
    <w:rsid w:val="00D04F59"/>
    <w:rsid w:val="00D05008"/>
    <w:rsid w:val="00D0502F"/>
    <w:rsid w:val="00D0534E"/>
    <w:rsid w:val="00D055F0"/>
    <w:rsid w:val="00D05FCE"/>
    <w:rsid w:val="00D061DD"/>
    <w:rsid w:val="00D06666"/>
    <w:rsid w:val="00D07693"/>
    <w:rsid w:val="00D07A58"/>
    <w:rsid w:val="00D07C92"/>
    <w:rsid w:val="00D07D23"/>
    <w:rsid w:val="00D1028A"/>
    <w:rsid w:val="00D108B3"/>
    <w:rsid w:val="00D10B56"/>
    <w:rsid w:val="00D10B88"/>
    <w:rsid w:val="00D10D54"/>
    <w:rsid w:val="00D10E17"/>
    <w:rsid w:val="00D115C7"/>
    <w:rsid w:val="00D11858"/>
    <w:rsid w:val="00D11AB3"/>
    <w:rsid w:val="00D11D6F"/>
    <w:rsid w:val="00D11DDE"/>
    <w:rsid w:val="00D11E82"/>
    <w:rsid w:val="00D1249F"/>
    <w:rsid w:val="00D1350E"/>
    <w:rsid w:val="00D13760"/>
    <w:rsid w:val="00D13AB0"/>
    <w:rsid w:val="00D13B0E"/>
    <w:rsid w:val="00D14C17"/>
    <w:rsid w:val="00D14EBB"/>
    <w:rsid w:val="00D1501B"/>
    <w:rsid w:val="00D15872"/>
    <w:rsid w:val="00D15AA6"/>
    <w:rsid w:val="00D15ABE"/>
    <w:rsid w:val="00D15C2E"/>
    <w:rsid w:val="00D15C3F"/>
    <w:rsid w:val="00D15D58"/>
    <w:rsid w:val="00D15F4C"/>
    <w:rsid w:val="00D160EC"/>
    <w:rsid w:val="00D165DB"/>
    <w:rsid w:val="00D166EC"/>
    <w:rsid w:val="00D16A4A"/>
    <w:rsid w:val="00D16DDB"/>
    <w:rsid w:val="00D174A8"/>
    <w:rsid w:val="00D17529"/>
    <w:rsid w:val="00D176B5"/>
    <w:rsid w:val="00D176DA"/>
    <w:rsid w:val="00D17B7A"/>
    <w:rsid w:val="00D17BA9"/>
    <w:rsid w:val="00D17CD3"/>
    <w:rsid w:val="00D20460"/>
    <w:rsid w:val="00D20955"/>
    <w:rsid w:val="00D20A9D"/>
    <w:rsid w:val="00D20B04"/>
    <w:rsid w:val="00D210C6"/>
    <w:rsid w:val="00D211F1"/>
    <w:rsid w:val="00D216F5"/>
    <w:rsid w:val="00D2174E"/>
    <w:rsid w:val="00D21D73"/>
    <w:rsid w:val="00D21F9E"/>
    <w:rsid w:val="00D22273"/>
    <w:rsid w:val="00D2238F"/>
    <w:rsid w:val="00D2256C"/>
    <w:rsid w:val="00D2314F"/>
    <w:rsid w:val="00D232E8"/>
    <w:rsid w:val="00D2379A"/>
    <w:rsid w:val="00D23AC8"/>
    <w:rsid w:val="00D23CF8"/>
    <w:rsid w:val="00D23FDE"/>
    <w:rsid w:val="00D2431C"/>
    <w:rsid w:val="00D24452"/>
    <w:rsid w:val="00D24FB9"/>
    <w:rsid w:val="00D254E0"/>
    <w:rsid w:val="00D25DB8"/>
    <w:rsid w:val="00D2606D"/>
    <w:rsid w:val="00D26546"/>
    <w:rsid w:val="00D26827"/>
    <w:rsid w:val="00D26896"/>
    <w:rsid w:val="00D27190"/>
    <w:rsid w:val="00D277D5"/>
    <w:rsid w:val="00D2780C"/>
    <w:rsid w:val="00D27B8C"/>
    <w:rsid w:val="00D27BEA"/>
    <w:rsid w:val="00D27F75"/>
    <w:rsid w:val="00D3018B"/>
    <w:rsid w:val="00D30263"/>
    <w:rsid w:val="00D302DA"/>
    <w:rsid w:val="00D3034A"/>
    <w:rsid w:val="00D3076D"/>
    <w:rsid w:val="00D307AC"/>
    <w:rsid w:val="00D30C3F"/>
    <w:rsid w:val="00D32697"/>
    <w:rsid w:val="00D330B9"/>
    <w:rsid w:val="00D33368"/>
    <w:rsid w:val="00D335D6"/>
    <w:rsid w:val="00D33B80"/>
    <w:rsid w:val="00D33F0A"/>
    <w:rsid w:val="00D3421D"/>
    <w:rsid w:val="00D34911"/>
    <w:rsid w:val="00D34A3A"/>
    <w:rsid w:val="00D34CF7"/>
    <w:rsid w:val="00D34D1F"/>
    <w:rsid w:val="00D34D57"/>
    <w:rsid w:val="00D35263"/>
    <w:rsid w:val="00D35298"/>
    <w:rsid w:val="00D352FC"/>
    <w:rsid w:val="00D356C5"/>
    <w:rsid w:val="00D356F2"/>
    <w:rsid w:val="00D35F1A"/>
    <w:rsid w:val="00D36049"/>
    <w:rsid w:val="00D366C8"/>
    <w:rsid w:val="00D36846"/>
    <w:rsid w:val="00D369E7"/>
    <w:rsid w:val="00D36C55"/>
    <w:rsid w:val="00D36EC7"/>
    <w:rsid w:val="00D37035"/>
    <w:rsid w:val="00D37129"/>
    <w:rsid w:val="00D37A14"/>
    <w:rsid w:val="00D37D22"/>
    <w:rsid w:val="00D4002C"/>
    <w:rsid w:val="00D40377"/>
    <w:rsid w:val="00D40AC7"/>
    <w:rsid w:val="00D415FE"/>
    <w:rsid w:val="00D4160A"/>
    <w:rsid w:val="00D416DB"/>
    <w:rsid w:val="00D416FF"/>
    <w:rsid w:val="00D41BC5"/>
    <w:rsid w:val="00D42643"/>
    <w:rsid w:val="00D428F5"/>
    <w:rsid w:val="00D436DC"/>
    <w:rsid w:val="00D43DE2"/>
    <w:rsid w:val="00D440A1"/>
    <w:rsid w:val="00D443ED"/>
    <w:rsid w:val="00D44D66"/>
    <w:rsid w:val="00D4512C"/>
    <w:rsid w:val="00D45825"/>
    <w:rsid w:val="00D45BB7"/>
    <w:rsid w:val="00D45C1C"/>
    <w:rsid w:val="00D45DD5"/>
    <w:rsid w:val="00D45E8B"/>
    <w:rsid w:val="00D45F8D"/>
    <w:rsid w:val="00D46031"/>
    <w:rsid w:val="00D4621E"/>
    <w:rsid w:val="00D46307"/>
    <w:rsid w:val="00D465B7"/>
    <w:rsid w:val="00D46B52"/>
    <w:rsid w:val="00D472D9"/>
    <w:rsid w:val="00D47A49"/>
    <w:rsid w:val="00D47AE3"/>
    <w:rsid w:val="00D47B19"/>
    <w:rsid w:val="00D47BF0"/>
    <w:rsid w:val="00D50BCE"/>
    <w:rsid w:val="00D511A0"/>
    <w:rsid w:val="00D51662"/>
    <w:rsid w:val="00D518A8"/>
    <w:rsid w:val="00D51B10"/>
    <w:rsid w:val="00D5201D"/>
    <w:rsid w:val="00D529AB"/>
    <w:rsid w:val="00D52A7C"/>
    <w:rsid w:val="00D52BC0"/>
    <w:rsid w:val="00D52E1E"/>
    <w:rsid w:val="00D52F94"/>
    <w:rsid w:val="00D52FCD"/>
    <w:rsid w:val="00D53744"/>
    <w:rsid w:val="00D544D5"/>
    <w:rsid w:val="00D544E1"/>
    <w:rsid w:val="00D546A2"/>
    <w:rsid w:val="00D546B3"/>
    <w:rsid w:val="00D5487D"/>
    <w:rsid w:val="00D548A5"/>
    <w:rsid w:val="00D54AF8"/>
    <w:rsid w:val="00D54BCB"/>
    <w:rsid w:val="00D54C06"/>
    <w:rsid w:val="00D54CCD"/>
    <w:rsid w:val="00D55120"/>
    <w:rsid w:val="00D55903"/>
    <w:rsid w:val="00D55E24"/>
    <w:rsid w:val="00D55EF6"/>
    <w:rsid w:val="00D563EB"/>
    <w:rsid w:val="00D56795"/>
    <w:rsid w:val="00D56CE2"/>
    <w:rsid w:val="00D57243"/>
    <w:rsid w:val="00D5747B"/>
    <w:rsid w:val="00D57B3A"/>
    <w:rsid w:val="00D57D5B"/>
    <w:rsid w:val="00D60534"/>
    <w:rsid w:val="00D60667"/>
    <w:rsid w:val="00D60F8A"/>
    <w:rsid w:val="00D60FB3"/>
    <w:rsid w:val="00D610B3"/>
    <w:rsid w:val="00D612D0"/>
    <w:rsid w:val="00D62020"/>
    <w:rsid w:val="00D624B1"/>
    <w:rsid w:val="00D626E1"/>
    <w:rsid w:val="00D626E9"/>
    <w:rsid w:val="00D62A1E"/>
    <w:rsid w:val="00D62C87"/>
    <w:rsid w:val="00D62E76"/>
    <w:rsid w:val="00D64C06"/>
    <w:rsid w:val="00D651CD"/>
    <w:rsid w:val="00D6580D"/>
    <w:rsid w:val="00D65813"/>
    <w:rsid w:val="00D65B3C"/>
    <w:rsid w:val="00D65F71"/>
    <w:rsid w:val="00D667F0"/>
    <w:rsid w:val="00D66C69"/>
    <w:rsid w:val="00D671BA"/>
    <w:rsid w:val="00D67AD5"/>
    <w:rsid w:val="00D67CE8"/>
    <w:rsid w:val="00D70096"/>
    <w:rsid w:val="00D7026B"/>
    <w:rsid w:val="00D70670"/>
    <w:rsid w:val="00D70698"/>
    <w:rsid w:val="00D70A60"/>
    <w:rsid w:val="00D71425"/>
    <w:rsid w:val="00D71567"/>
    <w:rsid w:val="00D715D5"/>
    <w:rsid w:val="00D72000"/>
    <w:rsid w:val="00D72014"/>
    <w:rsid w:val="00D72093"/>
    <w:rsid w:val="00D72292"/>
    <w:rsid w:val="00D725B7"/>
    <w:rsid w:val="00D72B3A"/>
    <w:rsid w:val="00D72C14"/>
    <w:rsid w:val="00D72E4C"/>
    <w:rsid w:val="00D7370D"/>
    <w:rsid w:val="00D737C0"/>
    <w:rsid w:val="00D73BC8"/>
    <w:rsid w:val="00D73D55"/>
    <w:rsid w:val="00D73DB3"/>
    <w:rsid w:val="00D74393"/>
    <w:rsid w:val="00D74637"/>
    <w:rsid w:val="00D74649"/>
    <w:rsid w:val="00D74A38"/>
    <w:rsid w:val="00D74DA1"/>
    <w:rsid w:val="00D74E44"/>
    <w:rsid w:val="00D751B2"/>
    <w:rsid w:val="00D752A3"/>
    <w:rsid w:val="00D75C6A"/>
    <w:rsid w:val="00D76905"/>
    <w:rsid w:val="00D76AED"/>
    <w:rsid w:val="00D76EF2"/>
    <w:rsid w:val="00D76FAA"/>
    <w:rsid w:val="00D777A2"/>
    <w:rsid w:val="00D77919"/>
    <w:rsid w:val="00D801C8"/>
    <w:rsid w:val="00D8066C"/>
    <w:rsid w:val="00D806C4"/>
    <w:rsid w:val="00D806EE"/>
    <w:rsid w:val="00D8126F"/>
    <w:rsid w:val="00D8158F"/>
    <w:rsid w:val="00D8200B"/>
    <w:rsid w:val="00D8291F"/>
    <w:rsid w:val="00D831F6"/>
    <w:rsid w:val="00D8336A"/>
    <w:rsid w:val="00D83489"/>
    <w:rsid w:val="00D83934"/>
    <w:rsid w:val="00D8408E"/>
    <w:rsid w:val="00D8475C"/>
    <w:rsid w:val="00D84B86"/>
    <w:rsid w:val="00D8568A"/>
    <w:rsid w:val="00D85C1E"/>
    <w:rsid w:val="00D85D6C"/>
    <w:rsid w:val="00D85E1F"/>
    <w:rsid w:val="00D8635A"/>
    <w:rsid w:val="00D864C8"/>
    <w:rsid w:val="00D86778"/>
    <w:rsid w:val="00D86A28"/>
    <w:rsid w:val="00D86CFC"/>
    <w:rsid w:val="00D8710D"/>
    <w:rsid w:val="00D871D0"/>
    <w:rsid w:val="00D874F7"/>
    <w:rsid w:val="00D87BFB"/>
    <w:rsid w:val="00D87C36"/>
    <w:rsid w:val="00D87CDF"/>
    <w:rsid w:val="00D87D2C"/>
    <w:rsid w:val="00D87F40"/>
    <w:rsid w:val="00D9075B"/>
    <w:rsid w:val="00D90B52"/>
    <w:rsid w:val="00D90E62"/>
    <w:rsid w:val="00D9113D"/>
    <w:rsid w:val="00D91374"/>
    <w:rsid w:val="00D9185E"/>
    <w:rsid w:val="00D91D67"/>
    <w:rsid w:val="00D91E30"/>
    <w:rsid w:val="00D91F1F"/>
    <w:rsid w:val="00D92099"/>
    <w:rsid w:val="00D924EB"/>
    <w:rsid w:val="00D92E5E"/>
    <w:rsid w:val="00D92F4F"/>
    <w:rsid w:val="00D930BC"/>
    <w:rsid w:val="00D9348D"/>
    <w:rsid w:val="00D938D9"/>
    <w:rsid w:val="00D938E9"/>
    <w:rsid w:val="00D93BE0"/>
    <w:rsid w:val="00D93E70"/>
    <w:rsid w:val="00D9405E"/>
    <w:rsid w:val="00D94ABC"/>
    <w:rsid w:val="00D959A7"/>
    <w:rsid w:val="00D9624A"/>
    <w:rsid w:val="00D963CA"/>
    <w:rsid w:val="00D96B58"/>
    <w:rsid w:val="00D96C27"/>
    <w:rsid w:val="00D96D16"/>
    <w:rsid w:val="00D96D66"/>
    <w:rsid w:val="00D96D79"/>
    <w:rsid w:val="00D96DE6"/>
    <w:rsid w:val="00D97098"/>
    <w:rsid w:val="00D9735E"/>
    <w:rsid w:val="00D977F9"/>
    <w:rsid w:val="00D978AE"/>
    <w:rsid w:val="00D97C53"/>
    <w:rsid w:val="00D97C8C"/>
    <w:rsid w:val="00DA0204"/>
    <w:rsid w:val="00DA040F"/>
    <w:rsid w:val="00DA0695"/>
    <w:rsid w:val="00DA0F8E"/>
    <w:rsid w:val="00DA101B"/>
    <w:rsid w:val="00DA114D"/>
    <w:rsid w:val="00DA1B11"/>
    <w:rsid w:val="00DA1B27"/>
    <w:rsid w:val="00DA1B60"/>
    <w:rsid w:val="00DA2077"/>
    <w:rsid w:val="00DA2416"/>
    <w:rsid w:val="00DA2C19"/>
    <w:rsid w:val="00DA2D82"/>
    <w:rsid w:val="00DA2EDB"/>
    <w:rsid w:val="00DA30A4"/>
    <w:rsid w:val="00DA39F8"/>
    <w:rsid w:val="00DA3FFA"/>
    <w:rsid w:val="00DA405C"/>
    <w:rsid w:val="00DA41D6"/>
    <w:rsid w:val="00DA4CF6"/>
    <w:rsid w:val="00DA5004"/>
    <w:rsid w:val="00DA5570"/>
    <w:rsid w:val="00DA5A39"/>
    <w:rsid w:val="00DA5ED3"/>
    <w:rsid w:val="00DA65A1"/>
    <w:rsid w:val="00DA669A"/>
    <w:rsid w:val="00DA6836"/>
    <w:rsid w:val="00DA68C6"/>
    <w:rsid w:val="00DA7291"/>
    <w:rsid w:val="00DA76DF"/>
    <w:rsid w:val="00DA7733"/>
    <w:rsid w:val="00DA7CCC"/>
    <w:rsid w:val="00DB0104"/>
    <w:rsid w:val="00DB0362"/>
    <w:rsid w:val="00DB0988"/>
    <w:rsid w:val="00DB0B8B"/>
    <w:rsid w:val="00DB146D"/>
    <w:rsid w:val="00DB16D2"/>
    <w:rsid w:val="00DB1CB0"/>
    <w:rsid w:val="00DB1EBF"/>
    <w:rsid w:val="00DB22B9"/>
    <w:rsid w:val="00DB27E7"/>
    <w:rsid w:val="00DB2976"/>
    <w:rsid w:val="00DB2C93"/>
    <w:rsid w:val="00DB2D5F"/>
    <w:rsid w:val="00DB2F44"/>
    <w:rsid w:val="00DB3133"/>
    <w:rsid w:val="00DB317C"/>
    <w:rsid w:val="00DB39EB"/>
    <w:rsid w:val="00DB3FC4"/>
    <w:rsid w:val="00DB47D4"/>
    <w:rsid w:val="00DB481D"/>
    <w:rsid w:val="00DB49FD"/>
    <w:rsid w:val="00DB50CA"/>
    <w:rsid w:val="00DB52A2"/>
    <w:rsid w:val="00DB5545"/>
    <w:rsid w:val="00DB59D7"/>
    <w:rsid w:val="00DB5A42"/>
    <w:rsid w:val="00DB61FA"/>
    <w:rsid w:val="00DB629D"/>
    <w:rsid w:val="00DB6756"/>
    <w:rsid w:val="00DB6DC3"/>
    <w:rsid w:val="00DB7EDA"/>
    <w:rsid w:val="00DC03F1"/>
    <w:rsid w:val="00DC05BD"/>
    <w:rsid w:val="00DC072F"/>
    <w:rsid w:val="00DC0752"/>
    <w:rsid w:val="00DC0880"/>
    <w:rsid w:val="00DC0EC9"/>
    <w:rsid w:val="00DC16DC"/>
    <w:rsid w:val="00DC1755"/>
    <w:rsid w:val="00DC187B"/>
    <w:rsid w:val="00DC1C5E"/>
    <w:rsid w:val="00DC1E18"/>
    <w:rsid w:val="00DC204F"/>
    <w:rsid w:val="00DC211B"/>
    <w:rsid w:val="00DC228F"/>
    <w:rsid w:val="00DC3106"/>
    <w:rsid w:val="00DC314E"/>
    <w:rsid w:val="00DC32BC"/>
    <w:rsid w:val="00DC32FD"/>
    <w:rsid w:val="00DC345A"/>
    <w:rsid w:val="00DC36A7"/>
    <w:rsid w:val="00DC3F0E"/>
    <w:rsid w:val="00DC4377"/>
    <w:rsid w:val="00DC4604"/>
    <w:rsid w:val="00DC4871"/>
    <w:rsid w:val="00DC4D80"/>
    <w:rsid w:val="00DC527F"/>
    <w:rsid w:val="00DC578E"/>
    <w:rsid w:val="00DC5F6E"/>
    <w:rsid w:val="00DC6002"/>
    <w:rsid w:val="00DC69D4"/>
    <w:rsid w:val="00DC6A84"/>
    <w:rsid w:val="00DC6FC4"/>
    <w:rsid w:val="00DC7835"/>
    <w:rsid w:val="00DC7B0E"/>
    <w:rsid w:val="00DC7E5C"/>
    <w:rsid w:val="00DD03F6"/>
    <w:rsid w:val="00DD060A"/>
    <w:rsid w:val="00DD0AC7"/>
    <w:rsid w:val="00DD0F2A"/>
    <w:rsid w:val="00DD1279"/>
    <w:rsid w:val="00DD1281"/>
    <w:rsid w:val="00DD131F"/>
    <w:rsid w:val="00DD13B9"/>
    <w:rsid w:val="00DD1E14"/>
    <w:rsid w:val="00DD25B1"/>
    <w:rsid w:val="00DD2AE3"/>
    <w:rsid w:val="00DD2CAD"/>
    <w:rsid w:val="00DD2F52"/>
    <w:rsid w:val="00DD32E6"/>
    <w:rsid w:val="00DD33D6"/>
    <w:rsid w:val="00DD3702"/>
    <w:rsid w:val="00DD384D"/>
    <w:rsid w:val="00DD3DF7"/>
    <w:rsid w:val="00DD42F7"/>
    <w:rsid w:val="00DD4583"/>
    <w:rsid w:val="00DD47D9"/>
    <w:rsid w:val="00DD48ED"/>
    <w:rsid w:val="00DD4BBD"/>
    <w:rsid w:val="00DD4D53"/>
    <w:rsid w:val="00DD562E"/>
    <w:rsid w:val="00DD5C52"/>
    <w:rsid w:val="00DD5C8C"/>
    <w:rsid w:val="00DD5D18"/>
    <w:rsid w:val="00DD613E"/>
    <w:rsid w:val="00DD6254"/>
    <w:rsid w:val="00DD6570"/>
    <w:rsid w:val="00DD67CB"/>
    <w:rsid w:val="00DD69C4"/>
    <w:rsid w:val="00DD69CA"/>
    <w:rsid w:val="00DD6B99"/>
    <w:rsid w:val="00DD6CC1"/>
    <w:rsid w:val="00DD7841"/>
    <w:rsid w:val="00DD7904"/>
    <w:rsid w:val="00DD79D0"/>
    <w:rsid w:val="00DD7C73"/>
    <w:rsid w:val="00DE02B9"/>
    <w:rsid w:val="00DE0BB0"/>
    <w:rsid w:val="00DE0EA0"/>
    <w:rsid w:val="00DE1142"/>
    <w:rsid w:val="00DE1615"/>
    <w:rsid w:val="00DE16CB"/>
    <w:rsid w:val="00DE199E"/>
    <w:rsid w:val="00DE1B39"/>
    <w:rsid w:val="00DE1CA3"/>
    <w:rsid w:val="00DE1D8E"/>
    <w:rsid w:val="00DE1E4D"/>
    <w:rsid w:val="00DE2054"/>
    <w:rsid w:val="00DE2333"/>
    <w:rsid w:val="00DE2896"/>
    <w:rsid w:val="00DE2FE4"/>
    <w:rsid w:val="00DE36C3"/>
    <w:rsid w:val="00DE4347"/>
    <w:rsid w:val="00DE45BB"/>
    <w:rsid w:val="00DE461D"/>
    <w:rsid w:val="00DE48C7"/>
    <w:rsid w:val="00DE4921"/>
    <w:rsid w:val="00DE50E3"/>
    <w:rsid w:val="00DE5DCB"/>
    <w:rsid w:val="00DE619F"/>
    <w:rsid w:val="00DE642D"/>
    <w:rsid w:val="00DE6619"/>
    <w:rsid w:val="00DE6745"/>
    <w:rsid w:val="00DE694E"/>
    <w:rsid w:val="00DE69ED"/>
    <w:rsid w:val="00DE7447"/>
    <w:rsid w:val="00DE7554"/>
    <w:rsid w:val="00DE764B"/>
    <w:rsid w:val="00DE7DE5"/>
    <w:rsid w:val="00DE7F0A"/>
    <w:rsid w:val="00DF01EE"/>
    <w:rsid w:val="00DF03FE"/>
    <w:rsid w:val="00DF08BB"/>
    <w:rsid w:val="00DF0DA3"/>
    <w:rsid w:val="00DF0DBA"/>
    <w:rsid w:val="00DF1CFE"/>
    <w:rsid w:val="00DF1D9B"/>
    <w:rsid w:val="00DF2865"/>
    <w:rsid w:val="00DF2903"/>
    <w:rsid w:val="00DF2CFF"/>
    <w:rsid w:val="00DF30CE"/>
    <w:rsid w:val="00DF31FF"/>
    <w:rsid w:val="00DF3707"/>
    <w:rsid w:val="00DF382F"/>
    <w:rsid w:val="00DF3B49"/>
    <w:rsid w:val="00DF40C3"/>
    <w:rsid w:val="00DF4553"/>
    <w:rsid w:val="00DF4696"/>
    <w:rsid w:val="00DF49F3"/>
    <w:rsid w:val="00DF4BAA"/>
    <w:rsid w:val="00DF5C9F"/>
    <w:rsid w:val="00DF64D2"/>
    <w:rsid w:val="00DF64E9"/>
    <w:rsid w:val="00DF6659"/>
    <w:rsid w:val="00DF676A"/>
    <w:rsid w:val="00DF6C88"/>
    <w:rsid w:val="00DF6D12"/>
    <w:rsid w:val="00DF7130"/>
    <w:rsid w:val="00DF732E"/>
    <w:rsid w:val="00DF7396"/>
    <w:rsid w:val="00DF77BA"/>
    <w:rsid w:val="00DF7955"/>
    <w:rsid w:val="00DF7B3D"/>
    <w:rsid w:val="00DF7DFA"/>
    <w:rsid w:val="00E00488"/>
    <w:rsid w:val="00E0055D"/>
    <w:rsid w:val="00E008EC"/>
    <w:rsid w:val="00E009D0"/>
    <w:rsid w:val="00E00B8E"/>
    <w:rsid w:val="00E00C3B"/>
    <w:rsid w:val="00E01164"/>
    <w:rsid w:val="00E012F3"/>
    <w:rsid w:val="00E01349"/>
    <w:rsid w:val="00E01A46"/>
    <w:rsid w:val="00E01D55"/>
    <w:rsid w:val="00E01F7E"/>
    <w:rsid w:val="00E01FE3"/>
    <w:rsid w:val="00E020AE"/>
    <w:rsid w:val="00E023E6"/>
    <w:rsid w:val="00E025AD"/>
    <w:rsid w:val="00E02789"/>
    <w:rsid w:val="00E027A7"/>
    <w:rsid w:val="00E02A77"/>
    <w:rsid w:val="00E0378F"/>
    <w:rsid w:val="00E03B6A"/>
    <w:rsid w:val="00E03F7B"/>
    <w:rsid w:val="00E0456D"/>
    <w:rsid w:val="00E04DB5"/>
    <w:rsid w:val="00E04E3B"/>
    <w:rsid w:val="00E0516A"/>
    <w:rsid w:val="00E053D6"/>
    <w:rsid w:val="00E05CC0"/>
    <w:rsid w:val="00E05F15"/>
    <w:rsid w:val="00E06119"/>
    <w:rsid w:val="00E061AB"/>
    <w:rsid w:val="00E061EA"/>
    <w:rsid w:val="00E067AD"/>
    <w:rsid w:val="00E06DED"/>
    <w:rsid w:val="00E06DEE"/>
    <w:rsid w:val="00E07568"/>
    <w:rsid w:val="00E0761F"/>
    <w:rsid w:val="00E07A86"/>
    <w:rsid w:val="00E07F83"/>
    <w:rsid w:val="00E1014A"/>
    <w:rsid w:val="00E1040A"/>
    <w:rsid w:val="00E10419"/>
    <w:rsid w:val="00E105A4"/>
    <w:rsid w:val="00E1094F"/>
    <w:rsid w:val="00E10C9C"/>
    <w:rsid w:val="00E10FF1"/>
    <w:rsid w:val="00E10FF9"/>
    <w:rsid w:val="00E11A21"/>
    <w:rsid w:val="00E11D8E"/>
    <w:rsid w:val="00E11EB4"/>
    <w:rsid w:val="00E124E9"/>
    <w:rsid w:val="00E126A3"/>
    <w:rsid w:val="00E1284F"/>
    <w:rsid w:val="00E128B6"/>
    <w:rsid w:val="00E128F3"/>
    <w:rsid w:val="00E12A7A"/>
    <w:rsid w:val="00E12CE5"/>
    <w:rsid w:val="00E13060"/>
    <w:rsid w:val="00E133B2"/>
    <w:rsid w:val="00E137D7"/>
    <w:rsid w:val="00E147B8"/>
    <w:rsid w:val="00E153BB"/>
    <w:rsid w:val="00E15401"/>
    <w:rsid w:val="00E15D2D"/>
    <w:rsid w:val="00E15D58"/>
    <w:rsid w:val="00E15E1A"/>
    <w:rsid w:val="00E16403"/>
    <w:rsid w:val="00E16537"/>
    <w:rsid w:val="00E16737"/>
    <w:rsid w:val="00E1725B"/>
    <w:rsid w:val="00E1762B"/>
    <w:rsid w:val="00E17738"/>
    <w:rsid w:val="00E17DB2"/>
    <w:rsid w:val="00E17F78"/>
    <w:rsid w:val="00E20759"/>
    <w:rsid w:val="00E2086C"/>
    <w:rsid w:val="00E20B2B"/>
    <w:rsid w:val="00E20CC2"/>
    <w:rsid w:val="00E219BB"/>
    <w:rsid w:val="00E21B5D"/>
    <w:rsid w:val="00E22A3E"/>
    <w:rsid w:val="00E22B39"/>
    <w:rsid w:val="00E22CB9"/>
    <w:rsid w:val="00E22D35"/>
    <w:rsid w:val="00E22E54"/>
    <w:rsid w:val="00E232F1"/>
    <w:rsid w:val="00E234F6"/>
    <w:rsid w:val="00E2363A"/>
    <w:rsid w:val="00E23B55"/>
    <w:rsid w:val="00E241D4"/>
    <w:rsid w:val="00E242FB"/>
    <w:rsid w:val="00E24566"/>
    <w:rsid w:val="00E249A8"/>
    <w:rsid w:val="00E24A56"/>
    <w:rsid w:val="00E24AD9"/>
    <w:rsid w:val="00E25997"/>
    <w:rsid w:val="00E25B9D"/>
    <w:rsid w:val="00E260A9"/>
    <w:rsid w:val="00E26174"/>
    <w:rsid w:val="00E269AA"/>
    <w:rsid w:val="00E26F2D"/>
    <w:rsid w:val="00E26F4C"/>
    <w:rsid w:val="00E2727D"/>
    <w:rsid w:val="00E27E91"/>
    <w:rsid w:val="00E30998"/>
    <w:rsid w:val="00E30A48"/>
    <w:rsid w:val="00E30B77"/>
    <w:rsid w:val="00E30CCD"/>
    <w:rsid w:val="00E30D9E"/>
    <w:rsid w:val="00E30EF8"/>
    <w:rsid w:val="00E30FC9"/>
    <w:rsid w:val="00E313F3"/>
    <w:rsid w:val="00E3178E"/>
    <w:rsid w:val="00E318C4"/>
    <w:rsid w:val="00E31A38"/>
    <w:rsid w:val="00E31E39"/>
    <w:rsid w:val="00E31EDD"/>
    <w:rsid w:val="00E322B3"/>
    <w:rsid w:val="00E322EE"/>
    <w:rsid w:val="00E32921"/>
    <w:rsid w:val="00E32BC6"/>
    <w:rsid w:val="00E32BEF"/>
    <w:rsid w:val="00E330A8"/>
    <w:rsid w:val="00E330FD"/>
    <w:rsid w:val="00E3331E"/>
    <w:rsid w:val="00E337E7"/>
    <w:rsid w:val="00E33A64"/>
    <w:rsid w:val="00E33EC0"/>
    <w:rsid w:val="00E3443F"/>
    <w:rsid w:val="00E348E6"/>
    <w:rsid w:val="00E35667"/>
    <w:rsid w:val="00E35756"/>
    <w:rsid w:val="00E3595C"/>
    <w:rsid w:val="00E35C9B"/>
    <w:rsid w:val="00E35ED9"/>
    <w:rsid w:val="00E35F69"/>
    <w:rsid w:val="00E36514"/>
    <w:rsid w:val="00E370F4"/>
    <w:rsid w:val="00E37412"/>
    <w:rsid w:val="00E37B86"/>
    <w:rsid w:val="00E37E45"/>
    <w:rsid w:val="00E4031B"/>
    <w:rsid w:val="00E406F4"/>
    <w:rsid w:val="00E40747"/>
    <w:rsid w:val="00E40958"/>
    <w:rsid w:val="00E40A2B"/>
    <w:rsid w:val="00E41B94"/>
    <w:rsid w:val="00E41D37"/>
    <w:rsid w:val="00E41DC1"/>
    <w:rsid w:val="00E41EFC"/>
    <w:rsid w:val="00E41F97"/>
    <w:rsid w:val="00E41FEB"/>
    <w:rsid w:val="00E42423"/>
    <w:rsid w:val="00E4258D"/>
    <w:rsid w:val="00E425D3"/>
    <w:rsid w:val="00E4310A"/>
    <w:rsid w:val="00E43207"/>
    <w:rsid w:val="00E43275"/>
    <w:rsid w:val="00E43592"/>
    <w:rsid w:val="00E4368C"/>
    <w:rsid w:val="00E43C43"/>
    <w:rsid w:val="00E43E65"/>
    <w:rsid w:val="00E443F2"/>
    <w:rsid w:val="00E44561"/>
    <w:rsid w:val="00E44E88"/>
    <w:rsid w:val="00E4555A"/>
    <w:rsid w:val="00E45754"/>
    <w:rsid w:val="00E46453"/>
    <w:rsid w:val="00E46CF6"/>
    <w:rsid w:val="00E46D2E"/>
    <w:rsid w:val="00E472AF"/>
    <w:rsid w:val="00E477AD"/>
    <w:rsid w:val="00E50158"/>
    <w:rsid w:val="00E50193"/>
    <w:rsid w:val="00E505C6"/>
    <w:rsid w:val="00E50673"/>
    <w:rsid w:val="00E508D5"/>
    <w:rsid w:val="00E5099E"/>
    <w:rsid w:val="00E50FFA"/>
    <w:rsid w:val="00E515D6"/>
    <w:rsid w:val="00E5170F"/>
    <w:rsid w:val="00E517B0"/>
    <w:rsid w:val="00E5199F"/>
    <w:rsid w:val="00E5250C"/>
    <w:rsid w:val="00E52B13"/>
    <w:rsid w:val="00E52F92"/>
    <w:rsid w:val="00E5325B"/>
    <w:rsid w:val="00E53514"/>
    <w:rsid w:val="00E53CEC"/>
    <w:rsid w:val="00E53D32"/>
    <w:rsid w:val="00E544B9"/>
    <w:rsid w:val="00E5478C"/>
    <w:rsid w:val="00E54A9F"/>
    <w:rsid w:val="00E54E28"/>
    <w:rsid w:val="00E54F93"/>
    <w:rsid w:val="00E54FB4"/>
    <w:rsid w:val="00E54FBD"/>
    <w:rsid w:val="00E551D6"/>
    <w:rsid w:val="00E55202"/>
    <w:rsid w:val="00E56278"/>
    <w:rsid w:val="00E56329"/>
    <w:rsid w:val="00E5661D"/>
    <w:rsid w:val="00E5662B"/>
    <w:rsid w:val="00E5662E"/>
    <w:rsid w:val="00E5677A"/>
    <w:rsid w:val="00E56940"/>
    <w:rsid w:val="00E56CAD"/>
    <w:rsid w:val="00E57739"/>
    <w:rsid w:val="00E57CAC"/>
    <w:rsid w:val="00E57E4B"/>
    <w:rsid w:val="00E6056F"/>
    <w:rsid w:val="00E6090C"/>
    <w:rsid w:val="00E60EC1"/>
    <w:rsid w:val="00E61100"/>
    <w:rsid w:val="00E61620"/>
    <w:rsid w:val="00E61805"/>
    <w:rsid w:val="00E62069"/>
    <w:rsid w:val="00E6211C"/>
    <w:rsid w:val="00E6270A"/>
    <w:rsid w:val="00E62881"/>
    <w:rsid w:val="00E62F11"/>
    <w:rsid w:val="00E631E9"/>
    <w:rsid w:val="00E6350B"/>
    <w:rsid w:val="00E637FD"/>
    <w:rsid w:val="00E63840"/>
    <w:rsid w:val="00E638E9"/>
    <w:rsid w:val="00E63C0E"/>
    <w:rsid w:val="00E641C9"/>
    <w:rsid w:val="00E64510"/>
    <w:rsid w:val="00E64531"/>
    <w:rsid w:val="00E65D2E"/>
    <w:rsid w:val="00E65F62"/>
    <w:rsid w:val="00E663A8"/>
    <w:rsid w:val="00E6688E"/>
    <w:rsid w:val="00E66E47"/>
    <w:rsid w:val="00E67339"/>
    <w:rsid w:val="00E7010D"/>
    <w:rsid w:val="00E704BC"/>
    <w:rsid w:val="00E706E0"/>
    <w:rsid w:val="00E706FB"/>
    <w:rsid w:val="00E70811"/>
    <w:rsid w:val="00E7090C"/>
    <w:rsid w:val="00E70E37"/>
    <w:rsid w:val="00E716B7"/>
    <w:rsid w:val="00E71DDC"/>
    <w:rsid w:val="00E71F60"/>
    <w:rsid w:val="00E728F8"/>
    <w:rsid w:val="00E72999"/>
    <w:rsid w:val="00E729BC"/>
    <w:rsid w:val="00E72AB3"/>
    <w:rsid w:val="00E72C3A"/>
    <w:rsid w:val="00E732C6"/>
    <w:rsid w:val="00E73981"/>
    <w:rsid w:val="00E749E5"/>
    <w:rsid w:val="00E74A56"/>
    <w:rsid w:val="00E74DB5"/>
    <w:rsid w:val="00E74F30"/>
    <w:rsid w:val="00E75029"/>
    <w:rsid w:val="00E750D0"/>
    <w:rsid w:val="00E75475"/>
    <w:rsid w:val="00E754C5"/>
    <w:rsid w:val="00E75595"/>
    <w:rsid w:val="00E75F64"/>
    <w:rsid w:val="00E75F89"/>
    <w:rsid w:val="00E76535"/>
    <w:rsid w:val="00E767C8"/>
    <w:rsid w:val="00E76C61"/>
    <w:rsid w:val="00E76DF4"/>
    <w:rsid w:val="00E76FC6"/>
    <w:rsid w:val="00E772EB"/>
    <w:rsid w:val="00E7775B"/>
    <w:rsid w:val="00E777AD"/>
    <w:rsid w:val="00E77F1D"/>
    <w:rsid w:val="00E80166"/>
    <w:rsid w:val="00E803C0"/>
    <w:rsid w:val="00E80A56"/>
    <w:rsid w:val="00E811BD"/>
    <w:rsid w:val="00E811E5"/>
    <w:rsid w:val="00E8131C"/>
    <w:rsid w:val="00E815D5"/>
    <w:rsid w:val="00E82573"/>
    <w:rsid w:val="00E82DE6"/>
    <w:rsid w:val="00E82F0D"/>
    <w:rsid w:val="00E82F61"/>
    <w:rsid w:val="00E833DE"/>
    <w:rsid w:val="00E83792"/>
    <w:rsid w:val="00E837D0"/>
    <w:rsid w:val="00E83E34"/>
    <w:rsid w:val="00E84D02"/>
    <w:rsid w:val="00E85123"/>
    <w:rsid w:val="00E8530F"/>
    <w:rsid w:val="00E8587E"/>
    <w:rsid w:val="00E85A3F"/>
    <w:rsid w:val="00E85E7B"/>
    <w:rsid w:val="00E869AC"/>
    <w:rsid w:val="00E87406"/>
    <w:rsid w:val="00E875DD"/>
    <w:rsid w:val="00E9022D"/>
    <w:rsid w:val="00E907F2"/>
    <w:rsid w:val="00E908FC"/>
    <w:rsid w:val="00E917A1"/>
    <w:rsid w:val="00E92410"/>
    <w:rsid w:val="00E9266C"/>
    <w:rsid w:val="00E92879"/>
    <w:rsid w:val="00E92AA7"/>
    <w:rsid w:val="00E92D13"/>
    <w:rsid w:val="00E93053"/>
    <w:rsid w:val="00E93C12"/>
    <w:rsid w:val="00E93EC5"/>
    <w:rsid w:val="00E942F4"/>
    <w:rsid w:val="00E9454C"/>
    <w:rsid w:val="00E94573"/>
    <w:rsid w:val="00E945CD"/>
    <w:rsid w:val="00E94BD1"/>
    <w:rsid w:val="00E9506E"/>
    <w:rsid w:val="00E950C2"/>
    <w:rsid w:val="00E9517D"/>
    <w:rsid w:val="00E952BF"/>
    <w:rsid w:val="00E955DF"/>
    <w:rsid w:val="00E955E8"/>
    <w:rsid w:val="00E958C4"/>
    <w:rsid w:val="00E95C6A"/>
    <w:rsid w:val="00E95D69"/>
    <w:rsid w:val="00E9608C"/>
    <w:rsid w:val="00E96762"/>
    <w:rsid w:val="00E969D8"/>
    <w:rsid w:val="00E96A5F"/>
    <w:rsid w:val="00E96B0E"/>
    <w:rsid w:val="00E96BD3"/>
    <w:rsid w:val="00E975B7"/>
    <w:rsid w:val="00E9763D"/>
    <w:rsid w:val="00E97A6B"/>
    <w:rsid w:val="00E97B82"/>
    <w:rsid w:val="00E97FAD"/>
    <w:rsid w:val="00EA01C5"/>
    <w:rsid w:val="00EA0226"/>
    <w:rsid w:val="00EA0577"/>
    <w:rsid w:val="00EA057C"/>
    <w:rsid w:val="00EA0EAE"/>
    <w:rsid w:val="00EA14F8"/>
    <w:rsid w:val="00EA17F6"/>
    <w:rsid w:val="00EA1CBB"/>
    <w:rsid w:val="00EA1F87"/>
    <w:rsid w:val="00EA25E1"/>
    <w:rsid w:val="00EA27F2"/>
    <w:rsid w:val="00EA28AE"/>
    <w:rsid w:val="00EA28F8"/>
    <w:rsid w:val="00EA2ABF"/>
    <w:rsid w:val="00EA2E7E"/>
    <w:rsid w:val="00EA3037"/>
    <w:rsid w:val="00EA33EC"/>
    <w:rsid w:val="00EA347A"/>
    <w:rsid w:val="00EA36F8"/>
    <w:rsid w:val="00EA42FD"/>
    <w:rsid w:val="00EA430B"/>
    <w:rsid w:val="00EA43F4"/>
    <w:rsid w:val="00EA470B"/>
    <w:rsid w:val="00EA4A8A"/>
    <w:rsid w:val="00EA51CC"/>
    <w:rsid w:val="00EA5406"/>
    <w:rsid w:val="00EA5642"/>
    <w:rsid w:val="00EA58DC"/>
    <w:rsid w:val="00EA58F4"/>
    <w:rsid w:val="00EA5F3E"/>
    <w:rsid w:val="00EA6061"/>
    <w:rsid w:val="00EA641F"/>
    <w:rsid w:val="00EA64D9"/>
    <w:rsid w:val="00EA673A"/>
    <w:rsid w:val="00EA6D50"/>
    <w:rsid w:val="00EA6E82"/>
    <w:rsid w:val="00EA7237"/>
    <w:rsid w:val="00EB05C5"/>
    <w:rsid w:val="00EB064F"/>
    <w:rsid w:val="00EB0744"/>
    <w:rsid w:val="00EB0AB8"/>
    <w:rsid w:val="00EB0AEE"/>
    <w:rsid w:val="00EB0F52"/>
    <w:rsid w:val="00EB100E"/>
    <w:rsid w:val="00EB15D9"/>
    <w:rsid w:val="00EB1EC9"/>
    <w:rsid w:val="00EB1F1E"/>
    <w:rsid w:val="00EB23D8"/>
    <w:rsid w:val="00EB25AA"/>
    <w:rsid w:val="00EB2B27"/>
    <w:rsid w:val="00EB2C1C"/>
    <w:rsid w:val="00EB2CE6"/>
    <w:rsid w:val="00EB3186"/>
    <w:rsid w:val="00EB349C"/>
    <w:rsid w:val="00EB3842"/>
    <w:rsid w:val="00EB3BAF"/>
    <w:rsid w:val="00EB3BCE"/>
    <w:rsid w:val="00EB3D47"/>
    <w:rsid w:val="00EB3ECF"/>
    <w:rsid w:val="00EB3EF8"/>
    <w:rsid w:val="00EB4540"/>
    <w:rsid w:val="00EB4A6C"/>
    <w:rsid w:val="00EB4ABA"/>
    <w:rsid w:val="00EB566D"/>
    <w:rsid w:val="00EB586C"/>
    <w:rsid w:val="00EB5C72"/>
    <w:rsid w:val="00EB6251"/>
    <w:rsid w:val="00EB6AD9"/>
    <w:rsid w:val="00EB723B"/>
    <w:rsid w:val="00EB7881"/>
    <w:rsid w:val="00EB7BA8"/>
    <w:rsid w:val="00EC0083"/>
    <w:rsid w:val="00EC0343"/>
    <w:rsid w:val="00EC08EC"/>
    <w:rsid w:val="00EC0A1F"/>
    <w:rsid w:val="00EC107D"/>
    <w:rsid w:val="00EC141B"/>
    <w:rsid w:val="00EC1ABE"/>
    <w:rsid w:val="00EC1B54"/>
    <w:rsid w:val="00EC1C33"/>
    <w:rsid w:val="00EC1FD0"/>
    <w:rsid w:val="00EC271B"/>
    <w:rsid w:val="00EC2D30"/>
    <w:rsid w:val="00EC30A7"/>
    <w:rsid w:val="00EC3228"/>
    <w:rsid w:val="00EC3D0A"/>
    <w:rsid w:val="00EC4107"/>
    <w:rsid w:val="00EC4477"/>
    <w:rsid w:val="00EC4479"/>
    <w:rsid w:val="00EC4934"/>
    <w:rsid w:val="00EC497E"/>
    <w:rsid w:val="00EC4F0F"/>
    <w:rsid w:val="00EC5234"/>
    <w:rsid w:val="00EC5409"/>
    <w:rsid w:val="00EC5441"/>
    <w:rsid w:val="00EC5B9A"/>
    <w:rsid w:val="00EC5C60"/>
    <w:rsid w:val="00EC5C94"/>
    <w:rsid w:val="00EC5D12"/>
    <w:rsid w:val="00EC5D26"/>
    <w:rsid w:val="00EC61DF"/>
    <w:rsid w:val="00EC6274"/>
    <w:rsid w:val="00EC62AB"/>
    <w:rsid w:val="00EC64E5"/>
    <w:rsid w:val="00EC6526"/>
    <w:rsid w:val="00EC69C5"/>
    <w:rsid w:val="00EC6CE3"/>
    <w:rsid w:val="00EC6E69"/>
    <w:rsid w:val="00EC7158"/>
    <w:rsid w:val="00EC7546"/>
    <w:rsid w:val="00EC7588"/>
    <w:rsid w:val="00ED00EB"/>
    <w:rsid w:val="00ED00F9"/>
    <w:rsid w:val="00ED0167"/>
    <w:rsid w:val="00ED01F7"/>
    <w:rsid w:val="00ED0296"/>
    <w:rsid w:val="00ED07FA"/>
    <w:rsid w:val="00ED0B18"/>
    <w:rsid w:val="00ED0E45"/>
    <w:rsid w:val="00ED1448"/>
    <w:rsid w:val="00ED176E"/>
    <w:rsid w:val="00ED1F2F"/>
    <w:rsid w:val="00ED22D0"/>
    <w:rsid w:val="00ED2A23"/>
    <w:rsid w:val="00ED2C66"/>
    <w:rsid w:val="00ED2D3B"/>
    <w:rsid w:val="00ED34A4"/>
    <w:rsid w:val="00ED3A21"/>
    <w:rsid w:val="00ED3B62"/>
    <w:rsid w:val="00ED3EFD"/>
    <w:rsid w:val="00ED429E"/>
    <w:rsid w:val="00ED4761"/>
    <w:rsid w:val="00ED4F71"/>
    <w:rsid w:val="00ED5025"/>
    <w:rsid w:val="00ED541C"/>
    <w:rsid w:val="00ED59DC"/>
    <w:rsid w:val="00ED5A87"/>
    <w:rsid w:val="00ED5A96"/>
    <w:rsid w:val="00ED5B9D"/>
    <w:rsid w:val="00ED5E4F"/>
    <w:rsid w:val="00ED5FC7"/>
    <w:rsid w:val="00ED6498"/>
    <w:rsid w:val="00ED66DA"/>
    <w:rsid w:val="00ED67F5"/>
    <w:rsid w:val="00ED683E"/>
    <w:rsid w:val="00ED7198"/>
    <w:rsid w:val="00ED71A2"/>
    <w:rsid w:val="00ED73AC"/>
    <w:rsid w:val="00ED73AF"/>
    <w:rsid w:val="00ED7500"/>
    <w:rsid w:val="00ED7A38"/>
    <w:rsid w:val="00ED7EFF"/>
    <w:rsid w:val="00EE01AE"/>
    <w:rsid w:val="00EE043A"/>
    <w:rsid w:val="00EE073A"/>
    <w:rsid w:val="00EE0CB2"/>
    <w:rsid w:val="00EE1063"/>
    <w:rsid w:val="00EE130A"/>
    <w:rsid w:val="00EE15AF"/>
    <w:rsid w:val="00EE1919"/>
    <w:rsid w:val="00EE1AB1"/>
    <w:rsid w:val="00EE1CC3"/>
    <w:rsid w:val="00EE2157"/>
    <w:rsid w:val="00EE2BA1"/>
    <w:rsid w:val="00EE2C66"/>
    <w:rsid w:val="00EE2E2B"/>
    <w:rsid w:val="00EE2EBB"/>
    <w:rsid w:val="00EE3148"/>
    <w:rsid w:val="00EE3469"/>
    <w:rsid w:val="00EE4177"/>
    <w:rsid w:val="00EE4D66"/>
    <w:rsid w:val="00EE4F2B"/>
    <w:rsid w:val="00EE5CE4"/>
    <w:rsid w:val="00EE60E8"/>
    <w:rsid w:val="00EE72A0"/>
    <w:rsid w:val="00EE79A5"/>
    <w:rsid w:val="00EE7D01"/>
    <w:rsid w:val="00EE7D2C"/>
    <w:rsid w:val="00EF041E"/>
    <w:rsid w:val="00EF06DD"/>
    <w:rsid w:val="00EF0E65"/>
    <w:rsid w:val="00EF1268"/>
    <w:rsid w:val="00EF15D1"/>
    <w:rsid w:val="00EF173F"/>
    <w:rsid w:val="00EF17A0"/>
    <w:rsid w:val="00EF1842"/>
    <w:rsid w:val="00EF1B18"/>
    <w:rsid w:val="00EF1DB9"/>
    <w:rsid w:val="00EF1DE1"/>
    <w:rsid w:val="00EF1EFB"/>
    <w:rsid w:val="00EF27A9"/>
    <w:rsid w:val="00EF2B69"/>
    <w:rsid w:val="00EF363D"/>
    <w:rsid w:val="00EF3889"/>
    <w:rsid w:val="00EF3935"/>
    <w:rsid w:val="00EF3E4B"/>
    <w:rsid w:val="00EF48E5"/>
    <w:rsid w:val="00EF4F4F"/>
    <w:rsid w:val="00EF52C2"/>
    <w:rsid w:val="00EF55B1"/>
    <w:rsid w:val="00EF5732"/>
    <w:rsid w:val="00EF5877"/>
    <w:rsid w:val="00EF5C00"/>
    <w:rsid w:val="00EF6444"/>
    <w:rsid w:val="00EF65F8"/>
    <w:rsid w:val="00EF686C"/>
    <w:rsid w:val="00EF68D4"/>
    <w:rsid w:val="00EF6D5D"/>
    <w:rsid w:val="00EF787A"/>
    <w:rsid w:val="00EF7F66"/>
    <w:rsid w:val="00F00220"/>
    <w:rsid w:val="00F00728"/>
    <w:rsid w:val="00F00FA0"/>
    <w:rsid w:val="00F01222"/>
    <w:rsid w:val="00F017B1"/>
    <w:rsid w:val="00F01DFE"/>
    <w:rsid w:val="00F02058"/>
    <w:rsid w:val="00F027F9"/>
    <w:rsid w:val="00F0281E"/>
    <w:rsid w:val="00F02BD3"/>
    <w:rsid w:val="00F03105"/>
    <w:rsid w:val="00F03E10"/>
    <w:rsid w:val="00F042D4"/>
    <w:rsid w:val="00F042EB"/>
    <w:rsid w:val="00F04328"/>
    <w:rsid w:val="00F043AD"/>
    <w:rsid w:val="00F04472"/>
    <w:rsid w:val="00F044B1"/>
    <w:rsid w:val="00F048AF"/>
    <w:rsid w:val="00F04F4F"/>
    <w:rsid w:val="00F051E7"/>
    <w:rsid w:val="00F05285"/>
    <w:rsid w:val="00F05B0B"/>
    <w:rsid w:val="00F05B6E"/>
    <w:rsid w:val="00F05B7D"/>
    <w:rsid w:val="00F05D87"/>
    <w:rsid w:val="00F05E33"/>
    <w:rsid w:val="00F05FA5"/>
    <w:rsid w:val="00F05FDB"/>
    <w:rsid w:val="00F063B4"/>
    <w:rsid w:val="00F068CD"/>
    <w:rsid w:val="00F06F56"/>
    <w:rsid w:val="00F06F81"/>
    <w:rsid w:val="00F070A2"/>
    <w:rsid w:val="00F070D6"/>
    <w:rsid w:val="00F071F9"/>
    <w:rsid w:val="00F07340"/>
    <w:rsid w:val="00F0797E"/>
    <w:rsid w:val="00F07A4D"/>
    <w:rsid w:val="00F1062B"/>
    <w:rsid w:val="00F1067A"/>
    <w:rsid w:val="00F1087E"/>
    <w:rsid w:val="00F10A38"/>
    <w:rsid w:val="00F10D2A"/>
    <w:rsid w:val="00F110EE"/>
    <w:rsid w:val="00F1119C"/>
    <w:rsid w:val="00F11465"/>
    <w:rsid w:val="00F1170E"/>
    <w:rsid w:val="00F1179A"/>
    <w:rsid w:val="00F1180B"/>
    <w:rsid w:val="00F1194A"/>
    <w:rsid w:val="00F11C9B"/>
    <w:rsid w:val="00F11F8B"/>
    <w:rsid w:val="00F122BB"/>
    <w:rsid w:val="00F131F9"/>
    <w:rsid w:val="00F139AF"/>
    <w:rsid w:val="00F13E97"/>
    <w:rsid w:val="00F14F32"/>
    <w:rsid w:val="00F14F95"/>
    <w:rsid w:val="00F150FB"/>
    <w:rsid w:val="00F15455"/>
    <w:rsid w:val="00F15541"/>
    <w:rsid w:val="00F1561F"/>
    <w:rsid w:val="00F15B31"/>
    <w:rsid w:val="00F1626E"/>
    <w:rsid w:val="00F16377"/>
    <w:rsid w:val="00F16B2C"/>
    <w:rsid w:val="00F200B5"/>
    <w:rsid w:val="00F20521"/>
    <w:rsid w:val="00F205CC"/>
    <w:rsid w:val="00F20C04"/>
    <w:rsid w:val="00F20F1F"/>
    <w:rsid w:val="00F21618"/>
    <w:rsid w:val="00F2164F"/>
    <w:rsid w:val="00F21731"/>
    <w:rsid w:val="00F21E1E"/>
    <w:rsid w:val="00F2200D"/>
    <w:rsid w:val="00F222A4"/>
    <w:rsid w:val="00F223EE"/>
    <w:rsid w:val="00F22819"/>
    <w:rsid w:val="00F22A6C"/>
    <w:rsid w:val="00F22E21"/>
    <w:rsid w:val="00F2304C"/>
    <w:rsid w:val="00F232C7"/>
    <w:rsid w:val="00F232FC"/>
    <w:rsid w:val="00F234A6"/>
    <w:rsid w:val="00F23A8A"/>
    <w:rsid w:val="00F23AE1"/>
    <w:rsid w:val="00F23D62"/>
    <w:rsid w:val="00F23E47"/>
    <w:rsid w:val="00F23EE5"/>
    <w:rsid w:val="00F23F0D"/>
    <w:rsid w:val="00F24109"/>
    <w:rsid w:val="00F245D4"/>
    <w:rsid w:val="00F24637"/>
    <w:rsid w:val="00F246AE"/>
    <w:rsid w:val="00F24987"/>
    <w:rsid w:val="00F24C7F"/>
    <w:rsid w:val="00F25164"/>
    <w:rsid w:val="00F2579F"/>
    <w:rsid w:val="00F25A0F"/>
    <w:rsid w:val="00F25D5B"/>
    <w:rsid w:val="00F26572"/>
    <w:rsid w:val="00F2710D"/>
    <w:rsid w:val="00F273C9"/>
    <w:rsid w:val="00F308A5"/>
    <w:rsid w:val="00F309D8"/>
    <w:rsid w:val="00F30ED2"/>
    <w:rsid w:val="00F30FA7"/>
    <w:rsid w:val="00F3128E"/>
    <w:rsid w:val="00F318B1"/>
    <w:rsid w:val="00F31AD5"/>
    <w:rsid w:val="00F31CF2"/>
    <w:rsid w:val="00F31FBA"/>
    <w:rsid w:val="00F32072"/>
    <w:rsid w:val="00F3211E"/>
    <w:rsid w:val="00F3221F"/>
    <w:rsid w:val="00F32407"/>
    <w:rsid w:val="00F32634"/>
    <w:rsid w:val="00F32C6D"/>
    <w:rsid w:val="00F336CD"/>
    <w:rsid w:val="00F33A60"/>
    <w:rsid w:val="00F33C55"/>
    <w:rsid w:val="00F33D44"/>
    <w:rsid w:val="00F3410B"/>
    <w:rsid w:val="00F34F1F"/>
    <w:rsid w:val="00F34FAA"/>
    <w:rsid w:val="00F3582B"/>
    <w:rsid w:val="00F35E60"/>
    <w:rsid w:val="00F35F73"/>
    <w:rsid w:val="00F35F9F"/>
    <w:rsid w:val="00F36673"/>
    <w:rsid w:val="00F3691B"/>
    <w:rsid w:val="00F36F17"/>
    <w:rsid w:val="00F36FEB"/>
    <w:rsid w:val="00F371A1"/>
    <w:rsid w:val="00F37292"/>
    <w:rsid w:val="00F37879"/>
    <w:rsid w:val="00F37E4D"/>
    <w:rsid w:val="00F40275"/>
    <w:rsid w:val="00F40BD4"/>
    <w:rsid w:val="00F40C2F"/>
    <w:rsid w:val="00F411B0"/>
    <w:rsid w:val="00F419C9"/>
    <w:rsid w:val="00F41DAB"/>
    <w:rsid w:val="00F4254F"/>
    <w:rsid w:val="00F42692"/>
    <w:rsid w:val="00F42C8D"/>
    <w:rsid w:val="00F432A9"/>
    <w:rsid w:val="00F43340"/>
    <w:rsid w:val="00F434BD"/>
    <w:rsid w:val="00F43966"/>
    <w:rsid w:val="00F43B13"/>
    <w:rsid w:val="00F43B20"/>
    <w:rsid w:val="00F43B41"/>
    <w:rsid w:val="00F43C03"/>
    <w:rsid w:val="00F43C04"/>
    <w:rsid w:val="00F43D08"/>
    <w:rsid w:val="00F4420F"/>
    <w:rsid w:val="00F446E5"/>
    <w:rsid w:val="00F44AAC"/>
    <w:rsid w:val="00F44B00"/>
    <w:rsid w:val="00F44DA5"/>
    <w:rsid w:val="00F44DCD"/>
    <w:rsid w:val="00F4512E"/>
    <w:rsid w:val="00F452C3"/>
    <w:rsid w:val="00F45380"/>
    <w:rsid w:val="00F453C4"/>
    <w:rsid w:val="00F4546C"/>
    <w:rsid w:val="00F45CB1"/>
    <w:rsid w:val="00F46476"/>
    <w:rsid w:val="00F467AA"/>
    <w:rsid w:val="00F46AB7"/>
    <w:rsid w:val="00F46D24"/>
    <w:rsid w:val="00F46EE7"/>
    <w:rsid w:val="00F472FA"/>
    <w:rsid w:val="00F4742C"/>
    <w:rsid w:val="00F474EB"/>
    <w:rsid w:val="00F4752A"/>
    <w:rsid w:val="00F50641"/>
    <w:rsid w:val="00F50E8A"/>
    <w:rsid w:val="00F512E1"/>
    <w:rsid w:val="00F515E3"/>
    <w:rsid w:val="00F51803"/>
    <w:rsid w:val="00F51B0C"/>
    <w:rsid w:val="00F51C87"/>
    <w:rsid w:val="00F524DF"/>
    <w:rsid w:val="00F5250D"/>
    <w:rsid w:val="00F52744"/>
    <w:rsid w:val="00F52CFA"/>
    <w:rsid w:val="00F5327B"/>
    <w:rsid w:val="00F53375"/>
    <w:rsid w:val="00F53623"/>
    <w:rsid w:val="00F5387D"/>
    <w:rsid w:val="00F54049"/>
    <w:rsid w:val="00F540D5"/>
    <w:rsid w:val="00F54119"/>
    <w:rsid w:val="00F54744"/>
    <w:rsid w:val="00F547F2"/>
    <w:rsid w:val="00F54CD9"/>
    <w:rsid w:val="00F55530"/>
    <w:rsid w:val="00F55537"/>
    <w:rsid w:val="00F5584A"/>
    <w:rsid w:val="00F563BE"/>
    <w:rsid w:val="00F56469"/>
    <w:rsid w:val="00F56855"/>
    <w:rsid w:val="00F5693E"/>
    <w:rsid w:val="00F56AC9"/>
    <w:rsid w:val="00F574D7"/>
    <w:rsid w:val="00F57706"/>
    <w:rsid w:val="00F6072E"/>
    <w:rsid w:val="00F60A50"/>
    <w:rsid w:val="00F60EA7"/>
    <w:rsid w:val="00F6140D"/>
    <w:rsid w:val="00F61C56"/>
    <w:rsid w:val="00F62086"/>
    <w:rsid w:val="00F6256B"/>
    <w:rsid w:val="00F62775"/>
    <w:rsid w:val="00F62E9D"/>
    <w:rsid w:val="00F62FAF"/>
    <w:rsid w:val="00F63748"/>
    <w:rsid w:val="00F63869"/>
    <w:rsid w:val="00F63DCE"/>
    <w:rsid w:val="00F642F7"/>
    <w:rsid w:val="00F646B3"/>
    <w:rsid w:val="00F64993"/>
    <w:rsid w:val="00F64DC5"/>
    <w:rsid w:val="00F64E1E"/>
    <w:rsid w:val="00F65873"/>
    <w:rsid w:val="00F65E61"/>
    <w:rsid w:val="00F66881"/>
    <w:rsid w:val="00F66B09"/>
    <w:rsid w:val="00F66C11"/>
    <w:rsid w:val="00F66EB2"/>
    <w:rsid w:val="00F66EF9"/>
    <w:rsid w:val="00F6701D"/>
    <w:rsid w:val="00F674D4"/>
    <w:rsid w:val="00F6761C"/>
    <w:rsid w:val="00F67A6B"/>
    <w:rsid w:val="00F67BF5"/>
    <w:rsid w:val="00F67F16"/>
    <w:rsid w:val="00F7044C"/>
    <w:rsid w:val="00F70EB0"/>
    <w:rsid w:val="00F70F05"/>
    <w:rsid w:val="00F70FC1"/>
    <w:rsid w:val="00F71271"/>
    <w:rsid w:val="00F7143D"/>
    <w:rsid w:val="00F7144E"/>
    <w:rsid w:val="00F718E2"/>
    <w:rsid w:val="00F724DA"/>
    <w:rsid w:val="00F730FC"/>
    <w:rsid w:val="00F73148"/>
    <w:rsid w:val="00F7350B"/>
    <w:rsid w:val="00F7361F"/>
    <w:rsid w:val="00F73C5C"/>
    <w:rsid w:val="00F73D9B"/>
    <w:rsid w:val="00F73EAB"/>
    <w:rsid w:val="00F743C9"/>
    <w:rsid w:val="00F74585"/>
    <w:rsid w:val="00F74757"/>
    <w:rsid w:val="00F747D0"/>
    <w:rsid w:val="00F74BF3"/>
    <w:rsid w:val="00F75C12"/>
    <w:rsid w:val="00F75CCD"/>
    <w:rsid w:val="00F75DF7"/>
    <w:rsid w:val="00F75FEB"/>
    <w:rsid w:val="00F760A6"/>
    <w:rsid w:val="00F770BB"/>
    <w:rsid w:val="00F771F9"/>
    <w:rsid w:val="00F77377"/>
    <w:rsid w:val="00F779E3"/>
    <w:rsid w:val="00F779E6"/>
    <w:rsid w:val="00F77CDD"/>
    <w:rsid w:val="00F77D62"/>
    <w:rsid w:val="00F80A99"/>
    <w:rsid w:val="00F80FFF"/>
    <w:rsid w:val="00F81457"/>
    <w:rsid w:val="00F818AD"/>
    <w:rsid w:val="00F81CD9"/>
    <w:rsid w:val="00F81FE8"/>
    <w:rsid w:val="00F82278"/>
    <w:rsid w:val="00F82380"/>
    <w:rsid w:val="00F823A3"/>
    <w:rsid w:val="00F824E8"/>
    <w:rsid w:val="00F82ADD"/>
    <w:rsid w:val="00F82DB0"/>
    <w:rsid w:val="00F8341D"/>
    <w:rsid w:val="00F83534"/>
    <w:rsid w:val="00F837A3"/>
    <w:rsid w:val="00F83BE7"/>
    <w:rsid w:val="00F83E48"/>
    <w:rsid w:val="00F8415E"/>
    <w:rsid w:val="00F84A73"/>
    <w:rsid w:val="00F84AEA"/>
    <w:rsid w:val="00F84BAE"/>
    <w:rsid w:val="00F84E5A"/>
    <w:rsid w:val="00F86054"/>
    <w:rsid w:val="00F868E0"/>
    <w:rsid w:val="00F86F60"/>
    <w:rsid w:val="00F8788E"/>
    <w:rsid w:val="00F900EA"/>
    <w:rsid w:val="00F90B58"/>
    <w:rsid w:val="00F91495"/>
    <w:rsid w:val="00F91D2F"/>
    <w:rsid w:val="00F9218A"/>
    <w:rsid w:val="00F92949"/>
    <w:rsid w:val="00F92AA5"/>
    <w:rsid w:val="00F92B7D"/>
    <w:rsid w:val="00F9341D"/>
    <w:rsid w:val="00F935DE"/>
    <w:rsid w:val="00F93ED3"/>
    <w:rsid w:val="00F942FA"/>
    <w:rsid w:val="00F94499"/>
    <w:rsid w:val="00F94522"/>
    <w:rsid w:val="00F94960"/>
    <w:rsid w:val="00F94BA3"/>
    <w:rsid w:val="00F94C03"/>
    <w:rsid w:val="00F94D55"/>
    <w:rsid w:val="00F94E57"/>
    <w:rsid w:val="00F9561E"/>
    <w:rsid w:val="00F957A9"/>
    <w:rsid w:val="00F95DB2"/>
    <w:rsid w:val="00F95ED2"/>
    <w:rsid w:val="00F96484"/>
    <w:rsid w:val="00F96579"/>
    <w:rsid w:val="00F96A06"/>
    <w:rsid w:val="00F96C7B"/>
    <w:rsid w:val="00F96F08"/>
    <w:rsid w:val="00F97176"/>
    <w:rsid w:val="00F97425"/>
    <w:rsid w:val="00F977E6"/>
    <w:rsid w:val="00F97A6C"/>
    <w:rsid w:val="00F97BFD"/>
    <w:rsid w:val="00F97CA8"/>
    <w:rsid w:val="00F97FF0"/>
    <w:rsid w:val="00FA051F"/>
    <w:rsid w:val="00FA088E"/>
    <w:rsid w:val="00FA1741"/>
    <w:rsid w:val="00FA1AF4"/>
    <w:rsid w:val="00FA1DF1"/>
    <w:rsid w:val="00FA206F"/>
    <w:rsid w:val="00FA2B92"/>
    <w:rsid w:val="00FA4621"/>
    <w:rsid w:val="00FA4975"/>
    <w:rsid w:val="00FA4C34"/>
    <w:rsid w:val="00FA4D9D"/>
    <w:rsid w:val="00FA5D5E"/>
    <w:rsid w:val="00FA63DA"/>
    <w:rsid w:val="00FA648B"/>
    <w:rsid w:val="00FA65A5"/>
    <w:rsid w:val="00FA6D4C"/>
    <w:rsid w:val="00FA7527"/>
    <w:rsid w:val="00FA7994"/>
    <w:rsid w:val="00FA7B1B"/>
    <w:rsid w:val="00FA7E14"/>
    <w:rsid w:val="00FB02E2"/>
    <w:rsid w:val="00FB05D4"/>
    <w:rsid w:val="00FB0D5B"/>
    <w:rsid w:val="00FB0F73"/>
    <w:rsid w:val="00FB1037"/>
    <w:rsid w:val="00FB11DD"/>
    <w:rsid w:val="00FB1B94"/>
    <w:rsid w:val="00FB1F5C"/>
    <w:rsid w:val="00FB1F8B"/>
    <w:rsid w:val="00FB2188"/>
    <w:rsid w:val="00FB2359"/>
    <w:rsid w:val="00FB262F"/>
    <w:rsid w:val="00FB2CA6"/>
    <w:rsid w:val="00FB3038"/>
    <w:rsid w:val="00FB3440"/>
    <w:rsid w:val="00FB38B2"/>
    <w:rsid w:val="00FB3949"/>
    <w:rsid w:val="00FB414A"/>
    <w:rsid w:val="00FB43B4"/>
    <w:rsid w:val="00FB4567"/>
    <w:rsid w:val="00FB45EF"/>
    <w:rsid w:val="00FB492C"/>
    <w:rsid w:val="00FB4A48"/>
    <w:rsid w:val="00FB581F"/>
    <w:rsid w:val="00FB601D"/>
    <w:rsid w:val="00FB650C"/>
    <w:rsid w:val="00FB67ED"/>
    <w:rsid w:val="00FB6CED"/>
    <w:rsid w:val="00FB6CF3"/>
    <w:rsid w:val="00FB6D3D"/>
    <w:rsid w:val="00FB6FE7"/>
    <w:rsid w:val="00FB74CF"/>
    <w:rsid w:val="00FB75D4"/>
    <w:rsid w:val="00FB771D"/>
    <w:rsid w:val="00FB77F4"/>
    <w:rsid w:val="00FB7BFA"/>
    <w:rsid w:val="00FC0262"/>
    <w:rsid w:val="00FC16D7"/>
    <w:rsid w:val="00FC1848"/>
    <w:rsid w:val="00FC1C6A"/>
    <w:rsid w:val="00FC2537"/>
    <w:rsid w:val="00FC26AD"/>
    <w:rsid w:val="00FC2CCF"/>
    <w:rsid w:val="00FC2EF3"/>
    <w:rsid w:val="00FC3125"/>
    <w:rsid w:val="00FC31A7"/>
    <w:rsid w:val="00FC3218"/>
    <w:rsid w:val="00FC32F8"/>
    <w:rsid w:val="00FC3373"/>
    <w:rsid w:val="00FC36A8"/>
    <w:rsid w:val="00FC37EC"/>
    <w:rsid w:val="00FC3CC6"/>
    <w:rsid w:val="00FC3EB0"/>
    <w:rsid w:val="00FC49D7"/>
    <w:rsid w:val="00FC4BE9"/>
    <w:rsid w:val="00FC4D27"/>
    <w:rsid w:val="00FC4E87"/>
    <w:rsid w:val="00FC4EB4"/>
    <w:rsid w:val="00FC50B2"/>
    <w:rsid w:val="00FC51BE"/>
    <w:rsid w:val="00FC5292"/>
    <w:rsid w:val="00FC564D"/>
    <w:rsid w:val="00FC57C8"/>
    <w:rsid w:val="00FC5A11"/>
    <w:rsid w:val="00FC5A62"/>
    <w:rsid w:val="00FC5AD6"/>
    <w:rsid w:val="00FC625E"/>
    <w:rsid w:val="00FC6C60"/>
    <w:rsid w:val="00FC6FC8"/>
    <w:rsid w:val="00FC745D"/>
    <w:rsid w:val="00FC761F"/>
    <w:rsid w:val="00FC7CA1"/>
    <w:rsid w:val="00FD0192"/>
    <w:rsid w:val="00FD021E"/>
    <w:rsid w:val="00FD039E"/>
    <w:rsid w:val="00FD039F"/>
    <w:rsid w:val="00FD0483"/>
    <w:rsid w:val="00FD05B7"/>
    <w:rsid w:val="00FD0914"/>
    <w:rsid w:val="00FD0E98"/>
    <w:rsid w:val="00FD151A"/>
    <w:rsid w:val="00FD161B"/>
    <w:rsid w:val="00FD168C"/>
    <w:rsid w:val="00FD17B5"/>
    <w:rsid w:val="00FD1812"/>
    <w:rsid w:val="00FD1AA3"/>
    <w:rsid w:val="00FD1B1A"/>
    <w:rsid w:val="00FD1B1F"/>
    <w:rsid w:val="00FD1B4C"/>
    <w:rsid w:val="00FD1D92"/>
    <w:rsid w:val="00FD1F73"/>
    <w:rsid w:val="00FD24E1"/>
    <w:rsid w:val="00FD2748"/>
    <w:rsid w:val="00FD2AEA"/>
    <w:rsid w:val="00FD2B6B"/>
    <w:rsid w:val="00FD2EEC"/>
    <w:rsid w:val="00FD391B"/>
    <w:rsid w:val="00FD4749"/>
    <w:rsid w:val="00FD4839"/>
    <w:rsid w:val="00FD49CA"/>
    <w:rsid w:val="00FD4AB1"/>
    <w:rsid w:val="00FD4F8B"/>
    <w:rsid w:val="00FD5334"/>
    <w:rsid w:val="00FD537E"/>
    <w:rsid w:val="00FD54CC"/>
    <w:rsid w:val="00FD58C3"/>
    <w:rsid w:val="00FD6244"/>
    <w:rsid w:val="00FD66B3"/>
    <w:rsid w:val="00FD6BE4"/>
    <w:rsid w:val="00FD6C9B"/>
    <w:rsid w:val="00FD6EF7"/>
    <w:rsid w:val="00FD70CB"/>
    <w:rsid w:val="00FD755D"/>
    <w:rsid w:val="00FD756B"/>
    <w:rsid w:val="00FD7599"/>
    <w:rsid w:val="00FD779C"/>
    <w:rsid w:val="00FD7ADE"/>
    <w:rsid w:val="00FD7BF6"/>
    <w:rsid w:val="00FD7C4A"/>
    <w:rsid w:val="00FE01A1"/>
    <w:rsid w:val="00FE0654"/>
    <w:rsid w:val="00FE085D"/>
    <w:rsid w:val="00FE0A67"/>
    <w:rsid w:val="00FE0D72"/>
    <w:rsid w:val="00FE0DBA"/>
    <w:rsid w:val="00FE1549"/>
    <w:rsid w:val="00FE164A"/>
    <w:rsid w:val="00FE1737"/>
    <w:rsid w:val="00FE18D0"/>
    <w:rsid w:val="00FE1C52"/>
    <w:rsid w:val="00FE29FD"/>
    <w:rsid w:val="00FE4AD0"/>
    <w:rsid w:val="00FE4F13"/>
    <w:rsid w:val="00FE4F2E"/>
    <w:rsid w:val="00FE50C6"/>
    <w:rsid w:val="00FE50E9"/>
    <w:rsid w:val="00FE54D2"/>
    <w:rsid w:val="00FE590B"/>
    <w:rsid w:val="00FE5AD9"/>
    <w:rsid w:val="00FE5AF6"/>
    <w:rsid w:val="00FE5B32"/>
    <w:rsid w:val="00FE621F"/>
    <w:rsid w:val="00FE6882"/>
    <w:rsid w:val="00FE69B6"/>
    <w:rsid w:val="00FE6E3B"/>
    <w:rsid w:val="00FE7222"/>
    <w:rsid w:val="00FE77E5"/>
    <w:rsid w:val="00FE78FA"/>
    <w:rsid w:val="00FF0248"/>
    <w:rsid w:val="00FF04B1"/>
    <w:rsid w:val="00FF0855"/>
    <w:rsid w:val="00FF0884"/>
    <w:rsid w:val="00FF0A0B"/>
    <w:rsid w:val="00FF1526"/>
    <w:rsid w:val="00FF1D25"/>
    <w:rsid w:val="00FF1E4D"/>
    <w:rsid w:val="00FF1F13"/>
    <w:rsid w:val="00FF246B"/>
    <w:rsid w:val="00FF2747"/>
    <w:rsid w:val="00FF2911"/>
    <w:rsid w:val="00FF2DDE"/>
    <w:rsid w:val="00FF2E63"/>
    <w:rsid w:val="00FF37DA"/>
    <w:rsid w:val="00FF3897"/>
    <w:rsid w:val="00FF3E48"/>
    <w:rsid w:val="00FF4292"/>
    <w:rsid w:val="00FF45F5"/>
    <w:rsid w:val="00FF4892"/>
    <w:rsid w:val="00FF4A53"/>
    <w:rsid w:val="00FF4A9D"/>
    <w:rsid w:val="00FF4F6D"/>
    <w:rsid w:val="00FF560B"/>
    <w:rsid w:val="00FF63A1"/>
    <w:rsid w:val="00FF6478"/>
    <w:rsid w:val="00FF6A69"/>
    <w:rsid w:val="00FF6D71"/>
    <w:rsid w:val="00FF6D9E"/>
    <w:rsid w:val="00FF79A3"/>
    <w:rsid w:val="00FF7CCC"/>
    <w:rsid w:val="00FF7F69"/>
    <w:rsid w:val="03BB708A"/>
    <w:rsid w:val="041A8A77"/>
    <w:rsid w:val="07876932"/>
    <w:rsid w:val="078EE0E6"/>
    <w:rsid w:val="0C4B88A5"/>
    <w:rsid w:val="0D611D46"/>
    <w:rsid w:val="0D7F6F5E"/>
    <w:rsid w:val="0E35D909"/>
    <w:rsid w:val="12626BAE"/>
    <w:rsid w:val="13C4164C"/>
    <w:rsid w:val="16F3069B"/>
    <w:rsid w:val="17F385CC"/>
    <w:rsid w:val="1C5ED497"/>
    <w:rsid w:val="1D5E4EAC"/>
    <w:rsid w:val="21BEE3DD"/>
    <w:rsid w:val="26DD2CBC"/>
    <w:rsid w:val="29BE0F36"/>
    <w:rsid w:val="2AEC7E56"/>
    <w:rsid w:val="346BF4C5"/>
    <w:rsid w:val="378637BC"/>
    <w:rsid w:val="4105A65C"/>
    <w:rsid w:val="4198553C"/>
    <w:rsid w:val="440F8B98"/>
    <w:rsid w:val="44A47447"/>
    <w:rsid w:val="48A426F5"/>
    <w:rsid w:val="4A661200"/>
    <w:rsid w:val="4B4AE96D"/>
    <w:rsid w:val="4C31B40E"/>
    <w:rsid w:val="4CAAAC84"/>
    <w:rsid w:val="4E44E4AB"/>
    <w:rsid w:val="4E8B73D4"/>
    <w:rsid w:val="58208940"/>
    <w:rsid w:val="68AF24B3"/>
    <w:rsid w:val="6AB6C57F"/>
    <w:rsid w:val="6DB94963"/>
    <w:rsid w:val="6E891482"/>
    <w:rsid w:val="6F9A10B3"/>
    <w:rsid w:val="717F8EC6"/>
    <w:rsid w:val="7210A589"/>
    <w:rsid w:val="733265C9"/>
    <w:rsid w:val="73B307B5"/>
    <w:rsid w:val="74958EED"/>
    <w:rsid w:val="74BF00F7"/>
    <w:rsid w:val="74D7136E"/>
    <w:rsid w:val="7504219C"/>
    <w:rsid w:val="77379BFD"/>
    <w:rsid w:val="785D100C"/>
    <w:rsid w:val="7A553951"/>
    <w:rsid w:val="7A7358C5"/>
    <w:rsid w:val="7BD1A8DC"/>
    <w:rsid w:val="7C1CF14A"/>
    <w:rsid w:val="7EE47647"/>
    <w:rsid w:val="7EEF87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25A18"/>
  <w15:docId w15:val="{3FB470CC-47F2-43C4-B140-D6AAC0B8C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DED"/>
    <w:pPr>
      <w:spacing w:after="120" w:line="240" w:lineRule="auto"/>
    </w:pPr>
    <w:rPr>
      <w:rFonts w:ascii="Arial" w:hAnsi="Arial"/>
    </w:rPr>
  </w:style>
  <w:style w:type="paragraph" w:styleId="Heading1">
    <w:name w:val="heading 1"/>
    <w:basedOn w:val="Normal"/>
    <w:next w:val="Normal"/>
    <w:link w:val="Heading1Char"/>
    <w:uiPriority w:val="1"/>
    <w:qFormat/>
    <w:rsid w:val="0026619F"/>
    <w:pPr>
      <w:keepNext/>
      <w:numPr>
        <w:numId w:val="2"/>
      </w:numPr>
      <w:spacing w:after="240" w:line="440" w:lineRule="exact"/>
      <w:outlineLvl w:val="0"/>
    </w:pPr>
    <w:rPr>
      <w:rFonts w:eastAsia="Times New Roman" w:cs="Times New Roman"/>
      <w:b/>
      <w:color w:val="1F2A44" w:themeColor="text2"/>
      <w:sz w:val="36"/>
      <w:szCs w:val="19"/>
      <w:lang w:val="en-AU" w:eastAsia="en-AU"/>
    </w:rPr>
  </w:style>
  <w:style w:type="paragraph" w:styleId="Heading2">
    <w:name w:val="heading 2"/>
    <w:basedOn w:val="Normal"/>
    <w:next w:val="Normal"/>
    <w:link w:val="Heading2Char"/>
    <w:uiPriority w:val="1"/>
    <w:qFormat/>
    <w:rsid w:val="0026619F"/>
    <w:pPr>
      <w:keepNext/>
      <w:numPr>
        <w:ilvl w:val="1"/>
        <w:numId w:val="2"/>
      </w:numPr>
      <w:spacing w:before="480" w:after="180"/>
      <w:outlineLvl w:val="1"/>
    </w:pPr>
    <w:rPr>
      <w:rFonts w:eastAsia="Times New Roman" w:cs="Times New Roman"/>
      <w:b/>
      <w:color w:val="1F2A44" w:themeColor="text2"/>
      <w:sz w:val="30"/>
      <w:szCs w:val="19"/>
      <w:lang w:val="en-AU" w:eastAsia="en-AU"/>
    </w:rPr>
  </w:style>
  <w:style w:type="paragraph" w:styleId="Heading3">
    <w:name w:val="heading 3"/>
    <w:basedOn w:val="Normal"/>
    <w:next w:val="Normal"/>
    <w:link w:val="Heading3Char"/>
    <w:uiPriority w:val="1"/>
    <w:qFormat/>
    <w:rsid w:val="00D17529"/>
    <w:pPr>
      <w:keepNext/>
      <w:numPr>
        <w:ilvl w:val="2"/>
        <w:numId w:val="2"/>
      </w:numPr>
      <w:spacing w:before="480" w:after="60"/>
      <w:outlineLvl w:val="2"/>
    </w:pPr>
    <w:rPr>
      <w:rFonts w:eastAsia="Times New Roman" w:cs="Times New Roman"/>
      <w:b/>
      <w:color w:val="1F2A44" w:themeColor="text2"/>
      <w:sz w:val="26"/>
      <w:szCs w:val="19"/>
      <w:lang w:val="en-AU" w:eastAsia="en-AU"/>
    </w:rPr>
  </w:style>
  <w:style w:type="paragraph" w:styleId="Heading4">
    <w:name w:val="heading 4"/>
    <w:basedOn w:val="Normal"/>
    <w:next w:val="Normal"/>
    <w:link w:val="Heading4Char"/>
    <w:uiPriority w:val="1"/>
    <w:qFormat/>
    <w:rsid w:val="0026619F"/>
    <w:pPr>
      <w:keepNext/>
      <w:spacing w:before="240" w:after="60"/>
      <w:outlineLvl w:val="3"/>
    </w:pPr>
    <w:rPr>
      <w:rFonts w:eastAsia="Times New Roman" w:cs="Times New Roman"/>
      <w:b/>
      <w:color w:val="40C1AC" w:themeColor="accent5"/>
      <w:sz w:val="24"/>
      <w:szCs w:val="19"/>
      <w:lang w:val="en-AU" w:eastAsia="en-AU"/>
    </w:rPr>
  </w:style>
  <w:style w:type="paragraph" w:styleId="Heading5">
    <w:name w:val="heading 5"/>
    <w:basedOn w:val="Normal"/>
    <w:next w:val="Normal"/>
    <w:link w:val="Heading5Char"/>
    <w:uiPriority w:val="1"/>
    <w:qFormat/>
    <w:rsid w:val="00085F03"/>
    <w:pPr>
      <w:keepNext/>
      <w:numPr>
        <w:ilvl w:val="4"/>
        <w:numId w:val="2"/>
      </w:numPr>
      <w:spacing w:before="240" w:after="60"/>
      <w:outlineLvl w:val="4"/>
    </w:pPr>
    <w:rPr>
      <w:rFonts w:eastAsia="Times New Roman" w:cs="Times New Roman"/>
      <w:b/>
      <w:color w:val="1F2A44" w:themeColor="text2"/>
      <w:szCs w:val="24"/>
      <w:lang w:val="en-AU" w:eastAsia="en-AU"/>
    </w:rPr>
  </w:style>
  <w:style w:type="paragraph" w:styleId="Heading6">
    <w:name w:val="heading 6"/>
    <w:basedOn w:val="Normal"/>
    <w:next w:val="Normal"/>
    <w:link w:val="Heading6Char"/>
    <w:uiPriority w:val="19"/>
    <w:semiHidden/>
    <w:qFormat/>
    <w:rsid w:val="00BA3DB6"/>
    <w:pPr>
      <w:keepNext/>
      <w:keepLines/>
      <w:numPr>
        <w:ilvl w:val="5"/>
        <w:numId w:val="2"/>
      </w:numPr>
      <w:tabs>
        <w:tab w:val="num" w:pos="360"/>
      </w:tabs>
      <w:spacing w:before="200" w:after="60"/>
      <w:outlineLvl w:val="5"/>
    </w:pPr>
    <w:rPr>
      <w:rFonts w:eastAsiaTheme="majorEastAsia" w:cstheme="majorBidi"/>
      <w:b/>
      <w:i/>
      <w:iCs/>
      <w:color w:val="00264D"/>
      <w:szCs w:val="19"/>
      <w:lang w:val="en-AU" w:eastAsia="en-AU"/>
    </w:rPr>
  </w:style>
  <w:style w:type="paragraph" w:styleId="Heading7">
    <w:name w:val="heading 7"/>
    <w:basedOn w:val="Normal"/>
    <w:next w:val="Normal"/>
    <w:link w:val="Heading7Char"/>
    <w:uiPriority w:val="19"/>
    <w:semiHidden/>
    <w:rsid w:val="000137F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0137F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BDD9F1" w:themeColor="accent1" w:themeTint="99"/>
        <w:insideV w:val="single" w:sz="4" w:space="0" w:color="BDD9F1"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92C1E9" w:themeFill="accent1"/>
      </w:tcPr>
    </w:tblStylePr>
    <w:tblStylePr w:type="lastRow">
      <w:tblPr/>
      <w:tcPr>
        <w:tcBorders>
          <w:top w:val="double" w:sz="4" w:space="0" w:color="92C1E9" w:themeColor="accent1"/>
        </w:tcBorders>
      </w:tcPr>
    </w:tblStylePr>
    <w:tblStylePr w:type="firstCol">
      <w:rPr>
        <w:b w:val="0"/>
        <w:color w:val="FFFFFF" w:themeColor="background1"/>
      </w:rPr>
      <w:tblPr/>
      <w:tcPr>
        <w:shd w:val="clear" w:color="auto" w:fill="92C1E9" w:themeFill="accent1"/>
      </w:tcPr>
    </w:tblStylePr>
    <w:tblStylePr w:type="lastCol">
      <w:tblPr/>
      <w:tcPr>
        <w:tcBorders>
          <w:left w:val="double" w:sz="4" w:space="0" w:color="92C1E9" w:themeColor="accent1"/>
        </w:tcBorders>
      </w:tcPr>
    </w:tblStylePr>
  </w:style>
  <w:style w:type="character" w:customStyle="1" w:styleId="Heading1Char">
    <w:name w:val="Heading 1 Char"/>
    <w:basedOn w:val="DefaultParagraphFont"/>
    <w:link w:val="Heading1"/>
    <w:uiPriority w:val="1"/>
    <w:rsid w:val="0026619F"/>
    <w:rPr>
      <w:rFonts w:ascii="Arial" w:eastAsia="Times New Roman" w:hAnsi="Arial" w:cs="Times New Roman"/>
      <w:b/>
      <w:color w:val="1F2A44" w:themeColor="text2"/>
      <w:sz w:val="36"/>
      <w:szCs w:val="19"/>
      <w:lang w:val="en-AU" w:eastAsia="en-AU"/>
    </w:rPr>
  </w:style>
  <w:style w:type="character" w:customStyle="1" w:styleId="Heading2Char">
    <w:name w:val="Heading 2 Char"/>
    <w:basedOn w:val="DefaultParagraphFont"/>
    <w:link w:val="Heading2"/>
    <w:uiPriority w:val="1"/>
    <w:rsid w:val="0026619F"/>
    <w:rPr>
      <w:rFonts w:ascii="Arial" w:eastAsia="Times New Roman" w:hAnsi="Arial" w:cs="Times New Roman"/>
      <w:b/>
      <w:color w:val="1F2A44" w:themeColor="text2"/>
      <w:sz w:val="30"/>
      <w:szCs w:val="19"/>
      <w:lang w:val="en-AU" w:eastAsia="en-AU"/>
    </w:rPr>
  </w:style>
  <w:style w:type="character" w:customStyle="1" w:styleId="Heading3Char">
    <w:name w:val="Heading 3 Char"/>
    <w:basedOn w:val="DefaultParagraphFont"/>
    <w:link w:val="Heading3"/>
    <w:uiPriority w:val="1"/>
    <w:rsid w:val="00D17529"/>
    <w:rPr>
      <w:rFonts w:ascii="Arial" w:eastAsia="Times New Roman" w:hAnsi="Arial" w:cs="Times New Roman"/>
      <w:b/>
      <w:color w:val="1F2A44" w:themeColor="text2"/>
      <w:sz w:val="26"/>
      <w:szCs w:val="19"/>
      <w:lang w:val="en-AU" w:eastAsia="en-AU"/>
    </w:rPr>
  </w:style>
  <w:style w:type="character" w:customStyle="1" w:styleId="Heading4Char">
    <w:name w:val="Heading 4 Char"/>
    <w:basedOn w:val="DefaultParagraphFont"/>
    <w:link w:val="Heading4"/>
    <w:uiPriority w:val="1"/>
    <w:rsid w:val="0026619F"/>
    <w:rPr>
      <w:rFonts w:ascii="Arial" w:eastAsia="Times New Roman" w:hAnsi="Arial" w:cs="Times New Roman"/>
      <w:b/>
      <w:color w:val="40C1AC" w:themeColor="accent5"/>
      <w:sz w:val="24"/>
      <w:szCs w:val="19"/>
      <w:lang w:val="en-AU" w:eastAsia="en-AU"/>
    </w:rPr>
  </w:style>
  <w:style w:type="character" w:customStyle="1" w:styleId="Heading5Char">
    <w:name w:val="Heading 5 Char"/>
    <w:basedOn w:val="DefaultParagraphFont"/>
    <w:link w:val="Heading5"/>
    <w:uiPriority w:val="1"/>
    <w:rsid w:val="0026619F"/>
    <w:rPr>
      <w:rFonts w:ascii="Arial" w:eastAsia="Times New Roman" w:hAnsi="Arial" w:cs="Times New Roman"/>
      <w:b/>
      <w:color w:val="1F2A44" w:themeColor="text2"/>
      <w:szCs w:val="24"/>
      <w:lang w:val="en-AU" w:eastAsia="en-AU"/>
    </w:rPr>
  </w:style>
  <w:style w:type="character" w:customStyle="1" w:styleId="Heading6Char">
    <w:name w:val="Heading 6 Char"/>
    <w:basedOn w:val="DefaultParagraphFont"/>
    <w:link w:val="Heading6"/>
    <w:uiPriority w:val="19"/>
    <w:semiHidden/>
    <w:rsid w:val="008C19F4"/>
    <w:rPr>
      <w:rFonts w:ascii="Arial" w:eastAsiaTheme="majorEastAsia" w:hAnsi="Arial" w:cstheme="majorBidi"/>
      <w:b/>
      <w:i/>
      <w:iCs/>
      <w:color w:val="00264D"/>
      <w:szCs w:val="19"/>
      <w:lang w:val="en-AU" w:eastAsia="en-AU"/>
    </w:rPr>
  </w:style>
  <w:style w:type="paragraph" w:customStyle="1" w:styleId="Bullet">
    <w:name w:val="Bullet"/>
    <w:basedOn w:val="Normal"/>
    <w:link w:val="BulletChar"/>
    <w:uiPriority w:val="2"/>
    <w:qFormat/>
    <w:rsid w:val="00E20B2B"/>
    <w:pPr>
      <w:numPr>
        <w:ilvl w:val="1"/>
        <w:numId w:val="12"/>
      </w:numPr>
      <w:suppressAutoHyphens/>
    </w:pPr>
    <w:rPr>
      <w:rFonts w:eastAsia="Times New Roman" w:cs="Times New Roman"/>
      <w:szCs w:val="19"/>
      <w:lang w:val="en-AU" w:eastAsia="en-AU"/>
    </w:rPr>
  </w:style>
  <w:style w:type="paragraph" w:customStyle="1" w:styleId="TableNheader">
    <w:name w:val="Table N header"/>
    <w:basedOn w:val="Heading5"/>
    <w:uiPriority w:val="2"/>
    <w:qFormat/>
    <w:rsid w:val="0026619F"/>
    <w:pPr>
      <w:numPr>
        <w:ilvl w:val="0"/>
        <w:numId w:val="0"/>
      </w:numPr>
      <w:spacing w:before="40" w:after="40"/>
    </w:pPr>
    <w:rPr>
      <w:b w:val="0"/>
      <w:sz w:val="18"/>
    </w:rPr>
  </w:style>
  <w:style w:type="paragraph" w:customStyle="1" w:styleId="TableNText">
    <w:name w:val="Table N Text"/>
    <w:basedOn w:val="TableNheader"/>
    <w:uiPriority w:val="2"/>
    <w:qFormat/>
    <w:rsid w:val="00E06DED"/>
    <w:rPr>
      <w:color w:val="auto"/>
      <w:sz w:val="17"/>
    </w:rPr>
  </w:style>
  <w:style w:type="table" w:customStyle="1" w:styleId="NousTableStyletopandsideheading">
    <w:name w:val="Nous Table Style top and side heading"/>
    <w:basedOn w:val="TableNormal"/>
    <w:uiPriority w:val="99"/>
    <w:rsid w:val="00E234F6"/>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Nirmala UI Semilight" w:hAnsi="Nirmala UI Semilight"/>
        <w:b/>
        <w:color w:val="E7E6E6" w:themeColor="background2"/>
        <w:sz w:val="18"/>
      </w:rPr>
      <w:tblPr/>
      <w:tcPr>
        <w:tcBorders>
          <w:top w:val="single" w:sz="24" w:space="0" w:color="B580D1" w:themeColor="accent3"/>
          <w:insideV w:val="single" w:sz="8" w:space="0" w:color="FFFFFF" w:themeColor="background1"/>
        </w:tcBorders>
        <w:shd w:val="clear" w:color="auto" w:fill="40C1AC" w:themeFill="accent5"/>
      </w:tcPr>
    </w:tblStylePr>
    <w:tblStylePr w:type="firstCol">
      <w:pPr>
        <w:jc w:val="center"/>
      </w:pPr>
      <w:rPr>
        <w:rFonts w:ascii="Nirmala UI Semilight" w:hAnsi="Nirmala UI Semilight"/>
        <w:b/>
        <w:color w:val="E7E6E6" w:themeColor="background2"/>
        <w:sz w:val="18"/>
      </w:rPr>
      <w:tblPr/>
      <w:tcPr>
        <w:tcBorders>
          <w:left w:val="nil"/>
        </w:tcBorders>
        <w:shd w:val="clear" w:color="auto" w:fill="40C1AC" w:themeFill="accent5"/>
      </w:tcPr>
    </w:tblStylePr>
  </w:style>
  <w:style w:type="paragraph" w:styleId="Footer">
    <w:name w:val="footer"/>
    <w:basedOn w:val="Normal"/>
    <w:link w:val="FooterChar"/>
    <w:uiPriority w:val="99"/>
    <w:unhideWhenUsed/>
    <w:rsid w:val="00865A27"/>
    <w:pPr>
      <w:tabs>
        <w:tab w:val="center" w:pos="4513"/>
        <w:tab w:val="right" w:pos="9026"/>
      </w:tabs>
      <w:spacing w:after="0"/>
    </w:pPr>
    <w:rPr>
      <w:sz w:val="15"/>
    </w:rPr>
  </w:style>
  <w:style w:type="character" w:customStyle="1" w:styleId="FooterChar">
    <w:name w:val="Footer Char"/>
    <w:basedOn w:val="DefaultParagraphFont"/>
    <w:link w:val="Footer"/>
    <w:uiPriority w:val="99"/>
    <w:rsid w:val="00865A27"/>
    <w:rPr>
      <w:rFonts w:ascii="Segoe UI" w:hAnsi="Segoe UI"/>
      <w:sz w:val="15"/>
    </w:rPr>
  </w:style>
  <w:style w:type="paragraph" w:styleId="Caption">
    <w:name w:val="caption"/>
    <w:basedOn w:val="Normal"/>
    <w:next w:val="Normal"/>
    <w:uiPriority w:val="35"/>
    <w:qFormat/>
    <w:rsid w:val="0026619F"/>
    <w:pPr>
      <w:keepNext/>
      <w:spacing w:before="360" w:after="165" w:line="259" w:lineRule="auto"/>
    </w:pPr>
    <w:rPr>
      <w:bCs/>
      <w:color w:val="1F2A44" w:themeColor="text2"/>
      <w:szCs w:val="18"/>
      <w:lang w:val="en-AU"/>
    </w:rPr>
  </w:style>
  <w:style w:type="paragraph" w:customStyle="1" w:styleId="TableNBullet">
    <w:name w:val="Table N Bullet"/>
    <w:basedOn w:val="Bullet"/>
    <w:link w:val="TableNBulletChar"/>
    <w:uiPriority w:val="9"/>
    <w:qFormat/>
    <w:rsid w:val="0073030E"/>
    <w:pPr>
      <w:numPr>
        <w:ilvl w:val="0"/>
        <w:numId w:val="0"/>
      </w:numPr>
      <w:spacing w:before="40" w:after="40"/>
      <w:ind w:left="227" w:hanging="227"/>
    </w:pPr>
    <w:rPr>
      <w:sz w:val="17"/>
    </w:rPr>
  </w:style>
  <w:style w:type="paragraph" w:customStyle="1" w:styleId="TableNListnumbered">
    <w:name w:val="Table N List (numbered)"/>
    <w:basedOn w:val="TableNBullet"/>
    <w:uiPriority w:val="2"/>
    <w:qFormat/>
    <w:rsid w:val="00865A27"/>
    <w:pPr>
      <w:ind w:left="284" w:hanging="284"/>
    </w:pPr>
  </w:style>
  <w:style w:type="paragraph" w:customStyle="1" w:styleId="xAppendixLevel1">
    <w:name w:val="xAppendix Level 1"/>
    <w:basedOn w:val="Heading1"/>
    <w:next w:val="Normal"/>
    <w:uiPriority w:val="98"/>
    <w:qFormat/>
    <w:rsid w:val="008A5BE3"/>
    <w:pPr>
      <w:pageBreakBefore/>
      <w:numPr>
        <w:numId w:val="6"/>
      </w:numPr>
      <w:jc w:val="both"/>
    </w:pPr>
    <w:rPr>
      <w:rFonts w:cs="Segoe UI"/>
      <w:bCs/>
      <w:szCs w:val="36"/>
    </w:rPr>
  </w:style>
  <w:style w:type="paragraph" w:customStyle="1" w:styleId="xAppendixLevel2">
    <w:name w:val="xAppendix Level 2"/>
    <w:basedOn w:val="Heading2"/>
    <w:next w:val="Normal"/>
    <w:uiPriority w:val="98"/>
    <w:qFormat/>
    <w:rsid w:val="00E06DED"/>
    <w:pPr>
      <w:numPr>
        <w:numId w:val="6"/>
      </w:numPr>
    </w:pPr>
    <w:rPr>
      <w:bCs/>
      <w:sz w:val="34"/>
    </w:rPr>
  </w:style>
  <w:style w:type="paragraph" w:customStyle="1" w:styleId="xAppendixLevel3">
    <w:name w:val="xAppendix Level 3"/>
    <w:basedOn w:val="Heading3"/>
    <w:next w:val="Normal"/>
    <w:uiPriority w:val="98"/>
    <w:qFormat/>
    <w:rsid w:val="00E06DED"/>
    <w:pPr>
      <w:numPr>
        <w:numId w:val="6"/>
      </w:numPr>
    </w:pPr>
    <w:rPr>
      <w:bCs/>
    </w:rPr>
  </w:style>
  <w:style w:type="paragraph" w:customStyle="1" w:styleId="Listnumbered">
    <w:name w:val="List (numbered)"/>
    <w:basedOn w:val="Normal"/>
    <w:uiPriority w:val="1"/>
    <w:qFormat/>
    <w:rsid w:val="00294C7F"/>
    <w:pPr>
      <w:numPr>
        <w:numId w:val="1"/>
      </w:numPr>
    </w:pPr>
  </w:style>
  <w:style w:type="paragraph" w:customStyle="1" w:styleId="Source">
    <w:name w:val="Source"/>
    <w:basedOn w:val="Normal"/>
    <w:next w:val="Normal"/>
    <w:link w:val="SourceChar"/>
    <w:uiPriority w:val="39"/>
    <w:rsid w:val="0020000D"/>
    <w:pPr>
      <w:spacing w:before="120" w:after="240"/>
      <w:jc w:val="center"/>
    </w:pPr>
    <w:rPr>
      <w:rFonts w:eastAsia="Times New Roman" w:cs="Times New Roman"/>
      <w:i/>
      <w:sz w:val="17"/>
      <w:szCs w:val="19"/>
      <w:lang w:val="en-AU" w:eastAsia="en-AU"/>
    </w:rPr>
  </w:style>
  <w:style w:type="character" w:customStyle="1" w:styleId="SourceChar">
    <w:name w:val="Source Char"/>
    <w:basedOn w:val="DefaultParagraphFont"/>
    <w:link w:val="Source"/>
    <w:uiPriority w:val="39"/>
    <w:rsid w:val="0020000D"/>
    <w:rPr>
      <w:rFonts w:ascii="Segoe UI" w:eastAsia="Times New Roman" w:hAnsi="Segoe UI" w:cs="Times New Roman"/>
      <w:i/>
      <w:sz w:val="17"/>
      <w:szCs w:val="19"/>
      <w:lang w:val="en-AU" w:eastAsia="en-AU"/>
    </w:rPr>
  </w:style>
  <w:style w:type="paragraph" w:customStyle="1" w:styleId="TableExpBullet">
    <w:name w:val="Table Exp Bullet"/>
    <w:basedOn w:val="TableNBullet"/>
    <w:uiPriority w:val="3"/>
    <w:qFormat/>
    <w:rsid w:val="00865A27"/>
  </w:style>
  <w:style w:type="paragraph" w:customStyle="1" w:styleId="Tableexpheader">
    <w:name w:val="Table exp header"/>
    <w:basedOn w:val="TableNheader"/>
    <w:uiPriority w:val="3"/>
    <w:qFormat/>
    <w:rsid w:val="00E06DED"/>
    <w:rPr>
      <w:sz w:val="17"/>
    </w:rPr>
  </w:style>
  <w:style w:type="paragraph" w:customStyle="1" w:styleId="TableexpListnumbered">
    <w:name w:val="Table exp List (numbered)"/>
    <w:basedOn w:val="TableNListnumbered"/>
    <w:uiPriority w:val="3"/>
    <w:qFormat/>
    <w:rsid w:val="0029320C"/>
    <w:rPr>
      <w:sz w:val="16"/>
    </w:rPr>
  </w:style>
  <w:style w:type="paragraph" w:customStyle="1" w:styleId="TableExpText">
    <w:name w:val="Table Exp Text"/>
    <w:basedOn w:val="TableNText"/>
    <w:uiPriority w:val="3"/>
    <w:qFormat/>
    <w:rsid w:val="0029320C"/>
    <w:rPr>
      <w:sz w:val="16"/>
    </w:rPr>
  </w:style>
  <w:style w:type="character" w:customStyle="1" w:styleId="Heading7Char">
    <w:name w:val="Heading 7 Char"/>
    <w:basedOn w:val="DefaultParagraphFont"/>
    <w:link w:val="Heading7"/>
    <w:uiPriority w:val="19"/>
    <w:semiHidden/>
    <w:rsid w:val="000137FA"/>
    <w:rPr>
      <w:rFonts w:ascii="Segoe UI" w:eastAsiaTheme="majorEastAsia" w:hAnsi="Segoe UI" w:cstheme="majorBidi"/>
      <w:i/>
      <w:iCs/>
      <w:color w:val="404040" w:themeColor="text1" w:themeTint="BF"/>
      <w:sz w:val="19"/>
    </w:rPr>
  </w:style>
  <w:style w:type="paragraph" w:customStyle="1" w:styleId="TableText">
    <w:name w:val="Table Text"/>
    <w:link w:val="TableTextChar"/>
    <w:uiPriority w:val="2"/>
    <w:rsid w:val="00E06DED"/>
    <w:pPr>
      <w:spacing w:before="40" w:after="40" w:line="240" w:lineRule="auto"/>
    </w:pPr>
    <w:rPr>
      <w:rFonts w:ascii="Arial" w:eastAsia="Times New Roman" w:hAnsi="Arial" w:cs="Times New Roman"/>
      <w:sz w:val="17"/>
      <w:szCs w:val="19"/>
      <w:lang w:val="en-AU" w:eastAsia="en-AU"/>
    </w:rPr>
  </w:style>
  <w:style w:type="paragraph" w:customStyle="1" w:styleId="Tablecolumnheading">
    <w:name w:val="Table column heading"/>
    <w:basedOn w:val="Normal"/>
    <w:link w:val="TablecolumnheadingChar"/>
    <w:uiPriority w:val="2"/>
    <w:rsid w:val="0026619F"/>
    <w:pPr>
      <w:keepNext/>
      <w:spacing w:before="40" w:after="40"/>
    </w:pPr>
    <w:rPr>
      <w:rFonts w:eastAsia="Times New Roman" w:cs="Times New Roman"/>
      <w:b/>
      <w:color w:val="1F2A44" w:themeColor="text2"/>
      <w:sz w:val="18"/>
      <w:szCs w:val="17"/>
      <w:lang w:val="en-AU" w:eastAsia="en-AU"/>
    </w:rPr>
  </w:style>
  <w:style w:type="character" w:customStyle="1" w:styleId="TableTextChar">
    <w:name w:val="Table Text Char"/>
    <w:basedOn w:val="DefaultParagraphFont"/>
    <w:link w:val="TableText"/>
    <w:uiPriority w:val="2"/>
    <w:rsid w:val="00E06DED"/>
    <w:rPr>
      <w:rFonts w:ascii="Arial" w:eastAsia="Times New Roman" w:hAnsi="Arial"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26619F"/>
    <w:rPr>
      <w:rFonts w:ascii="Arial" w:eastAsia="Times New Roman" w:hAnsi="Arial" w:cs="Times New Roman"/>
      <w:b/>
      <w:color w:val="1F2A44" w:themeColor="text2"/>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40C1AC" w:themeFill="accent5"/>
    </w:tcPr>
  </w:style>
  <w:style w:type="paragraph" w:styleId="BalloonText">
    <w:name w:val="Balloon Text"/>
    <w:basedOn w:val="Normal"/>
    <w:link w:val="BalloonTextChar"/>
    <w:uiPriority w:val="99"/>
    <w:semiHidden/>
    <w:unhideWhenUsed/>
    <w:rsid w:val="00037C0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C03"/>
    <w:rPr>
      <w:rFonts w:ascii="Tahoma" w:hAnsi="Tahoma" w:cs="Tahoma"/>
      <w:sz w:val="16"/>
      <w:szCs w:val="16"/>
    </w:rPr>
  </w:style>
  <w:style w:type="paragraph" w:customStyle="1" w:styleId="URL-groupcomau">
    <w:name w:val="URL - group.com.au"/>
    <w:basedOn w:val="Normal"/>
    <w:link w:val="URL-groupcomauChar"/>
    <w:uiPriority w:val="89"/>
    <w:semiHidden/>
    <w:qFormat/>
    <w:rsid w:val="00FD4AB1"/>
    <w:pPr>
      <w:spacing w:after="0"/>
    </w:pPr>
    <w:rPr>
      <w:rFonts w:eastAsia="Times New Roman" w:cs="Times New Roman"/>
      <w:color w:val="1F2A44" w:themeColor="text2"/>
      <w:spacing w:val="20"/>
      <w:sz w:val="14"/>
      <w:szCs w:val="19"/>
      <w:lang w:val="en-AU" w:eastAsia="en-AU"/>
    </w:rPr>
  </w:style>
  <w:style w:type="character" w:customStyle="1" w:styleId="URL-groupcomauChar">
    <w:name w:val="URL - group.com.au Char"/>
    <w:basedOn w:val="DefaultParagraphFont"/>
    <w:link w:val="URL-groupcomau"/>
    <w:uiPriority w:val="89"/>
    <w:semiHidden/>
    <w:rsid w:val="00FD4AB1"/>
    <w:rPr>
      <w:rFonts w:ascii="Segoe UI" w:eastAsia="Times New Roman" w:hAnsi="Segoe UI" w:cs="Times New Roman"/>
      <w:color w:val="1F2A44" w:themeColor="text2"/>
      <w:spacing w:val="20"/>
      <w:sz w:val="14"/>
      <w:szCs w:val="19"/>
      <w:lang w:val="en-AU" w:eastAsia="en-AU"/>
    </w:rPr>
  </w:style>
  <w:style w:type="paragraph" w:customStyle="1" w:styleId="URL-nous">
    <w:name w:val="URL - nous"/>
    <w:basedOn w:val="Normal"/>
    <w:link w:val="URL-nousChar"/>
    <w:uiPriority w:val="89"/>
    <w:semiHidden/>
    <w:qFormat/>
    <w:rsid w:val="00FD4AB1"/>
    <w:pPr>
      <w:spacing w:after="0"/>
    </w:pPr>
    <w:rPr>
      <w:rFonts w:eastAsia="Times New Roman" w:cs="Times New Roman"/>
      <w:color w:val="92C1E9" w:themeColor="accent1"/>
      <w:spacing w:val="20"/>
      <w:sz w:val="14"/>
      <w:szCs w:val="19"/>
      <w:lang w:val="en-AU" w:eastAsia="en-AU"/>
    </w:rPr>
  </w:style>
  <w:style w:type="character" w:customStyle="1" w:styleId="URL-nousChar">
    <w:name w:val="URL - nous Char"/>
    <w:basedOn w:val="DefaultParagraphFont"/>
    <w:link w:val="URL-nous"/>
    <w:uiPriority w:val="89"/>
    <w:semiHidden/>
    <w:rsid w:val="00FD4AB1"/>
    <w:rPr>
      <w:rFonts w:ascii="Segoe UI" w:eastAsia="Times New Roman" w:hAnsi="Segoe UI" w:cs="Times New Roman"/>
      <w:color w:val="92C1E9" w:themeColor="accent1"/>
      <w:spacing w:val="20"/>
      <w:sz w:val="14"/>
      <w:szCs w:val="19"/>
      <w:lang w:val="en-AU" w:eastAsia="en-AU"/>
    </w:rPr>
  </w:style>
  <w:style w:type="paragraph" w:customStyle="1" w:styleId="ContentsHeading">
    <w:name w:val="Contents Heading"/>
    <w:basedOn w:val="Normal"/>
    <w:rsid w:val="0026619F"/>
    <w:pPr>
      <w:spacing w:before="360" w:after="600"/>
    </w:pPr>
    <w:rPr>
      <w:rFonts w:eastAsia="Times New Roman" w:cs="Segoe UI"/>
      <w:b/>
      <w:color w:val="1F2A44" w:themeColor="text2"/>
      <w:sz w:val="36"/>
      <w:szCs w:val="36"/>
      <w:lang w:val="en-AU" w:eastAsia="en-AU"/>
    </w:rPr>
  </w:style>
  <w:style w:type="character" w:customStyle="1" w:styleId="BulletChar">
    <w:name w:val="Bullet Char"/>
    <w:basedOn w:val="DefaultParagraphFont"/>
    <w:link w:val="Bullet"/>
    <w:uiPriority w:val="2"/>
    <w:rsid w:val="00E20B2B"/>
    <w:rPr>
      <w:rFonts w:ascii="Arial" w:eastAsia="Times New Roman" w:hAnsi="Arial" w:cs="Times New Roman"/>
      <w:szCs w:val="19"/>
      <w:lang w:val="en-AU" w:eastAsia="en-AU"/>
    </w:rPr>
  </w:style>
  <w:style w:type="paragraph" w:customStyle="1" w:styleId="Sectiondividerheading">
    <w:name w:val="Section divider heading"/>
    <w:basedOn w:val="Normal"/>
    <w:link w:val="SectiondividerheadingChar"/>
    <w:uiPriority w:val="99"/>
    <w:rsid w:val="0026619F"/>
    <w:pPr>
      <w:spacing w:after="0"/>
    </w:pPr>
    <w:rPr>
      <w:rFonts w:eastAsia="Source Sans Pro" w:cs="Segoe UI"/>
      <w:b/>
      <w:bCs/>
      <w:color w:val="92C1E9" w:themeColor="accent1"/>
      <w:sz w:val="56"/>
      <w:szCs w:val="56"/>
      <w:lang w:val="en-AU" w:eastAsia="en-AU"/>
    </w:rPr>
  </w:style>
  <w:style w:type="character" w:customStyle="1" w:styleId="SectiondividerheadingChar">
    <w:name w:val="Section divider heading Char"/>
    <w:basedOn w:val="DefaultParagraphFont"/>
    <w:link w:val="Sectiondividerheading"/>
    <w:uiPriority w:val="99"/>
    <w:rsid w:val="0026619F"/>
    <w:rPr>
      <w:rFonts w:ascii="Arial" w:eastAsia="Source Sans Pro" w:hAnsi="Arial" w:cs="Segoe UI"/>
      <w:b/>
      <w:bCs/>
      <w:color w:val="92C1E9" w:themeColor="accent1"/>
      <w:sz w:val="56"/>
      <w:szCs w:val="56"/>
      <w:lang w:val="en-AU" w:eastAsia="en-AU"/>
    </w:rPr>
  </w:style>
  <w:style w:type="paragraph" w:styleId="TOC2">
    <w:name w:val="toc 2"/>
    <w:basedOn w:val="Normal"/>
    <w:next w:val="Normal"/>
    <w:autoRedefine/>
    <w:uiPriority w:val="39"/>
    <w:unhideWhenUsed/>
    <w:rsid w:val="001F5A3A"/>
    <w:pPr>
      <w:tabs>
        <w:tab w:val="left" w:pos="880"/>
        <w:tab w:val="right" w:leader="dot" w:pos="8920"/>
      </w:tabs>
      <w:spacing w:after="100"/>
      <w:ind w:left="190"/>
    </w:pPr>
  </w:style>
  <w:style w:type="paragraph" w:styleId="TOC1">
    <w:name w:val="toc 1"/>
    <w:basedOn w:val="Normal"/>
    <w:next w:val="Normal"/>
    <w:autoRedefine/>
    <w:uiPriority w:val="39"/>
    <w:unhideWhenUsed/>
    <w:rsid w:val="001F5A3A"/>
    <w:pPr>
      <w:tabs>
        <w:tab w:val="left" w:pos="440"/>
        <w:tab w:val="right" w:leader="dot" w:pos="8920"/>
      </w:tabs>
      <w:spacing w:after="100"/>
    </w:pPr>
  </w:style>
  <w:style w:type="character" w:styleId="Hyperlink">
    <w:name w:val="Hyperlink"/>
    <w:basedOn w:val="DefaultParagraphFont"/>
    <w:uiPriority w:val="99"/>
    <w:unhideWhenUsed/>
    <w:rsid w:val="00E06DED"/>
    <w:rPr>
      <w:rFonts w:ascii="Arial" w:hAnsi="Arial"/>
      <w:color w:val="6787B7" w:themeColor="hyperlink"/>
      <w:u w:val="single"/>
    </w:rPr>
  </w:style>
  <w:style w:type="table" w:styleId="TableGrid">
    <w:name w:val="Table Grid"/>
    <w:aliases w:val="Table"/>
    <w:basedOn w:val="TableNormal"/>
    <w:uiPriority w:val="3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40C1AC" w:themeColor="accent5"/>
        <w:left w:val="single" w:sz="8" w:space="0" w:color="40C1AC" w:themeColor="accent5"/>
        <w:bottom w:val="single" w:sz="8" w:space="0" w:color="40C1AC" w:themeColor="accent5"/>
        <w:right w:val="single" w:sz="8" w:space="0" w:color="40C1AC" w:themeColor="accent5"/>
        <w:insideH w:val="single" w:sz="8" w:space="0" w:color="40C1AC" w:themeColor="accent5"/>
        <w:insideV w:val="single" w:sz="8" w:space="0" w:color="40C1A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C1AC" w:themeColor="accent5"/>
          <w:left w:val="single" w:sz="8" w:space="0" w:color="40C1AC" w:themeColor="accent5"/>
          <w:bottom w:val="single" w:sz="18" w:space="0" w:color="40C1AC" w:themeColor="accent5"/>
          <w:right w:val="single" w:sz="8" w:space="0" w:color="40C1AC" w:themeColor="accent5"/>
          <w:insideH w:val="nil"/>
          <w:insideV w:val="single" w:sz="8" w:space="0" w:color="40C1A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C1AC" w:themeColor="accent5"/>
          <w:left w:val="single" w:sz="8" w:space="0" w:color="40C1AC" w:themeColor="accent5"/>
          <w:bottom w:val="single" w:sz="8" w:space="0" w:color="40C1AC" w:themeColor="accent5"/>
          <w:right w:val="single" w:sz="8" w:space="0" w:color="40C1AC" w:themeColor="accent5"/>
          <w:insideH w:val="nil"/>
          <w:insideV w:val="single" w:sz="8" w:space="0" w:color="40C1A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C1AC" w:themeColor="accent5"/>
          <w:left w:val="single" w:sz="8" w:space="0" w:color="40C1AC" w:themeColor="accent5"/>
          <w:bottom w:val="single" w:sz="8" w:space="0" w:color="40C1AC" w:themeColor="accent5"/>
          <w:right w:val="single" w:sz="8" w:space="0" w:color="40C1AC" w:themeColor="accent5"/>
        </w:tcBorders>
      </w:tcPr>
    </w:tblStylePr>
    <w:tblStylePr w:type="band1Vert">
      <w:tblPr/>
      <w:tcPr>
        <w:tcBorders>
          <w:top w:val="single" w:sz="8" w:space="0" w:color="40C1AC" w:themeColor="accent5"/>
          <w:left w:val="single" w:sz="8" w:space="0" w:color="40C1AC" w:themeColor="accent5"/>
          <w:bottom w:val="single" w:sz="8" w:space="0" w:color="40C1AC" w:themeColor="accent5"/>
          <w:right w:val="single" w:sz="8" w:space="0" w:color="40C1AC" w:themeColor="accent5"/>
        </w:tcBorders>
        <w:shd w:val="clear" w:color="auto" w:fill="CFEFEA" w:themeFill="accent5" w:themeFillTint="3F"/>
      </w:tcPr>
    </w:tblStylePr>
    <w:tblStylePr w:type="band1Horz">
      <w:tblPr/>
      <w:tcPr>
        <w:tcBorders>
          <w:top w:val="single" w:sz="8" w:space="0" w:color="40C1AC" w:themeColor="accent5"/>
          <w:left w:val="single" w:sz="8" w:space="0" w:color="40C1AC" w:themeColor="accent5"/>
          <w:bottom w:val="single" w:sz="8" w:space="0" w:color="40C1AC" w:themeColor="accent5"/>
          <w:right w:val="single" w:sz="8" w:space="0" w:color="40C1AC" w:themeColor="accent5"/>
          <w:insideV w:val="single" w:sz="8" w:space="0" w:color="40C1AC" w:themeColor="accent5"/>
        </w:tcBorders>
        <w:shd w:val="clear" w:color="auto" w:fill="CFEFEA" w:themeFill="accent5" w:themeFillTint="3F"/>
      </w:tcPr>
    </w:tblStylePr>
    <w:tblStylePr w:type="band2Horz">
      <w:tblPr/>
      <w:tcPr>
        <w:tcBorders>
          <w:top w:val="single" w:sz="8" w:space="0" w:color="40C1AC" w:themeColor="accent5"/>
          <w:left w:val="single" w:sz="8" w:space="0" w:color="40C1AC" w:themeColor="accent5"/>
          <w:bottom w:val="single" w:sz="8" w:space="0" w:color="40C1AC" w:themeColor="accent5"/>
          <w:right w:val="single" w:sz="8" w:space="0" w:color="40C1AC" w:themeColor="accent5"/>
          <w:insideV w:val="single" w:sz="8" w:space="0" w:color="40C1AC" w:themeColor="accent5"/>
        </w:tcBorders>
      </w:tcPr>
    </w:tblStylePr>
  </w:style>
  <w:style w:type="table" w:styleId="LightList-Accent5">
    <w:name w:val="Light List Accent 5"/>
    <w:basedOn w:val="TableNormal"/>
    <w:uiPriority w:val="61"/>
    <w:rsid w:val="00071DFF"/>
    <w:pPr>
      <w:spacing w:after="0" w:line="240" w:lineRule="auto"/>
    </w:pPr>
    <w:tblPr>
      <w:tblStyleRowBandSize w:val="1"/>
      <w:tblStyleColBandSize w:val="1"/>
      <w:tblBorders>
        <w:top w:val="single" w:sz="8" w:space="0" w:color="40C1AC" w:themeColor="accent5"/>
        <w:left w:val="single" w:sz="8" w:space="0" w:color="40C1AC" w:themeColor="accent5"/>
        <w:bottom w:val="single" w:sz="8" w:space="0" w:color="40C1AC" w:themeColor="accent5"/>
        <w:right w:val="single" w:sz="8" w:space="0" w:color="40C1AC" w:themeColor="accent5"/>
      </w:tblBorders>
    </w:tblPr>
    <w:tblStylePr w:type="firstRow">
      <w:pPr>
        <w:spacing w:before="0" w:after="0" w:line="240" w:lineRule="auto"/>
      </w:pPr>
      <w:rPr>
        <w:b/>
        <w:bCs/>
        <w:color w:val="FFFFFF" w:themeColor="background1"/>
      </w:rPr>
      <w:tblPr/>
      <w:tcPr>
        <w:shd w:val="clear" w:color="auto" w:fill="40C1AC" w:themeFill="accent5"/>
      </w:tcPr>
    </w:tblStylePr>
    <w:tblStylePr w:type="lastRow">
      <w:pPr>
        <w:spacing w:before="0" w:after="0" w:line="240" w:lineRule="auto"/>
      </w:pPr>
      <w:rPr>
        <w:b/>
        <w:bCs/>
      </w:rPr>
      <w:tblPr/>
      <w:tcPr>
        <w:tcBorders>
          <w:top w:val="double" w:sz="6" w:space="0" w:color="40C1AC" w:themeColor="accent5"/>
          <w:left w:val="single" w:sz="8" w:space="0" w:color="40C1AC" w:themeColor="accent5"/>
          <w:bottom w:val="single" w:sz="8" w:space="0" w:color="40C1AC" w:themeColor="accent5"/>
          <w:right w:val="single" w:sz="8" w:space="0" w:color="40C1AC" w:themeColor="accent5"/>
        </w:tcBorders>
      </w:tcPr>
    </w:tblStylePr>
    <w:tblStylePr w:type="firstCol">
      <w:rPr>
        <w:b/>
        <w:bCs/>
      </w:rPr>
    </w:tblStylePr>
    <w:tblStylePr w:type="lastCol">
      <w:rPr>
        <w:b/>
        <w:bCs/>
      </w:rPr>
    </w:tblStylePr>
    <w:tblStylePr w:type="band1Vert">
      <w:tblPr/>
      <w:tcPr>
        <w:tcBorders>
          <w:top w:val="single" w:sz="8" w:space="0" w:color="40C1AC" w:themeColor="accent5"/>
          <w:left w:val="single" w:sz="8" w:space="0" w:color="40C1AC" w:themeColor="accent5"/>
          <w:bottom w:val="single" w:sz="8" w:space="0" w:color="40C1AC" w:themeColor="accent5"/>
          <w:right w:val="single" w:sz="8" w:space="0" w:color="40C1AC" w:themeColor="accent5"/>
        </w:tcBorders>
      </w:tcPr>
    </w:tblStylePr>
    <w:tblStylePr w:type="band1Horz">
      <w:tblPr/>
      <w:tcPr>
        <w:tcBorders>
          <w:top w:val="single" w:sz="8" w:space="0" w:color="40C1AC" w:themeColor="accent5"/>
          <w:left w:val="single" w:sz="8" w:space="0" w:color="40C1AC" w:themeColor="accent5"/>
          <w:bottom w:val="single" w:sz="8" w:space="0" w:color="40C1AC" w:themeColor="accent5"/>
          <w:right w:val="single" w:sz="8" w:space="0" w:color="40C1AC" w:themeColor="accent5"/>
        </w:tcBorders>
      </w:tcPr>
    </w:tblStylePr>
  </w:style>
  <w:style w:type="table" w:styleId="MediumShading1-Accent5">
    <w:name w:val="Medium Shading 1 Accent 5"/>
    <w:basedOn w:val="TableNormal"/>
    <w:uiPriority w:val="63"/>
    <w:rsid w:val="00071DFF"/>
    <w:pPr>
      <w:spacing w:after="0" w:line="240" w:lineRule="auto"/>
    </w:pPr>
    <w:tblPr>
      <w:tblStyleRowBandSize w:val="1"/>
      <w:tblStyleColBandSize w:val="1"/>
      <w:tblBorders>
        <w:top w:val="single" w:sz="8" w:space="0" w:color="6FD0C0" w:themeColor="accent5" w:themeTint="BF"/>
        <w:left w:val="single" w:sz="8" w:space="0" w:color="6FD0C0" w:themeColor="accent5" w:themeTint="BF"/>
        <w:bottom w:val="single" w:sz="8" w:space="0" w:color="6FD0C0" w:themeColor="accent5" w:themeTint="BF"/>
        <w:right w:val="single" w:sz="8" w:space="0" w:color="6FD0C0" w:themeColor="accent5" w:themeTint="BF"/>
        <w:insideH w:val="single" w:sz="8" w:space="0" w:color="6FD0C0" w:themeColor="accent5" w:themeTint="BF"/>
      </w:tblBorders>
    </w:tblPr>
    <w:tblStylePr w:type="firstRow">
      <w:pPr>
        <w:spacing w:before="0" w:after="0" w:line="240" w:lineRule="auto"/>
      </w:pPr>
      <w:rPr>
        <w:b/>
        <w:bCs/>
        <w:color w:val="FFFFFF" w:themeColor="background1"/>
      </w:rPr>
      <w:tblPr/>
      <w:tcPr>
        <w:tcBorders>
          <w:top w:val="single" w:sz="8" w:space="0" w:color="6FD0C0" w:themeColor="accent5" w:themeTint="BF"/>
          <w:left w:val="single" w:sz="8" w:space="0" w:color="6FD0C0" w:themeColor="accent5" w:themeTint="BF"/>
          <w:bottom w:val="single" w:sz="8" w:space="0" w:color="6FD0C0" w:themeColor="accent5" w:themeTint="BF"/>
          <w:right w:val="single" w:sz="8" w:space="0" w:color="6FD0C0" w:themeColor="accent5" w:themeTint="BF"/>
          <w:insideH w:val="nil"/>
          <w:insideV w:val="nil"/>
        </w:tcBorders>
        <w:shd w:val="clear" w:color="auto" w:fill="40C1AC" w:themeFill="accent5"/>
      </w:tcPr>
    </w:tblStylePr>
    <w:tblStylePr w:type="lastRow">
      <w:pPr>
        <w:spacing w:before="0" w:after="0" w:line="240" w:lineRule="auto"/>
      </w:pPr>
      <w:rPr>
        <w:b/>
        <w:bCs/>
      </w:rPr>
      <w:tblPr/>
      <w:tcPr>
        <w:tcBorders>
          <w:top w:val="double" w:sz="6" w:space="0" w:color="6FD0C0" w:themeColor="accent5" w:themeTint="BF"/>
          <w:left w:val="single" w:sz="8" w:space="0" w:color="6FD0C0" w:themeColor="accent5" w:themeTint="BF"/>
          <w:bottom w:val="single" w:sz="8" w:space="0" w:color="6FD0C0" w:themeColor="accent5" w:themeTint="BF"/>
          <w:right w:val="single" w:sz="8" w:space="0" w:color="6FD0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FEFEA" w:themeFill="accent5" w:themeFillTint="3F"/>
      </w:tcPr>
    </w:tblStylePr>
    <w:tblStylePr w:type="band1Horz">
      <w:tblPr/>
      <w:tcPr>
        <w:tcBorders>
          <w:insideH w:val="nil"/>
          <w:insideV w:val="nil"/>
        </w:tcBorders>
        <w:shd w:val="clear" w:color="auto" w:fill="CFEFEA"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73030E"/>
    <w:rPr>
      <w:rFonts w:ascii="Arial" w:eastAsia="Times New Roman" w:hAnsi="Arial" w:cs="Times New Roman"/>
      <w:sz w:val="17"/>
      <w:szCs w:val="19"/>
      <w:lang w:val="en-AU" w:eastAsia="en-AU"/>
    </w:rPr>
  </w:style>
  <w:style w:type="table" w:customStyle="1" w:styleId="NOUSSideHeader">
    <w:name w:val="NOUS Side Header"/>
    <w:basedOn w:val="TableNormal"/>
    <w:uiPriority w:val="99"/>
    <w:rsid w:val="008C272E"/>
    <w:pPr>
      <w:spacing w:after="0" w:line="240" w:lineRule="auto"/>
      <w:ind w:left="57"/>
    </w:pPr>
    <w:rPr>
      <w:rFonts w:ascii="Segoe UI" w:hAnsi="Segoe UI"/>
      <w:sz w:val="17"/>
    </w:rPr>
    <w:tblPr>
      <w:tblBorders>
        <w:insideH w:val="single" w:sz="8" w:space="0" w:color="40C1AC" w:themeColor="accent5"/>
      </w:tblBorders>
      <w:tblCellMar>
        <w:top w:w="57" w:type="dxa"/>
        <w:left w:w="85" w:type="dxa"/>
        <w:bottom w:w="57" w:type="dxa"/>
        <w:right w:w="85" w:type="dxa"/>
      </w:tblCellMar>
    </w:tblPr>
    <w:tblStylePr w:type="firstCol">
      <w:pPr>
        <w:wordWrap/>
        <w:jc w:val="center"/>
      </w:pPr>
      <w:rPr>
        <w:rFonts w:ascii="Nirmala UI Semilight" w:hAnsi="Nirmala UI Semilight"/>
        <w:b/>
        <w:color w:val="E7E6E6" w:themeColor="background2"/>
        <w:sz w:val="18"/>
      </w:rPr>
      <w:tblPr/>
      <w:tcPr>
        <w:tcBorders>
          <w:top w:val="nil"/>
          <w:left w:val="single" w:sz="24" w:space="0" w:color="B580D1" w:themeColor="accent3"/>
          <w:bottom w:val="nil"/>
          <w:right w:val="nil"/>
          <w:insideH w:val="nil"/>
          <w:insideV w:val="nil"/>
          <w:tl2br w:val="nil"/>
          <w:tr2bl w:val="nil"/>
        </w:tcBorders>
        <w:shd w:val="clear" w:color="auto" w:fill="40C1AC"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40C1AC" w:themeColor="accent5"/>
        <w:insideH w:val="single" w:sz="8" w:space="0" w:color="40C1AC" w:themeColor="accent5"/>
      </w:tblBorders>
      <w:tblCellMar>
        <w:top w:w="57" w:type="dxa"/>
        <w:left w:w="85" w:type="dxa"/>
        <w:bottom w:w="57" w:type="dxa"/>
        <w:right w:w="85" w:type="dxa"/>
      </w:tblCellMar>
    </w:tblPr>
    <w:tblStylePr w:type="firstRow">
      <w:rPr>
        <w:rFonts w:ascii="Nirmala UI Semilight" w:hAnsi="Nirmala UI Semilight"/>
        <w:b/>
        <w:color w:val="E7E6E6" w:themeColor="background2"/>
        <w:sz w:val="18"/>
      </w:rPr>
      <w:tblPr/>
      <w:trPr>
        <w:tblHeader/>
      </w:trPr>
      <w:tcPr>
        <w:tcBorders>
          <w:top w:val="single" w:sz="24" w:space="0" w:color="B580D1" w:themeColor="accent3"/>
          <w:left w:val="nil"/>
          <w:bottom w:val="nil"/>
          <w:right w:val="nil"/>
          <w:insideH w:val="nil"/>
          <w:insideV w:val="single" w:sz="8" w:space="0" w:color="FFFFFF" w:themeColor="background1"/>
          <w:tl2br w:val="nil"/>
          <w:tr2bl w:val="nil"/>
        </w:tcBorders>
        <w:shd w:val="clear" w:color="auto" w:fill="40C1AC" w:themeFill="accent5"/>
      </w:tcPr>
    </w:tblStylePr>
  </w:style>
  <w:style w:type="character" w:customStyle="1" w:styleId="Heading8Char">
    <w:name w:val="Heading 8 Char"/>
    <w:basedOn w:val="DefaultParagraphFont"/>
    <w:link w:val="Heading8"/>
    <w:uiPriority w:val="19"/>
    <w:semiHidden/>
    <w:rsid w:val="000137FA"/>
    <w:rPr>
      <w:rFonts w:ascii="Segoe UI" w:eastAsiaTheme="majorEastAsia" w:hAnsi="Segoe UI" w:cstheme="majorBidi"/>
      <w:color w:val="404040" w:themeColor="text1" w:themeTint="BF"/>
      <w:sz w:val="20"/>
      <w:szCs w:val="20"/>
    </w:rPr>
  </w:style>
  <w:style w:type="paragraph" w:customStyle="1" w:styleId="Covertitle">
    <w:name w:val="Cover title"/>
    <w:basedOn w:val="Normal"/>
    <w:link w:val="CovertitleChar"/>
    <w:uiPriority w:val="99"/>
    <w:semiHidden/>
    <w:rsid w:val="00865A27"/>
    <w:pPr>
      <w:suppressAutoHyphens/>
      <w:spacing w:after="0" w:line="720" w:lineRule="exact"/>
    </w:pPr>
    <w:rPr>
      <w:rFonts w:eastAsia="Times New Roman" w:cs="Times New Roman"/>
      <w:color w:val="1F2A44" w:themeColor="text2"/>
      <w:sz w:val="84"/>
      <w:szCs w:val="19"/>
      <w:lang w:val="en-AU" w:eastAsia="en-AU"/>
    </w:rPr>
  </w:style>
  <w:style w:type="character" w:customStyle="1" w:styleId="CovertitleChar">
    <w:name w:val="Cover title Char"/>
    <w:basedOn w:val="DefaultParagraphFont"/>
    <w:link w:val="Covertitle"/>
    <w:uiPriority w:val="99"/>
    <w:semiHidden/>
    <w:rsid w:val="00865A27"/>
    <w:rPr>
      <w:rFonts w:ascii="Segoe UI" w:eastAsia="Times New Roman" w:hAnsi="Segoe UI" w:cs="Times New Roman"/>
      <w:color w:val="1F2A44" w:themeColor="text2"/>
      <w:sz w:val="84"/>
      <w:szCs w:val="19"/>
      <w:lang w:val="en-AU" w:eastAsia="en-AU"/>
    </w:rPr>
  </w:style>
  <w:style w:type="paragraph" w:customStyle="1" w:styleId="CoverPage-Client">
    <w:name w:val="Cover Page - Client"/>
    <w:basedOn w:val="Normal"/>
    <w:link w:val="CoverPage-ClientChar"/>
    <w:uiPriority w:val="99"/>
    <w:semiHidden/>
    <w:rsid w:val="00865A27"/>
    <w:pPr>
      <w:suppressAutoHyphens/>
      <w:spacing w:before="480" w:after="0" w:line="380" w:lineRule="exact"/>
    </w:pPr>
    <w:rPr>
      <w:rFonts w:eastAsia="Times New Roman" w:cs="Times New Roman"/>
      <w:color w:val="1F2A44" w:themeColor="text2"/>
      <w:sz w:val="36"/>
      <w:szCs w:val="19"/>
      <w:lang w:val="en-AU" w:eastAsia="en-AU"/>
    </w:rPr>
  </w:style>
  <w:style w:type="character" w:customStyle="1" w:styleId="CoverPage-ClientChar">
    <w:name w:val="Cover Page - Client Char"/>
    <w:basedOn w:val="DefaultParagraphFont"/>
    <w:link w:val="CoverPage-Client"/>
    <w:uiPriority w:val="99"/>
    <w:semiHidden/>
    <w:rsid w:val="00865A27"/>
    <w:rPr>
      <w:rFonts w:ascii="Segoe UI" w:eastAsia="Times New Roman" w:hAnsi="Segoe UI" w:cs="Times New Roman"/>
      <w:color w:val="1F2A44" w:themeColor="text2"/>
      <w:sz w:val="36"/>
      <w:szCs w:val="19"/>
      <w:lang w:val="en-AU" w:eastAsia="en-AU"/>
    </w:rPr>
  </w:style>
  <w:style w:type="paragraph" w:customStyle="1" w:styleId="CoverPage-Date">
    <w:name w:val="Cover Page - Date"/>
    <w:basedOn w:val="Normal"/>
    <w:link w:val="CoverPage-DateChar"/>
    <w:uiPriority w:val="99"/>
    <w:semiHidden/>
    <w:rsid w:val="00865A27"/>
    <w:pPr>
      <w:suppressAutoHyphens/>
      <w:spacing w:before="320" w:after="0" w:line="280" w:lineRule="exact"/>
    </w:pPr>
    <w:rPr>
      <w:rFonts w:eastAsia="Times New Roman" w:cs="Times New Roman"/>
      <w:color w:val="E7E6E6" w:themeColor="background2"/>
      <w:sz w:val="24"/>
      <w:szCs w:val="19"/>
      <w:lang w:val="en-AU" w:eastAsia="en-AU"/>
    </w:rPr>
  </w:style>
  <w:style w:type="character" w:customStyle="1" w:styleId="CoverPage-DateChar">
    <w:name w:val="Cover Page - Date Char"/>
    <w:basedOn w:val="DefaultParagraphFont"/>
    <w:link w:val="CoverPage-Date"/>
    <w:uiPriority w:val="99"/>
    <w:semiHidden/>
    <w:rsid w:val="00865A27"/>
    <w:rPr>
      <w:rFonts w:ascii="Segoe UI" w:eastAsia="Times New Roman" w:hAnsi="Segoe UI" w:cs="Times New Roman"/>
      <w:color w:val="E7E6E6" w:themeColor="background2"/>
      <w:sz w:val="24"/>
      <w:szCs w:val="19"/>
      <w:lang w:val="en-AU" w:eastAsia="en-AU"/>
    </w:rPr>
  </w:style>
  <w:style w:type="character" w:styleId="PlaceholderText">
    <w:name w:val="Placeholder Text"/>
    <w:basedOn w:val="DefaultParagraphFont"/>
    <w:uiPriority w:val="99"/>
    <w:semiHidden/>
    <w:rsid w:val="00865A27"/>
    <w:rPr>
      <w:color w:val="808080"/>
    </w:rPr>
  </w:style>
  <w:style w:type="paragraph" w:customStyle="1" w:styleId="BioHeading">
    <w:name w:val="Bio Heading"/>
    <w:basedOn w:val="Normal"/>
    <w:uiPriority w:val="97"/>
    <w:qFormat/>
    <w:rsid w:val="0026619F"/>
    <w:pPr>
      <w:spacing w:after="165" w:line="259" w:lineRule="auto"/>
    </w:pPr>
    <w:rPr>
      <w:color w:val="1F2A44" w:themeColor="text2"/>
      <w:sz w:val="26"/>
      <w:lang w:val="en-AU"/>
    </w:rPr>
  </w:style>
  <w:style w:type="paragraph" w:styleId="Header">
    <w:name w:val="header"/>
    <w:basedOn w:val="Normal"/>
    <w:link w:val="HeaderChar"/>
    <w:uiPriority w:val="99"/>
    <w:unhideWhenUsed/>
    <w:rsid w:val="001051E0"/>
    <w:pPr>
      <w:tabs>
        <w:tab w:val="center" w:pos="4513"/>
        <w:tab w:val="right" w:pos="9026"/>
      </w:tabs>
      <w:spacing w:after="0"/>
    </w:pPr>
  </w:style>
  <w:style w:type="character" w:customStyle="1" w:styleId="HeaderChar">
    <w:name w:val="Header Char"/>
    <w:basedOn w:val="DefaultParagraphFont"/>
    <w:link w:val="Header"/>
    <w:uiPriority w:val="99"/>
    <w:rsid w:val="001051E0"/>
    <w:rPr>
      <w:rFonts w:ascii="Segoe UI" w:hAnsi="Segoe UI"/>
      <w:sz w:val="19"/>
    </w:rPr>
  </w:style>
  <w:style w:type="table" w:customStyle="1" w:styleId="ListTable3-Accent41">
    <w:name w:val="List Table 3 - Accent 41"/>
    <w:basedOn w:val="TableNormal"/>
    <w:next w:val="ListTable3-Accent4"/>
    <w:uiPriority w:val="48"/>
    <w:rsid w:val="00B258C5"/>
    <w:pPr>
      <w:spacing w:after="0" w:line="240" w:lineRule="auto"/>
    </w:pPr>
    <w:tblPr>
      <w:tblStyleRowBandSize w:val="1"/>
      <w:tblStyleColBandSize w:val="1"/>
      <w:tblBorders>
        <w:top w:val="single" w:sz="4" w:space="0" w:color="63B1BC" w:themeColor="accent4"/>
        <w:left w:val="single" w:sz="4" w:space="0" w:color="63B1BC" w:themeColor="accent4"/>
        <w:bottom w:val="single" w:sz="4" w:space="0" w:color="63B1BC" w:themeColor="accent4"/>
        <w:right w:val="single" w:sz="4" w:space="0" w:color="63B1BC" w:themeColor="accent4"/>
      </w:tblBorders>
    </w:tblPr>
    <w:tblStylePr w:type="firstRow">
      <w:rPr>
        <w:b/>
        <w:bCs/>
        <w:color w:val="FFFFFF" w:themeColor="background1"/>
      </w:rPr>
      <w:tblPr/>
      <w:tcPr>
        <w:shd w:val="clear" w:color="auto" w:fill="63B1BC" w:themeFill="accent4"/>
      </w:tcPr>
    </w:tblStylePr>
    <w:tblStylePr w:type="lastRow">
      <w:rPr>
        <w:b/>
        <w:bCs/>
      </w:rPr>
      <w:tblPr/>
      <w:tcPr>
        <w:tcBorders>
          <w:top w:val="double" w:sz="4" w:space="0" w:color="63B1B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B1BC" w:themeColor="accent4"/>
          <w:right w:val="single" w:sz="4" w:space="0" w:color="63B1BC" w:themeColor="accent4"/>
        </w:tcBorders>
      </w:tcPr>
    </w:tblStylePr>
    <w:tblStylePr w:type="band1Horz">
      <w:tblPr/>
      <w:tcPr>
        <w:tcBorders>
          <w:top w:val="single" w:sz="4" w:space="0" w:color="63B1BC" w:themeColor="accent4"/>
          <w:bottom w:val="single" w:sz="4" w:space="0" w:color="63B1B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B1BC" w:themeColor="accent4"/>
          <w:left w:val="nil"/>
        </w:tcBorders>
      </w:tcPr>
    </w:tblStylePr>
    <w:tblStylePr w:type="swCell">
      <w:tblPr/>
      <w:tcPr>
        <w:tcBorders>
          <w:top w:val="double" w:sz="4" w:space="0" w:color="63B1BC" w:themeColor="accent4"/>
          <w:right w:val="nil"/>
        </w:tcBorders>
      </w:tcPr>
    </w:tblStylePr>
  </w:style>
  <w:style w:type="table" w:styleId="ListTable3-Accent4">
    <w:name w:val="List Table 3 Accent 4"/>
    <w:basedOn w:val="TableNormal"/>
    <w:uiPriority w:val="48"/>
    <w:rsid w:val="00B258C5"/>
    <w:pPr>
      <w:spacing w:after="0" w:line="240" w:lineRule="auto"/>
    </w:pPr>
    <w:tblPr>
      <w:tblStyleRowBandSize w:val="1"/>
      <w:tblStyleColBandSize w:val="1"/>
      <w:tblBorders>
        <w:top w:val="single" w:sz="4" w:space="0" w:color="63B1BC" w:themeColor="accent4"/>
        <w:left w:val="single" w:sz="4" w:space="0" w:color="63B1BC" w:themeColor="accent4"/>
        <w:bottom w:val="single" w:sz="4" w:space="0" w:color="63B1BC" w:themeColor="accent4"/>
        <w:right w:val="single" w:sz="4" w:space="0" w:color="63B1BC" w:themeColor="accent4"/>
      </w:tblBorders>
    </w:tblPr>
    <w:tblStylePr w:type="firstRow">
      <w:rPr>
        <w:b/>
        <w:bCs/>
        <w:color w:val="FFFFFF" w:themeColor="background1"/>
      </w:rPr>
      <w:tblPr/>
      <w:tcPr>
        <w:shd w:val="clear" w:color="auto" w:fill="63B1BC" w:themeFill="accent4"/>
      </w:tcPr>
    </w:tblStylePr>
    <w:tblStylePr w:type="lastRow">
      <w:rPr>
        <w:b/>
        <w:bCs/>
      </w:rPr>
      <w:tblPr/>
      <w:tcPr>
        <w:tcBorders>
          <w:top w:val="double" w:sz="4" w:space="0" w:color="63B1B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B1BC" w:themeColor="accent4"/>
          <w:right w:val="single" w:sz="4" w:space="0" w:color="63B1BC" w:themeColor="accent4"/>
        </w:tcBorders>
      </w:tcPr>
    </w:tblStylePr>
    <w:tblStylePr w:type="band1Horz">
      <w:tblPr/>
      <w:tcPr>
        <w:tcBorders>
          <w:top w:val="single" w:sz="4" w:space="0" w:color="63B1BC" w:themeColor="accent4"/>
          <w:bottom w:val="single" w:sz="4" w:space="0" w:color="63B1B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B1BC" w:themeColor="accent4"/>
          <w:left w:val="nil"/>
        </w:tcBorders>
      </w:tcPr>
    </w:tblStylePr>
    <w:tblStylePr w:type="swCell">
      <w:tblPr/>
      <w:tcPr>
        <w:tcBorders>
          <w:top w:val="double" w:sz="4" w:space="0" w:color="63B1BC" w:themeColor="accent4"/>
          <w:right w:val="nil"/>
        </w:tcBorders>
      </w:tcPr>
    </w:tblStylePr>
  </w:style>
  <w:style w:type="character" w:styleId="CommentReference">
    <w:name w:val="annotation reference"/>
    <w:basedOn w:val="DefaultParagraphFont"/>
    <w:uiPriority w:val="99"/>
    <w:unhideWhenUsed/>
    <w:rsid w:val="00AD690D"/>
    <w:rPr>
      <w:sz w:val="16"/>
      <w:szCs w:val="16"/>
    </w:rPr>
  </w:style>
  <w:style w:type="paragraph" w:styleId="CommentText">
    <w:name w:val="annotation text"/>
    <w:basedOn w:val="Normal"/>
    <w:link w:val="CommentTextChar"/>
    <w:uiPriority w:val="99"/>
    <w:unhideWhenUsed/>
    <w:rsid w:val="00AD690D"/>
    <w:rPr>
      <w:sz w:val="20"/>
      <w:szCs w:val="20"/>
    </w:rPr>
  </w:style>
  <w:style w:type="character" w:customStyle="1" w:styleId="CommentTextChar">
    <w:name w:val="Comment Text Char"/>
    <w:basedOn w:val="DefaultParagraphFont"/>
    <w:link w:val="CommentText"/>
    <w:uiPriority w:val="99"/>
    <w:rsid w:val="00AD69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D690D"/>
    <w:rPr>
      <w:b/>
      <w:bCs/>
    </w:rPr>
  </w:style>
  <w:style w:type="character" w:customStyle="1" w:styleId="CommentSubjectChar">
    <w:name w:val="Comment Subject Char"/>
    <w:basedOn w:val="CommentTextChar"/>
    <w:link w:val="CommentSubject"/>
    <w:uiPriority w:val="99"/>
    <w:semiHidden/>
    <w:rsid w:val="00AD690D"/>
    <w:rPr>
      <w:rFonts w:ascii="Arial" w:hAnsi="Arial"/>
      <w:b/>
      <w:bCs/>
      <w:sz w:val="20"/>
      <w:szCs w:val="20"/>
    </w:rPr>
  </w:style>
  <w:style w:type="paragraph" w:styleId="TOC3">
    <w:name w:val="toc 3"/>
    <w:basedOn w:val="Normal"/>
    <w:next w:val="Normal"/>
    <w:autoRedefine/>
    <w:uiPriority w:val="39"/>
    <w:unhideWhenUsed/>
    <w:rsid w:val="001F5A3A"/>
    <w:pPr>
      <w:tabs>
        <w:tab w:val="left" w:pos="1320"/>
        <w:tab w:val="right" w:leader="dot" w:pos="8920"/>
      </w:tabs>
      <w:spacing w:after="100"/>
    </w:pPr>
  </w:style>
  <w:style w:type="paragraph" w:styleId="Revision">
    <w:name w:val="Revision"/>
    <w:hidden/>
    <w:uiPriority w:val="99"/>
    <w:semiHidden/>
    <w:rsid w:val="00AE6BB6"/>
    <w:pPr>
      <w:spacing w:after="0" w:line="240" w:lineRule="auto"/>
    </w:pPr>
    <w:rPr>
      <w:rFonts w:ascii="Arial" w:hAnsi="Arial"/>
    </w:rPr>
  </w:style>
  <w:style w:type="paragraph" w:styleId="EndnoteText">
    <w:name w:val="endnote text"/>
    <w:basedOn w:val="Normal"/>
    <w:link w:val="EndnoteTextChar"/>
    <w:uiPriority w:val="99"/>
    <w:unhideWhenUsed/>
    <w:rsid w:val="00A16134"/>
    <w:pPr>
      <w:spacing w:after="0"/>
    </w:pPr>
    <w:rPr>
      <w:sz w:val="20"/>
      <w:szCs w:val="20"/>
    </w:rPr>
  </w:style>
  <w:style w:type="character" w:customStyle="1" w:styleId="EndnoteTextChar">
    <w:name w:val="Endnote Text Char"/>
    <w:basedOn w:val="DefaultParagraphFont"/>
    <w:link w:val="EndnoteText"/>
    <w:uiPriority w:val="99"/>
    <w:rsid w:val="00A16134"/>
    <w:rPr>
      <w:rFonts w:ascii="Arial" w:hAnsi="Arial"/>
      <w:sz w:val="20"/>
      <w:szCs w:val="20"/>
    </w:rPr>
  </w:style>
  <w:style w:type="character" w:styleId="EndnoteReference">
    <w:name w:val="endnote reference"/>
    <w:basedOn w:val="DefaultParagraphFont"/>
    <w:uiPriority w:val="99"/>
    <w:semiHidden/>
    <w:unhideWhenUsed/>
    <w:rsid w:val="00A16134"/>
    <w:rPr>
      <w:vertAlign w:val="superscript"/>
    </w:rPr>
  </w:style>
  <w:style w:type="paragraph" w:styleId="ListParagraph">
    <w:name w:val="List Paragraph"/>
    <w:basedOn w:val="Normal"/>
    <w:uiPriority w:val="34"/>
    <w:qFormat/>
    <w:rsid w:val="00807640"/>
    <w:pPr>
      <w:ind w:left="720"/>
      <w:contextualSpacing/>
    </w:pPr>
  </w:style>
  <w:style w:type="character" w:styleId="Mention">
    <w:name w:val="Mention"/>
    <w:basedOn w:val="DefaultParagraphFont"/>
    <w:uiPriority w:val="99"/>
    <w:unhideWhenUsed/>
    <w:rsid w:val="00977021"/>
    <w:rPr>
      <w:color w:val="2B579A"/>
      <w:shd w:val="clear" w:color="auto" w:fill="E1DFDD"/>
    </w:rPr>
  </w:style>
  <w:style w:type="paragraph" w:styleId="FootnoteText">
    <w:name w:val="footnote text"/>
    <w:aliases w:val="Footnote Text Char1 Char,Footnote Text Char Char1 Char,Footnote Text Char Char Char Char Char1,Char Char,Footnote Text Char Char Char,Footnote Text Char Char Char Char,fn,FT,ft,SD Footnote Text,Footnote Text AG,(NECG) Footnote Text"/>
    <w:basedOn w:val="Normal"/>
    <w:link w:val="FootnoteTextChar"/>
    <w:uiPriority w:val="99"/>
    <w:unhideWhenUsed/>
    <w:qFormat/>
    <w:rsid w:val="009E4E2C"/>
    <w:pPr>
      <w:spacing w:after="0"/>
    </w:pPr>
    <w:rPr>
      <w:sz w:val="20"/>
      <w:szCs w:val="20"/>
      <w:lang w:val="en-AU"/>
    </w:rPr>
  </w:style>
  <w:style w:type="character" w:customStyle="1" w:styleId="FootnoteTextChar">
    <w:name w:val="Footnote Text Char"/>
    <w:aliases w:val="Footnote Text Char1 Char Char,Footnote Text Char Char1 Char Char,Footnote Text Char Char Char Char Char1 Char,Char Char Char,Footnote Text Char Char Char Char1,Footnote Text Char Char Char Char Char,fn Char,FT Char,ft Char"/>
    <w:basedOn w:val="DefaultParagraphFont"/>
    <w:link w:val="FootnoteText"/>
    <w:uiPriority w:val="99"/>
    <w:rsid w:val="009E4E2C"/>
    <w:rPr>
      <w:rFonts w:ascii="Arial" w:hAnsi="Arial"/>
      <w:sz w:val="20"/>
      <w:szCs w:val="20"/>
      <w:lang w:val="en-AU"/>
    </w:rPr>
  </w:style>
  <w:style w:type="character" w:customStyle="1" w:styleId="normaltextrun">
    <w:name w:val="normaltextrun"/>
    <w:basedOn w:val="DefaultParagraphFont"/>
    <w:rsid w:val="00ED3A21"/>
  </w:style>
  <w:style w:type="character" w:customStyle="1" w:styleId="eop">
    <w:name w:val="eop"/>
    <w:basedOn w:val="DefaultParagraphFont"/>
    <w:rsid w:val="00ED3A21"/>
  </w:style>
  <w:style w:type="paragraph" w:customStyle="1" w:styleId="paragraph">
    <w:name w:val="paragraph"/>
    <w:basedOn w:val="Normal"/>
    <w:rsid w:val="00ED3A21"/>
    <w:pPr>
      <w:spacing w:before="100" w:beforeAutospacing="1" w:after="100" w:afterAutospacing="1"/>
    </w:pPr>
    <w:rPr>
      <w:rFonts w:ascii="Times New Roman" w:eastAsia="Times New Roman" w:hAnsi="Times New Roman" w:cs="Times New Roman"/>
      <w:sz w:val="24"/>
      <w:szCs w:val="24"/>
      <w:lang w:val="en-AU" w:eastAsia="en-AU"/>
    </w:rPr>
  </w:style>
  <w:style w:type="character" w:styleId="UnresolvedMention">
    <w:name w:val="Unresolved Mention"/>
    <w:basedOn w:val="DefaultParagraphFont"/>
    <w:uiPriority w:val="99"/>
    <w:unhideWhenUsed/>
    <w:rsid w:val="004A7EB7"/>
    <w:rPr>
      <w:color w:val="605E5C"/>
      <w:shd w:val="clear" w:color="auto" w:fill="E1DFDD"/>
    </w:rPr>
  </w:style>
  <w:style w:type="character" w:styleId="Strong">
    <w:name w:val="Strong"/>
    <w:basedOn w:val="DefaultParagraphFont"/>
    <w:uiPriority w:val="22"/>
    <w:qFormat/>
    <w:rsid w:val="00D160EC"/>
    <w:rPr>
      <w:b/>
      <w:bCs/>
    </w:rPr>
  </w:style>
  <w:style w:type="paragraph" w:styleId="ListBullet">
    <w:name w:val="List Bullet"/>
    <w:basedOn w:val="Normal"/>
    <w:unhideWhenUsed/>
    <w:qFormat/>
    <w:rsid w:val="00D160EC"/>
    <w:pPr>
      <w:numPr>
        <w:numId w:val="15"/>
      </w:numPr>
      <w:contextualSpacing/>
    </w:pPr>
    <w:rPr>
      <w:sz w:val="24"/>
      <w:szCs w:val="24"/>
      <w:lang w:val="en-AU"/>
    </w:rPr>
  </w:style>
  <w:style w:type="paragraph" w:customStyle="1" w:styleId="Appendix">
    <w:name w:val="Appendix"/>
    <w:basedOn w:val="Heading1"/>
    <w:qFormat/>
    <w:rsid w:val="00D160EC"/>
    <w:pPr>
      <w:keepLines/>
      <w:pageBreakBefore/>
      <w:numPr>
        <w:numId w:val="18"/>
      </w:numPr>
      <w:spacing w:before="120" w:after="400" w:line="240" w:lineRule="auto"/>
    </w:pPr>
    <w:rPr>
      <w:rFonts w:eastAsiaTheme="majorEastAsia" w:cstheme="majorBidi"/>
      <w:color w:val="4298B5"/>
      <w:szCs w:val="32"/>
      <w:lang w:eastAsia="en-US"/>
    </w:rPr>
  </w:style>
  <w:style w:type="character" w:styleId="FollowedHyperlink">
    <w:name w:val="FollowedHyperlink"/>
    <w:basedOn w:val="DefaultParagraphFont"/>
    <w:uiPriority w:val="99"/>
    <w:semiHidden/>
    <w:unhideWhenUsed/>
    <w:rsid w:val="00084B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539247914">
      <w:bodyDiv w:val="1"/>
      <w:marLeft w:val="0"/>
      <w:marRight w:val="0"/>
      <w:marTop w:val="0"/>
      <w:marBottom w:val="0"/>
      <w:divBdr>
        <w:top w:val="none" w:sz="0" w:space="0" w:color="auto"/>
        <w:left w:val="none" w:sz="0" w:space="0" w:color="auto"/>
        <w:bottom w:val="none" w:sz="0" w:space="0" w:color="auto"/>
        <w:right w:val="none" w:sz="0" w:space="0" w:color="auto"/>
      </w:divBdr>
    </w:div>
    <w:div w:id="1483691303">
      <w:bodyDiv w:val="1"/>
      <w:marLeft w:val="0"/>
      <w:marRight w:val="0"/>
      <w:marTop w:val="0"/>
      <w:marBottom w:val="0"/>
      <w:divBdr>
        <w:top w:val="none" w:sz="0" w:space="0" w:color="auto"/>
        <w:left w:val="none" w:sz="0" w:space="0" w:color="auto"/>
        <w:bottom w:val="none" w:sz="0" w:space="0" w:color="auto"/>
        <w:right w:val="none" w:sz="0" w:space="0" w:color="auto"/>
      </w:divBdr>
    </w:div>
    <w:div w:id="1512528995">
      <w:bodyDiv w:val="1"/>
      <w:marLeft w:val="0"/>
      <w:marRight w:val="0"/>
      <w:marTop w:val="0"/>
      <w:marBottom w:val="0"/>
      <w:divBdr>
        <w:top w:val="none" w:sz="0" w:space="0" w:color="auto"/>
        <w:left w:val="none" w:sz="0" w:space="0" w:color="auto"/>
        <w:bottom w:val="none" w:sz="0" w:space="0" w:color="auto"/>
        <w:right w:val="none" w:sz="0" w:space="0" w:color="auto"/>
      </w:divBdr>
    </w:div>
    <w:div w:id="1954434630">
      <w:bodyDiv w:val="1"/>
      <w:marLeft w:val="0"/>
      <w:marRight w:val="0"/>
      <w:marTop w:val="0"/>
      <w:marBottom w:val="0"/>
      <w:divBdr>
        <w:top w:val="none" w:sz="0" w:space="0" w:color="auto"/>
        <w:left w:val="none" w:sz="0" w:space="0" w:color="auto"/>
        <w:bottom w:val="none" w:sz="0" w:space="0" w:color="auto"/>
        <w:right w:val="none" w:sz="0" w:space="0" w:color="auto"/>
      </w:divBdr>
    </w:div>
    <w:div w:id="2012296178">
      <w:bodyDiv w:val="1"/>
      <w:marLeft w:val="0"/>
      <w:marRight w:val="0"/>
      <w:marTop w:val="0"/>
      <w:marBottom w:val="0"/>
      <w:divBdr>
        <w:top w:val="none" w:sz="0" w:space="0" w:color="auto"/>
        <w:left w:val="none" w:sz="0" w:space="0" w:color="auto"/>
        <w:bottom w:val="none" w:sz="0" w:space="0" w:color="auto"/>
        <w:right w:val="none" w:sz="0" w:space="0" w:color="auto"/>
      </w:divBdr>
    </w:div>
    <w:div w:id="2075397427">
      <w:bodyDiv w:val="1"/>
      <w:marLeft w:val="0"/>
      <w:marRight w:val="0"/>
      <w:marTop w:val="0"/>
      <w:marBottom w:val="0"/>
      <w:divBdr>
        <w:top w:val="none" w:sz="0" w:space="0" w:color="auto"/>
        <w:left w:val="none" w:sz="0" w:space="0" w:color="auto"/>
        <w:bottom w:val="none" w:sz="0" w:space="0" w:color="auto"/>
        <w:right w:val="none" w:sz="0" w:space="0" w:color="auto"/>
      </w:divBdr>
    </w:div>
    <w:div w:id="2129929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footer" Target="footer54.xml"/><Relationship Id="rId21" Type="http://schemas.openxmlformats.org/officeDocument/2006/relationships/footer" Target="footer3.xml"/><Relationship Id="rId42" Type="http://schemas.openxmlformats.org/officeDocument/2006/relationships/footer" Target="footer11.xml"/><Relationship Id="rId47" Type="http://schemas.openxmlformats.org/officeDocument/2006/relationships/header" Target="header12.xml"/><Relationship Id="rId63" Type="http://schemas.openxmlformats.org/officeDocument/2006/relationships/header" Target="header17.xml"/><Relationship Id="rId68" Type="http://schemas.openxmlformats.org/officeDocument/2006/relationships/footer" Target="footer26.xml"/><Relationship Id="rId84" Type="http://schemas.openxmlformats.org/officeDocument/2006/relationships/footer" Target="footer33.xml"/><Relationship Id="rId89" Type="http://schemas.openxmlformats.org/officeDocument/2006/relationships/footer" Target="footer38.xml"/><Relationship Id="rId112" Type="http://schemas.openxmlformats.org/officeDocument/2006/relationships/footer" Target="footer52.xml"/><Relationship Id="rId133" Type="http://schemas.openxmlformats.org/officeDocument/2006/relationships/theme" Target="theme/theme1.xml"/><Relationship Id="rId16" Type="http://schemas.openxmlformats.org/officeDocument/2006/relationships/header" Target="header2.xml"/><Relationship Id="rId107" Type="http://schemas.openxmlformats.org/officeDocument/2006/relationships/footer" Target="footer47.xml"/><Relationship Id="rId11" Type="http://schemas.openxmlformats.org/officeDocument/2006/relationships/footnotes" Target="footnotes.xml"/><Relationship Id="rId32" Type="http://schemas.openxmlformats.org/officeDocument/2006/relationships/footer" Target="footer7.xml"/><Relationship Id="rId37" Type="http://schemas.openxmlformats.org/officeDocument/2006/relationships/image" Target="media/image8.emf"/><Relationship Id="rId53" Type="http://schemas.openxmlformats.org/officeDocument/2006/relationships/image" Target="media/image13.emf"/><Relationship Id="rId58" Type="http://schemas.openxmlformats.org/officeDocument/2006/relationships/footer" Target="footer21.xml"/><Relationship Id="rId74" Type="http://schemas.openxmlformats.org/officeDocument/2006/relationships/image" Target="media/image19.png"/><Relationship Id="rId79" Type="http://schemas.openxmlformats.org/officeDocument/2006/relationships/header" Target="header20.xml"/><Relationship Id="rId102" Type="http://schemas.openxmlformats.org/officeDocument/2006/relationships/footer" Target="footer43.xml"/><Relationship Id="rId123" Type="http://schemas.openxmlformats.org/officeDocument/2006/relationships/footer" Target="footer59.xml"/><Relationship Id="rId128" Type="http://schemas.openxmlformats.org/officeDocument/2006/relationships/footer" Target="footer61.xml"/><Relationship Id="rId5" Type="http://schemas.openxmlformats.org/officeDocument/2006/relationships/customXml" Target="../customXml/item5.xml"/><Relationship Id="rId90" Type="http://schemas.openxmlformats.org/officeDocument/2006/relationships/image" Target="media/image21.png"/><Relationship Id="rId95" Type="http://schemas.openxmlformats.org/officeDocument/2006/relationships/image" Target="media/image22.jpeg"/><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image" Target="media/image7.png"/><Relationship Id="rId43" Type="http://schemas.openxmlformats.org/officeDocument/2006/relationships/footer" Target="footer12.xml"/><Relationship Id="rId48" Type="http://schemas.openxmlformats.org/officeDocument/2006/relationships/header" Target="header13.xml"/><Relationship Id="rId56" Type="http://schemas.openxmlformats.org/officeDocument/2006/relationships/footer" Target="footer19.xml"/><Relationship Id="rId64" Type="http://schemas.openxmlformats.org/officeDocument/2006/relationships/footer" Target="footer23.xml"/><Relationship Id="rId69" Type="http://schemas.openxmlformats.org/officeDocument/2006/relationships/image" Target="media/image17.png"/><Relationship Id="rId77" Type="http://schemas.openxmlformats.org/officeDocument/2006/relationships/header" Target="header19.xml"/><Relationship Id="rId100" Type="http://schemas.openxmlformats.org/officeDocument/2006/relationships/image" Target="media/image24.png"/><Relationship Id="rId105" Type="http://schemas.openxmlformats.org/officeDocument/2006/relationships/image" Target="media/image25.emf"/><Relationship Id="rId113" Type="http://schemas.openxmlformats.org/officeDocument/2006/relationships/footer" Target="footer53.xml"/><Relationship Id="rId118" Type="http://schemas.openxmlformats.org/officeDocument/2006/relationships/header" Target="header26.xml"/><Relationship Id="rId126" Type="http://schemas.openxmlformats.org/officeDocument/2006/relationships/footer" Target="footer60.xml"/><Relationship Id="rId8" Type="http://schemas.openxmlformats.org/officeDocument/2006/relationships/styles" Target="styles.xml"/><Relationship Id="rId51" Type="http://schemas.openxmlformats.org/officeDocument/2006/relationships/image" Target="media/image12.emf"/><Relationship Id="rId72" Type="http://schemas.openxmlformats.org/officeDocument/2006/relationships/footer" Target="footer28.xml"/><Relationship Id="rId80" Type="http://schemas.openxmlformats.org/officeDocument/2006/relationships/footer" Target="footer31.xml"/><Relationship Id="rId85" Type="http://schemas.openxmlformats.org/officeDocument/2006/relationships/footer" Target="footer34.xml"/><Relationship Id="rId93" Type="http://schemas.openxmlformats.org/officeDocument/2006/relationships/header" Target="header23.xml"/><Relationship Id="rId98" Type="http://schemas.openxmlformats.org/officeDocument/2006/relationships/image" Target="media/image23.emf"/><Relationship Id="rId121" Type="http://schemas.openxmlformats.org/officeDocument/2006/relationships/footer" Target="footer57.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s3.ap-southeast-2.amazonaws.com/hdp.au.prod.app.vic-engage.files/9016/1785/2933/FRAMEWORK_FOR_REFORM_-_Modernising_Victorias_building_system_FINAL.pdf" TargetMode="External"/><Relationship Id="rId33" Type="http://schemas.openxmlformats.org/officeDocument/2006/relationships/footer" Target="footer8.xml"/><Relationship Id="rId38" Type="http://schemas.openxmlformats.org/officeDocument/2006/relationships/header" Target="header9.xml"/><Relationship Id="rId46" Type="http://schemas.openxmlformats.org/officeDocument/2006/relationships/image" Target="media/image10.png"/><Relationship Id="rId59" Type="http://schemas.openxmlformats.org/officeDocument/2006/relationships/image" Target="media/image14.png"/><Relationship Id="rId67" Type="http://schemas.openxmlformats.org/officeDocument/2006/relationships/footer" Target="footer25.xml"/><Relationship Id="rId103" Type="http://schemas.openxmlformats.org/officeDocument/2006/relationships/footer" Target="footer44.xml"/><Relationship Id="rId108" Type="http://schemas.openxmlformats.org/officeDocument/2006/relationships/footer" Target="footer48.xml"/><Relationship Id="rId116" Type="http://schemas.openxmlformats.org/officeDocument/2006/relationships/header" Target="header25.xml"/><Relationship Id="rId124" Type="http://schemas.openxmlformats.org/officeDocument/2006/relationships/image" Target="media/image27.png"/><Relationship Id="rId129" Type="http://schemas.openxmlformats.org/officeDocument/2006/relationships/header" Target="header27.xml"/><Relationship Id="rId20" Type="http://schemas.openxmlformats.org/officeDocument/2006/relationships/header" Target="header5.xml"/><Relationship Id="rId41" Type="http://schemas.openxmlformats.org/officeDocument/2006/relationships/header" Target="header11.xml"/><Relationship Id="rId54" Type="http://schemas.openxmlformats.org/officeDocument/2006/relationships/footer" Target="footer17.xml"/><Relationship Id="rId62" Type="http://schemas.openxmlformats.org/officeDocument/2006/relationships/footer" Target="footer22.xml"/><Relationship Id="rId70" Type="http://schemas.openxmlformats.org/officeDocument/2006/relationships/footer" Target="footer27.xml"/><Relationship Id="rId75" Type="http://schemas.openxmlformats.org/officeDocument/2006/relationships/hyperlink" Target="https://www.building.vic.gov.au/" TargetMode="External"/><Relationship Id="rId83" Type="http://schemas.openxmlformats.org/officeDocument/2006/relationships/hyperlink" Target="https://www.consumer.vic.gov.au/housing/building-and-renovating/checklists/building-contracts" TargetMode="External"/><Relationship Id="rId88" Type="http://schemas.openxmlformats.org/officeDocument/2006/relationships/footer" Target="footer37.xml"/><Relationship Id="rId91" Type="http://schemas.openxmlformats.org/officeDocument/2006/relationships/header" Target="header21.xml"/><Relationship Id="rId96" Type="http://schemas.openxmlformats.org/officeDocument/2006/relationships/footer" Target="footer40.xml"/><Relationship Id="rId111" Type="http://schemas.openxmlformats.org/officeDocument/2006/relationships/footer" Target="footer51.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image" Target="media/image3.png"/><Relationship Id="rId36" Type="http://schemas.openxmlformats.org/officeDocument/2006/relationships/footer" Target="footer9.xml"/><Relationship Id="rId49" Type="http://schemas.openxmlformats.org/officeDocument/2006/relationships/footer" Target="footer15.xml"/><Relationship Id="rId57" Type="http://schemas.openxmlformats.org/officeDocument/2006/relationships/footer" Target="footer20.xml"/><Relationship Id="rId106" Type="http://schemas.openxmlformats.org/officeDocument/2006/relationships/footer" Target="footer46.xml"/><Relationship Id="rId114" Type="http://schemas.openxmlformats.org/officeDocument/2006/relationships/image" Target="media/image26.jpeg"/><Relationship Id="rId119" Type="http://schemas.openxmlformats.org/officeDocument/2006/relationships/footer" Target="footer55.xml"/><Relationship Id="rId127" Type="http://schemas.openxmlformats.org/officeDocument/2006/relationships/image" Target="media/image29.png"/><Relationship Id="rId10" Type="http://schemas.openxmlformats.org/officeDocument/2006/relationships/webSettings" Target="webSettings.xml"/><Relationship Id="rId31" Type="http://schemas.openxmlformats.org/officeDocument/2006/relationships/image" Target="media/image5.png"/><Relationship Id="rId44" Type="http://schemas.openxmlformats.org/officeDocument/2006/relationships/footer" Target="footer13.xml"/><Relationship Id="rId52" Type="http://schemas.openxmlformats.org/officeDocument/2006/relationships/footer" Target="footer16.xml"/><Relationship Id="rId60" Type="http://schemas.openxmlformats.org/officeDocument/2006/relationships/header" Target="header15.xml"/><Relationship Id="rId65" Type="http://schemas.openxmlformats.org/officeDocument/2006/relationships/image" Target="media/image16.emf"/><Relationship Id="rId73" Type="http://schemas.openxmlformats.org/officeDocument/2006/relationships/footer" Target="footer29.xml"/><Relationship Id="rId78" Type="http://schemas.openxmlformats.org/officeDocument/2006/relationships/footer" Target="footer30.xml"/><Relationship Id="rId81" Type="http://schemas.openxmlformats.org/officeDocument/2006/relationships/footer" Target="footer32.xml"/><Relationship Id="rId86" Type="http://schemas.openxmlformats.org/officeDocument/2006/relationships/footer" Target="footer35.xml"/><Relationship Id="rId94" Type="http://schemas.openxmlformats.org/officeDocument/2006/relationships/footer" Target="footer39.xml"/><Relationship Id="rId99" Type="http://schemas.openxmlformats.org/officeDocument/2006/relationships/footer" Target="footer42.xml"/><Relationship Id="rId101" Type="http://schemas.openxmlformats.org/officeDocument/2006/relationships/hyperlink" Target="https://www.vic.gov.au/supply-chain-review" TargetMode="External"/><Relationship Id="rId122" Type="http://schemas.openxmlformats.org/officeDocument/2006/relationships/footer" Target="footer58.xml"/><Relationship Id="rId130" Type="http://schemas.openxmlformats.org/officeDocument/2006/relationships/footer" Target="footer62.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3.xml"/><Relationship Id="rId39" Type="http://schemas.openxmlformats.org/officeDocument/2006/relationships/header" Target="header10.xml"/><Relationship Id="rId109" Type="http://schemas.openxmlformats.org/officeDocument/2006/relationships/footer" Target="footer49.xml"/><Relationship Id="rId34" Type="http://schemas.openxmlformats.org/officeDocument/2006/relationships/image" Target="media/image6.emf"/><Relationship Id="rId50" Type="http://schemas.openxmlformats.org/officeDocument/2006/relationships/header" Target="header14.xml"/><Relationship Id="rId55" Type="http://schemas.openxmlformats.org/officeDocument/2006/relationships/footer" Target="footer18.xml"/><Relationship Id="rId76" Type="http://schemas.openxmlformats.org/officeDocument/2006/relationships/header" Target="header18.xml"/><Relationship Id="rId97" Type="http://schemas.openxmlformats.org/officeDocument/2006/relationships/footer" Target="footer41.xml"/><Relationship Id="rId104" Type="http://schemas.openxmlformats.org/officeDocument/2006/relationships/footer" Target="footer45.xml"/><Relationship Id="rId120" Type="http://schemas.openxmlformats.org/officeDocument/2006/relationships/footer" Target="footer56.xml"/><Relationship Id="rId125" Type="http://schemas.openxmlformats.org/officeDocument/2006/relationships/image" Target="media/image28.png"/><Relationship Id="rId7" Type="http://schemas.openxmlformats.org/officeDocument/2006/relationships/numbering" Target="numbering.xml"/><Relationship Id="rId71" Type="http://schemas.openxmlformats.org/officeDocument/2006/relationships/image" Target="media/image18.png"/><Relationship Id="rId92" Type="http://schemas.openxmlformats.org/officeDocument/2006/relationships/header" Target="header22.xml"/><Relationship Id="rId2" Type="http://schemas.openxmlformats.org/officeDocument/2006/relationships/customXml" Target="../customXml/item2.xml"/><Relationship Id="rId29" Type="http://schemas.openxmlformats.org/officeDocument/2006/relationships/image" Target="media/image4.emf"/><Relationship Id="rId24" Type="http://schemas.openxmlformats.org/officeDocument/2006/relationships/header" Target="header8.xml"/><Relationship Id="rId40" Type="http://schemas.openxmlformats.org/officeDocument/2006/relationships/footer" Target="footer10.xml"/><Relationship Id="rId45" Type="http://schemas.openxmlformats.org/officeDocument/2006/relationships/footer" Target="footer14.xml"/><Relationship Id="rId66" Type="http://schemas.openxmlformats.org/officeDocument/2006/relationships/footer" Target="footer24.xml"/><Relationship Id="rId87" Type="http://schemas.openxmlformats.org/officeDocument/2006/relationships/footer" Target="footer36.xml"/><Relationship Id="rId110" Type="http://schemas.openxmlformats.org/officeDocument/2006/relationships/footer" Target="footer50.xml"/><Relationship Id="rId115" Type="http://schemas.openxmlformats.org/officeDocument/2006/relationships/header" Target="header24.xml"/><Relationship Id="rId131" Type="http://schemas.openxmlformats.org/officeDocument/2006/relationships/footer" Target="footer63.xml"/><Relationship Id="rId61" Type="http://schemas.openxmlformats.org/officeDocument/2006/relationships/header" Target="header16.xml"/><Relationship Id="rId82" Type="http://schemas.openxmlformats.org/officeDocument/2006/relationships/hyperlink" Target="https://www.consumer.vic.gov.au/housing/building-and-renovating/plan-and-manage-your-building-project/domestic-building-consumer-guide" TargetMode="External"/><Relationship Id="rId19" Type="http://schemas.openxmlformats.org/officeDocument/2006/relationships/header" Target="header4.xml"/></Relationships>
</file>

<file path=word/_rels/endnotes.xml.rels><?xml version="1.0" encoding="UTF-8" standalone="yes"?>
<Relationships xmlns="http://schemas.openxmlformats.org/package/2006/relationships"><Relationship Id="rId8" Type="http://schemas.openxmlformats.org/officeDocument/2006/relationships/hyperlink" Target="https://www.vic.gov.au/homes-victoria-fast-start-projects" TargetMode="External"/><Relationship Id="rId13" Type="http://schemas.openxmlformats.org/officeDocument/2006/relationships/hyperlink" Target="https://www.abc.net.au/news/2019-02-04/spencer-street-apartment-fire-melbourne/10776018" TargetMode="External"/><Relationship Id="rId18" Type="http://schemas.openxmlformats.org/officeDocument/2006/relationships/hyperlink" Target="https://www.consumer.vic.gov.au/housing/building-and-renovating/plan-and-manage-your-building-project/contracts" TargetMode="External"/><Relationship Id="rId26" Type="http://schemas.openxmlformats.org/officeDocument/2006/relationships/hyperlink" Target="https://www.land.vic.gov.au/maps-and-spatial/projects-and-programs/digital-twin-victoria" TargetMode="External"/><Relationship Id="rId3" Type="http://schemas.openxmlformats.org/officeDocument/2006/relationships/hyperlink" Target="https://lmip.gov.au/default.aspx?LMIP/Downloads/EmploymentRegion" TargetMode="External"/><Relationship Id="rId21" Type="http://schemas.openxmlformats.org/officeDocument/2006/relationships/hyperlink" Target="https://dbdrv.vic.gov.au/dispute-resolution-process" TargetMode="External"/><Relationship Id="rId34" Type="http://schemas.openxmlformats.org/officeDocument/2006/relationships/hyperlink" Target="https://www.vba.vic.gov.au/__data/assets/pdf_file/0008/99368/PN-23-Maintenance-of-Essential-Safety-Measures.pdf" TargetMode="External"/><Relationship Id="rId7" Type="http://schemas.openxmlformats.org/officeDocument/2006/relationships/hyperlink" Target="https://www.premier.vic.gov.au/victorias-big-housing-build" TargetMode="External"/><Relationship Id="rId12" Type="http://schemas.openxmlformats.org/officeDocument/2006/relationships/hyperlink" Target="https://www.abc.net.au/news/2019-02-28/lacrosse-apartment-owners-win-5.7-million-cladding-fire-damages/10857060" TargetMode="External"/><Relationship Id="rId17" Type="http://schemas.openxmlformats.org/officeDocument/2006/relationships/hyperlink" Target="https://www.aph.gov.au/Parliamentary_Business/Committees/Senate/Economics/Completed_inquiries/2008-10/home_warranty_08/report/index" TargetMode="External"/><Relationship Id="rId25" Type="http://schemas.openxmlformats.org/officeDocument/2006/relationships/hyperlink" Target="https://watermark.abcb.gov.au/sites/default/files/resources/2020//Manual_for_the_WaterMark_Certification_Scheme.pdf" TargetMode="External"/><Relationship Id="rId33" Type="http://schemas.openxmlformats.org/officeDocument/2006/relationships/hyperlink" Target="https://www.afr.com/property/residential/melbourne-s-neo200-tower-in-a-serious-state-of-dysfunction-20190903-p52nmo" TargetMode="External"/><Relationship Id="rId2" Type="http://schemas.openxmlformats.org/officeDocument/2006/relationships/hyperlink" Target="https://www.abs.gov.au/statistics/economy/national-accounts/australian-national-accounts-state-accounts/latest-release" TargetMode="External"/><Relationship Id="rId16" Type="http://schemas.openxmlformats.org/officeDocument/2006/relationships/hyperlink" Target="https://www.planning.vic.gov.au/__data/assets/pdf_file/0012/110316/Victorian-Cladding-Taskforce-Interim-Report-November-2017.pdf" TargetMode="External"/><Relationship Id="rId20" Type="http://schemas.openxmlformats.org/officeDocument/2006/relationships/hyperlink" Target="https://dbdrv.vic.gov.au/is-our-service-right-for-you" TargetMode="External"/><Relationship Id="rId29" Type="http://schemas.openxmlformats.org/officeDocument/2006/relationships/hyperlink" Target="https://www.vic.gov.au/supply-chain-review" TargetMode="External"/><Relationship Id="rId1" Type="http://schemas.openxmlformats.org/officeDocument/2006/relationships/hyperlink" Target="https://www.planning.vic.gov.au/__data/assets/pdf_file/0019/426034/DELWP0124_Victorian_Cladding_Taskforce_Final_Report_July_2019_v9.pdf" TargetMode="External"/><Relationship Id="rId6" Type="http://schemas.openxmlformats.org/officeDocument/2006/relationships/hyperlink" Target="https://www.premier.vic.gov.au/victorias-big-housing-build" TargetMode="External"/><Relationship Id="rId11" Type="http://schemas.openxmlformats.org/officeDocument/2006/relationships/hyperlink" Target="https://www.standard.co.uk/news/london/grenfell-tower-cladding-helped-fire-spread-faster-than-match-in-barrel-of-petrol-inquiry-hears-a3855671.html" TargetMode="External"/><Relationship Id="rId24" Type="http://schemas.openxmlformats.org/officeDocument/2006/relationships/hyperlink" Target="https://codemark.abcb.gov.au/building-practitioners/what-codemark" TargetMode="External"/><Relationship Id="rId32" Type="http://schemas.openxmlformats.org/officeDocument/2006/relationships/hyperlink" Target="https://www.vba.vic.gov.au/consumers/guides/essential-safety-measures" TargetMode="External"/><Relationship Id="rId5" Type="http://schemas.openxmlformats.org/officeDocument/2006/relationships/hyperlink" Target="https://www.budget.vic.gov.au/strengthening-industry" TargetMode="External"/><Relationship Id="rId15" Type="http://schemas.openxmlformats.org/officeDocument/2006/relationships/hyperlink" Target="https://www.planning.vic.gov.au/__data/assets/pdf_file/0012/110316/Victorian-Cladding-Taskforce-Interim-Report-November-2017.pdf" TargetMode="External"/><Relationship Id="rId23" Type="http://schemas.openxmlformats.org/officeDocument/2006/relationships/hyperlink" Target="https://business.vic.gov.au/__data/assets/pdf_file/0006/1275495/Construction-Technologies-Strategy-web-version-20160310.pdf" TargetMode="External"/><Relationship Id="rId28" Type="http://schemas.openxmlformats.org/officeDocument/2006/relationships/hyperlink" Target="https://theconversation.com/we-create-20m-tons-of-construction-industry-waste-each-year-heres-how-to-stop-it-going-to-landfill-114602" TargetMode="External"/><Relationship Id="rId10" Type="http://schemas.openxmlformats.org/officeDocument/2006/relationships/hyperlink" Target="https://www.pc.gov.au/inquiries/completed/first-home-ownership/report/housing.pdf" TargetMode="External"/><Relationship Id="rId19" Type="http://schemas.openxmlformats.org/officeDocument/2006/relationships/hyperlink" Target="https://dbdrv.vic.gov.au/tips-to-resolve-dispute" TargetMode="External"/><Relationship Id="rId31" Type="http://schemas.openxmlformats.org/officeDocument/2006/relationships/hyperlink" Target="https://www.nationaltribune.com.au/innovative-businesses-cutting-waste-and-costs/" TargetMode="External"/><Relationship Id="rId4" Type="http://schemas.openxmlformats.org/officeDocument/2006/relationships/hyperlink" Target="https://lmip.gov.au/default.aspx?LMIP/Downloads/EmploymentRegion" TargetMode="External"/><Relationship Id="rId9" Type="http://schemas.openxmlformats.org/officeDocument/2006/relationships/hyperlink" Target="https://www.vic.gov.au/homes-victoria-fast-start-projects" TargetMode="External"/><Relationship Id="rId14" Type="http://schemas.openxmlformats.org/officeDocument/2006/relationships/hyperlink" Target="https://www.industry.gov.au/sites/default/files/July%202018/document/pdf/building_ministers_forum_expert_assessment_-_building_confidence.pdf" TargetMode="External"/><Relationship Id="rId22" Type="http://schemas.openxmlformats.org/officeDocument/2006/relationships/hyperlink" Target="https://dbdrv.vic.gov.au/dispute-resolution-process" TargetMode="External"/><Relationship Id="rId27" Type="http://schemas.openxmlformats.org/officeDocument/2006/relationships/hyperlink" Target="https://theconversation.com/we-create-20m-tons-of-construction-industry-waste-each-year-heres-how-to-stop-it-going-to-landfill-114602" TargetMode="External"/><Relationship Id="rId30" Type="http://schemas.openxmlformats.org/officeDocument/2006/relationships/hyperlink" Target="https://www.vic.gov.au/supply-chain-review" TargetMode="External"/><Relationship Id="rId35" Type="http://schemas.openxmlformats.org/officeDocument/2006/relationships/hyperlink" Target="https://www.themandarin.com.au/176101-accelerating-the-construction-sectors-digital-transformation-will-help-australia-meet-net-zero-by-205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9.png"/></Relationships>
</file>

<file path=word/_rels/header13.xml.rels><?xml version="1.0" encoding="UTF-8" standalone="yes"?>
<Relationships xmlns="http://schemas.openxmlformats.org/package/2006/relationships"><Relationship Id="rId1" Type="http://schemas.openxmlformats.org/officeDocument/2006/relationships/image" Target="media/image11.png"/></Relationships>
</file>

<file path=word/_rels/header16.xml.rels><?xml version="1.0" encoding="UTF-8" standalone="yes"?>
<Relationships xmlns="http://schemas.openxmlformats.org/package/2006/relationships"><Relationship Id="rId1" Type="http://schemas.openxmlformats.org/officeDocument/2006/relationships/image" Target="media/image15.png"/></Relationships>
</file>

<file path=word/_rels/header19.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ngel\AppData\Roaming\Microsoft\Templates\2%20Report\Report%20template%20-%20Portrait.dotm" TargetMode="External"/></Relationships>
</file>

<file path=word/theme/theme1.xml><?xml version="1.0" encoding="utf-8"?>
<a:theme xmlns:a="http://schemas.openxmlformats.org/drawingml/2006/main" name="DSE colour theme">
  <a:themeElements>
    <a:clrScheme name="DSE Colour scheme">
      <a:dk1>
        <a:sysClr val="windowText" lastClr="000000"/>
      </a:dk1>
      <a:lt1>
        <a:sysClr val="window" lastClr="FFFFFF"/>
      </a:lt1>
      <a:dk2>
        <a:srgbClr val="1F2A44"/>
      </a:dk2>
      <a:lt2>
        <a:srgbClr val="E7E6E6"/>
      </a:lt2>
      <a:accent1>
        <a:srgbClr val="92C1E9"/>
      </a:accent1>
      <a:accent2>
        <a:srgbClr val="87189D"/>
      </a:accent2>
      <a:accent3>
        <a:srgbClr val="B580D1"/>
      </a:accent3>
      <a:accent4>
        <a:srgbClr val="63B1BC"/>
      </a:accent4>
      <a:accent5>
        <a:srgbClr val="40C1AC"/>
      </a:accent5>
      <a:accent6>
        <a:srgbClr val="4298B5"/>
      </a:accent6>
      <a:hlink>
        <a:srgbClr val="6787B7"/>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2022-03-23T00:00:00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AF1AD5AF15524C920CB3BE3D72725D" ma:contentTypeVersion="26" ma:contentTypeDescription="Create a new document." ma:contentTypeScope="" ma:versionID="470b91604594ce27fd5d820e702c8b3d">
  <xsd:schema xmlns:xsd="http://www.w3.org/2001/XMLSchema" xmlns:xs="http://www.w3.org/2001/XMLSchema" xmlns:p="http://schemas.microsoft.com/office/2006/metadata/properties" xmlns:ns2="c5048082-e052-44c2-9313-1529a8e2ac53" xmlns:ns3="97580cac-1a46-464e-a749-263d0beaf9ec" targetNamespace="http://schemas.microsoft.com/office/2006/metadata/properties" ma:root="true" ma:fieldsID="370ddbef98a5cceae9eb6263a3ab7e45" ns2:_="" ns3:_="">
    <xsd:import namespace="c5048082-e052-44c2-9313-1529a8e2ac53"/>
    <xsd:import namespace="97580cac-1a46-464e-a749-263d0beaf9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WorkCategory" minOccurs="0"/>
                <xsd:element ref="ns2:DocumentType" minOccurs="0"/>
                <xsd:element ref="ns2:Status" minOccurs="0"/>
                <xsd:element ref="ns2:Assignedto" minOccurs="0"/>
                <xsd:element ref="ns2:Requiredbydate" minOccurs="0"/>
                <xsd:element ref="ns2:MediaServiceObjectDetectorVersions" minOccurs="0"/>
                <xsd:element ref="ns2:Department" minOccurs="0"/>
                <xsd:element ref="ns2:Requester" minOccurs="0"/>
                <xsd:element ref="ns2:HasaRIS_x002f_LIAdrafted_x003f_" minOccurs="0"/>
                <xsd:element ref="ns2:Exemption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048082-e052-44c2-9313-1529a8e2ac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WorkCategory" ma:index="23" nillable="true" ma:displayName="Work Category" ma:format="Dropdown" ma:indexed="true" ma:internalName="WorkCategory">
      <xsd:simpleType>
        <xsd:restriction base="dms:Choice">
          <xsd:enumeration value="Building System Review"/>
          <xsd:enumeration value="Competitive Neutrality"/>
          <xsd:enumeration value="General"/>
          <xsd:enumeration value="Guidance Project"/>
          <xsd:enumeration value="Marked for Deletion"/>
          <xsd:enumeration value="Presentations and Conferences"/>
          <xsd:enumeration value="Regulators as a Profession"/>
          <xsd:enumeration value="Regulator Reform Project and Health Checks"/>
          <xsd:enumeration value="RegTech Project"/>
          <xsd:enumeration value="Reviews"/>
          <xsd:enumeration value="Scrutiny Project"/>
        </xsd:restriction>
      </xsd:simpleType>
    </xsd:element>
    <xsd:element name="DocumentType" ma:index="24" nillable="true" ma:displayName="Document Type" ma:format="Dropdown" ma:internalName="DocumentType">
      <xsd:simpleType>
        <xsd:restriction base="dms:Choice">
          <xsd:enumeration value="Agenda"/>
          <xsd:enumeration value="Brief"/>
          <xsd:enumeration value="Guidance"/>
          <xsd:enumeration value="Presentation"/>
          <xsd:enumeration value="Memo"/>
          <xsd:enumeration value="Minutes"/>
          <xsd:enumeration value="Report"/>
        </xsd:restriction>
      </xsd:simpleType>
    </xsd:element>
    <xsd:element name="Status" ma:index="25" nillable="true" ma:displayName="Status" ma:format="Dropdown" ma:internalName="Status">
      <xsd:simpleType>
        <xsd:restriction base="dms:Choice">
          <xsd:enumeration value="Draft"/>
          <xsd:enumeration value="For review"/>
          <xsd:enumeration value="For approval"/>
          <xsd:enumeration value="Approved"/>
          <xsd:enumeration value="On-hold"/>
        </xsd:restriction>
      </xsd:simpleType>
    </xsd:element>
    <xsd:element name="Assignedto" ma:index="26" nillable="true" ma:displayName="Assigned to" ma:format="Dropdown" ma:list="UserInfo" ma:SharePointGroup="0" ma:internalName="Assignedto">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quiredbydate" ma:index="27" nillable="true" ma:displayName="Required by date" ma:format="DateOnly" ma:internalName="Requiredbydate">
      <xsd:simpleType>
        <xsd:restriction base="dms:DateTime"/>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Department" ma:index="30" nillable="true" ma:displayName="Department" ma:format="Dropdown" ma:internalName="Department">
      <xsd:simpleType>
        <xsd:union memberTypes="dms:Text">
          <xsd:simpleType>
            <xsd:restriction base="dms:Choice">
              <xsd:enumeration value="DTF"/>
              <xsd:enumeration value="DPC"/>
              <xsd:enumeration value="DGS"/>
              <xsd:enumeration value="DJSIR"/>
              <xsd:enumeration value="DH"/>
              <xsd:enumeration value="DTP"/>
              <xsd:enumeration value="DEECA"/>
              <xsd:enumeration value="ESC"/>
              <xsd:enumeration value="VPA"/>
              <xsd:enumeration value="DJCS"/>
              <xsd:enumeration value="WorkSafe"/>
              <xsd:enumeration value="DFFH"/>
              <xsd:enumeration value="DELWP"/>
              <xsd:enumeration value="DE"/>
              <xsd:enumeration value="DET"/>
            </xsd:restriction>
          </xsd:simpleType>
        </xsd:union>
      </xsd:simpleType>
    </xsd:element>
    <xsd:element name="Requester" ma:index="31" nillable="true" ma:displayName="Requester" ma:format="Dropdown" ma:list="UserInfo" ma:SharePointGroup="0" ma:internalName="Reques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asaRIS_x002f_LIAdrafted_x003f_" ma:index="32" nillable="true" ma:displayName="Has a RIS/LIA been drafted?" ma:default="0" ma:format="Dropdown" ma:internalName="HasaRIS_x002f_LIAdrafted_x003f_">
      <xsd:simpleType>
        <xsd:restriction base="dms:Boolean"/>
      </xsd:simpleType>
    </xsd:element>
    <xsd:element name="Exemptionground" ma:index="33" nillable="true" ma:displayName="Exemption ground" ma:description="Exemption ground in the Subordinate Legislation Act. Key grounds:&#10;8(1)(a) - SR no significant burden&#10;8(1)(c) - SR declaratory or machinery&#10;8(1)(d) - SR fees increasing below Treasurer's rate&#10;8(1)(f) - SR national uniform legislation&#10;12F(1)(a) - LI no significant burden&#10;12F(1)(b) - LI declaratory or machinery&#10;12F(1)(c) - LI fees increasing below Treasurer's rate&#10;12F(1)(d) - LI burden only on public sector&#10;12F(1)(f) - LI national uniform legislation&#10;12F(1)(g) - LI equivalent RIS process &#10;12F(1)(h) - LI less than 12 months duration&#10;&#10;&#10;&#10;" ma:format="Dropdown" ma:internalName="Exemptiongroun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580cac-1a46-464e-a749-263d0beaf9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7364121-4511-4e9b-9ea9-dbc06523d608}" ma:internalName="TaxCatchAll" ma:showField="CatchAllData" ma:web="97580cac-1a46-464e-a749-263d0beaf9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97580cac-1a46-464e-a749-263d0beaf9ec">
      <UserInfo>
        <DisplayName>SharingLinks.c9dd5582-900d-492c-964f-b24b3f6ea166.Flexible.e89d4d7a-df34-4a09-8474-27c44e8553f7</DisplayName>
        <AccountId>98</AccountId>
        <AccountType/>
      </UserInfo>
      <UserInfo>
        <DisplayName>SharingLinks.2631f94e-4226-45f1-9dea-1efa62cac9df.Flexible.c690330b-9be5-40bd-b802-aef2db8ff202</DisplayName>
        <AccountId>147</AccountId>
        <AccountType/>
      </UserInfo>
      <UserInfo>
        <DisplayName>SharingLinks.03674eb9-dc69-4ee8-92d4-fb84605b99a1.Flexible.d5171d7a-4597-432e-a7d2-27cfe14596c2</DisplayName>
        <AccountId>104</AccountId>
        <AccountType/>
      </UserInfo>
      <UserInfo>
        <DisplayName>Lloyd Abou-Khater (DTF)</DisplayName>
        <AccountId>100</AccountId>
        <AccountType/>
      </UserInfo>
      <UserInfo>
        <DisplayName>Mark Acebo (DTF)</DisplayName>
        <AccountId>14</AccountId>
        <AccountType/>
      </UserInfo>
      <UserInfo>
        <DisplayName>SharingLinks.7b72b8c6-b430-4c00-901e-c04e235d06b5.Flexible.ca4a6be7-5874-4657-b962-20795958db38</DisplayName>
        <AccountId>177</AccountId>
        <AccountType/>
      </UserInfo>
      <UserInfo>
        <DisplayName>Alex Richardson (DTF)</DisplayName>
        <AccountId>47</AccountId>
        <AccountType/>
      </UserInfo>
      <UserInfo>
        <DisplayName>Marco Vizzaccaro (DTF)</DisplayName>
        <AccountId>128</AccountId>
        <AccountType/>
      </UserInfo>
      <UserInfo>
        <DisplayName>Max Keldoulis (DTF)</DisplayName>
        <AccountId>16</AccountId>
        <AccountType/>
      </UserInfo>
      <UserInfo>
        <DisplayName>Kanha Min (DTF)</DisplayName>
        <AccountId>17</AccountId>
        <AccountType/>
      </UserInfo>
      <UserInfo>
        <DisplayName>Angela Jurjevic (DTF)</DisplayName>
        <AccountId>24</AccountId>
        <AccountType/>
      </UserInfo>
      <UserInfo>
        <DisplayName>Nicole Swift (DTF)</DisplayName>
        <AccountId>186</AccountId>
        <AccountType/>
      </UserInfo>
      <UserInfo>
        <DisplayName>Mark Kealy (DTF)</DisplayName>
        <AccountId>23</AccountId>
        <AccountType/>
      </UserInfo>
      <UserInfo>
        <DisplayName>Anna Cronin (DTF)</DisplayName>
        <AccountId>27</AccountId>
        <AccountType/>
      </UserInfo>
      <UserInfo>
        <DisplayName>Alex Green</DisplayName>
        <AccountId>206</AccountId>
        <AccountType/>
      </UserInfo>
      <UserInfo>
        <DisplayName>Sean Cleary (DTF)</DisplayName>
        <AccountId>19</AccountId>
        <AccountType/>
      </UserInfo>
      <UserInfo>
        <DisplayName>Peter Holding (DELWP)</DisplayName>
        <AccountId>70</AccountId>
        <AccountType/>
      </UserInfo>
      <UserInfo>
        <DisplayName>Robin Ng (DTF)</DisplayName>
        <AccountId>82</AccountId>
        <AccountType/>
      </UserInfo>
    </SharedWithUsers>
    <Status xmlns="c5048082-e052-44c2-9313-1529a8e2ac53" xsi:nil="true"/>
    <Requiredbydate xmlns="c5048082-e052-44c2-9313-1529a8e2ac53" xsi:nil="true"/>
    <TaxCatchAll xmlns="97580cac-1a46-464e-a749-263d0beaf9ec" xsi:nil="true"/>
    <WorkCategory xmlns="c5048082-e052-44c2-9313-1529a8e2ac53" xsi:nil="true"/>
    <DocumentType xmlns="c5048082-e052-44c2-9313-1529a8e2ac53" xsi:nil="true"/>
    <lcf76f155ced4ddcb4097134ff3c332f xmlns="c5048082-e052-44c2-9313-1529a8e2ac53">
      <Terms xmlns="http://schemas.microsoft.com/office/infopath/2007/PartnerControls"/>
    </lcf76f155ced4ddcb4097134ff3c332f>
    <Assignedto xmlns="c5048082-e052-44c2-9313-1529a8e2ac53">
      <UserInfo>
        <DisplayName/>
        <AccountId xsi:nil="true"/>
        <AccountType/>
      </UserInfo>
    </Assignedto>
    <Department xmlns="c5048082-e052-44c2-9313-1529a8e2ac53" xsi:nil="true"/>
    <Requester xmlns="c5048082-e052-44c2-9313-1529a8e2ac53">
      <UserInfo>
        <DisplayName/>
        <AccountId xsi:nil="true"/>
        <AccountType/>
      </UserInfo>
    </Requester>
    <HasaRIS_x002f_LIAdrafted_x003f_ xmlns="c5048082-e052-44c2-9313-1529a8e2ac53">false</HasaRIS_x002f_LIAdrafted_x003f_>
    <Exemptionground xmlns="c5048082-e052-44c2-9313-1529a8e2ac5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21F918-4190-4DB5-BC92-5720AE60BEA1}"/>
</file>

<file path=customXml/itemProps3.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4.xml><?xml version="1.0" encoding="utf-8"?>
<ds:datastoreItem xmlns:ds="http://schemas.openxmlformats.org/officeDocument/2006/customXml" ds:itemID="{6CB462EA-10A7-4754-94DC-A6846B7C0C55}">
  <ds:schemaRefs>
    <ds:schemaRef ds:uri="http://schemas.microsoft.com/office/2006/metadata/properties"/>
    <ds:schemaRef ds:uri="http://schemas.microsoft.com/office/infopath/2007/PartnerControls"/>
    <ds:schemaRef ds:uri="97580cac-1a46-464e-a749-263d0beaf9ec"/>
    <ds:schemaRef ds:uri="c5048082-e052-44c2-9313-1529a8e2ac53"/>
  </ds:schemaRefs>
</ds:datastoreItem>
</file>

<file path=customXml/itemProps5.xml><?xml version="1.0" encoding="utf-8"?>
<ds:datastoreItem xmlns:ds="http://schemas.openxmlformats.org/officeDocument/2006/customXml" ds:itemID="{2875B17F-0DB6-4FF5-A0B5-36D245B956A8}">
  <ds:schemaRefs>
    <ds:schemaRef ds:uri="http://schemas.openxmlformats.org/officeDocument/2006/bibliography"/>
  </ds:schemaRefs>
</ds:datastoreItem>
</file>

<file path=customXml/itemProps6.xml><?xml version="1.0" encoding="utf-8"?>
<ds:datastoreItem xmlns:ds="http://schemas.openxmlformats.org/officeDocument/2006/customXml" ds:itemID="{191716AC-1D66-44FC-B5A8-A9A48397169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Report template - Portrait.dotm</Template>
  <TotalTime>17</TotalTime>
  <Pages>75</Pages>
  <Words>21971</Words>
  <Characters>125237</Characters>
  <Application>Microsoft Office Word</Application>
  <DocSecurity>0</DocSecurity>
  <Lines>1043</Lines>
  <Paragraphs>293</Paragraphs>
  <ScaleCrop>false</ScaleCrop>
  <HeadingPairs>
    <vt:vector size="2" baseType="variant">
      <vt:variant>
        <vt:lpstr>Title</vt:lpstr>
      </vt:variant>
      <vt:variant>
        <vt:i4>1</vt:i4>
      </vt:variant>
    </vt:vector>
  </HeadingPairs>
  <TitlesOfParts>
    <vt:vector size="1" baseType="lpstr">
      <vt:lpstr>Building Reform: Paper Two</vt:lpstr>
    </vt:vector>
  </TitlesOfParts>
  <Company>The Nous Group</Company>
  <LinksUpToDate>false</LinksUpToDate>
  <CharactersWithSpaces>146915</CharactersWithSpaces>
  <SharedDoc>false</SharedDoc>
  <HLinks>
    <vt:vector size="348" baseType="variant">
      <vt:variant>
        <vt:i4>3014779</vt:i4>
      </vt:variant>
      <vt:variant>
        <vt:i4>198</vt:i4>
      </vt:variant>
      <vt:variant>
        <vt:i4>0</vt:i4>
      </vt:variant>
      <vt:variant>
        <vt:i4>5</vt:i4>
      </vt:variant>
      <vt:variant>
        <vt:lpwstr>https://www.vic.gov.au/supply-chain-review</vt:lpwstr>
      </vt:variant>
      <vt:variant>
        <vt:lpwstr/>
      </vt:variant>
      <vt:variant>
        <vt:i4>5505101</vt:i4>
      </vt:variant>
      <vt:variant>
        <vt:i4>165</vt:i4>
      </vt:variant>
      <vt:variant>
        <vt:i4>0</vt:i4>
      </vt:variant>
      <vt:variant>
        <vt:i4>5</vt:i4>
      </vt:variant>
      <vt:variant>
        <vt:lpwstr>https://www.consumer.vic.gov.au/housing/building-and-renovating/checklists/building-contracts</vt:lpwstr>
      </vt:variant>
      <vt:variant>
        <vt:lpwstr/>
      </vt:variant>
      <vt:variant>
        <vt:i4>6488115</vt:i4>
      </vt:variant>
      <vt:variant>
        <vt:i4>162</vt:i4>
      </vt:variant>
      <vt:variant>
        <vt:i4>0</vt:i4>
      </vt:variant>
      <vt:variant>
        <vt:i4>5</vt:i4>
      </vt:variant>
      <vt:variant>
        <vt:lpwstr>https://www.consumer.vic.gov.au/housing/building-and-renovating/plan-and-manage-your-building-project/domestic-building-consumer-guide</vt:lpwstr>
      </vt:variant>
      <vt:variant>
        <vt:lpwstr/>
      </vt:variant>
      <vt:variant>
        <vt:i4>1376284</vt:i4>
      </vt:variant>
      <vt:variant>
        <vt:i4>153</vt:i4>
      </vt:variant>
      <vt:variant>
        <vt:i4>0</vt:i4>
      </vt:variant>
      <vt:variant>
        <vt:i4>5</vt:i4>
      </vt:variant>
      <vt:variant>
        <vt:lpwstr>https://www.building.vic.gov.au/</vt:lpwstr>
      </vt:variant>
      <vt:variant>
        <vt:lpwstr/>
      </vt:variant>
      <vt:variant>
        <vt:i4>196700</vt:i4>
      </vt:variant>
      <vt:variant>
        <vt:i4>81</vt:i4>
      </vt:variant>
      <vt:variant>
        <vt:i4>0</vt:i4>
      </vt:variant>
      <vt:variant>
        <vt:i4>5</vt:i4>
      </vt:variant>
      <vt:variant>
        <vt:lpwstr>https://s3.ap-southeast-2.amazonaws.com/hdp.au.prod.app.vic-engage.files/9016/1785/2933/FRAMEWORK_FOR_REFORM_-_Modernising_Victorias_building_system_FINAL.pdf</vt:lpwstr>
      </vt:variant>
      <vt:variant>
        <vt:lpwstr/>
      </vt:variant>
      <vt:variant>
        <vt:i4>1245241</vt:i4>
      </vt:variant>
      <vt:variant>
        <vt:i4>74</vt:i4>
      </vt:variant>
      <vt:variant>
        <vt:i4>0</vt:i4>
      </vt:variant>
      <vt:variant>
        <vt:i4>5</vt:i4>
      </vt:variant>
      <vt:variant>
        <vt:lpwstr/>
      </vt:variant>
      <vt:variant>
        <vt:lpwstr>_Toc134356923</vt:lpwstr>
      </vt:variant>
      <vt:variant>
        <vt:i4>1245241</vt:i4>
      </vt:variant>
      <vt:variant>
        <vt:i4>68</vt:i4>
      </vt:variant>
      <vt:variant>
        <vt:i4>0</vt:i4>
      </vt:variant>
      <vt:variant>
        <vt:i4>5</vt:i4>
      </vt:variant>
      <vt:variant>
        <vt:lpwstr/>
      </vt:variant>
      <vt:variant>
        <vt:lpwstr>_Toc134356922</vt:lpwstr>
      </vt:variant>
      <vt:variant>
        <vt:i4>1245241</vt:i4>
      </vt:variant>
      <vt:variant>
        <vt:i4>62</vt:i4>
      </vt:variant>
      <vt:variant>
        <vt:i4>0</vt:i4>
      </vt:variant>
      <vt:variant>
        <vt:i4>5</vt:i4>
      </vt:variant>
      <vt:variant>
        <vt:lpwstr/>
      </vt:variant>
      <vt:variant>
        <vt:lpwstr>_Toc134356921</vt:lpwstr>
      </vt:variant>
      <vt:variant>
        <vt:i4>1245241</vt:i4>
      </vt:variant>
      <vt:variant>
        <vt:i4>56</vt:i4>
      </vt:variant>
      <vt:variant>
        <vt:i4>0</vt:i4>
      </vt:variant>
      <vt:variant>
        <vt:i4>5</vt:i4>
      </vt:variant>
      <vt:variant>
        <vt:lpwstr/>
      </vt:variant>
      <vt:variant>
        <vt:lpwstr>_Toc134356920</vt:lpwstr>
      </vt:variant>
      <vt:variant>
        <vt:i4>1048633</vt:i4>
      </vt:variant>
      <vt:variant>
        <vt:i4>50</vt:i4>
      </vt:variant>
      <vt:variant>
        <vt:i4>0</vt:i4>
      </vt:variant>
      <vt:variant>
        <vt:i4>5</vt:i4>
      </vt:variant>
      <vt:variant>
        <vt:lpwstr/>
      </vt:variant>
      <vt:variant>
        <vt:lpwstr>_Toc134356919</vt:lpwstr>
      </vt:variant>
      <vt:variant>
        <vt:i4>1048633</vt:i4>
      </vt:variant>
      <vt:variant>
        <vt:i4>44</vt:i4>
      </vt:variant>
      <vt:variant>
        <vt:i4>0</vt:i4>
      </vt:variant>
      <vt:variant>
        <vt:i4>5</vt:i4>
      </vt:variant>
      <vt:variant>
        <vt:lpwstr/>
      </vt:variant>
      <vt:variant>
        <vt:lpwstr>_Toc134356910</vt:lpwstr>
      </vt:variant>
      <vt:variant>
        <vt:i4>1114169</vt:i4>
      </vt:variant>
      <vt:variant>
        <vt:i4>38</vt:i4>
      </vt:variant>
      <vt:variant>
        <vt:i4>0</vt:i4>
      </vt:variant>
      <vt:variant>
        <vt:i4>5</vt:i4>
      </vt:variant>
      <vt:variant>
        <vt:lpwstr/>
      </vt:variant>
      <vt:variant>
        <vt:lpwstr>_Toc134356902</vt:lpwstr>
      </vt:variant>
      <vt:variant>
        <vt:i4>1572920</vt:i4>
      </vt:variant>
      <vt:variant>
        <vt:i4>32</vt:i4>
      </vt:variant>
      <vt:variant>
        <vt:i4>0</vt:i4>
      </vt:variant>
      <vt:variant>
        <vt:i4>5</vt:i4>
      </vt:variant>
      <vt:variant>
        <vt:lpwstr/>
      </vt:variant>
      <vt:variant>
        <vt:lpwstr>_Toc134356897</vt:lpwstr>
      </vt:variant>
      <vt:variant>
        <vt:i4>1572920</vt:i4>
      </vt:variant>
      <vt:variant>
        <vt:i4>26</vt:i4>
      </vt:variant>
      <vt:variant>
        <vt:i4>0</vt:i4>
      </vt:variant>
      <vt:variant>
        <vt:i4>5</vt:i4>
      </vt:variant>
      <vt:variant>
        <vt:lpwstr/>
      </vt:variant>
      <vt:variant>
        <vt:lpwstr>_Toc134356891</vt:lpwstr>
      </vt:variant>
      <vt:variant>
        <vt:i4>1638456</vt:i4>
      </vt:variant>
      <vt:variant>
        <vt:i4>20</vt:i4>
      </vt:variant>
      <vt:variant>
        <vt:i4>0</vt:i4>
      </vt:variant>
      <vt:variant>
        <vt:i4>5</vt:i4>
      </vt:variant>
      <vt:variant>
        <vt:lpwstr/>
      </vt:variant>
      <vt:variant>
        <vt:lpwstr>_Toc134356884</vt:lpwstr>
      </vt:variant>
      <vt:variant>
        <vt:i4>1638456</vt:i4>
      </vt:variant>
      <vt:variant>
        <vt:i4>14</vt:i4>
      </vt:variant>
      <vt:variant>
        <vt:i4>0</vt:i4>
      </vt:variant>
      <vt:variant>
        <vt:i4>5</vt:i4>
      </vt:variant>
      <vt:variant>
        <vt:lpwstr/>
      </vt:variant>
      <vt:variant>
        <vt:lpwstr>_Toc134356883</vt:lpwstr>
      </vt:variant>
      <vt:variant>
        <vt:i4>1638456</vt:i4>
      </vt:variant>
      <vt:variant>
        <vt:i4>8</vt:i4>
      </vt:variant>
      <vt:variant>
        <vt:i4>0</vt:i4>
      </vt:variant>
      <vt:variant>
        <vt:i4>5</vt:i4>
      </vt:variant>
      <vt:variant>
        <vt:lpwstr/>
      </vt:variant>
      <vt:variant>
        <vt:lpwstr>_Toc134356881</vt:lpwstr>
      </vt:variant>
      <vt:variant>
        <vt:i4>1441848</vt:i4>
      </vt:variant>
      <vt:variant>
        <vt:i4>2</vt:i4>
      </vt:variant>
      <vt:variant>
        <vt:i4>0</vt:i4>
      </vt:variant>
      <vt:variant>
        <vt:i4>5</vt:i4>
      </vt:variant>
      <vt:variant>
        <vt:lpwstr/>
      </vt:variant>
      <vt:variant>
        <vt:lpwstr>_Toc134356876</vt:lpwstr>
      </vt:variant>
      <vt:variant>
        <vt:i4>4522034</vt:i4>
      </vt:variant>
      <vt:variant>
        <vt:i4>12</vt:i4>
      </vt:variant>
      <vt:variant>
        <vt:i4>0</vt:i4>
      </vt:variant>
      <vt:variant>
        <vt:i4>5</vt:i4>
      </vt:variant>
      <vt:variant>
        <vt:lpwstr>mailto:alex.green@nousgroup.com</vt:lpwstr>
      </vt:variant>
      <vt:variant>
        <vt:lpwstr/>
      </vt:variant>
      <vt:variant>
        <vt:i4>4522034</vt:i4>
      </vt:variant>
      <vt:variant>
        <vt:i4>9</vt:i4>
      </vt:variant>
      <vt:variant>
        <vt:i4>0</vt:i4>
      </vt:variant>
      <vt:variant>
        <vt:i4>5</vt:i4>
      </vt:variant>
      <vt:variant>
        <vt:lpwstr>mailto:alex.green@nousgroup.com</vt:lpwstr>
      </vt:variant>
      <vt:variant>
        <vt:lpwstr/>
      </vt:variant>
      <vt:variant>
        <vt:i4>65593</vt:i4>
      </vt:variant>
      <vt:variant>
        <vt:i4>6</vt:i4>
      </vt:variant>
      <vt:variant>
        <vt:i4>0</vt:i4>
      </vt:variant>
      <vt:variant>
        <vt:i4>5</vt:i4>
      </vt:variant>
      <vt:variant>
        <vt:lpwstr>mailto:Jessica.Q.Wang@nousgroup.com</vt:lpwstr>
      </vt:variant>
      <vt:variant>
        <vt:lpwstr/>
      </vt:variant>
      <vt:variant>
        <vt:i4>65593</vt:i4>
      </vt:variant>
      <vt:variant>
        <vt:i4>3</vt:i4>
      </vt:variant>
      <vt:variant>
        <vt:i4>0</vt:i4>
      </vt:variant>
      <vt:variant>
        <vt:i4>5</vt:i4>
      </vt:variant>
      <vt:variant>
        <vt:lpwstr>mailto:Jessica.Q.Wang@nousgroup.com</vt:lpwstr>
      </vt:variant>
      <vt:variant>
        <vt:lpwstr/>
      </vt:variant>
      <vt:variant>
        <vt:i4>65593</vt:i4>
      </vt:variant>
      <vt:variant>
        <vt:i4>0</vt:i4>
      </vt:variant>
      <vt:variant>
        <vt:i4>0</vt:i4>
      </vt:variant>
      <vt:variant>
        <vt:i4>5</vt:i4>
      </vt:variant>
      <vt:variant>
        <vt:lpwstr>mailto:Jessica.Q.Wang@nousgroup.com</vt:lpwstr>
      </vt:variant>
      <vt:variant>
        <vt:lpwstr/>
      </vt:variant>
      <vt:variant>
        <vt:i4>393286</vt:i4>
      </vt:variant>
      <vt:variant>
        <vt:i4>108</vt:i4>
      </vt:variant>
      <vt:variant>
        <vt:i4>0</vt:i4>
      </vt:variant>
      <vt:variant>
        <vt:i4>5</vt:i4>
      </vt:variant>
      <vt:variant>
        <vt:lpwstr>https://www.themandarin.com.au/176101-accelerating-the-construction-sectors-digital-transformation-will-help-australia-meet-net-zero-by-2050/</vt:lpwstr>
      </vt:variant>
      <vt:variant>
        <vt:lpwstr/>
      </vt:variant>
      <vt:variant>
        <vt:i4>4653111</vt:i4>
      </vt:variant>
      <vt:variant>
        <vt:i4>105</vt:i4>
      </vt:variant>
      <vt:variant>
        <vt:i4>0</vt:i4>
      </vt:variant>
      <vt:variant>
        <vt:i4>5</vt:i4>
      </vt:variant>
      <vt:variant>
        <vt:lpwstr>https://www.vba.vic.gov.au/__data/assets/pdf_file/0008/99368/PN-23-Maintenance-of-Essential-Safety-Measures.pdf</vt:lpwstr>
      </vt:variant>
      <vt:variant>
        <vt:lpwstr/>
      </vt:variant>
      <vt:variant>
        <vt:i4>3801120</vt:i4>
      </vt:variant>
      <vt:variant>
        <vt:i4>102</vt:i4>
      </vt:variant>
      <vt:variant>
        <vt:i4>0</vt:i4>
      </vt:variant>
      <vt:variant>
        <vt:i4>5</vt:i4>
      </vt:variant>
      <vt:variant>
        <vt:lpwstr>https://www.afr.com/property/residential/melbourne-s-neo200-tower-in-a-serious-state-of-dysfunction-20190903-p52nmo</vt:lpwstr>
      </vt:variant>
      <vt:variant>
        <vt:lpwstr/>
      </vt:variant>
      <vt:variant>
        <vt:i4>1179654</vt:i4>
      </vt:variant>
      <vt:variant>
        <vt:i4>99</vt:i4>
      </vt:variant>
      <vt:variant>
        <vt:i4>0</vt:i4>
      </vt:variant>
      <vt:variant>
        <vt:i4>5</vt:i4>
      </vt:variant>
      <vt:variant>
        <vt:lpwstr>https://www.vba.vic.gov.au/consumers/guides/essential-safety-measures</vt:lpwstr>
      </vt:variant>
      <vt:variant>
        <vt:lpwstr/>
      </vt:variant>
      <vt:variant>
        <vt:i4>2031635</vt:i4>
      </vt:variant>
      <vt:variant>
        <vt:i4>96</vt:i4>
      </vt:variant>
      <vt:variant>
        <vt:i4>0</vt:i4>
      </vt:variant>
      <vt:variant>
        <vt:i4>5</vt:i4>
      </vt:variant>
      <vt:variant>
        <vt:lpwstr>https://www.nationaltribune.com.au/innovative-businesses-cutting-waste-and-costs/</vt:lpwstr>
      </vt:variant>
      <vt:variant>
        <vt:lpwstr/>
      </vt:variant>
      <vt:variant>
        <vt:i4>3014779</vt:i4>
      </vt:variant>
      <vt:variant>
        <vt:i4>93</vt:i4>
      </vt:variant>
      <vt:variant>
        <vt:i4>0</vt:i4>
      </vt:variant>
      <vt:variant>
        <vt:i4>5</vt:i4>
      </vt:variant>
      <vt:variant>
        <vt:lpwstr>https://www.vic.gov.au/supply-chain-review</vt:lpwstr>
      </vt:variant>
      <vt:variant>
        <vt:lpwstr/>
      </vt:variant>
      <vt:variant>
        <vt:i4>3014779</vt:i4>
      </vt:variant>
      <vt:variant>
        <vt:i4>90</vt:i4>
      </vt:variant>
      <vt:variant>
        <vt:i4>0</vt:i4>
      </vt:variant>
      <vt:variant>
        <vt:i4>5</vt:i4>
      </vt:variant>
      <vt:variant>
        <vt:lpwstr>https://www.vic.gov.au/supply-chain-review</vt:lpwstr>
      </vt:variant>
      <vt:variant>
        <vt:lpwstr/>
      </vt:variant>
      <vt:variant>
        <vt:i4>65551</vt:i4>
      </vt:variant>
      <vt:variant>
        <vt:i4>87</vt:i4>
      </vt:variant>
      <vt:variant>
        <vt:i4>0</vt:i4>
      </vt:variant>
      <vt:variant>
        <vt:i4>5</vt:i4>
      </vt:variant>
      <vt:variant>
        <vt:lpwstr>https://theconversation.com/we-create-20m-tons-of-construction-industry-waste-each-year-heres-how-to-stop-it-going-to-landfill-114602</vt:lpwstr>
      </vt:variant>
      <vt:variant>
        <vt:lpwstr/>
      </vt:variant>
      <vt:variant>
        <vt:i4>65551</vt:i4>
      </vt:variant>
      <vt:variant>
        <vt:i4>84</vt:i4>
      </vt:variant>
      <vt:variant>
        <vt:i4>0</vt:i4>
      </vt:variant>
      <vt:variant>
        <vt:i4>5</vt:i4>
      </vt:variant>
      <vt:variant>
        <vt:lpwstr>https://theconversation.com/we-create-20m-tons-of-construction-industry-waste-each-year-heres-how-to-stop-it-going-to-landfill-114602</vt:lpwstr>
      </vt:variant>
      <vt:variant>
        <vt:lpwstr/>
      </vt:variant>
      <vt:variant>
        <vt:i4>4522050</vt:i4>
      </vt:variant>
      <vt:variant>
        <vt:i4>81</vt:i4>
      </vt:variant>
      <vt:variant>
        <vt:i4>0</vt:i4>
      </vt:variant>
      <vt:variant>
        <vt:i4>5</vt:i4>
      </vt:variant>
      <vt:variant>
        <vt:lpwstr>https://www.land.vic.gov.au/maps-and-spatial/projects-and-programs/digital-twin-victoria</vt:lpwstr>
      </vt:variant>
      <vt:variant>
        <vt:lpwstr/>
      </vt:variant>
      <vt:variant>
        <vt:i4>7077979</vt:i4>
      </vt:variant>
      <vt:variant>
        <vt:i4>78</vt:i4>
      </vt:variant>
      <vt:variant>
        <vt:i4>0</vt:i4>
      </vt:variant>
      <vt:variant>
        <vt:i4>5</vt:i4>
      </vt:variant>
      <vt:variant>
        <vt:lpwstr>https://watermark.abcb.gov.au/sites/default/files/resources/2020//Manual_for_the_WaterMark_Certification_Scheme.pdf</vt:lpwstr>
      </vt:variant>
      <vt:variant>
        <vt:lpwstr/>
      </vt:variant>
      <vt:variant>
        <vt:i4>196614</vt:i4>
      </vt:variant>
      <vt:variant>
        <vt:i4>75</vt:i4>
      </vt:variant>
      <vt:variant>
        <vt:i4>0</vt:i4>
      </vt:variant>
      <vt:variant>
        <vt:i4>5</vt:i4>
      </vt:variant>
      <vt:variant>
        <vt:lpwstr>https://codemark.abcb.gov.au/building-practitioners/what-codemark</vt:lpwstr>
      </vt:variant>
      <vt:variant>
        <vt:lpwstr/>
      </vt:variant>
      <vt:variant>
        <vt:i4>2687069</vt:i4>
      </vt:variant>
      <vt:variant>
        <vt:i4>72</vt:i4>
      </vt:variant>
      <vt:variant>
        <vt:i4>0</vt:i4>
      </vt:variant>
      <vt:variant>
        <vt:i4>5</vt:i4>
      </vt:variant>
      <vt:variant>
        <vt:lpwstr>https://business.vic.gov.au/__data/assets/pdf_file/0006/1275495/Construction-Technologies-Strategy-web-version-20160310.pdf</vt:lpwstr>
      </vt:variant>
      <vt:variant>
        <vt:lpwstr/>
      </vt:variant>
      <vt:variant>
        <vt:i4>6422590</vt:i4>
      </vt:variant>
      <vt:variant>
        <vt:i4>66</vt:i4>
      </vt:variant>
      <vt:variant>
        <vt:i4>0</vt:i4>
      </vt:variant>
      <vt:variant>
        <vt:i4>5</vt:i4>
      </vt:variant>
      <vt:variant>
        <vt:lpwstr>https://dbdrv.vic.gov.au/dispute-resolution-process</vt:lpwstr>
      </vt:variant>
      <vt:variant>
        <vt:lpwstr/>
      </vt:variant>
      <vt:variant>
        <vt:i4>6422590</vt:i4>
      </vt:variant>
      <vt:variant>
        <vt:i4>63</vt:i4>
      </vt:variant>
      <vt:variant>
        <vt:i4>0</vt:i4>
      </vt:variant>
      <vt:variant>
        <vt:i4>5</vt:i4>
      </vt:variant>
      <vt:variant>
        <vt:lpwstr>https://dbdrv.vic.gov.au/dispute-resolution-process</vt:lpwstr>
      </vt:variant>
      <vt:variant>
        <vt:lpwstr/>
      </vt:variant>
      <vt:variant>
        <vt:i4>1835027</vt:i4>
      </vt:variant>
      <vt:variant>
        <vt:i4>60</vt:i4>
      </vt:variant>
      <vt:variant>
        <vt:i4>0</vt:i4>
      </vt:variant>
      <vt:variant>
        <vt:i4>5</vt:i4>
      </vt:variant>
      <vt:variant>
        <vt:lpwstr>https://dbdrv.vic.gov.au/is-our-service-right-for-you</vt:lpwstr>
      </vt:variant>
      <vt:variant>
        <vt:lpwstr/>
      </vt:variant>
      <vt:variant>
        <vt:i4>1376259</vt:i4>
      </vt:variant>
      <vt:variant>
        <vt:i4>57</vt:i4>
      </vt:variant>
      <vt:variant>
        <vt:i4>0</vt:i4>
      </vt:variant>
      <vt:variant>
        <vt:i4>5</vt:i4>
      </vt:variant>
      <vt:variant>
        <vt:lpwstr>https://dbdrv.vic.gov.au/tips-to-resolve-dispute</vt:lpwstr>
      </vt:variant>
      <vt:variant>
        <vt:lpwstr/>
      </vt:variant>
      <vt:variant>
        <vt:i4>3407911</vt:i4>
      </vt:variant>
      <vt:variant>
        <vt:i4>54</vt:i4>
      </vt:variant>
      <vt:variant>
        <vt:i4>0</vt:i4>
      </vt:variant>
      <vt:variant>
        <vt:i4>5</vt:i4>
      </vt:variant>
      <vt:variant>
        <vt:lpwstr>https://www.consumer.vic.gov.au/housing/building-and-renovating/plan-and-manage-your-building-project/contracts</vt:lpwstr>
      </vt:variant>
      <vt:variant>
        <vt:lpwstr/>
      </vt:variant>
      <vt:variant>
        <vt:i4>2555967</vt:i4>
      </vt:variant>
      <vt:variant>
        <vt:i4>51</vt:i4>
      </vt:variant>
      <vt:variant>
        <vt:i4>0</vt:i4>
      </vt:variant>
      <vt:variant>
        <vt:i4>5</vt:i4>
      </vt:variant>
      <vt:variant>
        <vt:lpwstr>https://www.aph.gov.au/Parliamentary_Business/Committees/Senate/Economics/Completed_inquiries/2008-10/home_warranty_08/report/index</vt:lpwstr>
      </vt:variant>
      <vt:variant>
        <vt:lpwstr/>
      </vt:variant>
      <vt:variant>
        <vt:i4>5963896</vt:i4>
      </vt:variant>
      <vt:variant>
        <vt:i4>48</vt:i4>
      </vt:variant>
      <vt:variant>
        <vt:i4>0</vt:i4>
      </vt:variant>
      <vt:variant>
        <vt:i4>5</vt:i4>
      </vt:variant>
      <vt:variant>
        <vt:lpwstr>https://www.planning.vic.gov.au/__data/assets/pdf_file/0012/110316/Victorian-Cladding-Taskforce-Interim-Report-November-2017.pdf</vt:lpwstr>
      </vt:variant>
      <vt:variant>
        <vt:lpwstr/>
      </vt:variant>
      <vt:variant>
        <vt:i4>5963896</vt:i4>
      </vt:variant>
      <vt:variant>
        <vt:i4>45</vt:i4>
      </vt:variant>
      <vt:variant>
        <vt:i4>0</vt:i4>
      </vt:variant>
      <vt:variant>
        <vt:i4>5</vt:i4>
      </vt:variant>
      <vt:variant>
        <vt:lpwstr>https://www.planning.vic.gov.au/__data/assets/pdf_file/0012/110316/Victorian-Cladding-Taskforce-Interim-Report-November-2017.pdf</vt:lpwstr>
      </vt:variant>
      <vt:variant>
        <vt:lpwstr/>
      </vt:variant>
      <vt:variant>
        <vt:i4>852023</vt:i4>
      </vt:variant>
      <vt:variant>
        <vt:i4>39</vt:i4>
      </vt:variant>
      <vt:variant>
        <vt:i4>0</vt:i4>
      </vt:variant>
      <vt:variant>
        <vt:i4>5</vt:i4>
      </vt:variant>
      <vt:variant>
        <vt:lpwstr>https://www.industry.gov.au/sites/default/files/July 2018/document/pdf/building_ministers_forum_expert_assessment_-_building_confidence.pdf</vt:lpwstr>
      </vt:variant>
      <vt:variant>
        <vt:lpwstr/>
      </vt:variant>
      <vt:variant>
        <vt:i4>3801192</vt:i4>
      </vt:variant>
      <vt:variant>
        <vt:i4>36</vt:i4>
      </vt:variant>
      <vt:variant>
        <vt:i4>0</vt:i4>
      </vt:variant>
      <vt:variant>
        <vt:i4>5</vt:i4>
      </vt:variant>
      <vt:variant>
        <vt:lpwstr>https://www.abc.net.au/news/2019-02-04/spencer-street-apartment-fire-melbourne/10776018</vt:lpwstr>
      </vt:variant>
      <vt:variant>
        <vt:lpwstr/>
      </vt:variant>
      <vt:variant>
        <vt:i4>7471231</vt:i4>
      </vt:variant>
      <vt:variant>
        <vt:i4>33</vt:i4>
      </vt:variant>
      <vt:variant>
        <vt:i4>0</vt:i4>
      </vt:variant>
      <vt:variant>
        <vt:i4>5</vt:i4>
      </vt:variant>
      <vt:variant>
        <vt:lpwstr>https://www.abc.net.au/news/2019-02-28/lacrosse-apartment-owners-win-5.7-million-cladding-fire-damages/10857060</vt:lpwstr>
      </vt:variant>
      <vt:variant>
        <vt:lpwstr/>
      </vt:variant>
      <vt:variant>
        <vt:i4>3604520</vt:i4>
      </vt:variant>
      <vt:variant>
        <vt:i4>30</vt:i4>
      </vt:variant>
      <vt:variant>
        <vt:i4>0</vt:i4>
      </vt:variant>
      <vt:variant>
        <vt:i4>5</vt:i4>
      </vt:variant>
      <vt:variant>
        <vt:lpwstr>https://www.standard.co.uk/news/london/grenfell-tower-cladding-helped-fire-spread-faster-than-match-in-barrel-of-petrol-inquiry-hears-a3855671.html</vt:lpwstr>
      </vt:variant>
      <vt:variant>
        <vt:lpwstr/>
      </vt:variant>
      <vt:variant>
        <vt:i4>5636161</vt:i4>
      </vt:variant>
      <vt:variant>
        <vt:i4>27</vt:i4>
      </vt:variant>
      <vt:variant>
        <vt:i4>0</vt:i4>
      </vt:variant>
      <vt:variant>
        <vt:i4>5</vt:i4>
      </vt:variant>
      <vt:variant>
        <vt:lpwstr>https://www.pc.gov.au/inquiries/completed/first-home-ownership/report/housing.pdf</vt:lpwstr>
      </vt:variant>
      <vt:variant>
        <vt:lpwstr/>
      </vt:variant>
      <vt:variant>
        <vt:i4>917579</vt:i4>
      </vt:variant>
      <vt:variant>
        <vt:i4>24</vt:i4>
      </vt:variant>
      <vt:variant>
        <vt:i4>0</vt:i4>
      </vt:variant>
      <vt:variant>
        <vt:i4>5</vt:i4>
      </vt:variant>
      <vt:variant>
        <vt:lpwstr>https://www.vic.gov.au/homes-victoria-fast-start-projects</vt:lpwstr>
      </vt:variant>
      <vt:variant>
        <vt:lpwstr/>
      </vt:variant>
      <vt:variant>
        <vt:i4>917579</vt:i4>
      </vt:variant>
      <vt:variant>
        <vt:i4>21</vt:i4>
      </vt:variant>
      <vt:variant>
        <vt:i4>0</vt:i4>
      </vt:variant>
      <vt:variant>
        <vt:i4>5</vt:i4>
      </vt:variant>
      <vt:variant>
        <vt:lpwstr>https://www.vic.gov.au/homes-victoria-fast-start-projects</vt:lpwstr>
      </vt:variant>
      <vt:variant>
        <vt:lpwstr/>
      </vt:variant>
      <vt:variant>
        <vt:i4>7733285</vt:i4>
      </vt:variant>
      <vt:variant>
        <vt:i4>18</vt:i4>
      </vt:variant>
      <vt:variant>
        <vt:i4>0</vt:i4>
      </vt:variant>
      <vt:variant>
        <vt:i4>5</vt:i4>
      </vt:variant>
      <vt:variant>
        <vt:lpwstr>https://www.premier.vic.gov.au/victorias-big-housing-build</vt:lpwstr>
      </vt:variant>
      <vt:variant>
        <vt:lpwstr/>
      </vt:variant>
      <vt:variant>
        <vt:i4>7733285</vt:i4>
      </vt:variant>
      <vt:variant>
        <vt:i4>15</vt:i4>
      </vt:variant>
      <vt:variant>
        <vt:i4>0</vt:i4>
      </vt:variant>
      <vt:variant>
        <vt:i4>5</vt:i4>
      </vt:variant>
      <vt:variant>
        <vt:lpwstr>https://www.premier.vic.gov.au/victorias-big-housing-build</vt:lpwstr>
      </vt:variant>
      <vt:variant>
        <vt:lpwstr/>
      </vt:variant>
      <vt:variant>
        <vt:i4>4259842</vt:i4>
      </vt:variant>
      <vt:variant>
        <vt:i4>12</vt:i4>
      </vt:variant>
      <vt:variant>
        <vt:i4>0</vt:i4>
      </vt:variant>
      <vt:variant>
        <vt:i4>5</vt:i4>
      </vt:variant>
      <vt:variant>
        <vt:lpwstr>https://www.budget.vic.gov.au/strengthening-industry</vt:lpwstr>
      </vt:variant>
      <vt:variant>
        <vt:lpwstr/>
      </vt:variant>
      <vt:variant>
        <vt:i4>1703937</vt:i4>
      </vt:variant>
      <vt:variant>
        <vt:i4>9</vt:i4>
      </vt:variant>
      <vt:variant>
        <vt:i4>0</vt:i4>
      </vt:variant>
      <vt:variant>
        <vt:i4>5</vt:i4>
      </vt:variant>
      <vt:variant>
        <vt:lpwstr>https://lmip.gov.au/default.aspx?LMIP/Downloads/EmploymentRegion</vt:lpwstr>
      </vt:variant>
      <vt:variant>
        <vt:lpwstr/>
      </vt:variant>
      <vt:variant>
        <vt:i4>1703937</vt:i4>
      </vt:variant>
      <vt:variant>
        <vt:i4>6</vt:i4>
      </vt:variant>
      <vt:variant>
        <vt:i4>0</vt:i4>
      </vt:variant>
      <vt:variant>
        <vt:i4>5</vt:i4>
      </vt:variant>
      <vt:variant>
        <vt:lpwstr>https://lmip.gov.au/default.aspx?LMIP/Downloads/EmploymentRegion</vt:lpwstr>
      </vt:variant>
      <vt:variant>
        <vt:lpwstr/>
      </vt:variant>
      <vt:variant>
        <vt:i4>6553661</vt:i4>
      </vt:variant>
      <vt:variant>
        <vt:i4>3</vt:i4>
      </vt:variant>
      <vt:variant>
        <vt:i4>0</vt:i4>
      </vt:variant>
      <vt:variant>
        <vt:i4>5</vt:i4>
      </vt:variant>
      <vt:variant>
        <vt:lpwstr>https://www.abs.gov.au/statistics/economy/national-accounts/australian-national-accounts-state-accounts/latest-release</vt:lpwstr>
      </vt:variant>
      <vt:variant>
        <vt:lpwstr/>
      </vt:variant>
      <vt:variant>
        <vt:i4>8126481</vt:i4>
      </vt:variant>
      <vt:variant>
        <vt:i4>0</vt:i4>
      </vt:variant>
      <vt:variant>
        <vt:i4>0</vt:i4>
      </vt:variant>
      <vt:variant>
        <vt:i4>5</vt:i4>
      </vt:variant>
      <vt:variant>
        <vt:lpwstr>https://www.planning.vic.gov.au/__data/assets/pdf_file/0019/426034/DELWP0124_Victorian_Cladding_Taskforce_Final_Report_July_2019_v9.pdf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Reform: Paper Two</dc:title>
  <dc:subject>f</dc:subject>
  <dc:creator/>
  <cp:keywords/>
  <cp:lastModifiedBy>Sean Cleary (DTF)</cp:lastModifiedBy>
  <cp:revision>9</cp:revision>
  <cp:lastPrinted>2023-05-10T07:12:00Z</cp:lastPrinted>
  <dcterms:created xsi:type="dcterms:W3CDTF">2023-05-10T05:48:00Z</dcterms:created>
  <dcterms:modified xsi:type="dcterms:W3CDTF">2023-05-10T07:12:00Z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0x01010072AF1AD5AF15524C920CB3BE3D72725D</vt:lpwstr>
  </property>
  <property fmtid="{D5CDD505-2E9C-101B-9397-08002B2CF9AE}" pid="3" name="MediaServiceImageTags">
    <vt:lpwstr/>
  </property>
  <property fmtid="{D5CDD505-2E9C-101B-9397-08002B2CF9AE}" pid="4" name="GrammarlyDocumentId">
    <vt:lpwstr>49916bffc18e199ca6d8292970384ca33f633ef4d61431f55caea4717af61766</vt:lpwstr>
  </property>
  <property fmtid="{D5CDD505-2E9C-101B-9397-08002B2CF9AE}" pid="5" name="MSIP_Label_7158ebbd-6c5e-441f-bfc9-4eb8c11e3978_Enabled">
    <vt:lpwstr>true</vt:lpwstr>
  </property>
  <property fmtid="{D5CDD505-2E9C-101B-9397-08002B2CF9AE}" pid="6" name="MSIP_Label_7158ebbd-6c5e-441f-bfc9-4eb8c11e3978_SetDate">
    <vt:lpwstr>2023-05-10T07:12:37Z</vt:lpwstr>
  </property>
  <property fmtid="{D5CDD505-2E9C-101B-9397-08002B2CF9AE}" pid="7" name="MSIP_Label_7158ebbd-6c5e-441f-bfc9-4eb8c11e3978_Method">
    <vt:lpwstr>Privileged</vt:lpwstr>
  </property>
  <property fmtid="{D5CDD505-2E9C-101B-9397-08002B2CF9AE}" pid="8" name="MSIP_Label_7158ebbd-6c5e-441f-bfc9-4eb8c11e3978_Name">
    <vt:lpwstr>7158ebbd-6c5e-441f-bfc9-4eb8c11e3978</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ActionId">
    <vt:lpwstr>7afe1607-4aad-4cf4-9eb5-dc54d3930a29</vt:lpwstr>
  </property>
  <property fmtid="{D5CDD505-2E9C-101B-9397-08002B2CF9AE}" pid="11" name="MSIP_Label_7158ebbd-6c5e-441f-bfc9-4eb8c11e3978_ContentBits">
    <vt:lpwstr>2</vt:lpwstr>
  </property>
</Properties>
</file>