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B77ADC9" w14:textId="3134DD67" w:rsidR="00B1131E" w:rsidRDefault="00623B7A" w:rsidP="00B1131E">
      <w:pPr>
        <w:ind w:left="-426" w:right="701"/>
        <w:outlineLvl w:val="0"/>
      </w:pPr>
      <w:bookmarkStart w:id="0" w:name="_Toc33609441"/>
      <w:bookmarkStart w:id="1" w:name="_Toc35006355"/>
      <w:bookmarkStart w:id="2" w:name="_Toc45015310"/>
      <w:bookmarkStart w:id="3" w:name="_Toc59090121"/>
      <w:bookmarkStart w:id="4" w:name="_Hlk19784699"/>
      <w:r>
        <w:t xml:space="preserve"> </w:t>
      </w:r>
    </w:p>
    <w:p w14:paraId="22A76066" w14:textId="32B7BF0F" w:rsidR="006E4E5B" w:rsidRDefault="006E4E5B" w:rsidP="006E4E5B">
      <w:pPr>
        <w:ind w:left="-426"/>
        <w:outlineLvl w:val="0"/>
        <w:rPr>
          <w:rFonts w:ascii="Calibri Light" w:hAnsi="Calibri Light" w:cs="Calibri Light"/>
        </w:rPr>
      </w:pPr>
      <w:bookmarkStart w:id="5" w:name="_Hlk96348976"/>
      <w:bookmarkStart w:id="6" w:name="_Hlk96349639"/>
    </w:p>
    <w:p w14:paraId="0A29E527" w14:textId="77777777" w:rsidR="006E4E5B" w:rsidRDefault="006E4E5B" w:rsidP="006E4E5B">
      <w:pPr>
        <w:ind w:left="-426"/>
        <w:outlineLvl w:val="0"/>
        <w:rPr>
          <w:rFonts w:ascii="Calibri Light" w:hAnsi="Calibri Light" w:cs="Calibri Light"/>
        </w:rPr>
      </w:pPr>
    </w:p>
    <w:p w14:paraId="0448B036" w14:textId="77777777" w:rsidR="006E4E5B" w:rsidRDefault="006E4E5B" w:rsidP="006E4E5B">
      <w:pPr>
        <w:ind w:left="-426"/>
        <w:outlineLvl w:val="0"/>
        <w:rPr>
          <w:rFonts w:ascii="Calibri Light" w:hAnsi="Calibri Light" w:cs="Calibri Light"/>
        </w:rPr>
      </w:pPr>
    </w:p>
    <w:p w14:paraId="739CAD14" w14:textId="77777777" w:rsidR="006E4E5B" w:rsidRDefault="006E4E5B" w:rsidP="006E4E5B">
      <w:pPr>
        <w:ind w:left="-426"/>
        <w:outlineLvl w:val="0"/>
        <w:rPr>
          <w:rFonts w:ascii="Calibri Light" w:hAnsi="Calibri Light" w:cs="Calibri Light"/>
        </w:rPr>
      </w:pPr>
    </w:p>
    <w:p w14:paraId="5CA8D193" w14:textId="77777777" w:rsidR="006E4E5B" w:rsidRDefault="006E4E5B" w:rsidP="006E4E5B">
      <w:pPr>
        <w:ind w:left="-426"/>
        <w:outlineLvl w:val="0"/>
        <w:rPr>
          <w:rFonts w:ascii="Calibri Light" w:hAnsi="Calibri Light" w:cs="Calibri Light"/>
        </w:rPr>
      </w:pPr>
    </w:p>
    <w:p w14:paraId="537CD13D" w14:textId="77777777" w:rsidR="006E4E5B" w:rsidRDefault="006E4E5B" w:rsidP="006E4E5B">
      <w:pPr>
        <w:ind w:left="-426" w:right="701"/>
        <w:outlineLvl w:val="0"/>
        <w:rPr>
          <w:rFonts w:asciiTheme="minorHAnsi" w:hAnsiTheme="minorHAnsi" w:cs="@MS PMincho"/>
          <w:color w:val="FFFFFF" w:themeColor="background1"/>
          <w:sz w:val="68"/>
          <w:szCs w:val="68"/>
        </w:rPr>
      </w:pPr>
    </w:p>
    <w:p w14:paraId="7673ED05" w14:textId="77777777" w:rsidR="006E4E5B" w:rsidRDefault="006E4E5B" w:rsidP="006E4E5B">
      <w:pPr>
        <w:ind w:left="-426" w:right="701"/>
        <w:outlineLvl w:val="0"/>
        <w:rPr>
          <w:rFonts w:asciiTheme="minorHAnsi" w:hAnsiTheme="minorHAnsi" w:cs="@MS PMincho"/>
          <w:color w:val="FFFFFF" w:themeColor="background1"/>
          <w:sz w:val="68"/>
          <w:szCs w:val="68"/>
        </w:rPr>
      </w:pPr>
    </w:p>
    <w:p w14:paraId="79C14A8C" w14:textId="3D88B384" w:rsidR="006E4E5B" w:rsidRPr="0017105B" w:rsidRDefault="00390465" w:rsidP="0017105B">
      <w:pPr>
        <w:ind w:left="-426" w:right="701"/>
        <w:outlineLvl w:val="0"/>
        <w:rPr>
          <w:rFonts w:asciiTheme="minorHAnsi" w:hAnsiTheme="minorHAnsi" w:cs="@MS PMincho"/>
          <w:color w:val="26664E" w:themeColor="accent1"/>
          <w:sz w:val="68"/>
          <w:szCs w:val="68"/>
        </w:rPr>
      </w:pPr>
      <w:bookmarkStart w:id="7" w:name="_Hlk97559626"/>
      <w:r w:rsidRPr="0017105B">
        <w:rPr>
          <w:rFonts w:asciiTheme="minorHAnsi" w:hAnsiTheme="minorHAnsi" w:cs="@MS PMincho"/>
          <w:color w:val="26664E" w:themeColor="accent1"/>
          <w:sz w:val="68"/>
          <w:szCs w:val="68"/>
        </w:rPr>
        <w:t>Allowance payable to Mayors, Deputy Mayors and Councillors</w:t>
      </w:r>
      <w:r w:rsidR="00880D06" w:rsidRPr="0017105B">
        <w:rPr>
          <w:rFonts w:asciiTheme="minorHAnsi" w:hAnsiTheme="minorHAnsi" w:cs="@MS PMincho"/>
          <w:color w:val="26664E" w:themeColor="accent1"/>
          <w:sz w:val="68"/>
          <w:szCs w:val="68"/>
        </w:rPr>
        <w:t xml:space="preserve"> (Victoria)</w:t>
      </w:r>
      <w:r w:rsidR="00880D06" w:rsidRPr="0017105B">
        <w:rPr>
          <w:rFonts w:asciiTheme="minorHAnsi" w:hAnsiTheme="minorHAnsi" w:cs="@MS PMincho"/>
          <w:color w:val="26664E" w:themeColor="accent1"/>
          <w:sz w:val="68"/>
          <w:szCs w:val="68"/>
        </w:rPr>
        <w:br/>
        <w:t>Annual Adjustment</w:t>
      </w:r>
      <w:r w:rsidR="006E4E5B" w:rsidRPr="0017105B">
        <w:rPr>
          <w:rFonts w:asciiTheme="minorHAnsi" w:hAnsiTheme="minorHAnsi" w:cs="@MS PMincho"/>
          <w:color w:val="26664E" w:themeColor="accent1"/>
          <w:sz w:val="68"/>
          <w:szCs w:val="68"/>
        </w:rPr>
        <w:t xml:space="preserve"> Determination </w:t>
      </w:r>
      <w:bookmarkEnd w:id="7"/>
      <w:r w:rsidR="00880D06" w:rsidRPr="0017105B">
        <w:rPr>
          <w:rFonts w:asciiTheme="minorHAnsi" w:hAnsiTheme="minorHAnsi" w:cs="@MS PMincho"/>
          <w:color w:val="26664E" w:themeColor="accent1"/>
          <w:sz w:val="68"/>
          <w:szCs w:val="68"/>
        </w:rPr>
        <w:t>202</w:t>
      </w:r>
      <w:r w:rsidR="001571BD" w:rsidRPr="0017105B">
        <w:rPr>
          <w:rFonts w:asciiTheme="minorHAnsi" w:hAnsiTheme="minorHAnsi" w:cs="@MS PMincho"/>
          <w:color w:val="26664E" w:themeColor="accent1"/>
          <w:sz w:val="68"/>
          <w:szCs w:val="68"/>
        </w:rPr>
        <w:t>3</w:t>
      </w:r>
    </w:p>
    <w:p w14:paraId="27D83EB9" w14:textId="7B560890" w:rsidR="00C3360F" w:rsidRDefault="006E4E5B" w:rsidP="00504E62">
      <w:pPr>
        <w:tabs>
          <w:tab w:val="right" w:pos="8498"/>
        </w:tabs>
        <w:spacing w:after="80"/>
        <w:rPr>
          <w:b/>
          <w:bCs/>
        </w:rPr>
        <w:sectPr w:rsidR="00C3360F" w:rsidSect="00B1131E">
          <w:headerReference w:type="even" r:id="rId9"/>
          <w:headerReference w:type="default" r:id="rId10"/>
          <w:footerReference w:type="even" r:id="rId11"/>
          <w:footerReference w:type="default" r:id="rId12"/>
          <w:headerReference w:type="first" r:id="rId13"/>
          <w:footerReference w:type="first" r:id="rId14"/>
          <w:type w:val="continuous"/>
          <w:pgSz w:w="11906" w:h="16838"/>
          <w:pgMar w:top="1701" w:right="1701" w:bottom="1559" w:left="1701" w:header="425" w:footer="709" w:gutter="0"/>
          <w:cols w:space="282"/>
          <w:docGrid w:linePitch="360"/>
        </w:sectPr>
      </w:pPr>
      <w:r>
        <w:rPr>
          <w:b/>
          <w:bCs/>
        </w:rPr>
        <w:br w:type="page"/>
      </w:r>
    </w:p>
    <w:tbl>
      <w:tblPr>
        <w:tblStyle w:val="ListTable3-Accent2"/>
        <w:tblW w:w="0" w:type="auto"/>
        <w:tblBorders>
          <w:top w:val="none" w:sz="0" w:space="0" w:color="auto"/>
          <w:bottom w:val="none" w:sz="0" w:space="0" w:color="auto"/>
          <w:insideH w:val="none" w:sz="0" w:space="0" w:color="auto"/>
        </w:tblBorders>
        <w:tblLook w:val="04A0" w:firstRow="1" w:lastRow="0" w:firstColumn="1" w:lastColumn="0" w:noHBand="0" w:noVBand="1"/>
      </w:tblPr>
      <w:tblGrid>
        <w:gridCol w:w="4302"/>
        <w:gridCol w:w="4196"/>
      </w:tblGrid>
      <w:tr w:rsidR="00B1131E" w:rsidRPr="006E545C" w14:paraId="648F4BA0" w14:textId="77777777" w:rsidTr="00F90B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02" w:type="dxa"/>
            <w:shd w:val="clear" w:color="auto" w:fill="auto"/>
            <w:tcMar>
              <w:left w:w="0" w:type="dxa"/>
            </w:tcMar>
          </w:tcPr>
          <w:bookmarkEnd w:id="5"/>
          <w:p w14:paraId="4D3852D0" w14:textId="5E7DAD8C" w:rsidR="00B1131E" w:rsidRPr="000C1B31" w:rsidRDefault="0017105B" w:rsidP="000C1B31">
            <w:pPr>
              <w:pStyle w:val="Style2"/>
              <w:rPr>
                <w:b/>
              </w:rPr>
            </w:pPr>
            <w:r>
              <w:rPr>
                <w:rFonts w:ascii="ZWAdobeF" w:hAnsi="ZWAdobeF" w:cs="ZWAdobeF"/>
                <w:color w:val="auto"/>
                <w:spacing w:val="0"/>
                <w:sz w:val="2"/>
                <w:szCs w:val="2"/>
              </w:rPr>
              <w:lastRenderedPageBreak/>
              <w:t>0B</w:t>
            </w:r>
            <w:r w:rsidR="00683533">
              <w:rPr>
                <w:rFonts w:ascii="ZWAdobeF" w:hAnsi="ZWAdobeF" w:cs="ZWAdobeF"/>
                <w:color w:val="auto"/>
                <w:spacing w:val="0"/>
                <w:sz w:val="2"/>
                <w:szCs w:val="2"/>
              </w:rPr>
              <w:t>0B</w:t>
            </w:r>
            <w:r w:rsidR="00B1131E" w:rsidRPr="000C1B31">
              <w:rPr>
                <w:b/>
              </w:rPr>
              <w:t>DETERMINATION</w:t>
            </w:r>
          </w:p>
        </w:tc>
        <w:tc>
          <w:tcPr>
            <w:tcW w:w="4196" w:type="dxa"/>
            <w:shd w:val="clear" w:color="auto" w:fill="auto"/>
          </w:tcPr>
          <w:p w14:paraId="04CDC1C5" w14:textId="6CDFFD5C" w:rsidR="00B1131E" w:rsidRPr="005E4374" w:rsidRDefault="00B1131E" w:rsidP="00F90BEA">
            <w:pPr>
              <w:pStyle w:val="Instrumenttableofcontents"/>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auto"/>
              </w:rPr>
            </w:pPr>
            <w:r w:rsidRPr="005E4374">
              <w:rPr>
                <w:rFonts w:ascii="Calibri" w:hAnsi="Calibri" w:cs="Calibri"/>
                <w:b w:val="0"/>
                <w:bCs/>
                <w:color w:val="auto"/>
              </w:rPr>
              <w:t>[</w:t>
            </w:r>
            <w:r w:rsidR="00880D06" w:rsidRPr="005E4374">
              <w:rPr>
                <w:rFonts w:ascii="Calibri" w:hAnsi="Calibri" w:cs="Calibri"/>
                <w:b w:val="0"/>
                <w:bCs/>
                <w:color w:val="auto"/>
              </w:rPr>
              <w:t>202</w:t>
            </w:r>
            <w:r w:rsidR="001571BD" w:rsidRPr="005E4374">
              <w:rPr>
                <w:rFonts w:ascii="Calibri" w:hAnsi="Calibri" w:cs="Calibri"/>
                <w:b w:val="0"/>
                <w:bCs/>
                <w:color w:val="auto"/>
              </w:rPr>
              <w:t>3</w:t>
            </w:r>
            <w:r w:rsidRPr="005E4374">
              <w:rPr>
                <w:rFonts w:ascii="Calibri" w:hAnsi="Calibri" w:cs="Calibri"/>
                <w:b w:val="0"/>
                <w:bCs/>
                <w:color w:val="auto"/>
              </w:rPr>
              <w:t xml:space="preserve">] </w:t>
            </w:r>
            <w:r w:rsidR="00880D06" w:rsidRPr="005E4374">
              <w:rPr>
                <w:rFonts w:ascii="Calibri" w:hAnsi="Calibri" w:cs="Calibri"/>
                <w:b w:val="0"/>
                <w:bCs/>
                <w:color w:val="auto"/>
              </w:rPr>
              <w:t>D</w:t>
            </w:r>
            <w:r w:rsidR="00415422" w:rsidRPr="005E4374">
              <w:rPr>
                <w:rFonts w:ascii="Calibri" w:hAnsi="Calibri" w:cs="Calibri"/>
                <w:b w:val="0"/>
                <w:bCs/>
                <w:color w:val="auto"/>
              </w:rPr>
              <w:t>CM</w:t>
            </w:r>
            <w:r w:rsidR="00880D06" w:rsidRPr="005E4374">
              <w:rPr>
                <w:rFonts w:ascii="Calibri" w:hAnsi="Calibri" w:cs="Calibri"/>
                <w:b w:val="0"/>
                <w:bCs/>
                <w:color w:val="auto"/>
              </w:rPr>
              <w:t>A</w:t>
            </w:r>
            <w:r w:rsidRPr="005E4374">
              <w:rPr>
                <w:rFonts w:ascii="Calibri" w:hAnsi="Calibri" w:cs="Calibri"/>
                <w:b w:val="0"/>
                <w:bCs/>
                <w:color w:val="auto"/>
              </w:rPr>
              <w:t xml:space="preserve"> </w:t>
            </w:r>
            <w:r w:rsidR="00880D06" w:rsidRPr="005E4374">
              <w:rPr>
                <w:rFonts w:ascii="Calibri" w:hAnsi="Calibri" w:cs="Calibri"/>
                <w:b w:val="0"/>
                <w:bCs/>
                <w:color w:val="auto"/>
              </w:rPr>
              <w:t>01</w:t>
            </w:r>
          </w:p>
        </w:tc>
      </w:tr>
    </w:tbl>
    <w:p w14:paraId="685527A4" w14:textId="77777777" w:rsidR="00B1131E" w:rsidRPr="005E4374" w:rsidRDefault="00B1131E" w:rsidP="00B1131E">
      <w:pPr>
        <w:pStyle w:val="Instrumenttableofcontents"/>
        <w:rPr>
          <w:rFonts w:ascii="Calibri" w:hAnsi="Calibri" w:cs="Calibri"/>
          <w:i/>
          <w:iCs/>
        </w:rPr>
      </w:pPr>
      <w:r w:rsidRPr="005E4374">
        <w:rPr>
          <w:rFonts w:ascii="Calibri" w:hAnsi="Calibri" w:cs="Calibri"/>
          <w:i/>
          <w:iCs/>
        </w:rPr>
        <w:t xml:space="preserve">Victorian Independent Remuneration Tribunal and Improving Parliamentary Standards Act 2019 </w:t>
      </w:r>
      <w:r w:rsidRPr="00A66049">
        <w:rPr>
          <w:rFonts w:ascii="Calibri" w:hAnsi="Calibri" w:cs="Calibri"/>
        </w:rPr>
        <w:t>(Vic)</w:t>
      </w:r>
    </w:p>
    <w:p w14:paraId="25DEBBB6" w14:textId="04031209" w:rsidR="00B1131E" w:rsidRPr="005E4374" w:rsidRDefault="00B1131E" w:rsidP="00B1131E">
      <w:pPr>
        <w:pStyle w:val="Instrumenttableofcontents"/>
        <w:rPr>
          <w:rFonts w:ascii="Calibri" w:hAnsi="Calibri" w:cs="Calibri"/>
        </w:rPr>
      </w:pPr>
      <w:r w:rsidRPr="005E4374">
        <w:rPr>
          <w:rFonts w:ascii="Calibri" w:hAnsi="Calibri" w:cs="Calibri"/>
        </w:rPr>
        <w:t>Part 3—</w:t>
      </w:r>
      <w:r w:rsidR="00880D06" w:rsidRPr="005E4374">
        <w:rPr>
          <w:rFonts w:ascii="Calibri" w:hAnsi="Calibri" w:cs="Calibri"/>
        </w:rPr>
        <w:t xml:space="preserve">Determinations for annual adjustments in relation to </w:t>
      </w:r>
      <w:r w:rsidR="00460168" w:rsidRPr="005E4374">
        <w:rPr>
          <w:rFonts w:ascii="Calibri" w:hAnsi="Calibri" w:cs="Calibri"/>
        </w:rPr>
        <w:t>Mayors, Deputy Mayors and Councillors</w:t>
      </w:r>
      <w:r w:rsidR="00880D06" w:rsidRPr="005E4374">
        <w:rPr>
          <w:rFonts w:ascii="Calibri" w:hAnsi="Calibri" w:cs="Calibri"/>
        </w:rPr>
        <w:t>.</w:t>
      </w:r>
    </w:p>
    <w:p w14:paraId="6CD3F5A1" w14:textId="317BC2BC" w:rsidR="00B1131E" w:rsidRDefault="000E7FF5" w:rsidP="000C1B31">
      <w:pPr>
        <w:pStyle w:val="Style3"/>
      </w:pPr>
      <w:bookmarkStart w:id="8" w:name="_Toc114570542"/>
      <w:bookmarkStart w:id="9" w:name="_Toc120025945"/>
      <w:r w:rsidRPr="000E7FF5">
        <w:t xml:space="preserve">Allowance payable to Mayors, Deputy Mayors and Councillors </w:t>
      </w:r>
      <w:r w:rsidR="00880D06">
        <w:t>(Victoria) Annual Adjustment Determination 202</w:t>
      </w:r>
      <w:bookmarkEnd w:id="8"/>
      <w:bookmarkEnd w:id="9"/>
      <w:r w:rsidR="00BD745B">
        <w:t>3</w:t>
      </w:r>
    </w:p>
    <w:p w14:paraId="1A830A64" w14:textId="2E9371F4" w:rsidR="00B1131E" w:rsidRDefault="00B1131E" w:rsidP="00B1131E">
      <w:pPr>
        <w:pStyle w:val="03VIRTHeading3"/>
      </w:pPr>
    </w:p>
    <w:p w14:paraId="4F3A4612" w14:textId="1D280B46" w:rsidR="00F05128" w:rsidRPr="005E4374" w:rsidRDefault="00F05128" w:rsidP="00CE5690">
      <w:pPr>
        <w:numPr>
          <w:ilvl w:val="0"/>
          <w:numId w:val="17"/>
        </w:numPr>
        <w:spacing w:before="180" w:after="160" w:line="276" w:lineRule="auto"/>
        <w:ind w:left="360"/>
        <w:rPr>
          <w:rFonts w:ascii="Calibri" w:eastAsia="Calibri" w:hAnsi="Calibri" w:cs="Calibri"/>
          <w:color w:val="000000" w:themeColor="text1"/>
          <w:sz w:val="26"/>
          <w:szCs w:val="44"/>
        </w:rPr>
      </w:pPr>
      <w:r w:rsidRPr="005E4374">
        <w:rPr>
          <w:rFonts w:ascii="Calibri" w:eastAsia="Calibri" w:hAnsi="Calibri" w:cs="Calibri"/>
          <w:color w:val="000000" w:themeColor="text1"/>
          <w:sz w:val="26"/>
          <w:szCs w:val="44"/>
        </w:rPr>
        <w:t>Pursuant to section 2</w:t>
      </w:r>
      <w:r w:rsidR="009E1A2E" w:rsidRPr="005E4374">
        <w:rPr>
          <w:rFonts w:ascii="Calibri" w:eastAsia="Calibri" w:hAnsi="Calibri" w:cs="Calibri"/>
          <w:color w:val="000000" w:themeColor="text1"/>
          <w:sz w:val="26"/>
          <w:szCs w:val="44"/>
        </w:rPr>
        <w:t>3B</w:t>
      </w:r>
      <w:r w:rsidRPr="005E4374">
        <w:rPr>
          <w:rFonts w:ascii="Calibri" w:eastAsia="Calibri" w:hAnsi="Calibri" w:cs="Calibri"/>
          <w:color w:val="000000" w:themeColor="text1"/>
          <w:sz w:val="26"/>
          <w:szCs w:val="44"/>
        </w:rPr>
        <w:t xml:space="preserve">(1) of the </w:t>
      </w:r>
      <w:r w:rsidRPr="005E4374">
        <w:rPr>
          <w:rFonts w:ascii="Calibri" w:eastAsia="Calibri" w:hAnsi="Calibri" w:cs="Calibri"/>
          <w:i/>
          <w:iCs/>
          <w:color w:val="000000" w:themeColor="text1"/>
          <w:sz w:val="26"/>
          <w:szCs w:val="44"/>
        </w:rPr>
        <w:t xml:space="preserve">Victorian Independent Remuneration Tribunal and Improving Parliament Standards Act 2019 </w:t>
      </w:r>
      <w:r w:rsidRPr="005E4374">
        <w:rPr>
          <w:rFonts w:ascii="Calibri" w:eastAsia="Calibri" w:hAnsi="Calibri" w:cs="Calibri"/>
          <w:color w:val="000000" w:themeColor="text1"/>
          <w:sz w:val="26"/>
          <w:szCs w:val="44"/>
        </w:rPr>
        <w:t xml:space="preserve">(Vic) (VIRTIPS Act), the Tribunal determines to make the following adjustments to the </w:t>
      </w:r>
      <w:bookmarkStart w:id="10" w:name="_Hlk113977693"/>
      <w:r w:rsidR="000E7FF5" w:rsidRPr="005E4374">
        <w:rPr>
          <w:rFonts w:ascii="Calibri" w:eastAsia="Calibri" w:hAnsi="Calibri" w:cs="Calibri"/>
          <w:i/>
          <w:iCs/>
          <w:color w:val="000000" w:themeColor="text1"/>
          <w:sz w:val="26"/>
          <w:szCs w:val="44"/>
        </w:rPr>
        <w:t>Allowance payable to Mayors, Deputy Mayors and Councillors</w:t>
      </w:r>
      <w:r w:rsidRPr="005E4374">
        <w:rPr>
          <w:rFonts w:ascii="Calibri" w:eastAsia="Calibri" w:hAnsi="Calibri" w:cs="Calibri"/>
          <w:i/>
          <w:iCs/>
          <w:color w:val="000000" w:themeColor="text1"/>
          <w:sz w:val="26"/>
          <w:szCs w:val="44"/>
        </w:rPr>
        <w:t xml:space="preserve"> </w:t>
      </w:r>
      <w:bookmarkEnd w:id="10"/>
      <w:r w:rsidRPr="005E4374">
        <w:rPr>
          <w:rFonts w:ascii="Calibri" w:eastAsia="Calibri" w:hAnsi="Calibri" w:cs="Calibri"/>
          <w:i/>
          <w:iCs/>
          <w:color w:val="000000" w:themeColor="text1"/>
          <w:sz w:val="26"/>
          <w:szCs w:val="44"/>
        </w:rPr>
        <w:t>(Victoria) Determination No. 01/202</w:t>
      </w:r>
      <w:r w:rsidR="002B54F1" w:rsidRPr="005E4374">
        <w:rPr>
          <w:rFonts w:ascii="Calibri" w:eastAsia="Calibri" w:hAnsi="Calibri" w:cs="Calibri"/>
          <w:i/>
          <w:iCs/>
          <w:color w:val="000000" w:themeColor="text1"/>
          <w:sz w:val="26"/>
          <w:szCs w:val="44"/>
        </w:rPr>
        <w:t>2</w:t>
      </w:r>
      <w:r w:rsidRPr="005E4374">
        <w:rPr>
          <w:rFonts w:ascii="Calibri" w:eastAsia="Calibri" w:hAnsi="Calibri" w:cs="Calibri"/>
          <w:color w:val="000000" w:themeColor="text1"/>
          <w:sz w:val="26"/>
          <w:szCs w:val="44"/>
        </w:rPr>
        <w:t>.</w:t>
      </w:r>
    </w:p>
    <w:p w14:paraId="099EF2AA" w14:textId="760BB366" w:rsidR="00F05128" w:rsidRPr="005E4374" w:rsidRDefault="00F05128" w:rsidP="00CE5690">
      <w:pPr>
        <w:pStyle w:val="ListParagraph"/>
        <w:numPr>
          <w:ilvl w:val="0"/>
          <w:numId w:val="19"/>
        </w:numPr>
        <w:spacing w:before="180" w:line="276" w:lineRule="auto"/>
        <w:ind w:left="831"/>
        <w:jc w:val="both"/>
        <w:rPr>
          <w:rFonts w:ascii="Calibri" w:eastAsia="Calibri" w:hAnsi="Calibri" w:cs="Calibri"/>
          <w:color w:val="000000" w:themeColor="text1"/>
          <w:sz w:val="26"/>
          <w:szCs w:val="44"/>
        </w:rPr>
      </w:pPr>
      <w:r w:rsidRPr="005E4374">
        <w:rPr>
          <w:rFonts w:ascii="Calibri" w:eastAsia="Calibri" w:hAnsi="Calibri" w:cs="Calibri"/>
          <w:color w:val="000000" w:themeColor="text1"/>
          <w:sz w:val="26"/>
          <w:szCs w:val="44"/>
        </w:rPr>
        <w:t xml:space="preserve">Delete </w:t>
      </w:r>
      <w:r w:rsidR="00BA2DAE" w:rsidRPr="005E4374">
        <w:rPr>
          <w:rFonts w:ascii="Calibri" w:eastAsia="Calibri" w:hAnsi="Calibri" w:cs="Calibri"/>
          <w:color w:val="000000" w:themeColor="text1"/>
          <w:sz w:val="26"/>
          <w:szCs w:val="44"/>
        </w:rPr>
        <w:t xml:space="preserve">clauses </w:t>
      </w:r>
      <w:r w:rsidR="00201DC0" w:rsidRPr="005E4374">
        <w:rPr>
          <w:rFonts w:ascii="Calibri" w:eastAsia="Calibri" w:hAnsi="Calibri" w:cs="Calibri"/>
          <w:color w:val="000000" w:themeColor="text1"/>
          <w:sz w:val="26"/>
          <w:szCs w:val="44"/>
        </w:rPr>
        <w:t>7 to 9 and Tables</w:t>
      </w:r>
      <w:r w:rsidR="002D15D4" w:rsidRPr="005E4374">
        <w:rPr>
          <w:rFonts w:ascii="Calibri" w:eastAsia="Calibri" w:hAnsi="Calibri" w:cs="Calibri"/>
          <w:color w:val="000000" w:themeColor="text1"/>
          <w:sz w:val="26"/>
          <w:szCs w:val="44"/>
        </w:rPr>
        <w:t xml:space="preserve"> 1 to 13 and replace them with the following:</w:t>
      </w:r>
    </w:p>
    <w:p w14:paraId="53D06238" w14:textId="77777777" w:rsidR="00525EEF" w:rsidRPr="005E4374" w:rsidRDefault="00525EEF" w:rsidP="004D5FE9">
      <w:pPr>
        <w:pStyle w:val="Instrumenttableofcontents"/>
        <w:keepNext/>
        <w:numPr>
          <w:ilvl w:val="0"/>
          <w:numId w:val="14"/>
        </w:numPr>
        <w:ind w:left="1131" w:hanging="280"/>
        <w:rPr>
          <w:rFonts w:ascii="Calibri" w:hAnsi="Calibri" w:cs="Calibri"/>
          <w:b/>
        </w:rPr>
      </w:pPr>
      <w:r w:rsidRPr="005E4374">
        <w:rPr>
          <w:rFonts w:ascii="Calibri" w:hAnsi="Calibri" w:cs="Calibri"/>
          <w:b/>
        </w:rPr>
        <w:t>Value of the base allowance for Mayors</w:t>
      </w:r>
    </w:p>
    <w:p w14:paraId="6094169D" w14:textId="77777777" w:rsidR="00525EEF" w:rsidRPr="005E4374" w:rsidRDefault="00525EEF" w:rsidP="004D5FE9">
      <w:pPr>
        <w:pStyle w:val="Instrumenttableofcontents"/>
        <w:numPr>
          <w:ilvl w:val="1"/>
          <w:numId w:val="14"/>
        </w:numPr>
        <w:ind w:left="1633" w:hanging="499"/>
        <w:rPr>
          <w:rFonts w:ascii="Calibri" w:hAnsi="Calibri" w:cs="Calibri"/>
        </w:rPr>
      </w:pPr>
      <w:r w:rsidRPr="005E4374">
        <w:rPr>
          <w:rFonts w:ascii="Calibri" w:hAnsi="Calibri" w:cs="Calibri"/>
        </w:rPr>
        <w:t>The values of the base allowances for Mayors are:</w:t>
      </w:r>
    </w:p>
    <w:p w14:paraId="2C345D61" w14:textId="77777777" w:rsidR="00525EEF" w:rsidRPr="005E4374" w:rsidRDefault="00525EEF" w:rsidP="00CE5690">
      <w:pPr>
        <w:pStyle w:val="Instrumenttableofcontents"/>
        <w:numPr>
          <w:ilvl w:val="0"/>
          <w:numId w:val="23"/>
        </w:numPr>
        <w:ind w:left="1982" w:hanging="357"/>
        <w:rPr>
          <w:rFonts w:ascii="Calibri" w:hAnsi="Calibri" w:cs="Calibri"/>
        </w:rPr>
      </w:pPr>
      <w:r w:rsidRPr="005E4374">
        <w:rPr>
          <w:rFonts w:ascii="Calibri" w:hAnsi="Calibri" w:cs="Calibri"/>
        </w:rPr>
        <w:t>from 1 July 2023 until 17 December 2023, the values set out in Table 1</w:t>
      </w:r>
    </w:p>
    <w:p w14:paraId="6FEF0BA1" w14:textId="77777777" w:rsidR="00525EEF" w:rsidRPr="005E4374" w:rsidRDefault="00525EEF" w:rsidP="00CE5690">
      <w:pPr>
        <w:pStyle w:val="Instrumenttableofcontents"/>
        <w:numPr>
          <w:ilvl w:val="0"/>
          <w:numId w:val="23"/>
        </w:numPr>
        <w:ind w:left="1982" w:hanging="357"/>
        <w:rPr>
          <w:rFonts w:ascii="Calibri" w:hAnsi="Calibri" w:cs="Calibri"/>
        </w:rPr>
      </w:pPr>
      <w:r w:rsidRPr="005E4374">
        <w:rPr>
          <w:rFonts w:ascii="Calibri" w:hAnsi="Calibri" w:cs="Calibri"/>
        </w:rPr>
        <w:t>from 18 December 2023 until 17 December 2024, the values set out in Table 2</w:t>
      </w:r>
    </w:p>
    <w:p w14:paraId="409E24F0" w14:textId="77777777" w:rsidR="00525EEF" w:rsidRPr="005E4374" w:rsidRDefault="00525EEF" w:rsidP="00CE5690">
      <w:pPr>
        <w:pStyle w:val="Instrumenttableofcontents"/>
        <w:numPr>
          <w:ilvl w:val="0"/>
          <w:numId w:val="23"/>
        </w:numPr>
        <w:ind w:left="1982" w:hanging="357"/>
        <w:rPr>
          <w:rFonts w:ascii="Calibri" w:hAnsi="Calibri" w:cs="Calibri"/>
        </w:rPr>
      </w:pPr>
      <w:r w:rsidRPr="005E4374">
        <w:rPr>
          <w:rFonts w:ascii="Calibri" w:hAnsi="Calibri" w:cs="Calibri"/>
        </w:rPr>
        <w:t>from 18 December 2024 until 17 December 2025, the values set out in Table 3</w:t>
      </w:r>
    </w:p>
    <w:p w14:paraId="10B3F011" w14:textId="5303FFEA" w:rsidR="00525EEF" w:rsidRPr="005E4374" w:rsidRDefault="00525EEF" w:rsidP="00CE5690">
      <w:pPr>
        <w:pStyle w:val="Instrumenttableofcontents"/>
        <w:numPr>
          <w:ilvl w:val="0"/>
          <w:numId w:val="23"/>
        </w:numPr>
        <w:ind w:left="1982" w:hanging="357"/>
        <w:rPr>
          <w:rFonts w:ascii="Calibri" w:hAnsi="Calibri" w:cs="Calibri"/>
        </w:rPr>
      </w:pPr>
      <w:r w:rsidRPr="005E4374">
        <w:rPr>
          <w:rFonts w:ascii="Calibri" w:hAnsi="Calibri" w:cs="Calibri"/>
        </w:rPr>
        <w:t>from 18 December 2025, the value</w:t>
      </w:r>
      <w:r w:rsidR="00280AEA">
        <w:rPr>
          <w:rFonts w:ascii="Calibri" w:hAnsi="Calibri" w:cs="Calibri"/>
        </w:rPr>
        <w:t>s</w:t>
      </w:r>
      <w:r w:rsidRPr="005E4374">
        <w:rPr>
          <w:rFonts w:ascii="Calibri" w:hAnsi="Calibri" w:cs="Calibri"/>
        </w:rPr>
        <w:t xml:space="preserve"> set out in Table 4.</w:t>
      </w:r>
    </w:p>
    <w:p w14:paraId="620D7A24" w14:textId="77777777" w:rsidR="00525EEF" w:rsidRPr="005E4374" w:rsidRDefault="00525EEF" w:rsidP="005B524A">
      <w:pPr>
        <w:pStyle w:val="Instrumenttableheading"/>
        <w:rPr>
          <w:rFonts w:ascii="Calibri" w:hAnsi="Calibri" w:cs="Calibri"/>
        </w:rPr>
      </w:pPr>
      <w:r w:rsidRPr="0064053F">
        <w:rPr>
          <w:rFonts w:ascii="Calibri" w:hAnsi="Calibri" w:cs="Calibri"/>
          <w:color w:val="auto"/>
        </w:rPr>
        <w:lastRenderedPageBreak/>
        <w:t xml:space="preserve">Table 1: Value of the base allowance for Mayors, by Council allowance category, </w:t>
      </w:r>
      <w:r w:rsidRPr="0064053F">
        <w:rPr>
          <w:rFonts w:ascii="Calibri" w:hAnsi="Calibri" w:cs="Calibri"/>
          <w:color w:val="auto"/>
        </w:rPr>
        <w:br/>
        <w:t>1 July 2023 until 17 December 2023</w:t>
      </w:r>
    </w:p>
    <w:tbl>
      <w:tblPr>
        <w:tblStyle w:val="ListTable3-Accent21"/>
        <w:tblW w:w="5000" w:type="pct"/>
        <w:tblInd w:w="0" w:type="dxa"/>
        <w:tblLook w:val="04A0" w:firstRow="1" w:lastRow="0" w:firstColumn="1" w:lastColumn="0" w:noHBand="0" w:noVBand="1"/>
      </w:tblPr>
      <w:tblGrid>
        <w:gridCol w:w="3679"/>
        <w:gridCol w:w="4825"/>
      </w:tblGrid>
      <w:tr w:rsidR="00504E62" w:rsidRPr="00504E62" w14:paraId="680BBE3F" w14:textId="77777777" w:rsidTr="00504E62">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3" w:type="pct"/>
            <w:tcBorders>
              <w:top w:val="single" w:sz="4" w:space="0" w:color="148A5D" w:themeColor="accent2"/>
              <w:bottom w:val="single" w:sz="4" w:space="0" w:color="148A5D"/>
            </w:tcBorders>
            <w:shd w:val="clear" w:color="auto" w:fill="auto"/>
          </w:tcPr>
          <w:p w14:paraId="3A13993C" w14:textId="77777777" w:rsidR="00525EEF" w:rsidRPr="00504E62" w:rsidRDefault="00525EEF" w:rsidP="005B524A">
            <w:pPr>
              <w:pStyle w:val="Textinthetable"/>
              <w:rPr>
                <w:rFonts w:ascii="Calibri" w:hAnsi="Calibri" w:cs="Calibri"/>
                <w:b w:val="0"/>
                <w:bCs w:val="0"/>
                <w:color w:val="auto"/>
              </w:rPr>
            </w:pPr>
            <w:r w:rsidRPr="00504E62">
              <w:rPr>
                <w:rFonts w:ascii="Calibri" w:hAnsi="Calibri" w:cs="Calibri"/>
                <w:color w:val="auto"/>
              </w:rPr>
              <w:t>Council allowance category</w:t>
            </w:r>
          </w:p>
        </w:tc>
        <w:tc>
          <w:tcPr>
            <w:tcW w:w="2837" w:type="pct"/>
            <w:tcBorders>
              <w:top w:val="single" w:sz="4" w:space="0" w:color="148A5D" w:themeColor="accent2"/>
              <w:bottom w:val="single" w:sz="4" w:space="0" w:color="148A5D"/>
            </w:tcBorders>
            <w:shd w:val="clear" w:color="auto" w:fill="auto"/>
          </w:tcPr>
          <w:p w14:paraId="1CEA6AB1" w14:textId="77777777" w:rsidR="00525EEF" w:rsidRPr="00504E62" w:rsidRDefault="00525EEF" w:rsidP="005B524A">
            <w:pPr>
              <w:pStyle w:val="Textinthetable"/>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rPr>
            </w:pPr>
            <w:r w:rsidRPr="00504E62">
              <w:rPr>
                <w:rFonts w:ascii="Calibri" w:hAnsi="Calibri" w:cs="Calibri"/>
                <w:color w:val="auto"/>
              </w:rPr>
              <w:t>Value of allowance ($ per annum)</w:t>
            </w:r>
          </w:p>
        </w:tc>
      </w:tr>
      <w:tr w:rsidR="00B458B5" w:rsidRPr="006E4E5B" w14:paraId="0EF6B52E" w14:textId="77777777" w:rsidTr="00504E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258E6EB3" w14:textId="77777777" w:rsidR="00B458B5" w:rsidRPr="005E4374" w:rsidRDefault="00B458B5" w:rsidP="00B458B5">
            <w:pPr>
              <w:pStyle w:val="Textinthetable"/>
              <w:rPr>
                <w:rFonts w:ascii="Calibri" w:hAnsi="Calibri" w:cs="Calibri"/>
                <w:b/>
                <w:color w:val="000000" w:themeColor="text1"/>
              </w:rPr>
            </w:pPr>
            <w:r w:rsidRPr="005E4374">
              <w:rPr>
                <w:rFonts w:ascii="Calibri" w:hAnsi="Calibri" w:cs="Calibri"/>
                <w:color w:val="000000" w:themeColor="text1"/>
              </w:rPr>
              <w:t>Category 1</w:t>
            </w:r>
          </w:p>
        </w:tc>
        <w:tc>
          <w:tcPr>
            <w:tcW w:w="2837" w:type="pct"/>
            <w:vAlign w:val="center"/>
          </w:tcPr>
          <w:p w14:paraId="64398D83" w14:textId="26A5D1E2" w:rsidR="00B458B5" w:rsidRPr="005E4374" w:rsidRDefault="00B458B5" w:rsidP="00B458B5">
            <w:pPr>
              <w:pStyle w:val="Textinthetable"/>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themeColor="text1"/>
              </w:rPr>
            </w:pPr>
            <w:r w:rsidRPr="005E4374">
              <w:rPr>
                <w:rFonts w:ascii="Calibri" w:hAnsi="Calibri" w:cs="Calibri"/>
                <w:bCs/>
                <w:color w:val="000000" w:themeColor="text1"/>
              </w:rPr>
              <w:t xml:space="preserve">                            79,492 </w:t>
            </w:r>
          </w:p>
        </w:tc>
      </w:tr>
      <w:tr w:rsidR="00B458B5" w:rsidRPr="006E4E5B" w14:paraId="5D99D3C6" w14:textId="77777777" w:rsidTr="00B458B5">
        <w:trPr>
          <w:cantSplit/>
        </w:trPr>
        <w:tc>
          <w:tcPr>
            <w:cnfStyle w:val="001000000000" w:firstRow="0" w:lastRow="0" w:firstColumn="1" w:lastColumn="0" w:oddVBand="0" w:evenVBand="0" w:oddHBand="0" w:evenHBand="0" w:firstRowFirstColumn="0" w:firstRowLastColumn="0" w:lastRowFirstColumn="0" w:lastRowLastColumn="0"/>
            <w:tcW w:w="2163" w:type="pct"/>
          </w:tcPr>
          <w:p w14:paraId="29917057" w14:textId="77777777" w:rsidR="00B458B5" w:rsidRPr="005E4374" w:rsidRDefault="00B458B5" w:rsidP="00B458B5">
            <w:pPr>
              <w:pStyle w:val="Textinthetable"/>
              <w:rPr>
                <w:rFonts w:ascii="Calibri" w:hAnsi="Calibri" w:cs="Calibri"/>
                <w:b/>
                <w:color w:val="000000" w:themeColor="text1"/>
              </w:rPr>
            </w:pPr>
            <w:r w:rsidRPr="005E4374">
              <w:rPr>
                <w:rFonts w:ascii="Calibri" w:hAnsi="Calibri" w:cs="Calibri"/>
                <w:color w:val="000000" w:themeColor="text1"/>
              </w:rPr>
              <w:t>Category 2</w:t>
            </w:r>
          </w:p>
        </w:tc>
        <w:tc>
          <w:tcPr>
            <w:tcW w:w="2837" w:type="pct"/>
            <w:vAlign w:val="center"/>
          </w:tcPr>
          <w:p w14:paraId="4B8F9026" w14:textId="17DDDC42" w:rsidR="00B458B5" w:rsidRPr="005E4374" w:rsidRDefault="00B458B5" w:rsidP="00B458B5">
            <w:pPr>
              <w:pStyle w:val="Textinthetable"/>
              <w:jc w:val="right"/>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themeColor="text1"/>
              </w:rPr>
            </w:pPr>
            <w:r w:rsidRPr="005E4374">
              <w:rPr>
                <w:rFonts w:ascii="Calibri" w:hAnsi="Calibri" w:cs="Calibri"/>
                <w:bCs/>
                <w:color w:val="000000" w:themeColor="text1"/>
              </w:rPr>
              <w:t xml:space="preserve">                         102,650 </w:t>
            </w:r>
          </w:p>
        </w:tc>
      </w:tr>
      <w:tr w:rsidR="00B458B5" w:rsidRPr="006E4E5B" w14:paraId="48798888" w14:textId="77777777" w:rsidTr="00B458B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715E4831" w14:textId="77777777" w:rsidR="00B458B5" w:rsidRPr="005E4374" w:rsidRDefault="00B458B5" w:rsidP="00B458B5">
            <w:pPr>
              <w:pStyle w:val="Textinthetable"/>
              <w:rPr>
                <w:rFonts w:ascii="Calibri" w:hAnsi="Calibri" w:cs="Calibri"/>
                <w:b/>
                <w:color w:val="000000" w:themeColor="text1"/>
              </w:rPr>
            </w:pPr>
            <w:r w:rsidRPr="005E4374">
              <w:rPr>
                <w:rFonts w:ascii="Calibri" w:hAnsi="Calibri" w:cs="Calibri"/>
                <w:color w:val="000000" w:themeColor="text1"/>
              </w:rPr>
              <w:t>Category 3</w:t>
            </w:r>
          </w:p>
        </w:tc>
        <w:tc>
          <w:tcPr>
            <w:tcW w:w="2837" w:type="pct"/>
            <w:vAlign w:val="center"/>
          </w:tcPr>
          <w:p w14:paraId="490463E8" w14:textId="7B6E92E2" w:rsidR="00B458B5" w:rsidRPr="005E4374" w:rsidRDefault="00B458B5" w:rsidP="00B458B5">
            <w:pPr>
              <w:pStyle w:val="Textinthetable"/>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themeColor="text1"/>
              </w:rPr>
            </w:pPr>
            <w:r w:rsidRPr="005E4374">
              <w:rPr>
                <w:rFonts w:ascii="Calibri" w:hAnsi="Calibri" w:cs="Calibri"/>
                <w:bCs/>
                <w:color w:val="000000" w:themeColor="text1"/>
              </w:rPr>
              <w:t xml:space="preserve">                         126,958 </w:t>
            </w:r>
          </w:p>
        </w:tc>
      </w:tr>
      <w:tr w:rsidR="00B458B5" w:rsidRPr="006E4E5B" w14:paraId="6F85BB37" w14:textId="77777777" w:rsidTr="00B458B5">
        <w:trPr>
          <w:cantSplit/>
        </w:trPr>
        <w:tc>
          <w:tcPr>
            <w:cnfStyle w:val="001000000000" w:firstRow="0" w:lastRow="0" w:firstColumn="1" w:lastColumn="0" w:oddVBand="0" w:evenVBand="0" w:oddHBand="0" w:evenHBand="0" w:firstRowFirstColumn="0" w:firstRowLastColumn="0" w:lastRowFirstColumn="0" w:lastRowLastColumn="0"/>
            <w:tcW w:w="2163" w:type="pct"/>
          </w:tcPr>
          <w:p w14:paraId="7977ADA8" w14:textId="77777777" w:rsidR="00B458B5" w:rsidRPr="005E4374" w:rsidRDefault="00B458B5" w:rsidP="00B458B5">
            <w:pPr>
              <w:pStyle w:val="Textinthetable"/>
              <w:keepNext w:val="0"/>
              <w:rPr>
                <w:rFonts w:ascii="Calibri" w:hAnsi="Calibri" w:cs="Calibri"/>
                <w:b/>
                <w:color w:val="000000" w:themeColor="text1"/>
              </w:rPr>
            </w:pPr>
            <w:r w:rsidRPr="005E4374">
              <w:rPr>
                <w:rFonts w:ascii="Calibri" w:hAnsi="Calibri" w:cs="Calibri"/>
                <w:color w:val="000000" w:themeColor="text1"/>
              </w:rPr>
              <w:t>Category 4 – Melbourne City Council</w:t>
            </w:r>
          </w:p>
        </w:tc>
        <w:tc>
          <w:tcPr>
            <w:tcW w:w="2837" w:type="pct"/>
            <w:vAlign w:val="center"/>
          </w:tcPr>
          <w:p w14:paraId="7F4E0794" w14:textId="6A576286" w:rsidR="00B458B5" w:rsidRPr="005E4374" w:rsidRDefault="00B458B5" w:rsidP="00B458B5">
            <w:pPr>
              <w:pStyle w:val="Textinthetable"/>
              <w:jc w:val="right"/>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themeColor="text1"/>
              </w:rPr>
            </w:pPr>
            <w:r w:rsidRPr="005E4374">
              <w:rPr>
                <w:rFonts w:ascii="Calibri" w:hAnsi="Calibri" w:cs="Calibri"/>
                <w:bCs/>
                <w:color w:val="000000" w:themeColor="text1"/>
              </w:rPr>
              <w:t xml:space="preserve">                         253,920 </w:t>
            </w:r>
          </w:p>
        </w:tc>
      </w:tr>
    </w:tbl>
    <w:p w14:paraId="786C0FF5" w14:textId="77777777" w:rsidR="00525EEF" w:rsidRPr="0064053F" w:rsidRDefault="00525EEF" w:rsidP="0064053F">
      <w:pPr>
        <w:pStyle w:val="Instrumenttableheading"/>
        <w:rPr>
          <w:rFonts w:ascii="Calibri" w:hAnsi="Calibri" w:cs="Calibri"/>
          <w:color w:val="auto"/>
        </w:rPr>
      </w:pPr>
      <w:r w:rsidRPr="0064053F">
        <w:rPr>
          <w:rFonts w:ascii="Calibri" w:hAnsi="Calibri" w:cs="Calibri"/>
          <w:color w:val="auto"/>
        </w:rPr>
        <w:t xml:space="preserve">Table 2: Value of the base allowance for Mayors, by Council allowance category, </w:t>
      </w:r>
      <w:r w:rsidRPr="0064053F">
        <w:rPr>
          <w:rFonts w:ascii="Calibri" w:hAnsi="Calibri" w:cs="Calibri"/>
          <w:color w:val="auto"/>
        </w:rPr>
        <w:br/>
        <w:t>18 December 2023 until 17 December 2024</w:t>
      </w:r>
    </w:p>
    <w:tbl>
      <w:tblPr>
        <w:tblStyle w:val="ListTable3-Accent21"/>
        <w:tblW w:w="5000" w:type="pct"/>
        <w:tblInd w:w="0" w:type="dxa"/>
        <w:tblLook w:val="04A0" w:firstRow="1" w:lastRow="0" w:firstColumn="1" w:lastColumn="0" w:noHBand="0" w:noVBand="1"/>
      </w:tblPr>
      <w:tblGrid>
        <w:gridCol w:w="3679"/>
        <w:gridCol w:w="4825"/>
      </w:tblGrid>
      <w:tr w:rsidR="00504E62" w:rsidRPr="00504E62" w14:paraId="0D5AF034" w14:textId="77777777" w:rsidTr="00504E62">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3" w:type="pct"/>
            <w:tcBorders>
              <w:top w:val="single" w:sz="4" w:space="0" w:color="148A5D" w:themeColor="accent2"/>
              <w:bottom w:val="single" w:sz="4" w:space="0" w:color="148A5D"/>
            </w:tcBorders>
            <w:shd w:val="clear" w:color="auto" w:fill="auto"/>
          </w:tcPr>
          <w:p w14:paraId="64AD2842" w14:textId="77777777" w:rsidR="00525EEF" w:rsidRPr="00504E62" w:rsidRDefault="00525EEF">
            <w:pPr>
              <w:pStyle w:val="Textinthetable"/>
              <w:keepNext w:val="0"/>
              <w:rPr>
                <w:rFonts w:ascii="Calibri" w:hAnsi="Calibri" w:cs="Calibri"/>
                <w:b w:val="0"/>
                <w:bCs w:val="0"/>
                <w:color w:val="auto"/>
              </w:rPr>
            </w:pPr>
            <w:r w:rsidRPr="00504E62">
              <w:rPr>
                <w:rFonts w:ascii="Calibri" w:hAnsi="Calibri" w:cs="Calibri"/>
                <w:color w:val="auto"/>
              </w:rPr>
              <w:t>Council allowance category</w:t>
            </w:r>
          </w:p>
        </w:tc>
        <w:tc>
          <w:tcPr>
            <w:tcW w:w="2837" w:type="pct"/>
            <w:tcBorders>
              <w:top w:val="single" w:sz="4" w:space="0" w:color="148A5D" w:themeColor="accent2"/>
              <w:bottom w:val="single" w:sz="4" w:space="0" w:color="148A5D"/>
            </w:tcBorders>
            <w:shd w:val="clear" w:color="auto" w:fill="auto"/>
          </w:tcPr>
          <w:p w14:paraId="61EE485D" w14:textId="77777777" w:rsidR="00525EEF" w:rsidRPr="00504E62" w:rsidRDefault="00525EEF">
            <w:pPr>
              <w:pStyle w:val="Textinthetable"/>
              <w:keepNext w:val="0"/>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rPr>
            </w:pPr>
            <w:r w:rsidRPr="00504E62">
              <w:rPr>
                <w:rFonts w:ascii="Calibri" w:hAnsi="Calibri" w:cs="Calibri"/>
                <w:color w:val="auto"/>
              </w:rPr>
              <w:t>Value of allowance ($ per annum)</w:t>
            </w:r>
          </w:p>
        </w:tc>
      </w:tr>
      <w:tr w:rsidR="00B458B5" w:rsidRPr="005E4374" w14:paraId="0DEF0007" w14:textId="77777777" w:rsidTr="00504E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74BDBB40" w14:textId="77777777" w:rsidR="00B458B5" w:rsidRPr="005E4374" w:rsidRDefault="00B458B5" w:rsidP="00B458B5">
            <w:pPr>
              <w:pStyle w:val="Textinthetable"/>
              <w:keepNext w:val="0"/>
              <w:rPr>
                <w:rFonts w:ascii="Calibri" w:hAnsi="Calibri" w:cs="Calibri"/>
                <w:b/>
                <w:color w:val="000000" w:themeColor="text1"/>
              </w:rPr>
            </w:pPr>
            <w:r w:rsidRPr="005E4374">
              <w:rPr>
                <w:rFonts w:ascii="Calibri" w:hAnsi="Calibri" w:cs="Calibri"/>
                <w:color w:val="000000" w:themeColor="text1"/>
              </w:rPr>
              <w:t>Category 1</w:t>
            </w:r>
          </w:p>
        </w:tc>
        <w:tc>
          <w:tcPr>
            <w:tcW w:w="2837" w:type="pct"/>
            <w:vAlign w:val="center"/>
          </w:tcPr>
          <w:p w14:paraId="2DC58794" w14:textId="1EEDAFB3" w:rsidR="00B458B5" w:rsidRPr="005E4374" w:rsidRDefault="00B458B5" w:rsidP="00B458B5">
            <w:pPr>
              <w:pStyle w:val="Textinthetable"/>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themeColor="text1"/>
              </w:rPr>
            </w:pPr>
            <w:r w:rsidRPr="005E4374">
              <w:rPr>
                <w:rFonts w:ascii="Calibri" w:hAnsi="Calibri" w:cs="Calibri"/>
                <w:bCs/>
                <w:color w:val="000000" w:themeColor="text1"/>
              </w:rPr>
              <w:t xml:space="preserve">                            81,641 </w:t>
            </w:r>
          </w:p>
        </w:tc>
      </w:tr>
      <w:tr w:rsidR="00B458B5" w:rsidRPr="005E4374" w14:paraId="4A34FE57" w14:textId="77777777">
        <w:trPr>
          <w:cantSplit/>
        </w:trPr>
        <w:tc>
          <w:tcPr>
            <w:cnfStyle w:val="001000000000" w:firstRow="0" w:lastRow="0" w:firstColumn="1" w:lastColumn="0" w:oddVBand="0" w:evenVBand="0" w:oddHBand="0" w:evenHBand="0" w:firstRowFirstColumn="0" w:firstRowLastColumn="0" w:lastRowFirstColumn="0" w:lastRowLastColumn="0"/>
            <w:tcW w:w="2163" w:type="pct"/>
          </w:tcPr>
          <w:p w14:paraId="24E0B60E" w14:textId="77777777" w:rsidR="00B458B5" w:rsidRPr="005E4374" w:rsidRDefault="00B458B5" w:rsidP="00B458B5">
            <w:pPr>
              <w:pStyle w:val="Textinthetable"/>
              <w:keepNext w:val="0"/>
              <w:rPr>
                <w:rFonts w:ascii="Calibri" w:hAnsi="Calibri" w:cs="Calibri"/>
                <w:b/>
                <w:color w:val="000000" w:themeColor="text1"/>
              </w:rPr>
            </w:pPr>
            <w:r w:rsidRPr="005E4374">
              <w:rPr>
                <w:rFonts w:ascii="Calibri" w:hAnsi="Calibri" w:cs="Calibri"/>
                <w:color w:val="000000" w:themeColor="text1"/>
              </w:rPr>
              <w:t>Category 2</w:t>
            </w:r>
          </w:p>
        </w:tc>
        <w:tc>
          <w:tcPr>
            <w:tcW w:w="2837" w:type="pct"/>
            <w:vAlign w:val="center"/>
          </w:tcPr>
          <w:p w14:paraId="5BB502B0" w14:textId="2CE31C80" w:rsidR="00B458B5" w:rsidRPr="005E4374" w:rsidRDefault="00B458B5" w:rsidP="00B458B5">
            <w:pPr>
              <w:pStyle w:val="Textinthetable"/>
              <w:jc w:val="right"/>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themeColor="text1"/>
              </w:rPr>
            </w:pPr>
            <w:r w:rsidRPr="005E4374">
              <w:rPr>
                <w:rFonts w:ascii="Calibri" w:hAnsi="Calibri" w:cs="Calibri"/>
                <w:bCs/>
                <w:color w:val="000000" w:themeColor="text1"/>
              </w:rPr>
              <w:t xml:space="preserve">                         105,424 </w:t>
            </w:r>
          </w:p>
        </w:tc>
      </w:tr>
      <w:tr w:rsidR="00B458B5" w:rsidRPr="005E4374" w14:paraId="39B6A33A"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6E0E38BA" w14:textId="77777777" w:rsidR="00B458B5" w:rsidRPr="005E4374" w:rsidRDefault="00B458B5" w:rsidP="00B458B5">
            <w:pPr>
              <w:pStyle w:val="Textinthetable"/>
              <w:keepNext w:val="0"/>
              <w:rPr>
                <w:rFonts w:ascii="Calibri" w:hAnsi="Calibri" w:cs="Calibri"/>
                <w:b/>
                <w:color w:val="000000" w:themeColor="text1"/>
              </w:rPr>
            </w:pPr>
            <w:r w:rsidRPr="005E4374">
              <w:rPr>
                <w:rFonts w:ascii="Calibri" w:hAnsi="Calibri" w:cs="Calibri"/>
                <w:color w:val="000000" w:themeColor="text1"/>
              </w:rPr>
              <w:t>Category 3</w:t>
            </w:r>
          </w:p>
        </w:tc>
        <w:tc>
          <w:tcPr>
            <w:tcW w:w="2837" w:type="pct"/>
            <w:vAlign w:val="center"/>
          </w:tcPr>
          <w:p w14:paraId="32A331B4" w14:textId="005AB3CA" w:rsidR="00B458B5" w:rsidRPr="005E4374" w:rsidRDefault="00B458B5" w:rsidP="00B458B5">
            <w:pPr>
              <w:pStyle w:val="Textinthetable"/>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themeColor="text1"/>
              </w:rPr>
            </w:pPr>
            <w:r w:rsidRPr="005E4374">
              <w:rPr>
                <w:rFonts w:ascii="Calibri" w:hAnsi="Calibri" w:cs="Calibri"/>
                <w:bCs/>
                <w:color w:val="000000" w:themeColor="text1"/>
              </w:rPr>
              <w:t xml:space="preserve">                         130,390 </w:t>
            </w:r>
          </w:p>
        </w:tc>
      </w:tr>
      <w:tr w:rsidR="00B458B5" w:rsidRPr="005E4374" w14:paraId="7C79FCDC" w14:textId="77777777">
        <w:trPr>
          <w:cantSplit/>
        </w:trPr>
        <w:tc>
          <w:tcPr>
            <w:cnfStyle w:val="001000000000" w:firstRow="0" w:lastRow="0" w:firstColumn="1" w:lastColumn="0" w:oddVBand="0" w:evenVBand="0" w:oddHBand="0" w:evenHBand="0" w:firstRowFirstColumn="0" w:firstRowLastColumn="0" w:lastRowFirstColumn="0" w:lastRowLastColumn="0"/>
            <w:tcW w:w="2163" w:type="pct"/>
          </w:tcPr>
          <w:p w14:paraId="2EA0C3EF" w14:textId="77777777" w:rsidR="00B458B5" w:rsidRPr="005E4374" w:rsidRDefault="00B458B5" w:rsidP="00B458B5">
            <w:pPr>
              <w:pStyle w:val="Textinthetable"/>
              <w:keepNext w:val="0"/>
              <w:rPr>
                <w:rFonts w:ascii="Calibri" w:hAnsi="Calibri" w:cs="Calibri"/>
                <w:b/>
                <w:color w:val="000000" w:themeColor="text1"/>
              </w:rPr>
            </w:pPr>
            <w:r w:rsidRPr="005E4374">
              <w:rPr>
                <w:rFonts w:ascii="Calibri" w:hAnsi="Calibri" w:cs="Calibri"/>
                <w:color w:val="000000" w:themeColor="text1"/>
              </w:rPr>
              <w:t>Category 4 – Melbourne City Council</w:t>
            </w:r>
          </w:p>
        </w:tc>
        <w:tc>
          <w:tcPr>
            <w:tcW w:w="2837" w:type="pct"/>
            <w:vAlign w:val="center"/>
          </w:tcPr>
          <w:p w14:paraId="688975D3" w14:textId="22AD06FB" w:rsidR="00B458B5" w:rsidRPr="005E4374" w:rsidRDefault="00B458B5" w:rsidP="00B458B5">
            <w:pPr>
              <w:pStyle w:val="Textinthetable"/>
              <w:jc w:val="right"/>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themeColor="text1"/>
              </w:rPr>
            </w:pPr>
            <w:r w:rsidRPr="005E4374">
              <w:rPr>
                <w:rFonts w:ascii="Calibri" w:hAnsi="Calibri" w:cs="Calibri"/>
                <w:bCs/>
                <w:color w:val="000000" w:themeColor="text1"/>
              </w:rPr>
              <w:t xml:space="preserve">                         260,782 </w:t>
            </w:r>
          </w:p>
        </w:tc>
      </w:tr>
    </w:tbl>
    <w:p w14:paraId="6EE682A0" w14:textId="77777777" w:rsidR="00525EEF" w:rsidRPr="0064053F" w:rsidRDefault="00525EEF" w:rsidP="0064053F">
      <w:pPr>
        <w:pStyle w:val="Instrumenttableheading"/>
        <w:rPr>
          <w:rFonts w:ascii="Calibri" w:hAnsi="Calibri" w:cs="Calibri"/>
          <w:color w:val="auto"/>
        </w:rPr>
      </w:pPr>
      <w:r w:rsidRPr="0064053F">
        <w:rPr>
          <w:rFonts w:ascii="Calibri" w:hAnsi="Calibri" w:cs="Calibri"/>
          <w:color w:val="auto"/>
        </w:rPr>
        <w:t xml:space="preserve">Table 3: Value of the base allowance for Mayors, by Council allowance category, </w:t>
      </w:r>
      <w:r w:rsidRPr="0064053F">
        <w:rPr>
          <w:rFonts w:ascii="Calibri" w:hAnsi="Calibri" w:cs="Calibri"/>
          <w:color w:val="auto"/>
        </w:rPr>
        <w:br/>
        <w:t>18 December 2024 until 17 December 2025</w:t>
      </w:r>
    </w:p>
    <w:tbl>
      <w:tblPr>
        <w:tblStyle w:val="ListTable3-Accent21"/>
        <w:tblW w:w="5000" w:type="pct"/>
        <w:tblInd w:w="0" w:type="dxa"/>
        <w:tblLook w:val="04A0" w:firstRow="1" w:lastRow="0" w:firstColumn="1" w:lastColumn="0" w:noHBand="0" w:noVBand="1"/>
      </w:tblPr>
      <w:tblGrid>
        <w:gridCol w:w="3679"/>
        <w:gridCol w:w="4825"/>
      </w:tblGrid>
      <w:tr w:rsidR="00525EEF" w:rsidRPr="007927DD" w14:paraId="2A99D5EF" w14:textId="77777777" w:rsidTr="00504E62">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3" w:type="pct"/>
            <w:tcBorders>
              <w:top w:val="single" w:sz="4" w:space="0" w:color="148A5D" w:themeColor="accent2"/>
              <w:bottom w:val="single" w:sz="4" w:space="0" w:color="148A5D"/>
            </w:tcBorders>
            <w:shd w:val="clear" w:color="auto" w:fill="auto"/>
          </w:tcPr>
          <w:p w14:paraId="1C2E13F6" w14:textId="77777777" w:rsidR="00525EEF" w:rsidRPr="00504E62" w:rsidRDefault="00525EEF">
            <w:pPr>
              <w:pStyle w:val="Textinthetable"/>
              <w:keepNext w:val="0"/>
              <w:rPr>
                <w:rFonts w:ascii="Calibri" w:hAnsi="Calibri" w:cs="Calibri"/>
                <w:b w:val="0"/>
                <w:bCs w:val="0"/>
                <w:color w:val="auto"/>
              </w:rPr>
            </w:pPr>
            <w:r w:rsidRPr="00504E62">
              <w:rPr>
                <w:rFonts w:ascii="Calibri" w:hAnsi="Calibri" w:cs="Calibri"/>
                <w:color w:val="auto"/>
              </w:rPr>
              <w:t>Council allowance category</w:t>
            </w:r>
          </w:p>
        </w:tc>
        <w:tc>
          <w:tcPr>
            <w:tcW w:w="2837" w:type="pct"/>
            <w:tcBorders>
              <w:top w:val="single" w:sz="4" w:space="0" w:color="148A5D" w:themeColor="accent2"/>
              <w:bottom w:val="single" w:sz="4" w:space="0" w:color="148A5D"/>
            </w:tcBorders>
            <w:shd w:val="clear" w:color="auto" w:fill="auto"/>
          </w:tcPr>
          <w:p w14:paraId="2EC08422" w14:textId="77777777" w:rsidR="00525EEF" w:rsidRPr="00504E62" w:rsidRDefault="00525EEF">
            <w:pPr>
              <w:pStyle w:val="Textinthetable"/>
              <w:keepNext w:val="0"/>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rPr>
            </w:pPr>
            <w:r w:rsidRPr="00504E62">
              <w:rPr>
                <w:rFonts w:ascii="Calibri" w:hAnsi="Calibri" w:cs="Calibri"/>
                <w:color w:val="auto"/>
              </w:rPr>
              <w:t>Value of allowance ($ per annum)</w:t>
            </w:r>
          </w:p>
        </w:tc>
      </w:tr>
      <w:tr w:rsidR="00B458B5" w:rsidRPr="000C020B" w14:paraId="21B8068F" w14:textId="77777777" w:rsidTr="00504E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6AB0F389" w14:textId="77777777" w:rsidR="00B458B5" w:rsidRPr="005E4374" w:rsidRDefault="00B458B5" w:rsidP="00B458B5">
            <w:pPr>
              <w:pStyle w:val="Textinthetable"/>
              <w:keepNext w:val="0"/>
              <w:rPr>
                <w:rFonts w:ascii="Calibri" w:hAnsi="Calibri" w:cs="Calibri"/>
                <w:b/>
                <w:color w:val="000000" w:themeColor="text1"/>
              </w:rPr>
            </w:pPr>
            <w:r w:rsidRPr="005E4374">
              <w:rPr>
                <w:rFonts w:ascii="Calibri" w:hAnsi="Calibri" w:cs="Calibri"/>
                <w:color w:val="000000" w:themeColor="text1"/>
              </w:rPr>
              <w:t>Category 1</w:t>
            </w:r>
          </w:p>
        </w:tc>
        <w:tc>
          <w:tcPr>
            <w:tcW w:w="2837" w:type="pct"/>
            <w:vAlign w:val="center"/>
          </w:tcPr>
          <w:p w14:paraId="217BB413" w14:textId="4C06B6FD" w:rsidR="00B458B5" w:rsidRPr="005E4374" w:rsidRDefault="00B458B5" w:rsidP="00B458B5">
            <w:pPr>
              <w:pStyle w:val="Textinthetable"/>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themeColor="text1"/>
              </w:rPr>
            </w:pPr>
            <w:r w:rsidRPr="005E4374">
              <w:rPr>
                <w:rFonts w:ascii="Calibri" w:hAnsi="Calibri" w:cs="Calibri"/>
                <w:bCs/>
                <w:color w:val="000000" w:themeColor="text1"/>
              </w:rPr>
              <w:t xml:space="preserve">                            83,789 </w:t>
            </w:r>
          </w:p>
        </w:tc>
      </w:tr>
      <w:tr w:rsidR="00B458B5" w:rsidRPr="000C020B" w14:paraId="2EC07184" w14:textId="77777777">
        <w:trPr>
          <w:cantSplit/>
        </w:trPr>
        <w:tc>
          <w:tcPr>
            <w:cnfStyle w:val="001000000000" w:firstRow="0" w:lastRow="0" w:firstColumn="1" w:lastColumn="0" w:oddVBand="0" w:evenVBand="0" w:oddHBand="0" w:evenHBand="0" w:firstRowFirstColumn="0" w:firstRowLastColumn="0" w:lastRowFirstColumn="0" w:lastRowLastColumn="0"/>
            <w:tcW w:w="2163" w:type="pct"/>
          </w:tcPr>
          <w:p w14:paraId="2BE064A2" w14:textId="77777777" w:rsidR="00B458B5" w:rsidRPr="005E4374" w:rsidRDefault="00B458B5" w:rsidP="00B458B5">
            <w:pPr>
              <w:pStyle w:val="Textinthetable"/>
              <w:keepNext w:val="0"/>
              <w:rPr>
                <w:rFonts w:ascii="Calibri" w:hAnsi="Calibri" w:cs="Calibri"/>
                <w:b/>
                <w:color w:val="000000" w:themeColor="text1"/>
              </w:rPr>
            </w:pPr>
            <w:r w:rsidRPr="005E4374">
              <w:rPr>
                <w:rFonts w:ascii="Calibri" w:hAnsi="Calibri" w:cs="Calibri"/>
                <w:color w:val="000000" w:themeColor="text1"/>
              </w:rPr>
              <w:t>Category 2</w:t>
            </w:r>
          </w:p>
        </w:tc>
        <w:tc>
          <w:tcPr>
            <w:tcW w:w="2837" w:type="pct"/>
            <w:vAlign w:val="center"/>
          </w:tcPr>
          <w:p w14:paraId="5A8155AB" w14:textId="75ADCEBB" w:rsidR="00B458B5" w:rsidRPr="005E4374" w:rsidRDefault="00B458B5" w:rsidP="00B458B5">
            <w:pPr>
              <w:pStyle w:val="Textinthetable"/>
              <w:jc w:val="right"/>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themeColor="text1"/>
              </w:rPr>
            </w:pPr>
            <w:r w:rsidRPr="005E4374">
              <w:rPr>
                <w:rFonts w:ascii="Calibri" w:hAnsi="Calibri" w:cs="Calibri"/>
                <w:bCs/>
                <w:color w:val="000000" w:themeColor="text1"/>
              </w:rPr>
              <w:t xml:space="preserve">                         108,200 </w:t>
            </w:r>
          </w:p>
        </w:tc>
      </w:tr>
      <w:tr w:rsidR="00B458B5" w:rsidRPr="000C020B" w14:paraId="687B7F6F"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27CF9A1D" w14:textId="77777777" w:rsidR="00B458B5" w:rsidRPr="005E4374" w:rsidRDefault="00B458B5" w:rsidP="00B458B5">
            <w:pPr>
              <w:pStyle w:val="Textinthetable"/>
              <w:keepNext w:val="0"/>
              <w:rPr>
                <w:rFonts w:ascii="Calibri" w:hAnsi="Calibri" w:cs="Calibri"/>
                <w:b/>
                <w:color w:val="000000" w:themeColor="text1"/>
              </w:rPr>
            </w:pPr>
            <w:r w:rsidRPr="005E4374">
              <w:rPr>
                <w:rFonts w:ascii="Calibri" w:hAnsi="Calibri" w:cs="Calibri"/>
                <w:color w:val="000000" w:themeColor="text1"/>
              </w:rPr>
              <w:t>Category 3</w:t>
            </w:r>
          </w:p>
        </w:tc>
        <w:tc>
          <w:tcPr>
            <w:tcW w:w="2837" w:type="pct"/>
            <w:vAlign w:val="center"/>
          </w:tcPr>
          <w:p w14:paraId="6258171C" w14:textId="742B6D58" w:rsidR="00B458B5" w:rsidRPr="005E4374" w:rsidRDefault="00B458B5" w:rsidP="00B458B5">
            <w:pPr>
              <w:pStyle w:val="Textinthetable"/>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themeColor="text1"/>
              </w:rPr>
            </w:pPr>
            <w:r w:rsidRPr="005E4374">
              <w:rPr>
                <w:rFonts w:ascii="Calibri" w:hAnsi="Calibri" w:cs="Calibri"/>
                <w:bCs/>
                <w:color w:val="000000" w:themeColor="text1"/>
              </w:rPr>
              <w:t xml:space="preserve">                         133,822 </w:t>
            </w:r>
          </w:p>
        </w:tc>
      </w:tr>
      <w:tr w:rsidR="00B458B5" w:rsidRPr="000C020B" w14:paraId="07B7B8C4" w14:textId="77777777">
        <w:trPr>
          <w:cantSplit/>
        </w:trPr>
        <w:tc>
          <w:tcPr>
            <w:cnfStyle w:val="001000000000" w:firstRow="0" w:lastRow="0" w:firstColumn="1" w:lastColumn="0" w:oddVBand="0" w:evenVBand="0" w:oddHBand="0" w:evenHBand="0" w:firstRowFirstColumn="0" w:firstRowLastColumn="0" w:lastRowFirstColumn="0" w:lastRowLastColumn="0"/>
            <w:tcW w:w="2163" w:type="pct"/>
          </w:tcPr>
          <w:p w14:paraId="64D4C599" w14:textId="77777777" w:rsidR="00B458B5" w:rsidRPr="005E4374" w:rsidRDefault="00B458B5" w:rsidP="00B458B5">
            <w:pPr>
              <w:pStyle w:val="Textinthetable"/>
              <w:keepNext w:val="0"/>
              <w:rPr>
                <w:rFonts w:ascii="Calibri" w:hAnsi="Calibri" w:cs="Calibri"/>
                <w:b/>
                <w:color w:val="000000" w:themeColor="text1"/>
              </w:rPr>
            </w:pPr>
            <w:r w:rsidRPr="005E4374">
              <w:rPr>
                <w:rFonts w:ascii="Calibri" w:hAnsi="Calibri" w:cs="Calibri"/>
                <w:color w:val="000000" w:themeColor="text1"/>
              </w:rPr>
              <w:t>Category 4 – Melbourne City Council</w:t>
            </w:r>
          </w:p>
        </w:tc>
        <w:tc>
          <w:tcPr>
            <w:tcW w:w="2837" w:type="pct"/>
            <w:vAlign w:val="center"/>
          </w:tcPr>
          <w:p w14:paraId="51AD7D96" w14:textId="6DFDDD87" w:rsidR="00B458B5" w:rsidRPr="005E4374" w:rsidRDefault="00B458B5" w:rsidP="00B458B5">
            <w:pPr>
              <w:pStyle w:val="Textinthetable"/>
              <w:jc w:val="right"/>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themeColor="text1"/>
              </w:rPr>
            </w:pPr>
            <w:r w:rsidRPr="005E4374">
              <w:rPr>
                <w:rFonts w:ascii="Calibri" w:hAnsi="Calibri" w:cs="Calibri"/>
                <w:bCs/>
                <w:color w:val="000000" w:themeColor="text1"/>
              </w:rPr>
              <w:t xml:space="preserve">                         267,646 </w:t>
            </w:r>
          </w:p>
        </w:tc>
      </w:tr>
    </w:tbl>
    <w:p w14:paraId="2E37DF71" w14:textId="77777777" w:rsidR="00525EEF" w:rsidRPr="0064053F" w:rsidRDefault="00525EEF" w:rsidP="0064053F">
      <w:pPr>
        <w:pStyle w:val="Instrumenttableheading"/>
        <w:rPr>
          <w:rFonts w:ascii="Calibri" w:hAnsi="Calibri" w:cs="Calibri"/>
          <w:color w:val="auto"/>
        </w:rPr>
      </w:pPr>
      <w:r w:rsidRPr="0064053F">
        <w:rPr>
          <w:rFonts w:ascii="Calibri" w:hAnsi="Calibri" w:cs="Calibri"/>
          <w:color w:val="auto"/>
        </w:rPr>
        <w:t xml:space="preserve">Table 4: Value of the base allowance for Mayors, by Council allowance category, </w:t>
      </w:r>
      <w:r w:rsidRPr="0064053F">
        <w:rPr>
          <w:rFonts w:ascii="Calibri" w:hAnsi="Calibri" w:cs="Calibri"/>
          <w:color w:val="auto"/>
        </w:rPr>
        <w:br/>
        <w:t>from 18 December 2025</w:t>
      </w:r>
    </w:p>
    <w:tbl>
      <w:tblPr>
        <w:tblStyle w:val="ListTable3-Accent21"/>
        <w:tblW w:w="5000" w:type="pct"/>
        <w:tblInd w:w="0" w:type="dxa"/>
        <w:tblLook w:val="04A0" w:firstRow="1" w:lastRow="0" w:firstColumn="1" w:lastColumn="0" w:noHBand="0" w:noVBand="1"/>
      </w:tblPr>
      <w:tblGrid>
        <w:gridCol w:w="3679"/>
        <w:gridCol w:w="4825"/>
      </w:tblGrid>
      <w:tr w:rsidR="00504E62" w:rsidRPr="00504E62" w14:paraId="134FC296" w14:textId="77777777" w:rsidTr="00504E62">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3" w:type="pct"/>
            <w:tcBorders>
              <w:top w:val="single" w:sz="4" w:space="0" w:color="148A5D" w:themeColor="accent2"/>
              <w:bottom w:val="single" w:sz="4" w:space="0" w:color="148A5D"/>
            </w:tcBorders>
            <w:shd w:val="clear" w:color="auto" w:fill="auto"/>
          </w:tcPr>
          <w:p w14:paraId="3083BA48" w14:textId="77777777" w:rsidR="00525EEF" w:rsidRPr="00504E62" w:rsidRDefault="00525EEF">
            <w:pPr>
              <w:pStyle w:val="Textinthetable"/>
              <w:keepNext w:val="0"/>
              <w:rPr>
                <w:rFonts w:ascii="Calibri" w:hAnsi="Calibri" w:cs="Calibri"/>
                <w:b w:val="0"/>
                <w:bCs w:val="0"/>
                <w:color w:val="auto"/>
              </w:rPr>
            </w:pPr>
            <w:r w:rsidRPr="00504E62">
              <w:rPr>
                <w:rFonts w:ascii="Calibri" w:hAnsi="Calibri" w:cs="Calibri"/>
                <w:color w:val="auto"/>
              </w:rPr>
              <w:t>Council allowance category</w:t>
            </w:r>
          </w:p>
        </w:tc>
        <w:tc>
          <w:tcPr>
            <w:tcW w:w="2837" w:type="pct"/>
            <w:tcBorders>
              <w:top w:val="single" w:sz="4" w:space="0" w:color="148A5D" w:themeColor="accent2"/>
              <w:bottom w:val="single" w:sz="4" w:space="0" w:color="148A5D"/>
            </w:tcBorders>
            <w:shd w:val="clear" w:color="auto" w:fill="auto"/>
          </w:tcPr>
          <w:p w14:paraId="488E39E4" w14:textId="77777777" w:rsidR="00525EEF" w:rsidRPr="00504E62" w:rsidRDefault="00525EEF">
            <w:pPr>
              <w:pStyle w:val="Textinthetable"/>
              <w:keepNext w:val="0"/>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rPr>
            </w:pPr>
            <w:r w:rsidRPr="00504E62">
              <w:rPr>
                <w:rFonts w:ascii="Calibri" w:hAnsi="Calibri" w:cs="Calibri"/>
                <w:color w:val="auto"/>
              </w:rPr>
              <w:t>Value of allowance ($ per annum)</w:t>
            </w:r>
          </w:p>
        </w:tc>
      </w:tr>
      <w:tr w:rsidR="00B458B5" w:rsidRPr="000C020B" w14:paraId="1433BC12" w14:textId="77777777" w:rsidTr="00504E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75E8B766" w14:textId="77777777" w:rsidR="00B458B5" w:rsidRPr="005E4374" w:rsidRDefault="00B458B5" w:rsidP="00B458B5">
            <w:pPr>
              <w:pStyle w:val="Textinthetable"/>
              <w:keepNext w:val="0"/>
              <w:rPr>
                <w:rFonts w:ascii="Calibri" w:hAnsi="Calibri" w:cs="Calibri"/>
                <w:b/>
                <w:color w:val="000000" w:themeColor="text1"/>
              </w:rPr>
            </w:pPr>
            <w:r w:rsidRPr="005E4374">
              <w:rPr>
                <w:rFonts w:ascii="Calibri" w:hAnsi="Calibri" w:cs="Calibri"/>
                <w:color w:val="000000" w:themeColor="text1"/>
              </w:rPr>
              <w:t>Category 1</w:t>
            </w:r>
          </w:p>
        </w:tc>
        <w:tc>
          <w:tcPr>
            <w:tcW w:w="2837" w:type="pct"/>
            <w:vAlign w:val="center"/>
          </w:tcPr>
          <w:p w14:paraId="7BD0CC1F" w14:textId="76EDA5D5" w:rsidR="00B458B5" w:rsidRPr="005E4374" w:rsidRDefault="00B458B5" w:rsidP="00B458B5">
            <w:pPr>
              <w:pStyle w:val="Textinthetable"/>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themeColor="text1"/>
              </w:rPr>
            </w:pPr>
            <w:r w:rsidRPr="005E4374">
              <w:rPr>
                <w:rFonts w:ascii="Calibri" w:hAnsi="Calibri" w:cs="Calibri"/>
                <w:bCs/>
                <w:color w:val="000000" w:themeColor="text1"/>
              </w:rPr>
              <w:t xml:space="preserve">                            85,937 </w:t>
            </w:r>
          </w:p>
        </w:tc>
      </w:tr>
      <w:tr w:rsidR="00B458B5" w:rsidRPr="000C020B" w14:paraId="3439D638" w14:textId="77777777">
        <w:trPr>
          <w:cantSplit/>
        </w:trPr>
        <w:tc>
          <w:tcPr>
            <w:cnfStyle w:val="001000000000" w:firstRow="0" w:lastRow="0" w:firstColumn="1" w:lastColumn="0" w:oddVBand="0" w:evenVBand="0" w:oddHBand="0" w:evenHBand="0" w:firstRowFirstColumn="0" w:firstRowLastColumn="0" w:lastRowFirstColumn="0" w:lastRowLastColumn="0"/>
            <w:tcW w:w="2163" w:type="pct"/>
          </w:tcPr>
          <w:p w14:paraId="1FC2CD4A" w14:textId="77777777" w:rsidR="00B458B5" w:rsidRPr="005E4374" w:rsidRDefault="00B458B5" w:rsidP="00B458B5">
            <w:pPr>
              <w:pStyle w:val="Textinthetable"/>
              <w:keepNext w:val="0"/>
              <w:rPr>
                <w:rFonts w:ascii="Calibri" w:hAnsi="Calibri" w:cs="Calibri"/>
                <w:b/>
                <w:color w:val="000000" w:themeColor="text1"/>
              </w:rPr>
            </w:pPr>
            <w:r w:rsidRPr="005E4374">
              <w:rPr>
                <w:rFonts w:ascii="Calibri" w:hAnsi="Calibri" w:cs="Calibri"/>
                <w:color w:val="000000" w:themeColor="text1"/>
              </w:rPr>
              <w:t>Category 2</w:t>
            </w:r>
          </w:p>
        </w:tc>
        <w:tc>
          <w:tcPr>
            <w:tcW w:w="2837" w:type="pct"/>
            <w:vAlign w:val="center"/>
          </w:tcPr>
          <w:p w14:paraId="0F4A660E" w14:textId="1345574F" w:rsidR="00B458B5" w:rsidRPr="005E4374" w:rsidRDefault="00B458B5" w:rsidP="00B458B5">
            <w:pPr>
              <w:pStyle w:val="Textinthetable"/>
              <w:jc w:val="right"/>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themeColor="text1"/>
              </w:rPr>
            </w:pPr>
            <w:r w:rsidRPr="005E4374">
              <w:rPr>
                <w:rFonts w:ascii="Calibri" w:hAnsi="Calibri" w:cs="Calibri"/>
                <w:bCs/>
                <w:color w:val="000000" w:themeColor="text1"/>
              </w:rPr>
              <w:t xml:space="preserve">                         110,973 </w:t>
            </w:r>
          </w:p>
        </w:tc>
      </w:tr>
      <w:tr w:rsidR="00B458B5" w:rsidRPr="000C020B" w14:paraId="3374D4A7"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29DBDF7D" w14:textId="77777777" w:rsidR="00B458B5" w:rsidRPr="005E4374" w:rsidRDefault="00B458B5" w:rsidP="00B458B5">
            <w:pPr>
              <w:pStyle w:val="Textinthetable"/>
              <w:keepNext w:val="0"/>
              <w:rPr>
                <w:rFonts w:ascii="Calibri" w:hAnsi="Calibri" w:cs="Calibri"/>
                <w:b/>
                <w:color w:val="000000" w:themeColor="text1"/>
              </w:rPr>
            </w:pPr>
            <w:r w:rsidRPr="005E4374">
              <w:rPr>
                <w:rFonts w:ascii="Calibri" w:hAnsi="Calibri" w:cs="Calibri"/>
                <w:color w:val="000000" w:themeColor="text1"/>
              </w:rPr>
              <w:t>Category 3</w:t>
            </w:r>
          </w:p>
        </w:tc>
        <w:tc>
          <w:tcPr>
            <w:tcW w:w="2837" w:type="pct"/>
            <w:vAlign w:val="center"/>
          </w:tcPr>
          <w:p w14:paraId="73197A46" w14:textId="571133E2" w:rsidR="00B458B5" w:rsidRPr="005E4374" w:rsidRDefault="00B458B5" w:rsidP="00B458B5">
            <w:pPr>
              <w:pStyle w:val="Textinthetable"/>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themeColor="text1"/>
              </w:rPr>
            </w:pPr>
            <w:r w:rsidRPr="005E4374">
              <w:rPr>
                <w:rFonts w:ascii="Calibri" w:hAnsi="Calibri" w:cs="Calibri"/>
                <w:bCs/>
                <w:color w:val="000000" w:themeColor="text1"/>
              </w:rPr>
              <w:t xml:space="preserve">                         137,253 </w:t>
            </w:r>
          </w:p>
        </w:tc>
      </w:tr>
      <w:tr w:rsidR="00B458B5" w:rsidRPr="000C020B" w14:paraId="0DB7AB22" w14:textId="77777777">
        <w:trPr>
          <w:cantSplit/>
        </w:trPr>
        <w:tc>
          <w:tcPr>
            <w:cnfStyle w:val="001000000000" w:firstRow="0" w:lastRow="0" w:firstColumn="1" w:lastColumn="0" w:oddVBand="0" w:evenVBand="0" w:oddHBand="0" w:evenHBand="0" w:firstRowFirstColumn="0" w:firstRowLastColumn="0" w:lastRowFirstColumn="0" w:lastRowLastColumn="0"/>
            <w:tcW w:w="2163" w:type="pct"/>
          </w:tcPr>
          <w:p w14:paraId="240EE303" w14:textId="77777777" w:rsidR="00B458B5" w:rsidRPr="005E4374" w:rsidRDefault="00B458B5" w:rsidP="00B458B5">
            <w:pPr>
              <w:pStyle w:val="Textinthetable"/>
              <w:keepNext w:val="0"/>
              <w:rPr>
                <w:rFonts w:ascii="Calibri" w:hAnsi="Calibri" w:cs="Calibri"/>
                <w:b/>
                <w:color w:val="000000" w:themeColor="text1"/>
              </w:rPr>
            </w:pPr>
            <w:r w:rsidRPr="005E4374">
              <w:rPr>
                <w:rFonts w:ascii="Calibri" w:hAnsi="Calibri" w:cs="Calibri"/>
                <w:color w:val="000000" w:themeColor="text1"/>
              </w:rPr>
              <w:t>Category 4 – Melbourne City Council</w:t>
            </w:r>
          </w:p>
        </w:tc>
        <w:tc>
          <w:tcPr>
            <w:tcW w:w="2837" w:type="pct"/>
            <w:vAlign w:val="center"/>
          </w:tcPr>
          <w:p w14:paraId="6A27A37C" w14:textId="09587440" w:rsidR="00B458B5" w:rsidRPr="005E4374" w:rsidRDefault="00B458B5" w:rsidP="00B458B5">
            <w:pPr>
              <w:pStyle w:val="Textinthetable"/>
              <w:jc w:val="right"/>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themeColor="text1"/>
              </w:rPr>
            </w:pPr>
            <w:r w:rsidRPr="005E4374">
              <w:rPr>
                <w:rFonts w:ascii="Calibri" w:hAnsi="Calibri" w:cs="Calibri"/>
                <w:bCs/>
                <w:color w:val="000000" w:themeColor="text1"/>
              </w:rPr>
              <w:t xml:space="preserve">                         274,508 </w:t>
            </w:r>
          </w:p>
        </w:tc>
      </w:tr>
    </w:tbl>
    <w:p w14:paraId="5A2CFE15" w14:textId="77777777" w:rsidR="00525EEF" w:rsidRPr="005E4374" w:rsidRDefault="00525EEF" w:rsidP="00D63AD8">
      <w:pPr>
        <w:pStyle w:val="Instrumenttableofcontents"/>
        <w:keepNext/>
        <w:numPr>
          <w:ilvl w:val="0"/>
          <w:numId w:val="14"/>
        </w:numPr>
        <w:ind w:left="1134" w:hanging="283"/>
        <w:rPr>
          <w:rFonts w:ascii="Calibri" w:hAnsi="Calibri" w:cs="Calibri"/>
        </w:rPr>
      </w:pPr>
      <w:r w:rsidRPr="005E4374">
        <w:rPr>
          <w:rFonts w:ascii="Calibri" w:hAnsi="Calibri" w:cs="Calibri"/>
          <w:b/>
        </w:rPr>
        <w:t>Value of the base allowance for Deputy Mayors</w:t>
      </w:r>
    </w:p>
    <w:p w14:paraId="5953BF3A" w14:textId="77777777" w:rsidR="00525EEF" w:rsidRPr="005E4374" w:rsidRDefault="00525EEF" w:rsidP="004D5FE9">
      <w:pPr>
        <w:pStyle w:val="Instrumenttableofcontents"/>
        <w:numPr>
          <w:ilvl w:val="1"/>
          <w:numId w:val="14"/>
        </w:numPr>
        <w:ind w:left="1579" w:hanging="445"/>
        <w:rPr>
          <w:rFonts w:ascii="Calibri" w:hAnsi="Calibri" w:cs="Calibri"/>
        </w:rPr>
      </w:pPr>
      <w:r w:rsidRPr="005E4374">
        <w:rPr>
          <w:rFonts w:ascii="Calibri" w:hAnsi="Calibri" w:cs="Calibri"/>
        </w:rPr>
        <w:t>The values of the base allowances for Deputy Mayors are:</w:t>
      </w:r>
    </w:p>
    <w:p w14:paraId="7CDBF5D9" w14:textId="77777777" w:rsidR="00525EEF" w:rsidRPr="005E4374" w:rsidRDefault="00525EEF" w:rsidP="00FC05C4">
      <w:pPr>
        <w:pStyle w:val="Instrumenttableofcontents"/>
        <w:numPr>
          <w:ilvl w:val="0"/>
          <w:numId w:val="24"/>
        </w:numPr>
        <w:ind w:left="1928" w:hanging="357"/>
        <w:rPr>
          <w:rFonts w:ascii="Calibri" w:hAnsi="Calibri" w:cs="Calibri"/>
        </w:rPr>
      </w:pPr>
      <w:r w:rsidRPr="005E4374">
        <w:rPr>
          <w:rFonts w:ascii="Calibri" w:hAnsi="Calibri" w:cs="Calibri"/>
        </w:rPr>
        <w:t>from 1 July 2023 until 17 December 2023, the values set out in Table 5</w:t>
      </w:r>
    </w:p>
    <w:p w14:paraId="1D73879C" w14:textId="77777777" w:rsidR="00525EEF" w:rsidRPr="005E4374" w:rsidRDefault="00525EEF" w:rsidP="00FC05C4">
      <w:pPr>
        <w:pStyle w:val="Instrumenttableofcontents"/>
        <w:numPr>
          <w:ilvl w:val="0"/>
          <w:numId w:val="24"/>
        </w:numPr>
        <w:ind w:left="1928" w:hanging="357"/>
        <w:rPr>
          <w:rFonts w:ascii="Calibri" w:hAnsi="Calibri" w:cs="Calibri"/>
        </w:rPr>
      </w:pPr>
      <w:r w:rsidRPr="005E4374">
        <w:rPr>
          <w:rFonts w:ascii="Calibri" w:hAnsi="Calibri" w:cs="Calibri"/>
        </w:rPr>
        <w:t>from 18 December 2023 until 17 December 2024, the values set out in Table 6</w:t>
      </w:r>
    </w:p>
    <w:p w14:paraId="74263639" w14:textId="77777777" w:rsidR="00525EEF" w:rsidRPr="005E4374" w:rsidRDefault="00525EEF" w:rsidP="00FC05C4">
      <w:pPr>
        <w:pStyle w:val="Instrumenttableofcontents"/>
        <w:numPr>
          <w:ilvl w:val="0"/>
          <w:numId w:val="24"/>
        </w:numPr>
        <w:ind w:left="1928" w:hanging="357"/>
        <w:rPr>
          <w:rFonts w:ascii="Calibri" w:hAnsi="Calibri" w:cs="Calibri"/>
        </w:rPr>
      </w:pPr>
      <w:r w:rsidRPr="005E4374">
        <w:rPr>
          <w:rFonts w:ascii="Calibri" w:hAnsi="Calibri" w:cs="Calibri"/>
        </w:rPr>
        <w:t>from 18 December 2024 until 17 December 2025, the values set out in Table 7</w:t>
      </w:r>
    </w:p>
    <w:p w14:paraId="78FB1EA4" w14:textId="5B7D9351" w:rsidR="00525EEF" w:rsidRPr="005E4374" w:rsidRDefault="00525EEF" w:rsidP="00FC05C4">
      <w:pPr>
        <w:pStyle w:val="Instrumenttableofcontents"/>
        <w:numPr>
          <w:ilvl w:val="0"/>
          <w:numId w:val="24"/>
        </w:numPr>
        <w:ind w:left="1928" w:hanging="357"/>
        <w:rPr>
          <w:rFonts w:ascii="Calibri" w:hAnsi="Calibri" w:cs="Calibri"/>
        </w:rPr>
      </w:pPr>
      <w:r w:rsidRPr="005E4374">
        <w:rPr>
          <w:rFonts w:ascii="Calibri" w:hAnsi="Calibri" w:cs="Calibri"/>
        </w:rPr>
        <w:t>from 18 December 2025, the value</w:t>
      </w:r>
      <w:r w:rsidR="00280AEA">
        <w:rPr>
          <w:rFonts w:ascii="Calibri" w:hAnsi="Calibri" w:cs="Calibri"/>
        </w:rPr>
        <w:t>s</w:t>
      </w:r>
      <w:r w:rsidRPr="005E4374">
        <w:rPr>
          <w:rFonts w:ascii="Calibri" w:hAnsi="Calibri" w:cs="Calibri"/>
        </w:rPr>
        <w:t xml:space="preserve"> set out in Table 8.</w:t>
      </w:r>
    </w:p>
    <w:p w14:paraId="4F69C59C" w14:textId="30BE9069" w:rsidR="00525EEF" w:rsidRPr="0064053F" w:rsidRDefault="00525EEF" w:rsidP="005B524A">
      <w:pPr>
        <w:pStyle w:val="Instrumenttableheading"/>
        <w:rPr>
          <w:rFonts w:ascii="Calibri" w:hAnsi="Calibri" w:cs="Calibri"/>
          <w:color w:val="auto"/>
        </w:rPr>
      </w:pPr>
      <w:r w:rsidRPr="0064053F">
        <w:rPr>
          <w:rFonts w:ascii="Calibri" w:hAnsi="Calibri" w:cs="Calibri"/>
          <w:color w:val="auto"/>
        </w:rPr>
        <w:lastRenderedPageBreak/>
        <w:t>Table 5: Value of the base allowance for Deputy Mayors, by Council allowance category, 1 July 2023 until 17 December 2023</w:t>
      </w:r>
    </w:p>
    <w:tbl>
      <w:tblPr>
        <w:tblStyle w:val="ListTable3-Accent21"/>
        <w:tblW w:w="5000" w:type="pct"/>
        <w:tblInd w:w="0" w:type="dxa"/>
        <w:tblLook w:val="04A0" w:firstRow="1" w:lastRow="0" w:firstColumn="1" w:lastColumn="0" w:noHBand="0" w:noVBand="1"/>
      </w:tblPr>
      <w:tblGrid>
        <w:gridCol w:w="3679"/>
        <w:gridCol w:w="4825"/>
      </w:tblGrid>
      <w:tr w:rsidR="00525EEF" w:rsidRPr="005E4374" w14:paraId="191E2179" w14:textId="77777777" w:rsidTr="00504E62">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3" w:type="pct"/>
            <w:tcBorders>
              <w:top w:val="single" w:sz="4" w:space="0" w:color="148A5D" w:themeColor="accent2"/>
              <w:bottom w:val="single" w:sz="4" w:space="0" w:color="148A5D"/>
            </w:tcBorders>
            <w:shd w:val="clear" w:color="auto" w:fill="auto"/>
          </w:tcPr>
          <w:p w14:paraId="27CED807" w14:textId="77777777" w:rsidR="00525EEF" w:rsidRPr="00504E62" w:rsidRDefault="00525EEF" w:rsidP="005B524A">
            <w:pPr>
              <w:pStyle w:val="Textinthetable"/>
              <w:rPr>
                <w:rFonts w:ascii="Calibri" w:hAnsi="Calibri" w:cs="Calibri"/>
                <w:b w:val="0"/>
                <w:bCs w:val="0"/>
                <w:color w:val="auto"/>
              </w:rPr>
            </w:pPr>
            <w:r w:rsidRPr="00504E62">
              <w:rPr>
                <w:rFonts w:ascii="Calibri" w:hAnsi="Calibri" w:cs="Calibri"/>
                <w:color w:val="auto"/>
              </w:rPr>
              <w:t>Council allowance category</w:t>
            </w:r>
          </w:p>
        </w:tc>
        <w:tc>
          <w:tcPr>
            <w:tcW w:w="2837" w:type="pct"/>
            <w:tcBorders>
              <w:top w:val="single" w:sz="4" w:space="0" w:color="148A5D" w:themeColor="accent2"/>
              <w:bottom w:val="single" w:sz="4" w:space="0" w:color="148A5D"/>
            </w:tcBorders>
            <w:shd w:val="clear" w:color="auto" w:fill="auto"/>
          </w:tcPr>
          <w:p w14:paraId="45423CAA" w14:textId="77777777" w:rsidR="00525EEF" w:rsidRPr="00504E62" w:rsidRDefault="00525EEF" w:rsidP="005B524A">
            <w:pPr>
              <w:pStyle w:val="Textinthetable"/>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rPr>
            </w:pPr>
            <w:r w:rsidRPr="00504E62">
              <w:rPr>
                <w:rFonts w:ascii="Calibri" w:hAnsi="Calibri" w:cs="Calibri"/>
                <w:color w:val="auto"/>
              </w:rPr>
              <w:t>Value of allowance ($ per annum)</w:t>
            </w:r>
          </w:p>
        </w:tc>
      </w:tr>
      <w:tr w:rsidR="002F17F8" w:rsidRPr="005E4374" w14:paraId="660236A8" w14:textId="77777777" w:rsidTr="00504E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33F6DF06" w14:textId="77777777" w:rsidR="002F17F8" w:rsidRPr="005E4374" w:rsidRDefault="002F17F8" w:rsidP="002F17F8">
            <w:pPr>
              <w:pStyle w:val="Textinthetable"/>
              <w:rPr>
                <w:rFonts w:ascii="Calibri" w:hAnsi="Calibri" w:cs="Calibri"/>
                <w:b/>
                <w:color w:val="000000" w:themeColor="text1"/>
              </w:rPr>
            </w:pPr>
            <w:bookmarkStart w:id="11" w:name="_Hlk137562893"/>
            <w:r w:rsidRPr="005E4374">
              <w:rPr>
                <w:rFonts w:ascii="Calibri" w:hAnsi="Calibri" w:cs="Calibri"/>
                <w:color w:val="000000" w:themeColor="text1"/>
              </w:rPr>
              <w:t>Category 1</w:t>
            </w:r>
          </w:p>
        </w:tc>
        <w:tc>
          <w:tcPr>
            <w:tcW w:w="2837" w:type="pct"/>
            <w:vAlign w:val="center"/>
          </w:tcPr>
          <w:p w14:paraId="20D6A846" w14:textId="134B5220" w:rsidR="002F17F8" w:rsidRPr="005E4374" w:rsidRDefault="002F17F8" w:rsidP="002F17F8">
            <w:pPr>
              <w:pStyle w:val="Textinthetable"/>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themeColor="text1"/>
              </w:rPr>
            </w:pPr>
            <w:r w:rsidRPr="005E4374">
              <w:rPr>
                <w:rFonts w:ascii="Calibri" w:hAnsi="Calibri" w:cs="Calibri"/>
                <w:bCs/>
                <w:color w:val="000000" w:themeColor="text1"/>
              </w:rPr>
              <w:t xml:space="preserve">                            39,746 </w:t>
            </w:r>
          </w:p>
        </w:tc>
      </w:tr>
      <w:tr w:rsidR="002F17F8" w:rsidRPr="005E4374" w14:paraId="74F4321F" w14:textId="77777777">
        <w:trPr>
          <w:cantSplit/>
        </w:trPr>
        <w:tc>
          <w:tcPr>
            <w:cnfStyle w:val="001000000000" w:firstRow="0" w:lastRow="0" w:firstColumn="1" w:lastColumn="0" w:oddVBand="0" w:evenVBand="0" w:oddHBand="0" w:evenHBand="0" w:firstRowFirstColumn="0" w:firstRowLastColumn="0" w:lastRowFirstColumn="0" w:lastRowLastColumn="0"/>
            <w:tcW w:w="2163" w:type="pct"/>
          </w:tcPr>
          <w:p w14:paraId="7DF7B1D4" w14:textId="77777777" w:rsidR="002F17F8" w:rsidRPr="005E4374" w:rsidRDefault="002F17F8" w:rsidP="002F17F8">
            <w:pPr>
              <w:pStyle w:val="Textinthetable"/>
              <w:rPr>
                <w:rFonts w:ascii="Calibri" w:hAnsi="Calibri" w:cs="Calibri"/>
                <w:b/>
                <w:color w:val="000000" w:themeColor="text1"/>
              </w:rPr>
            </w:pPr>
            <w:r w:rsidRPr="005E4374">
              <w:rPr>
                <w:rFonts w:ascii="Calibri" w:hAnsi="Calibri" w:cs="Calibri"/>
                <w:color w:val="000000" w:themeColor="text1"/>
              </w:rPr>
              <w:t>Category 2</w:t>
            </w:r>
          </w:p>
        </w:tc>
        <w:tc>
          <w:tcPr>
            <w:tcW w:w="2837" w:type="pct"/>
            <w:vAlign w:val="center"/>
          </w:tcPr>
          <w:p w14:paraId="226E1A50" w14:textId="77B14A99" w:rsidR="002F17F8" w:rsidRPr="005E4374" w:rsidRDefault="002F17F8" w:rsidP="002F17F8">
            <w:pPr>
              <w:pStyle w:val="Textinthetable"/>
              <w:jc w:val="right"/>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themeColor="text1"/>
              </w:rPr>
            </w:pPr>
            <w:r w:rsidRPr="005E4374">
              <w:rPr>
                <w:rFonts w:ascii="Calibri" w:hAnsi="Calibri" w:cs="Calibri"/>
                <w:bCs/>
                <w:color w:val="000000" w:themeColor="text1"/>
              </w:rPr>
              <w:t xml:space="preserve">                            51,325 </w:t>
            </w:r>
          </w:p>
        </w:tc>
      </w:tr>
      <w:tr w:rsidR="002F17F8" w:rsidRPr="005E4374" w14:paraId="77B2A236"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5733BEE7" w14:textId="77777777" w:rsidR="002F17F8" w:rsidRPr="005E4374" w:rsidRDefault="002F17F8" w:rsidP="002F17F8">
            <w:pPr>
              <w:pStyle w:val="Textinthetable"/>
              <w:rPr>
                <w:rFonts w:ascii="Calibri" w:hAnsi="Calibri" w:cs="Calibri"/>
                <w:b/>
                <w:color w:val="000000" w:themeColor="text1"/>
              </w:rPr>
            </w:pPr>
            <w:r w:rsidRPr="005E4374">
              <w:rPr>
                <w:rFonts w:ascii="Calibri" w:hAnsi="Calibri" w:cs="Calibri"/>
                <w:color w:val="000000" w:themeColor="text1"/>
              </w:rPr>
              <w:t>Category 3</w:t>
            </w:r>
          </w:p>
        </w:tc>
        <w:tc>
          <w:tcPr>
            <w:tcW w:w="2837" w:type="pct"/>
            <w:vAlign w:val="center"/>
          </w:tcPr>
          <w:p w14:paraId="772F96A1" w14:textId="6057E279" w:rsidR="002F17F8" w:rsidRPr="005E4374" w:rsidRDefault="002F17F8" w:rsidP="002F17F8">
            <w:pPr>
              <w:pStyle w:val="Textinthetable"/>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themeColor="text1"/>
              </w:rPr>
            </w:pPr>
            <w:r w:rsidRPr="005E4374">
              <w:rPr>
                <w:rFonts w:ascii="Calibri" w:hAnsi="Calibri" w:cs="Calibri"/>
                <w:bCs/>
                <w:color w:val="000000" w:themeColor="text1"/>
              </w:rPr>
              <w:t xml:space="preserve">                            63,480 </w:t>
            </w:r>
          </w:p>
        </w:tc>
      </w:tr>
      <w:tr w:rsidR="002F17F8" w:rsidRPr="005E4374" w14:paraId="481A0A3D" w14:textId="77777777">
        <w:trPr>
          <w:cantSplit/>
        </w:trPr>
        <w:tc>
          <w:tcPr>
            <w:cnfStyle w:val="001000000000" w:firstRow="0" w:lastRow="0" w:firstColumn="1" w:lastColumn="0" w:oddVBand="0" w:evenVBand="0" w:oddHBand="0" w:evenHBand="0" w:firstRowFirstColumn="0" w:firstRowLastColumn="0" w:lastRowFirstColumn="0" w:lastRowLastColumn="0"/>
            <w:tcW w:w="2163" w:type="pct"/>
          </w:tcPr>
          <w:p w14:paraId="1B05D80C" w14:textId="77777777" w:rsidR="002F17F8" w:rsidRPr="005E4374" w:rsidRDefault="002F17F8" w:rsidP="002F17F8">
            <w:pPr>
              <w:pStyle w:val="Textinthetable"/>
              <w:keepNext w:val="0"/>
              <w:rPr>
                <w:rFonts w:ascii="Calibri" w:hAnsi="Calibri" w:cs="Calibri"/>
                <w:b/>
                <w:color w:val="000000" w:themeColor="text1"/>
              </w:rPr>
            </w:pPr>
            <w:r w:rsidRPr="005E4374">
              <w:rPr>
                <w:rFonts w:ascii="Calibri" w:hAnsi="Calibri" w:cs="Calibri"/>
                <w:color w:val="000000" w:themeColor="text1"/>
              </w:rPr>
              <w:t>Category 4 – Melbourne City Council</w:t>
            </w:r>
          </w:p>
        </w:tc>
        <w:tc>
          <w:tcPr>
            <w:tcW w:w="2837" w:type="pct"/>
            <w:vAlign w:val="center"/>
          </w:tcPr>
          <w:p w14:paraId="4A3E0386" w14:textId="3415DE72" w:rsidR="002F17F8" w:rsidRPr="005E4374" w:rsidRDefault="002F17F8" w:rsidP="008D57EA">
            <w:pPr>
              <w:pStyle w:val="Textinthetable"/>
              <w:jc w:val="right"/>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themeColor="text1"/>
              </w:rPr>
            </w:pPr>
            <w:r w:rsidRPr="005E4374">
              <w:rPr>
                <w:rFonts w:ascii="Calibri" w:hAnsi="Calibri" w:cs="Calibri"/>
                <w:bCs/>
                <w:color w:val="000000" w:themeColor="text1"/>
              </w:rPr>
              <w:t xml:space="preserve">                         126,959 </w:t>
            </w:r>
          </w:p>
        </w:tc>
      </w:tr>
    </w:tbl>
    <w:bookmarkEnd w:id="11"/>
    <w:p w14:paraId="2A07A8D8" w14:textId="175FD4B5" w:rsidR="00525EEF" w:rsidRPr="0064053F" w:rsidRDefault="00525EEF" w:rsidP="0064053F">
      <w:pPr>
        <w:pStyle w:val="Instrumenttableheading"/>
        <w:rPr>
          <w:rFonts w:ascii="Calibri" w:hAnsi="Calibri" w:cs="Calibri"/>
          <w:color w:val="auto"/>
        </w:rPr>
      </w:pPr>
      <w:r w:rsidRPr="0064053F">
        <w:rPr>
          <w:rFonts w:ascii="Calibri" w:hAnsi="Calibri" w:cs="Calibri"/>
          <w:color w:val="auto"/>
        </w:rPr>
        <w:t>Table 6: Value of the base allowance for Deputy Mayors, by Council allowance category,</w:t>
      </w:r>
      <w:r w:rsidR="00801083" w:rsidRPr="0064053F">
        <w:rPr>
          <w:rFonts w:ascii="Calibri" w:hAnsi="Calibri" w:cs="Calibri"/>
          <w:color w:val="auto"/>
        </w:rPr>
        <w:t xml:space="preserve"> </w:t>
      </w:r>
      <w:r w:rsidRPr="0064053F">
        <w:rPr>
          <w:rFonts w:ascii="Calibri" w:hAnsi="Calibri" w:cs="Calibri"/>
          <w:color w:val="auto"/>
        </w:rPr>
        <w:t>18 December 2023 until 17 December 2024</w:t>
      </w:r>
    </w:p>
    <w:tbl>
      <w:tblPr>
        <w:tblStyle w:val="ListTable3-Accent21"/>
        <w:tblW w:w="5000" w:type="pct"/>
        <w:tblInd w:w="0" w:type="dxa"/>
        <w:tblLook w:val="04A0" w:firstRow="1" w:lastRow="0" w:firstColumn="1" w:lastColumn="0" w:noHBand="0" w:noVBand="1"/>
      </w:tblPr>
      <w:tblGrid>
        <w:gridCol w:w="3679"/>
        <w:gridCol w:w="4825"/>
      </w:tblGrid>
      <w:tr w:rsidR="00504E62" w:rsidRPr="00504E62" w14:paraId="02805388" w14:textId="77777777" w:rsidTr="00504E62">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3" w:type="pct"/>
            <w:tcBorders>
              <w:top w:val="single" w:sz="4" w:space="0" w:color="148A5D" w:themeColor="accent2"/>
              <w:bottom w:val="single" w:sz="4" w:space="0" w:color="148A5D"/>
            </w:tcBorders>
            <w:shd w:val="clear" w:color="auto" w:fill="auto"/>
          </w:tcPr>
          <w:p w14:paraId="02E5226A" w14:textId="77777777" w:rsidR="00525EEF" w:rsidRPr="00504E62" w:rsidRDefault="00525EEF">
            <w:pPr>
              <w:pStyle w:val="Textinthetable"/>
              <w:keepNext w:val="0"/>
              <w:rPr>
                <w:rFonts w:ascii="Calibri" w:hAnsi="Calibri" w:cs="Calibri"/>
                <w:b w:val="0"/>
                <w:bCs w:val="0"/>
                <w:color w:val="auto"/>
              </w:rPr>
            </w:pPr>
            <w:r w:rsidRPr="00504E62">
              <w:rPr>
                <w:rFonts w:ascii="Calibri" w:hAnsi="Calibri" w:cs="Calibri"/>
                <w:color w:val="auto"/>
              </w:rPr>
              <w:t>Council allowance category</w:t>
            </w:r>
          </w:p>
        </w:tc>
        <w:tc>
          <w:tcPr>
            <w:tcW w:w="2837" w:type="pct"/>
            <w:tcBorders>
              <w:top w:val="single" w:sz="4" w:space="0" w:color="148A5D" w:themeColor="accent2"/>
              <w:bottom w:val="single" w:sz="4" w:space="0" w:color="148A5D"/>
            </w:tcBorders>
            <w:shd w:val="clear" w:color="auto" w:fill="auto"/>
          </w:tcPr>
          <w:p w14:paraId="2B65FBF9" w14:textId="77777777" w:rsidR="00525EEF" w:rsidRPr="00504E62" w:rsidRDefault="00525EEF">
            <w:pPr>
              <w:pStyle w:val="Textinthetable"/>
              <w:keepNext w:val="0"/>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rPr>
            </w:pPr>
            <w:r w:rsidRPr="00504E62">
              <w:rPr>
                <w:rFonts w:ascii="Calibri" w:hAnsi="Calibri" w:cs="Calibri"/>
                <w:color w:val="auto"/>
              </w:rPr>
              <w:t>Value of allowance ($ per annum)</w:t>
            </w:r>
          </w:p>
        </w:tc>
      </w:tr>
      <w:tr w:rsidR="0052032E" w:rsidRPr="000C020B" w14:paraId="12934DE9" w14:textId="77777777" w:rsidTr="00504E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10114B3F" w14:textId="77777777" w:rsidR="0052032E" w:rsidRPr="005E4374" w:rsidRDefault="0052032E" w:rsidP="0052032E">
            <w:pPr>
              <w:pStyle w:val="Textinthetable"/>
              <w:keepNext w:val="0"/>
              <w:rPr>
                <w:rFonts w:ascii="Calibri" w:hAnsi="Calibri" w:cs="Calibri"/>
                <w:b/>
                <w:color w:val="000000" w:themeColor="text1"/>
              </w:rPr>
            </w:pPr>
            <w:r w:rsidRPr="005E4374">
              <w:rPr>
                <w:rFonts w:ascii="Calibri" w:hAnsi="Calibri" w:cs="Calibri"/>
                <w:color w:val="000000" w:themeColor="text1"/>
              </w:rPr>
              <w:t>Category 1</w:t>
            </w:r>
          </w:p>
        </w:tc>
        <w:tc>
          <w:tcPr>
            <w:tcW w:w="2837" w:type="pct"/>
            <w:vAlign w:val="center"/>
          </w:tcPr>
          <w:p w14:paraId="02806445" w14:textId="3A0FC9EA" w:rsidR="0052032E" w:rsidRPr="005E4374" w:rsidRDefault="0052032E" w:rsidP="008D57EA">
            <w:pPr>
              <w:pStyle w:val="Textinthetable"/>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themeColor="text1"/>
              </w:rPr>
            </w:pPr>
            <w:r w:rsidRPr="005E4374">
              <w:rPr>
                <w:rFonts w:ascii="Calibri" w:hAnsi="Calibri" w:cs="Calibri"/>
                <w:bCs/>
                <w:color w:val="000000" w:themeColor="text1"/>
              </w:rPr>
              <w:t xml:space="preserve">                            40,819 </w:t>
            </w:r>
          </w:p>
        </w:tc>
      </w:tr>
      <w:tr w:rsidR="0052032E" w:rsidRPr="000C020B" w14:paraId="6CC09798" w14:textId="77777777">
        <w:trPr>
          <w:cantSplit/>
        </w:trPr>
        <w:tc>
          <w:tcPr>
            <w:cnfStyle w:val="001000000000" w:firstRow="0" w:lastRow="0" w:firstColumn="1" w:lastColumn="0" w:oddVBand="0" w:evenVBand="0" w:oddHBand="0" w:evenHBand="0" w:firstRowFirstColumn="0" w:firstRowLastColumn="0" w:lastRowFirstColumn="0" w:lastRowLastColumn="0"/>
            <w:tcW w:w="2163" w:type="pct"/>
          </w:tcPr>
          <w:p w14:paraId="3820A8E2" w14:textId="77777777" w:rsidR="0052032E" w:rsidRPr="005E4374" w:rsidRDefault="0052032E" w:rsidP="0052032E">
            <w:pPr>
              <w:pStyle w:val="Textinthetable"/>
              <w:keepNext w:val="0"/>
              <w:rPr>
                <w:rFonts w:ascii="Calibri" w:hAnsi="Calibri" w:cs="Calibri"/>
                <w:b/>
                <w:color w:val="000000" w:themeColor="text1"/>
              </w:rPr>
            </w:pPr>
            <w:r w:rsidRPr="005E4374">
              <w:rPr>
                <w:rFonts w:ascii="Calibri" w:hAnsi="Calibri" w:cs="Calibri"/>
                <w:color w:val="000000" w:themeColor="text1"/>
              </w:rPr>
              <w:t>Category 2</w:t>
            </w:r>
          </w:p>
        </w:tc>
        <w:tc>
          <w:tcPr>
            <w:tcW w:w="2837" w:type="pct"/>
            <w:vAlign w:val="center"/>
          </w:tcPr>
          <w:p w14:paraId="57FBAA49" w14:textId="4ED015D9" w:rsidR="0052032E" w:rsidRPr="005E4374" w:rsidRDefault="0052032E" w:rsidP="008D57EA">
            <w:pPr>
              <w:pStyle w:val="Textinthetable"/>
              <w:jc w:val="right"/>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themeColor="text1"/>
              </w:rPr>
            </w:pPr>
            <w:r w:rsidRPr="005E4374">
              <w:rPr>
                <w:rFonts w:ascii="Calibri" w:hAnsi="Calibri" w:cs="Calibri"/>
                <w:bCs/>
                <w:color w:val="000000" w:themeColor="text1"/>
              </w:rPr>
              <w:t xml:space="preserve">                            52,713 </w:t>
            </w:r>
          </w:p>
        </w:tc>
      </w:tr>
      <w:tr w:rsidR="0052032E" w:rsidRPr="000C020B" w14:paraId="5222D7D0"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3384A3B2" w14:textId="77777777" w:rsidR="0052032E" w:rsidRPr="005E4374" w:rsidRDefault="0052032E" w:rsidP="0052032E">
            <w:pPr>
              <w:pStyle w:val="Textinthetable"/>
              <w:keepNext w:val="0"/>
              <w:rPr>
                <w:rFonts w:ascii="Calibri" w:hAnsi="Calibri" w:cs="Calibri"/>
                <w:b/>
                <w:color w:val="000000" w:themeColor="text1"/>
              </w:rPr>
            </w:pPr>
            <w:r w:rsidRPr="005E4374">
              <w:rPr>
                <w:rFonts w:ascii="Calibri" w:hAnsi="Calibri" w:cs="Calibri"/>
                <w:color w:val="000000" w:themeColor="text1"/>
              </w:rPr>
              <w:t>Category 3</w:t>
            </w:r>
          </w:p>
        </w:tc>
        <w:tc>
          <w:tcPr>
            <w:tcW w:w="2837" w:type="pct"/>
            <w:vAlign w:val="center"/>
          </w:tcPr>
          <w:p w14:paraId="0288B8B6" w14:textId="608311A8" w:rsidR="0052032E" w:rsidRPr="005E4374" w:rsidRDefault="0052032E" w:rsidP="008D57EA">
            <w:pPr>
              <w:pStyle w:val="Textinthetable"/>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themeColor="text1"/>
              </w:rPr>
            </w:pPr>
            <w:r w:rsidRPr="005E4374">
              <w:rPr>
                <w:rFonts w:ascii="Calibri" w:hAnsi="Calibri" w:cs="Calibri"/>
                <w:bCs/>
                <w:color w:val="000000" w:themeColor="text1"/>
              </w:rPr>
              <w:t xml:space="preserve">                            65,195 </w:t>
            </w:r>
          </w:p>
        </w:tc>
      </w:tr>
      <w:tr w:rsidR="0052032E" w:rsidRPr="000C020B" w14:paraId="1A128CB3" w14:textId="77777777">
        <w:trPr>
          <w:cantSplit/>
        </w:trPr>
        <w:tc>
          <w:tcPr>
            <w:cnfStyle w:val="001000000000" w:firstRow="0" w:lastRow="0" w:firstColumn="1" w:lastColumn="0" w:oddVBand="0" w:evenVBand="0" w:oddHBand="0" w:evenHBand="0" w:firstRowFirstColumn="0" w:firstRowLastColumn="0" w:lastRowFirstColumn="0" w:lastRowLastColumn="0"/>
            <w:tcW w:w="2163" w:type="pct"/>
          </w:tcPr>
          <w:p w14:paraId="1DBE1B29" w14:textId="77777777" w:rsidR="0052032E" w:rsidRPr="005E4374" w:rsidRDefault="0052032E" w:rsidP="0052032E">
            <w:pPr>
              <w:pStyle w:val="Textinthetable"/>
              <w:keepNext w:val="0"/>
              <w:rPr>
                <w:rFonts w:ascii="Calibri" w:hAnsi="Calibri" w:cs="Calibri"/>
                <w:b/>
                <w:color w:val="000000" w:themeColor="text1"/>
              </w:rPr>
            </w:pPr>
            <w:r w:rsidRPr="005E4374">
              <w:rPr>
                <w:rFonts w:ascii="Calibri" w:hAnsi="Calibri" w:cs="Calibri"/>
                <w:color w:val="000000" w:themeColor="text1"/>
              </w:rPr>
              <w:t>Category 4 – Melbourne City Council</w:t>
            </w:r>
          </w:p>
        </w:tc>
        <w:tc>
          <w:tcPr>
            <w:tcW w:w="2837" w:type="pct"/>
            <w:vAlign w:val="center"/>
          </w:tcPr>
          <w:p w14:paraId="2124C126" w14:textId="5A4016AD" w:rsidR="0052032E" w:rsidRPr="005E4374" w:rsidRDefault="0052032E" w:rsidP="008D57EA">
            <w:pPr>
              <w:pStyle w:val="Textinthetable"/>
              <w:jc w:val="right"/>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themeColor="text1"/>
              </w:rPr>
            </w:pPr>
            <w:r w:rsidRPr="005E4374">
              <w:rPr>
                <w:rFonts w:ascii="Calibri" w:hAnsi="Calibri" w:cs="Calibri"/>
                <w:bCs/>
                <w:color w:val="000000" w:themeColor="text1"/>
              </w:rPr>
              <w:t xml:space="preserve">                         130,391 </w:t>
            </w:r>
          </w:p>
        </w:tc>
      </w:tr>
    </w:tbl>
    <w:p w14:paraId="747F7E34" w14:textId="27BD82D0" w:rsidR="00525EEF" w:rsidRPr="0064053F" w:rsidRDefault="00525EEF" w:rsidP="0064053F">
      <w:pPr>
        <w:pStyle w:val="Instrumenttableheading"/>
        <w:rPr>
          <w:rFonts w:ascii="Calibri" w:hAnsi="Calibri" w:cs="Calibri"/>
          <w:color w:val="auto"/>
        </w:rPr>
      </w:pPr>
      <w:r w:rsidRPr="0064053F">
        <w:rPr>
          <w:rFonts w:ascii="Calibri" w:hAnsi="Calibri" w:cs="Calibri"/>
          <w:color w:val="auto"/>
        </w:rPr>
        <w:t>Table 7: Value of the base allowance for Deputy Mayors, by Council allowance category,</w:t>
      </w:r>
      <w:r w:rsidR="00801083" w:rsidRPr="0064053F">
        <w:rPr>
          <w:rFonts w:ascii="Calibri" w:hAnsi="Calibri" w:cs="Calibri"/>
          <w:color w:val="auto"/>
        </w:rPr>
        <w:t xml:space="preserve"> </w:t>
      </w:r>
      <w:r w:rsidRPr="0064053F">
        <w:rPr>
          <w:rFonts w:ascii="Calibri" w:hAnsi="Calibri" w:cs="Calibri"/>
          <w:color w:val="auto"/>
        </w:rPr>
        <w:t>18 December 2024 until 17 December 2025</w:t>
      </w:r>
    </w:p>
    <w:tbl>
      <w:tblPr>
        <w:tblStyle w:val="ListTable3-Accent21"/>
        <w:tblW w:w="5000" w:type="pct"/>
        <w:tblInd w:w="0" w:type="dxa"/>
        <w:tblLook w:val="04A0" w:firstRow="1" w:lastRow="0" w:firstColumn="1" w:lastColumn="0" w:noHBand="0" w:noVBand="1"/>
      </w:tblPr>
      <w:tblGrid>
        <w:gridCol w:w="3679"/>
        <w:gridCol w:w="4825"/>
      </w:tblGrid>
      <w:tr w:rsidR="00525EEF" w:rsidRPr="00801083" w14:paraId="3CA4A587" w14:textId="77777777" w:rsidTr="00504E62">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3" w:type="pct"/>
            <w:tcBorders>
              <w:top w:val="single" w:sz="4" w:space="0" w:color="148A5D" w:themeColor="accent2"/>
              <w:bottom w:val="single" w:sz="4" w:space="0" w:color="148A5D"/>
            </w:tcBorders>
            <w:shd w:val="clear" w:color="auto" w:fill="auto"/>
          </w:tcPr>
          <w:p w14:paraId="5A199331" w14:textId="77777777" w:rsidR="00525EEF" w:rsidRPr="00504E62" w:rsidRDefault="00525EEF">
            <w:pPr>
              <w:pStyle w:val="Textinthetable"/>
              <w:keepNext w:val="0"/>
              <w:rPr>
                <w:rFonts w:ascii="Calibri" w:hAnsi="Calibri" w:cs="Calibri"/>
                <w:b w:val="0"/>
                <w:bCs w:val="0"/>
                <w:color w:val="auto"/>
              </w:rPr>
            </w:pPr>
            <w:r w:rsidRPr="00504E62">
              <w:rPr>
                <w:rFonts w:ascii="Calibri" w:hAnsi="Calibri" w:cs="Calibri"/>
                <w:color w:val="auto"/>
              </w:rPr>
              <w:t>Council allowance category</w:t>
            </w:r>
          </w:p>
        </w:tc>
        <w:tc>
          <w:tcPr>
            <w:tcW w:w="2837" w:type="pct"/>
            <w:tcBorders>
              <w:top w:val="single" w:sz="4" w:space="0" w:color="148A5D" w:themeColor="accent2"/>
              <w:bottom w:val="single" w:sz="4" w:space="0" w:color="148A5D"/>
            </w:tcBorders>
            <w:shd w:val="clear" w:color="auto" w:fill="auto"/>
          </w:tcPr>
          <w:p w14:paraId="223093D9" w14:textId="77777777" w:rsidR="00525EEF" w:rsidRPr="00504E62" w:rsidRDefault="00525EEF">
            <w:pPr>
              <w:pStyle w:val="Textinthetable"/>
              <w:keepNext w:val="0"/>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rPr>
            </w:pPr>
            <w:r w:rsidRPr="00504E62">
              <w:rPr>
                <w:rFonts w:ascii="Calibri" w:hAnsi="Calibri" w:cs="Calibri"/>
                <w:color w:val="auto"/>
              </w:rPr>
              <w:t>Value of allowance ($ per annum)</w:t>
            </w:r>
          </w:p>
        </w:tc>
      </w:tr>
      <w:tr w:rsidR="0052032E" w:rsidRPr="00801083" w14:paraId="35B510F9" w14:textId="77777777" w:rsidTr="00504E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136F00A4" w14:textId="77777777" w:rsidR="0052032E" w:rsidRPr="00801083" w:rsidRDefault="0052032E" w:rsidP="0052032E">
            <w:pPr>
              <w:pStyle w:val="Textinthetable"/>
              <w:keepNext w:val="0"/>
              <w:rPr>
                <w:rFonts w:ascii="Calibri" w:hAnsi="Calibri" w:cs="Calibri"/>
                <w:b/>
                <w:color w:val="000000" w:themeColor="text1"/>
              </w:rPr>
            </w:pPr>
            <w:r w:rsidRPr="00801083">
              <w:rPr>
                <w:rFonts w:ascii="Calibri" w:hAnsi="Calibri" w:cs="Calibri"/>
                <w:color w:val="000000" w:themeColor="text1"/>
              </w:rPr>
              <w:t>Category 1</w:t>
            </w:r>
          </w:p>
        </w:tc>
        <w:tc>
          <w:tcPr>
            <w:tcW w:w="2837" w:type="pct"/>
            <w:vAlign w:val="center"/>
          </w:tcPr>
          <w:p w14:paraId="247849D4" w14:textId="00A2707D" w:rsidR="0052032E" w:rsidRPr="00801083" w:rsidRDefault="0052032E" w:rsidP="008D57EA">
            <w:pPr>
              <w:pStyle w:val="Textinthetable"/>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themeColor="text1"/>
              </w:rPr>
            </w:pPr>
            <w:r w:rsidRPr="00801083">
              <w:rPr>
                <w:rFonts w:ascii="Calibri" w:hAnsi="Calibri" w:cs="Calibri"/>
                <w:bCs/>
                <w:color w:val="000000" w:themeColor="text1"/>
              </w:rPr>
              <w:t xml:space="preserve">                            41,894 </w:t>
            </w:r>
          </w:p>
        </w:tc>
      </w:tr>
      <w:tr w:rsidR="0052032E" w:rsidRPr="00801083" w14:paraId="791C13DA" w14:textId="77777777" w:rsidTr="00B741C2">
        <w:trPr>
          <w:cantSplit/>
        </w:trPr>
        <w:tc>
          <w:tcPr>
            <w:cnfStyle w:val="001000000000" w:firstRow="0" w:lastRow="0" w:firstColumn="1" w:lastColumn="0" w:oddVBand="0" w:evenVBand="0" w:oddHBand="0" w:evenHBand="0" w:firstRowFirstColumn="0" w:firstRowLastColumn="0" w:lastRowFirstColumn="0" w:lastRowLastColumn="0"/>
            <w:tcW w:w="2163" w:type="pct"/>
          </w:tcPr>
          <w:p w14:paraId="7E58FAD1" w14:textId="77777777" w:rsidR="0052032E" w:rsidRPr="00801083" w:rsidRDefault="0052032E" w:rsidP="0052032E">
            <w:pPr>
              <w:pStyle w:val="Textinthetable"/>
              <w:keepNext w:val="0"/>
              <w:rPr>
                <w:rFonts w:ascii="Calibri" w:hAnsi="Calibri" w:cs="Calibri"/>
                <w:b/>
                <w:color w:val="000000" w:themeColor="text1"/>
              </w:rPr>
            </w:pPr>
            <w:r w:rsidRPr="00801083">
              <w:rPr>
                <w:rFonts w:ascii="Calibri" w:hAnsi="Calibri" w:cs="Calibri"/>
                <w:color w:val="000000" w:themeColor="text1"/>
              </w:rPr>
              <w:t>Category 2</w:t>
            </w:r>
          </w:p>
        </w:tc>
        <w:tc>
          <w:tcPr>
            <w:tcW w:w="2837" w:type="pct"/>
            <w:vAlign w:val="center"/>
          </w:tcPr>
          <w:p w14:paraId="369B2660" w14:textId="1C783885" w:rsidR="0052032E" w:rsidRPr="00801083" w:rsidRDefault="0052032E" w:rsidP="008D57EA">
            <w:pPr>
              <w:pStyle w:val="Textinthetable"/>
              <w:jc w:val="right"/>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themeColor="text1"/>
              </w:rPr>
            </w:pPr>
            <w:r w:rsidRPr="00801083">
              <w:rPr>
                <w:rFonts w:ascii="Calibri" w:hAnsi="Calibri" w:cs="Calibri"/>
                <w:bCs/>
                <w:color w:val="000000" w:themeColor="text1"/>
              </w:rPr>
              <w:t xml:space="preserve">                            54,100 </w:t>
            </w:r>
          </w:p>
        </w:tc>
      </w:tr>
      <w:tr w:rsidR="0052032E" w:rsidRPr="00801083" w14:paraId="174BA1EA" w14:textId="77777777" w:rsidTr="00B741C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45329060" w14:textId="77777777" w:rsidR="0052032E" w:rsidRPr="00801083" w:rsidRDefault="0052032E" w:rsidP="0052032E">
            <w:pPr>
              <w:pStyle w:val="Textinthetable"/>
              <w:keepNext w:val="0"/>
              <w:rPr>
                <w:rFonts w:ascii="Calibri" w:hAnsi="Calibri" w:cs="Calibri"/>
                <w:b/>
                <w:color w:val="000000" w:themeColor="text1"/>
              </w:rPr>
            </w:pPr>
            <w:r w:rsidRPr="00801083">
              <w:rPr>
                <w:rFonts w:ascii="Calibri" w:hAnsi="Calibri" w:cs="Calibri"/>
                <w:color w:val="000000" w:themeColor="text1"/>
              </w:rPr>
              <w:t>Category 3</w:t>
            </w:r>
          </w:p>
        </w:tc>
        <w:tc>
          <w:tcPr>
            <w:tcW w:w="2837" w:type="pct"/>
            <w:vAlign w:val="center"/>
          </w:tcPr>
          <w:p w14:paraId="3FD98838" w14:textId="33459FCC" w:rsidR="0052032E" w:rsidRPr="00801083" w:rsidRDefault="0052032E" w:rsidP="008D57EA">
            <w:pPr>
              <w:pStyle w:val="Textinthetable"/>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themeColor="text1"/>
              </w:rPr>
            </w:pPr>
            <w:r w:rsidRPr="00801083">
              <w:rPr>
                <w:rFonts w:ascii="Calibri" w:hAnsi="Calibri" w:cs="Calibri"/>
                <w:bCs/>
                <w:color w:val="000000" w:themeColor="text1"/>
              </w:rPr>
              <w:t xml:space="preserve">                            66,910 </w:t>
            </w:r>
          </w:p>
        </w:tc>
      </w:tr>
      <w:tr w:rsidR="0052032E" w:rsidRPr="00801083" w14:paraId="553B56F6" w14:textId="77777777" w:rsidTr="00B741C2">
        <w:trPr>
          <w:cantSplit/>
        </w:trPr>
        <w:tc>
          <w:tcPr>
            <w:cnfStyle w:val="001000000000" w:firstRow="0" w:lastRow="0" w:firstColumn="1" w:lastColumn="0" w:oddVBand="0" w:evenVBand="0" w:oddHBand="0" w:evenHBand="0" w:firstRowFirstColumn="0" w:firstRowLastColumn="0" w:lastRowFirstColumn="0" w:lastRowLastColumn="0"/>
            <w:tcW w:w="2163" w:type="pct"/>
          </w:tcPr>
          <w:p w14:paraId="4B8F521E" w14:textId="77777777" w:rsidR="0052032E" w:rsidRPr="00801083" w:rsidRDefault="0052032E" w:rsidP="0052032E">
            <w:pPr>
              <w:pStyle w:val="Textinthetable"/>
              <w:keepNext w:val="0"/>
              <w:rPr>
                <w:rFonts w:ascii="Calibri" w:hAnsi="Calibri" w:cs="Calibri"/>
                <w:b/>
                <w:color w:val="000000" w:themeColor="text1"/>
              </w:rPr>
            </w:pPr>
            <w:r w:rsidRPr="00801083">
              <w:rPr>
                <w:rFonts w:ascii="Calibri" w:hAnsi="Calibri" w:cs="Calibri"/>
                <w:color w:val="000000" w:themeColor="text1"/>
              </w:rPr>
              <w:t>Category 4 – Melbourne City Council</w:t>
            </w:r>
          </w:p>
        </w:tc>
        <w:tc>
          <w:tcPr>
            <w:tcW w:w="2837" w:type="pct"/>
            <w:vAlign w:val="center"/>
          </w:tcPr>
          <w:p w14:paraId="544E2702" w14:textId="3222D1C4" w:rsidR="0052032E" w:rsidRPr="00801083" w:rsidRDefault="0052032E" w:rsidP="008D57EA">
            <w:pPr>
              <w:pStyle w:val="Textinthetable"/>
              <w:jc w:val="right"/>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themeColor="text1"/>
              </w:rPr>
            </w:pPr>
            <w:r w:rsidRPr="00801083">
              <w:rPr>
                <w:rFonts w:ascii="Calibri" w:hAnsi="Calibri" w:cs="Calibri"/>
                <w:bCs/>
                <w:color w:val="000000" w:themeColor="text1"/>
              </w:rPr>
              <w:t xml:space="preserve">                         133,823 </w:t>
            </w:r>
          </w:p>
        </w:tc>
      </w:tr>
    </w:tbl>
    <w:p w14:paraId="6083F009" w14:textId="77777777" w:rsidR="00525EEF" w:rsidRPr="0064053F" w:rsidRDefault="00525EEF" w:rsidP="0064053F">
      <w:pPr>
        <w:pStyle w:val="Instrumenttableheading"/>
        <w:rPr>
          <w:rFonts w:ascii="Calibri" w:hAnsi="Calibri" w:cs="Calibri"/>
          <w:color w:val="auto"/>
        </w:rPr>
      </w:pPr>
      <w:r w:rsidRPr="0064053F">
        <w:rPr>
          <w:rFonts w:ascii="Calibri" w:hAnsi="Calibri" w:cs="Calibri"/>
          <w:color w:val="auto"/>
        </w:rPr>
        <w:t>Table 8: Value of the base allowance for Deputy Mayors, by Council allowance category, from 18 December 2025</w:t>
      </w:r>
    </w:p>
    <w:tbl>
      <w:tblPr>
        <w:tblStyle w:val="ListTable3-Accent21"/>
        <w:tblW w:w="5000" w:type="pct"/>
        <w:tblInd w:w="0" w:type="dxa"/>
        <w:tblLook w:val="04A0" w:firstRow="1" w:lastRow="0" w:firstColumn="1" w:lastColumn="0" w:noHBand="0" w:noVBand="1"/>
      </w:tblPr>
      <w:tblGrid>
        <w:gridCol w:w="3679"/>
        <w:gridCol w:w="4825"/>
      </w:tblGrid>
      <w:tr w:rsidR="00504E62" w:rsidRPr="00504E62" w14:paraId="036FCFA6" w14:textId="77777777" w:rsidTr="00504E62">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3" w:type="pct"/>
            <w:tcBorders>
              <w:top w:val="single" w:sz="4" w:space="0" w:color="148A5D" w:themeColor="accent2"/>
              <w:bottom w:val="single" w:sz="4" w:space="0" w:color="148A5D"/>
            </w:tcBorders>
            <w:shd w:val="clear" w:color="auto" w:fill="auto"/>
          </w:tcPr>
          <w:p w14:paraId="409C6CD9" w14:textId="77777777" w:rsidR="00525EEF" w:rsidRPr="00504E62" w:rsidRDefault="00525EEF">
            <w:pPr>
              <w:pStyle w:val="Textinthetable"/>
              <w:keepNext w:val="0"/>
              <w:rPr>
                <w:rFonts w:ascii="Calibri" w:hAnsi="Calibri" w:cs="Calibri"/>
                <w:b w:val="0"/>
                <w:bCs w:val="0"/>
                <w:color w:val="auto"/>
              </w:rPr>
            </w:pPr>
            <w:r w:rsidRPr="00504E62">
              <w:rPr>
                <w:rFonts w:ascii="Calibri" w:hAnsi="Calibri" w:cs="Calibri"/>
                <w:color w:val="auto"/>
              </w:rPr>
              <w:t>Council allowance category</w:t>
            </w:r>
          </w:p>
        </w:tc>
        <w:tc>
          <w:tcPr>
            <w:tcW w:w="2837" w:type="pct"/>
            <w:tcBorders>
              <w:top w:val="single" w:sz="4" w:space="0" w:color="148A5D" w:themeColor="accent2"/>
              <w:bottom w:val="single" w:sz="4" w:space="0" w:color="148A5D"/>
            </w:tcBorders>
            <w:shd w:val="clear" w:color="auto" w:fill="auto"/>
          </w:tcPr>
          <w:p w14:paraId="4C08AA08" w14:textId="77777777" w:rsidR="00525EEF" w:rsidRPr="00504E62" w:rsidRDefault="00525EEF">
            <w:pPr>
              <w:pStyle w:val="Textinthetable"/>
              <w:keepNext w:val="0"/>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rPr>
            </w:pPr>
            <w:r w:rsidRPr="00504E62">
              <w:rPr>
                <w:rFonts w:ascii="Calibri" w:hAnsi="Calibri" w:cs="Calibri"/>
                <w:color w:val="auto"/>
              </w:rPr>
              <w:t>Value of allowance ($ per annum)</w:t>
            </w:r>
          </w:p>
        </w:tc>
      </w:tr>
      <w:tr w:rsidR="0052032E" w:rsidRPr="000C020B" w14:paraId="43E23FD7" w14:textId="77777777" w:rsidTr="00504E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737DC581" w14:textId="77777777" w:rsidR="0052032E" w:rsidRPr="00801083" w:rsidRDefault="0052032E" w:rsidP="0052032E">
            <w:pPr>
              <w:pStyle w:val="Textinthetable"/>
              <w:keepNext w:val="0"/>
              <w:rPr>
                <w:rFonts w:ascii="Calibri" w:hAnsi="Calibri" w:cs="Calibri"/>
                <w:b/>
                <w:color w:val="000000" w:themeColor="text1"/>
              </w:rPr>
            </w:pPr>
            <w:r w:rsidRPr="00801083">
              <w:rPr>
                <w:rFonts w:ascii="Calibri" w:hAnsi="Calibri" w:cs="Calibri"/>
                <w:color w:val="000000" w:themeColor="text1"/>
              </w:rPr>
              <w:t>Category 1</w:t>
            </w:r>
          </w:p>
        </w:tc>
        <w:tc>
          <w:tcPr>
            <w:tcW w:w="2837" w:type="pct"/>
            <w:vAlign w:val="center"/>
          </w:tcPr>
          <w:p w14:paraId="3B0EDA87" w14:textId="1DEF78B0" w:rsidR="0052032E" w:rsidRPr="00801083" w:rsidRDefault="0052032E" w:rsidP="008D57EA">
            <w:pPr>
              <w:pStyle w:val="Textinthetable"/>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themeColor="text1"/>
              </w:rPr>
            </w:pPr>
            <w:r w:rsidRPr="00801083">
              <w:rPr>
                <w:rFonts w:ascii="Calibri" w:hAnsi="Calibri" w:cs="Calibri"/>
                <w:bCs/>
                <w:color w:val="000000" w:themeColor="text1"/>
              </w:rPr>
              <w:t xml:space="preserve">                            42,969 </w:t>
            </w:r>
          </w:p>
        </w:tc>
      </w:tr>
      <w:tr w:rsidR="0052032E" w:rsidRPr="000C020B" w14:paraId="3F39BAF4" w14:textId="77777777">
        <w:trPr>
          <w:cantSplit/>
        </w:trPr>
        <w:tc>
          <w:tcPr>
            <w:cnfStyle w:val="001000000000" w:firstRow="0" w:lastRow="0" w:firstColumn="1" w:lastColumn="0" w:oddVBand="0" w:evenVBand="0" w:oddHBand="0" w:evenHBand="0" w:firstRowFirstColumn="0" w:firstRowLastColumn="0" w:lastRowFirstColumn="0" w:lastRowLastColumn="0"/>
            <w:tcW w:w="2163" w:type="pct"/>
          </w:tcPr>
          <w:p w14:paraId="59B7E9EE" w14:textId="77777777" w:rsidR="0052032E" w:rsidRPr="00801083" w:rsidRDefault="0052032E" w:rsidP="0052032E">
            <w:pPr>
              <w:pStyle w:val="Textinthetable"/>
              <w:keepNext w:val="0"/>
              <w:rPr>
                <w:rFonts w:ascii="Calibri" w:hAnsi="Calibri" w:cs="Calibri"/>
                <w:b/>
                <w:color w:val="000000" w:themeColor="text1"/>
              </w:rPr>
            </w:pPr>
            <w:r w:rsidRPr="00801083">
              <w:rPr>
                <w:rFonts w:ascii="Calibri" w:hAnsi="Calibri" w:cs="Calibri"/>
                <w:color w:val="000000" w:themeColor="text1"/>
              </w:rPr>
              <w:t>Category 2</w:t>
            </w:r>
          </w:p>
        </w:tc>
        <w:tc>
          <w:tcPr>
            <w:tcW w:w="2837" w:type="pct"/>
            <w:vAlign w:val="center"/>
          </w:tcPr>
          <w:p w14:paraId="7F962C98" w14:textId="1B8C9E5C" w:rsidR="0052032E" w:rsidRPr="00801083" w:rsidRDefault="0052032E" w:rsidP="008D57EA">
            <w:pPr>
              <w:pStyle w:val="Textinthetable"/>
              <w:jc w:val="right"/>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themeColor="text1"/>
              </w:rPr>
            </w:pPr>
            <w:r w:rsidRPr="00801083">
              <w:rPr>
                <w:rFonts w:ascii="Calibri" w:hAnsi="Calibri" w:cs="Calibri"/>
                <w:bCs/>
                <w:color w:val="000000" w:themeColor="text1"/>
              </w:rPr>
              <w:t xml:space="preserve">                            55,487 </w:t>
            </w:r>
          </w:p>
        </w:tc>
      </w:tr>
      <w:tr w:rsidR="0052032E" w:rsidRPr="000C020B" w14:paraId="3CDBD994"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24C606AC" w14:textId="77777777" w:rsidR="0052032E" w:rsidRPr="00801083" w:rsidRDefault="0052032E" w:rsidP="0052032E">
            <w:pPr>
              <w:pStyle w:val="Textinthetable"/>
              <w:keepNext w:val="0"/>
              <w:rPr>
                <w:rFonts w:ascii="Calibri" w:hAnsi="Calibri" w:cs="Calibri"/>
                <w:b/>
                <w:color w:val="000000" w:themeColor="text1"/>
              </w:rPr>
            </w:pPr>
            <w:r w:rsidRPr="00801083">
              <w:rPr>
                <w:rFonts w:ascii="Calibri" w:hAnsi="Calibri" w:cs="Calibri"/>
                <w:color w:val="000000" w:themeColor="text1"/>
              </w:rPr>
              <w:t>Category 3</w:t>
            </w:r>
          </w:p>
        </w:tc>
        <w:tc>
          <w:tcPr>
            <w:tcW w:w="2837" w:type="pct"/>
            <w:vAlign w:val="center"/>
          </w:tcPr>
          <w:p w14:paraId="5BFABAC4" w14:textId="3A40D551" w:rsidR="0052032E" w:rsidRPr="00801083" w:rsidRDefault="0052032E" w:rsidP="008D57EA">
            <w:pPr>
              <w:pStyle w:val="Textinthetable"/>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themeColor="text1"/>
              </w:rPr>
            </w:pPr>
            <w:r w:rsidRPr="00801083">
              <w:rPr>
                <w:rFonts w:ascii="Calibri" w:hAnsi="Calibri" w:cs="Calibri"/>
                <w:bCs/>
                <w:color w:val="000000" w:themeColor="text1"/>
              </w:rPr>
              <w:t xml:space="preserve">                            68,626 </w:t>
            </w:r>
          </w:p>
        </w:tc>
      </w:tr>
      <w:tr w:rsidR="0052032E" w:rsidRPr="000C020B" w14:paraId="1AFE9227" w14:textId="77777777">
        <w:trPr>
          <w:cantSplit/>
        </w:trPr>
        <w:tc>
          <w:tcPr>
            <w:cnfStyle w:val="001000000000" w:firstRow="0" w:lastRow="0" w:firstColumn="1" w:lastColumn="0" w:oddVBand="0" w:evenVBand="0" w:oddHBand="0" w:evenHBand="0" w:firstRowFirstColumn="0" w:firstRowLastColumn="0" w:lastRowFirstColumn="0" w:lastRowLastColumn="0"/>
            <w:tcW w:w="2163" w:type="pct"/>
          </w:tcPr>
          <w:p w14:paraId="5936DD94" w14:textId="77777777" w:rsidR="0052032E" w:rsidRPr="00801083" w:rsidRDefault="0052032E" w:rsidP="0052032E">
            <w:pPr>
              <w:pStyle w:val="Textinthetable"/>
              <w:keepNext w:val="0"/>
              <w:rPr>
                <w:rFonts w:ascii="Calibri" w:hAnsi="Calibri" w:cs="Calibri"/>
                <w:b/>
                <w:color w:val="000000" w:themeColor="text1"/>
              </w:rPr>
            </w:pPr>
            <w:r w:rsidRPr="00801083">
              <w:rPr>
                <w:rFonts w:ascii="Calibri" w:hAnsi="Calibri" w:cs="Calibri"/>
                <w:color w:val="000000" w:themeColor="text1"/>
              </w:rPr>
              <w:t>Category 4 – Melbourne City Council</w:t>
            </w:r>
          </w:p>
        </w:tc>
        <w:tc>
          <w:tcPr>
            <w:tcW w:w="2837" w:type="pct"/>
            <w:vAlign w:val="center"/>
          </w:tcPr>
          <w:p w14:paraId="28DF564D" w14:textId="2D0C71F2" w:rsidR="0052032E" w:rsidRPr="00801083" w:rsidRDefault="0052032E" w:rsidP="008D57EA">
            <w:pPr>
              <w:pStyle w:val="Textinthetable"/>
              <w:jc w:val="right"/>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themeColor="text1"/>
              </w:rPr>
            </w:pPr>
            <w:r w:rsidRPr="00801083">
              <w:rPr>
                <w:rFonts w:ascii="Calibri" w:hAnsi="Calibri" w:cs="Calibri"/>
                <w:bCs/>
                <w:color w:val="000000" w:themeColor="text1"/>
              </w:rPr>
              <w:t xml:space="preserve">                         137,254 </w:t>
            </w:r>
          </w:p>
        </w:tc>
      </w:tr>
    </w:tbl>
    <w:p w14:paraId="3339B544" w14:textId="77777777" w:rsidR="00525EEF" w:rsidRPr="00801083" w:rsidRDefault="00525EEF" w:rsidP="00D63AD8">
      <w:pPr>
        <w:pStyle w:val="Instrumenttableofcontents"/>
        <w:keepNext/>
        <w:numPr>
          <w:ilvl w:val="0"/>
          <w:numId w:val="14"/>
        </w:numPr>
        <w:ind w:left="1134" w:hanging="283"/>
        <w:rPr>
          <w:rFonts w:ascii="Calibri" w:hAnsi="Calibri" w:cs="Calibri"/>
        </w:rPr>
      </w:pPr>
      <w:r w:rsidRPr="00801083">
        <w:rPr>
          <w:rFonts w:ascii="Calibri" w:hAnsi="Calibri" w:cs="Calibri"/>
          <w:b/>
        </w:rPr>
        <w:t>Value of the base allowance for Councillors</w:t>
      </w:r>
    </w:p>
    <w:p w14:paraId="38B36A49" w14:textId="77777777" w:rsidR="00525EEF" w:rsidRPr="00801083" w:rsidRDefault="00525EEF" w:rsidP="004D5FE9">
      <w:pPr>
        <w:pStyle w:val="Instrumenttableofcontents"/>
        <w:numPr>
          <w:ilvl w:val="1"/>
          <w:numId w:val="14"/>
        </w:numPr>
        <w:ind w:left="1627" w:hanging="493"/>
        <w:rPr>
          <w:rFonts w:ascii="Calibri" w:hAnsi="Calibri" w:cs="Calibri"/>
        </w:rPr>
      </w:pPr>
      <w:r w:rsidRPr="00801083">
        <w:rPr>
          <w:rFonts w:ascii="Calibri" w:hAnsi="Calibri" w:cs="Calibri"/>
        </w:rPr>
        <w:t>The values of the base allowances for Councillors are:</w:t>
      </w:r>
    </w:p>
    <w:p w14:paraId="56014564" w14:textId="77777777" w:rsidR="00525EEF" w:rsidRPr="00801083" w:rsidRDefault="00525EEF" w:rsidP="00FC05C4">
      <w:pPr>
        <w:pStyle w:val="Instrumenttableofcontents"/>
        <w:numPr>
          <w:ilvl w:val="0"/>
          <w:numId w:val="22"/>
        </w:numPr>
        <w:ind w:left="1976" w:hanging="357"/>
        <w:rPr>
          <w:rFonts w:ascii="Calibri" w:hAnsi="Calibri" w:cs="Calibri"/>
        </w:rPr>
      </w:pPr>
      <w:r w:rsidRPr="00801083">
        <w:rPr>
          <w:rFonts w:ascii="Calibri" w:hAnsi="Calibri" w:cs="Calibri"/>
        </w:rPr>
        <w:t>from 1 July 2023 until 17 December 2023, the values set out in Table 9</w:t>
      </w:r>
    </w:p>
    <w:p w14:paraId="09CFE320" w14:textId="77777777" w:rsidR="00525EEF" w:rsidRPr="00801083" w:rsidRDefault="00525EEF" w:rsidP="00FC05C4">
      <w:pPr>
        <w:pStyle w:val="Instrumenttableofcontents"/>
        <w:numPr>
          <w:ilvl w:val="0"/>
          <w:numId w:val="22"/>
        </w:numPr>
        <w:ind w:left="1976" w:hanging="357"/>
        <w:rPr>
          <w:rFonts w:ascii="Calibri" w:hAnsi="Calibri" w:cs="Calibri"/>
        </w:rPr>
      </w:pPr>
      <w:r w:rsidRPr="00801083">
        <w:rPr>
          <w:rFonts w:ascii="Calibri" w:hAnsi="Calibri" w:cs="Calibri"/>
        </w:rPr>
        <w:t>from 18 December 2023, the values set out in Table 10.</w:t>
      </w:r>
    </w:p>
    <w:p w14:paraId="14F6768B" w14:textId="77777777" w:rsidR="00525EEF" w:rsidRPr="0064053F" w:rsidRDefault="00525EEF" w:rsidP="0064053F">
      <w:pPr>
        <w:pStyle w:val="Instrumenttableheading"/>
        <w:rPr>
          <w:rFonts w:ascii="Calibri" w:hAnsi="Calibri" w:cs="Calibri"/>
          <w:color w:val="auto"/>
        </w:rPr>
      </w:pPr>
      <w:r w:rsidRPr="0064053F">
        <w:rPr>
          <w:rFonts w:ascii="Calibri" w:hAnsi="Calibri" w:cs="Calibri"/>
          <w:color w:val="auto"/>
        </w:rPr>
        <w:t xml:space="preserve">Table 9: Value of the base allowance for Councillors, by Council allowance category, </w:t>
      </w:r>
      <w:r w:rsidRPr="0064053F">
        <w:rPr>
          <w:rFonts w:ascii="Calibri" w:hAnsi="Calibri" w:cs="Calibri"/>
          <w:color w:val="auto"/>
        </w:rPr>
        <w:br/>
        <w:t>1 July 2023 until 17 December 2023</w:t>
      </w:r>
    </w:p>
    <w:tbl>
      <w:tblPr>
        <w:tblStyle w:val="ListTable3-Accent21"/>
        <w:tblW w:w="5000" w:type="pct"/>
        <w:tblInd w:w="0" w:type="dxa"/>
        <w:tblLook w:val="04A0" w:firstRow="1" w:lastRow="0" w:firstColumn="1" w:lastColumn="0" w:noHBand="0" w:noVBand="1"/>
      </w:tblPr>
      <w:tblGrid>
        <w:gridCol w:w="3679"/>
        <w:gridCol w:w="4825"/>
      </w:tblGrid>
      <w:tr w:rsidR="00525EEF" w:rsidRPr="007927DD" w14:paraId="65406EDD" w14:textId="77777777" w:rsidTr="00504E62">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3" w:type="pct"/>
            <w:tcBorders>
              <w:top w:val="single" w:sz="4" w:space="0" w:color="148A5D" w:themeColor="accent2"/>
              <w:bottom w:val="single" w:sz="4" w:space="0" w:color="148A5D"/>
            </w:tcBorders>
            <w:shd w:val="clear" w:color="auto" w:fill="auto"/>
          </w:tcPr>
          <w:p w14:paraId="4E2E6C7D" w14:textId="77777777" w:rsidR="00525EEF" w:rsidRPr="00504E62" w:rsidRDefault="00525EEF">
            <w:pPr>
              <w:pStyle w:val="Textinthetable"/>
              <w:keepNext w:val="0"/>
              <w:rPr>
                <w:rFonts w:ascii="Calibri" w:hAnsi="Calibri" w:cs="Calibri"/>
                <w:b w:val="0"/>
                <w:bCs w:val="0"/>
                <w:color w:val="auto"/>
              </w:rPr>
            </w:pPr>
            <w:r w:rsidRPr="00504E62">
              <w:rPr>
                <w:rFonts w:ascii="Calibri" w:hAnsi="Calibri" w:cs="Calibri"/>
                <w:color w:val="auto"/>
              </w:rPr>
              <w:t>Council allowance category</w:t>
            </w:r>
          </w:p>
        </w:tc>
        <w:tc>
          <w:tcPr>
            <w:tcW w:w="2837" w:type="pct"/>
            <w:tcBorders>
              <w:top w:val="single" w:sz="4" w:space="0" w:color="148A5D" w:themeColor="accent2"/>
              <w:bottom w:val="single" w:sz="4" w:space="0" w:color="148A5D"/>
            </w:tcBorders>
            <w:shd w:val="clear" w:color="auto" w:fill="auto"/>
          </w:tcPr>
          <w:p w14:paraId="6604E7E0" w14:textId="77777777" w:rsidR="00525EEF" w:rsidRPr="00504E62" w:rsidRDefault="00525EEF">
            <w:pPr>
              <w:pStyle w:val="Textinthetable"/>
              <w:keepNext w:val="0"/>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rPr>
            </w:pPr>
            <w:r w:rsidRPr="00504E62">
              <w:rPr>
                <w:rFonts w:ascii="Calibri" w:hAnsi="Calibri" w:cs="Calibri"/>
                <w:color w:val="auto"/>
              </w:rPr>
              <w:t>Value of allowance ($ per annum)</w:t>
            </w:r>
          </w:p>
        </w:tc>
      </w:tr>
      <w:tr w:rsidR="0052032E" w:rsidRPr="000C020B" w14:paraId="7431F588" w14:textId="77777777" w:rsidTr="00504E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73EA031A" w14:textId="77777777" w:rsidR="0052032E" w:rsidRPr="00801083" w:rsidRDefault="0052032E" w:rsidP="0052032E">
            <w:pPr>
              <w:pStyle w:val="Textinthetable"/>
              <w:keepNext w:val="0"/>
              <w:rPr>
                <w:rFonts w:ascii="Calibri" w:hAnsi="Calibri" w:cs="Calibri"/>
                <w:b/>
                <w:color w:val="000000" w:themeColor="text1"/>
              </w:rPr>
            </w:pPr>
            <w:r w:rsidRPr="00801083">
              <w:rPr>
                <w:rFonts w:ascii="Calibri" w:hAnsi="Calibri" w:cs="Calibri"/>
                <w:color w:val="000000" w:themeColor="text1"/>
              </w:rPr>
              <w:t>Category 1</w:t>
            </w:r>
          </w:p>
        </w:tc>
        <w:tc>
          <w:tcPr>
            <w:tcW w:w="2837" w:type="pct"/>
            <w:vAlign w:val="center"/>
          </w:tcPr>
          <w:p w14:paraId="7385EF15" w14:textId="6CEF1CDF" w:rsidR="0052032E" w:rsidRPr="00801083" w:rsidRDefault="0052032E" w:rsidP="008D57EA">
            <w:pPr>
              <w:pStyle w:val="Textinthetable"/>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themeColor="text1"/>
              </w:rPr>
            </w:pPr>
            <w:r w:rsidRPr="00801083">
              <w:rPr>
                <w:rFonts w:ascii="Calibri" w:hAnsi="Calibri" w:cs="Calibri"/>
                <w:bCs/>
                <w:color w:val="000000" w:themeColor="text1"/>
              </w:rPr>
              <w:t xml:space="preserve">                            25,650 </w:t>
            </w:r>
          </w:p>
        </w:tc>
      </w:tr>
      <w:tr w:rsidR="0052032E" w:rsidRPr="000C020B" w14:paraId="1648009A" w14:textId="77777777">
        <w:trPr>
          <w:cantSplit/>
        </w:trPr>
        <w:tc>
          <w:tcPr>
            <w:cnfStyle w:val="001000000000" w:firstRow="0" w:lastRow="0" w:firstColumn="1" w:lastColumn="0" w:oddVBand="0" w:evenVBand="0" w:oddHBand="0" w:evenHBand="0" w:firstRowFirstColumn="0" w:firstRowLastColumn="0" w:lastRowFirstColumn="0" w:lastRowLastColumn="0"/>
            <w:tcW w:w="2163" w:type="pct"/>
          </w:tcPr>
          <w:p w14:paraId="3BA55AD1" w14:textId="77777777" w:rsidR="0052032E" w:rsidRPr="00801083" w:rsidRDefault="0052032E" w:rsidP="0052032E">
            <w:pPr>
              <w:pStyle w:val="Textinthetable"/>
              <w:keepNext w:val="0"/>
              <w:rPr>
                <w:rFonts w:ascii="Calibri" w:hAnsi="Calibri" w:cs="Calibri"/>
                <w:b/>
                <w:color w:val="000000" w:themeColor="text1"/>
              </w:rPr>
            </w:pPr>
            <w:r w:rsidRPr="00801083">
              <w:rPr>
                <w:rFonts w:ascii="Calibri" w:hAnsi="Calibri" w:cs="Calibri"/>
                <w:color w:val="000000" w:themeColor="text1"/>
              </w:rPr>
              <w:t>Category 2</w:t>
            </w:r>
          </w:p>
        </w:tc>
        <w:tc>
          <w:tcPr>
            <w:tcW w:w="2837" w:type="pct"/>
            <w:vAlign w:val="center"/>
          </w:tcPr>
          <w:p w14:paraId="5199D9DE" w14:textId="4DDEBD1C" w:rsidR="0052032E" w:rsidRPr="00801083" w:rsidRDefault="0052032E" w:rsidP="008D57EA">
            <w:pPr>
              <w:pStyle w:val="Textinthetable"/>
              <w:jc w:val="right"/>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themeColor="text1"/>
              </w:rPr>
            </w:pPr>
            <w:r w:rsidRPr="00801083">
              <w:rPr>
                <w:rFonts w:ascii="Calibri" w:hAnsi="Calibri" w:cs="Calibri"/>
                <w:bCs/>
                <w:color w:val="000000" w:themeColor="text1"/>
              </w:rPr>
              <w:t xml:space="preserve">                            31,980 </w:t>
            </w:r>
          </w:p>
        </w:tc>
      </w:tr>
      <w:tr w:rsidR="0052032E" w:rsidRPr="000C020B" w14:paraId="49007887"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634BDD73" w14:textId="77777777" w:rsidR="0052032E" w:rsidRPr="00801083" w:rsidRDefault="0052032E" w:rsidP="0052032E">
            <w:pPr>
              <w:pStyle w:val="Textinthetable"/>
              <w:keepNext w:val="0"/>
              <w:rPr>
                <w:rFonts w:ascii="Calibri" w:hAnsi="Calibri" w:cs="Calibri"/>
                <w:b/>
                <w:color w:val="000000" w:themeColor="text1"/>
              </w:rPr>
            </w:pPr>
            <w:r w:rsidRPr="00801083">
              <w:rPr>
                <w:rFonts w:ascii="Calibri" w:hAnsi="Calibri" w:cs="Calibri"/>
                <w:color w:val="000000" w:themeColor="text1"/>
              </w:rPr>
              <w:t>Category 3</w:t>
            </w:r>
          </w:p>
        </w:tc>
        <w:tc>
          <w:tcPr>
            <w:tcW w:w="2837" w:type="pct"/>
            <w:vAlign w:val="center"/>
          </w:tcPr>
          <w:p w14:paraId="707B65E2" w14:textId="113E1C95" w:rsidR="0052032E" w:rsidRPr="00801083" w:rsidRDefault="0052032E" w:rsidP="008D57EA">
            <w:pPr>
              <w:pStyle w:val="Textinthetable"/>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themeColor="text1"/>
              </w:rPr>
            </w:pPr>
            <w:r w:rsidRPr="00801083">
              <w:rPr>
                <w:rFonts w:ascii="Calibri" w:hAnsi="Calibri" w:cs="Calibri"/>
                <w:bCs/>
                <w:color w:val="000000" w:themeColor="text1"/>
              </w:rPr>
              <w:t xml:space="preserve">                            38,316 </w:t>
            </w:r>
          </w:p>
        </w:tc>
      </w:tr>
      <w:tr w:rsidR="0052032E" w:rsidRPr="000C020B" w14:paraId="7C16245F" w14:textId="77777777">
        <w:trPr>
          <w:cantSplit/>
        </w:trPr>
        <w:tc>
          <w:tcPr>
            <w:cnfStyle w:val="001000000000" w:firstRow="0" w:lastRow="0" w:firstColumn="1" w:lastColumn="0" w:oddVBand="0" w:evenVBand="0" w:oddHBand="0" w:evenHBand="0" w:firstRowFirstColumn="0" w:firstRowLastColumn="0" w:lastRowFirstColumn="0" w:lastRowLastColumn="0"/>
            <w:tcW w:w="2163" w:type="pct"/>
          </w:tcPr>
          <w:p w14:paraId="321C9C66" w14:textId="77777777" w:rsidR="0052032E" w:rsidRPr="00801083" w:rsidRDefault="0052032E" w:rsidP="0052032E">
            <w:pPr>
              <w:pStyle w:val="Textinthetable"/>
              <w:keepNext w:val="0"/>
              <w:rPr>
                <w:rFonts w:ascii="Calibri" w:hAnsi="Calibri" w:cs="Calibri"/>
                <w:b/>
                <w:color w:val="000000" w:themeColor="text1"/>
              </w:rPr>
            </w:pPr>
            <w:r w:rsidRPr="00801083">
              <w:rPr>
                <w:rFonts w:ascii="Calibri" w:hAnsi="Calibri" w:cs="Calibri"/>
                <w:color w:val="000000" w:themeColor="text1"/>
              </w:rPr>
              <w:t>Category 4 – Melbourne City Council</w:t>
            </w:r>
          </w:p>
        </w:tc>
        <w:tc>
          <w:tcPr>
            <w:tcW w:w="2837" w:type="pct"/>
            <w:vAlign w:val="center"/>
          </w:tcPr>
          <w:p w14:paraId="0EA8C83A" w14:textId="746E3AEC" w:rsidR="0052032E" w:rsidRPr="00801083" w:rsidRDefault="0052032E" w:rsidP="008D57EA">
            <w:pPr>
              <w:pStyle w:val="Textinthetable"/>
              <w:jc w:val="right"/>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themeColor="text1"/>
              </w:rPr>
            </w:pPr>
            <w:r w:rsidRPr="00801083">
              <w:rPr>
                <w:rFonts w:ascii="Calibri" w:hAnsi="Calibri" w:cs="Calibri"/>
                <w:bCs/>
                <w:color w:val="000000" w:themeColor="text1"/>
              </w:rPr>
              <w:t xml:space="preserve">                            57,473 </w:t>
            </w:r>
          </w:p>
        </w:tc>
      </w:tr>
    </w:tbl>
    <w:p w14:paraId="787E3F67" w14:textId="77777777" w:rsidR="00525EEF" w:rsidRPr="0064053F" w:rsidRDefault="00525EEF" w:rsidP="00525EEF">
      <w:pPr>
        <w:pStyle w:val="Instrumenttableheading"/>
        <w:rPr>
          <w:rFonts w:ascii="Calibri" w:hAnsi="Calibri" w:cs="Calibri"/>
          <w:color w:val="auto"/>
        </w:rPr>
      </w:pPr>
      <w:r w:rsidRPr="0064053F">
        <w:rPr>
          <w:rFonts w:ascii="Calibri" w:hAnsi="Calibri" w:cs="Calibri"/>
          <w:color w:val="auto"/>
        </w:rPr>
        <w:lastRenderedPageBreak/>
        <w:t xml:space="preserve">Table 10: Value of the base allowance for Councillors, by Council allowance category, </w:t>
      </w:r>
      <w:r w:rsidRPr="0064053F">
        <w:rPr>
          <w:rFonts w:ascii="Calibri" w:hAnsi="Calibri" w:cs="Calibri"/>
          <w:color w:val="auto"/>
        </w:rPr>
        <w:br/>
        <w:t>from 18 December 2023</w:t>
      </w:r>
    </w:p>
    <w:tbl>
      <w:tblPr>
        <w:tblStyle w:val="ListTable3-Accent21"/>
        <w:tblW w:w="5000" w:type="pct"/>
        <w:tblInd w:w="0" w:type="dxa"/>
        <w:tblLook w:val="04A0" w:firstRow="1" w:lastRow="0" w:firstColumn="1" w:lastColumn="0" w:noHBand="0" w:noVBand="1"/>
      </w:tblPr>
      <w:tblGrid>
        <w:gridCol w:w="3679"/>
        <w:gridCol w:w="4825"/>
      </w:tblGrid>
      <w:tr w:rsidR="00504E62" w:rsidRPr="00504E62" w14:paraId="00AF4836" w14:textId="77777777" w:rsidTr="00504E62">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3" w:type="pct"/>
            <w:tcBorders>
              <w:top w:val="single" w:sz="4" w:space="0" w:color="148A5D" w:themeColor="accent2"/>
              <w:bottom w:val="single" w:sz="4" w:space="0" w:color="148A5D"/>
            </w:tcBorders>
            <w:shd w:val="clear" w:color="auto" w:fill="auto"/>
          </w:tcPr>
          <w:p w14:paraId="1E534C07" w14:textId="77777777" w:rsidR="00525EEF" w:rsidRPr="00504E62" w:rsidRDefault="00525EEF">
            <w:pPr>
              <w:pStyle w:val="Textinthetable"/>
              <w:rPr>
                <w:rFonts w:ascii="Calibri" w:hAnsi="Calibri" w:cs="Calibri"/>
                <w:b w:val="0"/>
                <w:bCs w:val="0"/>
                <w:color w:val="auto"/>
              </w:rPr>
            </w:pPr>
            <w:r w:rsidRPr="00504E62">
              <w:rPr>
                <w:rFonts w:ascii="Calibri" w:hAnsi="Calibri" w:cs="Calibri"/>
                <w:color w:val="auto"/>
              </w:rPr>
              <w:t>Council allowance category</w:t>
            </w:r>
          </w:p>
        </w:tc>
        <w:tc>
          <w:tcPr>
            <w:tcW w:w="2837" w:type="pct"/>
            <w:tcBorders>
              <w:top w:val="single" w:sz="4" w:space="0" w:color="148A5D" w:themeColor="accent2"/>
              <w:bottom w:val="single" w:sz="4" w:space="0" w:color="148A5D"/>
            </w:tcBorders>
            <w:shd w:val="clear" w:color="auto" w:fill="auto"/>
          </w:tcPr>
          <w:p w14:paraId="7C987AE3" w14:textId="77777777" w:rsidR="00525EEF" w:rsidRPr="00504E62" w:rsidRDefault="00525EEF">
            <w:pPr>
              <w:pStyle w:val="Textinthetable"/>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rPr>
            </w:pPr>
            <w:r w:rsidRPr="00504E62">
              <w:rPr>
                <w:rFonts w:ascii="Calibri" w:hAnsi="Calibri" w:cs="Calibri"/>
                <w:color w:val="auto"/>
              </w:rPr>
              <w:t>Value of allowance ($ per annum)</w:t>
            </w:r>
          </w:p>
        </w:tc>
      </w:tr>
      <w:tr w:rsidR="008D57EA" w:rsidRPr="000C020B" w14:paraId="2844ED0E" w14:textId="77777777" w:rsidTr="00504E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5F71E8E7" w14:textId="77777777" w:rsidR="008D57EA" w:rsidRPr="00801083" w:rsidRDefault="008D57EA" w:rsidP="008D57EA">
            <w:pPr>
              <w:pStyle w:val="Textinthetable"/>
              <w:rPr>
                <w:rFonts w:ascii="Calibri" w:hAnsi="Calibri" w:cs="Calibri"/>
                <w:b/>
                <w:color w:val="000000" w:themeColor="text1"/>
              </w:rPr>
            </w:pPr>
            <w:r w:rsidRPr="00801083">
              <w:rPr>
                <w:rFonts w:ascii="Calibri" w:hAnsi="Calibri" w:cs="Calibri"/>
                <w:color w:val="000000" w:themeColor="text1"/>
              </w:rPr>
              <w:t>Category 1</w:t>
            </w:r>
          </w:p>
        </w:tc>
        <w:tc>
          <w:tcPr>
            <w:tcW w:w="2837" w:type="pct"/>
            <w:vAlign w:val="center"/>
          </w:tcPr>
          <w:p w14:paraId="3000C2FB" w14:textId="746A4235" w:rsidR="008D57EA" w:rsidRPr="00801083" w:rsidRDefault="008D57EA" w:rsidP="008D57EA">
            <w:pPr>
              <w:pStyle w:val="Textinthetable"/>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themeColor="text1"/>
              </w:rPr>
            </w:pPr>
            <w:r w:rsidRPr="00801083">
              <w:rPr>
                <w:rFonts w:ascii="Calibri" w:hAnsi="Calibri" w:cs="Calibri"/>
                <w:bCs/>
                <w:color w:val="000000" w:themeColor="text1"/>
              </w:rPr>
              <w:t xml:space="preserve">                            26,368 </w:t>
            </w:r>
          </w:p>
        </w:tc>
      </w:tr>
      <w:tr w:rsidR="008D57EA" w:rsidRPr="000C020B" w14:paraId="3CF805F9" w14:textId="77777777">
        <w:trPr>
          <w:cantSplit/>
        </w:trPr>
        <w:tc>
          <w:tcPr>
            <w:cnfStyle w:val="001000000000" w:firstRow="0" w:lastRow="0" w:firstColumn="1" w:lastColumn="0" w:oddVBand="0" w:evenVBand="0" w:oddHBand="0" w:evenHBand="0" w:firstRowFirstColumn="0" w:firstRowLastColumn="0" w:lastRowFirstColumn="0" w:lastRowLastColumn="0"/>
            <w:tcW w:w="2163" w:type="pct"/>
          </w:tcPr>
          <w:p w14:paraId="7746EBB4" w14:textId="77777777" w:rsidR="008D57EA" w:rsidRPr="00801083" w:rsidRDefault="008D57EA" w:rsidP="008D57EA">
            <w:pPr>
              <w:pStyle w:val="Textinthetable"/>
              <w:rPr>
                <w:rFonts w:ascii="Calibri" w:hAnsi="Calibri" w:cs="Calibri"/>
                <w:b/>
                <w:color w:val="000000" w:themeColor="text1"/>
              </w:rPr>
            </w:pPr>
            <w:r w:rsidRPr="00801083">
              <w:rPr>
                <w:rFonts w:ascii="Calibri" w:hAnsi="Calibri" w:cs="Calibri"/>
                <w:color w:val="000000" w:themeColor="text1"/>
              </w:rPr>
              <w:t>Category 2</w:t>
            </w:r>
          </w:p>
        </w:tc>
        <w:tc>
          <w:tcPr>
            <w:tcW w:w="2837" w:type="pct"/>
            <w:vAlign w:val="center"/>
          </w:tcPr>
          <w:p w14:paraId="76CD4C60" w14:textId="23EA2D39" w:rsidR="008D57EA" w:rsidRPr="00801083" w:rsidRDefault="008D57EA" w:rsidP="008D57EA">
            <w:pPr>
              <w:pStyle w:val="Textinthetable"/>
              <w:jc w:val="right"/>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themeColor="text1"/>
              </w:rPr>
            </w:pPr>
            <w:r w:rsidRPr="00801083">
              <w:rPr>
                <w:rFonts w:ascii="Calibri" w:hAnsi="Calibri" w:cs="Calibri"/>
                <w:bCs/>
                <w:color w:val="000000" w:themeColor="text1"/>
              </w:rPr>
              <w:t xml:space="preserve">                            32,877 </w:t>
            </w:r>
          </w:p>
        </w:tc>
      </w:tr>
      <w:tr w:rsidR="008D57EA" w:rsidRPr="000C020B" w14:paraId="117C138A"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1209E81E" w14:textId="77777777" w:rsidR="008D57EA" w:rsidRPr="00801083" w:rsidRDefault="008D57EA" w:rsidP="008D57EA">
            <w:pPr>
              <w:pStyle w:val="Textinthetable"/>
              <w:rPr>
                <w:rFonts w:ascii="Calibri" w:hAnsi="Calibri" w:cs="Calibri"/>
                <w:b/>
                <w:color w:val="000000" w:themeColor="text1"/>
              </w:rPr>
            </w:pPr>
            <w:r w:rsidRPr="00801083">
              <w:rPr>
                <w:rFonts w:ascii="Calibri" w:hAnsi="Calibri" w:cs="Calibri"/>
                <w:color w:val="000000" w:themeColor="text1"/>
              </w:rPr>
              <w:t>Category 3</w:t>
            </w:r>
          </w:p>
        </w:tc>
        <w:tc>
          <w:tcPr>
            <w:tcW w:w="2837" w:type="pct"/>
            <w:vAlign w:val="center"/>
          </w:tcPr>
          <w:p w14:paraId="211A8564" w14:textId="45C1AD75" w:rsidR="008D57EA" w:rsidRPr="00801083" w:rsidRDefault="008D57EA" w:rsidP="008D57EA">
            <w:pPr>
              <w:pStyle w:val="Textinthetable"/>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themeColor="text1"/>
              </w:rPr>
            </w:pPr>
            <w:r w:rsidRPr="00801083">
              <w:rPr>
                <w:rFonts w:ascii="Calibri" w:hAnsi="Calibri" w:cs="Calibri"/>
                <w:bCs/>
                <w:color w:val="000000" w:themeColor="text1"/>
              </w:rPr>
              <w:t xml:space="preserve">                            39,390 </w:t>
            </w:r>
          </w:p>
        </w:tc>
      </w:tr>
      <w:tr w:rsidR="008D57EA" w:rsidRPr="000C020B" w14:paraId="188A8251" w14:textId="77777777">
        <w:trPr>
          <w:cantSplit/>
        </w:trPr>
        <w:tc>
          <w:tcPr>
            <w:cnfStyle w:val="001000000000" w:firstRow="0" w:lastRow="0" w:firstColumn="1" w:lastColumn="0" w:oddVBand="0" w:evenVBand="0" w:oddHBand="0" w:evenHBand="0" w:firstRowFirstColumn="0" w:firstRowLastColumn="0" w:lastRowFirstColumn="0" w:lastRowLastColumn="0"/>
            <w:tcW w:w="2163" w:type="pct"/>
          </w:tcPr>
          <w:p w14:paraId="6006502D" w14:textId="77777777" w:rsidR="008D57EA" w:rsidRPr="00801083" w:rsidRDefault="008D57EA" w:rsidP="008D57EA">
            <w:pPr>
              <w:pStyle w:val="Textinthetable"/>
              <w:keepNext w:val="0"/>
              <w:rPr>
                <w:rFonts w:ascii="Calibri" w:hAnsi="Calibri" w:cs="Calibri"/>
                <w:b/>
                <w:color w:val="000000" w:themeColor="text1"/>
              </w:rPr>
            </w:pPr>
            <w:r w:rsidRPr="00801083">
              <w:rPr>
                <w:rFonts w:ascii="Calibri" w:hAnsi="Calibri" w:cs="Calibri"/>
                <w:color w:val="000000" w:themeColor="text1"/>
              </w:rPr>
              <w:t>Category 4 – Melbourne City Council</w:t>
            </w:r>
          </w:p>
        </w:tc>
        <w:tc>
          <w:tcPr>
            <w:tcW w:w="2837" w:type="pct"/>
            <w:vAlign w:val="center"/>
          </w:tcPr>
          <w:p w14:paraId="6D3EAD48" w14:textId="4BAD59D3" w:rsidR="008D57EA" w:rsidRPr="00801083" w:rsidRDefault="008D57EA" w:rsidP="008D57EA">
            <w:pPr>
              <w:pStyle w:val="Textinthetable"/>
              <w:jc w:val="right"/>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themeColor="text1"/>
              </w:rPr>
            </w:pPr>
            <w:r w:rsidRPr="00801083">
              <w:rPr>
                <w:rFonts w:ascii="Calibri" w:hAnsi="Calibri" w:cs="Calibri"/>
                <w:bCs/>
                <w:color w:val="000000" w:themeColor="text1"/>
              </w:rPr>
              <w:t xml:space="preserve">                            59,085 </w:t>
            </w:r>
          </w:p>
        </w:tc>
      </w:tr>
    </w:tbl>
    <w:p w14:paraId="6E741C94" w14:textId="41A2E157" w:rsidR="003A0648" w:rsidRPr="00550D01" w:rsidRDefault="00C50F59" w:rsidP="00FC05C4">
      <w:pPr>
        <w:pStyle w:val="Parapraph"/>
        <w:numPr>
          <w:ilvl w:val="0"/>
          <w:numId w:val="19"/>
        </w:numPr>
        <w:ind w:left="831"/>
        <w:rPr>
          <w:rFonts w:ascii="Calibri" w:hAnsi="Calibri" w:cs="Calibri"/>
          <w:color w:val="000000" w:themeColor="text1"/>
        </w:rPr>
      </w:pPr>
      <w:r w:rsidRPr="00550D01">
        <w:rPr>
          <w:rFonts w:ascii="Calibri" w:hAnsi="Calibri" w:cs="Calibri"/>
          <w:color w:val="000000" w:themeColor="text1"/>
        </w:rPr>
        <w:t>In clause</w:t>
      </w:r>
      <w:r w:rsidR="00780113" w:rsidRPr="00550D01">
        <w:rPr>
          <w:rFonts w:ascii="Calibri" w:hAnsi="Calibri" w:cs="Calibri"/>
          <w:color w:val="000000" w:themeColor="text1"/>
        </w:rPr>
        <w:t xml:space="preserve"> 10.1</w:t>
      </w:r>
      <w:r w:rsidR="00193370" w:rsidRPr="00550D01">
        <w:rPr>
          <w:rFonts w:ascii="Calibri" w:hAnsi="Calibri" w:cs="Calibri"/>
          <w:color w:val="000000" w:themeColor="text1"/>
        </w:rPr>
        <w:t>,</w:t>
      </w:r>
      <w:r w:rsidR="00780113" w:rsidRPr="00550D01">
        <w:rPr>
          <w:rFonts w:ascii="Calibri" w:hAnsi="Calibri" w:cs="Calibri"/>
          <w:color w:val="000000" w:themeColor="text1"/>
        </w:rPr>
        <w:t xml:space="preserve"> delete ‘$</w:t>
      </w:r>
      <w:r w:rsidR="001571BD" w:rsidRPr="00550D01">
        <w:rPr>
          <w:rFonts w:ascii="Calibri" w:hAnsi="Calibri" w:cs="Calibri"/>
          <w:color w:val="000000" w:themeColor="text1"/>
        </w:rPr>
        <w:t>45</w:t>
      </w:r>
      <w:r w:rsidR="00780113" w:rsidRPr="00550D01">
        <w:rPr>
          <w:rFonts w:ascii="Calibri" w:hAnsi="Calibri" w:cs="Calibri"/>
          <w:color w:val="000000" w:themeColor="text1"/>
        </w:rPr>
        <w:t>’ and ‘$</w:t>
      </w:r>
      <w:r w:rsidR="001571BD" w:rsidRPr="00550D01">
        <w:rPr>
          <w:rFonts w:ascii="Calibri" w:hAnsi="Calibri" w:cs="Calibri"/>
          <w:color w:val="000000" w:themeColor="text1"/>
        </w:rPr>
        <w:t>5,625</w:t>
      </w:r>
      <w:r w:rsidR="00780113" w:rsidRPr="00550D01">
        <w:rPr>
          <w:rFonts w:ascii="Calibri" w:hAnsi="Calibri" w:cs="Calibri"/>
          <w:color w:val="000000" w:themeColor="text1"/>
        </w:rPr>
        <w:t>’ and replace with ‘$</w:t>
      </w:r>
      <w:r w:rsidR="008D57EA" w:rsidRPr="00550D01">
        <w:rPr>
          <w:rFonts w:ascii="Calibri" w:hAnsi="Calibri" w:cs="Calibri"/>
          <w:color w:val="000000" w:themeColor="text1"/>
        </w:rPr>
        <w:t>45.90</w:t>
      </w:r>
      <w:r w:rsidR="00780113" w:rsidRPr="00550D01">
        <w:rPr>
          <w:rFonts w:ascii="Calibri" w:hAnsi="Calibri" w:cs="Calibri"/>
          <w:color w:val="000000" w:themeColor="text1"/>
        </w:rPr>
        <w:t xml:space="preserve">’ and </w:t>
      </w:r>
      <w:r w:rsidR="00CF653E" w:rsidRPr="00550D01">
        <w:rPr>
          <w:rFonts w:ascii="Calibri" w:hAnsi="Calibri" w:cs="Calibri"/>
          <w:color w:val="000000" w:themeColor="text1"/>
        </w:rPr>
        <w:tab/>
      </w:r>
      <w:r w:rsidR="00780113" w:rsidRPr="00550D01">
        <w:rPr>
          <w:rFonts w:ascii="Calibri" w:hAnsi="Calibri" w:cs="Calibri"/>
          <w:color w:val="000000" w:themeColor="text1"/>
        </w:rPr>
        <w:t>‘$</w:t>
      </w:r>
      <w:r w:rsidR="00B40B4B" w:rsidRPr="00550D01">
        <w:rPr>
          <w:rFonts w:ascii="Calibri" w:hAnsi="Calibri" w:cs="Calibri"/>
          <w:color w:val="000000" w:themeColor="text1"/>
        </w:rPr>
        <w:t>5,738</w:t>
      </w:r>
      <w:r w:rsidR="00780113" w:rsidRPr="00550D01">
        <w:rPr>
          <w:rFonts w:ascii="Calibri" w:hAnsi="Calibri" w:cs="Calibri"/>
          <w:color w:val="000000" w:themeColor="text1"/>
        </w:rPr>
        <w:t>’, respectively.</w:t>
      </w:r>
    </w:p>
    <w:p w14:paraId="5483B5A8" w14:textId="4643C9CE" w:rsidR="00E76D20" w:rsidRPr="00550D01" w:rsidRDefault="00E76D20" w:rsidP="00FC05C4">
      <w:pPr>
        <w:pStyle w:val="Parapraph"/>
        <w:numPr>
          <w:ilvl w:val="0"/>
          <w:numId w:val="17"/>
        </w:numPr>
        <w:ind w:left="360"/>
        <w:rPr>
          <w:rFonts w:ascii="Calibri" w:hAnsi="Calibri" w:cs="Calibri"/>
          <w:color w:val="000000" w:themeColor="text1"/>
        </w:rPr>
      </w:pPr>
      <w:r w:rsidRPr="00550D01">
        <w:rPr>
          <w:rFonts w:ascii="Calibri" w:hAnsi="Calibri" w:cs="Calibri"/>
          <w:color w:val="000000" w:themeColor="text1"/>
        </w:rPr>
        <w:t xml:space="preserve">This Determination commences on </w:t>
      </w:r>
      <w:r w:rsidR="001571BD" w:rsidRPr="00550D01">
        <w:rPr>
          <w:rFonts w:ascii="Calibri" w:hAnsi="Calibri" w:cs="Calibri"/>
          <w:color w:val="000000" w:themeColor="text1"/>
        </w:rPr>
        <w:t>1</w:t>
      </w:r>
      <w:r w:rsidRPr="00550D01">
        <w:rPr>
          <w:rFonts w:ascii="Calibri" w:hAnsi="Calibri" w:cs="Calibri"/>
          <w:color w:val="000000" w:themeColor="text1"/>
        </w:rPr>
        <w:t xml:space="preserve"> </w:t>
      </w:r>
      <w:r w:rsidR="001571BD" w:rsidRPr="00550D01">
        <w:rPr>
          <w:rFonts w:ascii="Calibri" w:hAnsi="Calibri" w:cs="Calibri"/>
          <w:color w:val="000000" w:themeColor="text1"/>
        </w:rPr>
        <w:t>July</w:t>
      </w:r>
      <w:r w:rsidRPr="00550D01">
        <w:rPr>
          <w:rFonts w:ascii="Calibri" w:hAnsi="Calibri" w:cs="Calibri"/>
          <w:color w:val="000000" w:themeColor="text1"/>
        </w:rPr>
        <w:t xml:space="preserve"> 202</w:t>
      </w:r>
      <w:r w:rsidR="001571BD" w:rsidRPr="00550D01">
        <w:rPr>
          <w:rFonts w:ascii="Calibri" w:hAnsi="Calibri" w:cs="Calibri"/>
          <w:color w:val="000000" w:themeColor="text1"/>
        </w:rPr>
        <w:t>3</w:t>
      </w:r>
      <w:r w:rsidRPr="00550D01">
        <w:rPr>
          <w:rFonts w:ascii="Calibri" w:hAnsi="Calibri" w:cs="Calibri"/>
          <w:color w:val="000000" w:themeColor="text1"/>
        </w:rPr>
        <w:t xml:space="preserve">. </w:t>
      </w:r>
    </w:p>
    <w:p w14:paraId="57A18F1B" w14:textId="1C20A46D" w:rsidR="007231E0" w:rsidRPr="00550D01" w:rsidRDefault="00E76D20" w:rsidP="00FC05C4">
      <w:pPr>
        <w:pStyle w:val="Parapraph"/>
        <w:numPr>
          <w:ilvl w:val="0"/>
          <w:numId w:val="17"/>
        </w:numPr>
        <w:ind w:left="360"/>
        <w:rPr>
          <w:rFonts w:ascii="Calibri" w:hAnsi="Calibri" w:cs="Calibri"/>
          <w:color w:val="000000" w:themeColor="text1"/>
        </w:rPr>
      </w:pPr>
      <w:r w:rsidRPr="00550D01">
        <w:rPr>
          <w:rFonts w:ascii="Calibri" w:hAnsi="Calibri" w:cs="Calibri"/>
          <w:color w:val="000000" w:themeColor="text1"/>
        </w:rPr>
        <w:t xml:space="preserve">The </w:t>
      </w:r>
      <w:r w:rsidR="00D12F93" w:rsidRPr="00550D01">
        <w:rPr>
          <w:rFonts w:ascii="Calibri" w:eastAsia="Calibri" w:hAnsi="Calibri" w:cs="Calibri"/>
          <w:i/>
          <w:iCs/>
          <w:color w:val="000000" w:themeColor="text1"/>
        </w:rPr>
        <w:t>Allowance payable to Mayors, Deputy Mayors and Councillors</w:t>
      </w:r>
      <w:r w:rsidR="00D12F93" w:rsidRPr="00550D01">
        <w:rPr>
          <w:rFonts w:ascii="Calibri" w:hAnsi="Calibri" w:cs="Calibri"/>
          <w:i/>
          <w:iCs/>
          <w:color w:val="000000" w:themeColor="text1"/>
        </w:rPr>
        <w:t xml:space="preserve"> </w:t>
      </w:r>
      <w:r w:rsidRPr="00550D01">
        <w:rPr>
          <w:rFonts w:ascii="Calibri" w:hAnsi="Calibri" w:cs="Calibri"/>
          <w:i/>
          <w:iCs/>
          <w:color w:val="000000" w:themeColor="text1"/>
        </w:rPr>
        <w:t>(Victoria) Determination No. 01/202</w:t>
      </w:r>
      <w:r w:rsidR="00D12F93" w:rsidRPr="00550D01">
        <w:rPr>
          <w:rFonts w:ascii="Calibri" w:hAnsi="Calibri" w:cs="Calibri"/>
          <w:i/>
          <w:iCs/>
          <w:color w:val="000000" w:themeColor="text1"/>
        </w:rPr>
        <w:t>2</w:t>
      </w:r>
      <w:r w:rsidRPr="00550D01">
        <w:rPr>
          <w:rFonts w:ascii="Calibri" w:hAnsi="Calibri" w:cs="Calibri"/>
          <w:color w:val="000000" w:themeColor="text1"/>
        </w:rPr>
        <w:t xml:space="preserve"> as varied is available on the Tribunal’s website.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1"/>
        <w:gridCol w:w="2831"/>
        <w:gridCol w:w="2832"/>
      </w:tblGrid>
      <w:tr w:rsidR="00081F0B" w:rsidRPr="001939CF" w14:paraId="689F8CA6" w14:textId="77777777" w:rsidTr="006078D5">
        <w:tc>
          <w:tcPr>
            <w:tcW w:w="2831" w:type="dxa"/>
            <w:vAlign w:val="center"/>
          </w:tcPr>
          <w:p w14:paraId="2E53F1EF" w14:textId="77777777" w:rsidR="00081F0B" w:rsidRPr="001939CF" w:rsidRDefault="00081F0B" w:rsidP="008D7C73">
            <w:pPr>
              <w:pStyle w:val="Instrumenttableofcontents"/>
              <w:spacing w:after="0"/>
              <w:rPr>
                <w:rFonts w:ascii="Calibri" w:hAnsi="Calibri" w:cs="Calibri"/>
                <w:bCs w:val="0"/>
              </w:rPr>
            </w:pPr>
            <w:r>
              <w:rPr>
                <w:noProof/>
              </w:rPr>
              <w:drawing>
                <wp:inline distT="0" distB="0" distL="0" distR="0" wp14:anchorId="4A004736" wp14:editId="621030E8">
                  <wp:extent cx="1466850" cy="508000"/>
                  <wp:effectExtent l="0" t="0" r="0" b="6350"/>
                  <wp:docPr id="1" name="Picture 1" descr="Warren McCan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arren McCann's signature"/>
                          <pic:cNvPicPr>
                            <a:picLocks noChangeAspect="1"/>
                          </pic:cNvPicPr>
                        </pic:nvPicPr>
                        <pic:blipFill>
                          <a:blip r:embed="rId15"/>
                          <a:stretch>
                            <a:fillRect/>
                          </a:stretch>
                        </pic:blipFill>
                        <pic:spPr>
                          <a:xfrm>
                            <a:off x="0" y="0"/>
                            <a:ext cx="1466850" cy="508000"/>
                          </a:xfrm>
                          <a:prstGeom prst="rect">
                            <a:avLst/>
                          </a:prstGeom>
                        </pic:spPr>
                      </pic:pic>
                    </a:graphicData>
                  </a:graphic>
                </wp:inline>
              </w:drawing>
            </w:r>
          </w:p>
        </w:tc>
        <w:tc>
          <w:tcPr>
            <w:tcW w:w="2831" w:type="dxa"/>
            <w:vAlign w:val="bottom"/>
          </w:tcPr>
          <w:p w14:paraId="65753AE2" w14:textId="77777777" w:rsidR="00081F0B" w:rsidRPr="001939CF" w:rsidRDefault="00081F0B" w:rsidP="008D7C73">
            <w:pPr>
              <w:pStyle w:val="Instrumenttableofcontents"/>
              <w:jc w:val="left"/>
              <w:rPr>
                <w:rFonts w:ascii="Calibri" w:hAnsi="Calibri" w:cs="Calibri"/>
                <w:bCs w:val="0"/>
              </w:rPr>
            </w:pPr>
            <w:r>
              <w:rPr>
                <w:noProof/>
              </w:rPr>
              <w:drawing>
                <wp:inline distT="0" distB="0" distL="0" distR="0" wp14:anchorId="54D229CC" wp14:editId="1784BF54">
                  <wp:extent cx="1671320" cy="495300"/>
                  <wp:effectExtent l="0" t="0" r="5080" b="0"/>
                  <wp:docPr id="9" name="Picture 9" descr="The Honourable Jennifer Act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e Honourable Jennifer Acton's signature"/>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71320" cy="495300"/>
                          </a:xfrm>
                          <a:prstGeom prst="rect">
                            <a:avLst/>
                          </a:prstGeom>
                          <a:noFill/>
                          <a:ln>
                            <a:noFill/>
                          </a:ln>
                        </pic:spPr>
                      </pic:pic>
                    </a:graphicData>
                  </a:graphic>
                </wp:inline>
              </w:drawing>
            </w:r>
          </w:p>
        </w:tc>
        <w:tc>
          <w:tcPr>
            <w:tcW w:w="2832" w:type="dxa"/>
            <w:vAlign w:val="center"/>
          </w:tcPr>
          <w:p w14:paraId="5D60E0DE" w14:textId="77777777" w:rsidR="00081F0B" w:rsidRPr="001939CF" w:rsidRDefault="00081F0B" w:rsidP="008D7C73">
            <w:pPr>
              <w:pStyle w:val="Instrumenttableofcontents"/>
              <w:rPr>
                <w:rFonts w:ascii="Calibri" w:hAnsi="Calibri" w:cs="Calibri"/>
                <w:bCs w:val="0"/>
              </w:rPr>
            </w:pPr>
            <w:r>
              <w:rPr>
                <w:noProof/>
              </w:rPr>
              <w:drawing>
                <wp:inline distT="0" distB="0" distL="0" distR="0" wp14:anchorId="441A8C35" wp14:editId="3879B155">
                  <wp:extent cx="1661160" cy="294640"/>
                  <wp:effectExtent l="0" t="0" r="0" b="0"/>
                  <wp:docPr id="235" name="Picture 235" descr="Laurinda Gardner'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Laurinda Gardner's signature"/>
                          <pic:cNvPicPr>
                            <a:picLocks noChangeAspect="1"/>
                          </pic:cNvPicPr>
                        </pic:nvPicPr>
                        <pic:blipFill>
                          <a:blip r:embed="rId17"/>
                          <a:stretch>
                            <a:fillRect/>
                          </a:stretch>
                        </pic:blipFill>
                        <pic:spPr>
                          <a:xfrm>
                            <a:off x="0" y="0"/>
                            <a:ext cx="1661160" cy="294640"/>
                          </a:xfrm>
                          <a:prstGeom prst="rect">
                            <a:avLst/>
                          </a:prstGeom>
                        </pic:spPr>
                      </pic:pic>
                    </a:graphicData>
                  </a:graphic>
                </wp:inline>
              </w:drawing>
            </w:r>
          </w:p>
        </w:tc>
      </w:tr>
      <w:tr w:rsidR="00081F0B" w:rsidRPr="001939CF" w14:paraId="614DDE90" w14:textId="77777777" w:rsidTr="008D7C73">
        <w:tc>
          <w:tcPr>
            <w:tcW w:w="2831" w:type="dxa"/>
          </w:tcPr>
          <w:p w14:paraId="4BE39AA4" w14:textId="77777777" w:rsidR="00081F0B" w:rsidRPr="001939CF" w:rsidRDefault="00081F0B" w:rsidP="008D7C73">
            <w:pPr>
              <w:pStyle w:val="Instrumenttableofcontents"/>
              <w:spacing w:after="0"/>
              <w:rPr>
                <w:rFonts w:ascii="Calibri" w:hAnsi="Calibri" w:cs="Calibri"/>
                <w:bCs w:val="0"/>
              </w:rPr>
            </w:pPr>
            <w:r w:rsidRPr="001939CF">
              <w:rPr>
                <w:rFonts w:ascii="Calibri" w:hAnsi="Calibri" w:cs="Calibri"/>
                <w:bCs w:val="0"/>
              </w:rPr>
              <w:t>Warren McCann</w:t>
            </w:r>
          </w:p>
        </w:tc>
        <w:tc>
          <w:tcPr>
            <w:tcW w:w="2831" w:type="dxa"/>
          </w:tcPr>
          <w:p w14:paraId="75B0535A" w14:textId="77777777" w:rsidR="00081F0B" w:rsidRPr="001939CF" w:rsidRDefault="00081F0B" w:rsidP="008D7C73">
            <w:pPr>
              <w:pStyle w:val="Instrumenttableofcontents"/>
              <w:jc w:val="left"/>
              <w:rPr>
                <w:rFonts w:ascii="Calibri" w:hAnsi="Calibri" w:cs="Calibri"/>
                <w:bCs w:val="0"/>
              </w:rPr>
            </w:pPr>
            <w:r w:rsidRPr="001939CF">
              <w:rPr>
                <w:rFonts w:ascii="Calibri" w:hAnsi="Calibri" w:cs="Calibri"/>
                <w:bCs w:val="0"/>
              </w:rPr>
              <w:t>The  Honourable Jennifer Acton</w:t>
            </w:r>
          </w:p>
        </w:tc>
        <w:tc>
          <w:tcPr>
            <w:tcW w:w="2832" w:type="dxa"/>
          </w:tcPr>
          <w:p w14:paraId="087A925E" w14:textId="77777777" w:rsidR="00081F0B" w:rsidRPr="001939CF" w:rsidRDefault="00081F0B" w:rsidP="008D7C73">
            <w:pPr>
              <w:pStyle w:val="Instrumenttableofcontents"/>
              <w:rPr>
                <w:rFonts w:ascii="Calibri" w:hAnsi="Calibri" w:cs="Calibri"/>
                <w:bCs w:val="0"/>
              </w:rPr>
            </w:pPr>
            <w:r w:rsidRPr="001939CF">
              <w:rPr>
                <w:rFonts w:ascii="Calibri" w:hAnsi="Calibri" w:cs="Calibri"/>
                <w:bCs w:val="0"/>
              </w:rPr>
              <w:t>Laurinda Gardner</w:t>
            </w:r>
          </w:p>
        </w:tc>
      </w:tr>
      <w:tr w:rsidR="00081F0B" w:rsidRPr="001939CF" w14:paraId="6CBE4832" w14:textId="77777777" w:rsidTr="008D7C73">
        <w:tc>
          <w:tcPr>
            <w:tcW w:w="2831" w:type="dxa"/>
          </w:tcPr>
          <w:p w14:paraId="03601FEB" w14:textId="77777777" w:rsidR="00081F0B" w:rsidRPr="001939CF" w:rsidRDefault="00081F0B" w:rsidP="008D7C73">
            <w:pPr>
              <w:pStyle w:val="Instrumenttableofcontents"/>
              <w:spacing w:after="0"/>
              <w:rPr>
                <w:rFonts w:ascii="Calibri" w:hAnsi="Calibri" w:cs="Calibri"/>
                <w:bCs w:val="0"/>
                <w:i/>
                <w:iCs/>
              </w:rPr>
            </w:pPr>
            <w:r w:rsidRPr="001939CF">
              <w:rPr>
                <w:rFonts w:ascii="Calibri" w:hAnsi="Calibri" w:cs="Calibri"/>
                <w:bCs w:val="0"/>
                <w:i/>
                <w:iCs/>
              </w:rPr>
              <w:t>Chair</w:t>
            </w:r>
          </w:p>
        </w:tc>
        <w:tc>
          <w:tcPr>
            <w:tcW w:w="2831" w:type="dxa"/>
          </w:tcPr>
          <w:p w14:paraId="19B5398A" w14:textId="77777777" w:rsidR="00081F0B" w:rsidRPr="001939CF" w:rsidRDefault="00081F0B" w:rsidP="008D7C73">
            <w:pPr>
              <w:pStyle w:val="Instrumenttableofcontents"/>
              <w:jc w:val="left"/>
              <w:rPr>
                <w:rFonts w:ascii="Calibri" w:hAnsi="Calibri" w:cs="Calibri"/>
                <w:bCs w:val="0"/>
                <w:i/>
                <w:iCs/>
              </w:rPr>
            </w:pPr>
            <w:r w:rsidRPr="001939CF">
              <w:rPr>
                <w:rFonts w:ascii="Calibri" w:hAnsi="Calibri" w:cs="Calibri"/>
                <w:bCs w:val="0"/>
                <w:i/>
                <w:iCs/>
              </w:rPr>
              <w:t>Member</w:t>
            </w:r>
          </w:p>
        </w:tc>
        <w:tc>
          <w:tcPr>
            <w:tcW w:w="2832" w:type="dxa"/>
          </w:tcPr>
          <w:p w14:paraId="586D1B54" w14:textId="77777777" w:rsidR="00081F0B" w:rsidRPr="001939CF" w:rsidRDefault="00081F0B" w:rsidP="008D7C73">
            <w:pPr>
              <w:pStyle w:val="Instrumenttableofcontents"/>
              <w:rPr>
                <w:rFonts w:ascii="Calibri" w:hAnsi="Calibri" w:cs="Calibri"/>
                <w:bCs w:val="0"/>
                <w:i/>
                <w:iCs/>
              </w:rPr>
            </w:pPr>
            <w:r w:rsidRPr="001939CF">
              <w:rPr>
                <w:rFonts w:ascii="Calibri" w:hAnsi="Calibri" w:cs="Calibri"/>
                <w:bCs w:val="0"/>
                <w:i/>
                <w:iCs/>
              </w:rPr>
              <w:t>Member</w:t>
            </w:r>
          </w:p>
        </w:tc>
      </w:tr>
      <w:tr w:rsidR="00081F0B" w:rsidRPr="00192E0F" w14:paraId="2226EA89" w14:textId="77777777" w:rsidTr="008D7C73">
        <w:tc>
          <w:tcPr>
            <w:tcW w:w="2831" w:type="dxa"/>
          </w:tcPr>
          <w:p w14:paraId="5AE48878" w14:textId="77777777" w:rsidR="00081F0B" w:rsidRPr="00A30425" w:rsidRDefault="00081F0B" w:rsidP="008D7C73">
            <w:pPr>
              <w:pStyle w:val="Instrumenttableofcontents"/>
              <w:jc w:val="left"/>
              <w:rPr>
                <w:rFonts w:ascii="Calibri" w:hAnsi="Calibri" w:cs="Calibri"/>
                <w:noProof/>
              </w:rPr>
            </w:pPr>
            <w:r>
              <w:rPr>
                <w:rFonts w:ascii="Calibri" w:hAnsi="Calibri" w:cs="Calibri"/>
                <w:noProof/>
              </w:rPr>
              <w:t>Victorian Independent Remuneration Tribunal</w:t>
            </w:r>
          </w:p>
        </w:tc>
        <w:tc>
          <w:tcPr>
            <w:tcW w:w="2831" w:type="dxa"/>
          </w:tcPr>
          <w:p w14:paraId="0C54496D" w14:textId="77777777" w:rsidR="00081F0B" w:rsidRDefault="00081F0B" w:rsidP="008D7C73">
            <w:pPr>
              <w:pStyle w:val="Instrumenttableofcontents"/>
              <w:jc w:val="left"/>
              <w:rPr>
                <w:bCs w:val="0"/>
              </w:rPr>
            </w:pPr>
            <w:r>
              <w:rPr>
                <w:rFonts w:ascii="Calibri" w:hAnsi="Calibri" w:cs="Calibri"/>
                <w:noProof/>
              </w:rPr>
              <w:t>Victorian Independent Remuneration Tribunal</w:t>
            </w:r>
          </w:p>
        </w:tc>
        <w:tc>
          <w:tcPr>
            <w:tcW w:w="2832" w:type="dxa"/>
          </w:tcPr>
          <w:p w14:paraId="1891884F" w14:textId="77777777" w:rsidR="00081F0B" w:rsidRPr="00192E0F" w:rsidRDefault="00081F0B" w:rsidP="008D7C73">
            <w:pPr>
              <w:pStyle w:val="Instrumenttableofcontents"/>
              <w:jc w:val="left"/>
              <w:rPr>
                <w:bCs w:val="0"/>
                <w:sz w:val="4"/>
                <w:szCs w:val="4"/>
              </w:rPr>
            </w:pPr>
            <w:r>
              <w:rPr>
                <w:rFonts w:ascii="Calibri" w:hAnsi="Calibri" w:cs="Calibri"/>
                <w:noProof/>
              </w:rPr>
              <w:t>Victorian Independent Remuneration Tribunal</w:t>
            </w:r>
          </w:p>
        </w:tc>
      </w:tr>
    </w:tbl>
    <w:p w14:paraId="7AB0FAA3" w14:textId="56789EA6" w:rsidR="006E4E5B" w:rsidRDefault="00B1131E" w:rsidP="002229FF">
      <w:pPr>
        <w:pStyle w:val="05Paragraph"/>
      </w:pPr>
      <w:r w:rsidRPr="00CB2CFE">
        <w:t xml:space="preserve">Date: </w:t>
      </w:r>
      <w:r w:rsidR="00643B21">
        <w:t>30</w:t>
      </w:r>
      <w:r w:rsidRPr="00CB2CFE">
        <w:t>/</w:t>
      </w:r>
      <w:r w:rsidR="001571BD">
        <w:t>06</w:t>
      </w:r>
      <w:r w:rsidRPr="00CB2CFE">
        <w:t>/202</w:t>
      </w:r>
      <w:bookmarkStart w:id="12" w:name="_Toc74833626"/>
      <w:bookmarkStart w:id="13" w:name="_Toc74833666"/>
      <w:r w:rsidR="001571BD">
        <w:t>3</w:t>
      </w:r>
      <w:r w:rsidR="006E4E5B">
        <w:br w:type="page"/>
      </w:r>
    </w:p>
    <w:bookmarkEnd w:id="6"/>
    <w:bookmarkEnd w:id="12"/>
    <w:bookmarkEnd w:id="13"/>
    <w:p w14:paraId="490CCA31" w14:textId="289D46F4" w:rsidR="00B1131E" w:rsidRPr="00C41AE0" w:rsidRDefault="00B1131E" w:rsidP="00B1131E">
      <w:pPr>
        <w:ind w:left="-426" w:right="701"/>
        <w:outlineLvl w:val="0"/>
        <w:rPr>
          <w:rFonts w:ascii="Calibri Light" w:hAnsi="Calibri Light" w:cs="Calibri Light"/>
          <w:color w:val="FFFFFF" w:themeColor="background1"/>
          <w:szCs w:val="20"/>
        </w:rPr>
      </w:pPr>
    </w:p>
    <w:p w14:paraId="0AB5972A" w14:textId="34B7C4B3" w:rsidR="00B1131E" w:rsidRPr="00C41AE0" w:rsidRDefault="00B1131E" w:rsidP="00B1131E">
      <w:pPr>
        <w:ind w:left="-426" w:right="701"/>
        <w:outlineLvl w:val="0"/>
        <w:rPr>
          <w:rFonts w:ascii="Calibri Light" w:hAnsi="Calibri Light" w:cs="Calibri Light"/>
          <w:color w:val="FFFFFF" w:themeColor="background1"/>
          <w:szCs w:val="20"/>
        </w:rPr>
      </w:pPr>
    </w:p>
    <w:p w14:paraId="7374E62B" w14:textId="5922B6B8" w:rsidR="00B1131E" w:rsidRDefault="00B1131E" w:rsidP="00B1131E">
      <w:pPr>
        <w:ind w:left="-426" w:right="701"/>
        <w:outlineLvl w:val="0"/>
        <w:rPr>
          <w:rFonts w:ascii="Calibri Light" w:hAnsi="Calibri Light" w:cs="Calibri Light"/>
          <w:color w:val="FFFFFF" w:themeColor="background1"/>
          <w:szCs w:val="20"/>
        </w:rPr>
      </w:pPr>
    </w:p>
    <w:p w14:paraId="23C8A06A" w14:textId="62BEC7BD" w:rsidR="00B1131E" w:rsidRDefault="00B1131E" w:rsidP="00B1131E">
      <w:pPr>
        <w:ind w:left="-426" w:right="701"/>
        <w:outlineLvl w:val="0"/>
        <w:rPr>
          <w:rFonts w:ascii="Calibri Light" w:hAnsi="Calibri Light" w:cs="Calibri Light"/>
          <w:color w:val="FFFFFF" w:themeColor="background1"/>
          <w:szCs w:val="20"/>
        </w:rPr>
      </w:pPr>
    </w:p>
    <w:p w14:paraId="4C019791" w14:textId="77777777" w:rsidR="00B1131E" w:rsidRPr="00C41AE0" w:rsidRDefault="00B1131E" w:rsidP="00B1131E">
      <w:pPr>
        <w:ind w:left="-426" w:right="701"/>
        <w:outlineLvl w:val="0"/>
        <w:rPr>
          <w:rFonts w:ascii="Calibri Light" w:hAnsi="Calibri Light" w:cs="Calibri Light"/>
          <w:color w:val="FFFFFF" w:themeColor="background1"/>
          <w:szCs w:val="20"/>
        </w:rPr>
      </w:pPr>
    </w:p>
    <w:p w14:paraId="66AEFD80" w14:textId="77777777" w:rsidR="00B1131E" w:rsidRPr="00633B74" w:rsidRDefault="00B1131E" w:rsidP="00B1131E">
      <w:pPr>
        <w:ind w:left="-426" w:right="701"/>
        <w:outlineLvl w:val="0"/>
        <w:rPr>
          <w:rFonts w:asciiTheme="minorHAnsi" w:hAnsiTheme="minorHAnsi" w:cs="@MS PMincho"/>
          <w:color w:val="FFFFFF" w:themeColor="background1"/>
          <w:sz w:val="68"/>
          <w:szCs w:val="68"/>
        </w:rPr>
      </w:pPr>
    </w:p>
    <w:p w14:paraId="623FF755" w14:textId="77777777" w:rsidR="00B1131E" w:rsidRPr="00633B74" w:rsidRDefault="00B1131E" w:rsidP="00B1131E">
      <w:pPr>
        <w:ind w:left="-426" w:right="701"/>
        <w:outlineLvl w:val="0"/>
        <w:rPr>
          <w:rFonts w:asciiTheme="minorHAnsi" w:hAnsiTheme="minorHAnsi" w:cs="@MS PMincho"/>
          <w:color w:val="FFFFFF" w:themeColor="background1"/>
          <w:sz w:val="68"/>
          <w:szCs w:val="68"/>
        </w:rPr>
      </w:pPr>
    </w:p>
    <w:p w14:paraId="4B005DEE" w14:textId="04FDBF01" w:rsidR="00B1131E" w:rsidRPr="00504E62" w:rsidRDefault="00390465" w:rsidP="00B1131E">
      <w:pPr>
        <w:ind w:left="-426" w:right="701"/>
        <w:outlineLvl w:val="0"/>
        <w:rPr>
          <w:color w:val="26664E" w:themeColor="accent1"/>
        </w:rPr>
      </w:pPr>
      <w:r w:rsidRPr="00504E62">
        <w:rPr>
          <w:rFonts w:asciiTheme="minorHAnsi" w:hAnsiTheme="minorHAnsi" w:cs="@MS PMincho"/>
          <w:color w:val="26664E" w:themeColor="accent1"/>
          <w:sz w:val="68"/>
          <w:szCs w:val="68"/>
        </w:rPr>
        <w:t>Allowance payable to Mayors, Deputy Mayors and Councillors</w:t>
      </w:r>
      <w:r w:rsidR="00880D06" w:rsidRPr="00504E62">
        <w:rPr>
          <w:rFonts w:asciiTheme="minorHAnsi" w:hAnsiTheme="minorHAnsi" w:cs="@MS PMincho"/>
          <w:color w:val="26664E" w:themeColor="accent1"/>
          <w:sz w:val="68"/>
          <w:szCs w:val="68"/>
        </w:rPr>
        <w:t xml:space="preserve"> (Victoria)</w:t>
      </w:r>
      <w:r w:rsidR="004D0512" w:rsidRPr="00504E62">
        <w:rPr>
          <w:rFonts w:asciiTheme="minorHAnsi" w:hAnsiTheme="minorHAnsi" w:cs="@MS PMincho"/>
          <w:color w:val="26664E" w:themeColor="accent1"/>
          <w:sz w:val="68"/>
          <w:szCs w:val="68"/>
        </w:rPr>
        <w:br/>
      </w:r>
      <w:r w:rsidR="00880D06" w:rsidRPr="00504E62">
        <w:rPr>
          <w:rFonts w:asciiTheme="minorHAnsi" w:hAnsiTheme="minorHAnsi" w:cs="@MS PMincho"/>
          <w:color w:val="26664E" w:themeColor="accent1"/>
          <w:sz w:val="68"/>
          <w:szCs w:val="68"/>
        </w:rPr>
        <w:t>Annual Adjustment Determination 202</w:t>
      </w:r>
      <w:r w:rsidR="00BD745B" w:rsidRPr="00504E62">
        <w:rPr>
          <w:rFonts w:asciiTheme="minorHAnsi" w:hAnsiTheme="minorHAnsi" w:cs="@MS PMincho"/>
          <w:color w:val="26664E" w:themeColor="accent1"/>
          <w:sz w:val="68"/>
          <w:szCs w:val="68"/>
        </w:rPr>
        <w:t>3</w:t>
      </w:r>
    </w:p>
    <w:p w14:paraId="68205C6F" w14:textId="77777777" w:rsidR="00B1131E" w:rsidRPr="00504E62" w:rsidRDefault="00B1131E" w:rsidP="00B1131E">
      <w:pPr>
        <w:rPr>
          <w:color w:val="26664E" w:themeColor="accent1"/>
        </w:rPr>
      </w:pPr>
    </w:p>
    <w:p w14:paraId="3C86FA85" w14:textId="77777777" w:rsidR="00B1131E" w:rsidRPr="00504E62" w:rsidRDefault="00B1131E" w:rsidP="00B1131E">
      <w:pPr>
        <w:rPr>
          <w:color w:val="26664E" w:themeColor="accent1"/>
        </w:rPr>
      </w:pPr>
    </w:p>
    <w:p w14:paraId="2145A53F" w14:textId="77777777" w:rsidR="00B1131E" w:rsidRPr="00504E62" w:rsidRDefault="00B1131E" w:rsidP="00B1131E">
      <w:pPr>
        <w:rPr>
          <w:color w:val="26664E" w:themeColor="accent1"/>
        </w:rPr>
      </w:pPr>
    </w:p>
    <w:p w14:paraId="07E12F11" w14:textId="77777777" w:rsidR="00B1131E" w:rsidRPr="00504E62" w:rsidRDefault="00B1131E" w:rsidP="00B1131E">
      <w:pPr>
        <w:ind w:left="-426" w:right="701"/>
        <w:outlineLvl w:val="0"/>
        <w:rPr>
          <w:rFonts w:asciiTheme="minorHAnsi" w:hAnsiTheme="minorHAnsi" w:cs="@MS PMincho"/>
          <w:color w:val="26664E" w:themeColor="accent1"/>
          <w:sz w:val="56"/>
          <w:szCs w:val="56"/>
        </w:rPr>
      </w:pPr>
      <w:r w:rsidRPr="00504E62">
        <w:rPr>
          <w:rFonts w:asciiTheme="minorHAnsi" w:hAnsiTheme="minorHAnsi" w:cs="@MS PMincho"/>
          <w:color w:val="26664E" w:themeColor="accent1"/>
          <w:sz w:val="56"/>
          <w:szCs w:val="56"/>
        </w:rPr>
        <w:t>Statement of Reasons</w:t>
      </w:r>
    </w:p>
    <w:p w14:paraId="64D75619" w14:textId="77777777" w:rsidR="00B1131E" w:rsidRDefault="00B1131E" w:rsidP="00B1131E">
      <w:pPr>
        <w:ind w:left="-426" w:right="701"/>
        <w:outlineLvl w:val="0"/>
        <w:rPr>
          <w:rFonts w:asciiTheme="minorHAnsi" w:hAnsiTheme="minorHAnsi" w:cs="@MS PMincho"/>
          <w:color w:val="FFFFFF" w:themeColor="background1"/>
          <w:sz w:val="56"/>
          <w:szCs w:val="56"/>
        </w:rPr>
      </w:pPr>
    </w:p>
    <w:p w14:paraId="340EDC64" w14:textId="7DCC1D32" w:rsidR="00B1131E" w:rsidRPr="00B04C96" w:rsidRDefault="00B1131E" w:rsidP="00B1131E">
      <w:pPr>
        <w:ind w:left="-426" w:right="701"/>
        <w:outlineLvl w:val="0"/>
        <w:rPr>
          <w:rFonts w:asciiTheme="minorHAnsi" w:hAnsiTheme="minorHAnsi" w:cs="@MS PMincho"/>
          <w:color w:val="FFFFFF" w:themeColor="background1"/>
          <w:sz w:val="56"/>
          <w:szCs w:val="56"/>
        </w:rPr>
        <w:sectPr w:rsidR="00B1131E" w:rsidRPr="00B04C96" w:rsidSect="00C3360F">
          <w:headerReference w:type="even" r:id="rId18"/>
          <w:headerReference w:type="default" r:id="rId19"/>
          <w:footerReference w:type="default" r:id="rId20"/>
          <w:headerReference w:type="first" r:id="rId21"/>
          <w:pgSz w:w="11906" w:h="16838"/>
          <w:pgMar w:top="1701" w:right="1701" w:bottom="1559" w:left="1701" w:header="425" w:footer="709" w:gutter="0"/>
          <w:pgNumType w:start="1"/>
          <w:cols w:space="282"/>
          <w:docGrid w:linePitch="360"/>
        </w:sectPr>
      </w:pPr>
    </w:p>
    <w:p w14:paraId="124FBA31" w14:textId="400CB357" w:rsidR="00B1131E" w:rsidRDefault="00B1131E" w:rsidP="000C1B31">
      <w:pPr>
        <w:pStyle w:val="Style4"/>
      </w:pPr>
      <w:bookmarkStart w:id="14" w:name="_Toc114570544"/>
      <w:bookmarkStart w:id="15" w:name="_Toc120025946"/>
      <w:r w:rsidRPr="000C1B31">
        <w:rPr>
          <w:rStyle w:val="Style4Char"/>
        </w:rPr>
        <w:lastRenderedPageBreak/>
        <w:t>Contents</w:t>
      </w:r>
      <w:r w:rsidRPr="00C02C39">
        <w:br/>
      </w:r>
      <w:bookmarkEnd w:id="14"/>
      <w:bookmarkEnd w:id="15"/>
    </w:p>
    <w:sdt>
      <w:sdtPr>
        <w:rPr>
          <w:rFonts w:ascii="Arial" w:hAnsi="Arial" w:cstheme="minorBidi"/>
          <w:b w:val="0"/>
          <w:color w:val="7F7F7F" w:themeColor="text1" w:themeTint="80"/>
          <w:sz w:val="20"/>
          <w:szCs w:val="22"/>
        </w:rPr>
        <w:id w:val="1578161639"/>
        <w:docPartObj>
          <w:docPartGallery w:val="Table of Contents"/>
          <w:docPartUnique/>
        </w:docPartObj>
      </w:sdtPr>
      <w:sdtEndPr>
        <w:rPr>
          <w:rFonts w:ascii="Calibri Light" w:hAnsi="Calibri Light" w:cs="Arial"/>
          <w:b/>
          <w:sz w:val="26"/>
          <w:szCs w:val="20"/>
        </w:rPr>
      </w:sdtEndPr>
      <w:sdtContent>
        <w:p w14:paraId="4700E128" w14:textId="6800C26E" w:rsidR="00683533" w:rsidRPr="00683533" w:rsidRDefault="00683533">
          <w:pPr>
            <w:pStyle w:val="TOC1"/>
            <w:tabs>
              <w:tab w:val="right" w:leader="dot" w:pos="8494"/>
            </w:tabs>
            <w:rPr>
              <w:rFonts w:ascii="Calibri" w:eastAsiaTheme="minorEastAsia" w:hAnsi="Calibri" w:cs="Calibri"/>
              <w:b w:val="0"/>
              <w:noProof/>
              <w:color w:val="auto"/>
              <w:sz w:val="22"/>
              <w:szCs w:val="22"/>
              <w:lang w:eastAsia="en-AU"/>
            </w:rPr>
          </w:pPr>
          <w:r>
            <w:rPr>
              <w:rFonts w:asciiTheme="majorHAnsi" w:eastAsiaTheme="majorEastAsia" w:hAnsiTheme="majorHAnsi" w:cstheme="majorBidi"/>
              <w:color w:val="000000" w:themeColor="text1"/>
              <w:sz w:val="28"/>
              <w:szCs w:val="28"/>
              <w:highlight w:val="yellow"/>
              <w:lang w:val="en-US"/>
            </w:rPr>
            <w:fldChar w:fldCharType="begin"/>
          </w:r>
          <w:r>
            <w:rPr>
              <w:rFonts w:asciiTheme="majorHAnsi" w:eastAsiaTheme="majorEastAsia" w:hAnsiTheme="majorHAnsi" w:cstheme="majorBidi"/>
              <w:color w:val="000000" w:themeColor="text1"/>
              <w:sz w:val="28"/>
              <w:szCs w:val="28"/>
              <w:highlight w:val="yellow"/>
              <w:lang w:val="en-US"/>
            </w:rPr>
            <w:instrText xml:space="preserve"> TOC \h \z \t "02. VIRT Heading 2,2,01. Chapter heading,1" </w:instrText>
          </w:r>
          <w:r>
            <w:rPr>
              <w:rFonts w:asciiTheme="majorHAnsi" w:eastAsiaTheme="majorEastAsia" w:hAnsiTheme="majorHAnsi" w:cstheme="majorBidi"/>
              <w:color w:val="000000" w:themeColor="text1"/>
              <w:sz w:val="28"/>
              <w:szCs w:val="28"/>
              <w:highlight w:val="yellow"/>
              <w:lang w:val="en-US"/>
            </w:rPr>
            <w:fldChar w:fldCharType="separate"/>
          </w:r>
          <w:hyperlink w:anchor="_Toc139011810" w:history="1">
            <w:r w:rsidRPr="00683533">
              <w:rPr>
                <w:rStyle w:val="Hyperlink"/>
                <w:rFonts w:ascii="Calibri" w:hAnsi="Calibri" w:cs="Calibri"/>
                <w:noProof/>
                <w:color w:val="auto"/>
              </w:rPr>
              <w:t>Abbreviations and glossary</w:t>
            </w:r>
            <w:r w:rsidRPr="00683533">
              <w:rPr>
                <w:rFonts w:ascii="Calibri" w:hAnsi="Calibri" w:cs="Calibri"/>
                <w:noProof/>
                <w:webHidden/>
                <w:color w:val="auto"/>
              </w:rPr>
              <w:tab/>
            </w:r>
            <w:r w:rsidRPr="00683533">
              <w:rPr>
                <w:rFonts w:ascii="Calibri" w:hAnsi="Calibri" w:cs="Calibri"/>
                <w:noProof/>
                <w:webHidden/>
                <w:color w:val="auto"/>
              </w:rPr>
              <w:fldChar w:fldCharType="begin"/>
            </w:r>
            <w:r w:rsidRPr="00683533">
              <w:rPr>
                <w:rFonts w:ascii="Calibri" w:hAnsi="Calibri" w:cs="Calibri"/>
                <w:noProof/>
                <w:webHidden/>
                <w:color w:val="auto"/>
              </w:rPr>
              <w:instrText xml:space="preserve"> PAGEREF _Toc139011810 \h </w:instrText>
            </w:r>
            <w:r w:rsidRPr="00683533">
              <w:rPr>
                <w:rFonts w:ascii="Calibri" w:hAnsi="Calibri" w:cs="Calibri"/>
                <w:noProof/>
                <w:webHidden/>
                <w:color w:val="auto"/>
              </w:rPr>
            </w:r>
            <w:r w:rsidRPr="00683533">
              <w:rPr>
                <w:rFonts w:ascii="Calibri" w:hAnsi="Calibri" w:cs="Calibri"/>
                <w:noProof/>
                <w:webHidden/>
                <w:color w:val="auto"/>
              </w:rPr>
              <w:fldChar w:fldCharType="separate"/>
            </w:r>
            <w:r w:rsidR="0017105B">
              <w:rPr>
                <w:rFonts w:ascii="Calibri" w:hAnsi="Calibri" w:cs="Calibri"/>
                <w:noProof/>
                <w:webHidden/>
                <w:color w:val="auto"/>
              </w:rPr>
              <w:t>7</w:t>
            </w:r>
            <w:r w:rsidRPr="00683533">
              <w:rPr>
                <w:rFonts w:ascii="Calibri" w:hAnsi="Calibri" w:cs="Calibri"/>
                <w:noProof/>
                <w:webHidden/>
                <w:color w:val="auto"/>
              </w:rPr>
              <w:fldChar w:fldCharType="end"/>
            </w:r>
          </w:hyperlink>
        </w:p>
        <w:p w14:paraId="07CA96B9" w14:textId="1A56774A" w:rsidR="00683533" w:rsidRPr="00683533" w:rsidRDefault="00B86910">
          <w:pPr>
            <w:pStyle w:val="TOC1"/>
            <w:tabs>
              <w:tab w:val="right" w:leader="dot" w:pos="8494"/>
            </w:tabs>
            <w:rPr>
              <w:rFonts w:ascii="Calibri" w:eastAsiaTheme="minorEastAsia" w:hAnsi="Calibri" w:cs="Calibri"/>
              <w:b w:val="0"/>
              <w:noProof/>
              <w:color w:val="auto"/>
              <w:sz w:val="22"/>
              <w:szCs w:val="22"/>
              <w:lang w:eastAsia="en-AU"/>
            </w:rPr>
          </w:pPr>
          <w:hyperlink w:anchor="_Toc139011811" w:history="1">
            <w:r w:rsidR="00683533" w:rsidRPr="00683533">
              <w:rPr>
                <w:rStyle w:val="Hyperlink"/>
                <w:rFonts w:ascii="Calibri" w:hAnsi="Calibri" w:cs="Calibri"/>
                <w:noProof/>
                <w:color w:val="auto"/>
              </w:rPr>
              <w:t>Summary</w:t>
            </w:r>
            <w:r w:rsidR="00683533" w:rsidRPr="00683533">
              <w:rPr>
                <w:rFonts w:ascii="Calibri" w:hAnsi="Calibri" w:cs="Calibri"/>
                <w:noProof/>
                <w:webHidden/>
                <w:color w:val="auto"/>
              </w:rPr>
              <w:tab/>
            </w:r>
            <w:r w:rsidR="00683533" w:rsidRPr="00683533">
              <w:rPr>
                <w:rFonts w:ascii="Calibri" w:hAnsi="Calibri" w:cs="Calibri"/>
                <w:noProof/>
                <w:webHidden/>
                <w:color w:val="auto"/>
              </w:rPr>
              <w:fldChar w:fldCharType="begin"/>
            </w:r>
            <w:r w:rsidR="00683533" w:rsidRPr="00683533">
              <w:rPr>
                <w:rFonts w:ascii="Calibri" w:hAnsi="Calibri" w:cs="Calibri"/>
                <w:noProof/>
                <w:webHidden/>
                <w:color w:val="auto"/>
              </w:rPr>
              <w:instrText xml:space="preserve"> PAGEREF _Toc139011811 \h </w:instrText>
            </w:r>
            <w:r w:rsidR="00683533" w:rsidRPr="00683533">
              <w:rPr>
                <w:rFonts w:ascii="Calibri" w:hAnsi="Calibri" w:cs="Calibri"/>
                <w:noProof/>
                <w:webHidden/>
                <w:color w:val="auto"/>
              </w:rPr>
            </w:r>
            <w:r w:rsidR="00683533" w:rsidRPr="00683533">
              <w:rPr>
                <w:rFonts w:ascii="Calibri" w:hAnsi="Calibri" w:cs="Calibri"/>
                <w:noProof/>
                <w:webHidden/>
                <w:color w:val="auto"/>
              </w:rPr>
              <w:fldChar w:fldCharType="separate"/>
            </w:r>
            <w:r w:rsidR="0017105B">
              <w:rPr>
                <w:rFonts w:ascii="Calibri" w:hAnsi="Calibri" w:cs="Calibri"/>
                <w:noProof/>
                <w:webHidden/>
                <w:color w:val="auto"/>
              </w:rPr>
              <w:t>9</w:t>
            </w:r>
            <w:r w:rsidR="00683533" w:rsidRPr="00683533">
              <w:rPr>
                <w:rFonts w:ascii="Calibri" w:hAnsi="Calibri" w:cs="Calibri"/>
                <w:noProof/>
                <w:webHidden/>
                <w:color w:val="auto"/>
              </w:rPr>
              <w:fldChar w:fldCharType="end"/>
            </w:r>
          </w:hyperlink>
        </w:p>
        <w:p w14:paraId="0204ECDC" w14:textId="48A17EC6" w:rsidR="00683533" w:rsidRPr="00683533" w:rsidRDefault="00B86910">
          <w:pPr>
            <w:pStyle w:val="TOC1"/>
            <w:tabs>
              <w:tab w:val="left" w:pos="510"/>
              <w:tab w:val="right" w:leader="dot" w:pos="8494"/>
            </w:tabs>
            <w:rPr>
              <w:rFonts w:ascii="Calibri" w:eastAsiaTheme="minorEastAsia" w:hAnsi="Calibri" w:cs="Calibri"/>
              <w:b w:val="0"/>
              <w:noProof/>
              <w:color w:val="auto"/>
              <w:sz w:val="22"/>
              <w:szCs w:val="22"/>
              <w:lang w:eastAsia="en-AU"/>
            </w:rPr>
          </w:pPr>
          <w:hyperlink w:anchor="_Toc139011812" w:history="1">
            <w:r w:rsidR="00683533" w:rsidRPr="00683533">
              <w:rPr>
                <w:rStyle w:val="Hyperlink"/>
                <w:rFonts w:ascii="Calibri" w:hAnsi="Calibri" w:cs="Calibri"/>
                <w:noProof/>
                <w:color w:val="auto"/>
              </w:rPr>
              <w:t>1</w:t>
            </w:r>
            <w:r w:rsidR="00683533" w:rsidRPr="00683533">
              <w:rPr>
                <w:rFonts w:ascii="Calibri" w:eastAsiaTheme="minorEastAsia" w:hAnsi="Calibri" w:cs="Calibri"/>
                <w:b w:val="0"/>
                <w:noProof/>
                <w:color w:val="auto"/>
                <w:sz w:val="22"/>
                <w:szCs w:val="22"/>
                <w:lang w:eastAsia="en-AU"/>
              </w:rPr>
              <w:tab/>
            </w:r>
            <w:r w:rsidR="00683533" w:rsidRPr="00683533">
              <w:rPr>
                <w:rStyle w:val="Hyperlink"/>
                <w:rFonts w:ascii="Calibri" w:hAnsi="Calibri" w:cs="Calibri"/>
                <w:noProof/>
                <w:color w:val="auto"/>
              </w:rPr>
              <w:t>Context</w:t>
            </w:r>
            <w:r w:rsidR="00683533" w:rsidRPr="00683533">
              <w:rPr>
                <w:rFonts w:ascii="Calibri" w:hAnsi="Calibri" w:cs="Calibri"/>
                <w:noProof/>
                <w:webHidden/>
                <w:color w:val="auto"/>
              </w:rPr>
              <w:tab/>
            </w:r>
            <w:r w:rsidR="00683533" w:rsidRPr="00683533">
              <w:rPr>
                <w:rFonts w:ascii="Calibri" w:hAnsi="Calibri" w:cs="Calibri"/>
                <w:noProof/>
                <w:webHidden/>
                <w:color w:val="auto"/>
              </w:rPr>
              <w:fldChar w:fldCharType="begin"/>
            </w:r>
            <w:r w:rsidR="00683533" w:rsidRPr="00683533">
              <w:rPr>
                <w:rFonts w:ascii="Calibri" w:hAnsi="Calibri" w:cs="Calibri"/>
                <w:noProof/>
                <w:webHidden/>
                <w:color w:val="auto"/>
              </w:rPr>
              <w:instrText xml:space="preserve"> PAGEREF _Toc139011812 \h </w:instrText>
            </w:r>
            <w:r w:rsidR="00683533" w:rsidRPr="00683533">
              <w:rPr>
                <w:rFonts w:ascii="Calibri" w:hAnsi="Calibri" w:cs="Calibri"/>
                <w:noProof/>
                <w:webHidden/>
                <w:color w:val="auto"/>
              </w:rPr>
            </w:r>
            <w:r w:rsidR="00683533" w:rsidRPr="00683533">
              <w:rPr>
                <w:rFonts w:ascii="Calibri" w:hAnsi="Calibri" w:cs="Calibri"/>
                <w:noProof/>
                <w:webHidden/>
                <w:color w:val="auto"/>
              </w:rPr>
              <w:fldChar w:fldCharType="separate"/>
            </w:r>
            <w:r w:rsidR="0017105B">
              <w:rPr>
                <w:rFonts w:ascii="Calibri" w:hAnsi="Calibri" w:cs="Calibri"/>
                <w:noProof/>
                <w:webHidden/>
                <w:color w:val="auto"/>
              </w:rPr>
              <w:t>11</w:t>
            </w:r>
            <w:r w:rsidR="00683533" w:rsidRPr="00683533">
              <w:rPr>
                <w:rFonts w:ascii="Calibri" w:hAnsi="Calibri" w:cs="Calibri"/>
                <w:noProof/>
                <w:webHidden/>
                <w:color w:val="auto"/>
              </w:rPr>
              <w:fldChar w:fldCharType="end"/>
            </w:r>
          </w:hyperlink>
        </w:p>
        <w:p w14:paraId="11FF6980" w14:textId="0BBC924A" w:rsidR="00683533" w:rsidRPr="00683533" w:rsidRDefault="00B86910">
          <w:pPr>
            <w:pStyle w:val="TOC2"/>
            <w:tabs>
              <w:tab w:val="left" w:pos="1200"/>
              <w:tab w:val="right" w:leader="dot" w:pos="8494"/>
            </w:tabs>
            <w:rPr>
              <w:rFonts w:ascii="Calibri" w:eastAsiaTheme="minorEastAsia" w:hAnsi="Calibri" w:cs="Calibri"/>
              <w:noProof/>
              <w:color w:val="auto"/>
              <w:sz w:val="22"/>
              <w:lang w:eastAsia="en-AU"/>
            </w:rPr>
          </w:pPr>
          <w:hyperlink w:anchor="_Toc139011813" w:history="1">
            <w:r w:rsidR="00683533" w:rsidRPr="00683533">
              <w:rPr>
                <w:rStyle w:val="Hyperlink"/>
                <w:rFonts w:ascii="Calibri" w:hAnsi="Calibri" w:cs="Calibri"/>
                <w:noProof/>
                <w:color w:val="auto"/>
              </w:rPr>
              <w:t>1.1</w:t>
            </w:r>
            <w:r w:rsidR="00683533" w:rsidRPr="00683533">
              <w:rPr>
                <w:rFonts w:ascii="Calibri" w:eastAsiaTheme="minorEastAsia" w:hAnsi="Calibri" w:cs="Calibri"/>
                <w:noProof/>
                <w:color w:val="auto"/>
                <w:sz w:val="22"/>
                <w:lang w:eastAsia="en-AU"/>
              </w:rPr>
              <w:tab/>
            </w:r>
            <w:r w:rsidR="00683533" w:rsidRPr="00683533">
              <w:rPr>
                <w:rStyle w:val="Hyperlink"/>
                <w:rFonts w:ascii="Calibri" w:hAnsi="Calibri" w:cs="Calibri"/>
                <w:noProof/>
                <w:color w:val="auto"/>
              </w:rPr>
              <w:t>Legislative requirements</w:t>
            </w:r>
            <w:r w:rsidR="00683533" w:rsidRPr="00683533">
              <w:rPr>
                <w:rFonts w:ascii="Calibri" w:hAnsi="Calibri" w:cs="Calibri"/>
                <w:noProof/>
                <w:webHidden/>
                <w:color w:val="auto"/>
              </w:rPr>
              <w:tab/>
            </w:r>
            <w:r w:rsidR="00683533" w:rsidRPr="00683533">
              <w:rPr>
                <w:rFonts w:ascii="Calibri" w:hAnsi="Calibri" w:cs="Calibri"/>
                <w:noProof/>
                <w:webHidden/>
                <w:color w:val="auto"/>
              </w:rPr>
              <w:fldChar w:fldCharType="begin"/>
            </w:r>
            <w:r w:rsidR="00683533" w:rsidRPr="00683533">
              <w:rPr>
                <w:rFonts w:ascii="Calibri" w:hAnsi="Calibri" w:cs="Calibri"/>
                <w:noProof/>
                <w:webHidden/>
                <w:color w:val="auto"/>
              </w:rPr>
              <w:instrText xml:space="preserve"> PAGEREF _Toc139011813 \h </w:instrText>
            </w:r>
            <w:r w:rsidR="00683533" w:rsidRPr="00683533">
              <w:rPr>
                <w:rFonts w:ascii="Calibri" w:hAnsi="Calibri" w:cs="Calibri"/>
                <w:noProof/>
                <w:webHidden/>
                <w:color w:val="auto"/>
              </w:rPr>
            </w:r>
            <w:r w:rsidR="00683533" w:rsidRPr="00683533">
              <w:rPr>
                <w:rFonts w:ascii="Calibri" w:hAnsi="Calibri" w:cs="Calibri"/>
                <w:noProof/>
                <w:webHidden/>
                <w:color w:val="auto"/>
              </w:rPr>
              <w:fldChar w:fldCharType="separate"/>
            </w:r>
            <w:r w:rsidR="0017105B">
              <w:rPr>
                <w:rFonts w:ascii="Calibri" w:hAnsi="Calibri" w:cs="Calibri"/>
                <w:noProof/>
                <w:webHidden/>
                <w:color w:val="auto"/>
              </w:rPr>
              <w:t>11</w:t>
            </w:r>
            <w:r w:rsidR="00683533" w:rsidRPr="00683533">
              <w:rPr>
                <w:rFonts w:ascii="Calibri" w:hAnsi="Calibri" w:cs="Calibri"/>
                <w:noProof/>
                <w:webHidden/>
                <w:color w:val="auto"/>
              </w:rPr>
              <w:fldChar w:fldCharType="end"/>
            </w:r>
          </w:hyperlink>
        </w:p>
        <w:p w14:paraId="0E7F021C" w14:textId="574322B7" w:rsidR="00683533" w:rsidRPr="00683533" w:rsidRDefault="00B86910">
          <w:pPr>
            <w:pStyle w:val="TOC2"/>
            <w:tabs>
              <w:tab w:val="left" w:pos="1200"/>
              <w:tab w:val="right" w:leader="dot" w:pos="8494"/>
            </w:tabs>
            <w:rPr>
              <w:rFonts w:ascii="Calibri" w:eastAsiaTheme="minorEastAsia" w:hAnsi="Calibri" w:cs="Calibri"/>
              <w:noProof/>
              <w:color w:val="auto"/>
              <w:sz w:val="22"/>
              <w:lang w:eastAsia="en-AU"/>
            </w:rPr>
          </w:pPr>
          <w:hyperlink w:anchor="_Toc139011814" w:history="1">
            <w:r w:rsidR="00683533" w:rsidRPr="00683533">
              <w:rPr>
                <w:rStyle w:val="Hyperlink"/>
                <w:rFonts w:ascii="Calibri" w:hAnsi="Calibri" w:cs="Calibri"/>
                <w:noProof/>
                <w:color w:val="auto"/>
              </w:rPr>
              <w:t>1.2</w:t>
            </w:r>
            <w:r w:rsidR="00683533" w:rsidRPr="00683533">
              <w:rPr>
                <w:rFonts w:ascii="Calibri" w:eastAsiaTheme="minorEastAsia" w:hAnsi="Calibri" w:cs="Calibri"/>
                <w:noProof/>
                <w:color w:val="auto"/>
                <w:sz w:val="22"/>
                <w:lang w:eastAsia="en-AU"/>
              </w:rPr>
              <w:tab/>
            </w:r>
            <w:r w:rsidR="00683533" w:rsidRPr="00683533">
              <w:rPr>
                <w:rStyle w:val="Hyperlink"/>
                <w:rFonts w:ascii="Calibri" w:hAnsi="Calibri" w:cs="Calibri"/>
                <w:noProof/>
                <w:color w:val="auto"/>
              </w:rPr>
              <w:t>Consultation</w:t>
            </w:r>
            <w:r w:rsidR="00683533" w:rsidRPr="00683533">
              <w:rPr>
                <w:rFonts w:ascii="Calibri" w:hAnsi="Calibri" w:cs="Calibri"/>
                <w:noProof/>
                <w:webHidden/>
                <w:color w:val="auto"/>
              </w:rPr>
              <w:tab/>
            </w:r>
            <w:r w:rsidR="00683533" w:rsidRPr="00683533">
              <w:rPr>
                <w:rFonts w:ascii="Calibri" w:hAnsi="Calibri" w:cs="Calibri"/>
                <w:noProof/>
                <w:webHidden/>
                <w:color w:val="auto"/>
              </w:rPr>
              <w:fldChar w:fldCharType="begin"/>
            </w:r>
            <w:r w:rsidR="00683533" w:rsidRPr="00683533">
              <w:rPr>
                <w:rFonts w:ascii="Calibri" w:hAnsi="Calibri" w:cs="Calibri"/>
                <w:noProof/>
                <w:webHidden/>
                <w:color w:val="auto"/>
              </w:rPr>
              <w:instrText xml:space="preserve"> PAGEREF _Toc139011814 \h </w:instrText>
            </w:r>
            <w:r w:rsidR="00683533" w:rsidRPr="00683533">
              <w:rPr>
                <w:rFonts w:ascii="Calibri" w:hAnsi="Calibri" w:cs="Calibri"/>
                <w:noProof/>
                <w:webHidden/>
                <w:color w:val="auto"/>
              </w:rPr>
            </w:r>
            <w:r w:rsidR="00683533" w:rsidRPr="00683533">
              <w:rPr>
                <w:rFonts w:ascii="Calibri" w:hAnsi="Calibri" w:cs="Calibri"/>
                <w:noProof/>
                <w:webHidden/>
                <w:color w:val="auto"/>
              </w:rPr>
              <w:fldChar w:fldCharType="separate"/>
            </w:r>
            <w:r w:rsidR="0017105B">
              <w:rPr>
                <w:rFonts w:ascii="Calibri" w:hAnsi="Calibri" w:cs="Calibri"/>
                <w:noProof/>
                <w:webHidden/>
                <w:color w:val="auto"/>
              </w:rPr>
              <w:t>12</w:t>
            </w:r>
            <w:r w:rsidR="00683533" w:rsidRPr="00683533">
              <w:rPr>
                <w:rFonts w:ascii="Calibri" w:hAnsi="Calibri" w:cs="Calibri"/>
                <w:noProof/>
                <w:webHidden/>
                <w:color w:val="auto"/>
              </w:rPr>
              <w:fldChar w:fldCharType="end"/>
            </w:r>
          </w:hyperlink>
        </w:p>
        <w:p w14:paraId="3980B5E7" w14:textId="64E87BB8" w:rsidR="00683533" w:rsidRPr="00683533" w:rsidRDefault="00B86910">
          <w:pPr>
            <w:pStyle w:val="TOC1"/>
            <w:tabs>
              <w:tab w:val="left" w:pos="510"/>
              <w:tab w:val="right" w:leader="dot" w:pos="8494"/>
            </w:tabs>
            <w:rPr>
              <w:rFonts w:ascii="Calibri" w:eastAsiaTheme="minorEastAsia" w:hAnsi="Calibri" w:cs="Calibri"/>
              <w:b w:val="0"/>
              <w:noProof/>
              <w:color w:val="auto"/>
              <w:sz w:val="22"/>
              <w:szCs w:val="22"/>
              <w:lang w:eastAsia="en-AU"/>
            </w:rPr>
          </w:pPr>
          <w:hyperlink w:anchor="_Toc139011815" w:history="1">
            <w:r w:rsidR="00683533" w:rsidRPr="00683533">
              <w:rPr>
                <w:rStyle w:val="Hyperlink"/>
                <w:rFonts w:ascii="Calibri" w:hAnsi="Calibri" w:cs="Calibri"/>
                <w:noProof/>
                <w:color w:val="auto"/>
              </w:rPr>
              <w:t>2</w:t>
            </w:r>
            <w:r w:rsidR="00683533" w:rsidRPr="00683533">
              <w:rPr>
                <w:rFonts w:ascii="Calibri" w:eastAsiaTheme="minorEastAsia" w:hAnsi="Calibri" w:cs="Calibri"/>
                <w:b w:val="0"/>
                <w:noProof/>
                <w:color w:val="auto"/>
                <w:sz w:val="22"/>
                <w:szCs w:val="22"/>
                <w:lang w:eastAsia="en-AU"/>
              </w:rPr>
              <w:tab/>
            </w:r>
            <w:r w:rsidR="00683533" w:rsidRPr="00683533">
              <w:rPr>
                <w:rStyle w:val="Hyperlink"/>
                <w:rFonts w:ascii="Calibri" w:hAnsi="Calibri" w:cs="Calibri"/>
                <w:noProof/>
                <w:color w:val="auto"/>
              </w:rPr>
              <w:t>Tribunal’s considerations</w:t>
            </w:r>
            <w:r w:rsidR="00683533" w:rsidRPr="00683533">
              <w:rPr>
                <w:rFonts w:ascii="Calibri" w:hAnsi="Calibri" w:cs="Calibri"/>
                <w:noProof/>
                <w:webHidden/>
                <w:color w:val="auto"/>
              </w:rPr>
              <w:tab/>
            </w:r>
            <w:r w:rsidR="00683533" w:rsidRPr="00683533">
              <w:rPr>
                <w:rFonts w:ascii="Calibri" w:hAnsi="Calibri" w:cs="Calibri"/>
                <w:noProof/>
                <w:webHidden/>
                <w:color w:val="auto"/>
              </w:rPr>
              <w:fldChar w:fldCharType="begin"/>
            </w:r>
            <w:r w:rsidR="00683533" w:rsidRPr="00683533">
              <w:rPr>
                <w:rFonts w:ascii="Calibri" w:hAnsi="Calibri" w:cs="Calibri"/>
                <w:noProof/>
                <w:webHidden/>
                <w:color w:val="auto"/>
              </w:rPr>
              <w:instrText xml:space="preserve"> PAGEREF _Toc139011815 \h </w:instrText>
            </w:r>
            <w:r w:rsidR="00683533" w:rsidRPr="00683533">
              <w:rPr>
                <w:rFonts w:ascii="Calibri" w:hAnsi="Calibri" w:cs="Calibri"/>
                <w:noProof/>
                <w:webHidden/>
                <w:color w:val="auto"/>
              </w:rPr>
            </w:r>
            <w:r w:rsidR="00683533" w:rsidRPr="00683533">
              <w:rPr>
                <w:rFonts w:ascii="Calibri" w:hAnsi="Calibri" w:cs="Calibri"/>
                <w:noProof/>
                <w:webHidden/>
                <w:color w:val="auto"/>
              </w:rPr>
              <w:fldChar w:fldCharType="separate"/>
            </w:r>
            <w:r w:rsidR="0017105B">
              <w:rPr>
                <w:rFonts w:ascii="Calibri" w:hAnsi="Calibri" w:cs="Calibri"/>
                <w:noProof/>
                <w:webHidden/>
                <w:color w:val="auto"/>
              </w:rPr>
              <w:t>15</w:t>
            </w:r>
            <w:r w:rsidR="00683533" w:rsidRPr="00683533">
              <w:rPr>
                <w:rFonts w:ascii="Calibri" w:hAnsi="Calibri" w:cs="Calibri"/>
                <w:noProof/>
                <w:webHidden/>
                <w:color w:val="auto"/>
              </w:rPr>
              <w:fldChar w:fldCharType="end"/>
            </w:r>
          </w:hyperlink>
        </w:p>
        <w:p w14:paraId="19CF2E92" w14:textId="1C60CCCC" w:rsidR="00683533" w:rsidRPr="00683533" w:rsidRDefault="00B86910">
          <w:pPr>
            <w:pStyle w:val="TOC2"/>
            <w:tabs>
              <w:tab w:val="left" w:pos="1200"/>
              <w:tab w:val="right" w:leader="dot" w:pos="8494"/>
            </w:tabs>
            <w:rPr>
              <w:rFonts w:ascii="Calibri" w:eastAsiaTheme="minorEastAsia" w:hAnsi="Calibri" w:cs="Calibri"/>
              <w:noProof/>
              <w:color w:val="auto"/>
              <w:sz w:val="22"/>
              <w:lang w:eastAsia="en-AU"/>
            </w:rPr>
          </w:pPr>
          <w:hyperlink w:anchor="_Toc139011816" w:history="1">
            <w:r w:rsidR="00683533" w:rsidRPr="00683533">
              <w:rPr>
                <w:rStyle w:val="Hyperlink"/>
                <w:rFonts w:ascii="Calibri" w:hAnsi="Calibri" w:cs="Calibri"/>
                <w:noProof/>
                <w:color w:val="auto"/>
              </w:rPr>
              <w:t>2.1</w:t>
            </w:r>
            <w:r w:rsidR="00683533" w:rsidRPr="00683533">
              <w:rPr>
                <w:rFonts w:ascii="Calibri" w:eastAsiaTheme="minorEastAsia" w:hAnsi="Calibri" w:cs="Calibri"/>
                <w:noProof/>
                <w:color w:val="auto"/>
                <w:sz w:val="22"/>
                <w:lang w:eastAsia="en-AU"/>
              </w:rPr>
              <w:tab/>
            </w:r>
            <w:r w:rsidR="00683533" w:rsidRPr="00683533">
              <w:rPr>
                <w:rStyle w:val="Hyperlink"/>
                <w:rFonts w:ascii="Calibri" w:hAnsi="Calibri" w:cs="Calibri"/>
                <w:noProof/>
                <w:color w:val="auto"/>
              </w:rPr>
              <w:t>Effective date</w:t>
            </w:r>
            <w:r w:rsidR="00683533" w:rsidRPr="00683533">
              <w:rPr>
                <w:rFonts w:ascii="Calibri" w:hAnsi="Calibri" w:cs="Calibri"/>
                <w:noProof/>
                <w:webHidden/>
                <w:color w:val="auto"/>
              </w:rPr>
              <w:tab/>
            </w:r>
            <w:r w:rsidR="00683533" w:rsidRPr="00683533">
              <w:rPr>
                <w:rFonts w:ascii="Calibri" w:hAnsi="Calibri" w:cs="Calibri"/>
                <w:noProof/>
                <w:webHidden/>
                <w:color w:val="auto"/>
              </w:rPr>
              <w:fldChar w:fldCharType="begin"/>
            </w:r>
            <w:r w:rsidR="00683533" w:rsidRPr="00683533">
              <w:rPr>
                <w:rFonts w:ascii="Calibri" w:hAnsi="Calibri" w:cs="Calibri"/>
                <w:noProof/>
                <w:webHidden/>
                <w:color w:val="auto"/>
              </w:rPr>
              <w:instrText xml:space="preserve"> PAGEREF _Toc139011816 \h </w:instrText>
            </w:r>
            <w:r w:rsidR="00683533" w:rsidRPr="00683533">
              <w:rPr>
                <w:rFonts w:ascii="Calibri" w:hAnsi="Calibri" w:cs="Calibri"/>
                <w:noProof/>
                <w:webHidden/>
                <w:color w:val="auto"/>
              </w:rPr>
            </w:r>
            <w:r w:rsidR="00683533" w:rsidRPr="00683533">
              <w:rPr>
                <w:rFonts w:ascii="Calibri" w:hAnsi="Calibri" w:cs="Calibri"/>
                <w:noProof/>
                <w:webHidden/>
                <w:color w:val="auto"/>
              </w:rPr>
              <w:fldChar w:fldCharType="separate"/>
            </w:r>
            <w:r w:rsidR="0017105B">
              <w:rPr>
                <w:rFonts w:ascii="Calibri" w:hAnsi="Calibri" w:cs="Calibri"/>
                <w:noProof/>
                <w:webHidden/>
                <w:color w:val="auto"/>
              </w:rPr>
              <w:t>15</w:t>
            </w:r>
            <w:r w:rsidR="00683533" w:rsidRPr="00683533">
              <w:rPr>
                <w:rFonts w:ascii="Calibri" w:hAnsi="Calibri" w:cs="Calibri"/>
                <w:noProof/>
                <w:webHidden/>
                <w:color w:val="auto"/>
              </w:rPr>
              <w:fldChar w:fldCharType="end"/>
            </w:r>
          </w:hyperlink>
        </w:p>
        <w:p w14:paraId="3C3A4DBD" w14:textId="5D67131B" w:rsidR="00683533" w:rsidRPr="00683533" w:rsidRDefault="00B86910">
          <w:pPr>
            <w:pStyle w:val="TOC2"/>
            <w:tabs>
              <w:tab w:val="left" w:pos="1200"/>
              <w:tab w:val="right" w:leader="dot" w:pos="8494"/>
            </w:tabs>
            <w:rPr>
              <w:rFonts w:ascii="Calibri" w:eastAsiaTheme="minorEastAsia" w:hAnsi="Calibri" w:cs="Calibri"/>
              <w:noProof/>
              <w:color w:val="auto"/>
              <w:sz w:val="22"/>
              <w:lang w:eastAsia="en-AU"/>
            </w:rPr>
          </w:pPr>
          <w:hyperlink w:anchor="_Toc139011817" w:history="1">
            <w:r w:rsidR="00683533" w:rsidRPr="00683533">
              <w:rPr>
                <w:rStyle w:val="Hyperlink"/>
                <w:rFonts w:ascii="Calibri" w:hAnsi="Calibri" w:cs="Calibri"/>
                <w:noProof/>
                <w:color w:val="auto"/>
              </w:rPr>
              <w:t>2.2</w:t>
            </w:r>
            <w:r w:rsidR="00683533" w:rsidRPr="00683533">
              <w:rPr>
                <w:rFonts w:ascii="Calibri" w:eastAsiaTheme="minorEastAsia" w:hAnsi="Calibri" w:cs="Calibri"/>
                <w:noProof/>
                <w:color w:val="auto"/>
                <w:sz w:val="22"/>
                <w:lang w:eastAsia="en-AU"/>
              </w:rPr>
              <w:tab/>
            </w:r>
            <w:r w:rsidR="00683533" w:rsidRPr="00683533">
              <w:rPr>
                <w:rStyle w:val="Hyperlink"/>
                <w:rFonts w:ascii="Calibri" w:hAnsi="Calibri" w:cs="Calibri"/>
                <w:noProof/>
                <w:color w:val="auto"/>
              </w:rPr>
              <w:t>Adjustment to the value of the base allowance</w:t>
            </w:r>
            <w:r w:rsidR="00683533" w:rsidRPr="00683533">
              <w:rPr>
                <w:rFonts w:ascii="Calibri" w:hAnsi="Calibri" w:cs="Calibri"/>
                <w:noProof/>
                <w:webHidden/>
                <w:color w:val="auto"/>
              </w:rPr>
              <w:tab/>
            </w:r>
            <w:r w:rsidR="00683533" w:rsidRPr="00683533">
              <w:rPr>
                <w:rFonts w:ascii="Calibri" w:hAnsi="Calibri" w:cs="Calibri"/>
                <w:noProof/>
                <w:webHidden/>
                <w:color w:val="auto"/>
              </w:rPr>
              <w:fldChar w:fldCharType="begin"/>
            </w:r>
            <w:r w:rsidR="00683533" w:rsidRPr="00683533">
              <w:rPr>
                <w:rFonts w:ascii="Calibri" w:hAnsi="Calibri" w:cs="Calibri"/>
                <w:noProof/>
                <w:webHidden/>
                <w:color w:val="auto"/>
              </w:rPr>
              <w:instrText xml:space="preserve"> PAGEREF _Toc139011817 \h </w:instrText>
            </w:r>
            <w:r w:rsidR="00683533" w:rsidRPr="00683533">
              <w:rPr>
                <w:rFonts w:ascii="Calibri" w:hAnsi="Calibri" w:cs="Calibri"/>
                <w:noProof/>
                <w:webHidden/>
                <w:color w:val="auto"/>
              </w:rPr>
            </w:r>
            <w:r w:rsidR="00683533" w:rsidRPr="00683533">
              <w:rPr>
                <w:rFonts w:ascii="Calibri" w:hAnsi="Calibri" w:cs="Calibri"/>
                <w:noProof/>
                <w:webHidden/>
                <w:color w:val="auto"/>
              </w:rPr>
              <w:fldChar w:fldCharType="separate"/>
            </w:r>
            <w:r w:rsidR="0017105B">
              <w:rPr>
                <w:rFonts w:ascii="Calibri" w:hAnsi="Calibri" w:cs="Calibri"/>
                <w:noProof/>
                <w:webHidden/>
                <w:color w:val="auto"/>
              </w:rPr>
              <w:t>15</w:t>
            </w:r>
            <w:r w:rsidR="00683533" w:rsidRPr="00683533">
              <w:rPr>
                <w:rFonts w:ascii="Calibri" w:hAnsi="Calibri" w:cs="Calibri"/>
                <w:noProof/>
                <w:webHidden/>
                <w:color w:val="auto"/>
              </w:rPr>
              <w:fldChar w:fldCharType="end"/>
            </w:r>
          </w:hyperlink>
        </w:p>
        <w:p w14:paraId="23C51611" w14:textId="0EBA484A" w:rsidR="00683533" w:rsidRPr="00683533" w:rsidRDefault="00B86910">
          <w:pPr>
            <w:pStyle w:val="TOC2"/>
            <w:tabs>
              <w:tab w:val="left" w:pos="1200"/>
              <w:tab w:val="right" w:leader="dot" w:pos="8494"/>
            </w:tabs>
            <w:rPr>
              <w:rFonts w:ascii="Calibri" w:eastAsiaTheme="minorEastAsia" w:hAnsi="Calibri" w:cs="Calibri"/>
              <w:noProof/>
              <w:color w:val="auto"/>
              <w:sz w:val="22"/>
              <w:lang w:eastAsia="en-AU"/>
            </w:rPr>
          </w:pPr>
          <w:hyperlink w:anchor="_Toc139011818" w:history="1">
            <w:r w:rsidR="00683533" w:rsidRPr="00683533">
              <w:rPr>
                <w:rStyle w:val="Hyperlink"/>
                <w:rFonts w:ascii="Calibri" w:hAnsi="Calibri" w:cs="Calibri"/>
                <w:noProof/>
                <w:color w:val="auto"/>
              </w:rPr>
              <w:t>2.2</w:t>
            </w:r>
            <w:r w:rsidR="00683533" w:rsidRPr="00683533">
              <w:rPr>
                <w:rFonts w:ascii="Calibri" w:eastAsiaTheme="minorEastAsia" w:hAnsi="Calibri" w:cs="Calibri"/>
                <w:noProof/>
                <w:color w:val="auto"/>
                <w:sz w:val="22"/>
                <w:lang w:eastAsia="en-AU"/>
              </w:rPr>
              <w:tab/>
            </w:r>
            <w:r w:rsidR="00683533" w:rsidRPr="00683533">
              <w:rPr>
                <w:rStyle w:val="Hyperlink"/>
                <w:rFonts w:ascii="Calibri" w:hAnsi="Calibri" w:cs="Calibri"/>
                <w:noProof/>
                <w:color w:val="auto"/>
              </w:rPr>
              <w:t>Adjustment to the value of the Remote Area Travel Allowance</w:t>
            </w:r>
            <w:r w:rsidR="00683533" w:rsidRPr="00683533">
              <w:rPr>
                <w:rFonts w:ascii="Calibri" w:hAnsi="Calibri" w:cs="Calibri"/>
                <w:noProof/>
                <w:webHidden/>
                <w:color w:val="auto"/>
              </w:rPr>
              <w:tab/>
            </w:r>
            <w:r w:rsidR="00683533" w:rsidRPr="00683533">
              <w:rPr>
                <w:rFonts w:ascii="Calibri" w:hAnsi="Calibri" w:cs="Calibri"/>
                <w:noProof/>
                <w:webHidden/>
                <w:color w:val="auto"/>
              </w:rPr>
              <w:fldChar w:fldCharType="begin"/>
            </w:r>
            <w:r w:rsidR="00683533" w:rsidRPr="00683533">
              <w:rPr>
                <w:rFonts w:ascii="Calibri" w:hAnsi="Calibri" w:cs="Calibri"/>
                <w:noProof/>
                <w:webHidden/>
                <w:color w:val="auto"/>
              </w:rPr>
              <w:instrText xml:space="preserve"> PAGEREF _Toc139011818 \h </w:instrText>
            </w:r>
            <w:r w:rsidR="00683533" w:rsidRPr="00683533">
              <w:rPr>
                <w:rFonts w:ascii="Calibri" w:hAnsi="Calibri" w:cs="Calibri"/>
                <w:noProof/>
                <w:webHidden/>
                <w:color w:val="auto"/>
              </w:rPr>
            </w:r>
            <w:r w:rsidR="00683533" w:rsidRPr="00683533">
              <w:rPr>
                <w:rFonts w:ascii="Calibri" w:hAnsi="Calibri" w:cs="Calibri"/>
                <w:noProof/>
                <w:webHidden/>
                <w:color w:val="auto"/>
              </w:rPr>
              <w:fldChar w:fldCharType="separate"/>
            </w:r>
            <w:r w:rsidR="0017105B">
              <w:rPr>
                <w:rFonts w:ascii="Calibri" w:hAnsi="Calibri" w:cs="Calibri"/>
                <w:noProof/>
                <w:webHidden/>
                <w:color w:val="auto"/>
              </w:rPr>
              <w:t>19</w:t>
            </w:r>
            <w:r w:rsidR="00683533" w:rsidRPr="00683533">
              <w:rPr>
                <w:rFonts w:ascii="Calibri" w:hAnsi="Calibri" w:cs="Calibri"/>
                <w:noProof/>
                <w:webHidden/>
                <w:color w:val="auto"/>
              </w:rPr>
              <w:fldChar w:fldCharType="end"/>
            </w:r>
          </w:hyperlink>
        </w:p>
        <w:p w14:paraId="5AEC4BD0" w14:textId="4BA6B3C3" w:rsidR="00683533" w:rsidRPr="00683533" w:rsidRDefault="00B86910">
          <w:pPr>
            <w:pStyle w:val="TOC2"/>
            <w:tabs>
              <w:tab w:val="left" w:pos="1200"/>
              <w:tab w:val="right" w:leader="dot" w:pos="8494"/>
            </w:tabs>
            <w:rPr>
              <w:rFonts w:ascii="Calibri" w:eastAsiaTheme="minorEastAsia" w:hAnsi="Calibri" w:cs="Calibri"/>
              <w:noProof/>
              <w:color w:val="auto"/>
              <w:sz w:val="22"/>
              <w:lang w:eastAsia="en-AU"/>
            </w:rPr>
          </w:pPr>
          <w:hyperlink w:anchor="_Toc139011819" w:history="1">
            <w:r w:rsidR="00683533" w:rsidRPr="00683533">
              <w:rPr>
                <w:rStyle w:val="Hyperlink"/>
                <w:rFonts w:ascii="Calibri" w:hAnsi="Calibri" w:cs="Calibri"/>
                <w:noProof/>
                <w:color w:val="auto"/>
              </w:rPr>
              <w:t>2.3</w:t>
            </w:r>
            <w:r w:rsidR="00683533" w:rsidRPr="00683533">
              <w:rPr>
                <w:rFonts w:ascii="Calibri" w:eastAsiaTheme="minorEastAsia" w:hAnsi="Calibri" w:cs="Calibri"/>
                <w:noProof/>
                <w:color w:val="auto"/>
                <w:sz w:val="22"/>
                <w:lang w:eastAsia="en-AU"/>
              </w:rPr>
              <w:tab/>
            </w:r>
            <w:r w:rsidR="00683533" w:rsidRPr="00683533">
              <w:rPr>
                <w:rStyle w:val="Hyperlink"/>
                <w:rFonts w:ascii="Calibri" w:hAnsi="Calibri" w:cs="Calibri"/>
                <w:noProof/>
                <w:color w:val="auto"/>
              </w:rPr>
              <w:t>Conclusion</w:t>
            </w:r>
            <w:r w:rsidR="00683533" w:rsidRPr="00683533">
              <w:rPr>
                <w:rFonts w:ascii="Calibri" w:hAnsi="Calibri" w:cs="Calibri"/>
                <w:noProof/>
                <w:webHidden/>
                <w:color w:val="auto"/>
              </w:rPr>
              <w:tab/>
            </w:r>
            <w:r w:rsidR="00683533" w:rsidRPr="00683533">
              <w:rPr>
                <w:rFonts w:ascii="Calibri" w:hAnsi="Calibri" w:cs="Calibri"/>
                <w:noProof/>
                <w:webHidden/>
                <w:color w:val="auto"/>
              </w:rPr>
              <w:fldChar w:fldCharType="begin"/>
            </w:r>
            <w:r w:rsidR="00683533" w:rsidRPr="00683533">
              <w:rPr>
                <w:rFonts w:ascii="Calibri" w:hAnsi="Calibri" w:cs="Calibri"/>
                <w:noProof/>
                <w:webHidden/>
                <w:color w:val="auto"/>
              </w:rPr>
              <w:instrText xml:space="preserve"> PAGEREF _Toc139011819 \h </w:instrText>
            </w:r>
            <w:r w:rsidR="00683533" w:rsidRPr="00683533">
              <w:rPr>
                <w:rFonts w:ascii="Calibri" w:hAnsi="Calibri" w:cs="Calibri"/>
                <w:noProof/>
                <w:webHidden/>
                <w:color w:val="auto"/>
              </w:rPr>
            </w:r>
            <w:r w:rsidR="00683533" w:rsidRPr="00683533">
              <w:rPr>
                <w:rFonts w:ascii="Calibri" w:hAnsi="Calibri" w:cs="Calibri"/>
                <w:noProof/>
                <w:webHidden/>
                <w:color w:val="auto"/>
              </w:rPr>
              <w:fldChar w:fldCharType="separate"/>
            </w:r>
            <w:r w:rsidR="0017105B">
              <w:rPr>
                <w:rFonts w:ascii="Calibri" w:hAnsi="Calibri" w:cs="Calibri"/>
                <w:noProof/>
                <w:webHidden/>
                <w:color w:val="auto"/>
              </w:rPr>
              <w:t>20</w:t>
            </w:r>
            <w:r w:rsidR="00683533" w:rsidRPr="00683533">
              <w:rPr>
                <w:rFonts w:ascii="Calibri" w:hAnsi="Calibri" w:cs="Calibri"/>
                <w:noProof/>
                <w:webHidden/>
                <w:color w:val="auto"/>
              </w:rPr>
              <w:fldChar w:fldCharType="end"/>
            </w:r>
          </w:hyperlink>
        </w:p>
        <w:p w14:paraId="362548E6" w14:textId="408ED291" w:rsidR="00683533" w:rsidRPr="00683533" w:rsidRDefault="00B86910">
          <w:pPr>
            <w:pStyle w:val="TOC1"/>
            <w:tabs>
              <w:tab w:val="right" w:leader="dot" w:pos="8494"/>
            </w:tabs>
            <w:rPr>
              <w:rFonts w:ascii="Calibri" w:eastAsiaTheme="minorEastAsia" w:hAnsi="Calibri" w:cs="Calibri"/>
              <w:b w:val="0"/>
              <w:noProof/>
              <w:color w:val="auto"/>
              <w:sz w:val="22"/>
              <w:szCs w:val="22"/>
              <w:lang w:eastAsia="en-AU"/>
            </w:rPr>
          </w:pPr>
          <w:hyperlink w:anchor="_Toc139011820" w:history="1">
            <w:r w:rsidR="00683533" w:rsidRPr="00683533">
              <w:rPr>
                <w:rStyle w:val="Hyperlink"/>
                <w:rFonts w:ascii="Calibri" w:hAnsi="Calibri" w:cs="Calibri"/>
                <w:noProof/>
                <w:color w:val="auto"/>
              </w:rPr>
              <w:t>Appendix A -  Economic factors</w:t>
            </w:r>
            <w:r w:rsidR="00683533" w:rsidRPr="00683533">
              <w:rPr>
                <w:rFonts w:ascii="Calibri" w:hAnsi="Calibri" w:cs="Calibri"/>
                <w:noProof/>
                <w:webHidden/>
                <w:color w:val="auto"/>
              </w:rPr>
              <w:tab/>
            </w:r>
            <w:r w:rsidR="00683533" w:rsidRPr="00683533">
              <w:rPr>
                <w:rFonts w:ascii="Calibri" w:hAnsi="Calibri" w:cs="Calibri"/>
                <w:noProof/>
                <w:webHidden/>
                <w:color w:val="auto"/>
              </w:rPr>
              <w:fldChar w:fldCharType="begin"/>
            </w:r>
            <w:r w:rsidR="00683533" w:rsidRPr="00683533">
              <w:rPr>
                <w:rFonts w:ascii="Calibri" w:hAnsi="Calibri" w:cs="Calibri"/>
                <w:noProof/>
                <w:webHidden/>
                <w:color w:val="auto"/>
              </w:rPr>
              <w:instrText xml:space="preserve"> PAGEREF _Toc139011820 \h </w:instrText>
            </w:r>
            <w:r w:rsidR="00683533" w:rsidRPr="00683533">
              <w:rPr>
                <w:rFonts w:ascii="Calibri" w:hAnsi="Calibri" w:cs="Calibri"/>
                <w:noProof/>
                <w:webHidden/>
                <w:color w:val="auto"/>
              </w:rPr>
            </w:r>
            <w:r w:rsidR="00683533" w:rsidRPr="00683533">
              <w:rPr>
                <w:rFonts w:ascii="Calibri" w:hAnsi="Calibri" w:cs="Calibri"/>
                <w:noProof/>
                <w:webHidden/>
                <w:color w:val="auto"/>
              </w:rPr>
              <w:fldChar w:fldCharType="separate"/>
            </w:r>
            <w:r w:rsidR="0017105B">
              <w:rPr>
                <w:rFonts w:ascii="Calibri" w:hAnsi="Calibri" w:cs="Calibri"/>
                <w:noProof/>
                <w:webHidden/>
                <w:color w:val="auto"/>
              </w:rPr>
              <w:t>21</w:t>
            </w:r>
            <w:r w:rsidR="00683533" w:rsidRPr="00683533">
              <w:rPr>
                <w:rFonts w:ascii="Calibri" w:hAnsi="Calibri" w:cs="Calibri"/>
                <w:noProof/>
                <w:webHidden/>
                <w:color w:val="auto"/>
              </w:rPr>
              <w:fldChar w:fldCharType="end"/>
            </w:r>
          </w:hyperlink>
        </w:p>
        <w:p w14:paraId="4F6A6D54" w14:textId="69BDE9A3" w:rsidR="00683533" w:rsidRPr="00683533" w:rsidRDefault="00B86910">
          <w:pPr>
            <w:pStyle w:val="TOC2"/>
            <w:tabs>
              <w:tab w:val="left" w:pos="1200"/>
              <w:tab w:val="right" w:leader="dot" w:pos="8494"/>
            </w:tabs>
            <w:rPr>
              <w:rFonts w:ascii="Calibri" w:eastAsiaTheme="minorEastAsia" w:hAnsi="Calibri" w:cs="Calibri"/>
              <w:noProof/>
              <w:color w:val="auto"/>
              <w:sz w:val="22"/>
              <w:lang w:eastAsia="en-AU"/>
            </w:rPr>
          </w:pPr>
          <w:hyperlink w:anchor="_Toc139011821" w:history="1">
            <w:r w:rsidR="00683533" w:rsidRPr="00683533">
              <w:rPr>
                <w:rStyle w:val="Hyperlink"/>
                <w:rFonts w:ascii="Calibri" w:hAnsi="Calibri" w:cs="Calibri"/>
                <w:noProof/>
                <w:color w:val="auto"/>
              </w:rPr>
              <w:t>A.1</w:t>
            </w:r>
            <w:r w:rsidR="00683533" w:rsidRPr="00683533">
              <w:rPr>
                <w:rFonts w:ascii="Calibri" w:eastAsiaTheme="minorEastAsia" w:hAnsi="Calibri" w:cs="Calibri"/>
                <w:noProof/>
                <w:color w:val="auto"/>
                <w:sz w:val="22"/>
                <w:lang w:eastAsia="en-AU"/>
              </w:rPr>
              <w:tab/>
            </w:r>
            <w:r w:rsidR="00683533" w:rsidRPr="00683533">
              <w:rPr>
                <w:rStyle w:val="Hyperlink"/>
                <w:rFonts w:ascii="Calibri" w:hAnsi="Calibri" w:cs="Calibri"/>
                <w:noProof/>
                <w:color w:val="auto"/>
              </w:rPr>
              <w:t>Current and projected economic conditions and trends</w:t>
            </w:r>
            <w:r w:rsidR="00683533" w:rsidRPr="00683533">
              <w:rPr>
                <w:rFonts w:ascii="Calibri" w:hAnsi="Calibri" w:cs="Calibri"/>
                <w:noProof/>
                <w:webHidden/>
                <w:color w:val="auto"/>
              </w:rPr>
              <w:tab/>
            </w:r>
            <w:r w:rsidR="00683533" w:rsidRPr="00683533">
              <w:rPr>
                <w:rFonts w:ascii="Calibri" w:hAnsi="Calibri" w:cs="Calibri"/>
                <w:noProof/>
                <w:webHidden/>
                <w:color w:val="auto"/>
              </w:rPr>
              <w:fldChar w:fldCharType="begin"/>
            </w:r>
            <w:r w:rsidR="00683533" w:rsidRPr="00683533">
              <w:rPr>
                <w:rFonts w:ascii="Calibri" w:hAnsi="Calibri" w:cs="Calibri"/>
                <w:noProof/>
                <w:webHidden/>
                <w:color w:val="auto"/>
              </w:rPr>
              <w:instrText xml:space="preserve"> PAGEREF _Toc139011821 \h </w:instrText>
            </w:r>
            <w:r w:rsidR="00683533" w:rsidRPr="00683533">
              <w:rPr>
                <w:rFonts w:ascii="Calibri" w:hAnsi="Calibri" w:cs="Calibri"/>
                <w:noProof/>
                <w:webHidden/>
                <w:color w:val="auto"/>
              </w:rPr>
            </w:r>
            <w:r w:rsidR="00683533" w:rsidRPr="00683533">
              <w:rPr>
                <w:rFonts w:ascii="Calibri" w:hAnsi="Calibri" w:cs="Calibri"/>
                <w:noProof/>
                <w:webHidden/>
                <w:color w:val="auto"/>
              </w:rPr>
              <w:fldChar w:fldCharType="separate"/>
            </w:r>
            <w:r w:rsidR="0017105B">
              <w:rPr>
                <w:rFonts w:ascii="Calibri" w:hAnsi="Calibri" w:cs="Calibri"/>
                <w:noProof/>
                <w:webHidden/>
                <w:color w:val="auto"/>
              </w:rPr>
              <w:t>21</w:t>
            </w:r>
            <w:r w:rsidR="00683533" w:rsidRPr="00683533">
              <w:rPr>
                <w:rFonts w:ascii="Calibri" w:hAnsi="Calibri" w:cs="Calibri"/>
                <w:noProof/>
                <w:webHidden/>
                <w:color w:val="auto"/>
              </w:rPr>
              <w:fldChar w:fldCharType="end"/>
            </w:r>
          </w:hyperlink>
        </w:p>
        <w:p w14:paraId="40F11E2F" w14:textId="1671F6A7" w:rsidR="00683533" w:rsidRPr="00683533" w:rsidRDefault="00B86910">
          <w:pPr>
            <w:pStyle w:val="TOC2"/>
            <w:tabs>
              <w:tab w:val="left" w:pos="1200"/>
              <w:tab w:val="right" w:leader="dot" w:pos="8494"/>
            </w:tabs>
            <w:rPr>
              <w:rFonts w:ascii="Calibri" w:eastAsiaTheme="minorEastAsia" w:hAnsi="Calibri" w:cs="Calibri"/>
              <w:noProof/>
              <w:color w:val="auto"/>
              <w:sz w:val="22"/>
              <w:lang w:eastAsia="en-AU"/>
            </w:rPr>
          </w:pPr>
          <w:hyperlink w:anchor="_Toc139011822" w:history="1">
            <w:r w:rsidR="00683533" w:rsidRPr="00683533">
              <w:rPr>
                <w:rStyle w:val="Hyperlink"/>
                <w:rFonts w:ascii="Calibri" w:hAnsi="Calibri" w:cs="Calibri"/>
                <w:noProof/>
                <w:color w:val="auto"/>
              </w:rPr>
              <w:t>A.2</w:t>
            </w:r>
            <w:r w:rsidR="00683533" w:rsidRPr="00683533">
              <w:rPr>
                <w:rFonts w:ascii="Calibri" w:eastAsiaTheme="minorEastAsia" w:hAnsi="Calibri" w:cs="Calibri"/>
                <w:noProof/>
                <w:color w:val="auto"/>
                <w:sz w:val="22"/>
                <w:lang w:eastAsia="en-AU"/>
              </w:rPr>
              <w:tab/>
            </w:r>
            <w:r w:rsidR="00683533" w:rsidRPr="00683533">
              <w:rPr>
                <w:rStyle w:val="Hyperlink"/>
                <w:rFonts w:ascii="Calibri" w:hAnsi="Calibri" w:cs="Calibri"/>
                <w:noProof/>
                <w:color w:val="auto"/>
              </w:rPr>
              <w:t>Financial position and fiscal strategy of the State of Victoria</w:t>
            </w:r>
            <w:r w:rsidR="00683533" w:rsidRPr="00683533">
              <w:rPr>
                <w:rFonts w:ascii="Calibri" w:hAnsi="Calibri" w:cs="Calibri"/>
                <w:noProof/>
                <w:webHidden/>
                <w:color w:val="auto"/>
              </w:rPr>
              <w:tab/>
            </w:r>
            <w:r w:rsidR="00683533" w:rsidRPr="00683533">
              <w:rPr>
                <w:rFonts w:ascii="Calibri" w:hAnsi="Calibri" w:cs="Calibri"/>
                <w:noProof/>
                <w:webHidden/>
                <w:color w:val="auto"/>
              </w:rPr>
              <w:fldChar w:fldCharType="begin"/>
            </w:r>
            <w:r w:rsidR="00683533" w:rsidRPr="00683533">
              <w:rPr>
                <w:rFonts w:ascii="Calibri" w:hAnsi="Calibri" w:cs="Calibri"/>
                <w:noProof/>
                <w:webHidden/>
                <w:color w:val="auto"/>
              </w:rPr>
              <w:instrText xml:space="preserve"> PAGEREF _Toc139011822 \h </w:instrText>
            </w:r>
            <w:r w:rsidR="00683533" w:rsidRPr="00683533">
              <w:rPr>
                <w:rFonts w:ascii="Calibri" w:hAnsi="Calibri" w:cs="Calibri"/>
                <w:noProof/>
                <w:webHidden/>
                <w:color w:val="auto"/>
              </w:rPr>
            </w:r>
            <w:r w:rsidR="00683533" w:rsidRPr="00683533">
              <w:rPr>
                <w:rFonts w:ascii="Calibri" w:hAnsi="Calibri" w:cs="Calibri"/>
                <w:noProof/>
                <w:webHidden/>
                <w:color w:val="auto"/>
              </w:rPr>
              <w:fldChar w:fldCharType="separate"/>
            </w:r>
            <w:r w:rsidR="0017105B">
              <w:rPr>
                <w:rFonts w:ascii="Calibri" w:hAnsi="Calibri" w:cs="Calibri"/>
                <w:noProof/>
                <w:webHidden/>
                <w:color w:val="auto"/>
              </w:rPr>
              <w:t>27</w:t>
            </w:r>
            <w:r w:rsidR="00683533" w:rsidRPr="00683533">
              <w:rPr>
                <w:rFonts w:ascii="Calibri" w:hAnsi="Calibri" w:cs="Calibri"/>
                <w:noProof/>
                <w:webHidden/>
                <w:color w:val="auto"/>
              </w:rPr>
              <w:fldChar w:fldCharType="end"/>
            </w:r>
          </w:hyperlink>
        </w:p>
        <w:p w14:paraId="7D1FD5C6" w14:textId="5DA3534D" w:rsidR="00683533" w:rsidRPr="00683533" w:rsidRDefault="00B86910">
          <w:pPr>
            <w:pStyle w:val="TOC2"/>
            <w:tabs>
              <w:tab w:val="left" w:pos="1200"/>
              <w:tab w:val="right" w:leader="dot" w:pos="8494"/>
            </w:tabs>
            <w:rPr>
              <w:rFonts w:ascii="Calibri" w:eastAsiaTheme="minorEastAsia" w:hAnsi="Calibri" w:cs="Calibri"/>
              <w:noProof/>
              <w:color w:val="auto"/>
              <w:sz w:val="22"/>
              <w:lang w:eastAsia="en-AU"/>
            </w:rPr>
          </w:pPr>
          <w:hyperlink w:anchor="_Toc139011823" w:history="1">
            <w:r w:rsidR="00683533" w:rsidRPr="00683533">
              <w:rPr>
                <w:rStyle w:val="Hyperlink"/>
                <w:rFonts w:ascii="Calibri" w:hAnsi="Calibri" w:cs="Calibri"/>
                <w:noProof/>
                <w:color w:val="auto"/>
              </w:rPr>
              <w:t>A.3</w:t>
            </w:r>
            <w:r w:rsidR="00683533" w:rsidRPr="00683533">
              <w:rPr>
                <w:rFonts w:ascii="Calibri" w:eastAsiaTheme="minorEastAsia" w:hAnsi="Calibri" w:cs="Calibri"/>
                <w:noProof/>
                <w:color w:val="auto"/>
                <w:sz w:val="22"/>
                <w:lang w:eastAsia="en-AU"/>
              </w:rPr>
              <w:tab/>
            </w:r>
            <w:r w:rsidR="00683533" w:rsidRPr="00683533">
              <w:rPr>
                <w:rStyle w:val="Hyperlink"/>
                <w:rFonts w:ascii="Calibri" w:hAnsi="Calibri" w:cs="Calibri"/>
                <w:noProof/>
                <w:color w:val="auto"/>
              </w:rPr>
              <w:t>Wages Policy</w:t>
            </w:r>
            <w:r w:rsidR="00683533" w:rsidRPr="00683533">
              <w:rPr>
                <w:rFonts w:ascii="Calibri" w:hAnsi="Calibri" w:cs="Calibri"/>
                <w:noProof/>
                <w:webHidden/>
                <w:color w:val="auto"/>
              </w:rPr>
              <w:tab/>
            </w:r>
            <w:r w:rsidR="00683533" w:rsidRPr="00683533">
              <w:rPr>
                <w:rFonts w:ascii="Calibri" w:hAnsi="Calibri" w:cs="Calibri"/>
                <w:noProof/>
                <w:webHidden/>
                <w:color w:val="auto"/>
              </w:rPr>
              <w:fldChar w:fldCharType="begin"/>
            </w:r>
            <w:r w:rsidR="00683533" w:rsidRPr="00683533">
              <w:rPr>
                <w:rFonts w:ascii="Calibri" w:hAnsi="Calibri" w:cs="Calibri"/>
                <w:noProof/>
                <w:webHidden/>
                <w:color w:val="auto"/>
              </w:rPr>
              <w:instrText xml:space="preserve"> PAGEREF _Toc139011823 \h </w:instrText>
            </w:r>
            <w:r w:rsidR="00683533" w:rsidRPr="00683533">
              <w:rPr>
                <w:rFonts w:ascii="Calibri" w:hAnsi="Calibri" w:cs="Calibri"/>
                <w:noProof/>
                <w:webHidden/>
                <w:color w:val="auto"/>
              </w:rPr>
            </w:r>
            <w:r w:rsidR="00683533" w:rsidRPr="00683533">
              <w:rPr>
                <w:rFonts w:ascii="Calibri" w:hAnsi="Calibri" w:cs="Calibri"/>
                <w:noProof/>
                <w:webHidden/>
                <w:color w:val="auto"/>
              </w:rPr>
              <w:fldChar w:fldCharType="separate"/>
            </w:r>
            <w:r w:rsidR="0017105B">
              <w:rPr>
                <w:rFonts w:ascii="Calibri" w:hAnsi="Calibri" w:cs="Calibri"/>
                <w:noProof/>
                <w:webHidden/>
                <w:color w:val="auto"/>
              </w:rPr>
              <w:t>28</w:t>
            </w:r>
            <w:r w:rsidR="00683533" w:rsidRPr="00683533">
              <w:rPr>
                <w:rFonts w:ascii="Calibri" w:hAnsi="Calibri" w:cs="Calibri"/>
                <w:noProof/>
                <w:webHidden/>
                <w:color w:val="auto"/>
              </w:rPr>
              <w:fldChar w:fldCharType="end"/>
            </w:r>
          </w:hyperlink>
        </w:p>
        <w:p w14:paraId="495911ED" w14:textId="1B05FF2A" w:rsidR="00683533" w:rsidRPr="00683533" w:rsidRDefault="00B86910">
          <w:pPr>
            <w:pStyle w:val="TOC1"/>
            <w:tabs>
              <w:tab w:val="right" w:leader="dot" w:pos="8494"/>
            </w:tabs>
            <w:rPr>
              <w:rFonts w:ascii="Calibri" w:eastAsiaTheme="minorEastAsia" w:hAnsi="Calibri" w:cs="Calibri"/>
              <w:b w:val="0"/>
              <w:noProof/>
              <w:color w:val="auto"/>
              <w:sz w:val="22"/>
              <w:szCs w:val="22"/>
              <w:lang w:eastAsia="en-AU"/>
            </w:rPr>
          </w:pPr>
          <w:hyperlink w:anchor="_Toc139011824" w:history="1">
            <w:r w:rsidR="00683533" w:rsidRPr="00683533">
              <w:rPr>
                <w:rStyle w:val="Hyperlink"/>
                <w:rFonts w:ascii="Calibri" w:hAnsi="Calibri" w:cs="Calibri"/>
                <w:noProof/>
                <w:color w:val="auto"/>
              </w:rPr>
              <w:t>References</w:t>
            </w:r>
            <w:r w:rsidR="00683533" w:rsidRPr="00683533">
              <w:rPr>
                <w:rFonts w:ascii="Calibri" w:hAnsi="Calibri" w:cs="Calibri"/>
                <w:noProof/>
                <w:webHidden/>
                <w:color w:val="auto"/>
              </w:rPr>
              <w:tab/>
            </w:r>
            <w:r w:rsidR="00683533" w:rsidRPr="00683533">
              <w:rPr>
                <w:rFonts w:ascii="Calibri" w:hAnsi="Calibri" w:cs="Calibri"/>
                <w:noProof/>
                <w:webHidden/>
                <w:color w:val="auto"/>
              </w:rPr>
              <w:fldChar w:fldCharType="begin"/>
            </w:r>
            <w:r w:rsidR="00683533" w:rsidRPr="00683533">
              <w:rPr>
                <w:rFonts w:ascii="Calibri" w:hAnsi="Calibri" w:cs="Calibri"/>
                <w:noProof/>
                <w:webHidden/>
                <w:color w:val="auto"/>
              </w:rPr>
              <w:instrText xml:space="preserve"> PAGEREF _Toc139011824 \h </w:instrText>
            </w:r>
            <w:r w:rsidR="00683533" w:rsidRPr="00683533">
              <w:rPr>
                <w:rFonts w:ascii="Calibri" w:hAnsi="Calibri" w:cs="Calibri"/>
                <w:noProof/>
                <w:webHidden/>
                <w:color w:val="auto"/>
              </w:rPr>
            </w:r>
            <w:r w:rsidR="00683533" w:rsidRPr="00683533">
              <w:rPr>
                <w:rFonts w:ascii="Calibri" w:hAnsi="Calibri" w:cs="Calibri"/>
                <w:noProof/>
                <w:webHidden/>
                <w:color w:val="auto"/>
              </w:rPr>
              <w:fldChar w:fldCharType="separate"/>
            </w:r>
            <w:r w:rsidR="0017105B">
              <w:rPr>
                <w:rFonts w:ascii="Calibri" w:hAnsi="Calibri" w:cs="Calibri"/>
                <w:noProof/>
                <w:webHidden/>
                <w:color w:val="auto"/>
              </w:rPr>
              <w:t>30</w:t>
            </w:r>
            <w:r w:rsidR="00683533" w:rsidRPr="00683533">
              <w:rPr>
                <w:rFonts w:ascii="Calibri" w:hAnsi="Calibri" w:cs="Calibri"/>
                <w:noProof/>
                <w:webHidden/>
                <w:color w:val="auto"/>
              </w:rPr>
              <w:fldChar w:fldCharType="end"/>
            </w:r>
          </w:hyperlink>
        </w:p>
        <w:p w14:paraId="40DAE0C4" w14:textId="79119AD1" w:rsidR="003209FB" w:rsidRDefault="00683533" w:rsidP="00683533">
          <w:pPr>
            <w:pStyle w:val="TOC1"/>
            <w:tabs>
              <w:tab w:val="right" w:leader="dot" w:pos="8494"/>
            </w:tabs>
            <w:rPr>
              <w:rFonts w:asciiTheme="majorHAnsi" w:eastAsiaTheme="majorEastAsia" w:hAnsiTheme="majorHAnsi" w:cstheme="majorBidi"/>
              <w:bCs/>
              <w:color w:val="000000" w:themeColor="text1"/>
              <w:sz w:val="28"/>
              <w:szCs w:val="28"/>
              <w:lang w:val="en-US"/>
            </w:rPr>
          </w:pPr>
          <w:r>
            <w:rPr>
              <w:rFonts w:asciiTheme="majorHAnsi" w:eastAsiaTheme="majorEastAsia" w:hAnsiTheme="majorHAnsi" w:cstheme="majorBidi"/>
              <w:color w:val="000000" w:themeColor="text1"/>
              <w:sz w:val="28"/>
              <w:szCs w:val="28"/>
              <w:highlight w:val="yellow"/>
              <w:lang w:val="en-US"/>
            </w:rPr>
            <w:fldChar w:fldCharType="end"/>
          </w:r>
        </w:p>
      </w:sdtContent>
    </w:sdt>
    <w:p w14:paraId="17587DEB" w14:textId="2432593A" w:rsidR="00C04EF6" w:rsidRDefault="00C04EF6" w:rsidP="00C04EF6">
      <w:pPr>
        <w:tabs>
          <w:tab w:val="left" w:pos="6006"/>
        </w:tabs>
        <w:rPr>
          <w:rFonts w:asciiTheme="majorHAnsi" w:eastAsiaTheme="majorEastAsia" w:hAnsiTheme="majorHAnsi" w:cstheme="majorBidi"/>
          <w:b/>
          <w:bCs/>
          <w:color w:val="000000" w:themeColor="text1"/>
          <w:sz w:val="28"/>
          <w:szCs w:val="28"/>
          <w:lang w:val="en-US"/>
        </w:rPr>
      </w:pPr>
      <w:r>
        <w:rPr>
          <w:rFonts w:asciiTheme="majorHAnsi" w:eastAsiaTheme="majorEastAsia" w:hAnsiTheme="majorHAnsi" w:cstheme="majorBidi"/>
          <w:b/>
          <w:bCs/>
          <w:color w:val="000000" w:themeColor="text1"/>
          <w:sz w:val="28"/>
          <w:szCs w:val="28"/>
          <w:lang w:val="en-US"/>
        </w:rPr>
        <w:tab/>
      </w:r>
    </w:p>
    <w:p w14:paraId="57EB8FAD" w14:textId="0392722A" w:rsidR="00C04EF6" w:rsidRPr="00C04EF6" w:rsidRDefault="00C04EF6" w:rsidP="00C04EF6">
      <w:pPr>
        <w:tabs>
          <w:tab w:val="left" w:pos="6006"/>
        </w:tabs>
        <w:rPr>
          <w:lang w:val="en-US"/>
        </w:rPr>
        <w:sectPr w:rsidR="00C04EF6" w:rsidRPr="00C04EF6" w:rsidSect="00F90BEA">
          <w:pgSz w:w="11906" w:h="16838"/>
          <w:pgMar w:top="1701" w:right="1701" w:bottom="1559" w:left="1701" w:header="425" w:footer="709" w:gutter="0"/>
          <w:cols w:space="282"/>
          <w:docGrid w:linePitch="360"/>
        </w:sectPr>
      </w:pPr>
      <w:r>
        <w:rPr>
          <w:lang w:val="en-US"/>
        </w:rPr>
        <w:tab/>
      </w:r>
    </w:p>
    <w:p w14:paraId="02F3BE56" w14:textId="4248E49A" w:rsidR="00B1131E" w:rsidRPr="00C02C39" w:rsidRDefault="00B1131E" w:rsidP="00A52570">
      <w:pPr>
        <w:pStyle w:val="Style4"/>
      </w:pPr>
      <w:bookmarkStart w:id="16" w:name="_Toc139011810"/>
      <w:r w:rsidRPr="00A52570">
        <w:rPr>
          <w:rStyle w:val="01ChapterheadingChar"/>
        </w:rPr>
        <w:lastRenderedPageBreak/>
        <w:t>Abbreviations and glossary</w:t>
      </w:r>
      <w:bookmarkEnd w:id="16"/>
      <w:r w:rsidRPr="00C02C39">
        <w:br/>
      </w:r>
    </w:p>
    <w:p w14:paraId="2B99EEF1" w14:textId="77777777" w:rsidR="00B1131E" w:rsidRDefault="00B1131E" w:rsidP="00B1131E">
      <w:pPr>
        <w:pStyle w:val="Chapterheading"/>
        <w:sectPr w:rsidR="00B1131E" w:rsidSect="00F90BEA">
          <w:pgSz w:w="11906" w:h="16838"/>
          <w:pgMar w:top="1701" w:right="1701" w:bottom="1559" w:left="1701" w:header="425" w:footer="709" w:gutter="0"/>
          <w:cols w:space="282"/>
          <w:docGrid w:linePitch="360"/>
        </w:sectPr>
      </w:pPr>
    </w:p>
    <w:tbl>
      <w:tblPr>
        <w:tblStyle w:val="Glossary"/>
        <w:tblW w:w="8647" w:type="dxa"/>
        <w:tblLayout w:type="fixed"/>
        <w:tblLook w:val="05A0" w:firstRow="1" w:lastRow="0" w:firstColumn="1" w:lastColumn="1" w:noHBand="0" w:noVBand="1"/>
      </w:tblPr>
      <w:tblGrid>
        <w:gridCol w:w="2977"/>
        <w:gridCol w:w="5670"/>
      </w:tblGrid>
      <w:tr w:rsidR="00A33525" w:rsidRPr="006B37D9" w14:paraId="6090A2B1" w14:textId="77777777" w:rsidTr="00504E62">
        <w:trPr>
          <w:cnfStyle w:val="100000000000" w:firstRow="1" w:lastRow="0" w:firstColumn="0" w:lastColumn="0" w:oddVBand="0" w:evenVBand="0" w:oddHBand="0" w:evenHBand="0" w:firstRowFirstColumn="0" w:firstRowLastColumn="0" w:lastRowFirstColumn="0" w:lastRowLastColumn="0"/>
          <w:trHeight w:val="408"/>
          <w:tblHeader/>
        </w:trPr>
        <w:tc>
          <w:tcPr>
            <w:tcW w:w="2977" w:type="dxa"/>
            <w:tcBorders>
              <w:top w:val="single" w:sz="4" w:space="0" w:color="148A5D" w:themeColor="accent2"/>
            </w:tcBorders>
            <w:shd w:val="clear" w:color="auto" w:fill="auto"/>
            <w:vAlign w:val="center"/>
          </w:tcPr>
          <w:p w14:paraId="4857B183" w14:textId="77777777" w:rsidR="00A33525" w:rsidRPr="00504E62" w:rsidRDefault="00A33525" w:rsidP="00673EF5">
            <w:pPr>
              <w:pStyle w:val="10Tabletext"/>
              <w:rPr>
                <w:rFonts w:ascii="Calibri" w:hAnsi="Calibri" w:cs="Calibri"/>
                <w:b w:val="0"/>
                <w:color w:val="auto"/>
              </w:rPr>
            </w:pPr>
            <w:r w:rsidRPr="00504E62">
              <w:rPr>
                <w:rFonts w:ascii="Calibri" w:hAnsi="Calibri" w:cs="Calibri"/>
                <w:color w:val="auto"/>
              </w:rPr>
              <w:t xml:space="preserve">Term or abbreviation </w:t>
            </w:r>
          </w:p>
        </w:tc>
        <w:tc>
          <w:tcPr>
            <w:tcW w:w="5670" w:type="dxa"/>
            <w:tcBorders>
              <w:top w:val="single" w:sz="4" w:space="0" w:color="148A5D" w:themeColor="accent2"/>
            </w:tcBorders>
            <w:shd w:val="clear" w:color="auto" w:fill="auto"/>
            <w:vAlign w:val="center"/>
          </w:tcPr>
          <w:p w14:paraId="6741C0DC" w14:textId="77777777" w:rsidR="00A33525" w:rsidRPr="00504E62" w:rsidRDefault="00A33525" w:rsidP="00673EF5">
            <w:pPr>
              <w:pStyle w:val="10Tabletext"/>
              <w:rPr>
                <w:rFonts w:ascii="Calibri" w:eastAsia="Arial Narrow" w:hAnsi="Calibri" w:cs="Calibri"/>
                <w:b w:val="0"/>
                <w:color w:val="auto"/>
              </w:rPr>
            </w:pPr>
            <w:r w:rsidRPr="00504E62">
              <w:rPr>
                <w:rFonts w:ascii="Calibri" w:hAnsi="Calibri" w:cs="Calibri"/>
                <w:color w:val="auto"/>
              </w:rPr>
              <w:t xml:space="preserve">Definition </w:t>
            </w:r>
          </w:p>
        </w:tc>
      </w:tr>
      <w:tr w:rsidR="00655D11" w:rsidRPr="003B161C" w14:paraId="4B8DE7EA" w14:textId="77777777" w:rsidTr="00D862CF">
        <w:trPr>
          <w:trHeight w:val="408"/>
        </w:trPr>
        <w:tc>
          <w:tcPr>
            <w:tcW w:w="2977" w:type="dxa"/>
          </w:tcPr>
          <w:p w14:paraId="5B453549" w14:textId="24878C54" w:rsidR="00655D11" w:rsidRPr="005D0303" w:rsidRDefault="00655D11" w:rsidP="00F75AC4">
            <w:pPr>
              <w:pStyle w:val="10Tabletext"/>
              <w:rPr>
                <w:rFonts w:ascii="Calibri" w:hAnsi="Calibri" w:cs="Calibri"/>
                <w:color w:val="auto"/>
              </w:rPr>
            </w:pPr>
            <w:r w:rsidRPr="00655D11">
              <w:rPr>
                <w:rFonts w:ascii="Calibri" w:hAnsi="Calibri" w:cs="Calibri"/>
                <w:color w:val="auto"/>
              </w:rPr>
              <w:t>2022 Local Government Annual Adjustment Determination</w:t>
            </w:r>
          </w:p>
        </w:tc>
        <w:tc>
          <w:tcPr>
            <w:tcW w:w="5670" w:type="dxa"/>
          </w:tcPr>
          <w:p w14:paraId="091A286F" w14:textId="72B20C1A" w:rsidR="00655D11" w:rsidRPr="00E01CD8" w:rsidRDefault="00655D11" w:rsidP="00F75AC4">
            <w:pPr>
              <w:pStyle w:val="10Tabletext"/>
              <w:rPr>
                <w:rFonts w:ascii="Calibri" w:hAnsi="Calibri" w:cs="Calibri"/>
                <w:i/>
                <w:iCs/>
                <w:color w:val="auto"/>
              </w:rPr>
            </w:pPr>
            <w:r w:rsidRPr="00E01CD8">
              <w:rPr>
                <w:rFonts w:ascii="Calibri" w:hAnsi="Calibri" w:cs="Calibri"/>
                <w:i/>
                <w:iCs/>
                <w:color w:val="auto"/>
              </w:rPr>
              <w:t>Allowance payable to Mayors, Deputy Mayors and Councillors (Victoria) Annual Adjustment Determination 2022</w:t>
            </w:r>
          </w:p>
        </w:tc>
      </w:tr>
      <w:tr w:rsidR="00655D11" w:rsidRPr="003B161C" w14:paraId="6D6BF99A" w14:textId="77777777" w:rsidTr="00D862CF">
        <w:trPr>
          <w:trHeight w:val="408"/>
        </w:trPr>
        <w:tc>
          <w:tcPr>
            <w:tcW w:w="2977" w:type="dxa"/>
          </w:tcPr>
          <w:p w14:paraId="463C3035" w14:textId="73F9CAAE" w:rsidR="00655D11" w:rsidRPr="005D0303" w:rsidRDefault="00655D11" w:rsidP="00F75AC4">
            <w:pPr>
              <w:pStyle w:val="10Tabletext"/>
              <w:rPr>
                <w:rFonts w:ascii="Calibri" w:hAnsi="Calibri" w:cs="Calibri"/>
                <w:color w:val="auto"/>
              </w:rPr>
            </w:pPr>
            <w:r w:rsidRPr="00655D11">
              <w:rPr>
                <w:rFonts w:ascii="Calibri" w:hAnsi="Calibri" w:cs="Calibri"/>
                <w:color w:val="auto"/>
              </w:rPr>
              <w:t>2023 Local Government Annual Adjustment Determination</w:t>
            </w:r>
          </w:p>
        </w:tc>
        <w:tc>
          <w:tcPr>
            <w:tcW w:w="5670" w:type="dxa"/>
          </w:tcPr>
          <w:p w14:paraId="0E12419E" w14:textId="64D0644B" w:rsidR="00655D11" w:rsidRPr="00E01CD8" w:rsidRDefault="00655D11" w:rsidP="00F75AC4">
            <w:pPr>
              <w:pStyle w:val="10Tabletext"/>
              <w:rPr>
                <w:rFonts w:ascii="Calibri" w:hAnsi="Calibri" w:cs="Calibri"/>
                <w:i/>
                <w:iCs/>
                <w:color w:val="auto"/>
              </w:rPr>
            </w:pPr>
            <w:r w:rsidRPr="00E01CD8">
              <w:rPr>
                <w:rFonts w:ascii="Calibri" w:hAnsi="Calibri" w:cs="Calibri"/>
                <w:i/>
                <w:iCs/>
                <w:color w:val="auto"/>
              </w:rPr>
              <w:t>Allowance payable to Mayors, Deputy Mayors and Councillors (Victoria) Annual Adjustment Determination 2023</w:t>
            </w:r>
          </w:p>
        </w:tc>
      </w:tr>
      <w:tr w:rsidR="00A33525" w:rsidRPr="003B161C" w14:paraId="5BF83A3C" w14:textId="77777777" w:rsidTr="00D862CF">
        <w:trPr>
          <w:trHeight w:val="408"/>
        </w:trPr>
        <w:tc>
          <w:tcPr>
            <w:tcW w:w="2977" w:type="dxa"/>
          </w:tcPr>
          <w:p w14:paraId="27BE5A49" w14:textId="21BB253D" w:rsidR="00A33525" w:rsidRPr="005D0303" w:rsidRDefault="009C2607" w:rsidP="00F75AC4">
            <w:pPr>
              <w:pStyle w:val="10Tabletext"/>
              <w:rPr>
                <w:rFonts w:ascii="Calibri" w:hAnsi="Calibri" w:cs="Calibri"/>
                <w:color w:val="auto"/>
              </w:rPr>
            </w:pPr>
            <w:r w:rsidRPr="005D0303">
              <w:rPr>
                <w:rFonts w:ascii="Calibri" w:hAnsi="Calibri" w:cs="Calibri"/>
                <w:color w:val="auto"/>
              </w:rPr>
              <w:t>ABS</w:t>
            </w:r>
          </w:p>
        </w:tc>
        <w:tc>
          <w:tcPr>
            <w:tcW w:w="5670" w:type="dxa"/>
          </w:tcPr>
          <w:p w14:paraId="4C9A7145" w14:textId="1E3DD1A3" w:rsidR="00A33525" w:rsidRPr="005D0303" w:rsidRDefault="009C2607" w:rsidP="00F75AC4">
            <w:pPr>
              <w:pStyle w:val="10Tabletext"/>
              <w:rPr>
                <w:rFonts w:ascii="Calibri" w:hAnsi="Calibri" w:cs="Calibri"/>
                <w:color w:val="auto"/>
              </w:rPr>
            </w:pPr>
            <w:r w:rsidRPr="005D0303">
              <w:rPr>
                <w:rFonts w:ascii="Calibri" w:hAnsi="Calibri" w:cs="Calibri"/>
                <w:color w:val="auto"/>
              </w:rPr>
              <w:t>Australian Bureau of Statistics</w:t>
            </w:r>
          </w:p>
        </w:tc>
      </w:tr>
      <w:tr w:rsidR="00304D61" w:rsidRPr="003B161C" w14:paraId="7DBAFFC6" w14:textId="77777777" w:rsidTr="00D862CF">
        <w:trPr>
          <w:trHeight w:val="408"/>
        </w:trPr>
        <w:tc>
          <w:tcPr>
            <w:tcW w:w="2977" w:type="dxa"/>
          </w:tcPr>
          <w:p w14:paraId="465DD1FE" w14:textId="7E35C682" w:rsidR="00304D61" w:rsidRPr="005D0303" w:rsidRDefault="00304D61" w:rsidP="00F75AC4">
            <w:pPr>
              <w:pStyle w:val="10Tabletext"/>
              <w:rPr>
                <w:rFonts w:ascii="Calibri" w:hAnsi="Calibri" w:cs="Calibri"/>
                <w:color w:val="auto"/>
              </w:rPr>
            </w:pPr>
            <w:r w:rsidRPr="005D0303">
              <w:rPr>
                <w:rFonts w:ascii="Calibri" w:hAnsi="Calibri" w:cs="Calibri"/>
                <w:color w:val="auto"/>
              </w:rPr>
              <w:t>Comprehensive Determination</w:t>
            </w:r>
          </w:p>
        </w:tc>
        <w:tc>
          <w:tcPr>
            <w:tcW w:w="5670" w:type="dxa"/>
          </w:tcPr>
          <w:p w14:paraId="184DDA43" w14:textId="30141320" w:rsidR="00304D61" w:rsidRPr="005D0303" w:rsidRDefault="00304D61" w:rsidP="00F75AC4">
            <w:pPr>
              <w:pStyle w:val="10Tabletext"/>
              <w:rPr>
                <w:rFonts w:ascii="Calibri" w:hAnsi="Calibri" w:cs="Calibri"/>
                <w:i/>
                <w:color w:val="auto"/>
              </w:rPr>
            </w:pPr>
            <w:r w:rsidRPr="005D0303">
              <w:rPr>
                <w:rFonts w:ascii="Calibri" w:hAnsi="Calibri" w:cs="Calibri"/>
                <w:i/>
                <w:color w:val="auto"/>
              </w:rPr>
              <w:t>Allowance payable to Mayors, Deputy Mayors and Councillors (Victoria) Determination No. 01/2022</w:t>
            </w:r>
          </w:p>
        </w:tc>
      </w:tr>
      <w:tr w:rsidR="00AA5825" w:rsidRPr="003B161C" w14:paraId="0857FF04" w14:textId="77777777" w:rsidTr="00D862CF">
        <w:trPr>
          <w:trHeight w:val="408"/>
        </w:trPr>
        <w:tc>
          <w:tcPr>
            <w:tcW w:w="2977" w:type="dxa"/>
          </w:tcPr>
          <w:p w14:paraId="0BD88C5D" w14:textId="3BD74794" w:rsidR="00AA5825" w:rsidRPr="005D0303" w:rsidRDefault="00AA5825" w:rsidP="00F75AC4">
            <w:pPr>
              <w:pStyle w:val="10Tabletext"/>
              <w:rPr>
                <w:rFonts w:ascii="Calibri" w:hAnsi="Calibri" w:cs="Calibri"/>
                <w:color w:val="auto"/>
              </w:rPr>
            </w:pPr>
            <w:r w:rsidRPr="005D0303">
              <w:rPr>
                <w:rFonts w:ascii="Calibri" w:hAnsi="Calibri" w:cs="Calibri"/>
                <w:color w:val="auto"/>
              </w:rPr>
              <w:t>Council member</w:t>
            </w:r>
          </w:p>
        </w:tc>
        <w:tc>
          <w:tcPr>
            <w:tcW w:w="5670" w:type="dxa"/>
          </w:tcPr>
          <w:p w14:paraId="0D8D7F44" w14:textId="6D76DC24" w:rsidR="00AA5825" w:rsidRPr="005D0303" w:rsidRDefault="00901250" w:rsidP="00F75AC4">
            <w:pPr>
              <w:pStyle w:val="10Tabletext"/>
              <w:rPr>
                <w:rFonts w:ascii="Calibri" w:hAnsi="Calibri" w:cs="Calibri"/>
                <w:color w:val="auto"/>
              </w:rPr>
            </w:pPr>
            <w:r w:rsidRPr="005D0303">
              <w:rPr>
                <w:rFonts w:ascii="Calibri" w:hAnsi="Calibri" w:cs="Calibri"/>
                <w:color w:val="auto"/>
              </w:rPr>
              <w:t>A Mayor, Deputy Mayor or Councillor</w:t>
            </w:r>
          </w:p>
        </w:tc>
      </w:tr>
      <w:tr w:rsidR="00A33525" w:rsidRPr="003B161C" w14:paraId="42333639" w14:textId="77777777" w:rsidTr="00D862CF">
        <w:trPr>
          <w:trHeight w:val="408"/>
        </w:trPr>
        <w:tc>
          <w:tcPr>
            <w:tcW w:w="2977" w:type="dxa"/>
          </w:tcPr>
          <w:p w14:paraId="431DF819" w14:textId="176C8DEF" w:rsidR="00A33525" w:rsidRPr="005D0303" w:rsidRDefault="00517661" w:rsidP="00F75AC4">
            <w:pPr>
              <w:pStyle w:val="10Tabletext"/>
              <w:rPr>
                <w:rFonts w:ascii="Calibri" w:hAnsi="Calibri" w:cs="Calibri"/>
                <w:color w:val="auto"/>
              </w:rPr>
            </w:pPr>
            <w:r w:rsidRPr="005D0303">
              <w:rPr>
                <w:rFonts w:ascii="Calibri" w:hAnsi="Calibri" w:cs="Calibri"/>
                <w:color w:val="auto"/>
              </w:rPr>
              <w:t>CPI</w:t>
            </w:r>
          </w:p>
        </w:tc>
        <w:tc>
          <w:tcPr>
            <w:tcW w:w="5670" w:type="dxa"/>
          </w:tcPr>
          <w:p w14:paraId="6FC3B63D" w14:textId="5482C57A" w:rsidR="00A33525" w:rsidRPr="005D0303" w:rsidRDefault="00517661" w:rsidP="00F75AC4">
            <w:pPr>
              <w:pStyle w:val="10Tabletext"/>
              <w:rPr>
                <w:rFonts w:ascii="Calibri" w:hAnsi="Calibri" w:cs="Calibri"/>
                <w:color w:val="auto"/>
              </w:rPr>
            </w:pPr>
            <w:r w:rsidRPr="005D0303">
              <w:rPr>
                <w:rFonts w:ascii="Calibri" w:hAnsi="Calibri" w:cs="Calibri"/>
                <w:color w:val="auto"/>
              </w:rPr>
              <w:t>Consumer Price Index</w:t>
            </w:r>
          </w:p>
        </w:tc>
      </w:tr>
      <w:tr w:rsidR="00D862CF" w:rsidRPr="003B161C" w14:paraId="74FC4481" w14:textId="77777777" w:rsidTr="005D0303">
        <w:trPr>
          <w:trHeight w:val="408"/>
        </w:trPr>
        <w:tc>
          <w:tcPr>
            <w:tcW w:w="2977" w:type="dxa"/>
          </w:tcPr>
          <w:p w14:paraId="4F3B3481" w14:textId="0CCCD48F" w:rsidR="00D862CF" w:rsidRPr="005D0303" w:rsidRDefault="00D862CF" w:rsidP="00D862CF">
            <w:pPr>
              <w:pStyle w:val="10Tabletext"/>
              <w:rPr>
                <w:rFonts w:ascii="Calibri" w:hAnsi="Calibri" w:cs="Calibri"/>
                <w:color w:val="auto"/>
              </w:rPr>
            </w:pPr>
            <w:r w:rsidRPr="005D0303">
              <w:rPr>
                <w:rFonts w:ascii="Calibri" w:hAnsi="Calibri" w:cs="Calibri"/>
                <w:color w:val="auto"/>
              </w:rPr>
              <w:t>Cth</w:t>
            </w:r>
          </w:p>
        </w:tc>
        <w:tc>
          <w:tcPr>
            <w:tcW w:w="5670" w:type="dxa"/>
          </w:tcPr>
          <w:p w14:paraId="2D5A1C4B" w14:textId="290319AA" w:rsidR="00D862CF" w:rsidRPr="005D0303" w:rsidRDefault="00D862CF" w:rsidP="00D862CF">
            <w:pPr>
              <w:pStyle w:val="10Tabletext"/>
              <w:rPr>
                <w:rFonts w:ascii="Calibri" w:hAnsi="Calibri" w:cs="Calibri"/>
                <w:color w:val="auto"/>
              </w:rPr>
            </w:pPr>
            <w:r w:rsidRPr="005D0303">
              <w:rPr>
                <w:rFonts w:ascii="Calibri" w:hAnsi="Calibri" w:cs="Calibri"/>
                <w:color w:val="auto"/>
              </w:rPr>
              <w:t>Commonwealth Government of Australia</w:t>
            </w:r>
          </w:p>
        </w:tc>
      </w:tr>
      <w:tr w:rsidR="0062346F" w:rsidRPr="003B161C" w14:paraId="344FEE98" w14:textId="77777777" w:rsidTr="00D862CF">
        <w:trPr>
          <w:trHeight w:val="408"/>
        </w:trPr>
        <w:tc>
          <w:tcPr>
            <w:tcW w:w="2977" w:type="dxa"/>
          </w:tcPr>
          <w:p w14:paraId="5B416AAA" w14:textId="2D18213C" w:rsidR="0062346F" w:rsidRPr="005D0303" w:rsidRDefault="0062346F" w:rsidP="00F75AC4">
            <w:pPr>
              <w:pStyle w:val="10Tabletext"/>
              <w:rPr>
                <w:rFonts w:ascii="Calibri" w:hAnsi="Calibri" w:cs="Calibri"/>
                <w:color w:val="auto"/>
              </w:rPr>
            </w:pPr>
            <w:r w:rsidRPr="005D0303">
              <w:rPr>
                <w:rFonts w:ascii="Calibri" w:hAnsi="Calibri" w:cs="Calibri"/>
                <w:color w:val="auto"/>
              </w:rPr>
              <w:t>DTF</w:t>
            </w:r>
          </w:p>
        </w:tc>
        <w:tc>
          <w:tcPr>
            <w:tcW w:w="5670" w:type="dxa"/>
          </w:tcPr>
          <w:p w14:paraId="77A5F25E" w14:textId="6AA97043" w:rsidR="0062346F" w:rsidRPr="005D0303" w:rsidRDefault="0062346F" w:rsidP="00F75AC4">
            <w:pPr>
              <w:pStyle w:val="10Tabletext"/>
              <w:rPr>
                <w:rFonts w:ascii="Calibri" w:hAnsi="Calibri" w:cs="Calibri"/>
                <w:color w:val="auto"/>
              </w:rPr>
            </w:pPr>
            <w:r w:rsidRPr="005D0303">
              <w:rPr>
                <w:rFonts w:ascii="Calibri" w:hAnsi="Calibri" w:cs="Calibri"/>
                <w:color w:val="auto"/>
              </w:rPr>
              <w:t>Department of Treasury and Finance</w:t>
            </w:r>
          </w:p>
        </w:tc>
      </w:tr>
      <w:tr w:rsidR="00237885" w:rsidRPr="003B161C" w14:paraId="644D7ECC" w14:textId="77777777" w:rsidTr="00D862CF">
        <w:trPr>
          <w:trHeight w:val="408"/>
        </w:trPr>
        <w:tc>
          <w:tcPr>
            <w:tcW w:w="2977" w:type="dxa"/>
          </w:tcPr>
          <w:p w14:paraId="46C33BAB" w14:textId="7DEEFF64" w:rsidR="00237885" w:rsidRPr="005D0303" w:rsidRDefault="00237885" w:rsidP="00F75AC4">
            <w:pPr>
              <w:pStyle w:val="10Tabletext"/>
              <w:rPr>
                <w:rFonts w:ascii="Calibri" w:hAnsi="Calibri" w:cs="Calibri"/>
                <w:color w:val="auto"/>
              </w:rPr>
            </w:pPr>
            <w:r w:rsidRPr="005D0303">
              <w:rPr>
                <w:rFonts w:ascii="Calibri" w:hAnsi="Calibri" w:cs="Calibri"/>
                <w:color w:val="auto"/>
              </w:rPr>
              <w:t>FWC</w:t>
            </w:r>
          </w:p>
        </w:tc>
        <w:tc>
          <w:tcPr>
            <w:tcW w:w="5670" w:type="dxa"/>
          </w:tcPr>
          <w:p w14:paraId="4AD4E477" w14:textId="6BE4847C" w:rsidR="00237885" w:rsidRPr="005D0303" w:rsidRDefault="00237885" w:rsidP="00F75AC4">
            <w:pPr>
              <w:pStyle w:val="10Tabletext"/>
              <w:rPr>
                <w:rFonts w:ascii="Calibri" w:hAnsi="Calibri" w:cs="Calibri"/>
                <w:color w:val="auto"/>
              </w:rPr>
            </w:pPr>
            <w:r w:rsidRPr="005D0303">
              <w:rPr>
                <w:rFonts w:ascii="Calibri" w:hAnsi="Calibri" w:cs="Calibri"/>
                <w:color w:val="auto"/>
              </w:rPr>
              <w:t>Fair Work Commission</w:t>
            </w:r>
          </w:p>
        </w:tc>
      </w:tr>
      <w:tr w:rsidR="00A35026" w:rsidRPr="003B161C" w14:paraId="4FD24CF3" w14:textId="77777777" w:rsidTr="00D862CF">
        <w:trPr>
          <w:trHeight w:val="408"/>
        </w:trPr>
        <w:tc>
          <w:tcPr>
            <w:tcW w:w="2977" w:type="dxa"/>
          </w:tcPr>
          <w:p w14:paraId="6EB6D2C3" w14:textId="6393BCFF" w:rsidR="00A35026" w:rsidRPr="005D0303" w:rsidRDefault="00A35026" w:rsidP="00F75AC4">
            <w:pPr>
              <w:pStyle w:val="10Tabletext"/>
              <w:rPr>
                <w:rFonts w:ascii="Calibri" w:hAnsi="Calibri" w:cs="Calibri"/>
                <w:color w:val="auto"/>
              </w:rPr>
            </w:pPr>
            <w:r w:rsidRPr="005D0303">
              <w:rPr>
                <w:rFonts w:ascii="Calibri" w:hAnsi="Calibri" w:cs="Calibri"/>
                <w:color w:val="auto"/>
              </w:rPr>
              <w:t>GDP</w:t>
            </w:r>
          </w:p>
        </w:tc>
        <w:tc>
          <w:tcPr>
            <w:tcW w:w="5670" w:type="dxa"/>
          </w:tcPr>
          <w:p w14:paraId="76C07195" w14:textId="741BA4A3" w:rsidR="00A35026" w:rsidRPr="005D0303" w:rsidRDefault="00A35026" w:rsidP="00F75AC4">
            <w:pPr>
              <w:pStyle w:val="10Tabletext"/>
              <w:rPr>
                <w:rFonts w:ascii="Calibri" w:hAnsi="Calibri" w:cs="Calibri"/>
                <w:color w:val="auto"/>
              </w:rPr>
            </w:pPr>
            <w:r w:rsidRPr="005D0303">
              <w:rPr>
                <w:rFonts w:ascii="Calibri" w:hAnsi="Calibri" w:cs="Calibri"/>
                <w:color w:val="auto"/>
              </w:rPr>
              <w:t>Gross Domestic Product</w:t>
            </w:r>
          </w:p>
        </w:tc>
      </w:tr>
      <w:tr w:rsidR="00867636" w:rsidRPr="003B161C" w14:paraId="1798C289" w14:textId="77777777" w:rsidTr="00D862CF">
        <w:trPr>
          <w:trHeight w:val="408"/>
        </w:trPr>
        <w:tc>
          <w:tcPr>
            <w:tcW w:w="2977" w:type="dxa"/>
          </w:tcPr>
          <w:p w14:paraId="3C18749B" w14:textId="12B95E4A" w:rsidR="00867636" w:rsidRPr="005D0303" w:rsidRDefault="00867636" w:rsidP="00F75AC4">
            <w:pPr>
              <w:pStyle w:val="10Tabletext"/>
              <w:rPr>
                <w:rFonts w:ascii="Calibri" w:hAnsi="Calibri" w:cs="Calibri"/>
                <w:color w:val="auto"/>
              </w:rPr>
            </w:pPr>
            <w:r w:rsidRPr="005D0303">
              <w:rPr>
                <w:rFonts w:ascii="Calibri" w:hAnsi="Calibri" w:cs="Calibri"/>
                <w:color w:val="auto"/>
              </w:rPr>
              <w:t>GSP</w:t>
            </w:r>
          </w:p>
        </w:tc>
        <w:tc>
          <w:tcPr>
            <w:tcW w:w="5670" w:type="dxa"/>
          </w:tcPr>
          <w:p w14:paraId="113E2186" w14:textId="0520F98A" w:rsidR="00867636" w:rsidRPr="005D0303" w:rsidRDefault="00867636" w:rsidP="00F75AC4">
            <w:pPr>
              <w:pStyle w:val="10Tabletext"/>
              <w:rPr>
                <w:rFonts w:ascii="Calibri" w:hAnsi="Calibri" w:cs="Calibri"/>
                <w:color w:val="auto"/>
              </w:rPr>
            </w:pPr>
            <w:r w:rsidRPr="005D0303">
              <w:rPr>
                <w:rFonts w:ascii="Calibri" w:hAnsi="Calibri" w:cs="Calibri"/>
                <w:color w:val="auto"/>
              </w:rPr>
              <w:t>Gross State Product</w:t>
            </w:r>
          </w:p>
        </w:tc>
      </w:tr>
      <w:tr w:rsidR="007D561D" w:rsidRPr="003B161C" w14:paraId="35753DB0" w14:textId="77777777" w:rsidTr="00D862CF">
        <w:trPr>
          <w:trHeight w:val="408"/>
        </w:trPr>
        <w:tc>
          <w:tcPr>
            <w:tcW w:w="2977" w:type="dxa"/>
          </w:tcPr>
          <w:p w14:paraId="69E83C6F" w14:textId="0B48A11F" w:rsidR="007D561D" w:rsidRPr="005D0303" w:rsidRDefault="007D561D" w:rsidP="00F75AC4">
            <w:pPr>
              <w:pStyle w:val="10Tabletext"/>
              <w:rPr>
                <w:rFonts w:ascii="Calibri" w:hAnsi="Calibri" w:cs="Calibri"/>
                <w:color w:val="auto"/>
              </w:rPr>
            </w:pPr>
            <w:r w:rsidRPr="005D0303">
              <w:rPr>
                <w:rFonts w:ascii="Calibri" w:hAnsi="Calibri" w:cs="Calibri"/>
                <w:color w:val="auto"/>
              </w:rPr>
              <w:t>MP</w:t>
            </w:r>
          </w:p>
        </w:tc>
        <w:tc>
          <w:tcPr>
            <w:tcW w:w="5670" w:type="dxa"/>
          </w:tcPr>
          <w:p w14:paraId="0D634C5D" w14:textId="3F8373D2" w:rsidR="007D561D" w:rsidRPr="005D0303" w:rsidRDefault="007D561D" w:rsidP="00F75AC4">
            <w:pPr>
              <w:pStyle w:val="10Tabletext"/>
              <w:rPr>
                <w:rFonts w:ascii="Calibri" w:hAnsi="Calibri" w:cs="Calibri"/>
                <w:color w:val="auto"/>
              </w:rPr>
            </w:pPr>
            <w:r w:rsidRPr="005D0303">
              <w:rPr>
                <w:rFonts w:ascii="Calibri" w:hAnsi="Calibri" w:cs="Calibri"/>
                <w:color w:val="auto"/>
              </w:rPr>
              <w:t>Member of the Parliament of Victoria</w:t>
            </w:r>
          </w:p>
        </w:tc>
      </w:tr>
      <w:tr w:rsidR="00646792" w:rsidRPr="003B161C" w14:paraId="53561703" w14:textId="77777777" w:rsidTr="00D862CF">
        <w:trPr>
          <w:trHeight w:val="408"/>
        </w:trPr>
        <w:tc>
          <w:tcPr>
            <w:tcW w:w="2977" w:type="dxa"/>
          </w:tcPr>
          <w:p w14:paraId="15032C7E" w14:textId="2292B524" w:rsidR="00646792" w:rsidRPr="005D0303" w:rsidRDefault="00646792" w:rsidP="00F75AC4">
            <w:pPr>
              <w:pStyle w:val="10Tabletext"/>
              <w:rPr>
                <w:rFonts w:ascii="Calibri" w:hAnsi="Calibri" w:cs="Calibri"/>
                <w:color w:val="auto"/>
              </w:rPr>
            </w:pPr>
            <w:r w:rsidRPr="005D0303">
              <w:rPr>
                <w:rFonts w:ascii="Calibri" w:hAnsi="Calibri" w:cs="Calibri"/>
                <w:color w:val="auto"/>
              </w:rPr>
              <w:t>NMW</w:t>
            </w:r>
          </w:p>
        </w:tc>
        <w:tc>
          <w:tcPr>
            <w:tcW w:w="5670" w:type="dxa"/>
          </w:tcPr>
          <w:p w14:paraId="35CEA328" w14:textId="2DFC67A4" w:rsidR="00646792" w:rsidRPr="005D0303" w:rsidRDefault="00646792" w:rsidP="00F75AC4">
            <w:pPr>
              <w:pStyle w:val="10Tabletext"/>
              <w:rPr>
                <w:rFonts w:ascii="Calibri" w:hAnsi="Calibri" w:cs="Calibri"/>
                <w:color w:val="auto"/>
              </w:rPr>
            </w:pPr>
            <w:r w:rsidRPr="005D0303">
              <w:rPr>
                <w:rFonts w:ascii="Calibri" w:hAnsi="Calibri" w:cs="Calibri"/>
                <w:color w:val="auto"/>
              </w:rPr>
              <w:t>National Minimum Wage</w:t>
            </w:r>
          </w:p>
        </w:tc>
      </w:tr>
      <w:tr w:rsidR="68BF3B7C" w14:paraId="23D12AAC" w14:textId="77777777" w:rsidTr="68BF3B7C">
        <w:trPr>
          <w:trHeight w:val="408"/>
        </w:trPr>
        <w:tc>
          <w:tcPr>
            <w:tcW w:w="2977" w:type="dxa"/>
          </w:tcPr>
          <w:p w14:paraId="170743B1" w14:textId="63DD7DC9" w:rsidR="74FD7AC6" w:rsidRDefault="74FD7AC6" w:rsidP="68BF3B7C">
            <w:pPr>
              <w:pStyle w:val="10Tabletext"/>
              <w:rPr>
                <w:rFonts w:ascii="Calibri" w:hAnsi="Calibri" w:cs="Calibri"/>
                <w:color w:val="auto"/>
              </w:rPr>
            </w:pPr>
            <w:r w:rsidRPr="68BF3B7C">
              <w:rPr>
                <w:rFonts w:ascii="Calibri" w:hAnsi="Calibri" w:cs="Calibri"/>
                <w:color w:val="auto"/>
              </w:rPr>
              <w:t>NSW</w:t>
            </w:r>
          </w:p>
        </w:tc>
        <w:tc>
          <w:tcPr>
            <w:tcW w:w="5670" w:type="dxa"/>
          </w:tcPr>
          <w:p w14:paraId="07762F13" w14:textId="49A69980" w:rsidR="74FD7AC6" w:rsidRDefault="74FD7AC6" w:rsidP="68BF3B7C">
            <w:pPr>
              <w:pStyle w:val="10Tabletext"/>
              <w:rPr>
                <w:rFonts w:ascii="Calibri" w:hAnsi="Calibri" w:cs="Calibri"/>
                <w:color w:val="auto"/>
              </w:rPr>
            </w:pPr>
            <w:r w:rsidRPr="68BF3B7C">
              <w:rPr>
                <w:rFonts w:ascii="Calibri" w:hAnsi="Calibri" w:cs="Calibri"/>
                <w:color w:val="auto"/>
              </w:rPr>
              <w:t>New South Wales</w:t>
            </w:r>
          </w:p>
        </w:tc>
      </w:tr>
      <w:tr w:rsidR="68BF3B7C" w14:paraId="4F0D858B" w14:textId="77777777" w:rsidTr="68BF3B7C">
        <w:trPr>
          <w:trHeight w:val="408"/>
        </w:trPr>
        <w:tc>
          <w:tcPr>
            <w:tcW w:w="2977" w:type="dxa"/>
          </w:tcPr>
          <w:p w14:paraId="6BEF36FF" w14:textId="39824E54" w:rsidR="74FD7AC6" w:rsidRDefault="74FD7AC6" w:rsidP="68BF3B7C">
            <w:pPr>
              <w:pStyle w:val="10Tabletext"/>
              <w:rPr>
                <w:rFonts w:ascii="Calibri" w:hAnsi="Calibri" w:cs="Calibri"/>
                <w:color w:val="auto"/>
              </w:rPr>
            </w:pPr>
            <w:r w:rsidRPr="68BF3B7C">
              <w:rPr>
                <w:rFonts w:ascii="Calibri" w:hAnsi="Calibri" w:cs="Calibri"/>
                <w:color w:val="auto"/>
              </w:rPr>
              <w:t>Qld</w:t>
            </w:r>
          </w:p>
        </w:tc>
        <w:tc>
          <w:tcPr>
            <w:tcW w:w="5670" w:type="dxa"/>
          </w:tcPr>
          <w:p w14:paraId="6D7DD3A9" w14:textId="534211DF" w:rsidR="74FD7AC6" w:rsidRDefault="74FD7AC6" w:rsidP="68BF3B7C">
            <w:pPr>
              <w:pStyle w:val="10Tabletext"/>
              <w:rPr>
                <w:rFonts w:ascii="Calibri" w:hAnsi="Calibri" w:cs="Calibri"/>
                <w:color w:val="auto"/>
              </w:rPr>
            </w:pPr>
            <w:r w:rsidRPr="68BF3B7C">
              <w:rPr>
                <w:rFonts w:ascii="Calibri" w:hAnsi="Calibri" w:cs="Calibri"/>
                <w:color w:val="auto"/>
              </w:rPr>
              <w:t>Queensland</w:t>
            </w:r>
          </w:p>
        </w:tc>
      </w:tr>
      <w:tr w:rsidR="004361D2" w:rsidRPr="003B161C" w14:paraId="7E042714" w14:textId="77777777" w:rsidTr="00D862CF">
        <w:trPr>
          <w:trHeight w:val="408"/>
        </w:trPr>
        <w:tc>
          <w:tcPr>
            <w:tcW w:w="2977" w:type="dxa"/>
          </w:tcPr>
          <w:p w14:paraId="623530B0" w14:textId="3B1645B6" w:rsidR="004361D2" w:rsidRPr="005D0303" w:rsidRDefault="004361D2" w:rsidP="00F75AC4">
            <w:pPr>
              <w:pStyle w:val="10Tabletext"/>
              <w:rPr>
                <w:rFonts w:ascii="Calibri" w:hAnsi="Calibri" w:cs="Calibri"/>
                <w:color w:val="auto"/>
              </w:rPr>
            </w:pPr>
            <w:r w:rsidRPr="005D0303">
              <w:rPr>
                <w:rFonts w:ascii="Calibri" w:hAnsi="Calibri" w:cs="Calibri"/>
                <w:color w:val="auto"/>
              </w:rPr>
              <w:t>RBA</w:t>
            </w:r>
          </w:p>
        </w:tc>
        <w:tc>
          <w:tcPr>
            <w:tcW w:w="5670" w:type="dxa"/>
          </w:tcPr>
          <w:p w14:paraId="2D99BD69" w14:textId="12ADF873" w:rsidR="004361D2" w:rsidRPr="005D0303" w:rsidRDefault="004361D2" w:rsidP="00F75AC4">
            <w:pPr>
              <w:pStyle w:val="10Tabletext"/>
              <w:rPr>
                <w:rFonts w:ascii="Calibri" w:hAnsi="Calibri" w:cs="Calibri"/>
                <w:color w:val="auto"/>
              </w:rPr>
            </w:pPr>
            <w:r w:rsidRPr="005D0303">
              <w:rPr>
                <w:rFonts w:ascii="Calibri" w:hAnsi="Calibri" w:cs="Calibri"/>
                <w:color w:val="auto"/>
              </w:rPr>
              <w:t>Reserve Bank of Australia</w:t>
            </w:r>
          </w:p>
        </w:tc>
      </w:tr>
      <w:tr w:rsidR="168E3BD4" w14:paraId="4D19328B" w14:textId="77777777" w:rsidTr="168E3BD4">
        <w:trPr>
          <w:trHeight w:val="408"/>
        </w:trPr>
        <w:tc>
          <w:tcPr>
            <w:tcW w:w="2977" w:type="dxa"/>
          </w:tcPr>
          <w:p w14:paraId="5D3C5611" w14:textId="2E9B99DC" w:rsidR="5257667F" w:rsidRDefault="5257667F" w:rsidP="168E3BD4">
            <w:pPr>
              <w:pStyle w:val="10Tabletext"/>
              <w:rPr>
                <w:rFonts w:ascii="Calibri" w:hAnsi="Calibri" w:cs="Calibri"/>
                <w:color w:val="auto"/>
              </w:rPr>
            </w:pPr>
            <w:r w:rsidRPr="168E3BD4">
              <w:rPr>
                <w:rFonts w:ascii="Calibri" w:hAnsi="Calibri" w:cs="Calibri"/>
                <w:color w:val="auto"/>
              </w:rPr>
              <w:t>SA</w:t>
            </w:r>
          </w:p>
        </w:tc>
        <w:tc>
          <w:tcPr>
            <w:tcW w:w="5670" w:type="dxa"/>
          </w:tcPr>
          <w:p w14:paraId="7FA9A09E" w14:textId="1CE6DDFF" w:rsidR="5257667F" w:rsidRDefault="5257667F" w:rsidP="168E3BD4">
            <w:pPr>
              <w:pStyle w:val="10Tabletext"/>
              <w:rPr>
                <w:rFonts w:ascii="Calibri" w:hAnsi="Calibri" w:cs="Calibri"/>
                <w:color w:val="auto"/>
              </w:rPr>
            </w:pPr>
            <w:r w:rsidRPr="68BF3B7C">
              <w:rPr>
                <w:rFonts w:ascii="Calibri" w:hAnsi="Calibri" w:cs="Calibri"/>
                <w:color w:val="auto"/>
              </w:rPr>
              <w:t>South Australia</w:t>
            </w:r>
          </w:p>
        </w:tc>
      </w:tr>
      <w:tr w:rsidR="68BF3B7C" w14:paraId="0D71BE6C" w14:textId="77777777" w:rsidTr="68BF3B7C">
        <w:trPr>
          <w:trHeight w:val="408"/>
        </w:trPr>
        <w:tc>
          <w:tcPr>
            <w:tcW w:w="2977" w:type="dxa"/>
          </w:tcPr>
          <w:p w14:paraId="53AAE629" w14:textId="6447FA49" w:rsidR="5257667F" w:rsidRDefault="5257667F" w:rsidP="68BF3B7C">
            <w:pPr>
              <w:pStyle w:val="10Tabletext"/>
              <w:rPr>
                <w:rFonts w:ascii="Calibri" w:hAnsi="Calibri" w:cs="Calibri"/>
                <w:color w:val="auto"/>
              </w:rPr>
            </w:pPr>
            <w:r w:rsidRPr="68BF3B7C">
              <w:rPr>
                <w:rFonts w:ascii="Calibri" w:hAnsi="Calibri" w:cs="Calibri"/>
                <w:color w:val="auto"/>
              </w:rPr>
              <w:t>Tas</w:t>
            </w:r>
          </w:p>
        </w:tc>
        <w:tc>
          <w:tcPr>
            <w:tcW w:w="5670" w:type="dxa"/>
          </w:tcPr>
          <w:p w14:paraId="74E7884D" w14:textId="15909DD2" w:rsidR="5257667F" w:rsidRDefault="5257667F" w:rsidP="68BF3B7C">
            <w:pPr>
              <w:pStyle w:val="10Tabletext"/>
              <w:rPr>
                <w:rFonts w:ascii="Calibri" w:hAnsi="Calibri" w:cs="Calibri"/>
                <w:color w:val="auto"/>
              </w:rPr>
            </w:pPr>
            <w:r w:rsidRPr="68BF3B7C">
              <w:rPr>
                <w:rFonts w:ascii="Calibri" w:hAnsi="Calibri" w:cs="Calibri"/>
                <w:color w:val="auto"/>
              </w:rPr>
              <w:t>Tasmania</w:t>
            </w:r>
          </w:p>
        </w:tc>
      </w:tr>
      <w:tr w:rsidR="001456F5" w:rsidRPr="003B161C" w14:paraId="4A69CC96" w14:textId="77777777" w:rsidTr="00D862CF">
        <w:trPr>
          <w:trHeight w:val="408"/>
        </w:trPr>
        <w:tc>
          <w:tcPr>
            <w:tcW w:w="2977" w:type="dxa"/>
          </w:tcPr>
          <w:p w14:paraId="05FB85AC" w14:textId="55980085" w:rsidR="001456F5" w:rsidRPr="005D0303" w:rsidRDefault="001456F5" w:rsidP="00F75AC4">
            <w:pPr>
              <w:pStyle w:val="10Tabletext"/>
              <w:rPr>
                <w:rFonts w:ascii="Calibri" w:hAnsi="Calibri" w:cs="Calibri"/>
                <w:color w:val="auto"/>
              </w:rPr>
            </w:pPr>
            <w:r w:rsidRPr="005D0303">
              <w:rPr>
                <w:rFonts w:ascii="Calibri" w:hAnsi="Calibri" w:cs="Calibri"/>
                <w:color w:val="auto"/>
              </w:rPr>
              <w:t>Tribunal</w:t>
            </w:r>
          </w:p>
        </w:tc>
        <w:tc>
          <w:tcPr>
            <w:tcW w:w="5670" w:type="dxa"/>
          </w:tcPr>
          <w:p w14:paraId="1D43BB01" w14:textId="74F70E22" w:rsidR="001456F5" w:rsidRPr="005D0303" w:rsidRDefault="001456F5" w:rsidP="00F75AC4">
            <w:pPr>
              <w:pStyle w:val="10Tabletext"/>
              <w:rPr>
                <w:rFonts w:ascii="Calibri" w:hAnsi="Calibri" w:cs="Calibri"/>
                <w:color w:val="auto"/>
              </w:rPr>
            </w:pPr>
            <w:r w:rsidRPr="005D0303">
              <w:rPr>
                <w:rFonts w:ascii="Calibri" w:hAnsi="Calibri" w:cs="Calibri"/>
                <w:color w:val="auto"/>
              </w:rPr>
              <w:t>Victorian Independent Remuneration Tribunal</w:t>
            </w:r>
          </w:p>
        </w:tc>
      </w:tr>
      <w:tr w:rsidR="004C298F" w:rsidRPr="003B161C" w14:paraId="3D60FC9E" w14:textId="77777777" w:rsidTr="00D862CF">
        <w:trPr>
          <w:trHeight w:val="408"/>
        </w:trPr>
        <w:tc>
          <w:tcPr>
            <w:tcW w:w="2977" w:type="dxa"/>
          </w:tcPr>
          <w:p w14:paraId="37CC04B2" w14:textId="5C98023F" w:rsidR="004C298F" w:rsidRPr="005D0303" w:rsidRDefault="004C298F" w:rsidP="00F75AC4">
            <w:pPr>
              <w:pStyle w:val="10Tabletext"/>
              <w:rPr>
                <w:rFonts w:ascii="Calibri" w:hAnsi="Calibri" w:cs="Calibri"/>
                <w:color w:val="auto"/>
              </w:rPr>
            </w:pPr>
            <w:r w:rsidRPr="005D0303">
              <w:rPr>
                <w:rFonts w:ascii="Calibri" w:hAnsi="Calibri" w:cs="Calibri"/>
                <w:color w:val="auto"/>
              </w:rPr>
              <w:t>Victorian Budget</w:t>
            </w:r>
          </w:p>
        </w:tc>
        <w:tc>
          <w:tcPr>
            <w:tcW w:w="5670" w:type="dxa"/>
          </w:tcPr>
          <w:p w14:paraId="28DCE59A" w14:textId="73855998" w:rsidR="004C298F" w:rsidRPr="005D0303" w:rsidRDefault="004C298F" w:rsidP="00F75AC4">
            <w:pPr>
              <w:pStyle w:val="10Tabletext"/>
              <w:rPr>
                <w:rFonts w:ascii="Calibri" w:hAnsi="Calibri" w:cs="Calibri"/>
                <w:i/>
                <w:iCs/>
                <w:color w:val="auto"/>
              </w:rPr>
            </w:pPr>
            <w:r w:rsidRPr="005D0303">
              <w:rPr>
                <w:rFonts w:ascii="Calibri" w:hAnsi="Calibri" w:cs="Calibri"/>
                <w:i/>
                <w:iCs/>
                <w:color w:val="auto"/>
              </w:rPr>
              <w:t>Victorian Budget 2023/24</w:t>
            </w:r>
          </w:p>
        </w:tc>
      </w:tr>
      <w:tr w:rsidR="00F75AC4" w:rsidRPr="003B161C" w14:paraId="4455BD36" w14:textId="77777777" w:rsidTr="00D862CF">
        <w:trPr>
          <w:trHeight w:val="408"/>
        </w:trPr>
        <w:tc>
          <w:tcPr>
            <w:tcW w:w="2977" w:type="dxa"/>
          </w:tcPr>
          <w:p w14:paraId="4F84EE0C" w14:textId="3FA33DF8" w:rsidR="00F75AC4" w:rsidRPr="005D0303" w:rsidRDefault="00517661" w:rsidP="00F75AC4">
            <w:pPr>
              <w:pStyle w:val="10Tabletext"/>
              <w:rPr>
                <w:rFonts w:ascii="Calibri" w:hAnsi="Calibri" w:cs="Calibri"/>
                <w:b/>
                <w:color w:val="auto"/>
              </w:rPr>
            </w:pPr>
            <w:r w:rsidRPr="005D0303">
              <w:rPr>
                <w:rFonts w:ascii="Calibri" w:hAnsi="Calibri" w:cs="Calibri"/>
                <w:color w:val="auto"/>
              </w:rPr>
              <w:t>VIRTIPS Act</w:t>
            </w:r>
          </w:p>
        </w:tc>
        <w:tc>
          <w:tcPr>
            <w:tcW w:w="5670" w:type="dxa"/>
          </w:tcPr>
          <w:p w14:paraId="39AD31A1" w14:textId="506DE249" w:rsidR="00F75AC4" w:rsidRPr="005D0303" w:rsidRDefault="00517661" w:rsidP="00F75AC4">
            <w:pPr>
              <w:pStyle w:val="10Tabletext"/>
              <w:rPr>
                <w:rFonts w:ascii="Calibri" w:hAnsi="Calibri" w:cs="Calibri"/>
                <w:color w:val="auto"/>
              </w:rPr>
            </w:pPr>
            <w:r w:rsidRPr="005D0303">
              <w:rPr>
                <w:rFonts w:ascii="Calibri" w:hAnsi="Calibri" w:cs="Calibri"/>
                <w:i/>
                <w:color w:val="auto"/>
              </w:rPr>
              <w:t>Victorian Independent Remuneration Tribunal and Improving Parliamentary Standards Act 2019</w:t>
            </w:r>
            <w:r w:rsidRPr="005D0303">
              <w:rPr>
                <w:rFonts w:ascii="Calibri" w:hAnsi="Calibri" w:cs="Calibri"/>
                <w:color w:val="auto"/>
              </w:rPr>
              <w:t xml:space="preserve"> (Vic)</w:t>
            </w:r>
          </w:p>
        </w:tc>
      </w:tr>
      <w:tr w:rsidR="68BF3B7C" w14:paraId="24C41AD8" w14:textId="77777777" w:rsidTr="68BF3B7C">
        <w:trPr>
          <w:trHeight w:val="408"/>
        </w:trPr>
        <w:tc>
          <w:tcPr>
            <w:tcW w:w="2977" w:type="dxa"/>
          </w:tcPr>
          <w:p w14:paraId="71759802" w14:textId="6DD98D13" w:rsidR="19825448" w:rsidRDefault="19825448" w:rsidP="68BF3B7C">
            <w:pPr>
              <w:pStyle w:val="10Tabletext"/>
              <w:rPr>
                <w:rFonts w:ascii="Calibri" w:hAnsi="Calibri" w:cs="Calibri"/>
                <w:color w:val="auto"/>
              </w:rPr>
            </w:pPr>
            <w:r w:rsidRPr="68BF3B7C">
              <w:rPr>
                <w:rFonts w:ascii="Calibri" w:hAnsi="Calibri" w:cs="Calibri"/>
                <w:color w:val="auto"/>
              </w:rPr>
              <w:lastRenderedPageBreak/>
              <w:t>WA</w:t>
            </w:r>
          </w:p>
        </w:tc>
        <w:tc>
          <w:tcPr>
            <w:tcW w:w="5670" w:type="dxa"/>
          </w:tcPr>
          <w:p w14:paraId="036390B9" w14:textId="6791BBA5" w:rsidR="19825448" w:rsidRDefault="19825448" w:rsidP="68BF3B7C">
            <w:pPr>
              <w:pStyle w:val="10Tabletext"/>
              <w:rPr>
                <w:rFonts w:ascii="Calibri" w:hAnsi="Calibri" w:cs="Calibri"/>
                <w:color w:val="auto"/>
              </w:rPr>
            </w:pPr>
            <w:r w:rsidRPr="68BF3B7C">
              <w:rPr>
                <w:rFonts w:ascii="Calibri" w:hAnsi="Calibri" w:cs="Calibri"/>
                <w:color w:val="auto"/>
              </w:rPr>
              <w:t>Western Australia</w:t>
            </w:r>
          </w:p>
        </w:tc>
      </w:tr>
      <w:tr w:rsidR="00113D4F" w:rsidRPr="003B161C" w14:paraId="41A0000D" w14:textId="77777777" w:rsidTr="00D862CF">
        <w:trPr>
          <w:trHeight w:val="408"/>
        </w:trPr>
        <w:tc>
          <w:tcPr>
            <w:tcW w:w="2977" w:type="dxa"/>
          </w:tcPr>
          <w:p w14:paraId="4FD9C6E8" w14:textId="6E0F0B8C" w:rsidR="00113D4F" w:rsidRPr="005D0303" w:rsidRDefault="00113D4F" w:rsidP="00F75AC4">
            <w:pPr>
              <w:pStyle w:val="10Tabletext"/>
              <w:rPr>
                <w:rFonts w:ascii="Calibri" w:hAnsi="Calibri" w:cs="Calibri"/>
                <w:color w:val="auto"/>
              </w:rPr>
            </w:pPr>
            <w:r w:rsidRPr="005D0303">
              <w:rPr>
                <w:rFonts w:ascii="Calibri" w:hAnsi="Calibri" w:cs="Calibri"/>
                <w:color w:val="auto"/>
              </w:rPr>
              <w:t>Wages Policy</w:t>
            </w:r>
          </w:p>
        </w:tc>
        <w:tc>
          <w:tcPr>
            <w:tcW w:w="5670" w:type="dxa"/>
          </w:tcPr>
          <w:p w14:paraId="70B0970F" w14:textId="0A80C251" w:rsidR="00113D4F" w:rsidRPr="005D0303" w:rsidRDefault="00113D4F" w:rsidP="00F75AC4">
            <w:pPr>
              <w:pStyle w:val="10Tabletext"/>
              <w:rPr>
                <w:rFonts w:ascii="Calibri" w:hAnsi="Calibri" w:cs="Calibri"/>
                <w:color w:val="auto"/>
              </w:rPr>
            </w:pPr>
            <w:r w:rsidRPr="005D0303">
              <w:rPr>
                <w:rFonts w:ascii="Calibri" w:hAnsi="Calibri" w:cs="Calibri"/>
                <w:color w:val="auto"/>
              </w:rPr>
              <w:t>Victorian Public Sector Wages Policy</w:t>
            </w:r>
          </w:p>
        </w:tc>
      </w:tr>
      <w:tr w:rsidR="00525100" w:rsidRPr="003B161C" w14:paraId="384B819E" w14:textId="77777777" w:rsidTr="00D862CF">
        <w:trPr>
          <w:trHeight w:val="408"/>
        </w:trPr>
        <w:tc>
          <w:tcPr>
            <w:tcW w:w="2977" w:type="dxa"/>
          </w:tcPr>
          <w:p w14:paraId="434EB0E4" w14:textId="729418DD" w:rsidR="00525100" w:rsidRPr="005D0303" w:rsidRDefault="00525100" w:rsidP="00F75AC4">
            <w:pPr>
              <w:pStyle w:val="10Tabletext"/>
              <w:rPr>
                <w:rFonts w:ascii="Calibri" w:hAnsi="Calibri" w:cs="Calibri"/>
                <w:color w:val="auto"/>
              </w:rPr>
            </w:pPr>
            <w:r w:rsidRPr="005D0303">
              <w:rPr>
                <w:rFonts w:ascii="Calibri" w:hAnsi="Calibri" w:cs="Calibri"/>
                <w:color w:val="auto"/>
              </w:rPr>
              <w:t>WPI</w:t>
            </w:r>
          </w:p>
        </w:tc>
        <w:tc>
          <w:tcPr>
            <w:tcW w:w="5670" w:type="dxa"/>
          </w:tcPr>
          <w:p w14:paraId="3CE5005B" w14:textId="48027FFF" w:rsidR="00525100" w:rsidRPr="005D0303" w:rsidRDefault="00525100" w:rsidP="00F75AC4">
            <w:pPr>
              <w:pStyle w:val="10Tabletext"/>
              <w:rPr>
                <w:rFonts w:ascii="Calibri" w:hAnsi="Calibri" w:cs="Calibri"/>
                <w:color w:val="auto"/>
              </w:rPr>
            </w:pPr>
            <w:r w:rsidRPr="005D0303">
              <w:rPr>
                <w:rFonts w:ascii="Calibri" w:hAnsi="Calibri" w:cs="Calibri"/>
                <w:color w:val="auto"/>
              </w:rPr>
              <w:t>Wage Price Index</w:t>
            </w:r>
          </w:p>
        </w:tc>
      </w:tr>
    </w:tbl>
    <w:p w14:paraId="5F2AAFE8" w14:textId="26E55A97" w:rsidR="005958EB" w:rsidRPr="003B161C" w:rsidRDefault="005958EB" w:rsidP="00F75AC4">
      <w:pPr>
        <w:pStyle w:val="Tabletext"/>
      </w:pPr>
      <w:r w:rsidRPr="003B161C">
        <w:br w:type="page"/>
      </w:r>
    </w:p>
    <w:p w14:paraId="0B5D9181" w14:textId="77777777" w:rsidR="00680617" w:rsidRDefault="00680617" w:rsidP="00673EF5">
      <w:pPr>
        <w:pStyle w:val="01Chapterheading"/>
        <w:sectPr w:rsidR="00680617" w:rsidSect="00D43074">
          <w:headerReference w:type="even" r:id="rId22"/>
          <w:headerReference w:type="default" r:id="rId23"/>
          <w:footerReference w:type="default" r:id="rId24"/>
          <w:headerReference w:type="first" r:id="rId25"/>
          <w:type w:val="continuous"/>
          <w:pgSz w:w="11906" w:h="16838"/>
          <w:pgMar w:top="1701" w:right="1701" w:bottom="1559" w:left="1701" w:header="708" w:footer="708" w:gutter="0"/>
          <w:cols w:space="708"/>
          <w:titlePg/>
          <w:docGrid w:linePitch="360"/>
        </w:sectPr>
      </w:pPr>
    </w:p>
    <w:p w14:paraId="4463765D" w14:textId="41D0B574" w:rsidR="00553A6E" w:rsidRDefault="003D7870" w:rsidP="000C1B31">
      <w:pPr>
        <w:pStyle w:val="Style4"/>
      </w:pPr>
      <w:bookmarkStart w:id="17" w:name="_Toc139011811"/>
      <w:r w:rsidRPr="000C1B31">
        <w:rPr>
          <w:rStyle w:val="01ChapterheadingChar"/>
        </w:rPr>
        <w:lastRenderedPageBreak/>
        <w:t>Summary</w:t>
      </w:r>
      <w:bookmarkEnd w:id="17"/>
      <w:r w:rsidR="00AF4A6A" w:rsidRPr="000C1B31">
        <w:rPr>
          <w:rStyle w:val="01ChapterheadingChar"/>
        </w:rPr>
        <w:br/>
      </w:r>
    </w:p>
    <w:p w14:paraId="01740E2A" w14:textId="3F272099" w:rsidR="00E2373E" w:rsidRDefault="00E2373E" w:rsidP="00E2373E">
      <w:pPr>
        <w:pStyle w:val="05Paragraph"/>
      </w:pPr>
      <w:r w:rsidRPr="00E2373E">
        <w:t xml:space="preserve">The Victorian Independent Remuneration Tribunal </w:t>
      </w:r>
      <w:r w:rsidR="00F047F2">
        <w:t xml:space="preserve">(Tribunal) </w:t>
      </w:r>
      <w:r w:rsidR="00BF6E8B">
        <w:t>has made</w:t>
      </w:r>
      <w:r w:rsidRPr="00E2373E">
        <w:t xml:space="preserve"> a Determination providing for an annual adjustment to the values of the allowances payable to Mayors, Deputy Mayors and Councillors (Council member</w:t>
      </w:r>
      <w:r>
        <w:t>s).</w:t>
      </w:r>
    </w:p>
    <w:p w14:paraId="60BD224F" w14:textId="4B6D2E3A" w:rsidR="00004020" w:rsidRDefault="00092A2A" w:rsidP="00E2373E">
      <w:pPr>
        <w:pStyle w:val="05Paragraph"/>
      </w:pPr>
      <w:r>
        <w:t>Before</w:t>
      </w:r>
      <w:r w:rsidR="00BF6E8B" w:rsidRPr="00BF6E8B">
        <w:t xml:space="preserve"> making the Determination, the Tribunal published notice of </w:t>
      </w:r>
      <w:r w:rsidR="0074165E">
        <w:t xml:space="preserve">its </w:t>
      </w:r>
      <w:r w:rsidR="00BF6E8B" w:rsidRPr="00BF6E8B">
        <w:t xml:space="preserve">intention </w:t>
      </w:r>
      <w:r w:rsidR="0074165E">
        <w:t xml:space="preserve">to make a Determination </w:t>
      </w:r>
      <w:r w:rsidR="00BF6E8B" w:rsidRPr="00BF6E8B">
        <w:t xml:space="preserve">and called for submissions in </w:t>
      </w:r>
      <w:r w:rsidR="009F29E3">
        <w:t xml:space="preserve">March </w:t>
      </w:r>
      <w:r w:rsidR="00BF6E8B" w:rsidRPr="00BF6E8B">
        <w:t>202</w:t>
      </w:r>
      <w:r w:rsidR="009F29E3">
        <w:t>3</w:t>
      </w:r>
      <w:r w:rsidR="00BF6E8B" w:rsidRPr="00BF6E8B">
        <w:t xml:space="preserve">. The Tribunal considered all of the submissions </w:t>
      </w:r>
      <w:r>
        <w:t xml:space="preserve">received </w:t>
      </w:r>
      <w:r w:rsidR="00BF6E8B" w:rsidRPr="00BF6E8B">
        <w:t>and expresses its appreciation to all those who made submissions or otherwise participated in the process and assisted the Tribunal to perform its functions.</w:t>
      </w:r>
    </w:p>
    <w:p w14:paraId="11E1118F" w14:textId="47ADDB59" w:rsidR="00004020" w:rsidRDefault="001D7D75" w:rsidP="00630217">
      <w:pPr>
        <w:pStyle w:val="03VIRTHeading3"/>
      </w:pPr>
      <w:r>
        <w:t>The Tribunal has adjusted the v</w:t>
      </w:r>
      <w:r w:rsidR="00004020">
        <w:t>alue</w:t>
      </w:r>
      <w:r w:rsidR="00AC6187">
        <w:t>s</w:t>
      </w:r>
      <w:r w:rsidR="00004020">
        <w:t xml:space="preserve"> of allowances from 1 July 2023</w:t>
      </w:r>
    </w:p>
    <w:p w14:paraId="2FF8A45D" w14:textId="14C8C659" w:rsidR="00BF6E8B" w:rsidRDefault="00BF6E8B" w:rsidP="00EA6DE7">
      <w:pPr>
        <w:spacing w:before="180" w:after="120" w:line="276" w:lineRule="auto"/>
        <w:jc w:val="both"/>
        <w:rPr>
          <w:rFonts w:ascii="Calibri" w:hAnsi="Calibri" w:cs="Calibri"/>
          <w:color w:val="000000" w:themeColor="text1"/>
          <w:sz w:val="26"/>
          <w:szCs w:val="20"/>
          <w:lang w:val="en-US"/>
        </w:rPr>
      </w:pPr>
      <w:r w:rsidRPr="00BF6E8B">
        <w:rPr>
          <w:rFonts w:ascii="Calibri" w:hAnsi="Calibri" w:cs="Calibri"/>
          <w:color w:val="000000" w:themeColor="text1"/>
          <w:sz w:val="26"/>
          <w:szCs w:val="20"/>
          <w:lang w:val="en-US"/>
        </w:rPr>
        <w:t>The Tribunal has decided to increase the base allowance payable to each Council member by 2 per cent from 1 July 2023.</w:t>
      </w:r>
      <w:r w:rsidR="00E50979">
        <w:rPr>
          <w:rFonts w:ascii="Calibri" w:hAnsi="Calibri" w:cs="Calibri"/>
          <w:color w:val="000000" w:themeColor="text1"/>
          <w:sz w:val="26"/>
          <w:szCs w:val="20"/>
          <w:lang w:val="en-US"/>
        </w:rPr>
        <w:t xml:space="preserve"> This </w:t>
      </w:r>
      <w:r w:rsidR="009C2558">
        <w:rPr>
          <w:rFonts w:ascii="Calibri" w:hAnsi="Calibri" w:cs="Calibri"/>
          <w:color w:val="000000" w:themeColor="text1"/>
          <w:sz w:val="26"/>
          <w:szCs w:val="20"/>
          <w:lang w:val="en-US"/>
        </w:rPr>
        <w:t>is in addition to</w:t>
      </w:r>
      <w:r w:rsidR="00E50979">
        <w:rPr>
          <w:rFonts w:ascii="Calibri" w:hAnsi="Calibri" w:cs="Calibri"/>
          <w:color w:val="000000" w:themeColor="text1"/>
          <w:sz w:val="26"/>
          <w:szCs w:val="20"/>
          <w:lang w:val="en-US"/>
        </w:rPr>
        <w:t xml:space="preserve"> the 1.5 per cent </w:t>
      </w:r>
      <w:r w:rsidR="00E31E92">
        <w:rPr>
          <w:rFonts w:ascii="Calibri" w:hAnsi="Calibri" w:cs="Calibri"/>
          <w:color w:val="000000" w:themeColor="text1"/>
          <w:sz w:val="26"/>
          <w:szCs w:val="20"/>
          <w:lang w:val="en-US"/>
        </w:rPr>
        <w:t xml:space="preserve">adjustment made on 18 December 2023, resulting in an approximate 3.5 per cent increase to allowances </w:t>
      </w:r>
      <w:r w:rsidR="007B27C6">
        <w:rPr>
          <w:rFonts w:ascii="Calibri" w:hAnsi="Calibri" w:cs="Calibri"/>
          <w:color w:val="000000" w:themeColor="text1"/>
          <w:sz w:val="26"/>
          <w:szCs w:val="20"/>
          <w:lang w:val="en-US"/>
        </w:rPr>
        <w:t xml:space="preserve">compared to </w:t>
      </w:r>
      <w:r w:rsidR="00460071">
        <w:rPr>
          <w:rFonts w:ascii="Calibri" w:hAnsi="Calibri" w:cs="Calibri"/>
          <w:color w:val="000000" w:themeColor="text1"/>
          <w:sz w:val="26"/>
          <w:szCs w:val="20"/>
          <w:lang w:val="en-US"/>
        </w:rPr>
        <w:t>1 July</w:t>
      </w:r>
      <w:r w:rsidR="007B27C6">
        <w:rPr>
          <w:rFonts w:ascii="Calibri" w:hAnsi="Calibri" w:cs="Calibri"/>
          <w:color w:val="000000" w:themeColor="text1"/>
          <w:sz w:val="26"/>
          <w:szCs w:val="20"/>
          <w:lang w:val="en-US"/>
        </w:rPr>
        <w:t xml:space="preserve"> 2022</w:t>
      </w:r>
      <w:r w:rsidR="00FB4BC1">
        <w:rPr>
          <w:rFonts w:ascii="Calibri" w:hAnsi="Calibri" w:cs="Calibri"/>
          <w:color w:val="000000" w:themeColor="text1"/>
          <w:sz w:val="26"/>
          <w:szCs w:val="20"/>
          <w:lang w:val="en-US"/>
        </w:rPr>
        <w:t>.</w:t>
      </w:r>
    </w:p>
    <w:p w14:paraId="258E4062" w14:textId="4A3D6280" w:rsidR="00EA6DE7" w:rsidRPr="00EA6DE7" w:rsidRDefault="00EA6DE7" w:rsidP="00EA6DE7">
      <w:pPr>
        <w:spacing w:before="180" w:after="120" w:line="276" w:lineRule="auto"/>
        <w:jc w:val="both"/>
        <w:rPr>
          <w:rFonts w:ascii="Calibri" w:hAnsi="Calibri" w:cs="Calibri"/>
          <w:color w:val="000000" w:themeColor="text1"/>
          <w:sz w:val="26"/>
          <w:szCs w:val="20"/>
          <w:lang w:val="en-US"/>
        </w:rPr>
      </w:pPr>
      <w:r w:rsidRPr="00EA6DE7">
        <w:rPr>
          <w:rFonts w:ascii="Calibri" w:hAnsi="Calibri" w:cs="Calibri"/>
          <w:color w:val="000000" w:themeColor="text1"/>
          <w:sz w:val="26"/>
          <w:szCs w:val="20"/>
          <w:lang w:val="en-US"/>
        </w:rPr>
        <w:t>The base allowances payable from 1 July 2023 are set out below:</w:t>
      </w:r>
    </w:p>
    <w:tbl>
      <w:tblPr>
        <w:tblStyle w:val="ListTable3-Accent21"/>
        <w:tblW w:w="8500" w:type="dxa"/>
        <w:tblInd w:w="5" w:type="dxa"/>
        <w:tblLayout w:type="fixed"/>
        <w:tblLook w:val="04A0" w:firstRow="1" w:lastRow="0" w:firstColumn="1" w:lastColumn="0" w:noHBand="0" w:noVBand="1"/>
      </w:tblPr>
      <w:tblGrid>
        <w:gridCol w:w="2122"/>
        <w:gridCol w:w="1936"/>
        <w:gridCol w:w="2316"/>
        <w:gridCol w:w="2126"/>
      </w:tblGrid>
      <w:tr w:rsidR="00504E62" w:rsidRPr="00504E62" w14:paraId="380A7D23" w14:textId="77777777" w:rsidTr="00504E6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Borders>
              <w:top w:val="single" w:sz="4" w:space="0" w:color="148A5D" w:themeColor="accent2"/>
              <w:bottom w:val="single" w:sz="4" w:space="0" w:color="148A5D"/>
            </w:tcBorders>
            <w:shd w:val="clear" w:color="auto" w:fill="auto"/>
          </w:tcPr>
          <w:p w14:paraId="4471E9DE" w14:textId="7EF9BA8C" w:rsidR="00EA6DE7" w:rsidRPr="00504E62" w:rsidRDefault="00504E62" w:rsidP="00EA6DE7">
            <w:pPr>
              <w:spacing w:after="0"/>
              <w:rPr>
                <w:rFonts w:ascii="Calibri" w:eastAsiaTheme="minorHAnsi" w:hAnsi="Calibri" w:cs="Calibri"/>
                <w:color w:val="auto"/>
                <w:sz w:val="22"/>
              </w:rPr>
            </w:pPr>
            <w:r w:rsidRPr="00504E62">
              <w:rPr>
                <w:rFonts w:ascii="Calibri" w:eastAsiaTheme="minorHAnsi" w:hAnsi="Calibri" w:cs="Calibri"/>
                <w:color w:val="auto"/>
                <w:sz w:val="22"/>
              </w:rPr>
              <w:t>Allowance Category</w:t>
            </w:r>
          </w:p>
        </w:tc>
        <w:tc>
          <w:tcPr>
            <w:tcW w:w="1936" w:type="dxa"/>
            <w:tcBorders>
              <w:top w:val="single" w:sz="4" w:space="0" w:color="148A5D" w:themeColor="accent2"/>
              <w:bottom w:val="single" w:sz="4" w:space="0" w:color="148A5D"/>
            </w:tcBorders>
            <w:shd w:val="clear" w:color="auto" w:fill="auto"/>
          </w:tcPr>
          <w:p w14:paraId="6125C090" w14:textId="2C9C3202" w:rsidR="00EA6DE7" w:rsidRPr="00504E62" w:rsidRDefault="00EA6DE7" w:rsidP="00EA6DE7">
            <w:pPr>
              <w:spacing w:after="0"/>
              <w:jc w:val="right"/>
              <w:cnfStyle w:val="100000000000" w:firstRow="1" w:lastRow="0" w:firstColumn="0" w:lastColumn="0" w:oddVBand="0" w:evenVBand="0" w:oddHBand="0" w:evenHBand="0" w:firstRowFirstColumn="0" w:firstRowLastColumn="0" w:lastRowFirstColumn="0" w:lastRowLastColumn="0"/>
              <w:rPr>
                <w:rFonts w:ascii="Calibri" w:eastAsiaTheme="minorHAnsi" w:hAnsi="Calibri" w:cs="Calibri"/>
                <w:color w:val="auto"/>
                <w:sz w:val="22"/>
              </w:rPr>
            </w:pPr>
            <w:r w:rsidRPr="00504E62">
              <w:rPr>
                <w:rFonts w:ascii="Calibri" w:eastAsiaTheme="minorHAnsi" w:hAnsi="Calibri" w:cs="Calibri"/>
                <w:color w:val="auto"/>
                <w:sz w:val="22"/>
              </w:rPr>
              <w:t>Mayor</w:t>
            </w:r>
            <w:r w:rsidR="00504E62" w:rsidRPr="00504E62">
              <w:rPr>
                <w:rFonts w:ascii="Calibri" w:eastAsiaTheme="minorHAnsi" w:hAnsi="Calibri" w:cs="Calibri"/>
                <w:color w:val="auto"/>
                <w:sz w:val="22"/>
              </w:rPr>
              <w:t xml:space="preserve"> ($ p.a.)</w:t>
            </w:r>
          </w:p>
        </w:tc>
        <w:tc>
          <w:tcPr>
            <w:tcW w:w="2316" w:type="dxa"/>
            <w:tcBorders>
              <w:top w:val="single" w:sz="4" w:space="0" w:color="148A5D" w:themeColor="accent2"/>
              <w:bottom w:val="single" w:sz="4" w:space="0" w:color="148A5D"/>
            </w:tcBorders>
            <w:shd w:val="clear" w:color="auto" w:fill="auto"/>
          </w:tcPr>
          <w:p w14:paraId="00594921" w14:textId="6EAC936B" w:rsidR="00EA6DE7" w:rsidRPr="00504E62" w:rsidRDefault="00EA6DE7" w:rsidP="00EA6DE7">
            <w:pPr>
              <w:spacing w:after="0"/>
              <w:jc w:val="right"/>
              <w:cnfStyle w:val="100000000000" w:firstRow="1" w:lastRow="0" w:firstColumn="0" w:lastColumn="0" w:oddVBand="0" w:evenVBand="0" w:oddHBand="0" w:evenHBand="0" w:firstRowFirstColumn="0" w:firstRowLastColumn="0" w:lastRowFirstColumn="0" w:lastRowLastColumn="0"/>
              <w:rPr>
                <w:rFonts w:ascii="Calibri" w:eastAsiaTheme="minorHAnsi" w:hAnsi="Calibri" w:cs="Calibri"/>
                <w:color w:val="auto"/>
                <w:sz w:val="22"/>
              </w:rPr>
            </w:pPr>
            <w:r w:rsidRPr="00504E62">
              <w:rPr>
                <w:rFonts w:ascii="Calibri" w:eastAsiaTheme="minorHAnsi" w:hAnsi="Calibri" w:cs="Calibri"/>
                <w:color w:val="auto"/>
                <w:sz w:val="22"/>
              </w:rPr>
              <w:t>Deputy Mayor</w:t>
            </w:r>
            <w:r w:rsidR="00504E62" w:rsidRPr="00504E62">
              <w:rPr>
                <w:rFonts w:ascii="Calibri" w:eastAsiaTheme="minorHAnsi" w:hAnsi="Calibri" w:cs="Calibri"/>
                <w:color w:val="auto"/>
                <w:sz w:val="22"/>
              </w:rPr>
              <w:t xml:space="preserve"> ($ p.a.)</w:t>
            </w:r>
          </w:p>
        </w:tc>
        <w:tc>
          <w:tcPr>
            <w:tcW w:w="2126" w:type="dxa"/>
            <w:tcBorders>
              <w:top w:val="single" w:sz="4" w:space="0" w:color="148A5D" w:themeColor="accent2"/>
              <w:bottom w:val="single" w:sz="4" w:space="0" w:color="148A5D"/>
            </w:tcBorders>
            <w:shd w:val="clear" w:color="auto" w:fill="auto"/>
          </w:tcPr>
          <w:p w14:paraId="7C573147" w14:textId="39DED11F" w:rsidR="00EA6DE7" w:rsidRPr="00504E62" w:rsidRDefault="00EA6DE7" w:rsidP="00EA6DE7">
            <w:pPr>
              <w:spacing w:after="0"/>
              <w:jc w:val="right"/>
              <w:cnfStyle w:val="100000000000" w:firstRow="1" w:lastRow="0" w:firstColumn="0" w:lastColumn="0" w:oddVBand="0" w:evenVBand="0" w:oddHBand="0" w:evenHBand="0" w:firstRowFirstColumn="0" w:firstRowLastColumn="0" w:lastRowFirstColumn="0" w:lastRowLastColumn="0"/>
              <w:rPr>
                <w:rFonts w:ascii="Calibri" w:eastAsiaTheme="minorHAnsi" w:hAnsi="Calibri" w:cs="Calibri"/>
                <w:color w:val="auto"/>
                <w:sz w:val="22"/>
              </w:rPr>
            </w:pPr>
            <w:r w:rsidRPr="00504E62">
              <w:rPr>
                <w:rFonts w:ascii="Calibri" w:eastAsiaTheme="minorHAnsi" w:hAnsi="Calibri" w:cs="Calibri"/>
                <w:color w:val="auto"/>
                <w:sz w:val="22"/>
              </w:rPr>
              <w:t>Councillor</w:t>
            </w:r>
            <w:r w:rsidR="00504E62" w:rsidRPr="00504E62">
              <w:rPr>
                <w:rFonts w:ascii="Calibri" w:eastAsiaTheme="minorHAnsi" w:hAnsi="Calibri" w:cs="Calibri"/>
                <w:color w:val="auto"/>
                <w:sz w:val="22"/>
              </w:rPr>
              <w:t xml:space="preserve"> ($ p.a.)</w:t>
            </w:r>
          </w:p>
        </w:tc>
      </w:tr>
      <w:tr w:rsidR="00EA6DE7" w:rsidRPr="00EA6DE7" w14:paraId="464C8A23" w14:textId="77777777" w:rsidTr="00504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56F71D3" w14:textId="77777777" w:rsidR="00EA6DE7" w:rsidRPr="00C71CCB" w:rsidRDefault="00EA6DE7" w:rsidP="00EA6DE7">
            <w:pPr>
              <w:spacing w:after="0"/>
              <w:rPr>
                <w:rFonts w:ascii="Calibri" w:eastAsiaTheme="minorHAnsi" w:hAnsi="Calibri" w:cs="Calibri"/>
                <w:bCs w:val="0"/>
                <w:color w:val="000000" w:themeColor="text1"/>
                <w:sz w:val="22"/>
              </w:rPr>
            </w:pPr>
            <w:r w:rsidRPr="00C71CCB">
              <w:rPr>
                <w:rFonts w:ascii="Calibri" w:eastAsiaTheme="minorHAnsi" w:hAnsi="Calibri" w:cs="Calibri"/>
                <w:bCs w:val="0"/>
                <w:color w:val="000000" w:themeColor="text1"/>
                <w:sz w:val="22"/>
              </w:rPr>
              <w:t>Category 1</w:t>
            </w:r>
          </w:p>
        </w:tc>
        <w:tc>
          <w:tcPr>
            <w:tcW w:w="1936" w:type="dxa"/>
          </w:tcPr>
          <w:p w14:paraId="1F6E516B" w14:textId="77777777" w:rsidR="00EA6DE7" w:rsidRPr="00C71CCB" w:rsidRDefault="00EA6DE7" w:rsidP="00EA6DE7">
            <w:pPr>
              <w:spacing w:after="0"/>
              <w:jc w:val="right"/>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color w:val="000000" w:themeColor="text1"/>
                <w:sz w:val="22"/>
                <w:highlight w:val="yellow"/>
              </w:rPr>
            </w:pPr>
            <w:r w:rsidRPr="00C71CCB">
              <w:rPr>
                <w:rFonts w:ascii="Calibri" w:eastAsiaTheme="minorHAnsi" w:hAnsi="Calibri" w:cs="Calibri"/>
                <w:color w:val="000000" w:themeColor="text1"/>
                <w:sz w:val="22"/>
              </w:rPr>
              <w:t xml:space="preserve"> 79,492 </w:t>
            </w:r>
          </w:p>
        </w:tc>
        <w:tc>
          <w:tcPr>
            <w:tcW w:w="2316" w:type="dxa"/>
          </w:tcPr>
          <w:p w14:paraId="66363E53" w14:textId="77777777" w:rsidR="00EA6DE7" w:rsidRPr="00C71CCB" w:rsidRDefault="00EA6DE7" w:rsidP="00EA6DE7">
            <w:pPr>
              <w:spacing w:after="0"/>
              <w:jc w:val="right"/>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color w:val="000000" w:themeColor="text1"/>
                <w:sz w:val="22"/>
              </w:rPr>
            </w:pPr>
            <w:r w:rsidRPr="00C71CCB">
              <w:rPr>
                <w:rFonts w:ascii="Calibri" w:eastAsiaTheme="minorHAnsi" w:hAnsi="Calibri" w:cs="Calibri"/>
                <w:color w:val="000000" w:themeColor="text1"/>
                <w:sz w:val="22"/>
              </w:rPr>
              <w:t xml:space="preserve"> 39,746 </w:t>
            </w:r>
          </w:p>
        </w:tc>
        <w:tc>
          <w:tcPr>
            <w:tcW w:w="2126" w:type="dxa"/>
          </w:tcPr>
          <w:p w14:paraId="4A01E8CB" w14:textId="77777777" w:rsidR="00EA6DE7" w:rsidRPr="00FE0E02" w:rsidRDefault="00EA6DE7" w:rsidP="00EA6DE7">
            <w:pPr>
              <w:spacing w:after="0"/>
              <w:jc w:val="right"/>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color w:val="000000" w:themeColor="text1"/>
                <w:sz w:val="22"/>
              </w:rPr>
            </w:pPr>
            <w:r w:rsidRPr="00FE0E02">
              <w:rPr>
                <w:rFonts w:ascii="Calibri" w:eastAsiaTheme="minorHAnsi" w:hAnsi="Calibri" w:cs="Calibri"/>
                <w:color w:val="000000" w:themeColor="text1"/>
                <w:sz w:val="22"/>
              </w:rPr>
              <w:t xml:space="preserve"> 25,650 </w:t>
            </w:r>
          </w:p>
        </w:tc>
      </w:tr>
      <w:tr w:rsidR="00EA6DE7" w:rsidRPr="00EA6DE7" w14:paraId="7B80F763" w14:textId="77777777" w:rsidTr="00504E62">
        <w:tc>
          <w:tcPr>
            <w:cnfStyle w:val="001000000000" w:firstRow="0" w:lastRow="0" w:firstColumn="1" w:lastColumn="0" w:oddVBand="0" w:evenVBand="0" w:oddHBand="0" w:evenHBand="0" w:firstRowFirstColumn="0" w:firstRowLastColumn="0" w:lastRowFirstColumn="0" w:lastRowLastColumn="0"/>
            <w:tcW w:w="2122" w:type="dxa"/>
          </w:tcPr>
          <w:p w14:paraId="015C4B1E" w14:textId="77777777" w:rsidR="00EA6DE7" w:rsidRPr="00C71CCB" w:rsidRDefault="00EA6DE7" w:rsidP="00EA6DE7">
            <w:pPr>
              <w:spacing w:after="0"/>
              <w:rPr>
                <w:rFonts w:ascii="Calibri" w:eastAsiaTheme="minorHAnsi" w:hAnsi="Calibri" w:cs="Calibri"/>
                <w:bCs w:val="0"/>
                <w:color w:val="000000" w:themeColor="text1"/>
                <w:sz w:val="22"/>
              </w:rPr>
            </w:pPr>
            <w:r w:rsidRPr="00C71CCB">
              <w:rPr>
                <w:rFonts w:ascii="Calibri" w:eastAsiaTheme="minorHAnsi" w:hAnsi="Calibri" w:cs="Calibri"/>
                <w:bCs w:val="0"/>
                <w:color w:val="000000" w:themeColor="text1"/>
                <w:sz w:val="22"/>
              </w:rPr>
              <w:t>Category 2</w:t>
            </w:r>
          </w:p>
        </w:tc>
        <w:tc>
          <w:tcPr>
            <w:tcW w:w="1936" w:type="dxa"/>
          </w:tcPr>
          <w:p w14:paraId="4CBA6EAD" w14:textId="77777777" w:rsidR="00EA6DE7" w:rsidRPr="00C71CCB" w:rsidRDefault="00EA6DE7" w:rsidP="00EA6DE7">
            <w:pPr>
              <w:spacing w:after="0"/>
              <w:jc w:val="right"/>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color w:val="000000" w:themeColor="text1"/>
                <w:sz w:val="22"/>
              </w:rPr>
            </w:pPr>
            <w:r w:rsidRPr="00C71CCB">
              <w:rPr>
                <w:rFonts w:ascii="Calibri" w:eastAsiaTheme="minorHAnsi" w:hAnsi="Calibri" w:cs="Calibri"/>
                <w:color w:val="000000" w:themeColor="text1"/>
                <w:sz w:val="22"/>
              </w:rPr>
              <w:t xml:space="preserve"> 102,650 </w:t>
            </w:r>
          </w:p>
        </w:tc>
        <w:tc>
          <w:tcPr>
            <w:tcW w:w="2316" w:type="dxa"/>
          </w:tcPr>
          <w:p w14:paraId="2734C635" w14:textId="77777777" w:rsidR="00EA6DE7" w:rsidRPr="00C71CCB" w:rsidRDefault="00EA6DE7" w:rsidP="00EA6DE7">
            <w:pPr>
              <w:spacing w:after="0"/>
              <w:jc w:val="right"/>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color w:val="000000" w:themeColor="text1"/>
                <w:sz w:val="22"/>
              </w:rPr>
            </w:pPr>
            <w:r w:rsidRPr="00C71CCB">
              <w:rPr>
                <w:rFonts w:ascii="Calibri" w:eastAsiaTheme="minorHAnsi" w:hAnsi="Calibri" w:cs="Calibri"/>
                <w:color w:val="000000" w:themeColor="text1"/>
                <w:sz w:val="22"/>
              </w:rPr>
              <w:t xml:space="preserve"> 51,325 </w:t>
            </w:r>
          </w:p>
        </w:tc>
        <w:tc>
          <w:tcPr>
            <w:tcW w:w="2126" w:type="dxa"/>
          </w:tcPr>
          <w:p w14:paraId="2EA498A6" w14:textId="77777777" w:rsidR="00EA6DE7" w:rsidRPr="00C71CCB" w:rsidRDefault="00EA6DE7" w:rsidP="00EA6DE7">
            <w:pPr>
              <w:spacing w:after="0"/>
              <w:jc w:val="right"/>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color w:val="000000" w:themeColor="text1"/>
                <w:sz w:val="22"/>
              </w:rPr>
            </w:pPr>
            <w:r w:rsidRPr="00C71CCB">
              <w:rPr>
                <w:rFonts w:ascii="Calibri" w:eastAsiaTheme="minorHAnsi" w:hAnsi="Calibri" w:cs="Calibri"/>
                <w:color w:val="000000" w:themeColor="text1"/>
                <w:sz w:val="22"/>
              </w:rPr>
              <w:t xml:space="preserve"> 31,980 </w:t>
            </w:r>
          </w:p>
        </w:tc>
      </w:tr>
      <w:tr w:rsidR="00EA6DE7" w:rsidRPr="00EA6DE7" w14:paraId="2BAB98B6" w14:textId="77777777" w:rsidTr="00504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D9F7E10" w14:textId="77777777" w:rsidR="00EA6DE7" w:rsidRPr="00C71CCB" w:rsidRDefault="00EA6DE7" w:rsidP="00EA6DE7">
            <w:pPr>
              <w:spacing w:after="0"/>
              <w:rPr>
                <w:rFonts w:ascii="Calibri" w:eastAsiaTheme="minorHAnsi" w:hAnsi="Calibri" w:cs="Calibri"/>
                <w:bCs w:val="0"/>
                <w:color w:val="000000" w:themeColor="text1"/>
                <w:sz w:val="22"/>
              </w:rPr>
            </w:pPr>
            <w:r w:rsidRPr="00C71CCB">
              <w:rPr>
                <w:rFonts w:ascii="Calibri" w:eastAsiaTheme="minorHAnsi" w:hAnsi="Calibri" w:cs="Calibri"/>
                <w:bCs w:val="0"/>
                <w:color w:val="000000" w:themeColor="text1"/>
                <w:sz w:val="22"/>
              </w:rPr>
              <w:t>Category 3</w:t>
            </w:r>
          </w:p>
        </w:tc>
        <w:tc>
          <w:tcPr>
            <w:tcW w:w="1936" w:type="dxa"/>
          </w:tcPr>
          <w:p w14:paraId="0AB3F146" w14:textId="77777777" w:rsidR="00EA6DE7" w:rsidRPr="00C71CCB" w:rsidRDefault="00EA6DE7" w:rsidP="00EA6DE7">
            <w:pPr>
              <w:spacing w:after="0"/>
              <w:jc w:val="right"/>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color w:val="000000" w:themeColor="text1"/>
                <w:sz w:val="22"/>
              </w:rPr>
            </w:pPr>
            <w:r w:rsidRPr="00C71CCB">
              <w:rPr>
                <w:rFonts w:ascii="Calibri" w:eastAsiaTheme="minorHAnsi" w:hAnsi="Calibri" w:cs="Calibri"/>
                <w:color w:val="000000" w:themeColor="text1"/>
                <w:sz w:val="22"/>
              </w:rPr>
              <w:t xml:space="preserve"> 126,958 </w:t>
            </w:r>
          </w:p>
        </w:tc>
        <w:tc>
          <w:tcPr>
            <w:tcW w:w="2316" w:type="dxa"/>
          </w:tcPr>
          <w:p w14:paraId="343BCC84" w14:textId="77777777" w:rsidR="00EA6DE7" w:rsidRPr="00C71CCB" w:rsidRDefault="00EA6DE7" w:rsidP="00EA6DE7">
            <w:pPr>
              <w:spacing w:after="0"/>
              <w:jc w:val="right"/>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color w:val="000000" w:themeColor="text1"/>
                <w:sz w:val="22"/>
              </w:rPr>
            </w:pPr>
            <w:r w:rsidRPr="00C71CCB">
              <w:rPr>
                <w:rFonts w:ascii="Calibri" w:eastAsiaTheme="minorHAnsi" w:hAnsi="Calibri" w:cs="Calibri"/>
                <w:color w:val="000000" w:themeColor="text1"/>
                <w:sz w:val="22"/>
              </w:rPr>
              <w:t xml:space="preserve"> 63,480 </w:t>
            </w:r>
          </w:p>
        </w:tc>
        <w:tc>
          <w:tcPr>
            <w:tcW w:w="2126" w:type="dxa"/>
          </w:tcPr>
          <w:p w14:paraId="7521C5BB" w14:textId="77777777" w:rsidR="00EA6DE7" w:rsidRPr="00C71CCB" w:rsidRDefault="00EA6DE7" w:rsidP="00EA6DE7">
            <w:pPr>
              <w:spacing w:after="0"/>
              <w:jc w:val="right"/>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color w:val="000000" w:themeColor="text1"/>
                <w:sz w:val="22"/>
              </w:rPr>
            </w:pPr>
            <w:r w:rsidRPr="00C71CCB">
              <w:rPr>
                <w:rFonts w:ascii="Calibri" w:eastAsiaTheme="minorHAnsi" w:hAnsi="Calibri" w:cs="Calibri"/>
                <w:color w:val="000000" w:themeColor="text1"/>
                <w:sz w:val="22"/>
              </w:rPr>
              <w:t xml:space="preserve"> 38,316 </w:t>
            </w:r>
          </w:p>
        </w:tc>
      </w:tr>
      <w:tr w:rsidR="00EA6DE7" w:rsidRPr="00EA6DE7" w14:paraId="37EEE539" w14:textId="77777777" w:rsidTr="00504E62">
        <w:tc>
          <w:tcPr>
            <w:cnfStyle w:val="001000000000" w:firstRow="0" w:lastRow="0" w:firstColumn="1" w:lastColumn="0" w:oddVBand="0" w:evenVBand="0" w:oddHBand="0" w:evenHBand="0" w:firstRowFirstColumn="0" w:firstRowLastColumn="0" w:lastRowFirstColumn="0" w:lastRowLastColumn="0"/>
            <w:tcW w:w="2122" w:type="dxa"/>
          </w:tcPr>
          <w:p w14:paraId="710E48AB" w14:textId="77777777" w:rsidR="00EA6DE7" w:rsidRPr="00C71CCB" w:rsidRDefault="00EA6DE7" w:rsidP="00EA6DE7">
            <w:pPr>
              <w:spacing w:after="0"/>
              <w:rPr>
                <w:rFonts w:ascii="Calibri" w:eastAsiaTheme="minorHAnsi" w:hAnsi="Calibri" w:cs="Calibri"/>
                <w:bCs w:val="0"/>
                <w:color w:val="000000" w:themeColor="text1"/>
                <w:sz w:val="22"/>
              </w:rPr>
            </w:pPr>
            <w:r w:rsidRPr="00C71CCB">
              <w:rPr>
                <w:rFonts w:ascii="Calibri" w:eastAsiaTheme="minorHAnsi" w:hAnsi="Calibri" w:cs="Calibri"/>
                <w:bCs w:val="0"/>
                <w:color w:val="000000" w:themeColor="text1"/>
                <w:sz w:val="22"/>
              </w:rPr>
              <w:t>Category 4</w:t>
            </w:r>
          </w:p>
        </w:tc>
        <w:tc>
          <w:tcPr>
            <w:tcW w:w="1936" w:type="dxa"/>
          </w:tcPr>
          <w:p w14:paraId="4C06BE0F" w14:textId="77777777" w:rsidR="00EA6DE7" w:rsidRPr="00C71CCB" w:rsidRDefault="00EA6DE7" w:rsidP="00EA6DE7">
            <w:pPr>
              <w:spacing w:after="0"/>
              <w:jc w:val="right"/>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color w:val="000000" w:themeColor="text1"/>
                <w:sz w:val="22"/>
              </w:rPr>
            </w:pPr>
            <w:r w:rsidRPr="00C71CCB">
              <w:rPr>
                <w:rFonts w:ascii="Calibri" w:eastAsiaTheme="minorHAnsi" w:hAnsi="Calibri" w:cs="Calibri"/>
                <w:color w:val="000000" w:themeColor="text1"/>
                <w:sz w:val="22"/>
              </w:rPr>
              <w:t xml:space="preserve"> 253,920 </w:t>
            </w:r>
          </w:p>
        </w:tc>
        <w:tc>
          <w:tcPr>
            <w:tcW w:w="2316" w:type="dxa"/>
          </w:tcPr>
          <w:p w14:paraId="39B61BB1" w14:textId="77777777" w:rsidR="00EA6DE7" w:rsidRPr="00C71CCB" w:rsidRDefault="00EA6DE7" w:rsidP="00EA6DE7">
            <w:pPr>
              <w:spacing w:after="0"/>
              <w:jc w:val="right"/>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color w:val="000000" w:themeColor="text1"/>
                <w:sz w:val="22"/>
              </w:rPr>
            </w:pPr>
            <w:r w:rsidRPr="00C71CCB">
              <w:rPr>
                <w:rFonts w:ascii="Calibri" w:eastAsiaTheme="minorHAnsi" w:hAnsi="Calibri" w:cs="Calibri"/>
                <w:color w:val="000000" w:themeColor="text1"/>
                <w:sz w:val="22"/>
              </w:rPr>
              <w:t xml:space="preserve"> 126,959 </w:t>
            </w:r>
          </w:p>
        </w:tc>
        <w:tc>
          <w:tcPr>
            <w:tcW w:w="2126" w:type="dxa"/>
          </w:tcPr>
          <w:p w14:paraId="1A5131C4" w14:textId="77777777" w:rsidR="00EA6DE7" w:rsidRPr="00C71CCB" w:rsidRDefault="00EA6DE7" w:rsidP="00EA6DE7">
            <w:pPr>
              <w:spacing w:after="0"/>
              <w:jc w:val="right"/>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color w:val="000000" w:themeColor="text1"/>
                <w:sz w:val="22"/>
              </w:rPr>
            </w:pPr>
            <w:r w:rsidRPr="00C71CCB">
              <w:rPr>
                <w:rFonts w:ascii="Calibri" w:eastAsiaTheme="minorHAnsi" w:hAnsi="Calibri" w:cs="Calibri"/>
                <w:color w:val="000000" w:themeColor="text1"/>
                <w:sz w:val="22"/>
              </w:rPr>
              <w:t xml:space="preserve"> 57,473 </w:t>
            </w:r>
          </w:p>
        </w:tc>
      </w:tr>
    </w:tbl>
    <w:p w14:paraId="6FB70CB0" w14:textId="5FFA7AB8" w:rsidR="00DE1F72" w:rsidRDefault="00C82CCC" w:rsidP="00EA6DE7">
      <w:pPr>
        <w:spacing w:before="180" w:after="0" w:line="276" w:lineRule="auto"/>
        <w:jc w:val="both"/>
        <w:rPr>
          <w:rFonts w:ascii="Calibri" w:hAnsi="Calibri" w:cs="Calibri"/>
          <w:color w:val="000000" w:themeColor="text1"/>
          <w:sz w:val="26"/>
          <w:szCs w:val="20"/>
          <w:lang w:val="en-US"/>
        </w:rPr>
      </w:pPr>
      <w:r>
        <w:rPr>
          <w:rFonts w:ascii="Calibri" w:hAnsi="Calibri" w:cs="Calibri"/>
          <w:color w:val="000000" w:themeColor="text1"/>
          <w:sz w:val="26"/>
          <w:szCs w:val="20"/>
          <w:lang w:val="en-US"/>
        </w:rPr>
        <w:t xml:space="preserve">The Tribunal’s 2023 </w:t>
      </w:r>
      <w:r w:rsidR="00244F4E">
        <w:rPr>
          <w:rFonts w:ascii="Calibri" w:hAnsi="Calibri" w:cs="Calibri"/>
          <w:color w:val="000000" w:themeColor="text1"/>
          <w:sz w:val="26"/>
          <w:szCs w:val="20"/>
          <w:lang w:val="en-US"/>
        </w:rPr>
        <w:t xml:space="preserve">Local Government </w:t>
      </w:r>
      <w:r w:rsidR="002D6FCD">
        <w:rPr>
          <w:rFonts w:ascii="Calibri" w:hAnsi="Calibri" w:cs="Calibri"/>
          <w:color w:val="000000" w:themeColor="text1"/>
          <w:sz w:val="26"/>
          <w:szCs w:val="20"/>
          <w:lang w:val="en-US"/>
        </w:rPr>
        <w:t xml:space="preserve">Annual Adjustment </w:t>
      </w:r>
      <w:r>
        <w:rPr>
          <w:rFonts w:ascii="Calibri" w:hAnsi="Calibri" w:cs="Calibri"/>
          <w:color w:val="000000" w:themeColor="text1"/>
          <w:sz w:val="26"/>
          <w:szCs w:val="20"/>
          <w:lang w:val="en-US"/>
        </w:rPr>
        <w:t xml:space="preserve">Determination also applies to the </w:t>
      </w:r>
      <w:r w:rsidR="00F15748">
        <w:rPr>
          <w:rFonts w:ascii="Calibri" w:hAnsi="Calibri" w:cs="Calibri"/>
          <w:color w:val="000000" w:themeColor="text1"/>
          <w:sz w:val="26"/>
          <w:szCs w:val="20"/>
          <w:lang w:val="en-US"/>
        </w:rPr>
        <w:t>future values of base allowances set in the Tribunal’s</w:t>
      </w:r>
      <w:r w:rsidR="00E01CD8">
        <w:rPr>
          <w:rFonts w:ascii="Calibri" w:hAnsi="Calibri" w:cs="Calibri"/>
          <w:color w:val="000000" w:themeColor="text1"/>
          <w:sz w:val="26"/>
          <w:szCs w:val="20"/>
          <w:lang w:val="en-US"/>
        </w:rPr>
        <w:t xml:space="preserve"> Comprehensive</w:t>
      </w:r>
      <w:r w:rsidR="00F15748">
        <w:rPr>
          <w:rFonts w:ascii="Calibri" w:hAnsi="Calibri" w:cs="Calibri"/>
          <w:color w:val="000000" w:themeColor="text1"/>
          <w:sz w:val="26"/>
          <w:szCs w:val="20"/>
          <w:lang w:val="en-US"/>
        </w:rPr>
        <w:t xml:space="preserve"> Determination.</w:t>
      </w:r>
    </w:p>
    <w:p w14:paraId="62DC9E50" w14:textId="20DD32C1" w:rsidR="00EA6DE7" w:rsidRPr="00EA6DE7" w:rsidRDefault="00553527" w:rsidP="00EA6DE7">
      <w:pPr>
        <w:spacing w:before="180" w:after="0" w:line="276" w:lineRule="auto"/>
        <w:jc w:val="both"/>
        <w:rPr>
          <w:rFonts w:ascii="Calibri" w:hAnsi="Calibri" w:cs="Calibri"/>
          <w:color w:val="000000" w:themeColor="text1"/>
          <w:sz w:val="26"/>
          <w:szCs w:val="20"/>
          <w:lang w:val="en-US"/>
        </w:rPr>
      </w:pPr>
      <w:r>
        <w:rPr>
          <w:rFonts w:ascii="Calibri" w:hAnsi="Calibri" w:cs="Calibri"/>
          <w:color w:val="000000" w:themeColor="text1"/>
          <w:sz w:val="26"/>
          <w:szCs w:val="20"/>
          <w:lang w:val="en-US"/>
        </w:rPr>
        <w:t>As such, a</w:t>
      </w:r>
      <w:r w:rsidR="00EA6DE7" w:rsidRPr="00EA6DE7">
        <w:rPr>
          <w:rFonts w:ascii="Calibri" w:hAnsi="Calibri" w:cs="Calibri"/>
          <w:color w:val="000000" w:themeColor="text1"/>
          <w:sz w:val="26"/>
          <w:szCs w:val="20"/>
          <w:lang w:val="en-US"/>
        </w:rPr>
        <w:t xml:space="preserve"> 2 per cent increase </w:t>
      </w:r>
      <w:r>
        <w:rPr>
          <w:rFonts w:ascii="Calibri" w:hAnsi="Calibri" w:cs="Calibri"/>
          <w:color w:val="000000" w:themeColor="text1"/>
          <w:sz w:val="26"/>
          <w:szCs w:val="20"/>
          <w:lang w:val="en-US"/>
        </w:rPr>
        <w:t xml:space="preserve">has also been </w:t>
      </w:r>
      <w:r w:rsidR="00B17E6E">
        <w:rPr>
          <w:rFonts w:ascii="Calibri" w:hAnsi="Calibri" w:cs="Calibri"/>
          <w:color w:val="000000" w:themeColor="text1"/>
          <w:sz w:val="26"/>
          <w:szCs w:val="20"/>
          <w:lang w:val="en-US"/>
        </w:rPr>
        <w:t>appl</w:t>
      </w:r>
      <w:r>
        <w:rPr>
          <w:rFonts w:ascii="Calibri" w:hAnsi="Calibri" w:cs="Calibri"/>
          <w:color w:val="000000" w:themeColor="text1"/>
          <w:sz w:val="26"/>
          <w:szCs w:val="20"/>
          <w:lang w:val="en-US"/>
        </w:rPr>
        <w:t>ied</w:t>
      </w:r>
      <w:r w:rsidR="00EA6DE7" w:rsidRPr="00EA6DE7">
        <w:rPr>
          <w:rFonts w:ascii="Calibri" w:hAnsi="Calibri" w:cs="Calibri"/>
          <w:color w:val="000000" w:themeColor="text1"/>
          <w:sz w:val="26"/>
          <w:szCs w:val="20"/>
          <w:lang w:val="en-US"/>
        </w:rPr>
        <w:t xml:space="preserve"> to the value</w:t>
      </w:r>
      <w:r>
        <w:rPr>
          <w:rFonts w:ascii="Calibri" w:hAnsi="Calibri" w:cs="Calibri"/>
          <w:color w:val="000000" w:themeColor="text1"/>
          <w:sz w:val="26"/>
          <w:szCs w:val="20"/>
          <w:lang w:val="en-US"/>
        </w:rPr>
        <w:t>s</w:t>
      </w:r>
      <w:r w:rsidR="00EA6DE7" w:rsidRPr="00EA6DE7">
        <w:rPr>
          <w:rFonts w:ascii="Calibri" w:hAnsi="Calibri" w:cs="Calibri"/>
          <w:color w:val="000000" w:themeColor="text1"/>
          <w:sz w:val="26"/>
          <w:szCs w:val="20"/>
          <w:lang w:val="en-US"/>
        </w:rPr>
        <w:t xml:space="preserve"> of the base allowance</w:t>
      </w:r>
      <w:r w:rsidR="00051DEC">
        <w:rPr>
          <w:rFonts w:ascii="Calibri" w:hAnsi="Calibri" w:cs="Calibri"/>
          <w:color w:val="000000" w:themeColor="text1"/>
          <w:sz w:val="26"/>
          <w:szCs w:val="20"/>
          <w:lang w:val="en-US"/>
        </w:rPr>
        <w:t>s</w:t>
      </w:r>
      <w:r w:rsidR="00EA6DE7" w:rsidRPr="00EA6DE7">
        <w:rPr>
          <w:rFonts w:ascii="Calibri" w:hAnsi="Calibri" w:cs="Calibri"/>
          <w:color w:val="000000" w:themeColor="text1"/>
          <w:sz w:val="26"/>
          <w:szCs w:val="20"/>
          <w:lang w:val="en-US"/>
        </w:rPr>
        <w:t xml:space="preserve"> </w:t>
      </w:r>
      <w:r>
        <w:rPr>
          <w:rFonts w:ascii="Calibri" w:hAnsi="Calibri" w:cs="Calibri"/>
          <w:color w:val="000000" w:themeColor="text1"/>
          <w:sz w:val="26"/>
          <w:szCs w:val="20"/>
          <w:lang w:val="en-US"/>
        </w:rPr>
        <w:t xml:space="preserve">which will apply </w:t>
      </w:r>
      <w:r w:rsidR="00EA6DE7" w:rsidRPr="00EA6DE7">
        <w:rPr>
          <w:rFonts w:ascii="Calibri" w:hAnsi="Calibri" w:cs="Calibri"/>
          <w:color w:val="000000" w:themeColor="text1"/>
          <w:sz w:val="26"/>
          <w:szCs w:val="20"/>
          <w:lang w:val="en-US"/>
        </w:rPr>
        <w:t>from:</w:t>
      </w:r>
    </w:p>
    <w:p w14:paraId="44B23E66" w14:textId="77777777" w:rsidR="00EA6DE7" w:rsidRPr="00EA6DE7" w:rsidRDefault="00EA6DE7" w:rsidP="00EA6DE7">
      <w:pPr>
        <w:pStyle w:val="06VIRTBulletpoints"/>
        <w:rPr>
          <w:lang w:val="en-US"/>
        </w:rPr>
      </w:pPr>
      <w:r w:rsidRPr="00EA6DE7">
        <w:rPr>
          <w:lang w:val="en-US"/>
        </w:rPr>
        <w:t>18 December 2023</w:t>
      </w:r>
    </w:p>
    <w:p w14:paraId="0510B902" w14:textId="77777777" w:rsidR="00EA6DE7" w:rsidRPr="00EA6DE7" w:rsidRDefault="00EA6DE7" w:rsidP="00EA6DE7">
      <w:pPr>
        <w:pStyle w:val="06VIRTBulletpoints"/>
        <w:rPr>
          <w:lang w:val="en-US"/>
        </w:rPr>
      </w:pPr>
      <w:r w:rsidRPr="00EA6DE7">
        <w:rPr>
          <w:lang w:val="en-US"/>
        </w:rPr>
        <w:lastRenderedPageBreak/>
        <w:t>18 December 2024 (Mayors and Deputy Mayors only)</w:t>
      </w:r>
    </w:p>
    <w:p w14:paraId="6D962F0E" w14:textId="77777777" w:rsidR="00EA6DE7" w:rsidRPr="00EA6DE7" w:rsidRDefault="00EA6DE7" w:rsidP="00EA6DE7">
      <w:pPr>
        <w:pStyle w:val="06VIRTBulletpoints"/>
        <w:rPr>
          <w:lang w:val="en-US"/>
        </w:rPr>
      </w:pPr>
      <w:r w:rsidRPr="00EA6DE7">
        <w:rPr>
          <w:lang w:val="en-US"/>
        </w:rPr>
        <w:t>18 December 2025 (Mayors and Deputy Mayors only).</w:t>
      </w:r>
    </w:p>
    <w:p w14:paraId="3598282B" w14:textId="77777777" w:rsidR="00EA6DE7" w:rsidRDefault="00EA6DE7" w:rsidP="00EA6DE7">
      <w:pPr>
        <w:spacing w:before="180" w:after="0" w:line="276" w:lineRule="auto"/>
        <w:jc w:val="both"/>
        <w:rPr>
          <w:rFonts w:ascii="Calibri" w:hAnsi="Calibri" w:cs="Calibri"/>
          <w:color w:val="000000" w:themeColor="text1"/>
          <w:sz w:val="26"/>
          <w:szCs w:val="20"/>
          <w:lang w:val="en-US"/>
        </w:rPr>
      </w:pPr>
      <w:r w:rsidRPr="00EA6DE7">
        <w:rPr>
          <w:rFonts w:ascii="Calibri" w:hAnsi="Calibri" w:cs="Calibri"/>
          <w:color w:val="000000" w:themeColor="text1"/>
          <w:sz w:val="26"/>
          <w:szCs w:val="20"/>
          <w:lang w:val="en-US"/>
        </w:rPr>
        <w:t>The Tribunal has also decided to increase the value of the Remote Area Travel Allowance by 2 per cent. From 1 July 2023, the Remote Area Travel Allowance will be $45.90 per day for eligible Council members, up to a maximum of $5,738 per annum.</w:t>
      </w:r>
    </w:p>
    <w:p w14:paraId="5AFC9CCF" w14:textId="360F665D" w:rsidR="00EA6DE7" w:rsidRPr="00EA6DE7" w:rsidRDefault="006423A5" w:rsidP="009F29E3">
      <w:pPr>
        <w:pStyle w:val="03VIRTHeading3"/>
      </w:pPr>
      <w:r w:rsidRPr="009F29E3">
        <w:t xml:space="preserve">The Tribunal </w:t>
      </w:r>
      <w:r w:rsidR="009F29E3" w:rsidRPr="009F29E3">
        <w:t xml:space="preserve">considered </w:t>
      </w:r>
      <w:r w:rsidR="005C33B2">
        <w:t xml:space="preserve">legislative and other </w:t>
      </w:r>
      <w:r w:rsidR="009F29E3" w:rsidRPr="009F29E3">
        <w:t xml:space="preserve">factors </w:t>
      </w:r>
    </w:p>
    <w:p w14:paraId="4B8E2056" w14:textId="19EB095C" w:rsidR="00A95867" w:rsidRDefault="005C33B2" w:rsidP="00E2373E">
      <w:pPr>
        <w:pStyle w:val="05Paragraph"/>
      </w:pPr>
      <w:r>
        <w:t xml:space="preserve">The Tribunal is required by legislation to consider several </w:t>
      </w:r>
      <w:r w:rsidR="00A95867">
        <w:t>factors in making a Determination:</w:t>
      </w:r>
    </w:p>
    <w:p w14:paraId="5A09915B" w14:textId="4A03B6B3" w:rsidR="00A95867" w:rsidRDefault="00A95867" w:rsidP="00A95867">
      <w:pPr>
        <w:pStyle w:val="06VIRTBulletpoints"/>
      </w:pPr>
      <w:r>
        <w:t xml:space="preserve">the Victorian Government’s </w:t>
      </w:r>
      <w:r w:rsidR="00BC147F">
        <w:t>w</w:t>
      </w:r>
      <w:r>
        <w:t xml:space="preserve">ages </w:t>
      </w:r>
      <w:r w:rsidR="00BC147F">
        <w:t>p</w:t>
      </w:r>
      <w:r>
        <w:t>olicy</w:t>
      </w:r>
    </w:p>
    <w:p w14:paraId="64EA8613" w14:textId="77777777" w:rsidR="00DB48D0" w:rsidRDefault="00A95867" w:rsidP="00A95867">
      <w:pPr>
        <w:pStyle w:val="06VIRTBulletpoints"/>
      </w:pPr>
      <w:r>
        <w:t xml:space="preserve">the financial position </w:t>
      </w:r>
      <w:r w:rsidR="00DB48D0">
        <w:t>and fiscal strategy of the State of Victoria</w:t>
      </w:r>
    </w:p>
    <w:p w14:paraId="0532F5F4" w14:textId="2730900B" w:rsidR="00DB48D0" w:rsidRDefault="00DB48D0" w:rsidP="00A95867">
      <w:pPr>
        <w:pStyle w:val="06VIRTBulletpoints"/>
      </w:pPr>
      <w:r>
        <w:t>current and projected economic conditions and trends</w:t>
      </w:r>
    </w:p>
    <w:p w14:paraId="02267689" w14:textId="14F59E19" w:rsidR="00DB48D0" w:rsidRDefault="00DB48D0" w:rsidP="00A95867">
      <w:pPr>
        <w:pStyle w:val="06VIRTBulletpoints"/>
      </w:pPr>
      <w:r>
        <w:t>submissions received in relation to the proposed Determination.</w:t>
      </w:r>
    </w:p>
    <w:p w14:paraId="5933F93E" w14:textId="77777777" w:rsidR="008D13D9" w:rsidRDefault="00DB48D0" w:rsidP="00DB48D0">
      <w:pPr>
        <w:pStyle w:val="05Paragraph"/>
      </w:pPr>
      <w:r>
        <w:t xml:space="preserve">The Tribunal </w:t>
      </w:r>
      <w:r w:rsidR="008D13D9">
        <w:t>was also mindful of:</w:t>
      </w:r>
    </w:p>
    <w:p w14:paraId="6EDF34B3" w14:textId="1F4F78B0" w:rsidR="00932A94" w:rsidRDefault="006171C0" w:rsidP="00932A94">
      <w:pPr>
        <w:pStyle w:val="06VIRTBulletpoints"/>
      </w:pPr>
      <w:r>
        <w:t>the limited amount of time that has passed since the last annual adjustment</w:t>
      </w:r>
      <w:r w:rsidR="005C1536">
        <w:t xml:space="preserve"> to allowances </w:t>
      </w:r>
      <w:r w:rsidR="000D4D2C">
        <w:t>of 1.5 per cent</w:t>
      </w:r>
      <w:r w:rsidR="009A1BDF">
        <w:t>, which</w:t>
      </w:r>
      <w:r w:rsidR="000D4D2C">
        <w:t xml:space="preserve"> </w:t>
      </w:r>
      <w:r w:rsidR="005C1536">
        <w:t xml:space="preserve">took effect on </w:t>
      </w:r>
      <w:r w:rsidR="00954436">
        <w:t>18</w:t>
      </w:r>
      <w:r w:rsidR="005600B3">
        <w:t> </w:t>
      </w:r>
      <w:r w:rsidR="00954436">
        <w:t>December 202</w:t>
      </w:r>
      <w:r w:rsidR="009A1BDF">
        <w:t>2</w:t>
      </w:r>
    </w:p>
    <w:p w14:paraId="122526F7" w14:textId="6A20919F" w:rsidR="00932A94" w:rsidRDefault="00954436" w:rsidP="00932A94">
      <w:pPr>
        <w:pStyle w:val="06VIRTBulletpoints"/>
      </w:pPr>
      <w:r>
        <w:t>recent remuneration adjustment</w:t>
      </w:r>
      <w:r w:rsidR="00395011">
        <w:t>s for comparable</w:t>
      </w:r>
      <w:r w:rsidR="00E43631">
        <w:t xml:space="preserve"> local government</w:t>
      </w:r>
      <w:r w:rsidR="00395011">
        <w:t xml:space="preserve"> roles in other Australian jurisd</w:t>
      </w:r>
      <w:r w:rsidR="00932A94">
        <w:t>ictions</w:t>
      </w:r>
    </w:p>
    <w:p w14:paraId="198B9654" w14:textId="478F6D68" w:rsidR="00165B51" w:rsidRDefault="000F7D65" w:rsidP="00932A94">
      <w:pPr>
        <w:pStyle w:val="06VIRTBulletpoints"/>
      </w:pPr>
      <w:r>
        <w:t>the Victorian Government’s</w:t>
      </w:r>
      <w:r w:rsidRPr="000F7D65">
        <w:t xml:space="preserve"> rate cap of 3.5 per cent for all </w:t>
      </w:r>
      <w:r w:rsidR="00D946CA">
        <w:t>C</w:t>
      </w:r>
      <w:r w:rsidRPr="000F7D65">
        <w:t>ouncils for 2023</w:t>
      </w:r>
      <w:r w:rsidR="00F738B0">
        <w:noBreakHyphen/>
      </w:r>
      <w:r w:rsidRPr="000F7D65">
        <w:t>24</w:t>
      </w:r>
    </w:p>
    <w:p w14:paraId="750A1707" w14:textId="04A000A9" w:rsidR="007D561D" w:rsidRDefault="00932A94" w:rsidP="00932A94">
      <w:pPr>
        <w:pStyle w:val="06VIRTBulletpoints"/>
      </w:pPr>
      <w:r>
        <w:t xml:space="preserve">its </w:t>
      </w:r>
      <w:r w:rsidR="007D561D">
        <w:t xml:space="preserve">2023 Determination of salaries </w:t>
      </w:r>
      <w:r w:rsidR="00D05E2F">
        <w:t>and</w:t>
      </w:r>
      <w:r w:rsidR="007D561D">
        <w:t xml:space="preserve"> allowances for Members of the Parliament of Victoria (MPs)</w:t>
      </w:r>
      <w:r w:rsidR="00D05E2F">
        <w:t xml:space="preserve">, which </w:t>
      </w:r>
      <w:r w:rsidR="006E02C6">
        <w:t xml:space="preserve">resulted in a 3.5 per cent increase in the </w:t>
      </w:r>
      <w:r w:rsidR="00A408C2">
        <w:t xml:space="preserve">MP </w:t>
      </w:r>
      <w:r w:rsidR="006E02C6">
        <w:t>basic salary</w:t>
      </w:r>
      <w:r w:rsidR="00E50979">
        <w:t>.</w:t>
      </w:r>
      <w:r w:rsidR="007D561D">
        <w:t xml:space="preserve"> </w:t>
      </w:r>
    </w:p>
    <w:p w14:paraId="2BC4401C" w14:textId="073B6DA2" w:rsidR="00AE3F63" w:rsidRDefault="00172745" w:rsidP="007D561D">
      <w:pPr>
        <w:pStyle w:val="05Paragraph"/>
        <w:sectPr w:rsidR="00AE3F63" w:rsidSect="00680617">
          <w:pgSz w:w="11906" w:h="16838"/>
          <w:pgMar w:top="1701" w:right="1701" w:bottom="1559" w:left="1701" w:header="708" w:footer="708" w:gutter="0"/>
          <w:cols w:space="708"/>
          <w:titlePg/>
          <w:docGrid w:linePitch="360"/>
        </w:sectPr>
      </w:pPr>
      <w:r>
        <w:br/>
      </w:r>
    </w:p>
    <w:p w14:paraId="5E668115" w14:textId="0F46BDC8" w:rsidR="002D4A56" w:rsidRDefault="00BB0137" w:rsidP="000C1B31">
      <w:pPr>
        <w:pStyle w:val="Style4"/>
      </w:pPr>
      <w:bookmarkStart w:id="18" w:name="_Toc139011812"/>
      <w:r w:rsidRPr="000C1B31">
        <w:rPr>
          <w:rStyle w:val="01ChapterheadingChar"/>
        </w:rPr>
        <w:lastRenderedPageBreak/>
        <w:t>1</w:t>
      </w:r>
      <w:r w:rsidRPr="000C1B31">
        <w:rPr>
          <w:rStyle w:val="01ChapterheadingChar"/>
        </w:rPr>
        <w:tab/>
      </w:r>
      <w:r w:rsidR="002829D0" w:rsidRPr="000C1B31">
        <w:rPr>
          <w:rStyle w:val="01ChapterheadingChar"/>
        </w:rPr>
        <w:t>Context</w:t>
      </w:r>
      <w:bookmarkEnd w:id="18"/>
      <w:r w:rsidR="002D4A56">
        <w:br/>
      </w:r>
      <w:bookmarkEnd w:id="0"/>
      <w:bookmarkEnd w:id="1"/>
      <w:bookmarkEnd w:id="2"/>
      <w:bookmarkEnd w:id="3"/>
    </w:p>
    <w:p w14:paraId="1BDB01FB" w14:textId="1677BFFC" w:rsidR="00D00D28" w:rsidRPr="002229FF" w:rsidRDefault="00001D42" w:rsidP="002229FF">
      <w:pPr>
        <w:pStyle w:val="05Paragraph"/>
      </w:pPr>
      <w:bookmarkStart w:id="19" w:name="_Toc344541"/>
      <w:bookmarkStart w:id="20" w:name="_Toc5783357"/>
      <w:r>
        <w:t>T</w:t>
      </w:r>
      <w:r w:rsidR="00E74A52">
        <w:t>he</w:t>
      </w:r>
      <w:r w:rsidR="00D00D28" w:rsidRPr="002229FF">
        <w:t xml:space="preserve"> Tribunal is required to </w:t>
      </w:r>
      <w:r>
        <w:t>make an annual adjustment to</w:t>
      </w:r>
      <w:r w:rsidR="00BD3F8C" w:rsidRPr="002229FF">
        <w:t xml:space="preserve"> the values of the allowances payable to </w:t>
      </w:r>
      <w:r w:rsidR="009706CA">
        <w:t xml:space="preserve">Council members </w:t>
      </w:r>
      <w:r>
        <w:t xml:space="preserve">set in a Determination </w:t>
      </w:r>
      <w:r w:rsidR="003B0D4A">
        <w:t xml:space="preserve">under the </w:t>
      </w:r>
      <w:r w:rsidR="003B0D4A" w:rsidRPr="003B0D4A">
        <w:rPr>
          <w:i/>
          <w:iCs/>
        </w:rPr>
        <w:t>Victorian Independent Remuneration Tribunal and Improving Parliamentary Standards Act 2019</w:t>
      </w:r>
      <w:r w:rsidR="003B0D4A">
        <w:t xml:space="preserve"> (Vic) (VIRTIPS Act).</w:t>
      </w:r>
      <w:r w:rsidR="00683533">
        <w:rPr>
          <w:rFonts w:ascii="ZWAdobeF" w:hAnsi="ZWAdobeF" w:cs="ZWAdobeF"/>
          <w:color w:val="auto"/>
          <w:sz w:val="2"/>
          <w:szCs w:val="2"/>
        </w:rPr>
        <w:t>0F</w:t>
      </w:r>
      <w:r w:rsidR="0017105B">
        <w:rPr>
          <w:rFonts w:ascii="ZWAdobeF" w:hAnsi="ZWAdobeF" w:cs="ZWAdobeF"/>
          <w:color w:val="auto"/>
          <w:sz w:val="2"/>
          <w:szCs w:val="2"/>
        </w:rPr>
        <w:t>0F</w:t>
      </w:r>
      <w:r w:rsidR="00EB76B7">
        <w:rPr>
          <w:rStyle w:val="FootnoteReference"/>
        </w:rPr>
        <w:footnoteReference w:id="2"/>
      </w:r>
    </w:p>
    <w:p w14:paraId="3B30A9A7" w14:textId="0B0CDE26" w:rsidR="00741376" w:rsidRDefault="003B0D4A" w:rsidP="002229FF">
      <w:pPr>
        <w:pStyle w:val="05Paragraph"/>
      </w:pPr>
      <w:r>
        <w:t>The Determination in effect is the</w:t>
      </w:r>
      <w:r w:rsidR="0037118C" w:rsidRPr="00850392">
        <w:t xml:space="preserve"> </w:t>
      </w:r>
      <w:r w:rsidR="001E5575">
        <w:rPr>
          <w:i/>
          <w:iCs/>
        </w:rPr>
        <w:t>Allowance payable to Mayors, Deputy Mayors and Councillors</w:t>
      </w:r>
      <w:r w:rsidR="0037118C" w:rsidRPr="007C46DB">
        <w:rPr>
          <w:i/>
        </w:rPr>
        <w:t xml:space="preserve"> (Victoria) Determination No. 01/202</w:t>
      </w:r>
      <w:r w:rsidR="001E5575">
        <w:rPr>
          <w:i/>
        </w:rPr>
        <w:t>2</w:t>
      </w:r>
      <w:r w:rsidR="0037118C" w:rsidRPr="00A529A9">
        <w:t xml:space="preserve"> </w:t>
      </w:r>
      <w:r w:rsidR="0037118C" w:rsidRPr="003867E1">
        <w:t>(</w:t>
      </w:r>
      <w:r w:rsidR="0037118C">
        <w:t>Comprehensive</w:t>
      </w:r>
      <w:r w:rsidR="0037118C" w:rsidRPr="003867E1">
        <w:t xml:space="preserve"> Determination</w:t>
      </w:r>
      <w:r>
        <w:t xml:space="preserve">), </w:t>
      </w:r>
      <w:r w:rsidR="0071016B">
        <w:t xml:space="preserve">which was </w:t>
      </w:r>
      <w:r>
        <w:t>made in March 2022</w:t>
      </w:r>
      <w:r w:rsidR="00442DE2">
        <w:t>.</w:t>
      </w:r>
      <w:r w:rsidR="00683533">
        <w:rPr>
          <w:rFonts w:ascii="ZWAdobeF" w:hAnsi="ZWAdobeF" w:cs="ZWAdobeF"/>
          <w:color w:val="auto"/>
          <w:sz w:val="2"/>
          <w:szCs w:val="2"/>
        </w:rPr>
        <w:t>1F</w:t>
      </w:r>
      <w:r w:rsidR="0017105B">
        <w:rPr>
          <w:rFonts w:ascii="ZWAdobeF" w:hAnsi="ZWAdobeF" w:cs="ZWAdobeF"/>
          <w:color w:val="auto"/>
          <w:sz w:val="2"/>
          <w:szCs w:val="2"/>
        </w:rPr>
        <w:t>1F</w:t>
      </w:r>
      <w:r w:rsidR="00F01996">
        <w:rPr>
          <w:rStyle w:val="FootnoteReference"/>
        </w:rPr>
        <w:footnoteReference w:id="3"/>
      </w:r>
    </w:p>
    <w:p w14:paraId="1E9AE38A" w14:textId="07B302BE" w:rsidR="002D78BD" w:rsidRPr="00F34E2B" w:rsidRDefault="00D83020" w:rsidP="002229FF">
      <w:pPr>
        <w:pStyle w:val="05Paragraph"/>
        <w:rPr>
          <w:spacing w:val="-2"/>
        </w:rPr>
      </w:pPr>
      <w:r w:rsidRPr="00F34E2B">
        <w:rPr>
          <w:spacing w:val="-2"/>
        </w:rPr>
        <w:t>In December 2022, t</w:t>
      </w:r>
      <w:r w:rsidR="00AD5C88" w:rsidRPr="00F34E2B">
        <w:rPr>
          <w:spacing w:val="-2"/>
        </w:rPr>
        <w:t xml:space="preserve">he Tribunal made </w:t>
      </w:r>
      <w:r w:rsidR="008C689A" w:rsidRPr="00F34E2B">
        <w:rPr>
          <w:spacing w:val="-2"/>
        </w:rPr>
        <w:t>its first</w:t>
      </w:r>
      <w:r w:rsidR="00AD5C88" w:rsidRPr="00F34E2B">
        <w:rPr>
          <w:spacing w:val="-2"/>
        </w:rPr>
        <w:t xml:space="preserve"> annual adjustment</w:t>
      </w:r>
      <w:r w:rsidR="006536F9" w:rsidRPr="00F34E2B">
        <w:rPr>
          <w:spacing w:val="-2"/>
        </w:rPr>
        <w:t xml:space="preserve"> </w:t>
      </w:r>
      <w:r w:rsidR="00741376" w:rsidRPr="00F34E2B">
        <w:rPr>
          <w:spacing w:val="-2"/>
        </w:rPr>
        <w:t xml:space="preserve">to the values set in the Comprehensive Determination </w:t>
      </w:r>
      <w:r w:rsidR="008D665B" w:rsidRPr="00F34E2B">
        <w:rPr>
          <w:spacing w:val="-2"/>
        </w:rPr>
        <w:t xml:space="preserve">(2022 </w:t>
      </w:r>
      <w:r w:rsidR="007666E2" w:rsidRPr="00F34E2B">
        <w:rPr>
          <w:spacing w:val="-2"/>
        </w:rPr>
        <w:t xml:space="preserve">Local Government </w:t>
      </w:r>
      <w:r w:rsidR="008D665B" w:rsidRPr="00F34E2B">
        <w:rPr>
          <w:spacing w:val="-2"/>
        </w:rPr>
        <w:t>Annual Adjustment Determination)</w:t>
      </w:r>
      <w:r w:rsidR="00741376" w:rsidRPr="00F34E2B">
        <w:rPr>
          <w:spacing w:val="-2"/>
        </w:rPr>
        <w:t>.</w:t>
      </w:r>
      <w:r w:rsidR="00AD5C88" w:rsidRPr="00F34E2B">
        <w:rPr>
          <w:spacing w:val="-2"/>
        </w:rPr>
        <w:t xml:space="preserve"> </w:t>
      </w:r>
      <w:r w:rsidR="00D46382" w:rsidRPr="00F34E2B">
        <w:rPr>
          <w:spacing w:val="-2"/>
        </w:rPr>
        <w:t>The</w:t>
      </w:r>
      <w:r w:rsidR="00741376" w:rsidRPr="00F34E2B">
        <w:rPr>
          <w:spacing w:val="-2"/>
        </w:rPr>
        <w:t xml:space="preserve"> Tribunal determined to increase the </w:t>
      </w:r>
      <w:r w:rsidR="0047336C" w:rsidRPr="00F34E2B">
        <w:rPr>
          <w:spacing w:val="-2"/>
        </w:rPr>
        <w:t>value</w:t>
      </w:r>
      <w:r w:rsidR="0087643E" w:rsidRPr="00F34E2B">
        <w:rPr>
          <w:spacing w:val="-2"/>
        </w:rPr>
        <w:t xml:space="preserve">s of </w:t>
      </w:r>
      <w:r w:rsidR="008050D2" w:rsidRPr="00F34E2B">
        <w:rPr>
          <w:spacing w:val="-2"/>
        </w:rPr>
        <w:t xml:space="preserve">all </w:t>
      </w:r>
      <w:r w:rsidR="001B6BD4" w:rsidRPr="00F34E2B">
        <w:rPr>
          <w:spacing w:val="-2"/>
        </w:rPr>
        <w:t>base allowances</w:t>
      </w:r>
      <w:r w:rsidR="000469F2" w:rsidRPr="00F34E2B">
        <w:rPr>
          <w:spacing w:val="-2"/>
        </w:rPr>
        <w:t xml:space="preserve"> </w:t>
      </w:r>
      <w:r w:rsidR="004016BB" w:rsidRPr="00F34E2B">
        <w:rPr>
          <w:spacing w:val="-2"/>
        </w:rPr>
        <w:t>by 1.5</w:t>
      </w:r>
      <w:r w:rsidRPr="00F34E2B">
        <w:rPr>
          <w:spacing w:val="-2"/>
        </w:rPr>
        <w:t> </w:t>
      </w:r>
      <w:r w:rsidR="004016BB" w:rsidRPr="00F34E2B">
        <w:rPr>
          <w:spacing w:val="-2"/>
        </w:rPr>
        <w:t>per</w:t>
      </w:r>
      <w:r w:rsidRPr="00F34E2B">
        <w:rPr>
          <w:spacing w:val="-2"/>
        </w:rPr>
        <w:t> </w:t>
      </w:r>
      <w:r w:rsidR="004016BB" w:rsidRPr="00F34E2B">
        <w:rPr>
          <w:spacing w:val="-2"/>
        </w:rPr>
        <w:t>cent</w:t>
      </w:r>
      <w:r w:rsidR="00D46382" w:rsidRPr="00F34E2B">
        <w:rPr>
          <w:spacing w:val="-2"/>
        </w:rPr>
        <w:t xml:space="preserve"> </w:t>
      </w:r>
      <w:r w:rsidR="000B770E" w:rsidRPr="00F34E2B">
        <w:rPr>
          <w:spacing w:val="-2"/>
        </w:rPr>
        <w:t xml:space="preserve">with effect </w:t>
      </w:r>
      <w:r w:rsidR="00D46382" w:rsidRPr="00F34E2B">
        <w:rPr>
          <w:spacing w:val="-2"/>
        </w:rPr>
        <w:t>from</w:t>
      </w:r>
      <w:r w:rsidR="00A97251" w:rsidRPr="00F34E2B">
        <w:rPr>
          <w:spacing w:val="-2"/>
        </w:rPr>
        <w:t xml:space="preserve"> </w:t>
      </w:r>
      <w:r w:rsidR="00D46382" w:rsidRPr="00F34E2B">
        <w:rPr>
          <w:spacing w:val="-2"/>
        </w:rPr>
        <w:t>18</w:t>
      </w:r>
      <w:r w:rsidR="008C689A" w:rsidRPr="00F34E2B">
        <w:rPr>
          <w:spacing w:val="-2"/>
        </w:rPr>
        <w:t> </w:t>
      </w:r>
      <w:r w:rsidR="00D46382" w:rsidRPr="00F34E2B">
        <w:rPr>
          <w:spacing w:val="-2"/>
        </w:rPr>
        <w:t>December 2022</w:t>
      </w:r>
      <w:r w:rsidR="002C5BA3" w:rsidRPr="00F34E2B">
        <w:rPr>
          <w:spacing w:val="-2"/>
        </w:rPr>
        <w:t>.</w:t>
      </w:r>
      <w:r w:rsidR="004016BB" w:rsidRPr="00F34E2B">
        <w:rPr>
          <w:spacing w:val="-2"/>
        </w:rPr>
        <w:t xml:space="preserve"> </w:t>
      </w:r>
      <w:r w:rsidR="008C689A" w:rsidRPr="00F34E2B">
        <w:rPr>
          <w:spacing w:val="-2"/>
        </w:rPr>
        <w:t>A 1.5 per cent increase was also applied</w:t>
      </w:r>
      <w:r w:rsidR="000B770E" w:rsidRPr="00F34E2B">
        <w:rPr>
          <w:spacing w:val="-2"/>
        </w:rPr>
        <w:t xml:space="preserve"> to </w:t>
      </w:r>
      <w:r w:rsidR="00CC71ED" w:rsidRPr="00F34E2B">
        <w:rPr>
          <w:spacing w:val="-2"/>
        </w:rPr>
        <w:t>the</w:t>
      </w:r>
      <w:r w:rsidR="005F2C84" w:rsidRPr="00F34E2B">
        <w:rPr>
          <w:spacing w:val="-2"/>
        </w:rPr>
        <w:t xml:space="preserve"> </w:t>
      </w:r>
      <w:r w:rsidR="006F2631" w:rsidRPr="00F34E2B">
        <w:rPr>
          <w:spacing w:val="-2"/>
        </w:rPr>
        <w:t>daily rate for the</w:t>
      </w:r>
      <w:r w:rsidR="005F2C84" w:rsidRPr="00F34E2B">
        <w:rPr>
          <w:spacing w:val="-2"/>
        </w:rPr>
        <w:t xml:space="preserve"> Remote Area Travel Allowance</w:t>
      </w:r>
      <w:r w:rsidR="005C0025" w:rsidRPr="00F34E2B">
        <w:rPr>
          <w:spacing w:val="-2"/>
        </w:rPr>
        <w:t>.</w:t>
      </w:r>
      <w:r w:rsidR="00683533">
        <w:rPr>
          <w:rFonts w:ascii="ZWAdobeF" w:hAnsi="ZWAdobeF" w:cs="ZWAdobeF"/>
          <w:color w:val="auto"/>
          <w:sz w:val="2"/>
          <w:szCs w:val="2"/>
        </w:rPr>
        <w:t>2F</w:t>
      </w:r>
      <w:r w:rsidR="0017105B">
        <w:rPr>
          <w:rFonts w:ascii="ZWAdobeF" w:hAnsi="ZWAdobeF" w:cs="ZWAdobeF"/>
          <w:color w:val="auto"/>
          <w:sz w:val="2"/>
          <w:szCs w:val="2"/>
        </w:rPr>
        <w:t>2F</w:t>
      </w:r>
      <w:r w:rsidR="00DA71DC" w:rsidRPr="00F34E2B">
        <w:rPr>
          <w:rStyle w:val="FootnoteReference"/>
          <w:spacing w:val="-2"/>
        </w:rPr>
        <w:footnoteReference w:id="4"/>
      </w:r>
    </w:p>
    <w:p w14:paraId="36732D15" w14:textId="797CE991" w:rsidR="006536F9" w:rsidRDefault="00D87B6D" w:rsidP="002229FF">
      <w:pPr>
        <w:pStyle w:val="05Paragraph"/>
      </w:pPr>
      <w:r>
        <w:t>The Tribunal is required to include a statement of reasons in a Determination.</w:t>
      </w:r>
      <w:r w:rsidR="00683533">
        <w:rPr>
          <w:rFonts w:ascii="ZWAdobeF" w:hAnsi="ZWAdobeF" w:cs="ZWAdobeF"/>
          <w:color w:val="auto"/>
          <w:sz w:val="2"/>
          <w:szCs w:val="2"/>
        </w:rPr>
        <w:t>3F</w:t>
      </w:r>
      <w:r w:rsidR="0017105B">
        <w:rPr>
          <w:rFonts w:ascii="ZWAdobeF" w:hAnsi="ZWAdobeF" w:cs="ZWAdobeF"/>
          <w:color w:val="auto"/>
          <w:sz w:val="2"/>
          <w:szCs w:val="2"/>
        </w:rPr>
        <w:t>3F</w:t>
      </w:r>
      <w:r>
        <w:rPr>
          <w:rStyle w:val="FootnoteReference"/>
        </w:rPr>
        <w:footnoteReference w:id="5"/>
      </w:r>
      <w:r w:rsidR="006536F9">
        <w:t xml:space="preserve"> </w:t>
      </w:r>
      <w:r w:rsidR="00EF047A">
        <w:t xml:space="preserve">This </w:t>
      </w:r>
      <w:r w:rsidR="006536F9">
        <w:t xml:space="preserve">Statement of Reasons relates to the </w:t>
      </w:r>
      <w:r w:rsidR="00EF047A" w:rsidRPr="00E979F6">
        <w:rPr>
          <w:i/>
          <w:iCs/>
        </w:rPr>
        <w:t>Allowance payable to Mayors, Deputy Mayors and Councillors (Victoria) Annual Adjustment Determination 202</w:t>
      </w:r>
      <w:r w:rsidR="00EF047A">
        <w:rPr>
          <w:i/>
          <w:iCs/>
        </w:rPr>
        <w:t>3</w:t>
      </w:r>
      <w:r w:rsidR="00EF047A">
        <w:t xml:space="preserve"> (2023</w:t>
      </w:r>
      <w:r w:rsidR="00345CD0">
        <w:t> </w:t>
      </w:r>
      <w:r w:rsidR="00244F4E">
        <w:t xml:space="preserve">Local Government </w:t>
      </w:r>
      <w:r w:rsidR="00EF047A">
        <w:t>Annual Adjustment Determination</w:t>
      </w:r>
      <w:r w:rsidR="006536F9">
        <w:t>).</w:t>
      </w:r>
    </w:p>
    <w:p w14:paraId="1C8F3DAD" w14:textId="447B2C0E" w:rsidR="00D26879" w:rsidRDefault="006536F9" w:rsidP="002229FF">
      <w:pPr>
        <w:pStyle w:val="05Paragraph"/>
      </w:pPr>
      <w:r>
        <w:t xml:space="preserve">The 2023 </w:t>
      </w:r>
      <w:r w:rsidR="00244F4E">
        <w:t xml:space="preserve">Local Government </w:t>
      </w:r>
      <w:r>
        <w:t>Annual Adjustment Determination takes effect</w:t>
      </w:r>
      <w:r w:rsidR="00EF047A">
        <w:t xml:space="preserve"> </w:t>
      </w:r>
      <w:r>
        <w:t>on</w:t>
      </w:r>
      <w:r w:rsidR="004C665E">
        <w:t> </w:t>
      </w:r>
      <w:r w:rsidR="00EF047A" w:rsidRPr="00B37CE6">
        <w:t>1</w:t>
      </w:r>
      <w:r w:rsidR="004C665E">
        <w:t> </w:t>
      </w:r>
      <w:r w:rsidR="00EF047A" w:rsidRPr="00B37CE6">
        <w:t>July</w:t>
      </w:r>
      <w:r w:rsidR="00EF047A" w:rsidRPr="00D00E6F">
        <w:t xml:space="preserve"> 202</w:t>
      </w:r>
      <w:r w:rsidR="00EF047A">
        <w:t>3.</w:t>
      </w:r>
      <w:r w:rsidR="00834BE1">
        <w:t xml:space="preserve"> </w:t>
      </w:r>
      <w:r w:rsidR="003F72C4">
        <w:t xml:space="preserve">For ease of reference, the Tribunal </w:t>
      </w:r>
      <w:r w:rsidR="004B3B8E">
        <w:t>has also published on its website a</w:t>
      </w:r>
      <w:r w:rsidR="00834BE1" w:rsidRPr="00834BE1">
        <w:t xml:space="preserve"> consolidated version of the Comprehensive Determination</w:t>
      </w:r>
      <w:r w:rsidR="004B3B8E">
        <w:t>, incorporating</w:t>
      </w:r>
      <w:r w:rsidR="00834BE1" w:rsidRPr="00834BE1">
        <w:t xml:space="preserve"> changes made by the 2022 and 2023 annual adjustments.</w:t>
      </w:r>
    </w:p>
    <w:p w14:paraId="1A9B7091" w14:textId="02EFD845" w:rsidR="002D4A56" w:rsidRPr="003961B8" w:rsidRDefault="00BB0137" w:rsidP="004D3662">
      <w:pPr>
        <w:pStyle w:val="02VIRTHeading2"/>
      </w:pPr>
      <w:bookmarkStart w:id="21" w:name="_Toc59090122"/>
      <w:bookmarkStart w:id="22" w:name="_Toc139011813"/>
      <w:bookmarkStart w:id="23" w:name="_Hlk100061804"/>
      <w:r>
        <w:t>1.1</w:t>
      </w:r>
      <w:r>
        <w:tab/>
      </w:r>
      <w:bookmarkStart w:id="24" w:name="_Toc19554264"/>
      <w:bookmarkStart w:id="25" w:name="_Toc20323433"/>
      <w:bookmarkStart w:id="26" w:name="_Toc33609444"/>
      <w:bookmarkStart w:id="27" w:name="_Toc35006359"/>
      <w:bookmarkStart w:id="28" w:name="_Toc45015313"/>
      <w:bookmarkEnd w:id="21"/>
      <w:bookmarkEnd w:id="24"/>
      <w:bookmarkEnd w:id="25"/>
      <w:bookmarkEnd w:id="26"/>
      <w:bookmarkEnd w:id="27"/>
      <w:bookmarkEnd w:id="28"/>
      <w:r w:rsidR="00BC4D7D">
        <w:t>Legislative requirements</w:t>
      </w:r>
      <w:bookmarkEnd w:id="22"/>
    </w:p>
    <w:p w14:paraId="5752F558" w14:textId="481968DF" w:rsidR="00BC4D7D" w:rsidRPr="00BC4D7D" w:rsidRDefault="00BC4D7D" w:rsidP="002229FF">
      <w:pPr>
        <w:pStyle w:val="05Paragraph"/>
      </w:pPr>
      <w:bookmarkStart w:id="29" w:name="_Toc19554265"/>
      <w:bookmarkStart w:id="30" w:name="_Toc20323438"/>
      <w:bookmarkStart w:id="31" w:name="_Toc33609445"/>
      <w:bookmarkStart w:id="32" w:name="_Toc35006363"/>
      <w:bookmarkStart w:id="33" w:name="_Toc45015314"/>
      <w:bookmarkStart w:id="34" w:name="_Toc59090123"/>
      <w:bookmarkEnd w:id="23"/>
      <w:r w:rsidRPr="00BC4D7D">
        <w:t>Before making a Determination, the VIRTIPS Act requires the Tribunal to:</w:t>
      </w:r>
      <w:r w:rsidR="00683533">
        <w:rPr>
          <w:rFonts w:ascii="ZWAdobeF" w:hAnsi="ZWAdobeF" w:cs="ZWAdobeF"/>
          <w:color w:val="auto"/>
          <w:sz w:val="2"/>
          <w:szCs w:val="2"/>
        </w:rPr>
        <w:t>4F</w:t>
      </w:r>
      <w:r w:rsidR="0017105B">
        <w:rPr>
          <w:rFonts w:ascii="ZWAdobeF" w:hAnsi="ZWAdobeF" w:cs="ZWAdobeF"/>
          <w:color w:val="auto"/>
          <w:sz w:val="2"/>
          <w:szCs w:val="2"/>
        </w:rPr>
        <w:t>4F</w:t>
      </w:r>
      <w:r w:rsidR="000C54C0">
        <w:rPr>
          <w:rStyle w:val="FootnoteReference"/>
        </w:rPr>
        <w:footnoteReference w:id="6"/>
      </w:r>
    </w:p>
    <w:p w14:paraId="249B1BE5" w14:textId="21E5CAF9" w:rsidR="00BC4D7D" w:rsidRPr="002229FF" w:rsidRDefault="00BC4D7D" w:rsidP="002229FF">
      <w:pPr>
        <w:pStyle w:val="06VIRTBulletpoints"/>
      </w:pPr>
      <w:r w:rsidRPr="002229FF">
        <w:lastRenderedPageBreak/>
        <w:t>publish notice of its intention to make a Determination</w:t>
      </w:r>
    </w:p>
    <w:p w14:paraId="6D89DB62" w14:textId="07A87406" w:rsidR="00BC4D7D" w:rsidRPr="002229FF" w:rsidRDefault="00BC4D7D" w:rsidP="002229FF">
      <w:pPr>
        <w:pStyle w:val="06VIRTBulletpoints"/>
      </w:pPr>
      <w:r w:rsidRPr="002229FF">
        <w:t xml:space="preserve">include details about the proposed Determination in the public notice </w:t>
      </w:r>
    </w:p>
    <w:p w14:paraId="5CB22B79" w14:textId="298D3CCE" w:rsidR="00BC4D7D" w:rsidRPr="002229FF" w:rsidRDefault="00BC4D7D" w:rsidP="002229FF">
      <w:pPr>
        <w:pStyle w:val="06VIRTBulletpoints"/>
      </w:pPr>
      <w:r w:rsidRPr="002229FF">
        <w:t>give any affected person or class of persons a reasonable opportunity to make a submission in relation to the proposed Determination.</w:t>
      </w:r>
    </w:p>
    <w:p w14:paraId="3A3A97F3" w14:textId="11D8FCF8" w:rsidR="00BC4D7D" w:rsidRPr="00BC4D7D" w:rsidRDefault="00BC4D7D" w:rsidP="002229FF">
      <w:pPr>
        <w:pStyle w:val="05Paragraph"/>
      </w:pPr>
      <w:r w:rsidRPr="00BC4D7D">
        <w:t xml:space="preserve">In making a Determination, the </w:t>
      </w:r>
      <w:r w:rsidR="00081B3B">
        <w:t xml:space="preserve">VIRTIPS Act requires that </w:t>
      </w:r>
      <w:r w:rsidRPr="00BC4D7D">
        <w:t xml:space="preserve">the Tribunal </w:t>
      </w:r>
      <w:r w:rsidR="00BE1C57">
        <w:t>take into account</w:t>
      </w:r>
      <w:r w:rsidRPr="00BC4D7D">
        <w:t>:</w:t>
      </w:r>
      <w:r w:rsidR="00683533">
        <w:rPr>
          <w:rFonts w:ascii="ZWAdobeF" w:hAnsi="ZWAdobeF" w:cs="ZWAdobeF"/>
          <w:color w:val="auto"/>
          <w:sz w:val="2"/>
          <w:szCs w:val="2"/>
        </w:rPr>
        <w:t>5F</w:t>
      </w:r>
      <w:r w:rsidR="0017105B">
        <w:rPr>
          <w:rFonts w:ascii="ZWAdobeF" w:hAnsi="ZWAdobeF" w:cs="ZWAdobeF"/>
          <w:color w:val="auto"/>
          <w:sz w:val="2"/>
          <w:szCs w:val="2"/>
        </w:rPr>
        <w:t>5F</w:t>
      </w:r>
      <w:r w:rsidR="000C54C0">
        <w:rPr>
          <w:rStyle w:val="FootnoteReference"/>
        </w:rPr>
        <w:footnoteReference w:id="7"/>
      </w:r>
    </w:p>
    <w:p w14:paraId="74E41AB1" w14:textId="501A4554" w:rsidR="00BC4D7D" w:rsidRPr="00BC4D7D" w:rsidRDefault="00BC4D7D" w:rsidP="002229FF">
      <w:pPr>
        <w:pStyle w:val="06VIRTBulletpoints"/>
      </w:pPr>
      <w:r w:rsidRPr="00BC4D7D">
        <w:t>any statement or policy issued by the Government of Victoria which is in force with respect to its wages policy (or equivalent) and the remuneration and allowances of any specified occupational group</w:t>
      </w:r>
    </w:p>
    <w:p w14:paraId="6DE0FB33" w14:textId="25F3D219" w:rsidR="00BC4D7D" w:rsidRPr="00BC4D7D" w:rsidRDefault="00BC4D7D" w:rsidP="002229FF">
      <w:pPr>
        <w:pStyle w:val="06VIRTBulletpoints"/>
      </w:pPr>
      <w:r w:rsidRPr="00BC4D7D">
        <w:t xml:space="preserve">the financial position and fiscal strategy of the State of Victoria </w:t>
      </w:r>
    </w:p>
    <w:p w14:paraId="6B11B9F4" w14:textId="606735C1" w:rsidR="00BC4D7D" w:rsidRPr="00BC4D7D" w:rsidRDefault="00BC4D7D" w:rsidP="002229FF">
      <w:pPr>
        <w:pStyle w:val="06VIRTBulletpoints"/>
      </w:pPr>
      <w:r w:rsidRPr="00BC4D7D">
        <w:t>current and projected economic conditions and trends</w:t>
      </w:r>
    </w:p>
    <w:p w14:paraId="2217AB2C" w14:textId="7445FB5A" w:rsidR="00BC4D7D" w:rsidRDefault="00BC4D7D" w:rsidP="002229FF">
      <w:pPr>
        <w:pStyle w:val="06VIRTBulletpoints"/>
      </w:pPr>
      <w:r w:rsidRPr="00BC4D7D">
        <w:t>submissions received in relation to the proposed Determination.</w:t>
      </w:r>
    </w:p>
    <w:p w14:paraId="1801E1B0" w14:textId="45052E9D" w:rsidR="0078644A" w:rsidRDefault="00A11AC6" w:rsidP="002229FF">
      <w:pPr>
        <w:pStyle w:val="05Paragraph"/>
      </w:pPr>
      <w:r w:rsidRPr="00294060">
        <w:t>The Tribunal’s analysis of the</w:t>
      </w:r>
      <w:r w:rsidR="001D536D" w:rsidRPr="00294060">
        <w:t xml:space="preserve"> first three</w:t>
      </w:r>
      <w:r w:rsidRPr="00294060">
        <w:t xml:space="preserve"> factors has been included as an appendix </w:t>
      </w:r>
      <w:r w:rsidR="00FA6353" w:rsidRPr="00294060">
        <w:t xml:space="preserve">to </w:t>
      </w:r>
      <w:r w:rsidRPr="00294060">
        <w:t>this Statement of Reasons</w:t>
      </w:r>
      <w:r w:rsidR="00F0614E" w:rsidRPr="00294060">
        <w:t>.</w:t>
      </w:r>
      <w:r w:rsidR="00C23849" w:rsidRPr="00294060">
        <w:t xml:space="preserve"> Submissions received in relation to the Determination are discussed below.</w:t>
      </w:r>
    </w:p>
    <w:p w14:paraId="588AE52D" w14:textId="4C6D7449" w:rsidR="00033D4B" w:rsidRPr="00A25D58" w:rsidRDefault="00033D4B" w:rsidP="002229FF">
      <w:pPr>
        <w:pStyle w:val="05Paragraph"/>
      </w:pPr>
      <w:r w:rsidRPr="00C02C39">
        <w:t>In performing its functions and exercis</w:t>
      </w:r>
      <w:r>
        <w:t>ing</w:t>
      </w:r>
      <w:r w:rsidRPr="00C02C39">
        <w:t xml:space="preserve"> its powers, the Tribunal must act independently </w:t>
      </w:r>
      <w:r w:rsidRPr="00A25D58">
        <w:t>and impartially and is not subject to the control or direction of any person, including the Minister.</w:t>
      </w:r>
      <w:r w:rsidR="00683533">
        <w:rPr>
          <w:rFonts w:ascii="ZWAdobeF" w:hAnsi="ZWAdobeF" w:cs="ZWAdobeF"/>
          <w:color w:val="auto"/>
          <w:sz w:val="2"/>
          <w:szCs w:val="2"/>
        </w:rPr>
        <w:t>6F</w:t>
      </w:r>
      <w:r w:rsidR="0017105B">
        <w:rPr>
          <w:rFonts w:ascii="ZWAdobeF" w:hAnsi="ZWAdobeF" w:cs="ZWAdobeF"/>
          <w:color w:val="auto"/>
          <w:sz w:val="2"/>
          <w:szCs w:val="2"/>
        </w:rPr>
        <w:t>6F</w:t>
      </w:r>
      <w:r w:rsidRPr="00A25D58">
        <w:rPr>
          <w:rStyle w:val="FootnoteReference"/>
        </w:rPr>
        <w:footnoteReference w:id="8"/>
      </w:r>
    </w:p>
    <w:p w14:paraId="2B16EE1C" w14:textId="77777777" w:rsidR="004F4A46" w:rsidRDefault="004F4A46" w:rsidP="004F4A46">
      <w:pPr>
        <w:pStyle w:val="02VIRTHeading2"/>
      </w:pPr>
      <w:bookmarkStart w:id="35" w:name="_Toc139011814"/>
      <w:bookmarkEnd w:id="4"/>
      <w:bookmarkEnd w:id="19"/>
      <w:bookmarkEnd w:id="20"/>
      <w:bookmarkEnd w:id="29"/>
      <w:bookmarkEnd w:id="30"/>
      <w:bookmarkEnd w:id="31"/>
      <w:bookmarkEnd w:id="32"/>
      <w:bookmarkEnd w:id="33"/>
      <w:bookmarkEnd w:id="34"/>
      <w:r w:rsidRPr="004F4A46">
        <w:t>1.</w:t>
      </w:r>
      <w:r>
        <w:t>2</w:t>
      </w:r>
      <w:r w:rsidRPr="004F4A46">
        <w:tab/>
      </w:r>
      <w:r>
        <w:t>Consultation</w:t>
      </w:r>
      <w:bookmarkEnd w:id="35"/>
    </w:p>
    <w:p w14:paraId="6F252181" w14:textId="77777777" w:rsidR="00BA3C4F" w:rsidRDefault="00BA3C4F" w:rsidP="002229FF">
      <w:pPr>
        <w:pStyle w:val="05Paragraph"/>
      </w:pPr>
      <w:r>
        <w:t>T</w:t>
      </w:r>
      <w:r w:rsidR="005F4CB1" w:rsidRPr="004F4A46">
        <w:t>he Tribunal</w:t>
      </w:r>
      <w:r>
        <w:t xml:space="preserve"> </w:t>
      </w:r>
      <w:r w:rsidR="005F4CB1" w:rsidRPr="004F4A46">
        <w:t xml:space="preserve">published notice of </w:t>
      </w:r>
      <w:r w:rsidR="005F4CB1">
        <w:t xml:space="preserve">its </w:t>
      </w:r>
      <w:r w:rsidR="005F4CB1" w:rsidRPr="004F4A46">
        <w:t>intention to make a Determination</w:t>
      </w:r>
      <w:r w:rsidR="005F4CB1" w:rsidRPr="004F4A46" w:rsidDel="00A42BDD">
        <w:t xml:space="preserve"> on its website</w:t>
      </w:r>
      <w:r>
        <w:t xml:space="preserve"> </w:t>
      </w:r>
      <w:r w:rsidR="005F4CB1">
        <w:t>in March 2023</w:t>
      </w:r>
      <w:r>
        <w:t xml:space="preserve">. </w:t>
      </w:r>
      <w:r w:rsidR="00405159" w:rsidRPr="004F4A46">
        <w:t xml:space="preserve">The </w:t>
      </w:r>
      <w:r w:rsidR="00405159" w:rsidDel="00974D5C">
        <w:t xml:space="preserve">notice </w:t>
      </w:r>
      <w:r>
        <w:t>contained</w:t>
      </w:r>
      <w:r w:rsidR="00405159" w:rsidRPr="004F4A46">
        <w:t xml:space="preserve"> a summary of the matters the Tribunal was required to consider </w:t>
      </w:r>
      <w:r w:rsidR="00405159">
        <w:t xml:space="preserve">and called for submissions </w:t>
      </w:r>
      <w:r w:rsidR="00405159" w:rsidRPr="006D4A29">
        <w:t>by 28 April 2023.</w:t>
      </w:r>
    </w:p>
    <w:p w14:paraId="4953D709" w14:textId="545F82AE" w:rsidR="005F4CB1" w:rsidRDefault="00405159" w:rsidP="002229FF">
      <w:pPr>
        <w:pStyle w:val="05Paragraph"/>
      </w:pPr>
      <w:r>
        <w:t>In particular, stakeholders were invited to comment on the following questions:</w:t>
      </w:r>
    </w:p>
    <w:p w14:paraId="2E1649E3" w14:textId="77777777" w:rsidR="00C9111C" w:rsidRDefault="00C9111C" w:rsidP="002229FF">
      <w:pPr>
        <w:pStyle w:val="06VIRTBulletpoints"/>
      </w:pPr>
      <w:r>
        <w:t>What, if any, adjustment to the values of allowances should the Tribunal consider?</w:t>
      </w:r>
    </w:p>
    <w:p w14:paraId="281D4423" w14:textId="77777777" w:rsidR="00C9111C" w:rsidRDefault="00C9111C" w:rsidP="002229FF">
      <w:pPr>
        <w:pStyle w:val="06VIRTBulletpoints"/>
      </w:pPr>
      <w:r>
        <w:t>Which economic and financial indices should the Tribunal consider when adjusting the values of allowances?</w:t>
      </w:r>
    </w:p>
    <w:p w14:paraId="424E4C56" w14:textId="05CBAED0" w:rsidR="00C9111C" w:rsidRDefault="00C9111C" w:rsidP="002229FF">
      <w:pPr>
        <w:pStyle w:val="06VIRTBulletpoints"/>
      </w:pPr>
      <w:r>
        <w:t>Are there other matters, in addition to those listed in the VIRTIPS Act, that the Tribunal should consider when making the Determination?</w:t>
      </w:r>
    </w:p>
    <w:p w14:paraId="302D5C27" w14:textId="3EE1FFE6" w:rsidR="002A3032" w:rsidRPr="002A3032" w:rsidRDefault="002A3032" w:rsidP="002229FF">
      <w:pPr>
        <w:pStyle w:val="06VIRTBulletpoints"/>
        <w:rPr>
          <w:lang w:eastAsia="en-AU"/>
        </w:rPr>
      </w:pPr>
      <w:r w:rsidRPr="002A3032">
        <w:rPr>
          <w:lang w:eastAsia="en-AU"/>
        </w:rPr>
        <w:lastRenderedPageBreak/>
        <w:t xml:space="preserve">Should the 2023 </w:t>
      </w:r>
      <w:r w:rsidR="00244F4E">
        <w:rPr>
          <w:lang w:eastAsia="en-AU"/>
        </w:rPr>
        <w:t xml:space="preserve">Local Government </w:t>
      </w:r>
      <w:r w:rsidRPr="002A3032">
        <w:rPr>
          <w:lang w:eastAsia="en-AU"/>
        </w:rPr>
        <w:t>Annual Adjustment Determination take effect on 1 July 2023, or on some other date?</w:t>
      </w:r>
    </w:p>
    <w:p w14:paraId="4A0AB425" w14:textId="06C2A8CF" w:rsidR="00E46EF8" w:rsidRPr="004F4A46" w:rsidRDefault="008A6E56" w:rsidP="002229FF">
      <w:pPr>
        <w:pStyle w:val="05Paragraph"/>
      </w:pPr>
      <w:r>
        <w:t>Local Government Victoria</w:t>
      </w:r>
      <w:r w:rsidR="00D81307">
        <w:t xml:space="preserve">, </w:t>
      </w:r>
      <w:r w:rsidR="00B5438D">
        <w:t xml:space="preserve">part </w:t>
      </w:r>
      <w:r w:rsidR="00D81307">
        <w:t xml:space="preserve">of the </w:t>
      </w:r>
      <w:r w:rsidR="00F82A2F">
        <w:t>Department of Government Services,</w:t>
      </w:r>
      <w:r>
        <w:t xml:space="preserve"> </w:t>
      </w:r>
      <w:r w:rsidR="00A346F3">
        <w:t xml:space="preserve">also </w:t>
      </w:r>
      <w:r w:rsidR="00BA0E64">
        <w:t xml:space="preserve">issued a bulletin </w:t>
      </w:r>
      <w:r w:rsidR="00257962">
        <w:t>to the local government sector</w:t>
      </w:r>
      <w:r w:rsidR="00813E77">
        <w:t xml:space="preserve"> about the notice and opportunity to make a submission</w:t>
      </w:r>
      <w:r w:rsidR="00857260">
        <w:t>.</w:t>
      </w:r>
    </w:p>
    <w:p w14:paraId="2DE2CB8F" w14:textId="32525AE6" w:rsidR="00725CCA" w:rsidRDefault="000C54C0" w:rsidP="002229FF">
      <w:pPr>
        <w:pStyle w:val="05Paragraph"/>
      </w:pPr>
      <w:r w:rsidRPr="000C54C0">
        <w:t xml:space="preserve">The Tribunal received </w:t>
      </w:r>
      <w:r w:rsidR="00CB5129">
        <w:t>th</w:t>
      </w:r>
      <w:r w:rsidR="00A4469A">
        <w:t>r</w:t>
      </w:r>
      <w:r w:rsidR="00CB5129">
        <w:t>ee</w:t>
      </w:r>
      <w:r w:rsidRPr="000C54C0">
        <w:t xml:space="preserve"> submissions</w:t>
      </w:r>
      <w:r w:rsidR="00A4469A">
        <w:t xml:space="preserve">, </w:t>
      </w:r>
      <w:r w:rsidR="00A4469A" w:rsidRPr="008F1606">
        <w:t>which have been published on the Tribunal’s website</w:t>
      </w:r>
      <w:r w:rsidR="0035416C">
        <w:t xml:space="preserve"> in de-identified form</w:t>
      </w:r>
      <w:r w:rsidRPr="000C54C0">
        <w:t>.</w:t>
      </w:r>
    </w:p>
    <w:p w14:paraId="7299824F" w14:textId="60E4C2B6" w:rsidR="00C154E0" w:rsidRDefault="00C154E0" w:rsidP="00C154E0">
      <w:pPr>
        <w:pStyle w:val="05Paragraph"/>
      </w:pPr>
      <w:r>
        <w:t xml:space="preserve">One submission stated that allowances for Mayors and Deputy Mayors were appropriate, while calling for substantial increases to Councillor allowances ‘to attract quality candidates with the requisite skill and experience’ to perform the role. This submission also supported an effective date of 1 July </w:t>
      </w:r>
      <w:r w:rsidR="004C71AD">
        <w:t>2023</w:t>
      </w:r>
      <w:r>
        <w:t xml:space="preserve"> for the 2023 </w:t>
      </w:r>
      <w:r w:rsidR="00244F4E">
        <w:t xml:space="preserve">Local Government </w:t>
      </w:r>
      <w:r>
        <w:t>Annual Adjustment</w:t>
      </w:r>
      <w:r w:rsidR="009D4A2C">
        <w:t xml:space="preserve"> Determination</w:t>
      </w:r>
      <w:r w:rsidR="00FB3F22">
        <w:t>, and s</w:t>
      </w:r>
      <w:r w:rsidR="002C40A5">
        <w:t>uggested</w:t>
      </w:r>
      <w:r w:rsidR="00FB3F22">
        <w:t xml:space="preserve"> that</w:t>
      </w:r>
      <w:r w:rsidR="002C40A5">
        <w:t xml:space="preserve"> the Tribunal consider the impact of inflation on the value of Councillor allowances.</w:t>
      </w:r>
    </w:p>
    <w:p w14:paraId="611735FB" w14:textId="110F3145" w:rsidR="000B0AE8" w:rsidRDefault="00C154E0" w:rsidP="002229FF">
      <w:pPr>
        <w:pStyle w:val="05Paragraph"/>
      </w:pPr>
      <w:r>
        <w:t>Another</w:t>
      </w:r>
      <w:r w:rsidR="00A13464">
        <w:t xml:space="preserve"> </w:t>
      </w:r>
      <w:r w:rsidR="000B0AE8">
        <w:t xml:space="preserve">submission </w:t>
      </w:r>
      <w:r w:rsidR="00137568">
        <w:t xml:space="preserve">stated that </w:t>
      </w:r>
      <w:r w:rsidR="00A26A0C">
        <w:t>allowance</w:t>
      </w:r>
      <w:r w:rsidR="00F87CD7">
        <w:t>s</w:t>
      </w:r>
      <w:r w:rsidR="00A26A0C">
        <w:t xml:space="preserve"> for Councillors and Deputy Mayors should be equal to the median wage ‘at a minimum’</w:t>
      </w:r>
      <w:r w:rsidR="00B07748">
        <w:t xml:space="preserve">, </w:t>
      </w:r>
      <w:r w:rsidR="002F79C1">
        <w:t>and that allowances for all Council members</w:t>
      </w:r>
      <w:r w:rsidR="00B07748">
        <w:t xml:space="preserve"> (including Mayors)</w:t>
      </w:r>
      <w:r w:rsidR="002F79C1">
        <w:t xml:space="preserve"> should </w:t>
      </w:r>
      <w:r w:rsidR="0009000A">
        <w:t>‘</w:t>
      </w:r>
      <w:r w:rsidR="002F79C1">
        <w:t xml:space="preserve">be pegged against movements </w:t>
      </w:r>
      <w:r w:rsidR="00A55513">
        <w:t>of</w:t>
      </w:r>
      <w:r w:rsidR="002F79C1">
        <w:t xml:space="preserve"> the median wage</w:t>
      </w:r>
      <w:r w:rsidR="00CD7FD7">
        <w:t xml:space="preserve"> going forward</w:t>
      </w:r>
      <w:r w:rsidR="00A55513">
        <w:t>’</w:t>
      </w:r>
      <w:r w:rsidR="002F79C1">
        <w:t>.</w:t>
      </w:r>
    </w:p>
    <w:p w14:paraId="3E5849F2" w14:textId="212FB56E" w:rsidR="003A7972" w:rsidRDefault="00D22B77" w:rsidP="002229FF">
      <w:pPr>
        <w:pStyle w:val="05Paragraph"/>
      </w:pPr>
      <w:r>
        <w:t>A third submission</w:t>
      </w:r>
      <w:r w:rsidR="00B36AA8">
        <w:t xml:space="preserve"> </w:t>
      </w:r>
      <w:r w:rsidR="002E7B63">
        <w:t>stated that the Tribunal should</w:t>
      </w:r>
      <w:r w:rsidR="008528CB">
        <w:t xml:space="preserve"> not increase allowances for a particular Council</w:t>
      </w:r>
      <w:r w:rsidR="00C30EB4">
        <w:t xml:space="preserve">, </w:t>
      </w:r>
      <w:r w:rsidR="002243C3">
        <w:t xml:space="preserve">citing matters including </w:t>
      </w:r>
      <w:r w:rsidR="00C30EB4">
        <w:t xml:space="preserve">financial difficulties </w:t>
      </w:r>
      <w:r w:rsidR="002243C3">
        <w:t>faced by members of the community</w:t>
      </w:r>
      <w:r w:rsidR="00225479">
        <w:t>. It also</w:t>
      </w:r>
      <w:r w:rsidR="009A6891">
        <w:t xml:space="preserve"> called for </w:t>
      </w:r>
      <w:r w:rsidR="007E17DF">
        <w:t xml:space="preserve">increases </w:t>
      </w:r>
      <w:r w:rsidR="002E30BA">
        <w:t>in</w:t>
      </w:r>
      <w:r w:rsidR="007E17DF">
        <w:t xml:space="preserve"> allowances to be based on performance</w:t>
      </w:r>
      <w:r w:rsidR="00354C8B">
        <w:t xml:space="preserve"> </w:t>
      </w:r>
      <w:r w:rsidR="001B5FCA">
        <w:t xml:space="preserve">and </w:t>
      </w:r>
      <w:r w:rsidR="00354C8B">
        <w:t>community feedback.</w:t>
      </w:r>
    </w:p>
    <w:p w14:paraId="29D4DAD2" w14:textId="36F08A21" w:rsidR="00DA2240" w:rsidRDefault="00DA2240" w:rsidP="008525E9">
      <w:pPr>
        <w:pStyle w:val="05Paragraph"/>
        <w:keepNext/>
      </w:pPr>
      <w:r>
        <w:t>The Tribunal</w:t>
      </w:r>
      <w:r w:rsidR="001628F5">
        <w:t xml:space="preserve"> reset the values of allowances in March 2022 when it made the Comprehensive Determination</w:t>
      </w:r>
      <w:r w:rsidR="00746B37">
        <w:t>, with</w:t>
      </w:r>
      <w:r w:rsidR="00A825DD">
        <w:t xml:space="preserve"> increases </w:t>
      </w:r>
      <w:r w:rsidR="00F83DCF">
        <w:t xml:space="preserve">to base allowances </w:t>
      </w:r>
      <w:r w:rsidR="00A825DD">
        <w:t xml:space="preserve">being phased in over five years for Mayors and Deputy Mayors and over three years for Councillors. </w:t>
      </w:r>
      <w:r w:rsidR="00B61DFA">
        <w:t>In regard to Councillor allowances, the Tribunal</w:t>
      </w:r>
      <w:r w:rsidR="00DB740C">
        <w:t xml:space="preserve"> considered that </w:t>
      </w:r>
      <w:r w:rsidR="004B6529">
        <w:t>the values it set were</w:t>
      </w:r>
      <w:r w:rsidR="006F342F">
        <w:t>:</w:t>
      </w:r>
    </w:p>
    <w:p w14:paraId="698D6809" w14:textId="1E12E538" w:rsidR="004E4C5D" w:rsidRDefault="00F83DCF" w:rsidP="004E4C5D">
      <w:pPr>
        <w:pStyle w:val="07VIRTBreakouttext"/>
      </w:pPr>
      <w:r>
        <w:t>…</w:t>
      </w:r>
      <w:r w:rsidRPr="00F83DCF">
        <w:t xml:space="preserve"> consistent with both encouraging a diverse range of candidates to serve on Council and more appropriately recognising the necessary work and time contribution of those elected to the role.</w:t>
      </w:r>
      <w:r w:rsidR="00683533">
        <w:rPr>
          <w:rFonts w:ascii="ZWAdobeF" w:hAnsi="ZWAdobeF" w:cs="ZWAdobeF"/>
          <w:i w:val="0"/>
          <w:color w:val="auto"/>
          <w:spacing w:val="0"/>
          <w:sz w:val="2"/>
          <w:szCs w:val="2"/>
        </w:rPr>
        <w:t>7F</w:t>
      </w:r>
      <w:r w:rsidR="0017105B">
        <w:rPr>
          <w:rFonts w:ascii="ZWAdobeF" w:hAnsi="ZWAdobeF" w:cs="ZWAdobeF"/>
          <w:i w:val="0"/>
          <w:color w:val="auto"/>
          <w:spacing w:val="0"/>
          <w:sz w:val="2"/>
          <w:szCs w:val="2"/>
        </w:rPr>
        <w:t>7F</w:t>
      </w:r>
      <w:r w:rsidRPr="00D05447">
        <w:rPr>
          <w:rStyle w:val="FootnoteReference"/>
          <w:i w:val="0"/>
          <w:iCs/>
        </w:rPr>
        <w:footnoteReference w:id="9"/>
      </w:r>
    </w:p>
    <w:p w14:paraId="1A55EB9B" w14:textId="1F0F9FC5" w:rsidR="003405A8" w:rsidRDefault="004E4C5D" w:rsidP="008525E9">
      <w:pPr>
        <w:pStyle w:val="05Paragraph"/>
        <w:keepNext/>
      </w:pPr>
      <w:r>
        <w:t>Further, t</w:t>
      </w:r>
      <w:r w:rsidR="00AB788C">
        <w:t>he</w:t>
      </w:r>
      <w:r>
        <w:t xml:space="preserve"> </w:t>
      </w:r>
      <w:r w:rsidR="00C537D0">
        <w:t xml:space="preserve">Tribunal is responsible for </w:t>
      </w:r>
      <w:r w:rsidR="00E4173D">
        <w:t>adjusting</w:t>
      </w:r>
      <w:r w:rsidR="00C537D0">
        <w:t xml:space="preserve"> </w:t>
      </w:r>
      <w:r w:rsidR="002C0869">
        <w:t>the value</w:t>
      </w:r>
      <w:r w:rsidR="00E4173D">
        <w:t>s</w:t>
      </w:r>
      <w:r w:rsidR="002C0869">
        <w:t xml:space="preserve"> of allowances for all Council members</w:t>
      </w:r>
      <w:r w:rsidR="00E51A47">
        <w:t>,</w:t>
      </w:r>
      <w:r w:rsidR="00F600D7">
        <w:t xml:space="preserve"> and</w:t>
      </w:r>
      <w:r w:rsidR="00E51A47">
        <w:t xml:space="preserve"> in</w:t>
      </w:r>
      <w:r w:rsidR="00F600D7">
        <w:t xml:space="preserve"> do</w:t>
      </w:r>
      <w:r w:rsidR="00E51A47">
        <w:t>ing so it does</w:t>
      </w:r>
      <w:r w:rsidR="00F600D7">
        <w:t xml:space="preserve"> not assess the performance of individual </w:t>
      </w:r>
      <w:r w:rsidR="00F600D7">
        <w:lastRenderedPageBreak/>
        <w:t>Council member</w:t>
      </w:r>
      <w:r w:rsidR="009C50D7">
        <w:t>s</w:t>
      </w:r>
      <w:r w:rsidR="00F600D7">
        <w:t xml:space="preserve"> or Council</w:t>
      </w:r>
      <w:r w:rsidR="009C50D7">
        <w:t>s</w:t>
      </w:r>
      <w:r w:rsidR="003765D2">
        <w:t>.</w:t>
      </w:r>
      <w:r w:rsidR="001702B9">
        <w:t xml:space="preserve"> </w:t>
      </w:r>
      <w:r w:rsidR="000B06DE">
        <w:t>In its Comprehensive Determination, t</w:t>
      </w:r>
      <w:r w:rsidR="003405A8">
        <w:t>he Tribunal noted that:</w:t>
      </w:r>
    </w:p>
    <w:p w14:paraId="213FC529" w14:textId="55F060DF" w:rsidR="005D1836" w:rsidRPr="00F379CB" w:rsidRDefault="001546C9" w:rsidP="00F379CB">
      <w:pPr>
        <w:pStyle w:val="07VIRTBreakouttext"/>
        <w:rPr>
          <w:i w:val="0"/>
        </w:rPr>
      </w:pPr>
      <w:r>
        <w:t>T</w:t>
      </w:r>
      <w:r w:rsidR="00AB788C">
        <w:t>he cycle of four-yearly elections provides a mechanism for voters to hold Council members to account for their performance. In performing their roles, Council members are also subject to a range of legal accountability and integrity frameworks and requirements.</w:t>
      </w:r>
      <w:r w:rsidR="00683533">
        <w:rPr>
          <w:rFonts w:ascii="ZWAdobeF" w:hAnsi="ZWAdobeF" w:cs="ZWAdobeF"/>
          <w:i w:val="0"/>
          <w:color w:val="auto"/>
          <w:spacing w:val="0"/>
          <w:sz w:val="2"/>
          <w:szCs w:val="2"/>
        </w:rPr>
        <w:t>8F</w:t>
      </w:r>
      <w:r w:rsidR="0017105B">
        <w:rPr>
          <w:rFonts w:ascii="ZWAdobeF" w:hAnsi="ZWAdobeF" w:cs="ZWAdobeF"/>
          <w:i w:val="0"/>
          <w:color w:val="auto"/>
          <w:spacing w:val="0"/>
          <w:sz w:val="2"/>
          <w:szCs w:val="2"/>
        </w:rPr>
        <w:t>8F</w:t>
      </w:r>
      <w:r w:rsidRPr="00D05447">
        <w:rPr>
          <w:rStyle w:val="FootnoteReference"/>
          <w:i w:val="0"/>
          <w:iCs/>
        </w:rPr>
        <w:footnoteReference w:id="10"/>
      </w:r>
    </w:p>
    <w:p w14:paraId="4C870D29" w14:textId="28FD7B0E" w:rsidR="002E3B57" w:rsidRPr="0088525E" w:rsidRDefault="002E3B57" w:rsidP="002E3B57">
      <w:pPr>
        <w:pStyle w:val="02VIRTHeading2"/>
        <w:sectPr w:rsidR="002E3B57" w:rsidRPr="0088525E" w:rsidSect="006B7517">
          <w:pgSz w:w="11906" w:h="16838"/>
          <w:pgMar w:top="1701" w:right="1701" w:bottom="1559" w:left="1701" w:header="708" w:footer="708" w:gutter="0"/>
          <w:cols w:space="708"/>
          <w:titlePg/>
          <w:docGrid w:linePitch="360"/>
        </w:sectPr>
      </w:pPr>
    </w:p>
    <w:p w14:paraId="2151F6AE" w14:textId="169F08F5" w:rsidR="00E32580" w:rsidRPr="005C3F8A" w:rsidRDefault="00F379CB" w:rsidP="000C1B31">
      <w:pPr>
        <w:pStyle w:val="Style4"/>
      </w:pPr>
      <w:bookmarkStart w:id="36" w:name="_Toc139011815"/>
      <w:r w:rsidRPr="000C1B31">
        <w:rPr>
          <w:rStyle w:val="01ChapterheadingChar"/>
        </w:rPr>
        <w:lastRenderedPageBreak/>
        <w:t>2</w:t>
      </w:r>
      <w:r w:rsidR="00E32580" w:rsidRPr="000C1B31">
        <w:rPr>
          <w:rStyle w:val="01ChapterheadingChar"/>
        </w:rPr>
        <w:tab/>
        <w:t>Tribunal’s considerations</w:t>
      </w:r>
      <w:bookmarkEnd w:id="36"/>
      <w:r w:rsidR="00E32580">
        <w:br/>
      </w:r>
    </w:p>
    <w:p w14:paraId="788C8D26" w14:textId="2E5728A0" w:rsidR="001A01B9" w:rsidRPr="001A01B9" w:rsidRDefault="001A01B9" w:rsidP="002229FF">
      <w:pPr>
        <w:pStyle w:val="05Paragraph"/>
      </w:pPr>
      <w:r w:rsidRPr="001A01B9">
        <w:t xml:space="preserve">The Tribunal now turns to determining an annual adjustment to the values of the </w:t>
      </w:r>
      <w:r w:rsidR="00961D40">
        <w:t>allowances payable</w:t>
      </w:r>
      <w:r w:rsidR="002B03D1">
        <w:t xml:space="preserve"> to Council members</w:t>
      </w:r>
      <w:r w:rsidR="00093711">
        <w:t>.</w:t>
      </w:r>
    </w:p>
    <w:p w14:paraId="10E8528D" w14:textId="6DE7D200" w:rsidR="00842D09" w:rsidRDefault="00F379CB" w:rsidP="00C36887">
      <w:pPr>
        <w:pStyle w:val="02VIRTHeading2"/>
      </w:pPr>
      <w:bookmarkStart w:id="37" w:name="_Toc139011816"/>
      <w:r>
        <w:t>2</w:t>
      </w:r>
      <w:r w:rsidR="00B03164">
        <w:t>.1</w:t>
      </w:r>
      <w:r w:rsidR="00B03164">
        <w:tab/>
        <w:t>Effective date</w:t>
      </w:r>
      <w:bookmarkEnd w:id="37"/>
    </w:p>
    <w:p w14:paraId="2041B7DB" w14:textId="01C12874" w:rsidR="00B32537" w:rsidRDefault="00C86975" w:rsidP="002229FF">
      <w:pPr>
        <w:pStyle w:val="05Paragraph"/>
      </w:pPr>
      <w:r>
        <w:t xml:space="preserve">Under the VIRTIPS Act, </w:t>
      </w:r>
      <w:r w:rsidR="009929FA">
        <w:t xml:space="preserve">the 2023 </w:t>
      </w:r>
      <w:r w:rsidR="00244F4E">
        <w:t xml:space="preserve">Local Government </w:t>
      </w:r>
      <w:r w:rsidR="009929FA">
        <w:t>Annual Adjustment</w:t>
      </w:r>
      <w:r w:rsidR="009E3590">
        <w:t xml:space="preserve"> Determination </w:t>
      </w:r>
      <w:r w:rsidR="009929FA">
        <w:t>takes</w:t>
      </w:r>
      <w:r w:rsidR="009E3590">
        <w:t xml:space="preserve"> effect on the date specified by the Tribunal</w:t>
      </w:r>
      <w:r w:rsidR="00B65DD0">
        <w:t>.</w:t>
      </w:r>
      <w:r w:rsidR="00683533">
        <w:rPr>
          <w:rFonts w:ascii="ZWAdobeF" w:hAnsi="ZWAdobeF" w:cs="ZWAdobeF"/>
          <w:color w:val="auto"/>
          <w:sz w:val="2"/>
          <w:szCs w:val="2"/>
        </w:rPr>
        <w:t>9F</w:t>
      </w:r>
      <w:r w:rsidR="0017105B">
        <w:rPr>
          <w:rFonts w:ascii="ZWAdobeF" w:hAnsi="ZWAdobeF" w:cs="ZWAdobeF"/>
          <w:color w:val="auto"/>
          <w:sz w:val="2"/>
          <w:szCs w:val="2"/>
        </w:rPr>
        <w:t>9F</w:t>
      </w:r>
      <w:r w:rsidR="00806BC8">
        <w:rPr>
          <w:rStyle w:val="FootnoteReference"/>
        </w:rPr>
        <w:footnoteReference w:id="11"/>
      </w:r>
      <w:r w:rsidR="00B65DD0">
        <w:t xml:space="preserve"> </w:t>
      </w:r>
    </w:p>
    <w:p w14:paraId="124BBB4F" w14:textId="6A398AA8" w:rsidR="002C73A3" w:rsidRDefault="001B6396" w:rsidP="002229FF">
      <w:pPr>
        <w:pStyle w:val="05Paragraph"/>
      </w:pPr>
      <w:r>
        <w:t>Annual adjustment</w:t>
      </w:r>
      <w:r w:rsidR="00145EFC">
        <w:t>s for</w:t>
      </w:r>
      <w:r>
        <w:t xml:space="preserve"> </w:t>
      </w:r>
      <w:r w:rsidR="00601CEF">
        <w:t xml:space="preserve">MPs </w:t>
      </w:r>
      <w:r w:rsidR="007A0418">
        <w:t xml:space="preserve">and </w:t>
      </w:r>
      <w:r w:rsidR="000065C1">
        <w:t>executives employed in public service bodies and prescribed public entities</w:t>
      </w:r>
      <w:r w:rsidR="00865589">
        <w:t xml:space="preserve"> must take effect from 1</w:t>
      </w:r>
      <w:r w:rsidR="00CA0634">
        <w:t> </w:t>
      </w:r>
      <w:r w:rsidR="00865589">
        <w:t>July of the year that they are made</w:t>
      </w:r>
      <w:r w:rsidR="00EF77E8">
        <w:t>.</w:t>
      </w:r>
      <w:r w:rsidR="00683533">
        <w:rPr>
          <w:rFonts w:ascii="ZWAdobeF" w:hAnsi="ZWAdobeF" w:cs="ZWAdobeF"/>
          <w:color w:val="auto"/>
          <w:sz w:val="2"/>
          <w:szCs w:val="2"/>
        </w:rPr>
        <w:t>10F</w:t>
      </w:r>
      <w:r w:rsidR="0017105B">
        <w:rPr>
          <w:rFonts w:ascii="ZWAdobeF" w:hAnsi="ZWAdobeF" w:cs="ZWAdobeF"/>
          <w:color w:val="auto"/>
          <w:sz w:val="2"/>
          <w:szCs w:val="2"/>
        </w:rPr>
        <w:t>10F</w:t>
      </w:r>
      <w:r w:rsidR="00806BC8">
        <w:rPr>
          <w:rStyle w:val="FootnoteReference"/>
        </w:rPr>
        <w:footnoteReference w:id="12"/>
      </w:r>
      <w:r w:rsidR="00EF77E8">
        <w:t xml:space="preserve"> The Tribunal </w:t>
      </w:r>
      <w:r w:rsidR="001545FE">
        <w:t>typically makes</w:t>
      </w:r>
      <w:r w:rsidR="0079395B">
        <w:t xml:space="preserve"> annual adjustment</w:t>
      </w:r>
      <w:r w:rsidR="00145EFC">
        <w:t>s</w:t>
      </w:r>
      <w:r w:rsidR="0079395B">
        <w:t xml:space="preserve"> </w:t>
      </w:r>
      <w:r w:rsidR="00367F56">
        <w:t>for those occupational groups</w:t>
      </w:r>
      <w:r w:rsidR="007D0584">
        <w:t xml:space="preserve"> </w:t>
      </w:r>
      <w:r w:rsidR="002C73A3">
        <w:t>in June.</w:t>
      </w:r>
    </w:p>
    <w:p w14:paraId="1E50DC33" w14:textId="65BAEE6F" w:rsidR="00B32537" w:rsidRDefault="0064357C" w:rsidP="002229FF">
      <w:pPr>
        <w:pStyle w:val="05Paragraph"/>
      </w:pPr>
      <w:r>
        <w:t xml:space="preserve">The Tribunal has </w:t>
      </w:r>
      <w:r w:rsidR="00084F78">
        <w:t>determined that</w:t>
      </w:r>
      <w:r w:rsidR="0010018F">
        <w:t xml:space="preserve"> </w:t>
      </w:r>
      <w:r w:rsidR="009C3BA7">
        <w:t xml:space="preserve">the 2023 </w:t>
      </w:r>
      <w:r w:rsidR="00244F4E">
        <w:t xml:space="preserve">Local Government </w:t>
      </w:r>
      <w:r w:rsidR="009C3BA7">
        <w:t xml:space="preserve">Annual Adjustment </w:t>
      </w:r>
      <w:r w:rsidR="00084F78">
        <w:t>Determination will take effect on 1 July 2023</w:t>
      </w:r>
      <w:r w:rsidR="00F01B00">
        <w:t xml:space="preserve">, </w:t>
      </w:r>
      <w:r w:rsidR="00E01B48">
        <w:t xml:space="preserve">consistent with the arrangements for </w:t>
      </w:r>
      <w:r w:rsidR="00D519D2">
        <w:t>MPs and executives.</w:t>
      </w:r>
    </w:p>
    <w:p w14:paraId="399BB4AB" w14:textId="79912FF2" w:rsidR="00C36887" w:rsidRDefault="00F379CB" w:rsidP="00C36887">
      <w:pPr>
        <w:pStyle w:val="02VIRTHeading2"/>
      </w:pPr>
      <w:bookmarkStart w:id="38" w:name="_Toc139011817"/>
      <w:r>
        <w:t>2</w:t>
      </w:r>
      <w:r w:rsidR="00C36887">
        <w:t>.</w:t>
      </w:r>
      <w:r w:rsidR="00D43D5E">
        <w:t>2</w:t>
      </w:r>
      <w:r w:rsidR="00C36887">
        <w:tab/>
      </w:r>
      <w:r w:rsidR="000858BD">
        <w:t>Adjustment to the value of the b</w:t>
      </w:r>
      <w:r w:rsidR="002B03D1">
        <w:t>ase allowance</w:t>
      </w:r>
      <w:bookmarkEnd w:id="38"/>
    </w:p>
    <w:p w14:paraId="0058130C" w14:textId="205FBE31" w:rsidR="003A629E" w:rsidRDefault="003A629E" w:rsidP="003A629E">
      <w:pPr>
        <w:pStyle w:val="05Paragraph"/>
      </w:pPr>
      <w:r>
        <w:t xml:space="preserve">In determining an adjustment to the values of base allowances, the Tribunal has, as required by legislation, considered a range of information on current and projected economic conditions, the fiscal strategy and financial position of the State of Victoria, the </w:t>
      </w:r>
      <w:r w:rsidR="0055699A">
        <w:t xml:space="preserve">Victorian Public Sector </w:t>
      </w:r>
      <w:r>
        <w:t xml:space="preserve">Wages Policy </w:t>
      </w:r>
      <w:r w:rsidR="0055699A">
        <w:t>(Wages Policy)</w:t>
      </w:r>
      <w:r w:rsidR="006A08D2">
        <w:t xml:space="preserve"> </w:t>
      </w:r>
      <w:r>
        <w:t>and submissions received by the Tribunal.</w:t>
      </w:r>
    </w:p>
    <w:p w14:paraId="4DDF5E4B" w14:textId="27BE379A" w:rsidR="003A629E" w:rsidRPr="00FF0ADA" w:rsidRDefault="003A629E" w:rsidP="006A08D2">
      <w:pPr>
        <w:pStyle w:val="05Paragraph"/>
        <w:keepNext/>
      </w:pPr>
      <w:r w:rsidRPr="00FF0ADA">
        <w:lastRenderedPageBreak/>
        <w:t>The Tribunal has also considered other relevant information, including:</w:t>
      </w:r>
    </w:p>
    <w:p w14:paraId="1782A9D2" w14:textId="2EDA607B" w:rsidR="00CD28D8" w:rsidRPr="00CD28D8" w:rsidRDefault="00CD28D8" w:rsidP="00CD28D8">
      <w:pPr>
        <w:pStyle w:val="06VIRTBulletpoints"/>
      </w:pPr>
      <w:r w:rsidRPr="00CD28D8">
        <w:t>the limited amount of time that has passed since the last annual adjustment</w:t>
      </w:r>
    </w:p>
    <w:p w14:paraId="0AB989A6" w14:textId="5EEF9C7F" w:rsidR="00CD28D8" w:rsidRDefault="00CD28D8" w:rsidP="00CD28D8">
      <w:pPr>
        <w:pStyle w:val="06VIRTBulletpoints"/>
      </w:pPr>
      <w:r w:rsidRPr="00CD28D8">
        <w:t xml:space="preserve">recent adjustments </w:t>
      </w:r>
      <w:r w:rsidR="00D2589C">
        <w:t xml:space="preserve">to allowances </w:t>
      </w:r>
      <w:r w:rsidRPr="00CD28D8">
        <w:t xml:space="preserve">for </w:t>
      </w:r>
      <w:r w:rsidR="00D2589C">
        <w:t>Council members in other</w:t>
      </w:r>
      <w:r w:rsidRPr="00CD28D8">
        <w:t xml:space="preserve"> Australian jurisdictions</w:t>
      </w:r>
    </w:p>
    <w:p w14:paraId="0903C246" w14:textId="3D65E1F3" w:rsidR="005D2ED0" w:rsidRPr="00CD28D8" w:rsidRDefault="005D2ED0" w:rsidP="00CD28D8">
      <w:pPr>
        <w:pStyle w:val="06VIRTBulletpoints"/>
      </w:pPr>
      <w:r>
        <w:t>the Victorian Government’s rate cap for all councils for 2023-24</w:t>
      </w:r>
    </w:p>
    <w:p w14:paraId="0AE26D2A" w14:textId="0ABD4E29" w:rsidR="00CD28D8" w:rsidRPr="00CD28D8" w:rsidRDefault="00CD28D8" w:rsidP="00CD28D8">
      <w:pPr>
        <w:pStyle w:val="06VIRTBulletpoints"/>
      </w:pPr>
      <w:r w:rsidRPr="00CD28D8">
        <w:t>its 2023 Determination of salaries and allowances for MPs</w:t>
      </w:r>
      <w:r w:rsidR="00D756BE">
        <w:t>.</w:t>
      </w:r>
      <w:r w:rsidRPr="00CD28D8">
        <w:t xml:space="preserve">  </w:t>
      </w:r>
    </w:p>
    <w:p w14:paraId="2F9BD2C8" w14:textId="04A3EA8D" w:rsidR="00436E0A" w:rsidRDefault="00436E0A" w:rsidP="00436E0A">
      <w:pPr>
        <w:pStyle w:val="03VIRTHeading3"/>
      </w:pPr>
      <w:r>
        <w:t>Movements in wages</w:t>
      </w:r>
      <w:r w:rsidR="0013069D">
        <w:t xml:space="preserve"> and prices</w:t>
      </w:r>
    </w:p>
    <w:p w14:paraId="354EDC39" w14:textId="79BA6497" w:rsidR="00CA7AD6" w:rsidRDefault="00C31223" w:rsidP="002229FF">
      <w:pPr>
        <w:pStyle w:val="05Paragraph"/>
      </w:pPr>
      <w:r>
        <w:t>Australian Bureau of Statistics</w:t>
      </w:r>
      <w:r w:rsidR="0013069D">
        <w:t xml:space="preserve"> </w:t>
      </w:r>
      <w:r w:rsidR="00A578BE">
        <w:t xml:space="preserve">(ABS) </w:t>
      </w:r>
      <w:r w:rsidR="00464CDA">
        <w:t xml:space="preserve">data on </w:t>
      </w:r>
      <w:r w:rsidR="0013069D">
        <w:t xml:space="preserve">movements in prices </w:t>
      </w:r>
      <w:r w:rsidR="00503818">
        <w:t xml:space="preserve">since </w:t>
      </w:r>
      <w:r w:rsidR="00F13CC4">
        <w:t xml:space="preserve">the </w:t>
      </w:r>
      <w:r w:rsidR="00503818">
        <w:t>ma</w:t>
      </w:r>
      <w:r w:rsidR="00F13CC4">
        <w:t>king of</w:t>
      </w:r>
      <w:r w:rsidR="00503818">
        <w:t xml:space="preserve"> the 2022 </w:t>
      </w:r>
      <w:r w:rsidR="00D52E51">
        <w:t xml:space="preserve">Local Government </w:t>
      </w:r>
      <w:r w:rsidR="00503818">
        <w:t xml:space="preserve">Annual Adjustment Determination show that, </w:t>
      </w:r>
      <w:r w:rsidR="00357328" w:rsidRPr="008351C4">
        <w:t>b</w:t>
      </w:r>
      <w:r w:rsidR="003A4C53" w:rsidRPr="008351C4">
        <w:t xml:space="preserve">etween the </w:t>
      </w:r>
      <w:r w:rsidR="003848F3">
        <w:t>September</w:t>
      </w:r>
      <w:r w:rsidR="003A4C53" w:rsidRPr="008351C4">
        <w:t xml:space="preserve"> quarter 202</w:t>
      </w:r>
      <w:r w:rsidR="00425A5F">
        <w:t>2</w:t>
      </w:r>
      <w:r w:rsidR="003A4C53" w:rsidRPr="008351C4">
        <w:t xml:space="preserve"> and </w:t>
      </w:r>
      <w:r w:rsidR="003848F3">
        <w:t>March</w:t>
      </w:r>
      <w:r w:rsidR="003A4C53" w:rsidRPr="008351C4">
        <w:t xml:space="preserve"> quarter 202</w:t>
      </w:r>
      <w:r w:rsidR="00425A5F">
        <w:t>3</w:t>
      </w:r>
      <w:r w:rsidR="003A4C53" w:rsidRPr="008351C4">
        <w:t>, the Melbourne C</w:t>
      </w:r>
      <w:r>
        <w:t>onsumer Price Index (</w:t>
      </w:r>
      <w:r w:rsidR="003A4C53" w:rsidRPr="008351C4">
        <w:t>CPI</w:t>
      </w:r>
      <w:r>
        <w:t>)</w:t>
      </w:r>
      <w:r w:rsidR="003A4C53" w:rsidRPr="008351C4">
        <w:t xml:space="preserve"> </w:t>
      </w:r>
      <w:r w:rsidR="003848F3">
        <w:t xml:space="preserve">and </w:t>
      </w:r>
      <w:r w:rsidR="008238A6">
        <w:t xml:space="preserve">national </w:t>
      </w:r>
      <w:r w:rsidR="003848F3">
        <w:t xml:space="preserve">trimmed mean </w:t>
      </w:r>
      <w:r w:rsidR="001455E1">
        <w:t xml:space="preserve">inflation </w:t>
      </w:r>
      <w:r w:rsidR="003848F3">
        <w:t xml:space="preserve">both </w:t>
      </w:r>
      <w:r w:rsidR="003A4C53" w:rsidRPr="008351C4">
        <w:t xml:space="preserve">increased by </w:t>
      </w:r>
      <w:r w:rsidR="003848F3">
        <w:t>2.9</w:t>
      </w:r>
      <w:r w:rsidR="003A4C53" w:rsidRPr="008351C4">
        <w:t xml:space="preserve"> per cent</w:t>
      </w:r>
      <w:r w:rsidR="00E9704F">
        <w:t>.</w:t>
      </w:r>
      <w:r w:rsidR="00683533">
        <w:rPr>
          <w:rFonts w:ascii="ZWAdobeF" w:hAnsi="ZWAdobeF" w:cs="ZWAdobeF"/>
          <w:color w:val="auto"/>
          <w:sz w:val="2"/>
          <w:szCs w:val="2"/>
        </w:rPr>
        <w:t>11F</w:t>
      </w:r>
      <w:r w:rsidR="0017105B">
        <w:rPr>
          <w:rFonts w:ascii="ZWAdobeF" w:hAnsi="ZWAdobeF" w:cs="ZWAdobeF"/>
          <w:color w:val="auto"/>
          <w:sz w:val="2"/>
          <w:szCs w:val="2"/>
        </w:rPr>
        <w:t>11F</w:t>
      </w:r>
      <w:r w:rsidR="003A4C53" w:rsidRPr="008351C4">
        <w:rPr>
          <w:rStyle w:val="FootnoteReference"/>
        </w:rPr>
        <w:footnoteReference w:id="13"/>
      </w:r>
      <w:r w:rsidR="00FA1909">
        <w:t xml:space="preserve"> </w:t>
      </w:r>
      <w:r w:rsidR="00E9704F">
        <w:t>With regard to wages</w:t>
      </w:r>
      <w:r w:rsidR="004424DD">
        <w:t xml:space="preserve">, the Tribunal noted that </w:t>
      </w:r>
      <w:r w:rsidR="003A4C53" w:rsidRPr="008351C4" w:rsidDel="00B128DB">
        <w:t>the Victorian W</w:t>
      </w:r>
      <w:r>
        <w:t>age Price Index (</w:t>
      </w:r>
      <w:r w:rsidR="003A4C53" w:rsidRPr="008351C4" w:rsidDel="00B128DB">
        <w:t>WPI</w:t>
      </w:r>
      <w:r>
        <w:t>)</w:t>
      </w:r>
      <w:r w:rsidR="003A4C53" w:rsidRPr="008351C4" w:rsidDel="00B128DB">
        <w:t xml:space="preserve"> increased by </w:t>
      </w:r>
      <w:r w:rsidR="008B3126">
        <w:t>1.5</w:t>
      </w:r>
      <w:r w:rsidR="003A4C53" w:rsidRPr="008351C4" w:rsidDel="00B128DB">
        <w:t xml:space="preserve"> per cent.</w:t>
      </w:r>
      <w:r w:rsidR="00683533">
        <w:rPr>
          <w:rFonts w:ascii="ZWAdobeF" w:hAnsi="ZWAdobeF" w:cs="ZWAdobeF"/>
          <w:color w:val="auto"/>
          <w:sz w:val="2"/>
          <w:szCs w:val="2"/>
        </w:rPr>
        <w:t>12F</w:t>
      </w:r>
      <w:r w:rsidR="0017105B">
        <w:rPr>
          <w:rFonts w:ascii="ZWAdobeF" w:hAnsi="ZWAdobeF" w:cs="ZWAdobeF"/>
          <w:color w:val="auto"/>
          <w:sz w:val="2"/>
          <w:szCs w:val="2"/>
        </w:rPr>
        <w:t>12F</w:t>
      </w:r>
      <w:r w:rsidR="003A4C53" w:rsidRPr="008351C4" w:rsidDel="00B128DB">
        <w:rPr>
          <w:rStyle w:val="FootnoteReference"/>
        </w:rPr>
        <w:footnoteReference w:id="14"/>
      </w:r>
    </w:p>
    <w:p w14:paraId="6C6CF63E" w14:textId="0C04B2EC" w:rsidR="003A4C53" w:rsidRPr="008351C4" w:rsidRDefault="0099260C" w:rsidP="002229FF">
      <w:pPr>
        <w:pStyle w:val="05Paragraph"/>
      </w:pPr>
      <w:r>
        <w:t xml:space="preserve">The </w:t>
      </w:r>
      <w:r w:rsidRPr="00C31223">
        <w:rPr>
          <w:i/>
        </w:rPr>
        <w:t xml:space="preserve">Victorian Budget </w:t>
      </w:r>
      <w:r w:rsidR="00C31223" w:rsidRPr="00C31223">
        <w:rPr>
          <w:i/>
          <w:iCs/>
        </w:rPr>
        <w:t>2023/24</w:t>
      </w:r>
      <w:r w:rsidR="00F03ABF">
        <w:rPr>
          <w:i/>
          <w:iCs/>
        </w:rPr>
        <w:t xml:space="preserve"> </w:t>
      </w:r>
      <w:r w:rsidR="00F03ABF">
        <w:t>(Victorian Budget)</w:t>
      </w:r>
      <w:r w:rsidR="00C31223">
        <w:t xml:space="preserve">, released in May 2023, </w:t>
      </w:r>
      <w:r>
        <w:t xml:space="preserve">forecast growth in the Melbourne CPI </w:t>
      </w:r>
      <w:r w:rsidR="00F70B4D">
        <w:t xml:space="preserve">and Victorian </w:t>
      </w:r>
      <w:r w:rsidR="00CA7AD6">
        <w:t xml:space="preserve">WPI </w:t>
      </w:r>
      <w:r w:rsidR="00B662CC">
        <w:t>to</w:t>
      </w:r>
      <w:r>
        <w:t xml:space="preserve"> average 4.25 per cent </w:t>
      </w:r>
      <w:r w:rsidR="00F70B4D">
        <w:t>and 3.5</w:t>
      </w:r>
      <w:r w:rsidR="001455E1">
        <w:t> </w:t>
      </w:r>
      <w:r w:rsidR="00F70B4D">
        <w:t>per</w:t>
      </w:r>
      <w:r w:rsidR="001F55D0">
        <w:t> </w:t>
      </w:r>
      <w:r w:rsidR="00F70B4D">
        <w:t xml:space="preserve">cent, respectively, </w:t>
      </w:r>
      <w:r>
        <w:t>in 2023</w:t>
      </w:r>
      <w:r>
        <w:noBreakHyphen/>
        <w:t>24</w:t>
      </w:r>
      <w:r w:rsidR="00F70B4D">
        <w:t>.</w:t>
      </w:r>
      <w:r w:rsidR="00683533">
        <w:rPr>
          <w:rFonts w:ascii="ZWAdobeF" w:hAnsi="ZWAdobeF" w:cs="ZWAdobeF"/>
          <w:color w:val="auto"/>
          <w:sz w:val="2"/>
          <w:szCs w:val="2"/>
        </w:rPr>
        <w:t>13F</w:t>
      </w:r>
      <w:r w:rsidR="0017105B">
        <w:rPr>
          <w:rFonts w:ascii="ZWAdobeF" w:hAnsi="ZWAdobeF" w:cs="ZWAdobeF"/>
          <w:color w:val="auto"/>
          <w:sz w:val="2"/>
          <w:szCs w:val="2"/>
        </w:rPr>
        <w:t>13F</w:t>
      </w:r>
      <w:r w:rsidR="00AB542B">
        <w:rPr>
          <w:rStyle w:val="FootnoteReference"/>
        </w:rPr>
        <w:footnoteReference w:id="15"/>
      </w:r>
      <w:r>
        <w:t xml:space="preserve"> </w:t>
      </w:r>
      <w:r w:rsidR="00FA1909">
        <w:t>The</w:t>
      </w:r>
      <w:r>
        <w:t xml:space="preserve"> </w:t>
      </w:r>
      <w:r w:rsidR="00C31223">
        <w:t xml:space="preserve">Reserve Bank of </w:t>
      </w:r>
      <w:r w:rsidR="00E16BA6">
        <w:t>Australia</w:t>
      </w:r>
      <w:r>
        <w:t xml:space="preserve"> </w:t>
      </w:r>
      <w:r w:rsidR="00F03ABF">
        <w:t>(RBA)</w:t>
      </w:r>
      <w:r>
        <w:t xml:space="preserve"> expects</w:t>
      </w:r>
      <w:r w:rsidRPr="00AB6CA7">
        <w:t xml:space="preserve"> </w:t>
      </w:r>
      <w:r>
        <w:t>national underlying</w:t>
      </w:r>
      <w:r w:rsidRPr="00AB6CA7">
        <w:t xml:space="preserve"> inflation </w:t>
      </w:r>
      <w:r>
        <w:t>to</w:t>
      </w:r>
      <w:r w:rsidRPr="00AB6CA7">
        <w:t xml:space="preserve"> be</w:t>
      </w:r>
      <w:r>
        <w:t xml:space="preserve"> around 4</w:t>
      </w:r>
      <w:r w:rsidRPr="00AB6CA7">
        <w:t xml:space="preserve"> per cent </w:t>
      </w:r>
      <w:r>
        <w:t>over</w:t>
      </w:r>
      <w:r w:rsidRPr="00AB6CA7">
        <w:t xml:space="preserve"> 2023</w:t>
      </w:r>
      <w:r>
        <w:t>.</w:t>
      </w:r>
      <w:r w:rsidR="00683533">
        <w:rPr>
          <w:rFonts w:ascii="ZWAdobeF" w:hAnsi="ZWAdobeF" w:cs="ZWAdobeF"/>
          <w:color w:val="auto"/>
          <w:sz w:val="2"/>
          <w:szCs w:val="2"/>
        </w:rPr>
        <w:t>14F</w:t>
      </w:r>
      <w:r w:rsidR="0017105B">
        <w:rPr>
          <w:rFonts w:ascii="ZWAdobeF" w:hAnsi="ZWAdobeF" w:cs="ZWAdobeF"/>
          <w:color w:val="auto"/>
          <w:sz w:val="2"/>
          <w:szCs w:val="2"/>
        </w:rPr>
        <w:t>14F</w:t>
      </w:r>
      <w:r w:rsidR="00BC55C3">
        <w:rPr>
          <w:rStyle w:val="FootnoteReference"/>
        </w:rPr>
        <w:footnoteReference w:id="16"/>
      </w:r>
    </w:p>
    <w:p w14:paraId="575661E7" w14:textId="693E933E" w:rsidR="00BB7083" w:rsidRDefault="00BB7083" w:rsidP="00543D95">
      <w:pPr>
        <w:pStyle w:val="03VIRTHeading3"/>
      </w:pPr>
      <w:r>
        <w:t>Economic growth</w:t>
      </w:r>
    </w:p>
    <w:p w14:paraId="6049262A" w14:textId="0E513E66" w:rsidR="00A54459" w:rsidRDefault="00A54459" w:rsidP="00A54459">
      <w:pPr>
        <w:pStyle w:val="05Paragraph"/>
      </w:pPr>
      <w:r w:rsidRPr="00A54459">
        <w:t>Australia’s</w:t>
      </w:r>
      <w:r w:rsidR="002211B3">
        <w:t xml:space="preserve"> real</w:t>
      </w:r>
      <w:r w:rsidRPr="00A54459">
        <w:t xml:space="preserve"> </w:t>
      </w:r>
      <w:r w:rsidR="00C31223">
        <w:t>Gross Domestic Product (</w:t>
      </w:r>
      <w:r w:rsidRPr="00A54459">
        <w:t>GDP</w:t>
      </w:r>
      <w:r w:rsidR="00C31223">
        <w:t>)</w:t>
      </w:r>
      <w:r w:rsidRPr="00A54459">
        <w:t xml:space="preserve"> rose 0.2 per cent in the March quarter 2023, the lowest growth since the </w:t>
      </w:r>
      <w:r w:rsidR="00711834">
        <w:t>September</w:t>
      </w:r>
      <w:r w:rsidRPr="00A54459">
        <w:t xml:space="preserve"> quarter 20</w:t>
      </w:r>
      <w:r w:rsidR="00711834">
        <w:t xml:space="preserve">21, where the economy contracted due to the impact of COVID-19 lockdowns. </w:t>
      </w:r>
      <w:r w:rsidRPr="00A54459">
        <w:t xml:space="preserve">Household </w:t>
      </w:r>
      <w:r w:rsidR="00F458F4">
        <w:t>consumption</w:t>
      </w:r>
      <w:r w:rsidR="00E87B9E">
        <w:t xml:space="preserve"> </w:t>
      </w:r>
      <w:r w:rsidRPr="00A54459">
        <w:t xml:space="preserve">rose by 0.2 per cent in the quarter, with discretionary spending down </w:t>
      </w:r>
      <w:r w:rsidR="00272009">
        <w:t>1</w:t>
      </w:r>
      <w:r w:rsidR="006F08DF">
        <w:t> </w:t>
      </w:r>
      <w:r w:rsidRPr="00A54459">
        <w:t>per cent due to the impact of cost-of-living pressures.</w:t>
      </w:r>
      <w:r w:rsidR="00683533">
        <w:rPr>
          <w:rFonts w:ascii="ZWAdobeF" w:hAnsi="ZWAdobeF" w:cs="ZWAdobeF"/>
          <w:color w:val="auto"/>
          <w:sz w:val="2"/>
          <w:szCs w:val="2"/>
        </w:rPr>
        <w:t>15F</w:t>
      </w:r>
      <w:r w:rsidR="0017105B">
        <w:rPr>
          <w:rFonts w:ascii="ZWAdobeF" w:hAnsi="ZWAdobeF" w:cs="ZWAdobeF"/>
          <w:color w:val="auto"/>
          <w:sz w:val="2"/>
          <w:szCs w:val="2"/>
        </w:rPr>
        <w:t>15F</w:t>
      </w:r>
      <w:r w:rsidRPr="00A54459">
        <w:rPr>
          <w:rStyle w:val="FootnoteReference"/>
        </w:rPr>
        <w:footnoteReference w:id="17"/>
      </w:r>
      <w:r w:rsidRPr="00A54459">
        <w:t xml:space="preserve"> In year-ended terms, </w:t>
      </w:r>
      <w:r w:rsidR="00B747DA">
        <w:t xml:space="preserve">the RBA forecast </w:t>
      </w:r>
      <w:r w:rsidR="002211B3">
        <w:t xml:space="preserve">real </w:t>
      </w:r>
      <w:r w:rsidRPr="00A54459">
        <w:t>GDP growth to slow to around 1.5 per cent over 2023-24, as rising interest rates and cost-of-living pressure weigh on economic activity.</w:t>
      </w:r>
      <w:r w:rsidR="00683533">
        <w:rPr>
          <w:rFonts w:ascii="ZWAdobeF" w:hAnsi="ZWAdobeF" w:cs="ZWAdobeF"/>
          <w:color w:val="auto"/>
          <w:sz w:val="2"/>
          <w:szCs w:val="2"/>
        </w:rPr>
        <w:t>16F</w:t>
      </w:r>
      <w:r w:rsidR="0017105B">
        <w:rPr>
          <w:rFonts w:ascii="ZWAdobeF" w:hAnsi="ZWAdobeF" w:cs="ZWAdobeF"/>
          <w:color w:val="auto"/>
          <w:sz w:val="2"/>
          <w:szCs w:val="2"/>
        </w:rPr>
        <w:t>16F</w:t>
      </w:r>
      <w:r w:rsidRPr="00A54459">
        <w:rPr>
          <w:rStyle w:val="FootnoteReference"/>
        </w:rPr>
        <w:footnoteReference w:id="18"/>
      </w:r>
      <w:r w:rsidRPr="00A54459">
        <w:t xml:space="preserve"> In year-average terms, the Victorian economy is also forecast to grow by around 1.50 per cent over 2023-24.</w:t>
      </w:r>
      <w:r w:rsidR="00683533">
        <w:rPr>
          <w:rFonts w:ascii="ZWAdobeF" w:hAnsi="ZWAdobeF" w:cs="ZWAdobeF"/>
          <w:color w:val="auto"/>
          <w:sz w:val="2"/>
          <w:szCs w:val="2"/>
        </w:rPr>
        <w:t>17F</w:t>
      </w:r>
      <w:r w:rsidR="0017105B">
        <w:rPr>
          <w:rFonts w:ascii="ZWAdobeF" w:hAnsi="ZWAdobeF" w:cs="ZWAdobeF"/>
          <w:color w:val="auto"/>
          <w:sz w:val="2"/>
          <w:szCs w:val="2"/>
        </w:rPr>
        <w:t>17F</w:t>
      </w:r>
      <w:r w:rsidRPr="00A54459">
        <w:rPr>
          <w:rStyle w:val="FootnoteReference"/>
        </w:rPr>
        <w:footnoteReference w:id="19"/>
      </w:r>
    </w:p>
    <w:p w14:paraId="7E576C07" w14:textId="30B97F53" w:rsidR="00543D95" w:rsidRDefault="00543D95" w:rsidP="00543D95">
      <w:pPr>
        <w:pStyle w:val="03VIRTHeading3"/>
      </w:pPr>
      <w:r>
        <w:lastRenderedPageBreak/>
        <w:t>Financial position and fiscal strategy of the State of Victoria</w:t>
      </w:r>
    </w:p>
    <w:p w14:paraId="1F684623" w14:textId="1720C31F" w:rsidR="00543D95" w:rsidRDefault="00FA1909" w:rsidP="002229FF">
      <w:pPr>
        <w:pStyle w:val="05Paragraph"/>
      </w:pPr>
      <w:r>
        <w:t>The</w:t>
      </w:r>
      <w:r w:rsidR="00543D95">
        <w:t xml:space="preserve"> </w:t>
      </w:r>
      <w:r>
        <w:t xml:space="preserve">Victorian </w:t>
      </w:r>
      <w:r w:rsidR="00543D95">
        <w:t>general government sector recorded an operating deficit of</w:t>
      </w:r>
      <w:r>
        <w:t> </w:t>
      </w:r>
      <w:r w:rsidR="00543D95">
        <w:t>$2.9</w:t>
      </w:r>
      <w:r>
        <w:t> </w:t>
      </w:r>
      <w:r w:rsidR="00543D95">
        <w:t>billion for the nine months to 31 March 2023.</w:t>
      </w:r>
      <w:r w:rsidR="00683533">
        <w:rPr>
          <w:rFonts w:ascii="ZWAdobeF" w:hAnsi="ZWAdobeF" w:cs="ZWAdobeF"/>
          <w:color w:val="auto"/>
          <w:sz w:val="2"/>
          <w:szCs w:val="2"/>
        </w:rPr>
        <w:t>18F</w:t>
      </w:r>
      <w:r w:rsidR="0017105B">
        <w:rPr>
          <w:rFonts w:ascii="ZWAdobeF" w:hAnsi="ZWAdobeF" w:cs="ZWAdobeF"/>
          <w:color w:val="auto"/>
          <w:sz w:val="2"/>
          <w:szCs w:val="2"/>
        </w:rPr>
        <w:t>18F</w:t>
      </w:r>
      <w:r w:rsidR="002029EF">
        <w:rPr>
          <w:rStyle w:val="FootnoteReference"/>
        </w:rPr>
        <w:footnoteReference w:id="20"/>
      </w:r>
      <w:r w:rsidR="00543D95">
        <w:t xml:space="preserve"> Net debt is forecast to increase to around $171 billion by June 2027. The Victorian Budget reiterated the Government’s four-step fiscal strategy: creating jobs, reducing unemployment and restoring economic growth; returning to an operating cash surplus; returning to operating surpluses; and stabilising debt levels.</w:t>
      </w:r>
      <w:r w:rsidR="00683533">
        <w:rPr>
          <w:rFonts w:ascii="ZWAdobeF" w:hAnsi="ZWAdobeF" w:cs="ZWAdobeF"/>
          <w:color w:val="auto"/>
          <w:sz w:val="2"/>
          <w:szCs w:val="2"/>
        </w:rPr>
        <w:t>19F</w:t>
      </w:r>
      <w:r w:rsidR="0017105B">
        <w:rPr>
          <w:rFonts w:ascii="ZWAdobeF" w:hAnsi="ZWAdobeF" w:cs="ZWAdobeF"/>
          <w:color w:val="auto"/>
          <w:sz w:val="2"/>
          <w:szCs w:val="2"/>
        </w:rPr>
        <w:t>19F</w:t>
      </w:r>
      <w:r w:rsidR="00E015DA">
        <w:rPr>
          <w:rStyle w:val="FootnoteReference"/>
        </w:rPr>
        <w:footnoteReference w:id="21"/>
      </w:r>
    </w:p>
    <w:p w14:paraId="4D6326DB" w14:textId="4EF48805" w:rsidR="00301C4E" w:rsidRDefault="00301C4E" w:rsidP="00301C4E">
      <w:pPr>
        <w:pStyle w:val="03VIRTHeading3"/>
      </w:pPr>
      <w:r>
        <w:t>Wages Policy</w:t>
      </w:r>
    </w:p>
    <w:p w14:paraId="198C188F" w14:textId="5EEA4B3C" w:rsidR="00301C4E" w:rsidRDefault="00301C4E" w:rsidP="002229FF">
      <w:pPr>
        <w:pStyle w:val="05Paragraph"/>
      </w:pPr>
      <w:r>
        <w:t xml:space="preserve">The </w:t>
      </w:r>
      <w:r w:rsidR="00FA1909">
        <w:t>Victorian Government’s</w:t>
      </w:r>
      <w:r w:rsidRPr="00842730">
        <w:t xml:space="preserve"> Wages Policy</w:t>
      </w:r>
      <w:r>
        <w:t xml:space="preserve"> provides for increases to wages and conditions under public sector enterprise agreements to be funded at a rate of growth of 3 per cent per annum. In addition to </w:t>
      </w:r>
      <w:r w:rsidR="00FA1909">
        <w:t xml:space="preserve">these </w:t>
      </w:r>
      <w:r>
        <w:t>annual wage increases, a</w:t>
      </w:r>
      <w:r w:rsidR="00C36158">
        <w:t xml:space="preserve"> separate</w:t>
      </w:r>
      <w:r>
        <w:t xml:space="preserve"> lump sum cash payment equal to 0.5 per cent of overall agreement costs </w:t>
      </w:r>
      <w:r w:rsidR="00FA1909">
        <w:t>is</w:t>
      </w:r>
      <w:r>
        <w:t xml:space="preserve"> available.</w:t>
      </w:r>
      <w:r w:rsidR="00683533">
        <w:rPr>
          <w:rFonts w:ascii="ZWAdobeF" w:hAnsi="ZWAdobeF" w:cs="ZWAdobeF"/>
          <w:color w:val="auto"/>
          <w:sz w:val="2"/>
          <w:szCs w:val="2"/>
        </w:rPr>
        <w:t>20F</w:t>
      </w:r>
      <w:r w:rsidR="0017105B">
        <w:rPr>
          <w:rFonts w:ascii="ZWAdobeF" w:hAnsi="ZWAdobeF" w:cs="ZWAdobeF"/>
          <w:color w:val="auto"/>
          <w:sz w:val="2"/>
          <w:szCs w:val="2"/>
        </w:rPr>
        <w:t>20F</w:t>
      </w:r>
      <w:r w:rsidR="00C36158">
        <w:rPr>
          <w:rStyle w:val="FootnoteReference"/>
        </w:rPr>
        <w:footnoteReference w:id="22"/>
      </w:r>
    </w:p>
    <w:p w14:paraId="76B43C82" w14:textId="3FEEF0BF" w:rsidR="000A0874" w:rsidRDefault="000A0874" w:rsidP="000A0874">
      <w:pPr>
        <w:pStyle w:val="03VIRTHeading3"/>
      </w:pPr>
      <w:r>
        <w:t>Annual</w:t>
      </w:r>
      <w:r w:rsidRPr="00872EF8">
        <w:t xml:space="preserve"> Wage </w:t>
      </w:r>
      <w:r>
        <w:t xml:space="preserve">Review </w:t>
      </w:r>
      <w:r w:rsidRPr="00872EF8">
        <w:t>Decision</w:t>
      </w:r>
      <w:r w:rsidR="00EC3B8D">
        <w:t xml:space="preserve"> 2022-23</w:t>
      </w:r>
    </w:p>
    <w:p w14:paraId="0A54EA7C" w14:textId="5D5527DE" w:rsidR="000A0874" w:rsidRDefault="000A0874" w:rsidP="000A0874">
      <w:pPr>
        <w:pStyle w:val="05Paragraph"/>
      </w:pPr>
      <w:r w:rsidRPr="00664E33">
        <w:t>The</w:t>
      </w:r>
      <w:r>
        <w:t xml:space="preserve"> Fair Work Commission’s </w:t>
      </w:r>
      <w:r w:rsidR="00B447A8">
        <w:t xml:space="preserve">(FWC) </w:t>
      </w:r>
      <w:r w:rsidRPr="00664E33">
        <w:rPr>
          <w:i/>
          <w:iCs/>
        </w:rPr>
        <w:t xml:space="preserve">Annual Wage Review </w:t>
      </w:r>
      <w:r w:rsidR="00EC3B8D">
        <w:rPr>
          <w:i/>
          <w:iCs/>
        </w:rPr>
        <w:t>2022-23</w:t>
      </w:r>
      <w:r>
        <w:t xml:space="preserve"> </w:t>
      </w:r>
      <w:r w:rsidR="001F026A">
        <w:t>dec</w:t>
      </w:r>
      <w:r w:rsidR="00C523F4">
        <w:t>i</w:t>
      </w:r>
      <w:r w:rsidR="001F026A">
        <w:t>sion</w:t>
      </w:r>
      <w:r w:rsidR="00C523F4">
        <w:t xml:space="preserve"> </w:t>
      </w:r>
      <w:r>
        <w:t xml:space="preserve">increased the National Minimum Wage </w:t>
      </w:r>
      <w:r w:rsidR="001C5533">
        <w:t xml:space="preserve">(NMW) </w:t>
      </w:r>
      <w:r>
        <w:t>by 8.6 per cent and modern award minimum wages by 5.75 per cent with effect from 1 July 2023.</w:t>
      </w:r>
      <w:r w:rsidR="00683533">
        <w:rPr>
          <w:rFonts w:ascii="ZWAdobeF" w:hAnsi="ZWAdobeF" w:cs="ZWAdobeF"/>
          <w:color w:val="auto"/>
          <w:sz w:val="2"/>
          <w:szCs w:val="2"/>
        </w:rPr>
        <w:t>21F</w:t>
      </w:r>
      <w:r w:rsidR="0017105B">
        <w:rPr>
          <w:rFonts w:ascii="ZWAdobeF" w:hAnsi="ZWAdobeF" w:cs="ZWAdobeF"/>
          <w:color w:val="auto"/>
          <w:sz w:val="2"/>
          <w:szCs w:val="2"/>
        </w:rPr>
        <w:t>21F</w:t>
      </w:r>
      <w:r w:rsidR="00C36158">
        <w:rPr>
          <w:rStyle w:val="FootnoteReference"/>
        </w:rPr>
        <w:footnoteReference w:id="23"/>
      </w:r>
    </w:p>
    <w:p w14:paraId="21741F1B" w14:textId="0F35DFE5" w:rsidR="00543D95" w:rsidRDefault="0008240A" w:rsidP="00543D95">
      <w:pPr>
        <w:pStyle w:val="03VIRTHeading3"/>
      </w:pPr>
      <w:r>
        <w:t>A</w:t>
      </w:r>
      <w:r w:rsidR="00543D95">
        <w:t xml:space="preserve">djustments </w:t>
      </w:r>
      <w:r>
        <w:t xml:space="preserve">to allowances </w:t>
      </w:r>
      <w:r w:rsidR="000858BD">
        <w:t>in other jurisdictions</w:t>
      </w:r>
    </w:p>
    <w:p w14:paraId="7D097E26" w14:textId="25EEBE33" w:rsidR="00543D95" w:rsidRPr="008351C4" w:rsidRDefault="00543D95" w:rsidP="00543D95">
      <w:pPr>
        <w:pStyle w:val="05Paragraph"/>
      </w:pPr>
      <w:r w:rsidRPr="008351C4">
        <w:t>Table </w:t>
      </w:r>
      <w:r w:rsidR="00FC0D23">
        <w:t>2</w:t>
      </w:r>
      <w:r w:rsidRPr="008351C4">
        <w:t>.1</w:t>
      </w:r>
      <w:r>
        <w:t xml:space="preserve"> summarises the adjustments that have been made to allowances for Council members in other Australian jurisdictions in 2023</w:t>
      </w:r>
      <w:r w:rsidR="00C30648">
        <w:t>, where available</w:t>
      </w:r>
      <w:r w:rsidRPr="008351C4">
        <w:t>.</w:t>
      </w:r>
      <w:r w:rsidR="00995D11">
        <w:t xml:space="preserve"> </w:t>
      </w:r>
      <w:r w:rsidR="00C30648">
        <w:t>The data show only small adjustments</w:t>
      </w:r>
      <w:r w:rsidRPr="008351C4">
        <w:t>.</w:t>
      </w:r>
    </w:p>
    <w:p w14:paraId="164F03EC" w14:textId="77777777" w:rsidR="004A4D7A" w:rsidRDefault="004A4D7A" w:rsidP="008833FA">
      <w:pPr>
        <w:pStyle w:val="08Figuretableboxheading"/>
      </w:pPr>
      <w:r>
        <w:br w:type="page"/>
      </w:r>
    </w:p>
    <w:p w14:paraId="7039815F" w14:textId="77125B8C" w:rsidR="00543D95" w:rsidRPr="008351C4" w:rsidRDefault="00543D95" w:rsidP="00543D95">
      <w:pPr>
        <w:pStyle w:val="08Figuretableboxheading"/>
      </w:pPr>
      <w:r w:rsidRPr="008351C4">
        <w:lastRenderedPageBreak/>
        <w:t xml:space="preserve">Table </w:t>
      </w:r>
      <w:r w:rsidR="00F379CB">
        <w:t>2</w:t>
      </w:r>
      <w:r w:rsidRPr="008351C4">
        <w:t>.1: Adjustments to allowances for Council members in other Australian jurisdictions</w:t>
      </w:r>
    </w:p>
    <w:tbl>
      <w:tblPr>
        <w:tblStyle w:val="ListTable3-Accent21"/>
        <w:tblW w:w="8500" w:type="dxa"/>
        <w:tblInd w:w="5" w:type="dxa"/>
        <w:tblLook w:val="04A0" w:firstRow="1" w:lastRow="0" w:firstColumn="1" w:lastColumn="0" w:noHBand="0" w:noVBand="1"/>
      </w:tblPr>
      <w:tblGrid>
        <w:gridCol w:w="2880"/>
        <w:gridCol w:w="5620"/>
      </w:tblGrid>
      <w:tr w:rsidR="00543D95" w:rsidRPr="00C71CCB" w14:paraId="0AFA2CDC" w14:textId="77777777" w:rsidTr="00504E6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80" w:type="dxa"/>
            <w:tcBorders>
              <w:top w:val="single" w:sz="4" w:space="0" w:color="148A5D" w:themeColor="accent2"/>
              <w:bottom w:val="single" w:sz="4" w:space="0" w:color="148A5D"/>
            </w:tcBorders>
            <w:shd w:val="clear" w:color="auto" w:fill="auto"/>
          </w:tcPr>
          <w:p w14:paraId="6925063B" w14:textId="77777777" w:rsidR="00543D95" w:rsidRPr="00504E62" w:rsidRDefault="00543D95">
            <w:pPr>
              <w:pStyle w:val="10Tabletext"/>
              <w:rPr>
                <w:rFonts w:ascii="Calibri" w:hAnsi="Calibri" w:cs="Calibri"/>
                <w:color w:val="auto"/>
                <w:vertAlign w:val="superscript"/>
              </w:rPr>
            </w:pPr>
            <w:r w:rsidRPr="00504E62">
              <w:rPr>
                <w:rFonts w:ascii="Calibri" w:hAnsi="Calibri" w:cs="Calibri"/>
                <w:color w:val="auto"/>
              </w:rPr>
              <w:t>Jurisdiction</w:t>
            </w:r>
          </w:p>
        </w:tc>
        <w:tc>
          <w:tcPr>
            <w:tcW w:w="5620" w:type="dxa"/>
            <w:tcBorders>
              <w:top w:val="single" w:sz="4" w:space="0" w:color="148A5D" w:themeColor="accent2"/>
              <w:bottom w:val="single" w:sz="4" w:space="0" w:color="148A5D"/>
            </w:tcBorders>
            <w:shd w:val="clear" w:color="auto" w:fill="auto"/>
          </w:tcPr>
          <w:p w14:paraId="4C6CF4DA" w14:textId="77777777" w:rsidR="00543D95" w:rsidRPr="00504E62" w:rsidRDefault="00543D95">
            <w:pPr>
              <w:pStyle w:val="10Tabletext"/>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504E62">
              <w:rPr>
                <w:rFonts w:ascii="Calibri" w:hAnsi="Calibri" w:cs="Calibri"/>
                <w:color w:val="auto"/>
              </w:rPr>
              <w:t>Adjustment from 1 July 2023 (unless otherwise stated) (%)</w:t>
            </w:r>
          </w:p>
        </w:tc>
      </w:tr>
      <w:tr w:rsidR="00543D95" w:rsidRPr="00C71CCB" w14:paraId="63BE0B1D" w14:textId="77777777" w:rsidTr="00504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3A97A959" w14:textId="77777777" w:rsidR="00543D95" w:rsidRPr="00C71CCB" w:rsidRDefault="00543D95">
            <w:pPr>
              <w:pStyle w:val="10Tabletext"/>
              <w:rPr>
                <w:rFonts w:ascii="Calibri" w:hAnsi="Calibri" w:cs="Calibri"/>
              </w:rPr>
            </w:pPr>
            <w:r w:rsidRPr="00C71CCB">
              <w:rPr>
                <w:rFonts w:ascii="Calibri" w:hAnsi="Calibri" w:cs="Calibri"/>
              </w:rPr>
              <w:t>New South Wales</w:t>
            </w:r>
          </w:p>
        </w:tc>
        <w:tc>
          <w:tcPr>
            <w:tcW w:w="5620" w:type="dxa"/>
            <w:vAlign w:val="center"/>
          </w:tcPr>
          <w:p w14:paraId="6748825D" w14:textId="611C86DC" w:rsidR="00543D95" w:rsidRPr="00C71CCB" w:rsidRDefault="0083317E">
            <w:pPr>
              <w:pStyle w:val="10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C71CCB">
              <w:rPr>
                <w:rFonts w:ascii="Calibri" w:hAnsi="Calibri" w:cs="Calibri"/>
              </w:rPr>
              <w:t>3</w:t>
            </w:r>
          </w:p>
        </w:tc>
      </w:tr>
      <w:tr w:rsidR="00543D95" w:rsidRPr="00C71CCB" w14:paraId="0267A202" w14:textId="77777777">
        <w:tc>
          <w:tcPr>
            <w:cnfStyle w:val="001000000000" w:firstRow="0" w:lastRow="0" w:firstColumn="1" w:lastColumn="0" w:oddVBand="0" w:evenVBand="0" w:oddHBand="0" w:evenHBand="0" w:firstRowFirstColumn="0" w:firstRowLastColumn="0" w:lastRowFirstColumn="0" w:lastRowLastColumn="0"/>
            <w:tcW w:w="2880" w:type="dxa"/>
            <w:vAlign w:val="center"/>
          </w:tcPr>
          <w:p w14:paraId="0CBD55DE" w14:textId="77777777" w:rsidR="00543D95" w:rsidRPr="00C71CCB" w:rsidRDefault="00543D95">
            <w:pPr>
              <w:pStyle w:val="10Tabletext"/>
              <w:rPr>
                <w:rFonts w:ascii="Calibri" w:hAnsi="Calibri" w:cs="Calibri"/>
              </w:rPr>
            </w:pPr>
            <w:r w:rsidRPr="00C71CCB">
              <w:rPr>
                <w:rFonts w:ascii="Calibri" w:hAnsi="Calibri" w:cs="Calibri"/>
              </w:rPr>
              <w:t>Queensland</w:t>
            </w:r>
          </w:p>
        </w:tc>
        <w:tc>
          <w:tcPr>
            <w:tcW w:w="5620" w:type="dxa"/>
            <w:vAlign w:val="center"/>
          </w:tcPr>
          <w:p w14:paraId="5693E290" w14:textId="77777777" w:rsidR="00543D95" w:rsidRPr="00C71CCB" w:rsidRDefault="00543D95">
            <w:pPr>
              <w:pStyle w:val="10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C71CCB">
              <w:rPr>
                <w:rFonts w:ascii="Calibri" w:hAnsi="Calibri" w:cs="Calibri"/>
              </w:rPr>
              <w:t>3 – 4</w:t>
            </w:r>
            <w:r w:rsidRPr="00C71CCB">
              <w:rPr>
                <w:rFonts w:ascii="Calibri" w:hAnsi="Calibri" w:cs="Calibri"/>
                <w:vertAlign w:val="superscript"/>
              </w:rPr>
              <w:t>(a)</w:t>
            </w:r>
          </w:p>
        </w:tc>
      </w:tr>
      <w:tr w:rsidR="00543D95" w:rsidRPr="00C71CCB" w14:paraId="428E895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5CBEC539" w14:textId="77777777" w:rsidR="00543D95" w:rsidRPr="00C71CCB" w:rsidRDefault="00543D95">
            <w:pPr>
              <w:pStyle w:val="10Tabletext"/>
              <w:rPr>
                <w:rFonts w:ascii="Calibri" w:hAnsi="Calibri" w:cs="Calibri"/>
              </w:rPr>
            </w:pPr>
            <w:r w:rsidRPr="00C71CCB">
              <w:rPr>
                <w:rFonts w:ascii="Calibri" w:hAnsi="Calibri" w:cs="Calibri"/>
              </w:rPr>
              <w:t>South Australia</w:t>
            </w:r>
          </w:p>
        </w:tc>
        <w:tc>
          <w:tcPr>
            <w:tcW w:w="5620" w:type="dxa"/>
            <w:vAlign w:val="center"/>
          </w:tcPr>
          <w:p w14:paraId="1DA0F2C7" w14:textId="77777777" w:rsidR="00543D95" w:rsidRPr="00C71CCB" w:rsidRDefault="00543D95">
            <w:pPr>
              <w:pStyle w:val="10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C71CCB">
              <w:rPr>
                <w:rFonts w:ascii="Calibri" w:hAnsi="Calibri" w:cs="Calibri"/>
              </w:rPr>
              <w:t>TBA</w:t>
            </w:r>
            <w:r w:rsidRPr="00C71CCB">
              <w:rPr>
                <w:rFonts w:ascii="Calibri" w:hAnsi="Calibri" w:cs="Calibri"/>
                <w:vertAlign w:val="superscript"/>
              </w:rPr>
              <w:t>(b)</w:t>
            </w:r>
          </w:p>
        </w:tc>
      </w:tr>
      <w:tr w:rsidR="00543D95" w:rsidRPr="00C71CCB" w14:paraId="2A4D27BE" w14:textId="77777777">
        <w:tc>
          <w:tcPr>
            <w:cnfStyle w:val="001000000000" w:firstRow="0" w:lastRow="0" w:firstColumn="1" w:lastColumn="0" w:oddVBand="0" w:evenVBand="0" w:oddHBand="0" w:evenHBand="0" w:firstRowFirstColumn="0" w:firstRowLastColumn="0" w:lastRowFirstColumn="0" w:lastRowLastColumn="0"/>
            <w:tcW w:w="2880" w:type="dxa"/>
            <w:vAlign w:val="center"/>
          </w:tcPr>
          <w:p w14:paraId="7136DE23" w14:textId="77777777" w:rsidR="00543D95" w:rsidRPr="00C71CCB" w:rsidRDefault="00543D95">
            <w:pPr>
              <w:pStyle w:val="10Tabletext"/>
              <w:rPr>
                <w:rFonts w:ascii="Calibri" w:hAnsi="Calibri" w:cs="Calibri"/>
              </w:rPr>
            </w:pPr>
            <w:r w:rsidRPr="00C71CCB">
              <w:rPr>
                <w:rFonts w:ascii="Calibri" w:hAnsi="Calibri" w:cs="Calibri"/>
              </w:rPr>
              <w:t>Western Australia</w:t>
            </w:r>
          </w:p>
        </w:tc>
        <w:tc>
          <w:tcPr>
            <w:tcW w:w="5620" w:type="dxa"/>
            <w:vAlign w:val="center"/>
          </w:tcPr>
          <w:p w14:paraId="60F4CC44" w14:textId="77777777" w:rsidR="00543D95" w:rsidRPr="00C71CCB" w:rsidRDefault="00543D95">
            <w:pPr>
              <w:pStyle w:val="10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C71CCB">
              <w:rPr>
                <w:rFonts w:ascii="Calibri" w:hAnsi="Calibri" w:cs="Calibri"/>
              </w:rPr>
              <w:t>1.5</w:t>
            </w:r>
          </w:p>
        </w:tc>
      </w:tr>
      <w:tr w:rsidR="00543D95" w:rsidRPr="00C71CCB" w14:paraId="6D2197A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6CFA7219" w14:textId="77777777" w:rsidR="00543D95" w:rsidRPr="00C71CCB" w:rsidRDefault="00543D95">
            <w:pPr>
              <w:pStyle w:val="10Tabletext"/>
              <w:rPr>
                <w:rFonts w:ascii="Calibri" w:hAnsi="Calibri" w:cs="Calibri"/>
              </w:rPr>
            </w:pPr>
            <w:r w:rsidRPr="00C71CCB">
              <w:rPr>
                <w:rFonts w:ascii="Calibri" w:hAnsi="Calibri" w:cs="Calibri"/>
              </w:rPr>
              <w:t>Tasmania</w:t>
            </w:r>
          </w:p>
        </w:tc>
        <w:tc>
          <w:tcPr>
            <w:tcW w:w="5620" w:type="dxa"/>
            <w:vAlign w:val="center"/>
          </w:tcPr>
          <w:p w14:paraId="5EF80D42" w14:textId="77777777" w:rsidR="00543D95" w:rsidRPr="00C71CCB" w:rsidRDefault="00543D95">
            <w:pPr>
              <w:pStyle w:val="10Tabletext"/>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C71CCB">
              <w:rPr>
                <w:rFonts w:ascii="Calibri" w:hAnsi="Calibri" w:cs="Calibri"/>
              </w:rPr>
              <w:t>TBA</w:t>
            </w:r>
            <w:r w:rsidRPr="00C71CCB">
              <w:rPr>
                <w:rFonts w:ascii="Calibri" w:hAnsi="Calibri" w:cs="Calibri"/>
                <w:vertAlign w:val="superscript"/>
              </w:rPr>
              <w:t>(c)</w:t>
            </w:r>
          </w:p>
        </w:tc>
      </w:tr>
      <w:tr w:rsidR="00543D95" w:rsidRPr="00C71CCB" w14:paraId="7B7C0E7E" w14:textId="77777777">
        <w:tc>
          <w:tcPr>
            <w:cnfStyle w:val="001000000000" w:firstRow="0" w:lastRow="0" w:firstColumn="1" w:lastColumn="0" w:oddVBand="0" w:evenVBand="0" w:oddHBand="0" w:evenHBand="0" w:firstRowFirstColumn="0" w:firstRowLastColumn="0" w:lastRowFirstColumn="0" w:lastRowLastColumn="0"/>
            <w:tcW w:w="2880" w:type="dxa"/>
            <w:vAlign w:val="center"/>
          </w:tcPr>
          <w:p w14:paraId="3CC308F4" w14:textId="77777777" w:rsidR="00543D95" w:rsidRPr="00C71CCB" w:rsidRDefault="00543D95">
            <w:pPr>
              <w:pStyle w:val="10Tabletext"/>
              <w:rPr>
                <w:rFonts w:ascii="Calibri" w:hAnsi="Calibri" w:cs="Calibri"/>
              </w:rPr>
            </w:pPr>
            <w:r w:rsidRPr="00C71CCB">
              <w:rPr>
                <w:rFonts w:ascii="Calibri" w:hAnsi="Calibri" w:cs="Calibri"/>
              </w:rPr>
              <w:t>Northern Territory</w:t>
            </w:r>
          </w:p>
        </w:tc>
        <w:tc>
          <w:tcPr>
            <w:tcW w:w="5620" w:type="dxa"/>
            <w:vAlign w:val="center"/>
          </w:tcPr>
          <w:p w14:paraId="213B5016" w14:textId="77777777" w:rsidR="00543D95" w:rsidRPr="00C71CCB" w:rsidRDefault="00543D95">
            <w:pPr>
              <w:pStyle w:val="10Tabletext"/>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C71CCB">
              <w:rPr>
                <w:rFonts w:ascii="Calibri" w:hAnsi="Calibri" w:cs="Calibri"/>
              </w:rPr>
              <w:t>N/A</w:t>
            </w:r>
            <w:r w:rsidRPr="00C71CCB">
              <w:rPr>
                <w:rFonts w:ascii="Calibri" w:hAnsi="Calibri" w:cs="Calibri"/>
                <w:vertAlign w:val="superscript"/>
              </w:rPr>
              <w:t>(d)</w:t>
            </w:r>
          </w:p>
        </w:tc>
      </w:tr>
    </w:tbl>
    <w:p w14:paraId="5F488B01" w14:textId="53E1C68F" w:rsidR="00543D95" w:rsidRDefault="00543D95" w:rsidP="00BC611A">
      <w:pPr>
        <w:spacing w:before="60" w:after="0"/>
        <w:jc w:val="both"/>
        <w:rPr>
          <w:rFonts w:ascii="Calibri" w:eastAsia="+mn-ea" w:hAnsi="Calibri" w:cs="Calibri Light"/>
          <w:color w:val="000000"/>
          <w:kern w:val="24"/>
          <w:sz w:val="18"/>
          <w:szCs w:val="18"/>
          <w:lang w:eastAsia="en-AU"/>
        </w:rPr>
      </w:pPr>
      <w:r w:rsidRPr="00C203A2">
        <w:rPr>
          <w:rFonts w:ascii="Calibri" w:eastAsia="+mn-ea" w:hAnsi="Calibri" w:cs="Calibri Light"/>
          <w:color w:val="000000"/>
          <w:kern w:val="24"/>
          <w:sz w:val="18"/>
          <w:szCs w:val="18"/>
          <w:lang w:eastAsia="en-AU"/>
        </w:rPr>
        <w:t>Notes: (a) An increase of 4</w:t>
      </w:r>
      <w:r>
        <w:rPr>
          <w:rFonts w:ascii="Calibri" w:eastAsia="+mn-ea" w:hAnsi="Calibri" w:cs="Calibri Light"/>
          <w:color w:val="000000"/>
          <w:kern w:val="24"/>
          <w:sz w:val="18"/>
          <w:szCs w:val="18"/>
          <w:lang w:eastAsia="en-AU"/>
        </w:rPr>
        <w:t xml:space="preserve"> per cent</w:t>
      </w:r>
      <w:r w:rsidRPr="00C203A2">
        <w:rPr>
          <w:rFonts w:ascii="Calibri" w:eastAsia="+mn-ea" w:hAnsi="Calibri" w:cs="Calibri Light"/>
          <w:color w:val="000000"/>
          <w:kern w:val="24"/>
          <w:sz w:val="18"/>
          <w:szCs w:val="18"/>
          <w:lang w:eastAsia="en-AU"/>
        </w:rPr>
        <w:t xml:space="preserve"> was applied to allowances for Categories 1-3, which consists largely </w:t>
      </w:r>
      <w:r w:rsidR="007E0345">
        <w:rPr>
          <w:rFonts w:ascii="Calibri" w:eastAsia="+mn-ea" w:hAnsi="Calibri" w:cs="Calibri Light"/>
          <w:color w:val="000000"/>
          <w:kern w:val="24"/>
          <w:sz w:val="18"/>
          <w:szCs w:val="18"/>
          <w:lang w:eastAsia="en-AU"/>
        </w:rPr>
        <w:t xml:space="preserve">of </w:t>
      </w:r>
      <w:r w:rsidRPr="00C203A2">
        <w:rPr>
          <w:rFonts w:ascii="Calibri" w:eastAsia="+mn-ea" w:hAnsi="Calibri" w:cs="Calibri Light"/>
          <w:color w:val="000000"/>
          <w:kern w:val="24"/>
          <w:sz w:val="18"/>
          <w:szCs w:val="18"/>
          <w:lang w:eastAsia="en-AU"/>
        </w:rPr>
        <w:t>regional and rural Councils, while an increase of 3</w:t>
      </w:r>
      <w:r>
        <w:rPr>
          <w:rFonts w:ascii="Calibri" w:eastAsia="+mn-ea" w:hAnsi="Calibri" w:cs="Calibri Light"/>
          <w:color w:val="000000"/>
          <w:kern w:val="24"/>
          <w:sz w:val="18"/>
          <w:szCs w:val="18"/>
          <w:lang w:eastAsia="en-AU"/>
        </w:rPr>
        <w:t xml:space="preserve"> per cent</w:t>
      </w:r>
      <w:r w:rsidRPr="00C203A2">
        <w:rPr>
          <w:rFonts w:ascii="Calibri" w:eastAsia="+mn-ea" w:hAnsi="Calibri" w:cs="Calibri Light"/>
          <w:color w:val="000000"/>
          <w:kern w:val="24"/>
          <w:sz w:val="18"/>
          <w:szCs w:val="18"/>
          <w:lang w:eastAsia="en-AU"/>
        </w:rPr>
        <w:t xml:space="preserve"> was applied to allowances for Categories 4-8, which encompass metropolitan Councils. (b) Allowances are automatically indexed on the first, second and third anniversaries of the relevant periodic local government elections to reflect changes in the </w:t>
      </w:r>
      <w:r w:rsidR="00D50344">
        <w:rPr>
          <w:rFonts w:ascii="Calibri" w:eastAsia="+mn-ea" w:hAnsi="Calibri" w:cs="Calibri Light"/>
          <w:color w:val="000000"/>
          <w:kern w:val="24"/>
          <w:sz w:val="18"/>
          <w:szCs w:val="18"/>
          <w:lang w:eastAsia="en-AU"/>
        </w:rPr>
        <w:t>CPI</w:t>
      </w:r>
      <w:r w:rsidRPr="00C203A2">
        <w:rPr>
          <w:rFonts w:ascii="Calibri" w:eastAsia="+mn-ea" w:hAnsi="Calibri" w:cs="Calibri Light"/>
          <w:color w:val="000000"/>
          <w:kern w:val="24"/>
          <w:sz w:val="18"/>
          <w:szCs w:val="18"/>
          <w:lang w:eastAsia="en-AU"/>
        </w:rPr>
        <w:t xml:space="preserve"> for Adelaide. The</w:t>
      </w:r>
      <w:r w:rsidR="0061225C">
        <w:rPr>
          <w:rFonts w:ascii="Calibri" w:eastAsia="+mn-ea" w:hAnsi="Calibri" w:cs="Calibri Light"/>
          <w:color w:val="000000"/>
          <w:kern w:val="24"/>
          <w:sz w:val="18"/>
          <w:szCs w:val="18"/>
          <w:lang w:eastAsia="en-AU"/>
        </w:rPr>
        <w:t xml:space="preserve"> next adjustment will be in </w:t>
      </w:r>
      <w:r w:rsidRPr="00C203A2">
        <w:rPr>
          <w:rFonts w:ascii="Calibri" w:eastAsia="+mn-ea" w:hAnsi="Calibri" w:cs="Calibri Light"/>
          <w:color w:val="000000"/>
          <w:kern w:val="24"/>
          <w:sz w:val="18"/>
          <w:szCs w:val="18"/>
          <w:lang w:eastAsia="en-AU"/>
        </w:rPr>
        <w:t>November 202</w:t>
      </w:r>
      <w:r w:rsidR="0061225C">
        <w:rPr>
          <w:rFonts w:ascii="Calibri" w:eastAsia="+mn-ea" w:hAnsi="Calibri" w:cs="Calibri Light"/>
          <w:color w:val="000000"/>
          <w:kern w:val="24"/>
          <w:sz w:val="18"/>
          <w:szCs w:val="18"/>
          <w:lang w:eastAsia="en-AU"/>
        </w:rPr>
        <w:t>3</w:t>
      </w:r>
      <w:r w:rsidRPr="00C203A2">
        <w:rPr>
          <w:rFonts w:ascii="Calibri" w:eastAsia="+mn-ea" w:hAnsi="Calibri" w:cs="Calibri Light"/>
          <w:color w:val="000000"/>
          <w:kern w:val="24"/>
          <w:sz w:val="18"/>
          <w:szCs w:val="18"/>
          <w:lang w:eastAsia="en-AU"/>
        </w:rPr>
        <w:t xml:space="preserve">. (c) Allowances are automatically indexed on 1 November each year in line with the annual change in the </w:t>
      </w:r>
      <w:r w:rsidR="00ED6DEB">
        <w:rPr>
          <w:rFonts w:ascii="Calibri" w:eastAsia="+mn-ea" w:hAnsi="Calibri" w:cs="Calibri Light"/>
          <w:color w:val="000000"/>
          <w:kern w:val="24"/>
          <w:sz w:val="18"/>
          <w:szCs w:val="18"/>
          <w:lang w:eastAsia="en-AU"/>
        </w:rPr>
        <w:t>WPI</w:t>
      </w:r>
      <w:r w:rsidRPr="00C203A2">
        <w:rPr>
          <w:rFonts w:ascii="Calibri" w:eastAsia="+mn-ea" w:hAnsi="Calibri" w:cs="Calibri Light"/>
          <w:color w:val="000000"/>
          <w:kern w:val="24"/>
          <w:sz w:val="18"/>
          <w:szCs w:val="18"/>
          <w:lang w:eastAsia="en-AU"/>
        </w:rPr>
        <w:t xml:space="preserve"> for Tasmania. (d) The Northern Territory Remuneration Tribunal made its first Determination of allowances on 24 January 2023, which reset the allowances framework. Regional Councils received an increase of approximately 8</w:t>
      </w:r>
      <w:r>
        <w:rPr>
          <w:rFonts w:ascii="Calibri" w:eastAsia="+mn-ea" w:hAnsi="Calibri" w:cs="Calibri Light"/>
          <w:color w:val="000000"/>
          <w:kern w:val="24"/>
          <w:sz w:val="18"/>
          <w:szCs w:val="18"/>
          <w:lang w:eastAsia="en-AU"/>
        </w:rPr>
        <w:t xml:space="preserve"> to </w:t>
      </w:r>
      <w:r w:rsidRPr="00C203A2">
        <w:rPr>
          <w:rFonts w:ascii="Calibri" w:eastAsia="+mn-ea" w:hAnsi="Calibri" w:cs="Calibri Light"/>
          <w:color w:val="000000"/>
          <w:kern w:val="24"/>
          <w:sz w:val="18"/>
          <w:szCs w:val="18"/>
          <w:lang w:eastAsia="en-AU"/>
        </w:rPr>
        <w:t>9</w:t>
      </w:r>
      <w:r>
        <w:rPr>
          <w:rFonts w:ascii="Calibri" w:eastAsia="+mn-ea" w:hAnsi="Calibri" w:cs="Calibri Light"/>
          <w:color w:val="000000"/>
          <w:kern w:val="24"/>
          <w:sz w:val="18"/>
          <w:szCs w:val="18"/>
          <w:lang w:eastAsia="en-AU"/>
        </w:rPr>
        <w:t xml:space="preserve"> per cent</w:t>
      </w:r>
      <w:r w:rsidRPr="00C203A2">
        <w:rPr>
          <w:rFonts w:ascii="Calibri" w:eastAsia="+mn-ea" w:hAnsi="Calibri" w:cs="Calibri Light"/>
          <w:color w:val="000000"/>
          <w:kern w:val="24"/>
          <w:sz w:val="18"/>
          <w:szCs w:val="18"/>
          <w:lang w:eastAsia="en-AU"/>
        </w:rPr>
        <w:t>, with smaller increases for other Councils.</w:t>
      </w:r>
    </w:p>
    <w:p w14:paraId="74F2B44B" w14:textId="6E448647" w:rsidR="00AB4890" w:rsidRPr="00543D95" w:rsidRDefault="00AB4890" w:rsidP="00BC611A">
      <w:pPr>
        <w:pStyle w:val="05Paragraph"/>
        <w:spacing w:before="60" w:line="240" w:lineRule="auto"/>
        <w:rPr>
          <w:rFonts w:ascii="Times New Roman" w:eastAsia="Times New Roman" w:hAnsi="Times New Roman" w:cs="Times New Roman"/>
          <w:color w:val="auto"/>
          <w:sz w:val="24"/>
          <w:szCs w:val="24"/>
          <w:lang w:eastAsia="en-AU"/>
        </w:rPr>
      </w:pPr>
      <w:r>
        <w:rPr>
          <w:rFonts w:eastAsia="+mn-ea" w:cs="Calibri Light"/>
          <w:color w:val="000000"/>
          <w:kern w:val="24"/>
          <w:sz w:val="18"/>
          <w:szCs w:val="18"/>
          <w:lang w:eastAsia="en-AU"/>
        </w:rPr>
        <w:t>Sources:</w:t>
      </w:r>
      <w:r w:rsidR="009637B2">
        <w:rPr>
          <w:rFonts w:eastAsia="+mn-ea" w:cs="Calibri Light"/>
          <w:color w:val="000000"/>
          <w:kern w:val="24"/>
          <w:sz w:val="18"/>
          <w:szCs w:val="18"/>
          <w:lang w:eastAsia="en-AU"/>
        </w:rPr>
        <w:t xml:space="preserve"> </w:t>
      </w:r>
      <w:r w:rsidR="00EF6052" w:rsidRPr="00CF37D6">
        <w:rPr>
          <w:rFonts w:eastAsia="+mn-ea" w:cs="Calibri Light"/>
          <w:i/>
          <w:iCs/>
          <w:color w:val="000000"/>
          <w:kern w:val="24"/>
          <w:sz w:val="18"/>
          <w:szCs w:val="18"/>
          <w:lang w:eastAsia="en-AU"/>
        </w:rPr>
        <w:t>Local Government Act 1999</w:t>
      </w:r>
      <w:r w:rsidR="00EF6052">
        <w:rPr>
          <w:rFonts w:eastAsia="+mn-ea" w:cs="Calibri Light"/>
          <w:color w:val="000000"/>
          <w:kern w:val="24"/>
          <w:sz w:val="18"/>
          <w:szCs w:val="18"/>
          <w:lang w:eastAsia="en-AU"/>
        </w:rPr>
        <w:t xml:space="preserve"> (SA), s. 76(9);</w:t>
      </w:r>
      <w:r w:rsidR="00575AA5">
        <w:rPr>
          <w:rFonts w:eastAsia="+mn-ea" w:cs="Calibri Light"/>
          <w:color w:val="000000"/>
          <w:kern w:val="24"/>
          <w:sz w:val="18"/>
          <w:szCs w:val="18"/>
          <w:lang w:eastAsia="en-AU"/>
        </w:rPr>
        <w:t xml:space="preserve"> </w:t>
      </w:r>
      <w:r w:rsidR="0021640E" w:rsidRPr="00E8049F">
        <w:rPr>
          <w:rFonts w:eastAsia="+mn-ea" w:cs="Calibri Light"/>
          <w:i/>
          <w:iCs/>
          <w:color w:val="000000"/>
          <w:kern w:val="24"/>
          <w:sz w:val="18"/>
          <w:szCs w:val="18"/>
          <w:lang w:eastAsia="en-AU"/>
        </w:rPr>
        <w:t>Local Government (General) Regulations 2015</w:t>
      </w:r>
      <w:r w:rsidR="0021640E">
        <w:rPr>
          <w:rFonts w:eastAsia="+mn-ea" w:cs="Calibri Light"/>
          <w:color w:val="000000"/>
          <w:kern w:val="24"/>
          <w:sz w:val="18"/>
          <w:szCs w:val="18"/>
          <w:lang w:eastAsia="en-AU"/>
        </w:rPr>
        <w:t xml:space="preserve"> (Tas), regulation 42(2);</w:t>
      </w:r>
      <w:r w:rsidR="00575AA5">
        <w:rPr>
          <w:rFonts w:eastAsia="+mn-ea" w:cs="Calibri Light"/>
          <w:color w:val="000000"/>
          <w:kern w:val="24"/>
          <w:sz w:val="18"/>
          <w:szCs w:val="18"/>
          <w:lang w:eastAsia="en-AU"/>
        </w:rPr>
        <w:t xml:space="preserve"> </w:t>
      </w:r>
      <w:r w:rsidR="0021640E">
        <w:rPr>
          <w:rFonts w:eastAsia="+mn-ea" w:cs="Calibri Light"/>
          <w:color w:val="000000"/>
          <w:kern w:val="24"/>
          <w:sz w:val="18"/>
          <w:szCs w:val="18"/>
          <w:lang w:eastAsia="en-AU"/>
        </w:rPr>
        <w:t xml:space="preserve">Local Government Remuneration Commission </w:t>
      </w:r>
      <w:r w:rsidR="002A3E07">
        <w:rPr>
          <w:rFonts w:eastAsia="+mn-ea" w:cs="Calibri Light"/>
          <w:color w:val="000000"/>
          <w:kern w:val="24"/>
          <w:sz w:val="18"/>
          <w:szCs w:val="18"/>
          <w:lang w:eastAsia="en-AU"/>
        </w:rPr>
        <w:t xml:space="preserve">(Qld) </w:t>
      </w:r>
      <w:r w:rsidR="0021640E">
        <w:rPr>
          <w:rFonts w:eastAsia="+mn-ea" w:cs="Calibri Light"/>
          <w:color w:val="000000"/>
          <w:kern w:val="24"/>
          <w:sz w:val="18"/>
          <w:szCs w:val="18"/>
          <w:lang w:eastAsia="en-AU"/>
        </w:rPr>
        <w:t>(2023)</w:t>
      </w:r>
      <w:r w:rsidR="00F065CE">
        <w:rPr>
          <w:rFonts w:eastAsia="+mn-ea" w:cs="Calibri Light"/>
          <w:color w:val="000000"/>
          <w:kern w:val="24"/>
          <w:sz w:val="18"/>
          <w:szCs w:val="18"/>
          <w:lang w:eastAsia="en-AU"/>
        </w:rPr>
        <w:t>, p. 6</w:t>
      </w:r>
      <w:r w:rsidR="00E61CC4">
        <w:rPr>
          <w:rFonts w:eastAsia="+mn-ea" w:cs="Calibri Light"/>
          <w:color w:val="000000"/>
          <w:kern w:val="24"/>
          <w:sz w:val="18"/>
          <w:szCs w:val="18"/>
          <w:lang w:eastAsia="en-AU"/>
        </w:rPr>
        <w:t>;</w:t>
      </w:r>
      <w:r w:rsidR="00575AA5">
        <w:rPr>
          <w:rFonts w:eastAsia="+mn-ea" w:cs="Calibri Light"/>
          <w:color w:val="000000"/>
          <w:kern w:val="24"/>
          <w:sz w:val="18"/>
          <w:szCs w:val="18"/>
          <w:lang w:eastAsia="en-AU"/>
        </w:rPr>
        <w:t xml:space="preserve"> </w:t>
      </w:r>
      <w:r w:rsidR="009637B2">
        <w:rPr>
          <w:rFonts w:eastAsia="+mn-ea" w:cs="Calibri Light"/>
          <w:color w:val="000000"/>
          <w:kern w:val="24"/>
          <w:sz w:val="18"/>
          <w:szCs w:val="18"/>
          <w:lang w:eastAsia="en-AU"/>
        </w:rPr>
        <w:t xml:space="preserve">Local Government Remuneration Tribunal </w:t>
      </w:r>
      <w:r w:rsidR="002A5096">
        <w:rPr>
          <w:rFonts w:eastAsia="+mn-ea" w:cs="Calibri Light"/>
          <w:color w:val="000000"/>
          <w:kern w:val="24"/>
          <w:sz w:val="18"/>
          <w:szCs w:val="18"/>
          <w:lang w:eastAsia="en-AU"/>
        </w:rPr>
        <w:t xml:space="preserve">(NSW) </w:t>
      </w:r>
      <w:r w:rsidR="009637B2">
        <w:rPr>
          <w:rFonts w:eastAsia="+mn-ea" w:cs="Calibri Light"/>
          <w:color w:val="000000"/>
          <w:kern w:val="24"/>
          <w:sz w:val="18"/>
          <w:szCs w:val="18"/>
          <w:lang w:eastAsia="en-AU"/>
        </w:rPr>
        <w:t>(2023)</w:t>
      </w:r>
      <w:r w:rsidR="00735149">
        <w:rPr>
          <w:rFonts w:eastAsia="+mn-ea" w:cs="Calibri Light"/>
          <w:color w:val="000000"/>
          <w:kern w:val="24"/>
          <w:sz w:val="18"/>
          <w:szCs w:val="18"/>
          <w:lang w:eastAsia="en-AU"/>
        </w:rPr>
        <w:t>, p. 4</w:t>
      </w:r>
      <w:r w:rsidR="009637B2">
        <w:rPr>
          <w:rFonts w:eastAsia="+mn-ea" w:cs="Calibri Light"/>
          <w:color w:val="000000"/>
          <w:kern w:val="24"/>
          <w:sz w:val="18"/>
          <w:szCs w:val="18"/>
          <w:lang w:eastAsia="en-AU"/>
        </w:rPr>
        <w:t>;</w:t>
      </w:r>
      <w:r w:rsidR="00E35AF8">
        <w:rPr>
          <w:rFonts w:eastAsia="+mn-ea" w:cs="Calibri Light"/>
          <w:color w:val="000000"/>
          <w:kern w:val="24"/>
          <w:sz w:val="18"/>
          <w:szCs w:val="18"/>
          <w:lang w:eastAsia="en-AU"/>
        </w:rPr>
        <w:t xml:space="preserve"> </w:t>
      </w:r>
      <w:r w:rsidR="00E61CC4">
        <w:rPr>
          <w:rFonts w:eastAsia="+mn-ea" w:cs="Calibri Light"/>
          <w:color w:val="000000"/>
          <w:kern w:val="24"/>
          <w:sz w:val="18"/>
          <w:szCs w:val="18"/>
          <w:lang w:eastAsia="en-AU"/>
        </w:rPr>
        <w:t>N</w:t>
      </w:r>
      <w:r w:rsidR="002A3E07">
        <w:rPr>
          <w:rFonts w:eastAsia="+mn-ea" w:cs="Calibri Light"/>
          <w:color w:val="000000"/>
          <w:kern w:val="24"/>
          <w:sz w:val="18"/>
          <w:szCs w:val="18"/>
          <w:lang w:eastAsia="en-AU"/>
        </w:rPr>
        <w:t xml:space="preserve">orthern </w:t>
      </w:r>
      <w:r w:rsidR="00E61CC4">
        <w:rPr>
          <w:rFonts w:eastAsia="+mn-ea" w:cs="Calibri Light"/>
          <w:color w:val="000000"/>
          <w:kern w:val="24"/>
          <w:sz w:val="18"/>
          <w:szCs w:val="18"/>
          <w:lang w:eastAsia="en-AU"/>
        </w:rPr>
        <w:t>T</w:t>
      </w:r>
      <w:r w:rsidR="002A3E07">
        <w:rPr>
          <w:rFonts w:eastAsia="+mn-ea" w:cs="Calibri Light"/>
          <w:color w:val="000000"/>
          <w:kern w:val="24"/>
          <w:sz w:val="18"/>
          <w:szCs w:val="18"/>
          <w:lang w:eastAsia="en-AU"/>
        </w:rPr>
        <w:t>erritory</w:t>
      </w:r>
      <w:r w:rsidR="00E61CC4">
        <w:rPr>
          <w:rFonts w:eastAsia="+mn-ea" w:cs="Calibri Light"/>
          <w:color w:val="000000"/>
          <w:kern w:val="24"/>
          <w:sz w:val="18"/>
          <w:szCs w:val="18"/>
          <w:lang w:eastAsia="en-AU"/>
        </w:rPr>
        <w:t xml:space="preserve"> Remuneration Tribunal (2023)</w:t>
      </w:r>
      <w:r w:rsidR="00FB414C">
        <w:rPr>
          <w:rFonts w:eastAsia="+mn-ea" w:cs="Calibri Light"/>
          <w:color w:val="000000"/>
          <w:kern w:val="24"/>
          <w:sz w:val="18"/>
          <w:szCs w:val="18"/>
          <w:lang w:eastAsia="en-AU"/>
        </w:rPr>
        <w:t>, pp. 9</w:t>
      </w:r>
      <w:r w:rsidR="00A35A2F">
        <w:rPr>
          <w:rFonts w:eastAsia="+mn-ea" w:cs="Calibri Light"/>
          <w:color w:val="000000"/>
          <w:kern w:val="24"/>
          <w:sz w:val="18"/>
          <w:szCs w:val="18"/>
          <w:lang w:eastAsia="en-AU"/>
        </w:rPr>
        <w:t>-</w:t>
      </w:r>
      <w:r w:rsidR="00FB414C">
        <w:rPr>
          <w:rFonts w:eastAsia="+mn-ea" w:cs="Calibri Light"/>
          <w:color w:val="000000"/>
          <w:kern w:val="24"/>
          <w:sz w:val="18"/>
          <w:szCs w:val="18"/>
          <w:lang w:eastAsia="en-AU"/>
        </w:rPr>
        <w:t>13</w:t>
      </w:r>
      <w:r w:rsidR="00E61CC4">
        <w:rPr>
          <w:rFonts w:eastAsia="+mn-ea" w:cs="Calibri Light"/>
          <w:color w:val="000000"/>
          <w:kern w:val="24"/>
          <w:sz w:val="18"/>
          <w:szCs w:val="18"/>
          <w:lang w:eastAsia="en-AU"/>
        </w:rPr>
        <w:t>;</w:t>
      </w:r>
      <w:r w:rsidR="00E35AF8">
        <w:rPr>
          <w:rFonts w:eastAsia="+mn-ea" w:cs="Calibri Light"/>
          <w:color w:val="000000"/>
          <w:kern w:val="24"/>
          <w:sz w:val="18"/>
          <w:szCs w:val="18"/>
          <w:lang w:eastAsia="en-AU"/>
        </w:rPr>
        <w:t xml:space="preserve"> </w:t>
      </w:r>
      <w:r w:rsidR="00E61CC4">
        <w:rPr>
          <w:rFonts w:eastAsia="+mn-ea" w:cs="Calibri Light"/>
          <w:color w:val="000000"/>
          <w:kern w:val="24"/>
          <w:sz w:val="18"/>
          <w:szCs w:val="18"/>
          <w:lang w:eastAsia="en-AU"/>
        </w:rPr>
        <w:t xml:space="preserve">Salaries and Allowances Tribunal </w:t>
      </w:r>
      <w:r w:rsidR="000E7EB7">
        <w:rPr>
          <w:rFonts w:eastAsia="+mn-ea" w:cs="Calibri Light"/>
          <w:color w:val="000000"/>
          <w:kern w:val="24"/>
          <w:sz w:val="18"/>
          <w:szCs w:val="18"/>
          <w:lang w:eastAsia="en-AU"/>
        </w:rPr>
        <w:t xml:space="preserve">(WA) </w:t>
      </w:r>
      <w:r w:rsidR="00E61CC4">
        <w:rPr>
          <w:rFonts w:eastAsia="+mn-ea" w:cs="Calibri Light"/>
          <w:color w:val="000000"/>
          <w:kern w:val="24"/>
          <w:sz w:val="18"/>
          <w:szCs w:val="18"/>
          <w:lang w:eastAsia="en-AU"/>
        </w:rPr>
        <w:t>(2023)</w:t>
      </w:r>
      <w:r w:rsidR="00E95B2C">
        <w:rPr>
          <w:rFonts w:eastAsia="+mn-ea" w:cs="Calibri Light"/>
          <w:color w:val="000000"/>
          <w:kern w:val="24"/>
          <w:sz w:val="18"/>
          <w:szCs w:val="18"/>
          <w:lang w:eastAsia="en-AU"/>
        </w:rPr>
        <w:t>, p.</w:t>
      </w:r>
      <w:r w:rsidR="0000610C">
        <w:rPr>
          <w:rFonts w:eastAsia="+mn-ea" w:cs="Calibri Light"/>
          <w:color w:val="000000"/>
          <w:kern w:val="24"/>
          <w:sz w:val="18"/>
          <w:szCs w:val="18"/>
          <w:lang w:eastAsia="en-AU"/>
        </w:rPr>
        <w:t xml:space="preserve"> 3</w:t>
      </w:r>
      <w:r w:rsidR="00E61CC4">
        <w:rPr>
          <w:rFonts w:eastAsia="+mn-ea" w:cs="Calibri Light"/>
          <w:color w:val="000000"/>
          <w:kern w:val="24"/>
          <w:sz w:val="18"/>
          <w:szCs w:val="18"/>
          <w:lang w:eastAsia="en-AU"/>
        </w:rPr>
        <w:t>.</w:t>
      </w:r>
    </w:p>
    <w:p w14:paraId="313C958F" w14:textId="3475554B" w:rsidR="000858BD" w:rsidRDefault="000858BD" w:rsidP="000858BD">
      <w:pPr>
        <w:pStyle w:val="03VIRTHeading3"/>
      </w:pPr>
      <w:r>
        <w:t>Tribunal’s 2023 Determination of MP salaries and allowances</w:t>
      </w:r>
    </w:p>
    <w:p w14:paraId="1A9DA4BA" w14:textId="26E75F25" w:rsidR="003F12E7" w:rsidRPr="008351C4" w:rsidRDefault="00CA7473" w:rsidP="002229FF">
      <w:pPr>
        <w:pStyle w:val="05Paragraph"/>
      </w:pPr>
      <w:r>
        <w:t>On</w:t>
      </w:r>
      <w:r w:rsidR="00997624" w:rsidRPr="008351C4">
        <w:t xml:space="preserve"> </w:t>
      </w:r>
      <w:r>
        <w:t>20</w:t>
      </w:r>
      <w:r w:rsidR="00997624" w:rsidRPr="008351C4">
        <w:t xml:space="preserve"> June 202</w:t>
      </w:r>
      <w:r w:rsidR="00C618C9" w:rsidRPr="008351C4">
        <w:t>3</w:t>
      </w:r>
      <w:r w:rsidR="00997624" w:rsidRPr="008351C4">
        <w:t>, the</w:t>
      </w:r>
      <w:r w:rsidR="0066658C" w:rsidRPr="008351C4">
        <w:t xml:space="preserve"> Tribunal</w:t>
      </w:r>
      <w:r w:rsidR="00C618C9" w:rsidRPr="008351C4">
        <w:t xml:space="preserve"> made the </w:t>
      </w:r>
      <w:r w:rsidR="00C618C9" w:rsidRPr="008351C4">
        <w:rPr>
          <w:i/>
          <w:iCs/>
        </w:rPr>
        <w:t>Members of Parliament</w:t>
      </w:r>
      <w:r w:rsidR="001C6571" w:rsidRPr="008351C4">
        <w:rPr>
          <w:i/>
          <w:iCs/>
        </w:rPr>
        <w:t xml:space="preserve"> </w:t>
      </w:r>
      <w:r w:rsidR="00F954A4" w:rsidRPr="008351C4">
        <w:rPr>
          <w:i/>
          <w:iCs/>
        </w:rPr>
        <w:t>(Victoria) Determination No. 01/2023</w:t>
      </w:r>
      <w:r w:rsidR="0057321D" w:rsidRPr="008351C4">
        <w:t xml:space="preserve">. </w:t>
      </w:r>
      <w:r w:rsidR="00B81F54">
        <w:t>That</w:t>
      </w:r>
      <w:r w:rsidR="0057321D" w:rsidRPr="008351C4">
        <w:t xml:space="preserve"> Determination</w:t>
      </w:r>
      <w:r w:rsidR="00F954A4" w:rsidRPr="008351C4">
        <w:t xml:space="preserve"> </w:t>
      </w:r>
      <w:r w:rsidR="001C6571" w:rsidRPr="008351C4">
        <w:t>increase</w:t>
      </w:r>
      <w:r w:rsidR="00997624" w:rsidRPr="008351C4">
        <w:t>d</w:t>
      </w:r>
      <w:r w:rsidR="001C6571" w:rsidRPr="008351C4">
        <w:t xml:space="preserve"> the </w:t>
      </w:r>
      <w:r w:rsidR="00956C94" w:rsidRPr="008351C4">
        <w:t xml:space="preserve">value of the </w:t>
      </w:r>
      <w:r w:rsidR="001C6571" w:rsidRPr="008351C4">
        <w:t xml:space="preserve">basic salary </w:t>
      </w:r>
      <w:r w:rsidR="00E51074">
        <w:t>for</w:t>
      </w:r>
      <w:r w:rsidR="001C6571" w:rsidRPr="008351C4">
        <w:t xml:space="preserve"> </w:t>
      </w:r>
      <w:r w:rsidR="00E51074">
        <w:t>MPs</w:t>
      </w:r>
      <w:r w:rsidR="0057321D" w:rsidRPr="008351C4">
        <w:t xml:space="preserve"> </w:t>
      </w:r>
      <w:r w:rsidR="001C6571" w:rsidRPr="008351C4">
        <w:t>by</w:t>
      </w:r>
      <w:r w:rsidR="00E51074">
        <w:t xml:space="preserve"> </w:t>
      </w:r>
      <w:r w:rsidR="00B81F54">
        <w:t>3.5</w:t>
      </w:r>
      <w:r w:rsidR="00E51074">
        <w:t xml:space="preserve"> </w:t>
      </w:r>
      <w:r w:rsidR="001C6571" w:rsidRPr="008351C4">
        <w:t>per cent</w:t>
      </w:r>
      <w:r w:rsidR="004550F7">
        <w:t>,</w:t>
      </w:r>
      <w:r w:rsidR="001C6571" w:rsidRPr="008351C4">
        <w:t xml:space="preserve"> </w:t>
      </w:r>
      <w:r w:rsidR="00E51074">
        <w:t xml:space="preserve">with </w:t>
      </w:r>
      <w:r w:rsidR="004550F7">
        <w:t xml:space="preserve">effect </w:t>
      </w:r>
      <w:r w:rsidR="001C6571" w:rsidRPr="008351C4">
        <w:t xml:space="preserve">from </w:t>
      </w:r>
      <w:r w:rsidR="003515FE">
        <w:t>1</w:t>
      </w:r>
      <w:r w:rsidR="0057321D" w:rsidRPr="008351C4">
        <w:t xml:space="preserve"> </w:t>
      </w:r>
      <w:r w:rsidR="003515FE">
        <w:t>July</w:t>
      </w:r>
      <w:r w:rsidR="001C6571" w:rsidRPr="008351C4">
        <w:t xml:space="preserve"> 202</w:t>
      </w:r>
      <w:r w:rsidR="00196E28" w:rsidRPr="008351C4">
        <w:t>3</w:t>
      </w:r>
      <w:r w:rsidR="0056150E" w:rsidRPr="008351C4">
        <w:t>.</w:t>
      </w:r>
      <w:r w:rsidR="00683533">
        <w:rPr>
          <w:rFonts w:ascii="ZWAdobeF" w:hAnsi="ZWAdobeF" w:cs="ZWAdobeF"/>
          <w:color w:val="auto"/>
          <w:sz w:val="2"/>
          <w:szCs w:val="2"/>
        </w:rPr>
        <w:t>22F</w:t>
      </w:r>
      <w:r w:rsidR="0017105B">
        <w:rPr>
          <w:rFonts w:ascii="ZWAdobeF" w:hAnsi="ZWAdobeF" w:cs="ZWAdobeF"/>
          <w:color w:val="auto"/>
          <w:sz w:val="2"/>
          <w:szCs w:val="2"/>
        </w:rPr>
        <w:t>22F</w:t>
      </w:r>
      <w:r w:rsidR="00A92121" w:rsidRPr="008351C4">
        <w:rPr>
          <w:rStyle w:val="FootnoteReference"/>
        </w:rPr>
        <w:footnoteReference w:id="24"/>
      </w:r>
    </w:p>
    <w:p w14:paraId="7C192F3F" w14:textId="2B6074D7" w:rsidR="001B7B60" w:rsidRDefault="00A56887" w:rsidP="00543D95">
      <w:pPr>
        <w:pStyle w:val="03VIRTHeading3"/>
      </w:pPr>
      <w:r>
        <w:t>Rate</w:t>
      </w:r>
      <w:r w:rsidR="001B7B60">
        <w:t xml:space="preserve"> cap</w:t>
      </w:r>
    </w:p>
    <w:p w14:paraId="72E51271" w14:textId="1539CCB6" w:rsidR="001B7B60" w:rsidRDefault="001B7B60" w:rsidP="001B7B60">
      <w:pPr>
        <w:pStyle w:val="05Paragraph"/>
      </w:pPr>
      <w:r w:rsidRPr="001B7B60">
        <w:t>In December 2022, the Victorian Government announced a rate cap of 3.5 per cent for 2023-24.</w:t>
      </w:r>
      <w:r w:rsidR="00683533">
        <w:rPr>
          <w:rFonts w:ascii="ZWAdobeF" w:hAnsi="ZWAdobeF" w:cs="ZWAdobeF"/>
          <w:color w:val="auto"/>
          <w:sz w:val="2"/>
          <w:szCs w:val="2"/>
        </w:rPr>
        <w:t>23F</w:t>
      </w:r>
      <w:r w:rsidR="0017105B">
        <w:rPr>
          <w:rFonts w:ascii="ZWAdobeF" w:hAnsi="ZWAdobeF" w:cs="ZWAdobeF"/>
          <w:color w:val="auto"/>
          <w:sz w:val="2"/>
          <w:szCs w:val="2"/>
        </w:rPr>
        <w:t>23F</w:t>
      </w:r>
      <w:r w:rsidRPr="001B7B60">
        <w:rPr>
          <w:rStyle w:val="FootnoteReference"/>
        </w:rPr>
        <w:footnoteReference w:id="25"/>
      </w:r>
      <w:r>
        <w:t xml:space="preserve"> This is the maximum amount by which a Council can increase </w:t>
      </w:r>
      <w:r w:rsidR="00A56887">
        <w:t>general rates and municipal charges in 2023-24.</w:t>
      </w:r>
    </w:p>
    <w:p w14:paraId="74859E30" w14:textId="774062BF" w:rsidR="00543D95" w:rsidRDefault="007330A5" w:rsidP="00543D95">
      <w:pPr>
        <w:pStyle w:val="03VIRTHeading3"/>
      </w:pPr>
      <w:r>
        <w:t>Conclusion on base allowances</w:t>
      </w:r>
    </w:p>
    <w:p w14:paraId="5A8ADBCD" w14:textId="19141807" w:rsidR="006A3204" w:rsidRDefault="006A3204" w:rsidP="006A3204">
      <w:pPr>
        <w:pStyle w:val="05Paragraph"/>
      </w:pPr>
      <w:r>
        <w:t xml:space="preserve">Having regard to all such considerations, the Tribunal has determined to increase the </w:t>
      </w:r>
      <w:r w:rsidR="00D146A7">
        <w:t xml:space="preserve">values of all base allowances </w:t>
      </w:r>
      <w:r>
        <w:t xml:space="preserve">by </w:t>
      </w:r>
      <w:r w:rsidR="00D146A7">
        <w:t>2</w:t>
      </w:r>
      <w:r>
        <w:t xml:space="preserve"> per cent</w:t>
      </w:r>
      <w:r w:rsidR="004F0778">
        <w:t xml:space="preserve"> from 1 July 2023</w:t>
      </w:r>
      <w:r>
        <w:t>.</w:t>
      </w:r>
    </w:p>
    <w:p w14:paraId="3010CB9F" w14:textId="4CD6179B" w:rsidR="00176237" w:rsidRPr="008351C4" w:rsidRDefault="00133674" w:rsidP="002229FF">
      <w:pPr>
        <w:pStyle w:val="05Paragraph"/>
      </w:pPr>
      <w:r>
        <w:t>When c</w:t>
      </w:r>
      <w:r w:rsidR="00E73474">
        <w:t>ombined</w:t>
      </w:r>
      <w:r w:rsidR="004E589B">
        <w:t xml:space="preserve"> with the 1.5 per cent increase determined by the Tribunal </w:t>
      </w:r>
      <w:r w:rsidR="007B5568">
        <w:t xml:space="preserve">in </w:t>
      </w:r>
      <w:r w:rsidR="00153C0F">
        <w:t>December 2022</w:t>
      </w:r>
      <w:r w:rsidR="006A2B37">
        <w:t>,</w:t>
      </w:r>
      <w:r w:rsidR="004E589B">
        <w:t xml:space="preserve"> </w:t>
      </w:r>
      <w:r w:rsidR="00F10D76">
        <w:t xml:space="preserve">base allowances </w:t>
      </w:r>
      <w:r w:rsidR="00880D9B">
        <w:t xml:space="preserve">will </w:t>
      </w:r>
      <w:r w:rsidR="00F10D76">
        <w:t xml:space="preserve">have increased by </w:t>
      </w:r>
      <w:r w:rsidR="00C50557">
        <w:t>approximately 3.5 per cent</w:t>
      </w:r>
      <w:r w:rsidR="004A2B34">
        <w:t xml:space="preserve"> </w:t>
      </w:r>
      <w:r w:rsidR="00302201">
        <w:t>since</w:t>
      </w:r>
      <w:r w:rsidR="00880D9B">
        <w:t xml:space="preserve"> 1 July 2022 </w:t>
      </w:r>
      <w:r w:rsidR="008D2CC7">
        <w:t>(</w:t>
      </w:r>
      <w:r w:rsidR="009932CD">
        <w:t>not taking into account</w:t>
      </w:r>
      <w:r w:rsidR="008D2CC7">
        <w:t xml:space="preserve"> the </w:t>
      </w:r>
      <w:r w:rsidR="00AB478E">
        <w:t>impact of</w:t>
      </w:r>
      <w:r w:rsidR="009932CD">
        <w:t xml:space="preserve"> </w:t>
      </w:r>
      <w:r w:rsidR="008D2CC7">
        <w:t>the phased increase on 18 December 2022)</w:t>
      </w:r>
      <w:r w:rsidR="00DB2D6D">
        <w:t>.</w:t>
      </w:r>
      <w:r w:rsidR="00693722">
        <w:t xml:space="preserve"> This is consistent</w:t>
      </w:r>
      <w:r w:rsidR="006E7898">
        <w:t xml:space="preserve"> with the increase to the </w:t>
      </w:r>
      <w:r w:rsidR="00DF269B">
        <w:t xml:space="preserve">MP </w:t>
      </w:r>
      <w:r w:rsidR="006E7898">
        <w:t>basic salary</w:t>
      </w:r>
      <w:r w:rsidR="002C24F2">
        <w:t xml:space="preserve"> from 1 July 2023</w:t>
      </w:r>
      <w:r w:rsidR="00DF269B">
        <w:t>,</w:t>
      </w:r>
      <w:r w:rsidR="00465A65">
        <w:t xml:space="preserve"> </w:t>
      </w:r>
      <w:r w:rsidR="005C5EEA">
        <w:t xml:space="preserve">as well as the </w:t>
      </w:r>
      <w:r w:rsidR="00E609B3">
        <w:t>rate cap</w:t>
      </w:r>
      <w:r w:rsidR="003D32BE">
        <w:t xml:space="preserve"> </w:t>
      </w:r>
      <w:r w:rsidR="00465A65">
        <w:t xml:space="preserve">for </w:t>
      </w:r>
      <w:r w:rsidR="00E609B3">
        <w:t>2023</w:t>
      </w:r>
      <w:r w:rsidR="002C24F2">
        <w:noBreakHyphen/>
      </w:r>
      <w:r w:rsidR="00E609B3">
        <w:t>24</w:t>
      </w:r>
      <w:r w:rsidR="00981093">
        <w:t>.</w:t>
      </w:r>
    </w:p>
    <w:p w14:paraId="0AB7D99F" w14:textId="66CA2180" w:rsidR="003F6F86" w:rsidRDefault="003F6F86" w:rsidP="002A3BE9">
      <w:pPr>
        <w:pStyle w:val="05Paragraph"/>
        <w:keepNext/>
      </w:pPr>
      <w:r w:rsidRPr="003F6F86">
        <w:lastRenderedPageBreak/>
        <w:t xml:space="preserve">The Tribunal’s 2023 </w:t>
      </w:r>
      <w:r w:rsidR="00244F4E">
        <w:t xml:space="preserve">Local Government </w:t>
      </w:r>
      <w:r w:rsidRPr="003F6F86">
        <w:t xml:space="preserve">Annual Adjustment Determination also applies to the future values of base allowances set in the Tribunal’s </w:t>
      </w:r>
      <w:r>
        <w:t xml:space="preserve">Comprehensive </w:t>
      </w:r>
      <w:r w:rsidRPr="003F6F86">
        <w:t xml:space="preserve">Determination. </w:t>
      </w:r>
    </w:p>
    <w:p w14:paraId="79D59CBF" w14:textId="7EBF0262" w:rsidR="003F6F86" w:rsidRPr="00EA6DE7" w:rsidRDefault="000D08B7" w:rsidP="003F6F86">
      <w:pPr>
        <w:spacing w:before="180" w:after="0" w:line="276" w:lineRule="auto"/>
        <w:jc w:val="both"/>
        <w:rPr>
          <w:rFonts w:ascii="Calibri" w:hAnsi="Calibri" w:cs="Calibri"/>
          <w:color w:val="000000" w:themeColor="text1"/>
          <w:sz w:val="26"/>
          <w:szCs w:val="20"/>
          <w:lang w:val="en-US"/>
        </w:rPr>
      </w:pPr>
      <w:r>
        <w:rPr>
          <w:rFonts w:ascii="Calibri" w:hAnsi="Calibri" w:cs="Calibri"/>
          <w:color w:val="000000" w:themeColor="text1"/>
          <w:sz w:val="26"/>
          <w:szCs w:val="20"/>
          <w:lang w:val="en-US"/>
        </w:rPr>
        <w:t>As such, a</w:t>
      </w:r>
      <w:r w:rsidR="003F6F86" w:rsidRPr="00EA6DE7">
        <w:rPr>
          <w:rFonts w:ascii="Calibri" w:hAnsi="Calibri" w:cs="Calibri"/>
          <w:color w:val="000000" w:themeColor="text1"/>
          <w:sz w:val="26"/>
          <w:szCs w:val="20"/>
          <w:lang w:val="en-US"/>
        </w:rPr>
        <w:t xml:space="preserve"> 2 per cent increase </w:t>
      </w:r>
      <w:r>
        <w:rPr>
          <w:rFonts w:ascii="Calibri" w:hAnsi="Calibri" w:cs="Calibri"/>
          <w:color w:val="000000" w:themeColor="text1"/>
          <w:sz w:val="26"/>
          <w:szCs w:val="20"/>
          <w:lang w:val="en-US"/>
        </w:rPr>
        <w:t xml:space="preserve">has been applied to the </w:t>
      </w:r>
      <w:r w:rsidR="003F6F86" w:rsidRPr="00EA6DE7">
        <w:rPr>
          <w:rFonts w:ascii="Calibri" w:hAnsi="Calibri" w:cs="Calibri"/>
          <w:color w:val="000000" w:themeColor="text1"/>
          <w:sz w:val="26"/>
          <w:szCs w:val="20"/>
          <w:lang w:val="en-US"/>
        </w:rPr>
        <w:t xml:space="preserve">base allowance </w:t>
      </w:r>
      <w:r>
        <w:rPr>
          <w:rFonts w:ascii="Calibri" w:hAnsi="Calibri" w:cs="Calibri"/>
          <w:color w:val="000000" w:themeColor="text1"/>
          <w:sz w:val="26"/>
          <w:szCs w:val="20"/>
          <w:lang w:val="en-US"/>
        </w:rPr>
        <w:t xml:space="preserve">values which will apply </w:t>
      </w:r>
      <w:r w:rsidR="003F6F86" w:rsidRPr="00EA6DE7">
        <w:rPr>
          <w:rFonts w:ascii="Calibri" w:hAnsi="Calibri" w:cs="Calibri"/>
          <w:color w:val="000000" w:themeColor="text1"/>
          <w:sz w:val="26"/>
          <w:szCs w:val="20"/>
          <w:lang w:val="en-US"/>
        </w:rPr>
        <w:t>from:</w:t>
      </w:r>
    </w:p>
    <w:p w14:paraId="12EB50FD" w14:textId="77777777" w:rsidR="002D6878" w:rsidRDefault="002D6878" w:rsidP="002229FF">
      <w:pPr>
        <w:pStyle w:val="06VIRTBulletpoints"/>
      </w:pPr>
      <w:r>
        <w:t>18 December 2023</w:t>
      </w:r>
    </w:p>
    <w:p w14:paraId="688EA84A" w14:textId="77777777" w:rsidR="002D6878" w:rsidRDefault="002D6878" w:rsidP="002229FF">
      <w:pPr>
        <w:pStyle w:val="06VIRTBulletpoints"/>
      </w:pPr>
      <w:r>
        <w:t xml:space="preserve">18 December 2024 </w:t>
      </w:r>
      <w:r w:rsidR="001918BF">
        <w:t>(Mayors and Deputy Mayors only)</w:t>
      </w:r>
    </w:p>
    <w:p w14:paraId="43DB096E" w14:textId="77777777" w:rsidR="003A07F2" w:rsidRDefault="001918BF" w:rsidP="002229FF">
      <w:pPr>
        <w:pStyle w:val="06VIRTBulletpoints"/>
      </w:pPr>
      <w:r>
        <w:t>18 December 2025 (Mayors and Deputy Mayors only).</w:t>
      </w:r>
    </w:p>
    <w:p w14:paraId="2AD3E234" w14:textId="2B6C4833" w:rsidR="00AE5643" w:rsidRDefault="001609CE" w:rsidP="003F6F86">
      <w:pPr>
        <w:pStyle w:val="05Paragraph"/>
        <w:keepNext/>
      </w:pPr>
      <w:r>
        <w:t>Table</w:t>
      </w:r>
      <w:r w:rsidR="00AE5643">
        <w:t xml:space="preserve">s </w:t>
      </w:r>
      <w:r w:rsidR="00EA6741">
        <w:t>2</w:t>
      </w:r>
      <w:r w:rsidR="00AE5643">
        <w:t>.</w:t>
      </w:r>
      <w:r w:rsidR="001C1D5E">
        <w:t>2</w:t>
      </w:r>
      <w:r w:rsidR="003B6605">
        <w:t xml:space="preserve"> </w:t>
      </w:r>
      <w:r w:rsidR="00AE5643">
        <w:t>–</w:t>
      </w:r>
      <w:r w:rsidR="003B6605">
        <w:t xml:space="preserve"> </w:t>
      </w:r>
      <w:r w:rsidR="00EA6741">
        <w:t>2</w:t>
      </w:r>
      <w:r w:rsidR="00AE5643">
        <w:t>.</w:t>
      </w:r>
      <w:r w:rsidR="001C1D5E">
        <w:t>4</w:t>
      </w:r>
      <w:r w:rsidR="00AE5643">
        <w:t xml:space="preserve"> set out </w:t>
      </w:r>
      <w:r w:rsidR="00026B30">
        <w:t>the new base allowance values</w:t>
      </w:r>
      <w:r w:rsidR="00874140">
        <w:t>, incorporating the</w:t>
      </w:r>
      <w:r w:rsidR="003407F6">
        <w:t xml:space="preserve"> phased increases and </w:t>
      </w:r>
      <w:r w:rsidR="00507325" w:rsidRPr="00A315E7">
        <w:t>2</w:t>
      </w:r>
      <w:r w:rsidR="003407F6">
        <w:t xml:space="preserve"> per cent annual adjustment rate</w:t>
      </w:r>
      <w:r w:rsidR="005404E2">
        <w:t>.</w:t>
      </w:r>
    </w:p>
    <w:p w14:paraId="3152B1A4" w14:textId="7EDBD8F7" w:rsidR="00A67B4F" w:rsidRDefault="001609CE" w:rsidP="00CC7A88">
      <w:pPr>
        <w:pStyle w:val="08Figuretableboxheading"/>
      </w:pPr>
      <w:r>
        <w:t>Table</w:t>
      </w:r>
      <w:r w:rsidR="00A67B4F">
        <w:t xml:space="preserve"> </w:t>
      </w:r>
      <w:r w:rsidR="00F379CB">
        <w:t>2</w:t>
      </w:r>
      <w:r w:rsidR="00A67B4F">
        <w:t>.</w:t>
      </w:r>
      <w:r w:rsidR="001C1D5E">
        <w:t>2</w:t>
      </w:r>
      <w:r w:rsidR="00A67B4F">
        <w:t>:</w:t>
      </w:r>
      <w:r w:rsidR="0010679D">
        <w:t xml:space="preserve"> </w:t>
      </w:r>
      <w:bookmarkStart w:id="39" w:name="_Hlk138845333"/>
      <w:r w:rsidR="0010679D">
        <w:t xml:space="preserve">Value of </w:t>
      </w:r>
      <w:r w:rsidR="00166354">
        <w:t xml:space="preserve">the </w:t>
      </w:r>
      <w:r w:rsidR="0010679D">
        <w:t>base allowance</w:t>
      </w:r>
      <w:r w:rsidR="00166354">
        <w:t xml:space="preserve"> for Mayors</w:t>
      </w:r>
      <w:bookmarkEnd w:id="39"/>
      <w:r w:rsidR="00504E62">
        <w:t>, $ per annum</w:t>
      </w:r>
    </w:p>
    <w:tbl>
      <w:tblPr>
        <w:tblStyle w:val="ListTable3-Accent212"/>
        <w:tblW w:w="5000" w:type="pct"/>
        <w:tblInd w:w="0" w:type="dxa"/>
        <w:tblLook w:val="04A0" w:firstRow="1" w:lastRow="0" w:firstColumn="1" w:lastColumn="0" w:noHBand="0" w:noVBand="1"/>
      </w:tblPr>
      <w:tblGrid>
        <w:gridCol w:w="2835"/>
        <w:gridCol w:w="1417"/>
        <w:gridCol w:w="1417"/>
        <w:gridCol w:w="1417"/>
        <w:gridCol w:w="1418"/>
      </w:tblGrid>
      <w:tr w:rsidR="00504E62" w:rsidRPr="00504E62" w14:paraId="045B2FC3" w14:textId="77777777" w:rsidTr="00504E62">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1667" w:type="pct"/>
            <w:tcBorders>
              <w:top w:val="single" w:sz="4" w:space="0" w:color="148A5D" w:themeColor="accent2"/>
              <w:bottom w:val="single" w:sz="4" w:space="0" w:color="148A5D"/>
            </w:tcBorders>
            <w:shd w:val="clear" w:color="auto" w:fill="auto"/>
          </w:tcPr>
          <w:p w14:paraId="51274D27" w14:textId="5B96B50F" w:rsidR="00B65B1F" w:rsidRPr="00504E62" w:rsidRDefault="00504E62" w:rsidP="00504E62">
            <w:pPr>
              <w:keepNext/>
              <w:spacing w:after="0"/>
              <w:contextualSpacing/>
              <w:rPr>
                <w:rFonts w:ascii="Calibri" w:hAnsi="Calibri" w:cs="Calibri"/>
                <w:color w:val="auto"/>
                <w:sz w:val="22"/>
                <w:lang w:val="en-US"/>
              </w:rPr>
            </w:pPr>
            <w:r w:rsidRPr="00504E62">
              <w:rPr>
                <w:rFonts w:ascii="Calibri" w:hAnsi="Calibri" w:cs="Calibri"/>
                <w:color w:val="auto"/>
                <w:sz w:val="22"/>
                <w:lang w:val="en-US"/>
              </w:rPr>
              <w:t>Council allowance category</w:t>
            </w:r>
          </w:p>
        </w:tc>
        <w:tc>
          <w:tcPr>
            <w:tcW w:w="833" w:type="pct"/>
            <w:tcBorders>
              <w:top w:val="single" w:sz="4" w:space="0" w:color="148A5D" w:themeColor="accent2"/>
              <w:bottom w:val="single" w:sz="4" w:space="0" w:color="148A5D"/>
            </w:tcBorders>
            <w:shd w:val="clear" w:color="auto" w:fill="auto"/>
          </w:tcPr>
          <w:p w14:paraId="087BB5D8" w14:textId="639D467D" w:rsidR="00B65B1F" w:rsidRPr="00504E62" w:rsidRDefault="001D3001" w:rsidP="000858BD">
            <w:pPr>
              <w:keepNext/>
              <w:spacing w:after="0"/>
              <w:contextualSpacing/>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lang w:val="en-US"/>
              </w:rPr>
            </w:pPr>
            <w:r w:rsidRPr="00504E62">
              <w:rPr>
                <w:rFonts w:ascii="Calibri" w:hAnsi="Calibri" w:cs="Calibri"/>
                <w:color w:val="auto"/>
                <w:sz w:val="22"/>
                <w:lang w:val="en-US"/>
              </w:rPr>
              <w:t xml:space="preserve">1 July </w:t>
            </w:r>
            <w:r w:rsidR="003853A3" w:rsidRPr="00504E62">
              <w:rPr>
                <w:rFonts w:ascii="Calibri" w:hAnsi="Calibri" w:cs="Calibri"/>
                <w:color w:val="auto"/>
                <w:sz w:val="22"/>
                <w:lang w:val="en-US"/>
              </w:rPr>
              <w:t>202</w:t>
            </w:r>
            <w:r w:rsidRPr="00504E62">
              <w:rPr>
                <w:rFonts w:ascii="Calibri" w:hAnsi="Calibri" w:cs="Calibri"/>
                <w:color w:val="auto"/>
                <w:sz w:val="22"/>
                <w:lang w:val="en-US"/>
              </w:rPr>
              <w:t>3</w:t>
            </w:r>
          </w:p>
        </w:tc>
        <w:tc>
          <w:tcPr>
            <w:tcW w:w="833" w:type="pct"/>
            <w:tcBorders>
              <w:top w:val="single" w:sz="4" w:space="0" w:color="148A5D" w:themeColor="accent2"/>
              <w:bottom w:val="single" w:sz="4" w:space="0" w:color="148A5D"/>
            </w:tcBorders>
            <w:shd w:val="clear" w:color="auto" w:fill="auto"/>
          </w:tcPr>
          <w:p w14:paraId="1AF1AD59" w14:textId="67984C4F" w:rsidR="00B65B1F" w:rsidRPr="00504E62" w:rsidRDefault="001D3001" w:rsidP="000858BD">
            <w:pPr>
              <w:keepNext/>
              <w:spacing w:after="0"/>
              <w:contextualSpacing/>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lang w:val="en-US"/>
              </w:rPr>
            </w:pPr>
            <w:r w:rsidRPr="00504E62">
              <w:rPr>
                <w:rFonts w:ascii="Calibri" w:hAnsi="Calibri" w:cs="Calibri"/>
                <w:color w:val="auto"/>
                <w:sz w:val="22"/>
                <w:lang w:val="en-US"/>
              </w:rPr>
              <w:t xml:space="preserve">18 Dec </w:t>
            </w:r>
            <w:r w:rsidR="00B65B1F" w:rsidRPr="00504E62">
              <w:rPr>
                <w:rFonts w:ascii="Calibri" w:hAnsi="Calibri" w:cs="Calibri"/>
                <w:color w:val="auto"/>
                <w:sz w:val="22"/>
                <w:lang w:val="en-US"/>
              </w:rPr>
              <w:t>2023</w:t>
            </w:r>
          </w:p>
        </w:tc>
        <w:tc>
          <w:tcPr>
            <w:tcW w:w="833" w:type="pct"/>
            <w:tcBorders>
              <w:top w:val="single" w:sz="4" w:space="0" w:color="148A5D" w:themeColor="accent2"/>
              <w:bottom w:val="single" w:sz="4" w:space="0" w:color="148A5D"/>
            </w:tcBorders>
            <w:shd w:val="clear" w:color="auto" w:fill="auto"/>
          </w:tcPr>
          <w:p w14:paraId="4493DF23" w14:textId="2B1A8346" w:rsidR="00B65B1F" w:rsidRPr="00504E62" w:rsidRDefault="001D3001" w:rsidP="000858BD">
            <w:pPr>
              <w:keepNext/>
              <w:spacing w:after="0"/>
              <w:contextualSpacing/>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lang w:val="en-US"/>
              </w:rPr>
            </w:pPr>
            <w:r w:rsidRPr="00504E62">
              <w:rPr>
                <w:rFonts w:ascii="Calibri" w:hAnsi="Calibri" w:cs="Calibri"/>
                <w:color w:val="auto"/>
                <w:sz w:val="22"/>
                <w:lang w:val="en-US"/>
              </w:rPr>
              <w:t xml:space="preserve">18 Dec </w:t>
            </w:r>
            <w:r w:rsidR="00B65B1F" w:rsidRPr="00504E62">
              <w:rPr>
                <w:rFonts w:ascii="Calibri" w:hAnsi="Calibri" w:cs="Calibri"/>
                <w:color w:val="auto"/>
                <w:sz w:val="22"/>
                <w:lang w:val="en-US"/>
              </w:rPr>
              <w:t>2024</w:t>
            </w:r>
          </w:p>
        </w:tc>
        <w:tc>
          <w:tcPr>
            <w:tcW w:w="834" w:type="pct"/>
            <w:tcBorders>
              <w:top w:val="single" w:sz="4" w:space="0" w:color="148A5D" w:themeColor="accent2"/>
              <w:bottom w:val="single" w:sz="4" w:space="0" w:color="148A5D"/>
            </w:tcBorders>
            <w:shd w:val="clear" w:color="auto" w:fill="auto"/>
          </w:tcPr>
          <w:p w14:paraId="77E41734" w14:textId="0D29CF16" w:rsidR="00B65B1F" w:rsidRPr="00504E62" w:rsidRDefault="001D3001" w:rsidP="000858BD">
            <w:pPr>
              <w:keepNext/>
              <w:spacing w:after="0"/>
              <w:contextualSpacing/>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lang w:val="en-US"/>
              </w:rPr>
            </w:pPr>
            <w:r w:rsidRPr="00504E62">
              <w:rPr>
                <w:rFonts w:ascii="Calibri" w:hAnsi="Calibri" w:cs="Calibri"/>
                <w:color w:val="auto"/>
                <w:sz w:val="22"/>
                <w:lang w:val="en-US"/>
              </w:rPr>
              <w:t xml:space="preserve">18 Dec </w:t>
            </w:r>
            <w:r w:rsidR="00B65B1F" w:rsidRPr="00504E62">
              <w:rPr>
                <w:rFonts w:ascii="Calibri" w:hAnsi="Calibri" w:cs="Calibri"/>
                <w:color w:val="auto"/>
                <w:sz w:val="22"/>
                <w:lang w:val="en-US"/>
              </w:rPr>
              <w:t>2025</w:t>
            </w:r>
          </w:p>
        </w:tc>
      </w:tr>
      <w:tr w:rsidR="00443B6B" w:rsidRPr="00C71CCB" w14:paraId="4B82D4E3" w14:textId="77777777" w:rsidTr="00504E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7" w:type="pct"/>
          </w:tcPr>
          <w:p w14:paraId="394407B5" w14:textId="77777777" w:rsidR="00443B6B" w:rsidRPr="00C71CCB" w:rsidRDefault="00443B6B" w:rsidP="00443B6B">
            <w:pPr>
              <w:pStyle w:val="Tabletext"/>
              <w:rPr>
                <w:rFonts w:ascii="Calibri" w:hAnsi="Calibri" w:cs="Calibri"/>
                <w:color w:val="auto"/>
              </w:rPr>
            </w:pPr>
            <w:r w:rsidRPr="00C71CCB">
              <w:rPr>
                <w:rFonts w:ascii="Calibri" w:hAnsi="Calibri" w:cs="Calibri"/>
                <w:color w:val="auto"/>
              </w:rPr>
              <w:t>Category 1</w:t>
            </w:r>
          </w:p>
        </w:tc>
        <w:tc>
          <w:tcPr>
            <w:tcW w:w="833" w:type="pct"/>
          </w:tcPr>
          <w:p w14:paraId="50F4243A" w14:textId="4D119D99" w:rsidR="00443B6B" w:rsidRPr="00C71CCB" w:rsidRDefault="00443B6B" w:rsidP="00A7557D">
            <w:pPr>
              <w:pStyle w:val="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auto"/>
              </w:rPr>
            </w:pPr>
            <w:r w:rsidRPr="00C71CCB">
              <w:rPr>
                <w:rFonts w:ascii="Calibri" w:hAnsi="Calibri" w:cs="Calibri"/>
                <w:bCs/>
                <w:color w:val="auto"/>
              </w:rPr>
              <w:t>79,492</w:t>
            </w:r>
          </w:p>
        </w:tc>
        <w:tc>
          <w:tcPr>
            <w:tcW w:w="833" w:type="pct"/>
          </w:tcPr>
          <w:p w14:paraId="411E96E5" w14:textId="64B43693" w:rsidR="00443B6B" w:rsidRPr="00C71CCB" w:rsidRDefault="0094440C" w:rsidP="00A7557D">
            <w:pPr>
              <w:pStyle w:val="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auto"/>
              </w:rPr>
            </w:pPr>
            <w:r w:rsidRPr="00C71CCB">
              <w:rPr>
                <w:rFonts w:ascii="Calibri" w:hAnsi="Calibri" w:cs="Calibri"/>
                <w:bCs/>
                <w:color w:val="auto"/>
              </w:rPr>
              <w:t>8</w:t>
            </w:r>
            <w:r w:rsidR="00443B6B" w:rsidRPr="00C71CCB">
              <w:rPr>
                <w:rFonts w:ascii="Calibri" w:hAnsi="Calibri" w:cs="Calibri"/>
                <w:bCs/>
                <w:color w:val="auto"/>
              </w:rPr>
              <w:t>1,641</w:t>
            </w:r>
          </w:p>
        </w:tc>
        <w:tc>
          <w:tcPr>
            <w:tcW w:w="833" w:type="pct"/>
          </w:tcPr>
          <w:p w14:paraId="4D8FA728" w14:textId="76764C0C" w:rsidR="00443B6B" w:rsidRPr="00C71CCB" w:rsidRDefault="00443B6B" w:rsidP="00A7557D">
            <w:pPr>
              <w:pStyle w:val="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auto"/>
              </w:rPr>
            </w:pPr>
            <w:r w:rsidRPr="00C71CCB">
              <w:rPr>
                <w:rFonts w:ascii="Calibri" w:hAnsi="Calibri" w:cs="Calibri"/>
                <w:bCs/>
                <w:color w:val="auto"/>
              </w:rPr>
              <w:t>83,789</w:t>
            </w:r>
          </w:p>
        </w:tc>
        <w:tc>
          <w:tcPr>
            <w:tcW w:w="834" w:type="pct"/>
          </w:tcPr>
          <w:p w14:paraId="1B0C8CD0" w14:textId="59E5E5C2" w:rsidR="00443B6B" w:rsidRPr="00C71CCB" w:rsidRDefault="00443B6B" w:rsidP="00A7557D">
            <w:pPr>
              <w:pStyle w:val="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auto"/>
              </w:rPr>
            </w:pPr>
            <w:r w:rsidRPr="00C71CCB">
              <w:rPr>
                <w:rFonts w:ascii="Calibri" w:hAnsi="Calibri" w:cs="Calibri"/>
                <w:bCs/>
                <w:color w:val="auto"/>
              </w:rPr>
              <w:t>85,937</w:t>
            </w:r>
          </w:p>
        </w:tc>
      </w:tr>
      <w:tr w:rsidR="00443B6B" w:rsidRPr="00C71CCB" w14:paraId="3B0FA4A3" w14:textId="77777777" w:rsidTr="00A7557D">
        <w:trPr>
          <w:cantSplit/>
        </w:trPr>
        <w:tc>
          <w:tcPr>
            <w:cnfStyle w:val="001000000000" w:firstRow="0" w:lastRow="0" w:firstColumn="1" w:lastColumn="0" w:oddVBand="0" w:evenVBand="0" w:oddHBand="0" w:evenHBand="0" w:firstRowFirstColumn="0" w:firstRowLastColumn="0" w:lastRowFirstColumn="0" w:lastRowLastColumn="0"/>
            <w:tcW w:w="1667" w:type="pct"/>
          </w:tcPr>
          <w:p w14:paraId="752DF3AF" w14:textId="77777777" w:rsidR="00443B6B" w:rsidRPr="00C71CCB" w:rsidRDefault="00443B6B" w:rsidP="00443B6B">
            <w:pPr>
              <w:pStyle w:val="Tabletext"/>
              <w:rPr>
                <w:rFonts w:ascii="Calibri" w:hAnsi="Calibri" w:cs="Calibri"/>
                <w:color w:val="auto"/>
              </w:rPr>
            </w:pPr>
            <w:r w:rsidRPr="00C71CCB">
              <w:rPr>
                <w:rFonts w:ascii="Calibri" w:hAnsi="Calibri" w:cs="Calibri"/>
                <w:color w:val="auto"/>
              </w:rPr>
              <w:t>Category 2</w:t>
            </w:r>
          </w:p>
        </w:tc>
        <w:tc>
          <w:tcPr>
            <w:tcW w:w="833" w:type="pct"/>
          </w:tcPr>
          <w:p w14:paraId="04F0C8E7" w14:textId="37D7C1F6" w:rsidR="00443B6B" w:rsidRPr="00C71CCB" w:rsidRDefault="00443B6B" w:rsidP="00A7557D">
            <w:pPr>
              <w:pStyle w:val="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bCs/>
                <w:color w:val="auto"/>
              </w:rPr>
            </w:pPr>
            <w:r w:rsidRPr="00C71CCB">
              <w:rPr>
                <w:rFonts w:ascii="Calibri" w:hAnsi="Calibri" w:cs="Calibri"/>
                <w:bCs/>
                <w:color w:val="auto"/>
              </w:rPr>
              <w:t>102,650</w:t>
            </w:r>
          </w:p>
        </w:tc>
        <w:tc>
          <w:tcPr>
            <w:tcW w:w="833" w:type="pct"/>
          </w:tcPr>
          <w:p w14:paraId="245805FC" w14:textId="709E8CBA" w:rsidR="00443B6B" w:rsidRPr="00C71CCB" w:rsidRDefault="00443B6B" w:rsidP="00A7557D">
            <w:pPr>
              <w:pStyle w:val="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bCs/>
                <w:color w:val="auto"/>
              </w:rPr>
            </w:pPr>
            <w:r w:rsidRPr="00C71CCB">
              <w:rPr>
                <w:rFonts w:ascii="Calibri" w:hAnsi="Calibri" w:cs="Calibri"/>
                <w:bCs/>
                <w:color w:val="auto"/>
              </w:rPr>
              <w:t>105,424</w:t>
            </w:r>
          </w:p>
        </w:tc>
        <w:tc>
          <w:tcPr>
            <w:tcW w:w="833" w:type="pct"/>
          </w:tcPr>
          <w:p w14:paraId="5FEA53A3" w14:textId="335064AB" w:rsidR="00443B6B" w:rsidRPr="00C71CCB" w:rsidRDefault="00443B6B" w:rsidP="00A7557D">
            <w:pPr>
              <w:pStyle w:val="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bCs/>
                <w:color w:val="auto"/>
              </w:rPr>
            </w:pPr>
            <w:r w:rsidRPr="00C71CCB">
              <w:rPr>
                <w:rFonts w:ascii="Calibri" w:hAnsi="Calibri" w:cs="Calibri"/>
                <w:bCs/>
                <w:color w:val="auto"/>
              </w:rPr>
              <w:t>108,200</w:t>
            </w:r>
          </w:p>
        </w:tc>
        <w:tc>
          <w:tcPr>
            <w:tcW w:w="834" w:type="pct"/>
          </w:tcPr>
          <w:p w14:paraId="3B976BCE" w14:textId="63AC2D46" w:rsidR="00443B6B" w:rsidRPr="00C71CCB" w:rsidRDefault="00443B6B" w:rsidP="00A7557D">
            <w:pPr>
              <w:pStyle w:val="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bCs/>
                <w:color w:val="auto"/>
              </w:rPr>
            </w:pPr>
            <w:r w:rsidRPr="00C71CCB">
              <w:rPr>
                <w:rFonts w:ascii="Calibri" w:hAnsi="Calibri" w:cs="Calibri"/>
                <w:bCs/>
                <w:color w:val="auto"/>
              </w:rPr>
              <w:t>110,973</w:t>
            </w:r>
          </w:p>
        </w:tc>
      </w:tr>
      <w:tr w:rsidR="00443B6B" w:rsidRPr="00C71CCB" w14:paraId="471DDD72" w14:textId="77777777" w:rsidTr="00A7557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7" w:type="pct"/>
          </w:tcPr>
          <w:p w14:paraId="622BE325" w14:textId="77777777" w:rsidR="00443B6B" w:rsidRPr="00C71CCB" w:rsidRDefault="00443B6B" w:rsidP="00443B6B">
            <w:pPr>
              <w:pStyle w:val="Tabletext"/>
              <w:rPr>
                <w:rFonts w:ascii="Calibri" w:hAnsi="Calibri" w:cs="Calibri"/>
                <w:color w:val="auto"/>
              </w:rPr>
            </w:pPr>
            <w:r w:rsidRPr="00C71CCB">
              <w:rPr>
                <w:rFonts w:ascii="Calibri" w:hAnsi="Calibri" w:cs="Calibri"/>
                <w:color w:val="auto"/>
              </w:rPr>
              <w:t>Category 3</w:t>
            </w:r>
          </w:p>
        </w:tc>
        <w:tc>
          <w:tcPr>
            <w:tcW w:w="833" w:type="pct"/>
          </w:tcPr>
          <w:p w14:paraId="06238D10" w14:textId="6B38C9DD" w:rsidR="00443B6B" w:rsidRPr="00C71CCB" w:rsidRDefault="00443B6B" w:rsidP="00A7557D">
            <w:pPr>
              <w:pStyle w:val="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auto"/>
              </w:rPr>
            </w:pPr>
            <w:r w:rsidRPr="00C71CCB">
              <w:rPr>
                <w:rFonts w:ascii="Calibri" w:hAnsi="Calibri" w:cs="Calibri"/>
                <w:bCs/>
                <w:color w:val="auto"/>
              </w:rPr>
              <w:t>126,958</w:t>
            </w:r>
          </w:p>
        </w:tc>
        <w:tc>
          <w:tcPr>
            <w:tcW w:w="833" w:type="pct"/>
          </w:tcPr>
          <w:p w14:paraId="1CE748C6" w14:textId="0D89A7EC" w:rsidR="00443B6B" w:rsidRPr="00C71CCB" w:rsidRDefault="00443B6B" w:rsidP="00A7557D">
            <w:pPr>
              <w:pStyle w:val="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auto"/>
              </w:rPr>
            </w:pPr>
            <w:r w:rsidRPr="00C71CCB">
              <w:rPr>
                <w:rFonts w:ascii="Calibri" w:hAnsi="Calibri" w:cs="Calibri"/>
                <w:bCs/>
                <w:color w:val="auto"/>
              </w:rPr>
              <w:t>130,390</w:t>
            </w:r>
          </w:p>
        </w:tc>
        <w:tc>
          <w:tcPr>
            <w:tcW w:w="833" w:type="pct"/>
          </w:tcPr>
          <w:p w14:paraId="6FDFA2FA" w14:textId="2E32B4C9" w:rsidR="00443B6B" w:rsidRPr="00C71CCB" w:rsidRDefault="00443B6B" w:rsidP="00A7557D">
            <w:pPr>
              <w:pStyle w:val="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auto"/>
              </w:rPr>
            </w:pPr>
            <w:r w:rsidRPr="00C71CCB">
              <w:rPr>
                <w:rFonts w:ascii="Calibri" w:hAnsi="Calibri" w:cs="Calibri"/>
                <w:bCs/>
                <w:color w:val="auto"/>
              </w:rPr>
              <w:t>133,822</w:t>
            </w:r>
          </w:p>
        </w:tc>
        <w:tc>
          <w:tcPr>
            <w:tcW w:w="834" w:type="pct"/>
          </w:tcPr>
          <w:p w14:paraId="717C42DC" w14:textId="5F51C28D" w:rsidR="00443B6B" w:rsidRPr="00C71CCB" w:rsidRDefault="00443B6B" w:rsidP="00A7557D">
            <w:pPr>
              <w:pStyle w:val="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auto"/>
              </w:rPr>
            </w:pPr>
            <w:r w:rsidRPr="00C71CCB">
              <w:rPr>
                <w:rFonts w:ascii="Calibri" w:hAnsi="Calibri" w:cs="Calibri"/>
                <w:bCs/>
                <w:color w:val="auto"/>
              </w:rPr>
              <w:t>137,253</w:t>
            </w:r>
          </w:p>
        </w:tc>
      </w:tr>
      <w:tr w:rsidR="00443B6B" w:rsidRPr="00C71CCB" w14:paraId="2B4E1B48" w14:textId="77777777" w:rsidTr="00A7557D">
        <w:trPr>
          <w:cantSplit/>
        </w:trPr>
        <w:tc>
          <w:tcPr>
            <w:cnfStyle w:val="001000000000" w:firstRow="0" w:lastRow="0" w:firstColumn="1" w:lastColumn="0" w:oddVBand="0" w:evenVBand="0" w:oddHBand="0" w:evenHBand="0" w:firstRowFirstColumn="0" w:firstRowLastColumn="0" w:lastRowFirstColumn="0" w:lastRowLastColumn="0"/>
            <w:tcW w:w="1667" w:type="pct"/>
          </w:tcPr>
          <w:p w14:paraId="5FC52B10" w14:textId="1BEA5E31" w:rsidR="00443B6B" w:rsidRPr="00C71CCB" w:rsidRDefault="00443B6B" w:rsidP="00443B6B">
            <w:pPr>
              <w:pStyle w:val="Tabletext"/>
              <w:rPr>
                <w:rFonts w:ascii="Calibri" w:hAnsi="Calibri" w:cs="Calibri"/>
                <w:color w:val="auto"/>
              </w:rPr>
            </w:pPr>
            <w:r w:rsidRPr="00C71CCB">
              <w:rPr>
                <w:rFonts w:ascii="Calibri" w:hAnsi="Calibri" w:cs="Calibri"/>
                <w:color w:val="auto"/>
              </w:rPr>
              <w:t>Category 4</w:t>
            </w:r>
          </w:p>
        </w:tc>
        <w:tc>
          <w:tcPr>
            <w:tcW w:w="833" w:type="pct"/>
          </w:tcPr>
          <w:p w14:paraId="0F4BE828" w14:textId="7CA518C5" w:rsidR="00443B6B" w:rsidRPr="00C71CCB" w:rsidRDefault="00443B6B" w:rsidP="00A7557D">
            <w:pPr>
              <w:pStyle w:val="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bCs/>
                <w:color w:val="auto"/>
              </w:rPr>
            </w:pPr>
            <w:r w:rsidRPr="00C71CCB">
              <w:rPr>
                <w:rFonts w:ascii="Calibri" w:hAnsi="Calibri" w:cs="Calibri"/>
                <w:bCs/>
                <w:color w:val="auto"/>
              </w:rPr>
              <w:t>253,920</w:t>
            </w:r>
          </w:p>
        </w:tc>
        <w:tc>
          <w:tcPr>
            <w:tcW w:w="833" w:type="pct"/>
          </w:tcPr>
          <w:p w14:paraId="6E15F92E" w14:textId="74FBAF05" w:rsidR="00443B6B" w:rsidRPr="00C71CCB" w:rsidRDefault="00443B6B" w:rsidP="00A7557D">
            <w:pPr>
              <w:pStyle w:val="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bCs/>
                <w:color w:val="auto"/>
              </w:rPr>
            </w:pPr>
            <w:r w:rsidRPr="00C71CCB">
              <w:rPr>
                <w:rFonts w:ascii="Calibri" w:hAnsi="Calibri" w:cs="Calibri"/>
                <w:bCs/>
                <w:color w:val="auto"/>
              </w:rPr>
              <w:t>260,782</w:t>
            </w:r>
          </w:p>
        </w:tc>
        <w:tc>
          <w:tcPr>
            <w:tcW w:w="833" w:type="pct"/>
          </w:tcPr>
          <w:p w14:paraId="5C0551D2" w14:textId="6A4E537E" w:rsidR="00443B6B" w:rsidRPr="00C71CCB" w:rsidRDefault="00443B6B" w:rsidP="00A7557D">
            <w:pPr>
              <w:pStyle w:val="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bCs/>
                <w:color w:val="auto"/>
              </w:rPr>
            </w:pPr>
            <w:r w:rsidRPr="00C71CCB">
              <w:rPr>
                <w:rFonts w:ascii="Calibri" w:hAnsi="Calibri" w:cs="Calibri"/>
                <w:bCs/>
                <w:color w:val="auto"/>
              </w:rPr>
              <w:t>267,646</w:t>
            </w:r>
          </w:p>
        </w:tc>
        <w:tc>
          <w:tcPr>
            <w:tcW w:w="834" w:type="pct"/>
          </w:tcPr>
          <w:p w14:paraId="5320C5B9" w14:textId="5EA1792E" w:rsidR="00443B6B" w:rsidRPr="00C71CCB" w:rsidRDefault="00443B6B" w:rsidP="00A7557D">
            <w:pPr>
              <w:pStyle w:val="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bCs/>
                <w:color w:val="auto"/>
              </w:rPr>
            </w:pPr>
            <w:r w:rsidRPr="00C71CCB">
              <w:rPr>
                <w:rFonts w:ascii="Calibri" w:hAnsi="Calibri" w:cs="Calibri"/>
                <w:bCs/>
                <w:color w:val="auto"/>
              </w:rPr>
              <w:t>274,508</w:t>
            </w:r>
          </w:p>
        </w:tc>
      </w:tr>
    </w:tbl>
    <w:p w14:paraId="7DF9748F" w14:textId="6A71C4B5" w:rsidR="00F65034" w:rsidRDefault="001609CE" w:rsidP="00F65034">
      <w:pPr>
        <w:pStyle w:val="08Figuretableboxheading"/>
      </w:pPr>
      <w:r>
        <w:t>Table</w:t>
      </w:r>
      <w:r w:rsidR="00F65034">
        <w:t xml:space="preserve"> </w:t>
      </w:r>
      <w:r w:rsidR="00F379CB">
        <w:t>2</w:t>
      </w:r>
      <w:r w:rsidR="00F65034">
        <w:t>.</w:t>
      </w:r>
      <w:r w:rsidR="001C1D5E">
        <w:t>3</w:t>
      </w:r>
      <w:r w:rsidR="00F65034">
        <w:t>:</w:t>
      </w:r>
      <w:r w:rsidR="0010679D">
        <w:t xml:space="preserve"> </w:t>
      </w:r>
      <w:r w:rsidR="00166354">
        <w:t>Value of the base allowance for Deputy Mayors</w:t>
      </w:r>
      <w:r w:rsidR="00504E62">
        <w:t>, $ per annum</w:t>
      </w:r>
    </w:p>
    <w:tbl>
      <w:tblPr>
        <w:tblStyle w:val="ListTable3-Accent212"/>
        <w:tblW w:w="5000" w:type="pct"/>
        <w:tblInd w:w="0" w:type="dxa"/>
        <w:tblLook w:val="04A0" w:firstRow="1" w:lastRow="0" w:firstColumn="1" w:lastColumn="0" w:noHBand="0" w:noVBand="1"/>
      </w:tblPr>
      <w:tblGrid>
        <w:gridCol w:w="2834"/>
        <w:gridCol w:w="1417"/>
        <w:gridCol w:w="1418"/>
        <w:gridCol w:w="1417"/>
        <w:gridCol w:w="1418"/>
      </w:tblGrid>
      <w:tr w:rsidR="00504E62" w:rsidRPr="00504E62" w14:paraId="49E6E776" w14:textId="77777777" w:rsidTr="00504E62">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1666" w:type="pct"/>
            <w:tcBorders>
              <w:top w:val="single" w:sz="4" w:space="0" w:color="148A5D" w:themeColor="accent2"/>
              <w:bottom w:val="single" w:sz="4" w:space="0" w:color="148A5D"/>
            </w:tcBorders>
            <w:shd w:val="clear" w:color="auto" w:fill="auto"/>
          </w:tcPr>
          <w:p w14:paraId="5C3F0398" w14:textId="60FD1B8D" w:rsidR="001D3001" w:rsidRPr="00504E62" w:rsidRDefault="00504E62" w:rsidP="00504E62">
            <w:pPr>
              <w:keepNext/>
              <w:spacing w:after="0"/>
              <w:contextualSpacing/>
              <w:rPr>
                <w:rFonts w:ascii="Calibri" w:hAnsi="Calibri" w:cs="Calibri"/>
                <w:color w:val="auto"/>
                <w:sz w:val="22"/>
                <w:lang w:val="en-US"/>
              </w:rPr>
            </w:pPr>
            <w:r w:rsidRPr="00504E62">
              <w:rPr>
                <w:rFonts w:ascii="Calibri" w:hAnsi="Calibri" w:cs="Calibri"/>
                <w:color w:val="auto"/>
                <w:sz w:val="22"/>
                <w:lang w:val="en-US"/>
              </w:rPr>
              <w:t>Council allowance category</w:t>
            </w:r>
          </w:p>
        </w:tc>
        <w:tc>
          <w:tcPr>
            <w:tcW w:w="833" w:type="pct"/>
            <w:tcBorders>
              <w:top w:val="single" w:sz="4" w:space="0" w:color="148A5D" w:themeColor="accent2"/>
              <w:bottom w:val="single" w:sz="4" w:space="0" w:color="148A5D"/>
            </w:tcBorders>
            <w:shd w:val="clear" w:color="auto" w:fill="auto"/>
          </w:tcPr>
          <w:p w14:paraId="7879D3A1" w14:textId="48F172F0" w:rsidR="001D3001" w:rsidRPr="00504E62" w:rsidRDefault="001D3001" w:rsidP="00DF269B">
            <w:pPr>
              <w:keepNext/>
              <w:spacing w:after="0"/>
              <w:contextualSpacing/>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lang w:val="en-US"/>
              </w:rPr>
            </w:pPr>
            <w:r w:rsidRPr="00504E62">
              <w:rPr>
                <w:rFonts w:ascii="Calibri" w:hAnsi="Calibri" w:cs="Calibri"/>
                <w:color w:val="auto"/>
                <w:sz w:val="22"/>
                <w:lang w:val="en-US"/>
              </w:rPr>
              <w:t>1 July 2023</w:t>
            </w:r>
          </w:p>
        </w:tc>
        <w:tc>
          <w:tcPr>
            <w:tcW w:w="834" w:type="pct"/>
            <w:tcBorders>
              <w:top w:val="single" w:sz="4" w:space="0" w:color="148A5D" w:themeColor="accent2"/>
              <w:bottom w:val="single" w:sz="4" w:space="0" w:color="148A5D"/>
            </w:tcBorders>
            <w:shd w:val="clear" w:color="auto" w:fill="auto"/>
          </w:tcPr>
          <w:p w14:paraId="74B8B987" w14:textId="4E6FBA04" w:rsidR="001D3001" w:rsidRPr="00504E62" w:rsidRDefault="001D3001" w:rsidP="00DF269B">
            <w:pPr>
              <w:keepNext/>
              <w:spacing w:after="0"/>
              <w:contextualSpacing/>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lang w:val="en-US"/>
              </w:rPr>
            </w:pPr>
            <w:r w:rsidRPr="00504E62">
              <w:rPr>
                <w:rFonts w:ascii="Calibri" w:hAnsi="Calibri" w:cs="Calibri"/>
                <w:color w:val="auto"/>
                <w:sz w:val="22"/>
                <w:lang w:val="en-US"/>
              </w:rPr>
              <w:t>18 Dec 2023</w:t>
            </w:r>
          </w:p>
        </w:tc>
        <w:tc>
          <w:tcPr>
            <w:tcW w:w="833" w:type="pct"/>
            <w:tcBorders>
              <w:top w:val="single" w:sz="4" w:space="0" w:color="148A5D" w:themeColor="accent2"/>
              <w:bottom w:val="single" w:sz="4" w:space="0" w:color="148A5D"/>
            </w:tcBorders>
            <w:shd w:val="clear" w:color="auto" w:fill="auto"/>
          </w:tcPr>
          <w:p w14:paraId="6DB25B90" w14:textId="49AFB689" w:rsidR="001D3001" w:rsidRPr="00504E62" w:rsidRDefault="001D3001" w:rsidP="00DF269B">
            <w:pPr>
              <w:keepNext/>
              <w:spacing w:after="0"/>
              <w:contextualSpacing/>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lang w:val="en-US"/>
              </w:rPr>
            </w:pPr>
            <w:r w:rsidRPr="00504E62">
              <w:rPr>
                <w:rFonts w:ascii="Calibri" w:hAnsi="Calibri" w:cs="Calibri"/>
                <w:color w:val="auto"/>
                <w:sz w:val="22"/>
                <w:lang w:val="en-US"/>
              </w:rPr>
              <w:t>18 Dec 2024</w:t>
            </w:r>
          </w:p>
        </w:tc>
        <w:tc>
          <w:tcPr>
            <w:tcW w:w="834" w:type="pct"/>
            <w:tcBorders>
              <w:top w:val="single" w:sz="4" w:space="0" w:color="148A5D" w:themeColor="accent2"/>
              <w:bottom w:val="single" w:sz="4" w:space="0" w:color="148A5D"/>
            </w:tcBorders>
            <w:shd w:val="clear" w:color="auto" w:fill="auto"/>
          </w:tcPr>
          <w:p w14:paraId="6E6F9653" w14:textId="46C52EF3" w:rsidR="001D3001" w:rsidRPr="00504E62" w:rsidRDefault="001D3001" w:rsidP="00DF269B">
            <w:pPr>
              <w:keepNext/>
              <w:spacing w:after="0"/>
              <w:contextualSpacing/>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lang w:val="en-US"/>
              </w:rPr>
            </w:pPr>
            <w:r w:rsidRPr="00504E62">
              <w:rPr>
                <w:rFonts w:ascii="Calibri" w:hAnsi="Calibri" w:cs="Calibri"/>
                <w:color w:val="auto"/>
                <w:sz w:val="22"/>
                <w:lang w:val="en-US"/>
              </w:rPr>
              <w:t>18 Dec 2025</w:t>
            </w:r>
          </w:p>
        </w:tc>
      </w:tr>
      <w:tr w:rsidR="0094440C" w:rsidRPr="00456338" w14:paraId="6B4273D4" w14:textId="77777777" w:rsidTr="00504E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14:paraId="3A4A76B4" w14:textId="77777777" w:rsidR="0094440C" w:rsidRPr="00C71CCB" w:rsidRDefault="0094440C" w:rsidP="00DF269B">
            <w:pPr>
              <w:pStyle w:val="Tabletext"/>
              <w:keepNext/>
              <w:rPr>
                <w:rFonts w:ascii="Calibri" w:hAnsi="Calibri" w:cs="Calibri"/>
                <w:color w:val="auto"/>
              </w:rPr>
            </w:pPr>
            <w:r w:rsidRPr="00C71CCB">
              <w:rPr>
                <w:rFonts w:ascii="Calibri" w:hAnsi="Calibri" w:cs="Calibri"/>
                <w:color w:val="auto"/>
              </w:rPr>
              <w:t>Category 1</w:t>
            </w:r>
          </w:p>
        </w:tc>
        <w:tc>
          <w:tcPr>
            <w:tcW w:w="833" w:type="pct"/>
            <w:vAlign w:val="center"/>
          </w:tcPr>
          <w:p w14:paraId="55B8B340" w14:textId="73B2D15E" w:rsidR="0094440C" w:rsidRPr="00C71CCB" w:rsidRDefault="0094440C" w:rsidP="00DF269B">
            <w:pPr>
              <w:pStyle w:val="Tabletext"/>
              <w:keepNext/>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auto"/>
              </w:rPr>
            </w:pPr>
            <w:r w:rsidRPr="00C71CCB">
              <w:rPr>
                <w:rFonts w:ascii="Calibri" w:hAnsi="Calibri" w:cs="Calibri"/>
                <w:bCs/>
                <w:color w:val="auto"/>
              </w:rPr>
              <w:t>39,746</w:t>
            </w:r>
          </w:p>
        </w:tc>
        <w:tc>
          <w:tcPr>
            <w:tcW w:w="834" w:type="pct"/>
            <w:vAlign w:val="center"/>
          </w:tcPr>
          <w:p w14:paraId="29C1929E" w14:textId="2E17066D" w:rsidR="0094440C" w:rsidRPr="00C71CCB" w:rsidRDefault="0094440C" w:rsidP="00DF269B">
            <w:pPr>
              <w:pStyle w:val="Tabletext"/>
              <w:keepNext/>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auto"/>
              </w:rPr>
            </w:pPr>
            <w:r w:rsidRPr="00C71CCB">
              <w:rPr>
                <w:rFonts w:ascii="Calibri" w:hAnsi="Calibri" w:cs="Calibri"/>
                <w:bCs/>
                <w:color w:val="auto"/>
              </w:rPr>
              <w:t>40,819</w:t>
            </w:r>
          </w:p>
        </w:tc>
        <w:tc>
          <w:tcPr>
            <w:tcW w:w="833" w:type="pct"/>
            <w:vAlign w:val="center"/>
          </w:tcPr>
          <w:p w14:paraId="02226E40" w14:textId="30556EC9" w:rsidR="0094440C" w:rsidRPr="00C71CCB" w:rsidRDefault="00A7557D" w:rsidP="00DF269B">
            <w:pPr>
              <w:pStyle w:val="Tabletext"/>
              <w:keepNext/>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auto"/>
              </w:rPr>
            </w:pPr>
            <w:r w:rsidRPr="00C71CCB">
              <w:rPr>
                <w:rFonts w:ascii="Calibri" w:hAnsi="Calibri" w:cs="Calibri"/>
                <w:bCs/>
                <w:color w:val="auto"/>
              </w:rPr>
              <w:t>41,894</w:t>
            </w:r>
          </w:p>
        </w:tc>
        <w:tc>
          <w:tcPr>
            <w:tcW w:w="834" w:type="pct"/>
            <w:vAlign w:val="center"/>
          </w:tcPr>
          <w:p w14:paraId="7DEC3F39" w14:textId="43CE638F" w:rsidR="0094440C" w:rsidRPr="00C71CCB" w:rsidRDefault="00A7557D" w:rsidP="00DF269B">
            <w:pPr>
              <w:pStyle w:val="Tabletext"/>
              <w:keepNext/>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auto"/>
              </w:rPr>
            </w:pPr>
            <w:r w:rsidRPr="00C71CCB">
              <w:rPr>
                <w:rFonts w:ascii="Calibri" w:hAnsi="Calibri" w:cs="Calibri"/>
                <w:bCs/>
                <w:color w:val="auto"/>
              </w:rPr>
              <w:t>42,969</w:t>
            </w:r>
          </w:p>
        </w:tc>
      </w:tr>
      <w:tr w:rsidR="0094440C" w:rsidRPr="00456338" w14:paraId="050706F6" w14:textId="77777777">
        <w:trPr>
          <w:cantSplit/>
        </w:trPr>
        <w:tc>
          <w:tcPr>
            <w:cnfStyle w:val="001000000000" w:firstRow="0" w:lastRow="0" w:firstColumn="1" w:lastColumn="0" w:oddVBand="0" w:evenVBand="0" w:oddHBand="0" w:evenHBand="0" w:firstRowFirstColumn="0" w:firstRowLastColumn="0" w:lastRowFirstColumn="0" w:lastRowLastColumn="0"/>
            <w:tcW w:w="1666" w:type="pct"/>
          </w:tcPr>
          <w:p w14:paraId="6F62822D" w14:textId="77777777" w:rsidR="0094440C" w:rsidRPr="00C71CCB" w:rsidRDefault="0094440C" w:rsidP="00DF269B">
            <w:pPr>
              <w:pStyle w:val="Tabletext"/>
              <w:keepNext/>
              <w:rPr>
                <w:rFonts w:ascii="Calibri" w:hAnsi="Calibri" w:cs="Calibri"/>
                <w:color w:val="auto"/>
              </w:rPr>
            </w:pPr>
            <w:r w:rsidRPr="00C71CCB">
              <w:rPr>
                <w:rFonts w:ascii="Calibri" w:hAnsi="Calibri" w:cs="Calibri"/>
                <w:color w:val="auto"/>
              </w:rPr>
              <w:t>Category 2</w:t>
            </w:r>
          </w:p>
        </w:tc>
        <w:tc>
          <w:tcPr>
            <w:tcW w:w="833" w:type="pct"/>
            <w:vAlign w:val="center"/>
          </w:tcPr>
          <w:p w14:paraId="3128E36C" w14:textId="43BF97E3" w:rsidR="0094440C" w:rsidRPr="00C71CCB" w:rsidRDefault="0094440C" w:rsidP="00DF269B">
            <w:pPr>
              <w:pStyle w:val="Tabletext"/>
              <w:keepNext/>
              <w:jc w:val="right"/>
              <w:cnfStyle w:val="000000000000" w:firstRow="0" w:lastRow="0" w:firstColumn="0" w:lastColumn="0" w:oddVBand="0" w:evenVBand="0" w:oddHBand="0" w:evenHBand="0" w:firstRowFirstColumn="0" w:firstRowLastColumn="0" w:lastRowFirstColumn="0" w:lastRowLastColumn="0"/>
              <w:rPr>
                <w:rFonts w:ascii="Calibri" w:hAnsi="Calibri" w:cs="Calibri"/>
                <w:bCs/>
                <w:color w:val="auto"/>
              </w:rPr>
            </w:pPr>
            <w:r w:rsidRPr="00C71CCB">
              <w:rPr>
                <w:rFonts w:ascii="Calibri" w:hAnsi="Calibri" w:cs="Calibri"/>
                <w:bCs/>
                <w:color w:val="auto"/>
              </w:rPr>
              <w:t>51,325</w:t>
            </w:r>
          </w:p>
        </w:tc>
        <w:tc>
          <w:tcPr>
            <w:tcW w:w="834" w:type="pct"/>
            <w:vAlign w:val="center"/>
          </w:tcPr>
          <w:p w14:paraId="08A96F71" w14:textId="559E6A95" w:rsidR="0094440C" w:rsidRPr="00C71CCB" w:rsidRDefault="00A7557D" w:rsidP="00DF269B">
            <w:pPr>
              <w:pStyle w:val="Tabletext"/>
              <w:keepNext/>
              <w:jc w:val="right"/>
              <w:cnfStyle w:val="000000000000" w:firstRow="0" w:lastRow="0" w:firstColumn="0" w:lastColumn="0" w:oddVBand="0" w:evenVBand="0" w:oddHBand="0" w:evenHBand="0" w:firstRowFirstColumn="0" w:firstRowLastColumn="0" w:lastRowFirstColumn="0" w:lastRowLastColumn="0"/>
              <w:rPr>
                <w:rFonts w:ascii="Calibri" w:hAnsi="Calibri" w:cs="Calibri"/>
                <w:bCs/>
                <w:color w:val="auto"/>
              </w:rPr>
            </w:pPr>
            <w:r w:rsidRPr="00C71CCB">
              <w:rPr>
                <w:rFonts w:ascii="Calibri" w:hAnsi="Calibri" w:cs="Calibri"/>
                <w:bCs/>
                <w:color w:val="auto"/>
              </w:rPr>
              <w:t>52,713</w:t>
            </w:r>
          </w:p>
        </w:tc>
        <w:tc>
          <w:tcPr>
            <w:tcW w:w="833" w:type="pct"/>
            <w:vAlign w:val="center"/>
          </w:tcPr>
          <w:p w14:paraId="67250748" w14:textId="2696CC44" w:rsidR="0094440C" w:rsidRPr="00C71CCB" w:rsidRDefault="00A7557D" w:rsidP="00DF269B">
            <w:pPr>
              <w:pStyle w:val="Tabletext"/>
              <w:keepNext/>
              <w:jc w:val="right"/>
              <w:cnfStyle w:val="000000000000" w:firstRow="0" w:lastRow="0" w:firstColumn="0" w:lastColumn="0" w:oddVBand="0" w:evenVBand="0" w:oddHBand="0" w:evenHBand="0" w:firstRowFirstColumn="0" w:firstRowLastColumn="0" w:lastRowFirstColumn="0" w:lastRowLastColumn="0"/>
              <w:rPr>
                <w:rFonts w:ascii="Calibri" w:hAnsi="Calibri" w:cs="Calibri"/>
                <w:bCs/>
                <w:color w:val="auto"/>
              </w:rPr>
            </w:pPr>
            <w:r w:rsidRPr="00C71CCB">
              <w:rPr>
                <w:rFonts w:ascii="Calibri" w:hAnsi="Calibri" w:cs="Calibri"/>
                <w:bCs/>
                <w:color w:val="auto"/>
              </w:rPr>
              <w:t>54,100</w:t>
            </w:r>
          </w:p>
        </w:tc>
        <w:tc>
          <w:tcPr>
            <w:tcW w:w="834" w:type="pct"/>
            <w:vAlign w:val="center"/>
          </w:tcPr>
          <w:p w14:paraId="12954F11" w14:textId="0227134A" w:rsidR="0094440C" w:rsidRPr="00C71CCB" w:rsidRDefault="00A7557D" w:rsidP="00DF269B">
            <w:pPr>
              <w:pStyle w:val="Tabletext"/>
              <w:keepNext/>
              <w:jc w:val="right"/>
              <w:cnfStyle w:val="000000000000" w:firstRow="0" w:lastRow="0" w:firstColumn="0" w:lastColumn="0" w:oddVBand="0" w:evenVBand="0" w:oddHBand="0" w:evenHBand="0" w:firstRowFirstColumn="0" w:firstRowLastColumn="0" w:lastRowFirstColumn="0" w:lastRowLastColumn="0"/>
              <w:rPr>
                <w:rFonts w:ascii="Calibri" w:hAnsi="Calibri" w:cs="Calibri"/>
                <w:bCs/>
                <w:color w:val="auto"/>
              </w:rPr>
            </w:pPr>
            <w:r w:rsidRPr="00C71CCB">
              <w:rPr>
                <w:rFonts w:ascii="Calibri" w:hAnsi="Calibri" w:cs="Calibri"/>
                <w:bCs/>
                <w:color w:val="auto"/>
              </w:rPr>
              <w:t>55,487</w:t>
            </w:r>
          </w:p>
        </w:tc>
      </w:tr>
      <w:tr w:rsidR="0094440C" w:rsidRPr="00456338" w14:paraId="2CA93E4E"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6" w:type="pct"/>
          </w:tcPr>
          <w:p w14:paraId="79A2BF4A" w14:textId="77777777" w:rsidR="0094440C" w:rsidRPr="00C71CCB" w:rsidRDefault="0094440C" w:rsidP="0094440C">
            <w:pPr>
              <w:pStyle w:val="Tabletext"/>
              <w:rPr>
                <w:rFonts w:ascii="Calibri" w:hAnsi="Calibri" w:cs="Calibri"/>
                <w:color w:val="auto"/>
              </w:rPr>
            </w:pPr>
            <w:r w:rsidRPr="00C71CCB">
              <w:rPr>
                <w:rFonts w:ascii="Calibri" w:hAnsi="Calibri" w:cs="Calibri"/>
                <w:color w:val="auto"/>
              </w:rPr>
              <w:t>Category 3</w:t>
            </w:r>
          </w:p>
        </w:tc>
        <w:tc>
          <w:tcPr>
            <w:tcW w:w="833" w:type="pct"/>
            <w:vAlign w:val="center"/>
          </w:tcPr>
          <w:p w14:paraId="7391755D" w14:textId="4FD5C79D" w:rsidR="0094440C" w:rsidRPr="00C71CCB" w:rsidRDefault="0094440C" w:rsidP="004646A6">
            <w:pPr>
              <w:pStyle w:val="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auto"/>
              </w:rPr>
            </w:pPr>
            <w:r w:rsidRPr="00C71CCB">
              <w:rPr>
                <w:rFonts w:ascii="Calibri" w:hAnsi="Calibri" w:cs="Calibri"/>
                <w:bCs/>
                <w:color w:val="auto"/>
              </w:rPr>
              <w:t xml:space="preserve">63,480 </w:t>
            </w:r>
          </w:p>
        </w:tc>
        <w:tc>
          <w:tcPr>
            <w:tcW w:w="834" w:type="pct"/>
            <w:vAlign w:val="center"/>
          </w:tcPr>
          <w:p w14:paraId="2E5057D0" w14:textId="35DAD128" w:rsidR="0094440C" w:rsidRPr="00C71CCB" w:rsidRDefault="004646A6" w:rsidP="004646A6">
            <w:pPr>
              <w:pStyle w:val="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auto"/>
              </w:rPr>
            </w:pPr>
            <w:r w:rsidRPr="00C71CCB">
              <w:rPr>
                <w:rFonts w:ascii="Calibri" w:hAnsi="Calibri" w:cs="Calibri"/>
                <w:bCs/>
                <w:color w:val="auto"/>
              </w:rPr>
              <w:t>65,195</w:t>
            </w:r>
          </w:p>
        </w:tc>
        <w:tc>
          <w:tcPr>
            <w:tcW w:w="833" w:type="pct"/>
            <w:vAlign w:val="center"/>
          </w:tcPr>
          <w:p w14:paraId="5B45971C" w14:textId="6D2E2447" w:rsidR="0094440C" w:rsidRPr="00C71CCB" w:rsidRDefault="004646A6" w:rsidP="004646A6">
            <w:pPr>
              <w:pStyle w:val="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auto"/>
              </w:rPr>
            </w:pPr>
            <w:r w:rsidRPr="00C71CCB">
              <w:rPr>
                <w:rFonts w:ascii="Calibri" w:hAnsi="Calibri" w:cs="Calibri"/>
                <w:bCs/>
                <w:color w:val="auto"/>
              </w:rPr>
              <w:t>66,910</w:t>
            </w:r>
          </w:p>
        </w:tc>
        <w:tc>
          <w:tcPr>
            <w:tcW w:w="834" w:type="pct"/>
            <w:vAlign w:val="center"/>
          </w:tcPr>
          <w:p w14:paraId="17C2F121" w14:textId="368851C1" w:rsidR="0094440C" w:rsidRPr="00C71CCB" w:rsidRDefault="004646A6" w:rsidP="004646A6">
            <w:pPr>
              <w:pStyle w:val="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auto"/>
              </w:rPr>
            </w:pPr>
            <w:r w:rsidRPr="00C71CCB">
              <w:rPr>
                <w:rFonts w:ascii="Calibri" w:hAnsi="Calibri" w:cs="Calibri"/>
                <w:bCs/>
                <w:color w:val="auto"/>
              </w:rPr>
              <w:t>68,626</w:t>
            </w:r>
          </w:p>
        </w:tc>
      </w:tr>
      <w:tr w:rsidR="0094440C" w:rsidRPr="00456338" w14:paraId="07478E8D" w14:textId="77777777">
        <w:trPr>
          <w:cantSplit/>
        </w:trPr>
        <w:tc>
          <w:tcPr>
            <w:cnfStyle w:val="001000000000" w:firstRow="0" w:lastRow="0" w:firstColumn="1" w:lastColumn="0" w:oddVBand="0" w:evenVBand="0" w:oddHBand="0" w:evenHBand="0" w:firstRowFirstColumn="0" w:firstRowLastColumn="0" w:lastRowFirstColumn="0" w:lastRowLastColumn="0"/>
            <w:tcW w:w="1666" w:type="pct"/>
          </w:tcPr>
          <w:p w14:paraId="73C7FC77" w14:textId="027EDF09" w:rsidR="0094440C" w:rsidRPr="00C71CCB" w:rsidRDefault="0094440C" w:rsidP="0094440C">
            <w:pPr>
              <w:pStyle w:val="Tabletext"/>
              <w:rPr>
                <w:rFonts w:ascii="Calibri" w:hAnsi="Calibri" w:cs="Calibri"/>
                <w:color w:val="auto"/>
              </w:rPr>
            </w:pPr>
            <w:r w:rsidRPr="00C71CCB">
              <w:rPr>
                <w:rFonts w:ascii="Calibri" w:hAnsi="Calibri" w:cs="Calibri"/>
                <w:color w:val="auto"/>
              </w:rPr>
              <w:t>Category 4</w:t>
            </w:r>
          </w:p>
        </w:tc>
        <w:tc>
          <w:tcPr>
            <w:tcW w:w="833" w:type="pct"/>
            <w:vAlign w:val="center"/>
          </w:tcPr>
          <w:p w14:paraId="5A2D6208" w14:textId="33EA3B66" w:rsidR="0094440C" w:rsidRPr="00C71CCB" w:rsidRDefault="004646A6" w:rsidP="004646A6">
            <w:pPr>
              <w:pStyle w:val="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bCs/>
                <w:color w:val="auto"/>
              </w:rPr>
            </w:pPr>
            <w:r w:rsidRPr="00C71CCB">
              <w:rPr>
                <w:rFonts w:ascii="Calibri" w:hAnsi="Calibri" w:cs="Calibri"/>
                <w:bCs/>
                <w:color w:val="auto"/>
              </w:rPr>
              <w:t>126,959</w:t>
            </w:r>
          </w:p>
        </w:tc>
        <w:tc>
          <w:tcPr>
            <w:tcW w:w="834" w:type="pct"/>
            <w:vAlign w:val="center"/>
          </w:tcPr>
          <w:p w14:paraId="1A16B00A" w14:textId="7C1F2A09" w:rsidR="0094440C" w:rsidRPr="00C71CCB" w:rsidRDefault="004646A6" w:rsidP="004646A6">
            <w:pPr>
              <w:pStyle w:val="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bCs/>
                <w:color w:val="auto"/>
              </w:rPr>
            </w:pPr>
            <w:r w:rsidRPr="00C71CCB">
              <w:rPr>
                <w:rFonts w:ascii="Calibri" w:hAnsi="Calibri" w:cs="Calibri"/>
                <w:bCs/>
                <w:color w:val="auto"/>
              </w:rPr>
              <w:t>130,391</w:t>
            </w:r>
          </w:p>
        </w:tc>
        <w:tc>
          <w:tcPr>
            <w:tcW w:w="833" w:type="pct"/>
            <w:vAlign w:val="center"/>
          </w:tcPr>
          <w:p w14:paraId="736C2F05" w14:textId="11F8A309" w:rsidR="0094440C" w:rsidRPr="00C71CCB" w:rsidRDefault="004646A6" w:rsidP="004646A6">
            <w:pPr>
              <w:pStyle w:val="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bCs/>
                <w:color w:val="auto"/>
              </w:rPr>
            </w:pPr>
            <w:r w:rsidRPr="00C71CCB">
              <w:rPr>
                <w:rFonts w:ascii="Calibri" w:hAnsi="Calibri" w:cs="Calibri"/>
                <w:bCs/>
                <w:color w:val="auto"/>
              </w:rPr>
              <w:t>133,823</w:t>
            </w:r>
          </w:p>
        </w:tc>
        <w:tc>
          <w:tcPr>
            <w:tcW w:w="834" w:type="pct"/>
            <w:vAlign w:val="center"/>
          </w:tcPr>
          <w:p w14:paraId="1854C649" w14:textId="4983BA7C" w:rsidR="0094440C" w:rsidRPr="00C71CCB" w:rsidRDefault="004646A6" w:rsidP="004646A6">
            <w:pPr>
              <w:pStyle w:val="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bCs/>
                <w:color w:val="auto"/>
              </w:rPr>
            </w:pPr>
            <w:r w:rsidRPr="00C71CCB">
              <w:rPr>
                <w:rFonts w:ascii="Calibri" w:hAnsi="Calibri" w:cs="Calibri"/>
                <w:bCs/>
                <w:color w:val="auto"/>
              </w:rPr>
              <w:t>137,254</w:t>
            </w:r>
          </w:p>
        </w:tc>
      </w:tr>
    </w:tbl>
    <w:p w14:paraId="3EDE3B28" w14:textId="3AB90BED" w:rsidR="00F65034" w:rsidRDefault="001609CE" w:rsidP="00F65034">
      <w:pPr>
        <w:pStyle w:val="08Figuretableboxheading"/>
      </w:pPr>
      <w:r>
        <w:t>Table</w:t>
      </w:r>
      <w:r w:rsidR="00F65034">
        <w:t xml:space="preserve"> </w:t>
      </w:r>
      <w:r w:rsidR="00F379CB">
        <w:t>2</w:t>
      </w:r>
      <w:r w:rsidR="00F65034">
        <w:t>.</w:t>
      </w:r>
      <w:r w:rsidR="001C1D5E">
        <w:t>4</w:t>
      </w:r>
      <w:r w:rsidR="00F65034">
        <w:t>:</w:t>
      </w:r>
      <w:r w:rsidR="0010679D">
        <w:t xml:space="preserve"> </w:t>
      </w:r>
      <w:r w:rsidR="00166354" w:rsidRPr="00166354">
        <w:t xml:space="preserve">Value of the base allowance for </w:t>
      </w:r>
      <w:r w:rsidR="0010679D">
        <w:t>Councillor</w:t>
      </w:r>
      <w:r w:rsidR="00166354">
        <w:t>s</w:t>
      </w:r>
      <w:r w:rsidR="00504E62">
        <w:t>, $ per annum</w:t>
      </w:r>
    </w:p>
    <w:tbl>
      <w:tblPr>
        <w:tblStyle w:val="ListTable3-Accent212"/>
        <w:tblW w:w="8505" w:type="dxa"/>
        <w:tblInd w:w="0" w:type="dxa"/>
        <w:tblLook w:val="04A0" w:firstRow="1" w:lastRow="0" w:firstColumn="1" w:lastColumn="0" w:noHBand="0" w:noVBand="1"/>
      </w:tblPr>
      <w:tblGrid>
        <w:gridCol w:w="2835"/>
        <w:gridCol w:w="2835"/>
        <w:gridCol w:w="2835"/>
      </w:tblGrid>
      <w:tr w:rsidR="00504E62" w:rsidRPr="00504E62" w14:paraId="06E820A7" w14:textId="77777777" w:rsidTr="00504E62">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835" w:type="dxa"/>
            <w:tcBorders>
              <w:top w:val="single" w:sz="4" w:space="0" w:color="148A5D" w:themeColor="accent2"/>
              <w:bottom w:val="single" w:sz="4" w:space="0" w:color="148A5D"/>
            </w:tcBorders>
            <w:shd w:val="clear" w:color="auto" w:fill="auto"/>
          </w:tcPr>
          <w:p w14:paraId="6C00AA77" w14:textId="12B43926" w:rsidR="001D3001" w:rsidRPr="00504E62" w:rsidRDefault="00504E62" w:rsidP="00504E62">
            <w:pPr>
              <w:keepNext/>
              <w:spacing w:after="0"/>
              <w:contextualSpacing/>
              <w:rPr>
                <w:rFonts w:ascii="Calibri" w:hAnsi="Calibri" w:cs="Calibri"/>
                <w:color w:val="auto"/>
                <w:sz w:val="22"/>
                <w:lang w:val="en-US"/>
              </w:rPr>
            </w:pPr>
            <w:r w:rsidRPr="00504E62">
              <w:rPr>
                <w:rFonts w:ascii="Calibri" w:hAnsi="Calibri" w:cs="Calibri"/>
                <w:color w:val="auto"/>
                <w:sz w:val="22"/>
                <w:lang w:val="en-US"/>
              </w:rPr>
              <w:t>Council allowance category</w:t>
            </w:r>
          </w:p>
        </w:tc>
        <w:tc>
          <w:tcPr>
            <w:tcW w:w="2835" w:type="dxa"/>
            <w:tcBorders>
              <w:top w:val="single" w:sz="4" w:space="0" w:color="148A5D" w:themeColor="accent2"/>
              <w:bottom w:val="single" w:sz="4" w:space="0" w:color="148A5D"/>
            </w:tcBorders>
            <w:shd w:val="clear" w:color="auto" w:fill="auto"/>
          </w:tcPr>
          <w:p w14:paraId="26332EE3" w14:textId="0DE011CE" w:rsidR="001D3001" w:rsidRPr="00504E62" w:rsidRDefault="001D3001" w:rsidP="001D3001">
            <w:pPr>
              <w:keepNext/>
              <w:spacing w:after="0"/>
              <w:contextualSpacing/>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lang w:val="en-US"/>
              </w:rPr>
            </w:pPr>
            <w:r w:rsidRPr="00504E62">
              <w:rPr>
                <w:rFonts w:ascii="Calibri" w:hAnsi="Calibri" w:cs="Calibri"/>
                <w:color w:val="auto"/>
                <w:sz w:val="22"/>
                <w:lang w:val="en-US"/>
              </w:rPr>
              <w:t>1 July 2023</w:t>
            </w:r>
          </w:p>
        </w:tc>
        <w:tc>
          <w:tcPr>
            <w:tcW w:w="2835" w:type="dxa"/>
            <w:tcBorders>
              <w:top w:val="single" w:sz="4" w:space="0" w:color="148A5D" w:themeColor="accent2"/>
              <w:bottom w:val="single" w:sz="4" w:space="0" w:color="148A5D"/>
            </w:tcBorders>
            <w:shd w:val="clear" w:color="auto" w:fill="auto"/>
          </w:tcPr>
          <w:p w14:paraId="149A84DF" w14:textId="4A9F2FD6" w:rsidR="001D3001" w:rsidRPr="00504E62" w:rsidRDefault="001D3001" w:rsidP="001D3001">
            <w:pPr>
              <w:keepNext/>
              <w:spacing w:after="0"/>
              <w:contextualSpacing/>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2"/>
                <w:lang w:val="en-US"/>
              </w:rPr>
            </w:pPr>
            <w:r w:rsidRPr="00504E62">
              <w:rPr>
                <w:rFonts w:ascii="Calibri" w:hAnsi="Calibri" w:cs="Calibri"/>
                <w:color w:val="auto"/>
                <w:sz w:val="22"/>
                <w:lang w:val="en-US"/>
              </w:rPr>
              <w:t>18 Dec 2023</w:t>
            </w:r>
          </w:p>
        </w:tc>
      </w:tr>
      <w:tr w:rsidR="0094440C" w:rsidRPr="00AB472B" w14:paraId="713E440B" w14:textId="77777777" w:rsidTr="00504E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5" w:type="dxa"/>
          </w:tcPr>
          <w:p w14:paraId="12395EA4" w14:textId="77777777" w:rsidR="0094440C" w:rsidRPr="00C71CCB" w:rsidRDefault="0094440C" w:rsidP="0094440C">
            <w:pPr>
              <w:pStyle w:val="Tabletext"/>
              <w:keepNext/>
              <w:rPr>
                <w:rFonts w:ascii="Calibri" w:hAnsi="Calibri" w:cs="Calibri"/>
                <w:bCs w:val="0"/>
                <w:color w:val="auto"/>
                <w:lang w:val="en-US"/>
              </w:rPr>
            </w:pPr>
            <w:r w:rsidRPr="00C71CCB">
              <w:rPr>
                <w:rFonts w:ascii="Calibri" w:hAnsi="Calibri" w:cs="Calibri"/>
                <w:bCs w:val="0"/>
                <w:color w:val="auto"/>
                <w:lang w:val="en-US"/>
              </w:rPr>
              <w:t>Category 1</w:t>
            </w:r>
          </w:p>
        </w:tc>
        <w:tc>
          <w:tcPr>
            <w:tcW w:w="2835" w:type="dxa"/>
            <w:vAlign w:val="center"/>
          </w:tcPr>
          <w:p w14:paraId="4F85765D" w14:textId="3671CF3D" w:rsidR="0094440C" w:rsidRPr="00C71CCB" w:rsidRDefault="0094440C" w:rsidP="00A7557D">
            <w:pPr>
              <w:pStyle w:val="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auto"/>
              </w:rPr>
            </w:pPr>
            <w:r w:rsidRPr="00C71CCB">
              <w:rPr>
                <w:rFonts w:ascii="Calibri" w:hAnsi="Calibri" w:cs="Calibri"/>
                <w:bCs/>
                <w:color w:val="auto"/>
              </w:rPr>
              <w:t>25,650</w:t>
            </w:r>
          </w:p>
        </w:tc>
        <w:tc>
          <w:tcPr>
            <w:tcW w:w="2835" w:type="dxa"/>
            <w:vAlign w:val="center"/>
          </w:tcPr>
          <w:p w14:paraId="4E1AB27D" w14:textId="22F8E2E4" w:rsidR="0094440C" w:rsidRPr="00C71CCB" w:rsidRDefault="0094440C" w:rsidP="00A7557D">
            <w:pPr>
              <w:pStyle w:val="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auto"/>
              </w:rPr>
            </w:pPr>
            <w:r w:rsidRPr="00C71CCB">
              <w:rPr>
                <w:rFonts w:ascii="Calibri" w:hAnsi="Calibri" w:cs="Calibri"/>
                <w:bCs/>
                <w:color w:val="auto"/>
              </w:rPr>
              <w:t>26,368</w:t>
            </w:r>
          </w:p>
        </w:tc>
      </w:tr>
      <w:tr w:rsidR="0094440C" w:rsidRPr="00AB472B" w14:paraId="365F4790" w14:textId="77777777" w:rsidTr="00504E62">
        <w:trPr>
          <w:cantSplit/>
        </w:trPr>
        <w:tc>
          <w:tcPr>
            <w:cnfStyle w:val="001000000000" w:firstRow="0" w:lastRow="0" w:firstColumn="1" w:lastColumn="0" w:oddVBand="0" w:evenVBand="0" w:oddHBand="0" w:evenHBand="0" w:firstRowFirstColumn="0" w:firstRowLastColumn="0" w:lastRowFirstColumn="0" w:lastRowLastColumn="0"/>
            <w:tcW w:w="2835" w:type="dxa"/>
          </w:tcPr>
          <w:p w14:paraId="7CC543A4" w14:textId="77777777" w:rsidR="0094440C" w:rsidRPr="00C71CCB" w:rsidRDefault="0094440C" w:rsidP="0094440C">
            <w:pPr>
              <w:pStyle w:val="Tabletext"/>
              <w:keepNext/>
              <w:rPr>
                <w:rFonts w:ascii="Calibri" w:hAnsi="Calibri" w:cs="Calibri"/>
                <w:bCs w:val="0"/>
                <w:color w:val="auto"/>
                <w:lang w:val="en-US"/>
              </w:rPr>
            </w:pPr>
            <w:r w:rsidRPr="00C71CCB">
              <w:rPr>
                <w:rFonts w:ascii="Calibri" w:hAnsi="Calibri" w:cs="Calibri"/>
                <w:bCs w:val="0"/>
                <w:color w:val="auto"/>
                <w:lang w:val="en-US"/>
              </w:rPr>
              <w:t>Category 2</w:t>
            </w:r>
          </w:p>
        </w:tc>
        <w:tc>
          <w:tcPr>
            <w:tcW w:w="2835" w:type="dxa"/>
            <w:vAlign w:val="center"/>
          </w:tcPr>
          <w:p w14:paraId="22A844A5" w14:textId="47282BE7" w:rsidR="0094440C" w:rsidRPr="00C71CCB" w:rsidRDefault="0094440C" w:rsidP="00A7557D">
            <w:pPr>
              <w:pStyle w:val="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bCs/>
                <w:color w:val="auto"/>
              </w:rPr>
            </w:pPr>
            <w:r w:rsidRPr="00C71CCB">
              <w:rPr>
                <w:rFonts w:ascii="Calibri" w:hAnsi="Calibri" w:cs="Calibri"/>
                <w:bCs/>
                <w:color w:val="auto"/>
              </w:rPr>
              <w:t>31,980</w:t>
            </w:r>
          </w:p>
        </w:tc>
        <w:tc>
          <w:tcPr>
            <w:tcW w:w="2835" w:type="dxa"/>
            <w:vAlign w:val="center"/>
          </w:tcPr>
          <w:p w14:paraId="2C5E3D38" w14:textId="4124FA7A" w:rsidR="0094440C" w:rsidRPr="00C71CCB" w:rsidRDefault="0094440C" w:rsidP="00A7557D">
            <w:pPr>
              <w:pStyle w:val="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bCs/>
                <w:color w:val="auto"/>
              </w:rPr>
            </w:pPr>
            <w:r w:rsidRPr="00C71CCB">
              <w:rPr>
                <w:rFonts w:ascii="Calibri" w:hAnsi="Calibri" w:cs="Calibri"/>
                <w:bCs/>
                <w:color w:val="auto"/>
              </w:rPr>
              <w:t>32,877</w:t>
            </w:r>
          </w:p>
        </w:tc>
      </w:tr>
      <w:tr w:rsidR="0094440C" w:rsidRPr="00AB472B" w14:paraId="7DFBE437" w14:textId="77777777" w:rsidTr="00504E6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5" w:type="dxa"/>
          </w:tcPr>
          <w:p w14:paraId="00493E53" w14:textId="77777777" w:rsidR="0094440C" w:rsidRPr="00C71CCB" w:rsidRDefault="0094440C" w:rsidP="0094440C">
            <w:pPr>
              <w:pStyle w:val="Tabletext"/>
              <w:keepNext/>
              <w:rPr>
                <w:rFonts w:ascii="Calibri" w:hAnsi="Calibri" w:cs="Calibri"/>
                <w:bCs w:val="0"/>
                <w:color w:val="auto"/>
                <w:lang w:val="en-US"/>
              </w:rPr>
            </w:pPr>
            <w:r w:rsidRPr="00C71CCB">
              <w:rPr>
                <w:rFonts w:ascii="Calibri" w:hAnsi="Calibri" w:cs="Calibri"/>
                <w:bCs w:val="0"/>
                <w:color w:val="auto"/>
                <w:lang w:val="en-US"/>
              </w:rPr>
              <w:t>Category 3</w:t>
            </w:r>
          </w:p>
        </w:tc>
        <w:tc>
          <w:tcPr>
            <w:tcW w:w="2835" w:type="dxa"/>
            <w:vAlign w:val="center"/>
          </w:tcPr>
          <w:p w14:paraId="3E97C1F4" w14:textId="6B292777" w:rsidR="0094440C" w:rsidRPr="00C71CCB" w:rsidRDefault="0094440C" w:rsidP="00A7557D">
            <w:pPr>
              <w:pStyle w:val="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auto"/>
              </w:rPr>
            </w:pPr>
            <w:r w:rsidRPr="00C71CCB">
              <w:rPr>
                <w:rFonts w:ascii="Calibri" w:hAnsi="Calibri" w:cs="Calibri"/>
                <w:bCs/>
                <w:color w:val="auto"/>
              </w:rPr>
              <w:t>38,316</w:t>
            </w:r>
          </w:p>
        </w:tc>
        <w:tc>
          <w:tcPr>
            <w:tcW w:w="2835" w:type="dxa"/>
            <w:vAlign w:val="center"/>
          </w:tcPr>
          <w:p w14:paraId="5EF87DB8" w14:textId="42A9F642" w:rsidR="0094440C" w:rsidRPr="00C71CCB" w:rsidRDefault="0094440C" w:rsidP="00A7557D">
            <w:pPr>
              <w:pStyle w:val="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bCs/>
                <w:color w:val="auto"/>
              </w:rPr>
            </w:pPr>
            <w:r w:rsidRPr="00C71CCB">
              <w:rPr>
                <w:rFonts w:ascii="Calibri" w:hAnsi="Calibri" w:cs="Calibri"/>
                <w:bCs/>
                <w:color w:val="auto"/>
              </w:rPr>
              <w:t>39,390</w:t>
            </w:r>
          </w:p>
        </w:tc>
      </w:tr>
      <w:tr w:rsidR="0094440C" w:rsidRPr="00AB472B" w14:paraId="79DDFFDD" w14:textId="77777777" w:rsidTr="00504E62">
        <w:trPr>
          <w:cantSplit/>
        </w:trPr>
        <w:tc>
          <w:tcPr>
            <w:cnfStyle w:val="001000000000" w:firstRow="0" w:lastRow="0" w:firstColumn="1" w:lastColumn="0" w:oddVBand="0" w:evenVBand="0" w:oddHBand="0" w:evenHBand="0" w:firstRowFirstColumn="0" w:firstRowLastColumn="0" w:lastRowFirstColumn="0" w:lastRowLastColumn="0"/>
            <w:tcW w:w="2835" w:type="dxa"/>
          </w:tcPr>
          <w:p w14:paraId="436F1328" w14:textId="03BC818D" w:rsidR="0094440C" w:rsidRPr="00C71CCB" w:rsidRDefault="0094440C" w:rsidP="0094440C">
            <w:pPr>
              <w:pStyle w:val="Tabletext"/>
              <w:rPr>
                <w:rFonts w:ascii="Calibri" w:hAnsi="Calibri" w:cs="Calibri"/>
                <w:bCs w:val="0"/>
                <w:color w:val="auto"/>
                <w:lang w:val="en-US"/>
              </w:rPr>
            </w:pPr>
            <w:r w:rsidRPr="00C71CCB">
              <w:rPr>
                <w:rFonts w:ascii="Calibri" w:hAnsi="Calibri" w:cs="Calibri"/>
                <w:bCs w:val="0"/>
                <w:color w:val="auto"/>
                <w:lang w:val="en-US"/>
              </w:rPr>
              <w:t>Category 4</w:t>
            </w:r>
          </w:p>
        </w:tc>
        <w:tc>
          <w:tcPr>
            <w:tcW w:w="2835" w:type="dxa"/>
            <w:vAlign w:val="center"/>
          </w:tcPr>
          <w:p w14:paraId="5E1AE75A" w14:textId="24DBE550" w:rsidR="0094440C" w:rsidRPr="00C71CCB" w:rsidRDefault="0094440C" w:rsidP="0094440C">
            <w:pPr>
              <w:pStyle w:val="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bCs/>
                <w:color w:val="auto"/>
              </w:rPr>
            </w:pPr>
            <w:r w:rsidRPr="00C71CCB">
              <w:rPr>
                <w:rFonts w:ascii="Calibri" w:hAnsi="Calibri" w:cs="Calibri"/>
                <w:bCs/>
                <w:color w:val="auto"/>
              </w:rPr>
              <w:t>57,473</w:t>
            </w:r>
          </w:p>
        </w:tc>
        <w:tc>
          <w:tcPr>
            <w:tcW w:w="2835" w:type="dxa"/>
            <w:vAlign w:val="center"/>
          </w:tcPr>
          <w:p w14:paraId="492A6127" w14:textId="0D5916F3" w:rsidR="0094440C" w:rsidRPr="00C71CCB" w:rsidRDefault="0094440C" w:rsidP="0094440C">
            <w:pPr>
              <w:pStyle w:val="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bCs/>
                <w:color w:val="auto"/>
              </w:rPr>
            </w:pPr>
            <w:r w:rsidRPr="00C71CCB">
              <w:rPr>
                <w:rFonts w:ascii="Calibri" w:hAnsi="Calibri" w:cs="Calibri"/>
                <w:bCs/>
                <w:color w:val="auto"/>
              </w:rPr>
              <w:t>59,085</w:t>
            </w:r>
          </w:p>
        </w:tc>
      </w:tr>
    </w:tbl>
    <w:p w14:paraId="2B25BB02" w14:textId="43FBAB2C" w:rsidR="00C36887" w:rsidRDefault="00F379CB" w:rsidP="00C36887">
      <w:pPr>
        <w:pStyle w:val="02VIRTHeading2"/>
      </w:pPr>
      <w:bookmarkStart w:id="40" w:name="_Toc139011818"/>
      <w:r>
        <w:t>2</w:t>
      </w:r>
      <w:r w:rsidR="00C36887">
        <w:t>.2</w:t>
      </w:r>
      <w:r w:rsidR="00C36887">
        <w:tab/>
      </w:r>
      <w:r w:rsidR="000858BD">
        <w:t xml:space="preserve">Adjustment to the value of the </w:t>
      </w:r>
      <w:r w:rsidR="00581A84">
        <w:t>Remote Area Travel Allowance</w:t>
      </w:r>
      <w:bookmarkEnd w:id="40"/>
    </w:p>
    <w:p w14:paraId="604BEB73" w14:textId="77777777" w:rsidR="000858BD" w:rsidRDefault="000C54C0" w:rsidP="002229FF">
      <w:pPr>
        <w:pStyle w:val="05Paragraph"/>
      </w:pPr>
      <w:r>
        <w:t>Taking</w:t>
      </w:r>
      <w:r w:rsidR="00215FC5">
        <w:t xml:space="preserve"> into account the legislative factors it is required to consider</w:t>
      </w:r>
      <w:r w:rsidR="001736D3">
        <w:t xml:space="preserve"> and the other factors to which the Tribunal has referred in determining the increase to the base allowance</w:t>
      </w:r>
      <w:r w:rsidR="00215FC5">
        <w:t xml:space="preserve">, </w:t>
      </w:r>
      <w:r w:rsidR="00B94032" w:rsidRPr="0088525E">
        <w:t xml:space="preserve">the Tribunal has </w:t>
      </w:r>
      <w:r w:rsidR="001736D3">
        <w:t>also determined</w:t>
      </w:r>
      <w:r w:rsidR="001736D3" w:rsidRPr="0088525E">
        <w:t xml:space="preserve"> </w:t>
      </w:r>
      <w:r w:rsidR="00B94032" w:rsidRPr="0088525E">
        <w:t xml:space="preserve">to </w:t>
      </w:r>
      <w:r w:rsidR="00377BDA">
        <w:t xml:space="preserve">apply a </w:t>
      </w:r>
      <w:r w:rsidR="00A207D1">
        <w:t>2</w:t>
      </w:r>
      <w:r w:rsidR="00377BDA">
        <w:t xml:space="preserve"> per cent </w:t>
      </w:r>
      <w:r w:rsidR="007F2A31">
        <w:t xml:space="preserve">increase </w:t>
      </w:r>
      <w:r w:rsidR="00377BDA">
        <w:t>to</w:t>
      </w:r>
      <w:r w:rsidR="007F2A31">
        <w:t xml:space="preserve"> the</w:t>
      </w:r>
      <w:r w:rsidR="00377BDA">
        <w:t xml:space="preserve"> </w:t>
      </w:r>
      <w:r w:rsidR="00B94032">
        <w:t xml:space="preserve">value of the </w:t>
      </w:r>
      <w:r w:rsidR="00581A84">
        <w:t>Remote Area Travel Allowance</w:t>
      </w:r>
      <w:r w:rsidR="00A207D1">
        <w:t xml:space="preserve">. </w:t>
      </w:r>
    </w:p>
    <w:p w14:paraId="6890C949" w14:textId="65D966DC" w:rsidR="00FE0D06" w:rsidRDefault="00C802F3" w:rsidP="002229FF">
      <w:pPr>
        <w:pStyle w:val="05Paragraph"/>
      </w:pPr>
      <w:r>
        <w:lastRenderedPageBreak/>
        <w:t xml:space="preserve">From </w:t>
      </w:r>
      <w:r w:rsidR="000C54C0" w:rsidRPr="00590320">
        <w:t>1 July</w:t>
      </w:r>
      <w:r>
        <w:t xml:space="preserve"> 202</w:t>
      </w:r>
      <w:r w:rsidR="000C54C0">
        <w:t>3</w:t>
      </w:r>
      <w:r>
        <w:t>,</w:t>
      </w:r>
      <w:r w:rsidR="0062614F">
        <w:t xml:space="preserve"> the </w:t>
      </w:r>
      <w:r w:rsidR="00581A84">
        <w:t>Remote Area Travel Allowance</w:t>
      </w:r>
      <w:r w:rsidR="00F82A59">
        <w:t xml:space="preserve"> will </w:t>
      </w:r>
      <w:r w:rsidR="00076253">
        <w:t>be</w:t>
      </w:r>
      <w:r w:rsidR="00F82A59">
        <w:t xml:space="preserve"> </w:t>
      </w:r>
      <w:r w:rsidR="0062614F">
        <w:t>$</w:t>
      </w:r>
      <w:r w:rsidR="00937630">
        <w:t>45</w:t>
      </w:r>
      <w:r w:rsidR="003C2B5B">
        <w:t>.</w:t>
      </w:r>
      <w:r w:rsidR="00937630">
        <w:t>90</w:t>
      </w:r>
      <w:r w:rsidR="0062614F">
        <w:t xml:space="preserve"> </w:t>
      </w:r>
      <w:r w:rsidR="00F82A59">
        <w:t>per day for eligible Council members, up to a maximum</w:t>
      </w:r>
      <w:r w:rsidR="0062614F">
        <w:t xml:space="preserve"> </w:t>
      </w:r>
      <w:r w:rsidR="00F82A59">
        <w:t>of</w:t>
      </w:r>
      <w:r w:rsidR="0062614F">
        <w:t xml:space="preserve"> $</w:t>
      </w:r>
      <w:r w:rsidR="00937630">
        <w:t>5,738</w:t>
      </w:r>
      <w:r w:rsidR="00F82A59">
        <w:t xml:space="preserve"> per annum</w:t>
      </w:r>
      <w:r w:rsidR="0062614F">
        <w:t>.</w:t>
      </w:r>
    </w:p>
    <w:p w14:paraId="04E93BC7" w14:textId="1872EDF6" w:rsidR="009B4296" w:rsidRPr="00B0425A" w:rsidRDefault="00F379CB" w:rsidP="00B0425A">
      <w:pPr>
        <w:pStyle w:val="02VIRTHeading2"/>
      </w:pPr>
      <w:bookmarkStart w:id="41" w:name="_Toc139011819"/>
      <w:r>
        <w:t>2</w:t>
      </w:r>
      <w:r w:rsidR="009B4296" w:rsidRPr="00B0425A">
        <w:t>.</w:t>
      </w:r>
      <w:r w:rsidR="000C54C0">
        <w:t>3</w:t>
      </w:r>
      <w:r w:rsidR="009B4296" w:rsidRPr="00B0425A">
        <w:tab/>
        <w:t>Conclusion</w:t>
      </w:r>
      <w:bookmarkEnd w:id="41"/>
    </w:p>
    <w:p w14:paraId="61691FAF" w14:textId="49F9F2DB" w:rsidR="009B4296" w:rsidRPr="009B4296" w:rsidRDefault="009B4296" w:rsidP="002229FF">
      <w:pPr>
        <w:pStyle w:val="05Paragraph"/>
      </w:pPr>
      <w:r w:rsidRPr="009B4296">
        <w:t xml:space="preserve">This Statement of Reasons explains the Tribunal’s considerations in making the </w:t>
      </w:r>
      <w:r w:rsidR="00981ECE" w:rsidRPr="00981ECE">
        <w:t>202</w:t>
      </w:r>
      <w:r w:rsidR="000C54C0">
        <w:t>3</w:t>
      </w:r>
      <w:r w:rsidR="00981ECE" w:rsidRPr="00981ECE">
        <w:t xml:space="preserve"> </w:t>
      </w:r>
      <w:r w:rsidR="00244F4E">
        <w:t xml:space="preserve">Local Government </w:t>
      </w:r>
      <w:r w:rsidR="00476547" w:rsidRPr="00981ECE">
        <w:t>Annual Adjustment Determination</w:t>
      </w:r>
      <w:r w:rsidRPr="009B4296">
        <w:t>.</w:t>
      </w:r>
    </w:p>
    <w:p w14:paraId="18F15FEF" w14:textId="221422EE" w:rsidR="009B4296" w:rsidRPr="009B4296" w:rsidRDefault="0029138E" w:rsidP="002229FF">
      <w:pPr>
        <w:pStyle w:val="05Paragraph"/>
      </w:pPr>
      <w:r>
        <w:t>Before</w:t>
      </w:r>
      <w:r w:rsidR="008E27FB" w:rsidRPr="008E27FB">
        <w:t xml:space="preserve"> making the Determination</w:t>
      </w:r>
      <w:r w:rsidR="009B4296" w:rsidRPr="009B4296">
        <w:t xml:space="preserve">, the Tribunal published </w:t>
      </w:r>
      <w:r w:rsidR="009B4296">
        <w:t>notice of its intention to make a</w:t>
      </w:r>
      <w:r w:rsidR="009B4296" w:rsidRPr="009B4296">
        <w:t xml:space="preserve"> Determination </w:t>
      </w:r>
      <w:r w:rsidR="008E27FB" w:rsidRPr="008E27FB">
        <w:t>and called for submissions in March 2023.</w:t>
      </w:r>
      <w:r w:rsidR="009B4296" w:rsidRPr="009B4296">
        <w:t xml:space="preserve"> The Tribunal </w:t>
      </w:r>
      <w:r w:rsidR="008E27FB" w:rsidRPr="008E27FB">
        <w:t xml:space="preserve">considered all of the submissions </w:t>
      </w:r>
      <w:r>
        <w:t xml:space="preserve">received </w:t>
      </w:r>
      <w:r w:rsidR="008E27FB" w:rsidRPr="008E27FB">
        <w:t>and expresses its appreciation to all those who made submissions or otherwise participated in the process and assisted the Tribunal to perform its functions.</w:t>
      </w:r>
      <w:r w:rsidR="009B4296" w:rsidRPr="009B4296">
        <w:t xml:space="preserve"> </w:t>
      </w:r>
    </w:p>
    <w:p w14:paraId="265D5ECB" w14:textId="73EBF977" w:rsidR="00A731A1" w:rsidRPr="009B4296" w:rsidRDefault="009B4296" w:rsidP="00E85F4F">
      <w:pPr>
        <w:pStyle w:val="05Paragraph"/>
      </w:pPr>
      <w:r w:rsidRPr="009B4296">
        <w:t xml:space="preserve">In accordance with the VIRTIPS Act, the Tribunal has determined to make an annual adjustment to the values of the </w:t>
      </w:r>
      <w:r w:rsidR="001C56FC">
        <w:t>allowances payable</w:t>
      </w:r>
      <w:r w:rsidR="005B759F">
        <w:t xml:space="preserve"> to Council members</w:t>
      </w:r>
      <w:r w:rsidRPr="009B4296">
        <w:t xml:space="preserve">, taking into account a range of </w:t>
      </w:r>
      <w:r w:rsidR="00E85F4F">
        <w:t>legislative</w:t>
      </w:r>
      <w:r w:rsidR="00A731A1" w:rsidRPr="006B7517">
        <w:t xml:space="preserve"> and </w:t>
      </w:r>
      <w:r w:rsidR="00E85F4F">
        <w:t>other considerations.</w:t>
      </w:r>
    </w:p>
    <w:p w14:paraId="1DF7EC37" w14:textId="77114ED5" w:rsidR="009B4296" w:rsidRPr="009B4296" w:rsidRDefault="009B4296" w:rsidP="002229FF">
      <w:pPr>
        <w:pStyle w:val="05Paragraph"/>
      </w:pPr>
      <w:r w:rsidRPr="009B4296">
        <w:t>Th</w:t>
      </w:r>
      <w:r>
        <w:t>is</w:t>
      </w:r>
      <w:r w:rsidRPr="009B4296">
        <w:t xml:space="preserve"> Determination adjusts the value of </w:t>
      </w:r>
      <w:r w:rsidR="002D5E56">
        <w:t xml:space="preserve">the base allowance payable to each Council member by </w:t>
      </w:r>
      <w:r w:rsidR="00937630">
        <w:t>2</w:t>
      </w:r>
      <w:r w:rsidR="002D5E56">
        <w:t xml:space="preserve"> per cent</w:t>
      </w:r>
      <w:r w:rsidR="005E2584">
        <w:t xml:space="preserve">. </w:t>
      </w:r>
      <w:r w:rsidR="00F707EC">
        <w:t>This</w:t>
      </w:r>
      <w:r w:rsidR="004C7073">
        <w:t xml:space="preserve"> </w:t>
      </w:r>
      <w:r w:rsidR="00F707EC">
        <w:t>D</w:t>
      </w:r>
      <w:r w:rsidR="004C7073">
        <w:t>etermin</w:t>
      </w:r>
      <w:r w:rsidR="00F707EC">
        <w:t>ation</w:t>
      </w:r>
      <w:r w:rsidR="004C7073">
        <w:t xml:space="preserve"> </w:t>
      </w:r>
      <w:r w:rsidR="00F707EC">
        <w:t>also</w:t>
      </w:r>
      <w:r w:rsidR="005E2584">
        <w:t xml:space="preserve"> adjust</w:t>
      </w:r>
      <w:r w:rsidR="00F707EC">
        <w:t>s</w:t>
      </w:r>
      <w:r w:rsidR="005E2584">
        <w:t xml:space="preserve"> the </w:t>
      </w:r>
      <w:r w:rsidR="00F707EC">
        <w:t xml:space="preserve">value of the </w:t>
      </w:r>
      <w:r w:rsidR="00581A84">
        <w:t>Remote Area Travel Allowance</w:t>
      </w:r>
      <w:r w:rsidR="008E4C61">
        <w:t xml:space="preserve"> by the same percentage</w:t>
      </w:r>
      <w:r w:rsidR="00F707EC">
        <w:t>.</w:t>
      </w:r>
    </w:p>
    <w:p w14:paraId="60705A00" w14:textId="42ECC11D" w:rsidR="00991DD7" w:rsidRPr="003045CA" w:rsidRDefault="009B4296" w:rsidP="002229FF">
      <w:pPr>
        <w:pStyle w:val="05Paragraph"/>
      </w:pPr>
      <w:r w:rsidRPr="009B4296">
        <w:t>Th</w:t>
      </w:r>
      <w:r>
        <w:t>is</w:t>
      </w:r>
      <w:r w:rsidRPr="009B4296">
        <w:t xml:space="preserve"> Determination will take effect on </w:t>
      </w:r>
      <w:r w:rsidR="000C54C0" w:rsidRPr="00917764">
        <w:t>1 July</w:t>
      </w:r>
      <w:r w:rsidRPr="003626CB">
        <w:t xml:space="preserve"> 202</w:t>
      </w:r>
      <w:r w:rsidR="000C54C0">
        <w:t>3</w:t>
      </w:r>
      <w:r w:rsidR="002F5C7F">
        <w:t>.</w:t>
      </w:r>
    </w:p>
    <w:p w14:paraId="47629BC2" w14:textId="77777777" w:rsidR="008218F4" w:rsidRDefault="008218F4" w:rsidP="00051414">
      <w:pPr>
        <w:pStyle w:val="Chapterheading"/>
        <w:sectPr w:rsidR="008218F4" w:rsidSect="003045CA">
          <w:pgSz w:w="11906" w:h="16838"/>
          <w:pgMar w:top="1701" w:right="1701" w:bottom="1559" w:left="1701" w:header="708" w:footer="708" w:gutter="0"/>
          <w:cols w:space="708"/>
          <w:titlePg/>
          <w:docGrid w:linePitch="360"/>
        </w:sectPr>
      </w:pPr>
    </w:p>
    <w:p w14:paraId="4A6F0E7B" w14:textId="120175AF" w:rsidR="00F379CB" w:rsidRPr="00270718" w:rsidRDefault="00F379CB" w:rsidP="000C1B31">
      <w:pPr>
        <w:pStyle w:val="Style4"/>
      </w:pPr>
      <w:bookmarkStart w:id="42" w:name="_Toc139011820"/>
      <w:r w:rsidRPr="000C1B31">
        <w:rPr>
          <w:rStyle w:val="01ChapterheadingChar"/>
        </w:rPr>
        <w:lastRenderedPageBreak/>
        <w:t>Appendix</w:t>
      </w:r>
      <w:r w:rsidR="00A11AC6" w:rsidRPr="000C1B31">
        <w:rPr>
          <w:rStyle w:val="01ChapterheadingChar"/>
        </w:rPr>
        <w:t xml:space="preserve"> </w:t>
      </w:r>
      <w:r w:rsidR="000853D4">
        <w:rPr>
          <w:rStyle w:val="01ChapterheadingChar"/>
        </w:rPr>
        <w:t>A -</w:t>
      </w:r>
      <w:r w:rsidR="00A11AC6" w:rsidRPr="000C1B31">
        <w:rPr>
          <w:rStyle w:val="01ChapterheadingChar"/>
        </w:rPr>
        <w:t xml:space="preserve"> </w:t>
      </w:r>
      <w:r w:rsidR="00A11AC6" w:rsidRPr="000C1B31">
        <w:rPr>
          <w:rStyle w:val="01ChapterheadingChar"/>
        </w:rPr>
        <w:br/>
      </w:r>
      <w:r w:rsidRPr="000C1B31">
        <w:rPr>
          <w:rStyle w:val="01ChapterheadingChar"/>
        </w:rPr>
        <w:t>Economic factors</w:t>
      </w:r>
      <w:bookmarkEnd w:id="42"/>
      <w:r>
        <w:br/>
      </w:r>
    </w:p>
    <w:p w14:paraId="218B56E2" w14:textId="4CB035D3" w:rsidR="00F379CB" w:rsidRPr="005C3F8A" w:rsidRDefault="00A63FD3" w:rsidP="00F379CB">
      <w:pPr>
        <w:pStyle w:val="05Paragraph"/>
      </w:pPr>
      <w:r>
        <w:t>This appendix sets out the Tribunal’s analysis of the following factors, which it</w:t>
      </w:r>
      <w:r w:rsidR="00F379CB" w:rsidRPr="005C3F8A">
        <w:t xml:space="preserve"> is required to consider</w:t>
      </w:r>
      <w:r>
        <w:t xml:space="preserve"> in making a Determination:</w:t>
      </w:r>
    </w:p>
    <w:p w14:paraId="7990D98A" w14:textId="77777777" w:rsidR="00F379CB" w:rsidRPr="005C3F8A" w:rsidRDefault="00F379CB" w:rsidP="00F379CB">
      <w:pPr>
        <w:pStyle w:val="06VIRTBulletpoints"/>
      </w:pPr>
      <w:r w:rsidRPr="005C3F8A">
        <w:t>current and projected economic conditions and trends</w:t>
      </w:r>
    </w:p>
    <w:p w14:paraId="44F6813D" w14:textId="77777777" w:rsidR="00F379CB" w:rsidRDefault="00F379CB" w:rsidP="00F379CB">
      <w:pPr>
        <w:pStyle w:val="06VIRTBulletpoints"/>
      </w:pPr>
      <w:r w:rsidRPr="005C3F8A">
        <w:t>the financial position and fiscal strategy of the State of Victoria</w:t>
      </w:r>
    </w:p>
    <w:p w14:paraId="3FC8CF9C" w14:textId="77777777" w:rsidR="00F379CB" w:rsidRDefault="00F379CB" w:rsidP="00F379CB">
      <w:pPr>
        <w:pStyle w:val="06VIRTBulletpoints"/>
      </w:pPr>
      <w:r w:rsidRPr="00FA4932">
        <w:t>any statement or policy issued by the Government of Victoria which is in force with respect to its wages policy (or equivalent) and the remuneration and allowances of any specified occupational group</w:t>
      </w:r>
      <w:r>
        <w:t>.</w:t>
      </w:r>
    </w:p>
    <w:p w14:paraId="3657F4FD" w14:textId="7FE90D71" w:rsidR="00665C76" w:rsidRPr="00441321" w:rsidRDefault="000853D4" w:rsidP="00D414C3">
      <w:pPr>
        <w:pStyle w:val="02VIRTHeading2"/>
      </w:pPr>
      <w:bookmarkStart w:id="43" w:name="_Toc139011821"/>
      <w:r>
        <w:t>A.1</w:t>
      </w:r>
      <w:r w:rsidR="00D414C3">
        <w:tab/>
      </w:r>
      <w:r w:rsidR="00F379CB" w:rsidRPr="00FB2036">
        <w:t xml:space="preserve">Current and projected economic </w:t>
      </w:r>
      <w:r w:rsidR="00665C76" w:rsidRPr="00441321">
        <w:t>conditions and trends</w:t>
      </w:r>
      <w:bookmarkEnd w:id="43"/>
    </w:p>
    <w:p w14:paraId="675E6F17" w14:textId="271A5F50" w:rsidR="00665C76" w:rsidRDefault="00665C76" w:rsidP="00665C76">
      <w:pPr>
        <w:pStyle w:val="05Paragraph"/>
      </w:pPr>
      <w:r>
        <w:t>The Tribunal’s analysis of current and projected economic conditions and trends has been informed by the latest data and forecasts from the ABS and the RBA, the Victorian and Commonwealth budgets</w:t>
      </w:r>
      <w:r w:rsidRPr="0032575A">
        <w:t>, the FWC</w:t>
      </w:r>
      <w:r w:rsidR="00A67573">
        <w:t>’s</w:t>
      </w:r>
      <w:r w:rsidRPr="0032575A">
        <w:t xml:space="preserve"> </w:t>
      </w:r>
      <w:r w:rsidRPr="0032575A">
        <w:rPr>
          <w:i/>
        </w:rPr>
        <w:t>Annual Wage Review 2022</w:t>
      </w:r>
      <w:r w:rsidRPr="0032575A">
        <w:rPr>
          <w:i/>
        </w:rPr>
        <w:noBreakHyphen/>
        <w:t>23</w:t>
      </w:r>
      <w:r>
        <w:t xml:space="preserve"> and other relevant information.</w:t>
      </w:r>
    </w:p>
    <w:p w14:paraId="2CD8B5C0" w14:textId="77777777" w:rsidR="00665C76" w:rsidRDefault="00665C76" w:rsidP="00665C76">
      <w:pPr>
        <w:pStyle w:val="03VIRTHeading3"/>
      </w:pPr>
      <w:r>
        <w:t>International economic conditions</w:t>
      </w:r>
    </w:p>
    <w:p w14:paraId="10C14BE9" w14:textId="656F136B" w:rsidR="00665C76" w:rsidRDefault="00665C76" w:rsidP="00665C76">
      <w:pPr>
        <w:pStyle w:val="05Paragraph"/>
      </w:pPr>
      <w:r>
        <w:t xml:space="preserve">According to the RBA’s latest </w:t>
      </w:r>
      <w:r w:rsidRPr="004C500A">
        <w:rPr>
          <w:i/>
          <w:iCs/>
        </w:rPr>
        <w:t>Statement on Monetary Policy</w:t>
      </w:r>
      <w:r>
        <w:t xml:space="preserve"> (May 2023), inflation has passed its peak in many advanced economies but remains high globally. Central banks are forecasting inflation to fall further over 2023, although the RBA noted that it is expected to take a couple of years for inflation to return to target in most advanced economies. The RBA also observed that unemployment rates remain near historical lows in many economies, while global growth has slowed and is forecast to remain below average over the next couple of years.</w:t>
      </w:r>
      <w:r w:rsidR="00683533">
        <w:rPr>
          <w:rFonts w:ascii="ZWAdobeF" w:hAnsi="ZWAdobeF" w:cs="ZWAdobeF"/>
          <w:color w:val="auto"/>
          <w:sz w:val="2"/>
          <w:szCs w:val="2"/>
        </w:rPr>
        <w:t>24F</w:t>
      </w:r>
      <w:r w:rsidR="0017105B">
        <w:rPr>
          <w:rFonts w:ascii="ZWAdobeF" w:hAnsi="ZWAdobeF" w:cs="ZWAdobeF"/>
          <w:color w:val="auto"/>
          <w:sz w:val="2"/>
          <w:szCs w:val="2"/>
        </w:rPr>
        <w:t>24F</w:t>
      </w:r>
      <w:r>
        <w:rPr>
          <w:rStyle w:val="FootnoteReference"/>
        </w:rPr>
        <w:footnoteReference w:id="26"/>
      </w:r>
    </w:p>
    <w:p w14:paraId="6289F638" w14:textId="77777777" w:rsidR="00665C76" w:rsidRDefault="00665C76" w:rsidP="00665C76">
      <w:pPr>
        <w:pStyle w:val="03VIRTHeading3"/>
      </w:pPr>
      <w:r>
        <w:lastRenderedPageBreak/>
        <w:t>Australian economic conditions</w:t>
      </w:r>
    </w:p>
    <w:p w14:paraId="61B7B49C" w14:textId="7148DDA3" w:rsidR="00665C76" w:rsidRDefault="00665C76" w:rsidP="00665C76">
      <w:pPr>
        <w:pStyle w:val="05Paragraph"/>
      </w:pPr>
      <w:r>
        <w:t>ABS data show that Australia’s real GDP rose 0.2 per cent in the March quarter 2023 and 2.3 per cent through the year. This was the weakest quarterly growth since the September quarter 2021, when the economy contracted due to the impact of COVID-19 lockdowns. Household consumption also recorded its weakest quarterly rise (0.2 per cent) since the September quarter 2021, with discretionary spending falling by 1 per cent due to cost-of-living pressures.</w:t>
      </w:r>
      <w:r w:rsidR="00683533">
        <w:rPr>
          <w:rFonts w:ascii="ZWAdobeF" w:hAnsi="ZWAdobeF" w:cs="ZWAdobeF"/>
          <w:color w:val="auto"/>
          <w:sz w:val="2"/>
          <w:szCs w:val="2"/>
        </w:rPr>
        <w:t>25F</w:t>
      </w:r>
      <w:r w:rsidR="0017105B">
        <w:rPr>
          <w:rFonts w:ascii="ZWAdobeF" w:hAnsi="ZWAdobeF" w:cs="ZWAdobeF"/>
          <w:color w:val="auto"/>
          <w:sz w:val="2"/>
          <w:szCs w:val="2"/>
        </w:rPr>
        <w:t>25F</w:t>
      </w:r>
      <w:r>
        <w:rPr>
          <w:rStyle w:val="FootnoteReference"/>
        </w:rPr>
        <w:footnoteReference w:id="27"/>
      </w:r>
    </w:p>
    <w:p w14:paraId="5F989E96" w14:textId="26DA51B1" w:rsidR="00665C76" w:rsidRDefault="00665C76" w:rsidP="00665C76">
      <w:pPr>
        <w:pStyle w:val="05Paragraph"/>
      </w:pPr>
      <w:r>
        <w:t>The RBA noted that inflation appears to have passed its peak but remains very high.</w:t>
      </w:r>
      <w:r w:rsidR="00683533">
        <w:rPr>
          <w:rFonts w:ascii="ZWAdobeF" w:hAnsi="ZWAdobeF" w:cs="ZWAdobeF"/>
          <w:color w:val="auto"/>
          <w:sz w:val="2"/>
          <w:szCs w:val="2"/>
        </w:rPr>
        <w:t>26F</w:t>
      </w:r>
      <w:r w:rsidR="0017105B">
        <w:rPr>
          <w:rFonts w:ascii="ZWAdobeF" w:hAnsi="ZWAdobeF" w:cs="ZWAdobeF"/>
          <w:color w:val="auto"/>
          <w:sz w:val="2"/>
          <w:szCs w:val="2"/>
        </w:rPr>
        <w:t>26F</w:t>
      </w:r>
      <w:r>
        <w:rPr>
          <w:rStyle w:val="FootnoteReference"/>
        </w:rPr>
        <w:footnoteReference w:id="28"/>
      </w:r>
      <w:r>
        <w:t xml:space="preserve"> Year</w:t>
      </w:r>
      <w:r>
        <w:noBreakHyphen/>
        <w:t xml:space="preserve">ended headline inflation and trimmed mean inflation (the RBA’s preferred measure of underlying inflation) declined to 7 per cent and 6.6 per cent respectively in the March quarter 2023. The decline was driven by slowing goods inflation, but was partly offset by an increase in services inflation, which reached its highest level (6.1 per cent) since </w:t>
      </w:r>
      <w:r w:rsidRPr="00041433">
        <w:t>2001</w:t>
      </w:r>
      <w:r>
        <w:t>.</w:t>
      </w:r>
      <w:r w:rsidR="00683533">
        <w:rPr>
          <w:rFonts w:ascii="ZWAdobeF" w:hAnsi="ZWAdobeF" w:cs="ZWAdobeF"/>
          <w:color w:val="auto"/>
          <w:sz w:val="2"/>
          <w:szCs w:val="2"/>
        </w:rPr>
        <w:t>27F</w:t>
      </w:r>
      <w:r w:rsidR="0017105B">
        <w:rPr>
          <w:rFonts w:ascii="ZWAdobeF" w:hAnsi="ZWAdobeF" w:cs="ZWAdobeF"/>
          <w:color w:val="auto"/>
          <w:sz w:val="2"/>
          <w:szCs w:val="2"/>
        </w:rPr>
        <w:t>27F</w:t>
      </w:r>
      <w:r>
        <w:rPr>
          <w:rStyle w:val="FootnoteReference"/>
        </w:rPr>
        <w:footnoteReference w:id="29"/>
      </w:r>
    </w:p>
    <w:p w14:paraId="7D08B921" w14:textId="207CB218" w:rsidR="00665C76" w:rsidRDefault="00665C76" w:rsidP="00665C76">
      <w:pPr>
        <w:pStyle w:val="05Paragraph"/>
      </w:pPr>
      <w:r>
        <w:t>In response to inflationary pressures, the RBA Board has increased its cash rate target 12 times since May 2022, from 0.10 per cent to 4.10 per cent as at June 2023. RBA Governor Philip Lowe stated that the Board’s decision to increase the cash rate target by a further 25 basis points at its meeting in June 2023 was to ‘</w:t>
      </w:r>
      <w:r w:rsidRPr="000B2A24">
        <w:t>provide greater confidence that inflation will return to target within a reasonable timeframe</w:t>
      </w:r>
      <w:r>
        <w:t>’. In this regard, Governor Lowe noted that upside risks to the inflation outlook have increased, and flagged that ‘some further tightening of monetary policy may be required’.</w:t>
      </w:r>
      <w:r w:rsidR="00683533">
        <w:rPr>
          <w:rFonts w:ascii="ZWAdobeF" w:hAnsi="ZWAdobeF" w:cs="ZWAdobeF"/>
          <w:color w:val="auto"/>
          <w:sz w:val="2"/>
          <w:szCs w:val="2"/>
        </w:rPr>
        <w:t>28F</w:t>
      </w:r>
      <w:r w:rsidR="0017105B">
        <w:rPr>
          <w:rFonts w:ascii="ZWAdobeF" w:hAnsi="ZWAdobeF" w:cs="ZWAdobeF"/>
          <w:color w:val="auto"/>
          <w:sz w:val="2"/>
          <w:szCs w:val="2"/>
        </w:rPr>
        <w:t>28F</w:t>
      </w:r>
      <w:r>
        <w:rPr>
          <w:rStyle w:val="FootnoteReference"/>
        </w:rPr>
        <w:footnoteReference w:id="30"/>
      </w:r>
    </w:p>
    <w:p w14:paraId="6FBABA4D" w14:textId="3BD5DF9C" w:rsidR="00665C76" w:rsidRDefault="00665C76" w:rsidP="00665C76">
      <w:pPr>
        <w:pStyle w:val="05Paragraph"/>
      </w:pPr>
      <w:r>
        <w:t>The RBA noted that conditions in the national labour market remain tight, with the national unemployment rate remaining around its 50-year low of 3.5 per cent.</w:t>
      </w:r>
      <w:r w:rsidR="00683533">
        <w:rPr>
          <w:rFonts w:ascii="ZWAdobeF" w:hAnsi="ZWAdobeF" w:cs="ZWAdobeF"/>
          <w:color w:val="auto"/>
          <w:sz w:val="2"/>
          <w:szCs w:val="2"/>
        </w:rPr>
        <w:t>29F</w:t>
      </w:r>
      <w:r w:rsidR="0017105B">
        <w:rPr>
          <w:rFonts w:ascii="ZWAdobeF" w:hAnsi="ZWAdobeF" w:cs="ZWAdobeF"/>
          <w:color w:val="auto"/>
          <w:sz w:val="2"/>
          <w:szCs w:val="2"/>
        </w:rPr>
        <w:t>29F</w:t>
      </w:r>
      <w:r>
        <w:rPr>
          <w:rStyle w:val="FootnoteReference"/>
        </w:rPr>
        <w:footnoteReference w:id="31"/>
      </w:r>
      <w:r>
        <w:t xml:space="preserve"> The tightness in the labour market has contributed to a pick-up in wages growth. Annual growth in the seasonally adjusted WPI increased to 3.7 per cent in March 2023, the highest growth rate in over a decade.</w:t>
      </w:r>
      <w:r w:rsidR="00683533">
        <w:rPr>
          <w:rFonts w:ascii="ZWAdobeF" w:hAnsi="ZWAdobeF" w:cs="ZWAdobeF"/>
          <w:color w:val="auto"/>
          <w:sz w:val="2"/>
          <w:szCs w:val="2"/>
        </w:rPr>
        <w:t>30F</w:t>
      </w:r>
      <w:r w:rsidR="0017105B">
        <w:rPr>
          <w:rFonts w:ascii="ZWAdobeF" w:hAnsi="ZWAdobeF" w:cs="ZWAdobeF"/>
          <w:color w:val="auto"/>
          <w:sz w:val="2"/>
          <w:szCs w:val="2"/>
        </w:rPr>
        <w:t>30F</w:t>
      </w:r>
      <w:r>
        <w:rPr>
          <w:rStyle w:val="FootnoteReference"/>
        </w:rPr>
        <w:footnoteReference w:id="32"/>
      </w:r>
    </w:p>
    <w:p w14:paraId="52B3229F" w14:textId="16F0441B" w:rsidR="00665C76" w:rsidRDefault="00665C76" w:rsidP="00665C76">
      <w:pPr>
        <w:pStyle w:val="05Paragraph"/>
        <w:keepNext/>
      </w:pPr>
      <w:r>
        <w:lastRenderedPageBreak/>
        <w:t>According to ABS analysis, for those jobs that recorded an hourly wage rise in the March quarter 2023:</w:t>
      </w:r>
      <w:r w:rsidR="00683533">
        <w:rPr>
          <w:rFonts w:ascii="ZWAdobeF" w:hAnsi="ZWAdobeF" w:cs="ZWAdobeF"/>
          <w:color w:val="auto"/>
          <w:sz w:val="2"/>
          <w:szCs w:val="2"/>
        </w:rPr>
        <w:t>31F</w:t>
      </w:r>
      <w:r w:rsidR="0017105B">
        <w:rPr>
          <w:rFonts w:ascii="ZWAdobeF" w:hAnsi="ZWAdobeF" w:cs="ZWAdobeF"/>
          <w:color w:val="auto"/>
          <w:sz w:val="2"/>
          <w:szCs w:val="2"/>
        </w:rPr>
        <w:t>31F</w:t>
      </w:r>
      <w:r>
        <w:rPr>
          <w:rStyle w:val="FootnoteReference"/>
        </w:rPr>
        <w:footnoteReference w:id="33"/>
      </w:r>
    </w:p>
    <w:p w14:paraId="3D43FC83" w14:textId="77777777" w:rsidR="00665C76" w:rsidRDefault="00665C76" w:rsidP="00665C76">
      <w:pPr>
        <w:pStyle w:val="06VIRTBulletpoints"/>
        <w:ind w:left="357" w:hanging="357"/>
      </w:pPr>
      <w:r>
        <w:t>the average increase was 4.3 per cent in the private sector and 3 per cent in the public sector, compared to 3.4 per cent and 2.1 per cent a year earlier</w:t>
      </w:r>
    </w:p>
    <w:p w14:paraId="743B03C1" w14:textId="77777777" w:rsidR="00665C76" w:rsidRDefault="00665C76" w:rsidP="00665C76">
      <w:pPr>
        <w:pStyle w:val="06VIRTBulletpoints"/>
        <w:ind w:left="357" w:hanging="357"/>
      </w:pPr>
      <w:r>
        <w:t>around half received an increase greater than 3 per cent, compared to around one-in-five a year earlier</w:t>
      </w:r>
    </w:p>
    <w:p w14:paraId="170BFEF9" w14:textId="62ECE65F" w:rsidR="00665C76" w:rsidRDefault="00665C76" w:rsidP="00665C76">
      <w:pPr>
        <w:pStyle w:val="06VIRTBulletpoints"/>
        <w:ind w:left="357" w:hanging="357"/>
      </w:pPr>
      <w:r>
        <w:t xml:space="preserve">around </w:t>
      </w:r>
      <w:r w:rsidR="00D5174A">
        <w:t>35</w:t>
      </w:r>
      <w:r w:rsidR="00F932F4">
        <w:t xml:space="preserve"> per cent</w:t>
      </w:r>
      <w:r>
        <w:t xml:space="preserve"> received an increase greater than 4 per cent, compared to around 13 per cent a year earlier.</w:t>
      </w:r>
    </w:p>
    <w:p w14:paraId="424153AC" w14:textId="11CFF61C" w:rsidR="00665C76" w:rsidRDefault="00665C76" w:rsidP="00665C76">
      <w:pPr>
        <w:pStyle w:val="05Paragraph"/>
      </w:pPr>
      <w:r>
        <w:t xml:space="preserve">The FWC issued its </w:t>
      </w:r>
      <w:r w:rsidRPr="00BF51C2">
        <w:rPr>
          <w:i/>
        </w:rPr>
        <w:t>Annual Wage Review</w:t>
      </w:r>
      <w:r>
        <w:rPr>
          <w:i/>
        </w:rPr>
        <w:t xml:space="preserve"> 2022-23</w:t>
      </w:r>
      <w:r>
        <w:t xml:space="preserve"> </w:t>
      </w:r>
      <w:r w:rsidR="001F026A">
        <w:t xml:space="preserve">decision </w:t>
      </w:r>
      <w:r>
        <w:t>on 2 June 2023. The decision, which comes into effect on 1 July 2023, increased modern award minimum wages by 5.75 per cent and the NMW by a total of 8.6 per cent.</w:t>
      </w:r>
      <w:r w:rsidR="00683533">
        <w:rPr>
          <w:rFonts w:ascii="ZWAdobeF" w:hAnsi="ZWAdobeF" w:cs="ZWAdobeF"/>
          <w:color w:val="auto"/>
          <w:sz w:val="2"/>
          <w:szCs w:val="2"/>
        </w:rPr>
        <w:t>32F</w:t>
      </w:r>
      <w:r w:rsidR="0017105B">
        <w:rPr>
          <w:rFonts w:ascii="ZWAdobeF" w:hAnsi="ZWAdobeF" w:cs="ZWAdobeF"/>
          <w:color w:val="auto"/>
          <w:sz w:val="2"/>
          <w:szCs w:val="2"/>
        </w:rPr>
        <w:t>32F</w:t>
      </w:r>
      <w:r>
        <w:rPr>
          <w:rStyle w:val="FootnoteReference"/>
        </w:rPr>
        <w:footnoteReference w:id="34"/>
      </w:r>
      <w:r>
        <w:t xml:space="preserve"> The increase to the NMW comprised two components:</w:t>
      </w:r>
      <w:r w:rsidR="00683533">
        <w:rPr>
          <w:rFonts w:ascii="ZWAdobeF" w:hAnsi="ZWAdobeF" w:cs="ZWAdobeF"/>
          <w:color w:val="auto"/>
          <w:sz w:val="2"/>
          <w:szCs w:val="2"/>
        </w:rPr>
        <w:t>33F</w:t>
      </w:r>
      <w:r w:rsidR="0017105B">
        <w:rPr>
          <w:rFonts w:ascii="ZWAdobeF" w:hAnsi="ZWAdobeF" w:cs="ZWAdobeF"/>
          <w:color w:val="auto"/>
          <w:sz w:val="2"/>
          <w:szCs w:val="2"/>
        </w:rPr>
        <w:t>33F</w:t>
      </w:r>
      <w:r>
        <w:rPr>
          <w:rStyle w:val="FootnoteReference"/>
        </w:rPr>
        <w:footnoteReference w:id="35"/>
      </w:r>
    </w:p>
    <w:p w14:paraId="5F33D6AF" w14:textId="77777777" w:rsidR="00665C76" w:rsidRDefault="00665C76" w:rsidP="00665C76">
      <w:pPr>
        <w:pStyle w:val="06VIRTBulletpoints"/>
        <w:numPr>
          <w:ilvl w:val="0"/>
          <w:numId w:val="2"/>
        </w:numPr>
      </w:pPr>
      <w:r>
        <w:t>a 2.7 per cent increase resulting from aligning the NMW with the lowest classification rate applicable to ongoing employees in most modern awards</w:t>
      </w:r>
    </w:p>
    <w:p w14:paraId="62BFD250" w14:textId="77777777" w:rsidR="00665C76" w:rsidRDefault="00665C76" w:rsidP="00665C76">
      <w:pPr>
        <w:pStyle w:val="06VIRTBulletpoints"/>
        <w:numPr>
          <w:ilvl w:val="0"/>
          <w:numId w:val="2"/>
        </w:numPr>
      </w:pPr>
      <w:r>
        <w:t>a further 5.75 per cent increase.</w:t>
      </w:r>
    </w:p>
    <w:p w14:paraId="73F41FA0" w14:textId="77777777" w:rsidR="00665C76" w:rsidRDefault="00665C76" w:rsidP="00665C76">
      <w:pPr>
        <w:pStyle w:val="05Paragraph"/>
        <w:keepNext/>
      </w:pPr>
      <w:r>
        <w:t>In determining the amount of the increase to modern award minimum wages, the FWC stated that it:</w:t>
      </w:r>
    </w:p>
    <w:p w14:paraId="776E31C9" w14:textId="72215900" w:rsidR="00665C76" w:rsidRDefault="00665C76" w:rsidP="00665C76">
      <w:pPr>
        <w:pStyle w:val="07VIRTBreakouttext"/>
      </w:pPr>
      <w:r>
        <w:t>… placed significant weight on the impact of the current rate of inflation on the ability of modern award-reliant employees to meet their basic financial needs. Inflation is reducing the real value of these employees’ incomes and causing households financial stress.</w:t>
      </w:r>
      <w:r w:rsidR="00683533">
        <w:rPr>
          <w:rFonts w:ascii="ZWAdobeF" w:hAnsi="ZWAdobeF" w:cs="ZWAdobeF"/>
          <w:i w:val="0"/>
          <w:color w:val="auto"/>
          <w:spacing w:val="0"/>
          <w:sz w:val="2"/>
          <w:szCs w:val="2"/>
        </w:rPr>
        <w:t>34F</w:t>
      </w:r>
      <w:r w:rsidR="0017105B">
        <w:rPr>
          <w:rFonts w:ascii="ZWAdobeF" w:hAnsi="ZWAdobeF" w:cs="ZWAdobeF"/>
          <w:i w:val="0"/>
          <w:color w:val="auto"/>
          <w:spacing w:val="0"/>
          <w:sz w:val="2"/>
          <w:szCs w:val="2"/>
        </w:rPr>
        <w:t>34F</w:t>
      </w:r>
      <w:r w:rsidRPr="006F458D">
        <w:rPr>
          <w:rStyle w:val="FootnoteReference"/>
          <w:i w:val="0"/>
          <w:iCs/>
        </w:rPr>
        <w:footnoteReference w:id="36"/>
      </w:r>
    </w:p>
    <w:p w14:paraId="5978E52D" w14:textId="0460441F" w:rsidR="00665C76" w:rsidRDefault="00665C76" w:rsidP="00665C76">
      <w:pPr>
        <w:pStyle w:val="05Paragraph"/>
        <w:keepNext/>
      </w:pPr>
      <w:r>
        <w:t>The FWC expects that the increase to modern award minimum wages ‘will not cause or contribute to any wage-price spiral’, and that the increase to the NMW (which applies to fewer than one per cent of employees) ‘will not have any discernible macro</w:t>
      </w:r>
      <w:r>
        <w:noBreakHyphen/>
        <w:t>economic effects’.</w:t>
      </w:r>
      <w:r w:rsidR="00683533">
        <w:rPr>
          <w:rFonts w:ascii="ZWAdobeF" w:hAnsi="ZWAdobeF" w:cs="ZWAdobeF"/>
          <w:color w:val="auto"/>
          <w:sz w:val="2"/>
          <w:szCs w:val="2"/>
        </w:rPr>
        <w:t>35F</w:t>
      </w:r>
      <w:r w:rsidR="0017105B">
        <w:rPr>
          <w:rFonts w:ascii="ZWAdobeF" w:hAnsi="ZWAdobeF" w:cs="ZWAdobeF"/>
          <w:color w:val="auto"/>
          <w:sz w:val="2"/>
          <w:szCs w:val="2"/>
        </w:rPr>
        <w:t>35F</w:t>
      </w:r>
      <w:r>
        <w:rPr>
          <w:rStyle w:val="FootnoteReference"/>
        </w:rPr>
        <w:footnoteReference w:id="37"/>
      </w:r>
    </w:p>
    <w:p w14:paraId="0DFCE49D" w14:textId="52F8B37E" w:rsidR="00665C76" w:rsidRDefault="00665C76" w:rsidP="00665C76">
      <w:pPr>
        <w:pStyle w:val="05Paragraph"/>
        <w:keepNext/>
      </w:pPr>
      <w:r>
        <w:t xml:space="preserve">The RBA’s forecasts for the Australian economy are reproduced in Table </w:t>
      </w:r>
      <w:r w:rsidR="006338ED">
        <w:t>A</w:t>
      </w:r>
      <w:r w:rsidR="009F6D56">
        <w:t>.</w:t>
      </w:r>
      <w:r>
        <w:t>1. In summary:</w:t>
      </w:r>
    </w:p>
    <w:p w14:paraId="39DB18C7" w14:textId="7C221B1F" w:rsidR="00665C76" w:rsidRDefault="00665C76" w:rsidP="00665C76">
      <w:pPr>
        <w:pStyle w:val="06VIRTBulletpoints"/>
        <w:ind w:left="357" w:hanging="357"/>
      </w:pPr>
      <w:r>
        <w:t>real GDP growth is expected to slow to around 1.25 per cent over 2023, as rising interest rates and cost</w:t>
      </w:r>
      <w:r>
        <w:noBreakHyphen/>
        <w:t>of</w:t>
      </w:r>
      <w:r>
        <w:noBreakHyphen/>
        <w:t>living pressures weigh on growth</w:t>
      </w:r>
      <w:r w:rsidR="00683533">
        <w:rPr>
          <w:rFonts w:ascii="ZWAdobeF" w:hAnsi="ZWAdobeF" w:cs="ZWAdobeF"/>
          <w:color w:val="auto"/>
          <w:sz w:val="2"/>
          <w:szCs w:val="2"/>
        </w:rPr>
        <w:t>36F</w:t>
      </w:r>
      <w:r w:rsidR="0017105B">
        <w:rPr>
          <w:rFonts w:ascii="ZWAdobeF" w:hAnsi="ZWAdobeF" w:cs="ZWAdobeF"/>
          <w:color w:val="auto"/>
          <w:sz w:val="2"/>
          <w:szCs w:val="2"/>
        </w:rPr>
        <w:t>36F</w:t>
      </w:r>
      <w:r>
        <w:rPr>
          <w:rStyle w:val="FootnoteReference"/>
        </w:rPr>
        <w:footnoteReference w:id="38"/>
      </w:r>
    </w:p>
    <w:p w14:paraId="2552578C" w14:textId="43776780" w:rsidR="00665C76" w:rsidRDefault="00665C76" w:rsidP="00665C76">
      <w:pPr>
        <w:pStyle w:val="06VIRTBulletpoints"/>
        <w:ind w:left="357" w:hanging="357"/>
      </w:pPr>
      <w:r>
        <w:lastRenderedPageBreak/>
        <w:t>inflation is forecast to decline gradually, with trimmed mean inflation expected to be around the top of the 2-3 per cent target range by mid-2025</w:t>
      </w:r>
      <w:r w:rsidR="00683533">
        <w:rPr>
          <w:rFonts w:ascii="ZWAdobeF" w:hAnsi="ZWAdobeF" w:cs="ZWAdobeF"/>
          <w:color w:val="auto"/>
          <w:sz w:val="2"/>
          <w:szCs w:val="2"/>
        </w:rPr>
        <w:t>37F</w:t>
      </w:r>
      <w:r w:rsidR="0017105B">
        <w:rPr>
          <w:rFonts w:ascii="ZWAdobeF" w:hAnsi="ZWAdobeF" w:cs="ZWAdobeF"/>
          <w:color w:val="auto"/>
          <w:sz w:val="2"/>
          <w:szCs w:val="2"/>
        </w:rPr>
        <w:t>37F</w:t>
      </w:r>
      <w:r>
        <w:rPr>
          <w:rStyle w:val="FootnoteReference"/>
        </w:rPr>
        <w:footnoteReference w:id="39"/>
      </w:r>
    </w:p>
    <w:p w14:paraId="62F553C0" w14:textId="56CA816D" w:rsidR="00665C76" w:rsidRDefault="00665C76" w:rsidP="00665C76">
      <w:pPr>
        <w:pStyle w:val="06VIRTBulletpoints"/>
        <w:ind w:left="357" w:hanging="357"/>
      </w:pPr>
      <w:r>
        <w:t>the national unemployment rate is forecast to steadily increase over the coming years as economic growth slows, but is expected to remain below pre</w:t>
      </w:r>
      <w:r>
        <w:noBreakHyphen/>
        <w:t>pandemic levels</w:t>
      </w:r>
      <w:r w:rsidR="00683533">
        <w:rPr>
          <w:rFonts w:ascii="ZWAdobeF" w:hAnsi="ZWAdobeF" w:cs="ZWAdobeF"/>
          <w:color w:val="auto"/>
          <w:sz w:val="2"/>
          <w:szCs w:val="2"/>
        </w:rPr>
        <w:t>38F</w:t>
      </w:r>
      <w:r w:rsidR="0017105B">
        <w:rPr>
          <w:rFonts w:ascii="ZWAdobeF" w:hAnsi="ZWAdobeF" w:cs="ZWAdobeF"/>
          <w:color w:val="auto"/>
          <w:sz w:val="2"/>
          <w:szCs w:val="2"/>
        </w:rPr>
        <w:t>38F</w:t>
      </w:r>
      <w:r>
        <w:rPr>
          <w:rStyle w:val="FootnoteReference"/>
        </w:rPr>
        <w:footnoteReference w:id="40"/>
      </w:r>
    </w:p>
    <w:p w14:paraId="789AC7EF" w14:textId="31D409F7" w:rsidR="00665C76" w:rsidRDefault="00665C76" w:rsidP="00665C76">
      <w:pPr>
        <w:pStyle w:val="06VIRTBulletpoints"/>
        <w:ind w:left="357" w:hanging="357"/>
      </w:pPr>
      <w:r>
        <w:t>WPI growth is expected to peak at around 4 per cent in the second half of 2023, before gradually declining to 3.75 per cent in mid-2025.</w:t>
      </w:r>
      <w:r w:rsidR="00683533">
        <w:rPr>
          <w:rFonts w:ascii="ZWAdobeF" w:hAnsi="ZWAdobeF" w:cs="ZWAdobeF"/>
          <w:color w:val="auto"/>
          <w:sz w:val="2"/>
          <w:szCs w:val="2"/>
        </w:rPr>
        <w:t>39F</w:t>
      </w:r>
      <w:r w:rsidR="0017105B">
        <w:rPr>
          <w:rFonts w:ascii="ZWAdobeF" w:hAnsi="ZWAdobeF" w:cs="ZWAdobeF"/>
          <w:color w:val="auto"/>
          <w:sz w:val="2"/>
          <w:szCs w:val="2"/>
        </w:rPr>
        <w:t>39F</w:t>
      </w:r>
      <w:r>
        <w:rPr>
          <w:rStyle w:val="FootnoteReference"/>
        </w:rPr>
        <w:footnoteReference w:id="41"/>
      </w:r>
    </w:p>
    <w:p w14:paraId="64F51E33" w14:textId="2A607B54" w:rsidR="00665C76" w:rsidRPr="00731ADB" w:rsidRDefault="00665C76" w:rsidP="00665C76">
      <w:pPr>
        <w:pStyle w:val="08Figuretableboxheading"/>
        <w:rPr>
          <w:vertAlign w:val="superscript"/>
        </w:rPr>
      </w:pPr>
      <w:bookmarkStart w:id="44" w:name="_Toc137639093"/>
      <w:r>
        <w:t xml:space="preserve">Table </w:t>
      </w:r>
      <w:r w:rsidR="006338ED">
        <w:t>A.</w:t>
      </w:r>
      <w:r>
        <w:t>1: RBA forecasts for the Australian economy, May 2023</w:t>
      </w:r>
      <w:r>
        <w:rPr>
          <w:vertAlign w:val="superscript"/>
        </w:rPr>
        <w:t>(a)</w:t>
      </w:r>
      <w:bookmarkEnd w:id="44"/>
    </w:p>
    <w:tbl>
      <w:tblPr>
        <w:tblStyle w:val="ListTable3-Accent21"/>
        <w:tblW w:w="0" w:type="auto"/>
        <w:tblInd w:w="5" w:type="dxa"/>
        <w:tblLook w:val="04A0" w:firstRow="1" w:lastRow="0" w:firstColumn="1" w:lastColumn="0" w:noHBand="0" w:noVBand="1"/>
      </w:tblPr>
      <w:tblGrid>
        <w:gridCol w:w="2263"/>
        <w:gridCol w:w="1247"/>
        <w:gridCol w:w="1247"/>
        <w:gridCol w:w="1247"/>
        <w:gridCol w:w="1247"/>
        <w:gridCol w:w="1248"/>
      </w:tblGrid>
      <w:tr w:rsidR="00665C76" w:rsidRPr="00C71CCB" w14:paraId="68F839BF" w14:textId="77777777" w:rsidTr="00504E6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Borders>
              <w:top w:val="single" w:sz="4" w:space="0" w:color="148A5D" w:themeColor="accent2"/>
              <w:bottom w:val="single" w:sz="4" w:space="0" w:color="148A5D"/>
            </w:tcBorders>
            <w:shd w:val="clear" w:color="auto" w:fill="auto"/>
          </w:tcPr>
          <w:p w14:paraId="2A946677" w14:textId="77777777" w:rsidR="00665C76" w:rsidRPr="00504E62" w:rsidRDefault="00665C76" w:rsidP="008D7C73">
            <w:pPr>
              <w:pStyle w:val="10Tabletext"/>
              <w:rPr>
                <w:rFonts w:ascii="Calibri" w:hAnsi="Calibri" w:cs="Calibri"/>
                <w:color w:val="auto"/>
              </w:rPr>
            </w:pPr>
            <w:r w:rsidRPr="00504E62">
              <w:rPr>
                <w:rFonts w:ascii="Calibri" w:hAnsi="Calibri" w:cs="Calibri"/>
                <w:color w:val="auto"/>
              </w:rPr>
              <w:t>Indicator</w:t>
            </w:r>
          </w:p>
        </w:tc>
        <w:tc>
          <w:tcPr>
            <w:tcW w:w="1247" w:type="dxa"/>
            <w:tcBorders>
              <w:top w:val="single" w:sz="4" w:space="0" w:color="148A5D" w:themeColor="accent2"/>
              <w:bottom w:val="single" w:sz="4" w:space="0" w:color="148A5D"/>
            </w:tcBorders>
            <w:shd w:val="clear" w:color="auto" w:fill="auto"/>
          </w:tcPr>
          <w:p w14:paraId="1A2BB834" w14:textId="77777777" w:rsidR="00665C76" w:rsidRPr="00504E62" w:rsidRDefault="00665C76" w:rsidP="008D7C73">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504E62">
              <w:rPr>
                <w:rFonts w:ascii="Calibri" w:hAnsi="Calibri" w:cs="Calibri"/>
                <w:color w:val="auto"/>
              </w:rPr>
              <w:t>June 2023</w:t>
            </w:r>
          </w:p>
        </w:tc>
        <w:tc>
          <w:tcPr>
            <w:tcW w:w="1247" w:type="dxa"/>
            <w:tcBorders>
              <w:top w:val="single" w:sz="4" w:space="0" w:color="148A5D" w:themeColor="accent2"/>
              <w:bottom w:val="single" w:sz="4" w:space="0" w:color="148A5D"/>
            </w:tcBorders>
            <w:shd w:val="clear" w:color="auto" w:fill="auto"/>
          </w:tcPr>
          <w:p w14:paraId="1A46559F" w14:textId="77777777" w:rsidR="00665C76" w:rsidRPr="00504E62" w:rsidRDefault="00665C76" w:rsidP="008D7C73">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504E62">
              <w:rPr>
                <w:rFonts w:ascii="Calibri" w:hAnsi="Calibri" w:cs="Calibri"/>
                <w:color w:val="auto"/>
              </w:rPr>
              <w:t>Dec 2023</w:t>
            </w:r>
          </w:p>
        </w:tc>
        <w:tc>
          <w:tcPr>
            <w:tcW w:w="1247" w:type="dxa"/>
            <w:tcBorders>
              <w:top w:val="single" w:sz="4" w:space="0" w:color="148A5D" w:themeColor="accent2"/>
              <w:bottom w:val="single" w:sz="4" w:space="0" w:color="148A5D"/>
            </w:tcBorders>
            <w:shd w:val="clear" w:color="auto" w:fill="auto"/>
          </w:tcPr>
          <w:p w14:paraId="174F671E" w14:textId="77777777" w:rsidR="00665C76" w:rsidRPr="00504E62" w:rsidRDefault="00665C76" w:rsidP="008D7C73">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504E62">
              <w:rPr>
                <w:rFonts w:ascii="Calibri" w:hAnsi="Calibri" w:cs="Calibri"/>
                <w:color w:val="auto"/>
              </w:rPr>
              <w:t>June 2024</w:t>
            </w:r>
          </w:p>
        </w:tc>
        <w:tc>
          <w:tcPr>
            <w:tcW w:w="1247" w:type="dxa"/>
            <w:tcBorders>
              <w:top w:val="single" w:sz="4" w:space="0" w:color="148A5D" w:themeColor="accent2"/>
              <w:bottom w:val="single" w:sz="4" w:space="0" w:color="148A5D"/>
            </w:tcBorders>
            <w:shd w:val="clear" w:color="auto" w:fill="auto"/>
          </w:tcPr>
          <w:p w14:paraId="5C339FC5" w14:textId="77777777" w:rsidR="00665C76" w:rsidRPr="00504E62" w:rsidRDefault="00665C76" w:rsidP="008D7C73">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504E62">
              <w:rPr>
                <w:rFonts w:ascii="Calibri" w:hAnsi="Calibri" w:cs="Calibri"/>
                <w:color w:val="auto"/>
              </w:rPr>
              <w:t>Dec 2024</w:t>
            </w:r>
          </w:p>
        </w:tc>
        <w:tc>
          <w:tcPr>
            <w:tcW w:w="1248" w:type="dxa"/>
            <w:tcBorders>
              <w:top w:val="single" w:sz="4" w:space="0" w:color="148A5D" w:themeColor="accent2"/>
              <w:bottom w:val="single" w:sz="4" w:space="0" w:color="148A5D"/>
            </w:tcBorders>
            <w:shd w:val="clear" w:color="auto" w:fill="auto"/>
          </w:tcPr>
          <w:p w14:paraId="43853969" w14:textId="77777777" w:rsidR="00665C76" w:rsidRPr="00504E62" w:rsidRDefault="00665C76" w:rsidP="008D7C73">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504E62">
              <w:rPr>
                <w:rFonts w:ascii="Calibri" w:hAnsi="Calibri" w:cs="Calibri"/>
                <w:color w:val="auto"/>
              </w:rPr>
              <w:t>June 2025</w:t>
            </w:r>
          </w:p>
        </w:tc>
      </w:tr>
      <w:tr w:rsidR="00665C76" w:rsidRPr="00C71CCB" w14:paraId="7F5CBBC3" w14:textId="77777777" w:rsidTr="00504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5CC54F7" w14:textId="77777777" w:rsidR="00665C76" w:rsidRPr="00C71CCB" w:rsidRDefault="00665C76" w:rsidP="008D7C73">
            <w:pPr>
              <w:pStyle w:val="10Tabletext"/>
              <w:rPr>
                <w:rFonts w:ascii="Calibri" w:hAnsi="Calibri" w:cs="Calibri"/>
                <w:vertAlign w:val="superscript"/>
              </w:rPr>
            </w:pPr>
            <w:r w:rsidRPr="00C71CCB">
              <w:rPr>
                <w:rFonts w:ascii="Calibri" w:hAnsi="Calibri" w:cs="Calibri"/>
              </w:rPr>
              <w:t>Real GDP</w:t>
            </w:r>
            <w:r w:rsidRPr="00C71CCB">
              <w:rPr>
                <w:rFonts w:ascii="Calibri" w:hAnsi="Calibri" w:cs="Calibri"/>
                <w:vertAlign w:val="superscript"/>
              </w:rPr>
              <w:t>(b)</w:t>
            </w:r>
          </w:p>
        </w:tc>
        <w:tc>
          <w:tcPr>
            <w:tcW w:w="1247" w:type="dxa"/>
          </w:tcPr>
          <w:p w14:paraId="5AE455E1" w14:textId="77777777" w:rsidR="00665C76" w:rsidRPr="00C71CCB" w:rsidRDefault="00665C76" w:rsidP="008D7C73">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1CCB">
              <w:rPr>
                <w:rFonts w:ascii="Calibri" w:hAnsi="Calibri" w:cs="Calibri"/>
              </w:rPr>
              <w:t>1.7</w:t>
            </w:r>
          </w:p>
        </w:tc>
        <w:tc>
          <w:tcPr>
            <w:tcW w:w="1247" w:type="dxa"/>
          </w:tcPr>
          <w:p w14:paraId="04BF83E4" w14:textId="77777777" w:rsidR="00665C76" w:rsidRPr="00C71CCB" w:rsidRDefault="00665C76" w:rsidP="008D7C73">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1CCB">
              <w:rPr>
                <w:rFonts w:ascii="Calibri" w:hAnsi="Calibri" w:cs="Calibri"/>
              </w:rPr>
              <w:t>1.2</w:t>
            </w:r>
          </w:p>
        </w:tc>
        <w:tc>
          <w:tcPr>
            <w:tcW w:w="1247" w:type="dxa"/>
          </w:tcPr>
          <w:p w14:paraId="42336B90" w14:textId="77777777" w:rsidR="00665C76" w:rsidRPr="00C71CCB" w:rsidRDefault="00665C76" w:rsidP="008D7C73">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1CCB">
              <w:rPr>
                <w:rFonts w:ascii="Calibri" w:hAnsi="Calibri" w:cs="Calibri"/>
              </w:rPr>
              <w:t>1.4</w:t>
            </w:r>
          </w:p>
        </w:tc>
        <w:tc>
          <w:tcPr>
            <w:tcW w:w="1247" w:type="dxa"/>
          </w:tcPr>
          <w:p w14:paraId="49B253D2" w14:textId="77777777" w:rsidR="00665C76" w:rsidRPr="00C71CCB" w:rsidRDefault="00665C76" w:rsidP="008D7C73">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1CCB">
              <w:rPr>
                <w:rFonts w:ascii="Calibri" w:hAnsi="Calibri" w:cs="Calibri"/>
              </w:rPr>
              <w:t>1.7</w:t>
            </w:r>
          </w:p>
        </w:tc>
        <w:tc>
          <w:tcPr>
            <w:tcW w:w="1248" w:type="dxa"/>
          </w:tcPr>
          <w:p w14:paraId="59467754" w14:textId="77777777" w:rsidR="00665C76" w:rsidRPr="00C71CCB" w:rsidRDefault="00665C76" w:rsidP="008D7C73">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1CCB">
              <w:rPr>
                <w:rFonts w:ascii="Calibri" w:hAnsi="Calibri" w:cs="Calibri"/>
              </w:rPr>
              <w:t>2.1</w:t>
            </w:r>
          </w:p>
        </w:tc>
      </w:tr>
      <w:tr w:rsidR="00665C76" w:rsidRPr="00C71CCB" w14:paraId="24BA81F0" w14:textId="77777777" w:rsidTr="008D7C73">
        <w:tc>
          <w:tcPr>
            <w:cnfStyle w:val="001000000000" w:firstRow="0" w:lastRow="0" w:firstColumn="1" w:lastColumn="0" w:oddVBand="0" w:evenVBand="0" w:oddHBand="0" w:evenHBand="0" w:firstRowFirstColumn="0" w:firstRowLastColumn="0" w:lastRowFirstColumn="0" w:lastRowLastColumn="0"/>
            <w:tcW w:w="2263" w:type="dxa"/>
          </w:tcPr>
          <w:p w14:paraId="239C1769" w14:textId="77777777" w:rsidR="00665C76" w:rsidRPr="00C71CCB" w:rsidRDefault="00665C76" w:rsidP="008D7C73">
            <w:pPr>
              <w:pStyle w:val="10Tabletext"/>
              <w:rPr>
                <w:rFonts w:ascii="Calibri" w:hAnsi="Calibri" w:cs="Calibri"/>
                <w:vertAlign w:val="superscript"/>
              </w:rPr>
            </w:pPr>
            <w:r w:rsidRPr="00C71CCB">
              <w:rPr>
                <w:rFonts w:ascii="Calibri" w:hAnsi="Calibri" w:cs="Calibri"/>
              </w:rPr>
              <w:t>Unemployment rate</w:t>
            </w:r>
            <w:r w:rsidRPr="00C71CCB">
              <w:rPr>
                <w:rFonts w:ascii="Calibri" w:hAnsi="Calibri" w:cs="Calibri"/>
                <w:vertAlign w:val="superscript"/>
              </w:rPr>
              <w:t>(c)</w:t>
            </w:r>
          </w:p>
        </w:tc>
        <w:tc>
          <w:tcPr>
            <w:tcW w:w="1247" w:type="dxa"/>
          </w:tcPr>
          <w:p w14:paraId="363ADC74" w14:textId="77777777" w:rsidR="00665C76" w:rsidRPr="00C71CCB" w:rsidRDefault="00665C76" w:rsidP="008D7C73">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71CCB">
              <w:rPr>
                <w:rFonts w:ascii="Calibri" w:hAnsi="Calibri" w:cs="Calibri"/>
              </w:rPr>
              <w:t>3.6</w:t>
            </w:r>
          </w:p>
        </w:tc>
        <w:tc>
          <w:tcPr>
            <w:tcW w:w="1247" w:type="dxa"/>
          </w:tcPr>
          <w:p w14:paraId="0B2828A8" w14:textId="77777777" w:rsidR="00665C76" w:rsidRPr="00C71CCB" w:rsidRDefault="00665C76" w:rsidP="008D7C73">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71CCB">
              <w:rPr>
                <w:rFonts w:ascii="Calibri" w:hAnsi="Calibri" w:cs="Calibri"/>
              </w:rPr>
              <w:t>4.0</w:t>
            </w:r>
          </w:p>
        </w:tc>
        <w:tc>
          <w:tcPr>
            <w:tcW w:w="1247" w:type="dxa"/>
          </w:tcPr>
          <w:p w14:paraId="1EAC78B2" w14:textId="77777777" w:rsidR="00665C76" w:rsidRPr="00C71CCB" w:rsidRDefault="00665C76" w:rsidP="008D7C73">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71CCB">
              <w:rPr>
                <w:rFonts w:ascii="Calibri" w:hAnsi="Calibri" w:cs="Calibri"/>
              </w:rPr>
              <w:t>4.2</w:t>
            </w:r>
          </w:p>
        </w:tc>
        <w:tc>
          <w:tcPr>
            <w:tcW w:w="1247" w:type="dxa"/>
          </w:tcPr>
          <w:p w14:paraId="599EF8F6" w14:textId="77777777" w:rsidR="00665C76" w:rsidRPr="00C71CCB" w:rsidRDefault="00665C76" w:rsidP="008D7C73">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71CCB">
              <w:rPr>
                <w:rFonts w:ascii="Calibri" w:hAnsi="Calibri" w:cs="Calibri"/>
              </w:rPr>
              <w:t>4.4</w:t>
            </w:r>
          </w:p>
        </w:tc>
        <w:tc>
          <w:tcPr>
            <w:tcW w:w="1248" w:type="dxa"/>
          </w:tcPr>
          <w:p w14:paraId="42C1ED54" w14:textId="77777777" w:rsidR="00665C76" w:rsidRPr="00C71CCB" w:rsidRDefault="00665C76" w:rsidP="008D7C73">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71CCB">
              <w:rPr>
                <w:rFonts w:ascii="Calibri" w:hAnsi="Calibri" w:cs="Calibri"/>
              </w:rPr>
              <w:t>4.5</w:t>
            </w:r>
          </w:p>
        </w:tc>
      </w:tr>
      <w:tr w:rsidR="00665C76" w:rsidRPr="00C71CCB" w14:paraId="5BE2F25C" w14:textId="77777777" w:rsidTr="008D7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217A689" w14:textId="77777777" w:rsidR="00665C76" w:rsidRPr="00C71CCB" w:rsidRDefault="00665C76" w:rsidP="008D7C73">
            <w:pPr>
              <w:pStyle w:val="10Tabletext"/>
              <w:rPr>
                <w:rFonts w:ascii="Calibri" w:hAnsi="Calibri" w:cs="Calibri"/>
              </w:rPr>
            </w:pPr>
            <w:r w:rsidRPr="00C71CCB">
              <w:rPr>
                <w:rFonts w:ascii="Calibri" w:hAnsi="Calibri" w:cs="Calibri"/>
              </w:rPr>
              <w:t>CPI</w:t>
            </w:r>
            <w:r w:rsidRPr="00C71CCB">
              <w:rPr>
                <w:rFonts w:ascii="Calibri" w:hAnsi="Calibri" w:cs="Calibri"/>
                <w:vertAlign w:val="superscript"/>
              </w:rPr>
              <w:t>(b)</w:t>
            </w:r>
          </w:p>
        </w:tc>
        <w:tc>
          <w:tcPr>
            <w:tcW w:w="1247" w:type="dxa"/>
          </w:tcPr>
          <w:p w14:paraId="005CA127" w14:textId="77777777" w:rsidR="00665C76" w:rsidRPr="00C71CCB" w:rsidRDefault="00665C76" w:rsidP="008D7C73">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1CCB">
              <w:rPr>
                <w:rFonts w:ascii="Calibri" w:hAnsi="Calibri" w:cs="Calibri"/>
              </w:rPr>
              <w:t>6.3</w:t>
            </w:r>
          </w:p>
        </w:tc>
        <w:tc>
          <w:tcPr>
            <w:tcW w:w="1247" w:type="dxa"/>
          </w:tcPr>
          <w:p w14:paraId="7C9EFE4D" w14:textId="77777777" w:rsidR="00665C76" w:rsidRPr="00C71CCB" w:rsidRDefault="00665C76" w:rsidP="008D7C73">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1CCB">
              <w:rPr>
                <w:rFonts w:ascii="Calibri" w:hAnsi="Calibri" w:cs="Calibri"/>
              </w:rPr>
              <w:t>4.5</w:t>
            </w:r>
          </w:p>
        </w:tc>
        <w:tc>
          <w:tcPr>
            <w:tcW w:w="1247" w:type="dxa"/>
          </w:tcPr>
          <w:p w14:paraId="7A8EC575" w14:textId="77777777" w:rsidR="00665C76" w:rsidRPr="00C71CCB" w:rsidRDefault="00665C76" w:rsidP="008D7C73">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1CCB">
              <w:rPr>
                <w:rFonts w:ascii="Calibri" w:hAnsi="Calibri" w:cs="Calibri"/>
              </w:rPr>
              <w:t>3.6</w:t>
            </w:r>
          </w:p>
        </w:tc>
        <w:tc>
          <w:tcPr>
            <w:tcW w:w="1247" w:type="dxa"/>
          </w:tcPr>
          <w:p w14:paraId="523A20E6" w14:textId="77777777" w:rsidR="00665C76" w:rsidRPr="00C71CCB" w:rsidRDefault="00665C76" w:rsidP="008D7C73">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1CCB">
              <w:rPr>
                <w:rFonts w:ascii="Calibri" w:hAnsi="Calibri" w:cs="Calibri"/>
              </w:rPr>
              <w:t>3.2</w:t>
            </w:r>
          </w:p>
        </w:tc>
        <w:tc>
          <w:tcPr>
            <w:tcW w:w="1248" w:type="dxa"/>
          </w:tcPr>
          <w:p w14:paraId="1B0CFA17" w14:textId="77777777" w:rsidR="00665C76" w:rsidRPr="00C71CCB" w:rsidRDefault="00665C76" w:rsidP="008D7C73">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1CCB">
              <w:rPr>
                <w:rFonts w:ascii="Calibri" w:hAnsi="Calibri" w:cs="Calibri"/>
              </w:rPr>
              <w:t>3.0</w:t>
            </w:r>
          </w:p>
        </w:tc>
      </w:tr>
      <w:tr w:rsidR="00665C76" w:rsidRPr="00C71CCB" w14:paraId="0E13CD71" w14:textId="77777777" w:rsidTr="008D7C73">
        <w:tc>
          <w:tcPr>
            <w:cnfStyle w:val="001000000000" w:firstRow="0" w:lastRow="0" w:firstColumn="1" w:lastColumn="0" w:oddVBand="0" w:evenVBand="0" w:oddHBand="0" w:evenHBand="0" w:firstRowFirstColumn="0" w:firstRowLastColumn="0" w:lastRowFirstColumn="0" w:lastRowLastColumn="0"/>
            <w:tcW w:w="2263" w:type="dxa"/>
          </w:tcPr>
          <w:p w14:paraId="2C78A17E" w14:textId="77777777" w:rsidR="00665C76" w:rsidRPr="00C71CCB" w:rsidRDefault="00665C76" w:rsidP="008D7C73">
            <w:pPr>
              <w:pStyle w:val="10Tabletext"/>
              <w:rPr>
                <w:rFonts w:ascii="Calibri" w:hAnsi="Calibri" w:cs="Calibri"/>
              </w:rPr>
            </w:pPr>
            <w:r w:rsidRPr="00C71CCB">
              <w:rPr>
                <w:rFonts w:ascii="Calibri" w:hAnsi="Calibri" w:cs="Calibri"/>
              </w:rPr>
              <w:t>Australian trimmed mean</w:t>
            </w:r>
            <w:r w:rsidRPr="00C71CCB">
              <w:rPr>
                <w:rFonts w:ascii="Calibri" w:hAnsi="Calibri" w:cs="Calibri"/>
                <w:vertAlign w:val="superscript"/>
              </w:rPr>
              <w:t>(b)</w:t>
            </w:r>
          </w:p>
        </w:tc>
        <w:tc>
          <w:tcPr>
            <w:tcW w:w="1247" w:type="dxa"/>
          </w:tcPr>
          <w:p w14:paraId="2AD83218" w14:textId="77777777" w:rsidR="00665C76" w:rsidRPr="00C71CCB" w:rsidRDefault="00665C76" w:rsidP="008D7C73">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71CCB">
              <w:rPr>
                <w:rFonts w:ascii="Calibri" w:hAnsi="Calibri" w:cs="Calibri"/>
              </w:rPr>
              <w:t>6.0</w:t>
            </w:r>
          </w:p>
        </w:tc>
        <w:tc>
          <w:tcPr>
            <w:tcW w:w="1247" w:type="dxa"/>
          </w:tcPr>
          <w:p w14:paraId="43069BF5" w14:textId="77777777" w:rsidR="00665C76" w:rsidRPr="00C71CCB" w:rsidRDefault="00665C76" w:rsidP="008D7C73">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71CCB">
              <w:rPr>
                <w:rFonts w:ascii="Calibri" w:hAnsi="Calibri" w:cs="Calibri"/>
              </w:rPr>
              <w:t>4.0</w:t>
            </w:r>
          </w:p>
        </w:tc>
        <w:tc>
          <w:tcPr>
            <w:tcW w:w="1247" w:type="dxa"/>
          </w:tcPr>
          <w:p w14:paraId="6F99ECA7" w14:textId="77777777" w:rsidR="00665C76" w:rsidRPr="00C71CCB" w:rsidRDefault="00665C76" w:rsidP="008D7C73">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71CCB">
              <w:rPr>
                <w:rFonts w:ascii="Calibri" w:hAnsi="Calibri" w:cs="Calibri"/>
              </w:rPr>
              <w:t>3.3</w:t>
            </w:r>
          </w:p>
        </w:tc>
        <w:tc>
          <w:tcPr>
            <w:tcW w:w="1247" w:type="dxa"/>
          </w:tcPr>
          <w:p w14:paraId="7F18BD06" w14:textId="77777777" w:rsidR="00665C76" w:rsidRPr="00C71CCB" w:rsidRDefault="00665C76" w:rsidP="008D7C73">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71CCB">
              <w:rPr>
                <w:rFonts w:ascii="Calibri" w:hAnsi="Calibri" w:cs="Calibri"/>
              </w:rPr>
              <w:t>3.1</w:t>
            </w:r>
          </w:p>
        </w:tc>
        <w:tc>
          <w:tcPr>
            <w:tcW w:w="1248" w:type="dxa"/>
          </w:tcPr>
          <w:p w14:paraId="731880D8" w14:textId="77777777" w:rsidR="00665C76" w:rsidRPr="00C71CCB" w:rsidRDefault="00665C76" w:rsidP="008D7C73">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71CCB">
              <w:rPr>
                <w:rFonts w:ascii="Calibri" w:hAnsi="Calibri" w:cs="Calibri"/>
              </w:rPr>
              <w:t>2.9</w:t>
            </w:r>
          </w:p>
        </w:tc>
      </w:tr>
      <w:tr w:rsidR="00665C76" w:rsidRPr="00C71CCB" w14:paraId="1399F961" w14:textId="77777777" w:rsidTr="008D7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8BD1BFA" w14:textId="77777777" w:rsidR="00665C76" w:rsidRPr="00C71CCB" w:rsidRDefault="00665C76" w:rsidP="008D7C73">
            <w:pPr>
              <w:pStyle w:val="10Tabletext"/>
              <w:rPr>
                <w:rFonts w:ascii="Calibri" w:hAnsi="Calibri" w:cs="Calibri"/>
              </w:rPr>
            </w:pPr>
            <w:r w:rsidRPr="00C71CCB">
              <w:rPr>
                <w:rFonts w:ascii="Calibri" w:hAnsi="Calibri" w:cs="Calibri"/>
              </w:rPr>
              <w:t>WPI growth</w:t>
            </w:r>
            <w:r w:rsidRPr="00C71CCB">
              <w:rPr>
                <w:rFonts w:ascii="Calibri" w:hAnsi="Calibri" w:cs="Calibri"/>
                <w:vertAlign w:val="superscript"/>
              </w:rPr>
              <w:t>(b)</w:t>
            </w:r>
          </w:p>
        </w:tc>
        <w:tc>
          <w:tcPr>
            <w:tcW w:w="1247" w:type="dxa"/>
          </w:tcPr>
          <w:p w14:paraId="79E71AF0" w14:textId="77777777" w:rsidR="00665C76" w:rsidRPr="00C71CCB" w:rsidRDefault="00665C76" w:rsidP="008D7C73">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1CCB">
              <w:rPr>
                <w:rFonts w:ascii="Calibri" w:hAnsi="Calibri" w:cs="Calibri"/>
              </w:rPr>
              <w:t>3.8</w:t>
            </w:r>
          </w:p>
        </w:tc>
        <w:tc>
          <w:tcPr>
            <w:tcW w:w="1247" w:type="dxa"/>
          </w:tcPr>
          <w:p w14:paraId="32015037" w14:textId="77777777" w:rsidR="00665C76" w:rsidRPr="00C71CCB" w:rsidRDefault="00665C76" w:rsidP="008D7C73">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1CCB">
              <w:rPr>
                <w:rFonts w:ascii="Calibri" w:hAnsi="Calibri" w:cs="Calibri"/>
              </w:rPr>
              <w:t>4.0</w:t>
            </w:r>
          </w:p>
        </w:tc>
        <w:tc>
          <w:tcPr>
            <w:tcW w:w="1247" w:type="dxa"/>
          </w:tcPr>
          <w:p w14:paraId="776F1E86" w14:textId="77777777" w:rsidR="00665C76" w:rsidRPr="00C71CCB" w:rsidRDefault="00665C76" w:rsidP="008D7C73">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1CCB">
              <w:rPr>
                <w:rFonts w:ascii="Calibri" w:hAnsi="Calibri" w:cs="Calibri"/>
              </w:rPr>
              <w:t>3.9</w:t>
            </w:r>
          </w:p>
        </w:tc>
        <w:tc>
          <w:tcPr>
            <w:tcW w:w="1247" w:type="dxa"/>
          </w:tcPr>
          <w:p w14:paraId="7CF304FE" w14:textId="77777777" w:rsidR="00665C76" w:rsidRPr="00C71CCB" w:rsidRDefault="00665C76" w:rsidP="008D7C73">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1CCB">
              <w:rPr>
                <w:rFonts w:ascii="Calibri" w:hAnsi="Calibri" w:cs="Calibri"/>
              </w:rPr>
              <w:t>3.8</w:t>
            </w:r>
          </w:p>
        </w:tc>
        <w:tc>
          <w:tcPr>
            <w:tcW w:w="1248" w:type="dxa"/>
          </w:tcPr>
          <w:p w14:paraId="12139078" w14:textId="77777777" w:rsidR="00665C76" w:rsidRPr="00C71CCB" w:rsidRDefault="00665C76" w:rsidP="008D7C73">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1CCB">
              <w:rPr>
                <w:rFonts w:ascii="Calibri" w:hAnsi="Calibri" w:cs="Calibri"/>
              </w:rPr>
              <w:t>3.7</w:t>
            </w:r>
          </w:p>
        </w:tc>
      </w:tr>
    </w:tbl>
    <w:p w14:paraId="1500B10B" w14:textId="77777777" w:rsidR="00665C76" w:rsidRDefault="00665C76" w:rsidP="00665C76">
      <w:pPr>
        <w:pStyle w:val="09Sourcesandnotesfortablesfiguresboxes"/>
      </w:pPr>
      <w:r>
        <w:t>Notes: (a) Forecasts are rounded to the first decimal point. (b) Year-ended growth. (c) Average rate in the quarter.</w:t>
      </w:r>
    </w:p>
    <w:p w14:paraId="5694AC51" w14:textId="6BE2B7C5" w:rsidR="00665C76" w:rsidRDefault="00665C76" w:rsidP="00665C76">
      <w:pPr>
        <w:pStyle w:val="09Sourcesandnotesfortablesfiguresboxes"/>
      </w:pPr>
      <w:r>
        <w:t>Source: RBA (2023</w:t>
      </w:r>
      <w:r w:rsidR="006A17E8">
        <w:t>a</w:t>
      </w:r>
      <w:r>
        <w:t>).</w:t>
      </w:r>
    </w:p>
    <w:p w14:paraId="20A3778B" w14:textId="2E8F1AA1" w:rsidR="00665C76" w:rsidRDefault="00665C76" w:rsidP="00665C76">
      <w:pPr>
        <w:pStyle w:val="05Paragraph"/>
        <w:keepNext/>
      </w:pPr>
      <w:r>
        <w:t xml:space="preserve">The </w:t>
      </w:r>
      <w:r>
        <w:rPr>
          <w:i/>
          <w:iCs/>
        </w:rPr>
        <w:t xml:space="preserve">Commonwealth </w:t>
      </w:r>
      <w:r w:rsidRPr="00AE132F">
        <w:rPr>
          <w:i/>
          <w:iCs/>
        </w:rPr>
        <w:t>Budget 2023-24</w:t>
      </w:r>
      <w:r>
        <w:t>, released in May 2023, included</w:t>
      </w:r>
      <w:r w:rsidR="0054009B">
        <w:t xml:space="preserve"> Treasury</w:t>
      </w:r>
      <w:r>
        <w:t xml:space="preserve"> forecasts for the Australian economy (Table </w:t>
      </w:r>
      <w:r w:rsidR="006338ED">
        <w:t>A.</w:t>
      </w:r>
      <w:r>
        <w:t>2). These were broadly consistent with the RBA’s forecasts, although the Tribunal noted the following differences:</w:t>
      </w:r>
      <w:r w:rsidR="00683533">
        <w:rPr>
          <w:rFonts w:ascii="ZWAdobeF" w:hAnsi="ZWAdobeF" w:cs="ZWAdobeF"/>
          <w:color w:val="auto"/>
          <w:sz w:val="2"/>
          <w:szCs w:val="2"/>
        </w:rPr>
        <w:t>40F</w:t>
      </w:r>
      <w:r w:rsidR="0017105B">
        <w:rPr>
          <w:rFonts w:ascii="ZWAdobeF" w:hAnsi="ZWAdobeF" w:cs="ZWAdobeF"/>
          <w:color w:val="auto"/>
          <w:sz w:val="2"/>
          <w:szCs w:val="2"/>
        </w:rPr>
        <w:t>40F</w:t>
      </w:r>
      <w:r>
        <w:rPr>
          <w:rStyle w:val="FootnoteReference"/>
        </w:rPr>
        <w:footnoteReference w:id="42"/>
      </w:r>
    </w:p>
    <w:p w14:paraId="3A2DDA5A" w14:textId="4F4D0331" w:rsidR="00665C76" w:rsidRDefault="00665C76" w:rsidP="00665C76">
      <w:pPr>
        <w:pStyle w:val="06VIRTBulletpoints"/>
        <w:ind w:left="357" w:hanging="357"/>
      </w:pPr>
      <w:r>
        <w:t xml:space="preserve">Treasury forecast inflation to decline faster, with year-ended CPI growth expected to be around 2.75 </w:t>
      </w:r>
      <w:r w:rsidR="006338ED">
        <w:t xml:space="preserve">per cent </w:t>
      </w:r>
      <w:r>
        <w:t>in June 2025 (compared to the RBA’s forecast of 3 per cent)</w:t>
      </w:r>
    </w:p>
    <w:p w14:paraId="0C1E73C8" w14:textId="77777777" w:rsidR="00665C76" w:rsidRDefault="00665C76" w:rsidP="00665C76">
      <w:pPr>
        <w:pStyle w:val="06VIRTBulletpoints"/>
        <w:ind w:left="357" w:hanging="357"/>
      </w:pPr>
      <w:r>
        <w:t>Treasury forecast a sharper decline in wages growth, with WPI growth expected to be 3.25 per cent in June 2025 (compared to the RBA’s forecast of 3.75 per cent).</w:t>
      </w:r>
    </w:p>
    <w:p w14:paraId="074C8545" w14:textId="4FBCA73A" w:rsidR="00665C76" w:rsidRDefault="00665C76" w:rsidP="00665C76">
      <w:pPr>
        <w:pStyle w:val="08Figuretableboxheading"/>
        <w:rPr>
          <w:vertAlign w:val="superscript"/>
        </w:rPr>
      </w:pPr>
      <w:bookmarkStart w:id="45" w:name="_Toc137639094"/>
      <w:r>
        <w:t xml:space="preserve">Table </w:t>
      </w:r>
      <w:r w:rsidR="006338ED">
        <w:t>A.</w:t>
      </w:r>
      <w:r>
        <w:t xml:space="preserve">2: Commonwealth Budget 2023-24 </w:t>
      </w:r>
      <w:r w:rsidRPr="00415365">
        <w:t>—</w:t>
      </w:r>
      <w:r>
        <w:t xml:space="preserve"> forecasts for the Australian economy</w:t>
      </w:r>
      <w:bookmarkEnd w:id="45"/>
    </w:p>
    <w:tbl>
      <w:tblPr>
        <w:tblStyle w:val="ListTable3-Accent21"/>
        <w:tblW w:w="8500" w:type="dxa"/>
        <w:tblInd w:w="5" w:type="dxa"/>
        <w:tblLook w:val="04A0" w:firstRow="1" w:lastRow="0" w:firstColumn="1" w:lastColumn="0" w:noHBand="0" w:noVBand="1"/>
      </w:tblPr>
      <w:tblGrid>
        <w:gridCol w:w="2263"/>
        <w:gridCol w:w="2079"/>
        <w:gridCol w:w="2079"/>
        <w:gridCol w:w="2079"/>
      </w:tblGrid>
      <w:tr w:rsidR="00504E62" w:rsidRPr="00504E62" w14:paraId="1776C2D8" w14:textId="77777777" w:rsidTr="00504E6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Borders>
              <w:top w:val="single" w:sz="4" w:space="0" w:color="148A5D" w:themeColor="accent2"/>
              <w:bottom w:val="single" w:sz="4" w:space="0" w:color="148A5D"/>
            </w:tcBorders>
            <w:shd w:val="clear" w:color="auto" w:fill="auto"/>
          </w:tcPr>
          <w:p w14:paraId="1DA151BB" w14:textId="77777777" w:rsidR="00665C76" w:rsidRPr="00504E62" w:rsidRDefault="00665C76" w:rsidP="008D7C73">
            <w:pPr>
              <w:pStyle w:val="10Tabletext"/>
              <w:rPr>
                <w:rFonts w:ascii="Calibri" w:hAnsi="Calibri" w:cs="Calibri"/>
                <w:color w:val="auto"/>
              </w:rPr>
            </w:pPr>
            <w:r w:rsidRPr="00504E62">
              <w:rPr>
                <w:rFonts w:ascii="Calibri" w:hAnsi="Calibri" w:cs="Calibri"/>
                <w:color w:val="auto"/>
              </w:rPr>
              <w:t>Indicator</w:t>
            </w:r>
          </w:p>
        </w:tc>
        <w:tc>
          <w:tcPr>
            <w:tcW w:w="2079" w:type="dxa"/>
            <w:tcBorders>
              <w:top w:val="single" w:sz="4" w:space="0" w:color="148A5D" w:themeColor="accent2"/>
              <w:bottom w:val="single" w:sz="4" w:space="0" w:color="148A5D"/>
            </w:tcBorders>
            <w:shd w:val="clear" w:color="auto" w:fill="auto"/>
          </w:tcPr>
          <w:p w14:paraId="50C9261C" w14:textId="77777777" w:rsidR="00665C76" w:rsidRPr="00504E62" w:rsidRDefault="00665C76" w:rsidP="008D7C73">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504E62">
              <w:rPr>
                <w:rFonts w:ascii="Calibri" w:hAnsi="Calibri" w:cs="Calibri"/>
                <w:color w:val="auto"/>
              </w:rPr>
              <w:t>2022-23</w:t>
            </w:r>
          </w:p>
        </w:tc>
        <w:tc>
          <w:tcPr>
            <w:tcW w:w="2079" w:type="dxa"/>
            <w:tcBorders>
              <w:top w:val="single" w:sz="4" w:space="0" w:color="148A5D" w:themeColor="accent2"/>
              <w:bottom w:val="single" w:sz="4" w:space="0" w:color="148A5D"/>
            </w:tcBorders>
            <w:shd w:val="clear" w:color="auto" w:fill="auto"/>
          </w:tcPr>
          <w:p w14:paraId="4FC7DC55" w14:textId="77777777" w:rsidR="00665C76" w:rsidRPr="00504E62" w:rsidRDefault="00665C76" w:rsidP="008D7C73">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504E62">
              <w:rPr>
                <w:rFonts w:ascii="Calibri" w:hAnsi="Calibri" w:cs="Calibri"/>
                <w:color w:val="auto"/>
              </w:rPr>
              <w:t>2023-24</w:t>
            </w:r>
          </w:p>
        </w:tc>
        <w:tc>
          <w:tcPr>
            <w:tcW w:w="2079" w:type="dxa"/>
            <w:tcBorders>
              <w:top w:val="single" w:sz="4" w:space="0" w:color="148A5D" w:themeColor="accent2"/>
              <w:bottom w:val="single" w:sz="4" w:space="0" w:color="148A5D"/>
            </w:tcBorders>
            <w:shd w:val="clear" w:color="auto" w:fill="auto"/>
          </w:tcPr>
          <w:p w14:paraId="415C92C1" w14:textId="77777777" w:rsidR="00665C76" w:rsidRPr="00504E62" w:rsidRDefault="00665C76" w:rsidP="008D7C73">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504E62">
              <w:rPr>
                <w:rFonts w:ascii="Calibri" w:hAnsi="Calibri" w:cs="Calibri"/>
                <w:color w:val="auto"/>
              </w:rPr>
              <w:t>2024-25</w:t>
            </w:r>
          </w:p>
        </w:tc>
      </w:tr>
      <w:tr w:rsidR="00665C76" w14:paraId="25020446" w14:textId="77777777" w:rsidTr="00504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21D8BF2" w14:textId="77777777" w:rsidR="00665C76" w:rsidRPr="00C71CCB" w:rsidRDefault="00665C76" w:rsidP="008D7C73">
            <w:pPr>
              <w:pStyle w:val="10Tabletext"/>
              <w:rPr>
                <w:rFonts w:ascii="Calibri" w:hAnsi="Calibri" w:cs="Calibri"/>
                <w:vertAlign w:val="superscript"/>
              </w:rPr>
            </w:pPr>
            <w:r w:rsidRPr="00C71CCB">
              <w:rPr>
                <w:rFonts w:ascii="Calibri" w:hAnsi="Calibri" w:cs="Calibri"/>
              </w:rPr>
              <w:t>Real GDP</w:t>
            </w:r>
            <w:r w:rsidRPr="00C71CCB">
              <w:rPr>
                <w:rFonts w:ascii="Calibri" w:hAnsi="Calibri" w:cs="Calibri"/>
                <w:vertAlign w:val="superscript"/>
              </w:rPr>
              <w:t>(a)</w:t>
            </w:r>
          </w:p>
        </w:tc>
        <w:tc>
          <w:tcPr>
            <w:tcW w:w="2079" w:type="dxa"/>
          </w:tcPr>
          <w:p w14:paraId="028E9497" w14:textId="77777777" w:rsidR="00665C76" w:rsidRPr="00C71CCB" w:rsidRDefault="00665C76" w:rsidP="008D7C73">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1CCB">
              <w:rPr>
                <w:rFonts w:ascii="Calibri" w:hAnsi="Calibri" w:cs="Calibri"/>
              </w:rPr>
              <w:t>3.25</w:t>
            </w:r>
          </w:p>
        </w:tc>
        <w:tc>
          <w:tcPr>
            <w:tcW w:w="2079" w:type="dxa"/>
          </w:tcPr>
          <w:p w14:paraId="32E717E2" w14:textId="77777777" w:rsidR="00665C76" w:rsidRPr="00C71CCB" w:rsidRDefault="00665C76" w:rsidP="008D7C73">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1CCB">
              <w:rPr>
                <w:rFonts w:ascii="Calibri" w:hAnsi="Calibri" w:cs="Calibri"/>
              </w:rPr>
              <w:t>1.50</w:t>
            </w:r>
          </w:p>
        </w:tc>
        <w:tc>
          <w:tcPr>
            <w:tcW w:w="2079" w:type="dxa"/>
          </w:tcPr>
          <w:p w14:paraId="668C0754" w14:textId="77777777" w:rsidR="00665C76" w:rsidRPr="00C71CCB" w:rsidRDefault="00665C76" w:rsidP="008D7C73">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1CCB">
              <w:rPr>
                <w:rFonts w:ascii="Calibri" w:hAnsi="Calibri" w:cs="Calibri"/>
              </w:rPr>
              <w:t>2.25</w:t>
            </w:r>
          </w:p>
        </w:tc>
      </w:tr>
      <w:tr w:rsidR="00665C76" w14:paraId="2F2E75FD" w14:textId="77777777" w:rsidTr="008D7C73">
        <w:tc>
          <w:tcPr>
            <w:cnfStyle w:val="001000000000" w:firstRow="0" w:lastRow="0" w:firstColumn="1" w:lastColumn="0" w:oddVBand="0" w:evenVBand="0" w:oddHBand="0" w:evenHBand="0" w:firstRowFirstColumn="0" w:firstRowLastColumn="0" w:lastRowFirstColumn="0" w:lastRowLastColumn="0"/>
            <w:tcW w:w="2263" w:type="dxa"/>
          </w:tcPr>
          <w:p w14:paraId="596AB457" w14:textId="77777777" w:rsidR="00665C76" w:rsidRPr="00C71CCB" w:rsidRDefault="00665C76" w:rsidP="008D7C73">
            <w:pPr>
              <w:pStyle w:val="10Tabletext"/>
              <w:rPr>
                <w:rFonts w:ascii="Calibri" w:hAnsi="Calibri" w:cs="Calibri"/>
                <w:vertAlign w:val="superscript"/>
              </w:rPr>
            </w:pPr>
            <w:r w:rsidRPr="00C71CCB">
              <w:rPr>
                <w:rFonts w:ascii="Calibri" w:hAnsi="Calibri" w:cs="Calibri"/>
              </w:rPr>
              <w:t>Unemployment rate</w:t>
            </w:r>
            <w:r w:rsidRPr="00C71CCB">
              <w:rPr>
                <w:rFonts w:ascii="Calibri" w:hAnsi="Calibri" w:cs="Calibri"/>
                <w:vertAlign w:val="superscript"/>
              </w:rPr>
              <w:t>(b)</w:t>
            </w:r>
          </w:p>
        </w:tc>
        <w:tc>
          <w:tcPr>
            <w:tcW w:w="2079" w:type="dxa"/>
          </w:tcPr>
          <w:p w14:paraId="6D954F4F" w14:textId="77777777" w:rsidR="00665C76" w:rsidRPr="00C71CCB" w:rsidRDefault="00665C76" w:rsidP="008D7C73">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71CCB">
              <w:rPr>
                <w:rFonts w:ascii="Calibri" w:hAnsi="Calibri" w:cs="Calibri"/>
              </w:rPr>
              <w:t>3.50</w:t>
            </w:r>
          </w:p>
        </w:tc>
        <w:tc>
          <w:tcPr>
            <w:tcW w:w="2079" w:type="dxa"/>
          </w:tcPr>
          <w:p w14:paraId="14108482" w14:textId="77777777" w:rsidR="00665C76" w:rsidRPr="00C71CCB" w:rsidRDefault="00665C76" w:rsidP="008D7C73">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71CCB">
              <w:rPr>
                <w:rFonts w:ascii="Calibri" w:hAnsi="Calibri" w:cs="Calibri"/>
              </w:rPr>
              <w:t>4.25</w:t>
            </w:r>
          </w:p>
        </w:tc>
        <w:tc>
          <w:tcPr>
            <w:tcW w:w="2079" w:type="dxa"/>
          </w:tcPr>
          <w:p w14:paraId="58B83DFA" w14:textId="77777777" w:rsidR="00665C76" w:rsidRPr="00C71CCB" w:rsidRDefault="00665C76" w:rsidP="008D7C73">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71CCB">
              <w:rPr>
                <w:rFonts w:ascii="Calibri" w:hAnsi="Calibri" w:cs="Calibri"/>
              </w:rPr>
              <w:t>4.50</w:t>
            </w:r>
          </w:p>
        </w:tc>
      </w:tr>
      <w:tr w:rsidR="00665C76" w14:paraId="6B05E40B" w14:textId="77777777" w:rsidTr="008D7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4714068" w14:textId="77777777" w:rsidR="00665C76" w:rsidRPr="00C71CCB" w:rsidRDefault="00665C76" w:rsidP="008D7C73">
            <w:pPr>
              <w:pStyle w:val="10Tabletext"/>
              <w:rPr>
                <w:rFonts w:ascii="Calibri" w:hAnsi="Calibri" w:cs="Calibri"/>
              </w:rPr>
            </w:pPr>
            <w:r w:rsidRPr="00C71CCB">
              <w:rPr>
                <w:rFonts w:ascii="Calibri" w:hAnsi="Calibri" w:cs="Calibri"/>
              </w:rPr>
              <w:t>CPI</w:t>
            </w:r>
            <w:r w:rsidRPr="00C71CCB">
              <w:rPr>
                <w:rFonts w:ascii="Calibri" w:hAnsi="Calibri" w:cs="Calibri"/>
                <w:vertAlign w:val="superscript"/>
              </w:rPr>
              <w:t>(c)</w:t>
            </w:r>
          </w:p>
        </w:tc>
        <w:tc>
          <w:tcPr>
            <w:tcW w:w="2079" w:type="dxa"/>
          </w:tcPr>
          <w:p w14:paraId="27C092ED" w14:textId="77777777" w:rsidR="00665C76" w:rsidRPr="00C71CCB" w:rsidRDefault="00665C76" w:rsidP="008D7C73">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1CCB">
              <w:rPr>
                <w:rFonts w:ascii="Calibri" w:hAnsi="Calibri" w:cs="Calibri"/>
              </w:rPr>
              <w:t>6.00</w:t>
            </w:r>
          </w:p>
        </w:tc>
        <w:tc>
          <w:tcPr>
            <w:tcW w:w="2079" w:type="dxa"/>
          </w:tcPr>
          <w:p w14:paraId="21D149F8" w14:textId="77777777" w:rsidR="00665C76" w:rsidRPr="00C71CCB" w:rsidRDefault="00665C76" w:rsidP="008D7C73">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1CCB">
              <w:rPr>
                <w:rFonts w:ascii="Calibri" w:hAnsi="Calibri" w:cs="Calibri"/>
              </w:rPr>
              <w:t>3.25</w:t>
            </w:r>
          </w:p>
        </w:tc>
        <w:tc>
          <w:tcPr>
            <w:tcW w:w="2079" w:type="dxa"/>
          </w:tcPr>
          <w:p w14:paraId="750F6796" w14:textId="77777777" w:rsidR="00665C76" w:rsidRPr="00C71CCB" w:rsidRDefault="00665C76" w:rsidP="008D7C73">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1CCB">
              <w:rPr>
                <w:rFonts w:ascii="Calibri" w:hAnsi="Calibri" w:cs="Calibri"/>
              </w:rPr>
              <w:t>2.75</w:t>
            </w:r>
          </w:p>
        </w:tc>
      </w:tr>
      <w:tr w:rsidR="00665C76" w14:paraId="689FBA6C" w14:textId="77777777" w:rsidTr="008D7C73">
        <w:tc>
          <w:tcPr>
            <w:cnfStyle w:val="001000000000" w:firstRow="0" w:lastRow="0" w:firstColumn="1" w:lastColumn="0" w:oddVBand="0" w:evenVBand="0" w:oddHBand="0" w:evenHBand="0" w:firstRowFirstColumn="0" w:firstRowLastColumn="0" w:lastRowFirstColumn="0" w:lastRowLastColumn="0"/>
            <w:tcW w:w="2263" w:type="dxa"/>
          </w:tcPr>
          <w:p w14:paraId="5C0A7241" w14:textId="77777777" w:rsidR="00665C76" w:rsidRPr="00C71CCB" w:rsidRDefault="00665C76" w:rsidP="008D7C73">
            <w:pPr>
              <w:pStyle w:val="10Tabletext"/>
              <w:rPr>
                <w:rFonts w:ascii="Calibri" w:hAnsi="Calibri" w:cs="Calibri"/>
              </w:rPr>
            </w:pPr>
            <w:r w:rsidRPr="00C71CCB">
              <w:rPr>
                <w:rFonts w:ascii="Calibri" w:hAnsi="Calibri" w:cs="Calibri"/>
              </w:rPr>
              <w:t>WPI growth</w:t>
            </w:r>
            <w:r w:rsidRPr="00C71CCB">
              <w:rPr>
                <w:rFonts w:ascii="Calibri" w:hAnsi="Calibri" w:cs="Calibri"/>
                <w:vertAlign w:val="superscript"/>
              </w:rPr>
              <w:t>(c)</w:t>
            </w:r>
          </w:p>
        </w:tc>
        <w:tc>
          <w:tcPr>
            <w:tcW w:w="2079" w:type="dxa"/>
          </w:tcPr>
          <w:p w14:paraId="17CE15FC" w14:textId="77777777" w:rsidR="00665C76" w:rsidRPr="00C71CCB" w:rsidRDefault="00665C76" w:rsidP="008D7C73">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71CCB">
              <w:rPr>
                <w:rFonts w:ascii="Calibri" w:hAnsi="Calibri" w:cs="Calibri"/>
              </w:rPr>
              <w:t>3.75</w:t>
            </w:r>
          </w:p>
        </w:tc>
        <w:tc>
          <w:tcPr>
            <w:tcW w:w="2079" w:type="dxa"/>
          </w:tcPr>
          <w:p w14:paraId="582E2D60" w14:textId="77777777" w:rsidR="00665C76" w:rsidRPr="00C71CCB" w:rsidRDefault="00665C76" w:rsidP="008D7C73">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71CCB">
              <w:rPr>
                <w:rFonts w:ascii="Calibri" w:hAnsi="Calibri" w:cs="Calibri"/>
              </w:rPr>
              <w:t>4.00</w:t>
            </w:r>
          </w:p>
        </w:tc>
        <w:tc>
          <w:tcPr>
            <w:tcW w:w="2079" w:type="dxa"/>
          </w:tcPr>
          <w:p w14:paraId="7E8FAAFD" w14:textId="77777777" w:rsidR="00665C76" w:rsidRPr="00C71CCB" w:rsidRDefault="00665C76" w:rsidP="008D7C73">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71CCB">
              <w:rPr>
                <w:rFonts w:ascii="Calibri" w:hAnsi="Calibri" w:cs="Calibri"/>
              </w:rPr>
              <w:t>3.25</w:t>
            </w:r>
          </w:p>
        </w:tc>
      </w:tr>
    </w:tbl>
    <w:p w14:paraId="52BFADA8" w14:textId="77777777" w:rsidR="00665C76" w:rsidRDefault="00665C76" w:rsidP="00665C76">
      <w:pPr>
        <w:pStyle w:val="09Sourcesandnotesfortablesfiguresboxes"/>
      </w:pPr>
      <w:r>
        <w:t>Notes: (a) Percentage change in year-average terms compared with the previous year. (b) Seasonally adjusted rate for the June quarter. (c) Year</w:t>
      </w:r>
      <w:r>
        <w:noBreakHyphen/>
        <w:t>ended growth to the June quarter.</w:t>
      </w:r>
    </w:p>
    <w:p w14:paraId="1E75D981" w14:textId="64B7BBD1" w:rsidR="00665C76" w:rsidRDefault="00665C76" w:rsidP="00665C76">
      <w:pPr>
        <w:pStyle w:val="09Sourcesandnotesfortablesfiguresboxes"/>
      </w:pPr>
      <w:r w:rsidRPr="002F13CC">
        <w:t xml:space="preserve">Source: Commonwealth </w:t>
      </w:r>
      <w:r w:rsidR="007D5A80" w:rsidRPr="002F13CC">
        <w:t>of Australia</w:t>
      </w:r>
      <w:r w:rsidRPr="002F13CC">
        <w:t xml:space="preserve"> (2023), </w:t>
      </w:r>
      <w:r w:rsidRPr="002F13CC">
        <w:rPr>
          <w:i/>
        </w:rPr>
        <w:t>Budget Paper No. 1: Budget Strategy and Outlook</w:t>
      </w:r>
      <w:r w:rsidRPr="002F13CC">
        <w:t>, p. 58</w:t>
      </w:r>
      <w:r>
        <w:t>.</w:t>
      </w:r>
    </w:p>
    <w:p w14:paraId="2A25EAAE" w14:textId="77777777" w:rsidR="00665C76" w:rsidRDefault="00665C76" w:rsidP="00665C76">
      <w:pPr>
        <w:pStyle w:val="03VIRTHeading3"/>
      </w:pPr>
      <w:r>
        <w:lastRenderedPageBreak/>
        <w:t>Victorian economic conditions</w:t>
      </w:r>
    </w:p>
    <w:p w14:paraId="0BA8CD43" w14:textId="0AB7C2F6" w:rsidR="00665C76" w:rsidRDefault="00665C76" w:rsidP="00665C76">
      <w:pPr>
        <w:pStyle w:val="05Paragraph"/>
      </w:pPr>
      <w:r>
        <w:t>ABS data show that Victoria’s real Gross State Product (GSP) rose 5.6 per cent in 2021</w:t>
      </w:r>
      <w:r>
        <w:noBreakHyphen/>
        <w:t xml:space="preserve">22 </w:t>
      </w:r>
      <w:r w:rsidRPr="00415365">
        <w:t>—</w:t>
      </w:r>
      <w:r>
        <w:t xml:space="preserve"> the highest growth rate of any state or territory.</w:t>
      </w:r>
      <w:r w:rsidR="00683533">
        <w:rPr>
          <w:rFonts w:ascii="ZWAdobeF" w:hAnsi="ZWAdobeF" w:cs="ZWAdobeF"/>
          <w:color w:val="auto"/>
          <w:sz w:val="2"/>
          <w:szCs w:val="2"/>
        </w:rPr>
        <w:t>41F</w:t>
      </w:r>
      <w:r w:rsidR="0017105B">
        <w:rPr>
          <w:rFonts w:ascii="ZWAdobeF" w:hAnsi="ZWAdobeF" w:cs="ZWAdobeF"/>
          <w:color w:val="auto"/>
          <w:sz w:val="2"/>
          <w:szCs w:val="2"/>
        </w:rPr>
        <w:t>41F</w:t>
      </w:r>
      <w:r>
        <w:rPr>
          <w:rStyle w:val="FootnoteReference"/>
        </w:rPr>
        <w:footnoteReference w:id="43"/>
      </w:r>
      <w:r>
        <w:t xml:space="preserve"> Victoria also recorded the highest growth in seasonally adjusted State Final Demand</w:t>
      </w:r>
      <w:r w:rsidR="00683533">
        <w:rPr>
          <w:rFonts w:ascii="ZWAdobeF" w:hAnsi="ZWAdobeF" w:cs="ZWAdobeF"/>
          <w:color w:val="auto"/>
          <w:sz w:val="2"/>
          <w:szCs w:val="2"/>
        </w:rPr>
        <w:t>42F</w:t>
      </w:r>
      <w:r w:rsidR="0017105B">
        <w:rPr>
          <w:rFonts w:ascii="ZWAdobeF" w:hAnsi="ZWAdobeF" w:cs="ZWAdobeF"/>
          <w:color w:val="auto"/>
          <w:sz w:val="2"/>
          <w:szCs w:val="2"/>
        </w:rPr>
        <w:t>42F</w:t>
      </w:r>
      <w:r>
        <w:rPr>
          <w:rStyle w:val="FootnoteReference"/>
        </w:rPr>
        <w:footnoteReference w:id="44"/>
      </w:r>
      <w:r>
        <w:t xml:space="preserve"> in 2022</w:t>
      </w:r>
      <w:r w:rsidR="0004667B">
        <w:t> </w:t>
      </w:r>
      <w:r>
        <w:t>(6</w:t>
      </w:r>
      <w:r w:rsidR="00F92201">
        <w:t>.1</w:t>
      </w:r>
      <w:r>
        <w:t> per cent), and the second highest growth in the March quarter 2023</w:t>
      </w:r>
      <w:r w:rsidR="0004667B">
        <w:t> </w:t>
      </w:r>
      <w:r>
        <w:t>(0.7 per cent)</w:t>
      </w:r>
      <w:r w:rsidDel="00322DCE">
        <w:t>.</w:t>
      </w:r>
      <w:r w:rsidR="00683533">
        <w:rPr>
          <w:rFonts w:ascii="ZWAdobeF" w:hAnsi="ZWAdobeF" w:cs="ZWAdobeF"/>
          <w:color w:val="auto"/>
          <w:sz w:val="2"/>
          <w:szCs w:val="2"/>
        </w:rPr>
        <w:t>43F</w:t>
      </w:r>
      <w:r w:rsidR="0017105B">
        <w:rPr>
          <w:rFonts w:ascii="ZWAdobeF" w:hAnsi="ZWAdobeF" w:cs="ZWAdobeF"/>
          <w:color w:val="auto"/>
          <w:sz w:val="2"/>
          <w:szCs w:val="2"/>
        </w:rPr>
        <w:t>43F</w:t>
      </w:r>
      <w:r>
        <w:rPr>
          <w:rStyle w:val="FootnoteReference"/>
        </w:rPr>
        <w:footnoteReference w:id="45"/>
      </w:r>
    </w:p>
    <w:p w14:paraId="65D731B8" w14:textId="46BF18C8" w:rsidR="00665C76" w:rsidRDefault="00665C76" w:rsidP="00665C76">
      <w:pPr>
        <w:pStyle w:val="05Paragraph"/>
      </w:pPr>
      <w:r w:rsidRPr="00E3421A">
        <w:t>The latest ABS labour statistics show that conditions in the Victorian labour market have started to ease, but remain tight by historical standards. Victoria’s seasonally adjusted unemployment rate was 3.7 per cent in May 2023, while the seasonally adjusted participation rate was 67.6 per cent.</w:t>
      </w:r>
      <w:r w:rsidR="00683533">
        <w:rPr>
          <w:rFonts w:ascii="ZWAdobeF" w:hAnsi="ZWAdobeF" w:cs="ZWAdobeF"/>
          <w:color w:val="auto"/>
          <w:sz w:val="2"/>
          <w:szCs w:val="2"/>
        </w:rPr>
        <w:t>44F</w:t>
      </w:r>
      <w:r w:rsidR="0017105B">
        <w:rPr>
          <w:rFonts w:ascii="ZWAdobeF" w:hAnsi="ZWAdobeF" w:cs="ZWAdobeF"/>
          <w:color w:val="auto"/>
          <w:sz w:val="2"/>
          <w:szCs w:val="2"/>
        </w:rPr>
        <w:t>44F</w:t>
      </w:r>
      <w:r w:rsidRPr="00E3421A">
        <w:rPr>
          <w:rStyle w:val="FootnoteReference"/>
        </w:rPr>
        <w:footnoteReference w:id="46"/>
      </w:r>
    </w:p>
    <w:p w14:paraId="0B9B4A65" w14:textId="5B267821" w:rsidR="00665C76" w:rsidRDefault="00665C76" w:rsidP="00665C76">
      <w:pPr>
        <w:pStyle w:val="05Paragraph"/>
      </w:pPr>
      <w:r>
        <w:t>Regarding movements in prices, the Melbourne CPI rose 1.2 per cent in the March quarter 2023. This was the smallest increase since the December quarter 2021, with growth slowing in each of the last two quarters. In year-ended terms, Melbourne CPI growth moderated from 8 per cent in the December quarter 2022</w:t>
      </w:r>
      <w:r w:rsidR="00967598">
        <w:t> </w:t>
      </w:r>
      <w:r>
        <w:t>to 6.8 per cent in the March quarter 2023. Despite the decline, 6.8 per cent is the third</w:t>
      </w:r>
      <w:r>
        <w:noBreakHyphen/>
        <w:t xml:space="preserve">highest annual growth recorded in any quarter since </w:t>
      </w:r>
      <w:r w:rsidR="00B45D26">
        <w:t>1991</w:t>
      </w:r>
      <w:r>
        <w:t>. A measure of underlying inflation, the Melbourne CPI excluding ‘volatile items’</w:t>
      </w:r>
      <w:r w:rsidR="00683533">
        <w:rPr>
          <w:rFonts w:ascii="ZWAdobeF" w:hAnsi="ZWAdobeF" w:cs="ZWAdobeF"/>
          <w:color w:val="auto"/>
          <w:sz w:val="2"/>
          <w:szCs w:val="2"/>
        </w:rPr>
        <w:t>45F</w:t>
      </w:r>
      <w:r w:rsidR="0017105B">
        <w:rPr>
          <w:rFonts w:ascii="ZWAdobeF" w:hAnsi="ZWAdobeF" w:cs="ZWAdobeF"/>
          <w:color w:val="auto"/>
          <w:sz w:val="2"/>
          <w:szCs w:val="2"/>
        </w:rPr>
        <w:t>45F</w:t>
      </w:r>
      <w:r w:rsidR="008A1296">
        <w:rPr>
          <w:rStyle w:val="FootnoteReference"/>
        </w:rPr>
        <w:footnoteReference w:id="47"/>
      </w:r>
      <w:r>
        <w:t>, increased by 7.1 per cent over the same period.</w:t>
      </w:r>
      <w:r w:rsidR="00683533">
        <w:rPr>
          <w:rFonts w:ascii="ZWAdobeF" w:hAnsi="ZWAdobeF" w:cs="ZWAdobeF"/>
          <w:color w:val="auto"/>
          <w:sz w:val="2"/>
          <w:szCs w:val="2"/>
        </w:rPr>
        <w:t>46F</w:t>
      </w:r>
      <w:r w:rsidR="0017105B">
        <w:rPr>
          <w:rFonts w:ascii="ZWAdobeF" w:hAnsi="ZWAdobeF" w:cs="ZWAdobeF"/>
          <w:color w:val="auto"/>
          <w:sz w:val="2"/>
          <w:szCs w:val="2"/>
        </w:rPr>
        <w:t>46F</w:t>
      </w:r>
      <w:r>
        <w:rPr>
          <w:rStyle w:val="FootnoteReference"/>
        </w:rPr>
        <w:footnoteReference w:id="48"/>
      </w:r>
      <w:r>
        <w:t xml:space="preserve"> </w:t>
      </w:r>
    </w:p>
    <w:p w14:paraId="5F81C368" w14:textId="6DDB7788" w:rsidR="00665C76" w:rsidRDefault="00665C76" w:rsidP="00665C76">
      <w:pPr>
        <w:pStyle w:val="05Paragraph"/>
      </w:pPr>
      <w:r>
        <w:t>Wage growth has picked up in recent quarters, with annual growth in the Victorian WPI increasing to 3.5 per cent in the March quarter 2023. This was the fastest growth since 2012, and was driven primarily by a 3.7 per cent increase in private sector wages. Meanwhile, public sector wages grew by a more subdued 3 per cent, consistent with the recent trend of slower growth relative to the private sector. The private sector has now recorded higher year-ended wage growth than the public sector in each of the last eight quarters.</w:t>
      </w:r>
      <w:r w:rsidR="00683533">
        <w:rPr>
          <w:rFonts w:ascii="ZWAdobeF" w:hAnsi="ZWAdobeF" w:cs="ZWAdobeF"/>
          <w:color w:val="auto"/>
          <w:sz w:val="2"/>
          <w:szCs w:val="2"/>
        </w:rPr>
        <w:t>47F</w:t>
      </w:r>
      <w:r w:rsidR="0017105B">
        <w:rPr>
          <w:rFonts w:ascii="ZWAdobeF" w:hAnsi="ZWAdobeF" w:cs="ZWAdobeF"/>
          <w:color w:val="auto"/>
          <w:sz w:val="2"/>
          <w:szCs w:val="2"/>
        </w:rPr>
        <w:t>47F</w:t>
      </w:r>
      <w:r>
        <w:rPr>
          <w:rStyle w:val="FootnoteReference"/>
        </w:rPr>
        <w:footnoteReference w:id="49"/>
      </w:r>
    </w:p>
    <w:p w14:paraId="103247E6" w14:textId="77777777" w:rsidR="00665C76" w:rsidRPr="005A2BD4" w:rsidRDefault="00665C76" w:rsidP="00665C76">
      <w:pPr>
        <w:pStyle w:val="05Paragraph"/>
        <w:keepNext/>
        <w:rPr>
          <w:spacing w:val="-4"/>
        </w:rPr>
      </w:pPr>
      <w:r w:rsidRPr="005A2BD4">
        <w:rPr>
          <w:spacing w:val="-4"/>
        </w:rPr>
        <w:t>The Tribunal also noted the following with regard to wage movements:</w:t>
      </w:r>
    </w:p>
    <w:p w14:paraId="73FCF13B" w14:textId="17858BAD" w:rsidR="00665C76" w:rsidRPr="005A2BD4" w:rsidRDefault="00827250" w:rsidP="00665C76">
      <w:pPr>
        <w:pStyle w:val="06VIRTBulletpoints"/>
        <w:ind w:left="357" w:hanging="357"/>
        <w:rPr>
          <w:spacing w:val="-4"/>
        </w:rPr>
      </w:pPr>
      <w:r w:rsidRPr="005A2BD4">
        <w:rPr>
          <w:spacing w:val="-4"/>
        </w:rPr>
        <w:t xml:space="preserve">full-time </w:t>
      </w:r>
      <w:r w:rsidR="00665C76" w:rsidRPr="005A2BD4">
        <w:rPr>
          <w:spacing w:val="-4"/>
        </w:rPr>
        <w:t xml:space="preserve">Victorian </w:t>
      </w:r>
      <w:r w:rsidRPr="005A2BD4">
        <w:rPr>
          <w:spacing w:val="-4"/>
        </w:rPr>
        <w:t>adult average weekly ordinary time earnings</w:t>
      </w:r>
      <w:r w:rsidR="00665C76" w:rsidRPr="005A2BD4">
        <w:rPr>
          <w:spacing w:val="-4"/>
        </w:rPr>
        <w:t xml:space="preserve"> increased by 2.0</w:t>
      </w:r>
      <w:r w:rsidR="003454AF">
        <w:rPr>
          <w:spacing w:val="-4"/>
        </w:rPr>
        <w:t> </w:t>
      </w:r>
      <w:r w:rsidR="00665C76" w:rsidRPr="005A2BD4">
        <w:rPr>
          <w:spacing w:val="-4"/>
        </w:rPr>
        <w:t>per</w:t>
      </w:r>
      <w:r w:rsidR="003454AF">
        <w:rPr>
          <w:spacing w:val="-4"/>
        </w:rPr>
        <w:t> </w:t>
      </w:r>
      <w:r w:rsidR="00665C76" w:rsidRPr="005A2BD4">
        <w:rPr>
          <w:spacing w:val="-4"/>
        </w:rPr>
        <w:t>cent (in seasonally adjusted terms) through the year to November 2022</w:t>
      </w:r>
      <w:r w:rsidR="00683533">
        <w:rPr>
          <w:rFonts w:ascii="ZWAdobeF" w:hAnsi="ZWAdobeF" w:cs="ZWAdobeF"/>
          <w:color w:val="auto"/>
          <w:sz w:val="2"/>
          <w:szCs w:val="2"/>
        </w:rPr>
        <w:t>48F</w:t>
      </w:r>
      <w:r w:rsidR="0017105B">
        <w:rPr>
          <w:rFonts w:ascii="ZWAdobeF" w:hAnsi="ZWAdobeF" w:cs="ZWAdobeF"/>
          <w:color w:val="auto"/>
          <w:sz w:val="2"/>
          <w:szCs w:val="2"/>
        </w:rPr>
        <w:t>48F</w:t>
      </w:r>
      <w:r w:rsidR="00665C76" w:rsidRPr="005A2BD4">
        <w:rPr>
          <w:rStyle w:val="FootnoteReference"/>
          <w:spacing w:val="-4"/>
        </w:rPr>
        <w:footnoteReference w:id="50"/>
      </w:r>
    </w:p>
    <w:p w14:paraId="49BF6ADB" w14:textId="794C3BA5" w:rsidR="00665C76" w:rsidRPr="005A2BD4" w:rsidRDefault="00665C76" w:rsidP="00665C76">
      <w:pPr>
        <w:pStyle w:val="06VIRTBulletpoints"/>
        <w:ind w:left="357" w:hanging="357"/>
        <w:rPr>
          <w:spacing w:val="-4"/>
        </w:rPr>
      </w:pPr>
      <w:r w:rsidRPr="005A2BD4">
        <w:rPr>
          <w:spacing w:val="-4"/>
        </w:rPr>
        <w:lastRenderedPageBreak/>
        <w:t>the average annualised wage increase for Victorian enterprise agreements current at 31 December 2022 was 2.5 per cent, and 2.4 per cent for agreements approved in the December quarter 2022</w:t>
      </w:r>
      <w:r w:rsidR="00683533">
        <w:rPr>
          <w:rFonts w:ascii="ZWAdobeF" w:hAnsi="ZWAdobeF" w:cs="ZWAdobeF"/>
          <w:color w:val="auto"/>
          <w:sz w:val="2"/>
          <w:szCs w:val="2"/>
        </w:rPr>
        <w:t>49F</w:t>
      </w:r>
      <w:r w:rsidR="0017105B">
        <w:rPr>
          <w:rFonts w:ascii="ZWAdobeF" w:hAnsi="ZWAdobeF" w:cs="ZWAdobeF"/>
          <w:color w:val="auto"/>
          <w:sz w:val="2"/>
          <w:szCs w:val="2"/>
        </w:rPr>
        <w:t>49F</w:t>
      </w:r>
      <w:r w:rsidRPr="005A2BD4">
        <w:rPr>
          <w:rStyle w:val="FootnoteReference"/>
          <w:spacing w:val="-4"/>
        </w:rPr>
        <w:footnoteReference w:id="51"/>
      </w:r>
    </w:p>
    <w:p w14:paraId="4F73284D" w14:textId="7C9913F0" w:rsidR="00665C76" w:rsidRPr="005A2BD4" w:rsidRDefault="00665C76" w:rsidP="00665C76">
      <w:pPr>
        <w:pStyle w:val="06VIRTBulletpoints"/>
        <w:ind w:left="357" w:hanging="357"/>
        <w:rPr>
          <w:spacing w:val="-4"/>
        </w:rPr>
      </w:pPr>
      <w:r w:rsidRPr="005A2BD4">
        <w:rPr>
          <w:spacing w:val="-4"/>
        </w:rPr>
        <w:t>the SEEK Advertised Salary Index rose 4.2 per cent through the year to April 2023.</w:t>
      </w:r>
      <w:r w:rsidR="00683533">
        <w:rPr>
          <w:rFonts w:ascii="ZWAdobeF" w:hAnsi="ZWAdobeF" w:cs="ZWAdobeF"/>
          <w:color w:val="auto"/>
          <w:sz w:val="2"/>
          <w:szCs w:val="2"/>
        </w:rPr>
        <w:t>50F</w:t>
      </w:r>
      <w:r w:rsidR="0017105B">
        <w:rPr>
          <w:rFonts w:ascii="ZWAdobeF" w:hAnsi="ZWAdobeF" w:cs="ZWAdobeF"/>
          <w:color w:val="auto"/>
          <w:sz w:val="2"/>
          <w:szCs w:val="2"/>
        </w:rPr>
        <w:t>50F</w:t>
      </w:r>
      <w:r w:rsidRPr="005A2BD4">
        <w:rPr>
          <w:rStyle w:val="FootnoteReference"/>
          <w:spacing w:val="-4"/>
        </w:rPr>
        <w:footnoteReference w:id="52"/>
      </w:r>
    </w:p>
    <w:p w14:paraId="0FDDFC86" w14:textId="179EC6B7" w:rsidR="00665C76" w:rsidRDefault="00665C76" w:rsidP="00665C76">
      <w:pPr>
        <w:pStyle w:val="05Paragraph"/>
      </w:pPr>
      <w:r>
        <w:t>The Victorian Budget, released in May 2023, stated that ‘the economic outlook [for Victoria] remains positive’, while forecasting subdued growth in 2023-24 as high interest rates and inflation weigh on economic activity.</w:t>
      </w:r>
      <w:r w:rsidR="00683533">
        <w:rPr>
          <w:rFonts w:ascii="ZWAdobeF" w:hAnsi="ZWAdobeF" w:cs="ZWAdobeF"/>
          <w:color w:val="auto"/>
          <w:sz w:val="2"/>
          <w:szCs w:val="2"/>
        </w:rPr>
        <w:t>51F</w:t>
      </w:r>
      <w:r w:rsidR="0017105B">
        <w:rPr>
          <w:rFonts w:ascii="ZWAdobeF" w:hAnsi="ZWAdobeF" w:cs="ZWAdobeF"/>
          <w:color w:val="auto"/>
          <w:sz w:val="2"/>
          <w:szCs w:val="2"/>
        </w:rPr>
        <w:t>51F</w:t>
      </w:r>
      <w:r>
        <w:rPr>
          <w:rStyle w:val="FootnoteReference"/>
        </w:rPr>
        <w:footnoteReference w:id="53"/>
      </w:r>
    </w:p>
    <w:p w14:paraId="522D5F65" w14:textId="413A1CF1" w:rsidR="00665C76" w:rsidRDefault="00665C76" w:rsidP="00665C76">
      <w:pPr>
        <w:pStyle w:val="05Paragraph"/>
        <w:keepNext/>
      </w:pPr>
      <w:r>
        <w:t>The Victorian Budget forecasts for the Victorian economy are reproduced in Table </w:t>
      </w:r>
      <w:r w:rsidR="00523DB2">
        <w:t>A.</w:t>
      </w:r>
      <w:r>
        <w:t>3. In summary:</w:t>
      </w:r>
      <w:r w:rsidR="00683533">
        <w:rPr>
          <w:rFonts w:ascii="ZWAdobeF" w:hAnsi="ZWAdobeF" w:cs="ZWAdobeF"/>
          <w:color w:val="auto"/>
          <w:sz w:val="2"/>
          <w:szCs w:val="2"/>
        </w:rPr>
        <w:t>52F</w:t>
      </w:r>
      <w:r w:rsidR="0017105B">
        <w:rPr>
          <w:rFonts w:ascii="ZWAdobeF" w:hAnsi="ZWAdobeF" w:cs="ZWAdobeF"/>
          <w:color w:val="auto"/>
          <w:sz w:val="2"/>
          <w:szCs w:val="2"/>
        </w:rPr>
        <w:t>52F</w:t>
      </w:r>
      <w:r>
        <w:rPr>
          <w:rStyle w:val="FootnoteReference"/>
        </w:rPr>
        <w:footnoteReference w:id="54"/>
      </w:r>
    </w:p>
    <w:p w14:paraId="31B180CE" w14:textId="77777777" w:rsidR="00665C76" w:rsidRDefault="00665C76" w:rsidP="00665C76">
      <w:pPr>
        <w:pStyle w:val="06VIRTBulletpoints"/>
        <w:ind w:left="357" w:hanging="357"/>
      </w:pPr>
      <w:r>
        <w:t>real GSP growth is expected to be 2.75 per cent in 2022-23, before moderating to 1.50 per cent in 2023-24 as rising interest rates and high inflation affect household spending</w:t>
      </w:r>
    </w:p>
    <w:p w14:paraId="01A733E2" w14:textId="77777777" w:rsidR="00665C76" w:rsidRDefault="00665C76" w:rsidP="00665C76">
      <w:pPr>
        <w:pStyle w:val="06VIRTBulletpoints"/>
        <w:ind w:left="357" w:hanging="357"/>
      </w:pPr>
      <w:r>
        <w:t>the unemployment rate is projected to rise gradually to average 4.75 per cent in 2025-26 and 2026-27</w:t>
      </w:r>
    </w:p>
    <w:p w14:paraId="067E1ECD" w14:textId="77777777" w:rsidR="00665C76" w:rsidRDefault="00665C76" w:rsidP="00665C76">
      <w:pPr>
        <w:pStyle w:val="06VIRTBulletpoints"/>
        <w:ind w:left="357" w:hanging="357"/>
      </w:pPr>
      <w:r>
        <w:t>growth in the Melbourne CPI is expected to average 7 per cent in 2022-23, before declining to the middle of the RBA’s target range in 2025-26</w:t>
      </w:r>
    </w:p>
    <w:p w14:paraId="2F704CB5" w14:textId="77777777" w:rsidR="00665C76" w:rsidRDefault="00665C76" w:rsidP="00665C76">
      <w:pPr>
        <w:pStyle w:val="06VIRTBulletpoints"/>
        <w:ind w:left="357" w:hanging="357"/>
      </w:pPr>
      <w:r>
        <w:t>growth in the Victorian WPI is expected to average 3.5 per cent from 2022</w:t>
      </w:r>
      <w:r>
        <w:noBreakHyphen/>
        <w:t>23 through to 2024-25, before moderating to 3.25 per cent in years thereafter.</w:t>
      </w:r>
    </w:p>
    <w:p w14:paraId="023B7D81" w14:textId="6EEC64C7" w:rsidR="00665C76" w:rsidRDefault="00665C76" w:rsidP="00665C76">
      <w:pPr>
        <w:pStyle w:val="08Figuretableboxheading"/>
      </w:pPr>
      <w:bookmarkStart w:id="46" w:name="_Toc137639095"/>
      <w:r>
        <w:t xml:space="preserve">Table </w:t>
      </w:r>
      <w:r w:rsidR="00523DB2">
        <w:t>A.</w:t>
      </w:r>
      <w:r>
        <w:t xml:space="preserve">3: Victorian Budget </w:t>
      </w:r>
      <w:r w:rsidR="007520D0">
        <w:t xml:space="preserve">2023/24 – </w:t>
      </w:r>
      <w:r>
        <w:t xml:space="preserve">forecasts for </w:t>
      </w:r>
      <w:r w:rsidR="00AC56AF">
        <w:t>the Victori</w:t>
      </w:r>
      <w:r w:rsidR="00E4208A">
        <w:t>an economy</w:t>
      </w:r>
      <w:bookmarkEnd w:id="46"/>
    </w:p>
    <w:tbl>
      <w:tblPr>
        <w:tblStyle w:val="ListTable3-Accent21"/>
        <w:tblW w:w="0" w:type="auto"/>
        <w:tblInd w:w="5" w:type="dxa"/>
        <w:tblLook w:val="04A0" w:firstRow="1" w:lastRow="0" w:firstColumn="1" w:lastColumn="0" w:noHBand="0" w:noVBand="1"/>
      </w:tblPr>
      <w:tblGrid>
        <w:gridCol w:w="2195"/>
        <w:gridCol w:w="1238"/>
        <w:gridCol w:w="1239"/>
        <w:gridCol w:w="1239"/>
        <w:gridCol w:w="1294"/>
        <w:gridCol w:w="1294"/>
      </w:tblGrid>
      <w:tr w:rsidR="00665C76" w:rsidRPr="00C71CCB" w14:paraId="6B10494D" w14:textId="77777777" w:rsidTr="00504E6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45" w:type="dxa"/>
            <w:tcBorders>
              <w:top w:val="single" w:sz="4" w:space="0" w:color="148A5D" w:themeColor="accent2"/>
              <w:bottom w:val="single" w:sz="4" w:space="0" w:color="148A5D"/>
            </w:tcBorders>
            <w:shd w:val="clear" w:color="auto" w:fill="auto"/>
          </w:tcPr>
          <w:p w14:paraId="3F4A6577" w14:textId="77777777" w:rsidR="00665C76" w:rsidRPr="00504E62" w:rsidRDefault="00665C76" w:rsidP="008D7C73">
            <w:pPr>
              <w:pStyle w:val="10Tabletext"/>
              <w:rPr>
                <w:rFonts w:ascii="Calibri" w:hAnsi="Calibri" w:cs="Calibri"/>
                <w:color w:val="auto"/>
              </w:rPr>
            </w:pPr>
            <w:r w:rsidRPr="00504E62">
              <w:rPr>
                <w:rFonts w:ascii="Calibri" w:hAnsi="Calibri" w:cs="Calibri"/>
                <w:color w:val="auto"/>
              </w:rPr>
              <w:t>Indicator</w:t>
            </w:r>
          </w:p>
        </w:tc>
        <w:tc>
          <w:tcPr>
            <w:tcW w:w="1250" w:type="dxa"/>
            <w:tcBorders>
              <w:top w:val="single" w:sz="4" w:space="0" w:color="148A5D" w:themeColor="accent2"/>
              <w:bottom w:val="single" w:sz="4" w:space="0" w:color="148A5D"/>
            </w:tcBorders>
            <w:shd w:val="clear" w:color="auto" w:fill="auto"/>
          </w:tcPr>
          <w:p w14:paraId="24234CC8" w14:textId="77777777" w:rsidR="00665C76" w:rsidRPr="00504E62" w:rsidRDefault="00665C76" w:rsidP="008D7C73">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rPr>
            </w:pPr>
            <w:r w:rsidRPr="00504E62">
              <w:rPr>
                <w:rFonts w:ascii="Calibri" w:hAnsi="Calibri" w:cs="Calibri"/>
                <w:color w:val="auto"/>
              </w:rPr>
              <w:t>2022-23</w:t>
            </w:r>
          </w:p>
          <w:p w14:paraId="79454C7A" w14:textId="77777777" w:rsidR="00665C76" w:rsidRPr="00504E62" w:rsidRDefault="00665C76" w:rsidP="008D7C73">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504E62">
              <w:rPr>
                <w:rFonts w:ascii="Calibri" w:hAnsi="Calibri" w:cs="Calibri"/>
                <w:color w:val="auto"/>
              </w:rPr>
              <w:t>(forecast)</w:t>
            </w:r>
          </w:p>
        </w:tc>
        <w:tc>
          <w:tcPr>
            <w:tcW w:w="1251" w:type="dxa"/>
            <w:tcBorders>
              <w:top w:val="single" w:sz="4" w:space="0" w:color="148A5D" w:themeColor="accent2"/>
              <w:bottom w:val="single" w:sz="4" w:space="0" w:color="148A5D"/>
            </w:tcBorders>
            <w:shd w:val="clear" w:color="auto" w:fill="auto"/>
          </w:tcPr>
          <w:p w14:paraId="7293CA85" w14:textId="77777777" w:rsidR="00665C76" w:rsidRPr="00504E62" w:rsidRDefault="00665C76" w:rsidP="008D7C73">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rPr>
            </w:pPr>
            <w:r w:rsidRPr="00504E62">
              <w:rPr>
                <w:rFonts w:ascii="Calibri" w:hAnsi="Calibri" w:cs="Calibri"/>
                <w:color w:val="auto"/>
              </w:rPr>
              <w:t>2023-24</w:t>
            </w:r>
          </w:p>
          <w:p w14:paraId="2ACD473B" w14:textId="77777777" w:rsidR="00665C76" w:rsidRPr="00504E62" w:rsidRDefault="00665C76" w:rsidP="008D7C73">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504E62">
              <w:rPr>
                <w:rFonts w:ascii="Calibri" w:hAnsi="Calibri" w:cs="Calibri"/>
                <w:color w:val="auto"/>
              </w:rPr>
              <w:t>(forecast)</w:t>
            </w:r>
          </w:p>
        </w:tc>
        <w:tc>
          <w:tcPr>
            <w:tcW w:w="1251" w:type="dxa"/>
            <w:tcBorders>
              <w:top w:val="single" w:sz="4" w:space="0" w:color="148A5D" w:themeColor="accent2"/>
              <w:bottom w:val="single" w:sz="4" w:space="0" w:color="148A5D"/>
            </w:tcBorders>
            <w:shd w:val="clear" w:color="auto" w:fill="auto"/>
          </w:tcPr>
          <w:p w14:paraId="2032601A" w14:textId="77777777" w:rsidR="00665C76" w:rsidRPr="00504E62" w:rsidRDefault="00665C76" w:rsidP="008D7C73">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rPr>
            </w:pPr>
            <w:r w:rsidRPr="00504E62">
              <w:rPr>
                <w:rFonts w:ascii="Calibri" w:hAnsi="Calibri" w:cs="Calibri"/>
                <w:color w:val="auto"/>
              </w:rPr>
              <w:t>2024-25</w:t>
            </w:r>
          </w:p>
          <w:p w14:paraId="479D8BBA" w14:textId="77777777" w:rsidR="00665C76" w:rsidRPr="00504E62" w:rsidRDefault="00665C76" w:rsidP="008D7C73">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504E62">
              <w:rPr>
                <w:rFonts w:ascii="Calibri" w:hAnsi="Calibri" w:cs="Calibri"/>
                <w:color w:val="auto"/>
              </w:rPr>
              <w:t>(forecast)</w:t>
            </w:r>
          </w:p>
        </w:tc>
        <w:tc>
          <w:tcPr>
            <w:tcW w:w="1251" w:type="dxa"/>
            <w:tcBorders>
              <w:top w:val="single" w:sz="4" w:space="0" w:color="148A5D" w:themeColor="accent2"/>
              <w:bottom w:val="single" w:sz="4" w:space="0" w:color="148A5D"/>
            </w:tcBorders>
            <w:shd w:val="clear" w:color="auto" w:fill="auto"/>
          </w:tcPr>
          <w:p w14:paraId="020646F3" w14:textId="77777777" w:rsidR="00665C76" w:rsidRPr="00504E62" w:rsidRDefault="00665C76" w:rsidP="008D7C73">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rPr>
            </w:pPr>
            <w:r w:rsidRPr="00504E62">
              <w:rPr>
                <w:rFonts w:ascii="Calibri" w:hAnsi="Calibri" w:cs="Calibri"/>
                <w:color w:val="auto"/>
              </w:rPr>
              <w:t>2025-26</w:t>
            </w:r>
          </w:p>
          <w:p w14:paraId="45DC8CBA" w14:textId="77777777" w:rsidR="00665C76" w:rsidRPr="00504E62" w:rsidRDefault="00665C76" w:rsidP="008D7C73">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504E62">
              <w:rPr>
                <w:rFonts w:ascii="Calibri" w:hAnsi="Calibri" w:cs="Calibri"/>
                <w:color w:val="auto"/>
              </w:rPr>
              <w:t>(projection)</w:t>
            </w:r>
          </w:p>
        </w:tc>
        <w:tc>
          <w:tcPr>
            <w:tcW w:w="1251" w:type="dxa"/>
            <w:tcBorders>
              <w:top w:val="single" w:sz="4" w:space="0" w:color="148A5D" w:themeColor="accent2"/>
              <w:bottom w:val="single" w:sz="4" w:space="0" w:color="148A5D"/>
            </w:tcBorders>
            <w:shd w:val="clear" w:color="auto" w:fill="auto"/>
          </w:tcPr>
          <w:p w14:paraId="390F9B1B" w14:textId="77777777" w:rsidR="00665C76" w:rsidRPr="00504E62" w:rsidRDefault="00665C76" w:rsidP="008D7C73">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rPr>
            </w:pPr>
            <w:r w:rsidRPr="00504E62">
              <w:rPr>
                <w:rFonts w:ascii="Calibri" w:hAnsi="Calibri" w:cs="Calibri"/>
                <w:color w:val="auto"/>
              </w:rPr>
              <w:t>2026-27</w:t>
            </w:r>
          </w:p>
          <w:p w14:paraId="26BE3BFE" w14:textId="77777777" w:rsidR="00665C76" w:rsidRPr="00504E62" w:rsidRDefault="00665C76" w:rsidP="008D7C73">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504E62">
              <w:rPr>
                <w:rFonts w:ascii="Calibri" w:hAnsi="Calibri" w:cs="Calibri"/>
                <w:color w:val="auto"/>
              </w:rPr>
              <w:t>(projection)</w:t>
            </w:r>
          </w:p>
        </w:tc>
      </w:tr>
      <w:tr w:rsidR="00665C76" w:rsidRPr="00C71CCB" w14:paraId="5265E328" w14:textId="77777777" w:rsidTr="00504E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6AD8FA7E" w14:textId="77777777" w:rsidR="00665C76" w:rsidRPr="00C71CCB" w:rsidRDefault="00665C76" w:rsidP="008D7C73">
            <w:pPr>
              <w:pStyle w:val="10Tabletext"/>
              <w:rPr>
                <w:rFonts w:ascii="Calibri" w:hAnsi="Calibri" w:cs="Calibri"/>
              </w:rPr>
            </w:pPr>
            <w:r w:rsidRPr="00C71CCB">
              <w:rPr>
                <w:rFonts w:ascii="Calibri" w:hAnsi="Calibri" w:cs="Calibri"/>
              </w:rPr>
              <w:t>Real GSP</w:t>
            </w:r>
            <w:r w:rsidRPr="00C71CCB">
              <w:rPr>
                <w:rFonts w:ascii="Calibri" w:hAnsi="Calibri" w:cs="Calibri"/>
                <w:vertAlign w:val="superscript"/>
              </w:rPr>
              <w:t>(a)</w:t>
            </w:r>
          </w:p>
        </w:tc>
        <w:tc>
          <w:tcPr>
            <w:tcW w:w="1250" w:type="dxa"/>
          </w:tcPr>
          <w:p w14:paraId="210EA6CA" w14:textId="77777777" w:rsidR="00665C76" w:rsidRPr="00C71CCB" w:rsidRDefault="00665C76" w:rsidP="008D7C73">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1CCB">
              <w:rPr>
                <w:rFonts w:ascii="Calibri" w:hAnsi="Calibri" w:cs="Calibri"/>
              </w:rPr>
              <w:t>2.75</w:t>
            </w:r>
          </w:p>
        </w:tc>
        <w:tc>
          <w:tcPr>
            <w:tcW w:w="1251" w:type="dxa"/>
          </w:tcPr>
          <w:p w14:paraId="4A216654" w14:textId="77777777" w:rsidR="00665C76" w:rsidRPr="00C71CCB" w:rsidRDefault="00665C76" w:rsidP="008D7C73">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1CCB">
              <w:rPr>
                <w:rFonts w:ascii="Calibri" w:hAnsi="Calibri" w:cs="Calibri"/>
              </w:rPr>
              <w:t>1.50</w:t>
            </w:r>
          </w:p>
        </w:tc>
        <w:tc>
          <w:tcPr>
            <w:tcW w:w="1251" w:type="dxa"/>
          </w:tcPr>
          <w:p w14:paraId="7E5F8146" w14:textId="77777777" w:rsidR="00665C76" w:rsidRPr="00C71CCB" w:rsidRDefault="00665C76" w:rsidP="008D7C73">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1CCB">
              <w:rPr>
                <w:rFonts w:ascii="Calibri" w:hAnsi="Calibri" w:cs="Calibri"/>
              </w:rPr>
              <w:t>2.50</w:t>
            </w:r>
          </w:p>
        </w:tc>
        <w:tc>
          <w:tcPr>
            <w:tcW w:w="1251" w:type="dxa"/>
          </w:tcPr>
          <w:p w14:paraId="30EF55B0" w14:textId="77777777" w:rsidR="00665C76" w:rsidRPr="00C71CCB" w:rsidRDefault="00665C76" w:rsidP="008D7C73">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1CCB">
              <w:rPr>
                <w:rFonts w:ascii="Calibri" w:hAnsi="Calibri" w:cs="Calibri"/>
              </w:rPr>
              <w:t>2.75</w:t>
            </w:r>
          </w:p>
        </w:tc>
        <w:tc>
          <w:tcPr>
            <w:tcW w:w="1251" w:type="dxa"/>
          </w:tcPr>
          <w:p w14:paraId="68B71322" w14:textId="77777777" w:rsidR="00665C76" w:rsidRPr="00C71CCB" w:rsidRDefault="00665C76" w:rsidP="008D7C73">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1CCB">
              <w:rPr>
                <w:rFonts w:ascii="Calibri" w:hAnsi="Calibri" w:cs="Calibri"/>
              </w:rPr>
              <w:t>2.75</w:t>
            </w:r>
          </w:p>
        </w:tc>
      </w:tr>
      <w:tr w:rsidR="00665C76" w:rsidRPr="00C71CCB" w14:paraId="7AF5F432" w14:textId="77777777" w:rsidTr="008D7C73">
        <w:tc>
          <w:tcPr>
            <w:cnfStyle w:val="001000000000" w:firstRow="0" w:lastRow="0" w:firstColumn="1" w:lastColumn="0" w:oddVBand="0" w:evenVBand="0" w:oddHBand="0" w:evenHBand="0" w:firstRowFirstColumn="0" w:firstRowLastColumn="0" w:lastRowFirstColumn="0" w:lastRowLastColumn="0"/>
            <w:tcW w:w="2245" w:type="dxa"/>
          </w:tcPr>
          <w:p w14:paraId="29C84D46" w14:textId="77777777" w:rsidR="00665C76" w:rsidRPr="00C71CCB" w:rsidRDefault="00665C76" w:rsidP="008D7C73">
            <w:pPr>
              <w:pStyle w:val="10Tabletext"/>
              <w:rPr>
                <w:rFonts w:ascii="Calibri" w:hAnsi="Calibri" w:cs="Calibri"/>
                <w:vertAlign w:val="superscript"/>
              </w:rPr>
            </w:pPr>
            <w:r w:rsidRPr="00C71CCB">
              <w:rPr>
                <w:rFonts w:ascii="Calibri" w:hAnsi="Calibri" w:cs="Calibri"/>
              </w:rPr>
              <w:t>Unemployment rate</w:t>
            </w:r>
            <w:r w:rsidRPr="00C71CCB">
              <w:rPr>
                <w:rFonts w:ascii="Calibri" w:hAnsi="Calibri" w:cs="Calibri"/>
                <w:vertAlign w:val="superscript"/>
              </w:rPr>
              <w:t>(b)</w:t>
            </w:r>
          </w:p>
        </w:tc>
        <w:tc>
          <w:tcPr>
            <w:tcW w:w="1250" w:type="dxa"/>
          </w:tcPr>
          <w:p w14:paraId="044944CF" w14:textId="77777777" w:rsidR="00665C76" w:rsidRPr="00C71CCB" w:rsidRDefault="00665C76" w:rsidP="008D7C73">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71CCB">
              <w:rPr>
                <w:rFonts w:ascii="Calibri" w:hAnsi="Calibri" w:cs="Calibri"/>
              </w:rPr>
              <w:t>3.75</w:t>
            </w:r>
          </w:p>
        </w:tc>
        <w:tc>
          <w:tcPr>
            <w:tcW w:w="1251" w:type="dxa"/>
          </w:tcPr>
          <w:p w14:paraId="09E16C87" w14:textId="77777777" w:rsidR="00665C76" w:rsidRPr="00C71CCB" w:rsidRDefault="00665C76" w:rsidP="008D7C73">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71CCB">
              <w:rPr>
                <w:rFonts w:ascii="Calibri" w:hAnsi="Calibri" w:cs="Calibri"/>
              </w:rPr>
              <w:t>4.25</w:t>
            </w:r>
          </w:p>
        </w:tc>
        <w:tc>
          <w:tcPr>
            <w:tcW w:w="1251" w:type="dxa"/>
          </w:tcPr>
          <w:p w14:paraId="280D3AC8" w14:textId="77777777" w:rsidR="00665C76" w:rsidRPr="00C71CCB" w:rsidRDefault="00665C76" w:rsidP="008D7C73">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71CCB">
              <w:rPr>
                <w:rFonts w:ascii="Calibri" w:hAnsi="Calibri" w:cs="Calibri"/>
              </w:rPr>
              <w:t>4.50</w:t>
            </w:r>
          </w:p>
        </w:tc>
        <w:tc>
          <w:tcPr>
            <w:tcW w:w="1251" w:type="dxa"/>
          </w:tcPr>
          <w:p w14:paraId="1E94C5ED" w14:textId="77777777" w:rsidR="00665C76" w:rsidRPr="00C71CCB" w:rsidRDefault="00665C76" w:rsidP="008D7C73">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71CCB">
              <w:rPr>
                <w:rFonts w:ascii="Calibri" w:hAnsi="Calibri" w:cs="Calibri"/>
              </w:rPr>
              <w:t>4.75</w:t>
            </w:r>
          </w:p>
        </w:tc>
        <w:tc>
          <w:tcPr>
            <w:tcW w:w="1251" w:type="dxa"/>
          </w:tcPr>
          <w:p w14:paraId="4C79E293" w14:textId="77777777" w:rsidR="00665C76" w:rsidRPr="00C71CCB" w:rsidRDefault="00665C76" w:rsidP="008D7C73">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71CCB">
              <w:rPr>
                <w:rFonts w:ascii="Calibri" w:hAnsi="Calibri" w:cs="Calibri"/>
              </w:rPr>
              <w:t>4.75</w:t>
            </w:r>
          </w:p>
        </w:tc>
      </w:tr>
      <w:tr w:rsidR="00665C76" w:rsidRPr="00C71CCB" w14:paraId="55E46CB8" w14:textId="77777777" w:rsidTr="008D7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48A6175A" w14:textId="77777777" w:rsidR="00665C76" w:rsidRPr="00C71CCB" w:rsidRDefault="00665C76" w:rsidP="008D7C73">
            <w:pPr>
              <w:pStyle w:val="10Tabletext"/>
              <w:rPr>
                <w:rFonts w:ascii="Calibri" w:hAnsi="Calibri" w:cs="Calibri"/>
              </w:rPr>
            </w:pPr>
            <w:r w:rsidRPr="00C71CCB">
              <w:rPr>
                <w:rFonts w:ascii="Calibri" w:hAnsi="Calibri" w:cs="Calibri"/>
              </w:rPr>
              <w:t>Melbourne CPI</w:t>
            </w:r>
            <w:r w:rsidRPr="00C71CCB">
              <w:rPr>
                <w:rFonts w:ascii="Calibri" w:hAnsi="Calibri" w:cs="Calibri"/>
                <w:vertAlign w:val="superscript"/>
              </w:rPr>
              <w:t>(a)</w:t>
            </w:r>
          </w:p>
        </w:tc>
        <w:tc>
          <w:tcPr>
            <w:tcW w:w="1250" w:type="dxa"/>
          </w:tcPr>
          <w:p w14:paraId="26DAB4D5" w14:textId="77777777" w:rsidR="00665C76" w:rsidRPr="00C71CCB" w:rsidRDefault="00665C76" w:rsidP="008D7C73">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1CCB">
              <w:rPr>
                <w:rFonts w:ascii="Calibri" w:hAnsi="Calibri" w:cs="Calibri"/>
              </w:rPr>
              <w:t>7.00</w:t>
            </w:r>
          </w:p>
        </w:tc>
        <w:tc>
          <w:tcPr>
            <w:tcW w:w="1251" w:type="dxa"/>
          </w:tcPr>
          <w:p w14:paraId="2F5820C1" w14:textId="77777777" w:rsidR="00665C76" w:rsidRPr="00C71CCB" w:rsidRDefault="00665C76" w:rsidP="008D7C73">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1CCB">
              <w:rPr>
                <w:rFonts w:ascii="Calibri" w:hAnsi="Calibri" w:cs="Calibri"/>
              </w:rPr>
              <w:t>4.25</w:t>
            </w:r>
          </w:p>
        </w:tc>
        <w:tc>
          <w:tcPr>
            <w:tcW w:w="1251" w:type="dxa"/>
          </w:tcPr>
          <w:p w14:paraId="62ED49A1" w14:textId="77777777" w:rsidR="00665C76" w:rsidRPr="00C71CCB" w:rsidRDefault="00665C76" w:rsidP="008D7C73">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1CCB">
              <w:rPr>
                <w:rFonts w:ascii="Calibri" w:hAnsi="Calibri" w:cs="Calibri"/>
              </w:rPr>
              <w:t>2.75</w:t>
            </w:r>
          </w:p>
        </w:tc>
        <w:tc>
          <w:tcPr>
            <w:tcW w:w="1251" w:type="dxa"/>
          </w:tcPr>
          <w:p w14:paraId="442E8433" w14:textId="77777777" w:rsidR="00665C76" w:rsidRPr="00C71CCB" w:rsidRDefault="00665C76" w:rsidP="008D7C73">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1CCB">
              <w:rPr>
                <w:rFonts w:ascii="Calibri" w:hAnsi="Calibri" w:cs="Calibri"/>
              </w:rPr>
              <w:t>2.50</w:t>
            </w:r>
          </w:p>
        </w:tc>
        <w:tc>
          <w:tcPr>
            <w:tcW w:w="1251" w:type="dxa"/>
          </w:tcPr>
          <w:p w14:paraId="479262C8" w14:textId="77777777" w:rsidR="00665C76" w:rsidRPr="00C71CCB" w:rsidRDefault="00665C76" w:rsidP="008D7C73">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71CCB">
              <w:rPr>
                <w:rFonts w:ascii="Calibri" w:hAnsi="Calibri" w:cs="Calibri"/>
              </w:rPr>
              <w:t>2.50</w:t>
            </w:r>
          </w:p>
        </w:tc>
      </w:tr>
      <w:tr w:rsidR="00665C76" w:rsidRPr="00C71CCB" w14:paraId="5ADA2B8A" w14:textId="77777777" w:rsidTr="008D7C73">
        <w:tc>
          <w:tcPr>
            <w:cnfStyle w:val="001000000000" w:firstRow="0" w:lastRow="0" w:firstColumn="1" w:lastColumn="0" w:oddVBand="0" w:evenVBand="0" w:oddHBand="0" w:evenHBand="0" w:firstRowFirstColumn="0" w:firstRowLastColumn="0" w:lastRowFirstColumn="0" w:lastRowLastColumn="0"/>
            <w:tcW w:w="2245" w:type="dxa"/>
          </w:tcPr>
          <w:p w14:paraId="372BB56C" w14:textId="77777777" w:rsidR="00665C76" w:rsidRPr="00C71CCB" w:rsidRDefault="00665C76" w:rsidP="008D7C73">
            <w:pPr>
              <w:pStyle w:val="10Tabletext"/>
              <w:rPr>
                <w:rFonts w:ascii="Calibri" w:hAnsi="Calibri" w:cs="Calibri"/>
              </w:rPr>
            </w:pPr>
            <w:r w:rsidRPr="00C71CCB">
              <w:rPr>
                <w:rFonts w:ascii="Calibri" w:hAnsi="Calibri" w:cs="Calibri"/>
              </w:rPr>
              <w:t>Victorian WPI</w:t>
            </w:r>
            <w:r w:rsidRPr="00C71CCB">
              <w:rPr>
                <w:rFonts w:ascii="Calibri" w:hAnsi="Calibri" w:cs="Calibri"/>
                <w:vertAlign w:val="superscript"/>
              </w:rPr>
              <w:t>(a)</w:t>
            </w:r>
          </w:p>
        </w:tc>
        <w:tc>
          <w:tcPr>
            <w:tcW w:w="1250" w:type="dxa"/>
          </w:tcPr>
          <w:p w14:paraId="22DBBD43" w14:textId="77777777" w:rsidR="00665C76" w:rsidRPr="00C71CCB" w:rsidRDefault="00665C76" w:rsidP="008D7C73">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71CCB">
              <w:rPr>
                <w:rFonts w:ascii="Calibri" w:hAnsi="Calibri" w:cs="Calibri"/>
              </w:rPr>
              <w:t>3.50</w:t>
            </w:r>
          </w:p>
        </w:tc>
        <w:tc>
          <w:tcPr>
            <w:tcW w:w="1251" w:type="dxa"/>
          </w:tcPr>
          <w:p w14:paraId="62F882B0" w14:textId="77777777" w:rsidR="00665C76" w:rsidRPr="00C71CCB" w:rsidRDefault="00665C76" w:rsidP="008D7C73">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71CCB">
              <w:rPr>
                <w:rFonts w:ascii="Calibri" w:hAnsi="Calibri" w:cs="Calibri"/>
              </w:rPr>
              <w:t>3.50</w:t>
            </w:r>
          </w:p>
        </w:tc>
        <w:tc>
          <w:tcPr>
            <w:tcW w:w="1251" w:type="dxa"/>
          </w:tcPr>
          <w:p w14:paraId="72BA817C" w14:textId="77777777" w:rsidR="00665C76" w:rsidRPr="00C71CCB" w:rsidRDefault="00665C76" w:rsidP="008D7C73">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71CCB">
              <w:rPr>
                <w:rFonts w:ascii="Calibri" w:hAnsi="Calibri" w:cs="Calibri"/>
              </w:rPr>
              <w:t>3.50</w:t>
            </w:r>
          </w:p>
        </w:tc>
        <w:tc>
          <w:tcPr>
            <w:tcW w:w="1251" w:type="dxa"/>
          </w:tcPr>
          <w:p w14:paraId="7806734C" w14:textId="77777777" w:rsidR="00665C76" w:rsidRPr="00C71CCB" w:rsidRDefault="00665C76" w:rsidP="008D7C73">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71CCB">
              <w:rPr>
                <w:rFonts w:ascii="Calibri" w:hAnsi="Calibri" w:cs="Calibri"/>
              </w:rPr>
              <w:t>3.25</w:t>
            </w:r>
          </w:p>
        </w:tc>
        <w:tc>
          <w:tcPr>
            <w:tcW w:w="1251" w:type="dxa"/>
          </w:tcPr>
          <w:p w14:paraId="2A821130" w14:textId="77777777" w:rsidR="00665C76" w:rsidRPr="00C71CCB" w:rsidRDefault="00665C76" w:rsidP="008D7C73">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71CCB">
              <w:rPr>
                <w:rFonts w:ascii="Calibri" w:hAnsi="Calibri" w:cs="Calibri"/>
              </w:rPr>
              <w:t>3.25</w:t>
            </w:r>
          </w:p>
        </w:tc>
      </w:tr>
    </w:tbl>
    <w:p w14:paraId="7EC52372" w14:textId="77777777" w:rsidR="00665C76" w:rsidRDefault="00665C76" w:rsidP="00665C76">
      <w:pPr>
        <w:pStyle w:val="09Sourcesandnotesfortablesfiguresboxes"/>
      </w:pPr>
      <w:r>
        <w:t>Notes: (a) Percentage change in year-average terms compared with the previous year. (b) Year average.</w:t>
      </w:r>
    </w:p>
    <w:p w14:paraId="6BEDD634" w14:textId="6A9DF5DA" w:rsidR="00665C76" w:rsidRDefault="00665C76" w:rsidP="00665C76">
      <w:pPr>
        <w:pStyle w:val="09Sourcesandnotesfortablesfiguresboxes"/>
      </w:pPr>
      <w:r>
        <w:t xml:space="preserve">Source: </w:t>
      </w:r>
      <w:r w:rsidRPr="00A05F4E">
        <w:t xml:space="preserve">DTF (2023), </w:t>
      </w:r>
      <w:r w:rsidRPr="00A05F4E">
        <w:rPr>
          <w:i/>
          <w:iCs/>
        </w:rPr>
        <w:t>Budget Paper No. 2: Strategy and Outlook</w:t>
      </w:r>
      <w:r w:rsidRPr="00A05F4E">
        <w:t>, p. 22.</w:t>
      </w:r>
    </w:p>
    <w:p w14:paraId="1E3F8A98" w14:textId="6D7527CF" w:rsidR="00665C76" w:rsidRDefault="00665C76" w:rsidP="00665C76">
      <w:pPr>
        <w:pStyle w:val="05Paragraph"/>
      </w:pPr>
      <w:r>
        <w:t xml:space="preserve">The Victorian Budget noted that risks to Victoria’s economic outlook remain higher than normal. In terms of upside risks, the tight labour market could lead to higher than expected growth in household consumption. On the other hand, a downside risk is that persistent high inflation could become self-sustaining if inflation expectations become de-anchored and firms and employees ‘build these </w:t>
      </w:r>
      <w:r>
        <w:lastRenderedPageBreak/>
        <w:t>higher expectations into their wage bargaining and price</w:t>
      </w:r>
      <w:r>
        <w:noBreakHyphen/>
        <w:t>setting behaviour’. This could in turn lead the RBA to raise interest rates further or leave them higher for longer, which would weigh on economic activity. Globally, there is a risk that further escalation in the conflict between Russia and Ukraine could ‘further destabilise energy prices and elevate geopolitical tensions’.</w:t>
      </w:r>
      <w:r w:rsidR="00683533">
        <w:rPr>
          <w:rFonts w:ascii="ZWAdobeF" w:hAnsi="ZWAdobeF" w:cs="ZWAdobeF"/>
          <w:color w:val="auto"/>
          <w:sz w:val="2"/>
          <w:szCs w:val="2"/>
        </w:rPr>
        <w:t>53F</w:t>
      </w:r>
      <w:r w:rsidR="0017105B">
        <w:rPr>
          <w:rFonts w:ascii="ZWAdobeF" w:hAnsi="ZWAdobeF" w:cs="ZWAdobeF"/>
          <w:color w:val="auto"/>
          <w:sz w:val="2"/>
          <w:szCs w:val="2"/>
        </w:rPr>
        <w:t>53F</w:t>
      </w:r>
      <w:r>
        <w:rPr>
          <w:rStyle w:val="FootnoteReference"/>
        </w:rPr>
        <w:footnoteReference w:id="55"/>
      </w:r>
    </w:p>
    <w:p w14:paraId="06B4ACE2" w14:textId="3F322145" w:rsidR="00665C76" w:rsidRDefault="000853D4" w:rsidP="00475ABA">
      <w:pPr>
        <w:pStyle w:val="02VIRTHeading2"/>
      </w:pPr>
      <w:bookmarkStart w:id="47" w:name="_Toc137643846"/>
      <w:bookmarkStart w:id="48" w:name="_Toc139011822"/>
      <w:r>
        <w:t>A.2</w:t>
      </w:r>
      <w:r w:rsidR="00475ABA">
        <w:tab/>
      </w:r>
      <w:r w:rsidR="00665C76">
        <w:t>Financial position and fiscal strategy of the State of Victoria</w:t>
      </w:r>
      <w:bookmarkEnd w:id="47"/>
      <w:bookmarkEnd w:id="48"/>
    </w:p>
    <w:p w14:paraId="5C590E66" w14:textId="77777777" w:rsidR="00665C76" w:rsidRPr="00B15A1F" w:rsidRDefault="00665C76" w:rsidP="00665C76">
      <w:pPr>
        <w:pStyle w:val="05Paragraph"/>
      </w:pPr>
      <w:r w:rsidRPr="00B15A1F">
        <w:t xml:space="preserve">The Tribunal’s </w:t>
      </w:r>
      <w:r>
        <w:t>analysis</w:t>
      </w:r>
      <w:r w:rsidRPr="00B15A1F">
        <w:t xml:space="preserve"> of the financial position and fiscal strategy of the State of Victoria has been informed by the Victorian Budget</w:t>
      </w:r>
      <w:r>
        <w:t>, including</w:t>
      </w:r>
      <w:r w:rsidRPr="00B15A1F">
        <w:t xml:space="preserve"> the latest </w:t>
      </w:r>
      <w:r>
        <w:t>quarterly financial statement</w:t>
      </w:r>
      <w:r w:rsidRPr="00B15A1F">
        <w:t>.</w:t>
      </w:r>
    </w:p>
    <w:p w14:paraId="5F8A5703" w14:textId="42851D5F" w:rsidR="00665C76" w:rsidRDefault="00665C76" w:rsidP="00665C76">
      <w:pPr>
        <w:pStyle w:val="05Paragraph"/>
      </w:pPr>
      <w:r>
        <w:t>According to the Victorian Budget, the general government sector recorded an operating deficit of $2.9 billion for the nine months to 31 March 2023. Total revenue increased by $2.1 billion compared to the corresponding period in the previous financial year. This was driven by a 9 per cent increase in taxation revenue, and partially offset by a decrease in grants revenue. Total expenses decreased by $4.4 billion compared to the corresponding period in the previous financial year due to the winding down of business support measures introduced in response to COVID-19.</w:t>
      </w:r>
      <w:r w:rsidR="00683533">
        <w:rPr>
          <w:rFonts w:ascii="ZWAdobeF" w:hAnsi="ZWAdobeF" w:cs="ZWAdobeF"/>
          <w:color w:val="auto"/>
          <w:sz w:val="2"/>
          <w:szCs w:val="2"/>
        </w:rPr>
        <w:t>54F</w:t>
      </w:r>
      <w:r w:rsidR="0017105B">
        <w:rPr>
          <w:rFonts w:ascii="ZWAdobeF" w:hAnsi="ZWAdobeF" w:cs="ZWAdobeF"/>
          <w:color w:val="auto"/>
          <w:sz w:val="2"/>
          <w:szCs w:val="2"/>
        </w:rPr>
        <w:t>54F</w:t>
      </w:r>
      <w:r>
        <w:rPr>
          <w:rStyle w:val="FootnoteReference"/>
        </w:rPr>
        <w:footnoteReference w:id="56"/>
      </w:r>
    </w:p>
    <w:p w14:paraId="593906DF" w14:textId="07C49204" w:rsidR="00665C76" w:rsidRPr="00475ABA" w:rsidRDefault="00665C76" w:rsidP="00C36A4C">
      <w:pPr>
        <w:pStyle w:val="05Paragraph"/>
        <w:spacing w:after="180"/>
        <w:rPr>
          <w:spacing w:val="-4"/>
        </w:rPr>
      </w:pPr>
      <w:r w:rsidRPr="00475ABA">
        <w:rPr>
          <w:spacing w:val="-4"/>
        </w:rPr>
        <w:t xml:space="preserve">The Victorian Budget reiterated the Victorian Government’s four-step fiscal strategy, first outlined in the </w:t>
      </w:r>
      <w:r w:rsidRPr="00475ABA">
        <w:rPr>
          <w:i/>
          <w:iCs/>
          <w:spacing w:val="-4"/>
        </w:rPr>
        <w:t>Victorian Budget 2020/21</w:t>
      </w:r>
      <w:r w:rsidRPr="00475ABA">
        <w:rPr>
          <w:spacing w:val="-4"/>
        </w:rPr>
        <w:t xml:space="preserve"> in response to the COVID</w:t>
      </w:r>
      <w:r w:rsidRPr="00475ABA">
        <w:rPr>
          <w:spacing w:val="-4"/>
        </w:rPr>
        <w:noBreakHyphen/>
        <w:t>19 pandemic:</w:t>
      </w:r>
      <w:r w:rsidR="00683533">
        <w:rPr>
          <w:rFonts w:ascii="ZWAdobeF" w:hAnsi="ZWAdobeF" w:cs="ZWAdobeF"/>
          <w:color w:val="auto"/>
          <w:sz w:val="2"/>
          <w:szCs w:val="2"/>
        </w:rPr>
        <w:t>55F</w:t>
      </w:r>
      <w:r w:rsidR="0017105B">
        <w:rPr>
          <w:rFonts w:ascii="ZWAdobeF" w:hAnsi="ZWAdobeF" w:cs="ZWAdobeF"/>
          <w:color w:val="auto"/>
          <w:sz w:val="2"/>
          <w:szCs w:val="2"/>
        </w:rPr>
        <w:t>55F</w:t>
      </w:r>
      <w:r w:rsidRPr="00475ABA">
        <w:rPr>
          <w:rStyle w:val="FootnoteReference"/>
          <w:spacing w:val="-4"/>
        </w:rPr>
        <w:footnoteReference w:id="57"/>
      </w:r>
    </w:p>
    <w:p w14:paraId="7BC991B8" w14:textId="77777777" w:rsidR="00665C76" w:rsidRPr="00475ABA" w:rsidRDefault="00665C76" w:rsidP="00C36A4C">
      <w:pPr>
        <w:pStyle w:val="06VIRTBulletpoints"/>
        <w:spacing w:after="180"/>
        <w:ind w:left="357" w:hanging="357"/>
        <w:rPr>
          <w:spacing w:val="-4"/>
        </w:rPr>
      </w:pPr>
      <w:r w:rsidRPr="00475ABA">
        <w:rPr>
          <w:spacing w:val="-4"/>
        </w:rPr>
        <w:t>Step 1 — creating jobs, reducing unemployment and restoring economic growth</w:t>
      </w:r>
    </w:p>
    <w:p w14:paraId="7EE83195" w14:textId="77777777" w:rsidR="00665C76" w:rsidRPr="00475ABA" w:rsidRDefault="00665C76" w:rsidP="00C36A4C">
      <w:pPr>
        <w:pStyle w:val="06VIRTBulletpoints"/>
        <w:spacing w:after="180"/>
        <w:ind w:left="357" w:hanging="357"/>
        <w:rPr>
          <w:spacing w:val="-4"/>
        </w:rPr>
      </w:pPr>
      <w:r w:rsidRPr="00475ABA">
        <w:rPr>
          <w:spacing w:val="-4"/>
        </w:rPr>
        <w:t>Step 2 — returning to an operating cash surplus</w:t>
      </w:r>
    </w:p>
    <w:p w14:paraId="2CC31724" w14:textId="77777777" w:rsidR="00665C76" w:rsidRPr="00475ABA" w:rsidRDefault="00665C76" w:rsidP="00C36A4C">
      <w:pPr>
        <w:pStyle w:val="06VIRTBulletpoints"/>
        <w:spacing w:after="180"/>
        <w:ind w:left="357" w:hanging="357"/>
        <w:rPr>
          <w:spacing w:val="-4"/>
        </w:rPr>
      </w:pPr>
      <w:r w:rsidRPr="00475ABA">
        <w:rPr>
          <w:spacing w:val="-4"/>
        </w:rPr>
        <w:t>Step 3 — returning to operating surpluses</w:t>
      </w:r>
    </w:p>
    <w:p w14:paraId="535B9D37" w14:textId="77777777" w:rsidR="00665C76" w:rsidRPr="00475ABA" w:rsidRDefault="00665C76" w:rsidP="00C36A4C">
      <w:pPr>
        <w:pStyle w:val="06VIRTBulletpoints"/>
        <w:spacing w:after="180"/>
        <w:ind w:left="357" w:hanging="357"/>
        <w:rPr>
          <w:spacing w:val="-4"/>
        </w:rPr>
      </w:pPr>
      <w:r w:rsidRPr="00475ABA">
        <w:rPr>
          <w:spacing w:val="-4"/>
        </w:rPr>
        <w:t>Step 4 — stabilising debt levels.</w:t>
      </w:r>
    </w:p>
    <w:p w14:paraId="7CAB1859" w14:textId="1B226864" w:rsidR="00665C76" w:rsidRDefault="00665C76" w:rsidP="00475ABA">
      <w:pPr>
        <w:pStyle w:val="05Paragraph"/>
        <w:widowControl w:val="0"/>
        <w:spacing w:after="180"/>
      </w:pPr>
      <w:r>
        <w:t>To support its fiscal strategy, the Victorian Government announced a COVID-19 Debt Repayment Plan to help pay down debt incurred as a result of the response to the COVID-19 pandemic, estimated at $31.5 billion. The plan includes a range of revenue and savings measures over 10 years.</w:t>
      </w:r>
      <w:r w:rsidR="00683533">
        <w:rPr>
          <w:rFonts w:ascii="ZWAdobeF" w:hAnsi="ZWAdobeF" w:cs="ZWAdobeF"/>
          <w:color w:val="auto"/>
          <w:sz w:val="2"/>
          <w:szCs w:val="2"/>
        </w:rPr>
        <w:t>56F</w:t>
      </w:r>
      <w:r w:rsidR="0017105B">
        <w:rPr>
          <w:rFonts w:ascii="ZWAdobeF" w:hAnsi="ZWAdobeF" w:cs="ZWAdobeF"/>
          <w:color w:val="auto"/>
          <w:sz w:val="2"/>
          <w:szCs w:val="2"/>
        </w:rPr>
        <w:t>56F</w:t>
      </w:r>
      <w:r>
        <w:rPr>
          <w:rStyle w:val="FootnoteReference"/>
        </w:rPr>
        <w:footnoteReference w:id="58"/>
      </w:r>
    </w:p>
    <w:p w14:paraId="4AD21893" w14:textId="120B7C01" w:rsidR="00665C76" w:rsidRDefault="00665C76" w:rsidP="00551EAC">
      <w:pPr>
        <w:pStyle w:val="05Paragraph"/>
        <w:spacing w:after="180"/>
      </w:pPr>
      <w:r>
        <w:lastRenderedPageBreak/>
        <w:t>One of these is the introduction of a temporary COVID-19 Debt Levy, which will levy additional payroll tax on businesses with national payrolls above $10 million per year, decrease the tax</w:t>
      </w:r>
      <w:r>
        <w:noBreakHyphen/>
        <w:t>free threshold for general land taxes and adjust fixed charges and land tax rates. These measures are expected to raise $8.6 billion over four years, with the levy expected to end on 30 June 2033.</w:t>
      </w:r>
      <w:r w:rsidR="00683533">
        <w:rPr>
          <w:rFonts w:ascii="ZWAdobeF" w:hAnsi="ZWAdobeF" w:cs="ZWAdobeF"/>
          <w:color w:val="auto"/>
          <w:sz w:val="2"/>
          <w:szCs w:val="2"/>
        </w:rPr>
        <w:t>57F</w:t>
      </w:r>
      <w:r w:rsidR="0017105B">
        <w:rPr>
          <w:rFonts w:ascii="ZWAdobeF" w:hAnsi="ZWAdobeF" w:cs="ZWAdobeF"/>
          <w:color w:val="auto"/>
          <w:sz w:val="2"/>
          <w:szCs w:val="2"/>
        </w:rPr>
        <w:t>57F</w:t>
      </w:r>
      <w:r>
        <w:rPr>
          <w:rStyle w:val="FootnoteReference"/>
        </w:rPr>
        <w:footnoteReference w:id="59"/>
      </w:r>
    </w:p>
    <w:p w14:paraId="79059E2F" w14:textId="5DA0E444" w:rsidR="00665C76" w:rsidRDefault="00665C76" w:rsidP="00551EAC">
      <w:pPr>
        <w:pStyle w:val="05Paragraph"/>
        <w:spacing w:after="180"/>
      </w:pPr>
      <w:r>
        <w:t>The Victorian Government also announced a range of savings and efficiency initiatives to be implemented across the public sector, including reductions in the number of Victorian Public Service staff across corporate and back office functions. Further savings will be achieved via reductions in labour hire and consultancy expenditure and efficiencies across public non-financial corporations and public financial corporations. In total, these measures are expected to save $2.1 billion over four years.</w:t>
      </w:r>
      <w:r w:rsidR="00683533">
        <w:rPr>
          <w:rFonts w:ascii="ZWAdobeF" w:hAnsi="ZWAdobeF" w:cs="ZWAdobeF"/>
          <w:color w:val="auto"/>
          <w:sz w:val="2"/>
          <w:szCs w:val="2"/>
        </w:rPr>
        <w:t>58F</w:t>
      </w:r>
      <w:r w:rsidR="0017105B">
        <w:rPr>
          <w:rFonts w:ascii="ZWAdobeF" w:hAnsi="ZWAdobeF" w:cs="ZWAdobeF"/>
          <w:color w:val="auto"/>
          <w:sz w:val="2"/>
          <w:szCs w:val="2"/>
        </w:rPr>
        <w:t>58F</w:t>
      </w:r>
      <w:r>
        <w:rPr>
          <w:rStyle w:val="FootnoteReference"/>
        </w:rPr>
        <w:footnoteReference w:id="60"/>
      </w:r>
    </w:p>
    <w:p w14:paraId="679268A8" w14:textId="1CD41C8C" w:rsidR="00665C76" w:rsidRPr="008E1989" w:rsidRDefault="00665C76" w:rsidP="00551EAC">
      <w:pPr>
        <w:pStyle w:val="05Paragraph"/>
        <w:spacing w:after="180"/>
      </w:pPr>
      <w:r>
        <w:t>An operating deficit for the general government sector of $10.3 billion is forecast for 2022-23, with smaller deficits forecast for the following years before an expected return to an operating surplus in 2025-26. Meanwhile, an operating cash flow surplus of $2.9 billion is forecast for 2022-23.</w:t>
      </w:r>
      <w:r w:rsidR="00683533">
        <w:rPr>
          <w:rFonts w:ascii="ZWAdobeF" w:hAnsi="ZWAdobeF" w:cs="ZWAdobeF"/>
          <w:color w:val="auto"/>
          <w:sz w:val="2"/>
          <w:szCs w:val="2"/>
        </w:rPr>
        <w:t>59F</w:t>
      </w:r>
      <w:r w:rsidR="0017105B">
        <w:rPr>
          <w:rFonts w:ascii="ZWAdobeF" w:hAnsi="ZWAdobeF" w:cs="ZWAdobeF"/>
          <w:color w:val="auto"/>
          <w:sz w:val="2"/>
          <w:szCs w:val="2"/>
        </w:rPr>
        <w:t>59F</w:t>
      </w:r>
      <w:r>
        <w:rPr>
          <w:rStyle w:val="FootnoteReference"/>
        </w:rPr>
        <w:footnoteReference w:id="61"/>
      </w:r>
      <w:r>
        <w:t xml:space="preserve"> Net debt for the general government sector was approximately $108 billion at 31 March 2023,</w:t>
      </w:r>
      <w:r w:rsidR="00683533">
        <w:rPr>
          <w:rFonts w:ascii="ZWAdobeF" w:hAnsi="ZWAdobeF" w:cs="ZWAdobeF"/>
          <w:color w:val="auto"/>
          <w:sz w:val="2"/>
          <w:szCs w:val="2"/>
        </w:rPr>
        <w:t>60F</w:t>
      </w:r>
      <w:r w:rsidR="0017105B">
        <w:rPr>
          <w:rFonts w:ascii="ZWAdobeF" w:hAnsi="ZWAdobeF" w:cs="ZWAdobeF"/>
          <w:color w:val="auto"/>
          <w:sz w:val="2"/>
          <w:szCs w:val="2"/>
        </w:rPr>
        <w:t>60F</w:t>
      </w:r>
      <w:r>
        <w:rPr>
          <w:rStyle w:val="FootnoteReference"/>
        </w:rPr>
        <w:footnoteReference w:id="62"/>
      </w:r>
      <w:r>
        <w:t xml:space="preserve"> and is forecast to increase to around $171 billion (24.5 per cent of GSP) by June 2027.</w:t>
      </w:r>
      <w:r w:rsidR="00683533">
        <w:rPr>
          <w:rFonts w:ascii="ZWAdobeF" w:hAnsi="ZWAdobeF" w:cs="ZWAdobeF"/>
          <w:color w:val="auto"/>
          <w:sz w:val="2"/>
          <w:szCs w:val="2"/>
        </w:rPr>
        <w:t>61F</w:t>
      </w:r>
      <w:r w:rsidR="0017105B">
        <w:rPr>
          <w:rFonts w:ascii="ZWAdobeF" w:hAnsi="ZWAdobeF" w:cs="ZWAdobeF"/>
          <w:color w:val="auto"/>
          <w:sz w:val="2"/>
          <w:szCs w:val="2"/>
        </w:rPr>
        <w:t>61F</w:t>
      </w:r>
      <w:r>
        <w:rPr>
          <w:rStyle w:val="FootnoteReference"/>
        </w:rPr>
        <w:footnoteReference w:id="63"/>
      </w:r>
    </w:p>
    <w:p w14:paraId="30F393FF" w14:textId="05236EAC" w:rsidR="00F379CB" w:rsidRPr="00FB2036" w:rsidRDefault="000853D4" w:rsidP="004739CB">
      <w:pPr>
        <w:pStyle w:val="02VIRTHeading2"/>
        <w:keepNext w:val="0"/>
      </w:pPr>
      <w:bookmarkStart w:id="49" w:name="_Toc139011823"/>
      <w:r>
        <w:t>A.3</w:t>
      </w:r>
      <w:r w:rsidR="00E65E53">
        <w:tab/>
      </w:r>
      <w:r w:rsidR="00F379CB" w:rsidRPr="00FB2036">
        <w:t>Wages Policy</w:t>
      </w:r>
      <w:bookmarkEnd w:id="49"/>
    </w:p>
    <w:p w14:paraId="0B815AEE" w14:textId="1057D7DE" w:rsidR="00F379CB" w:rsidRPr="007D3696" w:rsidRDefault="00F379CB" w:rsidP="00F379CB">
      <w:pPr>
        <w:spacing w:before="180" w:after="0" w:line="276" w:lineRule="auto"/>
        <w:jc w:val="both"/>
        <w:rPr>
          <w:rFonts w:ascii="Calibri" w:hAnsi="Calibri" w:cs="Calibri"/>
          <w:color w:val="000000" w:themeColor="text1"/>
          <w:sz w:val="26"/>
          <w:szCs w:val="20"/>
        </w:rPr>
      </w:pPr>
      <w:r w:rsidRPr="007D3696">
        <w:rPr>
          <w:rFonts w:ascii="Calibri" w:hAnsi="Calibri" w:cs="Calibri"/>
          <w:color w:val="000000" w:themeColor="text1"/>
          <w:sz w:val="26"/>
          <w:szCs w:val="20"/>
        </w:rPr>
        <w:t xml:space="preserve">In April 2023, the Treasurer of Victoria announced the introduction of a new </w:t>
      </w:r>
      <w:r w:rsidRPr="007D3696">
        <w:rPr>
          <w:rFonts w:ascii="Calibri" w:hAnsi="Calibri" w:cs="Calibri"/>
          <w:i/>
          <w:iCs/>
          <w:color w:val="000000" w:themeColor="text1"/>
          <w:sz w:val="26"/>
          <w:szCs w:val="20"/>
        </w:rPr>
        <w:t>Victorian Public Sector Wages Policy</w:t>
      </w:r>
      <w:r w:rsidRPr="007D3696">
        <w:rPr>
          <w:rFonts w:ascii="Calibri" w:hAnsi="Calibri" w:cs="Calibri"/>
          <w:color w:val="000000" w:themeColor="text1"/>
          <w:sz w:val="26"/>
          <w:szCs w:val="20"/>
        </w:rPr>
        <w:t xml:space="preserve"> (Wages Policy), with immediate effect.</w:t>
      </w:r>
      <w:r w:rsidR="00683533">
        <w:rPr>
          <w:rFonts w:ascii="ZWAdobeF" w:hAnsi="ZWAdobeF" w:cs="ZWAdobeF"/>
          <w:color w:val="auto"/>
          <w:sz w:val="2"/>
          <w:szCs w:val="2"/>
        </w:rPr>
        <w:t>62F</w:t>
      </w:r>
      <w:r w:rsidR="0017105B">
        <w:rPr>
          <w:rFonts w:ascii="ZWAdobeF" w:hAnsi="ZWAdobeF" w:cs="ZWAdobeF"/>
          <w:color w:val="auto"/>
          <w:sz w:val="2"/>
          <w:szCs w:val="2"/>
        </w:rPr>
        <w:t>62F</w:t>
      </w:r>
      <w:r w:rsidRPr="007D3696">
        <w:rPr>
          <w:rFonts w:ascii="Calibri" w:hAnsi="Calibri" w:cs="Calibri"/>
          <w:color w:val="000000" w:themeColor="text1"/>
          <w:sz w:val="26"/>
          <w:szCs w:val="20"/>
          <w:vertAlign w:val="superscript"/>
        </w:rPr>
        <w:footnoteReference w:id="64"/>
      </w:r>
    </w:p>
    <w:p w14:paraId="7C8A2643" w14:textId="16B1A816" w:rsidR="00F379CB" w:rsidRDefault="00F379CB" w:rsidP="00F379CB">
      <w:pPr>
        <w:spacing w:before="180" w:after="0" w:line="276" w:lineRule="auto"/>
        <w:jc w:val="both"/>
        <w:rPr>
          <w:rFonts w:ascii="Calibri" w:hAnsi="Calibri" w:cs="Calibri"/>
          <w:color w:val="000000" w:themeColor="text1"/>
          <w:sz w:val="26"/>
          <w:szCs w:val="20"/>
        </w:rPr>
      </w:pPr>
      <w:r w:rsidRPr="007D3696">
        <w:rPr>
          <w:rFonts w:ascii="Calibri" w:hAnsi="Calibri" w:cs="Calibri"/>
          <w:color w:val="000000" w:themeColor="text1"/>
          <w:sz w:val="26"/>
          <w:szCs w:val="20"/>
        </w:rPr>
        <w:t>Box </w:t>
      </w:r>
      <w:r w:rsidR="00B00D86">
        <w:rPr>
          <w:rFonts w:ascii="Calibri" w:hAnsi="Calibri" w:cs="Calibri"/>
          <w:color w:val="000000" w:themeColor="text1"/>
          <w:sz w:val="26"/>
          <w:szCs w:val="20"/>
        </w:rPr>
        <w:t>A.</w:t>
      </w:r>
      <w:r w:rsidRPr="007D3696">
        <w:rPr>
          <w:rFonts w:ascii="Calibri" w:hAnsi="Calibri" w:cs="Calibri"/>
          <w:color w:val="000000" w:themeColor="text1"/>
          <w:sz w:val="26"/>
          <w:szCs w:val="20"/>
        </w:rPr>
        <w:t xml:space="preserve">1 summarises the key features of the new Wages Policy, which applies to enterprise agreements negotiated by public sector employers. </w:t>
      </w:r>
    </w:p>
    <w:p w14:paraId="2F4434B2" w14:textId="15010B2F" w:rsidR="00085AB8" w:rsidRPr="003E1DFD" w:rsidRDefault="00085AB8" w:rsidP="00732C9B">
      <w:pPr>
        <w:pStyle w:val="05Paragraph"/>
        <w:keepNext/>
        <w:rPr>
          <w:spacing w:val="-4"/>
        </w:rPr>
      </w:pPr>
      <w:r w:rsidRPr="003E1DFD">
        <w:rPr>
          <w:spacing w:val="-4"/>
        </w:rPr>
        <w:t>In particular, the new Wages Policy provides that:</w:t>
      </w:r>
      <w:r w:rsidR="00683533">
        <w:rPr>
          <w:rFonts w:ascii="ZWAdobeF" w:hAnsi="ZWAdobeF" w:cs="ZWAdobeF"/>
          <w:color w:val="auto"/>
          <w:sz w:val="2"/>
          <w:szCs w:val="2"/>
        </w:rPr>
        <w:t>63F</w:t>
      </w:r>
      <w:r w:rsidR="0017105B">
        <w:rPr>
          <w:rFonts w:ascii="ZWAdobeF" w:hAnsi="ZWAdobeF" w:cs="ZWAdobeF"/>
          <w:color w:val="auto"/>
          <w:sz w:val="2"/>
          <w:szCs w:val="2"/>
        </w:rPr>
        <w:t>63F</w:t>
      </w:r>
      <w:r w:rsidRPr="003E1DFD">
        <w:rPr>
          <w:rStyle w:val="FootnoteReference"/>
          <w:spacing w:val="-4"/>
        </w:rPr>
        <w:footnoteReference w:id="65"/>
      </w:r>
      <w:r w:rsidRPr="003E1DFD">
        <w:rPr>
          <w:spacing w:val="-4"/>
        </w:rPr>
        <w:t xml:space="preserve"> </w:t>
      </w:r>
    </w:p>
    <w:p w14:paraId="66A65C57" w14:textId="108667B0" w:rsidR="00085AB8" w:rsidRPr="003E1DFD" w:rsidRDefault="00085AB8" w:rsidP="00085AB8">
      <w:pPr>
        <w:pStyle w:val="06VIRTBulletpoints"/>
        <w:rPr>
          <w:spacing w:val="-4"/>
        </w:rPr>
      </w:pPr>
      <w:r w:rsidRPr="003E1DFD">
        <w:rPr>
          <w:spacing w:val="-4"/>
        </w:rPr>
        <w:t>increases in wages and conditions will be funded at a rate of growth of 3 per cent per annum over the life of the agreement</w:t>
      </w:r>
    </w:p>
    <w:p w14:paraId="7AC5CE43" w14:textId="51DD983D" w:rsidR="00085AB8" w:rsidRPr="003E1DFD" w:rsidRDefault="00085AB8" w:rsidP="00085AB8">
      <w:pPr>
        <w:pStyle w:val="06VIRTBulletpoints"/>
        <w:rPr>
          <w:spacing w:val="-4"/>
        </w:rPr>
      </w:pPr>
      <w:r w:rsidRPr="003E1DFD">
        <w:rPr>
          <w:spacing w:val="-4"/>
        </w:rPr>
        <w:lastRenderedPageBreak/>
        <w:t>in addition to annual wage increases, a separate lump sum cash payment will be available, equivalent to an additional 0.5 per cent of overall agreement costs.</w:t>
      </w:r>
    </w:p>
    <w:p w14:paraId="06AF95C0" w14:textId="66D7B6AD" w:rsidR="00F379CB" w:rsidRPr="00665C76" w:rsidRDefault="00F379CB" w:rsidP="00665C76">
      <w:pPr>
        <w:pStyle w:val="08Figuretableboxheading"/>
        <w:rPr>
          <w:lang w:val="en-US"/>
        </w:rPr>
      </w:pPr>
      <w:r w:rsidRPr="00665C76">
        <w:rPr>
          <w:lang w:val="en-US"/>
        </w:rPr>
        <w:t xml:space="preserve">Box </w:t>
      </w:r>
      <w:r w:rsidR="003C3503">
        <w:rPr>
          <w:lang w:val="en-US"/>
        </w:rPr>
        <w:t>A.</w:t>
      </w:r>
      <w:r w:rsidRPr="00665C76">
        <w:rPr>
          <w:lang w:val="en-US"/>
        </w:rPr>
        <w:t>1: Victorian Public Sector Wages Policy — summary</w:t>
      </w:r>
    </w:p>
    <w:p w14:paraId="1910980E" w14:textId="77777777" w:rsidR="00F379CB" w:rsidRPr="007D3696" w:rsidRDefault="00F379CB" w:rsidP="00F379CB">
      <w:pPr>
        <w:pStyle w:val="09Sourcesandnotesfortablesfiguresboxes"/>
      </w:pPr>
      <w:r w:rsidRPr="007D3696">
        <w:rPr>
          <w:rFonts w:ascii="Calibri Light" w:hAnsi="Calibri Light"/>
          <w:noProof/>
        </w:rPr>
        <mc:AlternateContent>
          <mc:Choice Requires="wps">
            <w:drawing>
              <wp:inline distT="0" distB="0" distL="0" distR="0" wp14:anchorId="58F7286C" wp14:editId="4D0A52CB">
                <wp:extent cx="5429250" cy="5951220"/>
                <wp:effectExtent l="0" t="0" r="19050" b="11430"/>
                <wp:docPr id="280" name="Text Box 280" descr="P768TB4#y1"/>
                <wp:cNvGraphicFramePr/>
                <a:graphic xmlns:a="http://schemas.openxmlformats.org/drawingml/2006/main">
                  <a:graphicData uri="http://schemas.microsoft.com/office/word/2010/wordprocessingShape">
                    <wps:wsp>
                      <wps:cNvSpPr txBox="1"/>
                      <wps:spPr>
                        <a:xfrm>
                          <a:off x="0" y="0"/>
                          <a:ext cx="5429250" cy="5951220"/>
                        </a:xfrm>
                        <a:prstGeom prst="rect">
                          <a:avLst/>
                        </a:prstGeom>
                        <a:solidFill>
                          <a:sysClr val="window" lastClr="FFFFFF"/>
                        </a:solidFill>
                        <a:ln w="19050">
                          <a:solidFill>
                            <a:srgbClr val="148A5D"/>
                          </a:solidFill>
                        </a:ln>
                      </wps:spPr>
                      <wps:txbx>
                        <w:txbxContent>
                          <w:p w14:paraId="22A8E65C" w14:textId="77777777" w:rsidR="00F379CB" w:rsidRPr="00D209D4" w:rsidRDefault="00F379CB" w:rsidP="00F379CB">
                            <w:pPr>
                              <w:pStyle w:val="12BoxText"/>
                              <w:spacing w:after="120"/>
                            </w:pPr>
                            <w:r w:rsidRPr="00D209D4">
                              <w:t xml:space="preserve">The Victorian </w:t>
                            </w:r>
                            <w:r>
                              <w:t>Public Sector</w:t>
                            </w:r>
                            <w:r w:rsidRPr="00D209D4">
                              <w:t xml:space="preserve"> Wages Policy has three pillars</w:t>
                            </w:r>
                            <w:r>
                              <w:t>:</w:t>
                            </w:r>
                          </w:p>
                          <w:p w14:paraId="449A190F" w14:textId="77777777" w:rsidR="00F379CB" w:rsidRPr="00EF53BC" w:rsidRDefault="00F379CB" w:rsidP="00F379CB">
                            <w:pPr>
                              <w:pStyle w:val="Bulletsinatable"/>
                              <w:numPr>
                                <w:ilvl w:val="0"/>
                                <w:numId w:val="0"/>
                              </w:numPr>
                              <w:spacing w:before="120" w:after="40"/>
                              <w:ind w:left="357" w:hanging="357"/>
                              <w:rPr>
                                <w:b/>
                                <w:bCs w:val="0"/>
                              </w:rPr>
                            </w:pPr>
                            <w:r w:rsidRPr="00CE2A65">
                              <w:rPr>
                                <w:b/>
                                <w:bCs w:val="0"/>
                              </w:rPr>
                              <w:t>Pillar 1: Wages</w:t>
                            </w:r>
                          </w:p>
                          <w:p w14:paraId="66C032C8" w14:textId="77777777" w:rsidR="00F379CB" w:rsidRDefault="00F379CB" w:rsidP="00F379CB">
                            <w:pPr>
                              <w:pStyle w:val="Bulletsinatable"/>
                            </w:pPr>
                            <w:r w:rsidRPr="00CE2A65">
                              <w:t>Increases in wages and conditions will be funded at a rate of growth of 3.0 per cent per annum over the life of the agreement. In practice, this means that employee wages and conditions will be allowed to grow at this rate.</w:t>
                            </w:r>
                          </w:p>
                          <w:p w14:paraId="766916CB" w14:textId="77777777" w:rsidR="00F379CB" w:rsidRDefault="00F379CB" w:rsidP="00F379CB">
                            <w:pPr>
                              <w:pStyle w:val="Bulletsinatable"/>
                            </w:pPr>
                            <w:r>
                              <w:t>In addition to annual wage increases, a separate lump sum, cash payment will be available equivalent to an additional 0.5 per cent of overall agreement costs which for the purposes of this policy means a per annum amount calculated on wages and wage</w:t>
                            </w:r>
                            <w:r>
                              <w:noBreakHyphen/>
                              <w:t>related conditions.</w:t>
                            </w:r>
                          </w:p>
                          <w:p w14:paraId="389C586A" w14:textId="77777777" w:rsidR="00F379CB" w:rsidRPr="00EF53BC" w:rsidRDefault="00F379CB" w:rsidP="00F379CB">
                            <w:pPr>
                              <w:pStyle w:val="Bulletsinatable"/>
                              <w:numPr>
                                <w:ilvl w:val="0"/>
                                <w:numId w:val="0"/>
                              </w:numPr>
                              <w:spacing w:before="120" w:after="40"/>
                              <w:ind w:left="357" w:hanging="357"/>
                              <w:rPr>
                                <w:b/>
                                <w:bCs w:val="0"/>
                              </w:rPr>
                            </w:pPr>
                            <w:r w:rsidRPr="00CE2A65">
                              <w:rPr>
                                <w:b/>
                                <w:bCs w:val="0"/>
                              </w:rPr>
                              <w:t>Pillar 2: Best Practice Employment Commitment</w:t>
                            </w:r>
                          </w:p>
                          <w:p w14:paraId="60F8BF49" w14:textId="77777777" w:rsidR="00F379CB" w:rsidRPr="004E3BB3" w:rsidRDefault="00F379CB" w:rsidP="00F379CB">
                            <w:pPr>
                              <w:pStyle w:val="Bulletsinatable"/>
                            </w:pPr>
                            <w:r w:rsidRPr="004E3BB3">
                              <w:t>Public sector agencies may make a Best Practice Employment Commitment which outlines measures to operationalise elements of the Government’s Public Sector Priorities</w:t>
                            </w:r>
                            <w:r w:rsidRPr="005A2CB4">
                              <w:rPr>
                                <w:vertAlign w:val="superscript"/>
                              </w:rPr>
                              <w:t>(a)</w:t>
                            </w:r>
                            <w:r w:rsidRPr="004E3BB3">
                              <w:t xml:space="preserve"> that reflect good practice within Government and can be implemented operationally or without significant costs.</w:t>
                            </w:r>
                          </w:p>
                          <w:p w14:paraId="41CF391F" w14:textId="77777777" w:rsidR="00F379CB" w:rsidRDefault="00F379CB" w:rsidP="00F379CB">
                            <w:pPr>
                              <w:pStyle w:val="Bulletsinatable"/>
                              <w:numPr>
                                <w:ilvl w:val="0"/>
                                <w:numId w:val="0"/>
                              </w:numPr>
                              <w:spacing w:before="120" w:after="40"/>
                              <w:ind w:left="357" w:hanging="357"/>
                              <w:rPr>
                                <w:b/>
                                <w:bCs w:val="0"/>
                              </w:rPr>
                            </w:pPr>
                            <w:r w:rsidRPr="00CE2A65">
                              <w:rPr>
                                <w:b/>
                                <w:bCs w:val="0"/>
                              </w:rPr>
                              <w:t>Pillar 3: Additional strategic changes</w:t>
                            </w:r>
                          </w:p>
                          <w:p w14:paraId="45CF3FCA" w14:textId="77777777" w:rsidR="00F379CB" w:rsidRPr="00F05684" w:rsidRDefault="00F379CB" w:rsidP="00F379CB">
                            <w:pPr>
                              <w:pStyle w:val="Bulletsinatable"/>
                            </w:pPr>
                            <w:r w:rsidRPr="00F05684">
                              <w:t>Additional changes to allowances and other conditions (not general wages) will only be allowed if Government agrees that the changes will address key operational or strategic priorities for the agency, and/or one or more of the Public Sector Priorities and provided the associated costs are funded through appropriate cash offsets or a government approved funding strategy.</w:t>
                            </w:r>
                          </w:p>
                          <w:p w14:paraId="3ACF06F1" w14:textId="77777777" w:rsidR="00F379CB" w:rsidRDefault="00F379CB" w:rsidP="00F379CB">
                            <w:pPr>
                              <w:pStyle w:val="12BoxText"/>
                            </w:pPr>
                            <w:r w:rsidRPr="00FE65FD">
                              <w:t xml:space="preserve">A ‘Secondary Pathway’ is also available for public sector agencies </w:t>
                            </w:r>
                            <w:r w:rsidRPr="00E352C9">
                              <w:t>whose current enterprise agreement reaches its nominal expiry date before 1 January 2024</w:t>
                            </w:r>
                            <w:r>
                              <w:t xml:space="preserve">, </w:t>
                            </w:r>
                            <w:r w:rsidRPr="00FE65FD">
                              <w:t xml:space="preserve">which permits </w:t>
                            </w:r>
                            <w:r>
                              <w:t>agreements to be made on the following terms:</w:t>
                            </w:r>
                          </w:p>
                          <w:p w14:paraId="334A2E3C" w14:textId="77777777" w:rsidR="00F379CB" w:rsidRDefault="00F379CB" w:rsidP="00F379CB">
                            <w:pPr>
                              <w:pStyle w:val="Bulletsinatable"/>
                            </w:pPr>
                            <w:r>
                              <w:t>wage and allowance increase funded at a rate of growth of 3.50 per cent per year, pro</w:t>
                            </w:r>
                            <w:r>
                              <w:noBreakHyphen/>
                              <w:t>rated</w:t>
                            </w:r>
                          </w:p>
                          <w:p w14:paraId="3FDC6FBD" w14:textId="77777777" w:rsidR="00F379CB" w:rsidRDefault="00F379CB" w:rsidP="00F379CB">
                            <w:pPr>
                              <w:pStyle w:val="Bulletsinatable"/>
                            </w:pPr>
                            <w:r>
                              <w:t>a nominal expiry date of between 12 to 18 months from the nominal expiry date of the current agreement</w:t>
                            </w:r>
                          </w:p>
                          <w:p w14:paraId="06B78B7E" w14:textId="77777777" w:rsidR="00F379CB" w:rsidRPr="00FE65FD" w:rsidRDefault="00F379CB" w:rsidP="00F379CB">
                            <w:pPr>
                              <w:pStyle w:val="Bulletsinatable"/>
                            </w:pPr>
                            <w:r>
                              <w:t>all other terms and conditions as contained in the current agreement, e</w:t>
                            </w:r>
                            <w:r w:rsidRPr="007D3696">
                              <w:t xml:space="preserve">xcept </w:t>
                            </w:r>
                            <w:r>
                              <w:t xml:space="preserve">for </w:t>
                            </w:r>
                            <w:r w:rsidRPr="007D3696">
                              <w:t>where a change is required under the Public Sector Industrial Relations Policies, to further mutually agreed whole</w:t>
                            </w:r>
                            <w:r w:rsidRPr="007D3696">
                              <w:noBreakHyphen/>
                              <w:t>of-Government initiatives, to resolve legal issues, or minor changes to improve the clarity of the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8F7286C" id="_x0000_t202" coordsize="21600,21600" o:spt="202" path="m,l,21600r21600,l21600,xe">
                <v:stroke joinstyle="miter"/>
                <v:path gradientshapeok="t" o:connecttype="rect"/>
              </v:shapetype>
              <v:shape id="Text Box 280" o:spid="_x0000_s1026" type="#_x0000_t202" alt="P768TB4#y1" style="width:427.5pt;height:46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" fillcolor="window" strokecolor="#148a5d" strokeweight="1.5pt">
                <v:textbox>
                  <w:txbxContent>
                    <w:p w14:paraId="22A8E65C" w14:textId="77777777" w:rsidR="00F379CB" w:rsidRPr="00D209D4" w:rsidRDefault="00F379CB" w:rsidP="00F379CB">
                      <w:pPr>
                        <w:pStyle w:val="12BoxText"/>
                        <w:spacing w:after="120"/>
                      </w:pPr>
                      <w:r w:rsidRPr="00D209D4">
                        <w:t xml:space="preserve">The Victorian </w:t>
                      </w:r>
                      <w:r>
                        <w:t>Public Sector</w:t>
                      </w:r>
                      <w:r w:rsidRPr="00D209D4">
                        <w:t xml:space="preserve"> Wages Policy has three pillars</w:t>
                      </w:r>
                      <w:r>
                        <w:t>:</w:t>
                      </w:r>
                    </w:p>
                    <w:p w14:paraId="449A190F" w14:textId="77777777" w:rsidR="00F379CB" w:rsidRPr="00EF53BC" w:rsidRDefault="00F379CB" w:rsidP="00F379CB">
                      <w:pPr>
                        <w:pStyle w:val="Bulletsinatable"/>
                        <w:numPr>
                          <w:ilvl w:val="0"/>
                          <w:numId w:val="0"/>
                        </w:numPr>
                        <w:spacing w:before="120" w:after="40"/>
                        <w:ind w:left="357" w:hanging="357"/>
                        <w:rPr>
                          <w:b/>
                          <w:bCs w:val="0"/>
                        </w:rPr>
                      </w:pPr>
                      <w:r w:rsidRPr="00CE2A65">
                        <w:rPr>
                          <w:b/>
                          <w:bCs w:val="0"/>
                        </w:rPr>
                        <w:t>Pillar 1: Wages</w:t>
                      </w:r>
                    </w:p>
                    <w:p w14:paraId="66C032C8" w14:textId="77777777" w:rsidR="00F379CB" w:rsidRDefault="00F379CB" w:rsidP="00F379CB">
                      <w:pPr>
                        <w:pStyle w:val="Bulletsinatable"/>
                      </w:pPr>
                      <w:r w:rsidRPr="00CE2A65">
                        <w:t>Increases in wages and conditions will be funded at a rate of growth of 3.0 per cent per annum over the life of the agreement. In practice, this means that employee wages and conditions will be allowed to grow at this rate.</w:t>
                      </w:r>
                    </w:p>
                    <w:p w14:paraId="766916CB" w14:textId="77777777" w:rsidR="00F379CB" w:rsidRDefault="00F379CB" w:rsidP="00F379CB">
                      <w:pPr>
                        <w:pStyle w:val="Bulletsinatable"/>
                      </w:pPr>
                      <w:r>
                        <w:t>In addition to annual wage increases, a separate lump sum, cash payment will be available equivalent to an additional 0.5 per cent of overall agreement costs which for the purposes of this policy means a per annum amount calculated on wages and wage</w:t>
                      </w:r>
                      <w:r>
                        <w:noBreakHyphen/>
                        <w:t>related conditions.</w:t>
                      </w:r>
                    </w:p>
                    <w:p w14:paraId="389C586A" w14:textId="77777777" w:rsidR="00F379CB" w:rsidRPr="00EF53BC" w:rsidRDefault="00F379CB" w:rsidP="00F379CB">
                      <w:pPr>
                        <w:pStyle w:val="Bulletsinatable"/>
                        <w:numPr>
                          <w:ilvl w:val="0"/>
                          <w:numId w:val="0"/>
                        </w:numPr>
                        <w:spacing w:before="120" w:after="40"/>
                        <w:ind w:left="357" w:hanging="357"/>
                        <w:rPr>
                          <w:b/>
                          <w:bCs w:val="0"/>
                        </w:rPr>
                      </w:pPr>
                      <w:r w:rsidRPr="00CE2A65">
                        <w:rPr>
                          <w:b/>
                          <w:bCs w:val="0"/>
                        </w:rPr>
                        <w:t>Pillar 2: Best Practice Employment Commitment</w:t>
                      </w:r>
                    </w:p>
                    <w:p w14:paraId="60F8BF49" w14:textId="77777777" w:rsidR="00F379CB" w:rsidRPr="004E3BB3" w:rsidRDefault="00F379CB" w:rsidP="00F379CB">
                      <w:pPr>
                        <w:pStyle w:val="Bulletsinatable"/>
                      </w:pPr>
                      <w:r w:rsidRPr="004E3BB3">
                        <w:t>Public sector agencies may make a Best Practice Employment Commitment which outlines measures to operationalise elements of the Government’s Public Sector Priorities</w:t>
                      </w:r>
                      <w:r w:rsidRPr="005A2CB4">
                        <w:rPr>
                          <w:vertAlign w:val="superscript"/>
                        </w:rPr>
                        <w:t>(a)</w:t>
                      </w:r>
                      <w:r w:rsidRPr="004E3BB3">
                        <w:t xml:space="preserve"> that reflect good practice within Government and can be implemented operationally or without significant costs.</w:t>
                      </w:r>
                    </w:p>
                    <w:p w14:paraId="41CF391F" w14:textId="77777777" w:rsidR="00F379CB" w:rsidRDefault="00F379CB" w:rsidP="00F379CB">
                      <w:pPr>
                        <w:pStyle w:val="Bulletsinatable"/>
                        <w:numPr>
                          <w:ilvl w:val="0"/>
                          <w:numId w:val="0"/>
                        </w:numPr>
                        <w:spacing w:before="120" w:after="40"/>
                        <w:ind w:left="357" w:hanging="357"/>
                        <w:rPr>
                          <w:b/>
                          <w:bCs w:val="0"/>
                        </w:rPr>
                      </w:pPr>
                      <w:r w:rsidRPr="00CE2A65">
                        <w:rPr>
                          <w:b/>
                          <w:bCs w:val="0"/>
                        </w:rPr>
                        <w:t>Pillar 3: Additional strategic changes</w:t>
                      </w:r>
                    </w:p>
                    <w:p w14:paraId="45CF3FCA" w14:textId="77777777" w:rsidR="00F379CB" w:rsidRPr="00F05684" w:rsidRDefault="00F379CB" w:rsidP="00F379CB">
                      <w:pPr>
                        <w:pStyle w:val="Bulletsinatable"/>
                      </w:pPr>
                      <w:r w:rsidRPr="00F05684">
                        <w:t>Additional changes to allowances and other conditions (not general wages) will only be allowed if Government agrees that the changes will address key operational or strategic priorities for the agency, and/or one or more of the Public Sector Priorities and provided the associated costs are funded through appropriate cash offsets or a government approved funding strategy.</w:t>
                      </w:r>
                    </w:p>
                    <w:p w14:paraId="3ACF06F1" w14:textId="77777777" w:rsidR="00F379CB" w:rsidRDefault="00F379CB" w:rsidP="00F379CB">
                      <w:pPr>
                        <w:pStyle w:val="12BoxText"/>
                      </w:pPr>
                      <w:r w:rsidRPr="00FE65FD">
                        <w:t xml:space="preserve">A ‘Secondary Pathway’ is also available for public sector agencies </w:t>
                      </w:r>
                      <w:r w:rsidRPr="00E352C9">
                        <w:t>whose current enterprise agreement reaches its nominal expiry date before 1 January 2024</w:t>
                      </w:r>
                      <w:r>
                        <w:t xml:space="preserve">, </w:t>
                      </w:r>
                      <w:r w:rsidRPr="00FE65FD">
                        <w:t xml:space="preserve">which permits </w:t>
                      </w:r>
                      <w:r>
                        <w:t>agreements to be made on the following terms:</w:t>
                      </w:r>
                    </w:p>
                    <w:p w14:paraId="334A2E3C" w14:textId="77777777" w:rsidR="00F379CB" w:rsidRDefault="00F379CB" w:rsidP="00F379CB">
                      <w:pPr>
                        <w:pStyle w:val="Bulletsinatable"/>
                      </w:pPr>
                      <w:r>
                        <w:t>wage and allowance increase funded at a rate of growth of 3.50 per cent per year, pro</w:t>
                      </w:r>
                      <w:r>
                        <w:noBreakHyphen/>
                        <w:t>rated</w:t>
                      </w:r>
                    </w:p>
                    <w:p w14:paraId="3FDC6FBD" w14:textId="77777777" w:rsidR="00F379CB" w:rsidRDefault="00F379CB" w:rsidP="00F379CB">
                      <w:pPr>
                        <w:pStyle w:val="Bulletsinatable"/>
                      </w:pPr>
                      <w:r>
                        <w:t>a nominal expiry date of between 12 to 18 months from the nominal expiry date of the current agreement</w:t>
                      </w:r>
                    </w:p>
                    <w:p w14:paraId="06B78B7E" w14:textId="77777777" w:rsidR="00F379CB" w:rsidRPr="00FE65FD" w:rsidRDefault="00F379CB" w:rsidP="00F379CB">
                      <w:pPr>
                        <w:pStyle w:val="Bulletsinatable"/>
                      </w:pPr>
                      <w:r>
                        <w:t>all other terms and conditions as contained in the current agreement, e</w:t>
                      </w:r>
                      <w:r w:rsidRPr="007D3696">
                        <w:t xml:space="preserve">xcept </w:t>
                      </w:r>
                      <w:r>
                        <w:t xml:space="preserve">for </w:t>
                      </w:r>
                      <w:r w:rsidRPr="007D3696">
                        <w:t>where a change is required under the Public Sector Industrial Relations Policies, to further mutually agreed whole</w:t>
                      </w:r>
                      <w:r w:rsidRPr="007D3696">
                        <w:noBreakHyphen/>
                        <w:t>of-Government initiatives, to resolve legal issues, or minor changes to improve the clarity of the agreement.</w:t>
                      </w:r>
                    </w:p>
                  </w:txbxContent>
                </v:textbox>
                <w10:anchorlock/>
              </v:shape>
            </w:pict>
          </mc:Fallback>
        </mc:AlternateContent>
      </w:r>
      <w:r w:rsidRPr="007D3696">
        <w:t>Note: (a) The Public Sector Priorities are: the delivery of exceptional services and value for Victorians; a professional and responsive public sector; government as a fair and best practice employer.</w:t>
      </w:r>
    </w:p>
    <w:p w14:paraId="509A8B4F" w14:textId="03A1A062" w:rsidR="005A6F84" w:rsidRDefault="00F379CB" w:rsidP="003E1DFD">
      <w:pPr>
        <w:pStyle w:val="09Sourcesandnotesfortablesfiguresboxes"/>
      </w:pPr>
      <w:r w:rsidRPr="007D3696">
        <w:t xml:space="preserve">Source: </w:t>
      </w:r>
      <w:bookmarkStart w:id="50" w:name="_Hlk138845528"/>
      <w:r w:rsidRPr="007D3696">
        <w:t>Industrial Relations Victoria (2023).</w:t>
      </w:r>
      <w:bookmarkEnd w:id="50"/>
    </w:p>
    <w:p w14:paraId="5A438C83" w14:textId="7D521272" w:rsidR="005A6F84" w:rsidRDefault="005A6F84" w:rsidP="005A6F84">
      <w:pPr>
        <w:pStyle w:val="05Paragraph"/>
        <w:sectPr w:rsidR="005A6F84" w:rsidSect="003045CA">
          <w:pgSz w:w="11906" w:h="16838"/>
          <w:pgMar w:top="1701" w:right="1701" w:bottom="1559" w:left="1701" w:header="708" w:footer="708" w:gutter="0"/>
          <w:cols w:space="708"/>
          <w:titlePg/>
          <w:docGrid w:linePitch="360"/>
        </w:sectPr>
      </w:pPr>
    </w:p>
    <w:p w14:paraId="44A542F0" w14:textId="15F8DBCB" w:rsidR="00051414" w:rsidRPr="00907DBA" w:rsidRDefault="00051414" w:rsidP="007B1F44">
      <w:pPr>
        <w:pStyle w:val="01Chapterheading"/>
      </w:pPr>
      <w:bookmarkStart w:id="51" w:name="_Toc139011824"/>
      <w:r>
        <w:lastRenderedPageBreak/>
        <w:t>References</w:t>
      </w:r>
      <w:bookmarkEnd w:id="51"/>
    </w:p>
    <w:p w14:paraId="39A63F10" w14:textId="77777777" w:rsidR="00F546B8" w:rsidRDefault="00F546B8" w:rsidP="00F546B8">
      <w:pPr>
        <w:pStyle w:val="05Paragraph"/>
        <w:ind w:left="720" w:hanging="720"/>
        <w:jc w:val="left"/>
      </w:pPr>
      <w:r w:rsidRPr="0086110F">
        <w:t xml:space="preserve">Australian Bureau of Statistics (ABS) (2022), </w:t>
      </w:r>
      <w:r w:rsidRPr="00BB62A9">
        <w:rPr>
          <w:i/>
          <w:iCs/>
        </w:rPr>
        <w:t>Australian National Accounts: State Accounts</w:t>
      </w:r>
      <w:r w:rsidRPr="006D63B8">
        <w:t xml:space="preserve">, </w:t>
      </w:r>
      <w:r>
        <w:t>2021-22 financial year.</w:t>
      </w:r>
    </w:p>
    <w:p w14:paraId="39CE2726" w14:textId="77777777" w:rsidR="00F546B8" w:rsidRDefault="00F546B8" w:rsidP="00F546B8">
      <w:pPr>
        <w:pStyle w:val="05Paragraph"/>
        <w:ind w:left="720" w:hanging="720"/>
        <w:jc w:val="left"/>
      </w:pPr>
      <w:r w:rsidRPr="005B51BA">
        <w:t>——— (202</w:t>
      </w:r>
      <w:r>
        <w:t>3a</w:t>
      </w:r>
      <w:r w:rsidRPr="005B51BA">
        <w:t>),</w:t>
      </w:r>
      <w:r>
        <w:t xml:space="preserve"> </w:t>
      </w:r>
      <w:r w:rsidRPr="00BB62A9">
        <w:rPr>
          <w:i/>
          <w:iCs/>
        </w:rPr>
        <w:t xml:space="preserve">Australian National Accounts: </w:t>
      </w:r>
      <w:r>
        <w:rPr>
          <w:i/>
          <w:iCs/>
        </w:rPr>
        <w:t>National Income, Expenditure and Product</w:t>
      </w:r>
      <w:r w:rsidRPr="006D63B8">
        <w:t xml:space="preserve">, </w:t>
      </w:r>
      <w:r>
        <w:t>March quarter 2023.</w:t>
      </w:r>
    </w:p>
    <w:p w14:paraId="34C0AA95" w14:textId="019359EC" w:rsidR="00F546B8" w:rsidRPr="005B51BA" w:rsidRDefault="00F546B8" w:rsidP="00F546B8">
      <w:pPr>
        <w:pStyle w:val="05Paragraph"/>
        <w:ind w:left="720" w:hanging="720"/>
        <w:jc w:val="left"/>
      </w:pPr>
      <w:r w:rsidRPr="005B51BA">
        <w:t xml:space="preserve">——— </w:t>
      </w:r>
      <w:r w:rsidRPr="000A3215">
        <w:t>(202</w:t>
      </w:r>
      <w:r w:rsidR="00A02BA6">
        <w:t>3</w:t>
      </w:r>
      <w:r>
        <w:t xml:space="preserve">b), </w:t>
      </w:r>
      <w:r w:rsidRPr="5FEAC238">
        <w:rPr>
          <w:i/>
        </w:rPr>
        <w:t>Average Weekly Earnings, Australia</w:t>
      </w:r>
      <w:r>
        <w:t xml:space="preserve">, </w:t>
      </w:r>
      <w:r w:rsidR="00B90061" w:rsidRPr="000A3215">
        <w:t>reference period</w:t>
      </w:r>
      <w:r w:rsidR="00B90061" w:rsidRPr="003A4B4D">
        <w:t xml:space="preserve"> </w:t>
      </w:r>
      <w:r w:rsidRPr="00B90061">
        <w:t>November 2022.</w:t>
      </w:r>
    </w:p>
    <w:p w14:paraId="5E5CDE6F" w14:textId="77777777" w:rsidR="00F546B8" w:rsidRDefault="00F546B8" w:rsidP="00F546B8">
      <w:pPr>
        <w:pStyle w:val="05Paragraph"/>
        <w:ind w:left="720" w:hanging="720"/>
        <w:jc w:val="left"/>
      </w:pPr>
      <w:r w:rsidRPr="005B51BA">
        <w:t>——— (202</w:t>
      </w:r>
      <w:r>
        <w:t>3c</w:t>
      </w:r>
      <w:r w:rsidRPr="005B51BA">
        <w:t xml:space="preserve">), </w:t>
      </w:r>
      <w:r w:rsidRPr="00BB62A9">
        <w:rPr>
          <w:i/>
          <w:iCs/>
        </w:rPr>
        <w:t>Consumer Price Index, Australia</w:t>
      </w:r>
      <w:r w:rsidRPr="005B51BA">
        <w:t xml:space="preserve">, March </w:t>
      </w:r>
      <w:r>
        <w:t xml:space="preserve">quarter </w:t>
      </w:r>
      <w:r w:rsidRPr="005B51BA">
        <w:t>202</w:t>
      </w:r>
      <w:r>
        <w:t>3</w:t>
      </w:r>
      <w:r w:rsidRPr="005B51BA">
        <w:t>.</w:t>
      </w:r>
    </w:p>
    <w:p w14:paraId="0A840227" w14:textId="5B51F706" w:rsidR="00CC5D3A" w:rsidRPr="00A763A5" w:rsidRDefault="00CC5D3A" w:rsidP="00F546B8">
      <w:pPr>
        <w:pStyle w:val="05Paragraph"/>
        <w:ind w:left="720" w:hanging="720"/>
        <w:jc w:val="left"/>
      </w:pPr>
      <w:r w:rsidRPr="00CC5D3A">
        <w:t xml:space="preserve">——— (2023d), </w:t>
      </w:r>
      <w:r w:rsidRPr="00A763A5">
        <w:rPr>
          <w:i/>
          <w:iCs/>
        </w:rPr>
        <w:t>Consumer Price Index, Australia, methodology</w:t>
      </w:r>
      <w:r w:rsidRPr="00CC5D3A">
        <w:t xml:space="preserve">, reference period March quarter 2023, </w:t>
      </w:r>
      <w:hyperlink r:id="rId26" w:history="1">
        <w:r w:rsidR="00A763A5" w:rsidRPr="00321C82">
          <w:rPr>
            <w:rStyle w:val="Hyperlink"/>
          </w:rPr>
          <w:t>https://www.abs.gov.au/methodologies/consumer-price-index-australia-methodology/mar-quarter-2023</w:t>
        </w:r>
      </w:hyperlink>
      <w:r w:rsidRPr="00CC5D3A">
        <w:t xml:space="preserve">, last updated 26 </w:t>
      </w:r>
      <w:r w:rsidRPr="00A763A5">
        <w:t>April 2023.</w:t>
      </w:r>
    </w:p>
    <w:p w14:paraId="2BCE2D08" w14:textId="0244EE99" w:rsidR="00F546B8" w:rsidRPr="00A763A5" w:rsidRDefault="00F546B8" w:rsidP="00F546B8">
      <w:pPr>
        <w:pStyle w:val="05Paragraph"/>
        <w:ind w:left="720" w:hanging="720"/>
        <w:jc w:val="left"/>
      </w:pPr>
      <w:r w:rsidRPr="00A763A5">
        <w:t>——— (2023</w:t>
      </w:r>
      <w:r w:rsidR="003F3BE5" w:rsidRPr="00A763A5">
        <w:t>e</w:t>
      </w:r>
      <w:r w:rsidRPr="00A763A5">
        <w:t xml:space="preserve">), </w:t>
      </w:r>
      <w:r w:rsidRPr="00A763A5">
        <w:rPr>
          <w:i/>
          <w:iCs/>
        </w:rPr>
        <w:t>Labour Force, Australia</w:t>
      </w:r>
      <w:r w:rsidRPr="00A763A5">
        <w:t>, May 2023.</w:t>
      </w:r>
    </w:p>
    <w:p w14:paraId="1FA2442E" w14:textId="222AF64A" w:rsidR="00F546B8" w:rsidRPr="00A763A5" w:rsidRDefault="00F546B8" w:rsidP="00F546B8">
      <w:pPr>
        <w:pStyle w:val="05Paragraph"/>
        <w:ind w:left="720" w:hanging="720"/>
        <w:jc w:val="left"/>
      </w:pPr>
      <w:r w:rsidRPr="00A763A5">
        <w:t>——— (2023</w:t>
      </w:r>
      <w:r w:rsidR="003F3BE5" w:rsidRPr="00A763A5">
        <w:t>f</w:t>
      </w:r>
      <w:r w:rsidRPr="00A763A5">
        <w:t xml:space="preserve">), </w:t>
      </w:r>
      <w:r w:rsidRPr="00A763A5">
        <w:rPr>
          <w:i/>
          <w:iCs/>
        </w:rPr>
        <w:t>Wage Price Index, Australia</w:t>
      </w:r>
      <w:r w:rsidRPr="00A763A5">
        <w:t>, March quarter 2023.</w:t>
      </w:r>
    </w:p>
    <w:p w14:paraId="19624490" w14:textId="4004298D" w:rsidR="37BCB70B" w:rsidRDefault="16DDB493" w:rsidP="37BCB70B">
      <w:pPr>
        <w:pStyle w:val="05Paragraph"/>
      </w:pPr>
      <w:r w:rsidRPr="00A763A5">
        <w:t>Commonwealth</w:t>
      </w:r>
      <w:r>
        <w:t xml:space="preserve"> of Australia (2023), </w:t>
      </w:r>
      <w:r w:rsidRPr="003F3BE5">
        <w:rPr>
          <w:i/>
          <w:iCs/>
        </w:rPr>
        <w:t>Budget 2023-24</w:t>
      </w:r>
      <w:r>
        <w:t>.</w:t>
      </w:r>
    </w:p>
    <w:p w14:paraId="649AAD52" w14:textId="7A5DA210" w:rsidR="00A70967" w:rsidRPr="00C445D1" w:rsidRDefault="00A70967" w:rsidP="002229FF">
      <w:pPr>
        <w:pStyle w:val="05Paragraph"/>
      </w:pPr>
      <w:r w:rsidRPr="00C445D1">
        <w:t>Department of Employment and Workplace Relations (Cth)</w:t>
      </w:r>
      <w:r w:rsidR="00AD0D7D" w:rsidRPr="00C445D1">
        <w:t xml:space="preserve"> (202</w:t>
      </w:r>
      <w:r w:rsidR="00C445D1">
        <w:t>3</w:t>
      </w:r>
      <w:r w:rsidR="00AD0D7D" w:rsidRPr="00C445D1">
        <w:t xml:space="preserve">), </w:t>
      </w:r>
      <w:r w:rsidR="00AD0D7D" w:rsidRPr="00C445D1">
        <w:rPr>
          <w:i/>
        </w:rPr>
        <w:t xml:space="preserve">Trends in Federal Enterprise Bargaining – </w:t>
      </w:r>
      <w:r w:rsidR="00C445D1">
        <w:rPr>
          <w:i/>
          <w:iCs/>
        </w:rPr>
        <w:t>December</w:t>
      </w:r>
      <w:r w:rsidR="00AD0D7D" w:rsidRPr="00C445D1">
        <w:rPr>
          <w:i/>
        </w:rPr>
        <w:t xml:space="preserve"> quarter 2022</w:t>
      </w:r>
      <w:r w:rsidR="00AD0D7D" w:rsidRPr="00C445D1">
        <w:t>.</w:t>
      </w:r>
    </w:p>
    <w:p w14:paraId="792E1C2A" w14:textId="77777777" w:rsidR="00911F40" w:rsidRDefault="00911F40" w:rsidP="00911F40">
      <w:pPr>
        <w:pStyle w:val="05Paragraph"/>
        <w:ind w:left="720" w:hanging="720"/>
        <w:jc w:val="left"/>
      </w:pPr>
      <w:r w:rsidRPr="004E146F">
        <w:t>Department of Treasury and Finance (DTF)</w:t>
      </w:r>
      <w:r>
        <w:t xml:space="preserve"> </w:t>
      </w:r>
      <w:r w:rsidRPr="004E146F">
        <w:t>(202</w:t>
      </w:r>
      <w:r>
        <w:t>3</w:t>
      </w:r>
      <w:r w:rsidRPr="004E146F">
        <w:t xml:space="preserve">), </w:t>
      </w:r>
      <w:r w:rsidRPr="003B1F4E">
        <w:rPr>
          <w:i/>
          <w:iCs/>
        </w:rPr>
        <w:t>Victorian Budget 2023/24</w:t>
      </w:r>
      <w:r w:rsidRPr="004E146F">
        <w:t>.</w:t>
      </w:r>
    </w:p>
    <w:p w14:paraId="45FF9619" w14:textId="37C20281" w:rsidR="00911F40" w:rsidRPr="00C445D1" w:rsidRDefault="00911F40" w:rsidP="00911F40">
      <w:pPr>
        <w:pStyle w:val="05Paragraph"/>
        <w:ind w:left="720" w:hanging="720"/>
        <w:jc w:val="left"/>
      </w:pPr>
      <w:r w:rsidRPr="004E146F">
        <w:t>Fair Work Commission (FWC) (202</w:t>
      </w:r>
      <w:r>
        <w:t>3</w:t>
      </w:r>
      <w:r w:rsidRPr="004E146F">
        <w:t xml:space="preserve">), </w:t>
      </w:r>
      <w:r w:rsidRPr="00911F40">
        <w:rPr>
          <w:i/>
          <w:iCs/>
        </w:rPr>
        <w:t>Decision — Annual Wage Review 2022-23</w:t>
      </w:r>
      <w:r w:rsidR="00334FB9">
        <w:t xml:space="preserve">, </w:t>
      </w:r>
      <w:hyperlink r:id="rId27">
        <w:r w:rsidR="000A71DC" w:rsidRPr="24A5711E">
          <w:rPr>
            <w:rStyle w:val="Hyperlink"/>
          </w:rPr>
          <w:t>https://www.fwc.gov.au/documents/resources/2023fwcfb3500.pdf</w:t>
        </w:r>
      </w:hyperlink>
      <w:r w:rsidR="00334FB9" w:rsidRPr="00334FB9">
        <w:t>, last accessed 26 June 2023</w:t>
      </w:r>
      <w:r w:rsidRPr="004E146F">
        <w:t>.</w:t>
      </w:r>
    </w:p>
    <w:p w14:paraId="36F895E9" w14:textId="37844B17" w:rsidR="4BD26715" w:rsidRDefault="4BD26715" w:rsidP="00592011">
      <w:pPr>
        <w:pStyle w:val="05Paragraph"/>
        <w:ind w:left="709" w:hanging="709"/>
      </w:pPr>
      <w:r>
        <w:t xml:space="preserve">Industrial Relations Victoria (2023), </w:t>
      </w:r>
      <w:r w:rsidRPr="24A5711E">
        <w:rPr>
          <w:i/>
          <w:iCs/>
        </w:rPr>
        <w:t>Wages Policy and the Enterprise Bargaining Framework</w:t>
      </w:r>
      <w:r w:rsidRPr="00BE1BCD">
        <w:t>.</w:t>
      </w:r>
    </w:p>
    <w:p w14:paraId="3A1C7C46" w14:textId="055F05B3" w:rsidR="00E1110D" w:rsidRDefault="00E1110D" w:rsidP="004C665E">
      <w:pPr>
        <w:pStyle w:val="05Paragraph"/>
        <w:ind w:left="720" w:hanging="720"/>
      </w:pPr>
      <w:r>
        <w:t xml:space="preserve">Local Government Remuneration Commission (Qld) (2023), </w:t>
      </w:r>
      <w:r w:rsidR="005E68FD" w:rsidRPr="005E68FD">
        <w:rPr>
          <w:i/>
          <w:iCs/>
        </w:rPr>
        <w:t>Annual Report 2021</w:t>
      </w:r>
      <w:r w:rsidR="005E68FD" w:rsidRPr="005E68FD">
        <w:rPr>
          <w:i/>
          <w:iCs/>
        </w:rPr>
        <w:noBreakHyphen/>
        <w:t>22</w:t>
      </w:r>
      <w:r>
        <w:t>.</w:t>
      </w:r>
    </w:p>
    <w:p w14:paraId="08790957" w14:textId="1CD8E744" w:rsidR="00E3421A" w:rsidRDefault="00E3421A" w:rsidP="004C665E">
      <w:pPr>
        <w:pStyle w:val="05Paragraph"/>
        <w:ind w:left="720" w:hanging="720"/>
      </w:pPr>
      <w:r>
        <w:t xml:space="preserve">Local Government Remuneration Tribunal </w:t>
      </w:r>
      <w:r w:rsidR="002A5096">
        <w:t xml:space="preserve">(NSW) </w:t>
      </w:r>
      <w:r>
        <w:t xml:space="preserve">(2023), </w:t>
      </w:r>
      <w:r w:rsidR="002A5096" w:rsidRPr="002A5096">
        <w:rPr>
          <w:i/>
          <w:iCs/>
        </w:rPr>
        <w:t>Annual Determination</w:t>
      </w:r>
      <w:r>
        <w:t>.</w:t>
      </w:r>
    </w:p>
    <w:p w14:paraId="2C33021E" w14:textId="679B58F2" w:rsidR="00E3421A" w:rsidRDefault="00E3421A" w:rsidP="004C665E">
      <w:pPr>
        <w:pStyle w:val="05Paragraph"/>
        <w:ind w:left="720" w:hanging="720"/>
      </w:pPr>
      <w:r>
        <w:lastRenderedPageBreak/>
        <w:t xml:space="preserve">Northern Territory Remuneration Tribunal (2023), </w:t>
      </w:r>
      <w:r w:rsidR="00402872" w:rsidRPr="00402872">
        <w:rPr>
          <w:i/>
          <w:iCs/>
        </w:rPr>
        <w:t>Report and Determination No.</w:t>
      </w:r>
      <w:r w:rsidR="00327305">
        <w:rPr>
          <w:i/>
          <w:iCs/>
        </w:rPr>
        <w:t> </w:t>
      </w:r>
      <w:r w:rsidR="00402872" w:rsidRPr="00402872">
        <w:rPr>
          <w:i/>
          <w:iCs/>
        </w:rPr>
        <w:t>1 of 2023 – Allowances for Members of Local Government Councils</w:t>
      </w:r>
      <w:r w:rsidR="00E1110D">
        <w:t>.</w:t>
      </w:r>
    </w:p>
    <w:p w14:paraId="2D5358E2" w14:textId="42BDDAA0" w:rsidR="004C665E" w:rsidRDefault="004C665E" w:rsidP="004C665E">
      <w:pPr>
        <w:pStyle w:val="05Paragraph"/>
        <w:ind w:left="720" w:hanging="720"/>
      </w:pPr>
      <w:r w:rsidRPr="004E146F">
        <w:t>Reserve Bank of Australia (RBA) (202</w:t>
      </w:r>
      <w:r>
        <w:t>3</w:t>
      </w:r>
      <w:r w:rsidRPr="004E146F">
        <w:t>a),</w:t>
      </w:r>
      <w:r>
        <w:t xml:space="preserve"> </w:t>
      </w:r>
      <w:r w:rsidRPr="00F977B5">
        <w:rPr>
          <w:i/>
          <w:iCs/>
        </w:rPr>
        <w:t>Forecast Table – May 2023</w:t>
      </w:r>
      <w:r>
        <w:t>.</w:t>
      </w:r>
    </w:p>
    <w:p w14:paraId="7185A825" w14:textId="096D7C74" w:rsidR="004C665E" w:rsidRPr="004E146F" w:rsidRDefault="004C665E" w:rsidP="004C665E">
      <w:pPr>
        <w:pStyle w:val="05Paragraph"/>
        <w:ind w:left="720" w:hanging="720"/>
      </w:pPr>
      <w:r w:rsidRPr="004E146F">
        <w:t>———</w:t>
      </w:r>
      <w:r>
        <w:t xml:space="preserve"> (2023b) </w:t>
      </w:r>
      <w:r w:rsidRPr="005B0DE3">
        <w:rPr>
          <w:i/>
          <w:iCs/>
        </w:rPr>
        <w:t>St</w:t>
      </w:r>
      <w:r w:rsidRPr="00592011">
        <w:rPr>
          <w:i/>
          <w:iCs/>
        </w:rPr>
        <w:t>atement by Philip Lowe, Governor: Monetary Policy Decision</w:t>
      </w:r>
      <w:r w:rsidR="00592011" w:rsidRPr="00592011">
        <w:rPr>
          <w:i/>
          <w:iCs/>
        </w:rPr>
        <w:t xml:space="preserve"> – </w:t>
      </w:r>
      <w:r w:rsidR="47F88344" w:rsidRPr="00592011">
        <w:rPr>
          <w:i/>
          <w:iCs/>
        </w:rPr>
        <w:t>June</w:t>
      </w:r>
      <w:r w:rsidRPr="00592011">
        <w:rPr>
          <w:i/>
          <w:iCs/>
        </w:rPr>
        <w:t xml:space="preserve"> 2023.</w:t>
      </w:r>
    </w:p>
    <w:p w14:paraId="2F908FAD" w14:textId="77777777" w:rsidR="004C665E" w:rsidRDefault="004C665E" w:rsidP="004C665E">
      <w:pPr>
        <w:pStyle w:val="05Paragraph"/>
        <w:ind w:left="720" w:hanging="720"/>
      </w:pPr>
      <w:r w:rsidRPr="004E146F">
        <w:t>——— (202</w:t>
      </w:r>
      <w:r>
        <w:t>3c</w:t>
      </w:r>
      <w:r w:rsidRPr="004E146F">
        <w:t xml:space="preserve">), </w:t>
      </w:r>
      <w:r w:rsidRPr="00EB12C7">
        <w:rPr>
          <w:i/>
          <w:iCs/>
        </w:rPr>
        <w:t xml:space="preserve">Statement on Monetary Policy </w:t>
      </w:r>
      <w:r w:rsidRPr="00531A88">
        <w:rPr>
          <w:i/>
          <w:iCs/>
        </w:rPr>
        <w:t>—</w:t>
      </w:r>
      <w:r w:rsidRPr="00EB12C7">
        <w:rPr>
          <w:i/>
          <w:iCs/>
        </w:rPr>
        <w:t xml:space="preserve"> May 2023</w:t>
      </w:r>
      <w:r w:rsidRPr="004E146F">
        <w:t>.</w:t>
      </w:r>
    </w:p>
    <w:p w14:paraId="65986978" w14:textId="1973D80E" w:rsidR="00E3421A" w:rsidRDefault="00E3421A" w:rsidP="002229FF">
      <w:pPr>
        <w:pStyle w:val="05Paragraph"/>
      </w:pPr>
      <w:r>
        <w:t xml:space="preserve">Salaries and Allowances Tribunal (WA) (2023), </w:t>
      </w:r>
      <w:r w:rsidR="00604304" w:rsidRPr="00604304">
        <w:rPr>
          <w:i/>
          <w:iCs/>
        </w:rPr>
        <w:t xml:space="preserve">Local Government Chief Executive Officers and Elected Members Determination No. 1 </w:t>
      </w:r>
      <w:r w:rsidR="000C610E">
        <w:rPr>
          <w:i/>
          <w:iCs/>
        </w:rPr>
        <w:t xml:space="preserve">of </w:t>
      </w:r>
      <w:r w:rsidR="00604304" w:rsidRPr="00604304">
        <w:rPr>
          <w:i/>
          <w:iCs/>
        </w:rPr>
        <w:t>2023</w:t>
      </w:r>
      <w:r>
        <w:t>.</w:t>
      </w:r>
    </w:p>
    <w:p w14:paraId="73C09131" w14:textId="527AD287" w:rsidR="640E6D92" w:rsidRDefault="640E6D92" w:rsidP="7F4530A2">
      <w:pPr>
        <w:pStyle w:val="05Paragraph"/>
      </w:pPr>
      <w:r>
        <w:t xml:space="preserve">SEEK (2023), </w:t>
      </w:r>
      <w:r w:rsidRPr="009C1EB0">
        <w:rPr>
          <w:i/>
          <w:iCs/>
        </w:rPr>
        <w:t>Advertised Salary Index</w:t>
      </w:r>
      <w:r>
        <w:t>, April 2023.</w:t>
      </w:r>
    </w:p>
    <w:p w14:paraId="752FCE4C" w14:textId="48ECA462" w:rsidR="00A86647" w:rsidRDefault="00A86647" w:rsidP="002229FF">
      <w:pPr>
        <w:pStyle w:val="05Paragraph"/>
      </w:pPr>
      <w:r>
        <w:t xml:space="preserve">State Government of Victoria (2022), </w:t>
      </w:r>
      <w:r w:rsidRPr="00386192">
        <w:rPr>
          <w:i/>
          <w:iCs/>
        </w:rPr>
        <w:t>Victorian Council Rate Cap Set for Next Financial Year</w:t>
      </w:r>
      <w:r>
        <w:t xml:space="preserve">, </w:t>
      </w:r>
      <w:hyperlink r:id="rId28" w:history="1">
        <w:r w:rsidR="00BF0E9E" w:rsidRPr="00321C82">
          <w:rPr>
            <w:rStyle w:val="Hyperlink"/>
          </w:rPr>
          <w:t>https://www.premier.vic.gov.au/victorian-council-rate-cap-set-next-financial-year-0</w:t>
        </w:r>
      </w:hyperlink>
      <w:r w:rsidR="006400DB">
        <w:t>,</w:t>
      </w:r>
      <w:r w:rsidR="00BF0E9E" w:rsidRPr="00BF0E9E" w:rsidDel="00BF0E9E">
        <w:t xml:space="preserve"> </w:t>
      </w:r>
      <w:r w:rsidR="00BF0E9E">
        <w:t>last updated</w:t>
      </w:r>
      <w:r>
        <w:t xml:space="preserve"> 29 December 2022.</w:t>
      </w:r>
    </w:p>
    <w:p w14:paraId="5B2BD91B" w14:textId="5F451F40" w:rsidR="00862092" w:rsidRDefault="00862092" w:rsidP="00862092">
      <w:pPr>
        <w:pStyle w:val="05Paragraph"/>
        <w:ind w:left="720" w:hanging="720"/>
      </w:pPr>
      <w:r w:rsidRPr="00487BAD">
        <w:t xml:space="preserve">——— (2023), </w:t>
      </w:r>
      <w:r w:rsidRPr="00487BAD">
        <w:rPr>
          <w:i/>
          <w:iCs/>
        </w:rPr>
        <w:t>New Wages Policy Strikes Responsible Balance for Victoria</w:t>
      </w:r>
      <w:r w:rsidRPr="00487BAD">
        <w:t>,</w:t>
      </w:r>
      <w:r w:rsidR="00006333" w:rsidRPr="00006333">
        <w:t xml:space="preserve"> </w:t>
      </w:r>
      <w:hyperlink r:id="rId29" w:history="1">
        <w:r w:rsidR="006D4CA2" w:rsidRPr="00321C82">
          <w:rPr>
            <w:rStyle w:val="Hyperlink"/>
          </w:rPr>
          <w:t>https://www.premier.vic.gov.au/site-4/new-wages-policy-strikes-responsible-balance-victoria</w:t>
        </w:r>
      </w:hyperlink>
      <w:r w:rsidR="006D4CA2">
        <w:t>,</w:t>
      </w:r>
      <w:r w:rsidRPr="00487BAD">
        <w:t xml:space="preserve"> </w:t>
      </w:r>
      <w:r w:rsidR="00313A74">
        <w:t>last updated</w:t>
      </w:r>
      <w:r w:rsidRPr="00487BAD">
        <w:t xml:space="preserve"> 4 April 2023.</w:t>
      </w:r>
    </w:p>
    <w:p w14:paraId="194E1702" w14:textId="1C654C60" w:rsidR="00051414" w:rsidRPr="00002943" w:rsidRDefault="00010299" w:rsidP="002229FF">
      <w:pPr>
        <w:pStyle w:val="05Paragraph"/>
        <w:rPr>
          <w:lang w:eastAsia="en-AU"/>
        </w:rPr>
      </w:pPr>
      <w:r w:rsidRPr="00002943">
        <w:rPr>
          <w:lang w:eastAsia="en-AU"/>
        </w:rPr>
        <w:t>Victorian Independent Remuneration Tribunal (2022</w:t>
      </w:r>
      <w:r w:rsidR="006E023E" w:rsidRPr="00002943">
        <w:rPr>
          <w:lang w:eastAsia="en-AU"/>
        </w:rPr>
        <w:t>a</w:t>
      </w:r>
      <w:r w:rsidRPr="00002943">
        <w:rPr>
          <w:lang w:eastAsia="en-AU"/>
        </w:rPr>
        <w:t xml:space="preserve">), </w:t>
      </w:r>
      <w:r w:rsidRPr="00002943">
        <w:rPr>
          <w:i/>
          <w:lang w:eastAsia="en-AU"/>
        </w:rPr>
        <w:t>Allowance payable to Mayors, Deputy Mayors and Councillors (Victoria) Determination No.</w:t>
      </w:r>
      <w:r w:rsidR="00320CF1" w:rsidRPr="00002943">
        <w:rPr>
          <w:i/>
          <w:lang w:eastAsia="en-AU"/>
        </w:rPr>
        <w:t> </w:t>
      </w:r>
      <w:r w:rsidRPr="00002943">
        <w:rPr>
          <w:i/>
          <w:lang w:eastAsia="en-AU"/>
        </w:rPr>
        <w:t>01/2022</w:t>
      </w:r>
      <w:r w:rsidR="003273F6" w:rsidRPr="00002943">
        <w:rPr>
          <w:lang w:eastAsia="en-AU"/>
        </w:rPr>
        <w:t>.</w:t>
      </w:r>
    </w:p>
    <w:p w14:paraId="20DC2C6E" w14:textId="768969C0" w:rsidR="006E023E" w:rsidRDefault="006E023E" w:rsidP="002229FF">
      <w:pPr>
        <w:pStyle w:val="05Paragraph"/>
        <w:rPr>
          <w:lang w:eastAsia="en-AU"/>
        </w:rPr>
      </w:pPr>
      <w:r w:rsidRPr="00002943">
        <w:rPr>
          <w:lang w:eastAsia="en-AU"/>
        </w:rPr>
        <w:t xml:space="preserve">——— (2022b), </w:t>
      </w:r>
      <w:r w:rsidR="00002943" w:rsidRPr="00002943">
        <w:rPr>
          <w:i/>
          <w:iCs/>
          <w:noProof/>
          <w:lang w:eastAsia="en-AU"/>
        </w:rPr>
        <w:t>Allowance payable to Mayors, Deputy Mayors and Councillors</w:t>
      </w:r>
      <w:r w:rsidRPr="00002943">
        <w:rPr>
          <w:i/>
          <w:lang w:eastAsia="en-AU"/>
        </w:rPr>
        <w:t xml:space="preserve"> (Victoria) </w:t>
      </w:r>
      <w:r>
        <w:rPr>
          <w:i/>
          <w:lang w:eastAsia="en-AU"/>
        </w:rPr>
        <w:t xml:space="preserve">Annual Adjustment </w:t>
      </w:r>
      <w:r w:rsidRPr="00002943">
        <w:rPr>
          <w:i/>
          <w:lang w:eastAsia="en-AU"/>
        </w:rPr>
        <w:t>Determination 2022</w:t>
      </w:r>
      <w:r w:rsidR="022CBC25" w:rsidRPr="0EF8F5AD">
        <w:rPr>
          <w:i/>
          <w:iCs/>
          <w:lang w:eastAsia="en-AU"/>
        </w:rPr>
        <w:t>.</w:t>
      </w:r>
    </w:p>
    <w:p w14:paraId="2C758AE8" w14:textId="194BEAC3" w:rsidR="006E023E" w:rsidRPr="00D43074" w:rsidRDefault="00002943" w:rsidP="002229FF">
      <w:pPr>
        <w:pStyle w:val="05Paragraph"/>
      </w:pPr>
      <w:r w:rsidRPr="00002943">
        <w:rPr>
          <w:noProof/>
          <w:lang w:eastAsia="en-AU"/>
        </w:rPr>
        <w:t>———</w:t>
      </w:r>
      <w:r>
        <w:rPr>
          <w:noProof/>
          <w:lang w:eastAsia="en-AU"/>
        </w:rPr>
        <w:t xml:space="preserve"> (2023), </w:t>
      </w:r>
      <w:r w:rsidRPr="00002943">
        <w:rPr>
          <w:i/>
          <w:iCs/>
          <w:noProof/>
          <w:lang w:eastAsia="en-AU"/>
        </w:rPr>
        <w:t>Members of Parliament (Victoria) Determination No. 01/2023</w:t>
      </w:r>
      <w:r>
        <w:rPr>
          <w:noProof/>
          <w:lang w:eastAsia="en-AU"/>
        </w:rPr>
        <w:t>.</w:t>
      </w:r>
    </w:p>
    <w:sectPr w:rsidR="006E023E" w:rsidRPr="00D43074" w:rsidSect="003045CA">
      <w:pgSz w:w="11906" w:h="16838"/>
      <w:pgMar w:top="1701" w:right="1701" w:bottom="155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1E2B2" w14:textId="77777777" w:rsidR="00257A97" w:rsidRPr="00333B58" w:rsidRDefault="00257A97" w:rsidP="00333B58">
      <w:r>
        <w:separator/>
      </w:r>
    </w:p>
  </w:endnote>
  <w:endnote w:type="continuationSeparator" w:id="0">
    <w:p w14:paraId="2DA88AFD" w14:textId="77777777" w:rsidR="00257A97" w:rsidRPr="00333B58" w:rsidRDefault="00257A97" w:rsidP="00333B58">
      <w:r>
        <w:continuationSeparator/>
      </w:r>
    </w:p>
  </w:endnote>
  <w:endnote w:type="continuationNotice" w:id="1">
    <w:p w14:paraId="4360E14F" w14:textId="77777777" w:rsidR="00257A97" w:rsidRDefault="00257A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Times New Roman (Headings CS)">
    <w:altName w:val="Times New Roman"/>
    <w:charset w:val="00"/>
    <w:family w:val="roman"/>
    <w:pitch w:val="variable"/>
    <w:sig w:usb0="E0002AE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S PMincho">
    <w:altName w:val="@Yu Gothic"/>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GMinchoB">
    <w:altName w:val="HG明朝B"/>
    <w:panose1 w:val="00000000000000000000"/>
    <w:charset w:val="80"/>
    <w:family w:val="roman"/>
    <w:notTrueType/>
    <w:pitch w:val="default"/>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ZWAdobeF">
    <w:panose1 w:val="00000000000000000000"/>
    <w:charset w:val="00"/>
    <w:family w:val="auto"/>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FE845" w14:textId="77777777" w:rsidR="00B03893" w:rsidRDefault="00B03893">
    <w:pPr>
      <w:pStyle w:val="Footer"/>
    </w:pPr>
  </w:p>
  <w:p w14:paraId="2D3C654C" w14:textId="77777777" w:rsidR="000C52C1" w:rsidRDefault="000C52C1">
    <w:pPr>
      <w:rP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9366" w14:textId="044805D9" w:rsidR="00FF6EB1" w:rsidRDefault="00B86910" w:rsidP="00FF6EB1">
    <w:pPr>
      <w:pStyle w:val="Footer"/>
      <w:jc w:val="center"/>
    </w:pPr>
    <w:sdt>
      <w:sdtPr>
        <w:id w:val="1900857742"/>
        <w:docPartObj>
          <w:docPartGallery w:val="Page Numbers (Bottom of Page)"/>
          <w:docPartUnique/>
        </w:docPartObj>
      </w:sdtPr>
      <w:sdtEndPr>
        <w:rPr>
          <w:noProof/>
        </w:rPr>
      </w:sdtEndPr>
      <w:sdtContent/>
    </w:sdt>
  </w:p>
  <w:p w14:paraId="4B94A478" w14:textId="2BE8D93E" w:rsidR="00B1131E" w:rsidRDefault="00B11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3A18" w14:textId="0E0037C8" w:rsidR="00D959C3" w:rsidRDefault="00B86910">
    <w:pPr>
      <w:pStyle w:val="Footer"/>
      <w:jc w:val="center"/>
    </w:pPr>
    <w:sdt>
      <w:sdtPr>
        <w:id w:val="-1165245005"/>
        <w:docPartObj>
          <w:docPartGallery w:val="Page Numbers (Bottom of Page)"/>
          <w:docPartUnique/>
        </w:docPartObj>
      </w:sdtPr>
      <w:sdtEndPr>
        <w:rPr>
          <w:noProof/>
        </w:rPr>
      </w:sdtEndPr>
      <w:sdtContent>
        <w:r w:rsidR="00D959C3" w:rsidRPr="00BC16F9">
          <w:rPr>
            <w:rFonts w:ascii="Calibri" w:hAnsi="Calibri" w:cs="Calibri"/>
          </w:rPr>
          <w:fldChar w:fldCharType="begin"/>
        </w:r>
        <w:r w:rsidR="00D959C3" w:rsidRPr="00BC16F9">
          <w:rPr>
            <w:rFonts w:ascii="Calibri" w:hAnsi="Calibri" w:cs="Calibri"/>
          </w:rPr>
          <w:instrText xml:space="preserve"> PAGE   \* MERGEFORMAT </w:instrText>
        </w:r>
        <w:r w:rsidR="00D959C3" w:rsidRPr="00BC16F9">
          <w:rPr>
            <w:rFonts w:ascii="Calibri" w:hAnsi="Calibri" w:cs="Calibri"/>
          </w:rPr>
          <w:fldChar w:fldCharType="separate"/>
        </w:r>
        <w:r w:rsidR="00D959C3" w:rsidRPr="00BC16F9">
          <w:rPr>
            <w:rFonts w:ascii="Calibri" w:hAnsi="Calibri" w:cs="Calibri"/>
            <w:noProof/>
          </w:rPr>
          <w:t>2</w:t>
        </w:r>
        <w:r w:rsidR="00D959C3" w:rsidRPr="00BC16F9">
          <w:rPr>
            <w:rFonts w:ascii="Calibri" w:hAnsi="Calibri" w:cs="Calibri"/>
            <w:noProof/>
          </w:rPr>
          <w:fldChar w:fldCharType="end"/>
        </w:r>
      </w:sdtContent>
    </w:sdt>
  </w:p>
  <w:p w14:paraId="122A27DF" w14:textId="76484C8E" w:rsidR="000C52C1" w:rsidRDefault="000C52C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23D6" w14:textId="36FA9689" w:rsidR="00C3360F" w:rsidRPr="002F4084" w:rsidRDefault="00B86910" w:rsidP="00FF6EB1">
    <w:pPr>
      <w:pStyle w:val="Footer"/>
      <w:jc w:val="center"/>
    </w:pPr>
    <w:sdt>
      <w:sdtPr>
        <w:id w:val="-1742943516"/>
        <w:docPartObj>
          <w:docPartGallery w:val="Page Numbers (Bottom of Page)"/>
          <w:docPartUnique/>
        </w:docPartObj>
      </w:sdtPr>
      <w:sdtEndPr>
        <w:rPr>
          <w:rFonts w:ascii="Calibri" w:hAnsi="Calibri" w:cs="Calibri"/>
          <w:noProof/>
        </w:rPr>
      </w:sdtEndPr>
      <w:sdtContent>
        <w:r w:rsidR="00C3360F" w:rsidRPr="00E86C90">
          <w:rPr>
            <w:rFonts w:ascii="Calibri" w:hAnsi="Calibri" w:cs="Calibri"/>
          </w:rPr>
          <w:fldChar w:fldCharType="begin"/>
        </w:r>
        <w:r w:rsidR="00C3360F" w:rsidRPr="00E86C90">
          <w:rPr>
            <w:rFonts w:ascii="Calibri" w:hAnsi="Calibri" w:cs="Calibri"/>
          </w:rPr>
          <w:instrText xml:space="preserve"> PAGE   \* MERGEFORMAT </w:instrText>
        </w:r>
        <w:r w:rsidR="00C3360F" w:rsidRPr="00E86C90">
          <w:rPr>
            <w:rFonts w:ascii="Calibri" w:hAnsi="Calibri" w:cs="Calibri"/>
          </w:rPr>
          <w:fldChar w:fldCharType="separate"/>
        </w:r>
        <w:r w:rsidR="00C3360F" w:rsidRPr="00E86C90">
          <w:rPr>
            <w:rFonts w:ascii="Calibri" w:hAnsi="Calibri" w:cs="Calibri"/>
          </w:rPr>
          <w:t>25</w:t>
        </w:r>
        <w:r w:rsidR="00C3360F" w:rsidRPr="00E86C90">
          <w:rPr>
            <w:rFonts w:ascii="Calibri" w:hAnsi="Calibri" w:cs="Calibri"/>
            <w:noProof/>
          </w:rPr>
          <w:fldChar w:fldCharType="end"/>
        </w:r>
      </w:sdtContent>
    </w:sdt>
  </w:p>
  <w:p w14:paraId="5935A9C6" w14:textId="0A35CAEB" w:rsidR="00C3360F" w:rsidRDefault="00C336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C56C" w14:textId="55BF499D" w:rsidR="003515D8" w:rsidRDefault="00B86910" w:rsidP="00735993">
    <w:pPr>
      <w:pStyle w:val="Footer"/>
      <w:jc w:val="center"/>
    </w:pPr>
    <w:sdt>
      <w:sdtPr>
        <w:id w:val="-830684218"/>
        <w:docPartObj>
          <w:docPartGallery w:val="Page Numbers (Bottom of Page)"/>
          <w:docPartUnique/>
        </w:docPartObj>
      </w:sdtPr>
      <w:sdtEndPr>
        <w:rPr>
          <w:rFonts w:ascii="Calibri" w:hAnsi="Calibri" w:cs="Calibri"/>
          <w:noProof/>
        </w:rPr>
      </w:sdtEndPr>
      <w:sdtContent>
        <w:r w:rsidR="008448A9" w:rsidRPr="00BC16F9">
          <w:rPr>
            <w:rFonts w:ascii="Calibri" w:hAnsi="Calibri" w:cs="Calibri"/>
          </w:rPr>
          <w:fldChar w:fldCharType="begin"/>
        </w:r>
        <w:r w:rsidR="008448A9" w:rsidRPr="00BC16F9">
          <w:rPr>
            <w:rFonts w:ascii="Calibri" w:hAnsi="Calibri" w:cs="Calibri"/>
          </w:rPr>
          <w:instrText xml:space="preserve"> PAGE   \* MERGEFORMAT </w:instrText>
        </w:r>
        <w:r w:rsidR="008448A9" w:rsidRPr="00BC16F9">
          <w:rPr>
            <w:rFonts w:ascii="Calibri" w:hAnsi="Calibri" w:cs="Calibri"/>
          </w:rPr>
          <w:fldChar w:fldCharType="separate"/>
        </w:r>
        <w:r w:rsidR="008448A9" w:rsidRPr="00BC16F9">
          <w:rPr>
            <w:rFonts w:ascii="Calibri" w:hAnsi="Calibri" w:cs="Calibri"/>
            <w:noProof/>
          </w:rPr>
          <w:t>2</w:t>
        </w:r>
        <w:r w:rsidR="008448A9" w:rsidRPr="00BC16F9">
          <w:rPr>
            <w:rFonts w:ascii="Calibri" w:hAnsi="Calibri" w:cs="Calibri"/>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32479" w14:textId="77777777" w:rsidR="00257A97" w:rsidRPr="00333B58" w:rsidRDefault="00257A97" w:rsidP="0014700E">
      <w:pPr>
        <w:spacing w:after="0"/>
      </w:pPr>
      <w:r>
        <w:separator/>
      </w:r>
    </w:p>
  </w:footnote>
  <w:footnote w:type="continuationSeparator" w:id="0">
    <w:p w14:paraId="3391EF9D" w14:textId="77777777" w:rsidR="00257A97" w:rsidRPr="00FB39CD" w:rsidRDefault="00257A97" w:rsidP="00FB39CD">
      <w:pPr>
        <w:spacing w:after="0"/>
        <w:rPr>
          <w:sz w:val="2"/>
          <w:szCs w:val="2"/>
        </w:rPr>
      </w:pPr>
      <w:r>
        <w:continuationSeparator/>
      </w:r>
    </w:p>
  </w:footnote>
  <w:footnote w:type="continuationNotice" w:id="1">
    <w:p w14:paraId="67798365" w14:textId="77777777" w:rsidR="00257A97" w:rsidRPr="00FB39CD" w:rsidRDefault="00257A97">
      <w:pPr>
        <w:spacing w:after="0"/>
        <w:rPr>
          <w:sz w:val="2"/>
          <w:szCs w:val="4"/>
        </w:rPr>
      </w:pPr>
    </w:p>
  </w:footnote>
  <w:footnote w:id="2">
    <w:p w14:paraId="0BAC281C" w14:textId="3439D172" w:rsidR="00EB76B7" w:rsidRPr="001F7240" w:rsidRDefault="00EB76B7" w:rsidP="0024419C">
      <w:pPr>
        <w:pStyle w:val="Footnotes"/>
      </w:pPr>
      <w:r w:rsidRPr="001F7240">
        <w:rPr>
          <w:rStyle w:val="FootnoteReference"/>
          <w:rFonts w:cs="Calibri"/>
        </w:rPr>
        <w:footnoteRef/>
      </w:r>
      <w:r w:rsidRPr="001F7240">
        <w:t xml:space="preserve"> </w:t>
      </w:r>
      <w:r w:rsidR="001F7240">
        <w:tab/>
      </w:r>
      <w:r w:rsidRPr="001F7240">
        <w:t>VIRTIPS Act, s. 23</w:t>
      </w:r>
      <w:r w:rsidR="0071016B" w:rsidRPr="001F7240">
        <w:t>B.</w:t>
      </w:r>
    </w:p>
  </w:footnote>
  <w:footnote w:id="3">
    <w:p w14:paraId="3936E7FE" w14:textId="79578ECD" w:rsidR="00F01996" w:rsidRPr="001F7240" w:rsidRDefault="00F01996" w:rsidP="0024419C">
      <w:pPr>
        <w:pStyle w:val="Footnotes"/>
      </w:pPr>
      <w:r w:rsidRPr="001F7240">
        <w:rPr>
          <w:rStyle w:val="FootnoteReference"/>
          <w:rFonts w:cs="Calibri"/>
        </w:rPr>
        <w:footnoteRef/>
      </w:r>
      <w:r w:rsidRPr="001F7240">
        <w:t xml:space="preserve"> </w:t>
      </w:r>
      <w:r w:rsidR="0024419C">
        <w:tab/>
      </w:r>
      <w:r w:rsidRPr="001F7240">
        <w:t>Victorian Independent Remuneration Tribunal (2022a)</w:t>
      </w:r>
      <w:r w:rsidR="00DA71DC" w:rsidRPr="001F7240">
        <w:t>.</w:t>
      </w:r>
    </w:p>
  </w:footnote>
  <w:footnote w:id="4">
    <w:p w14:paraId="1E2FF0F3" w14:textId="376FDA32" w:rsidR="00DA71DC" w:rsidRPr="001F7240" w:rsidRDefault="00DA71DC" w:rsidP="0024419C">
      <w:pPr>
        <w:pStyle w:val="Footnotes"/>
      </w:pPr>
      <w:r w:rsidRPr="001F7240">
        <w:rPr>
          <w:rStyle w:val="FootnoteReference"/>
          <w:rFonts w:cs="Calibri"/>
        </w:rPr>
        <w:footnoteRef/>
      </w:r>
      <w:r w:rsidRPr="001F7240">
        <w:t xml:space="preserve"> </w:t>
      </w:r>
      <w:r w:rsidR="0024419C">
        <w:tab/>
      </w:r>
      <w:r w:rsidRPr="001F7240">
        <w:t>Victorian Independent Remuneration Tribunal (2022b)</w:t>
      </w:r>
      <w:r w:rsidR="00613F3A" w:rsidRPr="001F7240">
        <w:t>, p. 8.</w:t>
      </w:r>
    </w:p>
  </w:footnote>
  <w:footnote w:id="5">
    <w:p w14:paraId="3E858B8E" w14:textId="1373A4F0" w:rsidR="00D87B6D" w:rsidRPr="001F7240" w:rsidRDefault="00D87B6D" w:rsidP="0024419C">
      <w:pPr>
        <w:pStyle w:val="Footnotes"/>
      </w:pPr>
      <w:r w:rsidRPr="001F7240">
        <w:rPr>
          <w:rStyle w:val="FootnoteReference"/>
          <w:rFonts w:cs="Calibri"/>
        </w:rPr>
        <w:footnoteRef/>
      </w:r>
      <w:r w:rsidRPr="001F7240">
        <w:t xml:space="preserve"> </w:t>
      </w:r>
      <w:r w:rsidR="0024419C">
        <w:tab/>
      </w:r>
      <w:r w:rsidRPr="001F7240">
        <w:t>VIRTIPS Act, s. 24(3).</w:t>
      </w:r>
    </w:p>
  </w:footnote>
  <w:footnote w:id="6">
    <w:p w14:paraId="20CDAF6B" w14:textId="3978773F" w:rsidR="000C54C0" w:rsidRDefault="000C54C0" w:rsidP="0024419C">
      <w:pPr>
        <w:pStyle w:val="Footnotes"/>
      </w:pPr>
      <w:r w:rsidRPr="001F7240">
        <w:rPr>
          <w:rStyle w:val="FootnoteReference"/>
          <w:rFonts w:cs="Calibri"/>
        </w:rPr>
        <w:footnoteRef/>
      </w:r>
      <w:r w:rsidRPr="001F7240">
        <w:t xml:space="preserve"> </w:t>
      </w:r>
      <w:r w:rsidR="0024419C">
        <w:tab/>
      </w:r>
      <w:r w:rsidRPr="001F7240">
        <w:t>VIRTIPS Act, s. 24(1).</w:t>
      </w:r>
    </w:p>
  </w:footnote>
  <w:footnote w:id="7">
    <w:p w14:paraId="2649ABF0" w14:textId="05B23054" w:rsidR="000C54C0" w:rsidRPr="0024419C" w:rsidRDefault="000C54C0" w:rsidP="0024419C">
      <w:pPr>
        <w:pStyle w:val="Footnotes"/>
      </w:pPr>
      <w:r w:rsidRPr="0024419C">
        <w:rPr>
          <w:rStyle w:val="FootnoteReference"/>
          <w:rFonts w:cs="Calibri"/>
        </w:rPr>
        <w:footnoteRef/>
      </w:r>
      <w:r w:rsidR="0024419C">
        <w:tab/>
      </w:r>
      <w:r w:rsidRPr="0024419C">
        <w:t>VIRTIPS Act, s. 24(2).</w:t>
      </w:r>
    </w:p>
  </w:footnote>
  <w:footnote w:id="8">
    <w:p w14:paraId="6386C7D7" w14:textId="65820426" w:rsidR="00033D4B" w:rsidRDefault="00033D4B" w:rsidP="0024419C">
      <w:pPr>
        <w:pStyle w:val="Footnotes"/>
      </w:pPr>
      <w:r w:rsidRPr="0024419C">
        <w:rPr>
          <w:rStyle w:val="FootnoteReference"/>
          <w:rFonts w:cs="Calibri"/>
        </w:rPr>
        <w:footnoteRef/>
      </w:r>
      <w:r w:rsidR="0024419C" w:rsidRPr="0024419C">
        <w:rPr>
          <w:rFonts w:cs="Calibri"/>
        </w:rPr>
        <w:tab/>
      </w:r>
      <w:r w:rsidRPr="0024419C">
        <w:rPr>
          <w:rFonts w:cs="Calibri"/>
        </w:rPr>
        <w:t>VIRTIPS Act, s. 5.</w:t>
      </w:r>
    </w:p>
  </w:footnote>
  <w:footnote w:id="9">
    <w:p w14:paraId="25FAC556" w14:textId="5E87435C" w:rsidR="00F83DCF" w:rsidRPr="00C71CCB" w:rsidRDefault="00F83DCF" w:rsidP="0024419C">
      <w:pPr>
        <w:pStyle w:val="Footnotes"/>
      </w:pPr>
      <w:r w:rsidRPr="00C71CCB">
        <w:rPr>
          <w:rStyle w:val="FootnoteReference"/>
          <w:rFonts w:cs="Calibri"/>
        </w:rPr>
        <w:footnoteRef/>
      </w:r>
      <w:r w:rsidRPr="00C71CCB">
        <w:t xml:space="preserve"> </w:t>
      </w:r>
      <w:r w:rsidRPr="00C71CCB">
        <w:tab/>
        <w:t>Victorian Independent Remuneration Tribunal (2022</w:t>
      </w:r>
      <w:r w:rsidR="00294060" w:rsidRPr="00C71CCB">
        <w:t>a</w:t>
      </w:r>
      <w:r w:rsidRPr="00C71CCB">
        <w:t xml:space="preserve">), p. </w:t>
      </w:r>
      <w:r w:rsidR="00D96174" w:rsidRPr="00C71CCB">
        <w:t>121</w:t>
      </w:r>
      <w:r w:rsidRPr="00C71CCB">
        <w:t xml:space="preserve">. </w:t>
      </w:r>
    </w:p>
  </w:footnote>
  <w:footnote w:id="10">
    <w:p w14:paraId="2BC34402" w14:textId="02373AAC" w:rsidR="001546C9" w:rsidRPr="00C71CCB" w:rsidRDefault="001546C9" w:rsidP="0024419C">
      <w:pPr>
        <w:pStyle w:val="FootnoteText"/>
      </w:pPr>
      <w:r w:rsidRPr="00C71CCB">
        <w:rPr>
          <w:rStyle w:val="FootnoteReference"/>
          <w:rFonts w:cs="Calibri"/>
        </w:rPr>
        <w:footnoteRef/>
      </w:r>
      <w:r w:rsidRPr="00C71CCB">
        <w:t xml:space="preserve"> </w:t>
      </w:r>
      <w:r w:rsidRPr="00C71CCB">
        <w:tab/>
      </w:r>
      <w:r w:rsidR="00BC72C8" w:rsidRPr="00C71CCB">
        <w:t>Victorian Independent Remuneration Tribunal (2022</w:t>
      </w:r>
      <w:r w:rsidR="00294060" w:rsidRPr="00C71CCB">
        <w:t>a</w:t>
      </w:r>
      <w:r w:rsidR="00BC72C8" w:rsidRPr="00C71CCB">
        <w:t>),</w:t>
      </w:r>
      <w:r w:rsidRPr="00C71CCB">
        <w:t xml:space="preserve"> p. 56. </w:t>
      </w:r>
    </w:p>
  </w:footnote>
  <w:footnote w:id="11">
    <w:p w14:paraId="0BE6ED30" w14:textId="1E309A74" w:rsidR="00806BC8" w:rsidRPr="00C71CCB" w:rsidRDefault="00806BC8">
      <w:pPr>
        <w:pStyle w:val="FootnoteText"/>
        <w:rPr>
          <w:rFonts w:cs="Calibri"/>
        </w:rPr>
      </w:pPr>
      <w:r w:rsidRPr="00C71CCB">
        <w:rPr>
          <w:rStyle w:val="FootnoteReference"/>
          <w:rFonts w:cs="Calibri"/>
        </w:rPr>
        <w:footnoteRef/>
      </w:r>
      <w:r w:rsidRPr="00C71CCB">
        <w:rPr>
          <w:rFonts w:cs="Calibri"/>
        </w:rPr>
        <w:tab/>
        <w:t xml:space="preserve">VIRTIPS Act, s. </w:t>
      </w:r>
      <w:r w:rsidR="00D43D5E" w:rsidRPr="00C71CCB">
        <w:rPr>
          <w:rFonts w:cs="Calibri"/>
        </w:rPr>
        <w:t>25(1).</w:t>
      </w:r>
    </w:p>
  </w:footnote>
  <w:footnote w:id="12">
    <w:p w14:paraId="0615F4AC" w14:textId="6D9FF825" w:rsidR="00806BC8" w:rsidRDefault="00806BC8">
      <w:pPr>
        <w:pStyle w:val="FootnoteText"/>
      </w:pPr>
      <w:r w:rsidRPr="00C71CCB">
        <w:rPr>
          <w:rStyle w:val="FootnoteReference"/>
          <w:rFonts w:cs="Calibri"/>
        </w:rPr>
        <w:footnoteRef/>
      </w:r>
      <w:r w:rsidR="00D43D5E" w:rsidRPr="00C71CCB">
        <w:rPr>
          <w:rFonts w:cs="Calibri"/>
        </w:rPr>
        <w:tab/>
        <w:t>VIRTIPS Act, s. 25(5).</w:t>
      </w:r>
      <w:r w:rsidR="00D43D5E">
        <w:t xml:space="preserve"> </w:t>
      </w:r>
    </w:p>
  </w:footnote>
  <w:footnote w:id="13">
    <w:p w14:paraId="5A246A76" w14:textId="7B705112" w:rsidR="003A4C53" w:rsidRPr="00C71CCB" w:rsidRDefault="003A4C53" w:rsidP="00FC4F2C">
      <w:pPr>
        <w:pStyle w:val="FootnoteText"/>
      </w:pPr>
      <w:r w:rsidRPr="00C71CCB">
        <w:rPr>
          <w:rStyle w:val="FootnoteReference"/>
          <w:rFonts w:cs="Calibri"/>
        </w:rPr>
        <w:footnoteRef/>
      </w:r>
      <w:r w:rsidR="0024419C">
        <w:tab/>
      </w:r>
      <w:r w:rsidRPr="00C71CCB">
        <w:t>ABS (202</w:t>
      </w:r>
      <w:r w:rsidR="00744F8D" w:rsidRPr="00C71CCB">
        <w:t>3</w:t>
      </w:r>
      <w:r w:rsidR="00AB542B" w:rsidRPr="00C71CCB">
        <w:t>c</w:t>
      </w:r>
      <w:r w:rsidRPr="00C71CCB">
        <w:t>).</w:t>
      </w:r>
    </w:p>
  </w:footnote>
  <w:footnote w:id="14">
    <w:p w14:paraId="50A76EE8" w14:textId="188EAF16" w:rsidR="003A4C53" w:rsidRPr="00C71CCB" w:rsidDel="00B128DB" w:rsidRDefault="0019568E" w:rsidP="00FC4F2C">
      <w:pPr>
        <w:pStyle w:val="FootnoteText"/>
      </w:pPr>
      <w:r w:rsidRPr="00C71CCB">
        <w:rPr>
          <w:rStyle w:val="FootnoteReference"/>
          <w:rFonts w:cs="Calibri"/>
        </w:rPr>
        <w:footnoteRef/>
      </w:r>
      <w:r w:rsidRPr="00C71CCB">
        <w:t xml:space="preserve"> </w:t>
      </w:r>
      <w:r w:rsidR="0024419C">
        <w:tab/>
      </w:r>
      <w:r w:rsidRPr="00C71CCB">
        <w:t>ABS (202</w:t>
      </w:r>
      <w:r w:rsidR="00744F8D" w:rsidRPr="00C71CCB">
        <w:t>3</w:t>
      </w:r>
      <w:r w:rsidR="00C556A2">
        <w:t>f</w:t>
      </w:r>
      <w:r w:rsidRPr="00C71CCB">
        <w:t>).</w:t>
      </w:r>
    </w:p>
  </w:footnote>
  <w:footnote w:id="15">
    <w:p w14:paraId="2FD045E0" w14:textId="4F4729E6" w:rsidR="00AB542B" w:rsidRPr="00C71CCB" w:rsidRDefault="00AB542B" w:rsidP="00FC4F2C">
      <w:pPr>
        <w:pStyle w:val="FootnoteText"/>
      </w:pPr>
      <w:r w:rsidRPr="00C71CCB">
        <w:rPr>
          <w:rStyle w:val="FootnoteReference"/>
          <w:rFonts w:cs="Calibri"/>
        </w:rPr>
        <w:footnoteRef/>
      </w:r>
      <w:r w:rsidRPr="00C71CCB">
        <w:t xml:space="preserve"> </w:t>
      </w:r>
      <w:r w:rsidR="0024419C">
        <w:tab/>
      </w:r>
      <w:r w:rsidRPr="00C71CCB">
        <w:t xml:space="preserve">DTF (2023), </w:t>
      </w:r>
      <w:r w:rsidR="002029EF" w:rsidRPr="00C71CCB">
        <w:rPr>
          <w:i/>
          <w:iCs/>
        </w:rPr>
        <w:t>Budget Paper No. 2</w:t>
      </w:r>
      <w:r w:rsidR="007061B4" w:rsidRPr="007061B4">
        <w:rPr>
          <w:i/>
          <w:iCs/>
        </w:rPr>
        <w:t>: Strategy and Outlook</w:t>
      </w:r>
      <w:r w:rsidR="002029EF" w:rsidRPr="00C71CCB">
        <w:t xml:space="preserve">, </w:t>
      </w:r>
      <w:r w:rsidRPr="00C71CCB">
        <w:t>p.</w:t>
      </w:r>
      <w:r w:rsidR="00BC55C3" w:rsidRPr="00C71CCB">
        <w:t xml:space="preserve"> 22.</w:t>
      </w:r>
    </w:p>
  </w:footnote>
  <w:footnote w:id="16">
    <w:p w14:paraId="1FF5914B" w14:textId="22088410" w:rsidR="00BC55C3" w:rsidRPr="00C71CCB" w:rsidRDefault="00BC55C3" w:rsidP="00FC4F2C">
      <w:pPr>
        <w:pStyle w:val="FootnoteText"/>
      </w:pPr>
      <w:r w:rsidRPr="00C71CCB">
        <w:rPr>
          <w:rStyle w:val="FootnoteReference"/>
          <w:rFonts w:cs="Calibri"/>
        </w:rPr>
        <w:footnoteRef/>
      </w:r>
      <w:r w:rsidRPr="00C71CCB">
        <w:t xml:space="preserve"> </w:t>
      </w:r>
      <w:r w:rsidR="0024419C">
        <w:tab/>
      </w:r>
      <w:r w:rsidR="002620B3" w:rsidRPr="00C71CCB">
        <w:t>RBA (2023a).</w:t>
      </w:r>
    </w:p>
  </w:footnote>
  <w:footnote w:id="17">
    <w:p w14:paraId="3DE5CD69" w14:textId="305E1800" w:rsidR="00A54459" w:rsidRPr="00C71CCB" w:rsidRDefault="00A54459" w:rsidP="00FC4F2C">
      <w:pPr>
        <w:pStyle w:val="FootnoteText"/>
      </w:pPr>
      <w:r w:rsidRPr="00C71CCB">
        <w:rPr>
          <w:rStyle w:val="FootnoteReference"/>
          <w:rFonts w:cs="Calibri"/>
        </w:rPr>
        <w:footnoteRef/>
      </w:r>
      <w:r w:rsidRPr="00C71CCB">
        <w:t xml:space="preserve"> </w:t>
      </w:r>
      <w:r w:rsidR="0024419C">
        <w:tab/>
      </w:r>
      <w:r w:rsidRPr="00C71CCB">
        <w:t>ABS (2023</w:t>
      </w:r>
      <w:r w:rsidR="00B747DA" w:rsidRPr="00C71CCB">
        <w:t>a</w:t>
      </w:r>
      <w:r w:rsidRPr="00C71CCB">
        <w:t>).</w:t>
      </w:r>
    </w:p>
  </w:footnote>
  <w:footnote w:id="18">
    <w:p w14:paraId="3405F7E8" w14:textId="57D98109" w:rsidR="00A54459" w:rsidRPr="00C71CCB" w:rsidRDefault="00A54459" w:rsidP="00FC4F2C">
      <w:pPr>
        <w:pStyle w:val="FootnoteText"/>
      </w:pPr>
      <w:r w:rsidRPr="00C71CCB">
        <w:rPr>
          <w:rStyle w:val="FootnoteReference"/>
          <w:rFonts w:cs="Calibri"/>
        </w:rPr>
        <w:footnoteRef/>
      </w:r>
      <w:r w:rsidRPr="00C71CCB">
        <w:t xml:space="preserve"> </w:t>
      </w:r>
      <w:r w:rsidR="0024419C">
        <w:tab/>
      </w:r>
      <w:r w:rsidRPr="00C71CCB">
        <w:t>RBA (</w:t>
      </w:r>
      <w:r w:rsidRPr="00FE004C">
        <w:t>2023</w:t>
      </w:r>
      <w:r w:rsidR="00B8142E">
        <w:t>a</w:t>
      </w:r>
      <w:r w:rsidRPr="00FE004C">
        <w:t>)</w:t>
      </w:r>
      <w:r w:rsidR="00345630">
        <w:t>; Commonwealth of Australia (2023)</w:t>
      </w:r>
      <w:r w:rsidR="00222A54">
        <w:t xml:space="preserve">, </w:t>
      </w:r>
      <w:r w:rsidR="00222A54" w:rsidRPr="00222A54">
        <w:rPr>
          <w:i/>
          <w:iCs/>
        </w:rPr>
        <w:t>Budget Paper No. 1: Budget Strategy and Outlook</w:t>
      </w:r>
      <w:r w:rsidR="00222A54" w:rsidRPr="00222A54">
        <w:t>, p. 58</w:t>
      </w:r>
      <w:r w:rsidRPr="00FE004C">
        <w:t>.</w:t>
      </w:r>
    </w:p>
  </w:footnote>
  <w:footnote w:id="19">
    <w:p w14:paraId="6404530D" w14:textId="701E3CD0" w:rsidR="00A54459" w:rsidRDefault="00A54459" w:rsidP="00FC4F2C">
      <w:pPr>
        <w:pStyle w:val="FootnoteText"/>
      </w:pPr>
      <w:r w:rsidRPr="00C71CCB">
        <w:rPr>
          <w:rStyle w:val="FootnoteReference"/>
          <w:rFonts w:cs="Calibri"/>
        </w:rPr>
        <w:footnoteRef/>
      </w:r>
      <w:r w:rsidRPr="00C71CCB">
        <w:t xml:space="preserve"> </w:t>
      </w:r>
      <w:r w:rsidR="0024419C">
        <w:tab/>
      </w:r>
      <w:r w:rsidRPr="00C71CCB">
        <w:t>DTF (2023)</w:t>
      </w:r>
      <w:r w:rsidR="00AD45E0" w:rsidRPr="00C71CCB">
        <w:t xml:space="preserve">, </w:t>
      </w:r>
      <w:r w:rsidR="00FC4F2C" w:rsidRPr="00FC4F2C">
        <w:rPr>
          <w:i/>
          <w:iCs/>
        </w:rPr>
        <w:t>Budget Paper No. 2: Strategy and Outlook</w:t>
      </w:r>
      <w:r w:rsidR="00FC4F2C" w:rsidRPr="00FC4F2C" w:rsidDel="00FC4F2C">
        <w:rPr>
          <w:i/>
          <w:iCs/>
        </w:rPr>
        <w:t xml:space="preserve"> </w:t>
      </w:r>
      <w:r w:rsidR="002029EF" w:rsidRPr="00C71CCB">
        <w:t xml:space="preserve">, </w:t>
      </w:r>
      <w:r w:rsidR="00AD45E0" w:rsidRPr="00C71CCB">
        <w:t>p. 22</w:t>
      </w:r>
      <w:r w:rsidRPr="00C71CCB">
        <w:t>.</w:t>
      </w:r>
    </w:p>
  </w:footnote>
  <w:footnote w:id="20">
    <w:p w14:paraId="2C5C4A5C" w14:textId="03A85542" w:rsidR="002029EF" w:rsidRPr="00C71CCB" w:rsidRDefault="002029EF" w:rsidP="00815255">
      <w:pPr>
        <w:pStyle w:val="FootnoteText"/>
      </w:pPr>
      <w:r w:rsidRPr="00C71CCB">
        <w:rPr>
          <w:rStyle w:val="FootnoteReference"/>
          <w:rFonts w:cs="Calibri"/>
        </w:rPr>
        <w:footnoteRef/>
      </w:r>
      <w:r w:rsidRPr="00C71CCB">
        <w:t xml:space="preserve"> </w:t>
      </w:r>
      <w:r w:rsidR="0070741A">
        <w:tab/>
      </w:r>
      <w:r w:rsidRPr="00C71CCB">
        <w:t xml:space="preserve">DTF (2023), </w:t>
      </w:r>
      <w:r w:rsidR="00804057" w:rsidRPr="00815255">
        <w:rPr>
          <w:i/>
          <w:iCs/>
        </w:rPr>
        <w:t>Budget Paper No. 5: Statement of Finances</w:t>
      </w:r>
      <w:r w:rsidR="00815255">
        <w:t xml:space="preserve">, </w:t>
      </w:r>
      <w:r w:rsidRPr="00C71CCB">
        <w:t xml:space="preserve">p. </w:t>
      </w:r>
      <w:r w:rsidR="00E015DA" w:rsidRPr="00C71CCB">
        <w:t>221.</w:t>
      </w:r>
    </w:p>
  </w:footnote>
  <w:footnote w:id="21">
    <w:p w14:paraId="06D2C346" w14:textId="045778C9" w:rsidR="00E015DA" w:rsidRPr="00C71CCB" w:rsidRDefault="00E015DA" w:rsidP="00815255">
      <w:pPr>
        <w:pStyle w:val="FootnoteText"/>
      </w:pPr>
      <w:r w:rsidRPr="00C71CCB">
        <w:rPr>
          <w:rStyle w:val="FootnoteReference"/>
          <w:rFonts w:cs="Calibri"/>
        </w:rPr>
        <w:footnoteRef/>
      </w:r>
      <w:r w:rsidRPr="00C71CCB">
        <w:t xml:space="preserve"> </w:t>
      </w:r>
      <w:r w:rsidR="0070741A">
        <w:tab/>
      </w:r>
      <w:r w:rsidRPr="00C71CCB">
        <w:t xml:space="preserve">DTF (2023), </w:t>
      </w:r>
      <w:r w:rsidRPr="00815255">
        <w:rPr>
          <w:i/>
          <w:iCs/>
        </w:rPr>
        <w:t>Budget Paper No. 2</w:t>
      </w:r>
      <w:r w:rsidR="00815255" w:rsidRPr="00815255">
        <w:rPr>
          <w:i/>
          <w:iCs/>
        </w:rPr>
        <w:t>: Strategy and Outlook</w:t>
      </w:r>
      <w:r w:rsidRPr="00C71CCB">
        <w:t>, p.</w:t>
      </w:r>
      <w:r w:rsidR="004A4D7A" w:rsidRPr="00C71CCB">
        <w:t xml:space="preserve"> 3.</w:t>
      </w:r>
    </w:p>
  </w:footnote>
  <w:footnote w:id="22">
    <w:p w14:paraId="0E3042A4" w14:textId="0B810ABC" w:rsidR="00C36158" w:rsidRPr="00C71CCB" w:rsidRDefault="00C36158" w:rsidP="00815255">
      <w:pPr>
        <w:pStyle w:val="FootnoteText"/>
      </w:pPr>
      <w:r w:rsidRPr="00C71CCB">
        <w:rPr>
          <w:rStyle w:val="FootnoteReference"/>
          <w:rFonts w:cs="Calibri"/>
        </w:rPr>
        <w:footnoteRef/>
      </w:r>
      <w:r w:rsidRPr="00C71CCB">
        <w:t xml:space="preserve"> </w:t>
      </w:r>
      <w:r w:rsidR="0070741A">
        <w:tab/>
      </w:r>
      <w:r w:rsidRPr="00C71CCB">
        <w:t>Industrial Relations Victoria (2023), p. 3.</w:t>
      </w:r>
    </w:p>
  </w:footnote>
  <w:footnote w:id="23">
    <w:p w14:paraId="496F0F5D" w14:textId="1F506198" w:rsidR="00C36158" w:rsidRDefault="00C36158" w:rsidP="00815255">
      <w:pPr>
        <w:pStyle w:val="FootnoteText"/>
      </w:pPr>
      <w:r w:rsidRPr="00C71CCB">
        <w:rPr>
          <w:rStyle w:val="FootnoteReference"/>
          <w:rFonts w:cs="Calibri"/>
        </w:rPr>
        <w:footnoteRef/>
      </w:r>
      <w:r w:rsidRPr="00C71CCB">
        <w:t xml:space="preserve"> </w:t>
      </w:r>
      <w:r w:rsidR="0070741A">
        <w:tab/>
      </w:r>
      <w:r w:rsidRPr="00C71CCB">
        <w:t>Fair Work Commission (2023), p</w:t>
      </w:r>
      <w:r w:rsidR="00DD1F7C" w:rsidRPr="00C71CCB">
        <w:t>p</w:t>
      </w:r>
      <w:r w:rsidRPr="00C71CCB">
        <w:t xml:space="preserve">. </w:t>
      </w:r>
      <w:r w:rsidR="00DD1F7C" w:rsidRPr="00C71CCB">
        <w:t>69-72.</w:t>
      </w:r>
    </w:p>
  </w:footnote>
  <w:footnote w:id="24">
    <w:p w14:paraId="440C788B" w14:textId="265E1B2C" w:rsidR="00A92121" w:rsidRPr="00C71CCB" w:rsidDel="00C618C9" w:rsidRDefault="002C24F2" w:rsidP="007B5A1B">
      <w:pPr>
        <w:pStyle w:val="Footnotes"/>
      </w:pPr>
      <w:r w:rsidRPr="00C71CCB">
        <w:rPr>
          <w:rStyle w:val="FootnoteReference"/>
          <w:rFonts w:cs="Calibri"/>
        </w:rPr>
        <w:footnoteRef/>
      </w:r>
      <w:r w:rsidRPr="00C71CCB">
        <w:t xml:space="preserve"> </w:t>
      </w:r>
      <w:r w:rsidR="00861552">
        <w:tab/>
      </w:r>
      <w:r w:rsidR="009716DB" w:rsidRPr="00C71CCB">
        <w:t>Victorian Independent Remuneration Tribunal (2023).</w:t>
      </w:r>
    </w:p>
  </w:footnote>
  <w:footnote w:id="25">
    <w:p w14:paraId="3E682CCA" w14:textId="115F5AAB" w:rsidR="001B7B60" w:rsidRDefault="001B7B60" w:rsidP="007B5A1B">
      <w:pPr>
        <w:pStyle w:val="Footnotes"/>
      </w:pPr>
      <w:r w:rsidRPr="00C71CCB">
        <w:rPr>
          <w:rStyle w:val="FootnoteReference"/>
          <w:rFonts w:cs="Calibri"/>
        </w:rPr>
        <w:footnoteRef/>
      </w:r>
      <w:r w:rsidRPr="00C71CCB">
        <w:t xml:space="preserve"> </w:t>
      </w:r>
      <w:r w:rsidR="00861552">
        <w:tab/>
      </w:r>
      <w:r w:rsidRPr="00C71CCB">
        <w:t>State Government of Victoria (2022)</w:t>
      </w:r>
      <w:r w:rsidR="00AB4890" w:rsidRPr="00C71CCB">
        <w:t>.</w:t>
      </w:r>
    </w:p>
  </w:footnote>
  <w:footnote w:id="26">
    <w:p w14:paraId="22C85732" w14:textId="3A638312" w:rsidR="00665C76" w:rsidRDefault="00665C76" w:rsidP="00F34738">
      <w:pPr>
        <w:pStyle w:val="Footnotes"/>
      </w:pPr>
      <w:r>
        <w:rPr>
          <w:rStyle w:val="FootnoteReference"/>
        </w:rPr>
        <w:footnoteRef/>
      </w:r>
      <w:r>
        <w:t xml:space="preserve"> </w:t>
      </w:r>
      <w:r w:rsidR="00F34738">
        <w:tab/>
      </w:r>
      <w:r>
        <w:t>RBA (</w:t>
      </w:r>
      <w:r w:rsidRPr="00AA79D8">
        <w:t>2023</w:t>
      </w:r>
      <w:r w:rsidR="007B5A1B" w:rsidRPr="00AA79D8">
        <w:t>c</w:t>
      </w:r>
      <w:r w:rsidRPr="00AA79D8">
        <w:t>),</w:t>
      </w:r>
      <w:r>
        <w:t xml:space="preserve"> pp. 5-</w:t>
      </w:r>
      <w:r w:rsidR="00A072DA">
        <w:t>7</w:t>
      </w:r>
      <w:r>
        <w:t>.</w:t>
      </w:r>
    </w:p>
  </w:footnote>
  <w:footnote w:id="27">
    <w:p w14:paraId="7AC5E2D1" w14:textId="193DDB5A" w:rsidR="00665C76" w:rsidRPr="00C71CCB" w:rsidRDefault="00665C76" w:rsidP="00AE798F">
      <w:pPr>
        <w:pStyle w:val="Footnotes"/>
      </w:pPr>
      <w:r w:rsidRPr="00C71CCB">
        <w:rPr>
          <w:rStyle w:val="FootnoteReference"/>
          <w:rFonts w:cs="Calibri"/>
        </w:rPr>
        <w:footnoteRef/>
      </w:r>
      <w:r w:rsidRPr="00C71CCB">
        <w:t xml:space="preserve"> </w:t>
      </w:r>
      <w:r w:rsidR="00F34738">
        <w:tab/>
      </w:r>
      <w:r w:rsidRPr="00C71CCB">
        <w:t>ABS (2023</w:t>
      </w:r>
      <w:r w:rsidR="00F34738">
        <w:t>a</w:t>
      </w:r>
      <w:r w:rsidRPr="00C71CCB">
        <w:t>).</w:t>
      </w:r>
    </w:p>
  </w:footnote>
  <w:footnote w:id="28">
    <w:p w14:paraId="149B5AF9" w14:textId="29A357F6" w:rsidR="00665C76" w:rsidRPr="00C71CCB" w:rsidRDefault="00665C76" w:rsidP="00AE798F">
      <w:pPr>
        <w:pStyle w:val="Footnotes"/>
      </w:pPr>
      <w:r w:rsidRPr="00C71CCB">
        <w:rPr>
          <w:rStyle w:val="FootnoteReference"/>
          <w:rFonts w:cs="Calibri"/>
        </w:rPr>
        <w:footnoteRef/>
      </w:r>
      <w:r w:rsidRPr="00C71CCB">
        <w:t xml:space="preserve"> </w:t>
      </w:r>
      <w:r w:rsidR="00F34738">
        <w:tab/>
      </w:r>
      <w:r w:rsidRPr="00C71CCB">
        <w:t>RBA (2023</w:t>
      </w:r>
      <w:r w:rsidR="004F0C26">
        <w:t>c</w:t>
      </w:r>
      <w:r w:rsidRPr="00C71CCB">
        <w:t>), p. 1.</w:t>
      </w:r>
    </w:p>
  </w:footnote>
  <w:footnote w:id="29">
    <w:p w14:paraId="26FDBD6D" w14:textId="25E72C93" w:rsidR="00665C76" w:rsidRPr="00C71CCB" w:rsidRDefault="00665C76" w:rsidP="00AE798F">
      <w:pPr>
        <w:pStyle w:val="Footnotes"/>
      </w:pPr>
      <w:r w:rsidRPr="00C71CCB">
        <w:rPr>
          <w:rStyle w:val="FootnoteReference"/>
          <w:rFonts w:cs="Calibri"/>
        </w:rPr>
        <w:footnoteRef/>
      </w:r>
      <w:r w:rsidRPr="00C71CCB">
        <w:t xml:space="preserve"> </w:t>
      </w:r>
      <w:r w:rsidR="00F34738">
        <w:tab/>
      </w:r>
      <w:r w:rsidRPr="00C71CCB">
        <w:t>ABS (2023</w:t>
      </w:r>
      <w:r w:rsidR="00AE798F">
        <w:t>c</w:t>
      </w:r>
      <w:r w:rsidRPr="00C71CCB">
        <w:t>).</w:t>
      </w:r>
    </w:p>
  </w:footnote>
  <w:footnote w:id="30">
    <w:p w14:paraId="6F58D690" w14:textId="3B8693FB" w:rsidR="00665C76" w:rsidRPr="00C71CCB" w:rsidRDefault="00665C76" w:rsidP="00AE798F">
      <w:pPr>
        <w:pStyle w:val="Footnotes"/>
      </w:pPr>
      <w:r w:rsidRPr="00C71CCB">
        <w:rPr>
          <w:rStyle w:val="FootnoteReference"/>
          <w:rFonts w:cs="Calibri"/>
        </w:rPr>
        <w:footnoteRef/>
      </w:r>
      <w:r w:rsidRPr="00C71CCB">
        <w:t xml:space="preserve"> </w:t>
      </w:r>
      <w:r w:rsidR="00F34738">
        <w:tab/>
      </w:r>
      <w:r w:rsidRPr="00C71CCB">
        <w:t>RBA (2023</w:t>
      </w:r>
      <w:r w:rsidR="00AE798F">
        <w:t>b</w:t>
      </w:r>
      <w:r w:rsidRPr="00C71CCB">
        <w:t>).</w:t>
      </w:r>
    </w:p>
  </w:footnote>
  <w:footnote w:id="31">
    <w:p w14:paraId="3E2C3598" w14:textId="332F5692" w:rsidR="00665C76" w:rsidRPr="00C71CCB" w:rsidRDefault="00665C76" w:rsidP="00AE798F">
      <w:pPr>
        <w:pStyle w:val="Footnotes"/>
      </w:pPr>
      <w:r w:rsidRPr="00C71CCB">
        <w:rPr>
          <w:rStyle w:val="FootnoteReference"/>
          <w:rFonts w:cs="Calibri"/>
        </w:rPr>
        <w:footnoteRef/>
      </w:r>
      <w:r w:rsidRPr="00C71CCB">
        <w:t xml:space="preserve"> </w:t>
      </w:r>
      <w:r w:rsidR="00F34738">
        <w:tab/>
      </w:r>
      <w:r w:rsidRPr="00C71CCB">
        <w:t>RBA (2023</w:t>
      </w:r>
      <w:r w:rsidR="00326758">
        <w:t>c</w:t>
      </w:r>
      <w:r w:rsidRPr="00C71CCB">
        <w:t>), p. 21.</w:t>
      </w:r>
    </w:p>
  </w:footnote>
  <w:footnote w:id="32">
    <w:p w14:paraId="4110D59F" w14:textId="10E77477" w:rsidR="00665C76" w:rsidRDefault="00665C76" w:rsidP="00AE798F">
      <w:pPr>
        <w:pStyle w:val="Footnotes"/>
      </w:pPr>
      <w:r w:rsidRPr="00C71CCB">
        <w:rPr>
          <w:rStyle w:val="FootnoteReference"/>
          <w:rFonts w:cs="Calibri"/>
        </w:rPr>
        <w:footnoteRef/>
      </w:r>
      <w:r w:rsidRPr="00C71CCB">
        <w:t xml:space="preserve"> </w:t>
      </w:r>
      <w:r w:rsidR="00F34738">
        <w:tab/>
      </w:r>
      <w:r w:rsidRPr="00C71CCB">
        <w:t>ABS (2023</w:t>
      </w:r>
      <w:r w:rsidR="00D10F9B">
        <w:t>f</w:t>
      </w:r>
      <w:r w:rsidRPr="00C71CCB">
        <w:t>).</w:t>
      </w:r>
    </w:p>
  </w:footnote>
  <w:footnote w:id="33">
    <w:p w14:paraId="3DE00097" w14:textId="0EC32729" w:rsidR="00665C76" w:rsidRPr="00C71CCB" w:rsidRDefault="00665C76" w:rsidP="006A17E8">
      <w:pPr>
        <w:pStyle w:val="Footnotes"/>
      </w:pPr>
      <w:r w:rsidRPr="00C71CCB">
        <w:rPr>
          <w:rStyle w:val="FootnoteReference"/>
          <w:rFonts w:cs="Calibri"/>
        </w:rPr>
        <w:footnoteRef/>
      </w:r>
      <w:r w:rsidRPr="00C71CCB">
        <w:t xml:space="preserve"> </w:t>
      </w:r>
      <w:r w:rsidR="00AE798F">
        <w:tab/>
      </w:r>
      <w:r w:rsidRPr="00C71CCB">
        <w:t>ABS (</w:t>
      </w:r>
      <w:r w:rsidRPr="006B2F90">
        <w:t>2023</w:t>
      </w:r>
      <w:r w:rsidR="00D10F9B" w:rsidRPr="006B2F90">
        <w:t>f</w:t>
      </w:r>
      <w:r w:rsidRPr="006B2F90">
        <w:t>)</w:t>
      </w:r>
      <w:r w:rsidR="006A17E8">
        <w:t>.</w:t>
      </w:r>
    </w:p>
  </w:footnote>
  <w:footnote w:id="34">
    <w:p w14:paraId="558373CD" w14:textId="4079249E" w:rsidR="00665C76" w:rsidRPr="00C71CCB" w:rsidRDefault="00665C76" w:rsidP="006A17E8">
      <w:pPr>
        <w:pStyle w:val="Footnotes"/>
      </w:pPr>
      <w:r w:rsidRPr="00C71CCB">
        <w:rPr>
          <w:rStyle w:val="FootnoteReference"/>
          <w:rFonts w:cs="Calibri"/>
        </w:rPr>
        <w:footnoteRef/>
      </w:r>
      <w:r w:rsidRPr="00C71CCB">
        <w:t xml:space="preserve"> </w:t>
      </w:r>
      <w:r w:rsidR="00AE798F">
        <w:tab/>
      </w:r>
      <w:r w:rsidRPr="00C71CCB">
        <w:t>FWC (2023), pp. 69-72.</w:t>
      </w:r>
    </w:p>
  </w:footnote>
  <w:footnote w:id="35">
    <w:p w14:paraId="2EFE5C3C" w14:textId="4C61587D" w:rsidR="00665C76" w:rsidRPr="00C71CCB" w:rsidRDefault="00665C76" w:rsidP="006A17E8">
      <w:pPr>
        <w:pStyle w:val="Footnotes"/>
      </w:pPr>
      <w:r w:rsidRPr="00C71CCB">
        <w:rPr>
          <w:rStyle w:val="FootnoteReference"/>
          <w:rFonts w:cs="Calibri"/>
        </w:rPr>
        <w:footnoteRef/>
      </w:r>
      <w:r w:rsidRPr="00C71CCB">
        <w:t xml:space="preserve"> </w:t>
      </w:r>
      <w:r w:rsidR="00AE798F">
        <w:tab/>
      </w:r>
      <w:r w:rsidRPr="00C71CCB">
        <w:t>FWC (2023), pp. 69-70.</w:t>
      </w:r>
    </w:p>
  </w:footnote>
  <w:footnote w:id="36">
    <w:p w14:paraId="6F253EB0" w14:textId="25E563FA" w:rsidR="00665C76" w:rsidRPr="00C71CCB" w:rsidRDefault="00665C76" w:rsidP="006A17E8">
      <w:pPr>
        <w:pStyle w:val="Footnotes"/>
      </w:pPr>
      <w:r w:rsidRPr="00C71CCB">
        <w:rPr>
          <w:rStyle w:val="FootnoteReference"/>
          <w:rFonts w:cs="Calibri"/>
        </w:rPr>
        <w:footnoteRef/>
      </w:r>
      <w:r w:rsidRPr="00C71CCB">
        <w:t xml:space="preserve"> </w:t>
      </w:r>
      <w:r w:rsidR="00AE798F">
        <w:tab/>
      </w:r>
      <w:r w:rsidRPr="00C71CCB">
        <w:t>FWC (2023), p. 7.</w:t>
      </w:r>
    </w:p>
  </w:footnote>
  <w:footnote w:id="37">
    <w:p w14:paraId="02E2DE6D" w14:textId="68C1BB21" w:rsidR="00665C76" w:rsidRPr="00C71CCB" w:rsidRDefault="00665C76" w:rsidP="00EF79D5">
      <w:pPr>
        <w:pStyle w:val="Footnotes"/>
      </w:pPr>
      <w:r w:rsidRPr="00C71CCB">
        <w:rPr>
          <w:rStyle w:val="FootnoteReference"/>
          <w:rFonts w:cs="Calibri"/>
        </w:rPr>
        <w:footnoteRef/>
      </w:r>
      <w:r w:rsidRPr="00C71CCB">
        <w:t xml:space="preserve"> </w:t>
      </w:r>
      <w:r w:rsidR="006A17E8">
        <w:tab/>
      </w:r>
      <w:r w:rsidRPr="00C71CCB">
        <w:t>FWC (2023), pp. 70, 72.</w:t>
      </w:r>
    </w:p>
  </w:footnote>
  <w:footnote w:id="38">
    <w:p w14:paraId="547BB212" w14:textId="7B8635C7" w:rsidR="00665C76" w:rsidRDefault="00665C76" w:rsidP="00EF79D5">
      <w:pPr>
        <w:pStyle w:val="Footnotes"/>
      </w:pPr>
      <w:r w:rsidRPr="00C71CCB">
        <w:rPr>
          <w:rStyle w:val="FootnoteReference"/>
          <w:rFonts w:cs="Calibri"/>
        </w:rPr>
        <w:footnoteRef/>
      </w:r>
      <w:r w:rsidRPr="00C71CCB">
        <w:t xml:space="preserve"> </w:t>
      </w:r>
      <w:r w:rsidR="006A17E8">
        <w:tab/>
      </w:r>
      <w:r w:rsidRPr="00C71CCB">
        <w:t>RBA (2023</w:t>
      </w:r>
      <w:r w:rsidR="00DB32AD">
        <w:t>c</w:t>
      </w:r>
      <w:r w:rsidRPr="00C71CCB">
        <w:t>), p. 72.</w:t>
      </w:r>
      <w:r>
        <w:t xml:space="preserve"> </w:t>
      </w:r>
    </w:p>
  </w:footnote>
  <w:footnote w:id="39">
    <w:p w14:paraId="286B3868" w14:textId="7A1E7350" w:rsidR="00665C76" w:rsidRPr="00C71CCB" w:rsidRDefault="00665C76" w:rsidP="00EF79D5">
      <w:pPr>
        <w:pStyle w:val="Footnotes"/>
      </w:pPr>
      <w:r w:rsidRPr="00C71CCB">
        <w:rPr>
          <w:rStyle w:val="FootnoteReference"/>
          <w:rFonts w:cs="Calibri"/>
        </w:rPr>
        <w:footnoteRef/>
      </w:r>
      <w:r w:rsidRPr="00C71CCB">
        <w:t xml:space="preserve"> </w:t>
      </w:r>
      <w:r w:rsidR="006A17E8">
        <w:tab/>
      </w:r>
      <w:r w:rsidRPr="00C71CCB">
        <w:t>RBA (2023</w:t>
      </w:r>
      <w:r w:rsidR="00DB32AD">
        <w:t>c</w:t>
      </w:r>
      <w:r w:rsidRPr="00C71CCB">
        <w:t>), p. 71.</w:t>
      </w:r>
    </w:p>
  </w:footnote>
  <w:footnote w:id="40">
    <w:p w14:paraId="345FAC6C" w14:textId="02F5F060" w:rsidR="00665C76" w:rsidRPr="00C71CCB" w:rsidRDefault="00665C76" w:rsidP="00EF79D5">
      <w:pPr>
        <w:pStyle w:val="Footnotes"/>
      </w:pPr>
      <w:r w:rsidRPr="00C71CCB">
        <w:rPr>
          <w:rStyle w:val="FootnoteReference"/>
          <w:rFonts w:cs="Calibri"/>
        </w:rPr>
        <w:footnoteRef/>
      </w:r>
      <w:r w:rsidRPr="00C71CCB">
        <w:t xml:space="preserve"> </w:t>
      </w:r>
      <w:r w:rsidR="006A17E8">
        <w:tab/>
      </w:r>
      <w:r w:rsidRPr="00C71CCB">
        <w:t>RBA (2023</w:t>
      </w:r>
      <w:r w:rsidR="00DB32AD">
        <w:t>c</w:t>
      </w:r>
      <w:r w:rsidRPr="00C71CCB">
        <w:t>), pp. 74-75.</w:t>
      </w:r>
    </w:p>
  </w:footnote>
  <w:footnote w:id="41">
    <w:p w14:paraId="55667F61" w14:textId="6C9F7E78" w:rsidR="00665C76" w:rsidRPr="00C71CCB" w:rsidRDefault="00665C76" w:rsidP="00EF79D5">
      <w:pPr>
        <w:pStyle w:val="Footnotes"/>
      </w:pPr>
      <w:r w:rsidRPr="00C71CCB">
        <w:rPr>
          <w:rStyle w:val="FootnoteReference"/>
          <w:rFonts w:cs="Calibri"/>
        </w:rPr>
        <w:footnoteRef/>
      </w:r>
      <w:r w:rsidRPr="00C71CCB">
        <w:t xml:space="preserve"> </w:t>
      </w:r>
      <w:r w:rsidR="006A17E8">
        <w:tab/>
      </w:r>
      <w:r w:rsidRPr="00C71CCB">
        <w:t>RBA (2023</w:t>
      </w:r>
      <w:r w:rsidR="00DB32AD">
        <w:t>c</w:t>
      </w:r>
      <w:r w:rsidRPr="00C71CCB">
        <w:t>), p. 75.</w:t>
      </w:r>
    </w:p>
  </w:footnote>
  <w:footnote w:id="42">
    <w:p w14:paraId="58318567" w14:textId="0785F4D0" w:rsidR="00665C76" w:rsidRDefault="00665C76" w:rsidP="00EF79D5">
      <w:pPr>
        <w:pStyle w:val="Footnotes"/>
      </w:pPr>
      <w:r w:rsidRPr="00C71CCB">
        <w:rPr>
          <w:rStyle w:val="FootnoteReference"/>
          <w:rFonts w:cs="Calibri"/>
        </w:rPr>
        <w:footnoteRef/>
      </w:r>
      <w:r w:rsidRPr="00C71CCB">
        <w:t xml:space="preserve"> </w:t>
      </w:r>
      <w:r w:rsidR="006A17E8">
        <w:tab/>
      </w:r>
      <w:r w:rsidRPr="00C71CCB">
        <w:t xml:space="preserve">Commonwealth </w:t>
      </w:r>
      <w:r w:rsidR="00DB32AD">
        <w:t>of Australia</w:t>
      </w:r>
      <w:r w:rsidRPr="00C71CCB">
        <w:t xml:space="preserve"> (2023), </w:t>
      </w:r>
      <w:r w:rsidRPr="00EF79D5">
        <w:rPr>
          <w:i/>
          <w:iCs/>
        </w:rPr>
        <w:t>Budget Paper No. 1: Budget Strategy and Outlook</w:t>
      </w:r>
      <w:r w:rsidRPr="00C71CCB">
        <w:t>, p.</w:t>
      </w:r>
      <w:r w:rsidR="00DB32AD">
        <w:t> </w:t>
      </w:r>
      <w:r w:rsidRPr="00C71CCB">
        <w:t>58.</w:t>
      </w:r>
    </w:p>
  </w:footnote>
  <w:footnote w:id="43">
    <w:p w14:paraId="7ED7A019" w14:textId="1F8A45D9" w:rsidR="00665C76" w:rsidRPr="00C71CCB" w:rsidRDefault="00665C76" w:rsidP="00D05897">
      <w:pPr>
        <w:pStyle w:val="Footnotes"/>
      </w:pPr>
      <w:r w:rsidRPr="00C71CCB">
        <w:rPr>
          <w:rStyle w:val="FootnoteReference"/>
          <w:rFonts w:cs="Calibri"/>
        </w:rPr>
        <w:footnoteRef/>
      </w:r>
      <w:r w:rsidRPr="00C71CCB">
        <w:t xml:space="preserve"> </w:t>
      </w:r>
      <w:r w:rsidR="00D05897">
        <w:tab/>
      </w:r>
      <w:r w:rsidRPr="00C71CCB">
        <w:t>ABS (2022).</w:t>
      </w:r>
    </w:p>
  </w:footnote>
  <w:footnote w:id="44">
    <w:p w14:paraId="3125DD90" w14:textId="0E77DE15" w:rsidR="00665C76" w:rsidRPr="00C71CCB" w:rsidRDefault="00665C76" w:rsidP="00D05897">
      <w:pPr>
        <w:pStyle w:val="Footnotes"/>
      </w:pPr>
      <w:r w:rsidRPr="00C71CCB">
        <w:rPr>
          <w:rStyle w:val="FootnoteReference"/>
          <w:rFonts w:cs="Calibri"/>
        </w:rPr>
        <w:footnoteRef/>
      </w:r>
      <w:r w:rsidRPr="00C71CCB">
        <w:t xml:space="preserve"> </w:t>
      </w:r>
      <w:r w:rsidR="00D05897">
        <w:tab/>
      </w:r>
      <w:r w:rsidRPr="00C71CCB">
        <w:t>State Final Demand is a broad measure of the demand for goods and services in the Victorian economy. It is distinct from GSP as it does not measure output or production.</w:t>
      </w:r>
    </w:p>
  </w:footnote>
  <w:footnote w:id="45">
    <w:p w14:paraId="14B1A82B" w14:textId="7C01A221" w:rsidR="00665C76" w:rsidRPr="00A41ACA" w:rsidRDefault="00665C76" w:rsidP="00D05897">
      <w:pPr>
        <w:pStyle w:val="Footnotes"/>
      </w:pPr>
      <w:r w:rsidRPr="00C71CCB">
        <w:rPr>
          <w:rStyle w:val="FootnoteReference"/>
          <w:rFonts w:cs="Calibri"/>
        </w:rPr>
        <w:footnoteRef/>
      </w:r>
      <w:r w:rsidRPr="00C71CCB">
        <w:t xml:space="preserve"> </w:t>
      </w:r>
      <w:r w:rsidR="00D05897">
        <w:tab/>
      </w:r>
      <w:r w:rsidRPr="00C71CCB">
        <w:t>ABS (</w:t>
      </w:r>
      <w:r w:rsidRPr="00A41ACA">
        <w:t>2023</w:t>
      </w:r>
      <w:r w:rsidR="00D05897" w:rsidRPr="00A41ACA">
        <w:t>a</w:t>
      </w:r>
      <w:r w:rsidRPr="00A41ACA">
        <w:t>).</w:t>
      </w:r>
    </w:p>
  </w:footnote>
  <w:footnote w:id="46">
    <w:p w14:paraId="7E8D3EB4" w14:textId="7A9E7097" w:rsidR="00665C76" w:rsidRPr="00C71CCB" w:rsidRDefault="00665C76" w:rsidP="00D05897">
      <w:pPr>
        <w:pStyle w:val="Footnotes"/>
      </w:pPr>
      <w:r w:rsidRPr="00A41ACA">
        <w:rPr>
          <w:rStyle w:val="FootnoteReference"/>
          <w:rFonts w:cs="Calibri"/>
        </w:rPr>
        <w:footnoteRef/>
      </w:r>
      <w:r w:rsidRPr="00A41ACA">
        <w:t xml:space="preserve"> </w:t>
      </w:r>
      <w:r w:rsidR="00D05897" w:rsidRPr="00A41ACA">
        <w:tab/>
      </w:r>
      <w:r w:rsidRPr="00A41ACA">
        <w:t>ABS (2023</w:t>
      </w:r>
      <w:r w:rsidR="00536218" w:rsidRPr="00A41ACA">
        <w:t>e</w:t>
      </w:r>
      <w:r w:rsidRPr="00A41ACA">
        <w:t>).</w:t>
      </w:r>
    </w:p>
  </w:footnote>
  <w:footnote w:id="47">
    <w:p w14:paraId="4B60A404" w14:textId="36CB862C" w:rsidR="008A1296" w:rsidRDefault="008A1296" w:rsidP="00D05897">
      <w:pPr>
        <w:pStyle w:val="Footnotes"/>
      </w:pPr>
      <w:r>
        <w:rPr>
          <w:rStyle w:val="FootnoteReference"/>
        </w:rPr>
        <w:footnoteRef/>
      </w:r>
      <w:r>
        <w:t xml:space="preserve"> </w:t>
      </w:r>
      <w:r w:rsidR="00D05897">
        <w:tab/>
      </w:r>
      <w:r w:rsidR="00B072FB" w:rsidRPr="00B072FB">
        <w:t>‘Volatile items’ are fruit, vegetables and automotive fuel</w:t>
      </w:r>
      <w:r w:rsidR="00B072FB" w:rsidRPr="00D05897">
        <w:t>. (ABS 2023d).</w:t>
      </w:r>
    </w:p>
  </w:footnote>
  <w:footnote w:id="48">
    <w:p w14:paraId="0BAB6B5E" w14:textId="59296BD4" w:rsidR="00665C76" w:rsidRPr="00C71CCB" w:rsidRDefault="00665C76" w:rsidP="00D05897">
      <w:pPr>
        <w:pStyle w:val="Footnotes"/>
      </w:pPr>
      <w:r w:rsidRPr="00C71CCB">
        <w:rPr>
          <w:rStyle w:val="FootnoteReference"/>
          <w:rFonts w:cs="Calibri"/>
        </w:rPr>
        <w:footnoteRef/>
      </w:r>
      <w:r w:rsidRPr="00C71CCB">
        <w:t xml:space="preserve"> </w:t>
      </w:r>
      <w:r w:rsidR="00D05897">
        <w:tab/>
      </w:r>
      <w:r w:rsidRPr="00C71CCB">
        <w:t>ABS (2023</w:t>
      </w:r>
      <w:r w:rsidR="007440FE">
        <w:t>c</w:t>
      </w:r>
      <w:r w:rsidRPr="00C71CCB">
        <w:t>).</w:t>
      </w:r>
    </w:p>
  </w:footnote>
  <w:footnote w:id="49">
    <w:p w14:paraId="78D6249B" w14:textId="24A2CC24" w:rsidR="00665C76" w:rsidRDefault="00665C76" w:rsidP="007440FE">
      <w:pPr>
        <w:pStyle w:val="Footnotes"/>
      </w:pPr>
      <w:r w:rsidRPr="00347B20">
        <w:rPr>
          <w:rStyle w:val="FootnoteReference"/>
          <w:rFonts w:cs="Calibri"/>
        </w:rPr>
        <w:footnoteRef/>
      </w:r>
      <w:r w:rsidRPr="00347B20">
        <w:t xml:space="preserve"> </w:t>
      </w:r>
      <w:r w:rsidR="007440FE" w:rsidRPr="00347B20">
        <w:tab/>
      </w:r>
      <w:r w:rsidRPr="00347B20">
        <w:t>ABS (2023</w:t>
      </w:r>
      <w:r w:rsidR="00F924DD" w:rsidRPr="00347B20">
        <w:t>f</w:t>
      </w:r>
      <w:r w:rsidRPr="00347B20">
        <w:t>)</w:t>
      </w:r>
      <w:r w:rsidRPr="00C71CCB">
        <w:t>.</w:t>
      </w:r>
    </w:p>
  </w:footnote>
  <w:footnote w:id="50">
    <w:p w14:paraId="4A474CB6" w14:textId="6B621146" w:rsidR="00665C76" w:rsidRPr="00C71CCB" w:rsidRDefault="00665C76" w:rsidP="007440FE">
      <w:pPr>
        <w:pStyle w:val="Footnotes"/>
      </w:pPr>
      <w:r w:rsidRPr="00C71CCB">
        <w:rPr>
          <w:rStyle w:val="FootnoteReference"/>
          <w:rFonts w:cs="Calibri"/>
        </w:rPr>
        <w:footnoteRef/>
      </w:r>
      <w:r w:rsidRPr="00C71CCB">
        <w:t xml:space="preserve"> </w:t>
      </w:r>
      <w:r w:rsidR="007440FE">
        <w:tab/>
      </w:r>
      <w:r w:rsidRPr="00C71CCB">
        <w:t>ABS (202</w:t>
      </w:r>
      <w:r w:rsidR="006F5446">
        <w:t>3b</w:t>
      </w:r>
      <w:r w:rsidRPr="00C71CCB">
        <w:t>).</w:t>
      </w:r>
    </w:p>
  </w:footnote>
  <w:footnote w:id="51">
    <w:p w14:paraId="2C56CC71" w14:textId="1E71A48A" w:rsidR="00665C76" w:rsidRPr="00C71CCB" w:rsidRDefault="00665C76" w:rsidP="007440FE">
      <w:pPr>
        <w:pStyle w:val="Footnotes"/>
      </w:pPr>
      <w:r w:rsidRPr="00C71CCB">
        <w:rPr>
          <w:rStyle w:val="FootnoteReference"/>
          <w:rFonts w:cs="Calibri"/>
        </w:rPr>
        <w:footnoteRef/>
      </w:r>
      <w:r w:rsidRPr="00C71CCB">
        <w:t xml:space="preserve"> </w:t>
      </w:r>
      <w:r w:rsidR="007440FE">
        <w:tab/>
      </w:r>
      <w:r w:rsidRPr="00C71CCB">
        <w:t xml:space="preserve">Department of Employment and Workplace Relations </w:t>
      </w:r>
      <w:r w:rsidR="00FD740E">
        <w:t xml:space="preserve">(Cth) </w:t>
      </w:r>
      <w:r w:rsidRPr="00C71CCB">
        <w:t>(2023), pp. 29, 31.</w:t>
      </w:r>
    </w:p>
  </w:footnote>
  <w:footnote w:id="52">
    <w:p w14:paraId="18EDDB3A" w14:textId="2138ED4F" w:rsidR="00665C76" w:rsidRPr="00C71CCB" w:rsidRDefault="00665C76" w:rsidP="007440FE">
      <w:pPr>
        <w:pStyle w:val="Footnotes"/>
      </w:pPr>
      <w:r w:rsidRPr="00C71CCB">
        <w:rPr>
          <w:rStyle w:val="FootnoteReference"/>
          <w:rFonts w:cs="Calibri"/>
        </w:rPr>
        <w:footnoteRef/>
      </w:r>
      <w:r w:rsidRPr="00C71CCB">
        <w:t xml:space="preserve"> </w:t>
      </w:r>
      <w:r w:rsidR="007440FE">
        <w:tab/>
      </w:r>
      <w:r w:rsidRPr="00C71CCB">
        <w:t>SEEK (2023). The SEEK Advertised Salary Index measures the change in advertised salaries over time for jobs posted on SEEK, while removing much of the effect of compositional change.</w:t>
      </w:r>
    </w:p>
  </w:footnote>
  <w:footnote w:id="53">
    <w:p w14:paraId="7800012E" w14:textId="08F39234" w:rsidR="00665C76" w:rsidRPr="00C71CCB" w:rsidRDefault="00665C76" w:rsidP="007440FE">
      <w:pPr>
        <w:pStyle w:val="Footnotes"/>
      </w:pPr>
      <w:r w:rsidRPr="00C71CCB">
        <w:rPr>
          <w:rStyle w:val="FootnoteReference"/>
          <w:rFonts w:cs="Calibri"/>
        </w:rPr>
        <w:footnoteRef/>
      </w:r>
      <w:r w:rsidRPr="00C71CCB">
        <w:t xml:space="preserve"> </w:t>
      </w:r>
      <w:r w:rsidR="007440FE">
        <w:tab/>
      </w:r>
      <w:r w:rsidRPr="00C71CCB">
        <w:t xml:space="preserve">DTF (2023), </w:t>
      </w:r>
      <w:r w:rsidRPr="00C71CCB">
        <w:rPr>
          <w:i/>
          <w:iCs/>
        </w:rPr>
        <w:t>Budget Paper No. 2: Strategy and Outlook</w:t>
      </w:r>
      <w:r w:rsidRPr="00C71CCB">
        <w:t>, p. 21.</w:t>
      </w:r>
    </w:p>
  </w:footnote>
  <w:footnote w:id="54">
    <w:p w14:paraId="333A3BFF" w14:textId="03FC13DA" w:rsidR="00665C76" w:rsidRDefault="00665C76" w:rsidP="007440FE">
      <w:pPr>
        <w:pStyle w:val="Footnotes"/>
      </w:pPr>
      <w:r w:rsidRPr="00C71CCB">
        <w:rPr>
          <w:rStyle w:val="FootnoteReference"/>
          <w:rFonts w:cs="Calibri"/>
        </w:rPr>
        <w:footnoteRef/>
      </w:r>
      <w:r w:rsidRPr="00C71CCB">
        <w:t xml:space="preserve"> </w:t>
      </w:r>
      <w:r w:rsidR="007440FE">
        <w:tab/>
      </w:r>
      <w:r w:rsidRPr="00C71CCB">
        <w:t>DTF (2023),</w:t>
      </w:r>
      <w:r w:rsidRPr="00C71CCB">
        <w:rPr>
          <w:i/>
          <w:iCs/>
        </w:rPr>
        <w:t xml:space="preserve"> Budget Paper No. 2: Strategy and Outlook</w:t>
      </w:r>
      <w:r w:rsidRPr="00C71CCB">
        <w:t>, p. 22.</w:t>
      </w:r>
    </w:p>
  </w:footnote>
  <w:footnote w:id="55">
    <w:p w14:paraId="5C1C69E5" w14:textId="1D2BD8CF" w:rsidR="00665C76" w:rsidRPr="00C71CCB" w:rsidRDefault="00665C76" w:rsidP="00A05F4E">
      <w:pPr>
        <w:pStyle w:val="Footnotes"/>
      </w:pPr>
      <w:r w:rsidRPr="00C71CCB">
        <w:rPr>
          <w:rStyle w:val="FootnoteReference"/>
          <w:rFonts w:cs="Calibri"/>
        </w:rPr>
        <w:footnoteRef/>
      </w:r>
      <w:r w:rsidRPr="00C71CCB">
        <w:t xml:space="preserve"> </w:t>
      </w:r>
      <w:r w:rsidR="00A05F4E">
        <w:tab/>
      </w:r>
      <w:r w:rsidRPr="00C71CCB">
        <w:t xml:space="preserve">DTF (2023), </w:t>
      </w:r>
      <w:r w:rsidRPr="00A05F4E">
        <w:rPr>
          <w:i/>
          <w:iCs/>
        </w:rPr>
        <w:t>Budget Paper No. 2: Strategy and Outlook</w:t>
      </w:r>
      <w:r w:rsidRPr="00C71CCB">
        <w:t>, p. 39.</w:t>
      </w:r>
    </w:p>
  </w:footnote>
  <w:footnote w:id="56">
    <w:p w14:paraId="4917623D" w14:textId="652BEF4B" w:rsidR="00665C76" w:rsidRDefault="00665C76" w:rsidP="00A05F4E">
      <w:pPr>
        <w:pStyle w:val="Footnotes"/>
      </w:pPr>
      <w:r w:rsidRPr="00C71CCB">
        <w:rPr>
          <w:rStyle w:val="FootnoteReference"/>
          <w:rFonts w:cs="Calibri"/>
        </w:rPr>
        <w:footnoteRef/>
      </w:r>
      <w:r w:rsidRPr="00C71CCB">
        <w:t xml:space="preserve"> </w:t>
      </w:r>
      <w:r w:rsidR="00A05F4E">
        <w:tab/>
      </w:r>
      <w:r w:rsidRPr="00C71CCB">
        <w:t xml:space="preserve">DTF (2023), </w:t>
      </w:r>
      <w:r w:rsidRPr="00A05F4E">
        <w:rPr>
          <w:i/>
          <w:iCs/>
        </w:rPr>
        <w:t>Budget Paper No. 5: Statement of Finances</w:t>
      </w:r>
      <w:r w:rsidRPr="00C71CCB">
        <w:t>, pp. 221-222.</w:t>
      </w:r>
    </w:p>
  </w:footnote>
  <w:footnote w:id="57">
    <w:p w14:paraId="21209527" w14:textId="39CF75C3" w:rsidR="00665C76" w:rsidRPr="00C71CCB" w:rsidRDefault="00665C76" w:rsidP="00245059">
      <w:pPr>
        <w:pStyle w:val="Footnotes"/>
      </w:pPr>
      <w:r w:rsidRPr="00C71CCB">
        <w:rPr>
          <w:rStyle w:val="FootnoteReference"/>
          <w:rFonts w:cs="Calibri"/>
        </w:rPr>
        <w:footnoteRef/>
      </w:r>
      <w:r w:rsidRPr="00C71CCB">
        <w:t xml:space="preserve"> </w:t>
      </w:r>
      <w:r w:rsidR="00A05F4E">
        <w:tab/>
      </w:r>
      <w:r w:rsidRPr="00C71CCB">
        <w:t xml:space="preserve">DTF (2023), </w:t>
      </w:r>
      <w:r w:rsidRPr="00245059">
        <w:rPr>
          <w:i/>
          <w:iCs/>
        </w:rPr>
        <w:t>Budget Paper No. 2: Strategy and Outlook</w:t>
      </w:r>
      <w:r w:rsidRPr="00C71CCB">
        <w:t>, p. 3.</w:t>
      </w:r>
    </w:p>
  </w:footnote>
  <w:footnote w:id="58">
    <w:p w14:paraId="7A06CE95" w14:textId="116D7FBB" w:rsidR="00665C76" w:rsidRPr="00C71CCB" w:rsidRDefault="00665C76" w:rsidP="00245059">
      <w:pPr>
        <w:pStyle w:val="Footnotes"/>
      </w:pPr>
      <w:r w:rsidRPr="00C71CCB">
        <w:rPr>
          <w:rStyle w:val="FootnoteReference"/>
          <w:rFonts w:cs="Calibri"/>
        </w:rPr>
        <w:footnoteRef/>
      </w:r>
      <w:r w:rsidRPr="00C71CCB">
        <w:t xml:space="preserve"> </w:t>
      </w:r>
      <w:r w:rsidR="00A05F4E">
        <w:tab/>
      </w:r>
      <w:r w:rsidRPr="00C71CCB">
        <w:t xml:space="preserve">DTF (2023), </w:t>
      </w:r>
      <w:r w:rsidRPr="00245059">
        <w:rPr>
          <w:i/>
          <w:iCs/>
        </w:rPr>
        <w:t>Budget Paper No. 2: Strategy and Outlook</w:t>
      </w:r>
      <w:r w:rsidRPr="00C71CCB">
        <w:t>, p. 7.</w:t>
      </w:r>
    </w:p>
  </w:footnote>
  <w:footnote w:id="59">
    <w:p w14:paraId="72302D07" w14:textId="4A78810F" w:rsidR="00665C76" w:rsidRPr="00C71CCB" w:rsidRDefault="00665C76" w:rsidP="00245059">
      <w:pPr>
        <w:pStyle w:val="Footnotes"/>
      </w:pPr>
      <w:r w:rsidRPr="00C71CCB">
        <w:rPr>
          <w:rStyle w:val="FootnoteReference"/>
          <w:rFonts w:cs="Calibri"/>
        </w:rPr>
        <w:footnoteRef/>
      </w:r>
      <w:r w:rsidRPr="00C71CCB">
        <w:t xml:space="preserve"> </w:t>
      </w:r>
      <w:r w:rsidR="00A05F4E">
        <w:tab/>
      </w:r>
      <w:r w:rsidRPr="00C71CCB">
        <w:t xml:space="preserve">DTF (2023), </w:t>
      </w:r>
      <w:r w:rsidRPr="00245059">
        <w:rPr>
          <w:i/>
          <w:iCs/>
        </w:rPr>
        <w:t>Budget Paper No. 3: Service Delivery</w:t>
      </w:r>
      <w:r w:rsidRPr="00C71CCB">
        <w:t>, p. 6.</w:t>
      </w:r>
    </w:p>
  </w:footnote>
  <w:footnote w:id="60">
    <w:p w14:paraId="3D3C4BF8" w14:textId="5C2A064B" w:rsidR="00665C76" w:rsidRPr="00C71CCB" w:rsidRDefault="00665C76" w:rsidP="00245059">
      <w:pPr>
        <w:pStyle w:val="Footnotes"/>
      </w:pPr>
      <w:r w:rsidRPr="00C71CCB">
        <w:rPr>
          <w:rStyle w:val="FootnoteReference"/>
          <w:rFonts w:cs="Calibri"/>
        </w:rPr>
        <w:footnoteRef/>
      </w:r>
      <w:r w:rsidRPr="00C71CCB">
        <w:t xml:space="preserve"> </w:t>
      </w:r>
      <w:r w:rsidR="00A05F4E">
        <w:tab/>
      </w:r>
      <w:r w:rsidRPr="00C71CCB">
        <w:t xml:space="preserve">DTF (2023), </w:t>
      </w:r>
      <w:r w:rsidRPr="00245059">
        <w:rPr>
          <w:i/>
          <w:iCs/>
        </w:rPr>
        <w:t>Budget Paper No. 3: Service Delivery</w:t>
      </w:r>
      <w:r w:rsidRPr="00C71CCB">
        <w:t>, p. 6.</w:t>
      </w:r>
    </w:p>
  </w:footnote>
  <w:footnote w:id="61">
    <w:p w14:paraId="4D3B4E9F" w14:textId="68197B73" w:rsidR="00665C76" w:rsidRDefault="00665C76" w:rsidP="00245059">
      <w:pPr>
        <w:pStyle w:val="Footnotes"/>
      </w:pPr>
      <w:r w:rsidRPr="00C71CCB">
        <w:rPr>
          <w:rStyle w:val="FootnoteReference"/>
          <w:rFonts w:cs="Calibri"/>
        </w:rPr>
        <w:footnoteRef/>
      </w:r>
      <w:r w:rsidRPr="00C71CCB">
        <w:t xml:space="preserve"> </w:t>
      </w:r>
      <w:r w:rsidR="00A05F4E">
        <w:tab/>
      </w:r>
      <w:r w:rsidRPr="00C71CCB">
        <w:t xml:space="preserve">DTF (2023), </w:t>
      </w:r>
      <w:r w:rsidRPr="00245059">
        <w:rPr>
          <w:i/>
          <w:iCs/>
        </w:rPr>
        <w:t>Budget Paper No. 2: Strategy and Outlook</w:t>
      </w:r>
      <w:r w:rsidRPr="00C71CCB">
        <w:t>, p. 53.</w:t>
      </w:r>
    </w:p>
  </w:footnote>
  <w:footnote w:id="62">
    <w:p w14:paraId="77440851" w14:textId="5F0D3E50" w:rsidR="00665C76" w:rsidRPr="00C71CCB" w:rsidRDefault="00665C76" w:rsidP="00245059">
      <w:pPr>
        <w:pStyle w:val="Footnotes"/>
      </w:pPr>
      <w:r w:rsidRPr="00C71CCB">
        <w:rPr>
          <w:rStyle w:val="FootnoteReference"/>
          <w:rFonts w:cs="Calibri"/>
        </w:rPr>
        <w:footnoteRef/>
      </w:r>
      <w:r w:rsidRPr="00C71CCB">
        <w:t xml:space="preserve"> </w:t>
      </w:r>
      <w:r w:rsidR="00245059">
        <w:tab/>
      </w:r>
      <w:r w:rsidRPr="00C71CCB">
        <w:t>DTF (2023),</w:t>
      </w:r>
      <w:r w:rsidR="004D52D4">
        <w:t xml:space="preserve"> </w:t>
      </w:r>
      <w:r w:rsidRPr="00A12F8A">
        <w:rPr>
          <w:i/>
          <w:iCs/>
        </w:rPr>
        <w:t>Budget Paper No. 5: Statement of Finances</w:t>
      </w:r>
      <w:r w:rsidRPr="00C71CCB">
        <w:t>, p. 223.</w:t>
      </w:r>
    </w:p>
  </w:footnote>
  <w:footnote w:id="63">
    <w:p w14:paraId="08001479" w14:textId="30CCDF81" w:rsidR="00665C76" w:rsidRPr="00C71CCB" w:rsidRDefault="00665C76" w:rsidP="00245059">
      <w:pPr>
        <w:pStyle w:val="Footnotes"/>
      </w:pPr>
      <w:r w:rsidRPr="00C71CCB">
        <w:rPr>
          <w:rStyle w:val="FootnoteReference"/>
          <w:rFonts w:cs="Calibri"/>
        </w:rPr>
        <w:footnoteRef/>
      </w:r>
      <w:r w:rsidRPr="00C71CCB">
        <w:t xml:space="preserve"> </w:t>
      </w:r>
      <w:r w:rsidR="00245059">
        <w:tab/>
      </w:r>
      <w:r w:rsidRPr="00C71CCB">
        <w:t xml:space="preserve">DTF (2023), </w:t>
      </w:r>
      <w:r w:rsidRPr="00A12F8A">
        <w:rPr>
          <w:i/>
          <w:iCs/>
        </w:rPr>
        <w:t>Budget Paper No. 2: Strategy and Outlook</w:t>
      </w:r>
      <w:r w:rsidRPr="00C71CCB">
        <w:t>, p. 53.</w:t>
      </w:r>
    </w:p>
  </w:footnote>
  <w:footnote w:id="64">
    <w:p w14:paraId="22155EAA" w14:textId="225E3748" w:rsidR="00F379CB" w:rsidRDefault="00F379CB" w:rsidP="00245059">
      <w:pPr>
        <w:pStyle w:val="Footnotes"/>
      </w:pPr>
      <w:r w:rsidRPr="00C71CCB">
        <w:rPr>
          <w:rStyle w:val="FootnoteReference"/>
          <w:rFonts w:cs="Calibri"/>
        </w:rPr>
        <w:footnoteRef/>
      </w:r>
      <w:r w:rsidRPr="00C71CCB">
        <w:t xml:space="preserve"> </w:t>
      </w:r>
      <w:r w:rsidR="00245059">
        <w:tab/>
      </w:r>
      <w:r w:rsidR="007A2DA1">
        <w:t xml:space="preserve">State Government of Victoria </w:t>
      </w:r>
      <w:r w:rsidR="00A12F8A">
        <w:t>(</w:t>
      </w:r>
      <w:r w:rsidR="007A2DA1">
        <w:t>2023</w:t>
      </w:r>
      <w:r w:rsidR="00A12F8A">
        <w:t>)</w:t>
      </w:r>
      <w:r w:rsidRPr="00A12F8A">
        <w:t>.</w:t>
      </w:r>
    </w:p>
  </w:footnote>
  <w:footnote w:id="65">
    <w:p w14:paraId="1EE221EB" w14:textId="66026C41" w:rsidR="00085AB8" w:rsidRDefault="00085AB8" w:rsidP="0026122F">
      <w:pPr>
        <w:pStyle w:val="Footnotes"/>
      </w:pPr>
      <w:r>
        <w:rPr>
          <w:rStyle w:val="FootnoteReference"/>
        </w:rPr>
        <w:footnoteRef/>
      </w:r>
      <w:r>
        <w:t xml:space="preserve"> </w:t>
      </w:r>
      <w:r w:rsidR="0026122F">
        <w:tab/>
      </w:r>
      <w:r w:rsidR="0026122F" w:rsidRPr="0026122F">
        <w:t>Industrial Relations Victoria (2023)</w:t>
      </w:r>
      <w:r w:rsidR="00E65E53">
        <w:t>, p.3</w:t>
      </w:r>
      <w:r w:rsidR="0026122F" w:rsidRPr="0026122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44AA" w14:textId="06B27487" w:rsidR="004753FE" w:rsidRDefault="00B86910">
    <w:pPr>
      <w:pStyle w:val="Header"/>
    </w:pPr>
    <w:r>
      <w:rPr>
        <w:noProof/>
      </w:rPr>
      <w:pict w14:anchorId="14BECD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5" type="#_x0000_t136" style="position:absolute;margin-left:0;margin-top:0;width:304pt;height:121.55pt;rotation:315;z-index:-251658232;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2DB42925">
        <v:shape id="_x0000_s1096" type="#_x0000_t136" style="position:absolute;margin-left:0;margin-top:0;width:304pt;height:121.55pt;rotation:315;z-index:-251658235;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496D2FF5">
        <v:shape id="_x0000_s1097" type="#_x0000_t136" style="position:absolute;margin-left:0;margin-top:0;width:266pt;height:159.6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0494" w14:textId="77777777" w:rsidR="00B86910" w:rsidRDefault="00B869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32BC" w14:textId="77777777" w:rsidR="009C1981" w:rsidRDefault="009C1981">
    <w:pPr>
      <w:pStyle w:val="Header"/>
      <w:rPr>
        <w:noProof/>
      </w:rPr>
    </w:pPr>
  </w:p>
  <w:p w14:paraId="2259B325" w14:textId="3C4A3A7C" w:rsidR="00B03893" w:rsidRDefault="00B038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B308" w14:textId="2B446694" w:rsidR="004753FE" w:rsidRDefault="00B86910">
    <w:pPr>
      <w:pStyle w:val="Header"/>
    </w:pPr>
    <w:r>
      <w:rPr>
        <w:noProof/>
      </w:rPr>
      <w:pict w14:anchorId="243F8C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0" type="#_x0000_t136" style="position:absolute;margin-left:0;margin-top:0;width:304pt;height:121.55pt;rotation:315;z-index:-251658230;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10A83BEE">
        <v:shape id="_x0000_s1101" type="#_x0000_t136" style="position:absolute;margin-left:0;margin-top:0;width:304pt;height:121.55pt;rotation:315;z-index:-251658233;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2CB7F5E8">
        <v:shape id="_x0000_s1102" type="#_x0000_t136" style="position:absolute;margin-left:0;margin-top:0;width:266pt;height:159.6pt;rotation:315;z-index:-2516582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7656" w14:textId="77777777" w:rsidR="009C1981" w:rsidRDefault="009C1981">
    <w:pPr>
      <w:pStyle w:val="Header"/>
      <w:rPr>
        <w:noProof/>
      </w:rPr>
    </w:pPr>
  </w:p>
  <w:p w14:paraId="4228A6CD" w14:textId="7A200D22" w:rsidR="004753FE" w:rsidRDefault="004753F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90D8" w14:textId="661E1625" w:rsidR="004753FE" w:rsidRDefault="00B86910">
    <w:pPr>
      <w:pStyle w:val="Header"/>
    </w:pPr>
    <w:r>
      <w:rPr>
        <w:noProof/>
      </w:rPr>
      <w:pict w14:anchorId="5F79FA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4" type="#_x0000_t136" style="position:absolute;margin-left:0;margin-top:0;width:304pt;height:121.55pt;rotation:315;z-index:-251658231;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61C6E54E">
        <v:shape id="_x0000_s1105" type="#_x0000_t136" style="position:absolute;margin-left:0;margin-top:0;width:304pt;height:121.55pt;rotation:315;z-index:-251658234;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656DCBA6">
        <v:shape id="_x0000_s1106" type="#_x0000_t136" style="position:absolute;margin-left:0;margin-top:0;width:266pt;height:159.6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CF09" w14:textId="63689DD9" w:rsidR="009C1981" w:rsidRDefault="009C198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3698" w14:textId="3F7C6C3E" w:rsidR="009C1981" w:rsidRDefault="009C198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2B78" w14:textId="3DA44E9C" w:rsidR="009C1981" w:rsidRDefault="009C1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880D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F028BE26"/>
    <w:lvl w:ilvl="0" w:tplc="A6BAD9A8">
      <w:start w:val="1"/>
      <w:numFmt w:val="decimal"/>
      <w:pStyle w:val="ListNumber4"/>
      <w:lvlText w:val="%1."/>
      <w:lvlJc w:val="left"/>
      <w:pPr>
        <w:tabs>
          <w:tab w:val="num" w:pos="1209"/>
        </w:tabs>
        <w:ind w:left="1209" w:hanging="360"/>
      </w:pPr>
    </w:lvl>
    <w:lvl w:ilvl="1" w:tplc="9C60AE92">
      <w:numFmt w:val="decimal"/>
      <w:lvlText w:val=""/>
      <w:lvlJc w:val="left"/>
    </w:lvl>
    <w:lvl w:ilvl="2" w:tplc="C930F44A">
      <w:numFmt w:val="decimal"/>
      <w:lvlText w:val=""/>
      <w:lvlJc w:val="left"/>
    </w:lvl>
    <w:lvl w:ilvl="3" w:tplc="570CD108">
      <w:numFmt w:val="decimal"/>
      <w:lvlText w:val=""/>
      <w:lvlJc w:val="left"/>
    </w:lvl>
    <w:lvl w:ilvl="4" w:tplc="9CF6F6D2">
      <w:numFmt w:val="decimal"/>
      <w:lvlText w:val=""/>
      <w:lvlJc w:val="left"/>
    </w:lvl>
    <w:lvl w:ilvl="5" w:tplc="7FB4A642">
      <w:numFmt w:val="decimal"/>
      <w:lvlText w:val=""/>
      <w:lvlJc w:val="left"/>
    </w:lvl>
    <w:lvl w:ilvl="6" w:tplc="D47079F6">
      <w:numFmt w:val="decimal"/>
      <w:lvlText w:val=""/>
      <w:lvlJc w:val="left"/>
    </w:lvl>
    <w:lvl w:ilvl="7" w:tplc="2EFA95DC">
      <w:numFmt w:val="decimal"/>
      <w:lvlText w:val=""/>
      <w:lvlJc w:val="left"/>
    </w:lvl>
    <w:lvl w:ilvl="8" w:tplc="94E83564">
      <w:numFmt w:val="decimal"/>
      <w:lvlText w:val=""/>
      <w:lvlJc w:val="left"/>
    </w:lvl>
  </w:abstractNum>
  <w:abstractNum w:abstractNumId="2" w15:restartNumberingAfterBreak="0">
    <w:nsid w:val="FFFFFF7E"/>
    <w:multiLevelType w:val="hybridMultilevel"/>
    <w:tmpl w:val="7AEE735A"/>
    <w:lvl w:ilvl="0" w:tplc="FCE68A98">
      <w:start w:val="1"/>
      <w:numFmt w:val="decimal"/>
      <w:pStyle w:val="ListNumber3"/>
      <w:lvlText w:val="%1."/>
      <w:lvlJc w:val="left"/>
      <w:pPr>
        <w:tabs>
          <w:tab w:val="num" w:pos="926"/>
        </w:tabs>
        <w:ind w:left="926" w:hanging="360"/>
      </w:pPr>
    </w:lvl>
    <w:lvl w:ilvl="1" w:tplc="92681FBC">
      <w:numFmt w:val="decimal"/>
      <w:lvlText w:val=""/>
      <w:lvlJc w:val="left"/>
    </w:lvl>
    <w:lvl w:ilvl="2" w:tplc="F70E6F3C">
      <w:numFmt w:val="decimal"/>
      <w:lvlText w:val=""/>
      <w:lvlJc w:val="left"/>
    </w:lvl>
    <w:lvl w:ilvl="3" w:tplc="BF689DA4">
      <w:numFmt w:val="decimal"/>
      <w:lvlText w:val=""/>
      <w:lvlJc w:val="left"/>
    </w:lvl>
    <w:lvl w:ilvl="4" w:tplc="1F2C640C">
      <w:numFmt w:val="decimal"/>
      <w:lvlText w:val=""/>
      <w:lvlJc w:val="left"/>
    </w:lvl>
    <w:lvl w:ilvl="5" w:tplc="B860DF82">
      <w:numFmt w:val="decimal"/>
      <w:lvlText w:val=""/>
      <w:lvlJc w:val="left"/>
    </w:lvl>
    <w:lvl w:ilvl="6" w:tplc="38D22334">
      <w:numFmt w:val="decimal"/>
      <w:lvlText w:val=""/>
      <w:lvlJc w:val="left"/>
    </w:lvl>
    <w:lvl w:ilvl="7" w:tplc="0958AFD4">
      <w:numFmt w:val="decimal"/>
      <w:lvlText w:val=""/>
      <w:lvlJc w:val="left"/>
    </w:lvl>
    <w:lvl w:ilvl="8" w:tplc="E1DAF286">
      <w:numFmt w:val="decimal"/>
      <w:lvlText w:val=""/>
      <w:lvlJc w:val="left"/>
    </w:lvl>
  </w:abstractNum>
  <w:abstractNum w:abstractNumId="3" w15:restartNumberingAfterBreak="0">
    <w:nsid w:val="FFFFFF7F"/>
    <w:multiLevelType w:val="hybridMultilevel"/>
    <w:tmpl w:val="12C42818"/>
    <w:lvl w:ilvl="0" w:tplc="28EC5A5A">
      <w:start w:val="1"/>
      <w:numFmt w:val="decimal"/>
      <w:pStyle w:val="ListNumber2"/>
      <w:lvlText w:val="%1."/>
      <w:lvlJc w:val="left"/>
      <w:pPr>
        <w:tabs>
          <w:tab w:val="num" w:pos="643"/>
        </w:tabs>
        <w:ind w:left="643" w:hanging="360"/>
      </w:pPr>
    </w:lvl>
    <w:lvl w:ilvl="1" w:tplc="98242338">
      <w:numFmt w:val="decimal"/>
      <w:lvlText w:val=""/>
      <w:lvlJc w:val="left"/>
    </w:lvl>
    <w:lvl w:ilvl="2" w:tplc="607C0766">
      <w:numFmt w:val="decimal"/>
      <w:lvlText w:val=""/>
      <w:lvlJc w:val="left"/>
    </w:lvl>
    <w:lvl w:ilvl="3" w:tplc="26AAC458">
      <w:numFmt w:val="decimal"/>
      <w:lvlText w:val=""/>
      <w:lvlJc w:val="left"/>
    </w:lvl>
    <w:lvl w:ilvl="4" w:tplc="E66C5094">
      <w:numFmt w:val="decimal"/>
      <w:lvlText w:val=""/>
      <w:lvlJc w:val="left"/>
    </w:lvl>
    <w:lvl w:ilvl="5" w:tplc="D2D615FE">
      <w:numFmt w:val="decimal"/>
      <w:lvlText w:val=""/>
      <w:lvlJc w:val="left"/>
    </w:lvl>
    <w:lvl w:ilvl="6" w:tplc="2F9022B2">
      <w:numFmt w:val="decimal"/>
      <w:lvlText w:val=""/>
      <w:lvlJc w:val="left"/>
    </w:lvl>
    <w:lvl w:ilvl="7" w:tplc="91BA31EA">
      <w:numFmt w:val="decimal"/>
      <w:lvlText w:val=""/>
      <w:lvlJc w:val="left"/>
    </w:lvl>
    <w:lvl w:ilvl="8" w:tplc="5A04DEFC">
      <w:numFmt w:val="decimal"/>
      <w:lvlText w:val=""/>
      <w:lvlJc w:val="left"/>
    </w:lvl>
  </w:abstractNum>
  <w:abstractNum w:abstractNumId="4" w15:restartNumberingAfterBreak="0">
    <w:nsid w:val="FFFFFF80"/>
    <w:multiLevelType w:val="hybridMultilevel"/>
    <w:tmpl w:val="9E40904A"/>
    <w:lvl w:ilvl="0" w:tplc="8A846378">
      <w:start w:val="1"/>
      <w:numFmt w:val="bullet"/>
      <w:pStyle w:val="ListBullet5"/>
      <w:lvlText w:val=""/>
      <w:lvlJc w:val="left"/>
      <w:pPr>
        <w:tabs>
          <w:tab w:val="num" w:pos="1492"/>
        </w:tabs>
        <w:ind w:left="1492" w:hanging="360"/>
      </w:pPr>
      <w:rPr>
        <w:rFonts w:ascii="Symbol" w:hAnsi="Symbol" w:hint="default"/>
      </w:rPr>
    </w:lvl>
    <w:lvl w:ilvl="1" w:tplc="73BEDAB2">
      <w:numFmt w:val="decimal"/>
      <w:lvlText w:val=""/>
      <w:lvlJc w:val="left"/>
    </w:lvl>
    <w:lvl w:ilvl="2" w:tplc="666CAFCC">
      <w:numFmt w:val="decimal"/>
      <w:lvlText w:val=""/>
      <w:lvlJc w:val="left"/>
    </w:lvl>
    <w:lvl w:ilvl="3" w:tplc="D02CAB1A">
      <w:numFmt w:val="decimal"/>
      <w:lvlText w:val=""/>
      <w:lvlJc w:val="left"/>
    </w:lvl>
    <w:lvl w:ilvl="4" w:tplc="9130653C">
      <w:numFmt w:val="decimal"/>
      <w:lvlText w:val=""/>
      <w:lvlJc w:val="left"/>
    </w:lvl>
    <w:lvl w:ilvl="5" w:tplc="4F1C3B56">
      <w:numFmt w:val="decimal"/>
      <w:lvlText w:val=""/>
      <w:lvlJc w:val="left"/>
    </w:lvl>
    <w:lvl w:ilvl="6" w:tplc="B728EEEA">
      <w:numFmt w:val="decimal"/>
      <w:lvlText w:val=""/>
      <w:lvlJc w:val="left"/>
    </w:lvl>
    <w:lvl w:ilvl="7" w:tplc="28887684">
      <w:numFmt w:val="decimal"/>
      <w:lvlText w:val=""/>
      <w:lvlJc w:val="left"/>
    </w:lvl>
    <w:lvl w:ilvl="8" w:tplc="43464E1E">
      <w:numFmt w:val="decimal"/>
      <w:lvlText w:val=""/>
      <w:lvlJc w:val="left"/>
    </w:lvl>
  </w:abstractNum>
  <w:abstractNum w:abstractNumId="5" w15:restartNumberingAfterBreak="0">
    <w:nsid w:val="FFFFFF81"/>
    <w:multiLevelType w:val="hybridMultilevel"/>
    <w:tmpl w:val="6BEA7BEE"/>
    <w:styleLink w:val="ZZNumbersdigit1"/>
    <w:lvl w:ilvl="0" w:tplc="420AE16E">
      <w:start w:val="1"/>
      <w:numFmt w:val="bullet"/>
      <w:pStyle w:val="ListBullet4"/>
      <w:lvlText w:val=""/>
      <w:lvlJc w:val="left"/>
      <w:pPr>
        <w:tabs>
          <w:tab w:val="num" w:pos="1209"/>
        </w:tabs>
        <w:ind w:left="1209" w:hanging="360"/>
      </w:pPr>
      <w:rPr>
        <w:rFonts w:ascii="Symbol" w:hAnsi="Symbol" w:hint="default"/>
      </w:rPr>
    </w:lvl>
    <w:lvl w:ilvl="1" w:tplc="FEF471FC">
      <w:numFmt w:val="decimal"/>
      <w:lvlText w:val=""/>
      <w:lvlJc w:val="left"/>
    </w:lvl>
    <w:lvl w:ilvl="2" w:tplc="33140482">
      <w:numFmt w:val="decimal"/>
      <w:lvlText w:val=""/>
      <w:lvlJc w:val="left"/>
    </w:lvl>
    <w:lvl w:ilvl="3" w:tplc="38DCCF7C">
      <w:numFmt w:val="decimal"/>
      <w:lvlText w:val=""/>
      <w:lvlJc w:val="left"/>
    </w:lvl>
    <w:lvl w:ilvl="4" w:tplc="8240333C">
      <w:numFmt w:val="decimal"/>
      <w:lvlText w:val=""/>
      <w:lvlJc w:val="left"/>
    </w:lvl>
    <w:lvl w:ilvl="5" w:tplc="FF9EF1FE">
      <w:numFmt w:val="decimal"/>
      <w:lvlText w:val=""/>
      <w:lvlJc w:val="left"/>
    </w:lvl>
    <w:lvl w:ilvl="6" w:tplc="3094FDD2">
      <w:numFmt w:val="decimal"/>
      <w:lvlText w:val=""/>
      <w:lvlJc w:val="left"/>
    </w:lvl>
    <w:lvl w:ilvl="7" w:tplc="E7925F4A">
      <w:numFmt w:val="decimal"/>
      <w:lvlText w:val=""/>
      <w:lvlJc w:val="left"/>
    </w:lvl>
    <w:lvl w:ilvl="8" w:tplc="301C1DFA">
      <w:numFmt w:val="decimal"/>
      <w:lvlText w:val=""/>
      <w:lvlJc w:val="left"/>
    </w:lvl>
  </w:abstractNum>
  <w:abstractNum w:abstractNumId="6" w15:restartNumberingAfterBreak="0">
    <w:nsid w:val="FFFFFF82"/>
    <w:multiLevelType w:val="hybridMultilevel"/>
    <w:tmpl w:val="1C5EB3F4"/>
    <w:lvl w:ilvl="0" w:tplc="84669DC8">
      <w:start w:val="1"/>
      <w:numFmt w:val="bullet"/>
      <w:pStyle w:val="ListBullet3"/>
      <w:lvlText w:val=""/>
      <w:lvlJc w:val="left"/>
      <w:pPr>
        <w:tabs>
          <w:tab w:val="num" w:pos="926"/>
        </w:tabs>
        <w:ind w:left="926" w:hanging="360"/>
      </w:pPr>
      <w:rPr>
        <w:rFonts w:ascii="Symbol" w:hAnsi="Symbol" w:hint="default"/>
      </w:rPr>
    </w:lvl>
    <w:lvl w:ilvl="1" w:tplc="943C2802">
      <w:numFmt w:val="decimal"/>
      <w:lvlText w:val=""/>
      <w:lvlJc w:val="left"/>
    </w:lvl>
    <w:lvl w:ilvl="2" w:tplc="182EF9CE">
      <w:numFmt w:val="decimal"/>
      <w:lvlText w:val=""/>
      <w:lvlJc w:val="left"/>
    </w:lvl>
    <w:lvl w:ilvl="3" w:tplc="D7649E32">
      <w:numFmt w:val="decimal"/>
      <w:lvlText w:val=""/>
      <w:lvlJc w:val="left"/>
    </w:lvl>
    <w:lvl w:ilvl="4" w:tplc="692E7938">
      <w:numFmt w:val="decimal"/>
      <w:lvlText w:val=""/>
      <w:lvlJc w:val="left"/>
    </w:lvl>
    <w:lvl w:ilvl="5" w:tplc="CC428344">
      <w:numFmt w:val="decimal"/>
      <w:lvlText w:val=""/>
      <w:lvlJc w:val="left"/>
    </w:lvl>
    <w:lvl w:ilvl="6" w:tplc="5C14DD76">
      <w:numFmt w:val="decimal"/>
      <w:lvlText w:val=""/>
      <w:lvlJc w:val="left"/>
    </w:lvl>
    <w:lvl w:ilvl="7" w:tplc="74F8AD36">
      <w:numFmt w:val="decimal"/>
      <w:lvlText w:val=""/>
      <w:lvlJc w:val="left"/>
    </w:lvl>
    <w:lvl w:ilvl="8" w:tplc="678AA9B2">
      <w:numFmt w:val="decimal"/>
      <w:lvlText w:val=""/>
      <w:lvlJc w:val="left"/>
    </w:lvl>
  </w:abstractNum>
  <w:abstractNum w:abstractNumId="7" w15:restartNumberingAfterBreak="0">
    <w:nsid w:val="FFFFFF83"/>
    <w:multiLevelType w:val="hybridMultilevel"/>
    <w:tmpl w:val="DE32C028"/>
    <w:lvl w:ilvl="0" w:tplc="788CFB78">
      <w:start w:val="1"/>
      <w:numFmt w:val="bullet"/>
      <w:pStyle w:val="ListBullet2"/>
      <w:lvlText w:val=""/>
      <w:lvlJc w:val="left"/>
      <w:pPr>
        <w:tabs>
          <w:tab w:val="num" w:pos="643"/>
        </w:tabs>
        <w:ind w:left="643" w:hanging="360"/>
      </w:pPr>
      <w:rPr>
        <w:rFonts w:ascii="Symbol" w:hAnsi="Symbol" w:hint="default"/>
      </w:rPr>
    </w:lvl>
    <w:lvl w:ilvl="1" w:tplc="CB2A9932">
      <w:numFmt w:val="decimal"/>
      <w:lvlText w:val=""/>
      <w:lvlJc w:val="left"/>
    </w:lvl>
    <w:lvl w:ilvl="2" w:tplc="8C74B246">
      <w:numFmt w:val="decimal"/>
      <w:lvlText w:val=""/>
      <w:lvlJc w:val="left"/>
    </w:lvl>
    <w:lvl w:ilvl="3" w:tplc="BFEC7CD4">
      <w:numFmt w:val="decimal"/>
      <w:lvlText w:val=""/>
      <w:lvlJc w:val="left"/>
    </w:lvl>
    <w:lvl w:ilvl="4" w:tplc="439C4A50">
      <w:numFmt w:val="decimal"/>
      <w:lvlText w:val=""/>
      <w:lvlJc w:val="left"/>
    </w:lvl>
    <w:lvl w:ilvl="5" w:tplc="76ECD1AA">
      <w:numFmt w:val="decimal"/>
      <w:lvlText w:val=""/>
      <w:lvlJc w:val="left"/>
    </w:lvl>
    <w:lvl w:ilvl="6" w:tplc="E5F2F0D6">
      <w:numFmt w:val="decimal"/>
      <w:lvlText w:val=""/>
      <w:lvlJc w:val="left"/>
    </w:lvl>
    <w:lvl w:ilvl="7" w:tplc="C3181512">
      <w:numFmt w:val="decimal"/>
      <w:lvlText w:val=""/>
      <w:lvlJc w:val="left"/>
    </w:lvl>
    <w:lvl w:ilvl="8" w:tplc="B5A4E6B6">
      <w:numFmt w:val="decimal"/>
      <w:lvlText w:val=""/>
      <w:lvlJc w:val="left"/>
    </w:lvl>
  </w:abstractNum>
  <w:abstractNum w:abstractNumId="8" w15:restartNumberingAfterBreak="0">
    <w:nsid w:val="FFFFFF88"/>
    <w:multiLevelType w:val="hybridMultilevel"/>
    <w:tmpl w:val="0C068824"/>
    <w:lvl w:ilvl="0" w:tplc="BCAA5792">
      <w:start w:val="1"/>
      <w:numFmt w:val="decimal"/>
      <w:pStyle w:val="ListNumber"/>
      <w:lvlText w:val="%1."/>
      <w:lvlJc w:val="left"/>
      <w:pPr>
        <w:tabs>
          <w:tab w:val="num" w:pos="360"/>
        </w:tabs>
        <w:ind w:left="360" w:hanging="360"/>
      </w:pPr>
    </w:lvl>
    <w:lvl w:ilvl="1" w:tplc="0906AA1A">
      <w:numFmt w:val="decimal"/>
      <w:lvlText w:val=""/>
      <w:lvlJc w:val="left"/>
    </w:lvl>
    <w:lvl w:ilvl="2" w:tplc="54E6524E">
      <w:numFmt w:val="decimal"/>
      <w:lvlText w:val=""/>
      <w:lvlJc w:val="left"/>
    </w:lvl>
    <w:lvl w:ilvl="3" w:tplc="FB12777E">
      <w:numFmt w:val="decimal"/>
      <w:lvlText w:val=""/>
      <w:lvlJc w:val="left"/>
    </w:lvl>
    <w:lvl w:ilvl="4" w:tplc="97CA95E0">
      <w:numFmt w:val="decimal"/>
      <w:lvlText w:val=""/>
      <w:lvlJc w:val="left"/>
    </w:lvl>
    <w:lvl w:ilvl="5" w:tplc="1CCE80F8">
      <w:numFmt w:val="decimal"/>
      <w:lvlText w:val=""/>
      <w:lvlJc w:val="left"/>
    </w:lvl>
    <w:lvl w:ilvl="6" w:tplc="16566500">
      <w:numFmt w:val="decimal"/>
      <w:lvlText w:val=""/>
      <w:lvlJc w:val="left"/>
    </w:lvl>
    <w:lvl w:ilvl="7" w:tplc="1E36621A">
      <w:numFmt w:val="decimal"/>
      <w:lvlText w:val=""/>
      <w:lvlJc w:val="left"/>
    </w:lvl>
    <w:lvl w:ilvl="8" w:tplc="0DA60A9C">
      <w:numFmt w:val="decimal"/>
      <w:lvlText w:val=""/>
      <w:lvlJc w:val="left"/>
    </w:lvl>
  </w:abstractNum>
  <w:abstractNum w:abstractNumId="9" w15:restartNumberingAfterBreak="0">
    <w:nsid w:val="FFFFFF89"/>
    <w:multiLevelType w:val="hybridMultilevel"/>
    <w:tmpl w:val="29C60208"/>
    <w:lvl w:ilvl="0" w:tplc="40D6E082">
      <w:start w:val="1"/>
      <w:numFmt w:val="bullet"/>
      <w:pStyle w:val="ListBullet"/>
      <w:lvlText w:val=""/>
      <w:lvlJc w:val="left"/>
      <w:pPr>
        <w:tabs>
          <w:tab w:val="num" w:pos="360"/>
        </w:tabs>
        <w:ind w:left="360" w:hanging="360"/>
      </w:pPr>
      <w:rPr>
        <w:rFonts w:ascii="Symbol" w:hAnsi="Symbol" w:hint="default"/>
      </w:rPr>
    </w:lvl>
    <w:lvl w:ilvl="1" w:tplc="59BACD80">
      <w:numFmt w:val="decimal"/>
      <w:lvlText w:val=""/>
      <w:lvlJc w:val="left"/>
    </w:lvl>
    <w:lvl w:ilvl="2" w:tplc="44804EDC">
      <w:numFmt w:val="decimal"/>
      <w:lvlText w:val=""/>
      <w:lvlJc w:val="left"/>
    </w:lvl>
    <w:lvl w:ilvl="3" w:tplc="DEC4B0FC">
      <w:numFmt w:val="decimal"/>
      <w:lvlText w:val=""/>
      <w:lvlJc w:val="left"/>
    </w:lvl>
    <w:lvl w:ilvl="4" w:tplc="4240FD3E">
      <w:numFmt w:val="decimal"/>
      <w:lvlText w:val=""/>
      <w:lvlJc w:val="left"/>
    </w:lvl>
    <w:lvl w:ilvl="5" w:tplc="C0E49C5C">
      <w:numFmt w:val="decimal"/>
      <w:lvlText w:val=""/>
      <w:lvlJc w:val="left"/>
    </w:lvl>
    <w:lvl w:ilvl="6" w:tplc="1C345956">
      <w:numFmt w:val="decimal"/>
      <w:lvlText w:val=""/>
      <w:lvlJc w:val="left"/>
    </w:lvl>
    <w:lvl w:ilvl="7" w:tplc="A4CCA05E">
      <w:numFmt w:val="decimal"/>
      <w:lvlText w:val=""/>
      <w:lvlJc w:val="left"/>
    </w:lvl>
    <w:lvl w:ilvl="8" w:tplc="A71C4968">
      <w:numFmt w:val="decimal"/>
      <w:lvlText w:val=""/>
      <w:lvlJc w:val="left"/>
    </w:lvl>
  </w:abstractNum>
  <w:abstractNum w:abstractNumId="10" w15:restartNumberingAfterBreak="0">
    <w:nsid w:val="11563430"/>
    <w:multiLevelType w:val="hybridMultilevel"/>
    <w:tmpl w:val="B1C8E1B0"/>
    <w:lvl w:ilvl="0" w:tplc="A7724564">
      <w:start w:val="1"/>
      <w:numFmt w:val="bullet"/>
      <w:lvlText w:val=""/>
      <w:lvlJc w:val="left"/>
      <w:pPr>
        <w:tabs>
          <w:tab w:val="num" w:pos="360"/>
        </w:tabs>
        <w:ind w:left="360" w:hanging="360"/>
      </w:pPr>
      <w:rPr>
        <w:rFonts w:ascii="Symbol" w:hAnsi="Symbol" w:hint="default"/>
      </w:rPr>
    </w:lvl>
    <w:lvl w:ilvl="1" w:tplc="780256C4" w:tentative="1">
      <w:start w:val="1"/>
      <w:numFmt w:val="bullet"/>
      <w:lvlText w:val=""/>
      <w:lvlJc w:val="left"/>
      <w:pPr>
        <w:tabs>
          <w:tab w:val="num" w:pos="1080"/>
        </w:tabs>
        <w:ind w:left="1080" w:hanging="360"/>
      </w:pPr>
      <w:rPr>
        <w:rFonts w:ascii="Symbol" w:hAnsi="Symbol" w:hint="default"/>
      </w:rPr>
    </w:lvl>
    <w:lvl w:ilvl="2" w:tplc="1B7E2C24" w:tentative="1">
      <w:start w:val="1"/>
      <w:numFmt w:val="bullet"/>
      <w:lvlText w:val=""/>
      <w:lvlJc w:val="left"/>
      <w:pPr>
        <w:tabs>
          <w:tab w:val="num" w:pos="1800"/>
        </w:tabs>
        <w:ind w:left="1800" w:hanging="360"/>
      </w:pPr>
      <w:rPr>
        <w:rFonts w:ascii="Symbol" w:hAnsi="Symbol" w:hint="default"/>
      </w:rPr>
    </w:lvl>
    <w:lvl w:ilvl="3" w:tplc="A90CB6F6" w:tentative="1">
      <w:start w:val="1"/>
      <w:numFmt w:val="bullet"/>
      <w:lvlText w:val=""/>
      <w:lvlJc w:val="left"/>
      <w:pPr>
        <w:tabs>
          <w:tab w:val="num" w:pos="2520"/>
        </w:tabs>
        <w:ind w:left="2520" w:hanging="360"/>
      </w:pPr>
      <w:rPr>
        <w:rFonts w:ascii="Symbol" w:hAnsi="Symbol" w:hint="default"/>
      </w:rPr>
    </w:lvl>
    <w:lvl w:ilvl="4" w:tplc="AC108186" w:tentative="1">
      <w:start w:val="1"/>
      <w:numFmt w:val="bullet"/>
      <w:lvlText w:val=""/>
      <w:lvlJc w:val="left"/>
      <w:pPr>
        <w:tabs>
          <w:tab w:val="num" w:pos="3240"/>
        </w:tabs>
        <w:ind w:left="3240" w:hanging="360"/>
      </w:pPr>
      <w:rPr>
        <w:rFonts w:ascii="Symbol" w:hAnsi="Symbol" w:hint="default"/>
      </w:rPr>
    </w:lvl>
    <w:lvl w:ilvl="5" w:tplc="64A8162A" w:tentative="1">
      <w:start w:val="1"/>
      <w:numFmt w:val="bullet"/>
      <w:lvlText w:val=""/>
      <w:lvlJc w:val="left"/>
      <w:pPr>
        <w:tabs>
          <w:tab w:val="num" w:pos="3960"/>
        </w:tabs>
        <w:ind w:left="3960" w:hanging="360"/>
      </w:pPr>
      <w:rPr>
        <w:rFonts w:ascii="Symbol" w:hAnsi="Symbol" w:hint="default"/>
      </w:rPr>
    </w:lvl>
    <w:lvl w:ilvl="6" w:tplc="8A72C264" w:tentative="1">
      <w:start w:val="1"/>
      <w:numFmt w:val="bullet"/>
      <w:lvlText w:val=""/>
      <w:lvlJc w:val="left"/>
      <w:pPr>
        <w:tabs>
          <w:tab w:val="num" w:pos="4680"/>
        </w:tabs>
        <w:ind w:left="4680" w:hanging="360"/>
      </w:pPr>
      <w:rPr>
        <w:rFonts w:ascii="Symbol" w:hAnsi="Symbol" w:hint="default"/>
      </w:rPr>
    </w:lvl>
    <w:lvl w:ilvl="7" w:tplc="F0CA13F6" w:tentative="1">
      <w:start w:val="1"/>
      <w:numFmt w:val="bullet"/>
      <w:lvlText w:val=""/>
      <w:lvlJc w:val="left"/>
      <w:pPr>
        <w:tabs>
          <w:tab w:val="num" w:pos="5400"/>
        </w:tabs>
        <w:ind w:left="5400" w:hanging="360"/>
      </w:pPr>
      <w:rPr>
        <w:rFonts w:ascii="Symbol" w:hAnsi="Symbol" w:hint="default"/>
      </w:rPr>
    </w:lvl>
    <w:lvl w:ilvl="8" w:tplc="41B4F4C8" w:tentative="1">
      <w:start w:val="1"/>
      <w:numFmt w:val="bullet"/>
      <w:lvlText w:val=""/>
      <w:lvlJc w:val="left"/>
      <w:pPr>
        <w:tabs>
          <w:tab w:val="num" w:pos="6120"/>
        </w:tabs>
        <w:ind w:left="6120" w:hanging="360"/>
      </w:pPr>
      <w:rPr>
        <w:rFonts w:ascii="Symbol" w:hAnsi="Symbol" w:hint="default"/>
      </w:rPr>
    </w:lvl>
  </w:abstractNum>
  <w:abstractNum w:abstractNumId="11" w15:restartNumberingAfterBreak="0">
    <w:nsid w:val="183E4344"/>
    <w:multiLevelType w:val="hybridMultilevel"/>
    <w:tmpl w:val="871E0D56"/>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26B6624"/>
    <w:multiLevelType w:val="hybridMultilevel"/>
    <w:tmpl w:val="B57AB7FE"/>
    <w:lvl w:ilvl="0" w:tplc="8AB6138E">
      <w:start w:val="1"/>
      <w:numFmt w:val="decimal"/>
      <w:lvlText w:val="A.%1"/>
      <w:lvlJc w:val="left"/>
      <w:pPr>
        <w:ind w:left="1191" w:hanging="471"/>
      </w:pPr>
      <w:rPr>
        <w:rFonts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3" w15:restartNumberingAfterBreak="0">
    <w:nsid w:val="32940319"/>
    <w:multiLevelType w:val="hybridMultilevel"/>
    <w:tmpl w:val="FC2A74E4"/>
    <w:lvl w:ilvl="0" w:tplc="76A6257A">
      <w:start w:val="1"/>
      <w:numFmt w:val="lowerLetter"/>
      <w:lvlText w:val="(%1)"/>
      <w:lvlJc w:val="left"/>
      <w:pPr>
        <w:ind w:left="1110" w:hanging="36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4" w15:restartNumberingAfterBreak="0">
    <w:nsid w:val="32F46780"/>
    <w:multiLevelType w:val="hybridMultilevel"/>
    <w:tmpl w:val="C5E6A546"/>
    <w:lvl w:ilvl="0" w:tplc="D8DA9B74">
      <w:start w:val="1"/>
      <w:numFmt w:val="bullet"/>
      <w:lvlText w:val=""/>
      <w:lvlJc w:val="left"/>
      <w:pPr>
        <w:tabs>
          <w:tab w:val="num" w:pos="720"/>
        </w:tabs>
        <w:ind w:left="720" w:hanging="360"/>
      </w:pPr>
      <w:rPr>
        <w:rFonts w:ascii="Symbol" w:hAnsi="Symbol" w:hint="default"/>
      </w:rPr>
    </w:lvl>
    <w:lvl w:ilvl="1" w:tplc="17E068C0" w:tentative="1">
      <w:start w:val="1"/>
      <w:numFmt w:val="bullet"/>
      <w:lvlText w:val=""/>
      <w:lvlJc w:val="left"/>
      <w:pPr>
        <w:tabs>
          <w:tab w:val="num" w:pos="1440"/>
        </w:tabs>
        <w:ind w:left="1440" w:hanging="360"/>
      </w:pPr>
      <w:rPr>
        <w:rFonts w:ascii="Symbol" w:hAnsi="Symbol" w:hint="default"/>
      </w:rPr>
    </w:lvl>
    <w:lvl w:ilvl="2" w:tplc="FA66D240" w:tentative="1">
      <w:start w:val="1"/>
      <w:numFmt w:val="bullet"/>
      <w:lvlText w:val=""/>
      <w:lvlJc w:val="left"/>
      <w:pPr>
        <w:tabs>
          <w:tab w:val="num" w:pos="2160"/>
        </w:tabs>
        <w:ind w:left="2160" w:hanging="360"/>
      </w:pPr>
      <w:rPr>
        <w:rFonts w:ascii="Symbol" w:hAnsi="Symbol" w:hint="default"/>
      </w:rPr>
    </w:lvl>
    <w:lvl w:ilvl="3" w:tplc="8EFCD886" w:tentative="1">
      <w:start w:val="1"/>
      <w:numFmt w:val="bullet"/>
      <w:lvlText w:val=""/>
      <w:lvlJc w:val="left"/>
      <w:pPr>
        <w:tabs>
          <w:tab w:val="num" w:pos="2880"/>
        </w:tabs>
        <w:ind w:left="2880" w:hanging="360"/>
      </w:pPr>
      <w:rPr>
        <w:rFonts w:ascii="Symbol" w:hAnsi="Symbol" w:hint="default"/>
      </w:rPr>
    </w:lvl>
    <w:lvl w:ilvl="4" w:tplc="2710E56A" w:tentative="1">
      <w:start w:val="1"/>
      <w:numFmt w:val="bullet"/>
      <w:lvlText w:val=""/>
      <w:lvlJc w:val="left"/>
      <w:pPr>
        <w:tabs>
          <w:tab w:val="num" w:pos="3600"/>
        </w:tabs>
        <w:ind w:left="3600" w:hanging="360"/>
      </w:pPr>
      <w:rPr>
        <w:rFonts w:ascii="Symbol" w:hAnsi="Symbol" w:hint="default"/>
      </w:rPr>
    </w:lvl>
    <w:lvl w:ilvl="5" w:tplc="AD6C7E24" w:tentative="1">
      <w:start w:val="1"/>
      <w:numFmt w:val="bullet"/>
      <w:lvlText w:val=""/>
      <w:lvlJc w:val="left"/>
      <w:pPr>
        <w:tabs>
          <w:tab w:val="num" w:pos="4320"/>
        </w:tabs>
        <w:ind w:left="4320" w:hanging="360"/>
      </w:pPr>
      <w:rPr>
        <w:rFonts w:ascii="Symbol" w:hAnsi="Symbol" w:hint="default"/>
      </w:rPr>
    </w:lvl>
    <w:lvl w:ilvl="6" w:tplc="C00617C6" w:tentative="1">
      <w:start w:val="1"/>
      <w:numFmt w:val="bullet"/>
      <w:lvlText w:val=""/>
      <w:lvlJc w:val="left"/>
      <w:pPr>
        <w:tabs>
          <w:tab w:val="num" w:pos="5040"/>
        </w:tabs>
        <w:ind w:left="5040" w:hanging="360"/>
      </w:pPr>
      <w:rPr>
        <w:rFonts w:ascii="Symbol" w:hAnsi="Symbol" w:hint="default"/>
      </w:rPr>
    </w:lvl>
    <w:lvl w:ilvl="7" w:tplc="7BA85ED2" w:tentative="1">
      <w:start w:val="1"/>
      <w:numFmt w:val="bullet"/>
      <w:lvlText w:val=""/>
      <w:lvlJc w:val="left"/>
      <w:pPr>
        <w:tabs>
          <w:tab w:val="num" w:pos="5760"/>
        </w:tabs>
        <w:ind w:left="5760" w:hanging="360"/>
      </w:pPr>
      <w:rPr>
        <w:rFonts w:ascii="Symbol" w:hAnsi="Symbol" w:hint="default"/>
      </w:rPr>
    </w:lvl>
    <w:lvl w:ilvl="8" w:tplc="2F3EA2E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74C2414"/>
    <w:multiLevelType w:val="hybridMultilevel"/>
    <w:tmpl w:val="8A846C94"/>
    <w:lvl w:ilvl="0" w:tplc="60EEF8B2">
      <w:start w:val="1"/>
      <w:numFmt w:val="decimal"/>
      <w:pStyle w:val="Numberedparagraphs"/>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94D0252"/>
    <w:multiLevelType w:val="hybridMultilevel"/>
    <w:tmpl w:val="46467A04"/>
    <w:lvl w:ilvl="0" w:tplc="0C090015">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C1C2CF2"/>
    <w:multiLevelType w:val="hybridMultilevel"/>
    <w:tmpl w:val="FC2A74E4"/>
    <w:lvl w:ilvl="0" w:tplc="FFFFFFFF">
      <w:start w:val="1"/>
      <w:numFmt w:val="lowerLetter"/>
      <w:lvlText w:val="(%1)"/>
      <w:lvlJc w:val="left"/>
      <w:pPr>
        <w:ind w:left="1110" w:hanging="360"/>
      </w:pPr>
      <w:rPr>
        <w:rFonts w:hint="default"/>
      </w:rPr>
    </w:lvl>
    <w:lvl w:ilvl="1" w:tplc="FFFFFFFF">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18" w15:restartNumberingAfterBreak="0">
    <w:nsid w:val="3DF472CF"/>
    <w:multiLevelType w:val="hybridMultilevel"/>
    <w:tmpl w:val="B4C0B958"/>
    <w:lvl w:ilvl="0" w:tplc="E124C270">
      <w:start w:val="1"/>
      <w:numFmt w:val="bullet"/>
      <w:pStyle w:val="06VIRTBulletpoints"/>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9" w15:restartNumberingAfterBreak="0">
    <w:nsid w:val="45EE6CF0"/>
    <w:multiLevelType w:val="hybridMultilevel"/>
    <w:tmpl w:val="FC2A74E4"/>
    <w:lvl w:ilvl="0" w:tplc="76A6257A">
      <w:start w:val="1"/>
      <w:numFmt w:val="lowerLetter"/>
      <w:lvlText w:val="(%1)"/>
      <w:lvlJc w:val="left"/>
      <w:pPr>
        <w:ind w:left="1110" w:hanging="36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0" w15:restartNumberingAfterBreak="0">
    <w:nsid w:val="4C477999"/>
    <w:multiLevelType w:val="multilevel"/>
    <w:tmpl w:val="88BE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A32922"/>
    <w:multiLevelType w:val="hybridMultilevel"/>
    <w:tmpl w:val="94FCFE58"/>
    <w:lvl w:ilvl="0" w:tplc="26644502">
      <w:start w:val="1"/>
      <w:numFmt w:val="bullet"/>
      <w:lvlText w:val=""/>
      <w:lvlJc w:val="left"/>
      <w:pPr>
        <w:tabs>
          <w:tab w:val="num" w:pos="720"/>
        </w:tabs>
        <w:ind w:left="720" w:hanging="360"/>
      </w:pPr>
      <w:rPr>
        <w:rFonts w:ascii="Symbol" w:hAnsi="Symbol" w:hint="default"/>
      </w:rPr>
    </w:lvl>
    <w:lvl w:ilvl="1" w:tplc="D034DB3A" w:tentative="1">
      <w:start w:val="1"/>
      <w:numFmt w:val="bullet"/>
      <w:lvlText w:val=""/>
      <w:lvlJc w:val="left"/>
      <w:pPr>
        <w:tabs>
          <w:tab w:val="num" w:pos="1440"/>
        </w:tabs>
        <w:ind w:left="1440" w:hanging="360"/>
      </w:pPr>
      <w:rPr>
        <w:rFonts w:ascii="Symbol" w:hAnsi="Symbol" w:hint="default"/>
      </w:rPr>
    </w:lvl>
    <w:lvl w:ilvl="2" w:tplc="EF1240CA" w:tentative="1">
      <w:start w:val="1"/>
      <w:numFmt w:val="bullet"/>
      <w:lvlText w:val=""/>
      <w:lvlJc w:val="left"/>
      <w:pPr>
        <w:tabs>
          <w:tab w:val="num" w:pos="2160"/>
        </w:tabs>
        <w:ind w:left="2160" w:hanging="360"/>
      </w:pPr>
      <w:rPr>
        <w:rFonts w:ascii="Symbol" w:hAnsi="Symbol" w:hint="default"/>
      </w:rPr>
    </w:lvl>
    <w:lvl w:ilvl="3" w:tplc="F256628C" w:tentative="1">
      <w:start w:val="1"/>
      <w:numFmt w:val="bullet"/>
      <w:lvlText w:val=""/>
      <w:lvlJc w:val="left"/>
      <w:pPr>
        <w:tabs>
          <w:tab w:val="num" w:pos="2880"/>
        </w:tabs>
        <w:ind w:left="2880" w:hanging="360"/>
      </w:pPr>
      <w:rPr>
        <w:rFonts w:ascii="Symbol" w:hAnsi="Symbol" w:hint="default"/>
      </w:rPr>
    </w:lvl>
    <w:lvl w:ilvl="4" w:tplc="051EA89C" w:tentative="1">
      <w:start w:val="1"/>
      <w:numFmt w:val="bullet"/>
      <w:lvlText w:val=""/>
      <w:lvlJc w:val="left"/>
      <w:pPr>
        <w:tabs>
          <w:tab w:val="num" w:pos="3600"/>
        </w:tabs>
        <w:ind w:left="3600" w:hanging="360"/>
      </w:pPr>
      <w:rPr>
        <w:rFonts w:ascii="Symbol" w:hAnsi="Symbol" w:hint="default"/>
      </w:rPr>
    </w:lvl>
    <w:lvl w:ilvl="5" w:tplc="13C6EB4A" w:tentative="1">
      <w:start w:val="1"/>
      <w:numFmt w:val="bullet"/>
      <w:lvlText w:val=""/>
      <w:lvlJc w:val="left"/>
      <w:pPr>
        <w:tabs>
          <w:tab w:val="num" w:pos="4320"/>
        </w:tabs>
        <w:ind w:left="4320" w:hanging="360"/>
      </w:pPr>
      <w:rPr>
        <w:rFonts w:ascii="Symbol" w:hAnsi="Symbol" w:hint="default"/>
      </w:rPr>
    </w:lvl>
    <w:lvl w:ilvl="6" w:tplc="0638CF9E" w:tentative="1">
      <w:start w:val="1"/>
      <w:numFmt w:val="bullet"/>
      <w:lvlText w:val=""/>
      <w:lvlJc w:val="left"/>
      <w:pPr>
        <w:tabs>
          <w:tab w:val="num" w:pos="5040"/>
        </w:tabs>
        <w:ind w:left="5040" w:hanging="360"/>
      </w:pPr>
      <w:rPr>
        <w:rFonts w:ascii="Symbol" w:hAnsi="Symbol" w:hint="default"/>
      </w:rPr>
    </w:lvl>
    <w:lvl w:ilvl="7" w:tplc="5642B546" w:tentative="1">
      <w:start w:val="1"/>
      <w:numFmt w:val="bullet"/>
      <w:lvlText w:val=""/>
      <w:lvlJc w:val="left"/>
      <w:pPr>
        <w:tabs>
          <w:tab w:val="num" w:pos="5760"/>
        </w:tabs>
        <w:ind w:left="5760" w:hanging="360"/>
      </w:pPr>
      <w:rPr>
        <w:rFonts w:ascii="Symbol" w:hAnsi="Symbol" w:hint="default"/>
      </w:rPr>
    </w:lvl>
    <w:lvl w:ilvl="8" w:tplc="B84CE9C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40B7803"/>
    <w:multiLevelType w:val="hybridMultilevel"/>
    <w:tmpl w:val="646CE2B0"/>
    <w:lvl w:ilvl="0" w:tplc="0588824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B17222A"/>
    <w:multiLevelType w:val="multilevel"/>
    <w:tmpl w:val="83F023C0"/>
    <w:lvl w:ilvl="0">
      <w:start w:val="7"/>
      <w:numFmt w:val="decimal"/>
      <w:lvlText w:val="%1."/>
      <w:lvlJc w:val="left"/>
      <w:pPr>
        <w:ind w:left="1446" w:hanging="360"/>
      </w:pPr>
      <w:rPr>
        <w:rFonts w:hint="default"/>
        <w:b/>
        <w:bCs/>
        <w:i w:val="0"/>
        <w:iCs/>
      </w:rPr>
    </w:lvl>
    <w:lvl w:ilvl="1">
      <w:start w:val="1"/>
      <w:numFmt w:val="decimal"/>
      <w:pStyle w:val="Instrumentclauses"/>
      <w:lvlText w:val="%1.%2"/>
      <w:lvlJc w:val="left"/>
      <w:pPr>
        <w:ind w:left="1993" w:hanging="547"/>
      </w:pPr>
      <w:rPr>
        <w:rFonts w:hint="default"/>
        <w:b w:val="0"/>
        <w:bCs w:val="0"/>
        <w:i w:val="0"/>
        <w:iCs/>
      </w:rPr>
    </w:lvl>
    <w:lvl w:ilvl="2">
      <w:start w:val="1"/>
      <w:numFmt w:val="decimal"/>
      <w:lvlText w:val="%1.%2.%3"/>
      <w:lvlJc w:val="left"/>
      <w:pPr>
        <w:ind w:left="2526" w:hanging="720"/>
      </w:pPr>
      <w:rPr>
        <w:rFonts w:hint="default"/>
      </w:rPr>
    </w:lvl>
    <w:lvl w:ilvl="3">
      <w:start w:val="1"/>
      <w:numFmt w:val="decimal"/>
      <w:lvlText w:val="%1.%2.%3.%4"/>
      <w:lvlJc w:val="left"/>
      <w:pPr>
        <w:ind w:left="2886" w:hanging="720"/>
      </w:pPr>
      <w:rPr>
        <w:rFonts w:hint="default"/>
      </w:rPr>
    </w:lvl>
    <w:lvl w:ilvl="4">
      <w:start w:val="1"/>
      <w:numFmt w:val="decimal"/>
      <w:lvlText w:val="%1.%2.%3.%4.%5"/>
      <w:lvlJc w:val="left"/>
      <w:pPr>
        <w:ind w:left="3606" w:hanging="1080"/>
      </w:pPr>
      <w:rPr>
        <w:rFonts w:hint="default"/>
      </w:rPr>
    </w:lvl>
    <w:lvl w:ilvl="5">
      <w:start w:val="1"/>
      <w:numFmt w:val="decimal"/>
      <w:lvlText w:val="%1.%2.%3.%4.%5.%6"/>
      <w:lvlJc w:val="left"/>
      <w:pPr>
        <w:ind w:left="4326" w:hanging="1440"/>
      </w:pPr>
      <w:rPr>
        <w:rFonts w:hint="default"/>
      </w:rPr>
    </w:lvl>
    <w:lvl w:ilvl="6">
      <w:start w:val="1"/>
      <w:numFmt w:val="decimal"/>
      <w:lvlText w:val="%1.%2.%3.%4.%5.%6.%7"/>
      <w:lvlJc w:val="left"/>
      <w:pPr>
        <w:ind w:left="4686" w:hanging="1440"/>
      </w:pPr>
      <w:rPr>
        <w:rFonts w:hint="default"/>
      </w:rPr>
    </w:lvl>
    <w:lvl w:ilvl="7">
      <w:start w:val="1"/>
      <w:numFmt w:val="decimal"/>
      <w:lvlText w:val="%1.%2.%3.%4.%5.%6.%7.%8"/>
      <w:lvlJc w:val="left"/>
      <w:pPr>
        <w:ind w:left="5406" w:hanging="1800"/>
      </w:pPr>
      <w:rPr>
        <w:rFonts w:hint="default"/>
      </w:rPr>
    </w:lvl>
    <w:lvl w:ilvl="8">
      <w:start w:val="1"/>
      <w:numFmt w:val="decimal"/>
      <w:lvlText w:val="%1.%2.%3.%4.%5.%6.%7.%8.%9"/>
      <w:lvlJc w:val="left"/>
      <w:pPr>
        <w:ind w:left="5766" w:hanging="1800"/>
      </w:pPr>
      <w:rPr>
        <w:rFonts w:hint="default"/>
      </w:rPr>
    </w:lvl>
  </w:abstractNum>
  <w:abstractNum w:abstractNumId="24" w15:restartNumberingAfterBreak="0">
    <w:nsid w:val="6C4442C1"/>
    <w:multiLevelType w:val="hybridMultilevel"/>
    <w:tmpl w:val="FC2A74E4"/>
    <w:lvl w:ilvl="0" w:tplc="76A6257A">
      <w:start w:val="1"/>
      <w:numFmt w:val="lowerLetter"/>
      <w:lvlText w:val="(%1)"/>
      <w:lvlJc w:val="left"/>
      <w:pPr>
        <w:ind w:left="1110" w:hanging="36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5" w15:restartNumberingAfterBreak="0">
    <w:nsid w:val="749423DA"/>
    <w:multiLevelType w:val="hybridMultilevel"/>
    <w:tmpl w:val="306C070E"/>
    <w:styleLink w:val="ZZNumbersdigit"/>
    <w:lvl w:ilvl="0" w:tplc="E362E804">
      <w:start w:val="1"/>
      <w:numFmt w:val="decimal"/>
      <w:pStyle w:val="DPCnumberdigit"/>
      <w:lvlText w:val="%1."/>
      <w:lvlJc w:val="left"/>
      <w:pPr>
        <w:tabs>
          <w:tab w:val="num" w:pos="397"/>
        </w:tabs>
        <w:ind w:left="397" w:hanging="397"/>
      </w:pPr>
      <w:rPr>
        <w:rFonts w:hint="default"/>
      </w:rPr>
    </w:lvl>
    <w:lvl w:ilvl="1" w:tplc="796C9A9A">
      <w:start w:val="1"/>
      <w:numFmt w:val="decimal"/>
      <w:pStyle w:val="DPCnumberdigitindent"/>
      <w:lvlText w:val="%2."/>
      <w:lvlJc w:val="left"/>
      <w:pPr>
        <w:tabs>
          <w:tab w:val="num" w:pos="794"/>
        </w:tabs>
        <w:ind w:left="794" w:hanging="397"/>
      </w:pPr>
      <w:rPr>
        <w:rFonts w:hint="default"/>
      </w:rPr>
    </w:lvl>
    <w:lvl w:ilvl="2" w:tplc="92483B02">
      <w:start w:val="1"/>
      <w:numFmt w:val="bullet"/>
      <w:lvlRestart w:val="0"/>
      <w:pStyle w:val="DPCbulletafternumbers1"/>
      <w:lvlText w:val="▪"/>
      <w:lvlJc w:val="left"/>
      <w:pPr>
        <w:ind w:left="794" w:hanging="397"/>
      </w:pPr>
      <w:rPr>
        <w:rFonts w:hint="default"/>
      </w:rPr>
    </w:lvl>
    <w:lvl w:ilvl="3" w:tplc="203ADC30">
      <w:start w:val="1"/>
      <w:numFmt w:val="bullet"/>
      <w:lvlRestart w:val="0"/>
      <w:pStyle w:val="DPCbulletafternumbers2"/>
      <w:lvlText w:val="–"/>
      <w:lvlJc w:val="left"/>
      <w:pPr>
        <w:ind w:left="1191" w:hanging="397"/>
      </w:pPr>
      <w:rPr>
        <w:rFonts w:hint="default"/>
        <w:color w:val="auto"/>
      </w:rPr>
    </w:lvl>
    <w:lvl w:ilvl="4" w:tplc="BE1A8F9A">
      <w:start w:val="1"/>
      <w:numFmt w:val="none"/>
      <w:lvlRestart w:val="0"/>
      <w:lvlText w:val=""/>
      <w:lvlJc w:val="left"/>
      <w:pPr>
        <w:ind w:left="0" w:firstLine="0"/>
      </w:pPr>
      <w:rPr>
        <w:rFonts w:hint="default"/>
      </w:rPr>
    </w:lvl>
    <w:lvl w:ilvl="5" w:tplc="71B6EF68">
      <w:start w:val="1"/>
      <w:numFmt w:val="none"/>
      <w:lvlRestart w:val="0"/>
      <w:lvlText w:val=""/>
      <w:lvlJc w:val="left"/>
      <w:pPr>
        <w:ind w:left="0" w:firstLine="0"/>
      </w:pPr>
      <w:rPr>
        <w:rFonts w:hint="default"/>
      </w:rPr>
    </w:lvl>
    <w:lvl w:ilvl="6" w:tplc="EBF25490">
      <w:start w:val="1"/>
      <w:numFmt w:val="none"/>
      <w:lvlRestart w:val="0"/>
      <w:lvlText w:val=""/>
      <w:lvlJc w:val="left"/>
      <w:pPr>
        <w:ind w:left="0" w:firstLine="0"/>
      </w:pPr>
      <w:rPr>
        <w:rFonts w:hint="default"/>
      </w:rPr>
    </w:lvl>
    <w:lvl w:ilvl="7" w:tplc="9A6A7EB8">
      <w:start w:val="1"/>
      <w:numFmt w:val="none"/>
      <w:lvlRestart w:val="0"/>
      <w:lvlText w:val=""/>
      <w:lvlJc w:val="left"/>
      <w:pPr>
        <w:ind w:left="0" w:firstLine="0"/>
      </w:pPr>
      <w:rPr>
        <w:rFonts w:hint="default"/>
      </w:rPr>
    </w:lvl>
    <w:lvl w:ilvl="8" w:tplc="B6B61508">
      <w:start w:val="1"/>
      <w:numFmt w:val="none"/>
      <w:lvlRestart w:val="0"/>
      <w:lvlText w:val=""/>
      <w:lvlJc w:val="left"/>
      <w:pPr>
        <w:ind w:left="0" w:firstLine="0"/>
      </w:pPr>
      <w:rPr>
        <w:rFonts w:hint="default"/>
      </w:rPr>
    </w:lvl>
  </w:abstractNum>
  <w:abstractNum w:abstractNumId="26" w15:restartNumberingAfterBreak="0">
    <w:nsid w:val="76821E95"/>
    <w:multiLevelType w:val="hybridMultilevel"/>
    <w:tmpl w:val="0CA6903A"/>
    <w:lvl w:ilvl="0" w:tplc="399678B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FF341A"/>
    <w:multiLevelType w:val="hybridMultilevel"/>
    <w:tmpl w:val="E02E09C0"/>
    <w:lvl w:ilvl="0" w:tplc="83B68076">
      <w:start w:val="1"/>
      <w:numFmt w:val="bullet"/>
      <w:pStyle w:val="Bulletsinatable"/>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77100944">
    <w:abstractNumId w:val="27"/>
  </w:num>
  <w:num w:numId="2" w16cid:durableId="1953441793">
    <w:abstractNumId w:val="22"/>
  </w:num>
  <w:num w:numId="3" w16cid:durableId="1206020245">
    <w:abstractNumId w:val="9"/>
  </w:num>
  <w:num w:numId="4" w16cid:durableId="620577822">
    <w:abstractNumId w:val="7"/>
  </w:num>
  <w:num w:numId="5" w16cid:durableId="172234134">
    <w:abstractNumId w:val="6"/>
  </w:num>
  <w:num w:numId="6" w16cid:durableId="1797332868">
    <w:abstractNumId w:val="5"/>
  </w:num>
  <w:num w:numId="7" w16cid:durableId="1655646921">
    <w:abstractNumId w:val="4"/>
  </w:num>
  <w:num w:numId="8" w16cid:durableId="1007756396">
    <w:abstractNumId w:val="8"/>
  </w:num>
  <w:num w:numId="9" w16cid:durableId="116219982">
    <w:abstractNumId w:val="3"/>
  </w:num>
  <w:num w:numId="10" w16cid:durableId="650909958">
    <w:abstractNumId w:val="2"/>
  </w:num>
  <w:num w:numId="11" w16cid:durableId="1624996025">
    <w:abstractNumId w:val="1"/>
  </w:num>
  <w:num w:numId="12" w16cid:durableId="1579943623">
    <w:abstractNumId w:val="0"/>
  </w:num>
  <w:num w:numId="13" w16cid:durableId="1624924389">
    <w:abstractNumId w:val="13"/>
  </w:num>
  <w:num w:numId="14" w16cid:durableId="645203542">
    <w:abstractNumId w:val="23"/>
  </w:num>
  <w:num w:numId="15" w16cid:durableId="742407621">
    <w:abstractNumId w:val="15"/>
  </w:num>
  <w:num w:numId="16" w16cid:durableId="944506084">
    <w:abstractNumId w:val="25"/>
  </w:num>
  <w:num w:numId="17" w16cid:durableId="1352533976">
    <w:abstractNumId w:val="16"/>
  </w:num>
  <w:num w:numId="18" w16cid:durableId="885987386">
    <w:abstractNumId w:val="18"/>
  </w:num>
  <w:num w:numId="19" w16cid:durableId="449739243">
    <w:abstractNumId w:val="12"/>
  </w:num>
  <w:num w:numId="20" w16cid:durableId="1735228890">
    <w:abstractNumId w:val="11"/>
  </w:num>
  <w:num w:numId="21" w16cid:durableId="1927305260">
    <w:abstractNumId w:val="26"/>
  </w:num>
  <w:num w:numId="22" w16cid:durableId="1689721676">
    <w:abstractNumId w:val="24"/>
  </w:num>
  <w:num w:numId="23" w16cid:durableId="1719889902">
    <w:abstractNumId w:val="19"/>
  </w:num>
  <w:num w:numId="24" w16cid:durableId="223833550">
    <w:abstractNumId w:val="17"/>
  </w:num>
  <w:num w:numId="25" w16cid:durableId="1818692625">
    <w:abstractNumId w:val="20"/>
  </w:num>
  <w:num w:numId="26" w16cid:durableId="2090612137">
    <w:abstractNumId w:val="27"/>
  </w:num>
  <w:num w:numId="27" w16cid:durableId="2143034352">
    <w:abstractNumId w:val="10"/>
  </w:num>
  <w:num w:numId="28" w16cid:durableId="903613046">
    <w:abstractNumId w:val="21"/>
  </w:num>
  <w:num w:numId="29" w16cid:durableId="484275577">
    <w:abstractNumId w:val="14"/>
  </w:num>
  <w:num w:numId="30" w16cid:durableId="1810979481">
    <w:abstractNumId w:val="27"/>
  </w:num>
  <w:num w:numId="31" w16cid:durableId="290477548">
    <w:abstractNumId w:val="27"/>
  </w:num>
  <w:num w:numId="32" w16cid:durableId="1175261748">
    <w:abstractNumId w:val="27"/>
  </w:num>
  <w:num w:numId="33" w16cid:durableId="614025663">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displayBackgroundShape/>
  <w:embedSystemFonts/>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64" w:dllVersion="0" w:nlCheck="1" w:checkStyle="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formatting="1" w:enforcement="0"/>
  <w:defaultTabStop w:val="720"/>
  <w:clickAndTypeStyle w:val="ChapterheadingChar"/>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03"/>
    <w:rsid w:val="00000036"/>
    <w:rsid w:val="000000B4"/>
    <w:rsid w:val="000001DC"/>
    <w:rsid w:val="00000354"/>
    <w:rsid w:val="00000378"/>
    <w:rsid w:val="0000050A"/>
    <w:rsid w:val="0000051C"/>
    <w:rsid w:val="00000724"/>
    <w:rsid w:val="0000076B"/>
    <w:rsid w:val="00000870"/>
    <w:rsid w:val="00000892"/>
    <w:rsid w:val="000008AA"/>
    <w:rsid w:val="000008B2"/>
    <w:rsid w:val="0000090E"/>
    <w:rsid w:val="000009A2"/>
    <w:rsid w:val="00000A16"/>
    <w:rsid w:val="00000AE4"/>
    <w:rsid w:val="00000AEE"/>
    <w:rsid w:val="00000B61"/>
    <w:rsid w:val="00000B97"/>
    <w:rsid w:val="00000C1F"/>
    <w:rsid w:val="00000E9F"/>
    <w:rsid w:val="00000F98"/>
    <w:rsid w:val="00001014"/>
    <w:rsid w:val="00001245"/>
    <w:rsid w:val="000013F4"/>
    <w:rsid w:val="00001481"/>
    <w:rsid w:val="000015E7"/>
    <w:rsid w:val="00001716"/>
    <w:rsid w:val="000017D2"/>
    <w:rsid w:val="00001913"/>
    <w:rsid w:val="00001A68"/>
    <w:rsid w:val="00001BC7"/>
    <w:rsid w:val="00001C07"/>
    <w:rsid w:val="00001D42"/>
    <w:rsid w:val="00001D6D"/>
    <w:rsid w:val="00001E28"/>
    <w:rsid w:val="00001EE1"/>
    <w:rsid w:val="00001F08"/>
    <w:rsid w:val="00001F9F"/>
    <w:rsid w:val="00001FCD"/>
    <w:rsid w:val="00002114"/>
    <w:rsid w:val="00002344"/>
    <w:rsid w:val="00002391"/>
    <w:rsid w:val="0000253A"/>
    <w:rsid w:val="00002541"/>
    <w:rsid w:val="00002549"/>
    <w:rsid w:val="0000256C"/>
    <w:rsid w:val="00002605"/>
    <w:rsid w:val="0000261B"/>
    <w:rsid w:val="0000273D"/>
    <w:rsid w:val="000027A7"/>
    <w:rsid w:val="0000293F"/>
    <w:rsid w:val="00002943"/>
    <w:rsid w:val="00002A77"/>
    <w:rsid w:val="00002AEB"/>
    <w:rsid w:val="00002B79"/>
    <w:rsid w:val="00002CD7"/>
    <w:rsid w:val="00002D24"/>
    <w:rsid w:val="00002E5D"/>
    <w:rsid w:val="000030FB"/>
    <w:rsid w:val="0000312C"/>
    <w:rsid w:val="000032D9"/>
    <w:rsid w:val="0000332A"/>
    <w:rsid w:val="0000345A"/>
    <w:rsid w:val="00003462"/>
    <w:rsid w:val="00003597"/>
    <w:rsid w:val="00003617"/>
    <w:rsid w:val="00003649"/>
    <w:rsid w:val="000036ED"/>
    <w:rsid w:val="00003726"/>
    <w:rsid w:val="00003759"/>
    <w:rsid w:val="000037B5"/>
    <w:rsid w:val="000037E9"/>
    <w:rsid w:val="000037F3"/>
    <w:rsid w:val="0000388F"/>
    <w:rsid w:val="00003914"/>
    <w:rsid w:val="00003AA0"/>
    <w:rsid w:val="00003C05"/>
    <w:rsid w:val="00003C08"/>
    <w:rsid w:val="00003D77"/>
    <w:rsid w:val="00003DD7"/>
    <w:rsid w:val="00003E34"/>
    <w:rsid w:val="00003E65"/>
    <w:rsid w:val="00004020"/>
    <w:rsid w:val="00004177"/>
    <w:rsid w:val="00004220"/>
    <w:rsid w:val="000042B5"/>
    <w:rsid w:val="00004397"/>
    <w:rsid w:val="0000453D"/>
    <w:rsid w:val="0000457B"/>
    <w:rsid w:val="00004682"/>
    <w:rsid w:val="000049B4"/>
    <w:rsid w:val="000049C3"/>
    <w:rsid w:val="00004A24"/>
    <w:rsid w:val="00004AFF"/>
    <w:rsid w:val="00004B64"/>
    <w:rsid w:val="00004B87"/>
    <w:rsid w:val="00004C19"/>
    <w:rsid w:val="00004C7B"/>
    <w:rsid w:val="00004F53"/>
    <w:rsid w:val="00005000"/>
    <w:rsid w:val="00005058"/>
    <w:rsid w:val="00005146"/>
    <w:rsid w:val="0000514C"/>
    <w:rsid w:val="000051AA"/>
    <w:rsid w:val="00005275"/>
    <w:rsid w:val="000052D7"/>
    <w:rsid w:val="0000530C"/>
    <w:rsid w:val="00005323"/>
    <w:rsid w:val="000055BE"/>
    <w:rsid w:val="00005732"/>
    <w:rsid w:val="0000585E"/>
    <w:rsid w:val="00005919"/>
    <w:rsid w:val="00005921"/>
    <w:rsid w:val="0000596F"/>
    <w:rsid w:val="00005990"/>
    <w:rsid w:val="00005B92"/>
    <w:rsid w:val="00005B9A"/>
    <w:rsid w:val="00005D9C"/>
    <w:rsid w:val="00005E91"/>
    <w:rsid w:val="00006054"/>
    <w:rsid w:val="00006074"/>
    <w:rsid w:val="0000610C"/>
    <w:rsid w:val="00006253"/>
    <w:rsid w:val="00006294"/>
    <w:rsid w:val="000062DB"/>
    <w:rsid w:val="00006324"/>
    <w:rsid w:val="00006333"/>
    <w:rsid w:val="000063AD"/>
    <w:rsid w:val="0000646F"/>
    <w:rsid w:val="00006530"/>
    <w:rsid w:val="00006553"/>
    <w:rsid w:val="0000655F"/>
    <w:rsid w:val="00006599"/>
    <w:rsid w:val="000065C1"/>
    <w:rsid w:val="000065F6"/>
    <w:rsid w:val="00006699"/>
    <w:rsid w:val="0000682E"/>
    <w:rsid w:val="0000692D"/>
    <w:rsid w:val="00006CCD"/>
    <w:rsid w:val="00006D62"/>
    <w:rsid w:val="00006D76"/>
    <w:rsid w:val="00006F88"/>
    <w:rsid w:val="0000702D"/>
    <w:rsid w:val="00007205"/>
    <w:rsid w:val="0000734C"/>
    <w:rsid w:val="000073D2"/>
    <w:rsid w:val="00007578"/>
    <w:rsid w:val="0000779E"/>
    <w:rsid w:val="00007979"/>
    <w:rsid w:val="000079FD"/>
    <w:rsid w:val="00007A9E"/>
    <w:rsid w:val="00007B58"/>
    <w:rsid w:val="00007BEE"/>
    <w:rsid w:val="00007D99"/>
    <w:rsid w:val="00007DFA"/>
    <w:rsid w:val="00007E59"/>
    <w:rsid w:val="000100E5"/>
    <w:rsid w:val="00010299"/>
    <w:rsid w:val="0001036F"/>
    <w:rsid w:val="0001058B"/>
    <w:rsid w:val="000105C4"/>
    <w:rsid w:val="00010675"/>
    <w:rsid w:val="000109C8"/>
    <w:rsid w:val="00010A70"/>
    <w:rsid w:val="00010AEA"/>
    <w:rsid w:val="00010B6A"/>
    <w:rsid w:val="00010D43"/>
    <w:rsid w:val="00010D8D"/>
    <w:rsid w:val="00010E3D"/>
    <w:rsid w:val="00010EFB"/>
    <w:rsid w:val="00010F28"/>
    <w:rsid w:val="000110B9"/>
    <w:rsid w:val="00011181"/>
    <w:rsid w:val="000115DF"/>
    <w:rsid w:val="00011701"/>
    <w:rsid w:val="00011864"/>
    <w:rsid w:val="000118D0"/>
    <w:rsid w:val="0001194E"/>
    <w:rsid w:val="00011CCC"/>
    <w:rsid w:val="00011E97"/>
    <w:rsid w:val="000120E8"/>
    <w:rsid w:val="00012188"/>
    <w:rsid w:val="00012194"/>
    <w:rsid w:val="000121F8"/>
    <w:rsid w:val="00012257"/>
    <w:rsid w:val="000122E6"/>
    <w:rsid w:val="000122EA"/>
    <w:rsid w:val="00012378"/>
    <w:rsid w:val="000123D7"/>
    <w:rsid w:val="00012467"/>
    <w:rsid w:val="00012494"/>
    <w:rsid w:val="0001253B"/>
    <w:rsid w:val="000125F0"/>
    <w:rsid w:val="000126E5"/>
    <w:rsid w:val="00012864"/>
    <w:rsid w:val="00012903"/>
    <w:rsid w:val="00012C6D"/>
    <w:rsid w:val="00012ED4"/>
    <w:rsid w:val="00012EE8"/>
    <w:rsid w:val="00012FCF"/>
    <w:rsid w:val="0001308A"/>
    <w:rsid w:val="000130EF"/>
    <w:rsid w:val="0001372A"/>
    <w:rsid w:val="00013912"/>
    <w:rsid w:val="00013B13"/>
    <w:rsid w:val="00013BAA"/>
    <w:rsid w:val="00013BEF"/>
    <w:rsid w:val="00013D7D"/>
    <w:rsid w:val="0001406F"/>
    <w:rsid w:val="000143DB"/>
    <w:rsid w:val="000143FC"/>
    <w:rsid w:val="000145FA"/>
    <w:rsid w:val="0001465C"/>
    <w:rsid w:val="00014691"/>
    <w:rsid w:val="000147A0"/>
    <w:rsid w:val="000148E9"/>
    <w:rsid w:val="0001499F"/>
    <w:rsid w:val="00014DA1"/>
    <w:rsid w:val="00014DEF"/>
    <w:rsid w:val="00014E4F"/>
    <w:rsid w:val="00014FB5"/>
    <w:rsid w:val="00015074"/>
    <w:rsid w:val="000151C7"/>
    <w:rsid w:val="00015377"/>
    <w:rsid w:val="000153FC"/>
    <w:rsid w:val="00015475"/>
    <w:rsid w:val="00015680"/>
    <w:rsid w:val="00015739"/>
    <w:rsid w:val="000157BD"/>
    <w:rsid w:val="00015A39"/>
    <w:rsid w:val="00015BD6"/>
    <w:rsid w:val="00015C12"/>
    <w:rsid w:val="00015CD3"/>
    <w:rsid w:val="00015D28"/>
    <w:rsid w:val="00015D37"/>
    <w:rsid w:val="00015D82"/>
    <w:rsid w:val="00015EB9"/>
    <w:rsid w:val="00015FCB"/>
    <w:rsid w:val="0001608A"/>
    <w:rsid w:val="0001611F"/>
    <w:rsid w:val="00016261"/>
    <w:rsid w:val="0001628D"/>
    <w:rsid w:val="000162EE"/>
    <w:rsid w:val="00016377"/>
    <w:rsid w:val="00016507"/>
    <w:rsid w:val="0001655B"/>
    <w:rsid w:val="0001663C"/>
    <w:rsid w:val="000166FC"/>
    <w:rsid w:val="0001670D"/>
    <w:rsid w:val="00016D87"/>
    <w:rsid w:val="00017083"/>
    <w:rsid w:val="000170F1"/>
    <w:rsid w:val="000170F2"/>
    <w:rsid w:val="0001713F"/>
    <w:rsid w:val="000171EC"/>
    <w:rsid w:val="000172EC"/>
    <w:rsid w:val="000173F5"/>
    <w:rsid w:val="000174BC"/>
    <w:rsid w:val="00017803"/>
    <w:rsid w:val="0001786E"/>
    <w:rsid w:val="00017A6E"/>
    <w:rsid w:val="00017AC4"/>
    <w:rsid w:val="00017CB6"/>
    <w:rsid w:val="00017EAD"/>
    <w:rsid w:val="00017EB6"/>
    <w:rsid w:val="00020179"/>
    <w:rsid w:val="00020206"/>
    <w:rsid w:val="0002025C"/>
    <w:rsid w:val="00020266"/>
    <w:rsid w:val="000202A0"/>
    <w:rsid w:val="00020301"/>
    <w:rsid w:val="0002035F"/>
    <w:rsid w:val="000204D4"/>
    <w:rsid w:val="0002051F"/>
    <w:rsid w:val="0002052F"/>
    <w:rsid w:val="000205D1"/>
    <w:rsid w:val="000205FD"/>
    <w:rsid w:val="00020614"/>
    <w:rsid w:val="00020AB8"/>
    <w:rsid w:val="00020B83"/>
    <w:rsid w:val="00020BBA"/>
    <w:rsid w:val="00020BC0"/>
    <w:rsid w:val="00020D1C"/>
    <w:rsid w:val="00020D24"/>
    <w:rsid w:val="00020D7F"/>
    <w:rsid w:val="00020DD4"/>
    <w:rsid w:val="00020E2F"/>
    <w:rsid w:val="00020F31"/>
    <w:rsid w:val="00020F43"/>
    <w:rsid w:val="00021079"/>
    <w:rsid w:val="00021102"/>
    <w:rsid w:val="0002113C"/>
    <w:rsid w:val="000212F6"/>
    <w:rsid w:val="0002140D"/>
    <w:rsid w:val="0002149B"/>
    <w:rsid w:val="0002153A"/>
    <w:rsid w:val="0002157C"/>
    <w:rsid w:val="00021636"/>
    <w:rsid w:val="0002171B"/>
    <w:rsid w:val="0002180C"/>
    <w:rsid w:val="00021A62"/>
    <w:rsid w:val="00021B46"/>
    <w:rsid w:val="00021D76"/>
    <w:rsid w:val="0002204C"/>
    <w:rsid w:val="000220AB"/>
    <w:rsid w:val="0002228E"/>
    <w:rsid w:val="00022325"/>
    <w:rsid w:val="00022467"/>
    <w:rsid w:val="000226F9"/>
    <w:rsid w:val="00022781"/>
    <w:rsid w:val="000227FB"/>
    <w:rsid w:val="00022818"/>
    <w:rsid w:val="00022AE1"/>
    <w:rsid w:val="00022B70"/>
    <w:rsid w:val="00022EDA"/>
    <w:rsid w:val="00022EFB"/>
    <w:rsid w:val="00023034"/>
    <w:rsid w:val="00023064"/>
    <w:rsid w:val="0002310F"/>
    <w:rsid w:val="00023146"/>
    <w:rsid w:val="000231BC"/>
    <w:rsid w:val="0002328B"/>
    <w:rsid w:val="000232D5"/>
    <w:rsid w:val="0002350E"/>
    <w:rsid w:val="000235C3"/>
    <w:rsid w:val="00023773"/>
    <w:rsid w:val="000237D0"/>
    <w:rsid w:val="000238E3"/>
    <w:rsid w:val="000238F4"/>
    <w:rsid w:val="00023A55"/>
    <w:rsid w:val="00023B9D"/>
    <w:rsid w:val="00023DFB"/>
    <w:rsid w:val="00023F4D"/>
    <w:rsid w:val="00023FB4"/>
    <w:rsid w:val="00024447"/>
    <w:rsid w:val="000245FE"/>
    <w:rsid w:val="00024698"/>
    <w:rsid w:val="000246DD"/>
    <w:rsid w:val="000246F7"/>
    <w:rsid w:val="000248AD"/>
    <w:rsid w:val="00024A45"/>
    <w:rsid w:val="00024B96"/>
    <w:rsid w:val="00024C72"/>
    <w:rsid w:val="00024DCD"/>
    <w:rsid w:val="00024EA8"/>
    <w:rsid w:val="00024F18"/>
    <w:rsid w:val="00024FA4"/>
    <w:rsid w:val="00024FCE"/>
    <w:rsid w:val="00024FDF"/>
    <w:rsid w:val="000250C2"/>
    <w:rsid w:val="00025281"/>
    <w:rsid w:val="000252E8"/>
    <w:rsid w:val="0002534A"/>
    <w:rsid w:val="0002584F"/>
    <w:rsid w:val="000258C2"/>
    <w:rsid w:val="00025AE8"/>
    <w:rsid w:val="00025BD7"/>
    <w:rsid w:val="00025D64"/>
    <w:rsid w:val="00025DF9"/>
    <w:rsid w:val="00025E22"/>
    <w:rsid w:val="00025E4C"/>
    <w:rsid w:val="00025ED1"/>
    <w:rsid w:val="00025EF8"/>
    <w:rsid w:val="00025F6F"/>
    <w:rsid w:val="00025FA9"/>
    <w:rsid w:val="0002628F"/>
    <w:rsid w:val="000263BA"/>
    <w:rsid w:val="000263CA"/>
    <w:rsid w:val="0002644C"/>
    <w:rsid w:val="0002655F"/>
    <w:rsid w:val="000265CF"/>
    <w:rsid w:val="00026667"/>
    <w:rsid w:val="000266C6"/>
    <w:rsid w:val="00026775"/>
    <w:rsid w:val="0002690E"/>
    <w:rsid w:val="00026A65"/>
    <w:rsid w:val="00026B30"/>
    <w:rsid w:val="00026BA0"/>
    <w:rsid w:val="00026BA7"/>
    <w:rsid w:val="00026EB0"/>
    <w:rsid w:val="00026FC0"/>
    <w:rsid w:val="000270A6"/>
    <w:rsid w:val="000271BB"/>
    <w:rsid w:val="0002721C"/>
    <w:rsid w:val="00027463"/>
    <w:rsid w:val="000274FF"/>
    <w:rsid w:val="000275DE"/>
    <w:rsid w:val="000276CD"/>
    <w:rsid w:val="000277AD"/>
    <w:rsid w:val="000277C6"/>
    <w:rsid w:val="00027867"/>
    <w:rsid w:val="00027B19"/>
    <w:rsid w:val="00027C11"/>
    <w:rsid w:val="00027E30"/>
    <w:rsid w:val="00027F74"/>
    <w:rsid w:val="00027FE9"/>
    <w:rsid w:val="0003001D"/>
    <w:rsid w:val="000301FC"/>
    <w:rsid w:val="00030285"/>
    <w:rsid w:val="00030316"/>
    <w:rsid w:val="00030332"/>
    <w:rsid w:val="000303D6"/>
    <w:rsid w:val="0003058D"/>
    <w:rsid w:val="0003076D"/>
    <w:rsid w:val="00030926"/>
    <w:rsid w:val="00030AB3"/>
    <w:rsid w:val="00030AD7"/>
    <w:rsid w:val="00030E0C"/>
    <w:rsid w:val="00030F28"/>
    <w:rsid w:val="00030F86"/>
    <w:rsid w:val="000311AE"/>
    <w:rsid w:val="0003124F"/>
    <w:rsid w:val="00031309"/>
    <w:rsid w:val="0003135A"/>
    <w:rsid w:val="00031437"/>
    <w:rsid w:val="000314CB"/>
    <w:rsid w:val="000315FA"/>
    <w:rsid w:val="000316DF"/>
    <w:rsid w:val="00031856"/>
    <w:rsid w:val="000318C1"/>
    <w:rsid w:val="00031BCB"/>
    <w:rsid w:val="00031C39"/>
    <w:rsid w:val="00031DAD"/>
    <w:rsid w:val="00031E28"/>
    <w:rsid w:val="00031E89"/>
    <w:rsid w:val="00031EEB"/>
    <w:rsid w:val="00032068"/>
    <w:rsid w:val="000320C9"/>
    <w:rsid w:val="000320F3"/>
    <w:rsid w:val="00032165"/>
    <w:rsid w:val="00032268"/>
    <w:rsid w:val="000322B6"/>
    <w:rsid w:val="000323D6"/>
    <w:rsid w:val="00032652"/>
    <w:rsid w:val="0003285C"/>
    <w:rsid w:val="000329D1"/>
    <w:rsid w:val="00032A8A"/>
    <w:rsid w:val="00032C65"/>
    <w:rsid w:val="00032D5B"/>
    <w:rsid w:val="00032E89"/>
    <w:rsid w:val="00032EC5"/>
    <w:rsid w:val="00033039"/>
    <w:rsid w:val="000330E0"/>
    <w:rsid w:val="00033198"/>
    <w:rsid w:val="000332A0"/>
    <w:rsid w:val="000332F3"/>
    <w:rsid w:val="000333A1"/>
    <w:rsid w:val="00033448"/>
    <w:rsid w:val="00033453"/>
    <w:rsid w:val="00033473"/>
    <w:rsid w:val="000334B2"/>
    <w:rsid w:val="00033556"/>
    <w:rsid w:val="000335AC"/>
    <w:rsid w:val="000335EA"/>
    <w:rsid w:val="0003367E"/>
    <w:rsid w:val="00033713"/>
    <w:rsid w:val="000337A8"/>
    <w:rsid w:val="00033923"/>
    <w:rsid w:val="000339D8"/>
    <w:rsid w:val="00033AB7"/>
    <w:rsid w:val="00033D4B"/>
    <w:rsid w:val="00033DEA"/>
    <w:rsid w:val="00033E19"/>
    <w:rsid w:val="00033E26"/>
    <w:rsid w:val="00033F0F"/>
    <w:rsid w:val="00033FE6"/>
    <w:rsid w:val="00034022"/>
    <w:rsid w:val="00034054"/>
    <w:rsid w:val="000340D0"/>
    <w:rsid w:val="00034156"/>
    <w:rsid w:val="000342BC"/>
    <w:rsid w:val="000343D1"/>
    <w:rsid w:val="000345A5"/>
    <w:rsid w:val="000345BE"/>
    <w:rsid w:val="000346E6"/>
    <w:rsid w:val="00034703"/>
    <w:rsid w:val="0003471D"/>
    <w:rsid w:val="00034829"/>
    <w:rsid w:val="00034AAE"/>
    <w:rsid w:val="00034DB1"/>
    <w:rsid w:val="00034DD7"/>
    <w:rsid w:val="00034F08"/>
    <w:rsid w:val="00035098"/>
    <w:rsid w:val="000350AE"/>
    <w:rsid w:val="0003520A"/>
    <w:rsid w:val="0003535A"/>
    <w:rsid w:val="00035375"/>
    <w:rsid w:val="000353BD"/>
    <w:rsid w:val="00035661"/>
    <w:rsid w:val="000356E4"/>
    <w:rsid w:val="000357BB"/>
    <w:rsid w:val="00035960"/>
    <w:rsid w:val="00035991"/>
    <w:rsid w:val="000359A3"/>
    <w:rsid w:val="000359C8"/>
    <w:rsid w:val="00035A98"/>
    <w:rsid w:val="00035B86"/>
    <w:rsid w:val="00035E59"/>
    <w:rsid w:val="00036027"/>
    <w:rsid w:val="0003607F"/>
    <w:rsid w:val="00036227"/>
    <w:rsid w:val="00036298"/>
    <w:rsid w:val="0003643D"/>
    <w:rsid w:val="000364FF"/>
    <w:rsid w:val="000366FD"/>
    <w:rsid w:val="0003672D"/>
    <w:rsid w:val="0003677B"/>
    <w:rsid w:val="0003681B"/>
    <w:rsid w:val="0003692B"/>
    <w:rsid w:val="00036A79"/>
    <w:rsid w:val="00036A7D"/>
    <w:rsid w:val="00036C0B"/>
    <w:rsid w:val="00036DC6"/>
    <w:rsid w:val="00036DF8"/>
    <w:rsid w:val="00036F14"/>
    <w:rsid w:val="00036FB0"/>
    <w:rsid w:val="00036FBA"/>
    <w:rsid w:val="00037151"/>
    <w:rsid w:val="00037276"/>
    <w:rsid w:val="00037363"/>
    <w:rsid w:val="00037671"/>
    <w:rsid w:val="0003768D"/>
    <w:rsid w:val="000376AA"/>
    <w:rsid w:val="00037A3B"/>
    <w:rsid w:val="000401BB"/>
    <w:rsid w:val="0004026B"/>
    <w:rsid w:val="00040288"/>
    <w:rsid w:val="000402E0"/>
    <w:rsid w:val="0004046A"/>
    <w:rsid w:val="00040651"/>
    <w:rsid w:val="0004075F"/>
    <w:rsid w:val="000409A4"/>
    <w:rsid w:val="00040A07"/>
    <w:rsid w:val="00040B0C"/>
    <w:rsid w:val="00040BE6"/>
    <w:rsid w:val="00040E64"/>
    <w:rsid w:val="00040F72"/>
    <w:rsid w:val="00040F9A"/>
    <w:rsid w:val="000410EE"/>
    <w:rsid w:val="0004112A"/>
    <w:rsid w:val="000411AA"/>
    <w:rsid w:val="000412AD"/>
    <w:rsid w:val="00041398"/>
    <w:rsid w:val="000413BB"/>
    <w:rsid w:val="000414BE"/>
    <w:rsid w:val="0004164B"/>
    <w:rsid w:val="000416EB"/>
    <w:rsid w:val="0004171E"/>
    <w:rsid w:val="0004179D"/>
    <w:rsid w:val="000417F4"/>
    <w:rsid w:val="00041A8C"/>
    <w:rsid w:val="00041AB8"/>
    <w:rsid w:val="00041E7C"/>
    <w:rsid w:val="00041FC0"/>
    <w:rsid w:val="00042009"/>
    <w:rsid w:val="000420BA"/>
    <w:rsid w:val="000420E8"/>
    <w:rsid w:val="000422D4"/>
    <w:rsid w:val="0004233F"/>
    <w:rsid w:val="0004238C"/>
    <w:rsid w:val="00042434"/>
    <w:rsid w:val="000424C4"/>
    <w:rsid w:val="000424CF"/>
    <w:rsid w:val="00042525"/>
    <w:rsid w:val="0004268F"/>
    <w:rsid w:val="00042751"/>
    <w:rsid w:val="00042752"/>
    <w:rsid w:val="000427D3"/>
    <w:rsid w:val="00042A1C"/>
    <w:rsid w:val="00042C57"/>
    <w:rsid w:val="00042CAB"/>
    <w:rsid w:val="00042D79"/>
    <w:rsid w:val="00042E12"/>
    <w:rsid w:val="00042FEE"/>
    <w:rsid w:val="0004307D"/>
    <w:rsid w:val="00043166"/>
    <w:rsid w:val="0004327B"/>
    <w:rsid w:val="000432E3"/>
    <w:rsid w:val="000433C6"/>
    <w:rsid w:val="0004343D"/>
    <w:rsid w:val="00043465"/>
    <w:rsid w:val="000434C5"/>
    <w:rsid w:val="00043763"/>
    <w:rsid w:val="0004393B"/>
    <w:rsid w:val="0004394F"/>
    <w:rsid w:val="00043971"/>
    <w:rsid w:val="00043A2F"/>
    <w:rsid w:val="00043AA7"/>
    <w:rsid w:val="00043AE7"/>
    <w:rsid w:val="00043B1D"/>
    <w:rsid w:val="00043C0E"/>
    <w:rsid w:val="00043D14"/>
    <w:rsid w:val="00043DE4"/>
    <w:rsid w:val="00043E53"/>
    <w:rsid w:val="00043E99"/>
    <w:rsid w:val="00043EFF"/>
    <w:rsid w:val="00043F4C"/>
    <w:rsid w:val="00044229"/>
    <w:rsid w:val="000442D3"/>
    <w:rsid w:val="000442D9"/>
    <w:rsid w:val="000445E8"/>
    <w:rsid w:val="000445F3"/>
    <w:rsid w:val="00044970"/>
    <w:rsid w:val="000449A1"/>
    <w:rsid w:val="00044A68"/>
    <w:rsid w:val="00044B43"/>
    <w:rsid w:val="00044E5C"/>
    <w:rsid w:val="00044FB5"/>
    <w:rsid w:val="000450C7"/>
    <w:rsid w:val="000450ED"/>
    <w:rsid w:val="0004529C"/>
    <w:rsid w:val="0004530B"/>
    <w:rsid w:val="000453A4"/>
    <w:rsid w:val="000453BD"/>
    <w:rsid w:val="000455F8"/>
    <w:rsid w:val="00045673"/>
    <w:rsid w:val="0004568B"/>
    <w:rsid w:val="0004569A"/>
    <w:rsid w:val="000456B4"/>
    <w:rsid w:val="0004576E"/>
    <w:rsid w:val="00045834"/>
    <w:rsid w:val="00045A36"/>
    <w:rsid w:val="00045CEF"/>
    <w:rsid w:val="00045CFC"/>
    <w:rsid w:val="00045E11"/>
    <w:rsid w:val="00046154"/>
    <w:rsid w:val="000463A0"/>
    <w:rsid w:val="000463CE"/>
    <w:rsid w:val="00046429"/>
    <w:rsid w:val="00046633"/>
    <w:rsid w:val="0004667B"/>
    <w:rsid w:val="0004680D"/>
    <w:rsid w:val="000469F2"/>
    <w:rsid w:val="00046B49"/>
    <w:rsid w:val="00046C6C"/>
    <w:rsid w:val="00046FE8"/>
    <w:rsid w:val="00047177"/>
    <w:rsid w:val="00047180"/>
    <w:rsid w:val="00047330"/>
    <w:rsid w:val="00047373"/>
    <w:rsid w:val="000475DF"/>
    <w:rsid w:val="00047775"/>
    <w:rsid w:val="000477B3"/>
    <w:rsid w:val="00047C76"/>
    <w:rsid w:val="00047DEA"/>
    <w:rsid w:val="00047E03"/>
    <w:rsid w:val="00047F02"/>
    <w:rsid w:val="00047F2A"/>
    <w:rsid w:val="00050164"/>
    <w:rsid w:val="00050473"/>
    <w:rsid w:val="0005051C"/>
    <w:rsid w:val="0005051E"/>
    <w:rsid w:val="000506AE"/>
    <w:rsid w:val="0005080C"/>
    <w:rsid w:val="0005082B"/>
    <w:rsid w:val="00050BFD"/>
    <w:rsid w:val="00050C6B"/>
    <w:rsid w:val="00050C6C"/>
    <w:rsid w:val="00050F4F"/>
    <w:rsid w:val="00050F54"/>
    <w:rsid w:val="000510E5"/>
    <w:rsid w:val="00051267"/>
    <w:rsid w:val="000512E1"/>
    <w:rsid w:val="00051414"/>
    <w:rsid w:val="00051627"/>
    <w:rsid w:val="00051737"/>
    <w:rsid w:val="000518AF"/>
    <w:rsid w:val="000518E6"/>
    <w:rsid w:val="00051A70"/>
    <w:rsid w:val="00051C8F"/>
    <w:rsid w:val="00051CC2"/>
    <w:rsid w:val="00051CDC"/>
    <w:rsid w:val="00051DEC"/>
    <w:rsid w:val="00051F3F"/>
    <w:rsid w:val="00051FBF"/>
    <w:rsid w:val="000522CB"/>
    <w:rsid w:val="00052406"/>
    <w:rsid w:val="000524BF"/>
    <w:rsid w:val="0005259A"/>
    <w:rsid w:val="000528D3"/>
    <w:rsid w:val="000529C7"/>
    <w:rsid w:val="00052A87"/>
    <w:rsid w:val="00052AF8"/>
    <w:rsid w:val="00052CBE"/>
    <w:rsid w:val="00052CD6"/>
    <w:rsid w:val="00052E3A"/>
    <w:rsid w:val="00052E92"/>
    <w:rsid w:val="00052F7D"/>
    <w:rsid w:val="00053139"/>
    <w:rsid w:val="00053145"/>
    <w:rsid w:val="00053199"/>
    <w:rsid w:val="00053284"/>
    <w:rsid w:val="000532D2"/>
    <w:rsid w:val="00053303"/>
    <w:rsid w:val="00053459"/>
    <w:rsid w:val="000534BB"/>
    <w:rsid w:val="00053505"/>
    <w:rsid w:val="0005371B"/>
    <w:rsid w:val="00053861"/>
    <w:rsid w:val="00053863"/>
    <w:rsid w:val="00053B1A"/>
    <w:rsid w:val="00053B28"/>
    <w:rsid w:val="00053B3E"/>
    <w:rsid w:val="00053BD5"/>
    <w:rsid w:val="00053D38"/>
    <w:rsid w:val="00053D62"/>
    <w:rsid w:val="00053E3A"/>
    <w:rsid w:val="0005403F"/>
    <w:rsid w:val="0005427F"/>
    <w:rsid w:val="00054380"/>
    <w:rsid w:val="0005447B"/>
    <w:rsid w:val="000544E4"/>
    <w:rsid w:val="0005468F"/>
    <w:rsid w:val="000549D9"/>
    <w:rsid w:val="00054B9C"/>
    <w:rsid w:val="00054DC5"/>
    <w:rsid w:val="00054F15"/>
    <w:rsid w:val="00054F34"/>
    <w:rsid w:val="00055072"/>
    <w:rsid w:val="0005508C"/>
    <w:rsid w:val="000550AA"/>
    <w:rsid w:val="000550CC"/>
    <w:rsid w:val="000553CE"/>
    <w:rsid w:val="0005554A"/>
    <w:rsid w:val="000555AA"/>
    <w:rsid w:val="0005565E"/>
    <w:rsid w:val="000556E5"/>
    <w:rsid w:val="000556EC"/>
    <w:rsid w:val="00055711"/>
    <w:rsid w:val="00055753"/>
    <w:rsid w:val="00055837"/>
    <w:rsid w:val="000558AD"/>
    <w:rsid w:val="00055978"/>
    <w:rsid w:val="00055A7C"/>
    <w:rsid w:val="00055B13"/>
    <w:rsid w:val="00055C2F"/>
    <w:rsid w:val="00055E4D"/>
    <w:rsid w:val="00055F5E"/>
    <w:rsid w:val="00056111"/>
    <w:rsid w:val="000561D8"/>
    <w:rsid w:val="00056488"/>
    <w:rsid w:val="000564BD"/>
    <w:rsid w:val="00056602"/>
    <w:rsid w:val="0005668E"/>
    <w:rsid w:val="00056798"/>
    <w:rsid w:val="0005684C"/>
    <w:rsid w:val="0005686B"/>
    <w:rsid w:val="00056A35"/>
    <w:rsid w:val="00056C04"/>
    <w:rsid w:val="00056C93"/>
    <w:rsid w:val="00056DD0"/>
    <w:rsid w:val="00056E56"/>
    <w:rsid w:val="00056F1D"/>
    <w:rsid w:val="00057059"/>
    <w:rsid w:val="00057101"/>
    <w:rsid w:val="00057176"/>
    <w:rsid w:val="000573B2"/>
    <w:rsid w:val="000577D1"/>
    <w:rsid w:val="000578FF"/>
    <w:rsid w:val="00057946"/>
    <w:rsid w:val="000579B5"/>
    <w:rsid w:val="00057CAC"/>
    <w:rsid w:val="00057CFA"/>
    <w:rsid w:val="00057E86"/>
    <w:rsid w:val="00057EE4"/>
    <w:rsid w:val="000600CE"/>
    <w:rsid w:val="00060360"/>
    <w:rsid w:val="00060488"/>
    <w:rsid w:val="0006061F"/>
    <w:rsid w:val="00060876"/>
    <w:rsid w:val="00060891"/>
    <w:rsid w:val="0006099E"/>
    <w:rsid w:val="00060A35"/>
    <w:rsid w:val="00060D04"/>
    <w:rsid w:val="00060F7B"/>
    <w:rsid w:val="00061168"/>
    <w:rsid w:val="00061194"/>
    <w:rsid w:val="000611B5"/>
    <w:rsid w:val="00061213"/>
    <w:rsid w:val="000612E6"/>
    <w:rsid w:val="0006144C"/>
    <w:rsid w:val="000615E5"/>
    <w:rsid w:val="0006165D"/>
    <w:rsid w:val="000617A4"/>
    <w:rsid w:val="000617D6"/>
    <w:rsid w:val="00061AAD"/>
    <w:rsid w:val="00061AD5"/>
    <w:rsid w:val="00061B9A"/>
    <w:rsid w:val="00061C13"/>
    <w:rsid w:val="00061D9E"/>
    <w:rsid w:val="0006205F"/>
    <w:rsid w:val="00062066"/>
    <w:rsid w:val="00062080"/>
    <w:rsid w:val="00062117"/>
    <w:rsid w:val="00062182"/>
    <w:rsid w:val="0006228C"/>
    <w:rsid w:val="0006231B"/>
    <w:rsid w:val="000624DB"/>
    <w:rsid w:val="00062518"/>
    <w:rsid w:val="000625AB"/>
    <w:rsid w:val="000625B9"/>
    <w:rsid w:val="000626AB"/>
    <w:rsid w:val="000626BD"/>
    <w:rsid w:val="00062741"/>
    <w:rsid w:val="0006285D"/>
    <w:rsid w:val="0006295A"/>
    <w:rsid w:val="000629D4"/>
    <w:rsid w:val="000629D9"/>
    <w:rsid w:val="000629EB"/>
    <w:rsid w:val="00062ACC"/>
    <w:rsid w:val="00062B7F"/>
    <w:rsid w:val="00062BDD"/>
    <w:rsid w:val="00062C00"/>
    <w:rsid w:val="00062D07"/>
    <w:rsid w:val="00062D70"/>
    <w:rsid w:val="00062DBA"/>
    <w:rsid w:val="00062EEF"/>
    <w:rsid w:val="00063026"/>
    <w:rsid w:val="000630C6"/>
    <w:rsid w:val="0006318D"/>
    <w:rsid w:val="00063339"/>
    <w:rsid w:val="000633AF"/>
    <w:rsid w:val="0006348B"/>
    <w:rsid w:val="0006350A"/>
    <w:rsid w:val="0006360D"/>
    <w:rsid w:val="0006363E"/>
    <w:rsid w:val="00063734"/>
    <w:rsid w:val="00063776"/>
    <w:rsid w:val="000637FA"/>
    <w:rsid w:val="00063909"/>
    <w:rsid w:val="000639EA"/>
    <w:rsid w:val="00063A0B"/>
    <w:rsid w:val="00063A16"/>
    <w:rsid w:val="00063B08"/>
    <w:rsid w:val="00063B72"/>
    <w:rsid w:val="00063C6B"/>
    <w:rsid w:val="00063DC0"/>
    <w:rsid w:val="000640AE"/>
    <w:rsid w:val="00064505"/>
    <w:rsid w:val="0006451F"/>
    <w:rsid w:val="00064600"/>
    <w:rsid w:val="00064648"/>
    <w:rsid w:val="000646BC"/>
    <w:rsid w:val="000647D9"/>
    <w:rsid w:val="00064968"/>
    <w:rsid w:val="000649C6"/>
    <w:rsid w:val="000649E0"/>
    <w:rsid w:val="00064A12"/>
    <w:rsid w:val="00064A8C"/>
    <w:rsid w:val="00064B28"/>
    <w:rsid w:val="00064C68"/>
    <w:rsid w:val="00064D15"/>
    <w:rsid w:val="00064F8E"/>
    <w:rsid w:val="0006510D"/>
    <w:rsid w:val="00065136"/>
    <w:rsid w:val="0006529B"/>
    <w:rsid w:val="000652AD"/>
    <w:rsid w:val="0006533F"/>
    <w:rsid w:val="0006534E"/>
    <w:rsid w:val="0006541A"/>
    <w:rsid w:val="000656D2"/>
    <w:rsid w:val="0006576E"/>
    <w:rsid w:val="00065A13"/>
    <w:rsid w:val="00065B92"/>
    <w:rsid w:val="00065C45"/>
    <w:rsid w:val="00065CFB"/>
    <w:rsid w:val="00065D95"/>
    <w:rsid w:val="00065E60"/>
    <w:rsid w:val="00065EF3"/>
    <w:rsid w:val="00065FE0"/>
    <w:rsid w:val="0006605F"/>
    <w:rsid w:val="0006611B"/>
    <w:rsid w:val="000661D0"/>
    <w:rsid w:val="000661FB"/>
    <w:rsid w:val="0006621A"/>
    <w:rsid w:val="000662F1"/>
    <w:rsid w:val="00066376"/>
    <w:rsid w:val="0006637D"/>
    <w:rsid w:val="000663DC"/>
    <w:rsid w:val="00066404"/>
    <w:rsid w:val="0006640C"/>
    <w:rsid w:val="000664C8"/>
    <w:rsid w:val="00066540"/>
    <w:rsid w:val="00066622"/>
    <w:rsid w:val="0006663A"/>
    <w:rsid w:val="000666C9"/>
    <w:rsid w:val="0006685A"/>
    <w:rsid w:val="000668CC"/>
    <w:rsid w:val="000668E9"/>
    <w:rsid w:val="0006698B"/>
    <w:rsid w:val="00066BBE"/>
    <w:rsid w:val="00066BFF"/>
    <w:rsid w:val="00066CE5"/>
    <w:rsid w:val="00066CE9"/>
    <w:rsid w:val="00066FD2"/>
    <w:rsid w:val="000670A2"/>
    <w:rsid w:val="00067171"/>
    <w:rsid w:val="0006728A"/>
    <w:rsid w:val="000673DC"/>
    <w:rsid w:val="000674BE"/>
    <w:rsid w:val="000675D9"/>
    <w:rsid w:val="000675F5"/>
    <w:rsid w:val="00067627"/>
    <w:rsid w:val="0006770B"/>
    <w:rsid w:val="00067712"/>
    <w:rsid w:val="000677D5"/>
    <w:rsid w:val="00067853"/>
    <w:rsid w:val="000679B1"/>
    <w:rsid w:val="00067B9E"/>
    <w:rsid w:val="00067D28"/>
    <w:rsid w:val="00067D59"/>
    <w:rsid w:val="00067D60"/>
    <w:rsid w:val="00067F63"/>
    <w:rsid w:val="00067FA3"/>
    <w:rsid w:val="0007005A"/>
    <w:rsid w:val="000701C7"/>
    <w:rsid w:val="000701CC"/>
    <w:rsid w:val="000701F6"/>
    <w:rsid w:val="000702AD"/>
    <w:rsid w:val="000704E6"/>
    <w:rsid w:val="000704E7"/>
    <w:rsid w:val="00070738"/>
    <w:rsid w:val="000708B9"/>
    <w:rsid w:val="00070AD7"/>
    <w:rsid w:val="00070AE6"/>
    <w:rsid w:val="00070BE0"/>
    <w:rsid w:val="000711B1"/>
    <w:rsid w:val="00071345"/>
    <w:rsid w:val="00071569"/>
    <w:rsid w:val="00071672"/>
    <w:rsid w:val="0007168D"/>
    <w:rsid w:val="000717DC"/>
    <w:rsid w:val="000718F6"/>
    <w:rsid w:val="00071901"/>
    <w:rsid w:val="00071A7B"/>
    <w:rsid w:val="00071D75"/>
    <w:rsid w:val="00071E37"/>
    <w:rsid w:val="00071E7A"/>
    <w:rsid w:val="00071E88"/>
    <w:rsid w:val="00071E95"/>
    <w:rsid w:val="00071F3A"/>
    <w:rsid w:val="00072149"/>
    <w:rsid w:val="000722A6"/>
    <w:rsid w:val="000722DA"/>
    <w:rsid w:val="0007232D"/>
    <w:rsid w:val="00072528"/>
    <w:rsid w:val="0007256F"/>
    <w:rsid w:val="0007269C"/>
    <w:rsid w:val="000726D1"/>
    <w:rsid w:val="00072873"/>
    <w:rsid w:val="00072B21"/>
    <w:rsid w:val="00072C16"/>
    <w:rsid w:val="00072D46"/>
    <w:rsid w:val="00072EA1"/>
    <w:rsid w:val="00072F94"/>
    <w:rsid w:val="00073013"/>
    <w:rsid w:val="00073020"/>
    <w:rsid w:val="00073096"/>
    <w:rsid w:val="000730EC"/>
    <w:rsid w:val="00073127"/>
    <w:rsid w:val="000732A6"/>
    <w:rsid w:val="000732E4"/>
    <w:rsid w:val="00073562"/>
    <w:rsid w:val="0007356B"/>
    <w:rsid w:val="000735BC"/>
    <w:rsid w:val="00073776"/>
    <w:rsid w:val="000738C2"/>
    <w:rsid w:val="00073903"/>
    <w:rsid w:val="00073949"/>
    <w:rsid w:val="00073ADC"/>
    <w:rsid w:val="00073AF9"/>
    <w:rsid w:val="00073B87"/>
    <w:rsid w:val="00073C53"/>
    <w:rsid w:val="00073D1B"/>
    <w:rsid w:val="00073D5A"/>
    <w:rsid w:val="00073F66"/>
    <w:rsid w:val="00074063"/>
    <w:rsid w:val="000740CA"/>
    <w:rsid w:val="00074100"/>
    <w:rsid w:val="00074147"/>
    <w:rsid w:val="000741E6"/>
    <w:rsid w:val="0007424A"/>
    <w:rsid w:val="000742A3"/>
    <w:rsid w:val="00074690"/>
    <w:rsid w:val="000746A1"/>
    <w:rsid w:val="000746EF"/>
    <w:rsid w:val="00074811"/>
    <w:rsid w:val="00074AE7"/>
    <w:rsid w:val="00074B4B"/>
    <w:rsid w:val="00074BA3"/>
    <w:rsid w:val="00074C4F"/>
    <w:rsid w:val="00074D64"/>
    <w:rsid w:val="00074D9A"/>
    <w:rsid w:val="00074E84"/>
    <w:rsid w:val="00074EEE"/>
    <w:rsid w:val="00074F2B"/>
    <w:rsid w:val="00075007"/>
    <w:rsid w:val="000753E1"/>
    <w:rsid w:val="00075568"/>
    <w:rsid w:val="00075570"/>
    <w:rsid w:val="000755B0"/>
    <w:rsid w:val="000755ED"/>
    <w:rsid w:val="000756E1"/>
    <w:rsid w:val="000758A5"/>
    <w:rsid w:val="000759DC"/>
    <w:rsid w:val="00075C7B"/>
    <w:rsid w:val="00075E1F"/>
    <w:rsid w:val="00075E43"/>
    <w:rsid w:val="00075E62"/>
    <w:rsid w:val="00075F3E"/>
    <w:rsid w:val="00076172"/>
    <w:rsid w:val="000761C1"/>
    <w:rsid w:val="000761FC"/>
    <w:rsid w:val="00076253"/>
    <w:rsid w:val="00076256"/>
    <w:rsid w:val="000762FF"/>
    <w:rsid w:val="00076557"/>
    <w:rsid w:val="00076731"/>
    <w:rsid w:val="000767A8"/>
    <w:rsid w:val="0007682B"/>
    <w:rsid w:val="00076954"/>
    <w:rsid w:val="00076989"/>
    <w:rsid w:val="000769B1"/>
    <w:rsid w:val="00076A09"/>
    <w:rsid w:val="00076A7F"/>
    <w:rsid w:val="00076AA1"/>
    <w:rsid w:val="00076CF4"/>
    <w:rsid w:val="00076D0E"/>
    <w:rsid w:val="00076D5C"/>
    <w:rsid w:val="00076E7F"/>
    <w:rsid w:val="00076F64"/>
    <w:rsid w:val="00076F8A"/>
    <w:rsid w:val="00077086"/>
    <w:rsid w:val="00077105"/>
    <w:rsid w:val="00077200"/>
    <w:rsid w:val="00077359"/>
    <w:rsid w:val="00077421"/>
    <w:rsid w:val="00077424"/>
    <w:rsid w:val="00077464"/>
    <w:rsid w:val="0007749C"/>
    <w:rsid w:val="00077535"/>
    <w:rsid w:val="000775EC"/>
    <w:rsid w:val="000777C5"/>
    <w:rsid w:val="00077827"/>
    <w:rsid w:val="00077A41"/>
    <w:rsid w:val="00077BA0"/>
    <w:rsid w:val="00077BDA"/>
    <w:rsid w:val="00077C4E"/>
    <w:rsid w:val="00077D22"/>
    <w:rsid w:val="00077D25"/>
    <w:rsid w:val="00077E12"/>
    <w:rsid w:val="00077F0B"/>
    <w:rsid w:val="00077F4A"/>
    <w:rsid w:val="00077F94"/>
    <w:rsid w:val="00077FE0"/>
    <w:rsid w:val="00077FF0"/>
    <w:rsid w:val="0008012B"/>
    <w:rsid w:val="0008014C"/>
    <w:rsid w:val="00080199"/>
    <w:rsid w:val="000802AB"/>
    <w:rsid w:val="0008030B"/>
    <w:rsid w:val="00080333"/>
    <w:rsid w:val="00080345"/>
    <w:rsid w:val="00080369"/>
    <w:rsid w:val="0008039E"/>
    <w:rsid w:val="000806A9"/>
    <w:rsid w:val="00080AA4"/>
    <w:rsid w:val="00080C0B"/>
    <w:rsid w:val="00080CAD"/>
    <w:rsid w:val="00080D35"/>
    <w:rsid w:val="00080E6D"/>
    <w:rsid w:val="00080ECB"/>
    <w:rsid w:val="00080F7E"/>
    <w:rsid w:val="00080FAB"/>
    <w:rsid w:val="00080FE1"/>
    <w:rsid w:val="0008108B"/>
    <w:rsid w:val="000811F5"/>
    <w:rsid w:val="0008121F"/>
    <w:rsid w:val="0008130E"/>
    <w:rsid w:val="000814C5"/>
    <w:rsid w:val="000815AD"/>
    <w:rsid w:val="0008163F"/>
    <w:rsid w:val="00081765"/>
    <w:rsid w:val="00081834"/>
    <w:rsid w:val="000819A6"/>
    <w:rsid w:val="00081B06"/>
    <w:rsid w:val="00081B3B"/>
    <w:rsid w:val="00081B89"/>
    <w:rsid w:val="00081BA4"/>
    <w:rsid w:val="00081CE2"/>
    <w:rsid w:val="00081CF1"/>
    <w:rsid w:val="00081D45"/>
    <w:rsid w:val="00081D7D"/>
    <w:rsid w:val="00081D8B"/>
    <w:rsid w:val="00081EC3"/>
    <w:rsid w:val="00081F0B"/>
    <w:rsid w:val="00081F4C"/>
    <w:rsid w:val="000820AF"/>
    <w:rsid w:val="000822B5"/>
    <w:rsid w:val="0008240A"/>
    <w:rsid w:val="0008261C"/>
    <w:rsid w:val="0008275C"/>
    <w:rsid w:val="00082A66"/>
    <w:rsid w:val="00082B61"/>
    <w:rsid w:val="00082B7D"/>
    <w:rsid w:val="00082BDE"/>
    <w:rsid w:val="00082E1A"/>
    <w:rsid w:val="00082EE8"/>
    <w:rsid w:val="0008301A"/>
    <w:rsid w:val="0008304C"/>
    <w:rsid w:val="000832D6"/>
    <w:rsid w:val="00083316"/>
    <w:rsid w:val="00083426"/>
    <w:rsid w:val="0008344C"/>
    <w:rsid w:val="00083723"/>
    <w:rsid w:val="00083A36"/>
    <w:rsid w:val="00083DFF"/>
    <w:rsid w:val="00083EB0"/>
    <w:rsid w:val="00083F08"/>
    <w:rsid w:val="000840DA"/>
    <w:rsid w:val="0008417E"/>
    <w:rsid w:val="0008426A"/>
    <w:rsid w:val="0008430A"/>
    <w:rsid w:val="0008436B"/>
    <w:rsid w:val="00084645"/>
    <w:rsid w:val="00084651"/>
    <w:rsid w:val="0008481F"/>
    <w:rsid w:val="000848CE"/>
    <w:rsid w:val="00084988"/>
    <w:rsid w:val="00084AD7"/>
    <w:rsid w:val="00084B22"/>
    <w:rsid w:val="00084B94"/>
    <w:rsid w:val="00084C21"/>
    <w:rsid w:val="00084D40"/>
    <w:rsid w:val="00084D69"/>
    <w:rsid w:val="00084F78"/>
    <w:rsid w:val="000850C9"/>
    <w:rsid w:val="0008511D"/>
    <w:rsid w:val="00085181"/>
    <w:rsid w:val="00085290"/>
    <w:rsid w:val="000853D4"/>
    <w:rsid w:val="000856A4"/>
    <w:rsid w:val="00085714"/>
    <w:rsid w:val="0008581A"/>
    <w:rsid w:val="00085864"/>
    <w:rsid w:val="00085878"/>
    <w:rsid w:val="000858BD"/>
    <w:rsid w:val="0008590E"/>
    <w:rsid w:val="000859BB"/>
    <w:rsid w:val="00085A14"/>
    <w:rsid w:val="00085A72"/>
    <w:rsid w:val="00085AB8"/>
    <w:rsid w:val="00085AC2"/>
    <w:rsid w:val="00085C13"/>
    <w:rsid w:val="00085CBB"/>
    <w:rsid w:val="00085CC7"/>
    <w:rsid w:val="00085D68"/>
    <w:rsid w:val="00085FDD"/>
    <w:rsid w:val="0008600F"/>
    <w:rsid w:val="00086039"/>
    <w:rsid w:val="000860E3"/>
    <w:rsid w:val="000862FC"/>
    <w:rsid w:val="00086363"/>
    <w:rsid w:val="0008638D"/>
    <w:rsid w:val="000864C2"/>
    <w:rsid w:val="00086906"/>
    <w:rsid w:val="00086AB7"/>
    <w:rsid w:val="00086ABD"/>
    <w:rsid w:val="00086BAD"/>
    <w:rsid w:val="00086C80"/>
    <w:rsid w:val="00086E20"/>
    <w:rsid w:val="00086EF3"/>
    <w:rsid w:val="00086FFF"/>
    <w:rsid w:val="00087046"/>
    <w:rsid w:val="00087112"/>
    <w:rsid w:val="000871FC"/>
    <w:rsid w:val="00087250"/>
    <w:rsid w:val="0008731F"/>
    <w:rsid w:val="00087371"/>
    <w:rsid w:val="0008739B"/>
    <w:rsid w:val="000873B4"/>
    <w:rsid w:val="000873CA"/>
    <w:rsid w:val="0008748F"/>
    <w:rsid w:val="000874AE"/>
    <w:rsid w:val="00087622"/>
    <w:rsid w:val="00087635"/>
    <w:rsid w:val="00087ACC"/>
    <w:rsid w:val="00087C30"/>
    <w:rsid w:val="00087CAC"/>
    <w:rsid w:val="00087D91"/>
    <w:rsid w:val="00087E36"/>
    <w:rsid w:val="00087E3C"/>
    <w:rsid w:val="00087F07"/>
    <w:rsid w:val="00087F67"/>
    <w:rsid w:val="0009000A"/>
    <w:rsid w:val="0009009C"/>
    <w:rsid w:val="0009017F"/>
    <w:rsid w:val="00090217"/>
    <w:rsid w:val="000902D9"/>
    <w:rsid w:val="000905F7"/>
    <w:rsid w:val="00090775"/>
    <w:rsid w:val="000908D8"/>
    <w:rsid w:val="00090B08"/>
    <w:rsid w:val="00090BA0"/>
    <w:rsid w:val="00090DB5"/>
    <w:rsid w:val="00091099"/>
    <w:rsid w:val="00091161"/>
    <w:rsid w:val="000912AE"/>
    <w:rsid w:val="000913B4"/>
    <w:rsid w:val="0009140E"/>
    <w:rsid w:val="0009154A"/>
    <w:rsid w:val="000915B3"/>
    <w:rsid w:val="000915D4"/>
    <w:rsid w:val="00091A28"/>
    <w:rsid w:val="00091A30"/>
    <w:rsid w:val="00091A9E"/>
    <w:rsid w:val="00091ABC"/>
    <w:rsid w:val="00091DDC"/>
    <w:rsid w:val="00091E3A"/>
    <w:rsid w:val="00091F45"/>
    <w:rsid w:val="000920D7"/>
    <w:rsid w:val="000920F8"/>
    <w:rsid w:val="0009220A"/>
    <w:rsid w:val="000924A3"/>
    <w:rsid w:val="00092777"/>
    <w:rsid w:val="00092823"/>
    <w:rsid w:val="00092A16"/>
    <w:rsid w:val="00092A1B"/>
    <w:rsid w:val="00092A2A"/>
    <w:rsid w:val="00092A46"/>
    <w:rsid w:val="00092BA2"/>
    <w:rsid w:val="00092BE8"/>
    <w:rsid w:val="00092C27"/>
    <w:rsid w:val="00092D74"/>
    <w:rsid w:val="00092E71"/>
    <w:rsid w:val="00092EE1"/>
    <w:rsid w:val="000930FF"/>
    <w:rsid w:val="00093240"/>
    <w:rsid w:val="00093539"/>
    <w:rsid w:val="00093662"/>
    <w:rsid w:val="00093711"/>
    <w:rsid w:val="000938AF"/>
    <w:rsid w:val="00093923"/>
    <w:rsid w:val="00093AB6"/>
    <w:rsid w:val="00093AE3"/>
    <w:rsid w:val="00093B36"/>
    <w:rsid w:val="00093BCA"/>
    <w:rsid w:val="00093C0E"/>
    <w:rsid w:val="00093CAB"/>
    <w:rsid w:val="00093F1B"/>
    <w:rsid w:val="00093F8F"/>
    <w:rsid w:val="000940C4"/>
    <w:rsid w:val="000943A2"/>
    <w:rsid w:val="000944F4"/>
    <w:rsid w:val="00094661"/>
    <w:rsid w:val="000949A3"/>
    <w:rsid w:val="000949DF"/>
    <w:rsid w:val="000949EC"/>
    <w:rsid w:val="00094CC6"/>
    <w:rsid w:val="00094D92"/>
    <w:rsid w:val="00094DE5"/>
    <w:rsid w:val="00094E9D"/>
    <w:rsid w:val="00094EBF"/>
    <w:rsid w:val="00094F72"/>
    <w:rsid w:val="00095117"/>
    <w:rsid w:val="00095309"/>
    <w:rsid w:val="0009532C"/>
    <w:rsid w:val="00095363"/>
    <w:rsid w:val="000953BE"/>
    <w:rsid w:val="000954D8"/>
    <w:rsid w:val="00095598"/>
    <w:rsid w:val="0009566D"/>
    <w:rsid w:val="000956BB"/>
    <w:rsid w:val="0009582C"/>
    <w:rsid w:val="0009582E"/>
    <w:rsid w:val="00095B56"/>
    <w:rsid w:val="00095CF1"/>
    <w:rsid w:val="00095DF8"/>
    <w:rsid w:val="00095E90"/>
    <w:rsid w:val="00095ECF"/>
    <w:rsid w:val="00095F16"/>
    <w:rsid w:val="0009610C"/>
    <w:rsid w:val="00096121"/>
    <w:rsid w:val="00096272"/>
    <w:rsid w:val="00096311"/>
    <w:rsid w:val="0009637A"/>
    <w:rsid w:val="000963F4"/>
    <w:rsid w:val="0009646C"/>
    <w:rsid w:val="000964C8"/>
    <w:rsid w:val="00096607"/>
    <w:rsid w:val="00096622"/>
    <w:rsid w:val="00096699"/>
    <w:rsid w:val="0009684C"/>
    <w:rsid w:val="00096A26"/>
    <w:rsid w:val="00096A76"/>
    <w:rsid w:val="00096A78"/>
    <w:rsid w:val="00096B28"/>
    <w:rsid w:val="00096D95"/>
    <w:rsid w:val="00096E16"/>
    <w:rsid w:val="00096E64"/>
    <w:rsid w:val="00096E7C"/>
    <w:rsid w:val="00096ECD"/>
    <w:rsid w:val="00096F39"/>
    <w:rsid w:val="00096FB8"/>
    <w:rsid w:val="00096FF8"/>
    <w:rsid w:val="0009703A"/>
    <w:rsid w:val="00097061"/>
    <w:rsid w:val="000971D5"/>
    <w:rsid w:val="00097443"/>
    <w:rsid w:val="000974E2"/>
    <w:rsid w:val="00097534"/>
    <w:rsid w:val="000975DE"/>
    <w:rsid w:val="0009760D"/>
    <w:rsid w:val="000976D9"/>
    <w:rsid w:val="000977CB"/>
    <w:rsid w:val="000979B4"/>
    <w:rsid w:val="00097ACC"/>
    <w:rsid w:val="00097AD8"/>
    <w:rsid w:val="00097B61"/>
    <w:rsid w:val="00097BA9"/>
    <w:rsid w:val="00097BE6"/>
    <w:rsid w:val="00097BF4"/>
    <w:rsid w:val="00097C1E"/>
    <w:rsid w:val="00097C2A"/>
    <w:rsid w:val="00097C68"/>
    <w:rsid w:val="00097DAB"/>
    <w:rsid w:val="00097EDF"/>
    <w:rsid w:val="000A007E"/>
    <w:rsid w:val="000A0267"/>
    <w:rsid w:val="000A026C"/>
    <w:rsid w:val="000A02E6"/>
    <w:rsid w:val="000A04B5"/>
    <w:rsid w:val="000A0700"/>
    <w:rsid w:val="000A0874"/>
    <w:rsid w:val="000A08C0"/>
    <w:rsid w:val="000A091C"/>
    <w:rsid w:val="000A0936"/>
    <w:rsid w:val="000A096C"/>
    <w:rsid w:val="000A0A83"/>
    <w:rsid w:val="000A0B84"/>
    <w:rsid w:val="000A0C5E"/>
    <w:rsid w:val="000A0C86"/>
    <w:rsid w:val="000A0CF4"/>
    <w:rsid w:val="000A0E0D"/>
    <w:rsid w:val="000A0F34"/>
    <w:rsid w:val="000A126C"/>
    <w:rsid w:val="000A126D"/>
    <w:rsid w:val="000A1397"/>
    <w:rsid w:val="000A160D"/>
    <w:rsid w:val="000A1771"/>
    <w:rsid w:val="000A177A"/>
    <w:rsid w:val="000A17F2"/>
    <w:rsid w:val="000A17F9"/>
    <w:rsid w:val="000A1A8A"/>
    <w:rsid w:val="000A20EE"/>
    <w:rsid w:val="000A2187"/>
    <w:rsid w:val="000A227C"/>
    <w:rsid w:val="000A22F4"/>
    <w:rsid w:val="000A24AA"/>
    <w:rsid w:val="000A253F"/>
    <w:rsid w:val="000A2578"/>
    <w:rsid w:val="000A25D2"/>
    <w:rsid w:val="000A2787"/>
    <w:rsid w:val="000A2927"/>
    <w:rsid w:val="000A29CB"/>
    <w:rsid w:val="000A2B12"/>
    <w:rsid w:val="000A2C07"/>
    <w:rsid w:val="000A2C44"/>
    <w:rsid w:val="000A2E4F"/>
    <w:rsid w:val="000A2F27"/>
    <w:rsid w:val="000A3215"/>
    <w:rsid w:val="000A3344"/>
    <w:rsid w:val="000A336D"/>
    <w:rsid w:val="000A33FC"/>
    <w:rsid w:val="000A3429"/>
    <w:rsid w:val="000A3846"/>
    <w:rsid w:val="000A38C9"/>
    <w:rsid w:val="000A3B8C"/>
    <w:rsid w:val="000A3C48"/>
    <w:rsid w:val="000A3C5D"/>
    <w:rsid w:val="000A3D43"/>
    <w:rsid w:val="000A3D71"/>
    <w:rsid w:val="000A40D5"/>
    <w:rsid w:val="000A43A4"/>
    <w:rsid w:val="000A4414"/>
    <w:rsid w:val="000A45E6"/>
    <w:rsid w:val="000A46F3"/>
    <w:rsid w:val="000A47BD"/>
    <w:rsid w:val="000A484E"/>
    <w:rsid w:val="000A4923"/>
    <w:rsid w:val="000A49B9"/>
    <w:rsid w:val="000A49C4"/>
    <w:rsid w:val="000A4AAB"/>
    <w:rsid w:val="000A4D8D"/>
    <w:rsid w:val="000A4DA1"/>
    <w:rsid w:val="000A4EBC"/>
    <w:rsid w:val="000A5061"/>
    <w:rsid w:val="000A5373"/>
    <w:rsid w:val="000A55E2"/>
    <w:rsid w:val="000A567A"/>
    <w:rsid w:val="000A5715"/>
    <w:rsid w:val="000A57AD"/>
    <w:rsid w:val="000A5896"/>
    <w:rsid w:val="000A59E0"/>
    <w:rsid w:val="000A5A5F"/>
    <w:rsid w:val="000A5B41"/>
    <w:rsid w:val="000A5B4E"/>
    <w:rsid w:val="000A5B55"/>
    <w:rsid w:val="000A5E0A"/>
    <w:rsid w:val="000A5E39"/>
    <w:rsid w:val="000A5E51"/>
    <w:rsid w:val="000A5F09"/>
    <w:rsid w:val="000A5F46"/>
    <w:rsid w:val="000A6038"/>
    <w:rsid w:val="000A604A"/>
    <w:rsid w:val="000A605E"/>
    <w:rsid w:val="000A60F5"/>
    <w:rsid w:val="000A6227"/>
    <w:rsid w:val="000A666A"/>
    <w:rsid w:val="000A672D"/>
    <w:rsid w:val="000A6886"/>
    <w:rsid w:val="000A692C"/>
    <w:rsid w:val="000A6949"/>
    <w:rsid w:val="000A696D"/>
    <w:rsid w:val="000A697F"/>
    <w:rsid w:val="000A6BDF"/>
    <w:rsid w:val="000A6DA5"/>
    <w:rsid w:val="000A6DF4"/>
    <w:rsid w:val="000A6FE7"/>
    <w:rsid w:val="000A6FEB"/>
    <w:rsid w:val="000A70E3"/>
    <w:rsid w:val="000A71DC"/>
    <w:rsid w:val="000A722C"/>
    <w:rsid w:val="000A73F7"/>
    <w:rsid w:val="000A74DD"/>
    <w:rsid w:val="000A7662"/>
    <w:rsid w:val="000A76AD"/>
    <w:rsid w:val="000A78D2"/>
    <w:rsid w:val="000A7983"/>
    <w:rsid w:val="000A799D"/>
    <w:rsid w:val="000A7C09"/>
    <w:rsid w:val="000A7C35"/>
    <w:rsid w:val="000A7C6A"/>
    <w:rsid w:val="000A7D21"/>
    <w:rsid w:val="000A7DDF"/>
    <w:rsid w:val="000A7E65"/>
    <w:rsid w:val="000B008E"/>
    <w:rsid w:val="000B00AE"/>
    <w:rsid w:val="000B013B"/>
    <w:rsid w:val="000B017E"/>
    <w:rsid w:val="000B018D"/>
    <w:rsid w:val="000B023B"/>
    <w:rsid w:val="000B053D"/>
    <w:rsid w:val="000B067F"/>
    <w:rsid w:val="000B06DE"/>
    <w:rsid w:val="000B0926"/>
    <w:rsid w:val="000B09CA"/>
    <w:rsid w:val="000B0AE8"/>
    <w:rsid w:val="000B0AF1"/>
    <w:rsid w:val="000B0AF8"/>
    <w:rsid w:val="000B0CBC"/>
    <w:rsid w:val="000B0FD4"/>
    <w:rsid w:val="000B109D"/>
    <w:rsid w:val="000B1196"/>
    <w:rsid w:val="000B132C"/>
    <w:rsid w:val="000B14BE"/>
    <w:rsid w:val="000B153A"/>
    <w:rsid w:val="000B17A1"/>
    <w:rsid w:val="000B1A52"/>
    <w:rsid w:val="000B1ADD"/>
    <w:rsid w:val="000B1AE5"/>
    <w:rsid w:val="000B1B2B"/>
    <w:rsid w:val="000B1C9A"/>
    <w:rsid w:val="000B1EB9"/>
    <w:rsid w:val="000B1F55"/>
    <w:rsid w:val="000B1F68"/>
    <w:rsid w:val="000B20E7"/>
    <w:rsid w:val="000B2649"/>
    <w:rsid w:val="000B26B9"/>
    <w:rsid w:val="000B26FE"/>
    <w:rsid w:val="000B284E"/>
    <w:rsid w:val="000B289B"/>
    <w:rsid w:val="000B28C6"/>
    <w:rsid w:val="000B2C3F"/>
    <w:rsid w:val="000B2CCF"/>
    <w:rsid w:val="000B2DCA"/>
    <w:rsid w:val="000B2E47"/>
    <w:rsid w:val="000B2EAF"/>
    <w:rsid w:val="000B2FA1"/>
    <w:rsid w:val="000B3029"/>
    <w:rsid w:val="000B30AE"/>
    <w:rsid w:val="000B3490"/>
    <w:rsid w:val="000B3497"/>
    <w:rsid w:val="000B3530"/>
    <w:rsid w:val="000B3571"/>
    <w:rsid w:val="000B382E"/>
    <w:rsid w:val="000B3942"/>
    <w:rsid w:val="000B39F4"/>
    <w:rsid w:val="000B3A76"/>
    <w:rsid w:val="000B3AAD"/>
    <w:rsid w:val="000B3AB0"/>
    <w:rsid w:val="000B3BA5"/>
    <w:rsid w:val="000B3BB7"/>
    <w:rsid w:val="000B3C01"/>
    <w:rsid w:val="000B3CD4"/>
    <w:rsid w:val="000B3E68"/>
    <w:rsid w:val="000B3E6A"/>
    <w:rsid w:val="000B3F5F"/>
    <w:rsid w:val="000B3FDA"/>
    <w:rsid w:val="000B417E"/>
    <w:rsid w:val="000B4321"/>
    <w:rsid w:val="000B4403"/>
    <w:rsid w:val="000B46FC"/>
    <w:rsid w:val="000B47A6"/>
    <w:rsid w:val="000B47B8"/>
    <w:rsid w:val="000B484D"/>
    <w:rsid w:val="000B48E6"/>
    <w:rsid w:val="000B4C65"/>
    <w:rsid w:val="000B4C70"/>
    <w:rsid w:val="000B4DDA"/>
    <w:rsid w:val="000B4E42"/>
    <w:rsid w:val="000B502D"/>
    <w:rsid w:val="000B50E6"/>
    <w:rsid w:val="000B5140"/>
    <w:rsid w:val="000B53A8"/>
    <w:rsid w:val="000B546D"/>
    <w:rsid w:val="000B54DF"/>
    <w:rsid w:val="000B5563"/>
    <w:rsid w:val="000B56AE"/>
    <w:rsid w:val="000B5705"/>
    <w:rsid w:val="000B5708"/>
    <w:rsid w:val="000B57E6"/>
    <w:rsid w:val="000B57FE"/>
    <w:rsid w:val="000B5933"/>
    <w:rsid w:val="000B5B2B"/>
    <w:rsid w:val="000B5BAF"/>
    <w:rsid w:val="000B5C94"/>
    <w:rsid w:val="000B5CE7"/>
    <w:rsid w:val="000B5E11"/>
    <w:rsid w:val="000B5FCA"/>
    <w:rsid w:val="000B6110"/>
    <w:rsid w:val="000B6200"/>
    <w:rsid w:val="000B6510"/>
    <w:rsid w:val="000B67A6"/>
    <w:rsid w:val="000B67BB"/>
    <w:rsid w:val="000B6829"/>
    <w:rsid w:val="000B6A00"/>
    <w:rsid w:val="000B6A3C"/>
    <w:rsid w:val="000B6A5F"/>
    <w:rsid w:val="000B6A60"/>
    <w:rsid w:val="000B6CA2"/>
    <w:rsid w:val="000B6EC4"/>
    <w:rsid w:val="000B6F86"/>
    <w:rsid w:val="000B7318"/>
    <w:rsid w:val="000B733F"/>
    <w:rsid w:val="000B739A"/>
    <w:rsid w:val="000B74D6"/>
    <w:rsid w:val="000B75B8"/>
    <w:rsid w:val="000B76C1"/>
    <w:rsid w:val="000B76EF"/>
    <w:rsid w:val="000B770E"/>
    <w:rsid w:val="000B78CC"/>
    <w:rsid w:val="000B7BF0"/>
    <w:rsid w:val="000B7D01"/>
    <w:rsid w:val="000B7D08"/>
    <w:rsid w:val="000B7F68"/>
    <w:rsid w:val="000C024C"/>
    <w:rsid w:val="000C0357"/>
    <w:rsid w:val="000C03FA"/>
    <w:rsid w:val="000C043E"/>
    <w:rsid w:val="000C04F4"/>
    <w:rsid w:val="000C0A7E"/>
    <w:rsid w:val="000C123D"/>
    <w:rsid w:val="000C12EC"/>
    <w:rsid w:val="000C1406"/>
    <w:rsid w:val="000C14A3"/>
    <w:rsid w:val="000C1583"/>
    <w:rsid w:val="000C196C"/>
    <w:rsid w:val="000C199D"/>
    <w:rsid w:val="000C19A3"/>
    <w:rsid w:val="000C1AA1"/>
    <w:rsid w:val="000C1AA6"/>
    <w:rsid w:val="000C1B31"/>
    <w:rsid w:val="000C1CB4"/>
    <w:rsid w:val="000C1D0E"/>
    <w:rsid w:val="000C1D4F"/>
    <w:rsid w:val="000C1D5A"/>
    <w:rsid w:val="000C1EA3"/>
    <w:rsid w:val="000C2053"/>
    <w:rsid w:val="000C230B"/>
    <w:rsid w:val="000C23A4"/>
    <w:rsid w:val="000C23DF"/>
    <w:rsid w:val="000C244F"/>
    <w:rsid w:val="000C24AF"/>
    <w:rsid w:val="000C24DF"/>
    <w:rsid w:val="000C263B"/>
    <w:rsid w:val="000C288E"/>
    <w:rsid w:val="000C29B7"/>
    <w:rsid w:val="000C2A79"/>
    <w:rsid w:val="000C2C9F"/>
    <w:rsid w:val="000C2E2E"/>
    <w:rsid w:val="000C304E"/>
    <w:rsid w:val="000C3117"/>
    <w:rsid w:val="000C31A6"/>
    <w:rsid w:val="000C3780"/>
    <w:rsid w:val="000C3792"/>
    <w:rsid w:val="000C3798"/>
    <w:rsid w:val="000C39F1"/>
    <w:rsid w:val="000C3A08"/>
    <w:rsid w:val="000C3BD1"/>
    <w:rsid w:val="000C3C5B"/>
    <w:rsid w:val="000C3D5F"/>
    <w:rsid w:val="000C3F74"/>
    <w:rsid w:val="000C413D"/>
    <w:rsid w:val="000C41D6"/>
    <w:rsid w:val="000C4265"/>
    <w:rsid w:val="000C4387"/>
    <w:rsid w:val="000C43DC"/>
    <w:rsid w:val="000C4415"/>
    <w:rsid w:val="000C4418"/>
    <w:rsid w:val="000C44FB"/>
    <w:rsid w:val="000C45AF"/>
    <w:rsid w:val="000C45BB"/>
    <w:rsid w:val="000C45D5"/>
    <w:rsid w:val="000C45E9"/>
    <w:rsid w:val="000C4711"/>
    <w:rsid w:val="000C4BB7"/>
    <w:rsid w:val="000C4BC4"/>
    <w:rsid w:val="000C5089"/>
    <w:rsid w:val="000C50E5"/>
    <w:rsid w:val="000C5128"/>
    <w:rsid w:val="000C512A"/>
    <w:rsid w:val="000C51DD"/>
    <w:rsid w:val="000C52C1"/>
    <w:rsid w:val="000C538A"/>
    <w:rsid w:val="000C54AE"/>
    <w:rsid w:val="000C54C0"/>
    <w:rsid w:val="000C5563"/>
    <w:rsid w:val="000C5753"/>
    <w:rsid w:val="000C5B55"/>
    <w:rsid w:val="000C5E37"/>
    <w:rsid w:val="000C5E7F"/>
    <w:rsid w:val="000C6009"/>
    <w:rsid w:val="000C610E"/>
    <w:rsid w:val="000C62D9"/>
    <w:rsid w:val="000C6435"/>
    <w:rsid w:val="000C64D4"/>
    <w:rsid w:val="000C66AD"/>
    <w:rsid w:val="000C6731"/>
    <w:rsid w:val="000C698A"/>
    <w:rsid w:val="000C6A4B"/>
    <w:rsid w:val="000C6A7B"/>
    <w:rsid w:val="000C6B6C"/>
    <w:rsid w:val="000C6BF0"/>
    <w:rsid w:val="000C6E18"/>
    <w:rsid w:val="000C6E57"/>
    <w:rsid w:val="000C6F9C"/>
    <w:rsid w:val="000C6FC0"/>
    <w:rsid w:val="000C70B5"/>
    <w:rsid w:val="000C718A"/>
    <w:rsid w:val="000C7516"/>
    <w:rsid w:val="000C76E7"/>
    <w:rsid w:val="000C7781"/>
    <w:rsid w:val="000C779D"/>
    <w:rsid w:val="000C7889"/>
    <w:rsid w:val="000C789C"/>
    <w:rsid w:val="000C7A6B"/>
    <w:rsid w:val="000C7E06"/>
    <w:rsid w:val="000C7F38"/>
    <w:rsid w:val="000D001B"/>
    <w:rsid w:val="000D0035"/>
    <w:rsid w:val="000D00B1"/>
    <w:rsid w:val="000D0120"/>
    <w:rsid w:val="000D012A"/>
    <w:rsid w:val="000D01AA"/>
    <w:rsid w:val="000D033B"/>
    <w:rsid w:val="000D04D2"/>
    <w:rsid w:val="000D0799"/>
    <w:rsid w:val="000D07D3"/>
    <w:rsid w:val="000D0861"/>
    <w:rsid w:val="000D08B7"/>
    <w:rsid w:val="000D0905"/>
    <w:rsid w:val="000D09BC"/>
    <w:rsid w:val="000D0AD4"/>
    <w:rsid w:val="000D0AF0"/>
    <w:rsid w:val="000D0D2F"/>
    <w:rsid w:val="000D0E96"/>
    <w:rsid w:val="000D0EA2"/>
    <w:rsid w:val="000D0EF5"/>
    <w:rsid w:val="000D0F25"/>
    <w:rsid w:val="000D0F71"/>
    <w:rsid w:val="000D117B"/>
    <w:rsid w:val="000D11A4"/>
    <w:rsid w:val="000D1399"/>
    <w:rsid w:val="000D1537"/>
    <w:rsid w:val="000D16BA"/>
    <w:rsid w:val="000D16DF"/>
    <w:rsid w:val="000D1706"/>
    <w:rsid w:val="000D1736"/>
    <w:rsid w:val="000D1856"/>
    <w:rsid w:val="000D19AC"/>
    <w:rsid w:val="000D1B65"/>
    <w:rsid w:val="000D1BB5"/>
    <w:rsid w:val="000D1E24"/>
    <w:rsid w:val="000D1E29"/>
    <w:rsid w:val="000D1E81"/>
    <w:rsid w:val="000D1E97"/>
    <w:rsid w:val="000D21A9"/>
    <w:rsid w:val="000D22C7"/>
    <w:rsid w:val="000D231F"/>
    <w:rsid w:val="000D23D9"/>
    <w:rsid w:val="000D23FB"/>
    <w:rsid w:val="000D2417"/>
    <w:rsid w:val="000D2550"/>
    <w:rsid w:val="000D255F"/>
    <w:rsid w:val="000D2945"/>
    <w:rsid w:val="000D2B60"/>
    <w:rsid w:val="000D2B73"/>
    <w:rsid w:val="000D2C21"/>
    <w:rsid w:val="000D2C95"/>
    <w:rsid w:val="000D2E36"/>
    <w:rsid w:val="000D2EA9"/>
    <w:rsid w:val="000D307B"/>
    <w:rsid w:val="000D3285"/>
    <w:rsid w:val="000D3305"/>
    <w:rsid w:val="000D35D2"/>
    <w:rsid w:val="000D368E"/>
    <w:rsid w:val="000D3843"/>
    <w:rsid w:val="000D3A1E"/>
    <w:rsid w:val="000D3A4B"/>
    <w:rsid w:val="000D3A97"/>
    <w:rsid w:val="000D3B17"/>
    <w:rsid w:val="000D3BC8"/>
    <w:rsid w:val="000D3CF2"/>
    <w:rsid w:val="000D3D6D"/>
    <w:rsid w:val="000D3E0B"/>
    <w:rsid w:val="000D3E25"/>
    <w:rsid w:val="000D3E4E"/>
    <w:rsid w:val="000D3E64"/>
    <w:rsid w:val="000D3EA0"/>
    <w:rsid w:val="000D3FE3"/>
    <w:rsid w:val="000D40F6"/>
    <w:rsid w:val="000D411C"/>
    <w:rsid w:val="000D411D"/>
    <w:rsid w:val="000D41A9"/>
    <w:rsid w:val="000D436B"/>
    <w:rsid w:val="000D440A"/>
    <w:rsid w:val="000D4497"/>
    <w:rsid w:val="000D4B3C"/>
    <w:rsid w:val="000D4C58"/>
    <w:rsid w:val="000D4D2C"/>
    <w:rsid w:val="000D4E41"/>
    <w:rsid w:val="000D4FAB"/>
    <w:rsid w:val="000D5045"/>
    <w:rsid w:val="000D52B8"/>
    <w:rsid w:val="000D530F"/>
    <w:rsid w:val="000D54A3"/>
    <w:rsid w:val="000D5569"/>
    <w:rsid w:val="000D559E"/>
    <w:rsid w:val="000D5612"/>
    <w:rsid w:val="000D5652"/>
    <w:rsid w:val="000D5927"/>
    <w:rsid w:val="000D5CEF"/>
    <w:rsid w:val="000D5EBB"/>
    <w:rsid w:val="000D5ECD"/>
    <w:rsid w:val="000D5FC7"/>
    <w:rsid w:val="000D60FD"/>
    <w:rsid w:val="000D6270"/>
    <w:rsid w:val="000D640D"/>
    <w:rsid w:val="000D646C"/>
    <w:rsid w:val="000D67CE"/>
    <w:rsid w:val="000D67DC"/>
    <w:rsid w:val="000D6823"/>
    <w:rsid w:val="000D6BF4"/>
    <w:rsid w:val="000D6C23"/>
    <w:rsid w:val="000D6C70"/>
    <w:rsid w:val="000D6D8A"/>
    <w:rsid w:val="000D6E5B"/>
    <w:rsid w:val="000D6F79"/>
    <w:rsid w:val="000D70B9"/>
    <w:rsid w:val="000D7280"/>
    <w:rsid w:val="000D72BC"/>
    <w:rsid w:val="000D7336"/>
    <w:rsid w:val="000D7361"/>
    <w:rsid w:val="000D7405"/>
    <w:rsid w:val="000D7501"/>
    <w:rsid w:val="000D7764"/>
    <w:rsid w:val="000D77A2"/>
    <w:rsid w:val="000D77BC"/>
    <w:rsid w:val="000D7823"/>
    <w:rsid w:val="000D79E2"/>
    <w:rsid w:val="000D7A23"/>
    <w:rsid w:val="000D7A43"/>
    <w:rsid w:val="000D7C23"/>
    <w:rsid w:val="000D7C8B"/>
    <w:rsid w:val="000D7E03"/>
    <w:rsid w:val="000D7E7E"/>
    <w:rsid w:val="000D7FC5"/>
    <w:rsid w:val="000E0110"/>
    <w:rsid w:val="000E0300"/>
    <w:rsid w:val="000E0303"/>
    <w:rsid w:val="000E03BF"/>
    <w:rsid w:val="000E0706"/>
    <w:rsid w:val="000E0755"/>
    <w:rsid w:val="000E07A9"/>
    <w:rsid w:val="000E08A0"/>
    <w:rsid w:val="000E08D2"/>
    <w:rsid w:val="000E0AC2"/>
    <w:rsid w:val="000E0B53"/>
    <w:rsid w:val="000E0B69"/>
    <w:rsid w:val="000E0D0B"/>
    <w:rsid w:val="000E0FA7"/>
    <w:rsid w:val="000E1202"/>
    <w:rsid w:val="000E131D"/>
    <w:rsid w:val="000E1480"/>
    <w:rsid w:val="000E1656"/>
    <w:rsid w:val="000E18D5"/>
    <w:rsid w:val="000E18D9"/>
    <w:rsid w:val="000E1A7B"/>
    <w:rsid w:val="000E1CD4"/>
    <w:rsid w:val="000E1D45"/>
    <w:rsid w:val="000E1DBF"/>
    <w:rsid w:val="000E1E25"/>
    <w:rsid w:val="000E1E37"/>
    <w:rsid w:val="000E1F39"/>
    <w:rsid w:val="000E1FAC"/>
    <w:rsid w:val="000E208B"/>
    <w:rsid w:val="000E2117"/>
    <w:rsid w:val="000E21B7"/>
    <w:rsid w:val="000E22AD"/>
    <w:rsid w:val="000E2350"/>
    <w:rsid w:val="000E23DE"/>
    <w:rsid w:val="000E2565"/>
    <w:rsid w:val="000E2589"/>
    <w:rsid w:val="000E2620"/>
    <w:rsid w:val="000E2671"/>
    <w:rsid w:val="000E2746"/>
    <w:rsid w:val="000E2BC0"/>
    <w:rsid w:val="000E2BEA"/>
    <w:rsid w:val="000E2C16"/>
    <w:rsid w:val="000E2C9C"/>
    <w:rsid w:val="000E2E72"/>
    <w:rsid w:val="000E2F1D"/>
    <w:rsid w:val="000E3065"/>
    <w:rsid w:val="000E30F2"/>
    <w:rsid w:val="000E317D"/>
    <w:rsid w:val="000E32A1"/>
    <w:rsid w:val="000E32E0"/>
    <w:rsid w:val="000E332C"/>
    <w:rsid w:val="000E3330"/>
    <w:rsid w:val="000E34FA"/>
    <w:rsid w:val="000E3551"/>
    <w:rsid w:val="000E3759"/>
    <w:rsid w:val="000E3795"/>
    <w:rsid w:val="000E37F6"/>
    <w:rsid w:val="000E38CD"/>
    <w:rsid w:val="000E390D"/>
    <w:rsid w:val="000E391A"/>
    <w:rsid w:val="000E394B"/>
    <w:rsid w:val="000E397B"/>
    <w:rsid w:val="000E3EEB"/>
    <w:rsid w:val="000E4033"/>
    <w:rsid w:val="000E41F5"/>
    <w:rsid w:val="000E450D"/>
    <w:rsid w:val="000E47B0"/>
    <w:rsid w:val="000E47D8"/>
    <w:rsid w:val="000E47DC"/>
    <w:rsid w:val="000E4852"/>
    <w:rsid w:val="000E498A"/>
    <w:rsid w:val="000E49FE"/>
    <w:rsid w:val="000E4CCA"/>
    <w:rsid w:val="000E4DB3"/>
    <w:rsid w:val="000E4DF3"/>
    <w:rsid w:val="000E4F1F"/>
    <w:rsid w:val="000E51BE"/>
    <w:rsid w:val="000E5433"/>
    <w:rsid w:val="000E5487"/>
    <w:rsid w:val="000E5749"/>
    <w:rsid w:val="000E5789"/>
    <w:rsid w:val="000E57F2"/>
    <w:rsid w:val="000E57FA"/>
    <w:rsid w:val="000E588E"/>
    <w:rsid w:val="000E589B"/>
    <w:rsid w:val="000E58A7"/>
    <w:rsid w:val="000E5A07"/>
    <w:rsid w:val="000E5B89"/>
    <w:rsid w:val="000E5BD2"/>
    <w:rsid w:val="000E5C60"/>
    <w:rsid w:val="000E5CE0"/>
    <w:rsid w:val="000E5E03"/>
    <w:rsid w:val="000E5ED1"/>
    <w:rsid w:val="000E5F84"/>
    <w:rsid w:val="000E6157"/>
    <w:rsid w:val="000E6163"/>
    <w:rsid w:val="000E63C8"/>
    <w:rsid w:val="000E6404"/>
    <w:rsid w:val="000E64AF"/>
    <w:rsid w:val="000E6585"/>
    <w:rsid w:val="000E6843"/>
    <w:rsid w:val="000E685F"/>
    <w:rsid w:val="000E6865"/>
    <w:rsid w:val="000E6A2E"/>
    <w:rsid w:val="000E6A7C"/>
    <w:rsid w:val="000E6AE7"/>
    <w:rsid w:val="000E6C98"/>
    <w:rsid w:val="000E6CA2"/>
    <w:rsid w:val="000E6CFA"/>
    <w:rsid w:val="000E6D6E"/>
    <w:rsid w:val="000E6DF8"/>
    <w:rsid w:val="000E6E3E"/>
    <w:rsid w:val="000E704C"/>
    <w:rsid w:val="000E706A"/>
    <w:rsid w:val="000E70A0"/>
    <w:rsid w:val="000E70EC"/>
    <w:rsid w:val="000E715D"/>
    <w:rsid w:val="000E72B9"/>
    <w:rsid w:val="000E7408"/>
    <w:rsid w:val="000E7559"/>
    <w:rsid w:val="000E75D2"/>
    <w:rsid w:val="000E7614"/>
    <w:rsid w:val="000E763C"/>
    <w:rsid w:val="000E7CEA"/>
    <w:rsid w:val="000E7E29"/>
    <w:rsid w:val="000E7E3B"/>
    <w:rsid w:val="000E7EB7"/>
    <w:rsid w:val="000E7EE0"/>
    <w:rsid w:val="000E7FAD"/>
    <w:rsid w:val="000E7FF5"/>
    <w:rsid w:val="000E7FF7"/>
    <w:rsid w:val="000F032B"/>
    <w:rsid w:val="000F0336"/>
    <w:rsid w:val="000F0528"/>
    <w:rsid w:val="000F055C"/>
    <w:rsid w:val="000F0632"/>
    <w:rsid w:val="000F06B3"/>
    <w:rsid w:val="000F0755"/>
    <w:rsid w:val="000F07E1"/>
    <w:rsid w:val="000F085A"/>
    <w:rsid w:val="000F096F"/>
    <w:rsid w:val="000F0A6D"/>
    <w:rsid w:val="000F0A82"/>
    <w:rsid w:val="000F0C35"/>
    <w:rsid w:val="000F0D3F"/>
    <w:rsid w:val="000F0DFA"/>
    <w:rsid w:val="000F0E4F"/>
    <w:rsid w:val="000F0E68"/>
    <w:rsid w:val="000F0EA8"/>
    <w:rsid w:val="000F0EC4"/>
    <w:rsid w:val="000F0F00"/>
    <w:rsid w:val="000F0F56"/>
    <w:rsid w:val="000F131E"/>
    <w:rsid w:val="000F195F"/>
    <w:rsid w:val="000F19A7"/>
    <w:rsid w:val="000F1CB1"/>
    <w:rsid w:val="000F1CD1"/>
    <w:rsid w:val="000F1D24"/>
    <w:rsid w:val="000F1D26"/>
    <w:rsid w:val="000F1D77"/>
    <w:rsid w:val="000F1F42"/>
    <w:rsid w:val="000F202A"/>
    <w:rsid w:val="000F2166"/>
    <w:rsid w:val="000F229E"/>
    <w:rsid w:val="000F229F"/>
    <w:rsid w:val="000F236C"/>
    <w:rsid w:val="000F23A6"/>
    <w:rsid w:val="000F23D4"/>
    <w:rsid w:val="000F23F8"/>
    <w:rsid w:val="000F2706"/>
    <w:rsid w:val="000F2814"/>
    <w:rsid w:val="000F2912"/>
    <w:rsid w:val="000F2A5B"/>
    <w:rsid w:val="000F2B8B"/>
    <w:rsid w:val="000F2CA2"/>
    <w:rsid w:val="000F2D90"/>
    <w:rsid w:val="000F2DFF"/>
    <w:rsid w:val="000F3060"/>
    <w:rsid w:val="000F3080"/>
    <w:rsid w:val="000F309A"/>
    <w:rsid w:val="000F31BA"/>
    <w:rsid w:val="000F3543"/>
    <w:rsid w:val="000F3635"/>
    <w:rsid w:val="000F363C"/>
    <w:rsid w:val="000F3819"/>
    <w:rsid w:val="000F3893"/>
    <w:rsid w:val="000F3896"/>
    <w:rsid w:val="000F3A1A"/>
    <w:rsid w:val="000F401D"/>
    <w:rsid w:val="000F42FE"/>
    <w:rsid w:val="000F4324"/>
    <w:rsid w:val="000F43F9"/>
    <w:rsid w:val="000F479A"/>
    <w:rsid w:val="000F48FE"/>
    <w:rsid w:val="000F4FDF"/>
    <w:rsid w:val="000F5077"/>
    <w:rsid w:val="000F50B4"/>
    <w:rsid w:val="000F5230"/>
    <w:rsid w:val="000F5260"/>
    <w:rsid w:val="000F52BE"/>
    <w:rsid w:val="000F52E9"/>
    <w:rsid w:val="000F530F"/>
    <w:rsid w:val="000F551A"/>
    <w:rsid w:val="000F5566"/>
    <w:rsid w:val="000F5794"/>
    <w:rsid w:val="000F57C5"/>
    <w:rsid w:val="000F57E2"/>
    <w:rsid w:val="000F58D8"/>
    <w:rsid w:val="000F5A1C"/>
    <w:rsid w:val="000F5C69"/>
    <w:rsid w:val="000F5CA6"/>
    <w:rsid w:val="000F5CAB"/>
    <w:rsid w:val="000F5D96"/>
    <w:rsid w:val="000F5E2B"/>
    <w:rsid w:val="000F5E7F"/>
    <w:rsid w:val="000F5F16"/>
    <w:rsid w:val="000F5F8B"/>
    <w:rsid w:val="000F601C"/>
    <w:rsid w:val="000F6026"/>
    <w:rsid w:val="000F604A"/>
    <w:rsid w:val="000F606F"/>
    <w:rsid w:val="000F61D4"/>
    <w:rsid w:val="000F6283"/>
    <w:rsid w:val="000F62C2"/>
    <w:rsid w:val="000F648C"/>
    <w:rsid w:val="000F65E4"/>
    <w:rsid w:val="000F667F"/>
    <w:rsid w:val="000F66A4"/>
    <w:rsid w:val="000F6722"/>
    <w:rsid w:val="000F6917"/>
    <w:rsid w:val="000F695E"/>
    <w:rsid w:val="000F6ACF"/>
    <w:rsid w:val="000F6E3A"/>
    <w:rsid w:val="000F716F"/>
    <w:rsid w:val="000F71C3"/>
    <w:rsid w:val="000F731F"/>
    <w:rsid w:val="000F740B"/>
    <w:rsid w:val="000F76E1"/>
    <w:rsid w:val="000F77E8"/>
    <w:rsid w:val="000F78B7"/>
    <w:rsid w:val="000F7A2E"/>
    <w:rsid w:val="000F7ACD"/>
    <w:rsid w:val="000F7C75"/>
    <w:rsid w:val="000F7D34"/>
    <w:rsid w:val="000F7D65"/>
    <w:rsid w:val="000F7D9D"/>
    <w:rsid w:val="0010018F"/>
    <w:rsid w:val="001001B5"/>
    <w:rsid w:val="00100240"/>
    <w:rsid w:val="001004AF"/>
    <w:rsid w:val="001006D8"/>
    <w:rsid w:val="00100797"/>
    <w:rsid w:val="001008A1"/>
    <w:rsid w:val="0010090D"/>
    <w:rsid w:val="00100C46"/>
    <w:rsid w:val="00100C88"/>
    <w:rsid w:val="00100CAA"/>
    <w:rsid w:val="00100D00"/>
    <w:rsid w:val="00100D38"/>
    <w:rsid w:val="00100E23"/>
    <w:rsid w:val="0010115C"/>
    <w:rsid w:val="00101422"/>
    <w:rsid w:val="0010146E"/>
    <w:rsid w:val="001014E4"/>
    <w:rsid w:val="001015FA"/>
    <w:rsid w:val="001016D4"/>
    <w:rsid w:val="001016E0"/>
    <w:rsid w:val="00101782"/>
    <w:rsid w:val="00101874"/>
    <w:rsid w:val="001019CB"/>
    <w:rsid w:val="00101A1F"/>
    <w:rsid w:val="00101AD5"/>
    <w:rsid w:val="00101B6F"/>
    <w:rsid w:val="00101BDD"/>
    <w:rsid w:val="00101D73"/>
    <w:rsid w:val="00101D80"/>
    <w:rsid w:val="00101DD0"/>
    <w:rsid w:val="00101E69"/>
    <w:rsid w:val="00101E7D"/>
    <w:rsid w:val="00101F49"/>
    <w:rsid w:val="0010209E"/>
    <w:rsid w:val="00102276"/>
    <w:rsid w:val="0010252F"/>
    <w:rsid w:val="001026A4"/>
    <w:rsid w:val="00102755"/>
    <w:rsid w:val="00102846"/>
    <w:rsid w:val="001028A8"/>
    <w:rsid w:val="0010296E"/>
    <w:rsid w:val="001029B4"/>
    <w:rsid w:val="00102C86"/>
    <w:rsid w:val="00102C9A"/>
    <w:rsid w:val="00102D26"/>
    <w:rsid w:val="00102D6C"/>
    <w:rsid w:val="00102EAD"/>
    <w:rsid w:val="00102FE6"/>
    <w:rsid w:val="0010308A"/>
    <w:rsid w:val="00103145"/>
    <w:rsid w:val="0010316C"/>
    <w:rsid w:val="001031FC"/>
    <w:rsid w:val="00103252"/>
    <w:rsid w:val="001032E5"/>
    <w:rsid w:val="00103363"/>
    <w:rsid w:val="001033B1"/>
    <w:rsid w:val="001033FF"/>
    <w:rsid w:val="0010353A"/>
    <w:rsid w:val="00103705"/>
    <w:rsid w:val="00103954"/>
    <w:rsid w:val="00103968"/>
    <w:rsid w:val="0010397E"/>
    <w:rsid w:val="001039B9"/>
    <w:rsid w:val="00103A3D"/>
    <w:rsid w:val="00103AE9"/>
    <w:rsid w:val="00103B6C"/>
    <w:rsid w:val="00103C4E"/>
    <w:rsid w:val="00103D87"/>
    <w:rsid w:val="00103E11"/>
    <w:rsid w:val="00104011"/>
    <w:rsid w:val="00104017"/>
    <w:rsid w:val="0010419F"/>
    <w:rsid w:val="0010437D"/>
    <w:rsid w:val="0010471E"/>
    <w:rsid w:val="00104B76"/>
    <w:rsid w:val="00104C63"/>
    <w:rsid w:val="00104D0E"/>
    <w:rsid w:val="00104E14"/>
    <w:rsid w:val="00104EC9"/>
    <w:rsid w:val="00104F16"/>
    <w:rsid w:val="00104F93"/>
    <w:rsid w:val="0010501C"/>
    <w:rsid w:val="00105112"/>
    <w:rsid w:val="001051EA"/>
    <w:rsid w:val="001052D9"/>
    <w:rsid w:val="0010533C"/>
    <w:rsid w:val="00105341"/>
    <w:rsid w:val="00105627"/>
    <w:rsid w:val="00105A83"/>
    <w:rsid w:val="00105E2E"/>
    <w:rsid w:val="001061BA"/>
    <w:rsid w:val="001061F8"/>
    <w:rsid w:val="00106514"/>
    <w:rsid w:val="00106517"/>
    <w:rsid w:val="00106642"/>
    <w:rsid w:val="0010675D"/>
    <w:rsid w:val="0010679D"/>
    <w:rsid w:val="00106916"/>
    <w:rsid w:val="00106931"/>
    <w:rsid w:val="0010693C"/>
    <w:rsid w:val="001069C7"/>
    <w:rsid w:val="001069DF"/>
    <w:rsid w:val="00106B55"/>
    <w:rsid w:val="00106DE7"/>
    <w:rsid w:val="001071C7"/>
    <w:rsid w:val="00107228"/>
    <w:rsid w:val="001072C2"/>
    <w:rsid w:val="001074C4"/>
    <w:rsid w:val="001075E0"/>
    <w:rsid w:val="001076D8"/>
    <w:rsid w:val="00107736"/>
    <w:rsid w:val="00107A6E"/>
    <w:rsid w:val="00107AFF"/>
    <w:rsid w:val="00107BCE"/>
    <w:rsid w:val="00107CBA"/>
    <w:rsid w:val="00107ECE"/>
    <w:rsid w:val="00107F4B"/>
    <w:rsid w:val="001100A3"/>
    <w:rsid w:val="001100E5"/>
    <w:rsid w:val="001101FA"/>
    <w:rsid w:val="00110290"/>
    <w:rsid w:val="0011051E"/>
    <w:rsid w:val="001105A8"/>
    <w:rsid w:val="00110771"/>
    <w:rsid w:val="00110908"/>
    <w:rsid w:val="00110966"/>
    <w:rsid w:val="00110AAA"/>
    <w:rsid w:val="00110F89"/>
    <w:rsid w:val="00110FBF"/>
    <w:rsid w:val="00111088"/>
    <w:rsid w:val="00111286"/>
    <w:rsid w:val="001112CD"/>
    <w:rsid w:val="001112F5"/>
    <w:rsid w:val="00111354"/>
    <w:rsid w:val="001115B9"/>
    <w:rsid w:val="0011161E"/>
    <w:rsid w:val="00111759"/>
    <w:rsid w:val="00111827"/>
    <w:rsid w:val="001118DD"/>
    <w:rsid w:val="001119D0"/>
    <w:rsid w:val="001119E1"/>
    <w:rsid w:val="00111A40"/>
    <w:rsid w:val="00111D6E"/>
    <w:rsid w:val="00112085"/>
    <w:rsid w:val="001122DD"/>
    <w:rsid w:val="00112358"/>
    <w:rsid w:val="00112659"/>
    <w:rsid w:val="00112753"/>
    <w:rsid w:val="001127ED"/>
    <w:rsid w:val="00112C9B"/>
    <w:rsid w:val="00112CC3"/>
    <w:rsid w:val="00112E93"/>
    <w:rsid w:val="00113023"/>
    <w:rsid w:val="001130E1"/>
    <w:rsid w:val="001130E3"/>
    <w:rsid w:val="00113199"/>
    <w:rsid w:val="001132A8"/>
    <w:rsid w:val="00113328"/>
    <w:rsid w:val="00113672"/>
    <w:rsid w:val="001136CD"/>
    <w:rsid w:val="001137CE"/>
    <w:rsid w:val="0011386C"/>
    <w:rsid w:val="001138E8"/>
    <w:rsid w:val="00113A11"/>
    <w:rsid w:val="00113B20"/>
    <w:rsid w:val="00113C17"/>
    <w:rsid w:val="00113D1F"/>
    <w:rsid w:val="00113D4F"/>
    <w:rsid w:val="00113D76"/>
    <w:rsid w:val="00113D8A"/>
    <w:rsid w:val="00113E1B"/>
    <w:rsid w:val="00113E36"/>
    <w:rsid w:val="00113F01"/>
    <w:rsid w:val="00114185"/>
    <w:rsid w:val="0011418A"/>
    <w:rsid w:val="00114213"/>
    <w:rsid w:val="001142CB"/>
    <w:rsid w:val="00114506"/>
    <w:rsid w:val="0011450D"/>
    <w:rsid w:val="001145EF"/>
    <w:rsid w:val="0011462D"/>
    <w:rsid w:val="0011482B"/>
    <w:rsid w:val="00114862"/>
    <w:rsid w:val="001148A1"/>
    <w:rsid w:val="001148D1"/>
    <w:rsid w:val="00114962"/>
    <w:rsid w:val="001149CD"/>
    <w:rsid w:val="001149E7"/>
    <w:rsid w:val="00114A84"/>
    <w:rsid w:val="00114A91"/>
    <w:rsid w:val="00114AE5"/>
    <w:rsid w:val="00114B24"/>
    <w:rsid w:val="00114BB9"/>
    <w:rsid w:val="00114D1D"/>
    <w:rsid w:val="00114E44"/>
    <w:rsid w:val="0011517B"/>
    <w:rsid w:val="001152D9"/>
    <w:rsid w:val="00115326"/>
    <w:rsid w:val="0011534D"/>
    <w:rsid w:val="00115723"/>
    <w:rsid w:val="0011573C"/>
    <w:rsid w:val="00115863"/>
    <w:rsid w:val="00115941"/>
    <w:rsid w:val="0011598E"/>
    <w:rsid w:val="00115A3E"/>
    <w:rsid w:val="00115C2F"/>
    <w:rsid w:val="0011600D"/>
    <w:rsid w:val="00116077"/>
    <w:rsid w:val="0011668A"/>
    <w:rsid w:val="00116773"/>
    <w:rsid w:val="0011679C"/>
    <w:rsid w:val="0011684F"/>
    <w:rsid w:val="001168A1"/>
    <w:rsid w:val="001169A3"/>
    <w:rsid w:val="00116A78"/>
    <w:rsid w:val="00116AEC"/>
    <w:rsid w:val="00116DF4"/>
    <w:rsid w:val="00116E53"/>
    <w:rsid w:val="00116E5D"/>
    <w:rsid w:val="00116EBE"/>
    <w:rsid w:val="00116FB1"/>
    <w:rsid w:val="00116FC2"/>
    <w:rsid w:val="0011706C"/>
    <w:rsid w:val="001170E7"/>
    <w:rsid w:val="001171F6"/>
    <w:rsid w:val="00117273"/>
    <w:rsid w:val="001172CF"/>
    <w:rsid w:val="0011735B"/>
    <w:rsid w:val="00117384"/>
    <w:rsid w:val="0011747B"/>
    <w:rsid w:val="0011749E"/>
    <w:rsid w:val="00117576"/>
    <w:rsid w:val="0011758F"/>
    <w:rsid w:val="001175AB"/>
    <w:rsid w:val="001177E2"/>
    <w:rsid w:val="00117A0E"/>
    <w:rsid w:val="00117A49"/>
    <w:rsid w:val="00117AF6"/>
    <w:rsid w:val="00117B07"/>
    <w:rsid w:val="00117BAA"/>
    <w:rsid w:val="00117C31"/>
    <w:rsid w:val="00117C4B"/>
    <w:rsid w:val="00117C84"/>
    <w:rsid w:val="00117DCF"/>
    <w:rsid w:val="00117E63"/>
    <w:rsid w:val="00120035"/>
    <w:rsid w:val="001201F5"/>
    <w:rsid w:val="001203DF"/>
    <w:rsid w:val="001203ED"/>
    <w:rsid w:val="00120484"/>
    <w:rsid w:val="00120595"/>
    <w:rsid w:val="00120947"/>
    <w:rsid w:val="00120A59"/>
    <w:rsid w:val="00120AB8"/>
    <w:rsid w:val="00120D08"/>
    <w:rsid w:val="00120DFF"/>
    <w:rsid w:val="00120F49"/>
    <w:rsid w:val="0012101B"/>
    <w:rsid w:val="0012105E"/>
    <w:rsid w:val="001210E6"/>
    <w:rsid w:val="00121215"/>
    <w:rsid w:val="00121486"/>
    <w:rsid w:val="001215F9"/>
    <w:rsid w:val="00121799"/>
    <w:rsid w:val="00121ACD"/>
    <w:rsid w:val="00121C2F"/>
    <w:rsid w:val="00121CDE"/>
    <w:rsid w:val="00121DBD"/>
    <w:rsid w:val="00121E8D"/>
    <w:rsid w:val="00121F19"/>
    <w:rsid w:val="00122085"/>
    <w:rsid w:val="001220A2"/>
    <w:rsid w:val="00122135"/>
    <w:rsid w:val="001221DB"/>
    <w:rsid w:val="0012225D"/>
    <w:rsid w:val="0012228E"/>
    <w:rsid w:val="00122396"/>
    <w:rsid w:val="001223C4"/>
    <w:rsid w:val="00122411"/>
    <w:rsid w:val="00122585"/>
    <w:rsid w:val="00122647"/>
    <w:rsid w:val="00122700"/>
    <w:rsid w:val="0012270E"/>
    <w:rsid w:val="00122762"/>
    <w:rsid w:val="001227B9"/>
    <w:rsid w:val="00122930"/>
    <w:rsid w:val="00122C7A"/>
    <w:rsid w:val="00122D95"/>
    <w:rsid w:val="00122E17"/>
    <w:rsid w:val="00122ECE"/>
    <w:rsid w:val="00122FD4"/>
    <w:rsid w:val="001230CF"/>
    <w:rsid w:val="00123135"/>
    <w:rsid w:val="00123344"/>
    <w:rsid w:val="00123358"/>
    <w:rsid w:val="001233F2"/>
    <w:rsid w:val="001234F6"/>
    <w:rsid w:val="0012352B"/>
    <w:rsid w:val="00123625"/>
    <w:rsid w:val="00123650"/>
    <w:rsid w:val="0012365A"/>
    <w:rsid w:val="00123744"/>
    <w:rsid w:val="00123949"/>
    <w:rsid w:val="00123CB6"/>
    <w:rsid w:val="00123E32"/>
    <w:rsid w:val="001241DD"/>
    <w:rsid w:val="001241E1"/>
    <w:rsid w:val="00124270"/>
    <w:rsid w:val="00124323"/>
    <w:rsid w:val="0012444A"/>
    <w:rsid w:val="00124515"/>
    <w:rsid w:val="00124582"/>
    <w:rsid w:val="00124636"/>
    <w:rsid w:val="00124676"/>
    <w:rsid w:val="0012481E"/>
    <w:rsid w:val="0012487F"/>
    <w:rsid w:val="00124CBE"/>
    <w:rsid w:val="0012506A"/>
    <w:rsid w:val="001251E7"/>
    <w:rsid w:val="001254B6"/>
    <w:rsid w:val="001258CA"/>
    <w:rsid w:val="001258D6"/>
    <w:rsid w:val="0012595F"/>
    <w:rsid w:val="001259D7"/>
    <w:rsid w:val="00125C9D"/>
    <w:rsid w:val="00125D57"/>
    <w:rsid w:val="00125EDC"/>
    <w:rsid w:val="00125EE0"/>
    <w:rsid w:val="00125F51"/>
    <w:rsid w:val="00125FC5"/>
    <w:rsid w:val="001260AA"/>
    <w:rsid w:val="001260C7"/>
    <w:rsid w:val="00126317"/>
    <w:rsid w:val="001265AF"/>
    <w:rsid w:val="0012672B"/>
    <w:rsid w:val="00126759"/>
    <w:rsid w:val="001267E9"/>
    <w:rsid w:val="001267F4"/>
    <w:rsid w:val="00126919"/>
    <w:rsid w:val="00126B38"/>
    <w:rsid w:val="00126BB2"/>
    <w:rsid w:val="00126E2C"/>
    <w:rsid w:val="00126E6B"/>
    <w:rsid w:val="00126E86"/>
    <w:rsid w:val="00126F7B"/>
    <w:rsid w:val="0012703A"/>
    <w:rsid w:val="001270D4"/>
    <w:rsid w:val="00127217"/>
    <w:rsid w:val="001273BC"/>
    <w:rsid w:val="001273CE"/>
    <w:rsid w:val="00127402"/>
    <w:rsid w:val="00127519"/>
    <w:rsid w:val="00127529"/>
    <w:rsid w:val="001275F8"/>
    <w:rsid w:val="00127832"/>
    <w:rsid w:val="00127AFD"/>
    <w:rsid w:val="00127B14"/>
    <w:rsid w:val="00127CA2"/>
    <w:rsid w:val="00127CDB"/>
    <w:rsid w:val="00130089"/>
    <w:rsid w:val="001300DE"/>
    <w:rsid w:val="00130223"/>
    <w:rsid w:val="00130316"/>
    <w:rsid w:val="0013069D"/>
    <w:rsid w:val="00130793"/>
    <w:rsid w:val="001307A8"/>
    <w:rsid w:val="001308AC"/>
    <w:rsid w:val="00130925"/>
    <w:rsid w:val="00130943"/>
    <w:rsid w:val="001309EC"/>
    <w:rsid w:val="00130A4A"/>
    <w:rsid w:val="00130B30"/>
    <w:rsid w:val="00130B50"/>
    <w:rsid w:val="00130B85"/>
    <w:rsid w:val="00130D24"/>
    <w:rsid w:val="00130D2C"/>
    <w:rsid w:val="00131003"/>
    <w:rsid w:val="00131332"/>
    <w:rsid w:val="00131442"/>
    <w:rsid w:val="001314F2"/>
    <w:rsid w:val="001314F8"/>
    <w:rsid w:val="001315A5"/>
    <w:rsid w:val="001315AA"/>
    <w:rsid w:val="0013161A"/>
    <w:rsid w:val="0013197F"/>
    <w:rsid w:val="00131A36"/>
    <w:rsid w:val="00131A83"/>
    <w:rsid w:val="00131ACB"/>
    <w:rsid w:val="00131B02"/>
    <w:rsid w:val="00131D69"/>
    <w:rsid w:val="00131E70"/>
    <w:rsid w:val="001320FB"/>
    <w:rsid w:val="0013224F"/>
    <w:rsid w:val="00132316"/>
    <w:rsid w:val="00132546"/>
    <w:rsid w:val="0013255B"/>
    <w:rsid w:val="0013265E"/>
    <w:rsid w:val="001326BE"/>
    <w:rsid w:val="00132740"/>
    <w:rsid w:val="00132757"/>
    <w:rsid w:val="00132763"/>
    <w:rsid w:val="00132767"/>
    <w:rsid w:val="001328CC"/>
    <w:rsid w:val="001329B9"/>
    <w:rsid w:val="00132B44"/>
    <w:rsid w:val="00132BA4"/>
    <w:rsid w:val="00132C4A"/>
    <w:rsid w:val="00132CD5"/>
    <w:rsid w:val="00132D2C"/>
    <w:rsid w:val="00132D68"/>
    <w:rsid w:val="00132E16"/>
    <w:rsid w:val="00132F75"/>
    <w:rsid w:val="001330F1"/>
    <w:rsid w:val="0013332B"/>
    <w:rsid w:val="001333D9"/>
    <w:rsid w:val="001334A7"/>
    <w:rsid w:val="001334DA"/>
    <w:rsid w:val="00133558"/>
    <w:rsid w:val="0013360A"/>
    <w:rsid w:val="00133674"/>
    <w:rsid w:val="001336D3"/>
    <w:rsid w:val="001336F5"/>
    <w:rsid w:val="00133769"/>
    <w:rsid w:val="001337E0"/>
    <w:rsid w:val="00133960"/>
    <w:rsid w:val="00133AF9"/>
    <w:rsid w:val="00133DF9"/>
    <w:rsid w:val="00133DFC"/>
    <w:rsid w:val="001340CC"/>
    <w:rsid w:val="001340CF"/>
    <w:rsid w:val="0013424A"/>
    <w:rsid w:val="001344DF"/>
    <w:rsid w:val="00134A6C"/>
    <w:rsid w:val="00134BE2"/>
    <w:rsid w:val="00134C06"/>
    <w:rsid w:val="00134CF9"/>
    <w:rsid w:val="00134D7F"/>
    <w:rsid w:val="00134E3B"/>
    <w:rsid w:val="00134EC5"/>
    <w:rsid w:val="00134F7E"/>
    <w:rsid w:val="00134FDA"/>
    <w:rsid w:val="0013500C"/>
    <w:rsid w:val="0013504D"/>
    <w:rsid w:val="00135142"/>
    <w:rsid w:val="00135189"/>
    <w:rsid w:val="001351B3"/>
    <w:rsid w:val="0013521B"/>
    <w:rsid w:val="001352BC"/>
    <w:rsid w:val="0013553E"/>
    <w:rsid w:val="0013577E"/>
    <w:rsid w:val="00135A13"/>
    <w:rsid w:val="00135A59"/>
    <w:rsid w:val="00135B6E"/>
    <w:rsid w:val="00135D0C"/>
    <w:rsid w:val="00135E45"/>
    <w:rsid w:val="00135E77"/>
    <w:rsid w:val="00135EEA"/>
    <w:rsid w:val="00135F9F"/>
    <w:rsid w:val="00135FE9"/>
    <w:rsid w:val="00136253"/>
    <w:rsid w:val="0013670E"/>
    <w:rsid w:val="00136795"/>
    <w:rsid w:val="001367A2"/>
    <w:rsid w:val="00136867"/>
    <w:rsid w:val="00136878"/>
    <w:rsid w:val="00136A90"/>
    <w:rsid w:val="00136A9A"/>
    <w:rsid w:val="00136C3B"/>
    <w:rsid w:val="00136D43"/>
    <w:rsid w:val="00136DDE"/>
    <w:rsid w:val="001370A8"/>
    <w:rsid w:val="00137249"/>
    <w:rsid w:val="001372A2"/>
    <w:rsid w:val="0013739D"/>
    <w:rsid w:val="0013742C"/>
    <w:rsid w:val="00137500"/>
    <w:rsid w:val="00137568"/>
    <w:rsid w:val="00137676"/>
    <w:rsid w:val="00137910"/>
    <w:rsid w:val="001379BC"/>
    <w:rsid w:val="00137AB2"/>
    <w:rsid w:val="00137B19"/>
    <w:rsid w:val="00137CC3"/>
    <w:rsid w:val="00137D8B"/>
    <w:rsid w:val="00137E7B"/>
    <w:rsid w:val="001401F6"/>
    <w:rsid w:val="001402E8"/>
    <w:rsid w:val="0014037B"/>
    <w:rsid w:val="0014042B"/>
    <w:rsid w:val="0014052F"/>
    <w:rsid w:val="0014063E"/>
    <w:rsid w:val="001407DE"/>
    <w:rsid w:val="00140CD4"/>
    <w:rsid w:val="00140D05"/>
    <w:rsid w:val="00140E37"/>
    <w:rsid w:val="00140FDC"/>
    <w:rsid w:val="00140FE8"/>
    <w:rsid w:val="001411CE"/>
    <w:rsid w:val="001411D0"/>
    <w:rsid w:val="0014125E"/>
    <w:rsid w:val="00141623"/>
    <w:rsid w:val="001416B6"/>
    <w:rsid w:val="0014179B"/>
    <w:rsid w:val="001419CC"/>
    <w:rsid w:val="00141AC1"/>
    <w:rsid w:val="00141AEC"/>
    <w:rsid w:val="00141BFA"/>
    <w:rsid w:val="00141C55"/>
    <w:rsid w:val="00141D5F"/>
    <w:rsid w:val="00141E18"/>
    <w:rsid w:val="00141EDE"/>
    <w:rsid w:val="00141F30"/>
    <w:rsid w:val="00142283"/>
    <w:rsid w:val="00142432"/>
    <w:rsid w:val="001424C8"/>
    <w:rsid w:val="00142503"/>
    <w:rsid w:val="001427B7"/>
    <w:rsid w:val="0014289C"/>
    <w:rsid w:val="00142C9E"/>
    <w:rsid w:val="00142CE1"/>
    <w:rsid w:val="00142E00"/>
    <w:rsid w:val="00143098"/>
    <w:rsid w:val="001430C7"/>
    <w:rsid w:val="00143124"/>
    <w:rsid w:val="00143438"/>
    <w:rsid w:val="00143464"/>
    <w:rsid w:val="0014349B"/>
    <w:rsid w:val="001434B6"/>
    <w:rsid w:val="00143627"/>
    <w:rsid w:val="001436A0"/>
    <w:rsid w:val="001436C1"/>
    <w:rsid w:val="001436F7"/>
    <w:rsid w:val="0014373D"/>
    <w:rsid w:val="0014388F"/>
    <w:rsid w:val="00143926"/>
    <w:rsid w:val="00143AC9"/>
    <w:rsid w:val="00143B3F"/>
    <w:rsid w:val="00143D68"/>
    <w:rsid w:val="00143D96"/>
    <w:rsid w:val="00143DC2"/>
    <w:rsid w:val="00144062"/>
    <w:rsid w:val="00144289"/>
    <w:rsid w:val="0014447E"/>
    <w:rsid w:val="001444BE"/>
    <w:rsid w:val="001444D6"/>
    <w:rsid w:val="00144ADC"/>
    <w:rsid w:val="00144AE8"/>
    <w:rsid w:val="00144B82"/>
    <w:rsid w:val="00144BB2"/>
    <w:rsid w:val="00144CA8"/>
    <w:rsid w:val="00144D21"/>
    <w:rsid w:val="00144EAC"/>
    <w:rsid w:val="00144F10"/>
    <w:rsid w:val="00145124"/>
    <w:rsid w:val="00145338"/>
    <w:rsid w:val="00145491"/>
    <w:rsid w:val="001454B9"/>
    <w:rsid w:val="001455DF"/>
    <w:rsid w:val="001455E1"/>
    <w:rsid w:val="00145698"/>
    <w:rsid w:val="001456AE"/>
    <w:rsid w:val="001456F5"/>
    <w:rsid w:val="0014585F"/>
    <w:rsid w:val="00145985"/>
    <w:rsid w:val="00145B82"/>
    <w:rsid w:val="00145C9A"/>
    <w:rsid w:val="00145DA7"/>
    <w:rsid w:val="00145E89"/>
    <w:rsid w:val="00145EF3"/>
    <w:rsid w:val="00145EFC"/>
    <w:rsid w:val="0014611A"/>
    <w:rsid w:val="00146223"/>
    <w:rsid w:val="0014629B"/>
    <w:rsid w:val="001462BD"/>
    <w:rsid w:val="001463F0"/>
    <w:rsid w:val="00146436"/>
    <w:rsid w:val="0014660E"/>
    <w:rsid w:val="00146B8D"/>
    <w:rsid w:val="00146CDC"/>
    <w:rsid w:val="00146D12"/>
    <w:rsid w:val="00146E05"/>
    <w:rsid w:val="0014700E"/>
    <w:rsid w:val="0014727E"/>
    <w:rsid w:val="0014744B"/>
    <w:rsid w:val="00147487"/>
    <w:rsid w:val="001475D8"/>
    <w:rsid w:val="001477C1"/>
    <w:rsid w:val="0014785E"/>
    <w:rsid w:val="00147A12"/>
    <w:rsid w:val="00147AED"/>
    <w:rsid w:val="00147B09"/>
    <w:rsid w:val="00147BB8"/>
    <w:rsid w:val="00147BD2"/>
    <w:rsid w:val="00147C9C"/>
    <w:rsid w:val="00147CD7"/>
    <w:rsid w:val="00147D1C"/>
    <w:rsid w:val="00147D2F"/>
    <w:rsid w:val="00147DB5"/>
    <w:rsid w:val="00147DD9"/>
    <w:rsid w:val="0015007D"/>
    <w:rsid w:val="00150173"/>
    <w:rsid w:val="00150217"/>
    <w:rsid w:val="0015031B"/>
    <w:rsid w:val="001503DF"/>
    <w:rsid w:val="00150420"/>
    <w:rsid w:val="00150442"/>
    <w:rsid w:val="001504A5"/>
    <w:rsid w:val="001504B2"/>
    <w:rsid w:val="001504F9"/>
    <w:rsid w:val="00150501"/>
    <w:rsid w:val="001506E9"/>
    <w:rsid w:val="001509EB"/>
    <w:rsid w:val="00150C6E"/>
    <w:rsid w:val="00150CD7"/>
    <w:rsid w:val="00150EB3"/>
    <w:rsid w:val="00150F37"/>
    <w:rsid w:val="00151193"/>
    <w:rsid w:val="001511C4"/>
    <w:rsid w:val="001511CF"/>
    <w:rsid w:val="00151258"/>
    <w:rsid w:val="001512BB"/>
    <w:rsid w:val="00151397"/>
    <w:rsid w:val="00151440"/>
    <w:rsid w:val="001514AE"/>
    <w:rsid w:val="00151555"/>
    <w:rsid w:val="00151788"/>
    <w:rsid w:val="001517A9"/>
    <w:rsid w:val="001517FB"/>
    <w:rsid w:val="00151848"/>
    <w:rsid w:val="0015185E"/>
    <w:rsid w:val="00151868"/>
    <w:rsid w:val="001519B2"/>
    <w:rsid w:val="001519E7"/>
    <w:rsid w:val="00151AD3"/>
    <w:rsid w:val="00151DFD"/>
    <w:rsid w:val="00151FED"/>
    <w:rsid w:val="001520DD"/>
    <w:rsid w:val="00152244"/>
    <w:rsid w:val="00152292"/>
    <w:rsid w:val="001522B1"/>
    <w:rsid w:val="001523E0"/>
    <w:rsid w:val="0015241E"/>
    <w:rsid w:val="0015242C"/>
    <w:rsid w:val="001524B6"/>
    <w:rsid w:val="00152518"/>
    <w:rsid w:val="001527B6"/>
    <w:rsid w:val="00152941"/>
    <w:rsid w:val="00152A23"/>
    <w:rsid w:val="00152B23"/>
    <w:rsid w:val="00152BF2"/>
    <w:rsid w:val="00152C2E"/>
    <w:rsid w:val="00152CA4"/>
    <w:rsid w:val="00152CD9"/>
    <w:rsid w:val="00152E67"/>
    <w:rsid w:val="00152FB1"/>
    <w:rsid w:val="00153059"/>
    <w:rsid w:val="00153125"/>
    <w:rsid w:val="0015324B"/>
    <w:rsid w:val="00153266"/>
    <w:rsid w:val="001533FD"/>
    <w:rsid w:val="001534B4"/>
    <w:rsid w:val="0015351A"/>
    <w:rsid w:val="00153618"/>
    <w:rsid w:val="0015367A"/>
    <w:rsid w:val="001537E8"/>
    <w:rsid w:val="0015381F"/>
    <w:rsid w:val="00153A9B"/>
    <w:rsid w:val="00153B24"/>
    <w:rsid w:val="00153C0F"/>
    <w:rsid w:val="00153D6C"/>
    <w:rsid w:val="00153EA7"/>
    <w:rsid w:val="00153FB9"/>
    <w:rsid w:val="00154035"/>
    <w:rsid w:val="001540CF"/>
    <w:rsid w:val="001540D4"/>
    <w:rsid w:val="001540FA"/>
    <w:rsid w:val="00154186"/>
    <w:rsid w:val="00154220"/>
    <w:rsid w:val="001542EE"/>
    <w:rsid w:val="00154361"/>
    <w:rsid w:val="0015438E"/>
    <w:rsid w:val="00154484"/>
    <w:rsid w:val="001545FE"/>
    <w:rsid w:val="001546C9"/>
    <w:rsid w:val="00154860"/>
    <w:rsid w:val="001548FE"/>
    <w:rsid w:val="001549A1"/>
    <w:rsid w:val="00154B57"/>
    <w:rsid w:val="00154B98"/>
    <w:rsid w:val="00154CB9"/>
    <w:rsid w:val="00154E65"/>
    <w:rsid w:val="00154F1B"/>
    <w:rsid w:val="00154F7B"/>
    <w:rsid w:val="0015501B"/>
    <w:rsid w:val="0015515B"/>
    <w:rsid w:val="0015523F"/>
    <w:rsid w:val="00155398"/>
    <w:rsid w:val="00155516"/>
    <w:rsid w:val="00155601"/>
    <w:rsid w:val="001557BE"/>
    <w:rsid w:val="001558DB"/>
    <w:rsid w:val="00155935"/>
    <w:rsid w:val="001559FB"/>
    <w:rsid w:val="00155A6B"/>
    <w:rsid w:val="00155B86"/>
    <w:rsid w:val="00155EF6"/>
    <w:rsid w:val="001561FA"/>
    <w:rsid w:val="001562EE"/>
    <w:rsid w:val="001564B2"/>
    <w:rsid w:val="00156528"/>
    <w:rsid w:val="00156569"/>
    <w:rsid w:val="0015663B"/>
    <w:rsid w:val="00156661"/>
    <w:rsid w:val="001567B3"/>
    <w:rsid w:val="0015685A"/>
    <w:rsid w:val="00156878"/>
    <w:rsid w:val="001568B7"/>
    <w:rsid w:val="00156A95"/>
    <w:rsid w:val="00156AA8"/>
    <w:rsid w:val="00156ACB"/>
    <w:rsid w:val="00156ADE"/>
    <w:rsid w:val="00156BC5"/>
    <w:rsid w:val="00156BD1"/>
    <w:rsid w:val="00156CEA"/>
    <w:rsid w:val="00156E14"/>
    <w:rsid w:val="00156E28"/>
    <w:rsid w:val="00156EB3"/>
    <w:rsid w:val="00156FDC"/>
    <w:rsid w:val="00156FF5"/>
    <w:rsid w:val="00157182"/>
    <w:rsid w:val="001571B7"/>
    <w:rsid w:val="001571BD"/>
    <w:rsid w:val="00157244"/>
    <w:rsid w:val="0015744B"/>
    <w:rsid w:val="00157489"/>
    <w:rsid w:val="00157852"/>
    <w:rsid w:val="001578F2"/>
    <w:rsid w:val="0015794C"/>
    <w:rsid w:val="00157958"/>
    <w:rsid w:val="00157AFD"/>
    <w:rsid w:val="00157B01"/>
    <w:rsid w:val="00157C78"/>
    <w:rsid w:val="00157DF5"/>
    <w:rsid w:val="00157E75"/>
    <w:rsid w:val="00157EC7"/>
    <w:rsid w:val="00157FCF"/>
    <w:rsid w:val="0016006D"/>
    <w:rsid w:val="00160260"/>
    <w:rsid w:val="0016047A"/>
    <w:rsid w:val="0016051A"/>
    <w:rsid w:val="0016062B"/>
    <w:rsid w:val="00160687"/>
    <w:rsid w:val="00160773"/>
    <w:rsid w:val="00160839"/>
    <w:rsid w:val="001609CE"/>
    <w:rsid w:val="00160A68"/>
    <w:rsid w:val="00160C29"/>
    <w:rsid w:val="00160D82"/>
    <w:rsid w:val="00160DC6"/>
    <w:rsid w:val="00160E50"/>
    <w:rsid w:val="001611FB"/>
    <w:rsid w:val="0016137E"/>
    <w:rsid w:val="00161430"/>
    <w:rsid w:val="0016143C"/>
    <w:rsid w:val="001615AC"/>
    <w:rsid w:val="0016175E"/>
    <w:rsid w:val="001617A0"/>
    <w:rsid w:val="00161978"/>
    <w:rsid w:val="001619D1"/>
    <w:rsid w:val="001619F2"/>
    <w:rsid w:val="00161A62"/>
    <w:rsid w:val="00161C49"/>
    <w:rsid w:val="00161D22"/>
    <w:rsid w:val="00161D89"/>
    <w:rsid w:val="00161E3D"/>
    <w:rsid w:val="00161E52"/>
    <w:rsid w:val="00161F10"/>
    <w:rsid w:val="0016239D"/>
    <w:rsid w:val="00162681"/>
    <w:rsid w:val="001626ED"/>
    <w:rsid w:val="001626FE"/>
    <w:rsid w:val="001628F5"/>
    <w:rsid w:val="00162987"/>
    <w:rsid w:val="00162DA5"/>
    <w:rsid w:val="00162F96"/>
    <w:rsid w:val="00163052"/>
    <w:rsid w:val="001632D4"/>
    <w:rsid w:val="0016337C"/>
    <w:rsid w:val="0016343C"/>
    <w:rsid w:val="00163497"/>
    <w:rsid w:val="001635FF"/>
    <w:rsid w:val="00163732"/>
    <w:rsid w:val="001639FA"/>
    <w:rsid w:val="00163A2A"/>
    <w:rsid w:val="00163A73"/>
    <w:rsid w:val="00163A9B"/>
    <w:rsid w:val="00163AFE"/>
    <w:rsid w:val="00163C83"/>
    <w:rsid w:val="00163CB7"/>
    <w:rsid w:val="00163D46"/>
    <w:rsid w:val="00163F32"/>
    <w:rsid w:val="00163F40"/>
    <w:rsid w:val="00164085"/>
    <w:rsid w:val="00164318"/>
    <w:rsid w:val="00164429"/>
    <w:rsid w:val="00164466"/>
    <w:rsid w:val="00164613"/>
    <w:rsid w:val="0016471D"/>
    <w:rsid w:val="001647E3"/>
    <w:rsid w:val="001648F5"/>
    <w:rsid w:val="00164988"/>
    <w:rsid w:val="00164A76"/>
    <w:rsid w:val="00164D4A"/>
    <w:rsid w:val="00164E22"/>
    <w:rsid w:val="0016508E"/>
    <w:rsid w:val="001651B8"/>
    <w:rsid w:val="0016525E"/>
    <w:rsid w:val="001653AF"/>
    <w:rsid w:val="00165495"/>
    <w:rsid w:val="001657B7"/>
    <w:rsid w:val="00165A2C"/>
    <w:rsid w:val="00165A54"/>
    <w:rsid w:val="00165B51"/>
    <w:rsid w:val="00165D95"/>
    <w:rsid w:val="00165DEF"/>
    <w:rsid w:val="001660C7"/>
    <w:rsid w:val="00166137"/>
    <w:rsid w:val="0016615C"/>
    <w:rsid w:val="00166284"/>
    <w:rsid w:val="00166293"/>
    <w:rsid w:val="001662F5"/>
    <w:rsid w:val="00166354"/>
    <w:rsid w:val="001665D0"/>
    <w:rsid w:val="001669C2"/>
    <w:rsid w:val="001669E8"/>
    <w:rsid w:val="00166AD7"/>
    <w:rsid w:val="00166DFE"/>
    <w:rsid w:val="00166E69"/>
    <w:rsid w:val="00166ECF"/>
    <w:rsid w:val="001670A7"/>
    <w:rsid w:val="00167376"/>
    <w:rsid w:val="001674BC"/>
    <w:rsid w:val="001674F1"/>
    <w:rsid w:val="00167507"/>
    <w:rsid w:val="001678EB"/>
    <w:rsid w:val="00167918"/>
    <w:rsid w:val="00167A00"/>
    <w:rsid w:val="00167C04"/>
    <w:rsid w:val="00167C50"/>
    <w:rsid w:val="00167C73"/>
    <w:rsid w:val="00167F34"/>
    <w:rsid w:val="00167FEF"/>
    <w:rsid w:val="00170089"/>
    <w:rsid w:val="001700A4"/>
    <w:rsid w:val="001700D1"/>
    <w:rsid w:val="00170126"/>
    <w:rsid w:val="001701D3"/>
    <w:rsid w:val="0017020F"/>
    <w:rsid w:val="001702AB"/>
    <w:rsid w:val="001702B9"/>
    <w:rsid w:val="001703BF"/>
    <w:rsid w:val="00170408"/>
    <w:rsid w:val="001704AE"/>
    <w:rsid w:val="00170554"/>
    <w:rsid w:val="00170693"/>
    <w:rsid w:val="001706F1"/>
    <w:rsid w:val="00170886"/>
    <w:rsid w:val="00170927"/>
    <w:rsid w:val="00170AF2"/>
    <w:rsid w:val="00170B2A"/>
    <w:rsid w:val="00170C09"/>
    <w:rsid w:val="00170CE7"/>
    <w:rsid w:val="00170D66"/>
    <w:rsid w:val="0017105B"/>
    <w:rsid w:val="0017108C"/>
    <w:rsid w:val="0017117A"/>
    <w:rsid w:val="00171207"/>
    <w:rsid w:val="00171296"/>
    <w:rsid w:val="001712AE"/>
    <w:rsid w:val="001712AF"/>
    <w:rsid w:val="0017136A"/>
    <w:rsid w:val="001714D9"/>
    <w:rsid w:val="0017170F"/>
    <w:rsid w:val="001718B7"/>
    <w:rsid w:val="001719D4"/>
    <w:rsid w:val="00171A5A"/>
    <w:rsid w:val="00171A8A"/>
    <w:rsid w:val="00171AB7"/>
    <w:rsid w:val="00171B2D"/>
    <w:rsid w:val="00171B30"/>
    <w:rsid w:val="00171BD9"/>
    <w:rsid w:val="00171C5D"/>
    <w:rsid w:val="00171EAA"/>
    <w:rsid w:val="00171FE5"/>
    <w:rsid w:val="00172088"/>
    <w:rsid w:val="0017237B"/>
    <w:rsid w:val="0017240E"/>
    <w:rsid w:val="001724F0"/>
    <w:rsid w:val="001724F5"/>
    <w:rsid w:val="00172543"/>
    <w:rsid w:val="001726DA"/>
    <w:rsid w:val="00172745"/>
    <w:rsid w:val="0017277D"/>
    <w:rsid w:val="00172967"/>
    <w:rsid w:val="00172BD6"/>
    <w:rsid w:val="00172BDE"/>
    <w:rsid w:val="00172CC8"/>
    <w:rsid w:val="00172E3A"/>
    <w:rsid w:val="00172E81"/>
    <w:rsid w:val="00172E9F"/>
    <w:rsid w:val="00173033"/>
    <w:rsid w:val="00173074"/>
    <w:rsid w:val="00173101"/>
    <w:rsid w:val="00173117"/>
    <w:rsid w:val="001732F3"/>
    <w:rsid w:val="00173307"/>
    <w:rsid w:val="001736D3"/>
    <w:rsid w:val="0017370E"/>
    <w:rsid w:val="001738A6"/>
    <w:rsid w:val="00173A6A"/>
    <w:rsid w:val="00173B87"/>
    <w:rsid w:val="00173BD6"/>
    <w:rsid w:val="00173D34"/>
    <w:rsid w:val="00173E2C"/>
    <w:rsid w:val="00173E93"/>
    <w:rsid w:val="00173F5A"/>
    <w:rsid w:val="00174010"/>
    <w:rsid w:val="0017403F"/>
    <w:rsid w:val="001740A1"/>
    <w:rsid w:val="00174128"/>
    <w:rsid w:val="001744B7"/>
    <w:rsid w:val="001746E7"/>
    <w:rsid w:val="00174926"/>
    <w:rsid w:val="00174988"/>
    <w:rsid w:val="00174A22"/>
    <w:rsid w:val="00174C12"/>
    <w:rsid w:val="00174C78"/>
    <w:rsid w:val="00174C7F"/>
    <w:rsid w:val="00174D1C"/>
    <w:rsid w:val="00174DB0"/>
    <w:rsid w:val="00174F06"/>
    <w:rsid w:val="00174FEB"/>
    <w:rsid w:val="0017534D"/>
    <w:rsid w:val="001753CA"/>
    <w:rsid w:val="00175596"/>
    <w:rsid w:val="00175636"/>
    <w:rsid w:val="0017579A"/>
    <w:rsid w:val="00175850"/>
    <w:rsid w:val="00175874"/>
    <w:rsid w:val="001758D1"/>
    <w:rsid w:val="00175984"/>
    <w:rsid w:val="00175A68"/>
    <w:rsid w:val="00175AF6"/>
    <w:rsid w:val="00175B7D"/>
    <w:rsid w:val="00175D98"/>
    <w:rsid w:val="00175E48"/>
    <w:rsid w:val="00175FB5"/>
    <w:rsid w:val="00175FEE"/>
    <w:rsid w:val="00176005"/>
    <w:rsid w:val="0017602C"/>
    <w:rsid w:val="001760CF"/>
    <w:rsid w:val="001760F9"/>
    <w:rsid w:val="00176237"/>
    <w:rsid w:val="001763A1"/>
    <w:rsid w:val="001764A0"/>
    <w:rsid w:val="0017674D"/>
    <w:rsid w:val="00176846"/>
    <w:rsid w:val="00176876"/>
    <w:rsid w:val="00176972"/>
    <w:rsid w:val="00176977"/>
    <w:rsid w:val="00176A24"/>
    <w:rsid w:val="00176B73"/>
    <w:rsid w:val="00176CC7"/>
    <w:rsid w:val="001770A4"/>
    <w:rsid w:val="00177146"/>
    <w:rsid w:val="001773A3"/>
    <w:rsid w:val="001775B3"/>
    <w:rsid w:val="001775FA"/>
    <w:rsid w:val="0017764F"/>
    <w:rsid w:val="001776BB"/>
    <w:rsid w:val="001779BF"/>
    <w:rsid w:val="00177B4F"/>
    <w:rsid w:val="00177C5B"/>
    <w:rsid w:val="00180163"/>
    <w:rsid w:val="001801FB"/>
    <w:rsid w:val="001802A7"/>
    <w:rsid w:val="00180307"/>
    <w:rsid w:val="00180468"/>
    <w:rsid w:val="00180488"/>
    <w:rsid w:val="00180769"/>
    <w:rsid w:val="0018083E"/>
    <w:rsid w:val="00180934"/>
    <w:rsid w:val="00180A87"/>
    <w:rsid w:val="00180B6D"/>
    <w:rsid w:val="00180C97"/>
    <w:rsid w:val="001810B8"/>
    <w:rsid w:val="001810EA"/>
    <w:rsid w:val="0018114B"/>
    <w:rsid w:val="001814B2"/>
    <w:rsid w:val="001815CD"/>
    <w:rsid w:val="001816C8"/>
    <w:rsid w:val="0018184D"/>
    <w:rsid w:val="0018196C"/>
    <w:rsid w:val="001819D8"/>
    <w:rsid w:val="00181B35"/>
    <w:rsid w:val="00181D47"/>
    <w:rsid w:val="00181D7D"/>
    <w:rsid w:val="00181EC0"/>
    <w:rsid w:val="00181FBC"/>
    <w:rsid w:val="001821BF"/>
    <w:rsid w:val="00182264"/>
    <w:rsid w:val="0018227C"/>
    <w:rsid w:val="00182545"/>
    <w:rsid w:val="0018255D"/>
    <w:rsid w:val="00182575"/>
    <w:rsid w:val="001825DE"/>
    <w:rsid w:val="00182610"/>
    <w:rsid w:val="001826A5"/>
    <w:rsid w:val="00182758"/>
    <w:rsid w:val="00182796"/>
    <w:rsid w:val="0018288A"/>
    <w:rsid w:val="001828D2"/>
    <w:rsid w:val="00182A2D"/>
    <w:rsid w:val="00182BA0"/>
    <w:rsid w:val="00182C37"/>
    <w:rsid w:val="00182C5F"/>
    <w:rsid w:val="0018305B"/>
    <w:rsid w:val="001830F4"/>
    <w:rsid w:val="0018313A"/>
    <w:rsid w:val="00183159"/>
    <w:rsid w:val="001831C0"/>
    <w:rsid w:val="0018340D"/>
    <w:rsid w:val="0018346B"/>
    <w:rsid w:val="001834C3"/>
    <w:rsid w:val="0018355E"/>
    <w:rsid w:val="001836B1"/>
    <w:rsid w:val="001839CE"/>
    <w:rsid w:val="00183A07"/>
    <w:rsid w:val="00183A47"/>
    <w:rsid w:val="00183A81"/>
    <w:rsid w:val="00183C85"/>
    <w:rsid w:val="00183E5A"/>
    <w:rsid w:val="00183E86"/>
    <w:rsid w:val="00183EC5"/>
    <w:rsid w:val="00183F3B"/>
    <w:rsid w:val="00184016"/>
    <w:rsid w:val="001841B8"/>
    <w:rsid w:val="001841EA"/>
    <w:rsid w:val="00184204"/>
    <w:rsid w:val="0018438E"/>
    <w:rsid w:val="00184433"/>
    <w:rsid w:val="00184524"/>
    <w:rsid w:val="001845DB"/>
    <w:rsid w:val="00184605"/>
    <w:rsid w:val="0018469A"/>
    <w:rsid w:val="00184AEA"/>
    <w:rsid w:val="00184BFB"/>
    <w:rsid w:val="00185184"/>
    <w:rsid w:val="00185472"/>
    <w:rsid w:val="001854C9"/>
    <w:rsid w:val="001855BB"/>
    <w:rsid w:val="00185ABC"/>
    <w:rsid w:val="00185B70"/>
    <w:rsid w:val="00185E58"/>
    <w:rsid w:val="00185E59"/>
    <w:rsid w:val="00185EED"/>
    <w:rsid w:val="00185EF4"/>
    <w:rsid w:val="00185EF8"/>
    <w:rsid w:val="00185FA3"/>
    <w:rsid w:val="00185FC3"/>
    <w:rsid w:val="0018616B"/>
    <w:rsid w:val="00186173"/>
    <w:rsid w:val="00186405"/>
    <w:rsid w:val="0018640A"/>
    <w:rsid w:val="00186455"/>
    <w:rsid w:val="001864C2"/>
    <w:rsid w:val="0018660E"/>
    <w:rsid w:val="00186705"/>
    <w:rsid w:val="0018681D"/>
    <w:rsid w:val="001868A5"/>
    <w:rsid w:val="001869F7"/>
    <w:rsid w:val="00186A31"/>
    <w:rsid w:val="00186B3D"/>
    <w:rsid w:val="00186C5D"/>
    <w:rsid w:val="00186D2F"/>
    <w:rsid w:val="001870C6"/>
    <w:rsid w:val="00187125"/>
    <w:rsid w:val="001871FE"/>
    <w:rsid w:val="001872AF"/>
    <w:rsid w:val="001873F2"/>
    <w:rsid w:val="00187501"/>
    <w:rsid w:val="00187776"/>
    <w:rsid w:val="001877A9"/>
    <w:rsid w:val="00187828"/>
    <w:rsid w:val="00187876"/>
    <w:rsid w:val="00187C99"/>
    <w:rsid w:val="00187DCF"/>
    <w:rsid w:val="00187E2D"/>
    <w:rsid w:val="00187E97"/>
    <w:rsid w:val="00187F5E"/>
    <w:rsid w:val="00187FEE"/>
    <w:rsid w:val="001901C5"/>
    <w:rsid w:val="0019027C"/>
    <w:rsid w:val="001904C7"/>
    <w:rsid w:val="001904F2"/>
    <w:rsid w:val="00190643"/>
    <w:rsid w:val="0019065E"/>
    <w:rsid w:val="00190747"/>
    <w:rsid w:val="001907A6"/>
    <w:rsid w:val="001907C6"/>
    <w:rsid w:val="00190864"/>
    <w:rsid w:val="00190CFF"/>
    <w:rsid w:val="00190DE6"/>
    <w:rsid w:val="00190DEB"/>
    <w:rsid w:val="00190E92"/>
    <w:rsid w:val="0019110B"/>
    <w:rsid w:val="00191207"/>
    <w:rsid w:val="001912A5"/>
    <w:rsid w:val="00191320"/>
    <w:rsid w:val="001914DC"/>
    <w:rsid w:val="001914DE"/>
    <w:rsid w:val="00191659"/>
    <w:rsid w:val="00191667"/>
    <w:rsid w:val="001916AD"/>
    <w:rsid w:val="0019180D"/>
    <w:rsid w:val="001918BF"/>
    <w:rsid w:val="00191969"/>
    <w:rsid w:val="00191975"/>
    <w:rsid w:val="00191AE5"/>
    <w:rsid w:val="00191BB7"/>
    <w:rsid w:val="00191BD8"/>
    <w:rsid w:val="00191C95"/>
    <w:rsid w:val="00191E4F"/>
    <w:rsid w:val="0019202B"/>
    <w:rsid w:val="00192102"/>
    <w:rsid w:val="00192195"/>
    <w:rsid w:val="00192281"/>
    <w:rsid w:val="00192319"/>
    <w:rsid w:val="0019236D"/>
    <w:rsid w:val="001923F6"/>
    <w:rsid w:val="001924D2"/>
    <w:rsid w:val="00192943"/>
    <w:rsid w:val="0019297C"/>
    <w:rsid w:val="00192A08"/>
    <w:rsid w:val="00192B17"/>
    <w:rsid w:val="00192B58"/>
    <w:rsid w:val="00192C55"/>
    <w:rsid w:val="00192E44"/>
    <w:rsid w:val="00192EA1"/>
    <w:rsid w:val="00192EEC"/>
    <w:rsid w:val="00192FAD"/>
    <w:rsid w:val="00193073"/>
    <w:rsid w:val="00193166"/>
    <w:rsid w:val="00193370"/>
    <w:rsid w:val="00193438"/>
    <w:rsid w:val="00193456"/>
    <w:rsid w:val="001935C1"/>
    <w:rsid w:val="001935D0"/>
    <w:rsid w:val="00193683"/>
    <w:rsid w:val="001936CC"/>
    <w:rsid w:val="001937EE"/>
    <w:rsid w:val="0019387E"/>
    <w:rsid w:val="00193885"/>
    <w:rsid w:val="00193D75"/>
    <w:rsid w:val="00193EC9"/>
    <w:rsid w:val="001940A3"/>
    <w:rsid w:val="001940B8"/>
    <w:rsid w:val="001940DA"/>
    <w:rsid w:val="001940F9"/>
    <w:rsid w:val="001941E5"/>
    <w:rsid w:val="00194210"/>
    <w:rsid w:val="00194433"/>
    <w:rsid w:val="00194509"/>
    <w:rsid w:val="001945A4"/>
    <w:rsid w:val="00194717"/>
    <w:rsid w:val="00194798"/>
    <w:rsid w:val="00194832"/>
    <w:rsid w:val="001948D2"/>
    <w:rsid w:val="00194C06"/>
    <w:rsid w:val="00194DE6"/>
    <w:rsid w:val="00195022"/>
    <w:rsid w:val="001950D7"/>
    <w:rsid w:val="00195146"/>
    <w:rsid w:val="0019514B"/>
    <w:rsid w:val="0019517C"/>
    <w:rsid w:val="001954CB"/>
    <w:rsid w:val="0019568E"/>
    <w:rsid w:val="001957D2"/>
    <w:rsid w:val="00195973"/>
    <w:rsid w:val="00195B7F"/>
    <w:rsid w:val="00195CE2"/>
    <w:rsid w:val="00195D69"/>
    <w:rsid w:val="00195D9A"/>
    <w:rsid w:val="00195E4D"/>
    <w:rsid w:val="00196144"/>
    <w:rsid w:val="00196216"/>
    <w:rsid w:val="001962C2"/>
    <w:rsid w:val="001962CA"/>
    <w:rsid w:val="0019633E"/>
    <w:rsid w:val="00196392"/>
    <w:rsid w:val="00196509"/>
    <w:rsid w:val="0019676D"/>
    <w:rsid w:val="001967F6"/>
    <w:rsid w:val="0019696D"/>
    <w:rsid w:val="001969BE"/>
    <w:rsid w:val="001969FF"/>
    <w:rsid w:val="00196BAD"/>
    <w:rsid w:val="00196BFC"/>
    <w:rsid w:val="00196DB4"/>
    <w:rsid w:val="00196E10"/>
    <w:rsid w:val="00196E28"/>
    <w:rsid w:val="00196E65"/>
    <w:rsid w:val="0019704D"/>
    <w:rsid w:val="00197269"/>
    <w:rsid w:val="001972DB"/>
    <w:rsid w:val="00197383"/>
    <w:rsid w:val="00197615"/>
    <w:rsid w:val="00197758"/>
    <w:rsid w:val="00197849"/>
    <w:rsid w:val="0019789B"/>
    <w:rsid w:val="00197A9F"/>
    <w:rsid w:val="00197B00"/>
    <w:rsid w:val="00197D55"/>
    <w:rsid w:val="00197DF8"/>
    <w:rsid w:val="00197DFB"/>
    <w:rsid w:val="00197F97"/>
    <w:rsid w:val="00197FCC"/>
    <w:rsid w:val="001A0034"/>
    <w:rsid w:val="001A00A4"/>
    <w:rsid w:val="001A0134"/>
    <w:rsid w:val="001A01B9"/>
    <w:rsid w:val="001A0219"/>
    <w:rsid w:val="001A023F"/>
    <w:rsid w:val="001A0271"/>
    <w:rsid w:val="001A058B"/>
    <w:rsid w:val="001A0770"/>
    <w:rsid w:val="001A0814"/>
    <w:rsid w:val="001A082C"/>
    <w:rsid w:val="001A0838"/>
    <w:rsid w:val="001A09CD"/>
    <w:rsid w:val="001A0B5F"/>
    <w:rsid w:val="001A0B7D"/>
    <w:rsid w:val="001A0C2F"/>
    <w:rsid w:val="001A0C9B"/>
    <w:rsid w:val="001A0D0E"/>
    <w:rsid w:val="001A1009"/>
    <w:rsid w:val="001A105B"/>
    <w:rsid w:val="001A10FC"/>
    <w:rsid w:val="001A12C7"/>
    <w:rsid w:val="001A1355"/>
    <w:rsid w:val="001A13F5"/>
    <w:rsid w:val="001A1469"/>
    <w:rsid w:val="001A148C"/>
    <w:rsid w:val="001A14A0"/>
    <w:rsid w:val="001A1658"/>
    <w:rsid w:val="001A16BC"/>
    <w:rsid w:val="001A1747"/>
    <w:rsid w:val="001A1765"/>
    <w:rsid w:val="001A1779"/>
    <w:rsid w:val="001A1822"/>
    <w:rsid w:val="001A1884"/>
    <w:rsid w:val="001A194A"/>
    <w:rsid w:val="001A19AA"/>
    <w:rsid w:val="001A19B2"/>
    <w:rsid w:val="001A1BD5"/>
    <w:rsid w:val="001A1BDD"/>
    <w:rsid w:val="001A1C95"/>
    <w:rsid w:val="001A1EB2"/>
    <w:rsid w:val="001A1F8B"/>
    <w:rsid w:val="001A1FA0"/>
    <w:rsid w:val="001A1FB8"/>
    <w:rsid w:val="001A205B"/>
    <w:rsid w:val="001A210C"/>
    <w:rsid w:val="001A21AE"/>
    <w:rsid w:val="001A2215"/>
    <w:rsid w:val="001A223D"/>
    <w:rsid w:val="001A2342"/>
    <w:rsid w:val="001A241B"/>
    <w:rsid w:val="001A241E"/>
    <w:rsid w:val="001A2463"/>
    <w:rsid w:val="001A248F"/>
    <w:rsid w:val="001A251B"/>
    <w:rsid w:val="001A25E6"/>
    <w:rsid w:val="001A26BB"/>
    <w:rsid w:val="001A272C"/>
    <w:rsid w:val="001A2836"/>
    <w:rsid w:val="001A29A8"/>
    <w:rsid w:val="001A29E5"/>
    <w:rsid w:val="001A2B4B"/>
    <w:rsid w:val="001A2BA7"/>
    <w:rsid w:val="001A2C9A"/>
    <w:rsid w:val="001A2DCF"/>
    <w:rsid w:val="001A2E92"/>
    <w:rsid w:val="001A2EDA"/>
    <w:rsid w:val="001A30C6"/>
    <w:rsid w:val="001A3178"/>
    <w:rsid w:val="001A329C"/>
    <w:rsid w:val="001A3521"/>
    <w:rsid w:val="001A3611"/>
    <w:rsid w:val="001A36F0"/>
    <w:rsid w:val="001A373E"/>
    <w:rsid w:val="001A378C"/>
    <w:rsid w:val="001A37F2"/>
    <w:rsid w:val="001A39EA"/>
    <w:rsid w:val="001A3A44"/>
    <w:rsid w:val="001A3B86"/>
    <w:rsid w:val="001A3CF4"/>
    <w:rsid w:val="001A3F01"/>
    <w:rsid w:val="001A3F27"/>
    <w:rsid w:val="001A3F93"/>
    <w:rsid w:val="001A4078"/>
    <w:rsid w:val="001A4103"/>
    <w:rsid w:val="001A440D"/>
    <w:rsid w:val="001A4458"/>
    <w:rsid w:val="001A4494"/>
    <w:rsid w:val="001A4585"/>
    <w:rsid w:val="001A4682"/>
    <w:rsid w:val="001A46DF"/>
    <w:rsid w:val="001A496A"/>
    <w:rsid w:val="001A4A85"/>
    <w:rsid w:val="001A4B54"/>
    <w:rsid w:val="001A4C3C"/>
    <w:rsid w:val="001A4D96"/>
    <w:rsid w:val="001A4DDC"/>
    <w:rsid w:val="001A4DE8"/>
    <w:rsid w:val="001A4EBC"/>
    <w:rsid w:val="001A4F20"/>
    <w:rsid w:val="001A4FE0"/>
    <w:rsid w:val="001A5167"/>
    <w:rsid w:val="001A5226"/>
    <w:rsid w:val="001A5252"/>
    <w:rsid w:val="001A52DC"/>
    <w:rsid w:val="001A52F1"/>
    <w:rsid w:val="001A5330"/>
    <w:rsid w:val="001A54B4"/>
    <w:rsid w:val="001A5502"/>
    <w:rsid w:val="001A57FF"/>
    <w:rsid w:val="001A5A09"/>
    <w:rsid w:val="001A5B99"/>
    <w:rsid w:val="001A5BB5"/>
    <w:rsid w:val="001A5BC5"/>
    <w:rsid w:val="001A5D3B"/>
    <w:rsid w:val="001A5E27"/>
    <w:rsid w:val="001A5F97"/>
    <w:rsid w:val="001A6086"/>
    <w:rsid w:val="001A611C"/>
    <w:rsid w:val="001A61ED"/>
    <w:rsid w:val="001A623C"/>
    <w:rsid w:val="001A628B"/>
    <w:rsid w:val="001A6300"/>
    <w:rsid w:val="001A631C"/>
    <w:rsid w:val="001A63A0"/>
    <w:rsid w:val="001A640B"/>
    <w:rsid w:val="001A64AB"/>
    <w:rsid w:val="001A672E"/>
    <w:rsid w:val="001A674C"/>
    <w:rsid w:val="001A67EB"/>
    <w:rsid w:val="001A6802"/>
    <w:rsid w:val="001A69F3"/>
    <w:rsid w:val="001A6A1E"/>
    <w:rsid w:val="001A6B3D"/>
    <w:rsid w:val="001A6D2F"/>
    <w:rsid w:val="001A6EEF"/>
    <w:rsid w:val="001A6EF3"/>
    <w:rsid w:val="001A6F68"/>
    <w:rsid w:val="001A6F8F"/>
    <w:rsid w:val="001A714C"/>
    <w:rsid w:val="001A716E"/>
    <w:rsid w:val="001A767F"/>
    <w:rsid w:val="001A7C40"/>
    <w:rsid w:val="001A7C80"/>
    <w:rsid w:val="001A7D04"/>
    <w:rsid w:val="001A7DE5"/>
    <w:rsid w:val="001B016A"/>
    <w:rsid w:val="001B01CA"/>
    <w:rsid w:val="001B0273"/>
    <w:rsid w:val="001B02BA"/>
    <w:rsid w:val="001B036F"/>
    <w:rsid w:val="001B03C7"/>
    <w:rsid w:val="001B0491"/>
    <w:rsid w:val="001B0530"/>
    <w:rsid w:val="001B05DB"/>
    <w:rsid w:val="001B0630"/>
    <w:rsid w:val="001B0830"/>
    <w:rsid w:val="001B08F0"/>
    <w:rsid w:val="001B09FE"/>
    <w:rsid w:val="001B0AD9"/>
    <w:rsid w:val="001B0B9B"/>
    <w:rsid w:val="001B0BFD"/>
    <w:rsid w:val="001B0CBF"/>
    <w:rsid w:val="001B0D21"/>
    <w:rsid w:val="001B0E1B"/>
    <w:rsid w:val="001B0E1F"/>
    <w:rsid w:val="001B0F0B"/>
    <w:rsid w:val="001B119C"/>
    <w:rsid w:val="001B11BA"/>
    <w:rsid w:val="001B11E9"/>
    <w:rsid w:val="001B12C0"/>
    <w:rsid w:val="001B12DA"/>
    <w:rsid w:val="001B1379"/>
    <w:rsid w:val="001B13EF"/>
    <w:rsid w:val="001B1416"/>
    <w:rsid w:val="001B14E5"/>
    <w:rsid w:val="001B1557"/>
    <w:rsid w:val="001B15F2"/>
    <w:rsid w:val="001B16C6"/>
    <w:rsid w:val="001B182A"/>
    <w:rsid w:val="001B1889"/>
    <w:rsid w:val="001B1952"/>
    <w:rsid w:val="001B1981"/>
    <w:rsid w:val="001B1C1B"/>
    <w:rsid w:val="001B1C44"/>
    <w:rsid w:val="001B1D77"/>
    <w:rsid w:val="001B1EF3"/>
    <w:rsid w:val="001B1F9A"/>
    <w:rsid w:val="001B234E"/>
    <w:rsid w:val="001B23AD"/>
    <w:rsid w:val="001B23EB"/>
    <w:rsid w:val="001B2464"/>
    <w:rsid w:val="001B2649"/>
    <w:rsid w:val="001B279F"/>
    <w:rsid w:val="001B2888"/>
    <w:rsid w:val="001B296B"/>
    <w:rsid w:val="001B29EA"/>
    <w:rsid w:val="001B2D14"/>
    <w:rsid w:val="001B2E1C"/>
    <w:rsid w:val="001B2E71"/>
    <w:rsid w:val="001B3051"/>
    <w:rsid w:val="001B315F"/>
    <w:rsid w:val="001B31DE"/>
    <w:rsid w:val="001B3256"/>
    <w:rsid w:val="001B32CE"/>
    <w:rsid w:val="001B32E4"/>
    <w:rsid w:val="001B32ED"/>
    <w:rsid w:val="001B34DB"/>
    <w:rsid w:val="001B354D"/>
    <w:rsid w:val="001B358F"/>
    <w:rsid w:val="001B3599"/>
    <w:rsid w:val="001B37C3"/>
    <w:rsid w:val="001B385C"/>
    <w:rsid w:val="001B3863"/>
    <w:rsid w:val="001B3928"/>
    <w:rsid w:val="001B3960"/>
    <w:rsid w:val="001B399E"/>
    <w:rsid w:val="001B3B13"/>
    <w:rsid w:val="001B3B74"/>
    <w:rsid w:val="001B3D5D"/>
    <w:rsid w:val="001B3EDD"/>
    <w:rsid w:val="001B3F51"/>
    <w:rsid w:val="001B4017"/>
    <w:rsid w:val="001B402A"/>
    <w:rsid w:val="001B40D3"/>
    <w:rsid w:val="001B412B"/>
    <w:rsid w:val="001B42F2"/>
    <w:rsid w:val="001B45F6"/>
    <w:rsid w:val="001B46BA"/>
    <w:rsid w:val="001B46FF"/>
    <w:rsid w:val="001B471A"/>
    <w:rsid w:val="001B4759"/>
    <w:rsid w:val="001B479A"/>
    <w:rsid w:val="001B47B3"/>
    <w:rsid w:val="001B485B"/>
    <w:rsid w:val="001B4A9E"/>
    <w:rsid w:val="001B4AAC"/>
    <w:rsid w:val="001B4D4B"/>
    <w:rsid w:val="001B4EFB"/>
    <w:rsid w:val="001B4FA3"/>
    <w:rsid w:val="001B504D"/>
    <w:rsid w:val="001B5067"/>
    <w:rsid w:val="001B517A"/>
    <w:rsid w:val="001B51B2"/>
    <w:rsid w:val="001B520C"/>
    <w:rsid w:val="001B52C6"/>
    <w:rsid w:val="001B52E8"/>
    <w:rsid w:val="001B5328"/>
    <w:rsid w:val="001B53AF"/>
    <w:rsid w:val="001B5472"/>
    <w:rsid w:val="001B5499"/>
    <w:rsid w:val="001B565B"/>
    <w:rsid w:val="001B56D1"/>
    <w:rsid w:val="001B59CF"/>
    <w:rsid w:val="001B5A6D"/>
    <w:rsid w:val="001B5A98"/>
    <w:rsid w:val="001B5AA3"/>
    <w:rsid w:val="001B5AC3"/>
    <w:rsid w:val="001B5B09"/>
    <w:rsid w:val="001B5BE4"/>
    <w:rsid w:val="001B5D49"/>
    <w:rsid w:val="001B5D7D"/>
    <w:rsid w:val="001B5FC9"/>
    <w:rsid w:val="001B5FCA"/>
    <w:rsid w:val="001B6132"/>
    <w:rsid w:val="001B61B0"/>
    <w:rsid w:val="001B6396"/>
    <w:rsid w:val="001B640D"/>
    <w:rsid w:val="001B645D"/>
    <w:rsid w:val="001B6705"/>
    <w:rsid w:val="001B671D"/>
    <w:rsid w:val="001B68C1"/>
    <w:rsid w:val="001B6A32"/>
    <w:rsid w:val="001B6A55"/>
    <w:rsid w:val="001B6B3F"/>
    <w:rsid w:val="001B6BD4"/>
    <w:rsid w:val="001B6BFE"/>
    <w:rsid w:val="001B6C6E"/>
    <w:rsid w:val="001B6DDD"/>
    <w:rsid w:val="001B6E3F"/>
    <w:rsid w:val="001B6F6D"/>
    <w:rsid w:val="001B7023"/>
    <w:rsid w:val="001B70C1"/>
    <w:rsid w:val="001B7129"/>
    <w:rsid w:val="001B7148"/>
    <w:rsid w:val="001B7182"/>
    <w:rsid w:val="001B7226"/>
    <w:rsid w:val="001B7274"/>
    <w:rsid w:val="001B7347"/>
    <w:rsid w:val="001B7471"/>
    <w:rsid w:val="001B74DE"/>
    <w:rsid w:val="001B765A"/>
    <w:rsid w:val="001B7676"/>
    <w:rsid w:val="001B7846"/>
    <w:rsid w:val="001B7954"/>
    <w:rsid w:val="001B7ACB"/>
    <w:rsid w:val="001B7B60"/>
    <w:rsid w:val="001B7BDA"/>
    <w:rsid w:val="001B7CEC"/>
    <w:rsid w:val="001B7D89"/>
    <w:rsid w:val="001B7F67"/>
    <w:rsid w:val="001B7F93"/>
    <w:rsid w:val="001C0064"/>
    <w:rsid w:val="001C00FC"/>
    <w:rsid w:val="001C0180"/>
    <w:rsid w:val="001C02EF"/>
    <w:rsid w:val="001C07BD"/>
    <w:rsid w:val="001C089F"/>
    <w:rsid w:val="001C0A82"/>
    <w:rsid w:val="001C0A89"/>
    <w:rsid w:val="001C0AFB"/>
    <w:rsid w:val="001C0B54"/>
    <w:rsid w:val="001C0CC6"/>
    <w:rsid w:val="001C0EA9"/>
    <w:rsid w:val="001C0EDD"/>
    <w:rsid w:val="001C0F60"/>
    <w:rsid w:val="001C0FCB"/>
    <w:rsid w:val="001C100F"/>
    <w:rsid w:val="001C104A"/>
    <w:rsid w:val="001C1308"/>
    <w:rsid w:val="001C142C"/>
    <w:rsid w:val="001C1687"/>
    <w:rsid w:val="001C1863"/>
    <w:rsid w:val="001C188C"/>
    <w:rsid w:val="001C18FC"/>
    <w:rsid w:val="001C1D5E"/>
    <w:rsid w:val="001C2071"/>
    <w:rsid w:val="001C2181"/>
    <w:rsid w:val="001C2182"/>
    <w:rsid w:val="001C22FA"/>
    <w:rsid w:val="001C24AC"/>
    <w:rsid w:val="001C24F2"/>
    <w:rsid w:val="001C2944"/>
    <w:rsid w:val="001C29F3"/>
    <w:rsid w:val="001C2BFD"/>
    <w:rsid w:val="001C2D46"/>
    <w:rsid w:val="001C2D6F"/>
    <w:rsid w:val="001C2DAB"/>
    <w:rsid w:val="001C2EC5"/>
    <w:rsid w:val="001C303D"/>
    <w:rsid w:val="001C30F9"/>
    <w:rsid w:val="001C319B"/>
    <w:rsid w:val="001C32D8"/>
    <w:rsid w:val="001C3346"/>
    <w:rsid w:val="001C33AC"/>
    <w:rsid w:val="001C344E"/>
    <w:rsid w:val="001C350D"/>
    <w:rsid w:val="001C3561"/>
    <w:rsid w:val="001C36C4"/>
    <w:rsid w:val="001C384C"/>
    <w:rsid w:val="001C3995"/>
    <w:rsid w:val="001C3A78"/>
    <w:rsid w:val="001C3BC3"/>
    <w:rsid w:val="001C3D9A"/>
    <w:rsid w:val="001C3F68"/>
    <w:rsid w:val="001C40AF"/>
    <w:rsid w:val="001C40ED"/>
    <w:rsid w:val="001C4135"/>
    <w:rsid w:val="001C4462"/>
    <w:rsid w:val="001C4492"/>
    <w:rsid w:val="001C46BD"/>
    <w:rsid w:val="001C479E"/>
    <w:rsid w:val="001C495A"/>
    <w:rsid w:val="001C4965"/>
    <w:rsid w:val="001C49A9"/>
    <w:rsid w:val="001C4BD4"/>
    <w:rsid w:val="001C4D36"/>
    <w:rsid w:val="001C4D99"/>
    <w:rsid w:val="001C4E0C"/>
    <w:rsid w:val="001C4E44"/>
    <w:rsid w:val="001C5533"/>
    <w:rsid w:val="001C5638"/>
    <w:rsid w:val="001C56FC"/>
    <w:rsid w:val="001C5782"/>
    <w:rsid w:val="001C5DB2"/>
    <w:rsid w:val="001C5DD1"/>
    <w:rsid w:val="001C5FD4"/>
    <w:rsid w:val="001C6168"/>
    <w:rsid w:val="001C62AC"/>
    <w:rsid w:val="001C62B1"/>
    <w:rsid w:val="001C634A"/>
    <w:rsid w:val="001C63C9"/>
    <w:rsid w:val="001C6571"/>
    <w:rsid w:val="001C687D"/>
    <w:rsid w:val="001C697F"/>
    <w:rsid w:val="001C6A97"/>
    <w:rsid w:val="001C6B0E"/>
    <w:rsid w:val="001C6DC4"/>
    <w:rsid w:val="001C6F4F"/>
    <w:rsid w:val="001C700F"/>
    <w:rsid w:val="001C719C"/>
    <w:rsid w:val="001C73B7"/>
    <w:rsid w:val="001C73E7"/>
    <w:rsid w:val="001C769D"/>
    <w:rsid w:val="001C76D1"/>
    <w:rsid w:val="001C7936"/>
    <w:rsid w:val="001C7957"/>
    <w:rsid w:val="001C79CF"/>
    <w:rsid w:val="001C7B79"/>
    <w:rsid w:val="001C7E31"/>
    <w:rsid w:val="001C7F70"/>
    <w:rsid w:val="001D0089"/>
    <w:rsid w:val="001D0171"/>
    <w:rsid w:val="001D036A"/>
    <w:rsid w:val="001D04BD"/>
    <w:rsid w:val="001D055A"/>
    <w:rsid w:val="001D08A7"/>
    <w:rsid w:val="001D08B3"/>
    <w:rsid w:val="001D0913"/>
    <w:rsid w:val="001D091C"/>
    <w:rsid w:val="001D09EF"/>
    <w:rsid w:val="001D0AF1"/>
    <w:rsid w:val="001D0B77"/>
    <w:rsid w:val="001D0FFE"/>
    <w:rsid w:val="001D109C"/>
    <w:rsid w:val="001D111B"/>
    <w:rsid w:val="001D116F"/>
    <w:rsid w:val="001D11AE"/>
    <w:rsid w:val="001D1263"/>
    <w:rsid w:val="001D130A"/>
    <w:rsid w:val="001D1369"/>
    <w:rsid w:val="001D139C"/>
    <w:rsid w:val="001D14FA"/>
    <w:rsid w:val="001D1662"/>
    <w:rsid w:val="001D16DF"/>
    <w:rsid w:val="001D183E"/>
    <w:rsid w:val="001D1948"/>
    <w:rsid w:val="001D1B12"/>
    <w:rsid w:val="001D1CF4"/>
    <w:rsid w:val="001D1D17"/>
    <w:rsid w:val="001D1DDF"/>
    <w:rsid w:val="001D1F9C"/>
    <w:rsid w:val="001D2041"/>
    <w:rsid w:val="001D2199"/>
    <w:rsid w:val="001D23C3"/>
    <w:rsid w:val="001D2440"/>
    <w:rsid w:val="001D24E4"/>
    <w:rsid w:val="001D25D8"/>
    <w:rsid w:val="001D260F"/>
    <w:rsid w:val="001D269F"/>
    <w:rsid w:val="001D2919"/>
    <w:rsid w:val="001D2972"/>
    <w:rsid w:val="001D29AA"/>
    <w:rsid w:val="001D29DF"/>
    <w:rsid w:val="001D2A17"/>
    <w:rsid w:val="001D2A49"/>
    <w:rsid w:val="001D2ADB"/>
    <w:rsid w:val="001D2B03"/>
    <w:rsid w:val="001D2C02"/>
    <w:rsid w:val="001D2CC9"/>
    <w:rsid w:val="001D2D19"/>
    <w:rsid w:val="001D2DD4"/>
    <w:rsid w:val="001D2E24"/>
    <w:rsid w:val="001D2E3D"/>
    <w:rsid w:val="001D3001"/>
    <w:rsid w:val="001D310C"/>
    <w:rsid w:val="001D310D"/>
    <w:rsid w:val="001D332F"/>
    <w:rsid w:val="001D3356"/>
    <w:rsid w:val="001D3665"/>
    <w:rsid w:val="001D366D"/>
    <w:rsid w:val="001D3788"/>
    <w:rsid w:val="001D387D"/>
    <w:rsid w:val="001D39AF"/>
    <w:rsid w:val="001D3AE5"/>
    <w:rsid w:val="001D3B24"/>
    <w:rsid w:val="001D3B88"/>
    <w:rsid w:val="001D3CC1"/>
    <w:rsid w:val="001D404B"/>
    <w:rsid w:val="001D4086"/>
    <w:rsid w:val="001D4091"/>
    <w:rsid w:val="001D40EF"/>
    <w:rsid w:val="001D41E4"/>
    <w:rsid w:val="001D42C3"/>
    <w:rsid w:val="001D4334"/>
    <w:rsid w:val="001D4603"/>
    <w:rsid w:val="001D4743"/>
    <w:rsid w:val="001D47B3"/>
    <w:rsid w:val="001D489E"/>
    <w:rsid w:val="001D493F"/>
    <w:rsid w:val="001D4B96"/>
    <w:rsid w:val="001D4BA7"/>
    <w:rsid w:val="001D4CDA"/>
    <w:rsid w:val="001D4D22"/>
    <w:rsid w:val="001D4EA1"/>
    <w:rsid w:val="001D4EF0"/>
    <w:rsid w:val="001D4F13"/>
    <w:rsid w:val="001D514E"/>
    <w:rsid w:val="001D51A9"/>
    <w:rsid w:val="001D536D"/>
    <w:rsid w:val="001D5373"/>
    <w:rsid w:val="001D53C6"/>
    <w:rsid w:val="001D557D"/>
    <w:rsid w:val="001D56AB"/>
    <w:rsid w:val="001D5721"/>
    <w:rsid w:val="001D5743"/>
    <w:rsid w:val="001D5991"/>
    <w:rsid w:val="001D5A4D"/>
    <w:rsid w:val="001D5A94"/>
    <w:rsid w:val="001D5AFA"/>
    <w:rsid w:val="001D5B48"/>
    <w:rsid w:val="001D5BF1"/>
    <w:rsid w:val="001D5D9B"/>
    <w:rsid w:val="001D5E28"/>
    <w:rsid w:val="001D5F43"/>
    <w:rsid w:val="001D610A"/>
    <w:rsid w:val="001D6337"/>
    <w:rsid w:val="001D652B"/>
    <w:rsid w:val="001D65EC"/>
    <w:rsid w:val="001D6614"/>
    <w:rsid w:val="001D67DC"/>
    <w:rsid w:val="001D694D"/>
    <w:rsid w:val="001D69D5"/>
    <w:rsid w:val="001D6B89"/>
    <w:rsid w:val="001D6D61"/>
    <w:rsid w:val="001D6D97"/>
    <w:rsid w:val="001D6DBB"/>
    <w:rsid w:val="001D6DD4"/>
    <w:rsid w:val="001D6EAF"/>
    <w:rsid w:val="001D7081"/>
    <w:rsid w:val="001D7170"/>
    <w:rsid w:val="001D71DC"/>
    <w:rsid w:val="001D72DF"/>
    <w:rsid w:val="001D7530"/>
    <w:rsid w:val="001D75D4"/>
    <w:rsid w:val="001D7623"/>
    <w:rsid w:val="001D7656"/>
    <w:rsid w:val="001D7775"/>
    <w:rsid w:val="001D77EB"/>
    <w:rsid w:val="001D7930"/>
    <w:rsid w:val="001D7AF1"/>
    <w:rsid w:val="001D7B05"/>
    <w:rsid w:val="001D7C81"/>
    <w:rsid w:val="001D7CE6"/>
    <w:rsid w:val="001D7CE8"/>
    <w:rsid w:val="001D7D75"/>
    <w:rsid w:val="001D7DAC"/>
    <w:rsid w:val="001D7DD2"/>
    <w:rsid w:val="001D7E37"/>
    <w:rsid w:val="001D7E3A"/>
    <w:rsid w:val="001D7E5C"/>
    <w:rsid w:val="001D7EA9"/>
    <w:rsid w:val="001E0041"/>
    <w:rsid w:val="001E018C"/>
    <w:rsid w:val="001E0239"/>
    <w:rsid w:val="001E02C4"/>
    <w:rsid w:val="001E03FB"/>
    <w:rsid w:val="001E046D"/>
    <w:rsid w:val="001E04A1"/>
    <w:rsid w:val="001E050A"/>
    <w:rsid w:val="001E0613"/>
    <w:rsid w:val="001E064C"/>
    <w:rsid w:val="001E06D5"/>
    <w:rsid w:val="001E0738"/>
    <w:rsid w:val="001E078F"/>
    <w:rsid w:val="001E0819"/>
    <w:rsid w:val="001E0822"/>
    <w:rsid w:val="001E0836"/>
    <w:rsid w:val="001E08F1"/>
    <w:rsid w:val="001E08F6"/>
    <w:rsid w:val="001E0915"/>
    <w:rsid w:val="001E0916"/>
    <w:rsid w:val="001E099C"/>
    <w:rsid w:val="001E0A1C"/>
    <w:rsid w:val="001E0BDE"/>
    <w:rsid w:val="001E0CF0"/>
    <w:rsid w:val="001E0DA0"/>
    <w:rsid w:val="001E0DEF"/>
    <w:rsid w:val="001E0E29"/>
    <w:rsid w:val="001E0EFA"/>
    <w:rsid w:val="001E1019"/>
    <w:rsid w:val="001E105B"/>
    <w:rsid w:val="001E1096"/>
    <w:rsid w:val="001E10B7"/>
    <w:rsid w:val="001E10DE"/>
    <w:rsid w:val="001E1120"/>
    <w:rsid w:val="001E12B7"/>
    <w:rsid w:val="001E12D5"/>
    <w:rsid w:val="001E1555"/>
    <w:rsid w:val="001E1812"/>
    <w:rsid w:val="001E1829"/>
    <w:rsid w:val="001E182E"/>
    <w:rsid w:val="001E1A8D"/>
    <w:rsid w:val="001E1A95"/>
    <w:rsid w:val="001E1B57"/>
    <w:rsid w:val="001E1C30"/>
    <w:rsid w:val="001E1CF7"/>
    <w:rsid w:val="001E1D3D"/>
    <w:rsid w:val="001E2089"/>
    <w:rsid w:val="001E219D"/>
    <w:rsid w:val="001E22D8"/>
    <w:rsid w:val="001E26E7"/>
    <w:rsid w:val="001E2719"/>
    <w:rsid w:val="001E2722"/>
    <w:rsid w:val="001E280B"/>
    <w:rsid w:val="001E286E"/>
    <w:rsid w:val="001E2AA6"/>
    <w:rsid w:val="001E2B72"/>
    <w:rsid w:val="001E2B95"/>
    <w:rsid w:val="001E2BDD"/>
    <w:rsid w:val="001E2C7B"/>
    <w:rsid w:val="001E2E48"/>
    <w:rsid w:val="001E31A2"/>
    <w:rsid w:val="001E31F7"/>
    <w:rsid w:val="001E3232"/>
    <w:rsid w:val="001E330C"/>
    <w:rsid w:val="001E3339"/>
    <w:rsid w:val="001E3353"/>
    <w:rsid w:val="001E34F4"/>
    <w:rsid w:val="001E352D"/>
    <w:rsid w:val="001E360A"/>
    <w:rsid w:val="001E3656"/>
    <w:rsid w:val="001E392E"/>
    <w:rsid w:val="001E3A88"/>
    <w:rsid w:val="001E3AA6"/>
    <w:rsid w:val="001E3C9F"/>
    <w:rsid w:val="001E3D55"/>
    <w:rsid w:val="001E3F9D"/>
    <w:rsid w:val="001E42CA"/>
    <w:rsid w:val="001E46D9"/>
    <w:rsid w:val="001E4857"/>
    <w:rsid w:val="001E490B"/>
    <w:rsid w:val="001E49B9"/>
    <w:rsid w:val="001E4C7E"/>
    <w:rsid w:val="001E4CD0"/>
    <w:rsid w:val="001E4DD9"/>
    <w:rsid w:val="001E4ECB"/>
    <w:rsid w:val="001E507B"/>
    <w:rsid w:val="001E5216"/>
    <w:rsid w:val="001E5226"/>
    <w:rsid w:val="001E5287"/>
    <w:rsid w:val="001E532F"/>
    <w:rsid w:val="001E543F"/>
    <w:rsid w:val="001E54F3"/>
    <w:rsid w:val="001E5575"/>
    <w:rsid w:val="001E5781"/>
    <w:rsid w:val="001E5835"/>
    <w:rsid w:val="001E58BC"/>
    <w:rsid w:val="001E58D7"/>
    <w:rsid w:val="001E5B0B"/>
    <w:rsid w:val="001E5C0C"/>
    <w:rsid w:val="001E5C88"/>
    <w:rsid w:val="001E5DD7"/>
    <w:rsid w:val="001E5E9E"/>
    <w:rsid w:val="001E5EA4"/>
    <w:rsid w:val="001E5F05"/>
    <w:rsid w:val="001E62D4"/>
    <w:rsid w:val="001E62F8"/>
    <w:rsid w:val="001E6409"/>
    <w:rsid w:val="001E654A"/>
    <w:rsid w:val="001E6555"/>
    <w:rsid w:val="001E6558"/>
    <w:rsid w:val="001E65D4"/>
    <w:rsid w:val="001E65E4"/>
    <w:rsid w:val="001E65EA"/>
    <w:rsid w:val="001E66C7"/>
    <w:rsid w:val="001E686A"/>
    <w:rsid w:val="001E6A7A"/>
    <w:rsid w:val="001E6B15"/>
    <w:rsid w:val="001E6B19"/>
    <w:rsid w:val="001E6C58"/>
    <w:rsid w:val="001E6D13"/>
    <w:rsid w:val="001E6D5B"/>
    <w:rsid w:val="001E6DC7"/>
    <w:rsid w:val="001E6DD0"/>
    <w:rsid w:val="001E6EFE"/>
    <w:rsid w:val="001E6FD8"/>
    <w:rsid w:val="001E71B5"/>
    <w:rsid w:val="001E7501"/>
    <w:rsid w:val="001E7704"/>
    <w:rsid w:val="001E785F"/>
    <w:rsid w:val="001E7960"/>
    <w:rsid w:val="001E7A48"/>
    <w:rsid w:val="001E7B06"/>
    <w:rsid w:val="001E7D25"/>
    <w:rsid w:val="001F015F"/>
    <w:rsid w:val="001F026A"/>
    <w:rsid w:val="001F03E8"/>
    <w:rsid w:val="001F04B2"/>
    <w:rsid w:val="001F05FF"/>
    <w:rsid w:val="001F062A"/>
    <w:rsid w:val="001F06FC"/>
    <w:rsid w:val="001F0973"/>
    <w:rsid w:val="001F09A9"/>
    <w:rsid w:val="001F0C08"/>
    <w:rsid w:val="001F0C7E"/>
    <w:rsid w:val="001F0CF5"/>
    <w:rsid w:val="001F0E62"/>
    <w:rsid w:val="001F0F7B"/>
    <w:rsid w:val="001F1059"/>
    <w:rsid w:val="001F10E2"/>
    <w:rsid w:val="001F124E"/>
    <w:rsid w:val="001F1359"/>
    <w:rsid w:val="001F1431"/>
    <w:rsid w:val="001F14C0"/>
    <w:rsid w:val="001F15E0"/>
    <w:rsid w:val="001F16E1"/>
    <w:rsid w:val="001F1799"/>
    <w:rsid w:val="001F17A5"/>
    <w:rsid w:val="001F18AF"/>
    <w:rsid w:val="001F19E6"/>
    <w:rsid w:val="001F1A1B"/>
    <w:rsid w:val="001F1A88"/>
    <w:rsid w:val="001F1AE2"/>
    <w:rsid w:val="001F1AF1"/>
    <w:rsid w:val="001F1C62"/>
    <w:rsid w:val="001F1D32"/>
    <w:rsid w:val="001F1EBE"/>
    <w:rsid w:val="001F20C0"/>
    <w:rsid w:val="001F20F6"/>
    <w:rsid w:val="001F211D"/>
    <w:rsid w:val="001F22BC"/>
    <w:rsid w:val="001F2311"/>
    <w:rsid w:val="001F2338"/>
    <w:rsid w:val="001F2380"/>
    <w:rsid w:val="001F240E"/>
    <w:rsid w:val="001F26C5"/>
    <w:rsid w:val="001F273C"/>
    <w:rsid w:val="001F27B8"/>
    <w:rsid w:val="001F2815"/>
    <w:rsid w:val="001F2847"/>
    <w:rsid w:val="001F28F8"/>
    <w:rsid w:val="001F2952"/>
    <w:rsid w:val="001F296A"/>
    <w:rsid w:val="001F2A35"/>
    <w:rsid w:val="001F2C66"/>
    <w:rsid w:val="001F2CF3"/>
    <w:rsid w:val="001F2D4B"/>
    <w:rsid w:val="001F2FCF"/>
    <w:rsid w:val="001F3073"/>
    <w:rsid w:val="001F30F1"/>
    <w:rsid w:val="001F312A"/>
    <w:rsid w:val="001F3181"/>
    <w:rsid w:val="001F3210"/>
    <w:rsid w:val="001F328C"/>
    <w:rsid w:val="001F329C"/>
    <w:rsid w:val="001F33CB"/>
    <w:rsid w:val="001F3473"/>
    <w:rsid w:val="001F349F"/>
    <w:rsid w:val="001F3649"/>
    <w:rsid w:val="001F3760"/>
    <w:rsid w:val="001F37CE"/>
    <w:rsid w:val="001F39F9"/>
    <w:rsid w:val="001F3D1B"/>
    <w:rsid w:val="001F3D99"/>
    <w:rsid w:val="001F3DB0"/>
    <w:rsid w:val="001F4019"/>
    <w:rsid w:val="001F4246"/>
    <w:rsid w:val="001F42FB"/>
    <w:rsid w:val="001F4366"/>
    <w:rsid w:val="001F4543"/>
    <w:rsid w:val="001F461C"/>
    <w:rsid w:val="001F49EC"/>
    <w:rsid w:val="001F4A77"/>
    <w:rsid w:val="001F4DC4"/>
    <w:rsid w:val="001F4E13"/>
    <w:rsid w:val="001F4F1C"/>
    <w:rsid w:val="001F4FF3"/>
    <w:rsid w:val="001F5025"/>
    <w:rsid w:val="001F503E"/>
    <w:rsid w:val="001F515C"/>
    <w:rsid w:val="001F517C"/>
    <w:rsid w:val="001F5184"/>
    <w:rsid w:val="001F52D4"/>
    <w:rsid w:val="001F5409"/>
    <w:rsid w:val="001F5557"/>
    <w:rsid w:val="001F55D0"/>
    <w:rsid w:val="001F573D"/>
    <w:rsid w:val="001F5ADA"/>
    <w:rsid w:val="001F5AE4"/>
    <w:rsid w:val="001F5DE3"/>
    <w:rsid w:val="001F5E14"/>
    <w:rsid w:val="001F5F54"/>
    <w:rsid w:val="001F60E0"/>
    <w:rsid w:val="001F611B"/>
    <w:rsid w:val="001F617C"/>
    <w:rsid w:val="001F61E6"/>
    <w:rsid w:val="001F6254"/>
    <w:rsid w:val="001F6402"/>
    <w:rsid w:val="001F6406"/>
    <w:rsid w:val="001F644C"/>
    <w:rsid w:val="001F64FF"/>
    <w:rsid w:val="001F6539"/>
    <w:rsid w:val="001F6556"/>
    <w:rsid w:val="001F663D"/>
    <w:rsid w:val="001F67D4"/>
    <w:rsid w:val="001F6829"/>
    <w:rsid w:val="001F6883"/>
    <w:rsid w:val="001F68C6"/>
    <w:rsid w:val="001F6C06"/>
    <w:rsid w:val="001F6DB9"/>
    <w:rsid w:val="001F6E42"/>
    <w:rsid w:val="001F6F45"/>
    <w:rsid w:val="001F6FBB"/>
    <w:rsid w:val="001F6FEF"/>
    <w:rsid w:val="001F71A0"/>
    <w:rsid w:val="001F7240"/>
    <w:rsid w:val="001F743E"/>
    <w:rsid w:val="001F74AC"/>
    <w:rsid w:val="001F74AD"/>
    <w:rsid w:val="001F763E"/>
    <w:rsid w:val="001F76A6"/>
    <w:rsid w:val="001F77D3"/>
    <w:rsid w:val="001F7898"/>
    <w:rsid w:val="001F78FC"/>
    <w:rsid w:val="001F7911"/>
    <w:rsid w:val="001F7915"/>
    <w:rsid w:val="001F79B7"/>
    <w:rsid w:val="001F7A72"/>
    <w:rsid w:val="001F7AB5"/>
    <w:rsid w:val="001F7B00"/>
    <w:rsid w:val="001F7DC7"/>
    <w:rsid w:val="001F7FB5"/>
    <w:rsid w:val="001F7FDD"/>
    <w:rsid w:val="001F7FE5"/>
    <w:rsid w:val="002001FF"/>
    <w:rsid w:val="00200656"/>
    <w:rsid w:val="002006D4"/>
    <w:rsid w:val="00200783"/>
    <w:rsid w:val="002009BB"/>
    <w:rsid w:val="00200B86"/>
    <w:rsid w:val="00200C78"/>
    <w:rsid w:val="00200CB9"/>
    <w:rsid w:val="00200D4D"/>
    <w:rsid w:val="00200EA4"/>
    <w:rsid w:val="00200F6E"/>
    <w:rsid w:val="00201002"/>
    <w:rsid w:val="00201100"/>
    <w:rsid w:val="002015C1"/>
    <w:rsid w:val="00201716"/>
    <w:rsid w:val="00201B90"/>
    <w:rsid w:val="00201DC0"/>
    <w:rsid w:val="00201E67"/>
    <w:rsid w:val="00201FBE"/>
    <w:rsid w:val="0020202C"/>
    <w:rsid w:val="002022B5"/>
    <w:rsid w:val="002022D8"/>
    <w:rsid w:val="0020230C"/>
    <w:rsid w:val="00202484"/>
    <w:rsid w:val="00202722"/>
    <w:rsid w:val="002029CB"/>
    <w:rsid w:val="002029EF"/>
    <w:rsid w:val="00202A7F"/>
    <w:rsid w:val="00202B4F"/>
    <w:rsid w:val="00202C26"/>
    <w:rsid w:val="00202D6A"/>
    <w:rsid w:val="00202DBA"/>
    <w:rsid w:val="00202E80"/>
    <w:rsid w:val="00202F2A"/>
    <w:rsid w:val="00202F64"/>
    <w:rsid w:val="00203080"/>
    <w:rsid w:val="00203215"/>
    <w:rsid w:val="00203290"/>
    <w:rsid w:val="002035D6"/>
    <w:rsid w:val="0020362E"/>
    <w:rsid w:val="00203775"/>
    <w:rsid w:val="002038CB"/>
    <w:rsid w:val="00203B2D"/>
    <w:rsid w:val="00203B5B"/>
    <w:rsid w:val="00203C1C"/>
    <w:rsid w:val="00203C79"/>
    <w:rsid w:val="00203DE5"/>
    <w:rsid w:val="00203F71"/>
    <w:rsid w:val="002043C4"/>
    <w:rsid w:val="00204409"/>
    <w:rsid w:val="002046AE"/>
    <w:rsid w:val="0020483C"/>
    <w:rsid w:val="002048D6"/>
    <w:rsid w:val="00204957"/>
    <w:rsid w:val="00204ABE"/>
    <w:rsid w:val="00204BB9"/>
    <w:rsid w:val="00204CCB"/>
    <w:rsid w:val="00204DFC"/>
    <w:rsid w:val="00204E1D"/>
    <w:rsid w:val="00204F87"/>
    <w:rsid w:val="00204F8E"/>
    <w:rsid w:val="002050BC"/>
    <w:rsid w:val="002050D2"/>
    <w:rsid w:val="00205122"/>
    <w:rsid w:val="002051AC"/>
    <w:rsid w:val="002052A1"/>
    <w:rsid w:val="002052A6"/>
    <w:rsid w:val="002054A7"/>
    <w:rsid w:val="002054BE"/>
    <w:rsid w:val="002054D8"/>
    <w:rsid w:val="00205553"/>
    <w:rsid w:val="002055A7"/>
    <w:rsid w:val="002056F0"/>
    <w:rsid w:val="00205923"/>
    <w:rsid w:val="00205B35"/>
    <w:rsid w:val="00205B75"/>
    <w:rsid w:val="00205B93"/>
    <w:rsid w:val="00205C00"/>
    <w:rsid w:val="00205C54"/>
    <w:rsid w:val="00205C6E"/>
    <w:rsid w:val="00205CA7"/>
    <w:rsid w:val="00205E1D"/>
    <w:rsid w:val="00205F06"/>
    <w:rsid w:val="00205F37"/>
    <w:rsid w:val="00205F89"/>
    <w:rsid w:val="0020616A"/>
    <w:rsid w:val="0020616C"/>
    <w:rsid w:val="002062CF"/>
    <w:rsid w:val="002062F2"/>
    <w:rsid w:val="002063EF"/>
    <w:rsid w:val="00206472"/>
    <w:rsid w:val="002064F3"/>
    <w:rsid w:val="00206610"/>
    <w:rsid w:val="00206621"/>
    <w:rsid w:val="00206785"/>
    <w:rsid w:val="002067FE"/>
    <w:rsid w:val="0020692D"/>
    <w:rsid w:val="00206969"/>
    <w:rsid w:val="00206B78"/>
    <w:rsid w:val="00206BB2"/>
    <w:rsid w:val="00207019"/>
    <w:rsid w:val="0020701C"/>
    <w:rsid w:val="002070C7"/>
    <w:rsid w:val="00207308"/>
    <w:rsid w:val="002073CC"/>
    <w:rsid w:val="0020745E"/>
    <w:rsid w:val="002074CA"/>
    <w:rsid w:val="00207737"/>
    <w:rsid w:val="002079D4"/>
    <w:rsid w:val="00207A9A"/>
    <w:rsid w:val="00207AE5"/>
    <w:rsid w:val="00207CEE"/>
    <w:rsid w:val="00207D6C"/>
    <w:rsid w:val="00207EB6"/>
    <w:rsid w:val="00207F2D"/>
    <w:rsid w:val="00207F32"/>
    <w:rsid w:val="0021002D"/>
    <w:rsid w:val="00210135"/>
    <w:rsid w:val="002101DA"/>
    <w:rsid w:val="002102D9"/>
    <w:rsid w:val="002102E9"/>
    <w:rsid w:val="002103C3"/>
    <w:rsid w:val="00210482"/>
    <w:rsid w:val="00210519"/>
    <w:rsid w:val="0021070A"/>
    <w:rsid w:val="002107DC"/>
    <w:rsid w:val="002107FF"/>
    <w:rsid w:val="002109F1"/>
    <w:rsid w:val="00210A44"/>
    <w:rsid w:val="00210DE3"/>
    <w:rsid w:val="00210FE0"/>
    <w:rsid w:val="00211501"/>
    <w:rsid w:val="0021152D"/>
    <w:rsid w:val="0021175C"/>
    <w:rsid w:val="00211770"/>
    <w:rsid w:val="00211942"/>
    <w:rsid w:val="002119A9"/>
    <w:rsid w:val="002119E8"/>
    <w:rsid w:val="00211CC3"/>
    <w:rsid w:val="00211DE0"/>
    <w:rsid w:val="00211E1F"/>
    <w:rsid w:val="00211F1C"/>
    <w:rsid w:val="0021201C"/>
    <w:rsid w:val="002120DD"/>
    <w:rsid w:val="002121A9"/>
    <w:rsid w:val="002123DB"/>
    <w:rsid w:val="00212610"/>
    <w:rsid w:val="002126B0"/>
    <w:rsid w:val="002126E3"/>
    <w:rsid w:val="00212700"/>
    <w:rsid w:val="00212761"/>
    <w:rsid w:val="002127FB"/>
    <w:rsid w:val="00212BE9"/>
    <w:rsid w:val="00212DB0"/>
    <w:rsid w:val="00212E39"/>
    <w:rsid w:val="00212F1A"/>
    <w:rsid w:val="00212F32"/>
    <w:rsid w:val="00212FA3"/>
    <w:rsid w:val="00212FE2"/>
    <w:rsid w:val="00213120"/>
    <w:rsid w:val="002133B6"/>
    <w:rsid w:val="002133C9"/>
    <w:rsid w:val="002133DB"/>
    <w:rsid w:val="002133E4"/>
    <w:rsid w:val="00213631"/>
    <w:rsid w:val="00213796"/>
    <w:rsid w:val="00213AD3"/>
    <w:rsid w:val="00213B66"/>
    <w:rsid w:val="00213CB0"/>
    <w:rsid w:val="00213F7D"/>
    <w:rsid w:val="00213F8F"/>
    <w:rsid w:val="00214116"/>
    <w:rsid w:val="00214120"/>
    <w:rsid w:val="002141D9"/>
    <w:rsid w:val="00214224"/>
    <w:rsid w:val="0021425C"/>
    <w:rsid w:val="002146F2"/>
    <w:rsid w:val="00214748"/>
    <w:rsid w:val="0021478B"/>
    <w:rsid w:val="00214960"/>
    <w:rsid w:val="002149B0"/>
    <w:rsid w:val="00214A14"/>
    <w:rsid w:val="00214AA4"/>
    <w:rsid w:val="00214C08"/>
    <w:rsid w:val="00214ECC"/>
    <w:rsid w:val="00214F33"/>
    <w:rsid w:val="00215133"/>
    <w:rsid w:val="00215202"/>
    <w:rsid w:val="0021524A"/>
    <w:rsid w:val="00215301"/>
    <w:rsid w:val="002157FD"/>
    <w:rsid w:val="00215825"/>
    <w:rsid w:val="0021589F"/>
    <w:rsid w:val="00215A28"/>
    <w:rsid w:val="00215AF9"/>
    <w:rsid w:val="00215B7B"/>
    <w:rsid w:val="00215C40"/>
    <w:rsid w:val="00215D21"/>
    <w:rsid w:val="00215E75"/>
    <w:rsid w:val="00215F70"/>
    <w:rsid w:val="00215F95"/>
    <w:rsid w:val="00215FC5"/>
    <w:rsid w:val="00216015"/>
    <w:rsid w:val="00216041"/>
    <w:rsid w:val="002160F3"/>
    <w:rsid w:val="002160FA"/>
    <w:rsid w:val="002161CF"/>
    <w:rsid w:val="00216266"/>
    <w:rsid w:val="00216363"/>
    <w:rsid w:val="0021637A"/>
    <w:rsid w:val="002163B2"/>
    <w:rsid w:val="002163E4"/>
    <w:rsid w:val="0021640E"/>
    <w:rsid w:val="002165DB"/>
    <w:rsid w:val="00216765"/>
    <w:rsid w:val="002167A7"/>
    <w:rsid w:val="002168E6"/>
    <w:rsid w:val="002169E4"/>
    <w:rsid w:val="00216A90"/>
    <w:rsid w:val="00216B1C"/>
    <w:rsid w:val="00216C03"/>
    <w:rsid w:val="00216C44"/>
    <w:rsid w:val="00216CBF"/>
    <w:rsid w:val="00216CC6"/>
    <w:rsid w:val="00216D99"/>
    <w:rsid w:val="00216E3B"/>
    <w:rsid w:val="00216E9E"/>
    <w:rsid w:val="00216FCE"/>
    <w:rsid w:val="00216FF5"/>
    <w:rsid w:val="0021700E"/>
    <w:rsid w:val="00217024"/>
    <w:rsid w:val="00217037"/>
    <w:rsid w:val="002170AC"/>
    <w:rsid w:val="002170D3"/>
    <w:rsid w:val="0021741B"/>
    <w:rsid w:val="002174B3"/>
    <w:rsid w:val="00217692"/>
    <w:rsid w:val="002176B9"/>
    <w:rsid w:val="0021770C"/>
    <w:rsid w:val="002177D9"/>
    <w:rsid w:val="002177E5"/>
    <w:rsid w:val="00217AD1"/>
    <w:rsid w:val="00217B97"/>
    <w:rsid w:val="0022002A"/>
    <w:rsid w:val="00220102"/>
    <w:rsid w:val="00220244"/>
    <w:rsid w:val="0022038B"/>
    <w:rsid w:val="002204FA"/>
    <w:rsid w:val="002204FD"/>
    <w:rsid w:val="0022051D"/>
    <w:rsid w:val="00220557"/>
    <w:rsid w:val="00220870"/>
    <w:rsid w:val="00220929"/>
    <w:rsid w:val="0022092A"/>
    <w:rsid w:val="00220A21"/>
    <w:rsid w:val="00220ACA"/>
    <w:rsid w:val="00220B03"/>
    <w:rsid w:val="00220D74"/>
    <w:rsid w:val="00220E09"/>
    <w:rsid w:val="00220E44"/>
    <w:rsid w:val="00221061"/>
    <w:rsid w:val="002211B3"/>
    <w:rsid w:val="002211ED"/>
    <w:rsid w:val="00221208"/>
    <w:rsid w:val="00221229"/>
    <w:rsid w:val="00221370"/>
    <w:rsid w:val="002213B2"/>
    <w:rsid w:val="00221493"/>
    <w:rsid w:val="00221593"/>
    <w:rsid w:val="002215BF"/>
    <w:rsid w:val="002215C2"/>
    <w:rsid w:val="00221668"/>
    <w:rsid w:val="00221789"/>
    <w:rsid w:val="002217AE"/>
    <w:rsid w:val="0022181C"/>
    <w:rsid w:val="0022187C"/>
    <w:rsid w:val="00221B32"/>
    <w:rsid w:val="00221CF8"/>
    <w:rsid w:val="00221D1E"/>
    <w:rsid w:val="00221D20"/>
    <w:rsid w:val="00221E5E"/>
    <w:rsid w:val="00221EF2"/>
    <w:rsid w:val="00221F70"/>
    <w:rsid w:val="0022210F"/>
    <w:rsid w:val="00222115"/>
    <w:rsid w:val="00222392"/>
    <w:rsid w:val="002224DD"/>
    <w:rsid w:val="0022260F"/>
    <w:rsid w:val="002229FF"/>
    <w:rsid w:val="00222A17"/>
    <w:rsid w:val="00222A54"/>
    <w:rsid w:val="00222B57"/>
    <w:rsid w:val="00222C6F"/>
    <w:rsid w:val="00222D27"/>
    <w:rsid w:val="00222DC1"/>
    <w:rsid w:val="00222EED"/>
    <w:rsid w:val="00222FC1"/>
    <w:rsid w:val="00222FE7"/>
    <w:rsid w:val="0022304A"/>
    <w:rsid w:val="0022305F"/>
    <w:rsid w:val="0022309D"/>
    <w:rsid w:val="00223296"/>
    <w:rsid w:val="00223319"/>
    <w:rsid w:val="0022338F"/>
    <w:rsid w:val="002235A4"/>
    <w:rsid w:val="00223611"/>
    <w:rsid w:val="002238AF"/>
    <w:rsid w:val="002238D0"/>
    <w:rsid w:val="002239DC"/>
    <w:rsid w:val="00223CD4"/>
    <w:rsid w:val="00223E4C"/>
    <w:rsid w:val="00223FE4"/>
    <w:rsid w:val="00224305"/>
    <w:rsid w:val="00224313"/>
    <w:rsid w:val="002243C3"/>
    <w:rsid w:val="00224483"/>
    <w:rsid w:val="002244BF"/>
    <w:rsid w:val="0022460C"/>
    <w:rsid w:val="00224791"/>
    <w:rsid w:val="002247FC"/>
    <w:rsid w:val="00224805"/>
    <w:rsid w:val="00224864"/>
    <w:rsid w:val="00224963"/>
    <w:rsid w:val="002249D7"/>
    <w:rsid w:val="00224A7C"/>
    <w:rsid w:val="00224AEA"/>
    <w:rsid w:val="00224D43"/>
    <w:rsid w:val="00224E25"/>
    <w:rsid w:val="00224E36"/>
    <w:rsid w:val="00224F76"/>
    <w:rsid w:val="00225374"/>
    <w:rsid w:val="0022539F"/>
    <w:rsid w:val="00225479"/>
    <w:rsid w:val="002254E6"/>
    <w:rsid w:val="00225556"/>
    <w:rsid w:val="00225605"/>
    <w:rsid w:val="0022588A"/>
    <w:rsid w:val="002258F5"/>
    <w:rsid w:val="002258F6"/>
    <w:rsid w:val="00225926"/>
    <w:rsid w:val="00225AF1"/>
    <w:rsid w:val="00225AF3"/>
    <w:rsid w:val="00225B5D"/>
    <w:rsid w:val="00225C22"/>
    <w:rsid w:val="00225E3A"/>
    <w:rsid w:val="00225F74"/>
    <w:rsid w:val="0022624F"/>
    <w:rsid w:val="002262CD"/>
    <w:rsid w:val="002262E9"/>
    <w:rsid w:val="0022645D"/>
    <w:rsid w:val="00226704"/>
    <w:rsid w:val="002267F3"/>
    <w:rsid w:val="00226919"/>
    <w:rsid w:val="00226A09"/>
    <w:rsid w:val="00226BF3"/>
    <w:rsid w:val="00226C13"/>
    <w:rsid w:val="00226EA7"/>
    <w:rsid w:val="00226F76"/>
    <w:rsid w:val="0022714F"/>
    <w:rsid w:val="002272E1"/>
    <w:rsid w:val="00227880"/>
    <w:rsid w:val="002278C1"/>
    <w:rsid w:val="00227936"/>
    <w:rsid w:val="0022799B"/>
    <w:rsid w:val="00227D5B"/>
    <w:rsid w:val="00227E83"/>
    <w:rsid w:val="00227E99"/>
    <w:rsid w:val="002301FA"/>
    <w:rsid w:val="0023033D"/>
    <w:rsid w:val="002304A0"/>
    <w:rsid w:val="002304AF"/>
    <w:rsid w:val="00230864"/>
    <w:rsid w:val="00230940"/>
    <w:rsid w:val="0023096C"/>
    <w:rsid w:val="002309F5"/>
    <w:rsid w:val="00230B98"/>
    <w:rsid w:val="00230C0B"/>
    <w:rsid w:val="00230C20"/>
    <w:rsid w:val="00230E5E"/>
    <w:rsid w:val="00230EA7"/>
    <w:rsid w:val="0023116E"/>
    <w:rsid w:val="0023135C"/>
    <w:rsid w:val="002314CB"/>
    <w:rsid w:val="002314EF"/>
    <w:rsid w:val="0023151A"/>
    <w:rsid w:val="00231562"/>
    <w:rsid w:val="002316A5"/>
    <w:rsid w:val="00231794"/>
    <w:rsid w:val="002317A2"/>
    <w:rsid w:val="00231880"/>
    <w:rsid w:val="0023188A"/>
    <w:rsid w:val="00231918"/>
    <w:rsid w:val="002319DE"/>
    <w:rsid w:val="00231A20"/>
    <w:rsid w:val="00231A56"/>
    <w:rsid w:val="00231A5C"/>
    <w:rsid w:val="00231B40"/>
    <w:rsid w:val="00231C59"/>
    <w:rsid w:val="00231CBB"/>
    <w:rsid w:val="00231F27"/>
    <w:rsid w:val="002320E1"/>
    <w:rsid w:val="00232154"/>
    <w:rsid w:val="0023218A"/>
    <w:rsid w:val="002321BC"/>
    <w:rsid w:val="00232310"/>
    <w:rsid w:val="00232315"/>
    <w:rsid w:val="002323E4"/>
    <w:rsid w:val="0023256F"/>
    <w:rsid w:val="00232625"/>
    <w:rsid w:val="00232661"/>
    <w:rsid w:val="00232702"/>
    <w:rsid w:val="00232898"/>
    <w:rsid w:val="00232AB6"/>
    <w:rsid w:val="00232AFD"/>
    <w:rsid w:val="00232C25"/>
    <w:rsid w:val="00232C2E"/>
    <w:rsid w:val="00232D6B"/>
    <w:rsid w:val="00232E82"/>
    <w:rsid w:val="00232EFF"/>
    <w:rsid w:val="002330CC"/>
    <w:rsid w:val="0023318D"/>
    <w:rsid w:val="0023324E"/>
    <w:rsid w:val="002332C8"/>
    <w:rsid w:val="002332F6"/>
    <w:rsid w:val="00233303"/>
    <w:rsid w:val="00233428"/>
    <w:rsid w:val="0023354B"/>
    <w:rsid w:val="002335F3"/>
    <w:rsid w:val="002337A0"/>
    <w:rsid w:val="002337AA"/>
    <w:rsid w:val="002338AE"/>
    <w:rsid w:val="002338EA"/>
    <w:rsid w:val="0023392B"/>
    <w:rsid w:val="00233952"/>
    <w:rsid w:val="00233A7E"/>
    <w:rsid w:val="00233ADD"/>
    <w:rsid w:val="00233DF7"/>
    <w:rsid w:val="00233F29"/>
    <w:rsid w:val="00233FAA"/>
    <w:rsid w:val="00234048"/>
    <w:rsid w:val="00234109"/>
    <w:rsid w:val="002341E6"/>
    <w:rsid w:val="0023421A"/>
    <w:rsid w:val="00234245"/>
    <w:rsid w:val="002344E4"/>
    <w:rsid w:val="002345C4"/>
    <w:rsid w:val="002348BA"/>
    <w:rsid w:val="00234B1B"/>
    <w:rsid w:val="00234B55"/>
    <w:rsid w:val="00234BFF"/>
    <w:rsid w:val="00234DB4"/>
    <w:rsid w:val="00234FE2"/>
    <w:rsid w:val="0023537B"/>
    <w:rsid w:val="0023545E"/>
    <w:rsid w:val="002358B9"/>
    <w:rsid w:val="00235A4E"/>
    <w:rsid w:val="00235A53"/>
    <w:rsid w:val="00235EAB"/>
    <w:rsid w:val="00235F9B"/>
    <w:rsid w:val="00236218"/>
    <w:rsid w:val="002362EC"/>
    <w:rsid w:val="0023633F"/>
    <w:rsid w:val="002363F3"/>
    <w:rsid w:val="002363F5"/>
    <w:rsid w:val="00236505"/>
    <w:rsid w:val="0023663A"/>
    <w:rsid w:val="00236844"/>
    <w:rsid w:val="00236944"/>
    <w:rsid w:val="002369EE"/>
    <w:rsid w:val="00236A11"/>
    <w:rsid w:val="00236ADA"/>
    <w:rsid w:val="00236B03"/>
    <w:rsid w:val="00236EAB"/>
    <w:rsid w:val="00237014"/>
    <w:rsid w:val="002370E1"/>
    <w:rsid w:val="002371E5"/>
    <w:rsid w:val="0023743B"/>
    <w:rsid w:val="00237472"/>
    <w:rsid w:val="0023750E"/>
    <w:rsid w:val="002375A5"/>
    <w:rsid w:val="00237885"/>
    <w:rsid w:val="002378E6"/>
    <w:rsid w:val="00237938"/>
    <w:rsid w:val="00237988"/>
    <w:rsid w:val="00237A88"/>
    <w:rsid w:val="00237BA9"/>
    <w:rsid w:val="00237C05"/>
    <w:rsid w:val="00237E81"/>
    <w:rsid w:val="00237FFA"/>
    <w:rsid w:val="002401C1"/>
    <w:rsid w:val="00240719"/>
    <w:rsid w:val="002408A5"/>
    <w:rsid w:val="00240AFD"/>
    <w:rsid w:val="00240C14"/>
    <w:rsid w:val="00240C65"/>
    <w:rsid w:val="00240C7A"/>
    <w:rsid w:val="00240F03"/>
    <w:rsid w:val="0024102A"/>
    <w:rsid w:val="002410AA"/>
    <w:rsid w:val="00241115"/>
    <w:rsid w:val="00241127"/>
    <w:rsid w:val="0024128F"/>
    <w:rsid w:val="00241582"/>
    <w:rsid w:val="002416AE"/>
    <w:rsid w:val="002416F2"/>
    <w:rsid w:val="00241743"/>
    <w:rsid w:val="00241825"/>
    <w:rsid w:val="00241B23"/>
    <w:rsid w:val="002420B4"/>
    <w:rsid w:val="00242153"/>
    <w:rsid w:val="00242316"/>
    <w:rsid w:val="002423A8"/>
    <w:rsid w:val="002424D2"/>
    <w:rsid w:val="002425C2"/>
    <w:rsid w:val="0024278A"/>
    <w:rsid w:val="00242857"/>
    <w:rsid w:val="00242A39"/>
    <w:rsid w:val="00242A40"/>
    <w:rsid w:val="00242A58"/>
    <w:rsid w:val="00242A93"/>
    <w:rsid w:val="00242ADC"/>
    <w:rsid w:val="00242C4D"/>
    <w:rsid w:val="00242C66"/>
    <w:rsid w:val="00242DF3"/>
    <w:rsid w:val="00242E72"/>
    <w:rsid w:val="00242EA4"/>
    <w:rsid w:val="00243024"/>
    <w:rsid w:val="002430B5"/>
    <w:rsid w:val="002431E8"/>
    <w:rsid w:val="002432F0"/>
    <w:rsid w:val="00243460"/>
    <w:rsid w:val="002435AF"/>
    <w:rsid w:val="0024371F"/>
    <w:rsid w:val="0024378C"/>
    <w:rsid w:val="002437F2"/>
    <w:rsid w:val="0024380A"/>
    <w:rsid w:val="002438A2"/>
    <w:rsid w:val="002439AF"/>
    <w:rsid w:val="00243A68"/>
    <w:rsid w:val="00243A9C"/>
    <w:rsid w:val="00243B11"/>
    <w:rsid w:val="00243B6A"/>
    <w:rsid w:val="00243F6C"/>
    <w:rsid w:val="00243F9F"/>
    <w:rsid w:val="0024410B"/>
    <w:rsid w:val="0024419B"/>
    <w:rsid w:val="0024419C"/>
    <w:rsid w:val="002442CD"/>
    <w:rsid w:val="0024433A"/>
    <w:rsid w:val="0024447D"/>
    <w:rsid w:val="002446A4"/>
    <w:rsid w:val="002447BB"/>
    <w:rsid w:val="002447DC"/>
    <w:rsid w:val="002447F4"/>
    <w:rsid w:val="0024496C"/>
    <w:rsid w:val="00244AD3"/>
    <w:rsid w:val="00244B8E"/>
    <w:rsid w:val="00244E5B"/>
    <w:rsid w:val="00244F4E"/>
    <w:rsid w:val="00245059"/>
    <w:rsid w:val="002451E6"/>
    <w:rsid w:val="0024522A"/>
    <w:rsid w:val="002453FE"/>
    <w:rsid w:val="0024564C"/>
    <w:rsid w:val="00245664"/>
    <w:rsid w:val="00245887"/>
    <w:rsid w:val="00245977"/>
    <w:rsid w:val="00245992"/>
    <w:rsid w:val="002459A0"/>
    <w:rsid w:val="002459A1"/>
    <w:rsid w:val="002459A5"/>
    <w:rsid w:val="002459EA"/>
    <w:rsid w:val="00245ABB"/>
    <w:rsid w:val="00245CC8"/>
    <w:rsid w:val="00245D77"/>
    <w:rsid w:val="00245DBC"/>
    <w:rsid w:val="00245DFB"/>
    <w:rsid w:val="00245E51"/>
    <w:rsid w:val="00245FA4"/>
    <w:rsid w:val="0024620B"/>
    <w:rsid w:val="00246219"/>
    <w:rsid w:val="0024642C"/>
    <w:rsid w:val="002464E3"/>
    <w:rsid w:val="0024659A"/>
    <w:rsid w:val="002465B4"/>
    <w:rsid w:val="002468D3"/>
    <w:rsid w:val="00246908"/>
    <w:rsid w:val="0024693F"/>
    <w:rsid w:val="0024699A"/>
    <w:rsid w:val="00246ACE"/>
    <w:rsid w:val="00246C8E"/>
    <w:rsid w:val="00246C9D"/>
    <w:rsid w:val="00246F65"/>
    <w:rsid w:val="00247089"/>
    <w:rsid w:val="00247206"/>
    <w:rsid w:val="00247249"/>
    <w:rsid w:val="00247415"/>
    <w:rsid w:val="002474B3"/>
    <w:rsid w:val="0024766E"/>
    <w:rsid w:val="002476EF"/>
    <w:rsid w:val="00247980"/>
    <w:rsid w:val="00247990"/>
    <w:rsid w:val="00247A75"/>
    <w:rsid w:val="00247B4B"/>
    <w:rsid w:val="00247CB2"/>
    <w:rsid w:val="00247D77"/>
    <w:rsid w:val="00247D9D"/>
    <w:rsid w:val="00247E25"/>
    <w:rsid w:val="002501E9"/>
    <w:rsid w:val="002502B8"/>
    <w:rsid w:val="002502B9"/>
    <w:rsid w:val="0025044E"/>
    <w:rsid w:val="002504EA"/>
    <w:rsid w:val="002505F8"/>
    <w:rsid w:val="00250695"/>
    <w:rsid w:val="0025089E"/>
    <w:rsid w:val="002508BA"/>
    <w:rsid w:val="002509AA"/>
    <w:rsid w:val="002509F5"/>
    <w:rsid w:val="002509F9"/>
    <w:rsid w:val="00250D79"/>
    <w:rsid w:val="00250DF1"/>
    <w:rsid w:val="00250E59"/>
    <w:rsid w:val="00250F11"/>
    <w:rsid w:val="00250F8D"/>
    <w:rsid w:val="00250FA3"/>
    <w:rsid w:val="00251015"/>
    <w:rsid w:val="0025118B"/>
    <w:rsid w:val="002511CA"/>
    <w:rsid w:val="002511E7"/>
    <w:rsid w:val="00251227"/>
    <w:rsid w:val="00251264"/>
    <w:rsid w:val="00251276"/>
    <w:rsid w:val="0025127C"/>
    <w:rsid w:val="002513FF"/>
    <w:rsid w:val="002515F3"/>
    <w:rsid w:val="00251974"/>
    <w:rsid w:val="00251A36"/>
    <w:rsid w:val="00251C6B"/>
    <w:rsid w:val="00251D22"/>
    <w:rsid w:val="00251ECD"/>
    <w:rsid w:val="0025201F"/>
    <w:rsid w:val="002520E8"/>
    <w:rsid w:val="00252123"/>
    <w:rsid w:val="00252195"/>
    <w:rsid w:val="0025221A"/>
    <w:rsid w:val="0025222D"/>
    <w:rsid w:val="00252325"/>
    <w:rsid w:val="00252342"/>
    <w:rsid w:val="00252537"/>
    <w:rsid w:val="002525FD"/>
    <w:rsid w:val="0025278E"/>
    <w:rsid w:val="002527D1"/>
    <w:rsid w:val="002527F8"/>
    <w:rsid w:val="002529A4"/>
    <w:rsid w:val="00252AC0"/>
    <w:rsid w:val="00252C4A"/>
    <w:rsid w:val="00252D9D"/>
    <w:rsid w:val="0025306C"/>
    <w:rsid w:val="002531CA"/>
    <w:rsid w:val="002531F2"/>
    <w:rsid w:val="002532D1"/>
    <w:rsid w:val="00253318"/>
    <w:rsid w:val="002533BB"/>
    <w:rsid w:val="0025348F"/>
    <w:rsid w:val="002534B7"/>
    <w:rsid w:val="002534EF"/>
    <w:rsid w:val="00253638"/>
    <w:rsid w:val="00253690"/>
    <w:rsid w:val="002537C4"/>
    <w:rsid w:val="002538C3"/>
    <w:rsid w:val="00253C90"/>
    <w:rsid w:val="00253CD6"/>
    <w:rsid w:val="00253D1B"/>
    <w:rsid w:val="00253D3E"/>
    <w:rsid w:val="00253D68"/>
    <w:rsid w:val="00253DE8"/>
    <w:rsid w:val="00253F6D"/>
    <w:rsid w:val="002540AC"/>
    <w:rsid w:val="00254307"/>
    <w:rsid w:val="00254350"/>
    <w:rsid w:val="002543DB"/>
    <w:rsid w:val="002544F6"/>
    <w:rsid w:val="00254675"/>
    <w:rsid w:val="002547DE"/>
    <w:rsid w:val="002548CD"/>
    <w:rsid w:val="00254A1B"/>
    <w:rsid w:val="00254B1D"/>
    <w:rsid w:val="00254B38"/>
    <w:rsid w:val="00254CFD"/>
    <w:rsid w:val="00254E6A"/>
    <w:rsid w:val="00254E89"/>
    <w:rsid w:val="00254FA9"/>
    <w:rsid w:val="00254FD4"/>
    <w:rsid w:val="00255033"/>
    <w:rsid w:val="0025508A"/>
    <w:rsid w:val="002552D8"/>
    <w:rsid w:val="0025534A"/>
    <w:rsid w:val="00255519"/>
    <w:rsid w:val="002555B6"/>
    <w:rsid w:val="0025561B"/>
    <w:rsid w:val="002557D0"/>
    <w:rsid w:val="002559C1"/>
    <w:rsid w:val="00255A06"/>
    <w:rsid w:val="00255B48"/>
    <w:rsid w:val="00255B80"/>
    <w:rsid w:val="00255C09"/>
    <w:rsid w:val="00255C39"/>
    <w:rsid w:val="00255CB6"/>
    <w:rsid w:val="00255D4A"/>
    <w:rsid w:val="00255E32"/>
    <w:rsid w:val="002562FC"/>
    <w:rsid w:val="002562FF"/>
    <w:rsid w:val="00256346"/>
    <w:rsid w:val="002563AD"/>
    <w:rsid w:val="002563E0"/>
    <w:rsid w:val="00256776"/>
    <w:rsid w:val="00256990"/>
    <w:rsid w:val="00256DC9"/>
    <w:rsid w:val="00256F66"/>
    <w:rsid w:val="002570DA"/>
    <w:rsid w:val="002570EE"/>
    <w:rsid w:val="0025723E"/>
    <w:rsid w:val="00257406"/>
    <w:rsid w:val="002574C3"/>
    <w:rsid w:val="002576B2"/>
    <w:rsid w:val="002576F2"/>
    <w:rsid w:val="00257716"/>
    <w:rsid w:val="00257731"/>
    <w:rsid w:val="00257763"/>
    <w:rsid w:val="002577CF"/>
    <w:rsid w:val="002577F1"/>
    <w:rsid w:val="00257962"/>
    <w:rsid w:val="00257A10"/>
    <w:rsid w:val="00257A1F"/>
    <w:rsid w:val="00257A32"/>
    <w:rsid w:val="00257A97"/>
    <w:rsid w:val="00257BAE"/>
    <w:rsid w:val="00257CBE"/>
    <w:rsid w:val="00257CF3"/>
    <w:rsid w:val="00257F26"/>
    <w:rsid w:val="00257F38"/>
    <w:rsid w:val="00257FF7"/>
    <w:rsid w:val="002600CB"/>
    <w:rsid w:val="002600F3"/>
    <w:rsid w:val="002602FF"/>
    <w:rsid w:val="00260434"/>
    <w:rsid w:val="00260544"/>
    <w:rsid w:val="00260632"/>
    <w:rsid w:val="002606D9"/>
    <w:rsid w:val="00260782"/>
    <w:rsid w:val="0026079B"/>
    <w:rsid w:val="002607CD"/>
    <w:rsid w:val="00260821"/>
    <w:rsid w:val="002608C7"/>
    <w:rsid w:val="00260ADE"/>
    <w:rsid w:val="00260B36"/>
    <w:rsid w:val="00260C4D"/>
    <w:rsid w:val="00260E24"/>
    <w:rsid w:val="00260F89"/>
    <w:rsid w:val="00261018"/>
    <w:rsid w:val="0026106F"/>
    <w:rsid w:val="002610F4"/>
    <w:rsid w:val="00261189"/>
    <w:rsid w:val="0026122F"/>
    <w:rsid w:val="002612A4"/>
    <w:rsid w:val="0026143A"/>
    <w:rsid w:val="002614A6"/>
    <w:rsid w:val="002614D8"/>
    <w:rsid w:val="00261610"/>
    <w:rsid w:val="00261895"/>
    <w:rsid w:val="00261897"/>
    <w:rsid w:val="002619A7"/>
    <w:rsid w:val="00261E2B"/>
    <w:rsid w:val="00261E7A"/>
    <w:rsid w:val="00261E94"/>
    <w:rsid w:val="00261EBD"/>
    <w:rsid w:val="00261F21"/>
    <w:rsid w:val="002620B3"/>
    <w:rsid w:val="002620F6"/>
    <w:rsid w:val="002621BD"/>
    <w:rsid w:val="00262319"/>
    <w:rsid w:val="00262417"/>
    <w:rsid w:val="0026244A"/>
    <w:rsid w:val="0026254D"/>
    <w:rsid w:val="0026263E"/>
    <w:rsid w:val="002627B2"/>
    <w:rsid w:val="00262919"/>
    <w:rsid w:val="00262AF8"/>
    <w:rsid w:val="00262BE5"/>
    <w:rsid w:val="00262D18"/>
    <w:rsid w:val="00262D3F"/>
    <w:rsid w:val="00262E35"/>
    <w:rsid w:val="00262F28"/>
    <w:rsid w:val="002630C9"/>
    <w:rsid w:val="00263200"/>
    <w:rsid w:val="00263415"/>
    <w:rsid w:val="002634D8"/>
    <w:rsid w:val="00263543"/>
    <w:rsid w:val="002636C6"/>
    <w:rsid w:val="00263786"/>
    <w:rsid w:val="002637AC"/>
    <w:rsid w:val="002638D1"/>
    <w:rsid w:val="002639C2"/>
    <w:rsid w:val="00263C25"/>
    <w:rsid w:val="00263D2A"/>
    <w:rsid w:val="00263E2A"/>
    <w:rsid w:val="00263EA4"/>
    <w:rsid w:val="00264330"/>
    <w:rsid w:val="002644E1"/>
    <w:rsid w:val="0026452B"/>
    <w:rsid w:val="0026453A"/>
    <w:rsid w:val="002647EC"/>
    <w:rsid w:val="00264AF0"/>
    <w:rsid w:val="00264BC9"/>
    <w:rsid w:val="00264C5D"/>
    <w:rsid w:val="00264CC6"/>
    <w:rsid w:val="00264D00"/>
    <w:rsid w:val="00264D24"/>
    <w:rsid w:val="00265069"/>
    <w:rsid w:val="00265207"/>
    <w:rsid w:val="002652A4"/>
    <w:rsid w:val="00265357"/>
    <w:rsid w:val="002654C0"/>
    <w:rsid w:val="002655F9"/>
    <w:rsid w:val="00265638"/>
    <w:rsid w:val="0026568E"/>
    <w:rsid w:val="002656AC"/>
    <w:rsid w:val="00265785"/>
    <w:rsid w:val="002657FE"/>
    <w:rsid w:val="00265925"/>
    <w:rsid w:val="0026596D"/>
    <w:rsid w:val="00265A0A"/>
    <w:rsid w:val="00265A53"/>
    <w:rsid w:val="00265AAC"/>
    <w:rsid w:val="00265B9C"/>
    <w:rsid w:val="00265F80"/>
    <w:rsid w:val="00265FA4"/>
    <w:rsid w:val="00266001"/>
    <w:rsid w:val="002664C7"/>
    <w:rsid w:val="00266636"/>
    <w:rsid w:val="0026677D"/>
    <w:rsid w:val="002667BD"/>
    <w:rsid w:val="00266846"/>
    <w:rsid w:val="00266922"/>
    <w:rsid w:val="00266931"/>
    <w:rsid w:val="002669F6"/>
    <w:rsid w:val="00266E03"/>
    <w:rsid w:val="00266FF8"/>
    <w:rsid w:val="00267268"/>
    <w:rsid w:val="0026726D"/>
    <w:rsid w:val="00267325"/>
    <w:rsid w:val="0026732C"/>
    <w:rsid w:val="00267480"/>
    <w:rsid w:val="00267589"/>
    <w:rsid w:val="00267601"/>
    <w:rsid w:val="002676AB"/>
    <w:rsid w:val="002678E5"/>
    <w:rsid w:val="0026792A"/>
    <w:rsid w:val="00267A15"/>
    <w:rsid w:val="00267CB6"/>
    <w:rsid w:val="00267D06"/>
    <w:rsid w:val="00267D96"/>
    <w:rsid w:val="00267E8D"/>
    <w:rsid w:val="00267ECA"/>
    <w:rsid w:val="00267F10"/>
    <w:rsid w:val="00267F3F"/>
    <w:rsid w:val="002700F4"/>
    <w:rsid w:val="0027030F"/>
    <w:rsid w:val="002704BE"/>
    <w:rsid w:val="002705F9"/>
    <w:rsid w:val="00270718"/>
    <w:rsid w:val="00270A98"/>
    <w:rsid w:val="00270AEC"/>
    <w:rsid w:val="00270B0A"/>
    <w:rsid w:val="00270B3E"/>
    <w:rsid w:val="00271060"/>
    <w:rsid w:val="0027107A"/>
    <w:rsid w:val="0027134A"/>
    <w:rsid w:val="0027156B"/>
    <w:rsid w:val="00271A3C"/>
    <w:rsid w:val="00271A86"/>
    <w:rsid w:val="00271AC9"/>
    <w:rsid w:val="00271BAA"/>
    <w:rsid w:val="00271CAF"/>
    <w:rsid w:val="00271D3E"/>
    <w:rsid w:val="00271D8F"/>
    <w:rsid w:val="00271E8E"/>
    <w:rsid w:val="00271F62"/>
    <w:rsid w:val="00272009"/>
    <w:rsid w:val="0027217E"/>
    <w:rsid w:val="00272264"/>
    <w:rsid w:val="0027229C"/>
    <w:rsid w:val="002722D8"/>
    <w:rsid w:val="002723D8"/>
    <w:rsid w:val="0027254F"/>
    <w:rsid w:val="0027256C"/>
    <w:rsid w:val="0027266A"/>
    <w:rsid w:val="002727BB"/>
    <w:rsid w:val="002728CA"/>
    <w:rsid w:val="00272AC5"/>
    <w:rsid w:val="00272B37"/>
    <w:rsid w:val="00272B5E"/>
    <w:rsid w:val="00272C76"/>
    <w:rsid w:val="00272D6C"/>
    <w:rsid w:val="00272D71"/>
    <w:rsid w:val="00272D81"/>
    <w:rsid w:val="002731E0"/>
    <w:rsid w:val="0027335D"/>
    <w:rsid w:val="002736B5"/>
    <w:rsid w:val="00273B60"/>
    <w:rsid w:val="00273B72"/>
    <w:rsid w:val="00273C48"/>
    <w:rsid w:val="00273C75"/>
    <w:rsid w:val="00273CC2"/>
    <w:rsid w:val="0027409F"/>
    <w:rsid w:val="002740A7"/>
    <w:rsid w:val="00274115"/>
    <w:rsid w:val="0027418B"/>
    <w:rsid w:val="00274356"/>
    <w:rsid w:val="002743F2"/>
    <w:rsid w:val="002744D3"/>
    <w:rsid w:val="0027466B"/>
    <w:rsid w:val="0027478E"/>
    <w:rsid w:val="00274B63"/>
    <w:rsid w:val="00274C6D"/>
    <w:rsid w:val="00274CBA"/>
    <w:rsid w:val="00274DA1"/>
    <w:rsid w:val="00274E46"/>
    <w:rsid w:val="00274F1D"/>
    <w:rsid w:val="0027512C"/>
    <w:rsid w:val="00275157"/>
    <w:rsid w:val="0027517B"/>
    <w:rsid w:val="002752C1"/>
    <w:rsid w:val="00275345"/>
    <w:rsid w:val="00275368"/>
    <w:rsid w:val="00275409"/>
    <w:rsid w:val="002754CA"/>
    <w:rsid w:val="002755A3"/>
    <w:rsid w:val="002756A1"/>
    <w:rsid w:val="00275767"/>
    <w:rsid w:val="0027582A"/>
    <w:rsid w:val="0027582B"/>
    <w:rsid w:val="00275860"/>
    <w:rsid w:val="00275C01"/>
    <w:rsid w:val="00275C82"/>
    <w:rsid w:val="00275D0A"/>
    <w:rsid w:val="00275E71"/>
    <w:rsid w:val="00275EDC"/>
    <w:rsid w:val="00275F5F"/>
    <w:rsid w:val="00275F7D"/>
    <w:rsid w:val="00276196"/>
    <w:rsid w:val="002761AB"/>
    <w:rsid w:val="002761C5"/>
    <w:rsid w:val="00276235"/>
    <w:rsid w:val="0027623C"/>
    <w:rsid w:val="00276304"/>
    <w:rsid w:val="00276514"/>
    <w:rsid w:val="0027658D"/>
    <w:rsid w:val="0027658E"/>
    <w:rsid w:val="002769DA"/>
    <w:rsid w:val="00276AAD"/>
    <w:rsid w:val="00276D09"/>
    <w:rsid w:val="00276E93"/>
    <w:rsid w:val="0027701A"/>
    <w:rsid w:val="00277090"/>
    <w:rsid w:val="00277141"/>
    <w:rsid w:val="0027728B"/>
    <w:rsid w:val="0027751A"/>
    <w:rsid w:val="00277624"/>
    <w:rsid w:val="002776B2"/>
    <w:rsid w:val="0027782A"/>
    <w:rsid w:val="00277933"/>
    <w:rsid w:val="00277A6D"/>
    <w:rsid w:val="00277A85"/>
    <w:rsid w:val="00277B36"/>
    <w:rsid w:val="00277B68"/>
    <w:rsid w:val="00277C74"/>
    <w:rsid w:val="00277CBD"/>
    <w:rsid w:val="0028000D"/>
    <w:rsid w:val="0028004E"/>
    <w:rsid w:val="00280190"/>
    <w:rsid w:val="002802BC"/>
    <w:rsid w:val="0028031C"/>
    <w:rsid w:val="00280348"/>
    <w:rsid w:val="002805A3"/>
    <w:rsid w:val="0028072E"/>
    <w:rsid w:val="00280747"/>
    <w:rsid w:val="00280777"/>
    <w:rsid w:val="002807B7"/>
    <w:rsid w:val="002809DB"/>
    <w:rsid w:val="00280AEA"/>
    <w:rsid w:val="00280B84"/>
    <w:rsid w:val="00280B91"/>
    <w:rsid w:val="00280B9A"/>
    <w:rsid w:val="00280D88"/>
    <w:rsid w:val="00280DED"/>
    <w:rsid w:val="002811E2"/>
    <w:rsid w:val="0028137E"/>
    <w:rsid w:val="002814F5"/>
    <w:rsid w:val="00281639"/>
    <w:rsid w:val="00281698"/>
    <w:rsid w:val="00281758"/>
    <w:rsid w:val="002817B7"/>
    <w:rsid w:val="00281B37"/>
    <w:rsid w:val="00281C3F"/>
    <w:rsid w:val="00281E11"/>
    <w:rsid w:val="00281EF6"/>
    <w:rsid w:val="00281F6E"/>
    <w:rsid w:val="00281FCC"/>
    <w:rsid w:val="002823AE"/>
    <w:rsid w:val="00282505"/>
    <w:rsid w:val="0028259D"/>
    <w:rsid w:val="00282670"/>
    <w:rsid w:val="0028278C"/>
    <w:rsid w:val="0028280D"/>
    <w:rsid w:val="00282827"/>
    <w:rsid w:val="002829CD"/>
    <w:rsid w:val="002829D0"/>
    <w:rsid w:val="00282C0F"/>
    <w:rsid w:val="00282E40"/>
    <w:rsid w:val="00283097"/>
    <w:rsid w:val="002830F4"/>
    <w:rsid w:val="002830FC"/>
    <w:rsid w:val="00283417"/>
    <w:rsid w:val="0028355F"/>
    <w:rsid w:val="002835CA"/>
    <w:rsid w:val="00283814"/>
    <w:rsid w:val="0028391D"/>
    <w:rsid w:val="00283A43"/>
    <w:rsid w:val="00283B72"/>
    <w:rsid w:val="00283B7C"/>
    <w:rsid w:val="00283B89"/>
    <w:rsid w:val="00283BAD"/>
    <w:rsid w:val="00283C2B"/>
    <w:rsid w:val="00283CA4"/>
    <w:rsid w:val="00283DD3"/>
    <w:rsid w:val="00283E6B"/>
    <w:rsid w:val="00283FEF"/>
    <w:rsid w:val="00284093"/>
    <w:rsid w:val="00284098"/>
    <w:rsid w:val="002842F1"/>
    <w:rsid w:val="002844EA"/>
    <w:rsid w:val="00284552"/>
    <w:rsid w:val="00284686"/>
    <w:rsid w:val="002846E6"/>
    <w:rsid w:val="0028482D"/>
    <w:rsid w:val="00284837"/>
    <w:rsid w:val="002848C6"/>
    <w:rsid w:val="0028490A"/>
    <w:rsid w:val="00284995"/>
    <w:rsid w:val="00284AC2"/>
    <w:rsid w:val="00284AF8"/>
    <w:rsid w:val="00284B62"/>
    <w:rsid w:val="00284BCB"/>
    <w:rsid w:val="00284C28"/>
    <w:rsid w:val="00284CDF"/>
    <w:rsid w:val="00284E19"/>
    <w:rsid w:val="00284E2D"/>
    <w:rsid w:val="00284E47"/>
    <w:rsid w:val="00284F1A"/>
    <w:rsid w:val="00284F32"/>
    <w:rsid w:val="00284F88"/>
    <w:rsid w:val="00284F8A"/>
    <w:rsid w:val="00285089"/>
    <w:rsid w:val="002850D6"/>
    <w:rsid w:val="00285125"/>
    <w:rsid w:val="002851CF"/>
    <w:rsid w:val="002851EA"/>
    <w:rsid w:val="002852E6"/>
    <w:rsid w:val="00285330"/>
    <w:rsid w:val="00285353"/>
    <w:rsid w:val="002855E9"/>
    <w:rsid w:val="00285712"/>
    <w:rsid w:val="00285930"/>
    <w:rsid w:val="00285A3D"/>
    <w:rsid w:val="00285BDD"/>
    <w:rsid w:val="00285C36"/>
    <w:rsid w:val="00285DE8"/>
    <w:rsid w:val="00285E3E"/>
    <w:rsid w:val="00286081"/>
    <w:rsid w:val="00286140"/>
    <w:rsid w:val="002862B7"/>
    <w:rsid w:val="0028644C"/>
    <w:rsid w:val="002866D6"/>
    <w:rsid w:val="0028670D"/>
    <w:rsid w:val="002867DC"/>
    <w:rsid w:val="00286833"/>
    <w:rsid w:val="002868AB"/>
    <w:rsid w:val="0028699C"/>
    <w:rsid w:val="00286A0C"/>
    <w:rsid w:val="00286A21"/>
    <w:rsid w:val="00286B46"/>
    <w:rsid w:val="00286BDF"/>
    <w:rsid w:val="00286E03"/>
    <w:rsid w:val="00286E6E"/>
    <w:rsid w:val="00286EBC"/>
    <w:rsid w:val="00286F50"/>
    <w:rsid w:val="00287014"/>
    <w:rsid w:val="002870D1"/>
    <w:rsid w:val="002870F5"/>
    <w:rsid w:val="002870F7"/>
    <w:rsid w:val="00287223"/>
    <w:rsid w:val="002873C1"/>
    <w:rsid w:val="002873E7"/>
    <w:rsid w:val="002874F8"/>
    <w:rsid w:val="002875B1"/>
    <w:rsid w:val="002877D9"/>
    <w:rsid w:val="0028791D"/>
    <w:rsid w:val="00287DAB"/>
    <w:rsid w:val="00287DCF"/>
    <w:rsid w:val="00287E04"/>
    <w:rsid w:val="00287E33"/>
    <w:rsid w:val="0029001F"/>
    <w:rsid w:val="0029004A"/>
    <w:rsid w:val="00290134"/>
    <w:rsid w:val="002902C6"/>
    <w:rsid w:val="00290429"/>
    <w:rsid w:val="00290505"/>
    <w:rsid w:val="0029052E"/>
    <w:rsid w:val="00290534"/>
    <w:rsid w:val="00290627"/>
    <w:rsid w:val="00290790"/>
    <w:rsid w:val="002909B7"/>
    <w:rsid w:val="00290A0E"/>
    <w:rsid w:val="00290B5B"/>
    <w:rsid w:val="00290BBC"/>
    <w:rsid w:val="00290BC2"/>
    <w:rsid w:val="00290C01"/>
    <w:rsid w:val="00290ECE"/>
    <w:rsid w:val="00290EFF"/>
    <w:rsid w:val="00290FFE"/>
    <w:rsid w:val="002911A8"/>
    <w:rsid w:val="002911B1"/>
    <w:rsid w:val="002911C3"/>
    <w:rsid w:val="002911D7"/>
    <w:rsid w:val="00291239"/>
    <w:rsid w:val="0029127E"/>
    <w:rsid w:val="00291308"/>
    <w:rsid w:val="0029138E"/>
    <w:rsid w:val="00291573"/>
    <w:rsid w:val="002916A1"/>
    <w:rsid w:val="00291748"/>
    <w:rsid w:val="0029175F"/>
    <w:rsid w:val="0029177D"/>
    <w:rsid w:val="002917CA"/>
    <w:rsid w:val="0029184B"/>
    <w:rsid w:val="00291856"/>
    <w:rsid w:val="002918E0"/>
    <w:rsid w:val="002919CA"/>
    <w:rsid w:val="00291A31"/>
    <w:rsid w:val="00291A61"/>
    <w:rsid w:val="00291B9F"/>
    <w:rsid w:val="00291C58"/>
    <w:rsid w:val="00291DD4"/>
    <w:rsid w:val="00291E83"/>
    <w:rsid w:val="00291FAF"/>
    <w:rsid w:val="00292119"/>
    <w:rsid w:val="00292197"/>
    <w:rsid w:val="00292313"/>
    <w:rsid w:val="00292363"/>
    <w:rsid w:val="002925C8"/>
    <w:rsid w:val="0029268E"/>
    <w:rsid w:val="002927D1"/>
    <w:rsid w:val="00292938"/>
    <w:rsid w:val="00292ABF"/>
    <w:rsid w:val="00292C11"/>
    <w:rsid w:val="00292C6F"/>
    <w:rsid w:val="00292C7C"/>
    <w:rsid w:val="00292DB7"/>
    <w:rsid w:val="00292F2D"/>
    <w:rsid w:val="00292FC6"/>
    <w:rsid w:val="00292FEB"/>
    <w:rsid w:val="0029308D"/>
    <w:rsid w:val="00293154"/>
    <w:rsid w:val="002933B8"/>
    <w:rsid w:val="0029345C"/>
    <w:rsid w:val="00293572"/>
    <w:rsid w:val="002935C0"/>
    <w:rsid w:val="002936FE"/>
    <w:rsid w:val="002937AB"/>
    <w:rsid w:val="00293B88"/>
    <w:rsid w:val="00293C2B"/>
    <w:rsid w:val="00293C90"/>
    <w:rsid w:val="00293C97"/>
    <w:rsid w:val="00293D56"/>
    <w:rsid w:val="00293D85"/>
    <w:rsid w:val="00293DF9"/>
    <w:rsid w:val="00293EFF"/>
    <w:rsid w:val="00294060"/>
    <w:rsid w:val="002940AA"/>
    <w:rsid w:val="002941D2"/>
    <w:rsid w:val="002941F1"/>
    <w:rsid w:val="002941FF"/>
    <w:rsid w:val="00294288"/>
    <w:rsid w:val="002942E3"/>
    <w:rsid w:val="002943EB"/>
    <w:rsid w:val="002943ED"/>
    <w:rsid w:val="00294450"/>
    <w:rsid w:val="00294494"/>
    <w:rsid w:val="00294509"/>
    <w:rsid w:val="00294700"/>
    <w:rsid w:val="00294717"/>
    <w:rsid w:val="0029481B"/>
    <w:rsid w:val="002948FC"/>
    <w:rsid w:val="00294A68"/>
    <w:rsid w:val="00294BB2"/>
    <w:rsid w:val="00294D5B"/>
    <w:rsid w:val="00294D91"/>
    <w:rsid w:val="00294DBC"/>
    <w:rsid w:val="00294E90"/>
    <w:rsid w:val="00294EBC"/>
    <w:rsid w:val="00294EF0"/>
    <w:rsid w:val="00294F40"/>
    <w:rsid w:val="00294F9F"/>
    <w:rsid w:val="002951B0"/>
    <w:rsid w:val="002951C3"/>
    <w:rsid w:val="0029527A"/>
    <w:rsid w:val="00295318"/>
    <w:rsid w:val="002954E3"/>
    <w:rsid w:val="0029562C"/>
    <w:rsid w:val="00295815"/>
    <w:rsid w:val="00295881"/>
    <w:rsid w:val="00295910"/>
    <w:rsid w:val="00295A5F"/>
    <w:rsid w:val="00295C02"/>
    <w:rsid w:val="00295C67"/>
    <w:rsid w:val="00295F9E"/>
    <w:rsid w:val="002960C0"/>
    <w:rsid w:val="002961E4"/>
    <w:rsid w:val="0029622B"/>
    <w:rsid w:val="0029661F"/>
    <w:rsid w:val="0029662C"/>
    <w:rsid w:val="002967B2"/>
    <w:rsid w:val="002967C4"/>
    <w:rsid w:val="00296834"/>
    <w:rsid w:val="002969C6"/>
    <w:rsid w:val="002969DE"/>
    <w:rsid w:val="00296A72"/>
    <w:rsid w:val="00296B0A"/>
    <w:rsid w:val="00296B68"/>
    <w:rsid w:val="00296BBC"/>
    <w:rsid w:val="00296E66"/>
    <w:rsid w:val="00297049"/>
    <w:rsid w:val="002971A5"/>
    <w:rsid w:val="00297365"/>
    <w:rsid w:val="00297412"/>
    <w:rsid w:val="0029762E"/>
    <w:rsid w:val="00297678"/>
    <w:rsid w:val="00297714"/>
    <w:rsid w:val="002977DF"/>
    <w:rsid w:val="0029797A"/>
    <w:rsid w:val="0029799A"/>
    <w:rsid w:val="002979CC"/>
    <w:rsid w:val="002979E3"/>
    <w:rsid w:val="00297C5B"/>
    <w:rsid w:val="00297D51"/>
    <w:rsid w:val="00297DF2"/>
    <w:rsid w:val="00297E40"/>
    <w:rsid w:val="00297E6F"/>
    <w:rsid w:val="002A0137"/>
    <w:rsid w:val="002A02CE"/>
    <w:rsid w:val="002A02FC"/>
    <w:rsid w:val="002A03CB"/>
    <w:rsid w:val="002A0525"/>
    <w:rsid w:val="002A0545"/>
    <w:rsid w:val="002A07D8"/>
    <w:rsid w:val="002A086A"/>
    <w:rsid w:val="002A086F"/>
    <w:rsid w:val="002A087A"/>
    <w:rsid w:val="002A08C8"/>
    <w:rsid w:val="002A09F7"/>
    <w:rsid w:val="002A0A79"/>
    <w:rsid w:val="002A0B3E"/>
    <w:rsid w:val="002A0B4F"/>
    <w:rsid w:val="002A0BF6"/>
    <w:rsid w:val="002A0C84"/>
    <w:rsid w:val="002A105D"/>
    <w:rsid w:val="002A137E"/>
    <w:rsid w:val="002A13A6"/>
    <w:rsid w:val="002A1406"/>
    <w:rsid w:val="002A1413"/>
    <w:rsid w:val="002A1416"/>
    <w:rsid w:val="002A1477"/>
    <w:rsid w:val="002A155C"/>
    <w:rsid w:val="002A1610"/>
    <w:rsid w:val="002A162D"/>
    <w:rsid w:val="002A1646"/>
    <w:rsid w:val="002A170A"/>
    <w:rsid w:val="002A1732"/>
    <w:rsid w:val="002A1805"/>
    <w:rsid w:val="002A1845"/>
    <w:rsid w:val="002A18B5"/>
    <w:rsid w:val="002A193A"/>
    <w:rsid w:val="002A1D5B"/>
    <w:rsid w:val="002A1E20"/>
    <w:rsid w:val="002A1E3B"/>
    <w:rsid w:val="002A1F2B"/>
    <w:rsid w:val="002A1F55"/>
    <w:rsid w:val="002A215D"/>
    <w:rsid w:val="002A22F7"/>
    <w:rsid w:val="002A2301"/>
    <w:rsid w:val="002A2392"/>
    <w:rsid w:val="002A23D7"/>
    <w:rsid w:val="002A246B"/>
    <w:rsid w:val="002A257E"/>
    <w:rsid w:val="002A2783"/>
    <w:rsid w:val="002A2810"/>
    <w:rsid w:val="002A2AAA"/>
    <w:rsid w:val="002A2AF8"/>
    <w:rsid w:val="002A2C16"/>
    <w:rsid w:val="002A2D64"/>
    <w:rsid w:val="002A2DEE"/>
    <w:rsid w:val="002A2F4D"/>
    <w:rsid w:val="002A3032"/>
    <w:rsid w:val="002A3167"/>
    <w:rsid w:val="002A324A"/>
    <w:rsid w:val="002A333A"/>
    <w:rsid w:val="002A3482"/>
    <w:rsid w:val="002A3531"/>
    <w:rsid w:val="002A365C"/>
    <w:rsid w:val="002A36FF"/>
    <w:rsid w:val="002A3794"/>
    <w:rsid w:val="002A3888"/>
    <w:rsid w:val="002A388A"/>
    <w:rsid w:val="002A39BD"/>
    <w:rsid w:val="002A3BE9"/>
    <w:rsid w:val="002A3DA2"/>
    <w:rsid w:val="002A3DA8"/>
    <w:rsid w:val="002A3E07"/>
    <w:rsid w:val="002A3E90"/>
    <w:rsid w:val="002A3EA8"/>
    <w:rsid w:val="002A3F09"/>
    <w:rsid w:val="002A3F85"/>
    <w:rsid w:val="002A432D"/>
    <w:rsid w:val="002A446B"/>
    <w:rsid w:val="002A4477"/>
    <w:rsid w:val="002A44A1"/>
    <w:rsid w:val="002A4631"/>
    <w:rsid w:val="002A47C0"/>
    <w:rsid w:val="002A47C7"/>
    <w:rsid w:val="002A4A4D"/>
    <w:rsid w:val="002A4D47"/>
    <w:rsid w:val="002A4E4E"/>
    <w:rsid w:val="002A4F4D"/>
    <w:rsid w:val="002A5027"/>
    <w:rsid w:val="002A5096"/>
    <w:rsid w:val="002A5138"/>
    <w:rsid w:val="002A521C"/>
    <w:rsid w:val="002A5328"/>
    <w:rsid w:val="002A551A"/>
    <w:rsid w:val="002A558A"/>
    <w:rsid w:val="002A58C0"/>
    <w:rsid w:val="002A5948"/>
    <w:rsid w:val="002A59FD"/>
    <w:rsid w:val="002A5B35"/>
    <w:rsid w:val="002A5C20"/>
    <w:rsid w:val="002A5DC1"/>
    <w:rsid w:val="002A5E4A"/>
    <w:rsid w:val="002A5ED1"/>
    <w:rsid w:val="002A60F6"/>
    <w:rsid w:val="002A6279"/>
    <w:rsid w:val="002A62D3"/>
    <w:rsid w:val="002A6343"/>
    <w:rsid w:val="002A646C"/>
    <w:rsid w:val="002A654E"/>
    <w:rsid w:val="002A657A"/>
    <w:rsid w:val="002A65EF"/>
    <w:rsid w:val="002A6609"/>
    <w:rsid w:val="002A66A3"/>
    <w:rsid w:val="002A6765"/>
    <w:rsid w:val="002A6A16"/>
    <w:rsid w:val="002A6C99"/>
    <w:rsid w:val="002A6CB8"/>
    <w:rsid w:val="002A6D05"/>
    <w:rsid w:val="002A6EC6"/>
    <w:rsid w:val="002A705D"/>
    <w:rsid w:val="002A753E"/>
    <w:rsid w:val="002A75CA"/>
    <w:rsid w:val="002A75D0"/>
    <w:rsid w:val="002A76A5"/>
    <w:rsid w:val="002A76AB"/>
    <w:rsid w:val="002A77D4"/>
    <w:rsid w:val="002A77DE"/>
    <w:rsid w:val="002A77F1"/>
    <w:rsid w:val="002A7A8A"/>
    <w:rsid w:val="002A7AC8"/>
    <w:rsid w:val="002A7BD0"/>
    <w:rsid w:val="002A7EA6"/>
    <w:rsid w:val="002B0058"/>
    <w:rsid w:val="002B00C3"/>
    <w:rsid w:val="002B010F"/>
    <w:rsid w:val="002B016A"/>
    <w:rsid w:val="002B01B9"/>
    <w:rsid w:val="002B0300"/>
    <w:rsid w:val="002B0378"/>
    <w:rsid w:val="002B039A"/>
    <w:rsid w:val="002B03B3"/>
    <w:rsid w:val="002B03D1"/>
    <w:rsid w:val="002B059C"/>
    <w:rsid w:val="002B05CA"/>
    <w:rsid w:val="002B0628"/>
    <w:rsid w:val="002B06D1"/>
    <w:rsid w:val="002B06DE"/>
    <w:rsid w:val="002B07B4"/>
    <w:rsid w:val="002B095A"/>
    <w:rsid w:val="002B09C5"/>
    <w:rsid w:val="002B0AEF"/>
    <w:rsid w:val="002B0B24"/>
    <w:rsid w:val="002B0B51"/>
    <w:rsid w:val="002B0DB2"/>
    <w:rsid w:val="002B0DF3"/>
    <w:rsid w:val="002B0DFF"/>
    <w:rsid w:val="002B0F40"/>
    <w:rsid w:val="002B10AB"/>
    <w:rsid w:val="002B137E"/>
    <w:rsid w:val="002B13BB"/>
    <w:rsid w:val="002B14C5"/>
    <w:rsid w:val="002B14E5"/>
    <w:rsid w:val="002B14E8"/>
    <w:rsid w:val="002B1732"/>
    <w:rsid w:val="002B17DF"/>
    <w:rsid w:val="002B17FA"/>
    <w:rsid w:val="002B1A2B"/>
    <w:rsid w:val="002B1A52"/>
    <w:rsid w:val="002B1AD8"/>
    <w:rsid w:val="002B1B2D"/>
    <w:rsid w:val="002B1B61"/>
    <w:rsid w:val="002B1BC4"/>
    <w:rsid w:val="002B1C2E"/>
    <w:rsid w:val="002B1E14"/>
    <w:rsid w:val="002B1F3A"/>
    <w:rsid w:val="002B214D"/>
    <w:rsid w:val="002B2218"/>
    <w:rsid w:val="002B2287"/>
    <w:rsid w:val="002B232E"/>
    <w:rsid w:val="002B2346"/>
    <w:rsid w:val="002B2354"/>
    <w:rsid w:val="002B23A1"/>
    <w:rsid w:val="002B25D6"/>
    <w:rsid w:val="002B29C1"/>
    <w:rsid w:val="002B2A46"/>
    <w:rsid w:val="002B2CAF"/>
    <w:rsid w:val="002B3095"/>
    <w:rsid w:val="002B30BF"/>
    <w:rsid w:val="002B30CA"/>
    <w:rsid w:val="002B3211"/>
    <w:rsid w:val="002B32A2"/>
    <w:rsid w:val="002B3949"/>
    <w:rsid w:val="002B3A72"/>
    <w:rsid w:val="002B3B52"/>
    <w:rsid w:val="002B3D26"/>
    <w:rsid w:val="002B3D49"/>
    <w:rsid w:val="002B3E0F"/>
    <w:rsid w:val="002B3E16"/>
    <w:rsid w:val="002B3F35"/>
    <w:rsid w:val="002B3FBC"/>
    <w:rsid w:val="002B3FBF"/>
    <w:rsid w:val="002B40EE"/>
    <w:rsid w:val="002B4316"/>
    <w:rsid w:val="002B432B"/>
    <w:rsid w:val="002B433D"/>
    <w:rsid w:val="002B45FD"/>
    <w:rsid w:val="002B47B9"/>
    <w:rsid w:val="002B4874"/>
    <w:rsid w:val="002B48AF"/>
    <w:rsid w:val="002B49B9"/>
    <w:rsid w:val="002B4BD6"/>
    <w:rsid w:val="002B4EAF"/>
    <w:rsid w:val="002B4EE5"/>
    <w:rsid w:val="002B506C"/>
    <w:rsid w:val="002B5127"/>
    <w:rsid w:val="002B5204"/>
    <w:rsid w:val="002B5289"/>
    <w:rsid w:val="002B54F1"/>
    <w:rsid w:val="002B54F6"/>
    <w:rsid w:val="002B5638"/>
    <w:rsid w:val="002B56BA"/>
    <w:rsid w:val="002B56BB"/>
    <w:rsid w:val="002B56C5"/>
    <w:rsid w:val="002B588B"/>
    <w:rsid w:val="002B59D7"/>
    <w:rsid w:val="002B5A3A"/>
    <w:rsid w:val="002B5C77"/>
    <w:rsid w:val="002B5D7B"/>
    <w:rsid w:val="002B5D95"/>
    <w:rsid w:val="002B5E24"/>
    <w:rsid w:val="002B5FA6"/>
    <w:rsid w:val="002B5FEA"/>
    <w:rsid w:val="002B63AA"/>
    <w:rsid w:val="002B6587"/>
    <w:rsid w:val="002B6659"/>
    <w:rsid w:val="002B6AB2"/>
    <w:rsid w:val="002B6ACA"/>
    <w:rsid w:val="002B6BAA"/>
    <w:rsid w:val="002B6BF7"/>
    <w:rsid w:val="002B707A"/>
    <w:rsid w:val="002B7252"/>
    <w:rsid w:val="002B72F2"/>
    <w:rsid w:val="002B7336"/>
    <w:rsid w:val="002B7356"/>
    <w:rsid w:val="002B7666"/>
    <w:rsid w:val="002B767B"/>
    <w:rsid w:val="002B7960"/>
    <w:rsid w:val="002B7991"/>
    <w:rsid w:val="002B7CB0"/>
    <w:rsid w:val="002B7DD3"/>
    <w:rsid w:val="002B7E32"/>
    <w:rsid w:val="002C0098"/>
    <w:rsid w:val="002C0153"/>
    <w:rsid w:val="002C019A"/>
    <w:rsid w:val="002C01C6"/>
    <w:rsid w:val="002C01DC"/>
    <w:rsid w:val="002C022C"/>
    <w:rsid w:val="002C02F0"/>
    <w:rsid w:val="002C0329"/>
    <w:rsid w:val="002C032D"/>
    <w:rsid w:val="002C0718"/>
    <w:rsid w:val="002C07BF"/>
    <w:rsid w:val="002C0835"/>
    <w:rsid w:val="002C0869"/>
    <w:rsid w:val="002C08E3"/>
    <w:rsid w:val="002C0A05"/>
    <w:rsid w:val="002C0B0F"/>
    <w:rsid w:val="002C0C0E"/>
    <w:rsid w:val="002C0CDE"/>
    <w:rsid w:val="002C0CE2"/>
    <w:rsid w:val="002C10BA"/>
    <w:rsid w:val="002C114C"/>
    <w:rsid w:val="002C12B0"/>
    <w:rsid w:val="002C13AC"/>
    <w:rsid w:val="002C1578"/>
    <w:rsid w:val="002C157D"/>
    <w:rsid w:val="002C15C6"/>
    <w:rsid w:val="002C17EE"/>
    <w:rsid w:val="002C1942"/>
    <w:rsid w:val="002C1C99"/>
    <w:rsid w:val="002C20E5"/>
    <w:rsid w:val="002C2123"/>
    <w:rsid w:val="002C2211"/>
    <w:rsid w:val="002C2280"/>
    <w:rsid w:val="002C22F4"/>
    <w:rsid w:val="002C232E"/>
    <w:rsid w:val="002C24F2"/>
    <w:rsid w:val="002C2642"/>
    <w:rsid w:val="002C26C8"/>
    <w:rsid w:val="002C2814"/>
    <w:rsid w:val="002C29A0"/>
    <w:rsid w:val="002C2AC3"/>
    <w:rsid w:val="002C2C7A"/>
    <w:rsid w:val="002C2CB3"/>
    <w:rsid w:val="002C2DFB"/>
    <w:rsid w:val="002C2E6F"/>
    <w:rsid w:val="002C2F29"/>
    <w:rsid w:val="002C2F4C"/>
    <w:rsid w:val="002C302E"/>
    <w:rsid w:val="002C30AA"/>
    <w:rsid w:val="002C31DF"/>
    <w:rsid w:val="002C3419"/>
    <w:rsid w:val="002C346F"/>
    <w:rsid w:val="002C36DD"/>
    <w:rsid w:val="002C385A"/>
    <w:rsid w:val="002C3873"/>
    <w:rsid w:val="002C39D9"/>
    <w:rsid w:val="002C3AB3"/>
    <w:rsid w:val="002C3C0C"/>
    <w:rsid w:val="002C3D42"/>
    <w:rsid w:val="002C3D81"/>
    <w:rsid w:val="002C3D9B"/>
    <w:rsid w:val="002C40A5"/>
    <w:rsid w:val="002C40DF"/>
    <w:rsid w:val="002C4171"/>
    <w:rsid w:val="002C4258"/>
    <w:rsid w:val="002C43DD"/>
    <w:rsid w:val="002C4427"/>
    <w:rsid w:val="002C44C3"/>
    <w:rsid w:val="002C4638"/>
    <w:rsid w:val="002C47FA"/>
    <w:rsid w:val="002C4853"/>
    <w:rsid w:val="002C48B4"/>
    <w:rsid w:val="002C4AEF"/>
    <w:rsid w:val="002C4AF1"/>
    <w:rsid w:val="002C4E0B"/>
    <w:rsid w:val="002C4F56"/>
    <w:rsid w:val="002C4FA3"/>
    <w:rsid w:val="002C4FAD"/>
    <w:rsid w:val="002C501A"/>
    <w:rsid w:val="002C5101"/>
    <w:rsid w:val="002C523B"/>
    <w:rsid w:val="002C5288"/>
    <w:rsid w:val="002C52DB"/>
    <w:rsid w:val="002C52FE"/>
    <w:rsid w:val="002C5454"/>
    <w:rsid w:val="002C5644"/>
    <w:rsid w:val="002C57C0"/>
    <w:rsid w:val="002C5807"/>
    <w:rsid w:val="002C582C"/>
    <w:rsid w:val="002C5851"/>
    <w:rsid w:val="002C5924"/>
    <w:rsid w:val="002C5A89"/>
    <w:rsid w:val="002C5BA3"/>
    <w:rsid w:val="002C5D9B"/>
    <w:rsid w:val="002C5FA6"/>
    <w:rsid w:val="002C6159"/>
    <w:rsid w:val="002C61AD"/>
    <w:rsid w:val="002C621E"/>
    <w:rsid w:val="002C645A"/>
    <w:rsid w:val="002C657E"/>
    <w:rsid w:val="002C6A93"/>
    <w:rsid w:val="002C6AA4"/>
    <w:rsid w:val="002C6ADE"/>
    <w:rsid w:val="002C6BCE"/>
    <w:rsid w:val="002C6C23"/>
    <w:rsid w:val="002C6C49"/>
    <w:rsid w:val="002C6CBE"/>
    <w:rsid w:val="002C6DD5"/>
    <w:rsid w:val="002C7009"/>
    <w:rsid w:val="002C705A"/>
    <w:rsid w:val="002C73A3"/>
    <w:rsid w:val="002C7431"/>
    <w:rsid w:val="002C7516"/>
    <w:rsid w:val="002C752F"/>
    <w:rsid w:val="002C754F"/>
    <w:rsid w:val="002C77CE"/>
    <w:rsid w:val="002C77F0"/>
    <w:rsid w:val="002C7942"/>
    <w:rsid w:val="002C79A6"/>
    <w:rsid w:val="002C79B5"/>
    <w:rsid w:val="002C7B38"/>
    <w:rsid w:val="002C7BD9"/>
    <w:rsid w:val="002C7CE5"/>
    <w:rsid w:val="002C7D03"/>
    <w:rsid w:val="002C7E1D"/>
    <w:rsid w:val="002C7F1B"/>
    <w:rsid w:val="002D01BB"/>
    <w:rsid w:val="002D04DE"/>
    <w:rsid w:val="002D0603"/>
    <w:rsid w:val="002D06C1"/>
    <w:rsid w:val="002D081D"/>
    <w:rsid w:val="002D0855"/>
    <w:rsid w:val="002D085B"/>
    <w:rsid w:val="002D0C76"/>
    <w:rsid w:val="002D0D7D"/>
    <w:rsid w:val="002D0DF2"/>
    <w:rsid w:val="002D0EFF"/>
    <w:rsid w:val="002D110A"/>
    <w:rsid w:val="002D1463"/>
    <w:rsid w:val="002D1466"/>
    <w:rsid w:val="002D1496"/>
    <w:rsid w:val="002D15D4"/>
    <w:rsid w:val="002D162B"/>
    <w:rsid w:val="002D1989"/>
    <w:rsid w:val="002D199F"/>
    <w:rsid w:val="002D1A24"/>
    <w:rsid w:val="002D1BD0"/>
    <w:rsid w:val="002D1C4B"/>
    <w:rsid w:val="002D1D95"/>
    <w:rsid w:val="002D1E80"/>
    <w:rsid w:val="002D204B"/>
    <w:rsid w:val="002D2111"/>
    <w:rsid w:val="002D2139"/>
    <w:rsid w:val="002D233B"/>
    <w:rsid w:val="002D24A3"/>
    <w:rsid w:val="002D24B1"/>
    <w:rsid w:val="002D256D"/>
    <w:rsid w:val="002D2654"/>
    <w:rsid w:val="002D2735"/>
    <w:rsid w:val="002D27E9"/>
    <w:rsid w:val="002D283C"/>
    <w:rsid w:val="002D2947"/>
    <w:rsid w:val="002D2973"/>
    <w:rsid w:val="002D2ACC"/>
    <w:rsid w:val="002D2ADB"/>
    <w:rsid w:val="002D2AE3"/>
    <w:rsid w:val="002D2BC2"/>
    <w:rsid w:val="002D2C40"/>
    <w:rsid w:val="002D2D0F"/>
    <w:rsid w:val="002D2DFD"/>
    <w:rsid w:val="002D2E8B"/>
    <w:rsid w:val="002D2E98"/>
    <w:rsid w:val="002D2EE2"/>
    <w:rsid w:val="002D2F4D"/>
    <w:rsid w:val="002D3096"/>
    <w:rsid w:val="002D3101"/>
    <w:rsid w:val="002D312C"/>
    <w:rsid w:val="002D3156"/>
    <w:rsid w:val="002D3217"/>
    <w:rsid w:val="002D34C5"/>
    <w:rsid w:val="002D358A"/>
    <w:rsid w:val="002D35E3"/>
    <w:rsid w:val="002D3680"/>
    <w:rsid w:val="002D36AA"/>
    <w:rsid w:val="002D3703"/>
    <w:rsid w:val="002D372E"/>
    <w:rsid w:val="002D37D9"/>
    <w:rsid w:val="002D39C8"/>
    <w:rsid w:val="002D3A9F"/>
    <w:rsid w:val="002D3BC2"/>
    <w:rsid w:val="002D3BD9"/>
    <w:rsid w:val="002D3CD3"/>
    <w:rsid w:val="002D3E59"/>
    <w:rsid w:val="002D400D"/>
    <w:rsid w:val="002D437F"/>
    <w:rsid w:val="002D4406"/>
    <w:rsid w:val="002D442D"/>
    <w:rsid w:val="002D451C"/>
    <w:rsid w:val="002D459C"/>
    <w:rsid w:val="002D471D"/>
    <w:rsid w:val="002D4761"/>
    <w:rsid w:val="002D4861"/>
    <w:rsid w:val="002D4878"/>
    <w:rsid w:val="002D4970"/>
    <w:rsid w:val="002D4A56"/>
    <w:rsid w:val="002D4BC4"/>
    <w:rsid w:val="002D4CB9"/>
    <w:rsid w:val="002D4E0F"/>
    <w:rsid w:val="002D4E5B"/>
    <w:rsid w:val="002D4E81"/>
    <w:rsid w:val="002D4F85"/>
    <w:rsid w:val="002D509A"/>
    <w:rsid w:val="002D514C"/>
    <w:rsid w:val="002D53C1"/>
    <w:rsid w:val="002D5563"/>
    <w:rsid w:val="002D55E7"/>
    <w:rsid w:val="002D567B"/>
    <w:rsid w:val="002D5804"/>
    <w:rsid w:val="002D5892"/>
    <w:rsid w:val="002D594B"/>
    <w:rsid w:val="002D5B14"/>
    <w:rsid w:val="002D5B22"/>
    <w:rsid w:val="002D5E56"/>
    <w:rsid w:val="002D5F02"/>
    <w:rsid w:val="002D612D"/>
    <w:rsid w:val="002D6203"/>
    <w:rsid w:val="002D65AD"/>
    <w:rsid w:val="002D6731"/>
    <w:rsid w:val="002D67A7"/>
    <w:rsid w:val="002D6878"/>
    <w:rsid w:val="002D69C1"/>
    <w:rsid w:val="002D6DEF"/>
    <w:rsid w:val="002D6ECE"/>
    <w:rsid w:val="002D6EEF"/>
    <w:rsid w:val="002D6FCD"/>
    <w:rsid w:val="002D7051"/>
    <w:rsid w:val="002D7164"/>
    <w:rsid w:val="002D716F"/>
    <w:rsid w:val="002D71DA"/>
    <w:rsid w:val="002D7219"/>
    <w:rsid w:val="002D746C"/>
    <w:rsid w:val="002D74B4"/>
    <w:rsid w:val="002D7679"/>
    <w:rsid w:val="002D7833"/>
    <w:rsid w:val="002D78BD"/>
    <w:rsid w:val="002D79C7"/>
    <w:rsid w:val="002D7A45"/>
    <w:rsid w:val="002D7B66"/>
    <w:rsid w:val="002D7E81"/>
    <w:rsid w:val="002D7EBB"/>
    <w:rsid w:val="002E0186"/>
    <w:rsid w:val="002E0274"/>
    <w:rsid w:val="002E042F"/>
    <w:rsid w:val="002E04D3"/>
    <w:rsid w:val="002E0586"/>
    <w:rsid w:val="002E058D"/>
    <w:rsid w:val="002E05A4"/>
    <w:rsid w:val="002E071B"/>
    <w:rsid w:val="002E07A8"/>
    <w:rsid w:val="002E0804"/>
    <w:rsid w:val="002E08FD"/>
    <w:rsid w:val="002E0983"/>
    <w:rsid w:val="002E09E5"/>
    <w:rsid w:val="002E0AE6"/>
    <w:rsid w:val="002E0BF8"/>
    <w:rsid w:val="002E0D02"/>
    <w:rsid w:val="002E0DDE"/>
    <w:rsid w:val="002E0DEA"/>
    <w:rsid w:val="002E0EE9"/>
    <w:rsid w:val="002E107A"/>
    <w:rsid w:val="002E10F4"/>
    <w:rsid w:val="002E1152"/>
    <w:rsid w:val="002E11BC"/>
    <w:rsid w:val="002E170A"/>
    <w:rsid w:val="002E18CB"/>
    <w:rsid w:val="002E1A84"/>
    <w:rsid w:val="002E1B64"/>
    <w:rsid w:val="002E1B8F"/>
    <w:rsid w:val="002E1BDC"/>
    <w:rsid w:val="002E1C3E"/>
    <w:rsid w:val="002E1DFF"/>
    <w:rsid w:val="002E1E53"/>
    <w:rsid w:val="002E1E57"/>
    <w:rsid w:val="002E1E5C"/>
    <w:rsid w:val="002E1E8A"/>
    <w:rsid w:val="002E1EC2"/>
    <w:rsid w:val="002E1EEA"/>
    <w:rsid w:val="002E1F5A"/>
    <w:rsid w:val="002E2251"/>
    <w:rsid w:val="002E2268"/>
    <w:rsid w:val="002E241B"/>
    <w:rsid w:val="002E249C"/>
    <w:rsid w:val="002E2527"/>
    <w:rsid w:val="002E2557"/>
    <w:rsid w:val="002E27F9"/>
    <w:rsid w:val="002E291D"/>
    <w:rsid w:val="002E2AD7"/>
    <w:rsid w:val="002E2AE6"/>
    <w:rsid w:val="002E2D63"/>
    <w:rsid w:val="002E2DDA"/>
    <w:rsid w:val="002E30BA"/>
    <w:rsid w:val="002E30E6"/>
    <w:rsid w:val="002E320B"/>
    <w:rsid w:val="002E32E2"/>
    <w:rsid w:val="002E33BD"/>
    <w:rsid w:val="002E350B"/>
    <w:rsid w:val="002E371B"/>
    <w:rsid w:val="002E378C"/>
    <w:rsid w:val="002E395C"/>
    <w:rsid w:val="002E3A93"/>
    <w:rsid w:val="002E3B57"/>
    <w:rsid w:val="002E3C03"/>
    <w:rsid w:val="002E3C62"/>
    <w:rsid w:val="002E3CD2"/>
    <w:rsid w:val="002E3DDA"/>
    <w:rsid w:val="002E3DDC"/>
    <w:rsid w:val="002E3E6B"/>
    <w:rsid w:val="002E3ED2"/>
    <w:rsid w:val="002E3F13"/>
    <w:rsid w:val="002E402D"/>
    <w:rsid w:val="002E4162"/>
    <w:rsid w:val="002E42FC"/>
    <w:rsid w:val="002E446C"/>
    <w:rsid w:val="002E44FD"/>
    <w:rsid w:val="002E457E"/>
    <w:rsid w:val="002E480A"/>
    <w:rsid w:val="002E49B3"/>
    <w:rsid w:val="002E4A85"/>
    <w:rsid w:val="002E4AAC"/>
    <w:rsid w:val="002E4C0D"/>
    <w:rsid w:val="002E4CC9"/>
    <w:rsid w:val="002E4DF6"/>
    <w:rsid w:val="002E52AD"/>
    <w:rsid w:val="002E530E"/>
    <w:rsid w:val="002E574E"/>
    <w:rsid w:val="002E5754"/>
    <w:rsid w:val="002E57B4"/>
    <w:rsid w:val="002E57D6"/>
    <w:rsid w:val="002E587D"/>
    <w:rsid w:val="002E58AC"/>
    <w:rsid w:val="002E5B8B"/>
    <w:rsid w:val="002E5BF1"/>
    <w:rsid w:val="002E5C38"/>
    <w:rsid w:val="002E5E84"/>
    <w:rsid w:val="002E5EBF"/>
    <w:rsid w:val="002E5FB3"/>
    <w:rsid w:val="002E60D4"/>
    <w:rsid w:val="002E61A4"/>
    <w:rsid w:val="002E61E3"/>
    <w:rsid w:val="002E627C"/>
    <w:rsid w:val="002E6336"/>
    <w:rsid w:val="002E64F6"/>
    <w:rsid w:val="002E650C"/>
    <w:rsid w:val="002E652D"/>
    <w:rsid w:val="002E6538"/>
    <w:rsid w:val="002E6547"/>
    <w:rsid w:val="002E655C"/>
    <w:rsid w:val="002E664C"/>
    <w:rsid w:val="002E6703"/>
    <w:rsid w:val="002E673D"/>
    <w:rsid w:val="002E67EF"/>
    <w:rsid w:val="002E68A3"/>
    <w:rsid w:val="002E68FE"/>
    <w:rsid w:val="002E6A1C"/>
    <w:rsid w:val="002E6A60"/>
    <w:rsid w:val="002E6AA6"/>
    <w:rsid w:val="002E6AE6"/>
    <w:rsid w:val="002E6B22"/>
    <w:rsid w:val="002E6B72"/>
    <w:rsid w:val="002E6C3A"/>
    <w:rsid w:val="002E6C6D"/>
    <w:rsid w:val="002E6CF1"/>
    <w:rsid w:val="002E706A"/>
    <w:rsid w:val="002E712A"/>
    <w:rsid w:val="002E71BE"/>
    <w:rsid w:val="002E7251"/>
    <w:rsid w:val="002E727D"/>
    <w:rsid w:val="002E7290"/>
    <w:rsid w:val="002E7539"/>
    <w:rsid w:val="002E7631"/>
    <w:rsid w:val="002E79CA"/>
    <w:rsid w:val="002E7A67"/>
    <w:rsid w:val="002E7B63"/>
    <w:rsid w:val="002E7B93"/>
    <w:rsid w:val="002E7BA7"/>
    <w:rsid w:val="002E7CF1"/>
    <w:rsid w:val="002E7E1D"/>
    <w:rsid w:val="002E7E78"/>
    <w:rsid w:val="002E7E9A"/>
    <w:rsid w:val="002F0158"/>
    <w:rsid w:val="002F0328"/>
    <w:rsid w:val="002F0427"/>
    <w:rsid w:val="002F0493"/>
    <w:rsid w:val="002F05A1"/>
    <w:rsid w:val="002F05ED"/>
    <w:rsid w:val="002F0895"/>
    <w:rsid w:val="002F08D2"/>
    <w:rsid w:val="002F0BFF"/>
    <w:rsid w:val="002F0C5A"/>
    <w:rsid w:val="002F0CF7"/>
    <w:rsid w:val="002F0D95"/>
    <w:rsid w:val="002F0DC7"/>
    <w:rsid w:val="002F106F"/>
    <w:rsid w:val="002F1107"/>
    <w:rsid w:val="002F1122"/>
    <w:rsid w:val="002F1142"/>
    <w:rsid w:val="002F129E"/>
    <w:rsid w:val="002F12A4"/>
    <w:rsid w:val="002F12A7"/>
    <w:rsid w:val="002F13CC"/>
    <w:rsid w:val="002F1452"/>
    <w:rsid w:val="002F1534"/>
    <w:rsid w:val="002F164E"/>
    <w:rsid w:val="002F1695"/>
    <w:rsid w:val="002F16B1"/>
    <w:rsid w:val="002F17BD"/>
    <w:rsid w:val="002F17D7"/>
    <w:rsid w:val="002F17F8"/>
    <w:rsid w:val="002F1834"/>
    <w:rsid w:val="002F1C6C"/>
    <w:rsid w:val="002F213C"/>
    <w:rsid w:val="002F223A"/>
    <w:rsid w:val="002F232B"/>
    <w:rsid w:val="002F2383"/>
    <w:rsid w:val="002F2417"/>
    <w:rsid w:val="002F2752"/>
    <w:rsid w:val="002F29E1"/>
    <w:rsid w:val="002F2A21"/>
    <w:rsid w:val="002F2AFD"/>
    <w:rsid w:val="002F2B59"/>
    <w:rsid w:val="002F2CAE"/>
    <w:rsid w:val="002F2E42"/>
    <w:rsid w:val="002F2F0C"/>
    <w:rsid w:val="002F305A"/>
    <w:rsid w:val="002F309F"/>
    <w:rsid w:val="002F3229"/>
    <w:rsid w:val="002F32BD"/>
    <w:rsid w:val="002F33B6"/>
    <w:rsid w:val="002F3513"/>
    <w:rsid w:val="002F35D1"/>
    <w:rsid w:val="002F3677"/>
    <w:rsid w:val="002F387B"/>
    <w:rsid w:val="002F3B5A"/>
    <w:rsid w:val="002F3B5D"/>
    <w:rsid w:val="002F3BAD"/>
    <w:rsid w:val="002F3C96"/>
    <w:rsid w:val="002F3CB1"/>
    <w:rsid w:val="002F3D19"/>
    <w:rsid w:val="002F3F28"/>
    <w:rsid w:val="002F3F93"/>
    <w:rsid w:val="002F4003"/>
    <w:rsid w:val="002F4084"/>
    <w:rsid w:val="002F4209"/>
    <w:rsid w:val="002F4349"/>
    <w:rsid w:val="002F4485"/>
    <w:rsid w:val="002F452F"/>
    <w:rsid w:val="002F45B5"/>
    <w:rsid w:val="002F45DF"/>
    <w:rsid w:val="002F46AE"/>
    <w:rsid w:val="002F4734"/>
    <w:rsid w:val="002F4881"/>
    <w:rsid w:val="002F4974"/>
    <w:rsid w:val="002F4A56"/>
    <w:rsid w:val="002F4AB1"/>
    <w:rsid w:val="002F4DD8"/>
    <w:rsid w:val="002F4E4E"/>
    <w:rsid w:val="002F5123"/>
    <w:rsid w:val="002F5285"/>
    <w:rsid w:val="002F5296"/>
    <w:rsid w:val="002F52CA"/>
    <w:rsid w:val="002F5386"/>
    <w:rsid w:val="002F5388"/>
    <w:rsid w:val="002F546A"/>
    <w:rsid w:val="002F565A"/>
    <w:rsid w:val="002F5688"/>
    <w:rsid w:val="002F5710"/>
    <w:rsid w:val="002F5799"/>
    <w:rsid w:val="002F57C6"/>
    <w:rsid w:val="002F58B7"/>
    <w:rsid w:val="002F59AD"/>
    <w:rsid w:val="002F5A84"/>
    <w:rsid w:val="002F5AB6"/>
    <w:rsid w:val="002F5B20"/>
    <w:rsid w:val="002F5BD1"/>
    <w:rsid w:val="002F5C5D"/>
    <w:rsid w:val="002F5C7F"/>
    <w:rsid w:val="002F5D9A"/>
    <w:rsid w:val="002F5E78"/>
    <w:rsid w:val="002F5EA9"/>
    <w:rsid w:val="002F60BC"/>
    <w:rsid w:val="002F6197"/>
    <w:rsid w:val="002F6459"/>
    <w:rsid w:val="002F651A"/>
    <w:rsid w:val="002F6578"/>
    <w:rsid w:val="002F6671"/>
    <w:rsid w:val="002F66CE"/>
    <w:rsid w:val="002F6862"/>
    <w:rsid w:val="002F6B01"/>
    <w:rsid w:val="002F6BD4"/>
    <w:rsid w:val="002F6CC3"/>
    <w:rsid w:val="002F6DF3"/>
    <w:rsid w:val="002F6EB4"/>
    <w:rsid w:val="002F6F0B"/>
    <w:rsid w:val="002F6FBB"/>
    <w:rsid w:val="002F7033"/>
    <w:rsid w:val="002F70FB"/>
    <w:rsid w:val="002F7114"/>
    <w:rsid w:val="002F719D"/>
    <w:rsid w:val="002F71F2"/>
    <w:rsid w:val="002F71F4"/>
    <w:rsid w:val="002F7308"/>
    <w:rsid w:val="002F7421"/>
    <w:rsid w:val="002F746F"/>
    <w:rsid w:val="002F7559"/>
    <w:rsid w:val="002F75E4"/>
    <w:rsid w:val="002F79C1"/>
    <w:rsid w:val="002F79FE"/>
    <w:rsid w:val="002F7A38"/>
    <w:rsid w:val="002F7A67"/>
    <w:rsid w:val="002F7B85"/>
    <w:rsid w:val="002F7BCB"/>
    <w:rsid w:val="002F7C51"/>
    <w:rsid w:val="002F7D5E"/>
    <w:rsid w:val="002F7D6D"/>
    <w:rsid w:val="002F7EE4"/>
    <w:rsid w:val="002F7FDE"/>
    <w:rsid w:val="0030006A"/>
    <w:rsid w:val="0030009E"/>
    <w:rsid w:val="003003A0"/>
    <w:rsid w:val="0030046B"/>
    <w:rsid w:val="003004D6"/>
    <w:rsid w:val="0030074B"/>
    <w:rsid w:val="00300882"/>
    <w:rsid w:val="00300896"/>
    <w:rsid w:val="003008A6"/>
    <w:rsid w:val="00300AD6"/>
    <w:rsid w:val="00300B11"/>
    <w:rsid w:val="00300B68"/>
    <w:rsid w:val="00300B8C"/>
    <w:rsid w:val="00300BEC"/>
    <w:rsid w:val="00300D44"/>
    <w:rsid w:val="00300DAD"/>
    <w:rsid w:val="00300EB7"/>
    <w:rsid w:val="0030117D"/>
    <w:rsid w:val="003011CB"/>
    <w:rsid w:val="003012A0"/>
    <w:rsid w:val="00301803"/>
    <w:rsid w:val="00301884"/>
    <w:rsid w:val="00301A23"/>
    <w:rsid w:val="00301A4B"/>
    <w:rsid w:val="00301C4E"/>
    <w:rsid w:val="00301D89"/>
    <w:rsid w:val="00301E1D"/>
    <w:rsid w:val="00301E6A"/>
    <w:rsid w:val="00301F16"/>
    <w:rsid w:val="00301F24"/>
    <w:rsid w:val="00302096"/>
    <w:rsid w:val="0030219E"/>
    <w:rsid w:val="00302201"/>
    <w:rsid w:val="00302220"/>
    <w:rsid w:val="003022EE"/>
    <w:rsid w:val="0030237C"/>
    <w:rsid w:val="00302395"/>
    <w:rsid w:val="00302434"/>
    <w:rsid w:val="0030245F"/>
    <w:rsid w:val="00302736"/>
    <w:rsid w:val="0030291C"/>
    <w:rsid w:val="00302A16"/>
    <w:rsid w:val="00302A95"/>
    <w:rsid w:val="00302CB7"/>
    <w:rsid w:val="00302D5C"/>
    <w:rsid w:val="00302D85"/>
    <w:rsid w:val="00302E0D"/>
    <w:rsid w:val="00302E38"/>
    <w:rsid w:val="00302FB0"/>
    <w:rsid w:val="003030A7"/>
    <w:rsid w:val="00303318"/>
    <w:rsid w:val="00303424"/>
    <w:rsid w:val="00303478"/>
    <w:rsid w:val="00303684"/>
    <w:rsid w:val="0030375A"/>
    <w:rsid w:val="0030393F"/>
    <w:rsid w:val="00303A61"/>
    <w:rsid w:val="00303A86"/>
    <w:rsid w:val="00303AAF"/>
    <w:rsid w:val="00303AE7"/>
    <w:rsid w:val="00303B22"/>
    <w:rsid w:val="00303B6E"/>
    <w:rsid w:val="00303CBE"/>
    <w:rsid w:val="00303D7D"/>
    <w:rsid w:val="00303EB7"/>
    <w:rsid w:val="00304113"/>
    <w:rsid w:val="003041AF"/>
    <w:rsid w:val="003041F8"/>
    <w:rsid w:val="0030433F"/>
    <w:rsid w:val="00304388"/>
    <w:rsid w:val="00304415"/>
    <w:rsid w:val="00304481"/>
    <w:rsid w:val="003044A0"/>
    <w:rsid w:val="00304575"/>
    <w:rsid w:val="003045A1"/>
    <w:rsid w:val="003045CA"/>
    <w:rsid w:val="0030473A"/>
    <w:rsid w:val="00304A4E"/>
    <w:rsid w:val="00304A7B"/>
    <w:rsid w:val="00304AAA"/>
    <w:rsid w:val="00304CDE"/>
    <w:rsid w:val="00304D04"/>
    <w:rsid w:val="00304D61"/>
    <w:rsid w:val="00304D9F"/>
    <w:rsid w:val="00304E5E"/>
    <w:rsid w:val="00304F8F"/>
    <w:rsid w:val="00304FAA"/>
    <w:rsid w:val="0030503A"/>
    <w:rsid w:val="0030517F"/>
    <w:rsid w:val="00305205"/>
    <w:rsid w:val="00305250"/>
    <w:rsid w:val="003054B3"/>
    <w:rsid w:val="00305562"/>
    <w:rsid w:val="0030578A"/>
    <w:rsid w:val="00305954"/>
    <w:rsid w:val="00305ABE"/>
    <w:rsid w:val="00305B4A"/>
    <w:rsid w:val="00305B68"/>
    <w:rsid w:val="00305CAE"/>
    <w:rsid w:val="00305DBE"/>
    <w:rsid w:val="00305EBF"/>
    <w:rsid w:val="00305EFE"/>
    <w:rsid w:val="00305F90"/>
    <w:rsid w:val="00305FF8"/>
    <w:rsid w:val="00306120"/>
    <w:rsid w:val="00306336"/>
    <w:rsid w:val="0030657D"/>
    <w:rsid w:val="003066CA"/>
    <w:rsid w:val="00306996"/>
    <w:rsid w:val="00306A13"/>
    <w:rsid w:val="00306A1C"/>
    <w:rsid w:val="00306ACF"/>
    <w:rsid w:val="00306B4C"/>
    <w:rsid w:val="00306BE7"/>
    <w:rsid w:val="00306CF1"/>
    <w:rsid w:val="00306E40"/>
    <w:rsid w:val="003073E9"/>
    <w:rsid w:val="0030758C"/>
    <w:rsid w:val="003076D7"/>
    <w:rsid w:val="0030770B"/>
    <w:rsid w:val="0030776B"/>
    <w:rsid w:val="0030793D"/>
    <w:rsid w:val="00307999"/>
    <w:rsid w:val="003079CF"/>
    <w:rsid w:val="00307A4D"/>
    <w:rsid w:val="00307AA7"/>
    <w:rsid w:val="00307B14"/>
    <w:rsid w:val="00307C40"/>
    <w:rsid w:val="00307C99"/>
    <w:rsid w:val="00307E2D"/>
    <w:rsid w:val="003100F4"/>
    <w:rsid w:val="00310114"/>
    <w:rsid w:val="0031027B"/>
    <w:rsid w:val="003102E9"/>
    <w:rsid w:val="0031033B"/>
    <w:rsid w:val="00310405"/>
    <w:rsid w:val="00310412"/>
    <w:rsid w:val="003104E5"/>
    <w:rsid w:val="00310513"/>
    <w:rsid w:val="0031058C"/>
    <w:rsid w:val="003106C3"/>
    <w:rsid w:val="003106EA"/>
    <w:rsid w:val="00310789"/>
    <w:rsid w:val="003108AB"/>
    <w:rsid w:val="00310ABF"/>
    <w:rsid w:val="00310AD4"/>
    <w:rsid w:val="00310C24"/>
    <w:rsid w:val="00310C5D"/>
    <w:rsid w:val="00310DC6"/>
    <w:rsid w:val="00310EC2"/>
    <w:rsid w:val="00310EC6"/>
    <w:rsid w:val="00310F19"/>
    <w:rsid w:val="003111C6"/>
    <w:rsid w:val="00311278"/>
    <w:rsid w:val="00311329"/>
    <w:rsid w:val="00311507"/>
    <w:rsid w:val="003115A3"/>
    <w:rsid w:val="0031161C"/>
    <w:rsid w:val="00311774"/>
    <w:rsid w:val="00311B8B"/>
    <w:rsid w:val="00311C21"/>
    <w:rsid w:val="00311FFC"/>
    <w:rsid w:val="003120A7"/>
    <w:rsid w:val="003121B4"/>
    <w:rsid w:val="0031237C"/>
    <w:rsid w:val="003123B0"/>
    <w:rsid w:val="003124BF"/>
    <w:rsid w:val="003125E5"/>
    <w:rsid w:val="003127D9"/>
    <w:rsid w:val="00312887"/>
    <w:rsid w:val="003128E2"/>
    <w:rsid w:val="00312958"/>
    <w:rsid w:val="0031297E"/>
    <w:rsid w:val="00312A70"/>
    <w:rsid w:val="00312A8A"/>
    <w:rsid w:val="00312BE1"/>
    <w:rsid w:val="00312D16"/>
    <w:rsid w:val="00312DB7"/>
    <w:rsid w:val="00312DD1"/>
    <w:rsid w:val="00312E25"/>
    <w:rsid w:val="00312E4D"/>
    <w:rsid w:val="00312F88"/>
    <w:rsid w:val="00313021"/>
    <w:rsid w:val="00313042"/>
    <w:rsid w:val="003131FE"/>
    <w:rsid w:val="00313227"/>
    <w:rsid w:val="003133F5"/>
    <w:rsid w:val="00313418"/>
    <w:rsid w:val="00313529"/>
    <w:rsid w:val="0031360D"/>
    <w:rsid w:val="00313798"/>
    <w:rsid w:val="003138D4"/>
    <w:rsid w:val="003138E4"/>
    <w:rsid w:val="0031396E"/>
    <w:rsid w:val="00313A74"/>
    <w:rsid w:val="00313B59"/>
    <w:rsid w:val="00313B70"/>
    <w:rsid w:val="00313C39"/>
    <w:rsid w:val="00313C4C"/>
    <w:rsid w:val="00313D1B"/>
    <w:rsid w:val="00313DCA"/>
    <w:rsid w:val="00313E11"/>
    <w:rsid w:val="00313E6B"/>
    <w:rsid w:val="00313E7B"/>
    <w:rsid w:val="0031414D"/>
    <w:rsid w:val="003141FB"/>
    <w:rsid w:val="00314217"/>
    <w:rsid w:val="003142BD"/>
    <w:rsid w:val="00314316"/>
    <w:rsid w:val="0031440B"/>
    <w:rsid w:val="0031446A"/>
    <w:rsid w:val="0031449D"/>
    <w:rsid w:val="003148A7"/>
    <w:rsid w:val="0031498C"/>
    <w:rsid w:val="003149AD"/>
    <w:rsid w:val="00314BE1"/>
    <w:rsid w:val="00314C0F"/>
    <w:rsid w:val="00314C47"/>
    <w:rsid w:val="00314C49"/>
    <w:rsid w:val="00314D90"/>
    <w:rsid w:val="00314DD9"/>
    <w:rsid w:val="00314E69"/>
    <w:rsid w:val="00314F03"/>
    <w:rsid w:val="00314F24"/>
    <w:rsid w:val="00315054"/>
    <w:rsid w:val="00315160"/>
    <w:rsid w:val="003151AF"/>
    <w:rsid w:val="0031530E"/>
    <w:rsid w:val="00315447"/>
    <w:rsid w:val="00315550"/>
    <w:rsid w:val="00315581"/>
    <w:rsid w:val="0031584A"/>
    <w:rsid w:val="00315953"/>
    <w:rsid w:val="0031596F"/>
    <w:rsid w:val="00315B10"/>
    <w:rsid w:val="00315B3B"/>
    <w:rsid w:val="00315C97"/>
    <w:rsid w:val="00315D6A"/>
    <w:rsid w:val="00315D71"/>
    <w:rsid w:val="00315F66"/>
    <w:rsid w:val="00315F9C"/>
    <w:rsid w:val="0031602D"/>
    <w:rsid w:val="00316208"/>
    <w:rsid w:val="003162AA"/>
    <w:rsid w:val="003162B0"/>
    <w:rsid w:val="0031639A"/>
    <w:rsid w:val="003163DA"/>
    <w:rsid w:val="00316408"/>
    <w:rsid w:val="003165A4"/>
    <w:rsid w:val="00316762"/>
    <w:rsid w:val="00316877"/>
    <w:rsid w:val="003168C0"/>
    <w:rsid w:val="0031696C"/>
    <w:rsid w:val="003169CA"/>
    <w:rsid w:val="00316A94"/>
    <w:rsid w:val="00316B71"/>
    <w:rsid w:val="00316B95"/>
    <w:rsid w:val="00316FCD"/>
    <w:rsid w:val="0031719D"/>
    <w:rsid w:val="0031726D"/>
    <w:rsid w:val="003172BC"/>
    <w:rsid w:val="003173D3"/>
    <w:rsid w:val="003173FB"/>
    <w:rsid w:val="003174A7"/>
    <w:rsid w:val="003175ED"/>
    <w:rsid w:val="0031761F"/>
    <w:rsid w:val="00317675"/>
    <w:rsid w:val="0031775A"/>
    <w:rsid w:val="003179DC"/>
    <w:rsid w:val="00317B1F"/>
    <w:rsid w:val="00317C0D"/>
    <w:rsid w:val="00317CA4"/>
    <w:rsid w:val="00317CFD"/>
    <w:rsid w:val="00317D4D"/>
    <w:rsid w:val="00317D97"/>
    <w:rsid w:val="00317DB1"/>
    <w:rsid w:val="00317DFE"/>
    <w:rsid w:val="003200A9"/>
    <w:rsid w:val="003200CF"/>
    <w:rsid w:val="0032010C"/>
    <w:rsid w:val="0032012E"/>
    <w:rsid w:val="003201DD"/>
    <w:rsid w:val="00320301"/>
    <w:rsid w:val="00320532"/>
    <w:rsid w:val="00320689"/>
    <w:rsid w:val="003206D7"/>
    <w:rsid w:val="00320726"/>
    <w:rsid w:val="003209FB"/>
    <w:rsid w:val="00320A67"/>
    <w:rsid w:val="00320A8D"/>
    <w:rsid w:val="00320B2C"/>
    <w:rsid w:val="00320CF1"/>
    <w:rsid w:val="00320CF5"/>
    <w:rsid w:val="00320EC3"/>
    <w:rsid w:val="00320EC9"/>
    <w:rsid w:val="00321382"/>
    <w:rsid w:val="003213D1"/>
    <w:rsid w:val="003218C7"/>
    <w:rsid w:val="00321A39"/>
    <w:rsid w:val="00321AFA"/>
    <w:rsid w:val="00321B3E"/>
    <w:rsid w:val="00321B8C"/>
    <w:rsid w:val="00321BBA"/>
    <w:rsid w:val="00321EC0"/>
    <w:rsid w:val="00321FAB"/>
    <w:rsid w:val="00321FCB"/>
    <w:rsid w:val="00321FCE"/>
    <w:rsid w:val="00322036"/>
    <w:rsid w:val="003220E5"/>
    <w:rsid w:val="003220F3"/>
    <w:rsid w:val="0032223D"/>
    <w:rsid w:val="00322466"/>
    <w:rsid w:val="0032246E"/>
    <w:rsid w:val="00322481"/>
    <w:rsid w:val="003224AF"/>
    <w:rsid w:val="0032251D"/>
    <w:rsid w:val="003226EC"/>
    <w:rsid w:val="00322898"/>
    <w:rsid w:val="00322963"/>
    <w:rsid w:val="00322A62"/>
    <w:rsid w:val="00322E17"/>
    <w:rsid w:val="00322F32"/>
    <w:rsid w:val="00322F33"/>
    <w:rsid w:val="00323231"/>
    <w:rsid w:val="00323232"/>
    <w:rsid w:val="0032344B"/>
    <w:rsid w:val="0032359D"/>
    <w:rsid w:val="00323957"/>
    <w:rsid w:val="00323980"/>
    <w:rsid w:val="00323A87"/>
    <w:rsid w:val="00323AEA"/>
    <w:rsid w:val="00323CB8"/>
    <w:rsid w:val="00323D3A"/>
    <w:rsid w:val="00323DAA"/>
    <w:rsid w:val="00323DBE"/>
    <w:rsid w:val="00323E82"/>
    <w:rsid w:val="00323F63"/>
    <w:rsid w:val="00323F83"/>
    <w:rsid w:val="00323FEB"/>
    <w:rsid w:val="0032400C"/>
    <w:rsid w:val="0032402E"/>
    <w:rsid w:val="00324040"/>
    <w:rsid w:val="003241E9"/>
    <w:rsid w:val="003242A2"/>
    <w:rsid w:val="00324416"/>
    <w:rsid w:val="003244D3"/>
    <w:rsid w:val="003247CF"/>
    <w:rsid w:val="00324871"/>
    <w:rsid w:val="0032496D"/>
    <w:rsid w:val="00324A0E"/>
    <w:rsid w:val="00324B40"/>
    <w:rsid w:val="00324FA4"/>
    <w:rsid w:val="00324FAF"/>
    <w:rsid w:val="00325306"/>
    <w:rsid w:val="003253AE"/>
    <w:rsid w:val="003253C1"/>
    <w:rsid w:val="003254C5"/>
    <w:rsid w:val="003255B8"/>
    <w:rsid w:val="003255ED"/>
    <w:rsid w:val="003256AA"/>
    <w:rsid w:val="003256FC"/>
    <w:rsid w:val="00325720"/>
    <w:rsid w:val="00325732"/>
    <w:rsid w:val="003257E1"/>
    <w:rsid w:val="00325A8C"/>
    <w:rsid w:val="00325E25"/>
    <w:rsid w:val="00325ECD"/>
    <w:rsid w:val="00325FB2"/>
    <w:rsid w:val="00326008"/>
    <w:rsid w:val="00326025"/>
    <w:rsid w:val="003260A8"/>
    <w:rsid w:val="0032614A"/>
    <w:rsid w:val="003261A2"/>
    <w:rsid w:val="003264F6"/>
    <w:rsid w:val="0032659B"/>
    <w:rsid w:val="003265C0"/>
    <w:rsid w:val="0032661E"/>
    <w:rsid w:val="003266AC"/>
    <w:rsid w:val="00326700"/>
    <w:rsid w:val="0032674C"/>
    <w:rsid w:val="00326758"/>
    <w:rsid w:val="0032676A"/>
    <w:rsid w:val="0032690E"/>
    <w:rsid w:val="00326932"/>
    <w:rsid w:val="003269AA"/>
    <w:rsid w:val="003269AB"/>
    <w:rsid w:val="00326B60"/>
    <w:rsid w:val="00326BEE"/>
    <w:rsid w:val="00326C0B"/>
    <w:rsid w:val="00326CBC"/>
    <w:rsid w:val="00326CFB"/>
    <w:rsid w:val="00326E32"/>
    <w:rsid w:val="0032712A"/>
    <w:rsid w:val="00327305"/>
    <w:rsid w:val="0032736D"/>
    <w:rsid w:val="003273F3"/>
    <w:rsid w:val="003273F6"/>
    <w:rsid w:val="0032748C"/>
    <w:rsid w:val="003274CB"/>
    <w:rsid w:val="003274CE"/>
    <w:rsid w:val="00327759"/>
    <w:rsid w:val="003277A9"/>
    <w:rsid w:val="003277F4"/>
    <w:rsid w:val="0032790C"/>
    <w:rsid w:val="00327A5D"/>
    <w:rsid w:val="00327C08"/>
    <w:rsid w:val="00327F42"/>
    <w:rsid w:val="00330081"/>
    <w:rsid w:val="003300AF"/>
    <w:rsid w:val="0033018B"/>
    <w:rsid w:val="003303C4"/>
    <w:rsid w:val="00330414"/>
    <w:rsid w:val="003304C9"/>
    <w:rsid w:val="003304DB"/>
    <w:rsid w:val="00330B95"/>
    <w:rsid w:val="00330CD1"/>
    <w:rsid w:val="00330CEE"/>
    <w:rsid w:val="00330D0F"/>
    <w:rsid w:val="00330DD2"/>
    <w:rsid w:val="00330E2C"/>
    <w:rsid w:val="00330F86"/>
    <w:rsid w:val="00330FD5"/>
    <w:rsid w:val="003311F5"/>
    <w:rsid w:val="003313B3"/>
    <w:rsid w:val="0033145D"/>
    <w:rsid w:val="0033159C"/>
    <w:rsid w:val="003316BA"/>
    <w:rsid w:val="0033191D"/>
    <w:rsid w:val="00331989"/>
    <w:rsid w:val="00331A51"/>
    <w:rsid w:val="00331AE0"/>
    <w:rsid w:val="0033202F"/>
    <w:rsid w:val="003320B8"/>
    <w:rsid w:val="003321C9"/>
    <w:rsid w:val="003322FC"/>
    <w:rsid w:val="00332309"/>
    <w:rsid w:val="00332763"/>
    <w:rsid w:val="00332D55"/>
    <w:rsid w:val="00332FAB"/>
    <w:rsid w:val="003330EE"/>
    <w:rsid w:val="003330F1"/>
    <w:rsid w:val="00333135"/>
    <w:rsid w:val="00333290"/>
    <w:rsid w:val="00333311"/>
    <w:rsid w:val="00333365"/>
    <w:rsid w:val="0033341B"/>
    <w:rsid w:val="003336F6"/>
    <w:rsid w:val="00333748"/>
    <w:rsid w:val="003337E1"/>
    <w:rsid w:val="00333919"/>
    <w:rsid w:val="003339BE"/>
    <w:rsid w:val="00333A05"/>
    <w:rsid w:val="00333AD4"/>
    <w:rsid w:val="00333B58"/>
    <w:rsid w:val="00333DB1"/>
    <w:rsid w:val="00333E93"/>
    <w:rsid w:val="00333F67"/>
    <w:rsid w:val="00333FE2"/>
    <w:rsid w:val="00333FF1"/>
    <w:rsid w:val="00334057"/>
    <w:rsid w:val="00334173"/>
    <w:rsid w:val="003341E0"/>
    <w:rsid w:val="00334209"/>
    <w:rsid w:val="003342AC"/>
    <w:rsid w:val="00334369"/>
    <w:rsid w:val="003343C3"/>
    <w:rsid w:val="00334615"/>
    <w:rsid w:val="003346E2"/>
    <w:rsid w:val="003346F1"/>
    <w:rsid w:val="0033475A"/>
    <w:rsid w:val="003347FC"/>
    <w:rsid w:val="0033483E"/>
    <w:rsid w:val="003348D7"/>
    <w:rsid w:val="003348D8"/>
    <w:rsid w:val="00334A3F"/>
    <w:rsid w:val="00334AF6"/>
    <w:rsid w:val="00334D1A"/>
    <w:rsid w:val="00334EDB"/>
    <w:rsid w:val="00334F5D"/>
    <w:rsid w:val="00334F9B"/>
    <w:rsid w:val="00334FB9"/>
    <w:rsid w:val="003350BE"/>
    <w:rsid w:val="00335144"/>
    <w:rsid w:val="003352FA"/>
    <w:rsid w:val="003353C5"/>
    <w:rsid w:val="00335496"/>
    <w:rsid w:val="00335531"/>
    <w:rsid w:val="00335792"/>
    <w:rsid w:val="0033587F"/>
    <w:rsid w:val="00335888"/>
    <w:rsid w:val="00335B5E"/>
    <w:rsid w:val="00335E13"/>
    <w:rsid w:val="00335FC1"/>
    <w:rsid w:val="00335FCE"/>
    <w:rsid w:val="00335FEF"/>
    <w:rsid w:val="00336226"/>
    <w:rsid w:val="00336309"/>
    <w:rsid w:val="0033630F"/>
    <w:rsid w:val="00336381"/>
    <w:rsid w:val="0033646A"/>
    <w:rsid w:val="00336643"/>
    <w:rsid w:val="0033675B"/>
    <w:rsid w:val="00336904"/>
    <w:rsid w:val="003369AD"/>
    <w:rsid w:val="00336B9B"/>
    <w:rsid w:val="00336C16"/>
    <w:rsid w:val="00336C3E"/>
    <w:rsid w:val="00336C6E"/>
    <w:rsid w:val="00336DDB"/>
    <w:rsid w:val="00336EA0"/>
    <w:rsid w:val="00336EF6"/>
    <w:rsid w:val="00336F78"/>
    <w:rsid w:val="00336FB8"/>
    <w:rsid w:val="00337204"/>
    <w:rsid w:val="00337226"/>
    <w:rsid w:val="00337269"/>
    <w:rsid w:val="0033727F"/>
    <w:rsid w:val="003375C3"/>
    <w:rsid w:val="00337668"/>
    <w:rsid w:val="00337859"/>
    <w:rsid w:val="00337864"/>
    <w:rsid w:val="003378A0"/>
    <w:rsid w:val="003378DD"/>
    <w:rsid w:val="003378FA"/>
    <w:rsid w:val="00337BD0"/>
    <w:rsid w:val="00337C68"/>
    <w:rsid w:val="00337E5B"/>
    <w:rsid w:val="00337F95"/>
    <w:rsid w:val="003400EF"/>
    <w:rsid w:val="0034012D"/>
    <w:rsid w:val="00340199"/>
    <w:rsid w:val="0034026B"/>
    <w:rsid w:val="00340437"/>
    <w:rsid w:val="00340459"/>
    <w:rsid w:val="003404AA"/>
    <w:rsid w:val="003404BA"/>
    <w:rsid w:val="003404F9"/>
    <w:rsid w:val="00340589"/>
    <w:rsid w:val="003405A8"/>
    <w:rsid w:val="003405ED"/>
    <w:rsid w:val="0034064C"/>
    <w:rsid w:val="003407F6"/>
    <w:rsid w:val="003408D9"/>
    <w:rsid w:val="00340AC8"/>
    <w:rsid w:val="00340ACF"/>
    <w:rsid w:val="00340B0C"/>
    <w:rsid w:val="00340B19"/>
    <w:rsid w:val="00340D2E"/>
    <w:rsid w:val="00340DBC"/>
    <w:rsid w:val="00340DBF"/>
    <w:rsid w:val="00340DF0"/>
    <w:rsid w:val="00340E92"/>
    <w:rsid w:val="00341253"/>
    <w:rsid w:val="003416E7"/>
    <w:rsid w:val="00341919"/>
    <w:rsid w:val="00341A50"/>
    <w:rsid w:val="00341C38"/>
    <w:rsid w:val="00341D63"/>
    <w:rsid w:val="00341E7C"/>
    <w:rsid w:val="00342035"/>
    <w:rsid w:val="00342128"/>
    <w:rsid w:val="0034222C"/>
    <w:rsid w:val="0034236B"/>
    <w:rsid w:val="003423A8"/>
    <w:rsid w:val="003423E9"/>
    <w:rsid w:val="003424C0"/>
    <w:rsid w:val="00342767"/>
    <w:rsid w:val="00342848"/>
    <w:rsid w:val="00342988"/>
    <w:rsid w:val="003429E0"/>
    <w:rsid w:val="00342BEC"/>
    <w:rsid w:val="00342C72"/>
    <w:rsid w:val="00342CC7"/>
    <w:rsid w:val="00342DC3"/>
    <w:rsid w:val="00343045"/>
    <w:rsid w:val="00343343"/>
    <w:rsid w:val="00343354"/>
    <w:rsid w:val="00343533"/>
    <w:rsid w:val="0034362A"/>
    <w:rsid w:val="00343813"/>
    <w:rsid w:val="0034387C"/>
    <w:rsid w:val="003438AC"/>
    <w:rsid w:val="00343974"/>
    <w:rsid w:val="003439A2"/>
    <w:rsid w:val="00343A10"/>
    <w:rsid w:val="00343AB1"/>
    <w:rsid w:val="00343B36"/>
    <w:rsid w:val="00343C35"/>
    <w:rsid w:val="00343ED6"/>
    <w:rsid w:val="00343FB7"/>
    <w:rsid w:val="00344141"/>
    <w:rsid w:val="00344284"/>
    <w:rsid w:val="00344297"/>
    <w:rsid w:val="003443B6"/>
    <w:rsid w:val="003443CD"/>
    <w:rsid w:val="003444CB"/>
    <w:rsid w:val="003444F6"/>
    <w:rsid w:val="00344832"/>
    <w:rsid w:val="00344856"/>
    <w:rsid w:val="003449D4"/>
    <w:rsid w:val="00344A03"/>
    <w:rsid w:val="00344AFE"/>
    <w:rsid w:val="00344DD3"/>
    <w:rsid w:val="00344EBE"/>
    <w:rsid w:val="00344F3B"/>
    <w:rsid w:val="00345035"/>
    <w:rsid w:val="00345061"/>
    <w:rsid w:val="003450CF"/>
    <w:rsid w:val="003451D0"/>
    <w:rsid w:val="00345241"/>
    <w:rsid w:val="0034538B"/>
    <w:rsid w:val="003453B5"/>
    <w:rsid w:val="00345453"/>
    <w:rsid w:val="003454AF"/>
    <w:rsid w:val="003454BA"/>
    <w:rsid w:val="00345580"/>
    <w:rsid w:val="00345612"/>
    <w:rsid w:val="00345630"/>
    <w:rsid w:val="00345645"/>
    <w:rsid w:val="003458E6"/>
    <w:rsid w:val="00345941"/>
    <w:rsid w:val="00345989"/>
    <w:rsid w:val="00345A28"/>
    <w:rsid w:val="00345A80"/>
    <w:rsid w:val="00345C2D"/>
    <w:rsid w:val="00345CA8"/>
    <w:rsid w:val="00345CD0"/>
    <w:rsid w:val="00345FD1"/>
    <w:rsid w:val="00346033"/>
    <w:rsid w:val="0034603D"/>
    <w:rsid w:val="00346286"/>
    <w:rsid w:val="00346298"/>
    <w:rsid w:val="003464D9"/>
    <w:rsid w:val="00346504"/>
    <w:rsid w:val="00346522"/>
    <w:rsid w:val="00346524"/>
    <w:rsid w:val="00346684"/>
    <w:rsid w:val="003466FC"/>
    <w:rsid w:val="003467AF"/>
    <w:rsid w:val="003467FF"/>
    <w:rsid w:val="0034680A"/>
    <w:rsid w:val="003468A4"/>
    <w:rsid w:val="00346931"/>
    <w:rsid w:val="00346BC2"/>
    <w:rsid w:val="00346C8F"/>
    <w:rsid w:val="00346D08"/>
    <w:rsid w:val="00346D0F"/>
    <w:rsid w:val="00346D44"/>
    <w:rsid w:val="00346DD3"/>
    <w:rsid w:val="00346DEF"/>
    <w:rsid w:val="003470B4"/>
    <w:rsid w:val="00347129"/>
    <w:rsid w:val="003471D3"/>
    <w:rsid w:val="0034728C"/>
    <w:rsid w:val="00347441"/>
    <w:rsid w:val="0034758C"/>
    <w:rsid w:val="00347A8F"/>
    <w:rsid w:val="00347A94"/>
    <w:rsid w:val="00347AD9"/>
    <w:rsid w:val="00347B20"/>
    <w:rsid w:val="00347C0B"/>
    <w:rsid w:val="00347C32"/>
    <w:rsid w:val="00347C6D"/>
    <w:rsid w:val="00347D52"/>
    <w:rsid w:val="00347D68"/>
    <w:rsid w:val="00347DA2"/>
    <w:rsid w:val="00347E39"/>
    <w:rsid w:val="00347EB9"/>
    <w:rsid w:val="00347F79"/>
    <w:rsid w:val="00347FD3"/>
    <w:rsid w:val="0035012E"/>
    <w:rsid w:val="00350159"/>
    <w:rsid w:val="003501AF"/>
    <w:rsid w:val="0035023F"/>
    <w:rsid w:val="003504AD"/>
    <w:rsid w:val="00350690"/>
    <w:rsid w:val="00350749"/>
    <w:rsid w:val="003507B3"/>
    <w:rsid w:val="003507E2"/>
    <w:rsid w:val="00350A9E"/>
    <w:rsid w:val="00350B41"/>
    <w:rsid w:val="00350B88"/>
    <w:rsid w:val="00350BF0"/>
    <w:rsid w:val="00350C6D"/>
    <w:rsid w:val="00350DE9"/>
    <w:rsid w:val="0035102C"/>
    <w:rsid w:val="003510A4"/>
    <w:rsid w:val="003511A5"/>
    <w:rsid w:val="003511B6"/>
    <w:rsid w:val="003511D3"/>
    <w:rsid w:val="00351286"/>
    <w:rsid w:val="003512A0"/>
    <w:rsid w:val="003513B0"/>
    <w:rsid w:val="003513D9"/>
    <w:rsid w:val="003513E1"/>
    <w:rsid w:val="003515D8"/>
    <w:rsid w:val="003515FE"/>
    <w:rsid w:val="003518EA"/>
    <w:rsid w:val="00351987"/>
    <w:rsid w:val="0035198A"/>
    <w:rsid w:val="003519AD"/>
    <w:rsid w:val="00351C1A"/>
    <w:rsid w:val="00351C93"/>
    <w:rsid w:val="00351CC8"/>
    <w:rsid w:val="00351D47"/>
    <w:rsid w:val="003521A9"/>
    <w:rsid w:val="00352269"/>
    <w:rsid w:val="00352284"/>
    <w:rsid w:val="003522A1"/>
    <w:rsid w:val="003522C2"/>
    <w:rsid w:val="003522DA"/>
    <w:rsid w:val="00352343"/>
    <w:rsid w:val="00352379"/>
    <w:rsid w:val="00352591"/>
    <w:rsid w:val="00352785"/>
    <w:rsid w:val="003528E9"/>
    <w:rsid w:val="003528EA"/>
    <w:rsid w:val="00352997"/>
    <w:rsid w:val="00352AC6"/>
    <w:rsid w:val="00352AE0"/>
    <w:rsid w:val="00352B10"/>
    <w:rsid w:val="00352B85"/>
    <w:rsid w:val="00352DB4"/>
    <w:rsid w:val="00352DDA"/>
    <w:rsid w:val="00352E57"/>
    <w:rsid w:val="00352E77"/>
    <w:rsid w:val="00353233"/>
    <w:rsid w:val="003532DD"/>
    <w:rsid w:val="00353340"/>
    <w:rsid w:val="00353550"/>
    <w:rsid w:val="00353555"/>
    <w:rsid w:val="003535CA"/>
    <w:rsid w:val="0035361D"/>
    <w:rsid w:val="00353654"/>
    <w:rsid w:val="003539D7"/>
    <w:rsid w:val="00353A2C"/>
    <w:rsid w:val="00353A9D"/>
    <w:rsid w:val="00353AA5"/>
    <w:rsid w:val="00353B22"/>
    <w:rsid w:val="00353B93"/>
    <w:rsid w:val="00353C4C"/>
    <w:rsid w:val="00353C86"/>
    <w:rsid w:val="00353E63"/>
    <w:rsid w:val="00353EB7"/>
    <w:rsid w:val="00353F1C"/>
    <w:rsid w:val="00354054"/>
    <w:rsid w:val="0035405D"/>
    <w:rsid w:val="0035416C"/>
    <w:rsid w:val="00354186"/>
    <w:rsid w:val="003541D2"/>
    <w:rsid w:val="003541D7"/>
    <w:rsid w:val="00354219"/>
    <w:rsid w:val="00354333"/>
    <w:rsid w:val="00354531"/>
    <w:rsid w:val="00354557"/>
    <w:rsid w:val="0035456B"/>
    <w:rsid w:val="0035458F"/>
    <w:rsid w:val="0035460B"/>
    <w:rsid w:val="00354779"/>
    <w:rsid w:val="003547B8"/>
    <w:rsid w:val="003547CF"/>
    <w:rsid w:val="00354AA0"/>
    <w:rsid w:val="00354AA8"/>
    <w:rsid w:val="00354C8B"/>
    <w:rsid w:val="00354EDA"/>
    <w:rsid w:val="00354F45"/>
    <w:rsid w:val="003551CC"/>
    <w:rsid w:val="003554C7"/>
    <w:rsid w:val="003555D0"/>
    <w:rsid w:val="003557E2"/>
    <w:rsid w:val="0035591D"/>
    <w:rsid w:val="00355C24"/>
    <w:rsid w:val="00355DC3"/>
    <w:rsid w:val="00355E62"/>
    <w:rsid w:val="00355E91"/>
    <w:rsid w:val="00355FE4"/>
    <w:rsid w:val="0035608B"/>
    <w:rsid w:val="0035616D"/>
    <w:rsid w:val="00356AC6"/>
    <w:rsid w:val="00356B75"/>
    <w:rsid w:val="00356DE9"/>
    <w:rsid w:val="00356E97"/>
    <w:rsid w:val="00356EFE"/>
    <w:rsid w:val="003571CD"/>
    <w:rsid w:val="003572D0"/>
    <w:rsid w:val="00357328"/>
    <w:rsid w:val="0035738B"/>
    <w:rsid w:val="003575FB"/>
    <w:rsid w:val="0035771D"/>
    <w:rsid w:val="003577B1"/>
    <w:rsid w:val="0035786A"/>
    <w:rsid w:val="00357971"/>
    <w:rsid w:val="00357D12"/>
    <w:rsid w:val="00357EFF"/>
    <w:rsid w:val="00360073"/>
    <w:rsid w:val="00360097"/>
    <w:rsid w:val="003600B6"/>
    <w:rsid w:val="003600C1"/>
    <w:rsid w:val="003600C2"/>
    <w:rsid w:val="003600DE"/>
    <w:rsid w:val="003601CD"/>
    <w:rsid w:val="003601E0"/>
    <w:rsid w:val="0036022D"/>
    <w:rsid w:val="003602F4"/>
    <w:rsid w:val="00360345"/>
    <w:rsid w:val="0036053E"/>
    <w:rsid w:val="0036060E"/>
    <w:rsid w:val="003606E7"/>
    <w:rsid w:val="0036070F"/>
    <w:rsid w:val="003608B8"/>
    <w:rsid w:val="00360966"/>
    <w:rsid w:val="003609A2"/>
    <w:rsid w:val="003609F6"/>
    <w:rsid w:val="00360A8B"/>
    <w:rsid w:val="00360B19"/>
    <w:rsid w:val="00360B4E"/>
    <w:rsid w:val="00360C65"/>
    <w:rsid w:val="00360CAD"/>
    <w:rsid w:val="00360ED2"/>
    <w:rsid w:val="00360F63"/>
    <w:rsid w:val="00360FB3"/>
    <w:rsid w:val="00361120"/>
    <w:rsid w:val="00361181"/>
    <w:rsid w:val="00361296"/>
    <w:rsid w:val="003612AB"/>
    <w:rsid w:val="00361305"/>
    <w:rsid w:val="00361357"/>
    <w:rsid w:val="00361359"/>
    <w:rsid w:val="0036138B"/>
    <w:rsid w:val="00361531"/>
    <w:rsid w:val="00361667"/>
    <w:rsid w:val="003619A1"/>
    <w:rsid w:val="00361A23"/>
    <w:rsid w:val="00361A70"/>
    <w:rsid w:val="00361E02"/>
    <w:rsid w:val="0036201F"/>
    <w:rsid w:val="0036206D"/>
    <w:rsid w:val="0036213C"/>
    <w:rsid w:val="00362238"/>
    <w:rsid w:val="003623BB"/>
    <w:rsid w:val="003626CB"/>
    <w:rsid w:val="003629D6"/>
    <w:rsid w:val="00362BA8"/>
    <w:rsid w:val="00362DE1"/>
    <w:rsid w:val="00362E18"/>
    <w:rsid w:val="00362F40"/>
    <w:rsid w:val="00362F87"/>
    <w:rsid w:val="003630E4"/>
    <w:rsid w:val="003630F6"/>
    <w:rsid w:val="00363126"/>
    <w:rsid w:val="00363233"/>
    <w:rsid w:val="003633B9"/>
    <w:rsid w:val="003633BA"/>
    <w:rsid w:val="00363480"/>
    <w:rsid w:val="0036362E"/>
    <w:rsid w:val="003636E6"/>
    <w:rsid w:val="00363918"/>
    <w:rsid w:val="0036391E"/>
    <w:rsid w:val="00363A89"/>
    <w:rsid w:val="00363ABA"/>
    <w:rsid w:val="00363B59"/>
    <w:rsid w:val="00363B7C"/>
    <w:rsid w:val="00363B9C"/>
    <w:rsid w:val="00363BCA"/>
    <w:rsid w:val="00363C39"/>
    <w:rsid w:val="003640A9"/>
    <w:rsid w:val="00364215"/>
    <w:rsid w:val="003643D8"/>
    <w:rsid w:val="0036454B"/>
    <w:rsid w:val="0036463F"/>
    <w:rsid w:val="00364731"/>
    <w:rsid w:val="00364A74"/>
    <w:rsid w:val="00364B98"/>
    <w:rsid w:val="00364BA6"/>
    <w:rsid w:val="00364D98"/>
    <w:rsid w:val="00364DBE"/>
    <w:rsid w:val="003651C5"/>
    <w:rsid w:val="003652CE"/>
    <w:rsid w:val="00365339"/>
    <w:rsid w:val="003653AF"/>
    <w:rsid w:val="003653CF"/>
    <w:rsid w:val="003654E0"/>
    <w:rsid w:val="0036565E"/>
    <w:rsid w:val="0036597C"/>
    <w:rsid w:val="00365A8D"/>
    <w:rsid w:val="00365C83"/>
    <w:rsid w:val="00365CBB"/>
    <w:rsid w:val="00365CCD"/>
    <w:rsid w:val="00365F88"/>
    <w:rsid w:val="00365FDF"/>
    <w:rsid w:val="0036603D"/>
    <w:rsid w:val="003660CC"/>
    <w:rsid w:val="00366302"/>
    <w:rsid w:val="0036646B"/>
    <w:rsid w:val="0036661A"/>
    <w:rsid w:val="0036662A"/>
    <w:rsid w:val="0036679D"/>
    <w:rsid w:val="0036690B"/>
    <w:rsid w:val="0036695E"/>
    <w:rsid w:val="003669EA"/>
    <w:rsid w:val="003669F8"/>
    <w:rsid w:val="00366A33"/>
    <w:rsid w:val="00366A7D"/>
    <w:rsid w:val="00366D55"/>
    <w:rsid w:val="00366E07"/>
    <w:rsid w:val="00366E9E"/>
    <w:rsid w:val="00366F16"/>
    <w:rsid w:val="00367050"/>
    <w:rsid w:val="003670C1"/>
    <w:rsid w:val="003671E6"/>
    <w:rsid w:val="00367300"/>
    <w:rsid w:val="003674B6"/>
    <w:rsid w:val="003676B3"/>
    <w:rsid w:val="0036788B"/>
    <w:rsid w:val="00367BAE"/>
    <w:rsid w:val="00367BF7"/>
    <w:rsid w:val="00367C17"/>
    <w:rsid w:val="00367C88"/>
    <w:rsid w:val="00367D16"/>
    <w:rsid w:val="00367F56"/>
    <w:rsid w:val="00370032"/>
    <w:rsid w:val="003700A8"/>
    <w:rsid w:val="003700C2"/>
    <w:rsid w:val="003700C3"/>
    <w:rsid w:val="003701CB"/>
    <w:rsid w:val="0037022D"/>
    <w:rsid w:val="003702D5"/>
    <w:rsid w:val="003703BD"/>
    <w:rsid w:val="0037047C"/>
    <w:rsid w:val="00370495"/>
    <w:rsid w:val="00370574"/>
    <w:rsid w:val="003705E8"/>
    <w:rsid w:val="003707A1"/>
    <w:rsid w:val="00370A32"/>
    <w:rsid w:val="00370A40"/>
    <w:rsid w:val="00370BEE"/>
    <w:rsid w:val="00370CA3"/>
    <w:rsid w:val="00370CB1"/>
    <w:rsid w:val="00370CBF"/>
    <w:rsid w:val="00370E63"/>
    <w:rsid w:val="00370F06"/>
    <w:rsid w:val="00370F5C"/>
    <w:rsid w:val="00370FE6"/>
    <w:rsid w:val="00371135"/>
    <w:rsid w:val="00371153"/>
    <w:rsid w:val="00371166"/>
    <w:rsid w:val="0037118C"/>
    <w:rsid w:val="003711B9"/>
    <w:rsid w:val="003712FE"/>
    <w:rsid w:val="00371369"/>
    <w:rsid w:val="003714E2"/>
    <w:rsid w:val="003715DC"/>
    <w:rsid w:val="00371708"/>
    <w:rsid w:val="003717DE"/>
    <w:rsid w:val="00371850"/>
    <w:rsid w:val="00371911"/>
    <w:rsid w:val="0037192A"/>
    <w:rsid w:val="00371A9C"/>
    <w:rsid w:val="00371A9D"/>
    <w:rsid w:val="00371AAF"/>
    <w:rsid w:val="00371ADD"/>
    <w:rsid w:val="00371B34"/>
    <w:rsid w:val="00371B62"/>
    <w:rsid w:val="00371D54"/>
    <w:rsid w:val="00371E37"/>
    <w:rsid w:val="00371E3F"/>
    <w:rsid w:val="00371EEF"/>
    <w:rsid w:val="00371F80"/>
    <w:rsid w:val="00371FB0"/>
    <w:rsid w:val="00371FBC"/>
    <w:rsid w:val="0037226F"/>
    <w:rsid w:val="003727BB"/>
    <w:rsid w:val="00372E00"/>
    <w:rsid w:val="00373180"/>
    <w:rsid w:val="00373353"/>
    <w:rsid w:val="003733F7"/>
    <w:rsid w:val="0037344A"/>
    <w:rsid w:val="00373549"/>
    <w:rsid w:val="00373570"/>
    <w:rsid w:val="00373580"/>
    <w:rsid w:val="003736EC"/>
    <w:rsid w:val="003737D4"/>
    <w:rsid w:val="003738ED"/>
    <w:rsid w:val="00373983"/>
    <w:rsid w:val="00373A27"/>
    <w:rsid w:val="00373A8D"/>
    <w:rsid w:val="00373BE8"/>
    <w:rsid w:val="00373D02"/>
    <w:rsid w:val="00373F50"/>
    <w:rsid w:val="00373FC1"/>
    <w:rsid w:val="00374013"/>
    <w:rsid w:val="0037406F"/>
    <w:rsid w:val="00374242"/>
    <w:rsid w:val="00374468"/>
    <w:rsid w:val="003744E0"/>
    <w:rsid w:val="003744FE"/>
    <w:rsid w:val="00374573"/>
    <w:rsid w:val="003745C6"/>
    <w:rsid w:val="00374760"/>
    <w:rsid w:val="00374837"/>
    <w:rsid w:val="0037499F"/>
    <w:rsid w:val="00374BEB"/>
    <w:rsid w:val="0037500C"/>
    <w:rsid w:val="003752B3"/>
    <w:rsid w:val="00375407"/>
    <w:rsid w:val="00375411"/>
    <w:rsid w:val="00375512"/>
    <w:rsid w:val="003755AB"/>
    <w:rsid w:val="00375739"/>
    <w:rsid w:val="0037580C"/>
    <w:rsid w:val="00375816"/>
    <w:rsid w:val="00375887"/>
    <w:rsid w:val="003758BE"/>
    <w:rsid w:val="003759BF"/>
    <w:rsid w:val="003759E0"/>
    <w:rsid w:val="00375AA9"/>
    <w:rsid w:val="00375B2B"/>
    <w:rsid w:val="00375C01"/>
    <w:rsid w:val="00375C96"/>
    <w:rsid w:val="00375F0B"/>
    <w:rsid w:val="00376017"/>
    <w:rsid w:val="0037613F"/>
    <w:rsid w:val="00376337"/>
    <w:rsid w:val="00376375"/>
    <w:rsid w:val="00376422"/>
    <w:rsid w:val="00376442"/>
    <w:rsid w:val="003764E3"/>
    <w:rsid w:val="00376535"/>
    <w:rsid w:val="00376555"/>
    <w:rsid w:val="003765A0"/>
    <w:rsid w:val="003765D2"/>
    <w:rsid w:val="003765E6"/>
    <w:rsid w:val="0037664B"/>
    <w:rsid w:val="0037671C"/>
    <w:rsid w:val="0037696B"/>
    <w:rsid w:val="00376AFE"/>
    <w:rsid w:val="00376BA8"/>
    <w:rsid w:val="00376C97"/>
    <w:rsid w:val="00376CAF"/>
    <w:rsid w:val="00376EEA"/>
    <w:rsid w:val="00376F43"/>
    <w:rsid w:val="00377224"/>
    <w:rsid w:val="00377267"/>
    <w:rsid w:val="0037741C"/>
    <w:rsid w:val="00377582"/>
    <w:rsid w:val="003776F1"/>
    <w:rsid w:val="003778D1"/>
    <w:rsid w:val="00377979"/>
    <w:rsid w:val="00377BDA"/>
    <w:rsid w:val="00377C08"/>
    <w:rsid w:val="00377D8E"/>
    <w:rsid w:val="0038013C"/>
    <w:rsid w:val="00380402"/>
    <w:rsid w:val="00380529"/>
    <w:rsid w:val="00380646"/>
    <w:rsid w:val="003806B2"/>
    <w:rsid w:val="003806C2"/>
    <w:rsid w:val="00380730"/>
    <w:rsid w:val="003807CB"/>
    <w:rsid w:val="00380842"/>
    <w:rsid w:val="00380B4A"/>
    <w:rsid w:val="00380C85"/>
    <w:rsid w:val="00380D7A"/>
    <w:rsid w:val="00380D91"/>
    <w:rsid w:val="00380DE8"/>
    <w:rsid w:val="00380F4D"/>
    <w:rsid w:val="00380F80"/>
    <w:rsid w:val="00381001"/>
    <w:rsid w:val="003811DC"/>
    <w:rsid w:val="00381245"/>
    <w:rsid w:val="003813B6"/>
    <w:rsid w:val="0038149A"/>
    <w:rsid w:val="00381518"/>
    <w:rsid w:val="00381582"/>
    <w:rsid w:val="003816B7"/>
    <w:rsid w:val="003817FC"/>
    <w:rsid w:val="0038187E"/>
    <w:rsid w:val="00381980"/>
    <w:rsid w:val="003819B6"/>
    <w:rsid w:val="00381A36"/>
    <w:rsid w:val="00381A3D"/>
    <w:rsid w:val="00381A7C"/>
    <w:rsid w:val="00381AFB"/>
    <w:rsid w:val="00381C87"/>
    <w:rsid w:val="00381C9A"/>
    <w:rsid w:val="00381D98"/>
    <w:rsid w:val="00381EA6"/>
    <w:rsid w:val="00381F6B"/>
    <w:rsid w:val="00381F85"/>
    <w:rsid w:val="00382093"/>
    <w:rsid w:val="003820D0"/>
    <w:rsid w:val="0038220B"/>
    <w:rsid w:val="00382291"/>
    <w:rsid w:val="003822EC"/>
    <w:rsid w:val="00382578"/>
    <w:rsid w:val="00382624"/>
    <w:rsid w:val="0038263A"/>
    <w:rsid w:val="00382660"/>
    <w:rsid w:val="00382663"/>
    <w:rsid w:val="00382811"/>
    <w:rsid w:val="0038298A"/>
    <w:rsid w:val="00382A64"/>
    <w:rsid w:val="00382A69"/>
    <w:rsid w:val="00382A79"/>
    <w:rsid w:val="00382D74"/>
    <w:rsid w:val="00382F67"/>
    <w:rsid w:val="00382FBB"/>
    <w:rsid w:val="00383142"/>
    <w:rsid w:val="0038318A"/>
    <w:rsid w:val="00383389"/>
    <w:rsid w:val="003833E4"/>
    <w:rsid w:val="003833F1"/>
    <w:rsid w:val="00383583"/>
    <w:rsid w:val="00383594"/>
    <w:rsid w:val="0038359B"/>
    <w:rsid w:val="00383AD4"/>
    <w:rsid w:val="00383BBE"/>
    <w:rsid w:val="00383F37"/>
    <w:rsid w:val="00383F60"/>
    <w:rsid w:val="003840E6"/>
    <w:rsid w:val="00384361"/>
    <w:rsid w:val="00384565"/>
    <w:rsid w:val="0038460A"/>
    <w:rsid w:val="003846A8"/>
    <w:rsid w:val="003846CD"/>
    <w:rsid w:val="003846EB"/>
    <w:rsid w:val="00384786"/>
    <w:rsid w:val="0038484C"/>
    <w:rsid w:val="003848F3"/>
    <w:rsid w:val="00384A1C"/>
    <w:rsid w:val="00384B1F"/>
    <w:rsid w:val="00384BBF"/>
    <w:rsid w:val="00384BF9"/>
    <w:rsid w:val="00384C2F"/>
    <w:rsid w:val="00384DA6"/>
    <w:rsid w:val="00384EDA"/>
    <w:rsid w:val="0038504B"/>
    <w:rsid w:val="003850BD"/>
    <w:rsid w:val="00385247"/>
    <w:rsid w:val="0038536E"/>
    <w:rsid w:val="003853A3"/>
    <w:rsid w:val="0038552B"/>
    <w:rsid w:val="003856A5"/>
    <w:rsid w:val="00385A80"/>
    <w:rsid w:val="00385C7E"/>
    <w:rsid w:val="00385D87"/>
    <w:rsid w:val="00385EC8"/>
    <w:rsid w:val="00385F12"/>
    <w:rsid w:val="00385F14"/>
    <w:rsid w:val="00385F38"/>
    <w:rsid w:val="00385F76"/>
    <w:rsid w:val="00385F8C"/>
    <w:rsid w:val="00386051"/>
    <w:rsid w:val="00386155"/>
    <w:rsid w:val="00386192"/>
    <w:rsid w:val="00386226"/>
    <w:rsid w:val="00386243"/>
    <w:rsid w:val="003864F5"/>
    <w:rsid w:val="00386577"/>
    <w:rsid w:val="003865D2"/>
    <w:rsid w:val="00386859"/>
    <w:rsid w:val="00386AB1"/>
    <w:rsid w:val="00386B41"/>
    <w:rsid w:val="00386E7F"/>
    <w:rsid w:val="0038738C"/>
    <w:rsid w:val="00387497"/>
    <w:rsid w:val="003874B6"/>
    <w:rsid w:val="003875C0"/>
    <w:rsid w:val="003876AC"/>
    <w:rsid w:val="00387767"/>
    <w:rsid w:val="003877E4"/>
    <w:rsid w:val="00387952"/>
    <w:rsid w:val="00387993"/>
    <w:rsid w:val="00387AD8"/>
    <w:rsid w:val="00387CB7"/>
    <w:rsid w:val="00387E10"/>
    <w:rsid w:val="00390117"/>
    <w:rsid w:val="003903B8"/>
    <w:rsid w:val="00390465"/>
    <w:rsid w:val="003905E0"/>
    <w:rsid w:val="0039071D"/>
    <w:rsid w:val="00390791"/>
    <w:rsid w:val="003907CD"/>
    <w:rsid w:val="003908CB"/>
    <w:rsid w:val="00390A74"/>
    <w:rsid w:val="00390AA0"/>
    <w:rsid w:val="00390B47"/>
    <w:rsid w:val="00390DE4"/>
    <w:rsid w:val="003910B5"/>
    <w:rsid w:val="003910DC"/>
    <w:rsid w:val="003913D2"/>
    <w:rsid w:val="00391434"/>
    <w:rsid w:val="003914FE"/>
    <w:rsid w:val="00391936"/>
    <w:rsid w:val="00391946"/>
    <w:rsid w:val="00391A92"/>
    <w:rsid w:val="00391B80"/>
    <w:rsid w:val="00391C55"/>
    <w:rsid w:val="00391CC0"/>
    <w:rsid w:val="00391D0B"/>
    <w:rsid w:val="00391F9B"/>
    <w:rsid w:val="00391FF3"/>
    <w:rsid w:val="0039206F"/>
    <w:rsid w:val="00392081"/>
    <w:rsid w:val="003921D0"/>
    <w:rsid w:val="003921FD"/>
    <w:rsid w:val="00392347"/>
    <w:rsid w:val="0039244E"/>
    <w:rsid w:val="00392525"/>
    <w:rsid w:val="003925FB"/>
    <w:rsid w:val="00392684"/>
    <w:rsid w:val="003928CE"/>
    <w:rsid w:val="0039290F"/>
    <w:rsid w:val="00392B56"/>
    <w:rsid w:val="00392E0C"/>
    <w:rsid w:val="003932E2"/>
    <w:rsid w:val="003935D3"/>
    <w:rsid w:val="00393893"/>
    <w:rsid w:val="0039391E"/>
    <w:rsid w:val="003939B6"/>
    <w:rsid w:val="00393ACB"/>
    <w:rsid w:val="00393BB2"/>
    <w:rsid w:val="00393C84"/>
    <w:rsid w:val="00393DAC"/>
    <w:rsid w:val="00393E06"/>
    <w:rsid w:val="00393EF6"/>
    <w:rsid w:val="00393F26"/>
    <w:rsid w:val="00393FB3"/>
    <w:rsid w:val="003940A4"/>
    <w:rsid w:val="003940A8"/>
    <w:rsid w:val="003940C0"/>
    <w:rsid w:val="0039416D"/>
    <w:rsid w:val="003941A7"/>
    <w:rsid w:val="003941EE"/>
    <w:rsid w:val="00394235"/>
    <w:rsid w:val="003942FA"/>
    <w:rsid w:val="00394338"/>
    <w:rsid w:val="00394798"/>
    <w:rsid w:val="003947AB"/>
    <w:rsid w:val="003947EB"/>
    <w:rsid w:val="0039487C"/>
    <w:rsid w:val="00394893"/>
    <w:rsid w:val="00394A0E"/>
    <w:rsid w:val="00394A6F"/>
    <w:rsid w:val="00394AB2"/>
    <w:rsid w:val="00394C2E"/>
    <w:rsid w:val="00394CFF"/>
    <w:rsid w:val="00394D02"/>
    <w:rsid w:val="00394D9B"/>
    <w:rsid w:val="00395011"/>
    <w:rsid w:val="00395014"/>
    <w:rsid w:val="003950A4"/>
    <w:rsid w:val="0039516E"/>
    <w:rsid w:val="0039517B"/>
    <w:rsid w:val="00395218"/>
    <w:rsid w:val="00395256"/>
    <w:rsid w:val="003952CC"/>
    <w:rsid w:val="00395308"/>
    <w:rsid w:val="003953A2"/>
    <w:rsid w:val="00395514"/>
    <w:rsid w:val="00395600"/>
    <w:rsid w:val="003956B3"/>
    <w:rsid w:val="00395794"/>
    <w:rsid w:val="003957A3"/>
    <w:rsid w:val="00395804"/>
    <w:rsid w:val="0039587E"/>
    <w:rsid w:val="003959FD"/>
    <w:rsid w:val="00395A3E"/>
    <w:rsid w:val="00395A9F"/>
    <w:rsid w:val="00395B59"/>
    <w:rsid w:val="00395D40"/>
    <w:rsid w:val="00395DD7"/>
    <w:rsid w:val="00395E9E"/>
    <w:rsid w:val="00395FC8"/>
    <w:rsid w:val="003960D4"/>
    <w:rsid w:val="003960F7"/>
    <w:rsid w:val="003961C7"/>
    <w:rsid w:val="003962A4"/>
    <w:rsid w:val="00396434"/>
    <w:rsid w:val="0039645D"/>
    <w:rsid w:val="0039656A"/>
    <w:rsid w:val="0039661B"/>
    <w:rsid w:val="003966B4"/>
    <w:rsid w:val="003966B8"/>
    <w:rsid w:val="0039679B"/>
    <w:rsid w:val="00396843"/>
    <w:rsid w:val="00396AA0"/>
    <w:rsid w:val="00396B25"/>
    <w:rsid w:val="00396D0D"/>
    <w:rsid w:val="00397102"/>
    <w:rsid w:val="0039710F"/>
    <w:rsid w:val="00397240"/>
    <w:rsid w:val="0039734A"/>
    <w:rsid w:val="00397418"/>
    <w:rsid w:val="003979A1"/>
    <w:rsid w:val="00397B0A"/>
    <w:rsid w:val="00397BE6"/>
    <w:rsid w:val="00397C56"/>
    <w:rsid w:val="00397CF5"/>
    <w:rsid w:val="00397D9C"/>
    <w:rsid w:val="00397E65"/>
    <w:rsid w:val="00397F67"/>
    <w:rsid w:val="003A0228"/>
    <w:rsid w:val="003A0302"/>
    <w:rsid w:val="003A0516"/>
    <w:rsid w:val="003A0648"/>
    <w:rsid w:val="003A07E8"/>
    <w:rsid w:val="003A07F2"/>
    <w:rsid w:val="003A0812"/>
    <w:rsid w:val="003A092F"/>
    <w:rsid w:val="003A095D"/>
    <w:rsid w:val="003A09D9"/>
    <w:rsid w:val="003A09E5"/>
    <w:rsid w:val="003A0F3B"/>
    <w:rsid w:val="003A0FB5"/>
    <w:rsid w:val="003A1034"/>
    <w:rsid w:val="003A108B"/>
    <w:rsid w:val="003A10A7"/>
    <w:rsid w:val="003A10C3"/>
    <w:rsid w:val="003A10F6"/>
    <w:rsid w:val="003A1192"/>
    <w:rsid w:val="003A12E4"/>
    <w:rsid w:val="003A1652"/>
    <w:rsid w:val="003A1890"/>
    <w:rsid w:val="003A1920"/>
    <w:rsid w:val="003A1B07"/>
    <w:rsid w:val="003A1B76"/>
    <w:rsid w:val="003A1BCF"/>
    <w:rsid w:val="003A1E09"/>
    <w:rsid w:val="003A24FC"/>
    <w:rsid w:val="003A2510"/>
    <w:rsid w:val="003A2647"/>
    <w:rsid w:val="003A27DB"/>
    <w:rsid w:val="003A2807"/>
    <w:rsid w:val="003A282F"/>
    <w:rsid w:val="003A2833"/>
    <w:rsid w:val="003A28DA"/>
    <w:rsid w:val="003A28FC"/>
    <w:rsid w:val="003A2AE6"/>
    <w:rsid w:val="003A2AF1"/>
    <w:rsid w:val="003A2B3C"/>
    <w:rsid w:val="003A2B43"/>
    <w:rsid w:val="003A2B8B"/>
    <w:rsid w:val="003A2CFD"/>
    <w:rsid w:val="003A3222"/>
    <w:rsid w:val="003A39BF"/>
    <w:rsid w:val="003A39D1"/>
    <w:rsid w:val="003A3BF8"/>
    <w:rsid w:val="003A3C0D"/>
    <w:rsid w:val="003A3D1F"/>
    <w:rsid w:val="003A3E5D"/>
    <w:rsid w:val="003A3F1A"/>
    <w:rsid w:val="003A3FDC"/>
    <w:rsid w:val="003A4068"/>
    <w:rsid w:val="003A4098"/>
    <w:rsid w:val="003A415A"/>
    <w:rsid w:val="003A4192"/>
    <w:rsid w:val="003A4444"/>
    <w:rsid w:val="003A4703"/>
    <w:rsid w:val="003A4780"/>
    <w:rsid w:val="003A49F2"/>
    <w:rsid w:val="003A4A0A"/>
    <w:rsid w:val="003A4A60"/>
    <w:rsid w:val="003A4AAB"/>
    <w:rsid w:val="003A4B4D"/>
    <w:rsid w:val="003A4B91"/>
    <w:rsid w:val="003A4BE8"/>
    <w:rsid w:val="003A4C53"/>
    <w:rsid w:val="003A4D6F"/>
    <w:rsid w:val="003A5357"/>
    <w:rsid w:val="003A5399"/>
    <w:rsid w:val="003A53DA"/>
    <w:rsid w:val="003A546C"/>
    <w:rsid w:val="003A54F3"/>
    <w:rsid w:val="003A55EA"/>
    <w:rsid w:val="003A5640"/>
    <w:rsid w:val="003A57CC"/>
    <w:rsid w:val="003A57CE"/>
    <w:rsid w:val="003A5900"/>
    <w:rsid w:val="003A59DB"/>
    <w:rsid w:val="003A5B40"/>
    <w:rsid w:val="003A5BA3"/>
    <w:rsid w:val="003A5C7E"/>
    <w:rsid w:val="003A5CA4"/>
    <w:rsid w:val="003A5E21"/>
    <w:rsid w:val="003A5ECA"/>
    <w:rsid w:val="003A5F63"/>
    <w:rsid w:val="003A5FA1"/>
    <w:rsid w:val="003A60A4"/>
    <w:rsid w:val="003A629E"/>
    <w:rsid w:val="003A63D7"/>
    <w:rsid w:val="003A64BB"/>
    <w:rsid w:val="003A67FB"/>
    <w:rsid w:val="003A6838"/>
    <w:rsid w:val="003A6B31"/>
    <w:rsid w:val="003A6CAC"/>
    <w:rsid w:val="003A6CF6"/>
    <w:rsid w:val="003A6CFC"/>
    <w:rsid w:val="003A6DCF"/>
    <w:rsid w:val="003A6DDA"/>
    <w:rsid w:val="003A7004"/>
    <w:rsid w:val="003A705F"/>
    <w:rsid w:val="003A7094"/>
    <w:rsid w:val="003A71BD"/>
    <w:rsid w:val="003A71CA"/>
    <w:rsid w:val="003A7225"/>
    <w:rsid w:val="003A727D"/>
    <w:rsid w:val="003A72B9"/>
    <w:rsid w:val="003A741E"/>
    <w:rsid w:val="003A7572"/>
    <w:rsid w:val="003A75CE"/>
    <w:rsid w:val="003A75DC"/>
    <w:rsid w:val="003A7625"/>
    <w:rsid w:val="003A763E"/>
    <w:rsid w:val="003A7643"/>
    <w:rsid w:val="003A77E6"/>
    <w:rsid w:val="003A77ED"/>
    <w:rsid w:val="003A78BE"/>
    <w:rsid w:val="003A795F"/>
    <w:rsid w:val="003A7972"/>
    <w:rsid w:val="003A7C43"/>
    <w:rsid w:val="003A7E5A"/>
    <w:rsid w:val="003A7E67"/>
    <w:rsid w:val="003A7FD7"/>
    <w:rsid w:val="003B000E"/>
    <w:rsid w:val="003B040B"/>
    <w:rsid w:val="003B04AA"/>
    <w:rsid w:val="003B0591"/>
    <w:rsid w:val="003B0829"/>
    <w:rsid w:val="003B08DF"/>
    <w:rsid w:val="003B0A62"/>
    <w:rsid w:val="003B0A95"/>
    <w:rsid w:val="003B0AC1"/>
    <w:rsid w:val="003B0AEA"/>
    <w:rsid w:val="003B0B06"/>
    <w:rsid w:val="003B0B50"/>
    <w:rsid w:val="003B0B5D"/>
    <w:rsid w:val="003B0BA5"/>
    <w:rsid w:val="003B0C5B"/>
    <w:rsid w:val="003B0D4A"/>
    <w:rsid w:val="003B0D50"/>
    <w:rsid w:val="003B0E96"/>
    <w:rsid w:val="003B0EA1"/>
    <w:rsid w:val="003B1033"/>
    <w:rsid w:val="003B109F"/>
    <w:rsid w:val="003B11EE"/>
    <w:rsid w:val="003B12BA"/>
    <w:rsid w:val="003B12C7"/>
    <w:rsid w:val="003B12CC"/>
    <w:rsid w:val="003B1342"/>
    <w:rsid w:val="003B15E0"/>
    <w:rsid w:val="003B15E8"/>
    <w:rsid w:val="003B161C"/>
    <w:rsid w:val="003B1867"/>
    <w:rsid w:val="003B1948"/>
    <w:rsid w:val="003B1A54"/>
    <w:rsid w:val="003B1A77"/>
    <w:rsid w:val="003B1B2D"/>
    <w:rsid w:val="003B1D15"/>
    <w:rsid w:val="003B1DE7"/>
    <w:rsid w:val="003B1DFA"/>
    <w:rsid w:val="003B2141"/>
    <w:rsid w:val="003B21AD"/>
    <w:rsid w:val="003B224A"/>
    <w:rsid w:val="003B243B"/>
    <w:rsid w:val="003B2507"/>
    <w:rsid w:val="003B267A"/>
    <w:rsid w:val="003B27B1"/>
    <w:rsid w:val="003B2852"/>
    <w:rsid w:val="003B2872"/>
    <w:rsid w:val="003B28A1"/>
    <w:rsid w:val="003B2998"/>
    <w:rsid w:val="003B2B1F"/>
    <w:rsid w:val="003B2B67"/>
    <w:rsid w:val="003B2C4C"/>
    <w:rsid w:val="003B2C8C"/>
    <w:rsid w:val="003B2D26"/>
    <w:rsid w:val="003B2D32"/>
    <w:rsid w:val="003B2D9F"/>
    <w:rsid w:val="003B2E0C"/>
    <w:rsid w:val="003B2F00"/>
    <w:rsid w:val="003B2F41"/>
    <w:rsid w:val="003B30C1"/>
    <w:rsid w:val="003B3106"/>
    <w:rsid w:val="003B3238"/>
    <w:rsid w:val="003B33DF"/>
    <w:rsid w:val="003B35FD"/>
    <w:rsid w:val="003B369B"/>
    <w:rsid w:val="003B3AE0"/>
    <w:rsid w:val="003B3BC7"/>
    <w:rsid w:val="003B3BE1"/>
    <w:rsid w:val="003B3C35"/>
    <w:rsid w:val="003B3CAD"/>
    <w:rsid w:val="003B3CF6"/>
    <w:rsid w:val="003B3FAF"/>
    <w:rsid w:val="003B4057"/>
    <w:rsid w:val="003B4195"/>
    <w:rsid w:val="003B41B5"/>
    <w:rsid w:val="003B41E5"/>
    <w:rsid w:val="003B438C"/>
    <w:rsid w:val="003B4463"/>
    <w:rsid w:val="003B4537"/>
    <w:rsid w:val="003B46D7"/>
    <w:rsid w:val="003B4826"/>
    <w:rsid w:val="003B4B72"/>
    <w:rsid w:val="003B4BF0"/>
    <w:rsid w:val="003B4C46"/>
    <w:rsid w:val="003B4F95"/>
    <w:rsid w:val="003B4FF3"/>
    <w:rsid w:val="003B501B"/>
    <w:rsid w:val="003B5102"/>
    <w:rsid w:val="003B51B5"/>
    <w:rsid w:val="003B51F4"/>
    <w:rsid w:val="003B5360"/>
    <w:rsid w:val="003B539D"/>
    <w:rsid w:val="003B5450"/>
    <w:rsid w:val="003B5471"/>
    <w:rsid w:val="003B54F4"/>
    <w:rsid w:val="003B5794"/>
    <w:rsid w:val="003B57C0"/>
    <w:rsid w:val="003B58EE"/>
    <w:rsid w:val="003B599D"/>
    <w:rsid w:val="003B5A76"/>
    <w:rsid w:val="003B5A80"/>
    <w:rsid w:val="003B5BB2"/>
    <w:rsid w:val="003B5D0F"/>
    <w:rsid w:val="003B5EBD"/>
    <w:rsid w:val="003B6057"/>
    <w:rsid w:val="003B6181"/>
    <w:rsid w:val="003B657A"/>
    <w:rsid w:val="003B65DD"/>
    <w:rsid w:val="003B6605"/>
    <w:rsid w:val="003B687A"/>
    <w:rsid w:val="003B6A36"/>
    <w:rsid w:val="003B6A5F"/>
    <w:rsid w:val="003B6ACA"/>
    <w:rsid w:val="003B6E50"/>
    <w:rsid w:val="003B6F63"/>
    <w:rsid w:val="003B6F86"/>
    <w:rsid w:val="003B706D"/>
    <w:rsid w:val="003B71F8"/>
    <w:rsid w:val="003B72E8"/>
    <w:rsid w:val="003B72EB"/>
    <w:rsid w:val="003B734F"/>
    <w:rsid w:val="003B745A"/>
    <w:rsid w:val="003B766D"/>
    <w:rsid w:val="003B7685"/>
    <w:rsid w:val="003B7723"/>
    <w:rsid w:val="003B779C"/>
    <w:rsid w:val="003B785E"/>
    <w:rsid w:val="003B7D8C"/>
    <w:rsid w:val="003B7DD5"/>
    <w:rsid w:val="003B7DDE"/>
    <w:rsid w:val="003B7E33"/>
    <w:rsid w:val="003B7EA9"/>
    <w:rsid w:val="003B7FE9"/>
    <w:rsid w:val="003C064F"/>
    <w:rsid w:val="003C06ED"/>
    <w:rsid w:val="003C0767"/>
    <w:rsid w:val="003C083D"/>
    <w:rsid w:val="003C0864"/>
    <w:rsid w:val="003C0960"/>
    <w:rsid w:val="003C0989"/>
    <w:rsid w:val="003C099F"/>
    <w:rsid w:val="003C0A40"/>
    <w:rsid w:val="003C0A96"/>
    <w:rsid w:val="003C0C16"/>
    <w:rsid w:val="003C0C4E"/>
    <w:rsid w:val="003C10ED"/>
    <w:rsid w:val="003C1273"/>
    <w:rsid w:val="003C128A"/>
    <w:rsid w:val="003C1298"/>
    <w:rsid w:val="003C12C7"/>
    <w:rsid w:val="003C14AF"/>
    <w:rsid w:val="003C152F"/>
    <w:rsid w:val="003C15F4"/>
    <w:rsid w:val="003C173C"/>
    <w:rsid w:val="003C19A0"/>
    <w:rsid w:val="003C19B2"/>
    <w:rsid w:val="003C1ABF"/>
    <w:rsid w:val="003C1B27"/>
    <w:rsid w:val="003C1BB3"/>
    <w:rsid w:val="003C1CB1"/>
    <w:rsid w:val="003C1CC2"/>
    <w:rsid w:val="003C1CF3"/>
    <w:rsid w:val="003C1D49"/>
    <w:rsid w:val="003C1F63"/>
    <w:rsid w:val="003C22AA"/>
    <w:rsid w:val="003C22FA"/>
    <w:rsid w:val="003C23A3"/>
    <w:rsid w:val="003C2470"/>
    <w:rsid w:val="003C2564"/>
    <w:rsid w:val="003C2577"/>
    <w:rsid w:val="003C26A4"/>
    <w:rsid w:val="003C295E"/>
    <w:rsid w:val="003C29C6"/>
    <w:rsid w:val="003C2A5B"/>
    <w:rsid w:val="003C2B5B"/>
    <w:rsid w:val="003C2B5D"/>
    <w:rsid w:val="003C2CEC"/>
    <w:rsid w:val="003C2D06"/>
    <w:rsid w:val="003C2D2C"/>
    <w:rsid w:val="003C2D39"/>
    <w:rsid w:val="003C2D59"/>
    <w:rsid w:val="003C3365"/>
    <w:rsid w:val="003C3503"/>
    <w:rsid w:val="003C3595"/>
    <w:rsid w:val="003C35BB"/>
    <w:rsid w:val="003C360D"/>
    <w:rsid w:val="003C3709"/>
    <w:rsid w:val="003C3A86"/>
    <w:rsid w:val="003C3DD5"/>
    <w:rsid w:val="003C3E73"/>
    <w:rsid w:val="003C3F8A"/>
    <w:rsid w:val="003C4076"/>
    <w:rsid w:val="003C40B6"/>
    <w:rsid w:val="003C4179"/>
    <w:rsid w:val="003C41E5"/>
    <w:rsid w:val="003C42BE"/>
    <w:rsid w:val="003C4311"/>
    <w:rsid w:val="003C438F"/>
    <w:rsid w:val="003C4460"/>
    <w:rsid w:val="003C4629"/>
    <w:rsid w:val="003C49F8"/>
    <w:rsid w:val="003C4A08"/>
    <w:rsid w:val="003C4A8B"/>
    <w:rsid w:val="003C4A9D"/>
    <w:rsid w:val="003C4C84"/>
    <w:rsid w:val="003C4FC5"/>
    <w:rsid w:val="003C51A9"/>
    <w:rsid w:val="003C5402"/>
    <w:rsid w:val="003C544D"/>
    <w:rsid w:val="003C54A3"/>
    <w:rsid w:val="003C5542"/>
    <w:rsid w:val="003C5580"/>
    <w:rsid w:val="003C5628"/>
    <w:rsid w:val="003C56BD"/>
    <w:rsid w:val="003C56E4"/>
    <w:rsid w:val="003C59DC"/>
    <w:rsid w:val="003C59F5"/>
    <w:rsid w:val="003C5AC6"/>
    <w:rsid w:val="003C5BD8"/>
    <w:rsid w:val="003C5C63"/>
    <w:rsid w:val="003C5F36"/>
    <w:rsid w:val="003C5FBD"/>
    <w:rsid w:val="003C600F"/>
    <w:rsid w:val="003C606F"/>
    <w:rsid w:val="003C60D1"/>
    <w:rsid w:val="003C60E0"/>
    <w:rsid w:val="003C6134"/>
    <w:rsid w:val="003C63D9"/>
    <w:rsid w:val="003C6420"/>
    <w:rsid w:val="003C6493"/>
    <w:rsid w:val="003C649F"/>
    <w:rsid w:val="003C64A8"/>
    <w:rsid w:val="003C6565"/>
    <w:rsid w:val="003C6743"/>
    <w:rsid w:val="003C68DC"/>
    <w:rsid w:val="003C6920"/>
    <w:rsid w:val="003C692A"/>
    <w:rsid w:val="003C69A0"/>
    <w:rsid w:val="003C6A44"/>
    <w:rsid w:val="003C6A86"/>
    <w:rsid w:val="003C6F95"/>
    <w:rsid w:val="003C6FCA"/>
    <w:rsid w:val="003C70C2"/>
    <w:rsid w:val="003C7101"/>
    <w:rsid w:val="003C7114"/>
    <w:rsid w:val="003C722E"/>
    <w:rsid w:val="003C726A"/>
    <w:rsid w:val="003C7312"/>
    <w:rsid w:val="003C7347"/>
    <w:rsid w:val="003C744D"/>
    <w:rsid w:val="003C7766"/>
    <w:rsid w:val="003C7840"/>
    <w:rsid w:val="003C7A63"/>
    <w:rsid w:val="003C7ACF"/>
    <w:rsid w:val="003C7AEC"/>
    <w:rsid w:val="003C7B5B"/>
    <w:rsid w:val="003C7C44"/>
    <w:rsid w:val="003C7FEC"/>
    <w:rsid w:val="003CEAD5"/>
    <w:rsid w:val="003D031C"/>
    <w:rsid w:val="003D035B"/>
    <w:rsid w:val="003D04BF"/>
    <w:rsid w:val="003D053E"/>
    <w:rsid w:val="003D056E"/>
    <w:rsid w:val="003D08B7"/>
    <w:rsid w:val="003D0A0B"/>
    <w:rsid w:val="003D0C12"/>
    <w:rsid w:val="003D0C4A"/>
    <w:rsid w:val="003D0C64"/>
    <w:rsid w:val="003D0D25"/>
    <w:rsid w:val="003D0E2B"/>
    <w:rsid w:val="003D1003"/>
    <w:rsid w:val="003D107D"/>
    <w:rsid w:val="003D1110"/>
    <w:rsid w:val="003D115C"/>
    <w:rsid w:val="003D1168"/>
    <w:rsid w:val="003D11C1"/>
    <w:rsid w:val="003D120D"/>
    <w:rsid w:val="003D12B6"/>
    <w:rsid w:val="003D1341"/>
    <w:rsid w:val="003D1377"/>
    <w:rsid w:val="003D1524"/>
    <w:rsid w:val="003D157A"/>
    <w:rsid w:val="003D15BF"/>
    <w:rsid w:val="003D15C7"/>
    <w:rsid w:val="003D1813"/>
    <w:rsid w:val="003D184A"/>
    <w:rsid w:val="003D1B57"/>
    <w:rsid w:val="003D1B8F"/>
    <w:rsid w:val="003D1BA4"/>
    <w:rsid w:val="003D1D54"/>
    <w:rsid w:val="003D1D62"/>
    <w:rsid w:val="003D1F1E"/>
    <w:rsid w:val="003D2100"/>
    <w:rsid w:val="003D223C"/>
    <w:rsid w:val="003D23FA"/>
    <w:rsid w:val="003D2579"/>
    <w:rsid w:val="003D257E"/>
    <w:rsid w:val="003D2615"/>
    <w:rsid w:val="003D2621"/>
    <w:rsid w:val="003D2B1D"/>
    <w:rsid w:val="003D2B64"/>
    <w:rsid w:val="003D2B6A"/>
    <w:rsid w:val="003D2B8E"/>
    <w:rsid w:val="003D2C36"/>
    <w:rsid w:val="003D2DA7"/>
    <w:rsid w:val="003D2DE6"/>
    <w:rsid w:val="003D3010"/>
    <w:rsid w:val="003D313D"/>
    <w:rsid w:val="003D31AA"/>
    <w:rsid w:val="003D32BE"/>
    <w:rsid w:val="003D3301"/>
    <w:rsid w:val="003D336B"/>
    <w:rsid w:val="003D36C5"/>
    <w:rsid w:val="003D3718"/>
    <w:rsid w:val="003D39AE"/>
    <w:rsid w:val="003D3BEF"/>
    <w:rsid w:val="003D3C42"/>
    <w:rsid w:val="003D3D25"/>
    <w:rsid w:val="003D3D51"/>
    <w:rsid w:val="003D3DCC"/>
    <w:rsid w:val="003D3DE4"/>
    <w:rsid w:val="003D3E2A"/>
    <w:rsid w:val="003D3F34"/>
    <w:rsid w:val="003D3F69"/>
    <w:rsid w:val="003D3FC9"/>
    <w:rsid w:val="003D400E"/>
    <w:rsid w:val="003D4011"/>
    <w:rsid w:val="003D40B3"/>
    <w:rsid w:val="003D41DD"/>
    <w:rsid w:val="003D4230"/>
    <w:rsid w:val="003D4282"/>
    <w:rsid w:val="003D4363"/>
    <w:rsid w:val="003D43BA"/>
    <w:rsid w:val="003D443D"/>
    <w:rsid w:val="003D45D8"/>
    <w:rsid w:val="003D465D"/>
    <w:rsid w:val="003D46BD"/>
    <w:rsid w:val="003D4740"/>
    <w:rsid w:val="003D4A06"/>
    <w:rsid w:val="003D4BD2"/>
    <w:rsid w:val="003D4F92"/>
    <w:rsid w:val="003D511F"/>
    <w:rsid w:val="003D5202"/>
    <w:rsid w:val="003D525E"/>
    <w:rsid w:val="003D52AA"/>
    <w:rsid w:val="003D530C"/>
    <w:rsid w:val="003D5358"/>
    <w:rsid w:val="003D5564"/>
    <w:rsid w:val="003D55E9"/>
    <w:rsid w:val="003D5A45"/>
    <w:rsid w:val="003D5B19"/>
    <w:rsid w:val="003D5B9F"/>
    <w:rsid w:val="003D5BB3"/>
    <w:rsid w:val="003D5C72"/>
    <w:rsid w:val="003D5CA9"/>
    <w:rsid w:val="003D5CC2"/>
    <w:rsid w:val="003D5CCF"/>
    <w:rsid w:val="003D5E33"/>
    <w:rsid w:val="003D5EAA"/>
    <w:rsid w:val="003D5F59"/>
    <w:rsid w:val="003D5F98"/>
    <w:rsid w:val="003D6022"/>
    <w:rsid w:val="003D609B"/>
    <w:rsid w:val="003D611E"/>
    <w:rsid w:val="003D6285"/>
    <w:rsid w:val="003D62C1"/>
    <w:rsid w:val="003D6319"/>
    <w:rsid w:val="003D63BD"/>
    <w:rsid w:val="003D6682"/>
    <w:rsid w:val="003D677C"/>
    <w:rsid w:val="003D67CB"/>
    <w:rsid w:val="003D680D"/>
    <w:rsid w:val="003D6876"/>
    <w:rsid w:val="003D6B7C"/>
    <w:rsid w:val="003D6B81"/>
    <w:rsid w:val="003D6E0E"/>
    <w:rsid w:val="003D6F94"/>
    <w:rsid w:val="003D7010"/>
    <w:rsid w:val="003D7100"/>
    <w:rsid w:val="003D71AC"/>
    <w:rsid w:val="003D72E0"/>
    <w:rsid w:val="003D7333"/>
    <w:rsid w:val="003D7348"/>
    <w:rsid w:val="003D7441"/>
    <w:rsid w:val="003D748B"/>
    <w:rsid w:val="003D752F"/>
    <w:rsid w:val="003D7536"/>
    <w:rsid w:val="003D7711"/>
    <w:rsid w:val="003D7730"/>
    <w:rsid w:val="003D7870"/>
    <w:rsid w:val="003D789A"/>
    <w:rsid w:val="003D7981"/>
    <w:rsid w:val="003D7A74"/>
    <w:rsid w:val="003D7C32"/>
    <w:rsid w:val="003D7C5C"/>
    <w:rsid w:val="003D7C72"/>
    <w:rsid w:val="003D7D15"/>
    <w:rsid w:val="003D7D69"/>
    <w:rsid w:val="003D7E3E"/>
    <w:rsid w:val="003D7FD7"/>
    <w:rsid w:val="003E00B5"/>
    <w:rsid w:val="003E00F3"/>
    <w:rsid w:val="003E02B3"/>
    <w:rsid w:val="003E02D8"/>
    <w:rsid w:val="003E055C"/>
    <w:rsid w:val="003E0764"/>
    <w:rsid w:val="003E0778"/>
    <w:rsid w:val="003E07B9"/>
    <w:rsid w:val="003E0842"/>
    <w:rsid w:val="003E086D"/>
    <w:rsid w:val="003E08F8"/>
    <w:rsid w:val="003E0BDC"/>
    <w:rsid w:val="003E0C05"/>
    <w:rsid w:val="003E0C6B"/>
    <w:rsid w:val="003E0CE3"/>
    <w:rsid w:val="003E0DC4"/>
    <w:rsid w:val="003E0EA1"/>
    <w:rsid w:val="003E0EB7"/>
    <w:rsid w:val="003E0F39"/>
    <w:rsid w:val="003E0F98"/>
    <w:rsid w:val="003E1276"/>
    <w:rsid w:val="003E1443"/>
    <w:rsid w:val="003E1724"/>
    <w:rsid w:val="003E175A"/>
    <w:rsid w:val="003E1789"/>
    <w:rsid w:val="003E17BF"/>
    <w:rsid w:val="003E1804"/>
    <w:rsid w:val="003E1851"/>
    <w:rsid w:val="003E18BF"/>
    <w:rsid w:val="003E1920"/>
    <w:rsid w:val="003E195C"/>
    <w:rsid w:val="003E199B"/>
    <w:rsid w:val="003E1A33"/>
    <w:rsid w:val="003E1BCD"/>
    <w:rsid w:val="003E1D23"/>
    <w:rsid w:val="003E1D2B"/>
    <w:rsid w:val="003E1DFD"/>
    <w:rsid w:val="003E1FCC"/>
    <w:rsid w:val="003E2162"/>
    <w:rsid w:val="003E23DE"/>
    <w:rsid w:val="003E2470"/>
    <w:rsid w:val="003E2527"/>
    <w:rsid w:val="003E2599"/>
    <w:rsid w:val="003E25B6"/>
    <w:rsid w:val="003E26F8"/>
    <w:rsid w:val="003E2711"/>
    <w:rsid w:val="003E2777"/>
    <w:rsid w:val="003E29E2"/>
    <w:rsid w:val="003E2A5C"/>
    <w:rsid w:val="003E2B45"/>
    <w:rsid w:val="003E2C39"/>
    <w:rsid w:val="003E2DB4"/>
    <w:rsid w:val="003E2E5A"/>
    <w:rsid w:val="003E3137"/>
    <w:rsid w:val="003E31A6"/>
    <w:rsid w:val="003E33F0"/>
    <w:rsid w:val="003E34A2"/>
    <w:rsid w:val="003E34F6"/>
    <w:rsid w:val="003E3517"/>
    <w:rsid w:val="003E351B"/>
    <w:rsid w:val="003E3583"/>
    <w:rsid w:val="003E3657"/>
    <w:rsid w:val="003E3825"/>
    <w:rsid w:val="003E3857"/>
    <w:rsid w:val="003E38B8"/>
    <w:rsid w:val="003E3916"/>
    <w:rsid w:val="003E3A2C"/>
    <w:rsid w:val="003E3B97"/>
    <w:rsid w:val="003E3BA8"/>
    <w:rsid w:val="003E3BD9"/>
    <w:rsid w:val="003E3C31"/>
    <w:rsid w:val="003E3D2C"/>
    <w:rsid w:val="003E3DF5"/>
    <w:rsid w:val="003E4017"/>
    <w:rsid w:val="003E4089"/>
    <w:rsid w:val="003E40E2"/>
    <w:rsid w:val="003E42A1"/>
    <w:rsid w:val="003E42BB"/>
    <w:rsid w:val="003E431C"/>
    <w:rsid w:val="003E4375"/>
    <w:rsid w:val="003E464F"/>
    <w:rsid w:val="003E4688"/>
    <w:rsid w:val="003E47EA"/>
    <w:rsid w:val="003E48D2"/>
    <w:rsid w:val="003E48DF"/>
    <w:rsid w:val="003E49E6"/>
    <w:rsid w:val="003E4B54"/>
    <w:rsid w:val="003E4C15"/>
    <w:rsid w:val="003E4C24"/>
    <w:rsid w:val="003E4C74"/>
    <w:rsid w:val="003E4EB7"/>
    <w:rsid w:val="003E4EDD"/>
    <w:rsid w:val="003E4FBA"/>
    <w:rsid w:val="003E5120"/>
    <w:rsid w:val="003E5385"/>
    <w:rsid w:val="003E540F"/>
    <w:rsid w:val="003E549C"/>
    <w:rsid w:val="003E54AC"/>
    <w:rsid w:val="003E54C6"/>
    <w:rsid w:val="003E556D"/>
    <w:rsid w:val="003E55A7"/>
    <w:rsid w:val="003E55BE"/>
    <w:rsid w:val="003E5691"/>
    <w:rsid w:val="003E5750"/>
    <w:rsid w:val="003E5937"/>
    <w:rsid w:val="003E5992"/>
    <w:rsid w:val="003E5B53"/>
    <w:rsid w:val="003E5CD9"/>
    <w:rsid w:val="003E5D7D"/>
    <w:rsid w:val="003E5D8E"/>
    <w:rsid w:val="003E5DA5"/>
    <w:rsid w:val="003E605A"/>
    <w:rsid w:val="003E615B"/>
    <w:rsid w:val="003E61AF"/>
    <w:rsid w:val="003E6208"/>
    <w:rsid w:val="003E640F"/>
    <w:rsid w:val="003E67A7"/>
    <w:rsid w:val="003E684C"/>
    <w:rsid w:val="003E68C6"/>
    <w:rsid w:val="003E6B13"/>
    <w:rsid w:val="003E6BA5"/>
    <w:rsid w:val="003E6C2C"/>
    <w:rsid w:val="003E6C89"/>
    <w:rsid w:val="003E6D38"/>
    <w:rsid w:val="003E6E2D"/>
    <w:rsid w:val="003E6E6C"/>
    <w:rsid w:val="003E6F05"/>
    <w:rsid w:val="003E726A"/>
    <w:rsid w:val="003E7344"/>
    <w:rsid w:val="003E7449"/>
    <w:rsid w:val="003E7547"/>
    <w:rsid w:val="003E7595"/>
    <w:rsid w:val="003E7599"/>
    <w:rsid w:val="003E75B8"/>
    <w:rsid w:val="003E771B"/>
    <w:rsid w:val="003E778A"/>
    <w:rsid w:val="003E7876"/>
    <w:rsid w:val="003E7972"/>
    <w:rsid w:val="003E7A15"/>
    <w:rsid w:val="003E7DB0"/>
    <w:rsid w:val="003E7E3F"/>
    <w:rsid w:val="003E7F9D"/>
    <w:rsid w:val="003F00AC"/>
    <w:rsid w:val="003F010A"/>
    <w:rsid w:val="003F0169"/>
    <w:rsid w:val="003F0649"/>
    <w:rsid w:val="003F073A"/>
    <w:rsid w:val="003F0894"/>
    <w:rsid w:val="003F090E"/>
    <w:rsid w:val="003F098C"/>
    <w:rsid w:val="003F0F3C"/>
    <w:rsid w:val="003F0F3D"/>
    <w:rsid w:val="003F0F8F"/>
    <w:rsid w:val="003F10E5"/>
    <w:rsid w:val="003F1120"/>
    <w:rsid w:val="003F11C3"/>
    <w:rsid w:val="003F12CC"/>
    <w:rsid w:val="003F12E7"/>
    <w:rsid w:val="003F1412"/>
    <w:rsid w:val="003F14CA"/>
    <w:rsid w:val="003F160A"/>
    <w:rsid w:val="003F1619"/>
    <w:rsid w:val="003F1668"/>
    <w:rsid w:val="003F18E7"/>
    <w:rsid w:val="003F198E"/>
    <w:rsid w:val="003F1A31"/>
    <w:rsid w:val="003F1A90"/>
    <w:rsid w:val="003F1A96"/>
    <w:rsid w:val="003F1AA0"/>
    <w:rsid w:val="003F1ABC"/>
    <w:rsid w:val="003F1BD0"/>
    <w:rsid w:val="003F1C00"/>
    <w:rsid w:val="003F1DB8"/>
    <w:rsid w:val="003F1FA7"/>
    <w:rsid w:val="003F2418"/>
    <w:rsid w:val="003F242C"/>
    <w:rsid w:val="003F2434"/>
    <w:rsid w:val="003F243D"/>
    <w:rsid w:val="003F2460"/>
    <w:rsid w:val="003F2490"/>
    <w:rsid w:val="003F2551"/>
    <w:rsid w:val="003F2610"/>
    <w:rsid w:val="003F2623"/>
    <w:rsid w:val="003F2627"/>
    <w:rsid w:val="003F2941"/>
    <w:rsid w:val="003F2C4B"/>
    <w:rsid w:val="003F2CA2"/>
    <w:rsid w:val="003F2E0E"/>
    <w:rsid w:val="003F30E4"/>
    <w:rsid w:val="003F3167"/>
    <w:rsid w:val="003F3285"/>
    <w:rsid w:val="003F32AD"/>
    <w:rsid w:val="003F3338"/>
    <w:rsid w:val="003F360F"/>
    <w:rsid w:val="003F3648"/>
    <w:rsid w:val="003F3662"/>
    <w:rsid w:val="003F366D"/>
    <w:rsid w:val="003F36ED"/>
    <w:rsid w:val="003F3778"/>
    <w:rsid w:val="003F37AF"/>
    <w:rsid w:val="003F3817"/>
    <w:rsid w:val="003F3955"/>
    <w:rsid w:val="003F3A72"/>
    <w:rsid w:val="003F3AD7"/>
    <w:rsid w:val="003F3B26"/>
    <w:rsid w:val="003F3B84"/>
    <w:rsid w:val="003F3BAC"/>
    <w:rsid w:val="003F3BE5"/>
    <w:rsid w:val="003F3DD1"/>
    <w:rsid w:val="003F3FC6"/>
    <w:rsid w:val="003F407A"/>
    <w:rsid w:val="003F4257"/>
    <w:rsid w:val="003F436F"/>
    <w:rsid w:val="003F43C9"/>
    <w:rsid w:val="003F4475"/>
    <w:rsid w:val="003F4667"/>
    <w:rsid w:val="003F4837"/>
    <w:rsid w:val="003F4D87"/>
    <w:rsid w:val="003F4E70"/>
    <w:rsid w:val="003F4E87"/>
    <w:rsid w:val="003F4F25"/>
    <w:rsid w:val="003F4F6C"/>
    <w:rsid w:val="003F4FA0"/>
    <w:rsid w:val="003F53DE"/>
    <w:rsid w:val="003F5461"/>
    <w:rsid w:val="003F5551"/>
    <w:rsid w:val="003F5594"/>
    <w:rsid w:val="003F55D3"/>
    <w:rsid w:val="003F582C"/>
    <w:rsid w:val="003F5A9E"/>
    <w:rsid w:val="003F5BB1"/>
    <w:rsid w:val="003F5D6A"/>
    <w:rsid w:val="003F5F2F"/>
    <w:rsid w:val="003F5F57"/>
    <w:rsid w:val="003F603D"/>
    <w:rsid w:val="003F6069"/>
    <w:rsid w:val="003F609B"/>
    <w:rsid w:val="003F6346"/>
    <w:rsid w:val="003F6389"/>
    <w:rsid w:val="003F63A4"/>
    <w:rsid w:val="003F63B2"/>
    <w:rsid w:val="003F6619"/>
    <w:rsid w:val="003F66E7"/>
    <w:rsid w:val="003F6826"/>
    <w:rsid w:val="003F685E"/>
    <w:rsid w:val="003F68DB"/>
    <w:rsid w:val="003F6961"/>
    <w:rsid w:val="003F6A73"/>
    <w:rsid w:val="003F6C17"/>
    <w:rsid w:val="003F6D21"/>
    <w:rsid w:val="003F6DB9"/>
    <w:rsid w:val="003F6F5E"/>
    <w:rsid w:val="003F6F86"/>
    <w:rsid w:val="003F6FC3"/>
    <w:rsid w:val="003F7065"/>
    <w:rsid w:val="003F707F"/>
    <w:rsid w:val="003F7254"/>
    <w:rsid w:val="003F72B9"/>
    <w:rsid w:val="003F72C4"/>
    <w:rsid w:val="003F72DD"/>
    <w:rsid w:val="003F74AA"/>
    <w:rsid w:val="003F761D"/>
    <w:rsid w:val="003F781B"/>
    <w:rsid w:val="003F7842"/>
    <w:rsid w:val="003F795B"/>
    <w:rsid w:val="003F7AF8"/>
    <w:rsid w:val="003F7B37"/>
    <w:rsid w:val="003F7B96"/>
    <w:rsid w:val="003F7BB9"/>
    <w:rsid w:val="003F7EA6"/>
    <w:rsid w:val="003F7F13"/>
    <w:rsid w:val="0040008E"/>
    <w:rsid w:val="00400147"/>
    <w:rsid w:val="0040019C"/>
    <w:rsid w:val="004002B7"/>
    <w:rsid w:val="004003E2"/>
    <w:rsid w:val="004004F9"/>
    <w:rsid w:val="004005CA"/>
    <w:rsid w:val="00400717"/>
    <w:rsid w:val="00400AC2"/>
    <w:rsid w:val="00400AEC"/>
    <w:rsid w:val="00400AF4"/>
    <w:rsid w:val="00400AFB"/>
    <w:rsid w:val="00400BB0"/>
    <w:rsid w:val="00400C41"/>
    <w:rsid w:val="00400D61"/>
    <w:rsid w:val="00400D6F"/>
    <w:rsid w:val="00400D95"/>
    <w:rsid w:val="00400E6E"/>
    <w:rsid w:val="00400E7F"/>
    <w:rsid w:val="00400F64"/>
    <w:rsid w:val="00401095"/>
    <w:rsid w:val="00401210"/>
    <w:rsid w:val="00401286"/>
    <w:rsid w:val="004013DF"/>
    <w:rsid w:val="00401442"/>
    <w:rsid w:val="00401559"/>
    <w:rsid w:val="00401628"/>
    <w:rsid w:val="004016BB"/>
    <w:rsid w:val="004018BD"/>
    <w:rsid w:val="00401912"/>
    <w:rsid w:val="00401968"/>
    <w:rsid w:val="00401A44"/>
    <w:rsid w:val="00401B36"/>
    <w:rsid w:val="00401BC6"/>
    <w:rsid w:val="00401D68"/>
    <w:rsid w:val="00401D9C"/>
    <w:rsid w:val="00401E08"/>
    <w:rsid w:val="00401E34"/>
    <w:rsid w:val="00401F67"/>
    <w:rsid w:val="00402000"/>
    <w:rsid w:val="0040209E"/>
    <w:rsid w:val="004021A8"/>
    <w:rsid w:val="004021D7"/>
    <w:rsid w:val="00402317"/>
    <w:rsid w:val="0040234F"/>
    <w:rsid w:val="004023B7"/>
    <w:rsid w:val="004024C6"/>
    <w:rsid w:val="0040258A"/>
    <w:rsid w:val="004025B5"/>
    <w:rsid w:val="00402743"/>
    <w:rsid w:val="004027AD"/>
    <w:rsid w:val="00402872"/>
    <w:rsid w:val="00402DEE"/>
    <w:rsid w:val="00402E98"/>
    <w:rsid w:val="00402EB4"/>
    <w:rsid w:val="00403178"/>
    <w:rsid w:val="0040319C"/>
    <w:rsid w:val="0040319F"/>
    <w:rsid w:val="00403287"/>
    <w:rsid w:val="00403411"/>
    <w:rsid w:val="0040377A"/>
    <w:rsid w:val="004039A3"/>
    <w:rsid w:val="004039C8"/>
    <w:rsid w:val="00403ACF"/>
    <w:rsid w:val="00403B28"/>
    <w:rsid w:val="00403BCE"/>
    <w:rsid w:val="00403C20"/>
    <w:rsid w:val="00403C82"/>
    <w:rsid w:val="00403D96"/>
    <w:rsid w:val="00403E83"/>
    <w:rsid w:val="00403EE3"/>
    <w:rsid w:val="00403F97"/>
    <w:rsid w:val="00404023"/>
    <w:rsid w:val="004041AF"/>
    <w:rsid w:val="00404268"/>
    <w:rsid w:val="004042CB"/>
    <w:rsid w:val="004042E6"/>
    <w:rsid w:val="004042F9"/>
    <w:rsid w:val="00404350"/>
    <w:rsid w:val="0040444B"/>
    <w:rsid w:val="00404596"/>
    <w:rsid w:val="00404652"/>
    <w:rsid w:val="00404735"/>
    <w:rsid w:val="00404853"/>
    <w:rsid w:val="00404861"/>
    <w:rsid w:val="00404A07"/>
    <w:rsid w:val="00404D74"/>
    <w:rsid w:val="00404DF0"/>
    <w:rsid w:val="00404E81"/>
    <w:rsid w:val="00405032"/>
    <w:rsid w:val="00405087"/>
    <w:rsid w:val="004050CF"/>
    <w:rsid w:val="00405159"/>
    <w:rsid w:val="0040516B"/>
    <w:rsid w:val="00405441"/>
    <w:rsid w:val="00405489"/>
    <w:rsid w:val="004054D8"/>
    <w:rsid w:val="00405500"/>
    <w:rsid w:val="004055C5"/>
    <w:rsid w:val="0040580D"/>
    <w:rsid w:val="0040583B"/>
    <w:rsid w:val="00405B92"/>
    <w:rsid w:val="00405C4B"/>
    <w:rsid w:val="00405C57"/>
    <w:rsid w:val="00405D92"/>
    <w:rsid w:val="00405DDB"/>
    <w:rsid w:val="00405DFB"/>
    <w:rsid w:val="00405ECB"/>
    <w:rsid w:val="00406244"/>
    <w:rsid w:val="00406274"/>
    <w:rsid w:val="004062B7"/>
    <w:rsid w:val="004062C3"/>
    <w:rsid w:val="0040632E"/>
    <w:rsid w:val="0040636D"/>
    <w:rsid w:val="00406592"/>
    <w:rsid w:val="00406760"/>
    <w:rsid w:val="004067D0"/>
    <w:rsid w:val="00406904"/>
    <w:rsid w:val="00406A65"/>
    <w:rsid w:val="00406B50"/>
    <w:rsid w:val="00406CDA"/>
    <w:rsid w:val="00406CEA"/>
    <w:rsid w:val="00406EE1"/>
    <w:rsid w:val="00406F88"/>
    <w:rsid w:val="004070AF"/>
    <w:rsid w:val="0040715E"/>
    <w:rsid w:val="004071A9"/>
    <w:rsid w:val="004073D4"/>
    <w:rsid w:val="004074A0"/>
    <w:rsid w:val="00407597"/>
    <w:rsid w:val="00407706"/>
    <w:rsid w:val="004078BE"/>
    <w:rsid w:val="00407965"/>
    <w:rsid w:val="00407994"/>
    <w:rsid w:val="004079C4"/>
    <w:rsid w:val="00407B7A"/>
    <w:rsid w:val="00407BBA"/>
    <w:rsid w:val="00407BE6"/>
    <w:rsid w:val="00407DDB"/>
    <w:rsid w:val="00407E0D"/>
    <w:rsid w:val="00407F06"/>
    <w:rsid w:val="00410071"/>
    <w:rsid w:val="004100EC"/>
    <w:rsid w:val="0041015C"/>
    <w:rsid w:val="004102A7"/>
    <w:rsid w:val="0041040C"/>
    <w:rsid w:val="004104BF"/>
    <w:rsid w:val="0041066E"/>
    <w:rsid w:val="00410891"/>
    <w:rsid w:val="00410899"/>
    <w:rsid w:val="00410946"/>
    <w:rsid w:val="00410B25"/>
    <w:rsid w:val="00410BF1"/>
    <w:rsid w:val="00410D22"/>
    <w:rsid w:val="00410DAC"/>
    <w:rsid w:val="00410E39"/>
    <w:rsid w:val="00410F6F"/>
    <w:rsid w:val="00410F8D"/>
    <w:rsid w:val="004110B8"/>
    <w:rsid w:val="00411233"/>
    <w:rsid w:val="0041131C"/>
    <w:rsid w:val="004113DF"/>
    <w:rsid w:val="00411849"/>
    <w:rsid w:val="00411B04"/>
    <w:rsid w:val="00411BD9"/>
    <w:rsid w:val="00411D9A"/>
    <w:rsid w:val="0041202E"/>
    <w:rsid w:val="004120CA"/>
    <w:rsid w:val="004121E6"/>
    <w:rsid w:val="0041224D"/>
    <w:rsid w:val="004122DF"/>
    <w:rsid w:val="00412453"/>
    <w:rsid w:val="00412497"/>
    <w:rsid w:val="004124F0"/>
    <w:rsid w:val="00412562"/>
    <w:rsid w:val="00412567"/>
    <w:rsid w:val="004126DA"/>
    <w:rsid w:val="0041273C"/>
    <w:rsid w:val="004127B5"/>
    <w:rsid w:val="0041285D"/>
    <w:rsid w:val="00412A3A"/>
    <w:rsid w:val="00412A73"/>
    <w:rsid w:val="00412AB9"/>
    <w:rsid w:val="00412ABF"/>
    <w:rsid w:val="00412CB7"/>
    <w:rsid w:val="00412DF6"/>
    <w:rsid w:val="00412EE7"/>
    <w:rsid w:val="00412FE7"/>
    <w:rsid w:val="0041306A"/>
    <w:rsid w:val="00413223"/>
    <w:rsid w:val="004133CC"/>
    <w:rsid w:val="004133F9"/>
    <w:rsid w:val="00413432"/>
    <w:rsid w:val="0041350A"/>
    <w:rsid w:val="00413528"/>
    <w:rsid w:val="00413575"/>
    <w:rsid w:val="004135C1"/>
    <w:rsid w:val="0041364A"/>
    <w:rsid w:val="00413672"/>
    <w:rsid w:val="004136BF"/>
    <w:rsid w:val="004137A1"/>
    <w:rsid w:val="004137B7"/>
    <w:rsid w:val="00413852"/>
    <w:rsid w:val="0041385A"/>
    <w:rsid w:val="00413A80"/>
    <w:rsid w:val="00413AF6"/>
    <w:rsid w:val="00413C61"/>
    <w:rsid w:val="00413D17"/>
    <w:rsid w:val="00413D57"/>
    <w:rsid w:val="0041403F"/>
    <w:rsid w:val="004141A1"/>
    <w:rsid w:val="0041439E"/>
    <w:rsid w:val="004143B6"/>
    <w:rsid w:val="00414431"/>
    <w:rsid w:val="00414478"/>
    <w:rsid w:val="00414978"/>
    <w:rsid w:val="004149D2"/>
    <w:rsid w:val="004149D4"/>
    <w:rsid w:val="004149F8"/>
    <w:rsid w:val="00414A81"/>
    <w:rsid w:val="00414AD9"/>
    <w:rsid w:val="00414B28"/>
    <w:rsid w:val="00414BC3"/>
    <w:rsid w:val="00414C8E"/>
    <w:rsid w:val="00414ECB"/>
    <w:rsid w:val="00414F25"/>
    <w:rsid w:val="00414F2B"/>
    <w:rsid w:val="00414F41"/>
    <w:rsid w:val="00414F70"/>
    <w:rsid w:val="00414FB2"/>
    <w:rsid w:val="00415083"/>
    <w:rsid w:val="00415196"/>
    <w:rsid w:val="00415239"/>
    <w:rsid w:val="004152F7"/>
    <w:rsid w:val="00415335"/>
    <w:rsid w:val="00415422"/>
    <w:rsid w:val="004154F6"/>
    <w:rsid w:val="004155D4"/>
    <w:rsid w:val="004156C5"/>
    <w:rsid w:val="004156DF"/>
    <w:rsid w:val="004157E1"/>
    <w:rsid w:val="004158A2"/>
    <w:rsid w:val="004159C7"/>
    <w:rsid w:val="00415A57"/>
    <w:rsid w:val="00415CF9"/>
    <w:rsid w:val="00415D5B"/>
    <w:rsid w:val="00415EA4"/>
    <w:rsid w:val="00415EBA"/>
    <w:rsid w:val="00415FE8"/>
    <w:rsid w:val="00416154"/>
    <w:rsid w:val="00416257"/>
    <w:rsid w:val="0041625E"/>
    <w:rsid w:val="00416294"/>
    <w:rsid w:val="00416538"/>
    <w:rsid w:val="00416898"/>
    <w:rsid w:val="004168A7"/>
    <w:rsid w:val="0041693E"/>
    <w:rsid w:val="0041697E"/>
    <w:rsid w:val="00416AF7"/>
    <w:rsid w:val="00416B70"/>
    <w:rsid w:val="00416CEB"/>
    <w:rsid w:val="00416D55"/>
    <w:rsid w:val="00416DA4"/>
    <w:rsid w:val="00416E5E"/>
    <w:rsid w:val="00416EC7"/>
    <w:rsid w:val="00416F6F"/>
    <w:rsid w:val="00417076"/>
    <w:rsid w:val="00417108"/>
    <w:rsid w:val="00417275"/>
    <w:rsid w:val="004174C2"/>
    <w:rsid w:val="0041750B"/>
    <w:rsid w:val="00417648"/>
    <w:rsid w:val="00417814"/>
    <w:rsid w:val="00417977"/>
    <w:rsid w:val="00417A21"/>
    <w:rsid w:val="00417A99"/>
    <w:rsid w:val="00417B65"/>
    <w:rsid w:val="00417E48"/>
    <w:rsid w:val="00417E5E"/>
    <w:rsid w:val="00417E6A"/>
    <w:rsid w:val="004201A6"/>
    <w:rsid w:val="004205AC"/>
    <w:rsid w:val="004205B8"/>
    <w:rsid w:val="004206EC"/>
    <w:rsid w:val="0042078D"/>
    <w:rsid w:val="00420793"/>
    <w:rsid w:val="0042080C"/>
    <w:rsid w:val="0042081F"/>
    <w:rsid w:val="0042082C"/>
    <w:rsid w:val="004208C0"/>
    <w:rsid w:val="00420AE6"/>
    <w:rsid w:val="00420C11"/>
    <w:rsid w:val="00420D45"/>
    <w:rsid w:val="00420D50"/>
    <w:rsid w:val="00420D7E"/>
    <w:rsid w:val="0042105F"/>
    <w:rsid w:val="004212DF"/>
    <w:rsid w:val="0042131D"/>
    <w:rsid w:val="0042146D"/>
    <w:rsid w:val="0042172C"/>
    <w:rsid w:val="00421757"/>
    <w:rsid w:val="004217A3"/>
    <w:rsid w:val="004217C3"/>
    <w:rsid w:val="0042181E"/>
    <w:rsid w:val="00421871"/>
    <w:rsid w:val="00421899"/>
    <w:rsid w:val="00421A26"/>
    <w:rsid w:val="00421A68"/>
    <w:rsid w:val="00421C41"/>
    <w:rsid w:val="00421C81"/>
    <w:rsid w:val="00421C98"/>
    <w:rsid w:val="00421E08"/>
    <w:rsid w:val="00421E0B"/>
    <w:rsid w:val="00421F44"/>
    <w:rsid w:val="004222A4"/>
    <w:rsid w:val="004224F6"/>
    <w:rsid w:val="00422818"/>
    <w:rsid w:val="00422B55"/>
    <w:rsid w:val="00422C25"/>
    <w:rsid w:val="00422C2C"/>
    <w:rsid w:val="00422C72"/>
    <w:rsid w:val="00422D1D"/>
    <w:rsid w:val="00422D23"/>
    <w:rsid w:val="00422E59"/>
    <w:rsid w:val="00422E95"/>
    <w:rsid w:val="00422E99"/>
    <w:rsid w:val="00423047"/>
    <w:rsid w:val="0042305B"/>
    <w:rsid w:val="0042314F"/>
    <w:rsid w:val="00423182"/>
    <w:rsid w:val="00423409"/>
    <w:rsid w:val="00423689"/>
    <w:rsid w:val="0042378D"/>
    <w:rsid w:val="00423895"/>
    <w:rsid w:val="00423916"/>
    <w:rsid w:val="00423A1D"/>
    <w:rsid w:val="00423B94"/>
    <w:rsid w:val="00423C6F"/>
    <w:rsid w:val="00423DE5"/>
    <w:rsid w:val="00423ECD"/>
    <w:rsid w:val="0042412D"/>
    <w:rsid w:val="004243E5"/>
    <w:rsid w:val="00424486"/>
    <w:rsid w:val="0042450A"/>
    <w:rsid w:val="0042461D"/>
    <w:rsid w:val="00424902"/>
    <w:rsid w:val="00424A0D"/>
    <w:rsid w:val="00424A18"/>
    <w:rsid w:val="00424A31"/>
    <w:rsid w:val="00424AE5"/>
    <w:rsid w:val="00424B2D"/>
    <w:rsid w:val="00424B38"/>
    <w:rsid w:val="00424B61"/>
    <w:rsid w:val="00424E2A"/>
    <w:rsid w:val="00424E38"/>
    <w:rsid w:val="0042504C"/>
    <w:rsid w:val="004251D2"/>
    <w:rsid w:val="004253C0"/>
    <w:rsid w:val="004256CC"/>
    <w:rsid w:val="004257AB"/>
    <w:rsid w:val="00425A5F"/>
    <w:rsid w:val="00425B02"/>
    <w:rsid w:val="00425B16"/>
    <w:rsid w:val="00425BFD"/>
    <w:rsid w:val="00425E27"/>
    <w:rsid w:val="00425EA1"/>
    <w:rsid w:val="00425F20"/>
    <w:rsid w:val="004260AE"/>
    <w:rsid w:val="00426116"/>
    <w:rsid w:val="00426174"/>
    <w:rsid w:val="00426301"/>
    <w:rsid w:val="0042641D"/>
    <w:rsid w:val="004265A6"/>
    <w:rsid w:val="0042660E"/>
    <w:rsid w:val="0042664F"/>
    <w:rsid w:val="00426738"/>
    <w:rsid w:val="00426755"/>
    <w:rsid w:val="004267E1"/>
    <w:rsid w:val="00426ACB"/>
    <w:rsid w:val="00426B84"/>
    <w:rsid w:val="00426D0D"/>
    <w:rsid w:val="00426E50"/>
    <w:rsid w:val="00426F00"/>
    <w:rsid w:val="0042705F"/>
    <w:rsid w:val="004270C0"/>
    <w:rsid w:val="00427104"/>
    <w:rsid w:val="00427105"/>
    <w:rsid w:val="0042715C"/>
    <w:rsid w:val="00427183"/>
    <w:rsid w:val="0042718A"/>
    <w:rsid w:val="004271B8"/>
    <w:rsid w:val="004271F8"/>
    <w:rsid w:val="00427304"/>
    <w:rsid w:val="0042732D"/>
    <w:rsid w:val="0042755A"/>
    <w:rsid w:val="004276B0"/>
    <w:rsid w:val="004276CD"/>
    <w:rsid w:val="004277BA"/>
    <w:rsid w:val="0042788A"/>
    <w:rsid w:val="004278E1"/>
    <w:rsid w:val="00427978"/>
    <w:rsid w:val="00427A11"/>
    <w:rsid w:val="00427A19"/>
    <w:rsid w:val="00427BBA"/>
    <w:rsid w:val="00427C1E"/>
    <w:rsid w:val="00427C21"/>
    <w:rsid w:val="00427C87"/>
    <w:rsid w:val="00427E04"/>
    <w:rsid w:val="00427F13"/>
    <w:rsid w:val="0043009E"/>
    <w:rsid w:val="004301D2"/>
    <w:rsid w:val="0043026B"/>
    <w:rsid w:val="00430740"/>
    <w:rsid w:val="00430A7A"/>
    <w:rsid w:val="00430D44"/>
    <w:rsid w:val="00430D72"/>
    <w:rsid w:val="00430EAC"/>
    <w:rsid w:val="00430F93"/>
    <w:rsid w:val="0043129F"/>
    <w:rsid w:val="004313FB"/>
    <w:rsid w:val="0043140C"/>
    <w:rsid w:val="0043143B"/>
    <w:rsid w:val="00431503"/>
    <w:rsid w:val="004317C2"/>
    <w:rsid w:val="004317CD"/>
    <w:rsid w:val="00431913"/>
    <w:rsid w:val="0043198E"/>
    <w:rsid w:val="00431AC0"/>
    <w:rsid w:val="00431AC1"/>
    <w:rsid w:val="00431B0E"/>
    <w:rsid w:val="00431CC7"/>
    <w:rsid w:val="00431DDA"/>
    <w:rsid w:val="00431E37"/>
    <w:rsid w:val="00431F3A"/>
    <w:rsid w:val="00431FB3"/>
    <w:rsid w:val="0043205A"/>
    <w:rsid w:val="004321D4"/>
    <w:rsid w:val="0043223F"/>
    <w:rsid w:val="004324BC"/>
    <w:rsid w:val="0043253F"/>
    <w:rsid w:val="00432707"/>
    <w:rsid w:val="0043271C"/>
    <w:rsid w:val="00432774"/>
    <w:rsid w:val="00432777"/>
    <w:rsid w:val="004327D9"/>
    <w:rsid w:val="004328B7"/>
    <w:rsid w:val="00432AB1"/>
    <w:rsid w:val="00432C84"/>
    <w:rsid w:val="00432D8B"/>
    <w:rsid w:val="00432F36"/>
    <w:rsid w:val="00432F52"/>
    <w:rsid w:val="00433028"/>
    <w:rsid w:val="00433042"/>
    <w:rsid w:val="00433171"/>
    <w:rsid w:val="00433231"/>
    <w:rsid w:val="004333B7"/>
    <w:rsid w:val="00433466"/>
    <w:rsid w:val="00433560"/>
    <w:rsid w:val="004336D6"/>
    <w:rsid w:val="0043378F"/>
    <w:rsid w:val="004337AE"/>
    <w:rsid w:val="004338D1"/>
    <w:rsid w:val="00433A33"/>
    <w:rsid w:val="00433AEB"/>
    <w:rsid w:val="00433B4E"/>
    <w:rsid w:val="00433BD3"/>
    <w:rsid w:val="00433C13"/>
    <w:rsid w:val="00433C82"/>
    <w:rsid w:val="00433D23"/>
    <w:rsid w:val="00433D85"/>
    <w:rsid w:val="00433DC1"/>
    <w:rsid w:val="00433F25"/>
    <w:rsid w:val="00434463"/>
    <w:rsid w:val="00434504"/>
    <w:rsid w:val="00434583"/>
    <w:rsid w:val="0043458F"/>
    <w:rsid w:val="004346A6"/>
    <w:rsid w:val="004346DF"/>
    <w:rsid w:val="00434755"/>
    <w:rsid w:val="004348CC"/>
    <w:rsid w:val="004348E4"/>
    <w:rsid w:val="0043490A"/>
    <w:rsid w:val="00434928"/>
    <w:rsid w:val="00434A58"/>
    <w:rsid w:val="00434A85"/>
    <w:rsid w:val="00434C44"/>
    <w:rsid w:val="00434CC6"/>
    <w:rsid w:val="00434FD0"/>
    <w:rsid w:val="00435250"/>
    <w:rsid w:val="004353E0"/>
    <w:rsid w:val="0043543C"/>
    <w:rsid w:val="00435567"/>
    <w:rsid w:val="004355FF"/>
    <w:rsid w:val="00435792"/>
    <w:rsid w:val="004357E8"/>
    <w:rsid w:val="004358B3"/>
    <w:rsid w:val="004359C8"/>
    <w:rsid w:val="00435B8C"/>
    <w:rsid w:val="00435D5B"/>
    <w:rsid w:val="00435E56"/>
    <w:rsid w:val="004360AA"/>
    <w:rsid w:val="004361D2"/>
    <w:rsid w:val="004363E1"/>
    <w:rsid w:val="00436493"/>
    <w:rsid w:val="004364C2"/>
    <w:rsid w:val="004366B0"/>
    <w:rsid w:val="004366BE"/>
    <w:rsid w:val="0043681F"/>
    <w:rsid w:val="00436A53"/>
    <w:rsid w:val="00436A5D"/>
    <w:rsid w:val="00436C19"/>
    <w:rsid w:val="00436DE8"/>
    <w:rsid w:val="00436E03"/>
    <w:rsid w:val="00436E0A"/>
    <w:rsid w:val="00436F57"/>
    <w:rsid w:val="004371B9"/>
    <w:rsid w:val="00437342"/>
    <w:rsid w:val="0043737A"/>
    <w:rsid w:val="004373A1"/>
    <w:rsid w:val="0043752B"/>
    <w:rsid w:val="00437691"/>
    <w:rsid w:val="0043772A"/>
    <w:rsid w:val="004377CC"/>
    <w:rsid w:val="004378CE"/>
    <w:rsid w:val="00437A55"/>
    <w:rsid w:val="00437A65"/>
    <w:rsid w:val="00437AC4"/>
    <w:rsid w:val="00437AEF"/>
    <w:rsid w:val="00437B42"/>
    <w:rsid w:val="00437E09"/>
    <w:rsid w:val="00437EB7"/>
    <w:rsid w:val="00437FCE"/>
    <w:rsid w:val="00440074"/>
    <w:rsid w:val="0044015A"/>
    <w:rsid w:val="004401CC"/>
    <w:rsid w:val="0044034D"/>
    <w:rsid w:val="00440439"/>
    <w:rsid w:val="0044052B"/>
    <w:rsid w:val="00440622"/>
    <w:rsid w:val="00440915"/>
    <w:rsid w:val="00440941"/>
    <w:rsid w:val="004409F7"/>
    <w:rsid w:val="00440A1B"/>
    <w:rsid w:val="00440A8F"/>
    <w:rsid w:val="00440AB9"/>
    <w:rsid w:val="00440CFC"/>
    <w:rsid w:val="00440E9B"/>
    <w:rsid w:val="00441163"/>
    <w:rsid w:val="0044131C"/>
    <w:rsid w:val="00441379"/>
    <w:rsid w:val="0044138D"/>
    <w:rsid w:val="0044165B"/>
    <w:rsid w:val="004418D3"/>
    <w:rsid w:val="00441AEA"/>
    <w:rsid w:val="00441C37"/>
    <w:rsid w:val="00441CDE"/>
    <w:rsid w:val="004421E1"/>
    <w:rsid w:val="00442271"/>
    <w:rsid w:val="0044238F"/>
    <w:rsid w:val="004423B6"/>
    <w:rsid w:val="004423EC"/>
    <w:rsid w:val="004423FB"/>
    <w:rsid w:val="0044242E"/>
    <w:rsid w:val="004424DD"/>
    <w:rsid w:val="0044256B"/>
    <w:rsid w:val="00442714"/>
    <w:rsid w:val="004427F1"/>
    <w:rsid w:val="00442ADD"/>
    <w:rsid w:val="00442B22"/>
    <w:rsid w:val="00442C3B"/>
    <w:rsid w:val="00442D90"/>
    <w:rsid w:val="00442DE2"/>
    <w:rsid w:val="00442E4D"/>
    <w:rsid w:val="00442F19"/>
    <w:rsid w:val="00442F1F"/>
    <w:rsid w:val="00443074"/>
    <w:rsid w:val="00443174"/>
    <w:rsid w:val="00443228"/>
    <w:rsid w:val="00443508"/>
    <w:rsid w:val="0044366B"/>
    <w:rsid w:val="0044369D"/>
    <w:rsid w:val="00443745"/>
    <w:rsid w:val="00443840"/>
    <w:rsid w:val="00443862"/>
    <w:rsid w:val="0044389D"/>
    <w:rsid w:val="00443B5E"/>
    <w:rsid w:val="00443B6B"/>
    <w:rsid w:val="00443C01"/>
    <w:rsid w:val="00443CBB"/>
    <w:rsid w:val="00443D4B"/>
    <w:rsid w:val="00443DF5"/>
    <w:rsid w:val="00443EBD"/>
    <w:rsid w:val="00443FA4"/>
    <w:rsid w:val="00444392"/>
    <w:rsid w:val="004443CB"/>
    <w:rsid w:val="0044478E"/>
    <w:rsid w:val="0044481A"/>
    <w:rsid w:val="0044483F"/>
    <w:rsid w:val="00444942"/>
    <w:rsid w:val="00444A4F"/>
    <w:rsid w:val="00444A6F"/>
    <w:rsid w:val="00444CC0"/>
    <w:rsid w:val="00444CDB"/>
    <w:rsid w:val="00444D05"/>
    <w:rsid w:val="00444DF0"/>
    <w:rsid w:val="00444E9D"/>
    <w:rsid w:val="00444EF2"/>
    <w:rsid w:val="00444F27"/>
    <w:rsid w:val="00444FC1"/>
    <w:rsid w:val="00445257"/>
    <w:rsid w:val="0044541B"/>
    <w:rsid w:val="00445467"/>
    <w:rsid w:val="004454DC"/>
    <w:rsid w:val="00445730"/>
    <w:rsid w:val="00445753"/>
    <w:rsid w:val="004457E4"/>
    <w:rsid w:val="00445945"/>
    <w:rsid w:val="00445B11"/>
    <w:rsid w:val="00445B30"/>
    <w:rsid w:val="00445B3A"/>
    <w:rsid w:val="00445BEF"/>
    <w:rsid w:val="00445CFC"/>
    <w:rsid w:val="00445DE9"/>
    <w:rsid w:val="00446070"/>
    <w:rsid w:val="00446079"/>
    <w:rsid w:val="004460F0"/>
    <w:rsid w:val="0044618C"/>
    <w:rsid w:val="0044626B"/>
    <w:rsid w:val="004462D5"/>
    <w:rsid w:val="00446388"/>
    <w:rsid w:val="004463DC"/>
    <w:rsid w:val="00446510"/>
    <w:rsid w:val="0044655B"/>
    <w:rsid w:val="004465B6"/>
    <w:rsid w:val="00446870"/>
    <w:rsid w:val="004469D6"/>
    <w:rsid w:val="00446F46"/>
    <w:rsid w:val="004470F8"/>
    <w:rsid w:val="0044719B"/>
    <w:rsid w:val="0044719D"/>
    <w:rsid w:val="004472F0"/>
    <w:rsid w:val="00447407"/>
    <w:rsid w:val="004474A9"/>
    <w:rsid w:val="004475DD"/>
    <w:rsid w:val="0044784A"/>
    <w:rsid w:val="0044796D"/>
    <w:rsid w:val="00447B93"/>
    <w:rsid w:val="00447CD3"/>
    <w:rsid w:val="00447F48"/>
    <w:rsid w:val="00447F4C"/>
    <w:rsid w:val="00447F4D"/>
    <w:rsid w:val="004500D3"/>
    <w:rsid w:val="0045013D"/>
    <w:rsid w:val="004501FC"/>
    <w:rsid w:val="004503E9"/>
    <w:rsid w:val="0045042B"/>
    <w:rsid w:val="0045053A"/>
    <w:rsid w:val="0045067D"/>
    <w:rsid w:val="0045069E"/>
    <w:rsid w:val="004506D7"/>
    <w:rsid w:val="00450811"/>
    <w:rsid w:val="0045096E"/>
    <w:rsid w:val="00450A1C"/>
    <w:rsid w:val="00450AD0"/>
    <w:rsid w:val="00450B4A"/>
    <w:rsid w:val="00450B94"/>
    <w:rsid w:val="00450B9C"/>
    <w:rsid w:val="00450D43"/>
    <w:rsid w:val="00450D94"/>
    <w:rsid w:val="00451020"/>
    <w:rsid w:val="004510B1"/>
    <w:rsid w:val="004510EA"/>
    <w:rsid w:val="00451214"/>
    <w:rsid w:val="0045136E"/>
    <w:rsid w:val="004513C0"/>
    <w:rsid w:val="004513DA"/>
    <w:rsid w:val="004513DB"/>
    <w:rsid w:val="00451949"/>
    <w:rsid w:val="00451A28"/>
    <w:rsid w:val="00451B29"/>
    <w:rsid w:val="00451B8B"/>
    <w:rsid w:val="00451BFF"/>
    <w:rsid w:val="00451D20"/>
    <w:rsid w:val="00451F74"/>
    <w:rsid w:val="00451F86"/>
    <w:rsid w:val="00452271"/>
    <w:rsid w:val="00452469"/>
    <w:rsid w:val="00452554"/>
    <w:rsid w:val="004525B5"/>
    <w:rsid w:val="004525C0"/>
    <w:rsid w:val="0045266A"/>
    <w:rsid w:val="004529E5"/>
    <w:rsid w:val="00452A54"/>
    <w:rsid w:val="00452B8F"/>
    <w:rsid w:val="00452D07"/>
    <w:rsid w:val="0045307D"/>
    <w:rsid w:val="0045366A"/>
    <w:rsid w:val="004536F7"/>
    <w:rsid w:val="00453897"/>
    <w:rsid w:val="004538DC"/>
    <w:rsid w:val="00453941"/>
    <w:rsid w:val="00453A3F"/>
    <w:rsid w:val="00453AB4"/>
    <w:rsid w:val="00453ABC"/>
    <w:rsid w:val="00453B78"/>
    <w:rsid w:val="00453BC2"/>
    <w:rsid w:val="00453C68"/>
    <w:rsid w:val="00453D2D"/>
    <w:rsid w:val="00453E7B"/>
    <w:rsid w:val="0045436C"/>
    <w:rsid w:val="004543FA"/>
    <w:rsid w:val="0045453A"/>
    <w:rsid w:val="004545ED"/>
    <w:rsid w:val="004546F7"/>
    <w:rsid w:val="00454763"/>
    <w:rsid w:val="00454915"/>
    <w:rsid w:val="004549C7"/>
    <w:rsid w:val="00454B7A"/>
    <w:rsid w:val="00454CD0"/>
    <w:rsid w:val="00454CE4"/>
    <w:rsid w:val="00454E1B"/>
    <w:rsid w:val="00454F4D"/>
    <w:rsid w:val="004550B0"/>
    <w:rsid w:val="004550F7"/>
    <w:rsid w:val="004553F3"/>
    <w:rsid w:val="00455439"/>
    <w:rsid w:val="00455445"/>
    <w:rsid w:val="00455572"/>
    <w:rsid w:val="0045564E"/>
    <w:rsid w:val="0045567D"/>
    <w:rsid w:val="00455700"/>
    <w:rsid w:val="0045574D"/>
    <w:rsid w:val="00455796"/>
    <w:rsid w:val="0045585E"/>
    <w:rsid w:val="00455A1C"/>
    <w:rsid w:val="00455A7E"/>
    <w:rsid w:val="00455AA3"/>
    <w:rsid w:val="00455AF3"/>
    <w:rsid w:val="00455BFC"/>
    <w:rsid w:val="00455D12"/>
    <w:rsid w:val="00455E21"/>
    <w:rsid w:val="00455F4F"/>
    <w:rsid w:val="00455F5E"/>
    <w:rsid w:val="00455FB9"/>
    <w:rsid w:val="00455FD8"/>
    <w:rsid w:val="00456142"/>
    <w:rsid w:val="0045636B"/>
    <w:rsid w:val="0045642C"/>
    <w:rsid w:val="0045649C"/>
    <w:rsid w:val="004566CF"/>
    <w:rsid w:val="00456845"/>
    <w:rsid w:val="0045689B"/>
    <w:rsid w:val="00456A39"/>
    <w:rsid w:val="00456A7E"/>
    <w:rsid w:val="00456DF3"/>
    <w:rsid w:val="00456E30"/>
    <w:rsid w:val="00456EFC"/>
    <w:rsid w:val="00456FCE"/>
    <w:rsid w:val="004572A3"/>
    <w:rsid w:val="004572AB"/>
    <w:rsid w:val="004572B6"/>
    <w:rsid w:val="004572CC"/>
    <w:rsid w:val="00457400"/>
    <w:rsid w:val="00457498"/>
    <w:rsid w:val="004574CB"/>
    <w:rsid w:val="0045765D"/>
    <w:rsid w:val="004577E1"/>
    <w:rsid w:val="0045792F"/>
    <w:rsid w:val="00457B3B"/>
    <w:rsid w:val="00457DF5"/>
    <w:rsid w:val="00457F57"/>
    <w:rsid w:val="00460025"/>
    <w:rsid w:val="00460071"/>
    <w:rsid w:val="00460096"/>
    <w:rsid w:val="004600E1"/>
    <w:rsid w:val="00460168"/>
    <w:rsid w:val="004601A2"/>
    <w:rsid w:val="004601B5"/>
    <w:rsid w:val="004602B5"/>
    <w:rsid w:val="004603AC"/>
    <w:rsid w:val="00460528"/>
    <w:rsid w:val="0046058C"/>
    <w:rsid w:val="004605CF"/>
    <w:rsid w:val="00460975"/>
    <w:rsid w:val="004609C2"/>
    <w:rsid w:val="00460A9D"/>
    <w:rsid w:val="00460AA4"/>
    <w:rsid w:val="00460C13"/>
    <w:rsid w:val="00460D8F"/>
    <w:rsid w:val="00460DD3"/>
    <w:rsid w:val="0046103C"/>
    <w:rsid w:val="0046117C"/>
    <w:rsid w:val="004612AC"/>
    <w:rsid w:val="00461474"/>
    <w:rsid w:val="004614D2"/>
    <w:rsid w:val="00461847"/>
    <w:rsid w:val="00461936"/>
    <w:rsid w:val="00461D3E"/>
    <w:rsid w:val="00461FEC"/>
    <w:rsid w:val="00462030"/>
    <w:rsid w:val="004621A0"/>
    <w:rsid w:val="00462221"/>
    <w:rsid w:val="004622C6"/>
    <w:rsid w:val="00462312"/>
    <w:rsid w:val="00462321"/>
    <w:rsid w:val="00462331"/>
    <w:rsid w:val="00462375"/>
    <w:rsid w:val="0046249E"/>
    <w:rsid w:val="0046263D"/>
    <w:rsid w:val="00462661"/>
    <w:rsid w:val="0046282C"/>
    <w:rsid w:val="004629EF"/>
    <w:rsid w:val="00462A49"/>
    <w:rsid w:val="00462A92"/>
    <w:rsid w:val="00462BBC"/>
    <w:rsid w:val="00462BD2"/>
    <w:rsid w:val="00462E33"/>
    <w:rsid w:val="00462F21"/>
    <w:rsid w:val="0046311B"/>
    <w:rsid w:val="004631B0"/>
    <w:rsid w:val="004631C4"/>
    <w:rsid w:val="004633DE"/>
    <w:rsid w:val="0046349E"/>
    <w:rsid w:val="0046353A"/>
    <w:rsid w:val="00463593"/>
    <w:rsid w:val="0046362B"/>
    <w:rsid w:val="0046363B"/>
    <w:rsid w:val="00463824"/>
    <w:rsid w:val="0046389F"/>
    <w:rsid w:val="004638E4"/>
    <w:rsid w:val="00463BA4"/>
    <w:rsid w:val="00463CE8"/>
    <w:rsid w:val="00463DD4"/>
    <w:rsid w:val="00463E54"/>
    <w:rsid w:val="00463EB0"/>
    <w:rsid w:val="00463EE4"/>
    <w:rsid w:val="00464095"/>
    <w:rsid w:val="004640EE"/>
    <w:rsid w:val="00464134"/>
    <w:rsid w:val="0046424E"/>
    <w:rsid w:val="00464305"/>
    <w:rsid w:val="0046431F"/>
    <w:rsid w:val="00464376"/>
    <w:rsid w:val="00464625"/>
    <w:rsid w:val="004646A6"/>
    <w:rsid w:val="004647F6"/>
    <w:rsid w:val="004649A3"/>
    <w:rsid w:val="00464B96"/>
    <w:rsid w:val="00464BDC"/>
    <w:rsid w:val="00464C17"/>
    <w:rsid w:val="00464CDA"/>
    <w:rsid w:val="00464EDB"/>
    <w:rsid w:val="00465054"/>
    <w:rsid w:val="004653E2"/>
    <w:rsid w:val="004654D1"/>
    <w:rsid w:val="00465571"/>
    <w:rsid w:val="0046560A"/>
    <w:rsid w:val="00465808"/>
    <w:rsid w:val="0046585D"/>
    <w:rsid w:val="004658A8"/>
    <w:rsid w:val="00465A22"/>
    <w:rsid w:val="00465A65"/>
    <w:rsid w:val="00465D23"/>
    <w:rsid w:val="00465D31"/>
    <w:rsid w:val="00465E0B"/>
    <w:rsid w:val="00465E25"/>
    <w:rsid w:val="00465EB0"/>
    <w:rsid w:val="0046605B"/>
    <w:rsid w:val="00466062"/>
    <w:rsid w:val="004661F0"/>
    <w:rsid w:val="0046620F"/>
    <w:rsid w:val="0046628B"/>
    <w:rsid w:val="004663A6"/>
    <w:rsid w:val="0046641F"/>
    <w:rsid w:val="004664B2"/>
    <w:rsid w:val="00466611"/>
    <w:rsid w:val="004666C2"/>
    <w:rsid w:val="004666ED"/>
    <w:rsid w:val="004667AD"/>
    <w:rsid w:val="004667EB"/>
    <w:rsid w:val="00466BBB"/>
    <w:rsid w:val="00466C84"/>
    <w:rsid w:val="00466D0B"/>
    <w:rsid w:val="004670C4"/>
    <w:rsid w:val="004672B8"/>
    <w:rsid w:val="004672FF"/>
    <w:rsid w:val="00467489"/>
    <w:rsid w:val="004674B9"/>
    <w:rsid w:val="0046764C"/>
    <w:rsid w:val="004676D6"/>
    <w:rsid w:val="0046771A"/>
    <w:rsid w:val="00467772"/>
    <w:rsid w:val="004679E0"/>
    <w:rsid w:val="00467D6E"/>
    <w:rsid w:val="00467E75"/>
    <w:rsid w:val="00467EEE"/>
    <w:rsid w:val="00467F17"/>
    <w:rsid w:val="00470020"/>
    <w:rsid w:val="004700AD"/>
    <w:rsid w:val="004700B1"/>
    <w:rsid w:val="004701A5"/>
    <w:rsid w:val="004701D7"/>
    <w:rsid w:val="00470255"/>
    <w:rsid w:val="004703F5"/>
    <w:rsid w:val="0047064E"/>
    <w:rsid w:val="00470659"/>
    <w:rsid w:val="0047069A"/>
    <w:rsid w:val="004707EC"/>
    <w:rsid w:val="0047096B"/>
    <w:rsid w:val="004709D5"/>
    <w:rsid w:val="00470C30"/>
    <w:rsid w:val="00470D13"/>
    <w:rsid w:val="00470D59"/>
    <w:rsid w:val="00470DFC"/>
    <w:rsid w:val="00470ED9"/>
    <w:rsid w:val="00470F41"/>
    <w:rsid w:val="004710D2"/>
    <w:rsid w:val="004713D7"/>
    <w:rsid w:val="00471422"/>
    <w:rsid w:val="004714B4"/>
    <w:rsid w:val="00471584"/>
    <w:rsid w:val="004715AD"/>
    <w:rsid w:val="004715AF"/>
    <w:rsid w:val="004715D8"/>
    <w:rsid w:val="00471641"/>
    <w:rsid w:val="00471841"/>
    <w:rsid w:val="00471870"/>
    <w:rsid w:val="00471A4B"/>
    <w:rsid w:val="00471B15"/>
    <w:rsid w:val="00471C20"/>
    <w:rsid w:val="00471D38"/>
    <w:rsid w:val="00471DC0"/>
    <w:rsid w:val="00471E10"/>
    <w:rsid w:val="00471E8B"/>
    <w:rsid w:val="004720B1"/>
    <w:rsid w:val="004720BB"/>
    <w:rsid w:val="00472139"/>
    <w:rsid w:val="0047213C"/>
    <w:rsid w:val="0047217C"/>
    <w:rsid w:val="00472291"/>
    <w:rsid w:val="004722E8"/>
    <w:rsid w:val="004724AB"/>
    <w:rsid w:val="004724CF"/>
    <w:rsid w:val="004725D5"/>
    <w:rsid w:val="00472657"/>
    <w:rsid w:val="004729CB"/>
    <w:rsid w:val="00472B22"/>
    <w:rsid w:val="00472D53"/>
    <w:rsid w:val="00472ED9"/>
    <w:rsid w:val="00472EF9"/>
    <w:rsid w:val="00472F0C"/>
    <w:rsid w:val="00472F91"/>
    <w:rsid w:val="00472F98"/>
    <w:rsid w:val="004731F6"/>
    <w:rsid w:val="00473333"/>
    <w:rsid w:val="0047336C"/>
    <w:rsid w:val="0047340A"/>
    <w:rsid w:val="004735EB"/>
    <w:rsid w:val="0047368E"/>
    <w:rsid w:val="0047386C"/>
    <w:rsid w:val="004739CB"/>
    <w:rsid w:val="004739F7"/>
    <w:rsid w:val="00473AD4"/>
    <w:rsid w:val="00473C70"/>
    <w:rsid w:val="00473D92"/>
    <w:rsid w:val="00473F14"/>
    <w:rsid w:val="00473F4F"/>
    <w:rsid w:val="00473F93"/>
    <w:rsid w:val="00473FF3"/>
    <w:rsid w:val="00473FF7"/>
    <w:rsid w:val="0047403D"/>
    <w:rsid w:val="004744E7"/>
    <w:rsid w:val="0047457B"/>
    <w:rsid w:val="0047468A"/>
    <w:rsid w:val="004746B7"/>
    <w:rsid w:val="004746EB"/>
    <w:rsid w:val="004746F0"/>
    <w:rsid w:val="00474814"/>
    <w:rsid w:val="004748CA"/>
    <w:rsid w:val="004748DD"/>
    <w:rsid w:val="0047493B"/>
    <w:rsid w:val="00474BD4"/>
    <w:rsid w:val="00474C24"/>
    <w:rsid w:val="00474C8D"/>
    <w:rsid w:val="00474E37"/>
    <w:rsid w:val="00474E3A"/>
    <w:rsid w:val="00474F1C"/>
    <w:rsid w:val="00474F3A"/>
    <w:rsid w:val="004751F8"/>
    <w:rsid w:val="00475245"/>
    <w:rsid w:val="004752B7"/>
    <w:rsid w:val="004753FE"/>
    <w:rsid w:val="00475408"/>
    <w:rsid w:val="004754DA"/>
    <w:rsid w:val="004756F3"/>
    <w:rsid w:val="004757AB"/>
    <w:rsid w:val="004758DC"/>
    <w:rsid w:val="00475947"/>
    <w:rsid w:val="00475A1D"/>
    <w:rsid w:val="00475ABA"/>
    <w:rsid w:val="00475B90"/>
    <w:rsid w:val="00475BEE"/>
    <w:rsid w:val="00475C54"/>
    <w:rsid w:val="00475CDC"/>
    <w:rsid w:val="00475D8C"/>
    <w:rsid w:val="00475E6D"/>
    <w:rsid w:val="0047609D"/>
    <w:rsid w:val="00476111"/>
    <w:rsid w:val="004761F6"/>
    <w:rsid w:val="0047627F"/>
    <w:rsid w:val="00476372"/>
    <w:rsid w:val="00476547"/>
    <w:rsid w:val="004765B7"/>
    <w:rsid w:val="0047662C"/>
    <w:rsid w:val="004767FF"/>
    <w:rsid w:val="00476814"/>
    <w:rsid w:val="00476815"/>
    <w:rsid w:val="00476904"/>
    <w:rsid w:val="004769E3"/>
    <w:rsid w:val="00476A93"/>
    <w:rsid w:val="00476B84"/>
    <w:rsid w:val="00476CD3"/>
    <w:rsid w:val="00476DB7"/>
    <w:rsid w:val="00477040"/>
    <w:rsid w:val="00477047"/>
    <w:rsid w:val="00477122"/>
    <w:rsid w:val="004771A8"/>
    <w:rsid w:val="004774F7"/>
    <w:rsid w:val="004775E3"/>
    <w:rsid w:val="00477A82"/>
    <w:rsid w:val="00477CE3"/>
    <w:rsid w:val="00477D8B"/>
    <w:rsid w:val="00477E9D"/>
    <w:rsid w:val="00477F38"/>
    <w:rsid w:val="00477F4E"/>
    <w:rsid w:val="00477F92"/>
    <w:rsid w:val="00477FAE"/>
    <w:rsid w:val="00480014"/>
    <w:rsid w:val="00480066"/>
    <w:rsid w:val="00480067"/>
    <w:rsid w:val="0048012A"/>
    <w:rsid w:val="00480133"/>
    <w:rsid w:val="00480151"/>
    <w:rsid w:val="00480166"/>
    <w:rsid w:val="00480310"/>
    <w:rsid w:val="004803EA"/>
    <w:rsid w:val="004804BD"/>
    <w:rsid w:val="004804C7"/>
    <w:rsid w:val="004804E2"/>
    <w:rsid w:val="004805C0"/>
    <w:rsid w:val="0048065E"/>
    <w:rsid w:val="004807BE"/>
    <w:rsid w:val="00480827"/>
    <w:rsid w:val="00480846"/>
    <w:rsid w:val="00480855"/>
    <w:rsid w:val="00480947"/>
    <w:rsid w:val="00480ADD"/>
    <w:rsid w:val="00480B41"/>
    <w:rsid w:val="00480B8F"/>
    <w:rsid w:val="00480EAE"/>
    <w:rsid w:val="00480F9A"/>
    <w:rsid w:val="00481089"/>
    <w:rsid w:val="0048119D"/>
    <w:rsid w:val="0048128F"/>
    <w:rsid w:val="0048133B"/>
    <w:rsid w:val="00481498"/>
    <w:rsid w:val="004816FE"/>
    <w:rsid w:val="004817C0"/>
    <w:rsid w:val="004817CF"/>
    <w:rsid w:val="0048197A"/>
    <w:rsid w:val="0048198B"/>
    <w:rsid w:val="00481C2B"/>
    <w:rsid w:val="00481C98"/>
    <w:rsid w:val="00481E62"/>
    <w:rsid w:val="00481F5A"/>
    <w:rsid w:val="00481F6A"/>
    <w:rsid w:val="00482302"/>
    <w:rsid w:val="00482342"/>
    <w:rsid w:val="00482548"/>
    <w:rsid w:val="0048265D"/>
    <w:rsid w:val="0048267A"/>
    <w:rsid w:val="004827DC"/>
    <w:rsid w:val="00482D1A"/>
    <w:rsid w:val="00482D88"/>
    <w:rsid w:val="00482DF6"/>
    <w:rsid w:val="0048306C"/>
    <w:rsid w:val="00483153"/>
    <w:rsid w:val="00483288"/>
    <w:rsid w:val="004833AD"/>
    <w:rsid w:val="004833B8"/>
    <w:rsid w:val="00483401"/>
    <w:rsid w:val="00483541"/>
    <w:rsid w:val="004835AD"/>
    <w:rsid w:val="00483635"/>
    <w:rsid w:val="00483711"/>
    <w:rsid w:val="00483723"/>
    <w:rsid w:val="00483738"/>
    <w:rsid w:val="0048382E"/>
    <w:rsid w:val="0048385F"/>
    <w:rsid w:val="00483CC7"/>
    <w:rsid w:val="00483D0D"/>
    <w:rsid w:val="00483D9A"/>
    <w:rsid w:val="00483FB4"/>
    <w:rsid w:val="00484461"/>
    <w:rsid w:val="0048464C"/>
    <w:rsid w:val="0048474D"/>
    <w:rsid w:val="004847BB"/>
    <w:rsid w:val="004847C6"/>
    <w:rsid w:val="0048482C"/>
    <w:rsid w:val="004849D4"/>
    <w:rsid w:val="00484BE9"/>
    <w:rsid w:val="00484C14"/>
    <w:rsid w:val="00484CF6"/>
    <w:rsid w:val="004851B5"/>
    <w:rsid w:val="00485786"/>
    <w:rsid w:val="00485B6F"/>
    <w:rsid w:val="00485BAF"/>
    <w:rsid w:val="00485C2D"/>
    <w:rsid w:val="00485C43"/>
    <w:rsid w:val="00485C51"/>
    <w:rsid w:val="00485DAC"/>
    <w:rsid w:val="00485DF1"/>
    <w:rsid w:val="00485F51"/>
    <w:rsid w:val="00486001"/>
    <w:rsid w:val="00486004"/>
    <w:rsid w:val="00486142"/>
    <w:rsid w:val="004861C6"/>
    <w:rsid w:val="0048625E"/>
    <w:rsid w:val="00486313"/>
    <w:rsid w:val="00486597"/>
    <w:rsid w:val="004868BC"/>
    <w:rsid w:val="00486C26"/>
    <w:rsid w:val="00486C69"/>
    <w:rsid w:val="00486D9F"/>
    <w:rsid w:val="00486E44"/>
    <w:rsid w:val="00486F96"/>
    <w:rsid w:val="00486FBD"/>
    <w:rsid w:val="00487085"/>
    <w:rsid w:val="004870B0"/>
    <w:rsid w:val="004870F9"/>
    <w:rsid w:val="004871F0"/>
    <w:rsid w:val="00487209"/>
    <w:rsid w:val="00487223"/>
    <w:rsid w:val="0048731A"/>
    <w:rsid w:val="00487335"/>
    <w:rsid w:val="00487384"/>
    <w:rsid w:val="004875F1"/>
    <w:rsid w:val="004876DE"/>
    <w:rsid w:val="0048776C"/>
    <w:rsid w:val="00487834"/>
    <w:rsid w:val="00487926"/>
    <w:rsid w:val="00487B51"/>
    <w:rsid w:val="00487DB0"/>
    <w:rsid w:val="00487DD5"/>
    <w:rsid w:val="00487E93"/>
    <w:rsid w:val="00490085"/>
    <w:rsid w:val="00490087"/>
    <w:rsid w:val="004901B1"/>
    <w:rsid w:val="00490202"/>
    <w:rsid w:val="004905F4"/>
    <w:rsid w:val="0049060B"/>
    <w:rsid w:val="00490619"/>
    <w:rsid w:val="004906F5"/>
    <w:rsid w:val="0049086E"/>
    <w:rsid w:val="004908B4"/>
    <w:rsid w:val="00490A21"/>
    <w:rsid w:val="00490CA7"/>
    <w:rsid w:val="00490E1C"/>
    <w:rsid w:val="00490EBA"/>
    <w:rsid w:val="00490FE5"/>
    <w:rsid w:val="004910CD"/>
    <w:rsid w:val="004912B9"/>
    <w:rsid w:val="004912BE"/>
    <w:rsid w:val="00491366"/>
    <w:rsid w:val="004913E9"/>
    <w:rsid w:val="004915A5"/>
    <w:rsid w:val="0049175B"/>
    <w:rsid w:val="00491798"/>
    <w:rsid w:val="00491858"/>
    <w:rsid w:val="0049196B"/>
    <w:rsid w:val="004919A4"/>
    <w:rsid w:val="00491E38"/>
    <w:rsid w:val="00491E50"/>
    <w:rsid w:val="00491EBC"/>
    <w:rsid w:val="00491F86"/>
    <w:rsid w:val="00492013"/>
    <w:rsid w:val="00492220"/>
    <w:rsid w:val="0049230E"/>
    <w:rsid w:val="0049239F"/>
    <w:rsid w:val="0049243E"/>
    <w:rsid w:val="004925C2"/>
    <w:rsid w:val="00492685"/>
    <w:rsid w:val="004926AD"/>
    <w:rsid w:val="004926CE"/>
    <w:rsid w:val="004927F7"/>
    <w:rsid w:val="004929E6"/>
    <w:rsid w:val="00492A29"/>
    <w:rsid w:val="00492EF1"/>
    <w:rsid w:val="00492F3D"/>
    <w:rsid w:val="00492F4D"/>
    <w:rsid w:val="00493006"/>
    <w:rsid w:val="0049331D"/>
    <w:rsid w:val="004933BD"/>
    <w:rsid w:val="00493436"/>
    <w:rsid w:val="004935EC"/>
    <w:rsid w:val="0049375D"/>
    <w:rsid w:val="00493764"/>
    <w:rsid w:val="00493817"/>
    <w:rsid w:val="00493867"/>
    <w:rsid w:val="004939C6"/>
    <w:rsid w:val="004939EB"/>
    <w:rsid w:val="00493A89"/>
    <w:rsid w:val="00493B32"/>
    <w:rsid w:val="00493C99"/>
    <w:rsid w:val="00493E45"/>
    <w:rsid w:val="00494015"/>
    <w:rsid w:val="0049409B"/>
    <w:rsid w:val="004942B9"/>
    <w:rsid w:val="0049453C"/>
    <w:rsid w:val="00494689"/>
    <w:rsid w:val="004947C4"/>
    <w:rsid w:val="0049499C"/>
    <w:rsid w:val="00494B72"/>
    <w:rsid w:val="00494C5C"/>
    <w:rsid w:val="00494DEF"/>
    <w:rsid w:val="00494DF9"/>
    <w:rsid w:val="00494FD7"/>
    <w:rsid w:val="00495014"/>
    <w:rsid w:val="00495124"/>
    <w:rsid w:val="00495189"/>
    <w:rsid w:val="00495449"/>
    <w:rsid w:val="004954C7"/>
    <w:rsid w:val="004956B6"/>
    <w:rsid w:val="00495784"/>
    <w:rsid w:val="004959EF"/>
    <w:rsid w:val="00495A5F"/>
    <w:rsid w:val="00495D36"/>
    <w:rsid w:val="00495F03"/>
    <w:rsid w:val="00495FE2"/>
    <w:rsid w:val="00496112"/>
    <w:rsid w:val="00496162"/>
    <w:rsid w:val="0049625A"/>
    <w:rsid w:val="00496285"/>
    <w:rsid w:val="004964F4"/>
    <w:rsid w:val="00496581"/>
    <w:rsid w:val="0049680F"/>
    <w:rsid w:val="0049684D"/>
    <w:rsid w:val="004969F2"/>
    <w:rsid w:val="00496C98"/>
    <w:rsid w:val="00496E7B"/>
    <w:rsid w:val="00496EE8"/>
    <w:rsid w:val="0049709A"/>
    <w:rsid w:val="004970BC"/>
    <w:rsid w:val="0049727F"/>
    <w:rsid w:val="004972BF"/>
    <w:rsid w:val="00497317"/>
    <w:rsid w:val="00497378"/>
    <w:rsid w:val="0049741B"/>
    <w:rsid w:val="0049742E"/>
    <w:rsid w:val="004974F7"/>
    <w:rsid w:val="00497537"/>
    <w:rsid w:val="00497656"/>
    <w:rsid w:val="004978C6"/>
    <w:rsid w:val="00497C37"/>
    <w:rsid w:val="00497C4C"/>
    <w:rsid w:val="00497D66"/>
    <w:rsid w:val="00497D92"/>
    <w:rsid w:val="00497E79"/>
    <w:rsid w:val="00497F68"/>
    <w:rsid w:val="00497FCA"/>
    <w:rsid w:val="004A02A2"/>
    <w:rsid w:val="004A042D"/>
    <w:rsid w:val="004A05BF"/>
    <w:rsid w:val="004A05F5"/>
    <w:rsid w:val="004A06EA"/>
    <w:rsid w:val="004A0707"/>
    <w:rsid w:val="004A0790"/>
    <w:rsid w:val="004A0897"/>
    <w:rsid w:val="004A08E2"/>
    <w:rsid w:val="004A0925"/>
    <w:rsid w:val="004A0DAB"/>
    <w:rsid w:val="004A0E94"/>
    <w:rsid w:val="004A1271"/>
    <w:rsid w:val="004A1433"/>
    <w:rsid w:val="004A1717"/>
    <w:rsid w:val="004A1768"/>
    <w:rsid w:val="004A177B"/>
    <w:rsid w:val="004A182C"/>
    <w:rsid w:val="004A1B12"/>
    <w:rsid w:val="004A1B4C"/>
    <w:rsid w:val="004A1C1A"/>
    <w:rsid w:val="004A214A"/>
    <w:rsid w:val="004A2230"/>
    <w:rsid w:val="004A22ED"/>
    <w:rsid w:val="004A2341"/>
    <w:rsid w:val="004A23D8"/>
    <w:rsid w:val="004A252C"/>
    <w:rsid w:val="004A25E1"/>
    <w:rsid w:val="004A28E9"/>
    <w:rsid w:val="004A28FA"/>
    <w:rsid w:val="004A2A84"/>
    <w:rsid w:val="004A2ADB"/>
    <w:rsid w:val="004A2B2C"/>
    <w:rsid w:val="004A2B34"/>
    <w:rsid w:val="004A2B8E"/>
    <w:rsid w:val="004A2CDC"/>
    <w:rsid w:val="004A2D74"/>
    <w:rsid w:val="004A2E32"/>
    <w:rsid w:val="004A311E"/>
    <w:rsid w:val="004A3166"/>
    <w:rsid w:val="004A319A"/>
    <w:rsid w:val="004A327B"/>
    <w:rsid w:val="004A3318"/>
    <w:rsid w:val="004A3439"/>
    <w:rsid w:val="004A3487"/>
    <w:rsid w:val="004A34F1"/>
    <w:rsid w:val="004A35FE"/>
    <w:rsid w:val="004A3639"/>
    <w:rsid w:val="004A378E"/>
    <w:rsid w:val="004A3808"/>
    <w:rsid w:val="004A38F3"/>
    <w:rsid w:val="004A3B4F"/>
    <w:rsid w:val="004A3C1D"/>
    <w:rsid w:val="004A3CB7"/>
    <w:rsid w:val="004A3D4F"/>
    <w:rsid w:val="004A3D61"/>
    <w:rsid w:val="004A3F48"/>
    <w:rsid w:val="004A423C"/>
    <w:rsid w:val="004A440A"/>
    <w:rsid w:val="004A441B"/>
    <w:rsid w:val="004A443A"/>
    <w:rsid w:val="004A443D"/>
    <w:rsid w:val="004A44D8"/>
    <w:rsid w:val="004A45B1"/>
    <w:rsid w:val="004A4718"/>
    <w:rsid w:val="004A49C3"/>
    <w:rsid w:val="004A4A98"/>
    <w:rsid w:val="004A4B0A"/>
    <w:rsid w:val="004A4C13"/>
    <w:rsid w:val="004A4D7A"/>
    <w:rsid w:val="004A4F1D"/>
    <w:rsid w:val="004A5084"/>
    <w:rsid w:val="004A50D7"/>
    <w:rsid w:val="004A522A"/>
    <w:rsid w:val="004A5307"/>
    <w:rsid w:val="004A54B5"/>
    <w:rsid w:val="004A56BB"/>
    <w:rsid w:val="004A5748"/>
    <w:rsid w:val="004A574B"/>
    <w:rsid w:val="004A5756"/>
    <w:rsid w:val="004A5809"/>
    <w:rsid w:val="004A5908"/>
    <w:rsid w:val="004A5A2D"/>
    <w:rsid w:val="004A5C37"/>
    <w:rsid w:val="004A5C52"/>
    <w:rsid w:val="004A5CF2"/>
    <w:rsid w:val="004A5CF8"/>
    <w:rsid w:val="004A5D52"/>
    <w:rsid w:val="004A6003"/>
    <w:rsid w:val="004A6045"/>
    <w:rsid w:val="004A607B"/>
    <w:rsid w:val="004A6247"/>
    <w:rsid w:val="004A6366"/>
    <w:rsid w:val="004A6538"/>
    <w:rsid w:val="004A668D"/>
    <w:rsid w:val="004A679A"/>
    <w:rsid w:val="004A68C6"/>
    <w:rsid w:val="004A6914"/>
    <w:rsid w:val="004A6C12"/>
    <w:rsid w:val="004A6C67"/>
    <w:rsid w:val="004A6D60"/>
    <w:rsid w:val="004A6DFF"/>
    <w:rsid w:val="004A6EAE"/>
    <w:rsid w:val="004A7037"/>
    <w:rsid w:val="004A70A6"/>
    <w:rsid w:val="004A70E3"/>
    <w:rsid w:val="004A713B"/>
    <w:rsid w:val="004A7164"/>
    <w:rsid w:val="004A72B4"/>
    <w:rsid w:val="004A7355"/>
    <w:rsid w:val="004A7373"/>
    <w:rsid w:val="004A73FE"/>
    <w:rsid w:val="004A7426"/>
    <w:rsid w:val="004A742D"/>
    <w:rsid w:val="004A744E"/>
    <w:rsid w:val="004A7450"/>
    <w:rsid w:val="004A75BF"/>
    <w:rsid w:val="004A77CF"/>
    <w:rsid w:val="004A78A2"/>
    <w:rsid w:val="004A7949"/>
    <w:rsid w:val="004A79B7"/>
    <w:rsid w:val="004A7A4C"/>
    <w:rsid w:val="004A7A7D"/>
    <w:rsid w:val="004A7AE9"/>
    <w:rsid w:val="004A7B70"/>
    <w:rsid w:val="004A7C88"/>
    <w:rsid w:val="004A7CCB"/>
    <w:rsid w:val="004A7D27"/>
    <w:rsid w:val="004A7D3A"/>
    <w:rsid w:val="004A7D62"/>
    <w:rsid w:val="004B0193"/>
    <w:rsid w:val="004B021C"/>
    <w:rsid w:val="004B037D"/>
    <w:rsid w:val="004B0382"/>
    <w:rsid w:val="004B03F6"/>
    <w:rsid w:val="004B06BA"/>
    <w:rsid w:val="004B0800"/>
    <w:rsid w:val="004B0804"/>
    <w:rsid w:val="004B0B54"/>
    <w:rsid w:val="004B0B73"/>
    <w:rsid w:val="004B0BC5"/>
    <w:rsid w:val="004B0CA6"/>
    <w:rsid w:val="004B0CBD"/>
    <w:rsid w:val="004B0DE7"/>
    <w:rsid w:val="004B0E3B"/>
    <w:rsid w:val="004B1172"/>
    <w:rsid w:val="004B11E8"/>
    <w:rsid w:val="004B1330"/>
    <w:rsid w:val="004B156B"/>
    <w:rsid w:val="004B163C"/>
    <w:rsid w:val="004B1686"/>
    <w:rsid w:val="004B168E"/>
    <w:rsid w:val="004B16F4"/>
    <w:rsid w:val="004B1709"/>
    <w:rsid w:val="004B17CD"/>
    <w:rsid w:val="004B196F"/>
    <w:rsid w:val="004B1A7E"/>
    <w:rsid w:val="004B1B02"/>
    <w:rsid w:val="004B1CDD"/>
    <w:rsid w:val="004B1D36"/>
    <w:rsid w:val="004B1FD9"/>
    <w:rsid w:val="004B2016"/>
    <w:rsid w:val="004B23AF"/>
    <w:rsid w:val="004B26B1"/>
    <w:rsid w:val="004B271C"/>
    <w:rsid w:val="004B2756"/>
    <w:rsid w:val="004B2800"/>
    <w:rsid w:val="004B2969"/>
    <w:rsid w:val="004B2A78"/>
    <w:rsid w:val="004B2BEC"/>
    <w:rsid w:val="004B2C7A"/>
    <w:rsid w:val="004B2DED"/>
    <w:rsid w:val="004B2E19"/>
    <w:rsid w:val="004B2F42"/>
    <w:rsid w:val="004B3033"/>
    <w:rsid w:val="004B319B"/>
    <w:rsid w:val="004B33F8"/>
    <w:rsid w:val="004B34F7"/>
    <w:rsid w:val="004B3567"/>
    <w:rsid w:val="004B35F3"/>
    <w:rsid w:val="004B3600"/>
    <w:rsid w:val="004B363E"/>
    <w:rsid w:val="004B3824"/>
    <w:rsid w:val="004B387B"/>
    <w:rsid w:val="004B3B32"/>
    <w:rsid w:val="004B3B5E"/>
    <w:rsid w:val="004B3B8E"/>
    <w:rsid w:val="004B3C71"/>
    <w:rsid w:val="004B3CA7"/>
    <w:rsid w:val="004B3D12"/>
    <w:rsid w:val="004B3E38"/>
    <w:rsid w:val="004B3F8B"/>
    <w:rsid w:val="004B3FD7"/>
    <w:rsid w:val="004B4046"/>
    <w:rsid w:val="004B41CE"/>
    <w:rsid w:val="004B44AA"/>
    <w:rsid w:val="004B4566"/>
    <w:rsid w:val="004B45AC"/>
    <w:rsid w:val="004B4680"/>
    <w:rsid w:val="004B47A6"/>
    <w:rsid w:val="004B4893"/>
    <w:rsid w:val="004B495A"/>
    <w:rsid w:val="004B4972"/>
    <w:rsid w:val="004B49C3"/>
    <w:rsid w:val="004B4A12"/>
    <w:rsid w:val="004B4AF5"/>
    <w:rsid w:val="004B4C58"/>
    <w:rsid w:val="004B4C79"/>
    <w:rsid w:val="004B4CD1"/>
    <w:rsid w:val="004B4E3B"/>
    <w:rsid w:val="004B5025"/>
    <w:rsid w:val="004B5064"/>
    <w:rsid w:val="004B510E"/>
    <w:rsid w:val="004B5282"/>
    <w:rsid w:val="004B558E"/>
    <w:rsid w:val="004B56B0"/>
    <w:rsid w:val="004B56D4"/>
    <w:rsid w:val="004B599F"/>
    <w:rsid w:val="004B5C51"/>
    <w:rsid w:val="004B5D4F"/>
    <w:rsid w:val="004B607B"/>
    <w:rsid w:val="004B61D5"/>
    <w:rsid w:val="004B62AD"/>
    <w:rsid w:val="004B641B"/>
    <w:rsid w:val="004B6529"/>
    <w:rsid w:val="004B656F"/>
    <w:rsid w:val="004B65F5"/>
    <w:rsid w:val="004B687A"/>
    <w:rsid w:val="004B6996"/>
    <w:rsid w:val="004B69A3"/>
    <w:rsid w:val="004B6A1C"/>
    <w:rsid w:val="004B6A5B"/>
    <w:rsid w:val="004B6BC9"/>
    <w:rsid w:val="004B6C01"/>
    <w:rsid w:val="004B6D3F"/>
    <w:rsid w:val="004B6DC2"/>
    <w:rsid w:val="004B6E96"/>
    <w:rsid w:val="004B6FE4"/>
    <w:rsid w:val="004B7088"/>
    <w:rsid w:val="004B709E"/>
    <w:rsid w:val="004B722C"/>
    <w:rsid w:val="004B741A"/>
    <w:rsid w:val="004B7474"/>
    <w:rsid w:val="004B750E"/>
    <w:rsid w:val="004B76B0"/>
    <w:rsid w:val="004B7776"/>
    <w:rsid w:val="004B7820"/>
    <w:rsid w:val="004B784B"/>
    <w:rsid w:val="004B7AA5"/>
    <w:rsid w:val="004B7B3D"/>
    <w:rsid w:val="004B7BD1"/>
    <w:rsid w:val="004B7BF0"/>
    <w:rsid w:val="004B7CAA"/>
    <w:rsid w:val="004B7E16"/>
    <w:rsid w:val="004B7FB1"/>
    <w:rsid w:val="004C007E"/>
    <w:rsid w:val="004C01B8"/>
    <w:rsid w:val="004C01F9"/>
    <w:rsid w:val="004C024D"/>
    <w:rsid w:val="004C027E"/>
    <w:rsid w:val="004C0280"/>
    <w:rsid w:val="004C0334"/>
    <w:rsid w:val="004C03E6"/>
    <w:rsid w:val="004C041F"/>
    <w:rsid w:val="004C0455"/>
    <w:rsid w:val="004C046C"/>
    <w:rsid w:val="004C05FB"/>
    <w:rsid w:val="004C063C"/>
    <w:rsid w:val="004C0676"/>
    <w:rsid w:val="004C088C"/>
    <w:rsid w:val="004C0A82"/>
    <w:rsid w:val="004C0D0D"/>
    <w:rsid w:val="004C0DD3"/>
    <w:rsid w:val="004C0EE6"/>
    <w:rsid w:val="004C0F2D"/>
    <w:rsid w:val="004C1010"/>
    <w:rsid w:val="004C112B"/>
    <w:rsid w:val="004C113C"/>
    <w:rsid w:val="004C1234"/>
    <w:rsid w:val="004C1321"/>
    <w:rsid w:val="004C132F"/>
    <w:rsid w:val="004C1392"/>
    <w:rsid w:val="004C14D9"/>
    <w:rsid w:val="004C14FA"/>
    <w:rsid w:val="004C1543"/>
    <w:rsid w:val="004C1592"/>
    <w:rsid w:val="004C1599"/>
    <w:rsid w:val="004C159A"/>
    <w:rsid w:val="004C1650"/>
    <w:rsid w:val="004C18DD"/>
    <w:rsid w:val="004C19C2"/>
    <w:rsid w:val="004C19C5"/>
    <w:rsid w:val="004C1B6F"/>
    <w:rsid w:val="004C1BF3"/>
    <w:rsid w:val="004C1C4E"/>
    <w:rsid w:val="004C1D1D"/>
    <w:rsid w:val="004C1E70"/>
    <w:rsid w:val="004C1ED2"/>
    <w:rsid w:val="004C2207"/>
    <w:rsid w:val="004C24A5"/>
    <w:rsid w:val="004C252E"/>
    <w:rsid w:val="004C253B"/>
    <w:rsid w:val="004C25B1"/>
    <w:rsid w:val="004C25D4"/>
    <w:rsid w:val="004C26DF"/>
    <w:rsid w:val="004C2710"/>
    <w:rsid w:val="004C272E"/>
    <w:rsid w:val="004C2808"/>
    <w:rsid w:val="004C2970"/>
    <w:rsid w:val="004C298F"/>
    <w:rsid w:val="004C2A56"/>
    <w:rsid w:val="004C2BAC"/>
    <w:rsid w:val="004C2C01"/>
    <w:rsid w:val="004C2CA1"/>
    <w:rsid w:val="004C2DF7"/>
    <w:rsid w:val="004C2E33"/>
    <w:rsid w:val="004C3051"/>
    <w:rsid w:val="004C3066"/>
    <w:rsid w:val="004C319E"/>
    <w:rsid w:val="004C31D5"/>
    <w:rsid w:val="004C3225"/>
    <w:rsid w:val="004C32B4"/>
    <w:rsid w:val="004C3348"/>
    <w:rsid w:val="004C334E"/>
    <w:rsid w:val="004C3462"/>
    <w:rsid w:val="004C34E7"/>
    <w:rsid w:val="004C34F5"/>
    <w:rsid w:val="004C36B3"/>
    <w:rsid w:val="004C3748"/>
    <w:rsid w:val="004C38A3"/>
    <w:rsid w:val="004C38C2"/>
    <w:rsid w:val="004C3A1B"/>
    <w:rsid w:val="004C3A79"/>
    <w:rsid w:val="004C3B7E"/>
    <w:rsid w:val="004C3C50"/>
    <w:rsid w:val="004C3CEF"/>
    <w:rsid w:val="004C3D31"/>
    <w:rsid w:val="004C3ED3"/>
    <w:rsid w:val="004C3FD4"/>
    <w:rsid w:val="004C4011"/>
    <w:rsid w:val="004C4107"/>
    <w:rsid w:val="004C41BA"/>
    <w:rsid w:val="004C4708"/>
    <w:rsid w:val="004C4910"/>
    <w:rsid w:val="004C4A11"/>
    <w:rsid w:val="004C4A4F"/>
    <w:rsid w:val="004C4AFE"/>
    <w:rsid w:val="004C4CA4"/>
    <w:rsid w:val="004C4CEC"/>
    <w:rsid w:val="004C4D0E"/>
    <w:rsid w:val="004C4DC9"/>
    <w:rsid w:val="004C4DF4"/>
    <w:rsid w:val="004C4E8D"/>
    <w:rsid w:val="004C4EDE"/>
    <w:rsid w:val="004C4F5E"/>
    <w:rsid w:val="004C5020"/>
    <w:rsid w:val="004C5030"/>
    <w:rsid w:val="004C50C6"/>
    <w:rsid w:val="004C50E9"/>
    <w:rsid w:val="004C5153"/>
    <w:rsid w:val="004C51C0"/>
    <w:rsid w:val="004C53EE"/>
    <w:rsid w:val="004C57AA"/>
    <w:rsid w:val="004C5975"/>
    <w:rsid w:val="004C5B33"/>
    <w:rsid w:val="004C5B5D"/>
    <w:rsid w:val="004C5C2F"/>
    <w:rsid w:val="004C5D83"/>
    <w:rsid w:val="004C5DE5"/>
    <w:rsid w:val="004C5E48"/>
    <w:rsid w:val="004C5F53"/>
    <w:rsid w:val="004C5F6B"/>
    <w:rsid w:val="004C5F88"/>
    <w:rsid w:val="004C600B"/>
    <w:rsid w:val="004C615F"/>
    <w:rsid w:val="004C6188"/>
    <w:rsid w:val="004C6208"/>
    <w:rsid w:val="004C6550"/>
    <w:rsid w:val="004C6572"/>
    <w:rsid w:val="004C659B"/>
    <w:rsid w:val="004C6625"/>
    <w:rsid w:val="004C665E"/>
    <w:rsid w:val="004C6713"/>
    <w:rsid w:val="004C6728"/>
    <w:rsid w:val="004C6964"/>
    <w:rsid w:val="004C69F5"/>
    <w:rsid w:val="004C6A35"/>
    <w:rsid w:val="004C6B4F"/>
    <w:rsid w:val="004C6B82"/>
    <w:rsid w:val="004C6B86"/>
    <w:rsid w:val="004C6BAA"/>
    <w:rsid w:val="004C6D71"/>
    <w:rsid w:val="004C6D88"/>
    <w:rsid w:val="004C6F17"/>
    <w:rsid w:val="004C6FAA"/>
    <w:rsid w:val="004C7073"/>
    <w:rsid w:val="004C7099"/>
    <w:rsid w:val="004C70B8"/>
    <w:rsid w:val="004C70D1"/>
    <w:rsid w:val="004C70EC"/>
    <w:rsid w:val="004C71AD"/>
    <w:rsid w:val="004C7296"/>
    <w:rsid w:val="004C72F6"/>
    <w:rsid w:val="004C7427"/>
    <w:rsid w:val="004C7434"/>
    <w:rsid w:val="004C7523"/>
    <w:rsid w:val="004C77CC"/>
    <w:rsid w:val="004C7875"/>
    <w:rsid w:val="004C7A67"/>
    <w:rsid w:val="004C7B5A"/>
    <w:rsid w:val="004C7BBA"/>
    <w:rsid w:val="004C7BEB"/>
    <w:rsid w:val="004C7FAD"/>
    <w:rsid w:val="004D00B9"/>
    <w:rsid w:val="004D042A"/>
    <w:rsid w:val="004D0512"/>
    <w:rsid w:val="004D0576"/>
    <w:rsid w:val="004D0706"/>
    <w:rsid w:val="004D0BB7"/>
    <w:rsid w:val="004D0BED"/>
    <w:rsid w:val="004D0C4E"/>
    <w:rsid w:val="004D0EC3"/>
    <w:rsid w:val="004D10B4"/>
    <w:rsid w:val="004D1167"/>
    <w:rsid w:val="004D119E"/>
    <w:rsid w:val="004D11BA"/>
    <w:rsid w:val="004D1448"/>
    <w:rsid w:val="004D14BE"/>
    <w:rsid w:val="004D1666"/>
    <w:rsid w:val="004D1890"/>
    <w:rsid w:val="004D1966"/>
    <w:rsid w:val="004D1A52"/>
    <w:rsid w:val="004D1BC2"/>
    <w:rsid w:val="004D1E72"/>
    <w:rsid w:val="004D209C"/>
    <w:rsid w:val="004D20F0"/>
    <w:rsid w:val="004D2575"/>
    <w:rsid w:val="004D2642"/>
    <w:rsid w:val="004D274E"/>
    <w:rsid w:val="004D2756"/>
    <w:rsid w:val="004D2798"/>
    <w:rsid w:val="004D28BE"/>
    <w:rsid w:val="004D2A6D"/>
    <w:rsid w:val="004D2AC2"/>
    <w:rsid w:val="004D2B34"/>
    <w:rsid w:val="004D2B61"/>
    <w:rsid w:val="004D2BC0"/>
    <w:rsid w:val="004D2DB7"/>
    <w:rsid w:val="004D2E8C"/>
    <w:rsid w:val="004D2F5D"/>
    <w:rsid w:val="004D3079"/>
    <w:rsid w:val="004D30D8"/>
    <w:rsid w:val="004D3215"/>
    <w:rsid w:val="004D33C1"/>
    <w:rsid w:val="004D33EF"/>
    <w:rsid w:val="004D3585"/>
    <w:rsid w:val="004D35BE"/>
    <w:rsid w:val="004D3662"/>
    <w:rsid w:val="004D3680"/>
    <w:rsid w:val="004D3743"/>
    <w:rsid w:val="004D375B"/>
    <w:rsid w:val="004D3808"/>
    <w:rsid w:val="004D3835"/>
    <w:rsid w:val="004D385B"/>
    <w:rsid w:val="004D3891"/>
    <w:rsid w:val="004D3899"/>
    <w:rsid w:val="004D3980"/>
    <w:rsid w:val="004D3A8F"/>
    <w:rsid w:val="004D3ACA"/>
    <w:rsid w:val="004D3B9A"/>
    <w:rsid w:val="004D3EDA"/>
    <w:rsid w:val="004D3F57"/>
    <w:rsid w:val="004D4013"/>
    <w:rsid w:val="004D4041"/>
    <w:rsid w:val="004D40B4"/>
    <w:rsid w:val="004D423A"/>
    <w:rsid w:val="004D4509"/>
    <w:rsid w:val="004D46AC"/>
    <w:rsid w:val="004D4733"/>
    <w:rsid w:val="004D482B"/>
    <w:rsid w:val="004D49CE"/>
    <w:rsid w:val="004D4B43"/>
    <w:rsid w:val="004D4BD0"/>
    <w:rsid w:val="004D4CA3"/>
    <w:rsid w:val="004D4D3B"/>
    <w:rsid w:val="004D4F16"/>
    <w:rsid w:val="004D510B"/>
    <w:rsid w:val="004D520E"/>
    <w:rsid w:val="004D52D4"/>
    <w:rsid w:val="004D532E"/>
    <w:rsid w:val="004D5557"/>
    <w:rsid w:val="004D5707"/>
    <w:rsid w:val="004D5852"/>
    <w:rsid w:val="004D58A5"/>
    <w:rsid w:val="004D5AA8"/>
    <w:rsid w:val="004D5AC0"/>
    <w:rsid w:val="004D5BB8"/>
    <w:rsid w:val="004D5C29"/>
    <w:rsid w:val="004D5E13"/>
    <w:rsid w:val="004D5E43"/>
    <w:rsid w:val="004D5E47"/>
    <w:rsid w:val="004D5FE9"/>
    <w:rsid w:val="004D6034"/>
    <w:rsid w:val="004D6193"/>
    <w:rsid w:val="004D63E1"/>
    <w:rsid w:val="004D63EE"/>
    <w:rsid w:val="004D63F3"/>
    <w:rsid w:val="004D6410"/>
    <w:rsid w:val="004D6640"/>
    <w:rsid w:val="004D66ED"/>
    <w:rsid w:val="004D674D"/>
    <w:rsid w:val="004D6862"/>
    <w:rsid w:val="004D68C2"/>
    <w:rsid w:val="004D690B"/>
    <w:rsid w:val="004D6931"/>
    <w:rsid w:val="004D6A76"/>
    <w:rsid w:val="004D6A98"/>
    <w:rsid w:val="004D6BC9"/>
    <w:rsid w:val="004D6CF6"/>
    <w:rsid w:val="004D6D0B"/>
    <w:rsid w:val="004D6E58"/>
    <w:rsid w:val="004D6EB7"/>
    <w:rsid w:val="004D70A8"/>
    <w:rsid w:val="004D71B0"/>
    <w:rsid w:val="004D71CD"/>
    <w:rsid w:val="004D7293"/>
    <w:rsid w:val="004D740D"/>
    <w:rsid w:val="004D751A"/>
    <w:rsid w:val="004D76E9"/>
    <w:rsid w:val="004D770D"/>
    <w:rsid w:val="004D7721"/>
    <w:rsid w:val="004D79A5"/>
    <w:rsid w:val="004D7AE3"/>
    <w:rsid w:val="004D7B2B"/>
    <w:rsid w:val="004D7C75"/>
    <w:rsid w:val="004D7D43"/>
    <w:rsid w:val="004D7EA7"/>
    <w:rsid w:val="004D7EB7"/>
    <w:rsid w:val="004E022C"/>
    <w:rsid w:val="004E039A"/>
    <w:rsid w:val="004E0457"/>
    <w:rsid w:val="004E04AC"/>
    <w:rsid w:val="004E06FD"/>
    <w:rsid w:val="004E07E9"/>
    <w:rsid w:val="004E0A9E"/>
    <w:rsid w:val="004E0B4F"/>
    <w:rsid w:val="004E0BB6"/>
    <w:rsid w:val="004E0CEA"/>
    <w:rsid w:val="004E0D7B"/>
    <w:rsid w:val="004E0EB3"/>
    <w:rsid w:val="004E0FE8"/>
    <w:rsid w:val="004E129D"/>
    <w:rsid w:val="004E15FD"/>
    <w:rsid w:val="004E16A9"/>
    <w:rsid w:val="004E172F"/>
    <w:rsid w:val="004E19B2"/>
    <w:rsid w:val="004E1BAF"/>
    <w:rsid w:val="004E1D92"/>
    <w:rsid w:val="004E20CE"/>
    <w:rsid w:val="004E2274"/>
    <w:rsid w:val="004E2427"/>
    <w:rsid w:val="004E24DE"/>
    <w:rsid w:val="004E2605"/>
    <w:rsid w:val="004E2684"/>
    <w:rsid w:val="004E275B"/>
    <w:rsid w:val="004E288E"/>
    <w:rsid w:val="004E2A10"/>
    <w:rsid w:val="004E2ABA"/>
    <w:rsid w:val="004E2B86"/>
    <w:rsid w:val="004E2BAE"/>
    <w:rsid w:val="004E2D0C"/>
    <w:rsid w:val="004E2DF5"/>
    <w:rsid w:val="004E2EE2"/>
    <w:rsid w:val="004E314F"/>
    <w:rsid w:val="004E325B"/>
    <w:rsid w:val="004E33E2"/>
    <w:rsid w:val="004E3601"/>
    <w:rsid w:val="004E37A1"/>
    <w:rsid w:val="004E37BE"/>
    <w:rsid w:val="004E37D6"/>
    <w:rsid w:val="004E37E8"/>
    <w:rsid w:val="004E37F1"/>
    <w:rsid w:val="004E385E"/>
    <w:rsid w:val="004E3862"/>
    <w:rsid w:val="004E3881"/>
    <w:rsid w:val="004E38A7"/>
    <w:rsid w:val="004E38F4"/>
    <w:rsid w:val="004E390F"/>
    <w:rsid w:val="004E3AC9"/>
    <w:rsid w:val="004E3D60"/>
    <w:rsid w:val="004E40CB"/>
    <w:rsid w:val="004E41A4"/>
    <w:rsid w:val="004E4201"/>
    <w:rsid w:val="004E4280"/>
    <w:rsid w:val="004E4291"/>
    <w:rsid w:val="004E43AE"/>
    <w:rsid w:val="004E47E2"/>
    <w:rsid w:val="004E47F4"/>
    <w:rsid w:val="004E4C2C"/>
    <w:rsid w:val="004E4C5D"/>
    <w:rsid w:val="004E4D76"/>
    <w:rsid w:val="004E4EE9"/>
    <w:rsid w:val="004E50E9"/>
    <w:rsid w:val="004E517C"/>
    <w:rsid w:val="004E51A1"/>
    <w:rsid w:val="004E55EF"/>
    <w:rsid w:val="004E589B"/>
    <w:rsid w:val="004E5ACC"/>
    <w:rsid w:val="004E5C0F"/>
    <w:rsid w:val="004E5C7B"/>
    <w:rsid w:val="004E5D3D"/>
    <w:rsid w:val="004E5D95"/>
    <w:rsid w:val="004E5E7C"/>
    <w:rsid w:val="004E6033"/>
    <w:rsid w:val="004E620C"/>
    <w:rsid w:val="004E6211"/>
    <w:rsid w:val="004E6641"/>
    <w:rsid w:val="004E69CB"/>
    <w:rsid w:val="004E6D38"/>
    <w:rsid w:val="004E6DC3"/>
    <w:rsid w:val="004E71AF"/>
    <w:rsid w:val="004E72CD"/>
    <w:rsid w:val="004E7400"/>
    <w:rsid w:val="004E7578"/>
    <w:rsid w:val="004E761E"/>
    <w:rsid w:val="004E76D4"/>
    <w:rsid w:val="004E777A"/>
    <w:rsid w:val="004E77A4"/>
    <w:rsid w:val="004E77FC"/>
    <w:rsid w:val="004E790D"/>
    <w:rsid w:val="004E7A49"/>
    <w:rsid w:val="004E7A8E"/>
    <w:rsid w:val="004E7BE2"/>
    <w:rsid w:val="004E7C2A"/>
    <w:rsid w:val="004F00B7"/>
    <w:rsid w:val="004F0207"/>
    <w:rsid w:val="004F020C"/>
    <w:rsid w:val="004F021B"/>
    <w:rsid w:val="004F0245"/>
    <w:rsid w:val="004F0385"/>
    <w:rsid w:val="004F04C5"/>
    <w:rsid w:val="004F0778"/>
    <w:rsid w:val="004F0C26"/>
    <w:rsid w:val="004F0D17"/>
    <w:rsid w:val="004F0D4C"/>
    <w:rsid w:val="004F0E96"/>
    <w:rsid w:val="004F1089"/>
    <w:rsid w:val="004F10BC"/>
    <w:rsid w:val="004F1476"/>
    <w:rsid w:val="004F1B07"/>
    <w:rsid w:val="004F1C7C"/>
    <w:rsid w:val="004F1C8F"/>
    <w:rsid w:val="004F1DDC"/>
    <w:rsid w:val="004F1E08"/>
    <w:rsid w:val="004F1ED1"/>
    <w:rsid w:val="004F2048"/>
    <w:rsid w:val="004F2394"/>
    <w:rsid w:val="004F244A"/>
    <w:rsid w:val="004F246F"/>
    <w:rsid w:val="004F2628"/>
    <w:rsid w:val="004F263F"/>
    <w:rsid w:val="004F27FB"/>
    <w:rsid w:val="004F27FF"/>
    <w:rsid w:val="004F29BF"/>
    <w:rsid w:val="004F2C56"/>
    <w:rsid w:val="004F2C77"/>
    <w:rsid w:val="004F2F95"/>
    <w:rsid w:val="004F2FBE"/>
    <w:rsid w:val="004F303A"/>
    <w:rsid w:val="004F30BE"/>
    <w:rsid w:val="004F3163"/>
    <w:rsid w:val="004F3244"/>
    <w:rsid w:val="004F3270"/>
    <w:rsid w:val="004F32A6"/>
    <w:rsid w:val="004F33A0"/>
    <w:rsid w:val="004F33DB"/>
    <w:rsid w:val="004F343D"/>
    <w:rsid w:val="004F35AC"/>
    <w:rsid w:val="004F3611"/>
    <w:rsid w:val="004F3697"/>
    <w:rsid w:val="004F36E2"/>
    <w:rsid w:val="004F3783"/>
    <w:rsid w:val="004F37C3"/>
    <w:rsid w:val="004F383B"/>
    <w:rsid w:val="004F39E3"/>
    <w:rsid w:val="004F3A6B"/>
    <w:rsid w:val="004F3AA2"/>
    <w:rsid w:val="004F3B7C"/>
    <w:rsid w:val="004F3B88"/>
    <w:rsid w:val="004F3EF1"/>
    <w:rsid w:val="004F424E"/>
    <w:rsid w:val="004F427E"/>
    <w:rsid w:val="004F4448"/>
    <w:rsid w:val="004F455B"/>
    <w:rsid w:val="004F4588"/>
    <w:rsid w:val="004F463D"/>
    <w:rsid w:val="004F4868"/>
    <w:rsid w:val="004F4A46"/>
    <w:rsid w:val="004F4A63"/>
    <w:rsid w:val="004F4AA3"/>
    <w:rsid w:val="004F4AB0"/>
    <w:rsid w:val="004F4B8E"/>
    <w:rsid w:val="004F4BA8"/>
    <w:rsid w:val="004F4BCC"/>
    <w:rsid w:val="004F4D2B"/>
    <w:rsid w:val="004F4E5B"/>
    <w:rsid w:val="004F4F8E"/>
    <w:rsid w:val="004F50DF"/>
    <w:rsid w:val="004F5187"/>
    <w:rsid w:val="004F526D"/>
    <w:rsid w:val="004F52BC"/>
    <w:rsid w:val="004F53BA"/>
    <w:rsid w:val="004F53E0"/>
    <w:rsid w:val="004F5403"/>
    <w:rsid w:val="004F54F5"/>
    <w:rsid w:val="004F57D7"/>
    <w:rsid w:val="004F5842"/>
    <w:rsid w:val="004F595F"/>
    <w:rsid w:val="004F598B"/>
    <w:rsid w:val="004F59B3"/>
    <w:rsid w:val="004F5A9B"/>
    <w:rsid w:val="004F5C2D"/>
    <w:rsid w:val="004F5C8E"/>
    <w:rsid w:val="004F5CE0"/>
    <w:rsid w:val="004F5E4E"/>
    <w:rsid w:val="004F607A"/>
    <w:rsid w:val="004F611B"/>
    <w:rsid w:val="004F62FB"/>
    <w:rsid w:val="004F639B"/>
    <w:rsid w:val="004F6427"/>
    <w:rsid w:val="004F653D"/>
    <w:rsid w:val="004F6845"/>
    <w:rsid w:val="004F69E0"/>
    <w:rsid w:val="004F6ABA"/>
    <w:rsid w:val="004F6C5F"/>
    <w:rsid w:val="004F6CBB"/>
    <w:rsid w:val="004F6D73"/>
    <w:rsid w:val="004F6D83"/>
    <w:rsid w:val="004F6D98"/>
    <w:rsid w:val="004F6FAE"/>
    <w:rsid w:val="004F7011"/>
    <w:rsid w:val="004F7020"/>
    <w:rsid w:val="004F711D"/>
    <w:rsid w:val="004F72BA"/>
    <w:rsid w:val="004F73B2"/>
    <w:rsid w:val="004F7404"/>
    <w:rsid w:val="004F7416"/>
    <w:rsid w:val="004F7474"/>
    <w:rsid w:val="004F7505"/>
    <w:rsid w:val="004F75E4"/>
    <w:rsid w:val="004F768E"/>
    <w:rsid w:val="004F7782"/>
    <w:rsid w:val="004F77AA"/>
    <w:rsid w:val="004F7932"/>
    <w:rsid w:val="004F798C"/>
    <w:rsid w:val="004F79A7"/>
    <w:rsid w:val="004F79E4"/>
    <w:rsid w:val="004F7A0A"/>
    <w:rsid w:val="004F7AAE"/>
    <w:rsid w:val="004F7B7B"/>
    <w:rsid w:val="004F7BB8"/>
    <w:rsid w:val="004F7C55"/>
    <w:rsid w:val="004F7E8C"/>
    <w:rsid w:val="004F7F0C"/>
    <w:rsid w:val="004F7F85"/>
    <w:rsid w:val="005001DC"/>
    <w:rsid w:val="00500368"/>
    <w:rsid w:val="00500453"/>
    <w:rsid w:val="00500637"/>
    <w:rsid w:val="005006DE"/>
    <w:rsid w:val="00500A10"/>
    <w:rsid w:val="0050101D"/>
    <w:rsid w:val="005010D4"/>
    <w:rsid w:val="005011D7"/>
    <w:rsid w:val="005011E9"/>
    <w:rsid w:val="0050120A"/>
    <w:rsid w:val="0050129C"/>
    <w:rsid w:val="005013B2"/>
    <w:rsid w:val="005015DC"/>
    <w:rsid w:val="0050165E"/>
    <w:rsid w:val="0050182B"/>
    <w:rsid w:val="005019D1"/>
    <w:rsid w:val="00501A53"/>
    <w:rsid w:val="00501BFD"/>
    <w:rsid w:val="00501C00"/>
    <w:rsid w:val="00501C22"/>
    <w:rsid w:val="00501D29"/>
    <w:rsid w:val="00501E49"/>
    <w:rsid w:val="00501E79"/>
    <w:rsid w:val="00501F27"/>
    <w:rsid w:val="00501F5E"/>
    <w:rsid w:val="00501FD2"/>
    <w:rsid w:val="00502101"/>
    <w:rsid w:val="00502168"/>
    <w:rsid w:val="0050217B"/>
    <w:rsid w:val="005021BC"/>
    <w:rsid w:val="0050220D"/>
    <w:rsid w:val="00502254"/>
    <w:rsid w:val="00502309"/>
    <w:rsid w:val="0050230C"/>
    <w:rsid w:val="005025E5"/>
    <w:rsid w:val="00502620"/>
    <w:rsid w:val="00502706"/>
    <w:rsid w:val="00502756"/>
    <w:rsid w:val="00502958"/>
    <w:rsid w:val="005029E7"/>
    <w:rsid w:val="005029F4"/>
    <w:rsid w:val="00502A4E"/>
    <w:rsid w:val="00502A68"/>
    <w:rsid w:val="00502A6E"/>
    <w:rsid w:val="00502C58"/>
    <w:rsid w:val="00502D82"/>
    <w:rsid w:val="00502E02"/>
    <w:rsid w:val="00502E22"/>
    <w:rsid w:val="0050301B"/>
    <w:rsid w:val="005030DF"/>
    <w:rsid w:val="00503151"/>
    <w:rsid w:val="005031ED"/>
    <w:rsid w:val="005032FA"/>
    <w:rsid w:val="005034DE"/>
    <w:rsid w:val="00503818"/>
    <w:rsid w:val="005039D3"/>
    <w:rsid w:val="005039EE"/>
    <w:rsid w:val="00503A06"/>
    <w:rsid w:val="00503A45"/>
    <w:rsid w:val="00503AD4"/>
    <w:rsid w:val="00503CD7"/>
    <w:rsid w:val="00503D3A"/>
    <w:rsid w:val="00503D7E"/>
    <w:rsid w:val="00504770"/>
    <w:rsid w:val="005047C5"/>
    <w:rsid w:val="00504849"/>
    <w:rsid w:val="00504BBF"/>
    <w:rsid w:val="00504DF7"/>
    <w:rsid w:val="00504E62"/>
    <w:rsid w:val="00504F13"/>
    <w:rsid w:val="00505027"/>
    <w:rsid w:val="005052E1"/>
    <w:rsid w:val="005053B8"/>
    <w:rsid w:val="00505528"/>
    <w:rsid w:val="0050576C"/>
    <w:rsid w:val="005057D6"/>
    <w:rsid w:val="0050594E"/>
    <w:rsid w:val="00505AB0"/>
    <w:rsid w:val="00505F02"/>
    <w:rsid w:val="00505FAB"/>
    <w:rsid w:val="0050603F"/>
    <w:rsid w:val="00506061"/>
    <w:rsid w:val="005060AD"/>
    <w:rsid w:val="005060D9"/>
    <w:rsid w:val="005063DA"/>
    <w:rsid w:val="0050640A"/>
    <w:rsid w:val="005065DA"/>
    <w:rsid w:val="0050679F"/>
    <w:rsid w:val="00506BD2"/>
    <w:rsid w:val="00506CB9"/>
    <w:rsid w:val="00506D45"/>
    <w:rsid w:val="00506F85"/>
    <w:rsid w:val="00507029"/>
    <w:rsid w:val="0050707B"/>
    <w:rsid w:val="005071C6"/>
    <w:rsid w:val="005071D4"/>
    <w:rsid w:val="00507325"/>
    <w:rsid w:val="0050737E"/>
    <w:rsid w:val="005073DA"/>
    <w:rsid w:val="00507429"/>
    <w:rsid w:val="00507461"/>
    <w:rsid w:val="00507626"/>
    <w:rsid w:val="005076A2"/>
    <w:rsid w:val="005076AB"/>
    <w:rsid w:val="005077FB"/>
    <w:rsid w:val="0050794B"/>
    <w:rsid w:val="0050797B"/>
    <w:rsid w:val="005079FB"/>
    <w:rsid w:val="005079FF"/>
    <w:rsid w:val="00507A3E"/>
    <w:rsid w:val="00507AD7"/>
    <w:rsid w:val="00507CB8"/>
    <w:rsid w:val="00507EA7"/>
    <w:rsid w:val="005102C2"/>
    <w:rsid w:val="0051030B"/>
    <w:rsid w:val="0051038F"/>
    <w:rsid w:val="0051041E"/>
    <w:rsid w:val="00510498"/>
    <w:rsid w:val="00510514"/>
    <w:rsid w:val="00510527"/>
    <w:rsid w:val="0051058A"/>
    <w:rsid w:val="00510C7D"/>
    <w:rsid w:val="00510CCA"/>
    <w:rsid w:val="00510CF1"/>
    <w:rsid w:val="00510E3D"/>
    <w:rsid w:val="00510F16"/>
    <w:rsid w:val="0051112F"/>
    <w:rsid w:val="0051116A"/>
    <w:rsid w:val="00511390"/>
    <w:rsid w:val="005113EB"/>
    <w:rsid w:val="0051141A"/>
    <w:rsid w:val="0051141C"/>
    <w:rsid w:val="0051145C"/>
    <w:rsid w:val="00511464"/>
    <w:rsid w:val="005114C1"/>
    <w:rsid w:val="00511596"/>
    <w:rsid w:val="005116CA"/>
    <w:rsid w:val="00511707"/>
    <w:rsid w:val="00511771"/>
    <w:rsid w:val="005117C3"/>
    <w:rsid w:val="005117FF"/>
    <w:rsid w:val="00511941"/>
    <w:rsid w:val="005119FF"/>
    <w:rsid w:val="00511BC3"/>
    <w:rsid w:val="00511C00"/>
    <w:rsid w:val="00511CA4"/>
    <w:rsid w:val="00511E43"/>
    <w:rsid w:val="0051213D"/>
    <w:rsid w:val="00512190"/>
    <w:rsid w:val="00512239"/>
    <w:rsid w:val="00512320"/>
    <w:rsid w:val="00512359"/>
    <w:rsid w:val="0051242C"/>
    <w:rsid w:val="00512478"/>
    <w:rsid w:val="0051252C"/>
    <w:rsid w:val="005126ED"/>
    <w:rsid w:val="00512722"/>
    <w:rsid w:val="005127A2"/>
    <w:rsid w:val="00512C1D"/>
    <w:rsid w:val="00512C21"/>
    <w:rsid w:val="00512E3C"/>
    <w:rsid w:val="00512F66"/>
    <w:rsid w:val="005130B7"/>
    <w:rsid w:val="00513186"/>
    <w:rsid w:val="0051340D"/>
    <w:rsid w:val="00513449"/>
    <w:rsid w:val="00513515"/>
    <w:rsid w:val="00513544"/>
    <w:rsid w:val="005135E0"/>
    <w:rsid w:val="005135E6"/>
    <w:rsid w:val="00513790"/>
    <w:rsid w:val="005137DC"/>
    <w:rsid w:val="0051398A"/>
    <w:rsid w:val="00513CB4"/>
    <w:rsid w:val="00513D0F"/>
    <w:rsid w:val="00513D2C"/>
    <w:rsid w:val="00513D2F"/>
    <w:rsid w:val="005140EF"/>
    <w:rsid w:val="005141C5"/>
    <w:rsid w:val="00514208"/>
    <w:rsid w:val="0051423E"/>
    <w:rsid w:val="005142DA"/>
    <w:rsid w:val="0051439A"/>
    <w:rsid w:val="005144E8"/>
    <w:rsid w:val="005144E9"/>
    <w:rsid w:val="00514598"/>
    <w:rsid w:val="00514699"/>
    <w:rsid w:val="005146B2"/>
    <w:rsid w:val="005147E2"/>
    <w:rsid w:val="00514949"/>
    <w:rsid w:val="005149B9"/>
    <w:rsid w:val="005149E3"/>
    <w:rsid w:val="005149EE"/>
    <w:rsid w:val="005149F2"/>
    <w:rsid w:val="00514A0D"/>
    <w:rsid w:val="00514A4F"/>
    <w:rsid w:val="00514A90"/>
    <w:rsid w:val="00514C41"/>
    <w:rsid w:val="00514CE0"/>
    <w:rsid w:val="00514DED"/>
    <w:rsid w:val="00514E17"/>
    <w:rsid w:val="00514E4F"/>
    <w:rsid w:val="00514FFE"/>
    <w:rsid w:val="0051516F"/>
    <w:rsid w:val="005151AB"/>
    <w:rsid w:val="005151EE"/>
    <w:rsid w:val="00515213"/>
    <w:rsid w:val="00515281"/>
    <w:rsid w:val="00515495"/>
    <w:rsid w:val="00515626"/>
    <w:rsid w:val="00515689"/>
    <w:rsid w:val="00515875"/>
    <w:rsid w:val="005158C7"/>
    <w:rsid w:val="00515980"/>
    <w:rsid w:val="0051599A"/>
    <w:rsid w:val="00515AA7"/>
    <w:rsid w:val="00515C83"/>
    <w:rsid w:val="00515D29"/>
    <w:rsid w:val="00515D44"/>
    <w:rsid w:val="00515DAA"/>
    <w:rsid w:val="00515E52"/>
    <w:rsid w:val="00515E98"/>
    <w:rsid w:val="00515EB5"/>
    <w:rsid w:val="00515F7B"/>
    <w:rsid w:val="00515FC5"/>
    <w:rsid w:val="00516089"/>
    <w:rsid w:val="00516180"/>
    <w:rsid w:val="00516276"/>
    <w:rsid w:val="0051627E"/>
    <w:rsid w:val="00516389"/>
    <w:rsid w:val="0051643C"/>
    <w:rsid w:val="00516484"/>
    <w:rsid w:val="005168DB"/>
    <w:rsid w:val="00516A43"/>
    <w:rsid w:val="00516D18"/>
    <w:rsid w:val="00516DDA"/>
    <w:rsid w:val="00516E2A"/>
    <w:rsid w:val="00516E45"/>
    <w:rsid w:val="00516F42"/>
    <w:rsid w:val="00516FAE"/>
    <w:rsid w:val="005171DC"/>
    <w:rsid w:val="00517231"/>
    <w:rsid w:val="005174BC"/>
    <w:rsid w:val="005175FC"/>
    <w:rsid w:val="00517661"/>
    <w:rsid w:val="0051797D"/>
    <w:rsid w:val="0051798E"/>
    <w:rsid w:val="00517AF0"/>
    <w:rsid w:val="00517AF5"/>
    <w:rsid w:val="00517BEC"/>
    <w:rsid w:val="00517F33"/>
    <w:rsid w:val="00517F3E"/>
    <w:rsid w:val="00517F80"/>
    <w:rsid w:val="00517FBF"/>
    <w:rsid w:val="00520147"/>
    <w:rsid w:val="0052032E"/>
    <w:rsid w:val="005203AE"/>
    <w:rsid w:val="005204F3"/>
    <w:rsid w:val="0052056E"/>
    <w:rsid w:val="005205E2"/>
    <w:rsid w:val="005208C1"/>
    <w:rsid w:val="00520AEE"/>
    <w:rsid w:val="00520F1C"/>
    <w:rsid w:val="00520F7F"/>
    <w:rsid w:val="00520F89"/>
    <w:rsid w:val="00521101"/>
    <w:rsid w:val="005213A8"/>
    <w:rsid w:val="005213B5"/>
    <w:rsid w:val="0052153E"/>
    <w:rsid w:val="005215AD"/>
    <w:rsid w:val="00521903"/>
    <w:rsid w:val="005219F1"/>
    <w:rsid w:val="00521A56"/>
    <w:rsid w:val="00521C03"/>
    <w:rsid w:val="00521E3E"/>
    <w:rsid w:val="00521EAA"/>
    <w:rsid w:val="00521F52"/>
    <w:rsid w:val="00522020"/>
    <w:rsid w:val="0052205E"/>
    <w:rsid w:val="0052213A"/>
    <w:rsid w:val="0052227A"/>
    <w:rsid w:val="005222D2"/>
    <w:rsid w:val="005224CC"/>
    <w:rsid w:val="00522574"/>
    <w:rsid w:val="0052265E"/>
    <w:rsid w:val="00522712"/>
    <w:rsid w:val="00522715"/>
    <w:rsid w:val="005229CD"/>
    <w:rsid w:val="005229D6"/>
    <w:rsid w:val="00522A2C"/>
    <w:rsid w:val="00522AD3"/>
    <w:rsid w:val="00522B12"/>
    <w:rsid w:val="00522B16"/>
    <w:rsid w:val="00522C8F"/>
    <w:rsid w:val="00522CB4"/>
    <w:rsid w:val="00522DC4"/>
    <w:rsid w:val="00522EC3"/>
    <w:rsid w:val="0052323E"/>
    <w:rsid w:val="005232BA"/>
    <w:rsid w:val="005233A8"/>
    <w:rsid w:val="005234D8"/>
    <w:rsid w:val="0052355D"/>
    <w:rsid w:val="00523666"/>
    <w:rsid w:val="0052371E"/>
    <w:rsid w:val="0052382A"/>
    <w:rsid w:val="00523872"/>
    <w:rsid w:val="00523AB4"/>
    <w:rsid w:val="00523C24"/>
    <w:rsid w:val="00523C3F"/>
    <w:rsid w:val="00523C93"/>
    <w:rsid w:val="00523DB2"/>
    <w:rsid w:val="00523DCC"/>
    <w:rsid w:val="00523E68"/>
    <w:rsid w:val="00523F67"/>
    <w:rsid w:val="00524099"/>
    <w:rsid w:val="005240EF"/>
    <w:rsid w:val="005242DF"/>
    <w:rsid w:val="005242F2"/>
    <w:rsid w:val="005244EF"/>
    <w:rsid w:val="00524673"/>
    <w:rsid w:val="0052476A"/>
    <w:rsid w:val="005249BC"/>
    <w:rsid w:val="00524A41"/>
    <w:rsid w:val="00524C77"/>
    <w:rsid w:val="00524D0D"/>
    <w:rsid w:val="00524D16"/>
    <w:rsid w:val="00524ECC"/>
    <w:rsid w:val="00524EE7"/>
    <w:rsid w:val="00525100"/>
    <w:rsid w:val="005251EA"/>
    <w:rsid w:val="00525228"/>
    <w:rsid w:val="00525299"/>
    <w:rsid w:val="005255DD"/>
    <w:rsid w:val="005255DE"/>
    <w:rsid w:val="00525639"/>
    <w:rsid w:val="00525755"/>
    <w:rsid w:val="0052582D"/>
    <w:rsid w:val="00525956"/>
    <w:rsid w:val="00525A9F"/>
    <w:rsid w:val="00525B6E"/>
    <w:rsid w:val="00525B7B"/>
    <w:rsid w:val="00525D95"/>
    <w:rsid w:val="00525E4A"/>
    <w:rsid w:val="00525EEF"/>
    <w:rsid w:val="00525F20"/>
    <w:rsid w:val="0052607E"/>
    <w:rsid w:val="005260DD"/>
    <w:rsid w:val="00526135"/>
    <w:rsid w:val="00526161"/>
    <w:rsid w:val="00526264"/>
    <w:rsid w:val="005265D3"/>
    <w:rsid w:val="005265F7"/>
    <w:rsid w:val="00526653"/>
    <w:rsid w:val="00526656"/>
    <w:rsid w:val="0052665E"/>
    <w:rsid w:val="0052667E"/>
    <w:rsid w:val="005266F5"/>
    <w:rsid w:val="0052673B"/>
    <w:rsid w:val="00526766"/>
    <w:rsid w:val="005268B0"/>
    <w:rsid w:val="0052690B"/>
    <w:rsid w:val="005269D7"/>
    <w:rsid w:val="00526A8C"/>
    <w:rsid w:val="00526BA4"/>
    <w:rsid w:val="00526C77"/>
    <w:rsid w:val="00526D34"/>
    <w:rsid w:val="00526DF3"/>
    <w:rsid w:val="00526F36"/>
    <w:rsid w:val="00526F71"/>
    <w:rsid w:val="00526FB3"/>
    <w:rsid w:val="0052709E"/>
    <w:rsid w:val="00527110"/>
    <w:rsid w:val="0052731E"/>
    <w:rsid w:val="00527347"/>
    <w:rsid w:val="005274A8"/>
    <w:rsid w:val="005274F1"/>
    <w:rsid w:val="0052772A"/>
    <w:rsid w:val="005277AC"/>
    <w:rsid w:val="005277CD"/>
    <w:rsid w:val="00527812"/>
    <w:rsid w:val="00527A74"/>
    <w:rsid w:val="00527E39"/>
    <w:rsid w:val="0053007C"/>
    <w:rsid w:val="00530146"/>
    <w:rsid w:val="0053023A"/>
    <w:rsid w:val="00530343"/>
    <w:rsid w:val="005304BC"/>
    <w:rsid w:val="005304CB"/>
    <w:rsid w:val="00530591"/>
    <w:rsid w:val="0053065A"/>
    <w:rsid w:val="005306B8"/>
    <w:rsid w:val="00530955"/>
    <w:rsid w:val="00530B74"/>
    <w:rsid w:val="00530C2B"/>
    <w:rsid w:val="00530C31"/>
    <w:rsid w:val="00530E0F"/>
    <w:rsid w:val="00530F1F"/>
    <w:rsid w:val="00530F82"/>
    <w:rsid w:val="00530F8F"/>
    <w:rsid w:val="00530FF6"/>
    <w:rsid w:val="00531036"/>
    <w:rsid w:val="00531066"/>
    <w:rsid w:val="00531095"/>
    <w:rsid w:val="00531107"/>
    <w:rsid w:val="00531126"/>
    <w:rsid w:val="0053113E"/>
    <w:rsid w:val="005311D6"/>
    <w:rsid w:val="005311E7"/>
    <w:rsid w:val="005312B0"/>
    <w:rsid w:val="00531345"/>
    <w:rsid w:val="00531717"/>
    <w:rsid w:val="00531748"/>
    <w:rsid w:val="00531785"/>
    <w:rsid w:val="005317B8"/>
    <w:rsid w:val="005317F7"/>
    <w:rsid w:val="005318A8"/>
    <w:rsid w:val="00531A18"/>
    <w:rsid w:val="00531B28"/>
    <w:rsid w:val="00531D39"/>
    <w:rsid w:val="00531D99"/>
    <w:rsid w:val="00531DEA"/>
    <w:rsid w:val="00531ED6"/>
    <w:rsid w:val="005321E2"/>
    <w:rsid w:val="00532382"/>
    <w:rsid w:val="005324B5"/>
    <w:rsid w:val="005325C7"/>
    <w:rsid w:val="0053262C"/>
    <w:rsid w:val="0053270B"/>
    <w:rsid w:val="005327E7"/>
    <w:rsid w:val="00532820"/>
    <w:rsid w:val="00532907"/>
    <w:rsid w:val="00532925"/>
    <w:rsid w:val="00532953"/>
    <w:rsid w:val="00532A4F"/>
    <w:rsid w:val="00532AA5"/>
    <w:rsid w:val="00532AFD"/>
    <w:rsid w:val="00532CAB"/>
    <w:rsid w:val="00532DC2"/>
    <w:rsid w:val="00532EA5"/>
    <w:rsid w:val="00532EB8"/>
    <w:rsid w:val="00532ED6"/>
    <w:rsid w:val="00532F67"/>
    <w:rsid w:val="005331D8"/>
    <w:rsid w:val="00533263"/>
    <w:rsid w:val="005332B6"/>
    <w:rsid w:val="0053342B"/>
    <w:rsid w:val="005336ED"/>
    <w:rsid w:val="00533797"/>
    <w:rsid w:val="005337AF"/>
    <w:rsid w:val="005337FD"/>
    <w:rsid w:val="0053384E"/>
    <w:rsid w:val="0053387C"/>
    <w:rsid w:val="00533A74"/>
    <w:rsid w:val="00533A8C"/>
    <w:rsid w:val="00533C5C"/>
    <w:rsid w:val="00533CE3"/>
    <w:rsid w:val="00533E4C"/>
    <w:rsid w:val="00533E7E"/>
    <w:rsid w:val="00533F27"/>
    <w:rsid w:val="00533F36"/>
    <w:rsid w:val="005340D3"/>
    <w:rsid w:val="00534287"/>
    <w:rsid w:val="005344A0"/>
    <w:rsid w:val="0053450F"/>
    <w:rsid w:val="005345FB"/>
    <w:rsid w:val="0053468F"/>
    <w:rsid w:val="005347B2"/>
    <w:rsid w:val="0053482B"/>
    <w:rsid w:val="0053498D"/>
    <w:rsid w:val="00534B01"/>
    <w:rsid w:val="00534C14"/>
    <w:rsid w:val="0053501B"/>
    <w:rsid w:val="005350C9"/>
    <w:rsid w:val="005352C2"/>
    <w:rsid w:val="005353CA"/>
    <w:rsid w:val="005353ED"/>
    <w:rsid w:val="00535432"/>
    <w:rsid w:val="005355A8"/>
    <w:rsid w:val="005356CC"/>
    <w:rsid w:val="005358E0"/>
    <w:rsid w:val="005359A6"/>
    <w:rsid w:val="00535C32"/>
    <w:rsid w:val="00535CC6"/>
    <w:rsid w:val="00535D4F"/>
    <w:rsid w:val="00535F09"/>
    <w:rsid w:val="00535F2A"/>
    <w:rsid w:val="00536213"/>
    <w:rsid w:val="00536218"/>
    <w:rsid w:val="00536267"/>
    <w:rsid w:val="00536327"/>
    <w:rsid w:val="005364B1"/>
    <w:rsid w:val="005369C7"/>
    <w:rsid w:val="005369F9"/>
    <w:rsid w:val="00536A66"/>
    <w:rsid w:val="00536A9A"/>
    <w:rsid w:val="00536B35"/>
    <w:rsid w:val="00536BE0"/>
    <w:rsid w:val="00536C70"/>
    <w:rsid w:val="00536E43"/>
    <w:rsid w:val="00536F11"/>
    <w:rsid w:val="00537049"/>
    <w:rsid w:val="0053704A"/>
    <w:rsid w:val="0053724A"/>
    <w:rsid w:val="005372F8"/>
    <w:rsid w:val="00537326"/>
    <w:rsid w:val="00537514"/>
    <w:rsid w:val="005375E4"/>
    <w:rsid w:val="00537746"/>
    <w:rsid w:val="00537848"/>
    <w:rsid w:val="00537975"/>
    <w:rsid w:val="005379BC"/>
    <w:rsid w:val="005379FA"/>
    <w:rsid w:val="00537A28"/>
    <w:rsid w:val="00537BC2"/>
    <w:rsid w:val="00537BE3"/>
    <w:rsid w:val="00537E29"/>
    <w:rsid w:val="00537E7F"/>
    <w:rsid w:val="00537ECF"/>
    <w:rsid w:val="00537F4D"/>
    <w:rsid w:val="00537F83"/>
    <w:rsid w:val="0054009B"/>
    <w:rsid w:val="005401F3"/>
    <w:rsid w:val="0054034E"/>
    <w:rsid w:val="005403D9"/>
    <w:rsid w:val="005403E7"/>
    <w:rsid w:val="00540491"/>
    <w:rsid w:val="00540498"/>
    <w:rsid w:val="005404E2"/>
    <w:rsid w:val="00540666"/>
    <w:rsid w:val="005406C7"/>
    <w:rsid w:val="005406D1"/>
    <w:rsid w:val="0054070B"/>
    <w:rsid w:val="00540766"/>
    <w:rsid w:val="005407B0"/>
    <w:rsid w:val="0054092A"/>
    <w:rsid w:val="005409D6"/>
    <w:rsid w:val="00540A84"/>
    <w:rsid w:val="00540AA9"/>
    <w:rsid w:val="00540FCA"/>
    <w:rsid w:val="00540FE3"/>
    <w:rsid w:val="0054113D"/>
    <w:rsid w:val="005411E4"/>
    <w:rsid w:val="0054129D"/>
    <w:rsid w:val="005412AF"/>
    <w:rsid w:val="0054133E"/>
    <w:rsid w:val="005413F8"/>
    <w:rsid w:val="00541440"/>
    <w:rsid w:val="005416A6"/>
    <w:rsid w:val="0054183D"/>
    <w:rsid w:val="0054185F"/>
    <w:rsid w:val="00541A31"/>
    <w:rsid w:val="00541ABE"/>
    <w:rsid w:val="00542172"/>
    <w:rsid w:val="00542294"/>
    <w:rsid w:val="0054243F"/>
    <w:rsid w:val="00542455"/>
    <w:rsid w:val="005425D1"/>
    <w:rsid w:val="005426AB"/>
    <w:rsid w:val="005426C3"/>
    <w:rsid w:val="0054274C"/>
    <w:rsid w:val="005427A1"/>
    <w:rsid w:val="00542895"/>
    <w:rsid w:val="00542A02"/>
    <w:rsid w:val="00542B0D"/>
    <w:rsid w:val="00542D0F"/>
    <w:rsid w:val="0054305F"/>
    <w:rsid w:val="005430F1"/>
    <w:rsid w:val="005431A6"/>
    <w:rsid w:val="00543252"/>
    <w:rsid w:val="00543257"/>
    <w:rsid w:val="00543335"/>
    <w:rsid w:val="00543371"/>
    <w:rsid w:val="005434B0"/>
    <w:rsid w:val="00543564"/>
    <w:rsid w:val="0054398D"/>
    <w:rsid w:val="00543B8B"/>
    <w:rsid w:val="00543D95"/>
    <w:rsid w:val="00543DCA"/>
    <w:rsid w:val="00544094"/>
    <w:rsid w:val="00544196"/>
    <w:rsid w:val="005441CF"/>
    <w:rsid w:val="0054437D"/>
    <w:rsid w:val="0054439B"/>
    <w:rsid w:val="0054440B"/>
    <w:rsid w:val="0054450A"/>
    <w:rsid w:val="005446CF"/>
    <w:rsid w:val="005446EE"/>
    <w:rsid w:val="00544844"/>
    <w:rsid w:val="00544876"/>
    <w:rsid w:val="00544941"/>
    <w:rsid w:val="00544997"/>
    <w:rsid w:val="005449B3"/>
    <w:rsid w:val="00544C50"/>
    <w:rsid w:val="00544CFB"/>
    <w:rsid w:val="005450E6"/>
    <w:rsid w:val="005451F2"/>
    <w:rsid w:val="00545248"/>
    <w:rsid w:val="00545790"/>
    <w:rsid w:val="00545963"/>
    <w:rsid w:val="005459E1"/>
    <w:rsid w:val="00545A3C"/>
    <w:rsid w:val="00545BA5"/>
    <w:rsid w:val="00545BD4"/>
    <w:rsid w:val="00545CD0"/>
    <w:rsid w:val="00545CDE"/>
    <w:rsid w:val="00545D03"/>
    <w:rsid w:val="00545D45"/>
    <w:rsid w:val="00545DA2"/>
    <w:rsid w:val="00545E48"/>
    <w:rsid w:val="00545EF6"/>
    <w:rsid w:val="00545F72"/>
    <w:rsid w:val="00545FBC"/>
    <w:rsid w:val="00545FC3"/>
    <w:rsid w:val="005461FA"/>
    <w:rsid w:val="0054630F"/>
    <w:rsid w:val="005463A9"/>
    <w:rsid w:val="00546476"/>
    <w:rsid w:val="005466D0"/>
    <w:rsid w:val="005466E2"/>
    <w:rsid w:val="005466EC"/>
    <w:rsid w:val="00546700"/>
    <w:rsid w:val="0054682E"/>
    <w:rsid w:val="00546986"/>
    <w:rsid w:val="005469D6"/>
    <w:rsid w:val="00546C69"/>
    <w:rsid w:val="00546E2F"/>
    <w:rsid w:val="00546EAE"/>
    <w:rsid w:val="00546EE9"/>
    <w:rsid w:val="00547210"/>
    <w:rsid w:val="005472F8"/>
    <w:rsid w:val="00547373"/>
    <w:rsid w:val="005473F2"/>
    <w:rsid w:val="005474D6"/>
    <w:rsid w:val="005475A0"/>
    <w:rsid w:val="00547661"/>
    <w:rsid w:val="0054772F"/>
    <w:rsid w:val="0054773D"/>
    <w:rsid w:val="00547799"/>
    <w:rsid w:val="00547972"/>
    <w:rsid w:val="00547B76"/>
    <w:rsid w:val="00547BBE"/>
    <w:rsid w:val="00547CF2"/>
    <w:rsid w:val="00547E09"/>
    <w:rsid w:val="00547E0A"/>
    <w:rsid w:val="00547E96"/>
    <w:rsid w:val="00547EAF"/>
    <w:rsid w:val="00547ECD"/>
    <w:rsid w:val="00547EEC"/>
    <w:rsid w:val="00550170"/>
    <w:rsid w:val="0055022B"/>
    <w:rsid w:val="0055035F"/>
    <w:rsid w:val="0055036F"/>
    <w:rsid w:val="005505E2"/>
    <w:rsid w:val="00550701"/>
    <w:rsid w:val="0055083F"/>
    <w:rsid w:val="0055091D"/>
    <w:rsid w:val="00550A80"/>
    <w:rsid w:val="00550BB3"/>
    <w:rsid w:val="00550BC8"/>
    <w:rsid w:val="00550C1A"/>
    <w:rsid w:val="00550D01"/>
    <w:rsid w:val="00550D23"/>
    <w:rsid w:val="00550F25"/>
    <w:rsid w:val="0055106C"/>
    <w:rsid w:val="005510C9"/>
    <w:rsid w:val="0055112D"/>
    <w:rsid w:val="005512BE"/>
    <w:rsid w:val="005513BD"/>
    <w:rsid w:val="00551423"/>
    <w:rsid w:val="00551588"/>
    <w:rsid w:val="00551618"/>
    <w:rsid w:val="0055163E"/>
    <w:rsid w:val="00551C48"/>
    <w:rsid w:val="00551EAC"/>
    <w:rsid w:val="00551EBC"/>
    <w:rsid w:val="00552060"/>
    <w:rsid w:val="005520F3"/>
    <w:rsid w:val="00552169"/>
    <w:rsid w:val="0055218A"/>
    <w:rsid w:val="005521AE"/>
    <w:rsid w:val="005521DC"/>
    <w:rsid w:val="0055220D"/>
    <w:rsid w:val="0055227F"/>
    <w:rsid w:val="0055233E"/>
    <w:rsid w:val="005524D6"/>
    <w:rsid w:val="005527FE"/>
    <w:rsid w:val="005528CC"/>
    <w:rsid w:val="00552945"/>
    <w:rsid w:val="005529A9"/>
    <w:rsid w:val="00552B02"/>
    <w:rsid w:val="00552BF6"/>
    <w:rsid w:val="00552D1E"/>
    <w:rsid w:val="00552D6D"/>
    <w:rsid w:val="00552DC1"/>
    <w:rsid w:val="00552E22"/>
    <w:rsid w:val="00552EC8"/>
    <w:rsid w:val="00552F66"/>
    <w:rsid w:val="0055322C"/>
    <w:rsid w:val="00553273"/>
    <w:rsid w:val="0055330C"/>
    <w:rsid w:val="0055345C"/>
    <w:rsid w:val="00553527"/>
    <w:rsid w:val="00553640"/>
    <w:rsid w:val="00553840"/>
    <w:rsid w:val="00553856"/>
    <w:rsid w:val="00553A6E"/>
    <w:rsid w:val="00553AE0"/>
    <w:rsid w:val="00553BC2"/>
    <w:rsid w:val="00553BDE"/>
    <w:rsid w:val="00553D23"/>
    <w:rsid w:val="00553F2B"/>
    <w:rsid w:val="00553FA0"/>
    <w:rsid w:val="00553FCC"/>
    <w:rsid w:val="00554016"/>
    <w:rsid w:val="00554090"/>
    <w:rsid w:val="00554181"/>
    <w:rsid w:val="00554195"/>
    <w:rsid w:val="005542BE"/>
    <w:rsid w:val="00554520"/>
    <w:rsid w:val="00554564"/>
    <w:rsid w:val="005545EE"/>
    <w:rsid w:val="005546B2"/>
    <w:rsid w:val="005547C0"/>
    <w:rsid w:val="005548E0"/>
    <w:rsid w:val="0055494F"/>
    <w:rsid w:val="00554963"/>
    <w:rsid w:val="00554997"/>
    <w:rsid w:val="00554A6C"/>
    <w:rsid w:val="00554B04"/>
    <w:rsid w:val="00554B1A"/>
    <w:rsid w:val="00554B9F"/>
    <w:rsid w:val="00554C67"/>
    <w:rsid w:val="00554CAF"/>
    <w:rsid w:val="00554E70"/>
    <w:rsid w:val="00554F8B"/>
    <w:rsid w:val="00554FB8"/>
    <w:rsid w:val="005550A0"/>
    <w:rsid w:val="005550E6"/>
    <w:rsid w:val="0055517B"/>
    <w:rsid w:val="005552CD"/>
    <w:rsid w:val="005552E6"/>
    <w:rsid w:val="00555438"/>
    <w:rsid w:val="00555470"/>
    <w:rsid w:val="00555554"/>
    <w:rsid w:val="0055556C"/>
    <w:rsid w:val="00555802"/>
    <w:rsid w:val="00555832"/>
    <w:rsid w:val="00555845"/>
    <w:rsid w:val="00555968"/>
    <w:rsid w:val="00555B5B"/>
    <w:rsid w:val="00555C3F"/>
    <w:rsid w:val="00555C5F"/>
    <w:rsid w:val="00555E80"/>
    <w:rsid w:val="00556030"/>
    <w:rsid w:val="00556103"/>
    <w:rsid w:val="0055623E"/>
    <w:rsid w:val="0055629F"/>
    <w:rsid w:val="005562C8"/>
    <w:rsid w:val="005562E7"/>
    <w:rsid w:val="0055638E"/>
    <w:rsid w:val="00556411"/>
    <w:rsid w:val="005564EA"/>
    <w:rsid w:val="0055663B"/>
    <w:rsid w:val="005566A5"/>
    <w:rsid w:val="00556728"/>
    <w:rsid w:val="00556735"/>
    <w:rsid w:val="00556810"/>
    <w:rsid w:val="005568BF"/>
    <w:rsid w:val="0055699A"/>
    <w:rsid w:val="00556A48"/>
    <w:rsid w:val="00556C02"/>
    <w:rsid w:val="00556C4E"/>
    <w:rsid w:val="00556DD9"/>
    <w:rsid w:val="00556E5A"/>
    <w:rsid w:val="005570F4"/>
    <w:rsid w:val="00557199"/>
    <w:rsid w:val="0055745A"/>
    <w:rsid w:val="0055751E"/>
    <w:rsid w:val="00557628"/>
    <w:rsid w:val="005578F5"/>
    <w:rsid w:val="00557900"/>
    <w:rsid w:val="00557A7E"/>
    <w:rsid w:val="00557F1C"/>
    <w:rsid w:val="0056008D"/>
    <w:rsid w:val="005600B3"/>
    <w:rsid w:val="0056012B"/>
    <w:rsid w:val="0056024D"/>
    <w:rsid w:val="005602B3"/>
    <w:rsid w:val="005602CE"/>
    <w:rsid w:val="00560341"/>
    <w:rsid w:val="0056041B"/>
    <w:rsid w:val="00560466"/>
    <w:rsid w:val="00560664"/>
    <w:rsid w:val="00560745"/>
    <w:rsid w:val="005607EF"/>
    <w:rsid w:val="005607F8"/>
    <w:rsid w:val="00560855"/>
    <w:rsid w:val="005608C0"/>
    <w:rsid w:val="00560B64"/>
    <w:rsid w:val="00560C1E"/>
    <w:rsid w:val="00560E21"/>
    <w:rsid w:val="00560F1D"/>
    <w:rsid w:val="00561171"/>
    <w:rsid w:val="00561307"/>
    <w:rsid w:val="0056150E"/>
    <w:rsid w:val="00561739"/>
    <w:rsid w:val="00561785"/>
    <w:rsid w:val="00561786"/>
    <w:rsid w:val="00561856"/>
    <w:rsid w:val="00561871"/>
    <w:rsid w:val="00561AAD"/>
    <w:rsid w:val="00561C7B"/>
    <w:rsid w:val="00561D74"/>
    <w:rsid w:val="00561DBC"/>
    <w:rsid w:val="00561E24"/>
    <w:rsid w:val="00561E5D"/>
    <w:rsid w:val="00561EBE"/>
    <w:rsid w:val="00561EC4"/>
    <w:rsid w:val="00562022"/>
    <w:rsid w:val="005620A3"/>
    <w:rsid w:val="005622BB"/>
    <w:rsid w:val="005624B2"/>
    <w:rsid w:val="005625D8"/>
    <w:rsid w:val="00562664"/>
    <w:rsid w:val="005626A2"/>
    <w:rsid w:val="00562BD4"/>
    <w:rsid w:val="00562DF5"/>
    <w:rsid w:val="00562E7B"/>
    <w:rsid w:val="00563096"/>
    <w:rsid w:val="005630FD"/>
    <w:rsid w:val="0056315C"/>
    <w:rsid w:val="0056333C"/>
    <w:rsid w:val="00563410"/>
    <w:rsid w:val="0056345F"/>
    <w:rsid w:val="0056346B"/>
    <w:rsid w:val="0056359E"/>
    <w:rsid w:val="005635FD"/>
    <w:rsid w:val="0056367B"/>
    <w:rsid w:val="0056371A"/>
    <w:rsid w:val="00563788"/>
    <w:rsid w:val="00563865"/>
    <w:rsid w:val="005639EC"/>
    <w:rsid w:val="00563A54"/>
    <w:rsid w:val="00563D19"/>
    <w:rsid w:val="00563ED6"/>
    <w:rsid w:val="00563F5E"/>
    <w:rsid w:val="00563F73"/>
    <w:rsid w:val="0056408A"/>
    <w:rsid w:val="00564147"/>
    <w:rsid w:val="00564157"/>
    <w:rsid w:val="0056438C"/>
    <w:rsid w:val="0056458B"/>
    <w:rsid w:val="00564606"/>
    <w:rsid w:val="00564612"/>
    <w:rsid w:val="005646D3"/>
    <w:rsid w:val="0056485B"/>
    <w:rsid w:val="00564896"/>
    <w:rsid w:val="00564941"/>
    <w:rsid w:val="005649B7"/>
    <w:rsid w:val="005649BE"/>
    <w:rsid w:val="005649F9"/>
    <w:rsid w:val="00564DB5"/>
    <w:rsid w:val="00564EAB"/>
    <w:rsid w:val="00565084"/>
    <w:rsid w:val="0056539A"/>
    <w:rsid w:val="005653BE"/>
    <w:rsid w:val="005653DA"/>
    <w:rsid w:val="00565522"/>
    <w:rsid w:val="0056565C"/>
    <w:rsid w:val="005657A7"/>
    <w:rsid w:val="00565831"/>
    <w:rsid w:val="00565A8E"/>
    <w:rsid w:val="00565CE8"/>
    <w:rsid w:val="00565E01"/>
    <w:rsid w:val="00565FC1"/>
    <w:rsid w:val="005660EE"/>
    <w:rsid w:val="00566176"/>
    <w:rsid w:val="0056637B"/>
    <w:rsid w:val="00566446"/>
    <w:rsid w:val="0056651A"/>
    <w:rsid w:val="00566570"/>
    <w:rsid w:val="005666DC"/>
    <w:rsid w:val="005667B5"/>
    <w:rsid w:val="0056685B"/>
    <w:rsid w:val="005669E3"/>
    <w:rsid w:val="00566B1B"/>
    <w:rsid w:val="00566E35"/>
    <w:rsid w:val="00566E75"/>
    <w:rsid w:val="00567000"/>
    <w:rsid w:val="0056716C"/>
    <w:rsid w:val="005673C0"/>
    <w:rsid w:val="00567647"/>
    <w:rsid w:val="00567885"/>
    <w:rsid w:val="00567AC8"/>
    <w:rsid w:val="00567AE2"/>
    <w:rsid w:val="00567AF6"/>
    <w:rsid w:val="00567B27"/>
    <w:rsid w:val="00567B37"/>
    <w:rsid w:val="00567B9E"/>
    <w:rsid w:val="00567C01"/>
    <w:rsid w:val="00567C68"/>
    <w:rsid w:val="00567C8D"/>
    <w:rsid w:val="00567DC3"/>
    <w:rsid w:val="00567DEA"/>
    <w:rsid w:val="00567E4A"/>
    <w:rsid w:val="00567F2F"/>
    <w:rsid w:val="005700D6"/>
    <w:rsid w:val="0057013A"/>
    <w:rsid w:val="00570193"/>
    <w:rsid w:val="005701A4"/>
    <w:rsid w:val="00570329"/>
    <w:rsid w:val="005703C5"/>
    <w:rsid w:val="00570434"/>
    <w:rsid w:val="0057045C"/>
    <w:rsid w:val="00570795"/>
    <w:rsid w:val="005709AC"/>
    <w:rsid w:val="00570A4C"/>
    <w:rsid w:val="00570C54"/>
    <w:rsid w:val="00570C6F"/>
    <w:rsid w:val="00570CD6"/>
    <w:rsid w:val="00570F21"/>
    <w:rsid w:val="00570F79"/>
    <w:rsid w:val="00571054"/>
    <w:rsid w:val="005710A5"/>
    <w:rsid w:val="00571138"/>
    <w:rsid w:val="0057131B"/>
    <w:rsid w:val="00571390"/>
    <w:rsid w:val="005714B7"/>
    <w:rsid w:val="005714CA"/>
    <w:rsid w:val="00571514"/>
    <w:rsid w:val="005715C0"/>
    <w:rsid w:val="005719B6"/>
    <w:rsid w:val="00571B2E"/>
    <w:rsid w:val="00571C3E"/>
    <w:rsid w:val="00571C9F"/>
    <w:rsid w:val="00571D58"/>
    <w:rsid w:val="00571D6C"/>
    <w:rsid w:val="00571DE9"/>
    <w:rsid w:val="00571E8C"/>
    <w:rsid w:val="00571E97"/>
    <w:rsid w:val="00571EAA"/>
    <w:rsid w:val="00571EF2"/>
    <w:rsid w:val="00571F33"/>
    <w:rsid w:val="00572245"/>
    <w:rsid w:val="005723D6"/>
    <w:rsid w:val="0057253D"/>
    <w:rsid w:val="005725C8"/>
    <w:rsid w:val="005725D6"/>
    <w:rsid w:val="0057265F"/>
    <w:rsid w:val="005726D1"/>
    <w:rsid w:val="00572717"/>
    <w:rsid w:val="00572941"/>
    <w:rsid w:val="00572AA3"/>
    <w:rsid w:val="00572D10"/>
    <w:rsid w:val="00572D1C"/>
    <w:rsid w:val="00572D62"/>
    <w:rsid w:val="00572D64"/>
    <w:rsid w:val="00572E00"/>
    <w:rsid w:val="00572E0F"/>
    <w:rsid w:val="00573050"/>
    <w:rsid w:val="0057321D"/>
    <w:rsid w:val="00573220"/>
    <w:rsid w:val="0057328A"/>
    <w:rsid w:val="00573354"/>
    <w:rsid w:val="0057337C"/>
    <w:rsid w:val="0057347A"/>
    <w:rsid w:val="00573574"/>
    <w:rsid w:val="005735ED"/>
    <w:rsid w:val="00573662"/>
    <w:rsid w:val="005736E3"/>
    <w:rsid w:val="00573758"/>
    <w:rsid w:val="00573990"/>
    <w:rsid w:val="00573A43"/>
    <w:rsid w:val="00573A8B"/>
    <w:rsid w:val="00573ABA"/>
    <w:rsid w:val="00573B3A"/>
    <w:rsid w:val="00573B52"/>
    <w:rsid w:val="00573B95"/>
    <w:rsid w:val="00573C23"/>
    <w:rsid w:val="00573CEE"/>
    <w:rsid w:val="00573D36"/>
    <w:rsid w:val="00573D88"/>
    <w:rsid w:val="00573E5E"/>
    <w:rsid w:val="00573E77"/>
    <w:rsid w:val="00573E99"/>
    <w:rsid w:val="00573EA4"/>
    <w:rsid w:val="00573EC2"/>
    <w:rsid w:val="00573FD9"/>
    <w:rsid w:val="0057401D"/>
    <w:rsid w:val="005740A4"/>
    <w:rsid w:val="005741E4"/>
    <w:rsid w:val="00574295"/>
    <w:rsid w:val="005742F3"/>
    <w:rsid w:val="0057447B"/>
    <w:rsid w:val="00574A77"/>
    <w:rsid w:val="005751B2"/>
    <w:rsid w:val="00575350"/>
    <w:rsid w:val="00575476"/>
    <w:rsid w:val="00575518"/>
    <w:rsid w:val="0057552D"/>
    <w:rsid w:val="0057558A"/>
    <w:rsid w:val="00575650"/>
    <w:rsid w:val="00575847"/>
    <w:rsid w:val="005758C3"/>
    <w:rsid w:val="00575AA5"/>
    <w:rsid w:val="00575AD5"/>
    <w:rsid w:val="00575B87"/>
    <w:rsid w:val="00575C9E"/>
    <w:rsid w:val="00575E1A"/>
    <w:rsid w:val="00575F45"/>
    <w:rsid w:val="00576201"/>
    <w:rsid w:val="005762CF"/>
    <w:rsid w:val="005762D4"/>
    <w:rsid w:val="00576317"/>
    <w:rsid w:val="00576322"/>
    <w:rsid w:val="0057633F"/>
    <w:rsid w:val="0057661B"/>
    <w:rsid w:val="005767AA"/>
    <w:rsid w:val="005767DD"/>
    <w:rsid w:val="00576869"/>
    <w:rsid w:val="00576A1B"/>
    <w:rsid w:val="00576C3F"/>
    <w:rsid w:val="00576CB5"/>
    <w:rsid w:val="00576F96"/>
    <w:rsid w:val="00577080"/>
    <w:rsid w:val="00577169"/>
    <w:rsid w:val="00577385"/>
    <w:rsid w:val="0057751C"/>
    <w:rsid w:val="00577544"/>
    <w:rsid w:val="005777CF"/>
    <w:rsid w:val="005777EA"/>
    <w:rsid w:val="005778A0"/>
    <w:rsid w:val="0057791B"/>
    <w:rsid w:val="00577B83"/>
    <w:rsid w:val="00577E8A"/>
    <w:rsid w:val="00577F52"/>
    <w:rsid w:val="00580096"/>
    <w:rsid w:val="005803B6"/>
    <w:rsid w:val="0058046E"/>
    <w:rsid w:val="005804CC"/>
    <w:rsid w:val="005805CD"/>
    <w:rsid w:val="005807A4"/>
    <w:rsid w:val="005807E3"/>
    <w:rsid w:val="0058089F"/>
    <w:rsid w:val="005808CA"/>
    <w:rsid w:val="00580918"/>
    <w:rsid w:val="00580A6D"/>
    <w:rsid w:val="00580AFF"/>
    <w:rsid w:val="00580B47"/>
    <w:rsid w:val="00580BA7"/>
    <w:rsid w:val="00580BC1"/>
    <w:rsid w:val="00580C24"/>
    <w:rsid w:val="00580D7D"/>
    <w:rsid w:val="00580E5A"/>
    <w:rsid w:val="00580F2F"/>
    <w:rsid w:val="00580F80"/>
    <w:rsid w:val="00580F93"/>
    <w:rsid w:val="005811BA"/>
    <w:rsid w:val="0058199D"/>
    <w:rsid w:val="005819CA"/>
    <w:rsid w:val="00581A60"/>
    <w:rsid w:val="00581A84"/>
    <w:rsid w:val="00581BF2"/>
    <w:rsid w:val="00581EAE"/>
    <w:rsid w:val="00581F17"/>
    <w:rsid w:val="00581FBD"/>
    <w:rsid w:val="00582089"/>
    <w:rsid w:val="0058221B"/>
    <w:rsid w:val="00582228"/>
    <w:rsid w:val="0058231A"/>
    <w:rsid w:val="005823CE"/>
    <w:rsid w:val="0058246B"/>
    <w:rsid w:val="0058253D"/>
    <w:rsid w:val="0058262F"/>
    <w:rsid w:val="00582749"/>
    <w:rsid w:val="005827F2"/>
    <w:rsid w:val="0058290F"/>
    <w:rsid w:val="00582BD1"/>
    <w:rsid w:val="00582BFF"/>
    <w:rsid w:val="00582F1B"/>
    <w:rsid w:val="00582FA4"/>
    <w:rsid w:val="00582FAE"/>
    <w:rsid w:val="00583285"/>
    <w:rsid w:val="005832F1"/>
    <w:rsid w:val="0058349C"/>
    <w:rsid w:val="005834B5"/>
    <w:rsid w:val="0058362C"/>
    <w:rsid w:val="005837B5"/>
    <w:rsid w:val="0058382D"/>
    <w:rsid w:val="005838CA"/>
    <w:rsid w:val="0058396E"/>
    <w:rsid w:val="00583A03"/>
    <w:rsid w:val="00583AB3"/>
    <w:rsid w:val="00583C06"/>
    <w:rsid w:val="00583C64"/>
    <w:rsid w:val="00583C92"/>
    <w:rsid w:val="00583CAD"/>
    <w:rsid w:val="00583E0A"/>
    <w:rsid w:val="00583EE3"/>
    <w:rsid w:val="00584011"/>
    <w:rsid w:val="005841DB"/>
    <w:rsid w:val="00584207"/>
    <w:rsid w:val="005842DF"/>
    <w:rsid w:val="005842EC"/>
    <w:rsid w:val="00584401"/>
    <w:rsid w:val="0058460C"/>
    <w:rsid w:val="00584783"/>
    <w:rsid w:val="005848FC"/>
    <w:rsid w:val="00584956"/>
    <w:rsid w:val="0058496A"/>
    <w:rsid w:val="0058498E"/>
    <w:rsid w:val="00584A18"/>
    <w:rsid w:val="00584BCC"/>
    <w:rsid w:val="00584C91"/>
    <w:rsid w:val="00584CA4"/>
    <w:rsid w:val="00584CD1"/>
    <w:rsid w:val="00584E20"/>
    <w:rsid w:val="00584E23"/>
    <w:rsid w:val="00584FCC"/>
    <w:rsid w:val="0058507B"/>
    <w:rsid w:val="0058515E"/>
    <w:rsid w:val="005851DE"/>
    <w:rsid w:val="00585316"/>
    <w:rsid w:val="005855D4"/>
    <w:rsid w:val="00585975"/>
    <w:rsid w:val="005859D6"/>
    <w:rsid w:val="00585D34"/>
    <w:rsid w:val="00585D92"/>
    <w:rsid w:val="00585E22"/>
    <w:rsid w:val="00585ECC"/>
    <w:rsid w:val="00585F22"/>
    <w:rsid w:val="00585FDD"/>
    <w:rsid w:val="00586077"/>
    <w:rsid w:val="0058615E"/>
    <w:rsid w:val="0058617F"/>
    <w:rsid w:val="005861FB"/>
    <w:rsid w:val="005865C0"/>
    <w:rsid w:val="00586973"/>
    <w:rsid w:val="00586985"/>
    <w:rsid w:val="00586CFA"/>
    <w:rsid w:val="00586E23"/>
    <w:rsid w:val="00586FB6"/>
    <w:rsid w:val="00587027"/>
    <w:rsid w:val="00587045"/>
    <w:rsid w:val="0058720B"/>
    <w:rsid w:val="00587247"/>
    <w:rsid w:val="005873BC"/>
    <w:rsid w:val="005873CD"/>
    <w:rsid w:val="00587586"/>
    <w:rsid w:val="00587614"/>
    <w:rsid w:val="0058769B"/>
    <w:rsid w:val="005877E1"/>
    <w:rsid w:val="0058786D"/>
    <w:rsid w:val="005879CB"/>
    <w:rsid w:val="00587A30"/>
    <w:rsid w:val="00587A49"/>
    <w:rsid w:val="00587A4E"/>
    <w:rsid w:val="00587BA8"/>
    <w:rsid w:val="00587F19"/>
    <w:rsid w:val="00587F54"/>
    <w:rsid w:val="00590094"/>
    <w:rsid w:val="0059027B"/>
    <w:rsid w:val="00590320"/>
    <w:rsid w:val="0059039C"/>
    <w:rsid w:val="00590466"/>
    <w:rsid w:val="005904A2"/>
    <w:rsid w:val="00590580"/>
    <w:rsid w:val="005907E0"/>
    <w:rsid w:val="00590A49"/>
    <w:rsid w:val="00590BF8"/>
    <w:rsid w:val="00590C04"/>
    <w:rsid w:val="00590C50"/>
    <w:rsid w:val="00590EAE"/>
    <w:rsid w:val="00591130"/>
    <w:rsid w:val="005911DB"/>
    <w:rsid w:val="005911FB"/>
    <w:rsid w:val="00591411"/>
    <w:rsid w:val="005914D9"/>
    <w:rsid w:val="0059150A"/>
    <w:rsid w:val="0059157C"/>
    <w:rsid w:val="0059195E"/>
    <w:rsid w:val="00591988"/>
    <w:rsid w:val="005919ED"/>
    <w:rsid w:val="00591A56"/>
    <w:rsid w:val="00591AD3"/>
    <w:rsid w:val="00591C1C"/>
    <w:rsid w:val="00591CB8"/>
    <w:rsid w:val="00591FB4"/>
    <w:rsid w:val="00592011"/>
    <w:rsid w:val="00592086"/>
    <w:rsid w:val="00592127"/>
    <w:rsid w:val="005921CB"/>
    <w:rsid w:val="00592224"/>
    <w:rsid w:val="00592355"/>
    <w:rsid w:val="00592363"/>
    <w:rsid w:val="005923C8"/>
    <w:rsid w:val="0059243E"/>
    <w:rsid w:val="0059244F"/>
    <w:rsid w:val="005924C7"/>
    <w:rsid w:val="00592521"/>
    <w:rsid w:val="00592581"/>
    <w:rsid w:val="00592596"/>
    <w:rsid w:val="005927B1"/>
    <w:rsid w:val="00592A0B"/>
    <w:rsid w:val="00592A87"/>
    <w:rsid w:val="00592AEC"/>
    <w:rsid w:val="00592B3E"/>
    <w:rsid w:val="00592C07"/>
    <w:rsid w:val="00592D23"/>
    <w:rsid w:val="00592F10"/>
    <w:rsid w:val="00592FE3"/>
    <w:rsid w:val="0059313E"/>
    <w:rsid w:val="0059343E"/>
    <w:rsid w:val="005934D9"/>
    <w:rsid w:val="0059350D"/>
    <w:rsid w:val="005935FA"/>
    <w:rsid w:val="00593614"/>
    <w:rsid w:val="00593744"/>
    <w:rsid w:val="0059379D"/>
    <w:rsid w:val="0059382B"/>
    <w:rsid w:val="00593A93"/>
    <w:rsid w:val="00593A96"/>
    <w:rsid w:val="00593BFF"/>
    <w:rsid w:val="00593D09"/>
    <w:rsid w:val="00593EA1"/>
    <w:rsid w:val="00593EE1"/>
    <w:rsid w:val="00593F90"/>
    <w:rsid w:val="00593FF3"/>
    <w:rsid w:val="005940FC"/>
    <w:rsid w:val="005941F6"/>
    <w:rsid w:val="0059421E"/>
    <w:rsid w:val="00594287"/>
    <w:rsid w:val="005942FA"/>
    <w:rsid w:val="0059439A"/>
    <w:rsid w:val="0059442A"/>
    <w:rsid w:val="00594585"/>
    <w:rsid w:val="0059463B"/>
    <w:rsid w:val="00594670"/>
    <w:rsid w:val="0059480D"/>
    <w:rsid w:val="005949EF"/>
    <w:rsid w:val="00594A1F"/>
    <w:rsid w:val="00594AD7"/>
    <w:rsid w:val="00594C52"/>
    <w:rsid w:val="00594D13"/>
    <w:rsid w:val="00594DE1"/>
    <w:rsid w:val="00594ECF"/>
    <w:rsid w:val="00594F91"/>
    <w:rsid w:val="005950B7"/>
    <w:rsid w:val="00595195"/>
    <w:rsid w:val="0059540D"/>
    <w:rsid w:val="005955AF"/>
    <w:rsid w:val="0059564C"/>
    <w:rsid w:val="00595686"/>
    <w:rsid w:val="00595726"/>
    <w:rsid w:val="0059575A"/>
    <w:rsid w:val="0059575F"/>
    <w:rsid w:val="0059577F"/>
    <w:rsid w:val="005958EB"/>
    <w:rsid w:val="0059598C"/>
    <w:rsid w:val="00595CBE"/>
    <w:rsid w:val="00595D84"/>
    <w:rsid w:val="00595F45"/>
    <w:rsid w:val="00596104"/>
    <w:rsid w:val="00596178"/>
    <w:rsid w:val="00596290"/>
    <w:rsid w:val="00596750"/>
    <w:rsid w:val="005967AA"/>
    <w:rsid w:val="00596976"/>
    <w:rsid w:val="0059697F"/>
    <w:rsid w:val="00596994"/>
    <w:rsid w:val="00596ADE"/>
    <w:rsid w:val="00596B55"/>
    <w:rsid w:val="00596B81"/>
    <w:rsid w:val="00596BC7"/>
    <w:rsid w:val="00596D8A"/>
    <w:rsid w:val="00596E01"/>
    <w:rsid w:val="00596EF2"/>
    <w:rsid w:val="00596F47"/>
    <w:rsid w:val="00597053"/>
    <w:rsid w:val="0059718C"/>
    <w:rsid w:val="005971A8"/>
    <w:rsid w:val="005971C2"/>
    <w:rsid w:val="005971E1"/>
    <w:rsid w:val="005971E4"/>
    <w:rsid w:val="005972AD"/>
    <w:rsid w:val="005972D5"/>
    <w:rsid w:val="00597307"/>
    <w:rsid w:val="005975F2"/>
    <w:rsid w:val="005975F8"/>
    <w:rsid w:val="00597A4E"/>
    <w:rsid w:val="00597AA9"/>
    <w:rsid w:val="00597AEB"/>
    <w:rsid w:val="00597E0F"/>
    <w:rsid w:val="00597F63"/>
    <w:rsid w:val="005A0049"/>
    <w:rsid w:val="005A009E"/>
    <w:rsid w:val="005A00AE"/>
    <w:rsid w:val="005A0134"/>
    <w:rsid w:val="005A02D8"/>
    <w:rsid w:val="005A0561"/>
    <w:rsid w:val="005A05AF"/>
    <w:rsid w:val="005A05FF"/>
    <w:rsid w:val="005A0662"/>
    <w:rsid w:val="005A06AE"/>
    <w:rsid w:val="005A06E1"/>
    <w:rsid w:val="005A06ED"/>
    <w:rsid w:val="005A073D"/>
    <w:rsid w:val="005A0989"/>
    <w:rsid w:val="005A0A01"/>
    <w:rsid w:val="005A0AA3"/>
    <w:rsid w:val="005A0B42"/>
    <w:rsid w:val="005A0E88"/>
    <w:rsid w:val="005A0F78"/>
    <w:rsid w:val="005A1150"/>
    <w:rsid w:val="005A11C0"/>
    <w:rsid w:val="005A1214"/>
    <w:rsid w:val="005A122C"/>
    <w:rsid w:val="005A126F"/>
    <w:rsid w:val="005A127D"/>
    <w:rsid w:val="005A13B6"/>
    <w:rsid w:val="005A14A5"/>
    <w:rsid w:val="005A1794"/>
    <w:rsid w:val="005A185C"/>
    <w:rsid w:val="005A1875"/>
    <w:rsid w:val="005A1970"/>
    <w:rsid w:val="005A1996"/>
    <w:rsid w:val="005A19A4"/>
    <w:rsid w:val="005A19ED"/>
    <w:rsid w:val="005A1A6B"/>
    <w:rsid w:val="005A1AFC"/>
    <w:rsid w:val="005A1C5D"/>
    <w:rsid w:val="005A1C6B"/>
    <w:rsid w:val="005A1D27"/>
    <w:rsid w:val="005A1DF0"/>
    <w:rsid w:val="005A1E11"/>
    <w:rsid w:val="005A20DA"/>
    <w:rsid w:val="005A2197"/>
    <w:rsid w:val="005A22BA"/>
    <w:rsid w:val="005A24A3"/>
    <w:rsid w:val="005A24F0"/>
    <w:rsid w:val="005A2747"/>
    <w:rsid w:val="005A299F"/>
    <w:rsid w:val="005A2B80"/>
    <w:rsid w:val="005A2BB6"/>
    <w:rsid w:val="005A2BC3"/>
    <w:rsid w:val="005A2BD4"/>
    <w:rsid w:val="005A2CF3"/>
    <w:rsid w:val="005A2DEC"/>
    <w:rsid w:val="005A2DF9"/>
    <w:rsid w:val="005A2F8D"/>
    <w:rsid w:val="005A31CD"/>
    <w:rsid w:val="005A3371"/>
    <w:rsid w:val="005A357F"/>
    <w:rsid w:val="005A36BC"/>
    <w:rsid w:val="005A38BE"/>
    <w:rsid w:val="005A3907"/>
    <w:rsid w:val="005A3A36"/>
    <w:rsid w:val="005A3B44"/>
    <w:rsid w:val="005A3D86"/>
    <w:rsid w:val="005A3E96"/>
    <w:rsid w:val="005A3F74"/>
    <w:rsid w:val="005A3F90"/>
    <w:rsid w:val="005A408A"/>
    <w:rsid w:val="005A4128"/>
    <w:rsid w:val="005A42EC"/>
    <w:rsid w:val="005A4592"/>
    <w:rsid w:val="005A460C"/>
    <w:rsid w:val="005A4698"/>
    <w:rsid w:val="005A474B"/>
    <w:rsid w:val="005A4756"/>
    <w:rsid w:val="005A47D3"/>
    <w:rsid w:val="005A47F9"/>
    <w:rsid w:val="005A480A"/>
    <w:rsid w:val="005A4914"/>
    <w:rsid w:val="005A4A30"/>
    <w:rsid w:val="005A4A4A"/>
    <w:rsid w:val="005A4B8B"/>
    <w:rsid w:val="005A4BB0"/>
    <w:rsid w:val="005A4C18"/>
    <w:rsid w:val="005A507C"/>
    <w:rsid w:val="005A50B7"/>
    <w:rsid w:val="005A5191"/>
    <w:rsid w:val="005A51C6"/>
    <w:rsid w:val="005A5317"/>
    <w:rsid w:val="005A53D4"/>
    <w:rsid w:val="005A54A6"/>
    <w:rsid w:val="005A54A7"/>
    <w:rsid w:val="005A55BC"/>
    <w:rsid w:val="005A571C"/>
    <w:rsid w:val="005A5ADC"/>
    <w:rsid w:val="005A5CD1"/>
    <w:rsid w:val="005A5CF0"/>
    <w:rsid w:val="005A5DAC"/>
    <w:rsid w:val="005A5EE4"/>
    <w:rsid w:val="005A5F3E"/>
    <w:rsid w:val="005A5FAB"/>
    <w:rsid w:val="005A5FAE"/>
    <w:rsid w:val="005A6018"/>
    <w:rsid w:val="005A614E"/>
    <w:rsid w:val="005A623D"/>
    <w:rsid w:val="005A6537"/>
    <w:rsid w:val="005A6593"/>
    <w:rsid w:val="005A65B5"/>
    <w:rsid w:val="005A65D8"/>
    <w:rsid w:val="005A6802"/>
    <w:rsid w:val="005A6A90"/>
    <w:rsid w:val="005A6AFC"/>
    <w:rsid w:val="005A6C4A"/>
    <w:rsid w:val="005A6D51"/>
    <w:rsid w:val="005A6F84"/>
    <w:rsid w:val="005A7023"/>
    <w:rsid w:val="005A702B"/>
    <w:rsid w:val="005A73DF"/>
    <w:rsid w:val="005A752D"/>
    <w:rsid w:val="005A754F"/>
    <w:rsid w:val="005A762B"/>
    <w:rsid w:val="005A762C"/>
    <w:rsid w:val="005A7735"/>
    <w:rsid w:val="005A78AC"/>
    <w:rsid w:val="005A78E2"/>
    <w:rsid w:val="005A79E2"/>
    <w:rsid w:val="005A7DD9"/>
    <w:rsid w:val="005A7FF6"/>
    <w:rsid w:val="005B0115"/>
    <w:rsid w:val="005B027F"/>
    <w:rsid w:val="005B0297"/>
    <w:rsid w:val="005B02C0"/>
    <w:rsid w:val="005B02DC"/>
    <w:rsid w:val="005B033E"/>
    <w:rsid w:val="005B037D"/>
    <w:rsid w:val="005B04EE"/>
    <w:rsid w:val="005B057B"/>
    <w:rsid w:val="005B0743"/>
    <w:rsid w:val="005B07DD"/>
    <w:rsid w:val="005B0834"/>
    <w:rsid w:val="005B08BA"/>
    <w:rsid w:val="005B08ED"/>
    <w:rsid w:val="005B0CD6"/>
    <w:rsid w:val="005B0DE3"/>
    <w:rsid w:val="005B0FD1"/>
    <w:rsid w:val="005B1122"/>
    <w:rsid w:val="005B113A"/>
    <w:rsid w:val="005B12F1"/>
    <w:rsid w:val="005B1413"/>
    <w:rsid w:val="005B1545"/>
    <w:rsid w:val="005B1572"/>
    <w:rsid w:val="005B1598"/>
    <w:rsid w:val="005B1616"/>
    <w:rsid w:val="005B1655"/>
    <w:rsid w:val="005B16AA"/>
    <w:rsid w:val="005B182D"/>
    <w:rsid w:val="005B18D8"/>
    <w:rsid w:val="005B18FD"/>
    <w:rsid w:val="005B1BFF"/>
    <w:rsid w:val="005B1C3D"/>
    <w:rsid w:val="005B1C41"/>
    <w:rsid w:val="005B1DC6"/>
    <w:rsid w:val="005B22B4"/>
    <w:rsid w:val="005B252B"/>
    <w:rsid w:val="005B274A"/>
    <w:rsid w:val="005B2833"/>
    <w:rsid w:val="005B2854"/>
    <w:rsid w:val="005B2955"/>
    <w:rsid w:val="005B2A2B"/>
    <w:rsid w:val="005B2AE5"/>
    <w:rsid w:val="005B2B45"/>
    <w:rsid w:val="005B2B91"/>
    <w:rsid w:val="005B2BA8"/>
    <w:rsid w:val="005B2CBD"/>
    <w:rsid w:val="005B2D95"/>
    <w:rsid w:val="005B3136"/>
    <w:rsid w:val="005B318C"/>
    <w:rsid w:val="005B3238"/>
    <w:rsid w:val="005B3600"/>
    <w:rsid w:val="005B36C3"/>
    <w:rsid w:val="005B3772"/>
    <w:rsid w:val="005B3A85"/>
    <w:rsid w:val="005B3A8A"/>
    <w:rsid w:val="005B3D06"/>
    <w:rsid w:val="005B3FAD"/>
    <w:rsid w:val="005B3FCB"/>
    <w:rsid w:val="005B4006"/>
    <w:rsid w:val="005B4061"/>
    <w:rsid w:val="005B40B4"/>
    <w:rsid w:val="005B41B6"/>
    <w:rsid w:val="005B42A7"/>
    <w:rsid w:val="005B42BB"/>
    <w:rsid w:val="005B43C3"/>
    <w:rsid w:val="005B463B"/>
    <w:rsid w:val="005B4768"/>
    <w:rsid w:val="005B4937"/>
    <w:rsid w:val="005B4A4E"/>
    <w:rsid w:val="005B4AEA"/>
    <w:rsid w:val="005B4B1A"/>
    <w:rsid w:val="005B4D3E"/>
    <w:rsid w:val="005B4DE7"/>
    <w:rsid w:val="005B4E07"/>
    <w:rsid w:val="005B4E42"/>
    <w:rsid w:val="005B4E9A"/>
    <w:rsid w:val="005B4FBB"/>
    <w:rsid w:val="005B5003"/>
    <w:rsid w:val="005B5035"/>
    <w:rsid w:val="005B50BF"/>
    <w:rsid w:val="005B519D"/>
    <w:rsid w:val="005B51A8"/>
    <w:rsid w:val="005B51D9"/>
    <w:rsid w:val="005B51FA"/>
    <w:rsid w:val="005B520C"/>
    <w:rsid w:val="005B524A"/>
    <w:rsid w:val="005B5258"/>
    <w:rsid w:val="005B582F"/>
    <w:rsid w:val="005B585C"/>
    <w:rsid w:val="005B5979"/>
    <w:rsid w:val="005B59E8"/>
    <w:rsid w:val="005B5A65"/>
    <w:rsid w:val="005B5B3E"/>
    <w:rsid w:val="005B5CB6"/>
    <w:rsid w:val="005B5EBA"/>
    <w:rsid w:val="005B5ED0"/>
    <w:rsid w:val="005B5F0B"/>
    <w:rsid w:val="005B60A5"/>
    <w:rsid w:val="005B60AC"/>
    <w:rsid w:val="005B6203"/>
    <w:rsid w:val="005B644A"/>
    <w:rsid w:val="005B6511"/>
    <w:rsid w:val="005B65B0"/>
    <w:rsid w:val="005B662B"/>
    <w:rsid w:val="005B66FE"/>
    <w:rsid w:val="005B6763"/>
    <w:rsid w:val="005B6767"/>
    <w:rsid w:val="005B67C0"/>
    <w:rsid w:val="005B681C"/>
    <w:rsid w:val="005B6D1A"/>
    <w:rsid w:val="005B6D8E"/>
    <w:rsid w:val="005B6DE4"/>
    <w:rsid w:val="005B6F59"/>
    <w:rsid w:val="005B706F"/>
    <w:rsid w:val="005B7139"/>
    <w:rsid w:val="005B7257"/>
    <w:rsid w:val="005B7288"/>
    <w:rsid w:val="005B72E7"/>
    <w:rsid w:val="005B7311"/>
    <w:rsid w:val="005B741F"/>
    <w:rsid w:val="005B745E"/>
    <w:rsid w:val="005B749A"/>
    <w:rsid w:val="005B7542"/>
    <w:rsid w:val="005B7582"/>
    <w:rsid w:val="005B759F"/>
    <w:rsid w:val="005B75C4"/>
    <w:rsid w:val="005B7663"/>
    <w:rsid w:val="005B76F6"/>
    <w:rsid w:val="005B77FD"/>
    <w:rsid w:val="005B793B"/>
    <w:rsid w:val="005B7A4A"/>
    <w:rsid w:val="005B7A93"/>
    <w:rsid w:val="005B7B0D"/>
    <w:rsid w:val="005B7C8A"/>
    <w:rsid w:val="005B7E99"/>
    <w:rsid w:val="005B7F1D"/>
    <w:rsid w:val="005B7FEF"/>
    <w:rsid w:val="005C0025"/>
    <w:rsid w:val="005C0171"/>
    <w:rsid w:val="005C01EA"/>
    <w:rsid w:val="005C0239"/>
    <w:rsid w:val="005C027E"/>
    <w:rsid w:val="005C0319"/>
    <w:rsid w:val="005C037E"/>
    <w:rsid w:val="005C03A8"/>
    <w:rsid w:val="005C03EE"/>
    <w:rsid w:val="005C0555"/>
    <w:rsid w:val="005C0744"/>
    <w:rsid w:val="005C076A"/>
    <w:rsid w:val="005C083F"/>
    <w:rsid w:val="005C0886"/>
    <w:rsid w:val="005C08FD"/>
    <w:rsid w:val="005C0A11"/>
    <w:rsid w:val="005C0A44"/>
    <w:rsid w:val="005C0B98"/>
    <w:rsid w:val="005C0CD5"/>
    <w:rsid w:val="005C0D70"/>
    <w:rsid w:val="005C0E60"/>
    <w:rsid w:val="005C0F3B"/>
    <w:rsid w:val="005C0F95"/>
    <w:rsid w:val="005C104D"/>
    <w:rsid w:val="005C1064"/>
    <w:rsid w:val="005C1278"/>
    <w:rsid w:val="005C12D9"/>
    <w:rsid w:val="005C13A6"/>
    <w:rsid w:val="005C1536"/>
    <w:rsid w:val="005C1541"/>
    <w:rsid w:val="005C16B8"/>
    <w:rsid w:val="005C17AB"/>
    <w:rsid w:val="005C1814"/>
    <w:rsid w:val="005C184B"/>
    <w:rsid w:val="005C1916"/>
    <w:rsid w:val="005C1961"/>
    <w:rsid w:val="005C1B1A"/>
    <w:rsid w:val="005C1C25"/>
    <w:rsid w:val="005C1CBF"/>
    <w:rsid w:val="005C1D5C"/>
    <w:rsid w:val="005C1DD0"/>
    <w:rsid w:val="005C1EE0"/>
    <w:rsid w:val="005C1F07"/>
    <w:rsid w:val="005C1F2B"/>
    <w:rsid w:val="005C20A9"/>
    <w:rsid w:val="005C216B"/>
    <w:rsid w:val="005C21CF"/>
    <w:rsid w:val="005C2256"/>
    <w:rsid w:val="005C263E"/>
    <w:rsid w:val="005C26E5"/>
    <w:rsid w:val="005C2775"/>
    <w:rsid w:val="005C29A5"/>
    <w:rsid w:val="005C2A58"/>
    <w:rsid w:val="005C2AD7"/>
    <w:rsid w:val="005C2B5A"/>
    <w:rsid w:val="005C2CCD"/>
    <w:rsid w:val="005C2CE8"/>
    <w:rsid w:val="005C2E54"/>
    <w:rsid w:val="005C2EDB"/>
    <w:rsid w:val="005C2F8F"/>
    <w:rsid w:val="005C2FE8"/>
    <w:rsid w:val="005C2FEC"/>
    <w:rsid w:val="005C3030"/>
    <w:rsid w:val="005C315B"/>
    <w:rsid w:val="005C3375"/>
    <w:rsid w:val="005C33B2"/>
    <w:rsid w:val="005C33D0"/>
    <w:rsid w:val="005C33D3"/>
    <w:rsid w:val="005C33F3"/>
    <w:rsid w:val="005C354E"/>
    <w:rsid w:val="005C35C3"/>
    <w:rsid w:val="005C35D8"/>
    <w:rsid w:val="005C364B"/>
    <w:rsid w:val="005C370F"/>
    <w:rsid w:val="005C37CE"/>
    <w:rsid w:val="005C3805"/>
    <w:rsid w:val="005C3B70"/>
    <w:rsid w:val="005C3BBA"/>
    <w:rsid w:val="005C3D48"/>
    <w:rsid w:val="005C3DE0"/>
    <w:rsid w:val="005C3F8A"/>
    <w:rsid w:val="005C4240"/>
    <w:rsid w:val="005C425D"/>
    <w:rsid w:val="005C428B"/>
    <w:rsid w:val="005C4373"/>
    <w:rsid w:val="005C43C2"/>
    <w:rsid w:val="005C43DE"/>
    <w:rsid w:val="005C4509"/>
    <w:rsid w:val="005C46C1"/>
    <w:rsid w:val="005C473F"/>
    <w:rsid w:val="005C475D"/>
    <w:rsid w:val="005C47E4"/>
    <w:rsid w:val="005C4873"/>
    <w:rsid w:val="005C489B"/>
    <w:rsid w:val="005C4A8A"/>
    <w:rsid w:val="005C4B6D"/>
    <w:rsid w:val="005C4C1C"/>
    <w:rsid w:val="005C4EB7"/>
    <w:rsid w:val="005C4EF4"/>
    <w:rsid w:val="005C5239"/>
    <w:rsid w:val="005C52D8"/>
    <w:rsid w:val="005C5642"/>
    <w:rsid w:val="005C5739"/>
    <w:rsid w:val="005C578E"/>
    <w:rsid w:val="005C5BAD"/>
    <w:rsid w:val="005C5C59"/>
    <w:rsid w:val="005C5CA5"/>
    <w:rsid w:val="005C5D2F"/>
    <w:rsid w:val="005C5D5D"/>
    <w:rsid w:val="005C5D86"/>
    <w:rsid w:val="005C5E77"/>
    <w:rsid w:val="005C5EEA"/>
    <w:rsid w:val="005C5F71"/>
    <w:rsid w:val="005C607F"/>
    <w:rsid w:val="005C60DA"/>
    <w:rsid w:val="005C6102"/>
    <w:rsid w:val="005C6368"/>
    <w:rsid w:val="005C63BE"/>
    <w:rsid w:val="005C63F6"/>
    <w:rsid w:val="005C644F"/>
    <w:rsid w:val="005C649B"/>
    <w:rsid w:val="005C659D"/>
    <w:rsid w:val="005C6604"/>
    <w:rsid w:val="005C661A"/>
    <w:rsid w:val="005C674A"/>
    <w:rsid w:val="005C6793"/>
    <w:rsid w:val="005C67A8"/>
    <w:rsid w:val="005C67AE"/>
    <w:rsid w:val="005C69FD"/>
    <w:rsid w:val="005C6AB7"/>
    <w:rsid w:val="005C6BB2"/>
    <w:rsid w:val="005C6C0A"/>
    <w:rsid w:val="005C6DAA"/>
    <w:rsid w:val="005C6E77"/>
    <w:rsid w:val="005C6F44"/>
    <w:rsid w:val="005C716D"/>
    <w:rsid w:val="005C7480"/>
    <w:rsid w:val="005C751B"/>
    <w:rsid w:val="005C75B9"/>
    <w:rsid w:val="005C77CA"/>
    <w:rsid w:val="005C7841"/>
    <w:rsid w:val="005C78F6"/>
    <w:rsid w:val="005C797D"/>
    <w:rsid w:val="005C7CBB"/>
    <w:rsid w:val="005C7E0E"/>
    <w:rsid w:val="005C7E1D"/>
    <w:rsid w:val="005C7E7D"/>
    <w:rsid w:val="005C7F97"/>
    <w:rsid w:val="005D0018"/>
    <w:rsid w:val="005D00AA"/>
    <w:rsid w:val="005D0200"/>
    <w:rsid w:val="005D02E8"/>
    <w:rsid w:val="005D0303"/>
    <w:rsid w:val="005D03C8"/>
    <w:rsid w:val="005D0489"/>
    <w:rsid w:val="005D051E"/>
    <w:rsid w:val="005D0555"/>
    <w:rsid w:val="005D0A0C"/>
    <w:rsid w:val="005D0B05"/>
    <w:rsid w:val="005D0B22"/>
    <w:rsid w:val="005D0BAA"/>
    <w:rsid w:val="005D0D06"/>
    <w:rsid w:val="005D0E77"/>
    <w:rsid w:val="005D0FCF"/>
    <w:rsid w:val="005D0FD4"/>
    <w:rsid w:val="005D1253"/>
    <w:rsid w:val="005D1460"/>
    <w:rsid w:val="005D14DB"/>
    <w:rsid w:val="005D15D9"/>
    <w:rsid w:val="005D1608"/>
    <w:rsid w:val="005D1663"/>
    <w:rsid w:val="005D1836"/>
    <w:rsid w:val="005D1840"/>
    <w:rsid w:val="005D18F3"/>
    <w:rsid w:val="005D1A23"/>
    <w:rsid w:val="005D1A46"/>
    <w:rsid w:val="005D1B06"/>
    <w:rsid w:val="005D1C18"/>
    <w:rsid w:val="005D1F9F"/>
    <w:rsid w:val="005D1FD5"/>
    <w:rsid w:val="005D203E"/>
    <w:rsid w:val="005D20F4"/>
    <w:rsid w:val="005D2212"/>
    <w:rsid w:val="005D2215"/>
    <w:rsid w:val="005D22C1"/>
    <w:rsid w:val="005D22F8"/>
    <w:rsid w:val="005D230A"/>
    <w:rsid w:val="005D239A"/>
    <w:rsid w:val="005D2491"/>
    <w:rsid w:val="005D251C"/>
    <w:rsid w:val="005D2685"/>
    <w:rsid w:val="005D26BA"/>
    <w:rsid w:val="005D274C"/>
    <w:rsid w:val="005D28CC"/>
    <w:rsid w:val="005D28D1"/>
    <w:rsid w:val="005D2973"/>
    <w:rsid w:val="005D2A65"/>
    <w:rsid w:val="005D2AC8"/>
    <w:rsid w:val="005D2C54"/>
    <w:rsid w:val="005D2CDA"/>
    <w:rsid w:val="005D2E8E"/>
    <w:rsid w:val="005D2ED0"/>
    <w:rsid w:val="005D2EEB"/>
    <w:rsid w:val="005D2EF0"/>
    <w:rsid w:val="005D328F"/>
    <w:rsid w:val="005D32D7"/>
    <w:rsid w:val="005D3347"/>
    <w:rsid w:val="005D33CE"/>
    <w:rsid w:val="005D33FF"/>
    <w:rsid w:val="005D3550"/>
    <w:rsid w:val="005D3597"/>
    <w:rsid w:val="005D36A0"/>
    <w:rsid w:val="005D38E4"/>
    <w:rsid w:val="005D3A83"/>
    <w:rsid w:val="005D3A9D"/>
    <w:rsid w:val="005D3ADF"/>
    <w:rsid w:val="005D3AF8"/>
    <w:rsid w:val="005D3B24"/>
    <w:rsid w:val="005D3BFF"/>
    <w:rsid w:val="005D3C0E"/>
    <w:rsid w:val="005D3C4C"/>
    <w:rsid w:val="005D3DA4"/>
    <w:rsid w:val="005D3E0D"/>
    <w:rsid w:val="005D4338"/>
    <w:rsid w:val="005D4394"/>
    <w:rsid w:val="005D43FC"/>
    <w:rsid w:val="005D453E"/>
    <w:rsid w:val="005D477E"/>
    <w:rsid w:val="005D47B9"/>
    <w:rsid w:val="005D486E"/>
    <w:rsid w:val="005D4926"/>
    <w:rsid w:val="005D497A"/>
    <w:rsid w:val="005D49AA"/>
    <w:rsid w:val="005D49EC"/>
    <w:rsid w:val="005D4C58"/>
    <w:rsid w:val="005D4CD3"/>
    <w:rsid w:val="005D4E41"/>
    <w:rsid w:val="005D4E62"/>
    <w:rsid w:val="005D4E7E"/>
    <w:rsid w:val="005D4F7D"/>
    <w:rsid w:val="005D4F8E"/>
    <w:rsid w:val="005D4FDE"/>
    <w:rsid w:val="005D5125"/>
    <w:rsid w:val="005D523D"/>
    <w:rsid w:val="005D5262"/>
    <w:rsid w:val="005D5288"/>
    <w:rsid w:val="005D5367"/>
    <w:rsid w:val="005D538B"/>
    <w:rsid w:val="005D53CA"/>
    <w:rsid w:val="005D552E"/>
    <w:rsid w:val="005D57FA"/>
    <w:rsid w:val="005D57FC"/>
    <w:rsid w:val="005D58FB"/>
    <w:rsid w:val="005D5A39"/>
    <w:rsid w:val="005D5B63"/>
    <w:rsid w:val="005D5C10"/>
    <w:rsid w:val="005D5C8F"/>
    <w:rsid w:val="005D5CD7"/>
    <w:rsid w:val="005D5EA4"/>
    <w:rsid w:val="005D5EF4"/>
    <w:rsid w:val="005D6112"/>
    <w:rsid w:val="005D6161"/>
    <w:rsid w:val="005D61EC"/>
    <w:rsid w:val="005D6357"/>
    <w:rsid w:val="005D643E"/>
    <w:rsid w:val="005D6598"/>
    <w:rsid w:val="005D65A4"/>
    <w:rsid w:val="005D69BC"/>
    <w:rsid w:val="005D6C61"/>
    <w:rsid w:val="005D70C9"/>
    <w:rsid w:val="005D7118"/>
    <w:rsid w:val="005D7262"/>
    <w:rsid w:val="005D739F"/>
    <w:rsid w:val="005D73C3"/>
    <w:rsid w:val="005D7511"/>
    <w:rsid w:val="005D77B7"/>
    <w:rsid w:val="005D77DC"/>
    <w:rsid w:val="005D77E5"/>
    <w:rsid w:val="005D780A"/>
    <w:rsid w:val="005D7A49"/>
    <w:rsid w:val="005D7B78"/>
    <w:rsid w:val="005D7C88"/>
    <w:rsid w:val="005D7D37"/>
    <w:rsid w:val="005D7DE5"/>
    <w:rsid w:val="005D7E9F"/>
    <w:rsid w:val="005D7F33"/>
    <w:rsid w:val="005D7FA1"/>
    <w:rsid w:val="005E0064"/>
    <w:rsid w:val="005E0116"/>
    <w:rsid w:val="005E01A1"/>
    <w:rsid w:val="005E02D0"/>
    <w:rsid w:val="005E02E2"/>
    <w:rsid w:val="005E030E"/>
    <w:rsid w:val="005E0333"/>
    <w:rsid w:val="005E0487"/>
    <w:rsid w:val="005E0672"/>
    <w:rsid w:val="005E0816"/>
    <w:rsid w:val="005E0865"/>
    <w:rsid w:val="005E094D"/>
    <w:rsid w:val="005E09B6"/>
    <w:rsid w:val="005E09C2"/>
    <w:rsid w:val="005E09C8"/>
    <w:rsid w:val="005E0AD7"/>
    <w:rsid w:val="005E0C0D"/>
    <w:rsid w:val="005E0C12"/>
    <w:rsid w:val="005E0C39"/>
    <w:rsid w:val="005E0D23"/>
    <w:rsid w:val="005E0DD7"/>
    <w:rsid w:val="005E0DFD"/>
    <w:rsid w:val="005E0F89"/>
    <w:rsid w:val="005E0FE1"/>
    <w:rsid w:val="005E1041"/>
    <w:rsid w:val="005E1119"/>
    <w:rsid w:val="005E114B"/>
    <w:rsid w:val="005E1179"/>
    <w:rsid w:val="005E1260"/>
    <w:rsid w:val="005E129D"/>
    <w:rsid w:val="005E133E"/>
    <w:rsid w:val="005E137F"/>
    <w:rsid w:val="005E1620"/>
    <w:rsid w:val="005E1638"/>
    <w:rsid w:val="005E1893"/>
    <w:rsid w:val="005E1B3E"/>
    <w:rsid w:val="005E1C91"/>
    <w:rsid w:val="005E1E4A"/>
    <w:rsid w:val="005E1EF4"/>
    <w:rsid w:val="005E1F29"/>
    <w:rsid w:val="005E207A"/>
    <w:rsid w:val="005E217C"/>
    <w:rsid w:val="005E229E"/>
    <w:rsid w:val="005E238E"/>
    <w:rsid w:val="005E2567"/>
    <w:rsid w:val="005E2584"/>
    <w:rsid w:val="005E2626"/>
    <w:rsid w:val="005E2712"/>
    <w:rsid w:val="005E2869"/>
    <w:rsid w:val="005E2945"/>
    <w:rsid w:val="005E298D"/>
    <w:rsid w:val="005E2AC2"/>
    <w:rsid w:val="005E2C36"/>
    <w:rsid w:val="005E2C9F"/>
    <w:rsid w:val="005E2CDB"/>
    <w:rsid w:val="005E2D59"/>
    <w:rsid w:val="005E2E2E"/>
    <w:rsid w:val="005E2E67"/>
    <w:rsid w:val="005E305E"/>
    <w:rsid w:val="005E3083"/>
    <w:rsid w:val="005E317C"/>
    <w:rsid w:val="005E318A"/>
    <w:rsid w:val="005E34CE"/>
    <w:rsid w:val="005E3639"/>
    <w:rsid w:val="005E3A74"/>
    <w:rsid w:val="005E3C60"/>
    <w:rsid w:val="005E3D96"/>
    <w:rsid w:val="005E4117"/>
    <w:rsid w:val="005E41B2"/>
    <w:rsid w:val="005E42FA"/>
    <w:rsid w:val="005E4348"/>
    <w:rsid w:val="005E4374"/>
    <w:rsid w:val="005E437F"/>
    <w:rsid w:val="005E45B2"/>
    <w:rsid w:val="005E45F6"/>
    <w:rsid w:val="005E46E2"/>
    <w:rsid w:val="005E49F9"/>
    <w:rsid w:val="005E4A23"/>
    <w:rsid w:val="005E4A7A"/>
    <w:rsid w:val="005E4B23"/>
    <w:rsid w:val="005E4BCE"/>
    <w:rsid w:val="005E4CBD"/>
    <w:rsid w:val="005E4D65"/>
    <w:rsid w:val="005E4DAD"/>
    <w:rsid w:val="005E4DB8"/>
    <w:rsid w:val="005E4ED3"/>
    <w:rsid w:val="005E5062"/>
    <w:rsid w:val="005E50A7"/>
    <w:rsid w:val="005E5165"/>
    <w:rsid w:val="005E518F"/>
    <w:rsid w:val="005E51CB"/>
    <w:rsid w:val="005E52C8"/>
    <w:rsid w:val="005E52D8"/>
    <w:rsid w:val="005E5383"/>
    <w:rsid w:val="005E53DC"/>
    <w:rsid w:val="005E5411"/>
    <w:rsid w:val="005E5432"/>
    <w:rsid w:val="005E5480"/>
    <w:rsid w:val="005E5643"/>
    <w:rsid w:val="005E56AD"/>
    <w:rsid w:val="005E56F3"/>
    <w:rsid w:val="005E57B9"/>
    <w:rsid w:val="005E5B32"/>
    <w:rsid w:val="005E5B3E"/>
    <w:rsid w:val="005E5BD5"/>
    <w:rsid w:val="005E5C3C"/>
    <w:rsid w:val="005E5DC3"/>
    <w:rsid w:val="005E5DDF"/>
    <w:rsid w:val="005E5E62"/>
    <w:rsid w:val="005E5F57"/>
    <w:rsid w:val="005E60FB"/>
    <w:rsid w:val="005E61A3"/>
    <w:rsid w:val="005E6258"/>
    <w:rsid w:val="005E6266"/>
    <w:rsid w:val="005E63DC"/>
    <w:rsid w:val="005E6838"/>
    <w:rsid w:val="005E68FD"/>
    <w:rsid w:val="005E69C5"/>
    <w:rsid w:val="005E6A28"/>
    <w:rsid w:val="005E6A65"/>
    <w:rsid w:val="005E6AA4"/>
    <w:rsid w:val="005E6BEE"/>
    <w:rsid w:val="005E6C19"/>
    <w:rsid w:val="005E700A"/>
    <w:rsid w:val="005E7054"/>
    <w:rsid w:val="005E712F"/>
    <w:rsid w:val="005E72DF"/>
    <w:rsid w:val="005E730B"/>
    <w:rsid w:val="005E735D"/>
    <w:rsid w:val="005E74BA"/>
    <w:rsid w:val="005E767B"/>
    <w:rsid w:val="005E767C"/>
    <w:rsid w:val="005E77A0"/>
    <w:rsid w:val="005E7878"/>
    <w:rsid w:val="005E7957"/>
    <w:rsid w:val="005E7C5F"/>
    <w:rsid w:val="005E7CC8"/>
    <w:rsid w:val="005E7E7E"/>
    <w:rsid w:val="005F0364"/>
    <w:rsid w:val="005F06F6"/>
    <w:rsid w:val="005F0976"/>
    <w:rsid w:val="005F0A2B"/>
    <w:rsid w:val="005F0AC7"/>
    <w:rsid w:val="005F0B04"/>
    <w:rsid w:val="005F0B9F"/>
    <w:rsid w:val="005F0C2B"/>
    <w:rsid w:val="005F0D7F"/>
    <w:rsid w:val="005F100E"/>
    <w:rsid w:val="005F109C"/>
    <w:rsid w:val="005F10BC"/>
    <w:rsid w:val="005F11CC"/>
    <w:rsid w:val="005F150D"/>
    <w:rsid w:val="005F156D"/>
    <w:rsid w:val="005F1597"/>
    <w:rsid w:val="005F159E"/>
    <w:rsid w:val="005F15C5"/>
    <w:rsid w:val="005F1840"/>
    <w:rsid w:val="005F18EB"/>
    <w:rsid w:val="005F196F"/>
    <w:rsid w:val="005F19F7"/>
    <w:rsid w:val="005F1B03"/>
    <w:rsid w:val="005F1BBE"/>
    <w:rsid w:val="005F1C74"/>
    <w:rsid w:val="005F1D11"/>
    <w:rsid w:val="005F1DDD"/>
    <w:rsid w:val="005F1F65"/>
    <w:rsid w:val="005F2034"/>
    <w:rsid w:val="005F20DF"/>
    <w:rsid w:val="005F23A0"/>
    <w:rsid w:val="005F24B7"/>
    <w:rsid w:val="005F24EE"/>
    <w:rsid w:val="005F257B"/>
    <w:rsid w:val="005F2619"/>
    <w:rsid w:val="005F2627"/>
    <w:rsid w:val="005F2709"/>
    <w:rsid w:val="005F2974"/>
    <w:rsid w:val="005F2A45"/>
    <w:rsid w:val="005F2B44"/>
    <w:rsid w:val="005F2C84"/>
    <w:rsid w:val="005F2D4E"/>
    <w:rsid w:val="005F2E75"/>
    <w:rsid w:val="005F308C"/>
    <w:rsid w:val="005F30FA"/>
    <w:rsid w:val="005F31BC"/>
    <w:rsid w:val="005F335F"/>
    <w:rsid w:val="005F33F4"/>
    <w:rsid w:val="005F3413"/>
    <w:rsid w:val="005F3469"/>
    <w:rsid w:val="005F35BC"/>
    <w:rsid w:val="005F3737"/>
    <w:rsid w:val="005F39AB"/>
    <w:rsid w:val="005F39AF"/>
    <w:rsid w:val="005F3A60"/>
    <w:rsid w:val="005F3A87"/>
    <w:rsid w:val="005F3C07"/>
    <w:rsid w:val="005F3D1B"/>
    <w:rsid w:val="005F3DB3"/>
    <w:rsid w:val="005F3DB5"/>
    <w:rsid w:val="005F3EBC"/>
    <w:rsid w:val="005F3EE3"/>
    <w:rsid w:val="005F3F87"/>
    <w:rsid w:val="005F4091"/>
    <w:rsid w:val="005F417E"/>
    <w:rsid w:val="005F4263"/>
    <w:rsid w:val="005F438A"/>
    <w:rsid w:val="005F43D6"/>
    <w:rsid w:val="005F461C"/>
    <w:rsid w:val="005F4AA7"/>
    <w:rsid w:val="005F4CB1"/>
    <w:rsid w:val="005F4E18"/>
    <w:rsid w:val="005F4E2F"/>
    <w:rsid w:val="005F5268"/>
    <w:rsid w:val="005F555B"/>
    <w:rsid w:val="005F560F"/>
    <w:rsid w:val="005F5641"/>
    <w:rsid w:val="005F5738"/>
    <w:rsid w:val="005F5848"/>
    <w:rsid w:val="005F590D"/>
    <w:rsid w:val="005F5A25"/>
    <w:rsid w:val="005F5D31"/>
    <w:rsid w:val="005F5D4C"/>
    <w:rsid w:val="005F5EF8"/>
    <w:rsid w:val="005F6002"/>
    <w:rsid w:val="005F6006"/>
    <w:rsid w:val="005F6076"/>
    <w:rsid w:val="005F62A0"/>
    <w:rsid w:val="005F63E3"/>
    <w:rsid w:val="005F6410"/>
    <w:rsid w:val="005F6561"/>
    <w:rsid w:val="005F65D5"/>
    <w:rsid w:val="005F65F9"/>
    <w:rsid w:val="005F670B"/>
    <w:rsid w:val="005F6A9A"/>
    <w:rsid w:val="005F6E6A"/>
    <w:rsid w:val="005F6EB4"/>
    <w:rsid w:val="005F7071"/>
    <w:rsid w:val="005F7264"/>
    <w:rsid w:val="005F7387"/>
    <w:rsid w:val="005F7409"/>
    <w:rsid w:val="005F75AE"/>
    <w:rsid w:val="005F7620"/>
    <w:rsid w:val="005F7658"/>
    <w:rsid w:val="005F76A3"/>
    <w:rsid w:val="005F76A7"/>
    <w:rsid w:val="005F7BCA"/>
    <w:rsid w:val="005F7BD7"/>
    <w:rsid w:val="005F7D8F"/>
    <w:rsid w:val="005F7DB1"/>
    <w:rsid w:val="005F7E0B"/>
    <w:rsid w:val="005F7F03"/>
    <w:rsid w:val="006001A3"/>
    <w:rsid w:val="00600253"/>
    <w:rsid w:val="00600288"/>
    <w:rsid w:val="006002CC"/>
    <w:rsid w:val="006002ED"/>
    <w:rsid w:val="00600317"/>
    <w:rsid w:val="0060032A"/>
    <w:rsid w:val="0060035F"/>
    <w:rsid w:val="0060040C"/>
    <w:rsid w:val="0060045E"/>
    <w:rsid w:val="006006FE"/>
    <w:rsid w:val="00600799"/>
    <w:rsid w:val="00600D16"/>
    <w:rsid w:val="00600DE3"/>
    <w:rsid w:val="00600E8C"/>
    <w:rsid w:val="00600EAD"/>
    <w:rsid w:val="00600FCC"/>
    <w:rsid w:val="00601024"/>
    <w:rsid w:val="006011B0"/>
    <w:rsid w:val="006011C2"/>
    <w:rsid w:val="00601212"/>
    <w:rsid w:val="00601276"/>
    <w:rsid w:val="0060135C"/>
    <w:rsid w:val="006014F7"/>
    <w:rsid w:val="00601525"/>
    <w:rsid w:val="00601625"/>
    <w:rsid w:val="00601831"/>
    <w:rsid w:val="00601A00"/>
    <w:rsid w:val="00601A56"/>
    <w:rsid w:val="00601B49"/>
    <w:rsid w:val="00601B6F"/>
    <w:rsid w:val="00601CEF"/>
    <w:rsid w:val="00601D99"/>
    <w:rsid w:val="00601DB0"/>
    <w:rsid w:val="00601E6F"/>
    <w:rsid w:val="00601EE3"/>
    <w:rsid w:val="0060215F"/>
    <w:rsid w:val="00602258"/>
    <w:rsid w:val="0060234D"/>
    <w:rsid w:val="006023B1"/>
    <w:rsid w:val="0060249F"/>
    <w:rsid w:val="006024E2"/>
    <w:rsid w:val="0060251C"/>
    <w:rsid w:val="00602619"/>
    <w:rsid w:val="00602735"/>
    <w:rsid w:val="00602823"/>
    <w:rsid w:val="00602837"/>
    <w:rsid w:val="00602844"/>
    <w:rsid w:val="006028D1"/>
    <w:rsid w:val="00602ADC"/>
    <w:rsid w:val="00602B92"/>
    <w:rsid w:val="00602D92"/>
    <w:rsid w:val="00602ED6"/>
    <w:rsid w:val="00603194"/>
    <w:rsid w:val="006031E3"/>
    <w:rsid w:val="006032A6"/>
    <w:rsid w:val="00603446"/>
    <w:rsid w:val="00603447"/>
    <w:rsid w:val="0060345E"/>
    <w:rsid w:val="0060348A"/>
    <w:rsid w:val="0060349C"/>
    <w:rsid w:val="006036CE"/>
    <w:rsid w:val="00603733"/>
    <w:rsid w:val="006037DE"/>
    <w:rsid w:val="00603B46"/>
    <w:rsid w:val="00603B58"/>
    <w:rsid w:val="00603BB9"/>
    <w:rsid w:val="00603EFF"/>
    <w:rsid w:val="00603FC5"/>
    <w:rsid w:val="0060424F"/>
    <w:rsid w:val="00604304"/>
    <w:rsid w:val="0060468D"/>
    <w:rsid w:val="00604704"/>
    <w:rsid w:val="00604946"/>
    <w:rsid w:val="00604A65"/>
    <w:rsid w:val="00604BB7"/>
    <w:rsid w:val="00604BD7"/>
    <w:rsid w:val="00604BFF"/>
    <w:rsid w:val="00604D19"/>
    <w:rsid w:val="00604D3B"/>
    <w:rsid w:val="00604ECA"/>
    <w:rsid w:val="00604F20"/>
    <w:rsid w:val="006051F2"/>
    <w:rsid w:val="0060528D"/>
    <w:rsid w:val="006052C3"/>
    <w:rsid w:val="00605897"/>
    <w:rsid w:val="0060596D"/>
    <w:rsid w:val="00605AE7"/>
    <w:rsid w:val="00605CEB"/>
    <w:rsid w:val="00605F18"/>
    <w:rsid w:val="00605F97"/>
    <w:rsid w:val="006060D4"/>
    <w:rsid w:val="00606432"/>
    <w:rsid w:val="00606441"/>
    <w:rsid w:val="006065CF"/>
    <w:rsid w:val="0060668A"/>
    <w:rsid w:val="006067F4"/>
    <w:rsid w:val="006068E7"/>
    <w:rsid w:val="00606915"/>
    <w:rsid w:val="0060691C"/>
    <w:rsid w:val="006069AE"/>
    <w:rsid w:val="00606A4C"/>
    <w:rsid w:val="00606A54"/>
    <w:rsid w:val="00606A69"/>
    <w:rsid w:val="00606C28"/>
    <w:rsid w:val="00606C37"/>
    <w:rsid w:val="006070CE"/>
    <w:rsid w:val="00607158"/>
    <w:rsid w:val="0060719F"/>
    <w:rsid w:val="006071CF"/>
    <w:rsid w:val="006071FA"/>
    <w:rsid w:val="00607314"/>
    <w:rsid w:val="0060733D"/>
    <w:rsid w:val="00607363"/>
    <w:rsid w:val="006074DE"/>
    <w:rsid w:val="00607859"/>
    <w:rsid w:val="0060787E"/>
    <w:rsid w:val="006078D5"/>
    <w:rsid w:val="006079A4"/>
    <w:rsid w:val="006079B7"/>
    <w:rsid w:val="006079F9"/>
    <w:rsid w:val="00607B01"/>
    <w:rsid w:val="00607B30"/>
    <w:rsid w:val="00607C23"/>
    <w:rsid w:val="00607D06"/>
    <w:rsid w:val="00607E6F"/>
    <w:rsid w:val="00607F2F"/>
    <w:rsid w:val="00607FB3"/>
    <w:rsid w:val="00607FE1"/>
    <w:rsid w:val="00610092"/>
    <w:rsid w:val="006101E2"/>
    <w:rsid w:val="0061028B"/>
    <w:rsid w:val="006102B3"/>
    <w:rsid w:val="00610412"/>
    <w:rsid w:val="00610471"/>
    <w:rsid w:val="006104E8"/>
    <w:rsid w:val="0061053E"/>
    <w:rsid w:val="0061073B"/>
    <w:rsid w:val="00610752"/>
    <w:rsid w:val="00610880"/>
    <w:rsid w:val="00610AD3"/>
    <w:rsid w:val="00610C83"/>
    <w:rsid w:val="00610CE6"/>
    <w:rsid w:val="00610D7F"/>
    <w:rsid w:val="00610FDD"/>
    <w:rsid w:val="006111A6"/>
    <w:rsid w:val="00611216"/>
    <w:rsid w:val="00611231"/>
    <w:rsid w:val="006113FA"/>
    <w:rsid w:val="006115DB"/>
    <w:rsid w:val="00611921"/>
    <w:rsid w:val="00611994"/>
    <w:rsid w:val="00611A57"/>
    <w:rsid w:val="00611A85"/>
    <w:rsid w:val="00611B32"/>
    <w:rsid w:val="00611F17"/>
    <w:rsid w:val="00611FC0"/>
    <w:rsid w:val="0061204A"/>
    <w:rsid w:val="0061205F"/>
    <w:rsid w:val="006120A4"/>
    <w:rsid w:val="00612214"/>
    <w:rsid w:val="0061225C"/>
    <w:rsid w:val="0061234F"/>
    <w:rsid w:val="00612552"/>
    <w:rsid w:val="0061297C"/>
    <w:rsid w:val="00612A03"/>
    <w:rsid w:val="00613146"/>
    <w:rsid w:val="006132E8"/>
    <w:rsid w:val="0061349C"/>
    <w:rsid w:val="00613513"/>
    <w:rsid w:val="0061353A"/>
    <w:rsid w:val="00613558"/>
    <w:rsid w:val="0061363B"/>
    <w:rsid w:val="00613689"/>
    <w:rsid w:val="0061373B"/>
    <w:rsid w:val="006139F7"/>
    <w:rsid w:val="00613D0B"/>
    <w:rsid w:val="00613D12"/>
    <w:rsid w:val="00613D47"/>
    <w:rsid w:val="00613E71"/>
    <w:rsid w:val="00613E88"/>
    <w:rsid w:val="00613EF8"/>
    <w:rsid w:val="00613F3A"/>
    <w:rsid w:val="00613F8B"/>
    <w:rsid w:val="00614034"/>
    <w:rsid w:val="006140B9"/>
    <w:rsid w:val="006141AC"/>
    <w:rsid w:val="00614348"/>
    <w:rsid w:val="0061442E"/>
    <w:rsid w:val="0061447B"/>
    <w:rsid w:val="006144D5"/>
    <w:rsid w:val="0061452A"/>
    <w:rsid w:val="00614610"/>
    <w:rsid w:val="006146F5"/>
    <w:rsid w:val="00614715"/>
    <w:rsid w:val="00614795"/>
    <w:rsid w:val="006147D8"/>
    <w:rsid w:val="006147FD"/>
    <w:rsid w:val="00614895"/>
    <w:rsid w:val="00614901"/>
    <w:rsid w:val="00614AD8"/>
    <w:rsid w:val="00614C2B"/>
    <w:rsid w:val="00614D90"/>
    <w:rsid w:val="00614DE1"/>
    <w:rsid w:val="00615022"/>
    <w:rsid w:val="0061504F"/>
    <w:rsid w:val="006152FF"/>
    <w:rsid w:val="0061556B"/>
    <w:rsid w:val="00615578"/>
    <w:rsid w:val="006157D5"/>
    <w:rsid w:val="0061592D"/>
    <w:rsid w:val="00615B41"/>
    <w:rsid w:val="00615B72"/>
    <w:rsid w:val="00615CDA"/>
    <w:rsid w:val="00615D74"/>
    <w:rsid w:val="00615E24"/>
    <w:rsid w:val="00615F6B"/>
    <w:rsid w:val="00615F9D"/>
    <w:rsid w:val="00616069"/>
    <w:rsid w:val="006160B6"/>
    <w:rsid w:val="006160B9"/>
    <w:rsid w:val="0061612F"/>
    <w:rsid w:val="006161CD"/>
    <w:rsid w:val="006162EC"/>
    <w:rsid w:val="006163F3"/>
    <w:rsid w:val="0061645F"/>
    <w:rsid w:val="006164B7"/>
    <w:rsid w:val="00616610"/>
    <w:rsid w:val="00616742"/>
    <w:rsid w:val="00616940"/>
    <w:rsid w:val="00616962"/>
    <w:rsid w:val="00616A08"/>
    <w:rsid w:val="00616B4B"/>
    <w:rsid w:val="00616C85"/>
    <w:rsid w:val="00616D01"/>
    <w:rsid w:val="00616DBC"/>
    <w:rsid w:val="00616E57"/>
    <w:rsid w:val="00616F3B"/>
    <w:rsid w:val="00616F95"/>
    <w:rsid w:val="00616FDB"/>
    <w:rsid w:val="006171C0"/>
    <w:rsid w:val="0061726F"/>
    <w:rsid w:val="006172D3"/>
    <w:rsid w:val="006174D8"/>
    <w:rsid w:val="006174F8"/>
    <w:rsid w:val="006174FE"/>
    <w:rsid w:val="00617693"/>
    <w:rsid w:val="006177E2"/>
    <w:rsid w:val="00617835"/>
    <w:rsid w:val="00617AAE"/>
    <w:rsid w:val="00617B81"/>
    <w:rsid w:val="00617BBD"/>
    <w:rsid w:val="00617CC9"/>
    <w:rsid w:val="00617D42"/>
    <w:rsid w:val="00617DE0"/>
    <w:rsid w:val="00617F6D"/>
    <w:rsid w:val="0062006F"/>
    <w:rsid w:val="00620108"/>
    <w:rsid w:val="006201E7"/>
    <w:rsid w:val="006202CB"/>
    <w:rsid w:val="006205BE"/>
    <w:rsid w:val="00620751"/>
    <w:rsid w:val="006207FC"/>
    <w:rsid w:val="0062081E"/>
    <w:rsid w:val="00620854"/>
    <w:rsid w:val="006208AB"/>
    <w:rsid w:val="006208B5"/>
    <w:rsid w:val="00620945"/>
    <w:rsid w:val="00620948"/>
    <w:rsid w:val="00620A48"/>
    <w:rsid w:val="00620B15"/>
    <w:rsid w:val="00620B7F"/>
    <w:rsid w:val="00620DE7"/>
    <w:rsid w:val="00620E78"/>
    <w:rsid w:val="00620F60"/>
    <w:rsid w:val="00620FD3"/>
    <w:rsid w:val="00620FF0"/>
    <w:rsid w:val="00620FFB"/>
    <w:rsid w:val="00621041"/>
    <w:rsid w:val="00621166"/>
    <w:rsid w:val="006211A6"/>
    <w:rsid w:val="00621269"/>
    <w:rsid w:val="006213C4"/>
    <w:rsid w:val="00621420"/>
    <w:rsid w:val="00621435"/>
    <w:rsid w:val="006215CF"/>
    <w:rsid w:val="006216B6"/>
    <w:rsid w:val="006216CD"/>
    <w:rsid w:val="00621811"/>
    <w:rsid w:val="00621822"/>
    <w:rsid w:val="006218E5"/>
    <w:rsid w:val="00621929"/>
    <w:rsid w:val="006219B5"/>
    <w:rsid w:val="00621AE5"/>
    <w:rsid w:val="00621BB7"/>
    <w:rsid w:val="00621BE8"/>
    <w:rsid w:val="00621C3C"/>
    <w:rsid w:val="00621DA9"/>
    <w:rsid w:val="00621F5C"/>
    <w:rsid w:val="00622041"/>
    <w:rsid w:val="00622042"/>
    <w:rsid w:val="006220CD"/>
    <w:rsid w:val="00622168"/>
    <w:rsid w:val="0062218D"/>
    <w:rsid w:val="0062245B"/>
    <w:rsid w:val="006224BC"/>
    <w:rsid w:val="006224E6"/>
    <w:rsid w:val="00622522"/>
    <w:rsid w:val="00622568"/>
    <w:rsid w:val="00622628"/>
    <w:rsid w:val="0062267B"/>
    <w:rsid w:val="0062267D"/>
    <w:rsid w:val="0062270D"/>
    <w:rsid w:val="00622769"/>
    <w:rsid w:val="0062278B"/>
    <w:rsid w:val="00622829"/>
    <w:rsid w:val="00622AFA"/>
    <w:rsid w:val="00622B96"/>
    <w:rsid w:val="00622C2D"/>
    <w:rsid w:val="00622CCC"/>
    <w:rsid w:val="00622DAC"/>
    <w:rsid w:val="00622DD7"/>
    <w:rsid w:val="0062301D"/>
    <w:rsid w:val="006231C0"/>
    <w:rsid w:val="006232B1"/>
    <w:rsid w:val="0062331B"/>
    <w:rsid w:val="0062346F"/>
    <w:rsid w:val="00623509"/>
    <w:rsid w:val="006236C0"/>
    <w:rsid w:val="006239F5"/>
    <w:rsid w:val="00623B7A"/>
    <w:rsid w:val="00623BA0"/>
    <w:rsid w:val="00623DAB"/>
    <w:rsid w:val="00623E7B"/>
    <w:rsid w:val="00623FD0"/>
    <w:rsid w:val="0062413E"/>
    <w:rsid w:val="006241C4"/>
    <w:rsid w:val="0062424E"/>
    <w:rsid w:val="0062433F"/>
    <w:rsid w:val="00624579"/>
    <w:rsid w:val="006245B3"/>
    <w:rsid w:val="006245D8"/>
    <w:rsid w:val="00624690"/>
    <w:rsid w:val="00624852"/>
    <w:rsid w:val="006249AD"/>
    <w:rsid w:val="00624ACC"/>
    <w:rsid w:val="00624AD4"/>
    <w:rsid w:val="00624C1A"/>
    <w:rsid w:val="00624CC7"/>
    <w:rsid w:val="00624D07"/>
    <w:rsid w:val="00624ECA"/>
    <w:rsid w:val="00624F49"/>
    <w:rsid w:val="00625048"/>
    <w:rsid w:val="006250E4"/>
    <w:rsid w:val="00625146"/>
    <w:rsid w:val="0062514E"/>
    <w:rsid w:val="0062515B"/>
    <w:rsid w:val="0062518D"/>
    <w:rsid w:val="0062525C"/>
    <w:rsid w:val="0062534C"/>
    <w:rsid w:val="006254A5"/>
    <w:rsid w:val="00625662"/>
    <w:rsid w:val="00625678"/>
    <w:rsid w:val="00625952"/>
    <w:rsid w:val="006259A1"/>
    <w:rsid w:val="00625A14"/>
    <w:rsid w:val="00625A2A"/>
    <w:rsid w:val="00625BC1"/>
    <w:rsid w:val="00625D04"/>
    <w:rsid w:val="00625D83"/>
    <w:rsid w:val="00625DF5"/>
    <w:rsid w:val="00625E94"/>
    <w:rsid w:val="00625F00"/>
    <w:rsid w:val="00625F1D"/>
    <w:rsid w:val="00625F36"/>
    <w:rsid w:val="00625F92"/>
    <w:rsid w:val="0062601B"/>
    <w:rsid w:val="0062614F"/>
    <w:rsid w:val="00626161"/>
    <w:rsid w:val="006262D1"/>
    <w:rsid w:val="006262E3"/>
    <w:rsid w:val="006262E9"/>
    <w:rsid w:val="0062635E"/>
    <w:rsid w:val="0062640D"/>
    <w:rsid w:val="00626578"/>
    <w:rsid w:val="006268AD"/>
    <w:rsid w:val="00626965"/>
    <w:rsid w:val="006269B6"/>
    <w:rsid w:val="006269C6"/>
    <w:rsid w:val="006269FF"/>
    <w:rsid w:val="00626A5B"/>
    <w:rsid w:val="00626B7F"/>
    <w:rsid w:val="00626BEC"/>
    <w:rsid w:val="00626D14"/>
    <w:rsid w:val="00626E7B"/>
    <w:rsid w:val="006270E6"/>
    <w:rsid w:val="006270FD"/>
    <w:rsid w:val="006272F4"/>
    <w:rsid w:val="006272FB"/>
    <w:rsid w:val="006273AA"/>
    <w:rsid w:val="006274BC"/>
    <w:rsid w:val="006275EE"/>
    <w:rsid w:val="006276B0"/>
    <w:rsid w:val="0062788E"/>
    <w:rsid w:val="00627897"/>
    <w:rsid w:val="0062793A"/>
    <w:rsid w:val="006279D1"/>
    <w:rsid w:val="00627A76"/>
    <w:rsid w:val="00627BE7"/>
    <w:rsid w:val="00627D16"/>
    <w:rsid w:val="00627D4A"/>
    <w:rsid w:val="00627F74"/>
    <w:rsid w:val="00627F7E"/>
    <w:rsid w:val="00627F8B"/>
    <w:rsid w:val="00630080"/>
    <w:rsid w:val="006300B2"/>
    <w:rsid w:val="00630217"/>
    <w:rsid w:val="00630354"/>
    <w:rsid w:val="00630515"/>
    <w:rsid w:val="00630526"/>
    <w:rsid w:val="006305C9"/>
    <w:rsid w:val="00630604"/>
    <w:rsid w:val="006306BF"/>
    <w:rsid w:val="00630866"/>
    <w:rsid w:val="00630AA6"/>
    <w:rsid w:val="00630D60"/>
    <w:rsid w:val="00630D98"/>
    <w:rsid w:val="00630E42"/>
    <w:rsid w:val="0063102F"/>
    <w:rsid w:val="006311D3"/>
    <w:rsid w:val="006311E1"/>
    <w:rsid w:val="0063140B"/>
    <w:rsid w:val="006314E6"/>
    <w:rsid w:val="00631563"/>
    <w:rsid w:val="00631620"/>
    <w:rsid w:val="00631660"/>
    <w:rsid w:val="00631959"/>
    <w:rsid w:val="00631A26"/>
    <w:rsid w:val="00631CA1"/>
    <w:rsid w:val="00631D59"/>
    <w:rsid w:val="00631E2F"/>
    <w:rsid w:val="00631FD1"/>
    <w:rsid w:val="0063204A"/>
    <w:rsid w:val="006321B5"/>
    <w:rsid w:val="0063247D"/>
    <w:rsid w:val="006325EF"/>
    <w:rsid w:val="006329BE"/>
    <w:rsid w:val="00632D7B"/>
    <w:rsid w:val="00633016"/>
    <w:rsid w:val="006330BD"/>
    <w:rsid w:val="00633234"/>
    <w:rsid w:val="006332CA"/>
    <w:rsid w:val="006332E9"/>
    <w:rsid w:val="006333D0"/>
    <w:rsid w:val="0063342E"/>
    <w:rsid w:val="006335F3"/>
    <w:rsid w:val="00633636"/>
    <w:rsid w:val="00633699"/>
    <w:rsid w:val="006338C6"/>
    <w:rsid w:val="006338ED"/>
    <w:rsid w:val="00633918"/>
    <w:rsid w:val="00633994"/>
    <w:rsid w:val="00633AB6"/>
    <w:rsid w:val="00633F10"/>
    <w:rsid w:val="00633F55"/>
    <w:rsid w:val="006340B1"/>
    <w:rsid w:val="0063415A"/>
    <w:rsid w:val="006342D2"/>
    <w:rsid w:val="006343E9"/>
    <w:rsid w:val="00634482"/>
    <w:rsid w:val="006344CA"/>
    <w:rsid w:val="006344F5"/>
    <w:rsid w:val="0063473C"/>
    <w:rsid w:val="006348CC"/>
    <w:rsid w:val="006349B4"/>
    <w:rsid w:val="006349C8"/>
    <w:rsid w:val="00634B8B"/>
    <w:rsid w:val="00634BF5"/>
    <w:rsid w:val="00634C24"/>
    <w:rsid w:val="00634C66"/>
    <w:rsid w:val="00634E92"/>
    <w:rsid w:val="00634EA2"/>
    <w:rsid w:val="00634EA3"/>
    <w:rsid w:val="00634F3E"/>
    <w:rsid w:val="006351EA"/>
    <w:rsid w:val="00635319"/>
    <w:rsid w:val="006353E2"/>
    <w:rsid w:val="006354FB"/>
    <w:rsid w:val="0063558D"/>
    <w:rsid w:val="00635623"/>
    <w:rsid w:val="006357E4"/>
    <w:rsid w:val="0063581E"/>
    <w:rsid w:val="00635A11"/>
    <w:rsid w:val="00635B5E"/>
    <w:rsid w:val="00635E82"/>
    <w:rsid w:val="00635EE5"/>
    <w:rsid w:val="00635EEB"/>
    <w:rsid w:val="00636081"/>
    <w:rsid w:val="00636189"/>
    <w:rsid w:val="006363D5"/>
    <w:rsid w:val="0063652C"/>
    <w:rsid w:val="006365A7"/>
    <w:rsid w:val="0063667E"/>
    <w:rsid w:val="006366EE"/>
    <w:rsid w:val="00636713"/>
    <w:rsid w:val="0063693F"/>
    <w:rsid w:val="00636C08"/>
    <w:rsid w:val="00636D00"/>
    <w:rsid w:val="00636D45"/>
    <w:rsid w:val="00636D7A"/>
    <w:rsid w:val="00636D8E"/>
    <w:rsid w:val="00636E42"/>
    <w:rsid w:val="00636FBB"/>
    <w:rsid w:val="00637098"/>
    <w:rsid w:val="006371C0"/>
    <w:rsid w:val="006373D3"/>
    <w:rsid w:val="0063743B"/>
    <w:rsid w:val="00637530"/>
    <w:rsid w:val="00637743"/>
    <w:rsid w:val="00637780"/>
    <w:rsid w:val="00637955"/>
    <w:rsid w:val="00637A56"/>
    <w:rsid w:val="00637CE6"/>
    <w:rsid w:val="00637F4F"/>
    <w:rsid w:val="006400DB"/>
    <w:rsid w:val="00640187"/>
    <w:rsid w:val="00640255"/>
    <w:rsid w:val="00640272"/>
    <w:rsid w:val="006402A5"/>
    <w:rsid w:val="0064031A"/>
    <w:rsid w:val="00640454"/>
    <w:rsid w:val="00640486"/>
    <w:rsid w:val="0064051F"/>
    <w:rsid w:val="0064053F"/>
    <w:rsid w:val="0064067D"/>
    <w:rsid w:val="006406BD"/>
    <w:rsid w:val="00640719"/>
    <w:rsid w:val="00640738"/>
    <w:rsid w:val="006408CB"/>
    <w:rsid w:val="00640938"/>
    <w:rsid w:val="00640A6F"/>
    <w:rsid w:val="00640AEF"/>
    <w:rsid w:val="00640BE7"/>
    <w:rsid w:val="00640CC0"/>
    <w:rsid w:val="00640E83"/>
    <w:rsid w:val="00640F13"/>
    <w:rsid w:val="00640FC9"/>
    <w:rsid w:val="00641148"/>
    <w:rsid w:val="006413D6"/>
    <w:rsid w:val="00641622"/>
    <w:rsid w:val="00641862"/>
    <w:rsid w:val="0064186C"/>
    <w:rsid w:val="00641B6F"/>
    <w:rsid w:val="00641B7F"/>
    <w:rsid w:val="00641C03"/>
    <w:rsid w:val="00641C2E"/>
    <w:rsid w:val="00641DFF"/>
    <w:rsid w:val="00641E59"/>
    <w:rsid w:val="00641EA7"/>
    <w:rsid w:val="00642016"/>
    <w:rsid w:val="00642304"/>
    <w:rsid w:val="006423A4"/>
    <w:rsid w:val="006423A5"/>
    <w:rsid w:val="006424DC"/>
    <w:rsid w:val="00642506"/>
    <w:rsid w:val="0064254D"/>
    <w:rsid w:val="006425BC"/>
    <w:rsid w:val="00642636"/>
    <w:rsid w:val="00642A51"/>
    <w:rsid w:val="00642AD1"/>
    <w:rsid w:val="00642AD6"/>
    <w:rsid w:val="00642B85"/>
    <w:rsid w:val="00642C80"/>
    <w:rsid w:val="00642DAB"/>
    <w:rsid w:val="00642E40"/>
    <w:rsid w:val="00642EB0"/>
    <w:rsid w:val="00642EFE"/>
    <w:rsid w:val="00642F03"/>
    <w:rsid w:val="00642F7B"/>
    <w:rsid w:val="006430F6"/>
    <w:rsid w:val="006431C0"/>
    <w:rsid w:val="0064357C"/>
    <w:rsid w:val="00643597"/>
    <w:rsid w:val="00643801"/>
    <w:rsid w:val="006438F1"/>
    <w:rsid w:val="00643B21"/>
    <w:rsid w:val="00643B46"/>
    <w:rsid w:val="00643B48"/>
    <w:rsid w:val="00643E24"/>
    <w:rsid w:val="00643E41"/>
    <w:rsid w:val="00643ED7"/>
    <w:rsid w:val="006441FF"/>
    <w:rsid w:val="00644202"/>
    <w:rsid w:val="006442D2"/>
    <w:rsid w:val="00644637"/>
    <w:rsid w:val="006446CC"/>
    <w:rsid w:val="00644872"/>
    <w:rsid w:val="00644892"/>
    <w:rsid w:val="00644899"/>
    <w:rsid w:val="006449DB"/>
    <w:rsid w:val="006449EE"/>
    <w:rsid w:val="006449FF"/>
    <w:rsid w:val="00644A41"/>
    <w:rsid w:val="00644E3D"/>
    <w:rsid w:val="006450AA"/>
    <w:rsid w:val="006450B9"/>
    <w:rsid w:val="006450FF"/>
    <w:rsid w:val="006452B4"/>
    <w:rsid w:val="006453EC"/>
    <w:rsid w:val="00645419"/>
    <w:rsid w:val="00645443"/>
    <w:rsid w:val="006454AC"/>
    <w:rsid w:val="00645691"/>
    <w:rsid w:val="00645708"/>
    <w:rsid w:val="00645816"/>
    <w:rsid w:val="00645960"/>
    <w:rsid w:val="00645C11"/>
    <w:rsid w:val="00645DE5"/>
    <w:rsid w:val="00645E21"/>
    <w:rsid w:val="0064605C"/>
    <w:rsid w:val="006461AF"/>
    <w:rsid w:val="0064634D"/>
    <w:rsid w:val="0064637D"/>
    <w:rsid w:val="0064656C"/>
    <w:rsid w:val="006465AA"/>
    <w:rsid w:val="00646627"/>
    <w:rsid w:val="0064666C"/>
    <w:rsid w:val="00646692"/>
    <w:rsid w:val="006466A1"/>
    <w:rsid w:val="00646782"/>
    <w:rsid w:val="00646792"/>
    <w:rsid w:val="00646802"/>
    <w:rsid w:val="006468C3"/>
    <w:rsid w:val="006468C6"/>
    <w:rsid w:val="00646A91"/>
    <w:rsid w:val="00646CBA"/>
    <w:rsid w:val="00646CCF"/>
    <w:rsid w:val="00646D97"/>
    <w:rsid w:val="00646E4A"/>
    <w:rsid w:val="00647270"/>
    <w:rsid w:val="006472AE"/>
    <w:rsid w:val="006473ED"/>
    <w:rsid w:val="006476D4"/>
    <w:rsid w:val="00647703"/>
    <w:rsid w:val="00647973"/>
    <w:rsid w:val="00647A65"/>
    <w:rsid w:val="00647AA6"/>
    <w:rsid w:val="00647B0D"/>
    <w:rsid w:val="00647C0A"/>
    <w:rsid w:val="00647CD0"/>
    <w:rsid w:val="00647E41"/>
    <w:rsid w:val="00647F24"/>
    <w:rsid w:val="00647FD3"/>
    <w:rsid w:val="00647FF0"/>
    <w:rsid w:val="00650077"/>
    <w:rsid w:val="006500C7"/>
    <w:rsid w:val="00650180"/>
    <w:rsid w:val="00650213"/>
    <w:rsid w:val="0065024E"/>
    <w:rsid w:val="00650265"/>
    <w:rsid w:val="006503A1"/>
    <w:rsid w:val="0065042F"/>
    <w:rsid w:val="006504D3"/>
    <w:rsid w:val="00650519"/>
    <w:rsid w:val="006505F6"/>
    <w:rsid w:val="006508AE"/>
    <w:rsid w:val="006508C4"/>
    <w:rsid w:val="0065096A"/>
    <w:rsid w:val="00650A25"/>
    <w:rsid w:val="00650E04"/>
    <w:rsid w:val="00650F19"/>
    <w:rsid w:val="00650FF4"/>
    <w:rsid w:val="00651217"/>
    <w:rsid w:val="006512CB"/>
    <w:rsid w:val="00651347"/>
    <w:rsid w:val="00651391"/>
    <w:rsid w:val="006513C8"/>
    <w:rsid w:val="0065148A"/>
    <w:rsid w:val="0065154B"/>
    <w:rsid w:val="006515A4"/>
    <w:rsid w:val="0065173B"/>
    <w:rsid w:val="006519EE"/>
    <w:rsid w:val="00651ACB"/>
    <w:rsid w:val="00651ADA"/>
    <w:rsid w:val="00651B36"/>
    <w:rsid w:val="00651D37"/>
    <w:rsid w:val="00651D70"/>
    <w:rsid w:val="00651DF7"/>
    <w:rsid w:val="00651E53"/>
    <w:rsid w:val="00651E82"/>
    <w:rsid w:val="00652188"/>
    <w:rsid w:val="006521CD"/>
    <w:rsid w:val="006521F1"/>
    <w:rsid w:val="00652411"/>
    <w:rsid w:val="00652469"/>
    <w:rsid w:val="00652489"/>
    <w:rsid w:val="00652496"/>
    <w:rsid w:val="006524EB"/>
    <w:rsid w:val="006525A5"/>
    <w:rsid w:val="006525CA"/>
    <w:rsid w:val="00652622"/>
    <w:rsid w:val="00652860"/>
    <w:rsid w:val="0065291B"/>
    <w:rsid w:val="00652B22"/>
    <w:rsid w:val="00652B2D"/>
    <w:rsid w:val="00652B30"/>
    <w:rsid w:val="00652C98"/>
    <w:rsid w:val="00652C9B"/>
    <w:rsid w:val="00652CDD"/>
    <w:rsid w:val="00652F10"/>
    <w:rsid w:val="00652F15"/>
    <w:rsid w:val="00652F3F"/>
    <w:rsid w:val="00653031"/>
    <w:rsid w:val="00653085"/>
    <w:rsid w:val="006530CF"/>
    <w:rsid w:val="00653158"/>
    <w:rsid w:val="006532CB"/>
    <w:rsid w:val="0065336D"/>
    <w:rsid w:val="00653432"/>
    <w:rsid w:val="0065354C"/>
    <w:rsid w:val="0065361E"/>
    <w:rsid w:val="006536F9"/>
    <w:rsid w:val="0065371B"/>
    <w:rsid w:val="006538B9"/>
    <w:rsid w:val="00653926"/>
    <w:rsid w:val="0065394C"/>
    <w:rsid w:val="0065399C"/>
    <w:rsid w:val="006539D9"/>
    <w:rsid w:val="00653C11"/>
    <w:rsid w:val="00653CA6"/>
    <w:rsid w:val="00653E97"/>
    <w:rsid w:val="006541FC"/>
    <w:rsid w:val="006545C9"/>
    <w:rsid w:val="006545F0"/>
    <w:rsid w:val="0065463E"/>
    <w:rsid w:val="006547DB"/>
    <w:rsid w:val="006547F0"/>
    <w:rsid w:val="006549A1"/>
    <w:rsid w:val="00654A28"/>
    <w:rsid w:val="00654A5B"/>
    <w:rsid w:val="00654B00"/>
    <w:rsid w:val="00654B35"/>
    <w:rsid w:val="00654BFA"/>
    <w:rsid w:val="00654BFD"/>
    <w:rsid w:val="00654C83"/>
    <w:rsid w:val="00654C91"/>
    <w:rsid w:val="00654D78"/>
    <w:rsid w:val="00654D90"/>
    <w:rsid w:val="00654D92"/>
    <w:rsid w:val="00654DFB"/>
    <w:rsid w:val="00654E65"/>
    <w:rsid w:val="00654EDF"/>
    <w:rsid w:val="00655229"/>
    <w:rsid w:val="00655372"/>
    <w:rsid w:val="0065539B"/>
    <w:rsid w:val="00655476"/>
    <w:rsid w:val="006554EF"/>
    <w:rsid w:val="00655694"/>
    <w:rsid w:val="006556FC"/>
    <w:rsid w:val="0065573A"/>
    <w:rsid w:val="0065576F"/>
    <w:rsid w:val="006557F6"/>
    <w:rsid w:val="0065597B"/>
    <w:rsid w:val="0065598D"/>
    <w:rsid w:val="006559C5"/>
    <w:rsid w:val="00655A88"/>
    <w:rsid w:val="00655C73"/>
    <w:rsid w:val="00655CEA"/>
    <w:rsid w:val="00655D10"/>
    <w:rsid w:val="00655D11"/>
    <w:rsid w:val="00655E46"/>
    <w:rsid w:val="00655E4E"/>
    <w:rsid w:val="00655FE0"/>
    <w:rsid w:val="006561FB"/>
    <w:rsid w:val="00656224"/>
    <w:rsid w:val="0065623D"/>
    <w:rsid w:val="006562A8"/>
    <w:rsid w:val="00656331"/>
    <w:rsid w:val="00656434"/>
    <w:rsid w:val="006565E4"/>
    <w:rsid w:val="00656776"/>
    <w:rsid w:val="00656833"/>
    <w:rsid w:val="00656918"/>
    <w:rsid w:val="00656A00"/>
    <w:rsid w:val="00656AEC"/>
    <w:rsid w:val="00656B6D"/>
    <w:rsid w:val="00656C03"/>
    <w:rsid w:val="00656D2A"/>
    <w:rsid w:val="00656D41"/>
    <w:rsid w:val="00656DA2"/>
    <w:rsid w:val="00656E1F"/>
    <w:rsid w:val="00656E90"/>
    <w:rsid w:val="00656EB5"/>
    <w:rsid w:val="00657195"/>
    <w:rsid w:val="0065722F"/>
    <w:rsid w:val="0065756E"/>
    <w:rsid w:val="0065764E"/>
    <w:rsid w:val="006576A5"/>
    <w:rsid w:val="0065786E"/>
    <w:rsid w:val="00657A56"/>
    <w:rsid w:val="00657ADC"/>
    <w:rsid w:val="00657B19"/>
    <w:rsid w:val="00657BF3"/>
    <w:rsid w:val="00657C1D"/>
    <w:rsid w:val="00657C5C"/>
    <w:rsid w:val="00657D9E"/>
    <w:rsid w:val="00657DE5"/>
    <w:rsid w:val="00657EFE"/>
    <w:rsid w:val="006601BA"/>
    <w:rsid w:val="00660240"/>
    <w:rsid w:val="00660299"/>
    <w:rsid w:val="006604B0"/>
    <w:rsid w:val="006604F9"/>
    <w:rsid w:val="00660506"/>
    <w:rsid w:val="006605D3"/>
    <w:rsid w:val="00660774"/>
    <w:rsid w:val="006607E0"/>
    <w:rsid w:val="00660875"/>
    <w:rsid w:val="006608CD"/>
    <w:rsid w:val="0066097F"/>
    <w:rsid w:val="00660B06"/>
    <w:rsid w:val="00660B11"/>
    <w:rsid w:val="00660C95"/>
    <w:rsid w:val="00660FD5"/>
    <w:rsid w:val="006610B9"/>
    <w:rsid w:val="006610C1"/>
    <w:rsid w:val="0066110F"/>
    <w:rsid w:val="00661209"/>
    <w:rsid w:val="00661378"/>
    <w:rsid w:val="0066139C"/>
    <w:rsid w:val="006614DD"/>
    <w:rsid w:val="006616C4"/>
    <w:rsid w:val="00661814"/>
    <w:rsid w:val="00661A24"/>
    <w:rsid w:val="00661A40"/>
    <w:rsid w:val="00661A98"/>
    <w:rsid w:val="00661A9C"/>
    <w:rsid w:val="00661AE1"/>
    <w:rsid w:val="00661D17"/>
    <w:rsid w:val="00661E17"/>
    <w:rsid w:val="006620AD"/>
    <w:rsid w:val="00662134"/>
    <w:rsid w:val="006624C3"/>
    <w:rsid w:val="006624EB"/>
    <w:rsid w:val="0066254A"/>
    <w:rsid w:val="006625E7"/>
    <w:rsid w:val="0066274D"/>
    <w:rsid w:val="00662931"/>
    <w:rsid w:val="00662949"/>
    <w:rsid w:val="00662970"/>
    <w:rsid w:val="00662A44"/>
    <w:rsid w:val="00662AA9"/>
    <w:rsid w:val="00662ADD"/>
    <w:rsid w:val="00662B90"/>
    <w:rsid w:val="00662E36"/>
    <w:rsid w:val="00663275"/>
    <w:rsid w:val="0066337B"/>
    <w:rsid w:val="00663581"/>
    <w:rsid w:val="006636FD"/>
    <w:rsid w:val="0066371E"/>
    <w:rsid w:val="00663762"/>
    <w:rsid w:val="00663783"/>
    <w:rsid w:val="00663942"/>
    <w:rsid w:val="00663998"/>
    <w:rsid w:val="00663A36"/>
    <w:rsid w:val="00663B5F"/>
    <w:rsid w:val="00663BA0"/>
    <w:rsid w:val="00663BB0"/>
    <w:rsid w:val="00663CD1"/>
    <w:rsid w:val="00663D2D"/>
    <w:rsid w:val="00663D47"/>
    <w:rsid w:val="00663F46"/>
    <w:rsid w:val="00663F4F"/>
    <w:rsid w:val="006640EA"/>
    <w:rsid w:val="0066427D"/>
    <w:rsid w:val="0066448A"/>
    <w:rsid w:val="006644C5"/>
    <w:rsid w:val="00664538"/>
    <w:rsid w:val="00664554"/>
    <w:rsid w:val="0066456C"/>
    <w:rsid w:val="0066466F"/>
    <w:rsid w:val="006646BB"/>
    <w:rsid w:val="00664A5F"/>
    <w:rsid w:val="00664CA5"/>
    <w:rsid w:val="00664CDD"/>
    <w:rsid w:val="00664CF4"/>
    <w:rsid w:val="00664D50"/>
    <w:rsid w:val="00664D81"/>
    <w:rsid w:val="00664E1B"/>
    <w:rsid w:val="00664E41"/>
    <w:rsid w:val="00664F90"/>
    <w:rsid w:val="00664FFA"/>
    <w:rsid w:val="0066507B"/>
    <w:rsid w:val="0066537B"/>
    <w:rsid w:val="00665387"/>
    <w:rsid w:val="00665445"/>
    <w:rsid w:val="006654C8"/>
    <w:rsid w:val="00665956"/>
    <w:rsid w:val="006659BA"/>
    <w:rsid w:val="00665A1E"/>
    <w:rsid w:val="00665A36"/>
    <w:rsid w:val="00665C76"/>
    <w:rsid w:val="00665CDA"/>
    <w:rsid w:val="00665EEA"/>
    <w:rsid w:val="00665F92"/>
    <w:rsid w:val="0066629D"/>
    <w:rsid w:val="006662DA"/>
    <w:rsid w:val="006663BD"/>
    <w:rsid w:val="00666436"/>
    <w:rsid w:val="006664D5"/>
    <w:rsid w:val="0066658C"/>
    <w:rsid w:val="006665C0"/>
    <w:rsid w:val="00666664"/>
    <w:rsid w:val="0066667C"/>
    <w:rsid w:val="006666C1"/>
    <w:rsid w:val="006666DA"/>
    <w:rsid w:val="00666746"/>
    <w:rsid w:val="00666763"/>
    <w:rsid w:val="00666870"/>
    <w:rsid w:val="00666986"/>
    <w:rsid w:val="00666A53"/>
    <w:rsid w:val="00666A7D"/>
    <w:rsid w:val="00666B23"/>
    <w:rsid w:val="00666C32"/>
    <w:rsid w:val="00666C37"/>
    <w:rsid w:val="00666D74"/>
    <w:rsid w:val="00666DB1"/>
    <w:rsid w:val="00666F1E"/>
    <w:rsid w:val="0066700C"/>
    <w:rsid w:val="00667082"/>
    <w:rsid w:val="00667167"/>
    <w:rsid w:val="0066718C"/>
    <w:rsid w:val="006671B5"/>
    <w:rsid w:val="00667204"/>
    <w:rsid w:val="00667217"/>
    <w:rsid w:val="00667237"/>
    <w:rsid w:val="0066736C"/>
    <w:rsid w:val="006673E6"/>
    <w:rsid w:val="006674DE"/>
    <w:rsid w:val="00667707"/>
    <w:rsid w:val="006678AF"/>
    <w:rsid w:val="0066790A"/>
    <w:rsid w:val="00667A90"/>
    <w:rsid w:val="00667AC1"/>
    <w:rsid w:val="00667B60"/>
    <w:rsid w:val="00667B7B"/>
    <w:rsid w:val="00667DC2"/>
    <w:rsid w:val="00667E09"/>
    <w:rsid w:val="00667E51"/>
    <w:rsid w:val="00667E5B"/>
    <w:rsid w:val="006702B3"/>
    <w:rsid w:val="006702ED"/>
    <w:rsid w:val="006703FC"/>
    <w:rsid w:val="006704E6"/>
    <w:rsid w:val="006706C7"/>
    <w:rsid w:val="0067085A"/>
    <w:rsid w:val="00670877"/>
    <w:rsid w:val="0067094B"/>
    <w:rsid w:val="00670A02"/>
    <w:rsid w:val="00670A7D"/>
    <w:rsid w:val="00670ECC"/>
    <w:rsid w:val="00671318"/>
    <w:rsid w:val="006714EE"/>
    <w:rsid w:val="0067166A"/>
    <w:rsid w:val="006716A3"/>
    <w:rsid w:val="006717DE"/>
    <w:rsid w:val="00671964"/>
    <w:rsid w:val="0067197F"/>
    <w:rsid w:val="00671AE8"/>
    <w:rsid w:val="00671B0A"/>
    <w:rsid w:val="00671D58"/>
    <w:rsid w:val="00671DA3"/>
    <w:rsid w:val="00671E39"/>
    <w:rsid w:val="00671F53"/>
    <w:rsid w:val="00671F60"/>
    <w:rsid w:val="00672119"/>
    <w:rsid w:val="0067251A"/>
    <w:rsid w:val="0067285F"/>
    <w:rsid w:val="00672B53"/>
    <w:rsid w:val="00672D14"/>
    <w:rsid w:val="00672DB5"/>
    <w:rsid w:val="00672E01"/>
    <w:rsid w:val="00673169"/>
    <w:rsid w:val="0067335D"/>
    <w:rsid w:val="006734C6"/>
    <w:rsid w:val="00673551"/>
    <w:rsid w:val="00673749"/>
    <w:rsid w:val="006737C9"/>
    <w:rsid w:val="0067380E"/>
    <w:rsid w:val="00673816"/>
    <w:rsid w:val="00673881"/>
    <w:rsid w:val="00673A39"/>
    <w:rsid w:val="00673D5F"/>
    <w:rsid w:val="00673D67"/>
    <w:rsid w:val="00673E44"/>
    <w:rsid w:val="00673EF5"/>
    <w:rsid w:val="00673F64"/>
    <w:rsid w:val="00673F8F"/>
    <w:rsid w:val="006740BD"/>
    <w:rsid w:val="006740BF"/>
    <w:rsid w:val="006740E1"/>
    <w:rsid w:val="006741CC"/>
    <w:rsid w:val="0067434B"/>
    <w:rsid w:val="00674643"/>
    <w:rsid w:val="00674755"/>
    <w:rsid w:val="0067483F"/>
    <w:rsid w:val="00674923"/>
    <w:rsid w:val="00674B47"/>
    <w:rsid w:val="00674C8E"/>
    <w:rsid w:val="00674DEB"/>
    <w:rsid w:val="00674DF6"/>
    <w:rsid w:val="0067501B"/>
    <w:rsid w:val="0067506F"/>
    <w:rsid w:val="006750EF"/>
    <w:rsid w:val="0067513B"/>
    <w:rsid w:val="0067515A"/>
    <w:rsid w:val="00675197"/>
    <w:rsid w:val="0067538F"/>
    <w:rsid w:val="006755C1"/>
    <w:rsid w:val="00675716"/>
    <w:rsid w:val="00675729"/>
    <w:rsid w:val="00675851"/>
    <w:rsid w:val="00675982"/>
    <w:rsid w:val="00675A7F"/>
    <w:rsid w:val="00675AC8"/>
    <w:rsid w:val="00675AEB"/>
    <w:rsid w:val="00675B34"/>
    <w:rsid w:val="00675BFD"/>
    <w:rsid w:val="00675C36"/>
    <w:rsid w:val="00675E4C"/>
    <w:rsid w:val="00675F06"/>
    <w:rsid w:val="00675F91"/>
    <w:rsid w:val="00675FDE"/>
    <w:rsid w:val="00675FE6"/>
    <w:rsid w:val="00676012"/>
    <w:rsid w:val="006762DC"/>
    <w:rsid w:val="00676396"/>
    <w:rsid w:val="00676514"/>
    <w:rsid w:val="006767D6"/>
    <w:rsid w:val="00676B4E"/>
    <w:rsid w:val="00676B84"/>
    <w:rsid w:val="00676FFF"/>
    <w:rsid w:val="0067702C"/>
    <w:rsid w:val="006770C0"/>
    <w:rsid w:val="00677149"/>
    <w:rsid w:val="006772B1"/>
    <w:rsid w:val="00677346"/>
    <w:rsid w:val="006774B2"/>
    <w:rsid w:val="006774EF"/>
    <w:rsid w:val="0067751B"/>
    <w:rsid w:val="006778B9"/>
    <w:rsid w:val="00677B47"/>
    <w:rsid w:val="00677BAD"/>
    <w:rsid w:val="00677C90"/>
    <w:rsid w:val="00677CFC"/>
    <w:rsid w:val="00677E92"/>
    <w:rsid w:val="00677F0B"/>
    <w:rsid w:val="00677F92"/>
    <w:rsid w:val="006800E0"/>
    <w:rsid w:val="0068012D"/>
    <w:rsid w:val="00680410"/>
    <w:rsid w:val="00680532"/>
    <w:rsid w:val="00680559"/>
    <w:rsid w:val="00680578"/>
    <w:rsid w:val="006805CE"/>
    <w:rsid w:val="006805E0"/>
    <w:rsid w:val="00680617"/>
    <w:rsid w:val="00680651"/>
    <w:rsid w:val="006807F7"/>
    <w:rsid w:val="0068098D"/>
    <w:rsid w:val="00680A5B"/>
    <w:rsid w:val="00680B71"/>
    <w:rsid w:val="00680BC8"/>
    <w:rsid w:val="00680E2D"/>
    <w:rsid w:val="00680E2E"/>
    <w:rsid w:val="00680E30"/>
    <w:rsid w:val="00680E4C"/>
    <w:rsid w:val="006810D8"/>
    <w:rsid w:val="0068115C"/>
    <w:rsid w:val="00681335"/>
    <w:rsid w:val="00681417"/>
    <w:rsid w:val="00681500"/>
    <w:rsid w:val="006817F1"/>
    <w:rsid w:val="00681888"/>
    <w:rsid w:val="0068196E"/>
    <w:rsid w:val="00681A11"/>
    <w:rsid w:val="00681AE7"/>
    <w:rsid w:val="00681AFE"/>
    <w:rsid w:val="00681B59"/>
    <w:rsid w:val="00681BF4"/>
    <w:rsid w:val="00681C56"/>
    <w:rsid w:val="00681FF6"/>
    <w:rsid w:val="00682082"/>
    <w:rsid w:val="006820F2"/>
    <w:rsid w:val="006821FB"/>
    <w:rsid w:val="0068227B"/>
    <w:rsid w:val="00682283"/>
    <w:rsid w:val="00682411"/>
    <w:rsid w:val="006824A1"/>
    <w:rsid w:val="006824C3"/>
    <w:rsid w:val="00682538"/>
    <w:rsid w:val="006829C2"/>
    <w:rsid w:val="00682A84"/>
    <w:rsid w:val="00682D85"/>
    <w:rsid w:val="00682EDE"/>
    <w:rsid w:val="00682F87"/>
    <w:rsid w:val="00683046"/>
    <w:rsid w:val="00683051"/>
    <w:rsid w:val="006830F6"/>
    <w:rsid w:val="006831F6"/>
    <w:rsid w:val="0068323B"/>
    <w:rsid w:val="006832A6"/>
    <w:rsid w:val="0068333D"/>
    <w:rsid w:val="006833E3"/>
    <w:rsid w:val="00683533"/>
    <w:rsid w:val="00683694"/>
    <w:rsid w:val="006836B7"/>
    <w:rsid w:val="006836CB"/>
    <w:rsid w:val="00683705"/>
    <w:rsid w:val="00683799"/>
    <w:rsid w:val="00683A70"/>
    <w:rsid w:val="00683B68"/>
    <w:rsid w:val="00683C1E"/>
    <w:rsid w:val="00683D17"/>
    <w:rsid w:val="00683E1E"/>
    <w:rsid w:val="00683ED4"/>
    <w:rsid w:val="00684051"/>
    <w:rsid w:val="00684095"/>
    <w:rsid w:val="00684792"/>
    <w:rsid w:val="00684889"/>
    <w:rsid w:val="0068496A"/>
    <w:rsid w:val="00684B12"/>
    <w:rsid w:val="00684B65"/>
    <w:rsid w:val="00684C9A"/>
    <w:rsid w:val="00684F00"/>
    <w:rsid w:val="00684FAC"/>
    <w:rsid w:val="0068516C"/>
    <w:rsid w:val="006851AF"/>
    <w:rsid w:val="006851FC"/>
    <w:rsid w:val="0068527E"/>
    <w:rsid w:val="0068528D"/>
    <w:rsid w:val="006852D2"/>
    <w:rsid w:val="00685353"/>
    <w:rsid w:val="006853E1"/>
    <w:rsid w:val="006854DF"/>
    <w:rsid w:val="0068554A"/>
    <w:rsid w:val="0068556E"/>
    <w:rsid w:val="006855AE"/>
    <w:rsid w:val="00685615"/>
    <w:rsid w:val="0068561E"/>
    <w:rsid w:val="006856BF"/>
    <w:rsid w:val="006856DC"/>
    <w:rsid w:val="006857BF"/>
    <w:rsid w:val="0068582C"/>
    <w:rsid w:val="006858AB"/>
    <w:rsid w:val="00685A38"/>
    <w:rsid w:val="00685E1E"/>
    <w:rsid w:val="00685E7F"/>
    <w:rsid w:val="00685F92"/>
    <w:rsid w:val="00685FF9"/>
    <w:rsid w:val="0068613A"/>
    <w:rsid w:val="006863D1"/>
    <w:rsid w:val="00686477"/>
    <w:rsid w:val="006865C4"/>
    <w:rsid w:val="00686694"/>
    <w:rsid w:val="006866CC"/>
    <w:rsid w:val="00686973"/>
    <w:rsid w:val="006869E2"/>
    <w:rsid w:val="00686A80"/>
    <w:rsid w:val="00686AC2"/>
    <w:rsid w:val="00686DF8"/>
    <w:rsid w:val="00686E6E"/>
    <w:rsid w:val="00686F22"/>
    <w:rsid w:val="00687033"/>
    <w:rsid w:val="00687158"/>
    <w:rsid w:val="006871CC"/>
    <w:rsid w:val="006871D3"/>
    <w:rsid w:val="0068741F"/>
    <w:rsid w:val="00687673"/>
    <w:rsid w:val="0068767A"/>
    <w:rsid w:val="006876E8"/>
    <w:rsid w:val="0068773B"/>
    <w:rsid w:val="006878EB"/>
    <w:rsid w:val="00687CE2"/>
    <w:rsid w:val="00687D33"/>
    <w:rsid w:val="00687D55"/>
    <w:rsid w:val="00687DF4"/>
    <w:rsid w:val="00687E4E"/>
    <w:rsid w:val="00687F82"/>
    <w:rsid w:val="00687FF3"/>
    <w:rsid w:val="00690113"/>
    <w:rsid w:val="006901C1"/>
    <w:rsid w:val="00690230"/>
    <w:rsid w:val="00690308"/>
    <w:rsid w:val="0069046B"/>
    <w:rsid w:val="006905D1"/>
    <w:rsid w:val="00690A34"/>
    <w:rsid w:val="00690B1C"/>
    <w:rsid w:val="00690CCD"/>
    <w:rsid w:val="00690CCF"/>
    <w:rsid w:val="00690CE0"/>
    <w:rsid w:val="00690D12"/>
    <w:rsid w:val="00690DF9"/>
    <w:rsid w:val="00690FCC"/>
    <w:rsid w:val="00690FFA"/>
    <w:rsid w:val="0069119B"/>
    <w:rsid w:val="0069121F"/>
    <w:rsid w:val="00691223"/>
    <w:rsid w:val="00691224"/>
    <w:rsid w:val="00691454"/>
    <w:rsid w:val="00691485"/>
    <w:rsid w:val="006914CA"/>
    <w:rsid w:val="006915D2"/>
    <w:rsid w:val="00691690"/>
    <w:rsid w:val="00691719"/>
    <w:rsid w:val="0069174C"/>
    <w:rsid w:val="0069181E"/>
    <w:rsid w:val="00691918"/>
    <w:rsid w:val="0069196E"/>
    <w:rsid w:val="00691A05"/>
    <w:rsid w:val="00691A7C"/>
    <w:rsid w:val="00691A99"/>
    <w:rsid w:val="00691AE9"/>
    <w:rsid w:val="00691C4B"/>
    <w:rsid w:val="00691C61"/>
    <w:rsid w:val="00691CBB"/>
    <w:rsid w:val="00691DB1"/>
    <w:rsid w:val="00691DC7"/>
    <w:rsid w:val="00691DCA"/>
    <w:rsid w:val="00691E73"/>
    <w:rsid w:val="006920CD"/>
    <w:rsid w:val="00692115"/>
    <w:rsid w:val="006921AA"/>
    <w:rsid w:val="0069221D"/>
    <w:rsid w:val="00692253"/>
    <w:rsid w:val="0069234A"/>
    <w:rsid w:val="0069236B"/>
    <w:rsid w:val="00692504"/>
    <w:rsid w:val="006925C1"/>
    <w:rsid w:val="006926EC"/>
    <w:rsid w:val="0069273F"/>
    <w:rsid w:val="006927AF"/>
    <w:rsid w:val="00692958"/>
    <w:rsid w:val="00692965"/>
    <w:rsid w:val="00692BED"/>
    <w:rsid w:val="00692F65"/>
    <w:rsid w:val="00692FD5"/>
    <w:rsid w:val="0069305E"/>
    <w:rsid w:val="006930C3"/>
    <w:rsid w:val="00693431"/>
    <w:rsid w:val="0069358A"/>
    <w:rsid w:val="006935D2"/>
    <w:rsid w:val="0069366F"/>
    <w:rsid w:val="006936E9"/>
    <w:rsid w:val="0069371E"/>
    <w:rsid w:val="00693722"/>
    <w:rsid w:val="00693802"/>
    <w:rsid w:val="00693812"/>
    <w:rsid w:val="00693A1E"/>
    <w:rsid w:val="00693B4A"/>
    <w:rsid w:val="00693D6B"/>
    <w:rsid w:val="00693E63"/>
    <w:rsid w:val="00693E71"/>
    <w:rsid w:val="00693E91"/>
    <w:rsid w:val="006940D6"/>
    <w:rsid w:val="006941C7"/>
    <w:rsid w:val="006942E3"/>
    <w:rsid w:val="0069469A"/>
    <w:rsid w:val="006946C8"/>
    <w:rsid w:val="006946CB"/>
    <w:rsid w:val="00694737"/>
    <w:rsid w:val="0069474B"/>
    <w:rsid w:val="0069482E"/>
    <w:rsid w:val="00694924"/>
    <w:rsid w:val="00694A51"/>
    <w:rsid w:val="00694BC1"/>
    <w:rsid w:val="00694D24"/>
    <w:rsid w:val="00694E5A"/>
    <w:rsid w:val="00694F64"/>
    <w:rsid w:val="00694F7B"/>
    <w:rsid w:val="006950CB"/>
    <w:rsid w:val="00695105"/>
    <w:rsid w:val="00695111"/>
    <w:rsid w:val="006951CF"/>
    <w:rsid w:val="00695240"/>
    <w:rsid w:val="0069533B"/>
    <w:rsid w:val="00695376"/>
    <w:rsid w:val="006954AF"/>
    <w:rsid w:val="00695764"/>
    <w:rsid w:val="0069579A"/>
    <w:rsid w:val="006958CB"/>
    <w:rsid w:val="006958FF"/>
    <w:rsid w:val="0069598D"/>
    <w:rsid w:val="006959D7"/>
    <w:rsid w:val="00695A6C"/>
    <w:rsid w:val="00695BBB"/>
    <w:rsid w:val="00695D52"/>
    <w:rsid w:val="00695E17"/>
    <w:rsid w:val="00695E53"/>
    <w:rsid w:val="00695F95"/>
    <w:rsid w:val="00696006"/>
    <w:rsid w:val="00696007"/>
    <w:rsid w:val="006963D5"/>
    <w:rsid w:val="006966BD"/>
    <w:rsid w:val="00696702"/>
    <w:rsid w:val="00696752"/>
    <w:rsid w:val="00696773"/>
    <w:rsid w:val="00696871"/>
    <w:rsid w:val="00696A25"/>
    <w:rsid w:val="00696A83"/>
    <w:rsid w:val="00696D41"/>
    <w:rsid w:val="00696D77"/>
    <w:rsid w:val="00696D97"/>
    <w:rsid w:val="0069711F"/>
    <w:rsid w:val="00697178"/>
    <w:rsid w:val="006972FF"/>
    <w:rsid w:val="006976CD"/>
    <w:rsid w:val="00697795"/>
    <w:rsid w:val="00697841"/>
    <w:rsid w:val="00697933"/>
    <w:rsid w:val="00697987"/>
    <w:rsid w:val="0069799E"/>
    <w:rsid w:val="006979AF"/>
    <w:rsid w:val="00697D48"/>
    <w:rsid w:val="00697EA6"/>
    <w:rsid w:val="00697F8A"/>
    <w:rsid w:val="006A021D"/>
    <w:rsid w:val="006A03A7"/>
    <w:rsid w:val="006A0490"/>
    <w:rsid w:val="006A04A2"/>
    <w:rsid w:val="006A0544"/>
    <w:rsid w:val="006A0577"/>
    <w:rsid w:val="006A08D2"/>
    <w:rsid w:val="006A090E"/>
    <w:rsid w:val="006A0926"/>
    <w:rsid w:val="006A093A"/>
    <w:rsid w:val="006A0A44"/>
    <w:rsid w:val="006A0B8C"/>
    <w:rsid w:val="006A0BC5"/>
    <w:rsid w:val="006A0CB6"/>
    <w:rsid w:val="006A0DAC"/>
    <w:rsid w:val="006A0FAF"/>
    <w:rsid w:val="006A0FE7"/>
    <w:rsid w:val="006A1055"/>
    <w:rsid w:val="006A1072"/>
    <w:rsid w:val="006A1299"/>
    <w:rsid w:val="006A129E"/>
    <w:rsid w:val="006A1332"/>
    <w:rsid w:val="006A135D"/>
    <w:rsid w:val="006A14B8"/>
    <w:rsid w:val="006A1566"/>
    <w:rsid w:val="006A1638"/>
    <w:rsid w:val="006A16A1"/>
    <w:rsid w:val="006A16C4"/>
    <w:rsid w:val="006A17E8"/>
    <w:rsid w:val="006A1C7D"/>
    <w:rsid w:val="006A1D66"/>
    <w:rsid w:val="006A1F31"/>
    <w:rsid w:val="006A2099"/>
    <w:rsid w:val="006A20AF"/>
    <w:rsid w:val="006A238C"/>
    <w:rsid w:val="006A2541"/>
    <w:rsid w:val="006A255D"/>
    <w:rsid w:val="006A25AE"/>
    <w:rsid w:val="006A26E4"/>
    <w:rsid w:val="006A26ED"/>
    <w:rsid w:val="006A2B09"/>
    <w:rsid w:val="006A2B37"/>
    <w:rsid w:val="006A2B7E"/>
    <w:rsid w:val="006A2EB9"/>
    <w:rsid w:val="006A2F20"/>
    <w:rsid w:val="006A2F9C"/>
    <w:rsid w:val="006A302A"/>
    <w:rsid w:val="006A30D7"/>
    <w:rsid w:val="006A30EF"/>
    <w:rsid w:val="006A3159"/>
    <w:rsid w:val="006A3204"/>
    <w:rsid w:val="006A3338"/>
    <w:rsid w:val="006A33A4"/>
    <w:rsid w:val="006A37C4"/>
    <w:rsid w:val="006A38F3"/>
    <w:rsid w:val="006A38F5"/>
    <w:rsid w:val="006A39AB"/>
    <w:rsid w:val="006A3CA0"/>
    <w:rsid w:val="006A3E63"/>
    <w:rsid w:val="006A3E9C"/>
    <w:rsid w:val="006A4022"/>
    <w:rsid w:val="006A4040"/>
    <w:rsid w:val="006A41ED"/>
    <w:rsid w:val="006A4385"/>
    <w:rsid w:val="006A4390"/>
    <w:rsid w:val="006A442F"/>
    <w:rsid w:val="006A4693"/>
    <w:rsid w:val="006A4832"/>
    <w:rsid w:val="006A4846"/>
    <w:rsid w:val="006A4A30"/>
    <w:rsid w:val="006A4A8F"/>
    <w:rsid w:val="006A4B7C"/>
    <w:rsid w:val="006A4C30"/>
    <w:rsid w:val="006A4C37"/>
    <w:rsid w:val="006A5162"/>
    <w:rsid w:val="006A52BD"/>
    <w:rsid w:val="006A52E5"/>
    <w:rsid w:val="006A5478"/>
    <w:rsid w:val="006A55FD"/>
    <w:rsid w:val="006A571F"/>
    <w:rsid w:val="006A5787"/>
    <w:rsid w:val="006A57CC"/>
    <w:rsid w:val="006A5A8B"/>
    <w:rsid w:val="006A5B24"/>
    <w:rsid w:val="006A5B2C"/>
    <w:rsid w:val="006A5BD9"/>
    <w:rsid w:val="006A5D9A"/>
    <w:rsid w:val="006A5E89"/>
    <w:rsid w:val="006A5ED9"/>
    <w:rsid w:val="006A5EDF"/>
    <w:rsid w:val="006A5FA2"/>
    <w:rsid w:val="006A602D"/>
    <w:rsid w:val="006A6175"/>
    <w:rsid w:val="006A61C0"/>
    <w:rsid w:val="006A6328"/>
    <w:rsid w:val="006A63A4"/>
    <w:rsid w:val="006A6517"/>
    <w:rsid w:val="006A65B9"/>
    <w:rsid w:val="006A6602"/>
    <w:rsid w:val="006A669E"/>
    <w:rsid w:val="006A6854"/>
    <w:rsid w:val="006A6986"/>
    <w:rsid w:val="006A6BED"/>
    <w:rsid w:val="006A6C85"/>
    <w:rsid w:val="006A6D3E"/>
    <w:rsid w:val="006A6E97"/>
    <w:rsid w:val="006A704D"/>
    <w:rsid w:val="006A70D8"/>
    <w:rsid w:val="006A7220"/>
    <w:rsid w:val="006A73AA"/>
    <w:rsid w:val="006A74E3"/>
    <w:rsid w:val="006A76FF"/>
    <w:rsid w:val="006A77D3"/>
    <w:rsid w:val="006A783E"/>
    <w:rsid w:val="006A793D"/>
    <w:rsid w:val="006A794B"/>
    <w:rsid w:val="006A79D4"/>
    <w:rsid w:val="006A7A52"/>
    <w:rsid w:val="006A7A97"/>
    <w:rsid w:val="006A7BAA"/>
    <w:rsid w:val="006A7C1B"/>
    <w:rsid w:val="006A7C2A"/>
    <w:rsid w:val="006A7C8B"/>
    <w:rsid w:val="006A7D75"/>
    <w:rsid w:val="006A7E04"/>
    <w:rsid w:val="006A7F94"/>
    <w:rsid w:val="006AF860"/>
    <w:rsid w:val="006B0018"/>
    <w:rsid w:val="006B0163"/>
    <w:rsid w:val="006B0238"/>
    <w:rsid w:val="006B0399"/>
    <w:rsid w:val="006B04FC"/>
    <w:rsid w:val="006B056D"/>
    <w:rsid w:val="006B05A1"/>
    <w:rsid w:val="006B0784"/>
    <w:rsid w:val="006B095E"/>
    <w:rsid w:val="006B09E0"/>
    <w:rsid w:val="006B0A33"/>
    <w:rsid w:val="006B0A49"/>
    <w:rsid w:val="006B0ACC"/>
    <w:rsid w:val="006B0B0A"/>
    <w:rsid w:val="006B0CF4"/>
    <w:rsid w:val="006B0EE0"/>
    <w:rsid w:val="006B0FF8"/>
    <w:rsid w:val="006B0FFF"/>
    <w:rsid w:val="006B114C"/>
    <w:rsid w:val="006B13AE"/>
    <w:rsid w:val="006B1579"/>
    <w:rsid w:val="006B1628"/>
    <w:rsid w:val="006B1659"/>
    <w:rsid w:val="006B16FF"/>
    <w:rsid w:val="006B19BF"/>
    <w:rsid w:val="006B1A20"/>
    <w:rsid w:val="006B1A96"/>
    <w:rsid w:val="006B1ABA"/>
    <w:rsid w:val="006B1B01"/>
    <w:rsid w:val="006B1C5E"/>
    <w:rsid w:val="006B1F29"/>
    <w:rsid w:val="006B1F4D"/>
    <w:rsid w:val="006B1F91"/>
    <w:rsid w:val="006B1FCB"/>
    <w:rsid w:val="006B2105"/>
    <w:rsid w:val="006B21FA"/>
    <w:rsid w:val="006B246F"/>
    <w:rsid w:val="006B24B8"/>
    <w:rsid w:val="006B2699"/>
    <w:rsid w:val="006B269E"/>
    <w:rsid w:val="006B2862"/>
    <w:rsid w:val="006B2890"/>
    <w:rsid w:val="006B29B9"/>
    <w:rsid w:val="006B29C8"/>
    <w:rsid w:val="006B2B56"/>
    <w:rsid w:val="006B2BE8"/>
    <w:rsid w:val="006B2D23"/>
    <w:rsid w:val="006B2D44"/>
    <w:rsid w:val="006B2DE1"/>
    <w:rsid w:val="006B2E65"/>
    <w:rsid w:val="006B2EE4"/>
    <w:rsid w:val="006B2F90"/>
    <w:rsid w:val="006B3067"/>
    <w:rsid w:val="006B30E1"/>
    <w:rsid w:val="006B3192"/>
    <w:rsid w:val="006B31F9"/>
    <w:rsid w:val="006B32D1"/>
    <w:rsid w:val="006B36AA"/>
    <w:rsid w:val="006B3763"/>
    <w:rsid w:val="006B3857"/>
    <w:rsid w:val="006B387D"/>
    <w:rsid w:val="006B3A62"/>
    <w:rsid w:val="006B3A8C"/>
    <w:rsid w:val="006B3E9B"/>
    <w:rsid w:val="006B4024"/>
    <w:rsid w:val="006B4098"/>
    <w:rsid w:val="006B438B"/>
    <w:rsid w:val="006B44F1"/>
    <w:rsid w:val="006B44FA"/>
    <w:rsid w:val="006B46F5"/>
    <w:rsid w:val="006B4710"/>
    <w:rsid w:val="006B49D4"/>
    <w:rsid w:val="006B4A29"/>
    <w:rsid w:val="006B4B6C"/>
    <w:rsid w:val="006B4C2E"/>
    <w:rsid w:val="006B4C9F"/>
    <w:rsid w:val="006B4CEE"/>
    <w:rsid w:val="006B4D4C"/>
    <w:rsid w:val="006B4DAD"/>
    <w:rsid w:val="006B4EAD"/>
    <w:rsid w:val="006B4FDD"/>
    <w:rsid w:val="006B509B"/>
    <w:rsid w:val="006B51D7"/>
    <w:rsid w:val="006B525C"/>
    <w:rsid w:val="006B5269"/>
    <w:rsid w:val="006B5322"/>
    <w:rsid w:val="006B5360"/>
    <w:rsid w:val="006B564E"/>
    <w:rsid w:val="006B56AB"/>
    <w:rsid w:val="006B58B0"/>
    <w:rsid w:val="006B5C86"/>
    <w:rsid w:val="006B5D66"/>
    <w:rsid w:val="006B5D89"/>
    <w:rsid w:val="006B5F5D"/>
    <w:rsid w:val="006B602C"/>
    <w:rsid w:val="006B6127"/>
    <w:rsid w:val="006B62C4"/>
    <w:rsid w:val="006B63E2"/>
    <w:rsid w:val="006B6413"/>
    <w:rsid w:val="006B646C"/>
    <w:rsid w:val="006B6597"/>
    <w:rsid w:val="006B6617"/>
    <w:rsid w:val="006B66A6"/>
    <w:rsid w:val="006B6A87"/>
    <w:rsid w:val="006B6ABA"/>
    <w:rsid w:val="006B6ACD"/>
    <w:rsid w:val="006B6BE2"/>
    <w:rsid w:val="006B6BFC"/>
    <w:rsid w:val="006B6CDC"/>
    <w:rsid w:val="006B6CED"/>
    <w:rsid w:val="006B6CEF"/>
    <w:rsid w:val="006B6E95"/>
    <w:rsid w:val="006B7028"/>
    <w:rsid w:val="006B7039"/>
    <w:rsid w:val="006B7059"/>
    <w:rsid w:val="006B709E"/>
    <w:rsid w:val="006B70C9"/>
    <w:rsid w:val="006B7138"/>
    <w:rsid w:val="006B713C"/>
    <w:rsid w:val="006B71B7"/>
    <w:rsid w:val="006B71C0"/>
    <w:rsid w:val="006B7517"/>
    <w:rsid w:val="006B7521"/>
    <w:rsid w:val="006B7525"/>
    <w:rsid w:val="006B767F"/>
    <w:rsid w:val="006B77FF"/>
    <w:rsid w:val="006B7916"/>
    <w:rsid w:val="006B793A"/>
    <w:rsid w:val="006B7A9B"/>
    <w:rsid w:val="006B7B8E"/>
    <w:rsid w:val="006B7C2A"/>
    <w:rsid w:val="006B7C74"/>
    <w:rsid w:val="006B7E31"/>
    <w:rsid w:val="006C01EF"/>
    <w:rsid w:val="006C029F"/>
    <w:rsid w:val="006C0362"/>
    <w:rsid w:val="006C05C9"/>
    <w:rsid w:val="006C0655"/>
    <w:rsid w:val="006C0669"/>
    <w:rsid w:val="006C06DC"/>
    <w:rsid w:val="006C06F4"/>
    <w:rsid w:val="006C0A58"/>
    <w:rsid w:val="006C0B45"/>
    <w:rsid w:val="006C0DE3"/>
    <w:rsid w:val="006C0EA2"/>
    <w:rsid w:val="006C0F44"/>
    <w:rsid w:val="006C1013"/>
    <w:rsid w:val="006C1066"/>
    <w:rsid w:val="006C1148"/>
    <w:rsid w:val="006C1252"/>
    <w:rsid w:val="006C125B"/>
    <w:rsid w:val="006C1266"/>
    <w:rsid w:val="006C15D6"/>
    <w:rsid w:val="006C1721"/>
    <w:rsid w:val="006C19ED"/>
    <w:rsid w:val="006C1A0A"/>
    <w:rsid w:val="006C1AD4"/>
    <w:rsid w:val="006C1DC6"/>
    <w:rsid w:val="006C1EDD"/>
    <w:rsid w:val="006C1F6C"/>
    <w:rsid w:val="006C20B2"/>
    <w:rsid w:val="006C2127"/>
    <w:rsid w:val="006C2135"/>
    <w:rsid w:val="006C2223"/>
    <w:rsid w:val="006C226C"/>
    <w:rsid w:val="006C2443"/>
    <w:rsid w:val="006C25B2"/>
    <w:rsid w:val="006C2643"/>
    <w:rsid w:val="006C29D1"/>
    <w:rsid w:val="006C2C65"/>
    <w:rsid w:val="006C2C6D"/>
    <w:rsid w:val="006C2E20"/>
    <w:rsid w:val="006C317C"/>
    <w:rsid w:val="006C31DB"/>
    <w:rsid w:val="006C329E"/>
    <w:rsid w:val="006C3501"/>
    <w:rsid w:val="006C3793"/>
    <w:rsid w:val="006C37EA"/>
    <w:rsid w:val="006C3872"/>
    <w:rsid w:val="006C38D1"/>
    <w:rsid w:val="006C391B"/>
    <w:rsid w:val="006C39D2"/>
    <w:rsid w:val="006C3BA2"/>
    <w:rsid w:val="006C3BD9"/>
    <w:rsid w:val="006C3E6B"/>
    <w:rsid w:val="006C4230"/>
    <w:rsid w:val="006C4490"/>
    <w:rsid w:val="006C4572"/>
    <w:rsid w:val="006C480E"/>
    <w:rsid w:val="006C4881"/>
    <w:rsid w:val="006C4A66"/>
    <w:rsid w:val="006C4AAF"/>
    <w:rsid w:val="006C4B75"/>
    <w:rsid w:val="006C4B8C"/>
    <w:rsid w:val="006C4BFF"/>
    <w:rsid w:val="006C4D26"/>
    <w:rsid w:val="006C4F6F"/>
    <w:rsid w:val="006C5007"/>
    <w:rsid w:val="006C500A"/>
    <w:rsid w:val="006C5055"/>
    <w:rsid w:val="006C531D"/>
    <w:rsid w:val="006C5464"/>
    <w:rsid w:val="006C54DA"/>
    <w:rsid w:val="006C5502"/>
    <w:rsid w:val="006C55FF"/>
    <w:rsid w:val="006C56C3"/>
    <w:rsid w:val="006C56CB"/>
    <w:rsid w:val="006C5718"/>
    <w:rsid w:val="006C5798"/>
    <w:rsid w:val="006C5806"/>
    <w:rsid w:val="006C5929"/>
    <w:rsid w:val="006C59E3"/>
    <w:rsid w:val="006C59FA"/>
    <w:rsid w:val="006C5CF7"/>
    <w:rsid w:val="006C5FA8"/>
    <w:rsid w:val="006C616E"/>
    <w:rsid w:val="006C630B"/>
    <w:rsid w:val="006C6326"/>
    <w:rsid w:val="006C633A"/>
    <w:rsid w:val="006C638B"/>
    <w:rsid w:val="006C6527"/>
    <w:rsid w:val="006C660F"/>
    <w:rsid w:val="006C665A"/>
    <w:rsid w:val="006C66A2"/>
    <w:rsid w:val="006C66B1"/>
    <w:rsid w:val="006C696D"/>
    <w:rsid w:val="006C6AB3"/>
    <w:rsid w:val="006C6B7E"/>
    <w:rsid w:val="006C6C4D"/>
    <w:rsid w:val="006C6FF1"/>
    <w:rsid w:val="006C6FF5"/>
    <w:rsid w:val="006C7017"/>
    <w:rsid w:val="006C70FF"/>
    <w:rsid w:val="006C7168"/>
    <w:rsid w:val="006C7208"/>
    <w:rsid w:val="006C751F"/>
    <w:rsid w:val="006C7725"/>
    <w:rsid w:val="006C7746"/>
    <w:rsid w:val="006C797B"/>
    <w:rsid w:val="006C7981"/>
    <w:rsid w:val="006C79CA"/>
    <w:rsid w:val="006C7B9A"/>
    <w:rsid w:val="006C7BFD"/>
    <w:rsid w:val="006C7C30"/>
    <w:rsid w:val="006C7CAB"/>
    <w:rsid w:val="006C7E29"/>
    <w:rsid w:val="006C7E71"/>
    <w:rsid w:val="006C7F16"/>
    <w:rsid w:val="006C7F94"/>
    <w:rsid w:val="006D00B6"/>
    <w:rsid w:val="006D03FA"/>
    <w:rsid w:val="006D064C"/>
    <w:rsid w:val="006D0697"/>
    <w:rsid w:val="006D06FD"/>
    <w:rsid w:val="006D0B2A"/>
    <w:rsid w:val="006D0B6C"/>
    <w:rsid w:val="006D0BBF"/>
    <w:rsid w:val="006D0CBA"/>
    <w:rsid w:val="006D0DFE"/>
    <w:rsid w:val="006D0EC0"/>
    <w:rsid w:val="006D1126"/>
    <w:rsid w:val="006D119A"/>
    <w:rsid w:val="006D11F1"/>
    <w:rsid w:val="006D1205"/>
    <w:rsid w:val="006D1334"/>
    <w:rsid w:val="006D136F"/>
    <w:rsid w:val="006D174C"/>
    <w:rsid w:val="006D1811"/>
    <w:rsid w:val="006D188A"/>
    <w:rsid w:val="006D1AE7"/>
    <w:rsid w:val="006D1B1B"/>
    <w:rsid w:val="006D1D24"/>
    <w:rsid w:val="006D1D36"/>
    <w:rsid w:val="006D1E85"/>
    <w:rsid w:val="006D1F09"/>
    <w:rsid w:val="006D2045"/>
    <w:rsid w:val="006D218F"/>
    <w:rsid w:val="006D23F2"/>
    <w:rsid w:val="006D251C"/>
    <w:rsid w:val="006D2718"/>
    <w:rsid w:val="006D27B1"/>
    <w:rsid w:val="006D287B"/>
    <w:rsid w:val="006D2A2F"/>
    <w:rsid w:val="006D2A42"/>
    <w:rsid w:val="006D2A7C"/>
    <w:rsid w:val="006D2A8B"/>
    <w:rsid w:val="006D2B10"/>
    <w:rsid w:val="006D2D41"/>
    <w:rsid w:val="006D2DF4"/>
    <w:rsid w:val="006D30A3"/>
    <w:rsid w:val="006D32E0"/>
    <w:rsid w:val="006D330B"/>
    <w:rsid w:val="006D33CD"/>
    <w:rsid w:val="006D347A"/>
    <w:rsid w:val="006D34BE"/>
    <w:rsid w:val="006D35D7"/>
    <w:rsid w:val="006D36FB"/>
    <w:rsid w:val="006D386E"/>
    <w:rsid w:val="006D3FAD"/>
    <w:rsid w:val="006D3FBD"/>
    <w:rsid w:val="006D40BA"/>
    <w:rsid w:val="006D414A"/>
    <w:rsid w:val="006D418F"/>
    <w:rsid w:val="006D424B"/>
    <w:rsid w:val="006D4279"/>
    <w:rsid w:val="006D42E5"/>
    <w:rsid w:val="006D451E"/>
    <w:rsid w:val="006D4586"/>
    <w:rsid w:val="006D458B"/>
    <w:rsid w:val="006D45E7"/>
    <w:rsid w:val="006D45F4"/>
    <w:rsid w:val="006D4644"/>
    <w:rsid w:val="006D46BE"/>
    <w:rsid w:val="006D46FB"/>
    <w:rsid w:val="006D4781"/>
    <w:rsid w:val="006D4784"/>
    <w:rsid w:val="006D49DC"/>
    <w:rsid w:val="006D49EB"/>
    <w:rsid w:val="006D4A29"/>
    <w:rsid w:val="006D4A38"/>
    <w:rsid w:val="006D4A61"/>
    <w:rsid w:val="006D4AD2"/>
    <w:rsid w:val="006D4BD1"/>
    <w:rsid w:val="006D4CA2"/>
    <w:rsid w:val="006D4CBF"/>
    <w:rsid w:val="006D4E43"/>
    <w:rsid w:val="006D54FA"/>
    <w:rsid w:val="006D55BE"/>
    <w:rsid w:val="006D58A8"/>
    <w:rsid w:val="006D5904"/>
    <w:rsid w:val="006D5A89"/>
    <w:rsid w:val="006D5B6A"/>
    <w:rsid w:val="006D5EA6"/>
    <w:rsid w:val="006D5EC6"/>
    <w:rsid w:val="006D606A"/>
    <w:rsid w:val="006D6196"/>
    <w:rsid w:val="006D6210"/>
    <w:rsid w:val="006D622E"/>
    <w:rsid w:val="006D63F4"/>
    <w:rsid w:val="006D65A1"/>
    <w:rsid w:val="006D6732"/>
    <w:rsid w:val="006D67DE"/>
    <w:rsid w:val="006D6887"/>
    <w:rsid w:val="006D689C"/>
    <w:rsid w:val="006D68B5"/>
    <w:rsid w:val="006D6933"/>
    <w:rsid w:val="006D69B6"/>
    <w:rsid w:val="006D6B75"/>
    <w:rsid w:val="006D6B79"/>
    <w:rsid w:val="006D6B9E"/>
    <w:rsid w:val="006D6F35"/>
    <w:rsid w:val="006D6FAF"/>
    <w:rsid w:val="006D70D9"/>
    <w:rsid w:val="006D712E"/>
    <w:rsid w:val="006D7204"/>
    <w:rsid w:val="006D734D"/>
    <w:rsid w:val="006D73B9"/>
    <w:rsid w:val="006D7513"/>
    <w:rsid w:val="006D780C"/>
    <w:rsid w:val="006D7912"/>
    <w:rsid w:val="006D794D"/>
    <w:rsid w:val="006D79D8"/>
    <w:rsid w:val="006D7C59"/>
    <w:rsid w:val="006D7DDF"/>
    <w:rsid w:val="006D7F03"/>
    <w:rsid w:val="006D7F13"/>
    <w:rsid w:val="006D7F8F"/>
    <w:rsid w:val="006D7FD3"/>
    <w:rsid w:val="006E0166"/>
    <w:rsid w:val="006E023E"/>
    <w:rsid w:val="006E02C6"/>
    <w:rsid w:val="006E02E3"/>
    <w:rsid w:val="006E0312"/>
    <w:rsid w:val="006E058E"/>
    <w:rsid w:val="006E060D"/>
    <w:rsid w:val="006E064A"/>
    <w:rsid w:val="006E0686"/>
    <w:rsid w:val="006E06B6"/>
    <w:rsid w:val="006E0750"/>
    <w:rsid w:val="006E07B2"/>
    <w:rsid w:val="006E07D5"/>
    <w:rsid w:val="006E087B"/>
    <w:rsid w:val="006E0C6F"/>
    <w:rsid w:val="006E0C8C"/>
    <w:rsid w:val="006E0D04"/>
    <w:rsid w:val="006E0D49"/>
    <w:rsid w:val="006E0D8D"/>
    <w:rsid w:val="006E0E5D"/>
    <w:rsid w:val="006E0F98"/>
    <w:rsid w:val="006E1072"/>
    <w:rsid w:val="006E1110"/>
    <w:rsid w:val="006E126E"/>
    <w:rsid w:val="006E12F6"/>
    <w:rsid w:val="006E1331"/>
    <w:rsid w:val="006E1413"/>
    <w:rsid w:val="006E14A6"/>
    <w:rsid w:val="006E16AD"/>
    <w:rsid w:val="006E1755"/>
    <w:rsid w:val="006E1854"/>
    <w:rsid w:val="006E18CA"/>
    <w:rsid w:val="006E1B60"/>
    <w:rsid w:val="006E1C1D"/>
    <w:rsid w:val="006E1C2A"/>
    <w:rsid w:val="006E1CC6"/>
    <w:rsid w:val="006E1D76"/>
    <w:rsid w:val="006E1F3D"/>
    <w:rsid w:val="006E1FA3"/>
    <w:rsid w:val="006E1FF3"/>
    <w:rsid w:val="006E202A"/>
    <w:rsid w:val="006E22A2"/>
    <w:rsid w:val="006E22F2"/>
    <w:rsid w:val="006E233B"/>
    <w:rsid w:val="006E23D1"/>
    <w:rsid w:val="006E24A8"/>
    <w:rsid w:val="006E254B"/>
    <w:rsid w:val="006E26C6"/>
    <w:rsid w:val="006E26E0"/>
    <w:rsid w:val="006E2800"/>
    <w:rsid w:val="006E2A1C"/>
    <w:rsid w:val="006E2AD3"/>
    <w:rsid w:val="006E2B88"/>
    <w:rsid w:val="006E2D1C"/>
    <w:rsid w:val="006E2D5E"/>
    <w:rsid w:val="006E2DFB"/>
    <w:rsid w:val="006E2E11"/>
    <w:rsid w:val="006E2EEC"/>
    <w:rsid w:val="006E34D5"/>
    <w:rsid w:val="006E3629"/>
    <w:rsid w:val="006E36A6"/>
    <w:rsid w:val="006E36FD"/>
    <w:rsid w:val="006E371F"/>
    <w:rsid w:val="006E39CE"/>
    <w:rsid w:val="006E39DE"/>
    <w:rsid w:val="006E3A8E"/>
    <w:rsid w:val="006E3AA3"/>
    <w:rsid w:val="006E3B23"/>
    <w:rsid w:val="006E3C94"/>
    <w:rsid w:val="006E3D57"/>
    <w:rsid w:val="006E3DD8"/>
    <w:rsid w:val="006E3DEA"/>
    <w:rsid w:val="006E42DD"/>
    <w:rsid w:val="006E4342"/>
    <w:rsid w:val="006E4567"/>
    <w:rsid w:val="006E46AE"/>
    <w:rsid w:val="006E4718"/>
    <w:rsid w:val="006E4754"/>
    <w:rsid w:val="006E475F"/>
    <w:rsid w:val="006E4767"/>
    <w:rsid w:val="006E47AB"/>
    <w:rsid w:val="006E47E0"/>
    <w:rsid w:val="006E47EF"/>
    <w:rsid w:val="006E4956"/>
    <w:rsid w:val="006E4A8B"/>
    <w:rsid w:val="006E4B19"/>
    <w:rsid w:val="006E4B20"/>
    <w:rsid w:val="006E4B5D"/>
    <w:rsid w:val="006E4B78"/>
    <w:rsid w:val="006E4BB2"/>
    <w:rsid w:val="006E4BE4"/>
    <w:rsid w:val="006E4BF8"/>
    <w:rsid w:val="006E4DA5"/>
    <w:rsid w:val="006E4DD4"/>
    <w:rsid w:val="006E4E5B"/>
    <w:rsid w:val="006E4F87"/>
    <w:rsid w:val="006E4FE2"/>
    <w:rsid w:val="006E50E4"/>
    <w:rsid w:val="006E5333"/>
    <w:rsid w:val="006E539F"/>
    <w:rsid w:val="006E551D"/>
    <w:rsid w:val="006E5BE3"/>
    <w:rsid w:val="006E5FB6"/>
    <w:rsid w:val="006E5FE3"/>
    <w:rsid w:val="006E600D"/>
    <w:rsid w:val="006E6066"/>
    <w:rsid w:val="006E60CD"/>
    <w:rsid w:val="006E627B"/>
    <w:rsid w:val="006E659B"/>
    <w:rsid w:val="006E66D9"/>
    <w:rsid w:val="006E672A"/>
    <w:rsid w:val="006E6752"/>
    <w:rsid w:val="006E6A60"/>
    <w:rsid w:val="006E6B45"/>
    <w:rsid w:val="006E6D5C"/>
    <w:rsid w:val="006E7064"/>
    <w:rsid w:val="006E71E1"/>
    <w:rsid w:val="006E7207"/>
    <w:rsid w:val="006E722C"/>
    <w:rsid w:val="006E743B"/>
    <w:rsid w:val="006E7454"/>
    <w:rsid w:val="006E7460"/>
    <w:rsid w:val="006E74B6"/>
    <w:rsid w:val="006E767D"/>
    <w:rsid w:val="006E7898"/>
    <w:rsid w:val="006E78B3"/>
    <w:rsid w:val="006E7903"/>
    <w:rsid w:val="006E7972"/>
    <w:rsid w:val="006E7AD8"/>
    <w:rsid w:val="006E7D28"/>
    <w:rsid w:val="006E7D2E"/>
    <w:rsid w:val="006E7D3F"/>
    <w:rsid w:val="006E7D68"/>
    <w:rsid w:val="006E7DCB"/>
    <w:rsid w:val="006F0056"/>
    <w:rsid w:val="006F006B"/>
    <w:rsid w:val="006F032C"/>
    <w:rsid w:val="006F0682"/>
    <w:rsid w:val="006F0741"/>
    <w:rsid w:val="006F07C3"/>
    <w:rsid w:val="006F0854"/>
    <w:rsid w:val="006F08DF"/>
    <w:rsid w:val="006F0A9A"/>
    <w:rsid w:val="006F0BF7"/>
    <w:rsid w:val="006F0CCA"/>
    <w:rsid w:val="006F0D23"/>
    <w:rsid w:val="006F0E06"/>
    <w:rsid w:val="006F0EF0"/>
    <w:rsid w:val="006F1141"/>
    <w:rsid w:val="006F1192"/>
    <w:rsid w:val="006F1234"/>
    <w:rsid w:val="006F1288"/>
    <w:rsid w:val="006F129B"/>
    <w:rsid w:val="006F12DC"/>
    <w:rsid w:val="006F12E9"/>
    <w:rsid w:val="006F12F4"/>
    <w:rsid w:val="006F134B"/>
    <w:rsid w:val="006F154E"/>
    <w:rsid w:val="006F16B8"/>
    <w:rsid w:val="006F19EF"/>
    <w:rsid w:val="006F1F86"/>
    <w:rsid w:val="006F2011"/>
    <w:rsid w:val="006F2043"/>
    <w:rsid w:val="006F23EB"/>
    <w:rsid w:val="006F2418"/>
    <w:rsid w:val="006F24CA"/>
    <w:rsid w:val="006F2519"/>
    <w:rsid w:val="006F262F"/>
    <w:rsid w:val="006F2631"/>
    <w:rsid w:val="006F2697"/>
    <w:rsid w:val="006F276D"/>
    <w:rsid w:val="006F2916"/>
    <w:rsid w:val="006F2946"/>
    <w:rsid w:val="006F2952"/>
    <w:rsid w:val="006F29F0"/>
    <w:rsid w:val="006F2A04"/>
    <w:rsid w:val="006F2AD3"/>
    <w:rsid w:val="006F2BB6"/>
    <w:rsid w:val="006F2D3B"/>
    <w:rsid w:val="006F2F85"/>
    <w:rsid w:val="006F2FBD"/>
    <w:rsid w:val="006F338C"/>
    <w:rsid w:val="006F33A0"/>
    <w:rsid w:val="006F342F"/>
    <w:rsid w:val="006F34ED"/>
    <w:rsid w:val="006F363D"/>
    <w:rsid w:val="006F3666"/>
    <w:rsid w:val="006F3A32"/>
    <w:rsid w:val="006F3CF1"/>
    <w:rsid w:val="006F3D4B"/>
    <w:rsid w:val="006F3D60"/>
    <w:rsid w:val="006F3FC4"/>
    <w:rsid w:val="006F4148"/>
    <w:rsid w:val="006F4164"/>
    <w:rsid w:val="006F434F"/>
    <w:rsid w:val="006F4379"/>
    <w:rsid w:val="006F43A5"/>
    <w:rsid w:val="006F43F9"/>
    <w:rsid w:val="006F4549"/>
    <w:rsid w:val="006F45C0"/>
    <w:rsid w:val="006F45E2"/>
    <w:rsid w:val="006F4619"/>
    <w:rsid w:val="006F4693"/>
    <w:rsid w:val="006F4705"/>
    <w:rsid w:val="006F4758"/>
    <w:rsid w:val="006F47E4"/>
    <w:rsid w:val="006F481E"/>
    <w:rsid w:val="006F4861"/>
    <w:rsid w:val="006F4959"/>
    <w:rsid w:val="006F49C1"/>
    <w:rsid w:val="006F4A79"/>
    <w:rsid w:val="006F4ADC"/>
    <w:rsid w:val="006F4BC5"/>
    <w:rsid w:val="006F4CD7"/>
    <w:rsid w:val="006F4E26"/>
    <w:rsid w:val="006F4E49"/>
    <w:rsid w:val="006F50F5"/>
    <w:rsid w:val="006F5291"/>
    <w:rsid w:val="006F5446"/>
    <w:rsid w:val="006F54C5"/>
    <w:rsid w:val="006F57B0"/>
    <w:rsid w:val="006F57D8"/>
    <w:rsid w:val="006F586D"/>
    <w:rsid w:val="006F587C"/>
    <w:rsid w:val="006F59AA"/>
    <w:rsid w:val="006F5A20"/>
    <w:rsid w:val="006F5A39"/>
    <w:rsid w:val="006F5BCD"/>
    <w:rsid w:val="006F5C9E"/>
    <w:rsid w:val="006F5DCE"/>
    <w:rsid w:val="006F5EB5"/>
    <w:rsid w:val="006F604B"/>
    <w:rsid w:val="006F62ED"/>
    <w:rsid w:val="006F62FF"/>
    <w:rsid w:val="006F6584"/>
    <w:rsid w:val="006F65E6"/>
    <w:rsid w:val="006F666F"/>
    <w:rsid w:val="006F66B2"/>
    <w:rsid w:val="006F6770"/>
    <w:rsid w:val="006F6777"/>
    <w:rsid w:val="006F679A"/>
    <w:rsid w:val="006F67A8"/>
    <w:rsid w:val="006F67B4"/>
    <w:rsid w:val="006F6914"/>
    <w:rsid w:val="006F69FF"/>
    <w:rsid w:val="006F6A1F"/>
    <w:rsid w:val="006F6A46"/>
    <w:rsid w:val="006F6B92"/>
    <w:rsid w:val="006F6DA5"/>
    <w:rsid w:val="006F7007"/>
    <w:rsid w:val="006F7029"/>
    <w:rsid w:val="006F7073"/>
    <w:rsid w:val="006F73F1"/>
    <w:rsid w:val="006F74E1"/>
    <w:rsid w:val="006F75AB"/>
    <w:rsid w:val="006F764D"/>
    <w:rsid w:val="006F77EE"/>
    <w:rsid w:val="006F7BB1"/>
    <w:rsid w:val="006F7BB3"/>
    <w:rsid w:val="006F7FC5"/>
    <w:rsid w:val="00700080"/>
    <w:rsid w:val="0070008F"/>
    <w:rsid w:val="00700185"/>
    <w:rsid w:val="007001E1"/>
    <w:rsid w:val="0070030B"/>
    <w:rsid w:val="00700388"/>
    <w:rsid w:val="007003C4"/>
    <w:rsid w:val="00700637"/>
    <w:rsid w:val="00700738"/>
    <w:rsid w:val="007007AD"/>
    <w:rsid w:val="00700803"/>
    <w:rsid w:val="0070081E"/>
    <w:rsid w:val="0070085E"/>
    <w:rsid w:val="00700A65"/>
    <w:rsid w:val="00700BD3"/>
    <w:rsid w:val="00700D37"/>
    <w:rsid w:val="00700DCC"/>
    <w:rsid w:val="00700F3E"/>
    <w:rsid w:val="00700F4D"/>
    <w:rsid w:val="007010B0"/>
    <w:rsid w:val="0070129D"/>
    <w:rsid w:val="007012A0"/>
    <w:rsid w:val="0070145C"/>
    <w:rsid w:val="0070150D"/>
    <w:rsid w:val="007016C6"/>
    <w:rsid w:val="0070181F"/>
    <w:rsid w:val="007018B0"/>
    <w:rsid w:val="0070191F"/>
    <w:rsid w:val="0070192E"/>
    <w:rsid w:val="00701BA3"/>
    <w:rsid w:val="00701ED6"/>
    <w:rsid w:val="00701EE3"/>
    <w:rsid w:val="007020D1"/>
    <w:rsid w:val="00702115"/>
    <w:rsid w:val="007021BE"/>
    <w:rsid w:val="00702221"/>
    <w:rsid w:val="00702358"/>
    <w:rsid w:val="00702372"/>
    <w:rsid w:val="0070244A"/>
    <w:rsid w:val="00702489"/>
    <w:rsid w:val="00702655"/>
    <w:rsid w:val="007027DB"/>
    <w:rsid w:val="0070296C"/>
    <w:rsid w:val="00702A08"/>
    <w:rsid w:val="00702A8A"/>
    <w:rsid w:val="00702A94"/>
    <w:rsid w:val="00702E65"/>
    <w:rsid w:val="00702F2F"/>
    <w:rsid w:val="00702FBD"/>
    <w:rsid w:val="00702FC0"/>
    <w:rsid w:val="00703042"/>
    <w:rsid w:val="0070328A"/>
    <w:rsid w:val="007035EB"/>
    <w:rsid w:val="007036E9"/>
    <w:rsid w:val="007037C9"/>
    <w:rsid w:val="00703850"/>
    <w:rsid w:val="00703950"/>
    <w:rsid w:val="00703A48"/>
    <w:rsid w:val="00703A6A"/>
    <w:rsid w:val="00703ADF"/>
    <w:rsid w:val="00703BC8"/>
    <w:rsid w:val="00703CF0"/>
    <w:rsid w:val="00703DDD"/>
    <w:rsid w:val="0070411F"/>
    <w:rsid w:val="0070430E"/>
    <w:rsid w:val="00704338"/>
    <w:rsid w:val="0070447F"/>
    <w:rsid w:val="0070450D"/>
    <w:rsid w:val="0070453E"/>
    <w:rsid w:val="00704595"/>
    <w:rsid w:val="0070464D"/>
    <w:rsid w:val="0070467E"/>
    <w:rsid w:val="0070473B"/>
    <w:rsid w:val="00704790"/>
    <w:rsid w:val="00704B58"/>
    <w:rsid w:val="00704CCA"/>
    <w:rsid w:val="00704CEB"/>
    <w:rsid w:val="00704DE0"/>
    <w:rsid w:val="00704DFC"/>
    <w:rsid w:val="00704E16"/>
    <w:rsid w:val="007050A8"/>
    <w:rsid w:val="0070510E"/>
    <w:rsid w:val="007055F3"/>
    <w:rsid w:val="0070586C"/>
    <w:rsid w:val="007058B5"/>
    <w:rsid w:val="00705BB7"/>
    <w:rsid w:val="00705C77"/>
    <w:rsid w:val="00705DCD"/>
    <w:rsid w:val="00705E2B"/>
    <w:rsid w:val="00705E6B"/>
    <w:rsid w:val="00705F7A"/>
    <w:rsid w:val="0070610C"/>
    <w:rsid w:val="007061B4"/>
    <w:rsid w:val="007061F6"/>
    <w:rsid w:val="0070622C"/>
    <w:rsid w:val="0070644B"/>
    <w:rsid w:val="00706764"/>
    <w:rsid w:val="007067D7"/>
    <w:rsid w:val="0070682D"/>
    <w:rsid w:val="007069CA"/>
    <w:rsid w:val="00706AA1"/>
    <w:rsid w:val="00706AED"/>
    <w:rsid w:val="00706E0E"/>
    <w:rsid w:val="0070701E"/>
    <w:rsid w:val="00707092"/>
    <w:rsid w:val="007070AC"/>
    <w:rsid w:val="007072DE"/>
    <w:rsid w:val="0070733F"/>
    <w:rsid w:val="0070741A"/>
    <w:rsid w:val="00707496"/>
    <w:rsid w:val="00707498"/>
    <w:rsid w:val="0070781F"/>
    <w:rsid w:val="0071016B"/>
    <w:rsid w:val="007101DC"/>
    <w:rsid w:val="00710420"/>
    <w:rsid w:val="00710689"/>
    <w:rsid w:val="00710764"/>
    <w:rsid w:val="007107DD"/>
    <w:rsid w:val="00710868"/>
    <w:rsid w:val="00710BD0"/>
    <w:rsid w:val="00710D05"/>
    <w:rsid w:val="00710E17"/>
    <w:rsid w:val="00710E5C"/>
    <w:rsid w:val="00710FB4"/>
    <w:rsid w:val="00711029"/>
    <w:rsid w:val="007110D4"/>
    <w:rsid w:val="00711221"/>
    <w:rsid w:val="0071139E"/>
    <w:rsid w:val="007113CC"/>
    <w:rsid w:val="0071147A"/>
    <w:rsid w:val="00711523"/>
    <w:rsid w:val="00711566"/>
    <w:rsid w:val="0071157A"/>
    <w:rsid w:val="007115DE"/>
    <w:rsid w:val="00711630"/>
    <w:rsid w:val="007117B9"/>
    <w:rsid w:val="007117E8"/>
    <w:rsid w:val="00711834"/>
    <w:rsid w:val="00711C07"/>
    <w:rsid w:val="00711D08"/>
    <w:rsid w:val="00711EA5"/>
    <w:rsid w:val="00711F95"/>
    <w:rsid w:val="00712068"/>
    <w:rsid w:val="007120B1"/>
    <w:rsid w:val="00712143"/>
    <w:rsid w:val="00712798"/>
    <w:rsid w:val="007127A4"/>
    <w:rsid w:val="00712B2D"/>
    <w:rsid w:val="00712B5B"/>
    <w:rsid w:val="00712E0B"/>
    <w:rsid w:val="00712E60"/>
    <w:rsid w:val="00712FE3"/>
    <w:rsid w:val="007130A8"/>
    <w:rsid w:val="007130F8"/>
    <w:rsid w:val="00713217"/>
    <w:rsid w:val="00713297"/>
    <w:rsid w:val="00713298"/>
    <w:rsid w:val="007132B0"/>
    <w:rsid w:val="00713394"/>
    <w:rsid w:val="007137C5"/>
    <w:rsid w:val="007137DF"/>
    <w:rsid w:val="007137EC"/>
    <w:rsid w:val="00713871"/>
    <w:rsid w:val="0071387D"/>
    <w:rsid w:val="00713A03"/>
    <w:rsid w:val="00713AB5"/>
    <w:rsid w:val="00713AB7"/>
    <w:rsid w:val="00713B44"/>
    <w:rsid w:val="00713CFE"/>
    <w:rsid w:val="00713CFF"/>
    <w:rsid w:val="00713DA7"/>
    <w:rsid w:val="00713DC5"/>
    <w:rsid w:val="00713E2A"/>
    <w:rsid w:val="00713EA9"/>
    <w:rsid w:val="00713EED"/>
    <w:rsid w:val="00713F39"/>
    <w:rsid w:val="007140ED"/>
    <w:rsid w:val="0071418A"/>
    <w:rsid w:val="0071420C"/>
    <w:rsid w:val="0071442E"/>
    <w:rsid w:val="007144A2"/>
    <w:rsid w:val="00714724"/>
    <w:rsid w:val="00714758"/>
    <w:rsid w:val="007147A2"/>
    <w:rsid w:val="007147B4"/>
    <w:rsid w:val="007148DD"/>
    <w:rsid w:val="00714A5A"/>
    <w:rsid w:val="00714A66"/>
    <w:rsid w:val="00714B0E"/>
    <w:rsid w:val="00714C1D"/>
    <w:rsid w:val="00714CC1"/>
    <w:rsid w:val="00714D71"/>
    <w:rsid w:val="00714EBB"/>
    <w:rsid w:val="007150E3"/>
    <w:rsid w:val="007150E8"/>
    <w:rsid w:val="007152BB"/>
    <w:rsid w:val="007152D6"/>
    <w:rsid w:val="00715351"/>
    <w:rsid w:val="007153CF"/>
    <w:rsid w:val="00715404"/>
    <w:rsid w:val="00715417"/>
    <w:rsid w:val="007155EB"/>
    <w:rsid w:val="0071563F"/>
    <w:rsid w:val="0071573B"/>
    <w:rsid w:val="0071574E"/>
    <w:rsid w:val="00715A1D"/>
    <w:rsid w:val="00715AB6"/>
    <w:rsid w:val="00715B1F"/>
    <w:rsid w:val="00715BC8"/>
    <w:rsid w:val="00715DA9"/>
    <w:rsid w:val="0071614A"/>
    <w:rsid w:val="0071619C"/>
    <w:rsid w:val="007161B4"/>
    <w:rsid w:val="0071622B"/>
    <w:rsid w:val="0071641F"/>
    <w:rsid w:val="007164BF"/>
    <w:rsid w:val="007164DB"/>
    <w:rsid w:val="00716648"/>
    <w:rsid w:val="00716674"/>
    <w:rsid w:val="00716839"/>
    <w:rsid w:val="00716A9E"/>
    <w:rsid w:val="00716B60"/>
    <w:rsid w:val="00716CAB"/>
    <w:rsid w:val="00716CDF"/>
    <w:rsid w:val="00716E1B"/>
    <w:rsid w:val="00716EC1"/>
    <w:rsid w:val="00716ECC"/>
    <w:rsid w:val="00716FC8"/>
    <w:rsid w:val="00717139"/>
    <w:rsid w:val="0071714B"/>
    <w:rsid w:val="0071714E"/>
    <w:rsid w:val="007171E7"/>
    <w:rsid w:val="007172B2"/>
    <w:rsid w:val="00717329"/>
    <w:rsid w:val="007175E9"/>
    <w:rsid w:val="007176C5"/>
    <w:rsid w:val="007176E4"/>
    <w:rsid w:val="007177E4"/>
    <w:rsid w:val="00717811"/>
    <w:rsid w:val="00717982"/>
    <w:rsid w:val="00717AD5"/>
    <w:rsid w:val="00717AFE"/>
    <w:rsid w:val="00717C1D"/>
    <w:rsid w:val="00717DD9"/>
    <w:rsid w:val="00717EB6"/>
    <w:rsid w:val="007200DA"/>
    <w:rsid w:val="007200E6"/>
    <w:rsid w:val="007203B2"/>
    <w:rsid w:val="007203B5"/>
    <w:rsid w:val="007205A0"/>
    <w:rsid w:val="0072069E"/>
    <w:rsid w:val="007206C6"/>
    <w:rsid w:val="007207EB"/>
    <w:rsid w:val="007208AE"/>
    <w:rsid w:val="00720A4C"/>
    <w:rsid w:val="00720B93"/>
    <w:rsid w:val="00720C0A"/>
    <w:rsid w:val="00721381"/>
    <w:rsid w:val="00721388"/>
    <w:rsid w:val="007213A3"/>
    <w:rsid w:val="007213E8"/>
    <w:rsid w:val="007215BE"/>
    <w:rsid w:val="007216CC"/>
    <w:rsid w:val="00721775"/>
    <w:rsid w:val="007217F9"/>
    <w:rsid w:val="0072183A"/>
    <w:rsid w:val="0072196C"/>
    <w:rsid w:val="00721AC0"/>
    <w:rsid w:val="00721CA4"/>
    <w:rsid w:val="00721E3A"/>
    <w:rsid w:val="00721E7B"/>
    <w:rsid w:val="00721F8E"/>
    <w:rsid w:val="0072207C"/>
    <w:rsid w:val="00722245"/>
    <w:rsid w:val="00722394"/>
    <w:rsid w:val="00722472"/>
    <w:rsid w:val="007224EC"/>
    <w:rsid w:val="007225C6"/>
    <w:rsid w:val="007225E9"/>
    <w:rsid w:val="00722913"/>
    <w:rsid w:val="00722975"/>
    <w:rsid w:val="00722A45"/>
    <w:rsid w:val="00722AA3"/>
    <w:rsid w:val="00722ACC"/>
    <w:rsid w:val="00722ADF"/>
    <w:rsid w:val="00722C6A"/>
    <w:rsid w:val="00722DD0"/>
    <w:rsid w:val="00722E1F"/>
    <w:rsid w:val="00722FA0"/>
    <w:rsid w:val="00722FAA"/>
    <w:rsid w:val="0072307C"/>
    <w:rsid w:val="007231CA"/>
    <w:rsid w:val="007231E0"/>
    <w:rsid w:val="0072331D"/>
    <w:rsid w:val="0072346C"/>
    <w:rsid w:val="007235E0"/>
    <w:rsid w:val="00723621"/>
    <w:rsid w:val="007236E1"/>
    <w:rsid w:val="00723892"/>
    <w:rsid w:val="0072393C"/>
    <w:rsid w:val="007239C0"/>
    <w:rsid w:val="007239D7"/>
    <w:rsid w:val="007239E2"/>
    <w:rsid w:val="00723AEA"/>
    <w:rsid w:val="00723BE8"/>
    <w:rsid w:val="00723CC8"/>
    <w:rsid w:val="00723E90"/>
    <w:rsid w:val="00724263"/>
    <w:rsid w:val="00724507"/>
    <w:rsid w:val="0072452C"/>
    <w:rsid w:val="007245E2"/>
    <w:rsid w:val="00724616"/>
    <w:rsid w:val="00724683"/>
    <w:rsid w:val="00724760"/>
    <w:rsid w:val="0072480D"/>
    <w:rsid w:val="0072485E"/>
    <w:rsid w:val="0072490D"/>
    <w:rsid w:val="00724B71"/>
    <w:rsid w:val="00724D7C"/>
    <w:rsid w:val="00724DE6"/>
    <w:rsid w:val="00725033"/>
    <w:rsid w:val="00725089"/>
    <w:rsid w:val="0072519C"/>
    <w:rsid w:val="007251A1"/>
    <w:rsid w:val="007251B8"/>
    <w:rsid w:val="007253F8"/>
    <w:rsid w:val="00725447"/>
    <w:rsid w:val="0072555B"/>
    <w:rsid w:val="00725562"/>
    <w:rsid w:val="00725669"/>
    <w:rsid w:val="00725750"/>
    <w:rsid w:val="007257AF"/>
    <w:rsid w:val="00725815"/>
    <w:rsid w:val="007258C0"/>
    <w:rsid w:val="00725A86"/>
    <w:rsid w:val="00725A8B"/>
    <w:rsid w:val="00725CCA"/>
    <w:rsid w:val="00725CF0"/>
    <w:rsid w:val="00725D84"/>
    <w:rsid w:val="00725D89"/>
    <w:rsid w:val="00725D8D"/>
    <w:rsid w:val="00725E31"/>
    <w:rsid w:val="00725F5B"/>
    <w:rsid w:val="00725F80"/>
    <w:rsid w:val="00726030"/>
    <w:rsid w:val="007260F5"/>
    <w:rsid w:val="007260F7"/>
    <w:rsid w:val="0072611B"/>
    <w:rsid w:val="007263C2"/>
    <w:rsid w:val="007263C3"/>
    <w:rsid w:val="0072650C"/>
    <w:rsid w:val="007265BB"/>
    <w:rsid w:val="007266AB"/>
    <w:rsid w:val="00726707"/>
    <w:rsid w:val="00726730"/>
    <w:rsid w:val="007267FC"/>
    <w:rsid w:val="0072684E"/>
    <w:rsid w:val="00726852"/>
    <w:rsid w:val="007268A7"/>
    <w:rsid w:val="007269A5"/>
    <w:rsid w:val="00726A7A"/>
    <w:rsid w:val="00726AA2"/>
    <w:rsid w:val="00726DAC"/>
    <w:rsid w:val="00726E77"/>
    <w:rsid w:val="00726F92"/>
    <w:rsid w:val="00727002"/>
    <w:rsid w:val="00727162"/>
    <w:rsid w:val="0072734F"/>
    <w:rsid w:val="00727481"/>
    <w:rsid w:val="0072752B"/>
    <w:rsid w:val="007275D3"/>
    <w:rsid w:val="007275D9"/>
    <w:rsid w:val="00727611"/>
    <w:rsid w:val="00727687"/>
    <w:rsid w:val="007276F9"/>
    <w:rsid w:val="0072775C"/>
    <w:rsid w:val="007277EE"/>
    <w:rsid w:val="0072794C"/>
    <w:rsid w:val="00727981"/>
    <w:rsid w:val="007279D7"/>
    <w:rsid w:val="00727B19"/>
    <w:rsid w:val="00727C73"/>
    <w:rsid w:val="00727CF7"/>
    <w:rsid w:val="00727D77"/>
    <w:rsid w:val="00727E73"/>
    <w:rsid w:val="00730156"/>
    <w:rsid w:val="007302C9"/>
    <w:rsid w:val="00730444"/>
    <w:rsid w:val="007305BE"/>
    <w:rsid w:val="007306A1"/>
    <w:rsid w:val="007306B5"/>
    <w:rsid w:val="007307C8"/>
    <w:rsid w:val="007307E3"/>
    <w:rsid w:val="00730AA3"/>
    <w:rsid w:val="00730C01"/>
    <w:rsid w:val="00730CAA"/>
    <w:rsid w:val="00730DDF"/>
    <w:rsid w:val="00730EB9"/>
    <w:rsid w:val="00730F27"/>
    <w:rsid w:val="0073129A"/>
    <w:rsid w:val="007313A3"/>
    <w:rsid w:val="007317A4"/>
    <w:rsid w:val="007317AF"/>
    <w:rsid w:val="00731808"/>
    <w:rsid w:val="0073197C"/>
    <w:rsid w:val="007319EA"/>
    <w:rsid w:val="00731AEC"/>
    <w:rsid w:val="00731B0C"/>
    <w:rsid w:val="00731DBF"/>
    <w:rsid w:val="00731DFD"/>
    <w:rsid w:val="0073207E"/>
    <w:rsid w:val="0073209D"/>
    <w:rsid w:val="00732290"/>
    <w:rsid w:val="007322BA"/>
    <w:rsid w:val="007322F2"/>
    <w:rsid w:val="00732454"/>
    <w:rsid w:val="0073245E"/>
    <w:rsid w:val="007326BA"/>
    <w:rsid w:val="007326C6"/>
    <w:rsid w:val="007327C3"/>
    <w:rsid w:val="00732800"/>
    <w:rsid w:val="00732BC5"/>
    <w:rsid w:val="00732BDA"/>
    <w:rsid w:val="00732C0D"/>
    <w:rsid w:val="00732C9B"/>
    <w:rsid w:val="00732CBF"/>
    <w:rsid w:val="00732E4D"/>
    <w:rsid w:val="00732F25"/>
    <w:rsid w:val="007330A5"/>
    <w:rsid w:val="007330AB"/>
    <w:rsid w:val="007330D5"/>
    <w:rsid w:val="0073318C"/>
    <w:rsid w:val="007333D9"/>
    <w:rsid w:val="0073344E"/>
    <w:rsid w:val="007334EB"/>
    <w:rsid w:val="00733502"/>
    <w:rsid w:val="0073358D"/>
    <w:rsid w:val="007335C8"/>
    <w:rsid w:val="0073368B"/>
    <w:rsid w:val="007336BF"/>
    <w:rsid w:val="00733764"/>
    <w:rsid w:val="00733798"/>
    <w:rsid w:val="007337DC"/>
    <w:rsid w:val="007338C5"/>
    <w:rsid w:val="007339C9"/>
    <w:rsid w:val="00733D48"/>
    <w:rsid w:val="00733D4F"/>
    <w:rsid w:val="00733D6E"/>
    <w:rsid w:val="00733D76"/>
    <w:rsid w:val="00733D8F"/>
    <w:rsid w:val="00733DE5"/>
    <w:rsid w:val="00734252"/>
    <w:rsid w:val="0073428D"/>
    <w:rsid w:val="0073429F"/>
    <w:rsid w:val="0073436F"/>
    <w:rsid w:val="0073456B"/>
    <w:rsid w:val="007346FF"/>
    <w:rsid w:val="00734D61"/>
    <w:rsid w:val="00734DA7"/>
    <w:rsid w:val="00734DFF"/>
    <w:rsid w:val="00734E23"/>
    <w:rsid w:val="00735044"/>
    <w:rsid w:val="00735149"/>
    <w:rsid w:val="00735215"/>
    <w:rsid w:val="0073530F"/>
    <w:rsid w:val="007353A0"/>
    <w:rsid w:val="007353FF"/>
    <w:rsid w:val="00735479"/>
    <w:rsid w:val="007354A5"/>
    <w:rsid w:val="00735664"/>
    <w:rsid w:val="0073571B"/>
    <w:rsid w:val="007358CF"/>
    <w:rsid w:val="0073597A"/>
    <w:rsid w:val="00735993"/>
    <w:rsid w:val="00735997"/>
    <w:rsid w:val="00735AA9"/>
    <w:rsid w:val="00735BB8"/>
    <w:rsid w:val="00735C03"/>
    <w:rsid w:val="00735C14"/>
    <w:rsid w:val="00735D3F"/>
    <w:rsid w:val="00735E90"/>
    <w:rsid w:val="00735EC3"/>
    <w:rsid w:val="00735EF4"/>
    <w:rsid w:val="00735F5D"/>
    <w:rsid w:val="00735FAF"/>
    <w:rsid w:val="00735FCB"/>
    <w:rsid w:val="00736343"/>
    <w:rsid w:val="007364E4"/>
    <w:rsid w:val="00736559"/>
    <w:rsid w:val="007365B4"/>
    <w:rsid w:val="00736631"/>
    <w:rsid w:val="007366C5"/>
    <w:rsid w:val="0073670F"/>
    <w:rsid w:val="007367E6"/>
    <w:rsid w:val="00736A3C"/>
    <w:rsid w:val="00736AE0"/>
    <w:rsid w:val="00736BF8"/>
    <w:rsid w:val="00736D50"/>
    <w:rsid w:val="00736E15"/>
    <w:rsid w:val="007370A4"/>
    <w:rsid w:val="00737431"/>
    <w:rsid w:val="007376C7"/>
    <w:rsid w:val="00737799"/>
    <w:rsid w:val="00737AC4"/>
    <w:rsid w:val="00737AD5"/>
    <w:rsid w:val="00737B35"/>
    <w:rsid w:val="00737F03"/>
    <w:rsid w:val="007400C9"/>
    <w:rsid w:val="007403A4"/>
    <w:rsid w:val="007403EA"/>
    <w:rsid w:val="0074042D"/>
    <w:rsid w:val="00740622"/>
    <w:rsid w:val="0074080C"/>
    <w:rsid w:val="007408A1"/>
    <w:rsid w:val="00740A6C"/>
    <w:rsid w:val="00740A74"/>
    <w:rsid w:val="00740AD5"/>
    <w:rsid w:val="00740C0E"/>
    <w:rsid w:val="00740F25"/>
    <w:rsid w:val="0074107A"/>
    <w:rsid w:val="007411CA"/>
    <w:rsid w:val="0074125D"/>
    <w:rsid w:val="0074127F"/>
    <w:rsid w:val="0074128D"/>
    <w:rsid w:val="00741312"/>
    <w:rsid w:val="00741376"/>
    <w:rsid w:val="00741417"/>
    <w:rsid w:val="00741498"/>
    <w:rsid w:val="007414EC"/>
    <w:rsid w:val="00741522"/>
    <w:rsid w:val="007415C5"/>
    <w:rsid w:val="0074165E"/>
    <w:rsid w:val="007416D5"/>
    <w:rsid w:val="007416EE"/>
    <w:rsid w:val="007417CE"/>
    <w:rsid w:val="00741807"/>
    <w:rsid w:val="0074183C"/>
    <w:rsid w:val="0074185D"/>
    <w:rsid w:val="0074186F"/>
    <w:rsid w:val="00741AAE"/>
    <w:rsid w:val="00741CEC"/>
    <w:rsid w:val="00741E45"/>
    <w:rsid w:val="00741FBE"/>
    <w:rsid w:val="00741FFD"/>
    <w:rsid w:val="00742135"/>
    <w:rsid w:val="00742273"/>
    <w:rsid w:val="0074228E"/>
    <w:rsid w:val="0074245B"/>
    <w:rsid w:val="00742650"/>
    <w:rsid w:val="007426AD"/>
    <w:rsid w:val="00742883"/>
    <w:rsid w:val="00742D2B"/>
    <w:rsid w:val="00742E11"/>
    <w:rsid w:val="00742FE4"/>
    <w:rsid w:val="0074323E"/>
    <w:rsid w:val="007432E6"/>
    <w:rsid w:val="0074333A"/>
    <w:rsid w:val="007433CC"/>
    <w:rsid w:val="00743568"/>
    <w:rsid w:val="00743753"/>
    <w:rsid w:val="007438BA"/>
    <w:rsid w:val="00743921"/>
    <w:rsid w:val="00743928"/>
    <w:rsid w:val="007439C5"/>
    <w:rsid w:val="00743A50"/>
    <w:rsid w:val="00743D0E"/>
    <w:rsid w:val="00743DEB"/>
    <w:rsid w:val="00743E29"/>
    <w:rsid w:val="00743EBD"/>
    <w:rsid w:val="00743F4B"/>
    <w:rsid w:val="00743FD2"/>
    <w:rsid w:val="007440FE"/>
    <w:rsid w:val="00744124"/>
    <w:rsid w:val="007441EA"/>
    <w:rsid w:val="00744222"/>
    <w:rsid w:val="007442E4"/>
    <w:rsid w:val="007442FE"/>
    <w:rsid w:val="00744387"/>
    <w:rsid w:val="00744450"/>
    <w:rsid w:val="007445C4"/>
    <w:rsid w:val="0074471C"/>
    <w:rsid w:val="0074477C"/>
    <w:rsid w:val="0074490C"/>
    <w:rsid w:val="00744A2C"/>
    <w:rsid w:val="00744B90"/>
    <w:rsid w:val="00744D80"/>
    <w:rsid w:val="00744DDE"/>
    <w:rsid w:val="00744E27"/>
    <w:rsid w:val="00744F71"/>
    <w:rsid w:val="00744F8D"/>
    <w:rsid w:val="00744F9F"/>
    <w:rsid w:val="00745061"/>
    <w:rsid w:val="0074519E"/>
    <w:rsid w:val="007451EF"/>
    <w:rsid w:val="007452A8"/>
    <w:rsid w:val="0074532F"/>
    <w:rsid w:val="007455DC"/>
    <w:rsid w:val="00745636"/>
    <w:rsid w:val="0074568F"/>
    <w:rsid w:val="007457C1"/>
    <w:rsid w:val="007457D2"/>
    <w:rsid w:val="0074588B"/>
    <w:rsid w:val="0074593B"/>
    <w:rsid w:val="007459D1"/>
    <w:rsid w:val="007459F2"/>
    <w:rsid w:val="00745C9B"/>
    <w:rsid w:val="00745D7A"/>
    <w:rsid w:val="00745DE6"/>
    <w:rsid w:val="00745E09"/>
    <w:rsid w:val="00745FA5"/>
    <w:rsid w:val="00746027"/>
    <w:rsid w:val="00746386"/>
    <w:rsid w:val="007463C3"/>
    <w:rsid w:val="00746446"/>
    <w:rsid w:val="0074648F"/>
    <w:rsid w:val="007464BA"/>
    <w:rsid w:val="00746599"/>
    <w:rsid w:val="00746860"/>
    <w:rsid w:val="0074688E"/>
    <w:rsid w:val="007468E4"/>
    <w:rsid w:val="00746A27"/>
    <w:rsid w:val="00746AC8"/>
    <w:rsid w:val="00746B37"/>
    <w:rsid w:val="00746B9E"/>
    <w:rsid w:val="00746BBC"/>
    <w:rsid w:val="00746DA6"/>
    <w:rsid w:val="00746FE0"/>
    <w:rsid w:val="00747040"/>
    <w:rsid w:val="007471AD"/>
    <w:rsid w:val="00747334"/>
    <w:rsid w:val="0074742D"/>
    <w:rsid w:val="007474E7"/>
    <w:rsid w:val="00747581"/>
    <w:rsid w:val="007475A2"/>
    <w:rsid w:val="007475E7"/>
    <w:rsid w:val="00747675"/>
    <w:rsid w:val="007476DC"/>
    <w:rsid w:val="0074775C"/>
    <w:rsid w:val="007477D8"/>
    <w:rsid w:val="00747864"/>
    <w:rsid w:val="00747914"/>
    <w:rsid w:val="00747B78"/>
    <w:rsid w:val="00747E2B"/>
    <w:rsid w:val="00747E4E"/>
    <w:rsid w:val="00747FDC"/>
    <w:rsid w:val="00750183"/>
    <w:rsid w:val="00750241"/>
    <w:rsid w:val="00750242"/>
    <w:rsid w:val="007502A8"/>
    <w:rsid w:val="00750367"/>
    <w:rsid w:val="00750380"/>
    <w:rsid w:val="00750424"/>
    <w:rsid w:val="007504A8"/>
    <w:rsid w:val="007504DF"/>
    <w:rsid w:val="007504FA"/>
    <w:rsid w:val="00750614"/>
    <w:rsid w:val="007507A9"/>
    <w:rsid w:val="00750B14"/>
    <w:rsid w:val="00750DBA"/>
    <w:rsid w:val="00750EB1"/>
    <w:rsid w:val="00750EB8"/>
    <w:rsid w:val="0075103B"/>
    <w:rsid w:val="0075105F"/>
    <w:rsid w:val="007510E1"/>
    <w:rsid w:val="00751178"/>
    <w:rsid w:val="0075124C"/>
    <w:rsid w:val="007512D1"/>
    <w:rsid w:val="00751329"/>
    <w:rsid w:val="00751426"/>
    <w:rsid w:val="007514B4"/>
    <w:rsid w:val="0075166E"/>
    <w:rsid w:val="00751670"/>
    <w:rsid w:val="00751686"/>
    <w:rsid w:val="0075178E"/>
    <w:rsid w:val="00751864"/>
    <w:rsid w:val="007519DF"/>
    <w:rsid w:val="00751AB5"/>
    <w:rsid w:val="00751AC6"/>
    <w:rsid w:val="00751D4D"/>
    <w:rsid w:val="00751E7A"/>
    <w:rsid w:val="00751F18"/>
    <w:rsid w:val="00751F20"/>
    <w:rsid w:val="00751FDC"/>
    <w:rsid w:val="00751FF0"/>
    <w:rsid w:val="007520D0"/>
    <w:rsid w:val="007521D1"/>
    <w:rsid w:val="0075220A"/>
    <w:rsid w:val="00752363"/>
    <w:rsid w:val="0075245C"/>
    <w:rsid w:val="007526CE"/>
    <w:rsid w:val="00752807"/>
    <w:rsid w:val="007528E3"/>
    <w:rsid w:val="00752AB7"/>
    <w:rsid w:val="00752AFF"/>
    <w:rsid w:val="00752C3F"/>
    <w:rsid w:val="00752D5E"/>
    <w:rsid w:val="00752E2C"/>
    <w:rsid w:val="00752E50"/>
    <w:rsid w:val="0075309D"/>
    <w:rsid w:val="00753150"/>
    <w:rsid w:val="00753211"/>
    <w:rsid w:val="0075328E"/>
    <w:rsid w:val="00753366"/>
    <w:rsid w:val="007533BD"/>
    <w:rsid w:val="00753418"/>
    <w:rsid w:val="0075344A"/>
    <w:rsid w:val="00753559"/>
    <w:rsid w:val="00753560"/>
    <w:rsid w:val="007535D5"/>
    <w:rsid w:val="0075370A"/>
    <w:rsid w:val="0075373C"/>
    <w:rsid w:val="007537E7"/>
    <w:rsid w:val="00753851"/>
    <w:rsid w:val="0075386C"/>
    <w:rsid w:val="00753942"/>
    <w:rsid w:val="007539D7"/>
    <w:rsid w:val="00753A4C"/>
    <w:rsid w:val="00753A52"/>
    <w:rsid w:val="00753A6F"/>
    <w:rsid w:val="00753ABF"/>
    <w:rsid w:val="00753BC7"/>
    <w:rsid w:val="00753C42"/>
    <w:rsid w:val="00753C4A"/>
    <w:rsid w:val="00753FEC"/>
    <w:rsid w:val="007540A3"/>
    <w:rsid w:val="007541F8"/>
    <w:rsid w:val="00754397"/>
    <w:rsid w:val="0075444F"/>
    <w:rsid w:val="007544F7"/>
    <w:rsid w:val="00754558"/>
    <w:rsid w:val="00754726"/>
    <w:rsid w:val="00754865"/>
    <w:rsid w:val="00754D78"/>
    <w:rsid w:val="00754DD7"/>
    <w:rsid w:val="00754E19"/>
    <w:rsid w:val="007550AF"/>
    <w:rsid w:val="007550B2"/>
    <w:rsid w:val="0075521E"/>
    <w:rsid w:val="00755312"/>
    <w:rsid w:val="007554D2"/>
    <w:rsid w:val="00755563"/>
    <w:rsid w:val="007556E7"/>
    <w:rsid w:val="00755783"/>
    <w:rsid w:val="007557E0"/>
    <w:rsid w:val="00755BD1"/>
    <w:rsid w:val="00755CC8"/>
    <w:rsid w:val="00755E78"/>
    <w:rsid w:val="00755F12"/>
    <w:rsid w:val="00756247"/>
    <w:rsid w:val="00756288"/>
    <w:rsid w:val="007567DA"/>
    <w:rsid w:val="00756A91"/>
    <w:rsid w:val="00756AAD"/>
    <w:rsid w:val="00756ADE"/>
    <w:rsid w:val="00756B8C"/>
    <w:rsid w:val="00756D00"/>
    <w:rsid w:val="00756ED1"/>
    <w:rsid w:val="00757057"/>
    <w:rsid w:val="00757091"/>
    <w:rsid w:val="00757096"/>
    <w:rsid w:val="00757143"/>
    <w:rsid w:val="00757255"/>
    <w:rsid w:val="00757315"/>
    <w:rsid w:val="00757436"/>
    <w:rsid w:val="00757A4D"/>
    <w:rsid w:val="00757BE2"/>
    <w:rsid w:val="00757C6D"/>
    <w:rsid w:val="00757CC2"/>
    <w:rsid w:val="00757DFF"/>
    <w:rsid w:val="00757EB3"/>
    <w:rsid w:val="00757F61"/>
    <w:rsid w:val="00757FAB"/>
    <w:rsid w:val="007600BA"/>
    <w:rsid w:val="0076015E"/>
    <w:rsid w:val="0076016B"/>
    <w:rsid w:val="00760268"/>
    <w:rsid w:val="0076031B"/>
    <w:rsid w:val="007605B9"/>
    <w:rsid w:val="007607D0"/>
    <w:rsid w:val="00760A70"/>
    <w:rsid w:val="00760A82"/>
    <w:rsid w:val="00760A94"/>
    <w:rsid w:val="00760C19"/>
    <w:rsid w:val="00760D20"/>
    <w:rsid w:val="00760F1A"/>
    <w:rsid w:val="00760FF0"/>
    <w:rsid w:val="00761115"/>
    <w:rsid w:val="00761156"/>
    <w:rsid w:val="0076119F"/>
    <w:rsid w:val="007611DF"/>
    <w:rsid w:val="0076148F"/>
    <w:rsid w:val="007615D9"/>
    <w:rsid w:val="007616A0"/>
    <w:rsid w:val="00761A4D"/>
    <w:rsid w:val="00761BF3"/>
    <w:rsid w:val="00761C87"/>
    <w:rsid w:val="00761CA2"/>
    <w:rsid w:val="00761D61"/>
    <w:rsid w:val="00761DB3"/>
    <w:rsid w:val="00761DCA"/>
    <w:rsid w:val="00761E81"/>
    <w:rsid w:val="00761F4E"/>
    <w:rsid w:val="00762003"/>
    <w:rsid w:val="00762095"/>
    <w:rsid w:val="007621B4"/>
    <w:rsid w:val="0076223B"/>
    <w:rsid w:val="00762264"/>
    <w:rsid w:val="007623E2"/>
    <w:rsid w:val="007624E6"/>
    <w:rsid w:val="0076256E"/>
    <w:rsid w:val="007625AF"/>
    <w:rsid w:val="007625CD"/>
    <w:rsid w:val="00762757"/>
    <w:rsid w:val="00762815"/>
    <w:rsid w:val="00762955"/>
    <w:rsid w:val="0076295C"/>
    <w:rsid w:val="00762AAD"/>
    <w:rsid w:val="00762AFB"/>
    <w:rsid w:val="00762D10"/>
    <w:rsid w:val="00762D8C"/>
    <w:rsid w:val="00762DDF"/>
    <w:rsid w:val="00763007"/>
    <w:rsid w:val="00763033"/>
    <w:rsid w:val="0076316A"/>
    <w:rsid w:val="007634BE"/>
    <w:rsid w:val="00763649"/>
    <w:rsid w:val="0076371C"/>
    <w:rsid w:val="007637C0"/>
    <w:rsid w:val="0076383F"/>
    <w:rsid w:val="007638EF"/>
    <w:rsid w:val="00763A09"/>
    <w:rsid w:val="00763A57"/>
    <w:rsid w:val="00763A7F"/>
    <w:rsid w:val="00763C35"/>
    <w:rsid w:val="00763D4B"/>
    <w:rsid w:val="007640CE"/>
    <w:rsid w:val="0076425C"/>
    <w:rsid w:val="007642F0"/>
    <w:rsid w:val="0076437E"/>
    <w:rsid w:val="0076468E"/>
    <w:rsid w:val="007648C2"/>
    <w:rsid w:val="00764B38"/>
    <w:rsid w:val="00764B8A"/>
    <w:rsid w:val="00764BA6"/>
    <w:rsid w:val="00764C08"/>
    <w:rsid w:val="00764C16"/>
    <w:rsid w:val="00764CB9"/>
    <w:rsid w:val="007650BC"/>
    <w:rsid w:val="00765148"/>
    <w:rsid w:val="007652F6"/>
    <w:rsid w:val="00765605"/>
    <w:rsid w:val="0076564B"/>
    <w:rsid w:val="00765897"/>
    <w:rsid w:val="00765B1E"/>
    <w:rsid w:val="00765B7E"/>
    <w:rsid w:val="00765BC2"/>
    <w:rsid w:val="00765DE7"/>
    <w:rsid w:val="007660A5"/>
    <w:rsid w:val="00766171"/>
    <w:rsid w:val="0076619E"/>
    <w:rsid w:val="00766453"/>
    <w:rsid w:val="00766489"/>
    <w:rsid w:val="0076654E"/>
    <w:rsid w:val="00766583"/>
    <w:rsid w:val="00766697"/>
    <w:rsid w:val="007666E2"/>
    <w:rsid w:val="007668D4"/>
    <w:rsid w:val="0076692E"/>
    <w:rsid w:val="00766AB3"/>
    <w:rsid w:val="00766B36"/>
    <w:rsid w:val="00766CCF"/>
    <w:rsid w:val="00766E8F"/>
    <w:rsid w:val="00766EAF"/>
    <w:rsid w:val="00766F47"/>
    <w:rsid w:val="00766F68"/>
    <w:rsid w:val="00767007"/>
    <w:rsid w:val="007670BC"/>
    <w:rsid w:val="007670F3"/>
    <w:rsid w:val="00767182"/>
    <w:rsid w:val="00767352"/>
    <w:rsid w:val="00767383"/>
    <w:rsid w:val="007673B0"/>
    <w:rsid w:val="00767702"/>
    <w:rsid w:val="0076788E"/>
    <w:rsid w:val="007678E9"/>
    <w:rsid w:val="00767A92"/>
    <w:rsid w:val="00767AC3"/>
    <w:rsid w:val="00767CCF"/>
    <w:rsid w:val="00767F29"/>
    <w:rsid w:val="00767FFD"/>
    <w:rsid w:val="00770107"/>
    <w:rsid w:val="00770250"/>
    <w:rsid w:val="00770260"/>
    <w:rsid w:val="00770282"/>
    <w:rsid w:val="00770564"/>
    <w:rsid w:val="007707CC"/>
    <w:rsid w:val="007707F0"/>
    <w:rsid w:val="0077084A"/>
    <w:rsid w:val="00770875"/>
    <w:rsid w:val="007708C2"/>
    <w:rsid w:val="00770AC0"/>
    <w:rsid w:val="00770E09"/>
    <w:rsid w:val="00770E6A"/>
    <w:rsid w:val="00770F3D"/>
    <w:rsid w:val="007710FD"/>
    <w:rsid w:val="00771236"/>
    <w:rsid w:val="0077160D"/>
    <w:rsid w:val="00771663"/>
    <w:rsid w:val="00771B33"/>
    <w:rsid w:val="00771C27"/>
    <w:rsid w:val="00771C30"/>
    <w:rsid w:val="00771C5C"/>
    <w:rsid w:val="00771D3A"/>
    <w:rsid w:val="0077206C"/>
    <w:rsid w:val="00772231"/>
    <w:rsid w:val="0077232D"/>
    <w:rsid w:val="0077233A"/>
    <w:rsid w:val="00772369"/>
    <w:rsid w:val="00772418"/>
    <w:rsid w:val="007724AD"/>
    <w:rsid w:val="007726DF"/>
    <w:rsid w:val="00772711"/>
    <w:rsid w:val="007727D1"/>
    <w:rsid w:val="0077295C"/>
    <w:rsid w:val="00772B6C"/>
    <w:rsid w:val="00772BEE"/>
    <w:rsid w:val="00772DEE"/>
    <w:rsid w:val="00772F91"/>
    <w:rsid w:val="0077302F"/>
    <w:rsid w:val="007730F0"/>
    <w:rsid w:val="00773151"/>
    <w:rsid w:val="0077325F"/>
    <w:rsid w:val="00773315"/>
    <w:rsid w:val="007733A9"/>
    <w:rsid w:val="007734E0"/>
    <w:rsid w:val="007737BD"/>
    <w:rsid w:val="00773883"/>
    <w:rsid w:val="007738E9"/>
    <w:rsid w:val="0077399E"/>
    <w:rsid w:val="007739B6"/>
    <w:rsid w:val="00773DA5"/>
    <w:rsid w:val="00773DFC"/>
    <w:rsid w:val="00773EA9"/>
    <w:rsid w:val="0077401A"/>
    <w:rsid w:val="00774104"/>
    <w:rsid w:val="00774121"/>
    <w:rsid w:val="007742D6"/>
    <w:rsid w:val="00774493"/>
    <w:rsid w:val="0077457C"/>
    <w:rsid w:val="0077469D"/>
    <w:rsid w:val="007748D5"/>
    <w:rsid w:val="0077494F"/>
    <w:rsid w:val="00774A38"/>
    <w:rsid w:val="00774BB2"/>
    <w:rsid w:val="00774C91"/>
    <w:rsid w:val="00774DD1"/>
    <w:rsid w:val="00774E0E"/>
    <w:rsid w:val="00774E53"/>
    <w:rsid w:val="00774FE1"/>
    <w:rsid w:val="007750D3"/>
    <w:rsid w:val="00775170"/>
    <w:rsid w:val="007751EE"/>
    <w:rsid w:val="0077520B"/>
    <w:rsid w:val="0077521F"/>
    <w:rsid w:val="007752B1"/>
    <w:rsid w:val="007752D8"/>
    <w:rsid w:val="0077533D"/>
    <w:rsid w:val="0077535F"/>
    <w:rsid w:val="00775402"/>
    <w:rsid w:val="00775462"/>
    <w:rsid w:val="00775527"/>
    <w:rsid w:val="007755E2"/>
    <w:rsid w:val="00775676"/>
    <w:rsid w:val="007757FC"/>
    <w:rsid w:val="00775947"/>
    <w:rsid w:val="00775ABF"/>
    <w:rsid w:val="00775B9C"/>
    <w:rsid w:val="00775DE3"/>
    <w:rsid w:val="00775E83"/>
    <w:rsid w:val="00775E8C"/>
    <w:rsid w:val="00775F36"/>
    <w:rsid w:val="00776036"/>
    <w:rsid w:val="00776081"/>
    <w:rsid w:val="007760CD"/>
    <w:rsid w:val="00776167"/>
    <w:rsid w:val="0077616B"/>
    <w:rsid w:val="0077620B"/>
    <w:rsid w:val="007762A1"/>
    <w:rsid w:val="007762F6"/>
    <w:rsid w:val="00776398"/>
    <w:rsid w:val="007763DD"/>
    <w:rsid w:val="00776458"/>
    <w:rsid w:val="007764B1"/>
    <w:rsid w:val="00776644"/>
    <w:rsid w:val="007766E5"/>
    <w:rsid w:val="00776779"/>
    <w:rsid w:val="007767AE"/>
    <w:rsid w:val="00776943"/>
    <w:rsid w:val="00776BF7"/>
    <w:rsid w:val="00776C87"/>
    <w:rsid w:val="00776C92"/>
    <w:rsid w:val="00776D54"/>
    <w:rsid w:val="00776F77"/>
    <w:rsid w:val="00777184"/>
    <w:rsid w:val="007771C9"/>
    <w:rsid w:val="00777315"/>
    <w:rsid w:val="0077733F"/>
    <w:rsid w:val="00777579"/>
    <w:rsid w:val="0077759B"/>
    <w:rsid w:val="007778B5"/>
    <w:rsid w:val="00777980"/>
    <w:rsid w:val="00777A67"/>
    <w:rsid w:val="00777A72"/>
    <w:rsid w:val="00777AD8"/>
    <w:rsid w:val="00777B54"/>
    <w:rsid w:val="00777B7F"/>
    <w:rsid w:val="00777D21"/>
    <w:rsid w:val="00777D40"/>
    <w:rsid w:val="00777F04"/>
    <w:rsid w:val="00777F5C"/>
    <w:rsid w:val="00780113"/>
    <w:rsid w:val="00780131"/>
    <w:rsid w:val="00780164"/>
    <w:rsid w:val="007801B9"/>
    <w:rsid w:val="00780207"/>
    <w:rsid w:val="00780299"/>
    <w:rsid w:val="007802ED"/>
    <w:rsid w:val="00780390"/>
    <w:rsid w:val="007803C0"/>
    <w:rsid w:val="007803E1"/>
    <w:rsid w:val="007805D5"/>
    <w:rsid w:val="00780631"/>
    <w:rsid w:val="00780707"/>
    <w:rsid w:val="007809C5"/>
    <w:rsid w:val="00780AB6"/>
    <w:rsid w:val="00780C0A"/>
    <w:rsid w:val="00780D0D"/>
    <w:rsid w:val="00780D4B"/>
    <w:rsid w:val="00780DB6"/>
    <w:rsid w:val="00780F91"/>
    <w:rsid w:val="00780FC0"/>
    <w:rsid w:val="007810C3"/>
    <w:rsid w:val="007810DE"/>
    <w:rsid w:val="00781378"/>
    <w:rsid w:val="007814EC"/>
    <w:rsid w:val="0078157E"/>
    <w:rsid w:val="0078164B"/>
    <w:rsid w:val="00781836"/>
    <w:rsid w:val="007818E1"/>
    <w:rsid w:val="007819C6"/>
    <w:rsid w:val="007819E9"/>
    <w:rsid w:val="00781A39"/>
    <w:rsid w:val="00781AED"/>
    <w:rsid w:val="00781AF4"/>
    <w:rsid w:val="00781B31"/>
    <w:rsid w:val="00781B35"/>
    <w:rsid w:val="00781B50"/>
    <w:rsid w:val="00781BC9"/>
    <w:rsid w:val="00781BED"/>
    <w:rsid w:val="00781C11"/>
    <w:rsid w:val="00781E67"/>
    <w:rsid w:val="00781F22"/>
    <w:rsid w:val="00781F99"/>
    <w:rsid w:val="00782029"/>
    <w:rsid w:val="007820CB"/>
    <w:rsid w:val="0078218E"/>
    <w:rsid w:val="007824CE"/>
    <w:rsid w:val="00782571"/>
    <w:rsid w:val="007825AD"/>
    <w:rsid w:val="007826AE"/>
    <w:rsid w:val="007826DA"/>
    <w:rsid w:val="00782757"/>
    <w:rsid w:val="0078276D"/>
    <w:rsid w:val="007827F7"/>
    <w:rsid w:val="0078288E"/>
    <w:rsid w:val="0078291E"/>
    <w:rsid w:val="00782A01"/>
    <w:rsid w:val="00782AC1"/>
    <w:rsid w:val="00782AC5"/>
    <w:rsid w:val="00782B52"/>
    <w:rsid w:val="00782C60"/>
    <w:rsid w:val="007830D0"/>
    <w:rsid w:val="007831D9"/>
    <w:rsid w:val="0078321E"/>
    <w:rsid w:val="007832E8"/>
    <w:rsid w:val="00783396"/>
    <w:rsid w:val="00783430"/>
    <w:rsid w:val="00783456"/>
    <w:rsid w:val="0078356E"/>
    <w:rsid w:val="00783677"/>
    <w:rsid w:val="007836D7"/>
    <w:rsid w:val="00783709"/>
    <w:rsid w:val="007837E4"/>
    <w:rsid w:val="00783827"/>
    <w:rsid w:val="0078383C"/>
    <w:rsid w:val="00783843"/>
    <w:rsid w:val="0078386A"/>
    <w:rsid w:val="00783924"/>
    <w:rsid w:val="00783A69"/>
    <w:rsid w:val="00783AB7"/>
    <w:rsid w:val="00783BE1"/>
    <w:rsid w:val="00783C5E"/>
    <w:rsid w:val="00783DC6"/>
    <w:rsid w:val="00783E21"/>
    <w:rsid w:val="00783F45"/>
    <w:rsid w:val="00783FCE"/>
    <w:rsid w:val="00784086"/>
    <w:rsid w:val="007841E4"/>
    <w:rsid w:val="00784384"/>
    <w:rsid w:val="00784560"/>
    <w:rsid w:val="00784565"/>
    <w:rsid w:val="0078462F"/>
    <w:rsid w:val="007846C3"/>
    <w:rsid w:val="0078483F"/>
    <w:rsid w:val="00784889"/>
    <w:rsid w:val="0078495D"/>
    <w:rsid w:val="00784963"/>
    <w:rsid w:val="007849FF"/>
    <w:rsid w:val="00784A74"/>
    <w:rsid w:val="00784B69"/>
    <w:rsid w:val="00784D73"/>
    <w:rsid w:val="00784DC0"/>
    <w:rsid w:val="00784E83"/>
    <w:rsid w:val="00784EF2"/>
    <w:rsid w:val="00784EF8"/>
    <w:rsid w:val="00784F1F"/>
    <w:rsid w:val="00784F9D"/>
    <w:rsid w:val="00785006"/>
    <w:rsid w:val="0078519D"/>
    <w:rsid w:val="00785216"/>
    <w:rsid w:val="00785258"/>
    <w:rsid w:val="007855EB"/>
    <w:rsid w:val="0078561E"/>
    <w:rsid w:val="0078570A"/>
    <w:rsid w:val="0078571D"/>
    <w:rsid w:val="00785818"/>
    <w:rsid w:val="007859D1"/>
    <w:rsid w:val="00785A6C"/>
    <w:rsid w:val="00785ABE"/>
    <w:rsid w:val="00785ACD"/>
    <w:rsid w:val="00785BD9"/>
    <w:rsid w:val="00785D91"/>
    <w:rsid w:val="00785DB9"/>
    <w:rsid w:val="00785DF2"/>
    <w:rsid w:val="00785E6A"/>
    <w:rsid w:val="00785F5C"/>
    <w:rsid w:val="00786009"/>
    <w:rsid w:val="0078628C"/>
    <w:rsid w:val="00786383"/>
    <w:rsid w:val="00786434"/>
    <w:rsid w:val="0078644A"/>
    <w:rsid w:val="007865BF"/>
    <w:rsid w:val="007866F7"/>
    <w:rsid w:val="00786742"/>
    <w:rsid w:val="0078676E"/>
    <w:rsid w:val="0078681F"/>
    <w:rsid w:val="00786954"/>
    <w:rsid w:val="007869F2"/>
    <w:rsid w:val="00786A69"/>
    <w:rsid w:val="00786AFD"/>
    <w:rsid w:val="00786B28"/>
    <w:rsid w:val="00786DF2"/>
    <w:rsid w:val="00786E2F"/>
    <w:rsid w:val="00786F08"/>
    <w:rsid w:val="00786FFC"/>
    <w:rsid w:val="007870F3"/>
    <w:rsid w:val="00787116"/>
    <w:rsid w:val="007873A8"/>
    <w:rsid w:val="00787558"/>
    <w:rsid w:val="0078765A"/>
    <w:rsid w:val="007876CD"/>
    <w:rsid w:val="007876D5"/>
    <w:rsid w:val="0078774E"/>
    <w:rsid w:val="00787B7D"/>
    <w:rsid w:val="00787C29"/>
    <w:rsid w:val="007900DF"/>
    <w:rsid w:val="0079017F"/>
    <w:rsid w:val="007903D5"/>
    <w:rsid w:val="00790448"/>
    <w:rsid w:val="0079049C"/>
    <w:rsid w:val="007908C6"/>
    <w:rsid w:val="00790AA0"/>
    <w:rsid w:val="00790AF6"/>
    <w:rsid w:val="00790B4B"/>
    <w:rsid w:val="00790BC0"/>
    <w:rsid w:val="00790EF3"/>
    <w:rsid w:val="00790F17"/>
    <w:rsid w:val="00791146"/>
    <w:rsid w:val="00791376"/>
    <w:rsid w:val="007914D0"/>
    <w:rsid w:val="007914DC"/>
    <w:rsid w:val="0079178A"/>
    <w:rsid w:val="00791C7B"/>
    <w:rsid w:val="00792056"/>
    <w:rsid w:val="00792065"/>
    <w:rsid w:val="0079232D"/>
    <w:rsid w:val="0079235B"/>
    <w:rsid w:val="00792375"/>
    <w:rsid w:val="007924F8"/>
    <w:rsid w:val="00792534"/>
    <w:rsid w:val="007925CD"/>
    <w:rsid w:val="00792629"/>
    <w:rsid w:val="007926ED"/>
    <w:rsid w:val="0079278C"/>
    <w:rsid w:val="0079281F"/>
    <w:rsid w:val="0079295B"/>
    <w:rsid w:val="00792A17"/>
    <w:rsid w:val="00792B32"/>
    <w:rsid w:val="00792B4E"/>
    <w:rsid w:val="00792BA6"/>
    <w:rsid w:val="00792BCF"/>
    <w:rsid w:val="00792D97"/>
    <w:rsid w:val="00792DB3"/>
    <w:rsid w:val="00792E45"/>
    <w:rsid w:val="00793005"/>
    <w:rsid w:val="00793017"/>
    <w:rsid w:val="0079309D"/>
    <w:rsid w:val="00793350"/>
    <w:rsid w:val="00793380"/>
    <w:rsid w:val="00793452"/>
    <w:rsid w:val="007934AC"/>
    <w:rsid w:val="00793698"/>
    <w:rsid w:val="00793766"/>
    <w:rsid w:val="007937B5"/>
    <w:rsid w:val="00793826"/>
    <w:rsid w:val="00793882"/>
    <w:rsid w:val="0079395B"/>
    <w:rsid w:val="007939B8"/>
    <w:rsid w:val="007939BF"/>
    <w:rsid w:val="00793A79"/>
    <w:rsid w:val="00793B9A"/>
    <w:rsid w:val="00793BA6"/>
    <w:rsid w:val="00793C76"/>
    <w:rsid w:val="00793C88"/>
    <w:rsid w:val="00793EC0"/>
    <w:rsid w:val="00794051"/>
    <w:rsid w:val="00794098"/>
    <w:rsid w:val="007940D2"/>
    <w:rsid w:val="007940E8"/>
    <w:rsid w:val="0079433E"/>
    <w:rsid w:val="0079438D"/>
    <w:rsid w:val="007943AC"/>
    <w:rsid w:val="007943B4"/>
    <w:rsid w:val="0079445D"/>
    <w:rsid w:val="00794630"/>
    <w:rsid w:val="007946CC"/>
    <w:rsid w:val="00794754"/>
    <w:rsid w:val="00794773"/>
    <w:rsid w:val="0079485C"/>
    <w:rsid w:val="007948CA"/>
    <w:rsid w:val="007949A6"/>
    <w:rsid w:val="00794A93"/>
    <w:rsid w:val="00794AFB"/>
    <w:rsid w:val="00794D2C"/>
    <w:rsid w:val="00794D51"/>
    <w:rsid w:val="00794DEF"/>
    <w:rsid w:val="00794F40"/>
    <w:rsid w:val="0079529E"/>
    <w:rsid w:val="00795532"/>
    <w:rsid w:val="0079557F"/>
    <w:rsid w:val="00795615"/>
    <w:rsid w:val="00795714"/>
    <w:rsid w:val="00795865"/>
    <w:rsid w:val="00795A21"/>
    <w:rsid w:val="00795A67"/>
    <w:rsid w:val="00795DD4"/>
    <w:rsid w:val="00795DFD"/>
    <w:rsid w:val="00796054"/>
    <w:rsid w:val="007960F2"/>
    <w:rsid w:val="00796311"/>
    <w:rsid w:val="007963E7"/>
    <w:rsid w:val="00796423"/>
    <w:rsid w:val="0079657D"/>
    <w:rsid w:val="007966A9"/>
    <w:rsid w:val="007966DA"/>
    <w:rsid w:val="0079675A"/>
    <w:rsid w:val="00796781"/>
    <w:rsid w:val="007967D2"/>
    <w:rsid w:val="0079683F"/>
    <w:rsid w:val="00796883"/>
    <w:rsid w:val="00796A4B"/>
    <w:rsid w:val="00796C80"/>
    <w:rsid w:val="00796D36"/>
    <w:rsid w:val="00796EC1"/>
    <w:rsid w:val="00797088"/>
    <w:rsid w:val="00797094"/>
    <w:rsid w:val="007970E3"/>
    <w:rsid w:val="00797107"/>
    <w:rsid w:val="00797108"/>
    <w:rsid w:val="00797472"/>
    <w:rsid w:val="00797747"/>
    <w:rsid w:val="0079797C"/>
    <w:rsid w:val="00797988"/>
    <w:rsid w:val="00797E96"/>
    <w:rsid w:val="00797F5D"/>
    <w:rsid w:val="007A004B"/>
    <w:rsid w:val="007A0095"/>
    <w:rsid w:val="007A03A5"/>
    <w:rsid w:val="007A0418"/>
    <w:rsid w:val="007A056B"/>
    <w:rsid w:val="007A0721"/>
    <w:rsid w:val="007A08D6"/>
    <w:rsid w:val="007A08E7"/>
    <w:rsid w:val="007A098C"/>
    <w:rsid w:val="007A0B39"/>
    <w:rsid w:val="007A0D35"/>
    <w:rsid w:val="007A0E2E"/>
    <w:rsid w:val="007A0F64"/>
    <w:rsid w:val="007A1019"/>
    <w:rsid w:val="007A1148"/>
    <w:rsid w:val="007A11C1"/>
    <w:rsid w:val="007A1233"/>
    <w:rsid w:val="007A130D"/>
    <w:rsid w:val="007A13FB"/>
    <w:rsid w:val="007A14DC"/>
    <w:rsid w:val="007A15EF"/>
    <w:rsid w:val="007A17C3"/>
    <w:rsid w:val="007A17D8"/>
    <w:rsid w:val="007A18C4"/>
    <w:rsid w:val="007A19E4"/>
    <w:rsid w:val="007A1A44"/>
    <w:rsid w:val="007A1BA8"/>
    <w:rsid w:val="007A1C4C"/>
    <w:rsid w:val="007A1D7C"/>
    <w:rsid w:val="007A1DCB"/>
    <w:rsid w:val="007A1EA6"/>
    <w:rsid w:val="007A201B"/>
    <w:rsid w:val="007A20E1"/>
    <w:rsid w:val="007A2405"/>
    <w:rsid w:val="007A256C"/>
    <w:rsid w:val="007A2580"/>
    <w:rsid w:val="007A2583"/>
    <w:rsid w:val="007A27B3"/>
    <w:rsid w:val="007A2901"/>
    <w:rsid w:val="007A2918"/>
    <w:rsid w:val="007A2A3E"/>
    <w:rsid w:val="007A2A6D"/>
    <w:rsid w:val="007A2AC6"/>
    <w:rsid w:val="007A2C8E"/>
    <w:rsid w:val="007A2CF0"/>
    <w:rsid w:val="007A2DA1"/>
    <w:rsid w:val="007A2DC4"/>
    <w:rsid w:val="007A2FAE"/>
    <w:rsid w:val="007A300D"/>
    <w:rsid w:val="007A30D8"/>
    <w:rsid w:val="007A31DE"/>
    <w:rsid w:val="007A323D"/>
    <w:rsid w:val="007A33AE"/>
    <w:rsid w:val="007A33F6"/>
    <w:rsid w:val="007A3470"/>
    <w:rsid w:val="007A360B"/>
    <w:rsid w:val="007A363C"/>
    <w:rsid w:val="007A37C8"/>
    <w:rsid w:val="007A37D2"/>
    <w:rsid w:val="007A3877"/>
    <w:rsid w:val="007A38AE"/>
    <w:rsid w:val="007A3975"/>
    <w:rsid w:val="007A39C1"/>
    <w:rsid w:val="007A39D9"/>
    <w:rsid w:val="007A3A09"/>
    <w:rsid w:val="007A3A50"/>
    <w:rsid w:val="007A3AB7"/>
    <w:rsid w:val="007A3BD9"/>
    <w:rsid w:val="007A3D29"/>
    <w:rsid w:val="007A3D2F"/>
    <w:rsid w:val="007A3D6E"/>
    <w:rsid w:val="007A3D9B"/>
    <w:rsid w:val="007A3DB0"/>
    <w:rsid w:val="007A3DC2"/>
    <w:rsid w:val="007A4069"/>
    <w:rsid w:val="007A41CC"/>
    <w:rsid w:val="007A42CE"/>
    <w:rsid w:val="007A43D2"/>
    <w:rsid w:val="007A4412"/>
    <w:rsid w:val="007A459E"/>
    <w:rsid w:val="007A46A6"/>
    <w:rsid w:val="007A4963"/>
    <w:rsid w:val="007A4979"/>
    <w:rsid w:val="007A4C63"/>
    <w:rsid w:val="007A4F13"/>
    <w:rsid w:val="007A4F2D"/>
    <w:rsid w:val="007A4F80"/>
    <w:rsid w:val="007A51C6"/>
    <w:rsid w:val="007A5354"/>
    <w:rsid w:val="007A5373"/>
    <w:rsid w:val="007A5399"/>
    <w:rsid w:val="007A5494"/>
    <w:rsid w:val="007A5529"/>
    <w:rsid w:val="007A5809"/>
    <w:rsid w:val="007A5955"/>
    <w:rsid w:val="007A5ACC"/>
    <w:rsid w:val="007A5B7B"/>
    <w:rsid w:val="007A5BB7"/>
    <w:rsid w:val="007A5C0F"/>
    <w:rsid w:val="007A6070"/>
    <w:rsid w:val="007A60BA"/>
    <w:rsid w:val="007A614A"/>
    <w:rsid w:val="007A65B8"/>
    <w:rsid w:val="007A67B6"/>
    <w:rsid w:val="007A6934"/>
    <w:rsid w:val="007A6AA9"/>
    <w:rsid w:val="007A6BE3"/>
    <w:rsid w:val="007A6C16"/>
    <w:rsid w:val="007A6EFF"/>
    <w:rsid w:val="007A71C0"/>
    <w:rsid w:val="007A721B"/>
    <w:rsid w:val="007A72E4"/>
    <w:rsid w:val="007A732C"/>
    <w:rsid w:val="007A7592"/>
    <w:rsid w:val="007A75A0"/>
    <w:rsid w:val="007A75B5"/>
    <w:rsid w:val="007A77E3"/>
    <w:rsid w:val="007A77F6"/>
    <w:rsid w:val="007A7817"/>
    <w:rsid w:val="007A78A0"/>
    <w:rsid w:val="007A792D"/>
    <w:rsid w:val="007A7B18"/>
    <w:rsid w:val="007A7BAB"/>
    <w:rsid w:val="007A7C3E"/>
    <w:rsid w:val="007A7E15"/>
    <w:rsid w:val="007B00C2"/>
    <w:rsid w:val="007B0138"/>
    <w:rsid w:val="007B01F3"/>
    <w:rsid w:val="007B02D8"/>
    <w:rsid w:val="007B0326"/>
    <w:rsid w:val="007B046F"/>
    <w:rsid w:val="007B0533"/>
    <w:rsid w:val="007B05BB"/>
    <w:rsid w:val="007B0652"/>
    <w:rsid w:val="007B06AA"/>
    <w:rsid w:val="007B0837"/>
    <w:rsid w:val="007B083E"/>
    <w:rsid w:val="007B092E"/>
    <w:rsid w:val="007B0BC4"/>
    <w:rsid w:val="007B0D57"/>
    <w:rsid w:val="007B0E09"/>
    <w:rsid w:val="007B0E50"/>
    <w:rsid w:val="007B0E68"/>
    <w:rsid w:val="007B0F1B"/>
    <w:rsid w:val="007B0FC3"/>
    <w:rsid w:val="007B10F9"/>
    <w:rsid w:val="007B121C"/>
    <w:rsid w:val="007B12C1"/>
    <w:rsid w:val="007B1419"/>
    <w:rsid w:val="007B1421"/>
    <w:rsid w:val="007B1740"/>
    <w:rsid w:val="007B19A0"/>
    <w:rsid w:val="007B19FC"/>
    <w:rsid w:val="007B1A8C"/>
    <w:rsid w:val="007B1B0F"/>
    <w:rsid w:val="007B1CEE"/>
    <w:rsid w:val="007B1D5F"/>
    <w:rsid w:val="007B1DFB"/>
    <w:rsid w:val="007B1E05"/>
    <w:rsid w:val="007B1F44"/>
    <w:rsid w:val="007B23CD"/>
    <w:rsid w:val="007B2659"/>
    <w:rsid w:val="007B2676"/>
    <w:rsid w:val="007B2682"/>
    <w:rsid w:val="007B27C6"/>
    <w:rsid w:val="007B2833"/>
    <w:rsid w:val="007B293C"/>
    <w:rsid w:val="007B2992"/>
    <w:rsid w:val="007B29E6"/>
    <w:rsid w:val="007B2B74"/>
    <w:rsid w:val="007B2D3A"/>
    <w:rsid w:val="007B2E45"/>
    <w:rsid w:val="007B2F17"/>
    <w:rsid w:val="007B30E3"/>
    <w:rsid w:val="007B3168"/>
    <w:rsid w:val="007B31D3"/>
    <w:rsid w:val="007B3301"/>
    <w:rsid w:val="007B3341"/>
    <w:rsid w:val="007B34DA"/>
    <w:rsid w:val="007B3809"/>
    <w:rsid w:val="007B38C9"/>
    <w:rsid w:val="007B3BA7"/>
    <w:rsid w:val="007B3C01"/>
    <w:rsid w:val="007B3CB2"/>
    <w:rsid w:val="007B3D0D"/>
    <w:rsid w:val="007B3D58"/>
    <w:rsid w:val="007B3D6C"/>
    <w:rsid w:val="007B3E02"/>
    <w:rsid w:val="007B3F57"/>
    <w:rsid w:val="007B3FED"/>
    <w:rsid w:val="007B43A4"/>
    <w:rsid w:val="007B43BE"/>
    <w:rsid w:val="007B44C5"/>
    <w:rsid w:val="007B459E"/>
    <w:rsid w:val="007B462E"/>
    <w:rsid w:val="007B4738"/>
    <w:rsid w:val="007B4792"/>
    <w:rsid w:val="007B48B9"/>
    <w:rsid w:val="007B4A14"/>
    <w:rsid w:val="007B4ACE"/>
    <w:rsid w:val="007B4B00"/>
    <w:rsid w:val="007B4B13"/>
    <w:rsid w:val="007B4B4C"/>
    <w:rsid w:val="007B4B5E"/>
    <w:rsid w:val="007B4BCC"/>
    <w:rsid w:val="007B4CB1"/>
    <w:rsid w:val="007B4E5B"/>
    <w:rsid w:val="007B5005"/>
    <w:rsid w:val="007B52D4"/>
    <w:rsid w:val="007B5331"/>
    <w:rsid w:val="007B5413"/>
    <w:rsid w:val="007B54A4"/>
    <w:rsid w:val="007B5568"/>
    <w:rsid w:val="007B56ED"/>
    <w:rsid w:val="007B5757"/>
    <w:rsid w:val="007B57AC"/>
    <w:rsid w:val="007B5878"/>
    <w:rsid w:val="007B5A1B"/>
    <w:rsid w:val="007B5B97"/>
    <w:rsid w:val="007B5BE6"/>
    <w:rsid w:val="007B5C05"/>
    <w:rsid w:val="007B5E62"/>
    <w:rsid w:val="007B5F14"/>
    <w:rsid w:val="007B624D"/>
    <w:rsid w:val="007B6407"/>
    <w:rsid w:val="007B6796"/>
    <w:rsid w:val="007B6863"/>
    <w:rsid w:val="007B6BE1"/>
    <w:rsid w:val="007B6ED8"/>
    <w:rsid w:val="007B7028"/>
    <w:rsid w:val="007B704E"/>
    <w:rsid w:val="007B7109"/>
    <w:rsid w:val="007B7425"/>
    <w:rsid w:val="007B751D"/>
    <w:rsid w:val="007B76DC"/>
    <w:rsid w:val="007B7709"/>
    <w:rsid w:val="007B77CF"/>
    <w:rsid w:val="007B787E"/>
    <w:rsid w:val="007B78F0"/>
    <w:rsid w:val="007B7C2C"/>
    <w:rsid w:val="007B7D1C"/>
    <w:rsid w:val="007B7F0E"/>
    <w:rsid w:val="007C0055"/>
    <w:rsid w:val="007C0180"/>
    <w:rsid w:val="007C03B6"/>
    <w:rsid w:val="007C04BB"/>
    <w:rsid w:val="007C04F4"/>
    <w:rsid w:val="007C0554"/>
    <w:rsid w:val="007C06FE"/>
    <w:rsid w:val="007C0798"/>
    <w:rsid w:val="007C091D"/>
    <w:rsid w:val="007C0999"/>
    <w:rsid w:val="007C0A36"/>
    <w:rsid w:val="007C0ACB"/>
    <w:rsid w:val="007C0AE4"/>
    <w:rsid w:val="007C0D15"/>
    <w:rsid w:val="007C0F59"/>
    <w:rsid w:val="007C118F"/>
    <w:rsid w:val="007C1348"/>
    <w:rsid w:val="007C1449"/>
    <w:rsid w:val="007C153A"/>
    <w:rsid w:val="007C15EF"/>
    <w:rsid w:val="007C1664"/>
    <w:rsid w:val="007C177F"/>
    <w:rsid w:val="007C17BB"/>
    <w:rsid w:val="007C17C2"/>
    <w:rsid w:val="007C18B0"/>
    <w:rsid w:val="007C1B61"/>
    <w:rsid w:val="007C1C92"/>
    <w:rsid w:val="007C1CC9"/>
    <w:rsid w:val="007C1D48"/>
    <w:rsid w:val="007C1E42"/>
    <w:rsid w:val="007C1F60"/>
    <w:rsid w:val="007C20E0"/>
    <w:rsid w:val="007C21B7"/>
    <w:rsid w:val="007C230A"/>
    <w:rsid w:val="007C2379"/>
    <w:rsid w:val="007C238E"/>
    <w:rsid w:val="007C23E8"/>
    <w:rsid w:val="007C2678"/>
    <w:rsid w:val="007C2867"/>
    <w:rsid w:val="007C28A4"/>
    <w:rsid w:val="007C2B7B"/>
    <w:rsid w:val="007C2C6B"/>
    <w:rsid w:val="007C2E4A"/>
    <w:rsid w:val="007C2E61"/>
    <w:rsid w:val="007C2E64"/>
    <w:rsid w:val="007C2ED1"/>
    <w:rsid w:val="007C2FD1"/>
    <w:rsid w:val="007C2FE1"/>
    <w:rsid w:val="007C2FED"/>
    <w:rsid w:val="007C307B"/>
    <w:rsid w:val="007C324B"/>
    <w:rsid w:val="007C339C"/>
    <w:rsid w:val="007C33DD"/>
    <w:rsid w:val="007C34DE"/>
    <w:rsid w:val="007C3513"/>
    <w:rsid w:val="007C35C6"/>
    <w:rsid w:val="007C3745"/>
    <w:rsid w:val="007C375E"/>
    <w:rsid w:val="007C3A25"/>
    <w:rsid w:val="007C3AF2"/>
    <w:rsid w:val="007C3C22"/>
    <w:rsid w:val="007C3C4B"/>
    <w:rsid w:val="007C3CB3"/>
    <w:rsid w:val="007C3D9E"/>
    <w:rsid w:val="007C3DD7"/>
    <w:rsid w:val="007C3E98"/>
    <w:rsid w:val="007C3FB4"/>
    <w:rsid w:val="007C4007"/>
    <w:rsid w:val="007C4020"/>
    <w:rsid w:val="007C4035"/>
    <w:rsid w:val="007C4039"/>
    <w:rsid w:val="007C42BC"/>
    <w:rsid w:val="007C4335"/>
    <w:rsid w:val="007C439F"/>
    <w:rsid w:val="007C4508"/>
    <w:rsid w:val="007C4568"/>
    <w:rsid w:val="007C4588"/>
    <w:rsid w:val="007C45BC"/>
    <w:rsid w:val="007C4789"/>
    <w:rsid w:val="007C4C76"/>
    <w:rsid w:val="007C4D58"/>
    <w:rsid w:val="007C4D6B"/>
    <w:rsid w:val="007C4D75"/>
    <w:rsid w:val="007C4DAF"/>
    <w:rsid w:val="007C4E50"/>
    <w:rsid w:val="007C4EB5"/>
    <w:rsid w:val="007C4F3B"/>
    <w:rsid w:val="007C5017"/>
    <w:rsid w:val="007C530D"/>
    <w:rsid w:val="007C5475"/>
    <w:rsid w:val="007C54C6"/>
    <w:rsid w:val="007C557B"/>
    <w:rsid w:val="007C5587"/>
    <w:rsid w:val="007C56DC"/>
    <w:rsid w:val="007C56E4"/>
    <w:rsid w:val="007C57D0"/>
    <w:rsid w:val="007C59DB"/>
    <w:rsid w:val="007C5B74"/>
    <w:rsid w:val="007C5EBD"/>
    <w:rsid w:val="007C6025"/>
    <w:rsid w:val="007C6048"/>
    <w:rsid w:val="007C6433"/>
    <w:rsid w:val="007C65AD"/>
    <w:rsid w:val="007C65F3"/>
    <w:rsid w:val="007C694C"/>
    <w:rsid w:val="007C695E"/>
    <w:rsid w:val="007C69D9"/>
    <w:rsid w:val="007C6A48"/>
    <w:rsid w:val="007C6B13"/>
    <w:rsid w:val="007C6BC2"/>
    <w:rsid w:val="007C7129"/>
    <w:rsid w:val="007C715F"/>
    <w:rsid w:val="007C72D3"/>
    <w:rsid w:val="007C73E5"/>
    <w:rsid w:val="007C73ED"/>
    <w:rsid w:val="007C748D"/>
    <w:rsid w:val="007C74A1"/>
    <w:rsid w:val="007C7889"/>
    <w:rsid w:val="007C7A3A"/>
    <w:rsid w:val="007C7B48"/>
    <w:rsid w:val="007C7BF4"/>
    <w:rsid w:val="007C7C5D"/>
    <w:rsid w:val="007C7D16"/>
    <w:rsid w:val="007C7D18"/>
    <w:rsid w:val="007C7D1C"/>
    <w:rsid w:val="007C7D4C"/>
    <w:rsid w:val="007C7E4C"/>
    <w:rsid w:val="007D00AF"/>
    <w:rsid w:val="007D00B1"/>
    <w:rsid w:val="007D0248"/>
    <w:rsid w:val="007D029D"/>
    <w:rsid w:val="007D03A8"/>
    <w:rsid w:val="007D03AF"/>
    <w:rsid w:val="007D0584"/>
    <w:rsid w:val="007D0699"/>
    <w:rsid w:val="007D07D4"/>
    <w:rsid w:val="007D07F7"/>
    <w:rsid w:val="007D0866"/>
    <w:rsid w:val="007D0868"/>
    <w:rsid w:val="007D0E12"/>
    <w:rsid w:val="007D0EA8"/>
    <w:rsid w:val="007D0ED7"/>
    <w:rsid w:val="007D0EED"/>
    <w:rsid w:val="007D0FDA"/>
    <w:rsid w:val="007D0FE9"/>
    <w:rsid w:val="007D10F3"/>
    <w:rsid w:val="007D1683"/>
    <w:rsid w:val="007D168C"/>
    <w:rsid w:val="007D16FC"/>
    <w:rsid w:val="007D1795"/>
    <w:rsid w:val="007D1C1C"/>
    <w:rsid w:val="007D1D35"/>
    <w:rsid w:val="007D1EAC"/>
    <w:rsid w:val="007D1ED0"/>
    <w:rsid w:val="007D1EF3"/>
    <w:rsid w:val="007D1EFF"/>
    <w:rsid w:val="007D1F97"/>
    <w:rsid w:val="007D20CC"/>
    <w:rsid w:val="007D20EA"/>
    <w:rsid w:val="007D2136"/>
    <w:rsid w:val="007D21E8"/>
    <w:rsid w:val="007D23A7"/>
    <w:rsid w:val="007D25A4"/>
    <w:rsid w:val="007D25C4"/>
    <w:rsid w:val="007D2616"/>
    <w:rsid w:val="007D26A5"/>
    <w:rsid w:val="007D2765"/>
    <w:rsid w:val="007D287F"/>
    <w:rsid w:val="007D28FF"/>
    <w:rsid w:val="007D294A"/>
    <w:rsid w:val="007D29A4"/>
    <w:rsid w:val="007D2A37"/>
    <w:rsid w:val="007D2C46"/>
    <w:rsid w:val="007D2C64"/>
    <w:rsid w:val="007D2C75"/>
    <w:rsid w:val="007D2CBB"/>
    <w:rsid w:val="007D2DA4"/>
    <w:rsid w:val="007D2F36"/>
    <w:rsid w:val="007D2FBD"/>
    <w:rsid w:val="007D3094"/>
    <w:rsid w:val="007D3174"/>
    <w:rsid w:val="007D31B2"/>
    <w:rsid w:val="007D3223"/>
    <w:rsid w:val="007D335C"/>
    <w:rsid w:val="007D3373"/>
    <w:rsid w:val="007D34CD"/>
    <w:rsid w:val="007D3531"/>
    <w:rsid w:val="007D3533"/>
    <w:rsid w:val="007D35B3"/>
    <w:rsid w:val="007D36E9"/>
    <w:rsid w:val="007D381C"/>
    <w:rsid w:val="007D3983"/>
    <w:rsid w:val="007D39C6"/>
    <w:rsid w:val="007D3CAD"/>
    <w:rsid w:val="007D3D03"/>
    <w:rsid w:val="007D3D97"/>
    <w:rsid w:val="007D3F2B"/>
    <w:rsid w:val="007D3F41"/>
    <w:rsid w:val="007D406F"/>
    <w:rsid w:val="007D40DF"/>
    <w:rsid w:val="007D4161"/>
    <w:rsid w:val="007D416D"/>
    <w:rsid w:val="007D4268"/>
    <w:rsid w:val="007D42B4"/>
    <w:rsid w:val="007D4414"/>
    <w:rsid w:val="007D445A"/>
    <w:rsid w:val="007D44B7"/>
    <w:rsid w:val="007D44DE"/>
    <w:rsid w:val="007D45DB"/>
    <w:rsid w:val="007D45F2"/>
    <w:rsid w:val="007D4775"/>
    <w:rsid w:val="007D48AA"/>
    <w:rsid w:val="007D4956"/>
    <w:rsid w:val="007D4981"/>
    <w:rsid w:val="007D4D87"/>
    <w:rsid w:val="007D4DBC"/>
    <w:rsid w:val="007D4E2E"/>
    <w:rsid w:val="007D4EB8"/>
    <w:rsid w:val="007D4EC6"/>
    <w:rsid w:val="007D4FD3"/>
    <w:rsid w:val="007D5036"/>
    <w:rsid w:val="007D50A4"/>
    <w:rsid w:val="007D517D"/>
    <w:rsid w:val="007D51E7"/>
    <w:rsid w:val="007D528B"/>
    <w:rsid w:val="007D52AC"/>
    <w:rsid w:val="007D535F"/>
    <w:rsid w:val="007D53CC"/>
    <w:rsid w:val="007D53D2"/>
    <w:rsid w:val="007D553B"/>
    <w:rsid w:val="007D55EA"/>
    <w:rsid w:val="007D561D"/>
    <w:rsid w:val="007D5762"/>
    <w:rsid w:val="007D5803"/>
    <w:rsid w:val="007D5843"/>
    <w:rsid w:val="007D5890"/>
    <w:rsid w:val="007D5A80"/>
    <w:rsid w:val="007D5C3E"/>
    <w:rsid w:val="007D5D81"/>
    <w:rsid w:val="007D5F54"/>
    <w:rsid w:val="007D6042"/>
    <w:rsid w:val="007D6063"/>
    <w:rsid w:val="007D60EC"/>
    <w:rsid w:val="007D60F0"/>
    <w:rsid w:val="007D6186"/>
    <w:rsid w:val="007D618C"/>
    <w:rsid w:val="007D6295"/>
    <w:rsid w:val="007D6427"/>
    <w:rsid w:val="007D65A0"/>
    <w:rsid w:val="007D66B2"/>
    <w:rsid w:val="007D66CD"/>
    <w:rsid w:val="007D6734"/>
    <w:rsid w:val="007D6930"/>
    <w:rsid w:val="007D6975"/>
    <w:rsid w:val="007D6977"/>
    <w:rsid w:val="007D6A72"/>
    <w:rsid w:val="007D6A9C"/>
    <w:rsid w:val="007D6BF3"/>
    <w:rsid w:val="007D6EDD"/>
    <w:rsid w:val="007D6F3A"/>
    <w:rsid w:val="007D6F5F"/>
    <w:rsid w:val="007D7060"/>
    <w:rsid w:val="007D73AC"/>
    <w:rsid w:val="007D740F"/>
    <w:rsid w:val="007D75B7"/>
    <w:rsid w:val="007D7849"/>
    <w:rsid w:val="007D793E"/>
    <w:rsid w:val="007D7B03"/>
    <w:rsid w:val="007D7B59"/>
    <w:rsid w:val="007D7C7E"/>
    <w:rsid w:val="007D7D60"/>
    <w:rsid w:val="007D7E24"/>
    <w:rsid w:val="007E0068"/>
    <w:rsid w:val="007E00DE"/>
    <w:rsid w:val="007E01D3"/>
    <w:rsid w:val="007E01D9"/>
    <w:rsid w:val="007E0314"/>
    <w:rsid w:val="007E0345"/>
    <w:rsid w:val="007E057F"/>
    <w:rsid w:val="007E05C2"/>
    <w:rsid w:val="007E0666"/>
    <w:rsid w:val="007E0697"/>
    <w:rsid w:val="007E07A6"/>
    <w:rsid w:val="007E083D"/>
    <w:rsid w:val="007E091D"/>
    <w:rsid w:val="007E09A2"/>
    <w:rsid w:val="007E0A5E"/>
    <w:rsid w:val="007E0AB0"/>
    <w:rsid w:val="007E0B86"/>
    <w:rsid w:val="007E0C9E"/>
    <w:rsid w:val="007E0CFB"/>
    <w:rsid w:val="007E0D48"/>
    <w:rsid w:val="007E0D76"/>
    <w:rsid w:val="007E0D83"/>
    <w:rsid w:val="007E0DE8"/>
    <w:rsid w:val="007E0E51"/>
    <w:rsid w:val="007E0E85"/>
    <w:rsid w:val="007E0EDC"/>
    <w:rsid w:val="007E103A"/>
    <w:rsid w:val="007E137D"/>
    <w:rsid w:val="007E13B8"/>
    <w:rsid w:val="007E1596"/>
    <w:rsid w:val="007E163C"/>
    <w:rsid w:val="007E17DF"/>
    <w:rsid w:val="007E1861"/>
    <w:rsid w:val="007E1AF6"/>
    <w:rsid w:val="007E1B0E"/>
    <w:rsid w:val="007E1B7E"/>
    <w:rsid w:val="007E1BB9"/>
    <w:rsid w:val="007E1D27"/>
    <w:rsid w:val="007E1D63"/>
    <w:rsid w:val="007E1F0C"/>
    <w:rsid w:val="007E2036"/>
    <w:rsid w:val="007E219F"/>
    <w:rsid w:val="007E21A5"/>
    <w:rsid w:val="007E23AA"/>
    <w:rsid w:val="007E278E"/>
    <w:rsid w:val="007E2C00"/>
    <w:rsid w:val="007E2C48"/>
    <w:rsid w:val="007E2CEF"/>
    <w:rsid w:val="007E2D46"/>
    <w:rsid w:val="007E2D84"/>
    <w:rsid w:val="007E2DCB"/>
    <w:rsid w:val="007E2E2B"/>
    <w:rsid w:val="007E2E8A"/>
    <w:rsid w:val="007E2EE7"/>
    <w:rsid w:val="007E2EF8"/>
    <w:rsid w:val="007E2FC3"/>
    <w:rsid w:val="007E3057"/>
    <w:rsid w:val="007E30C6"/>
    <w:rsid w:val="007E30E3"/>
    <w:rsid w:val="007E3104"/>
    <w:rsid w:val="007E3107"/>
    <w:rsid w:val="007E3174"/>
    <w:rsid w:val="007E32EC"/>
    <w:rsid w:val="007E337A"/>
    <w:rsid w:val="007E337B"/>
    <w:rsid w:val="007E3426"/>
    <w:rsid w:val="007E342D"/>
    <w:rsid w:val="007E35B4"/>
    <w:rsid w:val="007E3AB4"/>
    <w:rsid w:val="007E3B92"/>
    <w:rsid w:val="007E3C8A"/>
    <w:rsid w:val="007E3D2A"/>
    <w:rsid w:val="007E3D61"/>
    <w:rsid w:val="007E3DD7"/>
    <w:rsid w:val="007E4262"/>
    <w:rsid w:val="007E4276"/>
    <w:rsid w:val="007E428A"/>
    <w:rsid w:val="007E4343"/>
    <w:rsid w:val="007E457C"/>
    <w:rsid w:val="007E4658"/>
    <w:rsid w:val="007E4708"/>
    <w:rsid w:val="007E470B"/>
    <w:rsid w:val="007E473C"/>
    <w:rsid w:val="007E4A53"/>
    <w:rsid w:val="007E4C5D"/>
    <w:rsid w:val="007E4D73"/>
    <w:rsid w:val="007E4D98"/>
    <w:rsid w:val="007E4E19"/>
    <w:rsid w:val="007E4E34"/>
    <w:rsid w:val="007E4EB3"/>
    <w:rsid w:val="007E4F6C"/>
    <w:rsid w:val="007E4FA2"/>
    <w:rsid w:val="007E4FF3"/>
    <w:rsid w:val="007E5054"/>
    <w:rsid w:val="007E5182"/>
    <w:rsid w:val="007E5220"/>
    <w:rsid w:val="007E52CE"/>
    <w:rsid w:val="007E53EB"/>
    <w:rsid w:val="007E5402"/>
    <w:rsid w:val="007E5479"/>
    <w:rsid w:val="007E5489"/>
    <w:rsid w:val="007E54C1"/>
    <w:rsid w:val="007E55B7"/>
    <w:rsid w:val="007E567D"/>
    <w:rsid w:val="007E5685"/>
    <w:rsid w:val="007E56AB"/>
    <w:rsid w:val="007E59FD"/>
    <w:rsid w:val="007E5A93"/>
    <w:rsid w:val="007E5B96"/>
    <w:rsid w:val="007E5C5D"/>
    <w:rsid w:val="007E5C6A"/>
    <w:rsid w:val="007E5CC6"/>
    <w:rsid w:val="007E5E5F"/>
    <w:rsid w:val="007E5E85"/>
    <w:rsid w:val="007E6066"/>
    <w:rsid w:val="007E6185"/>
    <w:rsid w:val="007E628D"/>
    <w:rsid w:val="007E6320"/>
    <w:rsid w:val="007E639C"/>
    <w:rsid w:val="007E64BC"/>
    <w:rsid w:val="007E6513"/>
    <w:rsid w:val="007E6526"/>
    <w:rsid w:val="007E655A"/>
    <w:rsid w:val="007E67AE"/>
    <w:rsid w:val="007E6808"/>
    <w:rsid w:val="007E69F1"/>
    <w:rsid w:val="007E6A9E"/>
    <w:rsid w:val="007E6B70"/>
    <w:rsid w:val="007E6CE5"/>
    <w:rsid w:val="007E6DC6"/>
    <w:rsid w:val="007E6DD6"/>
    <w:rsid w:val="007E70AB"/>
    <w:rsid w:val="007E7319"/>
    <w:rsid w:val="007E73A8"/>
    <w:rsid w:val="007E7414"/>
    <w:rsid w:val="007E7416"/>
    <w:rsid w:val="007E7472"/>
    <w:rsid w:val="007E758E"/>
    <w:rsid w:val="007E7595"/>
    <w:rsid w:val="007E767C"/>
    <w:rsid w:val="007E7731"/>
    <w:rsid w:val="007E7788"/>
    <w:rsid w:val="007E77E6"/>
    <w:rsid w:val="007E7A05"/>
    <w:rsid w:val="007E7ACE"/>
    <w:rsid w:val="007E7AEC"/>
    <w:rsid w:val="007E7B1F"/>
    <w:rsid w:val="007E7CD3"/>
    <w:rsid w:val="007E7D89"/>
    <w:rsid w:val="007E7E62"/>
    <w:rsid w:val="007E7FD1"/>
    <w:rsid w:val="007E7FFD"/>
    <w:rsid w:val="007F001C"/>
    <w:rsid w:val="007F00C6"/>
    <w:rsid w:val="007F0111"/>
    <w:rsid w:val="007F01A4"/>
    <w:rsid w:val="007F0318"/>
    <w:rsid w:val="007F04DB"/>
    <w:rsid w:val="007F0538"/>
    <w:rsid w:val="007F0566"/>
    <w:rsid w:val="007F090F"/>
    <w:rsid w:val="007F094A"/>
    <w:rsid w:val="007F0DED"/>
    <w:rsid w:val="007F0DF7"/>
    <w:rsid w:val="007F0E56"/>
    <w:rsid w:val="007F0E81"/>
    <w:rsid w:val="007F1124"/>
    <w:rsid w:val="007F1243"/>
    <w:rsid w:val="007F1359"/>
    <w:rsid w:val="007F16FB"/>
    <w:rsid w:val="007F1786"/>
    <w:rsid w:val="007F1906"/>
    <w:rsid w:val="007F1995"/>
    <w:rsid w:val="007F1A8D"/>
    <w:rsid w:val="007F1D1A"/>
    <w:rsid w:val="007F1E26"/>
    <w:rsid w:val="007F1E93"/>
    <w:rsid w:val="007F1EC9"/>
    <w:rsid w:val="007F1F56"/>
    <w:rsid w:val="007F2061"/>
    <w:rsid w:val="007F2080"/>
    <w:rsid w:val="007F230C"/>
    <w:rsid w:val="007F258D"/>
    <w:rsid w:val="007F25EA"/>
    <w:rsid w:val="007F2760"/>
    <w:rsid w:val="007F27F0"/>
    <w:rsid w:val="007F28DA"/>
    <w:rsid w:val="007F28E4"/>
    <w:rsid w:val="007F2A0B"/>
    <w:rsid w:val="007F2A31"/>
    <w:rsid w:val="007F2A60"/>
    <w:rsid w:val="007F2AA1"/>
    <w:rsid w:val="007F2B17"/>
    <w:rsid w:val="007F2B40"/>
    <w:rsid w:val="007F2B90"/>
    <w:rsid w:val="007F2C88"/>
    <w:rsid w:val="007F2D79"/>
    <w:rsid w:val="007F2DE3"/>
    <w:rsid w:val="007F30DF"/>
    <w:rsid w:val="007F31EF"/>
    <w:rsid w:val="007F32B5"/>
    <w:rsid w:val="007F33F9"/>
    <w:rsid w:val="007F3566"/>
    <w:rsid w:val="007F3598"/>
    <w:rsid w:val="007F3710"/>
    <w:rsid w:val="007F373B"/>
    <w:rsid w:val="007F3826"/>
    <w:rsid w:val="007F3840"/>
    <w:rsid w:val="007F3973"/>
    <w:rsid w:val="007F3A27"/>
    <w:rsid w:val="007F3A8F"/>
    <w:rsid w:val="007F3B58"/>
    <w:rsid w:val="007F3BBF"/>
    <w:rsid w:val="007F3BEE"/>
    <w:rsid w:val="007F3D37"/>
    <w:rsid w:val="007F3D57"/>
    <w:rsid w:val="007F409F"/>
    <w:rsid w:val="007F414D"/>
    <w:rsid w:val="007F4324"/>
    <w:rsid w:val="007F4471"/>
    <w:rsid w:val="007F463F"/>
    <w:rsid w:val="007F4641"/>
    <w:rsid w:val="007F46DB"/>
    <w:rsid w:val="007F47F5"/>
    <w:rsid w:val="007F4860"/>
    <w:rsid w:val="007F4864"/>
    <w:rsid w:val="007F4A13"/>
    <w:rsid w:val="007F4C3A"/>
    <w:rsid w:val="007F4D9D"/>
    <w:rsid w:val="007F4DF0"/>
    <w:rsid w:val="007F4E04"/>
    <w:rsid w:val="007F5058"/>
    <w:rsid w:val="007F50DB"/>
    <w:rsid w:val="007F50E1"/>
    <w:rsid w:val="007F50E4"/>
    <w:rsid w:val="007F518F"/>
    <w:rsid w:val="007F51A1"/>
    <w:rsid w:val="007F51F1"/>
    <w:rsid w:val="007F523A"/>
    <w:rsid w:val="007F55DE"/>
    <w:rsid w:val="007F5618"/>
    <w:rsid w:val="007F579F"/>
    <w:rsid w:val="007F5980"/>
    <w:rsid w:val="007F59C7"/>
    <w:rsid w:val="007F5E42"/>
    <w:rsid w:val="007F5E50"/>
    <w:rsid w:val="007F5E8F"/>
    <w:rsid w:val="007F5F04"/>
    <w:rsid w:val="007F601F"/>
    <w:rsid w:val="007F605B"/>
    <w:rsid w:val="007F6105"/>
    <w:rsid w:val="007F6322"/>
    <w:rsid w:val="007F64E3"/>
    <w:rsid w:val="007F650B"/>
    <w:rsid w:val="007F654E"/>
    <w:rsid w:val="007F68FB"/>
    <w:rsid w:val="007F6B85"/>
    <w:rsid w:val="007F6BDB"/>
    <w:rsid w:val="007F6BEA"/>
    <w:rsid w:val="007F6C1D"/>
    <w:rsid w:val="007F6C2B"/>
    <w:rsid w:val="007F6C45"/>
    <w:rsid w:val="007F6D96"/>
    <w:rsid w:val="007F6EC2"/>
    <w:rsid w:val="007F70F9"/>
    <w:rsid w:val="007F70FF"/>
    <w:rsid w:val="007F711D"/>
    <w:rsid w:val="007F7156"/>
    <w:rsid w:val="007F716E"/>
    <w:rsid w:val="007F720D"/>
    <w:rsid w:val="007F72CF"/>
    <w:rsid w:val="007F736A"/>
    <w:rsid w:val="007F7576"/>
    <w:rsid w:val="007F7990"/>
    <w:rsid w:val="007F7E1E"/>
    <w:rsid w:val="007F7EE7"/>
    <w:rsid w:val="007F7F54"/>
    <w:rsid w:val="00800004"/>
    <w:rsid w:val="00800011"/>
    <w:rsid w:val="00800020"/>
    <w:rsid w:val="00800307"/>
    <w:rsid w:val="00800354"/>
    <w:rsid w:val="008003A1"/>
    <w:rsid w:val="00800418"/>
    <w:rsid w:val="0080045A"/>
    <w:rsid w:val="008005CF"/>
    <w:rsid w:val="008005D8"/>
    <w:rsid w:val="008008FF"/>
    <w:rsid w:val="00800924"/>
    <w:rsid w:val="00800967"/>
    <w:rsid w:val="00800A1D"/>
    <w:rsid w:val="00800BED"/>
    <w:rsid w:val="00800C22"/>
    <w:rsid w:val="00800C5C"/>
    <w:rsid w:val="00800DC3"/>
    <w:rsid w:val="00800DF7"/>
    <w:rsid w:val="00800EB4"/>
    <w:rsid w:val="00801083"/>
    <w:rsid w:val="00801088"/>
    <w:rsid w:val="008010CB"/>
    <w:rsid w:val="0080112A"/>
    <w:rsid w:val="0080128E"/>
    <w:rsid w:val="008013B7"/>
    <w:rsid w:val="008013F4"/>
    <w:rsid w:val="008014EC"/>
    <w:rsid w:val="008015DF"/>
    <w:rsid w:val="0080165F"/>
    <w:rsid w:val="008018FA"/>
    <w:rsid w:val="00801AD1"/>
    <w:rsid w:val="00801BAC"/>
    <w:rsid w:val="00801DE7"/>
    <w:rsid w:val="00801DF6"/>
    <w:rsid w:val="008020FF"/>
    <w:rsid w:val="00802118"/>
    <w:rsid w:val="008023AE"/>
    <w:rsid w:val="00802720"/>
    <w:rsid w:val="0080273E"/>
    <w:rsid w:val="008028F5"/>
    <w:rsid w:val="00802954"/>
    <w:rsid w:val="00802968"/>
    <w:rsid w:val="008029B3"/>
    <w:rsid w:val="00802AAD"/>
    <w:rsid w:val="00802B1D"/>
    <w:rsid w:val="00802E61"/>
    <w:rsid w:val="00802E6A"/>
    <w:rsid w:val="0080308C"/>
    <w:rsid w:val="0080317C"/>
    <w:rsid w:val="00803399"/>
    <w:rsid w:val="008035A6"/>
    <w:rsid w:val="0080362A"/>
    <w:rsid w:val="00803645"/>
    <w:rsid w:val="00803656"/>
    <w:rsid w:val="008036CF"/>
    <w:rsid w:val="0080378B"/>
    <w:rsid w:val="00803853"/>
    <w:rsid w:val="008038C7"/>
    <w:rsid w:val="00803905"/>
    <w:rsid w:val="0080392B"/>
    <w:rsid w:val="00803A3C"/>
    <w:rsid w:val="00803AEB"/>
    <w:rsid w:val="00803B75"/>
    <w:rsid w:val="00803BEE"/>
    <w:rsid w:val="00803C18"/>
    <w:rsid w:val="00803F19"/>
    <w:rsid w:val="00803F31"/>
    <w:rsid w:val="00803FFA"/>
    <w:rsid w:val="00804057"/>
    <w:rsid w:val="00804175"/>
    <w:rsid w:val="008041C3"/>
    <w:rsid w:val="008041F7"/>
    <w:rsid w:val="008042A2"/>
    <w:rsid w:val="008042CA"/>
    <w:rsid w:val="008042CF"/>
    <w:rsid w:val="0080433E"/>
    <w:rsid w:val="008043B2"/>
    <w:rsid w:val="008045A6"/>
    <w:rsid w:val="008045F6"/>
    <w:rsid w:val="0080464B"/>
    <w:rsid w:val="008047F3"/>
    <w:rsid w:val="00804867"/>
    <w:rsid w:val="0080490A"/>
    <w:rsid w:val="00804911"/>
    <w:rsid w:val="008049BD"/>
    <w:rsid w:val="008049F6"/>
    <w:rsid w:val="00804A1D"/>
    <w:rsid w:val="00804B0B"/>
    <w:rsid w:val="00804B9B"/>
    <w:rsid w:val="00804EF4"/>
    <w:rsid w:val="008050D2"/>
    <w:rsid w:val="008050F4"/>
    <w:rsid w:val="00805298"/>
    <w:rsid w:val="008053AF"/>
    <w:rsid w:val="008053F1"/>
    <w:rsid w:val="008054B2"/>
    <w:rsid w:val="0080553F"/>
    <w:rsid w:val="0080559D"/>
    <w:rsid w:val="0080566F"/>
    <w:rsid w:val="008058E2"/>
    <w:rsid w:val="008058FD"/>
    <w:rsid w:val="00805AC8"/>
    <w:rsid w:val="00805B24"/>
    <w:rsid w:val="00805C9D"/>
    <w:rsid w:val="00805CBF"/>
    <w:rsid w:val="00805D31"/>
    <w:rsid w:val="00805E0F"/>
    <w:rsid w:val="00805F3E"/>
    <w:rsid w:val="00805FB7"/>
    <w:rsid w:val="0080610D"/>
    <w:rsid w:val="00806182"/>
    <w:rsid w:val="008061CB"/>
    <w:rsid w:val="00806450"/>
    <w:rsid w:val="008067AA"/>
    <w:rsid w:val="008069E1"/>
    <w:rsid w:val="00806AB6"/>
    <w:rsid w:val="00806BC8"/>
    <w:rsid w:val="00806EB7"/>
    <w:rsid w:val="00806F6C"/>
    <w:rsid w:val="00806FBF"/>
    <w:rsid w:val="00807096"/>
    <w:rsid w:val="0080728A"/>
    <w:rsid w:val="008072AE"/>
    <w:rsid w:val="0080731A"/>
    <w:rsid w:val="008074F9"/>
    <w:rsid w:val="00807661"/>
    <w:rsid w:val="008076CA"/>
    <w:rsid w:val="00807AEF"/>
    <w:rsid w:val="00807C21"/>
    <w:rsid w:val="00807D78"/>
    <w:rsid w:val="00807DA9"/>
    <w:rsid w:val="00807E20"/>
    <w:rsid w:val="00807F0F"/>
    <w:rsid w:val="0081009B"/>
    <w:rsid w:val="00810242"/>
    <w:rsid w:val="008102ED"/>
    <w:rsid w:val="0081043F"/>
    <w:rsid w:val="00810594"/>
    <w:rsid w:val="008106A5"/>
    <w:rsid w:val="00810792"/>
    <w:rsid w:val="0081085A"/>
    <w:rsid w:val="00810AEA"/>
    <w:rsid w:val="00810B0D"/>
    <w:rsid w:val="00810B39"/>
    <w:rsid w:val="00810B80"/>
    <w:rsid w:val="00810C47"/>
    <w:rsid w:val="00810DCC"/>
    <w:rsid w:val="00810DE4"/>
    <w:rsid w:val="0081110D"/>
    <w:rsid w:val="00811235"/>
    <w:rsid w:val="00811327"/>
    <w:rsid w:val="00811425"/>
    <w:rsid w:val="008114E8"/>
    <w:rsid w:val="00811698"/>
    <w:rsid w:val="008116A2"/>
    <w:rsid w:val="008118EC"/>
    <w:rsid w:val="00811AD8"/>
    <w:rsid w:val="00811B70"/>
    <w:rsid w:val="00811B7C"/>
    <w:rsid w:val="00811D62"/>
    <w:rsid w:val="00811E28"/>
    <w:rsid w:val="00811E5E"/>
    <w:rsid w:val="00812105"/>
    <w:rsid w:val="0081216B"/>
    <w:rsid w:val="008121AB"/>
    <w:rsid w:val="00812375"/>
    <w:rsid w:val="008123A3"/>
    <w:rsid w:val="00812524"/>
    <w:rsid w:val="0081256F"/>
    <w:rsid w:val="008127F1"/>
    <w:rsid w:val="0081287D"/>
    <w:rsid w:val="00812BAD"/>
    <w:rsid w:val="00812BCB"/>
    <w:rsid w:val="00812D03"/>
    <w:rsid w:val="00812D25"/>
    <w:rsid w:val="00812D2D"/>
    <w:rsid w:val="00812E03"/>
    <w:rsid w:val="00812E4F"/>
    <w:rsid w:val="00812F22"/>
    <w:rsid w:val="008131AA"/>
    <w:rsid w:val="008131E9"/>
    <w:rsid w:val="00813444"/>
    <w:rsid w:val="00813445"/>
    <w:rsid w:val="00813600"/>
    <w:rsid w:val="008136F8"/>
    <w:rsid w:val="008136FA"/>
    <w:rsid w:val="008137B7"/>
    <w:rsid w:val="00813BF0"/>
    <w:rsid w:val="00813E1E"/>
    <w:rsid w:val="00813E4A"/>
    <w:rsid w:val="00813E77"/>
    <w:rsid w:val="00814016"/>
    <w:rsid w:val="00814329"/>
    <w:rsid w:val="00814330"/>
    <w:rsid w:val="00814383"/>
    <w:rsid w:val="008143DE"/>
    <w:rsid w:val="00814507"/>
    <w:rsid w:val="00814682"/>
    <w:rsid w:val="008146C0"/>
    <w:rsid w:val="008147DF"/>
    <w:rsid w:val="008147E7"/>
    <w:rsid w:val="00814834"/>
    <w:rsid w:val="00814A4C"/>
    <w:rsid w:val="00814B9B"/>
    <w:rsid w:val="00814CEC"/>
    <w:rsid w:val="00814DAA"/>
    <w:rsid w:val="00814E22"/>
    <w:rsid w:val="00814EF5"/>
    <w:rsid w:val="00814F33"/>
    <w:rsid w:val="00814FE0"/>
    <w:rsid w:val="0081502D"/>
    <w:rsid w:val="0081509E"/>
    <w:rsid w:val="008150C8"/>
    <w:rsid w:val="008151D3"/>
    <w:rsid w:val="0081521F"/>
    <w:rsid w:val="00815255"/>
    <w:rsid w:val="008153FB"/>
    <w:rsid w:val="00815456"/>
    <w:rsid w:val="008154A2"/>
    <w:rsid w:val="008154FD"/>
    <w:rsid w:val="00815500"/>
    <w:rsid w:val="00815513"/>
    <w:rsid w:val="0081576A"/>
    <w:rsid w:val="008157BE"/>
    <w:rsid w:val="00815818"/>
    <w:rsid w:val="00815844"/>
    <w:rsid w:val="008158B9"/>
    <w:rsid w:val="008158E2"/>
    <w:rsid w:val="00815A5A"/>
    <w:rsid w:val="00815BD8"/>
    <w:rsid w:val="00815DE5"/>
    <w:rsid w:val="0081617F"/>
    <w:rsid w:val="0081634A"/>
    <w:rsid w:val="00816353"/>
    <w:rsid w:val="008164DC"/>
    <w:rsid w:val="0081667C"/>
    <w:rsid w:val="00816AE5"/>
    <w:rsid w:val="00816E97"/>
    <w:rsid w:val="00816FF5"/>
    <w:rsid w:val="008170FB"/>
    <w:rsid w:val="0081715A"/>
    <w:rsid w:val="008174F8"/>
    <w:rsid w:val="008176CB"/>
    <w:rsid w:val="008176F0"/>
    <w:rsid w:val="008178E0"/>
    <w:rsid w:val="008179C2"/>
    <w:rsid w:val="00817B69"/>
    <w:rsid w:val="00817BE6"/>
    <w:rsid w:val="00817D3F"/>
    <w:rsid w:val="00817E23"/>
    <w:rsid w:val="00817E62"/>
    <w:rsid w:val="00817F1A"/>
    <w:rsid w:val="00817F5C"/>
    <w:rsid w:val="0082020A"/>
    <w:rsid w:val="008202F4"/>
    <w:rsid w:val="008203E9"/>
    <w:rsid w:val="008204D4"/>
    <w:rsid w:val="0082055B"/>
    <w:rsid w:val="008205B5"/>
    <w:rsid w:val="008206C3"/>
    <w:rsid w:val="00820733"/>
    <w:rsid w:val="0082093C"/>
    <w:rsid w:val="00820A80"/>
    <w:rsid w:val="00820AB1"/>
    <w:rsid w:val="00820E82"/>
    <w:rsid w:val="00820EC9"/>
    <w:rsid w:val="00820EEB"/>
    <w:rsid w:val="00820F6D"/>
    <w:rsid w:val="0082103B"/>
    <w:rsid w:val="00821042"/>
    <w:rsid w:val="00821095"/>
    <w:rsid w:val="008210A2"/>
    <w:rsid w:val="00821303"/>
    <w:rsid w:val="0082133C"/>
    <w:rsid w:val="0082134D"/>
    <w:rsid w:val="008213B9"/>
    <w:rsid w:val="00821470"/>
    <w:rsid w:val="0082158F"/>
    <w:rsid w:val="0082171C"/>
    <w:rsid w:val="00821744"/>
    <w:rsid w:val="008218F4"/>
    <w:rsid w:val="00821B42"/>
    <w:rsid w:val="00821C21"/>
    <w:rsid w:val="00821D89"/>
    <w:rsid w:val="00822118"/>
    <w:rsid w:val="008222DC"/>
    <w:rsid w:val="0082236C"/>
    <w:rsid w:val="008223AB"/>
    <w:rsid w:val="008223F9"/>
    <w:rsid w:val="00822513"/>
    <w:rsid w:val="0082252A"/>
    <w:rsid w:val="00822551"/>
    <w:rsid w:val="0082256C"/>
    <w:rsid w:val="008225CF"/>
    <w:rsid w:val="008227A5"/>
    <w:rsid w:val="00822946"/>
    <w:rsid w:val="00822D17"/>
    <w:rsid w:val="00822D8C"/>
    <w:rsid w:val="00822DAE"/>
    <w:rsid w:val="00822F98"/>
    <w:rsid w:val="00823177"/>
    <w:rsid w:val="0082329F"/>
    <w:rsid w:val="008232A5"/>
    <w:rsid w:val="00823412"/>
    <w:rsid w:val="00823415"/>
    <w:rsid w:val="0082349C"/>
    <w:rsid w:val="00823525"/>
    <w:rsid w:val="00823827"/>
    <w:rsid w:val="008238A6"/>
    <w:rsid w:val="008239EE"/>
    <w:rsid w:val="008239F4"/>
    <w:rsid w:val="008239FA"/>
    <w:rsid w:val="00823A4F"/>
    <w:rsid w:val="00823A90"/>
    <w:rsid w:val="00823AF2"/>
    <w:rsid w:val="00823C42"/>
    <w:rsid w:val="00823CB0"/>
    <w:rsid w:val="00823CD8"/>
    <w:rsid w:val="0082405A"/>
    <w:rsid w:val="00824245"/>
    <w:rsid w:val="0082452C"/>
    <w:rsid w:val="00824563"/>
    <w:rsid w:val="0082462A"/>
    <w:rsid w:val="00824683"/>
    <w:rsid w:val="0082469F"/>
    <w:rsid w:val="008246D4"/>
    <w:rsid w:val="00824761"/>
    <w:rsid w:val="008247FD"/>
    <w:rsid w:val="0082485D"/>
    <w:rsid w:val="008248D1"/>
    <w:rsid w:val="00824937"/>
    <w:rsid w:val="00824967"/>
    <w:rsid w:val="00824A4A"/>
    <w:rsid w:val="00824A6C"/>
    <w:rsid w:val="00824A89"/>
    <w:rsid w:val="00824C59"/>
    <w:rsid w:val="00824CA3"/>
    <w:rsid w:val="00824DB6"/>
    <w:rsid w:val="00824DBF"/>
    <w:rsid w:val="00824E0E"/>
    <w:rsid w:val="00825206"/>
    <w:rsid w:val="00825260"/>
    <w:rsid w:val="008252C0"/>
    <w:rsid w:val="00825949"/>
    <w:rsid w:val="008259C5"/>
    <w:rsid w:val="00825A37"/>
    <w:rsid w:val="00825C52"/>
    <w:rsid w:val="00825DA5"/>
    <w:rsid w:val="00825DA6"/>
    <w:rsid w:val="00825E29"/>
    <w:rsid w:val="00825EE7"/>
    <w:rsid w:val="00825EE9"/>
    <w:rsid w:val="00826038"/>
    <w:rsid w:val="008260F6"/>
    <w:rsid w:val="008261BB"/>
    <w:rsid w:val="00826238"/>
    <w:rsid w:val="00826269"/>
    <w:rsid w:val="008262C4"/>
    <w:rsid w:val="0082632A"/>
    <w:rsid w:val="008264F3"/>
    <w:rsid w:val="0082662C"/>
    <w:rsid w:val="00826664"/>
    <w:rsid w:val="008266D3"/>
    <w:rsid w:val="0082672F"/>
    <w:rsid w:val="00826824"/>
    <w:rsid w:val="008268D8"/>
    <w:rsid w:val="008269CB"/>
    <w:rsid w:val="00826B77"/>
    <w:rsid w:val="00826C84"/>
    <w:rsid w:val="00826DBD"/>
    <w:rsid w:val="00826EA7"/>
    <w:rsid w:val="00826F54"/>
    <w:rsid w:val="00827058"/>
    <w:rsid w:val="0082720D"/>
    <w:rsid w:val="00827250"/>
    <w:rsid w:val="0082755C"/>
    <w:rsid w:val="0082764E"/>
    <w:rsid w:val="00827667"/>
    <w:rsid w:val="008277F2"/>
    <w:rsid w:val="00827805"/>
    <w:rsid w:val="00827812"/>
    <w:rsid w:val="00827829"/>
    <w:rsid w:val="00827D1D"/>
    <w:rsid w:val="00827D44"/>
    <w:rsid w:val="00827DCB"/>
    <w:rsid w:val="00827E9B"/>
    <w:rsid w:val="00830061"/>
    <w:rsid w:val="00830123"/>
    <w:rsid w:val="008303E9"/>
    <w:rsid w:val="008305DA"/>
    <w:rsid w:val="00830622"/>
    <w:rsid w:val="0083062F"/>
    <w:rsid w:val="008308A5"/>
    <w:rsid w:val="0083091A"/>
    <w:rsid w:val="00830925"/>
    <w:rsid w:val="00830981"/>
    <w:rsid w:val="00830BD9"/>
    <w:rsid w:val="00830E52"/>
    <w:rsid w:val="00830E93"/>
    <w:rsid w:val="00830FA4"/>
    <w:rsid w:val="00831046"/>
    <w:rsid w:val="0083108C"/>
    <w:rsid w:val="0083112B"/>
    <w:rsid w:val="00831321"/>
    <w:rsid w:val="00831391"/>
    <w:rsid w:val="0083150A"/>
    <w:rsid w:val="008315D7"/>
    <w:rsid w:val="008315EA"/>
    <w:rsid w:val="008317CB"/>
    <w:rsid w:val="00831857"/>
    <w:rsid w:val="008318E7"/>
    <w:rsid w:val="00831953"/>
    <w:rsid w:val="008319E8"/>
    <w:rsid w:val="00831C16"/>
    <w:rsid w:val="00831C7E"/>
    <w:rsid w:val="00831C7F"/>
    <w:rsid w:val="00831C83"/>
    <w:rsid w:val="00831C85"/>
    <w:rsid w:val="00831CFF"/>
    <w:rsid w:val="00831D06"/>
    <w:rsid w:val="00831D2F"/>
    <w:rsid w:val="00831D78"/>
    <w:rsid w:val="00831D9E"/>
    <w:rsid w:val="00832020"/>
    <w:rsid w:val="0083205C"/>
    <w:rsid w:val="00832153"/>
    <w:rsid w:val="00832187"/>
    <w:rsid w:val="008322D5"/>
    <w:rsid w:val="00832378"/>
    <w:rsid w:val="00832496"/>
    <w:rsid w:val="00832522"/>
    <w:rsid w:val="00832649"/>
    <w:rsid w:val="0083279B"/>
    <w:rsid w:val="00832982"/>
    <w:rsid w:val="00832A69"/>
    <w:rsid w:val="00832B7F"/>
    <w:rsid w:val="00832C86"/>
    <w:rsid w:val="00832D8C"/>
    <w:rsid w:val="00832E49"/>
    <w:rsid w:val="00832F65"/>
    <w:rsid w:val="00832FCE"/>
    <w:rsid w:val="00833026"/>
    <w:rsid w:val="008330BC"/>
    <w:rsid w:val="00833114"/>
    <w:rsid w:val="0083317E"/>
    <w:rsid w:val="00833297"/>
    <w:rsid w:val="0083330E"/>
    <w:rsid w:val="0083341D"/>
    <w:rsid w:val="008334EA"/>
    <w:rsid w:val="0083355A"/>
    <w:rsid w:val="00833576"/>
    <w:rsid w:val="008336F6"/>
    <w:rsid w:val="008338AB"/>
    <w:rsid w:val="008338E2"/>
    <w:rsid w:val="00833902"/>
    <w:rsid w:val="00833C48"/>
    <w:rsid w:val="00833C4E"/>
    <w:rsid w:val="00833C87"/>
    <w:rsid w:val="00833D1C"/>
    <w:rsid w:val="00833D26"/>
    <w:rsid w:val="00833EA2"/>
    <w:rsid w:val="0083408B"/>
    <w:rsid w:val="008341ED"/>
    <w:rsid w:val="00834270"/>
    <w:rsid w:val="008343F7"/>
    <w:rsid w:val="0083452D"/>
    <w:rsid w:val="00834613"/>
    <w:rsid w:val="00834707"/>
    <w:rsid w:val="008347D2"/>
    <w:rsid w:val="008348B5"/>
    <w:rsid w:val="00834929"/>
    <w:rsid w:val="00834A26"/>
    <w:rsid w:val="00834BE1"/>
    <w:rsid w:val="00834BF7"/>
    <w:rsid w:val="00834C03"/>
    <w:rsid w:val="00834D1E"/>
    <w:rsid w:val="00834D63"/>
    <w:rsid w:val="00834DB4"/>
    <w:rsid w:val="00835052"/>
    <w:rsid w:val="008351C4"/>
    <w:rsid w:val="00835217"/>
    <w:rsid w:val="0083532A"/>
    <w:rsid w:val="0083565D"/>
    <w:rsid w:val="008356B6"/>
    <w:rsid w:val="00835709"/>
    <w:rsid w:val="00835963"/>
    <w:rsid w:val="0083598E"/>
    <w:rsid w:val="00835B35"/>
    <w:rsid w:val="00835CA0"/>
    <w:rsid w:val="00835D0F"/>
    <w:rsid w:val="00835E2E"/>
    <w:rsid w:val="00835E60"/>
    <w:rsid w:val="00836078"/>
    <w:rsid w:val="008360FE"/>
    <w:rsid w:val="008361D1"/>
    <w:rsid w:val="008361FE"/>
    <w:rsid w:val="0083667D"/>
    <w:rsid w:val="008368F7"/>
    <w:rsid w:val="0083694E"/>
    <w:rsid w:val="00836BC4"/>
    <w:rsid w:val="00836CC1"/>
    <w:rsid w:val="00836D27"/>
    <w:rsid w:val="00836D7D"/>
    <w:rsid w:val="00836E57"/>
    <w:rsid w:val="00836F4E"/>
    <w:rsid w:val="00836F74"/>
    <w:rsid w:val="00836FCE"/>
    <w:rsid w:val="00837177"/>
    <w:rsid w:val="008374B9"/>
    <w:rsid w:val="008376D7"/>
    <w:rsid w:val="008376EA"/>
    <w:rsid w:val="00837824"/>
    <w:rsid w:val="008378D9"/>
    <w:rsid w:val="008378F1"/>
    <w:rsid w:val="00837938"/>
    <w:rsid w:val="00837A5B"/>
    <w:rsid w:val="00837AB3"/>
    <w:rsid w:val="00837BD7"/>
    <w:rsid w:val="00837CAD"/>
    <w:rsid w:val="00837E96"/>
    <w:rsid w:val="00837F61"/>
    <w:rsid w:val="0084005E"/>
    <w:rsid w:val="00840101"/>
    <w:rsid w:val="008403EA"/>
    <w:rsid w:val="008404A6"/>
    <w:rsid w:val="00840501"/>
    <w:rsid w:val="00840540"/>
    <w:rsid w:val="00840A9B"/>
    <w:rsid w:val="00840AA2"/>
    <w:rsid w:val="00840B11"/>
    <w:rsid w:val="00840B23"/>
    <w:rsid w:val="00840D30"/>
    <w:rsid w:val="00840DD3"/>
    <w:rsid w:val="00840DD5"/>
    <w:rsid w:val="00840F07"/>
    <w:rsid w:val="00840F38"/>
    <w:rsid w:val="00840F5E"/>
    <w:rsid w:val="00841046"/>
    <w:rsid w:val="0084116B"/>
    <w:rsid w:val="008411DC"/>
    <w:rsid w:val="0084121E"/>
    <w:rsid w:val="00841311"/>
    <w:rsid w:val="0084132B"/>
    <w:rsid w:val="008414A8"/>
    <w:rsid w:val="00841566"/>
    <w:rsid w:val="008416A0"/>
    <w:rsid w:val="008416A7"/>
    <w:rsid w:val="008416F7"/>
    <w:rsid w:val="0084175D"/>
    <w:rsid w:val="008418A3"/>
    <w:rsid w:val="008418C5"/>
    <w:rsid w:val="00841B86"/>
    <w:rsid w:val="00841BA4"/>
    <w:rsid w:val="00841BB8"/>
    <w:rsid w:val="00841CB7"/>
    <w:rsid w:val="00841CCD"/>
    <w:rsid w:val="00841D7D"/>
    <w:rsid w:val="00841E41"/>
    <w:rsid w:val="00841F1B"/>
    <w:rsid w:val="008421B2"/>
    <w:rsid w:val="00842261"/>
    <w:rsid w:val="008423BF"/>
    <w:rsid w:val="00842574"/>
    <w:rsid w:val="00842579"/>
    <w:rsid w:val="008425AF"/>
    <w:rsid w:val="00842601"/>
    <w:rsid w:val="00842700"/>
    <w:rsid w:val="0084291D"/>
    <w:rsid w:val="00842A25"/>
    <w:rsid w:val="00842AE4"/>
    <w:rsid w:val="00842D09"/>
    <w:rsid w:val="00842D50"/>
    <w:rsid w:val="008431D1"/>
    <w:rsid w:val="0084322D"/>
    <w:rsid w:val="008432DF"/>
    <w:rsid w:val="00843373"/>
    <w:rsid w:val="008434FA"/>
    <w:rsid w:val="00843532"/>
    <w:rsid w:val="0084375C"/>
    <w:rsid w:val="00843768"/>
    <w:rsid w:val="008437BE"/>
    <w:rsid w:val="008438FE"/>
    <w:rsid w:val="00843C68"/>
    <w:rsid w:val="00843CC5"/>
    <w:rsid w:val="00843E3C"/>
    <w:rsid w:val="00843F7A"/>
    <w:rsid w:val="00844013"/>
    <w:rsid w:val="00844165"/>
    <w:rsid w:val="00844192"/>
    <w:rsid w:val="0084430B"/>
    <w:rsid w:val="00844358"/>
    <w:rsid w:val="008444E6"/>
    <w:rsid w:val="008447DF"/>
    <w:rsid w:val="008448A9"/>
    <w:rsid w:val="00844936"/>
    <w:rsid w:val="008449F9"/>
    <w:rsid w:val="00844A74"/>
    <w:rsid w:val="00844B16"/>
    <w:rsid w:val="00844BD0"/>
    <w:rsid w:val="00844C6F"/>
    <w:rsid w:val="00844EE7"/>
    <w:rsid w:val="00845063"/>
    <w:rsid w:val="00845387"/>
    <w:rsid w:val="0084544E"/>
    <w:rsid w:val="00845503"/>
    <w:rsid w:val="0084559C"/>
    <w:rsid w:val="008457B3"/>
    <w:rsid w:val="008459F2"/>
    <w:rsid w:val="00845A55"/>
    <w:rsid w:val="00845A84"/>
    <w:rsid w:val="00845B60"/>
    <w:rsid w:val="00845C60"/>
    <w:rsid w:val="00845CC4"/>
    <w:rsid w:val="00845CC7"/>
    <w:rsid w:val="00845CD0"/>
    <w:rsid w:val="00845D6F"/>
    <w:rsid w:val="00845F91"/>
    <w:rsid w:val="00845FD5"/>
    <w:rsid w:val="00846046"/>
    <w:rsid w:val="0084623B"/>
    <w:rsid w:val="00846251"/>
    <w:rsid w:val="008462C4"/>
    <w:rsid w:val="0084643E"/>
    <w:rsid w:val="00846444"/>
    <w:rsid w:val="0084661C"/>
    <w:rsid w:val="0084668F"/>
    <w:rsid w:val="008467A7"/>
    <w:rsid w:val="0084683C"/>
    <w:rsid w:val="008469B6"/>
    <w:rsid w:val="008469CE"/>
    <w:rsid w:val="00846C9E"/>
    <w:rsid w:val="00846CFE"/>
    <w:rsid w:val="0084700B"/>
    <w:rsid w:val="00847061"/>
    <w:rsid w:val="00847066"/>
    <w:rsid w:val="008476E9"/>
    <w:rsid w:val="00847871"/>
    <w:rsid w:val="008478A1"/>
    <w:rsid w:val="0084792D"/>
    <w:rsid w:val="008479B4"/>
    <w:rsid w:val="00847A01"/>
    <w:rsid w:val="00847AFC"/>
    <w:rsid w:val="00847D34"/>
    <w:rsid w:val="00847DB9"/>
    <w:rsid w:val="00847DCA"/>
    <w:rsid w:val="00847F29"/>
    <w:rsid w:val="00847F42"/>
    <w:rsid w:val="00850142"/>
    <w:rsid w:val="008501B1"/>
    <w:rsid w:val="0085028F"/>
    <w:rsid w:val="008502BD"/>
    <w:rsid w:val="00850462"/>
    <w:rsid w:val="008504EB"/>
    <w:rsid w:val="0085050F"/>
    <w:rsid w:val="00850589"/>
    <w:rsid w:val="00850757"/>
    <w:rsid w:val="00850A96"/>
    <w:rsid w:val="00850D50"/>
    <w:rsid w:val="00850DBA"/>
    <w:rsid w:val="00850DD9"/>
    <w:rsid w:val="00850E01"/>
    <w:rsid w:val="00850E06"/>
    <w:rsid w:val="00850E57"/>
    <w:rsid w:val="00850E8E"/>
    <w:rsid w:val="00851064"/>
    <w:rsid w:val="0085118A"/>
    <w:rsid w:val="00851195"/>
    <w:rsid w:val="00851218"/>
    <w:rsid w:val="008512B4"/>
    <w:rsid w:val="00851391"/>
    <w:rsid w:val="008513CB"/>
    <w:rsid w:val="00851455"/>
    <w:rsid w:val="0085172A"/>
    <w:rsid w:val="0085172F"/>
    <w:rsid w:val="00851769"/>
    <w:rsid w:val="008518F5"/>
    <w:rsid w:val="008519D2"/>
    <w:rsid w:val="00851BD0"/>
    <w:rsid w:val="00851E3E"/>
    <w:rsid w:val="00851E6D"/>
    <w:rsid w:val="00851F5B"/>
    <w:rsid w:val="008521C7"/>
    <w:rsid w:val="008521FC"/>
    <w:rsid w:val="0085220E"/>
    <w:rsid w:val="0085232E"/>
    <w:rsid w:val="0085236D"/>
    <w:rsid w:val="00852523"/>
    <w:rsid w:val="0085254A"/>
    <w:rsid w:val="00852569"/>
    <w:rsid w:val="008525E9"/>
    <w:rsid w:val="008526EA"/>
    <w:rsid w:val="0085286D"/>
    <w:rsid w:val="008528CB"/>
    <w:rsid w:val="00852AF7"/>
    <w:rsid w:val="00852C40"/>
    <w:rsid w:val="00852CB4"/>
    <w:rsid w:val="00852E27"/>
    <w:rsid w:val="00852E7F"/>
    <w:rsid w:val="00852EE3"/>
    <w:rsid w:val="00852F91"/>
    <w:rsid w:val="008530BF"/>
    <w:rsid w:val="00853195"/>
    <w:rsid w:val="008531CC"/>
    <w:rsid w:val="00853252"/>
    <w:rsid w:val="0085330F"/>
    <w:rsid w:val="0085332F"/>
    <w:rsid w:val="00853366"/>
    <w:rsid w:val="0085337C"/>
    <w:rsid w:val="008533C0"/>
    <w:rsid w:val="00853491"/>
    <w:rsid w:val="00853585"/>
    <w:rsid w:val="00853688"/>
    <w:rsid w:val="00853788"/>
    <w:rsid w:val="008538B5"/>
    <w:rsid w:val="00853931"/>
    <w:rsid w:val="00853A5A"/>
    <w:rsid w:val="00853BD7"/>
    <w:rsid w:val="00853CA6"/>
    <w:rsid w:val="00853D94"/>
    <w:rsid w:val="00853FD1"/>
    <w:rsid w:val="008542F3"/>
    <w:rsid w:val="008543F1"/>
    <w:rsid w:val="00854415"/>
    <w:rsid w:val="00854581"/>
    <w:rsid w:val="008545C7"/>
    <w:rsid w:val="00854860"/>
    <w:rsid w:val="00854A40"/>
    <w:rsid w:val="00854A85"/>
    <w:rsid w:val="00854ACD"/>
    <w:rsid w:val="00854AE5"/>
    <w:rsid w:val="00854BCF"/>
    <w:rsid w:val="00854C15"/>
    <w:rsid w:val="00854C7F"/>
    <w:rsid w:val="00854CC4"/>
    <w:rsid w:val="00854D7B"/>
    <w:rsid w:val="00854F33"/>
    <w:rsid w:val="00855009"/>
    <w:rsid w:val="008550F2"/>
    <w:rsid w:val="0085511D"/>
    <w:rsid w:val="0085522B"/>
    <w:rsid w:val="00855405"/>
    <w:rsid w:val="00855446"/>
    <w:rsid w:val="00855508"/>
    <w:rsid w:val="00855599"/>
    <w:rsid w:val="00855683"/>
    <w:rsid w:val="00855840"/>
    <w:rsid w:val="008559D5"/>
    <w:rsid w:val="00855AB1"/>
    <w:rsid w:val="00855ACF"/>
    <w:rsid w:val="00855B56"/>
    <w:rsid w:val="00855BC5"/>
    <w:rsid w:val="00855C06"/>
    <w:rsid w:val="00855C0E"/>
    <w:rsid w:val="00855D87"/>
    <w:rsid w:val="00855DAA"/>
    <w:rsid w:val="00855DDC"/>
    <w:rsid w:val="00855E5E"/>
    <w:rsid w:val="00855FE5"/>
    <w:rsid w:val="008563AF"/>
    <w:rsid w:val="008565BC"/>
    <w:rsid w:val="00856624"/>
    <w:rsid w:val="0085663B"/>
    <w:rsid w:val="008566F3"/>
    <w:rsid w:val="00856713"/>
    <w:rsid w:val="00856814"/>
    <w:rsid w:val="008568E0"/>
    <w:rsid w:val="00856DD0"/>
    <w:rsid w:val="00856E59"/>
    <w:rsid w:val="00857260"/>
    <w:rsid w:val="00857299"/>
    <w:rsid w:val="008572B5"/>
    <w:rsid w:val="0085733B"/>
    <w:rsid w:val="008573E6"/>
    <w:rsid w:val="0085752F"/>
    <w:rsid w:val="00857545"/>
    <w:rsid w:val="008575C5"/>
    <w:rsid w:val="00857888"/>
    <w:rsid w:val="00857B0B"/>
    <w:rsid w:val="00857C3F"/>
    <w:rsid w:val="0086007A"/>
    <w:rsid w:val="008600D7"/>
    <w:rsid w:val="00860155"/>
    <w:rsid w:val="008602E8"/>
    <w:rsid w:val="008603E3"/>
    <w:rsid w:val="00860646"/>
    <w:rsid w:val="00860686"/>
    <w:rsid w:val="00860726"/>
    <w:rsid w:val="0086092F"/>
    <w:rsid w:val="00860A63"/>
    <w:rsid w:val="00860ADF"/>
    <w:rsid w:val="00860D0E"/>
    <w:rsid w:val="00860D39"/>
    <w:rsid w:val="00860D7E"/>
    <w:rsid w:val="00860FF6"/>
    <w:rsid w:val="00861045"/>
    <w:rsid w:val="0086117C"/>
    <w:rsid w:val="0086131F"/>
    <w:rsid w:val="00861494"/>
    <w:rsid w:val="008614B2"/>
    <w:rsid w:val="00861552"/>
    <w:rsid w:val="008615F9"/>
    <w:rsid w:val="008617D2"/>
    <w:rsid w:val="0086186F"/>
    <w:rsid w:val="00861A85"/>
    <w:rsid w:val="00861C58"/>
    <w:rsid w:val="00861F1D"/>
    <w:rsid w:val="00862058"/>
    <w:rsid w:val="0086207C"/>
    <w:rsid w:val="00862092"/>
    <w:rsid w:val="008620D4"/>
    <w:rsid w:val="008620E9"/>
    <w:rsid w:val="00862345"/>
    <w:rsid w:val="00862586"/>
    <w:rsid w:val="00862642"/>
    <w:rsid w:val="00862678"/>
    <w:rsid w:val="00862724"/>
    <w:rsid w:val="0086283C"/>
    <w:rsid w:val="0086290A"/>
    <w:rsid w:val="00862957"/>
    <w:rsid w:val="008629A7"/>
    <w:rsid w:val="008629B1"/>
    <w:rsid w:val="00862A91"/>
    <w:rsid w:val="00862ADD"/>
    <w:rsid w:val="00862BBB"/>
    <w:rsid w:val="00862CE4"/>
    <w:rsid w:val="00862CF5"/>
    <w:rsid w:val="00862D3E"/>
    <w:rsid w:val="00862D4D"/>
    <w:rsid w:val="00862D81"/>
    <w:rsid w:val="00862F06"/>
    <w:rsid w:val="00862FE4"/>
    <w:rsid w:val="00863128"/>
    <w:rsid w:val="00863207"/>
    <w:rsid w:val="008632AC"/>
    <w:rsid w:val="0086330F"/>
    <w:rsid w:val="00863318"/>
    <w:rsid w:val="00863369"/>
    <w:rsid w:val="0086347E"/>
    <w:rsid w:val="008635A5"/>
    <w:rsid w:val="0086375D"/>
    <w:rsid w:val="00863827"/>
    <w:rsid w:val="00863862"/>
    <w:rsid w:val="008638A0"/>
    <w:rsid w:val="00863A92"/>
    <w:rsid w:val="00863B00"/>
    <w:rsid w:val="00863C26"/>
    <w:rsid w:val="00863DB9"/>
    <w:rsid w:val="00863DEA"/>
    <w:rsid w:val="00863E91"/>
    <w:rsid w:val="00864156"/>
    <w:rsid w:val="0086415D"/>
    <w:rsid w:val="008643F0"/>
    <w:rsid w:val="008643F7"/>
    <w:rsid w:val="0086441C"/>
    <w:rsid w:val="0086447F"/>
    <w:rsid w:val="0086456C"/>
    <w:rsid w:val="00864666"/>
    <w:rsid w:val="0086468E"/>
    <w:rsid w:val="008647A3"/>
    <w:rsid w:val="008647BC"/>
    <w:rsid w:val="0086482C"/>
    <w:rsid w:val="00864901"/>
    <w:rsid w:val="00864981"/>
    <w:rsid w:val="00864A03"/>
    <w:rsid w:val="00864B22"/>
    <w:rsid w:val="00864D55"/>
    <w:rsid w:val="00864E04"/>
    <w:rsid w:val="008651BC"/>
    <w:rsid w:val="008652C7"/>
    <w:rsid w:val="0086547E"/>
    <w:rsid w:val="00865589"/>
    <w:rsid w:val="0086560D"/>
    <w:rsid w:val="008657CF"/>
    <w:rsid w:val="00865813"/>
    <w:rsid w:val="0086583B"/>
    <w:rsid w:val="008659F1"/>
    <w:rsid w:val="00865A54"/>
    <w:rsid w:val="00865ADF"/>
    <w:rsid w:val="00865CFC"/>
    <w:rsid w:val="00865D77"/>
    <w:rsid w:val="00865DD3"/>
    <w:rsid w:val="00865DD5"/>
    <w:rsid w:val="00865E8D"/>
    <w:rsid w:val="00865EBD"/>
    <w:rsid w:val="00865FE2"/>
    <w:rsid w:val="0086617D"/>
    <w:rsid w:val="0086625E"/>
    <w:rsid w:val="00866314"/>
    <w:rsid w:val="00866371"/>
    <w:rsid w:val="008663AB"/>
    <w:rsid w:val="00866830"/>
    <w:rsid w:val="0086683D"/>
    <w:rsid w:val="008668DC"/>
    <w:rsid w:val="008669B7"/>
    <w:rsid w:val="008669DC"/>
    <w:rsid w:val="00866A57"/>
    <w:rsid w:val="00866B0F"/>
    <w:rsid w:val="00866BFE"/>
    <w:rsid w:val="00866C10"/>
    <w:rsid w:val="00866D05"/>
    <w:rsid w:val="00866E5D"/>
    <w:rsid w:val="00867222"/>
    <w:rsid w:val="008672DD"/>
    <w:rsid w:val="0086732A"/>
    <w:rsid w:val="008673DF"/>
    <w:rsid w:val="00867494"/>
    <w:rsid w:val="00867636"/>
    <w:rsid w:val="00867730"/>
    <w:rsid w:val="008677C1"/>
    <w:rsid w:val="008677FF"/>
    <w:rsid w:val="0086784E"/>
    <w:rsid w:val="00867893"/>
    <w:rsid w:val="008678D3"/>
    <w:rsid w:val="00867935"/>
    <w:rsid w:val="00867936"/>
    <w:rsid w:val="008679EF"/>
    <w:rsid w:val="008679F7"/>
    <w:rsid w:val="00867A00"/>
    <w:rsid w:val="00867A34"/>
    <w:rsid w:val="00867DE2"/>
    <w:rsid w:val="00867DF0"/>
    <w:rsid w:val="00867E2F"/>
    <w:rsid w:val="00870182"/>
    <w:rsid w:val="008701DB"/>
    <w:rsid w:val="00870270"/>
    <w:rsid w:val="0087029F"/>
    <w:rsid w:val="008702B6"/>
    <w:rsid w:val="00870388"/>
    <w:rsid w:val="008703EF"/>
    <w:rsid w:val="00870599"/>
    <w:rsid w:val="008705A7"/>
    <w:rsid w:val="0087061A"/>
    <w:rsid w:val="00870703"/>
    <w:rsid w:val="00870B34"/>
    <w:rsid w:val="00870B51"/>
    <w:rsid w:val="00870BF5"/>
    <w:rsid w:val="00870C52"/>
    <w:rsid w:val="00870CD4"/>
    <w:rsid w:val="00870ED7"/>
    <w:rsid w:val="00870FD0"/>
    <w:rsid w:val="00871091"/>
    <w:rsid w:val="00871106"/>
    <w:rsid w:val="00871163"/>
    <w:rsid w:val="00871221"/>
    <w:rsid w:val="008715DD"/>
    <w:rsid w:val="00871677"/>
    <w:rsid w:val="008716A5"/>
    <w:rsid w:val="00871716"/>
    <w:rsid w:val="0087180A"/>
    <w:rsid w:val="00871A24"/>
    <w:rsid w:val="00871A9F"/>
    <w:rsid w:val="00871C2C"/>
    <w:rsid w:val="00871CF3"/>
    <w:rsid w:val="00871D55"/>
    <w:rsid w:val="00871DDF"/>
    <w:rsid w:val="00871E84"/>
    <w:rsid w:val="00871FCD"/>
    <w:rsid w:val="0087203F"/>
    <w:rsid w:val="008720AA"/>
    <w:rsid w:val="00872117"/>
    <w:rsid w:val="0087220E"/>
    <w:rsid w:val="0087232B"/>
    <w:rsid w:val="0087233A"/>
    <w:rsid w:val="00872378"/>
    <w:rsid w:val="00872477"/>
    <w:rsid w:val="00872554"/>
    <w:rsid w:val="008725A4"/>
    <w:rsid w:val="00872710"/>
    <w:rsid w:val="008727AF"/>
    <w:rsid w:val="008728E3"/>
    <w:rsid w:val="008728F2"/>
    <w:rsid w:val="00872B13"/>
    <w:rsid w:val="00872C1F"/>
    <w:rsid w:val="00872C6F"/>
    <w:rsid w:val="00872D8A"/>
    <w:rsid w:val="00872F77"/>
    <w:rsid w:val="0087304B"/>
    <w:rsid w:val="0087307E"/>
    <w:rsid w:val="00873152"/>
    <w:rsid w:val="00873317"/>
    <w:rsid w:val="00873437"/>
    <w:rsid w:val="0087364D"/>
    <w:rsid w:val="008739EF"/>
    <w:rsid w:val="00873C39"/>
    <w:rsid w:val="00873C7D"/>
    <w:rsid w:val="00873E4A"/>
    <w:rsid w:val="00874140"/>
    <w:rsid w:val="0087418A"/>
    <w:rsid w:val="008741AD"/>
    <w:rsid w:val="0087444C"/>
    <w:rsid w:val="008744ED"/>
    <w:rsid w:val="00874510"/>
    <w:rsid w:val="0087453A"/>
    <w:rsid w:val="008745C2"/>
    <w:rsid w:val="008746E7"/>
    <w:rsid w:val="008746F1"/>
    <w:rsid w:val="008747DB"/>
    <w:rsid w:val="0087494E"/>
    <w:rsid w:val="00874995"/>
    <w:rsid w:val="00874B90"/>
    <w:rsid w:val="00874C0C"/>
    <w:rsid w:val="00874D21"/>
    <w:rsid w:val="00874DF5"/>
    <w:rsid w:val="00874E3D"/>
    <w:rsid w:val="00874EDE"/>
    <w:rsid w:val="00874F8C"/>
    <w:rsid w:val="00874FFC"/>
    <w:rsid w:val="00875117"/>
    <w:rsid w:val="0087511B"/>
    <w:rsid w:val="00875158"/>
    <w:rsid w:val="00875240"/>
    <w:rsid w:val="00875258"/>
    <w:rsid w:val="00875422"/>
    <w:rsid w:val="00875540"/>
    <w:rsid w:val="00875649"/>
    <w:rsid w:val="008756C8"/>
    <w:rsid w:val="00875800"/>
    <w:rsid w:val="008758CC"/>
    <w:rsid w:val="00875910"/>
    <w:rsid w:val="00875A31"/>
    <w:rsid w:val="00875B48"/>
    <w:rsid w:val="00875B4B"/>
    <w:rsid w:val="00875BEF"/>
    <w:rsid w:val="00875C75"/>
    <w:rsid w:val="00875CCA"/>
    <w:rsid w:val="00875D28"/>
    <w:rsid w:val="00875D4C"/>
    <w:rsid w:val="00875D89"/>
    <w:rsid w:val="00875E56"/>
    <w:rsid w:val="00875FE3"/>
    <w:rsid w:val="00875FF7"/>
    <w:rsid w:val="008760F6"/>
    <w:rsid w:val="0087643E"/>
    <w:rsid w:val="0087647C"/>
    <w:rsid w:val="008764C2"/>
    <w:rsid w:val="008765CF"/>
    <w:rsid w:val="008765F8"/>
    <w:rsid w:val="008765FF"/>
    <w:rsid w:val="00876750"/>
    <w:rsid w:val="008767BE"/>
    <w:rsid w:val="008768B0"/>
    <w:rsid w:val="0087695F"/>
    <w:rsid w:val="00876986"/>
    <w:rsid w:val="00876CD8"/>
    <w:rsid w:val="00876D69"/>
    <w:rsid w:val="00876EC2"/>
    <w:rsid w:val="00877177"/>
    <w:rsid w:val="00877220"/>
    <w:rsid w:val="00877585"/>
    <w:rsid w:val="0087758D"/>
    <w:rsid w:val="0087778A"/>
    <w:rsid w:val="0087789F"/>
    <w:rsid w:val="008778FF"/>
    <w:rsid w:val="008779C3"/>
    <w:rsid w:val="00877A90"/>
    <w:rsid w:val="00877B63"/>
    <w:rsid w:val="00877C85"/>
    <w:rsid w:val="00877CBA"/>
    <w:rsid w:val="00877CCA"/>
    <w:rsid w:val="00877F99"/>
    <w:rsid w:val="00877FCF"/>
    <w:rsid w:val="00880025"/>
    <w:rsid w:val="00880048"/>
    <w:rsid w:val="008801EA"/>
    <w:rsid w:val="008803BC"/>
    <w:rsid w:val="008803DB"/>
    <w:rsid w:val="0088044A"/>
    <w:rsid w:val="008804A0"/>
    <w:rsid w:val="0088064D"/>
    <w:rsid w:val="008806AF"/>
    <w:rsid w:val="008806FA"/>
    <w:rsid w:val="008809BC"/>
    <w:rsid w:val="00880A96"/>
    <w:rsid w:val="00880B17"/>
    <w:rsid w:val="00880B30"/>
    <w:rsid w:val="00880BA0"/>
    <w:rsid w:val="00880C63"/>
    <w:rsid w:val="00880D06"/>
    <w:rsid w:val="00880D72"/>
    <w:rsid w:val="00880D9B"/>
    <w:rsid w:val="00880EC9"/>
    <w:rsid w:val="0088102E"/>
    <w:rsid w:val="0088121F"/>
    <w:rsid w:val="00881535"/>
    <w:rsid w:val="008816E1"/>
    <w:rsid w:val="008818E4"/>
    <w:rsid w:val="0088192C"/>
    <w:rsid w:val="00881A23"/>
    <w:rsid w:val="00881AE1"/>
    <w:rsid w:val="00881B36"/>
    <w:rsid w:val="00881B37"/>
    <w:rsid w:val="00881E10"/>
    <w:rsid w:val="00881F48"/>
    <w:rsid w:val="00882110"/>
    <w:rsid w:val="00882229"/>
    <w:rsid w:val="008822F5"/>
    <w:rsid w:val="008824EC"/>
    <w:rsid w:val="00882526"/>
    <w:rsid w:val="00882701"/>
    <w:rsid w:val="00882829"/>
    <w:rsid w:val="008828BE"/>
    <w:rsid w:val="0088290D"/>
    <w:rsid w:val="00882987"/>
    <w:rsid w:val="008829E5"/>
    <w:rsid w:val="00882A8D"/>
    <w:rsid w:val="00882B82"/>
    <w:rsid w:val="00882C11"/>
    <w:rsid w:val="00882CCC"/>
    <w:rsid w:val="00882D69"/>
    <w:rsid w:val="00882E1D"/>
    <w:rsid w:val="00882EF1"/>
    <w:rsid w:val="0088303A"/>
    <w:rsid w:val="00883178"/>
    <w:rsid w:val="008833FA"/>
    <w:rsid w:val="0088360B"/>
    <w:rsid w:val="00883651"/>
    <w:rsid w:val="008836A7"/>
    <w:rsid w:val="00883821"/>
    <w:rsid w:val="008838A1"/>
    <w:rsid w:val="008838B9"/>
    <w:rsid w:val="00883C21"/>
    <w:rsid w:val="00883DAB"/>
    <w:rsid w:val="00883DC8"/>
    <w:rsid w:val="00883DD2"/>
    <w:rsid w:val="00883E1F"/>
    <w:rsid w:val="00883E59"/>
    <w:rsid w:val="00883EF2"/>
    <w:rsid w:val="00884099"/>
    <w:rsid w:val="008840FE"/>
    <w:rsid w:val="008841A4"/>
    <w:rsid w:val="00884200"/>
    <w:rsid w:val="00884284"/>
    <w:rsid w:val="00884668"/>
    <w:rsid w:val="00884881"/>
    <w:rsid w:val="0088497A"/>
    <w:rsid w:val="00884A57"/>
    <w:rsid w:val="00884C1F"/>
    <w:rsid w:val="00884C3B"/>
    <w:rsid w:val="00884D9C"/>
    <w:rsid w:val="00884E44"/>
    <w:rsid w:val="0088511F"/>
    <w:rsid w:val="00885243"/>
    <w:rsid w:val="0088525E"/>
    <w:rsid w:val="00885282"/>
    <w:rsid w:val="00885335"/>
    <w:rsid w:val="00885368"/>
    <w:rsid w:val="00885430"/>
    <w:rsid w:val="0088545E"/>
    <w:rsid w:val="008855C1"/>
    <w:rsid w:val="008856B1"/>
    <w:rsid w:val="0088571E"/>
    <w:rsid w:val="008858F9"/>
    <w:rsid w:val="00885AD0"/>
    <w:rsid w:val="00885AD2"/>
    <w:rsid w:val="00885C67"/>
    <w:rsid w:val="00885C9C"/>
    <w:rsid w:val="00885E63"/>
    <w:rsid w:val="00885F16"/>
    <w:rsid w:val="00885FE5"/>
    <w:rsid w:val="0088602F"/>
    <w:rsid w:val="00886276"/>
    <w:rsid w:val="008862DE"/>
    <w:rsid w:val="00886359"/>
    <w:rsid w:val="00886449"/>
    <w:rsid w:val="00886491"/>
    <w:rsid w:val="00886532"/>
    <w:rsid w:val="008865F8"/>
    <w:rsid w:val="008869EB"/>
    <w:rsid w:val="00886AE7"/>
    <w:rsid w:val="00886BFE"/>
    <w:rsid w:val="00886CC1"/>
    <w:rsid w:val="008870EA"/>
    <w:rsid w:val="008870F6"/>
    <w:rsid w:val="0088716F"/>
    <w:rsid w:val="008871E1"/>
    <w:rsid w:val="0088732B"/>
    <w:rsid w:val="00887343"/>
    <w:rsid w:val="008874EB"/>
    <w:rsid w:val="00887606"/>
    <w:rsid w:val="00887665"/>
    <w:rsid w:val="008876DD"/>
    <w:rsid w:val="00887751"/>
    <w:rsid w:val="008877CF"/>
    <w:rsid w:val="00887853"/>
    <w:rsid w:val="00887AA5"/>
    <w:rsid w:val="00887AD0"/>
    <w:rsid w:val="00887B59"/>
    <w:rsid w:val="00887C7C"/>
    <w:rsid w:val="00887EF5"/>
    <w:rsid w:val="00887F1C"/>
    <w:rsid w:val="0089000B"/>
    <w:rsid w:val="0089019C"/>
    <w:rsid w:val="00890228"/>
    <w:rsid w:val="0089049B"/>
    <w:rsid w:val="00890568"/>
    <w:rsid w:val="008905A1"/>
    <w:rsid w:val="00890A1D"/>
    <w:rsid w:val="00890A62"/>
    <w:rsid w:val="00890B89"/>
    <w:rsid w:val="00890D4A"/>
    <w:rsid w:val="00890DEA"/>
    <w:rsid w:val="00890E38"/>
    <w:rsid w:val="00890E90"/>
    <w:rsid w:val="00890EE1"/>
    <w:rsid w:val="00890FB4"/>
    <w:rsid w:val="008911E2"/>
    <w:rsid w:val="008912C8"/>
    <w:rsid w:val="008914C0"/>
    <w:rsid w:val="008914CA"/>
    <w:rsid w:val="00891595"/>
    <w:rsid w:val="008915D3"/>
    <w:rsid w:val="00891601"/>
    <w:rsid w:val="00891650"/>
    <w:rsid w:val="00891663"/>
    <w:rsid w:val="008918D0"/>
    <w:rsid w:val="00891A30"/>
    <w:rsid w:val="00891AC9"/>
    <w:rsid w:val="00891C80"/>
    <w:rsid w:val="00891E58"/>
    <w:rsid w:val="00891EA1"/>
    <w:rsid w:val="00891F82"/>
    <w:rsid w:val="00891FCB"/>
    <w:rsid w:val="00891FE1"/>
    <w:rsid w:val="0089206A"/>
    <w:rsid w:val="008920E4"/>
    <w:rsid w:val="008921FB"/>
    <w:rsid w:val="0089229E"/>
    <w:rsid w:val="00892357"/>
    <w:rsid w:val="00892371"/>
    <w:rsid w:val="0089246F"/>
    <w:rsid w:val="0089249F"/>
    <w:rsid w:val="008925FD"/>
    <w:rsid w:val="00892694"/>
    <w:rsid w:val="008926DC"/>
    <w:rsid w:val="0089294F"/>
    <w:rsid w:val="00892D4E"/>
    <w:rsid w:val="00892F7A"/>
    <w:rsid w:val="00892F8F"/>
    <w:rsid w:val="00892FC8"/>
    <w:rsid w:val="00893014"/>
    <w:rsid w:val="00893293"/>
    <w:rsid w:val="0089332F"/>
    <w:rsid w:val="00893342"/>
    <w:rsid w:val="00893365"/>
    <w:rsid w:val="008933FB"/>
    <w:rsid w:val="008934A9"/>
    <w:rsid w:val="00893795"/>
    <w:rsid w:val="008938AE"/>
    <w:rsid w:val="008938C4"/>
    <w:rsid w:val="008938DC"/>
    <w:rsid w:val="00893A1D"/>
    <w:rsid w:val="00893A42"/>
    <w:rsid w:val="00893A50"/>
    <w:rsid w:val="00893B40"/>
    <w:rsid w:val="00893CD0"/>
    <w:rsid w:val="00893E47"/>
    <w:rsid w:val="00893F47"/>
    <w:rsid w:val="008941DA"/>
    <w:rsid w:val="00894385"/>
    <w:rsid w:val="00894515"/>
    <w:rsid w:val="00894769"/>
    <w:rsid w:val="00894882"/>
    <w:rsid w:val="00894883"/>
    <w:rsid w:val="00894958"/>
    <w:rsid w:val="00894C17"/>
    <w:rsid w:val="00894CAF"/>
    <w:rsid w:val="00894CDF"/>
    <w:rsid w:val="00894E60"/>
    <w:rsid w:val="00894F9C"/>
    <w:rsid w:val="00894FE1"/>
    <w:rsid w:val="00895000"/>
    <w:rsid w:val="0089510B"/>
    <w:rsid w:val="0089510D"/>
    <w:rsid w:val="00895153"/>
    <w:rsid w:val="0089536A"/>
    <w:rsid w:val="008953D6"/>
    <w:rsid w:val="008954D5"/>
    <w:rsid w:val="008955A6"/>
    <w:rsid w:val="0089563A"/>
    <w:rsid w:val="00895C26"/>
    <w:rsid w:val="00895C68"/>
    <w:rsid w:val="00895CDA"/>
    <w:rsid w:val="00895F4E"/>
    <w:rsid w:val="00895F4F"/>
    <w:rsid w:val="00895F95"/>
    <w:rsid w:val="008960EC"/>
    <w:rsid w:val="00896176"/>
    <w:rsid w:val="008961D2"/>
    <w:rsid w:val="008962B0"/>
    <w:rsid w:val="00896312"/>
    <w:rsid w:val="00896376"/>
    <w:rsid w:val="008963D2"/>
    <w:rsid w:val="008964B5"/>
    <w:rsid w:val="00896700"/>
    <w:rsid w:val="008967E1"/>
    <w:rsid w:val="00896839"/>
    <w:rsid w:val="0089693D"/>
    <w:rsid w:val="008969D1"/>
    <w:rsid w:val="00896B6D"/>
    <w:rsid w:val="00896D47"/>
    <w:rsid w:val="00896DAD"/>
    <w:rsid w:val="00896DDB"/>
    <w:rsid w:val="00897161"/>
    <w:rsid w:val="008972BC"/>
    <w:rsid w:val="008975E9"/>
    <w:rsid w:val="008975EF"/>
    <w:rsid w:val="008978BE"/>
    <w:rsid w:val="008978F6"/>
    <w:rsid w:val="008979CA"/>
    <w:rsid w:val="00897BC9"/>
    <w:rsid w:val="00897C9F"/>
    <w:rsid w:val="00897F53"/>
    <w:rsid w:val="008A0262"/>
    <w:rsid w:val="008A02D1"/>
    <w:rsid w:val="008A0373"/>
    <w:rsid w:val="008A0638"/>
    <w:rsid w:val="008A063A"/>
    <w:rsid w:val="008A063B"/>
    <w:rsid w:val="008A06A0"/>
    <w:rsid w:val="008A0704"/>
    <w:rsid w:val="008A0BBA"/>
    <w:rsid w:val="008A0C74"/>
    <w:rsid w:val="008A0DEC"/>
    <w:rsid w:val="008A0E50"/>
    <w:rsid w:val="008A0E91"/>
    <w:rsid w:val="008A1029"/>
    <w:rsid w:val="008A10A3"/>
    <w:rsid w:val="008A1124"/>
    <w:rsid w:val="008A1296"/>
    <w:rsid w:val="008A135C"/>
    <w:rsid w:val="008A13A3"/>
    <w:rsid w:val="008A13F5"/>
    <w:rsid w:val="008A1408"/>
    <w:rsid w:val="008A140E"/>
    <w:rsid w:val="008A1467"/>
    <w:rsid w:val="008A1705"/>
    <w:rsid w:val="008A1758"/>
    <w:rsid w:val="008A17E3"/>
    <w:rsid w:val="008A17FF"/>
    <w:rsid w:val="008A183A"/>
    <w:rsid w:val="008A1A08"/>
    <w:rsid w:val="008A1C59"/>
    <w:rsid w:val="008A1EE9"/>
    <w:rsid w:val="008A1EFA"/>
    <w:rsid w:val="008A20D0"/>
    <w:rsid w:val="008A21CA"/>
    <w:rsid w:val="008A2334"/>
    <w:rsid w:val="008A242D"/>
    <w:rsid w:val="008A26EE"/>
    <w:rsid w:val="008A27FF"/>
    <w:rsid w:val="008A297B"/>
    <w:rsid w:val="008A2A40"/>
    <w:rsid w:val="008A2A8D"/>
    <w:rsid w:val="008A2B32"/>
    <w:rsid w:val="008A2B77"/>
    <w:rsid w:val="008A2D47"/>
    <w:rsid w:val="008A2FDC"/>
    <w:rsid w:val="008A327C"/>
    <w:rsid w:val="008A3310"/>
    <w:rsid w:val="008A3325"/>
    <w:rsid w:val="008A3381"/>
    <w:rsid w:val="008A3392"/>
    <w:rsid w:val="008A343B"/>
    <w:rsid w:val="008A34C5"/>
    <w:rsid w:val="008A3660"/>
    <w:rsid w:val="008A380B"/>
    <w:rsid w:val="008A385F"/>
    <w:rsid w:val="008A3948"/>
    <w:rsid w:val="008A39F9"/>
    <w:rsid w:val="008A3B3B"/>
    <w:rsid w:val="008A3CF7"/>
    <w:rsid w:val="008A3DAA"/>
    <w:rsid w:val="008A3F63"/>
    <w:rsid w:val="008A446B"/>
    <w:rsid w:val="008A45A7"/>
    <w:rsid w:val="008A473F"/>
    <w:rsid w:val="008A4796"/>
    <w:rsid w:val="008A47E9"/>
    <w:rsid w:val="008A48C9"/>
    <w:rsid w:val="008A4A64"/>
    <w:rsid w:val="008A4B14"/>
    <w:rsid w:val="008A4B73"/>
    <w:rsid w:val="008A4B81"/>
    <w:rsid w:val="008A4C34"/>
    <w:rsid w:val="008A4C38"/>
    <w:rsid w:val="008A4CA4"/>
    <w:rsid w:val="008A4F32"/>
    <w:rsid w:val="008A4FD6"/>
    <w:rsid w:val="008A5022"/>
    <w:rsid w:val="008A51AA"/>
    <w:rsid w:val="008A54D9"/>
    <w:rsid w:val="008A5804"/>
    <w:rsid w:val="008A5A4B"/>
    <w:rsid w:val="008A5A65"/>
    <w:rsid w:val="008A5B5A"/>
    <w:rsid w:val="008A5BA1"/>
    <w:rsid w:val="008A5CE5"/>
    <w:rsid w:val="008A5E07"/>
    <w:rsid w:val="008A5E93"/>
    <w:rsid w:val="008A5F1F"/>
    <w:rsid w:val="008A5F48"/>
    <w:rsid w:val="008A5FC9"/>
    <w:rsid w:val="008A6241"/>
    <w:rsid w:val="008A631D"/>
    <w:rsid w:val="008A63DF"/>
    <w:rsid w:val="008A6793"/>
    <w:rsid w:val="008A6C18"/>
    <w:rsid w:val="008A6C8F"/>
    <w:rsid w:val="008A6DAA"/>
    <w:rsid w:val="008A6E56"/>
    <w:rsid w:val="008A6FCA"/>
    <w:rsid w:val="008A72BA"/>
    <w:rsid w:val="008A7498"/>
    <w:rsid w:val="008A766E"/>
    <w:rsid w:val="008A76DB"/>
    <w:rsid w:val="008A7943"/>
    <w:rsid w:val="008A7A2E"/>
    <w:rsid w:val="008A7B7E"/>
    <w:rsid w:val="008A7BC3"/>
    <w:rsid w:val="008A7D7C"/>
    <w:rsid w:val="008A7DDC"/>
    <w:rsid w:val="008A7E29"/>
    <w:rsid w:val="008A7E9A"/>
    <w:rsid w:val="008A7F07"/>
    <w:rsid w:val="008B0127"/>
    <w:rsid w:val="008B01AD"/>
    <w:rsid w:val="008B0252"/>
    <w:rsid w:val="008B0280"/>
    <w:rsid w:val="008B028C"/>
    <w:rsid w:val="008B02D8"/>
    <w:rsid w:val="008B0329"/>
    <w:rsid w:val="008B0349"/>
    <w:rsid w:val="008B0444"/>
    <w:rsid w:val="008B047C"/>
    <w:rsid w:val="008B04EB"/>
    <w:rsid w:val="008B05DF"/>
    <w:rsid w:val="008B06C7"/>
    <w:rsid w:val="008B06EA"/>
    <w:rsid w:val="008B0743"/>
    <w:rsid w:val="008B09EB"/>
    <w:rsid w:val="008B0CA9"/>
    <w:rsid w:val="008B10C0"/>
    <w:rsid w:val="008B10F0"/>
    <w:rsid w:val="008B1219"/>
    <w:rsid w:val="008B123D"/>
    <w:rsid w:val="008B123E"/>
    <w:rsid w:val="008B13E1"/>
    <w:rsid w:val="008B1415"/>
    <w:rsid w:val="008B141B"/>
    <w:rsid w:val="008B1524"/>
    <w:rsid w:val="008B1830"/>
    <w:rsid w:val="008B1B75"/>
    <w:rsid w:val="008B1D3A"/>
    <w:rsid w:val="008B1E5F"/>
    <w:rsid w:val="008B1EE6"/>
    <w:rsid w:val="008B2004"/>
    <w:rsid w:val="008B2071"/>
    <w:rsid w:val="008B2074"/>
    <w:rsid w:val="008B20CB"/>
    <w:rsid w:val="008B211B"/>
    <w:rsid w:val="008B263C"/>
    <w:rsid w:val="008B282A"/>
    <w:rsid w:val="008B284F"/>
    <w:rsid w:val="008B2985"/>
    <w:rsid w:val="008B2A08"/>
    <w:rsid w:val="008B2C36"/>
    <w:rsid w:val="008B2CDA"/>
    <w:rsid w:val="008B2DCB"/>
    <w:rsid w:val="008B2EFC"/>
    <w:rsid w:val="008B3078"/>
    <w:rsid w:val="008B3126"/>
    <w:rsid w:val="008B3205"/>
    <w:rsid w:val="008B32A8"/>
    <w:rsid w:val="008B330D"/>
    <w:rsid w:val="008B331E"/>
    <w:rsid w:val="008B3407"/>
    <w:rsid w:val="008B34BC"/>
    <w:rsid w:val="008B34E0"/>
    <w:rsid w:val="008B36BB"/>
    <w:rsid w:val="008B383A"/>
    <w:rsid w:val="008B390B"/>
    <w:rsid w:val="008B3B3C"/>
    <w:rsid w:val="008B3BF6"/>
    <w:rsid w:val="008B3C64"/>
    <w:rsid w:val="008B3E98"/>
    <w:rsid w:val="008B3F54"/>
    <w:rsid w:val="008B407C"/>
    <w:rsid w:val="008B40BB"/>
    <w:rsid w:val="008B41B5"/>
    <w:rsid w:val="008B4201"/>
    <w:rsid w:val="008B421C"/>
    <w:rsid w:val="008B423C"/>
    <w:rsid w:val="008B4283"/>
    <w:rsid w:val="008B434C"/>
    <w:rsid w:val="008B44D8"/>
    <w:rsid w:val="008B4687"/>
    <w:rsid w:val="008B4915"/>
    <w:rsid w:val="008B4951"/>
    <w:rsid w:val="008B4999"/>
    <w:rsid w:val="008B4A28"/>
    <w:rsid w:val="008B4B3B"/>
    <w:rsid w:val="008B4B72"/>
    <w:rsid w:val="008B4B7F"/>
    <w:rsid w:val="008B4C9D"/>
    <w:rsid w:val="008B4CDC"/>
    <w:rsid w:val="008B4E6E"/>
    <w:rsid w:val="008B5039"/>
    <w:rsid w:val="008B50E0"/>
    <w:rsid w:val="008B5174"/>
    <w:rsid w:val="008B51C4"/>
    <w:rsid w:val="008B5314"/>
    <w:rsid w:val="008B5322"/>
    <w:rsid w:val="008B54D3"/>
    <w:rsid w:val="008B555E"/>
    <w:rsid w:val="008B5616"/>
    <w:rsid w:val="008B5714"/>
    <w:rsid w:val="008B5809"/>
    <w:rsid w:val="008B5814"/>
    <w:rsid w:val="008B585E"/>
    <w:rsid w:val="008B5A90"/>
    <w:rsid w:val="008B5AE6"/>
    <w:rsid w:val="008B5C4E"/>
    <w:rsid w:val="008B5D57"/>
    <w:rsid w:val="008B5FD2"/>
    <w:rsid w:val="008B5FDD"/>
    <w:rsid w:val="008B606A"/>
    <w:rsid w:val="008B61E6"/>
    <w:rsid w:val="008B624A"/>
    <w:rsid w:val="008B629B"/>
    <w:rsid w:val="008B62AE"/>
    <w:rsid w:val="008B658D"/>
    <w:rsid w:val="008B6653"/>
    <w:rsid w:val="008B66A8"/>
    <w:rsid w:val="008B66F6"/>
    <w:rsid w:val="008B67EF"/>
    <w:rsid w:val="008B6864"/>
    <w:rsid w:val="008B697D"/>
    <w:rsid w:val="008B6B36"/>
    <w:rsid w:val="008B6CD7"/>
    <w:rsid w:val="008B6F87"/>
    <w:rsid w:val="008B6FC4"/>
    <w:rsid w:val="008B70D6"/>
    <w:rsid w:val="008B72B8"/>
    <w:rsid w:val="008B733F"/>
    <w:rsid w:val="008B7383"/>
    <w:rsid w:val="008B73F3"/>
    <w:rsid w:val="008B73FD"/>
    <w:rsid w:val="008B7455"/>
    <w:rsid w:val="008B7462"/>
    <w:rsid w:val="008B74A4"/>
    <w:rsid w:val="008B74AF"/>
    <w:rsid w:val="008B74EF"/>
    <w:rsid w:val="008B74FF"/>
    <w:rsid w:val="008B77C4"/>
    <w:rsid w:val="008B7802"/>
    <w:rsid w:val="008B7932"/>
    <w:rsid w:val="008B7A39"/>
    <w:rsid w:val="008B7A72"/>
    <w:rsid w:val="008B7AE3"/>
    <w:rsid w:val="008B7C13"/>
    <w:rsid w:val="008B7C1B"/>
    <w:rsid w:val="008B7C38"/>
    <w:rsid w:val="008B7CFE"/>
    <w:rsid w:val="008C00B2"/>
    <w:rsid w:val="008C00F3"/>
    <w:rsid w:val="008C0167"/>
    <w:rsid w:val="008C028D"/>
    <w:rsid w:val="008C038D"/>
    <w:rsid w:val="008C03C5"/>
    <w:rsid w:val="008C040C"/>
    <w:rsid w:val="008C0607"/>
    <w:rsid w:val="008C094F"/>
    <w:rsid w:val="008C09CA"/>
    <w:rsid w:val="008C0A32"/>
    <w:rsid w:val="008C0D27"/>
    <w:rsid w:val="008C0E55"/>
    <w:rsid w:val="008C0F9D"/>
    <w:rsid w:val="008C0FDF"/>
    <w:rsid w:val="008C0FEA"/>
    <w:rsid w:val="008C1001"/>
    <w:rsid w:val="008C1007"/>
    <w:rsid w:val="008C1079"/>
    <w:rsid w:val="008C115A"/>
    <w:rsid w:val="008C12BA"/>
    <w:rsid w:val="008C12DD"/>
    <w:rsid w:val="008C13CC"/>
    <w:rsid w:val="008C13DB"/>
    <w:rsid w:val="008C15EF"/>
    <w:rsid w:val="008C1683"/>
    <w:rsid w:val="008C1797"/>
    <w:rsid w:val="008C17E2"/>
    <w:rsid w:val="008C1811"/>
    <w:rsid w:val="008C181D"/>
    <w:rsid w:val="008C1A26"/>
    <w:rsid w:val="008C1ABD"/>
    <w:rsid w:val="008C1C2C"/>
    <w:rsid w:val="008C1F70"/>
    <w:rsid w:val="008C21C4"/>
    <w:rsid w:val="008C21DC"/>
    <w:rsid w:val="008C2369"/>
    <w:rsid w:val="008C2502"/>
    <w:rsid w:val="008C2707"/>
    <w:rsid w:val="008C27C4"/>
    <w:rsid w:val="008C290A"/>
    <w:rsid w:val="008C2AFC"/>
    <w:rsid w:val="008C2C10"/>
    <w:rsid w:val="008C2C62"/>
    <w:rsid w:val="008C2C8F"/>
    <w:rsid w:val="008C2DFC"/>
    <w:rsid w:val="008C2F05"/>
    <w:rsid w:val="008C2FE7"/>
    <w:rsid w:val="008C3091"/>
    <w:rsid w:val="008C30E2"/>
    <w:rsid w:val="008C31B7"/>
    <w:rsid w:val="008C34FC"/>
    <w:rsid w:val="008C3666"/>
    <w:rsid w:val="008C37D4"/>
    <w:rsid w:val="008C3826"/>
    <w:rsid w:val="008C3892"/>
    <w:rsid w:val="008C39CC"/>
    <w:rsid w:val="008C3A20"/>
    <w:rsid w:val="008C3A2E"/>
    <w:rsid w:val="008C3A3E"/>
    <w:rsid w:val="008C3B7F"/>
    <w:rsid w:val="008C3D1E"/>
    <w:rsid w:val="008C3D85"/>
    <w:rsid w:val="008C3ED4"/>
    <w:rsid w:val="008C3EDC"/>
    <w:rsid w:val="008C3EF5"/>
    <w:rsid w:val="008C411D"/>
    <w:rsid w:val="008C4483"/>
    <w:rsid w:val="008C44FC"/>
    <w:rsid w:val="008C46B4"/>
    <w:rsid w:val="008C4995"/>
    <w:rsid w:val="008C4A19"/>
    <w:rsid w:val="008C4A99"/>
    <w:rsid w:val="008C4BB5"/>
    <w:rsid w:val="008C4C16"/>
    <w:rsid w:val="008C4DA8"/>
    <w:rsid w:val="008C4E82"/>
    <w:rsid w:val="008C4F3A"/>
    <w:rsid w:val="008C4F45"/>
    <w:rsid w:val="008C5100"/>
    <w:rsid w:val="008C5107"/>
    <w:rsid w:val="008C5258"/>
    <w:rsid w:val="008C55CF"/>
    <w:rsid w:val="008C5719"/>
    <w:rsid w:val="008C58A9"/>
    <w:rsid w:val="008C5960"/>
    <w:rsid w:val="008C5C62"/>
    <w:rsid w:val="008C5CDC"/>
    <w:rsid w:val="008C5D98"/>
    <w:rsid w:val="008C5DA1"/>
    <w:rsid w:val="008C5E1E"/>
    <w:rsid w:val="008C5E25"/>
    <w:rsid w:val="008C5EAD"/>
    <w:rsid w:val="008C5EDA"/>
    <w:rsid w:val="008C5F3C"/>
    <w:rsid w:val="008C6059"/>
    <w:rsid w:val="008C6197"/>
    <w:rsid w:val="008C64ED"/>
    <w:rsid w:val="008C64F5"/>
    <w:rsid w:val="008C6536"/>
    <w:rsid w:val="008C659F"/>
    <w:rsid w:val="008C6738"/>
    <w:rsid w:val="008C67CA"/>
    <w:rsid w:val="008C689A"/>
    <w:rsid w:val="008C6B2F"/>
    <w:rsid w:val="008C6BAD"/>
    <w:rsid w:val="008C6C59"/>
    <w:rsid w:val="008C6C90"/>
    <w:rsid w:val="008C6DEE"/>
    <w:rsid w:val="008C6E60"/>
    <w:rsid w:val="008C6E63"/>
    <w:rsid w:val="008C6E68"/>
    <w:rsid w:val="008C6EBD"/>
    <w:rsid w:val="008C6EE4"/>
    <w:rsid w:val="008C6EFA"/>
    <w:rsid w:val="008C704A"/>
    <w:rsid w:val="008C7110"/>
    <w:rsid w:val="008C71D6"/>
    <w:rsid w:val="008C7474"/>
    <w:rsid w:val="008C7482"/>
    <w:rsid w:val="008C74ED"/>
    <w:rsid w:val="008C7579"/>
    <w:rsid w:val="008C7605"/>
    <w:rsid w:val="008C776C"/>
    <w:rsid w:val="008C77A2"/>
    <w:rsid w:val="008C77EC"/>
    <w:rsid w:val="008C7841"/>
    <w:rsid w:val="008C7959"/>
    <w:rsid w:val="008C79AA"/>
    <w:rsid w:val="008C7A2F"/>
    <w:rsid w:val="008C7A37"/>
    <w:rsid w:val="008C7A56"/>
    <w:rsid w:val="008C7B54"/>
    <w:rsid w:val="008C7C21"/>
    <w:rsid w:val="008C7D5E"/>
    <w:rsid w:val="008C7D69"/>
    <w:rsid w:val="008C7DD8"/>
    <w:rsid w:val="008D003A"/>
    <w:rsid w:val="008D0307"/>
    <w:rsid w:val="008D04FE"/>
    <w:rsid w:val="008D0772"/>
    <w:rsid w:val="008D078E"/>
    <w:rsid w:val="008D08FA"/>
    <w:rsid w:val="008D0973"/>
    <w:rsid w:val="008D0B69"/>
    <w:rsid w:val="008D0BC2"/>
    <w:rsid w:val="008D0F9A"/>
    <w:rsid w:val="008D1036"/>
    <w:rsid w:val="008D1182"/>
    <w:rsid w:val="008D12C7"/>
    <w:rsid w:val="008D13D9"/>
    <w:rsid w:val="008D161F"/>
    <w:rsid w:val="008D17E8"/>
    <w:rsid w:val="008D18B0"/>
    <w:rsid w:val="008D198B"/>
    <w:rsid w:val="008D1AAC"/>
    <w:rsid w:val="008D1BB4"/>
    <w:rsid w:val="008D1D0C"/>
    <w:rsid w:val="008D1EA0"/>
    <w:rsid w:val="008D1F37"/>
    <w:rsid w:val="008D1F55"/>
    <w:rsid w:val="008D21B6"/>
    <w:rsid w:val="008D2241"/>
    <w:rsid w:val="008D22E1"/>
    <w:rsid w:val="008D2700"/>
    <w:rsid w:val="008D27A6"/>
    <w:rsid w:val="008D27F6"/>
    <w:rsid w:val="008D2852"/>
    <w:rsid w:val="008D288D"/>
    <w:rsid w:val="008D2970"/>
    <w:rsid w:val="008D2B6B"/>
    <w:rsid w:val="008D2CC7"/>
    <w:rsid w:val="008D2DB1"/>
    <w:rsid w:val="008D2DE2"/>
    <w:rsid w:val="008D2E56"/>
    <w:rsid w:val="008D3065"/>
    <w:rsid w:val="008D31CF"/>
    <w:rsid w:val="008D356B"/>
    <w:rsid w:val="008D37DA"/>
    <w:rsid w:val="008D38F8"/>
    <w:rsid w:val="008D3975"/>
    <w:rsid w:val="008D3A50"/>
    <w:rsid w:val="008D3BAC"/>
    <w:rsid w:val="008D3E91"/>
    <w:rsid w:val="008D3EC7"/>
    <w:rsid w:val="008D3F05"/>
    <w:rsid w:val="008D3F3B"/>
    <w:rsid w:val="008D4050"/>
    <w:rsid w:val="008D40BC"/>
    <w:rsid w:val="008D4366"/>
    <w:rsid w:val="008D43AB"/>
    <w:rsid w:val="008D451C"/>
    <w:rsid w:val="008D47D0"/>
    <w:rsid w:val="008D484B"/>
    <w:rsid w:val="008D48A2"/>
    <w:rsid w:val="008D4A62"/>
    <w:rsid w:val="008D4C1F"/>
    <w:rsid w:val="008D500F"/>
    <w:rsid w:val="008D5058"/>
    <w:rsid w:val="008D5250"/>
    <w:rsid w:val="008D52E9"/>
    <w:rsid w:val="008D5378"/>
    <w:rsid w:val="008D5439"/>
    <w:rsid w:val="008D546C"/>
    <w:rsid w:val="008D5643"/>
    <w:rsid w:val="008D56CB"/>
    <w:rsid w:val="008D577D"/>
    <w:rsid w:val="008D57EA"/>
    <w:rsid w:val="008D592F"/>
    <w:rsid w:val="008D5ACC"/>
    <w:rsid w:val="008D5C07"/>
    <w:rsid w:val="008D5C1C"/>
    <w:rsid w:val="008D5D1E"/>
    <w:rsid w:val="008D5D22"/>
    <w:rsid w:val="008D5DCC"/>
    <w:rsid w:val="008D5EFA"/>
    <w:rsid w:val="008D615A"/>
    <w:rsid w:val="008D6236"/>
    <w:rsid w:val="008D624E"/>
    <w:rsid w:val="008D6279"/>
    <w:rsid w:val="008D62F1"/>
    <w:rsid w:val="008D6424"/>
    <w:rsid w:val="008D6436"/>
    <w:rsid w:val="008D6455"/>
    <w:rsid w:val="008D665B"/>
    <w:rsid w:val="008D6A3F"/>
    <w:rsid w:val="008D6B69"/>
    <w:rsid w:val="008D6BE8"/>
    <w:rsid w:val="008D6DD7"/>
    <w:rsid w:val="008D6E7F"/>
    <w:rsid w:val="008D6E90"/>
    <w:rsid w:val="008D6F08"/>
    <w:rsid w:val="008D7096"/>
    <w:rsid w:val="008D72D3"/>
    <w:rsid w:val="008D7396"/>
    <w:rsid w:val="008D7550"/>
    <w:rsid w:val="008D7582"/>
    <w:rsid w:val="008D764C"/>
    <w:rsid w:val="008D7705"/>
    <w:rsid w:val="008D776F"/>
    <w:rsid w:val="008D7891"/>
    <w:rsid w:val="008D7B22"/>
    <w:rsid w:val="008D7C73"/>
    <w:rsid w:val="008D7C7B"/>
    <w:rsid w:val="008D7E89"/>
    <w:rsid w:val="008D7F9B"/>
    <w:rsid w:val="008D7FD4"/>
    <w:rsid w:val="008E0012"/>
    <w:rsid w:val="008E00E9"/>
    <w:rsid w:val="008E03FD"/>
    <w:rsid w:val="008E05D7"/>
    <w:rsid w:val="008E05D9"/>
    <w:rsid w:val="008E0666"/>
    <w:rsid w:val="008E0814"/>
    <w:rsid w:val="008E087A"/>
    <w:rsid w:val="008E0913"/>
    <w:rsid w:val="008E0AB0"/>
    <w:rsid w:val="008E0AE4"/>
    <w:rsid w:val="008E0C9A"/>
    <w:rsid w:val="008E0D27"/>
    <w:rsid w:val="008E0D2F"/>
    <w:rsid w:val="008E0F35"/>
    <w:rsid w:val="008E12DC"/>
    <w:rsid w:val="008E1332"/>
    <w:rsid w:val="008E155C"/>
    <w:rsid w:val="008E165E"/>
    <w:rsid w:val="008E17A5"/>
    <w:rsid w:val="008E182E"/>
    <w:rsid w:val="008E1989"/>
    <w:rsid w:val="008E1BC5"/>
    <w:rsid w:val="008E1CC3"/>
    <w:rsid w:val="008E1FEA"/>
    <w:rsid w:val="008E2098"/>
    <w:rsid w:val="008E2139"/>
    <w:rsid w:val="008E219A"/>
    <w:rsid w:val="008E21F6"/>
    <w:rsid w:val="008E23BD"/>
    <w:rsid w:val="008E2584"/>
    <w:rsid w:val="008E2597"/>
    <w:rsid w:val="008E25B9"/>
    <w:rsid w:val="008E26CB"/>
    <w:rsid w:val="008E26CC"/>
    <w:rsid w:val="008E2737"/>
    <w:rsid w:val="008E2759"/>
    <w:rsid w:val="008E27DF"/>
    <w:rsid w:val="008E27FB"/>
    <w:rsid w:val="008E28E0"/>
    <w:rsid w:val="008E2A43"/>
    <w:rsid w:val="008E2AF9"/>
    <w:rsid w:val="008E2BA8"/>
    <w:rsid w:val="008E2C11"/>
    <w:rsid w:val="008E2C7C"/>
    <w:rsid w:val="008E2CAF"/>
    <w:rsid w:val="008E2CE3"/>
    <w:rsid w:val="008E2D07"/>
    <w:rsid w:val="008E3001"/>
    <w:rsid w:val="008E3064"/>
    <w:rsid w:val="008E334A"/>
    <w:rsid w:val="008E33D5"/>
    <w:rsid w:val="008E3415"/>
    <w:rsid w:val="008E34B9"/>
    <w:rsid w:val="008E34D9"/>
    <w:rsid w:val="008E3559"/>
    <w:rsid w:val="008E36E8"/>
    <w:rsid w:val="008E37E6"/>
    <w:rsid w:val="008E38C1"/>
    <w:rsid w:val="008E3928"/>
    <w:rsid w:val="008E3A0E"/>
    <w:rsid w:val="008E3C0C"/>
    <w:rsid w:val="008E3C0E"/>
    <w:rsid w:val="008E3CC0"/>
    <w:rsid w:val="008E3F2F"/>
    <w:rsid w:val="008E4058"/>
    <w:rsid w:val="008E40D1"/>
    <w:rsid w:val="008E41F8"/>
    <w:rsid w:val="008E4224"/>
    <w:rsid w:val="008E43E0"/>
    <w:rsid w:val="008E453C"/>
    <w:rsid w:val="008E4583"/>
    <w:rsid w:val="008E45B2"/>
    <w:rsid w:val="008E45F6"/>
    <w:rsid w:val="008E4630"/>
    <w:rsid w:val="008E46E8"/>
    <w:rsid w:val="008E4726"/>
    <w:rsid w:val="008E48DD"/>
    <w:rsid w:val="008E4A89"/>
    <w:rsid w:val="008E4B50"/>
    <w:rsid w:val="008E4B71"/>
    <w:rsid w:val="008E4BB8"/>
    <w:rsid w:val="008E4C61"/>
    <w:rsid w:val="008E4CEE"/>
    <w:rsid w:val="008E4FC6"/>
    <w:rsid w:val="008E5049"/>
    <w:rsid w:val="008E5164"/>
    <w:rsid w:val="008E51CB"/>
    <w:rsid w:val="008E51D3"/>
    <w:rsid w:val="008E51EE"/>
    <w:rsid w:val="008E5527"/>
    <w:rsid w:val="008E56B5"/>
    <w:rsid w:val="008E577A"/>
    <w:rsid w:val="008E57D0"/>
    <w:rsid w:val="008E5AE9"/>
    <w:rsid w:val="008E5AFD"/>
    <w:rsid w:val="008E5B1B"/>
    <w:rsid w:val="008E5BC3"/>
    <w:rsid w:val="008E5CE1"/>
    <w:rsid w:val="008E6206"/>
    <w:rsid w:val="008E62DD"/>
    <w:rsid w:val="008E647A"/>
    <w:rsid w:val="008E64AD"/>
    <w:rsid w:val="008E64E5"/>
    <w:rsid w:val="008E653E"/>
    <w:rsid w:val="008E6583"/>
    <w:rsid w:val="008E65D9"/>
    <w:rsid w:val="008E6617"/>
    <w:rsid w:val="008E664F"/>
    <w:rsid w:val="008E67CE"/>
    <w:rsid w:val="008E690B"/>
    <w:rsid w:val="008E6959"/>
    <w:rsid w:val="008E6BFC"/>
    <w:rsid w:val="008E6DCE"/>
    <w:rsid w:val="008E72DA"/>
    <w:rsid w:val="008E7344"/>
    <w:rsid w:val="008E7374"/>
    <w:rsid w:val="008E7393"/>
    <w:rsid w:val="008E74E9"/>
    <w:rsid w:val="008E7581"/>
    <w:rsid w:val="008E7640"/>
    <w:rsid w:val="008E7664"/>
    <w:rsid w:val="008E768A"/>
    <w:rsid w:val="008E7765"/>
    <w:rsid w:val="008E78D3"/>
    <w:rsid w:val="008E78D8"/>
    <w:rsid w:val="008E7A8B"/>
    <w:rsid w:val="008E7C2F"/>
    <w:rsid w:val="008E7DF9"/>
    <w:rsid w:val="008F00B9"/>
    <w:rsid w:val="008F00F0"/>
    <w:rsid w:val="008F0122"/>
    <w:rsid w:val="008F0169"/>
    <w:rsid w:val="008F0182"/>
    <w:rsid w:val="008F03ED"/>
    <w:rsid w:val="008F04B4"/>
    <w:rsid w:val="008F054C"/>
    <w:rsid w:val="008F059A"/>
    <w:rsid w:val="008F05A2"/>
    <w:rsid w:val="008F05B7"/>
    <w:rsid w:val="008F0623"/>
    <w:rsid w:val="008F078B"/>
    <w:rsid w:val="008F0895"/>
    <w:rsid w:val="008F0A14"/>
    <w:rsid w:val="008F0A92"/>
    <w:rsid w:val="008F0B24"/>
    <w:rsid w:val="008F0C75"/>
    <w:rsid w:val="008F0DC6"/>
    <w:rsid w:val="008F0EC8"/>
    <w:rsid w:val="008F0EE1"/>
    <w:rsid w:val="008F0FCF"/>
    <w:rsid w:val="008F0FE7"/>
    <w:rsid w:val="008F11E6"/>
    <w:rsid w:val="008F1279"/>
    <w:rsid w:val="008F1434"/>
    <w:rsid w:val="008F145B"/>
    <w:rsid w:val="008F155A"/>
    <w:rsid w:val="008F1606"/>
    <w:rsid w:val="008F16EC"/>
    <w:rsid w:val="008F18E7"/>
    <w:rsid w:val="008F19B1"/>
    <w:rsid w:val="008F1E82"/>
    <w:rsid w:val="008F1EDC"/>
    <w:rsid w:val="008F1EF0"/>
    <w:rsid w:val="008F1F4B"/>
    <w:rsid w:val="008F1F8D"/>
    <w:rsid w:val="008F2003"/>
    <w:rsid w:val="008F20A6"/>
    <w:rsid w:val="008F2349"/>
    <w:rsid w:val="008F236F"/>
    <w:rsid w:val="008F2440"/>
    <w:rsid w:val="008F248C"/>
    <w:rsid w:val="008F2748"/>
    <w:rsid w:val="008F281D"/>
    <w:rsid w:val="008F2975"/>
    <w:rsid w:val="008F29C9"/>
    <w:rsid w:val="008F2A2F"/>
    <w:rsid w:val="008F2A87"/>
    <w:rsid w:val="008F2D75"/>
    <w:rsid w:val="008F2D97"/>
    <w:rsid w:val="008F2F04"/>
    <w:rsid w:val="008F3125"/>
    <w:rsid w:val="008F319B"/>
    <w:rsid w:val="008F3225"/>
    <w:rsid w:val="008F32AA"/>
    <w:rsid w:val="008F34B3"/>
    <w:rsid w:val="008F366E"/>
    <w:rsid w:val="008F3877"/>
    <w:rsid w:val="008F3A6C"/>
    <w:rsid w:val="008F3A76"/>
    <w:rsid w:val="008F3A80"/>
    <w:rsid w:val="008F3CB3"/>
    <w:rsid w:val="008F3CCA"/>
    <w:rsid w:val="008F3D4C"/>
    <w:rsid w:val="008F3D55"/>
    <w:rsid w:val="008F3D64"/>
    <w:rsid w:val="008F3D88"/>
    <w:rsid w:val="008F3ED8"/>
    <w:rsid w:val="008F3FB7"/>
    <w:rsid w:val="008F409B"/>
    <w:rsid w:val="008F43E5"/>
    <w:rsid w:val="008F44E2"/>
    <w:rsid w:val="008F44FC"/>
    <w:rsid w:val="008F4689"/>
    <w:rsid w:val="008F48B1"/>
    <w:rsid w:val="008F4997"/>
    <w:rsid w:val="008F49C1"/>
    <w:rsid w:val="008F4A01"/>
    <w:rsid w:val="008F4B1B"/>
    <w:rsid w:val="008F4C52"/>
    <w:rsid w:val="008F4CE1"/>
    <w:rsid w:val="008F4E46"/>
    <w:rsid w:val="008F4E83"/>
    <w:rsid w:val="008F4F1E"/>
    <w:rsid w:val="008F4F26"/>
    <w:rsid w:val="008F5166"/>
    <w:rsid w:val="008F5195"/>
    <w:rsid w:val="008F520E"/>
    <w:rsid w:val="008F5406"/>
    <w:rsid w:val="008F54C7"/>
    <w:rsid w:val="008F5516"/>
    <w:rsid w:val="008F5707"/>
    <w:rsid w:val="008F5839"/>
    <w:rsid w:val="008F58A3"/>
    <w:rsid w:val="008F5A55"/>
    <w:rsid w:val="008F5B7C"/>
    <w:rsid w:val="008F5BAF"/>
    <w:rsid w:val="008F5DAA"/>
    <w:rsid w:val="008F5DDF"/>
    <w:rsid w:val="008F5EF2"/>
    <w:rsid w:val="008F6057"/>
    <w:rsid w:val="008F6079"/>
    <w:rsid w:val="008F627F"/>
    <w:rsid w:val="008F6388"/>
    <w:rsid w:val="008F659E"/>
    <w:rsid w:val="008F6656"/>
    <w:rsid w:val="008F67CA"/>
    <w:rsid w:val="008F689B"/>
    <w:rsid w:val="008F6B6C"/>
    <w:rsid w:val="008F6C19"/>
    <w:rsid w:val="008F6E7C"/>
    <w:rsid w:val="008F6EB0"/>
    <w:rsid w:val="008F6EDF"/>
    <w:rsid w:val="008F6F26"/>
    <w:rsid w:val="008F6FB0"/>
    <w:rsid w:val="008F7061"/>
    <w:rsid w:val="008F7075"/>
    <w:rsid w:val="008F719F"/>
    <w:rsid w:val="008F71B1"/>
    <w:rsid w:val="008F71DF"/>
    <w:rsid w:val="008F73C3"/>
    <w:rsid w:val="008F746C"/>
    <w:rsid w:val="008F74AE"/>
    <w:rsid w:val="008F78B3"/>
    <w:rsid w:val="008F7AA0"/>
    <w:rsid w:val="008F7B37"/>
    <w:rsid w:val="008F7CEE"/>
    <w:rsid w:val="008F7E2D"/>
    <w:rsid w:val="008F7EAD"/>
    <w:rsid w:val="008F7EB3"/>
    <w:rsid w:val="008F7EF4"/>
    <w:rsid w:val="0090023E"/>
    <w:rsid w:val="0090033E"/>
    <w:rsid w:val="00900450"/>
    <w:rsid w:val="00900453"/>
    <w:rsid w:val="00900622"/>
    <w:rsid w:val="009006E9"/>
    <w:rsid w:val="009007A3"/>
    <w:rsid w:val="009008EE"/>
    <w:rsid w:val="009009CC"/>
    <w:rsid w:val="009009F5"/>
    <w:rsid w:val="00900A83"/>
    <w:rsid w:val="00900BC0"/>
    <w:rsid w:val="00900EA7"/>
    <w:rsid w:val="00900F36"/>
    <w:rsid w:val="0090105C"/>
    <w:rsid w:val="00901250"/>
    <w:rsid w:val="00901274"/>
    <w:rsid w:val="0090139C"/>
    <w:rsid w:val="009013DA"/>
    <w:rsid w:val="00901476"/>
    <w:rsid w:val="009014A1"/>
    <w:rsid w:val="009014E0"/>
    <w:rsid w:val="009016C8"/>
    <w:rsid w:val="00901832"/>
    <w:rsid w:val="00901975"/>
    <w:rsid w:val="00901AD9"/>
    <w:rsid w:val="00901B13"/>
    <w:rsid w:val="00901B3D"/>
    <w:rsid w:val="00901CC0"/>
    <w:rsid w:val="00901D5B"/>
    <w:rsid w:val="00901DD4"/>
    <w:rsid w:val="00901E55"/>
    <w:rsid w:val="009020EF"/>
    <w:rsid w:val="009021D9"/>
    <w:rsid w:val="009021FD"/>
    <w:rsid w:val="00902382"/>
    <w:rsid w:val="00902509"/>
    <w:rsid w:val="00902525"/>
    <w:rsid w:val="0090260D"/>
    <w:rsid w:val="00902689"/>
    <w:rsid w:val="00902712"/>
    <w:rsid w:val="00902778"/>
    <w:rsid w:val="009027CA"/>
    <w:rsid w:val="00902BDD"/>
    <w:rsid w:val="00902CE8"/>
    <w:rsid w:val="00902D17"/>
    <w:rsid w:val="00902D2A"/>
    <w:rsid w:val="009032B5"/>
    <w:rsid w:val="0090332A"/>
    <w:rsid w:val="009034F3"/>
    <w:rsid w:val="00903507"/>
    <w:rsid w:val="00903517"/>
    <w:rsid w:val="00903657"/>
    <w:rsid w:val="0090368D"/>
    <w:rsid w:val="00903813"/>
    <w:rsid w:val="00903819"/>
    <w:rsid w:val="00903931"/>
    <w:rsid w:val="009039D2"/>
    <w:rsid w:val="009039F3"/>
    <w:rsid w:val="00903BCD"/>
    <w:rsid w:val="00903C6B"/>
    <w:rsid w:val="00903E4C"/>
    <w:rsid w:val="00903E5F"/>
    <w:rsid w:val="00903E68"/>
    <w:rsid w:val="00904068"/>
    <w:rsid w:val="00904100"/>
    <w:rsid w:val="00904280"/>
    <w:rsid w:val="009042F5"/>
    <w:rsid w:val="00904302"/>
    <w:rsid w:val="0090454B"/>
    <w:rsid w:val="009045FE"/>
    <w:rsid w:val="00904761"/>
    <w:rsid w:val="0090476B"/>
    <w:rsid w:val="009047EC"/>
    <w:rsid w:val="00904A9E"/>
    <w:rsid w:val="00904CA7"/>
    <w:rsid w:val="00904DD0"/>
    <w:rsid w:val="00904FB3"/>
    <w:rsid w:val="00905104"/>
    <w:rsid w:val="00905409"/>
    <w:rsid w:val="0090553E"/>
    <w:rsid w:val="00905765"/>
    <w:rsid w:val="00905AAE"/>
    <w:rsid w:val="00905B24"/>
    <w:rsid w:val="00905D27"/>
    <w:rsid w:val="00905E91"/>
    <w:rsid w:val="00906071"/>
    <w:rsid w:val="009061B9"/>
    <w:rsid w:val="0090629F"/>
    <w:rsid w:val="009062C7"/>
    <w:rsid w:val="0090639D"/>
    <w:rsid w:val="009063B1"/>
    <w:rsid w:val="00906535"/>
    <w:rsid w:val="00906589"/>
    <w:rsid w:val="0090661D"/>
    <w:rsid w:val="00906672"/>
    <w:rsid w:val="009066A4"/>
    <w:rsid w:val="009066EC"/>
    <w:rsid w:val="009067EE"/>
    <w:rsid w:val="0090689A"/>
    <w:rsid w:val="00906A1E"/>
    <w:rsid w:val="00906B94"/>
    <w:rsid w:val="00906BAD"/>
    <w:rsid w:val="00906C20"/>
    <w:rsid w:val="00906DD2"/>
    <w:rsid w:val="00906EB6"/>
    <w:rsid w:val="00906F40"/>
    <w:rsid w:val="00907098"/>
    <w:rsid w:val="00907136"/>
    <w:rsid w:val="0090716C"/>
    <w:rsid w:val="009071C5"/>
    <w:rsid w:val="0090723C"/>
    <w:rsid w:val="009073BB"/>
    <w:rsid w:val="009077D9"/>
    <w:rsid w:val="009078C8"/>
    <w:rsid w:val="009078CC"/>
    <w:rsid w:val="00907984"/>
    <w:rsid w:val="00907BA0"/>
    <w:rsid w:val="00907C77"/>
    <w:rsid w:val="00907CA7"/>
    <w:rsid w:val="00907DC2"/>
    <w:rsid w:val="00907E73"/>
    <w:rsid w:val="00907EEF"/>
    <w:rsid w:val="00907F78"/>
    <w:rsid w:val="00907FE9"/>
    <w:rsid w:val="0091002C"/>
    <w:rsid w:val="00910247"/>
    <w:rsid w:val="0091035A"/>
    <w:rsid w:val="009103AF"/>
    <w:rsid w:val="0091040A"/>
    <w:rsid w:val="00910415"/>
    <w:rsid w:val="009104FE"/>
    <w:rsid w:val="00910566"/>
    <w:rsid w:val="009105CD"/>
    <w:rsid w:val="00910610"/>
    <w:rsid w:val="009108DF"/>
    <w:rsid w:val="0091094E"/>
    <w:rsid w:val="00910B2D"/>
    <w:rsid w:val="00910B8C"/>
    <w:rsid w:val="00910CE7"/>
    <w:rsid w:val="00910D01"/>
    <w:rsid w:val="00910ECC"/>
    <w:rsid w:val="00910F7D"/>
    <w:rsid w:val="00910FB5"/>
    <w:rsid w:val="00911106"/>
    <w:rsid w:val="00911117"/>
    <w:rsid w:val="00911127"/>
    <w:rsid w:val="009112F1"/>
    <w:rsid w:val="009119C7"/>
    <w:rsid w:val="009119F7"/>
    <w:rsid w:val="00911A5A"/>
    <w:rsid w:val="00911ABC"/>
    <w:rsid w:val="00911AF6"/>
    <w:rsid w:val="00911CAF"/>
    <w:rsid w:val="00911CF6"/>
    <w:rsid w:val="00911F40"/>
    <w:rsid w:val="0091217E"/>
    <w:rsid w:val="009121FC"/>
    <w:rsid w:val="0091226F"/>
    <w:rsid w:val="0091230E"/>
    <w:rsid w:val="0091233F"/>
    <w:rsid w:val="009124B7"/>
    <w:rsid w:val="00912536"/>
    <w:rsid w:val="00912651"/>
    <w:rsid w:val="0091283D"/>
    <w:rsid w:val="0091288D"/>
    <w:rsid w:val="0091294F"/>
    <w:rsid w:val="009129C4"/>
    <w:rsid w:val="00912A61"/>
    <w:rsid w:val="00912B02"/>
    <w:rsid w:val="00912B6E"/>
    <w:rsid w:val="00912CDC"/>
    <w:rsid w:val="00912CE8"/>
    <w:rsid w:val="00912D0E"/>
    <w:rsid w:val="00912D24"/>
    <w:rsid w:val="00912D39"/>
    <w:rsid w:val="00912E68"/>
    <w:rsid w:val="00912F18"/>
    <w:rsid w:val="00912F84"/>
    <w:rsid w:val="00913004"/>
    <w:rsid w:val="00913180"/>
    <w:rsid w:val="00913370"/>
    <w:rsid w:val="00913515"/>
    <w:rsid w:val="009135C4"/>
    <w:rsid w:val="00913643"/>
    <w:rsid w:val="00913789"/>
    <w:rsid w:val="00913806"/>
    <w:rsid w:val="009139C1"/>
    <w:rsid w:val="009139C3"/>
    <w:rsid w:val="00913A58"/>
    <w:rsid w:val="00913BA4"/>
    <w:rsid w:val="00913DD0"/>
    <w:rsid w:val="00913F1E"/>
    <w:rsid w:val="009140B9"/>
    <w:rsid w:val="009141D5"/>
    <w:rsid w:val="0091421E"/>
    <w:rsid w:val="00914399"/>
    <w:rsid w:val="00914445"/>
    <w:rsid w:val="0091459D"/>
    <w:rsid w:val="00914632"/>
    <w:rsid w:val="009148EF"/>
    <w:rsid w:val="00914AAD"/>
    <w:rsid w:val="00914ADC"/>
    <w:rsid w:val="00914E31"/>
    <w:rsid w:val="00914EB4"/>
    <w:rsid w:val="00914F13"/>
    <w:rsid w:val="00914FB3"/>
    <w:rsid w:val="009151A8"/>
    <w:rsid w:val="009151C7"/>
    <w:rsid w:val="0091520A"/>
    <w:rsid w:val="00915435"/>
    <w:rsid w:val="0091543B"/>
    <w:rsid w:val="00915482"/>
    <w:rsid w:val="00915550"/>
    <w:rsid w:val="00915647"/>
    <w:rsid w:val="009157CC"/>
    <w:rsid w:val="00915C0A"/>
    <w:rsid w:val="00915CB2"/>
    <w:rsid w:val="00915D01"/>
    <w:rsid w:val="00915D10"/>
    <w:rsid w:val="00915DA6"/>
    <w:rsid w:val="00915EEE"/>
    <w:rsid w:val="00916016"/>
    <w:rsid w:val="00916030"/>
    <w:rsid w:val="009160FF"/>
    <w:rsid w:val="009161FF"/>
    <w:rsid w:val="0091622A"/>
    <w:rsid w:val="009162AE"/>
    <w:rsid w:val="009162C9"/>
    <w:rsid w:val="0091639E"/>
    <w:rsid w:val="00916462"/>
    <w:rsid w:val="009164FE"/>
    <w:rsid w:val="0091699F"/>
    <w:rsid w:val="009169AB"/>
    <w:rsid w:val="00916A3F"/>
    <w:rsid w:val="00916B63"/>
    <w:rsid w:val="00916B9B"/>
    <w:rsid w:val="00916CA5"/>
    <w:rsid w:val="00916CAD"/>
    <w:rsid w:val="00916CF1"/>
    <w:rsid w:val="00916F74"/>
    <w:rsid w:val="00916FE3"/>
    <w:rsid w:val="0091700A"/>
    <w:rsid w:val="0091713A"/>
    <w:rsid w:val="00917176"/>
    <w:rsid w:val="00917230"/>
    <w:rsid w:val="0091723E"/>
    <w:rsid w:val="009172CF"/>
    <w:rsid w:val="00917533"/>
    <w:rsid w:val="0091758F"/>
    <w:rsid w:val="0091761E"/>
    <w:rsid w:val="00917706"/>
    <w:rsid w:val="0091775F"/>
    <w:rsid w:val="00917764"/>
    <w:rsid w:val="0091784F"/>
    <w:rsid w:val="009178A0"/>
    <w:rsid w:val="00917905"/>
    <w:rsid w:val="009179B5"/>
    <w:rsid w:val="009179FA"/>
    <w:rsid w:val="00917A1A"/>
    <w:rsid w:val="00917B69"/>
    <w:rsid w:val="00917B6C"/>
    <w:rsid w:val="00917BB2"/>
    <w:rsid w:val="00917F57"/>
    <w:rsid w:val="00920136"/>
    <w:rsid w:val="0092024E"/>
    <w:rsid w:val="0092028F"/>
    <w:rsid w:val="009202DE"/>
    <w:rsid w:val="009204D5"/>
    <w:rsid w:val="009204FB"/>
    <w:rsid w:val="00920610"/>
    <w:rsid w:val="00920640"/>
    <w:rsid w:val="00920667"/>
    <w:rsid w:val="009206F3"/>
    <w:rsid w:val="009208E0"/>
    <w:rsid w:val="0092098C"/>
    <w:rsid w:val="009209DF"/>
    <w:rsid w:val="009209EC"/>
    <w:rsid w:val="00920B43"/>
    <w:rsid w:val="00920D02"/>
    <w:rsid w:val="00920D7A"/>
    <w:rsid w:val="00920DEB"/>
    <w:rsid w:val="00920F43"/>
    <w:rsid w:val="0092109D"/>
    <w:rsid w:val="009211FB"/>
    <w:rsid w:val="00921775"/>
    <w:rsid w:val="009217A0"/>
    <w:rsid w:val="00921862"/>
    <w:rsid w:val="00921940"/>
    <w:rsid w:val="00921A1C"/>
    <w:rsid w:val="00921A5A"/>
    <w:rsid w:val="00921BC2"/>
    <w:rsid w:val="00921D87"/>
    <w:rsid w:val="00921E13"/>
    <w:rsid w:val="00922078"/>
    <w:rsid w:val="009221C3"/>
    <w:rsid w:val="009221CD"/>
    <w:rsid w:val="0092246E"/>
    <w:rsid w:val="0092248E"/>
    <w:rsid w:val="009224C8"/>
    <w:rsid w:val="0092265B"/>
    <w:rsid w:val="00922760"/>
    <w:rsid w:val="0092283D"/>
    <w:rsid w:val="0092288B"/>
    <w:rsid w:val="00922904"/>
    <w:rsid w:val="009229F2"/>
    <w:rsid w:val="00922B56"/>
    <w:rsid w:val="00922BCE"/>
    <w:rsid w:val="00922C70"/>
    <w:rsid w:val="00922D20"/>
    <w:rsid w:val="00922D53"/>
    <w:rsid w:val="00922FBB"/>
    <w:rsid w:val="00922FF4"/>
    <w:rsid w:val="009233C3"/>
    <w:rsid w:val="00923484"/>
    <w:rsid w:val="0092362C"/>
    <w:rsid w:val="00923651"/>
    <w:rsid w:val="00923705"/>
    <w:rsid w:val="0092372E"/>
    <w:rsid w:val="00923779"/>
    <w:rsid w:val="00923799"/>
    <w:rsid w:val="009237DA"/>
    <w:rsid w:val="00923806"/>
    <w:rsid w:val="00923A1D"/>
    <w:rsid w:val="00923A7D"/>
    <w:rsid w:val="00923A9B"/>
    <w:rsid w:val="00923B25"/>
    <w:rsid w:val="00923B26"/>
    <w:rsid w:val="00923B46"/>
    <w:rsid w:val="00923BD2"/>
    <w:rsid w:val="00923E00"/>
    <w:rsid w:val="00923EF6"/>
    <w:rsid w:val="00923F7E"/>
    <w:rsid w:val="0092408D"/>
    <w:rsid w:val="009240A8"/>
    <w:rsid w:val="00924327"/>
    <w:rsid w:val="009243FA"/>
    <w:rsid w:val="0092464E"/>
    <w:rsid w:val="00924773"/>
    <w:rsid w:val="0092477D"/>
    <w:rsid w:val="009248E0"/>
    <w:rsid w:val="00924936"/>
    <w:rsid w:val="00924992"/>
    <w:rsid w:val="009249EE"/>
    <w:rsid w:val="00924AF2"/>
    <w:rsid w:val="00924BEB"/>
    <w:rsid w:val="00924C35"/>
    <w:rsid w:val="00924CD0"/>
    <w:rsid w:val="00924DBA"/>
    <w:rsid w:val="00924E02"/>
    <w:rsid w:val="00924EEF"/>
    <w:rsid w:val="00924F5D"/>
    <w:rsid w:val="00925214"/>
    <w:rsid w:val="00925279"/>
    <w:rsid w:val="00925349"/>
    <w:rsid w:val="0092539C"/>
    <w:rsid w:val="009253A4"/>
    <w:rsid w:val="0092541C"/>
    <w:rsid w:val="00925592"/>
    <w:rsid w:val="00925630"/>
    <w:rsid w:val="0092565E"/>
    <w:rsid w:val="009256EA"/>
    <w:rsid w:val="00925769"/>
    <w:rsid w:val="0092587B"/>
    <w:rsid w:val="00925AFB"/>
    <w:rsid w:val="00925B62"/>
    <w:rsid w:val="00925C69"/>
    <w:rsid w:val="00925FCB"/>
    <w:rsid w:val="00925FD8"/>
    <w:rsid w:val="00925FDD"/>
    <w:rsid w:val="00926020"/>
    <w:rsid w:val="009261E6"/>
    <w:rsid w:val="0092626F"/>
    <w:rsid w:val="00926538"/>
    <w:rsid w:val="00926760"/>
    <w:rsid w:val="00926832"/>
    <w:rsid w:val="00926BF2"/>
    <w:rsid w:val="00926C07"/>
    <w:rsid w:val="00926D3B"/>
    <w:rsid w:val="00927147"/>
    <w:rsid w:val="00927310"/>
    <w:rsid w:val="00927368"/>
    <w:rsid w:val="0092740A"/>
    <w:rsid w:val="009278F0"/>
    <w:rsid w:val="0092791D"/>
    <w:rsid w:val="00927B0E"/>
    <w:rsid w:val="00927BE6"/>
    <w:rsid w:val="00927BFF"/>
    <w:rsid w:val="00927D2F"/>
    <w:rsid w:val="00927D82"/>
    <w:rsid w:val="00927E65"/>
    <w:rsid w:val="00927F1D"/>
    <w:rsid w:val="00927FA7"/>
    <w:rsid w:val="00930199"/>
    <w:rsid w:val="009302AE"/>
    <w:rsid w:val="0093052F"/>
    <w:rsid w:val="009305FE"/>
    <w:rsid w:val="00930777"/>
    <w:rsid w:val="009307CF"/>
    <w:rsid w:val="009307DA"/>
    <w:rsid w:val="009307F2"/>
    <w:rsid w:val="009308F3"/>
    <w:rsid w:val="0093091C"/>
    <w:rsid w:val="009309A9"/>
    <w:rsid w:val="00930C38"/>
    <w:rsid w:val="00930F47"/>
    <w:rsid w:val="00931293"/>
    <w:rsid w:val="009312AB"/>
    <w:rsid w:val="009312FD"/>
    <w:rsid w:val="0093144A"/>
    <w:rsid w:val="0093149B"/>
    <w:rsid w:val="009314C9"/>
    <w:rsid w:val="009318B9"/>
    <w:rsid w:val="009318D0"/>
    <w:rsid w:val="009319FE"/>
    <w:rsid w:val="00931A94"/>
    <w:rsid w:val="00931B2B"/>
    <w:rsid w:val="00931C62"/>
    <w:rsid w:val="00931CC3"/>
    <w:rsid w:val="00931D3D"/>
    <w:rsid w:val="00931DFC"/>
    <w:rsid w:val="00931E09"/>
    <w:rsid w:val="00931E1C"/>
    <w:rsid w:val="00931FEB"/>
    <w:rsid w:val="00932069"/>
    <w:rsid w:val="009320D0"/>
    <w:rsid w:val="00932205"/>
    <w:rsid w:val="00932334"/>
    <w:rsid w:val="00932419"/>
    <w:rsid w:val="009324C0"/>
    <w:rsid w:val="0093259C"/>
    <w:rsid w:val="009326E8"/>
    <w:rsid w:val="0093274A"/>
    <w:rsid w:val="00932857"/>
    <w:rsid w:val="0093288E"/>
    <w:rsid w:val="009329A8"/>
    <w:rsid w:val="00932A94"/>
    <w:rsid w:val="00932BD4"/>
    <w:rsid w:val="00932C68"/>
    <w:rsid w:val="00932D4F"/>
    <w:rsid w:val="00932DA2"/>
    <w:rsid w:val="009330A2"/>
    <w:rsid w:val="00933198"/>
    <w:rsid w:val="00933350"/>
    <w:rsid w:val="0093337A"/>
    <w:rsid w:val="009333BB"/>
    <w:rsid w:val="00933525"/>
    <w:rsid w:val="00933619"/>
    <w:rsid w:val="0093380E"/>
    <w:rsid w:val="00933931"/>
    <w:rsid w:val="00933A39"/>
    <w:rsid w:val="00933ABA"/>
    <w:rsid w:val="00933BDD"/>
    <w:rsid w:val="00933CEB"/>
    <w:rsid w:val="00934138"/>
    <w:rsid w:val="00934153"/>
    <w:rsid w:val="00934164"/>
    <w:rsid w:val="009342E7"/>
    <w:rsid w:val="0093449F"/>
    <w:rsid w:val="00934523"/>
    <w:rsid w:val="0093470C"/>
    <w:rsid w:val="009347E1"/>
    <w:rsid w:val="0093483A"/>
    <w:rsid w:val="009348AA"/>
    <w:rsid w:val="009348F3"/>
    <w:rsid w:val="0093496C"/>
    <w:rsid w:val="00934B84"/>
    <w:rsid w:val="00934C70"/>
    <w:rsid w:val="00934DE4"/>
    <w:rsid w:val="00935007"/>
    <w:rsid w:val="0093508E"/>
    <w:rsid w:val="00935193"/>
    <w:rsid w:val="00935279"/>
    <w:rsid w:val="00935337"/>
    <w:rsid w:val="0093539F"/>
    <w:rsid w:val="009353F1"/>
    <w:rsid w:val="00935551"/>
    <w:rsid w:val="0093581C"/>
    <w:rsid w:val="00935A54"/>
    <w:rsid w:val="00935BD1"/>
    <w:rsid w:val="00935CA5"/>
    <w:rsid w:val="00935DA8"/>
    <w:rsid w:val="00935DCB"/>
    <w:rsid w:val="00935E97"/>
    <w:rsid w:val="0093600F"/>
    <w:rsid w:val="009360A6"/>
    <w:rsid w:val="00936173"/>
    <w:rsid w:val="009362FB"/>
    <w:rsid w:val="0093638C"/>
    <w:rsid w:val="009364B4"/>
    <w:rsid w:val="009364F2"/>
    <w:rsid w:val="00936656"/>
    <w:rsid w:val="00936664"/>
    <w:rsid w:val="00936685"/>
    <w:rsid w:val="00936702"/>
    <w:rsid w:val="009368C1"/>
    <w:rsid w:val="009368DF"/>
    <w:rsid w:val="00936B49"/>
    <w:rsid w:val="00936C01"/>
    <w:rsid w:val="00936DCF"/>
    <w:rsid w:val="00936E51"/>
    <w:rsid w:val="00937016"/>
    <w:rsid w:val="0093713E"/>
    <w:rsid w:val="0093738C"/>
    <w:rsid w:val="009373E0"/>
    <w:rsid w:val="009374EE"/>
    <w:rsid w:val="0093751C"/>
    <w:rsid w:val="00937630"/>
    <w:rsid w:val="00937705"/>
    <w:rsid w:val="00937755"/>
    <w:rsid w:val="00937807"/>
    <w:rsid w:val="0093780A"/>
    <w:rsid w:val="00937826"/>
    <w:rsid w:val="009378D6"/>
    <w:rsid w:val="00937CC3"/>
    <w:rsid w:val="00937D06"/>
    <w:rsid w:val="00937F08"/>
    <w:rsid w:val="00937F20"/>
    <w:rsid w:val="00937FD5"/>
    <w:rsid w:val="009402F2"/>
    <w:rsid w:val="009404CE"/>
    <w:rsid w:val="00940590"/>
    <w:rsid w:val="00940841"/>
    <w:rsid w:val="00940933"/>
    <w:rsid w:val="00940FDB"/>
    <w:rsid w:val="009410B2"/>
    <w:rsid w:val="009411E8"/>
    <w:rsid w:val="00941231"/>
    <w:rsid w:val="00941517"/>
    <w:rsid w:val="00941589"/>
    <w:rsid w:val="00941638"/>
    <w:rsid w:val="0094166B"/>
    <w:rsid w:val="009416A0"/>
    <w:rsid w:val="00941940"/>
    <w:rsid w:val="00941962"/>
    <w:rsid w:val="00941ABD"/>
    <w:rsid w:val="00941C2A"/>
    <w:rsid w:val="00941E2A"/>
    <w:rsid w:val="0094216D"/>
    <w:rsid w:val="009421D2"/>
    <w:rsid w:val="00942257"/>
    <w:rsid w:val="0094237A"/>
    <w:rsid w:val="0094244E"/>
    <w:rsid w:val="009428A9"/>
    <w:rsid w:val="0094293F"/>
    <w:rsid w:val="00942965"/>
    <w:rsid w:val="00942984"/>
    <w:rsid w:val="009429E8"/>
    <w:rsid w:val="009429E9"/>
    <w:rsid w:val="00942BC3"/>
    <w:rsid w:val="00942EF6"/>
    <w:rsid w:val="009430DA"/>
    <w:rsid w:val="0094331C"/>
    <w:rsid w:val="009433EE"/>
    <w:rsid w:val="00943635"/>
    <w:rsid w:val="0094371E"/>
    <w:rsid w:val="00943794"/>
    <w:rsid w:val="00943814"/>
    <w:rsid w:val="00943A07"/>
    <w:rsid w:val="00943A82"/>
    <w:rsid w:val="00943C14"/>
    <w:rsid w:val="00943CAD"/>
    <w:rsid w:val="00943DE0"/>
    <w:rsid w:val="00943DF2"/>
    <w:rsid w:val="00943E48"/>
    <w:rsid w:val="00943E9E"/>
    <w:rsid w:val="00943F1D"/>
    <w:rsid w:val="00944000"/>
    <w:rsid w:val="00944068"/>
    <w:rsid w:val="009440FD"/>
    <w:rsid w:val="0094440C"/>
    <w:rsid w:val="00944521"/>
    <w:rsid w:val="0094457B"/>
    <w:rsid w:val="00944877"/>
    <w:rsid w:val="00944B48"/>
    <w:rsid w:val="00944C1F"/>
    <w:rsid w:val="00944C3F"/>
    <w:rsid w:val="00944DD2"/>
    <w:rsid w:val="00944E01"/>
    <w:rsid w:val="00944EF8"/>
    <w:rsid w:val="00944F6C"/>
    <w:rsid w:val="00945076"/>
    <w:rsid w:val="009453F5"/>
    <w:rsid w:val="0094549A"/>
    <w:rsid w:val="00945662"/>
    <w:rsid w:val="00945683"/>
    <w:rsid w:val="0094570F"/>
    <w:rsid w:val="0094576C"/>
    <w:rsid w:val="00945779"/>
    <w:rsid w:val="009457C9"/>
    <w:rsid w:val="0094586F"/>
    <w:rsid w:val="0094595C"/>
    <w:rsid w:val="009459E9"/>
    <w:rsid w:val="00945BB8"/>
    <w:rsid w:val="00945C0C"/>
    <w:rsid w:val="00945C46"/>
    <w:rsid w:val="00945EEF"/>
    <w:rsid w:val="009460E5"/>
    <w:rsid w:val="00946163"/>
    <w:rsid w:val="00946235"/>
    <w:rsid w:val="0094637F"/>
    <w:rsid w:val="0094671F"/>
    <w:rsid w:val="00946753"/>
    <w:rsid w:val="009467A7"/>
    <w:rsid w:val="00946813"/>
    <w:rsid w:val="00946935"/>
    <w:rsid w:val="0094693A"/>
    <w:rsid w:val="00946A7C"/>
    <w:rsid w:val="00946AF6"/>
    <w:rsid w:val="00946BE0"/>
    <w:rsid w:val="00946CD0"/>
    <w:rsid w:val="00946E3E"/>
    <w:rsid w:val="00946EAA"/>
    <w:rsid w:val="00946F67"/>
    <w:rsid w:val="00946FF9"/>
    <w:rsid w:val="00947010"/>
    <w:rsid w:val="0094706D"/>
    <w:rsid w:val="00947159"/>
    <w:rsid w:val="00947248"/>
    <w:rsid w:val="00947352"/>
    <w:rsid w:val="009474B5"/>
    <w:rsid w:val="00947623"/>
    <w:rsid w:val="009476C6"/>
    <w:rsid w:val="00947744"/>
    <w:rsid w:val="00947773"/>
    <w:rsid w:val="009477C2"/>
    <w:rsid w:val="009477CD"/>
    <w:rsid w:val="009477D7"/>
    <w:rsid w:val="00947967"/>
    <w:rsid w:val="00947BEF"/>
    <w:rsid w:val="00947C84"/>
    <w:rsid w:val="00947CAE"/>
    <w:rsid w:val="00947CF6"/>
    <w:rsid w:val="00947D6C"/>
    <w:rsid w:val="00947DE1"/>
    <w:rsid w:val="00947EDE"/>
    <w:rsid w:val="00947F41"/>
    <w:rsid w:val="00947F97"/>
    <w:rsid w:val="0095000E"/>
    <w:rsid w:val="00950050"/>
    <w:rsid w:val="009500CA"/>
    <w:rsid w:val="00950145"/>
    <w:rsid w:val="00950458"/>
    <w:rsid w:val="009505B2"/>
    <w:rsid w:val="009506EA"/>
    <w:rsid w:val="0095073D"/>
    <w:rsid w:val="0095074D"/>
    <w:rsid w:val="00950805"/>
    <w:rsid w:val="009508C1"/>
    <w:rsid w:val="00950A1D"/>
    <w:rsid w:val="00950B7D"/>
    <w:rsid w:val="00950C81"/>
    <w:rsid w:val="00950DD8"/>
    <w:rsid w:val="00950E3B"/>
    <w:rsid w:val="00950EC4"/>
    <w:rsid w:val="00951098"/>
    <w:rsid w:val="0095112F"/>
    <w:rsid w:val="00951262"/>
    <w:rsid w:val="009512A3"/>
    <w:rsid w:val="0095136F"/>
    <w:rsid w:val="00951545"/>
    <w:rsid w:val="00951689"/>
    <w:rsid w:val="00951770"/>
    <w:rsid w:val="00951841"/>
    <w:rsid w:val="009518FC"/>
    <w:rsid w:val="00951BA2"/>
    <w:rsid w:val="00951BD6"/>
    <w:rsid w:val="00951DB2"/>
    <w:rsid w:val="00951DF8"/>
    <w:rsid w:val="00951FD0"/>
    <w:rsid w:val="00952024"/>
    <w:rsid w:val="00952152"/>
    <w:rsid w:val="009521AD"/>
    <w:rsid w:val="0095259A"/>
    <w:rsid w:val="00952604"/>
    <w:rsid w:val="00952959"/>
    <w:rsid w:val="00952A34"/>
    <w:rsid w:val="00952A52"/>
    <w:rsid w:val="00952B3C"/>
    <w:rsid w:val="00952E09"/>
    <w:rsid w:val="00952EC5"/>
    <w:rsid w:val="00952F53"/>
    <w:rsid w:val="00953006"/>
    <w:rsid w:val="00953045"/>
    <w:rsid w:val="00953271"/>
    <w:rsid w:val="0095332E"/>
    <w:rsid w:val="009533C2"/>
    <w:rsid w:val="0095382C"/>
    <w:rsid w:val="00953924"/>
    <w:rsid w:val="00953ADC"/>
    <w:rsid w:val="00953AFE"/>
    <w:rsid w:val="00953CD0"/>
    <w:rsid w:val="00953F0D"/>
    <w:rsid w:val="00953FAD"/>
    <w:rsid w:val="00954172"/>
    <w:rsid w:val="0095421D"/>
    <w:rsid w:val="00954436"/>
    <w:rsid w:val="009548FE"/>
    <w:rsid w:val="00954901"/>
    <w:rsid w:val="00954AF6"/>
    <w:rsid w:val="00954B56"/>
    <w:rsid w:val="00954BC1"/>
    <w:rsid w:val="00954C11"/>
    <w:rsid w:val="00954C65"/>
    <w:rsid w:val="00954DE2"/>
    <w:rsid w:val="009552CC"/>
    <w:rsid w:val="00955338"/>
    <w:rsid w:val="009553C4"/>
    <w:rsid w:val="00955476"/>
    <w:rsid w:val="009554DE"/>
    <w:rsid w:val="009555F7"/>
    <w:rsid w:val="00955656"/>
    <w:rsid w:val="00955670"/>
    <w:rsid w:val="00955A28"/>
    <w:rsid w:val="00955A81"/>
    <w:rsid w:val="00955A95"/>
    <w:rsid w:val="00955B27"/>
    <w:rsid w:val="0095606C"/>
    <w:rsid w:val="00956084"/>
    <w:rsid w:val="00956434"/>
    <w:rsid w:val="00956502"/>
    <w:rsid w:val="00956852"/>
    <w:rsid w:val="009568E8"/>
    <w:rsid w:val="00956972"/>
    <w:rsid w:val="00956992"/>
    <w:rsid w:val="00956C94"/>
    <w:rsid w:val="00956D59"/>
    <w:rsid w:val="00956DF0"/>
    <w:rsid w:val="00956E25"/>
    <w:rsid w:val="00956F25"/>
    <w:rsid w:val="00956F26"/>
    <w:rsid w:val="00956FAB"/>
    <w:rsid w:val="0095704D"/>
    <w:rsid w:val="00957073"/>
    <w:rsid w:val="009571E6"/>
    <w:rsid w:val="009573DA"/>
    <w:rsid w:val="009573DE"/>
    <w:rsid w:val="00957682"/>
    <w:rsid w:val="009576CE"/>
    <w:rsid w:val="0095779D"/>
    <w:rsid w:val="009578F0"/>
    <w:rsid w:val="00957916"/>
    <w:rsid w:val="00957A69"/>
    <w:rsid w:val="00957A7E"/>
    <w:rsid w:val="00957A8C"/>
    <w:rsid w:val="00957B4C"/>
    <w:rsid w:val="00957BA6"/>
    <w:rsid w:val="00957EB3"/>
    <w:rsid w:val="00957F02"/>
    <w:rsid w:val="009601E5"/>
    <w:rsid w:val="009602EF"/>
    <w:rsid w:val="009603D8"/>
    <w:rsid w:val="0096043B"/>
    <w:rsid w:val="0096045C"/>
    <w:rsid w:val="00960518"/>
    <w:rsid w:val="00960526"/>
    <w:rsid w:val="009605BE"/>
    <w:rsid w:val="00960600"/>
    <w:rsid w:val="0096074B"/>
    <w:rsid w:val="00960775"/>
    <w:rsid w:val="00960859"/>
    <w:rsid w:val="00960A83"/>
    <w:rsid w:val="00960DBB"/>
    <w:rsid w:val="00960DC8"/>
    <w:rsid w:val="00960EA9"/>
    <w:rsid w:val="00960ED0"/>
    <w:rsid w:val="0096103A"/>
    <w:rsid w:val="00961076"/>
    <w:rsid w:val="0096133A"/>
    <w:rsid w:val="00961358"/>
    <w:rsid w:val="0096152F"/>
    <w:rsid w:val="009615D5"/>
    <w:rsid w:val="009615DF"/>
    <w:rsid w:val="009615F0"/>
    <w:rsid w:val="0096166C"/>
    <w:rsid w:val="00961A2F"/>
    <w:rsid w:val="00961A4D"/>
    <w:rsid w:val="00961A5B"/>
    <w:rsid w:val="00961B9E"/>
    <w:rsid w:val="00961D40"/>
    <w:rsid w:val="00961E1E"/>
    <w:rsid w:val="00961EB1"/>
    <w:rsid w:val="00962074"/>
    <w:rsid w:val="00962616"/>
    <w:rsid w:val="0096271B"/>
    <w:rsid w:val="009627C0"/>
    <w:rsid w:val="00962804"/>
    <w:rsid w:val="009628CC"/>
    <w:rsid w:val="00962963"/>
    <w:rsid w:val="00962AD7"/>
    <w:rsid w:val="00962AF2"/>
    <w:rsid w:val="00962BB6"/>
    <w:rsid w:val="00962C32"/>
    <w:rsid w:val="00962C8D"/>
    <w:rsid w:val="00962C9D"/>
    <w:rsid w:val="00962FF5"/>
    <w:rsid w:val="0096301D"/>
    <w:rsid w:val="009630AE"/>
    <w:rsid w:val="00963177"/>
    <w:rsid w:val="0096330F"/>
    <w:rsid w:val="00963320"/>
    <w:rsid w:val="009633FD"/>
    <w:rsid w:val="00963507"/>
    <w:rsid w:val="00963655"/>
    <w:rsid w:val="0096370B"/>
    <w:rsid w:val="009637B2"/>
    <w:rsid w:val="009637E8"/>
    <w:rsid w:val="009637F8"/>
    <w:rsid w:val="0096381A"/>
    <w:rsid w:val="00963A70"/>
    <w:rsid w:val="00963AE5"/>
    <w:rsid w:val="00963B4D"/>
    <w:rsid w:val="00963C05"/>
    <w:rsid w:val="00963D62"/>
    <w:rsid w:val="00963E54"/>
    <w:rsid w:val="00963FFB"/>
    <w:rsid w:val="00964084"/>
    <w:rsid w:val="0096413C"/>
    <w:rsid w:val="00964167"/>
    <w:rsid w:val="00964274"/>
    <w:rsid w:val="009642AF"/>
    <w:rsid w:val="009642E0"/>
    <w:rsid w:val="009642EA"/>
    <w:rsid w:val="009644E6"/>
    <w:rsid w:val="0096452F"/>
    <w:rsid w:val="00964535"/>
    <w:rsid w:val="0096457E"/>
    <w:rsid w:val="009645A7"/>
    <w:rsid w:val="009645CD"/>
    <w:rsid w:val="0096474C"/>
    <w:rsid w:val="009647F7"/>
    <w:rsid w:val="00964816"/>
    <w:rsid w:val="00964855"/>
    <w:rsid w:val="00964966"/>
    <w:rsid w:val="00964A17"/>
    <w:rsid w:val="00964AD8"/>
    <w:rsid w:val="00964B25"/>
    <w:rsid w:val="00964BE9"/>
    <w:rsid w:val="00964C39"/>
    <w:rsid w:val="00964D0A"/>
    <w:rsid w:val="00964DB8"/>
    <w:rsid w:val="00964DBE"/>
    <w:rsid w:val="00964ECD"/>
    <w:rsid w:val="00965055"/>
    <w:rsid w:val="009651C8"/>
    <w:rsid w:val="009652BF"/>
    <w:rsid w:val="009653C9"/>
    <w:rsid w:val="009653CA"/>
    <w:rsid w:val="00965431"/>
    <w:rsid w:val="009654D3"/>
    <w:rsid w:val="009654EB"/>
    <w:rsid w:val="00965504"/>
    <w:rsid w:val="00965536"/>
    <w:rsid w:val="0096561A"/>
    <w:rsid w:val="0096572F"/>
    <w:rsid w:val="0096575E"/>
    <w:rsid w:val="009657C9"/>
    <w:rsid w:val="0096589E"/>
    <w:rsid w:val="009659A8"/>
    <w:rsid w:val="00965A5E"/>
    <w:rsid w:val="00965C34"/>
    <w:rsid w:val="00965CD7"/>
    <w:rsid w:val="00965E37"/>
    <w:rsid w:val="00965E5F"/>
    <w:rsid w:val="00965F2D"/>
    <w:rsid w:val="0096602A"/>
    <w:rsid w:val="009661E3"/>
    <w:rsid w:val="009662A4"/>
    <w:rsid w:val="0096630A"/>
    <w:rsid w:val="009663D6"/>
    <w:rsid w:val="0096646C"/>
    <w:rsid w:val="00966486"/>
    <w:rsid w:val="00966898"/>
    <w:rsid w:val="00966920"/>
    <w:rsid w:val="0096695A"/>
    <w:rsid w:val="009669D7"/>
    <w:rsid w:val="00966D31"/>
    <w:rsid w:val="00966E96"/>
    <w:rsid w:val="00966EDA"/>
    <w:rsid w:val="00966FE2"/>
    <w:rsid w:val="0096702D"/>
    <w:rsid w:val="009670C1"/>
    <w:rsid w:val="00967138"/>
    <w:rsid w:val="00967141"/>
    <w:rsid w:val="00967219"/>
    <w:rsid w:val="00967275"/>
    <w:rsid w:val="009674C0"/>
    <w:rsid w:val="009674CA"/>
    <w:rsid w:val="009674E6"/>
    <w:rsid w:val="0096754D"/>
    <w:rsid w:val="00967556"/>
    <w:rsid w:val="00967598"/>
    <w:rsid w:val="009675D7"/>
    <w:rsid w:val="009675EC"/>
    <w:rsid w:val="0096780A"/>
    <w:rsid w:val="0096789F"/>
    <w:rsid w:val="00967BCE"/>
    <w:rsid w:val="00967BDB"/>
    <w:rsid w:val="00967CF4"/>
    <w:rsid w:val="00967D3C"/>
    <w:rsid w:val="00967E38"/>
    <w:rsid w:val="00967E52"/>
    <w:rsid w:val="0096ECC4"/>
    <w:rsid w:val="00970133"/>
    <w:rsid w:val="0097029C"/>
    <w:rsid w:val="0097037F"/>
    <w:rsid w:val="00970475"/>
    <w:rsid w:val="00970574"/>
    <w:rsid w:val="009705BA"/>
    <w:rsid w:val="0097068E"/>
    <w:rsid w:val="009706CA"/>
    <w:rsid w:val="00970852"/>
    <w:rsid w:val="00970935"/>
    <w:rsid w:val="00970961"/>
    <w:rsid w:val="00970965"/>
    <w:rsid w:val="00970BCF"/>
    <w:rsid w:val="00970CC1"/>
    <w:rsid w:val="00970E06"/>
    <w:rsid w:val="00970E21"/>
    <w:rsid w:val="00970F75"/>
    <w:rsid w:val="00971116"/>
    <w:rsid w:val="009714B7"/>
    <w:rsid w:val="009716DB"/>
    <w:rsid w:val="009716E3"/>
    <w:rsid w:val="00971865"/>
    <w:rsid w:val="00971962"/>
    <w:rsid w:val="009719A8"/>
    <w:rsid w:val="00971A4F"/>
    <w:rsid w:val="00971B64"/>
    <w:rsid w:val="00971F82"/>
    <w:rsid w:val="00972165"/>
    <w:rsid w:val="009721BC"/>
    <w:rsid w:val="009725D9"/>
    <w:rsid w:val="009725EF"/>
    <w:rsid w:val="009728FE"/>
    <w:rsid w:val="009729D7"/>
    <w:rsid w:val="00972B0A"/>
    <w:rsid w:val="00972CA7"/>
    <w:rsid w:val="00972CBE"/>
    <w:rsid w:val="00972D04"/>
    <w:rsid w:val="00972E7E"/>
    <w:rsid w:val="00972F0A"/>
    <w:rsid w:val="0097310D"/>
    <w:rsid w:val="0097316F"/>
    <w:rsid w:val="009731B0"/>
    <w:rsid w:val="009732CA"/>
    <w:rsid w:val="00973605"/>
    <w:rsid w:val="0097388E"/>
    <w:rsid w:val="009738AF"/>
    <w:rsid w:val="009738F3"/>
    <w:rsid w:val="00973993"/>
    <w:rsid w:val="009739BA"/>
    <w:rsid w:val="00973B76"/>
    <w:rsid w:val="00973BB7"/>
    <w:rsid w:val="00973BE7"/>
    <w:rsid w:val="00974142"/>
    <w:rsid w:val="0097414B"/>
    <w:rsid w:val="00974231"/>
    <w:rsid w:val="00974293"/>
    <w:rsid w:val="009742E7"/>
    <w:rsid w:val="00974384"/>
    <w:rsid w:val="009743B4"/>
    <w:rsid w:val="009744BB"/>
    <w:rsid w:val="0097476F"/>
    <w:rsid w:val="00974A2D"/>
    <w:rsid w:val="00974AAD"/>
    <w:rsid w:val="00974AED"/>
    <w:rsid w:val="00974B0F"/>
    <w:rsid w:val="00974B25"/>
    <w:rsid w:val="00974BC2"/>
    <w:rsid w:val="00974C14"/>
    <w:rsid w:val="00974C68"/>
    <w:rsid w:val="00974D1A"/>
    <w:rsid w:val="00974D25"/>
    <w:rsid w:val="00974D30"/>
    <w:rsid w:val="00974E63"/>
    <w:rsid w:val="0097509C"/>
    <w:rsid w:val="009751B2"/>
    <w:rsid w:val="009751B8"/>
    <w:rsid w:val="009751CD"/>
    <w:rsid w:val="009752A2"/>
    <w:rsid w:val="009752AE"/>
    <w:rsid w:val="00975308"/>
    <w:rsid w:val="00975310"/>
    <w:rsid w:val="00975349"/>
    <w:rsid w:val="009753D6"/>
    <w:rsid w:val="0097543D"/>
    <w:rsid w:val="009754F1"/>
    <w:rsid w:val="00975544"/>
    <w:rsid w:val="0097558D"/>
    <w:rsid w:val="009755D3"/>
    <w:rsid w:val="00975645"/>
    <w:rsid w:val="00975771"/>
    <w:rsid w:val="0097580C"/>
    <w:rsid w:val="0097588B"/>
    <w:rsid w:val="00975936"/>
    <w:rsid w:val="009759D6"/>
    <w:rsid w:val="009759F6"/>
    <w:rsid w:val="00975A54"/>
    <w:rsid w:val="00975BB4"/>
    <w:rsid w:val="00975BE9"/>
    <w:rsid w:val="00975C52"/>
    <w:rsid w:val="00975DA1"/>
    <w:rsid w:val="00975E47"/>
    <w:rsid w:val="0097606A"/>
    <w:rsid w:val="00976101"/>
    <w:rsid w:val="00976158"/>
    <w:rsid w:val="009761F4"/>
    <w:rsid w:val="0097622B"/>
    <w:rsid w:val="00976278"/>
    <w:rsid w:val="009762A2"/>
    <w:rsid w:val="009762A7"/>
    <w:rsid w:val="009763BF"/>
    <w:rsid w:val="00976452"/>
    <w:rsid w:val="009764D1"/>
    <w:rsid w:val="00976618"/>
    <w:rsid w:val="0097679B"/>
    <w:rsid w:val="00976841"/>
    <w:rsid w:val="00976921"/>
    <w:rsid w:val="00976D86"/>
    <w:rsid w:val="00976E5C"/>
    <w:rsid w:val="00976F4B"/>
    <w:rsid w:val="009770A9"/>
    <w:rsid w:val="00977217"/>
    <w:rsid w:val="00977364"/>
    <w:rsid w:val="00977493"/>
    <w:rsid w:val="00977655"/>
    <w:rsid w:val="009776A2"/>
    <w:rsid w:val="00977746"/>
    <w:rsid w:val="009777DD"/>
    <w:rsid w:val="00977890"/>
    <w:rsid w:val="00977896"/>
    <w:rsid w:val="00977AC7"/>
    <w:rsid w:val="00977B00"/>
    <w:rsid w:val="00977D19"/>
    <w:rsid w:val="00977E1B"/>
    <w:rsid w:val="00977E33"/>
    <w:rsid w:val="00977E39"/>
    <w:rsid w:val="00977F24"/>
    <w:rsid w:val="00977F62"/>
    <w:rsid w:val="00977F84"/>
    <w:rsid w:val="009803D4"/>
    <w:rsid w:val="009803D8"/>
    <w:rsid w:val="00980492"/>
    <w:rsid w:val="009806DA"/>
    <w:rsid w:val="00980708"/>
    <w:rsid w:val="009808E1"/>
    <w:rsid w:val="009808E4"/>
    <w:rsid w:val="00980988"/>
    <w:rsid w:val="00980C23"/>
    <w:rsid w:val="00980D1F"/>
    <w:rsid w:val="00980DF5"/>
    <w:rsid w:val="00980E19"/>
    <w:rsid w:val="00981093"/>
    <w:rsid w:val="0098122B"/>
    <w:rsid w:val="00981719"/>
    <w:rsid w:val="00981969"/>
    <w:rsid w:val="009819D0"/>
    <w:rsid w:val="00981A56"/>
    <w:rsid w:val="00981BD1"/>
    <w:rsid w:val="00981D05"/>
    <w:rsid w:val="00981DA8"/>
    <w:rsid w:val="00981E38"/>
    <w:rsid w:val="00981ECE"/>
    <w:rsid w:val="009820B8"/>
    <w:rsid w:val="009821BD"/>
    <w:rsid w:val="009821CB"/>
    <w:rsid w:val="009821DC"/>
    <w:rsid w:val="009822FD"/>
    <w:rsid w:val="00982866"/>
    <w:rsid w:val="00982890"/>
    <w:rsid w:val="00982940"/>
    <w:rsid w:val="00982961"/>
    <w:rsid w:val="009829B0"/>
    <w:rsid w:val="00982A2D"/>
    <w:rsid w:val="00982A5B"/>
    <w:rsid w:val="00982BCE"/>
    <w:rsid w:val="00982DCD"/>
    <w:rsid w:val="00982F8A"/>
    <w:rsid w:val="009830D6"/>
    <w:rsid w:val="00983225"/>
    <w:rsid w:val="009832D7"/>
    <w:rsid w:val="00983347"/>
    <w:rsid w:val="0098340F"/>
    <w:rsid w:val="009834C9"/>
    <w:rsid w:val="009834F1"/>
    <w:rsid w:val="009835E7"/>
    <w:rsid w:val="00983695"/>
    <w:rsid w:val="00983770"/>
    <w:rsid w:val="00983782"/>
    <w:rsid w:val="00983875"/>
    <w:rsid w:val="00983975"/>
    <w:rsid w:val="0098397C"/>
    <w:rsid w:val="009839A9"/>
    <w:rsid w:val="00983D32"/>
    <w:rsid w:val="00983D4F"/>
    <w:rsid w:val="00983EB2"/>
    <w:rsid w:val="009840A6"/>
    <w:rsid w:val="009840AB"/>
    <w:rsid w:val="0098419C"/>
    <w:rsid w:val="009842A4"/>
    <w:rsid w:val="0098457A"/>
    <w:rsid w:val="0098488F"/>
    <w:rsid w:val="00984929"/>
    <w:rsid w:val="00984A0D"/>
    <w:rsid w:val="00984B9F"/>
    <w:rsid w:val="00984D27"/>
    <w:rsid w:val="00984EAE"/>
    <w:rsid w:val="0098513B"/>
    <w:rsid w:val="009852B2"/>
    <w:rsid w:val="009853FE"/>
    <w:rsid w:val="00985450"/>
    <w:rsid w:val="009856B5"/>
    <w:rsid w:val="009856BF"/>
    <w:rsid w:val="009856F9"/>
    <w:rsid w:val="00985705"/>
    <w:rsid w:val="00985711"/>
    <w:rsid w:val="0098576F"/>
    <w:rsid w:val="009859B3"/>
    <w:rsid w:val="00985C19"/>
    <w:rsid w:val="00985C6B"/>
    <w:rsid w:val="00985C90"/>
    <w:rsid w:val="00985CE6"/>
    <w:rsid w:val="00985D77"/>
    <w:rsid w:val="00985FB5"/>
    <w:rsid w:val="0098601C"/>
    <w:rsid w:val="0098634E"/>
    <w:rsid w:val="00986435"/>
    <w:rsid w:val="00986454"/>
    <w:rsid w:val="0098672E"/>
    <w:rsid w:val="00986768"/>
    <w:rsid w:val="0098687E"/>
    <w:rsid w:val="00986B80"/>
    <w:rsid w:val="00986BAA"/>
    <w:rsid w:val="00986C1B"/>
    <w:rsid w:val="00986CB8"/>
    <w:rsid w:val="00986E63"/>
    <w:rsid w:val="00986F95"/>
    <w:rsid w:val="00986FBE"/>
    <w:rsid w:val="00986FC7"/>
    <w:rsid w:val="00987009"/>
    <w:rsid w:val="00987123"/>
    <w:rsid w:val="00987147"/>
    <w:rsid w:val="009873E1"/>
    <w:rsid w:val="00987587"/>
    <w:rsid w:val="009875CC"/>
    <w:rsid w:val="009876E8"/>
    <w:rsid w:val="00987A12"/>
    <w:rsid w:val="00987AA0"/>
    <w:rsid w:val="00987E19"/>
    <w:rsid w:val="00987E2A"/>
    <w:rsid w:val="00987E49"/>
    <w:rsid w:val="00987E79"/>
    <w:rsid w:val="00987F14"/>
    <w:rsid w:val="00987FCD"/>
    <w:rsid w:val="0099016B"/>
    <w:rsid w:val="009901DB"/>
    <w:rsid w:val="0099028B"/>
    <w:rsid w:val="009902FC"/>
    <w:rsid w:val="0099033C"/>
    <w:rsid w:val="00990528"/>
    <w:rsid w:val="0099053D"/>
    <w:rsid w:val="00990576"/>
    <w:rsid w:val="009906FB"/>
    <w:rsid w:val="009909C7"/>
    <w:rsid w:val="00990ACD"/>
    <w:rsid w:val="00990B3A"/>
    <w:rsid w:val="00990C15"/>
    <w:rsid w:val="00990D77"/>
    <w:rsid w:val="00990F79"/>
    <w:rsid w:val="00990F99"/>
    <w:rsid w:val="009910A7"/>
    <w:rsid w:val="00991281"/>
    <w:rsid w:val="00991810"/>
    <w:rsid w:val="00991844"/>
    <w:rsid w:val="009919F2"/>
    <w:rsid w:val="00991CC4"/>
    <w:rsid w:val="00991CD3"/>
    <w:rsid w:val="00991DD7"/>
    <w:rsid w:val="00991DE8"/>
    <w:rsid w:val="00991F3A"/>
    <w:rsid w:val="00991F8C"/>
    <w:rsid w:val="00991F9C"/>
    <w:rsid w:val="00992013"/>
    <w:rsid w:val="00992082"/>
    <w:rsid w:val="00992096"/>
    <w:rsid w:val="009921DB"/>
    <w:rsid w:val="009924EB"/>
    <w:rsid w:val="0099260C"/>
    <w:rsid w:val="0099267F"/>
    <w:rsid w:val="00992708"/>
    <w:rsid w:val="00992897"/>
    <w:rsid w:val="009928C9"/>
    <w:rsid w:val="0099293C"/>
    <w:rsid w:val="009929FA"/>
    <w:rsid w:val="00992A5D"/>
    <w:rsid w:val="00992AAC"/>
    <w:rsid w:val="00992AB1"/>
    <w:rsid w:val="00992BC2"/>
    <w:rsid w:val="00992BF3"/>
    <w:rsid w:val="00992C1F"/>
    <w:rsid w:val="00992C54"/>
    <w:rsid w:val="00992C9A"/>
    <w:rsid w:val="00992CAB"/>
    <w:rsid w:val="00992FEA"/>
    <w:rsid w:val="00993038"/>
    <w:rsid w:val="0099304A"/>
    <w:rsid w:val="009930D4"/>
    <w:rsid w:val="00993100"/>
    <w:rsid w:val="009932C2"/>
    <w:rsid w:val="009932CD"/>
    <w:rsid w:val="0099330E"/>
    <w:rsid w:val="0099343D"/>
    <w:rsid w:val="009935D2"/>
    <w:rsid w:val="0099368B"/>
    <w:rsid w:val="00993950"/>
    <w:rsid w:val="00993C44"/>
    <w:rsid w:val="00993CEA"/>
    <w:rsid w:val="00993E0B"/>
    <w:rsid w:val="00993E7E"/>
    <w:rsid w:val="00993F2F"/>
    <w:rsid w:val="00993F4A"/>
    <w:rsid w:val="00993F6D"/>
    <w:rsid w:val="00993FE6"/>
    <w:rsid w:val="00994019"/>
    <w:rsid w:val="009941C3"/>
    <w:rsid w:val="00994638"/>
    <w:rsid w:val="009946B8"/>
    <w:rsid w:val="0099474B"/>
    <w:rsid w:val="0099486F"/>
    <w:rsid w:val="00994893"/>
    <w:rsid w:val="0099492C"/>
    <w:rsid w:val="00994A3A"/>
    <w:rsid w:val="00994D81"/>
    <w:rsid w:val="00994FF6"/>
    <w:rsid w:val="00995080"/>
    <w:rsid w:val="009950DB"/>
    <w:rsid w:val="009951B7"/>
    <w:rsid w:val="009951C8"/>
    <w:rsid w:val="009951FE"/>
    <w:rsid w:val="00995232"/>
    <w:rsid w:val="00995305"/>
    <w:rsid w:val="00995388"/>
    <w:rsid w:val="0099569B"/>
    <w:rsid w:val="009958AC"/>
    <w:rsid w:val="009958FF"/>
    <w:rsid w:val="00995947"/>
    <w:rsid w:val="00995A19"/>
    <w:rsid w:val="00995B05"/>
    <w:rsid w:val="00995B2A"/>
    <w:rsid w:val="00995B7D"/>
    <w:rsid w:val="00995B96"/>
    <w:rsid w:val="00995C01"/>
    <w:rsid w:val="00995CE7"/>
    <w:rsid w:val="00995D11"/>
    <w:rsid w:val="00996093"/>
    <w:rsid w:val="00996296"/>
    <w:rsid w:val="00996324"/>
    <w:rsid w:val="00996390"/>
    <w:rsid w:val="00996415"/>
    <w:rsid w:val="00996603"/>
    <w:rsid w:val="00996791"/>
    <w:rsid w:val="00996C77"/>
    <w:rsid w:val="00996D6C"/>
    <w:rsid w:val="00997043"/>
    <w:rsid w:val="009971E3"/>
    <w:rsid w:val="00997217"/>
    <w:rsid w:val="0099740D"/>
    <w:rsid w:val="00997457"/>
    <w:rsid w:val="00997492"/>
    <w:rsid w:val="00997624"/>
    <w:rsid w:val="00997644"/>
    <w:rsid w:val="009978D7"/>
    <w:rsid w:val="009978E4"/>
    <w:rsid w:val="009979E8"/>
    <w:rsid w:val="00997A3C"/>
    <w:rsid w:val="00997D47"/>
    <w:rsid w:val="00997DE3"/>
    <w:rsid w:val="00997EF9"/>
    <w:rsid w:val="00997F12"/>
    <w:rsid w:val="00997F72"/>
    <w:rsid w:val="00997FF0"/>
    <w:rsid w:val="009A000C"/>
    <w:rsid w:val="009A00F0"/>
    <w:rsid w:val="009A0144"/>
    <w:rsid w:val="009A01B5"/>
    <w:rsid w:val="009A026F"/>
    <w:rsid w:val="009A027A"/>
    <w:rsid w:val="009A034C"/>
    <w:rsid w:val="009A0436"/>
    <w:rsid w:val="009A04AB"/>
    <w:rsid w:val="009A0543"/>
    <w:rsid w:val="009A054B"/>
    <w:rsid w:val="009A07C4"/>
    <w:rsid w:val="009A08F4"/>
    <w:rsid w:val="009A09B8"/>
    <w:rsid w:val="009A0AC2"/>
    <w:rsid w:val="009A0B25"/>
    <w:rsid w:val="009A0C5E"/>
    <w:rsid w:val="009A0D2C"/>
    <w:rsid w:val="009A0DC9"/>
    <w:rsid w:val="009A0E3B"/>
    <w:rsid w:val="009A0E40"/>
    <w:rsid w:val="009A0E45"/>
    <w:rsid w:val="009A0E5D"/>
    <w:rsid w:val="009A0F8D"/>
    <w:rsid w:val="009A1083"/>
    <w:rsid w:val="009A115F"/>
    <w:rsid w:val="009A11B3"/>
    <w:rsid w:val="009A11E7"/>
    <w:rsid w:val="009A1220"/>
    <w:rsid w:val="009A13BA"/>
    <w:rsid w:val="009A163A"/>
    <w:rsid w:val="009A166A"/>
    <w:rsid w:val="009A1856"/>
    <w:rsid w:val="009A189F"/>
    <w:rsid w:val="009A1A87"/>
    <w:rsid w:val="009A1AA6"/>
    <w:rsid w:val="009A1BDF"/>
    <w:rsid w:val="009A1CBB"/>
    <w:rsid w:val="009A1DE5"/>
    <w:rsid w:val="009A1E37"/>
    <w:rsid w:val="009A1EBB"/>
    <w:rsid w:val="009A2013"/>
    <w:rsid w:val="009A207B"/>
    <w:rsid w:val="009A2101"/>
    <w:rsid w:val="009A234C"/>
    <w:rsid w:val="009A24BB"/>
    <w:rsid w:val="009A268E"/>
    <w:rsid w:val="009A2766"/>
    <w:rsid w:val="009A27BC"/>
    <w:rsid w:val="009A27D4"/>
    <w:rsid w:val="009A2803"/>
    <w:rsid w:val="009A29CB"/>
    <w:rsid w:val="009A2A94"/>
    <w:rsid w:val="009A2CBC"/>
    <w:rsid w:val="009A2D5C"/>
    <w:rsid w:val="009A2D6B"/>
    <w:rsid w:val="009A2DCB"/>
    <w:rsid w:val="009A2E00"/>
    <w:rsid w:val="009A2ECB"/>
    <w:rsid w:val="009A2ED8"/>
    <w:rsid w:val="009A2F3B"/>
    <w:rsid w:val="009A2FA5"/>
    <w:rsid w:val="009A3133"/>
    <w:rsid w:val="009A3208"/>
    <w:rsid w:val="009A33C7"/>
    <w:rsid w:val="009A3505"/>
    <w:rsid w:val="009A3557"/>
    <w:rsid w:val="009A36E1"/>
    <w:rsid w:val="009A37AF"/>
    <w:rsid w:val="009A37F0"/>
    <w:rsid w:val="009A38FB"/>
    <w:rsid w:val="009A391A"/>
    <w:rsid w:val="009A3B0D"/>
    <w:rsid w:val="009A3BCA"/>
    <w:rsid w:val="009A3BE7"/>
    <w:rsid w:val="009A3C0A"/>
    <w:rsid w:val="009A3DA6"/>
    <w:rsid w:val="009A3DB8"/>
    <w:rsid w:val="009A3EEB"/>
    <w:rsid w:val="009A3F95"/>
    <w:rsid w:val="009A4009"/>
    <w:rsid w:val="009A44BD"/>
    <w:rsid w:val="009A4540"/>
    <w:rsid w:val="009A4551"/>
    <w:rsid w:val="009A45EC"/>
    <w:rsid w:val="009A4636"/>
    <w:rsid w:val="009A4701"/>
    <w:rsid w:val="009A4731"/>
    <w:rsid w:val="009A474A"/>
    <w:rsid w:val="009A4802"/>
    <w:rsid w:val="009A4824"/>
    <w:rsid w:val="009A483A"/>
    <w:rsid w:val="009A493A"/>
    <w:rsid w:val="009A4961"/>
    <w:rsid w:val="009A4A94"/>
    <w:rsid w:val="009A4AB0"/>
    <w:rsid w:val="009A4C66"/>
    <w:rsid w:val="009A4DFA"/>
    <w:rsid w:val="009A508E"/>
    <w:rsid w:val="009A5314"/>
    <w:rsid w:val="009A5360"/>
    <w:rsid w:val="009A54C8"/>
    <w:rsid w:val="009A54DD"/>
    <w:rsid w:val="009A5600"/>
    <w:rsid w:val="009A5751"/>
    <w:rsid w:val="009A57D1"/>
    <w:rsid w:val="009A58B7"/>
    <w:rsid w:val="009A591F"/>
    <w:rsid w:val="009A5994"/>
    <w:rsid w:val="009A59D8"/>
    <w:rsid w:val="009A5AE1"/>
    <w:rsid w:val="009A5B3E"/>
    <w:rsid w:val="009A5BAB"/>
    <w:rsid w:val="009A5CAD"/>
    <w:rsid w:val="009A5EA1"/>
    <w:rsid w:val="009A5EC2"/>
    <w:rsid w:val="009A624D"/>
    <w:rsid w:val="009A6263"/>
    <w:rsid w:val="009A6266"/>
    <w:rsid w:val="009A629E"/>
    <w:rsid w:val="009A63E6"/>
    <w:rsid w:val="009A6591"/>
    <w:rsid w:val="009A65AE"/>
    <w:rsid w:val="009A66FC"/>
    <w:rsid w:val="009A6713"/>
    <w:rsid w:val="009A67D3"/>
    <w:rsid w:val="009A67DE"/>
    <w:rsid w:val="009A6819"/>
    <w:rsid w:val="009A6891"/>
    <w:rsid w:val="009A69B5"/>
    <w:rsid w:val="009A6C28"/>
    <w:rsid w:val="009A6EBC"/>
    <w:rsid w:val="009A6EDB"/>
    <w:rsid w:val="009A6EE3"/>
    <w:rsid w:val="009A6FBE"/>
    <w:rsid w:val="009A724F"/>
    <w:rsid w:val="009A73C7"/>
    <w:rsid w:val="009A7425"/>
    <w:rsid w:val="009A7523"/>
    <w:rsid w:val="009A7846"/>
    <w:rsid w:val="009A7881"/>
    <w:rsid w:val="009A78D6"/>
    <w:rsid w:val="009A79C1"/>
    <w:rsid w:val="009A7B0B"/>
    <w:rsid w:val="009A7B0C"/>
    <w:rsid w:val="009A7B11"/>
    <w:rsid w:val="009A7D00"/>
    <w:rsid w:val="009A7D84"/>
    <w:rsid w:val="009A7DF6"/>
    <w:rsid w:val="009A7E60"/>
    <w:rsid w:val="009A7EDD"/>
    <w:rsid w:val="009A7F2C"/>
    <w:rsid w:val="009B00B1"/>
    <w:rsid w:val="009B0183"/>
    <w:rsid w:val="009B01B6"/>
    <w:rsid w:val="009B0633"/>
    <w:rsid w:val="009B0A77"/>
    <w:rsid w:val="009B0AF3"/>
    <w:rsid w:val="009B0CD7"/>
    <w:rsid w:val="009B0D93"/>
    <w:rsid w:val="009B0DC4"/>
    <w:rsid w:val="009B1026"/>
    <w:rsid w:val="009B1114"/>
    <w:rsid w:val="009B1184"/>
    <w:rsid w:val="009B124B"/>
    <w:rsid w:val="009B1522"/>
    <w:rsid w:val="009B160E"/>
    <w:rsid w:val="009B167B"/>
    <w:rsid w:val="009B1744"/>
    <w:rsid w:val="009B179D"/>
    <w:rsid w:val="009B1904"/>
    <w:rsid w:val="009B191A"/>
    <w:rsid w:val="009B194A"/>
    <w:rsid w:val="009B19B6"/>
    <w:rsid w:val="009B1A11"/>
    <w:rsid w:val="009B1B8F"/>
    <w:rsid w:val="009B1CD3"/>
    <w:rsid w:val="009B1D46"/>
    <w:rsid w:val="009B1D68"/>
    <w:rsid w:val="009B1D86"/>
    <w:rsid w:val="009B1E56"/>
    <w:rsid w:val="009B1EB1"/>
    <w:rsid w:val="009B2096"/>
    <w:rsid w:val="009B20F3"/>
    <w:rsid w:val="009B2128"/>
    <w:rsid w:val="009B2153"/>
    <w:rsid w:val="009B221B"/>
    <w:rsid w:val="009B225A"/>
    <w:rsid w:val="009B2322"/>
    <w:rsid w:val="009B239E"/>
    <w:rsid w:val="009B23B6"/>
    <w:rsid w:val="009B2540"/>
    <w:rsid w:val="009B2593"/>
    <w:rsid w:val="009B25B0"/>
    <w:rsid w:val="009B2796"/>
    <w:rsid w:val="009B27B8"/>
    <w:rsid w:val="009B28D8"/>
    <w:rsid w:val="009B28DE"/>
    <w:rsid w:val="009B29E4"/>
    <w:rsid w:val="009B2A0F"/>
    <w:rsid w:val="009B2AA3"/>
    <w:rsid w:val="009B2B5F"/>
    <w:rsid w:val="009B2C8A"/>
    <w:rsid w:val="009B2CC5"/>
    <w:rsid w:val="009B2CE7"/>
    <w:rsid w:val="009B2FB4"/>
    <w:rsid w:val="009B3130"/>
    <w:rsid w:val="009B3308"/>
    <w:rsid w:val="009B3565"/>
    <w:rsid w:val="009B364D"/>
    <w:rsid w:val="009B3A65"/>
    <w:rsid w:val="009B3C6B"/>
    <w:rsid w:val="009B3D94"/>
    <w:rsid w:val="009B3DF2"/>
    <w:rsid w:val="009B3F93"/>
    <w:rsid w:val="009B40E3"/>
    <w:rsid w:val="009B422A"/>
    <w:rsid w:val="009B427B"/>
    <w:rsid w:val="009B4296"/>
    <w:rsid w:val="009B429F"/>
    <w:rsid w:val="009B43F3"/>
    <w:rsid w:val="009B4445"/>
    <w:rsid w:val="009B44EC"/>
    <w:rsid w:val="009B45C4"/>
    <w:rsid w:val="009B45EF"/>
    <w:rsid w:val="009B47CD"/>
    <w:rsid w:val="009B486F"/>
    <w:rsid w:val="009B48B2"/>
    <w:rsid w:val="009B4918"/>
    <w:rsid w:val="009B49CB"/>
    <w:rsid w:val="009B4A1C"/>
    <w:rsid w:val="009B4A70"/>
    <w:rsid w:val="009B4B6B"/>
    <w:rsid w:val="009B4E32"/>
    <w:rsid w:val="009B4F0A"/>
    <w:rsid w:val="009B4F68"/>
    <w:rsid w:val="009B4FE4"/>
    <w:rsid w:val="009B4FF0"/>
    <w:rsid w:val="009B50EC"/>
    <w:rsid w:val="009B5117"/>
    <w:rsid w:val="009B51C3"/>
    <w:rsid w:val="009B51E3"/>
    <w:rsid w:val="009B522B"/>
    <w:rsid w:val="009B5345"/>
    <w:rsid w:val="009B5369"/>
    <w:rsid w:val="009B53A4"/>
    <w:rsid w:val="009B5446"/>
    <w:rsid w:val="009B559A"/>
    <w:rsid w:val="009B562E"/>
    <w:rsid w:val="009B573F"/>
    <w:rsid w:val="009B575F"/>
    <w:rsid w:val="009B57DD"/>
    <w:rsid w:val="009B5804"/>
    <w:rsid w:val="009B588B"/>
    <w:rsid w:val="009B58CF"/>
    <w:rsid w:val="009B5988"/>
    <w:rsid w:val="009B59C0"/>
    <w:rsid w:val="009B59ED"/>
    <w:rsid w:val="009B5C83"/>
    <w:rsid w:val="009B5EAA"/>
    <w:rsid w:val="009B5EFB"/>
    <w:rsid w:val="009B61A4"/>
    <w:rsid w:val="009B61E3"/>
    <w:rsid w:val="009B62BA"/>
    <w:rsid w:val="009B63BF"/>
    <w:rsid w:val="009B64C5"/>
    <w:rsid w:val="009B657D"/>
    <w:rsid w:val="009B679F"/>
    <w:rsid w:val="009B682A"/>
    <w:rsid w:val="009B68BA"/>
    <w:rsid w:val="009B68E0"/>
    <w:rsid w:val="009B6908"/>
    <w:rsid w:val="009B6A18"/>
    <w:rsid w:val="009B6AC6"/>
    <w:rsid w:val="009B6C56"/>
    <w:rsid w:val="009B6EC4"/>
    <w:rsid w:val="009B7139"/>
    <w:rsid w:val="009B7145"/>
    <w:rsid w:val="009B714F"/>
    <w:rsid w:val="009B71E0"/>
    <w:rsid w:val="009B72A3"/>
    <w:rsid w:val="009B73F5"/>
    <w:rsid w:val="009B7579"/>
    <w:rsid w:val="009B75EE"/>
    <w:rsid w:val="009B772D"/>
    <w:rsid w:val="009B7732"/>
    <w:rsid w:val="009B7955"/>
    <w:rsid w:val="009B7BB0"/>
    <w:rsid w:val="009B7C1E"/>
    <w:rsid w:val="009B7CBC"/>
    <w:rsid w:val="009B7DF7"/>
    <w:rsid w:val="009B7DFB"/>
    <w:rsid w:val="009B7E7A"/>
    <w:rsid w:val="009B7EEE"/>
    <w:rsid w:val="009B7FDE"/>
    <w:rsid w:val="009B7FE8"/>
    <w:rsid w:val="009C007A"/>
    <w:rsid w:val="009C01BF"/>
    <w:rsid w:val="009C01EE"/>
    <w:rsid w:val="009C02AE"/>
    <w:rsid w:val="009C02F7"/>
    <w:rsid w:val="009C0479"/>
    <w:rsid w:val="009C0551"/>
    <w:rsid w:val="009C0776"/>
    <w:rsid w:val="009C0852"/>
    <w:rsid w:val="009C0C4E"/>
    <w:rsid w:val="009C0C80"/>
    <w:rsid w:val="009C0CC7"/>
    <w:rsid w:val="009C0D2C"/>
    <w:rsid w:val="009C0EFF"/>
    <w:rsid w:val="009C108E"/>
    <w:rsid w:val="009C10B0"/>
    <w:rsid w:val="009C1123"/>
    <w:rsid w:val="009C119B"/>
    <w:rsid w:val="009C11CF"/>
    <w:rsid w:val="009C1216"/>
    <w:rsid w:val="009C130B"/>
    <w:rsid w:val="009C131D"/>
    <w:rsid w:val="009C1321"/>
    <w:rsid w:val="009C14B2"/>
    <w:rsid w:val="009C1501"/>
    <w:rsid w:val="009C173C"/>
    <w:rsid w:val="009C1981"/>
    <w:rsid w:val="009C1A2E"/>
    <w:rsid w:val="009C1AF4"/>
    <w:rsid w:val="009C1C43"/>
    <w:rsid w:val="009C1DDD"/>
    <w:rsid w:val="009C1EB0"/>
    <w:rsid w:val="009C1F09"/>
    <w:rsid w:val="009C1FE1"/>
    <w:rsid w:val="009C206A"/>
    <w:rsid w:val="009C20C1"/>
    <w:rsid w:val="009C20F0"/>
    <w:rsid w:val="009C20FB"/>
    <w:rsid w:val="009C2346"/>
    <w:rsid w:val="009C23F9"/>
    <w:rsid w:val="009C2558"/>
    <w:rsid w:val="009C2607"/>
    <w:rsid w:val="009C2912"/>
    <w:rsid w:val="009C292A"/>
    <w:rsid w:val="009C2A1D"/>
    <w:rsid w:val="009C2C37"/>
    <w:rsid w:val="009C2D9E"/>
    <w:rsid w:val="009C2E02"/>
    <w:rsid w:val="009C2E05"/>
    <w:rsid w:val="009C2E4E"/>
    <w:rsid w:val="009C2F72"/>
    <w:rsid w:val="009C3066"/>
    <w:rsid w:val="009C31CE"/>
    <w:rsid w:val="009C32DD"/>
    <w:rsid w:val="009C34BE"/>
    <w:rsid w:val="009C37C4"/>
    <w:rsid w:val="009C398C"/>
    <w:rsid w:val="009C3B7C"/>
    <w:rsid w:val="009C3BA7"/>
    <w:rsid w:val="009C3CCD"/>
    <w:rsid w:val="009C3D33"/>
    <w:rsid w:val="009C3E8D"/>
    <w:rsid w:val="009C4041"/>
    <w:rsid w:val="009C46EC"/>
    <w:rsid w:val="009C4983"/>
    <w:rsid w:val="009C49B3"/>
    <w:rsid w:val="009C4A32"/>
    <w:rsid w:val="009C4DA4"/>
    <w:rsid w:val="009C4DFB"/>
    <w:rsid w:val="009C4F32"/>
    <w:rsid w:val="009C4FCA"/>
    <w:rsid w:val="009C50D7"/>
    <w:rsid w:val="009C5101"/>
    <w:rsid w:val="009C5232"/>
    <w:rsid w:val="009C5757"/>
    <w:rsid w:val="009C589C"/>
    <w:rsid w:val="009C58D2"/>
    <w:rsid w:val="009C59C8"/>
    <w:rsid w:val="009C5D78"/>
    <w:rsid w:val="009C6069"/>
    <w:rsid w:val="009C6117"/>
    <w:rsid w:val="009C619D"/>
    <w:rsid w:val="009C61AA"/>
    <w:rsid w:val="009C61E8"/>
    <w:rsid w:val="009C628C"/>
    <w:rsid w:val="009C62C5"/>
    <w:rsid w:val="009C6351"/>
    <w:rsid w:val="009C63A4"/>
    <w:rsid w:val="009C64AF"/>
    <w:rsid w:val="009C64F1"/>
    <w:rsid w:val="009C6571"/>
    <w:rsid w:val="009C65EB"/>
    <w:rsid w:val="009C665C"/>
    <w:rsid w:val="009C66FC"/>
    <w:rsid w:val="009C6918"/>
    <w:rsid w:val="009C696C"/>
    <w:rsid w:val="009C69C9"/>
    <w:rsid w:val="009C6A0D"/>
    <w:rsid w:val="009C6ACD"/>
    <w:rsid w:val="009C6B61"/>
    <w:rsid w:val="009C6BEA"/>
    <w:rsid w:val="009C6C88"/>
    <w:rsid w:val="009C6D77"/>
    <w:rsid w:val="009C6F88"/>
    <w:rsid w:val="009C72B3"/>
    <w:rsid w:val="009C72E4"/>
    <w:rsid w:val="009C7437"/>
    <w:rsid w:val="009C74FF"/>
    <w:rsid w:val="009C75DF"/>
    <w:rsid w:val="009C75F4"/>
    <w:rsid w:val="009C7666"/>
    <w:rsid w:val="009C786D"/>
    <w:rsid w:val="009C78E8"/>
    <w:rsid w:val="009C7A05"/>
    <w:rsid w:val="009C7B34"/>
    <w:rsid w:val="009C7BD3"/>
    <w:rsid w:val="009C7C96"/>
    <w:rsid w:val="009C7CB4"/>
    <w:rsid w:val="009C7D75"/>
    <w:rsid w:val="009C7E3E"/>
    <w:rsid w:val="009D00D8"/>
    <w:rsid w:val="009D00E3"/>
    <w:rsid w:val="009D01AD"/>
    <w:rsid w:val="009D01BE"/>
    <w:rsid w:val="009D028E"/>
    <w:rsid w:val="009D051E"/>
    <w:rsid w:val="009D053F"/>
    <w:rsid w:val="009D0574"/>
    <w:rsid w:val="009D0692"/>
    <w:rsid w:val="009D07CB"/>
    <w:rsid w:val="009D0A2C"/>
    <w:rsid w:val="009D0A91"/>
    <w:rsid w:val="009D0ABE"/>
    <w:rsid w:val="009D0C3B"/>
    <w:rsid w:val="009D0E15"/>
    <w:rsid w:val="009D0F64"/>
    <w:rsid w:val="009D1194"/>
    <w:rsid w:val="009D11EC"/>
    <w:rsid w:val="009D1471"/>
    <w:rsid w:val="009D14A0"/>
    <w:rsid w:val="009D14A5"/>
    <w:rsid w:val="009D14C1"/>
    <w:rsid w:val="009D1816"/>
    <w:rsid w:val="009D1877"/>
    <w:rsid w:val="009D18BB"/>
    <w:rsid w:val="009D1A5D"/>
    <w:rsid w:val="009D1BFB"/>
    <w:rsid w:val="009D1C64"/>
    <w:rsid w:val="009D1ED1"/>
    <w:rsid w:val="009D1FCD"/>
    <w:rsid w:val="009D203B"/>
    <w:rsid w:val="009D20D7"/>
    <w:rsid w:val="009D21B4"/>
    <w:rsid w:val="009D241C"/>
    <w:rsid w:val="009D2420"/>
    <w:rsid w:val="009D243E"/>
    <w:rsid w:val="009D24EE"/>
    <w:rsid w:val="009D2551"/>
    <w:rsid w:val="009D25D9"/>
    <w:rsid w:val="009D2633"/>
    <w:rsid w:val="009D2653"/>
    <w:rsid w:val="009D2751"/>
    <w:rsid w:val="009D28B8"/>
    <w:rsid w:val="009D28FB"/>
    <w:rsid w:val="009D2958"/>
    <w:rsid w:val="009D2B89"/>
    <w:rsid w:val="009D2BD0"/>
    <w:rsid w:val="009D2BE7"/>
    <w:rsid w:val="009D2C52"/>
    <w:rsid w:val="009D2C96"/>
    <w:rsid w:val="009D2CBE"/>
    <w:rsid w:val="009D2D41"/>
    <w:rsid w:val="009D2D5B"/>
    <w:rsid w:val="009D30DC"/>
    <w:rsid w:val="009D311F"/>
    <w:rsid w:val="009D315F"/>
    <w:rsid w:val="009D36FF"/>
    <w:rsid w:val="009D3749"/>
    <w:rsid w:val="009D3821"/>
    <w:rsid w:val="009D39C4"/>
    <w:rsid w:val="009D3AC0"/>
    <w:rsid w:val="009D3E7C"/>
    <w:rsid w:val="009D3EE5"/>
    <w:rsid w:val="009D3F22"/>
    <w:rsid w:val="009D4161"/>
    <w:rsid w:val="009D41BD"/>
    <w:rsid w:val="009D423B"/>
    <w:rsid w:val="009D43A8"/>
    <w:rsid w:val="009D4421"/>
    <w:rsid w:val="009D44BD"/>
    <w:rsid w:val="009D474C"/>
    <w:rsid w:val="009D4A2C"/>
    <w:rsid w:val="009D4B3C"/>
    <w:rsid w:val="009D4ED9"/>
    <w:rsid w:val="009D4EE7"/>
    <w:rsid w:val="009D50D2"/>
    <w:rsid w:val="009D5158"/>
    <w:rsid w:val="009D5399"/>
    <w:rsid w:val="009D543F"/>
    <w:rsid w:val="009D5516"/>
    <w:rsid w:val="009D5584"/>
    <w:rsid w:val="009D56B1"/>
    <w:rsid w:val="009D56BC"/>
    <w:rsid w:val="009D56FB"/>
    <w:rsid w:val="009D59D3"/>
    <w:rsid w:val="009D59D9"/>
    <w:rsid w:val="009D5A07"/>
    <w:rsid w:val="009D5A18"/>
    <w:rsid w:val="009D5BBA"/>
    <w:rsid w:val="009D5CBD"/>
    <w:rsid w:val="009D5DD4"/>
    <w:rsid w:val="009D5DEE"/>
    <w:rsid w:val="009D604F"/>
    <w:rsid w:val="009D615D"/>
    <w:rsid w:val="009D617D"/>
    <w:rsid w:val="009D622B"/>
    <w:rsid w:val="009D6386"/>
    <w:rsid w:val="009D6460"/>
    <w:rsid w:val="009D649B"/>
    <w:rsid w:val="009D64F8"/>
    <w:rsid w:val="009D6527"/>
    <w:rsid w:val="009D6693"/>
    <w:rsid w:val="009D6787"/>
    <w:rsid w:val="009D6887"/>
    <w:rsid w:val="009D6AA2"/>
    <w:rsid w:val="009D6CDC"/>
    <w:rsid w:val="009D6CF5"/>
    <w:rsid w:val="009D6E79"/>
    <w:rsid w:val="009D6F34"/>
    <w:rsid w:val="009D7090"/>
    <w:rsid w:val="009D70B9"/>
    <w:rsid w:val="009D7141"/>
    <w:rsid w:val="009D745B"/>
    <w:rsid w:val="009D75B3"/>
    <w:rsid w:val="009D75EE"/>
    <w:rsid w:val="009D7615"/>
    <w:rsid w:val="009D76A6"/>
    <w:rsid w:val="009D7740"/>
    <w:rsid w:val="009D7869"/>
    <w:rsid w:val="009D7898"/>
    <w:rsid w:val="009D7B4A"/>
    <w:rsid w:val="009D7B6D"/>
    <w:rsid w:val="009D7C46"/>
    <w:rsid w:val="009E035F"/>
    <w:rsid w:val="009E03DD"/>
    <w:rsid w:val="009E04F4"/>
    <w:rsid w:val="009E0512"/>
    <w:rsid w:val="009E07BD"/>
    <w:rsid w:val="009E0862"/>
    <w:rsid w:val="009E0AD0"/>
    <w:rsid w:val="009E0B81"/>
    <w:rsid w:val="009E0B8D"/>
    <w:rsid w:val="009E0C54"/>
    <w:rsid w:val="009E0EC3"/>
    <w:rsid w:val="009E0FEF"/>
    <w:rsid w:val="009E12FE"/>
    <w:rsid w:val="009E1324"/>
    <w:rsid w:val="009E134F"/>
    <w:rsid w:val="009E1480"/>
    <w:rsid w:val="009E14F1"/>
    <w:rsid w:val="009E156C"/>
    <w:rsid w:val="009E15AD"/>
    <w:rsid w:val="009E15CF"/>
    <w:rsid w:val="009E15FF"/>
    <w:rsid w:val="009E1661"/>
    <w:rsid w:val="009E17E9"/>
    <w:rsid w:val="009E1896"/>
    <w:rsid w:val="009E1996"/>
    <w:rsid w:val="009E1A2E"/>
    <w:rsid w:val="009E1AE7"/>
    <w:rsid w:val="009E2039"/>
    <w:rsid w:val="009E20AA"/>
    <w:rsid w:val="009E2117"/>
    <w:rsid w:val="009E2152"/>
    <w:rsid w:val="009E2159"/>
    <w:rsid w:val="009E2209"/>
    <w:rsid w:val="009E243B"/>
    <w:rsid w:val="009E24B8"/>
    <w:rsid w:val="009E2522"/>
    <w:rsid w:val="009E2743"/>
    <w:rsid w:val="009E28E7"/>
    <w:rsid w:val="009E294A"/>
    <w:rsid w:val="009E2AD4"/>
    <w:rsid w:val="009E2CCA"/>
    <w:rsid w:val="009E2E49"/>
    <w:rsid w:val="009E2EAC"/>
    <w:rsid w:val="009E2EBA"/>
    <w:rsid w:val="009E2F25"/>
    <w:rsid w:val="009E30E9"/>
    <w:rsid w:val="009E3157"/>
    <w:rsid w:val="009E31A0"/>
    <w:rsid w:val="009E3201"/>
    <w:rsid w:val="009E3284"/>
    <w:rsid w:val="009E32B0"/>
    <w:rsid w:val="009E3307"/>
    <w:rsid w:val="009E3394"/>
    <w:rsid w:val="009E3398"/>
    <w:rsid w:val="009E33C8"/>
    <w:rsid w:val="009E3483"/>
    <w:rsid w:val="009E3490"/>
    <w:rsid w:val="009E3590"/>
    <w:rsid w:val="009E366C"/>
    <w:rsid w:val="009E36ED"/>
    <w:rsid w:val="009E37BD"/>
    <w:rsid w:val="009E38C4"/>
    <w:rsid w:val="009E3972"/>
    <w:rsid w:val="009E3987"/>
    <w:rsid w:val="009E39E0"/>
    <w:rsid w:val="009E3AE7"/>
    <w:rsid w:val="009E3B08"/>
    <w:rsid w:val="009E3B0A"/>
    <w:rsid w:val="009E3C7C"/>
    <w:rsid w:val="009E3E36"/>
    <w:rsid w:val="009E3EB7"/>
    <w:rsid w:val="009E4073"/>
    <w:rsid w:val="009E40E3"/>
    <w:rsid w:val="009E4310"/>
    <w:rsid w:val="009E441D"/>
    <w:rsid w:val="009E455E"/>
    <w:rsid w:val="009E4679"/>
    <w:rsid w:val="009E478F"/>
    <w:rsid w:val="009E49FF"/>
    <w:rsid w:val="009E4C3C"/>
    <w:rsid w:val="009E4C44"/>
    <w:rsid w:val="009E4C4B"/>
    <w:rsid w:val="009E4C6D"/>
    <w:rsid w:val="009E4D5D"/>
    <w:rsid w:val="009E4D66"/>
    <w:rsid w:val="009E4DB7"/>
    <w:rsid w:val="009E4ED5"/>
    <w:rsid w:val="009E4F3E"/>
    <w:rsid w:val="009E4F92"/>
    <w:rsid w:val="009E50F9"/>
    <w:rsid w:val="009E51C9"/>
    <w:rsid w:val="009E5237"/>
    <w:rsid w:val="009E524C"/>
    <w:rsid w:val="009E5565"/>
    <w:rsid w:val="009E5576"/>
    <w:rsid w:val="009E560B"/>
    <w:rsid w:val="009E5901"/>
    <w:rsid w:val="009E5934"/>
    <w:rsid w:val="009E5B74"/>
    <w:rsid w:val="009E5C30"/>
    <w:rsid w:val="009E5C31"/>
    <w:rsid w:val="009E5C37"/>
    <w:rsid w:val="009E5D12"/>
    <w:rsid w:val="009E5E11"/>
    <w:rsid w:val="009E5F1B"/>
    <w:rsid w:val="009E5FDE"/>
    <w:rsid w:val="009E6208"/>
    <w:rsid w:val="009E620C"/>
    <w:rsid w:val="009E625A"/>
    <w:rsid w:val="009E6301"/>
    <w:rsid w:val="009E6336"/>
    <w:rsid w:val="009E6445"/>
    <w:rsid w:val="009E66C0"/>
    <w:rsid w:val="009E671F"/>
    <w:rsid w:val="009E6978"/>
    <w:rsid w:val="009E6983"/>
    <w:rsid w:val="009E6A10"/>
    <w:rsid w:val="009E6B3B"/>
    <w:rsid w:val="009E6F87"/>
    <w:rsid w:val="009E6FB0"/>
    <w:rsid w:val="009E74E0"/>
    <w:rsid w:val="009E7552"/>
    <w:rsid w:val="009E761C"/>
    <w:rsid w:val="009E7B32"/>
    <w:rsid w:val="009E7CA0"/>
    <w:rsid w:val="009E7D61"/>
    <w:rsid w:val="009E7E90"/>
    <w:rsid w:val="009E7F9E"/>
    <w:rsid w:val="009F00D1"/>
    <w:rsid w:val="009F0248"/>
    <w:rsid w:val="009F0416"/>
    <w:rsid w:val="009F04F6"/>
    <w:rsid w:val="009F0574"/>
    <w:rsid w:val="009F0649"/>
    <w:rsid w:val="009F0654"/>
    <w:rsid w:val="009F0681"/>
    <w:rsid w:val="009F0762"/>
    <w:rsid w:val="009F0913"/>
    <w:rsid w:val="009F0965"/>
    <w:rsid w:val="009F0A4F"/>
    <w:rsid w:val="009F0ABD"/>
    <w:rsid w:val="009F0C22"/>
    <w:rsid w:val="009F0CDD"/>
    <w:rsid w:val="009F0E7E"/>
    <w:rsid w:val="009F0EF5"/>
    <w:rsid w:val="009F0F0A"/>
    <w:rsid w:val="009F0F23"/>
    <w:rsid w:val="009F0F33"/>
    <w:rsid w:val="009F1049"/>
    <w:rsid w:val="009F1091"/>
    <w:rsid w:val="009F10D0"/>
    <w:rsid w:val="009F164F"/>
    <w:rsid w:val="009F1705"/>
    <w:rsid w:val="009F1B74"/>
    <w:rsid w:val="009F1B7D"/>
    <w:rsid w:val="009F1BDA"/>
    <w:rsid w:val="009F1C7A"/>
    <w:rsid w:val="009F1C92"/>
    <w:rsid w:val="009F1C9C"/>
    <w:rsid w:val="009F1DAE"/>
    <w:rsid w:val="009F1E1D"/>
    <w:rsid w:val="009F1F61"/>
    <w:rsid w:val="009F2076"/>
    <w:rsid w:val="009F20F5"/>
    <w:rsid w:val="009F2143"/>
    <w:rsid w:val="009F219E"/>
    <w:rsid w:val="009F23EE"/>
    <w:rsid w:val="009F24F7"/>
    <w:rsid w:val="009F2501"/>
    <w:rsid w:val="009F2586"/>
    <w:rsid w:val="009F263B"/>
    <w:rsid w:val="009F2760"/>
    <w:rsid w:val="009F2775"/>
    <w:rsid w:val="009F277F"/>
    <w:rsid w:val="009F2843"/>
    <w:rsid w:val="009F2913"/>
    <w:rsid w:val="009F29E3"/>
    <w:rsid w:val="009F2A8A"/>
    <w:rsid w:val="009F2B05"/>
    <w:rsid w:val="009F2B5C"/>
    <w:rsid w:val="009F2CB3"/>
    <w:rsid w:val="009F2CEB"/>
    <w:rsid w:val="009F2D49"/>
    <w:rsid w:val="009F2D55"/>
    <w:rsid w:val="009F2E8B"/>
    <w:rsid w:val="009F309F"/>
    <w:rsid w:val="009F3197"/>
    <w:rsid w:val="009F33B1"/>
    <w:rsid w:val="009F3453"/>
    <w:rsid w:val="009F35CA"/>
    <w:rsid w:val="009F36BE"/>
    <w:rsid w:val="009F36F5"/>
    <w:rsid w:val="009F38E7"/>
    <w:rsid w:val="009F390B"/>
    <w:rsid w:val="009F3A01"/>
    <w:rsid w:val="009F3C24"/>
    <w:rsid w:val="009F3FED"/>
    <w:rsid w:val="009F4072"/>
    <w:rsid w:val="009F416B"/>
    <w:rsid w:val="009F4263"/>
    <w:rsid w:val="009F42AE"/>
    <w:rsid w:val="009F438A"/>
    <w:rsid w:val="009F43E2"/>
    <w:rsid w:val="009F4401"/>
    <w:rsid w:val="009F4490"/>
    <w:rsid w:val="009F44B7"/>
    <w:rsid w:val="009F44E7"/>
    <w:rsid w:val="009F450B"/>
    <w:rsid w:val="009F47AE"/>
    <w:rsid w:val="009F47F9"/>
    <w:rsid w:val="009F4800"/>
    <w:rsid w:val="009F4A15"/>
    <w:rsid w:val="009F4A92"/>
    <w:rsid w:val="009F4DFB"/>
    <w:rsid w:val="009F5167"/>
    <w:rsid w:val="009F5396"/>
    <w:rsid w:val="009F55F1"/>
    <w:rsid w:val="009F5694"/>
    <w:rsid w:val="009F57A9"/>
    <w:rsid w:val="009F57F3"/>
    <w:rsid w:val="009F5926"/>
    <w:rsid w:val="009F5ABB"/>
    <w:rsid w:val="009F5AC0"/>
    <w:rsid w:val="009F5DBB"/>
    <w:rsid w:val="009F5F20"/>
    <w:rsid w:val="009F5FD8"/>
    <w:rsid w:val="009F60BE"/>
    <w:rsid w:val="009F60D8"/>
    <w:rsid w:val="009F6199"/>
    <w:rsid w:val="009F647E"/>
    <w:rsid w:val="009F6483"/>
    <w:rsid w:val="009F64A5"/>
    <w:rsid w:val="009F64D8"/>
    <w:rsid w:val="009F66C1"/>
    <w:rsid w:val="009F67B0"/>
    <w:rsid w:val="009F69B0"/>
    <w:rsid w:val="009F6CE7"/>
    <w:rsid w:val="009F6D56"/>
    <w:rsid w:val="009F6E01"/>
    <w:rsid w:val="009F6E80"/>
    <w:rsid w:val="009F6FAE"/>
    <w:rsid w:val="009F71F2"/>
    <w:rsid w:val="009F72BE"/>
    <w:rsid w:val="009F72D8"/>
    <w:rsid w:val="009F763D"/>
    <w:rsid w:val="009F7849"/>
    <w:rsid w:val="009F7D29"/>
    <w:rsid w:val="009F7D7B"/>
    <w:rsid w:val="009F7DFB"/>
    <w:rsid w:val="009F7E5D"/>
    <w:rsid w:val="009F7EF4"/>
    <w:rsid w:val="00A0000C"/>
    <w:rsid w:val="00A001E7"/>
    <w:rsid w:val="00A002E5"/>
    <w:rsid w:val="00A004C4"/>
    <w:rsid w:val="00A00531"/>
    <w:rsid w:val="00A0070E"/>
    <w:rsid w:val="00A008BF"/>
    <w:rsid w:val="00A00ACC"/>
    <w:rsid w:val="00A00BC0"/>
    <w:rsid w:val="00A00C4E"/>
    <w:rsid w:val="00A00ED5"/>
    <w:rsid w:val="00A00EE8"/>
    <w:rsid w:val="00A01066"/>
    <w:rsid w:val="00A011EE"/>
    <w:rsid w:val="00A01288"/>
    <w:rsid w:val="00A01349"/>
    <w:rsid w:val="00A01357"/>
    <w:rsid w:val="00A0137A"/>
    <w:rsid w:val="00A014BA"/>
    <w:rsid w:val="00A014C2"/>
    <w:rsid w:val="00A01553"/>
    <w:rsid w:val="00A01620"/>
    <w:rsid w:val="00A016E7"/>
    <w:rsid w:val="00A017A2"/>
    <w:rsid w:val="00A017D7"/>
    <w:rsid w:val="00A01838"/>
    <w:rsid w:val="00A01A12"/>
    <w:rsid w:val="00A01A74"/>
    <w:rsid w:val="00A01B04"/>
    <w:rsid w:val="00A01B83"/>
    <w:rsid w:val="00A01C95"/>
    <w:rsid w:val="00A01F09"/>
    <w:rsid w:val="00A022D0"/>
    <w:rsid w:val="00A023A1"/>
    <w:rsid w:val="00A023D1"/>
    <w:rsid w:val="00A023FE"/>
    <w:rsid w:val="00A0249C"/>
    <w:rsid w:val="00A024A6"/>
    <w:rsid w:val="00A02550"/>
    <w:rsid w:val="00A026E9"/>
    <w:rsid w:val="00A02729"/>
    <w:rsid w:val="00A0278E"/>
    <w:rsid w:val="00A02849"/>
    <w:rsid w:val="00A02890"/>
    <w:rsid w:val="00A028B4"/>
    <w:rsid w:val="00A028D0"/>
    <w:rsid w:val="00A02926"/>
    <w:rsid w:val="00A02AE5"/>
    <w:rsid w:val="00A02AE8"/>
    <w:rsid w:val="00A02B3E"/>
    <w:rsid w:val="00A02BA6"/>
    <w:rsid w:val="00A02D63"/>
    <w:rsid w:val="00A02DDC"/>
    <w:rsid w:val="00A02E1B"/>
    <w:rsid w:val="00A02E3F"/>
    <w:rsid w:val="00A02E84"/>
    <w:rsid w:val="00A02EA8"/>
    <w:rsid w:val="00A02FD7"/>
    <w:rsid w:val="00A03004"/>
    <w:rsid w:val="00A03093"/>
    <w:rsid w:val="00A0309A"/>
    <w:rsid w:val="00A03105"/>
    <w:rsid w:val="00A03221"/>
    <w:rsid w:val="00A03435"/>
    <w:rsid w:val="00A035A9"/>
    <w:rsid w:val="00A03828"/>
    <w:rsid w:val="00A038E2"/>
    <w:rsid w:val="00A039FD"/>
    <w:rsid w:val="00A03BB4"/>
    <w:rsid w:val="00A03C86"/>
    <w:rsid w:val="00A041D2"/>
    <w:rsid w:val="00A041FA"/>
    <w:rsid w:val="00A044DC"/>
    <w:rsid w:val="00A0461F"/>
    <w:rsid w:val="00A046C7"/>
    <w:rsid w:val="00A046E6"/>
    <w:rsid w:val="00A0477E"/>
    <w:rsid w:val="00A047DD"/>
    <w:rsid w:val="00A04EA9"/>
    <w:rsid w:val="00A05250"/>
    <w:rsid w:val="00A05301"/>
    <w:rsid w:val="00A053BD"/>
    <w:rsid w:val="00A05421"/>
    <w:rsid w:val="00A0555A"/>
    <w:rsid w:val="00A05715"/>
    <w:rsid w:val="00A0577B"/>
    <w:rsid w:val="00A05788"/>
    <w:rsid w:val="00A0596A"/>
    <w:rsid w:val="00A0598F"/>
    <w:rsid w:val="00A05A91"/>
    <w:rsid w:val="00A05AFB"/>
    <w:rsid w:val="00A05B29"/>
    <w:rsid w:val="00A05D32"/>
    <w:rsid w:val="00A05E57"/>
    <w:rsid w:val="00A05F49"/>
    <w:rsid w:val="00A05F4E"/>
    <w:rsid w:val="00A06189"/>
    <w:rsid w:val="00A06344"/>
    <w:rsid w:val="00A063AC"/>
    <w:rsid w:val="00A067B7"/>
    <w:rsid w:val="00A068E7"/>
    <w:rsid w:val="00A06933"/>
    <w:rsid w:val="00A06A83"/>
    <w:rsid w:val="00A06BF1"/>
    <w:rsid w:val="00A06C58"/>
    <w:rsid w:val="00A070B6"/>
    <w:rsid w:val="00A07197"/>
    <w:rsid w:val="00A07246"/>
    <w:rsid w:val="00A072D4"/>
    <w:rsid w:val="00A072DA"/>
    <w:rsid w:val="00A0741B"/>
    <w:rsid w:val="00A0747A"/>
    <w:rsid w:val="00A0748A"/>
    <w:rsid w:val="00A0751C"/>
    <w:rsid w:val="00A07995"/>
    <w:rsid w:val="00A07C86"/>
    <w:rsid w:val="00A07CFA"/>
    <w:rsid w:val="00A07E9A"/>
    <w:rsid w:val="00A07EB1"/>
    <w:rsid w:val="00A07F40"/>
    <w:rsid w:val="00A0811D"/>
    <w:rsid w:val="00A10011"/>
    <w:rsid w:val="00A100E2"/>
    <w:rsid w:val="00A10107"/>
    <w:rsid w:val="00A101DC"/>
    <w:rsid w:val="00A10278"/>
    <w:rsid w:val="00A102FD"/>
    <w:rsid w:val="00A104DA"/>
    <w:rsid w:val="00A10582"/>
    <w:rsid w:val="00A106E0"/>
    <w:rsid w:val="00A10749"/>
    <w:rsid w:val="00A10992"/>
    <w:rsid w:val="00A10BBE"/>
    <w:rsid w:val="00A10D1B"/>
    <w:rsid w:val="00A10F25"/>
    <w:rsid w:val="00A11066"/>
    <w:rsid w:val="00A110FD"/>
    <w:rsid w:val="00A11167"/>
    <w:rsid w:val="00A1123D"/>
    <w:rsid w:val="00A11334"/>
    <w:rsid w:val="00A1139B"/>
    <w:rsid w:val="00A113E3"/>
    <w:rsid w:val="00A114AB"/>
    <w:rsid w:val="00A114B9"/>
    <w:rsid w:val="00A115C5"/>
    <w:rsid w:val="00A11944"/>
    <w:rsid w:val="00A1196F"/>
    <w:rsid w:val="00A11A55"/>
    <w:rsid w:val="00A11A76"/>
    <w:rsid w:val="00A11AC6"/>
    <w:rsid w:val="00A11BC2"/>
    <w:rsid w:val="00A11C92"/>
    <w:rsid w:val="00A11E41"/>
    <w:rsid w:val="00A11E48"/>
    <w:rsid w:val="00A11E68"/>
    <w:rsid w:val="00A11E9C"/>
    <w:rsid w:val="00A12124"/>
    <w:rsid w:val="00A1223D"/>
    <w:rsid w:val="00A1232C"/>
    <w:rsid w:val="00A123F4"/>
    <w:rsid w:val="00A12634"/>
    <w:rsid w:val="00A1265E"/>
    <w:rsid w:val="00A127AE"/>
    <w:rsid w:val="00A127D7"/>
    <w:rsid w:val="00A12848"/>
    <w:rsid w:val="00A12C18"/>
    <w:rsid w:val="00A12C1E"/>
    <w:rsid w:val="00A12E5D"/>
    <w:rsid w:val="00A12F51"/>
    <w:rsid w:val="00A12F8A"/>
    <w:rsid w:val="00A130D8"/>
    <w:rsid w:val="00A131B9"/>
    <w:rsid w:val="00A13464"/>
    <w:rsid w:val="00A134D1"/>
    <w:rsid w:val="00A134E5"/>
    <w:rsid w:val="00A1355E"/>
    <w:rsid w:val="00A13566"/>
    <w:rsid w:val="00A137B2"/>
    <w:rsid w:val="00A137B4"/>
    <w:rsid w:val="00A13BAF"/>
    <w:rsid w:val="00A13DDE"/>
    <w:rsid w:val="00A13EAE"/>
    <w:rsid w:val="00A13FB0"/>
    <w:rsid w:val="00A14135"/>
    <w:rsid w:val="00A14280"/>
    <w:rsid w:val="00A14309"/>
    <w:rsid w:val="00A143FE"/>
    <w:rsid w:val="00A14571"/>
    <w:rsid w:val="00A14627"/>
    <w:rsid w:val="00A147C3"/>
    <w:rsid w:val="00A1481D"/>
    <w:rsid w:val="00A14869"/>
    <w:rsid w:val="00A14985"/>
    <w:rsid w:val="00A14B65"/>
    <w:rsid w:val="00A14B8A"/>
    <w:rsid w:val="00A14BD9"/>
    <w:rsid w:val="00A14BFE"/>
    <w:rsid w:val="00A14DD0"/>
    <w:rsid w:val="00A14F3B"/>
    <w:rsid w:val="00A150C8"/>
    <w:rsid w:val="00A150D6"/>
    <w:rsid w:val="00A1511C"/>
    <w:rsid w:val="00A152E8"/>
    <w:rsid w:val="00A15480"/>
    <w:rsid w:val="00A1553B"/>
    <w:rsid w:val="00A155EC"/>
    <w:rsid w:val="00A15995"/>
    <w:rsid w:val="00A15B62"/>
    <w:rsid w:val="00A15B64"/>
    <w:rsid w:val="00A15BFD"/>
    <w:rsid w:val="00A15CAC"/>
    <w:rsid w:val="00A15CB1"/>
    <w:rsid w:val="00A15CEE"/>
    <w:rsid w:val="00A15ED4"/>
    <w:rsid w:val="00A15F21"/>
    <w:rsid w:val="00A15F48"/>
    <w:rsid w:val="00A15FC8"/>
    <w:rsid w:val="00A16028"/>
    <w:rsid w:val="00A160FB"/>
    <w:rsid w:val="00A16263"/>
    <w:rsid w:val="00A16275"/>
    <w:rsid w:val="00A162C6"/>
    <w:rsid w:val="00A16415"/>
    <w:rsid w:val="00A16562"/>
    <w:rsid w:val="00A1668C"/>
    <w:rsid w:val="00A166CA"/>
    <w:rsid w:val="00A168E0"/>
    <w:rsid w:val="00A16921"/>
    <w:rsid w:val="00A1695C"/>
    <w:rsid w:val="00A16AAE"/>
    <w:rsid w:val="00A16B81"/>
    <w:rsid w:val="00A16D7E"/>
    <w:rsid w:val="00A16E7E"/>
    <w:rsid w:val="00A16F88"/>
    <w:rsid w:val="00A1709E"/>
    <w:rsid w:val="00A17440"/>
    <w:rsid w:val="00A17597"/>
    <w:rsid w:val="00A17695"/>
    <w:rsid w:val="00A1779E"/>
    <w:rsid w:val="00A178F3"/>
    <w:rsid w:val="00A17AC2"/>
    <w:rsid w:val="00A17B86"/>
    <w:rsid w:val="00A17B8A"/>
    <w:rsid w:val="00A17BCF"/>
    <w:rsid w:val="00A17C4E"/>
    <w:rsid w:val="00A17D99"/>
    <w:rsid w:val="00A17DEA"/>
    <w:rsid w:val="00A17FB0"/>
    <w:rsid w:val="00A17FCE"/>
    <w:rsid w:val="00A20176"/>
    <w:rsid w:val="00A201E1"/>
    <w:rsid w:val="00A202F4"/>
    <w:rsid w:val="00A2037E"/>
    <w:rsid w:val="00A205EB"/>
    <w:rsid w:val="00A207D1"/>
    <w:rsid w:val="00A2082D"/>
    <w:rsid w:val="00A20885"/>
    <w:rsid w:val="00A2098B"/>
    <w:rsid w:val="00A20D0A"/>
    <w:rsid w:val="00A20DD9"/>
    <w:rsid w:val="00A20DF0"/>
    <w:rsid w:val="00A20DF1"/>
    <w:rsid w:val="00A20F9A"/>
    <w:rsid w:val="00A20FCF"/>
    <w:rsid w:val="00A21149"/>
    <w:rsid w:val="00A212DF"/>
    <w:rsid w:val="00A216F3"/>
    <w:rsid w:val="00A21AE7"/>
    <w:rsid w:val="00A21B44"/>
    <w:rsid w:val="00A21C14"/>
    <w:rsid w:val="00A21C62"/>
    <w:rsid w:val="00A21CB6"/>
    <w:rsid w:val="00A21D3F"/>
    <w:rsid w:val="00A21DCC"/>
    <w:rsid w:val="00A21DCD"/>
    <w:rsid w:val="00A21FD2"/>
    <w:rsid w:val="00A22019"/>
    <w:rsid w:val="00A2207B"/>
    <w:rsid w:val="00A22154"/>
    <w:rsid w:val="00A2237D"/>
    <w:rsid w:val="00A2258E"/>
    <w:rsid w:val="00A22642"/>
    <w:rsid w:val="00A2277C"/>
    <w:rsid w:val="00A22D02"/>
    <w:rsid w:val="00A22D86"/>
    <w:rsid w:val="00A22E3F"/>
    <w:rsid w:val="00A22F1F"/>
    <w:rsid w:val="00A23569"/>
    <w:rsid w:val="00A2378C"/>
    <w:rsid w:val="00A238C1"/>
    <w:rsid w:val="00A239EB"/>
    <w:rsid w:val="00A23AD1"/>
    <w:rsid w:val="00A23B45"/>
    <w:rsid w:val="00A23BD9"/>
    <w:rsid w:val="00A23CDB"/>
    <w:rsid w:val="00A23CF8"/>
    <w:rsid w:val="00A23D96"/>
    <w:rsid w:val="00A23F56"/>
    <w:rsid w:val="00A2408B"/>
    <w:rsid w:val="00A240DA"/>
    <w:rsid w:val="00A2412F"/>
    <w:rsid w:val="00A24243"/>
    <w:rsid w:val="00A2453D"/>
    <w:rsid w:val="00A245AE"/>
    <w:rsid w:val="00A24630"/>
    <w:rsid w:val="00A24652"/>
    <w:rsid w:val="00A24685"/>
    <w:rsid w:val="00A246D4"/>
    <w:rsid w:val="00A24A60"/>
    <w:rsid w:val="00A24B2B"/>
    <w:rsid w:val="00A24D16"/>
    <w:rsid w:val="00A24D7B"/>
    <w:rsid w:val="00A24E01"/>
    <w:rsid w:val="00A24E2D"/>
    <w:rsid w:val="00A24E5F"/>
    <w:rsid w:val="00A24F20"/>
    <w:rsid w:val="00A24F49"/>
    <w:rsid w:val="00A25074"/>
    <w:rsid w:val="00A251A6"/>
    <w:rsid w:val="00A251FF"/>
    <w:rsid w:val="00A25408"/>
    <w:rsid w:val="00A254DE"/>
    <w:rsid w:val="00A256FA"/>
    <w:rsid w:val="00A25751"/>
    <w:rsid w:val="00A259C3"/>
    <w:rsid w:val="00A25B22"/>
    <w:rsid w:val="00A25CA3"/>
    <w:rsid w:val="00A25CF9"/>
    <w:rsid w:val="00A25D1B"/>
    <w:rsid w:val="00A25F4B"/>
    <w:rsid w:val="00A25FBF"/>
    <w:rsid w:val="00A25FE4"/>
    <w:rsid w:val="00A26059"/>
    <w:rsid w:val="00A260D8"/>
    <w:rsid w:val="00A261A9"/>
    <w:rsid w:val="00A26218"/>
    <w:rsid w:val="00A26236"/>
    <w:rsid w:val="00A2638A"/>
    <w:rsid w:val="00A264CF"/>
    <w:rsid w:val="00A26572"/>
    <w:rsid w:val="00A2659F"/>
    <w:rsid w:val="00A26669"/>
    <w:rsid w:val="00A267AF"/>
    <w:rsid w:val="00A267F0"/>
    <w:rsid w:val="00A268C7"/>
    <w:rsid w:val="00A268F0"/>
    <w:rsid w:val="00A269AF"/>
    <w:rsid w:val="00A269BB"/>
    <w:rsid w:val="00A26A0C"/>
    <w:rsid w:val="00A26B9D"/>
    <w:rsid w:val="00A26D4F"/>
    <w:rsid w:val="00A26D92"/>
    <w:rsid w:val="00A26D95"/>
    <w:rsid w:val="00A26E40"/>
    <w:rsid w:val="00A26E4B"/>
    <w:rsid w:val="00A26F06"/>
    <w:rsid w:val="00A26FFC"/>
    <w:rsid w:val="00A270BC"/>
    <w:rsid w:val="00A2724A"/>
    <w:rsid w:val="00A2732A"/>
    <w:rsid w:val="00A274DE"/>
    <w:rsid w:val="00A27583"/>
    <w:rsid w:val="00A27728"/>
    <w:rsid w:val="00A278B1"/>
    <w:rsid w:val="00A279F2"/>
    <w:rsid w:val="00A27B09"/>
    <w:rsid w:val="00A27B4D"/>
    <w:rsid w:val="00A27B6D"/>
    <w:rsid w:val="00A27B8F"/>
    <w:rsid w:val="00A27BC6"/>
    <w:rsid w:val="00A27D4B"/>
    <w:rsid w:val="00A27DB0"/>
    <w:rsid w:val="00A27F00"/>
    <w:rsid w:val="00A27FFA"/>
    <w:rsid w:val="00A301C8"/>
    <w:rsid w:val="00A30255"/>
    <w:rsid w:val="00A30282"/>
    <w:rsid w:val="00A305B3"/>
    <w:rsid w:val="00A30608"/>
    <w:rsid w:val="00A30618"/>
    <w:rsid w:val="00A3076D"/>
    <w:rsid w:val="00A308E0"/>
    <w:rsid w:val="00A3094E"/>
    <w:rsid w:val="00A30A1B"/>
    <w:rsid w:val="00A30C14"/>
    <w:rsid w:val="00A30C61"/>
    <w:rsid w:val="00A30CBD"/>
    <w:rsid w:val="00A31096"/>
    <w:rsid w:val="00A31246"/>
    <w:rsid w:val="00A312B8"/>
    <w:rsid w:val="00A31587"/>
    <w:rsid w:val="00A315E7"/>
    <w:rsid w:val="00A31677"/>
    <w:rsid w:val="00A31690"/>
    <w:rsid w:val="00A316D4"/>
    <w:rsid w:val="00A31819"/>
    <w:rsid w:val="00A31896"/>
    <w:rsid w:val="00A3189A"/>
    <w:rsid w:val="00A318C7"/>
    <w:rsid w:val="00A3196D"/>
    <w:rsid w:val="00A31986"/>
    <w:rsid w:val="00A319BA"/>
    <w:rsid w:val="00A319EE"/>
    <w:rsid w:val="00A31A99"/>
    <w:rsid w:val="00A31AC3"/>
    <w:rsid w:val="00A31AFD"/>
    <w:rsid w:val="00A31BAF"/>
    <w:rsid w:val="00A31BD2"/>
    <w:rsid w:val="00A31CBB"/>
    <w:rsid w:val="00A31CE3"/>
    <w:rsid w:val="00A31E49"/>
    <w:rsid w:val="00A31EED"/>
    <w:rsid w:val="00A31F2C"/>
    <w:rsid w:val="00A32274"/>
    <w:rsid w:val="00A32290"/>
    <w:rsid w:val="00A32321"/>
    <w:rsid w:val="00A324E5"/>
    <w:rsid w:val="00A3252D"/>
    <w:rsid w:val="00A326C0"/>
    <w:rsid w:val="00A327C9"/>
    <w:rsid w:val="00A328C8"/>
    <w:rsid w:val="00A32955"/>
    <w:rsid w:val="00A32956"/>
    <w:rsid w:val="00A32AD4"/>
    <w:rsid w:val="00A32AED"/>
    <w:rsid w:val="00A32C7E"/>
    <w:rsid w:val="00A32DF3"/>
    <w:rsid w:val="00A32F84"/>
    <w:rsid w:val="00A32FD6"/>
    <w:rsid w:val="00A3318D"/>
    <w:rsid w:val="00A332D7"/>
    <w:rsid w:val="00A332ED"/>
    <w:rsid w:val="00A33523"/>
    <w:rsid w:val="00A33525"/>
    <w:rsid w:val="00A33580"/>
    <w:rsid w:val="00A335A8"/>
    <w:rsid w:val="00A33629"/>
    <w:rsid w:val="00A336FB"/>
    <w:rsid w:val="00A3375F"/>
    <w:rsid w:val="00A338C4"/>
    <w:rsid w:val="00A33970"/>
    <w:rsid w:val="00A339A2"/>
    <w:rsid w:val="00A33A4E"/>
    <w:rsid w:val="00A33BC1"/>
    <w:rsid w:val="00A33D7F"/>
    <w:rsid w:val="00A33D8F"/>
    <w:rsid w:val="00A33F4A"/>
    <w:rsid w:val="00A34021"/>
    <w:rsid w:val="00A34189"/>
    <w:rsid w:val="00A341BD"/>
    <w:rsid w:val="00A34273"/>
    <w:rsid w:val="00A342F8"/>
    <w:rsid w:val="00A3452C"/>
    <w:rsid w:val="00A345AA"/>
    <w:rsid w:val="00A34613"/>
    <w:rsid w:val="00A346F3"/>
    <w:rsid w:val="00A347C3"/>
    <w:rsid w:val="00A3483F"/>
    <w:rsid w:val="00A348BD"/>
    <w:rsid w:val="00A349BC"/>
    <w:rsid w:val="00A34B03"/>
    <w:rsid w:val="00A34B37"/>
    <w:rsid w:val="00A34C13"/>
    <w:rsid w:val="00A34C4E"/>
    <w:rsid w:val="00A34CB1"/>
    <w:rsid w:val="00A34CF5"/>
    <w:rsid w:val="00A34E63"/>
    <w:rsid w:val="00A35026"/>
    <w:rsid w:val="00A35065"/>
    <w:rsid w:val="00A35178"/>
    <w:rsid w:val="00A35231"/>
    <w:rsid w:val="00A35232"/>
    <w:rsid w:val="00A35270"/>
    <w:rsid w:val="00A352B3"/>
    <w:rsid w:val="00A35306"/>
    <w:rsid w:val="00A35466"/>
    <w:rsid w:val="00A3549A"/>
    <w:rsid w:val="00A354C9"/>
    <w:rsid w:val="00A35512"/>
    <w:rsid w:val="00A35548"/>
    <w:rsid w:val="00A35664"/>
    <w:rsid w:val="00A35768"/>
    <w:rsid w:val="00A35845"/>
    <w:rsid w:val="00A35920"/>
    <w:rsid w:val="00A35940"/>
    <w:rsid w:val="00A35A2F"/>
    <w:rsid w:val="00A35BE8"/>
    <w:rsid w:val="00A35D4F"/>
    <w:rsid w:val="00A35DAC"/>
    <w:rsid w:val="00A35DF4"/>
    <w:rsid w:val="00A35FC3"/>
    <w:rsid w:val="00A360FE"/>
    <w:rsid w:val="00A36151"/>
    <w:rsid w:val="00A361C0"/>
    <w:rsid w:val="00A362CC"/>
    <w:rsid w:val="00A36325"/>
    <w:rsid w:val="00A36389"/>
    <w:rsid w:val="00A363F1"/>
    <w:rsid w:val="00A3649F"/>
    <w:rsid w:val="00A3651C"/>
    <w:rsid w:val="00A3674F"/>
    <w:rsid w:val="00A3685B"/>
    <w:rsid w:val="00A3692E"/>
    <w:rsid w:val="00A36931"/>
    <w:rsid w:val="00A36941"/>
    <w:rsid w:val="00A36A58"/>
    <w:rsid w:val="00A36A7F"/>
    <w:rsid w:val="00A36EAA"/>
    <w:rsid w:val="00A36FC3"/>
    <w:rsid w:val="00A3714E"/>
    <w:rsid w:val="00A37234"/>
    <w:rsid w:val="00A3723C"/>
    <w:rsid w:val="00A37257"/>
    <w:rsid w:val="00A37271"/>
    <w:rsid w:val="00A3729A"/>
    <w:rsid w:val="00A37439"/>
    <w:rsid w:val="00A378C6"/>
    <w:rsid w:val="00A379C9"/>
    <w:rsid w:val="00A379EA"/>
    <w:rsid w:val="00A37BA8"/>
    <w:rsid w:val="00A37C98"/>
    <w:rsid w:val="00A37CA2"/>
    <w:rsid w:val="00A37CAF"/>
    <w:rsid w:val="00A37D14"/>
    <w:rsid w:val="00A37DA8"/>
    <w:rsid w:val="00A37E3C"/>
    <w:rsid w:val="00A37FD2"/>
    <w:rsid w:val="00A401C3"/>
    <w:rsid w:val="00A40206"/>
    <w:rsid w:val="00A4027E"/>
    <w:rsid w:val="00A40316"/>
    <w:rsid w:val="00A40348"/>
    <w:rsid w:val="00A40668"/>
    <w:rsid w:val="00A406AD"/>
    <w:rsid w:val="00A40754"/>
    <w:rsid w:val="00A407AF"/>
    <w:rsid w:val="00A407DD"/>
    <w:rsid w:val="00A40845"/>
    <w:rsid w:val="00A408AB"/>
    <w:rsid w:val="00A408C2"/>
    <w:rsid w:val="00A4099C"/>
    <w:rsid w:val="00A40A76"/>
    <w:rsid w:val="00A40AA5"/>
    <w:rsid w:val="00A40BA5"/>
    <w:rsid w:val="00A40CEB"/>
    <w:rsid w:val="00A40E4E"/>
    <w:rsid w:val="00A40E86"/>
    <w:rsid w:val="00A41327"/>
    <w:rsid w:val="00A4139C"/>
    <w:rsid w:val="00A414CA"/>
    <w:rsid w:val="00A41525"/>
    <w:rsid w:val="00A415C1"/>
    <w:rsid w:val="00A4164A"/>
    <w:rsid w:val="00A4192C"/>
    <w:rsid w:val="00A419F0"/>
    <w:rsid w:val="00A41A66"/>
    <w:rsid w:val="00A41ACA"/>
    <w:rsid w:val="00A41AE2"/>
    <w:rsid w:val="00A41B5E"/>
    <w:rsid w:val="00A41C26"/>
    <w:rsid w:val="00A41DFD"/>
    <w:rsid w:val="00A41E57"/>
    <w:rsid w:val="00A41EEF"/>
    <w:rsid w:val="00A42048"/>
    <w:rsid w:val="00A4206A"/>
    <w:rsid w:val="00A42209"/>
    <w:rsid w:val="00A42221"/>
    <w:rsid w:val="00A42252"/>
    <w:rsid w:val="00A423D9"/>
    <w:rsid w:val="00A42405"/>
    <w:rsid w:val="00A42517"/>
    <w:rsid w:val="00A427AD"/>
    <w:rsid w:val="00A429A3"/>
    <w:rsid w:val="00A42B2E"/>
    <w:rsid w:val="00A42B63"/>
    <w:rsid w:val="00A42D83"/>
    <w:rsid w:val="00A42EC5"/>
    <w:rsid w:val="00A430BA"/>
    <w:rsid w:val="00A43220"/>
    <w:rsid w:val="00A432C5"/>
    <w:rsid w:val="00A43300"/>
    <w:rsid w:val="00A43413"/>
    <w:rsid w:val="00A43421"/>
    <w:rsid w:val="00A434A1"/>
    <w:rsid w:val="00A434CC"/>
    <w:rsid w:val="00A43525"/>
    <w:rsid w:val="00A43589"/>
    <w:rsid w:val="00A437A8"/>
    <w:rsid w:val="00A4389E"/>
    <w:rsid w:val="00A439EE"/>
    <w:rsid w:val="00A43A0F"/>
    <w:rsid w:val="00A43CAE"/>
    <w:rsid w:val="00A43CFB"/>
    <w:rsid w:val="00A43DCE"/>
    <w:rsid w:val="00A44105"/>
    <w:rsid w:val="00A44113"/>
    <w:rsid w:val="00A4437C"/>
    <w:rsid w:val="00A444A8"/>
    <w:rsid w:val="00A445DF"/>
    <w:rsid w:val="00A4469A"/>
    <w:rsid w:val="00A4479A"/>
    <w:rsid w:val="00A44824"/>
    <w:rsid w:val="00A448E6"/>
    <w:rsid w:val="00A44954"/>
    <w:rsid w:val="00A44A08"/>
    <w:rsid w:val="00A44A2F"/>
    <w:rsid w:val="00A44F72"/>
    <w:rsid w:val="00A44FF8"/>
    <w:rsid w:val="00A450AA"/>
    <w:rsid w:val="00A45147"/>
    <w:rsid w:val="00A4520C"/>
    <w:rsid w:val="00A4541A"/>
    <w:rsid w:val="00A4561D"/>
    <w:rsid w:val="00A457C3"/>
    <w:rsid w:val="00A45814"/>
    <w:rsid w:val="00A4586C"/>
    <w:rsid w:val="00A458EC"/>
    <w:rsid w:val="00A45A4A"/>
    <w:rsid w:val="00A45AEB"/>
    <w:rsid w:val="00A45B4A"/>
    <w:rsid w:val="00A45B4F"/>
    <w:rsid w:val="00A45E25"/>
    <w:rsid w:val="00A45F43"/>
    <w:rsid w:val="00A460B3"/>
    <w:rsid w:val="00A46280"/>
    <w:rsid w:val="00A46438"/>
    <w:rsid w:val="00A464BA"/>
    <w:rsid w:val="00A46504"/>
    <w:rsid w:val="00A467FC"/>
    <w:rsid w:val="00A46860"/>
    <w:rsid w:val="00A469A5"/>
    <w:rsid w:val="00A46AEA"/>
    <w:rsid w:val="00A46B00"/>
    <w:rsid w:val="00A46B9A"/>
    <w:rsid w:val="00A46BEF"/>
    <w:rsid w:val="00A46CCE"/>
    <w:rsid w:val="00A46D6E"/>
    <w:rsid w:val="00A46ED0"/>
    <w:rsid w:val="00A46FAB"/>
    <w:rsid w:val="00A470D1"/>
    <w:rsid w:val="00A470DF"/>
    <w:rsid w:val="00A47127"/>
    <w:rsid w:val="00A474BE"/>
    <w:rsid w:val="00A474F6"/>
    <w:rsid w:val="00A47657"/>
    <w:rsid w:val="00A47719"/>
    <w:rsid w:val="00A478EC"/>
    <w:rsid w:val="00A479C7"/>
    <w:rsid w:val="00A47A04"/>
    <w:rsid w:val="00A47B98"/>
    <w:rsid w:val="00A47C7E"/>
    <w:rsid w:val="00A47D86"/>
    <w:rsid w:val="00A47EFB"/>
    <w:rsid w:val="00A5007C"/>
    <w:rsid w:val="00A500B9"/>
    <w:rsid w:val="00A50337"/>
    <w:rsid w:val="00A5053A"/>
    <w:rsid w:val="00A505BA"/>
    <w:rsid w:val="00A5077C"/>
    <w:rsid w:val="00A507A4"/>
    <w:rsid w:val="00A507EA"/>
    <w:rsid w:val="00A50832"/>
    <w:rsid w:val="00A50927"/>
    <w:rsid w:val="00A5095E"/>
    <w:rsid w:val="00A50985"/>
    <w:rsid w:val="00A509AB"/>
    <w:rsid w:val="00A509BD"/>
    <w:rsid w:val="00A509F2"/>
    <w:rsid w:val="00A50BEA"/>
    <w:rsid w:val="00A50C6D"/>
    <w:rsid w:val="00A50C9F"/>
    <w:rsid w:val="00A50CC7"/>
    <w:rsid w:val="00A50D7A"/>
    <w:rsid w:val="00A50F07"/>
    <w:rsid w:val="00A50F7F"/>
    <w:rsid w:val="00A51035"/>
    <w:rsid w:val="00A510BD"/>
    <w:rsid w:val="00A51136"/>
    <w:rsid w:val="00A51194"/>
    <w:rsid w:val="00A51410"/>
    <w:rsid w:val="00A5184F"/>
    <w:rsid w:val="00A51966"/>
    <w:rsid w:val="00A519DC"/>
    <w:rsid w:val="00A51AEA"/>
    <w:rsid w:val="00A51BB2"/>
    <w:rsid w:val="00A51C42"/>
    <w:rsid w:val="00A51C65"/>
    <w:rsid w:val="00A51D09"/>
    <w:rsid w:val="00A51E79"/>
    <w:rsid w:val="00A51EC0"/>
    <w:rsid w:val="00A51EDA"/>
    <w:rsid w:val="00A51F3B"/>
    <w:rsid w:val="00A51FD1"/>
    <w:rsid w:val="00A51FD2"/>
    <w:rsid w:val="00A521C8"/>
    <w:rsid w:val="00A52259"/>
    <w:rsid w:val="00A52336"/>
    <w:rsid w:val="00A523E9"/>
    <w:rsid w:val="00A5243B"/>
    <w:rsid w:val="00A52549"/>
    <w:rsid w:val="00A52570"/>
    <w:rsid w:val="00A5257D"/>
    <w:rsid w:val="00A525BD"/>
    <w:rsid w:val="00A5266C"/>
    <w:rsid w:val="00A52779"/>
    <w:rsid w:val="00A52815"/>
    <w:rsid w:val="00A5293A"/>
    <w:rsid w:val="00A529E2"/>
    <w:rsid w:val="00A52A1C"/>
    <w:rsid w:val="00A52C06"/>
    <w:rsid w:val="00A52D37"/>
    <w:rsid w:val="00A53049"/>
    <w:rsid w:val="00A5315E"/>
    <w:rsid w:val="00A531DF"/>
    <w:rsid w:val="00A5324D"/>
    <w:rsid w:val="00A53332"/>
    <w:rsid w:val="00A5337E"/>
    <w:rsid w:val="00A53425"/>
    <w:rsid w:val="00A5349C"/>
    <w:rsid w:val="00A53532"/>
    <w:rsid w:val="00A53794"/>
    <w:rsid w:val="00A537A4"/>
    <w:rsid w:val="00A537FB"/>
    <w:rsid w:val="00A5390D"/>
    <w:rsid w:val="00A539D7"/>
    <w:rsid w:val="00A53AB0"/>
    <w:rsid w:val="00A53ABE"/>
    <w:rsid w:val="00A53C3E"/>
    <w:rsid w:val="00A53E65"/>
    <w:rsid w:val="00A53E91"/>
    <w:rsid w:val="00A53F23"/>
    <w:rsid w:val="00A54253"/>
    <w:rsid w:val="00A54256"/>
    <w:rsid w:val="00A54277"/>
    <w:rsid w:val="00A5434E"/>
    <w:rsid w:val="00A54352"/>
    <w:rsid w:val="00A54459"/>
    <w:rsid w:val="00A54576"/>
    <w:rsid w:val="00A546B5"/>
    <w:rsid w:val="00A54705"/>
    <w:rsid w:val="00A54866"/>
    <w:rsid w:val="00A54A27"/>
    <w:rsid w:val="00A54A6D"/>
    <w:rsid w:val="00A54AA9"/>
    <w:rsid w:val="00A54BE0"/>
    <w:rsid w:val="00A54C68"/>
    <w:rsid w:val="00A54C86"/>
    <w:rsid w:val="00A54EBE"/>
    <w:rsid w:val="00A55012"/>
    <w:rsid w:val="00A55167"/>
    <w:rsid w:val="00A55239"/>
    <w:rsid w:val="00A55286"/>
    <w:rsid w:val="00A55381"/>
    <w:rsid w:val="00A554FA"/>
    <w:rsid w:val="00A55513"/>
    <w:rsid w:val="00A555BE"/>
    <w:rsid w:val="00A55626"/>
    <w:rsid w:val="00A55647"/>
    <w:rsid w:val="00A5574C"/>
    <w:rsid w:val="00A5592E"/>
    <w:rsid w:val="00A5593D"/>
    <w:rsid w:val="00A55946"/>
    <w:rsid w:val="00A55B12"/>
    <w:rsid w:val="00A55CB3"/>
    <w:rsid w:val="00A55E50"/>
    <w:rsid w:val="00A55F03"/>
    <w:rsid w:val="00A55F43"/>
    <w:rsid w:val="00A55FB9"/>
    <w:rsid w:val="00A560B4"/>
    <w:rsid w:val="00A56118"/>
    <w:rsid w:val="00A56214"/>
    <w:rsid w:val="00A5621D"/>
    <w:rsid w:val="00A56258"/>
    <w:rsid w:val="00A56462"/>
    <w:rsid w:val="00A5647B"/>
    <w:rsid w:val="00A5649F"/>
    <w:rsid w:val="00A5653D"/>
    <w:rsid w:val="00A56655"/>
    <w:rsid w:val="00A56673"/>
    <w:rsid w:val="00A567E3"/>
    <w:rsid w:val="00A56812"/>
    <w:rsid w:val="00A56887"/>
    <w:rsid w:val="00A56C91"/>
    <w:rsid w:val="00A56F84"/>
    <w:rsid w:val="00A5706E"/>
    <w:rsid w:val="00A570E5"/>
    <w:rsid w:val="00A5729C"/>
    <w:rsid w:val="00A572E6"/>
    <w:rsid w:val="00A573BE"/>
    <w:rsid w:val="00A573E0"/>
    <w:rsid w:val="00A5748D"/>
    <w:rsid w:val="00A5763C"/>
    <w:rsid w:val="00A57698"/>
    <w:rsid w:val="00A576B2"/>
    <w:rsid w:val="00A578BE"/>
    <w:rsid w:val="00A57A81"/>
    <w:rsid w:val="00A57A82"/>
    <w:rsid w:val="00A57BF4"/>
    <w:rsid w:val="00A57C08"/>
    <w:rsid w:val="00A57C60"/>
    <w:rsid w:val="00A57C8E"/>
    <w:rsid w:val="00A57D9D"/>
    <w:rsid w:val="00A57FA3"/>
    <w:rsid w:val="00A60072"/>
    <w:rsid w:val="00A6009B"/>
    <w:rsid w:val="00A60136"/>
    <w:rsid w:val="00A602B6"/>
    <w:rsid w:val="00A602BE"/>
    <w:rsid w:val="00A60343"/>
    <w:rsid w:val="00A6062B"/>
    <w:rsid w:val="00A6069E"/>
    <w:rsid w:val="00A606BC"/>
    <w:rsid w:val="00A608B7"/>
    <w:rsid w:val="00A608DC"/>
    <w:rsid w:val="00A6091F"/>
    <w:rsid w:val="00A60931"/>
    <w:rsid w:val="00A60BD2"/>
    <w:rsid w:val="00A60D45"/>
    <w:rsid w:val="00A60E72"/>
    <w:rsid w:val="00A60F94"/>
    <w:rsid w:val="00A61230"/>
    <w:rsid w:val="00A6131E"/>
    <w:rsid w:val="00A6141B"/>
    <w:rsid w:val="00A61467"/>
    <w:rsid w:val="00A6152E"/>
    <w:rsid w:val="00A61681"/>
    <w:rsid w:val="00A6169A"/>
    <w:rsid w:val="00A619F3"/>
    <w:rsid w:val="00A61BA6"/>
    <w:rsid w:val="00A61C76"/>
    <w:rsid w:val="00A61D1E"/>
    <w:rsid w:val="00A61F43"/>
    <w:rsid w:val="00A61F71"/>
    <w:rsid w:val="00A61F75"/>
    <w:rsid w:val="00A61F83"/>
    <w:rsid w:val="00A61FD9"/>
    <w:rsid w:val="00A61FE7"/>
    <w:rsid w:val="00A62045"/>
    <w:rsid w:val="00A620A9"/>
    <w:rsid w:val="00A620B2"/>
    <w:rsid w:val="00A62301"/>
    <w:rsid w:val="00A623A9"/>
    <w:rsid w:val="00A62542"/>
    <w:rsid w:val="00A625E3"/>
    <w:rsid w:val="00A62605"/>
    <w:rsid w:val="00A62653"/>
    <w:rsid w:val="00A6299B"/>
    <w:rsid w:val="00A62BDB"/>
    <w:rsid w:val="00A62CA1"/>
    <w:rsid w:val="00A62E47"/>
    <w:rsid w:val="00A630D8"/>
    <w:rsid w:val="00A6317A"/>
    <w:rsid w:val="00A6334F"/>
    <w:rsid w:val="00A636EF"/>
    <w:rsid w:val="00A63701"/>
    <w:rsid w:val="00A63736"/>
    <w:rsid w:val="00A63759"/>
    <w:rsid w:val="00A6382D"/>
    <w:rsid w:val="00A638EC"/>
    <w:rsid w:val="00A63A4F"/>
    <w:rsid w:val="00A63AC9"/>
    <w:rsid w:val="00A63B5F"/>
    <w:rsid w:val="00A63B80"/>
    <w:rsid w:val="00A63C2E"/>
    <w:rsid w:val="00A63C64"/>
    <w:rsid w:val="00A63EBF"/>
    <w:rsid w:val="00A63EC3"/>
    <w:rsid w:val="00A63FD3"/>
    <w:rsid w:val="00A63FE3"/>
    <w:rsid w:val="00A6418A"/>
    <w:rsid w:val="00A641B7"/>
    <w:rsid w:val="00A64233"/>
    <w:rsid w:val="00A64246"/>
    <w:rsid w:val="00A64250"/>
    <w:rsid w:val="00A64334"/>
    <w:rsid w:val="00A6433B"/>
    <w:rsid w:val="00A643D0"/>
    <w:rsid w:val="00A645BA"/>
    <w:rsid w:val="00A645D0"/>
    <w:rsid w:val="00A64659"/>
    <w:rsid w:val="00A646CF"/>
    <w:rsid w:val="00A6471D"/>
    <w:rsid w:val="00A64812"/>
    <w:rsid w:val="00A6497A"/>
    <w:rsid w:val="00A64A0E"/>
    <w:rsid w:val="00A64C4C"/>
    <w:rsid w:val="00A64C5E"/>
    <w:rsid w:val="00A64D08"/>
    <w:rsid w:val="00A64F4B"/>
    <w:rsid w:val="00A6502F"/>
    <w:rsid w:val="00A65125"/>
    <w:rsid w:val="00A65195"/>
    <w:rsid w:val="00A65199"/>
    <w:rsid w:val="00A652B4"/>
    <w:rsid w:val="00A65314"/>
    <w:rsid w:val="00A65374"/>
    <w:rsid w:val="00A65426"/>
    <w:rsid w:val="00A6559D"/>
    <w:rsid w:val="00A655B5"/>
    <w:rsid w:val="00A65667"/>
    <w:rsid w:val="00A65684"/>
    <w:rsid w:val="00A6583F"/>
    <w:rsid w:val="00A659E8"/>
    <w:rsid w:val="00A65C09"/>
    <w:rsid w:val="00A65D23"/>
    <w:rsid w:val="00A65F2A"/>
    <w:rsid w:val="00A66049"/>
    <w:rsid w:val="00A66166"/>
    <w:rsid w:val="00A661A0"/>
    <w:rsid w:val="00A662C8"/>
    <w:rsid w:val="00A66383"/>
    <w:rsid w:val="00A6656A"/>
    <w:rsid w:val="00A665FC"/>
    <w:rsid w:val="00A66636"/>
    <w:rsid w:val="00A66873"/>
    <w:rsid w:val="00A6696F"/>
    <w:rsid w:val="00A66992"/>
    <w:rsid w:val="00A669AB"/>
    <w:rsid w:val="00A66B13"/>
    <w:rsid w:val="00A66BE5"/>
    <w:rsid w:val="00A66D3D"/>
    <w:rsid w:val="00A66D97"/>
    <w:rsid w:val="00A66E5D"/>
    <w:rsid w:val="00A66F11"/>
    <w:rsid w:val="00A66FD6"/>
    <w:rsid w:val="00A67067"/>
    <w:rsid w:val="00A670CA"/>
    <w:rsid w:val="00A670E4"/>
    <w:rsid w:val="00A67573"/>
    <w:rsid w:val="00A67629"/>
    <w:rsid w:val="00A677D4"/>
    <w:rsid w:val="00A677E2"/>
    <w:rsid w:val="00A67804"/>
    <w:rsid w:val="00A6784E"/>
    <w:rsid w:val="00A678AD"/>
    <w:rsid w:val="00A678E8"/>
    <w:rsid w:val="00A678ED"/>
    <w:rsid w:val="00A679DC"/>
    <w:rsid w:val="00A67A93"/>
    <w:rsid w:val="00A67B4F"/>
    <w:rsid w:val="00A67C81"/>
    <w:rsid w:val="00A67C8D"/>
    <w:rsid w:val="00A67D32"/>
    <w:rsid w:val="00A67E11"/>
    <w:rsid w:val="00A70190"/>
    <w:rsid w:val="00A706EF"/>
    <w:rsid w:val="00A70967"/>
    <w:rsid w:val="00A7098C"/>
    <w:rsid w:val="00A709BC"/>
    <w:rsid w:val="00A70A39"/>
    <w:rsid w:val="00A70B8D"/>
    <w:rsid w:val="00A70BD5"/>
    <w:rsid w:val="00A70CC9"/>
    <w:rsid w:val="00A70CFC"/>
    <w:rsid w:val="00A70D11"/>
    <w:rsid w:val="00A70D86"/>
    <w:rsid w:val="00A70ECF"/>
    <w:rsid w:val="00A70F41"/>
    <w:rsid w:val="00A70F8F"/>
    <w:rsid w:val="00A712BD"/>
    <w:rsid w:val="00A7154A"/>
    <w:rsid w:val="00A7187D"/>
    <w:rsid w:val="00A719B8"/>
    <w:rsid w:val="00A71B4A"/>
    <w:rsid w:val="00A71C64"/>
    <w:rsid w:val="00A71D1A"/>
    <w:rsid w:val="00A71D64"/>
    <w:rsid w:val="00A71D9B"/>
    <w:rsid w:val="00A71EC3"/>
    <w:rsid w:val="00A71EC6"/>
    <w:rsid w:val="00A72269"/>
    <w:rsid w:val="00A7252A"/>
    <w:rsid w:val="00A7253D"/>
    <w:rsid w:val="00A7256A"/>
    <w:rsid w:val="00A72588"/>
    <w:rsid w:val="00A72667"/>
    <w:rsid w:val="00A726C6"/>
    <w:rsid w:val="00A727C2"/>
    <w:rsid w:val="00A728A4"/>
    <w:rsid w:val="00A728D3"/>
    <w:rsid w:val="00A7291F"/>
    <w:rsid w:val="00A72AE0"/>
    <w:rsid w:val="00A72D29"/>
    <w:rsid w:val="00A72DD8"/>
    <w:rsid w:val="00A72E47"/>
    <w:rsid w:val="00A72EA8"/>
    <w:rsid w:val="00A72F51"/>
    <w:rsid w:val="00A731A1"/>
    <w:rsid w:val="00A73555"/>
    <w:rsid w:val="00A73684"/>
    <w:rsid w:val="00A736D7"/>
    <w:rsid w:val="00A7399D"/>
    <w:rsid w:val="00A73A96"/>
    <w:rsid w:val="00A73BFA"/>
    <w:rsid w:val="00A73DC4"/>
    <w:rsid w:val="00A73F20"/>
    <w:rsid w:val="00A74472"/>
    <w:rsid w:val="00A745FF"/>
    <w:rsid w:val="00A747D3"/>
    <w:rsid w:val="00A748FC"/>
    <w:rsid w:val="00A74A8E"/>
    <w:rsid w:val="00A74C59"/>
    <w:rsid w:val="00A74DD1"/>
    <w:rsid w:val="00A74EA7"/>
    <w:rsid w:val="00A74F66"/>
    <w:rsid w:val="00A74FBE"/>
    <w:rsid w:val="00A75286"/>
    <w:rsid w:val="00A7536C"/>
    <w:rsid w:val="00A75425"/>
    <w:rsid w:val="00A754A7"/>
    <w:rsid w:val="00A7557D"/>
    <w:rsid w:val="00A75689"/>
    <w:rsid w:val="00A758B5"/>
    <w:rsid w:val="00A75917"/>
    <w:rsid w:val="00A759D9"/>
    <w:rsid w:val="00A75A89"/>
    <w:rsid w:val="00A75B17"/>
    <w:rsid w:val="00A75BA7"/>
    <w:rsid w:val="00A75CAC"/>
    <w:rsid w:val="00A75D30"/>
    <w:rsid w:val="00A75ED9"/>
    <w:rsid w:val="00A75F08"/>
    <w:rsid w:val="00A76044"/>
    <w:rsid w:val="00A760CB"/>
    <w:rsid w:val="00A7615B"/>
    <w:rsid w:val="00A76176"/>
    <w:rsid w:val="00A76330"/>
    <w:rsid w:val="00A763A5"/>
    <w:rsid w:val="00A769A2"/>
    <w:rsid w:val="00A76A60"/>
    <w:rsid w:val="00A76AA0"/>
    <w:rsid w:val="00A76AF2"/>
    <w:rsid w:val="00A76B50"/>
    <w:rsid w:val="00A76BE8"/>
    <w:rsid w:val="00A76BFD"/>
    <w:rsid w:val="00A76D30"/>
    <w:rsid w:val="00A76E1F"/>
    <w:rsid w:val="00A76E82"/>
    <w:rsid w:val="00A76F6E"/>
    <w:rsid w:val="00A770B5"/>
    <w:rsid w:val="00A7710B"/>
    <w:rsid w:val="00A771BC"/>
    <w:rsid w:val="00A771CE"/>
    <w:rsid w:val="00A77234"/>
    <w:rsid w:val="00A774C0"/>
    <w:rsid w:val="00A77672"/>
    <w:rsid w:val="00A776F9"/>
    <w:rsid w:val="00A77A54"/>
    <w:rsid w:val="00A77A6B"/>
    <w:rsid w:val="00A77C8C"/>
    <w:rsid w:val="00A77CB2"/>
    <w:rsid w:val="00A80000"/>
    <w:rsid w:val="00A8009D"/>
    <w:rsid w:val="00A800B8"/>
    <w:rsid w:val="00A80176"/>
    <w:rsid w:val="00A8026C"/>
    <w:rsid w:val="00A8030F"/>
    <w:rsid w:val="00A80312"/>
    <w:rsid w:val="00A8044E"/>
    <w:rsid w:val="00A80523"/>
    <w:rsid w:val="00A80557"/>
    <w:rsid w:val="00A8062E"/>
    <w:rsid w:val="00A80913"/>
    <w:rsid w:val="00A80A57"/>
    <w:rsid w:val="00A80ABC"/>
    <w:rsid w:val="00A80C6F"/>
    <w:rsid w:val="00A80D4D"/>
    <w:rsid w:val="00A81014"/>
    <w:rsid w:val="00A8112C"/>
    <w:rsid w:val="00A811FA"/>
    <w:rsid w:val="00A812B3"/>
    <w:rsid w:val="00A814B5"/>
    <w:rsid w:val="00A814F1"/>
    <w:rsid w:val="00A815ED"/>
    <w:rsid w:val="00A81744"/>
    <w:rsid w:val="00A817D5"/>
    <w:rsid w:val="00A818E0"/>
    <w:rsid w:val="00A81A1C"/>
    <w:rsid w:val="00A81B80"/>
    <w:rsid w:val="00A81D5E"/>
    <w:rsid w:val="00A8204E"/>
    <w:rsid w:val="00A82066"/>
    <w:rsid w:val="00A8221D"/>
    <w:rsid w:val="00A8232E"/>
    <w:rsid w:val="00A823EC"/>
    <w:rsid w:val="00A825DD"/>
    <w:rsid w:val="00A828FD"/>
    <w:rsid w:val="00A82AAD"/>
    <w:rsid w:val="00A82D87"/>
    <w:rsid w:val="00A82DEE"/>
    <w:rsid w:val="00A830FF"/>
    <w:rsid w:val="00A83158"/>
    <w:rsid w:val="00A83289"/>
    <w:rsid w:val="00A833FB"/>
    <w:rsid w:val="00A8342A"/>
    <w:rsid w:val="00A83603"/>
    <w:rsid w:val="00A837F2"/>
    <w:rsid w:val="00A83857"/>
    <w:rsid w:val="00A83AA1"/>
    <w:rsid w:val="00A83B01"/>
    <w:rsid w:val="00A83CA4"/>
    <w:rsid w:val="00A83CC3"/>
    <w:rsid w:val="00A83CE9"/>
    <w:rsid w:val="00A83E51"/>
    <w:rsid w:val="00A83F0B"/>
    <w:rsid w:val="00A84239"/>
    <w:rsid w:val="00A84315"/>
    <w:rsid w:val="00A84392"/>
    <w:rsid w:val="00A84461"/>
    <w:rsid w:val="00A845BE"/>
    <w:rsid w:val="00A84600"/>
    <w:rsid w:val="00A84650"/>
    <w:rsid w:val="00A847A6"/>
    <w:rsid w:val="00A84A87"/>
    <w:rsid w:val="00A84B72"/>
    <w:rsid w:val="00A84BDF"/>
    <w:rsid w:val="00A84D4B"/>
    <w:rsid w:val="00A84DF1"/>
    <w:rsid w:val="00A84EEC"/>
    <w:rsid w:val="00A84F2E"/>
    <w:rsid w:val="00A84F55"/>
    <w:rsid w:val="00A850F7"/>
    <w:rsid w:val="00A852E7"/>
    <w:rsid w:val="00A85452"/>
    <w:rsid w:val="00A854C9"/>
    <w:rsid w:val="00A855FC"/>
    <w:rsid w:val="00A8571B"/>
    <w:rsid w:val="00A857CF"/>
    <w:rsid w:val="00A857EE"/>
    <w:rsid w:val="00A85905"/>
    <w:rsid w:val="00A85A0C"/>
    <w:rsid w:val="00A85A20"/>
    <w:rsid w:val="00A85BB3"/>
    <w:rsid w:val="00A85C41"/>
    <w:rsid w:val="00A85CA2"/>
    <w:rsid w:val="00A85DF8"/>
    <w:rsid w:val="00A85F6B"/>
    <w:rsid w:val="00A85FBD"/>
    <w:rsid w:val="00A860BB"/>
    <w:rsid w:val="00A863D8"/>
    <w:rsid w:val="00A86620"/>
    <w:rsid w:val="00A86647"/>
    <w:rsid w:val="00A8673F"/>
    <w:rsid w:val="00A86826"/>
    <w:rsid w:val="00A8687D"/>
    <w:rsid w:val="00A8689A"/>
    <w:rsid w:val="00A8691B"/>
    <w:rsid w:val="00A86996"/>
    <w:rsid w:val="00A86C3D"/>
    <w:rsid w:val="00A86C76"/>
    <w:rsid w:val="00A86E46"/>
    <w:rsid w:val="00A86EB8"/>
    <w:rsid w:val="00A8716C"/>
    <w:rsid w:val="00A8718E"/>
    <w:rsid w:val="00A871A6"/>
    <w:rsid w:val="00A8727B"/>
    <w:rsid w:val="00A8727F"/>
    <w:rsid w:val="00A87285"/>
    <w:rsid w:val="00A872F5"/>
    <w:rsid w:val="00A873DD"/>
    <w:rsid w:val="00A8740C"/>
    <w:rsid w:val="00A874F7"/>
    <w:rsid w:val="00A87564"/>
    <w:rsid w:val="00A875CB"/>
    <w:rsid w:val="00A87B31"/>
    <w:rsid w:val="00A87C40"/>
    <w:rsid w:val="00A87D7B"/>
    <w:rsid w:val="00A87DD9"/>
    <w:rsid w:val="00A87DE1"/>
    <w:rsid w:val="00A87ED0"/>
    <w:rsid w:val="00A9007A"/>
    <w:rsid w:val="00A900CF"/>
    <w:rsid w:val="00A9017D"/>
    <w:rsid w:val="00A901D5"/>
    <w:rsid w:val="00A90265"/>
    <w:rsid w:val="00A90338"/>
    <w:rsid w:val="00A90356"/>
    <w:rsid w:val="00A90413"/>
    <w:rsid w:val="00A90642"/>
    <w:rsid w:val="00A90675"/>
    <w:rsid w:val="00A90683"/>
    <w:rsid w:val="00A90693"/>
    <w:rsid w:val="00A90720"/>
    <w:rsid w:val="00A907DA"/>
    <w:rsid w:val="00A908B9"/>
    <w:rsid w:val="00A908C8"/>
    <w:rsid w:val="00A90909"/>
    <w:rsid w:val="00A90959"/>
    <w:rsid w:val="00A909E8"/>
    <w:rsid w:val="00A90A08"/>
    <w:rsid w:val="00A90A76"/>
    <w:rsid w:val="00A90AA3"/>
    <w:rsid w:val="00A90AC6"/>
    <w:rsid w:val="00A90AEE"/>
    <w:rsid w:val="00A90B3D"/>
    <w:rsid w:val="00A90BBB"/>
    <w:rsid w:val="00A90D94"/>
    <w:rsid w:val="00A90DCE"/>
    <w:rsid w:val="00A90E1E"/>
    <w:rsid w:val="00A91029"/>
    <w:rsid w:val="00A912D0"/>
    <w:rsid w:val="00A914AE"/>
    <w:rsid w:val="00A9150E"/>
    <w:rsid w:val="00A915AD"/>
    <w:rsid w:val="00A915C8"/>
    <w:rsid w:val="00A91645"/>
    <w:rsid w:val="00A91C28"/>
    <w:rsid w:val="00A91C93"/>
    <w:rsid w:val="00A91CB3"/>
    <w:rsid w:val="00A91D42"/>
    <w:rsid w:val="00A91DE2"/>
    <w:rsid w:val="00A920DF"/>
    <w:rsid w:val="00A92121"/>
    <w:rsid w:val="00A92179"/>
    <w:rsid w:val="00A923C6"/>
    <w:rsid w:val="00A92409"/>
    <w:rsid w:val="00A92548"/>
    <w:rsid w:val="00A925C6"/>
    <w:rsid w:val="00A925FD"/>
    <w:rsid w:val="00A927B0"/>
    <w:rsid w:val="00A929DA"/>
    <w:rsid w:val="00A92ABD"/>
    <w:rsid w:val="00A92B00"/>
    <w:rsid w:val="00A92DB6"/>
    <w:rsid w:val="00A92DED"/>
    <w:rsid w:val="00A92EFF"/>
    <w:rsid w:val="00A92F04"/>
    <w:rsid w:val="00A92F74"/>
    <w:rsid w:val="00A93021"/>
    <w:rsid w:val="00A93096"/>
    <w:rsid w:val="00A930DF"/>
    <w:rsid w:val="00A930E6"/>
    <w:rsid w:val="00A93303"/>
    <w:rsid w:val="00A933E2"/>
    <w:rsid w:val="00A934DF"/>
    <w:rsid w:val="00A935C9"/>
    <w:rsid w:val="00A9371D"/>
    <w:rsid w:val="00A93913"/>
    <w:rsid w:val="00A93AE0"/>
    <w:rsid w:val="00A93AF8"/>
    <w:rsid w:val="00A93B64"/>
    <w:rsid w:val="00A93B88"/>
    <w:rsid w:val="00A93D7A"/>
    <w:rsid w:val="00A93E8E"/>
    <w:rsid w:val="00A9401C"/>
    <w:rsid w:val="00A94028"/>
    <w:rsid w:val="00A94143"/>
    <w:rsid w:val="00A9414F"/>
    <w:rsid w:val="00A94169"/>
    <w:rsid w:val="00A941A8"/>
    <w:rsid w:val="00A942C5"/>
    <w:rsid w:val="00A942E4"/>
    <w:rsid w:val="00A94441"/>
    <w:rsid w:val="00A945D9"/>
    <w:rsid w:val="00A94616"/>
    <w:rsid w:val="00A9466E"/>
    <w:rsid w:val="00A948BA"/>
    <w:rsid w:val="00A948F9"/>
    <w:rsid w:val="00A94B3A"/>
    <w:rsid w:val="00A94CA8"/>
    <w:rsid w:val="00A95088"/>
    <w:rsid w:val="00A9516D"/>
    <w:rsid w:val="00A95531"/>
    <w:rsid w:val="00A956B0"/>
    <w:rsid w:val="00A95719"/>
    <w:rsid w:val="00A957D8"/>
    <w:rsid w:val="00A95867"/>
    <w:rsid w:val="00A95869"/>
    <w:rsid w:val="00A95879"/>
    <w:rsid w:val="00A959AD"/>
    <w:rsid w:val="00A95ABA"/>
    <w:rsid w:val="00A95AD2"/>
    <w:rsid w:val="00A95C31"/>
    <w:rsid w:val="00A95DF9"/>
    <w:rsid w:val="00A95F39"/>
    <w:rsid w:val="00A96007"/>
    <w:rsid w:val="00A96097"/>
    <w:rsid w:val="00A9633B"/>
    <w:rsid w:val="00A96344"/>
    <w:rsid w:val="00A9644F"/>
    <w:rsid w:val="00A96491"/>
    <w:rsid w:val="00A964AA"/>
    <w:rsid w:val="00A966C6"/>
    <w:rsid w:val="00A96779"/>
    <w:rsid w:val="00A967C8"/>
    <w:rsid w:val="00A96802"/>
    <w:rsid w:val="00A968D0"/>
    <w:rsid w:val="00A96A3F"/>
    <w:rsid w:val="00A96A77"/>
    <w:rsid w:val="00A96AF1"/>
    <w:rsid w:val="00A96B30"/>
    <w:rsid w:val="00A96B90"/>
    <w:rsid w:val="00A96BFA"/>
    <w:rsid w:val="00A96D92"/>
    <w:rsid w:val="00A96E46"/>
    <w:rsid w:val="00A96FD6"/>
    <w:rsid w:val="00A97064"/>
    <w:rsid w:val="00A971D9"/>
    <w:rsid w:val="00A97251"/>
    <w:rsid w:val="00A972D9"/>
    <w:rsid w:val="00A974FD"/>
    <w:rsid w:val="00A9770E"/>
    <w:rsid w:val="00A97877"/>
    <w:rsid w:val="00A978F7"/>
    <w:rsid w:val="00A97B13"/>
    <w:rsid w:val="00A97DE9"/>
    <w:rsid w:val="00A97FC7"/>
    <w:rsid w:val="00A97FD0"/>
    <w:rsid w:val="00AA007F"/>
    <w:rsid w:val="00AA009E"/>
    <w:rsid w:val="00AA00C7"/>
    <w:rsid w:val="00AA00CC"/>
    <w:rsid w:val="00AA00FA"/>
    <w:rsid w:val="00AA01A4"/>
    <w:rsid w:val="00AA01CA"/>
    <w:rsid w:val="00AA033A"/>
    <w:rsid w:val="00AA0515"/>
    <w:rsid w:val="00AA079D"/>
    <w:rsid w:val="00AA084B"/>
    <w:rsid w:val="00AA0A11"/>
    <w:rsid w:val="00AA0ADC"/>
    <w:rsid w:val="00AA0C13"/>
    <w:rsid w:val="00AA0CE9"/>
    <w:rsid w:val="00AA0D32"/>
    <w:rsid w:val="00AA0F29"/>
    <w:rsid w:val="00AA1001"/>
    <w:rsid w:val="00AA10BB"/>
    <w:rsid w:val="00AA1263"/>
    <w:rsid w:val="00AA1398"/>
    <w:rsid w:val="00AA145D"/>
    <w:rsid w:val="00AA1499"/>
    <w:rsid w:val="00AA14F1"/>
    <w:rsid w:val="00AA1679"/>
    <w:rsid w:val="00AA1902"/>
    <w:rsid w:val="00AA194D"/>
    <w:rsid w:val="00AA1C1A"/>
    <w:rsid w:val="00AA1C5A"/>
    <w:rsid w:val="00AA1CC5"/>
    <w:rsid w:val="00AA1ED6"/>
    <w:rsid w:val="00AA1EE8"/>
    <w:rsid w:val="00AA213B"/>
    <w:rsid w:val="00AA2148"/>
    <w:rsid w:val="00AA226E"/>
    <w:rsid w:val="00AA23DE"/>
    <w:rsid w:val="00AA2441"/>
    <w:rsid w:val="00AA244C"/>
    <w:rsid w:val="00AA24BE"/>
    <w:rsid w:val="00AA257C"/>
    <w:rsid w:val="00AA25BC"/>
    <w:rsid w:val="00AA25D6"/>
    <w:rsid w:val="00AA26DD"/>
    <w:rsid w:val="00AA271D"/>
    <w:rsid w:val="00AA29B4"/>
    <w:rsid w:val="00AA2A00"/>
    <w:rsid w:val="00AA2BCB"/>
    <w:rsid w:val="00AA2C79"/>
    <w:rsid w:val="00AA2EB3"/>
    <w:rsid w:val="00AA2F18"/>
    <w:rsid w:val="00AA303E"/>
    <w:rsid w:val="00AA315E"/>
    <w:rsid w:val="00AA31DB"/>
    <w:rsid w:val="00AA322D"/>
    <w:rsid w:val="00AA335D"/>
    <w:rsid w:val="00AA33AE"/>
    <w:rsid w:val="00AA364D"/>
    <w:rsid w:val="00AA36F3"/>
    <w:rsid w:val="00AA38E0"/>
    <w:rsid w:val="00AA3A06"/>
    <w:rsid w:val="00AA3AD8"/>
    <w:rsid w:val="00AA3C75"/>
    <w:rsid w:val="00AA3DD7"/>
    <w:rsid w:val="00AA3F6D"/>
    <w:rsid w:val="00AA4023"/>
    <w:rsid w:val="00AA403A"/>
    <w:rsid w:val="00AA40A6"/>
    <w:rsid w:val="00AA425E"/>
    <w:rsid w:val="00AA4512"/>
    <w:rsid w:val="00AA454E"/>
    <w:rsid w:val="00AA4603"/>
    <w:rsid w:val="00AA461F"/>
    <w:rsid w:val="00AA467B"/>
    <w:rsid w:val="00AA46AE"/>
    <w:rsid w:val="00AA477B"/>
    <w:rsid w:val="00AA487B"/>
    <w:rsid w:val="00AA48F9"/>
    <w:rsid w:val="00AA48FA"/>
    <w:rsid w:val="00AA498A"/>
    <w:rsid w:val="00AA4A20"/>
    <w:rsid w:val="00AA4C87"/>
    <w:rsid w:val="00AA4C9B"/>
    <w:rsid w:val="00AA4CEE"/>
    <w:rsid w:val="00AA4DE5"/>
    <w:rsid w:val="00AA4DEA"/>
    <w:rsid w:val="00AA4E46"/>
    <w:rsid w:val="00AA5005"/>
    <w:rsid w:val="00AA53ED"/>
    <w:rsid w:val="00AA5483"/>
    <w:rsid w:val="00AA54FA"/>
    <w:rsid w:val="00AA55B6"/>
    <w:rsid w:val="00AA55B7"/>
    <w:rsid w:val="00AA5662"/>
    <w:rsid w:val="00AA56FB"/>
    <w:rsid w:val="00AA5825"/>
    <w:rsid w:val="00AA5937"/>
    <w:rsid w:val="00AA5AB9"/>
    <w:rsid w:val="00AA5ABC"/>
    <w:rsid w:val="00AA5AD9"/>
    <w:rsid w:val="00AA5B45"/>
    <w:rsid w:val="00AA5BDD"/>
    <w:rsid w:val="00AA5C1B"/>
    <w:rsid w:val="00AA5CD9"/>
    <w:rsid w:val="00AA5F29"/>
    <w:rsid w:val="00AA5FFF"/>
    <w:rsid w:val="00AA6239"/>
    <w:rsid w:val="00AA636C"/>
    <w:rsid w:val="00AA6475"/>
    <w:rsid w:val="00AA64A2"/>
    <w:rsid w:val="00AA64A7"/>
    <w:rsid w:val="00AA656D"/>
    <w:rsid w:val="00AA6785"/>
    <w:rsid w:val="00AA67CE"/>
    <w:rsid w:val="00AA696C"/>
    <w:rsid w:val="00AA6974"/>
    <w:rsid w:val="00AA6C60"/>
    <w:rsid w:val="00AA6D51"/>
    <w:rsid w:val="00AA6F7A"/>
    <w:rsid w:val="00AA6FA9"/>
    <w:rsid w:val="00AA6FAE"/>
    <w:rsid w:val="00AA6FD8"/>
    <w:rsid w:val="00AA7110"/>
    <w:rsid w:val="00AA72B3"/>
    <w:rsid w:val="00AA7502"/>
    <w:rsid w:val="00AA755B"/>
    <w:rsid w:val="00AA760F"/>
    <w:rsid w:val="00AA7644"/>
    <w:rsid w:val="00AA7670"/>
    <w:rsid w:val="00AA797B"/>
    <w:rsid w:val="00AA79D8"/>
    <w:rsid w:val="00AA79FF"/>
    <w:rsid w:val="00AA7A99"/>
    <w:rsid w:val="00AA7AAE"/>
    <w:rsid w:val="00AA7BB2"/>
    <w:rsid w:val="00AA7E2F"/>
    <w:rsid w:val="00AA7F1E"/>
    <w:rsid w:val="00AA7F99"/>
    <w:rsid w:val="00AB00CC"/>
    <w:rsid w:val="00AB00CE"/>
    <w:rsid w:val="00AB0146"/>
    <w:rsid w:val="00AB0527"/>
    <w:rsid w:val="00AB0555"/>
    <w:rsid w:val="00AB0731"/>
    <w:rsid w:val="00AB0A4D"/>
    <w:rsid w:val="00AB0BB1"/>
    <w:rsid w:val="00AB0FBF"/>
    <w:rsid w:val="00AB0FD2"/>
    <w:rsid w:val="00AB1319"/>
    <w:rsid w:val="00AB14F6"/>
    <w:rsid w:val="00AB151F"/>
    <w:rsid w:val="00AB1525"/>
    <w:rsid w:val="00AB156D"/>
    <w:rsid w:val="00AB15FA"/>
    <w:rsid w:val="00AB1935"/>
    <w:rsid w:val="00AB19C7"/>
    <w:rsid w:val="00AB1AB2"/>
    <w:rsid w:val="00AB1BF8"/>
    <w:rsid w:val="00AB1C4A"/>
    <w:rsid w:val="00AB1C86"/>
    <w:rsid w:val="00AB1CFA"/>
    <w:rsid w:val="00AB1D59"/>
    <w:rsid w:val="00AB1E08"/>
    <w:rsid w:val="00AB205D"/>
    <w:rsid w:val="00AB2199"/>
    <w:rsid w:val="00AB21AD"/>
    <w:rsid w:val="00AB21C7"/>
    <w:rsid w:val="00AB2223"/>
    <w:rsid w:val="00AB2232"/>
    <w:rsid w:val="00AB2253"/>
    <w:rsid w:val="00AB226C"/>
    <w:rsid w:val="00AB23CA"/>
    <w:rsid w:val="00AB23CF"/>
    <w:rsid w:val="00AB2406"/>
    <w:rsid w:val="00AB257E"/>
    <w:rsid w:val="00AB2597"/>
    <w:rsid w:val="00AB2689"/>
    <w:rsid w:val="00AB290B"/>
    <w:rsid w:val="00AB2B1E"/>
    <w:rsid w:val="00AB2D24"/>
    <w:rsid w:val="00AB2F75"/>
    <w:rsid w:val="00AB3119"/>
    <w:rsid w:val="00AB321F"/>
    <w:rsid w:val="00AB35F7"/>
    <w:rsid w:val="00AB3A17"/>
    <w:rsid w:val="00AB3A8B"/>
    <w:rsid w:val="00AB3A9D"/>
    <w:rsid w:val="00AB3B8D"/>
    <w:rsid w:val="00AB3BF3"/>
    <w:rsid w:val="00AB3F24"/>
    <w:rsid w:val="00AB4099"/>
    <w:rsid w:val="00AB411D"/>
    <w:rsid w:val="00AB4145"/>
    <w:rsid w:val="00AB44E6"/>
    <w:rsid w:val="00AB4517"/>
    <w:rsid w:val="00AB4547"/>
    <w:rsid w:val="00AB472B"/>
    <w:rsid w:val="00AB476B"/>
    <w:rsid w:val="00AB478E"/>
    <w:rsid w:val="00AB47BE"/>
    <w:rsid w:val="00AB4890"/>
    <w:rsid w:val="00AB490B"/>
    <w:rsid w:val="00AB4991"/>
    <w:rsid w:val="00AB499F"/>
    <w:rsid w:val="00AB4B2A"/>
    <w:rsid w:val="00AB4D11"/>
    <w:rsid w:val="00AB4E14"/>
    <w:rsid w:val="00AB4E84"/>
    <w:rsid w:val="00AB4EB5"/>
    <w:rsid w:val="00AB4EF6"/>
    <w:rsid w:val="00AB5069"/>
    <w:rsid w:val="00AB51C2"/>
    <w:rsid w:val="00AB51C4"/>
    <w:rsid w:val="00AB52E3"/>
    <w:rsid w:val="00AB542B"/>
    <w:rsid w:val="00AB582F"/>
    <w:rsid w:val="00AB59B5"/>
    <w:rsid w:val="00AB59E0"/>
    <w:rsid w:val="00AB5C11"/>
    <w:rsid w:val="00AB5C56"/>
    <w:rsid w:val="00AB5CF6"/>
    <w:rsid w:val="00AB5F09"/>
    <w:rsid w:val="00AB638F"/>
    <w:rsid w:val="00AB6548"/>
    <w:rsid w:val="00AB6601"/>
    <w:rsid w:val="00AB66B9"/>
    <w:rsid w:val="00AB6832"/>
    <w:rsid w:val="00AB686F"/>
    <w:rsid w:val="00AB687E"/>
    <w:rsid w:val="00AB6968"/>
    <w:rsid w:val="00AB69A6"/>
    <w:rsid w:val="00AB69B5"/>
    <w:rsid w:val="00AB6A41"/>
    <w:rsid w:val="00AB6A59"/>
    <w:rsid w:val="00AB6ADE"/>
    <w:rsid w:val="00AB6B90"/>
    <w:rsid w:val="00AB6C05"/>
    <w:rsid w:val="00AB6C66"/>
    <w:rsid w:val="00AB6CAD"/>
    <w:rsid w:val="00AB6D37"/>
    <w:rsid w:val="00AB6D44"/>
    <w:rsid w:val="00AB6E41"/>
    <w:rsid w:val="00AB6EE0"/>
    <w:rsid w:val="00AB7055"/>
    <w:rsid w:val="00AB7104"/>
    <w:rsid w:val="00AB710B"/>
    <w:rsid w:val="00AB7573"/>
    <w:rsid w:val="00AB76D5"/>
    <w:rsid w:val="00AB7777"/>
    <w:rsid w:val="00AB778D"/>
    <w:rsid w:val="00AB77D6"/>
    <w:rsid w:val="00AB7843"/>
    <w:rsid w:val="00AB7851"/>
    <w:rsid w:val="00AB788C"/>
    <w:rsid w:val="00AB79F2"/>
    <w:rsid w:val="00AB7A0D"/>
    <w:rsid w:val="00AB7A94"/>
    <w:rsid w:val="00AB7B2C"/>
    <w:rsid w:val="00AB7B96"/>
    <w:rsid w:val="00AB7D1C"/>
    <w:rsid w:val="00AB7DDF"/>
    <w:rsid w:val="00AB7ECE"/>
    <w:rsid w:val="00AB7EF8"/>
    <w:rsid w:val="00AB7EFD"/>
    <w:rsid w:val="00AC0209"/>
    <w:rsid w:val="00AC0280"/>
    <w:rsid w:val="00AC0340"/>
    <w:rsid w:val="00AC0404"/>
    <w:rsid w:val="00AC043E"/>
    <w:rsid w:val="00AC04B2"/>
    <w:rsid w:val="00AC0709"/>
    <w:rsid w:val="00AC0947"/>
    <w:rsid w:val="00AC0A6E"/>
    <w:rsid w:val="00AC0AD3"/>
    <w:rsid w:val="00AC0C25"/>
    <w:rsid w:val="00AC0C28"/>
    <w:rsid w:val="00AC0C7C"/>
    <w:rsid w:val="00AC0D13"/>
    <w:rsid w:val="00AC0D72"/>
    <w:rsid w:val="00AC0DF4"/>
    <w:rsid w:val="00AC0E02"/>
    <w:rsid w:val="00AC0E54"/>
    <w:rsid w:val="00AC0EB9"/>
    <w:rsid w:val="00AC0F3E"/>
    <w:rsid w:val="00AC1353"/>
    <w:rsid w:val="00AC1499"/>
    <w:rsid w:val="00AC19BE"/>
    <w:rsid w:val="00AC1C49"/>
    <w:rsid w:val="00AC1D5E"/>
    <w:rsid w:val="00AC1FF8"/>
    <w:rsid w:val="00AC2156"/>
    <w:rsid w:val="00AC224D"/>
    <w:rsid w:val="00AC22E6"/>
    <w:rsid w:val="00AC25A0"/>
    <w:rsid w:val="00AC264A"/>
    <w:rsid w:val="00AC264B"/>
    <w:rsid w:val="00AC2733"/>
    <w:rsid w:val="00AC278A"/>
    <w:rsid w:val="00AC27A0"/>
    <w:rsid w:val="00AC2878"/>
    <w:rsid w:val="00AC290A"/>
    <w:rsid w:val="00AC2A67"/>
    <w:rsid w:val="00AC2C15"/>
    <w:rsid w:val="00AC2CF9"/>
    <w:rsid w:val="00AC2E89"/>
    <w:rsid w:val="00AC2FEE"/>
    <w:rsid w:val="00AC3136"/>
    <w:rsid w:val="00AC3158"/>
    <w:rsid w:val="00AC3371"/>
    <w:rsid w:val="00AC3492"/>
    <w:rsid w:val="00AC3507"/>
    <w:rsid w:val="00AC3674"/>
    <w:rsid w:val="00AC374A"/>
    <w:rsid w:val="00AC374C"/>
    <w:rsid w:val="00AC3798"/>
    <w:rsid w:val="00AC3894"/>
    <w:rsid w:val="00AC3ABD"/>
    <w:rsid w:val="00AC3AE7"/>
    <w:rsid w:val="00AC3B1E"/>
    <w:rsid w:val="00AC3D0D"/>
    <w:rsid w:val="00AC3ECC"/>
    <w:rsid w:val="00AC4025"/>
    <w:rsid w:val="00AC4052"/>
    <w:rsid w:val="00AC41C8"/>
    <w:rsid w:val="00AC43F1"/>
    <w:rsid w:val="00AC4455"/>
    <w:rsid w:val="00AC44BC"/>
    <w:rsid w:val="00AC45D9"/>
    <w:rsid w:val="00AC4705"/>
    <w:rsid w:val="00AC4830"/>
    <w:rsid w:val="00AC49C4"/>
    <w:rsid w:val="00AC4A26"/>
    <w:rsid w:val="00AC4A60"/>
    <w:rsid w:val="00AC4A81"/>
    <w:rsid w:val="00AC4B97"/>
    <w:rsid w:val="00AC4C55"/>
    <w:rsid w:val="00AC4CBC"/>
    <w:rsid w:val="00AC4D04"/>
    <w:rsid w:val="00AC4D5F"/>
    <w:rsid w:val="00AC4DCF"/>
    <w:rsid w:val="00AC4E52"/>
    <w:rsid w:val="00AC4FE7"/>
    <w:rsid w:val="00AC4FF5"/>
    <w:rsid w:val="00AC5385"/>
    <w:rsid w:val="00AC5397"/>
    <w:rsid w:val="00AC54A0"/>
    <w:rsid w:val="00AC5607"/>
    <w:rsid w:val="00AC565D"/>
    <w:rsid w:val="00AC56AF"/>
    <w:rsid w:val="00AC57CE"/>
    <w:rsid w:val="00AC57F9"/>
    <w:rsid w:val="00AC59B1"/>
    <w:rsid w:val="00AC5A34"/>
    <w:rsid w:val="00AC5A9A"/>
    <w:rsid w:val="00AC5BD8"/>
    <w:rsid w:val="00AC5C93"/>
    <w:rsid w:val="00AC5CFA"/>
    <w:rsid w:val="00AC5E4F"/>
    <w:rsid w:val="00AC5ED2"/>
    <w:rsid w:val="00AC607C"/>
    <w:rsid w:val="00AC6082"/>
    <w:rsid w:val="00AC6187"/>
    <w:rsid w:val="00AC64BB"/>
    <w:rsid w:val="00AC64E9"/>
    <w:rsid w:val="00AC6501"/>
    <w:rsid w:val="00AC652D"/>
    <w:rsid w:val="00AC67BF"/>
    <w:rsid w:val="00AC6854"/>
    <w:rsid w:val="00AC6A73"/>
    <w:rsid w:val="00AC6B48"/>
    <w:rsid w:val="00AC6B5A"/>
    <w:rsid w:val="00AC6C76"/>
    <w:rsid w:val="00AC6D6B"/>
    <w:rsid w:val="00AC6EAF"/>
    <w:rsid w:val="00AC6F9E"/>
    <w:rsid w:val="00AC710D"/>
    <w:rsid w:val="00AC7169"/>
    <w:rsid w:val="00AC717A"/>
    <w:rsid w:val="00AC736C"/>
    <w:rsid w:val="00AC7696"/>
    <w:rsid w:val="00AC79C5"/>
    <w:rsid w:val="00AC7A50"/>
    <w:rsid w:val="00AC7B59"/>
    <w:rsid w:val="00AC7BB7"/>
    <w:rsid w:val="00AC7BC5"/>
    <w:rsid w:val="00AC7D08"/>
    <w:rsid w:val="00AC7D3B"/>
    <w:rsid w:val="00AC7DE4"/>
    <w:rsid w:val="00AC7E77"/>
    <w:rsid w:val="00AC7F46"/>
    <w:rsid w:val="00AC7FAB"/>
    <w:rsid w:val="00AD0084"/>
    <w:rsid w:val="00AD0188"/>
    <w:rsid w:val="00AD020A"/>
    <w:rsid w:val="00AD026F"/>
    <w:rsid w:val="00AD02CE"/>
    <w:rsid w:val="00AD0425"/>
    <w:rsid w:val="00AD0541"/>
    <w:rsid w:val="00AD054F"/>
    <w:rsid w:val="00AD0560"/>
    <w:rsid w:val="00AD0596"/>
    <w:rsid w:val="00AD078F"/>
    <w:rsid w:val="00AD0A08"/>
    <w:rsid w:val="00AD0AA8"/>
    <w:rsid w:val="00AD0C3B"/>
    <w:rsid w:val="00AD0C6A"/>
    <w:rsid w:val="00AD0CDE"/>
    <w:rsid w:val="00AD0D7D"/>
    <w:rsid w:val="00AD0DBD"/>
    <w:rsid w:val="00AD0DF1"/>
    <w:rsid w:val="00AD0EED"/>
    <w:rsid w:val="00AD0F8A"/>
    <w:rsid w:val="00AD0FDC"/>
    <w:rsid w:val="00AD11B3"/>
    <w:rsid w:val="00AD1224"/>
    <w:rsid w:val="00AD12C6"/>
    <w:rsid w:val="00AD1300"/>
    <w:rsid w:val="00AD13B3"/>
    <w:rsid w:val="00AD1412"/>
    <w:rsid w:val="00AD1464"/>
    <w:rsid w:val="00AD1517"/>
    <w:rsid w:val="00AD156F"/>
    <w:rsid w:val="00AD1595"/>
    <w:rsid w:val="00AD16F1"/>
    <w:rsid w:val="00AD17F8"/>
    <w:rsid w:val="00AD19A1"/>
    <w:rsid w:val="00AD1AB8"/>
    <w:rsid w:val="00AD1CED"/>
    <w:rsid w:val="00AD1DCD"/>
    <w:rsid w:val="00AD1E6C"/>
    <w:rsid w:val="00AD1F32"/>
    <w:rsid w:val="00AD202F"/>
    <w:rsid w:val="00AD2323"/>
    <w:rsid w:val="00AD241F"/>
    <w:rsid w:val="00AD25D5"/>
    <w:rsid w:val="00AD25E3"/>
    <w:rsid w:val="00AD2605"/>
    <w:rsid w:val="00AD260E"/>
    <w:rsid w:val="00AD27CF"/>
    <w:rsid w:val="00AD2B48"/>
    <w:rsid w:val="00AD2C76"/>
    <w:rsid w:val="00AD2CAE"/>
    <w:rsid w:val="00AD2CE1"/>
    <w:rsid w:val="00AD2F80"/>
    <w:rsid w:val="00AD301B"/>
    <w:rsid w:val="00AD30A6"/>
    <w:rsid w:val="00AD30F0"/>
    <w:rsid w:val="00AD31B5"/>
    <w:rsid w:val="00AD31C1"/>
    <w:rsid w:val="00AD3248"/>
    <w:rsid w:val="00AD3264"/>
    <w:rsid w:val="00AD3539"/>
    <w:rsid w:val="00AD3742"/>
    <w:rsid w:val="00AD3762"/>
    <w:rsid w:val="00AD37A6"/>
    <w:rsid w:val="00AD38D5"/>
    <w:rsid w:val="00AD3988"/>
    <w:rsid w:val="00AD39E9"/>
    <w:rsid w:val="00AD3B95"/>
    <w:rsid w:val="00AD3C03"/>
    <w:rsid w:val="00AD3C25"/>
    <w:rsid w:val="00AD3D38"/>
    <w:rsid w:val="00AD3D50"/>
    <w:rsid w:val="00AD3E6B"/>
    <w:rsid w:val="00AD3F2A"/>
    <w:rsid w:val="00AD3F68"/>
    <w:rsid w:val="00AD401A"/>
    <w:rsid w:val="00AD4082"/>
    <w:rsid w:val="00AD4141"/>
    <w:rsid w:val="00AD4180"/>
    <w:rsid w:val="00AD41BD"/>
    <w:rsid w:val="00AD41CA"/>
    <w:rsid w:val="00AD4329"/>
    <w:rsid w:val="00AD4345"/>
    <w:rsid w:val="00AD4485"/>
    <w:rsid w:val="00AD45E0"/>
    <w:rsid w:val="00AD4629"/>
    <w:rsid w:val="00AD468A"/>
    <w:rsid w:val="00AD475F"/>
    <w:rsid w:val="00AD4832"/>
    <w:rsid w:val="00AD48ED"/>
    <w:rsid w:val="00AD4916"/>
    <w:rsid w:val="00AD4951"/>
    <w:rsid w:val="00AD4982"/>
    <w:rsid w:val="00AD49E9"/>
    <w:rsid w:val="00AD4A82"/>
    <w:rsid w:val="00AD4B78"/>
    <w:rsid w:val="00AD4C15"/>
    <w:rsid w:val="00AD4E68"/>
    <w:rsid w:val="00AD5046"/>
    <w:rsid w:val="00AD5065"/>
    <w:rsid w:val="00AD5180"/>
    <w:rsid w:val="00AD52AF"/>
    <w:rsid w:val="00AD52F9"/>
    <w:rsid w:val="00AD5317"/>
    <w:rsid w:val="00AD5320"/>
    <w:rsid w:val="00AD55C2"/>
    <w:rsid w:val="00AD576F"/>
    <w:rsid w:val="00AD5816"/>
    <w:rsid w:val="00AD59B2"/>
    <w:rsid w:val="00AD5BE0"/>
    <w:rsid w:val="00AD5C4B"/>
    <w:rsid w:val="00AD5C88"/>
    <w:rsid w:val="00AD5DA1"/>
    <w:rsid w:val="00AD5F2B"/>
    <w:rsid w:val="00AD6083"/>
    <w:rsid w:val="00AD614B"/>
    <w:rsid w:val="00AD6500"/>
    <w:rsid w:val="00AD65D7"/>
    <w:rsid w:val="00AD65F8"/>
    <w:rsid w:val="00AD6BA6"/>
    <w:rsid w:val="00AD6C73"/>
    <w:rsid w:val="00AD6CAF"/>
    <w:rsid w:val="00AD6E7A"/>
    <w:rsid w:val="00AD6FD6"/>
    <w:rsid w:val="00AD712E"/>
    <w:rsid w:val="00AD7313"/>
    <w:rsid w:val="00AD73B0"/>
    <w:rsid w:val="00AD7492"/>
    <w:rsid w:val="00AD758F"/>
    <w:rsid w:val="00AD7642"/>
    <w:rsid w:val="00AD76DC"/>
    <w:rsid w:val="00AD782F"/>
    <w:rsid w:val="00AD7A1A"/>
    <w:rsid w:val="00AD7B04"/>
    <w:rsid w:val="00AD7CD5"/>
    <w:rsid w:val="00AD7D8E"/>
    <w:rsid w:val="00AD7E44"/>
    <w:rsid w:val="00AD7F66"/>
    <w:rsid w:val="00AE000E"/>
    <w:rsid w:val="00AE00FF"/>
    <w:rsid w:val="00AE01FC"/>
    <w:rsid w:val="00AE0216"/>
    <w:rsid w:val="00AE0375"/>
    <w:rsid w:val="00AE037A"/>
    <w:rsid w:val="00AE03CA"/>
    <w:rsid w:val="00AE0428"/>
    <w:rsid w:val="00AE0451"/>
    <w:rsid w:val="00AE0550"/>
    <w:rsid w:val="00AE05F5"/>
    <w:rsid w:val="00AE0625"/>
    <w:rsid w:val="00AE092F"/>
    <w:rsid w:val="00AE0A3C"/>
    <w:rsid w:val="00AE0B6F"/>
    <w:rsid w:val="00AE0CD5"/>
    <w:rsid w:val="00AE0DCD"/>
    <w:rsid w:val="00AE0DE6"/>
    <w:rsid w:val="00AE0E73"/>
    <w:rsid w:val="00AE0E78"/>
    <w:rsid w:val="00AE0E81"/>
    <w:rsid w:val="00AE0F50"/>
    <w:rsid w:val="00AE0F8F"/>
    <w:rsid w:val="00AE0FE9"/>
    <w:rsid w:val="00AE10AB"/>
    <w:rsid w:val="00AE11E9"/>
    <w:rsid w:val="00AE1525"/>
    <w:rsid w:val="00AE1556"/>
    <w:rsid w:val="00AE157F"/>
    <w:rsid w:val="00AE16C5"/>
    <w:rsid w:val="00AE1770"/>
    <w:rsid w:val="00AE18B0"/>
    <w:rsid w:val="00AE1A89"/>
    <w:rsid w:val="00AE1D04"/>
    <w:rsid w:val="00AE1D43"/>
    <w:rsid w:val="00AE1DBB"/>
    <w:rsid w:val="00AE1F01"/>
    <w:rsid w:val="00AE204F"/>
    <w:rsid w:val="00AE2093"/>
    <w:rsid w:val="00AE20CF"/>
    <w:rsid w:val="00AE21E2"/>
    <w:rsid w:val="00AE2208"/>
    <w:rsid w:val="00AE221A"/>
    <w:rsid w:val="00AE2308"/>
    <w:rsid w:val="00AE26B8"/>
    <w:rsid w:val="00AE2725"/>
    <w:rsid w:val="00AE289A"/>
    <w:rsid w:val="00AE291A"/>
    <w:rsid w:val="00AE2ADF"/>
    <w:rsid w:val="00AE2BAD"/>
    <w:rsid w:val="00AE2C6B"/>
    <w:rsid w:val="00AE2C92"/>
    <w:rsid w:val="00AE2CDA"/>
    <w:rsid w:val="00AE2EF2"/>
    <w:rsid w:val="00AE2FBA"/>
    <w:rsid w:val="00AE301D"/>
    <w:rsid w:val="00AE3060"/>
    <w:rsid w:val="00AE3284"/>
    <w:rsid w:val="00AE3361"/>
    <w:rsid w:val="00AE349C"/>
    <w:rsid w:val="00AE34EA"/>
    <w:rsid w:val="00AE35B6"/>
    <w:rsid w:val="00AE3719"/>
    <w:rsid w:val="00AE371E"/>
    <w:rsid w:val="00AE374C"/>
    <w:rsid w:val="00AE37BA"/>
    <w:rsid w:val="00AE397C"/>
    <w:rsid w:val="00AE399F"/>
    <w:rsid w:val="00AE3B83"/>
    <w:rsid w:val="00AE3CC1"/>
    <w:rsid w:val="00AE3D15"/>
    <w:rsid w:val="00AE3DE6"/>
    <w:rsid w:val="00AE3F63"/>
    <w:rsid w:val="00AE4576"/>
    <w:rsid w:val="00AE45FB"/>
    <w:rsid w:val="00AE4608"/>
    <w:rsid w:val="00AE4635"/>
    <w:rsid w:val="00AE4640"/>
    <w:rsid w:val="00AE47AA"/>
    <w:rsid w:val="00AE47D8"/>
    <w:rsid w:val="00AE47F1"/>
    <w:rsid w:val="00AE484F"/>
    <w:rsid w:val="00AE4C3A"/>
    <w:rsid w:val="00AE4F5D"/>
    <w:rsid w:val="00AE5047"/>
    <w:rsid w:val="00AE51D3"/>
    <w:rsid w:val="00AE5312"/>
    <w:rsid w:val="00AE539F"/>
    <w:rsid w:val="00AE55D8"/>
    <w:rsid w:val="00AE5643"/>
    <w:rsid w:val="00AE56AF"/>
    <w:rsid w:val="00AE5A0F"/>
    <w:rsid w:val="00AE5A5C"/>
    <w:rsid w:val="00AE5AA6"/>
    <w:rsid w:val="00AE5AAB"/>
    <w:rsid w:val="00AE5ABD"/>
    <w:rsid w:val="00AE5C67"/>
    <w:rsid w:val="00AE5C7E"/>
    <w:rsid w:val="00AE5D2D"/>
    <w:rsid w:val="00AE5D73"/>
    <w:rsid w:val="00AE5DFA"/>
    <w:rsid w:val="00AE5E07"/>
    <w:rsid w:val="00AE5E25"/>
    <w:rsid w:val="00AE5ED5"/>
    <w:rsid w:val="00AE5F42"/>
    <w:rsid w:val="00AE5FAB"/>
    <w:rsid w:val="00AE635F"/>
    <w:rsid w:val="00AE63AC"/>
    <w:rsid w:val="00AE63B5"/>
    <w:rsid w:val="00AE63F4"/>
    <w:rsid w:val="00AE64BE"/>
    <w:rsid w:val="00AE65E3"/>
    <w:rsid w:val="00AE661F"/>
    <w:rsid w:val="00AE67AB"/>
    <w:rsid w:val="00AE6949"/>
    <w:rsid w:val="00AE694C"/>
    <w:rsid w:val="00AE6987"/>
    <w:rsid w:val="00AE6A94"/>
    <w:rsid w:val="00AE6C15"/>
    <w:rsid w:val="00AE6C2A"/>
    <w:rsid w:val="00AE6C59"/>
    <w:rsid w:val="00AE6C77"/>
    <w:rsid w:val="00AE6FD1"/>
    <w:rsid w:val="00AE718E"/>
    <w:rsid w:val="00AE7241"/>
    <w:rsid w:val="00AE7296"/>
    <w:rsid w:val="00AE730F"/>
    <w:rsid w:val="00AE737B"/>
    <w:rsid w:val="00AE74BA"/>
    <w:rsid w:val="00AE74F6"/>
    <w:rsid w:val="00AE7535"/>
    <w:rsid w:val="00AE7698"/>
    <w:rsid w:val="00AE798F"/>
    <w:rsid w:val="00AE7B90"/>
    <w:rsid w:val="00AE7C04"/>
    <w:rsid w:val="00AE7C8E"/>
    <w:rsid w:val="00AE7DDE"/>
    <w:rsid w:val="00AF00CE"/>
    <w:rsid w:val="00AF017C"/>
    <w:rsid w:val="00AF025A"/>
    <w:rsid w:val="00AF02F5"/>
    <w:rsid w:val="00AF03AB"/>
    <w:rsid w:val="00AF0480"/>
    <w:rsid w:val="00AF050B"/>
    <w:rsid w:val="00AF07BE"/>
    <w:rsid w:val="00AF08E8"/>
    <w:rsid w:val="00AF0A85"/>
    <w:rsid w:val="00AF0AE5"/>
    <w:rsid w:val="00AF0C9A"/>
    <w:rsid w:val="00AF0FF5"/>
    <w:rsid w:val="00AF110C"/>
    <w:rsid w:val="00AF119F"/>
    <w:rsid w:val="00AF1235"/>
    <w:rsid w:val="00AF1249"/>
    <w:rsid w:val="00AF14C0"/>
    <w:rsid w:val="00AF1592"/>
    <w:rsid w:val="00AF16D1"/>
    <w:rsid w:val="00AF173A"/>
    <w:rsid w:val="00AF174A"/>
    <w:rsid w:val="00AF191C"/>
    <w:rsid w:val="00AF1929"/>
    <w:rsid w:val="00AF1A9D"/>
    <w:rsid w:val="00AF1AC0"/>
    <w:rsid w:val="00AF1AE7"/>
    <w:rsid w:val="00AF1B31"/>
    <w:rsid w:val="00AF1C14"/>
    <w:rsid w:val="00AF1CCF"/>
    <w:rsid w:val="00AF1D3E"/>
    <w:rsid w:val="00AF1E23"/>
    <w:rsid w:val="00AF1EA5"/>
    <w:rsid w:val="00AF1FF4"/>
    <w:rsid w:val="00AF20C5"/>
    <w:rsid w:val="00AF20F6"/>
    <w:rsid w:val="00AF21A7"/>
    <w:rsid w:val="00AF22C2"/>
    <w:rsid w:val="00AF2322"/>
    <w:rsid w:val="00AF2406"/>
    <w:rsid w:val="00AF26B5"/>
    <w:rsid w:val="00AF2754"/>
    <w:rsid w:val="00AF2857"/>
    <w:rsid w:val="00AF2D88"/>
    <w:rsid w:val="00AF2D96"/>
    <w:rsid w:val="00AF2E0E"/>
    <w:rsid w:val="00AF2E60"/>
    <w:rsid w:val="00AF2E8A"/>
    <w:rsid w:val="00AF3100"/>
    <w:rsid w:val="00AF316A"/>
    <w:rsid w:val="00AF31DA"/>
    <w:rsid w:val="00AF31E1"/>
    <w:rsid w:val="00AF3260"/>
    <w:rsid w:val="00AF32AB"/>
    <w:rsid w:val="00AF3334"/>
    <w:rsid w:val="00AF3394"/>
    <w:rsid w:val="00AF363B"/>
    <w:rsid w:val="00AF3652"/>
    <w:rsid w:val="00AF36A1"/>
    <w:rsid w:val="00AF36DB"/>
    <w:rsid w:val="00AF375D"/>
    <w:rsid w:val="00AF37D2"/>
    <w:rsid w:val="00AF390F"/>
    <w:rsid w:val="00AF3A4C"/>
    <w:rsid w:val="00AF3D9D"/>
    <w:rsid w:val="00AF3E3A"/>
    <w:rsid w:val="00AF410F"/>
    <w:rsid w:val="00AF412A"/>
    <w:rsid w:val="00AF4165"/>
    <w:rsid w:val="00AF419B"/>
    <w:rsid w:val="00AF43CF"/>
    <w:rsid w:val="00AF443C"/>
    <w:rsid w:val="00AF45C9"/>
    <w:rsid w:val="00AF4802"/>
    <w:rsid w:val="00AF480A"/>
    <w:rsid w:val="00AF488E"/>
    <w:rsid w:val="00AF4989"/>
    <w:rsid w:val="00AF4A6A"/>
    <w:rsid w:val="00AF4B21"/>
    <w:rsid w:val="00AF4CE3"/>
    <w:rsid w:val="00AF4E23"/>
    <w:rsid w:val="00AF4F00"/>
    <w:rsid w:val="00AF4FB4"/>
    <w:rsid w:val="00AF503D"/>
    <w:rsid w:val="00AF5108"/>
    <w:rsid w:val="00AF515D"/>
    <w:rsid w:val="00AF52F5"/>
    <w:rsid w:val="00AF543A"/>
    <w:rsid w:val="00AF5455"/>
    <w:rsid w:val="00AF5635"/>
    <w:rsid w:val="00AF57EE"/>
    <w:rsid w:val="00AF59B6"/>
    <w:rsid w:val="00AF59DF"/>
    <w:rsid w:val="00AF5B70"/>
    <w:rsid w:val="00AF5CC6"/>
    <w:rsid w:val="00AF5F06"/>
    <w:rsid w:val="00AF602D"/>
    <w:rsid w:val="00AF602F"/>
    <w:rsid w:val="00AF60D6"/>
    <w:rsid w:val="00AF62A3"/>
    <w:rsid w:val="00AF6436"/>
    <w:rsid w:val="00AF64B3"/>
    <w:rsid w:val="00AF6521"/>
    <w:rsid w:val="00AF67FE"/>
    <w:rsid w:val="00AF695D"/>
    <w:rsid w:val="00AF6B0A"/>
    <w:rsid w:val="00AF6C37"/>
    <w:rsid w:val="00AF6CCA"/>
    <w:rsid w:val="00AF6D30"/>
    <w:rsid w:val="00AF708D"/>
    <w:rsid w:val="00AF718F"/>
    <w:rsid w:val="00AF733D"/>
    <w:rsid w:val="00AF744D"/>
    <w:rsid w:val="00AF757A"/>
    <w:rsid w:val="00AF75A3"/>
    <w:rsid w:val="00AF762B"/>
    <w:rsid w:val="00AF7695"/>
    <w:rsid w:val="00AF78FA"/>
    <w:rsid w:val="00AF78FE"/>
    <w:rsid w:val="00AF7A70"/>
    <w:rsid w:val="00AF7AEF"/>
    <w:rsid w:val="00AF7BCA"/>
    <w:rsid w:val="00B0004B"/>
    <w:rsid w:val="00B00151"/>
    <w:rsid w:val="00B004EA"/>
    <w:rsid w:val="00B0050D"/>
    <w:rsid w:val="00B00642"/>
    <w:rsid w:val="00B00870"/>
    <w:rsid w:val="00B008A3"/>
    <w:rsid w:val="00B008E7"/>
    <w:rsid w:val="00B00D86"/>
    <w:rsid w:val="00B00DB5"/>
    <w:rsid w:val="00B00DDE"/>
    <w:rsid w:val="00B00E99"/>
    <w:rsid w:val="00B00FD4"/>
    <w:rsid w:val="00B01215"/>
    <w:rsid w:val="00B0129F"/>
    <w:rsid w:val="00B0130D"/>
    <w:rsid w:val="00B0147B"/>
    <w:rsid w:val="00B0152B"/>
    <w:rsid w:val="00B0160B"/>
    <w:rsid w:val="00B01671"/>
    <w:rsid w:val="00B016FC"/>
    <w:rsid w:val="00B017FF"/>
    <w:rsid w:val="00B01925"/>
    <w:rsid w:val="00B019DE"/>
    <w:rsid w:val="00B01AB2"/>
    <w:rsid w:val="00B01BE4"/>
    <w:rsid w:val="00B01C83"/>
    <w:rsid w:val="00B01CBA"/>
    <w:rsid w:val="00B01E51"/>
    <w:rsid w:val="00B01FE2"/>
    <w:rsid w:val="00B02180"/>
    <w:rsid w:val="00B022E0"/>
    <w:rsid w:val="00B02523"/>
    <w:rsid w:val="00B02546"/>
    <w:rsid w:val="00B027C2"/>
    <w:rsid w:val="00B02816"/>
    <w:rsid w:val="00B028C6"/>
    <w:rsid w:val="00B02A16"/>
    <w:rsid w:val="00B02A36"/>
    <w:rsid w:val="00B02A73"/>
    <w:rsid w:val="00B02C32"/>
    <w:rsid w:val="00B02C75"/>
    <w:rsid w:val="00B02F09"/>
    <w:rsid w:val="00B03014"/>
    <w:rsid w:val="00B03134"/>
    <w:rsid w:val="00B03164"/>
    <w:rsid w:val="00B033B3"/>
    <w:rsid w:val="00B035C4"/>
    <w:rsid w:val="00B036AF"/>
    <w:rsid w:val="00B036CE"/>
    <w:rsid w:val="00B03893"/>
    <w:rsid w:val="00B03935"/>
    <w:rsid w:val="00B03B70"/>
    <w:rsid w:val="00B03C0D"/>
    <w:rsid w:val="00B03FB2"/>
    <w:rsid w:val="00B03FB6"/>
    <w:rsid w:val="00B040B7"/>
    <w:rsid w:val="00B04140"/>
    <w:rsid w:val="00B0425A"/>
    <w:rsid w:val="00B04490"/>
    <w:rsid w:val="00B04559"/>
    <w:rsid w:val="00B0469E"/>
    <w:rsid w:val="00B0470E"/>
    <w:rsid w:val="00B04777"/>
    <w:rsid w:val="00B04817"/>
    <w:rsid w:val="00B049D0"/>
    <w:rsid w:val="00B049FA"/>
    <w:rsid w:val="00B04DBE"/>
    <w:rsid w:val="00B04DD1"/>
    <w:rsid w:val="00B050D2"/>
    <w:rsid w:val="00B0512B"/>
    <w:rsid w:val="00B0515D"/>
    <w:rsid w:val="00B051A6"/>
    <w:rsid w:val="00B05663"/>
    <w:rsid w:val="00B056B9"/>
    <w:rsid w:val="00B0572C"/>
    <w:rsid w:val="00B057E4"/>
    <w:rsid w:val="00B058D4"/>
    <w:rsid w:val="00B0597B"/>
    <w:rsid w:val="00B059B0"/>
    <w:rsid w:val="00B059F8"/>
    <w:rsid w:val="00B05A5F"/>
    <w:rsid w:val="00B05B31"/>
    <w:rsid w:val="00B05BAC"/>
    <w:rsid w:val="00B05D00"/>
    <w:rsid w:val="00B06053"/>
    <w:rsid w:val="00B060D3"/>
    <w:rsid w:val="00B06165"/>
    <w:rsid w:val="00B062E3"/>
    <w:rsid w:val="00B0635F"/>
    <w:rsid w:val="00B063B5"/>
    <w:rsid w:val="00B065BD"/>
    <w:rsid w:val="00B067C8"/>
    <w:rsid w:val="00B068DF"/>
    <w:rsid w:val="00B06BB1"/>
    <w:rsid w:val="00B06D3C"/>
    <w:rsid w:val="00B06E79"/>
    <w:rsid w:val="00B06FBB"/>
    <w:rsid w:val="00B06FCA"/>
    <w:rsid w:val="00B06FE7"/>
    <w:rsid w:val="00B07070"/>
    <w:rsid w:val="00B07221"/>
    <w:rsid w:val="00B07289"/>
    <w:rsid w:val="00B07295"/>
    <w:rsid w:val="00B072FB"/>
    <w:rsid w:val="00B073A6"/>
    <w:rsid w:val="00B073FC"/>
    <w:rsid w:val="00B0753B"/>
    <w:rsid w:val="00B0769E"/>
    <w:rsid w:val="00B07748"/>
    <w:rsid w:val="00B077C5"/>
    <w:rsid w:val="00B07887"/>
    <w:rsid w:val="00B07B7F"/>
    <w:rsid w:val="00B07C12"/>
    <w:rsid w:val="00B07F4F"/>
    <w:rsid w:val="00B10216"/>
    <w:rsid w:val="00B1033B"/>
    <w:rsid w:val="00B103AD"/>
    <w:rsid w:val="00B1050B"/>
    <w:rsid w:val="00B105F9"/>
    <w:rsid w:val="00B10660"/>
    <w:rsid w:val="00B106AB"/>
    <w:rsid w:val="00B107AE"/>
    <w:rsid w:val="00B10B55"/>
    <w:rsid w:val="00B10DA8"/>
    <w:rsid w:val="00B10DDE"/>
    <w:rsid w:val="00B10FEA"/>
    <w:rsid w:val="00B1116D"/>
    <w:rsid w:val="00B11190"/>
    <w:rsid w:val="00B111BA"/>
    <w:rsid w:val="00B112AB"/>
    <w:rsid w:val="00B112BB"/>
    <w:rsid w:val="00B1131E"/>
    <w:rsid w:val="00B113CE"/>
    <w:rsid w:val="00B113F4"/>
    <w:rsid w:val="00B11540"/>
    <w:rsid w:val="00B117A6"/>
    <w:rsid w:val="00B11995"/>
    <w:rsid w:val="00B11A02"/>
    <w:rsid w:val="00B11ADE"/>
    <w:rsid w:val="00B11CA2"/>
    <w:rsid w:val="00B11DB1"/>
    <w:rsid w:val="00B11ED0"/>
    <w:rsid w:val="00B11FA5"/>
    <w:rsid w:val="00B11FC0"/>
    <w:rsid w:val="00B11FCD"/>
    <w:rsid w:val="00B11FEA"/>
    <w:rsid w:val="00B1209C"/>
    <w:rsid w:val="00B1212F"/>
    <w:rsid w:val="00B12210"/>
    <w:rsid w:val="00B12298"/>
    <w:rsid w:val="00B12377"/>
    <w:rsid w:val="00B12400"/>
    <w:rsid w:val="00B124C7"/>
    <w:rsid w:val="00B125A3"/>
    <w:rsid w:val="00B1274A"/>
    <w:rsid w:val="00B128DB"/>
    <w:rsid w:val="00B12979"/>
    <w:rsid w:val="00B12CB0"/>
    <w:rsid w:val="00B12D56"/>
    <w:rsid w:val="00B12D94"/>
    <w:rsid w:val="00B12E2F"/>
    <w:rsid w:val="00B12E56"/>
    <w:rsid w:val="00B12F5C"/>
    <w:rsid w:val="00B1312F"/>
    <w:rsid w:val="00B1323C"/>
    <w:rsid w:val="00B13304"/>
    <w:rsid w:val="00B133CA"/>
    <w:rsid w:val="00B13564"/>
    <w:rsid w:val="00B1364A"/>
    <w:rsid w:val="00B136A2"/>
    <w:rsid w:val="00B1384B"/>
    <w:rsid w:val="00B13890"/>
    <w:rsid w:val="00B13DB5"/>
    <w:rsid w:val="00B13F73"/>
    <w:rsid w:val="00B13F9C"/>
    <w:rsid w:val="00B140D2"/>
    <w:rsid w:val="00B14170"/>
    <w:rsid w:val="00B141C4"/>
    <w:rsid w:val="00B141C8"/>
    <w:rsid w:val="00B141F2"/>
    <w:rsid w:val="00B1428B"/>
    <w:rsid w:val="00B14298"/>
    <w:rsid w:val="00B1447F"/>
    <w:rsid w:val="00B1455F"/>
    <w:rsid w:val="00B14824"/>
    <w:rsid w:val="00B14858"/>
    <w:rsid w:val="00B1498D"/>
    <w:rsid w:val="00B14A95"/>
    <w:rsid w:val="00B14B70"/>
    <w:rsid w:val="00B15213"/>
    <w:rsid w:val="00B152AC"/>
    <w:rsid w:val="00B15502"/>
    <w:rsid w:val="00B15618"/>
    <w:rsid w:val="00B1568A"/>
    <w:rsid w:val="00B156D6"/>
    <w:rsid w:val="00B1576A"/>
    <w:rsid w:val="00B157F6"/>
    <w:rsid w:val="00B15885"/>
    <w:rsid w:val="00B158E5"/>
    <w:rsid w:val="00B15A81"/>
    <w:rsid w:val="00B15A8B"/>
    <w:rsid w:val="00B15B63"/>
    <w:rsid w:val="00B15C9F"/>
    <w:rsid w:val="00B15F93"/>
    <w:rsid w:val="00B1634B"/>
    <w:rsid w:val="00B1639C"/>
    <w:rsid w:val="00B16450"/>
    <w:rsid w:val="00B1675E"/>
    <w:rsid w:val="00B16780"/>
    <w:rsid w:val="00B168C7"/>
    <w:rsid w:val="00B168CE"/>
    <w:rsid w:val="00B169E2"/>
    <w:rsid w:val="00B16CA6"/>
    <w:rsid w:val="00B16FB4"/>
    <w:rsid w:val="00B1721B"/>
    <w:rsid w:val="00B1738A"/>
    <w:rsid w:val="00B173B2"/>
    <w:rsid w:val="00B173E1"/>
    <w:rsid w:val="00B174C0"/>
    <w:rsid w:val="00B1760B"/>
    <w:rsid w:val="00B176A0"/>
    <w:rsid w:val="00B1795C"/>
    <w:rsid w:val="00B179E6"/>
    <w:rsid w:val="00B17C97"/>
    <w:rsid w:val="00B17C99"/>
    <w:rsid w:val="00B17C9C"/>
    <w:rsid w:val="00B17CBC"/>
    <w:rsid w:val="00B17D44"/>
    <w:rsid w:val="00B17E03"/>
    <w:rsid w:val="00B17E6E"/>
    <w:rsid w:val="00B17FC7"/>
    <w:rsid w:val="00B200FF"/>
    <w:rsid w:val="00B20311"/>
    <w:rsid w:val="00B2039E"/>
    <w:rsid w:val="00B2049A"/>
    <w:rsid w:val="00B205E9"/>
    <w:rsid w:val="00B20896"/>
    <w:rsid w:val="00B20AC0"/>
    <w:rsid w:val="00B20B11"/>
    <w:rsid w:val="00B20D1D"/>
    <w:rsid w:val="00B20D29"/>
    <w:rsid w:val="00B20F9F"/>
    <w:rsid w:val="00B2108E"/>
    <w:rsid w:val="00B210BC"/>
    <w:rsid w:val="00B212D8"/>
    <w:rsid w:val="00B2137C"/>
    <w:rsid w:val="00B214C5"/>
    <w:rsid w:val="00B21567"/>
    <w:rsid w:val="00B215F1"/>
    <w:rsid w:val="00B216B1"/>
    <w:rsid w:val="00B21766"/>
    <w:rsid w:val="00B21787"/>
    <w:rsid w:val="00B21793"/>
    <w:rsid w:val="00B21827"/>
    <w:rsid w:val="00B2183D"/>
    <w:rsid w:val="00B219C9"/>
    <w:rsid w:val="00B21A84"/>
    <w:rsid w:val="00B21AD3"/>
    <w:rsid w:val="00B21C34"/>
    <w:rsid w:val="00B21C40"/>
    <w:rsid w:val="00B21D78"/>
    <w:rsid w:val="00B21F10"/>
    <w:rsid w:val="00B21F5E"/>
    <w:rsid w:val="00B21FB6"/>
    <w:rsid w:val="00B220BF"/>
    <w:rsid w:val="00B22105"/>
    <w:rsid w:val="00B22136"/>
    <w:rsid w:val="00B22287"/>
    <w:rsid w:val="00B22622"/>
    <w:rsid w:val="00B228EE"/>
    <w:rsid w:val="00B22913"/>
    <w:rsid w:val="00B22982"/>
    <w:rsid w:val="00B2298A"/>
    <w:rsid w:val="00B2299C"/>
    <w:rsid w:val="00B22B49"/>
    <w:rsid w:val="00B22BC1"/>
    <w:rsid w:val="00B22D45"/>
    <w:rsid w:val="00B22D4D"/>
    <w:rsid w:val="00B22DE3"/>
    <w:rsid w:val="00B22F49"/>
    <w:rsid w:val="00B23007"/>
    <w:rsid w:val="00B23420"/>
    <w:rsid w:val="00B23497"/>
    <w:rsid w:val="00B23822"/>
    <w:rsid w:val="00B23BDA"/>
    <w:rsid w:val="00B23BED"/>
    <w:rsid w:val="00B23C02"/>
    <w:rsid w:val="00B23D1C"/>
    <w:rsid w:val="00B23D46"/>
    <w:rsid w:val="00B23F3D"/>
    <w:rsid w:val="00B23F6E"/>
    <w:rsid w:val="00B23F8B"/>
    <w:rsid w:val="00B241A9"/>
    <w:rsid w:val="00B241F7"/>
    <w:rsid w:val="00B24242"/>
    <w:rsid w:val="00B243A3"/>
    <w:rsid w:val="00B243C2"/>
    <w:rsid w:val="00B24543"/>
    <w:rsid w:val="00B2457F"/>
    <w:rsid w:val="00B245C2"/>
    <w:rsid w:val="00B24612"/>
    <w:rsid w:val="00B24766"/>
    <w:rsid w:val="00B247A4"/>
    <w:rsid w:val="00B2487E"/>
    <w:rsid w:val="00B24B1E"/>
    <w:rsid w:val="00B24B71"/>
    <w:rsid w:val="00B24BC7"/>
    <w:rsid w:val="00B24BD2"/>
    <w:rsid w:val="00B24DF1"/>
    <w:rsid w:val="00B24EA7"/>
    <w:rsid w:val="00B24F15"/>
    <w:rsid w:val="00B24F2F"/>
    <w:rsid w:val="00B24F4B"/>
    <w:rsid w:val="00B24FB3"/>
    <w:rsid w:val="00B25055"/>
    <w:rsid w:val="00B25262"/>
    <w:rsid w:val="00B25269"/>
    <w:rsid w:val="00B253B8"/>
    <w:rsid w:val="00B253CD"/>
    <w:rsid w:val="00B2557F"/>
    <w:rsid w:val="00B2559B"/>
    <w:rsid w:val="00B25880"/>
    <w:rsid w:val="00B258A8"/>
    <w:rsid w:val="00B25A21"/>
    <w:rsid w:val="00B25A8B"/>
    <w:rsid w:val="00B25BEF"/>
    <w:rsid w:val="00B25BF4"/>
    <w:rsid w:val="00B25C3F"/>
    <w:rsid w:val="00B25D95"/>
    <w:rsid w:val="00B25F1C"/>
    <w:rsid w:val="00B25F60"/>
    <w:rsid w:val="00B260B3"/>
    <w:rsid w:val="00B2619B"/>
    <w:rsid w:val="00B26236"/>
    <w:rsid w:val="00B26518"/>
    <w:rsid w:val="00B268F6"/>
    <w:rsid w:val="00B269AB"/>
    <w:rsid w:val="00B26DA6"/>
    <w:rsid w:val="00B26E93"/>
    <w:rsid w:val="00B26F27"/>
    <w:rsid w:val="00B26FC3"/>
    <w:rsid w:val="00B27030"/>
    <w:rsid w:val="00B270E2"/>
    <w:rsid w:val="00B2720E"/>
    <w:rsid w:val="00B27215"/>
    <w:rsid w:val="00B272DE"/>
    <w:rsid w:val="00B27301"/>
    <w:rsid w:val="00B27313"/>
    <w:rsid w:val="00B27368"/>
    <w:rsid w:val="00B273EF"/>
    <w:rsid w:val="00B2754E"/>
    <w:rsid w:val="00B278D0"/>
    <w:rsid w:val="00B279D7"/>
    <w:rsid w:val="00B27B19"/>
    <w:rsid w:val="00B27C14"/>
    <w:rsid w:val="00B27E00"/>
    <w:rsid w:val="00B301A2"/>
    <w:rsid w:val="00B301E5"/>
    <w:rsid w:val="00B3023F"/>
    <w:rsid w:val="00B304D0"/>
    <w:rsid w:val="00B304D3"/>
    <w:rsid w:val="00B3055C"/>
    <w:rsid w:val="00B3059B"/>
    <w:rsid w:val="00B305C3"/>
    <w:rsid w:val="00B305C7"/>
    <w:rsid w:val="00B30863"/>
    <w:rsid w:val="00B30953"/>
    <w:rsid w:val="00B3096D"/>
    <w:rsid w:val="00B30C0D"/>
    <w:rsid w:val="00B30DF3"/>
    <w:rsid w:val="00B30F2D"/>
    <w:rsid w:val="00B30F2F"/>
    <w:rsid w:val="00B30FA7"/>
    <w:rsid w:val="00B31025"/>
    <w:rsid w:val="00B31035"/>
    <w:rsid w:val="00B3105F"/>
    <w:rsid w:val="00B31115"/>
    <w:rsid w:val="00B31491"/>
    <w:rsid w:val="00B31595"/>
    <w:rsid w:val="00B315C8"/>
    <w:rsid w:val="00B317E7"/>
    <w:rsid w:val="00B31F24"/>
    <w:rsid w:val="00B322F2"/>
    <w:rsid w:val="00B32355"/>
    <w:rsid w:val="00B324C3"/>
    <w:rsid w:val="00B32537"/>
    <w:rsid w:val="00B32652"/>
    <w:rsid w:val="00B32778"/>
    <w:rsid w:val="00B327BC"/>
    <w:rsid w:val="00B327E6"/>
    <w:rsid w:val="00B3280B"/>
    <w:rsid w:val="00B32938"/>
    <w:rsid w:val="00B32945"/>
    <w:rsid w:val="00B32A96"/>
    <w:rsid w:val="00B32DDF"/>
    <w:rsid w:val="00B32DE4"/>
    <w:rsid w:val="00B32FC1"/>
    <w:rsid w:val="00B33069"/>
    <w:rsid w:val="00B330A1"/>
    <w:rsid w:val="00B330CE"/>
    <w:rsid w:val="00B33148"/>
    <w:rsid w:val="00B33302"/>
    <w:rsid w:val="00B33332"/>
    <w:rsid w:val="00B33450"/>
    <w:rsid w:val="00B3355B"/>
    <w:rsid w:val="00B335F5"/>
    <w:rsid w:val="00B33797"/>
    <w:rsid w:val="00B3379A"/>
    <w:rsid w:val="00B3383E"/>
    <w:rsid w:val="00B3387D"/>
    <w:rsid w:val="00B3388C"/>
    <w:rsid w:val="00B339AA"/>
    <w:rsid w:val="00B339FC"/>
    <w:rsid w:val="00B33BEC"/>
    <w:rsid w:val="00B33CB8"/>
    <w:rsid w:val="00B33CF6"/>
    <w:rsid w:val="00B33DC3"/>
    <w:rsid w:val="00B33F31"/>
    <w:rsid w:val="00B3407F"/>
    <w:rsid w:val="00B3429B"/>
    <w:rsid w:val="00B342C6"/>
    <w:rsid w:val="00B3437E"/>
    <w:rsid w:val="00B343BA"/>
    <w:rsid w:val="00B3444B"/>
    <w:rsid w:val="00B34471"/>
    <w:rsid w:val="00B345B3"/>
    <w:rsid w:val="00B3463B"/>
    <w:rsid w:val="00B346E9"/>
    <w:rsid w:val="00B3471F"/>
    <w:rsid w:val="00B3473C"/>
    <w:rsid w:val="00B347FA"/>
    <w:rsid w:val="00B3488F"/>
    <w:rsid w:val="00B3489C"/>
    <w:rsid w:val="00B34A49"/>
    <w:rsid w:val="00B34B70"/>
    <w:rsid w:val="00B34BD0"/>
    <w:rsid w:val="00B34C72"/>
    <w:rsid w:val="00B34D4B"/>
    <w:rsid w:val="00B34E2A"/>
    <w:rsid w:val="00B350A8"/>
    <w:rsid w:val="00B35160"/>
    <w:rsid w:val="00B351C4"/>
    <w:rsid w:val="00B35377"/>
    <w:rsid w:val="00B3542D"/>
    <w:rsid w:val="00B3564E"/>
    <w:rsid w:val="00B3579B"/>
    <w:rsid w:val="00B358F0"/>
    <w:rsid w:val="00B35931"/>
    <w:rsid w:val="00B35B18"/>
    <w:rsid w:val="00B35B79"/>
    <w:rsid w:val="00B35CC3"/>
    <w:rsid w:val="00B35EC2"/>
    <w:rsid w:val="00B36061"/>
    <w:rsid w:val="00B361AF"/>
    <w:rsid w:val="00B36388"/>
    <w:rsid w:val="00B36447"/>
    <w:rsid w:val="00B36475"/>
    <w:rsid w:val="00B36482"/>
    <w:rsid w:val="00B3659A"/>
    <w:rsid w:val="00B365D4"/>
    <w:rsid w:val="00B366E4"/>
    <w:rsid w:val="00B367AD"/>
    <w:rsid w:val="00B367F9"/>
    <w:rsid w:val="00B369AC"/>
    <w:rsid w:val="00B369D9"/>
    <w:rsid w:val="00B36AA8"/>
    <w:rsid w:val="00B36B06"/>
    <w:rsid w:val="00B36C8C"/>
    <w:rsid w:val="00B36D5F"/>
    <w:rsid w:val="00B36E23"/>
    <w:rsid w:val="00B36F0E"/>
    <w:rsid w:val="00B36F21"/>
    <w:rsid w:val="00B3702C"/>
    <w:rsid w:val="00B370CF"/>
    <w:rsid w:val="00B37108"/>
    <w:rsid w:val="00B37152"/>
    <w:rsid w:val="00B373C5"/>
    <w:rsid w:val="00B37423"/>
    <w:rsid w:val="00B37478"/>
    <w:rsid w:val="00B37597"/>
    <w:rsid w:val="00B377C1"/>
    <w:rsid w:val="00B37A87"/>
    <w:rsid w:val="00B37AA6"/>
    <w:rsid w:val="00B37CE6"/>
    <w:rsid w:val="00B37DA6"/>
    <w:rsid w:val="00B37DDE"/>
    <w:rsid w:val="00B37DEC"/>
    <w:rsid w:val="00B37F42"/>
    <w:rsid w:val="00B37F4D"/>
    <w:rsid w:val="00B37F72"/>
    <w:rsid w:val="00B4004E"/>
    <w:rsid w:val="00B40077"/>
    <w:rsid w:val="00B400E4"/>
    <w:rsid w:val="00B40112"/>
    <w:rsid w:val="00B40127"/>
    <w:rsid w:val="00B403BC"/>
    <w:rsid w:val="00B40410"/>
    <w:rsid w:val="00B40478"/>
    <w:rsid w:val="00B40731"/>
    <w:rsid w:val="00B40784"/>
    <w:rsid w:val="00B407A0"/>
    <w:rsid w:val="00B4088B"/>
    <w:rsid w:val="00B4095D"/>
    <w:rsid w:val="00B409D9"/>
    <w:rsid w:val="00B409F4"/>
    <w:rsid w:val="00B40A11"/>
    <w:rsid w:val="00B40A1E"/>
    <w:rsid w:val="00B40B4B"/>
    <w:rsid w:val="00B40B5D"/>
    <w:rsid w:val="00B40D8E"/>
    <w:rsid w:val="00B40E03"/>
    <w:rsid w:val="00B4103C"/>
    <w:rsid w:val="00B410F0"/>
    <w:rsid w:val="00B413B0"/>
    <w:rsid w:val="00B413B7"/>
    <w:rsid w:val="00B41440"/>
    <w:rsid w:val="00B417E1"/>
    <w:rsid w:val="00B4180C"/>
    <w:rsid w:val="00B418BE"/>
    <w:rsid w:val="00B41991"/>
    <w:rsid w:val="00B41A58"/>
    <w:rsid w:val="00B41AD6"/>
    <w:rsid w:val="00B41C8F"/>
    <w:rsid w:val="00B41D03"/>
    <w:rsid w:val="00B41D34"/>
    <w:rsid w:val="00B41EB2"/>
    <w:rsid w:val="00B41ECA"/>
    <w:rsid w:val="00B42165"/>
    <w:rsid w:val="00B42282"/>
    <w:rsid w:val="00B42318"/>
    <w:rsid w:val="00B42436"/>
    <w:rsid w:val="00B4252F"/>
    <w:rsid w:val="00B426D4"/>
    <w:rsid w:val="00B42884"/>
    <w:rsid w:val="00B428E0"/>
    <w:rsid w:val="00B429E7"/>
    <w:rsid w:val="00B42A01"/>
    <w:rsid w:val="00B42AF4"/>
    <w:rsid w:val="00B42C2B"/>
    <w:rsid w:val="00B42C2C"/>
    <w:rsid w:val="00B42DE9"/>
    <w:rsid w:val="00B42FD8"/>
    <w:rsid w:val="00B42FDA"/>
    <w:rsid w:val="00B4315D"/>
    <w:rsid w:val="00B431D5"/>
    <w:rsid w:val="00B431DB"/>
    <w:rsid w:val="00B431EC"/>
    <w:rsid w:val="00B432D0"/>
    <w:rsid w:val="00B4338B"/>
    <w:rsid w:val="00B434CB"/>
    <w:rsid w:val="00B434D6"/>
    <w:rsid w:val="00B43707"/>
    <w:rsid w:val="00B43914"/>
    <w:rsid w:val="00B4397D"/>
    <w:rsid w:val="00B43B43"/>
    <w:rsid w:val="00B43C16"/>
    <w:rsid w:val="00B43CF3"/>
    <w:rsid w:val="00B43CFC"/>
    <w:rsid w:val="00B43DAE"/>
    <w:rsid w:val="00B43DD0"/>
    <w:rsid w:val="00B43E1C"/>
    <w:rsid w:val="00B43E46"/>
    <w:rsid w:val="00B43FA7"/>
    <w:rsid w:val="00B4403E"/>
    <w:rsid w:val="00B44244"/>
    <w:rsid w:val="00B442B0"/>
    <w:rsid w:val="00B445A2"/>
    <w:rsid w:val="00B445ED"/>
    <w:rsid w:val="00B447A8"/>
    <w:rsid w:val="00B44A20"/>
    <w:rsid w:val="00B44A36"/>
    <w:rsid w:val="00B44A6D"/>
    <w:rsid w:val="00B44AF9"/>
    <w:rsid w:val="00B44BA7"/>
    <w:rsid w:val="00B44CAD"/>
    <w:rsid w:val="00B44CC8"/>
    <w:rsid w:val="00B44CD3"/>
    <w:rsid w:val="00B44EE4"/>
    <w:rsid w:val="00B44F24"/>
    <w:rsid w:val="00B4508F"/>
    <w:rsid w:val="00B45348"/>
    <w:rsid w:val="00B45450"/>
    <w:rsid w:val="00B4562B"/>
    <w:rsid w:val="00B456BC"/>
    <w:rsid w:val="00B458B5"/>
    <w:rsid w:val="00B458B6"/>
    <w:rsid w:val="00B459D6"/>
    <w:rsid w:val="00B45A5A"/>
    <w:rsid w:val="00B45C77"/>
    <w:rsid w:val="00B45CE4"/>
    <w:rsid w:val="00B45CF4"/>
    <w:rsid w:val="00B45D26"/>
    <w:rsid w:val="00B45DDE"/>
    <w:rsid w:val="00B45E84"/>
    <w:rsid w:val="00B45F74"/>
    <w:rsid w:val="00B4605E"/>
    <w:rsid w:val="00B4609E"/>
    <w:rsid w:val="00B46170"/>
    <w:rsid w:val="00B464BF"/>
    <w:rsid w:val="00B46796"/>
    <w:rsid w:val="00B467C2"/>
    <w:rsid w:val="00B46952"/>
    <w:rsid w:val="00B46972"/>
    <w:rsid w:val="00B46979"/>
    <w:rsid w:val="00B469F5"/>
    <w:rsid w:val="00B46A03"/>
    <w:rsid w:val="00B46AAB"/>
    <w:rsid w:val="00B46B48"/>
    <w:rsid w:val="00B46C83"/>
    <w:rsid w:val="00B46CDC"/>
    <w:rsid w:val="00B46F8D"/>
    <w:rsid w:val="00B46F96"/>
    <w:rsid w:val="00B47150"/>
    <w:rsid w:val="00B47196"/>
    <w:rsid w:val="00B4747C"/>
    <w:rsid w:val="00B476A1"/>
    <w:rsid w:val="00B47745"/>
    <w:rsid w:val="00B47785"/>
    <w:rsid w:val="00B47995"/>
    <w:rsid w:val="00B47A85"/>
    <w:rsid w:val="00B47DEB"/>
    <w:rsid w:val="00B47E65"/>
    <w:rsid w:val="00B47F21"/>
    <w:rsid w:val="00B47F6D"/>
    <w:rsid w:val="00B5032B"/>
    <w:rsid w:val="00B50408"/>
    <w:rsid w:val="00B505C4"/>
    <w:rsid w:val="00B507C7"/>
    <w:rsid w:val="00B507CC"/>
    <w:rsid w:val="00B50930"/>
    <w:rsid w:val="00B50A34"/>
    <w:rsid w:val="00B50B85"/>
    <w:rsid w:val="00B50BA9"/>
    <w:rsid w:val="00B50C05"/>
    <w:rsid w:val="00B50CDE"/>
    <w:rsid w:val="00B50E33"/>
    <w:rsid w:val="00B51030"/>
    <w:rsid w:val="00B510CA"/>
    <w:rsid w:val="00B511D9"/>
    <w:rsid w:val="00B5138F"/>
    <w:rsid w:val="00B514DA"/>
    <w:rsid w:val="00B5155D"/>
    <w:rsid w:val="00B516E0"/>
    <w:rsid w:val="00B5180E"/>
    <w:rsid w:val="00B519F8"/>
    <w:rsid w:val="00B51AFF"/>
    <w:rsid w:val="00B51B9D"/>
    <w:rsid w:val="00B51C95"/>
    <w:rsid w:val="00B51D2C"/>
    <w:rsid w:val="00B51DBF"/>
    <w:rsid w:val="00B51E1C"/>
    <w:rsid w:val="00B51F65"/>
    <w:rsid w:val="00B5202D"/>
    <w:rsid w:val="00B52067"/>
    <w:rsid w:val="00B522CF"/>
    <w:rsid w:val="00B522D6"/>
    <w:rsid w:val="00B52376"/>
    <w:rsid w:val="00B523CA"/>
    <w:rsid w:val="00B523F0"/>
    <w:rsid w:val="00B52482"/>
    <w:rsid w:val="00B52686"/>
    <w:rsid w:val="00B527F0"/>
    <w:rsid w:val="00B52845"/>
    <w:rsid w:val="00B52925"/>
    <w:rsid w:val="00B529A9"/>
    <w:rsid w:val="00B529C5"/>
    <w:rsid w:val="00B52A13"/>
    <w:rsid w:val="00B52B64"/>
    <w:rsid w:val="00B52BBE"/>
    <w:rsid w:val="00B52BF3"/>
    <w:rsid w:val="00B52D53"/>
    <w:rsid w:val="00B52D64"/>
    <w:rsid w:val="00B52D68"/>
    <w:rsid w:val="00B52E6B"/>
    <w:rsid w:val="00B52F6E"/>
    <w:rsid w:val="00B5301B"/>
    <w:rsid w:val="00B530F8"/>
    <w:rsid w:val="00B53172"/>
    <w:rsid w:val="00B531C7"/>
    <w:rsid w:val="00B53544"/>
    <w:rsid w:val="00B53A58"/>
    <w:rsid w:val="00B53ACE"/>
    <w:rsid w:val="00B53AFF"/>
    <w:rsid w:val="00B53C26"/>
    <w:rsid w:val="00B53D1B"/>
    <w:rsid w:val="00B53D9E"/>
    <w:rsid w:val="00B53DC5"/>
    <w:rsid w:val="00B5421E"/>
    <w:rsid w:val="00B5424F"/>
    <w:rsid w:val="00B542C9"/>
    <w:rsid w:val="00B5438D"/>
    <w:rsid w:val="00B54496"/>
    <w:rsid w:val="00B544E7"/>
    <w:rsid w:val="00B54513"/>
    <w:rsid w:val="00B546BA"/>
    <w:rsid w:val="00B546E5"/>
    <w:rsid w:val="00B5479F"/>
    <w:rsid w:val="00B5482E"/>
    <w:rsid w:val="00B549E5"/>
    <w:rsid w:val="00B54A24"/>
    <w:rsid w:val="00B54A4F"/>
    <w:rsid w:val="00B54A80"/>
    <w:rsid w:val="00B54B57"/>
    <w:rsid w:val="00B54B9F"/>
    <w:rsid w:val="00B54BC2"/>
    <w:rsid w:val="00B54BD8"/>
    <w:rsid w:val="00B54CD6"/>
    <w:rsid w:val="00B54F1E"/>
    <w:rsid w:val="00B54F2C"/>
    <w:rsid w:val="00B55071"/>
    <w:rsid w:val="00B5519A"/>
    <w:rsid w:val="00B5521A"/>
    <w:rsid w:val="00B55452"/>
    <w:rsid w:val="00B555D2"/>
    <w:rsid w:val="00B55640"/>
    <w:rsid w:val="00B55893"/>
    <w:rsid w:val="00B55895"/>
    <w:rsid w:val="00B558EF"/>
    <w:rsid w:val="00B55938"/>
    <w:rsid w:val="00B55A6A"/>
    <w:rsid w:val="00B55B57"/>
    <w:rsid w:val="00B55E5C"/>
    <w:rsid w:val="00B55E6C"/>
    <w:rsid w:val="00B56018"/>
    <w:rsid w:val="00B560F8"/>
    <w:rsid w:val="00B56245"/>
    <w:rsid w:val="00B5632A"/>
    <w:rsid w:val="00B567A7"/>
    <w:rsid w:val="00B5694E"/>
    <w:rsid w:val="00B569F6"/>
    <w:rsid w:val="00B56C3E"/>
    <w:rsid w:val="00B56C8C"/>
    <w:rsid w:val="00B56CE5"/>
    <w:rsid w:val="00B56D34"/>
    <w:rsid w:val="00B56D5C"/>
    <w:rsid w:val="00B56D8B"/>
    <w:rsid w:val="00B56DDF"/>
    <w:rsid w:val="00B56F74"/>
    <w:rsid w:val="00B5711E"/>
    <w:rsid w:val="00B57314"/>
    <w:rsid w:val="00B57328"/>
    <w:rsid w:val="00B57433"/>
    <w:rsid w:val="00B575B7"/>
    <w:rsid w:val="00B576DE"/>
    <w:rsid w:val="00B5772F"/>
    <w:rsid w:val="00B5783C"/>
    <w:rsid w:val="00B57841"/>
    <w:rsid w:val="00B57865"/>
    <w:rsid w:val="00B57884"/>
    <w:rsid w:val="00B578B9"/>
    <w:rsid w:val="00B57AAB"/>
    <w:rsid w:val="00B57F87"/>
    <w:rsid w:val="00B57FD4"/>
    <w:rsid w:val="00B60077"/>
    <w:rsid w:val="00B60146"/>
    <w:rsid w:val="00B60262"/>
    <w:rsid w:val="00B603AC"/>
    <w:rsid w:val="00B60523"/>
    <w:rsid w:val="00B6086D"/>
    <w:rsid w:val="00B608AF"/>
    <w:rsid w:val="00B609A1"/>
    <w:rsid w:val="00B60A0D"/>
    <w:rsid w:val="00B60A14"/>
    <w:rsid w:val="00B60A8F"/>
    <w:rsid w:val="00B60D58"/>
    <w:rsid w:val="00B60E10"/>
    <w:rsid w:val="00B60F62"/>
    <w:rsid w:val="00B61086"/>
    <w:rsid w:val="00B610D1"/>
    <w:rsid w:val="00B611F4"/>
    <w:rsid w:val="00B6147F"/>
    <w:rsid w:val="00B6163E"/>
    <w:rsid w:val="00B61708"/>
    <w:rsid w:val="00B61948"/>
    <w:rsid w:val="00B619F9"/>
    <w:rsid w:val="00B61AC8"/>
    <w:rsid w:val="00B61DFA"/>
    <w:rsid w:val="00B61FB2"/>
    <w:rsid w:val="00B6205A"/>
    <w:rsid w:val="00B62153"/>
    <w:rsid w:val="00B62337"/>
    <w:rsid w:val="00B62493"/>
    <w:rsid w:val="00B625F7"/>
    <w:rsid w:val="00B626EC"/>
    <w:rsid w:val="00B627A9"/>
    <w:rsid w:val="00B628B0"/>
    <w:rsid w:val="00B62A29"/>
    <w:rsid w:val="00B62A44"/>
    <w:rsid w:val="00B62B16"/>
    <w:rsid w:val="00B62D32"/>
    <w:rsid w:val="00B62F54"/>
    <w:rsid w:val="00B6307D"/>
    <w:rsid w:val="00B6316C"/>
    <w:rsid w:val="00B632E5"/>
    <w:rsid w:val="00B633C6"/>
    <w:rsid w:val="00B63759"/>
    <w:rsid w:val="00B63874"/>
    <w:rsid w:val="00B638D1"/>
    <w:rsid w:val="00B63912"/>
    <w:rsid w:val="00B6393F"/>
    <w:rsid w:val="00B63995"/>
    <w:rsid w:val="00B63B14"/>
    <w:rsid w:val="00B63B48"/>
    <w:rsid w:val="00B64174"/>
    <w:rsid w:val="00B64184"/>
    <w:rsid w:val="00B64296"/>
    <w:rsid w:val="00B642C4"/>
    <w:rsid w:val="00B6438B"/>
    <w:rsid w:val="00B6464F"/>
    <w:rsid w:val="00B64974"/>
    <w:rsid w:val="00B64A2C"/>
    <w:rsid w:val="00B64A42"/>
    <w:rsid w:val="00B64AE3"/>
    <w:rsid w:val="00B64B6D"/>
    <w:rsid w:val="00B64CBF"/>
    <w:rsid w:val="00B64DBD"/>
    <w:rsid w:val="00B64DE9"/>
    <w:rsid w:val="00B64E26"/>
    <w:rsid w:val="00B650ED"/>
    <w:rsid w:val="00B65258"/>
    <w:rsid w:val="00B652D3"/>
    <w:rsid w:val="00B65492"/>
    <w:rsid w:val="00B65599"/>
    <w:rsid w:val="00B656B7"/>
    <w:rsid w:val="00B65941"/>
    <w:rsid w:val="00B659CE"/>
    <w:rsid w:val="00B65A2C"/>
    <w:rsid w:val="00B65A56"/>
    <w:rsid w:val="00B65ADD"/>
    <w:rsid w:val="00B65B13"/>
    <w:rsid w:val="00B65B1F"/>
    <w:rsid w:val="00B65BAF"/>
    <w:rsid w:val="00B65DD0"/>
    <w:rsid w:val="00B65DEE"/>
    <w:rsid w:val="00B65DF7"/>
    <w:rsid w:val="00B65F3E"/>
    <w:rsid w:val="00B65FBD"/>
    <w:rsid w:val="00B6605D"/>
    <w:rsid w:val="00B66080"/>
    <w:rsid w:val="00B66117"/>
    <w:rsid w:val="00B662CC"/>
    <w:rsid w:val="00B6676A"/>
    <w:rsid w:val="00B66A12"/>
    <w:rsid w:val="00B66C89"/>
    <w:rsid w:val="00B66E46"/>
    <w:rsid w:val="00B66EE9"/>
    <w:rsid w:val="00B670DD"/>
    <w:rsid w:val="00B671FD"/>
    <w:rsid w:val="00B672C1"/>
    <w:rsid w:val="00B67561"/>
    <w:rsid w:val="00B67586"/>
    <w:rsid w:val="00B67BDC"/>
    <w:rsid w:val="00B67CAE"/>
    <w:rsid w:val="00B67E8A"/>
    <w:rsid w:val="00B67EC3"/>
    <w:rsid w:val="00B67EEF"/>
    <w:rsid w:val="00B67FD2"/>
    <w:rsid w:val="00B67FE9"/>
    <w:rsid w:val="00B70034"/>
    <w:rsid w:val="00B7009B"/>
    <w:rsid w:val="00B700E7"/>
    <w:rsid w:val="00B70134"/>
    <w:rsid w:val="00B702B9"/>
    <w:rsid w:val="00B702DB"/>
    <w:rsid w:val="00B70343"/>
    <w:rsid w:val="00B7038A"/>
    <w:rsid w:val="00B7042D"/>
    <w:rsid w:val="00B7049A"/>
    <w:rsid w:val="00B704EF"/>
    <w:rsid w:val="00B7058F"/>
    <w:rsid w:val="00B705EE"/>
    <w:rsid w:val="00B70888"/>
    <w:rsid w:val="00B709B6"/>
    <w:rsid w:val="00B70A33"/>
    <w:rsid w:val="00B70C5F"/>
    <w:rsid w:val="00B70C85"/>
    <w:rsid w:val="00B70D46"/>
    <w:rsid w:val="00B70D86"/>
    <w:rsid w:val="00B710F5"/>
    <w:rsid w:val="00B7114B"/>
    <w:rsid w:val="00B71202"/>
    <w:rsid w:val="00B7150B"/>
    <w:rsid w:val="00B716B0"/>
    <w:rsid w:val="00B716C8"/>
    <w:rsid w:val="00B716E4"/>
    <w:rsid w:val="00B716F7"/>
    <w:rsid w:val="00B7195F"/>
    <w:rsid w:val="00B71971"/>
    <w:rsid w:val="00B719B2"/>
    <w:rsid w:val="00B71A33"/>
    <w:rsid w:val="00B71ACA"/>
    <w:rsid w:val="00B71B96"/>
    <w:rsid w:val="00B71B9E"/>
    <w:rsid w:val="00B71DDF"/>
    <w:rsid w:val="00B720EA"/>
    <w:rsid w:val="00B72266"/>
    <w:rsid w:val="00B72415"/>
    <w:rsid w:val="00B724BF"/>
    <w:rsid w:val="00B724D9"/>
    <w:rsid w:val="00B72574"/>
    <w:rsid w:val="00B726F4"/>
    <w:rsid w:val="00B727A9"/>
    <w:rsid w:val="00B727BD"/>
    <w:rsid w:val="00B728BF"/>
    <w:rsid w:val="00B7294A"/>
    <w:rsid w:val="00B72976"/>
    <w:rsid w:val="00B72A27"/>
    <w:rsid w:val="00B72C0D"/>
    <w:rsid w:val="00B72C42"/>
    <w:rsid w:val="00B72C81"/>
    <w:rsid w:val="00B72CA5"/>
    <w:rsid w:val="00B72D49"/>
    <w:rsid w:val="00B72E7E"/>
    <w:rsid w:val="00B72EA9"/>
    <w:rsid w:val="00B72F1D"/>
    <w:rsid w:val="00B72F23"/>
    <w:rsid w:val="00B72F3E"/>
    <w:rsid w:val="00B72FE3"/>
    <w:rsid w:val="00B73047"/>
    <w:rsid w:val="00B73267"/>
    <w:rsid w:val="00B7351B"/>
    <w:rsid w:val="00B7354C"/>
    <w:rsid w:val="00B73761"/>
    <w:rsid w:val="00B737CB"/>
    <w:rsid w:val="00B738A1"/>
    <w:rsid w:val="00B73938"/>
    <w:rsid w:val="00B73A1E"/>
    <w:rsid w:val="00B73BC0"/>
    <w:rsid w:val="00B73C70"/>
    <w:rsid w:val="00B73CDC"/>
    <w:rsid w:val="00B73DFF"/>
    <w:rsid w:val="00B73E59"/>
    <w:rsid w:val="00B73E93"/>
    <w:rsid w:val="00B73F14"/>
    <w:rsid w:val="00B7403E"/>
    <w:rsid w:val="00B74194"/>
    <w:rsid w:val="00B741C2"/>
    <w:rsid w:val="00B74304"/>
    <w:rsid w:val="00B747DA"/>
    <w:rsid w:val="00B747F0"/>
    <w:rsid w:val="00B74A1E"/>
    <w:rsid w:val="00B74B24"/>
    <w:rsid w:val="00B74BE3"/>
    <w:rsid w:val="00B74D71"/>
    <w:rsid w:val="00B74DC0"/>
    <w:rsid w:val="00B74EA4"/>
    <w:rsid w:val="00B74EE7"/>
    <w:rsid w:val="00B74F06"/>
    <w:rsid w:val="00B74FFB"/>
    <w:rsid w:val="00B7500B"/>
    <w:rsid w:val="00B750A9"/>
    <w:rsid w:val="00B75119"/>
    <w:rsid w:val="00B7516D"/>
    <w:rsid w:val="00B752B4"/>
    <w:rsid w:val="00B7532F"/>
    <w:rsid w:val="00B75417"/>
    <w:rsid w:val="00B75422"/>
    <w:rsid w:val="00B755A1"/>
    <w:rsid w:val="00B75659"/>
    <w:rsid w:val="00B75708"/>
    <w:rsid w:val="00B7580B"/>
    <w:rsid w:val="00B758AE"/>
    <w:rsid w:val="00B75937"/>
    <w:rsid w:val="00B75A76"/>
    <w:rsid w:val="00B75BB6"/>
    <w:rsid w:val="00B75BBA"/>
    <w:rsid w:val="00B75DE4"/>
    <w:rsid w:val="00B75E3E"/>
    <w:rsid w:val="00B762F8"/>
    <w:rsid w:val="00B763E2"/>
    <w:rsid w:val="00B76457"/>
    <w:rsid w:val="00B765FC"/>
    <w:rsid w:val="00B767B7"/>
    <w:rsid w:val="00B767BE"/>
    <w:rsid w:val="00B76B5E"/>
    <w:rsid w:val="00B76B67"/>
    <w:rsid w:val="00B76B96"/>
    <w:rsid w:val="00B76DDA"/>
    <w:rsid w:val="00B76EB7"/>
    <w:rsid w:val="00B76EF9"/>
    <w:rsid w:val="00B7704D"/>
    <w:rsid w:val="00B771AE"/>
    <w:rsid w:val="00B7732F"/>
    <w:rsid w:val="00B77673"/>
    <w:rsid w:val="00B77808"/>
    <w:rsid w:val="00B77BC8"/>
    <w:rsid w:val="00B77DAF"/>
    <w:rsid w:val="00B77DC5"/>
    <w:rsid w:val="00B77EBF"/>
    <w:rsid w:val="00B8022E"/>
    <w:rsid w:val="00B8047B"/>
    <w:rsid w:val="00B804C9"/>
    <w:rsid w:val="00B8063E"/>
    <w:rsid w:val="00B80868"/>
    <w:rsid w:val="00B808AB"/>
    <w:rsid w:val="00B80961"/>
    <w:rsid w:val="00B80F51"/>
    <w:rsid w:val="00B80FC2"/>
    <w:rsid w:val="00B81031"/>
    <w:rsid w:val="00B81099"/>
    <w:rsid w:val="00B811EA"/>
    <w:rsid w:val="00B8133C"/>
    <w:rsid w:val="00B813E8"/>
    <w:rsid w:val="00B8142E"/>
    <w:rsid w:val="00B81598"/>
    <w:rsid w:val="00B81603"/>
    <w:rsid w:val="00B81851"/>
    <w:rsid w:val="00B818AB"/>
    <w:rsid w:val="00B81B23"/>
    <w:rsid w:val="00B81B71"/>
    <w:rsid w:val="00B81C82"/>
    <w:rsid w:val="00B81F54"/>
    <w:rsid w:val="00B81F72"/>
    <w:rsid w:val="00B8217C"/>
    <w:rsid w:val="00B8259C"/>
    <w:rsid w:val="00B826E7"/>
    <w:rsid w:val="00B8273A"/>
    <w:rsid w:val="00B8278D"/>
    <w:rsid w:val="00B82835"/>
    <w:rsid w:val="00B82AC3"/>
    <w:rsid w:val="00B82C1E"/>
    <w:rsid w:val="00B82DAA"/>
    <w:rsid w:val="00B82DED"/>
    <w:rsid w:val="00B82EC8"/>
    <w:rsid w:val="00B82F31"/>
    <w:rsid w:val="00B83120"/>
    <w:rsid w:val="00B8322D"/>
    <w:rsid w:val="00B83296"/>
    <w:rsid w:val="00B832C8"/>
    <w:rsid w:val="00B83350"/>
    <w:rsid w:val="00B83378"/>
    <w:rsid w:val="00B833A7"/>
    <w:rsid w:val="00B833DF"/>
    <w:rsid w:val="00B834CA"/>
    <w:rsid w:val="00B834FC"/>
    <w:rsid w:val="00B835CF"/>
    <w:rsid w:val="00B835D6"/>
    <w:rsid w:val="00B836B4"/>
    <w:rsid w:val="00B83843"/>
    <w:rsid w:val="00B83858"/>
    <w:rsid w:val="00B8394B"/>
    <w:rsid w:val="00B839CB"/>
    <w:rsid w:val="00B83A6E"/>
    <w:rsid w:val="00B83A80"/>
    <w:rsid w:val="00B83AB0"/>
    <w:rsid w:val="00B83AC9"/>
    <w:rsid w:val="00B83B14"/>
    <w:rsid w:val="00B83B27"/>
    <w:rsid w:val="00B83D78"/>
    <w:rsid w:val="00B83D85"/>
    <w:rsid w:val="00B83F4E"/>
    <w:rsid w:val="00B83FA1"/>
    <w:rsid w:val="00B83FB0"/>
    <w:rsid w:val="00B840A6"/>
    <w:rsid w:val="00B84200"/>
    <w:rsid w:val="00B8429F"/>
    <w:rsid w:val="00B8436C"/>
    <w:rsid w:val="00B84431"/>
    <w:rsid w:val="00B8447C"/>
    <w:rsid w:val="00B84488"/>
    <w:rsid w:val="00B84574"/>
    <w:rsid w:val="00B84694"/>
    <w:rsid w:val="00B8476A"/>
    <w:rsid w:val="00B847D9"/>
    <w:rsid w:val="00B84DF0"/>
    <w:rsid w:val="00B84EB9"/>
    <w:rsid w:val="00B84F1D"/>
    <w:rsid w:val="00B84F2E"/>
    <w:rsid w:val="00B84FF0"/>
    <w:rsid w:val="00B85170"/>
    <w:rsid w:val="00B85288"/>
    <w:rsid w:val="00B852A9"/>
    <w:rsid w:val="00B8530C"/>
    <w:rsid w:val="00B8556A"/>
    <w:rsid w:val="00B8563B"/>
    <w:rsid w:val="00B85680"/>
    <w:rsid w:val="00B856CD"/>
    <w:rsid w:val="00B8570C"/>
    <w:rsid w:val="00B85771"/>
    <w:rsid w:val="00B857CD"/>
    <w:rsid w:val="00B858BF"/>
    <w:rsid w:val="00B858CC"/>
    <w:rsid w:val="00B858CF"/>
    <w:rsid w:val="00B858D4"/>
    <w:rsid w:val="00B85A07"/>
    <w:rsid w:val="00B85B09"/>
    <w:rsid w:val="00B85C82"/>
    <w:rsid w:val="00B85F71"/>
    <w:rsid w:val="00B85F9F"/>
    <w:rsid w:val="00B85FEA"/>
    <w:rsid w:val="00B86063"/>
    <w:rsid w:val="00B8611A"/>
    <w:rsid w:val="00B86195"/>
    <w:rsid w:val="00B86229"/>
    <w:rsid w:val="00B86277"/>
    <w:rsid w:val="00B86432"/>
    <w:rsid w:val="00B86525"/>
    <w:rsid w:val="00B86539"/>
    <w:rsid w:val="00B86668"/>
    <w:rsid w:val="00B8666C"/>
    <w:rsid w:val="00B86705"/>
    <w:rsid w:val="00B8670B"/>
    <w:rsid w:val="00B8676A"/>
    <w:rsid w:val="00B867C8"/>
    <w:rsid w:val="00B867DA"/>
    <w:rsid w:val="00B86859"/>
    <w:rsid w:val="00B868F1"/>
    <w:rsid w:val="00B86910"/>
    <w:rsid w:val="00B86911"/>
    <w:rsid w:val="00B86A32"/>
    <w:rsid w:val="00B86A58"/>
    <w:rsid w:val="00B86A90"/>
    <w:rsid w:val="00B86A96"/>
    <w:rsid w:val="00B86D26"/>
    <w:rsid w:val="00B86D7F"/>
    <w:rsid w:val="00B86DA9"/>
    <w:rsid w:val="00B86F80"/>
    <w:rsid w:val="00B87124"/>
    <w:rsid w:val="00B87206"/>
    <w:rsid w:val="00B87300"/>
    <w:rsid w:val="00B87423"/>
    <w:rsid w:val="00B875ED"/>
    <w:rsid w:val="00B876CF"/>
    <w:rsid w:val="00B8775F"/>
    <w:rsid w:val="00B878B0"/>
    <w:rsid w:val="00B87A3A"/>
    <w:rsid w:val="00B87B1F"/>
    <w:rsid w:val="00B87F67"/>
    <w:rsid w:val="00B90061"/>
    <w:rsid w:val="00B902D1"/>
    <w:rsid w:val="00B90786"/>
    <w:rsid w:val="00B90941"/>
    <w:rsid w:val="00B909FB"/>
    <w:rsid w:val="00B90B33"/>
    <w:rsid w:val="00B90B88"/>
    <w:rsid w:val="00B90C03"/>
    <w:rsid w:val="00B90C87"/>
    <w:rsid w:val="00B90E12"/>
    <w:rsid w:val="00B91000"/>
    <w:rsid w:val="00B910EB"/>
    <w:rsid w:val="00B9124F"/>
    <w:rsid w:val="00B9142A"/>
    <w:rsid w:val="00B91463"/>
    <w:rsid w:val="00B914C6"/>
    <w:rsid w:val="00B9152C"/>
    <w:rsid w:val="00B916A6"/>
    <w:rsid w:val="00B917A3"/>
    <w:rsid w:val="00B91803"/>
    <w:rsid w:val="00B91988"/>
    <w:rsid w:val="00B91A1F"/>
    <w:rsid w:val="00B91C06"/>
    <w:rsid w:val="00B91E07"/>
    <w:rsid w:val="00B91EF9"/>
    <w:rsid w:val="00B91F9D"/>
    <w:rsid w:val="00B91FD1"/>
    <w:rsid w:val="00B91FF5"/>
    <w:rsid w:val="00B9205C"/>
    <w:rsid w:val="00B92145"/>
    <w:rsid w:val="00B921A5"/>
    <w:rsid w:val="00B9267A"/>
    <w:rsid w:val="00B92761"/>
    <w:rsid w:val="00B9276E"/>
    <w:rsid w:val="00B92783"/>
    <w:rsid w:val="00B927C3"/>
    <w:rsid w:val="00B927E7"/>
    <w:rsid w:val="00B92874"/>
    <w:rsid w:val="00B929CF"/>
    <w:rsid w:val="00B92A8A"/>
    <w:rsid w:val="00B92BBC"/>
    <w:rsid w:val="00B92CBA"/>
    <w:rsid w:val="00B92D43"/>
    <w:rsid w:val="00B92DBF"/>
    <w:rsid w:val="00B9302F"/>
    <w:rsid w:val="00B9313E"/>
    <w:rsid w:val="00B9315C"/>
    <w:rsid w:val="00B9328C"/>
    <w:rsid w:val="00B932C0"/>
    <w:rsid w:val="00B9332E"/>
    <w:rsid w:val="00B93590"/>
    <w:rsid w:val="00B93703"/>
    <w:rsid w:val="00B939BA"/>
    <w:rsid w:val="00B93B67"/>
    <w:rsid w:val="00B93D0C"/>
    <w:rsid w:val="00B93FDD"/>
    <w:rsid w:val="00B94032"/>
    <w:rsid w:val="00B94081"/>
    <w:rsid w:val="00B9414A"/>
    <w:rsid w:val="00B94268"/>
    <w:rsid w:val="00B94374"/>
    <w:rsid w:val="00B94627"/>
    <w:rsid w:val="00B94766"/>
    <w:rsid w:val="00B947B7"/>
    <w:rsid w:val="00B948A4"/>
    <w:rsid w:val="00B94A4A"/>
    <w:rsid w:val="00B94AFC"/>
    <w:rsid w:val="00B94F82"/>
    <w:rsid w:val="00B9516C"/>
    <w:rsid w:val="00B951ED"/>
    <w:rsid w:val="00B9532B"/>
    <w:rsid w:val="00B95557"/>
    <w:rsid w:val="00B955CA"/>
    <w:rsid w:val="00B957EC"/>
    <w:rsid w:val="00B95AB1"/>
    <w:rsid w:val="00B95C8F"/>
    <w:rsid w:val="00B95D1D"/>
    <w:rsid w:val="00B95D64"/>
    <w:rsid w:val="00B95EA4"/>
    <w:rsid w:val="00B95F24"/>
    <w:rsid w:val="00B95F4C"/>
    <w:rsid w:val="00B96123"/>
    <w:rsid w:val="00B9619F"/>
    <w:rsid w:val="00B961A1"/>
    <w:rsid w:val="00B96297"/>
    <w:rsid w:val="00B96308"/>
    <w:rsid w:val="00B96375"/>
    <w:rsid w:val="00B9645A"/>
    <w:rsid w:val="00B96465"/>
    <w:rsid w:val="00B96502"/>
    <w:rsid w:val="00B966DD"/>
    <w:rsid w:val="00B967CA"/>
    <w:rsid w:val="00B967ED"/>
    <w:rsid w:val="00B96998"/>
    <w:rsid w:val="00B96A89"/>
    <w:rsid w:val="00B96BCF"/>
    <w:rsid w:val="00B96DE6"/>
    <w:rsid w:val="00B96DEF"/>
    <w:rsid w:val="00B96FFD"/>
    <w:rsid w:val="00B970D4"/>
    <w:rsid w:val="00B9711D"/>
    <w:rsid w:val="00B97253"/>
    <w:rsid w:val="00B9771E"/>
    <w:rsid w:val="00B97964"/>
    <w:rsid w:val="00B979C9"/>
    <w:rsid w:val="00B97A74"/>
    <w:rsid w:val="00B97B9B"/>
    <w:rsid w:val="00B97D07"/>
    <w:rsid w:val="00B97E2C"/>
    <w:rsid w:val="00B97E45"/>
    <w:rsid w:val="00B97F23"/>
    <w:rsid w:val="00B97F38"/>
    <w:rsid w:val="00BA00BA"/>
    <w:rsid w:val="00BA0167"/>
    <w:rsid w:val="00BA01C0"/>
    <w:rsid w:val="00BA02DA"/>
    <w:rsid w:val="00BA0381"/>
    <w:rsid w:val="00BA0585"/>
    <w:rsid w:val="00BA05E5"/>
    <w:rsid w:val="00BA0618"/>
    <w:rsid w:val="00BA0782"/>
    <w:rsid w:val="00BA0953"/>
    <w:rsid w:val="00BA09E9"/>
    <w:rsid w:val="00BA0A34"/>
    <w:rsid w:val="00BA0A91"/>
    <w:rsid w:val="00BA0AAF"/>
    <w:rsid w:val="00BA0B38"/>
    <w:rsid w:val="00BA0BAB"/>
    <w:rsid w:val="00BA0CE2"/>
    <w:rsid w:val="00BA0CEB"/>
    <w:rsid w:val="00BA0D09"/>
    <w:rsid w:val="00BA0D78"/>
    <w:rsid w:val="00BA0E64"/>
    <w:rsid w:val="00BA0F13"/>
    <w:rsid w:val="00BA1042"/>
    <w:rsid w:val="00BA11CA"/>
    <w:rsid w:val="00BA129D"/>
    <w:rsid w:val="00BA12F6"/>
    <w:rsid w:val="00BA134C"/>
    <w:rsid w:val="00BA134D"/>
    <w:rsid w:val="00BA13A0"/>
    <w:rsid w:val="00BA13C5"/>
    <w:rsid w:val="00BA1438"/>
    <w:rsid w:val="00BA14AF"/>
    <w:rsid w:val="00BA164A"/>
    <w:rsid w:val="00BA171C"/>
    <w:rsid w:val="00BA174D"/>
    <w:rsid w:val="00BA17E8"/>
    <w:rsid w:val="00BA194E"/>
    <w:rsid w:val="00BA1988"/>
    <w:rsid w:val="00BA1AB5"/>
    <w:rsid w:val="00BA1AED"/>
    <w:rsid w:val="00BA1B88"/>
    <w:rsid w:val="00BA1BE1"/>
    <w:rsid w:val="00BA1BE9"/>
    <w:rsid w:val="00BA1C25"/>
    <w:rsid w:val="00BA1CEC"/>
    <w:rsid w:val="00BA1D59"/>
    <w:rsid w:val="00BA1DB1"/>
    <w:rsid w:val="00BA1F18"/>
    <w:rsid w:val="00BA1F57"/>
    <w:rsid w:val="00BA1F74"/>
    <w:rsid w:val="00BA2090"/>
    <w:rsid w:val="00BA220B"/>
    <w:rsid w:val="00BA22D3"/>
    <w:rsid w:val="00BA2477"/>
    <w:rsid w:val="00BA26D2"/>
    <w:rsid w:val="00BA272F"/>
    <w:rsid w:val="00BA27DD"/>
    <w:rsid w:val="00BA2D02"/>
    <w:rsid w:val="00BA2DA9"/>
    <w:rsid w:val="00BA2DAE"/>
    <w:rsid w:val="00BA2E2C"/>
    <w:rsid w:val="00BA2E39"/>
    <w:rsid w:val="00BA2E44"/>
    <w:rsid w:val="00BA2F8F"/>
    <w:rsid w:val="00BA3080"/>
    <w:rsid w:val="00BA3102"/>
    <w:rsid w:val="00BA3649"/>
    <w:rsid w:val="00BA3809"/>
    <w:rsid w:val="00BA3874"/>
    <w:rsid w:val="00BA3BB9"/>
    <w:rsid w:val="00BA3C2A"/>
    <w:rsid w:val="00BA3C4F"/>
    <w:rsid w:val="00BA3D23"/>
    <w:rsid w:val="00BA3D43"/>
    <w:rsid w:val="00BA412C"/>
    <w:rsid w:val="00BA4141"/>
    <w:rsid w:val="00BA41DE"/>
    <w:rsid w:val="00BA41F2"/>
    <w:rsid w:val="00BA4391"/>
    <w:rsid w:val="00BA4423"/>
    <w:rsid w:val="00BA4596"/>
    <w:rsid w:val="00BA466A"/>
    <w:rsid w:val="00BA4672"/>
    <w:rsid w:val="00BA46B2"/>
    <w:rsid w:val="00BA46E8"/>
    <w:rsid w:val="00BA47F1"/>
    <w:rsid w:val="00BA47FD"/>
    <w:rsid w:val="00BA49AB"/>
    <w:rsid w:val="00BA4C29"/>
    <w:rsid w:val="00BA4C96"/>
    <w:rsid w:val="00BA4E9A"/>
    <w:rsid w:val="00BA4ED7"/>
    <w:rsid w:val="00BA4F61"/>
    <w:rsid w:val="00BA5106"/>
    <w:rsid w:val="00BA51B8"/>
    <w:rsid w:val="00BA5595"/>
    <w:rsid w:val="00BA55F7"/>
    <w:rsid w:val="00BA5627"/>
    <w:rsid w:val="00BA5643"/>
    <w:rsid w:val="00BA568B"/>
    <w:rsid w:val="00BA591A"/>
    <w:rsid w:val="00BA5CE1"/>
    <w:rsid w:val="00BA5D14"/>
    <w:rsid w:val="00BA5D16"/>
    <w:rsid w:val="00BA5D43"/>
    <w:rsid w:val="00BA5DB0"/>
    <w:rsid w:val="00BA5ECE"/>
    <w:rsid w:val="00BA611A"/>
    <w:rsid w:val="00BA6150"/>
    <w:rsid w:val="00BA6170"/>
    <w:rsid w:val="00BA628D"/>
    <w:rsid w:val="00BA6456"/>
    <w:rsid w:val="00BA6475"/>
    <w:rsid w:val="00BA65CE"/>
    <w:rsid w:val="00BA66A7"/>
    <w:rsid w:val="00BA67B4"/>
    <w:rsid w:val="00BA683A"/>
    <w:rsid w:val="00BA68CE"/>
    <w:rsid w:val="00BA6A2D"/>
    <w:rsid w:val="00BA6A61"/>
    <w:rsid w:val="00BA6A74"/>
    <w:rsid w:val="00BA6A9A"/>
    <w:rsid w:val="00BA6B0C"/>
    <w:rsid w:val="00BA6B4E"/>
    <w:rsid w:val="00BA6CA4"/>
    <w:rsid w:val="00BA6CD3"/>
    <w:rsid w:val="00BA6E3A"/>
    <w:rsid w:val="00BA6E63"/>
    <w:rsid w:val="00BA6F52"/>
    <w:rsid w:val="00BA6F85"/>
    <w:rsid w:val="00BA7001"/>
    <w:rsid w:val="00BA7029"/>
    <w:rsid w:val="00BA70BE"/>
    <w:rsid w:val="00BA7267"/>
    <w:rsid w:val="00BA72B7"/>
    <w:rsid w:val="00BA739D"/>
    <w:rsid w:val="00BA73C6"/>
    <w:rsid w:val="00BA7842"/>
    <w:rsid w:val="00BA7844"/>
    <w:rsid w:val="00BA7950"/>
    <w:rsid w:val="00BA7AFD"/>
    <w:rsid w:val="00BA7CF7"/>
    <w:rsid w:val="00BA7E62"/>
    <w:rsid w:val="00BB0137"/>
    <w:rsid w:val="00BB0293"/>
    <w:rsid w:val="00BB03D3"/>
    <w:rsid w:val="00BB0424"/>
    <w:rsid w:val="00BB04F4"/>
    <w:rsid w:val="00BB051D"/>
    <w:rsid w:val="00BB05AD"/>
    <w:rsid w:val="00BB0884"/>
    <w:rsid w:val="00BB093C"/>
    <w:rsid w:val="00BB0968"/>
    <w:rsid w:val="00BB0984"/>
    <w:rsid w:val="00BB0B29"/>
    <w:rsid w:val="00BB0B89"/>
    <w:rsid w:val="00BB0C50"/>
    <w:rsid w:val="00BB0C51"/>
    <w:rsid w:val="00BB0D20"/>
    <w:rsid w:val="00BB0DDD"/>
    <w:rsid w:val="00BB1021"/>
    <w:rsid w:val="00BB135C"/>
    <w:rsid w:val="00BB145D"/>
    <w:rsid w:val="00BB147F"/>
    <w:rsid w:val="00BB15ED"/>
    <w:rsid w:val="00BB168F"/>
    <w:rsid w:val="00BB16DE"/>
    <w:rsid w:val="00BB17D5"/>
    <w:rsid w:val="00BB187A"/>
    <w:rsid w:val="00BB1C96"/>
    <w:rsid w:val="00BB1CB4"/>
    <w:rsid w:val="00BB1DC4"/>
    <w:rsid w:val="00BB1F14"/>
    <w:rsid w:val="00BB1FF8"/>
    <w:rsid w:val="00BB2003"/>
    <w:rsid w:val="00BB210E"/>
    <w:rsid w:val="00BB21FB"/>
    <w:rsid w:val="00BB2256"/>
    <w:rsid w:val="00BB22FF"/>
    <w:rsid w:val="00BB2411"/>
    <w:rsid w:val="00BB251A"/>
    <w:rsid w:val="00BB2601"/>
    <w:rsid w:val="00BB2632"/>
    <w:rsid w:val="00BB26A3"/>
    <w:rsid w:val="00BB27A5"/>
    <w:rsid w:val="00BB2812"/>
    <w:rsid w:val="00BB2998"/>
    <w:rsid w:val="00BB2A38"/>
    <w:rsid w:val="00BB2A97"/>
    <w:rsid w:val="00BB2D98"/>
    <w:rsid w:val="00BB2E4D"/>
    <w:rsid w:val="00BB3020"/>
    <w:rsid w:val="00BB302F"/>
    <w:rsid w:val="00BB3088"/>
    <w:rsid w:val="00BB3093"/>
    <w:rsid w:val="00BB30AF"/>
    <w:rsid w:val="00BB30B9"/>
    <w:rsid w:val="00BB30C0"/>
    <w:rsid w:val="00BB31AC"/>
    <w:rsid w:val="00BB31AD"/>
    <w:rsid w:val="00BB32A4"/>
    <w:rsid w:val="00BB3402"/>
    <w:rsid w:val="00BB3418"/>
    <w:rsid w:val="00BB34B8"/>
    <w:rsid w:val="00BB371B"/>
    <w:rsid w:val="00BB378C"/>
    <w:rsid w:val="00BB37B5"/>
    <w:rsid w:val="00BB3A3B"/>
    <w:rsid w:val="00BB3B7D"/>
    <w:rsid w:val="00BB3BEC"/>
    <w:rsid w:val="00BB3C55"/>
    <w:rsid w:val="00BB3CA1"/>
    <w:rsid w:val="00BB3E7A"/>
    <w:rsid w:val="00BB3F6C"/>
    <w:rsid w:val="00BB4073"/>
    <w:rsid w:val="00BB407F"/>
    <w:rsid w:val="00BB4123"/>
    <w:rsid w:val="00BB4221"/>
    <w:rsid w:val="00BB42E8"/>
    <w:rsid w:val="00BB454B"/>
    <w:rsid w:val="00BB46D2"/>
    <w:rsid w:val="00BB4857"/>
    <w:rsid w:val="00BB4868"/>
    <w:rsid w:val="00BB48DD"/>
    <w:rsid w:val="00BB49DC"/>
    <w:rsid w:val="00BB4A13"/>
    <w:rsid w:val="00BB4A4B"/>
    <w:rsid w:val="00BB4ABA"/>
    <w:rsid w:val="00BB4AF2"/>
    <w:rsid w:val="00BB4F1C"/>
    <w:rsid w:val="00BB4FB4"/>
    <w:rsid w:val="00BB5154"/>
    <w:rsid w:val="00BB51BE"/>
    <w:rsid w:val="00BB524A"/>
    <w:rsid w:val="00BB5256"/>
    <w:rsid w:val="00BB5331"/>
    <w:rsid w:val="00BB5398"/>
    <w:rsid w:val="00BB54F7"/>
    <w:rsid w:val="00BB557F"/>
    <w:rsid w:val="00BB5593"/>
    <w:rsid w:val="00BB559D"/>
    <w:rsid w:val="00BB59F8"/>
    <w:rsid w:val="00BB5A0E"/>
    <w:rsid w:val="00BB5CAC"/>
    <w:rsid w:val="00BB5CAE"/>
    <w:rsid w:val="00BB5CB5"/>
    <w:rsid w:val="00BB5D20"/>
    <w:rsid w:val="00BB5E2E"/>
    <w:rsid w:val="00BB5F35"/>
    <w:rsid w:val="00BB5FD1"/>
    <w:rsid w:val="00BB614C"/>
    <w:rsid w:val="00BB619D"/>
    <w:rsid w:val="00BB639D"/>
    <w:rsid w:val="00BB63A0"/>
    <w:rsid w:val="00BB642E"/>
    <w:rsid w:val="00BB66EB"/>
    <w:rsid w:val="00BB69DB"/>
    <w:rsid w:val="00BB6ABE"/>
    <w:rsid w:val="00BB6B56"/>
    <w:rsid w:val="00BB6C3E"/>
    <w:rsid w:val="00BB6C54"/>
    <w:rsid w:val="00BB6C57"/>
    <w:rsid w:val="00BB6DD0"/>
    <w:rsid w:val="00BB6FDD"/>
    <w:rsid w:val="00BB7083"/>
    <w:rsid w:val="00BB7791"/>
    <w:rsid w:val="00BB7824"/>
    <w:rsid w:val="00BB7917"/>
    <w:rsid w:val="00BB7A47"/>
    <w:rsid w:val="00BB7B2D"/>
    <w:rsid w:val="00BB7B4E"/>
    <w:rsid w:val="00BB7D21"/>
    <w:rsid w:val="00BB7D74"/>
    <w:rsid w:val="00BB7DC7"/>
    <w:rsid w:val="00BB7E96"/>
    <w:rsid w:val="00BB7F14"/>
    <w:rsid w:val="00BC008A"/>
    <w:rsid w:val="00BC0275"/>
    <w:rsid w:val="00BC03D1"/>
    <w:rsid w:val="00BC0549"/>
    <w:rsid w:val="00BC058D"/>
    <w:rsid w:val="00BC06F6"/>
    <w:rsid w:val="00BC0773"/>
    <w:rsid w:val="00BC08D3"/>
    <w:rsid w:val="00BC09C6"/>
    <w:rsid w:val="00BC0A31"/>
    <w:rsid w:val="00BC0C6A"/>
    <w:rsid w:val="00BC0CA8"/>
    <w:rsid w:val="00BC0CAC"/>
    <w:rsid w:val="00BC0DF2"/>
    <w:rsid w:val="00BC0E8E"/>
    <w:rsid w:val="00BC0F87"/>
    <w:rsid w:val="00BC10A0"/>
    <w:rsid w:val="00BC10BE"/>
    <w:rsid w:val="00BC11AD"/>
    <w:rsid w:val="00BC1228"/>
    <w:rsid w:val="00BC1298"/>
    <w:rsid w:val="00BC12B1"/>
    <w:rsid w:val="00BC12C5"/>
    <w:rsid w:val="00BC147F"/>
    <w:rsid w:val="00BC15FC"/>
    <w:rsid w:val="00BC16F9"/>
    <w:rsid w:val="00BC18DA"/>
    <w:rsid w:val="00BC1906"/>
    <w:rsid w:val="00BC1986"/>
    <w:rsid w:val="00BC1B82"/>
    <w:rsid w:val="00BC1BEE"/>
    <w:rsid w:val="00BC1C2E"/>
    <w:rsid w:val="00BC1D3F"/>
    <w:rsid w:val="00BC1D42"/>
    <w:rsid w:val="00BC1E2A"/>
    <w:rsid w:val="00BC217B"/>
    <w:rsid w:val="00BC2244"/>
    <w:rsid w:val="00BC225E"/>
    <w:rsid w:val="00BC22C1"/>
    <w:rsid w:val="00BC24E8"/>
    <w:rsid w:val="00BC2528"/>
    <w:rsid w:val="00BC2728"/>
    <w:rsid w:val="00BC2791"/>
    <w:rsid w:val="00BC27AC"/>
    <w:rsid w:val="00BC2801"/>
    <w:rsid w:val="00BC28C3"/>
    <w:rsid w:val="00BC28E0"/>
    <w:rsid w:val="00BC2C5A"/>
    <w:rsid w:val="00BC2D4E"/>
    <w:rsid w:val="00BC2DA9"/>
    <w:rsid w:val="00BC2E2C"/>
    <w:rsid w:val="00BC2FC3"/>
    <w:rsid w:val="00BC32DF"/>
    <w:rsid w:val="00BC33D1"/>
    <w:rsid w:val="00BC33EE"/>
    <w:rsid w:val="00BC352B"/>
    <w:rsid w:val="00BC37E2"/>
    <w:rsid w:val="00BC3843"/>
    <w:rsid w:val="00BC39F8"/>
    <w:rsid w:val="00BC3A0D"/>
    <w:rsid w:val="00BC3A3A"/>
    <w:rsid w:val="00BC3E16"/>
    <w:rsid w:val="00BC3E59"/>
    <w:rsid w:val="00BC3EC7"/>
    <w:rsid w:val="00BC4088"/>
    <w:rsid w:val="00BC440F"/>
    <w:rsid w:val="00BC46C0"/>
    <w:rsid w:val="00BC46C1"/>
    <w:rsid w:val="00BC4956"/>
    <w:rsid w:val="00BC4A10"/>
    <w:rsid w:val="00BC4A3D"/>
    <w:rsid w:val="00BC4A42"/>
    <w:rsid w:val="00BC4AD8"/>
    <w:rsid w:val="00BC4C2A"/>
    <w:rsid w:val="00BC4C46"/>
    <w:rsid w:val="00BC4D7D"/>
    <w:rsid w:val="00BC4DEC"/>
    <w:rsid w:val="00BC4E1F"/>
    <w:rsid w:val="00BC4EC4"/>
    <w:rsid w:val="00BC4ECE"/>
    <w:rsid w:val="00BC4ED2"/>
    <w:rsid w:val="00BC5247"/>
    <w:rsid w:val="00BC52B6"/>
    <w:rsid w:val="00BC54FD"/>
    <w:rsid w:val="00BC55C3"/>
    <w:rsid w:val="00BC569A"/>
    <w:rsid w:val="00BC5841"/>
    <w:rsid w:val="00BC585A"/>
    <w:rsid w:val="00BC5861"/>
    <w:rsid w:val="00BC59BD"/>
    <w:rsid w:val="00BC5EA0"/>
    <w:rsid w:val="00BC6053"/>
    <w:rsid w:val="00BC6119"/>
    <w:rsid w:val="00BC611A"/>
    <w:rsid w:val="00BC6686"/>
    <w:rsid w:val="00BC69A2"/>
    <w:rsid w:val="00BC6AAC"/>
    <w:rsid w:val="00BC6BD2"/>
    <w:rsid w:val="00BC6D1A"/>
    <w:rsid w:val="00BC6EBB"/>
    <w:rsid w:val="00BC71BA"/>
    <w:rsid w:val="00BC71E4"/>
    <w:rsid w:val="00BC72C8"/>
    <w:rsid w:val="00BC73A4"/>
    <w:rsid w:val="00BC73B8"/>
    <w:rsid w:val="00BC74EA"/>
    <w:rsid w:val="00BC75C8"/>
    <w:rsid w:val="00BC75EC"/>
    <w:rsid w:val="00BC7718"/>
    <w:rsid w:val="00BC7BE1"/>
    <w:rsid w:val="00BC7CF9"/>
    <w:rsid w:val="00BC7D4B"/>
    <w:rsid w:val="00BC7E8B"/>
    <w:rsid w:val="00BC7EAE"/>
    <w:rsid w:val="00BC7ECD"/>
    <w:rsid w:val="00BC7FDB"/>
    <w:rsid w:val="00BD00DD"/>
    <w:rsid w:val="00BD0192"/>
    <w:rsid w:val="00BD01A6"/>
    <w:rsid w:val="00BD022E"/>
    <w:rsid w:val="00BD0490"/>
    <w:rsid w:val="00BD04BD"/>
    <w:rsid w:val="00BD04C2"/>
    <w:rsid w:val="00BD0572"/>
    <w:rsid w:val="00BD06E9"/>
    <w:rsid w:val="00BD07C2"/>
    <w:rsid w:val="00BD07F4"/>
    <w:rsid w:val="00BD08E4"/>
    <w:rsid w:val="00BD0917"/>
    <w:rsid w:val="00BD09A8"/>
    <w:rsid w:val="00BD0BF6"/>
    <w:rsid w:val="00BD0BFE"/>
    <w:rsid w:val="00BD0E33"/>
    <w:rsid w:val="00BD0E3B"/>
    <w:rsid w:val="00BD0EDD"/>
    <w:rsid w:val="00BD1050"/>
    <w:rsid w:val="00BD10EB"/>
    <w:rsid w:val="00BD118E"/>
    <w:rsid w:val="00BD11D1"/>
    <w:rsid w:val="00BD1252"/>
    <w:rsid w:val="00BD12FA"/>
    <w:rsid w:val="00BD133E"/>
    <w:rsid w:val="00BD13AB"/>
    <w:rsid w:val="00BD146A"/>
    <w:rsid w:val="00BD146B"/>
    <w:rsid w:val="00BD14B3"/>
    <w:rsid w:val="00BD15FB"/>
    <w:rsid w:val="00BD1851"/>
    <w:rsid w:val="00BD1887"/>
    <w:rsid w:val="00BD18DC"/>
    <w:rsid w:val="00BD1914"/>
    <w:rsid w:val="00BD19C8"/>
    <w:rsid w:val="00BD1D40"/>
    <w:rsid w:val="00BD1F84"/>
    <w:rsid w:val="00BD20DD"/>
    <w:rsid w:val="00BD2619"/>
    <w:rsid w:val="00BD2627"/>
    <w:rsid w:val="00BD2648"/>
    <w:rsid w:val="00BD265A"/>
    <w:rsid w:val="00BD27E3"/>
    <w:rsid w:val="00BD28E8"/>
    <w:rsid w:val="00BD29D7"/>
    <w:rsid w:val="00BD2A8F"/>
    <w:rsid w:val="00BD2D0A"/>
    <w:rsid w:val="00BD2DBB"/>
    <w:rsid w:val="00BD2FB9"/>
    <w:rsid w:val="00BD3073"/>
    <w:rsid w:val="00BD3088"/>
    <w:rsid w:val="00BD30F7"/>
    <w:rsid w:val="00BD31CA"/>
    <w:rsid w:val="00BD33C2"/>
    <w:rsid w:val="00BD3531"/>
    <w:rsid w:val="00BD356C"/>
    <w:rsid w:val="00BD381C"/>
    <w:rsid w:val="00BD3B02"/>
    <w:rsid w:val="00BD3DF8"/>
    <w:rsid w:val="00BD3F8C"/>
    <w:rsid w:val="00BD4134"/>
    <w:rsid w:val="00BD448D"/>
    <w:rsid w:val="00BD4530"/>
    <w:rsid w:val="00BD4566"/>
    <w:rsid w:val="00BD45C8"/>
    <w:rsid w:val="00BD4685"/>
    <w:rsid w:val="00BD47FF"/>
    <w:rsid w:val="00BD48C2"/>
    <w:rsid w:val="00BD4967"/>
    <w:rsid w:val="00BD4DEA"/>
    <w:rsid w:val="00BD4E35"/>
    <w:rsid w:val="00BD4E71"/>
    <w:rsid w:val="00BD4F3B"/>
    <w:rsid w:val="00BD4F52"/>
    <w:rsid w:val="00BD4F56"/>
    <w:rsid w:val="00BD5015"/>
    <w:rsid w:val="00BD508E"/>
    <w:rsid w:val="00BD5125"/>
    <w:rsid w:val="00BD5343"/>
    <w:rsid w:val="00BD54F8"/>
    <w:rsid w:val="00BD5509"/>
    <w:rsid w:val="00BD55C8"/>
    <w:rsid w:val="00BD55F7"/>
    <w:rsid w:val="00BD5734"/>
    <w:rsid w:val="00BD57BF"/>
    <w:rsid w:val="00BD57EC"/>
    <w:rsid w:val="00BD58C9"/>
    <w:rsid w:val="00BD59F4"/>
    <w:rsid w:val="00BD5B25"/>
    <w:rsid w:val="00BD5B28"/>
    <w:rsid w:val="00BD5B29"/>
    <w:rsid w:val="00BD5F8A"/>
    <w:rsid w:val="00BD5FA4"/>
    <w:rsid w:val="00BD60BE"/>
    <w:rsid w:val="00BD60DA"/>
    <w:rsid w:val="00BD60E5"/>
    <w:rsid w:val="00BD611E"/>
    <w:rsid w:val="00BD61AB"/>
    <w:rsid w:val="00BD62CC"/>
    <w:rsid w:val="00BD63A2"/>
    <w:rsid w:val="00BD6483"/>
    <w:rsid w:val="00BD6649"/>
    <w:rsid w:val="00BD6773"/>
    <w:rsid w:val="00BD67D8"/>
    <w:rsid w:val="00BD6AE7"/>
    <w:rsid w:val="00BD6CCD"/>
    <w:rsid w:val="00BD6CED"/>
    <w:rsid w:val="00BD6DFE"/>
    <w:rsid w:val="00BD6E1D"/>
    <w:rsid w:val="00BD704E"/>
    <w:rsid w:val="00BD709E"/>
    <w:rsid w:val="00BD7122"/>
    <w:rsid w:val="00BD71F5"/>
    <w:rsid w:val="00BD7227"/>
    <w:rsid w:val="00BD7241"/>
    <w:rsid w:val="00BD72D8"/>
    <w:rsid w:val="00BD73BC"/>
    <w:rsid w:val="00BD745B"/>
    <w:rsid w:val="00BD7569"/>
    <w:rsid w:val="00BD76D2"/>
    <w:rsid w:val="00BD7724"/>
    <w:rsid w:val="00BD7785"/>
    <w:rsid w:val="00BD77ED"/>
    <w:rsid w:val="00BD7842"/>
    <w:rsid w:val="00BD795E"/>
    <w:rsid w:val="00BD7970"/>
    <w:rsid w:val="00BD79BF"/>
    <w:rsid w:val="00BD7A10"/>
    <w:rsid w:val="00BD7B49"/>
    <w:rsid w:val="00BD7C76"/>
    <w:rsid w:val="00BD7D8F"/>
    <w:rsid w:val="00BD7DE3"/>
    <w:rsid w:val="00BD7ED6"/>
    <w:rsid w:val="00BD7F45"/>
    <w:rsid w:val="00BE0002"/>
    <w:rsid w:val="00BE0155"/>
    <w:rsid w:val="00BE0172"/>
    <w:rsid w:val="00BE01DD"/>
    <w:rsid w:val="00BE0390"/>
    <w:rsid w:val="00BE0392"/>
    <w:rsid w:val="00BE05FD"/>
    <w:rsid w:val="00BE07A8"/>
    <w:rsid w:val="00BE0834"/>
    <w:rsid w:val="00BE0851"/>
    <w:rsid w:val="00BE0885"/>
    <w:rsid w:val="00BE08E0"/>
    <w:rsid w:val="00BE08E1"/>
    <w:rsid w:val="00BE0904"/>
    <w:rsid w:val="00BE0C09"/>
    <w:rsid w:val="00BE0D26"/>
    <w:rsid w:val="00BE0D69"/>
    <w:rsid w:val="00BE0D80"/>
    <w:rsid w:val="00BE0E07"/>
    <w:rsid w:val="00BE0F5A"/>
    <w:rsid w:val="00BE0F7D"/>
    <w:rsid w:val="00BE0F98"/>
    <w:rsid w:val="00BE0FEF"/>
    <w:rsid w:val="00BE106D"/>
    <w:rsid w:val="00BE10D9"/>
    <w:rsid w:val="00BE1114"/>
    <w:rsid w:val="00BE1183"/>
    <w:rsid w:val="00BE11D6"/>
    <w:rsid w:val="00BE1215"/>
    <w:rsid w:val="00BE126F"/>
    <w:rsid w:val="00BE1297"/>
    <w:rsid w:val="00BE13A4"/>
    <w:rsid w:val="00BE13BD"/>
    <w:rsid w:val="00BE1511"/>
    <w:rsid w:val="00BE155B"/>
    <w:rsid w:val="00BE15BE"/>
    <w:rsid w:val="00BE1705"/>
    <w:rsid w:val="00BE173A"/>
    <w:rsid w:val="00BE1779"/>
    <w:rsid w:val="00BE17D9"/>
    <w:rsid w:val="00BE18F7"/>
    <w:rsid w:val="00BE197A"/>
    <w:rsid w:val="00BE19BE"/>
    <w:rsid w:val="00BE1ADB"/>
    <w:rsid w:val="00BE1BCD"/>
    <w:rsid w:val="00BE1C1B"/>
    <w:rsid w:val="00BE1C57"/>
    <w:rsid w:val="00BE1D2B"/>
    <w:rsid w:val="00BE1D64"/>
    <w:rsid w:val="00BE1EF0"/>
    <w:rsid w:val="00BE1F3F"/>
    <w:rsid w:val="00BE23CB"/>
    <w:rsid w:val="00BE268C"/>
    <w:rsid w:val="00BE26FF"/>
    <w:rsid w:val="00BE2942"/>
    <w:rsid w:val="00BE2B71"/>
    <w:rsid w:val="00BE2BD4"/>
    <w:rsid w:val="00BE2C83"/>
    <w:rsid w:val="00BE2CA4"/>
    <w:rsid w:val="00BE2E14"/>
    <w:rsid w:val="00BE2FA5"/>
    <w:rsid w:val="00BE30DA"/>
    <w:rsid w:val="00BE30E1"/>
    <w:rsid w:val="00BE30E7"/>
    <w:rsid w:val="00BE30FE"/>
    <w:rsid w:val="00BE3173"/>
    <w:rsid w:val="00BE31C2"/>
    <w:rsid w:val="00BE3767"/>
    <w:rsid w:val="00BE3840"/>
    <w:rsid w:val="00BE393F"/>
    <w:rsid w:val="00BE3963"/>
    <w:rsid w:val="00BE3A23"/>
    <w:rsid w:val="00BE3ABD"/>
    <w:rsid w:val="00BE3BAE"/>
    <w:rsid w:val="00BE3C04"/>
    <w:rsid w:val="00BE3CC4"/>
    <w:rsid w:val="00BE3CE3"/>
    <w:rsid w:val="00BE3CE9"/>
    <w:rsid w:val="00BE3E24"/>
    <w:rsid w:val="00BE3E76"/>
    <w:rsid w:val="00BE3EC5"/>
    <w:rsid w:val="00BE41CE"/>
    <w:rsid w:val="00BE4350"/>
    <w:rsid w:val="00BE45BD"/>
    <w:rsid w:val="00BE4762"/>
    <w:rsid w:val="00BE4830"/>
    <w:rsid w:val="00BE4999"/>
    <w:rsid w:val="00BE49C9"/>
    <w:rsid w:val="00BE4A67"/>
    <w:rsid w:val="00BE4D75"/>
    <w:rsid w:val="00BE4D81"/>
    <w:rsid w:val="00BE4F1B"/>
    <w:rsid w:val="00BE4F88"/>
    <w:rsid w:val="00BE504E"/>
    <w:rsid w:val="00BE511A"/>
    <w:rsid w:val="00BE5145"/>
    <w:rsid w:val="00BE53E2"/>
    <w:rsid w:val="00BE5562"/>
    <w:rsid w:val="00BE55A5"/>
    <w:rsid w:val="00BE5611"/>
    <w:rsid w:val="00BE596C"/>
    <w:rsid w:val="00BE5BA4"/>
    <w:rsid w:val="00BE5BBB"/>
    <w:rsid w:val="00BE5C4E"/>
    <w:rsid w:val="00BE5CE8"/>
    <w:rsid w:val="00BE6084"/>
    <w:rsid w:val="00BE6147"/>
    <w:rsid w:val="00BE630C"/>
    <w:rsid w:val="00BE637C"/>
    <w:rsid w:val="00BE63C4"/>
    <w:rsid w:val="00BE63FA"/>
    <w:rsid w:val="00BE6419"/>
    <w:rsid w:val="00BE6721"/>
    <w:rsid w:val="00BE674A"/>
    <w:rsid w:val="00BE6991"/>
    <w:rsid w:val="00BE69A4"/>
    <w:rsid w:val="00BE69D6"/>
    <w:rsid w:val="00BE69D8"/>
    <w:rsid w:val="00BE69F2"/>
    <w:rsid w:val="00BE6A3A"/>
    <w:rsid w:val="00BE6ABF"/>
    <w:rsid w:val="00BE6DBA"/>
    <w:rsid w:val="00BE6DD0"/>
    <w:rsid w:val="00BE6E7D"/>
    <w:rsid w:val="00BE6E93"/>
    <w:rsid w:val="00BE6F43"/>
    <w:rsid w:val="00BE7055"/>
    <w:rsid w:val="00BE7364"/>
    <w:rsid w:val="00BE7483"/>
    <w:rsid w:val="00BE75A5"/>
    <w:rsid w:val="00BE7709"/>
    <w:rsid w:val="00BE778B"/>
    <w:rsid w:val="00BE787F"/>
    <w:rsid w:val="00BE78D3"/>
    <w:rsid w:val="00BE7B09"/>
    <w:rsid w:val="00BE7BF7"/>
    <w:rsid w:val="00BE7ED2"/>
    <w:rsid w:val="00BF001C"/>
    <w:rsid w:val="00BF0178"/>
    <w:rsid w:val="00BF03FE"/>
    <w:rsid w:val="00BF0648"/>
    <w:rsid w:val="00BF0665"/>
    <w:rsid w:val="00BF073D"/>
    <w:rsid w:val="00BF0749"/>
    <w:rsid w:val="00BF075E"/>
    <w:rsid w:val="00BF0785"/>
    <w:rsid w:val="00BF0855"/>
    <w:rsid w:val="00BF0C33"/>
    <w:rsid w:val="00BF0DAB"/>
    <w:rsid w:val="00BF0E03"/>
    <w:rsid w:val="00BF0E5B"/>
    <w:rsid w:val="00BF0E9E"/>
    <w:rsid w:val="00BF0EE5"/>
    <w:rsid w:val="00BF11C1"/>
    <w:rsid w:val="00BF1291"/>
    <w:rsid w:val="00BF137A"/>
    <w:rsid w:val="00BF143A"/>
    <w:rsid w:val="00BF16A7"/>
    <w:rsid w:val="00BF1744"/>
    <w:rsid w:val="00BF178B"/>
    <w:rsid w:val="00BF19B3"/>
    <w:rsid w:val="00BF19B8"/>
    <w:rsid w:val="00BF1AD0"/>
    <w:rsid w:val="00BF1AF0"/>
    <w:rsid w:val="00BF1B45"/>
    <w:rsid w:val="00BF1C08"/>
    <w:rsid w:val="00BF1E33"/>
    <w:rsid w:val="00BF1F40"/>
    <w:rsid w:val="00BF1F76"/>
    <w:rsid w:val="00BF2049"/>
    <w:rsid w:val="00BF2137"/>
    <w:rsid w:val="00BF215F"/>
    <w:rsid w:val="00BF231F"/>
    <w:rsid w:val="00BF2483"/>
    <w:rsid w:val="00BF2554"/>
    <w:rsid w:val="00BF25E3"/>
    <w:rsid w:val="00BF28A5"/>
    <w:rsid w:val="00BF29B9"/>
    <w:rsid w:val="00BF2C73"/>
    <w:rsid w:val="00BF2C8B"/>
    <w:rsid w:val="00BF2E98"/>
    <w:rsid w:val="00BF2F2B"/>
    <w:rsid w:val="00BF2F72"/>
    <w:rsid w:val="00BF2FC4"/>
    <w:rsid w:val="00BF3052"/>
    <w:rsid w:val="00BF311A"/>
    <w:rsid w:val="00BF35B7"/>
    <w:rsid w:val="00BF36E7"/>
    <w:rsid w:val="00BF3700"/>
    <w:rsid w:val="00BF380E"/>
    <w:rsid w:val="00BF38E8"/>
    <w:rsid w:val="00BF3936"/>
    <w:rsid w:val="00BF396A"/>
    <w:rsid w:val="00BF3994"/>
    <w:rsid w:val="00BF3B0D"/>
    <w:rsid w:val="00BF3C82"/>
    <w:rsid w:val="00BF3E0D"/>
    <w:rsid w:val="00BF3E25"/>
    <w:rsid w:val="00BF3E5A"/>
    <w:rsid w:val="00BF3F9C"/>
    <w:rsid w:val="00BF3FE4"/>
    <w:rsid w:val="00BF4024"/>
    <w:rsid w:val="00BF4115"/>
    <w:rsid w:val="00BF4264"/>
    <w:rsid w:val="00BF43AE"/>
    <w:rsid w:val="00BF44FD"/>
    <w:rsid w:val="00BF4521"/>
    <w:rsid w:val="00BF4C5E"/>
    <w:rsid w:val="00BF4E68"/>
    <w:rsid w:val="00BF504F"/>
    <w:rsid w:val="00BF5061"/>
    <w:rsid w:val="00BF50A3"/>
    <w:rsid w:val="00BF516A"/>
    <w:rsid w:val="00BF518A"/>
    <w:rsid w:val="00BF52B1"/>
    <w:rsid w:val="00BF53D5"/>
    <w:rsid w:val="00BF560D"/>
    <w:rsid w:val="00BF5904"/>
    <w:rsid w:val="00BF5AE9"/>
    <w:rsid w:val="00BF5AF9"/>
    <w:rsid w:val="00BF5BDC"/>
    <w:rsid w:val="00BF5C69"/>
    <w:rsid w:val="00BF5CCC"/>
    <w:rsid w:val="00BF5DA1"/>
    <w:rsid w:val="00BF5E90"/>
    <w:rsid w:val="00BF605B"/>
    <w:rsid w:val="00BF6101"/>
    <w:rsid w:val="00BF6137"/>
    <w:rsid w:val="00BF6395"/>
    <w:rsid w:val="00BF658B"/>
    <w:rsid w:val="00BF698A"/>
    <w:rsid w:val="00BF6AD2"/>
    <w:rsid w:val="00BF6CCD"/>
    <w:rsid w:val="00BF6D09"/>
    <w:rsid w:val="00BF6D52"/>
    <w:rsid w:val="00BF6E68"/>
    <w:rsid w:val="00BF6E8B"/>
    <w:rsid w:val="00BF6EA7"/>
    <w:rsid w:val="00BF723B"/>
    <w:rsid w:val="00BF7449"/>
    <w:rsid w:val="00BF757D"/>
    <w:rsid w:val="00BF75CB"/>
    <w:rsid w:val="00BF783B"/>
    <w:rsid w:val="00BF78A4"/>
    <w:rsid w:val="00BF79BE"/>
    <w:rsid w:val="00BF7A6C"/>
    <w:rsid w:val="00BF7B8B"/>
    <w:rsid w:val="00BF7CEC"/>
    <w:rsid w:val="00BF7D81"/>
    <w:rsid w:val="00BF7EB4"/>
    <w:rsid w:val="00C000FD"/>
    <w:rsid w:val="00C003A3"/>
    <w:rsid w:val="00C003EE"/>
    <w:rsid w:val="00C004B6"/>
    <w:rsid w:val="00C00708"/>
    <w:rsid w:val="00C00763"/>
    <w:rsid w:val="00C0084E"/>
    <w:rsid w:val="00C00D6C"/>
    <w:rsid w:val="00C00D76"/>
    <w:rsid w:val="00C00ECF"/>
    <w:rsid w:val="00C01065"/>
    <w:rsid w:val="00C013C0"/>
    <w:rsid w:val="00C014BE"/>
    <w:rsid w:val="00C0155F"/>
    <w:rsid w:val="00C01563"/>
    <w:rsid w:val="00C0161A"/>
    <w:rsid w:val="00C0162F"/>
    <w:rsid w:val="00C01A29"/>
    <w:rsid w:val="00C01BD5"/>
    <w:rsid w:val="00C01C26"/>
    <w:rsid w:val="00C01CA2"/>
    <w:rsid w:val="00C01D41"/>
    <w:rsid w:val="00C01DB5"/>
    <w:rsid w:val="00C01DD8"/>
    <w:rsid w:val="00C01E91"/>
    <w:rsid w:val="00C01F71"/>
    <w:rsid w:val="00C01F8B"/>
    <w:rsid w:val="00C01FBA"/>
    <w:rsid w:val="00C020F7"/>
    <w:rsid w:val="00C0216E"/>
    <w:rsid w:val="00C021EA"/>
    <w:rsid w:val="00C02338"/>
    <w:rsid w:val="00C02455"/>
    <w:rsid w:val="00C024C4"/>
    <w:rsid w:val="00C02500"/>
    <w:rsid w:val="00C0274F"/>
    <w:rsid w:val="00C0283A"/>
    <w:rsid w:val="00C02858"/>
    <w:rsid w:val="00C0285B"/>
    <w:rsid w:val="00C0294E"/>
    <w:rsid w:val="00C02B56"/>
    <w:rsid w:val="00C02D09"/>
    <w:rsid w:val="00C02E7A"/>
    <w:rsid w:val="00C02FA9"/>
    <w:rsid w:val="00C030A4"/>
    <w:rsid w:val="00C0312A"/>
    <w:rsid w:val="00C031A0"/>
    <w:rsid w:val="00C031FD"/>
    <w:rsid w:val="00C033BF"/>
    <w:rsid w:val="00C0359C"/>
    <w:rsid w:val="00C036AC"/>
    <w:rsid w:val="00C03765"/>
    <w:rsid w:val="00C0386D"/>
    <w:rsid w:val="00C03880"/>
    <w:rsid w:val="00C038F8"/>
    <w:rsid w:val="00C0391B"/>
    <w:rsid w:val="00C03998"/>
    <w:rsid w:val="00C03C6E"/>
    <w:rsid w:val="00C03E5E"/>
    <w:rsid w:val="00C03ED6"/>
    <w:rsid w:val="00C04281"/>
    <w:rsid w:val="00C043CE"/>
    <w:rsid w:val="00C04467"/>
    <w:rsid w:val="00C0448F"/>
    <w:rsid w:val="00C04714"/>
    <w:rsid w:val="00C0477F"/>
    <w:rsid w:val="00C04837"/>
    <w:rsid w:val="00C04844"/>
    <w:rsid w:val="00C048AA"/>
    <w:rsid w:val="00C048B3"/>
    <w:rsid w:val="00C04922"/>
    <w:rsid w:val="00C04A5F"/>
    <w:rsid w:val="00C04C05"/>
    <w:rsid w:val="00C04C39"/>
    <w:rsid w:val="00C04DFD"/>
    <w:rsid w:val="00C04EA3"/>
    <w:rsid w:val="00C04EF6"/>
    <w:rsid w:val="00C05100"/>
    <w:rsid w:val="00C05A74"/>
    <w:rsid w:val="00C05A93"/>
    <w:rsid w:val="00C05AB0"/>
    <w:rsid w:val="00C05C0E"/>
    <w:rsid w:val="00C05C73"/>
    <w:rsid w:val="00C05D24"/>
    <w:rsid w:val="00C05DAD"/>
    <w:rsid w:val="00C05DB7"/>
    <w:rsid w:val="00C05E02"/>
    <w:rsid w:val="00C05ED6"/>
    <w:rsid w:val="00C05FE9"/>
    <w:rsid w:val="00C0605C"/>
    <w:rsid w:val="00C061FD"/>
    <w:rsid w:val="00C0626D"/>
    <w:rsid w:val="00C063C8"/>
    <w:rsid w:val="00C0650C"/>
    <w:rsid w:val="00C065AB"/>
    <w:rsid w:val="00C065D0"/>
    <w:rsid w:val="00C065D1"/>
    <w:rsid w:val="00C0667F"/>
    <w:rsid w:val="00C0692E"/>
    <w:rsid w:val="00C06977"/>
    <w:rsid w:val="00C0697C"/>
    <w:rsid w:val="00C06A82"/>
    <w:rsid w:val="00C06BEA"/>
    <w:rsid w:val="00C06C60"/>
    <w:rsid w:val="00C06E23"/>
    <w:rsid w:val="00C06EA0"/>
    <w:rsid w:val="00C07004"/>
    <w:rsid w:val="00C070F4"/>
    <w:rsid w:val="00C071A4"/>
    <w:rsid w:val="00C072E9"/>
    <w:rsid w:val="00C0744F"/>
    <w:rsid w:val="00C074D7"/>
    <w:rsid w:val="00C0751C"/>
    <w:rsid w:val="00C0758B"/>
    <w:rsid w:val="00C07601"/>
    <w:rsid w:val="00C0777E"/>
    <w:rsid w:val="00C07A00"/>
    <w:rsid w:val="00C07A79"/>
    <w:rsid w:val="00C07B83"/>
    <w:rsid w:val="00C07BE7"/>
    <w:rsid w:val="00C07C65"/>
    <w:rsid w:val="00C07D70"/>
    <w:rsid w:val="00C07E07"/>
    <w:rsid w:val="00C07E50"/>
    <w:rsid w:val="00C07EA6"/>
    <w:rsid w:val="00C07F9C"/>
    <w:rsid w:val="00C10030"/>
    <w:rsid w:val="00C10149"/>
    <w:rsid w:val="00C101F3"/>
    <w:rsid w:val="00C10384"/>
    <w:rsid w:val="00C10706"/>
    <w:rsid w:val="00C10823"/>
    <w:rsid w:val="00C10CBF"/>
    <w:rsid w:val="00C10D40"/>
    <w:rsid w:val="00C10DD3"/>
    <w:rsid w:val="00C10F7E"/>
    <w:rsid w:val="00C10FFF"/>
    <w:rsid w:val="00C1107D"/>
    <w:rsid w:val="00C1118D"/>
    <w:rsid w:val="00C112C3"/>
    <w:rsid w:val="00C1148B"/>
    <w:rsid w:val="00C114DB"/>
    <w:rsid w:val="00C115AF"/>
    <w:rsid w:val="00C115CB"/>
    <w:rsid w:val="00C1165E"/>
    <w:rsid w:val="00C11726"/>
    <w:rsid w:val="00C11778"/>
    <w:rsid w:val="00C11789"/>
    <w:rsid w:val="00C1187A"/>
    <w:rsid w:val="00C119C0"/>
    <w:rsid w:val="00C11A2D"/>
    <w:rsid w:val="00C11B44"/>
    <w:rsid w:val="00C11B75"/>
    <w:rsid w:val="00C11B85"/>
    <w:rsid w:val="00C11B95"/>
    <w:rsid w:val="00C11D6E"/>
    <w:rsid w:val="00C11DA7"/>
    <w:rsid w:val="00C11E92"/>
    <w:rsid w:val="00C11ECB"/>
    <w:rsid w:val="00C1204C"/>
    <w:rsid w:val="00C1204E"/>
    <w:rsid w:val="00C120F0"/>
    <w:rsid w:val="00C12170"/>
    <w:rsid w:val="00C1220F"/>
    <w:rsid w:val="00C122E4"/>
    <w:rsid w:val="00C123A6"/>
    <w:rsid w:val="00C124B2"/>
    <w:rsid w:val="00C12567"/>
    <w:rsid w:val="00C125B8"/>
    <w:rsid w:val="00C1284C"/>
    <w:rsid w:val="00C12874"/>
    <w:rsid w:val="00C128B5"/>
    <w:rsid w:val="00C12968"/>
    <w:rsid w:val="00C12979"/>
    <w:rsid w:val="00C12AEE"/>
    <w:rsid w:val="00C12B37"/>
    <w:rsid w:val="00C12B97"/>
    <w:rsid w:val="00C12D23"/>
    <w:rsid w:val="00C12D43"/>
    <w:rsid w:val="00C12EB9"/>
    <w:rsid w:val="00C12EC7"/>
    <w:rsid w:val="00C12F01"/>
    <w:rsid w:val="00C12F50"/>
    <w:rsid w:val="00C12F60"/>
    <w:rsid w:val="00C12FCF"/>
    <w:rsid w:val="00C13128"/>
    <w:rsid w:val="00C13486"/>
    <w:rsid w:val="00C13635"/>
    <w:rsid w:val="00C13757"/>
    <w:rsid w:val="00C137CB"/>
    <w:rsid w:val="00C13A43"/>
    <w:rsid w:val="00C13A9A"/>
    <w:rsid w:val="00C13BC5"/>
    <w:rsid w:val="00C13C03"/>
    <w:rsid w:val="00C13C94"/>
    <w:rsid w:val="00C13CCC"/>
    <w:rsid w:val="00C142B2"/>
    <w:rsid w:val="00C14391"/>
    <w:rsid w:val="00C143E3"/>
    <w:rsid w:val="00C1440D"/>
    <w:rsid w:val="00C14442"/>
    <w:rsid w:val="00C14517"/>
    <w:rsid w:val="00C145F8"/>
    <w:rsid w:val="00C1478D"/>
    <w:rsid w:val="00C1489A"/>
    <w:rsid w:val="00C14963"/>
    <w:rsid w:val="00C1498D"/>
    <w:rsid w:val="00C149EE"/>
    <w:rsid w:val="00C149F8"/>
    <w:rsid w:val="00C14B60"/>
    <w:rsid w:val="00C14D96"/>
    <w:rsid w:val="00C14F8D"/>
    <w:rsid w:val="00C15028"/>
    <w:rsid w:val="00C15071"/>
    <w:rsid w:val="00C150AF"/>
    <w:rsid w:val="00C150D8"/>
    <w:rsid w:val="00C15177"/>
    <w:rsid w:val="00C1517F"/>
    <w:rsid w:val="00C1526C"/>
    <w:rsid w:val="00C152F5"/>
    <w:rsid w:val="00C15309"/>
    <w:rsid w:val="00C15471"/>
    <w:rsid w:val="00C1548C"/>
    <w:rsid w:val="00C154AE"/>
    <w:rsid w:val="00C154E0"/>
    <w:rsid w:val="00C1556D"/>
    <w:rsid w:val="00C15664"/>
    <w:rsid w:val="00C156A5"/>
    <w:rsid w:val="00C15744"/>
    <w:rsid w:val="00C158BB"/>
    <w:rsid w:val="00C15A7F"/>
    <w:rsid w:val="00C15A90"/>
    <w:rsid w:val="00C15E27"/>
    <w:rsid w:val="00C15F6C"/>
    <w:rsid w:val="00C15FDA"/>
    <w:rsid w:val="00C15FE2"/>
    <w:rsid w:val="00C161C8"/>
    <w:rsid w:val="00C16202"/>
    <w:rsid w:val="00C16268"/>
    <w:rsid w:val="00C163B3"/>
    <w:rsid w:val="00C164C4"/>
    <w:rsid w:val="00C1660E"/>
    <w:rsid w:val="00C16852"/>
    <w:rsid w:val="00C16863"/>
    <w:rsid w:val="00C16A84"/>
    <w:rsid w:val="00C16B07"/>
    <w:rsid w:val="00C16C22"/>
    <w:rsid w:val="00C16DAF"/>
    <w:rsid w:val="00C16DE2"/>
    <w:rsid w:val="00C16EDC"/>
    <w:rsid w:val="00C17089"/>
    <w:rsid w:val="00C1708F"/>
    <w:rsid w:val="00C173AA"/>
    <w:rsid w:val="00C1746C"/>
    <w:rsid w:val="00C1747E"/>
    <w:rsid w:val="00C1752A"/>
    <w:rsid w:val="00C17666"/>
    <w:rsid w:val="00C17714"/>
    <w:rsid w:val="00C1776A"/>
    <w:rsid w:val="00C1777E"/>
    <w:rsid w:val="00C177DF"/>
    <w:rsid w:val="00C1785D"/>
    <w:rsid w:val="00C179CC"/>
    <w:rsid w:val="00C17A44"/>
    <w:rsid w:val="00C17AEB"/>
    <w:rsid w:val="00C17C9D"/>
    <w:rsid w:val="00C17D9A"/>
    <w:rsid w:val="00C20076"/>
    <w:rsid w:val="00C2013D"/>
    <w:rsid w:val="00C20201"/>
    <w:rsid w:val="00C20290"/>
    <w:rsid w:val="00C203A2"/>
    <w:rsid w:val="00C203CC"/>
    <w:rsid w:val="00C20497"/>
    <w:rsid w:val="00C205FE"/>
    <w:rsid w:val="00C20734"/>
    <w:rsid w:val="00C209FE"/>
    <w:rsid w:val="00C20A00"/>
    <w:rsid w:val="00C20CF9"/>
    <w:rsid w:val="00C20D3E"/>
    <w:rsid w:val="00C20DDB"/>
    <w:rsid w:val="00C20F7B"/>
    <w:rsid w:val="00C210C5"/>
    <w:rsid w:val="00C211BC"/>
    <w:rsid w:val="00C212ED"/>
    <w:rsid w:val="00C213C7"/>
    <w:rsid w:val="00C21537"/>
    <w:rsid w:val="00C21542"/>
    <w:rsid w:val="00C215B6"/>
    <w:rsid w:val="00C21607"/>
    <w:rsid w:val="00C21633"/>
    <w:rsid w:val="00C2176C"/>
    <w:rsid w:val="00C2189B"/>
    <w:rsid w:val="00C219CF"/>
    <w:rsid w:val="00C21A0B"/>
    <w:rsid w:val="00C21B8B"/>
    <w:rsid w:val="00C21D3C"/>
    <w:rsid w:val="00C21E41"/>
    <w:rsid w:val="00C221A3"/>
    <w:rsid w:val="00C222CF"/>
    <w:rsid w:val="00C224E2"/>
    <w:rsid w:val="00C224F1"/>
    <w:rsid w:val="00C22549"/>
    <w:rsid w:val="00C2272A"/>
    <w:rsid w:val="00C227DE"/>
    <w:rsid w:val="00C2293B"/>
    <w:rsid w:val="00C22997"/>
    <w:rsid w:val="00C22AB0"/>
    <w:rsid w:val="00C22AFA"/>
    <w:rsid w:val="00C22B1C"/>
    <w:rsid w:val="00C22B87"/>
    <w:rsid w:val="00C22C4C"/>
    <w:rsid w:val="00C2308E"/>
    <w:rsid w:val="00C230B6"/>
    <w:rsid w:val="00C230CE"/>
    <w:rsid w:val="00C230F4"/>
    <w:rsid w:val="00C23282"/>
    <w:rsid w:val="00C232C2"/>
    <w:rsid w:val="00C23342"/>
    <w:rsid w:val="00C23382"/>
    <w:rsid w:val="00C23529"/>
    <w:rsid w:val="00C23547"/>
    <w:rsid w:val="00C235C1"/>
    <w:rsid w:val="00C236CE"/>
    <w:rsid w:val="00C23849"/>
    <w:rsid w:val="00C23984"/>
    <w:rsid w:val="00C239CD"/>
    <w:rsid w:val="00C23ACD"/>
    <w:rsid w:val="00C23B49"/>
    <w:rsid w:val="00C23BB2"/>
    <w:rsid w:val="00C23CCD"/>
    <w:rsid w:val="00C23D24"/>
    <w:rsid w:val="00C23DDF"/>
    <w:rsid w:val="00C23EBF"/>
    <w:rsid w:val="00C23FEB"/>
    <w:rsid w:val="00C24103"/>
    <w:rsid w:val="00C24509"/>
    <w:rsid w:val="00C245A0"/>
    <w:rsid w:val="00C245A2"/>
    <w:rsid w:val="00C2468C"/>
    <w:rsid w:val="00C246CF"/>
    <w:rsid w:val="00C248A2"/>
    <w:rsid w:val="00C248D7"/>
    <w:rsid w:val="00C24A1E"/>
    <w:rsid w:val="00C24B91"/>
    <w:rsid w:val="00C24C50"/>
    <w:rsid w:val="00C24D8E"/>
    <w:rsid w:val="00C25015"/>
    <w:rsid w:val="00C25033"/>
    <w:rsid w:val="00C2534E"/>
    <w:rsid w:val="00C25367"/>
    <w:rsid w:val="00C255C9"/>
    <w:rsid w:val="00C25670"/>
    <w:rsid w:val="00C25777"/>
    <w:rsid w:val="00C257A1"/>
    <w:rsid w:val="00C25840"/>
    <w:rsid w:val="00C25894"/>
    <w:rsid w:val="00C25AD6"/>
    <w:rsid w:val="00C25B25"/>
    <w:rsid w:val="00C25B39"/>
    <w:rsid w:val="00C25E19"/>
    <w:rsid w:val="00C25F45"/>
    <w:rsid w:val="00C260BC"/>
    <w:rsid w:val="00C261F5"/>
    <w:rsid w:val="00C262AD"/>
    <w:rsid w:val="00C2650F"/>
    <w:rsid w:val="00C265AB"/>
    <w:rsid w:val="00C2665B"/>
    <w:rsid w:val="00C26687"/>
    <w:rsid w:val="00C26699"/>
    <w:rsid w:val="00C266B0"/>
    <w:rsid w:val="00C266F2"/>
    <w:rsid w:val="00C2680F"/>
    <w:rsid w:val="00C26AB8"/>
    <w:rsid w:val="00C26B2B"/>
    <w:rsid w:val="00C26BDF"/>
    <w:rsid w:val="00C26C5C"/>
    <w:rsid w:val="00C26E30"/>
    <w:rsid w:val="00C26E3F"/>
    <w:rsid w:val="00C26E41"/>
    <w:rsid w:val="00C26E51"/>
    <w:rsid w:val="00C2702F"/>
    <w:rsid w:val="00C27033"/>
    <w:rsid w:val="00C2727F"/>
    <w:rsid w:val="00C27322"/>
    <w:rsid w:val="00C2737C"/>
    <w:rsid w:val="00C273D7"/>
    <w:rsid w:val="00C27490"/>
    <w:rsid w:val="00C2756E"/>
    <w:rsid w:val="00C275EB"/>
    <w:rsid w:val="00C276C6"/>
    <w:rsid w:val="00C2782A"/>
    <w:rsid w:val="00C278E2"/>
    <w:rsid w:val="00C27A41"/>
    <w:rsid w:val="00C27AD3"/>
    <w:rsid w:val="00C27CDC"/>
    <w:rsid w:val="00C27F82"/>
    <w:rsid w:val="00C3011B"/>
    <w:rsid w:val="00C3021F"/>
    <w:rsid w:val="00C30344"/>
    <w:rsid w:val="00C30381"/>
    <w:rsid w:val="00C304D7"/>
    <w:rsid w:val="00C304DF"/>
    <w:rsid w:val="00C304ED"/>
    <w:rsid w:val="00C30512"/>
    <w:rsid w:val="00C30648"/>
    <w:rsid w:val="00C30660"/>
    <w:rsid w:val="00C30684"/>
    <w:rsid w:val="00C30716"/>
    <w:rsid w:val="00C308CB"/>
    <w:rsid w:val="00C30912"/>
    <w:rsid w:val="00C30963"/>
    <w:rsid w:val="00C30986"/>
    <w:rsid w:val="00C30A52"/>
    <w:rsid w:val="00C30B21"/>
    <w:rsid w:val="00C30C34"/>
    <w:rsid w:val="00C30CBD"/>
    <w:rsid w:val="00C30CC7"/>
    <w:rsid w:val="00C30E4C"/>
    <w:rsid w:val="00C30EB4"/>
    <w:rsid w:val="00C30EF2"/>
    <w:rsid w:val="00C31004"/>
    <w:rsid w:val="00C310D8"/>
    <w:rsid w:val="00C31152"/>
    <w:rsid w:val="00C311C3"/>
    <w:rsid w:val="00C31223"/>
    <w:rsid w:val="00C31267"/>
    <w:rsid w:val="00C31665"/>
    <w:rsid w:val="00C31690"/>
    <w:rsid w:val="00C31738"/>
    <w:rsid w:val="00C3187B"/>
    <w:rsid w:val="00C3190B"/>
    <w:rsid w:val="00C31981"/>
    <w:rsid w:val="00C31A9F"/>
    <w:rsid w:val="00C31AEF"/>
    <w:rsid w:val="00C31B18"/>
    <w:rsid w:val="00C31CD9"/>
    <w:rsid w:val="00C31ECA"/>
    <w:rsid w:val="00C3204F"/>
    <w:rsid w:val="00C32200"/>
    <w:rsid w:val="00C3226C"/>
    <w:rsid w:val="00C322DF"/>
    <w:rsid w:val="00C3255F"/>
    <w:rsid w:val="00C326CD"/>
    <w:rsid w:val="00C32785"/>
    <w:rsid w:val="00C32810"/>
    <w:rsid w:val="00C328C7"/>
    <w:rsid w:val="00C32981"/>
    <w:rsid w:val="00C329A3"/>
    <w:rsid w:val="00C329C4"/>
    <w:rsid w:val="00C329F3"/>
    <w:rsid w:val="00C32A32"/>
    <w:rsid w:val="00C32AFD"/>
    <w:rsid w:val="00C32BCA"/>
    <w:rsid w:val="00C32BDB"/>
    <w:rsid w:val="00C32CD5"/>
    <w:rsid w:val="00C32DCB"/>
    <w:rsid w:val="00C32E05"/>
    <w:rsid w:val="00C330A9"/>
    <w:rsid w:val="00C3321B"/>
    <w:rsid w:val="00C3349A"/>
    <w:rsid w:val="00C335FE"/>
    <w:rsid w:val="00C3360F"/>
    <w:rsid w:val="00C33760"/>
    <w:rsid w:val="00C33850"/>
    <w:rsid w:val="00C3387B"/>
    <w:rsid w:val="00C338C2"/>
    <w:rsid w:val="00C339B8"/>
    <w:rsid w:val="00C33C32"/>
    <w:rsid w:val="00C33C8F"/>
    <w:rsid w:val="00C33C96"/>
    <w:rsid w:val="00C33E1E"/>
    <w:rsid w:val="00C33EE6"/>
    <w:rsid w:val="00C33F2C"/>
    <w:rsid w:val="00C34037"/>
    <w:rsid w:val="00C34046"/>
    <w:rsid w:val="00C34055"/>
    <w:rsid w:val="00C341D3"/>
    <w:rsid w:val="00C3424B"/>
    <w:rsid w:val="00C34278"/>
    <w:rsid w:val="00C34279"/>
    <w:rsid w:val="00C3446D"/>
    <w:rsid w:val="00C344AE"/>
    <w:rsid w:val="00C345FB"/>
    <w:rsid w:val="00C34946"/>
    <w:rsid w:val="00C349F4"/>
    <w:rsid w:val="00C34C31"/>
    <w:rsid w:val="00C34D6E"/>
    <w:rsid w:val="00C34F71"/>
    <w:rsid w:val="00C35127"/>
    <w:rsid w:val="00C3518C"/>
    <w:rsid w:val="00C351AE"/>
    <w:rsid w:val="00C35200"/>
    <w:rsid w:val="00C354D7"/>
    <w:rsid w:val="00C35536"/>
    <w:rsid w:val="00C35557"/>
    <w:rsid w:val="00C3560F"/>
    <w:rsid w:val="00C356BC"/>
    <w:rsid w:val="00C3586C"/>
    <w:rsid w:val="00C359A4"/>
    <w:rsid w:val="00C35BC0"/>
    <w:rsid w:val="00C35CA0"/>
    <w:rsid w:val="00C35D7E"/>
    <w:rsid w:val="00C3601F"/>
    <w:rsid w:val="00C36087"/>
    <w:rsid w:val="00C36158"/>
    <w:rsid w:val="00C361C3"/>
    <w:rsid w:val="00C362F6"/>
    <w:rsid w:val="00C363A7"/>
    <w:rsid w:val="00C3678E"/>
    <w:rsid w:val="00C36887"/>
    <w:rsid w:val="00C369AE"/>
    <w:rsid w:val="00C369D9"/>
    <w:rsid w:val="00C36A4C"/>
    <w:rsid w:val="00C36BB3"/>
    <w:rsid w:val="00C37027"/>
    <w:rsid w:val="00C3704D"/>
    <w:rsid w:val="00C37055"/>
    <w:rsid w:val="00C37094"/>
    <w:rsid w:val="00C37129"/>
    <w:rsid w:val="00C375BB"/>
    <w:rsid w:val="00C3765C"/>
    <w:rsid w:val="00C37728"/>
    <w:rsid w:val="00C3780C"/>
    <w:rsid w:val="00C37820"/>
    <w:rsid w:val="00C37A2E"/>
    <w:rsid w:val="00C37A5C"/>
    <w:rsid w:val="00C37D83"/>
    <w:rsid w:val="00C37EB9"/>
    <w:rsid w:val="00C37FA3"/>
    <w:rsid w:val="00C400DA"/>
    <w:rsid w:val="00C40186"/>
    <w:rsid w:val="00C40213"/>
    <w:rsid w:val="00C4036E"/>
    <w:rsid w:val="00C403F9"/>
    <w:rsid w:val="00C4048D"/>
    <w:rsid w:val="00C405D8"/>
    <w:rsid w:val="00C40717"/>
    <w:rsid w:val="00C40795"/>
    <w:rsid w:val="00C407E2"/>
    <w:rsid w:val="00C40B0C"/>
    <w:rsid w:val="00C40E5C"/>
    <w:rsid w:val="00C40F01"/>
    <w:rsid w:val="00C40F24"/>
    <w:rsid w:val="00C40FAF"/>
    <w:rsid w:val="00C40FF9"/>
    <w:rsid w:val="00C41033"/>
    <w:rsid w:val="00C4105E"/>
    <w:rsid w:val="00C410C4"/>
    <w:rsid w:val="00C411E5"/>
    <w:rsid w:val="00C412A8"/>
    <w:rsid w:val="00C412D8"/>
    <w:rsid w:val="00C413AB"/>
    <w:rsid w:val="00C41554"/>
    <w:rsid w:val="00C41640"/>
    <w:rsid w:val="00C4166C"/>
    <w:rsid w:val="00C41820"/>
    <w:rsid w:val="00C418D0"/>
    <w:rsid w:val="00C419ED"/>
    <w:rsid w:val="00C41A6D"/>
    <w:rsid w:val="00C41A78"/>
    <w:rsid w:val="00C41AA4"/>
    <w:rsid w:val="00C41B2B"/>
    <w:rsid w:val="00C41C54"/>
    <w:rsid w:val="00C41E7C"/>
    <w:rsid w:val="00C41F4F"/>
    <w:rsid w:val="00C422B2"/>
    <w:rsid w:val="00C422FA"/>
    <w:rsid w:val="00C424C8"/>
    <w:rsid w:val="00C425EB"/>
    <w:rsid w:val="00C42602"/>
    <w:rsid w:val="00C427DE"/>
    <w:rsid w:val="00C427FB"/>
    <w:rsid w:val="00C4295D"/>
    <w:rsid w:val="00C42A59"/>
    <w:rsid w:val="00C42C00"/>
    <w:rsid w:val="00C42C8E"/>
    <w:rsid w:val="00C42E1F"/>
    <w:rsid w:val="00C42EA4"/>
    <w:rsid w:val="00C42F82"/>
    <w:rsid w:val="00C43182"/>
    <w:rsid w:val="00C431AE"/>
    <w:rsid w:val="00C4333C"/>
    <w:rsid w:val="00C433FF"/>
    <w:rsid w:val="00C437D9"/>
    <w:rsid w:val="00C43B04"/>
    <w:rsid w:val="00C43C57"/>
    <w:rsid w:val="00C43C8A"/>
    <w:rsid w:val="00C43D3A"/>
    <w:rsid w:val="00C43EA2"/>
    <w:rsid w:val="00C43EC1"/>
    <w:rsid w:val="00C43FE9"/>
    <w:rsid w:val="00C44093"/>
    <w:rsid w:val="00C441A3"/>
    <w:rsid w:val="00C441E1"/>
    <w:rsid w:val="00C4423A"/>
    <w:rsid w:val="00C4456D"/>
    <w:rsid w:val="00C445D1"/>
    <w:rsid w:val="00C44799"/>
    <w:rsid w:val="00C447EF"/>
    <w:rsid w:val="00C44B03"/>
    <w:rsid w:val="00C44C3E"/>
    <w:rsid w:val="00C44C57"/>
    <w:rsid w:val="00C44C98"/>
    <w:rsid w:val="00C44D12"/>
    <w:rsid w:val="00C44D66"/>
    <w:rsid w:val="00C44DA3"/>
    <w:rsid w:val="00C44DBF"/>
    <w:rsid w:val="00C44E47"/>
    <w:rsid w:val="00C45038"/>
    <w:rsid w:val="00C450A8"/>
    <w:rsid w:val="00C45221"/>
    <w:rsid w:val="00C45225"/>
    <w:rsid w:val="00C45339"/>
    <w:rsid w:val="00C453B0"/>
    <w:rsid w:val="00C453E1"/>
    <w:rsid w:val="00C45405"/>
    <w:rsid w:val="00C4554C"/>
    <w:rsid w:val="00C455AB"/>
    <w:rsid w:val="00C455C8"/>
    <w:rsid w:val="00C456FE"/>
    <w:rsid w:val="00C4571C"/>
    <w:rsid w:val="00C45753"/>
    <w:rsid w:val="00C4586E"/>
    <w:rsid w:val="00C459CC"/>
    <w:rsid w:val="00C45A43"/>
    <w:rsid w:val="00C45CEA"/>
    <w:rsid w:val="00C46274"/>
    <w:rsid w:val="00C46288"/>
    <w:rsid w:val="00C4629E"/>
    <w:rsid w:val="00C46559"/>
    <w:rsid w:val="00C465E4"/>
    <w:rsid w:val="00C46651"/>
    <w:rsid w:val="00C469EE"/>
    <w:rsid w:val="00C46B17"/>
    <w:rsid w:val="00C46EBC"/>
    <w:rsid w:val="00C47008"/>
    <w:rsid w:val="00C470A9"/>
    <w:rsid w:val="00C471D7"/>
    <w:rsid w:val="00C472BE"/>
    <w:rsid w:val="00C474BD"/>
    <w:rsid w:val="00C4759F"/>
    <w:rsid w:val="00C47755"/>
    <w:rsid w:val="00C47828"/>
    <w:rsid w:val="00C47869"/>
    <w:rsid w:val="00C47915"/>
    <w:rsid w:val="00C47AB3"/>
    <w:rsid w:val="00C47BC1"/>
    <w:rsid w:val="00C47C48"/>
    <w:rsid w:val="00C47C66"/>
    <w:rsid w:val="00C47E8C"/>
    <w:rsid w:val="00C5000D"/>
    <w:rsid w:val="00C5015D"/>
    <w:rsid w:val="00C50316"/>
    <w:rsid w:val="00C50507"/>
    <w:rsid w:val="00C50557"/>
    <w:rsid w:val="00C50723"/>
    <w:rsid w:val="00C50883"/>
    <w:rsid w:val="00C5095F"/>
    <w:rsid w:val="00C50A4F"/>
    <w:rsid w:val="00C50AC5"/>
    <w:rsid w:val="00C50B58"/>
    <w:rsid w:val="00C50BE3"/>
    <w:rsid w:val="00C50C44"/>
    <w:rsid w:val="00C50D5B"/>
    <w:rsid w:val="00C50D7C"/>
    <w:rsid w:val="00C50EE5"/>
    <w:rsid w:val="00C50F59"/>
    <w:rsid w:val="00C51044"/>
    <w:rsid w:val="00C512D8"/>
    <w:rsid w:val="00C51438"/>
    <w:rsid w:val="00C515D1"/>
    <w:rsid w:val="00C51658"/>
    <w:rsid w:val="00C516E4"/>
    <w:rsid w:val="00C518C9"/>
    <w:rsid w:val="00C5195B"/>
    <w:rsid w:val="00C51B50"/>
    <w:rsid w:val="00C51C66"/>
    <w:rsid w:val="00C51D3A"/>
    <w:rsid w:val="00C51D6D"/>
    <w:rsid w:val="00C51D73"/>
    <w:rsid w:val="00C51DDD"/>
    <w:rsid w:val="00C51E2D"/>
    <w:rsid w:val="00C5212D"/>
    <w:rsid w:val="00C523E1"/>
    <w:rsid w:val="00C523F4"/>
    <w:rsid w:val="00C524FC"/>
    <w:rsid w:val="00C5271C"/>
    <w:rsid w:val="00C52795"/>
    <w:rsid w:val="00C52821"/>
    <w:rsid w:val="00C528D8"/>
    <w:rsid w:val="00C529F1"/>
    <w:rsid w:val="00C52C90"/>
    <w:rsid w:val="00C52DF4"/>
    <w:rsid w:val="00C52E10"/>
    <w:rsid w:val="00C53099"/>
    <w:rsid w:val="00C532F6"/>
    <w:rsid w:val="00C532FC"/>
    <w:rsid w:val="00C5334F"/>
    <w:rsid w:val="00C5353E"/>
    <w:rsid w:val="00C53580"/>
    <w:rsid w:val="00C53735"/>
    <w:rsid w:val="00C537D0"/>
    <w:rsid w:val="00C5392E"/>
    <w:rsid w:val="00C53A1B"/>
    <w:rsid w:val="00C53AFB"/>
    <w:rsid w:val="00C53B10"/>
    <w:rsid w:val="00C53D0A"/>
    <w:rsid w:val="00C53D43"/>
    <w:rsid w:val="00C53D95"/>
    <w:rsid w:val="00C53DEE"/>
    <w:rsid w:val="00C53E35"/>
    <w:rsid w:val="00C53E5C"/>
    <w:rsid w:val="00C53ECD"/>
    <w:rsid w:val="00C54043"/>
    <w:rsid w:val="00C54290"/>
    <w:rsid w:val="00C5433C"/>
    <w:rsid w:val="00C54424"/>
    <w:rsid w:val="00C54498"/>
    <w:rsid w:val="00C54547"/>
    <w:rsid w:val="00C5457C"/>
    <w:rsid w:val="00C54679"/>
    <w:rsid w:val="00C546AA"/>
    <w:rsid w:val="00C5478A"/>
    <w:rsid w:val="00C5486A"/>
    <w:rsid w:val="00C54911"/>
    <w:rsid w:val="00C549D8"/>
    <w:rsid w:val="00C54A8C"/>
    <w:rsid w:val="00C54B47"/>
    <w:rsid w:val="00C54BB9"/>
    <w:rsid w:val="00C54DA1"/>
    <w:rsid w:val="00C54DCA"/>
    <w:rsid w:val="00C54F70"/>
    <w:rsid w:val="00C54F89"/>
    <w:rsid w:val="00C54FA3"/>
    <w:rsid w:val="00C550B1"/>
    <w:rsid w:val="00C55479"/>
    <w:rsid w:val="00C556A2"/>
    <w:rsid w:val="00C55A29"/>
    <w:rsid w:val="00C55B99"/>
    <w:rsid w:val="00C55C6D"/>
    <w:rsid w:val="00C55CA5"/>
    <w:rsid w:val="00C55E47"/>
    <w:rsid w:val="00C55F14"/>
    <w:rsid w:val="00C55FAF"/>
    <w:rsid w:val="00C5605B"/>
    <w:rsid w:val="00C56156"/>
    <w:rsid w:val="00C563D2"/>
    <w:rsid w:val="00C563D3"/>
    <w:rsid w:val="00C565E2"/>
    <w:rsid w:val="00C567BA"/>
    <w:rsid w:val="00C56B74"/>
    <w:rsid w:val="00C56C56"/>
    <w:rsid w:val="00C56E4E"/>
    <w:rsid w:val="00C56EBE"/>
    <w:rsid w:val="00C56EEB"/>
    <w:rsid w:val="00C56F92"/>
    <w:rsid w:val="00C57001"/>
    <w:rsid w:val="00C57082"/>
    <w:rsid w:val="00C5709C"/>
    <w:rsid w:val="00C57105"/>
    <w:rsid w:val="00C571CB"/>
    <w:rsid w:val="00C57351"/>
    <w:rsid w:val="00C5736E"/>
    <w:rsid w:val="00C5739F"/>
    <w:rsid w:val="00C574AC"/>
    <w:rsid w:val="00C574BF"/>
    <w:rsid w:val="00C574D2"/>
    <w:rsid w:val="00C57573"/>
    <w:rsid w:val="00C576E3"/>
    <w:rsid w:val="00C57709"/>
    <w:rsid w:val="00C57AC6"/>
    <w:rsid w:val="00C57BE0"/>
    <w:rsid w:val="00C57CB4"/>
    <w:rsid w:val="00C57D12"/>
    <w:rsid w:val="00C57DE1"/>
    <w:rsid w:val="00C57E4F"/>
    <w:rsid w:val="00C57FCE"/>
    <w:rsid w:val="00C6027D"/>
    <w:rsid w:val="00C60449"/>
    <w:rsid w:val="00C60662"/>
    <w:rsid w:val="00C60667"/>
    <w:rsid w:val="00C6067B"/>
    <w:rsid w:val="00C606FA"/>
    <w:rsid w:val="00C60A99"/>
    <w:rsid w:val="00C60AD8"/>
    <w:rsid w:val="00C60C54"/>
    <w:rsid w:val="00C60D6D"/>
    <w:rsid w:val="00C60DD7"/>
    <w:rsid w:val="00C60E74"/>
    <w:rsid w:val="00C60EEF"/>
    <w:rsid w:val="00C60FAB"/>
    <w:rsid w:val="00C610B3"/>
    <w:rsid w:val="00C61117"/>
    <w:rsid w:val="00C611E9"/>
    <w:rsid w:val="00C611FC"/>
    <w:rsid w:val="00C6121F"/>
    <w:rsid w:val="00C613C2"/>
    <w:rsid w:val="00C61687"/>
    <w:rsid w:val="00C616E2"/>
    <w:rsid w:val="00C616F0"/>
    <w:rsid w:val="00C617DB"/>
    <w:rsid w:val="00C61841"/>
    <w:rsid w:val="00C618C9"/>
    <w:rsid w:val="00C6199A"/>
    <w:rsid w:val="00C61AA8"/>
    <w:rsid w:val="00C61B24"/>
    <w:rsid w:val="00C61B76"/>
    <w:rsid w:val="00C62048"/>
    <w:rsid w:val="00C620EE"/>
    <w:rsid w:val="00C6214E"/>
    <w:rsid w:val="00C62174"/>
    <w:rsid w:val="00C6227D"/>
    <w:rsid w:val="00C62296"/>
    <w:rsid w:val="00C62301"/>
    <w:rsid w:val="00C6232F"/>
    <w:rsid w:val="00C62499"/>
    <w:rsid w:val="00C62588"/>
    <w:rsid w:val="00C627B1"/>
    <w:rsid w:val="00C6294C"/>
    <w:rsid w:val="00C62951"/>
    <w:rsid w:val="00C62A25"/>
    <w:rsid w:val="00C62DEC"/>
    <w:rsid w:val="00C62F92"/>
    <w:rsid w:val="00C63218"/>
    <w:rsid w:val="00C63379"/>
    <w:rsid w:val="00C633D3"/>
    <w:rsid w:val="00C63478"/>
    <w:rsid w:val="00C634C1"/>
    <w:rsid w:val="00C63567"/>
    <w:rsid w:val="00C6364A"/>
    <w:rsid w:val="00C63687"/>
    <w:rsid w:val="00C636DD"/>
    <w:rsid w:val="00C63765"/>
    <w:rsid w:val="00C637A5"/>
    <w:rsid w:val="00C63834"/>
    <w:rsid w:val="00C6387E"/>
    <w:rsid w:val="00C63980"/>
    <w:rsid w:val="00C63983"/>
    <w:rsid w:val="00C639F0"/>
    <w:rsid w:val="00C63ADD"/>
    <w:rsid w:val="00C63B50"/>
    <w:rsid w:val="00C63CB8"/>
    <w:rsid w:val="00C63D37"/>
    <w:rsid w:val="00C63EC4"/>
    <w:rsid w:val="00C64227"/>
    <w:rsid w:val="00C6427C"/>
    <w:rsid w:val="00C64290"/>
    <w:rsid w:val="00C642EB"/>
    <w:rsid w:val="00C64365"/>
    <w:rsid w:val="00C643C1"/>
    <w:rsid w:val="00C6442E"/>
    <w:rsid w:val="00C64470"/>
    <w:rsid w:val="00C64506"/>
    <w:rsid w:val="00C6455D"/>
    <w:rsid w:val="00C64608"/>
    <w:rsid w:val="00C64656"/>
    <w:rsid w:val="00C64703"/>
    <w:rsid w:val="00C6471A"/>
    <w:rsid w:val="00C647EB"/>
    <w:rsid w:val="00C64926"/>
    <w:rsid w:val="00C64986"/>
    <w:rsid w:val="00C64B23"/>
    <w:rsid w:val="00C64C06"/>
    <w:rsid w:val="00C64E8A"/>
    <w:rsid w:val="00C64EB1"/>
    <w:rsid w:val="00C64EF9"/>
    <w:rsid w:val="00C64F40"/>
    <w:rsid w:val="00C64F46"/>
    <w:rsid w:val="00C64F91"/>
    <w:rsid w:val="00C64FF8"/>
    <w:rsid w:val="00C65019"/>
    <w:rsid w:val="00C65181"/>
    <w:rsid w:val="00C652A6"/>
    <w:rsid w:val="00C652FF"/>
    <w:rsid w:val="00C6531E"/>
    <w:rsid w:val="00C65370"/>
    <w:rsid w:val="00C65426"/>
    <w:rsid w:val="00C65450"/>
    <w:rsid w:val="00C6553C"/>
    <w:rsid w:val="00C655F6"/>
    <w:rsid w:val="00C6564B"/>
    <w:rsid w:val="00C657B4"/>
    <w:rsid w:val="00C65837"/>
    <w:rsid w:val="00C65855"/>
    <w:rsid w:val="00C6599D"/>
    <w:rsid w:val="00C659EE"/>
    <w:rsid w:val="00C65A10"/>
    <w:rsid w:val="00C65C79"/>
    <w:rsid w:val="00C65C91"/>
    <w:rsid w:val="00C65CDF"/>
    <w:rsid w:val="00C65DC6"/>
    <w:rsid w:val="00C660AA"/>
    <w:rsid w:val="00C66253"/>
    <w:rsid w:val="00C66343"/>
    <w:rsid w:val="00C6636A"/>
    <w:rsid w:val="00C663F0"/>
    <w:rsid w:val="00C66419"/>
    <w:rsid w:val="00C6641C"/>
    <w:rsid w:val="00C6642E"/>
    <w:rsid w:val="00C66572"/>
    <w:rsid w:val="00C665F8"/>
    <w:rsid w:val="00C66600"/>
    <w:rsid w:val="00C6663C"/>
    <w:rsid w:val="00C66716"/>
    <w:rsid w:val="00C667CB"/>
    <w:rsid w:val="00C66866"/>
    <w:rsid w:val="00C66A37"/>
    <w:rsid w:val="00C66C7E"/>
    <w:rsid w:val="00C66CC7"/>
    <w:rsid w:val="00C66DA4"/>
    <w:rsid w:val="00C670B3"/>
    <w:rsid w:val="00C67102"/>
    <w:rsid w:val="00C67343"/>
    <w:rsid w:val="00C6745F"/>
    <w:rsid w:val="00C674A3"/>
    <w:rsid w:val="00C674FA"/>
    <w:rsid w:val="00C674FE"/>
    <w:rsid w:val="00C6756A"/>
    <w:rsid w:val="00C675B0"/>
    <w:rsid w:val="00C675C2"/>
    <w:rsid w:val="00C676A7"/>
    <w:rsid w:val="00C67987"/>
    <w:rsid w:val="00C679EE"/>
    <w:rsid w:val="00C67AC5"/>
    <w:rsid w:val="00C67C14"/>
    <w:rsid w:val="00C67CAD"/>
    <w:rsid w:val="00C67D79"/>
    <w:rsid w:val="00C67DE4"/>
    <w:rsid w:val="00C67F15"/>
    <w:rsid w:val="00C7006A"/>
    <w:rsid w:val="00C7011F"/>
    <w:rsid w:val="00C701C5"/>
    <w:rsid w:val="00C702C3"/>
    <w:rsid w:val="00C702EB"/>
    <w:rsid w:val="00C703D5"/>
    <w:rsid w:val="00C70594"/>
    <w:rsid w:val="00C707EA"/>
    <w:rsid w:val="00C70AEA"/>
    <w:rsid w:val="00C70B48"/>
    <w:rsid w:val="00C70B60"/>
    <w:rsid w:val="00C70C94"/>
    <w:rsid w:val="00C70CDA"/>
    <w:rsid w:val="00C70D9B"/>
    <w:rsid w:val="00C70E2A"/>
    <w:rsid w:val="00C70FCF"/>
    <w:rsid w:val="00C7103D"/>
    <w:rsid w:val="00C71040"/>
    <w:rsid w:val="00C7113F"/>
    <w:rsid w:val="00C711B3"/>
    <w:rsid w:val="00C71235"/>
    <w:rsid w:val="00C715D9"/>
    <w:rsid w:val="00C715EC"/>
    <w:rsid w:val="00C71613"/>
    <w:rsid w:val="00C71679"/>
    <w:rsid w:val="00C717E7"/>
    <w:rsid w:val="00C71823"/>
    <w:rsid w:val="00C71842"/>
    <w:rsid w:val="00C718A4"/>
    <w:rsid w:val="00C718D2"/>
    <w:rsid w:val="00C71A6C"/>
    <w:rsid w:val="00C71CCB"/>
    <w:rsid w:val="00C71D18"/>
    <w:rsid w:val="00C71DA0"/>
    <w:rsid w:val="00C71DAF"/>
    <w:rsid w:val="00C71E9F"/>
    <w:rsid w:val="00C720F5"/>
    <w:rsid w:val="00C72205"/>
    <w:rsid w:val="00C722AB"/>
    <w:rsid w:val="00C7238C"/>
    <w:rsid w:val="00C72391"/>
    <w:rsid w:val="00C724C4"/>
    <w:rsid w:val="00C7265E"/>
    <w:rsid w:val="00C7278C"/>
    <w:rsid w:val="00C7295D"/>
    <w:rsid w:val="00C72A07"/>
    <w:rsid w:val="00C72A73"/>
    <w:rsid w:val="00C72C00"/>
    <w:rsid w:val="00C72D7A"/>
    <w:rsid w:val="00C72ED7"/>
    <w:rsid w:val="00C72F95"/>
    <w:rsid w:val="00C72FA2"/>
    <w:rsid w:val="00C72FF6"/>
    <w:rsid w:val="00C730BD"/>
    <w:rsid w:val="00C730FA"/>
    <w:rsid w:val="00C73237"/>
    <w:rsid w:val="00C73386"/>
    <w:rsid w:val="00C734C4"/>
    <w:rsid w:val="00C73516"/>
    <w:rsid w:val="00C736CC"/>
    <w:rsid w:val="00C736CF"/>
    <w:rsid w:val="00C7388F"/>
    <w:rsid w:val="00C73B8D"/>
    <w:rsid w:val="00C73C81"/>
    <w:rsid w:val="00C741CB"/>
    <w:rsid w:val="00C74276"/>
    <w:rsid w:val="00C74291"/>
    <w:rsid w:val="00C742FE"/>
    <w:rsid w:val="00C74583"/>
    <w:rsid w:val="00C7485C"/>
    <w:rsid w:val="00C749EF"/>
    <w:rsid w:val="00C74A8F"/>
    <w:rsid w:val="00C74AED"/>
    <w:rsid w:val="00C74B33"/>
    <w:rsid w:val="00C74C00"/>
    <w:rsid w:val="00C74DF8"/>
    <w:rsid w:val="00C74E15"/>
    <w:rsid w:val="00C7518C"/>
    <w:rsid w:val="00C7518F"/>
    <w:rsid w:val="00C75215"/>
    <w:rsid w:val="00C752A4"/>
    <w:rsid w:val="00C7533C"/>
    <w:rsid w:val="00C753B8"/>
    <w:rsid w:val="00C75567"/>
    <w:rsid w:val="00C75660"/>
    <w:rsid w:val="00C756EC"/>
    <w:rsid w:val="00C7572E"/>
    <w:rsid w:val="00C75839"/>
    <w:rsid w:val="00C75D17"/>
    <w:rsid w:val="00C75D5C"/>
    <w:rsid w:val="00C75D8E"/>
    <w:rsid w:val="00C75DF9"/>
    <w:rsid w:val="00C75E89"/>
    <w:rsid w:val="00C7609D"/>
    <w:rsid w:val="00C761CE"/>
    <w:rsid w:val="00C761EE"/>
    <w:rsid w:val="00C76311"/>
    <w:rsid w:val="00C764A3"/>
    <w:rsid w:val="00C766CD"/>
    <w:rsid w:val="00C7676A"/>
    <w:rsid w:val="00C76859"/>
    <w:rsid w:val="00C76A0E"/>
    <w:rsid w:val="00C76ABA"/>
    <w:rsid w:val="00C76B7E"/>
    <w:rsid w:val="00C76B9C"/>
    <w:rsid w:val="00C76D50"/>
    <w:rsid w:val="00C76E72"/>
    <w:rsid w:val="00C76EA5"/>
    <w:rsid w:val="00C76F98"/>
    <w:rsid w:val="00C77228"/>
    <w:rsid w:val="00C77257"/>
    <w:rsid w:val="00C772BD"/>
    <w:rsid w:val="00C77403"/>
    <w:rsid w:val="00C7746D"/>
    <w:rsid w:val="00C774CA"/>
    <w:rsid w:val="00C77603"/>
    <w:rsid w:val="00C7775B"/>
    <w:rsid w:val="00C778B4"/>
    <w:rsid w:val="00C778E7"/>
    <w:rsid w:val="00C779A5"/>
    <w:rsid w:val="00C779D9"/>
    <w:rsid w:val="00C77A97"/>
    <w:rsid w:val="00C77BAE"/>
    <w:rsid w:val="00C77C00"/>
    <w:rsid w:val="00C77C89"/>
    <w:rsid w:val="00C77D74"/>
    <w:rsid w:val="00C77E6E"/>
    <w:rsid w:val="00C77E95"/>
    <w:rsid w:val="00C77EE4"/>
    <w:rsid w:val="00C77F2E"/>
    <w:rsid w:val="00C80109"/>
    <w:rsid w:val="00C8021C"/>
    <w:rsid w:val="00C802F3"/>
    <w:rsid w:val="00C80644"/>
    <w:rsid w:val="00C80942"/>
    <w:rsid w:val="00C8096F"/>
    <w:rsid w:val="00C809E4"/>
    <w:rsid w:val="00C80ABA"/>
    <w:rsid w:val="00C80B1C"/>
    <w:rsid w:val="00C80C05"/>
    <w:rsid w:val="00C80DDE"/>
    <w:rsid w:val="00C80F08"/>
    <w:rsid w:val="00C80F35"/>
    <w:rsid w:val="00C81039"/>
    <w:rsid w:val="00C81047"/>
    <w:rsid w:val="00C8105A"/>
    <w:rsid w:val="00C81087"/>
    <w:rsid w:val="00C810DF"/>
    <w:rsid w:val="00C8127D"/>
    <w:rsid w:val="00C8129F"/>
    <w:rsid w:val="00C813E7"/>
    <w:rsid w:val="00C815DE"/>
    <w:rsid w:val="00C81735"/>
    <w:rsid w:val="00C81767"/>
    <w:rsid w:val="00C817B3"/>
    <w:rsid w:val="00C817D0"/>
    <w:rsid w:val="00C817DB"/>
    <w:rsid w:val="00C81907"/>
    <w:rsid w:val="00C81908"/>
    <w:rsid w:val="00C8193A"/>
    <w:rsid w:val="00C81A02"/>
    <w:rsid w:val="00C81A63"/>
    <w:rsid w:val="00C81B89"/>
    <w:rsid w:val="00C81C72"/>
    <w:rsid w:val="00C81CAA"/>
    <w:rsid w:val="00C82068"/>
    <w:rsid w:val="00C821C9"/>
    <w:rsid w:val="00C8235A"/>
    <w:rsid w:val="00C823A4"/>
    <w:rsid w:val="00C8252D"/>
    <w:rsid w:val="00C82533"/>
    <w:rsid w:val="00C82562"/>
    <w:rsid w:val="00C825F9"/>
    <w:rsid w:val="00C827FB"/>
    <w:rsid w:val="00C82899"/>
    <w:rsid w:val="00C82AD8"/>
    <w:rsid w:val="00C82C1A"/>
    <w:rsid w:val="00C82C96"/>
    <w:rsid w:val="00C82CCC"/>
    <w:rsid w:val="00C82E40"/>
    <w:rsid w:val="00C82E86"/>
    <w:rsid w:val="00C82EF6"/>
    <w:rsid w:val="00C83155"/>
    <w:rsid w:val="00C8319D"/>
    <w:rsid w:val="00C8325F"/>
    <w:rsid w:val="00C8347D"/>
    <w:rsid w:val="00C834D0"/>
    <w:rsid w:val="00C834D8"/>
    <w:rsid w:val="00C83555"/>
    <w:rsid w:val="00C83629"/>
    <w:rsid w:val="00C8376A"/>
    <w:rsid w:val="00C83825"/>
    <w:rsid w:val="00C83AC7"/>
    <w:rsid w:val="00C83B3C"/>
    <w:rsid w:val="00C83DEB"/>
    <w:rsid w:val="00C83DF8"/>
    <w:rsid w:val="00C83F27"/>
    <w:rsid w:val="00C84000"/>
    <w:rsid w:val="00C8402F"/>
    <w:rsid w:val="00C8417F"/>
    <w:rsid w:val="00C84296"/>
    <w:rsid w:val="00C842D0"/>
    <w:rsid w:val="00C842FF"/>
    <w:rsid w:val="00C84329"/>
    <w:rsid w:val="00C844B6"/>
    <w:rsid w:val="00C84562"/>
    <w:rsid w:val="00C845C3"/>
    <w:rsid w:val="00C8471C"/>
    <w:rsid w:val="00C84792"/>
    <w:rsid w:val="00C849BF"/>
    <w:rsid w:val="00C84A1A"/>
    <w:rsid w:val="00C85145"/>
    <w:rsid w:val="00C85206"/>
    <w:rsid w:val="00C85248"/>
    <w:rsid w:val="00C85287"/>
    <w:rsid w:val="00C8554D"/>
    <w:rsid w:val="00C85725"/>
    <w:rsid w:val="00C857D9"/>
    <w:rsid w:val="00C85952"/>
    <w:rsid w:val="00C85961"/>
    <w:rsid w:val="00C85982"/>
    <w:rsid w:val="00C859D4"/>
    <w:rsid w:val="00C85A3A"/>
    <w:rsid w:val="00C85B7A"/>
    <w:rsid w:val="00C85C38"/>
    <w:rsid w:val="00C85D4D"/>
    <w:rsid w:val="00C85DBA"/>
    <w:rsid w:val="00C85FA6"/>
    <w:rsid w:val="00C8612E"/>
    <w:rsid w:val="00C861B0"/>
    <w:rsid w:val="00C861ED"/>
    <w:rsid w:val="00C862FC"/>
    <w:rsid w:val="00C86394"/>
    <w:rsid w:val="00C86852"/>
    <w:rsid w:val="00C86975"/>
    <w:rsid w:val="00C86982"/>
    <w:rsid w:val="00C86A78"/>
    <w:rsid w:val="00C86BE5"/>
    <w:rsid w:val="00C86C6A"/>
    <w:rsid w:val="00C86CD6"/>
    <w:rsid w:val="00C86E01"/>
    <w:rsid w:val="00C86FC1"/>
    <w:rsid w:val="00C870A0"/>
    <w:rsid w:val="00C87142"/>
    <w:rsid w:val="00C871D9"/>
    <w:rsid w:val="00C87350"/>
    <w:rsid w:val="00C873A9"/>
    <w:rsid w:val="00C874C6"/>
    <w:rsid w:val="00C876B4"/>
    <w:rsid w:val="00C876C1"/>
    <w:rsid w:val="00C87809"/>
    <w:rsid w:val="00C879A7"/>
    <w:rsid w:val="00C87A7F"/>
    <w:rsid w:val="00C87B1A"/>
    <w:rsid w:val="00C87BEF"/>
    <w:rsid w:val="00C87CAE"/>
    <w:rsid w:val="00C87E88"/>
    <w:rsid w:val="00C87ED9"/>
    <w:rsid w:val="00C87F30"/>
    <w:rsid w:val="00C90030"/>
    <w:rsid w:val="00C901CA"/>
    <w:rsid w:val="00C90293"/>
    <w:rsid w:val="00C902A6"/>
    <w:rsid w:val="00C90352"/>
    <w:rsid w:val="00C9040F"/>
    <w:rsid w:val="00C90489"/>
    <w:rsid w:val="00C90582"/>
    <w:rsid w:val="00C90889"/>
    <w:rsid w:val="00C90BD7"/>
    <w:rsid w:val="00C90C1A"/>
    <w:rsid w:val="00C90C81"/>
    <w:rsid w:val="00C90DB3"/>
    <w:rsid w:val="00C90E5B"/>
    <w:rsid w:val="00C90EA8"/>
    <w:rsid w:val="00C9108C"/>
    <w:rsid w:val="00C91095"/>
    <w:rsid w:val="00C9111C"/>
    <w:rsid w:val="00C913D5"/>
    <w:rsid w:val="00C9141B"/>
    <w:rsid w:val="00C91476"/>
    <w:rsid w:val="00C914D0"/>
    <w:rsid w:val="00C914DD"/>
    <w:rsid w:val="00C9163B"/>
    <w:rsid w:val="00C91769"/>
    <w:rsid w:val="00C917B4"/>
    <w:rsid w:val="00C917BE"/>
    <w:rsid w:val="00C917ED"/>
    <w:rsid w:val="00C918F7"/>
    <w:rsid w:val="00C91942"/>
    <w:rsid w:val="00C91954"/>
    <w:rsid w:val="00C91A2F"/>
    <w:rsid w:val="00C91C03"/>
    <w:rsid w:val="00C91C04"/>
    <w:rsid w:val="00C91CFA"/>
    <w:rsid w:val="00C91D19"/>
    <w:rsid w:val="00C91D79"/>
    <w:rsid w:val="00C91DC6"/>
    <w:rsid w:val="00C91E35"/>
    <w:rsid w:val="00C920B0"/>
    <w:rsid w:val="00C92101"/>
    <w:rsid w:val="00C922D6"/>
    <w:rsid w:val="00C92594"/>
    <w:rsid w:val="00C92659"/>
    <w:rsid w:val="00C926D4"/>
    <w:rsid w:val="00C92717"/>
    <w:rsid w:val="00C92733"/>
    <w:rsid w:val="00C928F7"/>
    <w:rsid w:val="00C92A09"/>
    <w:rsid w:val="00C92B9C"/>
    <w:rsid w:val="00C92BA2"/>
    <w:rsid w:val="00C92BB2"/>
    <w:rsid w:val="00C92BDD"/>
    <w:rsid w:val="00C92C84"/>
    <w:rsid w:val="00C92D93"/>
    <w:rsid w:val="00C92E2A"/>
    <w:rsid w:val="00C930F2"/>
    <w:rsid w:val="00C932FA"/>
    <w:rsid w:val="00C93375"/>
    <w:rsid w:val="00C93427"/>
    <w:rsid w:val="00C935D9"/>
    <w:rsid w:val="00C9362A"/>
    <w:rsid w:val="00C937F6"/>
    <w:rsid w:val="00C938E2"/>
    <w:rsid w:val="00C93915"/>
    <w:rsid w:val="00C93D2C"/>
    <w:rsid w:val="00C93D2D"/>
    <w:rsid w:val="00C93D53"/>
    <w:rsid w:val="00C93F78"/>
    <w:rsid w:val="00C9404F"/>
    <w:rsid w:val="00C94174"/>
    <w:rsid w:val="00C9419E"/>
    <w:rsid w:val="00C94208"/>
    <w:rsid w:val="00C94273"/>
    <w:rsid w:val="00C94298"/>
    <w:rsid w:val="00C94326"/>
    <w:rsid w:val="00C94435"/>
    <w:rsid w:val="00C94496"/>
    <w:rsid w:val="00C9449A"/>
    <w:rsid w:val="00C944CB"/>
    <w:rsid w:val="00C945BD"/>
    <w:rsid w:val="00C945FC"/>
    <w:rsid w:val="00C94607"/>
    <w:rsid w:val="00C94669"/>
    <w:rsid w:val="00C9471C"/>
    <w:rsid w:val="00C94798"/>
    <w:rsid w:val="00C947D5"/>
    <w:rsid w:val="00C947D8"/>
    <w:rsid w:val="00C947E6"/>
    <w:rsid w:val="00C94983"/>
    <w:rsid w:val="00C949AD"/>
    <w:rsid w:val="00C94B66"/>
    <w:rsid w:val="00C94C9F"/>
    <w:rsid w:val="00C94DF5"/>
    <w:rsid w:val="00C94F29"/>
    <w:rsid w:val="00C94FA9"/>
    <w:rsid w:val="00C94FDD"/>
    <w:rsid w:val="00C95261"/>
    <w:rsid w:val="00C953E2"/>
    <w:rsid w:val="00C955F2"/>
    <w:rsid w:val="00C9563C"/>
    <w:rsid w:val="00C95857"/>
    <w:rsid w:val="00C9599A"/>
    <w:rsid w:val="00C95B06"/>
    <w:rsid w:val="00C95B70"/>
    <w:rsid w:val="00C95E14"/>
    <w:rsid w:val="00C95E3D"/>
    <w:rsid w:val="00C95F3A"/>
    <w:rsid w:val="00C95FEE"/>
    <w:rsid w:val="00C95FF3"/>
    <w:rsid w:val="00C962E4"/>
    <w:rsid w:val="00C964FF"/>
    <w:rsid w:val="00C96561"/>
    <w:rsid w:val="00C965B3"/>
    <w:rsid w:val="00C965E9"/>
    <w:rsid w:val="00C9681E"/>
    <w:rsid w:val="00C96858"/>
    <w:rsid w:val="00C968EF"/>
    <w:rsid w:val="00C968F9"/>
    <w:rsid w:val="00C96AB6"/>
    <w:rsid w:val="00C96ACF"/>
    <w:rsid w:val="00C96B1D"/>
    <w:rsid w:val="00C96C43"/>
    <w:rsid w:val="00C96E50"/>
    <w:rsid w:val="00C96EB4"/>
    <w:rsid w:val="00C97138"/>
    <w:rsid w:val="00C972D6"/>
    <w:rsid w:val="00C973F6"/>
    <w:rsid w:val="00C9766B"/>
    <w:rsid w:val="00C976C8"/>
    <w:rsid w:val="00C9792F"/>
    <w:rsid w:val="00C97A39"/>
    <w:rsid w:val="00C97B61"/>
    <w:rsid w:val="00C97C3F"/>
    <w:rsid w:val="00C97D13"/>
    <w:rsid w:val="00C97E80"/>
    <w:rsid w:val="00C97F1E"/>
    <w:rsid w:val="00C97FD1"/>
    <w:rsid w:val="00C97FD3"/>
    <w:rsid w:val="00CA0028"/>
    <w:rsid w:val="00CA01F6"/>
    <w:rsid w:val="00CA023E"/>
    <w:rsid w:val="00CA0267"/>
    <w:rsid w:val="00CA0324"/>
    <w:rsid w:val="00CA056C"/>
    <w:rsid w:val="00CA0584"/>
    <w:rsid w:val="00CA0591"/>
    <w:rsid w:val="00CA05A0"/>
    <w:rsid w:val="00CA05B8"/>
    <w:rsid w:val="00CA0620"/>
    <w:rsid w:val="00CA0634"/>
    <w:rsid w:val="00CA06AB"/>
    <w:rsid w:val="00CA0CDB"/>
    <w:rsid w:val="00CA109B"/>
    <w:rsid w:val="00CA1213"/>
    <w:rsid w:val="00CA1369"/>
    <w:rsid w:val="00CA1668"/>
    <w:rsid w:val="00CA179B"/>
    <w:rsid w:val="00CA187E"/>
    <w:rsid w:val="00CA1B0A"/>
    <w:rsid w:val="00CA1DC5"/>
    <w:rsid w:val="00CA1F59"/>
    <w:rsid w:val="00CA1FA8"/>
    <w:rsid w:val="00CA1FAA"/>
    <w:rsid w:val="00CA1FF8"/>
    <w:rsid w:val="00CA2022"/>
    <w:rsid w:val="00CA20A6"/>
    <w:rsid w:val="00CA2139"/>
    <w:rsid w:val="00CA21D9"/>
    <w:rsid w:val="00CA21E8"/>
    <w:rsid w:val="00CA243B"/>
    <w:rsid w:val="00CA25E4"/>
    <w:rsid w:val="00CA25FA"/>
    <w:rsid w:val="00CA273E"/>
    <w:rsid w:val="00CA2BEF"/>
    <w:rsid w:val="00CA2C18"/>
    <w:rsid w:val="00CA2E8E"/>
    <w:rsid w:val="00CA2ED1"/>
    <w:rsid w:val="00CA2F21"/>
    <w:rsid w:val="00CA2F91"/>
    <w:rsid w:val="00CA2FA3"/>
    <w:rsid w:val="00CA2FD6"/>
    <w:rsid w:val="00CA3078"/>
    <w:rsid w:val="00CA31CE"/>
    <w:rsid w:val="00CA321A"/>
    <w:rsid w:val="00CA32A2"/>
    <w:rsid w:val="00CA32E5"/>
    <w:rsid w:val="00CA339B"/>
    <w:rsid w:val="00CA3574"/>
    <w:rsid w:val="00CA35E5"/>
    <w:rsid w:val="00CA35F5"/>
    <w:rsid w:val="00CA3651"/>
    <w:rsid w:val="00CA36FC"/>
    <w:rsid w:val="00CA383E"/>
    <w:rsid w:val="00CA3950"/>
    <w:rsid w:val="00CA3AC2"/>
    <w:rsid w:val="00CA3AC7"/>
    <w:rsid w:val="00CA3C24"/>
    <w:rsid w:val="00CA3CEA"/>
    <w:rsid w:val="00CA3D09"/>
    <w:rsid w:val="00CA3DCB"/>
    <w:rsid w:val="00CA3E2E"/>
    <w:rsid w:val="00CA3EA0"/>
    <w:rsid w:val="00CA3EB7"/>
    <w:rsid w:val="00CA424D"/>
    <w:rsid w:val="00CA4321"/>
    <w:rsid w:val="00CA45C6"/>
    <w:rsid w:val="00CA4816"/>
    <w:rsid w:val="00CA48B2"/>
    <w:rsid w:val="00CA49D5"/>
    <w:rsid w:val="00CA4A49"/>
    <w:rsid w:val="00CA4B45"/>
    <w:rsid w:val="00CA4B6C"/>
    <w:rsid w:val="00CA4FC8"/>
    <w:rsid w:val="00CA507B"/>
    <w:rsid w:val="00CA513A"/>
    <w:rsid w:val="00CA5183"/>
    <w:rsid w:val="00CA51D0"/>
    <w:rsid w:val="00CA5248"/>
    <w:rsid w:val="00CA53D8"/>
    <w:rsid w:val="00CA55C1"/>
    <w:rsid w:val="00CA5644"/>
    <w:rsid w:val="00CA5727"/>
    <w:rsid w:val="00CA5964"/>
    <w:rsid w:val="00CA5A75"/>
    <w:rsid w:val="00CA5BB7"/>
    <w:rsid w:val="00CA5BD0"/>
    <w:rsid w:val="00CA5CA1"/>
    <w:rsid w:val="00CA5ED1"/>
    <w:rsid w:val="00CA5EF7"/>
    <w:rsid w:val="00CA5F08"/>
    <w:rsid w:val="00CA5F28"/>
    <w:rsid w:val="00CA5F42"/>
    <w:rsid w:val="00CA5F4B"/>
    <w:rsid w:val="00CA6009"/>
    <w:rsid w:val="00CA6036"/>
    <w:rsid w:val="00CA6041"/>
    <w:rsid w:val="00CA60C8"/>
    <w:rsid w:val="00CA62AA"/>
    <w:rsid w:val="00CA6381"/>
    <w:rsid w:val="00CA6860"/>
    <w:rsid w:val="00CA6880"/>
    <w:rsid w:val="00CA69B8"/>
    <w:rsid w:val="00CA6A43"/>
    <w:rsid w:val="00CA6A96"/>
    <w:rsid w:val="00CA6CD1"/>
    <w:rsid w:val="00CA6CF2"/>
    <w:rsid w:val="00CA6D2E"/>
    <w:rsid w:val="00CA6DA5"/>
    <w:rsid w:val="00CA6DBE"/>
    <w:rsid w:val="00CA6E5A"/>
    <w:rsid w:val="00CA6F3F"/>
    <w:rsid w:val="00CA733D"/>
    <w:rsid w:val="00CA7473"/>
    <w:rsid w:val="00CA7576"/>
    <w:rsid w:val="00CA75F0"/>
    <w:rsid w:val="00CA760A"/>
    <w:rsid w:val="00CA7817"/>
    <w:rsid w:val="00CA7890"/>
    <w:rsid w:val="00CA7930"/>
    <w:rsid w:val="00CA79FF"/>
    <w:rsid w:val="00CA7A1D"/>
    <w:rsid w:val="00CA7A63"/>
    <w:rsid w:val="00CA7A93"/>
    <w:rsid w:val="00CA7AD6"/>
    <w:rsid w:val="00CA7CFC"/>
    <w:rsid w:val="00CA7D05"/>
    <w:rsid w:val="00CA7D55"/>
    <w:rsid w:val="00CA7D98"/>
    <w:rsid w:val="00CA7DCB"/>
    <w:rsid w:val="00CA7F02"/>
    <w:rsid w:val="00CA7F6A"/>
    <w:rsid w:val="00CA7F75"/>
    <w:rsid w:val="00CB0011"/>
    <w:rsid w:val="00CB0062"/>
    <w:rsid w:val="00CB0161"/>
    <w:rsid w:val="00CB02F6"/>
    <w:rsid w:val="00CB0345"/>
    <w:rsid w:val="00CB03DE"/>
    <w:rsid w:val="00CB0459"/>
    <w:rsid w:val="00CB04B7"/>
    <w:rsid w:val="00CB05EC"/>
    <w:rsid w:val="00CB074B"/>
    <w:rsid w:val="00CB077A"/>
    <w:rsid w:val="00CB0895"/>
    <w:rsid w:val="00CB08A0"/>
    <w:rsid w:val="00CB0B8F"/>
    <w:rsid w:val="00CB0CA6"/>
    <w:rsid w:val="00CB0DBB"/>
    <w:rsid w:val="00CB0E96"/>
    <w:rsid w:val="00CB0F60"/>
    <w:rsid w:val="00CB0FA7"/>
    <w:rsid w:val="00CB106F"/>
    <w:rsid w:val="00CB10FB"/>
    <w:rsid w:val="00CB121B"/>
    <w:rsid w:val="00CB12D8"/>
    <w:rsid w:val="00CB131E"/>
    <w:rsid w:val="00CB153A"/>
    <w:rsid w:val="00CB169B"/>
    <w:rsid w:val="00CB16ED"/>
    <w:rsid w:val="00CB1787"/>
    <w:rsid w:val="00CB17DB"/>
    <w:rsid w:val="00CB1E94"/>
    <w:rsid w:val="00CB1EC8"/>
    <w:rsid w:val="00CB1EDD"/>
    <w:rsid w:val="00CB1EEE"/>
    <w:rsid w:val="00CB20C4"/>
    <w:rsid w:val="00CB20FE"/>
    <w:rsid w:val="00CB218A"/>
    <w:rsid w:val="00CB230D"/>
    <w:rsid w:val="00CB260D"/>
    <w:rsid w:val="00CB2892"/>
    <w:rsid w:val="00CB2899"/>
    <w:rsid w:val="00CB2933"/>
    <w:rsid w:val="00CB2BA4"/>
    <w:rsid w:val="00CB2E40"/>
    <w:rsid w:val="00CB31AB"/>
    <w:rsid w:val="00CB35E0"/>
    <w:rsid w:val="00CB38A9"/>
    <w:rsid w:val="00CB3936"/>
    <w:rsid w:val="00CB393C"/>
    <w:rsid w:val="00CB3942"/>
    <w:rsid w:val="00CB39A9"/>
    <w:rsid w:val="00CB3A50"/>
    <w:rsid w:val="00CB3AF9"/>
    <w:rsid w:val="00CB3CF5"/>
    <w:rsid w:val="00CB3D4A"/>
    <w:rsid w:val="00CB3D74"/>
    <w:rsid w:val="00CB3E5E"/>
    <w:rsid w:val="00CB4000"/>
    <w:rsid w:val="00CB400C"/>
    <w:rsid w:val="00CB4035"/>
    <w:rsid w:val="00CB4167"/>
    <w:rsid w:val="00CB4472"/>
    <w:rsid w:val="00CB4474"/>
    <w:rsid w:val="00CB4497"/>
    <w:rsid w:val="00CB45DD"/>
    <w:rsid w:val="00CB47CA"/>
    <w:rsid w:val="00CB48E0"/>
    <w:rsid w:val="00CB49CB"/>
    <w:rsid w:val="00CB4BA9"/>
    <w:rsid w:val="00CB4CE8"/>
    <w:rsid w:val="00CB4E95"/>
    <w:rsid w:val="00CB4ED9"/>
    <w:rsid w:val="00CB4EDD"/>
    <w:rsid w:val="00CB4F39"/>
    <w:rsid w:val="00CB4F5D"/>
    <w:rsid w:val="00CB5013"/>
    <w:rsid w:val="00CB5129"/>
    <w:rsid w:val="00CB5439"/>
    <w:rsid w:val="00CB55A3"/>
    <w:rsid w:val="00CB55F8"/>
    <w:rsid w:val="00CB565A"/>
    <w:rsid w:val="00CB5879"/>
    <w:rsid w:val="00CB5A34"/>
    <w:rsid w:val="00CB5A51"/>
    <w:rsid w:val="00CB5B68"/>
    <w:rsid w:val="00CB5C17"/>
    <w:rsid w:val="00CB5CE9"/>
    <w:rsid w:val="00CB5DC6"/>
    <w:rsid w:val="00CB5FD1"/>
    <w:rsid w:val="00CB6059"/>
    <w:rsid w:val="00CB6343"/>
    <w:rsid w:val="00CB639A"/>
    <w:rsid w:val="00CB6454"/>
    <w:rsid w:val="00CB653A"/>
    <w:rsid w:val="00CB6632"/>
    <w:rsid w:val="00CB6653"/>
    <w:rsid w:val="00CB66D5"/>
    <w:rsid w:val="00CB674F"/>
    <w:rsid w:val="00CB6755"/>
    <w:rsid w:val="00CB67C3"/>
    <w:rsid w:val="00CB698C"/>
    <w:rsid w:val="00CB6996"/>
    <w:rsid w:val="00CB6A06"/>
    <w:rsid w:val="00CB6C5F"/>
    <w:rsid w:val="00CB6CC5"/>
    <w:rsid w:val="00CB71BD"/>
    <w:rsid w:val="00CB736A"/>
    <w:rsid w:val="00CB73B3"/>
    <w:rsid w:val="00CB7550"/>
    <w:rsid w:val="00CB7738"/>
    <w:rsid w:val="00CB776D"/>
    <w:rsid w:val="00CB77A3"/>
    <w:rsid w:val="00CB7A1A"/>
    <w:rsid w:val="00CB7AEC"/>
    <w:rsid w:val="00CB7C39"/>
    <w:rsid w:val="00CB7FD0"/>
    <w:rsid w:val="00CC004B"/>
    <w:rsid w:val="00CC00C1"/>
    <w:rsid w:val="00CC037F"/>
    <w:rsid w:val="00CC0396"/>
    <w:rsid w:val="00CC03B0"/>
    <w:rsid w:val="00CC041E"/>
    <w:rsid w:val="00CC04B7"/>
    <w:rsid w:val="00CC0618"/>
    <w:rsid w:val="00CC0744"/>
    <w:rsid w:val="00CC08A7"/>
    <w:rsid w:val="00CC08DD"/>
    <w:rsid w:val="00CC08EA"/>
    <w:rsid w:val="00CC0A23"/>
    <w:rsid w:val="00CC0B1F"/>
    <w:rsid w:val="00CC0C12"/>
    <w:rsid w:val="00CC0CB6"/>
    <w:rsid w:val="00CC0DC4"/>
    <w:rsid w:val="00CC0DD8"/>
    <w:rsid w:val="00CC0DF1"/>
    <w:rsid w:val="00CC0FD5"/>
    <w:rsid w:val="00CC1022"/>
    <w:rsid w:val="00CC1041"/>
    <w:rsid w:val="00CC14C6"/>
    <w:rsid w:val="00CC158A"/>
    <w:rsid w:val="00CC165D"/>
    <w:rsid w:val="00CC16A7"/>
    <w:rsid w:val="00CC18F4"/>
    <w:rsid w:val="00CC1902"/>
    <w:rsid w:val="00CC1928"/>
    <w:rsid w:val="00CC194A"/>
    <w:rsid w:val="00CC1BDA"/>
    <w:rsid w:val="00CC1BF5"/>
    <w:rsid w:val="00CC1C19"/>
    <w:rsid w:val="00CC1C23"/>
    <w:rsid w:val="00CC1C2C"/>
    <w:rsid w:val="00CC1CCD"/>
    <w:rsid w:val="00CC1E0C"/>
    <w:rsid w:val="00CC1E62"/>
    <w:rsid w:val="00CC1E84"/>
    <w:rsid w:val="00CC1EAB"/>
    <w:rsid w:val="00CC1F05"/>
    <w:rsid w:val="00CC1F76"/>
    <w:rsid w:val="00CC209E"/>
    <w:rsid w:val="00CC2171"/>
    <w:rsid w:val="00CC2264"/>
    <w:rsid w:val="00CC22F9"/>
    <w:rsid w:val="00CC2339"/>
    <w:rsid w:val="00CC234F"/>
    <w:rsid w:val="00CC2633"/>
    <w:rsid w:val="00CC27CC"/>
    <w:rsid w:val="00CC2823"/>
    <w:rsid w:val="00CC288D"/>
    <w:rsid w:val="00CC29CE"/>
    <w:rsid w:val="00CC2A7E"/>
    <w:rsid w:val="00CC2CD8"/>
    <w:rsid w:val="00CC2F7F"/>
    <w:rsid w:val="00CC3065"/>
    <w:rsid w:val="00CC314C"/>
    <w:rsid w:val="00CC32B5"/>
    <w:rsid w:val="00CC32CD"/>
    <w:rsid w:val="00CC33C0"/>
    <w:rsid w:val="00CC3488"/>
    <w:rsid w:val="00CC382F"/>
    <w:rsid w:val="00CC38E4"/>
    <w:rsid w:val="00CC3A6E"/>
    <w:rsid w:val="00CC3AAC"/>
    <w:rsid w:val="00CC3BDC"/>
    <w:rsid w:val="00CC3C83"/>
    <w:rsid w:val="00CC3DD2"/>
    <w:rsid w:val="00CC3E27"/>
    <w:rsid w:val="00CC3FFF"/>
    <w:rsid w:val="00CC4078"/>
    <w:rsid w:val="00CC418A"/>
    <w:rsid w:val="00CC41AF"/>
    <w:rsid w:val="00CC41CE"/>
    <w:rsid w:val="00CC427F"/>
    <w:rsid w:val="00CC4291"/>
    <w:rsid w:val="00CC43E7"/>
    <w:rsid w:val="00CC4425"/>
    <w:rsid w:val="00CC4475"/>
    <w:rsid w:val="00CC44A6"/>
    <w:rsid w:val="00CC44D2"/>
    <w:rsid w:val="00CC467C"/>
    <w:rsid w:val="00CC468C"/>
    <w:rsid w:val="00CC47A5"/>
    <w:rsid w:val="00CC47E5"/>
    <w:rsid w:val="00CC4837"/>
    <w:rsid w:val="00CC48FB"/>
    <w:rsid w:val="00CC4975"/>
    <w:rsid w:val="00CC4A75"/>
    <w:rsid w:val="00CC4ACC"/>
    <w:rsid w:val="00CC4E1E"/>
    <w:rsid w:val="00CC4E21"/>
    <w:rsid w:val="00CC53F4"/>
    <w:rsid w:val="00CC5591"/>
    <w:rsid w:val="00CC570E"/>
    <w:rsid w:val="00CC5854"/>
    <w:rsid w:val="00CC586B"/>
    <w:rsid w:val="00CC5D36"/>
    <w:rsid w:val="00CC5D3A"/>
    <w:rsid w:val="00CC5D95"/>
    <w:rsid w:val="00CC63A7"/>
    <w:rsid w:val="00CC6427"/>
    <w:rsid w:val="00CC6717"/>
    <w:rsid w:val="00CC6900"/>
    <w:rsid w:val="00CC6B5B"/>
    <w:rsid w:val="00CC6B97"/>
    <w:rsid w:val="00CC6D3F"/>
    <w:rsid w:val="00CC6EC3"/>
    <w:rsid w:val="00CC70EB"/>
    <w:rsid w:val="00CC7185"/>
    <w:rsid w:val="00CC71ED"/>
    <w:rsid w:val="00CC7248"/>
    <w:rsid w:val="00CC7271"/>
    <w:rsid w:val="00CC738F"/>
    <w:rsid w:val="00CC73AC"/>
    <w:rsid w:val="00CC73D3"/>
    <w:rsid w:val="00CC74A5"/>
    <w:rsid w:val="00CC7512"/>
    <w:rsid w:val="00CC757F"/>
    <w:rsid w:val="00CC767A"/>
    <w:rsid w:val="00CC76AB"/>
    <w:rsid w:val="00CC76DB"/>
    <w:rsid w:val="00CC778F"/>
    <w:rsid w:val="00CC78A2"/>
    <w:rsid w:val="00CC7A88"/>
    <w:rsid w:val="00CC7D3D"/>
    <w:rsid w:val="00CC7EC5"/>
    <w:rsid w:val="00CC7ED3"/>
    <w:rsid w:val="00CD00F7"/>
    <w:rsid w:val="00CD018A"/>
    <w:rsid w:val="00CD0197"/>
    <w:rsid w:val="00CD033C"/>
    <w:rsid w:val="00CD043A"/>
    <w:rsid w:val="00CD0468"/>
    <w:rsid w:val="00CD046A"/>
    <w:rsid w:val="00CD04BE"/>
    <w:rsid w:val="00CD04CF"/>
    <w:rsid w:val="00CD054D"/>
    <w:rsid w:val="00CD094B"/>
    <w:rsid w:val="00CD0C25"/>
    <w:rsid w:val="00CD0D6E"/>
    <w:rsid w:val="00CD10DA"/>
    <w:rsid w:val="00CD12D3"/>
    <w:rsid w:val="00CD1538"/>
    <w:rsid w:val="00CD16E3"/>
    <w:rsid w:val="00CD1808"/>
    <w:rsid w:val="00CD1A46"/>
    <w:rsid w:val="00CD1B30"/>
    <w:rsid w:val="00CD1C00"/>
    <w:rsid w:val="00CD1C0D"/>
    <w:rsid w:val="00CD1D5E"/>
    <w:rsid w:val="00CD2037"/>
    <w:rsid w:val="00CD21D7"/>
    <w:rsid w:val="00CD2249"/>
    <w:rsid w:val="00CD232F"/>
    <w:rsid w:val="00CD23DF"/>
    <w:rsid w:val="00CD2509"/>
    <w:rsid w:val="00CD26AC"/>
    <w:rsid w:val="00CD28D8"/>
    <w:rsid w:val="00CD28FC"/>
    <w:rsid w:val="00CD2B85"/>
    <w:rsid w:val="00CD2BF6"/>
    <w:rsid w:val="00CD2D1E"/>
    <w:rsid w:val="00CD2D2A"/>
    <w:rsid w:val="00CD2E08"/>
    <w:rsid w:val="00CD2FAB"/>
    <w:rsid w:val="00CD301C"/>
    <w:rsid w:val="00CD30ED"/>
    <w:rsid w:val="00CD31AF"/>
    <w:rsid w:val="00CD3312"/>
    <w:rsid w:val="00CD3462"/>
    <w:rsid w:val="00CD3491"/>
    <w:rsid w:val="00CD365A"/>
    <w:rsid w:val="00CD3763"/>
    <w:rsid w:val="00CD37EA"/>
    <w:rsid w:val="00CD3893"/>
    <w:rsid w:val="00CD39AE"/>
    <w:rsid w:val="00CD39C5"/>
    <w:rsid w:val="00CD3A82"/>
    <w:rsid w:val="00CD3D28"/>
    <w:rsid w:val="00CD3DFD"/>
    <w:rsid w:val="00CD3E99"/>
    <w:rsid w:val="00CD41A6"/>
    <w:rsid w:val="00CD41D3"/>
    <w:rsid w:val="00CD4287"/>
    <w:rsid w:val="00CD446B"/>
    <w:rsid w:val="00CD44A6"/>
    <w:rsid w:val="00CD4605"/>
    <w:rsid w:val="00CD485B"/>
    <w:rsid w:val="00CD492B"/>
    <w:rsid w:val="00CD4AAE"/>
    <w:rsid w:val="00CD4C9C"/>
    <w:rsid w:val="00CD4CBA"/>
    <w:rsid w:val="00CD4DF8"/>
    <w:rsid w:val="00CD4F54"/>
    <w:rsid w:val="00CD51FB"/>
    <w:rsid w:val="00CD53F5"/>
    <w:rsid w:val="00CD54E3"/>
    <w:rsid w:val="00CD5500"/>
    <w:rsid w:val="00CD550E"/>
    <w:rsid w:val="00CD565E"/>
    <w:rsid w:val="00CD56D0"/>
    <w:rsid w:val="00CD5739"/>
    <w:rsid w:val="00CD5898"/>
    <w:rsid w:val="00CD5932"/>
    <w:rsid w:val="00CD59F8"/>
    <w:rsid w:val="00CD5A84"/>
    <w:rsid w:val="00CD5C2F"/>
    <w:rsid w:val="00CD5CB7"/>
    <w:rsid w:val="00CD5E9A"/>
    <w:rsid w:val="00CD6039"/>
    <w:rsid w:val="00CD627F"/>
    <w:rsid w:val="00CD63AE"/>
    <w:rsid w:val="00CD651E"/>
    <w:rsid w:val="00CD670A"/>
    <w:rsid w:val="00CD6B0B"/>
    <w:rsid w:val="00CD6B39"/>
    <w:rsid w:val="00CD6B46"/>
    <w:rsid w:val="00CD6DE7"/>
    <w:rsid w:val="00CD6F55"/>
    <w:rsid w:val="00CD6FA2"/>
    <w:rsid w:val="00CD6FA8"/>
    <w:rsid w:val="00CD7105"/>
    <w:rsid w:val="00CD7116"/>
    <w:rsid w:val="00CD7139"/>
    <w:rsid w:val="00CD730F"/>
    <w:rsid w:val="00CD73FA"/>
    <w:rsid w:val="00CD7408"/>
    <w:rsid w:val="00CD741B"/>
    <w:rsid w:val="00CD756B"/>
    <w:rsid w:val="00CD75DF"/>
    <w:rsid w:val="00CD76AC"/>
    <w:rsid w:val="00CD7758"/>
    <w:rsid w:val="00CD7815"/>
    <w:rsid w:val="00CD783F"/>
    <w:rsid w:val="00CD7848"/>
    <w:rsid w:val="00CD7975"/>
    <w:rsid w:val="00CD79B9"/>
    <w:rsid w:val="00CD79DD"/>
    <w:rsid w:val="00CD79F9"/>
    <w:rsid w:val="00CD7A03"/>
    <w:rsid w:val="00CD7A21"/>
    <w:rsid w:val="00CD7B85"/>
    <w:rsid w:val="00CD7C35"/>
    <w:rsid w:val="00CD7CB6"/>
    <w:rsid w:val="00CD7CF2"/>
    <w:rsid w:val="00CD7DD0"/>
    <w:rsid w:val="00CD7EB9"/>
    <w:rsid w:val="00CD7FD7"/>
    <w:rsid w:val="00CE00C0"/>
    <w:rsid w:val="00CE036B"/>
    <w:rsid w:val="00CE0734"/>
    <w:rsid w:val="00CE07BB"/>
    <w:rsid w:val="00CE08C4"/>
    <w:rsid w:val="00CE0C40"/>
    <w:rsid w:val="00CE0D2C"/>
    <w:rsid w:val="00CE12F1"/>
    <w:rsid w:val="00CE15C3"/>
    <w:rsid w:val="00CE162F"/>
    <w:rsid w:val="00CE17A5"/>
    <w:rsid w:val="00CE17A8"/>
    <w:rsid w:val="00CE1891"/>
    <w:rsid w:val="00CE18E4"/>
    <w:rsid w:val="00CE18E5"/>
    <w:rsid w:val="00CE1AC2"/>
    <w:rsid w:val="00CE1B38"/>
    <w:rsid w:val="00CE1B49"/>
    <w:rsid w:val="00CE1C4C"/>
    <w:rsid w:val="00CE1CCC"/>
    <w:rsid w:val="00CE1D2A"/>
    <w:rsid w:val="00CE1F26"/>
    <w:rsid w:val="00CE1FCF"/>
    <w:rsid w:val="00CE225E"/>
    <w:rsid w:val="00CE22DB"/>
    <w:rsid w:val="00CE234C"/>
    <w:rsid w:val="00CE2613"/>
    <w:rsid w:val="00CE2792"/>
    <w:rsid w:val="00CE2839"/>
    <w:rsid w:val="00CE28CE"/>
    <w:rsid w:val="00CE2A5E"/>
    <w:rsid w:val="00CE2A8D"/>
    <w:rsid w:val="00CE2D3E"/>
    <w:rsid w:val="00CE2FD7"/>
    <w:rsid w:val="00CE3205"/>
    <w:rsid w:val="00CE3597"/>
    <w:rsid w:val="00CE36EF"/>
    <w:rsid w:val="00CE3899"/>
    <w:rsid w:val="00CE38FB"/>
    <w:rsid w:val="00CE39BC"/>
    <w:rsid w:val="00CE3AE9"/>
    <w:rsid w:val="00CE3B15"/>
    <w:rsid w:val="00CE3DC6"/>
    <w:rsid w:val="00CE3E4D"/>
    <w:rsid w:val="00CE3E86"/>
    <w:rsid w:val="00CE3EBD"/>
    <w:rsid w:val="00CE3FC1"/>
    <w:rsid w:val="00CE403E"/>
    <w:rsid w:val="00CE4091"/>
    <w:rsid w:val="00CE428A"/>
    <w:rsid w:val="00CE42DE"/>
    <w:rsid w:val="00CE4378"/>
    <w:rsid w:val="00CE44DD"/>
    <w:rsid w:val="00CE46AD"/>
    <w:rsid w:val="00CE476D"/>
    <w:rsid w:val="00CE47B1"/>
    <w:rsid w:val="00CE47C5"/>
    <w:rsid w:val="00CE486E"/>
    <w:rsid w:val="00CE4B97"/>
    <w:rsid w:val="00CE4BF7"/>
    <w:rsid w:val="00CE4C04"/>
    <w:rsid w:val="00CE4D0D"/>
    <w:rsid w:val="00CE4D58"/>
    <w:rsid w:val="00CE4D96"/>
    <w:rsid w:val="00CE4F8F"/>
    <w:rsid w:val="00CE5045"/>
    <w:rsid w:val="00CE50FD"/>
    <w:rsid w:val="00CE53AE"/>
    <w:rsid w:val="00CE5690"/>
    <w:rsid w:val="00CE571F"/>
    <w:rsid w:val="00CE5A4B"/>
    <w:rsid w:val="00CE5B2B"/>
    <w:rsid w:val="00CE5C3C"/>
    <w:rsid w:val="00CE5E17"/>
    <w:rsid w:val="00CE60F8"/>
    <w:rsid w:val="00CE62B0"/>
    <w:rsid w:val="00CE62DF"/>
    <w:rsid w:val="00CE638B"/>
    <w:rsid w:val="00CE657C"/>
    <w:rsid w:val="00CE65D9"/>
    <w:rsid w:val="00CE6630"/>
    <w:rsid w:val="00CE6669"/>
    <w:rsid w:val="00CE66E5"/>
    <w:rsid w:val="00CE67D0"/>
    <w:rsid w:val="00CE6AFC"/>
    <w:rsid w:val="00CE6B40"/>
    <w:rsid w:val="00CE6C62"/>
    <w:rsid w:val="00CE6CE9"/>
    <w:rsid w:val="00CE6DBB"/>
    <w:rsid w:val="00CE6E79"/>
    <w:rsid w:val="00CE6F69"/>
    <w:rsid w:val="00CE74D0"/>
    <w:rsid w:val="00CE752F"/>
    <w:rsid w:val="00CE7589"/>
    <w:rsid w:val="00CE76A1"/>
    <w:rsid w:val="00CE778E"/>
    <w:rsid w:val="00CE77E3"/>
    <w:rsid w:val="00CE799D"/>
    <w:rsid w:val="00CE7B47"/>
    <w:rsid w:val="00CE7C0D"/>
    <w:rsid w:val="00CE7F93"/>
    <w:rsid w:val="00CF004C"/>
    <w:rsid w:val="00CF0243"/>
    <w:rsid w:val="00CF047B"/>
    <w:rsid w:val="00CF05B8"/>
    <w:rsid w:val="00CF05C8"/>
    <w:rsid w:val="00CF05EC"/>
    <w:rsid w:val="00CF0636"/>
    <w:rsid w:val="00CF069D"/>
    <w:rsid w:val="00CF0746"/>
    <w:rsid w:val="00CF08B5"/>
    <w:rsid w:val="00CF092C"/>
    <w:rsid w:val="00CF0937"/>
    <w:rsid w:val="00CF0A1F"/>
    <w:rsid w:val="00CF0B12"/>
    <w:rsid w:val="00CF0C6C"/>
    <w:rsid w:val="00CF0CD8"/>
    <w:rsid w:val="00CF0FDA"/>
    <w:rsid w:val="00CF111B"/>
    <w:rsid w:val="00CF14E0"/>
    <w:rsid w:val="00CF1544"/>
    <w:rsid w:val="00CF1753"/>
    <w:rsid w:val="00CF1805"/>
    <w:rsid w:val="00CF1A43"/>
    <w:rsid w:val="00CF1DFF"/>
    <w:rsid w:val="00CF1F06"/>
    <w:rsid w:val="00CF2240"/>
    <w:rsid w:val="00CF230F"/>
    <w:rsid w:val="00CF2384"/>
    <w:rsid w:val="00CF2470"/>
    <w:rsid w:val="00CF24E0"/>
    <w:rsid w:val="00CF2553"/>
    <w:rsid w:val="00CF2712"/>
    <w:rsid w:val="00CF282D"/>
    <w:rsid w:val="00CF28C6"/>
    <w:rsid w:val="00CF2AA5"/>
    <w:rsid w:val="00CF2DB6"/>
    <w:rsid w:val="00CF2DF1"/>
    <w:rsid w:val="00CF303C"/>
    <w:rsid w:val="00CF30FA"/>
    <w:rsid w:val="00CF3192"/>
    <w:rsid w:val="00CF31F8"/>
    <w:rsid w:val="00CF3281"/>
    <w:rsid w:val="00CF333C"/>
    <w:rsid w:val="00CF33F7"/>
    <w:rsid w:val="00CF3428"/>
    <w:rsid w:val="00CF34DC"/>
    <w:rsid w:val="00CF358F"/>
    <w:rsid w:val="00CF3600"/>
    <w:rsid w:val="00CF36B4"/>
    <w:rsid w:val="00CF3710"/>
    <w:rsid w:val="00CF37D6"/>
    <w:rsid w:val="00CF3CF2"/>
    <w:rsid w:val="00CF3FC4"/>
    <w:rsid w:val="00CF3FEF"/>
    <w:rsid w:val="00CF4062"/>
    <w:rsid w:val="00CF4338"/>
    <w:rsid w:val="00CF4341"/>
    <w:rsid w:val="00CF44C1"/>
    <w:rsid w:val="00CF45C1"/>
    <w:rsid w:val="00CF4668"/>
    <w:rsid w:val="00CF4735"/>
    <w:rsid w:val="00CF4838"/>
    <w:rsid w:val="00CF490F"/>
    <w:rsid w:val="00CF4946"/>
    <w:rsid w:val="00CF4A89"/>
    <w:rsid w:val="00CF4BA8"/>
    <w:rsid w:val="00CF4D1C"/>
    <w:rsid w:val="00CF4FD5"/>
    <w:rsid w:val="00CF5017"/>
    <w:rsid w:val="00CF5034"/>
    <w:rsid w:val="00CF51BB"/>
    <w:rsid w:val="00CF5220"/>
    <w:rsid w:val="00CF540E"/>
    <w:rsid w:val="00CF54E5"/>
    <w:rsid w:val="00CF5524"/>
    <w:rsid w:val="00CF572E"/>
    <w:rsid w:val="00CF594B"/>
    <w:rsid w:val="00CF5C55"/>
    <w:rsid w:val="00CF5D8F"/>
    <w:rsid w:val="00CF5DF8"/>
    <w:rsid w:val="00CF5E32"/>
    <w:rsid w:val="00CF5E6E"/>
    <w:rsid w:val="00CF5EE7"/>
    <w:rsid w:val="00CF60CB"/>
    <w:rsid w:val="00CF60E0"/>
    <w:rsid w:val="00CF61B7"/>
    <w:rsid w:val="00CF61C4"/>
    <w:rsid w:val="00CF6263"/>
    <w:rsid w:val="00CF6301"/>
    <w:rsid w:val="00CF63D5"/>
    <w:rsid w:val="00CF6421"/>
    <w:rsid w:val="00CF653E"/>
    <w:rsid w:val="00CF65AB"/>
    <w:rsid w:val="00CF6982"/>
    <w:rsid w:val="00CF6A9D"/>
    <w:rsid w:val="00CF6C0A"/>
    <w:rsid w:val="00CF6C10"/>
    <w:rsid w:val="00CF6D0D"/>
    <w:rsid w:val="00CF6D1A"/>
    <w:rsid w:val="00CF6FEA"/>
    <w:rsid w:val="00CF7042"/>
    <w:rsid w:val="00CF7047"/>
    <w:rsid w:val="00CF70EF"/>
    <w:rsid w:val="00CF723E"/>
    <w:rsid w:val="00CF73EB"/>
    <w:rsid w:val="00CF7594"/>
    <w:rsid w:val="00CF767B"/>
    <w:rsid w:val="00CF76EE"/>
    <w:rsid w:val="00CF7736"/>
    <w:rsid w:val="00CF77A0"/>
    <w:rsid w:val="00CF7889"/>
    <w:rsid w:val="00CF78B7"/>
    <w:rsid w:val="00CF792D"/>
    <w:rsid w:val="00CF7A04"/>
    <w:rsid w:val="00CF7D71"/>
    <w:rsid w:val="00CF7F33"/>
    <w:rsid w:val="00D00068"/>
    <w:rsid w:val="00D002A5"/>
    <w:rsid w:val="00D00368"/>
    <w:rsid w:val="00D0047E"/>
    <w:rsid w:val="00D004C2"/>
    <w:rsid w:val="00D004C4"/>
    <w:rsid w:val="00D0060A"/>
    <w:rsid w:val="00D0065C"/>
    <w:rsid w:val="00D00A4D"/>
    <w:rsid w:val="00D00A78"/>
    <w:rsid w:val="00D00AAE"/>
    <w:rsid w:val="00D00D28"/>
    <w:rsid w:val="00D00E5B"/>
    <w:rsid w:val="00D00E6F"/>
    <w:rsid w:val="00D011BB"/>
    <w:rsid w:val="00D012E8"/>
    <w:rsid w:val="00D012F4"/>
    <w:rsid w:val="00D013F2"/>
    <w:rsid w:val="00D014AB"/>
    <w:rsid w:val="00D016A2"/>
    <w:rsid w:val="00D01758"/>
    <w:rsid w:val="00D0195A"/>
    <w:rsid w:val="00D01B08"/>
    <w:rsid w:val="00D01B5E"/>
    <w:rsid w:val="00D01CD2"/>
    <w:rsid w:val="00D01D54"/>
    <w:rsid w:val="00D01EB0"/>
    <w:rsid w:val="00D01F6B"/>
    <w:rsid w:val="00D01FE0"/>
    <w:rsid w:val="00D0213B"/>
    <w:rsid w:val="00D02189"/>
    <w:rsid w:val="00D0226B"/>
    <w:rsid w:val="00D024ED"/>
    <w:rsid w:val="00D024F4"/>
    <w:rsid w:val="00D02576"/>
    <w:rsid w:val="00D0264E"/>
    <w:rsid w:val="00D02667"/>
    <w:rsid w:val="00D027B7"/>
    <w:rsid w:val="00D027CD"/>
    <w:rsid w:val="00D02849"/>
    <w:rsid w:val="00D029CB"/>
    <w:rsid w:val="00D029EF"/>
    <w:rsid w:val="00D02A0E"/>
    <w:rsid w:val="00D02B70"/>
    <w:rsid w:val="00D02C55"/>
    <w:rsid w:val="00D02CA7"/>
    <w:rsid w:val="00D02CDC"/>
    <w:rsid w:val="00D02D34"/>
    <w:rsid w:val="00D02DB5"/>
    <w:rsid w:val="00D02DE6"/>
    <w:rsid w:val="00D02FB2"/>
    <w:rsid w:val="00D0314E"/>
    <w:rsid w:val="00D03346"/>
    <w:rsid w:val="00D034D7"/>
    <w:rsid w:val="00D0350E"/>
    <w:rsid w:val="00D0351F"/>
    <w:rsid w:val="00D03595"/>
    <w:rsid w:val="00D03652"/>
    <w:rsid w:val="00D03659"/>
    <w:rsid w:val="00D036BB"/>
    <w:rsid w:val="00D03726"/>
    <w:rsid w:val="00D03825"/>
    <w:rsid w:val="00D039A6"/>
    <w:rsid w:val="00D03B7A"/>
    <w:rsid w:val="00D03C6E"/>
    <w:rsid w:val="00D03C86"/>
    <w:rsid w:val="00D03D23"/>
    <w:rsid w:val="00D03DCF"/>
    <w:rsid w:val="00D03FE0"/>
    <w:rsid w:val="00D03FE7"/>
    <w:rsid w:val="00D0418D"/>
    <w:rsid w:val="00D04192"/>
    <w:rsid w:val="00D042AE"/>
    <w:rsid w:val="00D04308"/>
    <w:rsid w:val="00D04440"/>
    <w:rsid w:val="00D04455"/>
    <w:rsid w:val="00D045B9"/>
    <w:rsid w:val="00D045C5"/>
    <w:rsid w:val="00D046B3"/>
    <w:rsid w:val="00D046BF"/>
    <w:rsid w:val="00D04802"/>
    <w:rsid w:val="00D04938"/>
    <w:rsid w:val="00D049BE"/>
    <w:rsid w:val="00D04A0E"/>
    <w:rsid w:val="00D04AAC"/>
    <w:rsid w:val="00D04BB8"/>
    <w:rsid w:val="00D04D0D"/>
    <w:rsid w:val="00D04DAB"/>
    <w:rsid w:val="00D04E42"/>
    <w:rsid w:val="00D04FFD"/>
    <w:rsid w:val="00D051D5"/>
    <w:rsid w:val="00D05301"/>
    <w:rsid w:val="00D05447"/>
    <w:rsid w:val="00D0551A"/>
    <w:rsid w:val="00D0579C"/>
    <w:rsid w:val="00D0584E"/>
    <w:rsid w:val="00D05897"/>
    <w:rsid w:val="00D05A6D"/>
    <w:rsid w:val="00D05A90"/>
    <w:rsid w:val="00D05DF7"/>
    <w:rsid w:val="00D05E2F"/>
    <w:rsid w:val="00D05EA3"/>
    <w:rsid w:val="00D05FB9"/>
    <w:rsid w:val="00D060F4"/>
    <w:rsid w:val="00D06133"/>
    <w:rsid w:val="00D062F2"/>
    <w:rsid w:val="00D0635B"/>
    <w:rsid w:val="00D06379"/>
    <w:rsid w:val="00D063EA"/>
    <w:rsid w:val="00D06427"/>
    <w:rsid w:val="00D06462"/>
    <w:rsid w:val="00D06695"/>
    <w:rsid w:val="00D0694B"/>
    <w:rsid w:val="00D06A64"/>
    <w:rsid w:val="00D06CBF"/>
    <w:rsid w:val="00D06D0B"/>
    <w:rsid w:val="00D06E1F"/>
    <w:rsid w:val="00D06ED0"/>
    <w:rsid w:val="00D070D9"/>
    <w:rsid w:val="00D073A0"/>
    <w:rsid w:val="00D073FF"/>
    <w:rsid w:val="00D074A8"/>
    <w:rsid w:val="00D07923"/>
    <w:rsid w:val="00D07A79"/>
    <w:rsid w:val="00D07B9B"/>
    <w:rsid w:val="00D07E61"/>
    <w:rsid w:val="00D07F84"/>
    <w:rsid w:val="00D07FC5"/>
    <w:rsid w:val="00D07FC6"/>
    <w:rsid w:val="00D1032B"/>
    <w:rsid w:val="00D106E4"/>
    <w:rsid w:val="00D107D4"/>
    <w:rsid w:val="00D10A8C"/>
    <w:rsid w:val="00D10C8B"/>
    <w:rsid w:val="00D10DC3"/>
    <w:rsid w:val="00D10F9B"/>
    <w:rsid w:val="00D11010"/>
    <w:rsid w:val="00D1113E"/>
    <w:rsid w:val="00D111E8"/>
    <w:rsid w:val="00D11294"/>
    <w:rsid w:val="00D1149A"/>
    <w:rsid w:val="00D1160D"/>
    <w:rsid w:val="00D1199E"/>
    <w:rsid w:val="00D11A9F"/>
    <w:rsid w:val="00D11B9A"/>
    <w:rsid w:val="00D11BFC"/>
    <w:rsid w:val="00D11D07"/>
    <w:rsid w:val="00D11DB8"/>
    <w:rsid w:val="00D11E90"/>
    <w:rsid w:val="00D11EB9"/>
    <w:rsid w:val="00D11ED2"/>
    <w:rsid w:val="00D1201F"/>
    <w:rsid w:val="00D12086"/>
    <w:rsid w:val="00D121A2"/>
    <w:rsid w:val="00D1220D"/>
    <w:rsid w:val="00D12245"/>
    <w:rsid w:val="00D12267"/>
    <w:rsid w:val="00D12386"/>
    <w:rsid w:val="00D123D8"/>
    <w:rsid w:val="00D12466"/>
    <w:rsid w:val="00D1249C"/>
    <w:rsid w:val="00D124AC"/>
    <w:rsid w:val="00D1253A"/>
    <w:rsid w:val="00D125DA"/>
    <w:rsid w:val="00D126D5"/>
    <w:rsid w:val="00D12725"/>
    <w:rsid w:val="00D12755"/>
    <w:rsid w:val="00D128E5"/>
    <w:rsid w:val="00D12934"/>
    <w:rsid w:val="00D129BB"/>
    <w:rsid w:val="00D12A96"/>
    <w:rsid w:val="00D12AD9"/>
    <w:rsid w:val="00D12BDE"/>
    <w:rsid w:val="00D12F93"/>
    <w:rsid w:val="00D13080"/>
    <w:rsid w:val="00D132F1"/>
    <w:rsid w:val="00D13379"/>
    <w:rsid w:val="00D1339F"/>
    <w:rsid w:val="00D133C6"/>
    <w:rsid w:val="00D133E5"/>
    <w:rsid w:val="00D13478"/>
    <w:rsid w:val="00D13511"/>
    <w:rsid w:val="00D13548"/>
    <w:rsid w:val="00D135FF"/>
    <w:rsid w:val="00D136AB"/>
    <w:rsid w:val="00D13756"/>
    <w:rsid w:val="00D13822"/>
    <w:rsid w:val="00D13851"/>
    <w:rsid w:val="00D13AE0"/>
    <w:rsid w:val="00D13B95"/>
    <w:rsid w:val="00D13BF2"/>
    <w:rsid w:val="00D13C15"/>
    <w:rsid w:val="00D13C23"/>
    <w:rsid w:val="00D13DBA"/>
    <w:rsid w:val="00D13F02"/>
    <w:rsid w:val="00D13F1B"/>
    <w:rsid w:val="00D13F71"/>
    <w:rsid w:val="00D13FF8"/>
    <w:rsid w:val="00D1404A"/>
    <w:rsid w:val="00D140C8"/>
    <w:rsid w:val="00D14124"/>
    <w:rsid w:val="00D14168"/>
    <w:rsid w:val="00D141B4"/>
    <w:rsid w:val="00D143B9"/>
    <w:rsid w:val="00D143D5"/>
    <w:rsid w:val="00D143FD"/>
    <w:rsid w:val="00D1446B"/>
    <w:rsid w:val="00D14554"/>
    <w:rsid w:val="00D145BB"/>
    <w:rsid w:val="00D145FF"/>
    <w:rsid w:val="00D146A7"/>
    <w:rsid w:val="00D1482B"/>
    <w:rsid w:val="00D14845"/>
    <w:rsid w:val="00D1489F"/>
    <w:rsid w:val="00D148E3"/>
    <w:rsid w:val="00D14A07"/>
    <w:rsid w:val="00D14B46"/>
    <w:rsid w:val="00D14CB8"/>
    <w:rsid w:val="00D14D03"/>
    <w:rsid w:val="00D14ED7"/>
    <w:rsid w:val="00D14F64"/>
    <w:rsid w:val="00D150C4"/>
    <w:rsid w:val="00D150D3"/>
    <w:rsid w:val="00D151EB"/>
    <w:rsid w:val="00D151F3"/>
    <w:rsid w:val="00D15692"/>
    <w:rsid w:val="00D156A6"/>
    <w:rsid w:val="00D15754"/>
    <w:rsid w:val="00D157B7"/>
    <w:rsid w:val="00D15945"/>
    <w:rsid w:val="00D159E7"/>
    <w:rsid w:val="00D15AE2"/>
    <w:rsid w:val="00D15F3D"/>
    <w:rsid w:val="00D1607C"/>
    <w:rsid w:val="00D16163"/>
    <w:rsid w:val="00D161DD"/>
    <w:rsid w:val="00D1621F"/>
    <w:rsid w:val="00D16265"/>
    <w:rsid w:val="00D1647A"/>
    <w:rsid w:val="00D16544"/>
    <w:rsid w:val="00D16596"/>
    <w:rsid w:val="00D16618"/>
    <w:rsid w:val="00D1673D"/>
    <w:rsid w:val="00D16811"/>
    <w:rsid w:val="00D16821"/>
    <w:rsid w:val="00D16826"/>
    <w:rsid w:val="00D168C6"/>
    <w:rsid w:val="00D16AAC"/>
    <w:rsid w:val="00D16AD2"/>
    <w:rsid w:val="00D16B98"/>
    <w:rsid w:val="00D16C50"/>
    <w:rsid w:val="00D16C96"/>
    <w:rsid w:val="00D16CEE"/>
    <w:rsid w:val="00D16D02"/>
    <w:rsid w:val="00D16DA1"/>
    <w:rsid w:val="00D16DD4"/>
    <w:rsid w:val="00D16DE3"/>
    <w:rsid w:val="00D16E8F"/>
    <w:rsid w:val="00D170B3"/>
    <w:rsid w:val="00D17172"/>
    <w:rsid w:val="00D1729B"/>
    <w:rsid w:val="00D1738C"/>
    <w:rsid w:val="00D17496"/>
    <w:rsid w:val="00D174C9"/>
    <w:rsid w:val="00D17705"/>
    <w:rsid w:val="00D17888"/>
    <w:rsid w:val="00D17A12"/>
    <w:rsid w:val="00D17C4C"/>
    <w:rsid w:val="00D17C67"/>
    <w:rsid w:val="00D17C6E"/>
    <w:rsid w:val="00D17D97"/>
    <w:rsid w:val="00D17E50"/>
    <w:rsid w:val="00D17F55"/>
    <w:rsid w:val="00D17F73"/>
    <w:rsid w:val="00D17FAD"/>
    <w:rsid w:val="00D2034B"/>
    <w:rsid w:val="00D2044D"/>
    <w:rsid w:val="00D20509"/>
    <w:rsid w:val="00D20610"/>
    <w:rsid w:val="00D2073C"/>
    <w:rsid w:val="00D20887"/>
    <w:rsid w:val="00D20921"/>
    <w:rsid w:val="00D209D4"/>
    <w:rsid w:val="00D20ACF"/>
    <w:rsid w:val="00D20C1E"/>
    <w:rsid w:val="00D20C4A"/>
    <w:rsid w:val="00D20CB5"/>
    <w:rsid w:val="00D20CF7"/>
    <w:rsid w:val="00D20D09"/>
    <w:rsid w:val="00D20EFB"/>
    <w:rsid w:val="00D210A0"/>
    <w:rsid w:val="00D21105"/>
    <w:rsid w:val="00D21133"/>
    <w:rsid w:val="00D21450"/>
    <w:rsid w:val="00D21528"/>
    <w:rsid w:val="00D21548"/>
    <w:rsid w:val="00D21911"/>
    <w:rsid w:val="00D21950"/>
    <w:rsid w:val="00D21955"/>
    <w:rsid w:val="00D219F0"/>
    <w:rsid w:val="00D21A26"/>
    <w:rsid w:val="00D21A56"/>
    <w:rsid w:val="00D21B51"/>
    <w:rsid w:val="00D21C7A"/>
    <w:rsid w:val="00D21D52"/>
    <w:rsid w:val="00D22100"/>
    <w:rsid w:val="00D22387"/>
    <w:rsid w:val="00D22431"/>
    <w:rsid w:val="00D2257D"/>
    <w:rsid w:val="00D225A0"/>
    <w:rsid w:val="00D2260A"/>
    <w:rsid w:val="00D2261A"/>
    <w:rsid w:val="00D226C4"/>
    <w:rsid w:val="00D226D4"/>
    <w:rsid w:val="00D226DD"/>
    <w:rsid w:val="00D22731"/>
    <w:rsid w:val="00D227E5"/>
    <w:rsid w:val="00D22B77"/>
    <w:rsid w:val="00D22C0F"/>
    <w:rsid w:val="00D22D28"/>
    <w:rsid w:val="00D22D76"/>
    <w:rsid w:val="00D22F5A"/>
    <w:rsid w:val="00D22F84"/>
    <w:rsid w:val="00D230A7"/>
    <w:rsid w:val="00D2310F"/>
    <w:rsid w:val="00D23370"/>
    <w:rsid w:val="00D23468"/>
    <w:rsid w:val="00D23518"/>
    <w:rsid w:val="00D23706"/>
    <w:rsid w:val="00D23783"/>
    <w:rsid w:val="00D2382C"/>
    <w:rsid w:val="00D23B53"/>
    <w:rsid w:val="00D23B5F"/>
    <w:rsid w:val="00D23C5B"/>
    <w:rsid w:val="00D23D8F"/>
    <w:rsid w:val="00D23EB2"/>
    <w:rsid w:val="00D23EB8"/>
    <w:rsid w:val="00D2406A"/>
    <w:rsid w:val="00D2416D"/>
    <w:rsid w:val="00D241FE"/>
    <w:rsid w:val="00D242D7"/>
    <w:rsid w:val="00D242F5"/>
    <w:rsid w:val="00D2432D"/>
    <w:rsid w:val="00D24530"/>
    <w:rsid w:val="00D24542"/>
    <w:rsid w:val="00D2488A"/>
    <w:rsid w:val="00D24991"/>
    <w:rsid w:val="00D250B0"/>
    <w:rsid w:val="00D25123"/>
    <w:rsid w:val="00D25356"/>
    <w:rsid w:val="00D253E2"/>
    <w:rsid w:val="00D256C0"/>
    <w:rsid w:val="00D256E4"/>
    <w:rsid w:val="00D2589C"/>
    <w:rsid w:val="00D2598A"/>
    <w:rsid w:val="00D25D27"/>
    <w:rsid w:val="00D25D5A"/>
    <w:rsid w:val="00D25ED2"/>
    <w:rsid w:val="00D25EFD"/>
    <w:rsid w:val="00D25F37"/>
    <w:rsid w:val="00D25F3D"/>
    <w:rsid w:val="00D25FA6"/>
    <w:rsid w:val="00D25FD0"/>
    <w:rsid w:val="00D26137"/>
    <w:rsid w:val="00D26142"/>
    <w:rsid w:val="00D26221"/>
    <w:rsid w:val="00D26398"/>
    <w:rsid w:val="00D263A1"/>
    <w:rsid w:val="00D263EB"/>
    <w:rsid w:val="00D26450"/>
    <w:rsid w:val="00D265DA"/>
    <w:rsid w:val="00D26879"/>
    <w:rsid w:val="00D2691D"/>
    <w:rsid w:val="00D26AC7"/>
    <w:rsid w:val="00D26C41"/>
    <w:rsid w:val="00D26CC4"/>
    <w:rsid w:val="00D26D0F"/>
    <w:rsid w:val="00D26D2C"/>
    <w:rsid w:val="00D26E07"/>
    <w:rsid w:val="00D26F66"/>
    <w:rsid w:val="00D26F85"/>
    <w:rsid w:val="00D26F9B"/>
    <w:rsid w:val="00D27477"/>
    <w:rsid w:val="00D274F6"/>
    <w:rsid w:val="00D276DC"/>
    <w:rsid w:val="00D2779C"/>
    <w:rsid w:val="00D279B6"/>
    <w:rsid w:val="00D279E8"/>
    <w:rsid w:val="00D27AFE"/>
    <w:rsid w:val="00D27B9C"/>
    <w:rsid w:val="00D27C2B"/>
    <w:rsid w:val="00D27D40"/>
    <w:rsid w:val="00D27DB0"/>
    <w:rsid w:val="00D27E1C"/>
    <w:rsid w:val="00D2AFAC"/>
    <w:rsid w:val="00D30024"/>
    <w:rsid w:val="00D3012D"/>
    <w:rsid w:val="00D30154"/>
    <w:rsid w:val="00D301EA"/>
    <w:rsid w:val="00D302BB"/>
    <w:rsid w:val="00D30356"/>
    <w:rsid w:val="00D303A9"/>
    <w:rsid w:val="00D3040A"/>
    <w:rsid w:val="00D30487"/>
    <w:rsid w:val="00D30505"/>
    <w:rsid w:val="00D305A5"/>
    <w:rsid w:val="00D30610"/>
    <w:rsid w:val="00D307E1"/>
    <w:rsid w:val="00D30823"/>
    <w:rsid w:val="00D3086B"/>
    <w:rsid w:val="00D309DB"/>
    <w:rsid w:val="00D30AA3"/>
    <w:rsid w:val="00D30B97"/>
    <w:rsid w:val="00D30E21"/>
    <w:rsid w:val="00D30EDF"/>
    <w:rsid w:val="00D30F3D"/>
    <w:rsid w:val="00D3102B"/>
    <w:rsid w:val="00D31122"/>
    <w:rsid w:val="00D31195"/>
    <w:rsid w:val="00D3126B"/>
    <w:rsid w:val="00D3128D"/>
    <w:rsid w:val="00D31545"/>
    <w:rsid w:val="00D317B9"/>
    <w:rsid w:val="00D317EE"/>
    <w:rsid w:val="00D319D0"/>
    <w:rsid w:val="00D31D59"/>
    <w:rsid w:val="00D31DDA"/>
    <w:rsid w:val="00D31EB6"/>
    <w:rsid w:val="00D31EF7"/>
    <w:rsid w:val="00D31F4B"/>
    <w:rsid w:val="00D31F59"/>
    <w:rsid w:val="00D32025"/>
    <w:rsid w:val="00D320ED"/>
    <w:rsid w:val="00D32143"/>
    <w:rsid w:val="00D32152"/>
    <w:rsid w:val="00D32195"/>
    <w:rsid w:val="00D321C8"/>
    <w:rsid w:val="00D323D3"/>
    <w:rsid w:val="00D323EA"/>
    <w:rsid w:val="00D3240F"/>
    <w:rsid w:val="00D32423"/>
    <w:rsid w:val="00D325AB"/>
    <w:rsid w:val="00D325C7"/>
    <w:rsid w:val="00D326FE"/>
    <w:rsid w:val="00D328D0"/>
    <w:rsid w:val="00D32ABD"/>
    <w:rsid w:val="00D32B08"/>
    <w:rsid w:val="00D32B5F"/>
    <w:rsid w:val="00D32C33"/>
    <w:rsid w:val="00D32D7F"/>
    <w:rsid w:val="00D32E52"/>
    <w:rsid w:val="00D33037"/>
    <w:rsid w:val="00D33044"/>
    <w:rsid w:val="00D330AE"/>
    <w:rsid w:val="00D333A4"/>
    <w:rsid w:val="00D334E3"/>
    <w:rsid w:val="00D3355A"/>
    <w:rsid w:val="00D33606"/>
    <w:rsid w:val="00D3368A"/>
    <w:rsid w:val="00D336C9"/>
    <w:rsid w:val="00D3374E"/>
    <w:rsid w:val="00D33765"/>
    <w:rsid w:val="00D33942"/>
    <w:rsid w:val="00D33C22"/>
    <w:rsid w:val="00D33D29"/>
    <w:rsid w:val="00D33DA6"/>
    <w:rsid w:val="00D33F64"/>
    <w:rsid w:val="00D33FAC"/>
    <w:rsid w:val="00D340A8"/>
    <w:rsid w:val="00D3419C"/>
    <w:rsid w:val="00D341D5"/>
    <w:rsid w:val="00D34268"/>
    <w:rsid w:val="00D34565"/>
    <w:rsid w:val="00D3476F"/>
    <w:rsid w:val="00D34773"/>
    <w:rsid w:val="00D34793"/>
    <w:rsid w:val="00D34938"/>
    <w:rsid w:val="00D34BA5"/>
    <w:rsid w:val="00D34C16"/>
    <w:rsid w:val="00D34C9A"/>
    <w:rsid w:val="00D34E86"/>
    <w:rsid w:val="00D34ECF"/>
    <w:rsid w:val="00D35090"/>
    <w:rsid w:val="00D35126"/>
    <w:rsid w:val="00D35148"/>
    <w:rsid w:val="00D35212"/>
    <w:rsid w:val="00D3531F"/>
    <w:rsid w:val="00D3535D"/>
    <w:rsid w:val="00D354CA"/>
    <w:rsid w:val="00D356CA"/>
    <w:rsid w:val="00D357E4"/>
    <w:rsid w:val="00D35862"/>
    <w:rsid w:val="00D3587F"/>
    <w:rsid w:val="00D35AC3"/>
    <w:rsid w:val="00D35C20"/>
    <w:rsid w:val="00D35F58"/>
    <w:rsid w:val="00D35FE0"/>
    <w:rsid w:val="00D36113"/>
    <w:rsid w:val="00D36271"/>
    <w:rsid w:val="00D3638B"/>
    <w:rsid w:val="00D36665"/>
    <w:rsid w:val="00D36778"/>
    <w:rsid w:val="00D3678F"/>
    <w:rsid w:val="00D367C3"/>
    <w:rsid w:val="00D36805"/>
    <w:rsid w:val="00D369BE"/>
    <w:rsid w:val="00D36BBC"/>
    <w:rsid w:val="00D36CD4"/>
    <w:rsid w:val="00D36EE4"/>
    <w:rsid w:val="00D36F25"/>
    <w:rsid w:val="00D36F6D"/>
    <w:rsid w:val="00D36FE5"/>
    <w:rsid w:val="00D370FD"/>
    <w:rsid w:val="00D3718C"/>
    <w:rsid w:val="00D3722D"/>
    <w:rsid w:val="00D3726D"/>
    <w:rsid w:val="00D3727E"/>
    <w:rsid w:val="00D372D4"/>
    <w:rsid w:val="00D37523"/>
    <w:rsid w:val="00D376B2"/>
    <w:rsid w:val="00D37749"/>
    <w:rsid w:val="00D3792F"/>
    <w:rsid w:val="00D3798B"/>
    <w:rsid w:val="00D379A6"/>
    <w:rsid w:val="00D379A7"/>
    <w:rsid w:val="00D37DBD"/>
    <w:rsid w:val="00D37F2C"/>
    <w:rsid w:val="00D37FE0"/>
    <w:rsid w:val="00D4002B"/>
    <w:rsid w:val="00D40123"/>
    <w:rsid w:val="00D406C9"/>
    <w:rsid w:val="00D4083A"/>
    <w:rsid w:val="00D4091E"/>
    <w:rsid w:val="00D40BCB"/>
    <w:rsid w:val="00D40C1F"/>
    <w:rsid w:val="00D40CEF"/>
    <w:rsid w:val="00D40D67"/>
    <w:rsid w:val="00D40EA8"/>
    <w:rsid w:val="00D40F05"/>
    <w:rsid w:val="00D40F7D"/>
    <w:rsid w:val="00D40F7F"/>
    <w:rsid w:val="00D41020"/>
    <w:rsid w:val="00D410AD"/>
    <w:rsid w:val="00D410BB"/>
    <w:rsid w:val="00D413BD"/>
    <w:rsid w:val="00D413D3"/>
    <w:rsid w:val="00D414C3"/>
    <w:rsid w:val="00D415A5"/>
    <w:rsid w:val="00D41604"/>
    <w:rsid w:val="00D416F7"/>
    <w:rsid w:val="00D4177F"/>
    <w:rsid w:val="00D41A03"/>
    <w:rsid w:val="00D41A22"/>
    <w:rsid w:val="00D41A68"/>
    <w:rsid w:val="00D41B8A"/>
    <w:rsid w:val="00D41BE3"/>
    <w:rsid w:val="00D41C38"/>
    <w:rsid w:val="00D41EB4"/>
    <w:rsid w:val="00D41F1A"/>
    <w:rsid w:val="00D41F1E"/>
    <w:rsid w:val="00D421DD"/>
    <w:rsid w:val="00D42259"/>
    <w:rsid w:val="00D42381"/>
    <w:rsid w:val="00D423A9"/>
    <w:rsid w:val="00D4249A"/>
    <w:rsid w:val="00D4258B"/>
    <w:rsid w:val="00D42727"/>
    <w:rsid w:val="00D427CC"/>
    <w:rsid w:val="00D427FD"/>
    <w:rsid w:val="00D4282C"/>
    <w:rsid w:val="00D429EF"/>
    <w:rsid w:val="00D42B10"/>
    <w:rsid w:val="00D42BED"/>
    <w:rsid w:val="00D42CBF"/>
    <w:rsid w:val="00D42D29"/>
    <w:rsid w:val="00D42DAD"/>
    <w:rsid w:val="00D42F6F"/>
    <w:rsid w:val="00D43030"/>
    <w:rsid w:val="00D43074"/>
    <w:rsid w:val="00D43082"/>
    <w:rsid w:val="00D4314C"/>
    <w:rsid w:val="00D432D8"/>
    <w:rsid w:val="00D43374"/>
    <w:rsid w:val="00D43456"/>
    <w:rsid w:val="00D43568"/>
    <w:rsid w:val="00D435D4"/>
    <w:rsid w:val="00D43796"/>
    <w:rsid w:val="00D43846"/>
    <w:rsid w:val="00D43932"/>
    <w:rsid w:val="00D43A28"/>
    <w:rsid w:val="00D43B8A"/>
    <w:rsid w:val="00D43C69"/>
    <w:rsid w:val="00D43D18"/>
    <w:rsid w:val="00D43D4A"/>
    <w:rsid w:val="00D43D5E"/>
    <w:rsid w:val="00D43E7D"/>
    <w:rsid w:val="00D43F90"/>
    <w:rsid w:val="00D4404E"/>
    <w:rsid w:val="00D4418E"/>
    <w:rsid w:val="00D441BA"/>
    <w:rsid w:val="00D4427C"/>
    <w:rsid w:val="00D4443D"/>
    <w:rsid w:val="00D44487"/>
    <w:rsid w:val="00D44539"/>
    <w:rsid w:val="00D44684"/>
    <w:rsid w:val="00D446FB"/>
    <w:rsid w:val="00D447CC"/>
    <w:rsid w:val="00D44833"/>
    <w:rsid w:val="00D44836"/>
    <w:rsid w:val="00D4483F"/>
    <w:rsid w:val="00D44849"/>
    <w:rsid w:val="00D448D7"/>
    <w:rsid w:val="00D449B5"/>
    <w:rsid w:val="00D44AC6"/>
    <w:rsid w:val="00D44B0E"/>
    <w:rsid w:val="00D44CA1"/>
    <w:rsid w:val="00D44DA6"/>
    <w:rsid w:val="00D44DB0"/>
    <w:rsid w:val="00D44E25"/>
    <w:rsid w:val="00D44F03"/>
    <w:rsid w:val="00D44FAA"/>
    <w:rsid w:val="00D44FCC"/>
    <w:rsid w:val="00D45065"/>
    <w:rsid w:val="00D4512B"/>
    <w:rsid w:val="00D45311"/>
    <w:rsid w:val="00D453A7"/>
    <w:rsid w:val="00D4548B"/>
    <w:rsid w:val="00D45521"/>
    <w:rsid w:val="00D45771"/>
    <w:rsid w:val="00D458DE"/>
    <w:rsid w:val="00D45C17"/>
    <w:rsid w:val="00D460A0"/>
    <w:rsid w:val="00D46137"/>
    <w:rsid w:val="00D46223"/>
    <w:rsid w:val="00D46278"/>
    <w:rsid w:val="00D46333"/>
    <w:rsid w:val="00D46382"/>
    <w:rsid w:val="00D4640D"/>
    <w:rsid w:val="00D46445"/>
    <w:rsid w:val="00D4661D"/>
    <w:rsid w:val="00D46628"/>
    <w:rsid w:val="00D466FB"/>
    <w:rsid w:val="00D4682E"/>
    <w:rsid w:val="00D4698A"/>
    <w:rsid w:val="00D46ACA"/>
    <w:rsid w:val="00D46B23"/>
    <w:rsid w:val="00D46C2F"/>
    <w:rsid w:val="00D46D27"/>
    <w:rsid w:val="00D46E01"/>
    <w:rsid w:val="00D46E92"/>
    <w:rsid w:val="00D46ECB"/>
    <w:rsid w:val="00D47170"/>
    <w:rsid w:val="00D47181"/>
    <w:rsid w:val="00D471F1"/>
    <w:rsid w:val="00D47294"/>
    <w:rsid w:val="00D47317"/>
    <w:rsid w:val="00D47544"/>
    <w:rsid w:val="00D47583"/>
    <w:rsid w:val="00D477BE"/>
    <w:rsid w:val="00D477FE"/>
    <w:rsid w:val="00D479C3"/>
    <w:rsid w:val="00D47A02"/>
    <w:rsid w:val="00D47AA0"/>
    <w:rsid w:val="00D47B86"/>
    <w:rsid w:val="00D47BEE"/>
    <w:rsid w:val="00D47DC4"/>
    <w:rsid w:val="00D5002C"/>
    <w:rsid w:val="00D50186"/>
    <w:rsid w:val="00D502F8"/>
    <w:rsid w:val="00D50344"/>
    <w:rsid w:val="00D5038B"/>
    <w:rsid w:val="00D50702"/>
    <w:rsid w:val="00D50705"/>
    <w:rsid w:val="00D5080E"/>
    <w:rsid w:val="00D50CDA"/>
    <w:rsid w:val="00D50DF9"/>
    <w:rsid w:val="00D50ECF"/>
    <w:rsid w:val="00D50EDE"/>
    <w:rsid w:val="00D50F04"/>
    <w:rsid w:val="00D50F49"/>
    <w:rsid w:val="00D50FE1"/>
    <w:rsid w:val="00D5108E"/>
    <w:rsid w:val="00D5116D"/>
    <w:rsid w:val="00D51202"/>
    <w:rsid w:val="00D51275"/>
    <w:rsid w:val="00D51362"/>
    <w:rsid w:val="00D51548"/>
    <w:rsid w:val="00D5161E"/>
    <w:rsid w:val="00D5174A"/>
    <w:rsid w:val="00D5181A"/>
    <w:rsid w:val="00D51832"/>
    <w:rsid w:val="00D5183B"/>
    <w:rsid w:val="00D5188C"/>
    <w:rsid w:val="00D5191D"/>
    <w:rsid w:val="00D5197B"/>
    <w:rsid w:val="00D519D2"/>
    <w:rsid w:val="00D51AD5"/>
    <w:rsid w:val="00D51B8D"/>
    <w:rsid w:val="00D51CE7"/>
    <w:rsid w:val="00D51D1E"/>
    <w:rsid w:val="00D51E03"/>
    <w:rsid w:val="00D51F27"/>
    <w:rsid w:val="00D51FFE"/>
    <w:rsid w:val="00D52380"/>
    <w:rsid w:val="00D523C3"/>
    <w:rsid w:val="00D5256C"/>
    <w:rsid w:val="00D5262B"/>
    <w:rsid w:val="00D527E4"/>
    <w:rsid w:val="00D52824"/>
    <w:rsid w:val="00D52B49"/>
    <w:rsid w:val="00D52DFA"/>
    <w:rsid w:val="00D52E51"/>
    <w:rsid w:val="00D52FD6"/>
    <w:rsid w:val="00D532EE"/>
    <w:rsid w:val="00D534E7"/>
    <w:rsid w:val="00D535AF"/>
    <w:rsid w:val="00D5365B"/>
    <w:rsid w:val="00D537C0"/>
    <w:rsid w:val="00D537D1"/>
    <w:rsid w:val="00D53838"/>
    <w:rsid w:val="00D539F1"/>
    <w:rsid w:val="00D53B7A"/>
    <w:rsid w:val="00D53B7D"/>
    <w:rsid w:val="00D53BBE"/>
    <w:rsid w:val="00D53C6E"/>
    <w:rsid w:val="00D53F27"/>
    <w:rsid w:val="00D53FBD"/>
    <w:rsid w:val="00D53FD9"/>
    <w:rsid w:val="00D54041"/>
    <w:rsid w:val="00D54050"/>
    <w:rsid w:val="00D54495"/>
    <w:rsid w:val="00D544F4"/>
    <w:rsid w:val="00D54552"/>
    <w:rsid w:val="00D54664"/>
    <w:rsid w:val="00D546EE"/>
    <w:rsid w:val="00D5471C"/>
    <w:rsid w:val="00D5477D"/>
    <w:rsid w:val="00D54858"/>
    <w:rsid w:val="00D54868"/>
    <w:rsid w:val="00D549BE"/>
    <w:rsid w:val="00D549DF"/>
    <w:rsid w:val="00D54A01"/>
    <w:rsid w:val="00D54C52"/>
    <w:rsid w:val="00D54E0E"/>
    <w:rsid w:val="00D5500A"/>
    <w:rsid w:val="00D553A1"/>
    <w:rsid w:val="00D5560D"/>
    <w:rsid w:val="00D558A7"/>
    <w:rsid w:val="00D559CD"/>
    <w:rsid w:val="00D55A46"/>
    <w:rsid w:val="00D55A5A"/>
    <w:rsid w:val="00D55ABF"/>
    <w:rsid w:val="00D55B86"/>
    <w:rsid w:val="00D55E32"/>
    <w:rsid w:val="00D56063"/>
    <w:rsid w:val="00D56249"/>
    <w:rsid w:val="00D56388"/>
    <w:rsid w:val="00D56400"/>
    <w:rsid w:val="00D5661D"/>
    <w:rsid w:val="00D566E1"/>
    <w:rsid w:val="00D56A68"/>
    <w:rsid w:val="00D56B80"/>
    <w:rsid w:val="00D56B94"/>
    <w:rsid w:val="00D56C4C"/>
    <w:rsid w:val="00D56DDF"/>
    <w:rsid w:val="00D56E06"/>
    <w:rsid w:val="00D56F4E"/>
    <w:rsid w:val="00D57010"/>
    <w:rsid w:val="00D5703A"/>
    <w:rsid w:val="00D57069"/>
    <w:rsid w:val="00D570C6"/>
    <w:rsid w:val="00D57176"/>
    <w:rsid w:val="00D5721F"/>
    <w:rsid w:val="00D5723F"/>
    <w:rsid w:val="00D573CD"/>
    <w:rsid w:val="00D5744C"/>
    <w:rsid w:val="00D5747D"/>
    <w:rsid w:val="00D57515"/>
    <w:rsid w:val="00D57578"/>
    <w:rsid w:val="00D57733"/>
    <w:rsid w:val="00D577D3"/>
    <w:rsid w:val="00D577DC"/>
    <w:rsid w:val="00D57877"/>
    <w:rsid w:val="00D578DA"/>
    <w:rsid w:val="00D5793A"/>
    <w:rsid w:val="00D57B08"/>
    <w:rsid w:val="00D57C01"/>
    <w:rsid w:val="00D57CB7"/>
    <w:rsid w:val="00D57CF2"/>
    <w:rsid w:val="00D57ED5"/>
    <w:rsid w:val="00D57F0B"/>
    <w:rsid w:val="00D6004B"/>
    <w:rsid w:val="00D60072"/>
    <w:rsid w:val="00D6013A"/>
    <w:rsid w:val="00D60194"/>
    <w:rsid w:val="00D6030E"/>
    <w:rsid w:val="00D60312"/>
    <w:rsid w:val="00D60437"/>
    <w:rsid w:val="00D6046A"/>
    <w:rsid w:val="00D60550"/>
    <w:rsid w:val="00D60569"/>
    <w:rsid w:val="00D60572"/>
    <w:rsid w:val="00D60587"/>
    <w:rsid w:val="00D6058D"/>
    <w:rsid w:val="00D60678"/>
    <w:rsid w:val="00D606B3"/>
    <w:rsid w:val="00D607E6"/>
    <w:rsid w:val="00D60823"/>
    <w:rsid w:val="00D60896"/>
    <w:rsid w:val="00D60AF5"/>
    <w:rsid w:val="00D60B8F"/>
    <w:rsid w:val="00D60D43"/>
    <w:rsid w:val="00D60D55"/>
    <w:rsid w:val="00D60DB5"/>
    <w:rsid w:val="00D60F4A"/>
    <w:rsid w:val="00D60FD8"/>
    <w:rsid w:val="00D612B4"/>
    <w:rsid w:val="00D61341"/>
    <w:rsid w:val="00D61373"/>
    <w:rsid w:val="00D6141A"/>
    <w:rsid w:val="00D61683"/>
    <w:rsid w:val="00D6176A"/>
    <w:rsid w:val="00D61788"/>
    <w:rsid w:val="00D61987"/>
    <w:rsid w:val="00D619AF"/>
    <w:rsid w:val="00D619E4"/>
    <w:rsid w:val="00D61A29"/>
    <w:rsid w:val="00D61A2A"/>
    <w:rsid w:val="00D61AE7"/>
    <w:rsid w:val="00D61B98"/>
    <w:rsid w:val="00D61BE0"/>
    <w:rsid w:val="00D61C32"/>
    <w:rsid w:val="00D61DDC"/>
    <w:rsid w:val="00D61DE9"/>
    <w:rsid w:val="00D6213F"/>
    <w:rsid w:val="00D62169"/>
    <w:rsid w:val="00D6220D"/>
    <w:rsid w:val="00D622B4"/>
    <w:rsid w:val="00D623AA"/>
    <w:rsid w:val="00D6245F"/>
    <w:rsid w:val="00D625F6"/>
    <w:rsid w:val="00D625FE"/>
    <w:rsid w:val="00D6262F"/>
    <w:rsid w:val="00D62708"/>
    <w:rsid w:val="00D627DC"/>
    <w:rsid w:val="00D62ABE"/>
    <w:rsid w:val="00D62AE8"/>
    <w:rsid w:val="00D62BB5"/>
    <w:rsid w:val="00D62BF9"/>
    <w:rsid w:val="00D62DB1"/>
    <w:rsid w:val="00D62EC7"/>
    <w:rsid w:val="00D62F70"/>
    <w:rsid w:val="00D62FC1"/>
    <w:rsid w:val="00D6304B"/>
    <w:rsid w:val="00D6313F"/>
    <w:rsid w:val="00D63358"/>
    <w:rsid w:val="00D6342A"/>
    <w:rsid w:val="00D634B3"/>
    <w:rsid w:val="00D636FC"/>
    <w:rsid w:val="00D637BA"/>
    <w:rsid w:val="00D637F5"/>
    <w:rsid w:val="00D63833"/>
    <w:rsid w:val="00D6389F"/>
    <w:rsid w:val="00D63A2A"/>
    <w:rsid w:val="00D63AD8"/>
    <w:rsid w:val="00D63B01"/>
    <w:rsid w:val="00D63D2D"/>
    <w:rsid w:val="00D63E6B"/>
    <w:rsid w:val="00D63EA7"/>
    <w:rsid w:val="00D64130"/>
    <w:rsid w:val="00D64157"/>
    <w:rsid w:val="00D6424A"/>
    <w:rsid w:val="00D6427E"/>
    <w:rsid w:val="00D64406"/>
    <w:rsid w:val="00D644D8"/>
    <w:rsid w:val="00D64528"/>
    <w:rsid w:val="00D64541"/>
    <w:rsid w:val="00D6471F"/>
    <w:rsid w:val="00D6480F"/>
    <w:rsid w:val="00D64842"/>
    <w:rsid w:val="00D648BC"/>
    <w:rsid w:val="00D6498E"/>
    <w:rsid w:val="00D649E1"/>
    <w:rsid w:val="00D64A51"/>
    <w:rsid w:val="00D64DE2"/>
    <w:rsid w:val="00D64F1C"/>
    <w:rsid w:val="00D64F56"/>
    <w:rsid w:val="00D6510D"/>
    <w:rsid w:val="00D65201"/>
    <w:rsid w:val="00D6520B"/>
    <w:rsid w:val="00D652DE"/>
    <w:rsid w:val="00D652FB"/>
    <w:rsid w:val="00D653A8"/>
    <w:rsid w:val="00D653FC"/>
    <w:rsid w:val="00D65406"/>
    <w:rsid w:val="00D65584"/>
    <w:rsid w:val="00D65637"/>
    <w:rsid w:val="00D659AD"/>
    <w:rsid w:val="00D65BDC"/>
    <w:rsid w:val="00D65D19"/>
    <w:rsid w:val="00D65E26"/>
    <w:rsid w:val="00D65F58"/>
    <w:rsid w:val="00D6615C"/>
    <w:rsid w:val="00D66265"/>
    <w:rsid w:val="00D66541"/>
    <w:rsid w:val="00D6656A"/>
    <w:rsid w:val="00D6662B"/>
    <w:rsid w:val="00D6675A"/>
    <w:rsid w:val="00D66A8A"/>
    <w:rsid w:val="00D66ABE"/>
    <w:rsid w:val="00D6707C"/>
    <w:rsid w:val="00D6718E"/>
    <w:rsid w:val="00D6729D"/>
    <w:rsid w:val="00D67356"/>
    <w:rsid w:val="00D67396"/>
    <w:rsid w:val="00D673DC"/>
    <w:rsid w:val="00D6755C"/>
    <w:rsid w:val="00D67A90"/>
    <w:rsid w:val="00D67AE1"/>
    <w:rsid w:val="00D67C3E"/>
    <w:rsid w:val="00D67CDE"/>
    <w:rsid w:val="00D67D3A"/>
    <w:rsid w:val="00D67D8C"/>
    <w:rsid w:val="00D67E5F"/>
    <w:rsid w:val="00D701C6"/>
    <w:rsid w:val="00D701FF"/>
    <w:rsid w:val="00D7025A"/>
    <w:rsid w:val="00D70329"/>
    <w:rsid w:val="00D70448"/>
    <w:rsid w:val="00D70479"/>
    <w:rsid w:val="00D704B7"/>
    <w:rsid w:val="00D704FB"/>
    <w:rsid w:val="00D70604"/>
    <w:rsid w:val="00D7071D"/>
    <w:rsid w:val="00D7085C"/>
    <w:rsid w:val="00D70B0E"/>
    <w:rsid w:val="00D70BBB"/>
    <w:rsid w:val="00D70EA2"/>
    <w:rsid w:val="00D70EF8"/>
    <w:rsid w:val="00D70FEC"/>
    <w:rsid w:val="00D70FF0"/>
    <w:rsid w:val="00D71000"/>
    <w:rsid w:val="00D711E7"/>
    <w:rsid w:val="00D71240"/>
    <w:rsid w:val="00D71247"/>
    <w:rsid w:val="00D71278"/>
    <w:rsid w:val="00D714A1"/>
    <w:rsid w:val="00D714D0"/>
    <w:rsid w:val="00D71563"/>
    <w:rsid w:val="00D71586"/>
    <w:rsid w:val="00D715BB"/>
    <w:rsid w:val="00D717D8"/>
    <w:rsid w:val="00D71805"/>
    <w:rsid w:val="00D71821"/>
    <w:rsid w:val="00D7184D"/>
    <w:rsid w:val="00D718E0"/>
    <w:rsid w:val="00D71B0A"/>
    <w:rsid w:val="00D71B76"/>
    <w:rsid w:val="00D71B7C"/>
    <w:rsid w:val="00D71BA8"/>
    <w:rsid w:val="00D71D96"/>
    <w:rsid w:val="00D71DC8"/>
    <w:rsid w:val="00D71EC2"/>
    <w:rsid w:val="00D720C8"/>
    <w:rsid w:val="00D721E6"/>
    <w:rsid w:val="00D724E7"/>
    <w:rsid w:val="00D72507"/>
    <w:rsid w:val="00D72542"/>
    <w:rsid w:val="00D72613"/>
    <w:rsid w:val="00D7262C"/>
    <w:rsid w:val="00D72722"/>
    <w:rsid w:val="00D727C5"/>
    <w:rsid w:val="00D729B7"/>
    <w:rsid w:val="00D729B8"/>
    <w:rsid w:val="00D72B99"/>
    <w:rsid w:val="00D72C21"/>
    <w:rsid w:val="00D72C63"/>
    <w:rsid w:val="00D73004"/>
    <w:rsid w:val="00D732C4"/>
    <w:rsid w:val="00D73333"/>
    <w:rsid w:val="00D73338"/>
    <w:rsid w:val="00D733B4"/>
    <w:rsid w:val="00D7343D"/>
    <w:rsid w:val="00D73460"/>
    <w:rsid w:val="00D734C5"/>
    <w:rsid w:val="00D73561"/>
    <w:rsid w:val="00D7361A"/>
    <w:rsid w:val="00D736DC"/>
    <w:rsid w:val="00D7399A"/>
    <w:rsid w:val="00D73B8E"/>
    <w:rsid w:val="00D73BF2"/>
    <w:rsid w:val="00D73D10"/>
    <w:rsid w:val="00D73DB1"/>
    <w:rsid w:val="00D73E97"/>
    <w:rsid w:val="00D7406A"/>
    <w:rsid w:val="00D74163"/>
    <w:rsid w:val="00D7422A"/>
    <w:rsid w:val="00D7424A"/>
    <w:rsid w:val="00D74333"/>
    <w:rsid w:val="00D74373"/>
    <w:rsid w:val="00D743CF"/>
    <w:rsid w:val="00D7474F"/>
    <w:rsid w:val="00D748D5"/>
    <w:rsid w:val="00D74B89"/>
    <w:rsid w:val="00D74C24"/>
    <w:rsid w:val="00D74C66"/>
    <w:rsid w:val="00D74DDC"/>
    <w:rsid w:val="00D74E18"/>
    <w:rsid w:val="00D74E29"/>
    <w:rsid w:val="00D74E5D"/>
    <w:rsid w:val="00D74E62"/>
    <w:rsid w:val="00D74FF6"/>
    <w:rsid w:val="00D75154"/>
    <w:rsid w:val="00D75250"/>
    <w:rsid w:val="00D752DD"/>
    <w:rsid w:val="00D75394"/>
    <w:rsid w:val="00D753F9"/>
    <w:rsid w:val="00D7552D"/>
    <w:rsid w:val="00D7555C"/>
    <w:rsid w:val="00D75598"/>
    <w:rsid w:val="00D75683"/>
    <w:rsid w:val="00D75692"/>
    <w:rsid w:val="00D756BE"/>
    <w:rsid w:val="00D758C5"/>
    <w:rsid w:val="00D758F4"/>
    <w:rsid w:val="00D75904"/>
    <w:rsid w:val="00D75AB7"/>
    <w:rsid w:val="00D75ADC"/>
    <w:rsid w:val="00D75D23"/>
    <w:rsid w:val="00D75DB4"/>
    <w:rsid w:val="00D75E3A"/>
    <w:rsid w:val="00D75EB9"/>
    <w:rsid w:val="00D75EF4"/>
    <w:rsid w:val="00D75F77"/>
    <w:rsid w:val="00D76131"/>
    <w:rsid w:val="00D7621A"/>
    <w:rsid w:val="00D7627C"/>
    <w:rsid w:val="00D7629C"/>
    <w:rsid w:val="00D76327"/>
    <w:rsid w:val="00D7637A"/>
    <w:rsid w:val="00D76432"/>
    <w:rsid w:val="00D76450"/>
    <w:rsid w:val="00D768F1"/>
    <w:rsid w:val="00D7693C"/>
    <w:rsid w:val="00D76B99"/>
    <w:rsid w:val="00D76CD6"/>
    <w:rsid w:val="00D76CD9"/>
    <w:rsid w:val="00D76D44"/>
    <w:rsid w:val="00D76DD9"/>
    <w:rsid w:val="00D76F03"/>
    <w:rsid w:val="00D7714E"/>
    <w:rsid w:val="00D77155"/>
    <w:rsid w:val="00D7732B"/>
    <w:rsid w:val="00D77370"/>
    <w:rsid w:val="00D77712"/>
    <w:rsid w:val="00D7771F"/>
    <w:rsid w:val="00D7788B"/>
    <w:rsid w:val="00D7791A"/>
    <w:rsid w:val="00D77962"/>
    <w:rsid w:val="00D77A20"/>
    <w:rsid w:val="00D77A8E"/>
    <w:rsid w:val="00D77AF5"/>
    <w:rsid w:val="00D77B32"/>
    <w:rsid w:val="00D77D2C"/>
    <w:rsid w:val="00D77DF6"/>
    <w:rsid w:val="00D80157"/>
    <w:rsid w:val="00D8015A"/>
    <w:rsid w:val="00D8027D"/>
    <w:rsid w:val="00D8036C"/>
    <w:rsid w:val="00D80442"/>
    <w:rsid w:val="00D80457"/>
    <w:rsid w:val="00D80472"/>
    <w:rsid w:val="00D80498"/>
    <w:rsid w:val="00D805AC"/>
    <w:rsid w:val="00D805FB"/>
    <w:rsid w:val="00D80724"/>
    <w:rsid w:val="00D80781"/>
    <w:rsid w:val="00D807E3"/>
    <w:rsid w:val="00D809F5"/>
    <w:rsid w:val="00D80A80"/>
    <w:rsid w:val="00D80BB2"/>
    <w:rsid w:val="00D80BD8"/>
    <w:rsid w:val="00D80C4D"/>
    <w:rsid w:val="00D80C57"/>
    <w:rsid w:val="00D80DA6"/>
    <w:rsid w:val="00D80E39"/>
    <w:rsid w:val="00D80EFF"/>
    <w:rsid w:val="00D81223"/>
    <w:rsid w:val="00D81307"/>
    <w:rsid w:val="00D81312"/>
    <w:rsid w:val="00D81316"/>
    <w:rsid w:val="00D8137B"/>
    <w:rsid w:val="00D81392"/>
    <w:rsid w:val="00D81485"/>
    <w:rsid w:val="00D815B7"/>
    <w:rsid w:val="00D817DB"/>
    <w:rsid w:val="00D8195E"/>
    <w:rsid w:val="00D81A9C"/>
    <w:rsid w:val="00D81C3B"/>
    <w:rsid w:val="00D81CCE"/>
    <w:rsid w:val="00D81D02"/>
    <w:rsid w:val="00D81D69"/>
    <w:rsid w:val="00D81E7D"/>
    <w:rsid w:val="00D821CE"/>
    <w:rsid w:val="00D82248"/>
    <w:rsid w:val="00D82344"/>
    <w:rsid w:val="00D8242F"/>
    <w:rsid w:val="00D8245E"/>
    <w:rsid w:val="00D824D3"/>
    <w:rsid w:val="00D824E6"/>
    <w:rsid w:val="00D8288F"/>
    <w:rsid w:val="00D82922"/>
    <w:rsid w:val="00D82B14"/>
    <w:rsid w:val="00D82B2C"/>
    <w:rsid w:val="00D82B9D"/>
    <w:rsid w:val="00D82D5C"/>
    <w:rsid w:val="00D82DEA"/>
    <w:rsid w:val="00D82F1F"/>
    <w:rsid w:val="00D83020"/>
    <w:rsid w:val="00D830A8"/>
    <w:rsid w:val="00D83144"/>
    <w:rsid w:val="00D831FE"/>
    <w:rsid w:val="00D83275"/>
    <w:rsid w:val="00D8342A"/>
    <w:rsid w:val="00D835C2"/>
    <w:rsid w:val="00D8360F"/>
    <w:rsid w:val="00D837BB"/>
    <w:rsid w:val="00D8393C"/>
    <w:rsid w:val="00D83ABD"/>
    <w:rsid w:val="00D83C09"/>
    <w:rsid w:val="00D83CF2"/>
    <w:rsid w:val="00D83D72"/>
    <w:rsid w:val="00D83F3F"/>
    <w:rsid w:val="00D841BB"/>
    <w:rsid w:val="00D84265"/>
    <w:rsid w:val="00D842AF"/>
    <w:rsid w:val="00D8435C"/>
    <w:rsid w:val="00D843E4"/>
    <w:rsid w:val="00D84444"/>
    <w:rsid w:val="00D84520"/>
    <w:rsid w:val="00D84536"/>
    <w:rsid w:val="00D845F6"/>
    <w:rsid w:val="00D847A7"/>
    <w:rsid w:val="00D8495C"/>
    <w:rsid w:val="00D84B26"/>
    <w:rsid w:val="00D84B4D"/>
    <w:rsid w:val="00D84D4E"/>
    <w:rsid w:val="00D85024"/>
    <w:rsid w:val="00D85095"/>
    <w:rsid w:val="00D851B6"/>
    <w:rsid w:val="00D851BC"/>
    <w:rsid w:val="00D8522A"/>
    <w:rsid w:val="00D85332"/>
    <w:rsid w:val="00D8533F"/>
    <w:rsid w:val="00D853C2"/>
    <w:rsid w:val="00D853D8"/>
    <w:rsid w:val="00D85446"/>
    <w:rsid w:val="00D856E2"/>
    <w:rsid w:val="00D857E3"/>
    <w:rsid w:val="00D85861"/>
    <w:rsid w:val="00D858C5"/>
    <w:rsid w:val="00D85911"/>
    <w:rsid w:val="00D85912"/>
    <w:rsid w:val="00D859A1"/>
    <w:rsid w:val="00D85A6E"/>
    <w:rsid w:val="00D85AB9"/>
    <w:rsid w:val="00D85ACB"/>
    <w:rsid w:val="00D85AEB"/>
    <w:rsid w:val="00D85B81"/>
    <w:rsid w:val="00D85BD5"/>
    <w:rsid w:val="00D85C0D"/>
    <w:rsid w:val="00D85C51"/>
    <w:rsid w:val="00D85D44"/>
    <w:rsid w:val="00D85E46"/>
    <w:rsid w:val="00D85E55"/>
    <w:rsid w:val="00D85FCD"/>
    <w:rsid w:val="00D8626A"/>
    <w:rsid w:val="00D862CF"/>
    <w:rsid w:val="00D863A8"/>
    <w:rsid w:val="00D863D3"/>
    <w:rsid w:val="00D865C3"/>
    <w:rsid w:val="00D865D2"/>
    <w:rsid w:val="00D8674E"/>
    <w:rsid w:val="00D867BB"/>
    <w:rsid w:val="00D8691B"/>
    <w:rsid w:val="00D86941"/>
    <w:rsid w:val="00D86B0D"/>
    <w:rsid w:val="00D86B39"/>
    <w:rsid w:val="00D86BD0"/>
    <w:rsid w:val="00D86BFC"/>
    <w:rsid w:val="00D86C65"/>
    <w:rsid w:val="00D86CB3"/>
    <w:rsid w:val="00D86E80"/>
    <w:rsid w:val="00D86E9F"/>
    <w:rsid w:val="00D86FAA"/>
    <w:rsid w:val="00D86FB8"/>
    <w:rsid w:val="00D8701B"/>
    <w:rsid w:val="00D87037"/>
    <w:rsid w:val="00D8708D"/>
    <w:rsid w:val="00D8714D"/>
    <w:rsid w:val="00D87161"/>
    <w:rsid w:val="00D871EB"/>
    <w:rsid w:val="00D87233"/>
    <w:rsid w:val="00D8726A"/>
    <w:rsid w:val="00D87461"/>
    <w:rsid w:val="00D874E1"/>
    <w:rsid w:val="00D875A6"/>
    <w:rsid w:val="00D876DA"/>
    <w:rsid w:val="00D877AE"/>
    <w:rsid w:val="00D878EF"/>
    <w:rsid w:val="00D879E9"/>
    <w:rsid w:val="00D879EB"/>
    <w:rsid w:val="00D87A71"/>
    <w:rsid w:val="00D87B6D"/>
    <w:rsid w:val="00D87C59"/>
    <w:rsid w:val="00D87DA3"/>
    <w:rsid w:val="00D87EB9"/>
    <w:rsid w:val="00D87F2E"/>
    <w:rsid w:val="00D87F55"/>
    <w:rsid w:val="00D90043"/>
    <w:rsid w:val="00D90221"/>
    <w:rsid w:val="00D90246"/>
    <w:rsid w:val="00D90318"/>
    <w:rsid w:val="00D9053E"/>
    <w:rsid w:val="00D9065E"/>
    <w:rsid w:val="00D90986"/>
    <w:rsid w:val="00D90A5E"/>
    <w:rsid w:val="00D90C79"/>
    <w:rsid w:val="00D90EC1"/>
    <w:rsid w:val="00D90F61"/>
    <w:rsid w:val="00D90FC0"/>
    <w:rsid w:val="00D910DF"/>
    <w:rsid w:val="00D9115A"/>
    <w:rsid w:val="00D9129E"/>
    <w:rsid w:val="00D91447"/>
    <w:rsid w:val="00D91473"/>
    <w:rsid w:val="00D91498"/>
    <w:rsid w:val="00D91510"/>
    <w:rsid w:val="00D91591"/>
    <w:rsid w:val="00D91596"/>
    <w:rsid w:val="00D915C9"/>
    <w:rsid w:val="00D915E4"/>
    <w:rsid w:val="00D9160E"/>
    <w:rsid w:val="00D91619"/>
    <w:rsid w:val="00D91768"/>
    <w:rsid w:val="00D917E4"/>
    <w:rsid w:val="00D917F2"/>
    <w:rsid w:val="00D91964"/>
    <w:rsid w:val="00D91A27"/>
    <w:rsid w:val="00D91ACA"/>
    <w:rsid w:val="00D91C91"/>
    <w:rsid w:val="00D91DF8"/>
    <w:rsid w:val="00D91EC3"/>
    <w:rsid w:val="00D91F90"/>
    <w:rsid w:val="00D91FF3"/>
    <w:rsid w:val="00D92174"/>
    <w:rsid w:val="00D921F4"/>
    <w:rsid w:val="00D9247C"/>
    <w:rsid w:val="00D925A2"/>
    <w:rsid w:val="00D926D3"/>
    <w:rsid w:val="00D9298B"/>
    <w:rsid w:val="00D929A8"/>
    <w:rsid w:val="00D92AA2"/>
    <w:rsid w:val="00D92E81"/>
    <w:rsid w:val="00D93097"/>
    <w:rsid w:val="00D9311D"/>
    <w:rsid w:val="00D93280"/>
    <w:rsid w:val="00D93368"/>
    <w:rsid w:val="00D935D4"/>
    <w:rsid w:val="00D93718"/>
    <w:rsid w:val="00D9374C"/>
    <w:rsid w:val="00D93785"/>
    <w:rsid w:val="00D937FA"/>
    <w:rsid w:val="00D9381D"/>
    <w:rsid w:val="00D9383B"/>
    <w:rsid w:val="00D938E6"/>
    <w:rsid w:val="00D938F0"/>
    <w:rsid w:val="00D939FB"/>
    <w:rsid w:val="00D93AE3"/>
    <w:rsid w:val="00D93C56"/>
    <w:rsid w:val="00D94049"/>
    <w:rsid w:val="00D940A2"/>
    <w:rsid w:val="00D940F2"/>
    <w:rsid w:val="00D94372"/>
    <w:rsid w:val="00D943E9"/>
    <w:rsid w:val="00D944A3"/>
    <w:rsid w:val="00D946CA"/>
    <w:rsid w:val="00D9470F"/>
    <w:rsid w:val="00D9473E"/>
    <w:rsid w:val="00D9483B"/>
    <w:rsid w:val="00D94890"/>
    <w:rsid w:val="00D948E2"/>
    <w:rsid w:val="00D94AA0"/>
    <w:rsid w:val="00D94B63"/>
    <w:rsid w:val="00D94C03"/>
    <w:rsid w:val="00D94CAB"/>
    <w:rsid w:val="00D94D7C"/>
    <w:rsid w:val="00D94DCD"/>
    <w:rsid w:val="00D94EB6"/>
    <w:rsid w:val="00D94F28"/>
    <w:rsid w:val="00D95066"/>
    <w:rsid w:val="00D951B2"/>
    <w:rsid w:val="00D951B9"/>
    <w:rsid w:val="00D951FF"/>
    <w:rsid w:val="00D95391"/>
    <w:rsid w:val="00D955D0"/>
    <w:rsid w:val="00D95604"/>
    <w:rsid w:val="00D95705"/>
    <w:rsid w:val="00D958D3"/>
    <w:rsid w:val="00D958E4"/>
    <w:rsid w:val="00D959C3"/>
    <w:rsid w:val="00D95CA4"/>
    <w:rsid w:val="00D95D09"/>
    <w:rsid w:val="00D95E6F"/>
    <w:rsid w:val="00D95FA9"/>
    <w:rsid w:val="00D95FBC"/>
    <w:rsid w:val="00D96174"/>
    <w:rsid w:val="00D96234"/>
    <w:rsid w:val="00D9662B"/>
    <w:rsid w:val="00D966EA"/>
    <w:rsid w:val="00D96951"/>
    <w:rsid w:val="00D96B22"/>
    <w:rsid w:val="00D96C53"/>
    <w:rsid w:val="00D96CAE"/>
    <w:rsid w:val="00D96CC6"/>
    <w:rsid w:val="00D96D01"/>
    <w:rsid w:val="00D96D24"/>
    <w:rsid w:val="00D96EF1"/>
    <w:rsid w:val="00D96EFF"/>
    <w:rsid w:val="00D96F1E"/>
    <w:rsid w:val="00D970D8"/>
    <w:rsid w:val="00D97248"/>
    <w:rsid w:val="00D97251"/>
    <w:rsid w:val="00D972A9"/>
    <w:rsid w:val="00D972AB"/>
    <w:rsid w:val="00D97328"/>
    <w:rsid w:val="00D97361"/>
    <w:rsid w:val="00D975F3"/>
    <w:rsid w:val="00D97631"/>
    <w:rsid w:val="00D976E2"/>
    <w:rsid w:val="00D978D8"/>
    <w:rsid w:val="00D979CE"/>
    <w:rsid w:val="00D979F0"/>
    <w:rsid w:val="00D97AD0"/>
    <w:rsid w:val="00D97B2B"/>
    <w:rsid w:val="00D97C59"/>
    <w:rsid w:val="00D97CCF"/>
    <w:rsid w:val="00D97D70"/>
    <w:rsid w:val="00D97E1C"/>
    <w:rsid w:val="00D97F40"/>
    <w:rsid w:val="00D97F96"/>
    <w:rsid w:val="00DA0276"/>
    <w:rsid w:val="00DA03AF"/>
    <w:rsid w:val="00DA0509"/>
    <w:rsid w:val="00DA0521"/>
    <w:rsid w:val="00DA0602"/>
    <w:rsid w:val="00DA060D"/>
    <w:rsid w:val="00DA0695"/>
    <w:rsid w:val="00DA079F"/>
    <w:rsid w:val="00DA0829"/>
    <w:rsid w:val="00DA0845"/>
    <w:rsid w:val="00DA0B38"/>
    <w:rsid w:val="00DA0B73"/>
    <w:rsid w:val="00DA0E5E"/>
    <w:rsid w:val="00DA0EE4"/>
    <w:rsid w:val="00DA0F1F"/>
    <w:rsid w:val="00DA0F4C"/>
    <w:rsid w:val="00DA1026"/>
    <w:rsid w:val="00DA13CB"/>
    <w:rsid w:val="00DA15F5"/>
    <w:rsid w:val="00DA1632"/>
    <w:rsid w:val="00DA1725"/>
    <w:rsid w:val="00DA181F"/>
    <w:rsid w:val="00DA1865"/>
    <w:rsid w:val="00DA19A2"/>
    <w:rsid w:val="00DA1A0B"/>
    <w:rsid w:val="00DA1A8B"/>
    <w:rsid w:val="00DA1C6E"/>
    <w:rsid w:val="00DA1E08"/>
    <w:rsid w:val="00DA1EC3"/>
    <w:rsid w:val="00DA1F0F"/>
    <w:rsid w:val="00DA2024"/>
    <w:rsid w:val="00DA2090"/>
    <w:rsid w:val="00DA2111"/>
    <w:rsid w:val="00DA2240"/>
    <w:rsid w:val="00DA23DE"/>
    <w:rsid w:val="00DA2463"/>
    <w:rsid w:val="00DA246D"/>
    <w:rsid w:val="00DA2562"/>
    <w:rsid w:val="00DA2567"/>
    <w:rsid w:val="00DA2621"/>
    <w:rsid w:val="00DA267E"/>
    <w:rsid w:val="00DA2804"/>
    <w:rsid w:val="00DA2870"/>
    <w:rsid w:val="00DA2896"/>
    <w:rsid w:val="00DA291D"/>
    <w:rsid w:val="00DA295C"/>
    <w:rsid w:val="00DA296C"/>
    <w:rsid w:val="00DA298F"/>
    <w:rsid w:val="00DA2D9D"/>
    <w:rsid w:val="00DA2E05"/>
    <w:rsid w:val="00DA2E32"/>
    <w:rsid w:val="00DA2F6E"/>
    <w:rsid w:val="00DA30F4"/>
    <w:rsid w:val="00DA31DA"/>
    <w:rsid w:val="00DA3345"/>
    <w:rsid w:val="00DA3942"/>
    <w:rsid w:val="00DA39D3"/>
    <w:rsid w:val="00DA3BEF"/>
    <w:rsid w:val="00DA3C5E"/>
    <w:rsid w:val="00DA3CF8"/>
    <w:rsid w:val="00DA3E92"/>
    <w:rsid w:val="00DA40D2"/>
    <w:rsid w:val="00DA424E"/>
    <w:rsid w:val="00DA4291"/>
    <w:rsid w:val="00DA42EC"/>
    <w:rsid w:val="00DA432C"/>
    <w:rsid w:val="00DA450D"/>
    <w:rsid w:val="00DA4770"/>
    <w:rsid w:val="00DA47AA"/>
    <w:rsid w:val="00DA47B5"/>
    <w:rsid w:val="00DA47DF"/>
    <w:rsid w:val="00DA47FD"/>
    <w:rsid w:val="00DA48C9"/>
    <w:rsid w:val="00DA493E"/>
    <w:rsid w:val="00DA498D"/>
    <w:rsid w:val="00DA49CA"/>
    <w:rsid w:val="00DA4AFD"/>
    <w:rsid w:val="00DA4B1E"/>
    <w:rsid w:val="00DA4B99"/>
    <w:rsid w:val="00DA4E20"/>
    <w:rsid w:val="00DA4F39"/>
    <w:rsid w:val="00DA4F59"/>
    <w:rsid w:val="00DA4FD7"/>
    <w:rsid w:val="00DA5121"/>
    <w:rsid w:val="00DA5132"/>
    <w:rsid w:val="00DA53BB"/>
    <w:rsid w:val="00DA5481"/>
    <w:rsid w:val="00DA562C"/>
    <w:rsid w:val="00DA569F"/>
    <w:rsid w:val="00DA58D0"/>
    <w:rsid w:val="00DA58FC"/>
    <w:rsid w:val="00DA59D3"/>
    <w:rsid w:val="00DA5A6C"/>
    <w:rsid w:val="00DA5AD3"/>
    <w:rsid w:val="00DA5AE8"/>
    <w:rsid w:val="00DA5C19"/>
    <w:rsid w:val="00DA5CEB"/>
    <w:rsid w:val="00DA5E06"/>
    <w:rsid w:val="00DA5EA3"/>
    <w:rsid w:val="00DA5F97"/>
    <w:rsid w:val="00DA607A"/>
    <w:rsid w:val="00DA62A2"/>
    <w:rsid w:val="00DA630F"/>
    <w:rsid w:val="00DA6342"/>
    <w:rsid w:val="00DA6567"/>
    <w:rsid w:val="00DA662B"/>
    <w:rsid w:val="00DA6729"/>
    <w:rsid w:val="00DA68F7"/>
    <w:rsid w:val="00DA6A58"/>
    <w:rsid w:val="00DA6CF7"/>
    <w:rsid w:val="00DA6F24"/>
    <w:rsid w:val="00DA6F47"/>
    <w:rsid w:val="00DA6F7C"/>
    <w:rsid w:val="00DA7007"/>
    <w:rsid w:val="00DA70A6"/>
    <w:rsid w:val="00DA70FD"/>
    <w:rsid w:val="00DA71DC"/>
    <w:rsid w:val="00DA72F2"/>
    <w:rsid w:val="00DA736D"/>
    <w:rsid w:val="00DA74E1"/>
    <w:rsid w:val="00DA77AB"/>
    <w:rsid w:val="00DA77CC"/>
    <w:rsid w:val="00DA7823"/>
    <w:rsid w:val="00DA79FA"/>
    <w:rsid w:val="00DA7C7C"/>
    <w:rsid w:val="00DA7D68"/>
    <w:rsid w:val="00DA7E2C"/>
    <w:rsid w:val="00DA7F22"/>
    <w:rsid w:val="00DA7F3C"/>
    <w:rsid w:val="00DA7F72"/>
    <w:rsid w:val="00DA7FDE"/>
    <w:rsid w:val="00DB004B"/>
    <w:rsid w:val="00DB00D9"/>
    <w:rsid w:val="00DB01B2"/>
    <w:rsid w:val="00DB01C2"/>
    <w:rsid w:val="00DB0211"/>
    <w:rsid w:val="00DB032C"/>
    <w:rsid w:val="00DB03BB"/>
    <w:rsid w:val="00DB04AE"/>
    <w:rsid w:val="00DB065D"/>
    <w:rsid w:val="00DB06C1"/>
    <w:rsid w:val="00DB08DD"/>
    <w:rsid w:val="00DB0A11"/>
    <w:rsid w:val="00DB0AD5"/>
    <w:rsid w:val="00DB0B39"/>
    <w:rsid w:val="00DB0BA6"/>
    <w:rsid w:val="00DB0D44"/>
    <w:rsid w:val="00DB0DE9"/>
    <w:rsid w:val="00DB0E81"/>
    <w:rsid w:val="00DB0EE1"/>
    <w:rsid w:val="00DB1060"/>
    <w:rsid w:val="00DB10A2"/>
    <w:rsid w:val="00DB1161"/>
    <w:rsid w:val="00DB11A8"/>
    <w:rsid w:val="00DB12D2"/>
    <w:rsid w:val="00DB12F0"/>
    <w:rsid w:val="00DB132B"/>
    <w:rsid w:val="00DB14CB"/>
    <w:rsid w:val="00DB1715"/>
    <w:rsid w:val="00DB1805"/>
    <w:rsid w:val="00DB1B4F"/>
    <w:rsid w:val="00DB1B64"/>
    <w:rsid w:val="00DB1E31"/>
    <w:rsid w:val="00DB213E"/>
    <w:rsid w:val="00DB223C"/>
    <w:rsid w:val="00DB2276"/>
    <w:rsid w:val="00DB24CB"/>
    <w:rsid w:val="00DB25C2"/>
    <w:rsid w:val="00DB2910"/>
    <w:rsid w:val="00DB2959"/>
    <w:rsid w:val="00DB29A7"/>
    <w:rsid w:val="00DB2C9E"/>
    <w:rsid w:val="00DB2CCE"/>
    <w:rsid w:val="00DB2D6D"/>
    <w:rsid w:val="00DB2DE3"/>
    <w:rsid w:val="00DB3040"/>
    <w:rsid w:val="00DB32AD"/>
    <w:rsid w:val="00DB331D"/>
    <w:rsid w:val="00DB3322"/>
    <w:rsid w:val="00DB335E"/>
    <w:rsid w:val="00DB33B0"/>
    <w:rsid w:val="00DB342D"/>
    <w:rsid w:val="00DB3511"/>
    <w:rsid w:val="00DB3536"/>
    <w:rsid w:val="00DB3600"/>
    <w:rsid w:val="00DB3602"/>
    <w:rsid w:val="00DB36BE"/>
    <w:rsid w:val="00DB37BB"/>
    <w:rsid w:val="00DB389E"/>
    <w:rsid w:val="00DB38C8"/>
    <w:rsid w:val="00DB38E3"/>
    <w:rsid w:val="00DB3AC7"/>
    <w:rsid w:val="00DB3C48"/>
    <w:rsid w:val="00DB3E5F"/>
    <w:rsid w:val="00DB3F2B"/>
    <w:rsid w:val="00DB4091"/>
    <w:rsid w:val="00DB42F0"/>
    <w:rsid w:val="00DB46AF"/>
    <w:rsid w:val="00DB4781"/>
    <w:rsid w:val="00DB4805"/>
    <w:rsid w:val="00DB48D0"/>
    <w:rsid w:val="00DB4B67"/>
    <w:rsid w:val="00DB4DAB"/>
    <w:rsid w:val="00DB4E05"/>
    <w:rsid w:val="00DB4F05"/>
    <w:rsid w:val="00DB5197"/>
    <w:rsid w:val="00DB51A0"/>
    <w:rsid w:val="00DB52B1"/>
    <w:rsid w:val="00DB52C2"/>
    <w:rsid w:val="00DB52D3"/>
    <w:rsid w:val="00DB53F6"/>
    <w:rsid w:val="00DB541B"/>
    <w:rsid w:val="00DB5433"/>
    <w:rsid w:val="00DB57B4"/>
    <w:rsid w:val="00DB585F"/>
    <w:rsid w:val="00DB59C7"/>
    <w:rsid w:val="00DB5AB0"/>
    <w:rsid w:val="00DB5B40"/>
    <w:rsid w:val="00DB5B51"/>
    <w:rsid w:val="00DB5C49"/>
    <w:rsid w:val="00DB5E35"/>
    <w:rsid w:val="00DB5E80"/>
    <w:rsid w:val="00DB6047"/>
    <w:rsid w:val="00DB6122"/>
    <w:rsid w:val="00DB62D6"/>
    <w:rsid w:val="00DB6304"/>
    <w:rsid w:val="00DB6427"/>
    <w:rsid w:val="00DB6536"/>
    <w:rsid w:val="00DB65B9"/>
    <w:rsid w:val="00DB681D"/>
    <w:rsid w:val="00DB69B7"/>
    <w:rsid w:val="00DB69C4"/>
    <w:rsid w:val="00DB6A50"/>
    <w:rsid w:val="00DB6A9B"/>
    <w:rsid w:val="00DB6B84"/>
    <w:rsid w:val="00DB6BBC"/>
    <w:rsid w:val="00DB6BDD"/>
    <w:rsid w:val="00DB6C6C"/>
    <w:rsid w:val="00DB6E06"/>
    <w:rsid w:val="00DB6EC7"/>
    <w:rsid w:val="00DB6EF4"/>
    <w:rsid w:val="00DB6F93"/>
    <w:rsid w:val="00DB70A5"/>
    <w:rsid w:val="00DB7403"/>
    <w:rsid w:val="00DB740C"/>
    <w:rsid w:val="00DB7443"/>
    <w:rsid w:val="00DB744F"/>
    <w:rsid w:val="00DB7A15"/>
    <w:rsid w:val="00DB7A57"/>
    <w:rsid w:val="00DB7C32"/>
    <w:rsid w:val="00DB7D5D"/>
    <w:rsid w:val="00DB7D94"/>
    <w:rsid w:val="00DB7D98"/>
    <w:rsid w:val="00DC0102"/>
    <w:rsid w:val="00DC043E"/>
    <w:rsid w:val="00DC0480"/>
    <w:rsid w:val="00DC04A7"/>
    <w:rsid w:val="00DC0536"/>
    <w:rsid w:val="00DC0640"/>
    <w:rsid w:val="00DC074C"/>
    <w:rsid w:val="00DC08ED"/>
    <w:rsid w:val="00DC099B"/>
    <w:rsid w:val="00DC0A4D"/>
    <w:rsid w:val="00DC0A75"/>
    <w:rsid w:val="00DC0BF8"/>
    <w:rsid w:val="00DC0C05"/>
    <w:rsid w:val="00DC0D09"/>
    <w:rsid w:val="00DC0D64"/>
    <w:rsid w:val="00DC0DC6"/>
    <w:rsid w:val="00DC0E1E"/>
    <w:rsid w:val="00DC0E3B"/>
    <w:rsid w:val="00DC0ED7"/>
    <w:rsid w:val="00DC0F1C"/>
    <w:rsid w:val="00DC0FD1"/>
    <w:rsid w:val="00DC0FF1"/>
    <w:rsid w:val="00DC1109"/>
    <w:rsid w:val="00DC118A"/>
    <w:rsid w:val="00DC11EA"/>
    <w:rsid w:val="00DC12B7"/>
    <w:rsid w:val="00DC15B4"/>
    <w:rsid w:val="00DC1895"/>
    <w:rsid w:val="00DC190F"/>
    <w:rsid w:val="00DC1A5B"/>
    <w:rsid w:val="00DC1B5F"/>
    <w:rsid w:val="00DC1DB5"/>
    <w:rsid w:val="00DC1E4A"/>
    <w:rsid w:val="00DC1EE4"/>
    <w:rsid w:val="00DC1F3E"/>
    <w:rsid w:val="00DC20B8"/>
    <w:rsid w:val="00DC20DC"/>
    <w:rsid w:val="00DC2465"/>
    <w:rsid w:val="00DC249C"/>
    <w:rsid w:val="00DC2922"/>
    <w:rsid w:val="00DC2A77"/>
    <w:rsid w:val="00DC2A8C"/>
    <w:rsid w:val="00DC2B38"/>
    <w:rsid w:val="00DC2C5C"/>
    <w:rsid w:val="00DC2C97"/>
    <w:rsid w:val="00DC2D03"/>
    <w:rsid w:val="00DC2F2B"/>
    <w:rsid w:val="00DC2F9C"/>
    <w:rsid w:val="00DC3109"/>
    <w:rsid w:val="00DC3323"/>
    <w:rsid w:val="00DC333C"/>
    <w:rsid w:val="00DC34DE"/>
    <w:rsid w:val="00DC36EF"/>
    <w:rsid w:val="00DC37B1"/>
    <w:rsid w:val="00DC3AFB"/>
    <w:rsid w:val="00DC3B1E"/>
    <w:rsid w:val="00DC3D42"/>
    <w:rsid w:val="00DC3F79"/>
    <w:rsid w:val="00DC3FD4"/>
    <w:rsid w:val="00DC4117"/>
    <w:rsid w:val="00DC41F4"/>
    <w:rsid w:val="00DC4574"/>
    <w:rsid w:val="00DC46B9"/>
    <w:rsid w:val="00DC47C7"/>
    <w:rsid w:val="00DC4860"/>
    <w:rsid w:val="00DC48BA"/>
    <w:rsid w:val="00DC48CC"/>
    <w:rsid w:val="00DC48F4"/>
    <w:rsid w:val="00DC48F9"/>
    <w:rsid w:val="00DC498D"/>
    <w:rsid w:val="00DC4C51"/>
    <w:rsid w:val="00DC4DAE"/>
    <w:rsid w:val="00DC4F42"/>
    <w:rsid w:val="00DC515B"/>
    <w:rsid w:val="00DC55EB"/>
    <w:rsid w:val="00DC5615"/>
    <w:rsid w:val="00DC561B"/>
    <w:rsid w:val="00DC5852"/>
    <w:rsid w:val="00DC5943"/>
    <w:rsid w:val="00DC5953"/>
    <w:rsid w:val="00DC59FA"/>
    <w:rsid w:val="00DC5D9C"/>
    <w:rsid w:val="00DC5F2D"/>
    <w:rsid w:val="00DC5FB0"/>
    <w:rsid w:val="00DC60C3"/>
    <w:rsid w:val="00DC61B2"/>
    <w:rsid w:val="00DC620E"/>
    <w:rsid w:val="00DC621E"/>
    <w:rsid w:val="00DC64ED"/>
    <w:rsid w:val="00DC6511"/>
    <w:rsid w:val="00DC6642"/>
    <w:rsid w:val="00DC66DB"/>
    <w:rsid w:val="00DC6908"/>
    <w:rsid w:val="00DC6946"/>
    <w:rsid w:val="00DC6A02"/>
    <w:rsid w:val="00DC6C5A"/>
    <w:rsid w:val="00DC6D00"/>
    <w:rsid w:val="00DC6E07"/>
    <w:rsid w:val="00DC6EBC"/>
    <w:rsid w:val="00DC6F31"/>
    <w:rsid w:val="00DC6FA9"/>
    <w:rsid w:val="00DC7140"/>
    <w:rsid w:val="00DC71D3"/>
    <w:rsid w:val="00DC7241"/>
    <w:rsid w:val="00DC72A5"/>
    <w:rsid w:val="00DC73E8"/>
    <w:rsid w:val="00DC7452"/>
    <w:rsid w:val="00DC75C8"/>
    <w:rsid w:val="00DC76BC"/>
    <w:rsid w:val="00DC7788"/>
    <w:rsid w:val="00DC7931"/>
    <w:rsid w:val="00DC7C10"/>
    <w:rsid w:val="00DC7C40"/>
    <w:rsid w:val="00DC7D8A"/>
    <w:rsid w:val="00DC7E13"/>
    <w:rsid w:val="00DC7E82"/>
    <w:rsid w:val="00DC7E8A"/>
    <w:rsid w:val="00DC7EE1"/>
    <w:rsid w:val="00DD032E"/>
    <w:rsid w:val="00DD0365"/>
    <w:rsid w:val="00DD0731"/>
    <w:rsid w:val="00DD079D"/>
    <w:rsid w:val="00DD0AB5"/>
    <w:rsid w:val="00DD0B3F"/>
    <w:rsid w:val="00DD0B6F"/>
    <w:rsid w:val="00DD0B70"/>
    <w:rsid w:val="00DD0BB6"/>
    <w:rsid w:val="00DD0C49"/>
    <w:rsid w:val="00DD0E12"/>
    <w:rsid w:val="00DD0EA4"/>
    <w:rsid w:val="00DD0F46"/>
    <w:rsid w:val="00DD103F"/>
    <w:rsid w:val="00DD112D"/>
    <w:rsid w:val="00DD128B"/>
    <w:rsid w:val="00DD1516"/>
    <w:rsid w:val="00DD1596"/>
    <w:rsid w:val="00DD163B"/>
    <w:rsid w:val="00DD163D"/>
    <w:rsid w:val="00DD1804"/>
    <w:rsid w:val="00DD184A"/>
    <w:rsid w:val="00DD1949"/>
    <w:rsid w:val="00DD1B29"/>
    <w:rsid w:val="00DD1B40"/>
    <w:rsid w:val="00DD1CA3"/>
    <w:rsid w:val="00DD1DA2"/>
    <w:rsid w:val="00DD1DD5"/>
    <w:rsid w:val="00DD1EAB"/>
    <w:rsid w:val="00DD1F7C"/>
    <w:rsid w:val="00DD20EA"/>
    <w:rsid w:val="00DD21E2"/>
    <w:rsid w:val="00DD2238"/>
    <w:rsid w:val="00DD229D"/>
    <w:rsid w:val="00DD22CE"/>
    <w:rsid w:val="00DD241C"/>
    <w:rsid w:val="00DD264A"/>
    <w:rsid w:val="00DD264B"/>
    <w:rsid w:val="00DD2814"/>
    <w:rsid w:val="00DD2885"/>
    <w:rsid w:val="00DD296F"/>
    <w:rsid w:val="00DD2A55"/>
    <w:rsid w:val="00DD2B8B"/>
    <w:rsid w:val="00DD2D3C"/>
    <w:rsid w:val="00DD2D9C"/>
    <w:rsid w:val="00DD2DEF"/>
    <w:rsid w:val="00DD2DF1"/>
    <w:rsid w:val="00DD3058"/>
    <w:rsid w:val="00DD30B5"/>
    <w:rsid w:val="00DD3287"/>
    <w:rsid w:val="00DD328C"/>
    <w:rsid w:val="00DD32D5"/>
    <w:rsid w:val="00DD337B"/>
    <w:rsid w:val="00DD3431"/>
    <w:rsid w:val="00DD346E"/>
    <w:rsid w:val="00DD34DB"/>
    <w:rsid w:val="00DD3537"/>
    <w:rsid w:val="00DD35AC"/>
    <w:rsid w:val="00DD362B"/>
    <w:rsid w:val="00DD363B"/>
    <w:rsid w:val="00DD3644"/>
    <w:rsid w:val="00DD370E"/>
    <w:rsid w:val="00DD3982"/>
    <w:rsid w:val="00DD39D2"/>
    <w:rsid w:val="00DD39DC"/>
    <w:rsid w:val="00DD3C8F"/>
    <w:rsid w:val="00DD3CCD"/>
    <w:rsid w:val="00DD4008"/>
    <w:rsid w:val="00DD4146"/>
    <w:rsid w:val="00DD415A"/>
    <w:rsid w:val="00DD41F4"/>
    <w:rsid w:val="00DD4241"/>
    <w:rsid w:val="00DD4248"/>
    <w:rsid w:val="00DD42F3"/>
    <w:rsid w:val="00DD43B3"/>
    <w:rsid w:val="00DD4473"/>
    <w:rsid w:val="00DD4714"/>
    <w:rsid w:val="00DD4B0E"/>
    <w:rsid w:val="00DD5215"/>
    <w:rsid w:val="00DD529A"/>
    <w:rsid w:val="00DD5667"/>
    <w:rsid w:val="00DD57AB"/>
    <w:rsid w:val="00DD58FA"/>
    <w:rsid w:val="00DD5911"/>
    <w:rsid w:val="00DD599E"/>
    <w:rsid w:val="00DD5C73"/>
    <w:rsid w:val="00DD5DC6"/>
    <w:rsid w:val="00DD5EDE"/>
    <w:rsid w:val="00DD5FF6"/>
    <w:rsid w:val="00DD611B"/>
    <w:rsid w:val="00DD64EB"/>
    <w:rsid w:val="00DD653B"/>
    <w:rsid w:val="00DD66BF"/>
    <w:rsid w:val="00DD686B"/>
    <w:rsid w:val="00DD6891"/>
    <w:rsid w:val="00DD68A1"/>
    <w:rsid w:val="00DD6911"/>
    <w:rsid w:val="00DD69E6"/>
    <w:rsid w:val="00DD69FE"/>
    <w:rsid w:val="00DD6CB8"/>
    <w:rsid w:val="00DD6D73"/>
    <w:rsid w:val="00DD6D88"/>
    <w:rsid w:val="00DD6E20"/>
    <w:rsid w:val="00DD6EC5"/>
    <w:rsid w:val="00DD6EE8"/>
    <w:rsid w:val="00DD6EEE"/>
    <w:rsid w:val="00DD6F2B"/>
    <w:rsid w:val="00DD6F98"/>
    <w:rsid w:val="00DD7180"/>
    <w:rsid w:val="00DD7272"/>
    <w:rsid w:val="00DD7324"/>
    <w:rsid w:val="00DD7326"/>
    <w:rsid w:val="00DD73EA"/>
    <w:rsid w:val="00DD7465"/>
    <w:rsid w:val="00DD755E"/>
    <w:rsid w:val="00DD7785"/>
    <w:rsid w:val="00DD77B3"/>
    <w:rsid w:val="00DD78AF"/>
    <w:rsid w:val="00DD78B9"/>
    <w:rsid w:val="00DD7A44"/>
    <w:rsid w:val="00DD7C36"/>
    <w:rsid w:val="00DD7DDC"/>
    <w:rsid w:val="00DE0050"/>
    <w:rsid w:val="00DE00D2"/>
    <w:rsid w:val="00DE025D"/>
    <w:rsid w:val="00DE0306"/>
    <w:rsid w:val="00DE060D"/>
    <w:rsid w:val="00DE0736"/>
    <w:rsid w:val="00DE074E"/>
    <w:rsid w:val="00DE079F"/>
    <w:rsid w:val="00DE0A6E"/>
    <w:rsid w:val="00DE0AFC"/>
    <w:rsid w:val="00DE0E5C"/>
    <w:rsid w:val="00DE0E8E"/>
    <w:rsid w:val="00DE110F"/>
    <w:rsid w:val="00DE118D"/>
    <w:rsid w:val="00DE1615"/>
    <w:rsid w:val="00DE1625"/>
    <w:rsid w:val="00DE162C"/>
    <w:rsid w:val="00DE1822"/>
    <w:rsid w:val="00DE183A"/>
    <w:rsid w:val="00DE196D"/>
    <w:rsid w:val="00DE1985"/>
    <w:rsid w:val="00DE19A6"/>
    <w:rsid w:val="00DE1B3B"/>
    <w:rsid w:val="00DE1C1A"/>
    <w:rsid w:val="00DE1F10"/>
    <w:rsid w:val="00DE1F72"/>
    <w:rsid w:val="00DE216A"/>
    <w:rsid w:val="00DE21BE"/>
    <w:rsid w:val="00DE22B8"/>
    <w:rsid w:val="00DE249E"/>
    <w:rsid w:val="00DE2539"/>
    <w:rsid w:val="00DE2597"/>
    <w:rsid w:val="00DE2773"/>
    <w:rsid w:val="00DE2845"/>
    <w:rsid w:val="00DE2A4C"/>
    <w:rsid w:val="00DE2AC9"/>
    <w:rsid w:val="00DE2B16"/>
    <w:rsid w:val="00DE2B93"/>
    <w:rsid w:val="00DE2CEF"/>
    <w:rsid w:val="00DE2EB4"/>
    <w:rsid w:val="00DE2F47"/>
    <w:rsid w:val="00DE3052"/>
    <w:rsid w:val="00DE3076"/>
    <w:rsid w:val="00DE30B6"/>
    <w:rsid w:val="00DE30E4"/>
    <w:rsid w:val="00DE3110"/>
    <w:rsid w:val="00DE318C"/>
    <w:rsid w:val="00DE31B5"/>
    <w:rsid w:val="00DE3237"/>
    <w:rsid w:val="00DE3402"/>
    <w:rsid w:val="00DE34C0"/>
    <w:rsid w:val="00DE365A"/>
    <w:rsid w:val="00DE3709"/>
    <w:rsid w:val="00DE3768"/>
    <w:rsid w:val="00DE38F6"/>
    <w:rsid w:val="00DE39AD"/>
    <w:rsid w:val="00DE3AEA"/>
    <w:rsid w:val="00DE3B96"/>
    <w:rsid w:val="00DE3BEA"/>
    <w:rsid w:val="00DE3E64"/>
    <w:rsid w:val="00DE3FA7"/>
    <w:rsid w:val="00DE4040"/>
    <w:rsid w:val="00DE40C0"/>
    <w:rsid w:val="00DE41CC"/>
    <w:rsid w:val="00DE43E1"/>
    <w:rsid w:val="00DE43E7"/>
    <w:rsid w:val="00DE44C2"/>
    <w:rsid w:val="00DE4547"/>
    <w:rsid w:val="00DE4642"/>
    <w:rsid w:val="00DE481B"/>
    <w:rsid w:val="00DE4976"/>
    <w:rsid w:val="00DE49C2"/>
    <w:rsid w:val="00DE4CC5"/>
    <w:rsid w:val="00DE4D8D"/>
    <w:rsid w:val="00DE4E59"/>
    <w:rsid w:val="00DE4FD9"/>
    <w:rsid w:val="00DE50F7"/>
    <w:rsid w:val="00DE535B"/>
    <w:rsid w:val="00DE537D"/>
    <w:rsid w:val="00DE53D0"/>
    <w:rsid w:val="00DE542D"/>
    <w:rsid w:val="00DE545F"/>
    <w:rsid w:val="00DE5552"/>
    <w:rsid w:val="00DE57DC"/>
    <w:rsid w:val="00DE5823"/>
    <w:rsid w:val="00DE58C7"/>
    <w:rsid w:val="00DE58E6"/>
    <w:rsid w:val="00DE5AF5"/>
    <w:rsid w:val="00DE5CA4"/>
    <w:rsid w:val="00DE5D65"/>
    <w:rsid w:val="00DE5E21"/>
    <w:rsid w:val="00DE637D"/>
    <w:rsid w:val="00DE637E"/>
    <w:rsid w:val="00DE643A"/>
    <w:rsid w:val="00DE64E9"/>
    <w:rsid w:val="00DE6513"/>
    <w:rsid w:val="00DE65DA"/>
    <w:rsid w:val="00DE677F"/>
    <w:rsid w:val="00DE6781"/>
    <w:rsid w:val="00DE6A24"/>
    <w:rsid w:val="00DE6ABA"/>
    <w:rsid w:val="00DE6AD2"/>
    <w:rsid w:val="00DE6AF2"/>
    <w:rsid w:val="00DE6B6D"/>
    <w:rsid w:val="00DE6BA1"/>
    <w:rsid w:val="00DE6BEE"/>
    <w:rsid w:val="00DE6CF3"/>
    <w:rsid w:val="00DE6D57"/>
    <w:rsid w:val="00DE6DA7"/>
    <w:rsid w:val="00DE6EFE"/>
    <w:rsid w:val="00DE70BD"/>
    <w:rsid w:val="00DE71B9"/>
    <w:rsid w:val="00DE71C9"/>
    <w:rsid w:val="00DE71EF"/>
    <w:rsid w:val="00DE7431"/>
    <w:rsid w:val="00DE744C"/>
    <w:rsid w:val="00DE74C6"/>
    <w:rsid w:val="00DE74EA"/>
    <w:rsid w:val="00DE7522"/>
    <w:rsid w:val="00DE75CF"/>
    <w:rsid w:val="00DE768D"/>
    <w:rsid w:val="00DE7938"/>
    <w:rsid w:val="00DE7A94"/>
    <w:rsid w:val="00DE7BF3"/>
    <w:rsid w:val="00DE7C07"/>
    <w:rsid w:val="00DE7C95"/>
    <w:rsid w:val="00DE7CF9"/>
    <w:rsid w:val="00DE7DA2"/>
    <w:rsid w:val="00DE7DA7"/>
    <w:rsid w:val="00DE7F16"/>
    <w:rsid w:val="00DF00E3"/>
    <w:rsid w:val="00DF0100"/>
    <w:rsid w:val="00DF0156"/>
    <w:rsid w:val="00DF0301"/>
    <w:rsid w:val="00DF0612"/>
    <w:rsid w:val="00DF075A"/>
    <w:rsid w:val="00DF0787"/>
    <w:rsid w:val="00DF087B"/>
    <w:rsid w:val="00DF08A3"/>
    <w:rsid w:val="00DF0997"/>
    <w:rsid w:val="00DF0BAA"/>
    <w:rsid w:val="00DF0BB2"/>
    <w:rsid w:val="00DF0BB8"/>
    <w:rsid w:val="00DF0D3C"/>
    <w:rsid w:val="00DF0E19"/>
    <w:rsid w:val="00DF0EBC"/>
    <w:rsid w:val="00DF10C8"/>
    <w:rsid w:val="00DF111A"/>
    <w:rsid w:val="00DF120A"/>
    <w:rsid w:val="00DF1236"/>
    <w:rsid w:val="00DF1336"/>
    <w:rsid w:val="00DF141D"/>
    <w:rsid w:val="00DF141E"/>
    <w:rsid w:val="00DF1504"/>
    <w:rsid w:val="00DF15BE"/>
    <w:rsid w:val="00DF1663"/>
    <w:rsid w:val="00DF178E"/>
    <w:rsid w:val="00DF17DD"/>
    <w:rsid w:val="00DF1819"/>
    <w:rsid w:val="00DF196E"/>
    <w:rsid w:val="00DF1B03"/>
    <w:rsid w:val="00DF1B61"/>
    <w:rsid w:val="00DF1C7B"/>
    <w:rsid w:val="00DF1C96"/>
    <w:rsid w:val="00DF1CBF"/>
    <w:rsid w:val="00DF1CED"/>
    <w:rsid w:val="00DF1CFC"/>
    <w:rsid w:val="00DF1D99"/>
    <w:rsid w:val="00DF1F4E"/>
    <w:rsid w:val="00DF1F91"/>
    <w:rsid w:val="00DF2036"/>
    <w:rsid w:val="00DF21DB"/>
    <w:rsid w:val="00DF2331"/>
    <w:rsid w:val="00DF2398"/>
    <w:rsid w:val="00DF242B"/>
    <w:rsid w:val="00DF2654"/>
    <w:rsid w:val="00DF269B"/>
    <w:rsid w:val="00DF28DC"/>
    <w:rsid w:val="00DF2954"/>
    <w:rsid w:val="00DF29B2"/>
    <w:rsid w:val="00DF2A33"/>
    <w:rsid w:val="00DF2C1E"/>
    <w:rsid w:val="00DF2C24"/>
    <w:rsid w:val="00DF2CC4"/>
    <w:rsid w:val="00DF2CC6"/>
    <w:rsid w:val="00DF2F06"/>
    <w:rsid w:val="00DF309B"/>
    <w:rsid w:val="00DF330C"/>
    <w:rsid w:val="00DF33FF"/>
    <w:rsid w:val="00DF3600"/>
    <w:rsid w:val="00DF373C"/>
    <w:rsid w:val="00DF388B"/>
    <w:rsid w:val="00DF3933"/>
    <w:rsid w:val="00DF3A26"/>
    <w:rsid w:val="00DF3AA4"/>
    <w:rsid w:val="00DF3BFF"/>
    <w:rsid w:val="00DF3CDA"/>
    <w:rsid w:val="00DF3CF9"/>
    <w:rsid w:val="00DF3ED5"/>
    <w:rsid w:val="00DF3F18"/>
    <w:rsid w:val="00DF3F62"/>
    <w:rsid w:val="00DF4153"/>
    <w:rsid w:val="00DF41EC"/>
    <w:rsid w:val="00DF4300"/>
    <w:rsid w:val="00DF436D"/>
    <w:rsid w:val="00DF43FE"/>
    <w:rsid w:val="00DF444C"/>
    <w:rsid w:val="00DF45C2"/>
    <w:rsid w:val="00DF46EA"/>
    <w:rsid w:val="00DF4707"/>
    <w:rsid w:val="00DF47D0"/>
    <w:rsid w:val="00DF4955"/>
    <w:rsid w:val="00DF4A2A"/>
    <w:rsid w:val="00DF4A56"/>
    <w:rsid w:val="00DF4B12"/>
    <w:rsid w:val="00DF4CC0"/>
    <w:rsid w:val="00DF4D2C"/>
    <w:rsid w:val="00DF4FE5"/>
    <w:rsid w:val="00DF507D"/>
    <w:rsid w:val="00DF5122"/>
    <w:rsid w:val="00DF5403"/>
    <w:rsid w:val="00DF552A"/>
    <w:rsid w:val="00DF55ED"/>
    <w:rsid w:val="00DF55EE"/>
    <w:rsid w:val="00DF5717"/>
    <w:rsid w:val="00DF5884"/>
    <w:rsid w:val="00DF58BB"/>
    <w:rsid w:val="00DF58C1"/>
    <w:rsid w:val="00DF5A31"/>
    <w:rsid w:val="00DF5B23"/>
    <w:rsid w:val="00DF5BCC"/>
    <w:rsid w:val="00DF5C06"/>
    <w:rsid w:val="00DF5D64"/>
    <w:rsid w:val="00DF5D70"/>
    <w:rsid w:val="00DF5DF7"/>
    <w:rsid w:val="00DF5E77"/>
    <w:rsid w:val="00DF5ECD"/>
    <w:rsid w:val="00DF6002"/>
    <w:rsid w:val="00DF6161"/>
    <w:rsid w:val="00DF6416"/>
    <w:rsid w:val="00DF65D2"/>
    <w:rsid w:val="00DF6609"/>
    <w:rsid w:val="00DF67B3"/>
    <w:rsid w:val="00DF691B"/>
    <w:rsid w:val="00DF6966"/>
    <w:rsid w:val="00DF69AA"/>
    <w:rsid w:val="00DF69AD"/>
    <w:rsid w:val="00DF6AFA"/>
    <w:rsid w:val="00DF6C35"/>
    <w:rsid w:val="00DF6D25"/>
    <w:rsid w:val="00DF6DF8"/>
    <w:rsid w:val="00DF6E45"/>
    <w:rsid w:val="00DF6EE6"/>
    <w:rsid w:val="00DF6F19"/>
    <w:rsid w:val="00DF6F4B"/>
    <w:rsid w:val="00DF6F4E"/>
    <w:rsid w:val="00DF71EE"/>
    <w:rsid w:val="00DF71F0"/>
    <w:rsid w:val="00DF729E"/>
    <w:rsid w:val="00DF7405"/>
    <w:rsid w:val="00DF7443"/>
    <w:rsid w:val="00DF7553"/>
    <w:rsid w:val="00DF75F1"/>
    <w:rsid w:val="00DF7943"/>
    <w:rsid w:val="00DF79D5"/>
    <w:rsid w:val="00DF7C5E"/>
    <w:rsid w:val="00DF7D9A"/>
    <w:rsid w:val="00DF7DBC"/>
    <w:rsid w:val="00E0008B"/>
    <w:rsid w:val="00E001EF"/>
    <w:rsid w:val="00E002A4"/>
    <w:rsid w:val="00E002B0"/>
    <w:rsid w:val="00E0030D"/>
    <w:rsid w:val="00E00420"/>
    <w:rsid w:val="00E0042C"/>
    <w:rsid w:val="00E00458"/>
    <w:rsid w:val="00E007F4"/>
    <w:rsid w:val="00E008F7"/>
    <w:rsid w:val="00E008FA"/>
    <w:rsid w:val="00E00911"/>
    <w:rsid w:val="00E00BC2"/>
    <w:rsid w:val="00E00BC7"/>
    <w:rsid w:val="00E00C57"/>
    <w:rsid w:val="00E0157E"/>
    <w:rsid w:val="00E015DA"/>
    <w:rsid w:val="00E016AB"/>
    <w:rsid w:val="00E017C9"/>
    <w:rsid w:val="00E018AC"/>
    <w:rsid w:val="00E01972"/>
    <w:rsid w:val="00E01B43"/>
    <w:rsid w:val="00E01B48"/>
    <w:rsid w:val="00E01C55"/>
    <w:rsid w:val="00E01CD8"/>
    <w:rsid w:val="00E01CF1"/>
    <w:rsid w:val="00E01D18"/>
    <w:rsid w:val="00E01D23"/>
    <w:rsid w:val="00E01D33"/>
    <w:rsid w:val="00E01D42"/>
    <w:rsid w:val="00E01E81"/>
    <w:rsid w:val="00E01E86"/>
    <w:rsid w:val="00E01EF3"/>
    <w:rsid w:val="00E01F27"/>
    <w:rsid w:val="00E01F4F"/>
    <w:rsid w:val="00E020C3"/>
    <w:rsid w:val="00E021A2"/>
    <w:rsid w:val="00E022DD"/>
    <w:rsid w:val="00E02332"/>
    <w:rsid w:val="00E02395"/>
    <w:rsid w:val="00E024EB"/>
    <w:rsid w:val="00E026BC"/>
    <w:rsid w:val="00E02865"/>
    <w:rsid w:val="00E02E1C"/>
    <w:rsid w:val="00E02E20"/>
    <w:rsid w:val="00E02E5A"/>
    <w:rsid w:val="00E02EBD"/>
    <w:rsid w:val="00E02F84"/>
    <w:rsid w:val="00E03018"/>
    <w:rsid w:val="00E03171"/>
    <w:rsid w:val="00E031A3"/>
    <w:rsid w:val="00E03351"/>
    <w:rsid w:val="00E0346D"/>
    <w:rsid w:val="00E034A4"/>
    <w:rsid w:val="00E034F3"/>
    <w:rsid w:val="00E03706"/>
    <w:rsid w:val="00E037E7"/>
    <w:rsid w:val="00E037F8"/>
    <w:rsid w:val="00E03831"/>
    <w:rsid w:val="00E0383E"/>
    <w:rsid w:val="00E038EF"/>
    <w:rsid w:val="00E0395A"/>
    <w:rsid w:val="00E039D7"/>
    <w:rsid w:val="00E03B0D"/>
    <w:rsid w:val="00E03B10"/>
    <w:rsid w:val="00E03BE7"/>
    <w:rsid w:val="00E03BFC"/>
    <w:rsid w:val="00E03C6E"/>
    <w:rsid w:val="00E03F71"/>
    <w:rsid w:val="00E0414B"/>
    <w:rsid w:val="00E041C6"/>
    <w:rsid w:val="00E042ED"/>
    <w:rsid w:val="00E0446F"/>
    <w:rsid w:val="00E044AB"/>
    <w:rsid w:val="00E04643"/>
    <w:rsid w:val="00E0491D"/>
    <w:rsid w:val="00E04969"/>
    <w:rsid w:val="00E049A8"/>
    <w:rsid w:val="00E04DB1"/>
    <w:rsid w:val="00E05001"/>
    <w:rsid w:val="00E05113"/>
    <w:rsid w:val="00E05439"/>
    <w:rsid w:val="00E05470"/>
    <w:rsid w:val="00E0549B"/>
    <w:rsid w:val="00E055D2"/>
    <w:rsid w:val="00E05610"/>
    <w:rsid w:val="00E056D9"/>
    <w:rsid w:val="00E057B6"/>
    <w:rsid w:val="00E059D2"/>
    <w:rsid w:val="00E05B4D"/>
    <w:rsid w:val="00E05DB9"/>
    <w:rsid w:val="00E05EDD"/>
    <w:rsid w:val="00E05F6A"/>
    <w:rsid w:val="00E05F76"/>
    <w:rsid w:val="00E06165"/>
    <w:rsid w:val="00E06168"/>
    <w:rsid w:val="00E06269"/>
    <w:rsid w:val="00E0636B"/>
    <w:rsid w:val="00E0640D"/>
    <w:rsid w:val="00E0641F"/>
    <w:rsid w:val="00E064A1"/>
    <w:rsid w:val="00E06664"/>
    <w:rsid w:val="00E06665"/>
    <w:rsid w:val="00E066CB"/>
    <w:rsid w:val="00E06840"/>
    <w:rsid w:val="00E06A13"/>
    <w:rsid w:val="00E06C8A"/>
    <w:rsid w:val="00E06E16"/>
    <w:rsid w:val="00E06E19"/>
    <w:rsid w:val="00E072E7"/>
    <w:rsid w:val="00E072F9"/>
    <w:rsid w:val="00E0731B"/>
    <w:rsid w:val="00E0732D"/>
    <w:rsid w:val="00E073F4"/>
    <w:rsid w:val="00E074A2"/>
    <w:rsid w:val="00E075B4"/>
    <w:rsid w:val="00E07687"/>
    <w:rsid w:val="00E0784A"/>
    <w:rsid w:val="00E07857"/>
    <w:rsid w:val="00E078D3"/>
    <w:rsid w:val="00E079A5"/>
    <w:rsid w:val="00E07AD6"/>
    <w:rsid w:val="00E07B94"/>
    <w:rsid w:val="00E07BB0"/>
    <w:rsid w:val="00E07CAD"/>
    <w:rsid w:val="00E07CBA"/>
    <w:rsid w:val="00E07F25"/>
    <w:rsid w:val="00E10035"/>
    <w:rsid w:val="00E100B9"/>
    <w:rsid w:val="00E100F8"/>
    <w:rsid w:val="00E102BE"/>
    <w:rsid w:val="00E105C2"/>
    <w:rsid w:val="00E107DB"/>
    <w:rsid w:val="00E10BDA"/>
    <w:rsid w:val="00E10C4F"/>
    <w:rsid w:val="00E10C61"/>
    <w:rsid w:val="00E10CA0"/>
    <w:rsid w:val="00E10CB0"/>
    <w:rsid w:val="00E10E40"/>
    <w:rsid w:val="00E10E6C"/>
    <w:rsid w:val="00E10F19"/>
    <w:rsid w:val="00E10F30"/>
    <w:rsid w:val="00E10F83"/>
    <w:rsid w:val="00E11006"/>
    <w:rsid w:val="00E1103D"/>
    <w:rsid w:val="00E1110D"/>
    <w:rsid w:val="00E1120A"/>
    <w:rsid w:val="00E112CA"/>
    <w:rsid w:val="00E11375"/>
    <w:rsid w:val="00E113AE"/>
    <w:rsid w:val="00E113C6"/>
    <w:rsid w:val="00E1152C"/>
    <w:rsid w:val="00E11552"/>
    <w:rsid w:val="00E11585"/>
    <w:rsid w:val="00E11630"/>
    <w:rsid w:val="00E11647"/>
    <w:rsid w:val="00E116C6"/>
    <w:rsid w:val="00E117CF"/>
    <w:rsid w:val="00E119B9"/>
    <w:rsid w:val="00E119CA"/>
    <w:rsid w:val="00E11AD9"/>
    <w:rsid w:val="00E11BC4"/>
    <w:rsid w:val="00E11BC7"/>
    <w:rsid w:val="00E11BE1"/>
    <w:rsid w:val="00E11CDF"/>
    <w:rsid w:val="00E11D9E"/>
    <w:rsid w:val="00E11FF1"/>
    <w:rsid w:val="00E11FF7"/>
    <w:rsid w:val="00E1205E"/>
    <w:rsid w:val="00E12091"/>
    <w:rsid w:val="00E12151"/>
    <w:rsid w:val="00E12167"/>
    <w:rsid w:val="00E12191"/>
    <w:rsid w:val="00E1241E"/>
    <w:rsid w:val="00E1246C"/>
    <w:rsid w:val="00E12472"/>
    <w:rsid w:val="00E124D6"/>
    <w:rsid w:val="00E12517"/>
    <w:rsid w:val="00E12A15"/>
    <w:rsid w:val="00E12A8F"/>
    <w:rsid w:val="00E12CDF"/>
    <w:rsid w:val="00E12DB7"/>
    <w:rsid w:val="00E12E01"/>
    <w:rsid w:val="00E12E78"/>
    <w:rsid w:val="00E12FFF"/>
    <w:rsid w:val="00E130FF"/>
    <w:rsid w:val="00E131E8"/>
    <w:rsid w:val="00E13348"/>
    <w:rsid w:val="00E13366"/>
    <w:rsid w:val="00E133EB"/>
    <w:rsid w:val="00E1348D"/>
    <w:rsid w:val="00E13547"/>
    <w:rsid w:val="00E135BE"/>
    <w:rsid w:val="00E138AB"/>
    <w:rsid w:val="00E1393C"/>
    <w:rsid w:val="00E13BD9"/>
    <w:rsid w:val="00E13C00"/>
    <w:rsid w:val="00E13C68"/>
    <w:rsid w:val="00E13CF2"/>
    <w:rsid w:val="00E13E22"/>
    <w:rsid w:val="00E13E24"/>
    <w:rsid w:val="00E13F3F"/>
    <w:rsid w:val="00E1405F"/>
    <w:rsid w:val="00E14098"/>
    <w:rsid w:val="00E140FF"/>
    <w:rsid w:val="00E14139"/>
    <w:rsid w:val="00E141D3"/>
    <w:rsid w:val="00E14513"/>
    <w:rsid w:val="00E1454B"/>
    <w:rsid w:val="00E14627"/>
    <w:rsid w:val="00E14951"/>
    <w:rsid w:val="00E14AA6"/>
    <w:rsid w:val="00E14B31"/>
    <w:rsid w:val="00E14B76"/>
    <w:rsid w:val="00E14BEA"/>
    <w:rsid w:val="00E14CBF"/>
    <w:rsid w:val="00E14D39"/>
    <w:rsid w:val="00E14F35"/>
    <w:rsid w:val="00E15109"/>
    <w:rsid w:val="00E152AF"/>
    <w:rsid w:val="00E152EC"/>
    <w:rsid w:val="00E155F9"/>
    <w:rsid w:val="00E157BE"/>
    <w:rsid w:val="00E15841"/>
    <w:rsid w:val="00E1588B"/>
    <w:rsid w:val="00E159CC"/>
    <w:rsid w:val="00E15ACF"/>
    <w:rsid w:val="00E15B2E"/>
    <w:rsid w:val="00E15D6D"/>
    <w:rsid w:val="00E15E5F"/>
    <w:rsid w:val="00E1605E"/>
    <w:rsid w:val="00E1623F"/>
    <w:rsid w:val="00E162D3"/>
    <w:rsid w:val="00E1631B"/>
    <w:rsid w:val="00E164C8"/>
    <w:rsid w:val="00E16652"/>
    <w:rsid w:val="00E1669D"/>
    <w:rsid w:val="00E167DD"/>
    <w:rsid w:val="00E16816"/>
    <w:rsid w:val="00E16826"/>
    <w:rsid w:val="00E168ED"/>
    <w:rsid w:val="00E16B2E"/>
    <w:rsid w:val="00E16B7F"/>
    <w:rsid w:val="00E16BA6"/>
    <w:rsid w:val="00E16CA9"/>
    <w:rsid w:val="00E16D79"/>
    <w:rsid w:val="00E16DAE"/>
    <w:rsid w:val="00E16E21"/>
    <w:rsid w:val="00E16E26"/>
    <w:rsid w:val="00E16FF2"/>
    <w:rsid w:val="00E1700A"/>
    <w:rsid w:val="00E17040"/>
    <w:rsid w:val="00E1708D"/>
    <w:rsid w:val="00E170F8"/>
    <w:rsid w:val="00E1713F"/>
    <w:rsid w:val="00E1718F"/>
    <w:rsid w:val="00E171F4"/>
    <w:rsid w:val="00E1744D"/>
    <w:rsid w:val="00E17541"/>
    <w:rsid w:val="00E17806"/>
    <w:rsid w:val="00E17868"/>
    <w:rsid w:val="00E17A4E"/>
    <w:rsid w:val="00E17BDB"/>
    <w:rsid w:val="00E17D0C"/>
    <w:rsid w:val="00E17D63"/>
    <w:rsid w:val="00E17F5E"/>
    <w:rsid w:val="00E17FDB"/>
    <w:rsid w:val="00E200E8"/>
    <w:rsid w:val="00E200F6"/>
    <w:rsid w:val="00E20138"/>
    <w:rsid w:val="00E2023E"/>
    <w:rsid w:val="00E20279"/>
    <w:rsid w:val="00E202E1"/>
    <w:rsid w:val="00E203BD"/>
    <w:rsid w:val="00E20492"/>
    <w:rsid w:val="00E204A5"/>
    <w:rsid w:val="00E204F3"/>
    <w:rsid w:val="00E2055C"/>
    <w:rsid w:val="00E2066C"/>
    <w:rsid w:val="00E20686"/>
    <w:rsid w:val="00E206D7"/>
    <w:rsid w:val="00E20760"/>
    <w:rsid w:val="00E207A7"/>
    <w:rsid w:val="00E207BC"/>
    <w:rsid w:val="00E207EF"/>
    <w:rsid w:val="00E20A12"/>
    <w:rsid w:val="00E20AC6"/>
    <w:rsid w:val="00E20AFF"/>
    <w:rsid w:val="00E20B64"/>
    <w:rsid w:val="00E20DE3"/>
    <w:rsid w:val="00E20FA0"/>
    <w:rsid w:val="00E20FB5"/>
    <w:rsid w:val="00E20FCC"/>
    <w:rsid w:val="00E21086"/>
    <w:rsid w:val="00E210A9"/>
    <w:rsid w:val="00E21109"/>
    <w:rsid w:val="00E21207"/>
    <w:rsid w:val="00E217F3"/>
    <w:rsid w:val="00E2182F"/>
    <w:rsid w:val="00E21866"/>
    <w:rsid w:val="00E218B9"/>
    <w:rsid w:val="00E218DC"/>
    <w:rsid w:val="00E21B80"/>
    <w:rsid w:val="00E21C5F"/>
    <w:rsid w:val="00E21D4E"/>
    <w:rsid w:val="00E21D6C"/>
    <w:rsid w:val="00E21F6F"/>
    <w:rsid w:val="00E21FBB"/>
    <w:rsid w:val="00E2215C"/>
    <w:rsid w:val="00E22354"/>
    <w:rsid w:val="00E22417"/>
    <w:rsid w:val="00E226B8"/>
    <w:rsid w:val="00E226D4"/>
    <w:rsid w:val="00E2277D"/>
    <w:rsid w:val="00E2285B"/>
    <w:rsid w:val="00E228DA"/>
    <w:rsid w:val="00E22ADF"/>
    <w:rsid w:val="00E22B26"/>
    <w:rsid w:val="00E22C24"/>
    <w:rsid w:val="00E22CD0"/>
    <w:rsid w:val="00E22D6A"/>
    <w:rsid w:val="00E23061"/>
    <w:rsid w:val="00E23084"/>
    <w:rsid w:val="00E23197"/>
    <w:rsid w:val="00E231C9"/>
    <w:rsid w:val="00E231D7"/>
    <w:rsid w:val="00E2324B"/>
    <w:rsid w:val="00E2329D"/>
    <w:rsid w:val="00E232F5"/>
    <w:rsid w:val="00E23608"/>
    <w:rsid w:val="00E2361D"/>
    <w:rsid w:val="00E23645"/>
    <w:rsid w:val="00E23733"/>
    <w:rsid w:val="00E2373E"/>
    <w:rsid w:val="00E23742"/>
    <w:rsid w:val="00E237D4"/>
    <w:rsid w:val="00E23802"/>
    <w:rsid w:val="00E23B20"/>
    <w:rsid w:val="00E23BB2"/>
    <w:rsid w:val="00E23F2D"/>
    <w:rsid w:val="00E23F36"/>
    <w:rsid w:val="00E240F0"/>
    <w:rsid w:val="00E241B1"/>
    <w:rsid w:val="00E24290"/>
    <w:rsid w:val="00E243A6"/>
    <w:rsid w:val="00E244CF"/>
    <w:rsid w:val="00E24817"/>
    <w:rsid w:val="00E24819"/>
    <w:rsid w:val="00E248BB"/>
    <w:rsid w:val="00E249CB"/>
    <w:rsid w:val="00E249E4"/>
    <w:rsid w:val="00E24BA0"/>
    <w:rsid w:val="00E24D92"/>
    <w:rsid w:val="00E24E06"/>
    <w:rsid w:val="00E24E46"/>
    <w:rsid w:val="00E24E83"/>
    <w:rsid w:val="00E24F35"/>
    <w:rsid w:val="00E24F4D"/>
    <w:rsid w:val="00E24F6A"/>
    <w:rsid w:val="00E24FF3"/>
    <w:rsid w:val="00E25056"/>
    <w:rsid w:val="00E25102"/>
    <w:rsid w:val="00E251FD"/>
    <w:rsid w:val="00E25391"/>
    <w:rsid w:val="00E25545"/>
    <w:rsid w:val="00E255D7"/>
    <w:rsid w:val="00E2565C"/>
    <w:rsid w:val="00E25682"/>
    <w:rsid w:val="00E25754"/>
    <w:rsid w:val="00E25776"/>
    <w:rsid w:val="00E25847"/>
    <w:rsid w:val="00E2589C"/>
    <w:rsid w:val="00E258D1"/>
    <w:rsid w:val="00E258FA"/>
    <w:rsid w:val="00E25A24"/>
    <w:rsid w:val="00E25ABE"/>
    <w:rsid w:val="00E25B33"/>
    <w:rsid w:val="00E25BF3"/>
    <w:rsid w:val="00E25DF0"/>
    <w:rsid w:val="00E25FF8"/>
    <w:rsid w:val="00E26206"/>
    <w:rsid w:val="00E2627A"/>
    <w:rsid w:val="00E263FA"/>
    <w:rsid w:val="00E2660F"/>
    <w:rsid w:val="00E26618"/>
    <w:rsid w:val="00E2669C"/>
    <w:rsid w:val="00E267F4"/>
    <w:rsid w:val="00E2690F"/>
    <w:rsid w:val="00E26A4A"/>
    <w:rsid w:val="00E26A8C"/>
    <w:rsid w:val="00E26C0D"/>
    <w:rsid w:val="00E26E6C"/>
    <w:rsid w:val="00E26F3D"/>
    <w:rsid w:val="00E26FC1"/>
    <w:rsid w:val="00E270C8"/>
    <w:rsid w:val="00E271BE"/>
    <w:rsid w:val="00E27284"/>
    <w:rsid w:val="00E272F5"/>
    <w:rsid w:val="00E274A7"/>
    <w:rsid w:val="00E279DC"/>
    <w:rsid w:val="00E27A3E"/>
    <w:rsid w:val="00E27AE5"/>
    <w:rsid w:val="00E27BA2"/>
    <w:rsid w:val="00E27D16"/>
    <w:rsid w:val="00E27D8D"/>
    <w:rsid w:val="00E27DD3"/>
    <w:rsid w:val="00E27F17"/>
    <w:rsid w:val="00E27F3A"/>
    <w:rsid w:val="00E300AF"/>
    <w:rsid w:val="00E300CC"/>
    <w:rsid w:val="00E30277"/>
    <w:rsid w:val="00E304F5"/>
    <w:rsid w:val="00E3054C"/>
    <w:rsid w:val="00E30744"/>
    <w:rsid w:val="00E30782"/>
    <w:rsid w:val="00E30A94"/>
    <w:rsid w:val="00E30A95"/>
    <w:rsid w:val="00E30D5B"/>
    <w:rsid w:val="00E30E57"/>
    <w:rsid w:val="00E30E63"/>
    <w:rsid w:val="00E30EFD"/>
    <w:rsid w:val="00E30F8B"/>
    <w:rsid w:val="00E31135"/>
    <w:rsid w:val="00E31191"/>
    <w:rsid w:val="00E312D4"/>
    <w:rsid w:val="00E3165C"/>
    <w:rsid w:val="00E31678"/>
    <w:rsid w:val="00E3175C"/>
    <w:rsid w:val="00E3176A"/>
    <w:rsid w:val="00E31A53"/>
    <w:rsid w:val="00E31B68"/>
    <w:rsid w:val="00E31DC5"/>
    <w:rsid w:val="00E31DF3"/>
    <w:rsid w:val="00E31E92"/>
    <w:rsid w:val="00E31ECB"/>
    <w:rsid w:val="00E31ECE"/>
    <w:rsid w:val="00E31F11"/>
    <w:rsid w:val="00E3200A"/>
    <w:rsid w:val="00E320AD"/>
    <w:rsid w:val="00E321B2"/>
    <w:rsid w:val="00E3221F"/>
    <w:rsid w:val="00E32346"/>
    <w:rsid w:val="00E32433"/>
    <w:rsid w:val="00E32446"/>
    <w:rsid w:val="00E32461"/>
    <w:rsid w:val="00E324F8"/>
    <w:rsid w:val="00E32580"/>
    <w:rsid w:val="00E32773"/>
    <w:rsid w:val="00E327CA"/>
    <w:rsid w:val="00E32CED"/>
    <w:rsid w:val="00E32E3D"/>
    <w:rsid w:val="00E33022"/>
    <w:rsid w:val="00E3308B"/>
    <w:rsid w:val="00E3312C"/>
    <w:rsid w:val="00E333B1"/>
    <w:rsid w:val="00E3341B"/>
    <w:rsid w:val="00E33426"/>
    <w:rsid w:val="00E33520"/>
    <w:rsid w:val="00E335C0"/>
    <w:rsid w:val="00E33606"/>
    <w:rsid w:val="00E33829"/>
    <w:rsid w:val="00E338A6"/>
    <w:rsid w:val="00E339B7"/>
    <w:rsid w:val="00E339D8"/>
    <w:rsid w:val="00E339E2"/>
    <w:rsid w:val="00E33B41"/>
    <w:rsid w:val="00E33D4C"/>
    <w:rsid w:val="00E33D4E"/>
    <w:rsid w:val="00E33DCF"/>
    <w:rsid w:val="00E33DE7"/>
    <w:rsid w:val="00E33E30"/>
    <w:rsid w:val="00E33F77"/>
    <w:rsid w:val="00E3407D"/>
    <w:rsid w:val="00E34120"/>
    <w:rsid w:val="00E3421A"/>
    <w:rsid w:val="00E3422D"/>
    <w:rsid w:val="00E34369"/>
    <w:rsid w:val="00E34468"/>
    <w:rsid w:val="00E3454D"/>
    <w:rsid w:val="00E346E2"/>
    <w:rsid w:val="00E34716"/>
    <w:rsid w:val="00E34928"/>
    <w:rsid w:val="00E349D9"/>
    <w:rsid w:val="00E349DD"/>
    <w:rsid w:val="00E34CA5"/>
    <w:rsid w:val="00E34E75"/>
    <w:rsid w:val="00E34F97"/>
    <w:rsid w:val="00E34FBA"/>
    <w:rsid w:val="00E34FC9"/>
    <w:rsid w:val="00E35001"/>
    <w:rsid w:val="00E35115"/>
    <w:rsid w:val="00E35242"/>
    <w:rsid w:val="00E35289"/>
    <w:rsid w:val="00E353AF"/>
    <w:rsid w:val="00E353B5"/>
    <w:rsid w:val="00E35433"/>
    <w:rsid w:val="00E354D3"/>
    <w:rsid w:val="00E3551F"/>
    <w:rsid w:val="00E356FC"/>
    <w:rsid w:val="00E35850"/>
    <w:rsid w:val="00E358D7"/>
    <w:rsid w:val="00E35A7E"/>
    <w:rsid w:val="00E35AE8"/>
    <w:rsid w:val="00E35AF8"/>
    <w:rsid w:val="00E35B03"/>
    <w:rsid w:val="00E35B16"/>
    <w:rsid w:val="00E35B28"/>
    <w:rsid w:val="00E35C42"/>
    <w:rsid w:val="00E35E3C"/>
    <w:rsid w:val="00E35F03"/>
    <w:rsid w:val="00E35FC8"/>
    <w:rsid w:val="00E36153"/>
    <w:rsid w:val="00E361FC"/>
    <w:rsid w:val="00E3622E"/>
    <w:rsid w:val="00E36265"/>
    <w:rsid w:val="00E36287"/>
    <w:rsid w:val="00E363B3"/>
    <w:rsid w:val="00E36591"/>
    <w:rsid w:val="00E36633"/>
    <w:rsid w:val="00E366C8"/>
    <w:rsid w:val="00E36836"/>
    <w:rsid w:val="00E368B0"/>
    <w:rsid w:val="00E36B1F"/>
    <w:rsid w:val="00E36D8F"/>
    <w:rsid w:val="00E36F3F"/>
    <w:rsid w:val="00E36F64"/>
    <w:rsid w:val="00E370A9"/>
    <w:rsid w:val="00E3711A"/>
    <w:rsid w:val="00E372EC"/>
    <w:rsid w:val="00E37314"/>
    <w:rsid w:val="00E373A3"/>
    <w:rsid w:val="00E3744A"/>
    <w:rsid w:val="00E3749D"/>
    <w:rsid w:val="00E37660"/>
    <w:rsid w:val="00E37856"/>
    <w:rsid w:val="00E37A59"/>
    <w:rsid w:val="00E37B8D"/>
    <w:rsid w:val="00E37BCE"/>
    <w:rsid w:val="00E37CE8"/>
    <w:rsid w:val="00E37F0E"/>
    <w:rsid w:val="00E37F50"/>
    <w:rsid w:val="00E40247"/>
    <w:rsid w:val="00E40290"/>
    <w:rsid w:val="00E402E2"/>
    <w:rsid w:val="00E4052E"/>
    <w:rsid w:val="00E40813"/>
    <w:rsid w:val="00E40926"/>
    <w:rsid w:val="00E40ABC"/>
    <w:rsid w:val="00E40AE6"/>
    <w:rsid w:val="00E40AF8"/>
    <w:rsid w:val="00E40BFE"/>
    <w:rsid w:val="00E40C08"/>
    <w:rsid w:val="00E40C27"/>
    <w:rsid w:val="00E40C32"/>
    <w:rsid w:val="00E40E64"/>
    <w:rsid w:val="00E40F21"/>
    <w:rsid w:val="00E4117E"/>
    <w:rsid w:val="00E4129F"/>
    <w:rsid w:val="00E413A3"/>
    <w:rsid w:val="00E413CD"/>
    <w:rsid w:val="00E413F9"/>
    <w:rsid w:val="00E41444"/>
    <w:rsid w:val="00E414C0"/>
    <w:rsid w:val="00E4155A"/>
    <w:rsid w:val="00E415DE"/>
    <w:rsid w:val="00E41603"/>
    <w:rsid w:val="00E4173D"/>
    <w:rsid w:val="00E4197F"/>
    <w:rsid w:val="00E419EE"/>
    <w:rsid w:val="00E41C5E"/>
    <w:rsid w:val="00E41DFB"/>
    <w:rsid w:val="00E41E4F"/>
    <w:rsid w:val="00E41E78"/>
    <w:rsid w:val="00E41E9F"/>
    <w:rsid w:val="00E4206B"/>
    <w:rsid w:val="00E4208A"/>
    <w:rsid w:val="00E420E5"/>
    <w:rsid w:val="00E42196"/>
    <w:rsid w:val="00E421F2"/>
    <w:rsid w:val="00E422C1"/>
    <w:rsid w:val="00E42335"/>
    <w:rsid w:val="00E4239B"/>
    <w:rsid w:val="00E424A6"/>
    <w:rsid w:val="00E424C4"/>
    <w:rsid w:val="00E425B1"/>
    <w:rsid w:val="00E42603"/>
    <w:rsid w:val="00E42620"/>
    <w:rsid w:val="00E42647"/>
    <w:rsid w:val="00E428C1"/>
    <w:rsid w:val="00E42AED"/>
    <w:rsid w:val="00E42BF9"/>
    <w:rsid w:val="00E42C40"/>
    <w:rsid w:val="00E42C95"/>
    <w:rsid w:val="00E42D37"/>
    <w:rsid w:val="00E42E2D"/>
    <w:rsid w:val="00E435A2"/>
    <w:rsid w:val="00E43631"/>
    <w:rsid w:val="00E4365D"/>
    <w:rsid w:val="00E436AB"/>
    <w:rsid w:val="00E43855"/>
    <w:rsid w:val="00E43879"/>
    <w:rsid w:val="00E439B9"/>
    <w:rsid w:val="00E43A99"/>
    <w:rsid w:val="00E43AF7"/>
    <w:rsid w:val="00E43B21"/>
    <w:rsid w:val="00E43B41"/>
    <w:rsid w:val="00E43B81"/>
    <w:rsid w:val="00E43D82"/>
    <w:rsid w:val="00E43DC7"/>
    <w:rsid w:val="00E43F48"/>
    <w:rsid w:val="00E43F73"/>
    <w:rsid w:val="00E43FD5"/>
    <w:rsid w:val="00E44031"/>
    <w:rsid w:val="00E440D1"/>
    <w:rsid w:val="00E440FD"/>
    <w:rsid w:val="00E4421F"/>
    <w:rsid w:val="00E4428E"/>
    <w:rsid w:val="00E44344"/>
    <w:rsid w:val="00E443E0"/>
    <w:rsid w:val="00E44605"/>
    <w:rsid w:val="00E446E0"/>
    <w:rsid w:val="00E447B1"/>
    <w:rsid w:val="00E44A23"/>
    <w:rsid w:val="00E44B1D"/>
    <w:rsid w:val="00E44B21"/>
    <w:rsid w:val="00E44CAC"/>
    <w:rsid w:val="00E44E1D"/>
    <w:rsid w:val="00E44E25"/>
    <w:rsid w:val="00E44E44"/>
    <w:rsid w:val="00E44FB0"/>
    <w:rsid w:val="00E45205"/>
    <w:rsid w:val="00E452F5"/>
    <w:rsid w:val="00E45454"/>
    <w:rsid w:val="00E4549D"/>
    <w:rsid w:val="00E455A0"/>
    <w:rsid w:val="00E4568A"/>
    <w:rsid w:val="00E456F3"/>
    <w:rsid w:val="00E4577F"/>
    <w:rsid w:val="00E4578D"/>
    <w:rsid w:val="00E459C0"/>
    <w:rsid w:val="00E45A72"/>
    <w:rsid w:val="00E45B48"/>
    <w:rsid w:val="00E45EBD"/>
    <w:rsid w:val="00E45F46"/>
    <w:rsid w:val="00E4617B"/>
    <w:rsid w:val="00E4628B"/>
    <w:rsid w:val="00E462EE"/>
    <w:rsid w:val="00E46321"/>
    <w:rsid w:val="00E4650C"/>
    <w:rsid w:val="00E4653F"/>
    <w:rsid w:val="00E46561"/>
    <w:rsid w:val="00E4663C"/>
    <w:rsid w:val="00E4676A"/>
    <w:rsid w:val="00E46788"/>
    <w:rsid w:val="00E4695C"/>
    <w:rsid w:val="00E469B7"/>
    <w:rsid w:val="00E46A7B"/>
    <w:rsid w:val="00E46E46"/>
    <w:rsid w:val="00E46EB6"/>
    <w:rsid w:val="00E46EF8"/>
    <w:rsid w:val="00E46FE9"/>
    <w:rsid w:val="00E47051"/>
    <w:rsid w:val="00E471E9"/>
    <w:rsid w:val="00E4733B"/>
    <w:rsid w:val="00E473A0"/>
    <w:rsid w:val="00E474E8"/>
    <w:rsid w:val="00E4755A"/>
    <w:rsid w:val="00E476F4"/>
    <w:rsid w:val="00E47B2E"/>
    <w:rsid w:val="00E47C41"/>
    <w:rsid w:val="00E47D06"/>
    <w:rsid w:val="00E47D41"/>
    <w:rsid w:val="00E47DA7"/>
    <w:rsid w:val="00E47E01"/>
    <w:rsid w:val="00E47EBE"/>
    <w:rsid w:val="00E47EE8"/>
    <w:rsid w:val="00E500C4"/>
    <w:rsid w:val="00E503E2"/>
    <w:rsid w:val="00E506BD"/>
    <w:rsid w:val="00E50748"/>
    <w:rsid w:val="00E50902"/>
    <w:rsid w:val="00E50979"/>
    <w:rsid w:val="00E50B21"/>
    <w:rsid w:val="00E50B7C"/>
    <w:rsid w:val="00E50C99"/>
    <w:rsid w:val="00E50D14"/>
    <w:rsid w:val="00E50DDB"/>
    <w:rsid w:val="00E51074"/>
    <w:rsid w:val="00E510DA"/>
    <w:rsid w:val="00E511EC"/>
    <w:rsid w:val="00E51473"/>
    <w:rsid w:val="00E515F5"/>
    <w:rsid w:val="00E5175F"/>
    <w:rsid w:val="00E5184A"/>
    <w:rsid w:val="00E518DB"/>
    <w:rsid w:val="00E5197B"/>
    <w:rsid w:val="00E5199E"/>
    <w:rsid w:val="00E51A47"/>
    <w:rsid w:val="00E51B52"/>
    <w:rsid w:val="00E51B9B"/>
    <w:rsid w:val="00E51CE7"/>
    <w:rsid w:val="00E51EBB"/>
    <w:rsid w:val="00E51ED9"/>
    <w:rsid w:val="00E51F3F"/>
    <w:rsid w:val="00E5212C"/>
    <w:rsid w:val="00E5215B"/>
    <w:rsid w:val="00E521E8"/>
    <w:rsid w:val="00E521EE"/>
    <w:rsid w:val="00E5239F"/>
    <w:rsid w:val="00E52476"/>
    <w:rsid w:val="00E52480"/>
    <w:rsid w:val="00E52526"/>
    <w:rsid w:val="00E526FE"/>
    <w:rsid w:val="00E52773"/>
    <w:rsid w:val="00E527CD"/>
    <w:rsid w:val="00E52826"/>
    <w:rsid w:val="00E52967"/>
    <w:rsid w:val="00E52B0E"/>
    <w:rsid w:val="00E52CA1"/>
    <w:rsid w:val="00E52CA4"/>
    <w:rsid w:val="00E52CE7"/>
    <w:rsid w:val="00E52EB9"/>
    <w:rsid w:val="00E52EF3"/>
    <w:rsid w:val="00E52F14"/>
    <w:rsid w:val="00E5300E"/>
    <w:rsid w:val="00E53170"/>
    <w:rsid w:val="00E53659"/>
    <w:rsid w:val="00E536BD"/>
    <w:rsid w:val="00E53837"/>
    <w:rsid w:val="00E5385B"/>
    <w:rsid w:val="00E53BBF"/>
    <w:rsid w:val="00E53C3F"/>
    <w:rsid w:val="00E53D11"/>
    <w:rsid w:val="00E53F09"/>
    <w:rsid w:val="00E53FA2"/>
    <w:rsid w:val="00E54012"/>
    <w:rsid w:val="00E54059"/>
    <w:rsid w:val="00E540FF"/>
    <w:rsid w:val="00E54163"/>
    <w:rsid w:val="00E5420D"/>
    <w:rsid w:val="00E5420F"/>
    <w:rsid w:val="00E54462"/>
    <w:rsid w:val="00E545A0"/>
    <w:rsid w:val="00E545D6"/>
    <w:rsid w:val="00E545FE"/>
    <w:rsid w:val="00E546E6"/>
    <w:rsid w:val="00E54799"/>
    <w:rsid w:val="00E547F0"/>
    <w:rsid w:val="00E54838"/>
    <w:rsid w:val="00E54911"/>
    <w:rsid w:val="00E549FF"/>
    <w:rsid w:val="00E54B2E"/>
    <w:rsid w:val="00E54BCB"/>
    <w:rsid w:val="00E54C8E"/>
    <w:rsid w:val="00E54CD3"/>
    <w:rsid w:val="00E54EC2"/>
    <w:rsid w:val="00E54F3F"/>
    <w:rsid w:val="00E54F87"/>
    <w:rsid w:val="00E55063"/>
    <w:rsid w:val="00E551B0"/>
    <w:rsid w:val="00E55219"/>
    <w:rsid w:val="00E5527A"/>
    <w:rsid w:val="00E55334"/>
    <w:rsid w:val="00E5534D"/>
    <w:rsid w:val="00E554C5"/>
    <w:rsid w:val="00E554D8"/>
    <w:rsid w:val="00E555C7"/>
    <w:rsid w:val="00E555DE"/>
    <w:rsid w:val="00E556AB"/>
    <w:rsid w:val="00E5585E"/>
    <w:rsid w:val="00E55860"/>
    <w:rsid w:val="00E55A11"/>
    <w:rsid w:val="00E55A9A"/>
    <w:rsid w:val="00E55C1B"/>
    <w:rsid w:val="00E55CDE"/>
    <w:rsid w:val="00E55EB2"/>
    <w:rsid w:val="00E56126"/>
    <w:rsid w:val="00E5623B"/>
    <w:rsid w:val="00E56246"/>
    <w:rsid w:val="00E5626A"/>
    <w:rsid w:val="00E5629D"/>
    <w:rsid w:val="00E563CF"/>
    <w:rsid w:val="00E563DD"/>
    <w:rsid w:val="00E5647F"/>
    <w:rsid w:val="00E56480"/>
    <w:rsid w:val="00E56511"/>
    <w:rsid w:val="00E565E8"/>
    <w:rsid w:val="00E565F1"/>
    <w:rsid w:val="00E5663B"/>
    <w:rsid w:val="00E56690"/>
    <w:rsid w:val="00E567B5"/>
    <w:rsid w:val="00E56A66"/>
    <w:rsid w:val="00E56B3C"/>
    <w:rsid w:val="00E56BFF"/>
    <w:rsid w:val="00E56D8A"/>
    <w:rsid w:val="00E56E21"/>
    <w:rsid w:val="00E56F5A"/>
    <w:rsid w:val="00E56FF1"/>
    <w:rsid w:val="00E5702F"/>
    <w:rsid w:val="00E57137"/>
    <w:rsid w:val="00E5728B"/>
    <w:rsid w:val="00E574A2"/>
    <w:rsid w:val="00E5767F"/>
    <w:rsid w:val="00E57951"/>
    <w:rsid w:val="00E579DD"/>
    <w:rsid w:val="00E57A05"/>
    <w:rsid w:val="00E57A34"/>
    <w:rsid w:val="00E57BB0"/>
    <w:rsid w:val="00E57C23"/>
    <w:rsid w:val="00E57C55"/>
    <w:rsid w:val="00E57D88"/>
    <w:rsid w:val="00E57DDE"/>
    <w:rsid w:val="00E57DE0"/>
    <w:rsid w:val="00E57E5F"/>
    <w:rsid w:val="00E57E8A"/>
    <w:rsid w:val="00E57EDF"/>
    <w:rsid w:val="00E600ED"/>
    <w:rsid w:val="00E60502"/>
    <w:rsid w:val="00E60512"/>
    <w:rsid w:val="00E60648"/>
    <w:rsid w:val="00E6098A"/>
    <w:rsid w:val="00E609A5"/>
    <w:rsid w:val="00E609B3"/>
    <w:rsid w:val="00E609CC"/>
    <w:rsid w:val="00E60AEB"/>
    <w:rsid w:val="00E60B42"/>
    <w:rsid w:val="00E60D92"/>
    <w:rsid w:val="00E60E63"/>
    <w:rsid w:val="00E60F20"/>
    <w:rsid w:val="00E60F2D"/>
    <w:rsid w:val="00E60F48"/>
    <w:rsid w:val="00E60FC7"/>
    <w:rsid w:val="00E61055"/>
    <w:rsid w:val="00E61110"/>
    <w:rsid w:val="00E61155"/>
    <w:rsid w:val="00E61277"/>
    <w:rsid w:val="00E61287"/>
    <w:rsid w:val="00E61297"/>
    <w:rsid w:val="00E61375"/>
    <w:rsid w:val="00E61543"/>
    <w:rsid w:val="00E61634"/>
    <w:rsid w:val="00E61680"/>
    <w:rsid w:val="00E61731"/>
    <w:rsid w:val="00E6174E"/>
    <w:rsid w:val="00E61850"/>
    <w:rsid w:val="00E61881"/>
    <w:rsid w:val="00E6197B"/>
    <w:rsid w:val="00E61C79"/>
    <w:rsid w:val="00E61CC4"/>
    <w:rsid w:val="00E61CDC"/>
    <w:rsid w:val="00E61F63"/>
    <w:rsid w:val="00E61FFD"/>
    <w:rsid w:val="00E621D2"/>
    <w:rsid w:val="00E621DE"/>
    <w:rsid w:val="00E62413"/>
    <w:rsid w:val="00E624C3"/>
    <w:rsid w:val="00E62576"/>
    <w:rsid w:val="00E625EC"/>
    <w:rsid w:val="00E62725"/>
    <w:rsid w:val="00E62769"/>
    <w:rsid w:val="00E627AC"/>
    <w:rsid w:val="00E62B2A"/>
    <w:rsid w:val="00E62D56"/>
    <w:rsid w:val="00E62E43"/>
    <w:rsid w:val="00E62E9D"/>
    <w:rsid w:val="00E632D4"/>
    <w:rsid w:val="00E6341D"/>
    <w:rsid w:val="00E634C8"/>
    <w:rsid w:val="00E63500"/>
    <w:rsid w:val="00E63506"/>
    <w:rsid w:val="00E6352B"/>
    <w:rsid w:val="00E636C9"/>
    <w:rsid w:val="00E63739"/>
    <w:rsid w:val="00E63847"/>
    <w:rsid w:val="00E63932"/>
    <w:rsid w:val="00E63967"/>
    <w:rsid w:val="00E63A74"/>
    <w:rsid w:val="00E63B94"/>
    <w:rsid w:val="00E63BBB"/>
    <w:rsid w:val="00E63BE7"/>
    <w:rsid w:val="00E63DD2"/>
    <w:rsid w:val="00E63E4A"/>
    <w:rsid w:val="00E63E75"/>
    <w:rsid w:val="00E6410A"/>
    <w:rsid w:val="00E64210"/>
    <w:rsid w:val="00E6434C"/>
    <w:rsid w:val="00E643B0"/>
    <w:rsid w:val="00E644FA"/>
    <w:rsid w:val="00E64534"/>
    <w:rsid w:val="00E646E3"/>
    <w:rsid w:val="00E64880"/>
    <w:rsid w:val="00E6496D"/>
    <w:rsid w:val="00E649D4"/>
    <w:rsid w:val="00E649F9"/>
    <w:rsid w:val="00E64C91"/>
    <w:rsid w:val="00E64CF5"/>
    <w:rsid w:val="00E64F7F"/>
    <w:rsid w:val="00E650A9"/>
    <w:rsid w:val="00E65251"/>
    <w:rsid w:val="00E6528D"/>
    <w:rsid w:val="00E6541C"/>
    <w:rsid w:val="00E6555B"/>
    <w:rsid w:val="00E655A3"/>
    <w:rsid w:val="00E655F1"/>
    <w:rsid w:val="00E657A5"/>
    <w:rsid w:val="00E65A94"/>
    <w:rsid w:val="00E65ACB"/>
    <w:rsid w:val="00E65C88"/>
    <w:rsid w:val="00E65D3C"/>
    <w:rsid w:val="00E65D8A"/>
    <w:rsid w:val="00E65DD9"/>
    <w:rsid w:val="00E65E53"/>
    <w:rsid w:val="00E65E5D"/>
    <w:rsid w:val="00E65F03"/>
    <w:rsid w:val="00E65F23"/>
    <w:rsid w:val="00E65F2A"/>
    <w:rsid w:val="00E65F37"/>
    <w:rsid w:val="00E65FB5"/>
    <w:rsid w:val="00E660C1"/>
    <w:rsid w:val="00E660CD"/>
    <w:rsid w:val="00E66153"/>
    <w:rsid w:val="00E663A0"/>
    <w:rsid w:val="00E6666C"/>
    <w:rsid w:val="00E668B6"/>
    <w:rsid w:val="00E6693F"/>
    <w:rsid w:val="00E669AC"/>
    <w:rsid w:val="00E66A1C"/>
    <w:rsid w:val="00E66A22"/>
    <w:rsid w:val="00E66BC7"/>
    <w:rsid w:val="00E66BCD"/>
    <w:rsid w:val="00E66BDC"/>
    <w:rsid w:val="00E66D50"/>
    <w:rsid w:val="00E66D71"/>
    <w:rsid w:val="00E66E07"/>
    <w:rsid w:val="00E66E96"/>
    <w:rsid w:val="00E66F42"/>
    <w:rsid w:val="00E6714C"/>
    <w:rsid w:val="00E6715A"/>
    <w:rsid w:val="00E67295"/>
    <w:rsid w:val="00E673C6"/>
    <w:rsid w:val="00E673EF"/>
    <w:rsid w:val="00E675F6"/>
    <w:rsid w:val="00E675FF"/>
    <w:rsid w:val="00E677E5"/>
    <w:rsid w:val="00E6786D"/>
    <w:rsid w:val="00E678D9"/>
    <w:rsid w:val="00E67909"/>
    <w:rsid w:val="00E67BFC"/>
    <w:rsid w:val="00E67C85"/>
    <w:rsid w:val="00E67CD5"/>
    <w:rsid w:val="00E67E23"/>
    <w:rsid w:val="00E67EB0"/>
    <w:rsid w:val="00E67EBF"/>
    <w:rsid w:val="00E7001E"/>
    <w:rsid w:val="00E700CC"/>
    <w:rsid w:val="00E700CF"/>
    <w:rsid w:val="00E701D8"/>
    <w:rsid w:val="00E70291"/>
    <w:rsid w:val="00E70309"/>
    <w:rsid w:val="00E70345"/>
    <w:rsid w:val="00E70424"/>
    <w:rsid w:val="00E704C7"/>
    <w:rsid w:val="00E7062F"/>
    <w:rsid w:val="00E70904"/>
    <w:rsid w:val="00E70AB8"/>
    <w:rsid w:val="00E70C17"/>
    <w:rsid w:val="00E70E81"/>
    <w:rsid w:val="00E70ED0"/>
    <w:rsid w:val="00E70F5B"/>
    <w:rsid w:val="00E71110"/>
    <w:rsid w:val="00E716E4"/>
    <w:rsid w:val="00E71799"/>
    <w:rsid w:val="00E71846"/>
    <w:rsid w:val="00E71882"/>
    <w:rsid w:val="00E71892"/>
    <w:rsid w:val="00E71A0E"/>
    <w:rsid w:val="00E71AF5"/>
    <w:rsid w:val="00E71AF7"/>
    <w:rsid w:val="00E71B6F"/>
    <w:rsid w:val="00E71C09"/>
    <w:rsid w:val="00E71CDD"/>
    <w:rsid w:val="00E71D37"/>
    <w:rsid w:val="00E71F45"/>
    <w:rsid w:val="00E71F5E"/>
    <w:rsid w:val="00E72059"/>
    <w:rsid w:val="00E722CF"/>
    <w:rsid w:val="00E7234D"/>
    <w:rsid w:val="00E723EA"/>
    <w:rsid w:val="00E724A0"/>
    <w:rsid w:val="00E7252F"/>
    <w:rsid w:val="00E7259B"/>
    <w:rsid w:val="00E7264C"/>
    <w:rsid w:val="00E72764"/>
    <w:rsid w:val="00E72768"/>
    <w:rsid w:val="00E7289E"/>
    <w:rsid w:val="00E72982"/>
    <w:rsid w:val="00E729F8"/>
    <w:rsid w:val="00E72B85"/>
    <w:rsid w:val="00E72C70"/>
    <w:rsid w:val="00E72D6C"/>
    <w:rsid w:val="00E72D9C"/>
    <w:rsid w:val="00E72E11"/>
    <w:rsid w:val="00E72F0C"/>
    <w:rsid w:val="00E72FBC"/>
    <w:rsid w:val="00E7303A"/>
    <w:rsid w:val="00E73178"/>
    <w:rsid w:val="00E7329A"/>
    <w:rsid w:val="00E732E0"/>
    <w:rsid w:val="00E7343C"/>
    <w:rsid w:val="00E73474"/>
    <w:rsid w:val="00E73749"/>
    <w:rsid w:val="00E7376B"/>
    <w:rsid w:val="00E739C5"/>
    <w:rsid w:val="00E73A4B"/>
    <w:rsid w:val="00E73A8F"/>
    <w:rsid w:val="00E73B39"/>
    <w:rsid w:val="00E73B93"/>
    <w:rsid w:val="00E73BE4"/>
    <w:rsid w:val="00E73CBD"/>
    <w:rsid w:val="00E73D26"/>
    <w:rsid w:val="00E73DD1"/>
    <w:rsid w:val="00E73FB8"/>
    <w:rsid w:val="00E74021"/>
    <w:rsid w:val="00E7406C"/>
    <w:rsid w:val="00E742B6"/>
    <w:rsid w:val="00E742DF"/>
    <w:rsid w:val="00E745E1"/>
    <w:rsid w:val="00E74604"/>
    <w:rsid w:val="00E7465D"/>
    <w:rsid w:val="00E74831"/>
    <w:rsid w:val="00E74A52"/>
    <w:rsid w:val="00E74DBA"/>
    <w:rsid w:val="00E74DFF"/>
    <w:rsid w:val="00E74E2C"/>
    <w:rsid w:val="00E74E74"/>
    <w:rsid w:val="00E74EE7"/>
    <w:rsid w:val="00E74EF6"/>
    <w:rsid w:val="00E75019"/>
    <w:rsid w:val="00E7523C"/>
    <w:rsid w:val="00E753F6"/>
    <w:rsid w:val="00E75497"/>
    <w:rsid w:val="00E754B4"/>
    <w:rsid w:val="00E75558"/>
    <w:rsid w:val="00E756D8"/>
    <w:rsid w:val="00E7584F"/>
    <w:rsid w:val="00E75918"/>
    <w:rsid w:val="00E7599A"/>
    <w:rsid w:val="00E759AF"/>
    <w:rsid w:val="00E75D44"/>
    <w:rsid w:val="00E75E18"/>
    <w:rsid w:val="00E75E27"/>
    <w:rsid w:val="00E75E3B"/>
    <w:rsid w:val="00E75FFE"/>
    <w:rsid w:val="00E7601C"/>
    <w:rsid w:val="00E7603C"/>
    <w:rsid w:val="00E76218"/>
    <w:rsid w:val="00E76237"/>
    <w:rsid w:val="00E7623E"/>
    <w:rsid w:val="00E762E6"/>
    <w:rsid w:val="00E762ED"/>
    <w:rsid w:val="00E76432"/>
    <w:rsid w:val="00E76490"/>
    <w:rsid w:val="00E7652B"/>
    <w:rsid w:val="00E765FD"/>
    <w:rsid w:val="00E7668C"/>
    <w:rsid w:val="00E7697A"/>
    <w:rsid w:val="00E76991"/>
    <w:rsid w:val="00E76A78"/>
    <w:rsid w:val="00E76BD0"/>
    <w:rsid w:val="00E76D20"/>
    <w:rsid w:val="00E76D65"/>
    <w:rsid w:val="00E76D69"/>
    <w:rsid w:val="00E770AE"/>
    <w:rsid w:val="00E772DF"/>
    <w:rsid w:val="00E775F9"/>
    <w:rsid w:val="00E77C13"/>
    <w:rsid w:val="00E77E35"/>
    <w:rsid w:val="00E77EA3"/>
    <w:rsid w:val="00E77EAB"/>
    <w:rsid w:val="00E77F90"/>
    <w:rsid w:val="00E801AD"/>
    <w:rsid w:val="00E801D5"/>
    <w:rsid w:val="00E8025A"/>
    <w:rsid w:val="00E80477"/>
    <w:rsid w:val="00E8049F"/>
    <w:rsid w:val="00E804E4"/>
    <w:rsid w:val="00E805FB"/>
    <w:rsid w:val="00E80669"/>
    <w:rsid w:val="00E8072D"/>
    <w:rsid w:val="00E80B77"/>
    <w:rsid w:val="00E80CA6"/>
    <w:rsid w:val="00E80F00"/>
    <w:rsid w:val="00E80FF7"/>
    <w:rsid w:val="00E81084"/>
    <w:rsid w:val="00E8114E"/>
    <w:rsid w:val="00E81210"/>
    <w:rsid w:val="00E8153A"/>
    <w:rsid w:val="00E8153C"/>
    <w:rsid w:val="00E815FB"/>
    <w:rsid w:val="00E817AC"/>
    <w:rsid w:val="00E817B7"/>
    <w:rsid w:val="00E8199E"/>
    <w:rsid w:val="00E81A5D"/>
    <w:rsid w:val="00E81B19"/>
    <w:rsid w:val="00E81D89"/>
    <w:rsid w:val="00E81E0F"/>
    <w:rsid w:val="00E81E6A"/>
    <w:rsid w:val="00E81F09"/>
    <w:rsid w:val="00E82104"/>
    <w:rsid w:val="00E821EE"/>
    <w:rsid w:val="00E82281"/>
    <w:rsid w:val="00E82376"/>
    <w:rsid w:val="00E823F9"/>
    <w:rsid w:val="00E82461"/>
    <w:rsid w:val="00E82496"/>
    <w:rsid w:val="00E824A7"/>
    <w:rsid w:val="00E824E4"/>
    <w:rsid w:val="00E82681"/>
    <w:rsid w:val="00E82742"/>
    <w:rsid w:val="00E8278C"/>
    <w:rsid w:val="00E827AC"/>
    <w:rsid w:val="00E827C3"/>
    <w:rsid w:val="00E8285F"/>
    <w:rsid w:val="00E8287A"/>
    <w:rsid w:val="00E82A49"/>
    <w:rsid w:val="00E82AD4"/>
    <w:rsid w:val="00E82B2C"/>
    <w:rsid w:val="00E82BE4"/>
    <w:rsid w:val="00E82C62"/>
    <w:rsid w:val="00E82C9A"/>
    <w:rsid w:val="00E82F9C"/>
    <w:rsid w:val="00E82FA0"/>
    <w:rsid w:val="00E82FA2"/>
    <w:rsid w:val="00E830AD"/>
    <w:rsid w:val="00E83215"/>
    <w:rsid w:val="00E83555"/>
    <w:rsid w:val="00E8372E"/>
    <w:rsid w:val="00E83940"/>
    <w:rsid w:val="00E839B5"/>
    <w:rsid w:val="00E839BB"/>
    <w:rsid w:val="00E83B8F"/>
    <w:rsid w:val="00E83C54"/>
    <w:rsid w:val="00E83D03"/>
    <w:rsid w:val="00E83E7F"/>
    <w:rsid w:val="00E83EA6"/>
    <w:rsid w:val="00E83F83"/>
    <w:rsid w:val="00E8425F"/>
    <w:rsid w:val="00E84324"/>
    <w:rsid w:val="00E8432E"/>
    <w:rsid w:val="00E843F4"/>
    <w:rsid w:val="00E84651"/>
    <w:rsid w:val="00E84721"/>
    <w:rsid w:val="00E8477E"/>
    <w:rsid w:val="00E847CD"/>
    <w:rsid w:val="00E847E0"/>
    <w:rsid w:val="00E8487E"/>
    <w:rsid w:val="00E849DC"/>
    <w:rsid w:val="00E84AE5"/>
    <w:rsid w:val="00E84AF0"/>
    <w:rsid w:val="00E84C16"/>
    <w:rsid w:val="00E84C19"/>
    <w:rsid w:val="00E84C38"/>
    <w:rsid w:val="00E84D7E"/>
    <w:rsid w:val="00E84E49"/>
    <w:rsid w:val="00E84EF7"/>
    <w:rsid w:val="00E85011"/>
    <w:rsid w:val="00E85027"/>
    <w:rsid w:val="00E850D6"/>
    <w:rsid w:val="00E852A5"/>
    <w:rsid w:val="00E853A8"/>
    <w:rsid w:val="00E853B6"/>
    <w:rsid w:val="00E853BA"/>
    <w:rsid w:val="00E85479"/>
    <w:rsid w:val="00E85667"/>
    <w:rsid w:val="00E8579C"/>
    <w:rsid w:val="00E85807"/>
    <w:rsid w:val="00E859A2"/>
    <w:rsid w:val="00E859B5"/>
    <w:rsid w:val="00E859B7"/>
    <w:rsid w:val="00E85A50"/>
    <w:rsid w:val="00E85B29"/>
    <w:rsid w:val="00E85C42"/>
    <w:rsid w:val="00E85D5F"/>
    <w:rsid w:val="00E85D6A"/>
    <w:rsid w:val="00E85E46"/>
    <w:rsid w:val="00E85E51"/>
    <w:rsid w:val="00E85F2E"/>
    <w:rsid w:val="00E85F4F"/>
    <w:rsid w:val="00E860C4"/>
    <w:rsid w:val="00E860E8"/>
    <w:rsid w:val="00E8617D"/>
    <w:rsid w:val="00E861B7"/>
    <w:rsid w:val="00E861BB"/>
    <w:rsid w:val="00E8621A"/>
    <w:rsid w:val="00E86239"/>
    <w:rsid w:val="00E863A0"/>
    <w:rsid w:val="00E86514"/>
    <w:rsid w:val="00E8668F"/>
    <w:rsid w:val="00E86696"/>
    <w:rsid w:val="00E867BA"/>
    <w:rsid w:val="00E868CE"/>
    <w:rsid w:val="00E86AF2"/>
    <w:rsid w:val="00E86B1A"/>
    <w:rsid w:val="00E86C90"/>
    <w:rsid w:val="00E86EF1"/>
    <w:rsid w:val="00E86F5A"/>
    <w:rsid w:val="00E86FAF"/>
    <w:rsid w:val="00E8700C"/>
    <w:rsid w:val="00E870AF"/>
    <w:rsid w:val="00E87118"/>
    <w:rsid w:val="00E87126"/>
    <w:rsid w:val="00E87276"/>
    <w:rsid w:val="00E874E6"/>
    <w:rsid w:val="00E87545"/>
    <w:rsid w:val="00E875F7"/>
    <w:rsid w:val="00E8762B"/>
    <w:rsid w:val="00E87B9E"/>
    <w:rsid w:val="00E87BE3"/>
    <w:rsid w:val="00E87C57"/>
    <w:rsid w:val="00E87CB0"/>
    <w:rsid w:val="00E87CBF"/>
    <w:rsid w:val="00E87EDC"/>
    <w:rsid w:val="00E8AA8D"/>
    <w:rsid w:val="00E90035"/>
    <w:rsid w:val="00E900A7"/>
    <w:rsid w:val="00E900C7"/>
    <w:rsid w:val="00E90112"/>
    <w:rsid w:val="00E90225"/>
    <w:rsid w:val="00E90242"/>
    <w:rsid w:val="00E902FE"/>
    <w:rsid w:val="00E90407"/>
    <w:rsid w:val="00E90444"/>
    <w:rsid w:val="00E9074B"/>
    <w:rsid w:val="00E907F2"/>
    <w:rsid w:val="00E909EC"/>
    <w:rsid w:val="00E90B1D"/>
    <w:rsid w:val="00E90C08"/>
    <w:rsid w:val="00E90D32"/>
    <w:rsid w:val="00E90E7E"/>
    <w:rsid w:val="00E90F41"/>
    <w:rsid w:val="00E91055"/>
    <w:rsid w:val="00E91060"/>
    <w:rsid w:val="00E91087"/>
    <w:rsid w:val="00E910EC"/>
    <w:rsid w:val="00E911B7"/>
    <w:rsid w:val="00E911F8"/>
    <w:rsid w:val="00E91273"/>
    <w:rsid w:val="00E9140B"/>
    <w:rsid w:val="00E91427"/>
    <w:rsid w:val="00E91470"/>
    <w:rsid w:val="00E91614"/>
    <w:rsid w:val="00E91894"/>
    <w:rsid w:val="00E9194A"/>
    <w:rsid w:val="00E919C2"/>
    <w:rsid w:val="00E919D6"/>
    <w:rsid w:val="00E91AD7"/>
    <w:rsid w:val="00E91EA5"/>
    <w:rsid w:val="00E91F69"/>
    <w:rsid w:val="00E91F7E"/>
    <w:rsid w:val="00E91FB9"/>
    <w:rsid w:val="00E91FC9"/>
    <w:rsid w:val="00E92087"/>
    <w:rsid w:val="00E92329"/>
    <w:rsid w:val="00E92344"/>
    <w:rsid w:val="00E92406"/>
    <w:rsid w:val="00E92483"/>
    <w:rsid w:val="00E9259E"/>
    <w:rsid w:val="00E9262E"/>
    <w:rsid w:val="00E9277C"/>
    <w:rsid w:val="00E928DA"/>
    <w:rsid w:val="00E92ADD"/>
    <w:rsid w:val="00E92BE2"/>
    <w:rsid w:val="00E92CD6"/>
    <w:rsid w:val="00E92D84"/>
    <w:rsid w:val="00E92F37"/>
    <w:rsid w:val="00E930A4"/>
    <w:rsid w:val="00E93179"/>
    <w:rsid w:val="00E9324B"/>
    <w:rsid w:val="00E93324"/>
    <w:rsid w:val="00E9334D"/>
    <w:rsid w:val="00E934B8"/>
    <w:rsid w:val="00E9357F"/>
    <w:rsid w:val="00E936B5"/>
    <w:rsid w:val="00E936CA"/>
    <w:rsid w:val="00E936DD"/>
    <w:rsid w:val="00E9373F"/>
    <w:rsid w:val="00E937BF"/>
    <w:rsid w:val="00E937DB"/>
    <w:rsid w:val="00E9386C"/>
    <w:rsid w:val="00E93875"/>
    <w:rsid w:val="00E938B0"/>
    <w:rsid w:val="00E938F0"/>
    <w:rsid w:val="00E939F8"/>
    <w:rsid w:val="00E93B16"/>
    <w:rsid w:val="00E93BD0"/>
    <w:rsid w:val="00E93E08"/>
    <w:rsid w:val="00E93E30"/>
    <w:rsid w:val="00E93E55"/>
    <w:rsid w:val="00E93E97"/>
    <w:rsid w:val="00E93EB7"/>
    <w:rsid w:val="00E94121"/>
    <w:rsid w:val="00E94172"/>
    <w:rsid w:val="00E94289"/>
    <w:rsid w:val="00E9432C"/>
    <w:rsid w:val="00E94447"/>
    <w:rsid w:val="00E945EA"/>
    <w:rsid w:val="00E9473D"/>
    <w:rsid w:val="00E947B6"/>
    <w:rsid w:val="00E94A02"/>
    <w:rsid w:val="00E94A72"/>
    <w:rsid w:val="00E94AA5"/>
    <w:rsid w:val="00E94B8E"/>
    <w:rsid w:val="00E94D27"/>
    <w:rsid w:val="00E94F67"/>
    <w:rsid w:val="00E94F6E"/>
    <w:rsid w:val="00E94F98"/>
    <w:rsid w:val="00E9508C"/>
    <w:rsid w:val="00E950B4"/>
    <w:rsid w:val="00E950D7"/>
    <w:rsid w:val="00E95313"/>
    <w:rsid w:val="00E954E5"/>
    <w:rsid w:val="00E955B7"/>
    <w:rsid w:val="00E955DE"/>
    <w:rsid w:val="00E955FA"/>
    <w:rsid w:val="00E95667"/>
    <w:rsid w:val="00E9570B"/>
    <w:rsid w:val="00E958F0"/>
    <w:rsid w:val="00E95A44"/>
    <w:rsid w:val="00E95B24"/>
    <w:rsid w:val="00E95B2C"/>
    <w:rsid w:val="00E95B7D"/>
    <w:rsid w:val="00E95BAE"/>
    <w:rsid w:val="00E95C49"/>
    <w:rsid w:val="00E95C66"/>
    <w:rsid w:val="00E95CF4"/>
    <w:rsid w:val="00E95E1A"/>
    <w:rsid w:val="00E95E8F"/>
    <w:rsid w:val="00E95F0C"/>
    <w:rsid w:val="00E95F83"/>
    <w:rsid w:val="00E9600E"/>
    <w:rsid w:val="00E960DB"/>
    <w:rsid w:val="00E96209"/>
    <w:rsid w:val="00E96226"/>
    <w:rsid w:val="00E96253"/>
    <w:rsid w:val="00E962E9"/>
    <w:rsid w:val="00E9636F"/>
    <w:rsid w:val="00E964EB"/>
    <w:rsid w:val="00E965D6"/>
    <w:rsid w:val="00E9661F"/>
    <w:rsid w:val="00E9662D"/>
    <w:rsid w:val="00E96648"/>
    <w:rsid w:val="00E96675"/>
    <w:rsid w:val="00E966C1"/>
    <w:rsid w:val="00E966F1"/>
    <w:rsid w:val="00E9695B"/>
    <w:rsid w:val="00E969B5"/>
    <w:rsid w:val="00E96A32"/>
    <w:rsid w:val="00E96AC7"/>
    <w:rsid w:val="00E96B9A"/>
    <w:rsid w:val="00E96BDD"/>
    <w:rsid w:val="00E96CDE"/>
    <w:rsid w:val="00E96D80"/>
    <w:rsid w:val="00E96EDC"/>
    <w:rsid w:val="00E96F8A"/>
    <w:rsid w:val="00E96FBF"/>
    <w:rsid w:val="00E97014"/>
    <w:rsid w:val="00E9704F"/>
    <w:rsid w:val="00E97139"/>
    <w:rsid w:val="00E9726E"/>
    <w:rsid w:val="00E9730C"/>
    <w:rsid w:val="00E97386"/>
    <w:rsid w:val="00E974C3"/>
    <w:rsid w:val="00E97582"/>
    <w:rsid w:val="00E9760A"/>
    <w:rsid w:val="00E978FE"/>
    <w:rsid w:val="00E9799B"/>
    <w:rsid w:val="00E979F6"/>
    <w:rsid w:val="00E97A3F"/>
    <w:rsid w:val="00E97B2C"/>
    <w:rsid w:val="00E97B51"/>
    <w:rsid w:val="00E97E0D"/>
    <w:rsid w:val="00E97E16"/>
    <w:rsid w:val="00E97F52"/>
    <w:rsid w:val="00EA002C"/>
    <w:rsid w:val="00EA00B8"/>
    <w:rsid w:val="00EA00D3"/>
    <w:rsid w:val="00EA0197"/>
    <w:rsid w:val="00EA02D5"/>
    <w:rsid w:val="00EA030C"/>
    <w:rsid w:val="00EA03D0"/>
    <w:rsid w:val="00EA053D"/>
    <w:rsid w:val="00EA079C"/>
    <w:rsid w:val="00EA0AD8"/>
    <w:rsid w:val="00EA0DA0"/>
    <w:rsid w:val="00EA0DA7"/>
    <w:rsid w:val="00EA0EE4"/>
    <w:rsid w:val="00EA0FD4"/>
    <w:rsid w:val="00EA105F"/>
    <w:rsid w:val="00EA10E7"/>
    <w:rsid w:val="00EA120B"/>
    <w:rsid w:val="00EA1406"/>
    <w:rsid w:val="00EA1576"/>
    <w:rsid w:val="00EA15FA"/>
    <w:rsid w:val="00EA17D1"/>
    <w:rsid w:val="00EA1919"/>
    <w:rsid w:val="00EA193B"/>
    <w:rsid w:val="00EA19E1"/>
    <w:rsid w:val="00EA1A97"/>
    <w:rsid w:val="00EA1CFF"/>
    <w:rsid w:val="00EA1D00"/>
    <w:rsid w:val="00EA1D94"/>
    <w:rsid w:val="00EA1E01"/>
    <w:rsid w:val="00EA1EF5"/>
    <w:rsid w:val="00EA1F73"/>
    <w:rsid w:val="00EA23C8"/>
    <w:rsid w:val="00EA24F2"/>
    <w:rsid w:val="00EA25E9"/>
    <w:rsid w:val="00EA2788"/>
    <w:rsid w:val="00EA2BD8"/>
    <w:rsid w:val="00EA2BDE"/>
    <w:rsid w:val="00EA2C48"/>
    <w:rsid w:val="00EA2CE4"/>
    <w:rsid w:val="00EA2D11"/>
    <w:rsid w:val="00EA2D72"/>
    <w:rsid w:val="00EA2EAC"/>
    <w:rsid w:val="00EA308E"/>
    <w:rsid w:val="00EA30DA"/>
    <w:rsid w:val="00EA3165"/>
    <w:rsid w:val="00EA342E"/>
    <w:rsid w:val="00EA352D"/>
    <w:rsid w:val="00EA3819"/>
    <w:rsid w:val="00EA394E"/>
    <w:rsid w:val="00EA3957"/>
    <w:rsid w:val="00EA3B17"/>
    <w:rsid w:val="00EA3D72"/>
    <w:rsid w:val="00EA3EC5"/>
    <w:rsid w:val="00EA4102"/>
    <w:rsid w:val="00EA41AF"/>
    <w:rsid w:val="00EA41CF"/>
    <w:rsid w:val="00EA44F6"/>
    <w:rsid w:val="00EA4740"/>
    <w:rsid w:val="00EA48B5"/>
    <w:rsid w:val="00EA4986"/>
    <w:rsid w:val="00EA4A40"/>
    <w:rsid w:val="00EA4A73"/>
    <w:rsid w:val="00EA4AB0"/>
    <w:rsid w:val="00EA4B5C"/>
    <w:rsid w:val="00EA4D15"/>
    <w:rsid w:val="00EA4D3D"/>
    <w:rsid w:val="00EA5081"/>
    <w:rsid w:val="00EA51A9"/>
    <w:rsid w:val="00EA51E1"/>
    <w:rsid w:val="00EA530A"/>
    <w:rsid w:val="00EA53C6"/>
    <w:rsid w:val="00EA54E9"/>
    <w:rsid w:val="00EA570A"/>
    <w:rsid w:val="00EA5890"/>
    <w:rsid w:val="00EA59B8"/>
    <w:rsid w:val="00EA5A79"/>
    <w:rsid w:val="00EA5A7B"/>
    <w:rsid w:val="00EA5E47"/>
    <w:rsid w:val="00EA5F8E"/>
    <w:rsid w:val="00EA5FB2"/>
    <w:rsid w:val="00EA6126"/>
    <w:rsid w:val="00EA61FE"/>
    <w:rsid w:val="00EA62B0"/>
    <w:rsid w:val="00EA6344"/>
    <w:rsid w:val="00EA63FD"/>
    <w:rsid w:val="00EA65DE"/>
    <w:rsid w:val="00EA6741"/>
    <w:rsid w:val="00EA67F8"/>
    <w:rsid w:val="00EA6987"/>
    <w:rsid w:val="00EA6B41"/>
    <w:rsid w:val="00EA6C90"/>
    <w:rsid w:val="00EA6DE7"/>
    <w:rsid w:val="00EA6EA2"/>
    <w:rsid w:val="00EA7118"/>
    <w:rsid w:val="00EA715A"/>
    <w:rsid w:val="00EA7317"/>
    <w:rsid w:val="00EA7509"/>
    <w:rsid w:val="00EA759C"/>
    <w:rsid w:val="00EA7600"/>
    <w:rsid w:val="00EA7715"/>
    <w:rsid w:val="00EA7AC6"/>
    <w:rsid w:val="00EA7AC8"/>
    <w:rsid w:val="00EA7BC3"/>
    <w:rsid w:val="00EA7C4F"/>
    <w:rsid w:val="00EA7C5B"/>
    <w:rsid w:val="00EA7C8E"/>
    <w:rsid w:val="00EA7FAA"/>
    <w:rsid w:val="00EB04F7"/>
    <w:rsid w:val="00EB07B2"/>
    <w:rsid w:val="00EB07B8"/>
    <w:rsid w:val="00EB081D"/>
    <w:rsid w:val="00EB0954"/>
    <w:rsid w:val="00EB09FF"/>
    <w:rsid w:val="00EB0A86"/>
    <w:rsid w:val="00EB0AA3"/>
    <w:rsid w:val="00EB0AC6"/>
    <w:rsid w:val="00EB0AEA"/>
    <w:rsid w:val="00EB0BA7"/>
    <w:rsid w:val="00EB0DF7"/>
    <w:rsid w:val="00EB0F52"/>
    <w:rsid w:val="00EB0F6E"/>
    <w:rsid w:val="00EB1169"/>
    <w:rsid w:val="00EB11B9"/>
    <w:rsid w:val="00EB124E"/>
    <w:rsid w:val="00EB1259"/>
    <w:rsid w:val="00EB1297"/>
    <w:rsid w:val="00EB13FE"/>
    <w:rsid w:val="00EB14DC"/>
    <w:rsid w:val="00EB1616"/>
    <w:rsid w:val="00EB16A2"/>
    <w:rsid w:val="00EB1943"/>
    <w:rsid w:val="00EB1BE2"/>
    <w:rsid w:val="00EB1C39"/>
    <w:rsid w:val="00EB1D5A"/>
    <w:rsid w:val="00EB1DFD"/>
    <w:rsid w:val="00EB1F9D"/>
    <w:rsid w:val="00EB212C"/>
    <w:rsid w:val="00EB2146"/>
    <w:rsid w:val="00EB216A"/>
    <w:rsid w:val="00EB228F"/>
    <w:rsid w:val="00EB2308"/>
    <w:rsid w:val="00EB249A"/>
    <w:rsid w:val="00EB249B"/>
    <w:rsid w:val="00EB2636"/>
    <w:rsid w:val="00EB2866"/>
    <w:rsid w:val="00EB28AC"/>
    <w:rsid w:val="00EB2A37"/>
    <w:rsid w:val="00EB2A4C"/>
    <w:rsid w:val="00EB2A5F"/>
    <w:rsid w:val="00EB2B42"/>
    <w:rsid w:val="00EB2BBC"/>
    <w:rsid w:val="00EB2C64"/>
    <w:rsid w:val="00EB2C9F"/>
    <w:rsid w:val="00EB2D99"/>
    <w:rsid w:val="00EB2DE7"/>
    <w:rsid w:val="00EB2FB5"/>
    <w:rsid w:val="00EB3153"/>
    <w:rsid w:val="00EB31CE"/>
    <w:rsid w:val="00EB3232"/>
    <w:rsid w:val="00EB33CF"/>
    <w:rsid w:val="00EB34D8"/>
    <w:rsid w:val="00EB3578"/>
    <w:rsid w:val="00EB3851"/>
    <w:rsid w:val="00EB38EA"/>
    <w:rsid w:val="00EB38F0"/>
    <w:rsid w:val="00EB3A0B"/>
    <w:rsid w:val="00EB3B56"/>
    <w:rsid w:val="00EB3CE1"/>
    <w:rsid w:val="00EB3FB4"/>
    <w:rsid w:val="00EB3FE8"/>
    <w:rsid w:val="00EB4062"/>
    <w:rsid w:val="00EB4093"/>
    <w:rsid w:val="00EB4206"/>
    <w:rsid w:val="00EB4356"/>
    <w:rsid w:val="00EB437A"/>
    <w:rsid w:val="00EB4544"/>
    <w:rsid w:val="00EB4577"/>
    <w:rsid w:val="00EB471E"/>
    <w:rsid w:val="00EB473C"/>
    <w:rsid w:val="00EB47F5"/>
    <w:rsid w:val="00EB4857"/>
    <w:rsid w:val="00EB48F4"/>
    <w:rsid w:val="00EB4B05"/>
    <w:rsid w:val="00EB4B59"/>
    <w:rsid w:val="00EB4C5F"/>
    <w:rsid w:val="00EB4DC1"/>
    <w:rsid w:val="00EB4EED"/>
    <w:rsid w:val="00EB4F11"/>
    <w:rsid w:val="00EB4F41"/>
    <w:rsid w:val="00EB4F8B"/>
    <w:rsid w:val="00EB4FDF"/>
    <w:rsid w:val="00EB5061"/>
    <w:rsid w:val="00EB50CB"/>
    <w:rsid w:val="00EB5151"/>
    <w:rsid w:val="00EB51D2"/>
    <w:rsid w:val="00EB5202"/>
    <w:rsid w:val="00EB53F2"/>
    <w:rsid w:val="00EB540D"/>
    <w:rsid w:val="00EB548F"/>
    <w:rsid w:val="00EB5717"/>
    <w:rsid w:val="00EB5904"/>
    <w:rsid w:val="00EB5934"/>
    <w:rsid w:val="00EB5990"/>
    <w:rsid w:val="00EB59F2"/>
    <w:rsid w:val="00EB59FF"/>
    <w:rsid w:val="00EB5A60"/>
    <w:rsid w:val="00EB5B4D"/>
    <w:rsid w:val="00EB5C98"/>
    <w:rsid w:val="00EB5D40"/>
    <w:rsid w:val="00EB5E6F"/>
    <w:rsid w:val="00EB6135"/>
    <w:rsid w:val="00EB61AD"/>
    <w:rsid w:val="00EB61C1"/>
    <w:rsid w:val="00EB634E"/>
    <w:rsid w:val="00EB636C"/>
    <w:rsid w:val="00EB63A3"/>
    <w:rsid w:val="00EB66C2"/>
    <w:rsid w:val="00EB66F1"/>
    <w:rsid w:val="00EB6834"/>
    <w:rsid w:val="00EB6876"/>
    <w:rsid w:val="00EB68AA"/>
    <w:rsid w:val="00EB6A1E"/>
    <w:rsid w:val="00EB6AEF"/>
    <w:rsid w:val="00EB6BCD"/>
    <w:rsid w:val="00EB6BCF"/>
    <w:rsid w:val="00EB6C17"/>
    <w:rsid w:val="00EB6E20"/>
    <w:rsid w:val="00EB6E2D"/>
    <w:rsid w:val="00EB6F96"/>
    <w:rsid w:val="00EB7258"/>
    <w:rsid w:val="00EB72E8"/>
    <w:rsid w:val="00EB7393"/>
    <w:rsid w:val="00EB741B"/>
    <w:rsid w:val="00EB7566"/>
    <w:rsid w:val="00EB757D"/>
    <w:rsid w:val="00EB765E"/>
    <w:rsid w:val="00EB76B7"/>
    <w:rsid w:val="00EB76C8"/>
    <w:rsid w:val="00EB7721"/>
    <w:rsid w:val="00EB78F1"/>
    <w:rsid w:val="00EB7962"/>
    <w:rsid w:val="00EB7A55"/>
    <w:rsid w:val="00EB7B9A"/>
    <w:rsid w:val="00EB7BE7"/>
    <w:rsid w:val="00EB7CF9"/>
    <w:rsid w:val="00EB7D1D"/>
    <w:rsid w:val="00EC014C"/>
    <w:rsid w:val="00EC02C2"/>
    <w:rsid w:val="00EC03EC"/>
    <w:rsid w:val="00EC054B"/>
    <w:rsid w:val="00EC05F3"/>
    <w:rsid w:val="00EC060D"/>
    <w:rsid w:val="00EC064C"/>
    <w:rsid w:val="00EC06C6"/>
    <w:rsid w:val="00EC0734"/>
    <w:rsid w:val="00EC076E"/>
    <w:rsid w:val="00EC07A5"/>
    <w:rsid w:val="00EC08A7"/>
    <w:rsid w:val="00EC08D0"/>
    <w:rsid w:val="00EC09A1"/>
    <w:rsid w:val="00EC0A8B"/>
    <w:rsid w:val="00EC0D3E"/>
    <w:rsid w:val="00EC0E61"/>
    <w:rsid w:val="00EC0F51"/>
    <w:rsid w:val="00EC11AD"/>
    <w:rsid w:val="00EC11D1"/>
    <w:rsid w:val="00EC14AF"/>
    <w:rsid w:val="00EC15FE"/>
    <w:rsid w:val="00EC1627"/>
    <w:rsid w:val="00EC169C"/>
    <w:rsid w:val="00EC19FE"/>
    <w:rsid w:val="00EC1A3C"/>
    <w:rsid w:val="00EC1A57"/>
    <w:rsid w:val="00EC1A73"/>
    <w:rsid w:val="00EC1AE4"/>
    <w:rsid w:val="00EC1B3A"/>
    <w:rsid w:val="00EC1B54"/>
    <w:rsid w:val="00EC1C0C"/>
    <w:rsid w:val="00EC1C4A"/>
    <w:rsid w:val="00EC1D68"/>
    <w:rsid w:val="00EC1E2D"/>
    <w:rsid w:val="00EC1E2F"/>
    <w:rsid w:val="00EC1E59"/>
    <w:rsid w:val="00EC1E5A"/>
    <w:rsid w:val="00EC1EC3"/>
    <w:rsid w:val="00EC208D"/>
    <w:rsid w:val="00EC20BF"/>
    <w:rsid w:val="00EC2115"/>
    <w:rsid w:val="00EC2221"/>
    <w:rsid w:val="00EC23AD"/>
    <w:rsid w:val="00EC247F"/>
    <w:rsid w:val="00EC2490"/>
    <w:rsid w:val="00EC251F"/>
    <w:rsid w:val="00EC2533"/>
    <w:rsid w:val="00EC2703"/>
    <w:rsid w:val="00EC2708"/>
    <w:rsid w:val="00EC2A75"/>
    <w:rsid w:val="00EC2B05"/>
    <w:rsid w:val="00EC2C21"/>
    <w:rsid w:val="00EC2C38"/>
    <w:rsid w:val="00EC2D16"/>
    <w:rsid w:val="00EC2F15"/>
    <w:rsid w:val="00EC2F4B"/>
    <w:rsid w:val="00EC303B"/>
    <w:rsid w:val="00EC3098"/>
    <w:rsid w:val="00EC31B5"/>
    <w:rsid w:val="00EC3481"/>
    <w:rsid w:val="00EC349B"/>
    <w:rsid w:val="00EC35B5"/>
    <w:rsid w:val="00EC376A"/>
    <w:rsid w:val="00EC3896"/>
    <w:rsid w:val="00EC38F3"/>
    <w:rsid w:val="00EC3957"/>
    <w:rsid w:val="00EC3A84"/>
    <w:rsid w:val="00EC3B49"/>
    <w:rsid w:val="00EC3B7B"/>
    <w:rsid w:val="00EC3B8D"/>
    <w:rsid w:val="00EC3B92"/>
    <w:rsid w:val="00EC3C74"/>
    <w:rsid w:val="00EC3CD1"/>
    <w:rsid w:val="00EC3CE4"/>
    <w:rsid w:val="00EC3D39"/>
    <w:rsid w:val="00EC3DB3"/>
    <w:rsid w:val="00EC3E99"/>
    <w:rsid w:val="00EC3F00"/>
    <w:rsid w:val="00EC3F7B"/>
    <w:rsid w:val="00EC41DE"/>
    <w:rsid w:val="00EC42A3"/>
    <w:rsid w:val="00EC44AA"/>
    <w:rsid w:val="00EC4631"/>
    <w:rsid w:val="00EC478D"/>
    <w:rsid w:val="00EC4948"/>
    <w:rsid w:val="00EC4992"/>
    <w:rsid w:val="00EC4A72"/>
    <w:rsid w:val="00EC4D43"/>
    <w:rsid w:val="00EC4D54"/>
    <w:rsid w:val="00EC4DE9"/>
    <w:rsid w:val="00EC4EE7"/>
    <w:rsid w:val="00EC4F4B"/>
    <w:rsid w:val="00EC5052"/>
    <w:rsid w:val="00EC50EB"/>
    <w:rsid w:val="00EC51BA"/>
    <w:rsid w:val="00EC5258"/>
    <w:rsid w:val="00EC5430"/>
    <w:rsid w:val="00EC55B9"/>
    <w:rsid w:val="00EC572A"/>
    <w:rsid w:val="00EC5749"/>
    <w:rsid w:val="00EC574A"/>
    <w:rsid w:val="00EC577C"/>
    <w:rsid w:val="00EC57C6"/>
    <w:rsid w:val="00EC58B7"/>
    <w:rsid w:val="00EC5A0A"/>
    <w:rsid w:val="00EC5BCA"/>
    <w:rsid w:val="00EC5C05"/>
    <w:rsid w:val="00EC5CB7"/>
    <w:rsid w:val="00EC5CDC"/>
    <w:rsid w:val="00EC5E6C"/>
    <w:rsid w:val="00EC5ECE"/>
    <w:rsid w:val="00EC5F86"/>
    <w:rsid w:val="00EC61F0"/>
    <w:rsid w:val="00EC6217"/>
    <w:rsid w:val="00EC626D"/>
    <w:rsid w:val="00EC6335"/>
    <w:rsid w:val="00EC64B8"/>
    <w:rsid w:val="00EC663B"/>
    <w:rsid w:val="00EC6733"/>
    <w:rsid w:val="00EC6934"/>
    <w:rsid w:val="00EC69EE"/>
    <w:rsid w:val="00EC6C56"/>
    <w:rsid w:val="00EC6D31"/>
    <w:rsid w:val="00EC6DF2"/>
    <w:rsid w:val="00EC6E29"/>
    <w:rsid w:val="00EC6EDD"/>
    <w:rsid w:val="00EC7013"/>
    <w:rsid w:val="00EC7140"/>
    <w:rsid w:val="00EC7199"/>
    <w:rsid w:val="00EC7362"/>
    <w:rsid w:val="00EC756C"/>
    <w:rsid w:val="00EC760A"/>
    <w:rsid w:val="00EC773D"/>
    <w:rsid w:val="00EC77CF"/>
    <w:rsid w:val="00EC7B9C"/>
    <w:rsid w:val="00EC7D0B"/>
    <w:rsid w:val="00EC7DB4"/>
    <w:rsid w:val="00EC7E4B"/>
    <w:rsid w:val="00EC7F23"/>
    <w:rsid w:val="00ED009D"/>
    <w:rsid w:val="00ED0247"/>
    <w:rsid w:val="00ED032A"/>
    <w:rsid w:val="00ED032B"/>
    <w:rsid w:val="00ED0393"/>
    <w:rsid w:val="00ED03EA"/>
    <w:rsid w:val="00ED044A"/>
    <w:rsid w:val="00ED049E"/>
    <w:rsid w:val="00ED04F5"/>
    <w:rsid w:val="00ED05F6"/>
    <w:rsid w:val="00ED0842"/>
    <w:rsid w:val="00ED0A3C"/>
    <w:rsid w:val="00ED0B40"/>
    <w:rsid w:val="00ED1001"/>
    <w:rsid w:val="00ED12B6"/>
    <w:rsid w:val="00ED132D"/>
    <w:rsid w:val="00ED16DC"/>
    <w:rsid w:val="00ED1727"/>
    <w:rsid w:val="00ED172D"/>
    <w:rsid w:val="00ED1A15"/>
    <w:rsid w:val="00ED1A2F"/>
    <w:rsid w:val="00ED1A7B"/>
    <w:rsid w:val="00ED1AB1"/>
    <w:rsid w:val="00ED1BFC"/>
    <w:rsid w:val="00ED1CD9"/>
    <w:rsid w:val="00ED1EB6"/>
    <w:rsid w:val="00ED2164"/>
    <w:rsid w:val="00ED2307"/>
    <w:rsid w:val="00ED248D"/>
    <w:rsid w:val="00ED24A8"/>
    <w:rsid w:val="00ED27DD"/>
    <w:rsid w:val="00ED294B"/>
    <w:rsid w:val="00ED29C5"/>
    <w:rsid w:val="00ED2A19"/>
    <w:rsid w:val="00ED2B09"/>
    <w:rsid w:val="00ED2C53"/>
    <w:rsid w:val="00ED2D0E"/>
    <w:rsid w:val="00ED2DEA"/>
    <w:rsid w:val="00ED2DF5"/>
    <w:rsid w:val="00ED2E9B"/>
    <w:rsid w:val="00ED32C9"/>
    <w:rsid w:val="00ED36E6"/>
    <w:rsid w:val="00ED398F"/>
    <w:rsid w:val="00ED3B72"/>
    <w:rsid w:val="00ED3BCF"/>
    <w:rsid w:val="00ED3DD1"/>
    <w:rsid w:val="00ED3E55"/>
    <w:rsid w:val="00ED3EEE"/>
    <w:rsid w:val="00ED3F16"/>
    <w:rsid w:val="00ED41BD"/>
    <w:rsid w:val="00ED4639"/>
    <w:rsid w:val="00ED46DA"/>
    <w:rsid w:val="00ED46F7"/>
    <w:rsid w:val="00ED4902"/>
    <w:rsid w:val="00ED4BF0"/>
    <w:rsid w:val="00ED4C85"/>
    <w:rsid w:val="00ED4C94"/>
    <w:rsid w:val="00ED4D40"/>
    <w:rsid w:val="00ED4DF9"/>
    <w:rsid w:val="00ED4F2D"/>
    <w:rsid w:val="00ED51C0"/>
    <w:rsid w:val="00ED5225"/>
    <w:rsid w:val="00ED535C"/>
    <w:rsid w:val="00ED5413"/>
    <w:rsid w:val="00ED551A"/>
    <w:rsid w:val="00ED5601"/>
    <w:rsid w:val="00ED5673"/>
    <w:rsid w:val="00ED5700"/>
    <w:rsid w:val="00ED5899"/>
    <w:rsid w:val="00ED59EC"/>
    <w:rsid w:val="00ED5B2A"/>
    <w:rsid w:val="00ED5B30"/>
    <w:rsid w:val="00ED5BFD"/>
    <w:rsid w:val="00ED5C76"/>
    <w:rsid w:val="00ED5C8C"/>
    <w:rsid w:val="00ED5EB5"/>
    <w:rsid w:val="00ED5EBB"/>
    <w:rsid w:val="00ED601C"/>
    <w:rsid w:val="00ED6119"/>
    <w:rsid w:val="00ED612A"/>
    <w:rsid w:val="00ED61C0"/>
    <w:rsid w:val="00ED6281"/>
    <w:rsid w:val="00ED636A"/>
    <w:rsid w:val="00ED6375"/>
    <w:rsid w:val="00ED6399"/>
    <w:rsid w:val="00ED6491"/>
    <w:rsid w:val="00ED68ED"/>
    <w:rsid w:val="00ED69BC"/>
    <w:rsid w:val="00ED6ABF"/>
    <w:rsid w:val="00ED6B01"/>
    <w:rsid w:val="00ED6CC4"/>
    <w:rsid w:val="00ED6D37"/>
    <w:rsid w:val="00ED6D98"/>
    <w:rsid w:val="00ED6DEB"/>
    <w:rsid w:val="00ED6ED8"/>
    <w:rsid w:val="00ED706E"/>
    <w:rsid w:val="00ED70F4"/>
    <w:rsid w:val="00ED71B2"/>
    <w:rsid w:val="00ED74DB"/>
    <w:rsid w:val="00ED7579"/>
    <w:rsid w:val="00ED75C3"/>
    <w:rsid w:val="00ED75D3"/>
    <w:rsid w:val="00ED772F"/>
    <w:rsid w:val="00ED792F"/>
    <w:rsid w:val="00ED7AE8"/>
    <w:rsid w:val="00ED7B17"/>
    <w:rsid w:val="00ED7C06"/>
    <w:rsid w:val="00ED7C08"/>
    <w:rsid w:val="00ED7D99"/>
    <w:rsid w:val="00ED7DD7"/>
    <w:rsid w:val="00ED7E28"/>
    <w:rsid w:val="00ED7EF6"/>
    <w:rsid w:val="00ED7FD3"/>
    <w:rsid w:val="00EE0841"/>
    <w:rsid w:val="00EE0939"/>
    <w:rsid w:val="00EE0993"/>
    <w:rsid w:val="00EE0B23"/>
    <w:rsid w:val="00EE0BF5"/>
    <w:rsid w:val="00EE0C42"/>
    <w:rsid w:val="00EE0C9B"/>
    <w:rsid w:val="00EE0E5D"/>
    <w:rsid w:val="00EE0ED5"/>
    <w:rsid w:val="00EE0EF1"/>
    <w:rsid w:val="00EE0F65"/>
    <w:rsid w:val="00EE1175"/>
    <w:rsid w:val="00EE135A"/>
    <w:rsid w:val="00EE138D"/>
    <w:rsid w:val="00EE1410"/>
    <w:rsid w:val="00EE1529"/>
    <w:rsid w:val="00EE156A"/>
    <w:rsid w:val="00EE1885"/>
    <w:rsid w:val="00EE18B9"/>
    <w:rsid w:val="00EE197D"/>
    <w:rsid w:val="00EE1A70"/>
    <w:rsid w:val="00EE1A9C"/>
    <w:rsid w:val="00EE1AEC"/>
    <w:rsid w:val="00EE1BA6"/>
    <w:rsid w:val="00EE1C14"/>
    <w:rsid w:val="00EE1CCA"/>
    <w:rsid w:val="00EE1DD0"/>
    <w:rsid w:val="00EE1E4B"/>
    <w:rsid w:val="00EE1F40"/>
    <w:rsid w:val="00EE1FD0"/>
    <w:rsid w:val="00EE2138"/>
    <w:rsid w:val="00EE2152"/>
    <w:rsid w:val="00EE2251"/>
    <w:rsid w:val="00EE2306"/>
    <w:rsid w:val="00EE2370"/>
    <w:rsid w:val="00EE2455"/>
    <w:rsid w:val="00EE2560"/>
    <w:rsid w:val="00EE27AF"/>
    <w:rsid w:val="00EE27FB"/>
    <w:rsid w:val="00EE2942"/>
    <w:rsid w:val="00EE2987"/>
    <w:rsid w:val="00EE2AF2"/>
    <w:rsid w:val="00EE2BBE"/>
    <w:rsid w:val="00EE2CCF"/>
    <w:rsid w:val="00EE2D79"/>
    <w:rsid w:val="00EE2DAC"/>
    <w:rsid w:val="00EE2FED"/>
    <w:rsid w:val="00EE3095"/>
    <w:rsid w:val="00EE321E"/>
    <w:rsid w:val="00EE3222"/>
    <w:rsid w:val="00EE32BF"/>
    <w:rsid w:val="00EE32CF"/>
    <w:rsid w:val="00EE34B3"/>
    <w:rsid w:val="00EE34F9"/>
    <w:rsid w:val="00EE35FC"/>
    <w:rsid w:val="00EE361E"/>
    <w:rsid w:val="00EE38B0"/>
    <w:rsid w:val="00EE39A9"/>
    <w:rsid w:val="00EE39F7"/>
    <w:rsid w:val="00EE3AF8"/>
    <w:rsid w:val="00EE3B35"/>
    <w:rsid w:val="00EE3BE3"/>
    <w:rsid w:val="00EE3BE8"/>
    <w:rsid w:val="00EE3C4E"/>
    <w:rsid w:val="00EE3CA5"/>
    <w:rsid w:val="00EE3CF1"/>
    <w:rsid w:val="00EE3E66"/>
    <w:rsid w:val="00EE3EE4"/>
    <w:rsid w:val="00EE4064"/>
    <w:rsid w:val="00EE41CB"/>
    <w:rsid w:val="00EE429B"/>
    <w:rsid w:val="00EE45D8"/>
    <w:rsid w:val="00EE4602"/>
    <w:rsid w:val="00EE4852"/>
    <w:rsid w:val="00EE48A1"/>
    <w:rsid w:val="00EE4BBC"/>
    <w:rsid w:val="00EE4CB5"/>
    <w:rsid w:val="00EE4DB2"/>
    <w:rsid w:val="00EE4E2B"/>
    <w:rsid w:val="00EE4EB3"/>
    <w:rsid w:val="00EE4EFF"/>
    <w:rsid w:val="00EE4F70"/>
    <w:rsid w:val="00EE4FEA"/>
    <w:rsid w:val="00EE55E7"/>
    <w:rsid w:val="00EE5632"/>
    <w:rsid w:val="00EE5672"/>
    <w:rsid w:val="00EE5844"/>
    <w:rsid w:val="00EE599D"/>
    <w:rsid w:val="00EE5A17"/>
    <w:rsid w:val="00EE5A6A"/>
    <w:rsid w:val="00EE5AC5"/>
    <w:rsid w:val="00EE5B4D"/>
    <w:rsid w:val="00EE5F2C"/>
    <w:rsid w:val="00EE6172"/>
    <w:rsid w:val="00EE61D4"/>
    <w:rsid w:val="00EE63F8"/>
    <w:rsid w:val="00EE649B"/>
    <w:rsid w:val="00EE6615"/>
    <w:rsid w:val="00EE662B"/>
    <w:rsid w:val="00EE672D"/>
    <w:rsid w:val="00EE694A"/>
    <w:rsid w:val="00EE6A8E"/>
    <w:rsid w:val="00EE6ABB"/>
    <w:rsid w:val="00EE6B17"/>
    <w:rsid w:val="00EE6C56"/>
    <w:rsid w:val="00EE6CB2"/>
    <w:rsid w:val="00EE6CB5"/>
    <w:rsid w:val="00EE6F9D"/>
    <w:rsid w:val="00EE7056"/>
    <w:rsid w:val="00EE711D"/>
    <w:rsid w:val="00EE7232"/>
    <w:rsid w:val="00EE72B3"/>
    <w:rsid w:val="00EE73A3"/>
    <w:rsid w:val="00EE753C"/>
    <w:rsid w:val="00EE754D"/>
    <w:rsid w:val="00EE7580"/>
    <w:rsid w:val="00EE7765"/>
    <w:rsid w:val="00EE77FB"/>
    <w:rsid w:val="00EE77FD"/>
    <w:rsid w:val="00EE78A6"/>
    <w:rsid w:val="00EE7989"/>
    <w:rsid w:val="00EE7A21"/>
    <w:rsid w:val="00EE7ABC"/>
    <w:rsid w:val="00EE7AEE"/>
    <w:rsid w:val="00EE7B72"/>
    <w:rsid w:val="00EE7C8B"/>
    <w:rsid w:val="00EE7ED5"/>
    <w:rsid w:val="00EE7F7A"/>
    <w:rsid w:val="00EE7FE4"/>
    <w:rsid w:val="00EE7FFC"/>
    <w:rsid w:val="00EF01B2"/>
    <w:rsid w:val="00EF044F"/>
    <w:rsid w:val="00EF047A"/>
    <w:rsid w:val="00EF0620"/>
    <w:rsid w:val="00EF063F"/>
    <w:rsid w:val="00EF06A2"/>
    <w:rsid w:val="00EF070B"/>
    <w:rsid w:val="00EF07BF"/>
    <w:rsid w:val="00EF08DC"/>
    <w:rsid w:val="00EF097E"/>
    <w:rsid w:val="00EF09B7"/>
    <w:rsid w:val="00EF0A2E"/>
    <w:rsid w:val="00EF0AAD"/>
    <w:rsid w:val="00EF0AEB"/>
    <w:rsid w:val="00EF0C7B"/>
    <w:rsid w:val="00EF0CD9"/>
    <w:rsid w:val="00EF0D45"/>
    <w:rsid w:val="00EF0F7F"/>
    <w:rsid w:val="00EF0FD0"/>
    <w:rsid w:val="00EF120A"/>
    <w:rsid w:val="00EF13F1"/>
    <w:rsid w:val="00EF143F"/>
    <w:rsid w:val="00EF1684"/>
    <w:rsid w:val="00EF199A"/>
    <w:rsid w:val="00EF1A24"/>
    <w:rsid w:val="00EF1BA0"/>
    <w:rsid w:val="00EF1CF0"/>
    <w:rsid w:val="00EF1D4E"/>
    <w:rsid w:val="00EF1EA1"/>
    <w:rsid w:val="00EF20F6"/>
    <w:rsid w:val="00EF2195"/>
    <w:rsid w:val="00EF22F8"/>
    <w:rsid w:val="00EF2363"/>
    <w:rsid w:val="00EF23D9"/>
    <w:rsid w:val="00EF2471"/>
    <w:rsid w:val="00EF26E9"/>
    <w:rsid w:val="00EF2748"/>
    <w:rsid w:val="00EF2A1D"/>
    <w:rsid w:val="00EF2AA9"/>
    <w:rsid w:val="00EF2BBE"/>
    <w:rsid w:val="00EF2C39"/>
    <w:rsid w:val="00EF2FBD"/>
    <w:rsid w:val="00EF3137"/>
    <w:rsid w:val="00EF3150"/>
    <w:rsid w:val="00EF3208"/>
    <w:rsid w:val="00EF321B"/>
    <w:rsid w:val="00EF333D"/>
    <w:rsid w:val="00EF3446"/>
    <w:rsid w:val="00EF358D"/>
    <w:rsid w:val="00EF392D"/>
    <w:rsid w:val="00EF3A86"/>
    <w:rsid w:val="00EF3A98"/>
    <w:rsid w:val="00EF3B2F"/>
    <w:rsid w:val="00EF3B62"/>
    <w:rsid w:val="00EF3D46"/>
    <w:rsid w:val="00EF3EDF"/>
    <w:rsid w:val="00EF3F26"/>
    <w:rsid w:val="00EF3F68"/>
    <w:rsid w:val="00EF3FBD"/>
    <w:rsid w:val="00EF40A0"/>
    <w:rsid w:val="00EF41D6"/>
    <w:rsid w:val="00EF42FE"/>
    <w:rsid w:val="00EF43D0"/>
    <w:rsid w:val="00EF43E4"/>
    <w:rsid w:val="00EF44F0"/>
    <w:rsid w:val="00EF47A1"/>
    <w:rsid w:val="00EF48EE"/>
    <w:rsid w:val="00EF49AF"/>
    <w:rsid w:val="00EF49BC"/>
    <w:rsid w:val="00EF4B54"/>
    <w:rsid w:val="00EF4BEB"/>
    <w:rsid w:val="00EF4C3E"/>
    <w:rsid w:val="00EF4CF0"/>
    <w:rsid w:val="00EF4CFD"/>
    <w:rsid w:val="00EF4F08"/>
    <w:rsid w:val="00EF5135"/>
    <w:rsid w:val="00EF5352"/>
    <w:rsid w:val="00EF53EC"/>
    <w:rsid w:val="00EF5407"/>
    <w:rsid w:val="00EF547E"/>
    <w:rsid w:val="00EF5558"/>
    <w:rsid w:val="00EF5713"/>
    <w:rsid w:val="00EF5779"/>
    <w:rsid w:val="00EF57B3"/>
    <w:rsid w:val="00EF5923"/>
    <w:rsid w:val="00EF5A67"/>
    <w:rsid w:val="00EF5CCA"/>
    <w:rsid w:val="00EF5D39"/>
    <w:rsid w:val="00EF6052"/>
    <w:rsid w:val="00EF611B"/>
    <w:rsid w:val="00EF62D8"/>
    <w:rsid w:val="00EF646C"/>
    <w:rsid w:val="00EF6494"/>
    <w:rsid w:val="00EF649C"/>
    <w:rsid w:val="00EF656A"/>
    <w:rsid w:val="00EF6705"/>
    <w:rsid w:val="00EF6779"/>
    <w:rsid w:val="00EF67EB"/>
    <w:rsid w:val="00EF67FE"/>
    <w:rsid w:val="00EF680C"/>
    <w:rsid w:val="00EF69DA"/>
    <w:rsid w:val="00EF6A4E"/>
    <w:rsid w:val="00EF6BB5"/>
    <w:rsid w:val="00EF6CE9"/>
    <w:rsid w:val="00EF6F7F"/>
    <w:rsid w:val="00EF7192"/>
    <w:rsid w:val="00EF723C"/>
    <w:rsid w:val="00EF7244"/>
    <w:rsid w:val="00EF72AF"/>
    <w:rsid w:val="00EF73CA"/>
    <w:rsid w:val="00EF764C"/>
    <w:rsid w:val="00EF76D2"/>
    <w:rsid w:val="00EF7729"/>
    <w:rsid w:val="00EF77E8"/>
    <w:rsid w:val="00EF79D5"/>
    <w:rsid w:val="00EF7AF5"/>
    <w:rsid w:val="00EF7C65"/>
    <w:rsid w:val="00EF7CCB"/>
    <w:rsid w:val="00EF7D69"/>
    <w:rsid w:val="00EF7E12"/>
    <w:rsid w:val="00EF7EF5"/>
    <w:rsid w:val="00F00108"/>
    <w:rsid w:val="00F00209"/>
    <w:rsid w:val="00F00225"/>
    <w:rsid w:val="00F002EB"/>
    <w:rsid w:val="00F00381"/>
    <w:rsid w:val="00F00826"/>
    <w:rsid w:val="00F008FC"/>
    <w:rsid w:val="00F009B4"/>
    <w:rsid w:val="00F009B9"/>
    <w:rsid w:val="00F00B18"/>
    <w:rsid w:val="00F00BDE"/>
    <w:rsid w:val="00F00BF2"/>
    <w:rsid w:val="00F00CE4"/>
    <w:rsid w:val="00F00D0C"/>
    <w:rsid w:val="00F00EB0"/>
    <w:rsid w:val="00F00EB1"/>
    <w:rsid w:val="00F00F69"/>
    <w:rsid w:val="00F010AC"/>
    <w:rsid w:val="00F01141"/>
    <w:rsid w:val="00F0139F"/>
    <w:rsid w:val="00F014BE"/>
    <w:rsid w:val="00F01554"/>
    <w:rsid w:val="00F015B9"/>
    <w:rsid w:val="00F017A3"/>
    <w:rsid w:val="00F01996"/>
    <w:rsid w:val="00F019A4"/>
    <w:rsid w:val="00F01A26"/>
    <w:rsid w:val="00F01AFA"/>
    <w:rsid w:val="00F01B00"/>
    <w:rsid w:val="00F01BC5"/>
    <w:rsid w:val="00F01BD5"/>
    <w:rsid w:val="00F01C2B"/>
    <w:rsid w:val="00F01C69"/>
    <w:rsid w:val="00F01E82"/>
    <w:rsid w:val="00F01F3B"/>
    <w:rsid w:val="00F01F62"/>
    <w:rsid w:val="00F01FCC"/>
    <w:rsid w:val="00F020B2"/>
    <w:rsid w:val="00F022A1"/>
    <w:rsid w:val="00F022D2"/>
    <w:rsid w:val="00F02600"/>
    <w:rsid w:val="00F02632"/>
    <w:rsid w:val="00F02731"/>
    <w:rsid w:val="00F02A65"/>
    <w:rsid w:val="00F02ACB"/>
    <w:rsid w:val="00F02D17"/>
    <w:rsid w:val="00F02FA9"/>
    <w:rsid w:val="00F02FFA"/>
    <w:rsid w:val="00F0312C"/>
    <w:rsid w:val="00F0314D"/>
    <w:rsid w:val="00F031C1"/>
    <w:rsid w:val="00F03215"/>
    <w:rsid w:val="00F032C8"/>
    <w:rsid w:val="00F032F0"/>
    <w:rsid w:val="00F03333"/>
    <w:rsid w:val="00F0333A"/>
    <w:rsid w:val="00F0338F"/>
    <w:rsid w:val="00F0351C"/>
    <w:rsid w:val="00F0356F"/>
    <w:rsid w:val="00F0375E"/>
    <w:rsid w:val="00F037EE"/>
    <w:rsid w:val="00F03A67"/>
    <w:rsid w:val="00F03ABF"/>
    <w:rsid w:val="00F03B8A"/>
    <w:rsid w:val="00F03BAA"/>
    <w:rsid w:val="00F03C7D"/>
    <w:rsid w:val="00F03DA6"/>
    <w:rsid w:val="00F03E2F"/>
    <w:rsid w:val="00F03E79"/>
    <w:rsid w:val="00F03FDD"/>
    <w:rsid w:val="00F04017"/>
    <w:rsid w:val="00F0402C"/>
    <w:rsid w:val="00F04075"/>
    <w:rsid w:val="00F04197"/>
    <w:rsid w:val="00F04510"/>
    <w:rsid w:val="00F04573"/>
    <w:rsid w:val="00F04593"/>
    <w:rsid w:val="00F04664"/>
    <w:rsid w:val="00F046AD"/>
    <w:rsid w:val="00F0474A"/>
    <w:rsid w:val="00F047F2"/>
    <w:rsid w:val="00F04823"/>
    <w:rsid w:val="00F04A36"/>
    <w:rsid w:val="00F04BE5"/>
    <w:rsid w:val="00F04C7B"/>
    <w:rsid w:val="00F04D48"/>
    <w:rsid w:val="00F04E6D"/>
    <w:rsid w:val="00F04EA0"/>
    <w:rsid w:val="00F04EB6"/>
    <w:rsid w:val="00F04EE1"/>
    <w:rsid w:val="00F050E9"/>
    <w:rsid w:val="00F05128"/>
    <w:rsid w:val="00F051CA"/>
    <w:rsid w:val="00F05273"/>
    <w:rsid w:val="00F053AD"/>
    <w:rsid w:val="00F054ED"/>
    <w:rsid w:val="00F05523"/>
    <w:rsid w:val="00F0582B"/>
    <w:rsid w:val="00F058A9"/>
    <w:rsid w:val="00F05973"/>
    <w:rsid w:val="00F05C13"/>
    <w:rsid w:val="00F05C99"/>
    <w:rsid w:val="00F05C9A"/>
    <w:rsid w:val="00F05E64"/>
    <w:rsid w:val="00F05F75"/>
    <w:rsid w:val="00F0614E"/>
    <w:rsid w:val="00F061B7"/>
    <w:rsid w:val="00F0629C"/>
    <w:rsid w:val="00F063BC"/>
    <w:rsid w:val="00F06586"/>
    <w:rsid w:val="00F065CE"/>
    <w:rsid w:val="00F06651"/>
    <w:rsid w:val="00F067E3"/>
    <w:rsid w:val="00F0683C"/>
    <w:rsid w:val="00F06921"/>
    <w:rsid w:val="00F0724A"/>
    <w:rsid w:val="00F072B4"/>
    <w:rsid w:val="00F076E2"/>
    <w:rsid w:val="00F0775C"/>
    <w:rsid w:val="00F0779E"/>
    <w:rsid w:val="00F07899"/>
    <w:rsid w:val="00F07911"/>
    <w:rsid w:val="00F079A2"/>
    <w:rsid w:val="00F07A8D"/>
    <w:rsid w:val="00F07B27"/>
    <w:rsid w:val="00F07D8B"/>
    <w:rsid w:val="00F07E11"/>
    <w:rsid w:val="00F07E57"/>
    <w:rsid w:val="00F07E69"/>
    <w:rsid w:val="00F07F87"/>
    <w:rsid w:val="00F07FBB"/>
    <w:rsid w:val="00F0BC40"/>
    <w:rsid w:val="00F100B9"/>
    <w:rsid w:val="00F100D4"/>
    <w:rsid w:val="00F100EA"/>
    <w:rsid w:val="00F101B7"/>
    <w:rsid w:val="00F1034D"/>
    <w:rsid w:val="00F1034E"/>
    <w:rsid w:val="00F10374"/>
    <w:rsid w:val="00F10409"/>
    <w:rsid w:val="00F10482"/>
    <w:rsid w:val="00F10545"/>
    <w:rsid w:val="00F10547"/>
    <w:rsid w:val="00F105CD"/>
    <w:rsid w:val="00F106B6"/>
    <w:rsid w:val="00F106FF"/>
    <w:rsid w:val="00F1070B"/>
    <w:rsid w:val="00F10851"/>
    <w:rsid w:val="00F10A74"/>
    <w:rsid w:val="00F10B98"/>
    <w:rsid w:val="00F10C5F"/>
    <w:rsid w:val="00F10CE3"/>
    <w:rsid w:val="00F10D76"/>
    <w:rsid w:val="00F10DE1"/>
    <w:rsid w:val="00F10DFE"/>
    <w:rsid w:val="00F10E18"/>
    <w:rsid w:val="00F10F40"/>
    <w:rsid w:val="00F1101A"/>
    <w:rsid w:val="00F11195"/>
    <w:rsid w:val="00F113FE"/>
    <w:rsid w:val="00F11453"/>
    <w:rsid w:val="00F11476"/>
    <w:rsid w:val="00F1178E"/>
    <w:rsid w:val="00F117D4"/>
    <w:rsid w:val="00F1197C"/>
    <w:rsid w:val="00F11ABC"/>
    <w:rsid w:val="00F11AF3"/>
    <w:rsid w:val="00F11C68"/>
    <w:rsid w:val="00F11C9B"/>
    <w:rsid w:val="00F11CBD"/>
    <w:rsid w:val="00F11CCC"/>
    <w:rsid w:val="00F11D04"/>
    <w:rsid w:val="00F11F6D"/>
    <w:rsid w:val="00F12038"/>
    <w:rsid w:val="00F1228E"/>
    <w:rsid w:val="00F122A4"/>
    <w:rsid w:val="00F123B7"/>
    <w:rsid w:val="00F123EF"/>
    <w:rsid w:val="00F12540"/>
    <w:rsid w:val="00F125B5"/>
    <w:rsid w:val="00F12614"/>
    <w:rsid w:val="00F12949"/>
    <w:rsid w:val="00F12AC6"/>
    <w:rsid w:val="00F12C88"/>
    <w:rsid w:val="00F12D90"/>
    <w:rsid w:val="00F12E4E"/>
    <w:rsid w:val="00F12F3E"/>
    <w:rsid w:val="00F12FA2"/>
    <w:rsid w:val="00F12FD4"/>
    <w:rsid w:val="00F130AA"/>
    <w:rsid w:val="00F13145"/>
    <w:rsid w:val="00F1316B"/>
    <w:rsid w:val="00F1316F"/>
    <w:rsid w:val="00F131AA"/>
    <w:rsid w:val="00F131E6"/>
    <w:rsid w:val="00F13222"/>
    <w:rsid w:val="00F133DA"/>
    <w:rsid w:val="00F136BD"/>
    <w:rsid w:val="00F137B6"/>
    <w:rsid w:val="00F137C4"/>
    <w:rsid w:val="00F137D5"/>
    <w:rsid w:val="00F13845"/>
    <w:rsid w:val="00F138C6"/>
    <w:rsid w:val="00F139A7"/>
    <w:rsid w:val="00F13A44"/>
    <w:rsid w:val="00F13A70"/>
    <w:rsid w:val="00F13AEE"/>
    <w:rsid w:val="00F13BCE"/>
    <w:rsid w:val="00F13CC4"/>
    <w:rsid w:val="00F13D68"/>
    <w:rsid w:val="00F13D97"/>
    <w:rsid w:val="00F13DF2"/>
    <w:rsid w:val="00F13EEE"/>
    <w:rsid w:val="00F140DF"/>
    <w:rsid w:val="00F1414B"/>
    <w:rsid w:val="00F143EB"/>
    <w:rsid w:val="00F1446C"/>
    <w:rsid w:val="00F144CC"/>
    <w:rsid w:val="00F14554"/>
    <w:rsid w:val="00F1455B"/>
    <w:rsid w:val="00F146AB"/>
    <w:rsid w:val="00F146E8"/>
    <w:rsid w:val="00F147FA"/>
    <w:rsid w:val="00F14817"/>
    <w:rsid w:val="00F148D4"/>
    <w:rsid w:val="00F149FE"/>
    <w:rsid w:val="00F14DC8"/>
    <w:rsid w:val="00F14E28"/>
    <w:rsid w:val="00F14E34"/>
    <w:rsid w:val="00F14E70"/>
    <w:rsid w:val="00F15350"/>
    <w:rsid w:val="00F153E2"/>
    <w:rsid w:val="00F154D7"/>
    <w:rsid w:val="00F15531"/>
    <w:rsid w:val="00F155A6"/>
    <w:rsid w:val="00F15748"/>
    <w:rsid w:val="00F15807"/>
    <w:rsid w:val="00F15864"/>
    <w:rsid w:val="00F15AA1"/>
    <w:rsid w:val="00F15B46"/>
    <w:rsid w:val="00F15CEA"/>
    <w:rsid w:val="00F15EF9"/>
    <w:rsid w:val="00F15FC5"/>
    <w:rsid w:val="00F15FD0"/>
    <w:rsid w:val="00F161A6"/>
    <w:rsid w:val="00F16442"/>
    <w:rsid w:val="00F16513"/>
    <w:rsid w:val="00F16565"/>
    <w:rsid w:val="00F1657D"/>
    <w:rsid w:val="00F165C5"/>
    <w:rsid w:val="00F1662C"/>
    <w:rsid w:val="00F167F4"/>
    <w:rsid w:val="00F1692B"/>
    <w:rsid w:val="00F16A21"/>
    <w:rsid w:val="00F16AFE"/>
    <w:rsid w:val="00F16B22"/>
    <w:rsid w:val="00F16B5A"/>
    <w:rsid w:val="00F16CD5"/>
    <w:rsid w:val="00F16D67"/>
    <w:rsid w:val="00F16E60"/>
    <w:rsid w:val="00F16EDF"/>
    <w:rsid w:val="00F16F1C"/>
    <w:rsid w:val="00F16F2F"/>
    <w:rsid w:val="00F1700A"/>
    <w:rsid w:val="00F170C0"/>
    <w:rsid w:val="00F1710A"/>
    <w:rsid w:val="00F1710E"/>
    <w:rsid w:val="00F1727B"/>
    <w:rsid w:val="00F173F3"/>
    <w:rsid w:val="00F17466"/>
    <w:rsid w:val="00F17522"/>
    <w:rsid w:val="00F175BA"/>
    <w:rsid w:val="00F176FA"/>
    <w:rsid w:val="00F1798E"/>
    <w:rsid w:val="00F179BC"/>
    <w:rsid w:val="00F17AFF"/>
    <w:rsid w:val="00F17CBE"/>
    <w:rsid w:val="00F17D8A"/>
    <w:rsid w:val="00F17E0D"/>
    <w:rsid w:val="00F203E1"/>
    <w:rsid w:val="00F203E8"/>
    <w:rsid w:val="00F204F5"/>
    <w:rsid w:val="00F205B6"/>
    <w:rsid w:val="00F2092C"/>
    <w:rsid w:val="00F209B3"/>
    <w:rsid w:val="00F209E1"/>
    <w:rsid w:val="00F20BB0"/>
    <w:rsid w:val="00F20C30"/>
    <w:rsid w:val="00F20D72"/>
    <w:rsid w:val="00F20D7D"/>
    <w:rsid w:val="00F20F37"/>
    <w:rsid w:val="00F20F81"/>
    <w:rsid w:val="00F20FB6"/>
    <w:rsid w:val="00F20FEC"/>
    <w:rsid w:val="00F21131"/>
    <w:rsid w:val="00F21186"/>
    <w:rsid w:val="00F211C4"/>
    <w:rsid w:val="00F21318"/>
    <w:rsid w:val="00F21480"/>
    <w:rsid w:val="00F215F4"/>
    <w:rsid w:val="00F216D3"/>
    <w:rsid w:val="00F217EC"/>
    <w:rsid w:val="00F218C7"/>
    <w:rsid w:val="00F21995"/>
    <w:rsid w:val="00F219A9"/>
    <w:rsid w:val="00F219E5"/>
    <w:rsid w:val="00F21AEB"/>
    <w:rsid w:val="00F21C7E"/>
    <w:rsid w:val="00F21D99"/>
    <w:rsid w:val="00F21DD0"/>
    <w:rsid w:val="00F21E4B"/>
    <w:rsid w:val="00F2224B"/>
    <w:rsid w:val="00F22481"/>
    <w:rsid w:val="00F2257E"/>
    <w:rsid w:val="00F226AD"/>
    <w:rsid w:val="00F226F4"/>
    <w:rsid w:val="00F226FA"/>
    <w:rsid w:val="00F22854"/>
    <w:rsid w:val="00F229D1"/>
    <w:rsid w:val="00F229F6"/>
    <w:rsid w:val="00F22A8F"/>
    <w:rsid w:val="00F22AF9"/>
    <w:rsid w:val="00F22C89"/>
    <w:rsid w:val="00F22D9D"/>
    <w:rsid w:val="00F22E4B"/>
    <w:rsid w:val="00F22E89"/>
    <w:rsid w:val="00F22F92"/>
    <w:rsid w:val="00F23031"/>
    <w:rsid w:val="00F23176"/>
    <w:rsid w:val="00F23209"/>
    <w:rsid w:val="00F232A5"/>
    <w:rsid w:val="00F232CF"/>
    <w:rsid w:val="00F23306"/>
    <w:rsid w:val="00F233CD"/>
    <w:rsid w:val="00F234EE"/>
    <w:rsid w:val="00F2362B"/>
    <w:rsid w:val="00F237B6"/>
    <w:rsid w:val="00F23992"/>
    <w:rsid w:val="00F23A57"/>
    <w:rsid w:val="00F23BD1"/>
    <w:rsid w:val="00F23D4E"/>
    <w:rsid w:val="00F23D51"/>
    <w:rsid w:val="00F23DDB"/>
    <w:rsid w:val="00F23E8D"/>
    <w:rsid w:val="00F23F58"/>
    <w:rsid w:val="00F24017"/>
    <w:rsid w:val="00F2407B"/>
    <w:rsid w:val="00F2413F"/>
    <w:rsid w:val="00F24190"/>
    <w:rsid w:val="00F242EB"/>
    <w:rsid w:val="00F244A3"/>
    <w:rsid w:val="00F244B9"/>
    <w:rsid w:val="00F2454D"/>
    <w:rsid w:val="00F245E4"/>
    <w:rsid w:val="00F2463B"/>
    <w:rsid w:val="00F24642"/>
    <w:rsid w:val="00F24765"/>
    <w:rsid w:val="00F2482B"/>
    <w:rsid w:val="00F248E8"/>
    <w:rsid w:val="00F2492C"/>
    <w:rsid w:val="00F24AB0"/>
    <w:rsid w:val="00F24B1F"/>
    <w:rsid w:val="00F24DCD"/>
    <w:rsid w:val="00F24E40"/>
    <w:rsid w:val="00F24F5B"/>
    <w:rsid w:val="00F25021"/>
    <w:rsid w:val="00F25112"/>
    <w:rsid w:val="00F2550E"/>
    <w:rsid w:val="00F25567"/>
    <w:rsid w:val="00F25723"/>
    <w:rsid w:val="00F25992"/>
    <w:rsid w:val="00F261F7"/>
    <w:rsid w:val="00F26272"/>
    <w:rsid w:val="00F263C1"/>
    <w:rsid w:val="00F263EE"/>
    <w:rsid w:val="00F2640D"/>
    <w:rsid w:val="00F26496"/>
    <w:rsid w:val="00F26594"/>
    <w:rsid w:val="00F26596"/>
    <w:rsid w:val="00F2672B"/>
    <w:rsid w:val="00F2684C"/>
    <w:rsid w:val="00F268D3"/>
    <w:rsid w:val="00F2696D"/>
    <w:rsid w:val="00F26C68"/>
    <w:rsid w:val="00F26D64"/>
    <w:rsid w:val="00F26D70"/>
    <w:rsid w:val="00F26D9C"/>
    <w:rsid w:val="00F26DC8"/>
    <w:rsid w:val="00F26E34"/>
    <w:rsid w:val="00F26F0F"/>
    <w:rsid w:val="00F26FBB"/>
    <w:rsid w:val="00F27097"/>
    <w:rsid w:val="00F270E7"/>
    <w:rsid w:val="00F271B0"/>
    <w:rsid w:val="00F2731B"/>
    <w:rsid w:val="00F273ED"/>
    <w:rsid w:val="00F27432"/>
    <w:rsid w:val="00F275FD"/>
    <w:rsid w:val="00F2791F"/>
    <w:rsid w:val="00F2797C"/>
    <w:rsid w:val="00F27BC8"/>
    <w:rsid w:val="00F27C54"/>
    <w:rsid w:val="00F27CA7"/>
    <w:rsid w:val="00F27CED"/>
    <w:rsid w:val="00F27D1A"/>
    <w:rsid w:val="00F27DAA"/>
    <w:rsid w:val="00F27E27"/>
    <w:rsid w:val="00F30079"/>
    <w:rsid w:val="00F30129"/>
    <w:rsid w:val="00F30155"/>
    <w:rsid w:val="00F30455"/>
    <w:rsid w:val="00F3047F"/>
    <w:rsid w:val="00F304A7"/>
    <w:rsid w:val="00F30670"/>
    <w:rsid w:val="00F306A4"/>
    <w:rsid w:val="00F30A76"/>
    <w:rsid w:val="00F30BD2"/>
    <w:rsid w:val="00F30D88"/>
    <w:rsid w:val="00F30E03"/>
    <w:rsid w:val="00F30E42"/>
    <w:rsid w:val="00F30E7B"/>
    <w:rsid w:val="00F30F3B"/>
    <w:rsid w:val="00F3101B"/>
    <w:rsid w:val="00F310AD"/>
    <w:rsid w:val="00F31130"/>
    <w:rsid w:val="00F311DF"/>
    <w:rsid w:val="00F31450"/>
    <w:rsid w:val="00F31452"/>
    <w:rsid w:val="00F314A1"/>
    <w:rsid w:val="00F314F8"/>
    <w:rsid w:val="00F31555"/>
    <w:rsid w:val="00F315C0"/>
    <w:rsid w:val="00F31616"/>
    <w:rsid w:val="00F31638"/>
    <w:rsid w:val="00F31776"/>
    <w:rsid w:val="00F317CE"/>
    <w:rsid w:val="00F31825"/>
    <w:rsid w:val="00F31888"/>
    <w:rsid w:val="00F31AED"/>
    <w:rsid w:val="00F31D59"/>
    <w:rsid w:val="00F32110"/>
    <w:rsid w:val="00F32123"/>
    <w:rsid w:val="00F321B0"/>
    <w:rsid w:val="00F322B4"/>
    <w:rsid w:val="00F32316"/>
    <w:rsid w:val="00F32342"/>
    <w:rsid w:val="00F32362"/>
    <w:rsid w:val="00F3253C"/>
    <w:rsid w:val="00F32551"/>
    <w:rsid w:val="00F32806"/>
    <w:rsid w:val="00F32998"/>
    <w:rsid w:val="00F329AA"/>
    <w:rsid w:val="00F329C6"/>
    <w:rsid w:val="00F32A16"/>
    <w:rsid w:val="00F32A47"/>
    <w:rsid w:val="00F32B6C"/>
    <w:rsid w:val="00F32DBA"/>
    <w:rsid w:val="00F32F17"/>
    <w:rsid w:val="00F32F9F"/>
    <w:rsid w:val="00F3306B"/>
    <w:rsid w:val="00F33137"/>
    <w:rsid w:val="00F33589"/>
    <w:rsid w:val="00F335DF"/>
    <w:rsid w:val="00F3373B"/>
    <w:rsid w:val="00F33AC2"/>
    <w:rsid w:val="00F33E01"/>
    <w:rsid w:val="00F33E2B"/>
    <w:rsid w:val="00F33ED8"/>
    <w:rsid w:val="00F33EE7"/>
    <w:rsid w:val="00F33F47"/>
    <w:rsid w:val="00F34044"/>
    <w:rsid w:val="00F34144"/>
    <w:rsid w:val="00F342E1"/>
    <w:rsid w:val="00F343E3"/>
    <w:rsid w:val="00F344D3"/>
    <w:rsid w:val="00F3455D"/>
    <w:rsid w:val="00F34574"/>
    <w:rsid w:val="00F3465D"/>
    <w:rsid w:val="00F34669"/>
    <w:rsid w:val="00F34738"/>
    <w:rsid w:val="00F34846"/>
    <w:rsid w:val="00F34BED"/>
    <w:rsid w:val="00F34C23"/>
    <w:rsid w:val="00F34CAE"/>
    <w:rsid w:val="00F34DCB"/>
    <w:rsid w:val="00F34DD5"/>
    <w:rsid w:val="00F34E2B"/>
    <w:rsid w:val="00F34FA6"/>
    <w:rsid w:val="00F35196"/>
    <w:rsid w:val="00F3539D"/>
    <w:rsid w:val="00F35502"/>
    <w:rsid w:val="00F35659"/>
    <w:rsid w:val="00F35D63"/>
    <w:rsid w:val="00F35D99"/>
    <w:rsid w:val="00F35DE0"/>
    <w:rsid w:val="00F35DF4"/>
    <w:rsid w:val="00F35EC3"/>
    <w:rsid w:val="00F36013"/>
    <w:rsid w:val="00F36024"/>
    <w:rsid w:val="00F36042"/>
    <w:rsid w:val="00F360E9"/>
    <w:rsid w:val="00F3620F"/>
    <w:rsid w:val="00F3629D"/>
    <w:rsid w:val="00F362C0"/>
    <w:rsid w:val="00F36303"/>
    <w:rsid w:val="00F3640C"/>
    <w:rsid w:val="00F36894"/>
    <w:rsid w:val="00F368E7"/>
    <w:rsid w:val="00F368F7"/>
    <w:rsid w:val="00F3698A"/>
    <w:rsid w:val="00F36ADA"/>
    <w:rsid w:val="00F36BFB"/>
    <w:rsid w:val="00F36C7D"/>
    <w:rsid w:val="00F36C94"/>
    <w:rsid w:val="00F36CCC"/>
    <w:rsid w:val="00F36D0F"/>
    <w:rsid w:val="00F36D2A"/>
    <w:rsid w:val="00F36D49"/>
    <w:rsid w:val="00F36F20"/>
    <w:rsid w:val="00F36F5D"/>
    <w:rsid w:val="00F36F9B"/>
    <w:rsid w:val="00F37012"/>
    <w:rsid w:val="00F37114"/>
    <w:rsid w:val="00F37190"/>
    <w:rsid w:val="00F37420"/>
    <w:rsid w:val="00F3742F"/>
    <w:rsid w:val="00F376C3"/>
    <w:rsid w:val="00F3780E"/>
    <w:rsid w:val="00F37848"/>
    <w:rsid w:val="00F378B0"/>
    <w:rsid w:val="00F37925"/>
    <w:rsid w:val="00F379CB"/>
    <w:rsid w:val="00F37AC0"/>
    <w:rsid w:val="00F37AC4"/>
    <w:rsid w:val="00F37AD2"/>
    <w:rsid w:val="00F37BE6"/>
    <w:rsid w:val="00F37C3D"/>
    <w:rsid w:val="00F37D39"/>
    <w:rsid w:val="00F37E13"/>
    <w:rsid w:val="00F37E68"/>
    <w:rsid w:val="00F37E6A"/>
    <w:rsid w:val="00F37F98"/>
    <w:rsid w:val="00F37FE5"/>
    <w:rsid w:val="00F400C1"/>
    <w:rsid w:val="00F400CC"/>
    <w:rsid w:val="00F402A5"/>
    <w:rsid w:val="00F403B8"/>
    <w:rsid w:val="00F403C2"/>
    <w:rsid w:val="00F404C1"/>
    <w:rsid w:val="00F40505"/>
    <w:rsid w:val="00F405C5"/>
    <w:rsid w:val="00F405D2"/>
    <w:rsid w:val="00F40660"/>
    <w:rsid w:val="00F4068F"/>
    <w:rsid w:val="00F406A3"/>
    <w:rsid w:val="00F406F0"/>
    <w:rsid w:val="00F408CD"/>
    <w:rsid w:val="00F40B16"/>
    <w:rsid w:val="00F40BE0"/>
    <w:rsid w:val="00F40DE9"/>
    <w:rsid w:val="00F40E09"/>
    <w:rsid w:val="00F40F0D"/>
    <w:rsid w:val="00F40FC2"/>
    <w:rsid w:val="00F4108B"/>
    <w:rsid w:val="00F41149"/>
    <w:rsid w:val="00F4116F"/>
    <w:rsid w:val="00F411F5"/>
    <w:rsid w:val="00F41284"/>
    <w:rsid w:val="00F412B6"/>
    <w:rsid w:val="00F41313"/>
    <w:rsid w:val="00F41442"/>
    <w:rsid w:val="00F41510"/>
    <w:rsid w:val="00F415A5"/>
    <w:rsid w:val="00F4169A"/>
    <w:rsid w:val="00F416DC"/>
    <w:rsid w:val="00F41728"/>
    <w:rsid w:val="00F4179A"/>
    <w:rsid w:val="00F41986"/>
    <w:rsid w:val="00F41A89"/>
    <w:rsid w:val="00F41AB5"/>
    <w:rsid w:val="00F41BDE"/>
    <w:rsid w:val="00F41C65"/>
    <w:rsid w:val="00F41E1C"/>
    <w:rsid w:val="00F420A7"/>
    <w:rsid w:val="00F42149"/>
    <w:rsid w:val="00F4223D"/>
    <w:rsid w:val="00F42280"/>
    <w:rsid w:val="00F425A4"/>
    <w:rsid w:val="00F425E4"/>
    <w:rsid w:val="00F42827"/>
    <w:rsid w:val="00F42A81"/>
    <w:rsid w:val="00F42B5D"/>
    <w:rsid w:val="00F42D56"/>
    <w:rsid w:val="00F42DB0"/>
    <w:rsid w:val="00F42DD2"/>
    <w:rsid w:val="00F43070"/>
    <w:rsid w:val="00F43096"/>
    <w:rsid w:val="00F430BF"/>
    <w:rsid w:val="00F43297"/>
    <w:rsid w:val="00F43326"/>
    <w:rsid w:val="00F4344C"/>
    <w:rsid w:val="00F435AB"/>
    <w:rsid w:val="00F4369A"/>
    <w:rsid w:val="00F436ED"/>
    <w:rsid w:val="00F437EE"/>
    <w:rsid w:val="00F43A55"/>
    <w:rsid w:val="00F43B3A"/>
    <w:rsid w:val="00F43E82"/>
    <w:rsid w:val="00F43E9E"/>
    <w:rsid w:val="00F43F3B"/>
    <w:rsid w:val="00F43F78"/>
    <w:rsid w:val="00F4400A"/>
    <w:rsid w:val="00F44018"/>
    <w:rsid w:val="00F44050"/>
    <w:rsid w:val="00F4408E"/>
    <w:rsid w:val="00F440AA"/>
    <w:rsid w:val="00F44148"/>
    <w:rsid w:val="00F4415B"/>
    <w:rsid w:val="00F441CC"/>
    <w:rsid w:val="00F443E7"/>
    <w:rsid w:val="00F44548"/>
    <w:rsid w:val="00F445D9"/>
    <w:rsid w:val="00F445F6"/>
    <w:rsid w:val="00F4460A"/>
    <w:rsid w:val="00F44870"/>
    <w:rsid w:val="00F44910"/>
    <w:rsid w:val="00F4497E"/>
    <w:rsid w:val="00F449C7"/>
    <w:rsid w:val="00F44A72"/>
    <w:rsid w:val="00F44A7A"/>
    <w:rsid w:val="00F44B8B"/>
    <w:rsid w:val="00F44BAF"/>
    <w:rsid w:val="00F44C30"/>
    <w:rsid w:val="00F44D1D"/>
    <w:rsid w:val="00F44F64"/>
    <w:rsid w:val="00F4501B"/>
    <w:rsid w:val="00F4518E"/>
    <w:rsid w:val="00F452CC"/>
    <w:rsid w:val="00F4533E"/>
    <w:rsid w:val="00F4540A"/>
    <w:rsid w:val="00F45440"/>
    <w:rsid w:val="00F4547B"/>
    <w:rsid w:val="00F4580E"/>
    <w:rsid w:val="00F458D2"/>
    <w:rsid w:val="00F458F4"/>
    <w:rsid w:val="00F45946"/>
    <w:rsid w:val="00F459A8"/>
    <w:rsid w:val="00F45B96"/>
    <w:rsid w:val="00F45CF0"/>
    <w:rsid w:val="00F45E3D"/>
    <w:rsid w:val="00F45FE1"/>
    <w:rsid w:val="00F46060"/>
    <w:rsid w:val="00F46152"/>
    <w:rsid w:val="00F46181"/>
    <w:rsid w:val="00F461F9"/>
    <w:rsid w:val="00F46338"/>
    <w:rsid w:val="00F46585"/>
    <w:rsid w:val="00F466C3"/>
    <w:rsid w:val="00F46CC2"/>
    <w:rsid w:val="00F46E95"/>
    <w:rsid w:val="00F46ED8"/>
    <w:rsid w:val="00F46FA9"/>
    <w:rsid w:val="00F47176"/>
    <w:rsid w:val="00F47227"/>
    <w:rsid w:val="00F47250"/>
    <w:rsid w:val="00F47312"/>
    <w:rsid w:val="00F47510"/>
    <w:rsid w:val="00F47546"/>
    <w:rsid w:val="00F4757B"/>
    <w:rsid w:val="00F47590"/>
    <w:rsid w:val="00F4759D"/>
    <w:rsid w:val="00F47659"/>
    <w:rsid w:val="00F47952"/>
    <w:rsid w:val="00F47B94"/>
    <w:rsid w:val="00F47EBF"/>
    <w:rsid w:val="00F500C3"/>
    <w:rsid w:val="00F50321"/>
    <w:rsid w:val="00F5034D"/>
    <w:rsid w:val="00F50385"/>
    <w:rsid w:val="00F504FF"/>
    <w:rsid w:val="00F50514"/>
    <w:rsid w:val="00F507AB"/>
    <w:rsid w:val="00F50849"/>
    <w:rsid w:val="00F50976"/>
    <w:rsid w:val="00F50A19"/>
    <w:rsid w:val="00F50B87"/>
    <w:rsid w:val="00F50BBB"/>
    <w:rsid w:val="00F50D84"/>
    <w:rsid w:val="00F50E95"/>
    <w:rsid w:val="00F50EC8"/>
    <w:rsid w:val="00F510E0"/>
    <w:rsid w:val="00F5111E"/>
    <w:rsid w:val="00F5116E"/>
    <w:rsid w:val="00F5121E"/>
    <w:rsid w:val="00F5130A"/>
    <w:rsid w:val="00F5169D"/>
    <w:rsid w:val="00F517B4"/>
    <w:rsid w:val="00F517C8"/>
    <w:rsid w:val="00F51812"/>
    <w:rsid w:val="00F51839"/>
    <w:rsid w:val="00F5186F"/>
    <w:rsid w:val="00F51901"/>
    <w:rsid w:val="00F51A30"/>
    <w:rsid w:val="00F51AE1"/>
    <w:rsid w:val="00F51AE3"/>
    <w:rsid w:val="00F51BBB"/>
    <w:rsid w:val="00F51CA7"/>
    <w:rsid w:val="00F51E10"/>
    <w:rsid w:val="00F51EF9"/>
    <w:rsid w:val="00F51F47"/>
    <w:rsid w:val="00F520BE"/>
    <w:rsid w:val="00F524E4"/>
    <w:rsid w:val="00F52526"/>
    <w:rsid w:val="00F52583"/>
    <w:rsid w:val="00F5269E"/>
    <w:rsid w:val="00F52771"/>
    <w:rsid w:val="00F52791"/>
    <w:rsid w:val="00F5279C"/>
    <w:rsid w:val="00F52ADE"/>
    <w:rsid w:val="00F52C28"/>
    <w:rsid w:val="00F52EA0"/>
    <w:rsid w:val="00F52F09"/>
    <w:rsid w:val="00F530D5"/>
    <w:rsid w:val="00F53209"/>
    <w:rsid w:val="00F53216"/>
    <w:rsid w:val="00F53282"/>
    <w:rsid w:val="00F53355"/>
    <w:rsid w:val="00F5352D"/>
    <w:rsid w:val="00F5358B"/>
    <w:rsid w:val="00F535A8"/>
    <w:rsid w:val="00F53718"/>
    <w:rsid w:val="00F53AEC"/>
    <w:rsid w:val="00F53CA9"/>
    <w:rsid w:val="00F53DDB"/>
    <w:rsid w:val="00F53F18"/>
    <w:rsid w:val="00F53F6C"/>
    <w:rsid w:val="00F53F78"/>
    <w:rsid w:val="00F5402B"/>
    <w:rsid w:val="00F54090"/>
    <w:rsid w:val="00F5451A"/>
    <w:rsid w:val="00F54554"/>
    <w:rsid w:val="00F54638"/>
    <w:rsid w:val="00F5465C"/>
    <w:rsid w:val="00F546B8"/>
    <w:rsid w:val="00F54722"/>
    <w:rsid w:val="00F5472A"/>
    <w:rsid w:val="00F548D7"/>
    <w:rsid w:val="00F54BFE"/>
    <w:rsid w:val="00F54C55"/>
    <w:rsid w:val="00F54DF5"/>
    <w:rsid w:val="00F54E92"/>
    <w:rsid w:val="00F54F04"/>
    <w:rsid w:val="00F54F17"/>
    <w:rsid w:val="00F54F41"/>
    <w:rsid w:val="00F5502A"/>
    <w:rsid w:val="00F55061"/>
    <w:rsid w:val="00F55141"/>
    <w:rsid w:val="00F55285"/>
    <w:rsid w:val="00F5543E"/>
    <w:rsid w:val="00F55671"/>
    <w:rsid w:val="00F556E5"/>
    <w:rsid w:val="00F5574A"/>
    <w:rsid w:val="00F5591C"/>
    <w:rsid w:val="00F5592F"/>
    <w:rsid w:val="00F55ABA"/>
    <w:rsid w:val="00F55B75"/>
    <w:rsid w:val="00F55C1C"/>
    <w:rsid w:val="00F55CEF"/>
    <w:rsid w:val="00F55F4B"/>
    <w:rsid w:val="00F56356"/>
    <w:rsid w:val="00F56371"/>
    <w:rsid w:val="00F564EF"/>
    <w:rsid w:val="00F56551"/>
    <w:rsid w:val="00F56662"/>
    <w:rsid w:val="00F567BA"/>
    <w:rsid w:val="00F5682B"/>
    <w:rsid w:val="00F568C7"/>
    <w:rsid w:val="00F5694D"/>
    <w:rsid w:val="00F56A25"/>
    <w:rsid w:val="00F56A26"/>
    <w:rsid w:val="00F56BB8"/>
    <w:rsid w:val="00F56C62"/>
    <w:rsid w:val="00F56EFC"/>
    <w:rsid w:val="00F56EFD"/>
    <w:rsid w:val="00F57175"/>
    <w:rsid w:val="00F57225"/>
    <w:rsid w:val="00F57548"/>
    <w:rsid w:val="00F57575"/>
    <w:rsid w:val="00F577AA"/>
    <w:rsid w:val="00F578A8"/>
    <w:rsid w:val="00F5794A"/>
    <w:rsid w:val="00F5798A"/>
    <w:rsid w:val="00F57A1A"/>
    <w:rsid w:val="00F57D31"/>
    <w:rsid w:val="00F57DD3"/>
    <w:rsid w:val="00F57EBF"/>
    <w:rsid w:val="00F60091"/>
    <w:rsid w:val="00F600B3"/>
    <w:rsid w:val="00F600D7"/>
    <w:rsid w:val="00F601AE"/>
    <w:rsid w:val="00F603BD"/>
    <w:rsid w:val="00F60421"/>
    <w:rsid w:val="00F6047E"/>
    <w:rsid w:val="00F604D6"/>
    <w:rsid w:val="00F604DF"/>
    <w:rsid w:val="00F604F6"/>
    <w:rsid w:val="00F6060B"/>
    <w:rsid w:val="00F60640"/>
    <w:rsid w:val="00F6077B"/>
    <w:rsid w:val="00F608FE"/>
    <w:rsid w:val="00F60981"/>
    <w:rsid w:val="00F60ADD"/>
    <w:rsid w:val="00F60B28"/>
    <w:rsid w:val="00F60CCE"/>
    <w:rsid w:val="00F60D9F"/>
    <w:rsid w:val="00F60E86"/>
    <w:rsid w:val="00F60EF8"/>
    <w:rsid w:val="00F61108"/>
    <w:rsid w:val="00F612F8"/>
    <w:rsid w:val="00F613EA"/>
    <w:rsid w:val="00F61468"/>
    <w:rsid w:val="00F614B6"/>
    <w:rsid w:val="00F615CD"/>
    <w:rsid w:val="00F617D3"/>
    <w:rsid w:val="00F61825"/>
    <w:rsid w:val="00F618BE"/>
    <w:rsid w:val="00F618EA"/>
    <w:rsid w:val="00F61A3F"/>
    <w:rsid w:val="00F61A9C"/>
    <w:rsid w:val="00F61AF5"/>
    <w:rsid w:val="00F61C2E"/>
    <w:rsid w:val="00F61DD1"/>
    <w:rsid w:val="00F62065"/>
    <w:rsid w:val="00F620E3"/>
    <w:rsid w:val="00F620F7"/>
    <w:rsid w:val="00F62307"/>
    <w:rsid w:val="00F62335"/>
    <w:rsid w:val="00F62337"/>
    <w:rsid w:val="00F62355"/>
    <w:rsid w:val="00F62369"/>
    <w:rsid w:val="00F6240E"/>
    <w:rsid w:val="00F625B4"/>
    <w:rsid w:val="00F62755"/>
    <w:rsid w:val="00F62951"/>
    <w:rsid w:val="00F62B2D"/>
    <w:rsid w:val="00F62CA9"/>
    <w:rsid w:val="00F62DA1"/>
    <w:rsid w:val="00F62E4D"/>
    <w:rsid w:val="00F62F17"/>
    <w:rsid w:val="00F63040"/>
    <w:rsid w:val="00F6332D"/>
    <w:rsid w:val="00F63505"/>
    <w:rsid w:val="00F6351F"/>
    <w:rsid w:val="00F63982"/>
    <w:rsid w:val="00F639B2"/>
    <w:rsid w:val="00F639C2"/>
    <w:rsid w:val="00F63C7B"/>
    <w:rsid w:val="00F63CDC"/>
    <w:rsid w:val="00F63D52"/>
    <w:rsid w:val="00F63DC7"/>
    <w:rsid w:val="00F63E13"/>
    <w:rsid w:val="00F63E66"/>
    <w:rsid w:val="00F6403B"/>
    <w:rsid w:val="00F64068"/>
    <w:rsid w:val="00F64173"/>
    <w:rsid w:val="00F64436"/>
    <w:rsid w:val="00F64443"/>
    <w:rsid w:val="00F645FC"/>
    <w:rsid w:val="00F6462B"/>
    <w:rsid w:val="00F64788"/>
    <w:rsid w:val="00F64A2F"/>
    <w:rsid w:val="00F64C3F"/>
    <w:rsid w:val="00F64D35"/>
    <w:rsid w:val="00F64DC7"/>
    <w:rsid w:val="00F64E46"/>
    <w:rsid w:val="00F64E4C"/>
    <w:rsid w:val="00F64E8D"/>
    <w:rsid w:val="00F65034"/>
    <w:rsid w:val="00F65137"/>
    <w:rsid w:val="00F651B5"/>
    <w:rsid w:val="00F651F8"/>
    <w:rsid w:val="00F6522C"/>
    <w:rsid w:val="00F652B9"/>
    <w:rsid w:val="00F652C8"/>
    <w:rsid w:val="00F653A7"/>
    <w:rsid w:val="00F65470"/>
    <w:rsid w:val="00F65480"/>
    <w:rsid w:val="00F6554F"/>
    <w:rsid w:val="00F6557A"/>
    <w:rsid w:val="00F65666"/>
    <w:rsid w:val="00F6575C"/>
    <w:rsid w:val="00F65785"/>
    <w:rsid w:val="00F6579C"/>
    <w:rsid w:val="00F657EA"/>
    <w:rsid w:val="00F658DA"/>
    <w:rsid w:val="00F6593B"/>
    <w:rsid w:val="00F65A99"/>
    <w:rsid w:val="00F65C81"/>
    <w:rsid w:val="00F65CAB"/>
    <w:rsid w:val="00F65CB1"/>
    <w:rsid w:val="00F65D52"/>
    <w:rsid w:val="00F65DFE"/>
    <w:rsid w:val="00F65E2D"/>
    <w:rsid w:val="00F6604C"/>
    <w:rsid w:val="00F660A6"/>
    <w:rsid w:val="00F660D7"/>
    <w:rsid w:val="00F6625E"/>
    <w:rsid w:val="00F6627F"/>
    <w:rsid w:val="00F665E8"/>
    <w:rsid w:val="00F667D5"/>
    <w:rsid w:val="00F66B05"/>
    <w:rsid w:val="00F66DAE"/>
    <w:rsid w:val="00F66E9E"/>
    <w:rsid w:val="00F66EBD"/>
    <w:rsid w:val="00F66F0B"/>
    <w:rsid w:val="00F66FA9"/>
    <w:rsid w:val="00F6704C"/>
    <w:rsid w:val="00F6707D"/>
    <w:rsid w:val="00F670DE"/>
    <w:rsid w:val="00F6716D"/>
    <w:rsid w:val="00F6724B"/>
    <w:rsid w:val="00F67281"/>
    <w:rsid w:val="00F672E6"/>
    <w:rsid w:val="00F673DD"/>
    <w:rsid w:val="00F67588"/>
    <w:rsid w:val="00F67746"/>
    <w:rsid w:val="00F677B6"/>
    <w:rsid w:val="00F67928"/>
    <w:rsid w:val="00F67A06"/>
    <w:rsid w:val="00F67A82"/>
    <w:rsid w:val="00F67AE0"/>
    <w:rsid w:val="00F67B21"/>
    <w:rsid w:val="00F67CB6"/>
    <w:rsid w:val="00F67D88"/>
    <w:rsid w:val="00F7002A"/>
    <w:rsid w:val="00F70094"/>
    <w:rsid w:val="00F700AC"/>
    <w:rsid w:val="00F70112"/>
    <w:rsid w:val="00F70216"/>
    <w:rsid w:val="00F70340"/>
    <w:rsid w:val="00F703B0"/>
    <w:rsid w:val="00F7054A"/>
    <w:rsid w:val="00F707EC"/>
    <w:rsid w:val="00F70802"/>
    <w:rsid w:val="00F708E0"/>
    <w:rsid w:val="00F70925"/>
    <w:rsid w:val="00F7094C"/>
    <w:rsid w:val="00F70B4D"/>
    <w:rsid w:val="00F70BDF"/>
    <w:rsid w:val="00F70C4D"/>
    <w:rsid w:val="00F70D50"/>
    <w:rsid w:val="00F70D84"/>
    <w:rsid w:val="00F70E29"/>
    <w:rsid w:val="00F710AF"/>
    <w:rsid w:val="00F711D8"/>
    <w:rsid w:val="00F711E6"/>
    <w:rsid w:val="00F71587"/>
    <w:rsid w:val="00F71878"/>
    <w:rsid w:val="00F718D2"/>
    <w:rsid w:val="00F7194F"/>
    <w:rsid w:val="00F71969"/>
    <w:rsid w:val="00F71C44"/>
    <w:rsid w:val="00F71CB7"/>
    <w:rsid w:val="00F71D75"/>
    <w:rsid w:val="00F71DB7"/>
    <w:rsid w:val="00F71EC2"/>
    <w:rsid w:val="00F7205A"/>
    <w:rsid w:val="00F720BB"/>
    <w:rsid w:val="00F721E2"/>
    <w:rsid w:val="00F723CB"/>
    <w:rsid w:val="00F723F4"/>
    <w:rsid w:val="00F727CB"/>
    <w:rsid w:val="00F7284E"/>
    <w:rsid w:val="00F7290A"/>
    <w:rsid w:val="00F72B8D"/>
    <w:rsid w:val="00F72C24"/>
    <w:rsid w:val="00F72CBA"/>
    <w:rsid w:val="00F72DDE"/>
    <w:rsid w:val="00F72E4C"/>
    <w:rsid w:val="00F72FFA"/>
    <w:rsid w:val="00F730AA"/>
    <w:rsid w:val="00F730C1"/>
    <w:rsid w:val="00F73325"/>
    <w:rsid w:val="00F73336"/>
    <w:rsid w:val="00F73614"/>
    <w:rsid w:val="00F737EA"/>
    <w:rsid w:val="00F7381C"/>
    <w:rsid w:val="00F738B0"/>
    <w:rsid w:val="00F738EE"/>
    <w:rsid w:val="00F7396B"/>
    <w:rsid w:val="00F73AE0"/>
    <w:rsid w:val="00F73B0B"/>
    <w:rsid w:val="00F73C09"/>
    <w:rsid w:val="00F73C12"/>
    <w:rsid w:val="00F73E10"/>
    <w:rsid w:val="00F73E54"/>
    <w:rsid w:val="00F73EAB"/>
    <w:rsid w:val="00F73EC8"/>
    <w:rsid w:val="00F74361"/>
    <w:rsid w:val="00F743EA"/>
    <w:rsid w:val="00F74428"/>
    <w:rsid w:val="00F74627"/>
    <w:rsid w:val="00F746DC"/>
    <w:rsid w:val="00F7481F"/>
    <w:rsid w:val="00F74B4E"/>
    <w:rsid w:val="00F74BA2"/>
    <w:rsid w:val="00F74BED"/>
    <w:rsid w:val="00F74BF2"/>
    <w:rsid w:val="00F74BFC"/>
    <w:rsid w:val="00F74E5A"/>
    <w:rsid w:val="00F75049"/>
    <w:rsid w:val="00F750A0"/>
    <w:rsid w:val="00F75120"/>
    <w:rsid w:val="00F753E3"/>
    <w:rsid w:val="00F75694"/>
    <w:rsid w:val="00F757DC"/>
    <w:rsid w:val="00F75903"/>
    <w:rsid w:val="00F75957"/>
    <w:rsid w:val="00F759CB"/>
    <w:rsid w:val="00F75A03"/>
    <w:rsid w:val="00F75A33"/>
    <w:rsid w:val="00F75A9A"/>
    <w:rsid w:val="00F75AC4"/>
    <w:rsid w:val="00F75ADA"/>
    <w:rsid w:val="00F75B5B"/>
    <w:rsid w:val="00F75BC3"/>
    <w:rsid w:val="00F75BF8"/>
    <w:rsid w:val="00F75C37"/>
    <w:rsid w:val="00F75C81"/>
    <w:rsid w:val="00F75C95"/>
    <w:rsid w:val="00F75D3E"/>
    <w:rsid w:val="00F75D60"/>
    <w:rsid w:val="00F75E9A"/>
    <w:rsid w:val="00F75EE9"/>
    <w:rsid w:val="00F75F31"/>
    <w:rsid w:val="00F75F63"/>
    <w:rsid w:val="00F7609C"/>
    <w:rsid w:val="00F76450"/>
    <w:rsid w:val="00F7656E"/>
    <w:rsid w:val="00F7658C"/>
    <w:rsid w:val="00F7664D"/>
    <w:rsid w:val="00F766B7"/>
    <w:rsid w:val="00F769B2"/>
    <w:rsid w:val="00F76D30"/>
    <w:rsid w:val="00F76D8C"/>
    <w:rsid w:val="00F76D92"/>
    <w:rsid w:val="00F76DE1"/>
    <w:rsid w:val="00F76EBF"/>
    <w:rsid w:val="00F770DF"/>
    <w:rsid w:val="00F77138"/>
    <w:rsid w:val="00F771F2"/>
    <w:rsid w:val="00F772A0"/>
    <w:rsid w:val="00F772C2"/>
    <w:rsid w:val="00F7738B"/>
    <w:rsid w:val="00F774AA"/>
    <w:rsid w:val="00F774D5"/>
    <w:rsid w:val="00F77564"/>
    <w:rsid w:val="00F77636"/>
    <w:rsid w:val="00F77825"/>
    <w:rsid w:val="00F77A09"/>
    <w:rsid w:val="00F77A12"/>
    <w:rsid w:val="00F77B23"/>
    <w:rsid w:val="00F77B6B"/>
    <w:rsid w:val="00F77BD0"/>
    <w:rsid w:val="00F77CC6"/>
    <w:rsid w:val="00F77DC1"/>
    <w:rsid w:val="00F77E40"/>
    <w:rsid w:val="00F800D4"/>
    <w:rsid w:val="00F801F0"/>
    <w:rsid w:val="00F80264"/>
    <w:rsid w:val="00F802A4"/>
    <w:rsid w:val="00F803D1"/>
    <w:rsid w:val="00F80671"/>
    <w:rsid w:val="00F8068F"/>
    <w:rsid w:val="00F8072A"/>
    <w:rsid w:val="00F807B9"/>
    <w:rsid w:val="00F8082E"/>
    <w:rsid w:val="00F80970"/>
    <w:rsid w:val="00F80A9F"/>
    <w:rsid w:val="00F80BDE"/>
    <w:rsid w:val="00F80BFE"/>
    <w:rsid w:val="00F80CDF"/>
    <w:rsid w:val="00F80DB8"/>
    <w:rsid w:val="00F80F28"/>
    <w:rsid w:val="00F8115B"/>
    <w:rsid w:val="00F812A1"/>
    <w:rsid w:val="00F812B1"/>
    <w:rsid w:val="00F812CB"/>
    <w:rsid w:val="00F812D2"/>
    <w:rsid w:val="00F81325"/>
    <w:rsid w:val="00F81340"/>
    <w:rsid w:val="00F81349"/>
    <w:rsid w:val="00F819CF"/>
    <w:rsid w:val="00F81A47"/>
    <w:rsid w:val="00F81B10"/>
    <w:rsid w:val="00F81CF1"/>
    <w:rsid w:val="00F81D19"/>
    <w:rsid w:val="00F81E26"/>
    <w:rsid w:val="00F81FC4"/>
    <w:rsid w:val="00F8218E"/>
    <w:rsid w:val="00F822C8"/>
    <w:rsid w:val="00F82671"/>
    <w:rsid w:val="00F82721"/>
    <w:rsid w:val="00F8277E"/>
    <w:rsid w:val="00F8278C"/>
    <w:rsid w:val="00F82875"/>
    <w:rsid w:val="00F82961"/>
    <w:rsid w:val="00F82983"/>
    <w:rsid w:val="00F829AD"/>
    <w:rsid w:val="00F82A2F"/>
    <w:rsid w:val="00F82A59"/>
    <w:rsid w:val="00F82AF0"/>
    <w:rsid w:val="00F82B8B"/>
    <w:rsid w:val="00F82E50"/>
    <w:rsid w:val="00F82EE6"/>
    <w:rsid w:val="00F8301A"/>
    <w:rsid w:val="00F8305A"/>
    <w:rsid w:val="00F830D3"/>
    <w:rsid w:val="00F830FA"/>
    <w:rsid w:val="00F83107"/>
    <w:rsid w:val="00F83408"/>
    <w:rsid w:val="00F8378F"/>
    <w:rsid w:val="00F8381B"/>
    <w:rsid w:val="00F838AB"/>
    <w:rsid w:val="00F83A9E"/>
    <w:rsid w:val="00F83B23"/>
    <w:rsid w:val="00F83B36"/>
    <w:rsid w:val="00F83B99"/>
    <w:rsid w:val="00F83BDC"/>
    <w:rsid w:val="00F83CFA"/>
    <w:rsid w:val="00F83DCF"/>
    <w:rsid w:val="00F83E06"/>
    <w:rsid w:val="00F84238"/>
    <w:rsid w:val="00F84335"/>
    <w:rsid w:val="00F84337"/>
    <w:rsid w:val="00F8447F"/>
    <w:rsid w:val="00F844B8"/>
    <w:rsid w:val="00F844D0"/>
    <w:rsid w:val="00F8450B"/>
    <w:rsid w:val="00F845F2"/>
    <w:rsid w:val="00F8460E"/>
    <w:rsid w:val="00F84790"/>
    <w:rsid w:val="00F847CB"/>
    <w:rsid w:val="00F84889"/>
    <w:rsid w:val="00F84A7A"/>
    <w:rsid w:val="00F84AC0"/>
    <w:rsid w:val="00F84B2D"/>
    <w:rsid w:val="00F84CAD"/>
    <w:rsid w:val="00F84F15"/>
    <w:rsid w:val="00F84FD6"/>
    <w:rsid w:val="00F850C8"/>
    <w:rsid w:val="00F8512A"/>
    <w:rsid w:val="00F852BA"/>
    <w:rsid w:val="00F85334"/>
    <w:rsid w:val="00F8549F"/>
    <w:rsid w:val="00F85584"/>
    <w:rsid w:val="00F85662"/>
    <w:rsid w:val="00F856F1"/>
    <w:rsid w:val="00F85792"/>
    <w:rsid w:val="00F857AA"/>
    <w:rsid w:val="00F857F5"/>
    <w:rsid w:val="00F85838"/>
    <w:rsid w:val="00F85845"/>
    <w:rsid w:val="00F858E7"/>
    <w:rsid w:val="00F85903"/>
    <w:rsid w:val="00F8590B"/>
    <w:rsid w:val="00F85B11"/>
    <w:rsid w:val="00F85BD5"/>
    <w:rsid w:val="00F85D40"/>
    <w:rsid w:val="00F85D7D"/>
    <w:rsid w:val="00F85E4E"/>
    <w:rsid w:val="00F85EC2"/>
    <w:rsid w:val="00F85EEF"/>
    <w:rsid w:val="00F85FCC"/>
    <w:rsid w:val="00F860EB"/>
    <w:rsid w:val="00F86223"/>
    <w:rsid w:val="00F8654C"/>
    <w:rsid w:val="00F86550"/>
    <w:rsid w:val="00F86582"/>
    <w:rsid w:val="00F86593"/>
    <w:rsid w:val="00F8671D"/>
    <w:rsid w:val="00F8679E"/>
    <w:rsid w:val="00F867DF"/>
    <w:rsid w:val="00F868AE"/>
    <w:rsid w:val="00F86A02"/>
    <w:rsid w:val="00F86A7A"/>
    <w:rsid w:val="00F86C38"/>
    <w:rsid w:val="00F86CEF"/>
    <w:rsid w:val="00F87194"/>
    <w:rsid w:val="00F872FA"/>
    <w:rsid w:val="00F874B6"/>
    <w:rsid w:val="00F875E0"/>
    <w:rsid w:val="00F87616"/>
    <w:rsid w:val="00F87630"/>
    <w:rsid w:val="00F876B4"/>
    <w:rsid w:val="00F877F0"/>
    <w:rsid w:val="00F8797C"/>
    <w:rsid w:val="00F87B54"/>
    <w:rsid w:val="00F87CD7"/>
    <w:rsid w:val="00F87D75"/>
    <w:rsid w:val="00F87DAF"/>
    <w:rsid w:val="00F87DF2"/>
    <w:rsid w:val="00F87EF7"/>
    <w:rsid w:val="00F87FAB"/>
    <w:rsid w:val="00F9007F"/>
    <w:rsid w:val="00F900B6"/>
    <w:rsid w:val="00F90172"/>
    <w:rsid w:val="00F901F3"/>
    <w:rsid w:val="00F902A6"/>
    <w:rsid w:val="00F90389"/>
    <w:rsid w:val="00F90507"/>
    <w:rsid w:val="00F90566"/>
    <w:rsid w:val="00F905D2"/>
    <w:rsid w:val="00F905FD"/>
    <w:rsid w:val="00F9069B"/>
    <w:rsid w:val="00F9075C"/>
    <w:rsid w:val="00F90797"/>
    <w:rsid w:val="00F90830"/>
    <w:rsid w:val="00F908C6"/>
    <w:rsid w:val="00F90AB2"/>
    <w:rsid w:val="00F90ADE"/>
    <w:rsid w:val="00F90BEA"/>
    <w:rsid w:val="00F90C4D"/>
    <w:rsid w:val="00F90DF8"/>
    <w:rsid w:val="00F90E1C"/>
    <w:rsid w:val="00F90E4F"/>
    <w:rsid w:val="00F90EE8"/>
    <w:rsid w:val="00F90F25"/>
    <w:rsid w:val="00F9104B"/>
    <w:rsid w:val="00F910A9"/>
    <w:rsid w:val="00F912EE"/>
    <w:rsid w:val="00F91343"/>
    <w:rsid w:val="00F913E6"/>
    <w:rsid w:val="00F915D2"/>
    <w:rsid w:val="00F915EC"/>
    <w:rsid w:val="00F91742"/>
    <w:rsid w:val="00F918AA"/>
    <w:rsid w:val="00F918CF"/>
    <w:rsid w:val="00F91A08"/>
    <w:rsid w:val="00F91C85"/>
    <w:rsid w:val="00F91CF3"/>
    <w:rsid w:val="00F91D5C"/>
    <w:rsid w:val="00F91EFC"/>
    <w:rsid w:val="00F91F15"/>
    <w:rsid w:val="00F91F1F"/>
    <w:rsid w:val="00F91F4F"/>
    <w:rsid w:val="00F91FB4"/>
    <w:rsid w:val="00F92111"/>
    <w:rsid w:val="00F9212F"/>
    <w:rsid w:val="00F92201"/>
    <w:rsid w:val="00F92246"/>
    <w:rsid w:val="00F9226B"/>
    <w:rsid w:val="00F92361"/>
    <w:rsid w:val="00F9236F"/>
    <w:rsid w:val="00F924DD"/>
    <w:rsid w:val="00F92636"/>
    <w:rsid w:val="00F92723"/>
    <w:rsid w:val="00F92735"/>
    <w:rsid w:val="00F9288A"/>
    <w:rsid w:val="00F928A5"/>
    <w:rsid w:val="00F928C1"/>
    <w:rsid w:val="00F92A68"/>
    <w:rsid w:val="00F92CBF"/>
    <w:rsid w:val="00F92D89"/>
    <w:rsid w:val="00F92F15"/>
    <w:rsid w:val="00F92F4D"/>
    <w:rsid w:val="00F92FFD"/>
    <w:rsid w:val="00F93022"/>
    <w:rsid w:val="00F93097"/>
    <w:rsid w:val="00F93162"/>
    <w:rsid w:val="00F931D5"/>
    <w:rsid w:val="00F93210"/>
    <w:rsid w:val="00F9326C"/>
    <w:rsid w:val="00F932F4"/>
    <w:rsid w:val="00F933D5"/>
    <w:rsid w:val="00F93476"/>
    <w:rsid w:val="00F934C0"/>
    <w:rsid w:val="00F93538"/>
    <w:rsid w:val="00F93575"/>
    <w:rsid w:val="00F93591"/>
    <w:rsid w:val="00F935B2"/>
    <w:rsid w:val="00F9365C"/>
    <w:rsid w:val="00F936D8"/>
    <w:rsid w:val="00F93760"/>
    <w:rsid w:val="00F9388B"/>
    <w:rsid w:val="00F93982"/>
    <w:rsid w:val="00F93C45"/>
    <w:rsid w:val="00F93CCD"/>
    <w:rsid w:val="00F93D11"/>
    <w:rsid w:val="00F93D41"/>
    <w:rsid w:val="00F93D9E"/>
    <w:rsid w:val="00F93E19"/>
    <w:rsid w:val="00F93F0D"/>
    <w:rsid w:val="00F9440E"/>
    <w:rsid w:val="00F9449E"/>
    <w:rsid w:val="00F944BF"/>
    <w:rsid w:val="00F94529"/>
    <w:rsid w:val="00F945A2"/>
    <w:rsid w:val="00F94748"/>
    <w:rsid w:val="00F948B1"/>
    <w:rsid w:val="00F948C4"/>
    <w:rsid w:val="00F9499B"/>
    <w:rsid w:val="00F94B1C"/>
    <w:rsid w:val="00F94B9B"/>
    <w:rsid w:val="00F94BB8"/>
    <w:rsid w:val="00F94BC8"/>
    <w:rsid w:val="00F94CB1"/>
    <w:rsid w:val="00F94F96"/>
    <w:rsid w:val="00F95007"/>
    <w:rsid w:val="00F950A4"/>
    <w:rsid w:val="00F95266"/>
    <w:rsid w:val="00F952BE"/>
    <w:rsid w:val="00F95403"/>
    <w:rsid w:val="00F954A4"/>
    <w:rsid w:val="00F9559F"/>
    <w:rsid w:val="00F9563F"/>
    <w:rsid w:val="00F95838"/>
    <w:rsid w:val="00F958D4"/>
    <w:rsid w:val="00F959FC"/>
    <w:rsid w:val="00F95DD8"/>
    <w:rsid w:val="00F95E8F"/>
    <w:rsid w:val="00F95F59"/>
    <w:rsid w:val="00F964B9"/>
    <w:rsid w:val="00F965FF"/>
    <w:rsid w:val="00F96686"/>
    <w:rsid w:val="00F96769"/>
    <w:rsid w:val="00F9694E"/>
    <w:rsid w:val="00F96991"/>
    <w:rsid w:val="00F96BE7"/>
    <w:rsid w:val="00F96D9A"/>
    <w:rsid w:val="00F96DAC"/>
    <w:rsid w:val="00F96E49"/>
    <w:rsid w:val="00F96E7D"/>
    <w:rsid w:val="00F96EF3"/>
    <w:rsid w:val="00F96F45"/>
    <w:rsid w:val="00F96F52"/>
    <w:rsid w:val="00F971DA"/>
    <w:rsid w:val="00F97207"/>
    <w:rsid w:val="00F97222"/>
    <w:rsid w:val="00F9724E"/>
    <w:rsid w:val="00F97258"/>
    <w:rsid w:val="00F97370"/>
    <w:rsid w:val="00F9737F"/>
    <w:rsid w:val="00F974D5"/>
    <w:rsid w:val="00F9758B"/>
    <w:rsid w:val="00F97749"/>
    <w:rsid w:val="00F97817"/>
    <w:rsid w:val="00F97844"/>
    <w:rsid w:val="00F97983"/>
    <w:rsid w:val="00F97BF2"/>
    <w:rsid w:val="00F97CA5"/>
    <w:rsid w:val="00F97D5A"/>
    <w:rsid w:val="00F97DA9"/>
    <w:rsid w:val="00F97DE5"/>
    <w:rsid w:val="00FA0046"/>
    <w:rsid w:val="00FA01D4"/>
    <w:rsid w:val="00FA022B"/>
    <w:rsid w:val="00FA03D7"/>
    <w:rsid w:val="00FA04B3"/>
    <w:rsid w:val="00FA05CA"/>
    <w:rsid w:val="00FA05DA"/>
    <w:rsid w:val="00FA0663"/>
    <w:rsid w:val="00FA070F"/>
    <w:rsid w:val="00FA0807"/>
    <w:rsid w:val="00FA09AF"/>
    <w:rsid w:val="00FA0A6C"/>
    <w:rsid w:val="00FA0A87"/>
    <w:rsid w:val="00FA0A9D"/>
    <w:rsid w:val="00FA0DBD"/>
    <w:rsid w:val="00FA0E77"/>
    <w:rsid w:val="00FA0F05"/>
    <w:rsid w:val="00FA0F6F"/>
    <w:rsid w:val="00FA10C1"/>
    <w:rsid w:val="00FA113B"/>
    <w:rsid w:val="00FA11B0"/>
    <w:rsid w:val="00FA136A"/>
    <w:rsid w:val="00FA1470"/>
    <w:rsid w:val="00FA154B"/>
    <w:rsid w:val="00FA15FA"/>
    <w:rsid w:val="00FA17C9"/>
    <w:rsid w:val="00FA189C"/>
    <w:rsid w:val="00FA189D"/>
    <w:rsid w:val="00FA1909"/>
    <w:rsid w:val="00FA19E0"/>
    <w:rsid w:val="00FA1C7D"/>
    <w:rsid w:val="00FA1D51"/>
    <w:rsid w:val="00FA1F12"/>
    <w:rsid w:val="00FA204C"/>
    <w:rsid w:val="00FA2213"/>
    <w:rsid w:val="00FA2228"/>
    <w:rsid w:val="00FA22AB"/>
    <w:rsid w:val="00FA22C6"/>
    <w:rsid w:val="00FA23E7"/>
    <w:rsid w:val="00FA2886"/>
    <w:rsid w:val="00FA2AF5"/>
    <w:rsid w:val="00FA2AF9"/>
    <w:rsid w:val="00FA2B2D"/>
    <w:rsid w:val="00FA2B51"/>
    <w:rsid w:val="00FA2BD5"/>
    <w:rsid w:val="00FA2DFE"/>
    <w:rsid w:val="00FA2ED3"/>
    <w:rsid w:val="00FA2EDB"/>
    <w:rsid w:val="00FA319D"/>
    <w:rsid w:val="00FA32E2"/>
    <w:rsid w:val="00FA3323"/>
    <w:rsid w:val="00FA33AD"/>
    <w:rsid w:val="00FA342C"/>
    <w:rsid w:val="00FA3489"/>
    <w:rsid w:val="00FA3491"/>
    <w:rsid w:val="00FA3564"/>
    <w:rsid w:val="00FA35D5"/>
    <w:rsid w:val="00FA3602"/>
    <w:rsid w:val="00FA3685"/>
    <w:rsid w:val="00FA3707"/>
    <w:rsid w:val="00FA37E2"/>
    <w:rsid w:val="00FA3B09"/>
    <w:rsid w:val="00FA3C7A"/>
    <w:rsid w:val="00FA3C9C"/>
    <w:rsid w:val="00FA3DEA"/>
    <w:rsid w:val="00FA3EDA"/>
    <w:rsid w:val="00FA3EFF"/>
    <w:rsid w:val="00FA3FD5"/>
    <w:rsid w:val="00FA4019"/>
    <w:rsid w:val="00FA406F"/>
    <w:rsid w:val="00FA4074"/>
    <w:rsid w:val="00FA417A"/>
    <w:rsid w:val="00FA447A"/>
    <w:rsid w:val="00FA4582"/>
    <w:rsid w:val="00FA45B7"/>
    <w:rsid w:val="00FA478D"/>
    <w:rsid w:val="00FA490F"/>
    <w:rsid w:val="00FA4932"/>
    <w:rsid w:val="00FA49AC"/>
    <w:rsid w:val="00FA4A35"/>
    <w:rsid w:val="00FA4B80"/>
    <w:rsid w:val="00FA4BB2"/>
    <w:rsid w:val="00FA4D18"/>
    <w:rsid w:val="00FA4E3D"/>
    <w:rsid w:val="00FA4E5A"/>
    <w:rsid w:val="00FA4F3B"/>
    <w:rsid w:val="00FA4FD8"/>
    <w:rsid w:val="00FA5046"/>
    <w:rsid w:val="00FA515D"/>
    <w:rsid w:val="00FA5281"/>
    <w:rsid w:val="00FA52A9"/>
    <w:rsid w:val="00FA53A3"/>
    <w:rsid w:val="00FA54EA"/>
    <w:rsid w:val="00FA563D"/>
    <w:rsid w:val="00FA56D5"/>
    <w:rsid w:val="00FA5702"/>
    <w:rsid w:val="00FA590B"/>
    <w:rsid w:val="00FA5A2E"/>
    <w:rsid w:val="00FA5BCB"/>
    <w:rsid w:val="00FA5BF7"/>
    <w:rsid w:val="00FA5C95"/>
    <w:rsid w:val="00FA5D23"/>
    <w:rsid w:val="00FA5D74"/>
    <w:rsid w:val="00FA5EC0"/>
    <w:rsid w:val="00FA5F08"/>
    <w:rsid w:val="00FA5F6E"/>
    <w:rsid w:val="00FA6134"/>
    <w:rsid w:val="00FA622F"/>
    <w:rsid w:val="00FA62A0"/>
    <w:rsid w:val="00FA6353"/>
    <w:rsid w:val="00FA6446"/>
    <w:rsid w:val="00FA6451"/>
    <w:rsid w:val="00FA6578"/>
    <w:rsid w:val="00FA6607"/>
    <w:rsid w:val="00FA6806"/>
    <w:rsid w:val="00FA68FD"/>
    <w:rsid w:val="00FA69DC"/>
    <w:rsid w:val="00FA6A3C"/>
    <w:rsid w:val="00FA6A86"/>
    <w:rsid w:val="00FA6B65"/>
    <w:rsid w:val="00FA6C0D"/>
    <w:rsid w:val="00FA6CC0"/>
    <w:rsid w:val="00FA6CFF"/>
    <w:rsid w:val="00FA6D80"/>
    <w:rsid w:val="00FA6E5D"/>
    <w:rsid w:val="00FA6FF9"/>
    <w:rsid w:val="00FA72B3"/>
    <w:rsid w:val="00FA7351"/>
    <w:rsid w:val="00FA7369"/>
    <w:rsid w:val="00FA753B"/>
    <w:rsid w:val="00FA758D"/>
    <w:rsid w:val="00FA764B"/>
    <w:rsid w:val="00FA771D"/>
    <w:rsid w:val="00FA779E"/>
    <w:rsid w:val="00FA77BB"/>
    <w:rsid w:val="00FA77E8"/>
    <w:rsid w:val="00FA7B6C"/>
    <w:rsid w:val="00FA7BB8"/>
    <w:rsid w:val="00FA7C12"/>
    <w:rsid w:val="00FA7C35"/>
    <w:rsid w:val="00FA7F35"/>
    <w:rsid w:val="00FA7FA2"/>
    <w:rsid w:val="00FB017A"/>
    <w:rsid w:val="00FB018A"/>
    <w:rsid w:val="00FB0295"/>
    <w:rsid w:val="00FB0311"/>
    <w:rsid w:val="00FB03AE"/>
    <w:rsid w:val="00FB075B"/>
    <w:rsid w:val="00FB0841"/>
    <w:rsid w:val="00FB089E"/>
    <w:rsid w:val="00FB0B2A"/>
    <w:rsid w:val="00FB0B4F"/>
    <w:rsid w:val="00FB0B87"/>
    <w:rsid w:val="00FB0CF2"/>
    <w:rsid w:val="00FB0DA4"/>
    <w:rsid w:val="00FB0EFD"/>
    <w:rsid w:val="00FB0F08"/>
    <w:rsid w:val="00FB0F8D"/>
    <w:rsid w:val="00FB104C"/>
    <w:rsid w:val="00FB1095"/>
    <w:rsid w:val="00FB10BA"/>
    <w:rsid w:val="00FB1695"/>
    <w:rsid w:val="00FB16E3"/>
    <w:rsid w:val="00FB178B"/>
    <w:rsid w:val="00FB17E2"/>
    <w:rsid w:val="00FB1870"/>
    <w:rsid w:val="00FB188C"/>
    <w:rsid w:val="00FB1A66"/>
    <w:rsid w:val="00FB1A7B"/>
    <w:rsid w:val="00FB1B15"/>
    <w:rsid w:val="00FB1C0A"/>
    <w:rsid w:val="00FB1CEA"/>
    <w:rsid w:val="00FB1E9A"/>
    <w:rsid w:val="00FB2036"/>
    <w:rsid w:val="00FB2099"/>
    <w:rsid w:val="00FB2278"/>
    <w:rsid w:val="00FB271F"/>
    <w:rsid w:val="00FB27D3"/>
    <w:rsid w:val="00FB285B"/>
    <w:rsid w:val="00FB28AC"/>
    <w:rsid w:val="00FB2914"/>
    <w:rsid w:val="00FB293D"/>
    <w:rsid w:val="00FB2953"/>
    <w:rsid w:val="00FB2A07"/>
    <w:rsid w:val="00FB2AC7"/>
    <w:rsid w:val="00FB2B07"/>
    <w:rsid w:val="00FB2C3D"/>
    <w:rsid w:val="00FB2C56"/>
    <w:rsid w:val="00FB2CDD"/>
    <w:rsid w:val="00FB2D36"/>
    <w:rsid w:val="00FB2EF1"/>
    <w:rsid w:val="00FB2FF9"/>
    <w:rsid w:val="00FB30D5"/>
    <w:rsid w:val="00FB3133"/>
    <w:rsid w:val="00FB3369"/>
    <w:rsid w:val="00FB33CA"/>
    <w:rsid w:val="00FB34C8"/>
    <w:rsid w:val="00FB3537"/>
    <w:rsid w:val="00FB3567"/>
    <w:rsid w:val="00FB36E7"/>
    <w:rsid w:val="00FB370C"/>
    <w:rsid w:val="00FB3719"/>
    <w:rsid w:val="00FB3865"/>
    <w:rsid w:val="00FB38E8"/>
    <w:rsid w:val="00FB39CD"/>
    <w:rsid w:val="00FB3F22"/>
    <w:rsid w:val="00FB3F2D"/>
    <w:rsid w:val="00FB3FD4"/>
    <w:rsid w:val="00FB3FF6"/>
    <w:rsid w:val="00FB40EC"/>
    <w:rsid w:val="00FB40EE"/>
    <w:rsid w:val="00FB414C"/>
    <w:rsid w:val="00FB4326"/>
    <w:rsid w:val="00FB440F"/>
    <w:rsid w:val="00FB4441"/>
    <w:rsid w:val="00FB466A"/>
    <w:rsid w:val="00FB4696"/>
    <w:rsid w:val="00FB46B7"/>
    <w:rsid w:val="00FB46D3"/>
    <w:rsid w:val="00FB4787"/>
    <w:rsid w:val="00FB47EB"/>
    <w:rsid w:val="00FB4872"/>
    <w:rsid w:val="00FB48FF"/>
    <w:rsid w:val="00FB4903"/>
    <w:rsid w:val="00FB49DE"/>
    <w:rsid w:val="00FB4A18"/>
    <w:rsid w:val="00FB4BA1"/>
    <w:rsid w:val="00FB4BB0"/>
    <w:rsid w:val="00FB4BC1"/>
    <w:rsid w:val="00FB4DBE"/>
    <w:rsid w:val="00FB4DF3"/>
    <w:rsid w:val="00FB4E08"/>
    <w:rsid w:val="00FB4FB0"/>
    <w:rsid w:val="00FB5020"/>
    <w:rsid w:val="00FB505A"/>
    <w:rsid w:val="00FB505F"/>
    <w:rsid w:val="00FB5089"/>
    <w:rsid w:val="00FB5163"/>
    <w:rsid w:val="00FB51BB"/>
    <w:rsid w:val="00FB528F"/>
    <w:rsid w:val="00FB5391"/>
    <w:rsid w:val="00FB53F7"/>
    <w:rsid w:val="00FB561A"/>
    <w:rsid w:val="00FB5682"/>
    <w:rsid w:val="00FB5922"/>
    <w:rsid w:val="00FB5B8E"/>
    <w:rsid w:val="00FB5BE5"/>
    <w:rsid w:val="00FB5D7D"/>
    <w:rsid w:val="00FB6295"/>
    <w:rsid w:val="00FB66C4"/>
    <w:rsid w:val="00FB671E"/>
    <w:rsid w:val="00FB6878"/>
    <w:rsid w:val="00FB6B8D"/>
    <w:rsid w:val="00FB6D5B"/>
    <w:rsid w:val="00FB6E01"/>
    <w:rsid w:val="00FB71AC"/>
    <w:rsid w:val="00FB71ED"/>
    <w:rsid w:val="00FB7262"/>
    <w:rsid w:val="00FB7280"/>
    <w:rsid w:val="00FB775F"/>
    <w:rsid w:val="00FB78A7"/>
    <w:rsid w:val="00FB7930"/>
    <w:rsid w:val="00FB7961"/>
    <w:rsid w:val="00FB79D3"/>
    <w:rsid w:val="00FB7A16"/>
    <w:rsid w:val="00FB7C29"/>
    <w:rsid w:val="00FB7C94"/>
    <w:rsid w:val="00FB7EC2"/>
    <w:rsid w:val="00FB7F7A"/>
    <w:rsid w:val="00FB7F7C"/>
    <w:rsid w:val="00FC01F9"/>
    <w:rsid w:val="00FC02BC"/>
    <w:rsid w:val="00FC038B"/>
    <w:rsid w:val="00FC03A3"/>
    <w:rsid w:val="00FC04ED"/>
    <w:rsid w:val="00FC05C4"/>
    <w:rsid w:val="00FC069E"/>
    <w:rsid w:val="00FC07CF"/>
    <w:rsid w:val="00FC0965"/>
    <w:rsid w:val="00FC09DA"/>
    <w:rsid w:val="00FC0A57"/>
    <w:rsid w:val="00FC0AD6"/>
    <w:rsid w:val="00FC0CC3"/>
    <w:rsid w:val="00FC0D23"/>
    <w:rsid w:val="00FC0D4C"/>
    <w:rsid w:val="00FC0F23"/>
    <w:rsid w:val="00FC1131"/>
    <w:rsid w:val="00FC1211"/>
    <w:rsid w:val="00FC12A9"/>
    <w:rsid w:val="00FC148C"/>
    <w:rsid w:val="00FC14A6"/>
    <w:rsid w:val="00FC1503"/>
    <w:rsid w:val="00FC15D3"/>
    <w:rsid w:val="00FC1640"/>
    <w:rsid w:val="00FC1777"/>
    <w:rsid w:val="00FC18C5"/>
    <w:rsid w:val="00FC1ACD"/>
    <w:rsid w:val="00FC1AE9"/>
    <w:rsid w:val="00FC1B25"/>
    <w:rsid w:val="00FC1C02"/>
    <w:rsid w:val="00FC1F4A"/>
    <w:rsid w:val="00FC20CE"/>
    <w:rsid w:val="00FC22DF"/>
    <w:rsid w:val="00FC23D7"/>
    <w:rsid w:val="00FC2433"/>
    <w:rsid w:val="00FC248C"/>
    <w:rsid w:val="00FC2586"/>
    <w:rsid w:val="00FC2825"/>
    <w:rsid w:val="00FC2868"/>
    <w:rsid w:val="00FC28AA"/>
    <w:rsid w:val="00FC29F2"/>
    <w:rsid w:val="00FC2A02"/>
    <w:rsid w:val="00FC2AAD"/>
    <w:rsid w:val="00FC2C06"/>
    <w:rsid w:val="00FC2C2D"/>
    <w:rsid w:val="00FC2C4A"/>
    <w:rsid w:val="00FC2C77"/>
    <w:rsid w:val="00FC2E37"/>
    <w:rsid w:val="00FC2F40"/>
    <w:rsid w:val="00FC2F7D"/>
    <w:rsid w:val="00FC2F87"/>
    <w:rsid w:val="00FC2F88"/>
    <w:rsid w:val="00FC31EC"/>
    <w:rsid w:val="00FC3205"/>
    <w:rsid w:val="00FC33BC"/>
    <w:rsid w:val="00FC3427"/>
    <w:rsid w:val="00FC34C2"/>
    <w:rsid w:val="00FC3643"/>
    <w:rsid w:val="00FC376D"/>
    <w:rsid w:val="00FC39F2"/>
    <w:rsid w:val="00FC3B1B"/>
    <w:rsid w:val="00FC3B4B"/>
    <w:rsid w:val="00FC3B69"/>
    <w:rsid w:val="00FC3D8D"/>
    <w:rsid w:val="00FC3FAB"/>
    <w:rsid w:val="00FC4060"/>
    <w:rsid w:val="00FC407A"/>
    <w:rsid w:val="00FC417E"/>
    <w:rsid w:val="00FC4188"/>
    <w:rsid w:val="00FC43C4"/>
    <w:rsid w:val="00FC44CD"/>
    <w:rsid w:val="00FC463E"/>
    <w:rsid w:val="00FC487F"/>
    <w:rsid w:val="00FC497A"/>
    <w:rsid w:val="00FC498B"/>
    <w:rsid w:val="00FC4A66"/>
    <w:rsid w:val="00FC4B92"/>
    <w:rsid w:val="00FC4C84"/>
    <w:rsid w:val="00FC4C8C"/>
    <w:rsid w:val="00FC4E94"/>
    <w:rsid w:val="00FC4EEF"/>
    <w:rsid w:val="00FC4F2C"/>
    <w:rsid w:val="00FC500E"/>
    <w:rsid w:val="00FC52C3"/>
    <w:rsid w:val="00FC5306"/>
    <w:rsid w:val="00FC5545"/>
    <w:rsid w:val="00FC555F"/>
    <w:rsid w:val="00FC5563"/>
    <w:rsid w:val="00FC557B"/>
    <w:rsid w:val="00FC5688"/>
    <w:rsid w:val="00FC56BA"/>
    <w:rsid w:val="00FC56C7"/>
    <w:rsid w:val="00FC56EB"/>
    <w:rsid w:val="00FC5800"/>
    <w:rsid w:val="00FC599B"/>
    <w:rsid w:val="00FC599C"/>
    <w:rsid w:val="00FC5AF5"/>
    <w:rsid w:val="00FC5B28"/>
    <w:rsid w:val="00FC5B98"/>
    <w:rsid w:val="00FC5BE7"/>
    <w:rsid w:val="00FC5C11"/>
    <w:rsid w:val="00FC5D57"/>
    <w:rsid w:val="00FC5EB4"/>
    <w:rsid w:val="00FC6079"/>
    <w:rsid w:val="00FC60BD"/>
    <w:rsid w:val="00FC615C"/>
    <w:rsid w:val="00FC6185"/>
    <w:rsid w:val="00FC6194"/>
    <w:rsid w:val="00FC6393"/>
    <w:rsid w:val="00FC63F7"/>
    <w:rsid w:val="00FC645B"/>
    <w:rsid w:val="00FC6525"/>
    <w:rsid w:val="00FC653C"/>
    <w:rsid w:val="00FC66B6"/>
    <w:rsid w:val="00FC673D"/>
    <w:rsid w:val="00FC6753"/>
    <w:rsid w:val="00FC67C5"/>
    <w:rsid w:val="00FC681E"/>
    <w:rsid w:val="00FC6AEB"/>
    <w:rsid w:val="00FC6B64"/>
    <w:rsid w:val="00FC6D2E"/>
    <w:rsid w:val="00FC6D42"/>
    <w:rsid w:val="00FC6DD3"/>
    <w:rsid w:val="00FC6DE2"/>
    <w:rsid w:val="00FC6E64"/>
    <w:rsid w:val="00FC6EE3"/>
    <w:rsid w:val="00FC6F27"/>
    <w:rsid w:val="00FC715F"/>
    <w:rsid w:val="00FC7335"/>
    <w:rsid w:val="00FC7546"/>
    <w:rsid w:val="00FC7867"/>
    <w:rsid w:val="00FC7A60"/>
    <w:rsid w:val="00FC7A6D"/>
    <w:rsid w:val="00FC7A99"/>
    <w:rsid w:val="00FC7FB3"/>
    <w:rsid w:val="00FD00F4"/>
    <w:rsid w:val="00FD011B"/>
    <w:rsid w:val="00FD01E2"/>
    <w:rsid w:val="00FD024C"/>
    <w:rsid w:val="00FD03E7"/>
    <w:rsid w:val="00FD0443"/>
    <w:rsid w:val="00FD05C1"/>
    <w:rsid w:val="00FD0606"/>
    <w:rsid w:val="00FD07CC"/>
    <w:rsid w:val="00FD08EC"/>
    <w:rsid w:val="00FD09CF"/>
    <w:rsid w:val="00FD0B99"/>
    <w:rsid w:val="00FD0CF1"/>
    <w:rsid w:val="00FD1043"/>
    <w:rsid w:val="00FD10B0"/>
    <w:rsid w:val="00FD1311"/>
    <w:rsid w:val="00FD13BA"/>
    <w:rsid w:val="00FD1496"/>
    <w:rsid w:val="00FD15D8"/>
    <w:rsid w:val="00FD178D"/>
    <w:rsid w:val="00FD17CB"/>
    <w:rsid w:val="00FD186A"/>
    <w:rsid w:val="00FD19CE"/>
    <w:rsid w:val="00FD1A12"/>
    <w:rsid w:val="00FD1F96"/>
    <w:rsid w:val="00FD1FB6"/>
    <w:rsid w:val="00FD2090"/>
    <w:rsid w:val="00FD21EE"/>
    <w:rsid w:val="00FD221E"/>
    <w:rsid w:val="00FD22E0"/>
    <w:rsid w:val="00FD2390"/>
    <w:rsid w:val="00FD24AB"/>
    <w:rsid w:val="00FD24CD"/>
    <w:rsid w:val="00FD255B"/>
    <w:rsid w:val="00FD257C"/>
    <w:rsid w:val="00FD25A1"/>
    <w:rsid w:val="00FD2842"/>
    <w:rsid w:val="00FD2925"/>
    <w:rsid w:val="00FD2963"/>
    <w:rsid w:val="00FD29CB"/>
    <w:rsid w:val="00FD2A0D"/>
    <w:rsid w:val="00FD2A86"/>
    <w:rsid w:val="00FD2AE4"/>
    <w:rsid w:val="00FD2B7F"/>
    <w:rsid w:val="00FD2BFD"/>
    <w:rsid w:val="00FD2C14"/>
    <w:rsid w:val="00FD2F22"/>
    <w:rsid w:val="00FD3030"/>
    <w:rsid w:val="00FD3041"/>
    <w:rsid w:val="00FD306B"/>
    <w:rsid w:val="00FD321E"/>
    <w:rsid w:val="00FD336D"/>
    <w:rsid w:val="00FD336F"/>
    <w:rsid w:val="00FD33AE"/>
    <w:rsid w:val="00FD3569"/>
    <w:rsid w:val="00FD37A9"/>
    <w:rsid w:val="00FD37CD"/>
    <w:rsid w:val="00FD3B61"/>
    <w:rsid w:val="00FD3BB8"/>
    <w:rsid w:val="00FD3FAD"/>
    <w:rsid w:val="00FD4053"/>
    <w:rsid w:val="00FD40B9"/>
    <w:rsid w:val="00FD42E8"/>
    <w:rsid w:val="00FD4345"/>
    <w:rsid w:val="00FD4388"/>
    <w:rsid w:val="00FD4409"/>
    <w:rsid w:val="00FD45CA"/>
    <w:rsid w:val="00FD4612"/>
    <w:rsid w:val="00FD46B8"/>
    <w:rsid w:val="00FD48D9"/>
    <w:rsid w:val="00FD4A2D"/>
    <w:rsid w:val="00FD4A35"/>
    <w:rsid w:val="00FD4B14"/>
    <w:rsid w:val="00FD4B29"/>
    <w:rsid w:val="00FD4C0D"/>
    <w:rsid w:val="00FD4CC6"/>
    <w:rsid w:val="00FD4DE1"/>
    <w:rsid w:val="00FD4EB4"/>
    <w:rsid w:val="00FD4F60"/>
    <w:rsid w:val="00FD4FBD"/>
    <w:rsid w:val="00FD4FD6"/>
    <w:rsid w:val="00FD5097"/>
    <w:rsid w:val="00FD50A7"/>
    <w:rsid w:val="00FD512D"/>
    <w:rsid w:val="00FD5139"/>
    <w:rsid w:val="00FD514B"/>
    <w:rsid w:val="00FD5299"/>
    <w:rsid w:val="00FD52C1"/>
    <w:rsid w:val="00FD5554"/>
    <w:rsid w:val="00FD5644"/>
    <w:rsid w:val="00FD567E"/>
    <w:rsid w:val="00FD5A3C"/>
    <w:rsid w:val="00FD5A91"/>
    <w:rsid w:val="00FD5BB4"/>
    <w:rsid w:val="00FD5C57"/>
    <w:rsid w:val="00FD5CF9"/>
    <w:rsid w:val="00FD5DA2"/>
    <w:rsid w:val="00FD5EFE"/>
    <w:rsid w:val="00FD63B0"/>
    <w:rsid w:val="00FD6518"/>
    <w:rsid w:val="00FD654B"/>
    <w:rsid w:val="00FD66F3"/>
    <w:rsid w:val="00FD69AA"/>
    <w:rsid w:val="00FD6B9E"/>
    <w:rsid w:val="00FD6BB1"/>
    <w:rsid w:val="00FD6D42"/>
    <w:rsid w:val="00FD6D8C"/>
    <w:rsid w:val="00FD6DD0"/>
    <w:rsid w:val="00FD6FB8"/>
    <w:rsid w:val="00FD70C5"/>
    <w:rsid w:val="00FD716E"/>
    <w:rsid w:val="00FD717E"/>
    <w:rsid w:val="00FD71ED"/>
    <w:rsid w:val="00FD72CF"/>
    <w:rsid w:val="00FD7309"/>
    <w:rsid w:val="00FD740E"/>
    <w:rsid w:val="00FD748F"/>
    <w:rsid w:val="00FD75F1"/>
    <w:rsid w:val="00FD767B"/>
    <w:rsid w:val="00FD7977"/>
    <w:rsid w:val="00FD797D"/>
    <w:rsid w:val="00FD7AD2"/>
    <w:rsid w:val="00FD7DBA"/>
    <w:rsid w:val="00FD7F21"/>
    <w:rsid w:val="00FD7FFD"/>
    <w:rsid w:val="00FE000C"/>
    <w:rsid w:val="00FE004C"/>
    <w:rsid w:val="00FE00DA"/>
    <w:rsid w:val="00FE0106"/>
    <w:rsid w:val="00FE02B8"/>
    <w:rsid w:val="00FE02DA"/>
    <w:rsid w:val="00FE035D"/>
    <w:rsid w:val="00FE03A0"/>
    <w:rsid w:val="00FE0427"/>
    <w:rsid w:val="00FE04BF"/>
    <w:rsid w:val="00FE050F"/>
    <w:rsid w:val="00FE052D"/>
    <w:rsid w:val="00FE0601"/>
    <w:rsid w:val="00FE0608"/>
    <w:rsid w:val="00FE0641"/>
    <w:rsid w:val="00FE0710"/>
    <w:rsid w:val="00FE08FF"/>
    <w:rsid w:val="00FE0D06"/>
    <w:rsid w:val="00FE0E02"/>
    <w:rsid w:val="00FE0E79"/>
    <w:rsid w:val="00FE0EF1"/>
    <w:rsid w:val="00FE0FA8"/>
    <w:rsid w:val="00FE100E"/>
    <w:rsid w:val="00FE11B7"/>
    <w:rsid w:val="00FE1269"/>
    <w:rsid w:val="00FE12A1"/>
    <w:rsid w:val="00FE13F5"/>
    <w:rsid w:val="00FE1404"/>
    <w:rsid w:val="00FE1611"/>
    <w:rsid w:val="00FE1630"/>
    <w:rsid w:val="00FE1675"/>
    <w:rsid w:val="00FE17CF"/>
    <w:rsid w:val="00FE1804"/>
    <w:rsid w:val="00FE1845"/>
    <w:rsid w:val="00FE188C"/>
    <w:rsid w:val="00FE18B5"/>
    <w:rsid w:val="00FE1A0A"/>
    <w:rsid w:val="00FE1A47"/>
    <w:rsid w:val="00FE1A8A"/>
    <w:rsid w:val="00FE1AA5"/>
    <w:rsid w:val="00FE1CCB"/>
    <w:rsid w:val="00FE1D77"/>
    <w:rsid w:val="00FE1F37"/>
    <w:rsid w:val="00FE1F66"/>
    <w:rsid w:val="00FE1FC8"/>
    <w:rsid w:val="00FE1FD1"/>
    <w:rsid w:val="00FE20E8"/>
    <w:rsid w:val="00FE21BC"/>
    <w:rsid w:val="00FE22CD"/>
    <w:rsid w:val="00FE22CF"/>
    <w:rsid w:val="00FE22DB"/>
    <w:rsid w:val="00FE22E4"/>
    <w:rsid w:val="00FE2367"/>
    <w:rsid w:val="00FE2424"/>
    <w:rsid w:val="00FE243B"/>
    <w:rsid w:val="00FE2669"/>
    <w:rsid w:val="00FE26A1"/>
    <w:rsid w:val="00FE285F"/>
    <w:rsid w:val="00FE293F"/>
    <w:rsid w:val="00FE295F"/>
    <w:rsid w:val="00FE29A5"/>
    <w:rsid w:val="00FE2B6C"/>
    <w:rsid w:val="00FE2CA2"/>
    <w:rsid w:val="00FE2CAA"/>
    <w:rsid w:val="00FE2D88"/>
    <w:rsid w:val="00FE2DEE"/>
    <w:rsid w:val="00FE2EAB"/>
    <w:rsid w:val="00FE2F13"/>
    <w:rsid w:val="00FE2FA3"/>
    <w:rsid w:val="00FE3086"/>
    <w:rsid w:val="00FE31AE"/>
    <w:rsid w:val="00FE320E"/>
    <w:rsid w:val="00FE3422"/>
    <w:rsid w:val="00FE3537"/>
    <w:rsid w:val="00FE357D"/>
    <w:rsid w:val="00FE3603"/>
    <w:rsid w:val="00FE388A"/>
    <w:rsid w:val="00FE3981"/>
    <w:rsid w:val="00FE39DC"/>
    <w:rsid w:val="00FE3A15"/>
    <w:rsid w:val="00FE3A21"/>
    <w:rsid w:val="00FE3AD8"/>
    <w:rsid w:val="00FE3AEF"/>
    <w:rsid w:val="00FE3B4C"/>
    <w:rsid w:val="00FE3D92"/>
    <w:rsid w:val="00FE3E4B"/>
    <w:rsid w:val="00FE3EB8"/>
    <w:rsid w:val="00FE3FE2"/>
    <w:rsid w:val="00FE413D"/>
    <w:rsid w:val="00FE41D4"/>
    <w:rsid w:val="00FE44D0"/>
    <w:rsid w:val="00FE45C7"/>
    <w:rsid w:val="00FE46AB"/>
    <w:rsid w:val="00FE47AA"/>
    <w:rsid w:val="00FE4856"/>
    <w:rsid w:val="00FE48AF"/>
    <w:rsid w:val="00FE492C"/>
    <w:rsid w:val="00FE494B"/>
    <w:rsid w:val="00FE4A64"/>
    <w:rsid w:val="00FE4BF6"/>
    <w:rsid w:val="00FE4C5A"/>
    <w:rsid w:val="00FE4CF0"/>
    <w:rsid w:val="00FE4D73"/>
    <w:rsid w:val="00FE4FAF"/>
    <w:rsid w:val="00FE504D"/>
    <w:rsid w:val="00FE507B"/>
    <w:rsid w:val="00FE5180"/>
    <w:rsid w:val="00FE51BC"/>
    <w:rsid w:val="00FE5261"/>
    <w:rsid w:val="00FE535E"/>
    <w:rsid w:val="00FE54EB"/>
    <w:rsid w:val="00FE55BD"/>
    <w:rsid w:val="00FE55C4"/>
    <w:rsid w:val="00FE5791"/>
    <w:rsid w:val="00FE581E"/>
    <w:rsid w:val="00FE58A6"/>
    <w:rsid w:val="00FE5938"/>
    <w:rsid w:val="00FE59AC"/>
    <w:rsid w:val="00FE5A85"/>
    <w:rsid w:val="00FE5B05"/>
    <w:rsid w:val="00FE5C98"/>
    <w:rsid w:val="00FE5CF7"/>
    <w:rsid w:val="00FE5D05"/>
    <w:rsid w:val="00FE5DB6"/>
    <w:rsid w:val="00FE5F58"/>
    <w:rsid w:val="00FE5F9A"/>
    <w:rsid w:val="00FE6096"/>
    <w:rsid w:val="00FE640A"/>
    <w:rsid w:val="00FE65FD"/>
    <w:rsid w:val="00FE662A"/>
    <w:rsid w:val="00FE66B4"/>
    <w:rsid w:val="00FE6725"/>
    <w:rsid w:val="00FE6765"/>
    <w:rsid w:val="00FE67E5"/>
    <w:rsid w:val="00FE6845"/>
    <w:rsid w:val="00FE693C"/>
    <w:rsid w:val="00FE6981"/>
    <w:rsid w:val="00FE6AF3"/>
    <w:rsid w:val="00FE6BB7"/>
    <w:rsid w:val="00FE6C48"/>
    <w:rsid w:val="00FE6D1D"/>
    <w:rsid w:val="00FE7003"/>
    <w:rsid w:val="00FE716F"/>
    <w:rsid w:val="00FE724D"/>
    <w:rsid w:val="00FE727D"/>
    <w:rsid w:val="00FE733A"/>
    <w:rsid w:val="00FE738C"/>
    <w:rsid w:val="00FE7555"/>
    <w:rsid w:val="00FE76DC"/>
    <w:rsid w:val="00FE7837"/>
    <w:rsid w:val="00FE7A70"/>
    <w:rsid w:val="00FE7A7B"/>
    <w:rsid w:val="00FE7BFD"/>
    <w:rsid w:val="00FE7C5E"/>
    <w:rsid w:val="00FE7CDC"/>
    <w:rsid w:val="00FE7D1C"/>
    <w:rsid w:val="00FE7D38"/>
    <w:rsid w:val="00FE7D53"/>
    <w:rsid w:val="00FE7E20"/>
    <w:rsid w:val="00FE7E47"/>
    <w:rsid w:val="00FE7F66"/>
    <w:rsid w:val="00FF0218"/>
    <w:rsid w:val="00FF0255"/>
    <w:rsid w:val="00FF02D8"/>
    <w:rsid w:val="00FF0377"/>
    <w:rsid w:val="00FF05EE"/>
    <w:rsid w:val="00FF061E"/>
    <w:rsid w:val="00FF0657"/>
    <w:rsid w:val="00FF065E"/>
    <w:rsid w:val="00FF0711"/>
    <w:rsid w:val="00FF0744"/>
    <w:rsid w:val="00FF07EA"/>
    <w:rsid w:val="00FF090B"/>
    <w:rsid w:val="00FF0927"/>
    <w:rsid w:val="00FF0A32"/>
    <w:rsid w:val="00FF0A37"/>
    <w:rsid w:val="00FF0A62"/>
    <w:rsid w:val="00FF0ADA"/>
    <w:rsid w:val="00FF0C72"/>
    <w:rsid w:val="00FF0CA4"/>
    <w:rsid w:val="00FF0CF3"/>
    <w:rsid w:val="00FF0DFA"/>
    <w:rsid w:val="00FF0F27"/>
    <w:rsid w:val="00FF0F8F"/>
    <w:rsid w:val="00FF0FB2"/>
    <w:rsid w:val="00FF1022"/>
    <w:rsid w:val="00FF102E"/>
    <w:rsid w:val="00FF1259"/>
    <w:rsid w:val="00FF1319"/>
    <w:rsid w:val="00FF1331"/>
    <w:rsid w:val="00FF139B"/>
    <w:rsid w:val="00FF143A"/>
    <w:rsid w:val="00FF1602"/>
    <w:rsid w:val="00FF1695"/>
    <w:rsid w:val="00FF16F0"/>
    <w:rsid w:val="00FF1B65"/>
    <w:rsid w:val="00FF1BA8"/>
    <w:rsid w:val="00FF1F9A"/>
    <w:rsid w:val="00FF2069"/>
    <w:rsid w:val="00FF2199"/>
    <w:rsid w:val="00FF21A3"/>
    <w:rsid w:val="00FF21C3"/>
    <w:rsid w:val="00FF2266"/>
    <w:rsid w:val="00FF24CB"/>
    <w:rsid w:val="00FF24EE"/>
    <w:rsid w:val="00FF2711"/>
    <w:rsid w:val="00FF28AC"/>
    <w:rsid w:val="00FF296D"/>
    <w:rsid w:val="00FF29C0"/>
    <w:rsid w:val="00FF2B56"/>
    <w:rsid w:val="00FF2BC4"/>
    <w:rsid w:val="00FF2C81"/>
    <w:rsid w:val="00FF2C91"/>
    <w:rsid w:val="00FF2CB6"/>
    <w:rsid w:val="00FF2D1E"/>
    <w:rsid w:val="00FF2D99"/>
    <w:rsid w:val="00FF2EC8"/>
    <w:rsid w:val="00FF2ED8"/>
    <w:rsid w:val="00FF324E"/>
    <w:rsid w:val="00FF34B3"/>
    <w:rsid w:val="00FF35AA"/>
    <w:rsid w:val="00FF35C1"/>
    <w:rsid w:val="00FF361E"/>
    <w:rsid w:val="00FF3723"/>
    <w:rsid w:val="00FF3757"/>
    <w:rsid w:val="00FF376D"/>
    <w:rsid w:val="00FF38AA"/>
    <w:rsid w:val="00FF38F6"/>
    <w:rsid w:val="00FF39FB"/>
    <w:rsid w:val="00FF3AF2"/>
    <w:rsid w:val="00FF3BD8"/>
    <w:rsid w:val="00FF3D32"/>
    <w:rsid w:val="00FF3E3D"/>
    <w:rsid w:val="00FF3F2A"/>
    <w:rsid w:val="00FF3FF6"/>
    <w:rsid w:val="00FF4002"/>
    <w:rsid w:val="00FF409B"/>
    <w:rsid w:val="00FF40AD"/>
    <w:rsid w:val="00FF40DC"/>
    <w:rsid w:val="00FF41D8"/>
    <w:rsid w:val="00FF42F6"/>
    <w:rsid w:val="00FF430C"/>
    <w:rsid w:val="00FF43B0"/>
    <w:rsid w:val="00FF4401"/>
    <w:rsid w:val="00FF4492"/>
    <w:rsid w:val="00FF45FE"/>
    <w:rsid w:val="00FF499E"/>
    <w:rsid w:val="00FF49F3"/>
    <w:rsid w:val="00FF4C14"/>
    <w:rsid w:val="00FF4C47"/>
    <w:rsid w:val="00FF4D07"/>
    <w:rsid w:val="00FF4D63"/>
    <w:rsid w:val="00FF4DFC"/>
    <w:rsid w:val="00FF4E7D"/>
    <w:rsid w:val="00FF4FA6"/>
    <w:rsid w:val="00FF500F"/>
    <w:rsid w:val="00FF504A"/>
    <w:rsid w:val="00FF50E3"/>
    <w:rsid w:val="00FF50EE"/>
    <w:rsid w:val="00FF515C"/>
    <w:rsid w:val="00FF5228"/>
    <w:rsid w:val="00FF5459"/>
    <w:rsid w:val="00FF5499"/>
    <w:rsid w:val="00FF54C6"/>
    <w:rsid w:val="00FF5504"/>
    <w:rsid w:val="00FF5608"/>
    <w:rsid w:val="00FF5682"/>
    <w:rsid w:val="00FF575D"/>
    <w:rsid w:val="00FF586F"/>
    <w:rsid w:val="00FF5A00"/>
    <w:rsid w:val="00FF5A2C"/>
    <w:rsid w:val="00FF5ABE"/>
    <w:rsid w:val="00FF5AE3"/>
    <w:rsid w:val="00FF5C67"/>
    <w:rsid w:val="00FF5D63"/>
    <w:rsid w:val="00FF60E8"/>
    <w:rsid w:val="00FF6150"/>
    <w:rsid w:val="00FF6171"/>
    <w:rsid w:val="00FF61EE"/>
    <w:rsid w:val="00FF6264"/>
    <w:rsid w:val="00FF6358"/>
    <w:rsid w:val="00FF63C6"/>
    <w:rsid w:val="00FF645F"/>
    <w:rsid w:val="00FF64DA"/>
    <w:rsid w:val="00FF656D"/>
    <w:rsid w:val="00FF658F"/>
    <w:rsid w:val="00FF6650"/>
    <w:rsid w:val="00FF6791"/>
    <w:rsid w:val="00FF6888"/>
    <w:rsid w:val="00FF68A7"/>
    <w:rsid w:val="00FF68F4"/>
    <w:rsid w:val="00FF6966"/>
    <w:rsid w:val="00FF6A34"/>
    <w:rsid w:val="00FF6E43"/>
    <w:rsid w:val="00FF6EB1"/>
    <w:rsid w:val="00FF6F94"/>
    <w:rsid w:val="00FF70A9"/>
    <w:rsid w:val="00FF710A"/>
    <w:rsid w:val="00FF7134"/>
    <w:rsid w:val="00FF71DF"/>
    <w:rsid w:val="00FF7375"/>
    <w:rsid w:val="00FF7489"/>
    <w:rsid w:val="00FF74A0"/>
    <w:rsid w:val="00FF7570"/>
    <w:rsid w:val="00FF75A4"/>
    <w:rsid w:val="00FF768A"/>
    <w:rsid w:val="00FF77FD"/>
    <w:rsid w:val="00FF7953"/>
    <w:rsid w:val="00FF7A9C"/>
    <w:rsid w:val="00FF7AC2"/>
    <w:rsid w:val="00FF7C80"/>
    <w:rsid w:val="00FF7C95"/>
    <w:rsid w:val="00FF7DAC"/>
    <w:rsid w:val="00FF7E6A"/>
    <w:rsid w:val="00FF7ECD"/>
    <w:rsid w:val="0121D460"/>
    <w:rsid w:val="01295819"/>
    <w:rsid w:val="0131B112"/>
    <w:rsid w:val="013EA23C"/>
    <w:rsid w:val="014AAEA4"/>
    <w:rsid w:val="01561142"/>
    <w:rsid w:val="018D8C83"/>
    <w:rsid w:val="018DC4C6"/>
    <w:rsid w:val="01A8896F"/>
    <w:rsid w:val="01E7BA58"/>
    <w:rsid w:val="01FCE4B2"/>
    <w:rsid w:val="020FF172"/>
    <w:rsid w:val="022CBC25"/>
    <w:rsid w:val="023196E4"/>
    <w:rsid w:val="02333D0C"/>
    <w:rsid w:val="02466BC0"/>
    <w:rsid w:val="0294DBE4"/>
    <w:rsid w:val="02CE07B7"/>
    <w:rsid w:val="02E80B58"/>
    <w:rsid w:val="02EE7CD0"/>
    <w:rsid w:val="02F3BB72"/>
    <w:rsid w:val="02F97F85"/>
    <w:rsid w:val="03126A32"/>
    <w:rsid w:val="0364FC45"/>
    <w:rsid w:val="036A1AC8"/>
    <w:rsid w:val="03847C08"/>
    <w:rsid w:val="03A73836"/>
    <w:rsid w:val="03AE2B6F"/>
    <w:rsid w:val="03C99EAF"/>
    <w:rsid w:val="03D08B56"/>
    <w:rsid w:val="03D0B95B"/>
    <w:rsid w:val="03D4CCA0"/>
    <w:rsid w:val="03EDDE39"/>
    <w:rsid w:val="0408CFC4"/>
    <w:rsid w:val="040C2A47"/>
    <w:rsid w:val="0427EA86"/>
    <w:rsid w:val="0447AE12"/>
    <w:rsid w:val="044E1B03"/>
    <w:rsid w:val="044E37A8"/>
    <w:rsid w:val="0478D477"/>
    <w:rsid w:val="047DBE71"/>
    <w:rsid w:val="04A84642"/>
    <w:rsid w:val="04BA5A35"/>
    <w:rsid w:val="04C69478"/>
    <w:rsid w:val="04D376B7"/>
    <w:rsid w:val="04DDA493"/>
    <w:rsid w:val="04F9D818"/>
    <w:rsid w:val="050F3E1E"/>
    <w:rsid w:val="05133ED0"/>
    <w:rsid w:val="0541DADD"/>
    <w:rsid w:val="05467897"/>
    <w:rsid w:val="054978AF"/>
    <w:rsid w:val="05554C49"/>
    <w:rsid w:val="0573329A"/>
    <w:rsid w:val="0580403C"/>
    <w:rsid w:val="0599DE76"/>
    <w:rsid w:val="05A844E5"/>
    <w:rsid w:val="05DBB741"/>
    <w:rsid w:val="05DE3EC2"/>
    <w:rsid w:val="05ED0210"/>
    <w:rsid w:val="061BDFBF"/>
    <w:rsid w:val="061E125D"/>
    <w:rsid w:val="062D32A8"/>
    <w:rsid w:val="063A8735"/>
    <w:rsid w:val="067DF4E8"/>
    <w:rsid w:val="069375F5"/>
    <w:rsid w:val="06AAFAC8"/>
    <w:rsid w:val="06AC9DF0"/>
    <w:rsid w:val="06B0AE3F"/>
    <w:rsid w:val="06BFC7E9"/>
    <w:rsid w:val="06C80C09"/>
    <w:rsid w:val="06D7F973"/>
    <w:rsid w:val="06DF9A37"/>
    <w:rsid w:val="074BDD61"/>
    <w:rsid w:val="0792B991"/>
    <w:rsid w:val="07A20080"/>
    <w:rsid w:val="07A6B3D5"/>
    <w:rsid w:val="07F2E77B"/>
    <w:rsid w:val="08082E14"/>
    <w:rsid w:val="08120F52"/>
    <w:rsid w:val="082462BE"/>
    <w:rsid w:val="0837B7F4"/>
    <w:rsid w:val="083F704B"/>
    <w:rsid w:val="08419892"/>
    <w:rsid w:val="08544A5A"/>
    <w:rsid w:val="0866212D"/>
    <w:rsid w:val="08BC3919"/>
    <w:rsid w:val="08C15009"/>
    <w:rsid w:val="08CB332D"/>
    <w:rsid w:val="08DCD83C"/>
    <w:rsid w:val="08DF68F5"/>
    <w:rsid w:val="09045552"/>
    <w:rsid w:val="09232394"/>
    <w:rsid w:val="093D968E"/>
    <w:rsid w:val="093DBCBB"/>
    <w:rsid w:val="09527E6F"/>
    <w:rsid w:val="095A07D5"/>
    <w:rsid w:val="09C64DB9"/>
    <w:rsid w:val="0A01F085"/>
    <w:rsid w:val="0A23C19F"/>
    <w:rsid w:val="0A2603AF"/>
    <w:rsid w:val="0A2A90E4"/>
    <w:rsid w:val="0A2BCE7C"/>
    <w:rsid w:val="0A2C767E"/>
    <w:rsid w:val="0A3191DF"/>
    <w:rsid w:val="0A3C8D39"/>
    <w:rsid w:val="0A4258A1"/>
    <w:rsid w:val="0A610875"/>
    <w:rsid w:val="0A7B4747"/>
    <w:rsid w:val="0A7E7C1A"/>
    <w:rsid w:val="0A847EEC"/>
    <w:rsid w:val="0AAA18DD"/>
    <w:rsid w:val="0AB4AB96"/>
    <w:rsid w:val="0AD5D573"/>
    <w:rsid w:val="0AD76750"/>
    <w:rsid w:val="0AF31014"/>
    <w:rsid w:val="0B0F9710"/>
    <w:rsid w:val="0B11D848"/>
    <w:rsid w:val="0B160F09"/>
    <w:rsid w:val="0B1E5ADC"/>
    <w:rsid w:val="0B4119BF"/>
    <w:rsid w:val="0B59C459"/>
    <w:rsid w:val="0B670C6C"/>
    <w:rsid w:val="0B96AE7A"/>
    <w:rsid w:val="0BCCDC6B"/>
    <w:rsid w:val="0BD55F67"/>
    <w:rsid w:val="0BD62BDB"/>
    <w:rsid w:val="0BE0E67C"/>
    <w:rsid w:val="0BE76487"/>
    <w:rsid w:val="0C1736FB"/>
    <w:rsid w:val="0C26D25C"/>
    <w:rsid w:val="0C3B9908"/>
    <w:rsid w:val="0C441B65"/>
    <w:rsid w:val="0C5025A5"/>
    <w:rsid w:val="0C7C3EE0"/>
    <w:rsid w:val="0C884151"/>
    <w:rsid w:val="0C88B885"/>
    <w:rsid w:val="0C942D34"/>
    <w:rsid w:val="0C9BFF9C"/>
    <w:rsid w:val="0CA388F9"/>
    <w:rsid w:val="0CA8B5A7"/>
    <w:rsid w:val="0CB8E3A2"/>
    <w:rsid w:val="0CD22315"/>
    <w:rsid w:val="0CD5E6B4"/>
    <w:rsid w:val="0CDB2032"/>
    <w:rsid w:val="0CE01376"/>
    <w:rsid w:val="0CF3318A"/>
    <w:rsid w:val="0CF9F334"/>
    <w:rsid w:val="0D342F78"/>
    <w:rsid w:val="0D4834C9"/>
    <w:rsid w:val="0D490C38"/>
    <w:rsid w:val="0D67B9E2"/>
    <w:rsid w:val="0D7DF414"/>
    <w:rsid w:val="0D9BFEF2"/>
    <w:rsid w:val="0DA3D86E"/>
    <w:rsid w:val="0DA691D6"/>
    <w:rsid w:val="0DAA35B6"/>
    <w:rsid w:val="0DAC9F0E"/>
    <w:rsid w:val="0DD87FBF"/>
    <w:rsid w:val="0DF6A217"/>
    <w:rsid w:val="0E01A96B"/>
    <w:rsid w:val="0E02942E"/>
    <w:rsid w:val="0E123425"/>
    <w:rsid w:val="0E3C7D2C"/>
    <w:rsid w:val="0E4AC299"/>
    <w:rsid w:val="0E6C812B"/>
    <w:rsid w:val="0E7B5036"/>
    <w:rsid w:val="0E816992"/>
    <w:rsid w:val="0E854E6F"/>
    <w:rsid w:val="0E889B5A"/>
    <w:rsid w:val="0E8AF0FA"/>
    <w:rsid w:val="0EA7C216"/>
    <w:rsid w:val="0EB14EC1"/>
    <w:rsid w:val="0EB57835"/>
    <w:rsid w:val="0EB63B6A"/>
    <w:rsid w:val="0EC6B07C"/>
    <w:rsid w:val="0EF8F5AD"/>
    <w:rsid w:val="0F0B4554"/>
    <w:rsid w:val="0F5536A4"/>
    <w:rsid w:val="0F74B748"/>
    <w:rsid w:val="0F80B412"/>
    <w:rsid w:val="0FB2351D"/>
    <w:rsid w:val="0FCF483E"/>
    <w:rsid w:val="0FD40324"/>
    <w:rsid w:val="0FE317A0"/>
    <w:rsid w:val="10160D31"/>
    <w:rsid w:val="101B5D2D"/>
    <w:rsid w:val="104DC525"/>
    <w:rsid w:val="1063D2AB"/>
    <w:rsid w:val="106B35C9"/>
    <w:rsid w:val="10791349"/>
    <w:rsid w:val="1080411E"/>
    <w:rsid w:val="1096CB6A"/>
    <w:rsid w:val="10A6B323"/>
    <w:rsid w:val="10BE459E"/>
    <w:rsid w:val="10CCF1A0"/>
    <w:rsid w:val="1101E2A5"/>
    <w:rsid w:val="1119F1B7"/>
    <w:rsid w:val="111F62D8"/>
    <w:rsid w:val="115165A7"/>
    <w:rsid w:val="1158CB7E"/>
    <w:rsid w:val="118B65AA"/>
    <w:rsid w:val="11A67CE9"/>
    <w:rsid w:val="11E2D63A"/>
    <w:rsid w:val="11E3E1E1"/>
    <w:rsid w:val="11ECA34B"/>
    <w:rsid w:val="121B7375"/>
    <w:rsid w:val="1220AD4E"/>
    <w:rsid w:val="122EA4E2"/>
    <w:rsid w:val="123986C5"/>
    <w:rsid w:val="12497E60"/>
    <w:rsid w:val="12545522"/>
    <w:rsid w:val="1255702B"/>
    <w:rsid w:val="125767CF"/>
    <w:rsid w:val="127A6529"/>
    <w:rsid w:val="1280AF48"/>
    <w:rsid w:val="128E9566"/>
    <w:rsid w:val="1294DDEF"/>
    <w:rsid w:val="129528D1"/>
    <w:rsid w:val="12ED888A"/>
    <w:rsid w:val="12F70EEF"/>
    <w:rsid w:val="13047DEB"/>
    <w:rsid w:val="131300EA"/>
    <w:rsid w:val="132B8350"/>
    <w:rsid w:val="133D8870"/>
    <w:rsid w:val="136F2DDD"/>
    <w:rsid w:val="137271FA"/>
    <w:rsid w:val="1391A02C"/>
    <w:rsid w:val="13BD3EB5"/>
    <w:rsid w:val="13F91761"/>
    <w:rsid w:val="13F9DBF9"/>
    <w:rsid w:val="13FB6DA2"/>
    <w:rsid w:val="1408FE49"/>
    <w:rsid w:val="140B3EAC"/>
    <w:rsid w:val="14170C73"/>
    <w:rsid w:val="143633DE"/>
    <w:rsid w:val="144D0873"/>
    <w:rsid w:val="144F86D1"/>
    <w:rsid w:val="148C56D5"/>
    <w:rsid w:val="14B33F1F"/>
    <w:rsid w:val="14B3B139"/>
    <w:rsid w:val="14C12C93"/>
    <w:rsid w:val="14D8A5BF"/>
    <w:rsid w:val="14E2BF18"/>
    <w:rsid w:val="1501C8ED"/>
    <w:rsid w:val="1521B2D9"/>
    <w:rsid w:val="154C1FA5"/>
    <w:rsid w:val="155EFA04"/>
    <w:rsid w:val="156DAE0C"/>
    <w:rsid w:val="15816A28"/>
    <w:rsid w:val="15882DEA"/>
    <w:rsid w:val="1596B3A0"/>
    <w:rsid w:val="159BE6FC"/>
    <w:rsid w:val="15AA2F05"/>
    <w:rsid w:val="15B4B50B"/>
    <w:rsid w:val="15B7E8E5"/>
    <w:rsid w:val="15DE6A75"/>
    <w:rsid w:val="15E08C45"/>
    <w:rsid w:val="16117462"/>
    <w:rsid w:val="1613CAD1"/>
    <w:rsid w:val="1621006D"/>
    <w:rsid w:val="163A2D7D"/>
    <w:rsid w:val="16858E9F"/>
    <w:rsid w:val="168E3BD4"/>
    <w:rsid w:val="1694976C"/>
    <w:rsid w:val="16AD6408"/>
    <w:rsid w:val="16AF9D1D"/>
    <w:rsid w:val="16DDB493"/>
    <w:rsid w:val="16F3CDCA"/>
    <w:rsid w:val="175367A3"/>
    <w:rsid w:val="175B1B57"/>
    <w:rsid w:val="1779A72C"/>
    <w:rsid w:val="1788B12A"/>
    <w:rsid w:val="178C361A"/>
    <w:rsid w:val="1793FE3C"/>
    <w:rsid w:val="17B0C4E0"/>
    <w:rsid w:val="17B14062"/>
    <w:rsid w:val="17C2CCF4"/>
    <w:rsid w:val="17C5BC42"/>
    <w:rsid w:val="17CA8012"/>
    <w:rsid w:val="17D65E14"/>
    <w:rsid w:val="17E694A5"/>
    <w:rsid w:val="17F72E7B"/>
    <w:rsid w:val="17FF991B"/>
    <w:rsid w:val="180F3A88"/>
    <w:rsid w:val="18172623"/>
    <w:rsid w:val="184A5F4B"/>
    <w:rsid w:val="18763E0D"/>
    <w:rsid w:val="18879601"/>
    <w:rsid w:val="188B37C8"/>
    <w:rsid w:val="1891B0F6"/>
    <w:rsid w:val="189A3ED2"/>
    <w:rsid w:val="18CAE120"/>
    <w:rsid w:val="18D60D09"/>
    <w:rsid w:val="1902F61E"/>
    <w:rsid w:val="1909FB0A"/>
    <w:rsid w:val="190C229E"/>
    <w:rsid w:val="1921367E"/>
    <w:rsid w:val="1948B65B"/>
    <w:rsid w:val="19507195"/>
    <w:rsid w:val="19595CBA"/>
    <w:rsid w:val="195B1681"/>
    <w:rsid w:val="19825448"/>
    <w:rsid w:val="1984E473"/>
    <w:rsid w:val="198D488A"/>
    <w:rsid w:val="198E4F5A"/>
    <w:rsid w:val="19AF9865"/>
    <w:rsid w:val="19B6D048"/>
    <w:rsid w:val="19B7CBD9"/>
    <w:rsid w:val="19BA373E"/>
    <w:rsid w:val="19C52255"/>
    <w:rsid w:val="19FA918D"/>
    <w:rsid w:val="1A2D21DB"/>
    <w:rsid w:val="1A52519C"/>
    <w:rsid w:val="1A6402AB"/>
    <w:rsid w:val="1A696B13"/>
    <w:rsid w:val="1A7CCAAB"/>
    <w:rsid w:val="1A7F8D4F"/>
    <w:rsid w:val="1A876E19"/>
    <w:rsid w:val="1A8986FE"/>
    <w:rsid w:val="1A90ADCA"/>
    <w:rsid w:val="1A91A70F"/>
    <w:rsid w:val="1A9BDDAE"/>
    <w:rsid w:val="1AA2C420"/>
    <w:rsid w:val="1AA3FFD8"/>
    <w:rsid w:val="1AC2E890"/>
    <w:rsid w:val="1AC8BD3A"/>
    <w:rsid w:val="1ACE384A"/>
    <w:rsid w:val="1AE3CE73"/>
    <w:rsid w:val="1B194154"/>
    <w:rsid w:val="1B2263FD"/>
    <w:rsid w:val="1B2C774D"/>
    <w:rsid w:val="1B447D98"/>
    <w:rsid w:val="1B510671"/>
    <w:rsid w:val="1B57CC5F"/>
    <w:rsid w:val="1B6953B0"/>
    <w:rsid w:val="1B758BDA"/>
    <w:rsid w:val="1B791615"/>
    <w:rsid w:val="1B7B5953"/>
    <w:rsid w:val="1BA3944C"/>
    <w:rsid w:val="1BA3D54E"/>
    <w:rsid w:val="1BED70C9"/>
    <w:rsid w:val="1BEE0088"/>
    <w:rsid w:val="1BF92FBC"/>
    <w:rsid w:val="1C01B372"/>
    <w:rsid w:val="1C36779A"/>
    <w:rsid w:val="1C428F9A"/>
    <w:rsid w:val="1C44DD65"/>
    <w:rsid w:val="1CA6E1A6"/>
    <w:rsid w:val="1CE07E24"/>
    <w:rsid w:val="1CE250AC"/>
    <w:rsid w:val="1CE49C62"/>
    <w:rsid w:val="1CF38B03"/>
    <w:rsid w:val="1D01345B"/>
    <w:rsid w:val="1D0557C2"/>
    <w:rsid w:val="1D2EF92B"/>
    <w:rsid w:val="1D352856"/>
    <w:rsid w:val="1D3573D3"/>
    <w:rsid w:val="1D4743F9"/>
    <w:rsid w:val="1D58508E"/>
    <w:rsid w:val="1D6578D7"/>
    <w:rsid w:val="1D665D17"/>
    <w:rsid w:val="1D80B19B"/>
    <w:rsid w:val="1D8133D7"/>
    <w:rsid w:val="1D8B361D"/>
    <w:rsid w:val="1DBB759D"/>
    <w:rsid w:val="1DC1292B"/>
    <w:rsid w:val="1DE443EE"/>
    <w:rsid w:val="1DEB0A06"/>
    <w:rsid w:val="1DF39795"/>
    <w:rsid w:val="1DF65D16"/>
    <w:rsid w:val="1E119F26"/>
    <w:rsid w:val="1E1C5C23"/>
    <w:rsid w:val="1E424051"/>
    <w:rsid w:val="1E525802"/>
    <w:rsid w:val="1E54742A"/>
    <w:rsid w:val="1E5C09DF"/>
    <w:rsid w:val="1E76BB00"/>
    <w:rsid w:val="1E76C90E"/>
    <w:rsid w:val="1E9A188D"/>
    <w:rsid w:val="1EADB1F3"/>
    <w:rsid w:val="1EB67A49"/>
    <w:rsid w:val="1EC00E15"/>
    <w:rsid w:val="1EC6E32D"/>
    <w:rsid w:val="1EC86BBF"/>
    <w:rsid w:val="1EE7EEDB"/>
    <w:rsid w:val="1EF65051"/>
    <w:rsid w:val="1EF9318D"/>
    <w:rsid w:val="1F014938"/>
    <w:rsid w:val="1F0C56D5"/>
    <w:rsid w:val="1F26C6C5"/>
    <w:rsid w:val="1F6A2152"/>
    <w:rsid w:val="1F738635"/>
    <w:rsid w:val="1F7B7031"/>
    <w:rsid w:val="1F848C07"/>
    <w:rsid w:val="1F8731A6"/>
    <w:rsid w:val="1F9FF672"/>
    <w:rsid w:val="1FA254F8"/>
    <w:rsid w:val="1FBA299D"/>
    <w:rsid w:val="1FC81832"/>
    <w:rsid w:val="1FC8714B"/>
    <w:rsid w:val="1FD0394D"/>
    <w:rsid w:val="1FF1544B"/>
    <w:rsid w:val="1FFA430C"/>
    <w:rsid w:val="1FFFA7B2"/>
    <w:rsid w:val="201FAC63"/>
    <w:rsid w:val="2029D60B"/>
    <w:rsid w:val="2053B564"/>
    <w:rsid w:val="206AE54E"/>
    <w:rsid w:val="206FDB92"/>
    <w:rsid w:val="2085D23D"/>
    <w:rsid w:val="208FF150"/>
    <w:rsid w:val="209FEFBE"/>
    <w:rsid w:val="20B5B57F"/>
    <w:rsid w:val="20BA3819"/>
    <w:rsid w:val="20CDD246"/>
    <w:rsid w:val="20EEB888"/>
    <w:rsid w:val="210E3BB6"/>
    <w:rsid w:val="21318468"/>
    <w:rsid w:val="214A18DE"/>
    <w:rsid w:val="214C44B5"/>
    <w:rsid w:val="21599826"/>
    <w:rsid w:val="219DBB90"/>
    <w:rsid w:val="21BAF6EE"/>
    <w:rsid w:val="21CB9942"/>
    <w:rsid w:val="21E54347"/>
    <w:rsid w:val="21ED4D59"/>
    <w:rsid w:val="22006935"/>
    <w:rsid w:val="22103EB8"/>
    <w:rsid w:val="221A3C38"/>
    <w:rsid w:val="2223F07D"/>
    <w:rsid w:val="222E8841"/>
    <w:rsid w:val="22468F14"/>
    <w:rsid w:val="2254930D"/>
    <w:rsid w:val="226B51E9"/>
    <w:rsid w:val="228CB3CE"/>
    <w:rsid w:val="228E4DFC"/>
    <w:rsid w:val="2292DA56"/>
    <w:rsid w:val="22A18F6C"/>
    <w:rsid w:val="22B9CD5D"/>
    <w:rsid w:val="22BACC83"/>
    <w:rsid w:val="22CA58CF"/>
    <w:rsid w:val="22D57425"/>
    <w:rsid w:val="22DBBCA5"/>
    <w:rsid w:val="22FF7D4A"/>
    <w:rsid w:val="231CD8D1"/>
    <w:rsid w:val="2325E873"/>
    <w:rsid w:val="2333D747"/>
    <w:rsid w:val="233E5A9C"/>
    <w:rsid w:val="23402422"/>
    <w:rsid w:val="2349B859"/>
    <w:rsid w:val="235EDD1F"/>
    <w:rsid w:val="2372C77F"/>
    <w:rsid w:val="239B067B"/>
    <w:rsid w:val="23B0C40D"/>
    <w:rsid w:val="23C17E66"/>
    <w:rsid w:val="23C839CD"/>
    <w:rsid w:val="23DC1012"/>
    <w:rsid w:val="23DE028A"/>
    <w:rsid w:val="23EB3F2E"/>
    <w:rsid w:val="23EB6490"/>
    <w:rsid w:val="240687BE"/>
    <w:rsid w:val="2414F30A"/>
    <w:rsid w:val="241998D7"/>
    <w:rsid w:val="241EADC5"/>
    <w:rsid w:val="241EEF04"/>
    <w:rsid w:val="2422D1AA"/>
    <w:rsid w:val="24244CBD"/>
    <w:rsid w:val="24367731"/>
    <w:rsid w:val="24656259"/>
    <w:rsid w:val="248B4831"/>
    <w:rsid w:val="249878AC"/>
    <w:rsid w:val="24A5711E"/>
    <w:rsid w:val="24B9489E"/>
    <w:rsid w:val="24BF522C"/>
    <w:rsid w:val="24CC5015"/>
    <w:rsid w:val="24CCB9E9"/>
    <w:rsid w:val="24D99885"/>
    <w:rsid w:val="24EA1207"/>
    <w:rsid w:val="24EBCEFA"/>
    <w:rsid w:val="251B09A7"/>
    <w:rsid w:val="2537CD34"/>
    <w:rsid w:val="257ABEA3"/>
    <w:rsid w:val="25804C09"/>
    <w:rsid w:val="25A7C02E"/>
    <w:rsid w:val="25F5CD9B"/>
    <w:rsid w:val="25F75889"/>
    <w:rsid w:val="261882D5"/>
    <w:rsid w:val="262AAEFF"/>
    <w:rsid w:val="262CC4AF"/>
    <w:rsid w:val="263EAC5D"/>
    <w:rsid w:val="26422C9C"/>
    <w:rsid w:val="264C0121"/>
    <w:rsid w:val="2655D24C"/>
    <w:rsid w:val="265A50B9"/>
    <w:rsid w:val="267BDDEF"/>
    <w:rsid w:val="268B5E01"/>
    <w:rsid w:val="26A11FCC"/>
    <w:rsid w:val="26ACC164"/>
    <w:rsid w:val="26B19098"/>
    <w:rsid w:val="26B84B14"/>
    <w:rsid w:val="271DF720"/>
    <w:rsid w:val="27366ED5"/>
    <w:rsid w:val="2750B74A"/>
    <w:rsid w:val="27586407"/>
    <w:rsid w:val="275D8CAD"/>
    <w:rsid w:val="275DA8DD"/>
    <w:rsid w:val="2780D65E"/>
    <w:rsid w:val="2785E438"/>
    <w:rsid w:val="2788433B"/>
    <w:rsid w:val="27B8F16D"/>
    <w:rsid w:val="27BC9FAB"/>
    <w:rsid w:val="27D58038"/>
    <w:rsid w:val="27D679BF"/>
    <w:rsid w:val="27D7C3E6"/>
    <w:rsid w:val="27E4C2CC"/>
    <w:rsid w:val="27EC7FFF"/>
    <w:rsid w:val="280EFFF4"/>
    <w:rsid w:val="2816DEA5"/>
    <w:rsid w:val="2819672B"/>
    <w:rsid w:val="28363847"/>
    <w:rsid w:val="283E327C"/>
    <w:rsid w:val="283FAD1D"/>
    <w:rsid w:val="28517BB8"/>
    <w:rsid w:val="28643765"/>
    <w:rsid w:val="287D975C"/>
    <w:rsid w:val="289451E3"/>
    <w:rsid w:val="28CD9716"/>
    <w:rsid w:val="28EF7692"/>
    <w:rsid w:val="2901B7F3"/>
    <w:rsid w:val="2931C4E1"/>
    <w:rsid w:val="2967E0E0"/>
    <w:rsid w:val="296ADE25"/>
    <w:rsid w:val="296E8AAF"/>
    <w:rsid w:val="29976502"/>
    <w:rsid w:val="29A3FBFB"/>
    <w:rsid w:val="29A59CEE"/>
    <w:rsid w:val="29F9584B"/>
    <w:rsid w:val="29FE9661"/>
    <w:rsid w:val="2A0E80A6"/>
    <w:rsid w:val="2A11F38D"/>
    <w:rsid w:val="2A337E3C"/>
    <w:rsid w:val="2A66ED9E"/>
    <w:rsid w:val="2A6B485A"/>
    <w:rsid w:val="2A707F83"/>
    <w:rsid w:val="2A72330B"/>
    <w:rsid w:val="2A9D8854"/>
    <w:rsid w:val="2AA3AF72"/>
    <w:rsid w:val="2AA50D39"/>
    <w:rsid w:val="2AB90D13"/>
    <w:rsid w:val="2ABA3837"/>
    <w:rsid w:val="2AD1D9CC"/>
    <w:rsid w:val="2AD28BFF"/>
    <w:rsid w:val="2AD31077"/>
    <w:rsid w:val="2AE551F9"/>
    <w:rsid w:val="2B4C8F5D"/>
    <w:rsid w:val="2B5BA8F0"/>
    <w:rsid w:val="2B629862"/>
    <w:rsid w:val="2B79046C"/>
    <w:rsid w:val="2B7B7CAB"/>
    <w:rsid w:val="2B7D9601"/>
    <w:rsid w:val="2B7E2215"/>
    <w:rsid w:val="2B8CE8AC"/>
    <w:rsid w:val="2BA2788A"/>
    <w:rsid w:val="2BB9EA0E"/>
    <w:rsid w:val="2BE5E186"/>
    <w:rsid w:val="2BE76308"/>
    <w:rsid w:val="2C1E4112"/>
    <w:rsid w:val="2C4A0368"/>
    <w:rsid w:val="2C618F5D"/>
    <w:rsid w:val="2C67E105"/>
    <w:rsid w:val="2C80B688"/>
    <w:rsid w:val="2C9785F2"/>
    <w:rsid w:val="2CA25E58"/>
    <w:rsid w:val="2CB520F6"/>
    <w:rsid w:val="2CC84FC6"/>
    <w:rsid w:val="2CDB4572"/>
    <w:rsid w:val="2CEF8301"/>
    <w:rsid w:val="2CFCEA86"/>
    <w:rsid w:val="2D068269"/>
    <w:rsid w:val="2D0F6507"/>
    <w:rsid w:val="2D0FD66B"/>
    <w:rsid w:val="2D1AFCAD"/>
    <w:rsid w:val="2D23BE82"/>
    <w:rsid w:val="2D298254"/>
    <w:rsid w:val="2D598D6F"/>
    <w:rsid w:val="2D821E7E"/>
    <w:rsid w:val="2D83B8D6"/>
    <w:rsid w:val="2D85A50A"/>
    <w:rsid w:val="2D9064F8"/>
    <w:rsid w:val="2D971028"/>
    <w:rsid w:val="2DA29D82"/>
    <w:rsid w:val="2DD7B982"/>
    <w:rsid w:val="2DDA96F0"/>
    <w:rsid w:val="2DFF3028"/>
    <w:rsid w:val="2E05882E"/>
    <w:rsid w:val="2E0BB6C5"/>
    <w:rsid w:val="2E253865"/>
    <w:rsid w:val="2E361419"/>
    <w:rsid w:val="2E48EC6E"/>
    <w:rsid w:val="2E5FF66D"/>
    <w:rsid w:val="2E840DE6"/>
    <w:rsid w:val="2E8E9A09"/>
    <w:rsid w:val="2EA669BF"/>
    <w:rsid w:val="2EAD4501"/>
    <w:rsid w:val="2ECE9280"/>
    <w:rsid w:val="2EE00C76"/>
    <w:rsid w:val="2EF21E7E"/>
    <w:rsid w:val="2F03C477"/>
    <w:rsid w:val="2F0BBD01"/>
    <w:rsid w:val="2F0CE5DE"/>
    <w:rsid w:val="2F337067"/>
    <w:rsid w:val="2F81BDED"/>
    <w:rsid w:val="2FBC0E79"/>
    <w:rsid w:val="2FE8A06F"/>
    <w:rsid w:val="3001CF87"/>
    <w:rsid w:val="3011F461"/>
    <w:rsid w:val="3013CE9D"/>
    <w:rsid w:val="3018B9AC"/>
    <w:rsid w:val="30301C04"/>
    <w:rsid w:val="30336F9F"/>
    <w:rsid w:val="303D929E"/>
    <w:rsid w:val="3046EBB8"/>
    <w:rsid w:val="305BD2C5"/>
    <w:rsid w:val="306225FC"/>
    <w:rsid w:val="3070B5A2"/>
    <w:rsid w:val="30757438"/>
    <w:rsid w:val="3088F453"/>
    <w:rsid w:val="3089C7A5"/>
    <w:rsid w:val="308E01B3"/>
    <w:rsid w:val="30945E22"/>
    <w:rsid w:val="309F4AD9"/>
    <w:rsid w:val="30AB7F33"/>
    <w:rsid w:val="30CF40C8"/>
    <w:rsid w:val="30D8C037"/>
    <w:rsid w:val="30ED4ECD"/>
    <w:rsid w:val="30FA54C4"/>
    <w:rsid w:val="31043BC8"/>
    <w:rsid w:val="3105A69B"/>
    <w:rsid w:val="310A60D3"/>
    <w:rsid w:val="311994F2"/>
    <w:rsid w:val="313CF4F5"/>
    <w:rsid w:val="313EC953"/>
    <w:rsid w:val="31489DC2"/>
    <w:rsid w:val="315FD470"/>
    <w:rsid w:val="3172D0A8"/>
    <w:rsid w:val="319A66B8"/>
    <w:rsid w:val="31A0BF7F"/>
    <w:rsid w:val="31A4141D"/>
    <w:rsid w:val="31AB922F"/>
    <w:rsid w:val="31B81A6E"/>
    <w:rsid w:val="32212D41"/>
    <w:rsid w:val="3228F3A2"/>
    <w:rsid w:val="322913B8"/>
    <w:rsid w:val="3255BB42"/>
    <w:rsid w:val="32B304B8"/>
    <w:rsid w:val="32C4D290"/>
    <w:rsid w:val="32C936C1"/>
    <w:rsid w:val="32D6BBA1"/>
    <w:rsid w:val="32F039C2"/>
    <w:rsid w:val="32F5A919"/>
    <w:rsid w:val="3301777E"/>
    <w:rsid w:val="3336C75A"/>
    <w:rsid w:val="3357089A"/>
    <w:rsid w:val="33623969"/>
    <w:rsid w:val="336BCEF6"/>
    <w:rsid w:val="33CFA6F2"/>
    <w:rsid w:val="33EB2F73"/>
    <w:rsid w:val="340BAB36"/>
    <w:rsid w:val="340F593B"/>
    <w:rsid w:val="3414B056"/>
    <w:rsid w:val="34648ADA"/>
    <w:rsid w:val="34682C93"/>
    <w:rsid w:val="34890289"/>
    <w:rsid w:val="34BA9635"/>
    <w:rsid w:val="34C521FD"/>
    <w:rsid w:val="34C9C551"/>
    <w:rsid w:val="34DA42DE"/>
    <w:rsid w:val="34DFB7A9"/>
    <w:rsid w:val="34F715EC"/>
    <w:rsid w:val="34FCDF26"/>
    <w:rsid w:val="3542DD3F"/>
    <w:rsid w:val="3559BA4D"/>
    <w:rsid w:val="355FBF4F"/>
    <w:rsid w:val="35602708"/>
    <w:rsid w:val="358D5C04"/>
    <w:rsid w:val="359300DA"/>
    <w:rsid w:val="35B09021"/>
    <w:rsid w:val="35B72301"/>
    <w:rsid w:val="35CB2A1B"/>
    <w:rsid w:val="35CDE5F9"/>
    <w:rsid w:val="35F7B101"/>
    <w:rsid w:val="36067155"/>
    <w:rsid w:val="361AD7B6"/>
    <w:rsid w:val="361BCDA6"/>
    <w:rsid w:val="362C3E29"/>
    <w:rsid w:val="363106B7"/>
    <w:rsid w:val="3660F25E"/>
    <w:rsid w:val="366BD96B"/>
    <w:rsid w:val="368BF501"/>
    <w:rsid w:val="36920A07"/>
    <w:rsid w:val="3693BC39"/>
    <w:rsid w:val="36A9A127"/>
    <w:rsid w:val="36BBA42C"/>
    <w:rsid w:val="36CA2FA8"/>
    <w:rsid w:val="36CAFE70"/>
    <w:rsid w:val="36D784AC"/>
    <w:rsid w:val="36E035A6"/>
    <w:rsid w:val="36EC7992"/>
    <w:rsid w:val="37157A1A"/>
    <w:rsid w:val="37162A2E"/>
    <w:rsid w:val="3720E168"/>
    <w:rsid w:val="3744A700"/>
    <w:rsid w:val="37611FB8"/>
    <w:rsid w:val="37648EB4"/>
    <w:rsid w:val="37824DED"/>
    <w:rsid w:val="3786407B"/>
    <w:rsid w:val="378831A5"/>
    <w:rsid w:val="378CDE0A"/>
    <w:rsid w:val="37BCB70B"/>
    <w:rsid w:val="37BFA004"/>
    <w:rsid w:val="37E55608"/>
    <w:rsid w:val="385266E8"/>
    <w:rsid w:val="38679A8A"/>
    <w:rsid w:val="387B1F9E"/>
    <w:rsid w:val="387CA144"/>
    <w:rsid w:val="388DB90F"/>
    <w:rsid w:val="389FEC28"/>
    <w:rsid w:val="38D7E8B9"/>
    <w:rsid w:val="38DB9971"/>
    <w:rsid w:val="38EC426D"/>
    <w:rsid w:val="38F737E2"/>
    <w:rsid w:val="38F99946"/>
    <w:rsid w:val="38FBBA58"/>
    <w:rsid w:val="390B530D"/>
    <w:rsid w:val="391111B0"/>
    <w:rsid w:val="392EBA07"/>
    <w:rsid w:val="392F5B4A"/>
    <w:rsid w:val="393ADD6E"/>
    <w:rsid w:val="395355E3"/>
    <w:rsid w:val="39A7C622"/>
    <w:rsid w:val="39AE0A63"/>
    <w:rsid w:val="39D6FE4A"/>
    <w:rsid w:val="39DAC7A4"/>
    <w:rsid w:val="39E37790"/>
    <w:rsid w:val="39EE6ED9"/>
    <w:rsid w:val="39F149AB"/>
    <w:rsid w:val="3A1AF24E"/>
    <w:rsid w:val="3A1E35A0"/>
    <w:rsid w:val="3A247359"/>
    <w:rsid w:val="3A2907C4"/>
    <w:rsid w:val="3A29BE85"/>
    <w:rsid w:val="3A3E9A11"/>
    <w:rsid w:val="3A56F713"/>
    <w:rsid w:val="3A615037"/>
    <w:rsid w:val="3A839B54"/>
    <w:rsid w:val="3A84E409"/>
    <w:rsid w:val="3A8D6096"/>
    <w:rsid w:val="3A998D80"/>
    <w:rsid w:val="3AA6FE1C"/>
    <w:rsid w:val="3ABF65A1"/>
    <w:rsid w:val="3AD86973"/>
    <w:rsid w:val="3ADF9DD1"/>
    <w:rsid w:val="3AE3135C"/>
    <w:rsid w:val="3AE35D53"/>
    <w:rsid w:val="3AEF18E0"/>
    <w:rsid w:val="3AFA4681"/>
    <w:rsid w:val="3B0E23EA"/>
    <w:rsid w:val="3B1EE866"/>
    <w:rsid w:val="3B431626"/>
    <w:rsid w:val="3B74AB68"/>
    <w:rsid w:val="3B8C02F5"/>
    <w:rsid w:val="3B8FA5A6"/>
    <w:rsid w:val="3BCFBBB6"/>
    <w:rsid w:val="3C0F2A1C"/>
    <w:rsid w:val="3C391870"/>
    <w:rsid w:val="3C404053"/>
    <w:rsid w:val="3C705835"/>
    <w:rsid w:val="3C775C60"/>
    <w:rsid w:val="3C7F45DF"/>
    <w:rsid w:val="3CB60E79"/>
    <w:rsid w:val="3CB68946"/>
    <w:rsid w:val="3CC3F02D"/>
    <w:rsid w:val="3CC4D585"/>
    <w:rsid w:val="3CE2FB0F"/>
    <w:rsid w:val="3CE49239"/>
    <w:rsid w:val="3CF89D8A"/>
    <w:rsid w:val="3CFDC210"/>
    <w:rsid w:val="3D094110"/>
    <w:rsid w:val="3D0E9F0C"/>
    <w:rsid w:val="3D1C2ED4"/>
    <w:rsid w:val="3D7F19EB"/>
    <w:rsid w:val="3D8F26CD"/>
    <w:rsid w:val="3D938366"/>
    <w:rsid w:val="3DA45678"/>
    <w:rsid w:val="3DB50A55"/>
    <w:rsid w:val="3DECC4BE"/>
    <w:rsid w:val="3DEF9398"/>
    <w:rsid w:val="3DFB054F"/>
    <w:rsid w:val="3DFD27D7"/>
    <w:rsid w:val="3E286631"/>
    <w:rsid w:val="3E2D0DBA"/>
    <w:rsid w:val="3E6962E3"/>
    <w:rsid w:val="3E6DFAA4"/>
    <w:rsid w:val="3E9A5E87"/>
    <w:rsid w:val="3EAC4152"/>
    <w:rsid w:val="3EAF5A38"/>
    <w:rsid w:val="3EAFC001"/>
    <w:rsid w:val="3EB3EE2F"/>
    <w:rsid w:val="3EC30597"/>
    <w:rsid w:val="3ECDB2C8"/>
    <w:rsid w:val="3EEBA0EA"/>
    <w:rsid w:val="3F091DC4"/>
    <w:rsid w:val="3F541DA4"/>
    <w:rsid w:val="3F55C175"/>
    <w:rsid w:val="3F6A1FEC"/>
    <w:rsid w:val="3F77E115"/>
    <w:rsid w:val="3FC45614"/>
    <w:rsid w:val="3FD556CC"/>
    <w:rsid w:val="3FDED46A"/>
    <w:rsid w:val="405FADD1"/>
    <w:rsid w:val="4062B3F6"/>
    <w:rsid w:val="4073F53A"/>
    <w:rsid w:val="408B1A4B"/>
    <w:rsid w:val="409AAAB0"/>
    <w:rsid w:val="40C9E9E8"/>
    <w:rsid w:val="40CBE678"/>
    <w:rsid w:val="40D779ED"/>
    <w:rsid w:val="40E15B4D"/>
    <w:rsid w:val="40F0E628"/>
    <w:rsid w:val="40F91DBB"/>
    <w:rsid w:val="41087C3F"/>
    <w:rsid w:val="41204F93"/>
    <w:rsid w:val="413E2492"/>
    <w:rsid w:val="414A01EF"/>
    <w:rsid w:val="416B6922"/>
    <w:rsid w:val="41741CFE"/>
    <w:rsid w:val="4175D9E9"/>
    <w:rsid w:val="4183D4E7"/>
    <w:rsid w:val="4183DC2A"/>
    <w:rsid w:val="418EDD7E"/>
    <w:rsid w:val="418F7313"/>
    <w:rsid w:val="4195EB5F"/>
    <w:rsid w:val="419C3D93"/>
    <w:rsid w:val="41A22B8E"/>
    <w:rsid w:val="41B32E9B"/>
    <w:rsid w:val="41DAF4B9"/>
    <w:rsid w:val="420B5EF0"/>
    <w:rsid w:val="421ABF76"/>
    <w:rsid w:val="421C9945"/>
    <w:rsid w:val="4226E715"/>
    <w:rsid w:val="423FF3F4"/>
    <w:rsid w:val="425B2951"/>
    <w:rsid w:val="426685B1"/>
    <w:rsid w:val="4284C460"/>
    <w:rsid w:val="42AD5326"/>
    <w:rsid w:val="42BBC9F1"/>
    <w:rsid w:val="42BC165B"/>
    <w:rsid w:val="42CE9ED7"/>
    <w:rsid w:val="42CF1AEA"/>
    <w:rsid w:val="42D6B84B"/>
    <w:rsid w:val="42D85301"/>
    <w:rsid w:val="42E86186"/>
    <w:rsid w:val="42FE5282"/>
    <w:rsid w:val="430BBC0E"/>
    <w:rsid w:val="430EE96B"/>
    <w:rsid w:val="43261E04"/>
    <w:rsid w:val="432649B5"/>
    <w:rsid w:val="437D9D75"/>
    <w:rsid w:val="437DE090"/>
    <w:rsid w:val="4383F7EF"/>
    <w:rsid w:val="438F724B"/>
    <w:rsid w:val="439EBFDC"/>
    <w:rsid w:val="43A369FE"/>
    <w:rsid w:val="43AEF232"/>
    <w:rsid w:val="43BBDDE5"/>
    <w:rsid w:val="43D7DB8B"/>
    <w:rsid w:val="43F22082"/>
    <w:rsid w:val="43F5C5C2"/>
    <w:rsid w:val="43FA916D"/>
    <w:rsid w:val="43FD6C32"/>
    <w:rsid w:val="4407AF22"/>
    <w:rsid w:val="443454EA"/>
    <w:rsid w:val="44374E6D"/>
    <w:rsid w:val="447E1136"/>
    <w:rsid w:val="4481AE76"/>
    <w:rsid w:val="4492B3D4"/>
    <w:rsid w:val="44B7ACAE"/>
    <w:rsid w:val="44CF7630"/>
    <w:rsid w:val="44D21D13"/>
    <w:rsid w:val="45191655"/>
    <w:rsid w:val="45338ABA"/>
    <w:rsid w:val="453F1569"/>
    <w:rsid w:val="4540547A"/>
    <w:rsid w:val="4550FCAA"/>
    <w:rsid w:val="455315BA"/>
    <w:rsid w:val="4583A958"/>
    <w:rsid w:val="45875B05"/>
    <w:rsid w:val="4589999D"/>
    <w:rsid w:val="458A6B6F"/>
    <w:rsid w:val="459097D1"/>
    <w:rsid w:val="459F7FD1"/>
    <w:rsid w:val="459FF8B9"/>
    <w:rsid w:val="45AEFE3C"/>
    <w:rsid w:val="45CCD6DF"/>
    <w:rsid w:val="45E18C85"/>
    <w:rsid w:val="45FEC9AB"/>
    <w:rsid w:val="461B4783"/>
    <w:rsid w:val="462E6A24"/>
    <w:rsid w:val="4630FCBB"/>
    <w:rsid w:val="4640ED47"/>
    <w:rsid w:val="4669932B"/>
    <w:rsid w:val="467317F0"/>
    <w:rsid w:val="467BB0EF"/>
    <w:rsid w:val="469884BF"/>
    <w:rsid w:val="469E4B62"/>
    <w:rsid w:val="46AD5B2A"/>
    <w:rsid w:val="46E81CC2"/>
    <w:rsid w:val="471082E0"/>
    <w:rsid w:val="471A8DB9"/>
    <w:rsid w:val="472CED98"/>
    <w:rsid w:val="47424CED"/>
    <w:rsid w:val="474B50FE"/>
    <w:rsid w:val="474C229D"/>
    <w:rsid w:val="475027EF"/>
    <w:rsid w:val="4757F45B"/>
    <w:rsid w:val="477B3845"/>
    <w:rsid w:val="4789A127"/>
    <w:rsid w:val="478A20CF"/>
    <w:rsid w:val="47ACF28E"/>
    <w:rsid w:val="47CEDA55"/>
    <w:rsid w:val="47E26DE3"/>
    <w:rsid w:val="47F88344"/>
    <w:rsid w:val="47FB2E51"/>
    <w:rsid w:val="480193E1"/>
    <w:rsid w:val="48094B57"/>
    <w:rsid w:val="480D71B1"/>
    <w:rsid w:val="481DDF62"/>
    <w:rsid w:val="482A6A26"/>
    <w:rsid w:val="4842AE7B"/>
    <w:rsid w:val="484588CB"/>
    <w:rsid w:val="485F7080"/>
    <w:rsid w:val="486DB402"/>
    <w:rsid w:val="48756B95"/>
    <w:rsid w:val="4876DB21"/>
    <w:rsid w:val="4883A37B"/>
    <w:rsid w:val="48843B7A"/>
    <w:rsid w:val="4889DE59"/>
    <w:rsid w:val="489BB511"/>
    <w:rsid w:val="48A00DF3"/>
    <w:rsid w:val="48BCC120"/>
    <w:rsid w:val="48C0D073"/>
    <w:rsid w:val="48D92441"/>
    <w:rsid w:val="48E0C2EA"/>
    <w:rsid w:val="48E89D62"/>
    <w:rsid w:val="48F51DA9"/>
    <w:rsid w:val="48FA57DE"/>
    <w:rsid w:val="490867AC"/>
    <w:rsid w:val="492E9708"/>
    <w:rsid w:val="49361BA9"/>
    <w:rsid w:val="495455AA"/>
    <w:rsid w:val="4976735F"/>
    <w:rsid w:val="497D6C82"/>
    <w:rsid w:val="49861D10"/>
    <w:rsid w:val="49957A2C"/>
    <w:rsid w:val="49D62D06"/>
    <w:rsid w:val="49EAEAC5"/>
    <w:rsid w:val="4A1AB546"/>
    <w:rsid w:val="4A1FBE04"/>
    <w:rsid w:val="4A65A965"/>
    <w:rsid w:val="4A6C4097"/>
    <w:rsid w:val="4A83D588"/>
    <w:rsid w:val="4AA153E2"/>
    <w:rsid w:val="4AA40594"/>
    <w:rsid w:val="4ADD1503"/>
    <w:rsid w:val="4AEB540F"/>
    <w:rsid w:val="4AF19144"/>
    <w:rsid w:val="4B31D399"/>
    <w:rsid w:val="4B35E111"/>
    <w:rsid w:val="4B39840F"/>
    <w:rsid w:val="4B44F4E2"/>
    <w:rsid w:val="4B467E03"/>
    <w:rsid w:val="4B588538"/>
    <w:rsid w:val="4B7048E3"/>
    <w:rsid w:val="4B8CE249"/>
    <w:rsid w:val="4BA8DC39"/>
    <w:rsid w:val="4BB04EED"/>
    <w:rsid w:val="4BCBCDEF"/>
    <w:rsid w:val="4BD26715"/>
    <w:rsid w:val="4BD878AC"/>
    <w:rsid w:val="4BE92E9C"/>
    <w:rsid w:val="4BEAC8A0"/>
    <w:rsid w:val="4C3B0351"/>
    <w:rsid w:val="4C435C71"/>
    <w:rsid w:val="4C555B40"/>
    <w:rsid w:val="4C632C57"/>
    <w:rsid w:val="4C7CB568"/>
    <w:rsid w:val="4C86F175"/>
    <w:rsid w:val="4C88208F"/>
    <w:rsid w:val="4C8E45A0"/>
    <w:rsid w:val="4CED91FE"/>
    <w:rsid w:val="4CEE4532"/>
    <w:rsid w:val="4CF02B11"/>
    <w:rsid w:val="4D009ED6"/>
    <w:rsid w:val="4D0F322B"/>
    <w:rsid w:val="4D38A23C"/>
    <w:rsid w:val="4D4054D0"/>
    <w:rsid w:val="4D585ADB"/>
    <w:rsid w:val="4D60977E"/>
    <w:rsid w:val="4D9FD68E"/>
    <w:rsid w:val="4DA8E9CC"/>
    <w:rsid w:val="4DB11CDD"/>
    <w:rsid w:val="4DC4CD04"/>
    <w:rsid w:val="4DD35433"/>
    <w:rsid w:val="4DD76DB4"/>
    <w:rsid w:val="4DF7D0BE"/>
    <w:rsid w:val="4E259E71"/>
    <w:rsid w:val="4E395604"/>
    <w:rsid w:val="4E4C7C9C"/>
    <w:rsid w:val="4E55C040"/>
    <w:rsid w:val="4E58503D"/>
    <w:rsid w:val="4E5961E0"/>
    <w:rsid w:val="4E82F7AF"/>
    <w:rsid w:val="4E9826B9"/>
    <w:rsid w:val="4EBA45F3"/>
    <w:rsid w:val="4ECAB846"/>
    <w:rsid w:val="4ECB7610"/>
    <w:rsid w:val="4ED3EBE4"/>
    <w:rsid w:val="4EF50739"/>
    <w:rsid w:val="4F23FACA"/>
    <w:rsid w:val="4F2533DA"/>
    <w:rsid w:val="4F2F3C93"/>
    <w:rsid w:val="4F40C978"/>
    <w:rsid w:val="4FC20B24"/>
    <w:rsid w:val="4FF513D1"/>
    <w:rsid w:val="4FFEDF59"/>
    <w:rsid w:val="5014C241"/>
    <w:rsid w:val="5017F0FA"/>
    <w:rsid w:val="5026BE25"/>
    <w:rsid w:val="5034A0AF"/>
    <w:rsid w:val="506F553E"/>
    <w:rsid w:val="5078AB5C"/>
    <w:rsid w:val="508F5764"/>
    <w:rsid w:val="509C0C99"/>
    <w:rsid w:val="50A8191D"/>
    <w:rsid w:val="50A847A2"/>
    <w:rsid w:val="50C5F478"/>
    <w:rsid w:val="50E02CEC"/>
    <w:rsid w:val="5108AFF0"/>
    <w:rsid w:val="510D906E"/>
    <w:rsid w:val="5117DE3E"/>
    <w:rsid w:val="512310DA"/>
    <w:rsid w:val="512F020C"/>
    <w:rsid w:val="5145EBBA"/>
    <w:rsid w:val="51563EF2"/>
    <w:rsid w:val="51579FC2"/>
    <w:rsid w:val="5178AB41"/>
    <w:rsid w:val="51790B0C"/>
    <w:rsid w:val="51A85723"/>
    <w:rsid w:val="51BDA2A2"/>
    <w:rsid w:val="51C0201D"/>
    <w:rsid w:val="521F4AC8"/>
    <w:rsid w:val="5229F00C"/>
    <w:rsid w:val="524F4C10"/>
    <w:rsid w:val="5256D1C5"/>
    <w:rsid w:val="5257667F"/>
    <w:rsid w:val="5269758A"/>
    <w:rsid w:val="526DEADC"/>
    <w:rsid w:val="529572F5"/>
    <w:rsid w:val="529D8CAB"/>
    <w:rsid w:val="52BBF1A4"/>
    <w:rsid w:val="52BF0445"/>
    <w:rsid w:val="52CE49AB"/>
    <w:rsid w:val="52D08561"/>
    <w:rsid w:val="52DAECD7"/>
    <w:rsid w:val="52E2EE68"/>
    <w:rsid w:val="52F76213"/>
    <w:rsid w:val="52FA8FDD"/>
    <w:rsid w:val="52FC8D12"/>
    <w:rsid w:val="52FE26A5"/>
    <w:rsid w:val="534C5D51"/>
    <w:rsid w:val="5358C42A"/>
    <w:rsid w:val="535D9EA1"/>
    <w:rsid w:val="535F357F"/>
    <w:rsid w:val="53714B7C"/>
    <w:rsid w:val="5393E7A6"/>
    <w:rsid w:val="5397837F"/>
    <w:rsid w:val="539B032A"/>
    <w:rsid w:val="53A865E8"/>
    <w:rsid w:val="53AD22F9"/>
    <w:rsid w:val="53B027A8"/>
    <w:rsid w:val="53B9DCF9"/>
    <w:rsid w:val="53CC64FA"/>
    <w:rsid w:val="53DA1D03"/>
    <w:rsid w:val="541C1BD6"/>
    <w:rsid w:val="542AB4B5"/>
    <w:rsid w:val="54317640"/>
    <w:rsid w:val="544C4EDA"/>
    <w:rsid w:val="5489CB2F"/>
    <w:rsid w:val="549B5715"/>
    <w:rsid w:val="54A22EDC"/>
    <w:rsid w:val="54C9D86D"/>
    <w:rsid w:val="54DB8E5A"/>
    <w:rsid w:val="54E4D234"/>
    <w:rsid w:val="54E66F5A"/>
    <w:rsid w:val="54EDF51F"/>
    <w:rsid w:val="551B834A"/>
    <w:rsid w:val="551DB926"/>
    <w:rsid w:val="55324663"/>
    <w:rsid w:val="554A8A9F"/>
    <w:rsid w:val="554FFBE8"/>
    <w:rsid w:val="555C7425"/>
    <w:rsid w:val="55AFA338"/>
    <w:rsid w:val="55C0F33F"/>
    <w:rsid w:val="55CA30A2"/>
    <w:rsid w:val="55D6A37C"/>
    <w:rsid w:val="55DAE4AE"/>
    <w:rsid w:val="55E82049"/>
    <w:rsid w:val="55E94298"/>
    <w:rsid w:val="55EACCF6"/>
    <w:rsid w:val="560CFA87"/>
    <w:rsid w:val="5625E75A"/>
    <w:rsid w:val="562B1219"/>
    <w:rsid w:val="5665E1D5"/>
    <w:rsid w:val="56795453"/>
    <w:rsid w:val="567BDCDF"/>
    <w:rsid w:val="56DF264A"/>
    <w:rsid w:val="56EAF2D7"/>
    <w:rsid w:val="56FB57E8"/>
    <w:rsid w:val="56FE3238"/>
    <w:rsid w:val="5708F45D"/>
    <w:rsid w:val="5710C580"/>
    <w:rsid w:val="57127984"/>
    <w:rsid w:val="5734D155"/>
    <w:rsid w:val="573E4511"/>
    <w:rsid w:val="57667F98"/>
    <w:rsid w:val="57A5B745"/>
    <w:rsid w:val="57B76BD7"/>
    <w:rsid w:val="57D32269"/>
    <w:rsid w:val="57E5D853"/>
    <w:rsid w:val="580EA1A2"/>
    <w:rsid w:val="582297A0"/>
    <w:rsid w:val="583F1B1C"/>
    <w:rsid w:val="58561395"/>
    <w:rsid w:val="58AB6981"/>
    <w:rsid w:val="58AE3F04"/>
    <w:rsid w:val="58BC7360"/>
    <w:rsid w:val="58F34BB4"/>
    <w:rsid w:val="58F521CC"/>
    <w:rsid w:val="58FC02E6"/>
    <w:rsid w:val="591D0341"/>
    <w:rsid w:val="592A6FF7"/>
    <w:rsid w:val="5937ED9F"/>
    <w:rsid w:val="59454146"/>
    <w:rsid w:val="596AAAB6"/>
    <w:rsid w:val="599646C5"/>
    <w:rsid w:val="599C54D2"/>
    <w:rsid w:val="59A2FBB8"/>
    <w:rsid w:val="59E05DF5"/>
    <w:rsid w:val="59F31766"/>
    <w:rsid w:val="5A57FF1D"/>
    <w:rsid w:val="5A6C1282"/>
    <w:rsid w:val="5A7C9E51"/>
    <w:rsid w:val="5AAD3848"/>
    <w:rsid w:val="5AAE680A"/>
    <w:rsid w:val="5AC72CFE"/>
    <w:rsid w:val="5AD0BADB"/>
    <w:rsid w:val="5AF2D84B"/>
    <w:rsid w:val="5AFAD76A"/>
    <w:rsid w:val="5B00BF90"/>
    <w:rsid w:val="5B0E6775"/>
    <w:rsid w:val="5B0F8B39"/>
    <w:rsid w:val="5B429EB3"/>
    <w:rsid w:val="5B5BA5AE"/>
    <w:rsid w:val="5B5E5686"/>
    <w:rsid w:val="5B642525"/>
    <w:rsid w:val="5B669C11"/>
    <w:rsid w:val="5B76FEEB"/>
    <w:rsid w:val="5B7F7C9A"/>
    <w:rsid w:val="5B8FF404"/>
    <w:rsid w:val="5BCBAF1A"/>
    <w:rsid w:val="5BCEFBB8"/>
    <w:rsid w:val="5BFD5A28"/>
    <w:rsid w:val="5C0032EA"/>
    <w:rsid w:val="5C01C75B"/>
    <w:rsid w:val="5C11FF47"/>
    <w:rsid w:val="5C34E5EB"/>
    <w:rsid w:val="5C4A6934"/>
    <w:rsid w:val="5C5CE7FC"/>
    <w:rsid w:val="5C853E3C"/>
    <w:rsid w:val="5C947095"/>
    <w:rsid w:val="5CAA0D17"/>
    <w:rsid w:val="5CAF1507"/>
    <w:rsid w:val="5CB36435"/>
    <w:rsid w:val="5CB52E52"/>
    <w:rsid w:val="5CE1B713"/>
    <w:rsid w:val="5CF31559"/>
    <w:rsid w:val="5D00D446"/>
    <w:rsid w:val="5D4EF997"/>
    <w:rsid w:val="5D8128F4"/>
    <w:rsid w:val="5D91DF33"/>
    <w:rsid w:val="5D993B8E"/>
    <w:rsid w:val="5DBD4A3F"/>
    <w:rsid w:val="5E01350B"/>
    <w:rsid w:val="5E3EF7C2"/>
    <w:rsid w:val="5E6AEDFE"/>
    <w:rsid w:val="5E78B205"/>
    <w:rsid w:val="5E8FCF2F"/>
    <w:rsid w:val="5E9F2350"/>
    <w:rsid w:val="5EEE940B"/>
    <w:rsid w:val="5EFAEF88"/>
    <w:rsid w:val="5F2093BF"/>
    <w:rsid w:val="5F856E2D"/>
    <w:rsid w:val="5F8DE546"/>
    <w:rsid w:val="5F9F2C06"/>
    <w:rsid w:val="5FB96337"/>
    <w:rsid w:val="5FB9A69F"/>
    <w:rsid w:val="5FBD8F46"/>
    <w:rsid w:val="5FD67B73"/>
    <w:rsid w:val="5FEAC238"/>
    <w:rsid w:val="60022ED2"/>
    <w:rsid w:val="600AB220"/>
    <w:rsid w:val="6015D1EF"/>
    <w:rsid w:val="60160FD6"/>
    <w:rsid w:val="6022CDDA"/>
    <w:rsid w:val="602C3D6F"/>
    <w:rsid w:val="60398556"/>
    <w:rsid w:val="607DDAC1"/>
    <w:rsid w:val="60A54F12"/>
    <w:rsid w:val="60B4AFDB"/>
    <w:rsid w:val="60CA9AF1"/>
    <w:rsid w:val="60F15D57"/>
    <w:rsid w:val="61259557"/>
    <w:rsid w:val="61272991"/>
    <w:rsid w:val="61294074"/>
    <w:rsid w:val="613074F8"/>
    <w:rsid w:val="61426583"/>
    <w:rsid w:val="6156838E"/>
    <w:rsid w:val="615D478E"/>
    <w:rsid w:val="619950EF"/>
    <w:rsid w:val="61D10AEF"/>
    <w:rsid w:val="61DA4952"/>
    <w:rsid w:val="61DF162A"/>
    <w:rsid w:val="61F6913F"/>
    <w:rsid w:val="61F721D3"/>
    <w:rsid w:val="620E619A"/>
    <w:rsid w:val="6229D387"/>
    <w:rsid w:val="625695C5"/>
    <w:rsid w:val="626BDD8D"/>
    <w:rsid w:val="6274CC0D"/>
    <w:rsid w:val="62870731"/>
    <w:rsid w:val="62A32278"/>
    <w:rsid w:val="62AD8DBF"/>
    <w:rsid w:val="62C8D2C4"/>
    <w:rsid w:val="62F031C4"/>
    <w:rsid w:val="632A51B9"/>
    <w:rsid w:val="633A2F99"/>
    <w:rsid w:val="63577A99"/>
    <w:rsid w:val="6378FA1C"/>
    <w:rsid w:val="6388284C"/>
    <w:rsid w:val="639C9EBA"/>
    <w:rsid w:val="63B36937"/>
    <w:rsid w:val="63D228AA"/>
    <w:rsid w:val="63F217C2"/>
    <w:rsid w:val="640148D0"/>
    <w:rsid w:val="640C6180"/>
    <w:rsid w:val="640E6D92"/>
    <w:rsid w:val="64259B57"/>
    <w:rsid w:val="644538CA"/>
    <w:rsid w:val="644B0E51"/>
    <w:rsid w:val="6459CFDC"/>
    <w:rsid w:val="64769029"/>
    <w:rsid w:val="64871050"/>
    <w:rsid w:val="6491B7E9"/>
    <w:rsid w:val="64932121"/>
    <w:rsid w:val="64AE9242"/>
    <w:rsid w:val="64C7EB38"/>
    <w:rsid w:val="64D2AA38"/>
    <w:rsid w:val="64E980F9"/>
    <w:rsid w:val="64EB25FF"/>
    <w:rsid w:val="650E0D0C"/>
    <w:rsid w:val="6519EB47"/>
    <w:rsid w:val="651B511C"/>
    <w:rsid w:val="6538B771"/>
    <w:rsid w:val="653B49F9"/>
    <w:rsid w:val="6570824E"/>
    <w:rsid w:val="6579ADD1"/>
    <w:rsid w:val="659937B3"/>
    <w:rsid w:val="65AE6440"/>
    <w:rsid w:val="65B9881A"/>
    <w:rsid w:val="65BAFC68"/>
    <w:rsid w:val="65C16FBC"/>
    <w:rsid w:val="65CF8BD1"/>
    <w:rsid w:val="65D4C286"/>
    <w:rsid w:val="65EFA01E"/>
    <w:rsid w:val="65FBA41B"/>
    <w:rsid w:val="6600A321"/>
    <w:rsid w:val="66042794"/>
    <w:rsid w:val="662880A1"/>
    <w:rsid w:val="662CF97C"/>
    <w:rsid w:val="66692D32"/>
    <w:rsid w:val="666B4782"/>
    <w:rsid w:val="666DBEE8"/>
    <w:rsid w:val="667C5136"/>
    <w:rsid w:val="6685515A"/>
    <w:rsid w:val="668BA8FB"/>
    <w:rsid w:val="66981066"/>
    <w:rsid w:val="66A00E5D"/>
    <w:rsid w:val="66B02FC8"/>
    <w:rsid w:val="66B06E7A"/>
    <w:rsid w:val="66B96C54"/>
    <w:rsid w:val="66C0AD32"/>
    <w:rsid w:val="66DC0B36"/>
    <w:rsid w:val="6716A700"/>
    <w:rsid w:val="6729B88F"/>
    <w:rsid w:val="675460A8"/>
    <w:rsid w:val="6762E0C4"/>
    <w:rsid w:val="6768DB67"/>
    <w:rsid w:val="676F3BCD"/>
    <w:rsid w:val="67AC26AC"/>
    <w:rsid w:val="67B2FFD4"/>
    <w:rsid w:val="67E69740"/>
    <w:rsid w:val="67E6FFB9"/>
    <w:rsid w:val="67F50CD7"/>
    <w:rsid w:val="67FA50B0"/>
    <w:rsid w:val="68028D63"/>
    <w:rsid w:val="682670A6"/>
    <w:rsid w:val="6827E051"/>
    <w:rsid w:val="685971E3"/>
    <w:rsid w:val="686D0555"/>
    <w:rsid w:val="6876B210"/>
    <w:rsid w:val="6876CD78"/>
    <w:rsid w:val="688A8A5F"/>
    <w:rsid w:val="68A785CC"/>
    <w:rsid w:val="68BF3B7C"/>
    <w:rsid w:val="68E409EB"/>
    <w:rsid w:val="68F95BD1"/>
    <w:rsid w:val="691EA910"/>
    <w:rsid w:val="695287E0"/>
    <w:rsid w:val="69602163"/>
    <w:rsid w:val="69767C87"/>
    <w:rsid w:val="69893CF7"/>
    <w:rsid w:val="69929754"/>
    <w:rsid w:val="69953708"/>
    <w:rsid w:val="69974477"/>
    <w:rsid w:val="69AA4BF2"/>
    <w:rsid w:val="69D168A9"/>
    <w:rsid w:val="69D54A59"/>
    <w:rsid w:val="69D6AF7D"/>
    <w:rsid w:val="69EBD332"/>
    <w:rsid w:val="6A1203AF"/>
    <w:rsid w:val="6A204270"/>
    <w:rsid w:val="6A28D821"/>
    <w:rsid w:val="6A37A855"/>
    <w:rsid w:val="6A3A15AA"/>
    <w:rsid w:val="6A3ECDE2"/>
    <w:rsid w:val="6A4CB30A"/>
    <w:rsid w:val="6A686AF8"/>
    <w:rsid w:val="6A8A3160"/>
    <w:rsid w:val="6A8D0C48"/>
    <w:rsid w:val="6AA09A85"/>
    <w:rsid w:val="6AA10C1B"/>
    <w:rsid w:val="6AAFF992"/>
    <w:rsid w:val="6AB4E719"/>
    <w:rsid w:val="6ABA7971"/>
    <w:rsid w:val="6ABCA1E2"/>
    <w:rsid w:val="6ACF3F97"/>
    <w:rsid w:val="6AD1EC6B"/>
    <w:rsid w:val="6AD9BB93"/>
    <w:rsid w:val="6ADCC341"/>
    <w:rsid w:val="6B44FDE9"/>
    <w:rsid w:val="6B67163B"/>
    <w:rsid w:val="6B88D929"/>
    <w:rsid w:val="6B8BAC6E"/>
    <w:rsid w:val="6BA2A666"/>
    <w:rsid w:val="6BAD721B"/>
    <w:rsid w:val="6BCF7F71"/>
    <w:rsid w:val="6BEFC24B"/>
    <w:rsid w:val="6BF1E745"/>
    <w:rsid w:val="6BFA3692"/>
    <w:rsid w:val="6C0CB06B"/>
    <w:rsid w:val="6C1F2F90"/>
    <w:rsid w:val="6C1F3F4E"/>
    <w:rsid w:val="6C569710"/>
    <w:rsid w:val="6C7A6892"/>
    <w:rsid w:val="6C946A68"/>
    <w:rsid w:val="6CB9D8D1"/>
    <w:rsid w:val="6CC02B34"/>
    <w:rsid w:val="6CD0CFE8"/>
    <w:rsid w:val="6CE73FE3"/>
    <w:rsid w:val="6D058B82"/>
    <w:rsid w:val="6D1DBE8C"/>
    <w:rsid w:val="6D2F780E"/>
    <w:rsid w:val="6D3A7C3C"/>
    <w:rsid w:val="6D3A8D49"/>
    <w:rsid w:val="6D3C64D6"/>
    <w:rsid w:val="6D447DD5"/>
    <w:rsid w:val="6D44FD72"/>
    <w:rsid w:val="6D49BC34"/>
    <w:rsid w:val="6D55D9D3"/>
    <w:rsid w:val="6D67D1BB"/>
    <w:rsid w:val="6D7CF4F5"/>
    <w:rsid w:val="6DA48BBE"/>
    <w:rsid w:val="6DA4BB64"/>
    <w:rsid w:val="6DA9BA37"/>
    <w:rsid w:val="6DAD8482"/>
    <w:rsid w:val="6DD89908"/>
    <w:rsid w:val="6DEB423F"/>
    <w:rsid w:val="6DECE1DC"/>
    <w:rsid w:val="6E09DCA4"/>
    <w:rsid w:val="6E339286"/>
    <w:rsid w:val="6E97287D"/>
    <w:rsid w:val="6E99928A"/>
    <w:rsid w:val="6EA2FA2A"/>
    <w:rsid w:val="6EAFB261"/>
    <w:rsid w:val="6EB3506C"/>
    <w:rsid w:val="6EBE2868"/>
    <w:rsid w:val="6EC97C22"/>
    <w:rsid w:val="6ED7F0E8"/>
    <w:rsid w:val="6EDCA610"/>
    <w:rsid w:val="6EE29F71"/>
    <w:rsid w:val="6F09DD0F"/>
    <w:rsid w:val="6F184DA4"/>
    <w:rsid w:val="6F1F8865"/>
    <w:rsid w:val="6F273E01"/>
    <w:rsid w:val="6F80A6A6"/>
    <w:rsid w:val="6F9BFA12"/>
    <w:rsid w:val="6FD5E173"/>
    <w:rsid w:val="6FE35DA4"/>
    <w:rsid w:val="7013CEA7"/>
    <w:rsid w:val="7016230F"/>
    <w:rsid w:val="701710CC"/>
    <w:rsid w:val="701FF358"/>
    <w:rsid w:val="7030C905"/>
    <w:rsid w:val="7036A924"/>
    <w:rsid w:val="70454BA0"/>
    <w:rsid w:val="706180A2"/>
    <w:rsid w:val="7088F141"/>
    <w:rsid w:val="70B1EBFC"/>
    <w:rsid w:val="70BC6078"/>
    <w:rsid w:val="70DD4BFE"/>
    <w:rsid w:val="70EA4C0F"/>
    <w:rsid w:val="70EF6DFF"/>
    <w:rsid w:val="70F62859"/>
    <w:rsid w:val="7108D5E4"/>
    <w:rsid w:val="711E2DBC"/>
    <w:rsid w:val="711FF693"/>
    <w:rsid w:val="71268806"/>
    <w:rsid w:val="713AC3F6"/>
    <w:rsid w:val="71480290"/>
    <w:rsid w:val="714869E1"/>
    <w:rsid w:val="714F729D"/>
    <w:rsid w:val="716AE295"/>
    <w:rsid w:val="716B286D"/>
    <w:rsid w:val="71B7BF84"/>
    <w:rsid w:val="71CA49B4"/>
    <w:rsid w:val="72188CC6"/>
    <w:rsid w:val="7223F665"/>
    <w:rsid w:val="722C52D4"/>
    <w:rsid w:val="72305777"/>
    <w:rsid w:val="7237B602"/>
    <w:rsid w:val="72571326"/>
    <w:rsid w:val="725901EE"/>
    <w:rsid w:val="725E06BA"/>
    <w:rsid w:val="726440B1"/>
    <w:rsid w:val="7274CC6F"/>
    <w:rsid w:val="7279824C"/>
    <w:rsid w:val="72969B84"/>
    <w:rsid w:val="72A13ED1"/>
    <w:rsid w:val="72AFD5C4"/>
    <w:rsid w:val="72B2A8D0"/>
    <w:rsid w:val="72CB87D5"/>
    <w:rsid w:val="72F5118B"/>
    <w:rsid w:val="72F5795A"/>
    <w:rsid w:val="73002599"/>
    <w:rsid w:val="73140D09"/>
    <w:rsid w:val="731DAB7E"/>
    <w:rsid w:val="7321A6D5"/>
    <w:rsid w:val="732C8D17"/>
    <w:rsid w:val="7335B04A"/>
    <w:rsid w:val="733BCFB0"/>
    <w:rsid w:val="735D5A0C"/>
    <w:rsid w:val="736BC1E8"/>
    <w:rsid w:val="736F5F2C"/>
    <w:rsid w:val="7375E5B7"/>
    <w:rsid w:val="737925BC"/>
    <w:rsid w:val="7381C423"/>
    <w:rsid w:val="738789D8"/>
    <w:rsid w:val="738C15D2"/>
    <w:rsid w:val="738D60DA"/>
    <w:rsid w:val="73A59402"/>
    <w:rsid w:val="73A7B647"/>
    <w:rsid w:val="73AE2492"/>
    <w:rsid w:val="73C6BECC"/>
    <w:rsid w:val="73E8AF1D"/>
    <w:rsid w:val="740B8DB6"/>
    <w:rsid w:val="744BE654"/>
    <w:rsid w:val="745A387A"/>
    <w:rsid w:val="7466B671"/>
    <w:rsid w:val="7473BA44"/>
    <w:rsid w:val="748F19F7"/>
    <w:rsid w:val="748F254F"/>
    <w:rsid w:val="74A75532"/>
    <w:rsid w:val="74D17AB9"/>
    <w:rsid w:val="74E56CCA"/>
    <w:rsid w:val="74FA268C"/>
    <w:rsid w:val="74FD7AC6"/>
    <w:rsid w:val="751E800C"/>
    <w:rsid w:val="754394B2"/>
    <w:rsid w:val="75577A00"/>
    <w:rsid w:val="755A7253"/>
    <w:rsid w:val="75704933"/>
    <w:rsid w:val="75719C73"/>
    <w:rsid w:val="75869F80"/>
    <w:rsid w:val="758DBB56"/>
    <w:rsid w:val="75911731"/>
    <w:rsid w:val="759EDD07"/>
    <w:rsid w:val="75D841DC"/>
    <w:rsid w:val="75DFBF40"/>
    <w:rsid w:val="76000415"/>
    <w:rsid w:val="761440BA"/>
    <w:rsid w:val="76528D9D"/>
    <w:rsid w:val="765A604A"/>
    <w:rsid w:val="7692F9AA"/>
    <w:rsid w:val="769B42F5"/>
    <w:rsid w:val="76C69244"/>
    <w:rsid w:val="76D48D40"/>
    <w:rsid w:val="76E0E5BA"/>
    <w:rsid w:val="7712799F"/>
    <w:rsid w:val="77294797"/>
    <w:rsid w:val="77325251"/>
    <w:rsid w:val="773A79FA"/>
    <w:rsid w:val="774AEAC5"/>
    <w:rsid w:val="7755CBB4"/>
    <w:rsid w:val="775FE69A"/>
    <w:rsid w:val="7783992F"/>
    <w:rsid w:val="778B1045"/>
    <w:rsid w:val="778F3817"/>
    <w:rsid w:val="77953308"/>
    <w:rsid w:val="77A9249B"/>
    <w:rsid w:val="77DF382A"/>
    <w:rsid w:val="7803DE33"/>
    <w:rsid w:val="780C885E"/>
    <w:rsid w:val="780F89D5"/>
    <w:rsid w:val="78425242"/>
    <w:rsid w:val="784A63E3"/>
    <w:rsid w:val="784F2F87"/>
    <w:rsid w:val="785749BB"/>
    <w:rsid w:val="787258E7"/>
    <w:rsid w:val="787975EC"/>
    <w:rsid w:val="78838090"/>
    <w:rsid w:val="78985217"/>
    <w:rsid w:val="78AF5D65"/>
    <w:rsid w:val="78B101EF"/>
    <w:rsid w:val="78BD8254"/>
    <w:rsid w:val="78CC6F2B"/>
    <w:rsid w:val="78D15C76"/>
    <w:rsid w:val="78E0C623"/>
    <w:rsid w:val="793E8678"/>
    <w:rsid w:val="79411C9D"/>
    <w:rsid w:val="79692224"/>
    <w:rsid w:val="796E4ECC"/>
    <w:rsid w:val="7971375D"/>
    <w:rsid w:val="798A9990"/>
    <w:rsid w:val="798A99F9"/>
    <w:rsid w:val="798D283C"/>
    <w:rsid w:val="79AA2C4F"/>
    <w:rsid w:val="79B31080"/>
    <w:rsid w:val="79C75BE7"/>
    <w:rsid w:val="79D16109"/>
    <w:rsid w:val="79DE7466"/>
    <w:rsid w:val="79E55330"/>
    <w:rsid w:val="79FB3943"/>
    <w:rsid w:val="7A046839"/>
    <w:rsid w:val="7A2F2C97"/>
    <w:rsid w:val="7A2FEE93"/>
    <w:rsid w:val="7A38DF8A"/>
    <w:rsid w:val="7A41D0C3"/>
    <w:rsid w:val="7A498706"/>
    <w:rsid w:val="7A8D5DFD"/>
    <w:rsid w:val="7A9DE0EF"/>
    <w:rsid w:val="7A9E82CF"/>
    <w:rsid w:val="7AB917C7"/>
    <w:rsid w:val="7ABEE666"/>
    <w:rsid w:val="7AC445C1"/>
    <w:rsid w:val="7AD806BA"/>
    <w:rsid w:val="7ADD6832"/>
    <w:rsid w:val="7AE2F743"/>
    <w:rsid w:val="7AF9EFBF"/>
    <w:rsid w:val="7B1E769F"/>
    <w:rsid w:val="7B2E0869"/>
    <w:rsid w:val="7B3C97BE"/>
    <w:rsid w:val="7B6E3527"/>
    <w:rsid w:val="7B7251B5"/>
    <w:rsid w:val="7B87858E"/>
    <w:rsid w:val="7BA40B88"/>
    <w:rsid w:val="7BAAC207"/>
    <w:rsid w:val="7BC4602E"/>
    <w:rsid w:val="7BCEC34F"/>
    <w:rsid w:val="7BCF2121"/>
    <w:rsid w:val="7BCFE2AD"/>
    <w:rsid w:val="7BD6A52F"/>
    <w:rsid w:val="7BF6B08E"/>
    <w:rsid w:val="7C33517F"/>
    <w:rsid w:val="7C5DD324"/>
    <w:rsid w:val="7C5E5223"/>
    <w:rsid w:val="7C71514D"/>
    <w:rsid w:val="7C7811F2"/>
    <w:rsid w:val="7C7A6A55"/>
    <w:rsid w:val="7C9F12E4"/>
    <w:rsid w:val="7CCA081A"/>
    <w:rsid w:val="7CE47A44"/>
    <w:rsid w:val="7CEB6946"/>
    <w:rsid w:val="7CF97BD1"/>
    <w:rsid w:val="7D12A42E"/>
    <w:rsid w:val="7D148AAB"/>
    <w:rsid w:val="7D151AA5"/>
    <w:rsid w:val="7D30B88E"/>
    <w:rsid w:val="7D3C50D2"/>
    <w:rsid w:val="7D3F5B2F"/>
    <w:rsid w:val="7D44C8FB"/>
    <w:rsid w:val="7D50F596"/>
    <w:rsid w:val="7D579A7E"/>
    <w:rsid w:val="7D760985"/>
    <w:rsid w:val="7D888085"/>
    <w:rsid w:val="7D8B4F28"/>
    <w:rsid w:val="7D9836AF"/>
    <w:rsid w:val="7DC84D23"/>
    <w:rsid w:val="7DF0823F"/>
    <w:rsid w:val="7E100DD1"/>
    <w:rsid w:val="7E2D32C1"/>
    <w:rsid w:val="7E330138"/>
    <w:rsid w:val="7E34F75B"/>
    <w:rsid w:val="7E6BFBC5"/>
    <w:rsid w:val="7E963256"/>
    <w:rsid w:val="7EA9C613"/>
    <w:rsid w:val="7EE21B89"/>
    <w:rsid w:val="7EFCFD0F"/>
    <w:rsid w:val="7F2F1F93"/>
    <w:rsid w:val="7F4530A2"/>
    <w:rsid w:val="7F6203B8"/>
    <w:rsid w:val="7F633043"/>
    <w:rsid w:val="7F7028D4"/>
    <w:rsid w:val="7F7959C5"/>
    <w:rsid w:val="7F7C1235"/>
    <w:rsid w:val="7F92CF9D"/>
    <w:rsid w:val="7F9665C9"/>
    <w:rsid w:val="7FACE9D9"/>
    <w:rsid w:val="7FBB7D79"/>
    <w:rsid w:val="7FBC18D0"/>
    <w:rsid w:val="7FEF7142"/>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64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531D"/>
    <w:pPr>
      <w:spacing w:after="180"/>
    </w:pPr>
    <w:rPr>
      <w:rFonts w:ascii="Arial" w:hAnsi="Arial"/>
      <w:color w:val="7F7F7F" w:themeColor="text1" w:themeTint="80"/>
      <w:sz w:val="20"/>
    </w:rPr>
  </w:style>
  <w:style w:type="paragraph" w:styleId="Heading1">
    <w:name w:val="heading 1"/>
    <w:basedOn w:val="Normal"/>
    <w:next w:val="Normal"/>
    <w:link w:val="Heading1Char"/>
    <w:uiPriority w:val="9"/>
    <w:rsid w:val="00320A8D"/>
    <w:pPr>
      <w:keepNext/>
      <w:keepLines/>
      <w:spacing w:before="360" w:after="0"/>
      <w:outlineLvl w:val="0"/>
    </w:pPr>
    <w:rPr>
      <w:rFonts w:ascii="Tahoma" w:eastAsiaTheme="majorEastAsia" w:hAnsi="Tahoma" w:cs="Times New Roman (Headings CS)"/>
      <w:bCs/>
      <w:color w:val="595959" w:themeColor="text2" w:themeTint="A6"/>
      <w:spacing w:val="20"/>
      <w:sz w:val="48"/>
      <w:szCs w:val="28"/>
    </w:rPr>
  </w:style>
  <w:style w:type="paragraph" w:styleId="Heading2">
    <w:name w:val="heading 2"/>
    <w:basedOn w:val="Normal"/>
    <w:next w:val="Normal"/>
    <w:link w:val="Heading2Char"/>
    <w:uiPriority w:val="9"/>
    <w:unhideWhenUsed/>
    <w:rsid w:val="00320A8D"/>
    <w:pPr>
      <w:keepNext/>
      <w:keepLines/>
      <w:spacing w:before="120" w:after="0"/>
      <w:outlineLvl w:val="1"/>
    </w:pPr>
    <w:rPr>
      <w:rFonts w:eastAsiaTheme="majorEastAsia" w:cstheme="majorBidi"/>
      <w:b/>
      <w:bCs/>
      <w:color w:val="26664E" w:themeColor="accent1"/>
      <w:sz w:val="28"/>
      <w:szCs w:val="26"/>
    </w:rPr>
  </w:style>
  <w:style w:type="paragraph" w:styleId="Heading3">
    <w:name w:val="heading 3"/>
    <w:basedOn w:val="Normal"/>
    <w:next w:val="Normal"/>
    <w:link w:val="Heading3Char"/>
    <w:uiPriority w:val="9"/>
    <w:unhideWhenUsed/>
    <w:rsid w:val="00320A8D"/>
    <w:pPr>
      <w:keepNext/>
      <w:keepLines/>
      <w:spacing w:before="20" w:after="0"/>
      <w:outlineLvl w:val="2"/>
    </w:pPr>
    <w:rPr>
      <w:rFonts w:asciiTheme="majorHAnsi" w:eastAsiaTheme="majorEastAsia" w:hAnsiTheme="majorHAnsi" w:cstheme="majorBidi"/>
      <w:bCs/>
      <w:color w:val="000000" w:themeColor="text2"/>
      <w:spacing w:val="14"/>
      <w:sz w:val="24"/>
    </w:rPr>
  </w:style>
  <w:style w:type="paragraph" w:styleId="Heading4">
    <w:name w:val="heading 4"/>
    <w:basedOn w:val="Normal"/>
    <w:next w:val="Normal"/>
    <w:link w:val="Heading4Char"/>
    <w:uiPriority w:val="9"/>
    <w:unhideWhenUsed/>
    <w:rsid w:val="00320A8D"/>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unhideWhenUsed/>
    <w:rsid w:val="00320A8D"/>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unhideWhenUsed/>
    <w:rsid w:val="00320A8D"/>
    <w:pPr>
      <w:keepNext/>
      <w:keepLines/>
      <w:spacing w:before="200" w:after="0"/>
      <w:outlineLvl w:val="5"/>
    </w:pPr>
    <w:rPr>
      <w:rFonts w:asciiTheme="majorHAnsi" w:eastAsiaTheme="majorEastAsia" w:hAnsiTheme="majorHAnsi" w:cstheme="majorBidi"/>
      <w:iCs/>
      <w:color w:val="26664E" w:themeColor="accent1"/>
      <w:sz w:val="22"/>
    </w:rPr>
  </w:style>
  <w:style w:type="paragraph" w:styleId="Heading7">
    <w:name w:val="heading 7"/>
    <w:basedOn w:val="Normal"/>
    <w:next w:val="Normal"/>
    <w:link w:val="Heading7Char"/>
    <w:uiPriority w:val="9"/>
    <w:semiHidden/>
    <w:unhideWhenUsed/>
    <w:qFormat/>
    <w:rsid w:val="00320A8D"/>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320A8D"/>
    <w:pPr>
      <w:keepNext/>
      <w:keepLines/>
      <w:spacing w:before="200" w:after="0"/>
      <w:outlineLvl w:val="7"/>
    </w:pPr>
    <w:rPr>
      <w:rFonts w:asciiTheme="majorHAnsi" w:eastAsiaTheme="majorEastAsia" w:hAnsiTheme="majorHAnsi" w:cstheme="majorBidi"/>
      <w:color w:val="000000"/>
      <w:szCs w:val="20"/>
    </w:rPr>
  </w:style>
  <w:style w:type="paragraph" w:styleId="Heading9">
    <w:name w:val="heading 9"/>
    <w:basedOn w:val="Normal"/>
    <w:next w:val="Normal"/>
    <w:link w:val="Heading9Char"/>
    <w:uiPriority w:val="9"/>
    <w:semiHidden/>
    <w:unhideWhenUsed/>
    <w:qFormat/>
    <w:rsid w:val="00320A8D"/>
    <w:pPr>
      <w:keepNext/>
      <w:keepLines/>
      <w:spacing w:before="200" w:after="0"/>
      <w:outlineLvl w:val="8"/>
    </w:pPr>
    <w:rPr>
      <w:rFonts w:asciiTheme="majorHAnsi" w:eastAsiaTheme="majorEastAsia" w:hAnsiTheme="majorHAnsi" w:cstheme="majorBidi"/>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Bulletsinatable">
    <w:name w:val="11. Bullets in a table"/>
    <w:link w:val="11BulletsinatableChar"/>
    <w:qFormat/>
    <w:locked/>
    <w:rsid w:val="00A774C0"/>
    <w:pPr>
      <w:spacing w:after="0"/>
      <w:ind w:left="360" w:hanging="360"/>
    </w:pPr>
    <w:rPr>
      <w:rFonts w:ascii="Calibri Light" w:hAnsi="Calibri Light" w:cs="Arial"/>
      <w:bCs/>
      <w:color w:val="000000" w:themeColor="text1"/>
      <w:szCs w:val="20"/>
    </w:rPr>
  </w:style>
  <w:style w:type="character" w:customStyle="1" w:styleId="11BulletsinatableChar">
    <w:name w:val="11. Bullets in a table Char"/>
    <w:basedOn w:val="DefaultParagraphFont"/>
    <w:link w:val="11Bulletsinatable"/>
    <w:rsid w:val="00A774C0"/>
    <w:rPr>
      <w:rFonts w:ascii="Calibri Light" w:hAnsi="Calibri Light" w:cs="Arial"/>
      <w:bCs/>
      <w:color w:val="000000" w:themeColor="text1"/>
      <w:szCs w:val="20"/>
    </w:rPr>
  </w:style>
  <w:style w:type="paragraph" w:customStyle="1" w:styleId="Tableheading">
    <w:name w:val="Table heading"/>
    <w:link w:val="TableheadingChar"/>
    <w:qFormat/>
    <w:locked/>
    <w:rsid w:val="00537975"/>
    <w:pPr>
      <w:keepNext/>
      <w:spacing w:before="180" w:after="60"/>
    </w:pPr>
    <w:rPr>
      <w:rFonts w:ascii="Calibri Light" w:hAnsi="Calibri Light" w:cs="Arial"/>
      <w:b/>
      <w:color w:val="4D4D4D" w:themeColor="accent6"/>
      <w:sz w:val="24"/>
    </w:rPr>
  </w:style>
  <w:style w:type="character" w:customStyle="1" w:styleId="TableheadingChar">
    <w:name w:val="Table heading Char"/>
    <w:basedOn w:val="DefaultParagraphFont"/>
    <w:link w:val="Tableheading"/>
    <w:rsid w:val="00537975"/>
    <w:rPr>
      <w:rFonts w:ascii="Calibri Light" w:hAnsi="Calibri Light" w:cs="Arial"/>
      <w:b/>
      <w:color w:val="4D4D4D" w:themeColor="accent6"/>
      <w:sz w:val="24"/>
    </w:rPr>
  </w:style>
  <w:style w:type="paragraph" w:customStyle="1" w:styleId="08Figuretableboxheading">
    <w:name w:val="08. Figure/table/box heading"/>
    <w:basedOn w:val="Tableheading"/>
    <w:link w:val="08FiguretableboxheadingChar"/>
    <w:qFormat/>
    <w:locked/>
    <w:rsid w:val="008833FA"/>
    <w:rPr>
      <w:rFonts w:ascii="Calibri" w:hAnsi="Calibri" w:cs="Calibri"/>
      <w:color w:val="26664E" w:themeColor="accent1"/>
      <w:szCs w:val="20"/>
    </w:rPr>
  </w:style>
  <w:style w:type="character" w:customStyle="1" w:styleId="08FiguretableboxheadingChar">
    <w:name w:val="08. Figure/table/box heading Char"/>
    <w:basedOn w:val="TableheadingChar"/>
    <w:link w:val="08Figuretableboxheading"/>
    <w:rsid w:val="00F771F2"/>
    <w:rPr>
      <w:rFonts w:ascii="Calibri" w:hAnsi="Calibri" w:cs="Calibri"/>
      <w:b/>
      <w:color w:val="26664E" w:themeColor="accent1"/>
      <w:sz w:val="24"/>
      <w:szCs w:val="20"/>
    </w:rPr>
  </w:style>
  <w:style w:type="character" w:customStyle="1" w:styleId="Heading1Char">
    <w:name w:val="Heading 1 Char"/>
    <w:basedOn w:val="DefaultParagraphFont"/>
    <w:link w:val="Heading1"/>
    <w:uiPriority w:val="9"/>
    <w:rsid w:val="00320A8D"/>
    <w:rPr>
      <w:rFonts w:ascii="Tahoma" w:eastAsiaTheme="majorEastAsia" w:hAnsi="Tahoma" w:cs="Times New Roman (Headings CS)"/>
      <w:b w:val="0"/>
      <w:bCs/>
      <w:i w:val="0"/>
      <w:color w:val="595959" w:themeColor="text2" w:themeTint="A6"/>
      <w:spacing w:val="20"/>
      <w:sz w:val="48"/>
      <w:szCs w:val="28"/>
    </w:rPr>
  </w:style>
  <w:style w:type="character" w:customStyle="1" w:styleId="Heading2Char">
    <w:name w:val="Heading 2 Char"/>
    <w:basedOn w:val="DefaultParagraphFont"/>
    <w:link w:val="Heading2"/>
    <w:uiPriority w:val="9"/>
    <w:rsid w:val="00320A8D"/>
    <w:rPr>
      <w:rFonts w:ascii="Arial" w:eastAsiaTheme="majorEastAsia" w:hAnsi="Arial" w:cstheme="majorBidi"/>
      <w:b/>
      <w:bCs/>
      <w:i w:val="0"/>
      <w:color w:val="26664E" w:themeColor="accent1"/>
      <w:sz w:val="28"/>
      <w:szCs w:val="26"/>
    </w:rPr>
  </w:style>
  <w:style w:type="character" w:customStyle="1" w:styleId="Heading3Char">
    <w:name w:val="Heading 3 Char"/>
    <w:basedOn w:val="DefaultParagraphFont"/>
    <w:link w:val="Heading3"/>
    <w:uiPriority w:val="9"/>
    <w:rsid w:val="00320A8D"/>
    <w:rPr>
      <w:rFonts w:asciiTheme="majorHAnsi" w:eastAsiaTheme="majorEastAsia" w:hAnsiTheme="majorHAnsi" w:cstheme="majorBidi"/>
      <w:b w:val="0"/>
      <w:bCs/>
      <w:i w:val="0"/>
      <w:color w:val="000000" w:themeColor="text2"/>
      <w:spacing w:val="14"/>
      <w:sz w:val="24"/>
    </w:rPr>
  </w:style>
  <w:style w:type="character" w:customStyle="1" w:styleId="Heading4Char">
    <w:name w:val="Heading 4 Char"/>
    <w:basedOn w:val="DefaultParagraphFont"/>
    <w:link w:val="Heading4"/>
    <w:uiPriority w:val="9"/>
    <w:rsid w:val="00320A8D"/>
    <w:rPr>
      <w:rFonts w:ascii="Arial" w:eastAsiaTheme="majorEastAsia" w:hAnsi="Arial" w:cstheme="majorBidi"/>
      <w:b/>
      <w:bCs/>
      <w:i/>
      <w:iCs/>
      <w:color w:val="000000"/>
      <w:sz w:val="24"/>
    </w:rPr>
  </w:style>
  <w:style w:type="character" w:customStyle="1" w:styleId="Heading5Char">
    <w:name w:val="Heading 5 Char"/>
    <w:basedOn w:val="DefaultParagraphFont"/>
    <w:link w:val="Heading5"/>
    <w:uiPriority w:val="9"/>
    <w:rsid w:val="00320A8D"/>
    <w:rPr>
      <w:rFonts w:asciiTheme="majorHAnsi" w:eastAsiaTheme="majorEastAsia" w:hAnsiTheme="majorHAnsi" w:cstheme="majorBidi"/>
      <w:b w:val="0"/>
      <w:i w:val="0"/>
      <w:color w:val="000000"/>
      <w:sz w:val="20"/>
    </w:rPr>
  </w:style>
  <w:style w:type="character" w:customStyle="1" w:styleId="Heading6Char">
    <w:name w:val="Heading 6 Char"/>
    <w:basedOn w:val="DefaultParagraphFont"/>
    <w:link w:val="Heading6"/>
    <w:uiPriority w:val="9"/>
    <w:rsid w:val="00320A8D"/>
    <w:rPr>
      <w:rFonts w:asciiTheme="majorHAnsi" w:eastAsiaTheme="majorEastAsia" w:hAnsiTheme="majorHAnsi" w:cstheme="majorBidi"/>
      <w:b w:val="0"/>
      <w:i w:val="0"/>
      <w:iCs/>
      <w:color w:val="26664E" w:themeColor="accent1"/>
      <w:sz w:val="20"/>
    </w:rPr>
  </w:style>
  <w:style w:type="character" w:customStyle="1" w:styleId="Heading7Char">
    <w:name w:val="Heading 7 Char"/>
    <w:basedOn w:val="DefaultParagraphFont"/>
    <w:link w:val="Heading7"/>
    <w:uiPriority w:val="9"/>
    <w:semiHidden/>
    <w:rsid w:val="00320A8D"/>
    <w:rPr>
      <w:rFonts w:asciiTheme="majorHAnsi" w:eastAsiaTheme="majorEastAsia" w:hAnsiTheme="majorHAnsi" w:cstheme="majorBidi"/>
      <w:b w:val="0"/>
      <w:i/>
      <w:iCs/>
      <w:color w:val="000000"/>
      <w:sz w:val="20"/>
    </w:rPr>
  </w:style>
  <w:style w:type="character" w:customStyle="1" w:styleId="Heading8Char">
    <w:name w:val="Heading 8 Char"/>
    <w:basedOn w:val="DefaultParagraphFont"/>
    <w:link w:val="Heading8"/>
    <w:uiPriority w:val="9"/>
    <w:semiHidden/>
    <w:rsid w:val="00320A8D"/>
    <w:rPr>
      <w:rFonts w:asciiTheme="majorHAnsi" w:eastAsiaTheme="majorEastAsia" w:hAnsiTheme="majorHAnsi" w:cstheme="majorBidi"/>
      <w:b w:val="0"/>
      <w:i w:val="0"/>
      <w:color w:val="000000"/>
      <w:sz w:val="20"/>
      <w:szCs w:val="20"/>
    </w:rPr>
  </w:style>
  <w:style w:type="character" w:customStyle="1" w:styleId="Heading9Char">
    <w:name w:val="Heading 9 Char"/>
    <w:basedOn w:val="DefaultParagraphFont"/>
    <w:link w:val="Heading9"/>
    <w:uiPriority w:val="9"/>
    <w:semiHidden/>
    <w:rsid w:val="00320A8D"/>
    <w:rPr>
      <w:rFonts w:asciiTheme="majorHAnsi" w:eastAsiaTheme="majorEastAsia" w:hAnsiTheme="majorHAnsi" w:cstheme="majorBidi"/>
      <w:b w:val="0"/>
      <w:i/>
      <w:iCs/>
      <w:color w:val="000000"/>
      <w:sz w:val="20"/>
      <w:szCs w:val="20"/>
    </w:rPr>
  </w:style>
  <w:style w:type="paragraph" w:customStyle="1" w:styleId="Footnotes">
    <w:name w:val="Footnotes"/>
    <w:link w:val="FootnotesChar"/>
    <w:qFormat/>
    <w:locked/>
    <w:rsid w:val="0024419C"/>
    <w:pPr>
      <w:spacing w:after="0"/>
      <w:ind w:left="227" w:hanging="227"/>
    </w:pPr>
    <w:rPr>
      <w:rFonts w:ascii="Calibri" w:hAnsi="Calibri" w:cs="Times New Roman (Body CS)"/>
      <w:spacing w:val="-6"/>
      <w:sz w:val="18"/>
      <w:szCs w:val="72"/>
    </w:rPr>
  </w:style>
  <w:style w:type="character" w:customStyle="1" w:styleId="FootnotesChar">
    <w:name w:val="Footnotes Char"/>
    <w:basedOn w:val="DefaultParagraphFont"/>
    <w:link w:val="Footnotes"/>
    <w:rsid w:val="0024419C"/>
    <w:rPr>
      <w:rFonts w:ascii="Calibri" w:hAnsi="Calibri" w:cs="Times New Roman (Body CS)"/>
      <w:spacing w:val="-6"/>
      <w:sz w:val="18"/>
      <w:szCs w:val="72"/>
    </w:rPr>
  </w:style>
  <w:style w:type="table" w:styleId="ListTable3-Accent2">
    <w:name w:val="List Table 3 Accent 2"/>
    <w:basedOn w:val="TableNormal"/>
    <w:uiPriority w:val="48"/>
    <w:rsid w:val="00F771F2"/>
    <w:pPr>
      <w:spacing w:after="0"/>
    </w:pPr>
    <w:rPr>
      <w:rFonts w:ascii="Calibri Light" w:hAnsi="Calibri Light"/>
    </w:rPr>
    <w:tblPr>
      <w:tblStyleRowBandSize w:val="1"/>
      <w:tblStyleColBandSize w:val="1"/>
      <w:tblBorders>
        <w:top w:val="single" w:sz="4" w:space="0" w:color="148A5D" w:themeColor="accent2"/>
        <w:bottom w:val="single" w:sz="4" w:space="0" w:color="148A5D" w:themeColor="accent2"/>
        <w:insideH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paragraph" w:customStyle="1" w:styleId="Notesfortablesfigures">
    <w:name w:val="Notes for tables/figures"/>
    <w:link w:val="NotesfortablesfiguresChar"/>
    <w:qFormat/>
    <w:locked/>
    <w:rsid w:val="00AC7E77"/>
    <w:pPr>
      <w:spacing w:after="0"/>
    </w:pPr>
    <w:rPr>
      <w:rFonts w:ascii="Calibri Light" w:hAnsi="Calibri Light"/>
      <w:color w:val="000000" w:themeColor="text1"/>
      <w:sz w:val="18"/>
      <w:szCs w:val="20"/>
    </w:rPr>
  </w:style>
  <w:style w:type="character" w:customStyle="1" w:styleId="NotesfortablesfiguresChar">
    <w:name w:val="Notes for tables/figures Char"/>
    <w:basedOn w:val="DefaultParagraphFont"/>
    <w:link w:val="Notesfortablesfigures"/>
    <w:rsid w:val="00AC7E77"/>
    <w:rPr>
      <w:rFonts w:ascii="Calibri Light" w:hAnsi="Calibri Light"/>
      <w:color w:val="000000" w:themeColor="text1"/>
      <w:sz w:val="18"/>
      <w:szCs w:val="20"/>
    </w:rPr>
  </w:style>
  <w:style w:type="paragraph" w:customStyle="1" w:styleId="Paragraph">
    <w:name w:val="Paragraph"/>
    <w:locked/>
    <w:rsid w:val="00F771F2"/>
    <w:pPr>
      <w:spacing w:before="180" w:after="180" w:line="276" w:lineRule="auto"/>
      <w:jc w:val="both"/>
    </w:pPr>
    <w:rPr>
      <w:rFonts w:ascii="Calibri Light" w:hAnsi="Calibri Light" w:cs="Arial"/>
      <w:color w:val="4D4D4D" w:themeColor="accent6"/>
      <w:sz w:val="26"/>
      <w:szCs w:val="20"/>
    </w:rPr>
  </w:style>
  <w:style w:type="paragraph" w:customStyle="1" w:styleId="Parapraphbeforeabulletlist">
    <w:name w:val="Parapraph before a bullet list"/>
    <w:basedOn w:val="Paragraph"/>
    <w:link w:val="ParapraphbeforeabulletlistChar"/>
    <w:locked/>
    <w:rsid w:val="00F771F2"/>
    <w:pPr>
      <w:spacing w:after="120"/>
    </w:pPr>
    <w:rPr>
      <w:rFonts w:ascii="@MS PMincho" w:hAnsi="@MS PMincho" w:cs="@MS PMincho"/>
      <w:szCs w:val="44"/>
    </w:rPr>
  </w:style>
  <w:style w:type="character" w:customStyle="1" w:styleId="ParapraphbeforeabulletlistChar">
    <w:name w:val="Parapraph before a bullet list Char"/>
    <w:basedOn w:val="DefaultParagraphFont"/>
    <w:link w:val="Parapraphbeforeabulletlist"/>
    <w:rsid w:val="00F771F2"/>
    <w:rPr>
      <w:rFonts w:ascii="@MS PMincho" w:hAnsi="@MS PMincho" w:cs="@MS PMincho"/>
      <w:color w:val="4D4D4D" w:themeColor="accent6"/>
      <w:sz w:val="26"/>
      <w:szCs w:val="44"/>
    </w:rPr>
  </w:style>
  <w:style w:type="paragraph" w:customStyle="1" w:styleId="09Sourcesandnotesfortablesfiguresboxes">
    <w:name w:val="09. Sources and notes for tables/figures/boxes"/>
    <w:basedOn w:val="Normal"/>
    <w:link w:val="09SourcesandnotesfortablesfiguresboxesChar"/>
    <w:qFormat/>
    <w:locked/>
    <w:rsid w:val="000B013B"/>
    <w:pPr>
      <w:spacing w:after="240"/>
      <w:ind w:right="-149"/>
      <w:contextualSpacing/>
    </w:pPr>
    <w:rPr>
      <w:rFonts w:ascii="Calibri" w:hAnsi="Calibri" w:cs="Calibri"/>
      <w:color w:val="000000" w:themeColor="text1"/>
      <w:sz w:val="18"/>
      <w:szCs w:val="20"/>
    </w:rPr>
  </w:style>
  <w:style w:type="character" w:customStyle="1" w:styleId="09SourcesandnotesfortablesfiguresboxesChar">
    <w:name w:val="09. Sources and notes for tables/figures/boxes Char"/>
    <w:basedOn w:val="DefaultParagraphFont"/>
    <w:link w:val="09Sourcesandnotesfortablesfiguresboxes"/>
    <w:rsid w:val="000B013B"/>
    <w:rPr>
      <w:rFonts w:ascii="Calibri" w:hAnsi="Calibri" w:cs="Calibri"/>
      <w:color w:val="000000" w:themeColor="text1"/>
      <w:sz w:val="18"/>
      <w:szCs w:val="20"/>
    </w:rPr>
  </w:style>
  <w:style w:type="paragraph" w:customStyle="1" w:styleId="Tabletext">
    <w:name w:val="Table text"/>
    <w:link w:val="TabletextChar"/>
    <w:locked/>
    <w:rsid w:val="001434B6"/>
    <w:pPr>
      <w:spacing w:after="0"/>
    </w:pPr>
    <w:rPr>
      <w:rFonts w:ascii="Calibri Light" w:hAnsi="Calibri Light"/>
      <w:color w:val="000000" w:themeColor="text1"/>
    </w:rPr>
  </w:style>
  <w:style w:type="character" w:customStyle="1" w:styleId="TabletextChar">
    <w:name w:val="Table text Char"/>
    <w:basedOn w:val="DefaultParagraphFont"/>
    <w:link w:val="Tabletext"/>
    <w:rsid w:val="001434B6"/>
    <w:rPr>
      <w:rFonts w:ascii="Calibri Light" w:hAnsi="Calibri Light"/>
      <w:color w:val="000000" w:themeColor="text1"/>
    </w:rPr>
  </w:style>
  <w:style w:type="paragraph" w:customStyle="1" w:styleId="07VIRTBreakouttext">
    <w:name w:val="07. VIRT Breakout text"/>
    <w:basedOn w:val="Normal"/>
    <w:link w:val="07VIRTBreakouttextChar"/>
    <w:qFormat/>
    <w:locked/>
    <w:rsid w:val="00845CD0"/>
    <w:pPr>
      <w:tabs>
        <w:tab w:val="center" w:pos="4680"/>
        <w:tab w:val="right" w:pos="9360"/>
      </w:tabs>
      <w:spacing w:before="180" w:line="276" w:lineRule="auto"/>
      <w:ind w:left="567" w:right="567"/>
      <w:mirrorIndents/>
      <w:jc w:val="both"/>
    </w:pPr>
    <w:rPr>
      <w:rFonts w:ascii="Calibri Light" w:hAnsi="Calibri Light" w:cs="Times New Roman (Body CS)"/>
      <w:i/>
      <w:color w:val="0E7650"/>
      <w:spacing w:val="-6"/>
      <w:sz w:val="26"/>
    </w:rPr>
  </w:style>
  <w:style w:type="character" w:customStyle="1" w:styleId="07VIRTBreakouttextChar">
    <w:name w:val="07. VIRT Breakout text Char"/>
    <w:basedOn w:val="DefaultParagraphFont"/>
    <w:link w:val="07VIRTBreakouttext"/>
    <w:rsid w:val="00845CD0"/>
    <w:rPr>
      <w:rFonts w:ascii="Calibri Light" w:hAnsi="Calibri Light" w:cs="Times New Roman (Body CS)"/>
      <w:i/>
      <w:color w:val="0E7650"/>
      <w:spacing w:val="-6"/>
      <w:sz w:val="26"/>
    </w:rPr>
  </w:style>
  <w:style w:type="paragraph" w:customStyle="1" w:styleId="VIRTBulletpoints">
    <w:name w:val="VIRT Bullet points"/>
    <w:link w:val="VIRTBulletpointsChar"/>
    <w:qFormat/>
    <w:locked/>
    <w:rsid w:val="00AE11E9"/>
    <w:pPr>
      <w:spacing w:before="120" w:after="120" w:line="259" w:lineRule="auto"/>
      <w:contextualSpacing/>
    </w:pPr>
    <w:rPr>
      <w:rFonts w:ascii="Calibri Light" w:hAnsi="Calibri Light" w:cs="Arial"/>
      <w:color w:val="000000" w:themeColor="text1"/>
      <w:sz w:val="26"/>
      <w:szCs w:val="20"/>
    </w:rPr>
  </w:style>
  <w:style w:type="character" w:customStyle="1" w:styleId="VIRTBulletpointsChar">
    <w:name w:val="VIRT Bullet points Char"/>
    <w:basedOn w:val="DefaultParagraphFont"/>
    <w:link w:val="VIRTBulletpoints"/>
    <w:locked/>
    <w:rsid w:val="00AE11E9"/>
    <w:rPr>
      <w:rFonts w:ascii="Calibri Light" w:hAnsi="Calibri Light" w:cs="Arial"/>
      <w:color w:val="000000" w:themeColor="text1"/>
      <w:sz w:val="26"/>
      <w:szCs w:val="20"/>
    </w:rPr>
  </w:style>
  <w:style w:type="paragraph" w:customStyle="1" w:styleId="02VIRTHeading2">
    <w:name w:val="02. VIRT Heading 2"/>
    <w:basedOn w:val="Normal"/>
    <w:link w:val="02VIRTHeading2Char"/>
    <w:qFormat/>
    <w:locked/>
    <w:rsid w:val="004D3662"/>
    <w:pPr>
      <w:keepNext/>
      <w:spacing w:before="240" w:after="240"/>
      <w:ind w:left="1418" w:hanging="1418"/>
      <w:outlineLvl w:val="1"/>
    </w:pPr>
    <w:rPr>
      <w:rFonts w:ascii="Rockwell" w:hAnsi="Rockwell" w:cs="Times New Roman (Body CS)"/>
      <w:color w:val="007449"/>
      <w:sz w:val="44"/>
      <w:szCs w:val="44"/>
    </w:rPr>
  </w:style>
  <w:style w:type="character" w:customStyle="1" w:styleId="02VIRTHeading2Char">
    <w:name w:val="02. VIRT Heading 2 Char"/>
    <w:basedOn w:val="DefaultParagraphFont"/>
    <w:link w:val="02VIRTHeading2"/>
    <w:rsid w:val="004D3662"/>
    <w:rPr>
      <w:rFonts w:ascii="Rockwell" w:hAnsi="Rockwell" w:cs="Times New Roman (Body CS)"/>
      <w:color w:val="007449"/>
      <w:sz w:val="44"/>
      <w:szCs w:val="44"/>
    </w:rPr>
  </w:style>
  <w:style w:type="paragraph" w:customStyle="1" w:styleId="03VIRTHeading3">
    <w:name w:val="03. VIRT Heading 3"/>
    <w:basedOn w:val="Normal"/>
    <w:link w:val="03VIRTHeading3Char"/>
    <w:qFormat/>
    <w:locked/>
    <w:rsid w:val="00907136"/>
    <w:pPr>
      <w:keepNext/>
      <w:spacing w:before="240" w:after="240"/>
      <w:outlineLvl w:val="2"/>
    </w:pPr>
    <w:rPr>
      <w:rFonts w:ascii="Rockwell" w:hAnsi="Rockwell" w:cs="Arial"/>
      <w:color w:val="0F6745" w:themeColor="accent2" w:themeShade="BF"/>
      <w:spacing w:val="-6"/>
      <w:sz w:val="30"/>
    </w:rPr>
  </w:style>
  <w:style w:type="character" w:customStyle="1" w:styleId="03VIRTHeading3Char">
    <w:name w:val="03. VIRT Heading 3 Char"/>
    <w:basedOn w:val="DefaultParagraphFont"/>
    <w:link w:val="03VIRTHeading3"/>
    <w:locked/>
    <w:rsid w:val="00907136"/>
    <w:rPr>
      <w:rFonts w:ascii="Rockwell" w:hAnsi="Rockwell" w:cs="Arial"/>
      <w:color w:val="0F6745" w:themeColor="accent2" w:themeShade="BF"/>
      <w:spacing w:val="-6"/>
      <w:sz w:val="30"/>
    </w:rPr>
  </w:style>
  <w:style w:type="paragraph" w:customStyle="1" w:styleId="04VIRTheading4">
    <w:name w:val="04. VIRT heading 4"/>
    <w:link w:val="04VIRTheading4Char"/>
    <w:qFormat/>
    <w:locked/>
    <w:rsid w:val="00071E95"/>
    <w:pPr>
      <w:keepNext/>
      <w:spacing w:before="120" w:after="120"/>
    </w:pPr>
    <w:rPr>
      <w:rFonts w:ascii="Calibri Light" w:hAnsi="Calibri Light" w:cs="Arial"/>
      <w:b/>
      <w:color w:val="148A5D" w:themeColor="accent2"/>
      <w:sz w:val="26"/>
      <w:szCs w:val="20"/>
    </w:rPr>
  </w:style>
  <w:style w:type="character" w:customStyle="1" w:styleId="04VIRTheading4Char">
    <w:name w:val="04. VIRT heading 4 Char"/>
    <w:basedOn w:val="DefaultParagraphFont"/>
    <w:link w:val="04VIRTheading4"/>
    <w:rsid w:val="00F771F2"/>
    <w:rPr>
      <w:rFonts w:ascii="Calibri Light" w:hAnsi="Calibri Light" w:cs="Arial"/>
      <w:b/>
      <w:color w:val="148A5D" w:themeColor="accent2"/>
      <w:sz w:val="26"/>
      <w:szCs w:val="20"/>
    </w:rPr>
  </w:style>
  <w:style w:type="paragraph" w:styleId="BalloonText">
    <w:name w:val="Balloon Text"/>
    <w:basedOn w:val="Normal"/>
    <w:link w:val="BalloonTextChar"/>
    <w:uiPriority w:val="99"/>
    <w:semiHidden/>
    <w:unhideWhenUsed/>
    <w:rsid w:val="00F771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1F2"/>
    <w:rPr>
      <w:rFonts w:ascii="Segoe UI" w:hAnsi="Segoe UI" w:cs="Segoe UI"/>
      <w:color w:val="7F7F7F" w:themeColor="text1" w:themeTint="80"/>
      <w:sz w:val="18"/>
      <w:szCs w:val="18"/>
    </w:rPr>
  </w:style>
  <w:style w:type="paragraph" w:customStyle="1" w:styleId="Chapterheading">
    <w:name w:val="Chapter heading"/>
    <w:link w:val="ChapterheadingChar"/>
    <w:rsid w:val="008829E5"/>
    <w:pPr>
      <w:spacing w:after="720"/>
    </w:pPr>
    <w:rPr>
      <w:rFonts w:ascii="Rockwell" w:hAnsi="Rockwell"/>
      <w:color w:val="26664E" w:themeColor="accent1"/>
      <w:sz w:val="72"/>
    </w:rPr>
  </w:style>
  <w:style w:type="character" w:customStyle="1" w:styleId="ChapterheadingChar">
    <w:name w:val="Chapter heading Char"/>
    <w:basedOn w:val="DefaultParagraphFont"/>
    <w:link w:val="Chapterheading"/>
    <w:rsid w:val="008829E5"/>
    <w:rPr>
      <w:rFonts w:ascii="Rockwell" w:hAnsi="Rockwell"/>
      <w:color w:val="26664E" w:themeColor="accent1"/>
      <w:sz w:val="72"/>
    </w:rPr>
  </w:style>
  <w:style w:type="paragraph" w:styleId="Revision">
    <w:name w:val="Revision"/>
    <w:hidden/>
    <w:uiPriority w:val="99"/>
    <w:rsid w:val="00096A78"/>
    <w:pPr>
      <w:spacing w:after="0"/>
    </w:pPr>
    <w:rPr>
      <w:rFonts w:ascii="Arial" w:hAnsi="Arial"/>
      <w:color w:val="7F7F7F" w:themeColor="text1" w:themeTint="80"/>
      <w:sz w:val="20"/>
    </w:rPr>
  </w:style>
  <w:style w:type="paragraph" w:customStyle="1" w:styleId="Revision2">
    <w:name w:val="Revision2"/>
    <w:next w:val="Revision"/>
    <w:hidden/>
    <w:uiPriority w:val="71"/>
    <w:rsid w:val="00452A54"/>
    <w:pPr>
      <w:spacing w:after="0"/>
    </w:pPr>
    <w:rPr>
      <w:rFonts w:ascii="Arial" w:hAnsi="Arial"/>
      <w:color w:val="7F7F7F"/>
      <w:sz w:val="20"/>
    </w:rPr>
  </w:style>
  <w:style w:type="paragraph" w:styleId="Header">
    <w:name w:val="header"/>
    <w:basedOn w:val="Normal"/>
    <w:link w:val="HeaderChar"/>
    <w:uiPriority w:val="99"/>
    <w:unhideWhenUsed/>
    <w:rsid w:val="0006640C"/>
    <w:pPr>
      <w:tabs>
        <w:tab w:val="center" w:pos="4513"/>
        <w:tab w:val="right" w:pos="9026"/>
      </w:tabs>
      <w:spacing w:after="0"/>
    </w:pPr>
  </w:style>
  <w:style w:type="character" w:customStyle="1" w:styleId="HeaderChar">
    <w:name w:val="Header Char"/>
    <w:basedOn w:val="DefaultParagraphFont"/>
    <w:link w:val="Header"/>
    <w:uiPriority w:val="99"/>
    <w:rsid w:val="0006640C"/>
    <w:rPr>
      <w:rFonts w:ascii="Arial" w:hAnsi="Arial"/>
      <w:color w:val="7F7F7F" w:themeColor="text1" w:themeTint="80"/>
      <w:sz w:val="20"/>
    </w:rPr>
  </w:style>
  <w:style w:type="paragraph" w:styleId="Footer">
    <w:name w:val="footer"/>
    <w:basedOn w:val="Normal"/>
    <w:link w:val="FooterChar"/>
    <w:uiPriority w:val="99"/>
    <w:unhideWhenUsed/>
    <w:rsid w:val="0064053F"/>
    <w:pPr>
      <w:tabs>
        <w:tab w:val="center" w:pos="4513"/>
        <w:tab w:val="right" w:pos="9026"/>
      </w:tabs>
      <w:spacing w:after="0"/>
    </w:pPr>
    <w:rPr>
      <w:color w:val="auto"/>
    </w:rPr>
  </w:style>
  <w:style w:type="character" w:customStyle="1" w:styleId="FooterChar">
    <w:name w:val="Footer Char"/>
    <w:basedOn w:val="DefaultParagraphFont"/>
    <w:link w:val="Footer"/>
    <w:uiPriority w:val="99"/>
    <w:rsid w:val="0064053F"/>
    <w:rPr>
      <w:rFonts w:ascii="Arial" w:hAnsi="Arial"/>
      <w:sz w:val="20"/>
    </w:rPr>
  </w:style>
  <w:style w:type="table" w:customStyle="1" w:styleId="Style1">
    <w:name w:val="Style1"/>
    <w:basedOn w:val="TableNormal"/>
    <w:uiPriority w:val="99"/>
    <w:rsid w:val="00622042"/>
    <w:pPr>
      <w:spacing w:after="0"/>
    </w:pPr>
    <w:rPr>
      <w:rFonts w:ascii="Calibri Light" w:hAnsi="Calibri Light"/>
    </w:rPr>
    <w:tblPr>
      <w:tblBorders>
        <w:bottom w:val="single" w:sz="4" w:space="0" w:color="148A5D" w:themeColor="accent2"/>
        <w:insideH w:val="single" w:sz="4" w:space="0" w:color="148A5D" w:themeColor="accent2"/>
      </w:tblBorders>
    </w:tblPr>
    <w:tcPr>
      <w:shd w:val="clear" w:color="auto" w:fill="auto"/>
    </w:tcPr>
    <w:tblStylePr w:type="firstRow">
      <w:rPr>
        <w:rFonts w:ascii="Calibri Light" w:hAnsi="Calibri Light"/>
        <w:b/>
        <w:color w:val="FFFFFF" w:themeColor="background1"/>
        <w:sz w:val="22"/>
      </w:rPr>
      <w:tblPr/>
      <w:tcPr>
        <w:shd w:val="clear" w:color="auto" w:fill="148A5D" w:themeFill="accent2"/>
      </w:tcPr>
    </w:tblStylePr>
  </w:style>
  <w:style w:type="character" w:styleId="Hyperlink">
    <w:name w:val="Hyperlink"/>
    <w:basedOn w:val="DefaultParagraphFont"/>
    <w:uiPriority w:val="99"/>
    <w:unhideWhenUsed/>
    <w:rsid w:val="00B76457"/>
    <w:rPr>
      <w:color w:val="5F5F5F" w:themeColor="hyperlink"/>
      <w:u w:val="single"/>
    </w:rPr>
  </w:style>
  <w:style w:type="paragraph" w:styleId="TOC1">
    <w:name w:val="toc 1"/>
    <w:basedOn w:val="Paragraph"/>
    <w:next w:val="Paragraph"/>
    <w:link w:val="TOC1Char"/>
    <w:uiPriority w:val="39"/>
    <w:unhideWhenUsed/>
    <w:qFormat/>
    <w:rsid w:val="00B76457"/>
    <w:pPr>
      <w:spacing w:before="120" w:after="120"/>
    </w:pPr>
    <w:rPr>
      <w:b/>
    </w:rPr>
  </w:style>
  <w:style w:type="paragraph" w:styleId="TOC2">
    <w:name w:val="toc 2"/>
    <w:next w:val="Paragraph"/>
    <w:uiPriority w:val="39"/>
    <w:unhideWhenUsed/>
    <w:qFormat/>
    <w:rsid w:val="00096FB8"/>
    <w:pPr>
      <w:spacing w:before="120" w:after="120"/>
      <w:ind w:left="510"/>
    </w:pPr>
    <w:rPr>
      <w:rFonts w:ascii="Calibri Light" w:hAnsi="Calibri Light"/>
      <w:color w:val="4D4D4D" w:themeColor="accent6"/>
      <w:sz w:val="26"/>
    </w:rPr>
  </w:style>
  <w:style w:type="paragraph" w:styleId="TOC3">
    <w:name w:val="toc 3"/>
    <w:basedOn w:val="Normal"/>
    <w:next w:val="Normal"/>
    <w:autoRedefine/>
    <w:uiPriority w:val="39"/>
    <w:unhideWhenUsed/>
    <w:rsid w:val="00096FB8"/>
    <w:pPr>
      <w:spacing w:after="100"/>
      <w:ind w:left="400"/>
    </w:pPr>
  </w:style>
  <w:style w:type="paragraph" w:styleId="TableofFigures">
    <w:name w:val="table of figures"/>
    <w:basedOn w:val="Normal"/>
    <w:next w:val="Normal"/>
    <w:uiPriority w:val="99"/>
    <w:unhideWhenUsed/>
    <w:rsid w:val="00096FB8"/>
    <w:pPr>
      <w:spacing w:before="120" w:after="120"/>
    </w:pPr>
    <w:rPr>
      <w:rFonts w:ascii="Calibri Light" w:hAnsi="Calibri Light"/>
      <w:color w:val="4D4D4D" w:themeColor="accent6"/>
      <w:sz w:val="26"/>
    </w:rPr>
  </w:style>
  <w:style w:type="table" w:styleId="TableGrid">
    <w:name w:val="Table Grid"/>
    <w:basedOn w:val="TableNormal"/>
    <w:uiPriority w:val="59"/>
    <w:rsid w:val="0062204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Footnotes"/>
    <w:link w:val="FootnoteTextChar"/>
    <w:uiPriority w:val="99"/>
    <w:unhideWhenUsed/>
    <w:qFormat/>
    <w:rsid w:val="00673EF5"/>
  </w:style>
  <w:style w:type="character" w:customStyle="1" w:styleId="FootnoteTextChar">
    <w:name w:val="Footnote Text Char"/>
    <w:basedOn w:val="DefaultParagraphFont"/>
    <w:link w:val="FootnoteText"/>
    <w:uiPriority w:val="99"/>
    <w:rsid w:val="00673EF5"/>
    <w:rPr>
      <w:rFonts w:ascii="Calibri Light" w:hAnsi="Calibri Light" w:cs="Times New Roman (Body CS)"/>
      <w:color w:val="000000" w:themeColor="text1"/>
      <w:spacing w:val="-6"/>
      <w:sz w:val="18"/>
      <w:szCs w:val="72"/>
    </w:rPr>
  </w:style>
  <w:style w:type="character" w:styleId="FootnoteReference">
    <w:name w:val="footnote reference"/>
    <w:basedOn w:val="DefaultParagraphFont"/>
    <w:uiPriority w:val="99"/>
    <w:unhideWhenUsed/>
    <w:rsid w:val="00B3023F"/>
    <w:rPr>
      <w:vertAlign w:val="superscript"/>
    </w:rPr>
  </w:style>
  <w:style w:type="character" w:styleId="CommentReference">
    <w:name w:val="annotation reference"/>
    <w:basedOn w:val="DefaultParagraphFont"/>
    <w:uiPriority w:val="99"/>
    <w:semiHidden/>
    <w:unhideWhenUsed/>
    <w:rsid w:val="00FB79D3"/>
    <w:rPr>
      <w:sz w:val="16"/>
      <w:szCs w:val="16"/>
    </w:rPr>
  </w:style>
  <w:style w:type="paragraph" w:styleId="CommentText">
    <w:name w:val="annotation text"/>
    <w:basedOn w:val="Normal"/>
    <w:link w:val="CommentTextChar"/>
    <w:uiPriority w:val="99"/>
    <w:unhideWhenUsed/>
    <w:rsid w:val="00FB79D3"/>
    <w:rPr>
      <w:szCs w:val="20"/>
    </w:rPr>
  </w:style>
  <w:style w:type="character" w:customStyle="1" w:styleId="CommentTextChar">
    <w:name w:val="Comment Text Char"/>
    <w:basedOn w:val="DefaultParagraphFont"/>
    <w:link w:val="CommentText"/>
    <w:uiPriority w:val="99"/>
    <w:rsid w:val="00FB79D3"/>
    <w:rPr>
      <w:rFonts w:ascii="Arial" w:hAnsi="Arial"/>
      <w:color w:val="7F7F7F" w:themeColor="text1" w:themeTint="80"/>
      <w:sz w:val="20"/>
      <w:szCs w:val="20"/>
    </w:rPr>
  </w:style>
  <w:style w:type="paragraph" w:styleId="CommentSubject">
    <w:name w:val="annotation subject"/>
    <w:basedOn w:val="CommentText"/>
    <w:next w:val="CommentText"/>
    <w:link w:val="CommentSubjectChar"/>
    <w:uiPriority w:val="99"/>
    <w:semiHidden/>
    <w:unhideWhenUsed/>
    <w:rsid w:val="00FB79D3"/>
    <w:rPr>
      <w:b/>
      <w:bCs/>
    </w:rPr>
  </w:style>
  <w:style w:type="character" w:customStyle="1" w:styleId="CommentSubjectChar">
    <w:name w:val="Comment Subject Char"/>
    <w:basedOn w:val="CommentTextChar"/>
    <w:link w:val="CommentSubject"/>
    <w:uiPriority w:val="99"/>
    <w:semiHidden/>
    <w:rsid w:val="00FB79D3"/>
    <w:rPr>
      <w:rFonts w:ascii="Arial" w:hAnsi="Arial"/>
      <w:b/>
      <w:bCs/>
      <w:color w:val="7F7F7F" w:themeColor="text1" w:themeTint="80"/>
      <w:sz w:val="20"/>
      <w:szCs w:val="20"/>
    </w:rPr>
  </w:style>
  <w:style w:type="paragraph" w:customStyle="1" w:styleId="Textinthetable">
    <w:name w:val="Text in the table"/>
    <w:link w:val="TextinthetableChar"/>
    <w:qFormat/>
    <w:rsid w:val="000162EE"/>
    <w:pPr>
      <w:keepNext/>
      <w:spacing w:after="0"/>
      <w:contextualSpacing/>
    </w:pPr>
    <w:rPr>
      <w:rFonts w:ascii="Calibri Light" w:eastAsia="Rockwell" w:hAnsi="Calibri Light" w:cs="Arial"/>
      <w:lang w:val="en-US"/>
    </w:rPr>
  </w:style>
  <w:style w:type="character" w:customStyle="1" w:styleId="TextinthetableChar">
    <w:name w:val="Text in the table Char"/>
    <w:basedOn w:val="DefaultParagraphFont"/>
    <w:link w:val="Textinthetable"/>
    <w:rsid w:val="000162EE"/>
    <w:rPr>
      <w:rFonts w:ascii="Calibri Light" w:eastAsia="Rockwell" w:hAnsi="Calibri Light" w:cs="Arial"/>
      <w:lang w:val="en-US"/>
    </w:rPr>
  </w:style>
  <w:style w:type="paragraph" w:customStyle="1" w:styleId="Parabeforeabulletlist">
    <w:name w:val="Para before a bullet list"/>
    <w:basedOn w:val="Normal"/>
    <w:link w:val="ParabeforeabulletlistChar"/>
    <w:rsid w:val="00B9267A"/>
    <w:pPr>
      <w:spacing w:before="240" w:after="120" w:line="276" w:lineRule="auto"/>
      <w:jc w:val="both"/>
    </w:pPr>
    <w:rPr>
      <w:rFonts w:ascii="Calibri Light" w:hAnsi="Calibri Light" w:cs="Times New Roman (Body CS)"/>
      <w:color w:val="4D4D4D" w:themeColor="accent6"/>
      <w:sz w:val="26"/>
      <w:szCs w:val="44"/>
    </w:rPr>
  </w:style>
  <w:style w:type="character" w:customStyle="1" w:styleId="ParabeforeabulletlistChar">
    <w:name w:val="Para before a bullet list Char"/>
    <w:basedOn w:val="DefaultParagraphFont"/>
    <w:link w:val="Parabeforeabulletlist"/>
    <w:rsid w:val="00B9267A"/>
    <w:rPr>
      <w:rFonts w:ascii="Calibri Light" w:hAnsi="Calibri Light" w:cs="Times New Roman (Body CS)"/>
      <w:color w:val="4D4D4D" w:themeColor="accent6"/>
      <w:sz w:val="26"/>
      <w:szCs w:val="44"/>
    </w:rPr>
  </w:style>
  <w:style w:type="paragraph" w:styleId="Caption">
    <w:name w:val="caption"/>
    <w:basedOn w:val="Normal"/>
    <w:next w:val="Normal"/>
    <w:uiPriority w:val="35"/>
    <w:unhideWhenUsed/>
    <w:qFormat/>
    <w:rsid w:val="00481F5A"/>
    <w:pPr>
      <w:spacing w:after="200"/>
    </w:pPr>
    <w:rPr>
      <w:i/>
      <w:iCs/>
      <w:color w:val="000000" w:themeColor="text2"/>
      <w:sz w:val="18"/>
      <w:szCs w:val="18"/>
    </w:rPr>
  </w:style>
  <w:style w:type="character" w:styleId="FollowedHyperlink">
    <w:name w:val="FollowedHyperlink"/>
    <w:basedOn w:val="DefaultParagraphFont"/>
    <w:uiPriority w:val="99"/>
    <w:semiHidden/>
    <w:unhideWhenUsed/>
    <w:rsid w:val="00B83A6E"/>
    <w:rPr>
      <w:color w:val="919191" w:themeColor="followedHyperlink"/>
      <w:u w:val="single"/>
    </w:rPr>
  </w:style>
  <w:style w:type="character" w:styleId="UnresolvedMention">
    <w:name w:val="Unresolved Mention"/>
    <w:basedOn w:val="DefaultParagraphFont"/>
    <w:uiPriority w:val="99"/>
    <w:unhideWhenUsed/>
    <w:rsid w:val="00E25847"/>
    <w:rPr>
      <w:color w:val="605E5C"/>
      <w:shd w:val="clear" w:color="auto" w:fill="E1DFDD"/>
    </w:rPr>
  </w:style>
  <w:style w:type="character" w:styleId="BookTitle">
    <w:name w:val="Book Title"/>
    <w:basedOn w:val="DefaultParagraphFont"/>
    <w:uiPriority w:val="33"/>
    <w:rsid w:val="0003672D"/>
    <w:rPr>
      <w:rFonts w:ascii="Arial" w:hAnsi="Arial"/>
      <w:b/>
      <w:bCs/>
      <w:i w:val="0"/>
      <w:caps/>
      <w:smallCaps w:val="0"/>
      <w:color w:val="000000" w:themeColor="text2"/>
      <w:spacing w:val="10"/>
      <w:sz w:val="20"/>
    </w:rPr>
  </w:style>
  <w:style w:type="character" w:customStyle="1" w:styleId="ParabeforebulletlistChar">
    <w:name w:val="Para before bullet list Char"/>
    <w:basedOn w:val="DefaultParagraphFont"/>
    <w:link w:val="Parabeforebulletlist"/>
    <w:locked/>
    <w:rsid w:val="0003672D"/>
    <w:rPr>
      <w:rFonts w:ascii="Calibri Light" w:hAnsi="Calibri Light"/>
      <w:color w:val="4D4D4D" w:themeColor="accent6"/>
      <w:sz w:val="26"/>
    </w:rPr>
  </w:style>
  <w:style w:type="paragraph" w:customStyle="1" w:styleId="Parabeforebulletlist">
    <w:name w:val="Para before bullet list"/>
    <w:link w:val="ParabeforebulletlistChar"/>
    <w:autoRedefine/>
    <w:rsid w:val="0003672D"/>
    <w:pPr>
      <w:keepNext/>
      <w:spacing w:before="120" w:after="120" w:line="276" w:lineRule="auto"/>
      <w:jc w:val="both"/>
    </w:pPr>
    <w:rPr>
      <w:rFonts w:ascii="Calibri Light" w:hAnsi="Calibri Light"/>
      <w:color w:val="4D4D4D" w:themeColor="accent6"/>
      <w:sz w:val="26"/>
    </w:rPr>
  </w:style>
  <w:style w:type="paragraph" w:styleId="TOCHeading">
    <w:name w:val="TOC Heading"/>
    <w:basedOn w:val="Heading1"/>
    <w:next w:val="Normal"/>
    <w:uiPriority w:val="39"/>
    <w:unhideWhenUsed/>
    <w:qFormat/>
    <w:rsid w:val="001E105B"/>
    <w:pPr>
      <w:spacing w:before="240" w:line="259" w:lineRule="auto"/>
      <w:outlineLvl w:val="9"/>
    </w:pPr>
    <w:rPr>
      <w:rFonts w:asciiTheme="majorHAnsi" w:hAnsiTheme="majorHAnsi" w:cstheme="majorBidi"/>
      <w:bCs w:val="0"/>
      <w:color w:val="1C4C3A" w:themeColor="accent1" w:themeShade="BF"/>
      <w:spacing w:val="0"/>
      <w:sz w:val="32"/>
      <w:szCs w:val="32"/>
      <w:lang w:val="en-US"/>
    </w:rPr>
  </w:style>
  <w:style w:type="paragraph" w:customStyle="1" w:styleId="Default">
    <w:name w:val="Default"/>
    <w:rsid w:val="001E105B"/>
    <w:pPr>
      <w:autoSpaceDE w:val="0"/>
      <w:autoSpaceDN w:val="0"/>
      <w:adjustRightInd w:val="0"/>
      <w:spacing w:after="0"/>
    </w:pPr>
    <w:rPr>
      <w:rFonts w:ascii="Arial" w:hAnsi="Arial" w:cs="Arial"/>
      <w:color w:val="000000"/>
      <w:sz w:val="24"/>
      <w:szCs w:val="24"/>
    </w:rPr>
  </w:style>
  <w:style w:type="paragraph" w:customStyle="1" w:styleId="gmail-p1">
    <w:name w:val="gmail-p1"/>
    <w:basedOn w:val="Normal"/>
    <w:rsid w:val="00C75D17"/>
    <w:pPr>
      <w:spacing w:before="100" w:beforeAutospacing="1" w:after="100" w:afterAutospacing="1"/>
    </w:pPr>
    <w:rPr>
      <w:rFonts w:ascii="Calibri" w:hAnsi="Calibri" w:cs="Calibri"/>
      <w:color w:val="auto"/>
      <w:sz w:val="22"/>
      <w:lang w:eastAsia="en-AU"/>
    </w:rPr>
  </w:style>
  <w:style w:type="paragraph" w:customStyle="1" w:styleId="gmail-p2">
    <w:name w:val="gmail-p2"/>
    <w:basedOn w:val="Normal"/>
    <w:rsid w:val="00C75D17"/>
    <w:pPr>
      <w:spacing w:before="100" w:beforeAutospacing="1" w:after="100" w:afterAutospacing="1"/>
    </w:pPr>
    <w:rPr>
      <w:rFonts w:ascii="Calibri" w:hAnsi="Calibri" w:cs="Calibri"/>
      <w:color w:val="auto"/>
      <w:sz w:val="22"/>
      <w:lang w:eastAsia="en-AU"/>
    </w:rPr>
  </w:style>
  <w:style w:type="character" w:customStyle="1" w:styleId="gmail-apple-converted-space">
    <w:name w:val="gmail-apple-converted-space"/>
    <w:basedOn w:val="DefaultParagraphFont"/>
    <w:rsid w:val="00C75D17"/>
  </w:style>
  <w:style w:type="paragraph" w:styleId="ListParagraph">
    <w:name w:val="List Paragraph"/>
    <w:basedOn w:val="Normal"/>
    <w:uiPriority w:val="34"/>
    <w:qFormat/>
    <w:rsid w:val="00243F6C"/>
    <w:pPr>
      <w:ind w:left="720"/>
      <w:contextualSpacing/>
    </w:pPr>
  </w:style>
  <w:style w:type="paragraph" w:styleId="Bibliography">
    <w:name w:val="Bibliography"/>
    <w:basedOn w:val="Normal"/>
    <w:next w:val="Normal"/>
    <w:uiPriority w:val="37"/>
    <w:semiHidden/>
    <w:unhideWhenUsed/>
    <w:rsid w:val="007A4F80"/>
  </w:style>
  <w:style w:type="paragraph" w:styleId="BlockText">
    <w:name w:val="Block Text"/>
    <w:basedOn w:val="Normal"/>
    <w:uiPriority w:val="99"/>
    <w:semiHidden/>
    <w:unhideWhenUsed/>
    <w:rsid w:val="007A4F80"/>
    <w:pPr>
      <w:pBdr>
        <w:top w:val="single" w:sz="2" w:space="10" w:color="26664E" w:themeColor="accent1"/>
        <w:left w:val="single" w:sz="2" w:space="10" w:color="26664E" w:themeColor="accent1"/>
        <w:bottom w:val="single" w:sz="2" w:space="10" w:color="26664E" w:themeColor="accent1"/>
        <w:right w:val="single" w:sz="2" w:space="10" w:color="26664E" w:themeColor="accent1"/>
      </w:pBdr>
      <w:ind w:left="1152" w:right="1152"/>
    </w:pPr>
    <w:rPr>
      <w:rFonts w:asciiTheme="minorHAnsi" w:eastAsiaTheme="minorEastAsia" w:hAnsiTheme="minorHAnsi"/>
      <w:i/>
      <w:iCs/>
      <w:color w:val="26664E" w:themeColor="accent1"/>
    </w:rPr>
  </w:style>
  <w:style w:type="paragraph" w:styleId="BodyText">
    <w:name w:val="Body Text"/>
    <w:basedOn w:val="Normal"/>
    <w:link w:val="BodyTextChar"/>
    <w:semiHidden/>
    <w:unhideWhenUsed/>
    <w:rsid w:val="007A4F80"/>
    <w:pPr>
      <w:spacing w:after="120"/>
    </w:pPr>
  </w:style>
  <w:style w:type="character" w:customStyle="1" w:styleId="BodyTextChar">
    <w:name w:val="Body Text Char"/>
    <w:basedOn w:val="DefaultParagraphFont"/>
    <w:link w:val="BodyText"/>
    <w:semiHidden/>
    <w:rsid w:val="007A4F80"/>
    <w:rPr>
      <w:rFonts w:ascii="Arial" w:hAnsi="Arial"/>
      <w:color w:val="7F7F7F" w:themeColor="text1" w:themeTint="80"/>
      <w:sz w:val="20"/>
    </w:rPr>
  </w:style>
  <w:style w:type="paragraph" w:styleId="BodyText2">
    <w:name w:val="Body Text 2"/>
    <w:basedOn w:val="Normal"/>
    <w:link w:val="BodyText2Char"/>
    <w:uiPriority w:val="99"/>
    <w:semiHidden/>
    <w:unhideWhenUsed/>
    <w:rsid w:val="007A4F80"/>
    <w:pPr>
      <w:spacing w:after="120" w:line="480" w:lineRule="auto"/>
    </w:pPr>
  </w:style>
  <w:style w:type="character" w:customStyle="1" w:styleId="BodyText2Char">
    <w:name w:val="Body Text 2 Char"/>
    <w:basedOn w:val="DefaultParagraphFont"/>
    <w:link w:val="BodyText2"/>
    <w:uiPriority w:val="99"/>
    <w:semiHidden/>
    <w:rsid w:val="007A4F80"/>
    <w:rPr>
      <w:rFonts w:ascii="Arial" w:hAnsi="Arial"/>
      <w:color w:val="7F7F7F" w:themeColor="text1" w:themeTint="80"/>
      <w:sz w:val="20"/>
    </w:rPr>
  </w:style>
  <w:style w:type="paragraph" w:styleId="BodyText3">
    <w:name w:val="Body Text 3"/>
    <w:basedOn w:val="Normal"/>
    <w:link w:val="BodyText3Char"/>
    <w:uiPriority w:val="99"/>
    <w:semiHidden/>
    <w:unhideWhenUsed/>
    <w:rsid w:val="007A4F80"/>
    <w:pPr>
      <w:spacing w:after="120"/>
    </w:pPr>
    <w:rPr>
      <w:sz w:val="16"/>
      <w:szCs w:val="16"/>
    </w:rPr>
  </w:style>
  <w:style w:type="character" w:customStyle="1" w:styleId="BodyText3Char">
    <w:name w:val="Body Text 3 Char"/>
    <w:basedOn w:val="DefaultParagraphFont"/>
    <w:link w:val="BodyText3"/>
    <w:uiPriority w:val="99"/>
    <w:semiHidden/>
    <w:rsid w:val="007A4F80"/>
    <w:rPr>
      <w:rFonts w:ascii="Arial" w:hAnsi="Arial"/>
      <w:color w:val="7F7F7F" w:themeColor="text1" w:themeTint="80"/>
      <w:sz w:val="16"/>
      <w:szCs w:val="16"/>
    </w:rPr>
  </w:style>
  <w:style w:type="paragraph" w:styleId="BodyTextFirstIndent">
    <w:name w:val="Body Text First Indent"/>
    <w:basedOn w:val="BodyText"/>
    <w:link w:val="BodyTextFirstIndentChar"/>
    <w:uiPriority w:val="99"/>
    <w:semiHidden/>
    <w:unhideWhenUsed/>
    <w:rsid w:val="007A4F80"/>
    <w:pPr>
      <w:spacing w:after="180"/>
      <w:ind w:firstLine="360"/>
    </w:pPr>
  </w:style>
  <w:style w:type="character" w:customStyle="1" w:styleId="BodyTextFirstIndentChar">
    <w:name w:val="Body Text First Indent Char"/>
    <w:basedOn w:val="BodyTextChar"/>
    <w:link w:val="BodyTextFirstIndent"/>
    <w:uiPriority w:val="99"/>
    <w:semiHidden/>
    <w:rsid w:val="007A4F80"/>
    <w:rPr>
      <w:rFonts w:ascii="Arial" w:hAnsi="Arial"/>
      <w:color w:val="7F7F7F" w:themeColor="text1" w:themeTint="80"/>
      <w:sz w:val="20"/>
    </w:rPr>
  </w:style>
  <w:style w:type="paragraph" w:styleId="BodyTextIndent">
    <w:name w:val="Body Text Indent"/>
    <w:basedOn w:val="Normal"/>
    <w:link w:val="BodyTextIndentChar"/>
    <w:uiPriority w:val="99"/>
    <w:semiHidden/>
    <w:unhideWhenUsed/>
    <w:rsid w:val="007A4F80"/>
    <w:pPr>
      <w:spacing w:after="120"/>
      <w:ind w:left="283"/>
    </w:pPr>
  </w:style>
  <w:style w:type="character" w:customStyle="1" w:styleId="BodyTextIndentChar">
    <w:name w:val="Body Text Indent Char"/>
    <w:basedOn w:val="DefaultParagraphFont"/>
    <w:link w:val="BodyTextIndent"/>
    <w:uiPriority w:val="99"/>
    <w:semiHidden/>
    <w:rsid w:val="007A4F80"/>
    <w:rPr>
      <w:rFonts w:ascii="Arial" w:hAnsi="Arial"/>
      <w:color w:val="7F7F7F" w:themeColor="text1" w:themeTint="80"/>
      <w:sz w:val="20"/>
    </w:rPr>
  </w:style>
  <w:style w:type="paragraph" w:styleId="BodyTextFirstIndent2">
    <w:name w:val="Body Text First Indent 2"/>
    <w:basedOn w:val="BodyTextIndent"/>
    <w:link w:val="BodyTextFirstIndent2Char"/>
    <w:uiPriority w:val="99"/>
    <w:semiHidden/>
    <w:unhideWhenUsed/>
    <w:rsid w:val="007A4F80"/>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7A4F80"/>
    <w:rPr>
      <w:rFonts w:ascii="Arial" w:hAnsi="Arial"/>
      <w:color w:val="7F7F7F" w:themeColor="text1" w:themeTint="80"/>
      <w:sz w:val="20"/>
    </w:rPr>
  </w:style>
  <w:style w:type="paragraph" w:styleId="BodyTextIndent2">
    <w:name w:val="Body Text Indent 2"/>
    <w:basedOn w:val="Normal"/>
    <w:link w:val="BodyTextIndent2Char"/>
    <w:uiPriority w:val="99"/>
    <w:semiHidden/>
    <w:unhideWhenUsed/>
    <w:rsid w:val="007A4F80"/>
    <w:pPr>
      <w:spacing w:after="120" w:line="480" w:lineRule="auto"/>
      <w:ind w:left="283"/>
    </w:pPr>
  </w:style>
  <w:style w:type="character" w:customStyle="1" w:styleId="BodyTextIndent2Char">
    <w:name w:val="Body Text Indent 2 Char"/>
    <w:basedOn w:val="DefaultParagraphFont"/>
    <w:link w:val="BodyTextIndent2"/>
    <w:uiPriority w:val="99"/>
    <w:semiHidden/>
    <w:rsid w:val="007A4F80"/>
    <w:rPr>
      <w:rFonts w:ascii="Arial" w:hAnsi="Arial"/>
      <w:color w:val="7F7F7F" w:themeColor="text1" w:themeTint="80"/>
      <w:sz w:val="20"/>
    </w:rPr>
  </w:style>
  <w:style w:type="paragraph" w:styleId="BodyTextIndent3">
    <w:name w:val="Body Text Indent 3"/>
    <w:basedOn w:val="Normal"/>
    <w:link w:val="BodyTextIndent3Char"/>
    <w:uiPriority w:val="99"/>
    <w:semiHidden/>
    <w:unhideWhenUsed/>
    <w:rsid w:val="007A4F8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F80"/>
    <w:rPr>
      <w:rFonts w:ascii="Arial" w:hAnsi="Arial"/>
      <w:color w:val="7F7F7F" w:themeColor="text1" w:themeTint="80"/>
      <w:sz w:val="16"/>
      <w:szCs w:val="16"/>
    </w:rPr>
  </w:style>
  <w:style w:type="paragraph" w:styleId="Closing">
    <w:name w:val="Closing"/>
    <w:basedOn w:val="Normal"/>
    <w:link w:val="ClosingChar"/>
    <w:uiPriority w:val="99"/>
    <w:semiHidden/>
    <w:unhideWhenUsed/>
    <w:rsid w:val="007A4F80"/>
    <w:pPr>
      <w:spacing w:after="0"/>
      <w:ind w:left="4252"/>
    </w:pPr>
  </w:style>
  <w:style w:type="character" w:customStyle="1" w:styleId="ClosingChar">
    <w:name w:val="Closing Char"/>
    <w:basedOn w:val="DefaultParagraphFont"/>
    <w:link w:val="Closing"/>
    <w:uiPriority w:val="99"/>
    <w:semiHidden/>
    <w:rsid w:val="007A4F80"/>
    <w:rPr>
      <w:rFonts w:ascii="Arial" w:hAnsi="Arial"/>
      <w:color w:val="7F7F7F" w:themeColor="text1" w:themeTint="80"/>
      <w:sz w:val="20"/>
    </w:rPr>
  </w:style>
  <w:style w:type="paragraph" w:styleId="Date">
    <w:name w:val="Date"/>
    <w:basedOn w:val="Normal"/>
    <w:next w:val="Normal"/>
    <w:link w:val="DateChar"/>
    <w:uiPriority w:val="99"/>
    <w:semiHidden/>
    <w:unhideWhenUsed/>
    <w:rsid w:val="007A4F80"/>
  </w:style>
  <w:style w:type="character" w:customStyle="1" w:styleId="DateChar">
    <w:name w:val="Date Char"/>
    <w:basedOn w:val="DefaultParagraphFont"/>
    <w:link w:val="Date"/>
    <w:uiPriority w:val="99"/>
    <w:semiHidden/>
    <w:rsid w:val="007A4F80"/>
    <w:rPr>
      <w:rFonts w:ascii="Arial" w:hAnsi="Arial"/>
      <w:color w:val="7F7F7F" w:themeColor="text1" w:themeTint="80"/>
      <w:sz w:val="20"/>
    </w:rPr>
  </w:style>
  <w:style w:type="paragraph" w:styleId="DocumentMap">
    <w:name w:val="Document Map"/>
    <w:basedOn w:val="Normal"/>
    <w:link w:val="DocumentMapChar"/>
    <w:uiPriority w:val="99"/>
    <w:semiHidden/>
    <w:unhideWhenUsed/>
    <w:rsid w:val="007A4F80"/>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A4F80"/>
    <w:rPr>
      <w:rFonts w:ascii="Segoe UI" w:hAnsi="Segoe UI" w:cs="Segoe UI"/>
      <w:color w:val="7F7F7F" w:themeColor="text1" w:themeTint="80"/>
      <w:sz w:val="16"/>
      <w:szCs w:val="16"/>
    </w:rPr>
  </w:style>
  <w:style w:type="paragraph" w:styleId="E-mailSignature">
    <w:name w:val="E-mail Signature"/>
    <w:basedOn w:val="Normal"/>
    <w:link w:val="E-mailSignatureChar"/>
    <w:uiPriority w:val="99"/>
    <w:semiHidden/>
    <w:unhideWhenUsed/>
    <w:rsid w:val="007A4F80"/>
    <w:pPr>
      <w:spacing w:after="0"/>
    </w:pPr>
  </w:style>
  <w:style w:type="character" w:customStyle="1" w:styleId="E-mailSignatureChar">
    <w:name w:val="E-mail Signature Char"/>
    <w:basedOn w:val="DefaultParagraphFont"/>
    <w:link w:val="E-mailSignature"/>
    <w:uiPriority w:val="99"/>
    <w:semiHidden/>
    <w:rsid w:val="007A4F80"/>
    <w:rPr>
      <w:rFonts w:ascii="Arial" w:hAnsi="Arial"/>
      <w:color w:val="7F7F7F" w:themeColor="text1" w:themeTint="80"/>
      <w:sz w:val="20"/>
    </w:rPr>
  </w:style>
  <w:style w:type="paragraph" w:styleId="EndnoteText">
    <w:name w:val="endnote text"/>
    <w:basedOn w:val="Normal"/>
    <w:link w:val="EndnoteTextChar"/>
    <w:semiHidden/>
    <w:unhideWhenUsed/>
    <w:rsid w:val="007A4F80"/>
    <w:pPr>
      <w:spacing w:after="0"/>
    </w:pPr>
    <w:rPr>
      <w:szCs w:val="20"/>
    </w:rPr>
  </w:style>
  <w:style w:type="character" w:customStyle="1" w:styleId="EndnoteTextChar">
    <w:name w:val="Endnote Text Char"/>
    <w:basedOn w:val="DefaultParagraphFont"/>
    <w:link w:val="EndnoteText"/>
    <w:semiHidden/>
    <w:rsid w:val="007A4F80"/>
    <w:rPr>
      <w:rFonts w:ascii="Arial" w:hAnsi="Arial"/>
      <w:color w:val="7F7F7F" w:themeColor="text1" w:themeTint="80"/>
      <w:sz w:val="20"/>
      <w:szCs w:val="20"/>
    </w:rPr>
  </w:style>
  <w:style w:type="paragraph" w:styleId="EnvelopeAddress">
    <w:name w:val="envelope address"/>
    <w:basedOn w:val="Normal"/>
    <w:uiPriority w:val="99"/>
    <w:semiHidden/>
    <w:unhideWhenUsed/>
    <w:rsid w:val="007A4F8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A4F80"/>
    <w:pPr>
      <w:spacing w:after="0"/>
    </w:pPr>
    <w:rPr>
      <w:rFonts w:asciiTheme="majorHAnsi" w:eastAsiaTheme="majorEastAsia" w:hAnsiTheme="majorHAnsi" w:cstheme="majorBidi"/>
      <w:szCs w:val="20"/>
    </w:rPr>
  </w:style>
  <w:style w:type="paragraph" w:styleId="HTMLAddress">
    <w:name w:val="HTML Address"/>
    <w:basedOn w:val="Normal"/>
    <w:link w:val="HTMLAddressChar"/>
    <w:uiPriority w:val="99"/>
    <w:semiHidden/>
    <w:unhideWhenUsed/>
    <w:rsid w:val="007A4F80"/>
    <w:pPr>
      <w:spacing w:after="0"/>
    </w:pPr>
    <w:rPr>
      <w:i/>
      <w:iCs/>
    </w:rPr>
  </w:style>
  <w:style w:type="character" w:customStyle="1" w:styleId="HTMLAddressChar">
    <w:name w:val="HTML Address Char"/>
    <w:basedOn w:val="DefaultParagraphFont"/>
    <w:link w:val="HTMLAddress"/>
    <w:uiPriority w:val="99"/>
    <w:semiHidden/>
    <w:rsid w:val="007A4F80"/>
    <w:rPr>
      <w:rFonts w:ascii="Arial" w:hAnsi="Arial"/>
      <w:i/>
      <w:iCs/>
      <w:color w:val="7F7F7F" w:themeColor="text1" w:themeTint="80"/>
      <w:sz w:val="20"/>
    </w:rPr>
  </w:style>
  <w:style w:type="paragraph" w:styleId="HTMLPreformatted">
    <w:name w:val="HTML Preformatted"/>
    <w:basedOn w:val="Normal"/>
    <w:link w:val="HTMLPreformattedChar"/>
    <w:uiPriority w:val="99"/>
    <w:semiHidden/>
    <w:unhideWhenUsed/>
    <w:rsid w:val="007A4F8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7A4F80"/>
    <w:rPr>
      <w:rFonts w:ascii="Consolas" w:hAnsi="Consolas"/>
      <w:color w:val="7F7F7F" w:themeColor="text1" w:themeTint="80"/>
      <w:sz w:val="20"/>
      <w:szCs w:val="20"/>
    </w:rPr>
  </w:style>
  <w:style w:type="paragraph" w:styleId="Index1">
    <w:name w:val="index 1"/>
    <w:basedOn w:val="Normal"/>
    <w:next w:val="Normal"/>
    <w:autoRedefine/>
    <w:uiPriority w:val="99"/>
    <w:semiHidden/>
    <w:unhideWhenUsed/>
    <w:rsid w:val="007A4F80"/>
    <w:pPr>
      <w:spacing w:after="0"/>
      <w:ind w:left="200" w:hanging="200"/>
    </w:pPr>
  </w:style>
  <w:style w:type="paragraph" w:styleId="Index2">
    <w:name w:val="index 2"/>
    <w:basedOn w:val="Normal"/>
    <w:next w:val="Normal"/>
    <w:autoRedefine/>
    <w:uiPriority w:val="99"/>
    <w:semiHidden/>
    <w:unhideWhenUsed/>
    <w:rsid w:val="007A4F80"/>
    <w:pPr>
      <w:spacing w:after="0"/>
      <w:ind w:left="400" w:hanging="200"/>
    </w:pPr>
  </w:style>
  <w:style w:type="paragraph" w:styleId="Index3">
    <w:name w:val="index 3"/>
    <w:basedOn w:val="Normal"/>
    <w:next w:val="Normal"/>
    <w:autoRedefine/>
    <w:uiPriority w:val="99"/>
    <w:semiHidden/>
    <w:unhideWhenUsed/>
    <w:rsid w:val="007A4F80"/>
    <w:pPr>
      <w:spacing w:after="0"/>
      <w:ind w:left="600" w:hanging="200"/>
    </w:pPr>
  </w:style>
  <w:style w:type="paragraph" w:styleId="Index4">
    <w:name w:val="index 4"/>
    <w:basedOn w:val="Normal"/>
    <w:next w:val="Normal"/>
    <w:autoRedefine/>
    <w:uiPriority w:val="99"/>
    <w:semiHidden/>
    <w:unhideWhenUsed/>
    <w:rsid w:val="007A4F80"/>
    <w:pPr>
      <w:spacing w:after="0"/>
      <w:ind w:left="800" w:hanging="200"/>
    </w:pPr>
  </w:style>
  <w:style w:type="paragraph" w:styleId="Index5">
    <w:name w:val="index 5"/>
    <w:basedOn w:val="Normal"/>
    <w:next w:val="Normal"/>
    <w:autoRedefine/>
    <w:uiPriority w:val="99"/>
    <w:semiHidden/>
    <w:unhideWhenUsed/>
    <w:rsid w:val="007A4F80"/>
    <w:pPr>
      <w:spacing w:after="0"/>
      <w:ind w:left="1000" w:hanging="200"/>
    </w:pPr>
  </w:style>
  <w:style w:type="paragraph" w:styleId="Index6">
    <w:name w:val="index 6"/>
    <w:basedOn w:val="Normal"/>
    <w:next w:val="Normal"/>
    <w:autoRedefine/>
    <w:uiPriority w:val="99"/>
    <w:semiHidden/>
    <w:unhideWhenUsed/>
    <w:rsid w:val="007A4F80"/>
    <w:pPr>
      <w:spacing w:after="0"/>
      <w:ind w:left="1200" w:hanging="200"/>
    </w:pPr>
  </w:style>
  <w:style w:type="paragraph" w:styleId="Index7">
    <w:name w:val="index 7"/>
    <w:basedOn w:val="Normal"/>
    <w:next w:val="Normal"/>
    <w:autoRedefine/>
    <w:uiPriority w:val="99"/>
    <w:semiHidden/>
    <w:unhideWhenUsed/>
    <w:rsid w:val="007A4F80"/>
    <w:pPr>
      <w:spacing w:after="0"/>
      <w:ind w:left="1400" w:hanging="200"/>
    </w:pPr>
  </w:style>
  <w:style w:type="paragraph" w:styleId="Index8">
    <w:name w:val="index 8"/>
    <w:basedOn w:val="Normal"/>
    <w:next w:val="Normal"/>
    <w:autoRedefine/>
    <w:uiPriority w:val="99"/>
    <w:semiHidden/>
    <w:unhideWhenUsed/>
    <w:rsid w:val="007A4F80"/>
    <w:pPr>
      <w:spacing w:after="0"/>
      <w:ind w:left="1600" w:hanging="200"/>
    </w:pPr>
  </w:style>
  <w:style w:type="paragraph" w:styleId="Index9">
    <w:name w:val="index 9"/>
    <w:basedOn w:val="Normal"/>
    <w:next w:val="Normal"/>
    <w:autoRedefine/>
    <w:uiPriority w:val="99"/>
    <w:semiHidden/>
    <w:unhideWhenUsed/>
    <w:rsid w:val="007A4F80"/>
    <w:pPr>
      <w:spacing w:after="0"/>
      <w:ind w:left="1800" w:hanging="200"/>
    </w:pPr>
  </w:style>
  <w:style w:type="paragraph" w:styleId="IndexHeading">
    <w:name w:val="index heading"/>
    <w:basedOn w:val="Normal"/>
    <w:next w:val="Index1"/>
    <w:uiPriority w:val="99"/>
    <w:semiHidden/>
    <w:unhideWhenUsed/>
    <w:rsid w:val="007A4F80"/>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7A4F80"/>
    <w:pPr>
      <w:pBdr>
        <w:top w:val="single" w:sz="4" w:space="10" w:color="26664E" w:themeColor="accent1"/>
        <w:bottom w:val="single" w:sz="4" w:space="10" w:color="26664E" w:themeColor="accent1"/>
      </w:pBdr>
      <w:spacing w:before="360" w:after="360"/>
      <w:ind w:left="864" w:right="864"/>
      <w:jc w:val="center"/>
    </w:pPr>
    <w:rPr>
      <w:i/>
      <w:iCs/>
      <w:color w:val="26664E" w:themeColor="accent1"/>
    </w:rPr>
  </w:style>
  <w:style w:type="character" w:customStyle="1" w:styleId="IntenseQuoteChar">
    <w:name w:val="Intense Quote Char"/>
    <w:basedOn w:val="DefaultParagraphFont"/>
    <w:link w:val="IntenseQuote"/>
    <w:uiPriority w:val="30"/>
    <w:rsid w:val="007A4F80"/>
    <w:rPr>
      <w:rFonts w:ascii="Arial" w:hAnsi="Arial"/>
      <w:i/>
      <w:iCs/>
      <w:color w:val="26664E" w:themeColor="accent1"/>
      <w:sz w:val="20"/>
    </w:rPr>
  </w:style>
  <w:style w:type="paragraph" w:styleId="List">
    <w:name w:val="List"/>
    <w:basedOn w:val="Normal"/>
    <w:uiPriority w:val="99"/>
    <w:semiHidden/>
    <w:unhideWhenUsed/>
    <w:rsid w:val="007A4F80"/>
    <w:pPr>
      <w:ind w:left="283" w:hanging="283"/>
      <w:contextualSpacing/>
    </w:pPr>
  </w:style>
  <w:style w:type="paragraph" w:styleId="List2">
    <w:name w:val="List 2"/>
    <w:basedOn w:val="Normal"/>
    <w:uiPriority w:val="99"/>
    <w:semiHidden/>
    <w:unhideWhenUsed/>
    <w:rsid w:val="007A4F80"/>
    <w:pPr>
      <w:ind w:left="566" w:hanging="283"/>
      <w:contextualSpacing/>
    </w:pPr>
  </w:style>
  <w:style w:type="paragraph" w:styleId="List3">
    <w:name w:val="List 3"/>
    <w:basedOn w:val="Normal"/>
    <w:uiPriority w:val="99"/>
    <w:semiHidden/>
    <w:unhideWhenUsed/>
    <w:rsid w:val="007A4F80"/>
    <w:pPr>
      <w:ind w:left="849" w:hanging="283"/>
      <w:contextualSpacing/>
    </w:pPr>
  </w:style>
  <w:style w:type="paragraph" w:styleId="List4">
    <w:name w:val="List 4"/>
    <w:basedOn w:val="Normal"/>
    <w:uiPriority w:val="99"/>
    <w:semiHidden/>
    <w:unhideWhenUsed/>
    <w:rsid w:val="007A4F80"/>
    <w:pPr>
      <w:ind w:left="1132" w:hanging="283"/>
      <w:contextualSpacing/>
    </w:pPr>
  </w:style>
  <w:style w:type="paragraph" w:styleId="List5">
    <w:name w:val="List 5"/>
    <w:basedOn w:val="Normal"/>
    <w:uiPriority w:val="99"/>
    <w:semiHidden/>
    <w:unhideWhenUsed/>
    <w:rsid w:val="007A4F80"/>
    <w:pPr>
      <w:ind w:left="1415" w:hanging="283"/>
      <w:contextualSpacing/>
    </w:pPr>
  </w:style>
  <w:style w:type="paragraph" w:styleId="ListBullet">
    <w:name w:val="List Bullet"/>
    <w:basedOn w:val="Normal"/>
    <w:uiPriority w:val="99"/>
    <w:semiHidden/>
    <w:unhideWhenUsed/>
    <w:rsid w:val="007A4F80"/>
    <w:pPr>
      <w:numPr>
        <w:numId w:val="3"/>
      </w:numPr>
      <w:contextualSpacing/>
    </w:pPr>
  </w:style>
  <w:style w:type="paragraph" w:styleId="ListBullet2">
    <w:name w:val="List Bullet 2"/>
    <w:basedOn w:val="Normal"/>
    <w:uiPriority w:val="99"/>
    <w:semiHidden/>
    <w:unhideWhenUsed/>
    <w:rsid w:val="007A4F80"/>
    <w:pPr>
      <w:numPr>
        <w:numId w:val="4"/>
      </w:numPr>
      <w:contextualSpacing/>
    </w:pPr>
  </w:style>
  <w:style w:type="paragraph" w:styleId="ListBullet3">
    <w:name w:val="List Bullet 3"/>
    <w:basedOn w:val="Normal"/>
    <w:uiPriority w:val="99"/>
    <w:semiHidden/>
    <w:unhideWhenUsed/>
    <w:rsid w:val="007A4F80"/>
    <w:pPr>
      <w:numPr>
        <w:numId w:val="5"/>
      </w:numPr>
      <w:contextualSpacing/>
    </w:pPr>
  </w:style>
  <w:style w:type="paragraph" w:styleId="ListBullet4">
    <w:name w:val="List Bullet 4"/>
    <w:basedOn w:val="Normal"/>
    <w:uiPriority w:val="99"/>
    <w:semiHidden/>
    <w:unhideWhenUsed/>
    <w:rsid w:val="007A4F80"/>
    <w:pPr>
      <w:numPr>
        <w:numId w:val="6"/>
      </w:numPr>
      <w:contextualSpacing/>
    </w:pPr>
  </w:style>
  <w:style w:type="paragraph" w:styleId="ListBullet5">
    <w:name w:val="List Bullet 5"/>
    <w:basedOn w:val="Normal"/>
    <w:uiPriority w:val="99"/>
    <w:semiHidden/>
    <w:unhideWhenUsed/>
    <w:rsid w:val="007A4F80"/>
    <w:pPr>
      <w:numPr>
        <w:numId w:val="7"/>
      </w:numPr>
      <w:contextualSpacing/>
    </w:pPr>
  </w:style>
  <w:style w:type="paragraph" w:styleId="ListContinue">
    <w:name w:val="List Continue"/>
    <w:basedOn w:val="Normal"/>
    <w:uiPriority w:val="99"/>
    <w:semiHidden/>
    <w:unhideWhenUsed/>
    <w:rsid w:val="007A4F80"/>
    <w:pPr>
      <w:spacing w:after="120"/>
      <w:ind w:left="283"/>
      <w:contextualSpacing/>
    </w:pPr>
  </w:style>
  <w:style w:type="paragraph" w:styleId="ListContinue2">
    <w:name w:val="List Continue 2"/>
    <w:basedOn w:val="Normal"/>
    <w:uiPriority w:val="99"/>
    <w:semiHidden/>
    <w:unhideWhenUsed/>
    <w:rsid w:val="007A4F80"/>
    <w:pPr>
      <w:spacing w:after="120"/>
      <w:ind w:left="566"/>
      <w:contextualSpacing/>
    </w:pPr>
  </w:style>
  <w:style w:type="paragraph" w:styleId="ListContinue3">
    <w:name w:val="List Continue 3"/>
    <w:basedOn w:val="Normal"/>
    <w:uiPriority w:val="99"/>
    <w:semiHidden/>
    <w:unhideWhenUsed/>
    <w:rsid w:val="007A4F80"/>
    <w:pPr>
      <w:spacing w:after="120"/>
      <w:ind w:left="849"/>
      <w:contextualSpacing/>
    </w:pPr>
  </w:style>
  <w:style w:type="paragraph" w:styleId="ListContinue4">
    <w:name w:val="List Continue 4"/>
    <w:basedOn w:val="Normal"/>
    <w:uiPriority w:val="99"/>
    <w:semiHidden/>
    <w:unhideWhenUsed/>
    <w:rsid w:val="007A4F80"/>
    <w:pPr>
      <w:spacing w:after="120"/>
      <w:ind w:left="1132"/>
      <w:contextualSpacing/>
    </w:pPr>
  </w:style>
  <w:style w:type="paragraph" w:styleId="ListContinue5">
    <w:name w:val="List Continue 5"/>
    <w:basedOn w:val="Normal"/>
    <w:uiPriority w:val="99"/>
    <w:semiHidden/>
    <w:unhideWhenUsed/>
    <w:rsid w:val="007A4F80"/>
    <w:pPr>
      <w:spacing w:after="120"/>
      <w:ind w:left="1415"/>
      <w:contextualSpacing/>
    </w:pPr>
  </w:style>
  <w:style w:type="paragraph" w:styleId="ListNumber">
    <w:name w:val="List Number"/>
    <w:basedOn w:val="Normal"/>
    <w:uiPriority w:val="99"/>
    <w:semiHidden/>
    <w:unhideWhenUsed/>
    <w:rsid w:val="007A4F80"/>
    <w:pPr>
      <w:numPr>
        <w:numId w:val="8"/>
      </w:numPr>
      <w:contextualSpacing/>
    </w:pPr>
  </w:style>
  <w:style w:type="paragraph" w:styleId="ListNumber2">
    <w:name w:val="List Number 2"/>
    <w:basedOn w:val="Normal"/>
    <w:uiPriority w:val="99"/>
    <w:semiHidden/>
    <w:unhideWhenUsed/>
    <w:rsid w:val="007A4F80"/>
    <w:pPr>
      <w:numPr>
        <w:numId w:val="9"/>
      </w:numPr>
      <w:contextualSpacing/>
    </w:pPr>
  </w:style>
  <w:style w:type="paragraph" w:styleId="ListNumber3">
    <w:name w:val="List Number 3"/>
    <w:basedOn w:val="Normal"/>
    <w:uiPriority w:val="99"/>
    <w:semiHidden/>
    <w:unhideWhenUsed/>
    <w:rsid w:val="007A4F80"/>
    <w:pPr>
      <w:numPr>
        <w:numId w:val="10"/>
      </w:numPr>
      <w:contextualSpacing/>
    </w:pPr>
  </w:style>
  <w:style w:type="paragraph" w:styleId="ListNumber4">
    <w:name w:val="List Number 4"/>
    <w:basedOn w:val="Normal"/>
    <w:uiPriority w:val="99"/>
    <w:semiHidden/>
    <w:unhideWhenUsed/>
    <w:rsid w:val="007A4F80"/>
    <w:pPr>
      <w:numPr>
        <w:numId w:val="11"/>
      </w:numPr>
      <w:contextualSpacing/>
    </w:pPr>
  </w:style>
  <w:style w:type="paragraph" w:styleId="ListNumber5">
    <w:name w:val="List Number 5"/>
    <w:basedOn w:val="Normal"/>
    <w:uiPriority w:val="99"/>
    <w:semiHidden/>
    <w:unhideWhenUsed/>
    <w:rsid w:val="007A4F80"/>
    <w:pPr>
      <w:numPr>
        <w:numId w:val="12"/>
      </w:numPr>
      <w:contextualSpacing/>
    </w:pPr>
  </w:style>
  <w:style w:type="paragraph" w:styleId="MacroText">
    <w:name w:val="macro"/>
    <w:link w:val="MacroTextChar"/>
    <w:uiPriority w:val="99"/>
    <w:semiHidden/>
    <w:unhideWhenUsed/>
    <w:rsid w:val="007A4F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7F7F7F" w:themeColor="text1" w:themeTint="80"/>
      <w:sz w:val="20"/>
      <w:szCs w:val="20"/>
    </w:rPr>
  </w:style>
  <w:style w:type="character" w:customStyle="1" w:styleId="MacroTextChar">
    <w:name w:val="Macro Text Char"/>
    <w:basedOn w:val="DefaultParagraphFont"/>
    <w:link w:val="MacroText"/>
    <w:uiPriority w:val="99"/>
    <w:semiHidden/>
    <w:rsid w:val="007A4F80"/>
    <w:rPr>
      <w:rFonts w:ascii="Consolas" w:hAnsi="Consolas"/>
      <w:color w:val="7F7F7F" w:themeColor="text1" w:themeTint="80"/>
      <w:sz w:val="20"/>
      <w:szCs w:val="20"/>
    </w:rPr>
  </w:style>
  <w:style w:type="paragraph" w:styleId="MessageHeader">
    <w:name w:val="Message Header"/>
    <w:basedOn w:val="Normal"/>
    <w:link w:val="MessageHeaderChar"/>
    <w:uiPriority w:val="99"/>
    <w:semiHidden/>
    <w:unhideWhenUsed/>
    <w:rsid w:val="007A4F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A4F80"/>
    <w:rPr>
      <w:rFonts w:asciiTheme="majorHAnsi" w:eastAsiaTheme="majorEastAsia" w:hAnsiTheme="majorHAnsi" w:cstheme="majorBidi"/>
      <w:color w:val="7F7F7F" w:themeColor="text1" w:themeTint="80"/>
      <w:sz w:val="24"/>
      <w:szCs w:val="24"/>
      <w:shd w:val="pct20" w:color="auto" w:fill="auto"/>
    </w:rPr>
  </w:style>
  <w:style w:type="paragraph" w:styleId="NoSpacing">
    <w:name w:val="No Spacing"/>
    <w:uiPriority w:val="1"/>
    <w:rsid w:val="007A4F80"/>
    <w:pPr>
      <w:spacing w:after="0"/>
    </w:pPr>
    <w:rPr>
      <w:rFonts w:ascii="Arial" w:hAnsi="Arial"/>
      <w:color w:val="7F7F7F" w:themeColor="text1" w:themeTint="80"/>
      <w:sz w:val="20"/>
    </w:rPr>
  </w:style>
  <w:style w:type="paragraph" w:styleId="NormalWeb">
    <w:name w:val="Normal (Web)"/>
    <w:basedOn w:val="Normal"/>
    <w:uiPriority w:val="99"/>
    <w:unhideWhenUsed/>
    <w:rsid w:val="007A4F80"/>
    <w:rPr>
      <w:rFonts w:ascii="Times New Roman" w:hAnsi="Times New Roman" w:cs="Times New Roman"/>
      <w:sz w:val="24"/>
      <w:szCs w:val="24"/>
    </w:rPr>
  </w:style>
  <w:style w:type="paragraph" w:styleId="NormalIndent">
    <w:name w:val="Normal Indent"/>
    <w:basedOn w:val="Normal"/>
    <w:uiPriority w:val="99"/>
    <w:semiHidden/>
    <w:unhideWhenUsed/>
    <w:rsid w:val="007A4F80"/>
    <w:pPr>
      <w:ind w:left="720"/>
    </w:pPr>
  </w:style>
  <w:style w:type="paragraph" w:styleId="NoteHeading">
    <w:name w:val="Note Heading"/>
    <w:basedOn w:val="Normal"/>
    <w:next w:val="Normal"/>
    <w:link w:val="NoteHeadingChar"/>
    <w:uiPriority w:val="99"/>
    <w:semiHidden/>
    <w:unhideWhenUsed/>
    <w:rsid w:val="007A4F80"/>
    <w:pPr>
      <w:spacing w:after="0"/>
    </w:pPr>
  </w:style>
  <w:style w:type="character" w:customStyle="1" w:styleId="NoteHeadingChar">
    <w:name w:val="Note Heading Char"/>
    <w:basedOn w:val="DefaultParagraphFont"/>
    <w:link w:val="NoteHeading"/>
    <w:uiPriority w:val="99"/>
    <w:semiHidden/>
    <w:rsid w:val="007A4F80"/>
    <w:rPr>
      <w:rFonts w:ascii="Arial" w:hAnsi="Arial"/>
      <w:color w:val="7F7F7F" w:themeColor="text1" w:themeTint="80"/>
      <w:sz w:val="20"/>
    </w:rPr>
  </w:style>
  <w:style w:type="paragraph" w:styleId="PlainText">
    <w:name w:val="Plain Text"/>
    <w:basedOn w:val="Normal"/>
    <w:link w:val="PlainTextChar"/>
    <w:uiPriority w:val="99"/>
    <w:semiHidden/>
    <w:unhideWhenUsed/>
    <w:rsid w:val="007A4F8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7A4F80"/>
    <w:rPr>
      <w:rFonts w:ascii="Consolas" w:hAnsi="Consolas"/>
      <w:color w:val="7F7F7F" w:themeColor="text1" w:themeTint="80"/>
      <w:sz w:val="21"/>
      <w:szCs w:val="21"/>
    </w:rPr>
  </w:style>
  <w:style w:type="paragraph" w:styleId="Quote">
    <w:name w:val="Quote"/>
    <w:basedOn w:val="Normal"/>
    <w:next w:val="Normal"/>
    <w:link w:val="QuoteChar"/>
    <w:uiPriority w:val="29"/>
    <w:rsid w:val="007A4F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4F80"/>
    <w:rPr>
      <w:rFonts w:ascii="Arial" w:hAnsi="Arial"/>
      <w:i/>
      <w:iCs/>
      <w:color w:val="404040" w:themeColor="text1" w:themeTint="BF"/>
      <w:sz w:val="20"/>
    </w:rPr>
  </w:style>
  <w:style w:type="paragraph" w:styleId="Salutation">
    <w:name w:val="Salutation"/>
    <w:basedOn w:val="Normal"/>
    <w:next w:val="Normal"/>
    <w:link w:val="SalutationChar"/>
    <w:uiPriority w:val="99"/>
    <w:semiHidden/>
    <w:unhideWhenUsed/>
    <w:rsid w:val="007A4F80"/>
  </w:style>
  <w:style w:type="character" w:customStyle="1" w:styleId="SalutationChar">
    <w:name w:val="Salutation Char"/>
    <w:basedOn w:val="DefaultParagraphFont"/>
    <w:link w:val="Salutation"/>
    <w:uiPriority w:val="99"/>
    <w:semiHidden/>
    <w:rsid w:val="007A4F80"/>
    <w:rPr>
      <w:rFonts w:ascii="Arial" w:hAnsi="Arial"/>
      <w:color w:val="7F7F7F" w:themeColor="text1" w:themeTint="80"/>
      <w:sz w:val="20"/>
    </w:rPr>
  </w:style>
  <w:style w:type="paragraph" w:styleId="Signature">
    <w:name w:val="Signature"/>
    <w:basedOn w:val="Normal"/>
    <w:link w:val="SignatureChar"/>
    <w:uiPriority w:val="99"/>
    <w:semiHidden/>
    <w:unhideWhenUsed/>
    <w:rsid w:val="007A4F80"/>
    <w:pPr>
      <w:spacing w:after="0"/>
      <w:ind w:left="4252"/>
    </w:pPr>
  </w:style>
  <w:style w:type="character" w:customStyle="1" w:styleId="SignatureChar">
    <w:name w:val="Signature Char"/>
    <w:basedOn w:val="DefaultParagraphFont"/>
    <w:link w:val="Signature"/>
    <w:uiPriority w:val="99"/>
    <w:semiHidden/>
    <w:rsid w:val="007A4F80"/>
    <w:rPr>
      <w:rFonts w:ascii="Arial" w:hAnsi="Arial"/>
      <w:color w:val="7F7F7F" w:themeColor="text1" w:themeTint="80"/>
      <w:sz w:val="20"/>
    </w:rPr>
  </w:style>
  <w:style w:type="paragraph" w:styleId="Subtitle">
    <w:name w:val="Subtitle"/>
    <w:basedOn w:val="Normal"/>
    <w:next w:val="Normal"/>
    <w:link w:val="SubtitleChar"/>
    <w:uiPriority w:val="11"/>
    <w:rsid w:val="007A4F80"/>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7A4F80"/>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7A4F80"/>
    <w:pPr>
      <w:spacing w:after="0"/>
      <w:ind w:left="200" w:hanging="200"/>
    </w:pPr>
  </w:style>
  <w:style w:type="paragraph" w:styleId="Title">
    <w:name w:val="Title"/>
    <w:basedOn w:val="Normal"/>
    <w:next w:val="Normal"/>
    <w:link w:val="TitleChar"/>
    <w:uiPriority w:val="10"/>
    <w:rsid w:val="007A4F80"/>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A4F8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A4F80"/>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7A4F80"/>
    <w:pPr>
      <w:spacing w:after="100"/>
      <w:ind w:left="600"/>
    </w:pPr>
  </w:style>
  <w:style w:type="paragraph" w:styleId="TOC5">
    <w:name w:val="toc 5"/>
    <w:basedOn w:val="Normal"/>
    <w:next w:val="Normal"/>
    <w:autoRedefine/>
    <w:semiHidden/>
    <w:unhideWhenUsed/>
    <w:rsid w:val="007A4F80"/>
    <w:pPr>
      <w:spacing w:after="100"/>
      <w:ind w:left="800"/>
    </w:pPr>
  </w:style>
  <w:style w:type="paragraph" w:styleId="TOC6">
    <w:name w:val="toc 6"/>
    <w:basedOn w:val="Normal"/>
    <w:next w:val="Normal"/>
    <w:autoRedefine/>
    <w:semiHidden/>
    <w:unhideWhenUsed/>
    <w:rsid w:val="007A4F80"/>
    <w:pPr>
      <w:spacing w:after="100"/>
      <w:ind w:left="1000"/>
    </w:pPr>
  </w:style>
  <w:style w:type="paragraph" w:styleId="TOC7">
    <w:name w:val="toc 7"/>
    <w:basedOn w:val="Normal"/>
    <w:next w:val="Normal"/>
    <w:autoRedefine/>
    <w:semiHidden/>
    <w:unhideWhenUsed/>
    <w:rsid w:val="007A4F80"/>
    <w:pPr>
      <w:spacing w:after="100"/>
      <w:ind w:left="1200"/>
    </w:pPr>
  </w:style>
  <w:style w:type="paragraph" w:styleId="TOC8">
    <w:name w:val="toc 8"/>
    <w:basedOn w:val="Normal"/>
    <w:next w:val="Normal"/>
    <w:autoRedefine/>
    <w:semiHidden/>
    <w:unhideWhenUsed/>
    <w:rsid w:val="007A4F80"/>
    <w:pPr>
      <w:spacing w:after="100"/>
      <w:ind w:left="1400"/>
    </w:pPr>
  </w:style>
  <w:style w:type="paragraph" w:styleId="TOC9">
    <w:name w:val="toc 9"/>
    <w:basedOn w:val="Normal"/>
    <w:next w:val="Normal"/>
    <w:autoRedefine/>
    <w:semiHidden/>
    <w:unhideWhenUsed/>
    <w:rsid w:val="007A4F80"/>
    <w:pPr>
      <w:spacing w:after="100"/>
      <w:ind w:left="1600"/>
    </w:pPr>
  </w:style>
  <w:style w:type="character" w:customStyle="1" w:styleId="CommentTextChar1">
    <w:name w:val="Comment Text Char1"/>
    <w:basedOn w:val="DefaultParagraphFont"/>
    <w:uiPriority w:val="99"/>
    <w:rsid w:val="00691224"/>
    <w:rPr>
      <w:rFonts w:ascii="Arial" w:hAnsi="Arial"/>
      <w:color w:val="7F7F7F" w:themeColor="text1" w:themeTint="80"/>
      <w:sz w:val="20"/>
      <w:szCs w:val="20"/>
    </w:rPr>
  </w:style>
  <w:style w:type="paragraph" w:customStyle="1" w:styleId="paragraph0">
    <w:name w:val="paragraph"/>
    <w:basedOn w:val="Normal"/>
    <w:rsid w:val="00376BA8"/>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376BA8"/>
  </w:style>
  <w:style w:type="character" w:customStyle="1" w:styleId="eop">
    <w:name w:val="eop"/>
    <w:basedOn w:val="DefaultParagraphFont"/>
    <w:rsid w:val="00376BA8"/>
  </w:style>
  <w:style w:type="paragraph" w:customStyle="1" w:styleId="outlineelement">
    <w:name w:val="outlineelement"/>
    <w:basedOn w:val="Normal"/>
    <w:rsid w:val="00376BA8"/>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05Paragraph">
    <w:name w:val="05. Paragraph"/>
    <w:link w:val="05ParagraphChar"/>
    <w:qFormat/>
    <w:locked/>
    <w:rsid w:val="002229FF"/>
    <w:pPr>
      <w:spacing w:before="180" w:after="0" w:line="276" w:lineRule="auto"/>
      <w:jc w:val="both"/>
    </w:pPr>
    <w:rPr>
      <w:rFonts w:ascii="Calibri" w:hAnsi="Calibri" w:cs="Calibri"/>
      <w:color w:val="000000" w:themeColor="text1"/>
      <w:sz w:val="26"/>
      <w:szCs w:val="20"/>
    </w:rPr>
  </w:style>
  <w:style w:type="character" w:customStyle="1" w:styleId="05ParagraphChar">
    <w:name w:val="05. Paragraph Char"/>
    <w:basedOn w:val="DefaultParagraphFont"/>
    <w:link w:val="05Paragraph"/>
    <w:rsid w:val="002229FF"/>
    <w:rPr>
      <w:rFonts w:ascii="Calibri" w:hAnsi="Calibri" w:cs="Calibri"/>
      <w:color w:val="000000" w:themeColor="text1"/>
      <w:sz w:val="26"/>
      <w:szCs w:val="20"/>
    </w:rPr>
  </w:style>
  <w:style w:type="paragraph" w:customStyle="1" w:styleId="Paragraphbeforeabulletlist">
    <w:name w:val="Paragraph before a bullet list"/>
    <w:basedOn w:val="Paragraph"/>
    <w:link w:val="ParagraphbeforeabulletlistChar"/>
    <w:autoRedefine/>
    <w:locked/>
    <w:rsid w:val="001434B6"/>
    <w:pPr>
      <w:keepNext/>
      <w:spacing w:before="0" w:after="0"/>
    </w:pPr>
    <w:rPr>
      <w:rFonts w:cs="Times New Roman (Body CS)"/>
      <w:noProof/>
      <w:color w:val="auto"/>
      <w:szCs w:val="44"/>
    </w:rPr>
  </w:style>
  <w:style w:type="character" w:customStyle="1" w:styleId="ParagraphbeforeabulletlistChar">
    <w:name w:val="Paragraph before a bullet list Char"/>
    <w:basedOn w:val="DefaultParagraphFont"/>
    <w:link w:val="Paragraphbeforeabulletlist"/>
    <w:rsid w:val="001434B6"/>
    <w:rPr>
      <w:rFonts w:ascii="Calibri Light" w:hAnsi="Calibri Light" w:cs="Times New Roman (Body CS)"/>
      <w:noProof/>
      <w:sz w:val="26"/>
      <w:szCs w:val="44"/>
    </w:rPr>
  </w:style>
  <w:style w:type="character" w:customStyle="1" w:styleId="FiguretitleChar">
    <w:name w:val="Figure title Char"/>
    <w:basedOn w:val="DefaultParagraphFont"/>
    <w:link w:val="Figuretitle"/>
    <w:locked/>
    <w:rsid w:val="008F6079"/>
    <w:rPr>
      <w:rFonts w:ascii="Calibri Light" w:hAnsi="Calibri Light" w:cs="Times New Roman (Body CS)"/>
      <w:b/>
      <w:noProof/>
      <w:color w:val="0F6745" w:themeColor="accent2" w:themeShade="BF"/>
      <w:sz w:val="24"/>
      <w:szCs w:val="24"/>
      <w:lang w:val="en-US"/>
    </w:rPr>
  </w:style>
  <w:style w:type="paragraph" w:customStyle="1" w:styleId="Figuretitle">
    <w:name w:val="Figure title"/>
    <w:link w:val="FiguretitleChar"/>
    <w:autoRedefine/>
    <w:rsid w:val="008F6079"/>
    <w:pPr>
      <w:keepNext/>
      <w:spacing w:before="240" w:after="120"/>
    </w:pPr>
    <w:rPr>
      <w:rFonts w:ascii="Calibri Light" w:hAnsi="Calibri Light" w:cs="Times New Roman (Body CS)"/>
      <w:b/>
      <w:noProof/>
      <w:color w:val="0F6745" w:themeColor="accent2" w:themeShade="BF"/>
      <w:sz w:val="24"/>
      <w:szCs w:val="24"/>
      <w:lang w:val="en-US"/>
    </w:rPr>
  </w:style>
  <w:style w:type="paragraph" w:customStyle="1" w:styleId="Tablebullets">
    <w:name w:val="Table bullets"/>
    <w:link w:val="TablebulletsChar"/>
    <w:qFormat/>
    <w:rsid w:val="00EF01B2"/>
    <w:pPr>
      <w:spacing w:before="60" w:after="60"/>
      <w:contextualSpacing/>
    </w:pPr>
    <w:rPr>
      <w:rFonts w:ascii="Calibri Light" w:hAnsi="Calibri Light" w:cs="Times New Roman (Body CS)"/>
      <w:color w:val="4D4D4D" w:themeColor="accent6"/>
    </w:rPr>
  </w:style>
  <w:style w:type="character" w:customStyle="1" w:styleId="TablebulletsChar">
    <w:name w:val="Table bullets Char"/>
    <w:basedOn w:val="DefaultParagraphFont"/>
    <w:link w:val="Tablebullets"/>
    <w:locked/>
    <w:rsid w:val="00EF01B2"/>
    <w:rPr>
      <w:rFonts w:ascii="Calibri Light" w:hAnsi="Calibri Light" w:cs="Times New Roman (Body CS)"/>
      <w:color w:val="4D4D4D" w:themeColor="accent6"/>
    </w:rPr>
  </w:style>
  <w:style w:type="table" w:customStyle="1" w:styleId="Glossary">
    <w:name w:val="Glossary"/>
    <w:basedOn w:val="TableNormal"/>
    <w:uiPriority w:val="99"/>
    <w:rsid w:val="00EF01B2"/>
    <w:pPr>
      <w:spacing w:after="0"/>
    </w:pPr>
    <w:tblPr>
      <w:tblBorders>
        <w:top w:val="single" w:sz="4" w:space="0" w:color="148A5D"/>
        <w:bottom w:val="single" w:sz="4" w:space="0" w:color="148A5D"/>
        <w:insideH w:val="single" w:sz="4" w:space="0" w:color="148A5D"/>
      </w:tblBorders>
    </w:tblPr>
    <w:tblStylePr w:type="firstRow">
      <w:rPr>
        <w:b/>
        <w:color w:val="FFFFFF" w:themeColor="background2"/>
      </w:rPr>
      <w:tblPr/>
      <w:tcPr>
        <w:shd w:val="clear" w:color="auto" w:fill="148A5D"/>
      </w:tcPr>
    </w:tblStylePr>
  </w:style>
  <w:style w:type="table" w:customStyle="1" w:styleId="ListTable3-Accent22">
    <w:name w:val="List Table 3 - Accent 22"/>
    <w:basedOn w:val="TableNormal"/>
    <w:next w:val="ListTable3-Accent2"/>
    <w:uiPriority w:val="48"/>
    <w:rsid w:val="009830D6"/>
    <w:pPr>
      <w:spacing w:after="0"/>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paragraph" w:customStyle="1" w:styleId="Tableheaderrow">
    <w:name w:val="Table header row"/>
    <w:link w:val="TableheaderrowChar"/>
    <w:qFormat/>
    <w:rsid w:val="00B1131E"/>
    <w:pPr>
      <w:spacing w:after="0"/>
    </w:pPr>
    <w:rPr>
      <w:rFonts w:ascii="Calibri Light" w:eastAsia="Rockwell" w:hAnsi="Calibri Light" w:cs="Arial"/>
      <w:b/>
      <w:bCs/>
      <w:color w:val="4D4D4D" w:themeColor="accent6"/>
    </w:rPr>
  </w:style>
  <w:style w:type="character" w:customStyle="1" w:styleId="TableheaderrowChar">
    <w:name w:val="Table header row Char"/>
    <w:basedOn w:val="DefaultParagraphFont"/>
    <w:link w:val="Tableheaderrow"/>
    <w:rsid w:val="00B1131E"/>
    <w:rPr>
      <w:rFonts w:ascii="Calibri Light" w:eastAsia="Rockwell" w:hAnsi="Calibri Light" w:cs="Arial"/>
      <w:b/>
      <w:bCs/>
      <w:color w:val="4D4D4D" w:themeColor="accent6"/>
    </w:rPr>
  </w:style>
  <w:style w:type="paragraph" w:customStyle="1" w:styleId="Instrumenttableofcontents">
    <w:name w:val="Instrument table of contents"/>
    <w:qFormat/>
    <w:rsid w:val="00B1131E"/>
    <w:pPr>
      <w:spacing w:before="180" w:after="180" w:line="276" w:lineRule="auto"/>
      <w:jc w:val="both"/>
    </w:pPr>
    <w:rPr>
      <w:rFonts w:ascii="Calibri Light" w:hAnsi="Calibri Light" w:cs="Arial"/>
      <w:bCs/>
      <w:sz w:val="26"/>
      <w:szCs w:val="20"/>
    </w:rPr>
  </w:style>
  <w:style w:type="table" w:customStyle="1" w:styleId="ListTable3-Accent21">
    <w:name w:val="List Table 3 - Accent 21"/>
    <w:basedOn w:val="TableNormal"/>
    <w:next w:val="ListTable3-Accent2"/>
    <w:uiPriority w:val="48"/>
    <w:rsid w:val="00B1131E"/>
    <w:pPr>
      <w:spacing w:after="0"/>
    </w:pPr>
    <w:rPr>
      <w:rFonts w:ascii="Calibri Light" w:eastAsia="Rockwell" w:hAnsi="Calibri Light" w:cs="Times New Roman"/>
      <w:color w:val="4D4D4D" w:themeColor="accent6"/>
    </w:rPr>
    <w:tblPr>
      <w:tblStyleRowBandSize w:val="1"/>
      <w:tblStyleColBandSize w:val="1"/>
      <w:tblInd w:w="0" w:type="nil"/>
      <w:tblBorders>
        <w:top w:val="single" w:sz="4" w:space="0" w:color="148A5D" w:themeColor="accent2"/>
        <w:bottom w:val="single" w:sz="4" w:space="0" w:color="148A5D" w:themeColor="accent2"/>
      </w:tblBorders>
    </w:tblPr>
    <w:tblStylePr w:type="firstRow">
      <w:pPr>
        <w:jc w:val="left"/>
      </w:pPr>
      <w:rPr>
        <w:rFonts w:ascii="Calibri Light" w:hAnsi="Calibri Light" w:cs="Calibri Light" w:hint="default"/>
        <w:b/>
        <w:bCs/>
        <w:color w:val="FFFFFF" w:themeColor="background1"/>
        <w:sz w:val="22"/>
        <w:szCs w:val="22"/>
      </w:rPr>
      <w:tblPr/>
      <w:tcPr>
        <w:tcBorders>
          <w:top w:val="nil"/>
          <w:left w:val="nil"/>
          <w:bottom w:val="nil"/>
          <w:right w:val="nil"/>
          <w:insideH w:val="single" w:sz="4" w:space="0" w:color="148A5D" w:themeColor="accent2"/>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Parapraph">
    <w:name w:val="Parapraph"/>
    <w:link w:val="ParapraphChar"/>
    <w:qFormat/>
    <w:rsid w:val="00B1131E"/>
    <w:pPr>
      <w:spacing w:before="180" w:after="180" w:line="276" w:lineRule="auto"/>
      <w:jc w:val="both"/>
    </w:pPr>
    <w:rPr>
      <w:rFonts w:ascii="Calibri Light" w:hAnsi="Calibri Light" w:cs="Times New Roman (Body CS)"/>
      <w:color w:val="4D4D4D" w:themeColor="accent6"/>
      <w:sz w:val="26"/>
      <w:szCs w:val="44"/>
    </w:rPr>
  </w:style>
  <w:style w:type="character" w:customStyle="1" w:styleId="ParapraphChar">
    <w:name w:val="Parapraph Char"/>
    <w:basedOn w:val="DefaultParagraphFont"/>
    <w:link w:val="Parapraph"/>
    <w:rsid w:val="00B1131E"/>
    <w:rPr>
      <w:rFonts w:ascii="Calibri Light" w:hAnsi="Calibri Light" w:cs="Times New Roman (Body CS)"/>
      <w:color w:val="4D4D4D" w:themeColor="accent6"/>
      <w:sz w:val="26"/>
      <w:szCs w:val="44"/>
    </w:rPr>
  </w:style>
  <w:style w:type="paragraph" w:customStyle="1" w:styleId="Heading">
    <w:name w:val="Heading"/>
    <w:link w:val="HeadingChar"/>
    <w:autoRedefine/>
    <w:locked/>
    <w:rsid w:val="00051414"/>
    <w:pPr>
      <w:spacing w:after="720"/>
      <w:outlineLvl w:val="0"/>
    </w:pPr>
    <w:rPr>
      <w:rFonts w:ascii="Rockwell" w:hAnsi="Rockwell" w:cs="Times New Roman (Body CS)"/>
      <w:color w:val="FFFFFF" w:themeColor="background1"/>
      <w:spacing w:val="-6"/>
      <w:sz w:val="56"/>
      <w:szCs w:val="72"/>
    </w:rPr>
  </w:style>
  <w:style w:type="character" w:customStyle="1" w:styleId="HeadingChar">
    <w:name w:val="Heading Char"/>
    <w:basedOn w:val="02VIRTHeading2Char"/>
    <w:link w:val="Heading"/>
    <w:rsid w:val="00051414"/>
    <w:rPr>
      <w:rFonts w:ascii="Rockwell" w:hAnsi="Rockwell" w:cs="Times New Roman (Body CS)"/>
      <w:color w:val="FFFFFF" w:themeColor="background1"/>
      <w:spacing w:val="-6"/>
      <w:sz w:val="56"/>
      <w:szCs w:val="72"/>
    </w:rPr>
  </w:style>
  <w:style w:type="paragraph" w:customStyle="1" w:styleId="Numberedparagraphs">
    <w:name w:val="Numbered paragraphs"/>
    <w:link w:val="NumberedparagraphsChar"/>
    <w:locked/>
    <w:rsid w:val="00051414"/>
    <w:pPr>
      <w:numPr>
        <w:numId w:val="15"/>
      </w:numPr>
      <w:spacing w:before="180" w:after="180" w:line="276" w:lineRule="auto"/>
    </w:pPr>
    <w:rPr>
      <w:rFonts w:ascii="Calibri Light" w:hAnsi="Calibri Light" w:cs="Times New Roman (Body CS)"/>
      <w:color w:val="4D4D4D" w:themeColor="accent6"/>
      <w:sz w:val="26"/>
      <w:szCs w:val="44"/>
    </w:rPr>
  </w:style>
  <w:style w:type="character" w:customStyle="1" w:styleId="NumberedparagraphsChar">
    <w:name w:val="Numbered paragraphs Char"/>
    <w:basedOn w:val="DefaultParagraphFont"/>
    <w:link w:val="Numberedparagraphs"/>
    <w:rsid w:val="00051414"/>
    <w:rPr>
      <w:rFonts w:ascii="Calibri Light" w:hAnsi="Calibri Light" w:cs="Times New Roman (Body CS)"/>
      <w:color w:val="4D4D4D" w:themeColor="accent6"/>
      <w:sz w:val="26"/>
      <w:szCs w:val="44"/>
    </w:rPr>
  </w:style>
  <w:style w:type="paragraph" w:customStyle="1" w:styleId="DPCnumberdigit">
    <w:name w:val="DPC number digit"/>
    <w:basedOn w:val="Normal"/>
    <w:uiPriority w:val="4"/>
    <w:rsid w:val="00051414"/>
    <w:pPr>
      <w:numPr>
        <w:numId w:val="16"/>
      </w:numPr>
      <w:spacing w:after="160" w:line="300" w:lineRule="atLeast"/>
    </w:pPr>
    <w:rPr>
      <w:rFonts w:asciiTheme="minorHAnsi" w:eastAsia="Times" w:hAnsiTheme="minorHAnsi" w:cs="Arial"/>
      <w:color w:val="000000" w:themeColor="text1"/>
      <w:sz w:val="22"/>
    </w:rPr>
  </w:style>
  <w:style w:type="paragraph" w:customStyle="1" w:styleId="DPCnumberdigitindent">
    <w:name w:val="DPC number digit indent"/>
    <w:basedOn w:val="Normal"/>
    <w:uiPriority w:val="4"/>
    <w:qFormat/>
    <w:rsid w:val="00051414"/>
    <w:pPr>
      <w:numPr>
        <w:ilvl w:val="1"/>
        <w:numId w:val="16"/>
      </w:numPr>
      <w:spacing w:after="160" w:line="300" w:lineRule="atLeast"/>
    </w:pPr>
    <w:rPr>
      <w:rFonts w:asciiTheme="minorHAnsi" w:eastAsia="Times" w:hAnsiTheme="minorHAnsi" w:cs="Arial"/>
      <w:color w:val="000000" w:themeColor="text1"/>
      <w:sz w:val="22"/>
    </w:rPr>
  </w:style>
  <w:style w:type="paragraph" w:customStyle="1" w:styleId="DPCtabletext">
    <w:name w:val="DPC table text"/>
    <w:uiPriority w:val="3"/>
    <w:qFormat/>
    <w:rsid w:val="00051414"/>
    <w:pPr>
      <w:spacing w:before="60" w:after="40"/>
    </w:pPr>
    <w:rPr>
      <w:rFonts w:eastAsia="Times New Roman" w:cs="Times New Roman"/>
      <w:color w:val="000000" w:themeColor="text1"/>
      <w:sz w:val="20"/>
      <w:szCs w:val="20"/>
    </w:rPr>
  </w:style>
  <w:style w:type="numbering" w:customStyle="1" w:styleId="ZZNumbersdigit">
    <w:name w:val="ZZ Numbers digit"/>
    <w:basedOn w:val="NoList"/>
    <w:uiPriority w:val="99"/>
    <w:rsid w:val="00051414"/>
    <w:pPr>
      <w:numPr>
        <w:numId w:val="16"/>
      </w:numPr>
    </w:pPr>
  </w:style>
  <w:style w:type="paragraph" w:customStyle="1" w:styleId="DPCbulletafternumbers1">
    <w:name w:val="DPC bullet after numbers 1"/>
    <w:basedOn w:val="Normal"/>
    <w:rsid w:val="00051414"/>
    <w:pPr>
      <w:numPr>
        <w:ilvl w:val="2"/>
        <w:numId w:val="16"/>
      </w:numPr>
      <w:spacing w:after="160" w:line="300" w:lineRule="atLeast"/>
    </w:pPr>
    <w:rPr>
      <w:rFonts w:asciiTheme="minorHAnsi" w:eastAsia="Times" w:hAnsiTheme="minorHAnsi" w:cs="Arial"/>
      <w:color w:val="000000" w:themeColor="text1"/>
      <w:sz w:val="22"/>
    </w:rPr>
  </w:style>
  <w:style w:type="paragraph" w:customStyle="1" w:styleId="DPCbulletafternumbers2">
    <w:name w:val="DPC bullet after numbers 2"/>
    <w:basedOn w:val="Normal"/>
    <w:rsid w:val="00051414"/>
    <w:pPr>
      <w:numPr>
        <w:ilvl w:val="3"/>
        <w:numId w:val="16"/>
      </w:numPr>
      <w:spacing w:after="160" w:line="300" w:lineRule="atLeast"/>
    </w:pPr>
    <w:rPr>
      <w:rFonts w:asciiTheme="minorHAnsi" w:eastAsia="Times" w:hAnsiTheme="minorHAnsi" w:cs="Arial"/>
      <w:color w:val="000000" w:themeColor="text1"/>
      <w:sz w:val="22"/>
    </w:rPr>
  </w:style>
  <w:style w:type="character" w:customStyle="1" w:styleId="frag-no">
    <w:name w:val="frag-no"/>
    <w:basedOn w:val="DefaultParagraphFont"/>
    <w:rsid w:val="00051414"/>
  </w:style>
  <w:style w:type="paragraph" w:customStyle="1" w:styleId="VIRTCoverPageHeading">
    <w:name w:val="VIRT Cover Page Heading"/>
    <w:basedOn w:val="Normal"/>
    <w:rsid w:val="00051414"/>
    <w:rPr>
      <w:rFonts w:asciiTheme="minorHAnsi" w:hAnsiTheme="minorHAnsi"/>
      <w:noProof/>
      <w:color w:val="FFFFFF" w:themeColor="background1"/>
      <w:spacing w:val="20"/>
      <w:sz w:val="64"/>
      <w:lang w:val="en-US"/>
    </w:rPr>
  </w:style>
  <w:style w:type="paragraph" w:customStyle="1" w:styleId="TOClevel1">
    <w:name w:val="TOC level 1"/>
    <w:basedOn w:val="TOC1"/>
    <w:link w:val="TOClevel1Char"/>
    <w:qFormat/>
    <w:rsid w:val="00051414"/>
    <w:pPr>
      <w:tabs>
        <w:tab w:val="left" w:pos="440"/>
        <w:tab w:val="right" w:leader="dot" w:pos="8494"/>
      </w:tabs>
      <w:spacing w:before="0" w:after="100" w:line="259" w:lineRule="auto"/>
      <w:jc w:val="left"/>
    </w:pPr>
  </w:style>
  <w:style w:type="character" w:customStyle="1" w:styleId="TOC1Char">
    <w:name w:val="TOC 1 Char"/>
    <w:basedOn w:val="DefaultParagraphFont"/>
    <w:link w:val="TOC1"/>
    <w:uiPriority w:val="39"/>
    <w:rsid w:val="00051414"/>
    <w:rPr>
      <w:rFonts w:ascii="Calibri Light" w:hAnsi="Calibri Light" w:cs="Arial"/>
      <w:b/>
      <w:color w:val="4D4D4D" w:themeColor="accent6"/>
      <w:sz w:val="26"/>
      <w:szCs w:val="20"/>
    </w:rPr>
  </w:style>
  <w:style w:type="character" w:customStyle="1" w:styleId="TOClevel1Char">
    <w:name w:val="TOC level 1 Char"/>
    <w:basedOn w:val="TOC1Char"/>
    <w:link w:val="TOClevel1"/>
    <w:rsid w:val="00051414"/>
    <w:rPr>
      <w:rFonts w:ascii="Calibri Light" w:hAnsi="Calibri Light" w:cs="Arial"/>
      <w:b/>
      <w:color w:val="4D4D4D" w:themeColor="accent6"/>
      <w:sz w:val="26"/>
      <w:szCs w:val="20"/>
    </w:rPr>
  </w:style>
  <w:style w:type="paragraph" w:customStyle="1" w:styleId="Romanbullets">
    <w:name w:val="Roman bullets"/>
    <w:basedOn w:val="VIRTBulletpoints"/>
    <w:link w:val="RomanbulletsChar"/>
    <w:qFormat/>
    <w:rsid w:val="00051414"/>
    <w:pPr>
      <w:spacing w:line="276" w:lineRule="auto"/>
      <w:ind w:left="360" w:hanging="360"/>
      <w:jc w:val="both"/>
    </w:pPr>
  </w:style>
  <w:style w:type="character" w:customStyle="1" w:styleId="RomanbulletsChar">
    <w:name w:val="Roman bullets Char"/>
    <w:basedOn w:val="VIRTBulletpointsChar"/>
    <w:link w:val="Romanbullets"/>
    <w:rsid w:val="00051414"/>
    <w:rPr>
      <w:rFonts w:ascii="Calibri Light" w:hAnsi="Calibri Light" w:cs="Arial"/>
      <w:color w:val="000000" w:themeColor="text1"/>
      <w:sz w:val="26"/>
      <w:szCs w:val="20"/>
    </w:rPr>
  </w:style>
  <w:style w:type="character" w:styleId="Mention">
    <w:name w:val="Mention"/>
    <w:basedOn w:val="DefaultParagraphFont"/>
    <w:uiPriority w:val="99"/>
    <w:unhideWhenUsed/>
    <w:rsid w:val="00051414"/>
    <w:rPr>
      <w:color w:val="2B579A"/>
      <w:shd w:val="clear" w:color="auto" w:fill="E1DFDD"/>
    </w:rPr>
  </w:style>
  <w:style w:type="table" w:customStyle="1" w:styleId="ListTable3-Accent23">
    <w:name w:val="List Table 3 - Accent 23"/>
    <w:basedOn w:val="TableNormal"/>
    <w:next w:val="ListTable3-Accent2"/>
    <w:uiPriority w:val="48"/>
    <w:locked/>
    <w:rsid w:val="00051414"/>
    <w:pPr>
      <w:spacing w:after="0"/>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character" w:styleId="PlaceholderText">
    <w:name w:val="Placeholder Text"/>
    <w:basedOn w:val="DefaultParagraphFont"/>
    <w:uiPriority w:val="99"/>
    <w:semiHidden/>
    <w:rsid w:val="00051414"/>
    <w:rPr>
      <w:color w:val="808080"/>
    </w:rPr>
  </w:style>
  <w:style w:type="character" w:customStyle="1" w:styleId="apple-converted-space">
    <w:name w:val="apple-converted-space"/>
    <w:basedOn w:val="DefaultParagraphFont"/>
    <w:rsid w:val="00051414"/>
  </w:style>
  <w:style w:type="character" w:customStyle="1" w:styleId="Hyperlink1">
    <w:name w:val="Hyperlink1"/>
    <w:basedOn w:val="DefaultParagraphFont"/>
    <w:uiPriority w:val="99"/>
    <w:unhideWhenUsed/>
    <w:locked/>
    <w:rsid w:val="00051414"/>
    <w:rPr>
      <w:color w:val="5F5F5F"/>
      <w:u w:val="single"/>
    </w:rPr>
  </w:style>
  <w:style w:type="table" w:customStyle="1" w:styleId="ListTable3-Accent24">
    <w:name w:val="List Table 3 - Accent 24"/>
    <w:basedOn w:val="TableNormal"/>
    <w:next w:val="ListTable3-Accent2"/>
    <w:uiPriority w:val="48"/>
    <w:locked/>
    <w:rsid w:val="00051414"/>
    <w:pPr>
      <w:spacing w:after="0"/>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table" w:customStyle="1" w:styleId="ListTable3-Accent211">
    <w:name w:val="List Table 3 - Accent 211"/>
    <w:basedOn w:val="TableNormal"/>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QuoteinBox">
    <w:name w:val="Quote in Box"/>
    <w:basedOn w:val="12BoxText"/>
    <w:link w:val="QuoteinBoxChar"/>
    <w:qFormat/>
    <w:rsid w:val="00320726"/>
  </w:style>
  <w:style w:type="character" w:customStyle="1" w:styleId="QuoteinBoxChar">
    <w:name w:val="Quote in Box Char"/>
    <w:basedOn w:val="07VIRTBreakouttextChar"/>
    <w:link w:val="QuoteinBox"/>
    <w:rsid w:val="00320726"/>
    <w:rPr>
      <w:rFonts w:ascii="Calibri Light" w:hAnsi="Calibri Light" w:cs="Times New Roman (Body CS)"/>
      <w:i w:val="0"/>
      <w:color w:val="0E7650"/>
      <w:spacing w:val="-6"/>
      <w:sz w:val="26"/>
    </w:rPr>
  </w:style>
  <w:style w:type="table" w:customStyle="1" w:styleId="ListTable3-Accent212">
    <w:name w:val="List Table 3 - Accent 212"/>
    <w:basedOn w:val="TableNormal"/>
    <w:next w:val="ListTable3-Accent2"/>
    <w:uiPriority w:val="48"/>
    <w:rsid w:val="00051414"/>
    <w:pPr>
      <w:spacing w:after="0"/>
    </w:pPr>
    <w:rPr>
      <w:rFonts w:ascii="Calibri Light" w:eastAsia="Rockwell" w:hAnsi="Calibri Light" w:cs="Times New Roman"/>
      <w:color w:val="4D4D4D"/>
    </w:rPr>
    <w:tblPr>
      <w:tblStyleRowBandSize w:val="1"/>
      <w:tblStyleColBandSize w:val="1"/>
      <w:tblInd w:w="0" w:type="nil"/>
      <w:tblBorders>
        <w:top w:val="single" w:sz="4" w:space="0" w:color="148A5D"/>
        <w:bottom w:val="single" w:sz="4" w:space="0" w:color="148A5D"/>
      </w:tblBorders>
    </w:tblPr>
    <w:tblStylePr w:type="firstRow">
      <w:pPr>
        <w:jc w:val="left"/>
      </w:pPr>
      <w:rPr>
        <w:rFonts w:ascii="Calibri Light" w:hAnsi="Calibri Light" w:cs="Calibri Light" w:hint="default"/>
        <w:b/>
        <w:bCs/>
        <w:color w:val="FFFFFF"/>
        <w:sz w:val="22"/>
        <w:szCs w:val="22"/>
      </w:rPr>
      <w:tblPr/>
      <w:tcPr>
        <w:tcBorders>
          <w:top w:val="nil"/>
          <w:left w:val="nil"/>
          <w:bottom w:val="nil"/>
          <w:right w:val="nil"/>
          <w:insideH w:val="single" w:sz="4" w:space="0" w:color="148A5D"/>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TableGrid1">
    <w:name w:val="Table Grid1"/>
    <w:basedOn w:val="TableNormal"/>
    <w:next w:val="TableGrid"/>
    <w:uiPriority w:val="39"/>
    <w:locked/>
    <w:rsid w:val="0005141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25">
    <w:name w:val="List Table 3 - Accent 25"/>
    <w:basedOn w:val="TableNormal"/>
    <w:next w:val="ListTable3-Accent2"/>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13">
    <w:name w:val="List Table 3 - Accent 213"/>
    <w:basedOn w:val="TableNormal"/>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numbering" w:customStyle="1" w:styleId="ZZNumbersdigit1">
    <w:name w:val="ZZ Numbers digit1"/>
    <w:basedOn w:val="NoList"/>
    <w:uiPriority w:val="99"/>
    <w:rsid w:val="00051414"/>
    <w:pPr>
      <w:numPr>
        <w:numId w:val="6"/>
      </w:numPr>
    </w:pPr>
  </w:style>
  <w:style w:type="table" w:customStyle="1" w:styleId="Glossary1">
    <w:name w:val="Glossary1"/>
    <w:basedOn w:val="TableNormal"/>
    <w:uiPriority w:val="99"/>
    <w:rsid w:val="00051414"/>
    <w:pPr>
      <w:spacing w:after="0"/>
    </w:pPr>
    <w:tblPr>
      <w:tblBorders>
        <w:top w:val="single" w:sz="4" w:space="0" w:color="148A5D"/>
        <w:bottom w:val="single" w:sz="4" w:space="0" w:color="148A5D"/>
        <w:insideH w:val="single" w:sz="4" w:space="0" w:color="148A5D"/>
      </w:tblBorders>
    </w:tblPr>
    <w:tblStylePr w:type="firstRow">
      <w:rPr>
        <w:b/>
        <w:color w:val="FFFFFF"/>
      </w:rPr>
      <w:tblPr/>
      <w:tcPr>
        <w:shd w:val="clear" w:color="auto" w:fill="148A5D"/>
      </w:tcPr>
    </w:tblStylePr>
  </w:style>
  <w:style w:type="table" w:customStyle="1" w:styleId="ListTable3-Accent221">
    <w:name w:val="List Table 3 - Accent 221"/>
    <w:basedOn w:val="TableNormal"/>
    <w:next w:val="ListTable3-Accent2"/>
    <w:uiPriority w:val="48"/>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31">
    <w:name w:val="List Table 3 - Accent 231"/>
    <w:basedOn w:val="TableNormal"/>
    <w:next w:val="ListTable3-Accent2"/>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41">
    <w:name w:val="List Table 3 - Accent 241"/>
    <w:basedOn w:val="TableNormal"/>
    <w:next w:val="ListTable3-Accent2"/>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Instrumenttableheading">
    <w:name w:val="Instrument table heading"/>
    <w:basedOn w:val="Tableheading"/>
    <w:link w:val="InstrumenttableheadingChar"/>
    <w:qFormat/>
    <w:rsid w:val="00051414"/>
    <w:pPr>
      <w:ind w:left="907" w:hanging="907"/>
    </w:pPr>
    <w:rPr>
      <w:color w:val="148A5D" w:themeColor="accent2"/>
    </w:rPr>
  </w:style>
  <w:style w:type="character" w:customStyle="1" w:styleId="InstrumenttableheadingChar">
    <w:name w:val="Instrument table heading Char"/>
    <w:basedOn w:val="TableheadingChar"/>
    <w:link w:val="Instrumenttableheading"/>
    <w:rsid w:val="00051414"/>
    <w:rPr>
      <w:rFonts w:ascii="Calibri Light" w:hAnsi="Calibri Light" w:cs="Arial"/>
      <w:b/>
      <w:color w:val="148A5D" w:themeColor="accent2"/>
      <w:sz w:val="24"/>
    </w:rPr>
  </w:style>
  <w:style w:type="paragraph" w:customStyle="1" w:styleId="12BoxText">
    <w:name w:val="12. Box Text"/>
    <w:basedOn w:val="Tabletext"/>
    <w:link w:val="12BoxTextChar"/>
    <w:qFormat/>
    <w:rsid w:val="00B52B64"/>
    <w:pPr>
      <w:spacing w:before="120"/>
    </w:pPr>
    <w:rPr>
      <w:color w:val="auto"/>
    </w:rPr>
  </w:style>
  <w:style w:type="paragraph" w:customStyle="1" w:styleId="13Boxbullets">
    <w:name w:val="13. Box bullets"/>
    <w:basedOn w:val="Bulletsinatable"/>
    <w:link w:val="13BoxbulletsChar"/>
    <w:qFormat/>
    <w:rsid w:val="00976D86"/>
    <w:pPr>
      <w:numPr>
        <w:numId w:val="0"/>
      </w:numPr>
      <w:ind w:left="502" w:hanging="360"/>
    </w:pPr>
  </w:style>
  <w:style w:type="character" w:customStyle="1" w:styleId="12BoxTextChar">
    <w:name w:val="12. Box Text Char"/>
    <w:basedOn w:val="TabletextChar"/>
    <w:link w:val="12BoxText"/>
    <w:rsid w:val="00B52B64"/>
    <w:rPr>
      <w:rFonts w:ascii="Calibri Light" w:hAnsi="Calibri Light"/>
      <w:color w:val="000000" w:themeColor="text1"/>
    </w:rPr>
  </w:style>
  <w:style w:type="character" w:customStyle="1" w:styleId="13BoxbulletsChar">
    <w:name w:val="13. Box bullets Char"/>
    <w:basedOn w:val="11BulletsinatableChar"/>
    <w:link w:val="13Boxbullets"/>
    <w:rsid w:val="00976D86"/>
    <w:rPr>
      <w:rFonts w:ascii="Calibri Light" w:hAnsi="Calibri Light" w:cs="Arial"/>
      <w:bCs/>
      <w:color w:val="000000" w:themeColor="text1"/>
      <w:szCs w:val="20"/>
    </w:rPr>
  </w:style>
  <w:style w:type="table" w:customStyle="1" w:styleId="ListTable3-Accent26">
    <w:name w:val="List Table 3 - Accent 26"/>
    <w:basedOn w:val="TableNormal"/>
    <w:next w:val="ListTable3-Accent2"/>
    <w:uiPriority w:val="48"/>
    <w:rsid w:val="000C52C1"/>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7">
    <w:name w:val="List Table 3 - Accent 27"/>
    <w:basedOn w:val="TableNormal"/>
    <w:next w:val="ListTable3-Accent2"/>
    <w:uiPriority w:val="48"/>
    <w:rsid w:val="0030368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Instrumentclauses">
    <w:name w:val="Instrument clauses"/>
    <w:basedOn w:val="Instrumenttableofcontents"/>
    <w:qFormat/>
    <w:rsid w:val="00CA273E"/>
    <w:pPr>
      <w:numPr>
        <w:ilvl w:val="1"/>
        <w:numId w:val="14"/>
      </w:numPr>
    </w:pPr>
  </w:style>
  <w:style w:type="paragraph" w:customStyle="1" w:styleId="10Tabletext">
    <w:name w:val="10. Table text"/>
    <w:link w:val="10TabletextChar"/>
    <w:qFormat/>
    <w:locked/>
    <w:rsid w:val="00A27D4B"/>
    <w:pPr>
      <w:spacing w:after="0"/>
    </w:pPr>
    <w:rPr>
      <w:rFonts w:ascii="Calibri Light" w:hAnsi="Calibri Light"/>
      <w:color w:val="000000" w:themeColor="text1"/>
    </w:rPr>
  </w:style>
  <w:style w:type="character" w:customStyle="1" w:styleId="10TabletextChar">
    <w:name w:val="10. Table text Char"/>
    <w:basedOn w:val="DefaultParagraphFont"/>
    <w:link w:val="10Tabletext"/>
    <w:rsid w:val="00A27D4B"/>
    <w:rPr>
      <w:rFonts w:ascii="Calibri Light" w:hAnsi="Calibri Light"/>
      <w:color w:val="000000" w:themeColor="text1"/>
    </w:rPr>
  </w:style>
  <w:style w:type="paragraph" w:customStyle="1" w:styleId="01Chapterheading">
    <w:name w:val="01. Chapter heading"/>
    <w:link w:val="01ChapterheadingChar"/>
    <w:qFormat/>
    <w:rsid w:val="00673EF5"/>
    <w:pPr>
      <w:spacing w:after="480"/>
    </w:pPr>
    <w:rPr>
      <w:rFonts w:ascii="Rockwell" w:hAnsi="Rockwell" w:cs="Arial"/>
      <w:color w:val="26664E" w:themeColor="accent1"/>
      <w:sz w:val="72"/>
      <w:szCs w:val="20"/>
    </w:rPr>
  </w:style>
  <w:style w:type="character" w:customStyle="1" w:styleId="01ChapterheadingChar">
    <w:name w:val="01. Chapter heading Char"/>
    <w:basedOn w:val="DefaultParagraphFont"/>
    <w:link w:val="01Chapterheading"/>
    <w:rsid w:val="00673EF5"/>
    <w:rPr>
      <w:rFonts w:ascii="Rockwell" w:hAnsi="Rockwell" w:cs="Arial"/>
      <w:color w:val="26664E" w:themeColor="accent1"/>
      <w:sz w:val="72"/>
      <w:szCs w:val="20"/>
    </w:rPr>
  </w:style>
  <w:style w:type="paragraph" w:customStyle="1" w:styleId="06VIRTBulletpoints">
    <w:name w:val="06. VIRT Bullet points"/>
    <w:basedOn w:val="VIRTBulletpoints"/>
    <w:link w:val="06VIRTBulletpointsChar"/>
    <w:qFormat/>
    <w:locked/>
    <w:rsid w:val="002229FF"/>
    <w:pPr>
      <w:numPr>
        <w:numId w:val="18"/>
      </w:numPr>
      <w:spacing w:line="276" w:lineRule="auto"/>
      <w:jc w:val="both"/>
    </w:pPr>
    <w:rPr>
      <w:rFonts w:ascii="Calibri" w:hAnsi="Calibri" w:cs="Calibri"/>
    </w:rPr>
  </w:style>
  <w:style w:type="character" w:customStyle="1" w:styleId="06VIRTBulletpointsChar">
    <w:name w:val="06. VIRT Bullet points Char"/>
    <w:basedOn w:val="DefaultParagraphFont"/>
    <w:link w:val="06VIRTBulletpoints"/>
    <w:locked/>
    <w:rsid w:val="002229FF"/>
    <w:rPr>
      <w:rFonts w:ascii="Calibri" w:hAnsi="Calibri" w:cs="Calibri"/>
      <w:color w:val="000000" w:themeColor="text1"/>
      <w:sz w:val="26"/>
      <w:szCs w:val="20"/>
    </w:rPr>
  </w:style>
  <w:style w:type="paragraph" w:customStyle="1" w:styleId="Bulletsinatable">
    <w:name w:val="Bullets in a table"/>
    <w:link w:val="BulletsinatableChar"/>
    <w:qFormat/>
    <w:locked/>
    <w:rsid w:val="00976D86"/>
    <w:pPr>
      <w:numPr>
        <w:numId w:val="1"/>
      </w:numPr>
      <w:spacing w:after="0"/>
    </w:pPr>
    <w:rPr>
      <w:rFonts w:ascii="Calibri Light" w:hAnsi="Calibri Light" w:cs="Arial"/>
      <w:bCs/>
      <w:color w:val="000000" w:themeColor="text1"/>
      <w:szCs w:val="20"/>
    </w:rPr>
  </w:style>
  <w:style w:type="character" w:customStyle="1" w:styleId="BulletsinatableChar">
    <w:name w:val="Bullets in a table Char"/>
    <w:basedOn w:val="DefaultParagraphFont"/>
    <w:link w:val="Bulletsinatable"/>
    <w:rsid w:val="00976D86"/>
    <w:rPr>
      <w:rFonts w:ascii="Calibri Light" w:hAnsi="Calibri Light" w:cs="Arial"/>
      <w:bCs/>
      <w:color w:val="000000" w:themeColor="text1"/>
      <w:szCs w:val="20"/>
    </w:rPr>
  </w:style>
  <w:style w:type="table" w:customStyle="1" w:styleId="ListTable3-Accent214">
    <w:name w:val="List Table 3 - Accent 214"/>
    <w:basedOn w:val="TableNormal"/>
    <w:next w:val="ListTable3-Accent2"/>
    <w:uiPriority w:val="48"/>
    <w:rsid w:val="0008426A"/>
    <w:pPr>
      <w:spacing w:after="0"/>
    </w:pPr>
    <w:rPr>
      <w:rFonts w:ascii="Calibri Light" w:hAnsi="Calibri Light"/>
      <w:color w:val="FFFFFF"/>
    </w:rPr>
    <w:tblPr>
      <w:tblStyleRowBandSize w:val="1"/>
      <w:tblStyleColBandSize w:val="1"/>
      <w:tblBorders>
        <w:top w:val="single" w:sz="4" w:space="0" w:color="148A5D"/>
        <w:bottom w:val="single" w:sz="4" w:space="0" w:color="148A5D"/>
      </w:tblBorders>
    </w:tblPr>
    <w:tcPr>
      <w:vAlign w:val="center"/>
    </w:tcPr>
    <w:tblStylePr w:type="firstRow">
      <w:pPr>
        <w:jc w:val="left"/>
      </w:pPr>
      <w:rPr>
        <w:rFonts w:ascii="Calibri Light" w:hAnsi="Calibri Light"/>
        <w:b/>
        <w:bCs/>
        <w:color w:val="FFFFFF"/>
        <w:sz w:val="22"/>
      </w:rPr>
      <w:tblPr/>
      <w:tcPr>
        <w:tcBorders>
          <w:top w:val="nil"/>
          <w:left w:val="nil"/>
          <w:bottom w:val="nil"/>
          <w:right w:val="nil"/>
          <w:insideH w:val="single" w:sz="4" w:space="0" w:color="26664E"/>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15">
    <w:name w:val="List Table 3 - Accent 215"/>
    <w:basedOn w:val="TableNormal"/>
    <w:next w:val="ListTable3-Accent2"/>
    <w:uiPriority w:val="48"/>
    <w:rsid w:val="003045CA"/>
    <w:pPr>
      <w:spacing w:after="0"/>
    </w:pPr>
    <w:rPr>
      <w:rFonts w:ascii="Calibri Light" w:hAnsi="Calibri Light"/>
      <w:color w:val="FFFFFF"/>
    </w:rPr>
    <w:tblPr>
      <w:tblStyleRowBandSize w:val="1"/>
      <w:tblStyleColBandSize w:val="1"/>
      <w:tblBorders>
        <w:top w:val="single" w:sz="4" w:space="0" w:color="148A5D"/>
        <w:bottom w:val="single" w:sz="4" w:space="0" w:color="148A5D"/>
      </w:tblBorders>
    </w:tblPr>
    <w:tcPr>
      <w:vAlign w:val="center"/>
    </w:tcPr>
    <w:tblStylePr w:type="firstRow">
      <w:pPr>
        <w:jc w:val="left"/>
      </w:pPr>
      <w:rPr>
        <w:rFonts w:ascii="Calibri Light" w:hAnsi="Calibri Light"/>
        <w:b/>
        <w:bCs/>
        <w:color w:val="FFFFFF"/>
        <w:sz w:val="22"/>
      </w:rPr>
      <w:tblPr/>
      <w:tcPr>
        <w:tcBorders>
          <w:top w:val="nil"/>
          <w:left w:val="nil"/>
          <w:bottom w:val="nil"/>
          <w:right w:val="nil"/>
          <w:insideH w:val="single" w:sz="4" w:space="0" w:color="26664E"/>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16">
    <w:name w:val="List Table 3 - Accent 216"/>
    <w:basedOn w:val="TableNormal"/>
    <w:next w:val="ListTable3-Accent2"/>
    <w:uiPriority w:val="48"/>
    <w:rsid w:val="00991DD7"/>
    <w:pPr>
      <w:spacing w:after="0"/>
    </w:pPr>
    <w:rPr>
      <w:rFonts w:ascii="Calibri Light" w:hAnsi="Calibri Light"/>
      <w:color w:val="FFFFFF"/>
    </w:rPr>
    <w:tblPr>
      <w:tblStyleRowBandSize w:val="1"/>
      <w:tblStyleColBandSize w:val="1"/>
      <w:tblBorders>
        <w:top w:val="single" w:sz="4" w:space="0" w:color="148A5D"/>
        <w:bottom w:val="single" w:sz="4" w:space="0" w:color="148A5D"/>
      </w:tblBorders>
    </w:tblPr>
    <w:tcPr>
      <w:vAlign w:val="center"/>
    </w:tcPr>
    <w:tblStylePr w:type="firstRow">
      <w:pPr>
        <w:jc w:val="left"/>
      </w:pPr>
      <w:rPr>
        <w:rFonts w:ascii="Calibri Light" w:hAnsi="Calibri Light"/>
        <w:b/>
        <w:bCs/>
        <w:color w:val="FFFFFF"/>
        <w:sz w:val="22"/>
      </w:rPr>
      <w:tblPr/>
      <w:tcPr>
        <w:tcBorders>
          <w:top w:val="nil"/>
          <w:left w:val="nil"/>
          <w:bottom w:val="nil"/>
          <w:right w:val="nil"/>
          <w:insideH w:val="single" w:sz="4" w:space="0" w:color="26664E"/>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8">
    <w:name w:val="List Table 3 - Accent 28"/>
    <w:basedOn w:val="TableNormal"/>
    <w:next w:val="ListTable3-Accent2"/>
    <w:uiPriority w:val="48"/>
    <w:rsid w:val="00F05128"/>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17">
    <w:name w:val="List Table 3 - Accent 217"/>
    <w:basedOn w:val="TableNormal"/>
    <w:next w:val="ListTable3-Accent2"/>
    <w:uiPriority w:val="48"/>
    <w:rsid w:val="006A7C1B"/>
    <w:pPr>
      <w:spacing w:after="0"/>
    </w:pPr>
    <w:rPr>
      <w:rFonts w:ascii="Calibri Light" w:eastAsia="Rockwell" w:hAnsi="Calibri Light" w:cs="Times New Roman"/>
      <w:color w:val="4D4D4D" w:themeColor="accent6"/>
    </w:rPr>
    <w:tblPr>
      <w:tblStyleRowBandSize w:val="1"/>
      <w:tblStyleColBandSize w:val="1"/>
      <w:tblInd w:w="0" w:type="nil"/>
      <w:tblBorders>
        <w:top w:val="single" w:sz="4" w:space="0" w:color="148A5D" w:themeColor="accent2"/>
        <w:bottom w:val="single" w:sz="4" w:space="0" w:color="148A5D" w:themeColor="accent2"/>
      </w:tblBorders>
    </w:tblPr>
    <w:tblStylePr w:type="firstRow">
      <w:pPr>
        <w:jc w:val="left"/>
      </w:pPr>
      <w:rPr>
        <w:rFonts w:ascii="Calibri Light" w:hAnsi="Calibri Light" w:cs="Calibri Light" w:hint="default"/>
        <w:b/>
        <w:bCs/>
        <w:color w:val="FFFFFF" w:themeColor="background1"/>
        <w:sz w:val="22"/>
        <w:szCs w:val="22"/>
      </w:rPr>
      <w:tblPr/>
      <w:tcPr>
        <w:tcBorders>
          <w:top w:val="nil"/>
          <w:left w:val="nil"/>
          <w:bottom w:val="nil"/>
          <w:right w:val="nil"/>
          <w:insideH w:val="single" w:sz="4" w:space="0" w:color="148A5D" w:themeColor="accent2"/>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Style2">
    <w:name w:val="Style2"/>
    <w:basedOn w:val="03VIRTHeading3"/>
    <w:link w:val="Style2Char"/>
    <w:qFormat/>
    <w:rsid w:val="00FE3EB8"/>
    <w:rPr>
      <w:b/>
      <w:bCs/>
    </w:rPr>
  </w:style>
  <w:style w:type="paragraph" w:customStyle="1" w:styleId="Style3">
    <w:name w:val="Style3"/>
    <w:basedOn w:val="02VIRTHeading2"/>
    <w:link w:val="Style3Char"/>
    <w:qFormat/>
    <w:rsid w:val="00FE3EB8"/>
    <w:pPr>
      <w:ind w:left="0" w:firstLine="0"/>
    </w:pPr>
  </w:style>
  <w:style w:type="character" w:customStyle="1" w:styleId="Style2Char">
    <w:name w:val="Style2 Char"/>
    <w:basedOn w:val="03VIRTHeading3Char"/>
    <w:link w:val="Style2"/>
    <w:rsid w:val="00FE3EB8"/>
    <w:rPr>
      <w:rFonts w:ascii="Rockwell" w:hAnsi="Rockwell" w:cs="Arial"/>
      <w:b/>
      <w:bCs/>
      <w:color w:val="0F6745" w:themeColor="accent2" w:themeShade="BF"/>
      <w:spacing w:val="-6"/>
      <w:sz w:val="30"/>
    </w:rPr>
  </w:style>
  <w:style w:type="paragraph" w:customStyle="1" w:styleId="Style4">
    <w:name w:val="Style4"/>
    <w:basedOn w:val="Chapterheading"/>
    <w:link w:val="Style4Char"/>
    <w:qFormat/>
    <w:rsid w:val="00FE3EB8"/>
  </w:style>
  <w:style w:type="character" w:customStyle="1" w:styleId="Style3Char">
    <w:name w:val="Style3 Char"/>
    <w:basedOn w:val="02VIRTHeading2Char"/>
    <w:link w:val="Style3"/>
    <w:rsid w:val="00FE3EB8"/>
    <w:rPr>
      <w:rFonts w:ascii="Rockwell" w:hAnsi="Rockwell" w:cs="Times New Roman (Body CS)"/>
      <w:color w:val="007449"/>
      <w:sz w:val="44"/>
      <w:szCs w:val="44"/>
    </w:rPr>
  </w:style>
  <w:style w:type="character" w:customStyle="1" w:styleId="Style4Char">
    <w:name w:val="Style4 Char"/>
    <w:basedOn w:val="ChapterheadingChar"/>
    <w:link w:val="Style4"/>
    <w:rsid w:val="00FE3EB8"/>
    <w:rPr>
      <w:rFonts w:ascii="Rockwell" w:hAnsi="Rockwell"/>
      <w:color w:val="26664E" w:themeColor="accent1"/>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691">
      <w:bodyDiv w:val="1"/>
      <w:marLeft w:val="0"/>
      <w:marRight w:val="0"/>
      <w:marTop w:val="0"/>
      <w:marBottom w:val="0"/>
      <w:divBdr>
        <w:top w:val="none" w:sz="0" w:space="0" w:color="auto"/>
        <w:left w:val="none" w:sz="0" w:space="0" w:color="auto"/>
        <w:bottom w:val="none" w:sz="0" w:space="0" w:color="auto"/>
        <w:right w:val="none" w:sz="0" w:space="0" w:color="auto"/>
      </w:divBdr>
    </w:div>
    <w:div w:id="18507038">
      <w:bodyDiv w:val="1"/>
      <w:marLeft w:val="0"/>
      <w:marRight w:val="0"/>
      <w:marTop w:val="0"/>
      <w:marBottom w:val="0"/>
      <w:divBdr>
        <w:top w:val="none" w:sz="0" w:space="0" w:color="auto"/>
        <w:left w:val="none" w:sz="0" w:space="0" w:color="auto"/>
        <w:bottom w:val="none" w:sz="0" w:space="0" w:color="auto"/>
        <w:right w:val="none" w:sz="0" w:space="0" w:color="auto"/>
      </w:divBdr>
    </w:div>
    <w:div w:id="21563838">
      <w:bodyDiv w:val="1"/>
      <w:marLeft w:val="0"/>
      <w:marRight w:val="0"/>
      <w:marTop w:val="0"/>
      <w:marBottom w:val="0"/>
      <w:divBdr>
        <w:top w:val="none" w:sz="0" w:space="0" w:color="auto"/>
        <w:left w:val="none" w:sz="0" w:space="0" w:color="auto"/>
        <w:bottom w:val="none" w:sz="0" w:space="0" w:color="auto"/>
        <w:right w:val="none" w:sz="0" w:space="0" w:color="auto"/>
      </w:divBdr>
    </w:div>
    <w:div w:id="26763769">
      <w:bodyDiv w:val="1"/>
      <w:marLeft w:val="0"/>
      <w:marRight w:val="0"/>
      <w:marTop w:val="0"/>
      <w:marBottom w:val="0"/>
      <w:divBdr>
        <w:top w:val="none" w:sz="0" w:space="0" w:color="auto"/>
        <w:left w:val="none" w:sz="0" w:space="0" w:color="auto"/>
        <w:bottom w:val="none" w:sz="0" w:space="0" w:color="auto"/>
        <w:right w:val="none" w:sz="0" w:space="0" w:color="auto"/>
      </w:divBdr>
    </w:div>
    <w:div w:id="55401741">
      <w:bodyDiv w:val="1"/>
      <w:marLeft w:val="0"/>
      <w:marRight w:val="0"/>
      <w:marTop w:val="0"/>
      <w:marBottom w:val="0"/>
      <w:divBdr>
        <w:top w:val="none" w:sz="0" w:space="0" w:color="auto"/>
        <w:left w:val="none" w:sz="0" w:space="0" w:color="auto"/>
        <w:bottom w:val="none" w:sz="0" w:space="0" w:color="auto"/>
        <w:right w:val="none" w:sz="0" w:space="0" w:color="auto"/>
      </w:divBdr>
    </w:div>
    <w:div w:id="67458721">
      <w:bodyDiv w:val="1"/>
      <w:marLeft w:val="0"/>
      <w:marRight w:val="0"/>
      <w:marTop w:val="0"/>
      <w:marBottom w:val="0"/>
      <w:divBdr>
        <w:top w:val="none" w:sz="0" w:space="0" w:color="auto"/>
        <w:left w:val="none" w:sz="0" w:space="0" w:color="auto"/>
        <w:bottom w:val="none" w:sz="0" w:space="0" w:color="auto"/>
        <w:right w:val="none" w:sz="0" w:space="0" w:color="auto"/>
      </w:divBdr>
    </w:div>
    <w:div w:id="74472166">
      <w:bodyDiv w:val="1"/>
      <w:marLeft w:val="0"/>
      <w:marRight w:val="0"/>
      <w:marTop w:val="0"/>
      <w:marBottom w:val="0"/>
      <w:divBdr>
        <w:top w:val="none" w:sz="0" w:space="0" w:color="auto"/>
        <w:left w:val="none" w:sz="0" w:space="0" w:color="auto"/>
        <w:bottom w:val="none" w:sz="0" w:space="0" w:color="auto"/>
        <w:right w:val="none" w:sz="0" w:space="0" w:color="auto"/>
      </w:divBdr>
    </w:div>
    <w:div w:id="89084316">
      <w:bodyDiv w:val="1"/>
      <w:marLeft w:val="0"/>
      <w:marRight w:val="0"/>
      <w:marTop w:val="0"/>
      <w:marBottom w:val="0"/>
      <w:divBdr>
        <w:top w:val="none" w:sz="0" w:space="0" w:color="auto"/>
        <w:left w:val="none" w:sz="0" w:space="0" w:color="auto"/>
        <w:bottom w:val="none" w:sz="0" w:space="0" w:color="auto"/>
        <w:right w:val="none" w:sz="0" w:space="0" w:color="auto"/>
      </w:divBdr>
    </w:div>
    <w:div w:id="91165822">
      <w:bodyDiv w:val="1"/>
      <w:marLeft w:val="0"/>
      <w:marRight w:val="0"/>
      <w:marTop w:val="0"/>
      <w:marBottom w:val="0"/>
      <w:divBdr>
        <w:top w:val="none" w:sz="0" w:space="0" w:color="auto"/>
        <w:left w:val="none" w:sz="0" w:space="0" w:color="auto"/>
        <w:bottom w:val="none" w:sz="0" w:space="0" w:color="auto"/>
        <w:right w:val="none" w:sz="0" w:space="0" w:color="auto"/>
      </w:divBdr>
    </w:div>
    <w:div w:id="95904215">
      <w:bodyDiv w:val="1"/>
      <w:marLeft w:val="0"/>
      <w:marRight w:val="0"/>
      <w:marTop w:val="0"/>
      <w:marBottom w:val="0"/>
      <w:divBdr>
        <w:top w:val="none" w:sz="0" w:space="0" w:color="auto"/>
        <w:left w:val="none" w:sz="0" w:space="0" w:color="auto"/>
        <w:bottom w:val="none" w:sz="0" w:space="0" w:color="auto"/>
        <w:right w:val="none" w:sz="0" w:space="0" w:color="auto"/>
      </w:divBdr>
    </w:div>
    <w:div w:id="98179496">
      <w:bodyDiv w:val="1"/>
      <w:marLeft w:val="0"/>
      <w:marRight w:val="0"/>
      <w:marTop w:val="0"/>
      <w:marBottom w:val="0"/>
      <w:divBdr>
        <w:top w:val="none" w:sz="0" w:space="0" w:color="auto"/>
        <w:left w:val="none" w:sz="0" w:space="0" w:color="auto"/>
        <w:bottom w:val="none" w:sz="0" w:space="0" w:color="auto"/>
        <w:right w:val="none" w:sz="0" w:space="0" w:color="auto"/>
      </w:divBdr>
    </w:div>
    <w:div w:id="108359864">
      <w:bodyDiv w:val="1"/>
      <w:marLeft w:val="0"/>
      <w:marRight w:val="0"/>
      <w:marTop w:val="0"/>
      <w:marBottom w:val="0"/>
      <w:divBdr>
        <w:top w:val="none" w:sz="0" w:space="0" w:color="auto"/>
        <w:left w:val="none" w:sz="0" w:space="0" w:color="auto"/>
        <w:bottom w:val="none" w:sz="0" w:space="0" w:color="auto"/>
        <w:right w:val="none" w:sz="0" w:space="0" w:color="auto"/>
      </w:divBdr>
      <w:divsChild>
        <w:div w:id="595014610">
          <w:marLeft w:val="547"/>
          <w:marRight w:val="0"/>
          <w:marTop w:val="0"/>
          <w:marBottom w:val="0"/>
          <w:divBdr>
            <w:top w:val="none" w:sz="0" w:space="0" w:color="auto"/>
            <w:left w:val="none" w:sz="0" w:space="0" w:color="auto"/>
            <w:bottom w:val="none" w:sz="0" w:space="0" w:color="auto"/>
            <w:right w:val="none" w:sz="0" w:space="0" w:color="auto"/>
          </w:divBdr>
        </w:div>
        <w:div w:id="2093701646">
          <w:marLeft w:val="547"/>
          <w:marRight w:val="0"/>
          <w:marTop w:val="0"/>
          <w:marBottom w:val="0"/>
          <w:divBdr>
            <w:top w:val="none" w:sz="0" w:space="0" w:color="auto"/>
            <w:left w:val="none" w:sz="0" w:space="0" w:color="auto"/>
            <w:bottom w:val="none" w:sz="0" w:space="0" w:color="auto"/>
            <w:right w:val="none" w:sz="0" w:space="0" w:color="auto"/>
          </w:divBdr>
        </w:div>
      </w:divsChild>
    </w:div>
    <w:div w:id="118378000">
      <w:bodyDiv w:val="1"/>
      <w:marLeft w:val="0"/>
      <w:marRight w:val="0"/>
      <w:marTop w:val="0"/>
      <w:marBottom w:val="0"/>
      <w:divBdr>
        <w:top w:val="none" w:sz="0" w:space="0" w:color="auto"/>
        <w:left w:val="none" w:sz="0" w:space="0" w:color="auto"/>
        <w:bottom w:val="none" w:sz="0" w:space="0" w:color="auto"/>
        <w:right w:val="none" w:sz="0" w:space="0" w:color="auto"/>
      </w:divBdr>
    </w:div>
    <w:div w:id="123164401">
      <w:bodyDiv w:val="1"/>
      <w:marLeft w:val="0"/>
      <w:marRight w:val="0"/>
      <w:marTop w:val="0"/>
      <w:marBottom w:val="0"/>
      <w:divBdr>
        <w:top w:val="none" w:sz="0" w:space="0" w:color="auto"/>
        <w:left w:val="none" w:sz="0" w:space="0" w:color="auto"/>
        <w:bottom w:val="none" w:sz="0" w:space="0" w:color="auto"/>
        <w:right w:val="none" w:sz="0" w:space="0" w:color="auto"/>
      </w:divBdr>
      <w:divsChild>
        <w:div w:id="1274557647">
          <w:marLeft w:val="547"/>
          <w:marRight w:val="0"/>
          <w:marTop w:val="0"/>
          <w:marBottom w:val="0"/>
          <w:divBdr>
            <w:top w:val="none" w:sz="0" w:space="0" w:color="auto"/>
            <w:left w:val="none" w:sz="0" w:space="0" w:color="auto"/>
            <w:bottom w:val="none" w:sz="0" w:space="0" w:color="auto"/>
            <w:right w:val="none" w:sz="0" w:space="0" w:color="auto"/>
          </w:divBdr>
        </w:div>
        <w:div w:id="1359699656">
          <w:marLeft w:val="547"/>
          <w:marRight w:val="0"/>
          <w:marTop w:val="0"/>
          <w:marBottom w:val="0"/>
          <w:divBdr>
            <w:top w:val="none" w:sz="0" w:space="0" w:color="auto"/>
            <w:left w:val="none" w:sz="0" w:space="0" w:color="auto"/>
            <w:bottom w:val="none" w:sz="0" w:space="0" w:color="auto"/>
            <w:right w:val="none" w:sz="0" w:space="0" w:color="auto"/>
          </w:divBdr>
        </w:div>
      </w:divsChild>
    </w:div>
    <w:div w:id="124859985">
      <w:bodyDiv w:val="1"/>
      <w:marLeft w:val="0"/>
      <w:marRight w:val="0"/>
      <w:marTop w:val="0"/>
      <w:marBottom w:val="0"/>
      <w:divBdr>
        <w:top w:val="none" w:sz="0" w:space="0" w:color="auto"/>
        <w:left w:val="none" w:sz="0" w:space="0" w:color="auto"/>
        <w:bottom w:val="none" w:sz="0" w:space="0" w:color="auto"/>
        <w:right w:val="none" w:sz="0" w:space="0" w:color="auto"/>
      </w:divBdr>
      <w:divsChild>
        <w:div w:id="1298995288">
          <w:marLeft w:val="0"/>
          <w:marRight w:val="0"/>
          <w:marTop w:val="0"/>
          <w:marBottom w:val="0"/>
          <w:divBdr>
            <w:top w:val="none" w:sz="0" w:space="0" w:color="auto"/>
            <w:left w:val="none" w:sz="0" w:space="0" w:color="auto"/>
            <w:bottom w:val="none" w:sz="0" w:space="0" w:color="auto"/>
            <w:right w:val="none" w:sz="0" w:space="0" w:color="auto"/>
          </w:divBdr>
        </w:div>
      </w:divsChild>
    </w:div>
    <w:div w:id="162742493">
      <w:bodyDiv w:val="1"/>
      <w:marLeft w:val="0"/>
      <w:marRight w:val="0"/>
      <w:marTop w:val="0"/>
      <w:marBottom w:val="0"/>
      <w:divBdr>
        <w:top w:val="none" w:sz="0" w:space="0" w:color="auto"/>
        <w:left w:val="none" w:sz="0" w:space="0" w:color="auto"/>
        <w:bottom w:val="none" w:sz="0" w:space="0" w:color="auto"/>
        <w:right w:val="none" w:sz="0" w:space="0" w:color="auto"/>
      </w:divBdr>
    </w:div>
    <w:div w:id="185411904">
      <w:bodyDiv w:val="1"/>
      <w:marLeft w:val="0"/>
      <w:marRight w:val="0"/>
      <w:marTop w:val="0"/>
      <w:marBottom w:val="0"/>
      <w:divBdr>
        <w:top w:val="none" w:sz="0" w:space="0" w:color="auto"/>
        <w:left w:val="none" w:sz="0" w:space="0" w:color="auto"/>
        <w:bottom w:val="none" w:sz="0" w:space="0" w:color="auto"/>
        <w:right w:val="none" w:sz="0" w:space="0" w:color="auto"/>
      </w:divBdr>
    </w:div>
    <w:div w:id="205340208">
      <w:bodyDiv w:val="1"/>
      <w:marLeft w:val="0"/>
      <w:marRight w:val="0"/>
      <w:marTop w:val="0"/>
      <w:marBottom w:val="0"/>
      <w:divBdr>
        <w:top w:val="none" w:sz="0" w:space="0" w:color="auto"/>
        <w:left w:val="none" w:sz="0" w:space="0" w:color="auto"/>
        <w:bottom w:val="none" w:sz="0" w:space="0" w:color="auto"/>
        <w:right w:val="none" w:sz="0" w:space="0" w:color="auto"/>
      </w:divBdr>
    </w:div>
    <w:div w:id="207886144">
      <w:bodyDiv w:val="1"/>
      <w:marLeft w:val="0"/>
      <w:marRight w:val="0"/>
      <w:marTop w:val="0"/>
      <w:marBottom w:val="0"/>
      <w:divBdr>
        <w:top w:val="none" w:sz="0" w:space="0" w:color="auto"/>
        <w:left w:val="none" w:sz="0" w:space="0" w:color="auto"/>
        <w:bottom w:val="none" w:sz="0" w:space="0" w:color="auto"/>
        <w:right w:val="none" w:sz="0" w:space="0" w:color="auto"/>
      </w:divBdr>
    </w:div>
    <w:div w:id="242956654">
      <w:bodyDiv w:val="1"/>
      <w:marLeft w:val="0"/>
      <w:marRight w:val="0"/>
      <w:marTop w:val="0"/>
      <w:marBottom w:val="0"/>
      <w:divBdr>
        <w:top w:val="none" w:sz="0" w:space="0" w:color="auto"/>
        <w:left w:val="none" w:sz="0" w:space="0" w:color="auto"/>
        <w:bottom w:val="none" w:sz="0" w:space="0" w:color="auto"/>
        <w:right w:val="none" w:sz="0" w:space="0" w:color="auto"/>
      </w:divBdr>
    </w:div>
    <w:div w:id="255285834">
      <w:bodyDiv w:val="1"/>
      <w:marLeft w:val="0"/>
      <w:marRight w:val="0"/>
      <w:marTop w:val="0"/>
      <w:marBottom w:val="0"/>
      <w:divBdr>
        <w:top w:val="none" w:sz="0" w:space="0" w:color="auto"/>
        <w:left w:val="none" w:sz="0" w:space="0" w:color="auto"/>
        <w:bottom w:val="none" w:sz="0" w:space="0" w:color="auto"/>
        <w:right w:val="none" w:sz="0" w:space="0" w:color="auto"/>
      </w:divBdr>
    </w:div>
    <w:div w:id="267397135">
      <w:bodyDiv w:val="1"/>
      <w:marLeft w:val="0"/>
      <w:marRight w:val="0"/>
      <w:marTop w:val="0"/>
      <w:marBottom w:val="0"/>
      <w:divBdr>
        <w:top w:val="none" w:sz="0" w:space="0" w:color="auto"/>
        <w:left w:val="none" w:sz="0" w:space="0" w:color="auto"/>
        <w:bottom w:val="none" w:sz="0" w:space="0" w:color="auto"/>
        <w:right w:val="none" w:sz="0" w:space="0" w:color="auto"/>
      </w:divBdr>
    </w:div>
    <w:div w:id="270430688">
      <w:bodyDiv w:val="1"/>
      <w:marLeft w:val="0"/>
      <w:marRight w:val="0"/>
      <w:marTop w:val="0"/>
      <w:marBottom w:val="0"/>
      <w:divBdr>
        <w:top w:val="none" w:sz="0" w:space="0" w:color="auto"/>
        <w:left w:val="none" w:sz="0" w:space="0" w:color="auto"/>
        <w:bottom w:val="none" w:sz="0" w:space="0" w:color="auto"/>
        <w:right w:val="none" w:sz="0" w:space="0" w:color="auto"/>
      </w:divBdr>
    </w:div>
    <w:div w:id="275646467">
      <w:bodyDiv w:val="1"/>
      <w:marLeft w:val="0"/>
      <w:marRight w:val="0"/>
      <w:marTop w:val="0"/>
      <w:marBottom w:val="0"/>
      <w:divBdr>
        <w:top w:val="none" w:sz="0" w:space="0" w:color="auto"/>
        <w:left w:val="none" w:sz="0" w:space="0" w:color="auto"/>
        <w:bottom w:val="none" w:sz="0" w:space="0" w:color="auto"/>
        <w:right w:val="none" w:sz="0" w:space="0" w:color="auto"/>
      </w:divBdr>
    </w:div>
    <w:div w:id="289827213">
      <w:bodyDiv w:val="1"/>
      <w:marLeft w:val="0"/>
      <w:marRight w:val="0"/>
      <w:marTop w:val="0"/>
      <w:marBottom w:val="0"/>
      <w:divBdr>
        <w:top w:val="none" w:sz="0" w:space="0" w:color="auto"/>
        <w:left w:val="none" w:sz="0" w:space="0" w:color="auto"/>
        <w:bottom w:val="none" w:sz="0" w:space="0" w:color="auto"/>
        <w:right w:val="none" w:sz="0" w:space="0" w:color="auto"/>
      </w:divBdr>
    </w:div>
    <w:div w:id="324285993">
      <w:bodyDiv w:val="1"/>
      <w:marLeft w:val="0"/>
      <w:marRight w:val="0"/>
      <w:marTop w:val="0"/>
      <w:marBottom w:val="0"/>
      <w:divBdr>
        <w:top w:val="none" w:sz="0" w:space="0" w:color="auto"/>
        <w:left w:val="none" w:sz="0" w:space="0" w:color="auto"/>
        <w:bottom w:val="none" w:sz="0" w:space="0" w:color="auto"/>
        <w:right w:val="none" w:sz="0" w:space="0" w:color="auto"/>
      </w:divBdr>
    </w:div>
    <w:div w:id="327638454">
      <w:bodyDiv w:val="1"/>
      <w:marLeft w:val="0"/>
      <w:marRight w:val="0"/>
      <w:marTop w:val="0"/>
      <w:marBottom w:val="0"/>
      <w:divBdr>
        <w:top w:val="none" w:sz="0" w:space="0" w:color="auto"/>
        <w:left w:val="none" w:sz="0" w:space="0" w:color="auto"/>
        <w:bottom w:val="none" w:sz="0" w:space="0" w:color="auto"/>
        <w:right w:val="none" w:sz="0" w:space="0" w:color="auto"/>
      </w:divBdr>
    </w:div>
    <w:div w:id="354692457">
      <w:bodyDiv w:val="1"/>
      <w:marLeft w:val="0"/>
      <w:marRight w:val="0"/>
      <w:marTop w:val="0"/>
      <w:marBottom w:val="0"/>
      <w:divBdr>
        <w:top w:val="none" w:sz="0" w:space="0" w:color="auto"/>
        <w:left w:val="none" w:sz="0" w:space="0" w:color="auto"/>
        <w:bottom w:val="none" w:sz="0" w:space="0" w:color="auto"/>
        <w:right w:val="none" w:sz="0" w:space="0" w:color="auto"/>
      </w:divBdr>
    </w:div>
    <w:div w:id="356079267">
      <w:bodyDiv w:val="1"/>
      <w:marLeft w:val="0"/>
      <w:marRight w:val="0"/>
      <w:marTop w:val="0"/>
      <w:marBottom w:val="0"/>
      <w:divBdr>
        <w:top w:val="none" w:sz="0" w:space="0" w:color="auto"/>
        <w:left w:val="none" w:sz="0" w:space="0" w:color="auto"/>
        <w:bottom w:val="none" w:sz="0" w:space="0" w:color="auto"/>
        <w:right w:val="none" w:sz="0" w:space="0" w:color="auto"/>
      </w:divBdr>
    </w:div>
    <w:div w:id="360664082">
      <w:bodyDiv w:val="1"/>
      <w:marLeft w:val="0"/>
      <w:marRight w:val="0"/>
      <w:marTop w:val="0"/>
      <w:marBottom w:val="0"/>
      <w:divBdr>
        <w:top w:val="none" w:sz="0" w:space="0" w:color="auto"/>
        <w:left w:val="none" w:sz="0" w:space="0" w:color="auto"/>
        <w:bottom w:val="none" w:sz="0" w:space="0" w:color="auto"/>
        <w:right w:val="none" w:sz="0" w:space="0" w:color="auto"/>
      </w:divBdr>
      <w:divsChild>
        <w:div w:id="297999162">
          <w:marLeft w:val="547"/>
          <w:marRight w:val="0"/>
          <w:marTop w:val="120"/>
          <w:marBottom w:val="120"/>
          <w:divBdr>
            <w:top w:val="none" w:sz="0" w:space="0" w:color="auto"/>
            <w:left w:val="none" w:sz="0" w:space="0" w:color="auto"/>
            <w:bottom w:val="none" w:sz="0" w:space="0" w:color="auto"/>
            <w:right w:val="none" w:sz="0" w:space="0" w:color="auto"/>
          </w:divBdr>
        </w:div>
        <w:div w:id="1638990753">
          <w:marLeft w:val="547"/>
          <w:marRight w:val="0"/>
          <w:marTop w:val="120"/>
          <w:marBottom w:val="120"/>
          <w:divBdr>
            <w:top w:val="none" w:sz="0" w:space="0" w:color="auto"/>
            <w:left w:val="none" w:sz="0" w:space="0" w:color="auto"/>
            <w:bottom w:val="none" w:sz="0" w:space="0" w:color="auto"/>
            <w:right w:val="none" w:sz="0" w:space="0" w:color="auto"/>
          </w:divBdr>
        </w:div>
        <w:div w:id="1838882488">
          <w:marLeft w:val="547"/>
          <w:marRight w:val="0"/>
          <w:marTop w:val="120"/>
          <w:marBottom w:val="120"/>
          <w:divBdr>
            <w:top w:val="none" w:sz="0" w:space="0" w:color="auto"/>
            <w:left w:val="none" w:sz="0" w:space="0" w:color="auto"/>
            <w:bottom w:val="none" w:sz="0" w:space="0" w:color="auto"/>
            <w:right w:val="none" w:sz="0" w:space="0" w:color="auto"/>
          </w:divBdr>
        </w:div>
      </w:divsChild>
    </w:div>
    <w:div w:id="381832517">
      <w:bodyDiv w:val="1"/>
      <w:marLeft w:val="0"/>
      <w:marRight w:val="0"/>
      <w:marTop w:val="0"/>
      <w:marBottom w:val="0"/>
      <w:divBdr>
        <w:top w:val="none" w:sz="0" w:space="0" w:color="auto"/>
        <w:left w:val="none" w:sz="0" w:space="0" w:color="auto"/>
        <w:bottom w:val="none" w:sz="0" w:space="0" w:color="auto"/>
        <w:right w:val="none" w:sz="0" w:space="0" w:color="auto"/>
      </w:divBdr>
    </w:div>
    <w:div w:id="386495062">
      <w:bodyDiv w:val="1"/>
      <w:marLeft w:val="0"/>
      <w:marRight w:val="0"/>
      <w:marTop w:val="0"/>
      <w:marBottom w:val="0"/>
      <w:divBdr>
        <w:top w:val="none" w:sz="0" w:space="0" w:color="auto"/>
        <w:left w:val="none" w:sz="0" w:space="0" w:color="auto"/>
        <w:bottom w:val="none" w:sz="0" w:space="0" w:color="auto"/>
        <w:right w:val="none" w:sz="0" w:space="0" w:color="auto"/>
      </w:divBdr>
    </w:div>
    <w:div w:id="393891442">
      <w:bodyDiv w:val="1"/>
      <w:marLeft w:val="0"/>
      <w:marRight w:val="0"/>
      <w:marTop w:val="0"/>
      <w:marBottom w:val="0"/>
      <w:divBdr>
        <w:top w:val="none" w:sz="0" w:space="0" w:color="auto"/>
        <w:left w:val="none" w:sz="0" w:space="0" w:color="auto"/>
        <w:bottom w:val="none" w:sz="0" w:space="0" w:color="auto"/>
        <w:right w:val="none" w:sz="0" w:space="0" w:color="auto"/>
      </w:divBdr>
    </w:div>
    <w:div w:id="394355917">
      <w:bodyDiv w:val="1"/>
      <w:marLeft w:val="0"/>
      <w:marRight w:val="0"/>
      <w:marTop w:val="0"/>
      <w:marBottom w:val="0"/>
      <w:divBdr>
        <w:top w:val="none" w:sz="0" w:space="0" w:color="auto"/>
        <w:left w:val="none" w:sz="0" w:space="0" w:color="auto"/>
        <w:bottom w:val="none" w:sz="0" w:space="0" w:color="auto"/>
        <w:right w:val="none" w:sz="0" w:space="0" w:color="auto"/>
      </w:divBdr>
      <w:divsChild>
        <w:div w:id="12920105">
          <w:marLeft w:val="547"/>
          <w:marRight w:val="0"/>
          <w:marTop w:val="0"/>
          <w:marBottom w:val="0"/>
          <w:divBdr>
            <w:top w:val="none" w:sz="0" w:space="0" w:color="auto"/>
            <w:left w:val="none" w:sz="0" w:space="0" w:color="auto"/>
            <w:bottom w:val="none" w:sz="0" w:space="0" w:color="auto"/>
            <w:right w:val="none" w:sz="0" w:space="0" w:color="auto"/>
          </w:divBdr>
        </w:div>
        <w:div w:id="891161049">
          <w:marLeft w:val="547"/>
          <w:marRight w:val="0"/>
          <w:marTop w:val="0"/>
          <w:marBottom w:val="0"/>
          <w:divBdr>
            <w:top w:val="none" w:sz="0" w:space="0" w:color="auto"/>
            <w:left w:val="none" w:sz="0" w:space="0" w:color="auto"/>
            <w:bottom w:val="none" w:sz="0" w:space="0" w:color="auto"/>
            <w:right w:val="none" w:sz="0" w:space="0" w:color="auto"/>
          </w:divBdr>
        </w:div>
        <w:div w:id="1605772549">
          <w:marLeft w:val="547"/>
          <w:marRight w:val="0"/>
          <w:marTop w:val="0"/>
          <w:marBottom w:val="0"/>
          <w:divBdr>
            <w:top w:val="none" w:sz="0" w:space="0" w:color="auto"/>
            <w:left w:val="none" w:sz="0" w:space="0" w:color="auto"/>
            <w:bottom w:val="none" w:sz="0" w:space="0" w:color="auto"/>
            <w:right w:val="none" w:sz="0" w:space="0" w:color="auto"/>
          </w:divBdr>
        </w:div>
        <w:div w:id="1632708296">
          <w:marLeft w:val="547"/>
          <w:marRight w:val="0"/>
          <w:marTop w:val="0"/>
          <w:marBottom w:val="0"/>
          <w:divBdr>
            <w:top w:val="none" w:sz="0" w:space="0" w:color="auto"/>
            <w:left w:val="none" w:sz="0" w:space="0" w:color="auto"/>
            <w:bottom w:val="none" w:sz="0" w:space="0" w:color="auto"/>
            <w:right w:val="none" w:sz="0" w:space="0" w:color="auto"/>
          </w:divBdr>
        </w:div>
      </w:divsChild>
    </w:div>
    <w:div w:id="405693063">
      <w:bodyDiv w:val="1"/>
      <w:marLeft w:val="0"/>
      <w:marRight w:val="0"/>
      <w:marTop w:val="0"/>
      <w:marBottom w:val="0"/>
      <w:divBdr>
        <w:top w:val="none" w:sz="0" w:space="0" w:color="auto"/>
        <w:left w:val="none" w:sz="0" w:space="0" w:color="auto"/>
        <w:bottom w:val="none" w:sz="0" w:space="0" w:color="auto"/>
        <w:right w:val="none" w:sz="0" w:space="0" w:color="auto"/>
      </w:divBdr>
    </w:div>
    <w:div w:id="407264051">
      <w:bodyDiv w:val="1"/>
      <w:marLeft w:val="0"/>
      <w:marRight w:val="0"/>
      <w:marTop w:val="0"/>
      <w:marBottom w:val="0"/>
      <w:divBdr>
        <w:top w:val="none" w:sz="0" w:space="0" w:color="auto"/>
        <w:left w:val="none" w:sz="0" w:space="0" w:color="auto"/>
        <w:bottom w:val="none" w:sz="0" w:space="0" w:color="auto"/>
        <w:right w:val="none" w:sz="0" w:space="0" w:color="auto"/>
      </w:divBdr>
    </w:div>
    <w:div w:id="412706025">
      <w:bodyDiv w:val="1"/>
      <w:marLeft w:val="0"/>
      <w:marRight w:val="0"/>
      <w:marTop w:val="0"/>
      <w:marBottom w:val="0"/>
      <w:divBdr>
        <w:top w:val="none" w:sz="0" w:space="0" w:color="auto"/>
        <w:left w:val="none" w:sz="0" w:space="0" w:color="auto"/>
        <w:bottom w:val="none" w:sz="0" w:space="0" w:color="auto"/>
        <w:right w:val="none" w:sz="0" w:space="0" w:color="auto"/>
      </w:divBdr>
    </w:div>
    <w:div w:id="419251793">
      <w:bodyDiv w:val="1"/>
      <w:marLeft w:val="0"/>
      <w:marRight w:val="0"/>
      <w:marTop w:val="0"/>
      <w:marBottom w:val="0"/>
      <w:divBdr>
        <w:top w:val="none" w:sz="0" w:space="0" w:color="auto"/>
        <w:left w:val="none" w:sz="0" w:space="0" w:color="auto"/>
        <w:bottom w:val="none" w:sz="0" w:space="0" w:color="auto"/>
        <w:right w:val="none" w:sz="0" w:space="0" w:color="auto"/>
      </w:divBdr>
    </w:div>
    <w:div w:id="421150404">
      <w:bodyDiv w:val="1"/>
      <w:marLeft w:val="0"/>
      <w:marRight w:val="0"/>
      <w:marTop w:val="0"/>
      <w:marBottom w:val="0"/>
      <w:divBdr>
        <w:top w:val="none" w:sz="0" w:space="0" w:color="auto"/>
        <w:left w:val="none" w:sz="0" w:space="0" w:color="auto"/>
        <w:bottom w:val="none" w:sz="0" w:space="0" w:color="auto"/>
        <w:right w:val="none" w:sz="0" w:space="0" w:color="auto"/>
      </w:divBdr>
    </w:div>
    <w:div w:id="456416890">
      <w:bodyDiv w:val="1"/>
      <w:marLeft w:val="0"/>
      <w:marRight w:val="0"/>
      <w:marTop w:val="0"/>
      <w:marBottom w:val="0"/>
      <w:divBdr>
        <w:top w:val="none" w:sz="0" w:space="0" w:color="auto"/>
        <w:left w:val="none" w:sz="0" w:space="0" w:color="auto"/>
        <w:bottom w:val="none" w:sz="0" w:space="0" w:color="auto"/>
        <w:right w:val="none" w:sz="0" w:space="0" w:color="auto"/>
      </w:divBdr>
    </w:div>
    <w:div w:id="468783544">
      <w:bodyDiv w:val="1"/>
      <w:marLeft w:val="0"/>
      <w:marRight w:val="0"/>
      <w:marTop w:val="0"/>
      <w:marBottom w:val="0"/>
      <w:divBdr>
        <w:top w:val="none" w:sz="0" w:space="0" w:color="auto"/>
        <w:left w:val="none" w:sz="0" w:space="0" w:color="auto"/>
        <w:bottom w:val="none" w:sz="0" w:space="0" w:color="auto"/>
        <w:right w:val="none" w:sz="0" w:space="0" w:color="auto"/>
      </w:divBdr>
    </w:div>
    <w:div w:id="471365034">
      <w:bodyDiv w:val="1"/>
      <w:marLeft w:val="0"/>
      <w:marRight w:val="0"/>
      <w:marTop w:val="0"/>
      <w:marBottom w:val="0"/>
      <w:divBdr>
        <w:top w:val="none" w:sz="0" w:space="0" w:color="auto"/>
        <w:left w:val="none" w:sz="0" w:space="0" w:color="auto"/>
        <w:bottom w:val="none" w:sz="0" w:space="0" w:color="auto"/>
        <w:right w:val="none" w:sz="0" w:space="0" w:color="auto"/>
      </w:divBdr>
    </w:div>
    <w:div w:id="482893957">
      <w:bodyDiv w:val="1"/>
      <w:marLeft w:val="0"/>
      <w:marRight w:val="0"/>
      <w:marTop w:val="0"/>
      <w:marBottom w:val="0"/>
      <w:divBdr>
        <w:top w:val="none" w:sz="0" w:space="0" w:color="auto"/>
        <w:left w:val="none" w:sz="0" w:space="0" w:color="auto"/>
        <w:bottom w:val="none" w:sz="0" w:space="0" w:color="auto"/>
        <w:right w:val="none" w:sz="0" w:space="0" w:color="auto"/>
      </w:divBdr>
    </w:div>
    <w:div w:id="483473342">
      <w:bodyDiv w:val="1"/>
      <w:marLeft w:val="0"/>
      <w:marRight w:val="0"/>
      <w:marTop w:val="0"/>
      <w:marBottom w:val="0"/>
      <w:divBdr>
        <w:top w:val="none" w:sz="0" w:space="0" w:color="auto"/>
        <w:left w:val="none" w:sz="0" w:space="0" w:color="auto"/>
        <w:bottom w:val="none" w:sz="0" w:space="0" w:color="auto"/>
        <w:right w:val="none" w:sz="0" w:space="0" w:color="auto"/>
      </w:divBdr>
    </w:div>
    <w:div w:id="506821790">
      <w:bodyDiv w:val="1"/>
      <w:marLeft w:val="0"/>
      <w:marRight w:val="0"/>
      <w:marTop w:val="0"/>
      <w:marBottom w:val="0"/>
      <w:divBdr>
        <w:top w:val="none" w:sz="0" w:space="0" w:color="auto"/>
        <w:left w:val="none" w:sz="0" w:space="0" w:color="auto"/>
        <w:bottom w:val="none" w:sz="0" w:space="0" w:color="auto"/>
        <w:right w:val="none" w:sz="0" w:space="0" w:color="auto"/>
      </w:divBdr>
    </w:div>
    <w:div w:id="535966096">
      <w:bodyDiv w:val="1"/>
      <w:marLeft w:val="0"/>
      <w:marRight w:val="0"/>
      <w:marTop w:val="0"/>
      <w:marBottom w:val="0"/>
      <w:divBdr>
        <w:top w:val="none" w:sz="0" w:space="0" w:color="auto"/>
        <w:left w:val="none" w:sz="0" w:space="0" w:color="auto"/>
        <w:bottom w:val="none" w:sz="0" w:space="0" w:color="auto"/>
        <w:right w:val="none" w:sz="0" w:space="0" w:color="auto"/>
      </w:divBdr>
    </w:div>
    <w:div w:id="545919642">
      <w:bodyDiv w:val="1"/>
      <w:marLeft w:val="0"/>
      <w:marRight w:val="0"/>
      <w:marTop w:val="0"/>
      <w:marBottom w:val="0"/>
      <w:divBdr>
        <w:top w:val="none" w:sz="0" w:space="0" w:color="auto"/>
        <w:left w:val="none" w:sz="0" w:space="0" w:color="auto"/>
        <w:bottom w:val="none" w:sz="0" w:space="0" w:color="auto"/>
        <w:right w:val="none" w:sz="0" w:space="0" w:color="auto"/>
      </w:divBdr>
    </w:div>
    <w:div w:id="553548337">
      <w:bodyDiv w:val="1"/>
      <w:marLeft w:val="0"/>
      <w:marRight w:val="0"/>
      <w:marTop w:val="0"/>
      <w:marBottom w:val="0"/>
      <w:divBdr>
        <w:top w:val="none" w:sz="0" w:space="0" w:color="auto"/>
        <w:left w:val="none" w:sz="0" w:space="0" w:color="auto"/>
        <w:bottom w:val="none" w:sz="0" w:space="0" w:color="auto"/>
        <w:right w:val="none" w:sz="0" w:space="0" w:color="auto"/>
      </w:divBdr>
      <w:divsChild>
        <w:div w:id="1360006599">
          <w:marLeft w:val="0"/>
          <w:marRight w:val="0"/>
          <w:marTop w:val="0"/>
          <w:marBottom w:val="0"/>
          <w:divBdr>
            <w:top w:val="none" w:sz="0" w:space="0" w:color="auto"/>
            <w:left w:val="none" w:sz="0" w:space="0" w:color="auto"/>
            <w:bottom w:val="none" w:sz="0" w:space="0" w:color="auto"/>
            <w:right w:val="none" w:sz="0" w:space="0" w:color="auto"/>
          </w:divBdr>
        </w:div>
      </w:divsChild>
    </w:div>
    <w:div w:id="556278172">
      <w:bodyDiv w:val="1"/>
      <w:marLeft w:val="0"/>
      <w:marRight w:val="0"/>
      <w:marTop w:val="0"/>
      <w:marBottom w:val="0"/>
      <w:divBdr>
        <w:top w:val="none" w:sz="0" w:space="0" w:color="auto"/>
        <w:left w:val="none" w:sz="0" w:space="0" w:color="auto"/>
        <w:bottom w:val="none" w:sz="0" w:space="0" w:color="auto"/>
        <w:right w:val="none" w:sz="0" w:space="0" w:color="auto"/>
      </w:divBdr>
    </w:div>
    <w:div w:id="584073947">
      <w:bodyDiv w:val="1"/>
      <w:marLeft w:val="0"/>
      <w:marRight w:val="0"/>
      <w:marTop w:val="0"/>
      <w:marBottom w:val="0"/>
      <w:divBdr>
        <w:top w:val="none" w:sz="0" w:space="0" w:color="auto"/>
        <w:left w:val="none" w:sz="0" w:space="0" w:color="auto"/>
        <w:bottom w:val="none" w:sz="0" w:space="0" w:color="auto"/>
        <w:right w:val="none" w:sz="0" w:space="0" w:color="auto"/>
      </w:divBdr>
    </w:div>
    <w:div w:id="596405761">
      <w:bodyDiv w:val="1"/>
      <w:marLeft w:val="0"/>
      <w:marRight w:val="0"/>
      <w:marTop w:val="0"/>
      <w:marBottom w:val="0"/>
      <w:divBdr>
        <w:top w:val="none" w:sz="0" w:space="0" w:color="auto"/>
        <w:left w:val="none" w:sz="0" w:space="0" w:color="auto"/>
        <w:bottom w:val="none" w:sz="0" w:space="0" w:color="auto"/>
        <w:right w:val="none" w:sz="0" w:space="0" w:color="auto"/>
      </w:divBdr>
    </w:div>
    <w:div w:id="599802915">
      <w:bodyDiv w:val="1"/>
      <w:marLeft w:val="0"/>
      <w:marRight w:val="0"/>
      <w:marTop w:val="0"/>
      <w:marBottom w:val="0"/>
      <w:divBdr>
        <w:top w:val="none" w:sz="0" w:space="0" w:color="auto"/>
        <w:left w:val="none" w:sz="0" w:space="0" w:color="auto"/>
        <w:bottom w:val="none" w:sz="0" w:space="0" w:color="auto"/>
        <w:right w:val="none" w:sz="0" w:space="0" w:color="auto"/>
      </w:divBdr>
    </w:div>
    <w:div w:id="626813102">
      <w:bodyDiv w:val="1"/>
      <w:marLeft w:val="0"/>
      <w:marRight w:val="0"/>
      <w:marTop w:val="0"/>
      <w:marBottom w:val="0"/>
      <w:divBdr>
        <w:top w:val="none" w:sz="0" w:space="0" w:color="auto"/>
        <w:left w:val="none" w:sz="0" w:space="0" w:color="auto"/>
        <w:bottom w:val="none" w:sz="0" w:space="0" w:color="auto"/>
        <w:right w:val="none" w:sz="0" w:space="0" w:color="auto"/>
      </w:divBdr>
    </w:div>
    <w:div w:id="628702299">
      <w:bodyDiv w:val="1"/>
      <w:marLeft w:val="0"/>
      <w:marRight w:val="0"/>
      <w:marTop w:val="0"/>
      <w:marBottom w:val="0"/>
      <w:divBdr>
        <w:top w:val="none" w:sz="0" w:space="0" w:color="auto"/>
        <w:left w:val="none" w:sz="0" w:space="0" w:color="auto"/>
        <w:bottom w:val="none" w:sz="0" w:space="0" w:color="auto"/>
        <w:right w:val="none" w:sz="0" w:space="0" w:color="auto"/>
      </w:divBdr>
    </w:div>
    <w:div w:id="628781033">
      <w:bodyDiv w:val="1"/>
      <w:marLeft w:val="0"/>
      <w:marRight w:val="0"/>
      <w:marTop w:val="0"/>
      <w:marBottom w:val="0"/>
      <w:divBdr>
        <w:top w:val="none" w:sz="0" w:space="0" w:color="auto"/>
        <w:left w:val="none" w:sz="0" w:space="0" w:color="auto"/>
        <w:bottom w:val="none" w:sz="0" w:space="0" w:color="auto"/>
        <w:right w:val="none" w:sz="0" w:space="0" w:color="auto"/>
      </w:divBdr>
    </w:div>
    <w:div w:id="640188400">
      <w:bodyDiv w:val="1"/>
      <w:marLeft w:val="0"/>
      <w:marRight w:val="0"/>
      <w:marTop w:val="0"/>
      <w:marBottom w:val="0"/>
      <w:divBdr>
        <w:top w:val="none" w:sz="0" w:space="0" w:color="auto"/>
        <w:left w:val="none" w:sz="0" w:space="0" w:color="auto"/>
        <w:bottom w:val="none" w:sz="0" w:space="0" w:color="auto"/>
        <w:right w:val="none" w:sz="0" w:space="0" w:color="auto"/>
      </w:divBdr>
    </w:div>
    <w:div w:id="648680115">
      <w:bodyDiv w:val="1"/>
      <w:marLeft w:val="0"/>
      <w:marRight w:val="0"/>
      <w:marTop w:val="0"/>
      <w:marBottom w:val="0"/>
      <w:divBdr>
        <w:top w:val="none" w:sz="0" w:space="0" w:color="auto"/>
        <w:left w:val="none" w:sz="0" w:space="0" w:color="auto"/>
        <w:bottom w:val="none" w:sz="0" w:space="0" w:color="auto"/>
        <w:right w:val="none" w:sz="0" w:space="0" w:color="auto"/>
      </w:divBdr>
    </w:div>
    <w:div w:id="655307085">
      <w:bodyDiv w:val="1"/>
      <w:marLeft w:val="0"/>
      <w:marRight w:val="0"/>
      <w:marTop w:val="0"/>
      <w:marBottom w:val="0"/>
      <w:divBdr>
        <w:top w:val="none" w:sz="0" w:space="0" w:color="auto"/>
        <w:left w:val="none" w:sz="0" w:space="0" w:color="auto"/>
        <w:bottom w:val="none" w:sz="0" w:space="0" w:color="auto"/>
        <w:right w:val="none" w:sz="0" w:space="0" w:color="auto"/>
      </w:divBdr>
    </w:div>
    <w:div w:id="660040610">
      <w:bodyDiv w:val="1"/>
      <w:marLeft w:val="0"/>
      <w:marRight w:val="0"/>
      <w:marTop w:val="0"/>
      <w:marBottom w:val="0"/>
      <w:divBdr>
        <w:top w:val="none" w:sz="0" w:space="0" w:color="auto"/>
        <w:left w:val="none" w:sz="0" w:space="0" w:color="auto"/>
        <w:bottom w:val="none" w:sz="0" w:space="0" w:color="auto"/>
        <w:right w:val="none" w:sz="0" w:space="0" w:color="auto"/>
      </w:divBdr>
    </w:div>
    <w:div w:id="667750283">
      <w:bodyDiv w:val="1"/>
      <w:marLeft w:val="0"/>
      <w:marRight w:val="0"/>
      <w:marTop w:val="0"/>
      <w:marBottom w:val="0"/>
      <w:divBdr>
        <w:top w:val="none" w:sz="0" w:space="0" w:color="auto"/>
        <w:left w:val="none" w:sz="0" w:space="0" w:color="auto"/>
        <w:bottom w:val="none" w:sz="0" w:space="0" w:color="auto"/>
        <w:right w:val="none" w:sz="0" w:space="0" w:color="auto"/>
      </w:divBdr>
    </w:div>
    <w:div w:id="668144474">
      <w:bodyDiv w:val="1"/>
      <w:marLeft w:val="0"/>
      <w:marRight w:val="0"/>
      <w:marTop w:val="0"/>
      <w:marBottom w:val="0"/>
      <w:divBdr>
        <w:top w:val="none" w:sz="0" w:space="0" w:color="auto"/>
        <w:left w:val="none" w:sz="0" w:space="0" w:color="auto"/>
        <w:bottom w:val="none" w:sz="0" w:space="0" w:color="auto"/>
        <w:right w:val="none" w:sz="0" w:space="0" w:color="auto"/>
      </w:divBdr>
    </w:div>
    <w:div w:id="678309845">
      <w:bodyDiv w:val="1"/>
      <w:marLeft w:val="0"/>
      <w:marRight w:val="0"/>
      <w:marTop w:val="0"/>
      <w:marBottom w:val="0"/>
      <w:divBdr>
        <w:top w:val="none" w:sz="0" w:space="0" w:color="auto"/>
        <w:left w:val="none" w:sz="0" w:space="0" w:color="auto"/>
        <w:bottom w:val="none" w:sz="0" w:space="0" w:color="auto"/>
        <w:right w:val="none" w:sz="0" w:space="0" w:color="auto"/>
      </w:divBdr>
    </w:div>
    <w:div w:id="685836961">
      <w:bodyDiv w:val="1"/>
      <w:marLeft w:val="0"/>
      <w:marRight w:val="0"/>
      <w:marTop w:val="0"/>
      <w:marBottom w:val="0"/>
      <w:divBdr>
        <w:top w:val="none" w:sz="0" w:space="0" w:color="auto"/>
        <w:left w:val="none" w:sz="0" w:space="0" w:color="auto"/>
        <w:bottom w:val="none" w:sz="0" w:space="0" w:color="auto"/>
        <w:right w:val="none" w:sz="0" w:space="0" w:color="auto"/>
      </w:divBdr>
    </w:div>
    <w:div w:id="692459813">
      <w:bodyDiv w:val="1"/>
      <w:marLeft w:val="0"/>
      <w:marRight w:val="0"/>
      <w:marTop w:val="0"/>
      <w:marBottom w:val="0"/>
      <w:divBdr>
        <w:top w:val="none" w:sz="0" w:space="0" w:color="auto"/>
        <w:left w:val="none" w:sz="0" w:space="0" w:color="auto"/>
        <w:bottom w:val="none" w:sz="0" w:space="0" w:color="auto"/>
        <w:right w:val="none" w:sz="0" w:space="0" w:color="auto"/>
      </w:divBdr>
    </w:div>
    <w:div w:id="694112001">
      <w:bodyDiv w:val="1"/>
      <w:marLeft w:val="0"/>
      <w:marRight w:val="0"/>
      <w:marTop w:val="0"/>
      <w:marBottom w:val="0"/>
      <w:divBdr>
        <w:top w:val="none" w:sz="0" w:space="0" w:color="auto"/>
        <w:left w:val="none" w:sz="0" w:space="0" w:color="auto"/>
        <w:bottom w:val="none" w:sz="0" w:space="0" w:color="auto"/>
        <w:right w:val="none" w:sz="0" w:space="0" w:color="auto"/>
      </w:divBdr>
      <w:divsChild>
        <w:div w:id="273250974">
          <w:marLeft w:val="0"/>
          <w:marRight w:val="0"/>
          <w:marTop w:val="0"/>
          <w:marBottom w:val="0"/>
          <w:divBdr>
            <w:top w:val="none" w:sz="0" w:space="0" w:color="auto"/>
            <w:left w:val="none" w:sz="0" w:space="0" w:color="auto"/>
            <w:bottom w:val="none" w:sz="0" w:space="0" w:color="auto"/>
            <w:right w:val="none" w:sz="0" w:space="0" w:color="auto"/>
          </w:divBdr>
        </w:div>
      </w:divsChild>
    </w:div>
    <w:div w:id="701437788">
      <w:bodyDiv w:val="1"/>
      <w:marLeft w:val="0"/>
      <w:marRight w:val="0"/>
      <w:marTop w:val="0"/>
      <w:marBottom w:val="0"/>
      <w:divBdr>
        <w:top w:val="none" w:sz="0" w:space="0" w:color="auto"/>
        <w:left w:val="none" w:sz="0" w:space="0" w:color="auto"/>
        <w:bottom w:val="none" w:sz="0" w:space="0" w:color="auto"/>
        <w:right w:val="none" w:sz="0" w:space="0" w:color="auto"/>
      </w:divBdr>
    </w:div>
    <w:div w:id="713579714">
      <w:bodyDiv w:val="1"/>
      <w:marLeft w:val="0"/>
      <w:marRight w:val="0"/>
      <w:marTop w:val="0"/>
      <w:marBottom w:val="0"/>
      <w:divBdr>
        <w:top w:val="none" w:sz="0" w:space="0" w:color="auto"/>
        <w:left w:val="none" w:sz="0" w:space="0" w:color="auto"/>
        <w:bottom w:val="none" w:sz="0" w:space="0" w:color="auto"/>
        <w:right w:val="none" w:sz="0" w:space="0" w:color="auto"/>
      </w:divBdr>
    </w:div>
    <w:div w:id="716665701">
      <w:bodyDiv w:val="1"/>
      <w:marLeft w:val="0"/>
      <w:marRight w:val="0"/>
      <w:marTop w:val="0"/>
      <w:marBottom w:val="0"/>
      <w:divBdr>
        <w:top w:val="none" w:sz="0" w:space="0" w:color="auto"/>
        <w:left w:val="none" w:sz="0" w:space="0" w:color="auto"/>
        <w:bottom w:val="none" w:sz="0" w:space="0" w:color="auto"/>
        <w:right w:val="none" w:sz="0" w:space="0" w:color="auto"/>
      </w:divBdr>
      <w:divsChild>
        <w:div w:id="200481608">
          <w:marLeft w:val="0"/>
          <w:marRight w:val="0"/>
          <w:marTop w:val="0"/>
          <w:marBottom w:val="0"/>
          <w:divBdr>
            <w:top w:val="none" w:sz="0" w:space="0" w:color="auto"/>
            <w:left w:val="none" w:sz="0" w:space="0" w:color="auto"/>
            <w:bottom w:val="none" w:sz="0" w:space="0" w:color="auto"/>
            <w:right w:val="none" w:sz="0" w:space="0" w:color="auto"/>
          </w:divBdr>
        </w:div>
      </w:divsChild>
    </w:div>
    <w:div w:id="719788091">
      <w:bodyDiv w:val="1"/>
      <w:marLeft w:val="0"/>
      <w:marRight w:val="0"/>
      <w:marTop w:val="0"/>
      <w:marBottom w:val="0"/>
      <w:divBdr>
        <w:top w:val="none" w:sz="0" w:space="0" w:color="auto"/>
        <w:left w:val="none" w:sz="0" w:space="0" w:color="auto"/>
        <w:bottom w:val="none" w:sz="0" w:space="0" w:color="auto"/>
        <w:right w:val="none" w:sz="0" w:space="0" w:color="auto"/>
      </w:divBdr>
      <w:divsChild>
        <w:div w:id="201334961">
          <w:marLeft w:val="0"/>
          <w:marRight w:val="0"/>
          <w:marTop w:val="0"/>
          <w:marBottom w:val="0"/>
          <w:divBdr>
            <w:top w:val="none" w:sz="0" w:space="0" w:color="auto"/>
            <w:left w:val="none" w:sz="0" w:space="0" w:color="auto"/>
            <w:bottom w:val="none" w:sz="0" w:space="0" w:color="auto"/>
            <w:right w:val="none" w:sz="0" w:space="0" w:color="auto"/>
          </w:divBdr>
        </w:div>
      </w:divsChild>
    </w:div>
    <w:div w:id="720401360">
      <w:bodyDiv w:val="1"/>
      <w:marLeft w:val="0"/>
      <w:marRight w:val="0"/>
      <w:marTop w:val="0"/>
      <w:marBottom w:val="0"/>
      <w:divBdr>
        <w:top w:val="none" w:sz="0" w:space="0" w:color="auto"/>
        <w:left w:val="none" w:sz="0" w:space="0" w:color="auto"/>
        <w:bottom w:val="none" w:sz="0" w:space="0" w:color="auto"/>
        <w:right w:val="none" w:sz="0" w:space="0" w:color="auto"/>
      </w:divBdr>
    </w:div>
    <w:div w:id="724062199">
      <w:bodyDiv w:val="1"/>
      <w:marLeft w:val="0"/>
      <w:marRight w:val="0"/>
      <w:marTop w:val="0"/>
      <w:marBottom w:val="0"/>
      <w:divBdr>
        <w:top w:val="none" w:sz="0" w:space="0" w:color="auto"/>
        <w:left w:val="none" w:sz="0" w:space="0" w:color="auto"/>
        <w:bottom w:val="none" w:sz="0" w:space="0" w:color="auto"/>
        <w:right w:val="none" w:sz="0" w:space="0" w:color="auto"/>
      </w:divBdr>
    </w:div>
    <w:div w:id="733622404">
      <w:bodyDiv w:val="1"/>
      <w:marLeft w:val="0"/>
      <w:marRight w:val="0"/>
      <w:marTop w:val="0"/>
      <w:marBottom w:val="0"/>
      <w:divBdr>
        <w:top w:val="none" w:sz="0" w:space="0" w:color="auto"/>
        <w:left w:val="none" w:sz="0" w:space="0" w:color="auto"/>
        <w:bottom w:val="none" w:sz="0" w:space="0" w:color="auto"/>
        <w:right w:val="none" w:sz="0" w:space="0" w:color="auto"/>
      </w:divBdr>
    </w:div>
    <w:div w:id="752974413">
      <w:bodyDiv w:val="1"/>
      <w:marLeft w:val="0"/>
      <w:marRight w:val="0"/>
      <w:marTop w:val="0"/>
      <w:marBottom w:val="0"/>
      <w:divBdr>
        <w:top w:val="none" w:sz="0" w:space="0" w:color="auto"/>
        <w:left w:val="none" w:sz="0" w:space="0" w:color="auto"/>
        <w:bottom w:val="none" w:sz="0" w:space="0" w:color="auto"/>
        <w:right w:val="none" w:sz="0" w:space="0" w:color="auto"/>
      </w:divBdr>
    </w:div>
    <w:div w:id="766383739">
      <w:bodyDiv w:val="1"/>
      <w:marLeft w:val="0"/>
      <w:marRight w:val="0"/>
      <w:marTop w:val="0"/>
      <w:marBottom w:val="0"/>
      <w:divBdr>
        <w:top w:val="none" w:sz="0" w:space="0" w:color="auto"/>
        <w:left w:val="none" w:sz="0" w:space="0" w:color="auto"/>
        <w:bottom w:val="none" w:sz="0" w:space="0" w:color="auto"/>
        <w:right w:val="none" w:sz="0" w:space="0" w:color="auto"/>
      </w:divBdr>
    </w:div>
    <w:div w:id="771365818">
      <w:bodyDiv w:val="1"/>
      <w:marLeft w:val="0"/>
      <w:marRight w:val="0"/>
      <w:marTop w:val="0"/>
      <w:marBottom w:val="0"/>
      <w:divBdr>
        <w:top w:val="none" w:sz="0" w:space="0" w:color="auto"/>
        <w:left w:val="none" w:sz="0" w:space="0" w:color="auto"/>
        <w:bottom w:val="none" w:sz="0" w:space="0" w:color="auto"/>
        <w:right w:val="none" w:sz="0" w:space="0" w:color="auto"/>
      </w:divBdr>
    </w:div>
    <w:div w:id="773718663">
      <w:bodyDiv w:val="1"/>
      <w:marLeft w:val="0"/>
      <w:marRight w:val="0"/>
      <w:marTop w:val="0"/>
      <w:marBottom w:val="0"/>
      <w:divBdr>
        <w:top w:val="none" w:sz="0" w:space="0" w:color="auto"/>
        <w:left w:val="none" w:sz="0" w:space="0" w:color="auto"/>
        <w:bottom w:val="none" w:sz="0" w:space="0" w:color="auto"/>
        <w:right w:val="none" w:sz="0" w:space="0" w:color="auto"/>
      </w:divBdr>
    </w:div>
    <w:div w:id="789740486">
      <w:bodyDiv w:val="1"/>
      <w:marLeft w:val="0"/>
      <w:marRight w:val="0"/>
      <w:marTop w:val="0"/>
      <w:marBottom w:val="0"/>
      <w:divBdr>
        <w:top w:val="none" w:sz="0" w:space="0" w:color="auto"/>
        <w:left w:val="none" w:sz="0" w:space="0" w:color="auto"/>
        <w:bottom w:val="none" w:sz="0" w:space="0" w:color="auto"/>
        <w:right w:val="none" w:sz="0" w:space="0" w:color="auto"/>
      </w:divBdr>
      <w:divsChild>
        <w:div w:id="244069598">
          <w:marLeft w:val="0"/>
          <w:marRight w:val="0"/>
          <w:marTop w:val="0"/>
          <w:marBottom w:val="0"/>
          <w:divBdr>
            <w:top w:val="none" w:sz="0" w:space="0" w:color="auto"/>
            <w:left w:val="none" w:sz="0" w:space="0" w:color="auto"/>
            <w:bottom w:val="none" w:sz="0" w:space="0" w:color="auto"/>
            <w:right w:val="none" w:sz="0" w:space="0" w:color="auto"/>
          </w:divBdr>
        </w:div>
      </w:divsChild>
    </w:div>
    <w:div w:id="809398907">
      <w:bodyDiv w:val="1"/>
      <w:marLeft w:val="0"/>
      <w:marRight w:val="0"/>
      <w:marTop w:val="0"/>
      <w:marBottom w:val="0"/>
      <w:divBdr>
        <w:top w:val="none" w:sz="0" w:space="0" w:color="auto"/>
        <w:left w:val="none" w:sz="0" w:space="0" w:color="auto"/>
        <w:bottom w:val="none" w:sz="0" w:space="0" w:color="auto"/>
        <w:right w:val="none" w:sz="0" w:space="0" w:color="auto"/>
      </w:divBdr>
      <w:divsChild>
        <w:div w:id="1570993662">
          <w:marLeft w:val="0"/>
          <w:marRight w:val="0"/>
          <w:marTop w:val="0"/>
          <w:marBottom w:val="0"/>
          <w:divBdr>
            <w:top w:val="none" w:sz="0" w:space="0" w:color="auto"/>
            <w:left w:val="none" w:sz="0" w:space="0" w:color="auto"/>
            <w:bottom w:val="none" w:sz="0" w:space="0" w:color="auto"/>
            <w:right w:val="none" w:sz="0" w:space="0" w:color="auto"/>
          </w:divBdr>
        </w:div>
      </w:divsChild>
    </w:div>
    <w:div w:id="812336465">
      <w:bodyDiv w:val="1"/>
      <w:marLeft w:val="0"/>
      <w:marRight w:val="0"/>
      <w:marTop w:val="0"/>
      <w:marBottom w:val="0"/>
      <w:divBdr>
        <w:top w:val="none" w:sz="0" w:space="0" w:color="auto"/>
        <w:left w:val="none" w:sz="0" w:space="0" w:color="auto"/>
        <w:bottom w:val="none" w:sz="0" w:space="0" w:color="auto"/>
        <w:right w:val="none" w:sz="0" w:space="0" w:color="auto"/>
      </w:divBdr>
    </w:div>
    <w:div w:id="816413401">
      <w:bodyDiv w:val="1"/>
      <w:marLeft w:val="0"/>
      <w:marRight w:val="0"/>
      <w:marTop w:val="0"/>
      <w:marBottom w:val="0"/>
      <w:divBdr>
        <w:top w:val="none" w:sz="0" w:space="0" w:color="auto"/>
        <w:left w:val="none" w:sz="0" w:space="0" w:color="auto"/>
        <w:bottom w:val="none" w:sz="0" w:space="0" w:color="auto"/>
        <w:right w:val="none" w:sz="0" w:space="0" w:color="auto"/>
      </w:divBdr>
    </w:div>
    <w:div w:id="843013692">
      <w:bodyDiv w:val="1"/>
      <w:marLeft w:val="0"/>
      <w:marRight w:val="0"/>
      <w:marTop w:val="0"/>
      <w:marBottom w:val="0"/>
      <w:divBdr>
        <w:top w:val="none" w:sz="0" w:space="0" w:color="auto"/>
        <w:left w:val="none" w:sz="0" w:space="0" w:color="auto"/>
        <w:bottom w:val="none" w:sz="0" w:space="0" w:color="auto"/>
        <w:right w:val="none" w:sz="0" w:space="0" w:color="auto"/>
      </w:divBdr>
    </w:div>
    <w:div w:id="848324878">
      <w:bodyDiv w:val="1"/>
      <w:marLeft w:val="0"/>
      <w:marRight w:val="0"/>
      <w:marTop w:val="0"/>
      <w:marBottom w:val="0"/>
      <w:divBdr>
        <w:top w:val="none" w:sz="0" w:space="0" w:color="auto"/>
        <w:left w:val="none" w:sz="0" w:space="0" w:color="auto"/>
        <w:bottom w:val="none" w:sz="0" w:space="0" w:color="auto"/>
        <w:right w:val="none" w:sz="0" w:space="0" w:color="auto"/>
      </w:divBdr>
    </w:div>
    <w:div w:id="858273479">
      <w:bodyDiv w:val="1"/>
      <w:marLeft w:val="0"/>
      <w:marRight w:val="0"/>
      <w:marTop w:val="0"/>
      <w:marBottom w:val="0"/>
      <w:divBdr>
        <w:top w:val="none" w:sz="0" w:space="0" w:color="auto"/>
        <w:left w:val="none" w:sz="0" w:space="0" w:color="auto"/>
        <w:bottom w:val="none" w:sz="0" w:space="0" w:color="auto"/>
        <w:right w:val="none" w:sz="0" w:space="0" w:color="auto"/>
      </w:divBdr>
      <w:divsChild>
        <w:div w:id="838274360">
          <w:marLeft w:val="0"/>
          <w:marRight w:val="0"/>
          <w:marTop w:val="0"/>
          <w:marBottom w:val="0"/>
          <w:divBdr>
            <w:top w:val="none" w:sz="0" w:space="0" w:color="auto"/>
            <w:left w:val="none" w:sz="0" w:space="0" w:color="auto"/>
            <w:bottom w:val="none" w:sz="0" w:space="0" w:color="auto"/>
            <w:right w:val="none" w:sz="0" w:space="0" w:color="auto"/>
          </w:divBdr>
        </w:div>
      </w:divsChild>
    </w:div>
    <w:div w:id="864253118">
      <w:bodyDiv w:val="1"/>
      <w:marLeft w:val="0"/>
      <w:marRight w:val="0"/>
      <w:marTop w:val="0"/>
      <w:marBottom w:val="0"/>
      <w:divBdr>
        <w:top w:val="none" w:sz="0" w:space="0" w:color="auto"/>
        <w:left w:val="none" w:sz="0" w:space="0" w:color="auto"/>
        <w:bottom w:val="none" w:sz="0" w:space="0" w:color="auto"/>
        <w:right w:val="none" w:sz="0" w:space="0" w:color="auto"/>
      </w:divBdr>
    </w:div>
    <w:div w:id="881555856">
      <w:bodyDiv w:val="1"/>
      <w:marLeft w:val="0"/>
      <w:marRight w:val="0"/>
      <w:marTop w:val="0"/>
      <w:marBottom w:val="0"/>
      <w:divBdr>
        <w:top w:val="none" w:sz="0" w:space="0" w:color="auto"/>
        <w:left w:val="none" w:sz="0" w:space="0" w:color="auto"/>
        <w:bottom w:val="none" w:sz="0" w:space="0" w:color="auto"/>
        <w:right w:val="none" w:sz="0" w:space="0" w:color="auto"/>
      </w:divBdr>
    </w:div>
    <w:div w:id="896087069">
      <w:bodyDiv w:val="1"/>
      <w:marLeft w:val="0"/>
      <w:marRight w:val="0"/>
      <w:marTop w:val="0"/>
      <w:marBottom w:val="0"/>
      <w:divBdr>
        <w:top w:val="none" w:sz="0" w:space="0" w:color="auto"/>
        <w:left w:val="none" w:sz="0" w:space="0" w:color="auto"/>
        <w:bottom w:val="none" w:sz="0" w:space="0" w:color="auto"/>
        <w:right w:val="none" w:sz="0" w:space="0" w:color="auto"/>
      </w:divBdr>
    </w:div>
    <w:div w:id="897981708">
      <w:bodyDiv w:val="1"/>
      <w:marLeft w:val="0"/>
      <w:marRight w:val="0"/>
      <w:marTop w:val="0"/>
      <w:marBottom w:val="0"/>
      <w:divBdr>
        <w:top w:val="none" w:sz="0" w:space="0" w:color="auto"/>
        <w:left w:val="none" w:sz="0" w:space="0" w:color="auto"/>
        <w:bottom w:val="none" w:sz="0" w:space="0" w:color="auto"/>
        <w:right w:val="none" w:sz="0" w:space="0" w:color="auto"/>
      </w:divBdr>
    </w:div>
    <w:div w:id="902906106">
      <w:bodyDiv w:val="1"/>
      <w:marLeft w:val="0"/>
      <w:marRight w:val="0"/>
      <w:marTop w:val="0"/>
      <w:marBottom w:val="0"/>
      <w:divBdr>
        <w:top w:val="none" w:sz="0" w:space="0" w:color="auto"/>
        <w:left w:val="none" w:sz="0" w:space="0" w:color="auto"/>
        <w:bottom w:val="none" w:sz="0" w:space="0" w:color="auto"/>
        <w:right w:val="none" w:sz="0" w:space="0" w:color="auto"/>
      </w:divBdr>
    </w:div>
    <w:div w:id="906452997">
      <w:bodyDiv w:val="1"/>
      <w:marLeft w:val="0"/>
      <w:marRight w:val="0"/>
      <w:marTop w:val="0"/>
      <w:marBottom w:val="0"/>
      <w:divBdr>
        <w:top w:val="none" w:sz="0" w:space="0" w:color="auto"/>
        <w:left w:val="none" w:sz="0" w:space="0" w:color="auto"/>
        <w:bottom w:val="none" w:sz="0" w:space="0" w:color="auto"/>
        <w:right w:val="none" w:sz="0" w:space="0" w:color="auto"/>
      </w:divBdr>
    </w:div>
    <w:div w:id="914583273">
      <w:bodyDiv w:val="1"/>
      <w:marLeft w:val="0"/>
      <w:marRight w:val="0"/>
      <w:marTop w:val="0"/>
      <w:marBottom w:val="0"/>
      <w:divBdr>
        <w:top w:val="none" w:sz="0" w:space="0" w:color="auto"/>
        <w:left w:val="none" w:sz="0" w:space="0" w:color="auto"/>
        <w:bottom w:val="none" w:sz="0" w:space="0" w:color="auto"/>
        <w:right w:val="none" w:sz="0" w:space="0" w:color="auto"/>
      </w:divBdr>
    </w:div>
    <w:div w:id="918712534">
      <w:bodyDiv w:val="1"/>
      <w:marLeft w:val="0"/>
      <w:marRight w:val="0"/>
      <w:marTop w:val="0"/>
      <w:marBottom w:val="0"/>
      <w:divBdr>
        <w:top w:val="none" w:sz="0" w:space="0" w:color="auto"/>
        <w:left w:val="none" w:sz="0" w:space="0" w:color="auto"/>
        <w:bottom w:val="none" w:sz="0" w:space="0" w:color="auto"/>
        <w:right w:val="none" w:sz="0" w:space="0" w:color="auto"/>
      </w:divBdr>
    </w:div>
    <w:div w:id="918714632">
      <w:bodyDiv w:val="1"/>
      <w:marLeft w:val="0"/>
      <w:marRight w:val="0"/>
      <w:marTop w:val="0"/>
      <w:marBottom w:val="0"/>
      <w:divBdr>
        <w:top w:val="none" w:sz="0" w:space="0" w:color="auto"/>
        <w:left w:val="none" w:sz="0" w:space="0" w:color="auto"/>
        <w:bottom w:val="none" w:sz="0" w:space="0" w:color="auto"/>
        <w:right w:val="none" w:sz="0" w:space="0" w:color="auto"/>
      </w:divBdr>
    </w:div>
    <w:div w:id="937760438">
      <w:bodyDiv w:val="1"/>
      <w:marLeft w:val="0"/>
      <w:marRight w:val="0"/>
      <w:marTop w:val="0"/>
      <w:marBottom w:val="0"/>
      <w:divBdr>
        <w:top w:val="none" w:sz="0" w:space="0" w:color="auto"/>
        <w:left w:val="none" w:sz="0" w:space="0" w:color="auto"/>
        <w:bottom w:val="none" w:sz="0" w:space="0" w:color="auto"/>
        <w:right w:val="none" w:sz="0" w:space="0" w:color="auto"/>
      </w:divBdr>
    </w:div>
    <w:div w:id="942493254">
      <w:bodyDiv w:val="1"/>
      <w:marLeft w:val="0"/>
      <w:marRight w:val="0"/>
      <w:marTop w:val="0"/>
      <w:marBottom w:val="0"/>
      <w:divBdr>
        <w:top w:val="none" w:sz="0" w:space="0" w:color="auto"/>
        <w:left w:val="none" w:sz="0" w:space="0" w:color="auto"/>
        <w:bottom w:val="none" w:sz="0" w:space="0" w:color="auto"/>
        <w:right w:val="none" w:sz="0" w:space="0" w:color="auto"/>
      </w:divBdr>
    </w:div>
    <w:div w:id="946085904">
      <w:bodyDiv w:val="1"/>
      <w:marLeft w:val="0"/>
      <w:marRight w:val="0"/>
      <w:marTop w:val="0"/>
      <w:marBottom w:val="0"/>
      <w:divBdr>
        <w:top w:val="none" w:sz="0" w:space="0" w:color="auto"/>
        <w:left w:val="none" w:sz="0" w:space="0" w:color="auto"/>
        <w:bottom w:val="none" w:sz="0" w:space="0" w:color="auto"/>
        <w:right w:val="none" w:sz="0" w:space="0" w:color="auto"/>
      </w:divBdr>
    </w:div>
    <w:div w:id="948582728">
      <w:bodyDiv w:val="1"/>
      <w:marLeft w:val="0"/>
      <w:marRight w:val="0"/>
      <w:marTop w:val="0"/>
      <w:marBottom w:val="0"/>
      <w:divBdr>
        <w:top w:val="none" w:sz="0" w:space="0" w:color="auto"/>
        <w:left w:val="none" w:sz="0" w:space="0" w:color="auto"/>
        <w:bottom w:val="none" w:sz="0" w:space="0" w:color="auto"/>
        <w:right w:val="none" w:sz="0" w:space="0" w:color="auto"/>
      </w:divBdr>
    </w:div>
    <w:div w:id="951714142">
      <w:bodyDiv w:val="1"/>
      <w:marLeft w:val="0"/>
      <w:marRight w:val="0"/>
      <w:marTop w:val="0"/>
      <w:marBottom w:val="0"/>
      <w:divBdr>
        <w:top w:val="none" w:sz="0" w:space="0" w:color="auto"/>
        <w:left w:val="none" w:sz="0" w:space="0" w:color="auto"/>
        <w:bottom w:val="none" w:sz="0" w:space="0" w:color="auto"/>
        <w:right w:val="none" w:sz="0" w:space="0" w:color="auto"/>
      </w:divBdr>
    </w:div>
    <w:div w:id="953294921">
      <w:bodyDiv w:val="1"/>
      <w:marLeft w:val="0"/>
      <w:marRight w:val="0"/>
      <w:marTop w:val="0"/>
      <w:marBottom w:val="0"/>
      <w:divBdr>
        <w:top w:val="none" w:sz="0" w:space="0" w:color="auto"/>
        <w:left w:val="none" w:sz="0" w:space="0" w:color="auto"/>
        <w:bottom w:val="none" w:sz="0" w:space="0" w:color="auto"/>
        <w:right w:val="none" w:sz="0" w:space="0" w:color="auto"/>
      </w:divBdr>
    </w:div>
    <w:div w:id="967660402">
      <w:bodyDiv w:val="1"/>
      <w:marLeft w:val="0"/>
      <w:marRight w:val="0"/>
      <w:marTop w:val="0"/>
      <w:marBottom w:val="0"/>
      <w:divBdr>
        <w:top w:val="none" w:sz="0" w:space="0" w:color="auto"/>
        <w:left w:val="none" w:sz="0" w:space="0" w:color="auto"/>
        <w:bottom w:val="none" w:sz="0" w:space="0" w:color="auto"/>
        <w:right w:val="none" w:sz="0" w:space="0" w:color="auto"/>
      </w:divBdr>
      <w:divsChild>
        <w:div w:id="321930553">
          <w:marLeft w:val="0"/>
          <w:marRight w:val="0"/>
          <w:marTop w:val="0"/>
          <w:marBottom w:val="0"/>
          <w:divBdr>
            <w:top w:val="none" w:sz="0" w:space="0" w:color="auto"/>
            <w:left w:val="none" w:sz="0" w:space="0" w:color="auto"/>
            <w:bottom w:val="none" w:sz="0" w:space="0" w:color="auto"/>
            <w:right w:val="none" w:sz="0" w:space="0" w:color="auto"/>
          </w:divBdr>
        </w:div>
      </w:divsChild>
    </w:div>
    <w:div w:id="969939336">
      <w:bodyDiv w:val="1"/>
      <w:marLeft w:val="0"/>
      <w:marRight w:val="0"/>
      <w:marTop w:val="0"/>
      <w:marBottom w:val="0"/>
      <w:divBdr>
        <w:top w:val="none" w:sz="0" w:space="0" w:color="auto"/>
        <w:left w:val="none" w:sz="0" w:space="0" w:color="auto"/>
        <w:bottom w:val="none" w:sz="0" w:space="0" w:color="auto"/>
        <w:right w:val="none" w:sz="0" w:space="0" w:color="auto"/>
      </w:divBdr>
    </w:div>
    <w:div w:id="974532482">
      <w:bodyDiv w:val="1"/>
      <w:marLeft w:val="0"/>
      <w:marRight w:val="0"/>
      <w:marTop w:val="0"/>
      <w:marBottom w:val="0"/>
      <w:divBdr>
        <w:top w:val="none" w:sz="0" w:space="0" w:color="auto"/>
        <w:left w:val="none" w:sz="0" w:space="0" w:color="auto"/>
        <w:bottom w:val="none" w:sz="0" w:space="0" w:color="auto"/>
        <w:right w:val="none" w:sz="0" w:space="0" w:color="auto"/>
      </w:divBdr>
    </w:div>
    <w:div w:id="976489881">
      <w:bodyDiv w:val="1"/>
      <w:marLeft w:val="0"/>
      <w:marRight w:val="0"/>
      <w:marTop w:val="0"/>
      <w:marBottom w:val="0"/>
      <w:divBdr>
        <w:top w:val="none" w:sz="0" w:space="0" w:color="auto"/>
        <w:left w:val="none" w:sz="0" w:space="0" w:color="auto"/>
        <w:bottom w:val="none" w:sz="0" w:space="0" w:color="auto"/>
        <w:right w:val="none" w:sz="0" w:space="0" w:color="auto"/>
      </w:divBdr>
      <w:divsChild>
        <w:div w:id="645283873">
          <w:marLeft w:val="446"/>
          <w:marRight w:val="0"/>
          <w:marTop w:val="120"/>
          <w:marBottom w:val="120"/>
          <w:divBdr>
            <w:top w:val="none" w:sz="0" w:space="0" w:color="auto"/>
            <w:left w:val="none" w:sz="0" w:space="0" w:color="auto"/>
            <w:bottom w:val="none" w:sz="0" w:space="0" w:color="auto"/>
            <w:right w:val="none" w:sz="0" w:space="0" w:color="auto"/>
          </w:divBdr>
        </w:div>
        <w:div w:id="1741827443">
          <w:marLeft w:val="446"/>
          <w:marRight w:val="0"/>
          <w:marTop w:val="120"/>
          <w:marBottom w:val="120"/>
          <w:divBdr>
            <w:top w:val="none" w:sz="0" w:space="0" w:color="auto"/>
            <w:left w:val="none" w:sz="0" w:space="0" w:color="auto"/>
            <w:bottom w:val="none" w:sz="0" w:space="0" w:color="auto"/>
            <w:right w:val="none" w:sz="0" w:space="0" w:color="auto"/>
          </w:divBdr>
        </w:div>
      </w:divsChild>
    </w:div>
    <w:div w:id="976641092">
      <w:bodyDiv w:val="1"/>
      <w:marLeft w:val="0"/>
      <w:marRight w:val="0"/>
      <w:marTop w:val="0"/>
      <w:marBottom w:val="0"/>
      <w:divBdr>
        <w:top w:val="none" w:sz="0" w:space="0" w:color="auto"/>
        <w:left w:val="none" w:sz="0" w:space="0" w:color="auto"/>
        <w:bottom w:val="none" w:sz="0" w:space="0" w:color="auto"/>
        <w:right w:val="none" w:sz="0" w:space="0" w:color="auto"/>
      </w:divBdr>
    </w:div>
    <w:div w:id="1008293337">
      <w:bodyDiv w:val="1"/>
      <w:marLeft w:val="0"/>
      <w:marRight w:val="0"/>
      <w:marTop w:val="0"/>
      <w:marBottom w:val="0"/>
      <w:divBdr>
        <w:top w:val="none" w:sz="0" w:space="0" w:color="auto"/>
        <w:left w:val="none" w:sz="0" w:space="0" w:color="auto"/>
        <w:bottom w:val="none" w:sz="0" w:space="0" w:color="auto"/>
        <w:right w:val="none" w:sz="0" w:space="0" w:color="auto"/>
      </w:divBdr>
    </w:div>
    <w:div w:id="1017661001">
      <w:bodyDiv w:val="1"/>
      <w:marLeft w:val="0"/>
      <w:marRight w:val="0"/>
      <w:marTop w:val="0"/>
      <w:marBottom w:val="0"/>
      <w:divBdr>
        <w:top w:val="none" w:sz="0" w:space="0" w:color="auto"/>
        <w:left w:val="none" w:sz="0" w:space="0" w:color="auto"/>
        <w:bottom w:val="none" w:sz="0" w:space="0" w:color="auto"/>
        <w:right w:val="none" w:sz="0" w:space="0" w:color="auto"/>
      </w:divBdr>
    </w:div>
    <w:div w:id="1019311790">
      <w:bodyDiv w:val="1"/>
      <w:marLeft w:val="0"/>
      <w:marRight w:val="0"/>
      <w:marTop w:val="0"/>
      <w:marBottom w:val="0"/>
      <w:divBdr>
        <w:top w:val="none" w:sz="0" w:space="0" w:color="auto"/>
        <w:left w:val="none" w:sz="0" w:space="0" w:color="auto"/>
        <w:bottom w:val="none" w:sz="0" w:space="0" w:color="auto"/>
        <w:right w:val="none" w:sz="0" w:space="0" w:color="auto"/>
      </w:divBdr>
      <w:divsChild>
        <w:div w:id="712655628">
          <w:marLeft w:val="0"/>
          <w:marRight w:val="0"/>
          <w:marTop w:val="0"/>
          <w:marBottom w:val="0"/>
          <w:divBdr>
            <w:top w:val="none" w:sz="0" w:space="0" w:color="auto"/>
            <w:left w:val="none" w:sz="0" w:space="0" w:color="auto"/>
            <w:bottom w:val="none" w:sz="0" w:space="0" w:color="auto"/>
            <w:right w:val="none" w:sz="0" w:space="0" w:color="auto"/>
          </w:divBdr>
        </w:div>
      </w:divsChild>
    </w:div>
    <w:div w:id="1040477735">
      <w:bodyDiv w:val="1"/>
      <w:marLeft w:val="0"/>
      <w:marRight w:val="0"/>
      <w:marTop w:val="0"/>
      <w:marBottom w:val="0"/>
      <w:divBdr>
        <w:top w:val="none" w:sz="0" w:space="0" w:color="auto"/>
        <w:left w:val="none" w:sz="0" w:space="0" w:color="auto"/>
        <w:bottom w:val="none" w:sz="0" w:space="0" w:color="auto"/>
        <w:right w:val="none" w:sz="0" w:space="0" w:color="auto"/>
      </w:divBdr>
    </w:div>
    <w:div w:id="1057318610">
      <w:bodyDiv w:val="1"/>
      <w:marLeft w:val="0"/>
      <w:marRight w:val="0"/>
      <w:marTop w:val="0"/>
      <w:marBottom w:val="0"/>
      <w:divBdr>
        <w:top w:val="none" w:sz="0" w:space="0" w:color="auto"/>
        <w:left w:val="none" w:sz="0" w:space="0" w:color="auto"/>
        <w:bottom w:val="none" w:sz="0" w:space="0" w:color="auto"/>
        <w:right w:val="none" w:sz="0" w:space="0" w:color="auto"/>
      </w:divBdr>
    </w:div>
    <w:div w:id="1059013276">
      <w:bodyDiv w:val="1"/>
      <w:marLeft w:val="0"/>
      <w:marRight w:val="0"/>
      <w:marTop w:val="0"/>
      <w:marBottom w:val="0"/>
      <w:divBdr>
        <w:top w:val="none" w:sz="0" w:space="0" w:color="auto"/>
        <w:left w:val="none" w:sz="0" w:space="0" w:color="auto"/>
        <w:bottom w:val="none" w:sz="0" w:space="0" w:color="auto"/>
        <w:right w:val="none" w:sz="0" w:space="0" w:color="auto"/>
      </w:divBdr>
    </w:div>
    <w:div w:id="1066684116">
      <w:bodyDiv w:val="1"/>
      <w:marLeft w:val="0"/>
      <w:marRight w:val="0"/>
      <w:marTop w:val="0"/>
      <w:marBottom w:val="0"/>
      <w:divBdr>
        <w:top w:val="none" w:sz="0" w:space="0" w:color="auto"/>
        <w:left w:val="none" w:sz="0" w:space="0" w:color="auto"/>
        <w:bottom w:val="none" w:sz="0" w:space="0" w:color="auto"/>
        <w:right w:val="none" w:sz="0" w:space="0" w:color="auto"/>
      </w:divBdr>
    </w:div>
    <w:div w:id="1068305887">
      <w:bodyDiv w:val="1"/>
      <w:marLeft w:val="0"/>
      <w:marRight w:val="0"/>
      <w:marTop w:val="0"/>
      <w:marBottom w:val="0"/>
      <w:divBdr>
        <w:top w:val="none" w:sz="0" w:space="0" w:color="auto"/>
        <w:left w:val="none" w:sz="0" w:space="0" w:color="auto"/>
        <w:bottom w:val="none" w:sz="0" w:space="0" w:color="auto"/>
        <w:right w:val="none" w:sz="0" w:space="0" w:color="auto"/>
      </w:divBdr>
    </w:div>
    <w:div w:id="1072585757">
      <w:bodyDiv w:val="1"/>
      <w:marLeft w:val="0"/>
      <w:marRight w:val="0"/>
      <w:marTop w:val="0"/>
      <w:marBottom w:val="0"/>
      <w:divBdr>
        <w:top w:val="none" w:sz="0" w:space="0" w:color="auto"/>
        <w:left w:val="none" w:sz="0" w:space="0" w:color="auto"/>
        <w:bottom w:val="none" w:sz="0" w:space="0" w:color="auto"/>
        <w:right w:val="none" w:sz="0" w:space="0" w:color="auto"/>
      </w:divBdr>
    </w:div>
    <w:div w:id="1073510875">
      <w:bodyDiv w:val="1"/>
      <w:marLeft w:val="0"/>
      <w:marRight w:val="0"/>
      <w:marTop w:val="0"/>
      <w:marBottom w:val="0"/>
      <w:divBdr>
        <w:top w:val="none" w:sz="0" w:space="0" w:color="auto"/>
        <w:left w:val="none" w:sz="0" w:space="0" w:color="auto"/>
        <w:bottom w:val="none" w:sz="0" w:space="0" w:color="auto"/>
        <w:right w:val="none" w:sz="0" w:space="0" w:color="auto"/>
      </w:divBdr>
    </w:div>
    <w:div w:id="1084227693">
      <w:bodyDiv w:val="1"/>
      <w:marLeft w:val="0"/>
      <w:marRight w:val="0"/>
      <w:marTop w:val="0"/>
      <w:marBottom w:val="0"/>
      <w:divBdr>
        <w:top w:val="none" w:sz="0" w:space="0" w:color="auto"/>
        <w:left w:val="none" w:sz="0" w:space="0" w:color="auto"/>
        <w:bottom w:val="none" w:sz="0" w:space="0" w:color="auto"/>
        <w:right w:val="none" w:sz="0" w:space="0" w:color="auto"/>
      </w:divBdr>
    </w:div>
    <w:div w:id="1090391246">
      <w:bodyDiv w:val="1"/>
      <w:marLeft w:val="0"/>
      <w:marRight w:val="0"/>
      <w:marTop w:val="0"/>
      <w:marBottom w:val="0"/>
      <w:divBdr>
        <w:top w:val="none" w:sz="0" w:space="0" w:color="auto"/>
        <w:left w:val="none" w:sz="0" w:space="0" w:color="auto"/>
        <w:bottom w:val="none" w:sz="0" w:space="0" w:color="auto"/>
        <w:right w:val="none" w:sz="0" w:space="0" w:color="auto"/>
      </w:divBdr>
    </w:div>
    <w:div w:id="1096294896">
      <w:bodyDiv w:val="1"/>
      <w:marLeft w:val="0"/>
      <w:marRight w:val="0"/>
      <w:marTop w:val="0"/>
      <w:marBottom w:val="0"/>
      <w:divBdr>
        <w:top w:val="none" w:sz="0" w:space="0" w:color="auto"/>
        <w:left w:val="none" w:sz="0" w:space="0" w:color="auto"/>
        <w:bottom w:val="none" w:sz="0" w:space="0" w:color="auto"/>
        <w:right w:val="none" w:sz="0" w:space="0" w:color="auto"/>
      </w:divBdr>
    </w:div>
    <w:div w:id="1098062983">
      <w:bodyDiv w:val="1"/>
      <w:marLeft w:val="0"/>
      <w:marRight w:val="0"/>
      <w:marTop w:val="0"/>
      <w:marBottom w:val="0"/>
      <w:divBdr>
        <w:top w:val="none" w:sz="0" w:space="0" w:color="auto"/>
        <w:left w:val="none" w:sz="0" w:space="0" w:color="auto"/>
        <w:bottom w:val="none" w:sz="0" w:space="0" w:color="auto"/>
        <w:right w:val="none" w:sz="0" w:space="0" w:color="auto"/>
      </w:divBdr>
    </w:div>
    <w:div w:id="1114901916">
      <w:bodyDiv w:val="1"/>
      <w:marLeft w:val="0"/>
      <w:marRight w:val="0"/>
      <w:marTop w:val="0"/>
      <w:marBottom w:val="0"/>
      <w:divBdr>
        <w:top w:val="none" w:sz="0" w:space="0" w:color="auto"/>
        <w:left w:val="none" w:sz="0" w:space="0" w:color="auto"/>
        <w:bottom w:val="none" w:sz="0" w:space="0" w:color="auto"/>
        <w:right w:val="none" w:sz="0" w:space="0" w:color="auto"/>
      </w:divBdr>
    </w:div>
    <w:div w:id="1116868467">
      <w:bodyDiv w:val="1"/>
      <w:marLeft w:val="0"/>
      <w:marRight w:val="0"/>
      <w:marTop w:val="0"/>
      <w:marBottom w:val="0"/>
      <w:divBdr>
        <w:top w:val="none" w:sz="0" w:space="0" w:color="auto"/>
        <w:left w:val="none" w:sz="0" w:space="0" w:color="auto"/>
        <w:bottom w:val="none" w:sz="0" w:space="0" w:color="auto"/>
        <w:right w:val="none" w:sz="0" w:space="0" w:color="auto"/>
      </w:divBdr>
    </w:div>
    <w:div w:id="1121997059">
      <w:bodyDiv w:val="1"/>
      <w:marLeft w:val="0"/>
      <w:marRight w:val="0"/>
      <w:marTop w:val="0"/>
      <w:marBottom w:val="0"/>
      <w:divBdr>
        <w:top w:val="none" w:sz="0" w:space="0" w:color="auto"/>
        <w:left w:val="none" w:sz="0" w:space="0" w:color="auto"/>
        <w:bottom w:val="none" w:sz="0" w:space="0" w:color="auto"/>
        <w:right w:val="none" w:sz="0" w:space="0" w:color="auto"/>
      </w:divBdr>
    </w:div>
    <w:div w:id="1140152040">
      <w:bodyDiv w:val="1"/>
      <w:marLeft w:val="0"/>
      <w:marRight w:val="0"/>
      <w:marTop w:val="0"/>
      <w:marBottom w:val="0"/>
      <w:divBdr>
        <w:top w:val="none" w:sz="0" w:space="0" w:color="auto"/>
        <w:left w:val="none" w:sz="0" w:space="0" w:color="auto"/>
        <w:bottom w:val="none" w:sz="0" w:space="0" w:color="auto"/>
        <w:right w:val="none" w:sz="0" w:space="0" w:color="auto"/>
      </w:divBdr>
    </w:div>
    <w:div w:id="1148203263">
      <w:bodyDiv w:val="1"/>
      <w:marLeft w:val="0"/>
      <w:marRight w:val="0"/>
      <w:marTop w:val="0"/>
      <w:marBottom w:val="0"/>
      <w:divBdr>
        <w:top w:val="none" w:sz="0" w:space="0" w:color="auto"/>
        <w:left w:val="none" w:sz="0" w:space="0" w:color="auto"/>
        <w:bottom w:val="none" w:sz="0" w:space="0" w:color="auto"/>
        <w:right w:val="none" w:sz="0" w:space="0" w:color="auto"/>
      </w:divBdr>
    </w:div>
    <w:div w:id="1157385264">
      <w:bodyDiv w:val="1"/>
      <w:marLeft w:val="0"/>
      <w:marRight w:val="0"/>
      <w:marTop w:val="0"/>
      <w:marBottom w:val="0"/>
      <w:divBdr>
        <w:top w:val="none" w:sz="0" w:space="0" w:color="auto"/>
        <w:left w:val="none" w:sz="0" w:space="0" w:color="auto"/>
        <w:bottom w:val="none" w:sz="0" w:space="0" w:color="auto"/>
        <w:right w:val="none" w:sz="0" w:space="0" w:color="auto"/>
      </w:divBdr>
    </w:div>
    <w:div w:id="1161241354">
      <w:bodyDiv w:val="1"/>
      <w:marLeft w:val="0"/>
      <w:marRight w:val="0"/>
      <w:marTop w:val="0"/>
      <w:marBottom w:val="0"/>
      <w:divBdr>
        <w:top w:val="none" w:sz="0" w:space="0" w:color="auto"/>
        <w:left w:val="none" w:sz="0" w:space="0" w:color="auto"/>
        <w:bottom w:val="none" w:sz="0" w:space="0" w:color="auto"/>
        <w:right w:val="none" w:sz="0" w:space="0" w:color="auto"/>
      </w:divBdr>
    </w:div>
    <w:div w:id="1172718504">
      <w:bodyDiv w:val="1"/>
      <w:marLeft w:val="0"/>
      <w:marRight w:val="0"/>
      <w:marTop w:val="0"/>
      <w:marBottom w:val="0"/>
      <w:divBdr>
        <w:top w:val="none" w:sz="0" w:space="0" w:color="auto"/>
        <w:left w:val="none" w:sz="0" w:space="0" w:color="auto"/>
        <w:bottom w:val="none" w:sz="0" w:space="0" w:color="auto"/>
        <w:right w:val="none" w:sz="0" w:space="0" w:color="auto"/>
      </w:divBdr>
    </w:div>
    <w:div w:id="1185752732">
      <w:bodyDiv w:val="1"/>
      <w:marLeft w:val="0"/>
      <w:marRight w:val="0"/>
      <w:marTop w:val="0"/>
      <w:marBottom w:val="0"/>
      <w:divBdr>
        <w:top w:val="none" w:sz="0" w:space="0" w:color="auto"/>
        <w:left w:val="none" w:sz="0" w:space="0" w:color="auto"/>
        <w:bottom w:val="none" w:sz="0" w:space="0" w:color="auto"/>
        <w:right w:val="none" w:sz="0" w:space="0" w:color="auto"/>
      </w:divBdr>
    </w:div>
    <w:div w:id="1193491121">
      <w:bodyDiv w:val="1"/>
      <w:marLeft w:val="0"/>
      <w:marRight w:val="0"/>
      <w:marTop w:val="0"/>
      <w:marBottom w:val="0"/>
      <w:divBdr>
        <w:top w:val="none" w:sz="0" w:space="0" w:color="auto"/>
        <w:left w:val="none" w:sz="0" w:space="0" w:color="auto"/>
        <w:bottom w:val="none" w:sz="0" w:space="0" w:color="auto"/>
        <w:right w:val="none" w:sz="0" w:space="0" w:color="auto"/>
      </w:divBdr>
    </w:div>
    <w:div w:id="1199319157">
      <w:bodyDiv w:val="1"/>
      <w:marLeft w:val="0"/>
      <w:marRight w:val="0"/>
      <w:marTop w:val="0"/>
      <w:marBottom w:val="0"/>
      <w:divBdr>
        <w:top w:val="none" w:sz="0" w:space="0" w:color="auto"/>
        <w:left w:val="none" w:sz="0" w:space="0" w:color="auto"/>
        <w:bottom w:val="none" w:sz="0" w:space="0" w:color="auto"/>
        <w:right w:val="none" w:sz="0" w:space="0" w:color="auto"/>
      </w:divBdr>
    </w:div>
    <w:div w:id="1207839386">
      <w:bodyDiv w:val="1"/>
      <w:marLeft w:val="0"/>
      <w:marRight w:val="0"/>
      <w:marTop w:val="0"/>
      <w:marBottom w:val="0"/>
      <w:divBdr>
        <w:top w:val="none" w:sz="0" w:space="0" w:color="auto"/>
        <w:left w:val="none" w:sz="0" w:space="0" w:color="auto"/>
        <w:bottom w:val="none" w:sz="0" w:space="0" w:color="auto"/>
        <w:right w:val="none" w:sz="0" w:space="0" w:color="auto"/>
      </w:divBdr>
    </w:div>
    <w:div w:id="1214462065">
      <w:bodyDiv w:val="1"/>
      <w:marLeft w:val="0"/>
      <w:marRight w:val="0"/>
      <w:marTop w:val="0"/>
      <w:marBottom w:val="0"/>
      <w:divBdr>
        <w:top w:val="none" w:sz="0" w:space="0" w:color="auto"/>
        <w:left w:val="none" w:sz="0" w:space="0" w:color="auto"/>
        <w:bottom w:val="none" w:sz="0" w:space="0" w:color="auto"/>
        <w:right w:val="none" w:sz="0" w:space="0" w:color="auto"/>
      </w:divBdr>
    </w:div>
    <w:div w:id="1236933834">
      <w:bodyDiv w:val="1"/>
      <w:marLeft w:val="0"/>
      <w:marRight w:val="0"/>
      <w:marTop w:val="0"/>
      <w:marBottom w:val="0"/>
      <w:divBdr>
        <w:top w:val="none" w:sz="0" w:space="0" w:color="auto"/>
        <w:left w:val="none" w:sz="0" w:space="0" w:color="auto"/>
        <w:bottom w:val="none" w:sz="0" w:space="0" w:color="auto"/>
        <w:right w:val="none" w:sz="0" w:space="0" w:color="auto"/>
      </w:divBdr>
    </w:div>
    <w:div w:id="1237739065">
      <w:bodyDiv w:val="1"/>
      <w:marLeft w:val="0"/>
      <w:marRight w:val="0"/>
      <w:marTop w:val="0"/>
      <w:marBottom w:val="0"/>
      <w:divBdr>
        <w:top w:val="none" w:sz="0" w:space="0" w:color="auto"/>
        <w:left w:val="none" w:sz="0" w:space="0" w:color="auto"/>
        <w:bottom w:val="none" w:sz="0" w:space="0" w:color="auto"/>
        <w:right w:val="none" w:sz="0" w:space="0" w:color="auto"/>
      </w:divBdr>
    </w:div>
    <w:div w:id="1256016162">
      <w:bodyDiv w:val="1"/>
      <w:marLeft w:val="0"/>
      <w:marRight w:val="0"/>
      <w:marTop w:val="0"/>
      <w:marBottom w:val="0"/>
      <w:divBdr>
        <w:top w:val="none" w:sz="0" w:space="0" w:color="auto"/>
        <w:left w:val="none" w:sz="0" w:space="0" w:color="auto"/>
        <w:bottom w:val="none" w:sz="0" w:space="0" w:color="auto"/>
        <w:right w:val="none" w:sz="0" w:space="0" w:color="auto"/>
      </w:divBdr>
    </w:div>
    <w:div w:id="1270628961">
      <w:bodyDiv w:val="1"/>
      <w:marLeft w:val="0"/>
      <w:marRight w:val="0"/>
      <w:marTop w:val="0"/>
      <w:marBottom w:val="0"/>
      <w:divBdr>
        <w:top w:val="none" w:sz="0" w:space="0" w:color="auto"/>
        <w:left w:val="none" w:sz="0" w:space="0" w:color="auto"/>
        <w:bottom w:val="none" w:sz="0" w:space="0" w:color="auto"/>
        <w:right w:val="none" w:sz="0" w:space="0" w:color="auto"/>
      </w:divBdr>
    </w:div>
    <w:div w:id="1273249107">
      <w:bodyDiv w:val="1"/>
      <w:marLeft w:val="0"/>
      <w:marRight w:val="0"/>
      <w:marTop w:val="0"/>
      <w:marBottom w:val="0"/>
      <w:divBdr>
        <w:top w:val="none" w:sz="0" w:space="0" w:color="auto"/>
        <w:left w:val="none" w:sz="0" w:space="0" w:color="auto"/>
        <w:bottom w:val="none" w:sz="0" w:space="0" w:color="auto"/>
        <w:right w:val="none" w:sz="0" w:space="0" w:color="auto"/>
      </w:divBdr>
    </w:div>
    <w:div w:id="1283002353">
      <w:bodyDiv w:val="1"/>
      <w:marLeft w:val="0"/>
      <w:marRight w:val="0"/>
      <w:marTop w:val="0"/>
      <w:marBottom w:val="0"/>
      <w:divBdr>
        <w:top w:val="none" w:sz="0" w:space="0" w:color="auto"/>
        <w:left w:val="none" w:sz="0" w:space="0" w:color="auto"/>
        <w:bottom w:val="none" w:sz="0" w:space="0" w:color="auto"/>
        <w:right w:val="none" w:sz="0" w:space="0" w:color="auto"/>
      </w:divBdr>
    </w:div>
    <w:div w:id="1288388541">
      <w:bodyDiv w:val="1"/>
      <w:marLeft w:val="0"/>
      <w:marRight w:val="0"/>
      <w:marTop w:val="0"/>
      <w:marBottom w:val="0"/>
      <w:divBdr>
        <w:top w:val="none" w:sz="0" w:space="0" w:color="auto"/>
        <w:left w:val="none" w:sz="0" w:space="0" w:color="auto"/>
        <w:bottom w:val="none" w:sz="0" w:space="0" w:color="auto"/>
        <w:right w:val="none" w:sz="0" w:space="0" w:color="auto"/>
      </w:divBdr>
      <w:divsChild>
        <w:div w:id="566501453">
          <w:marLeft w:val="0"/>
          <w:marRight w:val="0"/>
          <w:marTop w:val="0"/>
          <w:marBottom w:val="0"/>
          <w:divBdr>
            <w:top w:val="none" w:sz="0" w:space="0" w:color="auto"/>
            <w:left w:val="none" w:sz="0" w:space="0" w:color="auto"/>
            <w:bottom w:val="none" w:sz="0" w:space="0" w:color="auto"/>
            <w:right w:val="none" w:sz="0" w:space="0" w:color="auto"/>
          </w:divBdr>
        </w:div>
      </w:divsChild>
    </w:div>
    <w:div w:id="1295716477">
      <w:bodyDiv w:val="1"/>
      <w:marLeft w:val="0"/>
      <w:marRight w:val="0"/>
      <w:marTop w:val="0"/>
      <w:marBottom w:val="0"/>
      <w:divBdr>
        <w:top w:val="none" w:sz="0" w:space="0" w:color="auto"/>
        <w:left w:val="none" w:sz="0" w:space="0" w:color="auto"/>
        <w:bottom w:val="none" w:sz="0" w:space="0" w:color="auto"/>
        <w:right w:val="none" w:sz="0" w:space="0" w:color="auto"/>
      </w:divBdr>
    </w:div>
    <w:div w:id="1321615793">
      <w:bodyDiv w:val="1"/>
      <w:marLeft w:val="0"/>
      <w:marRight w:val="0"/>
      <w:marTop w:val="0"/>
      <w:marBottom w:val="0"/>
      <w:divBdr>
        <w:top w:val="none" w:sz="0" w:space="0" w:color="auto"/>
        <w:left w:val="none" w:sz="0" w:space="0" w:color="auto"/>
        <w:bottom w:val="none" w:sz="0" w:space="0" w:color="auto"/>
        <w:right w:val="none" w:sz="0" w:space="0" w:color="auto"/>
      </w:divBdr>
    </w:div>
    <w:div w:id="1342706018">
      <w:bodyDiv w:val="1"/>
      <w:marLeft w:val="0"/>
      <w:marRight w:val="0"/>
      <w:marTop w:val="0"/>
      <w:marBottom w:val="0"/>
      <w:divBdr>
        <w:top w:val="none" w:sz="0" w:space="0" w:color="auto"/>
        <w:left w:val="none" w:sz="0" w:space="0" w:color="auto"/>
        <w:bottom w:val="none" w:sz="0" w:space="0" w:color="auto"/>
        <w:right w:val="none" w:sz="0" w:space="0" w:color="auto"/>
      </w:divBdr>
    </w:div>
    <w:div w:id="1368067351">
      <w:bodyDiv w:val="1"/>
      <w:marLeft w:val="0"/>
      <w:marRight w:val="0"/>
      <w:marTop w:val="0"/>
      <w:marBottom w:val="0"/>
      <w:divBdr>
        <w:top w:val="none" w:sz="0" w:space="0" w:color="auto"/>
        <w:left w:val="none" w:sz="0" w:space="0" w:color="auto"/>
        <w:bottom w:val="none" w:sz="0" w:space="0" w:color="auto"/>
        <w:right w:val="none" w:sz="0" w:space="0" w:color="auto"/>
      </w:divBdr>
    </w:div>
    <w:div w:id="1397821338">
      <w:bodyDiv w:val="1"/>
      <w:marLeft w:val="0"/>
      <w:marRight w:val="0"/>
      <w:marTop w:val="0"/>
      <w:marBottom w:val="0"/>
      <w:divBdr>
        <w:top w:val="none" w:sz="0" w:space="0" w:color="auto"/>
        <w:left w:val="none" w:sz="0" w:space="0" w:color="auto"/>
        <w:bottom w:val="none" w:sz="0" w:space="0" w:color="auto"/>
        <w:right w:val="none" w:sz="0" w:space="0" w:color="auto"/>
      </w:divBdr>
    </w:div>
    <w:div w:id="1408184496">
      <w:bodyDiv w:val="1"/>
      <w:marLeft w:val="0"/>
      <w:marRight w:val="0"/>
      <w:marTop w:val="0"/>
      <w:marBottom w:val="0"/>
      <w:divBdr>
        <w:top w:val="none" w:sz="0" w:space="0" w:color="auto"/>
        <w:left w:val="none" w:sz="0" w:space="0" w:color="auto"/>
        <w:bottom w:val="none" w:sz="0" w:space="0" w:color="auto"/>
        <w:right w:val="none" w:sz="0" w:space="0" w:color="auto"/>
      </w:divBdr>
    </w:div>
    <w:div w:id="1413312670">
      <w:bodyDiv w:val="1"/>
      <w:marLeft w:val="0"/>
      <w:marRight w:val="0"/>
      <w:marTop w:val="0"/>
      <w:marBottom w:val="0"/>
      <w:divBdr>
        <w:top w:val="none" w:sz="0" w:space="0" w:color="auto"/>
        <w:left w:val="none" w:sz="0" w:space="0" w:color="auto"/>
        <w:bottom w:val="none" w:sz="0" w:space="0" w:color="auto"/>
        <w:right w:val="none" w:sz="0" w:space="0" w:color="auto"/>
      </w:divBdr>
    </w:div>
    <w:div w:id="1415517766">
      <w:bodyDiv w:val="1"/>
      <w:marLeft w:val="0"/>
      <w:marRight w:val="0"/>
      <w:marTop w:val="0"/>
      <w:marBottom w:val="0"/>
      <w:divBdr>
        <w:top w:val="none" w:sz="0" w:space="0" w:color="auto"/>
        <w:left w:val="none" w:sz="0" w:space="0" w:color="auto"/>
        <w:bottom w:val="none" w:sz="0" w:space="0" w:color="auto"/>
        <w:right w:val="none" w:sz="0" w:space="0" w:color="auto"/>
      </w:divBdr>
    </w:div>
    <w:div w:id="1416704261">
      <w:bodyDiv w:val="1"/>
      <w:marLeft w:val="0"/>
      <w:marRight w:val="0"/>
      <w:marTop w:val="0"/>
      <w:marBottom w:val="0"/>
      <w:divBdr>
        <w:top w:val="none" w:sz="0" w:space="0" w:color="auto"/>
        <w:left w:val="none" w:sz="0" w:space="0" w:color="auto"/>
        <w:bottom w:val="none" w:sz="0" w:space="0" w:color="auto"/>
        <w:right w:val="none" w:sz="0" w:space="0" w:color="auto"/>
      </w:divBdr>
    </w:div>
    <w:div w:id="1429883742">
      <w:bodyDiv w:val="1"/>
      <w:marLeft w:val="0"/>
      <w:marRight w:val="0"/>
      <w:marTop w:val="0"/>
      <w:marBottom w:val="0"/>
      <w:divBdr>
        <w:top w:val="none" w:sz="0" w:space="0" w:color="auto"/>
        <w:left w:val="none" w:sz="0" w:space="0" w:color="auto"/>
        <w:bottom w:val="none" w:sz="0" w:space="0" w:color="auto"/>
        <w:right w:val="none" w:sz="0" w:space="0" w:color="auto"/>
      </w:divBdr>
    </w:div>
    <w:div w:id="1432043889">
      <w:bodyDiv w:val="1"/>
      <w:marLeft w:val="0"/>
      <w:marRight w:val="0"/>
      <w:marTop w:val="0"/>
      <w:marBottom w:val="0"/>
      <w:divBdr>
        <w:top w:val="none" w:sz="0" w:space="0" w:color="auto"/>
        <w:left w:val="none" w:sz="0" w:space="0" w:color="auto"/>
        <w:bottom w:val="none" w:sz="0" w:space="0" w:color="auto"/>
        <w:right w:val="none" w:sz="0" w:space="0" w:color="auto"/>
      </w:divBdr>
    </w:div>
    <w:div w:id="1433474427">
      <w:bodyDiv w:val="1"/>
      <w:marLeft w:val="0"/>
      <w:marRight w:val="0"/>
      <w:marTop w:val="0"/>
      <w:marBottom w:val="0"/>
      <w:divBdr>
        <w:top w:val="none" w:sz="0" w:space="0" w:color="auto"/>
        <w:left w:val="none" w:sz="0" w:space="0" w:color="auto"/>
        <w:bottom w:val="none" w:sz="0" w:space="0" w:color="auto"/>
        <w:right w:val="none" w:sz="0" w:space="0" w:color="auto"/>
      </w:divBdr>
    </w:div>
    <w:div w:id="1434125658">
      <w:bodyDiv w:val="1"/>
      <w:marLeft w:val="0"/>
      <w:marRight w:val="0"/>
      <w:marTop w:val="0"/>
      <w:marBottom w:val="0"/>
      <w:divBdr>
        <w:top w:val="none" w:sz="0" w:space="0" w:color="auto"/>
        <w:left w:val="none" w:sz="0" w:space="0" w:color="auto"/>
        <w:bottom w:val="none" w:sz="0" w:space="0" w:color="auto"/>
        <w:right w:val="none" w:sz="0" w:space="0" w:color="auto"/>
      </w:divBdr>
    </w:div>
    <w:div w:id="1478306254">
      <w:bodyDiv w:val="1"/>
      <w:marLeft w:val="0"/>
      <w:marRight w:val="0"/>
      <w:marTop w:val="0"/>
      <w:marBottom w:val="0"/>
      <w:divBdr>
        <w:top w:val="none" w:sz="0" w:space="0" w:color="auto"/>
        <w:left w:val="none" w:sz="0" w:space="0" w:color="auto"/>
        <w:bottom w:val="none" w:sz="0" w:space="0" w:color="auto"/>
        <w:right w:val="none" w:sz="0" w:space="0" w:color="auto"/>
      </w:divBdr>
    </w:div>
    <w:div w:id="1486506573">
      <w:bodyDiv w:val="1"/>
      <w:marLeft w:val="0"/>
      <w:marRight w:val="0"/>
      <w:marTop w:val="0"/>
      <w:marBottom w:val="0"/>
      <w:divBdr>
        <w:top w:val="none" w:sz="0" w:space="0" w:color="auto"/>
        <w:left w:val="none" w:sz="0" w:space="0" w:color="auto"/>
        <w:bottom w:val="none" w:sz="0" w:space="0" w:color="auto"/>
        <w:right w:val="none" w:sz="0" w:space="0" w:color="auto"/>
      </w:divBdr>
    </w:div>
    <w:div w:id="1508596275">
      <w:bodyDiv w:val="1"/>
      <w:marLeft w:val="0"/>
      <w:marRight w:val="0"/>
      <w:marTop w:val="0"/>
      <w:marBottom w:val="0"/>
      <w:divBdr>
        <w:top w:val="none" w:sz="0" w:space="0" w:color="auto"/>
        <w:left w:val="none" w:sz="0" w:space="0" w:color="auto"/>
        <w:bottom w:val="none" w:sz="0" w:space="0" w:color="auto"/>
        <w:right w:val="none" w:sz="0" w:space="0" w:color="auto"/>
      </w:divBdr>
    </w:div>
    <w:div w:id="1516574708">
      <w:bodyDiv w:val="1"/>
      <w:marLeft w:val="0"/>
      <w:marRight w:val="0"/>
      <w:marTop w:val="0"/>
      <w:marBottom w:val="0"/>
      <w:divBdr>
        <w:top w:val="none" w:sz="0" w:space="0" w:color="auto"/>
        <w:left w:val="none" w:sz="0" w:space="0" w:color="auto"/>
        <w:bottom w:val="none" w:sz="0" w:space="0" w:color="auto"/>
        <w:right w:val="none" w:sz="0" w:space="0" w:color="auto"/>
      </w:divBdr>
    </w:div>
    <w:div w:id="1523474624">
      <w:bodyDiv w:val="1"/>
      <w:marLeft w:val="0"/>
      <w:marRight w:val="0"/>
      <w:marTop w:val="0"/>
      <w:marBottom w:val="0"/>
      <w:divBdr>
        <w:top w:val="none" w:sz="0" w:space="0" w:color="auto"/>
        <w:left w:val="none" w:sz="0" w:space="0" w:color="auto"/>
        <w:bottom w:val="none" w:sz="0" w:space="0" w:color="auto"/>
        <w:right w:val="none" w:sz="0" w:space="0" w:color="auto"/>
      </w:divBdr>
    </w:div>
    <w:div w:id="1527057607">
      <w:bodyDiv w:val="1"/>
      <w:marLeft w:val="0"/>
      <w:marRight w:val="0"/>
      <w:marTop w:val="0"/>
      <w:marBottom w:val="0"/>
      <w:divBdr>
        <w:top w:val="none" w:sz="0" w:space="0" w:color="auto"/>
        <w:left w:val="none" w:sz="0" w:space="0" w:color="auto"/>
        <w:bottom w:val="none" w:sz="0" w:space="0" w:color="auto"/>
        <w:right w:val="none" w:sz="0" w:space="0" w:color="auto"/>
      </w:divBdr>
    </w:div>
    <w:div w:id="1532263296">
      <w:bodyDiv w:val="1"/>
      <w:marLeft w:val="0"/>
      <w:marRight w:val="0"/>
      <w:marTop w:val="0"/>
      <w:marBottom w:val="0"/>
      <w:divBdr>
        <w:top w:val="none" w:sz="0" w:space="0" w:color="auto"/>
        <w:left w:val="none" w:sz="0" w:space="0" w:color="auto"/>
        <w:bottom w:val="none" w:sz="0" w:space="0" w:color="auto"/>
        <w:right w:val="none" w:sz="0" w:space="0" w:color="auto"/>
      </w:divBdr>
    </w:div>
    <w:div w:id="1535998562">
      <w:bodyDiv w:val="1"/>
      <w:marLeft w:val="0"/>
      <w:marRight w:val="0"/>
      <w:marTop w:val="0"/>
      <w:marBottom w:val="0"/>
      <w:divBdr>
        <w:top w:val="none" w:sz="0" w:space="0" w:color="auto"/>
        <w:left w:val="none" w:sz="0" w:space="0" w:color="auto"/>
        <w:bottom w:val="none" w:sz="0" w:space="0" w:color="auto"/>
        <w:right w:val="none" w:sz="0" w:space="0" w:color="auto"/>
      </w:divBdr>
    </w:div>
    <w:div w:id="1561138001">
      <w:bodyDiv w:val="1"/>
      <w:marLeft w:val="0"/>
      <w:marRight w:val="0"/>
      <w:marTop w:val="0"/>
      <w:marBottom w:val="0"/>
      <w:divBdr>
        <w:top w:val="none" w:sz="0" w:space="0" w:color="auto"/>
        <w:left w:val="none" w:sz="0" w:space="0" w:color="auto"/>
        <w:bottom w:val="none" w:sz="0" w:space="0" w:color="auto"/>
        <w:right w:val="none" w:sz="0" w:space="0" w:color="auto"/>
      </w:divBdr>
    </w:div>
    <w:div w:id="1585263895">
      <w:bodyDiv w:val="1"/>
      <w:marLeft w:val="0"/>
      <w:marRight w:val="0"/>
      <w:marTop w:val="0"/>
      <w:marBottom w:val="0"/>
      <w:divBdr>
        <w:top w:val="none" w:sz="0" w:space="0" w:color="auto"/>
        <w:left w:val="none" w:sz="0" w:space="0" w:color="auto"/>
        <w:bottom w:val="none" w:sz="0" w:space="0" w:color="auto"/>
        <w:right w:val="none" w:sz="0" w:space="0" w:color="auto"/>
      </w:divBdr>
    </w:div>
    <w:div w:id="1588073499">
      <w:bodyDiv w:val="1"/>
      <w:marLeft w:val="0"/>
      <w:marRight w:val="0"/>
      <w:marTop w:val="0"/>
      <w:marBottom w:val="0"/>
      <w:divBdr>
        <w:top w:val="none" w:sz="0" w:space="0" w:color="auto"/>
        <w:left w:val="none" w:sz="0" w:space="0" w:color="auto"/>
        <w:bottom w:val="none" w:sz="0" w:space="0" w:color="auto"/>
        <w:right w:val="none" w:sz="0" w:space="0" w:color="auto"/>
      </w:divBdr>
      <w:divsChild>
        <w:div w:id="733964121">
          <w:marLeft w:val="0"/>
          <w:marRight w:val="0"/>
          <w:marTop w:val="0"/>
          <w:marBottom w:val="0"/>
          <w:divBdr>
            <w:top w:val="none" w:sz="0" w:space="0" w:color="auto"/>
            <w:left w:val="none" w:sz="0" w:space="0" w:color="auto"/>
            <w:bottom w:val="none" w:sz="0" w:space="0" w:color="auto"/>
            <w:right w:val="none" w:sz="0" w:space="0" w:color="auto"/>
          </w:divBdr>
        </w:div>
      </w:divsChild>
    </w:div>
    <w:div w:id="1593783405">
      <w:bodyDiv w:val="1"/>
      <w:marLeft w:val="0"/>
      <w:marRight w:val="0"/>
      <w:marTop w:val="0"/>
      <w:marBottom w:val="0"/>
      <w:divBdr>
        <w:top w:val="none" w:sz="0" w:space="0" w:color="auto"/>
        <w:left w:val="none" w:sz="0" w:space="0" w:color="auto"/>
        <w:bottom w:val="none" w:sz="0" w:space="0" w:color="auto"/>
        <w:right w:val="none" w:sz="0" w:space="0" w:color="auto"/>
      </w:divBdr>
    </w:div>
    <w:div w:id="1599825000">
      <w:bodyDiv w:val="1"/>
      <w:marLeft w:val="0"/>
      <w:marRight w:val="0"/>
      <w:marTop w:val="0"/>
      <w:marBottom w:val="0"/>
      <w:divBdr>
        <w:top w:val="none" w:sz="0" w:space="0" w:color="auto"/>
        <w:left w:val="none" w:sz="0" w:space="0" w:color="auto"/>
        <w:bottom w:val="none" w:sz="0" w:space="0" w:color="auto"/>
        <w:right w:val="none" w:sz="0" w:space="0" w:color="auto"/>
      </w:divBdr>
    </w:div>
    <w:div w:id="1603026436">
      <w:bodyDiv w:val="1"/>
      <w:marLeft w:val="0"/>
      <w:marRight w:val="0"/>
      <w:marTop w:val="0"/>
      <w:marBottom w:val="0"/>
      <w:divBdr>
        <w:top w:val="none" w:sz="0" w:space="0" w:color="auto"/>
        <w:left w:val="none" w:sz="0" w:space="0" w:color="auto"/>
        <w:bottom w:val="none" w:sz="0" w:space="0" w:color="auto"/>
        <w:right w:val="none" w:sz="0" w:space="0" w:color="auto"/>
      </w:divBdr>
    </w:div>
    <w:div w:id="1613131431">
      <w:bodyDiv w:val="1"/>
      <w:marLeft w:val="0"/>
      <w:marRight w:val="0"/>
      <w:marTop w:val="0"/>
      <w:marBottom w:val="0"/>
      <w:divBdr>
        <w:top w:val="none" w:sz="0" w:space="0" w:color="auto"/>
        <w:left w:val="none" w:sz="0" w:space="0" w:color="auto"/>
        <w:bottom w:val="none" w:sz="0" w:space="0" w:color="auto"/>
        <w:right w:val="none" w:sz="0" w:space="0" w:color="auto"/>
      </w:divBdr>
    </w:div>
    <w:div w:id="1615400841">
      <w:bodyDiv w:val="1"/>
      <w:marLeft w:val="0"/>
      <w:marRight w:val="0"/>
      <w:marTop w:val="0"/>
      <w:marBottom w:val="0"/>
      <w:divBdr>
        <w:top w:val="none" w:sz="0" w:space="0" w:color="auto"/>
        <w:left w:val="none" w:sz="0" w:space="0" w:color="auto"/>
        <w:bottom w:val="none" w:sz="0" w:space="0" w:color="auto"/>
        <w:right w:val="none" w:sz="0" w:space="0" w:color="auto"/>
      </w:divBdr>
    </w:div>
    <w:div w:id="1620838048">
      <w:bodyDiv w:val="1"/>
      <w:marLeft w:val="0"/>
      <w:marRight w:val="0"/>
      <w:marTop w:val="0"/>
      <w:marBottom w:val="0"/>
      <w:divBdr>
        <w:top w:val="none" w:sz="0" w:space="0" w:color="auto"/>
        <w:left w:val="none" w:sz="0" w:space="0" w:color="auto"/>
        <w:bottom w:val="none" w:sz="0" w:space="0" w:color="auto"/>
        <w:right w:val="none" w:sz="0" w:space="0" w:color="auto"/>
      </w:divBdr>
    </w:div>
    <w:div w:id="1636445893">
      <w:bodyDiv w:val="1"/>
      <w:marLeft w:val="0"/>
      <w:marRight w:val="0"/>
      <w:marTop w:val="0"/>
      <w:marBottom w:val="0"/>
      <w:divBdr>
        <w:top w:val="none" w:sz="0" w:space="0" w:color="auto"/>
        <w:left w:val="none" w:sz="0" w:space="0" w:color="auto"/>
        <w:bottom w:val="none" w:sz="0" w:space="0" w:color="auto"/>
        <w:right w:val="none" w:sz="0" w:space="0" w:color="auto"/>
      </w:divBdr>
    </w:div>
    <w:div w:id="1643728948">
      <w:bodyDiv w:val="1"/>
      <w:marLeft w:val="0"/>
      <w:marRight w:val="0"/>
      <w:marTop w:val="0"/>
      <w:marBottom w:val="0"/>
      <w:divBdr>
        <w:top w:val="none" w:sz="0" w:space="0" w:color="auto"/>
        <w:left w:val="none" w:sz="0" w:space="0" w:color="auto"/>
        <w:bottom w:val="none" w:sz="0" w:space="0" w:color="auto"/>
        <w:right w:val="none" w:sz="0" w:space="0" w:color="auto"/>
      </w:divBdr>
    </w:div>
    <w:div w:id="1644039106">
      <w:bodyDiv w:val="1"/>
      <w:marLeft w:val="0"/>
      <w:marRight w:val="0"/>
      <w:marTop w:val="0"/>
      <w:marBottom w:val="0"/>
      <w:divBdr>
        <w:top w:val="none" w:sz="0" w:space="0" w:color="auto"/>
        <w:left w:val="none" w:sz="0" w:space="0" w:color="auto"/>
        <w:bottom w:val="none" w:sz="0" w:space="0" w:color="auto"/>
        <w:right w:val="none" w:sz="0" w:space="0" w:color="auto"/>
      </w:divBdr>
      <w:divsChild>
        <w:div w:id="63836970">
          <w:marLeft w:val="547"/>
          <w:marRight w:val="0"/>
          <w:marTop w:val="0"/>
          <w:marBottom w:val="0"/>
          <w:divBdr>
            <w:top w:val="none" w:sz="0" w:space="0" w:color="auto"/>
            <w:left w:val="none" w:sz="0" w:space="0" w:color="auto"/>
            <w:bottom w:val="none" w:sz="0" w:space="0" w:color="auto"/>
            <w:right w:val="none" w:sz="0" w:space="0" w:color="auto"/>
          </w:divBdr>
        </w:div>
        <w:div w:id="1380518629">
          <w:marLeft w:val="547"/>
          <w:marRight w:val="0"/>
          <w:marTop w:val="0"/>
          <w:marBottom w:val="0"/>
          <w:divBdr>
            <w:top w:val="none" w:sz="0" w:space="0" w:color="auto"/>
            <w:left w:val="none" w:sz="0" w:space="0" w:color="auto"/>
            <w:bottom w:val="none" w:sz="0" w:space="0" w:color="auto"/>
            <w:right w:val="none" w:sz="0" w:space="0" w:color="auto"/>
          </w:divBdr>
        </w:div>
        <w:div w:id="1742169828">
          <w:marLeft w:val="547"/>
          <w:marRight w:val="0"/>
          <w:marTop w:val="0"/>
          <w:marBottom w:val="0"/>
          <w:divBdr>
            <w:top w:val="none" w:sz="0" w:space="0" w:color="auto"/>
            <w:left w:val="none" w:sz="0" w:space="0" w:color="auto"/>
            <w:bottom w:val="none" w:sz="0" w:space="0" w:color="auto"/>
            <w:right w:val="none" w:sz="0" w:space="0" w:color="auto"/>
          </w:divBdr>
        </w:div>
      </w:divsChild>
    </w:div>
    <w:div w:id="1648437097">
      <w:bodyDiv w:val="1"/>
      <w:marLeft w:val="0"/>
      <w:marRight w:val="0"/>
      <w:marTop w:val="0"/>
      <w:marBottom w:val="0"/>
      <w:divBdr>
        <w:top w:val="none" w:sz="0" w:space="0" w:color="auto"/>
        <w:left w:val="none" w:sz="0" w:space="0" w:color="auto"/>
        <w:bottom w:val="none" w:sz="0" w:space="0" w:color="auto"/>
        <w:right w:val="none" w:sz="0" w:space="0" w:color="auto"/>
      </w:divBdr>
      <w:divsChild>
        <w:div w:id="1283076769">
          <w:marLeft w:val="0"/>
          <w:marRight w:val="0"/>
          <w:marTop w:val="0"/>
          <w:marBottom w:val="0"/>
          <w:divBdr>
            <w:top w:val="none" w:sz="0" w:space="0" w:color="auto"/>
            <w:left w:val="none" w:sz="0" w:space="0" w:color="auto"/>
            <w:bottom w:val="none" w:sz="0" w:space="0" w:color="auto"/>
            <w:right w:val="none" w:sz="0" w:space="0" w:color="auto"/>
          </w:divBdr>
        </w:div>
      </w:divsChild>
    </w:div>
    <w:div w:id="1654598749">
      <w:bodyDiv w:val="1"/>
      <w:marLeft w:val="0"/>
      <w:marRight w:val="0"/>
      <w:marTop w:val="0"/>
      <w:marBottom w:val="0"/>
      <w:divBdr>
        <w:top w:val="none" w:sz="0" w:space="0" w:color="auto"/>
        <w:left w:val="none" w:sz="0" w:space="0" w:color="auto"/>
        <w:bottom w:val="none" w:sz="0" w:space="0" w:color="auto"/>
        <w:right w:val="none" w:sz="0" w:space="0" w:color="auto"/>
      </w:divBdr>
    </w:div>
    <w:div w:id="1661347590">
      <w:bodyDiv w:val="1"/>
      <w:marLeft w:val="0"/>
      <w:marRight w:val="0"/>
      <w:marTop w:val="0"/>
      <w:marBottom w:val="0"/>
      <w:divBdr>
        <w:top w:val="none" w:sz="0" w:space="0" w:color="auto"/>
        <w:left w:val="none" w:sz="0" w:space="0" w:color="auto"/>
        <w:bottom w:val="none" w:sz="0" w:space="0" w:color="auto"/>
        <w:right w:val="none" w:sz="0" w:space="0" w:color="auto"/>
      </w:divBdr>
      <w:divsChild>
        <w:div w:id="524253763">
          <w:marLeft w:val="1166"/>
          <w:marRight w:val="0"/>
          <w:marTop w:val="67"/>
          <w:marBottom w:val="0"/>
          <w:divBdr>
            <w:top w:val="none" w:sz="0" w:space="0" w:color="auto"/>
            <w:left w:val="none" w:sz="0" w:space="0" w:color="auto"/>
            <w:bottom w:val="none" w:sz="0" w:space="0" w:color="auto"/>
            <w:right w:val="none" w:sz="0" w:space="0" w:color="auto"/>
          </w:divBdr>
        </w:div>
        <w:div w:id="613630926">
          <w:marLeft w:val="1166"/>
          <w:marRight w:val="0"/>
          <w:marTop w:val="67"/>
          <w:marBottom w:val="0"/>
          <w:divBdr>
            <w:top w:val="none" w:sz="0" w:space="0" w:color="auto"/>
            <w:left w:val="none" w:sz="0" w:space="0" w:color="auto"/>
            <w:bottom w:val="none" w:sz="0" w:space="0" w:color="auto"/>
            <w:right w:val="none" w:sz="0" w:space="0" w:color="auto"/>
          </w:divBdr>
        </w:div>
        <w:div w:id="1022517555">
          <w:marLeft w:val="1166"/>
          <w:marRight w:val="0"/>
          <w:marTop w:val="67"/>
          <w:marBottom w:val="0"/>
          <w:divBdr>
            <w:top w:val="none" w:sz="0" w:space="0" w:color="auto"/>
            <w:left w:val="none" w:sz="0" w:space="0" w:color="auto"/>
            <w:bottom w:val="none" w:sz="0" w:space="0" w:color="auto"/>
            <w:right w:val="none" w:sz="0" w:space="0" w:color="auto"/>
          </w:divBdr>
        </w:div>
        <w:div w:id="1710255762">
          <w:marLeft w:val="1166"/>
          <w:marRight w:val="0"/>
          <w:marTop w:val="67"/>
          <w:marBottom w:val="0"/>
          <w:divBdr>
            <w:top w:val="none" w:sz="0" w:space="0" w:color="auto"/>
            <w:left w:val="none" w:sz="0" w:space="0" w:color="auto"/>
            <w:bottom w:val="none" w:sz="0" w:space="0" w:color="auto"/>
            <w:right w:val="none" w:sz="0" w:space="0" w:color="auto"/>
          </w:divBdr>
        </w:div>
      </w:divsChild>
    </w:div>
    <w:div w:id="1675958184">
      <w:bodyDiv w:val="1"/>
      <w:marLeft w:val="0"/>
      <w:marRight w:val="0"/>
      <w:marTop w:val="0"/>
      <w:marBottom w:val="0"/>
      <w:divBdr>
        <w:top w:val="none" w:sz="0" w:space="0" w:color="auto"/>
        <w:left w:val="none" w:sz="0" w:space="0" w:color="auto"/>
        <w:bottom w:val="none" w:sz="0" w:space="0" w:color="auto"/>
        <w:right w:val="none" w:sz="0" w:space="0" w:color="auto"/>
      </w:divBdr>
    </w:div>
    <w:div w:id="1677223960">
      <w:bodyDiv w:val="1"/>
      <w:marLeft w:val="0"/>
      <w:marRight w:val="0"/>
      <w:marTop w:val="0"/>
      <w:marBottom w:val="0"/>
      <w:divBdr>
        <w:top w:val="none" w:sz="0" w:space="0" w:color="auto"/>
        <w:left w:val="none" w:sz="0" w:space="0" w:color="auto"/>
        <w:bottom w:val="none" w:sz="0" w:space="0" w:color="auto"/>
        <w:right w:val="none" w:sz="0" w:space="0" w:color="auto"/>
      </w:divBdr>
    </w:div>
    <w:div w:id="1696998456">
      <w:bodyDiv w:val="1"/>
      <w:marLeft w:val="0"/>
      <w:marRight w:val="0"/>
      <w:marTop w:val="0"/>
      <w:marBottom w:val="0"/>
      <w:divBdr>
        <w:top w:val="none" w:sz="0" w:space="0" w:color="auto"/>
        <w:left w:val="none" w:sz="0" w:space="0" w:color="auto"/>
        <w:bottom w:val="none" w:sz="0" w:space="0" w:color="auto"/>
        <w:right w:val="none" w:sz="0" w:space="0" w:color="auto"/>
      </w:divBdr>
      <w:divsChild>
        <w:div w:id="1317369850">
          <w:marLeft w:val="0"/>
          <w:marRight w:val="0"/>
          <w:marTop w:val="0"/>
          <w:marBottom w:val="0"/>
          <w:divBdr>
            <w:top w:val="none" w:sz="0" w:space="0" w:color="auto"/>
            <w:left w:val="none" w:sz="0" w:space="0" w:color="auto"/>
            <w:bottom w:val="none" w:sz="0" w:space="0" w:color="auto"/>
            <w:right w:val="none" w:sz="0" w:space="0" w:color="auto"/>
          </w:divBdr>
        </w:div>
      </w:divsChild>
    </w:div>
    <w:div w:id="1722170958">
      <w:bodyDiv w:val="1"/>
      <w:marLeft w:val="0"/>
      <w:marRight w:val="0"/>
      <w:marTop w:val="0"/>
      <w:marBottom w:val="0"/>
      <w:divBdr>
        <w:top w:val="none" w:sz="0" w:space="0" w:color="auto"/>
        <w:left w:val="none" w:sz="0" w:space="0" w:color="auto"/>
        <w:bottom w:val="none" w:sz="0" w:space="0" w:color="auto"/>
        <w:right w:val="none" w:sz="0" w:space="0" w:color="auto"/>
      </w:divBdr>
    </w:div>
    <w:div w:id="1723165067">
      <w:bodyDiv w:val="1"/>
      <w:marLeft w:val="0"/>
      <w:marRight w:val="0"/>
      <w:marTop w:val="0"/>
      <w:marBottom w:val="0"/>
      <w:divBdr>
        <w:top w:val="none" w:sz="0" w:space="0" w:color="auto"/>
        <w:left w:val="none" w:sz="0" w:space="0" w:color="auto"/>
        <w:bottom w:val="none" w:sz="0" w:space="0" w:color="auto"/>
        <w:right w:val="none" w:sz="0" w:space="0" w:color="auto"/>
      </w:divBdr>
    </w:div>
    <w:div w:id="1727602810">
      <w:bodyDiv w:val="1"/>
      <w:marLeft w:val="0"/>
      <w:marRight w:val="0"/>
      <w:marTop w:val="0"/>
      <w:marBottom w:val="0"/>
      <w:divBdr>
        <w:top w:val="none" w:sz="0" w:space="0" w:color="auto"/>
        <w:left w:val="none" w:sz="0" w:space="0" w:color="auto"/>
        <w:bottom w:val="none" w:sz="0" w:space="0" w:color="auto"/>
        <w:right w:val="none" w:sz="0" w:space="0" w:color="auto"/>
      </w:divBdr>
    </w:div>
    <w:div w:id="1729570554">
      <w:bodyDiv w:val="1"/>
      <w:marLeft w:val="0"/>
      <w:marRight w:val="0"/>
      <w:marTop w:val="0"/>
      <w:marBottom w:val="0"/>
      <w:divBdr>
        <w:top w:val="none" w:sz="0" w:space="0" w:color="auto"/>
        <w:left w:val="none" w:sz="0" w:space="0" w:color="auto"/>
        <w:bottom w:val="none" w:sz="0" w:space="0" w:color="auto"/>
        <w:right w:val="none" w:sz="0" w:space="0" w:color="auto"/>
      </w:divBdr>
    </w:div>
    <w:div w:id="1746293435">
      <w:bodyDiv w:val="1"/>
      <w:marLeft w:val="0"/>
      <w:marRight w:val="0"/>
      <w:marTop w:val="0"/>
      <w:marBottom w:val="0"/>
      <w:divBdr>
        <w:top w:val="none" w:sz="0" w:space="0" w:color="auto"/>
        <w:left w:val="none" w:sz="0" w:space="0" w:color="auto"/>
        <w:bottom w:val="none" w:sz="0" w:space="0" w:color="auto"/>
        <w:right w:val="none" w:sz="0" w:space="0" w:color="auto"/>
      </w:divBdr>
      <w:divsChild>
        <w:div w:id="466365025">
          <w:marLeft w:val="0"/>
          <w:marRight w:val="0"/>
          <w:marTop w:val="0"/>
          <w:marBottom w:val="0"/>
          <w:divBdr>
            <w:top w:val="none" w:sz="0" w:space="0" w:color="auto"/>
            <w:left w:val="none" w:sz="0" w:space="0" w:color="auto"/>
            <w:bottom w:val="none" w:sz="0" w:space="0" w:color="auto"/>
            <w:right w:val="none" w:sz="0" w:space="0" w:color="auto"/>
          </w:divBdr>
        </w:div>
      </w:divsChild>
    </w:div>
    <w:div w:id="1747340761">
      <w:bodyDiv w:val="1"/>
      <w:marLeft w:val="0"/>
      <w:marRight w:val="0"/>
      <w:marTop w:val="0"/>
      <w:marBottom w:val="0"/>
      <w:divBdr>
        <w:top w:val="none" w:sz="0" w:space="0" w:color="auto"/>
        <w:left w:val="none" w:sz="0" w:space="0" w:color="auto"/>
        <w:bottom w:val="none" w:sz="0" w:space="0" w:color="auto"/>
        <w:right w:val="none" w:sz="0" w:space="0" w:color="auto"/>
      </w:divBdr>
    </w:div>
    <w:div w:id="1755971900">
      <w:bodyDiv w:val="1"/>
      <w:marLeft w:val="0"/>
      <w:marRight w:val="0"/>
      <w:marTop w:val="0"/>
      <w:marBottom w:val="0"/>
      <w:divBdr>
        <w:top w:val="none" w:sz="0" w:space="0" w:color="auto"/>
        <w:left w:val="none" w:sz="0" w:space="0" w:color="auto"/>
        <w:bottom w:val="none" w:sz="0" w:space="0" w:color="auto"/>
        <w:right w:val="none" w:sz="0" w:space="0" w:color="auto"/>
      </w:divBdr>
    </w:div>
    <w:div w:id="1760904466">
      <w:bodyDiv w:val="1"/>
      <w:marLeft w:val="0"/>
      <w:marRight w:val="0"/>
      <w:marTop w:val="0"/>
      <w:marBottom w:val="0"/>
      <w:divBdr>
        <w:top w:val="none" w:sz="0" w:space="0" w:color="auto"/>
        <w:left w:val="none" w:sz="0" w:space="0" w:color="auto"/>
        <w:bottom w:val="none" w:sz="0" w:space="0" w:color="auto"/>
        <w:right w:val="none" w:sz="0" w:space="0" w:color="auto"/>
      </w:divBdr>
      <w:divsChild>
        <w:div w:id="767654236">
          <w:marLeft w:val="0"/>
          <w:marRight w:val="0"/>
          <w:marTop w:val="0"/>
          <w:marBottom w:val="0"/>
          <w:divBdr>
            <w:top w:val="none" w:sz="0" w:space="0" w:color="auto"/>
            <w:left w:val="none" w:sz="0" w:space="0" w:color="auto"/>
            <w:bottom w:val="none" w:sz="0" w:space="0" w:color="auto"/>
            <w:right w:val="none" w:sz="0" w:space="0" w:color="auto"/>
          </w:divBdr>
        </w:div>
      </w:divsChild>
    </w:div>
    <w:div w:id="1766801537">
      <w:bodyDiv w:val="1"/>
      <w:marLeft w:val="0"/>
      <w:marRight w:val="0"/>
      <w:marTop w:val="0"/>
      <w:marBottom w:val="0"/>
      <w:divBdr>
        <w:top w:val="none" w:sz="0" w:space="0" w:color="auto"/>
        <w:left w:val="none" w:sz="0" w:space="0" w:color="auto"/>
        <w:bottom w:val="none" w:sz="0" w:space="0" w:color="auto"/>
        <w:right w:val="none" w:sz="0" w:space="0" w:color="auto"/>
      </w:divBdr>
    </w:div>
    <w:div w:id="1778014521">
      <w:bodyDiv w:val="1"/>
      <w:marLeft w:val="0"/>
      <w:marRight w:val="0"/>
      <w:marTop w:val="0"/>
      <w:marBottom w:val="0"/>
      <w:divBdr>
        <w:top w:val="none" w:sz="0" w:space="0" w:color="auto"/>
        <w:left w:val="none" w:sz="0" w:space="0" w:color="auto"/>
        <w:bottom w:val="none" w:sz="0" w:space="0" w:color="auto"/>
        <w:right w:val="none" w:sz="0" w:space="0" w:color="auto"/>
      </w:divBdr>
    </w:div>
    <w:div w:id="1782454950">
      <w:bodyDiv w:val="1"/>
      <w:marLeft w:val="0"/>
      <w:marRight w:val="0"/>
      <w:marTop w:val="0"/>
      <w:marBottom w:val="0"/>
      <w:divBdr>
        <w:top w:val="none" w:sz="0" w:space="0" w:color="auto"/>
        <w:left w:val="none" w:sz="0" w:space="0" w:color="auto"/>
        <w:bottom w:val="none" w:sz="0" w:space="0" w:color="auto"/>
        <w:right w:val="none" w:sz="0" w:space="0" w:color="auto"/>
      </w:divBdr>
    </w:div>
    <w:div w:id="1798257030">
      <w:bodyDiv w:val="1"/>
      <w:marLeft w:val="0"/>
      <w:marRight w:val="0"/>
      <w:marTop w:val="0"/>
      <w:marBottom w:val="0"/>
      <w:divBdr>
        <w:top w:val="none" w:sz="0" w:space="0" w:color="auto"/>
        <w:left w:val="none" w:sz="0" w:space="0" w:color="auto"/>
        <w:bottom w:val="none" w:sz="0" w:space="0" w:color="auto"/>
        <w:right w:val="none" w:sz="0" w:space="0" w:color="auto"/>
      </w:divBdr>
      <w:divsChild>
        <w:div w:id="1085807267">
          <w:marLeft w:val="0"/>
          <w:marRight w:val="0"/>
          <w:marTop w:val="0"/>
          <w:marBottom w:val="0"/>
          <w:divBdr>
            <w:top w:val="none" w:sz="0" w:space="0" w:color="auto"/>
            <w:left w:val="none" w:sz="0" w:space="0" w:color="auto"/>
            <w:bottom w:val="none" w:sz="0" w:space="0" w:color="auto"/>
            <w:right w:val="none" w:sz="0" w:space="0" w:color="auto"/>
          </w:divBdr>
        </w:div>
      </w:divsChild>
    </w:div>
    <w:div w:id="1811632771">
      <w:bodyDiv w:val="1"/>
      <w:marLeft w:val="0"/>
      <w:marRight w:val="0"/>
      <w:marTop w:val="0"/>
      <w:marBottom w:val="0"/>
      <w:divBdr>
        <w:top w:val="none" w:sz="0" w:space="0" w:color="auto"/>
        <w:left w:val="none" w:sz="0" w:space="0" w:color="auto"/>
        <w:bottom w:val="none" w:sz="0" w:space="0" w:color="auto"/>
        <w:right w:val="none" w:sz="0" w:space="0" w:color="auto"/>
      </w:divBdr>
    </w:div>
    <w:div w:id="1819877336">
      <w:bodyDiv w:val="1"/>
      <w:marLeft w:val="0"/>
      <w:marRight w:val="0"/>
      <w:marTop w:val="0"/>
      <w:marBottom w:val="0"/>
      <w:divBdr>
        <w:top w:val="none" w:sz="0" w:space="0" w:color="auto"/>
        <w:left w:val="none" w:sz="0" w:space="0" w:color="auto"/>
        <w:bottom w:val="none" w:sz="0" w:space="0" w:color="auto"/>
        <w:right w:val="none" w:sz="0" w:space="0" w:color="auto"/>
      </w:divBdr>
    </w:div>
    <w:div w:id="1822190004">
      <w:bodyDiv w:val="1"/>
      <w:marLeft w:val="0"/>
      <w:marRight w:val="0"/>
      <w:marTop w:val="0"/>
      <w:marBottom w:val="0"/>
      <w:divBdr>
        <w:top w:val="none" w:sz="0" w:space="0" w:color="auto"/>
        <w:left w:val="none" w:sz="0" w:space="0" w:color="auto"/>
        <w:bottom w:val="none" w:sz="0" w:space="0" w:color="auto"/>
        <w:right w:val="none" w:sz="0" w:space="0" w:color="auto"/>
      </w:divBdr>
    </w:div>
    <w:div w:id="1841314689">
      <w:bodyDiv w:val="1"/>
      <w:marLeft w:val="0"/>
      <w:marRight w:val="0"/>
      <w:marTop w:val="0"/>
      <w:marBottom w:val="0"/>
      <w:divBdr>
        <w:top w:val="none" w:sz="0" w:space="0" w:color="auto"/>
        <w:left w:val="none" w:sz="0" w:space="0" w:color="auto"/>
        <w:bottom w:val="none" w:sz="0" w:space="0" w:color="auto"/>
        <w:right w:val="none" w:sz="0" w:space="0" w:color="auto"/>
      </w:divBdr>
    </w:div>
    <w:div w:id="1851555127">
      <w:bodyDiv w:val="1"/>
      <w:marLeft w:val="0"/>
      <w:marRight w:val="0"/>
      <w:marTop w:val="0"/>
      <w:marBottom w:val="0"/>
      <w:divBdr>
        <w:top w:val="none" w:sz="0" w:space="0" w:color="auto"/>
        <w:left w:val="none" w:sz="0" w:space="0" w:color="auto"/>
        <w:bottom w:val="none" w:sz="0" w:space="0" w:color="auto"/>
        <w:right w:val="none" w:sz="0" w:space="0" w:color="auto"/>
      </w:divBdr>
    </w:div>
    <w:div w:id="1854764872">
      <w:bodyDiv w:val="1"/>
      <w:marLeft w:val="0"/>
      <w:marRight w:val="0"/>
      <w:marTop w:val="0"/>
      <w:marBottom w:val="0"/>
      <w:divBdr>
        <w:top w:val="none" w:sz="0" w:space="0" w:color="auto"/>
        <w:left w:val="none" w:sz="0" w:space="0" w:color="auto"/>
        <w:bottom w:val="none" w:sz="0" w:space="0" w:color="auto"/>
        <w:right w:val="none" w:sz="0" w:space="0" w:color="auto"/>
      </w:divBdr>
    </w:div>
    <w:div w:id="1864705066">
      <w:bodyDiv w:val="1"/>
      <w:marLeft w:val="0"/>
      <w:marRight w:val="0"/>
      <w:marTop w:val="0"/>
      <w:marBottom w:val="0"/>
      <w:divBdr>
        <w:top w:val="none" w:sz="0" w:space="0" w:color="auto"/>
        <w:left w:val="none" w:sz="0" w:space="0" w:color="auto"/>
        <w:bottom w:val="none" w:sz="0" w:space="0" w:color="auto"/>
        <w:right w:val="none" w:sz="0" w:space="0" w:color="auto"/>
      </w:divBdr>
    </w:div>
    <w:div w:id="1870800049">
      <w:bodyDiv w:val="1"/>
      <w:marLeft w:val="0"/>
      <w:marRight w:val="0"/>
      <w:marTop w:val="0"/>
      <w:marBottom w:val="0"/>
      <w:divBdr>
        <w:top w:val="none" w:sz="0" w:space="0" w:color="auto"/>
        <w:left w:val="none" w:sz="0" w:space="0" w:color="auto"/>
        <w:bottom w:val="none" w:sz="0" w:space="0" w:color="auto"/>
        <w:right w:val="none" w:sz="0" w:space="0" w:color="auto"/>
      </w:divBdr>
    </w:div>
    <w:div w:id="1881815713">
      <w:bodyDiv w:val="1"/>
      <w:marLeft w:val="0"/>
      <w:marRight w:val="0"/>
      <w:marTop w:val="0"/>
      <w:marBottom w:val="0"/>
      <w:divBdr>
        <w:top w:val="none" w:sz="0" w:space="0" w:color="auto"/>
        <w:left w:val="none" w:sz="0" w:space="0" w:color="auto"/>
        <w:bottom w:val="none" w:sz="0" w:space="0" w:color="auto"/>
        <w:right w:val="none" w:sz="0" w:space="0" w:color="auto"/>
      </w:divBdr>
    </w:div>
    <w:div w:id="1881866682">
      <w:bodyDiv w:val="1"/>
      <w:marLeft w:val="0"/>
      <w:marRight w:val="0"/>
      <w:marTop w:val="0"/>
      <w:marBottom w:val="0"/>
      <w:divBdr>
        <w:top w:val="none" w:sz="0" w:space="0" w:color="auto"/>
        <w:left w:val="none" w:sz="0" w:space="0" w:color="auto"/>
        <w:bottom w:val="none" w:sz="0" w:space="0" w:color="auto"/>
        <w:right w:val="none" w:sz="0" w:space="0" w:color="auto"/>
      </w:divBdr>
    </w:div>
    <w:div w:id="1914660764">
      <w:bodyDiv w:val="1"/>
      <w:marLeft w:val="0"/>
      <w:marRight w:val="0"/>
      <w:marTop w:val="0"/>
      <w:marBottom w:val="0"/>
      <w:divBdr>
        <w:top w:val="none" w:sz="0" w:space="0" w:color="auto"/>
        <w:left w:val="none" w:sz="0" w:space="0" w:color="auto"/>
        <w:bottom w:val="none" w:sz="0" w:space="0" w:color="auto"/>
        <w:right w:val="none" w:sz="0" w:space="0" w:color="auto"/>
      </w:divBdr>
    </w:div>
    <w:div w:id="1928149760">
      <w:bodyDiv w:val="1"/>
      <w:marLeft w:val="0"/>
      <w:marRight w:val="0"/>
      <w:marTop w:val="0"/>
      <w:marBottom w:val="0"/>
      <w:divBdr>
        <w:top w:val="none" w:sz="0" w:space="0" w:color="auto"/>
        <w:left w:val="none" w:sz="0" w:space="0" w:color="auto"/>
        <w:bottom w:val="none" w:sz="0" w:space="0" w:color="auto"/>
        <w:right w:val="none" w:sz="0" w:space="0" w:color="auto"/>
      </w:divBdr>
    </w:div>
    <w:div w:id="1942643576">
      <w:bodyDiv w:val="1"/>
      <w:marLeft w:val="0"/>
      <w:marRight w:val="0"/>
      <w:marTop w:val="0"/>
      <w:marBottom w:val="0"/>
      <w:divBdr>
        <w:top w:val="none" w:sz="0" w:space="0" w:color="auto"/>
        <w:left w:val="none" w:sz="0" w:space="0" w:color="auto"/>
        <w:bottom w:val="none" w:sz="0" w:space="0" w:color="auto"/>
        <w:right w:val="none" w:sz="0" w:space="0" w:color="auto"/>
      </w:divBdr>
    </w:div>
    <w:div w:id="1953853922">
      <w:bodyDiv w:val="1"/>
      <w:marLeft w:val="0"/>
      <w:marRight w:val="0"/>
      <w:marTop w:val="0"/>
      <w:marBottom w:val="0"/>
      <w:divBdr>
        <w:top w:val="none" w:sz="0" w:space="0" w:color="auto"/>
        <w:left w:val="none" w:sz="0" w:space="0" w:color="auto"/>
        <w:bottom w:val="none" w:sz="0" w:space="0" w:color="auto"/>
        <w:right w:val="none" w:sz="0" w:space="0" w:color="auto"/>
      </w:divBdr>
    </w:div>
    <w:div w:id="1960254033">
      <w:bodyDiv w:val="1"/>
      <w:marLeft w:val="0"/>
      <w:marRight w:val="0"/>
      <w:marTop w:val="0"/>
      <w:marBottom w:val="0"/>
      <w:divBdr>
        <w:top w:val="none" w:sz="0" w:space="0" w:color="auto"/>
        <w:left w:val="none" w:sz="0" w:space="0" w:color="auto"/>
        <w:bottom w:val="none" w:sz="0" w:space="0" w:color="auto"/>
        <w:right w:val="none" w:sz="0" w:space="0" w:color="auto"/>
      </w:divBdr>
    </w:div>
    <w:div w:id="1973751305">
      <w:bodyDiv w:val="1"/>
      <w:marLeft w:val="0"/>
      <w:marRight w:val="0"/>
      <w:marTop w:val="0"/>
      <w:marBottom w:val="0"/>
      <w:divBdr>
        <w:top w:val="none" w:sz="0" w:space="0" w:color="auto"/>
        <w:left w:val="none" w:sz="0" w:space="0" w:color="auto"/>
        <w:bottom w:val="none" w:sz="0" w:space="0" w:color="auto"/>
        <w:right w:val="none" w:sz="0" w:space="0" w:color="auto"/>
      </w:divBdr>
    </w:div>
    <w:div w:id="1984234267">
      <w:bodyDiv w:val="1"/>
      <w:marLeft w:val="0"/>
      <w:marRight w:val="0"/>
      <w:marTop w:val="0"/>
      <w:marBottom w:val="0"/>
      <w:divBdr>
        <w:top w:val="none" w:sz="0" w:space="0" w:color="auto"/>
        <w:left w:val="none" w:sz="0" w:space="0" w:color="auto"/>
        <w:bottom w:val="none" w:sz="0" w:space="0" w:color="auto"/>
        <w:right w:val="none" w:sz="0" w:space="0" w:color="auto"/>
      </w:divBdr>
    </w:div>
    <w:div w:id="2049528774">
      <w:bodyDiv w:val="1"/>
      <w:marLeft w:val="0"/>
      <w:marRight w:val="0"/>
      <w:marTop w:val="0"/>
      <w:marBottom w:val="0"/>
      <w:divBdr>
        <w:top w:val="none" w:sz="0" w:space="0" w:color="auto"/>
        <w:left w:val="none" w:sz="0" w:space="0" w:color="auto"/>
        <w:bottom w:val="none" w:sz="0" w:space="0" w:color="auto"/>
        <w:right w:val="none" w:sz="0" w:space="0" w:color="auto"/>
      </w:divBdr>
    </w:div>
    <w:div w:id="2073842719">
      <w:bodyDiv w:val="1"/>
      <w:marLeft w:val="0"/>
      <w:marRight w:val="0"/>
      <w:marTop w:val="0"/>
      <w:marBottom w:val="0"/>
      <w:divBdr>
        <w:top w:val="none" w:sz="0" w:space="0" w:color="auto"/>
        <w:left w:val="none" w:sz="0" w:space="0" w:color="auto"/>
        <w:bottom w:val="none" w:sz="0" w:space="0" w:color="auto"/>
        <w:right w:val="none" w:sz="0" w:space="0" w:color="auto"/>
      </w:divBdr>
    </w:div>
    <w:div w:id="2074154270">
      <w:bodyDiv w:val="1"/>
      <w:marLeft w:val="0"/>
      <w:marRight w:val="0"/>
      <w:marTop w:val="0"/>
      <w:marBottom w:val="0"/>
      <w:divBdr>
        <w:top w:val="none" w:sz="0" w:space="0" w:color="auto"/>
        <w:left w:val="none" w:sz="0" w:space="0" w:color="auto"/>
        <w:bottom w:val="none" w:sz="0" w:space="0" w:color="auto"/>
        <w:right w:val="none" w:sz="0" w:space="0" w:color="auto"/>
      </w:divBdr>
    </w:div>
    <w:div w:id="2074542181">
      <w:bodyDiv w:val="1"/>
      <w:marLeft w:val="0"/>
      <w:marRight w:val="0"/>
      <w:marTop w:val="0"/>
      <w:marBottom w:val="0"/>
      <w:divBdr>
        <w:top w:val="none" w:sz="0" w:space="0" w:color="auto"/>
        <w:left w:val="none" w:sz="0" w:space="0" w:color="auto"/>
        <w:bottom w:val="none" w:sz="0" w:space="0" w:color="auto"/>
        <w:right w:val="none" w:sz="0" w:space="0" w:color="auto"/>
      </w:divBdr>
    </w:div>
    <w:div w:id="2075465905">
      <w:bodyDiv w:val="1"/>
      <w:marLeft w:val="0"/>
      <w:marRight w:val="0"/>
      <w:marTop w:val="0"/>
      <w:marBottom w:val="0"/>
      <w:divBdr>
        <w:top w:val="none" w:sz="0" w:space="0" w:color="auto"/>
        <w:left w:val="none" w:sz="0" w:space="0" w:color="auto"/>
        <w:bottom w:val="none" w:sz="0" w:space="0" w:color="auto"/>
        <w:right w:val="none" w:sz="0" w:space="0" w:color="auto"/>
      </w:divBdr>
    </w:div>
    <w:div w:id="2094885947">
      <w:bodyDiv w:val="1"/>
      <w:marLeft w:val="0"/>
      <w:marRight w:val="0"/>
      <w:marTop w:val="0"/>
      <w:marBottom w:val="0"/>
      <w:divBdr>
        <w:top w:val="none" w:sz="0" w:space="0" w:color="auto"/>
        <w:left w:val="none" w:sz="0" w:space="0" w:color="auto"/>
        <w:bottom w:val="none" w:sz="0" w:space="0" w:color="auto"/>
        <w:right w:val="none" w:sz="0" w:space="0" w:color="auto"/>
      </w:divBdr>
      <w:divsChild>
        <w:div w:id="1243299010">
          <w:marLeft w:val="0"/>
          <w:marRight w:val="0"/>
          <w:marTop w:val="0"/>
          <w:marBottom w:val="0"/>
          <w:divBdr>
            <w:top w:val="none" w:sz="0" w:space="0" w:color="auto"/>
            <w:left w:val="none" w:sz="0" w:space="0" w:color="auto"/>
            <w:bottom w:val="none" w:sz="0" w:space="0" w:color="auto"/>
            <w:right w:val="none" w:sz="0" w:space="0" w:color="auto"/>
          </w:divBdr>
        </w:div>
      </w:divsChild>
    </w:div>
    <w:div w:id="2109081502">
      <w:bodyDiv w:val="1"/>
      <w:marLeft w:val="0"/>
      <w:marRight w:val="0"/>
      <w:marTop w:val="0"/>
      <w:marBottom w:val="0"/>
      <w:divBdr>
        <w:top w:val="none" w:sz="0" w:space="0" w:color="auto"/>
        <w:left w:val="none" w:sz="0" w:space="0" w:color="auto"/>
        <w:bottom w:val="none" w:sz="0" w:space="0" w:color="auto"/>
        <w:right w:val="none" w:sz="0" w:space="0" w:color="auto"/>
      </w:divBdr>
    </w:div>
    <w:div w:id="2110393719">
      <w:bodyDiv w:val="1"/>
      <w:marLeft w:val="0"/>
      <w:marRight w:val="0"/>
      <w:marTop w:val="0"/>
      <w:marBottom w:val="0"/>
      <w:divBdr>
        <w:top w:val="none" w:sz="0" w:space="0" w:color="auto"/>
        <w:left w:val="none" w:sz="0" w:space="0" w:color="auto"/>
        <w:bottom w:val="none" w:sz="0" w:space="0" w:color="auto"/>
        <w:right w:val="none" w:sz="0" w:space="0" w:color="auto"/>
      </w:divBdr>
    </w:div>
    <w:div w:id="2111851451">
      <w:bodyDiv w:val="1"/>
      <w:marLeft w:val="0"/>
      <w:marRight w:val="0"/>
      <w:marTop w:val="0"/>
      <w:marBottom w:val="0"/>
      <w:divBdr>
        <w:top w:val="none" w:sz="0" w:space="0" w:color="auto"/>
        <w:left w:val="none" w:sz="0" w:space="0" w:color="auto"/>
        <w:bottom w:val="none" w:sz="0" w:space="0" w:color="auto"/>
        <w:right w:val="none" w:sz="0" w:space="0" w:color="auto"/>
      </w:divBdr>
    </w:div>
    <w:div w:id="2130120756">
      <w:bodyDiv w:val="1"/>
      <w:marLeft w:val="0"/>
      <w:marRight w:val="0"/>
      <w:marTop w:val="0"/>
      <w:marBottom w:val="0"/>
      <w:divBdr>
        <w:top w:val="none" w:sz="0" w:space="0" w:color="auto"/>
        <w:left w:val="none" w:sz="0" w:space="0" w:color="auto"/>
        <w:bottom w:val="none" w:sz="0" w:space="0" w:color="auto"/>
        <w:right w:val="none" w:sz="0" w:space="0" w:color="auto"/>
      </w:divBdr>
      <w:divsChild>
        <w:div w:id="492525210">
          <w:marLeft w:val="0"/>
          <w:marRight w:val="0"/>
          <w:marTop w:val="0"/>
          <w:marBottom w:val="0"/>
          <w:divBdr>
            <w:top w:val="none" w:sz="0" w:space="0" w:color="auto"/>
            <w:left w:val="none" w:sz="0" w:space="0" w:color="auto"/>
            <w:bottom w:val="none" w:sz="0" w:space="0" w:color="auto"/>
            <w:right w:val="none" w:sz="0" w:space="0" w:color="auto"/>
          </w:divBdr>
        </w:div>
      </w:divsChild>
    </w:div>
    <w:div w:id="2132433623">
      <w:bodyDiv w:val="1"/>
      <w:marLeft w:val="0"/>
      <w:marRight w:val="0"/>
      <w:marTop w:val="0"/>
      <w:marBottom w:val="0"/>
      <w:divBdr>
        <w:top w:val="none" w:sz="0" w:space="0" w:color="auto"/>
        <w:left w:val="none" w:sz="0" w:space="0" w:color="auto"/>
        <w:bottom w:val="none" w:sz="0" w:space="0" w:color="auto"/>
        <w:right w:val="none" w:sz="0" w:space="0" w:color="auto"/>
      </w:divBdr>
    </w:div>
    <w:div w:id="2133208850">
      <w:bodyDiv w:val="1"/>
      <w:marLeft w:val="0"/>
      <w:marRight w:val="0"/>
      <w:marTop w:val="0"/>
      <w:marBottom w:val="0"/>
      <w:divBdr>
        <w:top w:val="none" w:sz="0" w:space="0" w:color="auto"/>
        <w:left w:val="none" w:sz="0" w:space="0" w:color="auto"/>
        <w:bottom w:val="none" w:sz="0" w:space="0" w:color="auto"/>
        <w:right w:val="none" w:sz="0" w:space="0" w:color="auto"/>
      </w:divBdr>
    </w:div>
    <w:div w:id="2138528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yperlink" Target="https://www.abs.gov.au/methodologies/consumer-price-index-australia-methodology/mar-quarter-2023" TargetMode="Externa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29" Type="http://schemas.openxmlformats.org/officeDocument/2006/relationships/hyperlink" Target="https://www.premier.vic.gov.au/site-4/new-wages-policy-strikes-responsible-balance-victor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eader" Target="header8.xml"/><Relationship Id="rId28" Type="http://schemas.openxmlformats.org/officeDocument/2006/relationships/hyperlink" Target="https://www.premier.vic.gov.au/victorian-council-rate-cap-set-next-financial-year-0" TargetMode="Externa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yperlink" Target="https://www.fwc.gov.au/documents/resources/2023fwcfb3500.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Tribunal colours">
      <a:dk1>
        <a:sysClr val="windowText" lastClr="000000"/>
      </a:dk1>
      <a:lt1>
        <a:sysClr val="window" lastClr="FFFFFF"/>
      </a:lt1>
      <a:dk2>
        <a:srgbClr val="000000"/>
      </a:dk2>
      <a:lt2>
        <a:srgbClr val="FFFFFF"/>
      </a:lt2>
      <a:accent1>
        <a:srgbClr val="26664E"/>
      </a:accent1>
      <a:accent2>
        <a:srgbClr val="148A5D"/>
      </a:accent2>
      <a:accent3>
        <a:srgbClr val="70BA85"/>
      </a:accent3>
      <a:accent4>
        <a:srgbClr val="618179"/>
      </a:accent4>
      <a:accent5>
        <a:srgbClr val="29C598"/>
      </a:accent5>
      <a:accent6>
        <a:srgbClr val="4D4D4D"/>
      </a:accent6>
      <a:hlink>
        <a:srgbClr val="5F5F5F"/>
      </a:hlink>
      <a:folHlink>
        <a:srgbClr val="919191"/>
      </a:folHlink>
    </a:clrScheme>
    <a:fontScheme name="Tw Cen MT-Rockwell">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Gas17</b:Tag>
    <b:SourceType>Report</b:SourceType>
    <b:Guid>{C0C5876A-B0AF-4276-AE08-18DD871FA9EA}</b:Guid>
    <b:Title>Building government’s Commercial Capability </b:Title>
    <b:City>London</b:City>
    <b:Year>2017</b:Year>
    <b:Author>
      <b:Author>
        <b:NameList>
          <b:Person>
            <b:Last>Gash</b:Last>
            <b:First>Tom</b:First>
          </b:Person>
        </b:NameList>
      </b:Author>
    </b:Author>
    <b:Publisher>Institute for Government</b:Publisher>
    <b:RefOrder>1</b:RefOrder>
  </b:Source>
</b:Sources>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FDE9B41-C7DA-47AC-AB2A-8D274FAF7CB8}">
  <ds:schemaRefs>
    <ds:schemaRef ds:uri="http://schemas.openxmlformats.org/officeDocument/2006/bibliography"/>
  </ds:schemaRefs>
</ds:datastoreItem>
</file>

<file path=customXml/itemProps2.xml><?xml version="1.0" encoding="utf-8"?>
<ds:datastoreItem xmlns:ds="http://schemas.openxmlformats.org/officeDocument/2006/customXml" ds:itemID="{E1EE5415-C30D-41FF-A187-1B2F8EE3440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6669</Words>
  <Characters>39519</Characters>
  <Application>Microsoft Office Word</Application>
  <DocSecurity>6</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46096</CharactersWithSpaces>
  <SharedDoc>false</SharedDoc>
  <HLinks>
    <vt:vector size="24" baseType="variant">
      <vt:variant>
        <vt:i4>6357043</vt:i4>
      </vt:variant>
      <vt:variant>
        <vt:i4>57</vt:i4>
      </vt:variant>
      <vt:variant>
        <vt:i4>0</vt:i4>
      </vt:variant>
      <vt:variant>
        <vt:i4>5</vt:i4>
      </vt:variant>
      <vt:variant>
        <vt:lpwstr>https://www.premier.vic.gov.au/site-4/new-wages-policy-strikes-responsible-balance-victoria</vt:lpwstr>
      </vt:variant>
      <vt:variant>
        <vt:lpwstr/>
      </vt:variant>
      <vt:variant>
        <vt:i4>6488185</vt:i4>
      </vt:variant>
      <vt:variant>
        <vt:i4>54</vt:i4>
      </vt:variant>
      <vt:variant>
        <vt:i4>0</vt:i4>
      </vt:variant>
      <vt:variant>
        <vt:i4>5</vt:i4>
      </vt:variant>
      <vt:variant>
        <vt:lpwstr>https://www.premier.vic.gov.au/victorian-council-rate-cap-set-next-financial-year-0</vt:lpwstr>
      </vt:variant>
      <vt:variant>
        <vt:lpwstr/>
      </vt:variant>
      <vt:variant>
        <vt:i4>4325463</vt:i4>
      </vt:variant>
      <vt:variant>
        <vt:i4>51</vt:i4>
      </vt:variant>
      <vt:variant>
        <vt:i4>0</vt:i4>
      </vt:variant>
      <vt:variant>
        <vt:i4>5</vt:i4>
      </vt:variant>
      <vt:variant>
        <vt:lpwstr>https://www.fwc.gov.au/documents/resources/2023fwcfb3500.pdf</vt:lpwstr>
      </vt:variant>
      <vt:variant>
        <vt:lpwstr/>
      </vt:variant>
      <vt:variant>
        <vt:i4>2031684</vt:i4>
      </vt:variant>
      <vt:variant>
        <vt:i4>48</vt:i4>
      </vt:variant>
      <vt:variant>
        <vt:i4>0</vt:i4>
      </vt:variant>
      <vt:variant>
        <vt:i4>5</vt:i4>
      </vt:variant>
      <vt:variant>
        <vt:lpwstr>https://www.abs.gov.au/methodologies/consumer-price-index-australia-methodology/mar-quarter-2023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2023-06-30T00:33:00Z</dcterms:created>
  <dcterms:modified xsi:type="dcterms:W3CDTF">2023-06-30T00:33:00Z</dcterms:modified>
</cp:coreProperties>
</file>