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440B" w14:textId="4E2F67A9" w:rsidR="006E4A93" w:rsidRPr="002C71E0" w:rsidRDefault="00C7114C" w:rsidP="00C7114C">
      <w:pPr>
        <w:pStyle w:val="Title"/>
        <w:rPr>
          <w:color w:val="FFFFFF" w:themeColor="background1"/>
        </w:rPr>
      </w:pPr>
      <w:r w:rsidRPr="002C71E0">
        <w:rPr>
          <w:color w:val="FFFFFF" w:themeColor="background1"/>
        </w:rPr>
        <w:t>Towards Best Practice</w:t>
      </w:r>
    </w:p>
    <w:p w14:paraId="49B8ED04" w14:textId="77777777" w:rsidR="00160595" w:rsidRPr="002C71E0" w:rsidRDefault="00C7114C" w:rsidP="00C7114C">
      <w:pPr>
        <w:pStyle w:val="Subtitle"/>
        <w:rPr>
          <w:color w:val="FFFFFF" w:themeColor="background1"/>
        </w:rPr>
      </w:pPr>
      <w:r w:rsidRPr="002C71E0">
        <w:rPr>
          <w:color w:val="FFFFFF" w:themeColor="background1"/>
        </w:rPr>
        <w:t>A guide for regulators</w:t>
      </w:r>
    </w:p>
    <w:p w14:paraId="3D95C796" w14:textId="655A0684" w:rsidR="00C7114C" w:rsidRPr="00160595" w:rsidRDefault="00C7114C" w:rsidP="00160595">
      <w:pPr>
        <w:sectPr w:rsidR="00C7114C" w:rsidRPr="00160595" w:rsidSect="00B51D56">
          <w:footerReference w:type="default" r:id="rId12"/>
          <w:headerReference w:type="first" r:id="rId13"/>
          <w:footerReference w:type="first" r:id="rId14"/>
          <w:pgSz w:w="11906" w:h="16838" w:code="9"/>
          <w:pgMar w:top="2592" w:right="1138" w:bottom="1138" w:left="1138" w:header="1138" w:footer="648" w:gutter="0"/>
          <w:cols w:space="708"/>
          <w:titlePg/>
          <w:docGrid w:linePitch="360"/>
        </w:sectPr>
      </w:pPr>
    </w:p>
    <w:p w14:paraId="361697B1" w14:textId="77777777" w:rsidR="00D35CF3" w:rsidRDefault="00D35CF3" w:rsidP="00D35CF3"/>
    <w:p w14:paraId="52E2BBBE" w14:textId="77777777" w:rsidR="00F971F8" w:rsidRPr="00C92338" w:rsidRDefault="00F971F8" w:rsidP="00F971F8">
      <w:pPr>
        <w:pStyle w:val="Insidecoverspacer"/>
        <w:spacing w:before="4400"/>
      </w:pPr>
    </w:p>
    <w:p w14:paraId="5F495258" w14:textId="77777777" w:rsidR="00F971F8" w:rsidRDefault="00F971F8" w:rsidP="00F971F8">
      <w:pPr>
        <w:pStyle w:val="NormalTight"/>
      </w:pPr>
      <w:r>
        <w:t>Better Regulation Victoria</w:t>
      </w:r>
    </w:p>
    <w:p w14:paraId="1AE8F082" w14:textId="77777777" w:rsidR="00F971F8" w:rsidRDefault="00F971F8" w:rsidP="00F971F8">
      <w:pPr>
        <w:pStyle w:val="NormalTight"/>
      </w:pPr>
      <w:r>
        <w:t>GPO Box 4379</w:t>
      </w:r>
    </w:p>
    <w:p w14:paraId="755F6C56" w14:textId="77777777" w:rsidR="00F971F8" w:rsidRDefault="00F971F8" w:rsidP="00F971F8">
      <w:pPr>
        <w:pStyle w:val="NormalTight"/>
      </w:pPr>
      <w:r>
        <w:t>Melbourne Victoria 3001 Australia</w:t>
      </w:r>
    </w:p>
    <w:p w14:paraId="68CC1986" w14:textId="77777777" w:rsidR="00F971F8" w:rsidRDefault="00F971F8" w:rsidP="00F971F8">
      <w:pPr>
        <w:pStyle w:val="NormalTight"/>
      </w:pPr>
      <w:r>
        <w:t>Telephone: 03 7005 9772</w:t>
      </w:r>
    </w:p>
    <w:p w14:paraId="78FC144D" w14:textId="77777777" w:rsidR="00F971F8" w:rsidRDefault="00F971F8" w:rsidP="00F971F8">
      <w:pPr>
        <w:pStyle w:val="NormalTight"/>
      </w:pPr>
      <w:r>
        <w:t xml:space="preserve">Email: </w:t>
      </w:r>
      <w:hyperlink r:id="rId15" w:history="1">
        <w:r w:rsidRPr="00457651">
          <w:rPr>
            <w:rStyle w:val="Hyperlink"/>
          </w:rPr>
          <w:t>contact@betterreg.vic.gov.au</w:t>
        </w:r>
      </w:hyperlink>
    </w:p>
    <w:p w14:paraId="79A3BA04" w14:textId="77777777" w:rsidR="00F971F8" w:rsidRDefault="00F971F8" w:rsidP="00F971F8">
      <w:pPr>
        <w:pStyle w:val="NormalTight"/>
      </w:pPr>
      <w:r>
        <w:t xml:space="preserve">Webpage: </w:t>
      </w:r>
      <w:hyperlink r:id="rId16" w:history="1">
        <w:r w:rsidRPr="00457651">
          <w:rPr>
            <w:rStyle w:val="Hyperlink"/>
          </w:rPr>
          <w:t>www.betterregulation.vic.gov.au</w:t>
        </w:r>
      </w:hyperlink>
      <w:r>
        <w:t xml:space="preserve"> </w:t>
      </w:r>
    </w:p>
    <w:p w14:paraId="192428F6" w14:textId="77777777" w:rsidR="00F971F8" w:rsidRDefault="00F971F8" w:rsidP="00F971F8">
      <w:pPr>
        <w:pStyle w:val="NormalTight"/>
      </w:pPr>
    </w:p>
    <w:p w14:paraId="1B442270" w14:textId="77777777" w:rsidR="00F971F8" w:rsidRPr="00C92338" w:rsidRDefault="00F971F8" w:rsidP="00F971F8">
      <w:pPr>
        <w:pStyle w:val="NormalTight"/>
      </w:pPr>
      <w:r w:rsidRPr="00C92338">
        <w:t>Authorised by the Victorian Government</w:t>
      </w:r>
    </w:p>
    <w:p w14:paraId="1FE9D797" w14:textId="77777777" w:rsidR="00F971F8" w:rsidRPr="00C92338" w:rsidRDefault="00F971F8" w:rsidP="00F971F8">
      <w:pPr>
        <w:pStyle w:val="NormalTight"/>
      </w:pPr>
      <w:r w:rsidRPr="00C92338">
        <w:t>1 Treasury Place, Melbourne, 3002</w:t>
      </w:r>
    </w:p>
    <w:p w14:paraId="69007878" w14:textId="77777777" w:rsidR="00F971F8" w:rsidRDefault="00F971F8" w:rsidP="00F971F8">
      <w:pPr>
        <w:pStyle w:val="NormalTight"/>
      </w:pPr>
    </w:p>
    <w:p w14:paraId="521A91C6" w14:textId="77777777" w:rsidR="00F971F8" w:rsidRDefault="00F971F8" w:rsidP="00F971F8">
      <w:pPr>
        <w:pStyle w:val="NormalTight"/>
      </w:pPr>
      <w:r>
        <w:t>© State of Victoria 2022</w:t>
      </w:r>
    </w:p>
    <w:p w14:paraId="60572E45" w14:textId="77777777" w:rsidR="00F971F8" w:rsidRDefault="00F971F8" w:rsidP="00F971F8">
      <w:r w:rsidRPr="00C92338">
        <w:rPr>
          <w:noProof/>
        </w:rPr>
        <w:drawing>
          <wp:inline distT="0" distB="0" distL="0" distR="0" wp14:anchorId="71130437" wp14:editId="0195B230">
            <wp:extent cx="1117460" cy="390972"/>
            <wp:effectExtent l="0" t="0" r="6985" b="9525"/>
            <wp:docPr id="5" name="Creative Commons logo">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0B970900" w14:textId="77777777" w:rsidR="00F971F8" w:rsidRDefault="00F971F8" w:rsidP="00F971F8">
      <w:pPr>
        <w:pStyle w:val="NormalTight"/>
        <w:spacing w:before="60" w:afterLines="60" w:after="144"/>
      </w:pPr>
      <w:r>
        <w:t>You are free to re</w:t>
      </w:r>
      <w:r>
        <w:noBreakHyphen/>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3C41091C" w14:textId="77777777" w:rsidR="00F971F8" w:rsidRDefault="00F971F8" w:rsidP="00F971F8">
      <w:pPr>
        <w:pStyle w:val="NormalTight"/>
        <w:spacing w:before="60" w:afterLines="60" w:after="144"/>
      </w:pPr>
      <w:r>
        <w:t xml:space="preserve">Copyright queries may be directed to </w:t>
      </w:r>
      <w:hyperlink r:id="rId19" w:history="1">
        <w:r w:rsidRPr="00457651">
          <w:rPr>
            <w:rStyle w:val="Hyperlink"/>
          </w:rPr>
          <w:t>IPpolicy@dtf.vic.gov.au</w:t>
        </w:r>
      </w:hyperlink>
    </w:p>
    <w:p w14:paraId="26075549" w14:textId="4A873CB5" w:rsidR="00F971F8" w:rsidRDefault="00F971F8" w:rsidP="00F971F8">
      <w:pPr>
        <w:pStyle w:val="NormalTight"/>
        <w:spacing w:before="60" w:afterLines="60" w:after="144"/>
      </w:pPr>
      <w:r>
        <w:t>Published</w:t>
      </w:r>
      <w:r w:rsidRPr="006E47AA">
        <w:t xml:space="preserve"> </w:t>
      </w:r>
      <w:r w:rsidR="0010589B">
        <w:t>May 2022</w:t>
      </w:r>
    </w:p>
    <w:p w14:paraId="025F8A65" w14:textId="77777777" w:rsidR="00F971F8" w:rsidRDefault="00F971F8" w:rsidP="00F971F8">
      <w:pPr>
        <w:pStyle w:val="NormalTight"/>
        <w:spacing w:before="60" w:afterLines="60" w:after="144"/>
      </w:pPr>
      <w:r>
        <w:t xml:space="preserve">If you would like to receive this publication in a different format please email </w:t>
      </w:r>
      <w:hyperlink r:id="rId20" w:history="1">
        <w:r w:rsidRPr="00457651">
          <w:rPr>
            <w:rStyle w:val="Hyperlink"/>
          </w:rPr>
          <w:t>contact@betterreg.vic.gov.au</w:t>
        </w:r>
      </w:hyperlink>
    </w:p>
    <w:p w14:paraId="264CF300" w14:textId="77777777" w:rsidR="00F971F8" w:rsidRDefault="00F971F8" w:rsidP="00F971F8">
      <w:pPr>
        <w:pStyle w:val="NormalTight"/>
        <w:spacing w:before="60" w:afterLines="60" w:after="144"/>
      </w:pPr>
      <w:r>
        <w:t xml:space="preserve">This document is also available in Word and PDF formats at </w:t>
      </w:r>
      <w:hyperlink r:id="rId21" w:history="1">
        <w:r w:rsidRPr="00457651">
          <w:rPr>
            <w:rStyle w:val="Hyperlink"/>
          </w:rPr>
          <w:t>www.betterregulation.vic.gov.au</w:t>
        </w:r>
      </w:hyperlink>
    </w:p>
    <w:p w14:paraId="61ECE55E" w14:textId="6F4F5E54" w:rsidR="006857EE" w:rsidRDefault="006857EE" w:rsidP="006857EE">
      <w:pPr>
        <w:spacing w:after="0" w:line="240" w:lineRule="auto"/>
        <w:contextualSpacing/>
        <w:sectPr w:rsidR="006857EE" w:rsidSect="0056116C">
          <w:headerReference w:type="default" r:id="rId22"/>
          <w:pgSz w:w="11906" w:h="16838"/>
          <w:pgMar w:top="1134" w:right="1134" w:bottom="1134" w:left="1701" w:header="1701" w:footer="1134" w:gutter="0"/>
          <w:cols w:space="708"/>
          <w:docGrid w:linePitch="360"/>
        </w:sectPr>
      </w:pPr>
    </w:p>
    <w:p w14:paraId="54DE54FB" w14:textId="77777777" w:rsidR="00C7114C" w:rsidRPr="009B2709" w:rsidRDefault="00C7114C" w:rsidP="00CA5949">
      <w:pPr>
        <w:pStyle w:val="Heading1"/>
        <w:spacing w:before="0" w:after="160" w:line="254" w:lineRule="auto"/>
      </w:pPr>
      <w:bookmarkStart w:id="0" w:name="_Toc100589332"/>
      <w:r w:rsidRPr="009B2709">
        <w:t xml:space="preserve">The role of </w:t>
      </w:r>
      <w:r>
        <w:t xml:space="preserve">this </w:t>
      </w:r>
      <w:r w:rsidRPr="009B2709">
        <w:t>guidance</w:t>
      </w:r>
      <w:bookmarkEnd w:id="0"/>
    </w:p>
    <w:p w14:paraId="706F0DFA" w14:textId="77777777" w:rsidR="00C7114C" w:rsidRDefault="00C7114C" w:rsidP="007206BF">
      <w:r w:rsidRPr="71680761">
        <w:t>Regulators play a critical role in protecting communities and our environment from risks of harm. They have a specific status in government, with powers and functions that exercise control or place responsibilities on individuals, businesses, the public, and government bodies. Accordingly, regulators are expected to maintain the highest standards of conduct and integrity.</w:t>
      </w:r>
    </w:p>
    <w:p w14:paraId="6F782621" w14:textId="77777777" w:rsidR="00C7114C" w:rsidRDefault="00C7114C" w:rsidP="007206BF">
      <w:r w:rsidRPr="7EB9489A">
        <w:t xml:space="preserve">The role of a model regulator is challenging. </w:t>
      </w:r>
      <w:r>
        <w:t xml:space="preserve">Regulators </w:t>
      </w:r>
      <w:r w:rsidRPr="24550E3C">
        <w:t xml:space="preserve">are </w:t>
      </w:r>
      <w:r w:rsidRPr="1997224E">
        <w:t xml:space="preserve">expected </w:t>
      </w:r>
      <w:r>
        <w:t xml:space="preserve">to </w:t>
      </w:r>
      <w:r w:rsidRPr="24550E3C">
        <w:t>protect against harms</w:t>
      </w:r>
      <w:r w:rsidRPr="771C370E">
        <w:t xml:space="preserve"> arising from </w:t>
      </w:r>
      <w:r>
        <w:t xml:space="preserve">the </w:t>
      </w:r>
      <w:r w:rsidRPr="771C370E">
        <w:t>behaviour of duty holders</w:t>
      </w:r>
      <w:r w:rsidRPr="1997224E">
        <w:t>, principally by holding</w:t>
      </w:r>
      <w:r w:rsidRPr="7EB9489A">
        <w:t xml:space="preserve"> </w:t>
      </w:r>
      <w:r w:rsidRPr="771C370E">
        <w:t xml:space="preserve">these parties </w:t>
      </w:r>
      <w:r w:rsidRPr="7EB9489A">
        <w:t>to account</w:t>
      </w:r>
      <w:r w:rsidRPr="24550E3C">
        <w:t>. Businesses</w:t>
      </w:r>
      <w:r w:rsidRPr="7EB9489A">
        <w:t xml:space="preserve"> and the community </w:t>
      </w:r>
      <w:r w:rsidRPr="24550E3C">
        <w:t xml:space="preserve">expect that </w:t>
      </w:r>
      <w:r>
        <w:t xml:space="preserve">they </w:t>
      </w:r>
      <w:r w:rsidRPr="7EB9489A">
        <w:t>do this effectively</w:t>
      </w:r>
      <w:r>
        <w:t>,</w:t>
      </w:r>
      <w:r w:rsidRPr="7EB9489A">
        <w:t xml:space="preserve"> </w:t>
      </w:r>
      <w:r>
        <w:t xml:space="preserve">and efficiently use their </w:t>
      </w:r>
      <w:r w:rsidRPr="08F4A9C0">
        <w:t>available resources</w:t>
      </w:r>
      <w:r>
        <w:t xml:space="preserve"> in doing so. </w:t>
      </w:r>
    </w:p>
    <w:p w14:paraId="6F5BB8FF" w14:textId="77777777" w:rsidR="00C7114C" w:rsidRDefault="00C7114C" w:rsidP="007206BF">
      <w:r>
        <w:t xml:space="preserve">Through their choices and regulatory approach, </w:t>
      </w:r>
      <w:r w:rsidRPr="6F999B8D">
        <w:t xml:space="preserve">Victorian regulators need to </w:t>
      </w:r>
      <w:r w:rsidRPr="49E3A3CD">
        <w:t>ensure that</w:t>
      </w:r>
      <w:r>
        <w:t xml:space="preserve"> </w:t>
      </w:r>
      <w:r w:rsidRPr="49E3A3CD">
        <w:t>they are effective in shifting duty holder behaviour,</w:t>
      </w:r>
      <w:r w:rsidRPr="6F999B8D">
        <w:t xml:space="preserve"> they are responsive to those they regulate, </w:t>
      </w:r>
      <w:r>
        <w:t xml:space="preserve">they collaborate and share information, </w:t>
      </w:r>
      <w:r w:rsidRPr="6F999B8D">
        <w:t xml:space="preserve">and they strive for </w:t>
      </w:r>
      <w:r w:rsidRPr="49E3A3CD">
        <w:t xml:space="preserve">continuous improvements in their operations and supporting systems. </w:t>
      </w:r>
    </w:p>
    <w:p w14:paraId="2CD4F5F7" w14:textId="77777777" w:rsidR="00C7114C" w:rsidRDefault="00C7114C" w:rsidP="007206BF">
      <w:r w:rsidRPr="7EB9489A">
        <w:t>This guidance sets out 10 principles of regulat</w:t>
      </w:r>
      <w:r>
        <w:t>ory practice</w:t>
      </w:r>
      <w:r w:rsidRPr="7EB9489A">
        <w:t xml:space="preserve"> that </w:t>
      </w:r>
      <w:r>
        <w:t xml:space="preserve">will support </w:t>
      </w:r>
      <w:r w:rsidRPr="7EB9489A">
        <w:t>all Victorian regulators</w:t>
      </w:r>
      <w:r>
        <w:t xml:space="preserve"> to improve their activities towards best practice</w:t>
      </w:r>
      <w:r w:rsidRPr="7EB9489A">
        <w:t xml:space="preserve">. They describe the high-level approaches for regulators </w:t>
      </w:r>
      <w:r>
        <w:t xml:space="preserve">to orient their work around regulatory harms, and to meet </w:t>
      </w:r>
      <w:r w:rsidRPr="7EB9489A">
        <w:t xml:space="preserve">their </w:t>
      </w:r>
      <w:r w:rsidRPr="24550E3C">
        <w:t>objectives, functions and duties</w:t>
      </w:r>
      <w:r w:rsidRPr="7EB9489A">
        <w:t xml:space="preserve">. </w:t>
      </w:r>
    </w:p>
    <w:p w14:paraId="00ECCACB" w14:textId="77777777" w:rsidR="00C7114C" w:rsidRDefault="00C7114C" w:rsidP="007206BF">
      <w:r w:rsidRPr="7EB9489A">
        <w:t xml:space="preserve">Delivering </w:t>
      </w:r>
      <w:r w:rsidRPr="24550E3C">
        <w:t xml:space="preserve">on </w:t>
      </w:r>
      <w:r w:rsidRPr="7EB9489A">
        <w:t>these principles</w:t>
      </w:r>
      <w:r>
        <w:t xml:space="preserve"> is part of a continuous improvement approach that is intrinsic to ‘best practice’, </w:t>
      </w:r>
      <w:r w:rsidRPr="7EB9489A">
        <w:t xml:space="preserve">recognising </w:t>
      </w:r>
      <w:r>
        <w:t xml:space="preserve">the different contexts in which </w:t>
      </w:r>
      <w:r w:rsidRPr="7EB9489A">
        <w:t xml:space="preserve">individual regulators </w:t>
      </w:r>
      <w:r>
        <w:t xml:space="preserve">operate. </w:t>
      </w:r>
    </w:p>
    <w:p w14:paraId="172C7ADB" w14:textId="77777777" w:rsidR="00C7114C" w:rsidRDefault="00C7114C" w:rsidP="007206BF">
      <w:r w:rsidRPr="71680761">
        <w:t xml:space="preserve">Regulators should consider how well they meet these principles at all levels within and across their organisation. They need to ensure that these principles </w:t>
      </w:r>
      <w:r>
        <w:t xml:space="preserve">are the basis of their activities and their </w:t>
      </w:r>
      <w:r w:rsidRPr="71680761">
        <w:t xml:space="preserve">culture. This </w:t>
      </w:r>
      <w:r>
        <w:t xml:space="preserve">will involve </w:t>
      </w:r>
      <w:r w:rsidRPr="71680761">
        <w:t>regulators</w:t>
      </w:r>
      <w:r>
        <w:t xml:space="preserve"> dealing with their specific constraints</w:t>
      </w:r>
      <w:r w:rsidRPr="71680761">
        <w:t>, including legislative</w:t>
      </w:r>
      <w:r>
        <w:t>, policy</w:t>
      </w:r>
      <w:r w:rsidRPr="71680761">
        <w:t xml:space="preserve"> and resource </w:t>
      </w:r>
      <w:r>
        <w:t>challenge</w:t>
      </w:r>
      <w:r w:rsidRPr="71680761">
        <w:t>s</w:t>
      </w:r>
      <w:r>
        <w:t xml:space="preserve">. Addressing such constraints involves collaboration with and support from </w:t>
      </w:r>
      <w:r w:rsidRPr="71680761">
        <w:t xml:space="preserve">policymakers and agencies that oversee regulators. </w:t>
      </w:r>
    </w:p>
    <w:p w14:paraId="2071E460" w14:textId="77777777" w:rsidR="00C7114C" w:rsidRDefault="00C7114C" w:rsidP="007206BF">
      <w:r w:rsidRPr="432F1BF9">
        <w:t>This guidance sets out principles that regulators may need support to deliver – through stakeholder feedback, departmental support, and policy making that is responsive to the unique challenges that they face. The nature of this support will depend on the specific role, governance, and independence of each regulator – from embedded departmental functions to independent statutory bodies.</w:t>
      </w:r>
    </w:p>
    <w:p w14:paraId="424187EC" w14:textId="4C52FA6C" w:rsidR="009A6494" w:rsidRDefault="00C7114C" w:rsidP="007206BF">
      <w:r>
        <w:t xml:space="preserve">This guidance was developed by Better Regulation Victoria with a dedicated working group from a cross-section of Victorian regulators.  This engagement helped ensure that these principles would apply to and represent the breadth of regulatory functions in Victoria.  </w:t>
      </w:r>
      <w:r w:rsidRPr="7EB9489A">
        <w:t>Better Regulation Victoria</w:t>
      </w:r>
      <w:r w:rsidRPr="7EB9489A" w:rsidDel="7DFE52BB">
        <w:t xml:space="preserve"> </w:t>
      </w:r>
      <w:r w:rsidRPr="7EB9489A">
        <w:t xml:space="preserve">will support regulators to put this guidance into effect through resources and </w:t>
      </w:r>
      <w:r w:rsidRPr="49E3A3CD">
        <w:t>ongoing collaboration.</w:t>
      </w:r>
    </w:p>
    <w:p w14:paraId="1CE16F3F" w14:textId="77777777" w:rsidR="00C7114C" w:rsidRPr="009B2709" w:rsidRDefault="00C7114C" w:rsidP="005526A8">
      <w:pPr>
        <w:pStyle w:val="Heading1"/>
        <w:pageBreakBefore/>
        <w:spacing w:after="160" w:line="254" w:lineRule="auto"/>
      </w:pPr>
      <w:bookmarkStart w:id="1" w:name="_Toc100589333"/>
      <w:r>
        <w:t xml:space="preserve">Ten </w:t>
      </w:r>
      <w:r w:rsidRPr="009B2709">
        <w:t>principles</w:t>
      </w:r>
      <w:r>
        <w:t xml:space="preserve"> of good regulatory practice</w:t>
      </w:r>
      <w:bookmarkEnd w:id="1"/>
    </w:p>
    <w:p w14:paraId="0F75908B" w14:textId="4E6F1282" w:rsidR="00C7114C" w:rsidRDefault="00C7114C" w:rsidP="007206BF">
      <w:r>
        <w:t>This guidance sets out 10 regulatory practice principles under three themes, with sub</w:t>
      </w:r>
      <w:r>
        <w:noBreakHyphen/>
        <w:t xml:space="preserve">elements that detail how these principles may be put into effect. </w:t>
      </w:r>
    </w:p>
    <w:p w14:paraId="2C36D101" w14:textId="77777777" w:rsidR="00C7114C" w:rsidRDefault="00C7114C" w:rsidP="007206BF">
      <w:r>
        <w:t>T</w:t>
      </w:r>
      <w:r w:rsidRPr="71680761">
        <w:t xml:space="preserve">his guidance is written to support leaders in regulators tasked with the goal of improving performance. </w:t>
      </w:r>
      <w:r>
        <w:t xml:space="preserve"> These are addressed to those who are responsible for regulatory improvement – ‘you.’</w:t>
      </w:r>
    </w:p>
    <w:p w14:paraId="4DFCE928" w14:textId="77777777" w:rsidR="00C7114C" w:rsidRDefault="00C7114C" w:rsidP="007206BF">
      <w:r w:rsidRPr="71680761">
        <w:t>You may be a CEO or Executive, manager, or regulatory specialist, or may be delivering an improvement project or building regulatory capability. Whatever the circumstances, you need to prioritise attention to regulatory improvement at highest level of operations and in governance.</w:t>
      </w:r>
    </w:p>
    <w:p w14:paraId="7A897C8B" w14:textId="77777777" w:rsidR="00C7114C" w:rsidRDefault="00C7114C" w:rsidP="007206BF">
      <w:pPr>
        <w:rPr>
          <w:b/>
          <w:bCs/>
          <w:sz w:val="24"/>
          <w:szCs w:val="24"/>
        </w:rPr>
      </w:pPr>
      <w:r>
        <w:t>Whilst they apply to all, regulator objectives, scale and situations vary. You should consider what are proportionate and appropriate approaches in context.</w:t>
      </w:r>
      <w:r w:rsidRPr="71680761">
        <w:rPr>
          <w:b/>
          <w:bCs/>
          <w:sz w:val="24"/>
          <w:szCs w:val="24"/>
        </w:rPr>
        <w:t xml:space="preserve"> </w:t>
      </w:r>
    </w:p>
    <w:p w14:paraId="077BD89C" w14:textId="77777777" w:rsidR="00C7114C" w:rsidRPr="004602AD" w:rsidRDefault="00C7114C" w:rsidP="007206BF">
      <w:r w:rsidRPr="004602AD">
        <w:t xml:space="preserve">This guidance has principles relevant to strategy setting (page </w:t>
      </w:r>
      <w:r>
        <w:t>5</w:t>
      </w:r>
      <w:r w:rsidRPr="004602AD">
        <w:t xml:space="preserve">), operations (page </w:t>
      </w:r>
      <w:r>
        <w:t>8</w:t>
      </w:r>
      <w:r w:rsidRPr="004602AD">
        <w:t xml:space="preserve">), and enabling practices (page </w:t>
      </w:r>
      <w:r>
        <w:t>11</w:t>
      </w:r>
      <w:r w:rsidRPr="004602AD">
        <w:t xml:space="preserve">). These are supported by guidance on implementation (page </w:t>
      </w:r>
      <w:r>
        <w:t>14</w:t>
      </w:r>
      <w:r w:rsidRPr="004602AD">
        <w:t xml:space="preserve">) and definitions (page </w:t>
      </w:r>
      <w:r>
        <w:t>16</w:t>
      </w:r>
      <w:r w:rsidRPr="004602AD">
        <w:t>).</w:t>
      </w:r>
    </w:p>
    <w:tbl>
      <w:tblPr>
        <w:tblStyle w:val="Texttable"/>
        <w:tblW w:w="0" w:type="auto"/>
        <w:tblBorders>
          <w:top w:val="single" w:sz="6" w:space="0" w:color="A6A6A6" w:themeColor="background1" w:themeShade="A6"/>
          <w:bottom w:val="single" w:sz="6" w:space="0" w:color="A6A6A6" w:themeColor="background1" w:themeShade="A6"/>
          <w:insideV w:val="single" w:sz="6" w:space="0" w:color="A6A6A6" w:themeColor="background1" w:themeShade="A6"/>
        </w:tblBorders>
        <w:tblLook w:val="0400" w:firstRow="0" w:lastRow="0" w:firstColumn="0" w:lastColumn="0" w:noHBand="0" w:noVBand="1"/>
      </w:tblPr>
      <w:tblGrid>
        <w:gridCol w:w="484"/>
        <w:gridCol w:w="8527"/>
      </w:tblGrid>
      <w:tr w:rsidR="00C7114C" w:rsidRPr="00C7114C" w14:paraId="122F49C2" w14:textId="77777777" w:rsidTr="008F6A0B">
        <w:trPr>
          <w:trHeight w:val="671"/>
        </w:trPr>
        <w:tc>
          <w:tcPr>
            <w:tcW w:w="484" w:type="dxa"/>
            <w:vMerge w:val="restart"/>
            <w:shd w:val="clear" w:color="auto" w:fill="87189D" w:themeFill="accent1"/>
            <w:textDirection w:val="btLr"/>
            <w:vAlign w:val="bottom"/>
          </w:tcPr>
          <w:p w14:paraId="69B12EFA" w14:textId="77777777" w:rsidR="00C7114C" w:rsidRPr="008F6A0B" w:rsidRDefault="00C7114C" w:rsidP="00C7114C">
            <w:pPr>
              <w:spacing w:before="0" w:after="0"/>
              <w:jc w:val="center"/>
              <w:rPr>
                <w:rFonts w:asciiTheme="majorHAnsi" w:hAnsiTheme="majorHAnsi"/>
                <w:color w:val="FFFFFF" w:themeColor="background1"/>
                <w:sz w:val="18"/>
                <w:szCs w:val="18"/>
              </w:rPr>
            </w:pPr>
            <w:r w:rsidRPr="008F6A0B">
              <w:rPr>
                <w:rFonts w:asciiTheme="majorHAnsi" w:hAnsiTheme="majorHAnsi"/>
                <w:color w:val="FFFFFF" w:themeColor="background1"/>
                <w:sz w:val="18"/>
                <w:szCs w:val="18"/>
              </w:rPr>
              <w:t>Strategy</w:t>
            </w:r>
          </w:p>
        </w:tc>
        <w:tc>
          <w:tcPr>
            <w:tcW w:w="8527" w:type="dxa"/>
            <w:vAlign w:val="center"/>
          </w:tcPr>
          <w:p w14:paraId="4D640C0E" w14:textId="77777777" w:rsidR="00C7114C" w:rsidRPr="00C7114C" w:rsidRDefault="00C7114C" w:rsidP="00C7114C">
            <w:pPr>
              <w:pStyle w:val="Numpara"/>
              <w:rPr>
                <w:sz w:val="18"/>
                <w:szCs w:val="18"/>
              </w:rPr>
            </w:pPr>
            <w:r w:rsidRPr="00C7114C">
              <w:rPr>
                <w:sz w:val="18"/>
                <w:szCs w:val="18"/>
              </w:rPr>
              <w:t>Be clear on your regulatory outcome and the harms you are trying to minimise</w:t>
            </w:r>
          </w:p>
        </w:tc>
      </w:tr>
      <w:tr w:rsidR="00C7114C" w:rsidRPr="00C7114C" w14:paraId="6C88503C" w14:textId="77777777" w:rsidTr="008F6A0B">
        <w:trPr>
          <w:cnfStyle w:val="000000010000" w:firstRow="0" w:lastRow="0" w:firstColumn="0" w:lastColumn="0" w:oddVBand="0" w:evenVBand="0" w:oddHBand="0" w:evenHBand="1" w:firstRowFirstColumn="0" w:firstRowLastColumn="0" w:lastRowFirstColumn="0" w:lastRowLastColumn="0"/>
          <w:trHeight w:val="671"/>
        </w:trPr>
        <w:tc>
          <w:tcPr>
            <w:tcW w:w="484" w:type="dxa"/>
            <w:vMerge/>
            <w:shd w:val="clear" w:color="auto" w:fill="87189D" w:themeFill="accent1"/>
            <w:vAlign w:val="bottom"/>
          </w:tcPr>
          <w:p w14:paraId="3B2D54B2" w14:textId="77777777" w:rsidR="00C7114C" w:rsidRPr="008F6A0B" w:rsidRDefault="00C7114C" w:rsidP="00C7114C">
            <w:pPr>
              <w:spacing w:before="0" w:after="0"/>
              <w:jc w:val="center"/>
              <w:rPr>
                <w:rFonts w:asciiTheme="majorHAnsi" w:hAnsiTheme="majorHAnsi"/>
                <w:color w:val="FFFFFF" w:themeColor="background1"/>
                <w:sz w:val="18"/>
                <w:szCs w:val="18"/>
              </w:rPr>
            </w:pPr>
          </w:p>
        </w:tc>
        <w:tc>
          <w:tcPr>
            <w:tcW w:w="8527" w:type="dxa"/>
            <w:vAlign w:val="center"/>
          </w:tcPr>
          <w:p w14:paraId="5516F380" w14:textId="77777777" w:rsidR="00C7114C" w:rsidRPr="00C7114C" w:rsidRDefault="00C7114C" w:rsidP="00C7114C">
            <w:pPr>
              <w:pStyle w:val="Numpara"/>
              <w:rPr>
                <w:sz w:val="18"/>
                <w:szCs w:val="18"/>
              </w:rPr>
            </w:pPr>
            <w:r w:rsidRPr="00C7114C">
              <w:rPr>
                <w:sz w:val="18"/>
                <w:szCs w:val="18"/>
              </w:rPr>
              <w:t xml:space="preserve">Establish and refine your approach to minimising harms </w:t>
            </w:r>
          </w:p>
        </w:tc>
      </w:tr>
      <w:tr w:rsidR="00C7114C" w:rsidRPr="00C7114C" w14:paraId="1321427A" w14:textId="77777777" w:rsidTr="008F6A0B">
        <w:trPr>
          <w:trHeight w:val="671"/>
        </w:trPr>
        <w:tc>
          <w:tcPr>
            <w:tcW w:w="484" w:type="dxa"/>
            <w:vMerge/>
            <w:shd w:val="clear" w:color="auto" w:fill="87189D" w:themeFill="accent1"/>
            <w:vAlign w:val="bottom"/>
          </w:tcPr>
          <w:p w14:paraId="447B0CBA" w14:textId="77777777" w:rsidR="00C7114C" w:rsidRPr="008F6A0B" w:rsidRDefault="00C7114C" w:rsidP="00C7114C">
            <w:pPr>
              <w:spacing w:before="0" w:after="0"/>
              <w:jc w:val="center"/>
              <w:rPr>
                <w:rFonts w:asciiTheme="majorHAnsi" w:hAnsiTheme="majorHAnsi"/>
                <w:color w:val="FFFFFF" w:themeColor="background1"/>
                <w:sz w:val="18"/>
                <w:szCs w:val="18"/>
              </w:rPr>
            </w:pPr>
          </w:p>
        </w:tc>
        <w:tc>
          <w:tcPr>
            <w:tcW w:w="8527" w:type="dxa"/>
            <w:vAlign w:val="center"/>
          </w:tcPr>
          <w:p w14:paraId="3FA40A05" w14:textId="77777777" w:rsidR="00C7114C" w:rsidRPr="00C7114C" w:rsidRDefault="00C7114C" w:rsidP="00C7114C">
            <w:pPr>
              <w:pStyle w:val="Numpara"/>
              <w:rPr>
                <w:sz w:val="18"/>
                <w:szCs w:val="18"/>
              </w:rPr>
            </w:pPr>
            <w:r w:rsidRPr="00C7114C">
              <w:rPr>
                <w:sz w:val="18"/>
                <w:szCs w:val="18"/>
              </w:rPr>
              <w:t xml:space="preserve">Ensure your regulatory regime is fit for purpose </w:t>
            </w:r>
          </w:p>
        </w:tc>
      </w:tr>
      <w:tr w:rsidR="00C7114C" w:rsidRPr="00C7114C" w14:paraId="64072855" w14:textId="77777777" w:rsidTr="008F6A0B">
        <w:trPr>
          <w:cnfStyle w:val="000000010000" w:firstRow="0" w:lastRow="0" w:firstColumn="0" w:lastColumn="0" w:oddVBand="0" w:evenVBand="0" w:oddHBand="0" w:evenHBand="1" w:firstRowFirstColumn="0" w:firstRowLastColumn="0" w:lastRowFirstColumn="0" w:lastRowLastColumn="0"/>
          <w:trHeight w:val="671"/>
        </w:trPr>
        <w:tc>
          <w:tcPr>
            <w:tcW w:w="484" w:type="dxa"/>
            <w:vMerge w:val="restart"/>
            <w:shd w:val="clear" w:color="auto" w:fill="87189D" w:themeFill="accent1"/>
            <w:textDirection w:val="btLr"/>
            <w:vAlign w:val="bottom"/>
          </w:tcPr>
          <w:p w14:paraId="7E0001EE" w14:textId="77777777" w:rsidR="00C7114C" w:rsidRPr="008F6A0B" w:rsidRDefault="00C7114C" w:rsidP="00C7114C">
            <w:pPr>
              <w:spacing w:before="0" w:after="0"/>
              <w:jc w:val="center"/>
              <w:rPr>
                <w:rFonts w:asciiTheme="majorHAnsi" w:hAnsiTheme="majorHAnsi"/>
                <w:color w:val="FFFFFF" w:themeColor="background1"/>
                <w:sz w:val="18"/>
                <w:szCs w:val="18"/>
              </w:rPr>
            </w:pPr>
            <w:r w:rsidRPr="008F6A0B">
              <w:rPr>
                <w:rFonts w:asciiTheme="majorHAnsi" w:hAnsiTheme="majorHAnsi"/>
                <w:color w:val="FFFFFF" w:themeColor="background1"/>
                <w:sz w:val="18"/>
                <w:szCs w:val="18"/>
              </w:rPr>
              <w:t>Operations</w:t>
            </w:r>
          </w:p>
        </w:tc>
        <w:tc>
          <w:tcPr>
            <w:tcW w:w="8527" w:type="dxa"/>
            <w:vAlign w:val="center"/>
          </w:tcPr>
          <w:p w14:paraId="61570FD4" w14:textId="77777777" w:rsidR="00C7114C" w:rsidRPr="00C7114C" w:rsidRDefault="00C7114C" w:rsidP="00C7114C">
            <w:pPr>
              <w:pStyle w:val="Numpara"/>
              <w:rPr>
                <w:sz w:val="18"/>
                <w:szCs w:val="18"/>
              </w:rPr>
            </w:pPr>
            <w:r w:rsidRPr="00C7114C">
              <w:rPr>
                <w:sz w:val="18"/>
                <w:szCs w:val="18"/>
              </w:rPr>
              <w:t>Support duty holders to understand the value of compliance and harm reduction</w:t>
            </w:r>
          </w:p>
        </w:tc>
      </w:tr>
      <w:tr w:rsidR="00C7114C" w:rsidRPr="00C7114C" w14:paraId="2932A9B6" w14:textId="77777777" w:rsidTr="008F6A0B">
        <w:trPr>
          <w:trHeight w:val="671"/>
        </w:trPr>
        <w:tc>
          <w:tcPr>
            <w:tcW w:w="484" w:type="dxa"/>
            <w:vMerge/>
            <w:shd w:val="clear" w:color="auto" w:fill="87189D" w:themeFill="accent1"/>
            <w:vAlign w:val="bottom"/>
          </w:tcPr>
          <w:p w14:paraId="01A32970" w14:textId="77777777" w:rsidR="00C7114C" w:rsidRPr="008F6A0B" w:rsidRDefault="00C7114C" w:rsidP="00C7114C">
            <w:pPr>
              <w:spacing w:before="0" w:after="0"/>
              <w:jc w:val="center"/>
              <w:rPr>
                <w:rFonts w:asciiTheme="majorHAnsi" w:hAnsiTheme="majorHAnsi"/>
                <w:color w:val="FFFFFF" w:themeColor="background1"/>
                <w:sz w:val="18"/>
                <w:szCs w:val="18"/>
              </w:rPr>
            </w:pPr>
          </w:p>
        </w:tc>
        <w:tc>
          <w:tcPr>
            <w:tcW w:w="8527" w:type="dxa"/>
            <w:vAlign w:val="center"/>
          </w:tcPr>
          <w:p w14:paraId="6B795805" w14:textId="77777777" w:rsidR="00C7114C" w:rsidRPr="00C7114C" w:rsidRDefault="00C7114C" w:rsidP="00C7114C">
            <w:pPr>
              <w:pStyle w:val="Numpara"/>
              <w:rPr>
                <w:sz w:val="18"/>
                <w:szCs w:val="18"/>
              </w:rPr>
            </w:pPr>
            <w:r w:rsidRPr="00C7114C">
              <w:rPr>
                <w:sz w:val="18"/>
                <w:szCs w:val="18"/>
              </w:rPr>
              <w:t xml:space="preserve">Support duty holders to comply </w:t>
            </w:r>
          </w:p>
        </w:tc>
      </w:tr>
      <w:tr w:rsidR="00C7114C" w:rsidRPr="00C7114C" w14:paraId="0C799823" w14:textId="77777777" w:rsidTr="008F6A0B">
        <w:trPr>
          <w:cnfStyle w:val="000000010000" w:firstRow="0" w:lastRow="0" w:firstColumn="0" w:lastColumn="0" w:oddVBand="0" w:evenVBand="0" w:oddHBand="0" w:evenHBand="1" w:firstRowFirstColumn="0" w:firstRowLastColumn="0" w:lastRowFirstColumn="0" w:lastRowLastColumn="0"/>
          <w:trHeight w:val="671"/>
        </w:trPr>
        <w:tc>
          <w:tcPr>
            <w:tcW w:w="484" w:type="dxa"/>
            <w:vMerge/>
            <w:shd w:val="clear" w:color="auto" w:fill="87189D" w:themeFill="accent1"/>
            <w:vAlign w:val="bottom"/>
          </w:tcPr>
          <w:p w14:paraId="17A56DBB" w14:textId="77777777" w:rsidR="00C7114C" w:rsidRPr="008F6A0B" w:rsidRDefault="00C7114C" w:rsidP="00C7114C">
            <w:pPr>
              <w:spacing w:before="0" w:after="0"/>
              <w:jc w:val="center"/>
              <w:rPr>
                <w:rFonts w:asciiTheme="majorHAnsi" w:hAnsiTheme="majorHAnsi"/>
                <w:color w:val="FFFFFF" w:themeColor="background1"/>
                <w:sz w:val="18"/>
                <w:szCs w:val="18"/>
              </w:rPr>
            </w:pPr>
          </w:p>
        </w:tc>
        <w:tc>
          <w:tcPr>
            <w:tcW w:w="8527" w:type="dxa"/>
            <w:vAlign w:val="center"/>
          </w:tcPr>
          <w:p w14:paraId="406F64C4" w14:textId="77777777" w:rsidR="00C7114C" w:rsidRPr="00C7114C" w:rsidRDefault="00C7114C" w:rsidP="00C7114C">
            <w:pPr>
              <w:pStyle w:val="Numpara"/>
              <w:rPr>
                <w:sz w:val="18"/>
                <w:szCs w:val="18"/>
              </w:rPr>
            </w:pPr>
            <w:r w:rsidRPr="00C7114C">
              <w:rPr>
                <w:sz w:val="18"/>
                <w:szCs w:val="18"/>
              </w:rPr>
              <w:t xml:space="preserve">Target regulatory effort based on risk of harm </w:t>
            </w:r>
          </w:p>
        </w:tc>
      </w:tr>
      <w:tr w:rsidR="00C7114C" w:rsidRPr="00C7114C" w14:paraId="36ECF2D3" w14:textId="77777777" w:rsidTr="008F6A0B">
        <w:trPr>
          <w:trHeight w:val="671"/>
        </w:trPr>
        <w:tc>
          <w:tcPr>
            <w:tcW w:w="484" w:type="dxa"/>
            <w:vMerge/>
            <w:shd w:val="clear" w:color="auto" w:fill="87189D" w:themeFill="accent1"/>
            <w:vAlign w:val="bottom"/>
          </w:tcPr>
          <w:p w14:paraId="2FCE1D87" w14:textId="77777777" w:rsidR="00C7114C" w:rsidRPr="008F6A0B" w:rsidRDefault="00C7114C" w:rsidP="00C7114C">
            <w:pPr>
              <w:spacing w:before="0" w:after="0"/>
              <w:jc w:val="center"/>
              <w:rPr>
                <w:rFonts w:asciiTheme="majorHAnsi" w:hAnsiTheme="majorHAnsi"/>
                <w:color w:val="FFFFFF" w:themeColor="background1"/>
                <w:sz w:val="18"/>
                <w:szCs w:val="18"/>
              </w:rPr>
            </w:pPr>
          </w:p>
        </w:tc>
        <w:tc>
          <w:tcPr>
            <w:tcW w:w="8527" w:type="dxa"/>
            <w:vAlign w:val="center"/>
          </w:tcPr>
          <w:p w14:paraId="114FA155" w14:textId="77777777" w:rsidR="00C7114C" w:rsidRPr="00C7114C" w:rsidRDefault="00C7114C" w:rsidP="00C7114C">
            <w:pPr>
              <w:pStyle w:val="Numpara"/>
              <w:rPr>
                <w:sz w:val="18"/>
                <w:szCs w:val="18"/>
              </w:rPr>
            </w:pPr>
            <w:r w:rsidRPr="00C7114C">
              <w:rPr>
                <w:sz w:val="18"/>
                <w:szCs w:val="18"/>
              </w:rPr>
              <w:t>Evaluate and communicate your efforts and their impact on your regulatory outcomes</w:t>
            </w:r>
          </w:p>
        </w:tc>
      </w:tr>
      <w:tr w:rsidR="00C7114C" w:rsidRPr="00C7114C" w14:paraId="5900D52E" w14:textId="77777777" w:rsidTr="008F6A0B">
        <w:trPr>
          <w:cnfStyle w:val="000000010000" w:firstRow="0" w:lastRow="0" w:firstColumn="0" w:lastColumn="0" w:oddVBand="0" w:evenVBand="0" w:oddHBand="0" w:evenHBand="1" w:firstRowFirstColumn="0" w:firstRowLastColumn="0" w:lastRowFirstColumn="0" w:lastRowLastColumn="0"/>
          <w:trHeight w:val="671"/>
        </w:trPr>
        <w:tc>
          <w:tcPr>
            <w:tcW w:w="484" w:type="dxa"/>
            <w:vMerge w:val="restart"/>
            <w:shd w:val="clear" w:color="auto" w:fill="87189D" w:themeFill="accent1"/>
            <w:textDirection w:val="btLr"/>
            <w:vAlign w:val="bottom"/>
          </w:tcPr>
          <w:p w14:paraId="3B2C644A" w14:textId="2D73A7FE" w:rsidR="00C7114C" w:rsidRPr="008F6A0B" w:rsidRDefault="00C7114C" w:rsidP="00C7114C">
            <w:pPr>
              <w:spacing w:before="0" w:after="0"/>
              <w:jc w:val="center"/>
              <w:rPr>
                <w:rFonts w:asciiTheme="majorHAnsi" w:hAnsiTheme="majorHAnsi"/>
                <w:color w:val="FFFFFF" w:themeColor="background1"/>
                <w:sz w:val="18"/>
                <w:szCs w:val="18"/>
              </w:rPr>
            </w:pPr>
            <w:bookmarkStart w:id="2" w:name="_Toc100589334"/>
            <w:r w:rsidRPr="008F6A0B">
              <w:rPr>
                <w:rFonts w:asciiTheme="majorHAnsi" w:hAnsiTheme="majorHAnsi"/>
                <w:color w:val="FFFFFF" w:themeColor="background1"/>
                <w:sz w:val="18"/>
                <w:szCs w:val="18"/>
              </w:rPr>
              <w:t xml:space="preserve">Enabling </w:t>
            </w:r>
            <w:r w:rsidR="002B1412" w:rsidRPr="008F6A0B">
              <w:rPr>
                <w:rFonts w:asciiTheme="majorHAnsi" w:hAnsiTheme="majorHAnsi"/>
                <w:color w:val="FFFFFF" w:themeColor="background1"/>
                <w:sz w:val="18"/>
                <w:szCs w:val="18"/>
              </w:rPr>
              <w:t>P</w:t>
            </w:r>
            <w:r w:rsidRPr="008F6A0B">
              <w:rPr>
                <w:rFonts w:asciiTheme="majorHAnsi" w:hAnsiTheme="majorHAnsi"/>
                <w:color w:val="FFFFFF" w:themeColor="background1"/>
                <w:sz w:val="18"/>
                <w:szCs w:val="18"/>
              </w:rPr>
              <w:t>ractices</w:t>
            </w:r>
            <w:bookmarkEnd w:id="2"/>
          </w:p>
        </w:tc>
        <w:tc>
          <w:tcPr>
            <w:tcW w:w="8527" w:type="dxa"/>
            <w:vAlign w:val="center"/>
          </w:tcPr>
          <w:p w14:paraId="31104A58" w14:textId="77777777" w:rsidR="00C7114C" w:rsidRPr="00C7114C" w:rsidRDefault="00C7114C" w:rsidP="00C7114C">
            <w:pPr>
              <w:pStyle w:val="Numpara"/>
              <w:rPr>
                <w:sz w:val="18"/>
                <w:szCs w:val="18"/>
              </w:rPr>
            </w:pPr>
            <w:r w:rsidRPr="00C7114C">
              <w:rPr>
                <w:sz w:val="18"/>
                <w:szCs w:val="18"/>
              </w:rPr>
              <w:t>Work with regulatory peers and partners on shared harms and risks</w:t>
            </w:r>
          </w:p>
        </w:tc>
      </w:tr>
      <w:tr w:rsidR="00C7114C" w:rsidRPr="00C7114C" w14:paraId="7701F168" w14:textId="77777777" w:rsidTr="008F6A0B">
        <w:trPr>
          <w:trHeight w:val="671"/>
        </w:trPr>
        <w:tc>
          <w:tcPr>
            <w:tcW w:w="484" w:type="dxa"/>
            <w:vMerge/>
            <w:shd w:val="clear" w:color="auto" w:fill="87189D" w:themeFill="accent1"/>
            <w:vAlign w:val="bottom"/>
          </w:tcPr>
          <w:p w14:paraId="0FFF1CEE" w14:textId="77777777" w:rsidR="00C7114C" w:rsidRPr="00C7114C" w:rsidRDefault="00C7114C" w:rsidP="00C7114C">
            <w:pPr>
              <w:pStyle w:val="Heading3"/>
              <w:spacing w:before="0" w:after="0"/>
              <w:jc w:val="center"/>
              <w:rPr>
                <w:sz w:val="18"/>
                <w:szCs w:val="18"/>
              </w:rPr>
            </w:pPr>
          </w:p>
        </w:tc>
        <w:tc>
          <w:tcPr>
            <w:tcW w:w="8527" w:type="dxa"/>
            <w:vAlign w:val="center"/>
          </w:tcPr>
          <w:p w14:paraId="49059A6C" w14:textId="77777777" w:rsidR="00C7114C" w:rsidRPr="00C7114C" w:rsidRDefault="00C7114C" w:rsidP="00C7114C">
            <w:pPr>
              <w:pStyle w:val="Numpara"/>
              <w:rPr>
                <w:sz w:val="18"/>
                <w:szCs w:val="18"/>
              </w:rPr>
            </w:pPr>
            <w:r w:rsidRPr="00C7114C">
              <w:rPr>
                <w:sz w:val="18"/>
                <w:szCs w:val="18"/>
              </w:rPr>
              <w:t>Be transparent and accountable for how you perform your activities</w:t>
            </w:r>
          </w:p>
        </w:tc>
      </w:tr>
      <w:tr w:rsidR="00C7114C" w:rsidRPr="00C7114C" w14:paraId="609570AF" w14:textId="77777777" w:rsidTr="008F6A0B">
        <w:trPr>
          <w:cnfStyle w:val="000000010000" w:firstRow="0" w:lastRow="0" w:firstColumn="0" w:lastColumn="0" w:oddVBand="0" w:evenVBand="0" w:oddHBand="0" w:evenHBand="1" w:firstRowFirstColumn="0" w:firstRowLastColumn="0" w:lastRowFirstColumn="0" w:lastRowLastColumn="0"/>
          <w:trHeight w:val="671"/>
        </w:trPr>
        <w:tc>
          <w:tcPr>
            <w:tcW w:w="484" w:type="dxa"/>
            <w:vMerge/>
            <w:shd w:val="clear" w:color="auto" w:fill="87189D" w:themeFill="accent1"/>
            <w:vAlign w:val="bottom"/>
          </w:tcPr>
          <w:p w14:paraId="20970A42" w14:textId="77777777" w:rsidR="00C7114C" w:rsidRPr="00C7114C" w:rsidRDefault="00C7114C" w:rsidP="00C7114C">
            <w:pPr>
              <w:pStyle w:val="Heading3"/>
              <w:spacing w:before="0" w:after="0"/>
              <w:jc w:val="center"/>
              <w:rPr>
                <w:sz w:val="18"/>
                <w:szCs w:val="18"/>
              </w:rPr>
            </w:pPr>
          </w:p>
        </w:tc>
        <w:tc>
          <w:tcPr>
            <w:tcW w:w="8527" w:type="dxa"/>
            <w:vAlign w:val="center"/>
          </w:tcPr>
          <w:p w14:paraId="5D7159F8" w14:textId="77777777" w:rsidR="00C7114C" w:rsidRPr="00C7114C" w:rsidRDefault="00C7114C" w:rsidP="00C7114C">
            <w:pPr>
              <w:pStyle w:val="Numpara"/>
              <w:rPr>
                <w:sz w:val="18"/>
                <w:szCs w:val="18"/>
              </w:rPr>
            </w:pPr>
            <w:r w:rsidRPr="00C7114C">
              <w:rPr>
                <w:sz w:val="18"/>
                <w:szCs w:val="18"/>
              </w:rPr>
              <w:t>Continuously improve your regulatory operations</w:t>
            </w:r>
          </w:p>
        </w:tc>
      </w:tr>
    </w:tbl>
    <w:p w14:paraId="4012DA56" w14:textId="77777777" w:rsidR="005F0587" w:rsidRPr="00D64457" w:rsidRDefault="005F0587" w:rsidP="007206BF">
      <w:pPr>
        <w:pStyle w:val="Heading1"/>
        <w:pageBreakBefore/>
        <w:rPr>
          <w:rFonts w:eastAsia="MS Gothic"/>
        </w:rPr>
      </w:pPr>
      <w:bookmarkStart w:id="3" w:name="_Toc100589335"/>
      <w:r w:rsidRPr="00D64457">
        <w:rPr>
          <w:rFonts w:eastAsia="MS Gothic"/>
        </w:rPr>
        <w:t>Strategy</w:t>
      </w:r>
      <w:bookmarkEnd w:id="3"/>
      <w:r w:rsidRPr="00D64457">
        <w:rPr>
          <w:rFonts w:eastAsia="MS Gothic"/>
        </w:rPr>
        <w:t xml:space="preserve"> </w:t>
      </w:r>
    </w:p>
    <w:p w14:paraId="2E4EF65A" w14:textId="77777777" w:rsidR="005F0587" w:rsidRPr="00D64457" w:rsidRDefault="005F0587" w:rsidP="007206BF">
      <w:pPr>
        <w:rPr>
          <w:rFonts w:eastAsia="MS Mincho"/>
        </w:rPr>
      </w:pPr>
      <w:r w:rsidRPr="00D64457">
        <w:rPr>
          <w:rFonts w:eastAsia="MS Mincho"/>
        </w:rPr>
        <w:t>Effective delivery of these principles relies on a robust understanding of the regulator’s operating context</w:t>
      </w:r>
      <w:r>
        <w:rPr>
          <w:rFonts w:eastAsia="MS Mincho"/>
        </w:rPr>
        <w:t xml:space="preserve"> and</w:t>
      </w:r>
      <w:r w:rsidRPr="00D64457">
        <w:rPr>
          <w:rFonts w:eastAsia="MS Mincho"/>
        </w:rPr>
        <w:t xml:space="preserve"> objectives, and </w:t>
      </w:r>
      <w:r>
        <w:rPr>
          <w:rFonts w:eastAsia="MS Mincho"/>
        </w:rPr>
        <w:t xml:space="preserve">how these guide regulatory </w:t>
      </w:r>
      <w:r w:rsidRPr="00D64457">
        <w:rPr>
          <w:rFonts w:eastAsia="MS Mincho"/>
        </w:rPr>
        <w:t>approaches. It also involves applying this understanding to the design of regulatory approaches and ensuring that commitments around approach are translated into internal systems, practices, and culture.</w:t>
      </w:r>
    </w:p>
    <w:p w14:paraId="264D9DC2" w14:textId="77777777" w:rsidR="005F0587" w:rsidRPr="00D64457" w:rsidRDefault="005F0587" w:rsidP="007206BF">
      <w:pPr>
        <w:rPr>
          <w:rFonts w:eastAsia="MS Mincho" w:cs="Times New Roman"/>
        </w:rPr>
      </w:pPr>
      <w:r w:rsidRPr="00D64457">
        <w:rPr>
          <w:rFonts w:eastAsia="VIC"/>
        </w:rPr>
        <w:t xml:space="preserve">To deliver against </w:t>
      </w:r>
      <w:r w:rsidRPr="005526A8">
        <w:rPr>
          <w:rFonts w:eastAsia="VIC"/>
          <w:b/>
          <w:bCs/>
        </w:rPr>
        <w:t>principles one and two</w:t>
      </w:r>
      <w:r w:rsidRPr="00D64457">
        <w:rPr>
          <w:rFonts w:eastAsia="VIC"/>
          <w:i/>
          <w:iCs/>
        </w:rPr>
        <w:t>,</w:t>
      </w:r>
      <w:r w:rsidRPr="00D64457">
        <w:rPr>
          <w:rFonts w:eastAsia="VIC"/>
        </w:rPr>
        <w:t xml:space="preserve"> consider co-design activities with staff to </w:t>
      </w:r>
      <w:r w:rsidRPr="00D64457">
        <w:rPr>
          <w:rFonts w:eastAsia="VIC" w:cs="Times New Roman"/>
        </w:rPr>
        <w:t xml:space="preserve">define the regulator’s objectives, focus and approach, </w:t>
      </w:r>
      <w:r w:rsidRPr="00D64457">
        <w:rPr>
          <w:rFonts w:eastAsia="VIC"/>
        </w:rPr>
        <w:t>and assess how to appropriately document and translate these into practice</w:t>
      </w:r>
      <w:r w:rsidRPr="00D64457">
        <w:rPr>
          <w:rFonts w:eastAsia="VIC" w:cs="Times New Roman"/>
        </w:rPr>
        <w:t xml:space="preserve">. </w:t>
      </w:r>
      <w:r w:rsidRPr="00D64457">
        <w:rPr>
          <w:rFonts w:eastAsia="MS Mincho" w:cs="Times New Roman"/>
        </w:rPr>
        <w:t xml:space="preserve">This might involve the creation of strategy or policy documents, or review of existing policies and external commitments to assess how they are put into practice. </w:t>
      </w:r>
    </w:p>
    <w:p w14:paraId="0AA9E4C3" w14:textId="77777777" w:rsidR="005F0587" w:rsidRPr="00D64457" w:rsidRDefault="005F0587" w:rsidP="007206BF">
      <w:pPr>
        <w:rPr>
          <w:rFonts w:eastAsia="MS Mincho"/>
        </w:rPr>
      </w:pPr>
      <w:r w:rsidRPr="00D64457">
        <w:rPr>
          <w:rFonts w:eastAsia="MS Mincho"/>
        </w:rPr>
        <w:t>Where regulators develop positions to describe their understanding or approach, these may be internal, or externally facing, depending on the operational context. In some cases, regulators might develop high-level external commitments or statements that are supported by comprehensive internal policies.</w:t>
      </w:r>
    </w:p>
    <w:p w14:paraId="32B9B2AE" w14:textId="77777777" w:rsidR="005F0587" w:rsidRPr="00D64457" w:rsidRDefault="005F0587" w:rsidP="007206BF">
      <w:pPr>
        <w:rPr>
          <w:rFonts w:eastAsia="MS Mincho"/>
        </w:rPr>
      </w:pPr>
      <w:r w:rsidRPr="00D64457">
        <w:rPr>
          <w:rFonts w:eastAsia="MS Mincho"/>
        </w:rPr>
        <w:t>You should assess what is a proportionate and fit-for-purpose approach to these activities in your operational context. In doing so, account for situations where you have significant discretion about your regulatory approaches or the exercise of powers</w:t>
      </w:r>
      <w:r>
        <w:rPr>
          <w:rFonts w:eastAsia="MS Mincho"/>
        </w:rPr>
        <w:t>. This includes examining how enforcement relates to, supports, and reinforces your other regulatory approaches</w:t>
      </w:r>
      <w:r w:rsidRPr="00D64457">
        <w:rPr>
          <w:rFonts w:eastAsia="MS Mincho"/>
        </w:rPr>
        <w:t>.</w:t>
      </w:r>
    </w:p>
    <w:p w14:paraId="19088CA3" w14:textId="77777777" w:rsidR="005F0587" w:rsidRPr="00D64457" w:rsidRDefault="005F0587" w:rsidP="007206BF">
      <w:pPr>
        <w:rPr>
          <w:rFonts w:eastAsia="MS Mincho"/>
        </w:rPr>
      </w:pPr>
      <w:r w:rsidRPr="005526A8">
        <w:rPr>
          <w:rFonts w:eastAsia="MS Mincho"/>
          <w:b/>
          <w:bCs/>
          <w:iCs/>
        </w:rPr>
        <w:t>Principle three</w:t>
      </w:r>
      <w:r w:rsidRPr="00D64457">
        <w:rPr>
          <w:rFonts w:eastAsia="MS Mincho"/>
          <w:i/>
        </w:rPr>
        <w:t xml:space="preserve"> </w:t>
      </w:r>
      <w:r w:rsidRPr="00D64457">
        <w:rPr>
          <w:rFonts w:eastAsia="MS Mincho"/>
        </w:rPr>
        <w:t xml:space="preserve">requires regulators to understand the limitations of their framework and how their role interacts with others. Regulators should maximise the effectiveness of their current regulatory settings and advocate for necessary changes. A willingness to innovate and test approaches may be required. </w:t>
      </w:r>
    </w:p>
    <w:p w14:paraId="7808115E" w14:textId="6A46CE88" w:rsidR="005F0587" w:rsidRPr="008449AF" w:rsidRDefault="005F0587" w:rsidP="007206BF">
      <w:pPr>
        <w:rPr>
          <w:rFonts w:eastAsia="MS Mincho"/>
        </w:rPr>
      </w:pPr>
      <w:r w:rsidRPr="00D64457">
        <w:rPr>
          <w:rFonts w:eastAsia="MS Mincho"/>
        </w:rPr>
        <w:t>Departments have an essential role in supporting the regulator to communicate, and in responding to identified challenges, such as capability, resource, funding model or legislative issues. Regulators and departments should actively work together to ensure that the regulatory regime is fit for purpose.</w:t>
      </w:r>
      <w:r w:rsidR="00536F3E">
        <w:rPr>
          <w:rFonts w:eastAsia="MS Mincho"/>
        </w:rPr>
        <w:br/>
      </w:r>
    </w:p>
    <w:p w14:paraId="39D24476" w14:textId="5007ECB6" w:rsidR="005F0587" w:rsidRPr="009B2709" w:rsidRDefault="005F0587" w:rsidP="005F0587">
      <w:pPr>
        <w:pStyle w:val="Principle"/>
      </w:pPr>
      <w:bookmarkStart w:id="4" w:name="_Hlk89783889"/>
      <w:bookmarkStart w:id="5" w:name="_Toc100589337"/>
      <w:r w:rsidRPr="009B2709">
        <w:t>Be clear on your regulatory outcome and the harms you are trying to minimise</w:t>
      </w:r>
      <w:bookmarkEnd w:id="4"/>
      <w:bookmarkEnd w:id="5"/>
    </w:p>
    <w:tbl>
      <w:tblPr>
        <w:tblStyle w:val="Texttable"/>
        <w:tblW w:w="9033" w:type="dxa"/>
        <w:tblLayout w:type="fixed"/>
        <w:tblLook w:val="0600" w:firstRow="0" w:lastRow="0" w:firstColumn="0" w:lastColumn="0" w:noHBand="1" w:noVBand="1"/>
      </w:tblPr>
      <w:tblGrid>
        <w:gridCol w:w="528"/>
        <w:gridCol w:w="8505"/>
      </w:tblGrid>
      <w:tr w:rsidR="005F0587" w:rsidRPr="00DD79CA" w14:paraId="04FB2E31" w14:textId="77777777" w:rsidTr="00532FCE">
        <w:tc>
          <w:tcPr>
            <w:tcW w:w="528" w:type="dxa"/>
          </w:tcPr>
          <w:p w14:paraId="47FB4EAF" w14:textId="06553976" w:rsidR="005F0587" w:rsidRPr="005F0587" w:rsidRDefault="005F0587" w:rsidP="005F0587">
            <w:pPr>
              <w:pStyle w:val="Sub-principle"/>
            </w:pPr>
          </w:p>
        </w:tc>
        <w:tc>
          <w:tcPr>
            <w:tcW w:w="8505" w:type="dxa"/>
          </w:tcPr>
          <w:p w14:paraId="0F066FC9" w14:textId="77777777" w:rsidR="005F0587" w:rsidRPr="00DD79CA" w:rsidRDefault="005F0587" w:rsidP="005526A8">
            <w:pPr>
              <w:pStyle w:val="Tabletext"/>
            </w:pPr>
            <w:r w:rsidRPr="432F1BF9">
              <w:t xml:space="preserve">Understand and describe the causes, characteristics, and impacts of the key harms you seek to minimise. </w:t>
            </w:r>
          </w:p>
        </w:tc>
      </w:tr>
      <w:tr w:rsidR="005F0587" w:rsidRPr="005F0C59" w:rsidDel="006E1331" w14:paraId="7EA18699" w14:textId="77777777" w:rsidTr="00532FCE">
        <w:tc>
          <w:tcPr>
            <w:tcW w:w="528" w:type="dxa"/>
          </w:tcPr>
          <w:p w14:paraId="3327BBCF" w14:textId="0E8A16BF" w:rsidR="005F0587" w:rsidRPr="005F0C59" w:rsidDel="006E1331" w:rsidRDefault="005F0587" w:rsidP="005F0587">
            <w:pPr>
              <w:pStyle w:val="Sub-principle"/>
            </w:pPr>
          </w:p>
        </w:tc>
        <w:tc>
          <w:tcPr>
            <w:tcW w:w="8505" w:type="dxa"/>
          </w:tcPr>
          <w:p w14:paraId="165CBBE9" w14:textId="77777777" w:rsidR="005F0587" w:rsidRPr="005F0C59" w:rsidDel="006E1331" w:rsidRDefault="005F0587" w:rsidP="005526A8">
            <w:pPr>
              <w:pStyle w:val="Tabletext"/>
            </w:pPr>
            <w:r w:rsidRPr="20FF47C3">
              <w:t>Define the regulatory outcomes you pursue, including the public benefits of harm reduction, increasing community trust, and improving integrity within regulated industries</w:t>
            </w:r>
            <w:r>
              <w:t xml:space="preserve"> and the regulatory scheme</w:t>
            </w:r>
            <w:r w:rsidRPr="20FF47C3">
              <w:t>.</w:t>
            </w:r>
          </w:p>
        </w:tc>
      </w:tr>
      <w:tr w:rsidR="005F0587" w:rsidRPr="005F0C59" w14:paraId="2B35D370" w14:textId="77777777" w:rsidTr="00532FCE">
        <w:tc>
          <w:tcPr>
            <w:tcW w:w="528" w:type="dxa"/>
          </w:tcPr>
          <w:p w14:paraId="15B59B30" w14:textId="62975DAC" w:rsidR="005F0587" w:rsidRPr="005F0C59" w:rsidRDefault="005F0587" w:rsidP="005F0587">
            <w:pPr>
              <w:pStyle w:val="Sub-principle"/>
            </w:pPr>
          </w:p>
        </w:tc>
        <w:tc>
          <w:tcPr>
            <w:tcW w:w="8505" w:type="dxa"/>
          </w:tcPr>
          <w:p w14:paraId="730F40CC" w14:textId="77777777" w:rsidR="005F0587" w:rsidRPr="005F0C59" w:rsidRDefault="005F0587" w:rsidP="005526A8">
            <w:pPr>
              <w:pStyle w:val="Tabletext"/>
            </w:pPr>
            <w:r w:rsidRPr="71680761">
              <w:t xml:space="preserve">Define your role in addressing these harms and meeting these outcomes, the role or accountability of duty holders, and your relationship to them. </w:t>
            </w:r>
          </w:p>
        </w:tc>
      </w:tr>
      <w:tr w:rsidR="005F0587" w:rsidRPr="005F0C59" w14:paraId="607E5DFC" w14:textId="77777777" w:rsidTr="00532FCE">
        <w:trPr>
          <w:trHeight w:val="300"/>
        </w:trPr>
        <w:tc>
          <w:tcPr>
            <w:tcW w:w="528" w:type="dxa"/>
          </w:tcPr>
          <w:p w14:paraId="4AFD36F2" w14:textId="63F189D7" w:rsidR="005F0587" w:rsidRPr="005F0C59" w:rsidRDefault="005F0587" w:rsidP="005F0587">
            <w:pPr>
              <w:pStyle w:val="Sub-principle"/>
            </w:pPr>
          </w:p>
        </w:tc>
        <w:tc>
          <w:tcPr>
            <w:tcW w:w="8505" w:type="dxa"/>
          </w:tcPr>
          <w:p w14:paraId="6F31B1C9" w14:textId="77777777" w:rsidR="005F0587" w:rsidRPr="005F0C59" w:rsidRDefault="005F0587" w:rsidP="005526A8">
            <w:pPr>
              <w:pStyle w:val="Tabletext"/>
            </w:pPr>
            <w:r w:rsidRPr="432F1BF9">
              <w:t xml:space="preserve">In defining your role, account for the objectives and scope of relevant legislation, broader policy settings, and the role of others. This may include engaging with policy makers, research bodies, peer regulators, government agencies, industry, and the community. </w:t>
            </w:r>
          </w:p>
        </w:tc>
      </w:tr>
    </w:tbl>
    <w:p w14:paraId="6708377B" w14:textId="08F3FF07" w:rsidR="00A944E0" w:rsidRDefault="00A944E0" w:rsidP="005F0587"/>
    <w:p w14:paraId="449947DE" w14:textId="0E94DA1D" w:rsidR="005F0587" w:rsidRPr="00816CDE" w:rsidRDefault="005F0587" w:rsidP="005526A8">
      <w:pPr>
        <w:pStyle w:val="Principle"/>
        <w:pageBreakBefore/>
      </w:pPr>
      <w:bookmarkStart w:id="6" w:name="_Toc100589339"/>
      <w:r w:rsidRPr="00816CDE">
        <w:t>Establish and refine your approach to minimising harms</w:t>
      </w:r>
      <w:bookmarkEnd w:id="6"/>
    </w:p>
    <w:tbl>
      <w:tblPr>
        <w:tblStyle w:val="Texttable"/>
        <w:tblW w:w="0" w:type="auto"/>
        <w:tblLayout w:type="fixed"/>
        <w:tblLook w:val="0600" w:firstRow="0" w:lastRow="0" w:firstColumn="0" w:lastColumn="0" w:noHBand="1" w:noVBand="1"/>
      </w:tblPr>
      <w:tblGrid>
        <w:gridCol w:w="527"/>
        <w:gridCol w:w="8506"/>
      </w:tblGrid>
      <w:tr w:rsidR="005F0587" w:rsidRPr="00A410E4" w14:paraId="2D25E683" w14:textId="77777777" w:rsidTr="00532FCE">
        <w:tc>
          <w:tcPr>
            <w:tcW w:w="527" w:type="dxa"/>
          </w:tcPr>
          <w:p w14:paraId="42C0B1FA" w14:textId="00DCC06A" w:rsidR="005F0587" w:rsidRPr="00A410E4" w:rsidRDefault="005F0587" w:rsidP="005F0587">
            <w:pPr>
              <w:pStyle w:val="Sub-principle"/>
              <w:rPr>
                <w:rFonts w:eastAsia="MS Mincho"/>
              </w:rPr>
            </w:pPr>
          </w:p>
        </w:tc>
        <w:tc>
          <w:tcPr>
            <w:tcW w:w="8506" w:type="dxa"/>
          </w:tcPr>
          <w:p w14:paraId="75788F7F" w14:textId="77777777" w:rsidR="005F0587" w:rsidRPr="00A410E4" w:rsidRDefault="005F0587" w:rsidP="005526A8">
            <w:pPr>
              <w:pStyle w:val="Tabletext"/>
              <w:rPr>
                <w:rFonts w:eastAsia="MS Mincho"/>
              </w:rPr>
            </w:pPr>
            <w:r w:rsidRPr="00A410E4">
              <w:rPr>
                <w:rFonts w:eastAsia="MS Mincho"/>
              </w:rPr>
              <w:t>Thoroughly understand how your regulatory approaches, powers and tools can be used and coordinated to prevent or respond to harms and achieve your regulatory outcomes</w:t>
            </w:r>
            <w:r>
              <w:rPr>
                <w:rFonts w:eastAsia="MS Mincho"/>
              </w:rPr>
              <w:t xml:space="preserve"> in an efficient and effective way</w:t>
            </w:r>
            <w:r w:rsidRPr="00A410E4">
              <w:rPr>
                <w:rFonts w:eastAsia="MS Mincho"/>
              </w:rPr>
              <w:t xml:space="preserve">. </w:t>
            </w:r>
          </w:p>
        </w:tc>
      </w:tr>
      <w:tr w:rsidR="005F0587" w:rsidRPr="00A410E4" w14:paraId="7A636DD1" w14:textId="77777777" w:rsidTr="00532FCE">
        <w:tc>
          <w:tcPr>
            <w:tcW w:w="527" w:type="dxa"/>
          </w:tcPr>
          <w:p w14:paraId="2208EE4F" w14:textId="2FCE64D2" w:rsidR="005F0587" w:rsidRPr="00A410E4" w:rsidRDefault="005F0587" w:rsidP="005F0587">
            <w:pPr>
              <w:pStyle w:val="Sub-principle"/>
              <w:rPr>
                <w:rFonts w:eastAsia="MS Mincho"/>
              </w:rPr>
            </w:pPr>
          </w:p>
        </w:tc>
        <w:tc>
          <w:tcPr>
            <w:tcW w:w="8506" w:type="dxa"/>
          </w:tcPr>
          <w:p w14:paraId="4BAB0173" w14:textId="77777777" w:rsidR="005F0587" w:rsidRPr="00A410E4" w:rsidRDefault="005F0587" w:rsidP="005526A8">
            <w:pPr>
              <w:pStyle w:val="Tabletext"/>
              <w:rPr>
                <w:rFonts w:eastAsia="MS Mincho"/>
              </w:rPr>
            </w:pPr>
            <w:r w:rsidRPr="00A410E4">
              <w:rPr>
                <w:rFonts w:eastAsia="MS Mincho"/>
              </w:rPr>
              <w:t>Consider when to apply routine processes and when to develop tailor–made interventions</w:t>
            </w:r>
            <w:r>
              <w:rPr>
                <w:rFonts w:eastAsia="MS Mincho"/>
              </w:rPr>
              <w:t xml:space="preserve"> to address harms</w:t>
            </w:r>
            <w:r w:rsidRPr="77AEEC0A">
              <w:rPr>
                <w:rFonts w:eastAsia="MS Mincho"/>
              </w:rPr>
              <w:t>.</w:t>
            </w:r>
            <w:r w:rsidRPr="00A410E4" w:rsidDel="006C0C4D">
              <w:rPr>
                <w:rFonts w:eastAsia="MS Mincho"/>
              </w:rPr>
              <w:t xml:space="preserve"> </w:t>
            </w:r>
            <w:r>
              <w:rPr>
                <w:rFonts w:eastAsia="MS Mincho"/>
              </w:rPr>
              <w:t xml:space="preserve">Account for and develop the resources and capabilities required to deliver each approach. </w:t>
            </w:r>
          </w:p>
        </w:tc>
      </w:tr>
      <w:tr w:rsidR="005F0587" w:rsidRPr="00A410E4" w14:paraId="78D59B72" w14:textId="77777777" w:rsidTr="00532FCE">
        <w:tc>
          <w:tcPr>
            <w:tcW w:w="527" w:type="dxa"/>
          </w:tcPr>
          <w:p w14:paraId="5378F159" w14:textId="1BFE9C9E" w:rsidR="005F0587" w:rsidRPr="00A410E4" w:rsidRDefault="005F0587" w:rsidP="005F0587">
            <w:pPr>
              <w:pStyle w:val="Sub-principle"/>
              <w:rPr>
                <w:rFonts w:eastAsia="MS Mincho"/>
              </w:rPr>
            </w:pPr>
          </w:p>
        </w:tc>
        <w:tc>
          <w:tcPr>
            <w:tcW w:w="8506" w:type="dxa"/>
          </w:tcPr>
          <w:p w14:paraId="61CFB813" w14:textId="77777777" w:rsidR="005F0587" w:rsidRPr="00A410E4" w:rsidRDefault="005F0587" w:rsidP="005526A8">
            <w:pPr>
              <w:pStyle w:val="Tabletext"/>
              <w:rPr>
                <w:rFonts w:eastAsia="VIC" w:cs="VIC"/>
              </w:rPr>
            </w:pPr>
            <w:r w:rsidRPr="00A410E4">
              <w:rPr>
                <w:rFonts w:eastAsia="VIC" w:cs="VIC"/>
              </w:rPr>
              <w:t>When designing your regulatory approaches, account for how duty holder attitude, behaviour, and performance should influence your responses</w:t>
            </w:r>
            <w:r>
              <w:rPr>
                <w:rFonts w:eastAsia="VIC" w:cs="VIC"/>
              </w:rPr>
              <w:t xml:space="preserve">. </w:t>
            </w:r>
          </w:p>
        </w:tc>
      </w:tr>
      <w:tr w:rsidR="005F0587" w:rsidRPr="00A410E4" w14:paraId="28D41E67" w14:textId="77777777" w:rsidTr="00532FCE">
        <w:tc>
          <w:tcPr>
            <w:tcW w:w="527" w:type="dxa"/>
          </w:tcPr>
          <w:p w14:paraId="35B96FDB" w14:textId="11CB0D97" w:rsidR="005F0587" w:rsidRPr="00A410E4" w:rsidRDefault="005F0587" w:rsidP="005F0587">
            <w:pPr>
              <w:pStyle w:val="Sub-principle"/>
              <w:rPr>
                <w:rFonts w:eastAsia="MS Mincho"/>
              </w:rPr>
            </w:pPr>
          </w:p>
        </w:tc>
        <w:tc>
          <w:tcPr>
            <w:tcW w:w="8506" w:type="dxa"/>
          </w:tcPr>
          <w:p w14:paraId="2604FFC0" w14:textId="77777777" w:rsidR="005F0587" w:rsidRPr="00A410E4" w:rsidRDefault="005F0587" w:rsidP="005526A8">
            <w:pPr>
              <w:pStyle w:val="Tabletext"/>
              <w:rPr>
                <w:rFonts w:eastAsia="MS Mincho"/>
              </w:rPr>
            </w:pPr>
            <w:r w:rsidRPr="00A410E4">
              <w:rPr>
                <w:rFonts w:eastAsia="MS Mincho"/>
              </w:rPr>
              <w:t>Establish a clear approach to monitoring compliance. For inspection programs, aim to maximise the use of preventative, rather than reactive approaches, accounting for the constraints of relevant legislation and the performance of regulated industries.</w:t>
            </w:r>
          </w:p>
        </w:tc>
      </w:tr>
      <w:tr w:rsidR="005F0587" w:rsidRPr="00A410E4" w14:paraId="33D22EC4" w14:textId="77777777" w:rsidTr="00532FCE">
        <w:tc>
          <w:tcPr>
            <w:tcW w:w="527" w:type="dxa"/>
          </w:tcPr>
          <w:p w14:paraId="6C9F0AFD" w14:textId="35D50DD2" w:rsidR="005F0587" w:rsidRPr="00A410E4" w:rsidRDefault="005F0587" w:rsidP="005F0587">
            <w:pPr>
              <w:pStyle w:val="Sub-principle"/>
              <w:rPr>
                <w:rFonts w:eastAsia="MS Mincho"/>
              </w:rPr>
            </w:pPr>
          </w:p>
        </w:tc>
        <w:tc>
          <w:tcPr>
            <w:tcW w:w="8506" w:type="dxa"/>
          </w:tcPr>
          <w:p w14:paraId="2C75873E" w14:textId="77777777" w:rsidR="005F0587" w:rsidRPr="00A410E4" w:rsidRDefault="005F0587" w:rsidP="005526A8">
            <w:pPr>
              <w:pStyle w:val="Tabletext"/>
              <w:rPr>
                <w:rFonts w:eastAsia="MS Mincho"/>
              </w:rPr>
            </w:pPr>
            <w:r w:rsidRPr="00A410E4">
              <w:rPr>
                <w:rFonts w:eastAsia="MS Mincho"/>
              </w:rPr>
              <w:t xml:space="preserve">Develop positions on the use of different enforcement powers </w:t>
            </w:r>
            <w:r>
              <w:rPr>
                <w:rFonts w:eastAsia="MS Mincho"/>
              </w:rPr>
              <w:t xml:space="preserve">within the context of your regulatory approach. </w:t>
            </w:r>
            <w:r w:rsidRPr="77AEEC0A">
              <w:rPr>
                <w:rFonts w:eastAsia="MS Mincho"/>
              </w:rPr>
              <w:t>Account</w:t>
            </w:r>
            <w:r w:rsidRPr="00A410E4">
              <w:rPr>
                <w:rFonts w:eastAsia="MS Mincho"/>
              </w:rPr>
              <w:t xml:space="preserve"> for legal requirements, risk, proportionality, and effects on broader compliance behaviours. </w:t>
            </w:r>
            <w:r>
              <w:rPr>
                <w:rFonts w:eastAsia="MS Mincho"/>
              </w:rPr>
              <w:t xml:space="preserve">Distinguish how you </w:t>
            </w:r>
            <w:r w:rsidRPr="00A410E4">
              <w:rPr>
                <w:rFonts w:eastAsia="MS Mincho"/>
              </w:rPr>
              <w:t xml:space="preserve">use remedial tools to </w:t>
            </w:r>
            <w:r>
              <w:rPr>
                <w:rFonts w:eastAsia="MS Mincho"/>
              </w:rPr>
              <w:t xml:space="preserve">change </w:t>
            </w:r>
            <w:r w:rsidRPr="77AEEC0A">
              <w:rPr>
                <w:rFonts w:eastAsia="MS Mincho"/>
              </w:rPr>
              <w:t>behaviour</w:t>
            </w:r>
            <w:r w:rsidRPr="00A410E4" w:rsidDel="00180FB5">
              <w:rPr>
                <w:rFonts w:eastAsia="MS Mincho"/>
              </w:rPr>
              <w:t xml:space="preserve"> </w:t>
            </w:r>
            <w:r w:rsidRPr="00A410E4">
              <w:rPr>
                <w:rFonts w:eastAsia="MS Mincho"/>
              </w:rPr>
              <w:t xml:space="preserve">and secure compliance, from </w:t>
            </w:r>
            <w:r>
              <w:rPr>
                <w:rFonts w:eastAsia="MS Mincho"/>
              </w:rPr>
              <w:t xml:space="preserve">your use of </w:t>
            </w:r>
            <w:r w:rsidRPr="00A410E4">
              <w:rPr>
                <w:rFonts w:eastAsia="MS Mincho"/>
              </w:rPr>
              <w:t xml:space="preserve">sanctions and penalties. </w:t>
            </w:r>
          </w:p>
        </w:tc>
      </w:tr>
      <w:tr w:rsidR="005F0587" w:rsidRPr="00A410E4" w14:paraId="598D4ECB" w14:textId="77777777" w:rsidTr="00532FCE">
        <w:tc>
          <w:tcPr>
            <w:tcW w:w="527" w:type="dxa"/>
          </w:tcPr>
          <w:p w14:paraId="2158D57E" w14:textId="497FF6B6" w:rsidR="005F0587" w:rsidRPr="00A410E4" w:rsidRDefault="005F0587" w:rsidP="005F0587">
            <w:pPr>
              <w:pStyle w:val="Sub-principle"/>
              <w:rPr>
                <w:rFonts w:eastAsia="MS Mincho"/>
              </w:rPr>
            </w:pPr>
          </w:p>
        </w:tc>
        <w:tc>
          <w:tcPr>
            <w:tcW w:w="8506" w:type="dxa"/>
          </w:tcPr>
          <w:p w14:paraId="680316C4" w14:textId="77777777" w:rsidR="005F0587" w:rsidRPr="00A410E4" w:rsidRDefault="005F0587" w:rsidP="005526A8">
            <w:pPr>
              <w:pStyle w:val="Tabletext"/>
              <w:rPr>
                <w:rFonts w:eastAsia="MS Mincho"/>
              </w:rPr>
            </w:pPr>
            <w:r w:rsidRPr="00A410E4">
              <w:rPr>
                <w:rFonts w:eastAsia="MS Mincho"/>
              </w:rPr>
              <w:t xml:space="preserve">Communicate your overall approach, so it is understood across your organisation, by duty holders, </w:t>
            </w:r>
            <w:r w:rsidRPr="00A410E4" w:rsidDel="1AFF0412">
              <w:rPr>
                <w:rFonts w:eastAsia="MS Mincho"/>
              </w:rPr>
              <w:t xml:space="preserve">and </w:t>
            </w:r>
            <w:r w:rsidRPr="00A410E4">
              <w:rPr>
                <w:rFonts w:eastAsia="MS Mincho"/>
              </w:rPr>
              <w:t>other stakeholders and the community as relevant. Explain why and how your approaches are intended to work to address harms.</w:t>
            </w:r>
          </w:p>
        </w:tc>
      </w:tr>
    </w:tbl>
    <w:p w14:paraId="138B70F5" w14:textId="77777777" w:rsidR="00C7114C" w:rsidRDefault="00C7114C" w:rsidP="005526A8"/>
    <w:p w14:paraId="54EF7085" w14:textId="0E4368D8" w:rsidR="005526A8" w:rsidRPr="00A410E4" w:rsidRDefault="005526A8" w:rsidP="005526A8">
      <w:pPr>
        <w:pStyle w:val="Principle"/>
      </w:pPr>
      <w:bookmarkStart w:id="7" w:name="_Hlk89784054"/>
      <w:bookmarkStart w:id="8" w:name="_Toc100589341"/>
      <w:r w:rsidRPr="00A410E4" w:rsidDel="00125581">
        <w:t xml:space="preserve">Ensure your </w:t>
      </w:r>
      <w:r w:rsidRPr="00A410E4">
        <w:t xml:space="preserve">regulatory regime </w:t>
      </w:r>
      <w:r w:rsidRPr="00A410E4" w:rsidDel="00125581">
        <w:t>is fit for purpose</w:t>
      </w:r>
      <w:bookmarkEnd w:id="7"/>
      <w:bookmarkEnd w:id="8"/>
    </w:p>
    <w:tbl>
      <w:tblPr>
        <w:tblStyle w:val="Texttable"/>
        <w:tblW w:w="9033" w:type="dxa"/>
        <w:tblLayout w:type="fixed"/>
        <w:tblLook w:val="0600" w:firstRow="0" w:lastRow="0" w:firstColumn="0" w:lastColumn="0" w:noHBand="1" w:noVBand="1"/>
      </w:tblPr>
      <w:tblGrid>
        <w:gridCol w:w="527"/>
        <w:gridCol w:w="8506"/>
      </w:tblGrid>
      <w:tr w:rsidR="005526A8" w:rsidRPr="00A410E4" w14:paraId="2ABBA30E" w14:textId="77777777" w:rsidTr="00532FCE">
        <w:tc>
          <w:tcPr>
            <w:tcW w:w="527" w:type="dxa"/>
          </w:tcPr>
          <w:p w14:paraId="51ACF014" w14:textId="16C6D730" w:rsidR="005526A8" w:rsidRPr="00A410E4" w:rsidRDefault="005526A8" w:rsidP="005526A8">
            <w:pPr>
              <w:pStyle w:val="Sub-principle"/>
              <w:rPr>
                <w:rFonts w:eastAsia="MS Mincho"/>
              </w:rPr>
            </w:pPr>
          </w:p>
        </w:tc>
        <w:tc>
          <w:tcPr>
            <w:tcW w:w="8506" w:type="dxa"/>
          </w:tcPr>
          <w:p w14:paraId="72831B4F" w14:textId="77777777" w:rsidR="005526A8" w:rsidRPr="00A410E4" w:rsidRDefault="005526A8" w:rsidP="005526A8">
            <w:pPr>
              <w:pStyle w:val="Tabletext"/>
              <w:rPr>
                <w:rFonts w:eastAsia="MS Mincho"/>
              </w:rPr>
            </w:pPr>
            <w:r w:rsidRPr="00A410E4">
              <w:rPr>
                <w:rFonts w:eastAsia="MS Mincho"/>
              </w:rPr>
              <w:t xml:space="preserve">Monitor the environment you operate in to ensure that your approach is responsive to emerging challenges, changes in harms, and new policy settings, and adapts to changes in technology, industry practices and community expectations. </w:t>
            </w:r>
          </w:p>
        </w:tc>
      </w:tr>
      <w:tr w:rsidR="005526A8" w:rsidRPr="00A410E4" w14:paraId="47CB734C" w14:textId="77777777" w:rsidTr="00532FCE">
        <w:tc>
          <w:tcPr>
            <w:tcW w:w="527" w:type="dxa"/>
          </w:tcPr>
          <w:p w14:paraId="7B6B2593" w14:textId="653A103F" w:rsidR="005526A8" w:rsidRPr="00A410E4" w:rsidRDefault="005526A8" w:rsidP="005526A8">
            <w:pPr>
              <w:pStyle w:val="Sub-principle"/>
              <w:rPr>
                <w:rFonts w:eastAsia="MS Mincho"/>
              </w:rPr>
            </w:pPr>
          </w:p>
        </w:tc>
        <w:tc>
          <w:tcPr>
            <w:tcW w:w="8506" w:type="dxa"/>
          </w:tcPr>
          <w:p w14:paraId="588D8245" w14:textId="77777777" w:rsidR="005526A8" w:rsidRPr="00A410E4" w:rsidRDefault="005526A8" w:rsidP="005526A8">
            <w:pPr>
              <w:pStyle w:val="Tabletext"/>
              <w:rPr>
                <w:rFonts w:eastAsia="MS Mincho"/>
              </w:rPr>
            </w:pPr>
            <w:r w:rsidRPr="00A410E4">
              <w:rPr>
                <w:rFonts w:eastAsia="MS Mincho"/>
              </w:rPr>
              <w:t>Account for the areas where your activities interface with those of peer regulators, policy makers, service delivery and funding bodies, to address inconsistencies in objectives or in delivery of government functions.</w:t>
            </w:r>
          </w:p>
        </w:tc>
      </w:tr>
      <w:tr w:rsidR="005526A8" w:rsidRPr="00A410E4" w14:paraId="1746A8D8" w14:textId="77777777" w:rsidTr="00532FCE">
        <w:tc>
          <w:tcPr>
            <w:tcW w:w="527" w:type="dxa"/>
          </w:tcPr>
          <w:p w14:paraId="63130977" w14:textId="7F8E297C" w:rsidR="005526A8" w:rsidRPr="00A410E4" w:rsidRDefault="005526A8" w:rsidP="005526A8">
            <w:pPr>
              <w:pStyle w:val="Sub-principle"/>
              <w:rPr>
                <w:rFonts w:eastAsia="MS Mincho"/>
              </w:rPr>
            </w:pPr>
          </w:p>
        </w:tc>
        <w:tc>
          <w:tcPr>
            <w:tcW w:w="8506" w:type="dxa"/>
          </w:tcPr>
          <w:p w14:paraId="6C5F18C8" w14:textId="77777777" w:rsidR="005526A8" w:rsidRPr="00A410E4" w:rsidRDefault="005526A8" w:rsidP="005526A8">
            <w:pPr>
              <w:pStyle w:val="Tabletext"/>
              <w:rPr>
                <w:rFonts w:eastAsia="MS Mincho"/>
              </w:rPr>
            </w:pPr>
            <w:r w:rsidRPr="00A410E4">
              <w:rPr>
                <w:rFonts w:eastAsia="MS Mincho"/>
              </w:rPr>
              <w:t xml:space="preserve">Identify where you can innovate or test new approaches to using your tools and powers to achieve your outcomes, including where you should take strategic enforcement action to clarify the limits of your regulatory framework. </w:t>
            </w:r>
          </w:p>
        </w:tc>
      </w:tr>
      <w:tr w:rsidR="005526A8" w:rsidRPr="00A410E4" w14:paraId="39290A34" w14:textId="77777777" w:rsidTr="00532FCE">
        <w:tc>
          <w:tcPr>
            <w:tcW w:w="527" w:type="dxa"/>
          </w:tcPr>
          <w:p w14:paraId="0CC8276F" w14:textId="0BDA69C5" w:rsidR="005526A8" w:rsidRPr="00A410E4" w:rsidRDefault="005526A8" w:rsidP="005526A8">
            <w:pPr>
              <w:pStyle w:val="Sub-principle"/>
              <w:rPr>
                <w:rFonts w:eastAsia="MS Mincho"/>
              </w:rPr>
            </w:pPr>
          </w:p>
        </w:tc>
        <w:tc>
          <w:tcPr>
            <w:tcW w:w="8506" w:type="dxa"/>
          </w:tcPr>
          <w:p w14:paraId="759D934E" w14:textId="77777777" w:rsidR="005526A8" w:rsidRPr="00A410E4" w:rsidRDefault="005526A8" w:rsidP="005526A8">
            <w:pPr>
              <w:pStyle w:val="Tabletext"/>
              <w:rPr>
                <w:rFonts w:eastAsia="MS Mincho"/>
              </w:rPr>
            </w:pPr>
            <w:r w:rsidRPr="00A410E4">
              <w:rPr>
                <w:rFonts w:eastAsia="MS Mincho"/>
              </w:rPr>
              <w:t>Where your ability to address harms is limited by deficiencies in your regulatory framework, seek to influence and develop other approaches to achieve your goals. This may include collaboration, influence, and explaining your limitations to government peers.</w:t>
            </w:r>
          </w:p>
        </w:tc>
      </w:tr>
      <w:tr w:rsidR="005526A8" w:rsidRPr="00A410E4" w14:paraId="610F9CE2" w14:textId="77777777" w:rsidTr="00532FCE">
        <w:tc>
          <w:tcPr>
            <w:tcW w:w="527" w:type="dxa"/>
          </w:tcPr>
          <w:p w14:paraId="767931E6" w14:textId="55185773" w:rsidR="005526A8" w:rsidRPr="00A410E4" w:rsidRDefault="005526A8" w:rsidP="005526A8">
            <w:pPr>
              <w:pStyle w:val="Sub-principle"/>
              <w:rPr>
                <w:rFonts w:eastAsia="MS Mincho"/>
              </w:rPr>
            </w:pPr>
          </w:p>
        </w:tc>
        <w:tc>
          <w:tcPr>
            <w:tcW w:w="8506" w:type="dxa"/>
          </w:tcPr>
          <w:p w14:paraId="10532719" w14:textId="145E8B41" w:rsidR="005526A8" w:rsidRPr="00A410E4" w:rsidRDefault="005526A8" w:rsidP="005526A8">
            <w:pPr>
              <w:pStyle w:val="Tabletext"/>
              <w:rPr>
                <w:rFonts w:eastAsia="MS Mincho"/>
              </w:rPr>
            </w:pPr>
            <w:r w:rsidRPr="00A410E4">
              <w:rPr>
                <w:rFonts w:eastAsia="MS Mincho"/>
              </w:rPr>
              <w:t>Alert relevant Ministers and departments to capability, funding or other resourcing issues, or problems with legislation, that significantly compromise your ability to meet</w:t>
            </w:r>
            <w:r w:rsidRPr="00A410E4" w:rsidDel="00347B4C">
              <w:rPr>
                <w:rFonts w:eastAsia="MS Mincho"/>
              </w:rPr>
              <w:t xml:space="preserve"> </w:t>
            </w:r>
            <w:r w:rsidRPr="00A410E4">
              <w:rPr>
                <w:rFonts w:eastAsia="MS Mincho"/>
              </w:rPr>
              <w:t xml:space="preserve">regulatory outcomes. When doing so, advise on the nature of the risks, and proposed or possible mitigating strategies. </w:t>
            </w:r>
          </w:p>
        </w:tc>
      </w:tr>
    </w:tbl>
    <w:p w14:paraId="4E5970F6" w14:textId="4CC8BCAF" w:rsidR="00C7114C" w:rsidRDefault="00C7114C">
      <w:pPr>
        <w:spacing w:before="0" w:after="160" w:line="259" w:lineRule="auto"/>
      </w:pPr>
    </w:p>
    <w:p w14:paraId="72477971" w14:textId="77777777" w:rsidR="005526A8" w:rsidRPr="009B2709" w:rsidRDefault="005526A8" w:rsidP="005526A8">
      <w:pPr>
        <w:pStyle w:val="Heading1"/>
      </w:pPr>
      <w:bookmarkStart w:id="9" w:name="_Toc100589342"/>
      <w:r w:rsidRPr="009B2709">
        <w:t>Operations</w:t>
      </w:r>
      <w:bookmarkEnd w:id="9"/>
      <w:r w:rsidRPr="009B2709">
        <w:t xml:space="preserve"> </w:t>
      </w:r>
    </w:p>
    <w:p w14:paraId="3B0ADBF0" w14:textId="77777777" w:rsidR="005526A8" w:rsidRPr="00D96010" w:rsidRDefault="005526A8" w:rsidP="007206BF">
      <w:r w:rsidRPr="432F1BF9">
        <w:t xml:space="preserve">Delivery against these principles involves the translation of strategy </w:t>
      </w:r>
      <w:r>
        <w:t xml:space="preserve">and priorities </w:t>
      </w:r>
      <w:r w:rsidRPr="432F1BF9">
        <w:t xml:space="preserve">into operational practice, through </w:t>
      </w:r>
      <w:r>
        <w:t>delivery of</w:t>
      </w:r>
      <w:r w:rsidRPr="432F1BF9">
        <w:t xml:space="preserve"> regulatory approaches, building or refining management systems</w:t>
      </w:r>
      <w:r>
        <w:t xml:space="preserve"> and</w:t>
      </w:r>
      <w:r w:rsidRPr="432F1BF9" w:rsidDel="009168ED">
        <w:t xml:space="preserve"> </w:t>
      </w:r>
      <w:r w:rsidRPr="432F1BF9">
        <w:t xml:space="preserve">operational policies, and </w:t>
      </w:r>
      <w:r>
        <w:t xml:space="preserve">application of </w:t>
      </w:r>
      <w:r w:rsidRPr="432F1BF9">
        <w:t xml:space="preserve">decision-making and resource management frameworks. </w:t>
      </w:r>
      <w:r>
        <w:t xml:space="preserve">When addressing these principles, the appropriate approach will vary with the powers, functions, and scale of a regulator. </w:t>
      </w:r>
    </w:p>
    <w:p w14:paraId="2AA451A4" w14:textId="77777777" w:rsidR="005526A8" w:rsidRDefault="005526A8" w:rsidP="007206BF">
      <w:r w:rsidRPr="005526A8">
        <w:rPr>
          <w:b/>
          <w:bCs/>
          <w:iCs/>
        </w:rPr>
        <w:t>Principle four</w:t>
      </w:r>
      <w:r w:rsidRPr="49E3A3CD">
        <w:rPr>
          <w:i/>
          <w:iCs/>
        </w:rPr>
        <w:t xml:space="preserve"> </w:t>
      </w:r>
      <w:r>
        <w:t xml:space="preserve">relates to awareness raising activities with duty holders and the community, including how obligations are framed. Prioritising this principle can help increase engagement, especially when most duty holders are cooperative, but may struggle to prioritise compliance, or where the purposes of regulation are not obvious. It may be less relevant to deliberate non-compliances or criminal enterprises. </w:t>
      </w:r>
    </w:p>
    <w:p w14:paraId="7CDCD70B" w14:textId="77777777" w:rsidR="005526A8" w:rsidRPr="00A10C35" w:rsidRDefault="005526A8" w:rsidP="007206BF">
      <w:r w:rsidRPr="005526A8">
        <w:rPr>
          <w:b/>
          <w:iCs/>
        </w:rPr>
        <w:t>Principle five</w:t>
      </w:r>
      <w:r>
        <w:rPr>
          <w:b/>
          <w:i/>
        </w:rPr>
        <w:t xml:space="preserve"> </w:t>
      </w:r>
      <w:r w:rsidRPr="00E869F7">
        <w:t xml:space="preserve">accounts </w:t>
      </w:r>
      <w:r>
        <w:t xml:space="preserve">for the broad range of approaches that may be used to make compliance straightforward. These approaches should be supported and reinforced by appropriate enforcement action, to maximise compliance across the duty holder cohort. </w:t>
      </w:r>
    </w:p>
    <w:p w14:paraId="3F32B25D" w14:textId="77777777" w:rsidR="005526A8" w:rsidRDefault="005526A8" w:rsidP="007206BF">
      <w:r>
        <w:t>Together, delivery against</w:t>
      </w:r>
      <w:r w:rsidRPr="08F4A9C0">
        <w:rPr>
          <w:b/>
        </w:rPr>
        <w:t xml:space="preserve"> </w:t>
      </w:r>
      <w:r w:rsidRPr="005526A8">
        <w:rPr>
          <w:b/>
          <w:iCs/>
        </w:rPr>
        <w:t>principles four and five</w:t>
      </w:r>
      <w:r w:rsidRPr="3550E0DE">
        <w:rPr>
          <w:i/>
          <w:iCs/>
        </w:rPr>
        <w:t xml:space="preserve"> </w:t>
      </w:r>
      <w:r>
        <w:t xml:space="preserve">can help maximise support for the regulatory settings and voluntary compliance, by making the reasons for regulation clear, making rules easier to understand and follow, and designing and targeting compliance approaches to influence behavioural change. </w:t>
      </w:r>
    </w:p>
    <w:p w14:paraId="16F16CE2" w14:textId="77777777" w:rsidR="005526A8" w:rsidRPr="00D96010" w:rsidRDefault="005526A8" w:rsidP="007206BF">
      <w:r w:rsidRPr="005526A8">
        <w:rPr>
          <w:b/>
          <w:bCs/>
        </w:rPr>
        <w:t>Principles five and six</w:t>
      </w:r>
      <w:r w:rsidRPr="432F1BF9">
        <w:rPr>
          <w:i/>
          <w:iCs/>
        </w:rPr>
        <w:t xml:space="preserve"> </w:t>
      </w:r>
      <w:r>
        <w:t xml:space="preserve">can involve the design and delivery of regulatory activities. Delivering these principles may require ongoing improvements in staff and management capabilities, processes, and systems, to create capacity to better prevent harms. Gap analyses, maturity assessments and feedback from stakeholders can inform prioritisation. </w:t>
      </w:r>
    </w:p>
    <w:p w14:paraId="46EADE70" w14:textId="77777777" w:rsidR="005526A8" w:rsidRDefault="005526A8" w:rsidP="007206BF">
      <w:r w:rsidRPr="49E3A3CD">
        <w:t xml:space="preserve">Delivery of </w:t>
      </w:r>
      <w:r w:rsidRPr="005526A8">
        <w:rPr>
          <w:b/>
          <w:bCs/>
        </w:rPr>
        <w:t>principle seven</w:t>
      </w:r>
      <w:r w:rsidRPr="49E3A3CD">
        <w:rPr>
          <w:i/>
          <w:iCs/>
        </w:rPr>
        <w:t xml:space="preserve"> </w:t>
      </w:r>
      <w:r>
        <w:t xml:space="preserve">requires a commitment to evaluation that goes beyond measuring activities, </w:t>
      </w:r>
      <w:r w:rsidRPr="359AFFCF">
        <w:t xml:space="preserve">by </w:t>
      </w:r>
      <w:r w:rsidRPr="359AFFCF" w:rsidDel="22862712">
        <w:t xml:space="preserve">assessing </w:t>
      </w:r>
      <w:r w:rsidRPr="359AFFCF">
        <w:t xml:space="preserve">and explaining how </w:t>
      </w:r>
      <w:r>
        <w:t xml:space="preserve">regulatory activities work together to </w:t>
      </w:r>
      <w:r w:rsidRPr="359AFFCF">
        <w:t>impact on harms</w:t>
      </w:r>
      <w:r>
        <w:t xml:space="preserve"> and deliver results. This may require new ways of organising regulatory effort, developing measures and interpreting</w:t>
      </w:r>
      <w:r w:rsidDel="00630BE5">
        <w:t xml:space="preserve"> </w:t>
      </w:r>
      <w:r>
        <w:t xml:space="preserve">results, accounting for the nature of harms. </w:t>
      </w:r>
    </w:p>
    <w:p w14:paraId="3B643B57" w14:textId="77777777" w:rsidR="005526A8" w:rsidRDefault="005526A8" w:rsidP="007206BF">
      <w:r>
        <w:t xml:space="preserve">Delivering improved evaluation may also require support from departments, recognising the inherent challenges in measuring harm reduction, and the importance of regulators having appropriate discretion to allocate their resources. This may include revising performance indicators from activity quotas to a balanced set of performance indicators. </w:t>
      </w:r>
    </w:p>
    <w:p w14:paraId="5356DA8A" w14:textId="77777777" w:rsidR="00536F3E" w:rsidRDefault="00536F3E" w:rsidP="007206BF"/>
    <w:p w14:paraId="355A09D9" w14:textId="7F11F302" w:rsidR="00532FCE" w:rsidRPr="009B2709" w:rsidRDefault="00532FCE" w:rsidP="00532FCE">
      <w:pPr>
        <w:pStyle w:val="Principle"/>
      </w:pPr>
      <w:bookmarkStart w:id="10" w:name="_Toc100589344"/>
      <w:r>
        <w:t>Support duty holders to understand the value of compliance and harm reduction</w:t>
      </w:r>
      <w:bookmarkEnd w:id="10"/>
    </w:p>
    <w:tbl>
      <w:tblPr>
        <w:tblStyle w:val="Texttable"/>
        <w:tblW w:w="9039" w:type="dxa"/>
        <w:tblLayout w:type="fixed"/>
        <w:tblLook w:val="0600" w:firstRow="0" w:lastRow="0" w:firstColumn="0" w:lastColumn="0" w:noHBand="1" w:noVBand="1"/>
      </w:tblPr>
      <w:tblGrid>
        <w:gridCol w:w="534"/>
        <w:gridCol w:w="8505"/>
      </w:tblGrid>
      <w:tr w:rsidR="005526A8" w:rsidRPr="005F0C59" w14:paraId="157D9D0D" w14:textId="77777777" w:rsidTr="00532FCE">
        <w:tc>
          <w:tcPr>
            <w:tcW w:w="534" w:type="dxa"/>
          </w:tcPr>
          <w:p w14:paraId="3A1DBF1D" w14:textId="240A5D37" w:rsidR="005526A8" w:rsidRPr="005F0C59" w:rsidRDefault="005526A8" w:rsidP="00532FCE">
            <w:pPr>
              <w:pStyle w:val="Sub-principle"/>
            </w:pPr>
          </w:p>
        </w:tc>
        <w:tc>
          <w:tcPr>
            <w:tcW w:w="8499" w:type="dxa"/>
          </w:tcPr>
          <w:p w14:paraId="22399108" w14:textId="77777777" w:rsidR="005526A8" w:rsidRPr="00FC01C0" w:rsidRDefault="005526A8" w:rsidP="00532FCE">
            <w:pPr>
              <w:pStyle w:val="Tabletext"/>
            </w:pPr>
            <w:r w:rsidRPr="20FF47C3">
              <w:t>Communicate the impact of harms and the importance of harm reduction to duty holders, to increase their willingness and motivation to comply</w:t>
            </w:r>
            <w:r w:rsidRPr="08F4A9C0">
              <w:t>.</w:t>
            </w:r>
          </w:p>
        </w:tc>
      </w:tr>
      <w:tr w:rsidR="005526A8" w:rsidRPr="005F0C59" w14:paraId="180016AD" w14:textId="77777777" w:rsidTr="00532FCE">
        <w:tc>
          <w:tcPr>
            <w:tcW w:w="534" w:type="dxa"/>
          </w:tcPr>
          <w:p w14:paraId="0EFEB798" w14:textId="3CA6C7DE" w:rsidR="005526A8" w:rsidRPr="005F0C59" w:rsidRDefault="005526A8" w:rsidP="00532FCE">
            <w:pPr>
              <w:pStyle w:val="Sub-principle"/>
            </w:pPr>
          </w:p>
        </w:tc>
        <w:tc>
          <w:tcPr>
            <w:tcW w:w="8499" w:type="dxa"/>
          </w:tcPr>
          <w:p w14:paraId="5CD5FAB7" w14:textId="77777777" w:rsidR="005526A8" w:rsidRPr="002B580C" w:rsidRDefault="005526A8" w:rsidP="00532FCE">
            <w:pPr>
              <w:pStyle w:val="Tabletext"/>
            </w:pPr>
            <w:r w:rsidRPr="20FF47C3">
              <w:t xml:space="preserve">Support duty holders and the community to understand how their actions affect harm reduction and broader regulatory outcomes. This may include explaining the benefits of compliance for duty holders, industry, and the broader community. </w:t>
            </w:r>
          </w:p>
        </w:tc>
      </w:tr>
      <w:tr w:rsidR="005526A8" w:rsidRPr="005F0C59" w14:paraId="7C34E0BD" w14:textId="77777777" w:rsidTr="00532FCE">
        <w:tc>
          <w:tcPr>
            <w:tcW w:w="534" w:type="dxa"/>
          </w:tcPr>
          <w:p w14:paraId="5672964E" w14:textId="654E7506" w:rsidR="005526A8" w:rsidRPr="005F0C59" w:rsidRDefault="005526A8" w:rsidP="00532FCE">
            <w:pPr>
              <w:pStyle w:val="Sub-principle"/>
            </w:pPr>
          </w:p>
        </w:tc>
        <w:tc>
          <w:tcPr>
            <w:tcW w:w="8499" w:type="dxa"/>
          </w:tcPr>
          <w:p w14:paraId="04FD15AA" w14:textId="77777777" w:rsidR="005526A8" w:rsidRPr="005F0C59" w:rsidRDefault="005526A8" w:rsidP="00532FCE">
            <w:pPr>
              <w:pStyle w:val="Tabletext"/>
            </w:pPr>
            <w:r w:rsidRPr="019854E7">
              <w:t>Communicate</w:t>
            </w:r>
            <w:r w:rsidRPr="20FF47C3">
              <w:t xml:space="preserve"> how your compliance and enforcement actions</w:t>
            </w:r>
            <w:r>
              <w:t xml:space="preserve"> </w:t>
            </w:r>
            <w:r w:rsidRPr="20FF47C3">
              <w:t xml:space="preserve">contribute to harm reduction, industry integrity and ultimate social, environmental, and economic outcomes. </w:t>
            </w:r>
          </w:p>
        </w:tc>
      </w:tr>
    </w:tbl>
    <w:p w14:paraId="4BFB61CF" w14:textId="5684CE7F" w:rsidR="005526A8" w:rsidRDefault="005526A8" w:rsidP="00532FCE"/>
    <w:p w14:paraId="47C673C1" w14:textId="4E39E479" w:rsidR="00532FCE" w:rsidRPr="00416A1D" w:rsidRDefault="00532FCE" w:rsidP="00532FCE">
      <w:pPr>
        <w:pStyle w:val="Principle"/>
      </w:pPr>
      <w:bookmarkStart w:id="11" w:name="_Toc100589346"/>
      <w:r>
        <w:t>Support duty holders to comply</w:t>
      </w:r>
      <w:bookmarkEnd w:id="11"/>
    </w:p>
    <w:tbl>
      <w:tblPr>
        <w:tblStyle w:val="Texttable"/>
        <w:tblW w:w="9033" w:type="dxa"/>
        <w:tblLayout w:type="fixed"/>
        <w:tblLook w:val="0600" w:firstRow="0" w:lastRow="0" w:firstColumn="0" w:lastColumn="0" w:noHBand="1" w:noVBand="1"/>
      </w:tblPr>
      <w:tblGrid>
        <w:gridCol w:w="528"/>
        <w:gridCol w:w="8505"/>
      </w:tblGrid>
      <w:tr w:rsidR="00532FCE" w14:paraId="44EB5C86" w14:textId="77777777" w:rsidTr="00532FCE">
        <w:tc>
          <w:tcPr>
            <w:tcW w:w="528" w:type="dxa"/>
          </w:tcPr>
          <w:p w14:paraId="76E6618A" w14:textId="49EAFC1E" w:rsidR="00532FCE" w:rsidRPr="00BF59B2" w:rsidRDefault="00532FCE" w:rsidP="00532FCE">
            <w:pPr>
              <w:pStyle w:val="Sub-principle"/>
            </w:pPr>
          </w:p>
        </w:tc>
        <w:tc>
          <w:tcPr>
            <w:tcW w:w="8505" w:type="dxa"/>
          </w:tcPr>
          <w:p w14:paraId="7F38E663" w14:textId="77777777" w:rsidR="00532FCE" w:rsidRPr="00FC01C0" w:rsidRDefault="00532FCE" w:rsidP="00532FCE">
            <w:pPr>
              <w:pStyle w:val="Tabletext"/>
            </w:pPr>
            <w:r w:rsidRPr="20FF47C3">
              <w:t>Reduce barriers to compliance through the design of your regulatory standards and requirements, recognising the differing capabilities and needs of duty holders.</w:t>
            </w:r>
          </w:p>
        </w:tc>
      </w:tr>
      <w:tr w:rsidR="00532FCE" w14:paraId="46573DA6" w14:textId="77777777" w:rsidTr="00532FCE">
        <w:tc>
          <w:tcPr>
            <w:tcW w:w="528" w:type="dxa"/>
          </w:tcPr>
          <w:p w14:paraId="14496490" w14:textId="56D6D753" w:rsidR="00532FCE" w:rsidRPr="00BF59B2" w:rsidRDefault="00532FCE" w:rsidP="00532FCE">
            <w:pPr>
              <w:pStyle w:val="Sub-principle"/>
            </w:pPr>
          </w:p>
        </w:tc>
        <w:tc>
          <w:tcPr>
            <w:tcW w:w="8505" w:type="dxa"/>
          </w:tcPr>
          <w:p w14:paraId="5EA3A0A8" w14:textId="77777777" w:rsidR="00532FCE" w:rsidRPr="00BF59B2" w:rsidRDefault="00532FCE" w:rsidP="00532FCE">
            <w:pPr>
              <w:pStyle w:val="Tabletext"/>
            </w:pPr>
            <w:r w:rsidRPr="20FF47C3">
              <w:t>Target guidance, information, inspections, and compliance assessments to support or reinforce compliance where it is needed most.</w:t>
            </w:r>
          </w:p>
        </w:tc>
      </w:tr>
      <w:tr w:rsidR="00532FCE" w14:paraId="34AB7399" w14:textId="77777777" w:rsidTr="00532FCE">
        <w:tc>
          <w:tcPr>
            <w:tcW w:w="528" w:type="dxa"/>
          </w:tcPr>
          <w:p w14:paraId="1BE4E35F" w14:textId="0B0F6F7C" w:rsidR="00532FCE" w:rsidRPr="005F0C59" w:rsidRDefault="00532FCE" w:rsidP="00532FCE">
            <w:pPr>
              <w:pStyle w:val="Sub-principle"/>
            </w:pPr>
          </w:p>
        </w:tc>
        <w:tc>
          <w:tcPr>
            <w:tcW w:w="8505" w:type="dxa"/>
          </w:tcPr>
          <w:p w14:paraId="36F373BA" w14:textId="77777777" w:rsidR="00532FCE" w:rsidRPr="005F0C59" w:rsidRDefault="00532FCE" w:rsidP="00532FCE">
            <w:pPr>
              <w:pStyle w:val="Tabletext"/>
            </w:pPr>
            <w:r w:rsidRPr="20FF47C3">
              <w:t xml:space="preserve">Consult duty holders on existing and proposed guidance, to ensure that it is relevant and supports them to meet their obligations. </w:t>
            </w:r>
          </w:p>
        </w:tc>
      </w:tr>
      <w:tr w:rsidR="00532FCE" w14:paraId="686A32FA" w14:textId="77777777" w:rsidTr="008F6A0B">
        <w:trPr>
          <w:trHeight w:val="869"/>
        </w:trPr>
        <w:tc>
          <w:tcPr>
            <w:tcW w:w="528" w:type="dxa"/>
          </w:tcPr>
          <w:p w14:paraId="307E83EF" w14:textId="6A34A3D6" w:rsidR="00532FCE" w:rsidRPr="005F0C59" w:rsidRDefault="00532FCE" w:rsidP="00532FCE">
            <w:pPr>
              <w:pStyle w:val="Sub-principle"/>
            </w:pPr>
          </w:p>
        </w:tc>
        <w:tc>
          <w:tcPr>
            <w:tcW w:w="8505" w:type="dxa"/>
          </w:tcPr>
          <w:p w14:paraId="00982904" w14:textId="77777777" w:rsidR="00532FCE" w:rsidRPr="00FC01C0" w:rsidRDefault="00532FCE" w:rsidP="00532FCE">
            <w:pPr>
              <w:pStyle w:val="Tabletext"/>
            </w:pPr>
            <w:r w:rsidRPr="20FF47C3">
              <w:t xml:space="preserve">Provide guidance in a clear, accessible, and concise format, using communication channels appropriate to the target audience. This may include providing timely, relevant guidance as part of your interactions with duty holders. </w:t>
            </w:r>
          </w:p>
        </w:tc>
      </w:tr>
      <w:tr w:rsidR="00532FCE" w14:paraId="5650544D" w14:textId="77777777" w:rsidTr="00532FCE">
        <w:trPr>
          <w:trHeight w:val="632"/>
        </w:trPr>
        <w:tc>
          <w:tcPr>
            <w:tcW w:w="528" w:type="dxa"/>
          </w:tcPr>
          <w:p w14:paraId="4D328753" w14:textId="007E4700" w:rsidR="00532FCE" w:rsidRPr="005F0C59" w:rsidRDefault="00532FCE" w:rsidP="00532FCE">
            <w:pPr>
              <w:pStyle w:val="Sub-principle"/>
            </w:pPr>
          </w:p>
        </w:tc>
        <w:tc>
          <w:tcPr>
            <w:tcW w:w="8505" w:type="dxa"/>
          </w:tcPr>
          <w:p w14:paraId="267E4CAD" w14:textId="77777777" w:rsidR="00532FCE" w:rsidRPr="340F79FC" w:rsidRDefault="00532FCE" w:rsidP="00532FCE">
            <w:pPr>
              <w:pStyle w:val="Tabletext"/>
            </w:pPr>
            <w:r w:rsidRPr="20FF47C3">
              <w:t>Ensure that regulatory officers have the necessary knowledge and skills to help duty holders to understand obligations and compliance requirements, in the context of industry operations.</w:t>
            </w:r>
          </w:p>
        </w:tc>
      </w:tr>
      <w:tr w:rsidR="00532FCE" w14:paraId="70AC821B" w14:textId="77777777" w:rsidTr="00532FCE">
        <w:tc>
          <w:tcPr>
            <w:tcW w:w="528" w:type="dxa"/>
          </w:tcPr>
          <w:p w14:paraId="62BEE470" w14:textId="077680F4" w:rsidR="00532FCE" w:rsidRPr="007F68F9" w:rsidRDefault="00532FCE" w:rsidP="00532FCE">
            <w:pPr>
              <w:pStyle w:val="Sub-principle"/>
            </w:pPr>
          </w:p>
        </w:tc>
        <w:tc>
          <w:tcPr>
            <w:tcW w:w="8505" w:type="dxa"/>
          </w:tcPr>
          <w:p w14:paraId="504E8E0E" w14:textId="77777777" w:rsidR="00532FCE" w:rsidRPr="007F68F9" w:rsidRDefault="00532FCE" w:rsidP="00532FCE">
            <w:pPr>
              <w:pStyle w:val="Tabletext"/>
            </w:pPr>
            <w:r w:rsidRPr="019854E7">
              <w:t>Deliver a proportionate, focused response to non-compliances based on the degree of risk presented and your intended effect on duty holder behaviour.</w:t>
            </w:r>
          </w:p>
        </w:tc>
      </w:tr>
      <w:tr w:rsidR="00532FCE" w14:paraId="1FBE6DA6" w14:textId="77777777" w:rsidTr="00532FCE">
        <w:tc>
          <w:tcPr>
            <w:tcW w:w="528" w:type="dxa"/>
          </w:tcPr>
          <w:p w14:paraId="2508298A" w14:textId="683DBBB9" w:rsidR="00532FCE" w:rsidRPr="005F0C59" w:rsidRDefault="00532FCE" w:rsidP="00532FCE">
            <w:pPr>
              <w:pStyle w:val="Sub-principle"/>
            </w:pPr>
          </w:p>
        </w:tc>
        <w:tc>
          <w:tcPr>
            <w:tcW w:w="8505" w:type="dxa"/>
          </w:tcPr>
          <w:p w14:paraId="452E63FB" w14:textId="77777777" w:rsidR="00532FCE" w:rsidRPr="005F0C59" w:rsidRDefault="00532FCE" w:rsidP="00532FCE">
            <w:pPr>
              <w:pStyle w:val="Tabletext"/>
            </w:pPr>
            <w:r w:rsidRPr="20FF47C3">
              <w:t xml:space="preserve">Where appropriate to the regulatory framework and the risk, take account of stages a duty holder might need to progress through to maintain or improve compliance, and their willingness and ability to do so.  </w:t>
            </w:r>
          </w:p>
        </w:tc>
      </w:tr>
      <w:tr w:rsidR="00532FCE" w14:paraId="214E80B5" w14:textId="77777777" w:rsidTr="00532FCE">
        <w:tc>
          <w:tcPr>
            <w:tcW w:w="528" w:type="dxa"/>
          </w:tcPr>
          <w:p w14:paraId="67814E7F" w14:textId="23579E8F" w:rsidR="00532FCE" w:rsidRPr="005F0C59" w:rsidRDefault="00532FCE" w:rsidP="00532FCE">
            <w:pPr>
              <w:pStyle w:val="Sub-principle"/>
            </w:pPr>
          </w:p>
        </w:tc>
        <w:tc>
          <w:tcPr>
            <w:tcW w:w="8505" w:type="dxa"/>
          </w:tcPr>
          <w:p w14:paraId="66AD4C21" w14:textId="77777777" w:rsidR="00532FCE" w:rsidRPr="005F0C59" w:rsidRDefault="00532FCE" w:rsidP="00532FCE">
            <w:pPr>
              <w:pStyle w:val="Tabletext"/>
            </w:pPr>
            <w:r w:rsidRPr="005F0C59">
              <w:t xml:space="preserve">Consider how you can </w:t>
            </w:r>
            <w:r w:rsidRPr="5F8470BE">
              <w:t>increase</w:t>
            </w:r>
            <w:r w:rsidRPr="536C8056">
              <w:t xml:space="preserve"> voluntary compliance </w:t>
            </w:r>
            <w:r w:rsidRPr="005F0C59">
              <w:t xml:space="preserve">by minimising burdens and costs of compliance, recognising compliance history, and </w:t>
            </w:r>
            <w:r w:rsidRPr="536C8056">
              <w:t xml:space="preserve">where appropriate, adopting </w:t>
            </w:r>
            <w:r w:rsidRPr="005F0C59">
              <w:t xml:space="preserve">incentives or earned recognition approaches. </w:t>
            </w:r>
          </w:p>
        </w:tc>
      </w:tr>
    </w:tbl>
    <w:p w14:paraId="3FF2B2E2" w14:textId="42520E58" w:rsidR="00532FCE" w:rsidRDefault="00532FCE" w:rsidP="00532FCE"/>
    <w:p w14:paraId="09D33D84" w14:textId="1E66D07F" w:rsidR="00532FCE" w:rsidRPr="00416A1D" w:rsidRDefault="00532FCE" w:rsidP="00532FCE">
      <w:pPr>
        <w:pStyle w:val="Principle"/>
      </w:pPr>
      <w:bookmarkStart w:id="12" w:name="_Toc100589348"/>
      <w:r w:rsidRPr="49E3A3CD">
        <w:t>Target regulatory effort based on risk of harm</w:t>
      </w:r>
      <w:bookmarkEnd w:id="12"/>
    </w:p>
    <w:tbl>
      <w:tblPr>
        <w:tblStyle w:val="Texttable"/>
        <w:tblW w:w="9033" w:type="dxa"/>
        <w:tblLayout w:type="fixed"/>
        <w:tblLook w:val="0600" w:firstRow="0" w:lastRow="0" w:firstColumn="0" w:lastColumn="0" w:noHBand="1" w:noVBand="1"/>
      </w:tblPr>
      <w:tblGrid>
        <w:gridCol w:w="534"/>
        <w:gridCol w:w="8499"/>
      </w:tblGrid>
      <w:tr w:rsidR="00532FCE" w:rsidRPr="005F0C59" w14:paraId="63B1008C" w14:textId="77777777" w:rsidTr="00532FCE">
        <w:trPr>
          <w:trHeight w:val="540"/>
        </w:trPr>
        <w:tc>
          <w:tcPr>
            <w:tcW w:w="534" w:type="dxa"/>
          </w:tcPr>
          <w:p w14:paraId="0DAF9CA8" w14:textId="78F31378" w:rsidR="00532FCE" w:rsidRPr="005F0C59" w:rsidRDefault="00532FCE" w:rsidP="00532FCE">
            <w:pPr>
              <w:pStyle w:val="Sub-principle"/>
            </w:pPr>
          </w:p>
        </w:tc>
        <w:tc>
          <w:tcPr>
            <w:tcW w:w="8499" w:type="dxa"/>
          </w:tcPr>
          <w:p w14:paraId="2519A3E3" w14:textId="77777777" w:rsidR="00532FCE" w:rsidRPr="005F0C59" w:rsidRDefault="00532FCE" w:rsidP="00532FCE">
            <w:pPr>
              <w:pStyle w:val="Tabletext"/>
            </w:pPr>
            <w:r w:rsidRPr="20FF47C3">
              <w:t xml:space="preserve">Use data, intelligence </w:t>
            </w:r>
            <w:r w:rsidRPr="20FF47C3">
              <w:rPr>
                <w:rFonts w:ascii="VIC" w:eastAsia="VIC" w:hAnsi="VIC" w:cs="VIC"/>
              </w:rPr>
              <w:t>and insights from staff and stakeholders</w:t>
            </w:r>
            <w:r w:rsidRPr="20FF47C3">
              <w:t xml:space="preserve"> to enable you to best understand </w:t>
            </w:r>
            <w:r w:rsidRPr="77AEEC0A">
              <w:t>the</w:t>
            </w:r>
            <w:r>
              <w:t xml:space="preserve"> causes, characteristics and patterns of risks,</w:t>
            </w:r>
            <w:r w:rsidRPr="20FF47C3">
              <w:t xml:space="preserve"> to enable you to focus your effort</w:t>
            </w:r>
            <w:r>
              <w:t xml:space="preserve"> and to design interventions,</w:t>
            </w:r>
            <w:r w:rsidRPr="20FF47C3">
              <w:t xml:space="preserve"> to make the most significant impact. </w:t>
            </w:r>
          </w:p>
        </w:tc>
      </w:tr>
      <w:tr w:rsidR="00532FCE" w:rsidRPr="005F0C59" w14:paraId="46FECDF5" w14:textId="77777777" w:rsidTr="00532FCE">
        <w:tc>
          <w:tcPr>
            <w:tcW w:w="534" w:type="dxa"/>
          </w:tcPr>
          <w:p w14:paraId="186EE6D5" w14:textId="203EE75E" w:rsidR="00532FCE" w:rsidRPr="005F0C59" w:rsidRDefault="00532FCE" w:rsidP="00532FCE">
            <w:pPr>
              <w:pStyle w:val="Sub-principle"/>
            </w:pPr>
          </w:p>
        </w:tc>
        <w:tc>
          <w:tcPr>
            <w:tcW w:w="8499" w:type="dxa"/>
          </w:tcPr>
          <w:p w14:paraId="719A4966" w14:textId="77777777" w:rsidR="00532FCE" w:rsidRPr="005F0C59" w:rsidRDefault="00532FCE" w:rsidP="00532FCE">
            <w:pPr>
              <w:pStyle w:val="Tabletext"/>
            </w:pPr>
            <w:r w:rsidRPr="20FF47C3">
              <w:t xml:space="preserve">In </w:t>
            </w:r>
            <w:r>
              <w:t xml:space="preserve">defining </w:t>
            </w:r>
            <w:r w:rsidRPr="20FF47C3">
              <w:t xml:space="preserve">your approach, express your attitude to different risks, </w:t>
            </w:r>
            <w:r>
              <w:t xml:space="preserve">how you </w:t>
            </w:r>
            <w:r w:rsidRPr="20FF47C3">
              <w:t>assess risks, and set how you treat risks</w:t>
            </w:r>
            <w:r w:rsidRPr="20FF47C3" w:rsidDel="008F18B6">
              <w:t xml:space="preserve"> or provide for contingency plans</w:t>
            </w:r>
            <w:r w:rsidRPr="20FF47C3">
              <w:t xml:space="preserve">. Monitor and adjust your risk controls and resource allocation as appropriate. </w:t>
            </w:r>
          </w:p>
        </w:tc>
      </w:tr>
      <w:tr w:rsidR="00532FCE" w:rsidRPr="005F0C59" w14:paraId="43C5FBF8" w14:textId="77777777" w:rsidTr="00532FCE">
        <w:tc>
          <w:tcPr>
            <w:tcW w:w="534" w:type="dxa"/>
          </w:tcPr>
          <w:p w14:paraId="38300C3E" w14:textId="283ED5E5" w:rsidR="00532FCE" w:rsidRPr="20FF47C3" w:rsidRDefault="00532FCE" w:rsidP="00532FCE">
            <w:pPr>
              <w:pStyle w:val="Sub-principle"/>
            </w:pPr>
          </w:p>
        </w:tc>
        <w:tc>
          <w:tcPr>
            <w:tcW w:w="8499" w:type="dxa"/>
          </w:tcPr>
          <w:p w14:paraId="26527101" w14:textId="77777777" w:rsidR="00532FCE" w:rsidRPr="20FF47C3" w:rsidRDefault="00532FCE" w:rsidP="00532FCE">
            <w:pPr>
              <w:pStyle w:val="Tabletext"/>
            </w:pPr>
            <w:r w:rsidRPr="20FF47C3">
              <w:t xml:space="preserve">Establish an approach to risk assessment that integrates staff judgement, protocols, and data in decision-making, which strives to improve use of data and intelligence over time. </w:t>
            </w:r>
          </w:p>
        </w:tc>
      </w:tr>
      <w:tr w:rsidR="00532FCE" w:rsidRPr="005F0C59" w14:paraId="3EA80EFB" w14:textId="77777777" w:rsidTr="00532FCE">
        <w:tc>
          <w:tcPr>
            <w:tcW w:w="534" w:type="dxa"/>
          </w:tcPr>
          <w:p w14:paraId="1D60334F" w14:textId="0DA07661" w:rsidR="00532FCE" w:rsidRPr="005F0C59" w:rsidRDefault="00532FCE" w:rsidP="00532FCE">
            <w:pPr>
              <w:pStyle w:val="Sub-principle"/>
            </w:pPr>
          </w:p>
        </w:tc>
        <w:tc>
          <w:tcPr>
            <w:tcW w:w="8499" w:type="dxa"/>
          </w:tcPr>
          <w:p w14:paraId="0E9D2BDA" w14:textId="77777777" w:rsidR="00532FCE" w:rsidRPr="005F0C59" w:rsidRDefault="00532FCE" w:rsidP="00532FCE">
            <w:pPr>
              <w:pStyle w:val="Tabletext"/>
            </w:pPr>
            <w:r w:rsidRPr="20FF47C3">
              <w:t>Communicate the key factors of your risk</w:t>
            </w:r>
            <w:r w:rsidRPr="019854E7">
              <w:t>-based</w:t>
            </w:r>
            <w:r w:rsidRPr="08F4A9C0">
              <w:t xml:space="preserve"> frameworks </w:t>
            </w:r>
            <w:r w:rsidRPr="20FF47C3">
              <w:t xml:space="preserve">to duty holders and ensure that </w:t>
            </w:r>
            <w:r w:rsidRPr="2872A022">
              <w:t xml:space="preserve">your </w:t>
            </w:r>
            <w:r w:rsidRPr="20FF47C3" w:rsidDel="001278D0">
              <w:t xml:space="preserve">internal processes </w:t>
            </w:r>
            <w:r w:rsidRPr="20FF47C3">
              <w:t xml:space="preserve">put these </w:t>
            </w:r>
            <w:r w:rsidRPr="08F4A9C0">
              <w:t xml:space="preserve">frameworks </w:t>
            </w:r>
            <w:r w:rsidRPr="20FF47C3">
              <w:t xml:space="preserve">into practice. </w:t>
            </w:r>
          </w:p>
        </w:tc>
      </w:tr>
      <w:tr w:rsidR="00532FCE" w:rsidRPr="005F0C59" w14:paraId="6C43EECC" w14:textId="77777777" w:rsidTr="00532FCE">
        <w:tc>
          <w:tcPr>
            <w:tcW w:w="534" w:type="dxa"/>
          </w:tcPr>
          <w:p w14:paraId="50538348" w14:textId="5FEA25F4" w:rsidR="00532FCE" w:rsidRPr="005F0C59" w:rsidRDefault="00532FCE" w:rsidP="00532FCE">
            <w:pPr>
              <w:pStyle w:val="Sub-principle"/>
            </w:pPr>
          </w:p>
        </w:tc>
        <w:tc>
          <w:tcPr>
            <w:tcW w:w="8499" w:type="dxa"/>
          </w:tcPr>
          <w:p w14:paraId="2EE041AA" w14:textId="77777777" w:rsidR="00532FCE" w:rsidRPr="005F0C59" w:rsidRDefault="00532FCE" w:rsidP="00532FCE">
            <w:pPr>
              <w:pStyle w:val="Tabletext"/>
            </w:pPr>
            <w:r w:rsidRPr="20FF47C3">
              <w:t>Seek to delegate regulatory decisions to the lowest appropriate level</w:t>
            </w:r>
            <w:r w:rsidRPr="20FF47C3" w:rsidDel="00F51484">
              <w:t xml:space="preserve">, </w:t>
            </w:r>
            <w:r>
              <w:t>supported by</w:t>
            </w:r>
            <w:r w:rsidRPr="20FF47C3">
              <w:t xml:space="preserve"> delegations, </w:t>
            </w:r>
            <w:r w:rsidRPr="019854E7">
              <w:t>training,</w:t>
            </w:r>
            <w:r w:rsidRPr="20FF47C3">
              <w:t xml:space="preserve"> guidance, </w:t>
            </w:r>
            <w:r w:rsidRPr="019854E7">
              <w:t xml:space="preserve">assurance and audit frameworks, </w:t>
            </w:r>
            <w:r w:rsidRPr="20FF47C3">
              <w:t xml:space="preserve">so staff can consistently assess </w:t>
            </w:r>
            <w:r>
              <w:t xml:space="preserve">compliance </w:t>
            </w:r>
            <w:r w:rsidRPr="20FF47C3">
              <w:t>risks, apply judgement, and determine their response.</w:t>
            </w:r>
          </w:p>
        </w:tc>
      </w:tr>
      <w:tr w:rsidR="00532FCE" w:rsidRPr="005F0C59" w14:paraId="3271B177" w14:textId="77777777" w:rsidTr="00532FCE">
        <w:tc>
          <w:tcPr>
            <w:tcW w:w="534" w:type="dxa"/>
          </w:tcPr>
          <w:p w14:paraId="052CF25D" w14:textId="34BEDCC1" w:rsidR="00532FCE" w:rsidRPr="005F0C59" w:rsidRDefault="00532FCE" w:rsidP="00532FCE">
            <w:pPr>
              <w:pStyle w:val="Sub-principle"/>
            </w:pPr>
          </w:p>
        </w:tc>
        <w:tc>
          <w:tcPr>
            <w:tcW w:w="8499" w:type="dxa"/>
          </w:tcPr>
          <w:p w14:paraId="285A7CC7" w14:textId="77777777" w:rsidR="00532FCE" w:rsidRPr="005F0C59" w:rsidRDefault="00532FCE" w:rsidP="00532FCE">
            <w:pPr>
              <w:pStyle w:val="Tabletext"/>
            </w:pPr>
            <w:r w:rsidRPr="432F1BF9">
              <w:t xml:space="preserve">Where feasible under legislation, target duty holder reporting obligations and requests for information to what is necessary to evaluate risks with reasonable confidence, recognising that perfect information is not always available. </w:t>
            </w:r>
          </w:p>
        </w:tc>
      </w:tr>
    </w:tbl>
    <w:p w14:paraId="60FD2640" w14:textId="234C5CA3" w:rsidR="00532FCE" w:rsidRDefault="00532FCE" w:rsidP="00532FCE"/>
    <w:p w14:paraId="2912069B" w14:textId="4533541E" w:rsidR="00532FCE" w:rsidRPr="009B2709" w:rsidRDefault="00532FCE" w:rsidP="00532FCE">
      <w:pPr>
        <w:pStyle w:val="Principle"/>
      </w:pPr>
      <w:bookmarkStart w:id="13" w:name="_Toc100589350"/>
      <w:r w:rsidRPr="4ADF6325">
        <w:t>Evaluate your efforts and communicate their impact on your regulatory outcomes</w:t>
      </w:r>
      <w:bookmarkEnd w:id="13"/>
    </w:p>
    <w:tbl>
      <w:tblPr>
        <w:tblStyle w:val="Texttable"/>
        <w:tblW w:w="9033" w:type="dxa"/>
        <w:tblLayout w:type="fixed"/>
        <w:tblLook w:val="0600" w:firstRow="0" w:lastRow="0" w:firstColumn="0" w:lastColumn="0" w:noHBand="1" w:noVBand="1"/>
      </w:tblPr>
      <w:tblGrid>
        <w:gridCol w:w="528"/>
        <w:gridCol w:w="8505"/>
      </w:tblGrid>
      <w:tr w:rsidR="00532FCE" w:rsidRPr="000222A6" w14:paraId="092D8929" w14:textId="77777777" w:rsidTr="00532FCE">
        <w:tc>
          <w:tcPr>
            <w:tcW w:w="528" w:type="dxa"/>
          </w:tcPr>
          <w:p w14:paraId="4FB78BDA" w14:textId="0B8E2F23" w:rsidR="00532FCE" w:rsidRPr="00D43E3E" w:rsidRDefault="00532FCE" w:rsidP="00532FCE">
            <w:pPr>
              <w:pStyle w:val="Sub-principle"/>
            </w:pPr>
          </w:p>
        </w:tc>
        <w:tc>
          <w:tcPr>
            <w:tcW w:w="8505" w:type="dxa"/>
          </w:tcPr>
          <w:p w14:paraId="4F7CFE1D" w14:textId="77777777" w:rsidR="00532FCE" w:rsidRPr="000222A6" w:rsidRDefault="00532FCE" w:rsidP="00532FCE">
            <w:pPr>
              <w:pStyle w:val="Tabletext"/>
            </w:pPr>
            <w:r w:rsidRPr="2B74515C">
              <w:t xml:space="preserve">Appropriately communicate your </w:t>
            </w:r>
            <w:r w:rsidRPr="000222A6">
              <w:t xml:space="preserve">priorities </w:t>
            </w:r>
            <w:r w:rsidRPr="4ADF6325">
              <w:t xml:space="preserve">and focus areas </w:t>
            </w:r>
            <w:r w:rsidRPr="000222A6">
              <w:t>to duty holders</w:t>
            </w:r>
            <w:r w:rsidRPr="1E299B5F">
              <w:t xml:space="preserve">, </w:t>
            </w:r>
            <w:r w:rsidRPr="000222A6">
              <w:t>the public and other stakeholders</w:t>
            </w:r>
            <w:r w:rsidRPr="1AC75AFB">
              <w:t>.</w:t>
            </w:r>
            <w:r w:rsidRPr="000222A6">
              <w:t xml:space="preserve"> Use your communications to emphasise the harms and outcomes you pursue, and to promote compliance.</w:t>
            </w:r>
          </w:p>
        </w:tc>
      </w:tr>
      <w:tr w:rsidR="00532FCE" w:rsidRPr="000222A6" w14:paraId="2401C2E6" w14:textId="77777777" w:rsidTr="00532FCE">
        <w:tc>
          <w:tcPr>
            <w:tcW w:w="528" w:type="dxa"/>
          </w:tcPr>
          <w:p w14:paraId="32F3AF94" w14:textId="68B30962" w:rsidR="00532FCE" w:rsidRPr="00D43E3E" w:rsidRDefault="00532FCE" w:rsidP="00532FCE">
            <w:pPr>
              <w:pStyle w:val="Sub-principle"/>
            </w:pPr>
          </w:p>
        </w:tc>
        <w:tc>
          <w:tcPr>
            <w:tcW w:w="8505" w:type="dxa"/>
          </w:tcPr>
          <w:p w14:paraId="49A397C2" w14:textId="77777777" w:rsidR="00532FCE" w:rsidRPr="000222A6" w:rsidRDefault="00532FCE" w:rsidP="00532FCE">
            <w:pPr>
              <w:pStyle w:val="Tabletext"/>
            </w:pPr>
            <w:r w:rsidRPr="00CD09CD">
              <w:t>Measure the</w:t>
            </w:r>
            <w:r>
              <w:t xml:space="preserve"> </w:t>
            </w:r>
            <w:r w:rsidRPr="686B99C5">
              <w:t xml:space="preserve">performance </w:t>
            </w:r>
            <w:r>
              <w:t xml:space="preserve">of your regulatory </w:t>
            </w:r>
            <w:r w:rsidRPr="20FF47C3">
              <w:t xml:space="preserve">activities including inspections, desktop reviews and audits. Account for the </w:t>
            </w:r>
            <w:r>
              <w:t xml:space="preserve">focus and contribution of </w:t>
            </w:r>
            <w:r w:rsidRPr="20FF47C3">
              <w:t xml:space="preserve">these </w:t>
            </w:r>
            <w:r>
              <w:t xml:space="preserve">to monitoring, </w:t>
            </w:r>
            <w:r w:rsidRPr="20FF47C3">
              <w:t>detecting and acting on non-compliances and risks of harm.</w:t>
            </w:r>
          </w:p>
        </w:tc>
      </w:tr>
      <w:tr w:rsidR="00532FCE" w:rsidRPr="000222A6" w14:paraId="3F19EC5F" w14:textId="77777777" w:rsidTr="00532FCE">
        <w:tc>
          <w:tcPr>
            <w:tcW w:w="528" w:type="dxa"/>
          </w:tcPr>
          <w:p w14:paraId="729EA7BA" w14:textId="377BF33B" w:rsidR="00532FCE" w:rsidRPr="00D43E3E" w:rsidRDefault="00532FCE" w:rsidP="00532FCE">
            <w:pPr>
              <w:pStyle w:val="Sub-principle"/>
            </w:pPr>
          </w:p>
        </w:tc>
        <w:tc>
          <w:tcPr>
            <w:tcW w:w="8505" w:type="dxa"/>
          </w:tcPr>
          <w:p w14:paraId="4B9570EC" w14:textId="77777777" w:rsidR="00532FCE" w:rsidRPr="000222A6" w:rsidRDefault="00532FCE" w:rsidP="00532FCE">
            <w:pPr>
              <w:pStyle w:val="Tabletext"/>
            </w:pPr>
            <w:r w:rsidRPr="00CD09CD">
              <w:t>Evaluate the effectiveness</w:t>
            </w:r>
            <w:r w:rsidRPr="20FF47C3">
              <w:t xml:space="preserve"> of your regulatory activities</w:t>
            </w:r>
            <w:r>
              <w:t xml:space="preserve"> and tailor-made interventions</w:t>
            </w:r>
            <w:r w:rsidRPr="20FF47C3">
              <w:t xml:space="preserve"> </w:t>
            </w:r>
            <w:r>
              <w:t xml:space="preserve">in changing behaviours and reducing </w:t>
            </w:r>
            <w:r w:rsidRPr="77AEEC0A">
              <w:t xml:space="preserve">harms. </w:t>
            </w:r>
          </w:p>
        </w:tc>
      </w:tr>
      <w:tr w:rsidR="00532FCE" w:rsidRPr="005F0C59" w14:paraId="63D6A672" w14:textId="77777777" w:rsidTr="00532FCE">
        <w:tc>
          <w:tcPr>
            <w:tcW w:w="528" w:type="dxa"/>
          </w:tcPr>
          <w:p w14:paraId="608DBBCC" w14:textId="292EF73A" w:rsidR="00532FCE" w:rsidRPr="00D43E3E" w:rsidRDefault="00532FCE" w:rsidP="00532FCE">
            <w:pPr>
              <w:pStyle w:val="Sub-principle"/>
            </w:pPr>
          </w:p>
        </w:tc>
        <w:tc>
          <w:tcPr>
            <w:tcW w:w="8505" w:type="dxa"/>
          </w:tcPr>
          <w:p w14:paraId="386A5F4C" w14:textId="77777777" w:rsidR="00532FCE" w:rsidRPr="005F0C59" w:rsidRDefault="00532FCE" w:rsidP="00532FCE">
            <w:pPr>
              <w:pStyle w:val="Tabletext"/>
            </w:pPr>
            <w:r w:rsidRPr="20FF47C3">
              <w:t xml:space="preserve">Regularly publish details of your performance against your commitments, subject to confidentiality and other sensitivities. This may include </w:t>
            </w:r>
            <w:r>
              <w:t xml:space="preserve">relevant </w:t>
            </w:r>
            <w:r w:rsidRPr="20FF47C3">
              <w:t xml:space="preserve">feedback such as from experience surveys, and summary data of complaints and </w:t>
            </w:r>
            <w:r>
              <w:t xml:space="preserve">decision </w:t>
            </w:r>
            <w:r w:rsidRPr="20FF47C3">
              <w:t>reviews.</w:t>
            </w:r>
            <w:r>
              <w:t xml:space="preserve"> </w:t>
            </w:r>
          </w:p>
        </w:tc>
      </w:tr>
    </w:tbl>
    <w:p w14:paraId="438AA438" w14:textId="25F7F7CE" w:rsidR="003C02F9" w:rsidRDefault="003C02F9" w:rsidP="001413EA">
      <w:pPr>
        <w:pStyle w:val="Spacer"/>
      </w:pPr>
    </w:p>
    <w:p w14:paraId="34EA72C7" w14:textId="77777777" w:rsidR="003C02F9" w:rsidRDefault="003C02F9">
      <w:pPr>
        <w:keepLines w:val="0"/>
        <w:spacing w:before="0" w:after="160" w:line="259" w:lineRule="auto"/>
        <w:rPr>
          <w:rFonts w:eastAsia="Times New Roman" w:cs="Calibri"/>
          <w:sz w:val="10"/>
          <w:szCs w:val="22"/>
        </w:rPr>
      </w:pPr>
      <w:r>
        <w:br w:type="page"/>
      </w:r>
    </w:p>
    <w:p w14:paraId="5E342BD0" w14:textId="09141956" w:rsidR="00532FCE" w:rsidRPr="001246EE" w:rsidRDefault="00532FCE" w:rsidP="00532FCE">
      <w:pPr>
        <w:pStyle w:val="Heading1"/>
      </w:pPr>
      <w:bookmarkStart w:id="14" w:name="_Toc100589351"/>
      <w:r w:rsidRPr="001246EE">
        <w:t>Enabling practices</w:t>
      </w:r>
      <w:bookmarkEnd w:id="14"/>
      <w:r w:rsidRPr="001246EE">
        <w:t xml:space="preserve"> </w:t>
      </w:r>
    </w:p>
    <w:p w14:paraId="1281ADD8" w14:textId="77777777" w:rsidR="00532FCE" w:rsidRPr="00532FCE" w:rsidRDefault="00532FCE" w:rsidP="007206BF">
      <w:r>
        <w:t>These principles relate to collaboration, transparency, integrity and culture, and a commitment to continuous improvement across all areas of operations. Activities under the</w:t>
      </w:r>
      <w:r w:rsidRPr="00532FCE">
        <w:t xml:space="preserve">se principles should be supported by leadership commitment and appropriate governance and reporting. </w:t>
      </w:r>
    </w:p>
    <w:p w14:paraId="13F704CC" w14:textId="77777777" w:rsidR="00532FCE" w:rsidRPr="00532FCE" w:rsidRDefault="00532FCE" w:rsidP="007206BF">
      <w:r w:rsidRPr="00532FCE">
        <w:rPr>
          <w:b/>
          <w:bCs/>
        </w:rPr>
        <w:t xml:space="preserve">Principle eight </w:t>
      </w:r>
      <w:r w:rsidRPr="00532FCE">
        <w:t xml:space="preserve">accounts for the many reasons for working with peer regulators and other partners, including to set joint agendas and priorities, to minimise harms and improve compliance, to improve intelligence, to streamline interactions, and to reduce duplication or inconsistency. Operational partnerships can be supported by investment in systems for data and information sharing. </w:t>
      </w:r>
    </w:p>
    <w:p w14:paraId="067FCAF9" w14:textId="77777777" w:rsidR="00532FCE" w:rsidRPr="00532FCE" w:rsidRDefault="00532FCE" w:rsidP="007206BF">
      <w:r w:rsidRPr="00532FCE">
        <w:rPr>
          <w:b/>
          <w:bCs/>
        </w:rPr>
        <w:t xml:space="preserve">Principle nine </w:t>
      </w:r>
      <w:r w:rsidRPr="00532FCE">
        <w:t xml:space="preserve">relates to consultation commitments and transparency about how regulatory decisions – </w:t>
      </w:r>
      <w:r w:rsidRPr="00532FCE">
        <w:rPr>
          <w:rFonts w:ascii="VIC" w:eastAsia="VIC" w:hAnsi="VIC" w:cs="VIC"/>
        </w:rPr>
        <w:t xml:space="preserve">including use of powers and enforcement decisions – </w:t>
      </w:r>
      <w:r w:rsidRPr="00532FCE">
        <w:t xml:space="preserve">are made and can be scrutinised. These approaches help to maintain integrity and accountability and demonstrate procedural fairness. </w:t>
      </w:r>
      <w:r w:rsidRPr="00532FCE">
        <w:rPr>
          <w:rFonts w:ascii="VIC" w:eastAsia="VIC" w:hAnsi="VIC" w:cs="VIC"/>
        </w:rPr>
        <w:t>The appropriate level of detail and explanation will vary depending on your regulatory context.</w:t>
      </w:r>
    </w:p>
    <w:p w14:paraId="28232521" w14:textId="77777777" w:rsidR="009F1113" w:rsidRDefault="00532FCE" w:rsidP="009F1113">
      <w:r w:rsidRPr="00532FCE">
        <w:rPr>
          <w:b/>
          <w:bCs/>
        </w:rPr>
        <w:t xml:space="preserve">Principle ten </w:t>
      </w:r>
      <w:r w:rsidRPr="00532FCE">
        <w:t>concerns internal processes and practices, as well as leadership and culture, to ensure operations improve and adapt. It focuses on systems of delegation, decision-making, and performance management. These help regulators to ensure that the strategy and operations</w:t>
      </w:r>
      <w:r>
        <w:t xml:space="preserve"> principles are</w:t>
      </w:r>
      <w:r w:rsidDel="00571DB7">
        <w:t xml:space="preserve"> </w:t>
      </w:r>
      <w:r>
        <w:t>translated into practice. Applying this principle can help to optimise routine processes, and deliver other regulatory activities and approaches with appropriate capabilities and support</w:t>
      </w:r>
      <w:bookmarkStart w:id="15" w:name="_Toc100589353"/>
    </w:p>
    <w:p w14:paraId="23B04258" w14:textId="77777777" w:rsidR="00536F3E" w:rsidRDefault="00536F3E" w:rsidP="009F1113"/>
    <w:p w14:paraId="11BD05FE" w14:textId="6B3695F1" w:rsidR="00532FCE" w:rsidRPr="001246EE" w:rsidRDefault="00532FCE" w:rsidP="009F1113">
      <w:pPr>
        <w:pStyle w:val="Principle"/>
      </w:pPr>
      <w:r>
        <w:t>Work with regulatory peers and partners on shared harms and risks</w:t>
      </w:r>
      <w:bookmarkEnd w:id="15"/>
    </w:p>
    <w:tbl>
      <w:tblPr>
        <w:tblStyle w:val="Texttable"/>
        <w:tblW w:w="9033" w:type="dxa"/>
        <w:tblLayout w:type="fixed"/>
        <w:tblLook w:val="0600" w:firstRow="0" w:lastRow="0" w:firstColumn="0" w:lastColumn="0" w:noHBand="1" w:noVBand="1"/>
      </w:tblPr>
      <w:tblGrid>
        <w:gridCol w:w="528"/>
        <w:gridCol w:w="8505"/>
      </w:tblGrid>
      <w:tr w:rsidR="00532FCE" w:rsidRPr="005F0C59" w14:paraId="7D2E6200" w14:textId="77777777" w:rsidTr="00C1045A">
        <w:tc>
          <w:tcPr>
            <w:tcW w:w="528" w:type="dxa"/>
          </w:tcPr>
          <w:p w14:paraId="2A5849EB" w14:textId="3755D6EF" w:rsidR="00532FCE" w:rsidRPr="005F0C59" w:rsidRDefault="00532FCE" w:rsidP="00532FCE">
            <w:pPr>
              <w:pStyle w:val="Sub-principle"/>
            </w:pPr>
          </w:p>
        </w:tc>
        <w:tc>
          <w:tcPr>
            <w:tcW w:w="8505" w:type="dxa"/>
          </w:tcPr>
          <w:p w14:paraId="18187432" w14:textId="77777777" w:rsidR="00532FCE" w:rsidRPr="005F0C59" w:rsidRDefault="00532FCE" w:rsidP="00532FCE">
            <w:pPr>
              <w:pStyle w:val="Tabletext"/>
            </w:pPr>
            <w:r w:rsidRPr="432F1BF9">
              <w:t>Understand the limitations of your role, and the complementary roles of other parties including peak bodies, peer regulators, policy makers and service delivery agencies. Actively seek to tackle harms in a coordinated way</w:t>
            </w:r>
            <w:r>
              <w:t>, by establishing shared agendas and priorities</w:t>
            </w:r>
            <w:r w:rsidRPr="432F1BF9">
              <w:t xml:space="preserve">. </w:t>
            </w:r>
          </w:p>
        </w:tc>
      </w:tr>
      <w:tr w:rsidR="00532FCE" w:rsidRPr="005F0C59" w14:paraId="615B9934" w14:textId="77777777" w:rsidTr="00C1045A">
        <w:tc>
          <w:tcPr>
            <w:tcW w:w="528" w:type="dxa"/>
          </w:tcPr>
          <w:p w14:paraId="777290E8" w14:textId="73235614" w:rsidR="00532FCE" w:rsidRPr="005F0C59" w:rsidRDefault="00532FCE" w:rsidP="00532FCE">
            <w:pPr>
              <w:pStyle w:val="Sub-principle"/>
            </w:pPr>
          </w:p>
        </w:tc>
        <w:tc>
          <w:tcPr>
            <w:tcW w:w="8505" w:type="dxa"/>
          </w:tcPr>
          <w:p w14:paraId="012E1EAE" w14:textId="77777777" w:rsidR="00532FCE" w:rsidRPr="005F0C59" w:rsidRDefault="00532FCE" w:rsidP="00532FCE">
            <w:pPr>
              <w:pStyle w:val="Tabletext"/>
            </w:pPr>
            <w:r w:rsidRPr="432F1BF9">
              <w:t>For given harms of shared interest, understand which regulator is best placed to influence that harm, and consider establishing lead, coordination, and support roles.</w:t>
            </w:r>
          </w:p>
        </w:tc>
      </w:tr>
      <w:tr w:rsidR="00532FCE" w:rsidRPr="005F0C59" w14:paraId="19277289" w14:textId="77777777" w:rsidTr="00C1045A">
        <w:tc>
          <w:tcPr>
            <w:tcW w:w="528" w:type="dxa"/>
          </w:tcPr>
          <w:p w14:paraId="12114F3D" w14:textId="2DAA3381" w:rsidR="00532FCE" w:rsidRPr="005F0C59" w:rsidRDefault="00532FCE" w:rsidP="00532FCE">
            <w:pPr>
              <w:pStyle w:val="Sub-principle"/>
            </w:pPr>
          </w:p>
        </w:tc>
        <w:tc>
          <w:tcPr>
            <w:tcW w:w="8505" w:type="dxa"/>
          </w:tcPr>
          <w:p w14:paraId="3D1992F4" w14:textId="77777777" w:rsidR="00532FCE" w:rsidRPr="005F0C59" w:rsidRDefault="00532FCE" w:rsidP="00532FCE">
            <w:pPr>
              <w:pStyle w:val="Tabletext"/>
            </w:pPr>
            <w:r w:rsidRPr="005F0C59">
              <w:t>Understand the legal, technological, data</w:t>
            </w:r>
            <w:r>
              <w:t>, privacy</w:t>
            </w:r>
            <w:r w:rsidRPr="005F0C59">
              <w:t xml:space="preserve"> and cultural barriers to information sharing with peers, where these can be navigated, and when it is appropriate to do so.</w:t>
            </w:r>
          </w:p>
        </w:tc>
      </w:tr>
      <w:tr w:rsidR="00532FCE" w:rsidRPr="005F0C59" w14:paraId="169374BC" w14:textId="77777777" w:rsidTr="00C1045A">
        <w:tc>
          <w:tcPr>
            <w:tcW w:w="528" w:type="dxa"/>
          </w:tcPr>
          <w:p w14:paraId="1961A7B8" w14:textId="7586A79D" w:rsidR="00532FCE" w:rsidRPr="005F0C59" w:rsidRDefault="00532FCE" w:rsidP="00532FCE">
            <w:pPr>
              <w:pStyle w:val="Sub-principle"/>
            </w:pPr>
          </w:p>
        </w:tc>
        <w:tc>
          <w:tcPr>
            <w:tcW w:w="8505" w:type="dxa"/>
          </w:tcPr>
          <w:p w14:paraId="526C0F4A" w14:textId="77777777" w:rsidR="00532FCE" w:rsidRPr="005F0C59" w:rsidRDefault="00532FCE" w:rsidP="00532FCE">
            <w:pPr>
              <w:pStyle w:val="Tabletext"/>
            </w:pPr>
            <w:r w:rsidRPr="005F0C59">
              <w:t xml:space="preserve">Where appropriate, facilitate </w:t>
            </w:r>
            <w:r w:rsidRPr="6FE61E56">
              <w:t xml:space="preserve">and formalise practices for </w:t>
            </w:r>
            <w:r w:rsidRPr="005F0C59">
              <w:t>sharing information and insights to help target efforts, minimise duplication and be</w:t>
            </w:r>
            <w:r>
              <w:t xml:space="preserve"> most</w:t>
            </w:r>
            <w:r w:rsidRPr="005F0C59">
              <w:t xml:space="preserve"> effective. </w:t>
            </w:r>
          </w:p>
        </w:tc>
      </w:tr>
      <w:tr w:rsidR="00532FCE" w:rsidRPr="005F0C59" w14:paraId="371CD43E" w14:textId="77777777" w:rsidTr="00C1045A">
        <w:tc>
          <w:tcPr>
            <w:tcW w:w="528" w:type="dxa"/>
          </w:tcPr>
          <w:p w14:paraId="31F20486" w14:textId="49D92460" w:rsidR="00532FCE" w:rsidRPr="005F0C59" w:rsidRDefault="00532FCE" w:rsidP="00532FCE">
            <w:pPr>
              <w:pStyle w:val="Sub-principle"/>
            </w:pPr>
          </w:p>
        </w:tc>
        <w:tc>
          <w:tcPr>
            <w:tcW w:w="8505" w:type="dxa"/>
          </w:tcPr>
          <w:p w14:paraId="2CA4534F" w14:textId="77777777" w:rsidR="00532FCE" w:rsidRPr="005F0C59" w:rsidRDefault="00532FCE" w:rsidP="00532FCE">
            <w:pPr>
              <w:pStyle w:val="Tabletext"/>
            </w:pPr>
            <w:r w:rsidRPr="005F0C59">
              <w:t>Develop your capabilities to utilise and share relevant data</w:t>
            </w:r>
            <w:r w:rsidRPr="6FE61E56">
              <w:t>,</w:t>
            </w:r>
            <w:r w:rsidRPr="005F0C59">
              <w:t xml:space="preserve"> to inform your decision making and regulatory activities and to develop the capability of peer regulators. </w:t>
            </w:r>
          </w:p>
        </w:tc>
      </w:tr>
      <w:tr w:rsidR="00532FCE" w:rsidRPr="005F0C59" w14:paraId="7FC1785F" w14:textId="77777777" w:rsidTr="00C1045A">
        <w:tc>
          <w:tcPr>
            <w:tcW w:w="528" w:type="dxa"/>
          </w:tcPr>
          <w:p w14:paraId="6807207E" w14:textId="2A5557E9" w:rsidR="00532FCE" w:rsidRPr="005F0C59" w:rsidRDefault="00532FCE" w:rsidP="00532FCE">
            <w:pPr>
              <w:pStyle w:val="Sub-principle"/>
            </w:pPr>
          </w:p>
        </w:tc>
        <w:tc>
          <w:tcPr>
            <w:tcW w:w="8505" w:type="dxa"/>
          </w:tcPr>
          <w:p w14:paraId="74767709" w14:textId="77777777" w:rsidR="00532FCE" w:rsidRPr="005F0C59" w:rsidRDefault="00532FCE" w:rsidP="00532FCE">
            <w:pPr>
              <w:pStyle w:val="Tabletext"/>
            </w:pPr>
            <w:r w:rsidRPr="71680761">
              <w:t xml:space="preserve">Work with peers to pursue the goal of ‘collect once, use many times’ when requesting information from duty holders. </w:t>
            </w:r>
          </w:p>
        </w:tc>
      </w:tr>
      <w:tr w:rsidR="00532FCE" w:rsidRPr="005F0C59" w14:paraId="47E80DCC" w14:textId="77777777" w:rsidTr="00C1045A">
        <w:tc>
          <w:tcPr>
            <w:tcW w:w="528" w:type="dxa"/>
          </w:tcPr>
          <w:p w14:paraId="3C33C820" w14:textId="271A41BD" w:rsidR="00532FCE" w:rsidRPr="005F0C59" w:rsidRDefault="00532FCE" w:rsidP="00532FCE">
            <w:pPr>
              <w:pStyle w:val="Sub-principle"/>
            </w:pPr>
          </w:p>
        </w:tc>
        <w:tc>
          <w:tcPr>
            <w:tcW w:w="8505" w:type="dxa"/>
          </w:tcPr>
          <w:p w14:paraId="299157F5" w14:textId="77777777" w:rsidR="00532FCE" w:rsidRPr="005F0C59" w:rsidRDefault="00532FCE" w:rsidP="00532FCE">
            <w:pPr>
              <w:pStyle w:val="Tabletext"/>
            </w:pPr>
            <w:r w:rsidRPr="005F0C59">
              <w:t xml:space="preserve">Work collaboratively to assist duty holders impacted by multiple regulators, and resolve cases of overlapping, contradictory, or uncoordinated compliance guidance. </w:t>
            </w:r>
          </w:p>
        </w:tc>
      </w:tr>
    </w:tbl>
    <w:p w14:paraId="3272C07D" w14:textId="7F6B57F5" w:rsidR="007206BF" w:rsidRPr="001246EE" w:rsidRDefault="007206BF" w:rsidP="007206BF">
      <w:pPr>
        <w:pStyle w:val="Principle"/>
      </w:pPr>
      <w:bookmarkStart w:id="16" w:name="_Toc100589355"/>
      <w:bookmarkStart w:id="17" w:name="_Hlk89784494"/>
      <w:r w:rsidRPr="001246EE">
        <w:t>Be transparent and accountable for how you perform your activities</w:t>
      </w:r>
      <w:bookmarkEnd w:id="16"/>
      <w:r w:rsidRPr="001246EE">
        <w:t xml:space="preserve"> </w:t>
      </w:r>
      <w:bookmarkEnd w:id="17"/>
    </w:p>
    <w:tbl>
      <w:tblPr>
        <w:tblStyle w:val="Texttable"/>
        <w:tblW w:w="9360" w:type="dxa"/>
        <w:tblLayout w:type="fixed"/>
        <w:tblLook w:val="0600" w:firstRow="0" w:lastRow="0" w:firstColumn="0" w:lastColumn="0" w:noHBand="1" w:noVBand="1"/>
      </w:tblPr>
      <w:tblGrid>
        <w:gridCol w:w="709"/>
        <w:gridCol w:w="8651"/>
      </w:tblGrid>
      <w:tr w:rsidR="00532FCE" w:rsidRPr="005F0C59" w14:paraId="2E49F1A6" w14:textId="77777777" w:rsidTr="007206BF">
        <w:tc>
          <w:tcPr>
            <w:tcW w:w="709" w:type="dxa"/>
          </w:tcPr>
          <w:p w14:paraId="03241E52" w14:textId="5482F128" w:rsidR="00532FCE" w:rsidRPr="005F0C59" w:rsidRDefault="00532FCE" w:rsidP="007206BF">
            <w:pPr>
              <w:pStyle w:val="Sub-principle"/>
            </w:pPr>
          </w:p>
        </w:tc>
        <w:tc>
          <w:tcPr>
            <w:tcW w:w="8651" w:type="dxa"/>
          </w:tcPr>
          <w:p w14:paraId="1BABF104" w14:textId="77777777" w:rsidR="00532FCE" w:rsidRPr="005F0C59" w:rsidRDefault="00532FCE" w:rsidP="007206BF">
            <w:pPr>
              <w:pStyle w:val="Tabletext"/>
            </w:pPr>
            <w:r w:rsidRPr="432F1BF9">
              <w:t xml:space="preserve">Set out the standard of conduct that duty holders should expect from you, so that you are accountable for how you put your regulatory approach into practice in your interactions and responses to non-compliances. </w:t>
            </w:r>
          </w:p>
        </w:tc>
      </w:tr>
      <w:tr w:rsidR="00532FCE" w:rsidRPr="005F0C59" w14:paraId="495491E5" w14:textId="77777777" w:rsidTr="007206BF">
        <w:tc>
          <w:tcPr>
            <w:tcW w:w="709" w:type="dxa"/>
          </w:tcPr>
          <w:p w14:paraId="65C82F34" w14:textId="3E6A7DDF" w:rsidR="00532FCE" w:rsidRPr="005F0C59" w:rsidRDefault="00532FCE" w:rsidP="007206BF">
            <w:pPr>
              <w:pStyle w:val="Sub-principle"/>
            </w:pPr>
          </w:p>
        </w:tc>
        <w:tc>
          <w:tcPr>
            <w:tcW w:w="8651" w:type="dxa"/>
          </w:tcPr>
          <w:p w14:paraId="4BC7C16F" w14:textId="77777777" w:rsidR="00532FCE" w:rsidRPr="005F0C59" w:rsidRDefault="00532FCE" w:rsidP="007206BF">
            <w:pPr>
              <w:pStyle w:val="Tabletext"/>
            </w:pPr>
            <w:r w:rsidRPr="432F1BF9">
              <w:t xml:space="preserve">Consider the impact on duty holders, stakeholders, and the wider community before changing policies or practices. As appropriate, engage duty holders, stakeholders and the wider community when making decisions or setting policies that impact on them. </w:t>
            </w:r>
          </w:p>
        </w:tc>
      </w:tr>
      <w:tr w:rsidR="00532FCE" w14:paraId="5230A5C0" w14:textId="77777777" w:rsidTr="007206BF">
        <w:tc>
          <w:tcPr>
            <w:tcW w:w="709" w:type="dxa"/>
          </w:tcPr>
          <w:p w14:paraId="4C6DDE79" w14:textId="166BB4E6" w:rsidR="00532FCE" w:rsidRDefault="00532FCE" w:rsidP="007206BF">
            <w:pPr>
              <w:pStyle w:val="Sub-principle"/>
            </w:pPr>
          </w:p>
        </w:tc>
        <w:tc>
          <w:tcPr>
            <w:tcW w:w="8651" w:type="dxa"/>
          </w:tcPr>
          <w:p w14:paraId="2DFCB175" w14:textId="77777777" w:rsidR="00532FCE" w:rsidRDefault="00532FCE" w:rsidP="007206BF">
            <w:pPr>
              <w:pStyle w:val="Tabletext"/>
            </w:pPr>
            <w:r w:rsidRPr="71680761">
              <w:t>Support your regulatory officers and other decision makers to understand and consistently apply your regulatory approach, when exercising professional judgement and following protocols.</w:t>
            </w:r>
          </w:p>
        </w:tc>
      </w:tr>
      <w:tr w:rsidR="00532FCE" w:rsidRPr="005F0C59" w14:paraId="797D4E5D" w14:textId="77777777" w:rsidTr="007206BF">
        <w:tc>
          <w:tcPr>
            <w:tcW w:w="709" w:type="dxa"/>
          </w:tcPr>
          <w:p w14:paraId="2F53A532" w14:textId="3D0789B6" w:rsidR="00532FCE" w:rsidRPr="005F0C59" w:rsidRDefault="00532FCE" w:rsidP="007206BF">
            <w:pPr>
              <w:pStyle w:val="Sub-principle"/>
            </w:pPr>
          </w:p>
        </w:tc>
        <w:tc>
          <w:tcPr>
            <w:tcW w:w="8651" w:type="dxa"/>
          </w:tcPr>
          <w:p w14:paraId="36F53EF7" w14:textId="77777777" w:rsidR="00532FCE" w:rsidRPr="00FC01C0" w:rsidRDefault="00532FCE" w:rsidP="007206BF">
            <w:pPr>
              <w:pStyle w:val="Tabletext"/>
            </w:pPr>
            <w:r w:rsidRPr="432F1BF9">
              <w:t xml:space="preserve">Establish protocols for the consistent exercise of powers, providing guidance, responding to non-compliances, and explaining the reasons for regulatory decisions and the actions required of duty holders to comply. </w:t>
            </w:r>
          </w:p>
        </w:tc>
      </w:tr>
      <w:tr w:rsidR="00532FCE" w:rsidRPr="005F0C59" w14:paraId="6F6673F0" w14:textId="77777777" w:rsidTr="007206BF">
        <w:tc>
          <w:tcPr>
            <w:tcW w:w="709" w:type="dxa"/>
          </w:tcPr>
          <w:p w14:paraId="57342E4F" w14:textId="653AE0C2" w:rsidR="00532FCE" w:rsidRPr="005F0C59" w:rsidRDefault="00532FCE" w:rsidP="007206BF">
            <w:pPr>
              <w:pStyle w:val="Sub-principle"/>
            </w:pPr>
          </w:p>
        </w:tc>
        <w:tc>
          <w:tcPr>
            <w:tcW w:w="8651" w:type="dxa"/>
          </w:tcPr>
          <w:p w14:paraId="07E17587" w14:textId="77777777" w:rsidR="00532FCE" w:rsidRPr="005F0C59" w:rsidRDefault="00532FCE" w:rsidP="007206BF">
            <w:pPr>
              <w:pStyle w:val="Tabletext"/>
            </w:pPr>
            <w:r w:rsidRPr="432F1BF9">
              <w:t xml:space="preserve">Provide opportunities for duty holders to query </w:t>
            </w:r>
            <w:r>
              <w:t xml:space="preserve">required action and / </w:t>
            </w:r>
            <w:r w:rsidRPr="432F1BF9">
              <w:t>or decisions. Have an impartial, clearly explained, and visible internal review process for relevant decisions.</w:t>
            </w:r>
          </w:p>
        </w:tc>
      </w:tr>
      <w:tr w:rsidR="00532FCE" w:rsidRPr="005F0C59" w14:paraId="7385AD07" w14:textId="77777777" w:rsidTr="007206BF">
        <w:tc>
          <w:tcPr>
            <w:tcW w:w="709" w:type="dxa"/>
          </w:tcPr>
          <w:p w14:paraId="487AAB5C" w14:textId="1ECD63EC" w:rsidR="00532FCE" w:rsidRPr="005F0C59" w:rsidRDefault="00532FCE" w:rsidP="007206BF">
            <w:pPr>
              <w:pStyle w:val="Sub-principle"/>
            </w:pPr>
          </w:p>
        </w:tc>
        <w:tc>
          <w:tcPr>
            <w:tcW w:w="8651" w:type="dxa"/>
          </w:tcPr>
          <w:p w14:paraId="250CB4ED" w14:textId="77777777" w:rsidR="00532FCE" w:rsidRPr="005F0C59" w:rsidRDefault="00532FCE" w:rsidP="007206BF">
            <w:pPr>
              <w:pStyle w:val="Tabletext"/>
            </w:pPr>
            <w:r w:rsidRPr="005F0C59">
              <w:t xml:space="preserve">Establish appropriate mechanisms to </w:t>
            </w:r>
            <w:r w:rsidRPr="6FE61E56">
              <w:t>recognise</w:t>
            </w:r>
            <w:r w:rsidRPr="005F0C59">
              <w:t xml:space="preserve"> and </w:t>
            </w:r>
            <w:r w:rsidRPr="6FE61E56">
              <w:t>acknowledge</w:t>
            </w:r>
            <w:r w:rsidRPr="005F0C59">
              <w:t xml:space="preserve"> the experiences of duty holders and the wider community</w:t>
            </w:r>
            <w:r w:rsidRPr="6FE61E56">
              <w:t xml:space="preserve"> who interact with you</w:t>
            </w:r>
            <w:r w:rsidRPr="005F0C59">
              <w:t xml:space="preserve">. </w:t>
            </w:r>
            <w:r>
              <w:t>When gathering and reporting feedback, account for the different parties and circumstances of your regulatory interactions.</w:t>
            </w:r>
          </w:p>
        </w:tc>
      </w:tr>
      <w:tr w:rsidR="00532FCE" w:rsidRPr="005F0C59" w14:paraId="17F4FC97" w14:textId="77777777" w:rsidTr="007206BF">
        <w:tc>
          <w:tcPr>
            <w:tcW w:w="709" w:type="dxa"/>
          </w:tcPr>
          <w:p w14:paraId="6A4BE9F0" w14:textId="487F085C" w:rsidR="00532FCE" w:rsidRPr="005F0C59" w:rsidRDefault="00532FCE" w:rsidP="007206BF">
            <w:pPr>
              <w:pStyle w:val="Sub-principle"/>
            </w:pPr>
          </w:p>
        </w:tc>
        <w:tc>
          <w:tcPr>
            <w:tcW w:w="8651" w:type="dxa"/>
          </w:tcPr>
          <w:p w14:paraId="7D5A9AE3" w14:textId="77777777" w:rsidR="00532FCE" w:rsidRPr="005F0C59" w:rsidRDefault="00532FCE" w:rsidP="007206BF">
            <w:pPr>
              <w:pStyle w:val="Tabletext"/>
            </w:pPr>
            <w:r w:rsidRPr="005F0C59">
              <w:t>Maintain appropriate mechanisms and supports to mitigate risks of undue influence from duty holders and duty holder groups, and to maintain regulatory independence.</w:t>
            </w:r>
          </w:p>
        </w:tc>
      </w:tr>
    </w:tbl>
    <w:p w14:paraId="4C8FF708" w14:textId="77777777" w:rsidR="00B81DFF" w:rsidRDefault="00B81DFF" w:rsidP="009B77AD">
      <w:pPr>
        <w:pStyle w:val="Principle"/>
        <w:numPr>
          <w:ilvl w:val="0"/>
          <w:numId w:val="0"/>
        </w:numPr>
        <w:ind w:left="1440" w:hanging="1440"/>
      </w:pPr>
      <w:bookmarkStart w:id="18" w:name="_Toc100589357"/>
    </w:p>
    <w:p w14:paraId="1EF224AF" w14:textId="3F76D32B" w:rsidR="007206BF" w:rsidRPr="001246EE" w:rsidRDefault="007206BF" w:rsidP="007206BF">
      <w:pPr>
        <w:pStyle w:val="Principle"/>
      </w:pPr>
      <w:r w:rsidRPr="001246EE">
        <w:t>Continuously improve your regulatory operations</w:t>
      </w:r>
      <w:bookmarkEnd w:id="18"/>
      <w:r w:rsidRPr="001246EE">
        <w:t xml:space="preserve"> </w:t>
      </w:r>
    </w:p>
    <w:tbl>
      <w:tblPr>
        <w:tblStyle w:val="Texttable"/>
        <w:tblW w:w="9322" w:type="dxa"/>
        <w:tblLayout w:type="fixed"/>
        <w:tblLook w:val="0600" w:firstRow="0" w:lastRow="0" w:firstColumn="0" w:lastColumn="0" w:noHBand="1" w:noVBand="1"/>
      </w:tblPr>
      <w:tblGrid>
        <w:gridCol w:w="675"/>
        <w:gridCol w:w="8647"/>
      </w:tblGrid>
      <w:tr w:rsidR="007206BF" w:rsidRPr="005F0C59" w14:paraId="5FE40F29" w14:textId="77777777" w:rsidTr="007206BF">
        <w:tc>
          <w:tcPr>
            <w:tcW w:w="675" w:type="dxa"/>
          </w:tcPr>
          <w:p w14:paraId="432D88FE" w14:textId="731D0AEA" w:rsidR="007206BF" w:rsidRPr="005F0C59" w:rsidRDefault="007206BF" w:rsidP="007206BF">
            <w:pPr>
              <w:pStyle w:val="Sub-principle"/>
            </w:pPr>
          </w:p>
        </w:tc>
        <w:tc>
          <w:tcPr>
            <w:tcW w:w="8647" w:type="dxa"/>
          </w:tcPr>
          <w:p w14:paraId="44ED5509" w14:textId="77777777" w:rsidR="007206BF" w:rsidRPr="005F0C59" w:rsidRDefault="007206BF" w:rsidP="007206BF">
            <w:pPr>
              <w:pStyle w:val="Tabletext"/>
            </w:pPr>
            <w:r w:rsidRPr="005F0C59">
              <w:t>Establish suitable systems for quality assurance and learning as an organisation, within and across your functions.</w:t>
            </w:r>
          </w:p>
        </w:tc>
      </w:tr>
      <w:tr w:rsidR="007206BF" w:rsidRPr="005F0C59" w14:paraId="6EBED2C3" w14:textId="77777777" w:rsidTr="007206BF">
        <w:tc>
          <w:tcPr>
            <w:tcW w:w="675" w:type="dxa"/>
          </w:tcPr>
          <w:p w14:paraId="4B269061" w14:textId="3C38B17D" w:rsidR="007206BF" w:rsidRPr="005F0C59" w:rsidRDefault="007206BF" w:rsidP="007206BF">
            <w:pPr>
              <w:pStyle w:val="Sub-principle"/>
            </w:pPr>
          </w:p>
        </w:tc>
        <w:tc>
          <w:tcPr>
            <w:tcW w:w="8647" w:type="dxa"/>
          </w:tcPr>
          <w:p w14:paraId="217DB614" w14:textId="77777777" w:rsidR="007206BF" w:rsidRPr="005F0C59" w:rsidRDefault="007206BF" w:rsidP="007206BF">
            <w:pPr>
              <w:pStyle w:val="Tabletext"/>
            </w:pPr>
            <w:r w:rsidRPr="71680761">
              <w:t>Consider evolving duty holder and community expectations of regulatory performance, to build trust and confidence in your operations.</w:t>
            </w:r>
          </w:p>
        </w:tc>
      </w:tr>
      <w:tr w:rsidR="007206BF" w:rsidRPr="005F0C59" w14:paraId="60A514A8" w14:textId="77777777" w:rsidTr="007206BF">
        <w:tc>
          <w:tcPr>
            <w:tcW w:w="675" w:type="dxa"/>
          </w:tcPr>
          <w:p w14:paraId="29A87735" w14:textId="65FDD343" w:rsidR="007206BF" w:rsidRPr="00D262EA" w:rsidRDefault="007206BF" w:rsidP="007206BF">
            <w:pPr>
              <w:pStyle w:val="Sub-principle"/>
            </w:pPr>
          </w:p>
        </w:tc>
        <w:tc>
          <w:tcPr>
            <w:tcW w:w="8647" w:type="dxa"/>
          </w:tcPr>
          <w:p w14:paraId="3EF1E32D" w14:textId="77777777" w:rsidR="007206BF" w:rsidRPr="005F0C59" w:rsidRDefault="007206BF" w:rsidP="007206BF">
            <w:pPr>
              <w:pStyle w:val="Tabletext"/>
            </w:pPr>
            <w:r w:rsidRPr="005F0C59">
              <w:t>Regularly review the effectiveness</w:t>
            </w:r>
            <w:r w:rsidRPr="6FE61E56">
              <w:t xml:space="preserve">, </w:t>
            </w:r>
            <w:r w:rsidRPr="005F0C59">
              <w:t xml:space="preserve">efficiency </w:t>
            </w:r>
            <w:r w:rsidRPr="6FE61E56">
              <w:t xml:space="preserve">and consistency </w:t>
            </w:r>
            <w:r w:rsidRPr="005F0C59">
              <w:t xml:space="preserve">of your </w:t>
            </w:r>
            <w:r w:rsidRPr="6FE61E56">
              <w:t>operations</w:t>
            </w:r>
            <w:r w:rsidRPr="005F0C59">
              <w:t xml:space="preserve"> and </w:t>
            </w:r>
            <w:r w:rsidRPr="6FE61E56">
              <w:t>make changes</w:t>
            </w:r>
            <w:r w:rsidRPr="005F0C59">
              <w:t xml:space="preserve"> </w:t>
            </w:r>
            <w:r>
              <w:t xml:space="preserve">to processes, or invest in management or staff capability, </w:t>
            </w:r>
            <w:r w:rsidRPr="005F0C59">
              <w:t>as appropriate</w:t>
            </w:r>
            <w:r w:rsidRPr="75A3E2BB">
              <w:t>.</w:t>
            </w:r>
          </w:p>
        </w:tc>
      </w:tr>
      <w:tr w:rsidR="007206BF" w:rsidRPr="005F0C59" w14:paraId="6296E656" w14:textId="77777777" w:rsidTr="007206BF">
        <w:tc>
          <w:tcPr>
            <w:tcW w:w="675" w:type="dxa"/>
          </w:tcPr>
          <w:p w14:paraId="38164CAB" w14:textId="559E9CC9" w:rsidR="007206BF" w:rsidRPr="00D262EA" w:rsidRDefault="007206BF" w:rsidP="007206BF">
            <w:pPr>
              <w:pStyle w:val="Sub-principle"/>
            </w:pPr>
          </w:p>
        </w:tc>
        <w:tc>
          <w:tcPr>
            <w:tcW w:w="8647" w:type="dxa"/>
          </w:tcPr>
          <w:p w14:paraId="4A881B94" w14:textId="77777777" w:rsidR="007206BF" w:rsidRPr="005F0C59" w:rsidRDefault="007206BF" w:rsidP="007206BF">
            <w:pPr>
              <w:pStyle w:val="Tabletext"/>
            </w:pPr>
            <w:r w:rsidRPr="005F0C59">
              <w:t xml:space="preserve">Set appropriate targets and employ a range of performance indicators, to monitor the effectiveness </w:t>
            </w:r>
            <w:r w:rsidRPr="6FE61E56">
              <w:t xml:space="preserve">and consistency </w:t>
            </w:r>
            <w:r w:rsidRPr="005F0C59">
              <w:t>of your actions and adjust your various approaches accordingly.</w:t>
            </w:r>
          </w:p>
        </w:tc>
      </w:tr>
      <w:tr w:rsidR="007206BF" w:rsidRPr="005F0C59" w14:paraId="75234F35" w14:textId="77777777" w:rsidTr="007206BF">
        <w:tc>
          <w:tcPr>
            <w:tcW w:w="675" w:type="dxa"/>
          </w:tcPr>
          <w:p w14:paraId="520F6ED2" w14:textId="40F1B6FE" w:rsidR="007206BF" w:rsidRPr="00D26CB3" w:rsidRDefault="007206BF" w:rsidP="007206BF">
            <w:pPr>
              <w:pStyle w:val="Sub-principle"/>
            </w:pPr>
          </w:p>
        </w:tc>
        <w:tc>
          <w:tcPr>
            <w:tcW w:w="8647" w:type="dxa"/>
          </w:tcPr>
          <w:p w14:paraId="351B589D" w14:textId="77777777" w:rsidR="007206BF" w:rsidRPr="005F0C59" w:rsidRDefault="007206BF" w:rsidP="007206BF">
            <w:pPr>
              <w:pStyle w:val="Tabletext"/>
            </w:pPr>
            <w:r w:rsidRPr="71680761">
              <w:t xml:space="preserve">Assess and improve your systems to delegate and manage decision-making and regulatory action. Adjust the settings to support delegation and a proportionate level of control. </w:t>
            </w:r>
          </w:p>
        </w:tc>
      </w:tr>
      <w:tr w:rsidR="007206BF" w:rsidRPr="005F0C59" w14:paraId="547B6DB0" w14:textId="77777777" w:rsidTr="007206BF">
        <w:tc>
          <w:tcPr>
            <w:tcW w:w="675" w:type="dxa"/>
          </w:tcPr>
          <w:p w14:paraId="66A28BBA" w14:textId="1405FE4D" w:rsidR="007206BF" w:rsidRPr="00D26CB3" w:rsidRDefault="007206BF" w:rsidP="007206BF">
            <w:pPr>
              <w:pStyle w:val="Sub-principle"/>
            </w:pPr>
          </w:p>
        </w:tc>
        <w:tc>
          <w:tcPr>
            <w:tcW w:w="8647" w:type="dxa"/>
          </w:tcPr>
          <w:p w14:paraId="04D758EF" w14:textId="77777777" w:rsidR="007206BF" w:rsidRPr="008930E5" w:rsidRDefault="007206BF" w:rsidP="007206BF">
            <w:pPr>
              <w:pStyle w:val="Tabletext"/>
            </w:pPr>
            <w:r w:rsidRPr="6FE61E56">
              <w:t>Adopt appropriate change management practices when implementing improvements, to ensure effective delivery and change risk management.</w:t>
            </w:r>
          </w:p>
        </w:tc>
      </w:tr>
    </w:tbl>
    <w:p w14:paraId="10C0D13B" w14:textId="0EA54721" w:rsidR="007206BF" w:rsidRDefault="007206BF" w:rsidP="007206BF">
      <w:pPr>
        <w:pStyle w:val="Spacer"/>
      </w:pPr>
    </w:p>
    <w:p w14:paraId="699B3B13" w14:textId="77777777" w:rsidR="003C02F9" w:rsidRDefault="003C02F9">
      <w:pPr>
        <w:keepLines w:val="0"/>
        <w:spacing w:before="0" w:after="160" w:line="259" w:lineRule="auto"/>
        <w:rPr>
          <w:rFonts w:asciiTheme="majorHAnsi" w:eastAsiaTheme="majorEastAsia" w:hAnsiTheme="majorHAnsi" w:cstheme="majorBidi"/>
          <w:bCs/>
          <w:color w:val="87189D" w:themeColor="accent1"/>
          <w:sz w:val="36"/>
          <w:szCs w:val="28"/>
        </w:rPr>
      </w:pPr>
      <w:bookmarkStart w:id="19" w:name="_Toc100589358"/>
      <w:r>
        <w:br w:type="page"/>
      </w:r>
    </w:p>
    <w:p w14:paraId="090F31FD" w14:textId="67FCD599" w:rsidR="007206BF" w:rsidRPr="009B2709" w:rsidRDefault="007206BF" w:rsidP="007206BF">
      <w:pPr>
        <w:pStyle w:val="Heading1"/>
      </w:pPr>
      <w:r w:rsidRPr="009B2709">
        <w:t>Implementation of the principles</w:t>
      </w:r>
      <w:bookmarkEnd w:id="19"/>
    </w:p>
    <w:p w14:paraId="26FD5BDA" w14:textId="32E52ABA" w:rsidR="007206BF" w:rsidRDefault="007206BF" w:rsidP="007206BF">
      <w:r>
        <w:t>The 10 principles set out a broad framework that regulators should work towards in their strategy and operations. Consider the following when planning improvements.</w:t>
      </w:r>
    </w:p>
    <w:p w14:paraId="47D8ECD1" w14:textId="77777777" w:rsidR="007206BF" w:rsidRPr="0006266C" w:rsidRDefault="007206BF" w:rsidP="007206BF">
      <w:pPr>
        <w:pStyle w:val="Heading2"/>
      </w:pPr>
      <w:bookmarkStart w:id="20" w:name="_Toc100589359"/>
      <w:r w:rsidRPr="0006266C">
        <w:t>Implementation occurs at all levels</w:t>
      </w:r>
      <w:bookmarkEnd w:id="20"/>
    </w:p>
    <w:p w14:paraId="6801E032" w14:textId="77777777" w:rsidR="007206BF" w:rsidRPr="00582E8B" w:rsidRDefault="007206BF" w:rsidP="007206BF">
      <w:r w:rsidRPr="49E3A3CD">
        <w:t>If reviewing the principles and these examples, regulators should have regard to three levels of roles and implementation:</w:t>
      </w:r>
    </w:p>
    <w:tbl>
      <w:tblPr>
        <w:tblStyle w:val="Texttable"/>
        <w:tblW w:w="0" w:type="auto"/>
        <w:tblLook w:val="0480" w:firstRow="0" w:lastRow="0" w:firstColumn="1" w:lastColumn="0" w:noHBand="0" w:noVBand="1"/>
      </w:tblPr>
      <w:tblGrid>
        <w:gridCol w:w="1838"/>
        <w:gridCol w:w="7178"/>
      </w:tblGrid>
      <w:tr w:rsidR="007206BF" w14:paraId="44B83DF3" w14:textId="77777777" w:rsidTr="007206BF">
        <w:tc>
          <w:tcPr>
            <w:cnfStyle w:val="001000000000" w:firstRow="0" w:lastRow="0" w:firstColumn="1" w:lastColumn="0" w:oddVBand="0" w:evenVBand="0" w:oddHBand="0" w:evenHBand="0" w:firstRowFirstColumn="0" w:firstRowLastColumn="0" w:lastRowFirstColumn="0" w:lastRowLastColumn="0"/>
            <w:tcW w:w="1838" w:type="dxa"/>
          </w:tcPr>
          <w:p w14:paraId="2B02C8F0" w14:textId="770BB12B" w:rsidR="007206BF" w:rsidRPr="007206BF" w:rsidRDefault="007206BF" w:rsidP="007206BF">
            <w:pPr>
              <w:pStyle w:val="Tabletext"/>
              <w:rPr>
                <w:rFonts w:asciiTheme="majorHAnsi" w:hAnsiTheme="majorHAnsi"/>
              </w:rPr>
            </w:pPr>
            <w:r w:rsidRPr="007206BF">
              <w:rPr>
                <w:rFonts w:asciiTheme="majorHAnsi" w:hAnsiTheme="majorHAnsi"/>
              </w:rPr>
              <w:t>Leaders</w:t>
            </w:r>
          </w:p>
        </w:tc>
        <w:tc>
          <w:tcPr>
            <w:tcW w:w="7178" w:type="dxa"/>
          </w:tcPr>
          <w:p w14:paraId="24E372CF" w14:textId="77777777" w:rsidR="007206BF" w:rsidRDefault="007206BF" w:rsidP="007206BF">
            <w:pPr>
              <w:pStyle w:val="Tabletext"/>
              <w:cnfStyle w:val="000000000000" w:firstRow="0" w:lastRow="0" w:firstColumn="0" w:lastColumn="0" w:oddVBand="0" w:evenVBand="0" w:oddHBand="0" w:evenHBand="0" w:firstRowFirstColumn="0" w:firstRowLastColumn="0" w:lastRowFirstColumn="0" w:lastRowLastColumn="0"/>
            </w:pPr>
            <w:r>
              <w:t>Setting regulatory strategies, policies, and approach, confirming scope and role, attitude to risks and harms, form of responses, and engagement with external parties.</w:t>
            </w:r>
          </w:p>
        </w:tc>
      </w:tr>
      <w:tr w:rsidR="007206BF" w14:paraId="69F61ADC" w14:textId="77777777" w:rsidTr="007206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B2D6971" w14:textId="37495C94" w:rsidR="007206BF" w:rsidRPr="007206BF" w:rsidRDefault="007206BF" w:rsidP="007206BF">
            <w:pPr>
              <w:pStyle w:val="Tabletext"/>
              <w:rPr>
                <w:rFonts w:asciiTheme="majorHAnsi" w:hAnsiTheme="majorHAnsi"/>
              </w:rPr>
            </w:pPr>
            <w:r w:rsidRPr="007206BF">
              <w:rPr>
                <w:rFonts w:asciiTheme="majorHAnsi" w:hAnsiTheme="majorHAnsi"/>
              </w:rPr>
              <w:t>Managers</w:t>
            </w:r>
          </w:p>
        </w:tc>
        <w:tc>
          <w:tcPr>
            <w:tcW w:w="7178" w:type="dxa"/>
          </w:tcPr>
          <w:p w14:paraId="48330FE8" w14:textId="77777777" w:rsidR="007206BF" w:rsidRDefault="007206BF" w:rsidP="007206BF">
            <w:pPr>
              <w:pStyle w:val="Tabletext"/>
              <w:cnfStyle w:val="000000010000" w:firstRow="0" w:lastRow="0" w:firstColumn="0" w:lastColumn="0" w:oddVBand="0" w:evenVBand="0" w:oddHBand="0" w:evenHBand="1" w:firstRowFirstColumn="0" w:firstRowLastColumn="0" w:lastRowFirstColumn="0" w:lastRowLastColumn="0"/>
            </w:pPr>
            <w:r w:rsidRPr="49E3A3CD">
              <w:t>Coordinating and running regulatory functions and systems, implementing risk approach, reviewing performance, networking with peers, and optimising delivery</w:t>
            </w:r>
            <w:r>
              <w:t>.</w:t>
            </w:r>
          </w:p>
        </w:tc>
      </w:tr>
      <w:tr w:rsidR="007206BF" w14:paraId="62A98390" w14:textId="77777777" w:rsidTr="007206BF">
        <w:tc>
          <w:tcPr>
            <w:cnfStyle w:val="001000000000" w:firstRow="0" w:lastRow="0" w:firstColumn="1" w:lastColumn="0" w:oddVBand="0" w:evenVBand="0" w:oddHBand="0" w:evenHBand="0" w:firstRowFirstColumn="0" w:firstRowLastColumn="0" w:lastRowFirstColumn="0" w:lastRowLastColumn="0"/>
            <w:tcW w:w="1838" w:type="dxa"/>
          </w:tcPr>
          <w:p w14:paraId="21715320" w14:textId="4DF2FC77" w:rsidR="007206BF" w:rsidRPr="007206BF" w:rsidRDefault="007206BF" w:rsidP="007206BF">
            <w:pPr>
              <w:pStyle w:val="Tabletext"/>
              <w:rPr>
                <w:rFonts w:asciiTheme="majorHAnsi" w:hAnsiTheme="majorHAnsi"/>
              </w:rPr>
            </w:pPr>
            <w:r w:rsidRPr="007206BF">
              <w:rPr>
                <w:rFonts w:asciiTheme="majorHAnsi" w:hAnsiTheme="majorHAnsi"/>
              </w:rPr>
              <w:t>Regulatory practitioners</w:t>
            </w:r>
          </w:p>
        </w:tc>
        <w:tc>
          <w:tcPr>
            <w:tcW w:w="7178" w:type="dxa"/>
          </w:tcPr>
          <w:p w14:paraId="138EA701" w14:textId="77777777" w:rsidR="007206BF" w:rsidRDefault="007206BF" w:rsidP="007206BF">
            <w:pPr>
              <w:pStyle w:val="Tabletext"/>
              <w:cnfStyle w:val="000000000000" w:firstRow="0" w:lastRow="0" w:firstColumn="0" w:lastColumn="0" w:oddVBand="0" w:evenVBand="0" w:oddHBand="0" w:evenHBand="0" w:firstRowFirstColumn="0" w:firstRowLastColumn="0" w:lastRowFirstColumn="0" w:lastRowLastColumn="0"/>
            </w:pPr>
            <w:r>
              <w:t>Delivering regulatory practice and giving effect to policies, providing feedback, and engaging with duty holders.</w:t>
            </w:r>
          </w:p>
        </w:tc>
      </w:tr>
    </w:tbl>
    <w:p w14:paraId="1C291FFA" w14:textId="77777777" w:rsidR="007206BF" w:rsidRDefault="007206BF" w:rsidP="007206BF">
      <w:pPr>
        <w:pStyle w:val="Spacer"/>
      </w:pPr>
    </w:p>
    <w:p w14:paraId="5B60861E" w14:textId="77777777" w:rsidR="006D60CE" w:rsidRDefault="007206BF" w:rsidP="006D60CE">
      <w:r>
        <w:t>Approaches should be fit-for-purpose given the regulator’s settings, challenges, and support environment. Pursue improvement in a way that is appropriate to your context, and the need to prioritise limited resources.</w:t>
      </w:r>
      <w:bookmarkStart w:id="21" w:name="_Toc100589360"/>
    </w:p>
    <w:p w14:paraId="1EDDF608" w14:textId="70A09427" w:rsidR="007206BF" w:rsidRDefault="006D60CE" w:rsidP="006D60CE">
      <w:pPr>
        <w:pStyle w:val="Heading2"/>
      </w:pPr>
      <w:r>
        <w:t>D</w:t>
      </w:r>
      <w:r w:rsidR="007206BF">
        <w:t>evelop fit for purpose approaches</w:t>
      </w:r>
      <w:bookmarkEnd w:id="21"/>
      <w:r w:rsidR="007206BF">
        <w:t xml:space="preserve"> </w:t>
      </w:r>
    </w:p>
    <w:p w14:paraId="44344282" w14:textId="77777777" w:rsidR="007206BF" w:rsidRDefault="007206BF" w:rsidP="007206BF">
      <w:r w:rsidRPr="49E3A3CD">
        <w:t xml:space="preserve">To prioritise effort, you should consider the level of maturity of your systems – whether elements are: </w:t>
      </w:r>
    </w:p>
    <w:tbl>
      <w:tblPr>
        <w:tblStyle w:val="Texttable"/>
        <w:tblW w:w="0" w:type="auto"/>
        <w:tblLook w:val="0480" w:firstRow="0" w:lastRow="0" w:firstColumn="1" w:lastColumn="0" w:noHBand="0" w:noVBand="1"/>
      </w:tblPr>
      <w:tblGrid>
        <w:gridCol w:w="1980"/>
        <w:gridCol w:w="7036"/>
      </w:tblGrid>
      <w:tr w:rsidR="007206BF" w14:paraId="22F14C72" w14:textId="77777777" w:rsidTr="007206BF">
        <w:tc>
          <w:tcPr>
            <w:cnfStyle w:val="001000000000" w:firstRow="0" w:lastRow="0" w:firstColumn="1" w:lastColumn="0" w:oddVBand="0" w:evenVBand="0" w:oddHBand="0" w:evenHBand="0" w:firstRowFirstColumn="0" w:firstRowLastColumn="0" w:lastRowFirstColumn="0" w:lastRowLastColumn="0"/>
            <w:tcW w:w="1980" w:type="dxa"/>
          </w:tcPr>
          <w:p w14:paraId="23E85882" w14:textId="77772D39" w:rsidR="007206BF" w:rsidRPr="007206BF" w:rsidRDefault="00454D7A" w:rsidP="007206BF">
            <w:pPr>
              <w:pStyle w:val="Tabletext"/>
              <w:rPr>
                <w:rFonts w:asciiTheme="majorHAnsi" w:hAnsiTheme="majorHAnsi"/>
              </w:rPr>
            </w:pPr>
            <w:r w:rsidRPr="007206BF">
              <w:rPr>
                <w:rFonts w:asciiTheme="majorHAnsi" w:hAnsiTheme="majorHAnsi"/>
              </w:rPr>
              <w:t>A</w:t>
            </w:r>
            <w:r w:rsidR="007206BF" w:rsidRPr="007206BF">
              <w:rPr>
                <w:rFonts w:asciiTheme="majorHAnsi" w:hAnsiTheme="majorHAnsi"/>
              </w:rPr>
              <w:t>bsent</w:t>
            </w:r>
          </w:p>
        </w:tc>
        <w:tc>
          <w:tcPr>
            <w:tcW w:w="7036" w:type="dxa"/>
          </w:tcPr>
          <w:p w14:paraId="2398408E" w14:textId="3767645F" w:rsidR="007206BF" w:rsidRDefault="007206BF" w:rsidP="007206BF">
            <w:pPr>
              <w:pStyle w:val="Tabletext"/>
              <w:cnfStyle w:val="000000000000" w:firstRow="0" w:lastRow="0" w:firstColumn="0" w:lastColumn="0" w:oddVBand="0" w:evenVBand="0" w:oddHBand="0" w:evenHBand="0" w:firstRowFirstColumn="0" w:firstRowLastColumn="0" w:lastRowFirstColumn="0" w:lastRowLastColumn="0"/>
            </w:pPr>
            <w:r>
              <w:t>e.g. no policies, statements or defined approaches, or informal approaches only.</w:t>
            </w:r>
          </w:p>
        </w:tc>
      </w:tr>
      <w:tr w:rsidR="007206BF" w14:paraId="666091F4" w14:textId="77777777" w:rsidTr="007206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E0E887C" w14:textId="01AEA35C" w:rsidR="007206BF" w:rsidRPr="007206BF" w:rsidRDefault="00454D7A" w:rsidP="007206BF">
            <w:pPr>
              <w:pStyle w:val="Tabletext"/>
              <w:rPr>
                <w:rFonts w:asciiTheme="majorHAnsi" w:hAnsiTheme="majorHAnsi"/>
              </w:rPr>
            </w:pPr>
            <w:r w:rsidRPr="007206BF">
              <w:rPr>
                <w:rFonts w:asciiTheme="majorHAnsi" w:hAnsiTheme="majorHAnsi"/>
              </w:rPr>
              <w:t>E</w:t>
            </w:r>
            <w:r w:rsidR="007206BF" w:rsidRPr="007206BF">
              <w:rPr>
                <w:rFonts w:asciiTheme="majorHAnsi" w:hAnsiTheme="majorHAnsi"/>
              </w:rPr>
              <w:t>merging</w:t>
            </w:r>
          </w:p>
        </w:tc>
        <w:tc>
          <w:tcPr>
            <w:tcW w:w="7036" w:type="dxa"/>
          </w:tcPr>
          <w:p w14:paraId="2E96B312" w14:textId="7C8FABCC" w:rsidR="007206BF" w:rsidRDefault="00454D7A" w:rsidP="007206BF">
            <w:pPr>
              <w:pStyle w:val="Tabletext"/>
              <w:cnfStyle w:val="000000010000" w:firstRow="0" w:lastRow="0" w:firstColumn="0" w:lastColumn="0" w:oddVBand="0" w:evenVBand="0" w:oddHBand="0" w:evenHBand="1" w:firstRowFirstColumn="0" w:firstRowLastColumn="0" w:lastRowFirstColumn="0" w:lastRowLastColumn="0"/>
            </w:pPr>
            <w:r>
              <w:t>e.g.</w:t>
            </w:r>
            <w:r w:rsidR="007206BF">
              <w:t xml:space="preserve"> under development or only in documented in summary form.</w:t>
            </w:r>
          </w:p>
        </w:tc>
      </w:tr>
      <w:tr w:rsidR="007206BF" w14:paraId="0F7CF0A5" w14:textId="77777777" w:rsidTr="007206BF">
        <w:tc>
          <w:tcPr>
            <w:cnfStyle w:val="001000000000" w:firstRow="0" w:lastRow="0" w:firstColumn="1" w:lastColumn="0" w:oddVBand="0" w:evenVBand="0" w:oddHBand="0" w:evenHBand="0" w:firstRowFirstColumn="0" w:firstRowLastColumn="0" w:lastRowFirstColumn="0" w:lastRowLastColumn="0"/>
            <w:tcW w:w="1980" w:type="dxa"/>
          </w:tcPr>
          <w:p w14:paraId="21CC245F" w14:textId="3ECDFA30" w:rsidR="007206BF" w:rsidRPr="007206BF" w:rsidRDefault="00454D7A" w:rsidP="007206BF">
            <w:pPr>
              <w:pStyle w:val="Tabletext"/>
              <w:rPr>
                <w:rFonts w:asciiTheme="majorHAnsi" w:hAnsiTheme="majorHAnsi"/>
              </w:rPr>
            </w:pPr>
            <w:r w:rsidRPr="007206BF">
              <w:rPr>
                <w:rFonts w:asciiTheme="majorHAnsi" w:hAnsiTheme="majorHAnsi"/>
              </w:rPr>
              <w:t>F</w:t>
            </w:r>
            <w:r w:rsidR="007206BF" w:rsidRPr="007206BF">
              <w:rPr>
                <w:rFonts w:asciiTheme="majorHAnsi" w:hAnsiTheme="majorHAnsi"/>
              </w:rPr>
              <w:t>ragile</w:t>
            </w:r>
          </w:p>
        </w:tc>
        <w:tc>
          <w:tcPr>
            <w:tcW w:w="7036" w:type="dxa"/>
          </w:tcPr>
          <w:p w14:paraId="2F9C051D" w14:textId="6312ADEA" w:rsidR="007206BF" w:rsidRDefault="00454D7A" w:rsidP="007206BF">
            <w:pPr>
              <w:pStyle w:val="Tabletext"/>
              <w:cnfStyle w:val="000000000000" w:firstRow="0" w:lastRow="0" w:firstColumn="0" w:lastColumn="0" w:oddVBand="0" w:evenVBand="0" w:oddHBand="0" w:evenHBand="0" w:firstRowFirstColumn="0" w:firstRowLastColumn="0" w:lastRowFirstColumn="0" w:lastRowLastColumn="0"/>
            </w:pPr>
            <w:r>
              <w:t>e.g.</w:t>
            </w:r>
            <w:r w:rsidR="007206BF">
              <w:t xml:space="preserve"> concepts in place, but reliant on single staff or single points of failure.</w:t>
            </w:r>
          </w:p>
        </w:tc>
      </w:tr>
      <w:tr w:rsidR="007206BF" w14:paraId="5DDAF9C8" w14:textId="77777777" w:rsidTr="007206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728ABE1" w14:textId="517DC7C7" w:rsidR="007206BF" w:rsidRPr="007206BF" w:rsidRDefault="00454D7A" w:rsidP="007206BF">
            <w:pPr>
              <w:pStyle w:val="Tabletext"/>
              <w:rPr>
                <w:rFonts w:asciiTheme="majorHAnsi" w:hAnsiTheme="majorHAnsi"/>
              </w:rPr>
            </w:pPr>
            <w:r w:rsidRPr="007206BF">
              <w:rPr>
                <w:rFonts w:asciiTheme="majorHAnsi" w:hAnsiTheme="majorHAnsi"/>
              </w:rPr>
              <w:t>M</w:t>
            </w:r>
            <w:r w:rsidR="007206BF" w:rsidRPr="007206BF">
              <w:rPr>
                <w:rFonts w:asciiTheme="majorHAnsi" w:hAnsiTheme="majorHAnsi"/>
              </w:rPr>
              <w:t>aturing</w:t>
            </w:r>
          </w:p>
        </w:tc>
        <w:tc>
          <w:tcPr>
            <w:tcW w:w="7036" w:type="dxa"/>
          </w:tcPr>
          <w:p w14:paraId="7E56AA94" w14:textId="3FE7BFAB" w:rsidR="007206BF" w:rsidRDefault="00454D7A" w:rsidP="007206BF">
            <w:pPr>
              <w:pStyle w:val="Tabletext"/>
              <w:cnfStyle w:val="000000010000" w:firstRow="0" w:lastRow="0" w:firstColumn="0" w:lastColumn="0" w:oddVBand="0" w:evenVBand="0" w:oddHBand="0" w:evenHBand="1" w:firstRowFirstColumn="0" w:firstRowLastColumn="0" w:lastRowFirstColumn="0" w:lastRowLastColumn="0"/>
            </w:pPr>
            <w:r>
              <w:t>e.g.</w:t>
            </w:r>
            <w:r w:rsidR="007206BF">
              <w:t xml:space="preserve"> increasing use of analytics and data to guide decisions.</w:t>
            </w:r>
          </w:p>
        </w:tc>
      </w:tr>
      <w:tr w:rsidR="007206BF" w14:paraId="2CEF89CA" w14:textId="77777777" w:rsidTr="007206BF">
        <w:tc>
          <w:tcPr>
            <w:cnfStyle w:val="001000000000" w:firstRow="0" w:lastRow="0" w:firstColumn="1" w:lastColumn="0" w:oddVBand="0" w:evenVBand="0" w:oddHBand="0" w:evenHBand="0" w:firstRowFirstColumn="0" w:firstRowLastColumn="0" w:lastRowFirstColumn="0" w:lastRowLastColumn="0"/>
            <w:tcW w:w="1980" w:type="dxa"/>
          </w:tcPr>
          <w:p w14:paraId="34AD5DFA" w14:textId="1E343722" w:rsidR="007206BF" w:rsidRPr="007206BF" w:rsidRDefault="00454D7A" w:rsidP="007206BF">
            <w:pPr>
              <w:pStyle w:val="Tabletext"/>
              <w:rPr>
                <w:rFonts w:asciiTheme="majorHAnsi" w:hAnsiTheme="majorHAnsi"/>
              </w:rPr>
            </w:pPr>
            <w:r w:rsidRPr="007206BF">
              <w:rPr>
                <w:rFonts w:asciiTheme="majorHAnsi" w:hAnsiTheme="majorHAnsi"/>
              </w:rPr>
              <w:t>W</w:t>
            </w:r>
            <w:r w:rsidR="007206BF" w:rsidRPr="007206BF">
              <w:rPr>
                <w:rFonts w:asciiTheme="majorHAnsi" w:hAnsiTheme="majorHAnsi"/>
              </w:rPr>
              <w:t>ell established</w:t>
            </w:r>
          </w:p>
        </w:tc>
        <w:tc>
          <w:tcPr>
            <w:tcW w:w="7036" w:type="dxa"/>
          </w:tcPr>
          <w:p w14:paraId="79FAFE02" w14:textId="71311C88" w:rsidR="007206BF" w:rsidRDefault="00454D7A" w:rsidP="007206BF">
            <w:pPr>
              <w:pStyle w:val="Tabletext"/>
              <w:cnfStyle w:val="000000000000" w:firstRow="0" w:lastRow="0" w:firstColumn="0" w:lastColumn="0" w:oddVBand="0" w:evenVBand="0" w:oddHBand="0" w:evenHBand="0" w:firstRowFirstColumn="0" w:firstRowLastColumn="0" w:lastRowFirstColumn="0" w:lastRowLastColumn="0"/>
            </w:pPr>
            <w:r>
              <w:t>e.g.</w:t>
            </w:r>
            <w:r w:rsidR="007206BF">
              <w:t xml:space="preserve"> continuous improvement, including integration of external lessons learnt.</w:t>
            </w:r>
          </w:p>
        </w:tc>
      </w:tr>
    </w:tbl>
    <w:p w14:paraId="75A68644" w14:textId="16D22C3E" w:rsidR="007206BF" w:rsidRDefault="007206BF" w:rsidP="00454D7A">
      <w:pPr>
        <w:pStyle w:val="Spacer"/>
      </w:pPr>
    </w:p>
    <w:p w14:paraId="7E80B9D2" w14:textId="77777777" w:rsidR="007206BF" w:rsidRDefault="007206BF" w:rsidP="00454D7A">
      <w:r>
        <w:t>In general, regulators will need to move through stages of establishing frameworks, ensuring collective understanding of decision-making tools, embedding approaches across staff, and moving into increasingly sophisticated, robust, and embedded approaches.</w:t>
      </w:r>
    </w:p>
    <w:p w14:paraId="2B65AEB1" w14:textId="77777777" w:rsidR="007206BF" w:rsidRDefault="007206BF" w:rsidP="00454D7A">
      <w:r w:rsidRPr="49E3A3CD">
        <w:t xml:space="preserve">Where </w:t>
      </w:r>
      <w:r>
        <w:t xml:space="preserve">elements relating to the </w:t>
      </w:r>
      <w:r w:rsidRPr="49E3A3CD">
        <w:t xml:space="preserve">strategy </w:t>
      </w:r>
      <w:r>
        <w:t>principles</w:t>
      </w:r>
      <w:r w:rsidRPr="49E3A3CD">
        <w:t xml:space="preserve"> are absent, they should be attended to first, as they provide the foundation for further improvements. Where these are present, you should look to how well they have been translated into other areas of operations. </w:t>
      </w:r>
    </w:p>
    <w:p w14:paraId="76EB8A73" w14:textId="77777777" w:rsidR="007206BF" w:rsidRDefault="007206BF" w:rsidP="00454D7A">
      <w:r>
        <w:t xml:space="preserve">This includes critically reviewing the systems that drive management and practice. This may involve decision-making, prioritisation and work allocation frameworks, accountabilities, monitoring, training, delegations and appointments, quality assurance and performance reporting. </w:t>
      </w:r>
    </w:p>
    <w:p w14:paraId="28997C59" w14:textId="77777777" w:rsidR="007206BF" w:rsidRPr="00897BD0" w:rsidRDefault="007206BF" w:rsidP="00454D7A">
      <w:pPr>
        <w:pStyle w:val="Heading2"/>
      </w:pPr>
      <w:bookmarkStart w:id="22" w:name="_Toc100589361"/>
      <w:r>
        <w:t>Implementing changes and government priorities</w:t>
      </w:r>
      <w:bookmarkEnd w:id="22"/>
      <w:r>
        <w:t xml:space="preserve"> </w:t>
      </w:r>
    </w:p>
    <w:p w14:paraId="23442A6A" w14:textId="77777777" w:rsidR="007206BF" w:rsidRDefault="007206BF" w:rsidP="00454D7A">
      <w:r>
        <w:t>The approach to improvement should consider the priorities of government and ministers and apply a change management perspective that seeks to continually improve regulatory capability.</w:t>
      </w:r>
    </w:p>
    <w:p w14:paraId="091BF44F" w14:textId="77777777" w:rsidR="007206BF" w:rsidRDefault="007206BF" w:rsidP="00454D7A">
      <w:r>
        <w:t xml:space="preserve">Regulator self-assessments against the principles may highlight priorities for reform and improvement. In some cases, these may require support from departments or portfolio ministers to implement or resource. </w:t>
      </w:r>
    </w:p>
    <w:p w14:paraId="10783F56" w14:textId="77777777" w:rsidR="007206BF" w:rsidRDefault="007206BF" w:rsidP="00454D7A">
      <w:r>
        <w:t xml:space="preserve">The Minister’s Statement of Expectations for each regulator may be a useful framework for prioritising and implementing improvements. Where applicable, departments should prioritise issues identified under the principles, when developing expectation statements with regulators. </w:t>
      </w:r>
    </w:p>
    <w:p w14:paraId="382E9A6E" w14:textId="77777777" w:rsidR="007206BF" w:rsidRPr="009B2709" w:rsidRDefault="007206BF" w:rsidP="00454D7A">
      <w:pPr>
        <w:pStyle w:val="Heading1"/>
        <w:pageBreakBefore/>
      </w:pPr>
      <w:bookmarkStart w:id="23" w:name="_Toc100589362"/>
      <w:r w:rsidRPr="009B2709">
        <w:t>Definitions</w:t>
      </w:r>
      <w:bookmarkEnd w:id="23"/>
    </w:p>
    <w:tbl>
      <w:tblPr>
        <w:tblStyle w:val="Texttable"/>
        <w:tblW w:w="5000" w:type="pct"/>
        <w:tblLook w:val="0480" w:firstRow="0" w:lastRow="0" w:firstColumn="1" w:lastColumn="0" w:noHBand="0" w:noVBand="1"/>
      </w:tblPr>
      <w:tblGrid>
        <w:gridCol w:w="1755"/>
        <w:gridCol w:w="7271"/>
      </w:tblGrid>
      <w:tr w:rsidR="007206BF" w:rsidRPr="00B4078E" w14:paraId="75B9279B" w14:textId="77777777" w:rsidTr="00454D7A">
        <w:tc>
          <w:tcPr>
            <w:cnfStyle w:val="001000000000" w:firstRow="0" w:lastRow="0" w:firstColumn="1" w:lastColumn="0" w:oddVBand="0" w:evenVBand="0" w:oddHBand="0" w:evenHBand="0" w:firstRowFirstColumn="0" w:firstRowLastColumn="0" w:lastRowFirstColumn="0" w:lastRowLastColumn="0"/>
            <w:tcW w:w="972" w:type="pct"/>
          </w:tcPr>
          <w:p w14:paraId="6EE73E5B" w14:textId="446637E4" w:rsidR="007206BF" w:rsidRPr="00454D7A" w:rsidRDefault="00454D7A" w:rsidP="00454D7A">
            <w:pPr>
              <w:pStyle w:val="Tabletext"/>
              <w:rPr>
                <w:rFonts w:asciiTheme="majorHAnsi" w:hAnsiTheme="majorHAnsi"/>
              </w:rPr>
            </w:pPr>
            <w:r w:rsidRPr="00454D7A">
              <w:rPr>
                <w:rFonts w:asciiTheme="majorHAnsi" w:hAnsiTheme="majorHAnsi"/>
              </w:rPr>
              <w:t>Compliance</w:t>
            </w:r>
          </w:p>
        </w:tc>
        <w:tc>
          <w:tcPr>
            <w:tcW w:w="4028" w:type="pct"/>
          </w:tcPr>
          <w:p w14:paraId="38502571"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referring to whether a duty holder meets their obligations, or may relate to a regulator’s activities to raise adherence with these obligations.</w:t>
            </w:r>
          </w:p>
        </w:tc>
      </w:tr>
      <w:tr w:rsidR="007206BF" w:rsidRPr="00B4078E" w14:paraId="1A3ACB52" w14:textId="77777777" w:rsidTr="00454D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pct"/>
          </w:tcPr>
          <w:p w14:paraId="5B31510E" w14:textId="2A8C6AD6" w:rsidR="007206BF" w:rsidRPr="00454D7A" w:rsidRDefault="00454D7A" w:rsidP="00454D7A">
            <w:pPr>
              <w:pStyle w:val="Tabletext"/>
              <w:rPr>
                <w:rFonts w:asciiTheme="majorHAnsi" w:hAnsiTheme="majorHAnsi"/>
              </w:rPr>
            </w:pPr>
            <w:r w:rsidRPr="00454D7A">
              <w:rPr>
                <w:rFonts w:asciiTheme="majorHAnsi" w:hAnsiTheme="majorHAnsi"/>
              </w:rPr>
              <w:t>Duty holders</w:t>
            </w:r>
          </w:p>
        </w:tc>
        <w:tc>
          <w:tcPr>
            <w:tcW w:w="4028" w:type="pct"/>
          </w:tcPr>
          <w:p w14:paraId="0DFF67B9"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rPr>
                <w:i/>
                <w:iCs/>
              </w:rPr>
            </w:pPr>
            <w:r w:rsidRPr="00D53BBB">
              <w:t>persons who have duties or obligations under legislation, or regulated entities.</w:t>
            </w:r>
          </w:p>
        </w:tc>
      </w:tr>
      <w:tr w:rsidR="007206BF" w:rsidRPr="00B4078E" w14:paraId="2AE17890" w14:textId="77777777" w:rsidTr="00454D7A">
        <w:tc>
          <w:tcPr>
            <w:cnfStyle w:val="001000000000" w:firstRow="0" w:lastRow="0" w:firstColumn="1" w:lastColumn="0" w:oddVBand="0" w:evenVBand="0" w:oddHBand="0" w:evenHBand="0" w:firstRowFirstColumn="0" w:firstRowLastColumn="0" w:lastRowFirstColumn="0" w:lastRowLastColumn="0"/>
            <w:tcW w:w="972" w:type="pct"/>
          </w:tcPr>
          <w:p w14:paraId="5C96DB95" w14:textId="4C36F18D" w:rsidR="007206BF" w:rsidRPr="00454D7A" w:rsidRDefault="00454D7A" w:rsidP="00454D7A">
            <w:pPr>
              <w:pStyle w:val="Tabletext"/>
              <w:rPr>
                <w:rFonts w:asciiTheme="majorHAnsi" w:hAnsiTheme="majorHAnsi"/>
              </w:rPr>
            </w:pPr>
            <w:r w:rsidRPr="00454D7A">
              <w:rPr>
                <w:rFonts w:asciiTheme="majorHAnsi" w:hAnsiTheme="majorHAnsi"/>
              </w:rPr>
              <w:t>Enforcement</w:t>
            </w:r>
          </w:p>
        </w:tc>
        <w:tc>
          <w:tcPr>
            <w:tcW w:w="4028" w:type="pct"/>
          </w:tcPr>
          <w:p w14:paraId="2272D852"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regulatory activity to act against non-compliance.</w:t>
            </w:r>
          </w:p>
        </w:tc>
      </w:tr>
      <w:tr w:rsidR="007206BF" w:rsidRPr="00B4078E" w14:paraId="385B6EDA" w14:textId="77777777" w:rsidTr="00454D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pct"/>
          </w:tcPr>
          <w:p w14:paraId="26DAFDB0" w14:textId="3AF85A1C" w:rsidR="007206BF" w:rsidRPr="00454D7A" w:rsidRDefault="00454D7A" w:rsidP="00454D7A">
            <w:pPr>
              <w:pStyle w:val="Tabletext"/>
              <w:rPr>
                <w:rFonts w:asciiTheme="majorHAnsi" w:hAnsiTheme="majorHAnsi"/>
              </w:rPr>
            </w:pPr>
            <w:r w:rsidRPr="00454D7A">
              <w:rPr>
                <w:rFonts w:asciiTheme="majorHAnsi" w:hAnsiTheme="majorHAnsi"/>
              </w:rPr>
              <w:t>Harm(s)</w:t>
            </w:r>
          </w:p>
        </w:tc>
        <w:tc>
          <w:tcPr>
            <w:tcW w:w="4028" w:type="pct"/>
          </w:tcPr>
          <w:p w14:paraId="3A430674"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pPr>
            <w:r w:rsidRPr="00D53BBB">
              <w:t>problems (such as behaviours leading to non-compliance) that cause detriment to the community or environment, or that undermine the intended regulatory outcomes.</w:t>
            </w:r>
          </w:p>
        </w:tc>
      </w:tr>
      <w:tr w:rsidR="007206BF" w:rsidRPr="00B4078E" w14:paraId="4F03C2AF" w14:textId="77777777" w:rsidTr="00454D7A">
        <w:tc>
          <w:tcPr>
            <w:cnfStyle w:val="001000000000" w:firstRow="0" w:lastRow="0" w:firstColumn="1" w:lastColumn="0" w:oddVBand="0" w:evenVBand="0" w:oddHBand="0" w:evenHBand="0" w:firstRowFirstColumn="0" w:firstRowLastColumn="0" w:lastRowFirstColumn="0" w:lastRowLastColumn="0"/>
            <w:tcW w:w="972" w:type="pct"/>
          </w:tcPr>
          <w:p w14:paraId="26B86B73" w14:textId="4526CE62" w:rsidR="007206BF" w:rsidRPr="00454D7A" w:rsidRDefault="00454D7A" w:rsidP="00454D7A">
            <w:pPr>
              <w:pStyle w:val="Tabletext"/>
              <w:rPr>
                <w:rFonts w:asciiTheme="majorHAnsi" w:hAnsiTheme="majorHAnsi"/>
              </w:rPr>
            </w:pPr>
            <w:r w:rsidRPr="00454D7A">
              <w:rPr>
                <w:rFonts w:asciiTheme="majorHAnsi" w:hAnsiTheme="majorHAnsi"/>
              </w:rPr>
              <w:t>Inspections</w:t>
            </w:r>
          </w:p>
        </w:tc>
        <w:tc>
          <w:tcPr>
            <w:tcW w:w="4028" w:type="pct"/>
          </w:tcPr>
          <w:p w14:paraId="0BFEF4D8"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generally a physical attendance of a site or duty holder. Used broadly in this document to indicate any form of compliance check. May be considered to include desktop, physical and remote assessments.</w:t>
            </w:r>
          </w:p>
        </w:tc>
      </w:tr>
      <w:tr w:rsidR="007206BF" w:rsidRPr="00B4078E" w14:paraId="46881BCC" w14:textId="77777777" w:rsidTr="00454D7A">
        <w:trPr>
          <w:cnfStyle w:val="000000010000" w:firstRow="0" w:lastRow="0" w:firstColumn="0" w:lastColumn="0" w:oddVBand="0" w:evenVBand="0" w:oddHBand="0" w:evenHBand="1"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972" w:type="pct"/>
          </w:tcPr>
          <w:p w14:paraId="5E508099" w14:textId="2DFC83FC" w:rsidR="007206BF" w:rsidRPr="00454D7A" w:rsidRDefault="00454D7A" w:rsidP="00454D7A">
            <w:pPr>
              <w:pStyle w:val="Tabletext"/>
              <w:rPr>
                <w:rFonts w:asciiTheme="majorHAnsi" w:hAnsiTheme="majorHAnsi"/>
              </w:rPr>
            </w:pPr>
            <w:r w:rsidRPr="00454D7A">
              <w:rPr>
                <w:rFonts w:asciiTheme="majorHAnsi" w:hAnsiTheme="majorHAnsi"/>
              </w:rPr>
              <w:t>Peer regulators</w:t>
            </w:r>
          </w:p>
        </w:tc>
        <w:tc>
          <w:tcPr>
            <w:tcW w:w="4028" w:type="pct"/>
          </w:tcPr>
          <w:p w14:paraId="5162634B"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rPr>
                <w:i/>
                <w:iCs/>
              </w:rPr>
            </w:pPr>
            <w:r w:rsidRPr="00D53BBB">
              <w:t>regulators with intersecting responsibilities and interests, or partner regulators.</w:t>
            </w:r>
          </w:p>
        </w:tc>
      </w:tr>
      <w:tr w:rsidR="007206BF" w:rsidRPr="00B4078E" w14:paraId="01860724" w14:textId="77777777" w:rsidTr="00454D7A">
        <w:tc>
          <w:tcPr>
            <w:cnfStyle w:val="001000000000" w:firstRow="0" w:lastRow="0" w:firstColumn="1" w:lastColumn="0" w:oddVBand="0" w:evenVBand="0" w:oddHBand="0" w:evenHBand="0" w:firstRowFirstColumn="0" w:firstRowLastColumn="0" w:lastRowFirstColumn="0" w:lastRowLastColumn="0"/>
            <w:tcW w:w="972" w:type="pct"/>
          </w:tcPr>
          <w:p w14:paraId="6E9F3BFF" w14:textId="4031C067" w:rsidR="007206BF" w:rsidRPr="00454D7A" w:rsidRDefault="00454D7A" w:rsidP="00454D7A">
            <w:pPr>
              <w:pStyle w:val="Tabletext"/>
              <w:rPr>
                <w:rFonts w:asciiTheme="majorHAnsi" w:hAnsiTheme="majorHAnsi"/>
              </w:rPr>
            </w:pPr>
            <w:r w:rsidRPr="00454D7A">
              <w:rPr>
                <w:rFonts w:asciiTheme="majorHAnsi" w:hAnsiTheme="majorHAnsi"/>
              </w:rPr>
              <w:t>Regulatory officer</w:t>
            </w:r>
          </w:p>
        </w:tc>
        <w:tc>
          <w:tcPr>
            <w:tcW w:w="4028" w:type="pct"/>
          </w:tcPr>
          <w:p w14:paraId="6DCD8C23"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a member of staff who is authorised or delegated to exercise regulatory powers or make regulatory decisions, including authorised officers and inspectors</w:t>
            </w:r>
          </w:p>
        </w:tc>
      </w:tr>
      <w:tr w:rsidR="007206BF" w:rsidRPr="00B4078E" w14:paraId="5E181A0D" w14:textId="77777777" w:rsidTr="00454D7A">
        <w:trPr>
          <w:cnfStyle w:val="000000010000" w:firstRow="0" w:lastRow="0" w:firstColumn="0" w:lastColumn="0" w:oddVBand="0" w:evenVBand="0" w:oddHBand="0" w:evenHBand="1"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972" w:type="pct"/>
          </w:tcPr>
          <w:p w14:paraId="0DCC9D43" w14:textId="4B01FE0A" w:rsidR="007206BF" w:rsidRPr="00454D7A" w:rsidRDefault="00454D7A" w:rsidP="00454D7A">
            <w:pPr>
              <w:pStyle w:val="Tabletext"/>
              <w:rPr>
                <w:rFonts w:asciiTheme="majorHAnsi" w:hAnsiTheme="majorHAnsi"/>
              </w:rPr>
            </w:pPr>
            <w:r w:rsidRPr="00454D7A">
              <w:rPr>
                <w:rFonts w:asciiTheme="majorHAnsi" w:hAnsiTheme="majorHAnsi"/>
              </w:rPr>
              <w:t>Remedial tools/</w:t>
            </w:r>
            <w:r>
              <w:rPr>
                <w:rFonts w:asciiTheme="majorHAnsi" w:hAnsiTheme="majorHAnsi"/>
              </w:rPr>
              <w:t xml:space="preserve"> </w:t>
            </w:r>
            <w:r w:rsidRPr="00454D7A">
              <w:rPr>
                <w:rFonts w:asciiTheme="majorHAnsi" w:hAnsiTheme="majorHAnsi"/>
              </w:rPr>
              <w:t>remedy</w:t>
            </w:r>
          </w:p>
        </w:tc>
        <w:tc>
          <w:tcPr>
            <w:tcW w:w="4028" w:type="pct"/>
          </w:tcPr>
          <w:p w14:paraId="7DB9DB1E"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pPr>
            <w:r w:rsidRPr="00D53BBB">
              <w:t>a broad term for seeking redress or relief for a non-compliance, typically a measure such as a corrective notice or direction.</w:t>
            </w:r>
          </w:p>
        </w:tc>
      </w:tr>
      <w:tr w:rsidR="007206BF" w:rsidRPr="00B4078E" w14:paraId="428D6949" w14:textId="77777777" w:rsidTr="00454D7A">
        <w:trPr>
          <w:trHeight w:val="906"/>
        </w:trPr>
        <w:tc>
          <w:tcPr>
            <w:cnfStyle w:val="001000000000" w:firstRow="0" w:lastRow="0" w:firstColumn="1" w:lastColumn="0" w:oddVBand="0" w:evenVBand="0" w:oddHBand="0" w:evenHBand="0" w:firstRowFirstColumn="0" w:firstRowLastColumn="0" w:lastRowFirstColumn="0" w:lastRowLastColumn="0"/>
            <w:tcW w:w="972" w:type="pct"/>
          </w:tcPr>
          <w:p w14:paraId="5DAC489A" w14:textId="273486D5" w:rsidR="007206BF" w:rsidRPr="00454D7A" w:rsidRDefault="00454D7A" w:rsidP="00454D7A">
            <w:pPr>
              <w:pStyle w:val="Tabletext"/>
              <w:rPr>
                <w:rFonts w:asciiTheme="majorHAnsi" w:hAnsiTheme="majorHAnsi"/>
              </w:rPr>
            </w:pPr>
            <w:r w:rsidRPr="00454D7A">
              <w:rPr>
                <w:rFonts w:asciiTheme="majorHAnsi" w:hAnsiTheme="majorHAnsi"/>
              </w:rPr>
              <w:t>Regulatory approaches</w:t>
            </w:r>
          </w:p>
        </w:tc>
        <w:tc>
          <w:tcPr>
            <w:tcW w:w="4028" w:type="pct"/>
          </w:tcPr>
          <w:p w14:paraId="356A1AA8"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the overarching methods used to regulate and change behaviour, in the context of the legislative framework; including the form of rules, the mixture of tools, and the points at which risks are addressed.</w:t>
            </w:r>
          </w:p>
        </w:tc>
      </w:tr>
      <w:tr w:rsidR="007206BF" w:rsidRPr="00B4078E" w14:paraId="0F2AA5C9" w14:textId="77777777" w:rsidTr="00454D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pct"/>
          </w:tcPr>
          <w:p w14:paraId="460CEF95" w14:textId="24836DE7" w:rsidR="007206BF" w:rsidRPr="00454D7A" w:rsidRDefault="00454D7A" w:rsidP="00454D7A">
            <w:pPr>
              <w:pStyle w:val="Tabletext"/>
              <w:rPr>
                <w:rFonts w:asciiTheme="majorHAnsi" w:hAnsiTheme="majorHAnsi"/>
              </w:rPr>
            </w:pPr>
            <w:r w:rsidRPr="00454D7A">
              <w:rPr>
                <w:rFonts w:asciiTheme="majorHAnsi" w:hAnsiTheme="majorHAnsi"/>
              </w:rPr>
              <w:t>Regulatory framework</w:t>
            </w:r>
          </w:p>
        </w:tc>
        <w:tc>
          <w:tcPr>
            <w:tcW w:w="4028" w:type="pct"/>
          </w:tcPr>
          <w:p w14:paraId="79500DB4"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pPr>
            <w:r w:rsidRPr="00D53BBB">
              <w:t>an explanation and clarification of how a regulator will generally perform its role, considering what it regulates, who it regulates, how it interacts, and the principles and approaches applied.</w:t>
            </w:r>
          </w:p>
        </w:tc>
      </w:tr>
      <w:tr w:rsidR="007206BF" w:rsidRPr="00B4078E" w14:paraId="1CD7E60C" w14:textId="77777777" w:rsidTr="00454D7A">
        <w:tc>
          <w:tcPr>
            <w:cnfStyle w:val="001000000000" w:firstRow="0" w:lastRow="0" w:firstColumn="1" w:lastColumn="0" w:oddVBand="0" w:evenVBand="0" w:oddHBand="0" w:evenHBand="0" w:firstRowFirstColumn="0" w:firstRowLastColumn="0" w:lastRowFirstColumn="0" w:lastRowLastColumn="0"/>
            <w:tcW w:w="972" w:type="pct"/>
          </w:tcPr>
          <w:p w14:paraId="7226B901" w14:textId="0A65CF0D" w:rsidR="007206BF" w:rsidRPr="00454D7A" w:rsidRDefault="00454D7A" w:rsidP="00454D7A">
            <w:pPr>
              <w:pStyle w:val="Tabletext"/>
              <w:rPr>
                <w:rFonts w:asciiTheme="majorHAnsi" w:hAnsiTheme="majorHAnsi"/>
              </w:rPr>
            </w:pPr>
            <w:r w:rsidRPr="00454D7A">
              <w:rPr>
                <w:rFonts w:asciiTheme="majorHAnsi" w:hAnsiTheme="majorHAnsi"/>
              </w:rPr>
              <w:t>Regulatory powers</w:t>
            </w:r>
          </w:p>
        </w:tc>
        <w:tc>
          <w:tcPr>
            <w:tcW w:w="4028" w:type="pct"/>
          </w:tcPr>
          <w:p w14:paraId="529442EA"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the powers regulators have under legislation.</w:t>
            </w:r>
          </w:p>
        </w:tc>
      </w:tr>
      <w:tr w:rsidR="007206BF" w:rsidRPr="00B4078E" w14:paraId="10CE3F16" w14:textId="77777777" w:rsidTr="00454D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pct"/>
          </w:tcPr>
          <w:p w14:paraId="21A12870" w14:textId="62B5F536" w:rsidR="007206BF" w:rsidRPr="00454D7A" w:rsidRDefault="00454D7A" w:rsidP="00454D7A">
            <w:pPr>
              <w:pStyle w:val="Tabletext"/>
              <w:rPr>
                <w:rFonts w:asciiTheme="majorHAnsi" w:hAnsiTheme="majorHAnsi"/>
              </w:rPr>
            </w:pPr>
            <w:r w:rsidRPr="00454D7A">
              <w:rPr>
                <w:rFonts w:asciiTheme="majorHAnsi" w:hAnsiTheme="majorHAnsi"/>
              </w:rPr>
              <w:t>Regulatory outcomes</w:t>
            </w:r>
          </w:p>
        </w:tc>
        <w:tc>
          <w:tcPr>
            <w:tcW w:w="4028" w:type="pct"/>
          </w:tcPr>
          <w:p w14:paraId="3E990E81"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pPr>
            <w:r w:rsidRPr="00D53BBB">
              <w:t>the outcomes that the regulator is charged with in achieving for the community, accounting for their legislative mandate and aligned with the broader strategic and policy context.</w:t>
            </w:r>
          </w:p>
        </w:tc>
      </w:tr>
      <w:tr w:rsidR="007206BF" w:rsidRPr="00B4078E" w14:paraId="68E1B3E8" w14:textId="77777777" w:rsidTr="00454D7A">
        <w:tc>
          <w:tcPr>
            <w:cnfStyle w:val="001000000000" w:firstRow="0" w:lastRow="0" w:firstColumn="1" w:lastColumn="0" w:oddVBand="0" w:evenVBand="0" w:oddHBand="0" w:evenHBand="0" w:firstRowFirstColumn="0" w:firstRowLastColumn="0" w:lastRowFirstColumn="0" w:lastRowLastColumn="0"/>
            <w:tcW w:w="972" w:type="pct"/>
          </w:tcPr>
          <w:p w14:paraId="5356E8C3" w14:textId="336B9411" w:rsidR="007206BF" w:rsidRPr="00454D7A" w:rsidRDefault="00454D7A" w:rsidP="00454D7A">
            <w:pPr>
              <w:pStyle w:val="Tabletext"/>
              <w:rPr>
                <w:rFonts w:asciiTheme="majorHAnsi" w:hAnsiTheme="majorHAnsi"/>
              </w:rPr>
            </w:pPr>
            <w:r w:rsidRPr="00454D7A">
              <w:rPr>
                <w:rFonts w:asciiTheme="majorHAnsi" w:hAnsiTheme="majorHAnsi"/>
              </w:rPr>
              <w:t>Regulatory s</w:t>
            </w:r>
            <w:r w:rsidR="007206BF" w:rsidRPr="00454D7A">
              <w:rPr>
                <w:rFonts w:asciiTheme="majorHAnsi" w:hAnsiTheme="majorHAnsi"/>
              </w:rPr>
              <w:t>cheme</w:t>
            </w:r>
          </w:p>
        </w:tc>
        <w:tc>
          <w:tcPr>
            <w:tcW w:w="4028" w:type="pct"/>
          </w:tcPr>
          <w:p w14:paraId="482C5C67"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a regime that is established, administered, supported or overseen by government that seeks to regulate or control a specific activity</w:t>
            </w:r>
          </w:p>
        </w:tc>
      </w:tr>
      <w:tr w:rsidR="007206BF" w:rsidRPr="00B4078E" w14:paraId="7A39B23C" w14:textId="77777777" w:rsidTr="00454D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pct"/>
          </w:tcPr>
          <w:p w14:paraId="35BFB8FA" w14:textId="70B2AB0E" w:rsidR="007206BF" w:rsidRPr="00454D7A" w:rsidRDefault="00454D7A" w:rsidP="00454D7A">
            <w:pPr>
              <w:pStyle w:val="Tabletext"/>
              <w:rPr>
                <w:rFonts w:asciiTheme="majorHAnsi" w:hAnsiTheme="majorHAnsi"/>
              </w:rPr>
            </w:pPr>
            <w:r w:rsidRPr="00454D7A">
              <w:rPr>
                <w:rFonts w:asciiTheme="majorHAnsi" w:hAnsiTheme="majorHAnsi"/>
              </w:rPr>
              <w:t>Regulatory tools</w:t>
            </w:r>
          </w:p>
        </w:tc>
        <w:tc>
          <w:tcPr>
            <w:tcW w:w="4028" w:type="pct"/>
          </w:tcPr>
          <w:p w14:paraId="172825AA"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pPr>
            <w:r w:rsidRPr="00D53BBB">
              <w:t>interventions applied by the regulator to influence behaviour, encompassing information and guidance, cautions and warnings, and compliance tools.</w:t>
            </w:r>
          </w:p>
        </w:tc>
      </w:tr>
      <w:tr w:rsidR="007206BF" w:rsidRPr="00B4078E" w14:paraId="68FAB8C7" w14:textId="77777777" w:rsidTr="00454D7A">
        <w:tc>
          <w:tcPr>
            <w:cnfStyle w:val="001000000000" w:firstRow="0" w:lastRow="0" w:firstColumn="1" w:lastColumn="0" w:oddVBand="0" w:evenVBand="0" w:oddHBand="0" w:evenHBand="0" w:firstRowFirstColumn="0" w:firstRowLastColumn="0" w:lastRowFirstColumn="0" w:lastRowLastColumn="0"/>
            <w:tcW w:w="972" w:type="pct"/>
          </w:tcPr>
          <w:p w14:paraId="1277B2F1" w14:textId="229E3100" w:rsidR="007206BF" w:rsidRPr="00454D7A" w:rsidRDefault="00454D7A" w:rsidP="00454D7A">
            <w:pPr>
              <w:pStyle w:val="Tabletext"/>
              <w:rPr>
                <w:rFonts w:asciiTheme="majorHAnsi" w:hAnsiTheme="majorHAnsi"/>
              </w:rPr>
            </w:pPr>
            <w:r w:rsidRPr="00454D7A">
              <w:rPr>
                <w:rFonts w:asciiTheme="majorHAnsi" w:hAnsiTheme="majorHAnsi"/>
              </w:rPr>
              <w:t>Support to comply</w:t>
            </w:r>
          </w:p>
        </w:tc>
        <w:tc>
          <w:tcPr>
            <w:tcW w:w="4028" w:type="pct"/>
          </w:tcPr>
          <w:p w14:paraId="151886DE" w14:textId="77777777" w:rsidR="007206BF" w:rsidRPr="00D53BBB" w:rsidRDefault="007206BF" w:rsidP="00454D7A">
            <w:pPr>
              <w:pStyle w:val="Tabletext"/>
              <w:cnfStyle w:val="000000000000" w:firstRow="0" w:lastRow="0" w:firstColumn="0" w:lastColumn="0" w:oddVBand="0" w:evenVBand="0" w:oddHBand="0" w:evenHBand="0" w:firstRowFirstColumn="0" w:firstRowLastColumn="0" w:lastRowFirstColumn="0" w:lastRowLastColumn="0"/>
            </w:pPr>
            <w:r w:rsidRPr="00D53BBB">
              <w:t>aiding duty holders to understand and meet their obligations, including through information and guidance.</w:t>
            </w:r>
          </w:p>
        </w:tc>
      </w:tr>
      <w:tr w:rsidR="007206BF" w:rsidRPr="00B4078E" w14:paraId="56757CDD" w14:textId="77777777" w:rsidTr="00454D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 w:type="pct"/>
          </w:tcPr>
          <w:p w14:paraId="758FAB17" w14:textId="5AAC631A" w:rsidR="007206BF" w:rsidRPr="00454D7A" w:rsidRDefault="00454D7A" w:rsidP="00454D7A">
            <w:pPr>
              <w:pStyle w:val="Tabletext"/>
              <w:rPr>
                <w:rFonts w:asciiTheme="majorHAnsi" w:hAnsiTheme="majorHAnsi"/>
              </w:rPr>
            </w:pPr>
            <w:r w:rsidRPr="00454D7A">
              <w:rPr>
                <w:rFonts w:asciiTheme="majorHAnsi" w:hAnsiTheme="majorHAnsi"/>
              </w:rPr>
              <w:t>Tailor-made interventions</w:t>
            </w:r>
          </w:p>
        </w:tc>
        <w:tc>
          <w:tcPr>
            <w:tcW w:w="4028" w:type="pct"/>
          </w:tcPr>
          <w:p w14:paraId="23A39AC7" w14:textId="77777777" w:rsidR="007206BF" w:rsidRPr="00D53BBB" w:rsidRDefault="007206BF" w:rsidP="00454D7A">
            <w:pPr>
              <w:pStyle w:val="Tabletext"/>
              <w:cnfStyle w:val="000000010000" w:firstRow="0" w:lastRow="0" w:firstColumn="0" w:lastColumn="0" w:oddVBand="0" w:evenVBand="0" w:oddHBand="0" w:evenHBand="1" w:firstRowFirstColumn="0" w:firstRowLastColumn="0" w:lastRowFirstColumn="0" w:lastRowLastColumn="0"/>
            </w:pPr>
            <w:r w:rsidRPr="00D53BBB">
              <w:t>an intervention developed under a problem-solving approach, to integrate different regulatory activities to address a</w:t>
            </w:r>
            <w:r>
              <w:t xml:space="preserve"> harm.</w:t>
            </w:r>
          </w:p>
        </w:tc>
      </w:tr>
    </w:tbl>
    <w:p w14:paraId="164CEF4B" w14:textId="77777777" w:rsidR="007206BF" w:rsidRDefault="007206BF" w:rsidP="00532FCE"/>
    <w:p w14:paraId="65E639BD" w14:textId="77777777" w:rsidR="00C7114C" w:rsidRDefault="00C7114C">
      <w:pPr>
        <w:spacing w:before="0" w:after="160" w:line="259" w:lineRule="auto"/>
      </w:pPr>
    </w:p>
    <w:p w14:paraId="41456637" w14:textId="77777777" w:rsidR="00DC0F10" w:rsidRDefault="00DC0F10" w:rsidP="00DC0F10">
      <w:pPr>
        <w:sectPr w:rsidR="00DC0F10" w:rsidSect="00036D89">
          <w:headerReference w:type="even" r:id="rId23"/>
          <w:headerReference w:type="default" r:id="rId24"/>
          <w:footerReference w:type="even" r:id="rId25"/>
          <w:footerReference w:type="default" r:id="rId26"/>
          <w:pgSz w:w="11906" w:h="16838" w:code="9"/>
          <w:pgMar w:top="1440" w:right="1440" w:bottom="1728" w:left="1440" w:header="562" w:footer="461" w:gutter="0"/>
          <w:pgNumType w:start="1"/>
          <w:cols w:space="708"/>
          <w:docGrid w:linePitch="360"/>
        </w:sectPr>
      </w:pPr>
    </w:p>
    <w:p w14:paraId="1E6F217A" w14:textId="77777777" w:rsidR="00BA76EA" w:rsidRDefault="00BA76EA"/>
    <w:p w14:paraId="28640277" w14:textId="77777777" w:rsidR="00DC0F10" w:rsidRDefault="00DC0F10" w:rsidP="00DC0F10"/>
    <w:sectPr w:rsidR="00DC0F10" w:rsidSect="00515D54">
      <w:headerReference w:type="even" r:id="rId27"/>
      <w:headerReference w:type="default" r:id="rId28"/>
      <w:footerReference w:type="even" r:id="rId29"/>
      <w:footerReference w:type="default" r:id="rId30"/>
      <w:pgSz w:w="11906" w:h="16838" w:code="9"/>
      <w:pgMar w:top="1138" w:right="1138" w:bottom="1138" w:left="1699" w:header="562"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BBEF" w14:textId="77777777" w:rsidR="00D170B2" w:rsidRDefault="00D170B2" w:rsidP="00C671DA">
      <w:pPr>
        <w:spacing w:after="0" w:line="240" w:lineRule="auto"/>
      </w:pPr>
      <w:r>
        <w:separator/>
      </w:r>
    </w:p>
  </w:endnote>
  <w:endnote w:type="continuationSeparator" w:id="0">
    <w:p w14:paraId="76FDA863" w14:textId="77777777" w:rsidR="00D170B2" w:rsidRDefault="00D170B2" w:rsidP="00C671DA">
      <w:pPr>
        <w:spacing w:after="0" w:line="240" w:lineRule="auto"/>
      </w:pPr>
      <w:r>
        <w:continuationSeparator/>
      </w:r>
    </w:p>
  </w:endnote>
  <w:endnote w:type="continuationNotice" w:id="1">
    <w:p w14:paraId="21303D45" w14:textId="77777777" w:rsidR="00D170B2" w:rsidRDefault="00D170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IC SemiBold">
    <w:altName w:val="Cambria"/>
    <w:panose1 w:val="00000000000000000000"/>
    <w:charset w:val="00"/>
    <w:family w:val="roman"/>
    <w:notTrueType/>
    <w:pitch w:val="default"/>
  </w:font>
  <w:font w:name="VIC">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F999" w14:textId="77777777" w:rsidR="000E063E" w:rsidRDefault="00B06ED4" w:rsidP="00BA76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1DFC" w14:textId="1219A1FA" w:rsidR="0020555A" w:rsidRDefault="00715163" w:rsidP="00B51D56">
    <w:pPr>
      <w:pStyle w:val="Footer"/>
      <w:ind w:right="-630"/>
      <w:jc w:val="right"/>
    </w:pPr>
    <w:r>
      <w:drawing>
        <wp:inline distT="0" distB="0" distL="0" distR="0" wp14:anchorId="7D26C8AC" wp14:editId="7C8F5CF0">
          <wp:extent cx="799044" cy="4572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799044" cy="457200"/>
                  </a:xfrm>
                  <a:prstGeom prst="rect">
                    <a:avLst/>
                  </a:prstGeom>
                </pic:spPr>
              </pic:pic>
            </a:graphicData>
          </a:graphic>
        </wp:inline>
      </w:drawing>
    </w:r>
    <w:r w:rsidR="00A43B96">
      <mc:AlternateContent>
        <mc:Choice Requires="wpg">
          <w:drawing>
            <wp:anchor distT="0" distB="0" distL="114300" distR="114300" simplePos="0" relativeHeight="251658243" behindDoc="1" locked="1" layoutInCell="1" allowOverlap="1" wp14:anchorId="54BC7EB4" wp14:editId="69C000D1">
              <wp:simplePos x="0" y="0"/>
              <wp:positionH relativeFrom="page">
                <wp:posOffset>-13970</wp:posOffset>
              </wp:positionH>
              <wp:positionV relativeFrom="page">
                <wp:posOffset>5652770</wp:posOffset>
              </wp:positionV>
              <wp:extent cx="7574280" cy="5056505"/>
              <wp:effectExtent l="0" t="0" r="7620" b="2984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74280" cy="5056505"/>
                        <a:chOff x="4761" y="0"/>
                        <a:chExt cx="7572834" cy="5054542"/>
                      </a:xfrm>
                    </wpg:grpSpPr>
                    <wps:wsp>
                      <wps:cNvPr id="18" name="Freeform: Shape 18"/>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BCD8F23" id="Group 22" o:spid="_x0000_s1026" alt="&quot;&quot;" style="position:absolute;margin-left:-1.1pt;margin-top:445.1pt;width:596.4pt;height:398.15pt;z-index:-251658239;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">
              <v:shape id="Freeform: Shape 18"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" path="m,l3574033,r,3574034l,3574034,,xe" fillcolor="#87189d [3204]" stroked="f" strokeweight=".39244mm">
                <v:stroke joinstyle="miter"/>
                <v:path arrowok="t" o:connecttype="custom" o:connectlocs="0,0;3574033,0;3574033,3574034;0,3574034" o:connectangles="0,0,0,0"/>
              </v:shape>
              <v:shape id="Freeform: Shape 19"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" path="m,l,5054543,2527272,2527271,,,,xe" fillcolor="#d0a3d7 [3209]" stroked="f" strokeweight=".39244mm">
                <v:stroke joinstyle="miter"/>
                <v:path arrowok="t" o:connecttype="custom" o:connectlocs="0,0;0,5054543;2527272,2527271;0,0;0,0" o:connectangles="0,0,0,0,0"/>
              </v:shape>
              <v:shape id="Freeform: Shape 20"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" path="m,2527271r5054543,l2527272,,,2527271xe" fillcolor="#ad5fb9 [3208]" stroked="f" strokeweight=".39244mm">
                <v:stroke joinstyle="miter"/>
                <v:path arrowok="t" o:connecttype="custom" o:connectlocs="0,2527271;5054543,2527271;2527272,0;0,2527271" o:connectangles="0,0,0,0"/>
              </v:shape>
              <v:shape id="Freeform: Shape 21"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" path="m,2527130r2527131,141l2527131,,,2527130xe" fillcolor="#d0a3d7 [3209]"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BE42" w14:textId="77777777" w:rsidR="00017347" w:rsidRDefault="0056116C" w:rsidP="00017347">
    <w:pPr>
      <w:pStyle w:val="Footer"/>
      <w:pBdr>
        <w:top w:val="single" w:sz="36" w:space="1" w:color="87189D" w:themeColor="accent1"/>
      </w:pBdr>
    </w:pPr>
    <w:r>
      <w:rPr>
        <w:noProof w:val="0"/>
      </w:rPr>
      <w:fldChar w:fldCharType="begin"/>
    </w:r>
    <w:r>
      <w:instrText xml:space="preserve"> PAGE   \* MERGEFORMAT </w:instrText>
    </w:r>
    <w:r>
      <w:rPr>
        <w:noProof w:val="0"/>
      </w:rPr>
      <w:fldChar w:fldCharType="separate"/>
    </w:r>
    <w:r>
      <w:t>1</w:t>
    </w:r>
    <w:r>
      <w:fldChar w:fldCharType="end"/>
    </w:r>
    <w:r w:rsidR="00BD6AA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EC1D" w14:textId="653A0635" w:rsidR="00036D89" w:rsidRDefault="00036D89" w:rsidP="00036D89">
    <w:pPr>
      <w:pStyle w:val="Footer"/>
      <w:tabs>
        <w:tab w:val="clear" w:pos="9026"/>
        <w:tab w:val="right" w:pos="9090"/>
      </w:tabs>
      <w:spacing w:before="60"/>
      <w:ind w:right="-158"/>
    </w:pPr>
    <w:r>
      <mc:AlternateContent>
        <mc:Choice Requires="wpg">
          <w:drawing>
            <wp:anchor distT="0" distB="0" distL="114300" distR="114300" simplePos="0" relativeHeight="251660293" behindDoc="1" locked="0" layoutInCell="1" allowOverlap="1" wp14:anchorId="089AFFF8" wp14:editId="33FA3185">
              <wp:simplePos x="0" y="0"/>
              <wp:positionH relativeFrom="page">
                <wp:posOffset>5725795</wp:posOffset>
              </wp:positionH>
              <wp:positionV relativeFrom="page">
                <wp:posOffset>9762818</wp:posOffset>
              </wp:positionV>
              <wp:extent cx="1859016" cy="928223"/>
              <wp:effectExtent l="0" t="19050" r="8255" b="5715"/>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1F0C7FA" id="Graphic 45" o:spid="_x0000_s1026" alt="&quot;&quot;" style="position:absolute;margin-left:450.85pt;margin-top:768.75pt;width:146.4pt;height:73.1pt;z-index:-251645952;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path="m,l1024933,r,1024863l,1024863,,xe" fillcolor="#87189d [3204]" stroked="f" strokeweight=".1125mm">
                <v:stroke joinstyle="miter"/>
                <v:path arrowok="t" o:connecttype="custom" o:connectlocs="0,0;1024933,0;1024933,1024863;0,1024863" o:connectangles="0,0,0,0"/>
              </v:shape>
              <v:shape id="Freeform: Shape 4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path="m724751,r-40,1449402l,724701,724711,r40,xe" fillcolor="#d0a3d7 [3209]" stroked="f" strokeweight=".1125mm">
                <v:stroke joinstyle="miter"/>
                <v:path arrowok="t" o:connecttype="custom" o:connectlocs="724751,0;724711,1449402;0,724701;724711,0;724751,0" o:connectangles="0,0,0,0,0"/>
              </v:shape>
              <v:shape id="Freeform: Shape 49"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path="m724711,r724710,724661l724711,724701,,724661,724711,xe" fillcolor="#d0a3d7 [3209]" stroked="f" strokeweight=".1125mm">
                <v:stroke joinstyle="miter"/>
                <v:path arrowok="t" o:connecttype="custom" o:connectlocs="724711,0;1449421,724660;724711,724700;0,724660;724711,0" o:connectangles="0,0,0,0,0"/>
              </v:shape>
              <v:shape id="Freeform: Shape 5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path="m1449462,724701l,724701,724751,r724711,724701xe" fillcolor="#ad5fb9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rPr>
      <w:fldChar w:fldCharType="begin"/>
    </w:r>
    <w:r w:rsidRPr="009057A9">
      <w:rPr>
        <w:rFonts w:asciiTheme="majorHAnsi" w:hAnsiTheme="majorHAnsi"/>
      </w:rPr>
      <w:instrText xml:space="preserve"> STYLEREF  Title  \* MERGEFORMAT </w:instrText>
    </w:r>
    <w:r w:rsidRPr="009057A9">
      <w:rPr>
        <w:rFonts w:asciiTheme="majorHAnsi" w:hAnsiTheme="majorHAnsi"/>
      </w:rPr>
      <w:fldChar w:fldCharType="separate"/>
    </w:r>
    <w:r w:rsidR="00F00821">
      <w:rPr>
        <w:rFonts w:asciiTheme="majorHAnsi" w:hAnsiTheme="majorHAnsi"/>
      </w:rPr>
      <w:t>Towards Best Practice</w:t>
    </w:r>
    <w:r w:rsidRPr="009057A9">
      <w:rPr>
        <w:rFonts w:asciiTheme="majorHAnsi" w:hAnsiTheme="majorHAnsi"/>
      </w:rPr>
      <w:fldChar w:fldCharType="end"/>
    </w:r>
    <w: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Pr>
        <w:color w:val="FFFFFF" w:themeColor="background1"/>
      </w:rPr>
      <w:t>3</w:t>
    </w:r>
    <w:r w:rsidRPr="008351E2">
      <w:rPr>
        <w:color w:val="FFFFFF" w:themeColor="background1"/>
      </w:rPr>
      <w:fldChar w:fldCharType="end"/>
    </w:r>
  </w:p>
  <w:p w14:paraId="52E2ECBA" w14:textId="77777777" w:rsidR="00036D89" w:rsidRPr="00546AED" w:rsidRDefault="00036D89" w:rsidP="00036D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AC17" w14:textId="77777777" w:rsidR="00DC0F10" w:rsidRPr="00DC0F10" w:rsidRDefault="00B06ED4" w:rsidP="00DC0F10">
    <w:pPr>
      <w:pStyle w:val="Footer"/>
    </w:pPr>
    <w:r>
      <mc:AlternateContent>
        <mc:Choice Requires="wpg">
          <w:drawing>
            <wp:anchor distT="0" distB="0" distL="114300" distR="114300" simplePos="0" relativeHeight="251658240" behindDoc="0" locked="0" layoutInCell="1" allowOverlap="1" wp14:anchorId="53C115AF" wp14:editId="3457EB16">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2"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5540D94D" id="Group 8" o:spid="_x0000_s1026" alt="&quot;&quot;" style="position:absolute;margin-left:-84.95pt;margin-top:-619.85pt;width:708.65pt;height:708.65pt;z-index:251664384"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" fillcolor="#78be20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87189d [3204]" stroked="f" strokeweight="1pt"/>
            </v:group>
          </w:pict>
        </mc:Fallback>
      </mc:AlternateConten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3F72" w14:textId="77777777" w:rsidR="00546AED" w:rsidRPr="00546AED" w:rsidRDefault="00715163" w:rsidP="00546AED">
    <w:pPr>
      <w:pStyle w:val="Footer"/>
    </w:pPr>
    <w:r>
      <mc:AlternateContent>
        <mc:Choice Requires="wpg">
          <w:drawing>
            <wp:anchor distT="0" distB="0" distL="114300" distR="114300" simplePos="0" relativeHeight="251658245" behindDoc="1" locked="1" layoutInCell="1" allowOverlap="1" wp14:anchorId="41DE99CA" wp14:editId="4BFA7C16">
              <wp:simplePos x="0" y="0"/>
              <wp:positionH relativeFrom="page">
                <wp:posOffset>-6350</wp:posOffset>
              </wp:positionH>
              <wp:positionV relativeFrom="page">
                <wp:posOffset>5645150</wp:posOffset>
              </wp:positionV>
              <wp:extent cx="7574280" cy="5056505"/>
              <wp:effectExtent l="0" t="0" r="7620" b="2984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74280" cy="5056505"/>
                        <a:chOff x="4761" y="0"/>
                        <a:chExt cx="7572834" cy="5054542"/>
                      </a:xfrm>
                    </wpg:grpSpPr>
                    <wps:wsp>
                      <wps:cNvPr id="3" name="Freeform: Shape 3"/>
                      <wps:cNvSpPr/>
                      <wps:spPr>
                        <a:xfrm rot="18900000">
                          <a:off x="3253984" y="754221"/>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6"/>
                      <wps:cNvSpPr/>
                      <wps:spPr>
                        <a:xfrm>
                          <a:off x="19044"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a:off x="4761"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5050465" y="2527271"/>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CE1B7E8" id="Group 1" o:spid="_x0000_s1026" alt="&quot;&quot;" style="position:absolute;margin-left:-.5pt;margin-top:444.5pt;width:596.4pt;height:398.15pt;flip:x;z-index:-251658237;mso-position-horizontal-relative:page;mso-position-vertical-relative:page;mso-width-relative:margin;mso-height-relative:margin" coordorigin="47" coordsize="75728,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">
              <v:shape id="Freeform: Shape 3" o:spid="_x0000_s1027" style="position:absolute;left:32539;top:7542;width:35741;height:35740;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" path="m,l3574033,r,3574034l,3574034,,xe" fillcolor="#87189d [3204]" stroked="f" strokeweight=".39244mm">
                <v:stroke joinstyle="miter"/>
                <v:path arrowok="t" o:connecttype="custom" o:connectlocs="0,0;3574033,0;3574033,3574034;0,3574034" o:connectangles="0,0,0,0"/>
              </v:shape>
              <v:shape id="Freeform: Shape 6" o:spid="_x0000_s1028" style="position:absolute;left:190;width:25273;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" path="m,l,5054543,2527272,2527271,,,,xe" fillcolor="#d0a3d7 [3209]" stroked="f" strokeweight=".39244mm">
                <v:stroke joinstyle="miter"/>
                <v:path arrowok="t" o:connecttype="custom" o:connectlocs="0,0;0,5054543;2527272,2527271;0,0;0,0" o:connectangles="0,0,0,0,0"/>
              </v:shape>
              <v:shape id="Freeform: Shape 7" o:spid="_x0000_s1029" style="position:absolute;left:47;top:25199;width:50546;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" path="m,2527271r5054543,l2527272,,,2527271xe" fillcolor="#ad5fb9 [3208]" stroked="f" strokeweight=".39244mm">
                <v:stroke joinstyle="miter"/>
                <v:path arrowok="t" o:connecttype="custom" o:connectlocs="0,2527271;5054543,2527271;2527272,0;0,2527271" o:connectangles="0,0,0,0"/>
              </v:shape>
              <v:shape id="Freeform: Shape 9" o:spid="_x0000_s1030" style="position:absolute;left:50504;top:25272;width:25271;height:25273;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" path="m,2527130r2527131,141l2527131,,,2527130xe" fillcolor="#d0a3d7 [3209]"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2927" w14:textId="77777777" w:rsidR="00D170B2" w:rsidRDefault="00D170B2" w:rsidP="00C671DA">
      <w:pPr>
        <w:spacing w:after="0" w:line="240" w:lineRule="auto"/>
      </w:pPr>
      <w:r>
        <w:separator/>
      </w:r>
    </w:p>
  </w:footnote>
  <w:footnote w:type="continuationSeparator" w:id="0">
    <w:p w14:paraId="7D4025E2" w14:textId="77777777" w:rsidR="00D170B2" w:rsidRDefault="00D170B2" w:rsidP="00C671DA">
      <w:pPr>
        <w:spacing w:after="0" w:line="240" w:lineRule="auto"/>
      </w:pPr>
      <w:r>
        <w:continuationSeparator/>
      </w:r>
    </w:p>
  </w:footnote>
  <w:footnote w:type="continuationNotice" w:id="1">
    <w:p w14:paraId="3D6AF8F7" w14:textId="77777777" w:rsidR="00D170B2" w:rsidRDefault="00D170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3FF9" w14:textId="13711096" w:rsidR="007F29C2" w:rsidRDefault="002C71E0">
    <w:pPr>
      <w:pStyle w:val="Header"/>
    </w:pPr>
    <w:r>
      <w:rPr>
        <w:noProof/>
      </w:rPr>
      <mc:AlternateContent>
        <mc:Choice Requires="wps">
          <w:drawing>
            <wp:anchor distT="0" distB="0" distL="114300" distR="114300" simplePos="0" relativeHeight="251658242" behindDoc="1" locked="0" layoutInCell="1" allowOverlap="1" wp14:anchorId="32D7393B" wp14:editId="14E43B5B">
              <wp:simplePos x="0" y="0"/>
              <wp:positionH relativeFrom="page">
                <wp:align>right</wp:align>
              </wp:positionH>
              <wp:positionV relativeFrom="paragraph">
                <wp:posOffset>-725849</wp:posOffset>
              </wp:positionV>
              <wp:extent cx="7552944" cy="10661904"/>
              <wp:effectExtent l="0" t="0" r="0" b="6350"/>
              <wp:wrapNone/>
              <wp:docPr id="4" name="Rectangle 4"/>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9E07A11" id="Rectangle 4" o:spid="_x0000_s1026" style="position:absolute;margin-left:543.5pt;margin-top:-57.15pt;width:594.7pt;height:839.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" fillcolor="#1f2a44 [3215]" stroked="f" strokeweight="1pt">
              <w10:wrap anchorx="page"/>
            </v:rect>
          </w:pict>
        </mc:Fallback>
      </mc:AlternateContent>
    </w:r>
    <w:r w:rsidR="007F29C2">
      <w:rPr>
        <w:noProof/>
      </w:rPr>
      <w:drawing>
        <wp:inline distT="0" distB="0" distL="0" distR="0" wp14:anchorId="21DF8A46" wp14:editId="70F8FD50">
          <wp:extent cx="2730593" cy="624847"/>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0593" cy="6248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2EC6" w14:textId="77777777" w:rsidR="006857EE" w:rsidRDefault="006857EE">
    <w:pPr>
      <w:pStyle w:val="Header"/>
    </w:pPr>
  </w:p>
  <w:p w14:paraId="189743CA" w14:textId="77777777" w:rsidR="006857EE" w:rsidRDefault="006857EE">
    <w:pPr>
      <w:pStyle w:val="Header"/>
    </w:pPr>
  </w:p>
  <w:p w14:paraId="7E105866" w14:textId="77777777" w:rsidR="006857EE" w:rsidRDefault="00685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02A7" w14:textId="77777777" w:rsidR="000E063E" w:rsidRDefault="000E063E" w:rsidP="003A5CA0">
    <w:pPr>
      <w:pStyle w:val="Header"/>
    </w:pPr>
    <w:r>
      <w:rPr>
        <w:noProof/>
      </w:rPr>
      <w:drawing>
        <wp:inline distT="0" distB="0" distL="0" distR="0" wp14:anchorId="16908AD7" wp14:editId="2BE27300">
          <wp:extent cx="541165" cy="720000"/>
          <wp:effectExtent l="0" t="0" r="0"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1EB6" w14:textId="77777777" w:rsidR="00C671DA" w:rsidRDefault="00C671DA" w:rsidP="00B001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7CA8" w14:textId="77777777" w:rsidR="00DC0F10" w:rsidRPr="00DC0F10" w:rsidRDefault="00DC0F10" w:rsidP="00DC0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08F5" w14:textId="65920919" w:rsidR="00546AED" w:rsidRPr="00546AED" w:rsidRDefault="002C71E0" w:rsidP="00546AED">
    <w:pPr>
      <w:pStyle w:val="Header"/>
    </w:pPr>
    <w:r>
      <w:rPr>
        <w:noProof/>
      </w:rPr>
      <mc:AlternateContent>
        <mc:Choice Requires="wps">
          <w:drawing>
            <wp:anchor distT="0" distB="0" distL="114300" distR="114300" simplePos="0" relativeHeight="251658244" behindDoc="1" locked="0" layoutInCell="1" allowOverlap="1" wp14:anchorId="6869A85A" wp14:editId="08D6772B">
              <wp:simplePos x="0" y="0"/>
              <wp:positionH relativeFrom="page">
                <wp:align>right</wp:align>
              </wp:positionH>
              <wp:positionV relativeFrom="paragraph">
                <wp:posOffset>-362607</wp:posOffset>
              </wp:positionV>
              <wp:extent cx="7552944" cy="10661904"/>
              <wp:effectExtent l="0" t="0" r="0" b="6350"/>
              <wp:wrapNone/>
              <wp:docPr id="10" name="Rectangle 10"/>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5D15365" id="Rectangle 10" o:spid="_x0000_s1026" style="position:absolute;margin-left:543.5pt;margin-top:-28.55pt;width:594.7pt;height:839.5pt;z-index:-251660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" fillcolor="#1f2a44 [321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7"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8"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68F6758C"/>
    <w:multiLevelType w:val="multilevel"/>
    <w:tmpl w:val="76203B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12" w15:restartNumberingAfterBreak="0">
    <w:nsid w:val="7A7E12E5"/>
    <w:multiLevelType w:val="hybridMultilevel"/>
    <w:tmpl w:val="7526B7E6"/>
    <w:lvl w:ilvl="0" w:tplc="9E6C38A6">
      <w:start w:val="1"/>
      <w:numFmt w:val="decimal"/>
      <w:pStyle w:val="Numpara"/>
      <w:lvlText w:val="%1."/>
      <w:lvlJc w:val="left"/>
      <w:pPr>
        <w:ind w:left="36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BFF2DF7"/>
    <w:multiLevelType w:val="hybridMultilevel"/>
    <w:tmpl w:val="3834A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F51D20"/>
    <w:multiLevelType w:val="multilevel"/>
    <w:tmpl w:val="2C064994"/>
    <w:lvl w:ilvl="0">
      <w:start w:val="1"/>
      <w:numFmt w:val="bullet"/>
      <w:lvlText w:val=""/>
      <w:lvlJc w:val="left"/>
      <w:pPr>
        <w:tabs>
          <w:tab w:val="num" w:pos="360"/>
        </w:tabs>
        <w:ind w:left="851" w:hanging="567"/>
      </w:pPr>
      <w:rPr>
        <w:rFonts w:ascii="Symbol" w:hAnsi="Symbol" w:hint="default"/>
        <w:b w:val="0"/>
        <w:i w:val="0"/>
        <w:vanish w:val="0"/>
        <w:color w:val="auto"/>
        <w:sz w:val="22"/>
      </w:rPr>
    </w:lvl>
    <w:lvl w:ilvl="1">
      <w:start w:val="1"/>
      <w:numFmt w:val="bullet"/>
      <w:lvlText w:val="–"/>
      <w:lvlJc w:val="left"/>
      <w:pPr>
        <w:tabs>
          <w:tab w:val="num" w:pos="927"/>
        </w:tabs>
        <w:ind w:left="1418" w:hanging="567"/>
      </w:pPr>
      <w:rPr>
        <w:rFonts w:ascii="Calibri" w:hAnsi="Calibri" w:hint="default"/>
        <w:b w:val="0"/>
        <w:i w:val="0"/>
        <w:vanish w:val="0"/>
        <w:color w:val="auto"/>
        <w:sz w:val="22"/>
      </w:rPr>
    </w:lvl>
    <w:lvl w:ilvl="2">
      <w:start w:val="1"/>
      <w:numFmt w:val="bullet"/>
      <w:lvlText w:val=""/>
      <w:lvlJc w:val="left"/>
      <w:pPr>
        <w:tabs>
          <w:tab w:val="num" w:pos="1494"/>
        </w:tabs>
        <w:ind w:left="1985" w:hanging="567"/>
      </w:pPr>
      <w:rPr>
        <w:rFonts w:ascii="Symbol" w:hAnsi="Symbol" w:hint="default"/>
        <w:b w:val="0"/>
        <w:i w:val="0"/>
        <w:vanish w:val="0"/>
        <w:color w:val="auto"/>
        <w:sz w:val="22"/>
      </w:rPr>
    </w:lvl>
    <w:lvl w:ilvl="3">
      <w:start w:val="1"/>
      <w:numFmt w:val="bullet"/>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15"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13414546">
    <w:abstractNumId w:val="15"/>
  </w:num>
  <w:num w:numId="2" w16cid:durableId="763960156">
    <w:abstractNumId w:val="10"/>
  </w:num>
  <w:num w:numId="3" w16cid:durableId="1764297202">
    <w:abstractNumId w:val="1"/>
  </w:num>
  <w:num w:numId="4" w16cid:durableId="2121873127">
    <w:abstractNumId w:val="0"/>
  </w:num>
  <w:num w:numId="5" w16cid:durableId="624120007">
    <w:abstractNumId w:val="2"/>
  </w:num>
  <w:num w:numId="6" w16cid:durableId="1537161399">
    <w:abstractNumId w:val="6"/>
  </w:num>
  <w:num w:numId="7" w16cid:durableId="1750153263">
    <w:abstractNumId w:val="9"/>
  </w:num>
  <w:num w:numId="8" w16cid:durableId="308753110">
    <w:abstractNumId w:val="14"/>
  </w:num>
  <w:num w:numId="9" w16cid:durableId="1582447594">
    <w:abstractNumId w:val="4"/>
  </w:num>
  <w:num w:numId="10" w16cid:durableId="283390122">
    <w:abstractNumId w:val="8"/>
  </w:num>
  <w:num w:numId="11" w16cid:durableId="655574788">
    <w:abstractNumId w:val="14"/>
    <w:lvlOverride w:ilvl="0">
      <w:lvl w:ilvl="0">
        <w:start w:val="1"/>
        <w:numFmt w:val="bullet"/>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16cid:durableId="2121682820">
    <w:abstractNumId w:val="7"/>
  </w:num>
  <w:num w:numId="13" w16cid:durableId="1538659771">
    <w:abstractNumId w:val="11"/>
  </w:num>
  <w:num w:numId="14" w16cid:durableId="114756228">
    <w:abstractNumId w:val="5"/>
  </w:num>
  <w:num w:numId="15" w16cid:durableId="2032413993">
    <w:abstractNumId w:val="5"/>
  </w:num>
  <w:num w:numId="16" w16cid:durableId="1504540997">
    <w:abstractNumId w:val="5"/>
  </w:num>
  <w:num w:numId="17" w16cid:durableId="386992869">
    <w:abstractNumId w:val="5"/>
  </w:num>
  <w:num w:numId="18" w16cid:durableId="503324777">
    <w:abstractNumId w:val="16"/>
  </w:num>
  <w:num w:numId="19" w16cid:durableId="764617964">
    <w:abstractNumId w:val="16"/>
  </w:num>
  <w:num w:numId="20" w16cid:durableId="75784754">
    <w:abstractNumId w:val="16"/>
  </w:num>
  <w:num w:numId="21" w16cid:durableId="447433977">
    <w:abstractNumId w:val="16"/>
  </w:num>
  <w:num w:numId="22" w16cid:durableId="27411954">
    <w:abstractNumId w:val="16"/>
  </w:num>
  <w:num w:numId="23" w16cid:durableId="1251893181">
    <w:abstractNumId w:val="16"/>
  </w:num>
  <w:num w:numId="24" w16cid:durableId="1489979712">
    <w:abstractNumId w:val="16"/>
  </w:num>
  <w:num w:numId="25" w16cid:durableId="694961835">
    <w:abstractNumId w:val="16"/>
  </w:num>
  <w:num w:numId="26" w16cid:durableId="508642181">
    <w:abstractNumId w:val="12"/>
  </w:num>
  <w:num w:numId="27" w16cid:durableId="1545368716">
    <w:abstractNumId w:val="16"/>
  </w:num>
  <w:num w:numId="28" w16cid:durableId="1628049304">
    <w:abstractNumId w:val="3"/>
  </w:num>
  <w:num w:numId="29" w16cid:durableId="1714646965">
    <w:abstractNumId w:val="3"/>
  </w:num>
  <w:num w:numId="30" w16cid:durableId="110246615">
    <w:abstractNumId w:val="3"/>
  </w:num>
  <w:num w:numId="31" w16cid:durableId="1154683761">
    <w:abstractNumId w:val="3"/>
  </w:num>
  <w:num w:numId="32" w16cid:durableId="2065640521">
    <w:abstractNumId w:val="10"/>
  </w:num>
  <w:num w:numId="33" w16cid:durableId="148598068">
    <w:abstractNumId w:val="13"/>
  </w:num>
  <w:num w:numId="34" w16cid:durableId="1794203746">
    <w:abstractNumId w:val="12"/>
    <w:lvlOverride w:ilvl="0">
      <w:startOverride w:val="1"/>
    </w:lvlOverride>
  </w:num>
  <w:num w:numId="35" w16cid:durableId="464393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efaultTableStyle w:val="Tex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4C"/>
    <w:rsid w:val="00017347"/>
    <w:rsid w:val="000234D6"/>
    <w:rsid w:val="00033818"/>
    <w:rsid w:val="0003521D"/>
    <w:rsid w:val="00036D0E"/>
    <w:rsid w:val="00036D89"/>
    <w:rsid w:val="00041891"/>
    <w:rsid w:val="00056891"/>
    <w:rsid w:val="00064F45"/>
    <w:rsid w:val="00091AEF"/>
    <w:rsid w:val="0009465B"/>
    <w:rsid w:val="000A1D68"/>
    <w:rsid w:val="000D1845"/>
    <w:rsid w:val="000E063E"/>
    <w:rsid w:val="000E23B2"/>
    <w:rsid w:val="0010589B"/>
    <w:rsid w:val="001121C5"/>
    <w:rsid w:val="0012149F"/>
    <w:rsid w:val="00123568"/>
    <w:rsid w:val="001265EA"/>
    <w:rsid w:val="00127637"/>
    <w:rsid w:val="00130023"/>
    <w:rsid w:val="00134557"/>
    <w:rsid w:val="00140706"/>
    <w:rsid w:val="001413EA"/>
    <w:rsid w:val="00143BD8"/>
    <w:rsid w:val="001508B8"/>
    <w:rsid w:val="00160595"/>
    <w:rsid w:val="001748A8"/>
    <w:rsid w:val="00175D12"/>
    <w:rsid w:val="00181371"/>
    <w:rsid w:val="001B6B86"/>
    <w:rsid w:val="001B71DC"/>
    <w:rsid w:val="001C7819"/>
    <w:rsid w:val="001D3BC2"/>
    <w:rsid w:val="001E6AD2"/>
    <w:rsid w:val="001F0578"/>
    <w:rsid w:val="001F65FC"/>
    <w:rsid w:val="002044FE"/>
    <w:rsid w:val="0020555A"/>
    <w:rsid w:val="00210457"/>
    <w:rsid w:val="002118B0"/>
    <w:rsid w:val="002129B4"/>
    <w:rsid w:val="00225987"/>
    <w:rsid w:val="002569E3"/>
    <w:rsid w:val="00257C0B"/>
    <w:rsid w:val="002A7E12"/>
    <w:rsid w:val="002B1412"/>
    <w:rsid w:val="002B1F39"/>
    <w:rsid w:val="002B3EA4"/>
    <w:rsid w:val="002C64E8"/>
    <w:rsid w:val="002C71E0"/>
    <w:rsid w:val="002C7874"/>
    <w:rsid w:val="002D3FCB"/>
    <w:rsid w:val="002D5BBB"/>
    <w:rsid w:val="002D6790"/>
    <w:rsid w:val="002D7574"/>
    <w:rsid w:val="002F0F67"/>
    <w:rsid w:val="002F1A14"/>
    <w:rsid w:val="00306B9F"/>
    <w:rsid w:val="003106C0"/>
    <w:rsid w:val="0031442B"/>
    <w:rsid w:val="00321CA2"/>
    <w:rsid w:val="0033177A"/>
    <w:rsid w:val="003904A9"/>
    <w:rsid w:val="003A3C0F"/>
    <w:rsid w:val="003A5CA0"/>
    <w:rsid w:val="003C02F9"/>
    <w:rsid w:val="003E607A"/>
    <w:rsid w:val="003F6CA9"/>
    <w:rsid w:val="004077A2"/>
    <w:rsid w:val="00414042"/>
    <w:rsid w:val="00433E6D"/>
    <w:rsid w:val="00437262"/>
    <w:rsid w:val="00442B77"/>
    <w:rsid w:val="00443752"/>
    <w:rsid w:val="00454D7A"/>
    <w:rsid w:val="00456662"/>
    <w:rsid w:val="004567C1"/>
    <w:rsid w:val="00485FC7"/>
    <w:rsid w:val="004902B8"/>
    <w:rsid w:val="00492553"/>
    <w:rsid w:val="004D3678"/>
    <w:rsid w:val="004F1DD4"/>
    <w:rsid w:val="00513C7B"/>
    <w:rsid w:val="005146B5"/>
    <w:rsid w:val="00515D54"/>
    <w:rsid w:val="00520468"/>
    <w:rsid w:val="00530AE4"/>
    <w:rsid w:val="00532FCE"/>
    <w:rsid w:val="00535B47"/>
    <w:rsid w:val="00536B9E"/>
    <w:rsid w:val="00536F3E"/>
    <w:rsid w:val="00546AED"/>
    <w:rsid w:val="005526A8"/>
    <w:rsid w:val="0056116C"/>
    <w:rsid w:val="00561E28"/>
    <w:rsid w:val="00564EEE"/>
    <w:rsid w:val="005669B0"/>
    <w:rsid w:val="00587B85"/>
    <w:rsid w:val="00593494"/>
    <w:rsid w:val="00595193"/>
    <w:rsid w:val="0059736D"/>
    <w:rsid w:val="005A0C1B"/>
    <w:rsid w:val="005B0681"/>
    <w:rsid w:val="005F0587"/>
    <w:rsid w:val="00603403"/>
    <w:rsid w:val="0063460E"/>
    <w:rsid w:val="0063745D"/>
    <w:rsid w:val="00652EF0"/>
    <w:rsid w:val="006534AE"/>
    <w:rsid w:val="00662405"/>
    <w:rsid w:val="00662424"/>
    <w:rsid w:val="00671F07"/>
    <w:rsid w:val="00681319"/>
    <w:rsid w:val="00684A34"/>
    <w:rsid w:val="006857EE"/>
    <w:rsid w:val="0069027E"/>
    <w:rsid w:val="006D26AD"/>
    <w:rsid w:val="006D5E75"/>
    <w:rsid w:val="006D60CE"/>
    <w:rsid w:val="006E47AA"/>
    <w:rsid w:val="006E4A93"/>
    <w:rsid w:val="006E5D13"/>
    <w:rsid w:val="00706DE6"/>
    <w:rsid w:val="00715163"/>
    <w:rsid w:val="007206BF"/>
    <w:rsid w:val="00746E84"/>
    <w:rsid w:val="00750891"/>
    <w:rsid w:val="00752844"/>
    <w:rsid w:val="00761E15"/>
    <w:rsid w:val="00763B68"/>
    <w:rsid w:val="00770127"/>
    <w:rsid w:val="007710CD"/>
    <w:rsid w:val="0077774E"/>
    <w:rsid w:val="007833CC"/>
    <w:rsid w:val="007A75BB"/>
    <w:rsid w:val="007A76C9"/>
    <w:rsid w:val="007C78F0"/>
    <w:rsid w:val="007F29C2"/>
    <w:rsid w:val="007F2B08"/>
    <w:rsid w:val="00826E16"/>
    <w:rsid w:val="00832F67"/>
    <w:rsid w:val="00843531"/>
    <w:rsid w:val="0084516D"/>
    <w:rsid w:val="0088155F"/>
    <w:rsid w:val="00881E3A"/>
    <w:rsid w:val="0088381D"/>
    <w:rsid w:val="00884709"/>
    <w:rsid w:val="008B1156"/>
    <w:rsid w:val="008C416F"/>
    <w:rsid w:val="008F0467"/>
    <w:rsid w:val="008F14C1"/>
    <w:rsid w:val="008F6A0B"/>
    <w:rsid w:val="009057A9"/>
    <w:rsid w:val="00913688"/>
    <w:rsid w:val="00914DFC"/>
    <w:rsid w:val="00921C38"/>
    <w:rsid w:val="00923DD2"/>
    <w:rsid w:val="00945CFD"/>
    <w:rsid w:val="0096162B"/>
    <w:rsid w:val="009637A2"/>
    <w:rsid w:val="00970A87"/>
    <w:rsid w:val="00972999"/>
    <w:rsid w:val="009729BA"/>
    <w:rsid w:val="00975633"/>
    <w:rsid w:val="00996858"/>
    <w:rsid w:val="009A6494"/>
    <w:rsid w:val="009B436D"/>
    <w:rsid w:val="009B77AD"/>
    <w:rsid w:val="009C0544"/>
    <w:rsid w:val="009C151E"/>
    <w:rsid w:val="009C5172"/>
    <w:rsid w:val="009E62CB"/>
    <w:rsid w:val="009F1113"/>
    <w:rsid w:val="00A1552D"/>
    <w:rsid w:val="00A35757"/>
    <w:rsid w:val="00A43B96"/>
    <w:rsid w:val="00A452A8"/>
    <w:rsid w:val="00A50F28"/>
    <w:rsid w:val="00A62C3F"/>
    <w:rsid w:val="00A70909"/>
    <w:rsid w:val="00A944E0"/>
    <w:rsid w:val="00AB3031"/>
    <w:rsid w:val="00AB7D0F"/>
    <w:rsid w:val="00AC5D64"/>
    <w:rsid w:val="00AD5A76"/>
    <w:rsid w:val="00AE65D5"/>
    <w:rsid w:val="00AF0B6E"/>
    <w:rsid w:val="00B001DA"/>
    <w:rsid w:val="00B06CC6"/>
    <w:rsid w:val="00B06ED4"/>
    <w:rsid w:val="00B1510D"/>
    <w:rsid w:val="00B51D56"/>
    <w:rsid w:val="00B52086"/>
    <w:rsid w:val="00B526FF"/>
    <w:rsid w:val="00B54539"/>
    <w:rsid w:val="00B606A0"/>
    <w:rsid w:val="00B66000"/>
    <w:rsid w:val="00B77D31"/>
    <w:rsid w:val="00B81DFF"/>
    <w:rsid w:val="00B8352F"/>
    <w:rsid w:val="00BA5CB4"/>
    <w:rsid w:val="00BA76EA"/>
    <w:rsid w:val="00BD37C6"/>
    <w:rsid w:val="00BD6AA7"/>
    <w:rsid w:val="00C1045A"/>
    <w:rsid w:val="00C166DB"/>
    <w:rsid w:val="00C25796"/>
    <w:rsid w:val="00C4118B"/>
    <w:rsid w:val="00C43C3B"/>
    <w:rsid w:val="00C47323"/>
    <w:rsid w:val="00C63294"/>
    <w:rsid w:val="00C671DA"/>
    <w:rsid w:val="00C7114C"/>
    <w:rsid w:val="00CA5949"/>
    <w:rsid w:val="00CC741C"/>
    <w:rsid w:val="00CD4A80"/>
    <w:rsid w:val="00CD6375"/>
    <w:rsid w:val="00D015BE"/>
    <w:rsid w:val="00D170B2"/>
    <w:rsid w:val="00D35CF3"/>
    <w:rsid w:val="00D4524B"/>
    <w:rsid w:val="00D63924"/>
    <w:rsid w:val="00D81AF1"/>
    <w:rsid w:val="00D81BA5"/>
    <w:rsid w:val="00DB57A0"/>
    <w:rsid w:val="00DB6898"/>
    <w:rsid w:val="00DC0F10"/>
    <w:rsid w:val="00DD0E51"/>
    <w:rsid w:val="00DE21D8"/>
    <w:rsid w:val="00E00B5C"/>
    <w:rsid w:val="00E016D3"/>
    <w:rsid w:val="00E234E7"/>
    <w:rsid w:val="00E26205"/>
    <w:rsid w:val="00E37AB2"/>
    <w:rsid w:val="00E6658C"/>
    <w:rsid w:val="00E745EB"/>
    <w:rsid w:val="00E8582A"/>
    <w:rsid w:val="00E90BDC"/>
    <w:rsid w:val="00E919D2"/>
    <w:rsid w:val="00E954FE"/>
    <w:rsid w:val="00EB2576"/>
    <w:rsid w:val="00ED1B28"/>
    <w:rsid w:val="00EE260D"/>
    <w:rsid w:val="00EE4CE5"/>
    <w:rsid w:val="00EE6F89"/>
    <w:rsid w:val="00F00821"/>
    <w:rsid w:val="00F04E3A"/>
    <w:rsid w:val="00F15E3C"/>
    <w:rsid w:val="00F22423"/>
    <w:rsid w:val="00F303C2"/>
    <w:rsid w:val="00F50FD2"/>
    <w:rsid w:val="00F61EE8"/>
    <w:rsid w:val="00F622CA"/>
    <w:rsid w:val="00F63E53"/>
    <w:rsid w:val="00F66D94"/>
    <w:rsid w:val="00F700AF"/>
    <w:rsid w:val="00F9003B"/>
    <w:rsid w:val="00F91FC2"/>
    <w:rsid w:val="00F9202F"/>
    <w:rsid w:val="00F971F8"/>
    <w:rsid w:val="00FA697F"/>
    <w:rsid w:val="00FA7382"/>
    <w:rsid w:val="00FD3472"/>
    <w:rsid w:val="00FE5A36"/>
    <w:rsid w:val="011B9379"/>
    <w:rsid w:val="03937EBC"/>
    <w:rsid w:val="03EC0ADC"/>
    <w:rsid w:val="0494184A"/>
    <w:rsid w:val="04EFD62C"/>
    <w:rsid w:val="06491108"/>
    <w:rsid w:val="07D3A692"/>
    <w:rsid w:val="07E4E169"/>
    <w:rsid w:val="0992DE0F"/>
    <w:rsid w:val="09C26672"/>
    <w:rsid w:val="0A91289D"/>
    <w:rsid w:val="0B1C822B"/>
    <w:rsid w:val="0B2EAE70"/>
    <w:rsid w:val="0B670E2F"/>
    <w:rsid w:val="0C085798"/>
    <w:rsid w:val="0C9F2A2F"/>
    <w:rsid w:val="0E5422ED"/>
    <w:rsid w:val="10095819"/>
    <w:rsid w:val="10B16587"/>
    <w:rsid w:val="133FE9A5"/>
    <w:rsid w:val="14C36471"/>
    <w:rsid w:val="1580263A"/>
    <w:rsid w:val="1689D474"/>
    <w:rsid w:val="18C464F2"/>
    <w:rsid w:val="191C210E"/>
    <w:rsid w:val="1A7DA128"/>
    <w:rsid w:val="1B197D98"/>
    <w:rsid w:val="1B2B5CDB"/>
    <w:rsid w:val="1B70C396"/>
    <w:rsid w:val="1CE0E7C8"/>
    <w:rsid w:val="1D0747E1"/>
    <w:rsid w:val="1DEC1A04"/>
    <w:rsid w:val="1E9CD3DF"/>
    <w:rsid w:val="1F12EB43"/>
    <w:rsid w:val="208266E8"/>
    <w:rsid w:val="20C78951"/>
    <w:rsid w:val="224622A4"/>
    <w:rsid w:val="22993943"/>
    <w:rsid w:val="22B62084"/>
    <w:rsid w:val="23248F7D"/>
    <w:rsid w:val="243C0D43"/>
    <w:rsid w:val="24C05FDE"/>
    <w:rsid w:val="25B422D1"/>
    <w:rsid w:val="25C567E8"/>
    <w:rsid w:val="28273416"/>
    <w:rsid w:val="2A61BABF"/>
    <w:rsid w:val="2A76591D"/>
    <w:rsid w:val="2A8793F4"/>
    <w:rsid w:val="2AF00D08"/>
    <w:rsid w:val="2BC5F29A"/>
    <w:rsid w:val="2BE7C60B"/>
    <w:rsid w:val="2E815BEF"/>
    <w:rsid w:val="2F49CA40"/>
    <w:rsid w:val="2F582CF1"/>
    <w:rsid w:val="301D2C50"/>
    <w:rsid w:val="31457A89"/>
    <w:rsid w:val="33D0F692"/>
    <w:rsid w:val="3528F1E6"/>
    <w:rsid w:val="3874F8F2"/>
    <w:rsid w:val="38D78429"/>
    <w:rsid w:val="38F22258"/>
    <w:rsid w:val="3A07D695"/>
    <w:rsid w:val="3A848F61"/>
    <w:rsid w:val="3B2425D3"/>
    <w:rsid w:val="3B67177D"/>
    <w:rsid w:val="3B785254"/>
    <w:rsid w:val="3C6CFE17"/>
    <w:rsid w:val="3ED4869A"/>
    <w:rsid w:val="3F46C5AD"/>
    <w:rsid w:val="3F580084"/>
    <w:rsid w:val="403A88A0"/>
    <w:rsid w:val="40D3DD49"/>
    <w:rsid w:val="41068A15"/>
    <w:rsid w:val="410D92D1"/>
    <w:rsid w:val="410DEAB0"/>
    <w:rsid w:val="418ABC37"/>
    <w:rsid w:val="4200B53F"/>
    <w:rsid w:val="44843E10"/>
    <w:rsid w:val="46C2F281"/>
    <w:rsid w:val="47AC2563"/>
    <w:rsid w:val="47EDBF02"/>
    <w:rsid w:val="4C57D5DD"/>
    <w:rsid w:val="4C9FD62B"/>
    <w:rsid w:val="4CE139C3"/>
    <w:rsid w:val="4EBFA8ED"/>
    <w:rsid w:val="5050AC6A"/>
    <w:rsid w:val="5089EC7A"/>
    <w:rsid w:val="50B35844"/>
    <w:rsid w:val="512B4700"/>
    <w:rsid w:val="516ED5CE"/>
    <w:rsid w:val="51F307F0"/>
    <w:rsid w:val="5219CB83"/>
    <w:rsid w:val="52BBEFF5"/>
    <w:rsid w:val="54562454"/>
    <w:rsid w:val="56DB4108"/>
    <w:rsid w:val="56EB916B"/>
    <w:rsid w:val="591B7D9D"/>
    <w:rsid w:val="5AF32F53"/>
    <w:rsid w:val="5BC79185"/>
    <w:rsid w:val="5E2ED861"/>
    <w:rsid w:val="5F73DAE7"/>
    <w:rsid w:val="62631924"/>
    <w:rsid w:val="62F66388"/>
    <w:rsid w:val="63A4EBA8"/>
    <w:rsid w:val="63B09D3B"/>
    <w:rsid w:val="63B79953"/>
    <w:rsid w:val="6461B480"/>
    <w:rsid w:val="6480F912"/>
    <w:rsid w:val="655369B4"/>
    <w:rsid w:val="680B09CE"/>
    <w:rsid w:val="69D6CD80"/>
    <w:rsid w:val="6AD0E37D"/>
    <w:rsid w:val="6E198120"/>
    <w:rsid w:val="6FC3ABB9"/>
    <w:rsid w:val="6FE32F5C"/>
    <w:rsid w:val="72925C3D"/>
    <w:rsid w:val="72EC7B98"/>
    <w:rsid w:val="73CEAE8B"/>
    <w:rsid w:val="74556F6C"/>
    <w:rsid w:val="7556CAF4"/>
    <w:rsid w:val="7720B401"/>
    <w:rsid w:val="7788CE6F"/>
    <w:rsid w:val="780C16C1"/>
    <w:rsid w:val="79B74D4E"/>
    <w:rsid w:val="7AEB26FE"/>
    <w:rsid w:val="7BD9C070"/>
    <w:rsid w:val="7BE0F8F6"/>
    <w:rsid w:val="7C4C93D5"/>
    <w:rsid w:val="7DBC3BA0"/>
    <w:rsid w:val="7DCCAEA4"/>
    <w:rsid w:val="7E24D6C5"/>
    <w:rsid w:val="7EE98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CF2F3"/>
  <w15:chartTrackingRefBased/>
  <w15:docId w15:val="{CCEC4F81-6D93-4E34-95BE-6F88FE725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CE"/>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09465B"/>
    <w:pPr>
      <w:keepNext/>
      <w:keepLines/>
      <w:spacing w:before="360" w:after="120" w:line="276" w:lineRule="auto"/>
      <w:outlineLvl w:val="0"/>
    </w:pPr>
    <w:rPr>
      <w:rFonts w:asciiTheme="majorHAnsi" w:eastAsiaTheme="majorEastAsia" w:hAnsiTheme="majorHAnsi" w:cstheme="majorBidi"/>
      <w:bCs/>
      <w:color w:val="87189D" w:themeColor="accent1"/>
      <w:sz w:val="36"/>
      <w:szCs w:val="28"/>
      <w:lang w:eastAsia="en-AU"/>
    </w:rPr>
  </w:style>
  <w:style w:type="paragraph" w:styleId="Heading2">
    <w:name w:val="heading 2"/>
    <w:basedOn w:val="Normal"/>
    <w:next w:val="Normal"/>
    <w:link w:val="Heading2Char"/>
    <w:qFormat/>
    <w:rsid w:val="000E23B2"/>
    <w:pPr>
      <w:keepNext/>
      <w:spacing w:before="280"/>
      <w:outlineLvl w:val="1"/>
    </w:pPr>
    <w:rPr>
      <w:rFonts w:asciiTheme="majorHAnsi" w:eastAsiaTheme="majorEastAsia" w:hAnsiTheme="majorHAnsi" w:cstheme="majorBidi"/>
      <w:bCs/>
      <w:color w:val="87189D" w:themeColor="accent1"/>
      <w:sz w:val="28"/>
      <w:szCs w:val="26"/>
    </w:rPr>
  </w:style>
  <w:style w:type="paragraph" w:styleId="Heading3">
    <w:name w:val="heading 3"/>
    <w:basedOn w:val="Normal"/>
    <w:next w:val="Normal"/>
    <w:link w:val="Heading3Char"/>
    <w:qFormat/>
    <w:rsid w:val="007F2B08"/>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AF0B6E"/>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EE260D"/>
    <w:pPr>
      <w:keepNext/>
      <w:spacing w:before="60" w:after="60"/>
      <w:outlineLvl w:val="4"/>
    </w:pPr>
    <w:rPr>
      <w:rFonts w:asciiTheme="majorHAnsi" w:eastAsiaTheme="majorEastAsia" w:hAnsiTheme="majorHAnsi" w:cstheme="majorBidi"/>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465B"/>
    <w:rPr>
      <w:rFonts w:asciiTheme="majorHAnsi" w:eastAsiaTheme="majorEastAsia" w:hAnsiTheme="majorHAnsi" w:cstheme="majorBidi"/>
      <w:bCs/>
      <w:color w:val="87189D" w:themeColor="accent1"/>
      <w:sz w:val="36"/>
      <w:szCs w:val="28"/>
      <w:lang w:eastAsia="en-AU"/>
    </w:rPr>
  </w:style>
  <w:style w:type="paragraph" w:styleId="Title">
    <w:name w:val="Title"/>
    <w:next w:val="Subtitle"/>
    <w:link w:val="TitleChar"/>
    <w:uiPriority w:val="44"/>
    <w:qFormat/>
    <w:rsid w:val="001B71DC"/>
    <w:pPr>
      <w:spacing w:before="400" w:after="30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1B71DC"/>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761E15"/>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761E15"/>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C166DB"/>
    <w:rPr>
      <w:color w:val="87189D" w:themeColor="accent1"/>
      <w:u w:val="none"/>
    </w:rPr>
  </w:style>
  <w:style w:type="character" w:styleId="UnresolvedMention">
    <w:name w:val="Unresolved Mention"/>
    <w:basedOn w:val="DefaultParagraphFont"/>
    <w:uiPriority w:val="99"/>
    <w:semiHidden/>
    <w:unhideWhenUsed/>
    <w:rsid w:val="00E00B5C"/>
    <w:rPr>
      <w:color w:val="605E5C"/>
      <w:shd w:val="clear" w:color="auto" w:fill="E1DFDD"/>
    </w:rPr>
  </w:style>
  <w:style w:type="paragraph" w:styleId="Header">
    <w:name w:val="header"/>
    <w:basedOn w:val="Normal"/>
    <w:link w:val="HeaderChar"/>
    <w:uiPriority w:val="99"/>
    <w:rsid w:val="00EE2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60D"/>
    <w:rPr>
      <w:rFonts w:eastAsiaTheme="minorEastAsia"/>
      <w:color w:val="000000" w:themeColor="text1"/>
      <w:sz w:val="20"/>
      <w:szCs w:val="20"/>
      <w:lang w:eastAsia="en-AU"/>
    </w:rPr>
  </w:style>
  <w:style w:type="paragraph" w:styleId="Footer">
    <w:name w:val="footer"/>
    <w:basedOn w:val="Normal"/>
    <w:link w:val="FooterChar"/>
    <w:uiPriority w:val="99"/>
    <w:rsid w:val="00EE260D"/>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EE260D"/>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0E23B2"/>
    <w:rPr>
      <w:rFonts w:asciiTheme="majorHAnsi" w:eastAsiaTheme="majorEastAsia" w:hAnsiTheme="majorHAnsi" w:cstheme="majorBidi"/>
      <w:bCs/>
      <w:color w:val="87189D" w:themeColor="accent1"/>
      <w:sz w:val="28"/>
      <w:szCs w:val="26"/>
      <w:lang w:eastAsia="en-AU"/>
    </w:rPr>
  </w:style>
  <w:style w:type="character" w:customStyle="1" w:styleId="Heading3Char">
    <w:name w:val="Heading 3 Char"/>
    <w:basedOn w:val="DefaultParagraphFont"/>
    <w:link w:val="Heading3"/>
    <w:rsid w:val="007F2B08"/>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AF0B6E"/>
    <w:rPr>
      <w:rFonts w:asciiTheme="majorHAnsi" w:eastAsiaTheme="majorEastAsia" w:hAnsiTheme="majorHAnsi" w:cstheme="majorBidi"/>
      <w:bCs/>
      <w:iCs/>
      <w:color w:val="1F2A44" w:themeColor="text2"/>
      <w:szCs w:val="21"/>
      <w:lang w:eastAsia="en-AU"/>
    </w:rPr>
  </w:style>
  <w:style w:type="table" w:styleId="TableGrid">
    <w:name w:val="Table Grid"/>
    <w:basedOn w:val="TableNormal"/>
    <w:uiPriority w:val="39"/>
    <w:rsid w:val="00B6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E260D"/>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0D1845"/>
    <w:pPr>
      <w:pBdr>
        <w:top w:val="single" w:sz="4" w:space="10" w:color="71C5E8" w:themeColor="accent2"/>
        <w:bottom w:val="single" w:sz="4" w:space="10" w:color="71C5E8" w:themeColor="accent2"/>
      </w:pBdr>
      <w:spacing w:before="360" w:after="360"/>
      <w:ind w:left="864" w:right="864"/>
      <w:jc w:val="center"/>
    </w:pPr>
    <w:rPr>
      <w:i/>
      <w:iCs/>
      <w:color w:val="71C5E8" w:themeColor="accent2"/>
    </w:rPr>
  </w:style>
  <w:style w:type="character" w:customStyle="1" w:styleId="IntenseQuoteChar">
    <w:name w:val="Intense Quote Char"/>
    <w:aliases w:val="Quotation Char"/>
    <w:basedOn w:val="DefaultParagraphFont"/>
    <w:link w:val="IntenseQuote"/>
    <w:uiPriority w:val="30"/>
    <w:semiHidden/>
    <w:rsid w:val="002D7574"/>
    <w:rPr>
      <w:rFonts w:eastAsiaTheme="minorEastAsia"/>
      <w:i/>
      <w:iCs/>
      <w:color w:val="71C5E8" w:themeColor="accent2"/>
      <w:sz w:val="20"/>
      <w:szCs w:val="20"/>
      <w:lang w:eastAsia="en-AU"/>
    </w:rPr>
  </w:style>
  <w:style w:type="paragraph" w:styleId="ListParagraph">
    <w:name w:val="List Paragraph"/>
    <w:basedOn w:val="Normal"/>
    <w:uiPriority w:val="34"/>
    <w:qFormat/>
    <w:rsid w:val="00EE260D"/>
    <w:pPr>
      <w:ind w:left="720"/>
      <w:contextualSpacing/>
    </w:pPr>
  </w:style>
  <w:style w:type="character" w:styleId="Strong">
    <w:name w:val="Strong"/>
    <w:aliases w:val="Table heading"/>
    <w:basedOn w:val="DefaultParagraphFont"/>
    <w:uiPriority w:val="22"/>
    <w:semiHidden/>
    <w:qFormat/>
    <w:rsid w:val="00C47323"/>
    <w:rPr>
      <w:b/>
      <w:bCs/>
    </w:rPr>
  </w:style>
  <w:style w:type="character" w:styleId="Emphasis">
    <w:name w:val="Emphasis"/>
    <w:aliases w:val="Table notes"/>
    <w:basedOn w:val="DefaultParagraphFont"/>
    <w:uiPriority w:val="20"/>
    <w:semiHidden/>
    <w:qFormat/>
    <w:rsid w:val="00C47323"/>
    <w:rPr>
      <w:i/>
      <w:iCs/>
      <w:sz w:val="18"/>
      <w:szCs w:val="18"/>
    </w:rPr>
  </w:style>
  <w:style w:type="table" w:styleId="ListTable3-Accent1">
    <w:name w:val="List Table 3 Accent 1"/>
    <w:basedOn w:val="TableNormal"/>
    <w:uiPriority w:val="48"/>
    <w:rsid w:val="00C47323"/>
    <w:pPr>
      <w:spacing w:after="0" w:line="240" w:lineRule="auto"/>
    </w:pPr>
    <w:tblPr>
      <w:tblStyleRowBandSize w:val="1"/>
      <w:tblStyleColBandSize w:val="1"/>
      <w:tblBorders>
        <w:top w:val="single" w:sz="4" w:space="0" w:color="87189D" w:themeColor="accent1"/>
        <w:left w:val="single" w:sz="4" w:space="0" w:color="87189D" w:themeColor="accent1"/>
        <w:bottom w:val="single" w:sz="4" w:space="0" w:color="87189D" w:themeColor="accent1"/>
        <w:right w:val="single" w:sz="4" w:space="0" w:color="87189D" w:themeColor="accent1"/>
      </w:tblBorders>
    </w:tblPr>
    <w:tblStylePr w:type="firstRow">
      <w:rPr>
        <w:b/>
        <w:bCs/>
        <w:color w:val="FFFFFF" w:themeColor="background1"/>
      </w:rPr>
      <w:tblPr/>
      <w:tcPr>
        <w:shd w:val="clear" w:color="auto" w:fill="87189D" w:themeFill="accent1"/>
      </w:tcPr>
    </w:tblStylePr>
    <w:tblStylePr w:type="lastRow">
      <w:rPr>
        <w:b/>
        <w:bCs/>
      </w:rPr>
      <w:tblPr/>
      <w:tcPr>
        <w:tcBorders>
          <w:top w:val="double" w:sz="4" w:space="0" w:color="8718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189D" w:themeColor="accent1"/>
          <w:right w:val="single" w:sz="4" w:space="0" w:color="87189D" w:themeColor="accent1"/>
        </w:tcBorders>
      </w:tcPr>
    </w:tblStylePr>
    <w:tblStylePr w:type="band1Horz">
      <w:tblPr/>
      <w:tcPr>
        <w:tcBorders>
          <w:top w:val="single" w:sz="4" w:space="0" w:color="87189D" w:themeColor="accent1"/>
          <w:bottom w:val="single" w:sz="4" w:space="0" w:color="8718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189D" w:themeColor="accent1"/>
          <w:left w:val="nil"/>
        </w:tcBorders>
      </w:tcPr>
    </w:tblStylePr>
    <w:tblStylePr w:type="swCell">
      <w:tblPr/>
      <w:tcPr>
        <w:tcBorders>
          <w:top w:val="double" w:sz="4" w:space="0" w:color="87189D" w:themeColor="accent1"/>
          <w:right w:val="nil"/>
        </w:tcBorders>
      </w:tcPr>
    </w:tblStylePr>
  </w:style>
  <w:style w:type="paragraph" w:customStyle="1" w:styleId="Bullet1">
    <w:name w:val="Bullet 1"/>
    <w:link w:val="Bullet1Char"/>
    <w:uiPriority w:val="1"/>
    <w:qFormat/>
    <w:rsid w:val="00EE260D"/>
    <w:pPr>
      <w:numPr>
        <w:numId w:val="17"/>
      </w:numPr>
      <w:spacing w:before="100" w:after="100" w:line="264"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EE260D"/>
    <w:pPr>
      <w:numPr>
        <w:ilvl w:val="1"/>
      </w:numPr>
    </w:pPr>
  </w:style>
  <w:style w:type="paragraph" w:customStyle="1" w:styleId="Bulletindent">
    <w:name w:val="Bullet indent"/>
    <w:basedOn w:val="Bullet2"/>
    <w:uiPriority w:val="9"/>
    <w:qFormat/>
    <w:rsid w:val="00EE260D"/>
    <w:pPr>
      <w:numPr>
        <w:ilvl w:val="2"/>
      </w:numPr>
    </w:pPr>
  </w:style>
  <w:style w:type="paragraph" w:customStyle="1" w:styleId="Bulletindent2">
    <w:name w:val="Bullet indent 2"/>
    <w:basedOn w:val="Normal"/>
    <w:uiPriority w:val="9"/>
    <w:qFormat/>
    <w:rsid w:val="00EE260D"/>
    <w:pPr>
      <w:numPr>
        <w:ilvl w:val="3"/>
        <w:numId w:val="17"/>
      </w:numPr>
      <w:spacing w:before="100"/>
      <w:contextualSpacing/>
    </w:pPr>
  </w:style>
  <w:style w:type="paragraph" w:styleId="NoSpacing">
    <w:name w:val="No Spacing"/>
    <w:uiPriority w:val="1"/>
    <w:semiHidden/>
    <w:qFormat/>
    <w:rsid w:val="00D35CF3"/>
    <w:pPr>
      <w:spacing w:after="0" w:line="240" w:lineRule="auto"/>
    </w:pPr>
  </w:style>
  <w:style w:type="paragraph" w:customStyle="1" w:styleId="Heading1numbered">
    <w:name w:val="Heading 1 numbered"/>
    <w:basedOn w:val="Heading1"/>
    <w:next w:val="NormalIndent"/>
    <w:link w:val="Heading1numberedChar"/>
    <w:uiPriority w:val="8"/>
    <w:qFormat/>
    <w:rsid w:val="00EE260D"/>
    <w:pPr>
      <w:numPr>
        <w:ilvl w:val="2"/>
        <w:numId w:val="27"/>
      </w:numPr>
    </w:pPr>
  </w:style>
  <w:style w:type="paragraph" w:customStyle="1" w:styleId="Heading2numbered">
    <w:name w:val="Heading 2 numbered"/>
    <w:basedOn w:val="Heading2"/>
    <w:next w:val="NormalIndent"/>
    <w:link w:val="Heading2numberedChar"/>
    <w:uiPriority w:val="8"/>
    <w:qFormat/>
    <w:rsid w:val="00EE260D"/>
    <w:pPr>
      <w:numPr>
        <w:ilvl w:val="3"/>
        <w:numId w:val="27"/>
      </w:numPr>
    </w:pPr>
  </w:style>
  <w:style w:type="character" w:customStyle="1" w:styleId="Heading1numberedChar">
    <w:name w:val="Heading 1 numbered Char"/>
    <w:basedOn w:val="Heading1Char"/>
    <w:link w:val="Heading1numbered"/>
    <w:uiPriority w:val="8"/>
    <w:rsid w:val="00D35CF3"/>
    <w:rPr>
      <w:rFonts w:asciiTheme="majorHAnsi" w:eastAsiaTheme="majorEastAsia" w:hAnsiTheme="majorHAnsi" w:cstheme="majorBidi"/>
      <w:b w:val="0"/>
      <w:bCs/>
      <w:color w:val="87189D" w:themeColor="accent1"/>
      <w:sz w:val="36"/>
      <w:szCs w:val="28"/>
      <w:lang w:eastAsia="en-AU"/>
    </w:rPr>
  </w:style>
  <w:style w:type="paragraph" w:customStyle="1" w:styleId="Heading3numbered">
    <w:name w:val="Heading 3 numbered"/>
    <w:basedOn w:val="Heading3"/>
    <w:next w:val="NormalIndent"/>
    <w:link w:val="Heading3numberedChar"/>
    <w:uiPriority w:val="8"/>
    <w:qFormat/>
    <w:rsid w:val="00EE260D"/>
    <w:pPr>
      <w:numPr>
        <w:ilvl w:val="4"/>
        <w:numId w:val="27"/>
      </w:numPr>
    </w:pPr>
  </w:style>
  <w:style w:type="character" w:customStyle="1" w:styleId="Heading2numberedChar">
    <w:name w:val="Heading 2 numbered Char"/>
    <w:basedOn w:val="Heading2Char"/>
    <w:link w:val="Heading2numbered"/>
    <w:uiPriority w:val="8"/>
    <w:rsid w:val="00D35CF3"/>
    <w:rPr>
      <w:rFonts w:asciiTheme="majorHAnsi" w:eastAsiaTheme="majorEastAsia" w:hAnsiTheme="majorHAnsi" w:cstheme="majorBidi"/>
      <w:b w:val="0"/>
      <w:bCs/>
      <w:color w:val="1F2A44" w:themeColor="text2"/>
      <w:sz w:val="28"/>
      <w:szCs w:val="26"/>
      <w:lang w:eastAsia="en-AU"/>
    </w:rPr>
  </w:style>
  <w:style w:type="table" w:customStyle="1" w:styleId="Financialtable">
    <w:name w:val="Financial table"/>
    <w:basedOn w:val="TableNormal"/>
    <w:uiPriority w:val="99"/>
    <w:rsid w:val="009A6494"/>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D35CF3"/>
    <w:rPr>
      <w:rFonts w:asciiTheme="majorHAnsi" w:eastAsiaTheme="majorEastAsia" w:hAnsiTheme="majorHAnsi" w:cstheme="majorBidi"/>
      <w:b w:val="0"/>
      <w:bCs/>
      <w:color w:val="1F2A44" w:themeColor="text2"/>
      <w:sz w:val="24"/>
      <w:szCs w:val="24"/>
      <w:lang w:eastAsia="en-AU"/>
    </w:rPr>
  </w:style>
  <w:style w:type="paragraph" w:customStyle="1" w:styleId="Sub-principle">
    <w:name w:val="Sub-principle"/>
    <w:basedOn w:val="Principle"/>
    <w:qFormat/>
    <w:rsid w:val="007710CD"/>
    <w:pPr>
      <w:keepNext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D35CF3"/>
    <w:rPr>
      <w:rFonts w:eastAsia="Times New Roman" w:cs="Calibri"/>
      <w:color w:val="000000" w:themeColor="text1"/>
      <w:sz w:val="20"/>
      <w:szCs w:val="20"/>
      <w:lang w:eastAsia="en-AU"/>
    </w:rPr>
  </w:style>
  <w:style w:type="paragraph" w:customStyle="1" w:styleId="Principle">
    <w:name w:val="Principle"/>
    <w:basedOn w:val="Normal"/>
    <w:qFormat/>
    <w:rsid w:val="005F0587"/>
    <w:pPr>
      <w:keepNext/>
      <w:numPr>
        <w:numId w:val="32"/>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EE260D"/>
    <w:pPr>
      <w:spacing w:before="0" w:after="0" w:line="240" w:lineRule="auto"/>
    </w:pPr>
    <w:rPr>
      <w:sz w:val="17"/>
    </w:rPr>
  </w:style>
  <w:style w:type="character" w:customStyle="1" w:styleId="FootnoteTextChar">
    <w:name w:val="Footnote Text Char"/>
    <w:basedOn w:val="DefaultParagraphFont"/>
    <w:link w:val="FootnoteText"/>
    <w:uiPriority w:val="99"/>
    <w:semiHidden/>
    <w:rsid w:val="00EE260D"/>
    <w:rPr>
      <w:rFonts w:eastAsiaTheme="minorEastAsia"/>
      <w:color w:val="000000" w:themeColor="text1"/>
      <w:sz w:val="17"/>
      <w:szCs w:val="20"/>
      <w:lang w:eastAsia="en-AU"/>
    </w:rPr>
  </w:style>
  <w:style w:type="character" w:styleId="FootnoteReference">
    <w:name w:val="footnote reference"/>
    <w:basedOn w:val="DefaultParagraphFont"/>
    <w:uiPriority w:val="99"/>
    <w:semiHidden/>
    <w:rsid w:val="00EE260D"/>
    <w:rPr>
      <w:vertAlign w:val="superscript"/>
    </w:rPr>
  </w:style>
  <w:style w:type="paragraph" w:styleId="CommentText">
    <w:name w:val="annotation text"/>
    <w:basedOn w:val="Normal"/>
    <w:link w:val="CommentTextChar"/>
    <w:uiPriority w:val="99"/>
    <w:semiHidden/>
    <w:unhideWhenUsed/>
    <w:rsid w:val="00F9202F"/>
    <w:pPr>
      <w:spacing w:after="0" w:line="240" w:lineRule="auto"/>
    </w:pPr>
  </w:style>
  <w:style w:type="character" w:customStyle="1" w:styleId="CommentTextChar">
    <w:name w:val="Comment Text Char"/>
    <w:basedOn w:val="DefaultParagraphFont"/>
    <w:link w:val="CommentText"/>
    <w:uiPriority w:val="99"/>
    <w:semiHidden/>
    <w:rsid w:val="00F9202F"/>
    <w:rPr>
      <w:rFonts w:eastAsiaTheme="minorEastAsia"/>
      <w:sz w:val="20"/>
      <w:szCs w:val="20"/>
    </w:rPr>
  </w:style>
  <w:style w:type="character" w:styleId="CommentReference">
    <w:name w:val="annotation reference"/>
    <w:basedOn w:val="DefaultParagraphFont"/>
    <w:uiPriority w:val="99"/>
    <w:semiHidden/>
    <w:unhideWhenUsed/>
    <w:rsid w:val="00F9202F"/>
    <w:rPr>
      <w:sz w:val="16"/>
      <w:szCs w:val="16"/>
    </w:rPr>
  </w:style>
  <w:style w:type="table" w:styleId="TableGridLight">
    <w:name w:val="Grid Table Light"/>
    <w:basedOn w:val="TableNormal"/>
    <w:uiPriority w:val="40"/>
    <w:rsid w:val="00F920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127637"/>
    <w:pPr>
      <w:spacing w:after="160"/>
      <w:jc w:val="both"/>
    </w:pPr>
    <w:rPr>
      <w:rFonts w:eastAsiaTheme="minorHAnsi"/>
      <w:b/>
      <w:bCs/>
    </w:rPr>
  </w:style>
  <w:style w:type="character" w:customStyle="1" w:styleId="CommentSubjectChar">
    <w:name w:val="Comment Subject Char"/>
    <w:basedOn w:val="CommentTextChar"/>
    <w:link w:val="CommentSubject"/>
    <w:uiPriority w:val="99"/>
    <w:semiHidden/>
    <w:rsid w:val="00127637"/>
    <w:rPr>
      <w:rFonts w:eastAsiaTheme="minorEastAsia"/>
      <w:b/>
      <w:bCs/>
      <w:sz w:val="20"/>
      <w:szCs w:val="20"/>
    </w:rPr>
  </w:style>
  <w:style w:type="paragraph" w:styleId="Revision">
    <w:name w:val="Revision"/>
    <w:hidden/>
    <w:uiPriority w:val="99"/>
    <w:semiHidden/>
    <w:rsid w:val="001748A8"/>
    <w:pPr>
      <w:spacing w:after="0" w:line="240" w:lineRule="auto"/>
    </w:pPr>
  </w:style>
  <w:style w:type="paragraph" w:styleId="BalloonText">
    <w:name w:val="Balloon Text"/>
    <w:basedOn w:val="Normal"/>
    <w:link w:val="BalloonTextChar"/>
    <w:uiPriority w:val="99"/>
    <w:semiHidden/>
    <w:rsid w:val="00EE2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60D"/>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EE260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E260D"/>
    <w:rPr>
      <w:rFonts w:ascii="Calibri" w:eastAsia="Times New Roman" w:hAnsi="Calibri" w:cs="Calibri"/>
      <w:color w:val="000000" w:themeColor="text1"/>
      <w:lang w:eastAsia="en-AU"/>
    </w:rPr>
  </w:style>
  <w:style w:type="paragraph" w:styleId="Caption">
    <w:name w:val="caption"/>
    <w:basedOn w:val="Normal"/>
    <w:next w:val="Normal"/>
    <w:uiPriority w:val="5"/>
    <w:rsid w:val="00E745EB"/>
    <w:pPr>
      <w:keepNext/>
      <w:spacing w:before="200" w:after="60" w:line="240" w:lineRule="auto"/>
    </w:pPr>
    <w:rPr>
      <w:b/>
      <w:bCs/>
      <w:szCs w:val="18"/>
    </w:rPr>
  </w:style>
  <w:style w:type="paragraph" w:customStyle="1" w:styleId="Captionindent">
    <w:name w:val="Caption indent"/>
    <w:basedOn w:val="Caption"/>
    <w:uiPriority w:val="7"/>
    <w:qFormat/>
    <w:rsid w:val="00EE260D"/>
    <w:pPr>
      <w:spacing w:before="240"/>
      <w:ind w:left="792"/>
    </w:pPr>
  </w:style>
  <w:style w:type="paragraph" w:customStyle="1" w:styleId="CM">
    <w:name w:val="CM"/>
    <w:next w:val="Title"/>
    <w:uiPriority w:val="79"/>
    <w:semiHidden/>
    <w:rsid w:val="00EE260D"/>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EE260D"/>
    <w:pPr>
      <w:spacing w:before="4600" w:after="0"/>
    </w:pPr>
  </w:style>
  <w:style w:type="character" w:styleId="FollowedHyperlink">
    <w:name w:val="FollowedHyperlink"/>
    <w:basedOn w:val="DefaultParagraphFont"/>
    <w:uiPriority w:val="99"/>
    <w:semiHidden/>
    <w:rsid w:val="00EE260D"/>
    <w:rPr>
      <w:color w:val="808080" w:themeColor="background1" w:themeShade="80"/>
      <w:u w:val="none"/>
    </w:rPr>
  </w:style>
  <w:style w:type="paragraph" w:styleId="NormalIndent">
    <w:name w:val="Normal Indent"/>
    <w:basedOn w:val="Normal"/>
    <w:uiPriority w:val="9"/>
    <w:qFormat/>
    <w:rsid w:val="00EE260D"/>
    <w:pPr>
      <w:ind w:left="792"/>
    </w:pPr>
  </w:style>
  <w:style w:type="paragraph" w:styleId="Index1">
    <w:name w:val="index 1"/>
    <w:basedOn w:val="Normal"/>
    <w:next w:val="Normal"/>
    <w:uiPriority w:val="99"/>
    <w:semiHidden/>
    <w:rsid w:val="00EE260D"/>
    <w:pPr>
      <w:spacing w:after="60" w:line="240" w:lineRule="auto"/>
    </w:pPr>
    <w:rPr>
      <w:sz w:val="16"/>
    </w:rPr>
  </w:style>
  <w:style w:type="paragraph" w:styleId="Index2">
    <w:name w:val="index 2"/>
    <w:basedOn w:val="Normal"/>
    <w:next w:val="Normal"/>
    <w:uiPriority w:val="99"/>
    <w:semiHidden/>
    <w:rsid w:val="00EE260D"/>
    <w:pPr>
      <w:spacing w:after="0" w:line="240" w:lineRule="auto"/>
      <w:ind w:left="216"/>
    </w:pPr>
    <w:rPr>
      <w:sz w:val="16"/>
      <w:szCs w:val="16"/>
    </w:rPr>
  </w:style>
  <w:style w:type="paragraph" w:styleId="IndexHeading">
    <w:name w:val="index heading"/>
    <w:basedOn w:val="Normal"/>
    <w:next w:val="Index1"/>
    <w:uiPriority w:val="99"/>
    <w:semiHidden/>
    <w:rsid w:val="00EE260D"/>
    <w:rPr>
      <w:rFonts w:asciiTheme="majorHAnsi" w:eastAsiaTheme="majorEastAsia" w:hAnsiTheme="majorHAnsi" w:cstheme="majorBidi"/>
      <w:b/>
      <w:bCs/>
    </w:rPr>
  </w:style>
  <w:style w:type="paragraph" w:customStyle="1" w:styleId="NormalTight">
    <w:name w:val="Normal Tight"/>
    <w:uiPriority w:val="99"/>
    <w:semiHidden/>
    <w:rsid w:val="00EE260D"/>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EE260D"/>
    <w:pPr>
      <w:spacing w:before="3800"/>
      <w:ind w:right="1382"/>
    </w:pPr>
  </w:style>
  <w:style w:type="table" w:styleId="LightList-Accent1">
    <w:name w:val="Light List Accent 1"/>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87189D" w:themeColor="accent1"/>
        <w:left w:val="single" w:sz="8" w:space="0" w:color="87189D" w:themeColor="accent1"/>
        <w:bottom w:val="single" w:sz="8" w:space="0" w:color="87189D" w:themeColor="accent1"/>
        <w:right w:val="single" w:sz="8" w:space="0" w:color="87189D" w:themeColor="accent1"/>
      </w:tblBorders>
    </w:tblPr>
    <w:tblStylePr w:type="firstRow">
      <w:pPr>
        <w:spacing w:before="0" w:after="0" w:line="240" w:lineRule="auto"/>
      </w:pPr>
      <w:rPr>
        <w:b/>
        <w:bCs/>
        <w:color w:val="FFFFFF" w:themeColor="background1"/>
      </w:rPr>
      <w:tblPr/>
      <w:tcPr>
        <w:shd w:val="clear" w:color="auto" w:fill="87189D" w:themeFill="accent1"/>
      </w:tcPr>
    </w:tblStylePr>
    <w:tblStylePr w:type="lastRow">
      <w:pPr>
        <w:spacing w:before="0" w:after="0" w:line="240" w:lineRule="auto"/>
      </w:pPr>
      <w:rPr>
        <w:b/>
        <w:bCs/>
      </w:rPr>
      <w:tblPr/>
      <w:tcPr>
        <w:tcBorders>
          <w:top w:val="double" w:sz="6" w:space="0" w:color="87189D" w:themeColor="accent1"/>
          <w:left w:val="single" w:sz="8" w:space="0" w:color="87189D" w:themeColor="accent1"/>
          <w:bottom w:val="single" w:sz="8" w:space="0" w:color="87189D" w:themeColor="accent1"/>
          <w:right w:val="single" w:sz="8" w:space="0" w:color="87189D" w:themeColor="accent1"/>
        </w:tcBorders>
      </w:tcPr>
    </w:tblStylePr>
    <w:tblStylePr w:type="firstCol">
      <w:rPr>
        <w:b/>
        <w:bCs/>
      </w:rPr>
    </w:tblStylePr>
    <w:tblStylePr w:type="lastCol">
      <w:rPr>
        <w:b/>
        <w:bCs/>
      </w:rPr>
    </w:tblStylePr>
    <w:tblStylePr w:type="band1Vert">
      <w:tblPr/>
      <w:tcPr>
        <w:tcBorders>
          <w:top w:val="single" w:sz="8" w:space="0" w:color="87189D" w:themeColor="accent1"/>
          <w:left w:val="single" w:sz="8" w:space="0" w:color="87189D" w:themeColor="accent1"/>
          <w:bottom w:val="single" w:sz="8" w:space="0" w:color="87189D" w:themeColor="accent1"/>
          <w:right w:val="single" w:sz="8" w:space="0" w:color="87189D" w:themeColor="accent1"/>
        </w:tcBorders>
      </w:tcPr>
    </w:tblStylePr>
    <w:tblStylePr w:type="band1Horz">
      <w:tblPr/>
      <w:tcPr>
        <w:tcBorders>
          <w:top w:val="single" w:sz="8" w:space="0" w:color="87189D" w:themeColor="accent1"/>
          <w:left w:val="single" w:sz="8" w:space="0" w:color="87189D" w:themeColor="accent1"/>
          <w:bottom w:val="single" w:sz="8" w:space="0" w:color="87189D" w:themeColor="accent1"/>
          <w:right w:val="single" w:sz="8" w:space="0" w:color="87189D" w:themeColor="accent1"/>
        </w:tcBorders>
      </w:tcPr>
    </w:tblStylePr>
  </w:style>
  <w:style w:type="table" w:styleId="LightList-Accent4">
    <w:name w:val="Light List Accent 4"/>
    <w:basedOn w:val="TableNormal"/>
    <w:uiPriority w:val="61"/>
    <w:rsid w:val="00EE260D"/>
    <w:pPr>
      <w:spacing w:after="0" w:line="240" w:lineRule="auto"/>
    </w:pPr>
    <w:rPr>
      <w:rFonts w:eastAsiaTheme="minorEastAsia"/>
      <w:sz w:val="20"/>
      <w:szCs w:val="20"/>
      <w:lang w:eastAsia="en-AU"/>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table" w:styleId="LightShading">
    <w:name w:val="Light Shading"/>
    <w:basedOn w:val="TableNormal"/>
    <w:uiPriority w:val="60"/>
    <w:rsid w:val="00EE260D"/>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EE260D"/>
    <w:pPr>
      <w:numPr>
        <w:numId w:val="27"/>
      </w:numPr>
    </w:pPr>
  </w:style>
  <w:style w:type="paragraph" w:customStyle="1" w:styleId="Listnum2">
    <w:name w:val="List num 2"/>
    <w:basedOn w:val="Normal"/>
    <w:uiPriority w:val="2"/>
    <w:qFormat/>
    <w:rsid w:val="00EE260D"/>
    <w:pPr>
      <w:numPr>
        <w:ilvl w:val="1"/>
        <w:numId w:val="27"/>
      </w:numPr>
    </w:pPr>
  </w:style>
  <w:style w:type="paragraph" w:customStyle="1" w:styleId="Listnumindent">
    <w:name w:val="List num indent"/>
    <w:basedOn w:val="Normal"/>
    <w:uiPriority w:val="9"/>
    <w:qFormat/>
    <w:rsid w:val="00EE260D"/>
    <w:pPr>
      <w:numPr>
        <w:ilvl w:val="6"/>
        <w:numId w:val="27"/>
      </w:numPr>
      <w:spacing w:before="100"/>
    </w:pPr>
  </w:style>
  <w:style w:type="paragraph" w:customStyle="1" w:styleId="Listnumindent2">
    <w:name w:val="List num indent 2"/>
    <w:basedOn w:val="Normal"/>
    <w:uiPriority w:val="9"/>
    <w:qFormat/>
    <w:rsid w:val="00EE260D"/>
    <w:pPr>
      <w:numPr>
        <w:ilvl w:val="7"/>
        <w:numId w:val="27"/>
      </w:numPr>
      <w:spacing w:before="100"/>
      <w:contextualSpacing/>
    </w:pPr>
  </w:style>
  <w:style w:type="paragraph" w:customStyle="1" w:styleId="NoteNormal">
    <w:name w:val="Note Normal"/>
    <w:basedOn w:val="Normal"/>
    <w:rsid w:val="00EE260D"/>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EE260D"/>
    <w:pPr>
      <w:ind w:left="792"/>
    </w:pPr>
  </w:style>
  <w:style w:type="paragraph" w:customStyle="1" w:styleId="Numpara">
    <w:name w:val="Num para"/>
    <w:basedOn w:val="ListParagraph"/>
    <w:uiPriority w:val="2"/>
    <w:qFormat/>
    <w:rsid w:val="00EE260D"/>
    <w:pPr>
      <w:numPr>
        <w:numId w:val="26"/>
      </w:numPr>
      <w:tabs>
        <w:tab w:val="left" w:pos="540"/>
      </w:tabs>
    </w:pPr>
  </w:style>
  <w:style w:type="paragraph" w:customStyle="1" w:styleId="Numparaindent">
    <w:name w:val="Num para indent"/>
    <w:basedOn w:val="Numpara"/>
    <w:uiPriority w:val="9"/>
    <w:qFormat/>
    <w:rsid w:val="00EE260D"/>
    <w:pPr>
      <w:numPr>
        <w:ilvl w:val="8"/>
        <w:numId w:val="27"/>
      </w:numPr>
      <w:tabs>
        <w:tab w:val="clear" w:pos="540"/>
      </w:tabs>
    </w:pPr>
  </w:style>
  <w:style w:type="character" w:styleId="PageNumber">
    <w:name w:val="page number"/>
    <w:uiPriority w:val="49"/>
    <w:semiHidden/>
    <w:rsid w:val="00EE260D"/>
    <w:rPr>
      <w:rFonts w:asciiTheme="minorHAnsi" w:hAnsiTheme="minorHAnsi"/>
      <w:b w:val="0"/>
      <w:color w:val="000000" w:themeColor="text1"/>
    </w:rPr>
  </w:style>
  <w:style w:type="character" w:styleId="PlaceholderText">
    <w:name w:val="Placeholder Text"/>
    <w:basedOn w:val="DefaultParagraphFont"/>
    <w:uiPriority w:val="99"/>
    <w:semiHidden/>
    <w:rsid w:val="00EE260D"/>
    <w:rPr>
      <w:color w:val="808080"/>
    </w:rPr>
  </w:style>
  <w:style w:type="table" w:styleId="PlainTable4">
    <w:name w:val="Plain Table 4"/>
    <w:basedOn w:val="TableNormal"/>
    <w:uiPriority w:val="44"/>
    <w:rsid w:val="00EE260D"/>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A62C3F"/>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A62C3F"/>
    <w:rPr>
      <w:rFonts w:eastAsiaTheme="minorEastAsia"/>
      <w:i/>
      <w:iCs/>
      <w:color w:val="000000" w:themeColor="text1"/>
      <w:sz w:val="18"/>
      <w:szCs w:val="18"/>
      <w:lang w:eastAsia="en-AU"/>
    </w:rPr>
  </w:style>
  <w:style w:type="paragraph" w:customStyle="1" w:styleId="ReportDate">
    <w:name w:val="ReportDate"/>
    <w:uiPriority w:val="79"/>
    <w:semiHidden/>
    <w:rsid w:val="00EE260D"/>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13"/>
    <w:semiHidden/>
    <w:qFormat/>
    <w:rsid w:val="00EE260D"/>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437262"/>
    <w:pPr>
      <w:spacing w:before="60" w:after="60"/>
    </w:pPr>
    <w:rPr>
      <w:sz w:val="18"/>
    </w:rPr>
  </w:style>
  <w:style w:type="paragraph" w:customStyle="1" w:styleId="Tablebullet">
    <w:name w:val="Table bullet"/>
    <w:basedOn w:val="Tabletext"/>
    <w:uiPriority w:val="6"/>
    <w:rsid w:val="00EE260D"/>
    <w:pPr>
      <w:numPr>
        <w:numId w:val="31"/>
      </w:numPr>
    </w:pPr>
  </w:style>
  <w:style w:type="paragraph" w:customStyle="1" w:styleId="Tabledash">
    <w:name w:val="Table dash"/>
    <w:basedOn w:val="Tablebullet"/>
    <w:uiPriority w:val="6"/>
    <w:rsid w:val="00EE260D"/>
    <w:pPr>
      <w:numPr>
        <w:ilvl w:val="1"/>
      </w:numPr>
    </w:pPr>
  </w:style>
  <w:style w:type="paragraph" w:customStyle="1" w:styleId="Tableheader">
    <w:name w:val="Table header"/>
    <w:basedOn w:val="Tabletext"/>
    <w:uiPriority w:val="5"/>
    <w:qFormat/>
    <w:rsid w:val="00C166DB"/>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EE260D"/>
    <w:pPr>
      <w:numPr>
        <w:ilvl w:val="2"/>
        <w:numId w:val="31"/>
      </w:numPr>
      <w:spacing w:before="60" w:after="60"/>
    </w:pPr>
    <w:rPr>
      <w:sz w:val="17"/>
    </w:rPr>
  </w:style>
  <w:style w:type="paragraph" w:customStyle="1" w:styleId="Tablenum2">
    <w:name w:val="Table num 2"/>
    <w:basedOn w:val="Normal"/>
    <w:uiPriority w:val="6"/>
    <w:rsid w:val="00EE260D"/>
    <w:pPr>
      <w:numPr>
        <w:ilvl w:val="3"/>
        <w:numId w:val="31"/>
      </w:numPr>
      <w:spacing w:before="60" w:after="60"/>
    </w:pPr>
    <w:rPr>
      <w:sz w:val="17"/>
    </w:rPr>
  </w:style>
  <w:style w:type="paragraph" w:customStyle="1" w:styleId="Tabletextcentred">
    <w:name w:val="Table text centred"/>
    <w:basedOn w:val="Tabletext"/>
    <w:uiPriority w:val="5"/>
    <w:qFormat/>
    <w:rsid w:val="00EE260D"/>
    <w:pPr>
      <w:jc w:val="center"/>
    </w:pPr>
  </w:style>
  <w:style w:type="paragraph" w:customStyle="1" w:styleId="Tabletextindent">
    <w:name w:val="Table text indent"/>
    <w:basedOn w:val="Tabletext"/>
    <w:uiPriority w:val="5"/>
    <w:qFormat/>
    <w:rsid w:val="00EE260D"/>
    <w:pPr>
      <w:ind w:left="288"/>
    </w:pPr>
  </w:style>
  <w:style w:type="paragraph" w:customStyle="1" w:styleId="Tabletextright">
    <w:name w:val="Table text right"/>
    <w:basedOn w:val="Tabletext"/>
    <w:uiPriority w:val="5"/>
    <w:qFormat/>
    <w:rsid w:val="00EE260D"/>
    <w:pPr>
      <w:jc w:val="right"/>
    </w:pPr>
  </w:style>
  <w:style w:type="paragraph" w:customStyle="1" w:styleId="TertiaryTitle">
    <w:name w:val="Tertiary Title"/>
    <w:next w:val="Normal"/>
    <w:uiPriority w:val="99"/>
    <w:semiHidden/>
    <w:rsid w:val="00EE260D"/>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semiHidden/>
    <w:rsid w:val="00EE260D"/>
    <w:pPr>
      <w:pBdr>
        <w:bottom w:val="single" w:sz="12" w:space="4" w:color="auto"/>
      </w:pBdr>
      <w:tabs>
        <w:tab w:val="right" w:pos="9000"/>
      </w:tabs>
      <w:ind w:right="26"/>
    </w:pPr>
    <w:rPr>
      <w:sz w:val="24"/>
      <w:szCs w:val="24"/>
    </w:rPr>
  </w:style>
  <w:style w:type="paragraph" w:styleId="TOC2">
    <w:name w:val="toc 2"/>
    <w:next w:val="Normal"/>
    <w:uiPriority w:val="39"/>
    <w:semiHidden/>
    <w:rsid w:val="00EE260D"/>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semiHidden/>
    <w:rsid w:val="00EE260D"/>
    <w:pPr>
      <w:tabs>
        <w:tab w:val="right" w:pos="9000"/>
      </w:tabs>
      <w:spacing w:before="0"/>
      <w:ind w:left="450" w:right="432"/>
      <w:contextualSpacing/>
    </w:pPr>
    <w:rPr>
      <w:noProof/>
      <w:sz w:val="18"/>
      <w:szCs w:val="18"/>
    </w:rPr>
  </w:style>
  <w:style w:type="paragraph" w:styleId="TOC4">
    <w:name w:val="toc 4"/>
    <w:basedOn w:val="TOC1"/>
    <w:next w:val="Normal"/>
    <w:uiPriority w:val="39"/>
    <w:semiHidden/>
    <w:rsid w:val="00EE260D"/>
    <w:pPr>
      <w:spacing w:before="280"/>
      <w:ind w:left="446" w:right="29" w:hanging="446"/>
    </w:pPr>
    <w:rPr>
      <w:noProof/>
      <w:lang w:eastAsia="en-US"/>
    </w:rPr>
  </w:style>
  <w:style w:type="paragraph" w:styleId="TOC5">
    <w:name w:val="toc 5"/>
    <w:basedOn w:val="TOC2"/>
    <w:next w:val="Normal"/>
    <w:uiPriority w:val="39"/>
    <w:semiHidden/>
    <w:rsid w:val="00EE260D"/>
    <w:pPr>
      <w:ind w:left="1080" w:hanging="634"/>
    </w:pPr>
    <w:rPr>
      <w:lang w:eastAsia="en-US"/>
    </w:rPr>
  </w:style>
  <w:style w:type="paragraph" w:styleId="TOC6">
    <w:name w:val="toc 6"/>
    <w:basedOn w:val="TOC3"/>
    <w:next w:val="Normal"/>
    <w:uiPriority w:val="39"/>
    <w:semiHidden/>
    <w:rsid w:val="00EE260D"/>
    <w:pPr>
      <w:ind w:left="1800" w:hanging="720"/>
    </w:pPr>
    <w:rPr>
      <w:lang w:eastAsia="en-US"/>
    </w:rPr>
  </w:style>
  <w:style w:type="paragraph" w:styleId="TOCHeading">
    <w:name w:val="TOC Heading"/>
    <w:basedOn w:val="Heading1"/>
    <w:next w:val="Normal"/>
    <w:uiPriority w:val="38"/>
    <w:semiHidden/>
    <w:rsid w:val="00EE260D"/>
    <w:pPr>
      <w:spacing w:before="440" w:after="440"/>
      <w:outlineLvl w:val="9"/>
    </w:pPr>
    <w:rPr>
      <w:spacing w:val="2"/>
    </w:rPr>
  </w:style>
  <w:style w:type="table" w:customStyle="1" w:styleId="Texttable">
    <w:name w:val="Text table"/>
    <w:basedOn w:val="TableNormal"/>
    <w:uiPriority w:val="99"/>
    <w:rsid w:val="009A6494"/>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87189D" w:themeFill="accent1"/>
      </w:tcPr>
    </w:tblStylePr>
    <w:tblStylePr w:type="lastRow">
      <w:rPr>
        <w:b/>
      </w:rPr>
      <w:tblPr/>
      <w:tcPr>
        <w:tcBorders>
          <w:top w:val="single" w:sz="6" w:space="0" w:color="71C5E8" w:themeColor="accent2"/>
          <w:left w:val="nil"/>
          <w:bottom w:val="single" w:sz="12" w:space="0" w:color="71C5E8"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9A6494"/>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87189D" w:themeFill="accent1"/>
      </w:tcPr>
    </w:tblStylePr>
    <w:tblStylePr w:type="lastRow">
      <w:rPr>
        <w:b/>
      </w:rPr>
      <w:tblPr/>
      <w:tcPr>
        <w:tcBorders>
          <w:top w:val="single" w:sz="6" w:space="0" w:color="87189D" w:themeColor="accent1"/>
          <w:left w:val="nil"/>
          <w:bottom w:val="single" w:sz="12" w:space="0" w:color="87189D"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AF0B6E"/>
    <w:pPr>
      <w:tabs>
        <w:tab w:val="num" w:pos="792"/>
      </w:tabs>
      <w:spacing w:line="264" w:lineRule="auto"/>
      <w:ind w:left="792" w:hanging="79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betterregulation.vic.gov.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betterregulation.vic.gov.au" TargetMode="External"/><Relationship Id="rId20" Type="http://schemas.openxmlformats.org/officeDocument/2006/relationships/hyperlink" Target="mailto:contact@betterreg.vic.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tact@betterreg.vic.gov.au"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mailto:IPpolicy@dtf.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Job%20Folders\0094%20-%20Regulator%20Best%20Practice%20Handbook\02.%20Working\Concepts\BRV%20report.dotx" TargetMode="External"/></Relationships>
</file>

<file path=word/theme/theme1.xml><?xml version="1.0" encoding="utf-8"?>
<a:theme xmlns:a="http://schemas.openxmlformats.org/drawingml/2006/main" name="Office Theme">
  <a:themeElements>
    <a:clrScheme name="Better Regulation">
      <a:dk1>
        <a:sysClr val="windowText" lastClr="000000"/>
      </a:dk1>
      <a:lt1>
        <a:sysClr val="window" lastClr="FFFFFF"/>
      </a:lt1>
      <a:dk2>
        <a:srgbClr val="1F2A44"/>
      </a:dk2>
      <a:lt2>
        <a:srgbClr val="D2D4DA"/>
      </a:lt2>
      <a:accent1>
        <a:srgbClr val="87189D"/>
      </a:accent1>
      <a:accent2>
        <a:srgbClr val="71C5E8"/>
      </a:accent2>
      <a:accent3>
        <a:srgbClr val="00B2A9"/>
      </a:accent3>
      <a:accent4>
        <a:srgbClr val="78BE20"/>
      </a:accent4>
      <a:accent5>
        <a:srgbClr val="AD5FB9"/>
      </a:accent5>
      <a:accent6>
        <a:srgbClr val="D0A3D7"/>
      </a:accent6>
      <a:hlink>
        <a:srgbClr val="87189D"/>
      </a:hlink>
      <a:folHlink>
        <a:srgbClr val="71C5E8"/>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SharedWithUsers xmlns="97580cac-1a46-464e-a749-263d0beaf9ec">
      <UserInfo>
        <DisplayName/>
        <AccountId xsi:nil="true"/>
        <AccountType/>
      </UserInfo>
    </SharedWithUsers>
    <MediaLengthInSeconds xmlns="c5048082-e052-44c2-9313-1529a8e2ac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5" ma:contentTypeDescription="Create a new document." ma:contentTypeScope="" ma:versionID="559acfdf00c12948a59ce0625431cf59">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efbff5a9cd8fa2b174e30a6d962fe2c7"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2.xml><?xml version="1.0" encoding="utf-8"?>
<ds:datastoreItem xmlns:ds="http://schemas.openxmlformats.org/officeDocument/2006/customXml" ds:itemID="{080A4F04-0BE7-43C1-898C-12BA35921DBA}">
  <ds:schemaRefs>
    <ds:schemaRef ds:uri="http://schemas.microsoft.com/office/2006/metadata/properties"/>
    <ds:schemaRef ds:uri="http://schemas.microsoft.com/office/infopath/2007/PartnerControls"/>
    <ds:schemaRef ds:uri="97580cac-1a46-464e-a749-263d0beaf9ec"/>
    <ds:schemaRef ds:uri="c5048082-e052-44c2-9313-1529a8e2ac53"/>
  </ds:schemaRefs>
</ds:datastoreItem>
</file>

<file path=customXml/itemProps3.xml><?xml version="1.0" encoding="utf-8"?>
<ds:datastoreItem xmlns:ds="http://schemas.openxmlformats.org/officeDocument/2006/customXml" ds:itemID="{B5C78611-CF40-4D4C-A409-FC2FB9D8F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54197-B9C9-49B9-BD7E-49660A66452E}">
  <ds:schemaRefs>
    <ds:schemaRef ds:uri="http://www.w3.org/2001/XMLSchema"/>
  </ds:schemaRefs>
</ds:datastoreItem>
</file>

<file path=customXml/itemProps5.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BRV report.dotx</Template>
  <TotalTime>97</TotalTime>
  <Pages>1</Pages>
  <Words>4324</Words>
  <Characters>24653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Links>
    <vt:vector size="30" baseType="variant">
      <vt:variant>
        <vt:i4>6750240</vt:i4>
      </vt:variant>
      <vt:variant>
        <vt:i4>12</vt:i4>
      </vt:variant>
      <vt:variant>
        <vt:i4>0</vt:i4>
      </vt:variant>
      <vt:variant>
        <vt:i4>5</vt:i4>
      </vt:variant>
      <vt:variant>
        <vt:lpwstr>http://www.betterregulation.vic.gov.au/</vt:lpwstr>
      </vt:variant>
      <vt:variant>
        <vt:lpwstr/>
      </vt:variant>
      <vt:variant>
        <vt:i4>7929948</vt:i4>
      </vt:variant>
      <vt:variant>
        <vt:i4>9</vt:i4>
      </vt:variant>
      <vt:variant>
        <vt:i4>0</vt:i4>
      </vt:variant>
      <vt:variant>
        <vt:i4>5</vt:i4>
      </vt:variant>
      <vt:variant>
        <vt:lpwstr>mailto:contact@betterreg.vic.gov.au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6750240</vt:i4>
      </vt:variant>
      <vt:variant>
        <vt:i4>3</vt:i4>
      </vt:variant>
      <vt:variant>
        <vt:i4>0</vt:i4>
      </vt:variant>
      <vt:variant>
        <vt:i4>5</vt:i4>
      </vt:variant>
      <vt:variant>
        <vt:lpwstr>http://www.betterregulation.vic.gov.au/</vt:lpwstr>
      </vt:variant>
      <vt:variant>
        <vt:lpwstr/>
      </vt:variant>
      <vt:variant>
        <vt:i4>7929948</vt:i4>
      </vt:variant>
      <vt:variant>
        <vt:i4>0</vt:i4>
      </vt:variant>
      <vt:variant>
        <vt:i4>0</vt:i4>
      </vt:variant>
      <vt:variant>
        <vt:i4>5</vt:i4>
      </vt:variant>
      <vt:variant>
        <vt:lpwstr>mailto:contact@betterreg.vic.gov.au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 (DTF)</dc:creator>
  <cp:keywords/>
  <dc:description/>
  <cp:lastModifiedBy>Lucy Farnsworth (DTF)</cp:lastModifiedBy>
  <cp:revision>40</cp:revision>
  <cp:lastPrinted>2023-03-01T21:59:00Z</cp:lastPrinted>
  <dcterms:created xsi:type="dcterms:W3CDTF">2022-12-16T13:02:00Z</dcterms:created>
  <dcterms:modified xsi:type="dcterms:W3CDTF">2023-03-01T22:00:00Z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2022-12-12T01:04:51Z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6d8523ad-fcd5-4e3a-87fc-81ddb466ed80</vt:lpwstr>
  </property>
  <property fmtid="{D5CDD505-2E9C-101B-9397-08002B2CF9AE}" pid="10" name="MSIP_Label_bb4ee517-5ca4-4fff-98d2-ed4f906edd6d_ContentBits">
    <vt:lpwstr>0</vt:lpwstr>
  </property>
  <property fmtid="{D5CDD505-2E9C-101B-9397-08002B2CF9AE}" pid="11" name="Order">
    <vt:r8>2207800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XSLStyleIconUrl">
    <vt:lpwstr>, </vt:lpwstr>
  </property>
  <property fmtid="{D5CDD505-2E9C-101B-9397-08002B2CF9AE}" pid="17" name="_ExtendedDescription">
    <vt:lpwstr/>
  </property>
  <property fmtid="{D5CDD505-2E9C-101B-9397-08002B2CF9AE}" pid="18" name="TriggerFlowInfo">
    <vt:lpwstr/>
  </property>
</Properties>
</file>