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0AEC" w14:textId="373245F4" w:rsidR="006E4A93" w:rsidRPr="000B3E94" w:rsidRDefault="00C26A62" w:rsidP="00C26A62">
      <w:pPr>
        <w:pStyle w:val="Title"/>
        <w:rPr>
          <w:color w:val="FFFFFF" w:themeColor="background1"/>
        </w:rPr>
      </w:pPr>
      <w:r w:rsidRPr="000B3E94">
        <w:rPr>
          <w:color w:val="FFFFFF" w:themeColor="background1"/>
        </w:rPr>
        <w:t>Equipping Best Practice</w:t>
      </w:r>
    </w:p>
    <w:p w14:paraId="2FB4BC94" w14:textId="113EC5FF" w:rsidR="00E00B5C" w:rsidRPr="000B3E94" w:rsidRDefault="00C26A62" w:rsidP="00C26A62">
      <w:pPr>
        <w:pStyle w:val="Subtitle"/>
        <w:rPr>
          <w:color w:val="FFFFFF" w:themeColor="background1"/>
        </w:rPr>
      </w:pPr>
      <w:r w:rsidRPr="000B3E94">
        <w:rPr>
          <w:color w:val="FFFFFF" w:themeColor="background1"/>
        </w:rPr>
        <w:t>A companion paper for Departments</w:t>
      </w:r>
    </w:p>
    <w:p w14:paraId="43B34020" w14:textId="77777777" w:rsidR="00160595" w:rsidRPr="00160595" w:rsidRDefault="00160595" w:rsidP="00160595">
      <w:pPr>
        <w:sectPr w:rsidR="00160595" w:rsidRPr="00160595" w:rsidSect="00C75370">
          <w:footerReference w:type="default" r:id="rId12"/>
          <w:headerReference w:type="first" r:id="rId13"/>
          <w:footerReference w:type="first" r:id="rId14"/>
          <w:pgSz w:w="11906" w:h="16838" w:code="9"/>
          <w:pgMar w:top="2592" w:right="1138" w:bottom="1138" w:left="1138" w:header="1138" w:footer="648" w:gutter="0"/>
          <w:cols w:space="708"/>
          <w:titlePg/>
          <w:docGrid w:linePitch="360"/>
        </w:sectPr>
      </w:pPr>
    </w:p>
    <w:p w14:paraId="4EAFD49B" w14:textId="77777777" w:rsidR="00D35CF3" w:rsidRDefault="00D35CF3" w:rsidP="00D35CF3"/>
    <w:p w14:paraId="495851B6" w14:textId="77777777" w:rsidR="00B215E7" w:rsidRPr="00C92338" w:rsidRDefault="00B215E7" w:rsidP="00B215E7">
      <w:pPr>
        <w:pStyle w:val="Insidecoverspacer"/>
        <w:spacing w:before="4400"/>
      </w:pPr>
    </w:p>
    <w:p w14:paraId="5C439E90" w14:textId="77777777" w:rsidR="00B215E7" w:rsidRDefault="00B215E7" w:rsidP="00B215E7">
      <w:pPr>
        <w:pStyle w:val="NormalTight"/>
      </w:pPr>
      <w:r>
        <w:t>Better Regulation Victoria</w:t>
      </w:r>
    </w:p>
    <w:p w14:paraId="2926E649" w14:textId="77777777" w:rsidR="00B215E7" w:rsidRDefault="00B215E7" w:rsidP="00B215E7">
      <w:pPr>
        <w:pStyle w:val="NormalTight"/>
      </w:pPr>
      <w:r>
        <w:t>GPO Box 4379</w:t>
      </w:r>
    </w:p>
    <w:p w14:paraId="545D4E8B" w14:textId="77777777" w:rsidR="00B215E7" w:rsidRDefault="00B215E7" w:rsidP="00B215E7">
      <w:pPr>
        <w:pStyle w:val="NormalTight"/>
      </w:pPr>
      <w:r>
        <w:t>Melbourne Victoria 3001 Australia</w:t>
      </w:r>
    </w:p>
    <w:p w14:paraId="1A9B040A" w14:textId="77777777" w:rsidR="00B215E7" w:rsidRDefault="00B215E7" w:rsidP="00B215E7">
      <w:pPr>
        <w:pStyle w:val="NormalTight"/>
      </w:pPr>
      <w:r>
        <w:t>Telephone: 03 7005 9772</w:t>
      </w:r>
    </w:p>
    <w:p w14:paraId="47F6A96E" w14:textId="77777777" w:rsidR="00B215E7" w:rsidRDefault="00B215E7" w:rsidP="00B215E7">
      <w:pPr>
        <w:pStyle w:val="NormalTight"/>
      </w:pPr>
      <w:r>
        <w:t xml:space="preserve">Email: </w:t>
      </w:r>
      <w:hyperlink r:id="rId15" w:history="1">
        <w:r w:rsidRPr="00457651">
          <w:rPr>
            <w:rStyle w:val="Hyperlink"/>
          </w:rPr>
          <w:t>contact@betterreg.vic.gov.au</w:t>
        </w:r>
      </w:hyperlink>
    </w:p>
    <w:p w14:paraId="5CCECAD5" w14:textId="77777777" w:rsidR="00B215E7" w:rsidRDefault="00B215E7" w:rsidP="00B215E7">
      <w:pPr>
        <w:pStyle w:val="NormalTight"/>
      </w:pPr>
      <w:r>
        <w:t xml:space="preserve">Webpage: </w:t>
      </w:r>
      <w:hyperlink r:id="rId16" w:history="1">
        <w:r w:rsidRPr="00457651">
          <w:rPr>
            <w:rStyle w:val="Hyperlink"/>
          </w:rPr>
          <w:t>www.betterregulation.vic.gov.au</w:t>
        </w:r>
      </w:hyperlink>
      <w:r>
        <w:t xml:space="preserve"> </w:t>
      </w:r>
    </w:p>
    <w:p w14:paraId="04484079" w14:textId="77777777" w:rsidR="00B215E7" w:rsidRDefault="00B215E7" w:rsidP="00B215E7">
      <w:pPr>
        <w:pStyle w:val="NormalTight"/>
      </w:pPr>
    </w:p>
    <w:p w14:paraId="62DE156E" w14:textId="77777777" w:rsidR="00B215E7" w:rsidRPr="00C92338" w:rsidRDefault="00B215E7" w:rsidP="00B215E7">
      <w:pPr>
        <w:pStyle w:val="NormalTight"/>
      </w:pPr>
      <w:r w:rsidRPr="00C92338">
        <w:t>Authorised by the Victorian Government</w:t>
      </w:r>
    </w:p>
    <w:p w14:paraId="7CE914FE" w14:textId="77777777" w:rsidR="00B215E7" w:rsidRPr="00C92338" w:rsidRDefault="00B215E7" w:rsidP="00B215E7">
      <w:pPr>
        <w:pStyle w:val="NormalTight"/>
      </w:pPr>
      <w:r w:rsidRPr="00C92338">
        <w:t>1 Treasury Place, Melbourne, 3002</w:t>
      </w:r>
    </w:p>
    <w:p w14:paraId="14D75407" w14:textId="77777777" w:rsidR="00B215E7" w:rsidRDefault="00B215E7" w:rsidP="00B215E7">
      <w:pPr>
        <w:pStyle w:val="NormalTight"/>
      </w:pPr>
    </w:p>
    <w:p w14:paraId="23BF5ED8" w14:textId="77777777" w:rsidR="00B215E7" w:rsidRDefault="00B215E7" w:rsidP="00B215E7">
      <w:pPr>
        <w:pStyle w:val="NormalTight"/>
      </w:pPr>
      <w:r>
        <w:t>© State of Victoria 2022</w:t>
      </w:r>
    </w:p>
    <w:p w14:paraId="7FA65730" w14:textId="77777777" w:rsidR="00B215E7" w:rsidRDefault="00B215E7" w:rsidP="00B215E7">
      <w:r w:rsidRPr="00C92338">
        <w:rPr>
          <w:noProof/>
        </w:rPr>
        <w:drawing>
          <wp:inline distT="0" distB="0" distL="0" distR="0" wp14:anchorId="1CAAF6A9" wp14:editId="65C56219">
            <wp:extent cx="1117460" cy="390972"/>
            <wp:effectExtent l="0" t="0" r="6985" b="9525"/>
            <wp:docPr id="5" name="Creative Commons logo">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2B6BBAA9" w14:textId="77777777" w:rsidR="00B215E7" w:rsidRDefault="00B215E7" w:rsidP="00B215E7">
      <w:pPr>
        <w:pStyle w:val="NormalTight"/>
        <w:spacing w:before="60" w:afterLines="60" w:after="144"/>
      </w:pPr>
      <w:r>
        <w:t>You are free to re</w:t>
      </w:r>
      <w:r>
        <w:noBreakHyphen/>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5EE4A05D" w14:textId="77777777" w:rsidR="00B215E7" w:rsidRDefault="00B215E7" w:rsidP="00B215E7">
      <w:pPr>
        <w:pStyle w:val="NormalTight"/>
        <w:spacing w:before="60" w:afterLines="60" w:after="144"/>
      </w:pPr>
      <w:r>
        <w:t xml:space="preserve">Copyright queries may be directed to </w:t>
      </w:r>
      <w:hyperlink r:id="rId19" w:history="1">
        <w:r w:rsidRPr="00457651">
          <w:rPr>
            <w:rStyle w:val="Hyperlink"/>
          </w:rPr>
          <w:t>IPpolicy@dtf.vic.gov.au</w:t>
        </w:r>
      </w:hyperlink>
    </w:p>
    <w:p w14:paraId="03E8E7C1" w14:textId="1E6F0609" w:rsidR="00B215E7" w:rsidRDefault="00B215E7" w:rsidP="00B215E7">
      <w:pPr>
        <w:pStyle w:val="NormalTight"/>
        <w:spacing w:before="60" w:afterLines="60" w:after="144"/>
      </w:pPr>
      <w:r>
        <w:t>Published</w:t>
      </w:r>
      <w:r w:rsidRPr="006E47AA">
        <w:t xml:space="preserve"> </w:t>
      </w:r>
      <w:r>
        <w:t>September 2022</w:t>
      </w:r>
    </w:p>
    <w:p w14:paraId="190F9408" w14:textId="77777777" w:rsidR="00B215E7" w:rsidRDefault="00B215E7" w:rsidP="00B215E7">
      <w:pPr>
        <w:pStyle w:val="NormalTight"/>
        <w:spacing w:before="60" w:afterLines="60" w:after="144"/>
      </w:pPr>
      <w:r>
        <w:t xml:space="preserve">If you would like to receive this publication in a different </w:t>
      </w:r>
      <w:proofErr w:type="gramStart"/>
      <w:r>
        <w:t>format</w:t>
      </w:r>
      <w:proofErr w:type="gramEnd"/>
      <w:r>
        <w:t xml:space="preserve"> please email </w:t>
      </w:r>
      <w:hyperlink r:id="rId20" w:history="1">
        <w:r w:rsidRPr="00457651">
          <w:rPr>
            <w:rStyle w:val="Hyperlink"/>
          </w:rPr>
          <w:t>contact@betterreg.vic.gov.au</w:t>
        </w:r>
      </w:hyperlink>
    </w:p>
    <w:p w14:paraId="05AEC43C" w14:textId="77777777" w:rsidR="00B215E7" w:rsidRDefault="00B215E7" w:rsidP="00B215E7">
      <w:pPr>
        <w:pStyle w:val="NormalTight"/>
        <w:spacing w:before="60" w:afterLines="60" w:after="144"/>
      </w:pPr>
      <w:r>
        <w:t xml:space="preserve">This document is also available in Word and PDF formats at </w:t>
      </w:r>
      <w:hyperlink r:id="rId21" w:history="1">
        <w:r w:rsidRPr="00457651">
          <w:rPr>
            <w:rStyle w:val="Hyperlink"/>
          </w:rPr>
          <w:t>www.betterregulation.vic.gov.au</w:t>
        </w:r>
      </w:hyperlink>
    </w:p>
    <w:p w14:paraId="0ECCDF1A" w14:textId="77777777" w:rsidR="00C671DA" w:rsidRDefault="00C671DA" w:rsidP="00E00B5C">
      <w:pPr>
        <w:sectPr w:rsidR="00C671DA" w:rsidSect="007F29C2">
          <w:headerReference w:type="default" r:id="rId22"/>
          <w:pgSz w:w="11906" w:h="16838"/>
          <w:pgMar w:top="1134" w:right="1134" w:bottom="1134" w:left="1701" w:header="1701" w:footer="1134" w:gutter="0"/>
          <w:cols w:space="708"/>
          <w:docGrid w:linePitch="360"/>
        </w:sectPr>
      </w:pPr>
    </w:p>
    <w:p w14:paraId="14A8065C" w14:textId="77777777" w:rsidR="00C26A62" w:rsidRPr="005C5626" w:rsidRDefault="00C26A62" w:rsidP="008A6C60">
      <w:pPr>
        <w:pStyle w:val="Heading1"/>
        <w:spacing w:before="0"/>
      </w:pPr>
      <w:r w:rsidRPr="005C5626">
        <w:lastRenderedPageBreak/>
        <w:t xml:space="preserve">How can Departments support regulators to deliver ‘best practice’? </w:t>
      </w:r>
    </w:p>
    <w:p w14:paraId="0D08C2E1" w14:textId="77777777" w:rsidR="00C26A62" w:rsidRPr="005C5626" w:rsidRDefault="00C26A62" w:rsidP="00C26A62">
      <w:r w:rsidRPr="005C5626">
        <w:t>This paper is a companion and support to the Best Practice Guide for Regulators (</w:t>
      </w:r>
      <w:r w:rsidRPr="005C5626">
        <w:rPr>
          <w:i/>
          <w:iCs/>
        </w:rPr>
        <w:t xml:space="preserve">Towards Best Practice, BRV, 2022) </w:t>
      </w:r>
      <w:r w:rsidRPr="005C5626">
        <w:t xml:space="preserve">with specific suggestions about how its principles can be used by departments to support policy development in terms of regulatory settings, having regard to Statements of Expectations. </w:t>
      </w:r>
    </w:p>
    <w:p w14:paraId="4F6CE679" w14:textId="77777777" w:rsidR="00C26A62" w:rsidRPr="005C5626" w:rsidRDefault="00C26A62" w:rsidP="00C26A62">
      <w:pPr>
        <w:pStyle w:val="Heading2"/>
        <w:rPr>
          <w:rFonts w:eastAsia="VIC"/>
        </w:rPr>
      </w:pPr>
      <w:r w:rsidRPr="005C5626">
        <w:rPr>
          <w:rFonts w:eastAsia="VIC"/>
        </w:rPr>
        <w:t>Background</w:t>
      </w:r>
    </w:p>
    <w:p w14:paraId="1FD282FB" w14:textId="4B9A22D4" w:rsidR="00C26A62" w:rsidRPr="005C5626" w:rsidRDefault="00C26A62" w:rsidP="00C26A62">
      <w:pPr>
        <w:rPr>
          <w:rFonts w:eastAsia="VIC"/>
        </w:rPr>
      </w:pPr>
      <w:r w:rsidRPr="005C5626">
        <w:rPr>
          <w:rFonts w:eastAsia="VIC"/>
        </w:rPr>
        <w:t xml:space="preserve">In 2022, Better Regulation Victoria (BRV) released the </w:t>
      </w:r>
      <w:r w:rsidRPr="005C5626">
        <w:rPr>
          <w:rFonts w:eastAsia="VIC"/>
          <w:i/>
          <w:iCs/>
        </w:rPr>
        <w:t>Towards Best Practice G</w:t>
      </w:r>
      <w:r w:rsidRPr="005C5626">
        <w:rPr>
          <w:rFonts w:eastAsia="VIC"/>
        </w:rPr>
        <w:t>uide for regulators</w:t>
      </w:r>
      <w:r>
        <w:rPr>
          <w:rFonts w:eastAsia="VIC"/>
        </w:rPr>
        <w:t xml:space="preserve">. </w:t>
      </w:r>
      <w:r w:rsidRPr="005C5626">
        <w:rPr>
          <w:rFonts w:eastAsia="VIC"/>
        </w:rPr>
        <w:t xml:space="preserve">This Guide supports regulators to improve their performance by setting out ten principles of Best Practice on which regulators can base their strategies and operations. </w:t>
      </w:r>
    </w:p>
    <w:p w14:paraId="69F7948C" w14:textId="77777777" w:rsidR="00C26A62" w:rsidRPr="005C5626" w:rsidRDefault="00C26A62" w:rsidP="00C26A62">
      <w:pPr>
        <w:rPr>
          <w:rFonts w:eastAsia="VIC"/>
        </w:rPr>
      </w:pPr>
      <w:r w:rsidRPr="005C5626">
        <w:rPr>
          <w:rFonts w:eastAsia="VIC"/>
        </w:rPr>
        <w:t xml:space="preserve">It meets regulator needs through clear expectations about what Best Practice means for regulator practice and operations. It is available at: </w:t>
      </w:r>
      <w:hyperlink r:id="rId23">
        <w:r w:rsidRPr="005C5626">
          <w:rPr>
            <w:rFonts w:eastAsia="VIC"/>
            <w:color w:val="78BE20" w:themeColor="hyperlink"/>
            <w:u w:val="single"/>
          </w:rPr>
          <w:t>https://www.vic.gov.au/towards-best-practice-guide-regulators</w:t>
        </w:r>
      </w:hyperlink>
      <w:r w:rsidRPr="005C5626">
        <w:rPr>
          <w:rFonts w:eastAsia="VIC"/>
          <w:i/>
          <w:iCs/>
        </w:rPr>
        <w:t xml:space="preserve"> </w:t>
      </w:r>
    </w:p>
    <w:p w14:paraId="5A0AB5FE" w14:textId="77777777" w:rsidR="00C26A62" w:rsidRPr="005C5626" w:rsidRDefault="00C26A62" w:rsidP="00C26A62">
      <w:pPr>
        <w:rPr>
          <w:rFonts w:eastAsia="VIC"/>
          <w:i/>
          <w:iCs/>
        </w:rPr>
      </w:pPr>
      <w:r w:rsidRPr="005C5626">
        <w:rPr>
          <w:rFonts w:eastAsia="VIC"/>
        </w:rPr>
        <w:t>The Guide has been well received by regulators and has been incorporated into their strategic development work.</w:t>
      </w:r>
    </w:p>
    <w:p w14:paraId="34FB53AB" w14:textId="77777777" w:rsidR="00C26A62" w:rsidRPr="005C5626" w:rsidRDefault="00C26A62" w:rsidP="00C26A62">
      <w:pPr>
        <w:pStyle w:val="Heading2"/>
        <w:rPr>
          <w:rFonts w:eastAsia="VIC"/>
        </w:rPr>
      </w:pPr>
      <w:r w:rsidRPr="005C5626">
        <w:rPr>
          <w:rFonts w:eastAsia="VIC"/>
        </w:rPr>
        <w:t>Relevance to departments</w:t>
      </w:r>
    </w:p>
    <w:p w14:paraId="28C58E61" w14:textId="77777777" w:rsidR="00C26A62" w:rsidRPr="005C5626" w:rsidRDefault="00C26A62" w:rsidP="00C26A62">
      <w:pPr>
        <w:rPr>
          <w:rFonts w:eastAsia="VIC"/>
        </w:rPr>
      </w:pPr>
      <w:r w:rsidRPr="005C5626">
        <w:rPr>
          <w:rFonts w:eastAsia="VIC"/>
        </w:rPr>
        <w:t xml:space="preserve">Departments’ work in policy development often impacts on regulation settings and design, and departments also develop – for Ministers’ consideration and approval – regulators’ Statements of Expectations Departments may also be involved in a range of other roles including as author of the regulator’s statute, policy development relating to the regulator, providing advice on funding decisions, delegating powers, and advising on the appointment of people to key roles, and advocate. This paper helps departments by outlining considerations for these varied roles. </w:t>
      </w:r>
    </w:p>
    <w:p w14:paraId="3DF3EF1D" w14:textId="77777777" w:rsidR="00C26A62" w:rsidRPr="005C5626" w:rsidRDefault="00C26A62" w:rsidP="00C26A62">
      <w:pPr>
        <w:rPr>
          <w:rFonts w:eastAsia="VIC"/>
        </w:rPr>
      </w:pPr>
      <w:r w:rsidRPr="005C5626">
        <w:rPr>
          <w:rFonts w:eastAsia="VIC"/>
        </w:rPr>
        <w:t xml:space="preserve">Departments may also have specific regulatory roles including as a duty holder or regulated entity, advocate for other duty holders or stakeholders, peer in the broader regulatory or policy environment, or source of data or information relevant to the regulator’s role. Departments should exercise these roles </w:t>
      </w:r>
      <w:proofErr w:type="gramStart"/>
      <w:r w:rsidRPr="005C5626">
        <w:rPr>
          <w:rFonts w:eastAsia="VIC"/>
        </w:rPr>
        <w:t>with regard to</w:t>
      </w:r>
      <w:proofErr w:type="gramEnd"/>
      <w:r w:rsidRPr="005C5626">
        <w:rPr>
          <w:rFonts w:eastAsia="VIC"/>
        </w:rPr>
        <w:t xml:space="preserve"> their essential contribution to supporting regulator integrity and performance. </w:t>
      </w:r>
    </w:p>
    <w:p w14:paraId="2BF29900" w14:textId="77777777" w:rsidR="00C26A62" w:rsidRPr="005C5626" w:rsidRDefault="00C26A62" w:rsidP="00C26A62">
      <w:pPr>
        <w:rPr>
          <w:rFonts w:eastAsia="VIC"/>
        </w:rPr>
      </w:pPr>
      <w:r w:rsidRPr="005C5626">
        <w:rPr>
          <w:rFonts w:eastAsia="VIC"/>
        </w:rPr>
        <w:t xml:space="preserve">Given the importance of effective engagement between departments and the regulators in their portfolios across these varied roles, BRV has outlined in this short paper how each of the ten Best Practice principles for regulators is relevant to the way in which departments undertake sound policy development for regulations and regulatory operations. </w:t>
      </w:r>
    </w:p>
    <w:p w14:paraId="14E451FF" w14:textId="3D51C0EC" w:rsidR="00C26A62" w:rsidRPr="005C5626" w:rsidRDefault="00C26A62" w:rsidP="00C26A62">
      <w:r w:rsidRPr="005C5626">
        <w:t>In BRV’s experience, the best regulatory outcomes are achieved when regulators and departments support and respect each other’s roles and have genuine engagement</w:t>
      </w:r>
      <w:r>
        <w:t xml:space="preserve">. </w:t>
      </w:r>
    </w:p>
    <w:p w14:paraId="162A5192" w14:textId="77777777" w:rsidR="00C26A62" w:rsidRPr="005C5626" w:rsidRDefault="00C26A62" w:rsidP="00C26A62">
      <w:pPr>
        <w:keepNext/>
      </w:pPr>
      <w:r w:rsidRPr="005C5626">
        <w:lastRenderedPageBreak/>
        <w:t>This paper also relates to other essential roles in enabling better regulatory practice, through:</w:t>
      </w:r>
    </w:p>
    <w:p w14:paraId="70880EC6" w14:textId="2D09464A" w:rsidR="00C26A62" w:rsidRPr="005C5626" w:rsidRDefault="00C26A62" w:rsidP="00C26A62">
      <w:pPr>
        <w:pStyle w:val="Bullet1"/>
        <w:keepNext/>
        <w:rPr>
          <w:rFonts w:eastAsiaTheme="minorEastAsia"/>
        </w:rPr>
      </w:pPr>
      <w:r w:rsidRPr="005C5626">
        <w:t>ensuring that policy changes which will impact on regulators are feasible in terms of regulator capacity and capability, and the tools and powers they require to be effective</w:t>
      </w:r>
    </w:p>
    <w:p w14:paraId="2EABBFBC" w14:textId="41A014CB" w:rsidR="00C26A62" w:rsidRPr="005C5626" w:rsidRDefault="00C26A62" w:rsidP="00C26A62">
      <w:pPr>
        <w:pStyle w:val="Bullet1"/>
        <w:rPr>
          <w:rFonts w:eastAsiaTheme="minorEastAsia"/>
        </w:rPr>
      </w:pPr>
      <w:r w:rsidRPr="005C5626">
        <w:t xml:space="preserve">ensuring appropriate funding arrangements which recognise the functions of regulators, and the costs regulators bear in terms of compliance with internal-to-government requirements </w:t>
      </w:r>
    </w:p>
    <w:p w14:paraId="0DE7683D" w14:textId="4CA9764A" w:rsidR="00C26A62" w:rsidRPr="005C5626" w:rsidRDefault="00C26A62" w:rsidP="00C26A62">
      <w:pPr>
        <w:pStyle w:val="Bullet1"/>
      </w:pPr>
      <w:r w:rsidRPr="005C5626">
        <w:rPr>
          <w:rFonts w:eastAsiaTheme="minorEastAsia"/>
        </w:rPr>
        <w:t xml:space="preserve">defining the scope of discretion for regulators, in relation to statutory decisions </w:t>
      </w:r>
    </w:p>
    <w:p w14:paraId="0196B6F1" w14:textId="2AE7A4C5" w:rsidR="00C26A62" w:rsidRPr="005C5626" w:rsidRDefault="00C26A62" w:rsidP="00C26A62">
      <w:pPr>
        <w:pStyle w:val="Bullet1"/>
      </w:pPr>
      <w:r w:rsidRPr="005C5626">
        <w:t>facilitating discussions with Ministers and other departments</w:t>
      </w:r>
    </w:p>
    <w:p w14:paraId="0DF4F9AB" w14:textId="2E852345" w:rsidR="00C26A62" w:rsidRPr="005C5626" w:rsidRDefault="00C26A62" w:rsidP="00C26A62">
      <w:pPr>
        <w:pStyle w:val="Bullet1"/>
      </w:pPr>
      <w:r w:rsidRPr="005C5626">
        <w:t xml:space="preserve">providing appropriate support and access to departmental capabilities </w:t>
      </w:r>
    </w:p>
    <w:p w14:paraId="0A1ADEDB" w14:textId="61A5AC46" w:rsidR="00C26A62" w:rsidRPr="005C5626" w:rsidRDefault="00C26A62" w:rsidP="00C26A62">
      <w:pPr>
        <w:pStyle w:val="Bullet1"/>
      </w:pPr>
      <w:r w:rsidRPr="005C5626">
        <w:t>listening to regulator needs, and responding to their challenges</w:t>
      </w:r>
    </w:p>
    <w:p w14:paraId="43E42C58" w14:textId="49260CEA" w:rsidR="00C26A62" w:rsidRPr="005C5626" w:rsidRDefault="00C26A62" w:rsidP="00C26A62">
      <w:pPr>
        <w:pStyle w:val="Bullet1"/>
      </w:pPr>
      <w:r w:rsidRPr="005C5626">
        <w:t>setting performance measures which enable benefits and costs of regulation and regulator activity to be clearly understood.</w:t>
      </w:r>
    </w:p>
    <w:p w14:paraId="231A5F66" w14:textId="77777777" w:rsidR="006638D9" w:rsidRDefault="006638D9" w:rsidP="006638D9">
      <w:pPr>
        <w:pStyle w:val="Bullet1"/>
        <w:numPr>
          <w:ilvl w:val="0"/>
          <w:numId w:val="0"/>
        </w:numPr>
      </w:pPr>
    </w:p>
    <w:p w14:paraId="2B654E96" w14:textId="00ED1A66" w:rsidR="006638D9" w:rsidRPr="00AE5771" w:rsidRDefault="006638D9" w:rsidP="006638D9">
      <w:pPr>
        <w:pStyle w:val="Bullet1"/>
        <w:numPr>
          <w:ilvl w:val="0"/>
          <w:numId w:val="0"/>
        </w:numPr>
        <w:rPr>
          <w:b/>
          <w:bCs/>
          <w:sz w:val="24"/>
          <w:szCs w:val="24"/>
        </w:rPr>
      </w:pPr>
      <w:r w:rsidRPr="00AE5771">
        <w:rPr>
          <w:b/>
          <w:bCs/>
          <w:sz w:val="24"/>
          <w:szCs w:val="24"/>
        </w:rPr>
        <w:t>Regulator guidance package</w:t>
      </w:r>
    </w:p>
    <w:p w14:paraId="68848790" w14:textId="76D7CCFC" w:rsidR="006638D9" w:rsidRDefault="40973759" w:rsidP="22D9C0BA">
      <w:r>
        <w:t xml:space="preserve">This paper is part of a package of guidance that support the different parties involved in regulatory delivery. </w:t>
      </w:r>
      <w:r w:rsidR="73509DA0">
        <w:t xml:space="preserve">It should be read in conjunction with </w:t>
      </w:r>
      <w:r w:rsidR="73509DA0" w:rsidRPr="22D9C0BA">
        <w:rPr>
          <w:i/>
          <w:iCs/>
        </w:rPr>
        <w:t xml:space="preserve">Towards Best Practice. </w:t>
      </w:r>
      <w:r w:rsidR="73509DA0" w:rsidRPr="22D9C0BA">
        <w:t xml:space="preserve">The Explanatory Guide can also assist with interpretation of the principles. </w:t>
      </w:r>
    </w:p>
    <w:p w14:paraId="201272D6" w14:textId="3361F716" w:rsidR="00F41A91" w:rsidRPr="00A402BE" w:rsidRDefault="00F41A91" w:rsidP="006638D9">
      <w:pPr>
        <w:pStyle w:val="Bullet1"/>
        <w:numPr>
          <w:ilvl w:val="0"/>
          <w:numId w:val="0"/>
        </w:numPr>
        <w:ind w:left="360" w:hanging="360"/>
        <w:rPr>
          <w:rFonts w:ascii="VIC" w:eastAsia="VIC" w:hAnsi="VIC" w:cs="VIC"/>
        </w:rPr>
      </w:pPr>
      <w:r w:rsidRPr="00F41A91">
        <w:rPr>
          <w:rFonts w:ascii="VIC" w:eastAsia="VIC" w:hAnsi="VIC" w:cs="VIC"/>
          <w:noProof/>
        </w:rPr>
        <w:drawing>
          <wp:inline distT="0" distB="0" distL="0" distR="0" wp14:anchorId="5050D6A4" wp14:editId="6151BE1B">
            <wp:extent cx="5731510" cy="3439795"/>
            <wp:effectExtent l="19050" t="0" r="2540" b="27305"/>
            <wp:docPr id="24" name="Diagram 24">
              <a:extLst xmlns:a="http://schemas.openxmlformats.org/drawingml/2006/main">
                <a:ext uri="{FF2B5EF4-FFF2-40B4-BE49-F238E27FC236}">
                  <a16:creationId xmlns:a16="http://schemas.microsoft.com/office/drawing/2014/main" id="{562D49B6-42E5-965A-4FC0-B09CA8A570B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03CABA1" w14:textId="43F08E1B" w:rsidR="006638D9" w:rsidRDefault="00541B8F" w:rsidP="00541B8F">
      <w:pPr>
        <w:keepLines w:val="0"/>
        <w:spacing w:before="0" w:after="160" w:line="259" w:lineRule="auto"/>
      </w:pPr>
      <w:r>
        <w:br w:type="page"/>
      </w:r>
    </w:p>
    <w:p w14:paraId="6A4738FD" w14:textId="6CEC8AC4" w:rsidR="00C26A62" w:rsidRPr="005C5626" w:rsidRDefault="00C26A62" w:rsidP="00C26A62">
      <w:r w:rsidRPr="005C5626">
        <w:lastRenderedPageBreak/>
        <w:t xml:space="preserve">In the table below, BRV has set out the ten Best Practice principles, highlighted the relevance of each of them for departments and made specific suggestions about actions departments could take to support the Best Practice principles in underpinning their own work and that of regulators. </w:t>
      </w:r>
    </w:p>
    <w:tbl>
      <w:tblPr>
        <w:tblStyle w:val="Texttable"/>
        <w:tblW w:w="5000" w:type="pct"/>
        <w:tblLook w:val="04A0" w:firstRow="1" w:lastRow="0" w:firstColumn="1" w:lastColumn="0" w:noHBand="0" w:noVBand="1"/>
      </w:tblPr>
      <w:tblGrid>
        <w:gridCol w:w="2005"/>
        <w:gridCol w:w="2006"/>
        <w:gridCol w:w="5015"/>
      </w:tblGrid>
      <w:tr w:rsidR="00C26A62" w:rsidRPr="00C26A62" w14:paraId="7EED62B5" w14:textId="77777777" w:rsidTr="00C26A62">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111" w:type="pct"/>
          </w:tcPr>
          <w:p w14:paraId="1CCECF93" w14:textId="77777777" w:rsidR="00C26A62" w:rsidRPr="00C26A62" w:rsidRDefault="00C26A62" w:rsidP="00C26A62">
            <w:pPr>
              <w:pStyle w:val="Tableheader"/>
            </w:pPr>
            <w:r w:rsidRPr="00C26A62">
              <w:t>Better Practice Principle</w:t>
            </w:r>
          </w:p>
        </w:tc>
        <w:tc>
          <w:tcPr>
            <w:tcW w:w="1111" w:type="pct"/>
          </w:tcPr>
          <w:p w14:paraId="44FDF54C" w14:textId="77777777" w:rsidR="00C26A62" w:rsidRPr="00C26A62" w:rsidRDefault="00C26A62" w:rsidP="00C26A62">
            <w:pPr>
              <w:pStyle w:val="Tableheader"/>
              <w:cnfStyle w:val="100000000000" w:firstRow="1" w:lastRow="0" w:firstColumn="0" w:lastColumn="0" w:oddVBand="0" w:evenVBand="0" w:oddHBand="0" w:evenHBand="0" w:firstRowFirstColumn="0" w:firstRowLastColumn="0" w:lastRowFirstColumn="0" w:lastRowLastColumn="0"/>
            </w:pPr>
            <w:r w:rsidRPr="00C26A62">
              <w:t>Theme</w:t>
            </w:r>
          </w:p>
        </w:tc>
        <w:tc>
          <w:tcPr>
            <w:tcW w:w="2778" w:type="pct"/>
          </w:tcPr>
          <w:p w14:paraId="5DB8359B" w14:textId="77777777" w:rsidR="00C26A62" w:rsidRPr="00C26A62" w:rsidRDefault="00C26A62" w:rsidP="00C26A62">
            <w:pPr>
              <w:pStyle w:val="Tableheader"/>
              <w:cnfStyle w:val="100000000000" w:firstRow="1" w:lastRow="0" w:firstColumn="0" w:lastColumn="0" w:oddVBand="0" w:evenVBand="0" w:oddHBand="0" w:evenHBand="0" w:firstRowFirstColumn="0" w:firstRowLastColumn="0" w:lastRowFirstColumn="0" w:lastRowLastColumn="0"/>
            </w:pPr>
            <w:r w:rsidRPr="00C26A62">
              <w:t>Action</w:t>
            </w:r>
          </w:p>
        </w:tc>
      </w:tr>
      <w:tr w:rsidR="00C26A62" w:rsidRPr="005C5626" w14:paraId="0E179116" w14:textId="77777777" w:rsidTr="00C26A62">
        <w:trPr>
          <w:cantSplit w:val="0"/>
        </w:trPr>
        <w:tc>
          <w:tcPr>
            <w:cnfStyle w:val="001000000000" w:firstRow="0" w:lastRow="0" w:firstColumn="1" w:lastColumn="0" w:oddVBand="0" w:evenVBand="0" w:oddHBand="0" w:evenHBand="0" w:firstRowFirstColumn="0" w:firstRowLastColumn="0" w:lastRowFirstColumn="0" w:lastRowLastColumn="0"/>
            <w:tcW w:w="1111" w:type="pct"/>
          </w:tcPr>
          <w:p w14:paraId="73F0AD11" w14:textId="77777777" w:rsidR="00C26A62" w:rsidRPr="00C26A62" w:rsidRDefault="00C26A62" w:rsidP="00C26A62">
            <w:pPr>
              <w:pStyle w:val="Tabletext"/>
              <w:rPr>
                <w:rFonts w:asciiTheme="majorHAnsi" w:hAnsiTheme="majorHAnsi"/>
              </w:rPr>
            </w:pPr>
            <w:r w:rsidRPr="00C26A62">
              <w:rPr>
                <w:rFonts w:asciiTheme="majorHAnsi" w:hAnsiTheme="majorHAnsi"/>
              </w:rPr>
              <w:t>Principle 1: Be clear on your regulatory outcome and the harms you are trying to minimise</w:t>
            </w:r>
          </w:p>
        </w:tc>
        <w:tc>
          <w:tcPr>
            <w:tcW w:w="1111" w:type="pct"/>
            <w:vMerge w:val="restart"/>
          </w:tcPr>
          <w:p w14:paraId="732C53FE" w14:textId="77777777" w:rsidR="00C26A62" w:rsidRPr="00C26A62" w:rsidRDefault="00C26A62" w:rsidP="00C26A62">
            <w:pPr>
              <w:pStyle w:val="Tabletext"/>
              <w:cnfStyle w:val="000000000000" w:firstRow="0" w:lastRow="0" w:firstColumn="0" w:lastColumn="0" w:oddVBand="0" w:evenVBand="0" w:oddHBand="0" w:evenHBand="0" w:firstRowFirstColumn="0" w:firstRowLastColumn="0" w:lastRowFirstColumn="0" w:lastRowLastColumn="0"/>
            </w:pPr>
            <w:r w:rsidRPr="00C26A62">
              <w:rPr>
                <w:rFonts w:eastAsia="MS Mincho"/>
              </w:rPr>
              <w:t>Engaging with regulators to understand their regulatory context and ensure any regulatory changes support them in their role</w:t>
            </w:r>
          </w:p>
        </w:tc>
        <w:tc>
          <w:tcPr>
            <w:tcW w:w="2778" w:type="pct"/>
          </w:tcPr>
          <w:p w14:paraId="069F29FE"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Actively support the regulator to meet its objectives to minimise harms, and any specific ministerial expectations. </w:t>
            </w:r>
          </w:p>
          <w:p w14:paraId="231AAC59"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Account for the regulator’s activities in their broader service delivery and policy responsibilities. </w:t>
            </w:r>
          </w:p>
          <w:p w14:paraId="51529937"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Assist the regulator to identify new harms and to adapt in challenging policy and regulatory contexts. </w:t>
            </w:r>
          </w:p>
          <w:p w14:paraId="68CCA660"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Adequately account for the expectations on the regulator and the nature of harms, in resourcing and funding arrangements</w:t>
            </w:r>
          </w:p>
        </w:tc>
      </w:tr>
      <w:tr w:rsidR="00C26A62" w:rsidRPr="005C5626" w14:paraId="667249DF" w14:textId="77777777" w:rsidTr="00C26A6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11" w:type="pct"/>
          </w:tcPr>
          <w:p w14:paraId="3925B529" w14:textId="77777777" w:rsidR="00C26A62" w:rsidRPr="00C26A62" w:rsidRDefault="00C26A62" w:rsidP="00C26A62">
            <w:pPr>
              <w:pStyle w:val="Tabletext"/>
              <w:rPr>
                <w:rFonts w:asciiTheme="majorHAnsi" w:eastAsia="MS Mincho" w:hAnsiTheme="majorHAnsi" w:cs="Times New Roman"/>
              </w:rPr>
            </w:pPr>
            <w:r w:rsidRPr="00C26A62">
              <w:rPr>
                <w:rFonts w:asciiTheme="majorHAnsi" w:eastAsia="MS Mincho" w:hAnsiTheme="majorHAnsi" w:cs="Times New Roman"/>
              </w:rPr>
              <w:t xml:space="preserve">Principle 2: </w:t>
            </w:r>
            <w:r w:rsidRPr="00C26A62">
              <w:rPr>
                <w:rFonts w:asciiTheme="majorHAnsi" w:hAnsiTheme="majorHAnsi"/>
              </w:rPr>
              <w:t>Establish and refine your approach to minimising harms</w:t>
            </w:r>
          </w:p>
        </w:tc>
        <w:tc>
          <w:tcPr>
            <w:tcW w:w="1111" w:type="pct"/>
            <w:vMerge/>
          </w:tcPr>
          <w:p w14:paraId="76A3BA43" w14:textId="77777777" w:rsidR="00C26A62" w:rsidRPr="00C26A62" w:rsidRDefault="00C26A62" w:rsidP="009340F8">
            <w:pPr>
              <w:spacing w:before="20"/>
              <w:cnfStyle w:val="000000010000" w:firstRow="0" w:lastRow="0" w:firstColumn="0" w:lastColumn="0" w:oddVBand="0" w:evenVBand="0" w:oddHBand="0" w:evenHBand="1" w:firstRowFirstColumn="0" w:firstRowLastColumn="0" w:lastRowFirstColumn="0" w:lastRowLastColumn="0"/>
            </w:pPr>
          </w:p>
        </w:tc>
        <w:tc>
          <w:tcPr>
            <w:tcW w:w="2778" w:type="pct"/>
          </w:tcPr>
          <w:p w14:paraId="022D8A6A"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Consult regulators on the design of policy and regulations, considering feasibility to implement and enforce, and the different regulatory approaches required to implement (e.g., compliance monitoring, intelligence, and communications). </w:t>
            </w:r>
          </w:p>
          <w:p w14:paraId="2823B18B"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Account for the regulators’ experience and perspectives when designing policies and legislation, and in implementation planning and resourcing. </w:t>
            </w:r>
          </w:p>
          <w:p w14:paraId="7C5EDB57"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Understand and respond to the range of regulatory approaches the regulator needs to be effective at minimising harms. </w:t>
            </w:r>
          </w:p>
          <w:p w14:paraId="5E119223"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Ensure compliance monitoring and inspection program design is built into policy design, considering the practicalities of </w:t>
            </w:r>
            <w:proofErr w:type="gramStart"/>
            <w:r w:rsidRPr="00C26A62">
              <w:t>monitoring</w:t>
            </w:r>
            <w:proofErr w:type="gramEnd"/>
            <w:r w:rsidRPr="00C26A62">
              <w:t xml:space="preserve"> and enforcing compliance. </w:t>
            </w:r>
          </w:p>
          <w:p w14:paraId="63203A87"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Account for this range of regulatory approaches in governance, evaluation and budget processes, accounting for both front-line delivery and supporting capabilities including intelligence, </w:t>
            </w:r>
            <w:proofErr w:type="gramStart"/>
            <w:r w:rsidRPr="00C26A62">
              <w:t>strategy</w:t>
            </w:r>
            <w:proofErr w:type="gramEnd"/>
            <w:r w:rsidRPr="00C26A62">
              <w:t xml:space="preserve"> and operations management.</w:t>
            </w:r>
          </w:p>
        </w:tc>
      </w:tr>
      <w:tr w:rsidR="00C26A62" w:rsidRPr="005C5626" w14:paraId="07DBF883" w14:textId="77777777" w:rsidTr="00C26A62">
        <w:trPr>
          <w:cantSplit w:val="0"/>
        </w:trPr>
        <w:tc>
          <w:tcPr>
            <w:cnfStyle w:val="001000000000" w:firstRow="0" w:lastRow="0" w:firstColumn="1" w:lastColumn="0" w:oddVBand="0" w:evenVBand="0" w:oddHBand="0" w:evenHBand="0" w:firstRowFirstColumn="0" w:firstRowLastColumn="0" w:lastRowFirstColumn="0" w:lastRowLastColumn="0"/>
            <w:tcW w:w="1111" w:type="pct"/>
          </w:tcPr>
          <w:p w14:paraId="4988E161" w14:textId="77777777" w:rsidR="00C26A62" w:rsidRPr="00C26A62" w:rsidRDefault="00C26A62" w:rsidP="00C26A62">
            <w:pPr>
              <w:pStyle w:val="Tabletext"/>
              <w:rPr>
                <w:rFonts w:asciiTheme="majorHAnsi" w:hAnsiTheme="majorHAnsi"/>
              </w:rPr>
            </w:pPr>
            <w:r w:rsidRPr="00C26A62">
              <w:rPr>
                <w:rFonts w:asciiTheme="majorHAnsi" w:hAnsiTheme="majorHAnsi"/>
              </w:rPr>
              <w:t>Principle 3: Ensure your regulatory regime is fit for purpose</w:t>
            </w:r>
          </w:p>
        </w:tc>
        <w:tc>
          <w:tcPr>
            <w:tcW w:w="1111" w:type="pct"/>
          </w:tcPr>
          <w:p w14:paraId="2D44DCB5" w14:textId="0D3E9C1C" w:rsidR="00C26A62" w:rsidRPr="00C26A62" w:rsidRDefault="00C26A62" w:rsidP="00C26A62">
            <w:pPr>
              <w:pStyle w:val="Tabletext"/>
              <w:cnfStyle w:val="000000000000" w:firstRow="0" w:lastRow="0" w:firstColumn="0" w:lastColumn="0" w:oddVBand="0" w:evenVBand="0" w:oddHBand="0" w:evenHBand="0" w:firstRowFirstColumn="0" w:firstRowLastColumn="0" w:lastRowFirstColumn="0" w:lastRowLastColumn="0"/>
            </w:pPr>
            <w:r w:rsidRPr="00C26A62">
              <w:t>Regulators and departments should actively work together to ensure that the regulatory regime is fit for purpose.</w:t>
            </w:r>
          </w:p>
        </w:tc>
        <w:tc>
          <w:tcPr>
            <w:tcW w:w="2778" w:type="pct"/>
          </w:tcPr>
          <w:p w14:paraId="45D3DC87"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Prioritise legislative improvements, whether standalone or as part of broader amendments and legislative reforms. </w:t>
            </w:r>
          </w:p>
          <w:p w14:paraId="6BBFF989"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Identify opportunities to harmonise regulatory requirements across regulators and portfolios, such as in approvals, verification of applicants, assessments, </w:t>
            </w:r>
            <w:proofErr w:type="gramStart"/>
            <w:r w:rsidRPr="00C26A62">
              <w:t>evidence</w:t>
            </w:r>
            <w:proofErr w:type="gramEnd"/>
            <w:r w:rsidRPr="00C26A62">
              <w:t xml:space="preserve"> and reporting.</w:t>
            </w:r>
          </w:p>
          <w:p w14:paraId="3ED4FC73"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lastRenderedPageBreak/>
              <w:t xml:space="preserve">Support the regulator to take strategic risks in testing its legislation. </w:t>
            </w:r>
          </w:p>
          <w:p w14:paraId="0BE58F0A"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Establish reporting channels to support the regulator to express its </w:t>
            </w:r>
            <w:proofErr w:type="gramStart"/>
            <w:r w:rsidRPr="00C26A62">
              <w:t>challenges, and</w:t>
            </w:r>
            <w:proofErr w:type="gramEnd"/>
            <w:r w:rsidRPr="00C26A62">
              <w:t xml:space="preserve"> establish dialogue around Ministerial expectations.</w:t>
            </w:r>
          </w:p>
          <w:p w14:paraId="00AD1C26" w14:textId="63B5149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Prioritise policy and operational resources to address highlighted gaps. </w:t>
            </w:r>
          </w:p>
          <w:p w14:paraId="0C1D830C"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Address the interface between service delivery and regulatory operations, to minimise risks of gaps, overlaps or conflicting objectives. </w:t>
            </w:r>
          </w:p>
          <w:p w14:paraId="63392166"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When managing policy, funding and service delivery functions, account for the objectives and operations of the regulator, so that duty holders do not experience inconsistent or conflicting messages. </w:t>
            </w:r>
          </w:p>
          <w:p w14:paraId="21C33AAF"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Provide a channel for regulators to voice concerns and issues around their powers, funding or other policy issues impacting on their performance, </w:t>
            </w:r>
          </w:p>
          <w:p w14:paraId="59AF07AA"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Escalate challenges of inconsistency or inefficiency between funding, service delivery and regulatory functions, so that they receive appropriate focus within the department’s plans and activities.</w:t>
            </w:r>
          </w:p>
          <w:p w14:paraId="2AC5F886"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Specifically account for the costs to regulators of meeting internal-to-government compliance standards and obligations, and their implications for funding and fees, especially for smaller regulators with limited capacity.</w:t>
            </w:r>
          </w:p>
        </w:tc>
      </w:tr>
      <w:tr w:rsidR="00C26A62" w:rsidRPr="005C5626" w14:paraId="3F551EB7" w14:textId="77777777" w:rsidTr="00C26A6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11" w:type="pct"/>
          </w:tcPr>
          <w:p w14:paraId="5B3182BF" w14:textId="527E8DFD" w:rsidR="00C26A62" w:rsidRPr="00C26A62" w:rsidRDefault="00C26A62" w:rsidP="00C26A62">
            <w:pPr>
              <w:pStyle w:val="Tabletext"/>
              <w:rPr>
                <w:rFonts w:asciiTheme="majorHAnsi" w:hAnsiTheme="majorHAnsi"/>
              </w:rPr>
            </w:pPr>
            <w:r w:rsidRPr="00C26A62">
              <w:rPr>
                <w:rFonts w:asciiTheme="majorHAnsi" w:hAnsiTheme="majorHAnsi"/>
              </w:rPr>
              <w:lastRenderedPageBreak/>
              <w:t>Principle 4: Support duty holders to understand the value of compliance and harm reduction</w:t>
            </w:r>
          </w:p>
        </w:tc>
        <w:tc>
          <w:tcPr>
            <w:tcW w:w="1111" w:type="pct"/>
            <w:vMerge w:val="restart"/>
          </w:tcPr>
          <w:p w14:paraId="4537D247" w14:textId="71D84C32" w:rsidR="00C26A62" w:rsidRPr="00C26A62" w:rsidRDefault="00C26A62" w:rsidP="00C26A62">
            <w:pPr>
              <w:pStyle w:val="Tabletext"/>
              <w:cnfStyle w:val="000000010000" w:firstRow="0" w:lastRow="0" w:firstColumn="0" w:lastColumn="0" w:oddVBand="0" w:evenVBand="0" w:oddHBand="0" w:evenHBand="1" w:firstRowFirstColumn="0" w:firstRowLastColumn="0" w:lastRowFirstColumn="0" w:lastRowLastColumn="0"/>
            </w:pPr>
            <w:r w:rsidRPr="00C26A62">
              <w:t>Evaluating and recognising the on-the-ground impacts of their legislation and policies.</w:t>
            </w:r>
          </w:p>
        </w:tc>
        <w:tc>
          <w:tcPr>
            <w:tcW w:w="2778" w:type="pct"/>
          </w:tcPr>
          <w:p w14:paraId="098ACAA2"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Make the goals of the regulator visible and connected to other policy and social objectives relevant to the portfolio. </w:t>
            </w:r>
          </w:p>
          <w:p w14:paraId="2C8C5E5A"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Explain how the regulator contributes to broader objectives. </w:t>
            </w:r>
          </w:p>
          <w:p w14:paraId="200C70B3"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Explain the importance of regulatory compliance when interacting with duty holders in other contexts, such as funding and service delivery. </w:t>
            </w:r>
          </w:p>
          <w:p w14:paraId="184C39E1"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Where applicable, provide capabilities and resources to support regulator communications and avenues for educating duty holders. </w:t>
            </w:r>
          </w:p>
        </w:tc>
      </w:tr>
      <w:tr w:rsidR="00C26A62" w:rsidRPr="005C5626" w14:paraId="3378D650" w14:textId="77777777" w:rsidTr="0062079B">
        <w:tc>
          <w:tcPr>
            <w:cnfStyle w:val="001000000000" w:firstRow="0" w:lastRow="0" w:firstColumn="1" w:lastColumn="0" w:oddVBand="0" w:evenVBand="0" w:oddHBand="0" w:evenHBand="0" w:firstRowFirstColumn="0" w:firstRowLastColumn="0" w:lastRowFirstColumn="0" w:lastRowLastColumn="0"/>
            <w:tcW w:w="1111" w:type="pct"/>
          </w:tcPr>
          <w:p w14:paraId="66FC2D3E" w14:textId="57F1CC60" w:rsidR="00C26A62" w:rsidRPr="00C26A62" w:rsidRDefault="00C26A62" w:rsidP="00C26A62">
            <w:pPr>
              <w:pStyle w:val="Tabletext"/>
              <w:rPr>
                <w:rFonts w:asciiTheme="majorHAnsi" w:hAnsiTheme="majorHAnsi"/>
              </w:rPr>
            </w:pPr>
            <w:r w:rsidRPr="00C26A62">
              <w:rPr>
                <w:rFonts w:asciiTheme="majorHAnsi" w:hAnsiTheme="majorHAnsi"/>
              </w:rPr>
              <w:lastRenderedPageBreak/>
              <w:t>Principle 5: Support duty holders to comply</w:t>
            </w:r>
          </w:p>
        </w:tc>
        <w:tc>
          <w:tcPr>
            <w:tcW w:w="1111" w:type="pct"/>
            <w:vMerge/>
          </w:tcPr>
          <w:p w14:paraId="7360909E" w14:textId="77777777" w:rsidR="00C26A62" w:rsidRPr="00C26A62" w:rsidRDefault="00C26A62" w:rsidP="009340F8">
            <w:pPr>
              <w:spacing w:before="20"/>
              <w:cnfStyle w:val="000000000000" w:firstRow="0" w:lastRow="0" w:firstColumn="0" w:lastColumn="0" w:oddVBand="0" w:evenVBand="0" w:oddHBand="0" w:evenHBand="0" w:firstRowFirstColumn="0" w:firstRowLastColumn="0" w:lastRowFirstColumn="0" w:lastRowLastColumn="0"/>
            </w:pPr>
          </w:p>
        </w:tc>
        <w:tc>
          <w:tcPr>
            <w:tcW w:w="2778" w:type="pct"/>
          </w:tcPr>
          <w:p w14:paraId="5A98E938"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reforms to regulator systems, processes and technology that seek to improve efficiency and reduce costs for duty holders. </w:t>
            </w:r>
          </w:p>
          <w:p w14:paraId="3737F1DF"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Support and equip regulators to reuse technology capability already funded by government, for example through Service Victoria</w:t>
            </w:r>
          </w:p>
          <w:p w14:paraId="7846BA65"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Support regulators to approach duty holders and citizens as a ‘customer’ of government rather than solely a ‘customer’ of the regulator and support channels/methods that enable streamlined interactions with government, having regard to the regulator’s specific requirements and obligations.</w:t>
            </w:r>
          </w:p>
          <w:p w14:paraId="4C69B259" w14:textId="227EA8AA"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Have regard to regulatory capability requirements in development of position descriptions, </w:t>
            </w:r>
            <w:proofErr w:type="gramStart"/>
            <w:r w:rsidRPr="00C26A62">
              <w:t>training</w:t>
            </w:r>
            <w:proofErr w:type="gramEnd"/>
            <w:r w:rsidRPr="00C26A62">
              <w:t xml:space="preserve"> and professional development programs. </w:t>
            </w:r>
          </w:p>
          <w:p w14:paraId="0DEBCB57"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the regulator’s knowledge management and document management needs. </w:t>
            </w:r>
          </w:p>
          <w:p w14:paraId="29E47544" w14:textId="121C1079"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workforce capability development, and accounting for the regulator’s needs in broader departmental workforce strategies, as appropriate. </w:t>
            </w:r>
          </w:p>
          <w:p w14:paraId="3C736F12"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Provide specialist expertise such as in behavioural insights and engagement. </w:t>
            </w:r>
          </w:p>
        </w:tc>
      </w:tr>
      <w:tr w:rsidR="00C26A62" w:rsidRPr="005C5626" w14:paraId="251A2355" w14:textId="77777777" w:rsidTr="00C26A6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11" w:type="pct"/>
          </w:tcPr>
          <w:p w14:paraId="6BBD8043" w14:textId="42F543C8" w:rsidR="00C26A62" w:rsidRPr="00C26A62" w:rsidRDefault="00C26A62" w:rsidP="00C26A62">
            <w:pPr>
              <w:pStyle w:val="Tabletext"/>
              <w:rPr>
                <w:rFonts w:asciiTheme="majorHAnsi" w:hAnsiTheme="majorHAnsi"/>
              </w:rPr>
            </w:pPr>
            <w:r w:rsidRPr="00C26A62">
              <w:rPr>
                <w:rFonts w:asciiTheme="majorHAnsi" w:hAnsiTheme="majorHAnsi"/>
              </w:rPr>
              <w:t>Principle 6: Target regulatory effort based on risk of harm</w:t>
            </w:r>
          </w:p>
        </w:tc>
        <w:tc>
          <w:tcPr>
            <w:tcW w:w="1111" w:type="pct"/>
            <w:vMerge/>
          </w:tcPr>
          <w:p w14:paraId="5FEE77F5" w14:textId="77777777" w:rsidR="00C26A62" w:rsidRPr="00C26A62" w:rsidRDefault="00C26A62" w:rsidP="009340F8">
            <w:pPr>
              <w:spacing w:before="20"/>
              <w:cnfStyle w:val="000000010000" w:firstRow="0" w:lastRow="0" w:firstColumn="0" w:lastColumn="0" w:oddVBand="0" w:evenVBand="0" w:oddHBand="0" w:evenHBand="1" w:firstRowFirstColumn="0" w:firstRowLastColumn="0" w:lastRowFirstColumn="0" w:lastRowLastColumn="0"/>
            </w:pPr>
          </w:p>
        </w:tc>
        <w:tc>
          <w:tcPr>
            <w:tcW w:w="2778" w:type="pct"/>
          </w:tcPr>
          <w:p w14:paraId="5A7CE850"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Establish risk-based frameworks in policy and regulation setting that can be put into practice by regulators. </w:t>
            </w:r>
          </w:p>
          <w:p w14:paraId="04E93E00"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Partner with regulators to establish and an end-to-end perspective of risk management, where evaluation of delivery informs future </w:t>
            </w:r>
            <w:proofErr w:type="gramStart"/>
            <w:r w:rsidRPr="00C26A62">
              <w:t>policy-making</w:t>
            </w:r>
            <w:proofErr w:type="gramEnd"/>
            <w:r w:rsidRPr="00C26A62">
              <w:t>.</w:t>
            </w:r>
          </w:p>
          <w:p w14:paraId="02FC3FEC" w14:textId="68BBE583"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Assessing where departments can access and provide relevant education and training on risk management and decision-making, to support regulator officer capability and consistency. </w:t>
            </w:r>
          </w:p>
          <w:p w14:paraId="222D03DF"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Consult closely with regulators in policy-making processes. </w:t>
            </w:r>
          </w:p>
          <w:p w14:paraId="33FA5243"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When producing regulatory impact analysis, provide risk assessments and analysis to regulators for their ongoing use. </w:t>
            </w:r>
          </w:p>
          <w:p w14:paraId="2532B36D"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When designing policy and legislation, have regard to compliance behaviours and how inspection and compliance monitoring is designed. </w:t>
            </w:r>
          </w:p>
        </w:tc>
      </w:tr>
      <w:tr w:rsidR="00C26A62" w:rsidRPr="005C5626" w14:paraId="06770A02" w14:textId="77777777" w:rsidTr="0062079B">
        <w:tc>
          <w:tcPr>
            <w:cnfStyle w:val="001000000000" w:firstRow="0" w:lastRow="0" w:firstColumn="1" w:lastColumn="0" w:oddVBand="0" w:evenVBand="0" w:oddHBand="0" w:evenHBand="0" w:firstRowFirstColumn="0" w:firstRowLastColumn="0" w:lastRowFirstColumn="0" w:lastRowLastColumn="0"/>
            <w:tcW w:w="1111" w:type="pct"/>
          </w:tcPr>
          <w:p w14:paraId="470680B1" w14:textId="761FD899" w:rsidR="00C26A62" w:rsidRPr="00C26A62" w:rsidRDefault="00C26A62" w:rsidP="00C26A62">
            <w:pPr>
              <w:pStyle w:val="Tabletext"/>
              <w:rPr>
                <w:rFonts w:asciiTheme="majorHAnsi" w:hAnsiTheme="majorHAnsi"/>
              </w:rPr>
            </w:pPr>
            <w:r w:rsidRPr="00C26A62">
              <w:rPr>
                <w:rFonts w:asciiTheme="majorHAnsi" w:hAnsiTheme="majorHAnsi"/>
              </w:rPr>
              <w:lastRenderedPageBreak/>
              <w:t>Principle 7: Evaluate and communicate your efforts and their impact on your regulatory outcomes</w:t>
            </w:r>
          </w:p>
        </w:tc>
        <w:tc>
          <w:tcPr>
            <w:tcW w:w="1111" w:type="pct"/>
            <w:vMerge/>
          </w:tcPr>
          <w:p w14:paraId="5F83E83B" w14:textId="77777777" w:rsidR="00C26A62" w:rsidRPr="00C26A62" w:rsidRDefault="00C26A62" w:rsidP="009340F8">
            <w:pPr>
              <w:spacing w:before="20"/>
              <w:cnfStyle w:val="000000000000" w:firstRow="0" w:lastRow="0" w:firstColumn="0" w:lastColumn="0" w:oddVBand="0" w:evenVBand="0" w:oddHBand="0" w:evenHBand="0" w:firstRowFirstColumn="0" w:firstRowLastColumn="0" w:lastRowFirstColumn="0" w:lastRowLastColumn="0"/>
            </w:pPr>
          </w:p>
        </w:tc>
        <w:tc>
          <w:tcPr>
            <w:tcW w:w="2778" w:type="pct"/>
          </w:tcPr>
          <w:p w14:paraId="627108C8"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Design policies and legislation with integrated evaluation plans that incorporate regulator reporting and other sources of information, to provide a comprehensive understanding of the efficacy of that policy or legislation. </w:t>
            </w:r>
          </w:p>
          <w:p w14:paraId="256AC955" w14:textId="192AEDF6"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Adequately resource mid-term and end of life evaluations of legislation and regulations, as appropriate to their significance. </w:t>
            </w:r>
          </w:p>
          <w:p w14:paraId="0CBA9235" w14:textId="1E3B9525"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Have an ongoing work program with the regulator to capture data and insights, including trend analysis, to inform these evaluations. </w:t>
            </w:r>
          </w:p>
          <w:p w14:paraId="6C87A3F0"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Have a clear framework for understanding the contribution of the regulator’s activities to long term outcomes and objectives, and the role of other elements or factors. </w:t>
            </w:r>
          </w:p>
          <w:p w14:paraId="2AA9203B"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Provide sufficient autonomy to the regulator to conduct its own performance assessments and to develop suitable indicators of performance and results. </w:t>
            </w:r>
          </w:p>
          <w:p w14:paraId="35463C98" w14:textId="0ABC4CD3"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Equip the regulator to evaluate their performance and implement changes were necessary to improve harm reduction, other outcomes, or Ministerial expectations. </w:t>
            </w:r>
          </w:p>
          <w:p w14:paraId="628F5FCB"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regulators to develop and utilise different ‘performance accounts’ for general operations and tailor-made interventions. </w:t>
            </w:r>
          </w:p>
          <w:p w14:paraId="315AE103"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regulators to mature evaluation from activity quotas to a balanced set of performance indicators. </w:t>
            </w:r>
          </w:p>
        </w:tc>
      </w:tr>
      <w:tr w:rsidR="00C26A62" w:rsidRPr="005C5626" w14:paraId="5B967257" w14:textId="77777777" w:rsidTr="006207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pct"/>
          </w:tcPr>
          <w:p w14:paraId="487878A2" w14:textId="634948DF" w:rsidR="00C26A62" w:rsidRPr="00C26A62" w:rsidRDefault="00C26A62" w:rsidP="00C26A62">
            <w:pPr>
              <w:pStyle w:val="Tabletext"/>
              <w:keepNext/>
              <w:rPr>
                <w:rFonts w:asciiTheme="majorHAnsi" w:hAnsiTheme="majorHAnsi"/>
              </w:rPr>
            </w:pPr>
            <w:r w:rsidRPr="00C26A62">
              <w:rPr>
                <w:rFonts w:asciiTheme="majorHAnsi" w:hAnsiTheme="majorHAnsi"/>
              </w:rPr>
              <w:lastRenderedPageBreak/>
              <w:t>Principle 8: Work with regulatory peers and partners on shared harms and risks</w:t>
            </w:r>
          </w:p>
        </w:tc>
        <w:tc>
          <w:tcPr>
            <w:tcW w:w="1111" w:type="pct"/>
          </w:tcPr>
          <w:p w14:paraId="57E3035F" w14:textId="4CEDCFCC" w:rsidR="00C26A62" w:rsidRPr="00C26A62" w:rsidRDefault="00C26A62" w:rsidP="00C26A62">
            <w:pPr>
              <w:pStyle w:val="Tabletext"/>
              <w:cnfStyle w:val="000000010000" w:firstRow="0" w:lastRow="0" w:firstColumn="0" w:lastColumn="0" w:oddVBand="0" w:evenVBand="0" w:oddHBand="0" w:evenHBand="1" w:firstRowFirstColumn="0" w:firstRowLastColumn="0" w:lastRowFirstColumn="0" w:lastRowLastColumn="0"/>
            </w:pPr>
            <w:r w:rsidRPr="00C26A62">
              <w:t>Supporting partnerships across government and at all levels</w:t>
            </w:r>
          </w:p>
        </w:tc>
        <w:tc>
          <w:tcPr>
            <w:tcW w:w="2778" w:type="pct"/>
          </w:tcPr>
          <w:p w14:paraId="3B05313F"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Consider institutional settings, co-ordination and consolidation during </w:t>
            </w:r>
            <w:proofErr w:type="gramStart"/>
            <w:r w:rsidRPr="00C26A62">
              <w:t>policy-making</w:t>
            </w:r>
            <w:proofErr w:type="gramEnd"/>
            <w:r w:rsidRPr="00C26A62">
              <w:t xml:space="preserve"> and legislation design, and seek to avoid duplication of functions and mandates </w:t>
            </w:r>
          </w:p>
          <w:p w14:paraId="513F20A4"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Develop legislation that facilitates sharing of information for a range of purposes. </w:t>
            </w:r>
          </w:p>
          <w:p w14:paraId="7DD41CD9" w14:textId="322ED1F9"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Support and facilitate agreements to share information, including leadership of service delivery and funding bodies in information sharing. </w:t>
            </w:r>
          </w:p>
          <w:p w14:paraId="4D63B8E7"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Prioritise system reforms to improve information management and sharing, considering cross-government protocols. </w:t>
            </w:r>
          </w:p>
          <w:p w14:paraId="05B94A5E"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Review consent notices and data retention and collection rules</w:t>
            </w:r>
          </w:p>
          <w:p w14:paraId="3066A076"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Support regulator improvements in information management and security. </w:t>
            </w:r>
          </w:p>
          <w:p w14:paraId="6C269E10"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Develop and coordinate initiatives that improve duty holder experience of regulation, by reducing overlap or duplication among regulators and other functions. </w:t>
            </w:r>
          </w:p>
          <w:p w14:paraId="07B8E784"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Support efforts to align and integrate information technology systems ensuring appropriate privacy and security protections are in place.</w:t>
            </w:r>
          </w:p>
        </w:tc>
      </w:tr>
      <w:tr w:rsidR="00C26A62" w:rsidRPr="005C5626" w14:paraId="6A2859A9" w14:textId="77777777" w:rsidTr="00C26A62">
        <w:trPr>
          <w:cantSplit w:val="0"/>
        </w:trPr>
        <w:tc>
          <w:tcPr>
            <w:cnfStyle w:val="001000000000" w:firstRow="0" w:lastRow="0" w:firstColumn="1" w:lastColumn="0" w:oddVBand="0" w:evenVBand="0" w:oddHBand="0" w:evenHBand="0" w:firstRowFirstColumn="0" w:firstRowLastColumn="0" w:lastRowFirstColumn="0" w:lastRowLastColumn="0"/>
            <w:tcW w:w="1111" w:type="pct"/>
          </w:tcPr>
          <w:p w14:paraId="5857F3DB" w14:textId="69181D97" w:rsidR="00C26A62" w:rsidRPr="00C26A62" w:rsidRDefault="00C26A62" w:rsidP="00C26A62">
            <w:pPr>
              <w:pStyle w:val="Tabletext"/>
              <w:rPr>
                <w:rFonts w:asciiTheme="majorHAnsi" w:eastAsia="MS Mincho" w:hAnsiTheme="majorHAnsi" w:cs="Interstate-Regular"/>
                <w:color w:val="000000"/>
                <w:szCs w:val="17"/>
                <w:lang w:val="en-US" w:eastAsia="ja-JP"/>
              </w:rPr>
            </w:pPr>
            <w:r w:rsidRPr="00C26A62">
              <w:rPr>
                <w:rFonts w:asciiTheme="majorHAnsi" w:hAnsiTheme="majorHAnsi" w:cs="Interstate-Regular"/>
                <w:color w:val="000000"/>
                <w:szCs w:val="17"/>
                <w:lang w:val="en-US" w:eastAsia="ja-JP"/>
              </w:rPr>
              <w:t>Principle 9: Be transparent and accountable for how you perform your activities</w:t>
            </w:r>
          </w:p>
        </w:tc>
        <w:tc>
          <w:tcPr>
            <w:tcW w:w="1111" w:type="pct"/>
            <w:vMerge w:val="restart"/>
          </w:tcPr>
          <w:p w14:paraId="5BF9F42C" w14:textId="1EA79DD0" w:rsidR="00C26A62" w:rsidRPr="00C26A62" w:rsidRDefault="00C26A62" w:rsidP="00C26A62">
            <w:pPr>
              <w:pStyle w:val="Tabletext"/>
              <w:cnfStyle w:val="000000000000" w:firstRow="0" w:lastRow="0" w:firstColumn="0" w:lastColumn="0" w:oddVBand="0" w:evenVBand="0" w:oddHBand="0" w:evenHBand="0" w:firstRowFirstColumn="0" w:firstRowLastColumn="0" w:lastRowFirstColumn="0" w:lastRowLastColumn="0"/>
            </w:pPr>
            <w:r w:rsidRPr="00C26A62">
              <w:t>Recognising the full range of activities needed to perform</w:t>
            </w:r>
          </w:p>
        </w:tc>
        <w:tc>
          <w:tcPr>
            <w:tcW w:w="2778" w:type="pct"/>
          </w:tcPr>
          <w:p w14:paraId="1F191EF8"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Enable suitable governance of regulators.</w:t>
            </w:r>
          </w:p>
          <w:p w14:paraId="21C5C18C"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the publication of key regulatory documents, of key engagement activities, and of reporting against government requirements including for Statements of Expectations. </w:t>
            </w:r>
          </w:p>
          <w:p w14:paraId="3A9EED34"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Provide engagement and service design expertise to support regulator improvement efforts.</w:t>
            </w:r>
          </w:p>
          <w:p w14:paraId="7DFEB975"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 xml:space="preserve">Support regulator capabilities and approaches to inclusive and culturally appropriate practices. </w:t>
            </w:r>
          </w:p>
          <w:p w14:paraId="301DA7FA"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Provide necessary legal services support, where regulators are embedded in departments.</w:t>
            </w:r>
          </w:p>
          <w:p w14:paraId="7CC20000"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Assess the needs of small independent regulators for legal support, and provide where appropriate, particularly for complex compliance matters that they could not reasonably be expected to manage.</w:t>
            </w:r>
          </w:p>
          <w:p w14:paraId="39870C91"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Ensuring that corporate services have the authority to engage with independent regulators to provide appropriate advice or services.</w:t>
            </w:r>
          </w:p>
          <w:p w14:paraId="0CF9E73A" w14:textId="77777777" w:rsidR="00C26A62" w:rsidRPr="00C26A62" w:rsidRDefault="00C26A62" w:rsidP="00C26A62">
            <w:pPr>
              <w:pStyle w:val="Tablebullet"/>
              <w:ind w:left="216" w:hanging="216"/>
              <w:cnfStyle w:val="000000000000" w:firstRow="0" w:lastRow="0" w:firstColumn="0" w:lastColumn="0" w:oddVBand="0" w:evenVBand="0" w:oddHBand="0" w:evenHBand="0" w:firstRowFirstColumn="0" w:firstRowLastColumn="0" w:lastRowFirstColumn="0" w:lastRowLastColumn="0"/>
            </w:pPr>
            <w:r w:rsidRPr="00C26A62">
              <w:t>Raise and respond to clear risks of misconduct, corruption or capture and where appropriate working with the regulator to improve its safeguards.</w:t>
            </w:r>
          </w:p>
        </w:tc>
      </w:tr>
      <w:tr w:rsidR="00C26A62" w:rsidRPr="005C5626" w14:paraId="1BF52038" w14:textId="77777777" w:rsidTr="00C26A6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11" w:type="pct"/>
          </w:tcPr>
          <w:p w14:paraId="29048E13" w14:textId="77777777" w:rsidR="00C26A62" w:rsidRPr="00C26A62" w:rsidRDefault="00C26A62" w:rsidP="00C26A62">
            <w:pPr>
              <w:pStyle w:val="Tabletext"/>
              <w:rPr>
                <w:rFonts w:asciiTheme="majorHAnsi" w:eastAsia="VIC" w:hAnsiTheme="majorHAnsi" w:cs="VIC"/>
              </w:rPr>
            </w:pPr>
            <w:r w:rsidRPr="00C26A62">
              <w:rPr>
                <w:rFonts w:asciiTheme="majorHAnsi" w:eastAsia="VIC" w:hAnsiTheme="majorHAnsi" w:cs="VIC"/>
              </w:rPr>
              <w:lastRenderedPageBreak/>
              <w:t xml:space="preserve">Principle 10: </w:t>
            </w:r>
            <w:r w:rsidRPr="00C26A62">
              <w:rPr>
                <w:rFonts w:asciiTheme="majorHAnsi" w:hAnsiTheme="majorHAnsi"/>
              </w:rPr>
              <w:t>Continuously improve your regulatory operations</w:t>
            </w:r>
          </w:p>
          <w:p w14:paraId="44BE74B5" w14:textId="1179C1CE" w:rsidR="00C26A62" w:rsidRPr="00C26A62" w:rsidRDefault="00C26A62" w:rsidP="00C26A62">
            <w:pPr>
              <w:pStyle w:val="Tabletext"/>
              <w:rPr>
                <w:rFonts w:asciiTheme="majorHAnsi" w:eastAsia="VIC" w:hAnsiTheme="majorHAnsi"/>
              </w:rPr>
            </w:pPr>
            <w:r w:rsidRPr="00C26A62">
              <w:rPr>
                <w:rFonts w:asciiTheme="majorHAnsi" w:eastAsia="VIC" w:hAnsiTheme="majorHAnsi"/>
              </w:rPr>
              <w:t xml:space="preserve">Responsible department actions to support regulators </w:t>
            </w:r>
          </w:p>
        </w:tc>
        <w:tc>
          <w:tcPr>
            <w:tcW w:w="1111" w:type="pct"/>
            <w:vMerge/>
          </w:tcPr>
          <w:p w14:paraId="599026CF" w14:textId="77777777" w:rsidR="00C26A62" w:rsidRPr="00C26A62" w:rsidRDefault="00C26A62" w:rsidP="009340F8">
            <w:pPr>
              <w:spacing w:before="20"/>
              <w:cnfStyle w:val="000000010000" w:firstRow="0" w:lastRow="0" w:firstColumn="0" w:lastColumn="0" w:oddVBand="0" w:evenVBand="0" w:oddHBand="0" w:evenHBand="1" w:firstRowFirstColumn="0" w:firstRowLastColumn="0" w:lastRowFirstColumn="0" w:lastRowLastColumn="0"/>
            </w:pPr>
          </w:p>
        </w:tc>
        <w:tc>
          <w:tcPr>
            <w:tcW w:w="2778" w:type="pct"/>
          </w:tcPr>
          <w:p w14:paraId="0A2DB1FD" w14:textId="77777777" w:rsidR="00C26A62" w:rsidRPr="00C26A62" w:rsidRDefault="00C26A62" w:rsidP="00C26A62">
            <w:pPr>
              <w:pStyle w:val="Tablebullet"/>
              <w:cnfStyle w:val="000000010000" w:firstRow="0" w:lastRow="0" w:firstColumn="0" w:lastColumn="0" w:oddVBand="0" w:evenVBand="0" w:oddHBand="0" w:evenHBand="1" w:firstRowFirstColumn="0" w:firstRowLastColumn="0" w:lastRowFirstColumn="0" w:lastRowLastColumn="0"/>
            </w:pPr>
            <w:r w:rsidRPr="00C26A62">
              <w:t xml:space="preserve">Review the regulatory system that the regulator operates within, including services, policy settings, </w:t>
            </w:r>
            <w:proofErr w:type="gramStart"/>
            <w:r w:rsidRPr="00C26A62">
              <w:t>legislation</w:t>
            </w:r>
            <w:proofErr w:type="gramEnd"/>
            <w:r w:rsidRPr="00C26A62">
              <w:t xml:space="preserve"> and regulatory responsibilities within the scope of influence or control of the department.</w:t>
            </w:r>
          </w:p>
          <w:p w14:paraId="1611E1C6"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Support regulators to adapt and respond effectively to evolving risks, </w:t>
            </w:r>
            <w:proofErr w:type="gramStart"/>
            <w:r w:rsidRPr="00C26A62">
              <w:t>pressures</w:t>
            </w:r>
            <w:proofErr w:type="gramEnd"/>
            <w:r w:rsidRPr="00C26A62">
              <w:t xml:space="preserve"> and challenges as society changes.</w:t>
            </w:r>
          </w:p>
          <w:p w14:paraId="470F1882"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Support regulators to plan for continuity of operations, including in response to emergency situations.</w:t>
            </w:r>
          </w:p>
          <w:p w14:paraId="292C1A2E" w14:textId="77777777" w:rsidR="00C26A62" w:rsidRPr="00C26A62" w:rsidRDefault="00C26A62" w:rsidP="00C26A62">
            <w:pPr>
              <w:pStyle w:val="Tablebullet"/>
              <w:ind w:left="216" w:hanging="216"/>
              <w:cnfStyle w:val="000000010000" w:firstRow="0" w:lastRow="0" w:firstColumn="0" w:lastColumn="0" w:oddVBand="0" w:evenVBand="0" w:oddHBand="0" w:evenHBand="1" w:firstRowFirstColumn="0" w:firstRowLastColumn="0" w:lastRowFirstColumn="0" w:lastRowLastColumn="0"/>
            </w:pPr>
            <w:r w:rsidRPr="00C26A62">
              <w:t xml:space="preserve">Account for the costs and burdens of establishing quality control relating to internal-to-government compliance expectations, including implications of meeting these expectations for delivering regulatory activities. </w:t>
            </w:r>
          </w:p>
        </w:tc>
      </w:tr>
    </w:tbl>
    <w:p w14:paraId="4081E9AF" w14:textId="0EB7674C" w:rsidR="009A6494" w:rsidRDefault="009A6494" w:rsidP="00E954FE">
      <w:pPr>
        <w:spacing w:line="240" w:lineRule="auto"/>
      </w:pPr>
    </w:p>
    <w:p w14:paraId="2D027D4B" w14:textId="77777777" w:rsidR="00C26A62" w:rsidRDefault="00C26A62" w:rsidP="00E954FE">
      <w:pPr>
        <w:spacing w:line="240" w:lineRule="auto"/>
      </w:pPr>
    </w:p>
    <w:p w14:paraId="52EEB3EB" w14:textId="77777777" w:rsidR="00A944E0" w:rsidRDefault="00A944E0">
      <w:pPr>
        <w:spacing w:before="0" w:after="160" w:line="259" w:lineRule="auto"/>
      </w:pPr>
    </w:p>
    <w:p w14:paraId="2A7913F1" w14:textId="77777777" w:rsidR="00DC0F10" w:rsidRDefault="00DC0F10" w:rsidP="00DC0F10">
      <w:pPr>
        <w:sectPr w:rsidR="00DC0F10" w:rsidSect="00036D89">
          <w:footerReference w:type="default" r:id="rId29"/>
          <w:pgSz w:w="11906" w:h="16838" w:code="9"/>
          <w:pgMar w:top="1440" w:right="1440" w:bottom="1728" w:left="1440" w:header="562" w:footer="461" w:gutter="0"/>
          <w:pgNumType w:start="1"/>
          <w:cols w:space="708"/>
          <w:docGrid w:linePitch="360"/>
        </w:sectPr>
      </w:pPr>
    </w:p>
    <w:p w14:paraId="01FEC8AA" w14:textId="77777777" w:rsidR="00BA76EA" w:rsidRDefault="00BA76EA"/>
    <w:p w14:paraId="2664D982" w14:textId="77777777" w:rsidR="00DC0F10" w:rsidRDefault="00DC0F10" w:rsidP="00DC0F10"/>
    <w:sectPr w:rsidR="00DC0F10" w:rsidSect="00515D54">
      <w:headerReference w:type="even" r:id="rId30"/>
      <w:headerReference w:type="default" r:id="rId31"/>
      <w:footerReference w:type="even" r:id="rId32"/>
      <w:footerReference w:type="default" r:id="rId33"/>
      <w:pgSz w:w="11906" w:h="16838" w:code="9"/>
      <w:pgMar w:top="1138" w:right="1138" w:bottom="1138" w:left="1699" w:header="562"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D7CD" w14:textId="77777777" w:rsidR="00DE28D7" w:rsidRDefault="00DE28D7" w:rsidP="00C671DA">
      <w:pPr>
        <w:spacing w:after="0" w:line="240" w:lineRule="auto"/>
      </w:pPr>
      <w:r>
        <w:separator/>
      </w:r>
    </w:p>
  </w:endnote>
  <w:endnote w:type="continuationSeparator" w:id="0">
    <w:p w14:paraId="0095F767" w14:textId="77777777" w:rsidR="00DE28D7" w:rsidRDefault="00DE28D7" w:rsidP="00C671DA">
      <w:pPr>
        <w:spacing w:after="0" w:line="240" w:lineRule="auto"/>
      </w:pPr>
      <w:r>
        <w:continuationSeparator/>
      </w:r>
    </w:p>
  </w:endnote>
  <w:endnote w:type="continuationNotice" w:id="1">
    <w:p w14:paraId="18792143" w14:textId="77777777" w:rsidR="00DE28D7" w:rsidRDefault="00DE28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altName w:val="Cambria"/>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Interstate-Regular">
    <w:altName w:val="Courier New"/>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797F" w14:textId="77777777" w:rsidR="000E063E" w:rsidRDefault="00B06ED4" w:rsidP="00BA76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EA2C" w14:textId="77777777" w:rsidR="0020555A" w:rsidRDefault="00715163" w:rsidP="00C75370">
    <w:pPr>
      <w:pStyle w:val="Footer"/>
      <w:ind w:right="-450"/>
      <w:jc w:val="right"/>
    </w:pPr>
    <w:r>
      <w:drawing>
        <wp:inline distT="0" distB="0" distL="0" distR="0" wp14:anchorId="6E82D7FF" wp14:editId="277987EB">
          <wp:extent cx="799044" cy="4572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99044" cy="457200"/>
                  </a:xfrm>
                  <a:prstGeom prst="rect">
                    <a:avLst/>
                  </a:prstGeom>
                </pic:spPr>
              </pic:pic>
            </a:graphicData>
          </a:graphic>
        </wp:inline>
      </w:drawing>
    </w:r>
    <w:r w:rsidR="00A43B96">
      <mc:AlternateContent>
        <mc:Choice Requires="wpg">
          <w:drawing>
            <wp:anchor distT="0" distB="0" distL="114300" distR="114300" simplePos="0" relativeHeight="251658243" behindDoc="1" locked="1" layoutInCell="1" allowOverlap="1" wp14:anchorId="5A9275AF" wp14:editId="39F5F96A">
              <wp:simplePos x="0" y="0"/>
              <wp:positionH relativeFrom="page">
                <wp:posOffset>-13970</wp:posOffset>
              </wp:positionH>
              <wp:positionV relativeFrom="page">
                <wp:posOffset>5652770</wp:posOffset>
              </wp:positionV>
              <wp:extent cx="7574280" cy="5056505"/>
              <wp:effectExtent l="0" t="0" r="7620"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5056505"/>
                        <a:chOff x="4761" y="0"/>
                        <a:chExt cx="7572834" cy="5054542"/>
                      </a:xfrm>
                    </wpg:grpSpPr>
                    <wps:wsp>
                      <wps:cNvPr id="18" name="Freeform: Shape 18"/>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5DC6EED" id="Group 22" o:spid="_x0000_s1026" alt="&quot;&quot;" style="position:absolute;margin-left:-1.1pt;margin-top:445.1pt;width:596.4pt;height:398.15pt;z-index:-251658239;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">
              <v:shape id="Freeform: Shape 18"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path="m,l3574033,r,3574034l,3574034,,xe" fillcolor="#78be20 [3204]" stroked="f" strokeweight=".39244mm">
                <v:stroke joinstyle="miter"/>
                <v:path arrowok="t" o:connecttype="custom" o:connectlocs="0,0;3574033,0;3574033,3574034;0,3574034" o:connectangles="0,0,0,0"/>
              </v:shape>
              <v:shape id="Freeform: Shape 19"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path="m,l,5054543,2527272,2527271,,,,xe" fillcolor="#c8e4a6 [3209]" stroked="f" strokeweight=".39244mm">
                <v:stroke joinstyle="miter"/>
                <v:path arrowok="t" o:connecttype="custom" o:connectlocs="0,0;0,5054543;2527272,2527271;0,0;0,0" o:connectangles="0,0,0,0,0"/>
              </v:shape>
              <v:shape id="Freeform: Shape 20"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path="m,2527271r5054543,l2527272,,,2527271xe" fillcolor="#9fd064 [3208]" stroked="f" strokeweight=".39244mm">
                <v:stroke joinstyle="miter"/>
                <v:path arrowok="t" o:connecttype="custom" o:connectlocs="0,2527271;5054543,2527271;2527272,0;0,2527271" o:connectangles="0,0,0,0"/>
              </v:shape>
              <v:shape id="Freeform: Shape 21"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" path="m,2527130r2527131,141l2527131,,,2527130xe" fillcolor="#c8e4a6 [3209]"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128A" w14:textId="08FA17CB" w:rsidR="00CD7B88" w:rsidRDefault="00CD7B88" w:rsidP="00036D89">
    <w:pPr>
      <w:pStyle w:val="Footer"/>
      <w:tabs>
        <w:tab w:val="clear" w:pos="9026"/>
        <w:tab w:val="right" w:pos="9090"/>
      </w:tabs>
      <w:spacing w:before="60"/>
      <w:ind w:right="-158"/>
    </w:pPr>
    <w:r>
      <mc:AlternateContent>
        <mc:Choice Requires="wpg">
          <w:drawing>
            <wp:anchor distT="0" distB="0" distL="114300" distR="114300" simplePos="0" relativeHeight="251658245" behindDoc="1" locked="0" layoutInCell="1" allowOverlap="1" wp14:anchorId="4E9ECC6C" wp14:editId="3D151AF5">
              <wp:simplePos x="0" y="0"/>
              <wp:positionH relativeFrom="page">
                <wp:posOffset>5725795</wp:posOffset>
              </wp:positionH>
              <wp:positionV relativeFrom="page">
                <wp:posOffset>9762818</wp:posOffset>
              </wp:positionV>
              <wp:extent cx="1859016" cy="928223"/>
              <wp:effectExtent l="0" t="19050" r="8255" b="5715"/>
              <wp:wrapNone/>
              <wp:docPr id="2" name="Graphic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10" name="Freeform: Shape 10"/>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B66FB62" id="Graphic 45" o:spid="_x0000_s1026" alt="&quot;&quot;" style="position:absolute;margin-left:450.85pt;margin-top:768.75pt;width:146.4pt;height:73.1pt;z-index:-251658237;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">
              <v:shape id="Freeform: Shape 10"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" path="m,l1024933,r,1024863l,1024863,,xe" fillcolor="#78be20 [3204]" stroked="f" strokeweight=".1125mm">
                <v:stroke joinstyle="miter"/>
                <v:path arrowok="t" o:connecttype="custom" o:connectlocs="0,0;1024933,0;1024933,1024863;0,1024863" o:connectangles="0,0,0,0"/>
              </v:shape>
              <v:shape id="Freeform: Shape 11"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" path="m724751,r-40,1449402l,724701,724711,r40,xe" fillcolor="#c8e4a6 [3209]" stroked="f" strokeweight=".1125mm">
                <v:stroke joinstyle="miter"/>
                <v:path arrowok="t" o:connecttype="custom" o:connectlocs="724751,0;724711,1449402;0,724701;724711,0;724751,0" o:connectangles="0,0,0,0,0"/>
              </v:shape>
              <v:shape id="Freeform: Shape 1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" path="m724711,r724710,724661l724711,724701,,724661,724711,xe" fillcolor="#c8e4a6 [3209]" stroked="f" strokeweight=".1125mm">
                <v:stroke joinstyle="miter"/>
                <v:path arrowok="t" o:connecttype="custom" o:connectlocs="724711,0;1449421,724660;724711,724700;0,724660;724711,0" o:connectangles="0,0,0,0,0"/>
              </v:shape>
              <v:shape id="Freeform: Shape 16"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" path="m1449462,724701l,724701,724751,r724711,724701xe" fillcolor="#9fd064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CE1F74">
      <w:rPr>
        <w:rFonts w:asciiTheme="majorHAnsi" w:hAnsiTheme="majorHAnsi"/>
      </w:rPr>
      <w:t>Equipping Best Practice</w:t>
    </w:r>
    <w:r w:rsidRPr="009057A9">
      <w:rPr>
        <w:rFonts w:asciiTheme="majorHAnsi" w:hAnsiTheme="majorHAnsi"/>
      </w:rP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14:paraId="2A4931D1" w14:textId="77777777" w:rsidR="00CD7B88" w:rsidRPr="00546AED" w:rsidRDefault="00CD7B88" w:rsidP="00036D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1B35" w14:textId="77777777" w:rsidR="00DC0F10" w:rsidRPr="00DC0F10" w:rsidRDefault="00B06ED4" w:rsidP="00DC0F10">
    <w:pPr>
      <w:pStyle w:val="Footer"/>
    </w:pPr>
    <w:r>
      <mc:AlternateContent>
        <mc:Choice Requires="wpg">
          <w:drawing>
            <wp:anchor distT="0" distB="0" distL="114300" distR="114300" simplePos="0" relativeHeight="251658242" behindDoc="0" locked="0" layoutInCell="1" allowOverlap="1" wp14:anchorId="6DB80D08" wp14:editId="48D8D88D">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11DC4EDD" id="Group 8" o:spid="_x0000_s1026" alt="&quot;&quot;" style="position:absolute;margin-left:-84.95pt;margin-top:-619.85pt;width:708.65pt;height:708.65pt;z-index:251658240"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fillcolor="#87189d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78be20 [3204]" stroked="f" strokeweight="1pt"/>
            </v:group>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AA1A" w14:textId="77777777" w:rsidR="00546AED" w:rsidRPr="00546AED" w:rsidRDefault="00715163" w:rsidP="00546AED">
    <w:pPr>
      <w:pStyle w:val="Footer"/>
    </w:pPr>
    <w:r>
      <mc:AlternateContent>
        <mc:Choice Requires="wpg">
          <w:drawing>
            <wp:anchor distT="0" distB="0" distL="114300" distR="114300" simplePos="0" relativeHeight="251658244" behindDoc="1" locked="1" layoutInCell="1" allowOverlap="1" wp14:anchorId="41F881BF" wp14:editId="15FDC75B">
              <wp:simplePos x="0" y="0"/>
              <wp:positionH relativeFrom="page">
                <wp:posOffset>-6350</wp:posOffset>
              </wp:positionH>
              <wp:positionV relativeFrom="page">
                <wp:posOffset>5645150</wp:posOffset>
              </wp:positionV>
              <wp:extent cx="7574280" cy="5056505"/>
              <wp:effectExtent l="0" t="0" r="7620" b="298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4280" cy="5056505"/>
                        <a:chOff x="4761" y="0"/>
                        <a:chExt cx="7572834" cy="5054542"/>
                      </a:xfrm>
                    </wpg:grpSpPr>
                    <wps:wsp>
                      <wps:cNvPr id="3" name="Freeform: Shape 3"/>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A9367C9" id="Group 1" o:spid="_x0000_s1026" alt="&quot;&quot;" style="position:absolute;margin-left:-.5pt;margin-top:444.5pt;width:596.4pt;height:398.15pt;flip:x;z-index:-251658238;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">
              <v:shape id="Freeform: Shape 3"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" path="m,l3574033,r,3574034l,3574034,,xe" fillcolor="#78be20 [3204]" stroked="f" strokeweight=".39244mm">
                <v:stroke joinstyle="miter"/>
                <v:path arrowok="t" o:connecttype="custom" o:connectlocs="0,0;3574033,0;3574033,3574034;0,3574034" o:connectangles="0,0,0,0"/>
              </v:shape>
              <v:shape id="Freeform: Shape 6"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" path="m,l,5054543,2527272,2527271,,,,xe" fillcolor="#c8e4a6 [3209]" stroked="f" strokeweight=".39244mm">
                <v:stroke joinstyle="miter"/>
                <v:path arrowok="t" o:connecttype="custom" o:connectlocs="0,0;0,5054543;2527272,2527271;0,0;0,0" o:connectangles="0,0,0,0,0"/>
              </v:shape>
              <v:shape id="Freeform: Shape 7"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" path="m,2527271r5054543,l2527272,,,2527271xe" fillcolor="#9fd064 [3208]" stroked="f" strokeweight=".39244mm">
                <v:stroke joinstyle="miter"/>
                <v:path arrowok="t" o:connecttype="custom" o:connectlocs="0,2527271;5054543,2527271;2527272,0;0,2527271" o:connectangles="0,0,0,0"/>
              </v:shape>
              <v:shape id="Freeform: Shape 9"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" path="m,2527130r2527131,141l2527131,,,2527130xe" fillcolor="#c8e4a6 [3209]"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5E8C" w14:textId="77777777" w:rsidR="00DE28D7" w:rsidRDefault="00DE28D7" w:rsidP="00C671DA">
      <w:pPr>
        <w:spacing w:after="0" w:line="240" w:lineRule="auto"/>
      </w:pPr>
      <w:r>
        <w:separator/>
      </w:r>
    </w:p>
  </w:footnote>
  <w:footnote w:type="continuationSeparator" w:id="0">
    <w:p w14:paraId="4A7F2D21" w14:textId="77777777" w:rsidR="00DE28D7" w:rsidRDefault="00DE28D7" w:rsidP="00C671DA">
      <w:pPr>
        <w:spacing w:after="0" w:line="240" w:lineRule="auto"/>
      </w:pPr>
      <w:r>
        <w:continuationSeparator/>
      </w:r>
    </w:p>
  </w:footnote>
  <w:footnote w:type="continuationNotice" w:id="1">
    <w:p w14:paraId="0A12281B" w14:textId="77777777" w:rsidR="00DE28D7" w:rsidRDefault="00DE28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67DB" w14:textId="238B2BA6" w:rsidR="007F29C2" w:rsidRDefault="000B3E94">
    <w:pPr>
      <w:pStyle w:val="Header"/>
    </w:pPr>
    <w:r>
      <w:rPr>
        <w:noProof/>
      </w:rPr>
      <mc:AlternateContent>
        <mc:Choice Requires="wps">
          <w:drawing>
            <wp:anchor distT="0" distB="0" distL="114300" distR="114300" simplePos="0" relativeHeight="251658241" behindDoc="1" locked="0" layoutInCell="1" allowOverlap="1" wp14:anchorId="2D165181" wp14:editId="309DF8AC">
              <wp:simplePos x="0" y="0"/>
              <wp:positionH relativeFrom="page">
                <wp:align>left</wp:align>
              </wp:positionH>
              <wp:positionV relativeFrom="paragraph">
                <wp:posOffset>-713017</wp:posOffset>
              </wp:positionV>
              <wp:extent cx="7552944" cy="10661904"/>
              <wp:effectExtent l="0" t="0" r="0" b="6350"/>
              <wp:wrapNone/>
              <wp:docPr id="17" name="Rectangle 17"/>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1D4491" id="Rectangle 17" o:spid="_x0000_s1026" style="position:absolute;margin-left:0;margin-top:-56.15pt;width:594.7pt;height:839.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" fillcolor="#1f2a44 [3215]" stroked="f" strokeweight="1pt">
              <w10:wrap anchorx="page"/>
            </v:rect>
          </w:pict>
        </mc:Fallback>
      </mc:AlternateContent>
    </w:r>
    <w:r w:rsidR="007F29C2">
      <w:rPr>
        <w:noProof/>
      </w:rPr>
      <w:drawing>
        <wp:inline distT="0" distB="0" distL="0" distR="0" wp14:anchorId="58389754" wp14:editId="7CB4A177">
          <wp:extent cx="2730593" cy="624847"/>
          <wp:effectExtent l="0" t="0" r="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0593" cy="6248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2497" w14:textId="77777777" w:rsidR="0056116C" w:rsidRPr="007F29C2" w:rsidRDefault="0056116C" w:rsidP="007F2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49E9" w14:textId="77777777" w:rsidR="00DC0F10" w:rsidRPr="00DC0F10" w:rsidRDefault="00DC0F10" w:rsidP="00DC0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B5CF" w14:textId="4990F6C1" w:rsidR="00546AED" w:rsidRPr="00546AED" w:rsidRDefault="000B3E94" w:rsidP="00546AED">
    <w:pPr>
      <w:pStyle w:val="Header"/>
    </w:pPr>
    <w:r>
      <w:rPr>
        <w:noProof/>
      </w:rPr>
      <mc:AlternateContent>
        <mc:Choice Requires="wps">
          <w:drawing>
            <wp:anchor distT="0" distB="0" distL="114300" distR="114300" simplePos="0" relativeHeight="251658240" behindDoc="1" locked="0" layoutInCell="1" allowOverlap="1" wp14:anchorId="59571EDB" wp14:editId="2AE5638E">
              <wp:simplePos x="0" y="0"/>
              <wp:positionH relativeFrom="page">
                <wp:align>left</wp:align>
              </wp:positionH>
              <wp:positionV relativeFrom="paragraph">
                <wp:posOffset>-606056</wp:posOffset>
              </wp:positionV>
              <wp:extent cx="7552944" cy="10661904"/>
              <wp:effectExtent l="0" t="0" r="0" b="6350"/>
              <wp:wrapNone/>
              <wp:docPr id="23" name="Rectangle 23"/>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ED8BE8" id="Rectangle 23" o:spid="_x0000_s1026" style="position:absolute;margin-left:0;margin-top:-47.7pt;width:594.7pt;height:839.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" fillcolor="#1f2a44 [321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 w15:restartNumberingAfterBreak="0">
    <w:nsid w:val="10D55DE8"/>
    <w:multiLevelType w:val="hybridMultilevel"/>
    <w:tmpl w:val="C4B4C63E"/>
    <w:lvl w:ilvl="0" w:tplc="901ADA94">
      <w:numFmt w:val="bullet"/>
      <w:lvlText w:val="•"/>
      <w:lvlJc w:val="left"/>
      <w:pPr>
        <w:ind w:left="0" w:hanging="360"/>
      </w:pPr>
      <w:rPr>
        <w:rFonts w:ascii="VIC" w:eastAsiaTheme="minorHAnsi" w:hAnsi="VIC"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 w15:restartNumberingAfterBreak="0">
    <w:nsid w:val="1315305A"/>
    <w:multiLevelType w:val="hybridMultilevel"/>
    <w:tmpl w:val="0E9AA0F6"/>
    <w:lvl w:ilvl="0" w:tplc="901ADA94">
      <w:numFmt w:val="bullet"/>
      <w:lvlText w:val="•"/>
      <w:lvlJc w:val="left"/>
      <w:pPr>
        <w:ind w:left="360" w:hanging="36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9E3D96"/>
    <w:multiLevelType w:val="hybridMultilevel"/>
    <w:tmpl w:val="F6165D72"/>
    <w:lvl w:ilvl="0" w:tplc="53426FA2">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0"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11" w15:restartNumberingAfterBreak="0">
    <w:nsid w:val="53C91479"/>
    <w:multiLevelType w:val="hybridMultilevel"/>
    <w:tmpl w:val="FFFFFFFF"/>
    <w:lvl w:ilvl="0" w:tplc="FFFFFFFF">
      <w:start w:val="1"/>
      <w:numFmt w:val="bullet"/>
      <w:lvlText w:val=""/>
      <w:lvlJc w:val="left"/>
      <w:pPr>
        <w:ind w:left="720" w:hanging="360"/>
      </w:pPr>
      <w:rPr>
        <w:rFonts w:ascii="Symbol" w:hAnsi="Symbol" w:hint="default"/>
      </w:rPr>
    </w:lvl>
    <w:lvl w:ilvl="1" w:tplc="3C1A3950">
      <w:start w:val="1"/>
      <w:numFmt w:val="bullet"/>
      <w:lvlText w:val="o"/>
      <w:lvlJc w:val="left"/>
      <w:pPr>
        <w:ind w:left="1440" w:hanging="360"/>
      </w:pPr>
      <w:rPr>
        <w:rFonts w:ascii="Courier New" w:hAnsi="Courier New" w:hint="default"/>
      </w:rPr>
    </w:lvl>
    <w:lvl w:ilvl="2" w:tplc="28F0C984">
      <w:start w:val="1"/>
      <w:numFmt w:val="bullet"/>
      <w:lvlText w:val=""/>
      <w:lvlJc w:val="left"/>
      <w:pPr>
        <w:ind w:left="2160" w:hanging="360"/>
      </w:pPr>
      <w:rPr>
        <w:rFonts w:ascii="Wingdings" w:hAnsi="Wingdings" w:hint="default"/>
      </w:rPr>
    </w:lvl>
    <w:lvl w:ilvl="3" w:tplc="70CEF81A">
      <w:start w:val="1"/>
      <w:numFmt w:val="bullet"/>
      <w:lvlText w:val=""/>
      <w:lvlJc w:val="left"/>
      <w:pPr>
        <w:ind w:left="2880" w:hanging="360"/>
      </w:pPr>
      <w:rPr>
        <w:rFonts w:ascii="Symbol" w:hAnsi="Symbol" w:hint="default"/>
      </w:rPr>
    </w:lvl>
    <w:lvl w:ilvl="4" w:tplc="C792DE00">
      <w:start w:val="1"/>
      <w:numFmt w:val="bullet"/>
      <w:lvlText w:val="o"/>
      <w:lvlJc w:val="left"/>
      <w:pPr>
        <w:ind w:left="3600" w:hanging="360"/>
      </w:pPr>
      <w:rPr>
        <w:rFonts w:ascii="Courier New" w:hAnsi="Courier New" w:hint="default"/>
      </w:rPr>
    </w:lvl>
    <w:lvl w:ilvl="5" w:tplc="47028986">
      <w:start w:val="1"/>
      <w:numFmt w:val="bullet"/>
      <w:lvlText w:val=""/>
      <w:lvlJc w:val="left"/>
      <w:pPr>
        <w:ind w:left="4320" w:hanging="360"/>
      </w:pPr>
      <w:rPr>
        <w:rFonts w:ascii="Wingdings" w:hAnsi="Wingdings" w:hint="default"/>
      </w:rPr>
    </w:lvl>
    <w:lvl w:ilvl="6" w:tplc="52F4CBEE">
      <w:start w:val="1"/>
      <w:numFmt w:val="bullet"/>
      <w:lvlText w:val=""/>
      <w:lvlJc w:val="left"/>
      <w:pPr>
        <w:ind w:left="5040" w:hanging="360"/>
      </w:pPr>
      <w:rPr>
        <w:rFonts w:ascii="Symbol" w:hAnsi="Symbol" w:hint="default"/>
      </w:rPr>
    </w:lvl>
    <w:lvl w:ilvl="7" w:tplc="DCD227E0">
      <w:start w:val="1"/>
      <w:numFmt w:val="bullet"/>
      <w:lvlText w:val="o"/>
      <w:lvlJc w:val="left"/>
      <w:pPr>
        <w:ind w:left="5760" w:hanging="360"/>
      </w:pPr>
      <w:rPr>
        <w:rFonts w:ascii="Courier New" w:hAnsi="Courier New" w:hint="default"/>
      </w:rPr>
    </w:lvl>
    <w:lvl w:ilvl="8" w:tplc="07A24A14">
      <w:start w:val="1"/>
      <w:numFmt w:val="bullet"/>
      <w:lvlText w:val=""/>
      <w:lvlJc w:val="left"/>
      <w:pPr>
        <w:ind w:left="6480" w:hanging="360"/>
      </w:pPr>
      <w:rPr>
        <w:rFonts w:ascii="Wingdings" w:hAnsi="Wingdings" w:hint="default"/>
      </w:rPr>
    </w:lvl>
  </w:abstractNum>
  <w:abstractNum w:abstractNumId="12"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68F6758C"/>
    <w:multiLevelType w:val="multilevel"/>
    <w:tmpl w:val="76203B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6" w15:restartNumberingAfterBreak="0">
    <w:nsid w:val="7A404D53"/>
    <w:multiLevelType w:val="hybridMultilevel"/>
    <w:tmpl w:val="6B12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F51D20"/>
    <w:multiLevelType w:val="multilevel"/>
    <w:tmpl w:val="2C064994"/>
    <w:lvl w:ilvl="0">
      <w:start w:val="1"/>
      <w:numFmt w:val="bullet"/>
      <w:lvlText w:val=""/>
      <w:lvlJc w:val="left"/>
      <w:pPr>
        <w:tabs>
          <w:tab w:val="num" w:pos="360"/>
        </w:tabs>
        <w:ind w:left="851" w:hanging="567"/>
      </w:pPr>
      <w:rPr>
        <w:rFonts w:ascii="Symbol" w:hAnsi="Symbol" w:hint="default"/>
        <w:b w:val="0"/>
        <w:i w:val="0"/>
        <w:vanish w:val="0"/>
        <w:color w:val="auto"/>
        <w:sz w:val="22"/>
      </w:rPr>
    </w:lvl>
    <w:lvl w:ilvl="1">
      <w:start w:val="1"/>
      <w:numFmt w:val="bullet"/>
      <w:lvlText w:val="–"/>
      <w:lvlJc w:val="left"/>
      <w:pPr>
        <w:tabs>
          <w:tab w:val="num" w:pos="927"/>
        </w:tabs>
        <w:ind w:left="1418" w:hanging="567"/>
      </w:pPr>
      <w:rPr>
        <w:rFonts w:ascii="Calibri" w:hAnsi="Calibri" w:hint="default"/>
        <w:b w:val="0"/>
        <w:i w:val="0"/>
        <w:vanish w:val="0"/>
        <w:color w:val="auto"/>
        <w:sz w:val="22"/>
      </w:rPr>
    </w:lvl>
    <w:lvl w:ilvl="2">
      <w:start w:val="1"/>
      <w:numFmt w:val="bullet"/>
      <w:lvlText w:val=""/>
      <w:lvlJc w:val="left"/>
      <w:pPr>
        <w:tabs>
          <w:tab w:val="num" w:pos="1494"/>
        </w:tabs>
        <w:ind w:left="1985" w:hanging="567"/>
      </w:pPr>
      <w:rPr>
        <w:rFonts w:ascii="Symbol" w:hAnsi="Symbol" w:hint="default"/>
        <w:b w:val="0"/>
        <w:i w:val="0"/>
        <w:vanish w:val="0"/>
        <w:color w:val="auto"/>
        <w:sz w:val="22"/>
      </w:rPr>
    </w:lvl>
    <w:lvl w:ilvl="3">
      <w:start w:val="1"/>
      <w:numFmt w:val="bullet"/>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19"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76282639">
    <w:abstractNumId w:val="19"/>
  </w:num>
  <w:num w:numId="2" w16cid:durableId="186451628">
    <w:abstractNumId w:val="14"/>
  </w:num>
  <w:num w:numId="3" w16cid:durableId="1216549722">
    <w:abstractNumId w:val="1"/>
  </w:num>
  <w:num w:numId="4" w16cid:durableId="785124029">
    <w:abstractNumId w:val="0"/>
  </w:num>
  <w:num w:numId="5" w16cid:durableId="1816028734">
    <w:abstractNumId w:val="4"/>
  </w:num>
  <w:num w:numId="6" w16cid:durableId="1647591102">
    <w:abstractNumId w:val="9"/>
  </w:num>
  <w:num w:numId="7" w16cid:durableId="988243934">
    <w:abstractNumId w:val="13"/>
  </w:num>
  <w:num w:numId="8" w16cid:durableId="779766542">
    <w:abstractNumId w:val="18"/>
  </w:num>
  <w:num w:numId="9" w16cid:durableId="359862552">
    <w:abstractNumId w:val="7"/>
  </w:num>
  <w:num w:numId="10" w16cid:durableId="978799447">
    <w:abstractNumId w:val="12"/>
  </w:num>
  <w:num w:numId="11" w16cid:durableId="129635417">
    <w:abstractNumId w:val="18"/>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1162087599">
    <w:abstractNumId w:val="10"/>
  </w:num>
  <w:num w:numId="13" w16cid:durableId="2132090454">
    <w:abstractNumId w:val="15"/>
  </w:num>
  <w:num w:numId="14" w16cid:durableId="189493122">
    <w:abstractNumId w:val="8"/>
  </w:num>
  <w:num w:numId="15" w16cid:durableId="596644922">
    <w:abstractNumId w:val="8"/>
  </w:num>
  <w:num w:numId="16" w16cid:durableId="975142725">
    <w:abstractNumId w:val="8"/>
  </w:num>
  <w:num w:numId="17" w16cid:durableId="2146654125">
    <w:abstractNumId w:val="8"/>
  </w:num>
  <w:num w:numId="18" w16cid:durableId="2096630483">
    <w:abstractNumId w:val="20"/>
  </w:num>
  <w:num w:numId="19" w16cid:durableId="948045193">
    <w:abstractNumId w:val="20"/>
  </w:num>
  <w:num w:numId="20" w16cid:durableId="62457976">
    <w:abstractNumId w:val="20"/>
  </w:num>
  <w:num w:numId="21" w16cid:durableId="881483520">
    <w:abstractNumId w:val="20"/>
  </w:num>
  <w:num w:numId="22" w16cid:durableId="2037268386">
    <w:abstractNumId w:val="20"/>
  </w:num>
  <w:num w:numId="23" w16cid:durableId="1651900814">
    <w:abstractNumId w:val="20"/>
  </w:num>
  <w:num w:numId="24" w16cid:durableId="1100293918">
    <w:abstractNumId w:val="20"/>
  </w:num>
  <w:num w:numId="25" w16cid:durableId="2132167410">
    <w:abstractNumId w:val="20"/>
  </w:num>
  <w:num w:numId="26" w16cid:durableId="1338800763">
    <w:abstractNumId w:val="17"/>
  </w:num>
  <w:num w:numId="27" w16cid:durableId="356006137">
    <w:abstractNumId w:val="20"/>
  </w:num>
  <w:num w:numId="28" w16cid:durableId="2055155294">
    <w:abstractNumId w:val="5"/>
  </w:num>
  <w:num w:numId="29" w16cid:durableId="1644196588">
    <w:abstractNumId w:val="5"/>
  </w:num>
  <w:num w:numId="30" w16cid:durableId="2013990506">
    <w:abstractNumId w:val="5"/>
  </w:num>
  <w:num w:numId="31" w16cid:durableId="1898972390">
    <w:abstractNumId w:val="5"/>
  </w:num>
  <w:num w:numId="32" w16cid:durableId="774400418">
    <w:abstractNumId w:val="14"/>
  </w:num>
  <w:num w:numId="33" w16cid:durableId="971981770">
    <w:abstractNumId w:val="6"/>
  </w:num>
  <w:num w:numId="34" w16cid:durableId="1769808420">
    <w:abstractNumId w:val="11"/>
  </w:num>
  <w:num w:numId="35" w16cid:durableId="1464302968">
    <w:abstractNumId w:val="16"/>
  </w:num>
  <w:num w:numId="36" w16cid:durableId="102772740">
    <w:abstractNumId w:val="3"/>
  </w:num>
  <w:num w:numId="37" w16cid:durableId="2058124801">
    <w:abstractNumId w:val="2"/>
  </w:num>
  <w:num w:numId="38" w16cid:durableId="1164904657">
    <w:abstractNumId w:val="18"/>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62"/>
    <w:rsid w:val="00001156"/>
    <w:rsid w:val="00017347"/>
    <w:rsid w:val="0003521D"/>
    <w:rsid w:val="00036D0E"/>
    <w:rsid w:val="00036D89"/>
    <w:rsid w:val="00056891"/>
    <w:rsid w:val="000634D1"/>
    <w:rsid w:val="00064F45"/>
    <w:rsid w:val="0009465B"/>
    <w:rsid w:val="000A1D68"/>
    <w:rsid w:val="000B3E94"/>
    <w:rsid w:val="000D1845"/>
    <w:rsid w:val="000E063E"/>
    <w:rsid w:val="000E23B2"/>
    <w:rsid w:val="00123568"/>
    <w:rsid w:val="001265EA"/>
    <w:rsid w:val="00127637"/>
    <w:rsid w:val="00130023"/>
    <w:rsid w:val="00134557"/>
    <w:rsid w:val="00140706"/>
    <w:rsid w:val="001508B8"/>
    <w:rsid w:val="00156613"/>
    <w:rsid w:val="00160595"/>
    <w:rsid w:val="00162970"/>
    <w:rsid w:val="001748A8"/>
    <w:rsid w:val="00175D12"/>
    <w:rsid w:val="00181371"/>
    <w:rsid w:val="001B6B86"/>
    <w:rsid w:val="001B71DC"/>
    <w:rsid w:val="001C2AA1"/>
    <w:rsid w:val="001D3BC2"/>
    <w:rsid w:val="001E228F"/>
    <w:rsid w:val="001E6AD2"/>
    <w:rsid w:val="001F0578"/>
    <w:rsid w:val="001F65FC"/>
    <w:rsid w:val="002035AC"/>
    <w:rsid w:val="002044FE"/>
    <w:rsid w:val="0020555A"/>
    <w:rsid w:val="00210457"/>
    <w:rsid w:val="002118B0"/>
    <w:rsid w:val="0021466B"/>
    <w:rsid w:val="00221288"/>
    <w:rsid w:val="002218DB"/>
    <w:rsid w:val="00225987"/>
    <w:rsid w:val="002569E3"/>
    <w:rsid w:val="00257C0B"/>
    <w:rsid w:val="0027750A"/>
    <w:rsid w:val="002A7E12"/>
    <w:rsid w:val="002B1F39"/>
    <w:rsid w:val="002B21F7"/>
    <w:rsid w:val="002B3EA4"/>
    <w:rsid w:val="002C64E8"/>
    <w:rsid w:val="002C766F"/>
    <w:rsid w:val="002C7874"/>
    <w:rsid w:val="002D3FCB"/>
    <w:rsid w:val="002D5BBB"/>
    <w:rsid w:val="002D6790"/>
    <w:rsid w:val="002D7574"/>
    <w:rsid w:val="002E0F10"/>
    <w:rsid w:val="002F0F67"/>
    <w:rsid w:val="00306B9F"/>
    <w:rsid w:val="003106C0"/>
    <w:rsid w:val="0031442B"/>
    <w:rsid w:val="00321CA2"/>
    <w:rsid w:val="00326ABA"/>
    <w:rsid w:val="0033177A"/>
    <w:rsid w:val="00332717"/>
    <w:rsid w:val="00337455"/>
    <w:rsid w:val="003761D1"/>
    <w:rsid w:val="00384CE4"/>
    <w:rsid w:val="003904A9"/>
    <w:rsid w:val="003A3C0F"/>
    <w:rsid w:val="003A5CA0"/>
    <w:rsid w:val="003C3FF5"/>
    <w:rsid w:val="003E3D20"/>
    <w:rsid w:val="003F39B4"/>
    <w:rsid w:val="003F6CA9"/>
    <w:rsid w:val="004077A2"/>
    <w:rsid w:val="00414042"/>
    <w:rsid w:val="004319D0"/>
    <w:rsid w:val="00433E6D"/>
    <w:rsid w:val="00437262"/>
    <w:rsid w:val="00443752"/>
    <w:rsid w:val="00456662"/>
    <w:rsid w:val="004567C1"/>
    <w:rsid w:val="004750C2"/>
    <w:rsid w:val="00485FC7"/>
    <w:rsid w:val="00490091"/>
    <w:rsid w:val="004902B8"/>
    <w:rsid w:val="00492553"/>
    <w:rsid w:val="004A56B3"/>
    <w:rsid w:val="004C1D56"/>
    <w:rsid w:val="004C706D"/>
    <w:rsid w:val="004D3678"/>
    <w:rsid w:val="00513C7B"/>
    <w:rsid w:val="005146B5"/>
    <w:rsid w:val="00515D54"/>
    <w:rsid w:val="00524DC0"/>
    <w:rsid w:val="00530AE4"/>
    <w:rsid w:val="00535B47"/>
    <w:rsid w:val="00536B9E"/>
    <w:rsid w:val="00541B8F"/>
    <w:rsid w:val="00546AED"/>
    <w:rsid w:val="00550650"/>
    <w:rsid w:val="0055522A"/>
    <w:rsid w:val="0056116C"/>
    <w:rsid w:val="00561E28"/>
    <w:rsid w:val="00564EEE"/>
    <w:rsid w:val="005823D3"/>
    <w:rsid w:val="00587B85"/>
    <w:rsid w:val="00593494"/>
    <w:rsid w:val="00595193"/>
    <w:rsid w:val="0059736D"/>
    <w:rsid w:val="005A0C1B"/>
    <w:rsid w:val="005A0DC2"/>
    <w:rsid w:val="005A4093"/>
    <w:rsid w:val="005B0681"/>
    <w:rsid w:val="005C4365"/>
    <w:rsid w:val="005E23CF"/>
    <w:rsid w:val="00603403"/>
    <w:rsid w:val="0060481D"/>
    <w:rsid w:val="0062079B"/>
    <w:rsid w:val="00635AAA"/>
    <w:rsid w:val="0063745D"/>
    <w:rsid w:val="00637FE5"/>
    <w:rsid w:val="00646222"/>
    <w:rsid w:val="00652EF0"/>
    <w:rsid w:val="006534AE"/>
    <w:rsid w:val="00662424"/>
    <w:rsid w:val="006638D9"/>
    <w:rsid w:val="00684A34"/>
    <w:rsid w:val="006C485B"/>
    <w:rsid w:val="006D26AD"/>
    <w:rsid w:val="006D5E75"/>
    <w:rsid w:val="006E47AA"/>
    <w:rsid w:val="006E4A93"/>
    <w:rsid w:val="006E5D13"/>
    <w:rsid w:val="006F5C19"/>
    <w:rsid w:val="00704B59"/>
    <w:rsid w:val="00706DE6"/>
    <w:rsid w:val="00710F3C"/>
    <w:rsid w:val="00715163"/>
    <w:rsid w:val="00746E84"/>
    <w:rsid w:val="00750891"/>
    <w:rsid w:val="00752844"/>
    <w:rsid w:val="00761E15"/>
    <w:rsid w:val="00763129"/>
    <w:rsid w:val="00770127"/>
    <w:rsid w:val="007710CD"/>
    <w:rsid w:val="0077774E"/>
    <w:rsid w:val="007833CC"/>
    <w:rsid w:val="007A3F4E"/>
    <w:rsid w:val="007A75BB"/>
    <w:rsid w:val="007A76C9"/>
    <w:rsid w:val="007C78F0"/>
    <w:rsid w:val="007F29C2"/>
    <w:rsid w:val="007F2B08"/>
    <w:rsid w:val="00810367"/>
    <w:rsid w:val="00826E16"/>
    <w:rsid w:val="00832F67"/>
    <w:rsid w:val="00843531"/>
    <w:rsid w:val="0084516D"/>
    <w:rsid w:val="008715E8"/>
    <w:rsid w:val="0088155F"/>
    <w:rsid w:val="00881E3A"/>
    <w:rsid w:val="0088381D"/>
    <w:rsid w:val="00884709"/>
    <w:rsid w:val="008A01B3"/>
    <w:rsid w:val="008A0BAB"/>
    <w:rsid w:val="008A6C60"/>
    <w:rsid w:val="008A7F49"/>
    <w:rsid w:val="008B1156"/>
    <w:rsid w:val="008C416F"/>
    <w:rsid w:val="008E0583"/>
    <w:rsid w:val="008E6B2A"/>
    <w:rsid w:val="008F0467"/>
    <w:rsid w:val="008F14C1"/>
    <w:rsid w:val="009057A9"/>
    <w:rsid w:val="00913688"/>
    <w:rsid w:val="00914DFC"/>
    <w:rsid w:val="00921C38"/>
    <w:rsid w:val="00923DD2"/>
    <w:rsid w:val="009340F8"/>
    <w:rsid w:val="00945CFD"/>
    <w:rsid w:val="00960673"/>
    <w:rsid w:val="0096162B"/>
    <w:rsid w:val="009637A2"/>
    <w:rsid w:val="00972999"/>
    <w:rsid w:val="009729BA"/>
    <w:rsid w:val="009828F1"/>
    <w:rsid w:val="009A6494"/>
    <w:rsid w:val="009B25B7"/>
    <w:rsid w:val="009B60B1"/>
    <w:rsid w:val="009C0544"/>
    <w:rsid w:val="009C151E"/>
    <w:rsid w:val="009C5172"/>
    <w:rsid w:val="009E62CB"/>
    <w:rsid w:val="00A1552D"/>
    <w:rsid w:val="00A35757"/>
    <w:rsid w:val="00A35FBA"/>
    <w:rsid w:val="00A43B96"/>
    <w:rsid w:val="00A50F28"/>
    <w:rsid w:val="00A53B31"/>
    <w:rsid w:val="00A62C3F"/>
    <w:rsid w:val="00A70909"/>
    <w:rsid w:val="00A75E40"/>
    <w:rsid w:val="00A8016B"/>
    <w:rsid w:val="00A82823"/>
    <w:rsid w:val="00A944E0"/>
    <w:rsid w:val="00AA5F6E"/>
    <w:rsid w:val="00AB3031"/>
    <w:rsid w:val="00AC5D64"/>
    <w:rsid w:val="00AD5A76"/>
    <w:rsid w:val="00AE5771"/>
    <w:rsid w:val="00AE65D5"/>
    <w:rsid w:val="00AF0B6E"/>
    <w:rsid w:val="00B001DA"/>
    <w:rsid w:val="00B06CC6"/>
    <w:rsid w:val="00B06ED4"/>
    <w:rsid w:val="00B215E7"/>
    <w:rsid w:val="00B35BF9"/>
    <w:rsid w:val="00B526FF"/>
    <w:rsid w:val="00B54539"/>
    <w:rsid w:val="00B606A0"/>
    <w:rsid w:val="00B66000"/>
    <w:rsid w:val="00B77D31"/>
    <w:rsid w:val="00B821EA"/>
    <w:rsid w:val="00B8352F"/>
    <w:rsid w:val="00BA5CB4"/>
    <w:rsid w:val="00BA76EA"/>
    <w:rsid w:val="00BC6FB9"/>
    <w:rsid w:val="00BD37C6"/>
    <w:rsid w:val="00BD6AA7"/>
    <w:rsid w:val="00C166DB"/>
    <w:rsid w:val="00C178EC"/>
    <w:rsid w:val="00C215A8"/>
    <w:rsid w:val="00C21A79"/>
    <w:rsid w:val="00C25796"/>
    <w:rsid w:val="00C26A62"/>
    <w:rsid w:val="00C43C3B"/>
    <w:rsid w:val="00C47323"/>
    <w:rsid w:val="00C63294"/>
    <w:rsid w:val="00C655E3"/>
    <w:rsid w:val="00C671DA"/>
    <w:rsid w:val="00C70B4B"/>
    <w:rsid w:val="00C75370"/>
    <w:rsid w:val="00CB39C8"/>
    <w:rsid w:val="00CC741C"/>
    <w:rsid w:val="00CD4A80"/>
    <w:rsid w:val="00CD6375"/>
    <w:rsid w:val="00CD7B88"/>
    <w:rsid w:val="00CE1F74"/>
    <w:rsid w:val="00D015BE"/>
    <w:rsid w:val="00D25FFD"/>
    <w:rsid w:val="00D35CF3"/>
    <w:rsid w:val="00D37537"/>
    <w:rsid w:val="00D60020"/>
    <w:rsid w:val="00D63924"/>
    <w:rsid w:val="00D81AF1"/>
    <w:rsid w:val="00D81BA5"/>
    <w:rsid w:val="00D91AB7"/>
    <w:rsid w:val="00DB57A0"/>
    <w:rsid w:val="00DB6898"/>
    <w:rsid w:val="00DC0F10"/>
    <w:rsid w:val="00DD0E51"/>
    <w:rsid w:val="00DE21D8"/>
    <w:rsid w:val="00DE28D7"/>
    <w:rsid w:val="00E00B5C"/>
    <w:rsid w:val="00E016D3"/>
    <w:rsid w:val="00E1276C"/>
    <w:rsid w:val="00E2188C"/>
    <w:rsid w:val="00E21F3A"/>
    <w:rsid w:val="00E26205"/>
    <w:rsid w:val="00E27083"/>
    <w:rsid w:val="00E37AB2"/>
    <w:rsid w:val="00E544F6"/>
    <w:rsid w:val="00E569F5"/>
    <w:rsid w:val="00E7198F"/>
    <w:rsid w:val="00E745EB"/>
    <w:rsid w:val="00E8582A"/>
    <w:rsid w:val="00E90BDC"/>
    <w:rsid w:val="00E919D2"/>
    <w:rsid w:val="00E954FE"/>
    <w:rsid w:val="00EA521A"/>
    <w:rsid w:val="00EB2576"/>
    <w:rsid w:val="00ED1B28"/>
    <w:rsid w:val="00ED684E"/>
    <w:rsid w:val="00EE260D"/>
    <w:rsid w:val="00EE4CE5"/>
    <w:rsid w:val="00EE6D7B"/>
    <w:rsid w:val="00F00643"/>
    <w:rsid w:val="00F04E3A"/>
    <w:rsid w:val="00F22423"/>
    <w:rsid w:val="00F303C2"/>
    <w:rsid w:val="00F37942"/>
    <w:rsid w:val="00F41A91"/>
    <w:rsid w:val="00F50FD2"/>
    <w:rsid w:val="00F61EE8"/>
    <w:rsid w:val="00F63E53"/>
    <w:rsid w:val="00F700AF"/>
    <w:rsid w:val="00F72506"/>
    <w:rsid w:val="00F77926"/>
    <w:rsid w:val="00F91FC2"/>
    <w:rsid w:val="00F9202F"/>
    <w:rsid w:val="00FA7382"/>
    <w:rsid w:val="00FA7433"/>
    <w:rsid w:val="00FB2075"/>
    <w:rsid w:val="00FB580F"/>
    <w:rsid w:val="00FC0C7D"/>
    <w:rsid w:val="00FD098C"/>
    <w:rsid w:val="00FD3472"/>
    <w:rsid w:val="00FE5A36"/>
    <w:rsid w:val="011B9379"/>
    <w:rsid w:val="03937EBC"/>
    <w:rsid w:val="03EC0ADC"/>
    <w:rsid w:val="0494184A"/>
    <w:rsid w:val="04EFD62C"/>
    <w:rsid w:val="06491108"/>
    <w:rsid w:val="07D3A692"/>
    <w:rsid w:val="07E4E169"/>
    <w:rsid w:val="0992DE0F"/>
    <w:rsid w:val="09C26672"/>
    <w:rsid w:val="0A91289D"/>
    <w:rsid w:val="0B1C822B"/>
    <w:rsid w:val="0B2EAE70"/>
    <w:rsid w:val="0B670E2F"/>
    <w:rsid w:val="0C085798"/>
    <w:rsid w:val="0C9F2A2F"/>
    <w:rsid w:val="0E5422ED"/>
    <w:rsid w:val="10095819"/>
    <w:rsid w:val="10B16587"/>
    <w:rsid w:val="133FE9A5"/>
    <w:rsid w:val="14C36471"/>
    <w:rsid w:val="1580263A"/>
    <w:rsid w:val="1689D474"/>
    <w:rsid w:val="18C464F2"/>
    <w:rsid w:val="191C210E"/>
    <w:rsid w:val="1A7DA128"/>
    <w:rsid w:val="1B197D98"/>
    <w:rsid w:val="1B2B5CDB"/>
    <w:rsid w:val="1B70C396"/>
    <w:rsid w:val="1CE0E7C8"/>
    <w:rsid w:val="1D0747E1"/>
    <w:rsid w:val="1DEC1A04"/>
    <w:rsid w:val="1E9CD3DF"/>
    <w:rsid w:val="1F12EB43"/>
    <w:rsid w:val="208266E8"/>
    <w:rsid w:val="20C78951"/>
    <w:rsid w:val="224622A4"/>
    <w:rsid w:val="22993943"/>
    <w:rsid w:val="22B62084"/>
    <w:rsid w:val="22D9C0BA"/>
    <w:rsid w:val="23248F7D"/>
    <w:rsid w:val="243C0D43"/>
    <w:rsid w:val="24C05FDE"/>
    <w:rsid w:val="25B422D1"/>
    <w:rsid w:val="25C567E8"/>
    <w:rsid w:val="28273416"/>
    <w:rsid w:val="2A61BABF"/>
    <w:rsid w:val="2A76591D"/>
    <w:rsid w:val="2A8793F4"/>
    <w:rsid w:val="2AF00D08"/>
    <w:rsid w:val="2BC5F29A"/>
    <w:rsid w:val="2BE7C60B"/>
    <w:rsid w:val="2E815BEF"/>
    <w:rsid w:val="2F49CA40"/>
    <w:rsid w:val="2F582CF1"/>
    <w:rsid w:val="301D2C50"/>
    <w:rsid w:val="31457A89"/>
    <w:rsid w:val="33D0F692"/>
    <w:rsid w:val="3528F1E6"/>
    <w:rsid w:val="3874F8F2"/>
    <w:rsid w:val="38D78429"/>
    <w:rsid w:val="38F22258"/>
    <w:rsid w:val="3A07D695"/>
    <w:rsid w:val="3A848F61"/>
    <w:rsid w:val="3B2425D3"/>
    <w:rsid w:val="3B67177D"/>
    <w:rsid w:val="3B785254"/>
    <w:rsid w:val="3C6CFE17"/>
    <w:rsid w:val="3ED4869A"/>
    <w:rsid w:val="3F46C5AD"/>
    <w:rsid w:val="3F580084"/>
    <w:rsid w:val="403A88A0"/>
    <w:rsid w:val="40973759"/>
    <w:rsid w:val="40D3DD49"/>
    <w:rsid w:val="41068A15"/>
    <w:rsid w:val="410D92D1"/>
    <w:rsid w:val="410DEAB0"/>
    <w:rsid w:val="418ABC37"/>
    <w:rsid w:val="4200B53F"/>
    <w:rsid w:val="44843E10"/>
    <w:rsid w:val="46C2F281"/>
    <w:rsid w:val="47AC2563"/>
    <w:rsid w:val="47EDBF02"/>
    <w:rsid w:val="4C57D5DD"/>
    <w:rsid w:val="4C9FD62B"/>
    <w:rsid w:val="4CE139C3"/>
    <w:rsid w:val="4EBFA8ED"/>
    <w:rsid w:val="5050AC6A"/>
    <w:rsid w:val="5089EC7A"/>
    <w:rsid w:val="50B35844"/>
    <w:rsid w:val="512B4700"/>
    <w:rsid w:val="516ED5CE"/>
    <w:rsid w:val="51F307F0"/>
    <w:rsid w:val="5219CB83"/>
    <w:rsid w:val="52BBEFF5"/>
    <w:rsid w:val="54562454"/>
    <w:rsid w:val="56DB4108"/>
    <w:rsid w:val="56EB916B"/>
    <w:rsid w:val="591B7D9D"/>
    <w:rsid w:val="5AF32F53"/>
    <w:rsid w:val="5BC79185"/>
    <w:rsid w:val="5E2ED861"/>
    <w:rsid w:val="5F73DAE7"/>
    <w:rsid w:val="62631924"/>
    <w:rsid w:val="62F66388"/>
    <w:rsid w:val="63A4EBA8"/>
    <w:rsid w:val="63B09D3B"/>
    <w:rsid w:val="63B79953"/>
    <w:rsid w:val="63E28744"/>
    <w:rsid w:val="6461B480"/>
    <w:rsid w:val="6480F912"/>
    <w:rsid w:val="655369B4"/>
    <w:rsid w:val="680B09CE"/>
    <w:rsid w:val="69D6CD80"/>
    <w:rsid w:val="6A5357A7"/>
    <w:rsid w:val="6AD0E37D"/>
    <w:rsid w:val="6E198120"/>
    <w:rsid w:val="6FC3ABB9"/>
    <w:rsid w:val="6FE32F5C"/>
    <w:rsid w:val="72925C3D"/>
    <w:rsid w:val="72EC7B98"/>
    <w:rsid w:val="73509DA0"/>
    <w:rsid w:val="73CEAE8B"/>
    <w:rsid w:val="74556F6C"/>
    <w:rsid w:val="7556CAF4"/>
    <w:rsid w:val="7720B401"/>
    <w:rsid w:val="7788CE6F"/>
    <w:rsid w:val="780C16C1"/>
    <w:rsid w:val="79B74D4E"/>
    <w:rsid w:val="7AEB26FE"/>
    <w:rsid w:val="7BD9C070"/>
    <w:rsid w:val="7BE0F8F6"/>
    <w:rsid w:val="7C4C93D5"/>
    <w:rsid w:val="7DBC3BA0"/>
    <w:rsid w:val="7DCCAEA4"/>
    <w:rsid w:val="7E24D6C5"/>
    <w:rsid w:val="7EE98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962BB"/>
  <w15:chartTrackingRefBased/>
  <w15:docId w15:val="{A70244E8-CA1A-4F7C-BE7F-C8C1A2D7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E8"/>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09465B"/>
    <w:pPr>
      <w:keepNext/>
      <w:keepLines/>
      <w:spacing w:before="360" w:after="120" w:line="276" w:lineRule="auto"/>
      <w:outlineLvl w:val="0"/>
    </w:pPr>
    <w:rPr>
      <w:rFonts w:asciiTheme="majorHAnsi" w:eastAsiaTheme="majorEastAsia" w:hAnsiTheme="majorHAnsi" w:cstheme="majorBidi"/>
      <w:bCs/>
      <w:color w:val="78BE20" w:themeColor="accent1"/>
      <w:sz w:val="36"/>
      <w:szCs w:val="28"/>
      <w:lang w:eastAsia="en-AU"/>
    </w:rPr>
  </w:style>
  <w:style w:type="paragraph" w:styleId="Heading2">
    <w:name w:val="heading 2"/>
    <w:basedOn w:val="Normal"/>
    <w:next w:val="Normal"/>
    <w:link w:val="Heading2Char"/>
    <w:qFormat/>
    <w:rsid w:val="000E23B2"/>
    <w:pPr>
      <w:keepNext/>
      <w:spacing w:before="280"/>
      <w:outlineLvl w:val="1"/>
    </w:pPr>
    <w:rPr>
      <w:rFonts w:asciiTheme="majorHAnsi" w:eastAsiaTheme="majorEastAsia" w:hAnsiTheme="majorHAnsi" w:cstheme="majorBidi"/>
      <w:bCs/>
      <w:color w:val="78BE20" w:themeColor="accent1"/>
      <w:sz w:val="28"/>
      <w:szCs w:val="26"/>
    </w:rPr>
  </w:style>
  <w:style w:type="paragraph" w:styleId="Heading3">
    <w:name w:val="heading 3"/>
    <w:basedOn w:val="Normal"/>
    <w:next w:val="Normal"/>
    <w:link w:val="Heading3Char"/>
    <w:qFormat/>
    <w:rsid w:val="007F2B08"/>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AF0B6E"/>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EE260D"/>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65B"/>
    <w:rPr>
      <w:rFonts w:asciiTheme="majorHAnsi" w:eastAsiaTheme="majorEastAsia" w:hAnsiTheme="majorHAnsi" w:cstheme="majorBidi"/>
      <w:bCs/>
      <w:color w:val="78BE20" w:themeColor="accent1"/>
      <w:sz w:val="36"/>
      <w:szCs w:val="28"/>
      <w:lang w:eastAsia="en-AU"/>
    </w:rPr>
  </w:style>
  <w:style w:type="paragraph" w:styleId="Title">
    <w:name w:val="Title"/>
    <w:next w:val="Subtitle"/>
    <w:link w:val="TitleChar"/>
    <w:uiPriority w:val="44"/>
    <w:qFormat/>
    <w:rsid w:val="001B71DC"/>
    <w:pPr>
      <w:spacing w:before="400" w:after="30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1B71DC"/>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761E15"/>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61E15"/>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C166DB"/>
    <w:rPr>
      <w:color w:val="78BE20" w:themeColor="accent1"/>
      <w:u w:val="none"/>
    </w:rPr>
  </w:style>
  <w:style w:type="character" w:styleId="UnresolvedMention">
    <w:name w:val="Unresolved Mention"/>
    <w:basedOn w:val="DefaultParagraphFont"/>
    <w:uiPriority w:val="99"/>
    <w:semiHidden/>
    <w:unhideWhenUsed/>
    <w:rsid w:val="00E00B5C"/>
    <w:rPr>
      <w:color w:val="605E5C"/>
      <w:shd w:val="clear" w:color="auto" w:fill="E1DFDD"/>
    </w:rPr>
  </w:style>
  <w:style w:type="paragraph" w:styleId="Header">
    <w:name w:val="header"/>
    <w:basedOn w:val="Normal"/>
    <w:link w:val="HeaderChar"/>
    <w:uiPriority w:val="99"/>
    <w:rsid w:val="00EE2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60D"/>
    <w:rPr>
      <w:rFonts w:eastAsiaTheme="minorEastAsia"/>
      <w:color w:val="000000" w:themeColor="text1"/>
      <w:sz w:val="20"/>
      <w:szCs w:val="20"/>
      <w:lang w:eastAsia="en-AU"/>
    </w:rPr>
  </w:style>
  <w:style w:type="paragraph" w:styleId="Footer">
    <w:name w:val="footer"/>
    <w:basedOn w:val="Normal"/>
    <w:link w:val="FooterChar"/>
    <w:uiPriority w:val="99"/>
    <w:rsid w:val="00EE260D"/>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EE260D"/>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0E23B2"/>
    <w:rPr>
      <w:rFonts w:asciiTheme="majorHAnsi" w:eastAsiaTheme="majorEastAsia" w:hAnsiTheme="majorHAnsi" w:cstheme="majorBidi"/>
      <w:bCs/>
      <w:color w:val="78BE20" w:themeColor="accent1"/>
      <w:sz w:val="28"/>
      <w:szCs w:val="26"/>
      <w:lang w:eastAsia="en-AU"/>
    </w:rPr>
  </w:style>
  <w:style w:type="character" w:customStyle="1" w:styleId="Heading3Char">
    <w:name w:val="Heading 3 Char"/>
    <w:basedOn w:val="DefaultParagraphFont"/>
    <w:link w:val="Heading3"/>
    <w:rsid w:val="007F2B08"/>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AF0B6E"/>
    <w:rPr>
      <w:rFonts w:asciiTheme="majorHAnsi" w:eastAsiaTheme="majorEastAsia" w:hAnsiTheme="majorHAnsi" w:cstheme="majorBidi"/>
      <w:bCs/>
      <w:iCs/>
      <w:color w:val="1F2A44" w:themeColor="text2"/>
      <w:szCs w:val="21"/>
      <w:lang w:eastAsia="en-AU"/>
    </w:rPr>
  </w:style>
  <w:style w:type="table" w:styleId="TableGrid">
    <w:name w:val="Table Grid"/>
    <w:basedOn w:val="TableNormal"/>
    <w:uiPriority w:val="39"/>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E260D"/>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0D1845"/>
    <w:pPr>
      <w:pBdr>
        <w:top w:val="single" w:sz="4" w:space="10" w:color="6BC4E8" w:themeColor="accent2"/>
        <w:bottom w:val="single" w:sz="4" w:space="10" w:color="6BC4E8" w:themeColor="accent2"/>
      </w:pBdr>
      <w:spacing w:before="360" w:after="360"/>
      <w:ind w:left="864" w:right="864"/>
      <w:jc w:val="center"/>
    </w:pPr>
    <w:rPr>
      <w:i/>
      <w:iCs/>
      <w:color w:val="6BC4E8" w:themeColor="accent2"/>
    </w:rPr>
  </w:style>
  <w:style w:type="character" w:customStyle="1" w:styleId="IntenseQuoteChar">
    <w:name w:val="Intense Quote Char"/>
    <w:aliases w:val="Quotation Char"/>
    <w:basedOn w:val="DefaultParagraphFont"/>
    <w:link w:val="IntenseQuote"/>
    <w:uiPriority w:val="30"/>
    <w:semiHidden/>
    <w:rsid w:val="002D7574"/>
    <w:rPr>
      <w:rFonts w:eastAsiaTheme="minorEastAsia"/>
      <w:i/>
      <w:iCs/>
      <w:color w:val="6BC4E8" w:themeColor="accent2"/>
      <w:sz w:val="20"/>
      <w:szCs w:val="20"/>
      <w:lang w:eastAsia="en-AU"/>
    </w:rPr>
  </w:style>
  <w:style w:type="paragraph" w:styleId="ListParagraph">
    <w:name w:val="List Paragraph"/>
    <w:basedOn w:val="Normal"/>
    <w:uiPriority w:val="34"/>
    <w:semiHidden/>
    <w:qFormat/>
    <w:rsid w:val="00EE260D"/>
    <w:pPr>
      <w:ind w:left="720"/>
      <w:contextualSpacing/>
    </w:pPr>
  </w:style>
  <w:style w:type="character" w:styleId="Strong">
    <w:name w:val="Strong"/>
    <w:aliases w:val="Table heading"/>
    <w:basedOn w:val="DefaultParagraphFont"/>
    <w:uiPriority w:val="22"/>
    <w:semiHidden/>
    <w:qFormat/>
    <w:rsid w:val="00C47323"/>
    <w:rPr>
      <w:b/>
      <w:bCs/>
    </w:rPr>
  </w:style>
  <w:style w:type="character" w:styleId="Emphasis">
    <w:name w:val="Emphasis"/>
    <w:aliases w:val="Table notes"/>
    <w:basedOn w:val="DefaultParagraphFont"/>
    <w:uiPriority w:val="20"/>
    <w:semiHidden/>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78BE20" w:themeColor="accent1"/>
        <w:left w:val="single" w:sz="4" w:space="0" w:color="78BE20" w:themeColor="accent1"/>
        <w:bottom w:val="single" w:sz="4" w:space="0" w:color="78BE20" w:themeColor="accent1"/>
        <w:right w:val="single" w:sz="4" w:space="0" w:color="78BE20" w:themeColor="accent1"/>
      </w:tblBorders>
    </w:tblPr>
    <w:tblStylePr w:type="firstRow">
      <w:rPr>
        <w:b/>
        <w:bCs/>
        <w:color w:val="FFFFFF" w:themeColor="background1"/>
      </w:rPr>
      <w:tblPr/>
      <w:tcPr>
        <w:shd w:val="clear" w:color="auto" w:fill="78BE20" w:themeFill="accent1"/>
      </w:tcPr>
    </w:tblStylePr>
    <w:tblStylePr w:type="lastRow">
      <w:rPr>
        <w:b/>
        <w:bCs/>
      </w:rPr>
      <w:tblPr/>
      <w:tcPr>
        <w:tcBorders>
          <w:top w:val="double" w:sz="4" w:space="0" w:color="78BE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1"/>
          <w:right w:val="single" w:sz="4" w:space="0" w:color="78BE20" w:themeColor="accent1"/>
        </w:tcBorders>
      </w:tcPr>
    </w:tblStylePr>
    <w:tblStylePr w:type="band1Horz">
      <w:tblPr/>
      <w:tcPr>
        <w:tcBorders>
          <w:top w:val="single" w:sz="4" w:space="0" w:color="78BE20" w:themeColor="accent1"/>
          <w:bottom w:val="single" w:sz="4" w:space="0" w:color="78BE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1"/>
          <w:left w:val="nil"/>
        </w:tcBorders>
      </w:tcPr>
    </w:tblStylePr>
    <w:tblStylePr w:type="swCell">
      <w:tblPr/>
      <w:tcPr>
        <w:tcBorders>
          <w:top w:val="double" w:sz="4" w:space="0" w:color="78BE20" w:themeColor="accent1"/>
          <w:right w:val="nil"/>
        </w:tcBorders>
      </w:tcPr>
    </w:tblStylePr>
  </w:style>
  <w:style w:type="paragraph" w:customStyle="1" w:styleId="Bullet1">
    <w:name w:val="Bullet 1"/>
    <w:link w:val="Bullet1Char"/>
    <w:uiPriority w:val="1"/>
    <w:qFormat/>
    <w:rsid w:val="00EE260D"/>
    <w:pPr>
      <w:numPr>
        <w:numId w:val="17"/>
      </w:numPr>
      <w:spacing w:before="100" w:after="100" w:line="264"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EE260D"/>
    <w:pPr>
      <w:numPr>
        <w:ilvl w:val="1"/>
      </w:numPr>
    </w:pPr>
  </w:style>
  <w:style w:type="paragraph" w:customStyle="1" w:styleId="Bulletindent">
    <w:name w:val="Bullet indent"/>
    <w:basedOn w:val="Bullet2"/>
    <w:uiPriority w:val="9"/>
    <w:qFormat/>
    <w:rsid w:val="00EE260D"/>
    <w:pPr>
      <w:numPr>
        <w:ilvl w:val="2"/>
      </w:numPr>
    </w:pPr>
  </w:style>
  <w:style w:type="paragraph" w:customStyle="1" w:styleId="Bulletindent2">
    <w:name w:val="Bullet indent 2"/>
    <w:basedOn w:val="Normal"/>
    <w:uiPriority w:val="9"/>
    <w:qFormat/>
    <w:rsid w:val="00EE260D"/>
    <w:pPr>
      <w:numPr>
        <w:ilvl w:val="3"/>
        <w:numId w:val="17"/>
      </w:numPr>
      <w:spacing w:before="100"/>
      <w:contextualSpacing/>
    </w:pPr>
  </w:style>
  <w:style w:type="paragraph" w:styleId="NoSpacing">
    <w:name w:val="No Spacing"/>
    <w:uiPriority w:val="1"/>
    <w:semiHidden/>
    <w:qFormat/>
    <w:rsid w:val="00D35CF3"/>
    <w:pPr>
      <w:spacing w:after="0" w:line="240" w:lineRule="auto"/>
    </w:pPr>
  </w:style>
  <w:style w:type="paragraph" w:customStyle="1" w:styleId="Heading1numbered">
    <w:name w:val="Heading 1 numbered"/>
    <w:basedOn w:val="Heading1"/>
    <w:next w:val="NormalIndent"/>
    <w:link w:val="Heading1numberedChar"/>
    <w:uiPriority w:val="8"/>
    <w:qFormat/>
    <w:rsid w:val="00EE260D"/>
    <w:pPr>
      <w:numPr>
        <w:ilvl w:val="2"/>
        <w:numId w:val="27"/>
      </w:numPr>
    </w:pPr>
  </w:style>
  <w:style w:type="paragraph" w:customStyle="1" w:styleId="Heading2numbered">
    <w:name w:val="Heading 2 numbered"/>
    <w:basedOn w:val="Heading2"/>
    <w:next w:val="NormalIndent"/>
    <w:link w:val="Heading2numberedChar"/>
    <w:uiPriority w:val="8"/>
    <w:qFormat/>
    <w:rsid w:val="00EE260D"/>
    <w:pPr>
      <w:numPr>
        <w:ilvl w:val="3"/>
        <w:numId w:val="27"/>
      </w:numPr>
    </w:pPr>
  </w:style>
  <w:style w:type="character" w:customStyle="1" w:styleId="Heading1numberedChar">
    <w:name w:val="Heading 1 numbered Char"/>
    <w:basedOn w:val="Heading1Char"/>
    <w:link w:val="Heading1numbered"/>
    <w:uiPriority w:val="8"/>
    <w:rsid w:val="00D35CF3"/>
    <w:rPr>
      <w:rFonts w:asciiTheme="majorHAnsi" w:eastAsiaTheme="majorEastAsia" w:hAnsiTheme="majorHAnsi" w:cstheme="majorBidi"/>
      <w:b w:val="0"/>
      <w:bCs/>
      <w:color w:val="78BE20" w:themeColor="accent1"/>
      <w:sz w:val="36"/>
      <w:szCs w:val="28"/>
      <w:lang w:eastAsia="en-AU"/>
    </w:rPr>
  </w:style>
  <w:style w:type="paragraph" w:customStyle="1" w:styleId="Heading3numbered">
    <w:name w:val="Heading 3 numbered"/>
    <w:basedOn w:val="Heading3"/>
    <w:next w:val="NormalIndent"/>
    <w:link w:val="Heading3numberedChar"/>
    <w:uiPriority w:val="8"/>
    <w:qFormat/>
    <w:rsid w:val="00EE260D"/>
    <w:pPr>
      <w:numPr>
        <w:ilvl w:val="4"/>
        <w:numId w:val="27"/>
      </w:numPr>
    </w:pPr>
  </w:style>
  <w:style w:type="character" w:customStyle="1" w:styleId="Heading2numberedChar">
    <w:name w:val="Heading 2 numbered Char"/>
    <w:basedOn w:val="Heading2Char"/>
    <w:link w:val="Heading2numbered"/>
    <w:uiPriority w:val="8"/>
    <w:rsid w:val="00D35CF3"/>
    <w:rPr>
      <w:rFonts w:asciiTheme="majorHAnsi" w:eastAsiaTheme="majorEastAsia" w:hAnsiTheme="majorHAnsi" w:cstheme="majorBidi"/>
      <w:b w:val="0"/>
      <w:bCs/>
      <w:color w:val="1F2A44" w:themeColor="text2"/>
      <w:sz w:val="28"/>
      <w:szCs w:val="26"/>
      <w:lang w:eastAsia="en-AU"/>
    </w:rPr>
  </w:style>
  <w:style w:type="table" w:customStyle="1" w:styleId="Financialtable">
    <w:name w:val="Financial table"/>
    <w:basedOn w:val="TableNormal"/>
    <w:uiPriority w:val="99"/>
    <w:rsid w:val="009A6494"/>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8BE20" w:themeFill="accent1"/>
      </w:tcPr>
    </w:tblStylePr>
    <w:tblStylePr w:type="lastRow">
      <w:rPr>
        <w:b/>
      </w:rPr>
      <w:tblPr/>
      <w:tcPr>
        <w:tcBorders>
          <w:top w:val="single" w:sz="6" w:space="0" w:color="78BE20" w:themeColor="accent1"/>
          <w:left w:val="nil"/>
          <w:bottom w:val="single" w:sz="12" w:space="0" w:color="78BE20"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D35CF3"/>
    <w:rPr>
      <w:rFonts w:asciiTheme="majorHAnsi" w:eastAsiaTheme="majorEastAsia" w:hAnsiTheme="majorHAnsi" w:cstheme="majorBidi"/>
      <w:b w:val="0"/>
      <w:bCs/>
      <w:color w:val="1F2A44" w:themeColor="text2"/>
      <w:sz w:val="24"/>
      <w:szCs w:val="24"/>
      <w:lang w:eastAsia="en-AU"/>
    </w:rPr>
  </w:style>
  <w:style w:type="paragraph" w:customStyle="1" w:styleId="Sub-principle">
    <w:name w:val="Sub-principle"/>
    <w:basedOn w:val="Principle"/>
    <w:qFormat/>
    <w:rsid w:val="007710CD"/>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8BE20" w:themeFill="accent1"/>
      </w:tcPr>
    </w:tblStylePr>
    <w:tblStylePr w:type="lastRow">
      <w:rPr>
        <w:b/>
      </w:rPr>
      <w:tblPr/>
      <w:tcPr>
        <w:tcBorders>
          <w:top w:val="single" w:sz="6" w:space="0" w:color="78BE20" w:themeColor="accent1"/>
          <w:left w:val="nil"/>
          <w:bottom w:val="single" w:sz="12" w:space="0" w:color="78BE20"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D35CF3"/>
    <w:rPr>
      <w:rFonts w:eastAsia="Times New Roman" w:cs="Calibri"/>
      <w:color w:val="000000" w:themeColor="text1"/>
      <w:sz w:val="20"/>
      <w:szCs w:val="20"/>
      <w:lang w:eastAsia="en-AU"/>
    </w:rPr>
  </w:style>
  <w:style w:type="paragraph" w:customStyle="1" w:styleId="Principle">
    <w:name w:val="Principle"/>
    <w:basedOn w:val="Normal"/>
    <w:qFormat/>
    <w:rsid w:val="00923DD2"/>
    <w:pPr>
      <w:keepNext/>
      <w:pageBreakBefore/>
      <w:numPr>
        <w:numId w:val="32"/>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EE260D"/>
    <w:pPr>
      <w:spacing w:before="0" w:after="0" w:line="240" w:lineRule="auto"/>
    </w:pPr>
    <w:rPr>
      <w:sz w:val="17"/>
    </w:rPr>
  </w:style>
  <w:style w:type="character" w:customStyle="1" w:styleId="FootnoteTextChar">
    <w:name w:val="Footnote Text Char"/>
    <w:basedOn w:val="DefaultParagraphFont"/>
    <w:link w:val="FootnoteText"/>
    <w:uiPriority w:val="99"/>
    <w:semiHidden/>
    <w:rsid w:val="00EE260D"/>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EE260D"/>
    <w:rPr>
      <w:vertAlign w:val="superscript"/>
    </w:rPr>
  </w:style>
  <w:style w:type="paragraph" w:styleId="CommentText">
    <w:name w:val="annotation text"/>
    <w:basedOn w:val="Normal"/>
    <w:link w:val="CommentTextChar"/>
    <w:uiPriority w:val="99"/>
    <w:semiHidden/>
    <w:unhideWhenUsed/>
    <w:rsid w:val="00F9202F"/>
    <w:pPr>
      <w:spacing w:after="0" w:line="240" w:lineRule="auto"/>
    </w:pPr>
  </w:style>
  <w:style w:type="character" w:customStyle="1" w:styleId="CommentTextChar">
    <w:name w:val="Comment Text Char"/>
    <w:basedOn w:val="DefaultParagraphFont"/>
    <w:link w:val="CommentText"/>
    <w:uiPriority w:val="99"/>
    <w:semiHidden/>
    <w:rsid w:val="00F9202F"/>
    <w:rPr>
      <w:rFonts w:eastAsiaTheme="minorEastAsia"/>
      <w:sz w:val="20"/>
      <w:szCs w:val="20"/>
    </w:rPr>
  </w:style>
  <w:style w:type="character" w:styleId="CommentReference">
    <w:name w:val="annotation reference"/>
    <w:basedOn w:val="DefaultParagraphFont"/>
    <w:uiPriority w:val="99"/>
    <w:semiHidden/>
    <w:unhideWhenUsed/>
    <w:rsid w:val="00F9202F"/>
    <w:rPr>
      <w:sz w:val="16"/>
      <w:szCs w:val="16"/>
    </w:rPr>
  </w:style>
  <w:style w:type="table" w:styleId="TableGridLight">
    <w:name w:val="Grid Table Light"/>
    <w:basedOn w:val="TableNormal"/>
    <w:uiPriority w:val="40"/>
    <w:rsid w:val="00F9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127637"/>
    <w:pPr>
      <w:spacing w:after="160"/>
      <w:jc w:val="both"/>
    </w:pPr>
    <w:rPr>
      <w:rFonts w:eastAsiaTheme="minorHAnsi"/>
      <w:b/>
      <w:bCs/>
    </w:rPr>
  </w:style>
  <w:style w:type="character" w:customStyle="1" w:styleId="CommentSubjectChar">
    <w:name w:val="Comment Subject Char"/>
    <w:basedOn w:val="CommentTextChar"/>
    <w:link w:val="CommentSubject"/>
    <w:uiPriority w:val="99"/>
    <w:semiHidden/>
    <w:rsid w:val="00127637"/>
    <w:rPr>
      <w:rFonts w:eastAsiaTheme="minorEastAsia"/>
      <w:b/>
      <w:bCs/>
      <w:sz w:val="20"/>
      <w:szCs w:val="20"/>
    </w:rPr>
  </w:style>
  <w:style w:type="paragraph" w:styleId="Revision">
    <w:name w:val="Revision"/>
    <w:hidden/>
    <w:uiPriority w:val="99"/>
    <w:semiHidden/>
    <w:rsid w:val="001748A8"/>
    <w:pPr>
      <w:spacing w:after="0" w:line="240" w:lineRule="auto"/>
    </w:pPr>
  </w:style>
  <w:style w:type="paragraph" w:styleId="BalloonText">
    <w:name w:val="Balloon Text"/>
    <w:basedOn w:val="Normal"/>
    <w:link w:val="BalloonTextChar"/>
    <w:uiPriority w:val="99"/>
    <w:semiHidden/>
    <w:rsid w:val="00EE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0D"/>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EE260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E260D"/>
    <w:rPr>
      <w:rFonts w:ascii="Calibri" w:eastAsia="Times New Roman" w:hAnsi="Calibri" w:cs="Calibri"/>
      <w:color w:val="000000" w:themeColor="text1"/>
      <w:lang w:eastAsia="en-AU"/>
    </w:rPr>
  </w:style>
  <w:style w:type="paragraph" w:styleId="Caption">
    <w:name w:val="caption"/>
    <w:basedOn w:val="Normal"/>
    <w:next w:val="Normal"/>
    <w:uiPriority w:val="5"/>
    <w:rsid w:val="00E745EB"/>
    <w:pPr>
      <w:keepNext/>
      <w:spacing w:before="200" w:after="60" w:line="240" w:lineRule="auto"/>
    </w:pPr>
    <w:rPr>
      <w:b/>
      <w:bCs/>
      <w:szCs w:val="18"/>
    </w:rPr>
  </w:style>
  <w:style w:type="paragraph" w:customStyle="1" w:styleId="Captionindent">
    <w:name w:val="Caption indent"/>
    <w:basedOn w:val="Caption"/>
    <w:uiPriority w:val="7"/>
    <w:qFormat/>
    <w:rsid w:val="00EE260D"/>
    <w:pPr>
      <w:spacing w:before="240"/>
      <w:ind w:left="792"/>
    </w:pPr>
  </w:style>
  <w:style w:type="paragraph" w:customStyle="1" w:styleId="CM">
    <w:name w:val="CM"/>
    <w:next w:val="Title"/>
    <w:uiPriority w:val="79"/>
    <w:semiHidden/>
    <w:rsid w:val="00EE260D"/>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E260D"/>
    <w:pPr>
      <w:spacing w:before="4600" w:after="0"/>
    </w:pPr>
  </w:style>
  <w:style w:type="character" w:styleId="FollowedHyperlink">
    <w:name w:val="FollowedHyperlink"/>
    <w:basedOn w:val="DefaultParagraphFont"/>
    <w:uiPriority w:val="99"/>
    <w:semiHidden/>
    <w:rsid w:val="00EE260D"/>
    <w:rPr>
      <w:color w:val="808080" w:themeColor="background1" w:themeShade="80"/>
      <w:u w:val="none"/>
    </w:rPr>
  </w:style>
  <w:style w:type="paragraph" w:styleId="NormalIndent">
    <w:name w:val="Normal Indent"/>
    <w:basedOn w:val="Normal"/>
    <w:uiPriority w:val="9"/>
    <w:qFormat/>
    <w:rsid w:val="00EE260D"/>
    <w:pPr>
      <w:ind w:left="792"/>
    </w:pPr>
  </w:style>
  <w:style w:type="paragraph" w:styleId="Index1">
    <w:name w:val="index 1"/>
    <w:basedOn w:val="Normal"/>
    <w:next w:val="Normal"/>
    <w:uiPriority w:val="99"/>
    <w:semiHidden/>
    <w:rsid w:val="00EE260D"/>
    <w:pPr>
      <w:spacing w:after="60" w:line="240" w:lineRule="auto"/>
    </w:pPr>
    <w:rPr>
      <w:sz w:val="16"/>
    </w:rPr>
  </w:style>
  <w:style w:type="paragraph" w:styleId="Index2">
    <w:name w:val="index 2"/>
    <w:basedOn w:val="Normal"/>
    <w:next w:val="Normal"/>
    <w:uiPriority w:val="99"/>
    <w:semiHidden/>
    <w:rsid w:val="00EE260D"/>
    <w:pPr>
      <w:spacing w:after="0" w:line="240" w:lineRule="auto"/>
      <w:ind w:left="216"/>
    </w:pPr>
    <w:rPr>
      <w:sz w:val="16"/>
      <w:szCs w:val="16"/>
    </w:rPr>
  </w:style>
  <w:style w:type="paragraph" w:styleId="IndexHeading">
    <w:name w:val="index heading"/>
    <w:basedOn w:val="Normal"/>
    <w:next w:val="Index1"/>
    <w:uiPriority w:val="99"/>
    <w:semiHidden/>
    <w:rsid w:val="00EE260D"/>
    <w:rPr>
      <w:rFonts w:asciiTheme="majorHAnsi" w:eastAsiaTheme="majorEastAsia" w:hAnsiTheme="majorHAnsi" w:cstheme="majorBidi"/>
      <w:b/>
      <w:bCs/>
    </w:rPr>
  </w:style>
  <w:style w:type="paragraph" w:customStyle="1" w:styleId="NormalTight">
    <w:name w:val="Normal Tight"/>
    <w:uiPriority w:val="99"/>
    <w:semiHidden/>
    <w:rsid w:val="00EE260D"/>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EE260D"/>
    <w:pPr>
      <w:spacing w:before="3800"/>
      <w:ind w:right="1382"/>
    </w:pPr>
  </w:style>
  <w:style w:type="table" w:styleId="LightList-Accent1">
    <w:name w:val="Light List Accent 1"/>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78BE20" w:themeColor="accent1"/>
        <w:left w:val="single" w:sz="8" w:space="0" w:color="78BE20" w:themeColor="accent1"/>
        <w:bottom w:val="single" w:sz="8" w:space="0" w:color="78BE20" w:themeColor="accent1"/>
        <w:right w:val="single" w:sz="8" w:space="0" w:color="78BE20" w:themeColor="accent1"/>
      </w:tblBorders>
    </w:tblPr>
    <w:tblStylePr w:type="firstRow">
      <w:pPr>
        <w:spacing w:before="0" w:after="0" w:line="240" w:lineRule="auto"/>
      </w:pPr>
      <w:rPr>
        <w:b/>
        <w:bCs/>
        <w:color w:val="FFFFFF" w:themeColor="background1"/>
      </w:rPr>
      <w:tblPr/>
      <w:tcPr>
        <w:shd w:val="clear" w:color="auto" w:fill="78BE20" w:themeFill="accent1"/>
      </w:tcPr>
    </w:tblStylePr>
    <w:tblStylePr w:type="lastRow">
      <w:pPr>
        <w:spacing w:before="0" w:after="0" w:line="240" w:lineRule="auto"/>
      </w:pPr>
      <w:rPr>
        <w:b/>
        <w:bCs/>
      </w:rPr>
      <w:tblPr/>
      <w:tcPr>
        <w:tcBorders>
          <w:top w:val="double" w:sz="6" w:space="0" w:color="78BE20" w:themeColor="accent1"/>
          <w:left w:val="single" w:sz="8" w:space="0" w:color="78BE20" w:themeColor="accent1"/>
          <w:bottom w:val="single" w:sz="8" w:space="0" w:color="78BE20" w:themeColor="accent1"/>
          <w:right w:val="single" w:sz="8" w:space="0" w:color="78BE20" w:themeColor="accent1"/>
        </w:tcBorders>
      </w:tcPr>
    </w:tblStylePr>
    <w:tblStylePr w:type="firstCol">
      <w:rPr>
        <w:b/>
        <w:bCs/>
      </w:rPr>
    </w:tblStylePr>
    <w:tblStylePr w:type="lastCol">
      <w:rPr>
        <w:b/>
        <w:bCs/>
      </w:rPr>
    </w:tblStylePr>
    <w:tblStylePr w:type="band1Vert">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tblStylePr w:type="band1Horz">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style>
  <w:style w:type="table" w:styleId="LightList-Accent4">
    <w:name w:val="Light List Accent 4"/>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87189D" w:themeColor="accent4"/>
        <w:left w:val="single" w:sz="8" w:space="0" w:color="87189D" w:themeColor="accent4"/>
        <w:bottom w:val="single" w:sz="8" w:space="0" w:color="87189D" w:themeColor="accent4"/>
        <w:right w:val="single" w:sz="8" w:space="0" w:color="87189D" w:themeColor="accent4"/>
      </w:tblBorders>
    </w:tblPr>
    <w:tblStylePr w:type="firstRow">
      <w:pPr>
        <w:spacing w:before="0" w:after="0" w:line="240" w:lineRule="auto"/>
      </w:pPr>
      <w:rPr>
        <w:b/>
        <w:bCs/>
        <w:color w:val="FFFFFF" w:themeColor="background1"/>
      </w:rPr>
      <w:tblPr/>
      <w:tcPr>
        <w:shd w:val="clear" w:color="auto" w:fill="87189D" w:themeFill="accent4"/>
      </w:tcPr>
    </w:tblStylePr>
    <w:tblStylePr w:type="lastRow">
      <w:pPr>
        <w:spacing w:before="0" w:after="0" w:line="240" w:lineRule="auto"/>
      </w:pPr>
      <w:rPr>
        <w:b/>
        <w:bCs/>
      </w:rPr>
      <w:tblPr/>
      <w:tcPr>
        <w:tcBorders>
          <w:top w:val="double" w:sz="6" w:space="0" w:color="87189D" w:themeColor="accent4"/>
          <w:left w:val="single" w:sz="8" w:space="0" w:color="87189D" w:themeColor="accent4"/>
          <w:bottom w:val="single" w:sz="8" w:space="0" w:color="87189D" w:themeColor="accent4"/>
          <w:right w:val="single" w:sz="8" w:space="0" w:color="87189D" w:themeColor="accent4"/>
        </w:tcBorders>
      </w:tcPr>
    </w:tblStylePr>
    <w:tblStylePr w:type="firstCol">
      <w:rPr>
        <w:b/>
        <w:bCs/>
      </w:rPr>
    </w:tblStylePr>
    <w:tblStylePr w:type="lastCol">
      <w:rPr>
        <w:b/>
        <w:bCs/>
      </w:rPr>
    </w:tblStylePr>
    <w:tblStylePr w:type="band1Vert">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tblStylePr w:type="band1Horz">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style>
  <w:style w:type="table" w:styleId="LightShading">
    <w:name w:val="Light Shading"/>
    <w:basedOn w:val="TableNormal"/>
    <w:uiPriority w:val="60"/>
    <w:rsid w:val="00EE260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EE260D"/>
    <w:pPr>
      <w:numPr>
        <w:numId w:val="27"/>
      </w:numPr>
    </w:pPr>
  </w:style>
  <w:style w:type="paragraph" w:customStyle="1" w:styleId="Listnum2">
    <w:name w:val="List num 2"/>
    <w:basedOn w:val="Normal"/>
    <w:uiPriority w:val="2"/>
    <w:qFormat/>
    <w:rsid w:val="00EE260D"/>
    <w:pPr>
      <w:numPr>
        <w:ilvl w:val="1"/>
        <w:numId w:val="27"/>
      </w:numPr>
    </w:pPr>
  </w:style>
  <w:style w:type="paragraph" w:customStyle="1" w:styleId="Listnumindent">
    <w:name w:val="List num indent"/>
    <w:basedOn w:val="Normal"/>
    <w:uiPriority w:val="9"/>
    <w:qFormat/>
    <w:rsid w:val="00EE260D"/>
    <w:pPr>
      <w:numPr>
        <w:ilvl w:val="6"/>
        <w:numId w:val="27"/>
      </w:numPr>
      <w:spacing w:before="100"/>
    </w:pPr>
  </w:style>
  <w:style w:type="paragraph" w:customStyle="1" w:styleId="Listnumindent2">
    <w:name w:val="List num indent 2"/>
    <w:basedOn w:val="Normal"/>
    <w:uiPriority w:val="9"/>
    <w:qFormat/>
    <w:rsid w:val="00EE260D"/>
    <w:pPr>
      <w:numPr>
        <w:ilvl w:val="7"/>
        <w:numId w:val="27"/>
      </w:numPr>
      <w:spacing w:before="100"/>
      <w:contextualSpacing/>
    </w:pPr>
  </w:style>
  <w:style w:type="paragraph" w:customStyle="1" w:styleId="NoteNormal">
    <w:name w:val="Note Normal"/>
    <w:basedOn w:val="Normal"/>
    <w:rsid w:val="00EE260D"/>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EE260D"/>
    <w:pPr>
      <w:ind w:left="792"/>
    </w:pPr>
  </w:style>
  <w:style w:type="paragraph" w:customStyle="1" w:styleId="Numpara">
    <w:name w:val="Num para"/>
    <w:basedOn w:val="ListParagraph"/>
    <w:uiPriority w:val="2"/>
    <w:qFormat/>
    <w:rsid w:val="00EE260D"/>
    <w:pPr>
      <w:numPr>
        <w:numId w:val="26"/>
      </w:numPr>
      <w:tabs>
        <w:tab w:val="left" w:pos="540"/>
      </w:tabs>
    </w:pPr>
  </w:style>
  <w:style w:type="paragraph" w:customStyle="1" w:styleId="Numparaindent">
    <w:name w:val="Num para indent"/>
    <w:basedOn w:val="Numpara"/>
    <w:uiPriority w:val="9"/>
    <w:qFormat/>
    <w:rsid w:val="00EE260D"/>
    <w:pPr>
      <w:numPr>
        <w:ilvl w:val="8"/>
        <w:numId w:val="27"/>
      </w:numPr>
      <w:tabs>
        <w:tab w:val="clear" w:pos="540"/>
      </w:tabs>
    </w:pPr>
  </w:style>
  <w:style w:type="character" w:styleId="PageNumber">
    <w:name w:val="page number"/>
    <w:uiPriority w:val="49"/>
    <w:semiHidden/>
    <w:rsid w:val="00EE260D"/>
    <w:rPr>
      <w:rFonts w:asciiTheme="minorHAnsi" w:hAnsiTheme="minorHAnsi"/>
      <w:b w:val="0"/>
      <w:color w:val="000000" w:themeColor="text1"/>
    </w:rPr>
  </w:style>
  <w:style w:type="character" w:styleId="PlaceholderText">
    <w:name w:val="Placeholder Text"/>
    <w:basedOn w:val="DefaultParagraphFont"/>
    <w:uiPriority w:val="99"/>
    <w:semiHidden/>
    <w:rsid w:val="00EE260D"/>
    <w:rPr>
      <w:color w:val="808080"/>
    </w:rPr>
  </w:style>
  <w:style w:type="table" w:styleId="PlainTable4">
    <w:name w:val="Plain Table 4"/>
    <w:basedOn w:val="TableNormal"/>
    <w:uiPriority w:val="44"/>
    <w:rsid w:val="00EE260D"/>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A62C3F"/>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A62C3F"/>
    <w:rPr>
      <w:rFonts w:eastAsiaTheme="minorEastAsia"/>
      <w:i/>
      <w:iCs/>
      <w:color w:val="000000" w:themeColor="text1"/>
      <w:sz w:val="18"/>
      <w:szCs w:val="18"/>
      <w:lang w:eastAsia="en-AU"/>
    </w:rPr>
  </w:style>
  <w:style w:type="paragraph" w:customStyle="1" w:styleId="ReportDate">
    <w:name w:val="ReportDate"/>
    <w:uiPriority w:val="79"/>
    <w:semiHidden/>
    <w:rsid w:val="00EE260D"/>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EE260D"/>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437262"/>
    <w:pPr>
      <w:spacing w:before="60" w:after="60"/>
    </w:pPr>
    <w:rPr>
      <w:sz w:val="18"/>
    </w:rPr>
  </w:style>
  <w:style w:type="paragraph" w:customStyle="1" w:styleId="Tablebullet">
    <w:name w:val="Table bullet"/>
    <w:basedOn w:val="Tabletext"/>
    <w:uiPriority w:val="6"/>
    <w:rsid w:val="00EE260D"/>
    <w:pPr>
      <w:numPr>
        <w:numId w:val="31"/>
      </w:numPr>
    </w:pPr>
  </w:style>
  <w:style w:type="paragraph" w:customStyle="1" w:styleId="Tabledash">
    <w:name w:val="Table dash"/>
    <w:basedOn w:val="Tablebullet"/>
    <w:uiPriority w:val="6"/>
    <w:rsid w:val="00EE260D"/>
    <w:pPr>
      <w:numPr>
        <w:ilvl w:val="1"/>
      </w:numPr>
    </w:pPr>
  </w:style>
  <w:style w:type="paragraph" w:customStyle="1" w:styleId="Tableheader">
    <w:name w:val="Table header"/>
    <w:basedOn w:val="Tabletext"/>
    <w:uiPriority w:val="5"/>
    <w:qFormat/>
    <w:rsid w:val="00C166DB"/>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EE260D"/>
    <w:pPr>
      <w:numPr>
        <w:ilvl w:val="2"/>
        <w:numId w:val="31"/>
      </w:numPr>
      <w:spacing w:before="60" w:after="60"/>
    </w:pPr>
    <w:rPr>
      <w:sz w:val="17"/>
    </w:rPr>
  </w:style>
  <w:style w:type="paragraph" w:customStyle="1" w:styleId="Tablenum2">
    <w:name w:val="Table num 2"/>
    <w:basedOn w:val="Normal"/>
    <w:uiPriority w:val="6"/>
    <w:rsid w:val="00EE260D"/>
    <w:pPr>
      <w:numPr>
        <w:ilvl w:val="3"/>
        <w:numId w:val="31"/>
      </w:numPr>
      <w:spacing w:before="60" w:after="60"/>
    </w:pPr>
    <w:rPr>
      <w:sz w:val="17"/>
    </w:rPr>
  </w:style>
  <w:style w:type="paragraph" w:customStyle="1" w:styleId="Tabletextcentred">
    <w:name w:val="Table text centred"/>
    <w:basedOn w:val="Tabletext"/>
    <w:uiPriority w:val="5"/>
    <w:qFormat/>
    <w:rsid w:val="00EE260D"/>
    <w:pPr>
      <w:jc w:val="center"/>
    </w:pPr>
  </w:style>
  <w:style w:type="paragraph" w:customStyle="1" w:styleId="Tabletextindent">
    <w:name w:val="Table text indent"/>
    <w:basedOn w:val="Tabletext"/>
    <w:uiPriority w:val="5"/>
    <w:qFormat/>
    <w:rsid w:val="00EE260D"/>
    <w:pPr>
      <w:ind w:left="288"/>
    </w:pPr>
  </w:style>
  <w:style w:type="paragraph" w:customStyle="1" w:styleId="Tabletextright">
    <w:name w:val="Table text right"/>
    <w:basedOn w:val="Tabletext"/>
    <w:uiPriority w:val="5"/>
    <w:qFormat/>
    <w:rsid w:val="00EE260D"/>
    <w:pPr>
      <w:jc w:val="right"/>
    </w:pPr>
  </w:style>
  <w:style w:type="paragraph" w:customStyle="1" w:styleId="TertiaryTitle">
    <w:name w:val="Tertiary Title"/>
    <w:next w:val="Normal"/>
    <w:uiPriority w:val="99"/>
    <w:semiHidden/>
    <w:rsid w:val="00EE260D"/>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8715E8"/>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8715E8"/>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715E8"/>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EE260D"/>
    <w:pPr>
      <w:spacing w:before="280"/>
      <w:ind w:left="446" w:right="29" w:hanging="446"/>
    </w:pPr>
    <w:rPr>
      <w:lang w:eastAsia="en-US"/>
    </w:rPr>
  </w:style>
  <w:style w:type="paragraph" w:styleId="TOC5">
    <w:name w:val="toc 5"/>
    <w:basedOn w:val="TOC2"/>
    <w:next w:val="Normal"/>
    <w:uiPriority w:val="39"/>
    <w:semiHidden/>
    <w:rsid w:val="00EE260D"/>
    <w:pPr>
      <w:ind w:left="1080" w:hanging="634"/>
    </w:pPr>
    <w:rPr>
      <w:lang w:eastAsia="en-US"/>
    </w:rPr>
  </w:style>
  <w:style w:type="paragraph" w:styleId="TOC6">
    <w:name w:val="toc 6"/>
    <w:basedOn w:val="TOC3"/>
    <w:next w:val="Normal"/>
    <w:uiPriority w:val="39"/>
    <w:semiHidden/>
    <w:rsid w:val="00EE260D"/>
    <w:pPr>
      <w:ind w:hanging="720"/>
    </w:pPr>
    <w:rPr>
      <w:lang w:eastAsia="en-US"/>
    </w:rPr>
  </w:style>
  <w:style w:type="paragraph" w:styleId="TOCHeading">
    <w:name w:val="TOC Heading"/>
    <w:basedOn w:val="Heading1"/>
    <w:next w:val="Normal"/>
    <w:uiPriority w:val="38"/>
    <w:rsid w:val="00EE260D"/>
    <w:pPr>
      <w:spacing w:before="440" w:after="440"/>
      <w:outlineLvl w:val="9"/>
    </w:pPr>
    <w:rPr>
      <w:spacing w:val="2"/>
    </w:rPr>
  </w:style>
  <w:style w:type="table" w:customStyle="1" w:styleId="Texttable">
    <w:name w:val="Text table"/>
    <w:basedOn w:val="TableNormal"/>
    <w:uiPriority w:val="99"/>
    <w:rsid w:val="009A6494"/>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78BE20" w:themeFill="accent1"/>
      </w:tcPr>
    </w:tblStylePr>
    <w:tblStylePr w:type="lastRow">
      <w:rPr>
        <w:b/>
      </w:rPr>
      <w:tblPr/>
      <w:tcPr>
        <w:tcBorders>
          <w:top w:val="single" w:sz="6" w:space="0" w:color="6BC4E8" w:themeColor="accent2"/>
          <w:left w:val="nil"/>
          <w:bottom w:val="single" w:sz="12" w:space="0" w:color="6BC4E8"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78BE20" w:themeFill="accent1"/>
      </w:tcPr>
    </w:tblStylePr>
    <w:tblStylePr w:type="lastRow">
      <w:rPr>
        <w:b/>
      </w:rPr>
      <w:tblPr/>
      <w:tcPr>
        <w:tcBorders>
          <w:top w:val="single" w:sz="6" w:space="0" w:color="78BE20" w:themeColor="accent1"/>
          <w:left w:val="nil"/>
          <w:bottom w:val="single" w:sz="12" w:space="0" w:color="78BE2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AF0B6E"/>
    <w:pPr>
      <w:tabs>
        <w:tab w:val="num" w:pos="792"/>
      </w:tabs>
      <w:spacing w:line="264" w:lineRule="auto"/>
      <w:ind w:left="792" w:hanging="792"/>
    </w:pPr>
    <w:rPr>
      <w:b/>
    </w:rPr>
  </w:style>
  <w:style w:type="paragraph" w:customStyle="1" w:styleId="Highlightboxbullet">
    <w:name w:val="Highlight box bullet"/>
    <w:basedOn w:val="ListParagraph"/>
    <w:uiPriority w:val="13"/>
    <w:qFormat/>
    <w:rsid w:val="008715E8"/>
    <w:pPr>
      <w:numPr>
        <w:numId w:val="33"/>
      </w:numPr>
      <w:pBdr>
        <w:top w:val="single" w:sz="6" w:space="6" w:color="78BE20" w:themeColor="accent1"/>
        <w:bottom w:val="single" w:sz="6" w:space="4" w:color="78BE20" w:themeColor="accent1"/>
      </w:pBdr>
      <w:shd w:val="clear" w:color="auto" w:fill="E2E6F2" w:themeFill="text2" w:themeFillTint="1A"/>
    </w:pPr>
  </w:style>
  <w:style w:type="paragraph" w:customStyle="1" w:styleId="Highlightboxheading">
    <w:name w:val="Highlight box heading"/>
    <w:basedOn w:val="Normal"/>
    <w:uiPriority w:val="13"/>
    <w:qFormat/>
    <w:rsid w:val="008715E8"/>
    <w:pPr>
      <w:pBdr>
        <w:top w:val="single" w:sz="6" w:space="6" w:color="78BE20" w:themeColor="accent1"/>
        <w:bottom w:val="single" w:sz="6" w:space="4" w:color="78BE20" w:themeColor="accent1"/>
      </w:pBdr>
      <w:shd w:val="clear" w:color="auto" w:fill="E2E6F2" w:themeFill="text2" w:themeFillTint="1A"/>
    </w:pPr>
    <w:rPr>
      <w:rFonts w:asciiTheme="majorHAnsi" w:hAnsiTheme="majorHAnsi"/>
      <w:bCs/>
    </w:rPr>
  </w:style>
  <w:style w:type="paragraph" w:customStyle="1" w:styleId="Highlightboxtext">
    <w:name w:val="Highlight box text"/>
    <w:basedOn w:val="Normal"/>
    <w:uiPriority w:val="13"/>
    <w:qFormat/>
    <w:rsid w:val="008715E8"/>
    <w:pPr>
      <w:pBdr>
        <w:top w:val="single" w:sz="6" w:space="6" w:color="78BE20" w:themeColor="accent1"/>
        <w:bottom w:val="single" w:sz="6" w:space="4" w:color="78BE20" w:themeColor="accent1"/>
      </w:pBdr>
      <w:shd w:val="clear" w:color="auto" w:fill="E2E6F2" w:themeFill="text2" w:themeFillTint="1A"/>
    </w:pPr>
  </w:style>
  <w:style w:type="table" w:styleId="GridTable1Light">
    <w:name w:val="Grid Table 1 Light"/>
    <w:basedOn w:val="TableNormal"/>
    <w:uiPriority w:val="46"/>
    <w:rsid w:val="00C26A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www.betterregulation.vic.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3.0/au/" TargetMode="External"/><Relationship Id="rId25" Type="http://schemas.openxmlformats.org/officeDocument/2006/relationships/diagramLayout" Target="diagrams/layout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betterregulation.vic.gov.au" TargetMode="External"/><Relationship Id="rId20" Type="http://schemas.openxmlformats.org/officeDocument/2006/relationships/hyperlink" Target="mailto:contact@betterreg.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contact@betterreg.vic.gov.au" TargetMode="External"/><Relationship Id="rId23" Type="http://schemas.openxmlformats.org/officeDocument/2006/relationships/hyperlink" Target="https://www.vic.gov.au/towards-best-practice-guide-regulators" TargetMode="External"/><Relationship Id="rId28" Type="http://schemas.microsoft.com/office/2007/relationships/diagramDrawing" Target="diagrams/drawing1.xml"/><Relationship Id="rId10" Type="http://schemas.openxmlformats.org/officeDocument/2006/relationships/footnotes" Target="footnotes.xml"/><Relationship Id="rId19" Type="http://schemas.openxmlformats.org/officeDocument/2006/relationships/hyperlink" Target="mailto:IPpolicy@dtf.vic.gov.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diagramColors" Target="diagrams/colors1.xml"/><Relationship Id="rId30" Type="http://schemas.openxmlformats.org/officeDocument/2006/relationships/header" Target="head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Job%20Folders\0094%20-%20Regulator%20Best%20Practice%20Handbook\02.%20Working\Concepts\BRV%20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013A60-A4EE-4D01-A246-5E5E461EC697}" type="doc">
      <dgm:prSet loTypeId="urn:microsoft.com/office/officeart/2005/8/layout/pyramid1" loCatId="pyramid" qsTypeId="urn:microsoft.com/office/officeart/2005/8/quickstyle/simple1" qsCatId="simple" csTypeId="urn:microsoft.com/office/officeart/2005/8/colors/colorful1" csCatId="colorful" phldr="1"/>
      <dgm:spPr/>
    </dgm:pt>
    <dgm:pt modelId="{E743D20E-062D-4C6E-9F23-E4AD1E34855D}">
      <dgm:prSet phldrT="[Text]" custT="1"/>
      <dgm:spPr>
        <a:solidFill>
          <a:schemeClr val="accent6"/>
        </a:solidFill>
      </dgm:spPr>
      <dgm:t>
        <a:bodyPr/>
        <a:lstStyle/>
        <a:p>
          <a:r>
            <a:rPr lang="en-AU" sz="1200" b="1" dirty="0">
              <a:solidFill>
                <a:sysClr val="windowText" lastClr="000000"/>
              </a:solidFill>
              <a:latin typeface="+mj-lt"/>
            </a:rPr>
            <a:t>Supporting Guidance and Resources</a:t>
          </a:r>
        </a:p>
      </dgm:t>
    </dgm:pt>
    <dgm:pt modelId="{AC6F5B70-159F-4EF4-9E6B-750054390EB4}" type="parTrans" cxnId="{FAA6FB56-6C83-4DB6-BAE4-09DBC0640481}">
      <dgm:prSet/>
      <dgm:spPr/>
      <dgm:t>
        <a:bodyPr/>
        <a:lstStyle/>
        <a:p>
          <a:endParaRPr lang="en-AU" sz="1200"/>
        </a:p>
      </dgm:t>
    </dgm:pt>
    <dgm:pt modelId="{348EC5B5-0DC7-4AB9-BB6E-F85405CD5318}" type="sibTrans" cxnId="{FAA6FB56-6C83-4DB6-BAE4-09DBC0640481}">
      <dgm:prSet/>
      <dgm:spPr/>
      <dgm:t>
        <a:bodyPr/>
        <a:lstStyle/>
        <a:p>
          <a:endParaRPr lang="en-AU" sz="1200"/>
        </a:p>
      </dgm:t>
    </dgm:pt>
    <dgm:pt modelId="{9894D9E4-7D07-46E8-8003-0F643AA0F59F}">
      <dgm:prSet phldrT="[Tex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dirty="0"/>
            <a:t>Handbook</a:t>
          </a:r>
          <a:endParaRPr lang="en-AU" sz="1200" b="1" dirty="0">
            <a:latin typeface="+mj-lt"/>
          </a:endParaRPr>
        </a:p>
      </dgm:t>
    </dgm:pt>
    <dgm:pt modelId="{FFF33244-D725-4778-8DA4-95B59637C049}" type="parTrans" cxnId="{3A625022-201C-49A4-AAB7-57263DCB64BA}">
      <dgm:prSet/>
      <dgm:spPr/>
      <dgm:t>
        <a:bodyPr/>
        <a:lstStyle/>
        <a:p>
          <a:endParaRPr lang="en-AU"/>
        </a:p>
      </dgm:t>
    </dgm:pt>
    <dgm:pt modelId="{04C286AE-5DA4-4EB0-8F12-A1E5E9DEEE6F}" type="sibTrans" cxnId="{3A625022-201C-49A4-AAB7-57263DCB64BA}">
      <dgm:prSet/>
      <dgm:spPr/>
      <dgm:t>
        <a:bodyPr/>
        <a:lstStyle/>
        <a:p>
          <a:endParaRPr lang="en-AU"/>
        </a:p>
      </dgm:t>
    </dgm:pt>
    <dgm:pt modelId="{B6E7320E-78DE-400E-9853-228E65E6716C}">
      <dgm:prSe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dirty="0"/>
            <a:t>Practice notes</a:t>
          </a:r>
        </a:p>
      </dgm:t>
    </dgm:pt>
    <dgm:pt modelId="{2689370B-BC48-4719-A961-8DED2DCE20FD}" type="parTrans" cxnId="{2C2E5BE1-98A3-4617-A20C-F5FCE1FC4F43}">
      <dgm:prSet/>
      <dgm:spPr/>
      <dgm:t>
        <a:bodyPr/>
        <a:lstStyle/>
        <a:p>
          <a:endParaRPr lang="en-AU"/>
        </a:p>
      </dgm:t>
    </dgm:pt>
    <dgm:pt modelId="{A51ECEC6-0F2A-4D39-9119-4DB78F050EB6}" type="sibTrans" cxnId="{2C2E5BE1-98A3-4617-A20C-F5FCE1FC4F43}">
      <dgm:prSet/>
      <dgm:spPr/>
      <dgm:t>
        <a:bodyPr/>
        <a:lstStyle/>
        <a:p>
          <a:endParaRPr lang="en-AU"/>
        </a:p>
      </dgm:t>
    </dgm:pt>
    <dgm:pt modelId="{CC7CA987-43BA-466C-836A-BE1CBAF00698}">
      <dgm:prSe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b="0" i="0" dirty="0">
              <a:solidFill>
                <a:sysClr val="windowText" lastClr="000000"/>
              </a:solidFill>
              <a:latin typeface="+mn-lt"/>
            </a:rPr>
            <a:t>Explanatory Guide</a:t>
          </a:r>
        </a:p>
      </dgm:t>
    </dgm:pt>
    <dgm:pt modelId="{F11FD001-150C-40E4-81F9-9812F534D7CC}" type="parTrans" cxnId="{5D431B63-1D6E-4E69-B9DD-4FF221C70020}">
      <dgm:prSet/>
      <dgm:spPr/>
      <dgm:t>
        <a:bodyPr/>
        <a:lstStyle/>
        <a:p>
          <a:endParaRPr lang="en-AU"/>
        </a:p>
      </dgm:t>
    </dgm:pt>
    <dgm:pt modelId="{6622C2AD-8EFF-4813-8253-7404576255A9}" type="sibTrans" cxnId="{5D431B63-1D6E-4E69-B9DD-4FF221C70020}">
      <dgm:prSet/>
      <dgm:spPr/>
      <dgm:t>
        <a:bodyPr/>
        <a:lstStyle/>
        <a:p>
          <a:endParaRPr lang="en-AU"/>
        </a:p>
      </dgm:t>
    </dgm:pt>
    <dgm:pt modelId="{5B298ADB-3C20-406B-B357-27685077495A}">
      <dgm:prSet phldrT="[Text]" custT="1"/>
      <dgm:spPr>
        <a:solidFill>
          <a:schemeClr val="accent5"/>
        </a:solidFill>
      </dgm:spPr>
      <dgm:t>
        <a:bodyPr/>
        <a:lstStyle/>
        <a:p>
          <a:pPr>
            <a:spcAft>
              <a:spcPts val="0"/>
            </a:spcAft>
          </a:pPr>
          <a:r>
            <a:rPr lang="en-AU" sz="1200" b="1" dirty="0">
              <a:solidFill>
                <a:sysClr val="windowText" lastClr="000000"/>
              </a:solidFill>
              <a:latin typeface="+mj-lt"/>
            </a:rPr>
            <a:t>Audience Specific</a:t>
          </a:r>
        </a:p>
        <a:p>
          <a:pPr>
            <a:spcAft>
              <a:spcPct val="35000"/>
            </a:spcAft>
          </a:pPr>
          <a:r>
            <a:rPr lang="en-AU" sz="1200" b="1" dirty="0">
              <a:solidFill>
                <a:sysClr val="windowText" lastClr="000000"/>
              </a:solidFill>
              <a:latin typeface="+mj-lt"/>
            </a:rPr>
            <a:t>Guidance</a:t>
          </a:r>
          <a:endParaRPr lang="en-AU" sz="1200" dirty="0">
            <a:solidFill>
              <a:sysClr val="windowText" lastClr="000000"/>
            </a:solidFill>
          </a:endParaRPr>
        </a:p>
      </dgm:t>
    </dgm:pt>
    <dgm:pt modelId="{32B2811C-B32D-4329-B188-CAFD1D5CC9A0}" type="parTrans" cxnId="{B3B88F13-2FBA-4232-A612-812B3DDF04A6}">
      <dgm:prSet/>
      <dgm:spPr/>
      <dgm:t>
        <a:bodyPr/>
        <a:lstStyle/>
        <a:p>
          <a:endParaRPr lang="en-AU"/>
        </a:p>
      </dgm:t>
    </dgm:pt>
    <dgm:pt modelId="{A32E3384-BB22-4051-B1C3-32F99BB9519C}" type="sibTrans" cxnId="{B3B88F13-2FBA-4232-A612-812B3DDF04A6}">
      <dgm:prSet/>
      <dgm:spPr/>
      <dgm:t>
        <a:bodyPr/>
        <a:lstStyle/>
        <a:p>
          <a:endParaRPr lang="en-AU"/>
        </a:p>
      </dgm:t>
    </dgm:pt>
    <dgm:pt modelId="{9E9923DD-98E0-40A3-8DFC-A1839E3BFB18}">
      <dgm:prSet phldrT="[Text]" custT="1"/>
      <dgm:spPr>
        <a:solidFill>
          <a:schemeClr val="accent5">
            <a:lumMod val="20000"/>
            <a:lumOff val="80000"/>
          </a:schemeClr>
        </a:solidFill>
        <a:ln>
          <a:noFill/>
        </a:ln>
      </dgm:spPr>
      <dgm:t>
        <a:bodyPr/>
        <a:lstStyle/>
        <a:p>
          <a:pPr>
            <a:buFont typeface="Arial" panose="020B0604020202020204" pitchFamily="34" charset="0"/>
            <a:buChar char="•"/>
          </a:pPr>
          <a:r>
            <a:rPr lang="en-US" sz="1200" i="0" dirty="0"/>
            <a:t>Supporting Best Practice (Regulator Chairs and Boards)</a:t>
          </a:r>
          <a:endParaRPr lang="en-AU" sz="1200" i="0" dirty="0"/>
        </a:p>
      </dgm:t>
    </dgm:pt>
    <dgm:pt modelId="{0EA489F4-021E-4612-93B4-6EC2C86F9C2A}" type="parTrans" cxnId="{13219D51-2C37-4B63-98CA-297731A824FF}">
      <dgm:prSet/>
      <dgm:spPr/>
      <dgm:t>
        <a:bodyPr/>
        <a:lstStyle/>
        <a:p>
          <a:endParaRPr lang="en-AU"/>
        </a:p>
      </dgm:t>
    </dgm:pt>
    <dgm:pt modelId="{8E0CA537-3D09-426B-AA1A-6261779C2102}" type="sibTrans" cxnId="{13219D51-2C37-4B63-98CA-297731A824FF}">
      <dgm:prSet/>
      <dgm:spPr/>
      <dgm:t>
        <a:bodyPr/>
        <a:lstStyle/>
        <a:p>
          <a:endParaRPr lang="en-AU"/>
        </a:p>
      </dgm:t>
    </dgm:pt>
    <dgm:pt modelId="{E7C39018-4136-4BB4-8BC5-DFD98F046E02}">
      <dgm:prSet phldrT="[Text]" custT="1"/>
      <dgm:spPr>
        <a:solidFill>
          <a:schemeClr val="accent5">
            <a:lumMod val="20000"/>
            <a:lumOff val="80000"/>
          </a:schemeClr>
        </a:solidFill>
        <a:ln>
          <a:noFill/>
        </a:ln>
      </dgm:spPr>
      <dgm:t>
        <a:bodyPr/>
        <a:lstStyle/>
        <a:p>
          <a:pPr>
            <a:buFont typeface="Arial" panose="020B0604020202020204" pitchFamily="34" charset="0"/>
            <a:buChar char="•"/>
          </a:pPr>
          <a:r>
            <a:rPr lang="en-US" sz="1200" b="1" i="1" dirty="0"/>
            <a:t>Equipping Best Practice (Departments)</a:t>
          </a:r>
          <a:endParaRPr lang="en-AU" sz="1200" b="1" i="1" dirty="0"/>
        </a:p>
      </dgm:t>
    </dgm:pt>
    <dgm:pt modelId="{B4C7EA40-C0C1-42EA-B27E-C737DFB51E28}" type="parTrans" cxnId="{2B1CC3CA-E9C1-4356-8D10-428AAB704601}">
      <dgm:prSet/>
      <dgm:spPr/>
      <dgm:t>
        <a:bodyPr/>
        <a:lstStyle/>
        <a:p>
          <a:endParaRPr lang="en-AU"/>
        </a:p>
      </dgm:t>
    </dgm:pt>
    <dgm:pt modelId="{803B44B6-D45F-40A3-8AF1-3B76722A89C9}" type="sibTrans" cxnId="{2B1CC3CA-E9C1-4356-8D10-428AAB704601}">
      <dgm:prSet/>
      <dgm:spPr/>
      <dgm:t>
        <a:bodyPr/>
        <a:lstStyle/>
        <a:p>
          <a:endParaRPr lang="en-AU"/>
        </a:p>
      </dgm:t>
    </dgm:pt>
    <dgm:pt modelId="{476AC194-F503-4149-83B1-3AA2DC08B11F}">
      <dgm:prSet phldrT="[Text]" custT="1"/>
      <dgm:spPr>
        <a:solidFill>
          <a:schemeClr val="accent1">
            <a:lumMod val="20000"/>
            <a:lumOff val="80000"/>
            <a:alpha val="90000"/>
          </a:schemeClr>
        </a:solidFill>
        <a:ln>
          <a:noFill/>
        </a:ln>
      </dgm:spPr>
      <dgm:t>
        <a:bodyPr/>
        <a:lstStyle/>
        <a:p>
          <a:pPr algn="ctr">
            <a:buFont typeface="Arial" panose="020B0604020202020204" pitchFamily="34" charset="0"/>
            <a:buNone/>
          </a:pPr>
          <a:r>
            <a:rPr lang="en-US" sz="1200" b="0" i="0" dirty="0"/>
            <a:t>Towards Best Practice guidance for regulators</a:t>
          </a:r>
          <a:endParaRPr lang="en-AU" sz="1200" b="0" i="0" dirty="0"/>
        </a:p>
      </dgm:t>
    </dgm:pt>
    <dgm:pt modelId="{810C8B53-3DB2-487F-AC03-192A2AD266C1}" type="parTrans" cxnId="{ABE5429B-BA91-4EFA-A193-0E5FD5480B25}">
      <dgm:prSet/>
      <dgm:spPr/>
      <dgm:t>
        <a:bodyPr/>
        <a:lstStyle/>
        <a:p>
          <a:endParaRPr lang="en-AU"/>
        </a:p>
      </dgm:t>
    </dgm:pt>
    <dgm:pt modelId="{7F15F545-5CDA-4AC5-900A-CEF91B1A5D34}" type="sibTrans" cxnId="{ABE5429B-BA91-4EFA-A193-0E5FD5480B25}">
      <dgm:prSet/>
      <dgm:spPr/>
      <dgm:t>
        <a:bodyPr/>
        <a:lstStyle/>
        <a:p>
          <a:endParaRPr lang="en-AU"/>
        </a:p>
      </dgm:t>
    </dgm:pt>
    <dgm:pt modelId="{D6599545-A845-4128-AFF7-621A5F358517}">
      <dgm:prSet phldrT="[Text]" custT="1"/>
      <dgm:spPr>
        <a:solidFill>
          <a:schemeClr val="accent1"/>
        </a:solidFill>
      </dgm:spPr>
      <dgm:t>
        <a:bodyPr/>
        <a:lstStyle/>
        <a:p>
          <a:br>
            <a:rPr lang="en-AU" sz="1200" b="0" dirty="0">
              <a:solidFill>
                <a:sysClr val="windowText" lastClr="000000"/>
              </a:solidFill>
              <a:latin typeface="+mj-lt"/>
            </a:rPr>
          </a:br>
          <a:br>
            <a:rPr lang="en-AU" sz="1200" b="0" dirty="0">
              <a:solidFill>
                <a:sysClr val="windowText" lastClr="000000"/>
              </a:solidFill>
              <a:latin typeface="+mj-lt"/>
            </a:rPr>
          </a:br>
          <a:r>
            <a:rPr lang="en-AU" sz="1200" b="0" dirty="0">
              <a:solidFill>
                <a:sysClr val="windowText" lastClr="000000"/>
              </a:solidFill>
              <a:latin typeface="+mj-lt"/>
            </a:rPr>
            <a:t>Primary </a:t>
          </a:r>
          <a:br>
            <a:rPr lang="en-AU" sz="1200" b="0" dirty="0">
              <a:solidFill>
                <a:sysClr val="windowText" lastClr="000000"/>
              </a:solidFill>
              <a:latin typeface="+mj-lt"/>
            </a:rPr>
          </a:br>
          <a:r>
            <a:rPr lang="en-AU" sz="1200" b="0" dirty="0">
              <a:solidFill>
                <a:sysClr val="windowText" lastClr="000000"/>
              </a:solidFill>
              <a:latin typeface="+mj-lt"/>
            </a:rPr>
            <a:t>Principles</a:t>
          </a:r>
          <a:endParaRPr lang="en-AU" sz="1200" b="0" dirty="0">
            <a:solidFill>
              <a:sysClr val="windowText" lastClr="000000"/>
            </a:solidFill>
          </a:endParaRPr>
        </a:p>
      </dgm:t>
    </dgm:pt>
    <dgm:pt modelId="{49374077-B8E7-446F-8CE3-E4FDDA2227BD}" type="parTrans" cxnId="{B15A681E-1E35-44F4-A29F-5110989DE084}">
      <dgm:prSet/>
      <dgm:spPr/>
      <dgm:t>
        <a:bodyPr/>
        <a:lstStyle/>
        <a:p>
          <a:endParaRPr lang="en-AU"/>
        </a:p>
      </dgm:t>
    </dgm:pt>
    <dgm:pt modelId="{DC324657-E76D-43CB-871A-B4E737E6695A}" type="sibTrans" cxnId="{B15A681E-1E35-44F4-A29F-5110989DE084}">
      <dgm:prSet/>
      <dgm:spPr/>
      <dgm:t>
        <a:bodyPr/>
        <a:lstStyle/>
        <a:p>
          <a:endParaRPr lang="en-AU"/>
        </a:p>
      </dgm:t>
    </dgm:pt>
    <dgm:pt modelId="{D9F94F63-FE6F-44C1-B4D4-90A40AFF4C20}" type="pres">
      <dgm:prSet presAssocID="{44013A60-A4EE-4D01-A246-5E5E461EC697}" presName="Name0" presStyleCnt="0">
        <dgm:presLayoutVars>
          <dgm:dir/>
          <dgm:animLvl val="lvl"/>
          <dgm:resizeHandles val="exact"/>
        </dgm:presLayoutVars>
      </dgm:prSet>
      <dgm:spPr/>
    </dgm:pt>
    <dgm:pt modelId="{AD789B97-2E86-46CD-8F5B-B7D22895EA4A}" type="pres">
      <dgm:prSet presAssocID="{D6599545-A845-4128-AFF7-621A5F358517}" presName="Name8" presStyleCnt="0"/>
      <dgm:spPr/>
    </dgm:pt>
    <dgm:pt modelId="{EF3F3B0A-CA3F-4A7D-B75B-80776AC20E0A}" type="pres">
      <dgm:prSet presAssocID="{D6599545-A845-4128-AFF7-621A5F358517}" presName="acctBkgd" presStyleLbl="alignAcc1" presStyleIdx="0" presStyleCnt="3"/>
      <dgm:spPr/>
    </dgm:pt>
    <dgm:pt modelId="{55836DBE-A1D7-4E9D-8B6E-0A8FE4D24EB9}" type="pres">
      <dgm:prSet presAssocID="{D6599545-A845-4128-AFF7-621A5F358517}" presName="acctTx" presStyleLbl="alignAcc1" presStyleIdx="0" presStyleCnt="3">
        <dgm:presLayoutVars>
          <dgm:bulletEnabled val="1"/>
        </dgm:presLayoutVars>
      </dgm:prSet>
      <dgm:spPr/>
    </dgm:pt>
    <dgm:pt modelId="{C83A3092-BCE6-482F-8106-D2C058802803}" type="pres">
      <dgm:prSet presAssocID="{D6599545-A845-4128-AFF7-621A5F358517}" presName="level" presStyleLbl="node1" presStyleIdx="0" presStyleCnt="3">
        <dgm:presLayoutVars>
          <dgm:chMax val="1"/>
          <dgm:bulletEnabled val="1"/>
        </dgm:presLayoutVars>
      </dgm:prSet>
      <dgm:spPr/>
    </dgm:pt>
    <dgm:pt modelId="{901B3F0D-5E43-4E55-90C5-121A610B52FF}" type="pres">
      <dgm:prSet presAssocID="{D6599545-A845-4128-AFF7-621A5F358517}" presName="levelTx" presStyleLbl="revTx" presStyleIdx="0" presStyleCnt="0">
        <dgm:presLayoutVars>
          <dgm:chMax val="1"/>
          <dgm:bulletEnabled val="1"/>
        </dgm:presLayoutVars>
      </dgm:prSet>
      <dgm:spPr/>
    </dgm:pt>
    <dgm:pt modelId="{4A1A7E80-B566-40A5-92C5-76339F789BD8}" type="pres">
      <dgm:prSet presAssocID="{5B298ADB-3C20-406B-B357-27685077495A}" presName="Name8" presStyleCnt="0"/>
      <dgm:spPr/>
    </dgm:pt>
    <dgm:pt modelId="{6BD4B9F1-D9BE-4122-82C3-D95A81687525}" type="pres">
      <dgm:prSet presAssocID="{5B298ADB-3C20-406B-B357-27685077495A}" presName="acctBkgd" presStyleLbl="alignAcc1" presStyleIdx="1" presStyleCnt="3"/>
      <dgm:spPr/>
    </dgm:pt>
    <dgm:pt modelId="{C11BD8AC-0D0D-44E8-A270-CB689EB185D6}" type="pres">
      <dgm:prSet presAssocID="{5B298ADB-3C20-406B-B357-27685077495A}" presName="acctTx" presStyleLbl="alignAcc1" presStyleIdx="1" presStyleCnt="3">
        <dgm:presLayoutVars>
          <dgm:bulletEnabled val="1"/>
        </dgm:presLayoutVars>
      </dgm:prSet>
      <dgm:spPr/>
    </dgm:pt>
    <dgm:pt modelId="{1635EB1D-9A64-4BFC-BA46-FA36EBEE9C25}" type="pres">
      <dgm:prSet presAssocID="{5B298ADB-3C20-406B-B357-27685077495A}" presName="level" presStyleLbl="node1" presStyleIdx="1" presStyleCnt="3">
        <dgm:presLayoutVars>
          <dgm:chMax val="1"/>
          <dgm:bulletEnabled val="1"/>
        </dgm:presLayoutVars>
      </dgm:prSet>
      <dgm:spPr/>
    </dgm:pt>
    <dgm:pt modelId="{0BDDE68D-1338-4199-8406-45C8F8450849}" type="pres">
      <dgm:prSet presAssocID="{5B298ADB-3C20-406B-B357-27685077495A}" presName="levelTx" presStyleLbl="revTx" presStyleIdx="0" presStyleCnt="0">
        <dgm:presLayoutVars>
          <dgm:chMax val="1"/>
          <dgm:bulletEnabled val="1"/>
        </dgm:presLayoutVars>
      </dgm:prSet>
      <dgm:spPr/>
    </dgm:pt>
    <dgm:pt modelId="{54F98107-32A6-4EE5-9B14-DD61A7A5AEC9}" type="pres">
      <dgm:prSet presAssocID="{E743D20E-062D-4C6E-9F23-E4AD1E34855D}" presName="Name8" presStyleCnt="0"/>
      <dgm:spPr/>
    </dgm:pt>
    <dgm:pt modelId="{83C14A0E-F970-4039-8B94-77A1E14408D1}" type="pres">
      <dgm:prSet presAssocID="{E743D20E-062D-4C6E-9F23-E4AD1E34855D}" presName="acctBkgd" presStyleLbl="alignAcc1" presStyleIdx="2" presStyleCnt="3"/>
      <dgm:spPr/>
    </dgm:pt>
    <dgm:pt modelId="{44C1E91D-3113-4167-97D3-7B62F5D8530F}" type="pres">
      <dgm:prSet presAssocID="{E743D20E-062D-4C6E-9F23-E4AD1E34855D}" presName="acctTx" presStyleLbl="alignAcc1" presStyleIdx="2" presStyleCnt="3">
        <dgm:presLayoutVars>
          <dgm:bulletEnabled val="1"/>
        </dgm:presLayoutVars>
      </dgm:prSet>
      <dgm:spPr/>
    </dgm:pt>
    <dgm:pt modelId="{DDB0D329-6FA5-4C43-AD6B-AECE708E0965}" type="pres">
      <dgm:prSet presAssocID="{E743D20E-062D-4C6E-9F23-E4AD1E34855D}" presName="level" presStyleLbl="node1" presStyleIdx="2" presStyleCnt="3">
        <dgm:presLayoutVars>
          <dgm:chMax val="1"/>
          <dgm:bulletEnabled val="1"/>
        </dgm:presLayoutVars>
      </dgm:prSet>
      <dgm:spPr/>
    </dgm:pt>
    <dgm:pt modelId="{FE411856-68CD-4822-AA8C-70A0D014A50E}" type="pres">
      <dgm:prSet presAssocID="{E743D20E-062D-4C6E-9F23-E4AD1E34855D}" presName="levelTx" presStyleLbl="revTx" presStyleIdx="0" presStyleCnt="0">
        <dgm:presLayoutVars>
          <dgm:chMax val="1"/>
          <dgm:bulletEnabled val="1"/>
        </dgm:presLayoutVars>
      </dgm:prSet>
      <dgm:spPr/>
    </dgm:pt>
  </dgm:ptLst>
  <dgm:cxnLst>
    <dgm:cxn modelId="{81C1CF0F-BAE1-46B0-9DE5-B49234833C07}" type="presOf" srcId="{5B298ADB-3C20-406B-B357-27685077495A}" destId="{0BDDE68D-1338-4199-8406-45C8F8450849}" srcOrd="1" destOrd="0" presId="urn:microsoft.com/office/officeart/2005/8/layout/pyramid1"/>
    <dgm:cxn modelId="{B3B88F13-2FBA-4232-A612-812B3DDF04A6}" srcId="{44013A60-A4EE-4D01-A246-5E5E461EC697}" destId="{5B298ADB-3C20-406B-B357-27685077495A}" srcOrd="1" destOrd="0" parTransId="{32B2811C-B32D-4329-B188-CAFD1D5CC9A0}" sibTransId="{A32E3384-BB22-4051-B1C3-32F99BB9519C}"/>
    <dgm:cxn modelId="{B15A681E-1E35-44F4-A29F-5110989DE084}" srcId="{44013A60-A4EE-4D01-A246-5E5E461EC697}" destId="{D6599545-A845-4128-AFF7-621A5F358517}" srcOrd="0" destOrd="0" parTransId="{49374077-B8E7-446F-8CE3-E4FDDA2227BD}" sibTransId="{DC324657-E76D-43CB-871A-B4E737E6695A}"/>
    <dgm:cxn modelId="{3A625022-201C-49A4-AAB7-57263DCB64BA}" srcId="{E743D20E-062D-4C6E-9F23-E4AD1E34855D}" destId="{9894D9E4-7D07-46E8-8003-0F643AA0F59F}" srcOrd="0" destOrd="0" parTransId="{FFF33244-D725-4778-8DA4-95B59637C049}" sibTransId="{04C286AE-5DA4-4EB0-8F12-A1E5E9DEEE6F}"/>
    <dgm:cxn modelId="{C1FA3123-178A-46FA-B584-02FFCB269CC8}" type="presOf" srcId="{5B298ADB-3C20-406B-B357-27685077495A}" destId="{1635EB1D-9A64-4BFC-BA46-FA36EBEE9C25}" srcOrd="0" destOrd="0" presId="urn:microsoft.com/office/officeart/2005/8/layout/pyramid1"/>
    <dgm:cxn modelId="{4C339C30-7002-470B-9CD2-5149DE351421}" type="presOf" srcId="{9E9923DD-98E0-40A3-8DFC-A1839E3BFB18}" destId="{6BD4B9F1-D9BE-4122-82C3-D95A81687525}" srcOrd="0" destOrd="0" presId="urn:microsoft.com/office/officeart/2005/8/layout/pyramid1"/>
    <dgm:cxn modelId="{1F2E0931-4E77-48EF-A5BA-2BE06C5C95C2}" type="presOf" srcId="{D6599545-A845-4128-AFF7-621A5F358517}" destId="{C83A3092-BCE6-482F-8106-D2C058802803}" srcOrd="0" destOrd="0" presId="urn:microsoft.com/office/officeart/2005/8/layout/pyramid1"/>
    <dgm:cxn modelId="{5D431B63-1D6E-4E69-B9DD-4FF221C70020}" srcId="{E743D20E-062D-4C6E-9F23-E4AD1E34855D}" destId="{CC7CA987-43BA-466C-836A-BE1CBAF00698}" srcOrd="2" destOrd="0" parTransId="{F11FD001-150C-40E4-81F9-9812F534D7CC}" sibTransId="{6622C2AD-8EFF-4813-8253-7404576255A9}"/>
    <dgm:cxn modelId="{579C8143-CA59-4049-9C8B-0DB7F305AA90}" type="presOf" srcId="{9894D9E4-7D07-46E8-8003-0F643AA0F59F}" destId="{44C1E91D-3113-4167-97D3-7B62F5D8530F}" srcOrd="1" destOrd="0" presId="urn:microsoft.com/office/officeart/2005/8/layout/pyramid1"/>
    <dgm:cxn modelId="{47980B4A-8212-4DA4-847D-1D0D1FB66BD6}" type="presOf" srcId="{CC7CA987-43BA-466C-836A-BE1CBAF00698}" destId="{44C1E91D-3113-4167-97D3-7B62F5D8530F}" srcOrd="1" destOrd="2" presId="urn:microsoft.com/office/officeart/2005/8/layout/pyramid1"/>
    <dgm:cxn modelId="{E5ABD44A-CD18-44B2-821C-DF03981C5E65}" type="presOf" srcId="{E743D20E-062D-4C6E-9F23-E4AD1E34855D}" destId="{FE411856-68CD-4822-AA8C-70A0D014A50E}" srcOrd="1" destOrd="0" presId="urn:microsoft.com/office/officeart/2005/8/layout/pyramid1"/>
    <dgm:cxn modelId="{807CA750-E6F6-4AF6-BF29-AA0602646BA5}" type="presOf" srcId="{E7C39018-4136-4BB4-8BC5-DFD98F046E02}" destId="{C11BD8AC-0D0D-44E8-A270-CB689EB185D6}" srcOrd="1" destOrd="1" presId="urn:microsoft.com/office/officeart/2005/8/layout/pyramid1"/>
    <dgm:cxn modelId="{13219D51-2C37-4B63-98CA-297731A824FF}" srcId="{5B298ADB-3C20-406B-B357-27685077495A}" destId="{9E9923DD-98E0-40A3-8DFC-A1839E3BFB18}" srcOrd="0" destOrd="0" parTransId="{0EA489F4-021E-4612-93B4-6EC2C86F9C2A}" sibTransId="{8E0CA537-3D09-426B-AA1A-6261779C2102}"/>
    <dgm:cxn modelId="{F47FA373-48DC-45FB-8FB4-886895E04C2D}" type="presOf" srcId="{D6599545-A845-4128-AFF7-621A5F358517}" destId="{901B3F0D-5E43-4E55-90C5-121A610B52FF}" srcOrd="1" destOrd="0" presId="urn:microsoft.com/office/officeart/2005/8/layout/pyramid1"/>
    <dgm:cxn modelId="{C351A376-C8ED-4776-88F7-8009EFD6DB21}" type="presOf" srcId="{476AC194-F503-4149-83B1-3AA2DC08B11F}" destId="{55836DBE-A1D7-4E9D-8B6E-0A8FE4D24EB9}" srcOrd="1" destOrd="0" presId="urn:microsoft.com/office/officeart/2005/8/layout/pyramid1"/>
    <dgm:cxn modelId="{FAA6FB56-6C83-4DB6-BAE4-09DBC0640481}" srcId="{44013A60-A4EE-4D01-A246-5E5E461EC697}" destId="{E743D20E-062D-4C6E-9F23-E4AD1E34855D}" srcOrd="2" destOrd="0" parTransId="{AC6F5B70-159F-4EF4-9E6B-750054390EB4}" sibTransId="{348EC5B5-0DC7-4AB9-BB6E-F85405CD5318}"/>
    <dgm:cxn modelId="{4F5FB159-6E87-4B0B-9687-3E901699C974}" type="presOf" srcId="{E7C39018-4136-4BB4-8BC5-DFD98F046E02}" destId="{6BD4B9F1-D9BE-4122-82C3-D95A81687525}" srcOrd="0" destOrd="1" presId="urn:microsoft.com/office/officeart/2005/8/layout/pyramid1"/>
    <dgm:cxn modelId="{ABE5429B-BA91-4EFA-A193-0E5FD5480B25}" srcId="{D6599545-A845-4128-AFF7-621A5F358517}" destId="{476AC194-F503-4149-83B1-3AA2DC08B11F}" srcOrd="0" destOrd="0" parTransId="{810C8B53-3DB2-487F-AC03-192A2AD266C1}" sibTransId="{7F15F545-5CDA-4AC5-900A-CEF91B1A5D34}"/>
    <dgm:cxn modelId="{62250E8C-F8F2-4C73-AED2-51D8454A029E}" type="presOf" srcId="{B6E7320E-78DE-400E-9853-228E65E6716C}" destId="{44C1E91D-3113-4167-97D3-7B62F5D8530F}" srcOrd="1" destOrd="1" presId="urn:microsoft.com/office/officeart/2005/8/layout/pyramid1"/>
    <dgm:cxn modelId="{7C1926A4-1555-403C-BD15-3BA28250CDB0}" type="presOf" srcId="{9E9923DD-98E0-40A3-8DFC-A1839E3BFB18}" destId="{C11BD8AC-0D0D-44E8-A270-CB689EB185D6}" srcOrd="1" destOrd="0" presId="urn:microsoft.com/office/officeart/2005/8/layout/pyramid1"/>
    <dgm:cxn modelId="{97D0C1AC-DAC1-4545-9A13-5539AC695E4E}" type="presOf" srcId="{9894D9E4-7D07-46E8-8003-0F643AA0F59F}" destId="{83C14A0E-F970-4039-8B94-77A1E14408D1}" srcOrd="0" destOrd="0" presId="urn:microsoft.com/office/officeart/2005/8/layout/pyramid1"/>
    <dgm:cxn modelId="{2C2E5BE1-98A3-4617-A20C-F5FCE1FC4F43}" srcId="{E743D20E-062D-4C6E-9F23-E4AD1E34855D}" destId="{B6E7320E-78DE-400E-9853-228E65E6716C}" srcOrd="1" destOrd="0" parTransId="{2689370B-BC48-4719-A961-8DED2DCE20FD}" sibTransId="{A51ECEC6-0F2A-4D39-9119-4DB78F050EB6}"/>
    <dgm:cxn modelId="{956DEBC7-39E5-4A1D-8A0F-23949DC43EC0}" type="presOf" srcId="{44013A60-A4EE-4D01-A246-5E5E461EC697}" destId="{D9F94F63-FE6F-44C1-B4D4-90A40AFF4C20}" srcOrd="0" destOrd="0" presId="urn:microsoft.com/office/officeart/2005/8/layout/pyramid1"/>
    <dgm:cxn modelId="{2B1CC3CA-E9C1-4356-8D10-428AAB704601}" srcId="{5B298ADB-3C20-406B-B357-27685077495A}" destId="{E7C39018-4136-4BB4-8BC5-DFD98F046E02}" srcOrd="1" destOrd="0" parTransId="{B4C7EA40-C0C1-42EA-B27E-C737DFB51E28}" sibTransId="{803B44B6-D45F-40A3-8AF1-3B76722A89C9}"/>
    <dgm:cxn modelId="{81561FF1-D055-4583-9DEE-DF94D715B882}" type="presOf" srcId="{B6E7320E-78DE-400E-9853-228E65E6716C}" destId="{83C14A0E-F970-4039-8B94-77A1E14408D1}" srcOrd="0" destOrd="1" presId="urn:microsoft.com/office/officeart/2005/8/layout/pyramid1"/>
    <dgm:cxn modelId="{F3B0BEF6-05AD-4537-9334-417A45AAB6C2}" type="presOf" srcId="{CC7CA987-43BA-466C-836A-BE1CBAF00698}" destId="{83C14A0E-F970-4039-8B94-77A1E14408D1}" srcOrd="0" destOrd="2" presId="urn:microsoft.com/office/officeart/2005/8/layout/pyramid1"/>
    <dgm:cxn modelId="{6C13E0FB-1B8A-4A15-86F5-0A43B708442E}" type="presOf" srcId="{476AC194-F503-4149-83B1-3AA2DC08B11F}" destId="{EF3F3B0A-CA3F-4A7D-B75B-80776AC20E0A}" srcOrd="0" destOrd="0" presId="urn:microsoft.com/office/officeart/2005/8/layout/pyramid1"/>
    <dgm:cxn modelId="{8A78F1DD-97CE-450D-B65C-3E3156BDB3D1}" type="presOf" srcId="{E743D20E-062D-4C6E-9F23-E4AD1E34855D}" destId="{DDB0D329-6FA5-4C43-AD6B-AECE708E0965}" srcOrd="0" destOrd="0" presId="urn:microsoft.com/office/officeart/2005/8/layout/pyramid1"/>
    <dgm:cxn modelId="{0B7792B3-461E-4364-9492-BF772FFCDA6E}" type="presParOf" srcId="{D9F94F63-FE6F-44C1-B4D4-90A40AFF4C20}" destId="{AD789B97-2E86-46CD-8F5B-B7D22895EA4A}" srcOrd="0" destOrd="0" presId="urn:microsoft.com/office/officeart/2005/8/layout/pyramid1"/>
    <dgm:cxn modelId="{2597DD6E-FB0E-4450-BFE3-33BFB578A422}" type="presParOf" srcId="{AD789B97-2E86-46CD-8F5B-B7D22895EA4A}" destId="{EF3F3B0A-CA3F-4A7D-B75B-80776AC20E0A}" srcOrd="0" destOrd="0" presId="urn:microsoft.com/office/officeart/2005/8/layout/pyramid1"/>
    <dgm:cxn modelId="{935CD4B1-3339-46B9-BD3E-116E62D7F9F3}" type="presParOf" srcId="{AD789B97-2E86-46CD-8F5B-B7D22895EA4A}" destId="{55836DBE-A1D7-4E9D-8B6E-0A8FE4D24EB9}" srcOrd="1" destOrd="0" presId="urn:microsoft.com/office/officeart/2005/8/layout/pyramid1"/>
    <dgm:cxn modelId="{32688C65-17AA-4776-B5FE-C9B7C18082A2}" type="presParOf" srcId="{AD789B97-2E86-46CD-8F5B-B7D22895EA4A}" destId="{C83A3092-BCE6-482F-8106-D2C058802803}" srcOrd="2" destOrd="0" presId="urn:microsoft.com/office/officeart/2005/8/layout/pyramid1"/>
    <dgm:cxn modelId="{1FC3BB2F-6D14-41DE-BA6C-E36098A3B0B9}" type="presParOf" srcId="{AD789B97-2E86-46CD-8F5B-B7D22895EA4A}" destId="{901B3F0D-5E43-4E55-90C5-121A610B52FF}" srcOrd="3" destOrd="0" presId="urn:microsoft.com/office/officeart/2005/8/layout/pyramid1"/>
    <dgm:cxn modelId="{347FEE10-F50C-459C-8FA9-84EAC6C73E6C}" type="presParOf" srcId="{D9F94F63-FE6F-44C1-B4D4-90A40AFF4C20}" destId="{4A1A7E80-B566-40A5-92C5-76339F789BD8}" srcOrd="1" destOrd="0" presId="urn:microsoft.com/office/officeart/2005/8/layout/pyramid1"/>
    <dgm:cxn modelId="{D3881AA2-5D2D-40EC-B2AB-D875CD76A295}" type="presParOf" srcId="{4A1A7E80-B566-40A5-92C5-76339F789BD8}" destId="{6BD4B9F1-D9BE-4122-82C3-D95A81687525}" srcOrd="0" destOrd="0" presId="urn:microsoft.com/office/officeart/2005/8/layout/pyramid1"/>
    <dgm:cxn modelId="{E0BF7084-FBC7-4E09-80AE-D62B01F195ED}" type="presParOf" srcId="{4A1A7E80-B566-40A5-92C5-76339F789BD8}" destId="{C11BD8AC-0D0D-44E8-A270-CB689EB185D6}" srcOrd="1" destOrd="0" presId="urn:microsoft.com/office/officeart/2005/8/layout/pyramid1"/>
    <dgm:cxn modelId="{CD383403-820D-480C-AFA5-532845CDDEA3}" type="presParOf" srcId="{4A1A7E80-B566-40A5-92C5-76339F789BD8}" destId="{1635EB1D-9A64-4BFC-BA46-FA36EBEE9C25}" srcOrd="2" destOrd="0" presId="urn:microsoft.com/office/officeart/2005/8/layout/pyramid1"/>
    <dgm:cxn modelId="{8436F2EF-9430-47C7-BACF-7D696172BE24}" type="presParOf" srcId="{4A1A7E80-B566-40A5-92C5-76339F789BD8}" destId="{0BDDE68D-1338-4199-8406-45C8F8450849}" srcOrd="3" destOrd="0" presId="urn:microsoft.com/office/officeart/2005/8/layout/pyramid1"/>
    <dgm:cxn modelId="{24B700BE-0945-4CA9-9308-2EF4B086FD65}" type="presParOf" srcId="{D9F94F63-FE6F-44C1-B4D4-90A40AFF4C20}" destId="{54F98107-32A6-4EE5-9B14-DD61A7A5AEC9}" srcOrd="2" destOrd="0" presId="urn:microsoft.com/office/officeart/2005/8/layout/pyramid1"/>
    <dgm:cxn modelId="{46107916-D420-416C-9ACF-669498D639BD}" type="presParOf" srcId="{54F98107-32A6-4EE5-9B14-DD61A7A5AEC9}" destId="{83C14A0E-F970-4039-8B94-77A1E14408D1}" srcOrd="0" destOrd="0" presId="urn:microsoft.com/office/officeart/2005/8/layout/pyramid1"/>
    <dgm:cxn modelId="{8763B048-3B70-4A26-8BA0-AAC12F44DF16}" type="presParOf" srcId="{54F98107-32A6-4EE5-9B14-DD61A7A5AEC9}" destId="{44C1E91D-3113-4167-97D3-7B62F5D8530F}" srcOrd="1" destOrd="0" presId="urn:microsoft.com/office/officeart/2005/8/layout/pyramid1"/>
    <dgm:cxn modelId="{772DD29D-E992-4CB4-877F-FD7F5988427D}" type="presParOf" srcId="{54F98107-32A6-4EE5-9B14-DD61A7A5AEC9}" destId="{DDB0D329-6FA5-4C43-AD6B-AECE708E0965}" srcOrd="2" destOrd="0" presId="urn:microsoft.com/office/officeart/2005/8/layout/pyramid1"/>
    <dgm:cxn modelId="{EE060DE4-1EBD-4E14-A2B2-691E6DD6C7A1}" type="presParOf" srcId="{54F98107-32A6-4EE5-9B14-DD61A7A5AEC9}" destId="{FE411856-68CD-4822-AA8C-70A0D014A50E}" srcOrd="3" destOrd="0" presId="urn:microsoft.com/office/officeart/2005/8/layout/pyramid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F3B0A-CA3F-4A7D-B75B-80776AC20E0A}">
      <dsp:nvSpPr>
        <dsp:cNvPr id="0" name=""/>
        <dsp:cNvSpPr/>
      </dsp:nvSpPr>
      <dsp:spPr>
        <a:xfrm rot="10800000">
          <a:off x="1948713" y="0"/>
          <a:ext cx="3782796" cy="1146598"/>
        </a:xfrm>
        <a:prstGeom prst="nonIsoscelesTrapezoid">
          <a:avLst>
            <a:gd name="adj1" fmla="val 0"/>
            <a:gd name="adj2" fmla="val 56652"/>
          </a:avLst>
        </a:prstGeom>
        <a:solidFill>
          <a:schemeClr val="accent1">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ctr" defTabSz="533400">
            <a:lnSpc>
              <a:spcPct val="90000"/>
            </a:lnSpc>
            <a:spcBef>
              <a:spcPct val="0"/>
            </a:spcBef>
            <a:spcAft>
              <a:spcPct val="15000"/>
            </a:spcAft>
            <a:buFont typeface="Arial" panose="020B0604020202020204" pitchFamily="34" charset="0"/>
            <a:buNone/>
          </a:pPr>
          <a:r>
            <a:rPr lang="en-US" sz="1200" b="0" i="0" kern="1200" dirty="0"/>
            <a:t>Towards Best Practice guidance for regulators</a:t>
          </a:r>
          <a:endParaRPr lang="en-AU" sz="1200" b="0" i="0" kern="1200" dirty="0"/>
        </a:p>
      </dsp:txBody>
      <dsp:txXfrm rot="10800000">
        <a:off x="2598284" y="0"/>
        <a:ext cx="3133225" cy="1146598"/>
      </dsp:txXfrm>
    </dsp:sp>
    <dsp:sp modelId="{C83A3092-BCE6-482F-8106-D2C058802803}">
      <dsp:nvSpPr>
        <dsp:cNvPr id="0" name=""/>
        <dsp:cNvSpPr/>
      </dsp:nvSpPr>
      <dsp:spPr>
        <a:xfrm>
          <a:off x="1299142" y="0"/>
          <a:ext cx="1299142" cy="1146598"/>
        </a:xfrm>
        <a:prstGeom prst="trapezoid">
          <a:avLst>
            <a:gd name="adj" fmla="val 56652"/>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br>
            <a:rPr lang="en-AU" sz="1200" b="0" kern="1200" dirty="0">
              <a:solidFill>
                <a:sysClr val="windowText" lastClr="000000"/>
              </a:solidFill>
              <a:latin typeface="+mj-lt"/>
            </a:rPr>
          </a:br>
          <a:br>
            <a:rPr lang="en-AU" sz="1200" b="0" kern="1200" dirty="0">
              <a:solidFill>
                <a:sysClr val="windowText" lastClr="000000"/>
              </a:solidFill>
              <a:latin typeface="+mj-lt"/>
            </a:rPr>
          </a:br>
          <a:r>
            <a:rPr lang="en-AU" sz="1200" b="0" kern="1200" dirty="0">
              <a:solidFill>
                <a:sysClr val="windowText" lastClr="000000"/>
              </a:solidFill>
              <a:latin typeface="+mj-lt"/>
            </a:rPr>
            <a:t>Primary </a:t>
          </a:r>
          <a:br>
            <a:rPr lang="en-AU" sz="1200" b="0" kern="1200" dirty="0">
              <a:solidFill>
                <a:sysClr val="windowText" lastClr="000000"/>
              </a:solidFill>
              <a:latin typeface="+mj-lt"/>
            </a:rPr>
          </a:br>
          <a:r>
            <a:rPr lang="en-AU" sz="1200" b="0" kern="1200" dirty="0">
              <a:solidFill>
                <a:sysClr val="windowText" lastClr="000000"/>
              </a:solidFill>
              <a:latin typeface="+mj-lt"/>
            </a:rPr>
            <a:t>Principles</a:t>
          </a:r>
          <a:endParaRPr lang="en-AU" sz="1200" b="0" kern="1200" dirty="0">
            <a:solidFill>
              <a:sysClr val="windowText" lastClr="000000"/>
            </a:solidFill>
          </a:endParaRPr>
        </a:p>
      </dsp:txBody>
      <dsp:txXfrm>
        <a:off x="1299142" y="0"/>
        <a:ext cx="1299142" cy="1146598"/>
      </dsp:txXfrm>
    </dsp:sp>
    <dsp:sp modelId="{6BD4B9F1-D9BE-4122-82C3-D95A81687525}">
      <dsp:nvSpPr>
        <dsp:cNvPr id="0" name=""/>
        <dsp:cNvSpPr/>
      </dsp:nvSpPr>
      <dsp:spPr>
        <a:xfrm rot="10800000">
          <a:off x="2598284" y="1146598"/>
          <a:ext cx="3133225" cy="1146598"/>
        </a:xfrm>
        <a:prstGeom prst="nonIsoscelesTrapezoid">
          <a:avLst>
            <a:gd name="adj1" fmla="val 0"/>
            <a:gd name="adj2" fmla="val 56652"/>
          </a:avLst>
        </a:prstGeom>
        <a:solidFill>
          <a:schemeClr val="accent5">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i="0" kern="1200" dirty="0"/>
            <a:t>Supporting Best Practice (Regulator Chairs and Boards)</a:t>
          </a:r>
          <a:endParaRPr lang="en-AU" sz="1200" i="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b="1" i="1" kern="1200" dirty="0"/>
            <a:t>Equipping Best Practice (Departments)</a:t>
          </a:r>
          <a:endParaRPr lang="en-AU" sz="1200" b="1" i="1" kern="1200" dirty="0"/>
        </a:p>
      </dsp:txBody>
      <dsp:txXfrm rot="10800000">
        <a:off x="3247855" y="1146598"/>
        <a:ext cx="2483654" cy="1146598"/>
      </dsp:txXfrm>
    </dsp:sp>
    <dsp:sp modelId="{1635EB1D-9A64-4BFC-BA46-FA36EBEE9C25}">
      <dsp:nvSpPr>
        <dsp:cNvPr id="0" name=""/>
        <dsp:cNvSpPr/>
      </dsp:nvSpPr>
      <dsp:spPr>
        <a:xfrm>
          <a:off x="649571" y="1146598"/>
          <a:ext cx="2598284" cy="1146598"/>
        </a:xfrm>
        <a:prstGeom prst="trapezoid">
          <a:avLst>
            <a:gd name="adj" fmla="val 56652"/>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0"/>
            </a:spcAft>
            <a:buNone/>
          </a:pPr>
          <a:r>
            <a:rPr lang="en-AU" sz="1200" b="1" kern="1200" dirty="0">
              <a:solidFill>
                <a:sysClr val="windowText" lastClr="000000"/>
              </a:solidFill>
              <a:latin typeface="+mj-lt"/>
            </a:rPr>
            <a:t>Audience Specific</a:t>
          </a:r>
        </a:p>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Guidance</a:t>
          </a:r>
          <a:endParaRPr lang="en-AU" sz="1200" kern="1200" dirty="0">
            <a:solidFill>
              <a:sysClr val="windowText" lastClr="000000"/>
            </a:solidFill>
          </a:endParaRPr>
        </a:p>
      </dsp:txBody>
      <dsp:txXfrm>
        <a:off x="1104270" y="1146598"/>
        <a:ext cx="1688884" cy="1146598"/>
      </dsp:txXfrm>
    </dsp:sp>
    <dsp:sp modelId="{83C14A0E-F970-4039-8B94-77A1E14408D1}">
      <dsp:nvSpPr>
        <dsp:cNvPr id="0" name=""/>
        <dsp:cNvSpPr/>
      </dsp:nvSpPr>
      <dsp:spPr>
        <a:xfrm rot="10800000">
          <a:off x="3247855" y="2293196"/>
          <a:ext cx="2483654" cy="1146598"/>
        </a:xfrm>
        <a:prstGeom prst="nonIsoscelesTrapezoid">
          <a:avLst>
            <a:gd name="adj1" fmla="val 0"/>
            <a:gd name="adj2" fmla="val 56652"/>
          </a:avLst>
        </a:prstGeom>
        <a:solidFill>
          <a:schemeClr val="accent6">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Handbook</a:t>
          </a:r>
          <a:endParaRPr lang="en-AU" sz="1200" b="1" kern="1200" dirty="0">
            <a:latin typeface="+mj-lt"/>
          </a:endParaRPr>
        </a:p>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Practice notes</a:t>
          </a:r>
        </a:p>
        <a:p>
          <a:pPr marL="114300" lvl="1" indent="-114300" algn="l" defTabSz="533400">
            <a:lnSpc>
              <a:spcPct val="90000"/>
            </a:lnSpc>
            <a:spcBef>
              <a:spcPct val="0"/>
            </a:spcBef>
            <a:spcAft>
              <a:spcPct val="15000"/>
            </a:spcAft>
            <a:buFont typeface="Arial" panose="020B0604020202020204" pitchFamily="34" charset="0"/>
            <a:buChar char="•"/>
          </a:pPr>
          <a:r>
            <a:rPr lang="en-AU" sz="1200" b="0" i="0" kern="1200" dirty="0">
              <a:solidFill>
                <a:sysClr val="windowText" lastClr="000000"/>
              </a:solidFill>
              <a:latin typeface="+mn-lt"/>
            </a:rPr>
            <a:t>Explanatory Guide</a:t>
          </a:r>
        </a:p>
      </dsp:txBody>
      <dsp:txXfrm rot="10800000">
        <a:off x="3897426" y="2293196"/>
        <a:ext cx="1834083" cy="1146598"/>
      </dsp:txXfrm>
    </dsp:sp>
    <dsp:sp modelId="{DDB0D329-6FA5-4C43-AD6B-AECE708E0965}">
      <dsp:nvSpPr>
        <dsp:cNvPr id="0" name=""/>
        <dsp:cNvSpPr/>
      </dsp:nvSpPr>
      <dsp:spPr>
        <a:xfrm>
          <a:off x="0" y="2293196"/>
          <a:ext cx="3897426" cy="1146598"/>
        </a:xfrm>
        <a:prstGeom prst="trapezoid">
          <a:avLst>
            <a:gd name="adj" fmla="val 56652"/>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Supporting Guidance and Resources</a:t>
          </a:r>
        </a:p>
      </dsp:txBody>
      <dsp:txXfrm>
        <a:off x="682049" y="2293196"/>
        <a:ext cx="2533327" cy="11465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tter Regulation 4">
      <a:dk1>
        <a:sysClr val="windowText" lastClr="000000"/>
      </a:dk1>
      <a:lt1>
        <a:sysClr val="window" lastClr="FFFFFF"/>
      </a:lt1>
      <a:dk2>
        <a:srgbClr val="1F2A44"/>
      </a:dk2>
      <a:lt2>
        <a:srgbClr val="D2D4DA"/>
      </a:lt2>
      <a:accent1>
        <a:srgbClr val="78BE20"/>
      </a:accent1>
      <a:accent2>
        <a:srgbClr val="6BC4E8"/>
      </a:accent2>
      <a:accent3>
        <a:srgbClr val="00B2A9"/>
      </a:accent3>
      <a:accent4>
        <a:srgbClr val="87189D"/>
      </a:accent4>
      <a:accent5>
        <a:srgbClr val="9FD064"/>
      </a:accent5>
      <a:accent6>
        <a:srgbClr val="C8E4A6"/>
      </a:accent6>
      <a:hlink>
        <a:srgbClr val="78BE20"/>
      </a:hlink>
      <a:folHlink>
        <a:srgbClr val="6BC4E8"/>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SharedWithUsers xmlns="97580cac-1a46-464e-a749-263d0beaf9ec">
      <UserInfo>
        <DisplayName/>
        <AccountId xsi:nil="true"/>
        <AccountType/>
      </UserInfo>
    </SharedWithUsers>
    <MediaLengthInSeconds xmlns="c5048082-e052-44c2-9313-1529a8e2ac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5" ma:contentTypeDescription="Create a new document." ma:contentTypeScope="" ma:versionID="559acfdf00c12948a59ce0625431cf59">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efbff5a9cd8fa2b174e30a6d962fe2c7"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0A4F04-0BE7-43C1-898C-12BA35921DBA}">
  <ds:schemaRefs>
    <ds:schemaRef ds:uri="http://schemas.microsoft.com/office/infopath/2007/PartnerControls"/>
    <ds:schemaRef ds:uri="c5048082-e052-44c2-9313-1529a8e2ac5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7580cac-1a46-464e-a749-263d0beaf9ec"/>
    <ds:schemaRef ds:uri="http://www.w3.org/XML/1998/namespace"/>
  </ds:schemaRefs>
</ds:datastoreItem>
</file>

<file path=customXml/itemProps2.xml><?xml version="1.0" encoding="utf-8"?>
<ds:datastoreItem xmlns:ds="http://schemas.openxmlformats.org/officeDocument/2006/customXml" ds:itemID="{4A7957B3-1E6C-403E-8129-5B26C462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4.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5.xml><?xml version="1.0" encoding="utf-8"?>
<ds:datastoreItem xmlns:ds="http://schemas.openxmlformats.org/officeDocument/2006/customXml" ds:itemID="{03A5A514-5403-4184-9E88-212734FF8E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BRV report.dotx</Template>
  <TotalTime>199</TotalTime>
  <Pages>11</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Links>
    <vt:vector size="36" baseType="variant">
      <vt:variant>
        <vt:i4>786517</vt:i4>
      </vt:variant>
      <vt:variant>
        <vt:i4>15</vt:i4>
      </vt:variant>
      <vt:variant>
        <vt:i4>0</vt:i4>
      </vt:variant>
      <vt:variant>
        <vt:i4>5</vt:i4>
      </vt:variant>
      <vt:variant>
        <vt:lpwstr>https://www.vic.gov.au/towards-best-practice-guide-regulators</vt:lpwstr>
      </vt:variant>
      <vt:variant>
        <vt:lpwstr/>
      </vt: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 (DTF)</dc:creator>
  <cp:keywords/>
  <dc:description/>
  <cp:lastModifiedBy>Lucy Farnsworth (DTF)</cp:lastModifiedBy>
  <cp:revision>67</cp:revision>
  <cp:lastPrinted>2023-03-01T22:01:00Z</cp:lastPrinted>
  <dcterms:created xsi:type="dcterms:W3CDTF">2022-12-16T15:04:00Z</dcterms:created>
  <dcterms:modified xsi:type="dcterms:W3CDTF">2023-03-07T03:21:00Z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Order">
    <vt:r8>2207600</vt:r8>
  </property>
  <property fmtid="{D5CDD505-2E9C-101B-9397-08002B2CF9AE}" pid="12" name="xd_Signature">
    <vt:bool>false</vt:bool>
  </property>
  <property fmtid="{D5CDD505-2E9C-101B-9397-08002B2CF9AE}" pid="13" name="xd_ProgID">
    <vt:lpwstr/>
  </property>
  <property fmtid="{D5CDD505-2E9C-101B-9397-08002B2CF9AE}" pid="14" name="Status">
    <vt:lpwstr>Unallocated</vt:lpwstr>
  </property>
  <property fmtid="{D5CDD505-2E9C-101B-9397-08002B2CF9AE}" pid="15" name="ComplianceAssetId">
    <vt:lpwstr/>
  </property>
  <property fmtid="{D5CDD505-2E9C-101B-9397-08002B2CF9AE}" pid="16" name="TemplateUrl">
    <vt:lpwstr/>
  </property>
  <property fmtid="{D5CDD505-2E9C-101B-9397-08002B2CF9AE}" pid="17" name="XSLStyleIconUrl">
    <vt:lpwstr>, </vt:lpwstr>
  </property>
  <property fmtid="{D5CDD505-2E9C-101B-9397-08002B2CF9AE}" pid="18" name="_ExtendedDescription">
    <vt:lpwstr/>
  </property>
  <property fmtid="{D5CDD505-2E9C-101B-9397-08002B2CF9AE}" pid="19" name="TriggerFlowInfo">
    <vt:lpwstr/>
  </property>
</Properties>
</file>