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E550" w14:textId="53ECB6E5" w:rsidR="00BB58F1" w:rsidRDefault="00BB58F1" w:rsidP="2E08408E">
      <w:pPr>
        <w:pStyle w:val="IntroFeatureText"/>
        <w:rPr>
          <w:rFonts w:asciiTheme="majorHAnsi" w:eastAsiaTheme="majorEastAsia" w:hAnsiTheme="majorHAnsi" w:cstheme="majorBidi"/>
          <w:b/>
          <w:bCs/>
          <w:color w:val="004C97" w:themeColor="accent3"/>
          <w:spacing w:val="-2"/>
          <w:sz w:val="40"/>
          <w:szCs w:val="40"/>
          <w:lang w:val="en-US"/>
        </w:rPr>
      </w:pPr>
      <w:r w:rsidRPr="2E08408E">
        <w:rPr>
          <w:rFonts w:asciiTheme="majorHAnsi" w:eastAsiaTheme="majorEastAsia" w:hAnsiTheme="majorHAnsi" w:cstheme="majorBidi"/>
          <w:b/>
          <w:bCs/>
          <w:color w:val="004C97" w:themeColor="accent3"/>
          <w:spacing w:val="-2"/>
          <w:sz w:val="40"/>
          <w:szCs w:val="40"/>
          <w:lang w:val="en-US"/>
        </w:rPr>
        <w:t xml:space="preserve">Recovered </w:t>
      </w:r>
      <w:r w:rsidR="003E4865" w:rsidRPr="2E08408E">
        <w:rPr>
          <w:rFonts w:asciiTheme="majorHAnsi" w:eastAsiaTheme="majorEastAsia" w:hAnsiTheme="majorHAnsi" w:cstheme="majorBidi"/>
          <w:b/>
          <w:bCs/>
          <w:color w:val="004C97" w:themeColor="accent3"/>
          <w:spacing w:val="-2"/>
          <w:sz w:val="40"/>
          <w:szCs w:val="40"/>
          <w:lang w:val="en-US"/>
        </w:rPr>
        <w:t>m</w:t>
      </w:r>
      <w:r w:rsidRPr="2E08408E">
        <w:rPr>
          <w:rFonts w:asciiTheme="majorHAnsi" w:eastAsiaTheme="majorEastAsia" w:hAnsiTheme="majorHAnsi" w:cstheme="majorBidi"/>
          <w:b/>
          <w:bCs/>
          <w:color w:val="004C97" w:themeColor="accent3"/>
          <w:spacing w:val="-2"/>
          <w:sz w:val="40"/>
          <w:szCs w:val="40"/>
          <w:lang w:val="en-US"/>
        </w:rPr>
        <w:t xml:space="preserve">etal </w:t>
      </w:r>
      <w:r w:rsidR="003E4865" w:rsidRPr="2E08408E">
        <w:rPr>
          <w:rFonts w:asciiTheme="majorHAnsi" w:eastAsiaTheme="majorEastAsia" w:hAnsiTheme="majorHAnsi" w:cstheme="majorBidi"/>
          <w:b/>
          <w:bCs/>
          <w:color w:val="004C97" w:themeColor="accent3"/>
          <w:spacing w:val="-2"/>
          <w:sz w:val="40"/>
          <w:szCs w:val="40"/>
          <w:lang w:val="en-US"/>
        </w:rPr>
        <w:t>p</w:t>
      </w:r>
      <w:r w:rsidRPr="2E08408E">
        <w:rPr>
          <w:rFonts w:asciiTheme="majorHAnsi" w:eastAsiaTheme="majorEastAsia" w:hAnsiTheme="majorHAnsi" w:cstheme="majorBidi"/>
          <w:b/>
          <w:bCs/>
          <w:color w:val="004C97" w:themeColor="accent3"/>
          <w:spacing w:val="-2"/>
          <w:sz w:val="40"/>
          <w:szCs w:val="40"/>
          <w:lang w:val="en-US"/>
        </w:rPr>
        <w:t>ackaging</w:t>
      </w:r>
    </w:p>
    <w:p w14:paraId="1C932757" w14:textId="1F224494" w:rsidR="5113DEDF" w:rsidRDefault="5113DEDF" w:rsidP="2E08408E">
      <w:pPr>
        <w:pStyle w:val="IntroFeatureText"/>
      </w:pPr>
      <w:r w:rsidRPr="2E08408E">
        <w:rPr>
          <w:rFonts w:asciiTheme="majorHAnsi" w:eastAsiaTheme="majorEastAsia" w:hAnsiTheme="majorHAnsi" w:cstheme="majorBidi"/>
          <w:color w:val="004C97" w:themeColor="accent3"/>
          <w:lang w:val="en-US"/>
        </w:rPr>
        <w:t>Market ins</w:t>
      </w:r>
      <w:r w:rsidR="13858311" w:rsidRPr="2E08408E">
        <w:rPr>
          <w:rFonts w:asciiTheme="majorHAnsi" w:eastAsiaTheme="majorEastAsia" w:hAnsiTheme="majorHAnsi" w:cstheme="majorBidi"/>
          <w:color w:val="004C97" w:themeColor="accent3"/>
          <w:lang w:val="en-US"/>
        </w:rPr>
        <w:t>i</w:t>
      </w:r>
      <w:r w:rsidRPr="2E08408E">
        <w:rPr>
          <w:rFonts w:asciiTheme="majorHAnsi" w:eastAsiaTheme="majorEastAsia" w:hAnsiTheme="majorHAnsi" w:cstheme="majorBidi"/>
          <w:color w:val="004C97" w:themeColor="accent3"/>
          <w:lang w:val="en-US"/>
        </w:rPr>
        <w:t>ghts report</w:t>
      </w:r>
    </w:p>
    <w:p w14:paraId="6B89FF67" w14:textId="50A33C6D" w:rsidR="00BB58F1" w:rsidRPr="00BB58F1" w:rsidRDefault="00BB58F1" w:rsidP="00BB58F1">
      <w:pPr>
        <w:pStyle w:val="BodyText"/>
        <w:rPr>
          <w:lang w:eastAsia="en-AU"/>
        </w:rPr>
        <w:sectPr w:rsidR="00BB58F1" w:rsidRPr="00BB58F1" w:rsidSect="00AF174F">
          <w:headerReference w:type="default" r:id="rId14"/>
          <w:footerReference w:type="even" r:id="rId15"/>
          <w:footerReference w:type="default" r:id="rId16"/>
          <w:headerReference w:type="first" r:id="rId17"/>
          <w:footerReference w:type="first" r:id="rId18"/>
          <w:pgSz w:w="11907" w:h="16840" w:code="9"/>
          <w:pgMar w:top="851" w:right="851" w:bottom="1985" w:left="851" w:header="567" w:footer="907" w:gutter="0"/>
          <w:cols w:space="284"/>
          <w:titlePg/>
          <w:docGrid w:linePitch="360"/>
        </w:sectPr>
      </w:pPr>
    </w:p>
    <w:p w14:paraId="005C9D27" w14:textId="1A576578" w:rsidR="00BB58F1" w:rsidRDefault="2C850CD5" w:rsidP="00BB58F1">
      <w:pPr>
        <w:pStyle w:val="Heading3"/>
      </w:pPr>
      <w:r>
        <w:t xml:space="preserve">Notable </w:t>
      </w:r>
      <w:r w:rsidR="00BB58F1">
        <w:t xml:space="preserve">Market developments </w:t>
      </w:r>
    </w:p>
    <w:p w14:paraId="7C05A19A" w14:textId="67817723" w:rsidR="00BB58F1" w:rsidRDefault="00BB58F1" w:rsidP="00BB58F1">
      <w:pPr>
        <w:pStyle w:val="ListBullet"/>
      </w:pPr>
      <w:r w:rsidRPr="4D4FE1B5">
        <w:rPr>
          <w:b/>
          <w:bCs/>
        </w:rPr>
        <w:t xml:space="preserve">Prices for recovered tin-plate steel cans and aluminium beverage cans have recovered strongly over the last </w:t>
      </w:r>
      <w:r w:rsidR="007D6E7B" w:rsidRPr="4D4FE1B5">
        <w:rPr>
          <w:b/>
          <w:bCs/>
        </w:rPr>
        <w:t>2 years</w:t>
      </w:r>
      <w:r w:rsidRPr="4D4FE1B5">
        <w:rPr>
          <w:b/>
          <w:bCs/>
        </w:rPr>
        <w:t xml:space="preserve"> from the mid-2020 lows. They are trading at reasonable levels, coming off price peaks around March 2022.</w:t>
      </w:r>
      <w:r>
        <w:t xml:space="preserve"> Prices for both tin-plate steel cans and aluminium beverage cans have decreased from the very high prices seen across the first half of 2022.</w:t>
      </w:r>
    </w:p>
    <w:p w14:paraId="7F15993D" w14:textId="433DF234" w:rsidR="00BB58F1" w:rsidRDefault="00BB58F1" w:rsidP="00BB58F1">
      <w:pPr>
        <w:pStyle w:val="ListBullet"/>
      </w:pPr>
      <w:r w:rsidRPr="4D4FE1B5">
        <w:rPr>
          <w:b/>
          <w:bCs/>
        </w:rPr>
        <w:t xml:space="preserve">Exports of tin-plate steel cans and aluminium beverage cans have fallen steeply since the middle of 2021 and are back near the </w:t>
      </w:r>
      <w:r w:rsidR="00764023" w:rsidRPr="4D4FE1B5">
        <w:rPr>
          <w:b/>
          <w:bCs/>
        </w:rPr>
        <w:t>long-term</w:t>
      </w:r>
      <w:r w:rsidRPr="4D4FE1B5">
        <w:rPr>
          <w:b/>
          <w:bCs/>
        </w:rPr>
        <w:t xml:space="preserve"> average for metal packaging exports.</w:t>
      </w:r>
      <w:r>
        <w:t xml:space="preserve"> The high prices across the 2021–22 financial year probably reduced stockpiles of baled cans built</w:t>
      </w:r>
      <w:r w:rsidR="003E4865">
        <w:t xml:space="preserve"> </w:t>
      </w:r>
      <w:r>
        <w:t xml:space="preserve">up by </w:t>
      </w:r>
      <w:r w:rsidR="003E4865">
        <w:t>material recovery facility (</w:t>
      </w:r>
      <w:r>
        <w:t>MRF</w:t>
      </w:r>
      <w:r w:rsidR="003E4865">
        <w:t>)</w:t>
      </w:r>
      <w:r>
        <w:t xml:space="preserve"> operators and scrap metal traders during the period of very low prices across the 2020 calendar year. This stockpile drawdown is now complete, and exports have likely stabilised at close to the level of MRF sorting with the higher prices providing little incentive to stockpile.</w:t>
      </w:r>
    </w:p>
    <w:p w14:paraId="7AA4B0F8" w14:textId="77777777" w:rsidR="00BB58F1" w:rsidRDefault="00BB58F1" w:rsidP="00BB58F1">
      <w:pPr>
        <w:pStyle w:val="ListBullet"/>
      </w:pPr>
      <w:r w:rsidRPr="00BB58F1">
        <w:rPr>
          <w:b/>
          <w:bCs/>
        </w:rPr>
        <w:t>Container costs were at record high prices across the second half of 2021.</w:t>
      </w:r>
      <w:r>
        <w:t xml:space="preserve"> International freight costs have been very high since the middle of 2021 but have moderated somewhat over the July–September 2022 period. This high cost has put downward pressure on exports even though metal prices have been good to excellent. It is likely that the high freight costs are a contributor to the high metals price, as exporters </w:t>
      </w:r>
      <w:proofErr w:type="gramStart"/>
      <w:r>
        <w:t>have to</w:t>
      </w:r>
      <w:proofErr w:type="gramEnd"/>
      <w:r>
        <w:t xml:space="preserve"> recoup the container contract cost. They have also been able to pass a significant proportion of this cost onto overseas buyers, due in large part to the high prices for virgin aluminium and steel, and scrap aluminium and steel from non-packaging sources.</w:t>
      </w:r>
    </w:p>
    <w:p w14:paraId="1B260505" w14:textId="77777777" w:rsidR="00BB58F1" w:rsidRDefault="00BB58F1" w:rsidP="00BB58F1">
      <w:pPr>
        <w:pStyle w:val="Heading3"/>
      </w:pPr>
      <w:r>
        <w:t>Material overview and market summary</w:t>
      </w:r>
    </w:p>
    <w:p w14:paraId="1C9B4C16" w14:textId="043D95B8" w:rsidR="00BB58F1" w:rsidRDefault="00BB58F1" w:rsidP="00BB58F1">
      <w:pPr>
        <w:pStyle w:val="BodyText"/>
        <w:rPr>
          <w:lang w:eastAsia="en-AU"/>
        </w:rPr>
      </w:pPr>
      <w:r w:rsidRPr="2E08408E">
        <w:rPr>
          <w:lang w:eastAsia="en-AU"/>
        </w:rPr>
        <w:t xml:space="preserve">Steel and aluminium cans, mostly recovered through </w:t>
      </w:r>
      <w:r w:rsidR="00774939">
        <w:rPr>
          <w:lang w:eastAsia="en-AU"/>
        </w:rPr>
        <w:t xml:space="preserve">household </w:t>
      </w:r>
      <w:r w:rsidRPr="2E08408E">
        <w:rPr>
          <w:lang w:eastAsia="en-AU"/>
        </w:rPr>
        <w:t>kerbside recycling collections, only account for a small fraction of overall metals recovery in</w:t>
      </w:r>
      <w:r w:rsidR="00310E24" w:rsidRPr="2E08408E">
        <w:rPr>
          <w:lang w:eastAsia="en-AU"/>
        </w:rPr>
        <w:t xml:space="preserve"> </w:t>
      </w:r>
      <w:r w:rsidRPr="2E08408E">
        <w:rPr>
          <w:lang w:eastAsia="en-AU"/>
        </w:rPr>
        <w:t>Victoria.</w:t>
      </w:r>
    </w:p>
    <w:p w14:paraId="0CC2B579" w14:textId="4870CC51" w:rsidR="00BB58F1" w:rsidRDefault="00BB58F1" w:rsidP="00BB58F1">
      <w:pPr>
        <w:pStyle w:val="BodyText"/>
        <w:rPr>
          <w:lang w:eastAsia="en-AU"/>
        </w:rPr>
      </w:pPr>
      <w:r w:rsidRPr="2E08408E">
        <w:rPr>
          <w:lang w:eastAsia="en-AU"/>
        </w:rPr>
        <w:t>MRFs are well equipped to separate these materials from household collections into marketable grades of recyclate, which although small in volume (around 3–4</w:t>
      </w:r>
      <w:r w:rsidR="00310E24" w:rsidRPr="2E08408E">
        <w:rPr>
          <w:lang w:eastAsia="en-AU"/>
        </w:rPr>
        <w:t>%</w:t>
      </w:r>
      <w:r w:rsidRPr="2E08408E">
        <w:rPr>
          <w:lang w:eastAsia="en-AU"/>
        </w:rPr>
        <w:t xml:space="preserve"> of the average household recycling bin) represent a valuable source of revenue for MRFs.</w:t>
      </w:r>
    </w:p>
    <w:p w14:paraId="24B88F64" w14:textId="58D30162" w:rsidR="00BB58F1" w:rsidRDefault="00BB58F1" w:rsidP="00BB58F1">
      <w:pPr>
        <w:pStyle w:val="BodyText"/>
        <w:rPr>
          <w:lang w:eastAsia="en-AU"/>
        </w:rPr>
      </w:pPr>
      <w:r>
        <w:rPr>
          <w:lang w:eastAsia="en-AU"/>
        </w:rPr>
        <w:t>Recovered steel packaging is considered a low</w:t>
      </w:r>
      <w:r w:rsidR="000720CE">
        <w:rPr>
          <w:lang w:eastAsia="en-AU"/>
        </w:rPr>
        <w:t xml:space="preserve"> </w:t>
      </w:r>
      <w:r>
        <w:rPr>
          <w:lang w:eastAsia="en-AU"/>
        </w:rPr>
        <w:t xml:space="preserve">value form of steel post-consumer, but is still saleable into overseas markets, sometimes by blending it into mixed grade steel products </w:t>
      </w:r>
      <w:r w:rsidR="0080657F">
        <w:rPr>
          <w:lang w:eastAsia="en-AU"/>
        </w:rPr>
        <w:t>such as</w:t>
      </w:r>
      <w:r>
        <w:rPr>
          <w:lang w:eastAsia="en-AU"/>
        </w:rPr>
        <w:t xml:space="preserve"> 'black iron'. It is not purchased by local smelter operators in any volume.</w:t>
      </w:r>
    </w:p>
    <w:p w14:paraId="5761BE27" w14:textId="3CB03F90" w:rsidR="00BB58F1" w:rsidRDefault="00BB58F1" w:rsidP="00BB58F1">
      <w:pPr>
        <w:pStyle w:val="BodyText"/>
        <w:rPr>
          <w:lang w:eastAsia="en-AU"/>
        </w:rPr>
      </w:pPr>
      <w:r w:rsidRPr="2E08408E">
        <w:rPr>
          <w:lang w:eastAsia="en-AU"/>
        </w:rPr>
        <w:t xml:space="preserve">Figure 1 provides data on the change in exports of kerbside recovered metal packaging since the </w:t>
      </w:r>
      <w:r w:rsidR="0080657F">
        <w:rPr>
          <w:lang w:eastAsia="en-AU"/>
        </w:rPr>
        <w:t>start</w:t>
      </w:r>
      <w:r w:rsidRPr="2E08408E">
        <w:rPr>
          <w:lang w:eastAsia="en-AU"/>
        </w:rPr>
        <w:t xml:space="preserve"> of 2017. The jump in metal packaging exports </w:t>
      </w:r>
      <w:r w:rsidR="00D553BE">
        <w:rPr>
          <w:lang w:eastAsia="en-AU"/>
        </w:rPr>
        <w:t xml:space="preserve">from </w:t>
      </w:r>
      <w:r w:rsidRPr="2E08408E">
        <w:rPr>
          <w:lang w:eastAsia="en-AU"/>
        </w:rPr>
        <w:t>July 2020 to April 2022 is likely due to the large increase in scrap metal prices across the (approximately) same period. There were notable price increases for both tin-plate steel cans and aluminium beverage cans across the June 2021–May 2022 period, with prices decreasing somewhat to September 2022, but still at reasonable levels historically.</w:t>
      </w:r>
    </w:p>
    <w:p w14:paraId="687569C7" w14:textId="166CBA5B" w:rsidR="00712387" w:rsidRDefault="001169EB" w:rsidP="001266CC">
      <w:pPr>
        <w:pStyle w:val="BodyText"/>
      </w:pPr>
      <w:r w:rsidRPr="005C4BB6">
        <w:rPr>
          <w:rFonts w:ascii="Arial" w:hAnsi="Arial"/>
          <w:noProof/>
          <w:color w:val="000000"/>
        </w:rPr>
        <w:lastRenderedPageBreak/>
        <w:drawing>
          <wp:inline distT="0" distB="0" distL="0" distR="0" wp14:anchorId="177E94E7" wp14:editId="531C653B">
            <wp:extent cx="5731510" cy="3583139"/>
            <wp:effectExtent l="0" t="0" r="2540" b="0"/>
            <wp:docPr id="21" name="Picture 21" descr="Line chart showing the destination of Victorian MRF outputs (tonnes per month) for metal pack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ne chart showing the destination of Victorian MRF outputs (tonnes per month) for metal packag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583139"/>
                    </a:xfrm>
                    <a:prstGeom prst="rect">
                      <a:avLst/>
                    </a:prstGeom>
                    <a:noFill/>
                  </pic:spPr>
                </pic:pic>
              </a:graphicData>
            </a:graphic>
          </wp:inline>
        </w:drawing>
      </w:r>
    </w:p>
    <w:p w14:paraId="0488318A" w14:textId="7AB85D28" w:rsidR="000646FC" w:rsidRDefault="000646FC" w:rsidP="000646FC">
      <w:pPr>
        <w:pStyle w:val="CaptionImageorFigure"/>
      </w:pPr>
      <w:r>
        <w:t>Figure 1: Destination of Victorian MRF outputs (tonnes</w:t>
      </w:r>
      <w:r w:rsidR="005D313E">
        <w:t xml:space="preserve"> per </w:t>
      </w:r>
      <w:r>
        <w:t xml:space="preserve">month) – </w:t>
      </w:r>
      <w:r w:rsidR="005D313E">
        <w:t>m</w:t>
      </w:r>
      <w:r>
        <w:t>etal packaging</w:t>
      </w:r>
      <w:r w:rsidR="005D313E">
        <w:t>.</w:t>
      </w:r>
    </w:p>
    <w:p w14:paraId="2A9B92BF" w14:textId="3D99E5F4" w:rsidR="00EA39C6" w:rsidRDefault="00EA39C6" w:rsidP="00EA39C6">
      <w:pPr>
        <w:pStyle w:val="PhotoCredit"/>
      </w:pPr>
      <w:r>
        <w:t xml:space="preserve">Source: </w:t>
      </w:r>
      <w:r w:rsidR="00C86D14">
        <w:t>Australian Bureau of Statistics (</w:t>
      </w:r>
      <w:r>
        <w:t>ABS</w:t>
      </w:r>
      <w:r w:rsidR="00C86D14">
        <w:t>)</w:t>
      </w:r>
      <w:r>
        <w:t xml:space="preserve"> (Australian Harmonized Export Commodity Classification (AHECC) data by month, </w:t>
      </w:r>
      <w:r w:rsidR="00DE7348">
        <w:t>classification,</w:t>
      </w:r>
      <w:r>
        <w:t xml:space="preserve"> and destination country, 2022) and Blue Environment</w:t>
      </w:r>
      <w:r w:rsidR="00C86D14">
        <w:t>.</w:t>
      </w:r>
    </w:p>
    <w:p w14:paraId="4F17DF6A" w14:textId="77777777" w:rsidR="00BB6337" w:rsidRDefault="00BB6337" w:rsidP="00EA39C6">
      <w:pPr>
        <w:pStyle w:val="SmallBodyText"/>
      </w:pPr>
      <w:r>
        <w:t>Note 1: Historical total monthly MRF outputs have been approximated in the figure above to enable comparison with monthly ABS customs export data. The overall trends are the key aspect of the figure.</w:t>
      </w:r>
    </w:p>
    <w:p w14:paraId="61E2D812" w14:textId="594856BD" w:rsidR="00BB6337" w:rsidRDefault="00BB6337" w:rsidP="00EA39C6">
      <w:pPr>
        <w:pStyle w:val="SmallBodyText"/>
      </w:pPr>
      <w:r>
        <w:t>Note 2: The combined ‘Local reprocessing or storage estimate is indicative only, and these fates will be presented separately if this level of data becomes available. Landfill excludes disposal from storage and is an approximation based on annual waste to landfill rates.</w:t>
      </w:r>
    </w:p>
    <w:p w14:paraId="47346D0C" w14:textId="6509F6FE" w:rsidR="00EA39C6" w:rsidRDefault="00EA39C6" w:rsidP="00EA39C6">
      <w:pPr>
        <w:pStyle w:val="SmallBodyText"/>
      </w:pPr>
    </w:p>
    <w:p w14:paraId="5F8678DA" w14:textId="18782BFB" w:rsidR="00CB7AD1" w:rsidRDefault="00CB7AD1" w:rsidP="00CB7AD1">
      <w:pPr>
        <w:pStyle w:val="BodyText"/>
      </w:pPr>
      <w:r>
        <w:t xml:space="preserve">Throughout 2022, baled steel and aluminium packaging was sent to </w:t>
      </w:r>
      <w:r w:rsidR="00801B56">
        <w:t xml:space="preserve">many different </w:t>
      </w:r>
      <w:r>
        <w:t xml:space="preserve">countries, with the main destinations being Thailand, Indonesia, South Korea, </w:t>
      </w:r>
      <w:r w:rsidR="00DE7348">
        <w:t>Taiwan,</w:t>
      </w:r>
      <w:r>
        <w:t xml:space="preserve"> and India. Almost all recovered metal packaging is sold into export markets, with no Victorian tin-plated steel or aluminium packaging identified as being reprocessed in Australia. This is reportedly due to the much better export prices on offer, relative to local interest and prices.</w:t>
      </w:r>
    </w:p>
    <w:p w14:paraId="44D73E9A" w14:textId="77777777" w:rsidR="00CB7AD1" w:rsidRDefault="00CB7AD1" w:rsidP="00CB7AD1">
      <w:pPr>
        <w:pStyle w:val="BodyText"/>
      </w:pPr>
      <w:r>
        <w:t>There are trials of small quantities of tin-plated and aluminium packaging reported as reprocessed in other states, and it is expected that these quantities will increase over coming years.</w:t>
      </w:r>
    </w:p>
    <w:p w14:paraId="10897A02" w14:textId="77777777" w:rsidR="00CB7AD1" w:rsidRDefault="00CB7AD1" w:rsidP="00CB7AD1">
      <w:pPr>
        <w:pStyle w:val="Heading3"/>
      </w:pPr>
      <w:r>
        <w:t>Prices, demand and supply</w:t>
      </w:r>
    </w:p>
    <w:p w14:paraId="051A4CF6" w14:textId="77777777" w:rsidR="00CB7AD1" w:rsidRDefault="00CB7AD1" w:rsidP="00CB7AD1">
      <w:pPr>
        <w:pStyle w:val="BodyText"/>
      </w:pPr>
      <w:r>
        <w:t>While there is currently little steel or aluminium packaging post-consumer reprocessed in Australia, international markets for these commodities remain strong.</w:t>
      </w:r>
    </w:p>
    <w:p w14:paraId="5D072F9D" w14:textId="21C7EA42" w:rsidR="00CB7AD1" w:rsidRDefault="00CB7AD1" w:rsidP="00CB7AD1">
      <w:pPr>
        <w:pStyle w:val="BodyText"/>
      </w:pPr>
      <w:r>
        <w:t xml:space="preserve">There are </w:t>
      </w:r>
      <w:r w:rsidR="00801B56">
        <w:t>2</w:t>
      </w:r>
      <w:r>
        <w:t xml:space="preserve"> aluminium smelter operators in Australia that are reportedly investigating upgrading their facilities to take used aluminium beverage cans. These are in Tasmania and Queensland. This may provide some increased surety of local reprocessing capacity, and a buffer from international trading conditions, should they deteriorate.</w:t>
      </w:r>
    </w:p>
    <w:p w14:paraId="77BA875A" w14:textId="77777777" w:rsidR="00CB7AD1" w:rsidRDefault="00CB7AD1" w:rsidP="00CB7AD1">
      <w:pPr>
        <w:pStyle w:val="BodyText"/>
      </w:pPr>
      <w:r>
        <w:t>There is no reported significant distressed storage of steel or aluminium packaging, which the jump in exports over the last 12 months supports.</w:t>
      </w:r>
    </w:p>
    <w:p w14:paraId="49E7886C" w14:textId="5FEE95C7" w:rsidR="00CB7AD1" w:rsidRDefault="00CB7AD1" w:rsidP="00CB7AD1">
      <w:pPr>
        <w:pStyle w:val="BodyText"/>
      </w:pPr>
      <w:r>
        <w:t>The price of steel packaging is strongly linked to global steel pricing. The current price (September 2022) received for baled steel packaging is around $350–$400 per tonne (</w:t>
      </w:r>
      <w:r w:rsidR="00634990">
        <w:t xml:space="preserve">Ex Works (EXW) </w:t>
      </w:r>
      <w:r>
        <w:t>MRF). This illustrates strong growth from the price of around $90–$100 per tonne seen back in the middle of 2020.</w:t>
      </w:r>
    </w:p>
    <w:p w14:paraId="52697378" w14:textId="77777777" w:rsidR="00CB7AD1" w:rsidRDefault="00CB7AD1" w:rsidP="00CB7AD1">
      <w:pPr>
        <w:pStyle w:val="BodyText"/>
      </w:pPr>
      <w:r>
        <w:t>The price of shipped aluminium packaging is linked to virgin aluminium pricing. The current price (September 2022) received for baled aluminium beverage cans is approximately $2,200–$2,300 per tonne (EXW MRF). This is strong growth from the price of around $800–$900 per tonne seen back in the middle of 2020.</w:t>
      </w:r>
    </w:p>
    <w:p w14:paraId="327FB370" w14:textId="62584723" w:rsidR="00CB7AD1" w:rsidRDefault="00CB7AD1" w:rsidP="00CB7AD1">
      <w:pPr>
        <w:pStyle w:val="Heading3"/>
      </w:pPr>
      <w:r>
        <w:lastRenderedPageBreak/>
        <w:t>Key end</w:t>
      </w:r>
      <w:r w:rsidR="00634990">
        <w:t xml:space="preserve"> </w:t>
      </w:r>
      <w:r>
        <w:t>markets and related specifications</w:t>
      </w:r>
    </w:p>
    <w:p w14:paraId="6813984A" w14:textId="77777777" w:rsidR="00CB7AD1" w:rsidRDefault="00CB7AD1" w:rsidP="00CB7AD1">
      <w:pPr>
        <w:pStyle w:val="BodyText"/>
      </w:pPr>
      <w:r>
        <w:t>Exported steel packaging has specifications relating to contamination levels and bale density. The sorting that is undertaken at MRFs allows the baled material to meet these specifications without major difficulty or manual sorting input. A similar situation exists for aluminium packaging.</w:t>
      </w:r>
    </w:p>
    <w:p w14:paraId="1CE33005" w14:textId="77777777" w:rsidR="00CB7AD1" w:rsidRDefault="00CB7AD1" w:rsidP="00CB7AD1">
      <w:pPr>
        <w:pStyle w:val="BodyText"/>
      </w:pPr>
      <w:r>
        <w:t>Generally steel and aluminium packaging is recycled back into the respective post-consumer metal pools and go into durable applications such as vehicles, building materials and many other products.</w:t>
      </w:r>
    </w:p>
    <w:p w14:paraId="52B5F49A" w14:textId="77777777" w:rsidR="00CB7AD1" w:rsidRDefault="00CB7AD1" w:rsidP="00CB7AD1">
      <w:pPr>
        <w:pStyle w:val="Heading3"/>
      </w:pPr>
      <w:r>
        <w:t>Export and interstate market review</w:t>
      </w:r>
    </w:p>
    <w:p w14:paraId="2975880C" w14:textId="77777777" w:rsidR="00CB7AD1" w:rsidRDefault="00CB7AD1" w:rsidP="00CB7AD1">
      <w:pPr>
        <w:pStyle w:val="BodyText"/>
      </w:pPr>
      <w:r>
        <w:t>The exported steel and aluminium packaging is sold into large markets with most metal coming from non-packaging sources. The material flows from all countries and is destined for wherever the demand requires material for production. Unlike some other materials, there is no way of knowing the origin of the steel or aluminium in new product. Demand and pricing can increase or decrease based on worldwide supply and demand conditions.</w:t>
      </w:r>
    </w:p>
    <w:p w14:paraId="4A555BBE" w14:textId="66D6D72C" w:rsidR="00EA39C6" w:rsidRDefault="00CB7AD1" w:rsidP="00CB7AD1">
      <w:pPr>
        <w:pStyle w:val="BodyText"/>
      </w:pPr>
      <w:r>
        <w:t xml:space="preserve">Exports of kerbside recovered metal packaging have increased to a high level since June 2020, driven by a sharp return in exports to India (which has now fallen away), increases in exports to Taiwan, South </w:t>
      </w:r>
      <w:r w:rsidR="00DE7348">
        <w:t>Korea,</w:t>
      </w:r>
      <w:r>
        <w:t xml:space="preserve"> and Indonesia, and continually improving prices across 2021 and the first half of 2022. The fall from October 2021 may be due to the completion of the drawdown of stockpiled bales, and some slowdown in exports due to supply chain disruptions and very high container costs over the second half of 2021 and 2022.</w:t>
      </w:r>
    </w:p>
    <w:p w14:paraId="0BCB0AAB" w14:textId="77777777" w:rsidR="004A2202" w:rsidRDefault="004A2202" w:rsidP="00CB7AD1">
      <w:pPr>
        <w:pStyle w:val="BodyText"/>
      </w:pPr>
    </w:p>
    <w:p w14:paraId="77846F25" w14:textId="5A4E5A39" w:rsidR="00047881" w:rsidRDefault="004A2202" w:rsidP="00CB7AD1">
      <w:pPr>
        <w:pStyle w:val="BodyText"/>
      </w:pPr>
      <w:r>
        <w:rPr>
          <w:noProof/>
        </w:rPr>
        <w:drawing>
          <wp:inline distT="0" distB="0" distL="0" distR="0" wp14:anchorId="0AE81F9E" wp14:editId="01C78B78">
            <wp:extent cx="5731510" cy="3588813"/>
            <wp:effectExtent l="0" t="0" r="2540" b="0"/>
            <wp:docPr id="23" name="Picture 23" descr="Line chart showing Victorian recovered kerbside metal packaging, to export country (tonnes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ine chart showing Victorian recovered kerbside metal packaging, to export country (tonnes per mon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588813"/>
                    </a:xfrm>
                    <a:prstGeom prst="rect">
                      <a:avLst/>
                    </a:prstGeom>
                    <a:noFill/>
                  </pic:spPr>
                </pic:pic>
              </a:graphicData>
            </a:graphic>
          </wp:inline>
        </w:drawing>
      </w:r>
    </w:p>
    <w:p w14:paraId="4B3F4567" w14:textId="67C56BB2" w:rsidR="00BB6337" w:rsidRDefault="00BD6E60" w:rsidP="00F53625">
      <w:pPr>
        <w:pStyle w:val="CaptionImageorFigure"/>
      </w:pPr>
      <w:r>
        <w:t>Figure 2</w:t>
      </w:r>
      <w:r w:rsidR="0046036D">
        <w:t xml:space="preserve">: </w:t>
      </w:r>
      <w:r>
        <w:t>Victorian recovered kerbside metal packaging, to export country (tonnes</w:t>
      </w:r>
      <w:r w:rsidR="0046036D">
        <w:t xml:space="preserve"> per </w:t>
      </w:r>
      <w:r>
        <w:t>month</w:t>
      </w:r>
      <w:r w:rsidR="0046036D">
        <w:t>)</w:t>
      </w:r>
      <w:r w:rsidR="00CD6D6E">
        <w:t>.</w:t>
      </w:r>
    </w:p>
    <w:p w14:paraId="65F7C4CF" w14:textId="4288508D" w:rsidR="00F53625" w:rsidRDefault="00F53625" w:rsidP="00F53625">
      <w:pPr>
        <w:pStyle w:val="PhotoCredit"/>
      </w:pPr>
      <w:r>
        <w:t xml:space="preserve">Source: ABS </w:t>
      </w:r>
      <w:r w:rsidR="0046036D">
        <w:t>and</w:t>
      </w:r>
      <w:r>
        <w:t xml:space="preserve"> </w:t>
      </w:r>
      <w:r w:rsidR="0046036D">
        <w:t>IndustryEdge (</w:t>
      </w:r>
      <w:r>
        <w:t>IE</w:t>
      </w:r>
      <w:r w:rsidR="0046036D">
        <w:t>)</w:t>
      </w:r>
      <w:r>
        <w:t xml:space="preserve"> (Australian Harmonized Export Commodity Classification (AHECC) data by month, </w:t>
      </w:r>
      <w:r w:rsidR="00DE7348">
        <w:t>classification,</w:t>
      </w:r>
      <w:r>
        <w:t xml:space="preserve"> and destination country, 2022) and Blue Environment.</w:t>
      </w:r>
    </w:p>
    <w:p w14:paraId="3FFC4614" w14:textId="1A47D448" w:rsidR="00743ADD" w:rsidRDefault="00743ADD" w:rsidP="00743ADD">
      <w:pPr>
        <w:pStyle w:val="BodyText"/>
      </w:pPr>
      <w:r>
        <w:t>Prior to the pandemic and the current tight market for containers, the typical 12</w:t>
      </w:r>
      <w:r w:rsidR="005E2BEE">
        <w:t xml:space="preserve"> </w:t>
      </w:r>
      <w:r>
        <w:t>month contracted price for 50 twenty-foot container movements to southeast Asia, with a capacity of 20 tonnes each, was in the order of $USD300 per container, and was even much lower for scrap material movements (which received lower ‘back hauling’ prices), which were in the order of $USD100–200 per container.</w:t>
      </w:r>
    </w:p>
    <w:p w14:paraId="0820BB16" w14:textId="16491A4E" w:rsidR="00743ADD" w:rsidRPr="00952557" w:rsidRDefault="00743ADD" w:rsidP="00952557">
      <w:pPr>
        <w:pStyle w:val="BodyText"/>
      </w:pPr>
      <w:r>
        <w:t>Back hauling pricing has reportedly dried up and this same contract is reportedly in the order of</w:t>
      </w:r>
      <w:r w:rsidR="00DA41AB">
        <w:t xml:space="preserve"> </w:t>
      </w:r>
      <w:r>
        <w:t>$USD2700–3500 per container, with no reduced price for scrap materials. For high value metals like aluminium</w:t>
      </w:r>
      <w:r w:rsidR="00DA41AB">
        <w:t>,</w:t>
      </w:r>
      <w:r>
        <w:t xml:space="preserve"> this huge price increase is less critical, but for steel cans it represents a very significant cost input increase for exporters. Onshore </w:t>
      </w:r>
      <w:r>
        <w:lastRenderedPageBreak/>
        <w:t>smelting of steel cans would avoid this cost risk. However, some degree of local preliminary reprocessing of tin-plate steel cans</w:t>
      </w:r>
      <w:r w:rsidR="00DA41AB">
        <w:t>, for example in</w:t>
      </w:r>
      <w:r>
        <w:t xml:space="preserve"> a hammer-mill to reduce contamination</w:t>
      </w:r>
      <w:r w:rsidR="00C86AD9">
        <w:t>,</w:t>
      </w:r>
      <w:r>
        <w:t xml:space="preserve"> may be required to make tin-plate steel packaging more attractive to local smelter operators.</w:t>
      </w:r>
    </w:p>
    <w:p w14:paraId="5E14D694" w14:textId="4885C77C" w:rsidR="00743ADD" w:rsidRDefault="00743ADD" w:rsidP="00743ADD">
      <w:pPr>
        <w:pStyle w:val="BodyText"/>
      </w:pPr>
      <w:r>
        <w:t xml:space="preserve">Given the relaxation of </w:t>
      </w:r>
      <w:r w:rsidR="008925EC">
        <w:t>COVID</w:t>
      </w:r>
      <w:r>
        <w:t>-19 restrictions in China and many manufacturers playing catchup on freight movements, and the typical increase in freight movements at the end of the year, container costs are likely to remain high into 2023.</w:t>
      </w:r>
    </w:p>
    <w:p w14:paraId="721C9735" w14:textId="60536CD8" w:rsidR="00F53625" w:rsidRDefault="00743ADD" w:rsidP="00743ADD">
      <w:pPr>
        <w:pStyle w:val="BodyText"/>
      </w:pPr>
      <w:r>
        <w:t xml:space="preserve">It is also worth noting that there is little container freight provider competition from Australia to the major destinations for scrap metal packaging, and it is possible that there are collusive price practices occurring, a practice </w:t>
      </w:r>
      <w:r w:rsidR="005E2BEE">
        <w:t>that the</w:t>
      </w:r>
      <w:r>
        <w:t xml:space="preserve"> </w:t>
      </w:r>
      <w:r w:rsidR="00187E85">
        <w:t>Australian Competition and Consumer Commission</w:t>
      </w:r>
      <w:r>
        <w:t>, along with US, Canadian, New Zealand and UK governments have recognised as a possibly serious problem globally.</w:t>
      </w:r>
    </w:p>
    <w:p w14:paraId="66DEF6E0" w14:textId="1BC187AC" w:rsidR="004A368E" w:rsidRDefault="004A368E" w:rsidP="004A368E">
      <w:pPr>
        <w:pStyle w:val="CaptionImageorFigure"/>
      </w:pPr>
      <w:r>
        <w:t>Table 1</w:t>
      </w:r>
      <w:r w:rsidR="004021CB">
        <w:t>:</w:t>
      </w:r>
      <w:r>
        <w:t xml:space="preserve"> Annual Victorian recovered kerbside recovered metals, to export country (tonnes</w:t>
      </w:r>
      <w:r w:rsidR="004021CB">
        <w:t xml:space="preserve"> per </w:t>
      </w:r>
      <w:r>
        <w:t>y</w:t>
      </w:r>
      <w:r w:rsidR="006023E7">
        <w:t>ea</w:t>
      </w:r>
      <w:r>
        <w:t>r)</w:t>
      </w:r>
      <w:r w:rsidR="00CD6D6E">
        <w:t>.</w:t>
      </w:r>
    </w:p>
    <w:tbl>
      <w:tblPr>
        <w:tblStyle w:val="TableGrid"/>
        <w:tblW w:w="5000" w:type="pct"/>
        <w:tblLook w:val="04A0" w:firstRow="1" w:lastRow="0" w:firstColumn="1" w:lastColumn="0" w:noHBand="0" w:noVBand="1"/>
      </w:tblPr>
      <w:tblGrid>
        <w:gridCol w:w="1177"/>
        <w:gridCol w:w="1129"/>
        <w:gridCol w:w="1129"/>
        <w:gridCol w:w="1129"/>
        <w:gridCol w:w="1129"/>
        <w:gridCol w:w="1130"/>
        <w:gridCol w:w="1130"/>
        <w:gridCol w:w="1130"/>
        <w:gridCol w:w="1122"/>
      </w:tblGrid>
      <w:tr w:rsidR="008E6168" w:rsidRPr="00CB29B6" w14:paraId="330B7535" w14:textId="77777777" w:rsidTr="00261D94">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556" w:type="pct"/>
            <w:noWrap/>
            <w:hideMark/>
          </w:tcPr>
          <w:p w14:paraId="106E30F3" w14:textId="77777777" w:rsidR="008E6168" w:rsidRPr="00CB29B6" w:rsidRDefault="008E6168" w:rsidP="00261D94">
            <w:pPr>
              <w:pStyle w:val="TableHeadingLeft"/>
              <w:rPr>
                <w:rFonts w:eastAsia="Arial"/>
              </w:rPr>
            </w:pPr>
            <w:proofErr w:type="spellStart"/>
            <w:r w:rsidRPr="00CB29B6">
              <w:rPr>
                <w:rFonts w:eastAsia="Arial"/>
              </w:rPr>
              <w:t>Country</w:t>
            </w:r>
            <w:r w:rsidRPr="00CB29B6">
              <w:rPr>
                <w:rFonts w:eastAsia="Arial"/>
                <w:vertAlign w:val="superscript"/>
              </w:rPr>
              <w:t>a</w:t>
            </w:r>
            <w:proofErr w:type="spellEnd"/>
          </w:p>
        </w:tc>
        <w:tc>
          <w:tcPr>
            <w:tcW w:w="556" w:type="pct"/>
            <w:hideMark/>
          </w:tcPr>
          <w:p w14:paraId="6E588582"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2015–16</w:t>
            </w:r>
          </w:p>
          <w:p w14:paraId="5506C503"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6" w:type="pct"/>
            <w:hideMark/>
          </w:tcPr>
          <w:p w14:paraId="7FC0D66F"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2016–17</w:t>
            </w:r>
          </w:p>
          <w:p w14:paraId="23EF5211"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6" w:type="pct"/>
          </w:tcPr>
          <w:p w14:paraId="2F2C25D3"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2017–18</w:t>
            </w:r>
          </w:p>
          <w:p w14:paraId="4BB3ECB7"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6" w:type="pct"/>
          </w:tcPr>
          <w:p w14:paraId="508CF2E2"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2018–19</w:t>
            </w:r>
          </w:p>
          <w:p w14:paraId="4A4EB01A"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6" w:type="pct"/>
          </w:tcPr>
          <w:p w14:paraId="47C6B3C8"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2019–20</w:t>
            </w:r>
          </w:p>
          <w:p w14:paraId="2CEBCD6F"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6" w:type="pct"/>
          </w:tcPr>
          <w:p w14:paraId="6D34E3A1"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2020–21</w:t>
            </w:r>
          </w:p>
          <w:p w14:paraId="210D7C32"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6" w:type="pct"/>
          </w:tcPr>
          <w:p w14:paraId="1D624270"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2021–22</w:t>
            </w:r>
          </w:p>
          <w:p w14:paraId="5D9B85F9"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6" w:type="pct"/>
          </w:tcPr>
          <w:p w14:paraId="326F7FA5"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2022–23</w:t>
            </w:r>
            <w:r w:rsidRPr="00CB29B6">
              <w:rPr>
                <w:rFonts w:eastAsia="Arial"/>
                <w:vertAlign w:val="superscript"/>
              </w:rPr>
              <w:t>b</w:t>
            </w:r>
          </w:p>
          <w:p w14:paraId="7A809CC7"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r>
      <w:tr w:rsidR="008E6168" w:rsidRPr="00CB29B6" w14:paraId="40D169A4" w14:textId="77777777" w:rsidTr="0018071B">
        <w:trPr>
          <w:trHeight w:val="286"/>
        </w:trPr>
        <w:tc>
          <w:tcPr>
            <w:tcW w:w="556" w:type="pct"/>
            <w:shd w:val="clear" w:color="auto" w:fill="DBF4F5" w:themeFill="background2"/>
            <w:noWrap/>
          </w:tcPr>
          <w:p w14:paraId="599C2FEB" w14:textId="77777777" w:rsidR="008E6168" w:rsidRPr="00CB29B6" w:rsidRDefault="008E6168" w:rsidP="00261D94">
            <w:pPr>
              <w:pStyle w:val="TableTextLeft"/>
            </w:pPr>
            <w:r w:rsidRPr="00CB29B6">
              <w:t>Indonesia</w:t>
            </w:r>
          </w:p>
        </w:tc>
        <w:tc>
          <w:tcPr>
            <w:tcW w:w="556" w:type="pct"/>
            <w:noWrap/>
          </w:tcPr>
          <w:p w14:paraId="57E73704" w14:textId="77777777" w:rsidR="008E6168" w:rsidRPr="00CB29B6" w:rsidRDefault="008E6168" w:rsidP="00261D94">
            <w:pPr>
              <w:pStyle w:val="TableTextRight"/>
            </w:pPr>
            <w:r w:rsidRPr="00CB29B6">
              <w:t>0</w:t>
            </w:r>
          </w:p>
        </w:tc>
        <w:tc>
          <w:tcPr>
            <w:tcW w:w="556" w:type="pct"/>
            <w:shd w:val="clear" w:color="auto" w:fill="DBF4F5" w:themeFill="background2"/>
            <w:noWrap/>
          </w:tcPr>
          <w:p w14:paraId="5C367CD4" w14:textId="77777777" w:rsidR="008E6168" w:rsidRPr="00CB29B6" w:rsidRDefault="008E6168" w:rsidP="00261D94">
            <w:pPr>
              <w:pStyle w:val="TableTextRight"/>
            </w:pPr>
            <w:r w:rsidRPr="00CB29B6">
              <w:t>600</w:t>
            </w:r>
          </w:p>
        </w:tc>
        <w:tc>
          <w:tcPr>
            <w:tcW w:w="556" w:type="pct"/>
          </w:tcPr>
          <w:p w14:paraId="315FABD4" w14:textId="77777777" w:rsidR="008E6168" w:rsidRPr="00CB29B6" w:rsidRDefault="008E6168" w:rsidP="00261D94">
            <w:pPr>
              <w:pStyle w:val="TableTextRight"/>
            </w:pPr>
            <w:r w:rsidRPr="00CB29B6">
              <w:t>1,700</w:t>
            </w:r>
          </w:p>
        </w:tc>
        <w:tc>
          <w:tcPr>
            <w:tcW w:w="556" w:type="pct"/>
            <w:shd w:val="clear" w:color="auto" w:fill="DBF4F5" w:themeFill="background2"/>
          </w:tcPr>
          <w:p w14:paraId="3E4FC38D" w14:textId="77777777" w:rsidR="008E6168" w:rsidRPr="00CB29B6" w:rsidRDefault="008E6168" w:rsidP="00261D94">
            <w:pPr>
              <w:pStyle w:val="TableTextRight"/>
            </w:pPr>
            <w:r w:rsidRPr="00CB29B6">
              <w:t>200</w:t>
            </w:r>
          </w:p>
        </w:tc>
        <w:tc>
          <w:tcPr>
            <w:tcW w:w="556" w:type="pct"/>
          </w:tcPr>
          <w:p w14:paraId="150DC268" w14:textId="77777777" w:rsidR="008E6168" w:rsidRPr="00CB29B6" w:rsidRDefault="008E6168" w:rsidP="00261D94">
            <w:pPr>
              <w:pStyle w:val="TableTextRight"/>
            </w:pPr>
            <w:r w:rsidRPr="00CB29B6">
              <w:t>1,300</w:t>
            </w:r>
          </w:p>
        </w:tc>
        <w:tc>
          <w:tcPr>
            <w:tcW w:w="556" w:type="pct"/>
            <w:shd w:val="clear" w:color="auto" w:fill="DBF4F5" w:themeFill="background2"/>
          </w:tcPr>
          <w:p w14:paraId="4BE7BC83" w14:textId="77777777" w:rsidR="008E6168" w:rsidRPr="00CB29B6" w:rsidRDefault="008E6168" w:rsidP="00261D94">
            <w:pPr>
              <w:pStyle w:val="TableTextRight"/>
            </w:pPr>
            <w:r w:rsidRPr="00CB29B6">
              <w:t>3,000</w:t>
            </w:r>
          </w:p>
        </w:tc>
        <w:tc>
          <w:tcPr>
            <w:tcW w:w="556" w:type="pct"/>
          </w:tcPr>
          <w:p w14:paraId="1437D84A" w14:textId="77777777" w:rsidR="008E6168" w:rsidRPr="00CB29B6" w:rsidRDefault="008E6168" w:rsidP="00261D94">
            <w:pPr>
              <w:pStyle w:val="TableTextRight"/>
            </w:pPr>
            <w:r w:rsidRPr="00CB29B6">
              <w:t>12,700</w:t>
            </w:r>
          </w:p>
        </w:tc>
        <w:tc>
          <w:tcPr>
            <w:tcW w:w="556" w:type="pct"/>
            <w:shd w:val="clear" w:color="auto" w:fill="DBF4F5" w:themeFill="background2"/>
          </w:tcPr>
          <w:p w14:paraId="3D715B89" w14:textId="77777777" w:rsidR="008E6168" w:rsidRPr="00CB29B6" w:rsidRDefault="008E6168" w:rsidP="00261D94">
            <w:pPr>
              <w:pStyle w:val="TableTextRight"/>
            </w:pPr>
            <w:r w:rsidRPr="00CB29B6">
              <w:t>1,200</w:t>
            </w:r>
          </w:p>
        </w:tc>
      </w:tr>
      <w:tr w:rsidR="008E6168" w:rsidRPr="00CB29B6" w14:paraId="6367393F" w14:textId="77777777" w:rsidTr="0018071B">
        <w:trPr>
          <w:trHeight w:val="286"/>
        </w:trPr>
        <w:tc>
          <w:tcPr>
            <w:tcW w:w="556" w:type="pct"/>
            <w:shd w:val="clear" w:color="auto" w:fill="DBF4F5" w:themeFill="background2"/>
            <w:noWrap/>
          </w:tcPr>
          <w:p w14:paraId="3CCE8E5F" w14:textId="77777777" w:rsidR="008E6168" w:rsidRPr="00CB29B6" w:rsidRDefault="008E6168" w:rsidP="00261D94">
            <w:pPr>
              <w:pStyle w:val="TableTextLeft"/>
            </w:pPr>
            <w:r w:rsidRPr="00CB29B6">
              <w:t>Korea</w:t>
            </w:r>
          </w:p>
        </w:tc>
        <w:tc>
          <w:tcPr>
            <w:tcW w:w="556" w:type="pct"/>
            <w:noWrap/>
          </w:tcPr>
          <w:p w14:paraId="5B38AB86" w14:textId="77777777" w:rsidR="008E6168" w:rsidRPr="00CB29B6" w:rsidRDefault="008E6168" w:rsidP="00261D94">
            <w:pPr>
              <w:pStyle w:val="TableTextRight"/>
            </w:pPr>
            <w:r w:rsidRPr="00CB29B6">
              <w:t>2,600</w:t>
            </w:r>
          </w:p>
        </w:tc>
        <w:tc>
          <w:tcPr>
            <w:tcW w:w="556" w:type="pct"/>
            <w:shd w:val="clear" w:color="auto" w:fill="DBF4F5" w:themeFill="background2"/>
            <w:noWrap/>
          </w:tcPr>
          <w:p w14:paraId="28192BCB" w14:textId="77777777" w:rsidR="008E6168" w:rsidRPr="00CB29B6" w:rsidRDefault="008E6168" w:rsidP="00261D94">
            <w:pPr>
              <w:pStyle w:val="TableTextRight"/>
            </w:pPr>
            <w:r w:rsidRPr="00CB29B6">
              <w:t>2,600</w:t>
            </w:r>
          </w:p>
        </w:tc>
        <w:tc>
          <w:tcPr>
            <w:tcW w:w="556" w:type="pct"/>
          </w:tcPr>
          <w:p w14:paraId="68B1C4BD" w14:textId="77777777" w:rsidR="008E6168" w:rsidRPr="00CB29B6" w:rsidRDefault="008E6168" w:rsidP="00261D94">
            <w:pPr>
              <w:pStyle w:val="TableTextRight"/>
            </w:pPr>
            <w:r w:rsidRPr="00CB29B6">
              <w:t>2,600</w:t>
            </w:r>
          </w:p>
        </w:tc>
        <w:tc>
          <w:tcPr>
            <w:tcW w:w="556" w:type="pct"/>
            <w:shd w:val="clear" w:color="auto" w:fill="DBF4F5" w:themeFill="background2"/>
          </w:tcPr>
          <w:p w14:paraId="06D57722" w14:textId="77777777" w:rsidR="008E6168" w:rsidRPr="00CB29B6" w:rsidRDefault="008E6168" w:rsidP="00261D94">
            <w:pPr>
              <w:pStyle w:val="TableTextRight"/>
            </w:pPr>
            <w:r w:rsidRPr="00CB29B6">
              <w:t>3,900</w:t>
            </w:r>
          </w:p>
        </w:tc>
        <w:tc>
          <w:tcPr>
            <w:tcW w:w="556" w:type="pct"/>
          </w:tcPr>
          <w:p w14:paraId="4647F91E" w14:textId="77777777" w:rsidR="008E6168" w:rsidRPr="00CB29B6" w:rsidRDefault="008E6168" w:rsidP="00261D94">
            <w:pPr>
              <w:pStyle w:val="TableTextRight"/>
            </w:pPr>
            <w:r w:rsidRPr="00CB29B6">
              <w:t>4,500</w:t>
            </w:r>
          </w:p>
        </w:tc>
        <w:tc>
          <w:tcPr>
            <w:tcW w:w="556" w:type="pct"/>
            <w:shd w:val="clear" w:color="auto" w:fill="DBF4F5" w:themeFill="background2"/>
          </w:tcPr>
          <w:p w14:paraId="522CBC5A" w14:textId="77777777" w:rsidR="008E6168" w:rsidRPr="00CB29B6" w:rsidRDefault="008E6168" w:rsidP="00261D94">
            <w:pPr>
              <w:pStyle w:val="TableTextRight"/>
            </w:pPr>
            <w:r w:rsidRPr="00CB29B6">
              <w:t>6,400</w:t>
            </w:r>
          </w:p>
        </w:tc>
        <w:tc>
          <w:tcPr>
            <w:tcW w:w="556" w:type="pct"/>
          </w:tcPr>
          <w:p w14:paraId="1942BB57" w14:textId="77777777" w:rsidR="008E6168" w:rsidRPr="00CB29B6" w:rsidRDefault="008E6168" w:rsidP="00261D94">
            <w:pPr>
              <w:pStyle w:val="TableTextRight"/>
            </w:pPr>
            <w:r w:rsidRPr="00CB29B6">
              <w:t>7,300</w:t>
            </w:r>
          </w:p>
        </w:tc>
        <w:tc>
          <w:tcPr>
            <w:tcW w:w="556" w:type="pct"/>
            <w:shd w:val="clear" w:color="auto" w:fill="DBF4F5" w:themeFill="background2"/>
          </w:tcPr>
          <w:p w14:paraId="3019A8A3" w14:textId="77777777" w:rsidR="008E6168" w:rsidRPr="00CB29B6" w:rsidRDefault="008E6168" w:rsidP="00261D94">
            <w:pPr>
              <w:pStyle w:val="TableTextRight"/>
            </w:pPr>
            <w:r w:rsidRPr="00CB29B6">
              <w:t>1,000</w:t>
            </w:r>
          </w:p>
        </w:tc>
      </w:tr>
      <w:tr w:rsidR="008E6168" w:rsidRPr="00CB29B6" w14:paraId="14FED4CB" w14:textId="77777777" w:rsidTr="0018071B">
        <w:trPr>
          <w:trHeight w:val="286"/>
        </w:trPr>
        <w:tc>
          <w:tcPr>
            <w:tcW w:w="556" w:type="pct"/>
            <w:shd w:val="clear" w:color="auto" w:fill="DBF4F5" w:themeFill="background2"/>
            <w:noWrap/>
          </w:tcPr>
          <w:p w14:paraId="0A0C2365" w14:textId="77777777" w:rsidR="008E6168" w:rsidRPr="00CB29B6" w:rsidRDefault="008E6168" w:rsidP="00261D94">
            <w:pPr>
              <w:pStyle w:val="TableTextLeft"/>
            </w:pPr>
            <w:r w:rsidRPr="00CB29B6">
              <w:t>India</w:t>
            </w:r>
          </w:p>
        </w:tc>
        <w:tc>
          <w:tcPr>
            <w:tcW w:w="556" w:type="pct"/>
            <w:noWrap/>
          </w:tcPr>
          <w:p w14:paraId="0EB696B0" w14:textId="77777777" w:rsidR="008E6168" w:rsidRPr="00CB29B6" w:rsidRDefault="008E6168" w:rsidP="00261D94">
            <w:pPr>
              <w:pStyle w:val="TableTextRight"/>
            </w:pPr>
            <w:r w:rsidRPr="00CB29B6">
              <w:t>5,200</w:t>
            </w:r>
          </w:p>
        </w:tc>
        <w:tc>
          <w:tcPr>
            <w:tcW w:w="556" w:type="pct"/>
            <w:shd w:val="clear" w:color="auto" w:fill="DBF4F5" w:themeFill="background2"/>
            <w:noWrap/>
          </w:tcPr>
          <w:p w14:paraId="0DBF8BDF" w14:textId="77777777" w:rsidR="008E6168" w:rsidRPr="00CB29B6" w:rsidRDefault="008E6168" w:rsidP="00261D94">
            <w:pPr>
              <w:pStyle w:val="TableTextRight"/>
            </w:pPr>
            <w:r w:rsidRPr="00CB29B6">
              <w:t>2,400</w:t>
            </w:r>
          </w:p>
        </w:tc>
        <w:tc>
          <w:tcPr>
            <w:tcW w:w="556" w:type="pct"/>
          </w:tcPr>
          <w:p w14:paraId="0865AAC1" w14:textId="77777777" w:rsidR="008E6168" w:rsidRPr="00CB29B6" w:rsidRDefault="008E6168" w:rsidP="00261D94">
            <w:pPr>
              <w:pStyle w:val="TableTextRight"/>
            </w:pPr>
            <w:r w:rsidRPr="00CB29B6">
              <w:t>4,000</w:t>
            </w:r>
          </w:p>
        </w:tc>
        <w:tc>
          <w:tcPr>
            <w:tcW w:w="556" w:type="pct"/>
            <w:shd w:val="clear" w:color="auto" w:fill="DBF4F5" w:themeFill="background2"/>
          </w:tcPr>
          <w:p w14:paraId="3F545F31" w14:textId="77777777" w:rsidR="008E6168" w:rsidRPr="00CB29B6" w:rsidRDefault="008E6168" w:rsidP="00261D94">
            <w:pPr>
              <w:pStyle w:val="TableTextRight"/>
            </w:pPr>
            <w:r w:rsidRPr="00CB29B6">
              <w:t>2,400</w:t>
            </w:r>
          </w:p>
        </w:tc>
        <w:tc>
          <w:tcPr>
            <w:tcW w:w="556" w:type="pct"/>
          </w:tcPr>
          <w:p w14:paraId="22D4B3AB" w14:textId="77777777" w:rsidR="008E6168" w:rsidRPr="00CB29B6" w:rsidRDefault="008E6168" w:rsidP="00261D94">
            <w:pPr>
              <w:pStyle w:val="TableTextRight"/>
            </w:pPr>
            <w:r w:rsidRPr="00CB29B6">
              <w:t>2,700</w:t>
            </w:r>
          </w:p>
        </w:tc>
        <w:tc>
          <w:tcPr>
            <w:tcW w:w="556" w:type="pct"/>
            <w:shd w:val="clear" w:color="auto" w:fill="DBF4F5" w:themeFill="background2"/>
          </w:tcPr>
          <w:p w14:paraId="54FD6AEE" w14:textId="77777777" w:rsidR="008E6168" w:rsidRPr="00CB29B6" w:rsidRDefault="008E6168" w:rsidP="00261D94">
            <w:pPr>
              <w:pStyle w:val="TableTextRight"/>
            </w:pPr>
            <w:r w:rsidRPr="00CB29B6">
              <w:t>8,400</w:t>
            </w:r>
          </w:p>
        </w:tc>
        <w:tc>
          <w:tcPr>
            <w:tcW w:w="556" w:type="pct"/>
          </w:tcPr>
          <w:p w14:paraId="18FC1510" w14:textId="77777777" w:rsidR="008E6168" w:rsidRPr="00CB29B6" w:rsidRDefault="008E6168" w:rsidP="00261D94">
            <w:pPr>
              <w:pStyle w:val="TableTextRight"/>
            </w:pPr>
            <w:r w:rsidRPr="00CB29B6">
              <w:t>3,400</w:t>
            </w:r>
          </w:p>
        </w:tc>
        <w:tc>
          <w:tcPr>
            <w:tcW w:w="556" w:type="pct"/>
            <w:shd w:val="clear" w:color="auto" w:fill="DBF4F5" w:themeFill="background2"/>
          </w:tcPr>
          <w:p w14:paraId="19C0D02C" w14:textId="77777777" w:rsidR="008E6168" w:rsidRPr="00CB29B6" w:rsidRDefault="008E6168" w:rsidP="00261D94">
            <w:pPr>
              <w:pStyle w:val="TableTextRight"/>
            </w:pPr>
            <w:r w:rsidRPr="00CB29B6">
              <w:t>500</w:t>
            </w:r>
          </w:p>
        </w:tc>
      </w:tr>
      <w:tr w:rsidR="008E6168" w:rsidRPr="00CB29B6" w14:paraId="6AB25EB0" w14:textId="77777777" w:rsidTr="0018071B">
        <w:trPr>
          <w:trHeight w:val="286"/>
        </w:trPr>
        <w:tc>
          <w:tcPr>
            <w:tcW w:w="556" w:type="pct"/>
            <w:shd w:val="clear" w:color="auto" w:fill="DBF4F5" w:themeFill="background2"/>
            <w:noWrap/>
          </w:tcPr>
          <w:p w14:paraId="0F363B0D" w14:textId="77777777" w:rsidR="008E6168" w:rsidRPr="00CB29B6" w:rsidRDefault="008E6168" w:rsidP="00261D94">
            <w:pPr>
              <w:pStyle w:val="TableTextLeft"/>
            </w:pPr>
            <w:r w:rsidRPr="00CB29B6">
              <w:t>Taiwan</w:t>
            </w:r>
          </w:p>
        </w:tc>
        <w:tc>
          <w:tcPr>
            <w:tcW w:w="556" w:type="pct"/>
            <w:noWrap/>
          </w:tcPr>
          <w:p w14:paraId="2E842A41" w14:textId="77777777" w:rsidR="008E6168" w:rsidRPr="00CB29B6" w:rsidRDefault="008E6168" w:rsidP="00261D94">
            <w:pPr>
              <w:pStyle w:val="TableTextRight"/>
            </w:pPr>
            <w:r w:rsidRPr="00CB29B6">
              <w:t>2,700</w:t>
            </w:r>
          </w:p>
        </w:tc>
        <w:tc>
          <w:tcPr>
            <w:tcW w:w="556" w:type="pct"/>
            <w:shd w:val="clear" w:color="auto" w:fill="DBF4F5" w:themeFill="background2"/>
            <w:noWrap/>
          </w:tcPr>
          <w:p w14:paraId="1F55D2DC" w14:textId="77777777" w:rsidR="008E6168" w:rsidRPr="00CB29B6" w:rsidRDefault="008E6168" w:rsidP="00261D94">
            <w:pPr>
              <w:pStyle w:val="TableTextRight"/>
            </w:pPr>
            <w:r w:rsidRPr="00CB29B6">
              <w:t>3,100</w:t>
            </w:r>
          </w:p>
        </w:tc>
        <w:tc>
          <w:tcPr>
            <w:tcW w:w="556" w:type="pct"/>
          </w:tcPr>
          <w:p w14:paraId="3A871432" w14:textId="77777777" w:rsidR="008E6168" w:rsidRPr="00CB29B6" w:rsidRDefault="008E6168" w:rsidP="00261D94">
            <w:pPr>
              <w:pStyle w:val="TableTextRight"/>
            </w:pPr>
            <w:r w:rsidRPr="00CB29B6">
              <w:t>3,200</w:t>
            </w:r>
          </w:p>
        </w:tc>
        <w:tc>
          <w:tcPr>
            <w:tcW w:w="556" w:type="pct"/>
            <w:shd w:val="clear" w:color="auto" w:fill="DBF4F5" w:themeFill="background2"/>
          </w:tcPr>
          <w:p w14:paraId="6B1E8692" w14:textId="77777777" w:rsidR="008E6168" w:rsidRPr="00CB29B6" w:rsidRDefault="008E6168" w:rsidP="00261D94">
            <w:pPr>
              <w:pStyle w:val="TableTextRight"/>
            </w:pPr>
            <w:r w:rsidRPr="00CB29B6">
              <w:t>3,300</w:t>
            </w:r>
          </w:p>
        </w:tc>
        <w:tc>
          <w:tcPr>
            <w:tcW w:w="556" w:type="pct"/>
          </w:tcPr>
          <w:p w14:paraId="0D1D8907" w14:textId="77777777" w:rsidR="008E6168" w:rsidRPr="00CB29B6" w:rsidRDefault="008E6168" w:rsidP="00261D94">
            <w:pPr>
              <w:pStyle w:val="TableTextRight"/>
            </w:pPr>
            <w:r w:rsidRPr="00CB29B6">
              <w:t>2,100</w:t>
            </w:r>
          </w:p>
        </w:tc>
        <w:tc>
          <w:tcPr>
            <w:tcW w:w="556" w:type="pct"/>
            <w:shd w:val="clear" w:color="auto" w:fill="DBF4F5" w:themeFill="background2"/>
          </w:tcPr>
          <w:p w14:paraId="411E79EE" w14:textId="77777777" w:rsidR="008E6168" w:rsidRPr="00CB29B6" w:rsidRDefault="008E6168" w:rsidP="00261D94">
            <w:pPr>
              <w:pStyle w:val="TableTextRight"/>
            </w:pPr>
            <w:r w:rsidRPr="00CB29B6">
              <w:t>4,800</w:t>
            </w:r>
          </w:p>
        </w:tc>
        <w:tc>
          <w:tcPr>
            <w:tcW w:w="556" w:type="pct"/>
          </w:tcPr>
          <w:p w14:paraId="493875A1" w14:textId="77777777" w:rsidR="008E6168" w:rsidRPr="00CB29B6" w:rsidRDefault="008E6168" w:rsidP="00261D94">
            <w:pPr>
              <w:pStyle w:val="TableTextRight"/>
            </w:pPr>
            <w:r w:rsidRPr="00CB29B6">
              <w:t>9,100</w:t>
            </w:r>
          </w:p>
        </w:tc>
        <w:tc>
          <w:tcPr>
            <w:tcW w:w="556" w:type="pct"/>
            <w:shd w:val="clear" w:color="auto" w:fill="DBF4F5" w:themeFill="background2"/>
          </w:tcPr>
          <w:p w14:paraId="160576FC" w14:textId="77777777" w:rsidR="008E6168" w:rsidRPr="00CB29B6" w:rsidRDefault="008E6168" w:rsidP="00261D94">
            <w:pPr>
              <w:pStyle w:val="TableTextRight"/>
            </w:pPr>
            <w:r w:rsidRPr="00CB29B6">
              <w:t>300</w:t>
            </w:r>
          </w:p>
        </w:tc>
      </w:tr>
      <w:tr w:rsidR="008E6168" w:rsidRPr="00CB29B6" w14:paraId="5B35FFDA" w14:textId="77777777" w:rsidTr="0018071B">
        <w:trPr>
          <w:trHeight w:val="286"/>
        </w:trPr>
        <w:tc>
          <w:tcPr>
            <w:tcW w:w="556" w:type="pct"/>
            <w:shd w:val="clear" w:color="auto" w:fill="DBF4F5" w:themeFill="background2"/>
            <w:noWrap/>
          </w:tcPr>
          <w:p w14:paraId="57E7682B" w14:textId="77777777" w:rsidR="008E6168" w:rsidRPr="00CB29B6" w:rsidRDefault="008E6168" w:rsidP="00261D94">
            <w:pPr>
              <w:pStyle w:val="TableTextLeft"/>
            </w:pPr>
            <w:r w:rsidRPr="00CB29B6">
              <w:t>Bangladesh</w:t>
            </w:r>
          </w:p>
        </w:tc>
        <w:tc>
          <w:tcPr>
            <w:tcW w:w="556" w:type="pct"/>
            <w:noWrap/>
          </w:tcPr>
          <w:p w14:paraId="6394187A" w14:textId="77777777" w:rsidR="008E6168" w:rsidRPr="00CB29B6" w:rsidRDefault="008E6168" w:rsidP="00261D94">
            <w:pPr>
              <w:pStyle w:val="TableTextRight"/>
            </w:pPr>
            <w:r w:rsidRPr="00CB29B6">
              <w:t>900</w:t>
            </w:r>
          </w:p>
        </w:tc>
        <w:tc>
          <w:tcPr>
            <w:tcW w:w="556" w:type="pct"/>
            <w:shd w:val="clear" w:color="auto" w:fill="DBF4F5" w:themeFill="background2"/>
            <w:noWrap/>
          </w:tcPr>
          <w:p w14:paraId="437BFEE0" w14:textId="77777777" w:rsidR="008E6168" w:rsidRPr="00CB29B6" w:rsidRDefault="008E6168" w:rsidP="00261D94">
            <w:pPr>
              <w:pStyle w:val="TableTextRight"/>
            </w:pPr>
            <w:r w:rsidRPr="00CB29B6">
              <w:t>1,100</w:t>
            </w:r>
          </w:p>
        </w:tc>
        <w:tc>
          <w:tcPr>
            <w:tcW w:w="556" w:type="pct"/>
          </w:tcPr>
          <w:p w14:paraId="06EDA933" w14:textId="77777777" w:rsidR="008E6168" w:rsidRPr="00CB29B6" w:rsidRDefault="008E6168" w:rsidP="00261D94">
            <w:pPr>
              <w:pStyle w:val="TableTextRight"/>
            </w:pPr>
            <w:r w:rsidRPr="00CB29B6">
              <w:t>1,100</w:t>
            </w:r>
          </w:p>
        </w:tc>
        <w:tc>
          <w:tcPr>
            <w:tcW w:w="556" w:type="pct"/>
            <w:shd w:val="clear" w:color="auto" w:fill="DBF4F5" w:themeFill="background2"/>
          </w:tcPr>
          <w:p w14:paraId="6680CA7D" w14:textId="77777777" w:rsidR="008E6168" w:rsidRPr="00CB29B6" w:rsidRDefault="008E6168" w:rsidP="00261D94">
            <w:pPr>
              <w:pStyle w:val="TableTextRight"/>
            </w:pPr>
            <w:r w:rsidRPr="00CB29B6">
              <w:t>300</w:t>
            </w:r>
          </w:p>
        </w:tc>
        <w:tc>
          <w:tcPr>
            <w:tcW w:w="556" w:type="pct"/>
          </w:tcPr>
          <w:p w14:paraId="75E509C1" w14:textId="77777777" w:rsidR="008E6168" w:rsidRPr="00CB29B6" w:rsidRDefault="008E6168" w:rsidP="00261D94">
            <w:pPr>
              <w:pStyle w:val="TableTextRight"/>
            </w:pPr>
            <w:r w:rsidRPr="00CB29B6">
              <w:t>100</w:t>
            </w:r>
          </w:p>
        </w:tc>
        <w:tc>
          <w:tcPr>
            <w:tcW w:w="556" w:type="pct"/>
            <w:shd w:val="clear" w:color="auto" w:fill="DBF4F5" w:themeFill="background2"/>
          </w:tcPr>
          <w:p w14:paraId="6EB423FA" w14:textId="77777777" w:rsidR="008E6168" w:rsidRPr="00CB29B6" w:rsidRDefault="008E6168" w:rsidP="00261D94">
            <w:pPr>
              <w:pStyle w:val="TableTextRight"/>
            </w:pPr>
            <w:r w:rsidRPr="00CB29B6">
              <w:t>800</w:t>
            </w:r>
          </w:p>
        </w:tc>
        <w:tc>
          <w:tcPr>
            <w:tcW w:w="556" w:type="pct"/>
          </w:tcPr>
          <w:p w14:paraId="0FD51932" w14:textId="77777777" w:rsidR="008E6168" w:rsidRPr="00CB29B6" w:rsidRDefault="008E6168" w:rsidP="00261D94">
            <w:pPr>
              <w:pStyle w:val="TableTextRight"/>
            </w:pPr>
            <w:r w:rsidRPr="00CB29B6">
              <w:t>0</w:t>
            </w:r>
          </w:p>
        </w:tc>
        <w:tc>
          <w:tcPr>
            <w:tcW w:w="556" w:type="pct"/>
            <w:shd w:val="clear" w:color="auto" w:fill="DBF4F5" w:themeFill="background2"/>
          </w:tcPr>
          <w:p w14:paraId="7D3451E0" w14:textId="77777777" w:rsidR="008E6168" w:rsidRPr="00CB29B6" w:rsidRDefault="008E6168" w:rsidP="00261D94">
            <w:pPr>
              <w:pStyle w:val="TableTextRight"/>
            </w:pPr>
            <w:r w:rsidRPr="00CB29B6">
              <w:t>0</w:t>
            </w:r>
          </w:p>
        </w:tc>
      </w:tr>
      <w:tr w:rsidR="008E6168" w:rsidRPr="00CB29B6" w14:paraId="0FCFBABF" w14:textId="77777777" w:rsidTr="0018071B">
        <w:trPr>
          <w:trHeight w:val="286"/>
        </w:trPr>
        <w:tc>
          <w:tcPr>
            <w:tcW w:w="556" w:type="pct"/>
            <w:shd w:val="clear" w:color="auto" w:fill="DBF4F5" w:themeFill="background2"/>
            <w:noWrap/>
          </w:tcPr>
          <w:p w14:paraId="41A5233D" w14:textId="77777777" w:rsidR="008E6168" w:rsidRPr="00CB29B6" w:rsidRDefault="008E6168" w:rsidP="00261D94">
            <w:pPr>
              <w:pStyle w:val="TableTextLeft"/>
            </w:pPr>
            <w:r w:rsidRPr="00CB29B6">
              <w:t>All other</w:t>
            </w:r>
          </w:p>
        </w:tc>
        <w:tc>
          <w:tcPr>
            <w:tcW w:w="556" w:type="pct"/>
            <w:noWrap/>
          </w:tcPr>
          <w:p w14:paraId="7745BB37" w14:textId="77777777" w:rsidR="008E6168" w:rsidRPr="00CB29B6" w:rsidRDefault="008E6168" w:rsidP="00261D94">
            <w:pPr>
              <w:pStyle w:val="TableTextRight"/>
            </w:pPr>
            <w:r w:rsidRPr="00CB29B6">
              <w:t>6,500</w:t>
            </w:r>
          </w:p>
        </w:tc>
        <w:tc>
          <w:tcPr>
            <w:tcW w:w="556" w:type="pct"/>
            <w:shd w:val="clear" w:color="auto" w:fill="DBF4F5" w:themeFill="background2"/>
            <w:noWrap/>
          </w:tcPr>
          <w:p w14:paraId="492C27F0" w14:textId="77777777" w:rsidR="008E6168" w:rsidRPr="00CB29B6" w:rsidRDefault="008E6168" w:rsidP="00261D94">
            <w:pPr>
              <w:pStyle w:val="TableTextRight"/>
            </w:pPr>
            <w:r w:rsidRPr="00CB29B6">
              <w:t>4,800</w:t>
            </w:r>
          </w:p>
        </w:tc>
        <w:tc>
          <w:tcPr>
            <w:tcW w:w="556" w:type="pct"/>
          </w:tcPr>
          <w:p w14:paraId="3E04FEE0" w14:textId="77777777" w:rsidR="008E6168" w:rsidRPr="00CB29B6" w:rsidRDefault="008E6168" w:rsidP="00261D94">
            <w:pPr>
              <w:pStyle w:val="TableTextRight"/>
            </w:pPr>
            <w:r w:rsidRPr="00CB29B6">
              <w:t>4,000</w:t>
            </w:r>
          </w:p>
        </w:tc>
        <w:tc>
          <w:tcPr>
            <w:tcW w:w="556" w:type="pct"/>
            <w:shd w:val="clear" w:color="auto" w:fill="DBF4F5" w:themeFill="background2"/>
          </w:tcPr>
          <w:p w14:paraId="60B2A54C" w14:textId="77777777" w:rsidR="008E6168" w:rsidRPr="00CB29B6" w:rsidRDefault="008E6168" w:rsidP="00261D94">
            <w:pPr>
              <w:pStyle w:val="TableTextRight"/>
            </w:pPr>
            <w:r w:rsidRPr="00CB29B6">
              <w:t>3,500</w:t>
            </w:r>
          </w:p>
        </w:tc>
        <w:tc>
          <w:tcPr>
            <w:tcW w:w="556" w:type="pct"/>
          </w:tcPr>
          <w:p w14:paraId="407C5137" w14:textId="77777777" w:rsidR="008E6168" w:rsidRPr="00CB29B6" w:rsidRDefault="008E6168" w:rsidP="00261D94">
            <w:pPr>
              <w:pStyle w:val="TableTextRight"/>
            </w:pPr>
            <w:r w:rsidRPr="00CB29B6">
              <w:t>4,500</w:t>
            </w:r>
          </w:p>
        </w:tc>
        <w:tc>
          <w:tcPr>
            <w:tcW w:w="556" w:type="pct"/>
            <w:shd w:val="clear" w:color="auto" w:fill="DBF4F5" w:themeFill="background2"/>
          </w:tcPr>
          <w:p w14:paraId="7C448770" w14:textId="77777777" w:rsidR="008E6168" w:rsidRPr="00CB29B6" w:rsidRDefault="008E6168" w:rsidP="00261D94">
            <w:pPr>
              <w:pStyle w:val="TableTextRight"/>
            </w:pPr>
            <w:r w:rsidRPr="00CB29B6">
              <w:t>5,100</w:t>
            </w:r>
          </w:p>
        </w:tc>
        <w:tc>
          <w:tcPr>
            <w:tcW w:w="556" w:type="pct"/>
          </w:tcPr>
          <w:p w14:paraId="6C0CD96F" w14:textId="77777777" w:rsidR="008E6168" w:rsidRPr="00CB29B6" w:rsidRDefault="008E6168" w:rsidP="00261D94">
            <w:pPr>
              <w:pStyle w:val="TableTextRight"/>
            </w:pPr>
            <w:r w:rsidRPr="00CB29B6">
              <w:t>6,700</w:t>
            </w:r>
          </w:p>
        </w:tc>
        <w:tc>
          <w:tcPr>
            <w:tcW w:w="556" w:type="pct"/>
            <w:shd w:val="clear" w:color="auto" w:fill="DBF4F5" w:themeFill="background2"/>
          </w:tcPr>
          <w:p w14:paraId="43FE5A01" w14:textId="77777777" w:rsidR="008E6168" w:rsidRPr="00CB29B6" w:rsidRDefault="008E6168" w:rsidP="00261D94">
            <w:pPr>
              <w:pStyle w:val="TableTextRight"/>
            </w:pPr>
            <w:r w:rsidRPr="00CB29B6">
              <w:t>600</w:t>
            </w:r>
          </w:p>
        </w:tc>
      </w:tr>
      <w:tr w:rsidR="008E6168" w:rsidRPr="00CB29B6" w14:paraId="6EB860DD" w14:textId="77777777" w:rsidTr="0018071B">
        <w:trPr>
          <w:trHeight w:val="286"/>
        </w:trPr>
        <w:tc>
          <w:tcPr>
            <w:tcW w:w="556" w:type="pct"/>
            <w:shd w:val="clear" w:color="auto" w:fill="DBF4F5" w:themeFill="background2"/>
            <w:noWrap/>
          </w:tcPr>
          <w:p w14:paraId="2F3BF7D2" w14:textId="77777777" w:rsidR="008E6168" w:rsidRPr="00CB29B6" w:rsidRDefault="008E6168" w:rsidP="00261D94">
            <w:pPr>
              <w:pStyle w:val="TableTextLeft"/>
              <w:rPr>
                <w:rFonts w:ascii="Arial" w:hAnsi="Arial" w:cs="Arial"/>
                <w:b/>
                <w:bCs/>
                <w:color w:val="000000"/>
                <w:szCs w:val="18"/>
              </w:rPr>
            </w:pPr>
            <w:r w:rsidRPr="00CB29B6">
              <w:rPr>
                <w:rFonts w:ascii="Arial" w:hAnsi="Arial" w:cs="Arial"/>
                <w:b/>
                <w:bCs/>
                <w:color w:val="000000"/>
                <w:szCs w:val="18"/>
              </w:rPr>
              <w:t>Total</w:t>
            </w:r>
          </w:p>
        </w:tc>
        <w:tc>
          <w:tcPr>
            <w:tcW w:w="556" w:type="pct"/>
            <w:noWrap/>
          </w:tcPr>
          <w:p w14:paraId="2A9F033D" w14:textId="77777777" w:rsidR="008E6168" w:rsidRPr="00CB29B6" w:rsidRDefault="008E6168" w:rsidP="00261D94">
            <w:pPr>
              <w:pStyle w:val="TableTextRight"/>
              <w:rPr>
                <w:b/>
                <w:bCs/>
              </w:rPr>
            </w:pPr>
            <w:r w:rsidRPr="00CB29B6">
              <w:rPr>
                <w:b/>
                <w:bCs/>
              </w:rPr>
              <w:t>17,900</w:t>
            </w:r>
          </w:p>
        </w:tc>
        <w:tc>
          <w:tcPr>
            <w:tcW w:w="556" w:type="pct"/>
            <w:shd w:val="clear" w:color="auto" w:fill="DBF4F5" w:themeFill="background2"/>
            <w:noWrap/>
          </w:tcPr>
          <w:p w14:paraId="314C0DBB" w14:textId="77777777" w:rsidR="008E6168" w:rsidRPr="00CB29B6" w:rsidRDefault="008E6168" w:rsidP="00261D94">
            <w:pPr>
              <w:pStyle w:val="TableTextRight"/>
              <w:rPr>
                <w:b/>
                <w:bCs/>
              </w:rPr>
            </w:pPr>
            <w:r w:rsidRPr="00CB29B6">
              <w:rPr>
                <w:b/>
                <w:bCs/>
              </w:rPr>
              <w:t>14,600</w:t>
            </w:r>
          </w:p>
        </w:tc>
        <w:tc>
          <w:tcPr>
            <w:tcW w:w="556" w:type="pct"/>
          </w:tcPr>
          <w:p w14:paraId="4DB79F37" w14:textId="77777777" w:rsidR="008E6168" w:rsidRPr="00CB29B6" w:rsidRDefault="008E6168" w:rsidP="00261D94">
            <w:pPr>
              <w:pStyle w:val="TableTextRight"/>
              <w:rPr>
                <w:b/>
                <w:bCs/>
              </w:rPr>
            </w:pPr>
            <w:r w:rsidRPr="00CB29B6">
              <w:rPr>
                <w:b/>
                <w:bCs/>
              </w:rPr>
              <w:t>16,600</w:t>
            </w:r>
          </w:p>
        </w:tc>
        <w:tc>
          <w:tcPr>
            <w:tcW w:w="556" w:type="pct"/>
            <w:shd w:val="clear" w:color="auto" w:fill="DBF4F5" w:themeFill="background2"/>
          </w:tcPr>
          <w:p w14:paraId="1863EA7B" w14:textId="77777777" w:rsidR="008E6168" w:rsidRPr="00CB29B6" w:rsidRDefault="008E6168" w:rsidP="00261D94">
            <w:pPr>
              <w:pStyle w:val="TableTextRight"/>
              <w:rPr>
                <w:b/>
                <w:bCs/>
              </w:rPr>
            </w:pPr>
            <w:r w:rsidRPr="00CB29B6">
              <w:rPr>
                <w:b/>
                <w:bCs/>
              </w:rPr>
              <w:t>13,600</w:t>
            </w:r>
          </w:p>
        </w:tc>
        <w:tc>
          <w:tcPr>
            <w:tcW w:w="556" w:type="pct"/>
          </w:tcPr>
          <w:p w14:paraId="4C2740EE" w14:textId="77777777" w:rsidR="008E6168" w:rsidRPr="00CB29B6" w:rsidRDefault="008E6168" w:rsidP="00261D94">
            <w:pPr>
              <w:pStyle w:val="TableTextRight"/>
              <w:rPr>
                <w:b/>
                <w:bCs/>
              </w:rPr>
            </w:pPr>
            <w:r w:rsidRPr="00CB29B6">
              <w:rPr>
                <w:b/>
                <w:bCs/>
              </w:rPr>
              <w:t>15,200</w:t>
            </w:r>
          </w:p>
        </w:tc>
        <w:tc>
          <w:tcPr>
            <w:tcW w:w="556" w:type="pct"/>
            <w:shd w:val="clear" w:color="auto" w:fill="DBF4F5" w:themeFill="background2"/>
          </w:tcPr>
          <w:p w14:paraId="18F2D8E8" w14:textId="77777777" w:rsidR="008E6168" w:rsidRPr="00CB29B6" w:rsidRDefault="008E6168" w:rsidP="00261D94">
            <w:pPr>
              <w:pStyle w:val="TableTextRight"/>
              <w:rPr>
                <w:b/>
                <w:bCs/>
              </w:rPr>
            </w:pPr>
            <w:r w:rsidRPr="00CB29B6">
              <w:rPr>
                <w:b/>
                <w:bCs/>
              </w:rPr>
              <w:t>28,500</w:t>
            </w:r>
          </w:p>
        </w:tc>
        <w:tc>
          <w:tcPr>
            <w:tcW w:w="556" w:type="pct"/>
          </w:tcPr>
          <w:p w14:paraId="37780C15" w14:textId="77777777" w:rsidR="008E6168" w:rsidRPr="00CB29B6" w:rsidRDefault="008E6168" w:rsidP="00261D94">
            <w:pPr>
              <w:pStyle w:val="TableTextRight"/>
              <w:rPr>
                <w:b/>
                <w:bCs/>
              </w:rPr>
            </w:pPr>
            <w:r w:rsidRPr="00CB29B6">
              <w:rPr>
                <w:b/>
                <w:bCs/>
              </w:rPr>
              <w:t>39,200</w:t>
            </w:r>
          </w:p>
        </w:tc>
        <w:tc>
          <w:tcPr>
            <w:tcW w:w="556" w:type="pct"/>
            <w:shd w:val="clear" w:color="auto" w:fill="DBF4F5" w:themeFill="background2"/>
          </w:tcPr>
          <w:p w14:paraId="13744644" w14:textId="77777777" w:rsidR="008E6168" w:rsidRPr="00CB29B6" w:rsidRDefault="008E6168" w:rsidP="00261D94">
            <w:pPr>
              <w:pStyle w:val="TableTextRight"/>
              <w:rPr>
                <w:b/>
                <w:bCs/>
              </w:rPr>
            </w:pPr>
            <w:r w:rsidRPr="00CB29B6">
              <w:rPr>
                <w:b/>
                <w:bCs/>
              </w:rPr>
              <w:t>3,600</w:t>
            </w:r>
          </w:p>
        </w:tc>
      </w:tr>
    </w:tbl>
    <w:p w14:paraId="1A81DD70" w14:textId="3FBA7662" w:rsidR="005F4C5A" w:rsidRDefault="005F4C5A" w:rsidP="005F4C5A">
      <w:pPr>
        <w:pStyle w:val="PhotoCredit"/>
      </w:pPr>
      <w:r>
        <w:t xml:space="preserve">Source: ABS </w:t>
      </w:r>
      <w:r w:rsidR="004021CB">
        <w:t>and</w:t>
      </w:r>
      <w:r>
        <w:t xml:space="preserve"> IE (Australian Harmonized Export Commodity Classification (AHECC) data by month, </w:t>
      </w:r>
      <w:r w:rsidR="00DE7348">
        <w:t>classification,</w:t>
      </w:r>
      <w:r>
        <w:t xml:space="preserve"> and destination country, 2022) and Blue Environment.</w:t>
      </w:r>
    </w:p>
    <w:p w14:paraId="0318E1B7" w14:textId="0B7B94CE" w:rsidR="005F4C5A" w:rsidRDefault="005F4C5A" w:rsidP="005F4C5A">
      <w:pPr>
        <w:pStyle w:val="Footnotes"/>
      </w:pPr>
      <w:r>
        <w:t>Countries ranked by average of last 3 months of exports.</w:t>
      </w:r>
    </w:p>
    <w:p w14:paraId="0C279D07" w14:textId="00F4455D" w:rsidR="008E6168" w:rsidRDefault="005F4C5A" w:rsidP="005F4C5A">
      <w:pPr>
        <w:pStyle w:val="Footnotes"/>
      </w:pPr>
      <w:r>
        <w:t>Partial year across July 2022 to August 2022.</w:t>
      </w:r>
    </w:p>
    <w:p w14:paraId="46F8AFB4" w14:textId="3471AC8F" w:rsidR="00887C29" w:rsidRDefault="00DF2E7C" w:rsidP="00887C29">
      <w:pPr>
        <w:pStyle w:val="CaptionImageorFigure"/>
        <w:rPr>
          <w:rFonts w:eastAsia="Arial"/>
        </w:rPr>
      </w:pPr>
      <w:r w:rsidRPr="4D4FE1B5">
        <w:rPr>
          <w:rFonts w:eastAsia="Arial"/>
        </w:rPr>
        <w:t>Table 2</w:t>
      </w:r>
      <w:r w:rsidR="00F9777F" w:rsidRPr="4D4FE1B5">
        <w:rPr>
          <w:rFonts w:eastAsia="Arial"/>
        </w:rPr>
        <w:t>:</w:t>
      </w:r>
      <w:r w:rsidR="00977963" w:rsidRPr="4D4FE1B5">
        <w:rPr>
          <w:rFonts w:eastAsia="Arial"/>
        </w:rPr>
        <w:t xml:space="preserve"> </w:t>
      </w:r>
      <w:r w:rsidR="2EB5DF36" w:rsidRPr="4D4FE1B5">
        <w:rPr>
          <w:rFonts w:eastAsia="Arial"/>
        </w:rPr>
        <w:t>Example</w:t>
      </w:r>
      <w:r w:rsidRPr="4D4FE1B5">
        <w:rPr>
          <w:rFonts w:eastAsia="Arial"/>
        </w:rPr>
        <w:t xml:space="preserve"> monthly change in Victorian recovered metals, to export country (tonnes</w:t>
      </w:r>
      <w:r w:rsidR="00F9777F" w:rsidRPr="4D4FE1B5">
        <w:rPr>
          <w:rFonts w:eastAsia="Arial"/>
        </w:rPr>
        <w:t xml:space="preserve"> per </w:t>
      </w:r>
      <w:r w:rsidRPr="4D4FE1B5">
        <w:rPr>
          <w:rFonts w:eastAsia="Arial"/>
        </w:rPr>
        <w:t>month)</w:t>
      </w:r>
      <w:r w:rsidR="00CD6D6E" w:rsidRPr="4D4FE1B5">
        <w:rPr>
          <w:rFonts w:eastAsia="Arial"/>
        </w:rPr>
        <w:t>.</w:t>
      </w:r>
    </w:p>
    <w:tbl>
      <w:tblPr>
        <w:tblStyle w:val="TableGrid"/>
        <w:tblW w:w="7515" w:type="dxa"/>
        <w:tblLayout w:type="fixed"/>
        <w:tblLook w:val="04A0" w:firstRow="1" w:lastRow="0" w:firstColumn="1" w:lastColumn="0" w:noHBand="0" w:noVBand="1"/>
      </w:tblPr>
      <w:tblGrid>
        <w:gridCol w:w="1878"/>
        <w:gridCol w:w="1879"/>
        <w:gridCol w:w="1879"/>
        <w:gridCol w:w="1879"/>
      </w:tblGrid>
      <w:tr w:rsidR="00603257" w:rsidRPr="00A9571C" w14:paraId="051ED132" w14:textId="77777777" w:rsidTr="2E08408E">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1878" w:type="dxa"/>
            <w:noWrap/>
            <w:hideMark/>
          </w:tcPr>
          <w:p w14:paraId="6CAB9D49" w14:textId="77777777" w:rsidR="00603257" w:rsidRPr="00A9571C" w:rsidRDefault="00603257" w:rsidP="0018071B">
            <w:pPr>
              <w:pStyle w:val="TableHeadingLeft"/>
              <w:rPr>
                <w:rFonts w:eastAsia="Arial"/>
              </w:rPr>
            </w:pPr>
            <w:r w:rsidRPr="00A9571C">
              <w:rPr>
                <w:rFonts w:eastAsia="Arial"/>
              </w:rPr>
              <w:t>Country</w:t>
            </w:r>
          </w:p>
        </w:tc>
        <w:tc>
          <w:tcPr>
            <w:tcW w:w="1879" w:type="dxa"/>
            <w:hideMark/>
          </w:tcPr>
          <w:p w14:paraId="0EBDE3D9" w14:textId="77777777" w:rsidR="00603257" w:rsidRPr="00A9571C" w:rsidRDefault="00603257" w:rsidP="0018071B">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A9571C">
              <w:rPr>
                <w:rFonts w:eastAsia="Arial"/>
              </w:rPr>
              <w:t>July 2022</w:t>
            </w:r>
          </w:p>
          <w:p w14:paraId="25DAA5B8" w14:textId="77777777" w:rsidR="00603257" w:rsidRPr="00A9571C" w:rsidRDefault="00603257" w:rsidP="0018071B">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A9571C">
              <w:rPr>
                <w:rFonts w:eastAsia="Arial"/>
                <w:sz w:val="18"/>
              </w:rPr>
              <w:t>(tonnes)</w:t>
            </w:r>
          </w:p>
        </w:tc>
        <w:tc>
          <w:tcPr>
            <w:tcW w:w="1879" w:type="dxa"/>
            <w:hideMark/>
          </w:tcPr>
          <w:p w14:paraId="50144BED" w14:textId="77777777" w:rsidR="00603257" w:rsidRPr="00A9571C" w:rsidRDefault="00603257" w:rsidP="0018071B">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A9571C">
              <w:rPr>
                <w:rFonts w:eastAsia="Arial"/>
              </w:rPr>
              <w:t>August 2022</w:t>
            </w:r>
          </w:p>
          <w:p w14:paraId="35B192E6" w14:textId="77777777" w:rsidR="00603257" w:rsidRPr="00A9571C" w:rsidRDefault="00603257" w:rsidP="0018071B">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A9571C">
              <w:rPr>
                <w:rFonts w:eastAsia="Arial"/>
                <w:sz w:val="18"/>
              </w:rPr>
              <w:t>(tonnes)</w:t>
            </w:r>
          </w:p>
        </w:tc>
        <w:tc>
          <w:tcPr>
            <w:tcW w:w="1879" w:type="dxa"/>
          </w:tcPr>
          <w:p w14:paraId="66F70FF7" w14:textId="419C216B" w:rsidR="00262C41" w:rsidRPr="00262C41" w:rsidRDefault="2BB76686" w:rsidP="00262C41">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2E08408E">
              <w:rPr>
                <w:rFonts w:eastAsia="Arial"/>
              </w:rPr>
              <w:t>C</w:t>
            </w:r>
            <w:r w:rsidR="790CE138" w:rsidRPr="2E08408E">
              <w:rPr>
                <w:rFonts w:eastAsia="Arial"/>
              </w:rPr>
              <w:t>hange</w:t>
            </w:r>
          </w:p>
          <w:p w14:paraId="2D5A87F7" w14:textId="2F2C7117" w:rsidR="00603257" w:rsidRPr="00A9571C" w:rsidRDefault="00262C41" w:rsidP="00262C41">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262C41">
              <w:rPr>
                <w:rFonts w:eastAsia="Arial"/>
              </w:rPr>
              <w:t>(%)</w:t>
            </w:r>
          </w:p>
        </w:tc>
      </w:tr>
      <w:tr w:rsidR="00603257" w:rsidRPr="00A9571C" w14:paraId="365EF15C" w14:textId="77777777" w:rsidTr="2E08408E">
        <w:trPr>
          <w:trHeight w:val="286"/>
        </w:trPr>
        <w:tc>
          <w:tcPr>
            <w:tcW w:w="1878" w:type="dxa"/>
            <w:shd w:val="clear" w:color="auto" w:fill="DBF4F5" w:themeFill="background2"/>
            <w:noWrap/>
          </w:tcPr>
          <w:p w14:paraId="0A4C2310" w14:textId="77777777" w:rsidR="00603257" w:rsidRPr="00A9571C" w:rsidRDefault="00603257" w:rsidP="0018071B">
            <w:pPr>
              <w:pStyle w:val="TableTextLeft"/>
            </w:pPr>
            <w:r w:rsidRPr="00A9571C">
              <w:t>Indonesia</w:t>
            </w:r>
          </w:p>
        </w:tc>
        <w:tc>
          <w:tcPr>
            <w:tcW w:w="1879" w:type="dxa"/>
            <w:noWrap/>
          </w:tcPr>
          <w:p w14:paraId="25E9E39F" w14:textId="77777777" w:rsidR="00603257" w:rsidRPr="00A9571C" w:rsidRDefault="00603257" w:rsidP="0018071B">
            <w:pPr>
              <w:pStyle w:val="TableTextRight"/>
            </w:pPr>
            <w:r w:rsidRPr="00A9571C">
              <w:t>800</w:t>
            </w:r>
          </w:p>
        </w:tc>
        <w:tc>
          <w:tcPr>
            <w:tcW w:w="1879" w:type="dxa"/>
            <w:shd w:val="clear" w:color="auto" w:fill="DBF4F5" w:themeFill="background2"/>
            <w:noWrap/>
          </w:tcPr>
          <w:p w14:paraId="18CE1731" w14:textId="77777777" w:rsidR="00603257" w:rsidRPr="00A9571C" w:rsidRDefault="00603257" w:rsidP="0018071B">
            <w:pPr>
              <w:pStyle w:val="TableTextRight"/>
            </w:pPr>
            <w:r w:rsidRPr="00A9571C">
              <w:t>500</w:t>
            </w:r>
          </w:p>
        </w:tc>
        <w:tc>
          <w:tcPr>
            <w:tcW w:w="1879" w:type="dxa"/>
          </w:tcPr>
          <w:p w14:paraId="355C70C4" w14:textId="77777777" w:rsidR="00603257" w:rsidRPr="00A9571C" w:rsidRDefault="00603257" w:rsidP="0018071B">
            <w:pPr>
              <w:pStyle w:val="TableTextRight"/>
            </w:pPr>
            <w:r w:rsidRPr="00A9571C">
              <w:t>-38%</w:t>
            </w:r>
          </w:p>
        </w:tc>
      </w:tr>
      <w:tr w:rsidR="00603257" w:rsidRPr="00A9571C" w14:paraId="7B31AAAC" w14:textId="77777777" w:rsidTr="2E08408E">
        <w:trPr>
          <w:trHeight w:val="286"/>
        </w:trPr>
        <w:tc>
          <w:tcPr>
            <w:tcW w:w="1878" w:type="dxa"/>
            <w:shd w:val="clear" w:color="auto" w:fill="DBF4F5" w:themeFill="background2"/>
            <w:noWrap/>
          </w:tcPr>
          <w:p w14:paraId="735E2E4F" w14:textId="77777777" w:rsidR="00603257" w:rsidRPr="00A9571C" w:rsidRDefault="00603257" w:rsidP="0018071B">
            <w:pPr>
              <w:pStyle w:val="TableTextLeft"/>
            </w:pPr>
            <w:r w:rsidRPr="00A9571C">
              <w:t>Korea</w:t>
            </w:r>
          </w:p>
        </w:tc>
        <w:tc>
          <w:tcPr>
            <w:tcW w:w="1879" w:type="dxa"/>
            <w:noWrap/>
          </w:tcPr>
          <w:p w14:paraId="7F238F5F" w14:textId="77777777" w:rsidR="00603257" w:rsidRPr="00A9571C" w:rsidRDefault="00603257" w:rsidP="0018071B">
            <w:pPr>
              <w:pStyle w:val="TableTextRight"/>
            </w:pPr>
            <w:r w:rsidRPr="00A9571C">
              <w:t>500</w:t>
            </w:r>
          </w:p>
        </w:tc>
        <w:tc>
          <w:tcPr>
            <w:tcW w:w="1879" w:type="dxa"/>
            <w:shd w:val="clear" w:color="auto" w:fill="DBF4F5" w:themeFill="background2"/>
            <w:noWrap/>
          </w:tcPr>
          <w:p w14:paraId="12402753" w14:textId="77777777" w:rsidR="00603257" w:rsidRPr="00A9571C" w:rsidRDefault="00603257" w:rsidP="0018071B">
            <w:pPr>
              <w:pStyle w:val="TableTextRight"/>
            </w:pPr>
            <w:r w:rsidRPr="00A9571C">
              <w:t>400</w:t>
            </w:r>
          </w:p>
        </w:tc>
        <w:tc>
          <w:tcPr>
            <w:tcW w:w="1879" w:type="dxa"/>
          </w:tcPr>
          <w:p w14:paraId="42315FB6" w14:textId="77777777" w:rsidR="00603257" w:rsidRPr="00A9571C" w:rsidRDefault="00603257" w:rsidP="0018071B">
            <w:pPr>
              <w:pStyle w:val="TableTextRight"/>
            </w:pPr>
            <w:r w:rsidRPr="00A9571C">
              <w:t>-20%</w:t>
            </w:r>
          </w:p>
        </w:tc>
      </w:tr>
      <w:tr w:rsidR="00603257" w:rsidRPr="00A9571C" w14:paraId="79F2F962" w14:textId="77777777" w:rsidTr="2E08408E">
        <w:trPr>
          <w:trHeight w:val="286"/>
        </w:trPr>
        <w:tc>
          <w:tcPr>
            <w:tcW w:w="1878" w:type="dxa"/>
            <w:shd w:val="clear" w:color="auto" w:fill="DBF4F5" w:themeFill="background2"/>
            <w:noWrap/>
          </w:tcPr>
          <w:p w14:paraId="3B6D755B" w14:textId="77777777" w:rsidR="00603257" w:rsidRPr="00A9571C" w:rsidRDefault="00603257" w:rsidP="0018071B">
            <w:pPr>
              <w:pStyle w:val="TableTextLeft"/>
            </w:pPr>
            <w:r w:rsidRPr="00A9571C">
              <w:t>India</w:t>
            </w:r>
          </w:p>
        </w:tc>
        <w:tc>
          <w:tcPr>
            <w:tcW w:w="1879" w:type="dxa"/>
            <w:noWrap/>
          </w:tcPr>
          <w:p w14:paraId="713BFB0C" w14:textId="77777777" w:rsidR="00603257" w:rsidRPr="00A9571C" w:rsidRDefault="00603257" w:rsidP="0018071B">
            <w:pPr>
              <w:pStyle w:val="TableTextRight"/>
            </w:pPr>
            <w:r w:rsidRPr="00A9571C">
              <w:t>200</w:t>
            </w:r>
          </w:p>
        </w:tc>
        <w:tc>
          <w:tcPr>
            <w:tcW w:w="1879" w:type="dxa"/>
            <w:shd w:val="clear" w:color="auto" w:fill="DBF4F5" w:themeFill="background2"/>
            <w:noWrap/>
          </w:tcPr>
          <w:p w14:paraId="251AF725" w14:textId="77777777" w:rsidR="00603257" w:rsidRPr="00A9571C" w:rsidRDefault="00603257" w:rsidP="0018071B">
            <w:pPr>
              <w:pStyle w:val="TableTextRight"/>
            </w:pPr>
            <w:r w:rsidRPr="00A9571C">
              <w:t>200</w:t>
            </w:r>
          </w:p>
        </w:tc>
        <w:tc>
          <w:tcPr>
            <w:tcW w:w="1879" w:type="dxa"/>
          </w:tcPr>
          <w:p w14:paraId="1687FC9E" w14:textId="77777777" w:rsidR="00603257" w:rsidRPr="00A9571C" w:rsidRDefault="00603257" w:rsidP="0018071B">
            <w:pPr>
              <w:pStyle w:val="TableTextRight"/>
            </w:pPr>
            <w:r w:rsidRPr="00A9571C">
              <w:t>0%</w:t>
            </w:r>
          </w:p>
        </w:tc>
      </w:tr>
      <w:tr w:rsidR="00603257" w:rsidRPr="00A9571C" w14:paraId="35C0FFB8" w14:textId="77777777" w:rsidTr="2E08408E">
        <w:trPr>
          <w:trHeight w:val="286"/>
        </w:trPr>
        <w:tc>
          <w:tcPr>
            <w:tcW w:w="1878" w:type="dxa"/>
            <w:shd w:val="clear" w:color="auto" w:fill="DBF4F5" w:themeFill="background2"/>
            <w:noWrap/>
          </w:tcPr>
          <w:p w14:paraId="79562972" w14:textId="77777777" w:rsidR="00603257" w:rsidRPr="00A9571C" w:rsidRDefault="00603257" w:rsidP="0018071B">
            <w:pPr>
              <w:pStyle w:val="TableTextLeft"/>
            </w:pPr>
            <w:r w:rsidRPr="00A9571C">
              <w:t>Taiwan</w:t>
            </w:r>
          </w:p>
        </w:tc>
        <w:tc>
          <w:tcPr>
            <w:tcW w:w="1879" w:type="dxa"/>
            <w:noWrap/>
          </w:tcPr>
          <w:p w14:paraId="7980FC90" w14:textId="77777777" w:rsidR="00603257" w:rsidRPr="00A9571C" w:rsidRDefault="00603257" w:rsidP="0018071B">
            <w:pPr>
              <w:pStyle w:val="TableTextRight"/>
            </w:pPr>
            <w:r w:rsidRPr="00A9571C">
              <w:t>200</w:t>
            </w:r>
          </w:p>
        </w:tc>
        <w:tc>
          <w:tcPr>
            <w:tcW w:w="1879" w:type="dxa"/>
            <w:shd w:val="clear" w:color="auto" w:fill="DBF4F5" w:themeFill="background2"/>
            <w:noWrap/>
          </w:tcPr>
          <w:p w14:paraId="64660DC8" w14:textId="77777777" w:rsidR="00603257" w:rsidRPr="00A9571C" w:rsidRDefault="00603257" w:rsidP="0018071B">
            <w:pPr>
              <w:pStyle w:val="TableTextRight"/>
            </w:pPr>
            <w:r w:rsidRPr="00A9571C">
              <w:t>100</w:t>
            </w:r>
          </w:p>
        </w:tc>
        <w:tc>
          <w:tcPr>
            <w:tcW w:w="1879" w:type="dxa"/>
          </w:tcPr>
          <w:p w14:paraId="3A2B9A08" w14:textId="77777777" w:rsidR="00603257" w:rsidRPr="00A9571C" w:rsidRDefault="00603257" w:rsidP="0018071B">
            <w:pPr>
              <w:pStyle w:val="TableTextRight"/>
            </w:pPr>
            <w:r w:rsidRPr="00A9571C">
              <w:t>-50%</w:t>
            </w:r>
          </w:p>
        </w:tc>
      </w:tr>
      <w:tr w:rsidR="00603257" w:rsidRPr="00A9571C" w14:paraId="2E22557C" w14:textId="77777777" w:rsidTr="2E08408E">
        <w:trPr>
          <w:trHeight w:val="286"/>
        </w:trPr>
        <w:tc>
          <w:tcPr>
            <w:tcW w:w="1878" w:type="dxa"/>
            <w:shd w:val="clear" w:color="auto" w:fill="DBF4F5" w:themeFill="background2"/>
            <w:noWrap/>
          </w:tcPr>
          <w:p w14:paraId="481F1561" w14:textId="77777777" w:rsidR="00603257" w:rsidRPr="00A9571C" w:rsidRDefault="00603257" w:rsidP="0018071B">
            <w:pPr>
              <w:pStyle w:val="TableTextLeft"/>
            </w:pPr>
            <w:r w:rsidRPr="00A9571C">
              <w:t>Bangladesh</w:t>
            </w:r>
          </w:p>
        </w:tc>
        <w:tc>
          <w:tcPr>
            <w:tcW w:w="1879" w:type="dxa"/>
            <w:noWrap/>
          </w:tcPr>
          <w:p w14:paraId="6B83F46A" w14:textId="77777777" w:rsidR="00603257" w:rsidRPr="00A9571C" w:rsidRDefault="00603257" w:rsidP="0018071B">
            <w:pPr>
              <w:pStyle w:val="TableTextRight"/>
            </w:pPr>
            <w:r w:rsidRPr="00A9571C">
              <w:t>0</w:t>
            </w:r>
          </w:p>
        </w:tc>
        <w:tc>
          <w:tcPr>
            <w:tcW w:w="1879" w:type="dxa"/>
            <w:shd w:val="clear" w:color="auto" w:fill="DBF4F5" w:themeFill="background2"/>
            <w:noWrap/>
          </w:tcPr>
          <w:p w14:paraId="40447FF8" w14:textId="77777777" w:rsidR="00603257" w:rsidRPr="00A9571C" w:rsidRDefault="00603257" w:rsidP="0018071B">
            <w:pPr>
              <w:pStyle w:val="TableTextRight"/>
            </w:pPr>
            <w:r w:rsidRPr="00A9571C">
              <w:t>0</w:t>
            </w:r>
          </w:p>
        </w:tc>
        <w:tc>
          <w:tcPr>
            <w:tcW w:w="1879" w:type="dxa"/>
          </w:tcPr>
          <w:p w14:paraId="1EEE1181" w14:textId="77777777" w:rsidR="00603257" w:rsidRPr="00A9571C" w:rsidRDefault="00603257" w:rsidP="0018071B">
            <w:pPr>
              <w:pStyle w:val="TableTextRight"/>
            </w:pPr>
            <w:r w:rsidRPr="00A9571C">
              <w:t>N/A</w:t>
            </w:r>
          </w:p>
        </w:tc>
      </w:tr>
      <w:tr w:rsidR="00603257" w:rsidRPr="00A9571C" w14:paraId="3A402D31" w14:textId="77777777" w:rsidTr="2E08408E">
        <w:trPr>
          <w:trHeight w:val="286"/>
        </w:trPr>
        <w:tc>
          <w:tcPr>
            <w:tcW w:w="1878" w:type="dxa"/>
            <w:shd w:val="clear" w:color="auto" w:fill="DBF4F5" w:themeFill="background2"/>
            <w:noWrap/>
          </w:tcPr>
          <w:p w14:paraId="763644CB" w14:textId="77777777" w:rsidR="00603257" w:rsidRPr="00A9571C" w:rsidRDefault="00603257" w:rsidP="0018071B">
            <w:pPr>
              <w:pStyle w:val="TableTextLeft"/>
            </w:pPr>
            <w:r w:rsidRPr="00A9571C">
              <w:t>All other</w:t>
            </w:r>
          </w:p>
        </w:tc>
        <w:tc>
          <w:tcPr>
            <w:tcW w:w="1879" w:type="dxa"/>
            <w:noWrap/>
          </w:tcPr>
          <w:p w14:paraId="1AFA1C48" w14:textId="77777777" w:rsidR="00603257" w:rsidRPr="00A9571C" w:rsidRDefault="00603257" w:rsidP="0018071B">
            <w:pPr>
              <w:pStyle w:val="TableTextRight"/>
            </w:pPr>
            <w:r w:rsidRPr="00A9571C">
              <w:t>300</w:t>
            </w:r>
          </w:p>
        </w:tc>
        <w:tc>
          <w:tcPr>
            <w:tcW w:w="1879" w:type="dxa"/>
            <w:shd w:val="clear" w:color="auto" w:fill="DBF4F5" w:themeFill="background2"/>
            <w:noWrap/>
          </w:tcPr>
          <w:p w14:paraId="081BA571" w14:textId="77777777" w:rsidR="00603257" w:rsidRPr="00A9571C" w:rsidRDefault="00603257" w:rsidP="0018071B">
            <w:pPr>
              <w:pStyle w:val="TableTextRight"/>
            </w:pPr>
            <w:r w:rsidRPr="00A9571C">
              <w:t>200</w:t>
            </w:r>
          </w:p>
        </w:tc>
        <w:tc>
          <w:tcPr>
            <w:tcW w:w="1879" w:type="dxa"/>
          </w:tcPr>
          <w:p w14:paraId="27A684C4" w14:textId="77777777" w:rsidR="00603257" w:rsidRPr="00A9571C" w:rsidRDefault="00603257" w:rsidP="0018071B">
            <w:pPr>
              <w:pStyle w:val="TableTextRight"/>
            </w:pPr>
            <w:r w:rsidRPr="00A9571C">
              <w:t>-33%</w:t>
            </w:r>
          </w:p>
        </w:tc>
      </w:tr>
      <w:tr w:rsidR="00603257" w:rsidRPr="00A9571C" w14:paraId="65204200" w14:textId="77777777" w:rsidTr="2E08408E">
        <w:trPr>
          <w:trHeight w:val="286"/>
        </w:trPr>
        <w:tc>
          <w:tcPr>
            <w:tcW w:w="1878" w:type="dxa"/>
            <w:shd w:val="clear" w:color="auto" w:fill="DBF4F5" w:themeFill="background2"/>
            <w:noWrap/>
          </w:tcPr>
          <w:p w14:paraId="4B129069" w14:textId="77777777" w:rsidR="00603257" w:rsidRPr="00A9571C" w:rsidRDefault="00603257" w:rsidP="0018071B">
            <w:pPr>
              <w:pStyle w:val="TableTextLeft"/>
              <w:rPr>
                <w:b/>
                <w:bCs/>
              </w:rPr>
            </w:pPr>
            <w:r w:rsidRPr="00A9571C">
              <w:rPr>
                <w:b/>
                <w:bCs/>
              </w:rPr>
              <w:t>Total</w:t>
            </w:r>
          </w:p>
        </w:tc>
        <w:tc>
          <w:tcPr>
            <w:tcW w:w="1879" w:type="dxa"/>
            <w:noWrap/>
          </w:tcPr>
          <w:p w14:paraId="223ADD4B" w14:textId="77777777" w:rsidR="00603257" w:rsidRPr="00A9571C" w:rsidRDefault="00603257" w:rsidP="0018071B">
            <w:pPr>
              <w:pStyle w:val="TableTextRight"/>
              <w:rPr>
                <w:b/>
                <w:bCs/>
              </w:rPr>
            </w:pPr>
            <w:r w:rsidRPr="00A9571C">
              <w:rPr>
                <w:b/>
                <w:bCs/>
              </w:rPr>
              <w:t>2,000</w:t>
            </w:r>
          </w:p>
        </w:tc>
        <w:tc>
          <w:tcPr>
            <w:tcW w:w="1879" w:type="dxa"/>
            <w:shd w:val="clear" w:color="auto" w:fill="DBF4F5" w:themeFill="background2"/>
            <w:noWrap/>
          </w:tcPr>
          <w:p w14:paraId="47485538" w14:textId="77777777" w:rsidR="00603257" w:rsidRPr="00A9571C" w:rsidRDefault="00603257" w:rsidP="0018071B">
            <w:pPr>
              <w:pStyle w:val="TableTextRight"/>
              <w:rPr>
                <w:b/>
                <w:bCs/>
              </w:rPr>
            </w:pPr>
            <w:r w:rsidRPr="00A9571C">
              <w:rPr>
                <w:b/>
                <w:bCs/>
              </w:rPr>
              <w:t>1,400</w:t>
            </w:r>
          </w:p>
        </w:tc>
        <w:tc>
          <w:tcPr>
            <w:tcW w:w="1879" w:type="dxa"/>
          </w:tcPr>
          <w:p w14:paraId="3CFA306B" w14:textId="77777777" w:rsidR="00603257" w:rsidRPr="00A9571C" w:rsidRDefault="00603257" w:rsidP="0018071B">
            <w:pPr>
              <w:pStyle w:val="TableTextRight"/>
              <w:rPr>
                <w:b/>
                <w:bCs/>
              </w:rPr>
            </w:pPr>
            <w:r w:rsidRPr="00A9571C">
              <w:rPr>
                <w:b/>
                <w:bCs/>
              </w:rPr>
              <w:t>-30%</w:t>
            </w:r>
          </w:p>
        </w:tc>
      </w:tr>
    </w:tbl>
    <w:p w14:paraId="496332EF" w14:textId="4456B2D1" w:rsidR="007C73DF" w:rsidRDefault="001F546B" w:rsidP="00F9777F">
      <w:pPr>
        <w:pStyle w:val="PhotoCredit"/>
      </w:pPr>
      <w:r>
        <w:t xml:space="preserve">Source: ABS </w:t>
      </w:r>
      <w:r w:rsidR="00F9777F">
        <w:t>and</w:t>
      </w:r>
      <w:r>
        <w:t xml:space="preserve"> IE (Australian Harmonized Export Commodity Classification (AHECC) data by month, </w:t>
      </w:r>
      <w:r w:rsidR="00DE7348">
        <w:t>classification,</w:t>
      </w:r>
      <w:r>
        <w:t xml:space="preserve"> and destination country, 2022) and Blue Environment.</w:t>
      </w:r>
    </w:p>
    <w:p w14:paraId="324B9BF3" w14:textId="77777777" w:rsidR="00271E19" w:rsidRDefault="00271E19">
      <w:pPr>
        <w:rPr>
          <w:b/>
          <w:color w:val="004C97" w:themeColor="accent3"/>
          <w:sz w:val="28"/>
          <w:szCs w:val="28"/>
        </w:rPr>
      </w:pPr>
      <w:r>
        <w:br w:type="page"/>
      </w:r>
    </w:p>
    <w:p w14:paraId="2A1AA53E" w14:textId="2D2E62D9" w:rsidR="00764023" w:rsidRPr="00FC722B" w:rsidRDefault="00764023" w:rsidP="00764023">
      <w:pPr>
        <w:pStyle w:val="Heading3"/>
        <w:rPr>
          <w:rFonts w:eastAsia="Arial"/>
        </w:rPr>
      </w:pPr>
      <w:r>
        <w:rPr>
          <w:rFonts w:eastAsia="Arial"/>
        </w:rPr>
        <w:lastRenderedPageBreak/>
        <w:t>Market opportunities</w:t>
      </w:r>
    </w:p>
    <w:p w14:paraId="70A76438" w14:textId="6792F8AB" w:rsidR="007C73DF" w:rsidRPr="007C73DF" w:rsidRDefault="007C73DF" w:rsidP="007C73DF">
      <w:pPr>
        <w:pStyle w:val="BodyText"/>
      </w:pPr>
      <w:r w:rsidRPr="007C73DF">
        <w:t xml:space="preserve">The global steel and aluminium markets have been able to consistently absorb metal packaging from kerbside </w:t>
      </w:r>
      <w:r w:rsidR="00EF6244">
        <w:t>collections</w:t>
      </w:r>
      <w:r w:rsidRPr="007C73DF">
        <w:t>, better than the local or global markets for any of the other packaging materials. This is primarily due to the lack of barriers in returning MRF</w:t>
      </w:r>
      <w:r w:rsidR="00CD6D6E">
        <w:t xml:space="preserve"> </w:t>
      </w:r>
      <w:r w:rsidRPr="007C73DF">
        <w:t>sourced metal packaging back into the global scrap pool and then into many steel and aluminium products beyond packaging.</w:t>
      </w:r>
    </w:p>
    <w:p w14:paraId="60BCB21A" w14:textId="2FD39900" w:rsidR="007C73DF" w:rsidRPr="007C73DF" w:rsidRDefault="007C73DF" w:rsidP="007C73DF">
      <w:pPr>
        <w:pStyle w:val="BodyText"/>
      </w:pPr>
      <w:r w:rsidRPr="007C73DF">
        <w:t>Tin-plate steel packaging is only reprocessed in very small quantities</w:t>
      </w:r>
      <w:r w:rsidR="00EF6244">
        <w:t xml:space="preserve"> and </w:t>
      </w:r>
      <w:r w:rsidRPr="007C73DF">
        <w:t>has relatively low value</w:t>
      </w:r>
      <w:r w:rsidR="00EF6244">
        <w:t>,</w:t>
      </w:r>
      <w:r w:rsidRPr="007C73DF">
        <w:t xml:space="preserve"> with reports of high levels of contamination. There is </w:t>
      </w:r>
      <w:r w:rsidR="00EF6244">
        <w:t>an</w:t>
      </w:r>
      <w:r w:rsidRPr="007C73DF">
        <w:t xml:space="preserve"> increasing risk of future import restrictions by receiving countries, particularly if mixed grade post-consumer steel imports </w:t>
      </w:r>
      <w:r w:rsidR="00EF6244">
        <w:t>such as</w:t>
      </w:r>
      <w:r w:rsidRPr="007C73DF">
        <w:t xml:space="preserve"> 'black iron' scrap grades are restricted for any reason, as tin-plate steel is often 'shandied' (blended) into other scrap steel grades to enable its sale. There may be a case for Australian governments to assess the potential for local pre-processing capacity here in Australia, such as hammer-mills to decontaminate the tin-plate steel to make it more attractive to local and international smelter operators.</w:t>
      </w:r>
    </w:p>
    <w:p w14:paraId="42096FBA" w14:textId="77777777" w:rsidR="007C73DF" w:rsidRPr="007C73DF" w:rsidRDefault="007C73DF" w:rsidP="007C73DF">
      <w:pPr>
        <w:pStyle w:val="BodyText"/>
      </w:pPr>
      <w:r w:rsidRPr="007C73DF">
        <w:t>In addition, the increasing costs of container freight present a risk to steel cans exporters in getting this material to smelters in southeast Asia.</w:t>
      </w:r>
    </w:p>
    <w:p w14:paraId="5B752B1B" w14:textId="7F101C11" w:rsidR="001F587E" w:rsidRDefault="007C73DF" w:rsidP="007C73DF">
      <w:pPr>
        <w:pStyle w:val="BodyText"/>
      </w:pPr>
      <w:r w:rsidRPr="007C73DF">
        <w:t>If there was a dramatic negative shift in supply/demand at a global level, in tandem with the current very high freight costs, this could lead to significant price reductions for baled steel, which would leave this material stranded in Australia with minimal local reprocessing capacity.</w:t>
      </w:r>
    </w:p>
    <w:p w14:paraId="095EE5D9" w14:textId="77777777" w:rsidR="001F587E" w:rsidRPr="00FC722B" w:rsidRDefault="001F587E" w:rsidP="001F587E">
      <w:pPr>
        <w:pStyle w:val="Heading3"/>
        <w:rPr>
          <w:rFonts w:eastAsia="Arial"/>
        </w:rPr>
      </w:pPr>
      <w:r w:rsidRPr="4D4FE1B5">
        <w:rPr>
          <w:rFonts w:eastAsia="Arial"/>
        </w:rPr>
        <w:t>Disclaimer</w:t>
      </w:r>
    </w:p>
    <w:p w14:paraId="18A47659" w14:textId="77777777" w:rsidR="001F587E" w:rsidRPr="00FC722B" w:rsidRDefault="001F587E" w:rsidP="001F587E">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 IndustryEdge and Sustainable Resource Use (SRU).</w:t>
      </w:r>
    </w:p>
    <w:p w14:paraId="785CF6DE" w14:textId="3D54303E" w:rsidR="001F587E" w:rsidRPr="00FC722B" w:rsidRDefault="001F587E" w:rsidP="001F587E">
      <w:pPr>
        <w:pStyle w:val="BodyText"/>
        <w:rPr>
          <w:rFonts w:eastAsia="Arial"/>
        </w:rPr>
      </w:pPr>
      <w:r w:rsidRPr="00FC722B">
        <w:rPr>
          <w:rFonts w:eastAsia="Arial"/>
        </w:rPr>
        <w:t xml:space="preserve">While reasonable efforts have been made to ensure that the contents of this publication are factually correct, Recycling Victoria gives no warranty regarding its accuracy, completeness, </w:t>
      </w:r>
      <w:r w:rsidR="00DE7348" w:rsidRPr="00FC722B">
        <w:rPr>
          <w:rFonts w:eastAsia="Arial"/>
        </w:rPr>
        <w:t>currency,</w:t>
      </w:r>
      <w:r w:rsidRPr="00FC722B">
        <w:rPr>
          <w:rFonts w:eastAsia="Arial"/>
        </w:rPr>
        <w:t xml:space="preserve"> or suitability for any particular purpose and to the extent permitted by law, does not accept any liability for loss or damages incurred </w:t>
      </w:r>
      <w:proofErr w:type="gramStart"/>
      <w:r w:rsidRPr="00FC722B">
        <w:rPr>
          <w:rFonts w:eastAsia="Arial"/>
        </w:rPr>
        <w:t>as a result of</w:t>
      </w:r>
      <w:proofErr w:type="gramEnd"/>
      <w:r w:rsidRPr="00FC722B">
        <w:rPr>
          <w:rFonts w:eastAsia="Arial"/>
        </w:rPr>
        <w:t xml:space="preserve"> placed upon the content of this publication</w:t>
      </w:r>
      <w:r w:rsidR="00253B9A">
        <w:rPr>
          <w:rFonts w:eastAsia="Arial"/>
        </w:rPr>
        <w:t>.</w:t>
      </w:r>
    </w:p>
    <w:p w14:paraId="217787E1" w14:textId="77777777" w:rsidR="001F587E" w:rsidRPr="00FC722B" w:rsidRDefault="001F587E" w:rsidP="001F587E">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2820B224" w14:textId="5A4C825A" w:rsidR="001F587E" w:rsidRPr="001F587E" w:rsidRDefault="001F587E" w:rsidP="007C73DF">
      <w:pPr>
        <w:pStyle w:val="BodyText"/>
        <w:rPr>
          <w:rFonts w:eastAsia="Arial"/>
        </w:rPr>
      </w:pPr>
      <w:r w:rsidRPr="00FC722B">
        <w:rPr>
          <w:rFonts w:eastAsia="Arial"/>
        </w:rPr>
        <w:t xml:space="preserve">Recycling Victoria does not accept any liability for loss or damage arising from your use of or reliance on the Data. The inclusion of information in this report does not constitute Recycling Victoria’s endorsement of any </w:t>
      </w:r>
      <w:r w:rsidR="00DE7348" w:rsidRPr="00FC722B">
        <w:rPr>
          <w:rFonts w:eastAsia="Arial"/>
        </w:rPr>
        <w:t>facility</w:t>
      </w:r>
      <w:r w:rsidRPr="00FC722B">
        <w:rPr>
          <w:rFonts w:eastAsia="Arial"/>
        </w:rPr>
        <w:t>, or any associated organisation, product or service.</w:t>
      </w: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03044C1F" w14:textId="77777777" w:rsidTr="00437A2E">
        <w:trPr>
          <w:trHeight w:val="3175"/>
        </w:trPr>
        <w:tc>
          <w:tcPr>
            <w:tcW w:w="5216" w:type="dxa"/>
            <w:shd w:val="clear" w:color="auto" w:fill="auto"/>
          </w:tcPr>
          <w:p w14:paraId="061BEBBF" w14:textId="511E6B99"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BB58F1">
              <w:rPr>
                <w:sz w:val="14"/>
                <w:szCs w:val="22"/>
              </w:rPr>
              <w:t xml:space="preserve"> 2023</w:t>
            </w:r>
          </w:p>
          <w:p w14:paraId="782FB30F" w14:textId="5BC8BB4D" w:rsidR="00BF56B2" w:rsidRPr="00472CF9" w:rsidRDefault="00BF56B2" w:rsidP="00437A2E">
            <w:pPr>
              <w:pStyle w:val="SmallBodyText"/>
              <w:rPr>
                <w:sz w:val="14"/>
                <w:szCs w:val="22"/>
              </w:rPr>
            </w:pPr>
            <w:r w:rsidRPr="00472CF9">
              <w:rPr>
                <w:noProof/>
                <w:sz w:val="14"/>
                <w:szCs w:val="22"/>
              </w:rPr>
              <w:drawing>
                <wp:anchor distT="0" distB="0" distL="114300" distR="36195" simplePos="0" relativeHeight="251658241" behindDoc="0" locked="1" layoutInCell="1" allowOverlap="1" wp14:anchorId="1B86D35E" wp14:editId="3EC670B5">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1">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72CF9">
              <w:rPr>
                <w:sz w:val="14"/>
                <w:szCs w:val="22"/>
              </w:rPr>
              <w:t xml:space="preserve">This </w:t>
            </w:r>
            <w:r w:rsidR="00752437">
              <w:rPr>
                <w:color w:val="auto"/>
                <w:sz w:val="14"/>
                <w:szCs w:val="22"/>
              </w:rPr>
              <w:t xml:space="preserve">work is licensed under a Creative Commons Attribution 4.0 International licence. You are free to re-use the work under that licence, on the condition that you credit the State of Victoria as author. The licence does not apply to any images, </w:t>
            </w:r>
            <w:proofErr w:type="gramStart"/>
            <w:r w:rsidR="00752437">
              <w:rPr>
                <w:color w:val="auto"/>
                <w:sz w:val="14"/>
                <w:szCs w:val="22"/>
              </w:rPr>
              <w:t>photographs</w:t>
            </w:r>
            <w:proofErr w:type="gramEnd"/>
            <w:r w:rsidR="00752437">
              <w:rPr>
                <w:color w:val="auto"/>
                <w:sz w:val="14"/>
                <w:szCs w:val="22"/>
              </w:rPr>
              <w:t xml:space="preserve"> or branding, including the Victorian Coat of Arms, the Victorian Government logo and the Department of Energy, Environment and Climate Action (DEECA) logo. To view a copy of this licence, visit http://creativecommons.org/licenses/by/4.0/</w:t>
            </w:r>
          </w:p>
          <w:p w14:paraId="44502ED5" w14:textId="77777777" w:rsidR="00BB58F1" w:rsidRDefault="00BB58F1" w:rsidP="00437A2E">
            <w:pPr>
              <w:pStyle w:val="SmallHeading"/>
              <w:rPr>
                <w:sz w:val="14"/>
                <w:szCs w:val="22"/>
              </w:rPr>
            </w:pPr>
          </w:p>
          <w:p w14:paraId="1C021FE8" w14:textId="1712B902" w:rsidR="00BF56B2" w:rsidRPr="00472CF9" w:rsidRDefault="00BF56B2" w:rsidP="00437A2E">
            <w:pPr>
              <w:pStyle w:val="SmallHeading"/>
              <w:rPr>
                <w:sz w:val="14"/>
                <w:szCs w:val="22"/>
              </w:rPr>
            </w:pPr>
            <w:r w:rsidRPr="00472CF9">
              <w:rPr>
                <w:sz w:val="14"/>
                <w:szCs w:val="22"/>
              </w:rPr>
              <w:t>Disclaimer</w:t>
            </w:r>
          </w:p>
          <w:p w14:paraId="188EB8D0"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w:t>
            </w:r>
            <w:proofErr w:type="gramStart"/>
            <w:r w:rsidRPr="00472CF9">
              <w:rPr>
                <w:sz w:val="14"/>
                <w:szCs w:val="22"/>
              </w:rPr>
              <w:t>particular purposes</w:t>
            </w:r>
            <w:proofErr w:type="gramEnd"/>
            <w:r w:rsidRPr="00472CF9">
              <w:rPr>
                <w:sz w:val="14"/>
                <w:szCs w:val="22"/>
              </w:rPr>
              <w:t xml:space="preserve"> and therefore disclaims all liability for any error, loss or other consequence which may arise from you relying on any information in this publication.</w:t>
            </w:r>
          </w:p>
        </w:tc>
        <w:tc>
          <w:tcPr>
            <w:tcW w:w="4989" w:type="dxa"/>
            <w:shd w:val="clear" w:color="auto" w:fill="auto"/>
          </w:tcPr>
          <w:p w14:paraId="3654B983" w14:textId="77777777" w:rsidR="00254A01" w:rsidRPr="00E97294" w:rsidRDefault="00254A01" w:rsidP="00437A2E">
            <w:pPr>
              <w:pStyle w:val="xAccessibilityHeading"/>
            </w:pPr>
            <w:bookmarkStart w:id="1" w:name="_Accessibility"/>
            <w:bookmarkEnd w:id="1"/>
            <w:r w:rsidRPr="00E97294">
              <w:t>Accessibility</w:t>
            </w:r>
          </w:p>
          <w:p w14:paraId="6B5DA809"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2" w:history="1">
              <w:r w:rsidRPr="00BF56B2">
                <w:rPr>
                  <w:rStyle w:val="Hyperlink"/>
                </w:rPr>
                <w:t>customer.service@delwp.vic.gov.au</w:t>
              </w:r>
            </w:hyperlink>
            <w:r w:rsidRPr="003C5C56">
              <w:t xml:space="preserve"> </w:t>
            </w:r>
            <w:r>
              <w:t xml:space="preserve">or via the National Relay Service on 133 677 </w:t>
            </w:r>
            <w:hyperlink r:id="rId23" w:history="1">
              <w:r w:rsidRPr="00BF56B2">
                <w:rPr>
                  <w:rStyle w:val="Hyperlink"/>
                </w:rPr>
                <w:t>www.relayservice.com.au</w:t>
              </w:r>
            </w:hyperlink>
            <w:r>
              <w:t xml:space="preserve">. This document is also available on the internet </w:t>
            </w:r>
            <w:r w:rsidR="00E977FE">
              <w:rPr>
                <w:color w:val="auto"/>
              </w:rPr>
              <w:t xml:space="preserve">at </w:t>
            </w:r>
            <w:hyperlink r:id="rId24" w:history="1">
              <w:r w:rsidR="00E977FE">
                <w:rPr>
                  <w:rStyle w:val="Hyperlink"/>
                </w:rPr>
                <w:t>www.recycling.vic.gov.au</w:t>
              </w:r>
            </w:hyperlink>
          </w:p>
        </w:tc>
      </w:tr>
    </w:tbl>
    <w:p w14:paraId="506EAE2D" w14:textId="411CE1AB" w:rsidR="00357117" w:rsidRDefault="00357117" w:rsidP="00507C4C">
      <w:pPr>
        <w:pStyle w:val="SmallBodyText"/>
      </w:pPr>
    </w:p>
    <w:p w14:paraId="0C0A377D" w14:textId="7EFF6C21" w:rsidR="00357117" w:rsidRDefault="00357117" w:rsidP="00507C4C">
      <w:pPr>
        <w:pStyle w:val="SmallBodyText"/>
      </w:pPr>
    </w:p>
    <w:p w14:paraId="27E43742" w14:textId="7928AFD2" w:rsidR="00357117" w:rsidRDefault="00357117" w:rsidP="00507C4C">
      <w:pPr>
        <w:pStyle w:val="SmallBodyText"/>
      </w:pPr>
    </w:p>
    <w:p w14:paraId="28EE0B1E" w14:textId="4F2D533E" w:rsidR="00357117" w:rsidRDefault="00357117" w:rsidP="00507C4C">
      <w:pPr>
        <w:pStyle w:val="SmallBodyText"/>
      </w:pPr>
    </w:p>
    <w:p w14:paraId="18DF4718" w14:textId="48B727D4" w:rsidR="00357117" w:rsidRDefault="00357117" w:rsidP="00507C4C">
      <w:pPr>
        <w:pStyle w:val="SmallBodyText"/>
      </w:pPr>
    </w:p>
    <w:p w14:paraId="357FCE20" w14:textId="031380DD" w:rsidR="00357117" w:rsidRDefault="00357117" w:rsidP="00507C4C">
      <w:pPr>
        <w:pStyle w:val="SmallBodyText"/>
      </w:pPr>
    </w:p>
    <w:p w14:paraId="1E434C98" w14:textId="16DE2071" w:rsidR="00357117" w:rsidRDefault="00357117" w:rsidP="00507C4C">
      <w:pPr>
        <w:pStyle w:val="SmallBodyText"/>
      </w:pPr>
    </w:p>
    <w:p w14:paraId="628F4286" w14:textId="2CF806B7" w:rsidR="00357117" w:rsidRDefault="00357117" w:rsidP="00507C4C">
      <w:pPr>
        <w:pStyle w:val="SmallBodyText"/>
      </w:pPr>
    </w:p>
    <w:p w14:paraId="422446C8" w14:textId="77777777" w:rsidR="006E1C8D" w:rsidRPr="00BF56B2" w:rsidRDefault="00437A2E" w:rsidP="00BF56B2">
      <w:pPr>
        <w:pStyle w:val="SmallBodyText"/>
      </w:pPr>
      <w:r w:rsidRPr="00AE6B68">
        <w:rPr>
          <w:b/>
          <w:bCs/>
          <w:noProof/>
          <w:sz w:val="28"/>
          <w:szCs w:val="32"/>
        </w:rPr>
        <w:drawing>
          <wp:anchor distT="0" distB="0" distL="114300" distR="114300" simplePos="0" relativeHeight="251658242" behindDoc="1" locked="0" layoutInCell="1" allowOverlap="1" wp14:anchorId="012A7DDF" wp14:editId="562B7C3F">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5"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rPr>
        <mc:AlternateContent>
          <mc:Choice Requires="wps">
            <w:drawing>
              <wp:anchor distT="0" distB="0" distL="114300" distR="114300" simplePos="0" relativeHeight="251658240" behindDoc="1" locked="1" layoutInCell="1" allowOverlap="1" wp14:anchorId="5D4A6B7B" wp14:editId="0B0A36E3">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v:rect id="Footer Rectangle" style="position:absolute;margin-left:0;margin-top:605.3pt;width:595.25pt;height:236.55pt;z-index:-25166489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quot;&quot;" o:spid="_x0000_s1026" fillcolor="#dbf4f5 [3214]" stroked="f" strokeweight="1.5pt" w14:anchorId="32EDC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v:stroke endcap="round"/>
                <w10:wrap anchorx="page" anchory="page"/>
                <w10:anchorlock/>
              </v:rect>
            </w:pict>
          </mc:Fallback>
        </mc:AlternateContent>
      </w:r>
    </w:p>
    <w:sectPr w:rsidR="006E1C8D" w:rsidRPr="00BF56B2" w:rsidSect="00BB58F1">
      <w:footerReference w:type="default" r:id="rId26"/>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262C" w14:textId="77777777" w:rsidR="00BB58F1" w:rsidRDefault="00BB58F1">
      <w:r>
        <w:separator/>
      </w:r>
    </w:p>
    <w:p w14:paraId="49445F38" w14:textId="77777777" w:rsidR="00BB58F1" w:rsidRDefault="00BB58F1"/>
    <w:p w14:paraId="5F05BD23" w14:textId="77777777" w:rsidR="00BB58F1" w:rsidRDefault="00BB58F1"/>
  </w:endnote>
  <w:endnote w:type="continuationSeparator" w:id="0">
    <w:p w14:paraId="7B2F97AD" w14:textId="77777777" w:rsidR="00BB58F1" w:rsidRDefault="00BB58F1">
      <w:r>
        <w:continuationSeparator/>
      </w:r>
    </w:p>
    <w:p w14:paraId="6BDACEA4" w14:textId="77777777" w:rsidR="00BB58F1" w:rsidRDefault="00BB58F1"/>
    <w:p w14:paraId="44366117" w14:textId="77777777" w:rsidR="00BB58F1" w:rsidRDefault="00BB58F1"/>
  </w:endnote>
  <w:endnote w:type="continuationNotice" w:id="1">
    <w:p w14:paraId="6CF92775" w14:textId="77777777" w:rsidR="00293750" w:rsidRDefault="002937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0BAC" w14:textId="77777777" w:rsidR="00947066" w:rsidRPr="00AE6B68" w:rsidRDefault="001138E9">
    <w:pPr>
      <w:pStyle w:val="Footer"/>
      <w:rPr>
        <w:b/>
        <w:bCs/>
        <w:color w:val="201547" w:themeColor="text2"/>
        <w:sz w:val="20"/>
        <w:szCs w:val="24"/>
      </w:rPr>
    </w:pPr>
    <w:r>
      <w:rPr>
        <w:noProof/>
      </w:rPr>
      <mc:AlternateContent>
        <mc:Choice Requires="wps">
          <w:drawing>
            <wp:anchor distT="0" distB="0" distL="114300" distR="114300" simplePos="0" relativeHeight="251658243" behindDoc="0" locked="0" layoutInCell="0" allowOverlap="1" wp14:anchorId="323B8A8E" wp14:editId="313F2561">
              <wp:simplePos x="0" y="0"/>
              <wp:positionH relativeFrom="page">
                <wp:posOffset>0</wp:posOffset>
              </wp:positionH>
              <wp:positionV relativeFrom="page">
                <wp:posOffset>10229215</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7E0E0"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3B8A8E" id="_x0000_t202" coordsize="21600,21600" o:spt="202" path="m,l,21600r21600,l21600,xe">
              <v:stroke joinstyle="miter"/>
              <v:path gradientshapeok="t" o:connecttype="rect"/>
            </v:shapetype>
            <v:shape id="Text Box 101"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5137E0E0"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2122751450"/>
        <w:docPartObj>
          <w:docPartGallery w:val="Page Numbers (Bottom of Page)"/>
          <w:docPartUnique/>
        </w:docPartObj>
      </w:sdtPr>
      <w:sdtEndPr>
        <w:rPr>
          <w:b/>
          <w:bCs/>
          <w:noProof/>
          <w:color w:val="201547" w:themeColor="text2"/>
          <w:sz w:val="32"/>
          <w:szCs w:val="40"/>
        </w:rPr>
      </w:sdtEndPr>
      <w:sdtContent>
        <w:r w:rsidR="00AE6B68" w:rsidRPr="00AE6B68">
          <w:rPr>
            <w:b/>
            <w:bCs/>
            <w:color w:val="201547" w:themeColor="text2"/>
            <w:sz w:val="20"/>
            <w:szCs w:val="24"/>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7D03" w14:textId="77777777" w:rsidR="00947066" w:rsidRDefault="00EA0C6A" w:rsidP="00296569">
    <w:pPr>
      <w:pStyle w:val="xWeb"/>
      <w:spacing w:after="960"/>
    </w:pPr>
    <w:r>
      <w:rPr>
        <w:noProof/>
        <w:sz w:val="18"/>
      </w:rPr>
      <mc:AlternateContent>
        <mc:Choice Requires="wps">
          <w:drawing>
            <wp:anchor distT="0" distB="0" distL="114300" distR="114300" simplePos="0" relativeHeight="251658240" behindDoc="0" locked="0" layoutInCell="0" allowOverlap="1" wp14:anchorId="5E89D221" wp14:editId="684F184C">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862E3"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89D221" id="_x0000_t202" coordsize="21600,21600" o:spt="202" path="m,l,21600r21600,l21600,xe">
              <v:stroke joinstyle="miter"/>
              <v:path gradientshapeok="t" o:connecttype="rect"/>
            </v:shapetype>
            <v:shape id="Text Box 9"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051862E3"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8957" w14:textId="77777777" w:rsidR="00B40C2E" w:rsidRPr="002131E7" w:rsidRDefault="00AF174F" w:rsidP="000721CE">
    <w:pPr>
      <w:pStyle w:val="Footer"/>
      <w:rPr>
        <w:b/>
        <w:bCs/>
        <w:color w:val="201547" w:themeColor="text2"/>
        <w:sz w:val="24"/>
        <w:szCs w:val="32"/>
      </w:rPr>
    </w:pPr>
    <w:r w:rsidRPr="002131E7">
      <w:rPr>
        <w:b/>
        <w:bCs/>
        <w:noProof/>
        <w:color w:val="201547" w:themeColor="text2"/>
        <w:sz w:val="28"/>
        <w:szCs w:val="32"/>
      </w:rPr>
      <w:drawing>
        <wp:anchor distT="0" distB="0" distL="114300" distR="114300" simplePos="0" relativeHeight="251658245" behindDoc="1" locked="0" layoutInCell="1" allowOverlap="1" wp14:anchorId="03589F70" wp14:editId="79E92FF3">
          <wp:simplePos x="0" y="0"/>
          <wp:positionH relativeFrom="page">
            <wp:align>right</wp:align>
          </wp:positionH>
          <wp:positionV relativeFrom="page">
            <wp:align>bottom</wp:align>
          </wp:positionV>
          <wp:extent cx="2491285" cy="906344"/>
          <wp:effectExtent l="0" t="0" r="0" b="0"/>
          <wp:wrapNone/>
          <wp:docPr id="13" name="Picture 13"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rPr>
      <mc:AlternateContent>
        <mc:Choice Requires="wps">
          <w:drawing>
            <wp:anchor distT="0" distB="0" distL="114300" distR="114300" simplePos="0" relativeHeight="251658242" behindDoc="0" locked="0" layoutInCell="0" allowOverlap="1" wp14:anchorId="01E17A30" wp14:editId="42192F1F">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BAE21"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E17A30" id="_x0000_t202" coordsize="21600,21600" o:spt="202" path="m,l,21600r21600,l21600,xe">
              <v:stroke joinstyle="miter"/>
              <v:path gradientshapeok="t" o:connecttype="rect"/>
            </v:shapetype>
            <v:shape id="Text Box 10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0A0BAE21"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0B4E" w14:textId="77777777" w:rsidR="007C3531" w:rsidRPr="007C3531" w:rsidRDefault="001138E9" w:rsidP="00861EF9">
    <w:pPr>
      <w:pStyle w:val="Footer"/>
      <w:jc w:val="right"/>
      <w:rPr>
        <w:b/>
        <w:bCs/>
        <w:color w:val="201547" w:themeColor="text2"/>
        <w:sz w:val="20"/>
        <w:szCs w:val="24"/>
      </w:rPr>
    </w:pPr>
    <w:r>
      <w:rPr>
        <w:noProof/>
      </w:rPr>
      <mc:AlternateContent>
        <mc:Choice Requires="wps">
          <w:drawing>
            <wp:anchor distT="0" distB="0" distL="114300" distR="114300" simplePos="0" relativeHeight="251658244" behindDoc="0" locked="0" layoutInCell="0" allowOverlap="1" wp14:anchorId="5B318E21" wp14:editId="17267EFA">
              <wp:simplePos x="0" y="0"/>
              <wp:positionH relativeFrom="page">
                <wp:posOffset>0</wp:posOffset>
              </wp:positionH>
              <wp:positionV relativeFrom="page">
                <wp:posOffset>10229453</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24368"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318E21" id="_x0000_t202" coordsize="21600,21600" o:spt="202" path="m,l,21600r21600,l21600,xe">
              <v:stroke joinstyle="miter"/>
              <v:path gradientshapeok="t" o:connecttype="rect"/>
            </v:shapetype>
            <v:shape id="Text Box 102"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65424368"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757904798"/>
        <w:docPartObj>
          <w:docPartGallery w:val="Page Numbers (Bottom of Page)"/>
          <w:docPartUnique/>
        </w:docPartObj>
      </w:sdtPr>
      <w:sdtEndPr>
        <w:rPr>
          <w:b/>
          <w:bCs/>
          <w:noProof/>
          <w:color w:val="201547" w:themeColor="text2"/>
          <w:sz w:val="20"/>
          <w:szCs w:val="24"/>
        </w:rPr>
      </w:sdtEndPr>
      <w:sdtContent>
        <w:r w:rsidR="007C3531" w:rsidRPr="007C3531">
          <w:rPr>
            <w:b/>
            <w:bCs/>
            <w:color w:val="201547" w:themeColor="text2"/>
            <w:sz w:val="20"/>
            <w:szCs w:val="24"/>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1F88" w14:textId="77777777" w:rsidR="00BB58F1" w:rsidRPr="008F5280" w:rsidRDefault="00BB58F1" w:rsidP="008F5280">
      <w:pPr>
        <w:pStyle w:val="FootnoteSeparator"/>
      </w:pPr>
    </w:p>
    <w:p w14:paraId="3E306119" w14:textId="77777777" w:rsidR="00BB58F1" w:rsidRDefault="00BB58F1"/>
  </w:footnote>
  <w:footnote w:type="continuationSeparator" w:id="0">
    <w:p w14:paraId="521E47DF" w14:textId="77777777" w:rsidR="00BB58F1" w:rsidRDefault="00BB58F1" w:rsidP="008F5280">
      <w:pPr>
        <w:pStyle w:val="FootnoteSeparator"/>
      </w:pPr>
    </w:p>
    <w:p w14:paraId="6EB80BF4" w14:textId="77777777" w:rsidR="00BB58F1" w:rsidRDefault="00BB58F1"/>
    <w:p w14:paraId="25AF7698" w14:textId="77777777" w:rsidR="00BB58F1" w:rsidRDefault="00BB58F1"/>
  </w:footnote>
  <w:footnote w:type="continuationNotice" w:id="1">
    <w:p w14:paraId="695B500E" w14:textId="77777777" w:rsidR="00BB58F1" w:rsidRDefault="00BB58F1" w:rsidP="00D55628"/>
    <w:p w14:paraId="6F1B0A44" w14:textId="77777777" w:rsidR="00BB58F1" w:rsidRDefault="00BB58F1"/>
    <w:p w14:paraId="7B65C318" w14:textId="77777777" w:rsidR="00BB58F1" w:rsidRDefault="00BB5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AADB" w14:textId="61A3D5D0" w:rsidR="00501F49" w:rsidRDefault="00501F49" w:rsidP="00501F49">
    <w:pPr>
      <w:pStyle w:val="Header"/>
      <w:spacing w:before="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9A4E" w14:textId="77777777" w:rsidR="007C3531" w:rsidRDefault="007C3531">
    <w:pPr>
      <w:pStyle w:val="Header"/>
    </w:pPr>
    <w:r>
      <w:rPr>
        <w:noProof/>
        <w:color w:val="004C97" w:themeColor="accent3"/>
      </w:rPr>
      <w:drawing>
        <wp:anchor distT="0" distB="0" distL="114300" distR="114300" simplePos="0" relativeHeight="251658241" behindDoc="1" locked="0" layoutInCell="1" allowOverlap="1" wp14:anchorId="3D64136C" wp14:editId="4349DAB8">
          <wp:simplePos x="0" y="0"/>
          <wp:positionH relativeFrom="margin">
            <wp:align>right</wp:align>
          </wp:positionH>
          <wp:positionV relativeFrom="page">
            <wp:posOffset>360045</wp:posOffset>
          </wp:positionV>
          <wp:extent cx="2145600" cy="864000"/>
          <wp:effectExtent l="0" t="0" r="762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CD7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E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0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9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18"/>
  </w:num>
  <w:num w:numId="2" w16cid:durableId="438643702">
    <w:abstractNumId w:val="28"/>
  </w:num>
  <w:num w:numId="3" w16cid:durableId="811873596">
    <w:abstractNumId w:val="25"/>
  </w:num>
  <w:num w:numId="4" w16cid:durableId="319582888">
    <w:abstractNumId w:val="32"/>
  </w:num>
  <w:num w:numId="5" w16cid:durableId="1076174753">
    <w:abstractNumId w:val="15"/>
  </w:num>
  <w:num w:numId="6" w16cid:durableId="292516072">
    <w:abstractNumId w:val="12"/>
  </w:num>
  <w:num w:numId="7" w16cid:durableId="1172524432">
    <w:abstractNumId w:val="11"/>
  </w:num>
  <w:num w:numId="8" w16cid:durableId="1315180453">
    <w:abstractNumId w:val="10"/>
  </w:num>
  <w:num w:numId="9" w16cid:durableId="1349404002">
    <w:abstractNumId w:val="29"/>
  </w:num>
  <w:num w:numId="10" w16cid:durableId="819467687">
    <w:abstractNumId w:val="13"/>
  </w:num>
  <w:num w:numId="11" w16cid:durableId="809905462">
    <w:abstractNumId w:val="16"/>
  </w:num>
  <w:num w:numId="12" w16cid:durableId="1600791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54364">
    <w:abstractNumId w:val="14"/>
  </w:num>
  <w:num w:numId="14" w16cid:durableId="1663466441">
    <w:abstractNumId w:val="24"/>
  </w:num>
  <w:num w:numId="15" w16cid:durableId="79903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213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943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34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278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753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516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546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478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12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983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269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447447">
    <w:abstractNumId w:val="31"/>
  </w:num>
  <w:num w:numId="28" w16cid:durableId="1583174723">
    <w:abstractNumId w:val="31"/>
    <w:lvlOverride w:ilvl="0">
      <w:startOverride w:val="1"/>
    </w:lvlOverride>
  </w:num>
  <w:num w:numId="29" w16cid:durableId="718287114">
    <w:abstractNumId w:val="19"/>
  </w:num>
  <w:num w:numId="30" w16cid:durableId="1884947190">
    <w:abstractNumId w:val="30"/>
  </w:num>
  <w:num w:numId="31" w16cid:durableId="349450452">
    <w:abstractNumId w:val="8"/>
  </w:num>
  <w:num w:numId="32" w16cid:durableId="207618233">
    <w:abstractNumId w:val="27"/>
  </w:num>
  <w:num w:numId="33" w16cid:durableId="88164185">
    <w:abstractNumId w:val="20"/>
  </w:num>
  <w:num w:numId="34" w16cid:durableId="1705714345">
    <w:abstractNumId w:val="9"/>
  </w:num>
  <w:num w:numId="35" w16cid:durableId="1576236858">
    <w:abstractNumId w:val="7"/>
  </w:num>
  <w:num w:numId="36" w16cid:durableId="945236494">
    <w:abstractNumId w:val="6"/>
  </w:num>
  <w:num w:numId="37" w16cid:durableId="1731076899">
    <w:abstractNumId w:val="5"/>
  </w:num>
  <w:num w:numId="38" w16cid:durableId="753357915">
    <w:abstractNumId w:val="4"/>
  </w:num>
  <w:num w:numId="39" w16cid:durableId="1213426985">
    <w:abstractNumId w:val="1"/>
  </w:num>
  <w:num w:numId="40" w16cid:durableId="868765469">
    <w:abstractNumId w:val="0"/>
  </w:num>
  <w:num w:numId="41" w16cid:durableId="1423180784">
    <w:abstractNumId w:val="3"/>
  </w:num>
  <w:num w:numId="42" w16cid:durableId="603003525">
    <w:abstractNumId w:val="2"/>
  </w:num>
  <w:num w:numId="43" w16cid:durableId="31530750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BB58F1"/>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30"/>
    <w:rsid w:val="00027779"/>
    <w:rsid w:val="00027D1E"/>
    <w:rsid w:val="00027E13"/>
    <w:rsid w:val="00027EED"/>
    <w:rsid w:val="00027F13"/>
    <w:rsid w:val="0003011E"/>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881"/>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6FC"/>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0CE"/>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C08"/>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1E2E"/>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9EB"/>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535"/>
    <w:rsid w:val="00136666"/>
    <w:rsid w:val="00136CE3"/>
    <w:rsid w:val="00136D91"/>
    <w:rsid w:val="00136EBF"/>
    <w:rsid w:val="001374EB"/>
    <w:rsid w:val="0013755E"/>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B7"/>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78C"/>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071B"/>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87E85"/>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571"/>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6B"/>
    <w:rsid w:val="001F548A"/>
    <w:rsid w:val="001F579C"/>
    <w:rsid w:val="001F587E"/>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56E"/>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1E7"/>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B9A"/>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94"/>
    <w:rsid w:val="00261DCD"/>
    <w:rsid w:val="0026285F"/>
    <w:rsid w:val="00262C41"/>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1E1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75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3C4"/>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E24"/>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7DB"/>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117"/>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D02"/>
    <w:rsid w:val="00371C1B"/>
    <w:rsid w:val="00371D63"/>
    <w:rsid w:val="0037238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C15"/>
    <w:rsid w:val="003A7D28"/>
    <w:rsid w:val="003A7D9F"/>
    <w:rsid w:val="003B0166"/>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27"/>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865"/>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1CB"/>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6B7"/>
    <w:rsid w:val="00420A87"/>
    <w:rsid w:val="00420B15"/>
    <w:rsid w:val="00420C24"/>
    <w:rsid w:val="00420DCE"/>
    <w:rsid w:val="00420E48"/>
    <w:rsid w:val="00420E5E"/>
    <w:rsid w:val="004212F0"/>
    <w:rsid w:val="0042174B"/>
    <w:rsid w:val="00421799"/>
    <w:rsid w:val="0042191F"/>
    <w:rsid w:val="00421F78"/>
    <w:rsid w:val="00422267"/>
    <w:rsid w:val="0042227F"/>
    <w:rsid w:val="00422E51"/>
    <w:rsid w:val="0042317C"/>
    <w:rsid w:val="004232F5"/>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47E3C"/>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36D"/>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202"/>
    <w:rsid w:val="004A2515"/>
    <w:rsid w:val="004A2975"/>
    <w:rsid w:val="004A2B54"/>
    <w:rsid w:val="004A2E41"/>
    <w:rsid w:val="004A30FA"/>
    <w:rsid w:val="004A324F"/>
    <w:rsid w:val="004A35BE"/>
    <w:rsid w:val="004A368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4C"/>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A92"/>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13E"/>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2BEE"/>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5A"/>
    <w:rsid w:val="005F4CC2"/>
    <w:rsid w:val="005F4FED"/>
    <w:rsid w:val="005F551C"/>
    <w:rsid w:val="005F5CE7"/>
    <w:rsid w:val="005F5E45"/>
    <w:rsid w:val="005F5F36"/>
    <w:rsid w:val="005F618D"/>
    <w:rsid w:val="005F63C1"/>
    <w:rsid w:val="005F657F"/>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3E7"/>
    <w:rsid w:val="0060269A"/>
    <w:rsid w:val="00602739"/>
    <w:rsid w:val="00602916"/>
    <w:rsid w:val="00602979"/>
    <w:rsid w:val="00603085"/>
    <w:rsid w:val="00603257"/>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990"/>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8BD"/>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2B1"/>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5D8"/>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387"/>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ADD"/>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437"/>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1E5C"/>
    <w:rsid w:val="00762267"/>
    <w:rsid w:val="0076264F"/>
    <w:rsid w:val="00762D06"/>
    <w:rsid w:val="00762D0E"/>
    <w:rsid w:val="00764023"/>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939"/>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3DF"/>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E7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912"/>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5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57F"/>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479"/>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29"/>
    <w:rsid w:val="00887CC1"/>
    <w:rsid w:val="00887D0A"/>
    <w:rsid w:val="0089049E"/>
    <w:rsid w:val="00890838"/>
    <w:rsid w:val="0089091A"/>
    <w:rsid w:val="00890D78"/>
    <w:rsid w:val="00891463"/>
    <w:rsid w:val="00891CB9"/>
    <w:rsid w:val="00891CBC"/>
    <w:rsid w:val="00891FB0"/>
    <w:rsid w:val="0089215E"/>
    <w:rsid w:val="008924C4"/>
    <w:rsid w:val="008925EC"/>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5FC3"/>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168"/>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C5C"/>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557"/>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939"/>
    <w:rsid w:val="0097539B"/>
    <w:rsid w:val="00975C91"/>
    <w:rsid w:val="00975D72"/>
    <w:rsid w:val="00975ED3"/>
    <w:rsid w:val="00976B89"/>
    <w:rsid w:val="00977318"/>
    <w:rsid w:val="0097757C"/>
    <w:rsid w:val="00977963"/>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2D13"/>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3C"/>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2D6"/>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7C8"/>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2AD"/>
    <w:rsid w:val="00BB4405"/>
    <w:rsid w:val="00BB450E"/>
    <w:rsid w:val="00BB4717"/>
    <w:rsid w:val="00BB4B4F"/>
    <w:rsid w:val="00BB58F1"/>
    <w:rsid w:val="00BB5913"/>
    <w:rsid w:val="00BB5B40"/>
    <w:rsid w:val="00BB5B68"/>
    <w:rsid w:val="00BB5B8A"/>
    <w:rsid w:val="00BB6023"/>
    <w:rsid w:val="00BB6235"/>
    <w:rsid w:val="00BB6337"/>
    <w:rsid w:val="00BB6C03"/>
    <w:rsid w:val="00BB6DCE"/>
    <w:rsid w:val="00BB71F4"/>
    <w:rsid w:val="00BB766C"/>
    <w:rsid w:val="00BB7EEF"/>
    <w:rsid w:val="00BC0244"/>
    <w:rsid w:val="00BC0602"/>
    <w:rsid w:val="00BC0CA9"/>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5C6"/>
    <w:rsid w:val="00BD6855"/>
    <w:rsid w:val="00BD6D85"/>
    <w:rsid w:val="00BD6DEA"/>
    <w:rsid w:val="00BD6E60"/>
    <w:rsid w:val="00BD7C73"/>
    <w:rsid w:val="00BE0044"/>
    <w:rsid w:val="00BE01AD"/>
    <w:rsid w:val="00BE04A5"/>
    <w:rsid w:val="00BE0A86"/>
    <w:rsid w:val="00BE0BE3"/>
    <w:rsid w:val="00BE0BEA"/>
    <w:rsid w:val="00BE1950"/>
    <w:rsid w:val="00BE2571"/>
    <w:rsid w:val="00BE2633"/>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432"/>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AD9"/>
    <w:rsid w:val="00C86D14"/>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AD1"/>
    <w:rsid w:val="00CB7E6A"/>
    <w:rsid w:val="00CB7ECA"/>
    <w:rsid w:val="00CB7F5E"/>
    <w:rsid w:val="00CC0119"/>
    <w:rsid w:val="00CC04B0"/>
    <w:rsid w:val="00CC091C"/>
    <w:rsid w:val="00CC0B00"/>
    <w:rsid w:val="00CC10BA"/>
    <w:rsid w:val="00CC11E1"/>
    <w:rsid w:val="00CC1266"/>
    <w:rsid w:val="00CC18C6"/>
    <w:rsid w:val="00CC1AFD"/>
    <w:rsid w:val="00CC2792"/>
    <w:rsid w:val="00CC29B3"/>
    <w:rsid w:val="00CC2BDE"/>
    <w:rsid w:val="00CC2F9B"/>
    <w:rsid w:val="00CC31EC"/>
    <w:rsid w:val="00CC43B2"/>
    <w:rsid w:val="00CC54F6"/>
    <w:rsid w:val="00CC5A45"/>
    <w:rsid w:val="00CC5BE8"/>
    <w:rsid w:val="00CC6244"/>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D6E"/>
    <w:rsid w:val="00CD70A8"/>
    <w:rsid w:val="00CD7156"/>
    <w:rsid w:val="00CD71C6"/>
    <w:rsid w:val="00CE035E"/>
    <w:rsid w:val="00CE08A5"/>
    <w:rsid w:val="00CE0C01"/>
    <w:rsid w:val="00CE0F1A"/>
    <w:rsid w:val="00CE1328"/>
    <w:rsid w:val="00CE18D1"/>
    <w:rsid w:val="00CE1BBC"/>
    <w:rsid w:val="00CE1CBE"/>
    <w:rsid w:val="00CE1D3C"/>
    <w:rsid w:val="00CE1F5A"/>
    <w:rsid w:val="00CE209D"/>
    <w:rsid w:val="00CE272F"/>
    <w:rsid w:val="00CE277A"/>
    <w:rsid w:val="00CE27D8"/>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0E6"/>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31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3BE"/>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6D"/>
    <w:rsid w:val="00D9209C"/>
    <w:rsid w:val="00D92719"/>
    <w:rsid w:val="00D92B1C"/>
    <w:rsid w:val="00D931C3"/>
    <w:rsid w:val="00D93E1C"/>
    <w:rsid w:val="00D943AD"/>
    <w:rsid w:val="00D94F01"/>
    <w:rsid w:val="00D94F7E"/>
    <w:rsid w:val="00D9517F"/>
    <w:rsid w:val="00D95B90"/>
    <w:rsid w:val="00D972DF"/>
    <w:rsid w:val="00D9746A"/>
    <w:rsid w:val="00D9783B"/>
    <w:rsid w:val="00D97B01"/>
    <w:rsid w:val="00D97C41"/>
    <w:rsid w:val="00D97EBB"/>
    <w:rsid w:val="00DA0680"/>
    <w:rsid w:val="00DA09FE"/>
    <w:rsid w:val="00DA0D82"/>
    <w:rsid w:val="00DA1542"/>
    <w:rsid w:val="00DA172A"/>
    <w:rsid w:val="00DA1753"/>
    <w:rsid w:val="00DA1F6B"/>
    <w:rsid w:val="00DA1F8E"/>
    <w:rsid w:val="00DA2A2F"/>
    <w:rsid w:val="00DA2BA1"/>
    <w:rsid w:val="00DA41AB"/>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17B"/>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348"/>
    <w:rsid w:val="00DE79CA"/>
    <w:rsid w:val="00DE7F6D"/>
    <w:rsid w:val="00DF04A4"/>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7C"/>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3AC"/>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9C6"/>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244"/>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BD"/>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25"/>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7D8"/>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67DC8"/>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CB6"/>
    <w:rsid w:val="00F74D16"/>
    <w:rsid w:val="00F74D22"/>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317"/>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77F"/>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CFB955D"/>
    <w:rsid w:val="1253440A"/>
    <w:rsid w:val="13858311"/>
    <w:rsid w:val="2BB76686"/>
    <w:rsid w:val="2C850CD5"/>
    <w:rsid w:val="2E08408E"/>
    <w:rsid w:val="2EB5DF36"/>
    <w:rsid w:val="4D4FE1B5"/>
    <w:rsid w:val="5113DEDF"/>
    <w:rsid w:val="5D81BC67"/>
    <w:rsid w:val="7355932A"/>
    <w:rsid w:val="790CE13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630735FF"/>
  <w15:docId w15:val="{F4999B3F-DC9C-474D-9E62-A2638102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BB58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vic.gov.au/strengthening-our-waste-and-recycling-system?redirectSrc=www.recycling.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layservice.com.au"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customer.service@delwp.vic.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Recycling%20Victoria\RV-Fact%20sheet-NoImag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FCD5FB699039E458FE421A539750A44" ma:contentTypeVersion="29" ma:contentTypeDescription="All project related information. The library can be used to manage multiple projects." ma:contentTypeScope="" ma:versionID="a6c4c72a0ec884435cf6199b9de9506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0bad24e-93ca-4bdf-a8fb-a9c5f5eb1c26" xmlns:ns6="12be4628-df37-4804-9a46-96c75589f43b" targetNamespace="http://schemas.microsoft.com/office/2006/metadata/properties" ma:root="true" ma:fieldsID="dbf242a25ad1d3f41d3d0d1d4733f0ac" ns1:_="" ns2:_="" ns3:_="" ns4:_="" ns5:_="" ns6:_="">
    <xsd:import namespace="http://schemas.microsoft.com/sharepoint/v3"/>
    <xsd:import namespace="9fd47c19-1c4a-4d7d-b342-c10cef269344"/>
    <xsd:import namespace="a5f32de4-e402-4188-b034-e71ca7d22e54"/>
    <xsd:import namespace="05aa45cf-ed89-4733-97a8-db4ce5c51511"/>
    <xsd:import namespace="a0bad24e-93ca-4bdf-a8fb-a9c5f5eb1c26"/>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2:ProjName" minOccurs="0"/>
                <xsd:element ref="ns6:SharedWithUsers" minOccurs="0"/>
                <xsd:element ref="ns6: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ad24e-93ca-4bdf-a8fb-a9c5f5eb1c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DOCID861-353744187-250</_dlc_DocId>
    <_dlc_DocIdUrl xmlns="a5f32de4-e402-4188-b034-e71ca7d22e54">
      <Url>https://delwpvicgovau.sharepoint.com/sites/ecm_861/_layouts/15/DocIdRedir.aspx?ID=DOCID861-353744187-250</Url>
      <Description>DOCID861-353744187-250</Description>
    </_dlc_DocIdUrl>
    <DLCPolicyLabelValue xmlns="05aa45cf-ed89-4733-97a8-db4ce5c51511">Version 0.15</DLCPolicyLabelValue>
    <SharedWithUsers xmlns="12be4628-df37-4804-9a46-96c75589f43b">
      <UserInfo>
        <DisplayName>Slavka Scott (DEECA)</DisplayName>
        <AccountId>190</AccountId>
        <AccountType/>
      </UserInfo>
    </SharedWithUsers>
  </documentManagement>
</p:properti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A645E-E27B-4C2F-BBC4-DF8D6C862907}">
  <ds:schemaRefs>
    <ds:schemaRef ds:uri="office.server.policy"/>
  </ds:schemaRefs>
</ds:datastoreItem>
</file>

<file path=customXml/itemProps2.xml><?xml version="1.0" encoding="utf-8"?>
<ds:datastoreItem xmlns:ds="http://schemas.openxmlformats.org/officeDocument/2006/customXml" ds:itemID="{2BB117FB-4E57-4545-AB4C-A0DC23926352}">
  <ds:schemaRefs>
    <ds:schemaRef ds:uri="http://schemas.microsoft.com/sharepoint/events"/>
  </ds:schemaRefs>
</ds:datastoreItem>
</file>

<file path=customXml/itemProps3.xml><?xml version="1.0" encoding="utf-8"?>
<ds:datastoreItem xmlns:ds="http://schemas.openxmlformats.org/officeDocument/2006/customXml" ds:itemID="{F657A42A-9D6D-45D6-8C09-42CFAF139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0bad24e-93ca-4bdf-a8fb-a9c5f5eb1c26"/>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5.xml><?xml version="1.0" encoding="utf-8"?>
<ds:datastoreItem xmlns:ds="http://schemas.openxmlformats.org/officeDocument/2006/customXml" ds:itemID="{D1DBE2D6-69BB-46CB-B768-9E3D01558E2E}">
  <ds:schemaRefs>
    <ds:schemaRef ds:uri="a5f32de4-e402-4188-b034-e71ca7d22e54"/>
    <ds:schemaRef ds:uri="http://purl.org/dc/elements/1.1/"/>
    <ds:schemaRef ds:uri="http://schemas.microsoft.com/office/2006/metadata/properties"/>
    <ds:schemaRef ds:uri="12be4628-df37-4804-9a46-96c75589f43b"/>
    <ds:schemaRef ds:uri="http://schemas.microsoft.com/sharepoint/v3"/>
    <ds:schemaRef ds:uri="http://purl.org/dc/terms/"/>
    <ds:schemaRef ds:uri="05aa45cf-ed89-4733-97a8-db4ce5c51511"/>
    <ds:schemaRef ds:uri="http://schemas.microsoft.com/office/infopath/2007/PartnerControls"/>
    <ds:schemaRef ds:uri="http://schemas.microsoft.com/office/2006/documentManagement/types"/>
    <ds:schemaRef ds:uri="http://schemas.openxmlformats.org/package/2006/metadata/core-properties"/>
    <ds:schemaRef ds:uri="a0bad24e-93ca-4bdf-a8fb-a9c5f5eb1c26"/>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1262B57A-8CA0-45B7-B72D-4ACDDDD94C97}">
  <ds:schemaRefs>
    <ds:schemaRef ds:uri="Microsoft.SharePoint.Taxonomy.ContentTypeSync"/>
  </ds:schemaRefs>
</ds:datastoreItem>
</file>

<file path=customXml/itemProps7.xml><?xml version="1.0" encoding="utf-8"?>
<ds:datastoreItem xmlns:ds="http://schemas.openxmlformats.org/officeDocument/2006/customXml" ds:itemID="{9881B414-95A9-421E-962C-A5E90CA76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RV-Fact sheet-NoImage.dotx</Template>
  <TotalTime>3</TotalTime>
  <Pages>5</Pages>
  <Words>2203</Words>
  <Characters>12293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Katherine S Lyttle (DELWP)</dc:creator>
  <cp:keywords/>
  <dc:description/>
  <cp:lastModifiedBy>Vanessa A Facey (DEECA)</cp:lastModifiedBy>
  <cp:revision>4</cp:revision>
  <cp:lastPrinted>2023-02-25T09:00:00Z</cp:lastPrinted>
  <dcterms:created xsi:type="dcterms:W3CDTF">2023-02-25T09:00:00Z</dcterms:created>
  <dcterms:modified xsi:type="dcterms:W3CDTF">2023-02-25T09:03:00Z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2023-02-17T04:48:02Z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370d049e-873f-40f8-a2e7-6e6762870174</vt:lpwstr>
  </property>
  <property fmtid="{D5CDD505-2E9C-101B-9397-08002B2CF9AE}" pid="24" name="MSIP_Label_4257e2ab-f512-40e2-9c9a-c64247360765_ContentBits">
    <vt:lpwstr>2</vt:lpwstr>
  </property>
  <property fmtid="{D5CDD505-2E9C-101B-9397-08002B2CF9AE}" pid="25" name="ContentTypeId">
    <vt:lpwstr>0x0101009298E819CE1EBB4F8D2096B3E0F0C2911D00CFCD5FB699039E458FE421A539750A44</vt:lpwstr>
  </property>
  <property fmtid="{D5CDD505-2E9C-101B-9397-08002B2CF9AE}" pid="26" name="Records Class Project">
    <vt:lpwstr>14</vt:lpwstr>
  </property>
  <property fmtid="{D5CDD505-2E9C-101B-9397-08002B2CF9AE}" pid="27" name="Dissemination Limiting Marker">
    <vt:lpwstr>1;#FOUO|955eb6fc-b35a-4808-8aa5-31e514fa3f26</vt:lpwstr>
  </property>
  <property fmtid="{D5CDD505-2E9C-101B-9397-08002B2CF9AE}" pid="28" name="Security Classification">
    <vt:lpwstr>2;#Unclassified|7fa379f4-4aba-4692-ab80-7d39d3a23cf4</vt:lpwstr>
  </property>
  <property fmtid="{D5CDD505-2E9C-101B-9397-08002B2CF9AE}" pid="29" name="_dlc_DocIdItemGuid">
    <vt:lpwstr>2cbde402-e554-4d4f-8488-ac4dca4017b2</vt:lpwstr>
  </property>
  <property fmtid="{D5CDD505-2E9C-101B-9397-08002B2CF9AE}" pid="30" name="g91c59fb10974fa1a03160ad8386f0f4">
    <vt:lpwstr/>
  </property>
  <property fmtid="{D5CDD505-2E9C-101B-9397-08002B2CF9AE}" pid="31" name="Department Document Type">
    <vt:lpwstr/>
  </property>
  <property fmtid="{D5CDD505-2E9C-101B-9397-08002B2CF9AE}" pid="32" name="Record_x0020_Purpose">
    <vt:lpwstr/>
  </property>
  <property fmtid="{D5CDD505-2E9C-101B-9397-08002B2CF9AE}" pid="33" name="Record Purpose">
    <vt:lpwstr/>
  </property>
</Properties>
</file>