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9CCFC" w14:textId="7DEBF40D" w:rsidR="00B263EE" w:rsidRPr="00934E92" w:rsidRDefault="001653E7" w:rsidP="001653E7">
      <w:pPr>
        <w:pStyle w:val="Title"/>
      </w:pPr>
      <w:r w:rsidRPr="00934E92">
        <w:t>Victorian Government Response to the Commissioner for Better Regulation’s Final Report on Addressing Supply Chain Challenges</w:t>
      </w:r>
    </w:p>
    <w:p w14:paraId="0833EA15" w14:textId="77777777" w:rsidR="001653E7" w:rsidRPr="00934E92" w:rsidRDefault="001653E7" w:rsidP="001653E7">
      <w:bookmarkStart w:id="0" w:name="_Hlk92973980"/>
      <w:r w:rsidRPr="00934E92">
        <w:t xml:space="preserve">The coronavirus (COVID-19) pandemic has significantly changed the environment in which many industries operate, including Victoria’s building and construction sector. In particular, a shortage of critical building materials, such as timber, has posed significant challenges for builders and homeowners. </w:t>
      </w:r>
    </w:p>
    <w:p w14:paraId="4AA7D6C2" w14:textId="1E7F767F" w:rsidR="001653E7" w:rsidRPr="00934E92" w:rsidRDefault="001653E7" w:rsidP="001653E7">
      <w:r w:rsidRPr="00934E92">
        <w:t xml:space="preserve">In June 2021, the Minister for Regulatory Reform requested that the Commissioner for Better Regulation identify any regulatory barriers in the supply chain for timber as Victorian building and construction businesses continue to experience significant delays. The Government received the Commissioner’s final report </w:t>
      </w:r>
      <w:r w:rsidR="00FD55F4">
        <w:t>i</w:t>
      </w:r>
      <w:r w:rsidRPr="00934E92">
        <w:t xml:space="preserve">n </w:t>
      </w:r>
      <w:r w:rsidR="00FD55F4">
        <w:t>October</w:t>
      </w:r>
      <w:r w:rsidRPr="00934E92">
        <w:t xml:space="preserve"> 2021, which made 10 recommendations. </w:t>
      </w:r>
    </w:p>
    <w:p w14:paraId="23E6B3FC" w14:textId="77777777" w:rsidR="001653E7" w:rsidRPr="00934E92" w:rsidRDefault="001653E7" w:rsidP="001653E7">
      <w:r w:rsidRPr="00934E92">
        <w:t xml:space="preserve">The Report’s recommendations identified strategies to alleviate supply chain issues, manage market expectations in the short term and provide incentives to protect against future shocks in the long term. The Report did not identify any regulatory barriers in the supply chain for timber. Instead, it found that delays and shortages in sourcing timber were the result of unprecedented demand for construction in response to rebuilding our society post-bushfires, and the economic stimulus packages provided by governments around the world to boost post-COVID recovery. At the same time, there have been disruptions in global trade and maritime freight due to border closures and port congestion, hampering efforts to import additional timber. The Report highlighted that “the impacts of the current disruptions will ease as market conditions correct” (pp. iii). </w:t>
      </w:r>
    </w:p>
    <w:p w14:paraId="6493866A" w14:textId="0F1CF175" w:rsidR="001653E7" w:rsidRPr="00934E92" w:rsidRDefault="001653E7" w:rsidP="001653E7">
      <w:r w:rsidRPr="00934E92">
        <w:t>The Victorian Government supports recommendations that reduce current supply pressures and increase opportunities into future development of alternative building materials, whilst protecting the rights of affected consumers</w:t>
      </w:r>
      <w:r w:rsidR="00820E3E" w:rsidRPr="00934E92">
        <w:t xml:space="preserve">. </w:t>
      </w:r>
    </w:p>
    <w:bookmarkEnd w:id="0"/>
    <w:p w14:paraId="0A986F5F" w14:textId="77777777" w:rsidR="001653E7" w:rsidRPr="00934E92" w:rsidRDefault="001653E7" w:rsidP="001653E7">
      <w:r w:rsidRPr="00934E92">
        <w:t>As the market recovers from the initial timber price spike, the Report’s recommendation for a cost escalation clause is not supported as it could potentially increase risks and costs to consumers. It will also be of limited benefit to the building and construction sector as it would not operate retrospectively.</w:t>
      </w:r>
    </w:p>
    <w:p w14:paraId="1FD8786E" w14:textId="77777777" w:rsidR="001653E7" w:rsidRPr="00934E92" w:rsidRDefault="001653E7" w:rsidP="001653E7">
      <w:r w:rsidRPr="00934E92">
        <w:t xml:space="preserve">The Government thanks the Commissioner for Better Regulation for her report. </w:t>
      </w:r>
    </w:p>
    <w:p w14:paraId="25454E15" w14:textId="77777777" w:rsidR="001653E7" w:rsidRPr="00934E92" w:rsidRDefault="001653E7" w:rsidP="001653E7">
      <w:r w:rsidRPr="00934E92">
        <w:t xml:space="preserve">A response to each of the recommendations follows: </w:t>
      </w:r>
    </w:p>
    <w:p w14:paraId="47820B17" w14:textId="77777777" w:rsidR="001653E7" w:rsidRPr="00934E92" w:rsidRDefault="001653E7" w:rsidP="001653E7">
      <w:pPr>
        <w:sectPr w:rsidR="001653E7" w:rsidRPr="00934E92" w:rsidSect="001653E7">
          <w:headerReference w:type="default" r:id="rId9"/>
          <w:footerReference w:type="even" r:id="rId10"/>
          <w:footerReference w:type="default" r:id="rId11"/>
          <w:type w:val="oddPage"/>
          <w:pgSz w:w="11906" w:h="16838" w:code="9"/>
          <w:pgMar w:top="1440" w:right="1440" w:bottom="1728" w:left="1440" w:header="547" w:footer="691" w:gutter="0"/>
          <w:pgNumType w:start="1"/>
          <w:cols w:space="708"/>
          <w:docGrid w:linePitch="360"/>
        </w:sectPr>
      </w:pPr>
    </w:p>
    <w:tbl>
      <w:tblPr>
        <w:tblStyle w:val="DTFtexttable"/>
        <w:tblW w:w="14490" w:type="dxa"/>
        <w:tblLook w:val="06A0" w:firstRow="1" w:lastRow="0" w:firstColumn="1" w:lastColumn="0" w:noHBand="1" w:noVBand="1"/>
      </w:tblPr>
      <w:tblGrid>
        <w:gridCol w:w="7848"/>
        <w:gridCol w:w="6642"/>
      </w:tblGrid>
      <w:tr w:rsidR="001653E7" w:rsidRPr="00934E92" w14:paraId="1394DB2F" w14:textId="77777777" w:rsidTr="004A7C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48" w:type="dxa"/>
          </w:tcPr>
          <w:p w14:paraId="04E35212" w14:textId="689196EB" w:rsidR="001653E7" w:rsidRPr="00934E92" w:rsidRDefault="001653E7" w:rsidP="001653E7">
            <w:pPr>
              <w:pStyle w:val="Tableheader"/>
              <w:rPr>
                <w:lang w:val="en-AU"/>
              </w:rPr>
            </w:pPr>
            <w:r w:rsidRPr="00934E92">
              <w:rPr>
                <w:lang w:val="en-AU"/>
              </w:rPr>
              <w:lastRenderedPageBreak/>
              <w:t>Recommendations to alleviate supply issues in the short-term</w:t>
            </w:r>
          </w:p>
        </w:tc>
        <w:tc>
          <w:tcPr>
            <w:tcW w:w="6642" w:type="dxa"/>
          </w:tcPr>
          <w:p w14:paraId="1FD04286" w14:textId="6A1016D8" w:rsidR="001653E7" w:rsidRPr="00934E92" w:rsidRDefault="001653E7" w:rsidP="001653E7">
            <w:pPr>
              <w:pStyle w:val="Tableheader"/>
              <w:cnfStyle w:val="100000000000" w:firstRow="1" w:lastRow="0" w:firstColumn="0" w:lastColumn="0" w:oddVBand="0" w:evenVBand="0" w:oddHBand="0" w:evenHBand="0" w:firstRowFirstColumn="0" w:firstRowLastColumn="0" w:lastRowFirstColumn="0" w:lastRowLastColumn="0"/>
              <w:rPr>
                <w:lang w:val="en-AU"/>
              </w:rPr>
            </w:pPr>
            <w:r w:rsidRPr="00934E92">
              <w:rPr>
                <w:lang w:val="en-AU"/>
              </w:rPr>
              <w:t xml:space="preserve">Government </w:t>
            </w:r>
            <w:r w:rsidR="00805264" w:rsidRPr="00934E92">
              <w:rPr>
                <w:lang w:val="en-AU"/>
              </w:rPr>
              <w:t>response</w:t>
            </w:r>
          </w:p>
        </w:tc>
      </w:tr>
      <w:tr w:rsidR="001653E7" w:rsidRPr="00934E92" w14:paraId="244CEA1B" w14:textId="77777777" w:rsidTr="004A7C2A">
        <w:tc>
          <w:tcPr>
            <w:cnfStyle w:val="001000000000" w:firstRow="0" w:lastRow="0" w:firstColumn="1" w:lastColumn="0" w:oddVBand="0" w:evenVBand="0" w:oddHBand="0" w:evenHBand="0" w:firstRowFirstColumn="0" w:firstRowLastColumn="0" w:lastRowFirstColumn="0" w:lastRowLastColumn="0"/>
            <w:tcW w:w="7848" w:type="dxa"/>
          </w:tcPr>
          <w:p w14:paraId="21A193D0" w14:textId="77777777" w:rsidR="001653E7" w:rsidRPr="00934E92" w:rsidRDefault="001653E7" w:rsidP="004A7C2A">
            <w:pPr>
              <w:pStyle w:val="Reconumber"/>
              <w:rPr>
                <w:lang w:val="en-AU"/>
              </w:rPr>
            </w:pPr>
            <w:r w:rsidRPr="00934E92">
              <w:rPr>
                <w:lang w:val="en-AU"/>
              </w:rPr>
              <w:t xml:space="preserve">Recommendation 1 </w:t>
            </w:r>
          </w:p>
          <w:p w14:paraId="4EB0540D" w14:textId="77777777" w:rsidR="001653E7" w:rsidRPr="00934E92" w:rsidRDefault="001653E7" w:rsidP="001653E7">
            <w:pPr>
              <w:pStyle w:val="Tabletext"/>
              <w:rPr>
                <w:lang w:val="en-AU"/>
              </w:rPr>
            </w:pPr>
            <w:r w:rsidRPr="00934E92">
              <w:rPr>
                <w:lang w:val="en-AU"/>
              </w:rPr>
              <w:t>That the Victorian Government use its international networks through Global Victoria to prioritise assistance to industry to:</w:t>
            </w:r>
          </w:p>
          <w:p w14:paraId="5D95471F" w14:textId="77777777" w:rsidR="001653E7" w:rsidRPr="00934E92" w:rsidRDefault="001653E7" w:rsidP="001653E7">
            <w:pPr>
              <w:pStyle w:val="ListBullet"/>
            </w:pPr>
            <w:r w:rsidRPr="00934E92">
              <w:t>source building imports from new markets (for softwood timber these could include the Baltic States, Scandinavia and Eastern Europe); and</w:t>
            </w:r>
          </w:p>
          <w:p w14:paraId="42D64648" w14:textId="77777777" w:rsidR="001653E7" w:rsidRPr="00934E92" w:rsidRDefault="001653E7" w:rsidP="001653E7">
            <w:pPr>
              <w:pStyle w:val="ListBullet"/>
            </w:pPr>
            <w:r w:rsidRPr="00934E92">
              <w:t>access maritime freight for transport to Australia.</w:t>
            </w:r>
          </w:p>
          <w:p w14:paraId="50A95F02" w14:textId="3152FFB7" w:rsidR="001653E7" w:rsidRPr="00934E92" w:rsidRDefault="001653E7" w:rsidP="001653E7">
            <w:pPr>
              <w:pStyle w:val="Tabletext"/>
              <w:rPr>
                <w:lang w:val="en-AU"/>
              </w:rPr>
            </w:pPr>
            <w:r w:rsidRPr="00934E92">
              <w:rPr>
                <w:lang w:val="en-AU"/>
              </w:rPr>
              <w:t>Such efforts would be significantly enhanced through collaboration with the Commonwealth Government’s international networks including Austrade offices and embassy officials.</w:t>
            </w:r>
          </w:p>
        </w:tc>
        <w:tc>
          <w:tcPr>
            <w:tcW w:w="6642" w:type="dxa"/>
          </w:tcPr>
          <w:p w14:paraId="5828D4DD" w14:textId="1E17F58A" w:rsidR="001653E7" w:rsidRPr="00934E92" w:rsidRDefault="001653E7" w:rsidP="004A7C2A">
            <w:pPr>
              <w:pStyle w:val="Tabletextbold"/>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Support in part</w:t>
            </w:r>
          </w:p>
          <w:p w14:paraId="0CAEADC4" w14:textId="317B03C5" w:rsidR="001653E7" w:rsidRPr="00934E92" w:rsidRDefault="001653E7" w:rsidP="001653E7">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The Victorian Government’s international network does not have a remit to source imports on behalf of industry. DJPR will consult with industry to better understand the need for government assistance, and if required, work with the Commonwealth Government to explore options to help industry make better connections with international markets. </w:t>
            </w:r>
          </w:p>
        </w:tc>
      </w:tr>
      <w:tr w:rsidR="001653E7" w:rsidRPr="00934E92" w14:paraId="53DD8716" w14:textId="77777777" w:rsidTr="004A7C2A">
        <w:tc>
          <w:tcPr>
            <w:cnfStyle w:val="001000000000" w:firstRow="0" w:lastRow="0" w:firstColumn="1" w:lastColumn="0" w:oddVBand="0" w:evenVBand="0" w:oddHBand="0" w:evenHBand="0" w:firstRowFirstColumn="0" w:firstRowLastColumn="0" w:lastRowFirstColumn="0" w:lastRowLastColumn="0"/>
            <w:tcW w:w="7848" w:type="dxa"/>
          </w:tcPr>
          <w:p w14:paraId="74944296" w14:textId="77777777" w:rsidR="001653E7" w:rsidRPr="00934E92" w:rsidRDefault="001653E7" w:rsidP="004A7C2A">
            <w:pPr>
              <w:pStyle w:val="Reconumber"/>
              <w:rPr>
                <w:lang w:val="en-AU"/>
              </w:rPr>
            </w:pPr>
            <w:r w:rsidRPr="00934E92">
              <w:rPr>
                <w:lang w:val="en-AU"/>
              </w:rPr>
              <w:t>Recommendation 2</w:t>
            </w:r>
          </w:p>
          <w:p w14:paraId="76CB6E66" w14:textId="77777777" w:rsidR="001653E7" w:rsidRPr="00934E92" w:rsidRDefault="001653E7" w:rsidP="001653E7">
            <w:pPr>
              <w:pStyle w:val="Tabletext"/>
              <w:rPr>
                <w:lang w:val="en-AU"/>
              </w:rPr>
            </w:pPr>
            <w:r w:rsidRPr="00934E92">
              <w:rPr>
                <w:lang w:val="en-AU"/>
              </w:rPr>
              <w:t>That DJPR examines opportunities for timber supply firms to source such surplus structural timber that may be available in Victoria. This could include:</w:t>
            </w:r>
          </w:p>
          <w:p w14:paraId="75572D45" w14:textId="77777777" w:rsidR="001653E7" w:rsidRPr="00934E92" w:rsidRDefault="001653E7" w:rsidP="001653E7">
            <w:pPr>
              <w:pStyle w:val="ListBullet"/>
            </w:pPr>
            <w:r w:rsidRPr="00934E92">
              <w:t>any structural timber held in storage; and</w:t>
            </w:r>
          </w:p>
          <w:p w14:paraId="2C70B7C3" w14:textId="77777777" w:rsidR="001653E7" w:rsidRPr="00934E92" w:rsidRDefault="001653E7" w:rsidP="001653E7">
            <w:pPr>
              <w:pStyle w:val="ListBullet"/>
            </w:pPr>
            <w:r w:rsidRPr="00934E92">
              <w:t>any mature softwood timber that is currently due for harvest.</w:t>
            </w:r>
          </w:p>
          <w:p w14:paraId="01551CE9" w14:textId="59C63665" w:rsidR="001653E7" w:rsidRPr="00934E92" w:rsidRDefault="001653E7" w:rsidP="001653E7">
            <w:pPr>
              <w:pStyle w:val="Tabletext"/>
              <w:rPr>
                <w:lang w:val="en-AU"/>
              </w:rPr>
            </w:pPr>
            <w:r w:rsidRPr="00934E92">
              <w:rPr>
                <w:lang w:val="en-AU"/>
              </w:rPr>
              <w:t>This recommendation is made noting that the overall amounts of structural timber available are likely to be small, but working on the premise that where possible, all potential sources of timber should be explored.</w:t>
            </w:r>
          </w:p>
        </w:tc>
        <w:tc>
          <w:tcPr>
            <w:tcW w:w="6642" w:type="dxa"/>
          </w:tcPr>
          <w:p w14:paraId="05050190" w14:textId="77777777" w:rsidR="001653E7" w:rsidRPr="00934E92" w:rsidRDefault="001653E7" w:rsidP="004A7C2A">
            <w:pPr>
              <w:pStyle w:val="Tabletextbold"/>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Support in principle </w:t>
            </w:r>
          </w:p>
          <w:p w14:paraId="3942D476" w14:textId="2C199CEC" w:rsidR="001653E7" w:rsidRPr="00934E92" w:rsidRDefault="001653E7" w:rsidP="001653E7">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The Government notes that industry have made significant efforts in sourcing and supplying all surplus structural timber in these challenging times.</w:t>
            </w:r>
          </w:p>
        </w:tc>
      </w:tr>
    </w:tbl>
    <w:p w14:paraId="6F50F334" w14:textId="4541899A" w:rsidR="00345296" w:rsidRPr="00934E92" w:rsidRDefault="00345296" w:rsidP="00820E3E">
      <w:pPr>
        <w:pStyle w:val="Spacer"/>
      </w:pPr>
    </w:p>
    <w:tbl>
      <w:tblPr>
        <w:tblStyle w:val="DTFtexttable"/>
        <w:tblW w:w="14490" w:type="dxa"/>
        <w:tblLook w:val="06A0" w:firstRow="1" w:lastRow="0" w:firstColumn="1" w:lastColumn="0" w:noHBand="1" w:noVBand="1"/>
      </w:tblPr>
      <w:tblGrid>
        <w:gridCol w:w="7848"/>
        <w:gridCol w:w="6642"/>
      </w:tblGrid>
      <w:tr w:rsidR="00805264" w:rsidRPr="00934E92" w14:paraId="28992068" w14:textId="77777777" w:rsidTr="004A7C2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48" w:type="dxa"/>
          </w:tcPr>
          <w:p w14:paraId="3B2D00CE" w14:textId="05F87200" w:rsidR="00805264" w:rsidRPr="00934E92" w:rsidRDefault="00805264" w:rsidP="00805264">
            <w:pPr>
              <w:pStyle w:val="Tableheader"/>
              <w:rPr>
                <w:lang w:val="en-AU"/>
              </w:rPr>
            </w:pPr>
            <w:r w:rsidRPr="00934E92">
              <w:rPr>
                <w:rFonts w:cstheme="minorHAnsi"/>
                <w:szCs w:val="22"/>
                <w:lang w:val="en-AU"/>
              </w:rPr>
              <w:lastRenderedPageBreak/>
              <w:t xml:space="preserve">Recommendations to assist the industry and consumers to manage market conditions in the short term </w:t>
            </w:r>
          </w:p>
        </w:tc>
        <w:tc>
          <w:tcPr>
            <w:tcW w:w="6642" w:type="dxa"/>
          </w:tcPr>
          <w:p w14:paraId="4884C57D" w14:textId="3D60D133" w:rsidR="00805264" w:rsidRPr="00934E92" w:rsidRDefault="00805264" w:rsidP="00805264">
            <w:pPr>
              <w:pStyle w:val="Tableheader"/>
              <w:cnfStyle w:val="100000000000" w:firstRow="1" w:lastRow="0" w:firstColumn="0" w:lastColumn="0" w:oddVBand="0" w:evenVBand="0" w:oddHBand="0" w:evenHBand="0" w:firstRowFirstColumn="0" w:firstRowLastColumn="0" w:lastRowFirstColumn="0" w:lastRowLastColumn="0"/>
              <w:rPr>
                <w:lang w:val="en-AU"/>
              </w:rPr>
            </w:pPr>
            <w:r w:rsidRPr="00934E92">
              <w:rPr>
                <w:rFonts w:cstheme="minorHAnsi"/>
                <w:szCs w:val="22"/>
                <w:lang w:val="en-AU"/>
              </w:rPr>
              <w:t>Government response</w:t>
            </w:r>
          </w:p>
        </w:tc>
      </w:tr>
      <w:tr w:rsidR="00934E92" w:rsidRPr="00934E92" w14:paraId="5BD57D2E" w14:textId="77777777" w:rsidTr="004A7C2A">
        <w:tc>
          <w:tcPr>
            <w:cnfStyle w:val="001000000000" w:firstRow="0" w:lastRow="0" w:firstColumn="1" w:lastColumn="0" w:oddVBand="0" w:evenVBand="0" w:oddHBand="0" w:evenHBand="0" w:firstRowFirstColumn="0" w:firstRowLastColumn="0" w:lastRowFirstColumn="0" w:lastRowLastColumn="0"/>
            <w:tcW w:w="7848" w:type="dxa"/>
          </w:tcPr>
          <w:p w14:paraId="363D350D" w14:textId="77777777" w:rsidR="00805264" w:rsidRPr="00934E92" w:rsidRDefault="00805264" w:rsidP="004A7C2A">
            <w:pPr>
              <w:pStyle w:val="Reconumber"/>
              <w:rPr>
                <w:lang w:val="en-AU"/>
              </w:rPr>
            </w:pPr>
            <w:r w:rsidRPr="00934E92">
              <w:rPr>
                <w:lang w:val="en-AU"/>
              </w:rPr>
              <w:t>Recommendation 3</w:t>
            </w:r>
          </w:p>
          <w:p w14:paraId="6529005F" w14:textId="77777777" w:rsidR="00805264" w:rsidRPr="00934E92" w:rsidRDefault="00805264" w:rsidP="00805264">
            <w:pPr>
              <w:pStyle w:val="Tabletext"/>
              <w:rPr>
                <w:lang w:val="en-AU"/>
              </w:rPr>
            </w:pPr>
            <w:r w:rsidRPr="00934E92">
              <w:rPr>
                <w:lang w:val="en-AU"/>
              </w:rPr>
              <w:t>That CAV and other Government agencies work together with industry stakeholders to prepare and disseminate communication materials:</w:t>
            </w:r>
          </w:p>
          <w:p w14:paraId="710035BE" w14:textId="77777777" w:rsidR="00805264" w:rsidRPr="00934E92" w:rsidRDefault="00805264" w:rsidP="00805264">
            <w:pPr>
              <w:pStyle w:val="ListBullet"/>
            </w:pPr>
            <w:r w:rsidRPr="00934E92">
              <w:t>to improve consumer awareness of the current supply chain issues and their potential impacts on the cost and timing of construction projects; and</w:t>
            </w:r>
          </w:p>
          <w:p w14:paraId="301AB62E" w14:textId="77777777" w:rsidR="00805264" w:rsidRPr="00934E92" w:rsidRDefault="00805264" w:rsidP="00805264">
            <w:pPr>
              <w:pStyle w:val="ListBullet"/>
            </w:pPr>
            <w:r w:rsidRPr="00934E92">
              <w:t>to assist small and medium builders to manage supply shortages, price rises and their implications for contractual obligations.</w:t>
            </w:r>
          </w:p>
          <w:p w14:paraId="0BCBDBCE" w14:textId="77777777" w:rsidR="00805264" w:rsidRPr="00934E92" w:rsidRDefault="00805264" w:rsidP="00805264">
            <w:pPr>
              <w:pStyle w:val="Tabletext"/>
              <w:rPr>
                <w:lang w:val="en-AU"/>
              </w:rPr>
            </w:pPr>
            <w:r w:rsidRPr="00934E92">
              <w:rPr>
                <w:lang w:val="en-AU"/>
              </w:rPr>
              <w:t>The following agencies should be involved in this work:</w:t>
            </w:r>
          </w:p>
          <w:p w14:paraId="26BC2031" w14:textId="77777777" w:rsidR="00805264" w:rsidRPr="00934E92" w:rsidRDefault="00805264" w:rsidP="00805264">
            <w:pPr>
              <w:pStyle w:val="ListBullet"/>
              <w:contextualSpacing/>
            </w:pPr>
            <w:r w:rsidRPr="00934E92">
              <w:t>Domestic Building Dispute Resolution Victoria</w:t>
            </w:r>
          </w:p>
          <w:p w14:paraId="102B71F9" w14:textId="77777777" w:rsidR="00805264" w:rsidRPr="00934E92" w:rsidRDefault="00805264" w:rsidP="00805264">
            <w:pPr>
              <w:pStyle w:val="ListBullet"/>
              <w:contextualSpacing/>
            </w:pPr>
            <w:r w:rsidRPr="00934E92">
              <w:t>Victorian Building Authority</w:t>
            </w:r>
          </w:p>
          <w:p w14:paraId="1B98BB4C" w14:textId="7AF47B4F" w:rsidR="00805264" w:rsidRPr="00934E92" w:rsidRDefault="00805264" w:rsidP="00805264">
            <w:pPr>
              <w:pStyle w:val="ListBullet"/>
              <w:contextualSpacing/>
            </w:pPr>
            <w:r w:rsidRPr="00934E92">
              <w:t>Business Victoria</w:t>
            </w:r>
          </w:p>
        </w:tc>
        <w:tc>
          <w:tcPr>
            <w:tcW w:w="6642" w:type="dxa"/>
          </w:tcPr>
          <w:p w14:paraId="1557AF20" w14:textId="77777777" w:rsidR="00805264" w:rsidRPr="00934E92" w:rsidRDefault="00805264" w:rsidP="004A7C2A">
            <w:pPr>
              <w:pStyle w:val="Tabletextbold"/>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Support in principle </w:t>
            </w:r>
          </w:p>
          <w:p w14:paraId="7920010E" w14:textId="0441F080" w:rsidR="00805264" w:rsidRPr="00934E92" w:rsidRDefault="00805264" w:rsidP="00805264">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The Government supports the creation of communication materials to raise awareness for both consumers and builders and notes the important role that industry associations have in advising the sector</w:t>
            </w:r>
            <w:r w:rsidR="00820E3E" w:rsidRPr="00934E92">
              <w:rPr>
                <w:lang w:val="en-AU"/>
              </w:rPr>
              <w:t xml:space="preserve">. </w:t>
            </w:r>
          </w:p>
        </w:tc>
      </w:tr>
      <w:tr w:rsidR="00805264" w:rsidRPr="00934E92" w14:paraId="6D44DB49" w14:textId="77777777" w:rsidTr="004A7C2A">
        <w:trPr>
          <w:cantSplit w:val="0"/>
        </w:trPr>
        <w:tc>
          <w:tcPr>
            <w:cnfStyle w:val="001000000000" w:firstRow="0" w:lastRow="0" w:firstColumn="1" w:lastColumn="0" w:oddVBand="0" w:evenVBand="0" w:oddHBand="0" w:evenHBand="0" w:firstRowFirstColumn="0" w:firstRowLastColumn="0" w:lastRowFirstColumn="0" w:lastRowLastColumn="0"/>
            <w:tcW w:w="7848" w:type="dxa"/>
          </w:tcPr>
          <w:p w14:paraId="185FA079" w14:textId="77777777" w:rsidR="00805264" w:rsidRPr="00934E92" w:rsidRDefault="00805264" w:rsidP="004A7C2A">
            <w:pPr>
              <w:pStyle w:val="Reconumber"/>
              <w:rPr>
                <w:lang w:val="en-AU"/>
              </w:rPr>
            </w:pPr>
            <w:r w:rsidRPr="00934E92">
              <w:rPr>
                <w:lang w:val="en-AU"/>
              </w:rPr>
              <w:t>Recommendation 4</w:t>
            </w:r>
          </w:p>
          <w:p w14:paraId="279C06BE" w14:textId="77777777" w:rsidR="00805264" w:rsidRPr="00934E92" w:rsidRDefault="00805264" w:rsidP="00805264">
            <w:pPr>
              <w:pStyle w:val="Tabletext"/>
              <w:rPr>
                <w:bCs/>
                <w:lang w:val="en-AU"/>
              </w:rPr>
            </w:pPr>
            <w:r w:rsidRPr="00934E92">
              <w:rPr>
                <w:lang w:val="en-AU"/>
              </w:rPr>
              <w:t>CAV prioritises its consideration of proposals for the development of a cost escalation clause for domestic building contracts, giving due consideration to both builders’ and consumers’ interests by addressing the following:</w:t>
            </w:r>
          </w:p>
          <w:p w14:paraId="27BB7720" w14:textId="77777777" w:rsidR="00805264" w:rsidRPr="00934E92" w:rsidRDefault="00805264" w:rsidP="00805264">
            <w:pPr>
              <w:pStyle w:val="ListBullet"/>
            </w:pPr>
            <w:r w:rsidRPr="00934E92">
              <w:t>the potential impact on access to finance and consumers’ financial obligations;</w:t>
            </w:r>
          </w:p>
          <w:p w14:paraId="5DD5C0C5" w14:textId="77777777" w:rsidR="00805264" w:rsidRPr="00934E92" w:rsidRDefault="00805264" w:rsidP="00805264">
            <w:pPr>
              <w:pStyle w:val="ListBullet"/>
            </w:pPr>
            <w:r w:rsidRPr="00934E92">
              <w:t>cost-sharing arrangements, for example an agreement that only a certain percentage of any cost increases would be borne by the consumer, or a capped maximum total or percentage increase in a contract price that could be allowed;</w:t>
            </w:r>
          </w:p>
          <w:p w14:paraId="6C511D9B" w14:textId="77777777" w:rsidR="00805264" w:rsidRPr="00934E92" w:rsidRDefault="00805264" w:rsidP="00805264">
            <w:pPr>
              <w:pStyle w:val="ListBullet"/>
            </w:pPr>
            <w:r w:rsidRPr="00934E92">
              <w:t>applying a cost escalation clause for a fixed period, for example 12 months, with the ability to extend that period if the supply disruptions continue for a longer period;</w:t>
            </w:r>
          </w:p>
          <w:p w14:paraId="7EE9AD8E" w14:textId="77777777" w:rsidR="00805264" w:rsidRPr="00934E92" w:rsidRDefault="00805264" w:rsidP="00805264">
            <w:pPr>
              <w:pStyle w:val="ListBullet"/>
            </w:pPr>
            <w:r w:rsidRPr="00934E92">
              <w:lastRenderedPageBreak/>
              <w:t>allowing the clause to apply only where there is price increase for specified materials such as timber or steel;</w:t>
            </w:r>
          </w:p>
          <w:p w14:paraId="65B4104D" w14:textId="77777777" w:rsidR="00805264" w:rsidRPr="00934E92" w:rsidRDefault="00805264" w:rsidP="00805264">
            <w:pPr>
              <w:pStyle w:val="ListBullet"/>
            </w:pPr>
            <w:r w:rsidRPr="00934E92">
              <w:t>preventing the builder from charging a margin on top of any increase in the price of materials; and</w:t>
            </w:r>
          </w:p>
          <w:p w14:paraId="47E25395" w14:textId="77777777" w:rsidR="00805264" w:rsidRPr="00934E92" w:rsidRDefault="00805264" w:rsidP="00805264">
            <w:pPr>
              <w:pStyle w:val="ListBullet"/>
            </w:pPr>
            <w:r w:rsidRPr="00934E92">
              <w:t>requiring the builder to provide the consumer with receipts confirming the actual cost of materials.</w:t>
            </w:r>
          </w:p>
          <w:p w14:paraId="6085B246" w14:textId="50AD4D66" w:rsidR="00805264" w:rsidRPr="00934E92" w:rsidRDefault="00805264" w:rsidP="00805264">
            <w:pPr>
              <w:pStyle w:val="Tabletext"/>
              <w:rPr>
                <w:lang w:val="en-AU"/>
              </w:rPr>
            </w:pPr>
            <w:r w:rsidRPr="00934E92">
              <w:rPr>
                <w:lang w:val="en-AU"/>
              </w:rPr>
              <w:t>And, that CAV continues to monitor the impacts of supply chain disruptions on the cost of domestic building contracts.</w:t>
            </w:r>
          </w:p>
        </w:tc>
        <w:tc>
          <w:tcPr>
            <w:tcW w:w="6642" w:type="dxa"/>
          </w:tcPr>
          <w:p w14:paraId="237F2CD4" w14:textId="77777777" w:rsidR="00805264" w:rsidRPr="00934E92" w:rsidRDefault="00805264" w:rsidP="004A7C2A">
            <w:pPr>
              <w:pStyle w:val="Tabletextbold"/>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lastRenderedPageBreak/>
              <w:t xml:space="preserve">Do not support </w:t>
            </w:r>
          </w:p>
          <w:p w14:paraId="60E794A2" w14:textId="72F577A7" w:rsidR="00805264" w:rsidRPr="00934E92" w:rsidRDefault="00805264" w:rsidP="00805264">
            <w:pPr>
              <w:pStyle w:val="Tabletext"/>
              <w:spacing w:after="200"/>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The Government acknowledges that supply constraints have caused challenges for the building and construction industry. However, the Government does not support the development of a cost escalation clause for domestic building contracts (below $500,000). </w:t>
            </w:r>
          </w:p>
          <w:p w14:paraId="2F3DFFF7" w14:textId="75AF197E" w:rsidR="00805264" w:rsidRPr="00934E92" w:rsidRDefault="00805264" w:rsidP="00805264">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A cost escalation clause would unfairly increase uncertainty for consumers entering domestic building contracts, where it is unlikely that consumers would be in a financial position to absorb any cost escalation. The </w:t>
            </w:r>
            <w:r w:rsidRPr="00934E92">
              <w:rPr>
                <w:i/>
                <w:iCs/>
                <w:lang w:val="en-AU"/>
              </w:rPr>
              <w:t>Domestic Building Contracts Act 1995</w:t>
            </w:r>
            <w:r w:rsidRPr="00934E92">
              <w:rPr>
                <w:lang w:val="en-AU"/>
              </w:rPr>
              <w:t xml:space="preserve"> is designed to protect consumers and including a cost escalation clause would fail to protect their interests.</w:t>
            </w:r>
          </w:p>
          <w:p w14:paraId="083DA95A" w14:textId="77777777" w:rsidR="004A7C2A" w:rsidRPr="00934E92" w:rsidRDefault="004A7C2A" w:rsidP="004A7C2A">
            <w:pPr>
              <w:pStyle w:val="Spacer"/>
              <w:cnfStyle w:val="000000000000" w:firstRow="0" w:lastRow="0" w:firstColumn="0" w:lastColumn="0" w:oddVBand="0" w:evenVBand="0" w:oddHBand="0" w:evenHBand="0" w:firstRowFirstColumn="0" w:firstRowLastColumn="0" w:lastRowFirstColumn="0" w:lastRowLastColumn="0"/>
            </w:pPr>
          </w:p>
          <w:p w14:paraId="78917CE5" w14:textId="59BECFFB" w:rsidR="00805264" w:rsidRPr="00934E92" w:rsidRDefault="00805264" w:rsidP="00805264">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lastRenderedPageBreak/>
              <w:t>The Government notes that any potential benefit to the building and construction sector would be limited as it would not apply retrospectively to existing domestic building contracts which have already been impacted by unexpected delays and supply chain issues due to the coronavirus pandemic. Further, the use of a cost escalation clause is already available under section 15 of the</w:t>
            </w:r>
            <w:r w:rsidRPr="00934E92">
              <w:rPr>
                <w:i/>
                <w:iCs/>
                <w:lang w:val="en-AU"/>
              </w:rPr>
              <w:t xml:space="preserve"> Domestic Building Contracts Act 1995</w:t>
            </w:r>
            <w:r w:rsidRPr="00934E92">
              <w:rPr>
                <w:lang w:val="en-AU"/>
              </w:rPr>
              <w:t xml:space="preserve"> to domestic building contracts where the contract price is more than $500 000. This allows builders and developers involved in larger projects to appropriately allocate cost increases, reflecting both parties’ familiarity with construction processes. Ensuring that projects under $500 000 do not have cost escalation clauses protects consumers involved in smaller projects who are typically unfamiliar with such risks.</w:t>
            </w:r>
          </w:p>
          <w:p w14:paraId="0071590D" w14:textId="77777777" w:rsidR="00805264" w:rsidRPr="00934E92" w:rsidRDefault="00805264" w:rsidP="00805264">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Considering that the current challenges are now well known to the sector, appropriate provision for price increases in materials can now be factored into the cost estimates for new domestic building contracts.</w:t>
            </w:r>
          </w:p>
          <w:p w14:paraId="35AA9C8F" w14:textId="29648E3F" w:rsidR="00805264" w:rsidRPr="00934E92" w:rsidRDefault="00805264" w:rsidP="00805264">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The Government will continue to monitor the impacts of supply chain disruptions on the cost of domestic building contracts. </w:t>
            </w:r>
          </w:p>
        </w:tc>
      </w:tr>
      <w:tr w:rsidR="00805264" w:rsidRPr="00934E92" w14:paraId="74339865" w14:textId="77777777" w:rsidTr="004A7C2A">
        <w:tc>
          <w:tcPr>
            <w:cnfStyle w:val="001000000000" w:firstRow="0" w:lastRow="0" w:firstColumn="1" w:lastColumn="0" w:oddVBand="0" w:evenVBand="0" w:oddHBand="0" w:evenHBand="0" w:firstRowFirstColumn="0" w:firstRowLastColumn="0" w:lastRowFirstColumn="0" w:lastRowLastColumn="0"/>
            <w:tcW w:w="7848" w:type="dxa"/>
          </w:tcPr>
          <w:p w14:paraId="7A6A423D" w14:textId="77777777" w:rsidR="00805264" w:rsidRPr="00934E92" w:rsidRDefault="00805264" w:rsidP="004A7C2A">
            <w:pPr>
              <w:pStyle w:val="Reconumber"/>
              <w:rPr>
                <w:lang w:val="en-AU"/>
              </w:rPr>
            </w:pPr>
            <w:r w:rsidRPr="00934E92">
              <w:rPr>
                <w:lang w:val="en-AU"/>
              </w:rPr>
              <w:lastRenderedPageBreak/>
              <w:t>Recommendation 5</w:t>
            </w:r>
          </w:p>
          <w:p w14:paraId="597C1F8F" w14:textId="77777777" w:rsidR="00805264" w:rsidRPr="00934E92" w:rsidRDefault="00805264" w:rsidP="00805264">
            <w:pPr>
              <w:pStyle w:val="Tabletext"/>
              <w:rPr>
                <w:lang w:val="en-AU"/>
              </w:rPr>
            </w:pPr>
            <w:r w:rsidRPr="00934E92">
              <w:rPr>
                <w:lang w:val="en-AU"/>
              </w:rPr>
              <w:t>That Domestic Building Dispute Resolution Victoria (DBDRV) monitor consumer and builder concerns about the impacts of supply chain issues and that the Government makes available additional resources should there be a significant increase in demand for its dispute resolution services arising from the current supply challenges in the industry.</w:t>
            </w:r>
          </w:p>
          <w:p w14:paraId="7529F21A" w14:textId="09D3A577" w:rsidR="00805264" w:rsidRPr="00934E92" w:rsidRDefault="00805264" w:rsidP="00805264">
            <w:pPr>
              <w:pStyle w:val="Tabletext"/>
              <w:rPr>
                <w:b/>
                <w:lang w:val="en-AU"/>
              </w:rPr>
            </w:pPr>
            <w:r w:rsidRPr="00934E92">
              <w:rPr>
                <w:lang w:val="en-AU"/>
              </w:rPr>
              <w:t>DBDRV would use triage processes to identify and prioritise these types of disputes as efficiently as possible.</w:t>
            </w:r>
          </w:p>
        </w:tc>
        <w:tc>
          <w:tcPr>
            <w:tcW w:w="6642" w:type="dxa"/>
          </w:tcPr>
          <w:p w14:paraId="177F8B04" w14:textId="77777777" w:rsidR="00805264" w:rsidRPr="00934E92" w:rsidRDefault="00805264" w:rsidP="004A7C2A">
            <w:pPr>
              <w:pStyle w:val="Tabletextbold"/>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Support in principle </w:t>
            </w:r>
          </w:p>
          <w:p w14:paraId="6539C47B" w14:textId="1304E88E" w:rsidR="00805264" w:rsidRPr="00934E92" w:rsidRDefault="00805264" w:rsidP="00805264">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The Domestic Building Dispute Resolution Victoria (DBDRV) already has a triaging process in place to identify and prioritise issues that are lodged. DBDRV will continue to monitor the types of disputes raised, and if supply chain disputes increase significantly, options to provide additional resources will be assessed. </w:t>
            </w:r>
          </w:p>
        </w:tc>
      </w:tr>
    </w:tbl>
    <w:p w14:paraId="7E48ADC3" w14:textId="1B91B6C9" w:rsidR="001653E7" w:rsidRPr="00934E92" w:rsidRDefault="001653E7" w:rsidP="00820E3E">
      <w:pPr>
        <w:pStyle w:val="Spacer"/>
      </w:pPr>
    </w:p>
    <w:tbl>
      <w:tblPr>
        <w:tblStyle w:val="DTFtexttable"/>
        <w:tblW w:w="14508" w:type="dxa"/>
        <w:tblLook w:val="06A0" w:firstRow="1" w:lastRow="0" w:firstColumn="1" w:lastColumn="0" w:noHBand="1" w:noVBand="1"/>
      </w:tblPr>
      <w:tblGrid>
        <w:gridCol w:w="7848"/>
        <w:gridCol w:w="6660"/>
      </w:tblGrid>
      <w:tr w:rsidR="00805264" w:rsidRPr="00934E92" w14:paraId="5E7BE08A" w14:textId="77777777" w:rsidTr="004A7C2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48" w:type="dxa"/>
          </w:tcPr>
          <w:p w14:paraId="7BC1FD26" w14:textId="77777777" w:rsidR="00805264" w:rsidRPr="00934E92" w:rsidRDefault="00805264" w:rsidP="00805264">
            <w:pPr>
              <w:pStyle w:val="Tableheader"/>
              <w:rPr>
                <w:b w:val="0"/>
                <w:bCs/>
                <w:lang w:val="en-AU"/>
              </w:rPr>
            </w:pPr>
            <w:r w:rsidRPr="00934E92">
              <w:rPr>
                <w:lang w:val="en-AU"/>
              </w:rPr>
              <w:t>Recommendations to provide incentives to protect against future shocks over the medium to long-term</w:t>
            </w:r>
          </w:p>
        </w:tc>
        <w:tc>
          <w:tcPr>
            <w:tcW w:w="6660" w:type="dxa"/>
          </w:tcPr>
          <w:p w14:paraId="5C19A280" w14:textId="17447938" w:rsidR="00805264" w:rsidRPr="00934E92" w:rsidRDefault="00805264" w:rsidP="00805264">
            <w:pPr>
              <w:pStyle w:val="Tableheader"/>
              <w:cnfStyle w:val="100000000000" w:firstRow="1" w:lastRow="0" w:firstColumn="0" w:lastColumn="0" w:oddVBand="0" w:evenVBand="0" w:oddHBand="0" w:evenHBand="0" w:firstRowFirstColumn="0" w:firstRowLastColumn="0" w:lastRowFirstColumn="0" w:lastRowLastColumn="0"/>
              <w:rPr>
                <w:b w:val="0"/>
                <w:bCs/>
                <w:lang w:val="en-AU"/>
              </w:rPr>
            </w:pPr>
            <w:r w:rsidRPr="00934E92">
              <w:rPr>
                <w:lang w:val="en-AU"/>
              </w:rPr>
              <w:t xml:space="preserve">Government </w:t>
            </w:r>
            <w:r w:rsidR="00820E3E" w:rsidRPr="00934E92">
              <w:rPr>
                <w:lang w:val="en-AU"/>
              </w:rPr>
              <w:t>response</w:t>
            </w:r>
          </w:p>
        </w:tc>
      </w:tr>
      <w:tr w:rsidR="00934E92" w:rsidRPr="00934E92" w14:paraId="6F13CF08" w14:textId="77777777" w:rsidTr="004A7C2A">
        <w:tc>
          <w:tcPr>
            <w:cnfStyle w:val="001000000000" w:firstRow="0" w:lastRow="0" w:firstColumn="1" w:lastColumn="0" w:oddVBand="0" w:evenVBand="0" w:oddHBand="0" w:evenHBand="0" w:firstRowFirstColumn="0" w:firstRowLastColumn="0" w:lastRowFirstColumn="0" w:lastRowLastColumn="0"/>
            <w:tcW w:w="7848" w:type="dxa"/>
          </w:tcPr>
          <w:p w14:paraId="5161F861" w14:textId="77777777" w:rsidR="00805264" w:rsidRPr="00934E92" w:rsidRDefault="00805264" w:rsidP="004A7C2A">
            <w:pPr>
              <w:pStyle w:val="Reconumber"/>
              <w:rPr>
                <w:lang w:val="en-AU"/>
              </w:rPr>
            </w:pPr>
            <w:r w:rsidRPr="00934E92">
              <w:rPr>
                <w:lang w:val="en-AU"/>
              </w:rPr>
              <w:t>Recommendation 6</w:t>
            </w:r>
          </w:p>
          <w:p w14:paraId="368290CF" w14:textId="77777777" w:rsidR="00805264" w:rsidRPr="00934E92" w:rsidRDefault="00805264" w:rsidP="00820E3E">
            <w:pPr>
              <w:pStyle w:val="Tabletext"/>
              <w:rPr>
                <w:lang w:val="en-AU"/>
              </w:rPr>
            </w:pPr>
            <w:r w:rsidRPr="00934E92">
              <w:rPr>
                <w:lang w:val="en-AU"/>
              </w:rPr>
              <w:t>That DJPR continues to engage with industry to consider opportunities to develop further softwood plantation projects and other relevant initiatives to support the construction industry in the future.</w:t>
            </w:r>
          </w:p>
        </w:tc>
        <w:tc>
          <w:tcPr>
            <w:tcW w:w="6660" w:type="dxa"/>
          </w:tcPr>
          <w:p w14:paraId="49FA1A6F" w14:textId="77777777" w:rsidR="00805264" w:rsidRPr="00934E92" w:rsidRDefault="00805264" w:rsidP="004A7C2A">
            <w:pPr>
              <w:pStyle w:val="Tabletextbold"/>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Support </w:t>
            </w:r>
          </w:p>
          <w:p w14:paraId="74D01DCA" w14:textId="05F6A23C" w:rsidR="00805264" w:rsidRPr="00934E92" w:rsidRDefault="00805264" w:rsidP="00820E3E">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DJPR will continue to engage with industry in developing future softwood plantation projects.</w:t>
            </w:r>
          </w:p>
        </w:tc>
      </w:tr>
      <w:tr w:rsidR="004A7C2A" w:rsidRPr="00934E92" w14:paraId="5448F07F" w14:textId="77777777" w:rsidTr="004A7C2A">
        <w:tc>
          <w:tcPr>
            <w:cnfStyle w:val="001000000000" w:firstRow="0" w:lastRow="0" w:firstColumn="1" w:lastColumn="0" w:oddVBand="0" w:evenVBand="0" w:oddHBand="0" w:evenHBand="0" w:firstRowFirstColumn="0" w:firstRowLastColumn="0" w:lastRowFirstColumn="0" w:lastRowLastColumn="0"/>
            <w:tcW w:w="7848" w:type="dxa"/>
          </w:tcPr>
          <w:p w14:paraId="65FA6176" w14:textId="77777777" w:rsidR="00805264" w:rsidRPr="00934E92" w:rsidRDefault="00805264" w:rsidP="004A7C2A">
            <w:pPr>
              <w:pStyle w:val="Reconumber"/>
              <w:rPr>
                <w:lang w:val="en-AU"/>
              </w:rPr>
            </w:pPr>
            <w:r w:rsidRPr="00934E92">
              <w:rPr>
                <w:lang w:val="en-AU"/>
              </w:rPr>
              <w:t>Recommendation 7</w:t>
            </w:r>
          </w:p>
          <w:p w14:paraId="5179D9F0" w14:textId="77777777" w:rsidR="00805264" w:rsidRPr="00934E92" w:rsidRDefault="00805264" w:rsidP="00820E3E">
            <w:pPr>
              <w:pStyle w:val="Tabletext"/>
              <w:rPr>
                <w:lang w:val="en-AU"/>
              </w:rPr>
            </w:pPr>
            <w:r w:rsidRPr="00934E92">
              <w:rPr>
                <w:lang w:val="en-AU"/>
              </w:rPr>
              <w:t>That the Victorian Government considers support for an increase in the use of steel for house framing, such as:</w:t>
            </w:r>
          </w:p>
          <w:p w14:paraId="4AAA9F82" w14:textId="77777777" w:rsidR="00805264" w:rsidRPr="00934E92" w:rsidRDefault="00805264" w:rsidP="00820E3E">
            <w:pPr>
              <w:pStyle w:val="ListBullet"/>
              <w:rPr>
                <w:bCs/>
              </w:rPr>
            </w:pPr>
            <w:r w:rsidRPr="00934E92">
              <w:t>facilitating training to enable builders to use steel in frame construction; and</w:t>
            </w:r>
          </w:p>
          <w:p w14:paraId="0EB61778" w14:textId="77777777" w:rsidR="00805264" w:rsidRPr="00934E92" w:rsidRDefault="00805264" w:rsidP="00820E3E">
            <w:pPr>
              <w:pStyle w:val="ListBullet"/>
            </w:pPr>
            <w:r w:rsidRPr="00934E92">
              <w:t>encouraging greater uptake of courses to train associated trades such as detailing and specialist engineering practitioners.</w:t>
            </w:r>
          </w:p>
        </w:tc>
        <w:tc>
          <w:tcPr>
            <w:tcW w:w="6660" w:type="dxa"/>
          </w:tcPr>
          <w:p w14:paraId="7AAF16E1" w14:textId="77777777" w:rsidR="00805264" w:rsidRPr="00934E92" w:rsidRDefault="00805264" w:rsidP="004A7C2A">
            <w:pPr>
              <w:pStyle w:val="Tabletextbold"/>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Support in principle </w:t>
            </w:r>
          </w:p>
          <w:p w14:paraId="6A297A62" w14:textId="3945558A" w:rsidR="00805264" w:rsidRPr="00934E92" w:rsidRDefault="00805264" w:rsidP="00820E3E">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The Victorian Government has recently developed and accredited a course in Light Gauge Steel which will assist learners to develop their knowledge of using light gauge steel building components in the building industry. There are also existing courses to support steel frame construction. The Government will continue to work in collaboration with training providers and industry to ensure there are skilled workers to meet industry and consumer needs.</w:t>
            </w:r>
          </w:p>
        </w:tc>
      </w:tr>
      <w:tr w:rsidR="00934E92" w:rsidRPr="00934E92" w14:paraId="125B5FD7" w14:textId="77777777" w:rsidTr="004A7C2A">
        <w:tc>
          <w:tcPr>
            <w:cnfStyle w:val="001000000000" w:firstRow="0" w:lastRow="0" w:firstColumn="1" w:lastColumn="0" w:oddVBand="0" w:evenVBand="0" w:oddHBand="0" w:evenHBand="0" w:firstRowFirstColumn="0" w:firstRowLastColumn="0" w:lastRowFirstColumn="0" w:lastRowLastColumn="0"/>
            <w:tcW w:w="7848" w:type="dxa"/>
          </w:tcPr>
          <w:p w14:paraId="0D3F0B63" w14:textId="77777777" w:rsidR="00805264" w:rsidRPr="00934E92" w:rsidRDefault="00805264" w:rsidP="004A7C2A">
            <w:pPr>
              <w:pStyle w:val="Reconumber"/>
              <w:rPr>
                <w:lang w:val="en-AU"/>
              </w:rPr>
            </w:pPr>
            <w:r w:rsidRPr="00934E92">
              <w:rPr>
                <w:lang w:val="en-AU"/>
              </w:rPr>
              <w:lastRenderedPageBreak/>
              <w:t>Recommendation 8</w:t>
            </w:r>
          </w:p>
          <w:p w14:paraId="46A480DF" w14:textId="77777777" w:rsidR="00805264" w:rsidRPr="00934E92" w:rsidRDefault="00805264" w:rsidP="00820E3E">
            <w:pPr>
              <w:pStyle w:val="Tabletext"/>
              <w:rPr>
                <w:lang w:val="en-AU"/>
              </w:rPr>
            </w:pPr>
            <w:r w:rsidRPr="00934E92">
              <w:rPr>
                <w:lang w:val="en-AU"/>
              </w:rPr>
              <w:t>That the Victorian Government further supports research and development to identify and encourage the use of new building materials and approaches to support innovation and diversification of inputs in the construction industry. These R&amp;D projects could also relate to recycled materials and support Victoria’s transition to a circular economy.</w:t>
            </w:r>
          </w:p>
          <w:p w14:paraId="2FF0D5C9" w14:textId="77777777" w:rsidR="00805264" w:rsidRPr="00934E92" w:rsidRDefault="00805264" w:rsidP="00820E3E">
            <w:pPr>
              <w:pStyle w:val="Tabletext"/>
              <w:rPr>
                <w:lang w:val="en-AU"/>
              </w:rPr>
            </w:pPr>
            <w:r w:rsidRPr="00934E92">
              <w:rPr>
                <w:lang w:val="en-AU"/>
              </w:rPr>
              <w:t>Such projects could be delivered through existing construction industry research initiatives such as those undertaken by:</w:t>
            </w:r>
          </w:p>
          <w:p w14:paraId="454653A4" w14:textId="77777777" w:rsidR="00805264" w:rsidRPr="00934E92" w:rsidRDefault="00805264" w:rsidP="00820E3E">
            <w:pPr>
              <w:pStyle w:val="ListBullet"/>
            </w:pPr>
            <w:r w:rsidRPr="00934E92">
              <w:t>the Australian Housing and Urban Research Institute;</w:t>
            </w:r>
          </w:p>
          <w:p w14:paraId="36038954" w14:textId="77777777" w:rsidR="00805264" w:rsidRPr="00934E92" w:rsidRDefault="00805264" w:rsidP="00820E3E">
            <w:pPr>
              <w:pStyle w:val="ListBullet"/>
            </w:pPr>
            <w:r w:rsidRPr="00934E92">
              <w:t>Building 4.0 CRC; and</w:t>
            </w:r>
          </w:p>
          <w:p w14:paraId="40B831AF" w14:textId="77777777" w:rsidR="00805264" w:rsidRPr="00934E92" w:rsidRDefault="00805264" w:rsidP="00820E3E">
            <w:pPr>
              <w:pStyle w:val="ListBullet"/>
            </w:pPr>
            <w:r w:rsidRPr="00934E92">
              <w:t>the Victorian Building Authority’s research program.</w:t>
            </w:r>
          </w:p>
        </w:tc>
        <w:tc>
          <w:tcPr>
            <w:tcW w:w="6660" w:type="dxa"/>
          </w:tcPr>
          <w:p w14:paraId="7556DC11" w14:textId="77777777" w:rsidR="00805264" w:rsidRPr="00934E92" w:rsidRDefault="00805264" w:rsidP="004A7C2A">
            <w:pPr>
              <w:pStyle w:val="Tabletextbold"/>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Support in principle </w:t>
            </w:r>
          </w:p>
          <w:p w14:paraId="20455BAF" w14:textId="77777777" w:rsidR="00805264" w:rsidRPr="00934E92" w:rsidRDefault="00805264" w:rsidP="00820E3E">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The Government currently supports a number of research and development initiatives which identify and encourage the use of new building materials, including Building 4.0 CRC. </w:t>
            </w:r>
          </w:p>
          <w:p w14:paraId="1FDB0472" w14:textId="77777777" w:rsidR="00805264" w:rsidRPr="00934E92" w:rsidRDefault="00805264" w:rsidP="00820E3E">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The Government is also actively supporting the development of new markets for recycled materials, including in the construction sector, as part of the Recycled Markets Acceleration program. This program supports the development of new uses for recycled materials through the development and promotion of standards, specifications, and guidance materials for using recycled materials in commercial, industrial and construction settings.</w:t>
            </w:r>
          </w:p>
          <w:p w14:paraId="304641E9" w14:textId="77777777" w:rsidR="00805264" w:rsidRPr="00934E92" w:rsidRDefault="00805264" w:rsidP="00820E3E">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Further assessment of industry need, and the best way to support new products and approaches is required.</w:t>
            </w:r>
          </w:p>
        </w:tc>
      </w:tr>
      <w:tr w:rsidR="004A7C2A" w:rsidRPr="00934E92" w14:paraId="7D0A84EE" w14:textId="77777777" w:rsidTr="004A7C2A">
        <w:tc>
          <w:tcPr>
            <w:cnfStyle w:val="001000000000" w:firstRow="0" w:lastRow="0" w:firstColumn="1" w:lastColumn="0" w:oddVBand="0" w:evenVBand="0" w:oddHBand="0" w:evenHBand="0" w:firstRowFirstColumn="0" w:firstRowLastColumn="0" w:lastRowFirstColumn="0" w:lastRowLastColumn="0"/>
            <w:tcW w:w="7848" w:type="dxa"/>
          </w:tcPr>
          <w:p w14:paraId="56786690" w14:textId="77777777" w:rsidR="00805264" w:rsidRPr="00934E92" w:rsidRDefault="00805264" w:rsidP="004A7C2A">
            <w:pPr>
              <w:pStyle w:val="Reconumber"/>
              <w:rPr>
                <w:lang w:val="en-AU"/>
              </w:rPr>
            </w:pPr>
            <w:r w:rsidRPr="00934E92">
              <w:rPr>
                <w:lang w:val="en-AU"/>
              </w:rPr>
              <w:t>Recommendation 9</w:t>
            </w:r>
          </w:p>
          <w:p w14:paraId="640389A3" w14:textId="236EBFA9" w:rsidR="00805264" w:rsidRPr="00934E92" w:rsidRDefault="00805264" w:rsidP="00820E3E">
            <w:pPr>
              <w:pStyle w:val="Tabletext"/>
              <w:rPr>
                <w:b/>
                <w:bCs/>
                <w:lang w:val="en-AU"/>
              </w:rPr>
            </w:pPr>
            <w:r w:rsidRPr="00934E92">
              <w:rPr>
                <w:lang w:val="en-AU"/>
              </w:rPr>
              <w:t>That the Victorian Government requests that the Commonwealth includes building materials as priority products under the Supply Chain Resilience Initiative and the Sovereign Manufacturing Capability Plan, thereby making grant funding available for</w:t>
            </w:r>
            <w:r w:rsidRPr="00934E92">
              <w:rPr>
                <w:b/>
                <w:lang w:val="en-AU"/>
              </w:rPr>
              <w:t xml:space="preserve"> </w:t>
            </w:r>
            <w:r w:rsidRPr="00934E92">
              <w:rPr>
                <w:lang w:val="en-AU"/>
              </w:rPr>
              <w:t>projects to address vulnerabilities across the supply</w:t>
            </w:r>
            <w:r w:rsidR="004A7C2A" w:rsidRPr="00934E92">
              <w:rPr>
                <w:rFonts w:ascii="Calibri" w:hAnsi="Calibri" w:cs="Calibri"/>
                <w:lang w:val="en-AU"/>
              </w:rPr>
              <w:t> </w:t>
            </w:r>
            <w:r w:rsidRPr="00934E92">
              <w:rPr>
                <w:lang w:val="en-AU"/>
              </w:rPr>
              <w:t>chain.</w:t>
            </w:r>
          </w:p>
        </w:tc>
        <w:tc>
          <w:tcPr>
            <w:tcW w:w="6660" w:type="dxa"/>
          </w:tcPr>
          <w:p w14:paraId="76C41E8F" w14:textId="3B05A5EA" w:rsidR="00805264" w:rsidRPr="00934E92" w:rsidRDefault="00805264" w:rsidP="004A7C2A">
            <w:pPr>
              <w:pStyle w:val="Tabletextbold"/>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Support in </w:t>
            </w:r>
            <w:r w:rsidR="00820E3E" w:rsidRPr="00934E92">
              <w:rPr>
                <w:lang w:val="en-AU"/>
              </w:rPr>
              <w:t xml:space="preserve">principle </w:t>
            </w:r>
          </w:p>
          <w:p w14:paraId="5CD546D0" w14:textId="77777777" w:rsidR="00805264" w:rsidRPr="00934E92" w:rsidRDefault="00805264" w:rsidP="00820E3E">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The Government acknowledges the importance of building materials in the building and construction supply chain. The Government also notes the importance of industry participation in the Commonwealth’s consultation process on identifying priority supply chains that are critical to Australia’s health and wellbeing and that may contain vulnerabilities.</w:t>
            </w:r>
          </w:p>
        </w:tc>
      </w:tr>
      <w:tr w:rsidR="00934E92" w:rsidRPr="00934E92" w14:paraId="11439778" w14:textId="77777777" w:rsidTr="004A7C2A">
        <w:tc>
          <w:tcPr>
            <w:cnfStyle w:val="001000000000" w:firstRow="0" w:lastRow="0" w:firstColumn="1" w:lastColumn="0" w:oddVBand="0" w:evenVBand="0" w:oddHBand="0" w:evenHBand="0" w:firstRowFirstColumn="0" w:firstRowLastColumn="0" w:lastRowFirstColumn="0" w:lastRowLastColumn="0"/>
            <w:tcW w:w="7848" w:type="dxa"/>
          </w:tcPr>
          <w:p w14:paraId="179AA9D5" w14:textId="77777777" w:rsidR="00805264" w:rsidRPr="00934E92" w:rsidRDefault="00805264" w:rsidP="004A7C2A">
            <w:pPr>
              <w:pStyle w:val="Reconumber"/>
              <w:rPr>
                <w:lang w:val="en-AU"/>
              </w:rPr>
            </w:pPr>
            <w:r w:rsidRPr="00934E92">
              <w:rPr>
                <w:lang w:val="en-AU"/>
              </w:rPr>
              <w:lastRenderedPageBreak/>
              <w:t>Recommendation 10</w:t>
            </w:r>
          </w:p>
          <w:p w14:paraId="2371FE2A" w14:textId="77777777" w:rsidR="00805264" w:rsidRPr="00934E92" w:rsidRDefault="00805264" w:rsidP="00820E3E">
            <w:pPr>
              <w:pStyle w:val="Tabletext"/>
              <w:rPr>
                <w:b/>
                <w:bCs/>
                <w:lang w:val="en-AU"/>
              </w:rPr>
            </w:pPr>
            <w:r w:rsidRPr="00934E92">
              <w:rPr>
                <w:lang w:val="en-AU"/>
              </w:rPr>
              <w:t>That the Victorian Government continues to engage with the Commonwealth to encourage changes to the Emissions Reduction Fund that would improve the financial returns and incentives for plantation forestry, including the consideration of recommendations 7, 8 and 10 of the Aussie logs for Aussie jobs report.</w:t>
            </w:r>
          </w:p>
        </w:tc>
        <w:tc>
          <w:tcPr>
            <w:tcW w:w="6660" w:type="dxa"/>
          </w:tcPr>
          <w:p w14:paraId="6730440F" w14:textId="77777777" w:rsidR="00805264" w:rsidRPr="00934E92" w:rsidRDefault="00805264" w:rsidP="004A7C2A">
            <w:pPr>
              <w:pStyle w:val="Tabletextbold"/>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Support </w:t>
            </w:r>
          </w:p>
          <w:p w14:paraId="41AFD322" w14:textId="77777777" w:rsidR="00805264" w:rsidRPr="00934E92" w:rsidRDefault="00805264" w:rsidP="00820E3E">
            <w:pPr>
              <w:pStyle w:val="Tabletext"/>
              <w:cnfStyle w:val="000000000000" w:firstRow="0" w:lastRow="0" w:firstColumn="0" w:lastColumn="0" w:oddVBand="0" w:evenVBand="0" w:oddHBand="0" w:evenHBand="0" w:firstRowFirstColumn="0" w:firstRowLastColumn="0" w:lastRowFirstColumn="0" w:lastRowLastColumn="0"/>
              <w:rPr>
                <w:lang w:val="en-AU"/>
              </w:rPr>
            </w:pPr>
            <w:r w:rsidRPr="00934E92">
              <w:rPr>
                <w:lang w:val="en-AU"/>
              </w:rPr>
              <w:t xml:space="preserve">The Government will continue to engage with the Commonwealth to expand access to carbon funding for forestry projects under the Emissions Reduction Fund. The Government notes that in October 2021, Victoria’s Gippsland and the Green Triangle regions were approved by the Commonwealth for simplified access to generate carbon credits under the Emissions Reduction Fund. </w:t>
            </w:r>
          </w:p>
        </w:tc>
      </w:tr>
    </w:tbl>
    <w:p w14:paraId="401E088C" w14:textId="77777777" w:rsidR="00805264" w:rsidRPr="00934E92" w:rsidRDefault="00805264" w:rsidP="001653E7"/>
    <w:sectPr w:rsidR="00805264" w:rsidRPr="00934E92" w:rsidSect="007415EB">
      <w:headerReference w:type="default" r:id="rId12"/>
      <w:footerReference w:type="default" r:id="rId13"/>
      <w:pgSz w:w="16838" w:h="11906" w:orient="landscape" w:code="9"/>
      <w:pgMar w:top="1152" w:right="1296" w:bottom="1440" w:left="1296" w:header="450" w:footer="6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27439" w14:textId="77777777" w:rsidR="00673F39" w:rsidRDefault="00673F39" w:rsidP="001653E7">
      <w:r>
        <w:separator/>
      </w:r>
    </w:p>
    <w:p w14:paraId="03E177C4" w14:textId="77777777" w:rsidR="00673F39" w:rsidRDefault="00673F39" w:rsidP="001653E7"/>
  </w:endnote>
  <w:endnote w:type="continuationSeparator" w:id="0">
    <w:p w14:paraId="028F774B" w14:textId="77777777" w:rsidR="00673F39" w:rsidRDefault="00673F39" w:rsidP="001653E7">
      <w:r>
        <w:continuationSeparator/>
      </w:r>
    </w:p>
    <w:p w14:paraId="54E018FD" w14:textId="77777777" w:rsidR="00673F39" w:rsidRDefault="00673F39" w:rsidP="00165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9A26561-AC4D-4CCF-BE66-DBB9BF4A91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embedRegular r:id="rId2" w:fontKey="{70400E61-8E44-48F4-B5FA-EF5A7FD5DE2A}"/>
    <w:embedBold r:id="rId3" w:fontKey="{399CE5E1-DD1F-4C9C-8246-3187CCA13788}"/>
    <w:embedItalic r:id="rId4" w:fontKey="{4B9DF060-208E-4B31-831F-1D79FC3E0248}"/>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auto"/>
    <w:pitch w:val="variable"/>
    <w:sig w:usb0="00000007" w:usb1="00000000" w:usb2="00000000" w:usb3="00000000" w:csb0="00000093" w:csb1="00000000"/>
    <w:embedRegular r:id="rId5" w:fontKey="{BEC0A6E8-A5B6-4303-B4CE-C58CE2F9D8EE}"/>
    <w:embedBold r:id="rId6" w:fontKey="{9C2C0F4D-862C-45D1-A452-F85C80EA4C34}"/>
    <w:embedItalic r:id="rId7" w:fontKey="{7B2C4193-97DC-4409-94AC-A8CE37D5B3DE}"/>
  </w:font>
  <w:font w:name="Tahoma">
    <w:panose1 w:val="020B0604030504040204"/>
    <w:charset w:val="00"/>
    <w:family w:val="swiss"/>
    <w:pitch w:val="variable"/>
    <w:sig w:usb0="E1002EFF" w:usb1="C000605B" w:usb2="00000029" w:usb3="00000000" w:csb0="000101FF" w:csb1="00000000"/>
    <w:embedRegular r:id="rId8" w:fontKey="{392CC789-0583-458E-A750-E84EF3DB4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8CDA" w14:textId="67055CAC" w:rsidR="00A82ACC" w:rsidRPr="00927244" w:rsidRDefault="00BB3278" w:rsidP="001653E7">
    <w:pPr>
      <w:pStyle w:val="Footer"/>
    </w:pPr>
    <w:r w:rsidRPr="00927244">
      <w:t xml:space="preserve">Page </w:t>
    </w:r>
    <w:r w:rsidR="00A82ACC" w:rsidRPr="00927244">
      <w:fldChar w:fldCharType="begin"/>
    </w:r>
    <w:r w:rsidR="00A82ACC" w:rsidRPr="00927244">
      <w:instrText xml:space="preserve"> page </w:instrText>
    </w:r>
    <w:r w:rsidR="00A82ACC" w:rsidRPr="00927244">
      <w:fldChar w:fldCharType="separate"/>
    </w:r>
    <w:r w:rsidR="006E08FD">
      <w:t>2</w:t>
    </w:r>
    <w:r w:rsidR="00A82ACC" w:rsidRPr="00927244">
      <w:fldChar w:fldCharType="end"/>
    </w:r>
    <w:r w:rsidR="00927244" w:rsidRPr="00927244">
      <w:tab/>
    </w:r>
    <w:r w:rsidR="00927244" w:rsidRPr="00927244">
      <w:rPr>
        <w:b/>
      </w:rPr>
      <w:fldChar w:fldCharType="begin"/>
    </w:r>
    <w:r w:rsidR="00927244" w:rsidRPr="00927244">
      <w:rPr>
        <w:b/>
      </w:rPr>
      <w:instrText xml:space="preserve"> STYLEREF  Title  \* MERGEFORMAT </w:instrText>
    </w:r>
    <w:r w:rsidR="00927244" w:rsidRPr="00927244">
      <w:rPr>
        <w:b/>
      </w:rPr>
      <w:fldChar w:fldCharType="separate"/>
    </w:r>
    <w:r w:rsidR="004E5191">
      <w:rPr>
        <w:b/>
      </w:rPr>
      <w:t>Victorian Government Response to the Commissioner for Better Regulation’s Final Report on Addressing Supply Chain Challenges</w:t>
    </w:r>
    <w:r w:rsidR="00927244" w:rsidRPr="00927244">
      <w:rPr>
        <w:b/>
      </w:rPr>
      <w:fldChar w:fldCharType="end"/>
    </w:r>
    <w:r w:rsidR="00927244" w:rsidRPr="00927244">
      <w:t xml:space="preserve"> – </w:t>
    </w:r>
    <w:r w:rsidR="00070323">
      <w:rPr>
        <w:bCs/>
        <w:lang w:val="en-US"/>
      </w:rPr>
      <w:fldChar w:fldCharType="begin"/>
    </w:r>
    <w:r w:rsidR="00070323">
      <w:rPr>
        <w:bCs/>
        <w:lang w:val="en-US"/>
      </w:rPr>
      <w:instrText xml:space="preserve"> STYLEREF  Subtitle  \* MERGEFORMAT </w:instrText>
    </w:r>
    <w:r w:rsidR="00070323">
      <w:rPr>
        <w:bCs/>
        <w:lang w:val="en-US"/>
      </w:rPr>
      <w:fldChar w:fldCharType="separate"/>
    </w:r>
    <w:r w:rsidR="004E5191">
      <w:rPr>
        <w:b/>
        <w:lang w:val="en-US"/>
      </w:rPr>
      <w:t>Error! No text of specified style in document.</w:t>
    </w:r>
    <w:r w:rsidR="00070323">
      <w:rPr>
        <w:bCs/>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1502" w14:textId="7D0AD004" w:rsidR="00A82ACC" w:rsidRDefault="004A7C2A" w:rsidP="00820E3E">
    <w:pPr>
      <w:pStyle w:val="Footer"/>
      <w:ind w:right="1440"/>
    </w:pPr>
    <w:r>
      <mc:AlternateContent>
        <mc:Choice Requires="wps">
          <w:drawing>
            <wp:anchor distT="0" distB="0" distL="114300" distR="114300" simplePos="0" relativeHeight="251675648" behindDoc="0" locked="0" layoutInCell="0" allowOverlap="1" wp14:anchorId="3C24367E" wp14:editId="7C409E3E">
              <wp:simplePos x="0" y="0"/>
              <wp:positionH relativeFrom="page">
                <wp:align>left</wp:align>
              </wp:positionH>
              <wp:positionV relativeFrom="page">
                <wp:align>bottom</wp:align>
              </wp:positionV>
              <wp:extent cx="7772400" cy="442595"/>
              <wp:effectExtent l="0" t="0" r="0" b="14605"/>
              <wp:wrapNone/>
              <wp:docPr id="1" name="MSIPCMc7444859b6198b4fc3276f27"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B96750" w14:textId="671ED11B" w:rsidR="004A7C2A" w:rsidRPr="00160F91" w:rsidRDefault="00160F91" w:rsidP="00160F91">
                          <w:pPr>
                            <w:spacing w:before="0" w:after="0"/>
                            <w:rPr>
                              <w:rFonts w:ascii="Calibri" w:hAnsi="Calibri" w:cs="Calibri"/>
                              <w:color w:val="000000"/>
                            </w:rPr>
                          </w:pPr>
                          <w:r w:rsidRPr="00160F91">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C24367E" id="_x0000_t202" coordsize="21600,21600" o:spt="202" path="m,l,21600r21600,l21600,xe">
              <v:stroke joinstyle="miter"/>
              <v:path gradientshapeok="t" o:connecttype="rect"/>
            </v:shapetype>
            <v:shape id="MSIPCMc7444859b6198b4fc3276f27" o:spid="_x0000_s1026" type="#_x0000_t202" alt="{&quot;HashCode&quot;:-1267603503,&quot;Height&quot;:9999999.0,&quot;Width&quot;:9999999.0,&quot;Placement&quot;:&quot;Footer&quot;,&quot;Index&quot;:&quot;Primary&quot;,&quot;Section&quot;:1,&quot;Top&quot;:0.0,&quot;Left&quot;:0.0}" style="position:absolute;margin-left:0;margin-top:0;width:612pt;height:34.85pt;z-index:2516756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" o:allowincell="f" filled="f" stroked="f" strokeweight=".5pt">
              <v:textbox inset="20pt,0,,0">
                <w:txbxContent>
                  <w:p w14:paraId="12B96750" w14:textId="671ED11B" w:rsidR="004A7C2A" w:rsidRPr="00160F91" w:rsidRDefault="00160F91" w:rsidP="00160F91">
                    <w:pPr>
                      <w:spacing w:before="0" w:after="0"/>
                      <w:rPr>
                        <w:rFonts w:ascii="Calibri" w:hAnsi="Calibri" w:cs="Calibri"/>
                        <w:color w:val="000000"/>
                      </w:rPr>
                    </w:pPr>
                    <w:r w:rsidRPr="00160F91">
                      <w:rPr>
                        <w:rFonts w:ascii="Calibri" w:hAnsi="Calibri" w:cs="Calibri"/>
                        <w:color w:val="000000"/>
                      </w:rPr>
                      <w:t>OFFICIAL</w:t>
                    </w:r>
                  </w:p>
                </w:txbxContent>
              </v:textbox>
              <w10:wrap anchorx="page" anchory="page"/>
            </v:shape>
          </w:pict>
        </mc:Fallback>
      </mc:AlternateContent>
    </w:r>
    <w:fldSimple w:instr=" STYLEREF  Title  \* MERGEFORMAT ">
      <w:r w:rsidR="00160F91">
        <w:t>Victorian Government Response to the Commissioner for Better Regulation’s Final Report on Addressing Supply Chain Challenges</w:t>
      </w:r>
    </w:fldSimple>
    <w:r w:rsidR="006E08FD">
      <w:rPr>
        <w:lang w:val="en-US"/>
      </w:rPr>
      <w:tab/>
    </w:r>
    <w:r w:rsidR="006E08FD">
      <w:t xml:space="preserve">Page </w:t>
    </w:r>
    <w:r w:rsidR="006E08FD" w:rsidRPr="00156B30">
      <w:fldChar w:fldCharType="begin"/>
    </w:r>
    <w:r w:rsidR="006E08FD" w:rsidRPr="00156B30">
      <w:instrText xml:space="preserve"> page </w:instrText>
    </w:r>
    <w:r w:rsidR="006E08FD" w:rsidRPr="00156B30">
      <w:fldChar w:fldCharType="separate"/>
    </w:r>
    <w:r w:rsidR="006E08FD">
      <w:t>1</w:t>
    </w:r>
    <w:r w:rsidR="006E08FD" w:rsidRPr="00156B30">
      <w:fldChar w:fldCharType="end"/>
    </w:r>
  </w:p>
  <w:p w14:paraId="0BAF952D" w14:textId="77777777" w:rsidR="007415EB" w:rsidRDefault="007415EB" w:rsidP="00741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8808" w14:textId="6D42575B" w:rsidR="00820E3E" w:rsidRPr="00156B30" w:rsidRDefault="004A7C2A" w:rsidP="004E5191">
    <w:pPr>
      <w:pStyle w:val="Footer"/>
      <w:tabs>
        <w:tab w:val="clear" w:pos="9000"/>
        <w:tab w:val="right" w:pos="14256"/>
      </w:tabs>
    </w:pPr>
    <w:r>
      <mc:AlternateContent>
        <mc:Choice Requires="wps">
          <w:drawing>
            <wp:anchor distT="0" distB="0" distL="114300" distR="114300" simplePos="0" relativeHeight="251676672" behindDoc="0" locked="0" layoutInCell="0" allowOverlap="1" wp14:anchorId="53568E8A" wp14:editId="1F14417D">
              <wp:simplePos x="0" y="0"/>
              <wp:positionH relativeFrom="page">
                <wp:align>left</wp:align>
              </wp:positionH>
              <wp:positionV relativeFrom="page">
                <wp:align>bottom</wp:align>
              </wp:positionV>
              <wp:extent cx="7772400" cy="442595"/>
              <wp:effectExtent l="0" t="0" r="0" b="14605"/>
              <wp:wrapNone/>
              <wp:docPr id="2" name="MSIPCMa7fc41809219eee4acab4d7f"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12BAF7" w14:textId="0381C453" w:rsidR="004A7C2A" w:rsidRPr="00160F91" w:rsidRDefault="00160F91" w:rsidP="00160F91">
                          <w:pPr>
                            <w:spacing w:before="0" w:after="0"/>
                            <w:rPr>
                              <w:rFonts w:ascii="Calibri" w:hAnsi="Calibri" w:cs="Calibri"/>
                              <w:color w:val="000000"/>
                            </w:rPr>
                          </w:pPr>
                          <w:r w:rsidRPr="00160F91">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3568E8A" id="_x0000_t202" coordsize="21600,21600" o:spt="202" path="m,l,21600r21600,l21600,xe">
              <v:stroke joinstyle="miter"/>
              <v:path gradientshapeok="t" o:connecttype="rect"/>
            </v:shapetype>
            <v:shape id="MSIPCMa7fc41809219eee4acab4d7f" o:spid="_x0000_s1027" type="#_x0000_t202" alt="{&quot;HashCode&quot;:-1267603503,&quot;Height&quot;:9999999.0,&quot;Width&quot;:9999999.0,&quot;Placement&quot;:&quot;Footer&quot;,&quot;Index&quot;:&quot;Primary&quot;,&quot;Section&quot;:2,&quot;Top&quot;:0.0,&quot;Left&quot;:0.0}" style="position:absolute;margin-left:0;margin-top:0;width:612pt;height:34.85pt;z-index:25167667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" o:allowincell="f" filled="f" stroked="f" strokeweight=".5pt">
              <v:textbox inset="20pt,0,,0">
                <w:txbxContent>
                  <w:p w14:paraId="7D12BAF7" w14:textId="0381C453" w:rsidR="004A7C2A" w:rsidRPr="00160F91" w:rsidRDefault="00160F91" w:rsidP="00160F91">
                    <w:pPr>
                      <w:spacing w:before="0" w:after="0"/>
                      <w:rPr>
                        <w:rFonts w:ascii="Calibri" w:hAnsi="Calibri" w:cs="Calibri"/>
                        <w:color w:val="000000"/>
                      </w:rPr>
                    </w:pPr>
                    <w:r w:rsidRPr="00160F91">
                      <w:rPr>
                        <w:rFonts w:ascii="Calibri" w:hAnsi="Calibri" w:cs="Calibri"/>
                        <w:color w:val="000000"/>
                      </w:rPr>
                      <w:t>OFFICIAL</w:t>
                    </w:r>
                  </w:p>
                </w:txbxContent>
              </v:textbox>
              <w10:wrap anchorx="page" anchory="page"/>
            </v:shape>
          </w:pict>
        </mc:Fallback>
      </mc:AlternateContent>
    </w:r>
    <w:fldSimple w:instr=" STYLEREF  Title  \* MERGEFORMAT ">
      <w:r w:rsidR="00160F91">
        <w:t>Victorian Government Response to the Commissioner for Better Regulation’s Final Report on Addressing Supply Chain Challenges</w:t>
      </w:r>
    </w:fldSimple>
    <w:r w:rsidR="00820E3E">
      <w:rPr>
        <w:lang w:val="en-US"/>
      </w:rPr>
      <w:tab/>
    </w:r>
    <w:r w:rsidR="00820E3E">
      <w:t xml:space="preserve">Page </w:t>
    </w:r>
    <w:r w:rsidR="00820E3E" w:rsidRPr="00156B30">
      <w:fldChar w:fldCharType="begin"/>
    </w:r>
    <w:r w:rsidR="00820E3E" w:rsidRPr="00156B30">
      <w:instrText xml:space="preserve"> page </w:instrText>
    </w:r>
    <w:r w:rsidR="00820E3E" w:rsidRPr="00156B30">
      <w:fldChar w:fldCharType="separate"/>
    </w:r>
    <w:r w:rsidR="00820E3E">
      <w:t>1</w:t>
    </w:r>
    <w:r w:rsidR="00820E3E" w:rsidRPr="00156B3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B7728" w14:textId="77777777" w:rsidR="00673F39" w:rsidRDefault="00673F39" w:rsidP="001653E7">
      <w:r>
        <w:separator/>
      </w:r>
    </w:p>
    <w:p w14:paraId="1717018A" w14:textId="77777777" w:rsidR="00673F39" w:rsidRDefault="00673F39" w:rsidP="001653E7"/>
  </w:footnote>
  <w:footnote w:type="continuationSeparator" w:id="0">
    <w:p w14:paraId="49AA737C" w14:textId="77777777" w:rsidR="00673F39" w:rsidRDefault="00673F39" w:rsidP="001653E7">
      <w:r>
        <w:continuationSeparator/>
      </w:r>
    </w:p>
    <w:p w14:paraId="2B1D4433" w14:textId="77777777" w:rsidR="00673F39" w:rsidRDefault="00673F39" w:rsidP="001653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C208" w14:textId="77777777" w:rsidR="007415EB" w:rsidRPr="00156B30" w:rsidRDefault="007415EB" w:rsidP="007415EB">
    <w:pPr>
      <w:pStyle w:val="Footer"/>
      <w:ind w:right="-64"/>
      <w:jc w:val="right"/>
    </w:pPr>
    <w:r>
      <w:drawing>
        <wp:inline distT="0" distB="0" distL="0" distR="0" wp14:anchorId="783D8E4F" wp14:editId="6E19F476">
          <wp:extent cx="822960" cy="471022"/>
          <wp:effectExtent l="0" t="0" r="0" b="5715"/>
          <wp:docPr id="3" name="Picture 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822960" cy="4710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5FBB" w14:textId="5CE6CBD9" w:rsidR="007415EB" w:rsidRDefault="007415EB" w:rsidP="007415EB">
    <w:pPr>
      <w:pStyle w:val="Footer"/>
      <w:ind w:right="-64"/>
      <w:jc w:val="right"/>
    </w:pPr>
    <w:r>
      <w:drawing>
        <wp:inline distT="0" distB="0" distL="0" distR="0" wp14:anchorId="10E92F4D" wp14:editId="7DEC91BA">
          <wp:extent cx="640080" cy="366350"/>
          <wp:effectExtent l="0" t="0" r="7620" b="0"/>
          <wp:docPr id="5" name="Picture 5"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40080" cy="366350"/>
                  </a:xfrm>
                  <a:prstGeom prst="rect">
                    <a:avLst/>
                  </a:prstGeom>
                </pic:spPr>
              </pic:pic>
            </a:graphicData>
          </a:graphic>
        </wp:inline>
      </w:drawing>
    </w:r>
  </w:p>
  <w:p w14:paraId="1D271B47" w14:textId="77777777" w:rsidR="007415EB" w:rsidRPr="00156B30" w:rsidRDefault="007415EB" w:rsidP="007415EB">
    <w:pPr>
      <w:pStyle w:val="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02987E"/>
    <w:lvl w:ilvl="0">
      <w:start w:val="1"/>
      <w:numFmt w:val="lowerLetter"/>
      <w:pStyle w:val="ListNumber5"/>
      <w:lvlText w:val="(%1)"/>
      <w:lvlJc w:val="left"/>
      <w:pPr>
        <w:tabs>
          <w:tab w:val="num" w:pos="1492"/>
        </w:tabs>
        <w:ind w:left="1492" w:hanging="360"/>
      </w:pPr>
      <w:rPr>
        <w:rFonts w:hint="default"/>
      </w:rPr>
    </w:lvl>
  </w:abstractNum>
  <w:abstractNum w:abstractNumId="1" w15:restartNumberingAfterBreak="0">
    <w:nsid w:val="FFFFFF7D"/>
    <w:multiLevelType w:val="singleLevel"/>
    <w:tmpl w:val="1090EB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AB6E1E2"/>
    <w:lvl w:ilvl="0">
      <w:start w:val="1"/>
      <w:numFmt w:val="lowerRoman"/>
      <w:lvlText w:val="(%1)"/>
      <w:lvlJc w:val="left"/>
      <w:pPr>
        <w:tabs>
          <w:tab w:val="num" w:pos="926"/>
        </w:tabs>
        <w:ind w:left="926" w:hanging="360"/>
      </w:pPr>
      <w:rPr>
        <w:rFonts w:hint="default"/>
      </w:rPr>
    </w:lvl>
  </w:abstractNum>
  <w:abstractNum w:abstractNumId="3" w15:restartNumberingAfterBreak="0">
    <w:nsid w:val="FFFFFF7F"/>
    <w:multiLevelType w:val="singleLevel"/>
    <w:tmpl w:val="111010DE"/>
    <w:lvl w:ilvl="0">
      <w:start w:val="1"/>
      <w:numFmt w:val="lowerLetter"/>
      <w:lvlText w:val="(%1)"/>
      <w:lvlJc w:val="left"/>
      <w:pPr>
        <w:tabs>
          <w:tab w:val="num" w:pos="643"/>
        </w:tabs>
        <w:ind w:left="643" w:hanging="360"/>
      </w:pPr>
      <w:rPr>
        <w:rFonts w:hint="default"/>
      </w:rPr>
    </w:lvl>
  </w:abstractNum>
  <w:abstractNum w:abstractNumId="4" w15:restartNumberingAfterBreak="0">
    <w:nsid w:val="FFFFFF80"/>
    <w:multiLevelType w:val="singleLevel"/>
    <w:tmpl w:val="1D5A45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E5450"/>
    <w:lvl w:ilvl="0">
      <w:start w:val="1"/>
      <w:numFmt w:val="bullet"/>
      <w:pStyle w:val="ListBullet4"/>
      <w:lvlText w:val="–"/>
      <w:lvlJc w:val="left"/>
      <w:pPr>
        <w:tabs>
          <w:tab w:val="num" w:pos="1209"/>
        </w:tabs>
        <w:ind w:left="1209" w:hanging="360"/>
      </w:pPr>
      <w:rPr>
        <w:rFonts w:ascii="Calibri" w:hAnsi="Calibri" w:hint="default"/>
      </w:rPr>
    </w:lvl>
  </w:abstractNum>
  <w:abstractNum w:abstractNumId="6" w15:restartNumberingAfterBreak="0">
    <w:nsid w:val="FFFFFF82"/>
    <w:multiLevelType w:val="singleLevel"/>
    <w:tmpl w:val="A412D9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660DB6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CCE0F4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EB9004F"/>
    <w:multiLevelType w:val="hybridMultilevel"/>
    <w:tmpl w:val="1B40C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284ED5"/>
    <w:multiLevelType w:val="hybridMultilevel"/>
    <w:tmpl w:val="0B041866"/>
    <w:lvl w:ilvl="0" w:tplc="5E461CAA">
      <w:start w:val="1"/>
      <w:numFmt w:val="bullet"/>
      <w:lvlText w:val="–"/>
      <w:lvlJc w:val="left"/>
      <w:pPr>
        <w:ind w:left="179" w:hanging="180"/>
      </w:pPr>
      <w:rPr>
        <w:rFonts w:ascii="VIC" w:eastAsia="VIC" w:hAnsi="VIC" w:hint="default"/>
        <w:color w:val="58595B"/>
        <w:sz w:val="16"/>
        <w:szCs w:val="16"/>
      </w:rPr>
    </w:lvl>
    <w:lvl w:ilvl="1" w:tplc="225ED05C">
      <w:start w:val="1"/>
      <w:numFmt w:val="bullet"/>
      <w:lvlText w:val="•"/>
      <w:lvlJc w:val="left"/>
      <w:pPr>
        <w:ind w:left="856" w:hanging="180"/>
      </w:pPr>
      <w:rPr>
        <w:rFonts w:hint="default"/>
      </w:rPr>
    </w:lvl>
    <w:lvl w:ilvl="2" w:tplc="EA4278AA">
      <w:start w:val="1"/>
      <w:numFmt w:val="bullet"/>
      <w:lvlText w:val="•"/>
      <w:lvlJc w:val="left"/>
      <w:pPr>
        <w:ind w:left="1533" w:hanging="180"/>
      </w:pPr>
      <w:rPr>
        <w:rFonts w:hint="default"/>
      </w:rPr>
    </w:lvl>
    <w:lvl w:ilvl="3" w:tplc="A3906396">
      <w:start w:val="1"/>
      <w:numFmt w:val="bullet"/>
      <w:lvlText w:val="•"/>
      <w:lvlJc w:val="left"/>
      <w:pPr>
        <w:ind w:left="2210" w:hanging="180"/>
      </w:pPr>
      <w:rPr>
        <w:rFonts w:hint="default"/>
      </w:rPr>
    </w:lvl>
    <w:lvl w:ilvl="4" w:tplc="DB18BB92">
      <w:start w:val="1"/>
      <w:numFmt w:val="bullet"/>
      <w:lvlText w:val="•"/>
      <w:lvlJc w:val="left"/>
      <w:pPr>
        <w:ind w:left="2887" w:hanging="180"/>
      </w:pPr>
      <w:rPr>
        <w:rFonts w:hint="default"/>
      </w:rPr>
    </w:lvl>
    <w:lvl w:ilvl="5" w:tplc="78A61F08">
      <w:start w:val="1"/>
      <w:numFmt w:val="bullet"/>
      <w:lvlText w:val="•"/>
      <w:lvlJc w:val="left"/>
      <w:pPr>
        <w:ind w:left="3564" w:hanging="180"/>
      </w:pPr>
      <w:rPr>
        <w:rFonts w:hint="default"/>
      </w:rPr>
    </w:lvl>
    <w:lvl w:ilvl="6" w:tplc="DF1602EE">
      <w:start w:val="1"/>
      <w:numFmt w:val="bullet"/>
      <w:lvlText w:val="•"/>
      <w:lvlJc w:val="left"/>
      <w:pPr>
        <w:ind w:left="4240" w:hanging="180"/>
      </w:pPr>
      <w:rPr>
        <w:rFonts w:hint="default"/>
      </w:rPr>
    </w:lvl>
    <w:lvl w:ilvl="7" w:tplc="BEFA0466">
      <w:start w:val="1"/>
      <w:numFmt w:val="bullet"/>
      <w:lvlText w:val="•"/>
      <w:lvlJc w:val="left"/>
      <w:pPr>
        <w:ind w:left="4917" w:hanging="180"/>
      </w:pPr>
      <w:rPr>
        <w:rFonts w:hint="default"/>
      </w:rPr>
    </w:lvl>
    <w:lvl w:ilvl="8" w:tplc="396AE462">
      <w:start w:val="1"/>
      <w:numFmt w:val="bullet"/>
      <w:lvlText w:val="•"/>
      <w:lvlJc w:val="left"/>
      <w:pPr>
        <w:ind w:left="5594" w:hanging="180"/>
      </w:pPr>
      <w:rPr>
        <w:rFonts w:hint="default"/>
      </w:rPr>
    </w:lvl>
  </w:abstractNum>
  <w:abstractNum w:abstractNumId="11" w15:restartNumberingAfterBreak="0">
    <w:nsid w:val="11D3083F"/>
    <w:multiLevelType w:val="hybridMultilevel"/>
    <w:tmpl w:val="35289C2E"/>
    <w:lvl w:ilvl="0" w:tplc="3FA4C64A">
      <w:start w:val="1"/>
      <w:numFmt w:val="bullet"/>
      <w:lvlText w:val="–"/>
      <w:lvlJc w:val="left"/>
      <w:pPr>
        <w:ind w:left="179" w:hanging="180"/>
      </w:pPr>
      <w:rPr>
        <w:rFonts w:ascii="VIC" w:eastAsia="VIC" w:hAnsi="VIC" w:hint="default"/>
        <w:color w:val="58595B"/>
        <w:sz w:val="16"/>
        <w:szCs w:val="16"/>
      </w:rPr>
    </w:lvl>
    <w:lvl w:ilvl="1" w:tplc="816A660E">
      <w:start w:val="1"/>
      <w:numFmt w:val="bullet"/>
      <w:lvlText w:val="•"/>
      <w:lvlJc w:val="left"/>
      <w:pPr>
        <w:ind w:left="989" w:hanging="180"/>
      </w:pPr>
      <w:rPr>
        <w:rFonts w:hint="default"/>
      </w:rPr>
    </w:lvl>
    <w:lvl w:ilvl="2" w:tplc="B260B1E4">
      <w:start w:val="1"/>
      <w:numFmt w:val="bullet"/>
      <w:lvlText w:val="•"/>
      <w:lvlJc w:val="left"/>
      <w:pPr>
        <w:ind w:left="1798" w:hanging="180"/>
      </w:pPr>
      <w:rPr>
        <w:rFonts w:hint="default"/>
      </w:rPr>
    </w:lvl>
    <w:lvl w:ilvl="3" w:tplc="20387A9A">
      <w:start w:val="1"/>
      <w:numFmt w:val="bullet"/>
      <w:lvlText w:val="•"/>
      <w:lvlJc w:val="left"/>
      <w:pPr>
        <w:ind w:left="2607" w:hanging="180"/>
      </w:pPr>
      <w:rPr>
        <w:rFonts w:hint="default"/>
      </w:rPr>
    </w:lvl>
    <w:lvl w:ilvl="4" w:tplc="E59E8E08">
      <w:start w:val="1"/>
      <w:numFmt w:val="bullet"/>
      <w:lvlText w:val="•"/>
      <w:lvlJc w:val="left"/>
      <w:pPr>
        <w:ind w:left="3417" w:hanging="180"/>
      </w:pPr>
      <w:rPr>
        <w:rFonts w:hint="default"/>
      </w:rPr>
    </w:lvl>
    <w:lvl w:ilvl="5" w:tplc="6332F9FC">
      <w:start w:val="1"/>
      <w:numFmt w:val="bullet"/>
      <w:lvlText w:val="•"/>
      <w:lvlJc w:val="left"/>
      <w:pPr>
        <w:ind w:left="4226" w:hanging="180"/>
      </w:pPr>
      <w:rPr>
        <w:rFonts w:hint="default"/>
      </w:rPr>
    </w:lvl>
    <w:lvl w:ilvl="6" w:tplc="DC320B42">
      <w:start w:val="1"/>
      <w:numFmt w:val="bullet"/>
      <w:lvlText w:val="•"/>
      <w:lvlJc w:val="left"/>
      <w:pPr>
        <w:ind w:left="5035" w:hanging="180"/>
      </w:pPr>
      <w:rPr>
        <w:rFonts w:hint="default"/>
      </w:rPr>
    </w:lvl>
    <w:lvl w:ilvl="7" w:tplc="5672C144">
      <w:start w:val="1"/>
      <w:numFmt w:val="bullet"/>
      <w:lvlText w:val="•"/>
      <w:lvlJc w:val="left"/>
      <w:pPr>
        <w:ind w:left="5844" w:hanging="180"/>
      </w:pPr>
      <w:rPr>
        <w:rFonts w:hint="default"/>
      </w:rPr>
    </w:lvl>
    <w:lvl w:ilvl="8" w:tplc="DD36E544">
      <w:start w:val="1"/>
      <w:numFmt w:val="bullet"/>
      <w:lvlText w:val="•"/>
      <w:lvlJc w:val="left"/>
      <w:pPr>
        <w:ind w:left="6654" w:hanging="180"/>
      </w:pPr>
      <w:rPr>
        <w:rFonts w:hint="default"/>
      </w:rPr>
    </w:lvl>
  </w:abstractNum>
  <w:abstractNum w:abstractNumId="12" w15:restartNumberingAfterBreak="0">
    <w:nsid w:val="23CC09EC"/>
    <w:multiLevelType w:val="hybridMultilevel"/>
    <w:tmpl w:val="9946A842"/>
    <w:lvl w:ilvl="0" w:tplc="89A86E1C">
      <w:start w:val="1"/>
      <w:numFmt w:val="bullet"/>
      <w:lvlText w:val="–"/>
      <w:lvlJc w:val="left"/>
      <w:pPr>
        <w:ind w:left="179" w:hanging="180"/>
      </w:pPr>
      <w:rPr>
        <w:rFonts w:ascii="VIC" w:eastAsia="VIC" w:hAnsi="VIC" w:hint="default"/>
        <w:color w:val="58595B"/>
        <w:sz w:val="16"/>
        <w:szCs w:val="16"/>
      </w:rPr>
    </w:lvl>
    <w:lvl w:ilvl="1" w:tplc="918048DE">
      <w:start w:val="1"/>
      <w:numFmt w:val="bullet"/>
      <w:lvlText w:val="•"/>
      <w:lvlJc w:val="left"/>
      <w:pPr>
        <w:ind w:left="711" w:hanging="180"/>
      </w:pPr>
      <w:rPr>
        <w:rFonts w:hint="default"/>
      </w:rPr>
    </w:lvl>
    <w:lvl w:ilvl="2" w:tplc="D4184AA4">
      <w:start w:val="1"/>
      <w:numFmt w:val="bullet"/>
      <w:lvlText w:val="•"/>
      <w:lvlJc w:val="left"/>
      <w:pPr>
        <w:ind w:left="1242" w:hanging="180"/>
      </w:pPr>
      <w:rPr>
        <w:rFonts w:hint="default"/>
      </w:rPr>
    </w:lvl>
    <w:lvl w:ilvl="3" w:tplc="F12EF164">
      <w:start w:val="1"/>
      <w:numFmt w:val="bullet"/>
      <w:lvlText w:val="•"/>
      <w:lvlJc w:val="left"/>
      <w:pPr>
        <w:ind w:left="1773" w:hanging="180"/>
      </w:pPr>
      <w:rPr>
        <w:rFonts w:hint="default"/>
      </w:rPr>
    </w:lvl>
    <w:lvl w:ilvl="4" w:tplc="3C586256">
      <w:start w:val="1"/>
      <w:numFmt w:val="bullet"/>
      <w:lvlText w:val="•"/>
      <w:lvlJc w:val="left"/>
      <w:pPr>
        <w:ind w:left="2305" w:hanging="180"/>
      </w:pPr>
      <w:rPr>
        <w:rFonts w:hint="default"/>
      </w:rPr>
    </w:lvl>
    <w:lvl w:ilvl="5" w:tplc="1A021002">
      <w:start w:val="1"/>
      <w:numFmt w:val="bullet"/>
      <w:lvlText w:val="•"/>
      <w:lvlJc w:val="left"/>
      <w:pPr>
        <w:ind w:left="2836" w:hanging="180"/>
      </w:pPr>
      <w:rPr>
        <w:rFonts w:hint="default"/>
      </w:rPr>
    </w:lvl>
    <w:lvl w:ilvl="6" w:tplc="7EB439A0">
      <w:start w:val="1"/>
      <w:numFmt w:val="bullet"/>
      <w:lvlText w:val="•"/>
      <w:lvlJc w:val="left"/>
      <w:pPr>
        <w:ind w:left="3368" w:hanging="180"/>
      </w:pPr>
      <w:rPr>
        <w:rFonts w:hint="default"/>
      </w:rPr>
    </w:lvl>
    <w:lvl w:ilvl="7" w:tplc="0CC64340">
      <w:start w:val="1"/>
      <w:numFmt w:val="bullet"/>
      <w:lvlText w:val="•"/>
      <w:lvlJc w:val="left"/>
      <w:pPr>
        <w:ind w:left="3899" w:hanging="180"/>
      </w:pPr>
      <w:rPr>
        <w:rFonts w:hint="default"/>
      </w:rPr>
    </w:lvl>
    <w:lvl w:ilvl="8" w:tplc="68061448">
      <w:start w:val="1"/>
      <w:numFmt w:val="bullet"/>
      <w:lvlText w:val="•"/>
      <w:lvlJc w:val="left"/>
      <w:pPr>
        <w:ind w:left="4430" w:hanging="180"/>
      </w:pPr>
      <w:rPr>
        <w:rFonts w:hint="default"/>
      </w:rPr>
    </w:lvl>
  </w:abstractNum>
  <w:abstractNum w:abstractNumId="13" w15:restartNumberingAfterBreak="0">
    <w:nsid w:val="26456FFD"/>
    <w:multiLevelType w:val="multilevel"/>
    <w:tmpl w:val="C0D2F066"/>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0151C8"/>
    <w:multiLevelType w:val="multilevel"/>
    <w:tmpl w:val="27AA0C2E"/>
    <w:lvl w:ilvl="0">
      <w:start w:val="1"/>
      <w:numFmt w:val="decimal"/>
      <w:pStyle w:val="Listnum"/>
      <w:lvlText w:val="%1."/>
      <w:lvlJc w:val="left"/>
      <w:pPr>
        <w:tabs>
          <w:tab w:val="num" w:pos="504"/>
        </w:tabs>
        <w:ind w:left="504" w:hanging="504"/>
      </w:pPr>
      <w:rPr>
        <w:rFonts w:hint="default"/>
      </w:rPr>
    </w:lvl>
    <w:lvl w:ilvl="1">
      <w:start w:val="1"/>
      <w:numFmt w:val="lowerLetter"/>
      <w:pStyle w:val="Listnum2"/>
      <w:lvlText w:val="(%2)"/>
      <w:lvlJc w:val="left"/>
      <w:pPr>
        <w:tabs>
          <w:tab w:val="num" w:pos="1008"/>
        </w:tabs>
        <w:ind w:left="1008" w:hanging="504"/>
      </w:pPr>
      <w:rPr>
        <w:rFonts w:hint="default"/>
      </w:rPr>
    </w:lvl>
    <w:lvl w:ilvl="2">
      <w:start w:val="1"/>
      <w:numFmt w:val="lowerRoman"/>
      <w:pStyle w:val="Listnum3"/>
      <w:lvlText w:val="(%3)"/>
      <w:lvlJc w:val="right"/>
      <w:pPr>
        <w:tabs>
          <w:tab w:val="num" w:pos="1512"/>
        </w:tabs>
        <w:ind w:left="1512" w:hanging="504"/>
      </w:pPr>
      <w:rPr>
        <w:rFonts w:hint="default"/>
      </w:rPr>
    </w:lvl>
    <w:lvl w:ilvl="3">
      <w:start w:val="1"/>
      <w:numFmt w:val="decimal"/>
      <w:lvlText w:val="%4."/>
      <w:lvlJc w:val="left"/>
      <w:pPr>
        <w:tabs>
          <w:tab w:val="num" w:pos="2582"/>
        </w:tabs>
        <w:ind w:left="2016" w:hanging="504"/>
      </w:pPr>
      <w:rPr>
        <w:rFonts w:hint="default"/>
      </w:rPr>
    </w:lvl>
    <w:lvl w:ilvl="4">
      <w:start w:val="1"/>
      <w:numFmt w:val="lowerLetter"/>
      <w:lvlText w:val="%5."/>
      <w:lvlJc w:val="left"/>
      <w:pPr>
        <w:tabs>
          <w:tab w:val="num" w:pos="3086"/>
        </w:tabs>
        <w:ind w:left="2520" w:hanging="504"/>
      </w:pPr>
      <w:rPr>
        <w:rFonts w:hint="default"/>
      </w:rPr>
    </w:lvl>
    <w:lvl w:ilvl="5">
      <w:start w:val="1"/>
      <w:numFmt w:val="lowerRoman"/>
      <w:lvlText w:val="%6."/>
      <w:lvlJc w:val="right"/>
      <w:pPr>
        <w:tabs>
          <w:tab w:val="num" w:pos="3590"/>
        </w:tabs>
        <w:ind w:left="3024" w:hanging="504"/>
      </w:pPr>
      <w:rPr>
        <w:rFonts w:hint="default"/>
      </w:rPr>
    </w:lvl>
    <w:lvl w:ilvl="6">
      <w:start w:val="1"/>
      <w:numFmt w:val="decimal"/>
      <w:lvlText w:val="%7."/>
      <w:lvlJc w:val="left"/>
      <w:pPr>
        <w:tabs>
          <w:tab w:val="num" w:pos="4094"/>
        </w:tabs>
        <w:ind w:left="3528" w:hanging="504"/>
      </w:pPr>
      <w:rPr>
        <w:rFonts w:hint="default"/>
      </w:rPr>
    </w:lvl>
    <w:lvl w:ilvl="7">
      <w:start w:val="1"/>
      <w:numFmt w:val="lowerLetter"/>
      <w:lvlText w:val="%8."/>
      <w:lvlJc w:val="left"/>
      <w:pPr>
        <w:tabs>
          <w:tab w:val="num" w:pos="4598"/>
        </w:tabs>
        <w:ind w:left="4032" w:hanging="504"/>
      </w:pPr>
      <w:rPr>
        <w:rFonts w:hint="default"/>
      </w:rPr>
    </w:lvl>
    <w:lvl w:ilvl="8">
      <w:start w:val="1"/>
      <w:numFmt w:val="lowerRoman"/>
      <w:lvlText w:val="%9."/>
      <w:lvlJc w:val="right"/>
      <w:pPr>
        <w:tabs>
          <w:tab w:val="num" w:pos="5102"/>
        </w:tabs>
        <w:ind w:left="4536" w:hanging="504"/>
      </w:pPr>
      <w:rPr>
        <w:rFonts w:hint="default"/>
      </w:rPr>
    </w:lvl>
  </w:abstractNum>
  <w:abstractNum w:abstractNumId="15" w15:restartNumberingAfterBreak="0">
    <w:nsid w:val="35CB6CEA"/>
    <w:multiLevelType w:val="hybridMultilevel"/>
    <w:tmpl w:val="14627040"/>
    <w:lvl w:ilvl="0" w:tplc="D5DCD2D8">
      <w:start w:val="1"/>
      <w:numFmt w:val="bullet"/>
      <w:lvlText w:val="–"/>
      <w:lvlJc w:val="left"/>
      <w:pPr>
        <w:ind w:left="179" w:hanging="180"/>
      </w:pPr>
      <w:rPr>
        <w:rFonts w:ascii="VIC" w:eastAsia="VIC" w:hAnsi="VIC" w:hint="default"/>
        <w:color w:val="58595B"/>
        <w:sz w:val="16"/>
        <w:szCs w:val="16"/>
      </w:rPr>
    </w:lvl>
    <w:lvl w:ilvl="1" w:tplc="247AB30A">
      <w:start w:val="1"/>
      <w:numFmt w:val="bullet"/>
      <w:lvlText w:val="•"/>
      <w:lvlJc w:val="left"/>
      <w:pPr>
        <w:ind w:left="735" w:hanging="180"/>
      </w:pPr>
      <w:rPr>
        <w:rFonts w:hint="default"/>
      </w:rPr>
    </w:lvl>
    <w:lvl w:ilvl="2" w:tplc="038A3D90">
      <w:start w:val="1"/>
      <w:numFmt w:val="bullet"/>
      <w:lvlText w:val="•"/>
      <w:lvlJc w:val="left"/>
      <w:pPr>
        <w:ind w:left="1290" w:hanging="180"/>
      </w:pPr>
      <w:rPr>
        <w:rFonts w:hint="default"/>
      </w:rPr>
    </w:lvl>
    <w:lvl w:ilvl="3" w:tplc="1408EAAC">
      <w:start w:val="1"/>
      <w:numFmt w:val="bullet"/>
      <w:lvlText w:val="•"/>
      <w:lvlJc w:val="left"/>
      <w:pPr>
        <w:ind w:left="1845" w:hanging="180"/>
      </w:pPr>
      <w:rPr>
        <w:rFonts w:hint="default"/>
      </w:rPr>
    </w:lvl>
    <w:lvl w:ilvl="4" w:tplc="4DFE6938">
      <w:start w:val="1"/>
      <w:numFmt w:val="bullet"/>
      <w:lvlText w:val="•"/>
      <w:lvlJc w:val="left"/>
      <w:pPr>
        <w:ind w:left="2400" w:hanging="180"/>
      </w:pPr>
      <w:rPr>
        <w:rFonts w:hint="default"/>
      </w:rPr>
    </w:lvl>
    <w:lvl w:ilvl="5" w:tplc="21A64ADA">
      <w:start w:val="1"/>
      <w:numFmt w:val="bullet"/>
      <w:lvlText w:val="•"/>
      <w:lvlJc w:val="left"/>
      <w:pPr>
        <w:ind w:left="2955" w:hanging="180"/>
      </w:pPr>
      <w:rPr>
        <w:rFonts w:hint="default"/>
      </w:rPr>
    </w:lvl>
    <w:lvl w:ilvl="6" w:tplc="0E6E1760">
      <w:start w:val="1"/>
      <w:numFmt w:val="bullet"/>
      <w:lvlText w:val="•"/>
      <w:lvlJc w:val="left"/>
      <w:pPr>
        <w:ind w:left="3511" w:hanging="180"/>
      </w:pPr>
      <w:rPr>
        <w:rFonts w:hint="default"/>
      </w:rPr>
    </w:lvl>
    <w:lvl w:ilvl="7" w:tplc="450AFF1A">
      <w:start w:val="1"/>
      <w:numFmt w:val="bullet"/>
      <w:lvlText w:val="•"/>
      <w:lvlJc w:val="left"/>
      <w:pPr>
        <w:ind w:left="4066" w:hanging="180"/>
      </w:pPr>
      <w:rPr>
        <w:rFonts w:hint="default"/>
      </w:rPr>
    </w:lvl>
    <w:lvl w:ilvl="8" w:tplc="21B2F8CA">
      <w:start w:val="1"/>
      <w:numFmt w:val="bullet"/>
      <w:lvlText w:val="•"/>
      <w:lvlJc w:val="left"/>
      <w:pPr>
        <w:ind w:left="4621" w:hanging="180"/>
      </w:pPr>
      <w:rPr>
        <w:rFonts w:hint="default"/>
      </w:rPr>
    </w:lvl>
  </w:abstractNum>
  <w:abstractNum w:abstractNumId="16"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7" w15:restartNumberingAfterBreak="0">
    <w:nsid w:val="4DEE6296"/>
    <w:multiLevelType w:val="hybridMultilevel"/>
    <w:tmpl w:val="AE7EC1B2"/>
    <w:lvl w:ilvl="0" w:tplc="0C090001">
      <w:start w:val="1"/>
      <w:numFmt w:val="bullet"/>
      <w:lvlText w:val=""/>
      <w:lvlJc w:val="left"/>
      <w:pPr>
        <w:ind w:left="397" w:hanging="360"/>
      </w:pPr>
      <w:rPr>
        <w:rFonts w:ascii="Symbol" w:hAnsi="Symbol" w:hint="default"/>
      </w:rPr>
    </w:lvl>
    <w:lvl w:ilvl="1" w:tplc="0C090003" w:tentative="1">
      <w:start w:val="1"/>
      <w:numFmt w:val="bullet"/>
      <w:lvlText w:val="o"/>
      <w:lvlJc w:val="left"/>
      <w:pPr>
        <w:ind w:left="1117" w:hanging="360"/>
      </w:pPr>
      <w:rPr>
        <w:rFonts w:ascii="Courier New" w:hAnsi="Courier New" w:cs="Courier New" w:hint="default"/>
      </w:rPr>
    </w:lvl>
    <w:lvl w:ilvl="2" w:tplc="0C090005" w:tentative="1">
      <w:start w:val="1"/>
      <w:numFmt w:val="bullet"/>
      <w:lvlText w:val=""/>
      <w:lvlJc w:val="left"/>
      <w:pPr>
        <w:ind w:left="1837" w:hanging="360"/>
      </w:pPr>
      <w:rPr>
        <w:rFonts w:ascii="Wingdings" w:hAnsi="Wingdings" w:hint="default"/>
      </w:rPr>
    </w:lvl>
    <w:lvl w:ilvl="3" w:tplc="0C090001" w:tentative="1">
      <w:start w:val="1"/>
      <w:numFmt w:val="bullet"/>
      <w:lvlText w:val=""/>
      <w:lvlJc w:val="left"/>
      <w:pPr>
        <w:ind w:left="2557" w:hanging="360"/>
      </w:pPr>
      <w:rPr>
        <w:rFonts w:ascii="Symbol" w:hAnsi="Symbol" w:hint="default"/>
      </w:rPr>
    </w:lvl>
    <w:lvl w:ilvl="4" w:tplc="0C090003" w:tentative="1">
      <w:start w:val="1"/>
      <w:numFmt w:val="bullet"/>
      <w:lvlText w:val="o"/>
      <w:lvlJc w:val="left"/>
      <w:pPr>
        <w:ind w:left="3277" w:hanging="360"/>
      </w:pPr>
      <w:rPr>
        <w:rFonts w:ascii="Courier New" w:hAnsi="Courier New" w:cs="Courier New" w:hint="default"/>
      </w:rPr>
    </w:lvl>
    <w:lvl w:ilvl="5" w:tplc="0C090005" w:tentative="1">
      <w:start w:val="1"/>
      <w:numFmt w:val="bullet"/>
      <w:lvlText w:val=""/>
      <w:lvlJc w:val="left"/>
      <w:pPr>
        <w:ind w:left="3997" w:hanging="360"/>
      </w:pPr>
      <w:rPr>
        <w:rFonts w:ascii="Wingdings" w:hAnsi="Wingdings" w:hint="default"/>
      </w:rPr>
    </w:lvl>
    <w:lvl w:ilvl="6" w:tplc="0C090001" w:tentative="1">
      <w:start w:val="1"/>
      <w:numFmt w:val="bullet"/>
      <w:lvlText w:val=""/>
      <w:lvlJc w:val="left"/>
      <w:pPr>
        <w:ind w:left="4717" w:hanging="360"/>
      </w:pPr>
      <w:rPr>
        <w:rFonts w:ascii="Symbol" w:hAnsi="Symbol" w:hint="default"/>
      </w:rPr>
    </w:lvl>
    <w:lvl w:ilvl="7" w:tplc="0C090003" w:tentative="1">
      <w:start w:val="1"/>
      <w:numFmt w:val="bullet"/>
      <w:lvlText w:val="o"/>
      <w:lvlJc w:val="left"/>
      <w:pPr>
        <w:ind w:left="5437" w:hanging="360"/>
      </w:pPr>
      <w:rPr>
        <w:rFonts w:ascii="Courier New" w:hAnsi="Courier New" w:cs="Courier New" w:hint="default"/>
      </w:rPr>
    </w:lvl>
    <w:lvl w:ilvl="8" w:tplc="0C090005" w:tentative="1">
      <w:start w:val="1"/>
      <w:numFmt w:val="bullet"/>
      <w:lvlText w:val=""/>
      <w:lvlJc w:val="left"/>
      <w:pPr>
        <w:ind w:left="6157" w:hanging="360"/>
      </w:pPr>
      <w:rPr>
        <w:rFonts w:ascii="Wingdings" w:hAnsi="Wingdings" w:hint="default"/>
      </w:rPr>
    </w:lvl>
  </w:abstractNum>
  <w:abstractNum w:abstractNumId="18" w15:restartNumberingAfterBreak="0">
    <w:nsid w:val="5B661CD9"/>
    <w:multiLevelType w:val="multilevel"/>
    <w:tmpl w:val="7CAC48E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19" w15:restartNumberingAfterBreak="0">
    <w:nsid w:val="70CF7D41"/>
    <w:multiLevelType w:val="hybridMultilevel"/>
    <w:tmpl w:val="A02416E2"/>
    <w:lvl w:ilvl="0" w:tplc="828A8610">
      <w:start w:val="1"/>
      <w:numFmt w:val="bullet"/>
      <w:pStyle w:val="ListBullet2"/>
      <w:lvlText w:val="–"/>
      <w:lvlJc w:val="left"/>
      <w:pPr>
        <w:ind w:left="643" w:hanging="360"/>
      </w:pPr>
      <w:rPr>
        <w:rFonts w:ascii="Calibri" w:hAnsi="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0" w15:restartNumberingAfterBreak="0">
    <w:nsid w:val="72B8443E"/>
    <w:multiLevelType w:val="hybridMultilevel"/>
    <w:tmpl w:val="97028F12"/>
    <w:lvl w:ilvl="0" w:tplc="1B8AF496">
      <w:start w:val="1"/>
      <w:numFmt w:val="bullet"/>
      <w:lvlText w:val="–"/>
      <w:lvlJc w:val="left"/>
      <w:pPr>
        <w:ind w:left="179" w:hanging="180"/>
      </w:pPr>
      <w:rPr>
        <w:rFonts w:ascii="VIC" w:eastAsia="VIC" w:hAnsi="VIC" w:hint="default"/>
        <w:color w:val="58595B"/>
        <w:sz w:val="16"/>
        <w:szCs w:val="16"/>
      </w:rPr>
    </w:lvl>
    <w:lvl w:ilvl="1" w:tplc="9F8A0EE2">
      <w:start w:val="1"/>
      <w:numFmt w:val="bullet"/>
      <w:lvlText w:val="•"/>
      <w:lvlJc w:val="left"/>
      <w:pPr>
        <w:ind w:left="877" w:hanging="180"/>
      </w:pPr>
      <w:rPr>
        <w:rFonts w:hint="default"/>
      </w:rPr>
    </w:lvl>
    <w:lvl w:ilvl="2" w:tplc="41DE2ED0">
      <w:start w:val="1"/>
      <w:numFmt w:val="bullet"/>
      <w:lvlText w:val="•"/>
      <w:lvlJc w:val="left"/>
      <w:pPr>
        <w:ind w:left="1576" w:hanging="180"/>
      </w:pPr>
      <w:rPr>
        <w:rFonts w:hint="default"/>
      </w:rPr>
    </w:lvl>
    <w:lvl w:ilvl="3" w:tplc="4BC4250E">
      <w:start w:val="1"/>
      <w:numFmt w:val="bullet"/>
      <w:lvlText w:val="•"/>
      <w:lvlJc w:val="left"/>
      <w:pPr>
        <w:ind w:left="2274" w:hanging="180"/>
      </w:pPr>
      <w:rPr>
        <w:rFonts w:hint="default"/>
      </w:rPr>
    </w:lvl>
    <w:lvl w:ilvl="4" w:tplc="E73206A8">
      <w:start w:val="1"/>
      <w:numFmt w:val="bullet"/>
      <w:lvlText w:val="•"/>
      <w:lvlJc w:val="left"/>
      <w:pPr>
        <w:ind w:left="2972" w:hanging="180"/>
      </w:pPr>
      <w:rPr>
        <w:rFonts w:hint="default"/>
      </w:rPr>
    </w:lvl>
    <w:lvl w:ilvl="5" w:tplc="B8D2DE7A">
      <w:start w:val="1"/>
      <w:numFmt w:val="bullet"/>
      <w:lvlText w:val="•"/>
      <w:lvlJc w:val="left"/>
      <w:pPr>
        <w:ind w:left="3670" w:hanging="180"/>
      </w:pPr>
      <w:rPr>
        <w:rFonts w:hint="default"/>
      </w:rPr>
    </w:lvl>
    <w:lvl w:ilvl="6" w:tplc="8A12663A">
      <w:start w:val="1"/>
      <w:numFmt w:val="bullet"/>
      <w:lvlText w:val="•"/>
      <w:lvlJc w:val="left"/>
      <w:pPr>
        <w:ind w:left="4368" w:hanging="180"/>
      </w:pPr>
      <w:rPr>
        <w:rFonts w:hint="default"/>
      </w:rPr>
    </w:lvl>
    <w:lvl w:ilvl="7" w:tplc="2EE69AFA">
      <w:start w:val="1"/>
      <w:numFmt w:val="bullet"/>
      <w:lvlText w:val="•"/>
      <w:lvlJc w:val="left"/>
      <w:pPr>
        <w:ind w:left="5066" w:hanging="180"/>
      </w:pPr>
      <w:rPr>
        <w:rFonts w:hint="default"/>
      </w:rPr>
    </w:lvl>
    <w:lvl w:ilvl="8" w:tplc="E132D8C2">
      <w:start w:val="1"/>
      <w:numFmt w:val="bullet"/>
      <w:lvlText w:val="•"/>
      <w:lvlJc w:val="left"/>
      <w:pPr>
        <w:ind w:left="5764" w:hanging="180"/>
      </w:pPr>
      <w:rPr>
        <w:rFonts w:hint="default"/>
      </w:rPr>
    </w:lvl>
  </w:abstractNum>
  <w:abstractNum w:abstractNumId="21" w15:restartNumberingAfterBreak="0">
    <w:nsid w:val="732D5BE7"/>
    <w:multiLevelType w:val="hybridMultilevel"/>
    <w:tmpl w:val="E4FC3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7E12E5"/>
    <w:multiLevelType w:val="hybridMultilevel"/>
    <w:tmpl w:val="3A5E8A9C"/>
    <w:lvl w:ilvl="0" w:tplc="D52C8DE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C371116"/>
    <w:multiLevelType w:val="hybridMultilevel"/>
    <w:tmpl w:val="6AB40200"/>
    <w:lvl w:ilvl="0" w:tplc="0C090001">
      <w:start w:val="1"/>
      <w:numFmt w:val="bullet"/>
      <w:lvlText w:val=""/>
      <w:lvlJc w:val="left"/>
      <w:pPr>
        <w:ind w:left="2055" w:hanging="162"/>
      </w:pPr>
      <w:rPr>
        <w:rFonts w:ascii="Symbol" w:hAnsi="Symbol" w:hint="default"/>
        <w:sz w:val="14"/>
        <w:szCs w:val="14"/>
      </w:rPr>
    </w:lvl>
    <w:lvl w:ilvl="1" w:tplc="6004E722">
      <w:start w:val="1"/>
      <w:numFmt w:val="bullet"/>
      <w:lvlText w:val="•"/>
      <w:lvlJc w:val="left"/>
      <w:pPr>
        <w:ind w:left="2314" w:hanging="162"/>
      </w:pPr>
      <w:rPr>
        <w:rFonts w:hint="default"/>
      </w:rPr>
    </w:lvl>
    <w:lvl w:ilvl="2" w:tplc="997CDAA6">
      <w:start w:val="1"/>
      <w:numFmt w:val="bullet"/>
      <w:lvlText w:val="•"/>
      <w:lvlJc w:val="left"/>
      <w:pPr>
        <w:ind w:left="2574" w:hanging="162"/>
      </w:pPr>
      <w:rPr>
        <w:rFonts w:hint="default"/>
      </w:rPr>
    </w:lvl>
    <w:lvl w:ilvl="3" w:tplc="8F3686CA">
      <w:start w:val="1"/>
      <w:numFmt w:val="bullet"/>
      <w:lvlText w:val="•"/>
      <w:lvlJc w:val="left"/>
      <w:pPr>
        <w:ind w:left="2833" w:hanging="162"/>
      </w:pPr>
      <w:rPr>
        <w:rFonts w:hint="default"/>
      </w:rPr>
    </w:lvl>
    <w:lvl w:ilvl="4" w:tplc="99F25298">
      <w:start w:val="1"/>
      <w:numFmt w:val="bullet"/>
      <w:lvlText w:val="•"/>
      <w:lvlJc w:val="left"/>
      <w:pPr>
        <w:ind w:left="3092" w:hanging="162"/>
      </w:pPr>
      <w:rPr>
        <w:rFonts w:hint="default"/>
      </w:rPr>
    </w:lvl>
    <w:lvl w:ilvl="5" w:tplc="285EFFFC">
      <w:start w:val="1"/>
      <w:numFmt w:val="bullet"/>
      <w:lvlText w:val="•"/>
      <w:lvlJc w:val="left"/>
      <w:pPr>
        <w:ind w:left="3352" w:hanging="162"/>
      </w:pPr>
      <w:rPr>
        <w:rFonts w:hint="default"/>
      </w:rPr>
    </w:lvl>
    <w:lvl w:ilvl="6" w:tplc="317CDCA4">
      <w:start w:val="1"/>
      <w:numFmt w:val="bullet"/>
      <w:lvlText w:val="•"/>
      <w:lvlJc w:val="left"/>
      <w:pPr>
        <w:ind w:left="3611" w:hanging="162"/>
      </w:pPr>
      <w:rPr>
        <w:rFonts w:hint="default"/>
      </w:rPr>
    </w:lvl>
    <w:lvl w:ilvl="7" w:tplc="298AFF5C">
      <w:start w:val="1"/>
      <w:numFmt w:val="bullet"/>
      <w:lvlText w:val="•"/>
      <w:lvlJc w:val="left"/>
      <w:pPr>
        <w:ind w:left="3870" w:hanging="162"/>
      </w:pPr>
      <w:rPr>
        <w:rFonts w:hint="default"/>
      </w:rPr>
    </w:lvl>
    <w:lvl w:ilvl="8" w:tplc="EFFAED3A">
      <w:start w:val="1"/>
      <w:numFmt w:val="bullet"/>
      <w:lvlText w:val="•"/>
      <w:lvlJc w:val="left"/>
      <w:pPr>
        <w:ind w:left="4130" w:hanging="162"/>
      </w:pPr>
      <w:rPr>
        <w:rFonts w:hint="default"/>
      </w:rPr>
    </w:lvl>
  </w:abstractNum>
  <w:abstractNum w:abstractNumId="24" w15:restartNumberingAfterBreak="0">
    <w:nsid w:val="7FD44514"/>
    <w:multiLevelType w:val="multilevel"/>
    <w:tmpl w:val="A5788C62"/>
    <w:lvl w:ilvl="0">
      <w:start w:val="1"/>
      <w:numFmt w:val="lowerLetter"/>
      <w:pStyle w:val="ListNumber2"/>
      <w:lvlText w:val="(%1)"/>
      <w:lvlJc w:val="left"/>
      <w:pPr>
        <w:tabs>
          <w:tab w:val="num" w:pos="360"/>
        </w:tabs>
        <w:ind w:left="360" w:hanging="360"/>
      </w:pPr>
      <w:rPr>
        <w:rFonts w:hint="default"/>
      </w:rPr>
    </w:lvl>
    <w:lvl w:ilvl="1">
      <w:start w:val="1"/>
      <w:numFmt w:val="lowerRoman"/>
      <w:pStyle w:val="ListNumber3"/>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abstractNumId w:val="16"/>
  </w:num>
  <w:num w:numId="2">
    <w:abstractNumId w:val="24"/>
  </w:num>
  <w:num w:numId="3">
    <w:abstractNumId w:val="13"/>
  </w:num>
  <w:num w:numId="4">
    <w:abstractNumId w:val="22"/>
  </w:num>
  <w:num w:numId="5">
    <w:abstractNumId w:val="8"/>
  </w:num>
  <w:num w:numId="6">
    <w:abstractNumId w:val="12"/>
  </w:num>
  <w:num w:numId="7">
    <w:abstractNumId w:val="10"/>
  </w:num>
  <w:num w:numId="8">
    <w:abstractNumId w:val="11"/>
  </w:num>
  <w:num w:numId="9">
    <w:abstractNumId w:val="20"/>
  </w:num>
  <w:num w:numId="10">
    <w:abstractNumId w:val="15"/>
  </w:num>
  <w:num w:numId="11">
    <w:abstractNumId w:val="19"/>
  </w:num>
  <w:num w:numId="12">
    <w:abstractNumId w:val="23"/>
  </w:num>
  <w:num w:numId="13">
    <w:abstractNumId w:val="0"/>
  </w:num>
  <w:num w:numId="14">
    <w:abstractNumId w:val="4"/>
  </w:num>
  <w:num w:numId="15">
    <w:abstractNumId w:val="6"/>
  </w:num>
  <w:num w:numId="16">
    <w:abstractNumId w:val="5"/>
  </w:num>
  <w:num w:numId="17">
    <w:abstractNumId w:val="19"/>
    <w:lvlOverride w:ilvl="0">
      <w:startOverride w:val="1"/>
    </w:lvlOverride>
  </w:num>
  <w:num w:numId="18">
    <w:abstractNumId w:val="5"/>
    <w:lvlOverride w:ilvl="0">
      <w:startOverride w:val="1"/>
    </w:lvlOverride>
  </w:num>
  <w:num w:numId="19">
    <w:abstractNumId w:val="18"/>
  </w:num>
  <w:num w:numId="20">
    <w:abstractNumId w:val="7"/>
  </w:num>
  <w:num w:numId="21">
    <w:abstractNumId w:val="3"/>
  </w:num>
  <w:num w:numId="22">
    <w:abstractNumId w:val="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4"/>
  </w:num>
  <w:num w:numId="26">
    <w:abstractNumId w:val="24"/>
  </w:num>
  <w:num w:numId="27">
    <w:abstractNumId w:val="24"/>
  </w:num>
  <w:num w:numId="28">
    <w:abstractNumId w:val="24"/>
  </w:num>
  <w:num w:numId="29">
    <w:abstractNumId w:val="8"/>
  </w:num>
  <w:num w:numId="30">
    <w:abstractNumId w:val="19"/>
  </w:num>
  <w:num w:numId="31">
    <w:abstractNumId w:val="6"/>
  </w:num>
  <w:num w:numId="32">
    <w:abstractNumId w:val="5"/>
  </w:num>
  <w:num w:numId="33">
    <w:abstractNumId w:val="7"/>
  </w:num>
  <w:num w:numId="34">
    <w:abstractNumId w:val="24"/>
  </w:num>
  <w:num w:numId="35">
    <w:abstractNumId w:val="24"/>
  </w:num>
  <w:num w:numId="36">
    <w:abstractNumId w:val="1"/>
  </w:num>
  <w:num w:numId="37">
    <w:abstractNumId w:val="0"/>
  </w:num>
  <w:num w:numId="38">
    <w:abstractNumId w:val="14"/>
  </w:num>
  <w:num w:numId="39">
    <w:abstractNumId w:val="9"/>
  </w:num>
  <w:num w:numId="40">
    <w:abstractNumId w:val="17"/>
  </w:num>
  <w:num w:numId="41">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E7"/>
    <w:rsid w:val="00012F6F"/>
    <w:rsid w:val="00014213"/>
    <w:rsid w:val="00014B55"/>
    <w:rsid w:val="00020E3E"/>
    <w:rsid w:val="00021CC6"/>
    <w:rsid w:val="00023BF3"/>
    <w:rsid w:val="00026811"/>
    <w:rsid w:val="00033E7D"/>
    <w:rsid w:val="00043296"/>
    <w:rsid w:val="0004356D"/>
    <w:rsid w:val="00045296"/>
    <w:rsid w:val="00050267"/>
    <w:rsid w:val="00056D7C"/>
    <w:rsid w:val="000578CE"/>
    <w:rsid w:val="0006571B"/>
    <w:rsid w:val="00070323"/>
    <w:rsid w:val="000752FA"/>
    <w:rsid w:val="00075E6C"/>
    <w:rsid w:val="000B29AD"/>
    <w:rsid w:val="000C6372"/>
    <w:rsid w:val="000D1227"/>
    <w:rsid w:val="000D2940"/>
    <w:rsid w:val="000D593F"/>
    <w:rsid w:val="000E392D"/>
    <w:rsid w:val="000F0D29"/>
    <w:rsid w:val="000F4288"/>
    <w:rsid w:val="000F7165"/>
    <w:rsid w:val="00102379"/>
    <w:rsid w:val="001065D6"/>
    <w:rsid w:val="00116DFE"/>
    <w:rsid w:val="00121252"/>
    <w:rsid w:val="00124609"/>
    <w:rsid w:val="001254CE"/>
    <w:rsid w:val="00126AF9"/>
    <w:rsid w:val="00134CEA"/>
    <w:rsid w:val="001422CC"/>
    <w:rsid w:val="001464E8"/>
    <w:rsid w:val="00156B30"/>
    <w:rsid w:val="00160F91"/>
    <w:rsid w:val="001617B6"/>
    <w:rsid w:val="00163250"/>
    <w:rsid w:val="001653E7"/>
    <w:rsid w:val="00165E66"/>
    <w:rsid w:val="0017428B"/>
    <w:rsid w:val="00181CDD"/>
    <w:rsid w:val="001A3DD1"/>
    <w:rsid w:val="001C1CCA"/>
    <w:rsid w:val="001C7BAE"/>
    <w:rsid w:val="001D717E"/>
    <w:rsid w:val="001E31FA"/>
    <w:rsid w:val="001E64F6"/>
    <w:rsid w:val="001F3CB4"/>
    <w:rsid w:val="00202A63"/>
    <w:rsid w:val="0021045C"/>
    <w:rsid w:val="00222221"/>
    <w:rsid w:val="00222BEB"/>
    <w:rsid w:val="00225E60"/>
    <w:rsid w:val="0023202C"/>
    <w:rsid w:val="00236203"/>
    <w:rsid w:val="00245043"/>
    <w:rsid w:val="00257760"/>
    <w:rsid w:val="00264C73"/>
    <w:rsid w:val="00274502"/>
    <w:rsid w:val="00292D36"/>
    <w:rsid w:val="00297281"/>
    <w:rsid w:val="002A7163"/>
    <w:rsid w:val="002B7543"/>
    <w:rsid w:val="002C54E0"/>
    <w:rsid w:val="002D711A"/>
    <w:rsid w:val="002D7336"/>
    <w:rsid w:val="002E3396"/>
    <w:rsid w:val="00305AB2"/>
    <w:rsid w:val="0031149C"/>
    <w:rsid w:val="003451D5"/>
    <w:rsid w:val="00345296"/>
    <w:rsid w:val="00385A60"/>
    <w:rsid w:val="0038771C"/>
    <w:rsid w:val="00390838"/>
    <w:rsid w:val="00391011"/>
    <w:rsid w:val="00392A8F"/>
    <w:rsid w:val="0039405B"/>
    <w:rsid w:val="003A1C92"/>
    <w:rsid w:val="003A541A"/>
    <w:rsid w:val="003A6923"/>
    <w:rsid w:val="003B5A16"/>
    <w:rsid w:val="003C2C67"/>
    <w:rsid w:val="003C2EA2"/>
    <w:rsid w:val="003C5BA4"/>
    <w:rsid w:val="003E3E26"/>
    <w:rsid w:val="003F06A8"/>
    <w:rsid w:val="003F1295"/>
    <w:rsid w:val="003F76FC"/>
    <w:rsid w:val="004002EB"/>
    <w:rsid w:val="00405C57"/>
    <w:rsid w:val="0041689E"/>
    <w:rsid w:val="004236C8"/>
    <w:rsid w:val="00427681"/>
    <w:rsid w:val="00433DB7"/>
    <w:rsid w:val="00453750"/>
    <w:rsid w:val="00456941"/>
    <w:rsid w:val="0046367C"/>
    <w:rsid w:val="0046455E"/>
    <w:rsid w:val="004669E3"/>
    <w:rsid w:val="004702EA"/>
    <w:rsid w:val="00482D02"/>
    <w:rsid w:val="004A7519"/>
    <w:rsid w:val="004A7C2A"/>
    <w:rsid w:val="004B41CA"/>
    <w:rsid w:val="004C1CB1"/>
    <w:rsid w:val="004D3518"/>
    <w:rsid w:val="004D62D6"/>
    <w:rsid w:val="004E5191"/>
    <w:rsid w:val="00504D1A"/>
    <w:rsid w:val="005136F0"/>
    <w:rsid w:val="00527817"/>
    <w:rsid w:val="0053416C"/>
    <w:rsid w:val="00541C2F"/>
    <w:rsid w:val="00563527"/>
    <w:rsid w:val="0058124E"/>
    <w:rsid w:val="00584301"/>
    <w:rsid w:val="005866C0"/>
    <w:rsid w:val="005875A3"/>
    <w:rsid w:val="005A3416"/>
    <w:rsid w:val="005A597A"/>
    <w:rsid w:val="005B27FE"/>
    <w:rsid w:val="005C3E6D"/>
    <w:rsid w:val="005D18D8"/>
    <w:rsid w:val="005F61DF"/>
    <w:rsid w:val="00600758"/>
    <w:rsid w:val="006023F9"/>
    <w:rsid w:val="00604161"/>
    <w:rsid w:val="00610559"/>
    <w:rsid w:val="00610EC1"/>
    <w:rsid w:val="00622AB0"/>
    <w:rsid w:val="006332F6"/>
    <w:rsid w:val="006361E7"/>
    <w:rsid w:val="00652625"/>
    <w:rsid w:val="006534B2"/>
    <w:rsid w:val="0065615D"/>
    <w:rsid w:val="00657011"/>
    <w:rsid w:val="0065773B"/>
    <w:rsid w:val="006650B5"/>
    <w:rsid w:val="006651B1"/>
    <w:rsid w:val="00665778"/>
    <w:rsid w:val="006738C4"/>
    <w:rsid w:val="00673F39"/>
    <w:rsid w:val="00694C89"/>
    <w:rsid w:val="00696CAC"/>
    <w:rsid w:val="006A5B34"/>
    <w:rsid w:val="006A5F5B"/>
    <w:rsid w:val="006C62C4"/>
    <w:rsid w:val="006C77A9"/>
    <w:rsid w:val="006D2B42"/>
    <w:rsid w:val="006E08FD"/>
    <w:rsid w:val="006E6981"/>
    <w:rsid w:val="006F5965"/>
    <w:rsid w:val="006F6693"/>
    <w:rsid w:val="00707FE8"/>
    <w:rsid w:val="00724962"/>
    <w:rsid w:val="00724A0F"/>
    <w:rsid w:val="0072772A"/>
    <w:rsid w:val="0073072C"/>
    <w:rsid w:val="007320B4"/>
    <w:rsid w:val="00732162"/>
    <w:rsid w:val="00736732"/>
    <w:rsid w:val="007415EB"/>
    <w:rsid w:val="007460BA"/>
    <w:rsid w:val="00750CBE"/>
    <w:rsid w:val="00766B5A"/>
    <w:rsid w:val="00772B5A"/>
    <w:rsid w:val="00781DEE"/>
    <w:rsid w:val="007834F2"/>
    <w:rsid w:val="00783A05"/>
    <w:rsid w:val="007909B1"/>
    <w:rsid w:val="00791020"/>
    <w:rsid w:val="007A5F82"/>
    <w:rsid w:val="007B1BF2"/>
    <w:rsid w:val="007B75A4"/>
    <w:rsid w:val="007F1A4C"/>
    <w:rsid w:val="007F33BB"/>
    <w:rsid w:val="008022C3"/>
    <w:rsid w:val="00803BE9"/>
    <w:rsid w:val="008041E6"/>
    <w:rsid w:val="00805264"/>
    <w:rsid w:val="008065D2"/>
    <w:rsid w:val="00820E3E"/>
    <w:rsid w:val="0082194C"/>
    <w:rsid w:val="008220C4"/>
    <w:rsid w:val="008222FF"/>
    <w:rsid w:val="008241FF"/>
    <w:rsid w:val="008278AC"/>
    <w:rsid w:val="008411E9"/>
    <w:rsid w:val="0084200F"/>
    <w:rsid w:val="008422A3"/>
    <w:rsid w:val="00843B2C"/>
    <w:rsid w:val="008471C4"/>
    <w:rsid w:val="008A18BE"/>
    <w:rsid w:val="008A24B6"/>
    <w:rsid w:val="008A4900"/>
    <w:rsid w:val="008C6250"/>
    <w:rsid w:val="008D0281"/>
    <w:rsid w:val="008E3C4E"/>
    <w:rsid w:val="008F6D45"/>
    <w:rsid w:val="008F6E61"/>
    <w:rsid w:val="0092358A"/>
    <w:rsid w:val="00927244"/>
    <w:rsid w:val="00934E92"/>
    <w:rsid w:val="009420E2"/>
    <w:rsid w:val="009831E3"/>
    <w:rsid w:val="009834C0"/>
    <w:rsid w:val="00984C95"/>
    <w:rsid w:val="00986AAC"/>
    <w:rsid w:val="009922DB"/>
    <w:rsid w:val="009A1DA2"/>
    <w:rsid w:val="009A3704"/>
    <w:rsid w:val="009A4739"/>
    <w:rsid w:val="009A674F"/>
    <w:rsid w:val="009B199C"/>
    <w:rsid w:val="009B54C8"/>
    <w:rsid w:val="009B61F1"/>
    <w:rsid w:val="009B62E0"/>
    <w:rsid w:val="009C3D88"/>
    <w:rsid w:val="009C40E3"/>
    <w:rsid w:val="009D1237"/>
    <w:rsid w:val="009D1C63"/>
    <w:rsid w:val="009E1401"/>
    <w:rsid w:val="009E3858"/>
    <w:rsid w:val="009E70DD"/>
    <w:rsid w:val="009F2ED9"/>
    <w:rsid w:val="009F3231"/>
    <w:rsid w:val="009F5C58"/>
    <w:rsid w:val="00A020D9"/>
    <w:rsid w:val="00A023A0"/>
    <w:rsid w:val="00A13927"/>
    <w:rsid w:val="00A1562B"/>
    <w:rsid w:val="00A16670"/>
    <w:rsid w:val="00A170F4"/>
    <w:rsid w:val="00A2559E"/>
    <w:rsid w:val="00A25FD9"/>
    <w:rsid w:val="00A37A5C"/>
    <w:rsid w:val="00A46BA8"/>
    <w:rsid w:val="00A47634"/>
    <w:rsid w:val="00A612FE"/>
    <w:rsid w:val="00A82ACC"/>
    <w:rsid w:val="00A85B12"/>
    <w:rsid w:val="00A932CD"/>
    <w:rsid w:val="00AA01AA"/>
    <w:rsid w:val="00AA26B8"/>
    <w:rsid w:val="00AA5516"/>
    <w:rsid w:val="00AA6FB5"/>
    <w:rsid w:val="00AB3FE2"/>
    <w:rsid w:val="00AB7B29"/>
    <w:rsid w:val="00AC4A12"/>
    <w:rsid w:val="00AD3322"/>
    <w:rsid w:val="00AD7E4E"/>
    <w:rsid w:val="00AE07C2"/>
    <w:rsid w:val="00AE5428"/>
    <w:rsid w:val="00AF34DE"/>
    <w:rsid w:val="00AF4D58"/>
    <w:rsid w:val="00AF6666"/>
    <w:rsid w:val="00B05DFC"/>
    <w:rsid w:val="00B10154"/>
    <w:rsid w:val="00B2138B"/>
    <w:rsid w:val="00B263EE"/>
    <w:rsid w:val="00B27F3B"/>
    <w:rsid w:val="00B47F14"/>
    <w:rsid w:val="00B81B44"/>
    <w:rsid w:val="00B9053B"/>
    <w:rsid w:val="00BA622C"/>
    <w:rsid w:val="00BA7731"/>
    <w:rsid w:val="00BB3278"/>
    <w:rsid w:val="00BC286B"/>
    <w:rsid w:val="00BC3422"/>
    <w:rsid w:val="00BC3AB3"/>
    <w:rsid w:val="00BE14D0"/>
    <w:rsid w:val="00BE5ED7"/>
    <w:rsid w:val="00C015B9"/>
    <w:rsid w:val="00C022F9"/>
    <w:rsid w:val="00C032EA"/>
    <w:rsid w:val="00C06EB5"/>
    <w:rsid w:val="00C1145F"/>
    <w:rsid w:val="00C12803"/>
    <w:rsid w:val="00C24956"/>
    <w:rsid w:val="00C637E1"/>
    <w:rsid w:val="00C70D50"/>
    <w:rsid w:val="00C81130"/>
    <w:rsid w:val="00C8243E"/>
    <w:rsid w:val="00C907D7"/>
    <w:rsid w:val="00C92338"/>
    <w:rsid w:val="00CA3EC0"/>
    <w:rsid w:val="00CA7C3A"/>
    <w:rsid w:val="00CB2F59"/>
    <w:rsid w:val="00CC2DB2"/>
    <w:rsid w:val="00CC4A9D"/>
    <w:rsid w:val="00CD0307"/>
    <w:rsid w:val="00CD3D1B"/>
    <w:rsid w:val="00CD671D"/>
    <w:rsid w:val="00CE62B3"/>
    <w:rsid w:val="00CF468C"/>
    <w:rsid w:val="00CF6B32"/>
    <w:rsid w:val="00CF7DCA"/>
    <w:rsid w:val="00D04673"/>
    <w:rsid w:val="00D211E9"/>
    <w:rsid w:val="00D2312F"/>
    <w:rsid w:val="00D269C1"/>
    <w:rsid w:val="00D30079"/>
    <w:rsid w:val="00D3540D"/>
    <w:rsid w:val="00D44953"/>
    <w:rsid w:val="00D542F3"/>
    <w:rsid w:val="00D543E5"/>
    <w:rsid w:val="00D5644B"/>
    <w:rsid w:val="00D56E25"/>
    <w:rsid w:val="00D71896"/>
    <w:rsid w:val="00D718D7"/>
    <w:rsid w:val="00D73212"/>
    <w:rsid w:val="00D814B7"/>
    <w:rsid w:val="00D90688"/>
    <w:rsid w:val="00D952AE"/>
    <w:rsid w:val="00D95BB4"/>
    <w:rsid w:val="00DA3AAD"/>
    <w:rsid w:val="00DB312B"/>
    <w:rsid w:val="00DC5654"/>
    <w:rsid w:val="00DC658F"/>
    <w:rsid w:val="00DD29DD"/>
    <w:rsid w:val="00DE60CC"/>
    <w:rsid w:val="00DE7FA3"/>
    <w:rsid w:val="00E26B32"/>
    <w:rsid w:val="00E31444"/>
    <w:rsid w:val="00E3254C"/>
    <w:rsid w:val="00E407B6"/>
    <w:rsid w:val="00E41EF1"/>
    <w:rsid w:val="00E42942"/>
    <w:rsid w:val="00E468A6"/>
    <w:rsid w:val="00E57A63"/>
    <w:rsid w:val="00E64378"/>
    <w:rsid w:val="00E71BDF"/>
    <w:rsid w:val="00E8211D"/>
    <w:rsid w:val="00E83CA7"/>
    <w:rsid w:val="00E87B04"/>
    <w:rsid w:val="00E9362B"/>
    <w:rsid w:val="00EC046E"/>
    <w:rsid w:val="00EC171D"/>
    <w:rsid w:val="00EC5D99"/>
    <w:rsid w:val="00ED3490"/>
    <w:rsid w:val="00ED487E"/>
    <w:rsid w:val="00EE7A0D"/>
    <w:rsid w:val="00EF0D21"/>
    <w:rsid w:val="00F061CB"/>
    <w:rsid w:val="00F17CE1"/>
    <w:rsid w:val="00F2115C"/>
    <w:rsid w:val="00F22ABA"/>
    <w:rsid w:val="00F36B12"/>
    <w:rsid w:val="00F417C3"/>
    <w:rsid w:val="00F45D7A"/>
    <w:rsid w:val="00F60F9F"/>
    <w:rsid w:val="00F64F08"/>
    <w:rsid w:val="00F734F5"/>
    <w:rsid w:val="00F86B17"/>
    <w:rsid w:val="00F966B1"/>
    <w:rsid w:val="00F97D48"/>
    <w:rsid w:val="00FA0311"/>
    <w:rsid w:val="00FA3344"/>
    <w:rsid w:val="00FC42E5"/>
    <w:rsid w:val="00FD55F4"/>
    <w:rsid w:val="00FD640F"/>
    <w:rsid w:val="00FD6B4C"/>
    <w:rsid w:val="00FD6BE9"/>
    <w:rsid w:val="00FE12DF"/>
    <w:rsid w:val="00FF3B38"/>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5300C9"/>
  <w15:docId w15:val="{8D3674BF-7E51-49DD-A3C6-EEDB2BD5B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3"/>
    <w:lsdException w:name="List Number" w:semiHidden="1"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9" w:unhideWhenUsed="1"/>
    <w:lsdException w:name="List Bullet 4" w:uiPriority="9" w:unhideWhenUsed="1"/>
    <w:lsdException w:name="List Bullet 5" w:semiHidden="1" w:unhideWhenUsed="1"/>
    <w:lsdException w:name="List Number 2" w:semiHidden="1" w:uiPriority="3" w:unhideWhenUsed="1"/>
    <w:lsdException w:name="List Number 3" w:semiHidden="1" w:uiPriority="3" w:unhideWhenUsed="1"/>
    <w:lsdException w:name="List Number 4" w:uiPriority="9" w:unhideWhenUsed="1"/>
    <w:lsdException w:name="List Number 5" w:uiPriority="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1653E7"/>
    <w:pPr>
      <w:keepLines/>
      <w:spacing w:before="180" w:after="120" w:line="252" w:lineRule="auto"/>
    </w:pPr>
    <w:rPr>
      <w:rFonts w:cs="Arial"/>
      <w:spacing w:val="-2"/>
      <w:sz w:val="22"/>
    </w:rPr>
  </w:style>
  <w:style w:type="paragraph" w:styleId="Heading1">
    <w:name w:val="heading 1"/>
    <w:next w:val="Normal"/>
    <w:link w:val="Heading1Char"/>
    <w:uiPriority w:val="1"/>
    <w:qFormat/>
    <w:rsid w:val="00E87B04"/>
    <w:pPr>
      <w:keepNext/>
      <w:keepLines/>
      <w:pageBreakBefore/>
      <w:spacing w:before="600" w:after="300"/>
      <w:outlineLvl w:val="0"/>
    </w:pPr>
    <w:rPr>
      <w:rFonts w:asciiTheme="majorHAnsi" w:eastAsiaTheme="majorEastAsia" w:hAnsiTheme="majorHAnsi" w:cstheme="majorBidi"/>
      <w:bCs/>
      <w:color w:val="004EA8"/>
      <w:sz w:val="36"/>
      <w:szCs w:val="28"/>
    </w:rPr>
  </w:style>
  <w:style w:type="paragraph" w:styleId="Heading2">
    <w:name w:val="heading 2"/>
    <w:basedOn w:val="Normal"/>
    <w:next w:val="Normal"/>
    <w:link w:val="Heading2Char"/>
    <w:uiPriority w:val="1"/>
    <w:qFormat/>
    <w:rsid w:val="00E87B04"/>
    <w:pPr>
      <w:keepNext/>
      <w:spacing w:before="320"/>
      <w:outlineLvl w:val="1"/>
    </w:pPr>
    <w:rPr>
      <w:rFonts w:asciiTheme="majorHAnsi" w:eastAsiaTheme="majorEastAsia" w:hAnsiTheme="majorHAnsi" w:cstheme="majorBidi"/>
      <w:b/>
      <w:bCs/>
      <w:color w:val="53565A"/>
      <w:spacing w:val="0"/>
      <w:sz w:val="30"/>
      <w:szCs w:val="24"/>
    </w:rPr>
  </w:style>
  <w:style w:type="paragraph" w:styleId="Heading3">
    <w:name w:val="heading 3"/>
    <w:basedOn w:val="Normal"/>
    <w:next w:val="Normal"/>
    <w:link w:val="Heading3Char"/>
    <w:uiPriority w:val="1"/>
    <w:qFormat/>
    <w:rsid w:val="00E87B04"/>
    <w:pPr>
      <w:keepNext/>
      <w:spacing w:before="120" w:after="60"/>
      <w:outlineLvl w:val="2"/>
    </w:pPr>
    <w:rPr>
      <w:rFonts w:asciiTheme="majorHAnsi" w:eastAsiaTheme="majorEastAsia" w:hAnsiTheme="majorHAnsi" w:cstheme="majorBidi"/>
      <w:b/>
      <w:bCs/>
      <w:color w:val="53565A"/>
      <w:sz w:val="26"/>
    </w:rPr>
  </w:style>
  <w:style w:type="paragraph" w:styleId="Heading4">
    <w:name w:val="heading 4"/>
    <w:basedOn w:val="Normal"/>
    <w:next w:val="Normal"/>
    <w:link w:val="Heading4Char"/>
    <w:uiPriority w:val="1"/>
    <w:qFormat/>
    <w:rsid w:val="00E87B04"/>
    <w:pPr>
      <w:keepNext/>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9"/>
    <w:semiHidden/>
    <w:qFormat/>
    <w:rsid w:val="00E87B04"/>
    <w:pPr>
      <w:keepNext/>
      <w:spacing w:before="200" w:after="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semiHidden/>
    <w:qFormat/>
    <w:rsid w:val="00E87B04"/>
    <w:pPr>
      <w:keepNext/>
      <w:spacing w:before="200" w:after="0"/>
      <w:outlineLvl w:val="5"/>
    </w:pPr>
    <w:rPr>
      <w:rFonts w:asciiTheme="majorHAnsi" w:eastAsiaTheme="majorEastAsia" w:hAnsiTheme="majorHAnsi" w:cstheme="majorBidi"/>
      <w:i/>
      <w:iCs/>
      <w:color w:val="003152" w:themeColor="accent1" w:themeShade="7F"/>
      <w:spacing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7B04"/>
    <w:rPr>
      <w:rFonts w:asciiTheme="majorHAnsi" w:eastAsiaTheme="majorEastAsia" w:hAnsiTheme="majorHAnsi" w:cstheme="majorBidi"/>
      <w:bCs/>
      <w:color w:val="004EA8"/>
      <w:sz w:val="36"/>
      <w:szCs w:val="28"/>
    </w:rPr>
  </w:style>
  <w:style w:type="character" w:customStyle="1" w:styleId="Heading2Char">
    <w:name w:val="Heading 2 Char"/>
    <w:basedOn w:val="DefaultParagraphFont"/>
    <w:link w:val="Heading2"/>
    <w:uiPriority w:val="1"/>
    <w:rsid w:val="00E87B04"/>
    <w:rPr>
      <w:rFonts w:asciiTheme="majorHAnsi" w:eastAsiaTheme="majorEastAsia" w:hAnsiTheme="majorHAnsi" w:cstheme="majorBidi"/>
      <w:b/>
      <w:bCs/>
      <w:color w:val="53565A"/>
      <w:sz w:val="30"/>
      <w:szCs w:val="24"/>
    </w:rPr>
  </w:style>
  <w:style w:type="character" w:customStyle="1" w:styleId="Heading3Char">
    <w:name w:val="Heading 3 Char"/>
    <w:basedOn w:val="DefaultParagraphFont"/>
    <w:link w:val="Heading3"/>
    <w:uiPriority w:val="1"/>
    <w:rsid w:val="00E87B04"/>
    <w:rPr>
      <w:rFonts w:asciiTheme="majorHAnsi" w:eastAsiaTheme="majorEastAsia" w:hAnsiTheme="majorHAnsi" w:cstheme="majorBidi"/>
      <w:b/>
      <w:bCs/>
      <w:color w:val="53565A"/>
      <w:spacing w:val="-2"/>
      <w:sz w:val="26"/>
    </w:rPr>
  </w:style>
  <w:style w:type="character" w:customStyle="1" w:styleId="Heading4Char">
    <w:name w:val="Heading 4 Char"/>
    <w:basedOn w:val="DefaultParagraphFont"/>
    <w:link w:val="Heading4"/>
    <w:uiPriority w:val="1"/>
    <w:rsid w:val="00E87B04"/>
    <w:rPr>
      <w:rFonts w:asciiTheme="majorHAnsi" w:eastAsiaTheme="majorEastAsia" w:hAnsiTheme="majorHAnsi" w:cstheme="majorBidi"/>
      <w:b/>
      <w:bCs/>
      <w:iCs/>
      <w:color w:val="53565A"/>
      <w:spacing w:val="-2"/>
      <w:sz w:val="24"/>
    </w:rPr>
  </w:style>
  <w:style w:type="character" w:customStyle="1" w:styleId="Heading5Char">
    <w:name w:val="Heading 5 Char"/>
    <w:basedOn w:val="DefaultParagraphFont"/>
    <w:link w:val="Heading5"/>
    <w:uiPriority w:val="9"/>
    <w:semiHidden/>
    <w:rsid w:val="00E87B04"/>
    <w:rPr>
      <w:rFonts w:asciiTheme="majorHAnsi" w:eastAsiaTheme="majorEastAsia" w:hAnsiTheme="majorHAnsi" w:cstheme="majorBidi"/>
      <w:b/>
      <w:color w:val="000000" w:themeColor="text1"/>
      <w:spacing w:val="-2"/>
      <w:sz w:val="24"/>
    </w:rPr>
  </w:style>
  <w:style w:type="character" w:customStyle="1" w:styleId="Heading6Char">
    <w:name w:val="Heading 6 Char"/>
    <w:basedOn w:val="DefaultParagraphFont"/>
    <w:link w:val="Heading6"/>
    <w:uiPriority w:val="9"/>
    <w:semiHidden/>
    <w:rsid w:val="00E87B04"/>
    <w:rPr>
      <w:rFonts w:asciiTheme="majorHAnsi" w:eastAsiaTheme="majorEastAsia" w:hAnsiTheme="majorHAnsi" w:cstheme="majorBidi"/>
      <w:i/>
      <w:iCs/>
      <w:color w:val="003152" w:themeColor="accent1" w:themeShade="7F"/>
      <w:sz w:val="28"/>
      <w:szCs w:val="22"/>
    </w:rPr>
  </w:style>
  <w:style w:type="table" w:styleId="LightShading">
    <w:name w:val="Light Shading"/>
    <w:basedOn w:val="TableNormal"/>
    <w:uiPriority w:val="60"/>
    <w:rsid w:val="00E87B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rsid w:val="00E87B04"/>
    <w:pPr>
      <w:spacing w:before="20" w:after="20" w:line="240" w:lineRule="auto"/>
    </w:pPr>
    <w:rPr>
      <w:rFonts w:eastAsiaTheme="minorHAnsi"/>
      <w:spacing w:val="2"/>
      <w:sz w:val="17"/>
      <w:szCs w:val="21"/>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86"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53565A"/>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F2F2F2" w:themeFill="background1" w:themeFillShade="F2"/>
      </w:tc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E87B0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87B0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E87B04"/>
    <w:pPr>
      <w:tabs>
        <w:tab w:val="right" w:leader="dot" w:pos="8730"/>
      </w:tabs>
      <w:spacing w:before="120" w:line="240" w:lineRule="auto"/>
      <w:ind w:right="432"/>
    </w:pPr>
    <w:rPr>
      <w:noProof/>
      <w:szCs w:val="24"/>
    </w:rPr>
  </w:style>
  <w:style w:type="paragraph" w:styleId="TOC2">
    <w:name w:val="toc 2"/>
    <w:next w:val="Normal"/>
    <w:uiPriority w:val="39"/>
    <w:rsid w:val="00E87B04"/>
    <w:pPr>
      <w:tabs>
        <w:tab w:val="right" w:leader="dot" w:pos="8730"/>
      </w:tabs>
      <w:spacing w:after="100"/>
      <w:ind w:left="990" w:right="432" w:hanging="544"/>
      <w:contextualSpacing/>
    </w:pPr>
    <w:rPr>
      <w:noProof/>
      <w:spacing w:val="2"/>
    </w:rPr>
  </w:style>
  <w:style w:type="paragraph" w:styleId="TOC3">
    <w:name w:val="toc 3"/>
    <w:basedOn w:val="Normal"/>
    <w:next w:val="Normal"/>
    <w:uiPriority w:val="39"/>
    <w:rsid w:val="00E87B04"/>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E87B04"/>
    <w:pPr>
      <w:spacing w:after="60" w:line="240" w:lineRule="auto"/>
    </w:pPr>
    <w:rPr>
      <w:sz w:val="16"/>
    </w:rPr>
  </w:style>
  <w:style w:type="paragraph" w:styleId="Index2">
    <w:name w:val="index 2"/>
    <w:basedOn w:val="Normal"/>
    <w:next w:val="Normal"/>
    <w:uiPriority w:val="99"/>
    <w:semiHidden/>
    <w:rsid w:val="00E87B04"/>
    <w:pPr>
      <w:spacing w:after="0" w:line="240" w:lineRule="auto"/>
      <w:ind w:left="216"/>
    </w:pPr>
    <w:rPr>
      <w:sz w:val="16"/>
      <w:szCs w:val="16"/>
    </w:rPr>
  </w:style>
  <w:style w:type="character" w:styleId="Hyperlink">
    <w:name w:val="Hyperlink"/>
    <w:basedOn w:val="DefaultParagraphFont"/>
    <w:uiPriority w:val="99"/>
    <w:rsid w:val="00E87B04"/>
    <w:rPr>
      <w:color w:val="004EA8"/>
      <w:u w:val="none"/>
    </w:rPr>
  </w:style>
  <w:style w:type="paragraph" w:customStyle="1" w:styleId="Heading1numbered">
    <w:name w:val="Heading 1 numbered"/>
    <w:basedOn w:val="Heading1"/>
    <w:next w:val="NormalIndent"/>
    <w:uiPriority w:val="8"/>
    <w:qFormat/>
    <w:rsid w:val="00E87B04"/>
    <w:pPr>
      <w:numPr>
        <w:ilvl w:val="2"/>
        <w:numId w:val="35"/>
      </w:numPr>
    </w:pPr>
    <w:rPr>
      <w:spacing w:val="2"/>
    </w:rPr>
  </w:style>
  <w:style w:type="paragraph" w:styleId="NormalIndent">
    <w:name w:val="Normal Indent"/>
    <w:basedOn w:val="Normal"/>
    <w:uiPriority w:val="8"/>
    <w:qFormat/>
    <w:rsid w:val="00E87B04"/>
    <w:pPr>
      <w:ind w:left="792"/>
    </w:pPr>
  </w:style>
  <w:style w:type="paragraph" w:customStyle="1" w:styleId="Heading2numbered">
    <w:name w:val="Heading 2 numbered"/>
    <w:basedOn w:val="Heading2"/>
    <w:next w:val="NormalIndent"/>
    <w:uiPriority w:val="8"/>
    <w:qFormat/>
    <w:rsid w:val="00E87B04"/>
    <w:pPr>
      <w:numPr>
        <w:ilvl w:val="3"/>
        <w:numId w:val="35"/>
      </w:numPr>
    </w:pPr>
  </w:style>
  <w:style w:type="paragraph" w:customStyle="1" w:styleId="Heading3numbered">
    <w:name w:val="Heading 3 numbered"/>
    <w:basedOn w:val="Heading3"/>
    <w:next w:val="NormalIndent"/>
    <w:uiPriority w:val="8"/>
    <w:qFormat/>
    <w:rsid w:val="00E87B04"/>
    <w:pPr>
      <w:numPr>
        <w:ilvl w:val="4"/>
        <w:numId w:val="35"/>
      </w:numPr>
    </w:pPr>
  </w:style>
  <w:style w:type="paragraph" w:customStyle="1" w:styleId="Heading4numbered">
    <w:name w:val="Heading 4 numbered"/>
    <w:basedOn w:val="Heading4"/>
    <w:next w:val="NormalIndent"/>
    <w:uiPriority w:val="8"/>
    <w:qFormat/>
    <w:rsid w:val="00E87B04"/>
    <w:pPr>
      <w:numPr>
        <w:ilvl w:val="5"/>
        <w:numId w:val="35"/>
      </w:numPr>
    </w:pPr>
  </w:style>
  <w:style w:type="paragraph" w:customStyle="1" w:styleId="NoteNormal">
    <w:name w:val="Note Normal"/>
    <w:basedOn w:val="Normal"/>
    <w:uiPriority w:val="3"/>
    <w:rsid w:val="00E87B04"/>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87B0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87B04"/>
    <w:pPr>
      <w:spacing w:after="240" w:line="440" w:lineRule="exact"/>
    </w:pPr>
    <w:rPr>
      <w:rFonts w:asciiTheme="majorHAnsi" w:eastAsia="Times New Roman" w:hAnsiTheme="majorHAnsi" w:cstheme="majorHAnsi"/>
      <w:color w:val="53565A"/>
      <w:spacing w:val="-2"/>
      <w:sz w:val="40"/>
      <w:szCs w:val="24"/>
    </w:rPr>
  </w:style>
  <w:style w:type="paragraph" w:customStyle="1" w:styleId="TertiaryTitle">
    <w:name w:val="Tertiary Title"/>
    <w:next w:val="Normal"/>
    <w:uiPriority w:val="99"/>
    <w:rsid w:val="00E87B04"/>
    <w:pPr>
      <w:spacing w:after="0"/>
    </w:pPr>
    <w:rPr>
      <w:rFonts w:asciiTheme="majorHAnsi" w:eastAsia="Times New Roman" w:hAnsiTheme="majorHAnsi" w:cstheme="majorHAnsi"/>
      <w:b/>
      <w:color w:val="53565A"/>
      <w:spacing w:val="2"/>
      <w:sz w:val="28"/>
      <w:szCs w:val="40"/>
      <w:lang w:eastAsia="en-US"/>
    </w:rPr>
  </w:style>
  <w:style w:type="character" w:customStyle="1" w:styleId="SubtitleChar">
    <w:name w:val="Subtitle Char"/>
    <w:basedOn w:val="DefaultParagraphFont"/>
    <w:link w:val="Subtitle"/>
    <w:uiPriority w:val="99"/>
    <w:rsid w:val="00E87B04"/>
    <w:rPr>
      <w:rFonts w:asciiTheme="majorHAnsi" w:eastAsia="Times New Roman" w:hAnsiTheme="majorHAnsi" w:cstheme="majorHAnsi"/>
      <w:color w:val="53565A"/>
      <w:spacing w:val="-2"/>
      <w:sz w:val="40"/>
      <w:szCs w:val="24"/>
    </w:rPr>
  </w:style>
  <w:style w:type="paragraph" w:styleId="Title">
    <w:name w:val="Title"/>
    <w:next w:val="Subtitle"/>
    <w:link w:val="TitleChar"/>
    <w:uiPriority w:val="10"/>
    <w:qFormat/>
    <w:rsid w:val="001653E7"/>
    <w:pPr>
      <w:spacing w:after="600" w:line="252" w:lineRule="auto"/>
    </w:pPr>
    <w:rPr>
      <w:rFonts w:asciiTheme="majorHAnsi" w:eastAsia="Times New Roman" w:hAnsiTheme="majorHAnsi" w:cstheme="majorHAnsi"/>
      <w:color w:val="004EA8"/>
      <w:spacing w:val="16"/>
      <w:sz w:val="44"/>
      <w:szCs w:val="44"/>
    </w:rPr>
  </w:style>
  <w:style w:type="character" w:customStyle="1" w:styleId="TitleChar">
    <w:name w:val="Title Char"/>
    <w:basedOn w:val="DefaultParagraphFont"/>
    <w:link w:val="Title"/>
    <w:uiPriority w:val="10"/>
    <w:rsid w:val="001653E7"/>
    <w:rPr>
      <w:rFonts w:asciiTheme="majorHAnsi" w:eastAsia="Times New Roman" w:hAnsiTheme="majorHAnsi" w:cstheme="majorHAnsi"/>
      <w:color w:val="004EA8"/>
      <w:spacing w:val="16"/>
      <w:sz w:val="44"/>
      <w:szCs w:val="44"/>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styleId="IndexHeading">
    <w:name w:val="index heading"/>
    <w:basedOn w:val="Normal"/>
    <w:next w:val="Index1"/>
    <w:uiPriority w:val="99"/>
    <w:semiHidden/>
    <w:rsid w:val="00E87B04"/>
    <w:rPr>
      <w:rFonts w:asciiTheme="majorHAnsi" w:eastAsiaTheme="majorEastAsia" w:hAnsiTheme="majorHAnsi" w:cstheme="majorBidi"/>
      <w:b/>
      <w:bCs/>
    </w:rPr>
  </w:style>
  <w:style w:type="paragraph" w:styleId="Header">
    <w:name w:val="header"/>
    <w:basedOn w:val="Normal"/>
    <w:link w:val="HeaderChar"/>
    <w:uiPriority w:val="99"/>
    <w:rsid w:val="00E87B04"/>
    <w:pPr>
      <w:spacing w:after="0" w:line="240" w:lineRule="auto"/>
      <w:ind w:right="-784"/>
      <w:jc w:val="right"/>
    </w:pPr>
  </w:style>
  <w:style w:type="character" w:customStyle="1" w:styleId="HeaderChar">
    <w:name w:val="Header Char"/>
    <w:basedOn w:val="DefaultParagraphFont"/>
    <w:link w:val="Header"/>
    <w:uiPriority w:val="99"/>
    <w:rsid w:val="00E87B04"/>
    <w:rPr>
      <w:rFonts w:ascii="Arial" w:hAnsi="Arial" w:cs="Arial"/>
      <w:spacing w:val="-2"/>
      <w:sz w:val="24"/>
    </w:rPr>
  </w:style>
  <w:style w:type="paragraph" w:styleId="Footer">
    <w:name w:val="footer"/>
    <w:basedOn w:val="Normal"/>
    <w:link w:val="FooterChar"/>
    <w:uiPriority w:val="99"/>
    <w:rsid w:val="00E87B04"/>
    <w:pPr>
      <w:tabs>
        <w:tab w:val="right" w:pos="9000"/>
      </w:tabs>
      <w:spacing w:before="0" w:after="0" w:line="240" w:lineRule="auto"/>
      <w:ind w:right="26"/>
    </w:pPr>
    <w:rPr>
      <w:noProof/>
      <w:sz w:val="20"/>
    </w:rPr>
  </w:style>
  <w:style w:type="character" w:customStyle="1" w:styleId="FooterChar">
    <w:name w:val="Footer Char"/>
    <w:basedOn w:val="DefaultParagraphFont"/>
    <w:link w:val="Footer"/>
    <w:uiPriority w:val="99"/>
    <w:rsid w:val="00E87B04"/>
    <w:rPr>
      <w:rFonts w:ascii="Arial" w:hAnsi="Arial" w:cs="Arial"/>
      <w:noProof/>
      <w:spacing w:val="-2"/>
    </w:rPr>
  </w:style>
  <w:style w:type="character" w:styleId="PageNumber">
    <w:name w:val="page number"/>
    <w:uiPriority w:val="49"/>
    <w:rsid w:val="00E87B04"/>
    <w:rPr>
      <w:color w:val="004EA8"/>
      <w:sz w:val="32"/>
      <w:szCs w:val="32"/>
    </w:rPr>
  </w:style>
  <w:style w:type="paragraph" w:styleId="TOCHeading">
    <w:name w:val="TOC Heading"/>
    <w:next w:val="Normal"/>
    <w:uiPriority w:val="39"/>
    <w:rsid w:val="00E87B04"/>
    <w:pPr>
      <w:spacing w:before="480" w:after="360"/>
    </w:pPr>
    <w:rPr>
      <w:rFonts w:asciiTheme="majorHAnsi" w:eastAsiaTheme="majorEastAsia" w:hAnsiTheme="majorHAnsi" w:cstheme="majorBidi"/>
      <w:bCs/>
      <w:color w:val="53565A"/>
      <w:spacing w:val="2"/>
      <w:sz w:val="36"/>
      <w:szCs w:val="28"/>
    </w:rPr>
  </w:style>
  <w:style w:type="paragraph" w:customStyle="1" w:styleId="NormalTight">
    <w:name w:val="Normal Tight"/>
    <w:uiPriority w:val="99"/>
    <w:semiHidden/>
    <w:rsid w:val="00E87B04"/>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E87B04"/>
    <w:pPr>
      <w:spacing w:before="5800"/>
      <w:ind w:right="1382"/>
    </w:pPr>
  </w:style>
  <w:style w:type="paragraph" w:styleId="TOC4">
    <w:name w:val="toc 4"/>
    <w:basedOn w:val="TOC1"/>
    <w:next w:val="Normal"/>
    <w:uiPriority w:val="39"/>
    <w:rsid w:val="00E87B04"/>
    <w:pPr>
      <w:ind w:left="450" w:hanging="450"/>
    </w:pPr>
    <w:rPr>
      <w:lang w:eastAsia="en-US"/>
    </w:rPr>
  </w:style>
  <w:style w:type="paragraph" w:styleId="TOC5">
    <w:name w:val="toc 5"/>
    <w:basedOn w:val="TOC2"/>
    <w:next w:val="Normal"/>
    <w:uiPriority w:val="39"/>
    <w:rsid w:val="00E87B04"/>
    <w:pPr>
      <w:ind w:left="1080" w:hanging="634"/>
    </w:pPr>
    <w:rPr>
      <w:lang w:eastAsia="en-US"/>
    </w:rPr>
  </w:style>
  <w:style w:type="paragraph" w:styleId="TOC6">
    <w:name w:val="toc 6"/>
    <w:basedOn w:val="TOC3"/>
    <w:next w:val="Normal"/>
    <w:uiPriority w:val="39"/>
    <w:rsid w:val="00E87B04"/>
    <w:pPr>
      <w:ind w:left="1800" w:hanging="720"/>
    </w:pPr>
    <w:rPr>
      <w:lang w:eastAsia="en-US"/>
    </w:rPr>
  </w:style>
  <w:style w:type="table" w:customStyle="1" w:styleId="Indented">
    <w:name w:val="Indented"/>
    <w:basedOn w:val="TableGrid"/>
    <w:uiPriority w:val="99"/>
    <w:rsid w:val="00E87B04"/>
    <w:pPr>
      <w:spacing w:after="0"/>
    </w:pPr>
    <w:tblPr>
      <w:tblInd w:w="864" w:type="dxa"/>
    </w:tbl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pPr>
        <w:jc w:val="left"/>
      </w:pPr>
      <w:tblPr/>
      <w:tcPr>
        <w:shd w:val="clear" w:color="auto" w:fill="C6EEF0"/>
      </w:tcPr>
    </w:tblStylePr>
  </w:style>
  <w:style w:type="paragraph" w:customStyle="1" w:styleId="Tabletextright">
    <w:name w:val="Table text right"/>
    <w:basedOn w:val="Normal"/>
    <w:uiPriority w:val="5"/>
    <w:qFormat/>
    <w:rsid w:val="00E87B04"/>
    <w:pPr>
      <w:widowControl w:val="0"/>
      <w:spacing w:before="0" w:after="0" w:line="240" w:lineRule="auto"/>
      <w:jc w:val="right"/>
    </w:pPr>
    <w:rPr>
      <w:rFonts w:eastAsiaTheme="minorHAnsi"/>
      <w:spacing w:val="2"/>
      <w:sz w:val="19"/>
      <w:szCs w:val="19"/>
      <w:lang w:val="en-US" w:eastAsia="en-US"/>
    </w:rPr>
  </w:style>
  <w:style w:type="paragraph" w:customStyle="1" w:styleId="Tabletextcentred">
    <w:name w:val="Table text centred"/>
    <w:basedOn w:val="Normal"/>
    <w:uiPriority w:val="5"/>
    <w:qFormat/>
    <w:rsid w:val="00E87B04"/>
    <w:pPr>
      <w:widowControl w:val="0"/>
      <w:spacing w:before="0" w:after="0" w:line="240" w:lineRule="auto"/>
      <w:jc w:val="center"/>
    </w:pPr>
    <w:rPr>
      <w:rFonts w:eastAsiaTheme="minorHAnsi"/>
      <w:spacing w:val="2"/>
      <w:sz w:val="20"/>
      <w:szCs w:val="19"/>
      <w:lang w:val="en-US" w:eastAsia="en-US"/>
    </w:rPr>
  </w:style>
  <w:style w:type="paragraph" w:customStyle="1" w:styleId="Tableheader">
    <w:name w:val="Table header"/>
    <w:basedOn w:val="Normal"/>
    <w:uiPriority w:val="5"/>
    <w:qFormat/>
    <w:rsid w:val="00E87B04"/>
    <w:pPr>
      <w:keepNext/>
      <w:widowControl w:val="0"/>
      <w:spacing w:before="120" w:line="240" w:lineRule="auto"/>
    </w:pPr>
    <w:rPr>
      <w:rFonts w:eastAsiaTheme="minorHAnsi"/>
      <w:color w:val="FFFFFF" w:themeColor="background1"/>
      <w:spacing w:val="2"/>
      <w:szCs w:val="21"/>
      <w:lang w:val="en-US" w:eastAsia="en-US"/>
    </w:rPr>
  </w:style>
  <w:style w:type="paragraph" w:customStyle="1" w:styleId="Tabletextindent">
    <w:name w:val="Table text indent"/>
    <w:basedOn w:val="Normal"/>
    <w:uiPriority w:val="5"/>
    <w:qFormat/>
    <w:rsid w:val="00E87B04"/>
    <w:pPr>
      <w:widowControl w:val="0"/>
      <w:spacing w:before="0" w:after="0" w:line="240" w:lineRule="auto"/>
      <w:ind w:left="288"/>
    </w:pPr>
    <w:rPr>
      <w:rFonts w:eastAsiaTheme="minorHAnsi"/>
      <w:spacing w:val="2"/>
      <w:sz w:val="19"/>
      <w:szCs w:val="19"/>
      <w:lang w:val="en-US" w:eastAsia="en-US"/>
    </w:rPr>
  </w:style>
  <w:style w:type="paragraph" w:styleId="ListNumber4">
    <w:name w:val="List Number 4"/>
    <w:basedOn w:val="Normal"/>
    <w:uiPriority w:val="9"/>
    <w:rsid w:val="00E87B04"/>
    <w:pPr>
      <w:numPr>
        <w:numId w:val="36"/>
      </w:numPr>
      <w:contextualSpacing/>
    </w:pPr>
  </w:style>
  <w:style w:type="paragraph" w:styleId="FootnoteText">
    <w:name w:val="footnote text"/>
    <w:basedOn w:val="Normal"/>
    <w:link w:val="FootnoteTextChar"/>
    <w:uiPriority w:val="99"/>
    <w:semiHidden/>
    <w:rsid w:val="00E87B04"/>
    <w:pPr>
      <w:spacing w:before="0" w:after="0" w:line="240" w:lineRule="auto"/>
    </w:pPr>
    <w:rPr>
      <w:sz w:val="17"/>
    </w:rPr>
  </w:style>
  <w:style w:type="character" w:customStyle="1" w:styleId="FootnoteTextChar">
    <w:name w:val="Footnote Text Char"/>
    <w:basedOn w:val="DefaultParagraphFont"/>
    <w:link w:val="FootnoteText"/>
    <w:uiPriority w:val="99"/>
    <w:semiHidden/>
    <w:rsid w:val="00E87B04"/>
    <w:rPr>
      <w:rFonts w:ascii="Arial" w:hAnsi="Arial" w:cs="Arial"/>
      <w:spacing w:val="-2"/>
      <w:sz w:val="17"/>
    </w:rPr>
  </w:style>
  <w:style w:type="character" w:styleId="FootnoteReference">
    <w:name w:val="footnote reference"/>
    <w:basedOn w:val="DefaultParagraphFont"/>
    <w:uiPriority w:val="99"/>
    <w:semiHidden/>
    <w:rsid w:val="00E87B04"/>
    <w:rPr>
      <w:vertAlign w:val="superscript"/>
    </w:rPr>
  </w:style>
  <w:style w:type="paragraph" w:customStyle="1" w:styleId="NoteNormalindent">
    <w:name w:val="Note Normal indent"/>
    <w:basedOn w:val="NoteNormal"/>
    <w:uiPriority w:val="9"/>
    <w:rsid w:val="00E87B04"/>
    <w:pPr>
      <w:ind w:left="792"/>
    </w:pPr>
  </w:style>
  <w:style w:type="paragraph" w:styleId="Caption">
    <w:name w:val="caption"/>
    <w:basedOn w:val="Normal"/>
    <w:next w:val="Normal"/>
    <w:uiPriority w:val="6"/>
    <w:rsid w:val="00E87B04"/>
    <w:pPr>
      <w:keepNext/>
      <w:spacing w:after="0" w:line="240" w:lineRule="auto"/>
    </w:pPr>
    <w:rPr>
      <w:b/>
      <w:bCs/>
      <w:color w:val="383834" w:themeColor="background2" w:themeShade="40"/>
      <w:szCs w:val="18"/>
    </w:rPr>
  </w:style>
  <w:style w:type="character" w:styleId="PlaceholderText">
    <w:name w:val="Placeholder Text"/>
    <w:basedOn w:val="DefaultParagraphFont"/>
    <w:uiPriority w:val="99"/>
    <w:semiHidden/>
    <w:rsid w:val="00E87B04"/>
    <w:rPr>
      <w:color w:val="808080"/>
    </w:rPr>
  </w:style>
  <w:style w:type="paragraph" w:styleId="ListBullet3">
    <w:name w:val="List Bullet 3"/>
    <w:basedOn w:val="Normal"/>
    <w:uiPriority w:val="9"/>
    <w:rsid w:val="00E87B04"/>
    <w:pPr>
      <w:numPr>
        <w:numId w:val="31"/>
      </w:numPr>
      <w:spacing w:before="0" w:after="180"/>
      <w:contextualSpacing/>
    </w:pPr>
  </w:style>
  <w:style w:type="paragraph" w:styleId="ListBullet4">
    <w:name w:val="List Bullet 4"/>
    <w:basedOn w:val="Normal"/>
    <w:uiPriority w:val="9"/>
    <w:rsid w:val="00E87B04"/>
    <w:pPr>
      <w:numPr>
        <w:numId w:val="32"/>
      </w:numPr>
      <w:spacing w:before="0" w:after="180"/>
      <w:contextualSpacing/>
    </w:pPr>
  </w:style>
  <w:style w:type="character" w:styleId="CommentReference">
    <w:name w:val="annotation reference"/>
    <w:basedOn w:val="DefaultParagraphFont"/>
    <w:uiPriority w:val="99"/>
    <w:semiHidden/>
    <w:unhideWhenUsed/>
    <w:rsid w:val="00E87B04"/>
    <w:rPr>
      <w:sz w:val="16"/>
      <w:szCs w:val="16"/>
    </w:rPr>
  </w:style>
  <w:style w:type="paragraph" w:styleId="ListNumber">
    <w:name w:val="List Number"/>
    <w:basedOn w:val="Normal"/>
    <w:uiPriority w:val="3"/>
    <w:rsid w:val="00E87B04"/>
    <w:pPr>
      <w:numPr>
        <w:numId w:val="33"/>
      </w:numPr>
      <w:contextualSpacing/>
    </w:pPr>
  </w:style>
  <w:style w:type="paragraph" w:styleId="ListNumber2">
    <w:name w:val="List Number 2"/>
    <w:basedOn w:val="Normal"/>
    <w:uiPriority w:val="3"/>
    <w:rsid w:val="00E87B04"/>
    <w:pPr>
      <w:numPr>
        <w:numId w:val="35"/>
      </w:numPr>
      <w:contextualSpacing/>
    </w:pPr>
  </w:style>
  <w:style w:type="paragraph" w:styleId="CommentSubject">
    <w:name w:val="annotation subject"/>
    <w:basedOn w:val="Normal"/>
    <w:next w:val="Normal"/>
    <w:link w:val="CommentSubjectChar"/>
    <w:uiPriority w:val="99"/>
    <w:semiHidden/>
    <w:unhideWhenUsed/>
    <w:rsid w:val="00E87B04"/>
    <w:pPr>
      <w:spacing w:before="0" w:after="180" w:line="240" w:lineRule="auto"/>
    </w:pPr>
    <w:rPr>
      <w:b/>
      <w:bCs/>
      <w:spacing w:val="0"/>
    </w:rPr>
  </w:style>
  <w:style w:type="character" w:customStyle="1" w:styleId="CommentSubjectChar">
    <w:name w:val="Comment Subject Char"/>
    <w:basedOn w:val="DefaultParagraphFont"/>
    <w:link w:val="CommentSubject"/>
    <w:uiPriority w:val="99"/>
    <w:semiHidden/>
    <w:rsid w:val="00E87B04"/>
    <w:rPr>
      <w:rFonts w:ascii="Arial" w:hAnsi="Arial" w:cs="Arial"/>
      <w:b/>
      <w:bCs/>
      <w:sz w:val="24"/>
    </w:rPr>
  </w:style>
  <w:style w:type="paragraph" w:styleId="Revision">
    <w:name w:val="Revision"/>
    <w:hidden/>
    <w:uiPriority w:val="99"/>
    <w:semiHidden/>
    <w:rsid w:val="00B263EE"/>
    <w:pPr>
      <w:spacing w:after="0" w:line="240" w:lineRule="auto"/>
    </w:pPr>
    <w:rPr>
      <w:sz w:val="22"/>
      <w:szCs w:val="22"/>
    </w:rPr>
  </w:style>
  <w:style w:type="paragraph" w:styleId="ListNumber3">
    <w:name w:val="List Number 3"/>
    <w:basedOn w:val="Normal"/>
    <w:uiPriority w:val="3"/>
    <w:rsid w:val="00E87B04"/>
    <w:pPr>
      <w:numPr>
        <w:ilvl w:val="1"/>
        <w:numId w:val="35"/>
      </w:numPr>
      <w:contextualSpacing/>
    </w:pPr>
  </w:style>
  <w:style w:type="table" w:customStyle="1" w:styleId="DTFtexttable">
    <w:name w:val="DTF text table"/>
    <w:basedOn w:val="TableGrid"/>
    <w:uiPriority w:val="99"/>
    <w:rsid w:val="004A7C2A"/>
    <w:pPr>
      <w:spacing w:before="30" w:after="30" w:line="264" w:lineRule="auto"/>
    </w:pPr>
    <w:tblPr>
      <w:tblBorders>
        <w:top w:val="single" w:sz="6" w:space="0" w:color="0063A6" w:themeColor="accent1"/>
        <w:left w:val="none" w:sz="0" w:space="0" w:color="auto"/>
        <w:bottom w:val="single" w:sz="12" w:space="0" w:color="0063A6" w:themeColor="accent1"/>
        <w:right w:val="none" w:sz="0" w:space="0" w:color="auto"/>
        <w:insideH w:val="single" w:sz="6" w:space="0" w:color="0063A6" w:themeColor="accent1"/>
        <w:insideV w:val="none" w:sz="0" w:space="0" w:color="auto"/>
      </w:tblBorders>
      <w:tblCellMar>
        <w:left w:w="108" w:type="dxa"/>
        <w:right w:w="108" w:type="dxa"/>
      </w:tblCellMar>
    </w:tblPr>
    <w:tcPr>
      <w:shd w:val="clear" w:color="auto" w:fill="FFFFFF" w:themeFill="background1"/>
    </w:tcPr>
    <w:tblStylePr w:type="firstRow">
      <w:pPr>
        <w:keepNext/>
        <w:keepLines/>
        <w:widowControl/>
        <w:wordWrap/>
        <w:spacing w:beforeLines="0" w:before="120" w:beforeAutospacing="0" w:afterLines="0" w:after="30" w:afterAutospacing="0"/>
        <w:jc w:val="left"/>
      </w:pPr>
      <w:rPr>
        <w:b/>
        <w:i w:val="0"/>
        <w:color w:val="FFFFFF" w:themeColor="background1"/>
      </w:rPr>
      <w:tblPr/>
      <w:tcPr>
        <w:tcBorders>
          <w:top w:val="single" w:sz="12" w:space="0" w:color="0063A6" w:themeColor="accent1"/>
          <w:left w:val="nil"/>
          <w:bottom w:val="single" w:sz="12" w:space="0" w:color="0063A6" w:themeColor="accent1"/>
          <w:right w:val="nil"/>
          <w:insideH w:val="nil"/>
          <w:insideV w:val="nil"/>
          <w:tl2br w:val="nil"/>
          <w:tr2bl w:val="nil"/>
        </w:tcBorders>
        <w:shd w:val="clear" w:color="auto" w:fill="0063A6" w:themeFill="accent1"/>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pPr>
        <w:jc w:val="left"/>
      </w:pPr>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Normal"/>
    <w:uiPriority w:val="3"/>
    <w:rsid w:val="00805264"/>
    <w:pPr>
      <w:numPr>
        <w:numId w:val="29"/>
      </w:numPr>
      <w:spacing w:before="0"/>
    </w:pPr>
    <w:rPr>
      <w:spacing w:val="0"/>
      <w:sz w:val="19"/>
      <w:szCs w:val="22"/>
    </w:rPr>
  </w:style>
  <w:style w:type="paragraph" w:styleId="ListBullet2">
    <w:name w:val="List Bullet 2"/>
    <w:basedOn w:val="Normal"/>
    <w:uiPriority w:val="3"/>
    <w:rsid w:val="00E87B04"/>
    <w:pPr>
      <w:numPr>
        <w:numId w:val="30"/>
      </w:numPr>
      <w:spacing w:before="0" w:after="180"/>
      <w:contextualSpacing/>
    </w:pPr>
    <w:rPr>
      <w:spacing w:val="0"/>
      <w:szCs w:val="22"/>
    </w:rPr>
  </w:style>
  <w:style w:type="paragraph" w:styleId="ListNumber5">
    <w:name w:val="List Number 5"/>
    <w:basedOn w:val="Normal"/>
    <w:uiPriority w:val="9"/>
    <w:rsid w:val="00E87B04"/>
    <w:pPr>
      <w:numPr>
        <w:numId w:val="37"/>
      </w:numPr>
      <w:contextualSpacing/>
    </w:pPr>
  </w:style>
  <w:style w:type="paragraph" w:customStyle="1" w:styleId="Introduction">
    <w:name w:val="Introduction"/>
    <w:basedOn w:val="Normal"/>
    <w:uiPriority w:val="2"/>
    <w:qFormat/>
    <w:rsid w:val="00E87B04"/>
    <w:pPr>
      <w:spacing w:after="280"/>
    </w:pPr>
    <w:rPr>
      <w:b/>
      <w:color w:val="004EA8"/>
    </w:rPr>
  </w:style>
  <w:style w:type="paragraph" w:customStyle="1" w:styleId="Source">
    <w:name w:val="Source"/>
    <w:basedOn w:val="Normal"/>
    <w:next w:val="Normal"/>
    <w:uiPriority w:val="51"/>
    <w:qFormat/>
    <w:rsid w:val="00E87B04"/>
    <w:pPr>
      <w:spacing w:before="20" w:after="60" w:line="240" w:lineRule="auto"/>
    </w:pPr>
    <w:rPr>
      <w:rFonts w:asciiTheme="majorHAnsi" w:eastAsiaTheme="minorHAnsi" w:hAnsiTheme="majorHAnsi"/>
      <w:i/>
      <w:sz w:val="14"/>
      <w:szCs w:val="22"/>
      <w:lang w:eastAsia="en-US"/>
    </w:rPr>
  </w:style>
  <w:style w:type="paragraph" w:customStyle="1" w:styleId="Tabletext">
    <w:name w:val="Table text"/>
    <w:basedOn w:val="Tabletextindent"/>
    <w:uiPriority w:val="5"/>
    <w:qFormat/>
    <w:rsid w:val="001653E7"/>
    <w:pPr>
      <w:spacing w:after="120" w:line="264" w:lineRule="auto"/>
      <w:ind w:left="0"/>
    </w:pPr>
  </w:style>
  <w:style w:type="paragraph" w:customStyle="1" w:styleId="Listnum">
    <w:name w:val="List num"/>
    <w:basedOn w:val="Normal"/>
    <w:qFormat/>
    <w:rsid w:val="001653E7"/>
    <w:pPr>
      <w:keepLines w:val="0"/>
      <w:numPr>
        <w:numId w:val="38"/>
      </w:numPr>
      <w:spacing w:before="240" w:after="240" w:line="240" w:lineRule="auto"/>
    </w:pPr>
    <w:rPr>
      <w:rFonts w:eastAsia="Times New Roman"/>
      <w:bCs/>
      <w:color w:val="000000" w:themeColor="text1"/>
      <w:spacing w:val="2"/>
      <w:sz w:val="20"/>
      <w:szCs w:val="24"/>
      <w:lang w:eastAsia="en-US"/>
    </w:rPr>
  </w:style>
  <w:style w:type="paragraph" w:customStyle="1" w:styleId="Listnum2">
    <w:name w:val="List num 2"/>
    <w:basedOn w:val="Normal"/>
    <w:rsid w:val="001653E7"/>
    <w:pPr>
      <w:keepLines w:val="0"/>
      <w:numPr>
        <w:ilvl w:val="1"/>
        <w:numId w:val="38"/>
      </w:numPr>
      <w:spacing w:before="0" w:after="0" w:line="240" w:lineRule="auto"/>
    </w:pPr>
    <w:rPr>
      <w:rFonts w:eastAsia="Times New Roman" w:cs="Times New Roman"/>
      <w:color w:val="000000" w:themeColor="text1"/>
      <w:spacing w:val="2"/>
      <w:sz w:val="20"/>
      <w:lang w:eastAsia="en-US"/>
    </w:rPr>
  </w:style>
  <w:style w:type="paragraph" w:customStyle="1" w:styleId="Listnum3">
    <w:name w:val="List num 3"/>
    <w:basedOn w:val="Normal"/>
    <w:rsid w:val="001653E7"/>
    <w:pPr>
      <w:keepLines w:val="0"/>
      <w:numPr>
        <w:ilvl w:val="2"/>
        <w:numId w:val="38"/>
      </w:numPr>
      <w:spacing w:before="0" w:after="0" w:line="240" w:lineRule="auto"/>
    </w:pPr>
    <w:rPr>
      <w:rFonts w:eastAsia="Times New Roman" w:cs="Times New Roman"/>
      <w:color w:val="000000" w:themeColor="text1"/>
      <w:spacing w:val="2"/>
      <w:sz w:val="20"/>
      <w:lang w:eastAsia="en-US"/>
    </w:rPr>
  </w:style>
  <w:style w:type="paragraph" w:customStyle="1" w:styleId="Tabletextbold">
    <w:name w:val="Table text bold"/>
    <w:basedOn w:val="Tabletext"/>
    <w:uiPriority w:val="2"/>
    <w:qFormat/>
    <w:rsid w:val="004A7C2A"/>
    <w:pPr>
      <w:spacing w:before="200"/>
    </w:pPr>
    <w:rPr>
      <w:rFonts w:cstheme="minorHAnsi"/>
      <w:b/>
      <w:bCs/>
      <w:sz w:val="20"/>
      <w:szCs w:val="20"/>
    </w:rPr>
  </w:style>
  <w:style w:type="paragraph" w:customStyle="1" w:styleId="Reconumber">
    <w:name w:val="Reco number"/>
    <w:basedOn w:val="Tabletextbold"/>
    <w:uiPriority w:val="2"/>
    <w:qFormat/>
    <w:rsid w:val="001653E7"/>
    <w:pPr>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72AF1AD5AF15524C920CB3BE3D72725D" ma:contentTypeVersion="12" ma:contentTypeDescription="Create a new document." ma:contentTypeScope="" ma:versionID="e7652aad16fbcd14ba6c8336722e0f87">
  <xsd:schema xmlns:xsd="http://www.w3.org/2001/XMLSchema" xmlns:xs="http://www.w3.org/2001/XMLSchema" xmlns:p="http://schemas.microsoft.com/office/2006/metadata/properties" xmlns:ns2="c5048082-e052-44c2-9313-1529a8e2ac53" xmlns:ns3="97580cac-1a46-464e-a749-263d0beaf9ec" targetNamespace="http://schemas.microsoft.com/office/2006/metadata/properties" ma:root="true" ma:fieldsID="8c031b349a76d31174234e62b5fe49ae" ns2:_="" ns3:_="">
    <xsd:import namespace="c5048082-e052-44c2-9313-1529a8e2ac53"/>
    <xsd:import namespace="97580cac-1a46-464e-a749-263d0beaf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48082-e052-44c2-9313-1529a8e2a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580cac-1a46-464e-a749-263d0beaf9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86F782-4FB2-4C6E-8291-71A5CFAC115E}">
  <ds:schemaRefs>
    <ds:schemaRef ds:uri="http://schemas.openxmlformats.org/officeDocument/2006/bibliography"/>
  </ds:schemaRefs>
</ds:datastoreItem>
</file>

<file path=customXml/itemProps2.xml><?xml version="1.0" encoding="utf-8"?>
<ds:datastoreItem xmlns:ds="http://schemas.openxmlformats.org/officeDocument/2006/customXml" ds:itemID="{1D394C15-1068-4657-930A-1AF0601E08FD}">
  <ds:schemaRefs>
    <ds:schemaRef ds:uri="http://www.w3.org/2001/XMLSchema"/>
  </ds:schemaRefs>
</ds:datastoreItem>
</file>

<file path=customXml/itemProps3.xml><?xml version="1.0" encoding="utf-8"?>
<ds:datastoreItem xmlns:ds="http://schemas.openxmlformats.org/officeDocument/2006/customXml" ds:itemID="{625766D3-A7D5-4FE1-AB3E-298E723A5FD5}"/>
</file>

<file path=customXml/itemProps4.xml><?xml version="1.0" encoding="utf-8"?>
<ds:datastoreItem xmlns:ds="http://schemas.openxmlformats.org/officeDocument/2006/customXml" ds:itemID="{61750BE3-9F98-49BD-BB8D-2A2DBDE73C60}"/>
</file>

<file path=customXml/itemProps5.xml><?xml version="1.0" encoding="utf-8"?>
<ds:datastoreItem xmlns:ds="http://schemas.openxmlformats.org/officeDocument/2006/customXml" ds:itemID="{410EDFF7-AA02-473D-BF48-9CDE48A54E30}"/>
</file>

<file path=docProps/app.xml><?xml version="1.0" encoding="utf-8"?>
<Properties xmlns="http://schemas.openxmlformats.org/officeDocument/2006/extended-properties" xmlns:vt="http://schemas.openxmlformats.org/officeDocument/2006/docPropsVTypes">
  <Template>Normal.dotm</Template>
  <TotalTime>1</TotalTime>
  <Pages>7</Pages>
  <Words>1889</Words>
  <Characters>10771</Characters>
  <Application>Microsoft Office Word</Application>
  <DocSecurity>2</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 (DTF)</dc:creator>
  <cp:lastModifiedBy>Elen Liew (DTF)</cp:lastModifiedBy>
  <cp:revision>2</cp:revision>
  <cp:lastPrinted>2016-10-12T23:07:00Z</cp:lastPrinted>
  <dcterms:created xsi:type="dcterms:W3CDTF">2022-03-28T14:50:00Z</dcterms:created>
  <dcterms:modified xsi:type="dcterms:W3CDTF">2022-03-28T14:50:00Z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Classification">
    <vt:lpwstr>Do Not Mark</vt:lpwstr>
  </property>
  <property fmtid="{D5CDD505-2E9C-101B-9397-08002B2CF9AE}" pid="5" name="MSIP_Label_7158ebbd-6c5e-441f-bfc9-4eb8c11e3978_Enabled">
    <vt:lpwstr>true</vt:lpwstr>
  </property>
  <property fmtid="{D5CDD505-2E9C-101B-9397-08002B2CF9AE}" pid="6" name="MSIP_Label_7158ebbd-6c5e-441f-bfc9-4eb8c11e3978_SetDate">
    <vt:lpwstr>2022-03-28T14:50:55Z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17fe5562-a091-494e-b988-ae55dd99c7b8</vt:lpwstr>
  </property>
  <property fmtid="{D5CDD505-2E9C-101B-9397-08002B2CF9AE}" pid="11" name="MSIP_Label_7158ebbd-6c5e-441f-bfc9-4eb8c11e3978_ContentBits">
    <vt:lpwstr>2</vt:lpwstr>
  </property>
  <property fmtid="{D5CDD505-2E9C-101B-9397-08002B2CF9AE}" pid="12" name="ContentTypeId">
    <vt:lpwstr>0x01010072AF1AD5AF15524C920CB3BE3D72725D</vt:lpwstr>
  </property>
</Properties>
</file>